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2D723" w14:textId="77777777" w:rsidR="0046798B" w:rsidRDefault="0046798B">
      <w:pPr>
        <w:pStyle w:val="BodyText"/>
        <w:spacing w:before="1"/>
        <w:rPr>
          <w:sz w:val="11"/>
        </w:rPr>
      </w:pPr>
    </w:p>
    <w:p w14:paraId="0BB43F79" w14:textId="77777777" w:rsidR="0046798B" w:rsidRDefault="00903B5C">
      <w:pPr>
        <w:spacing w:before="88" w:line="321" w:lineRule="exact"/>
        <w:ind w:left="4177" w:right="4690"/>
        <w:jc w:val="center"/>
        <w:rPr>
          <w:b/>
        </w:rPr>
      </w:pPr>
      <w:r>
        <w:rPr>
          <w:b/>
          <w:sz w:val="28"/>
        </w:rPr>
        <w:t>T</w:t>
      </w:r>
      <w:r>
        <w:rPr>
          <w:b/>
        </w:rPr>
        <w:t xml:space="preserve">HE </w:t>
      </w:r>
      <w:r>
        <w:rPr>
          <w:b/>
          <w:sz w:val="28"/>
        </w:rPr>
        <w:t>C</w:t>
      </w:r>
      <w:r>
        <w:rPr>
          <w:b/>
        </w:rPr>
        <w:t xml:space="preserve">ORRELATES OF </w:t>
      </w:r>
      <w:r>
        <w:rPr>
          <w:b/>
          <w:sz w:val="28"/>
        </w:rPr>
        <w:t>S</w:t>
      </w:r>
      <w:r>
        <w:rPr>
          <w:b/>
        </w:rPr>
        <w:t xml:space="preserve">TATE </w:t>
      </w:r>
      <w:r>
        <w:rPr>
          <w:b/>
          <w:sz w:val="28"/>
        </w:rPr>
        <w:t>P</w:t>
      </w:r>
      <w:r>
        <w:rPr>
          <w:b/>
        </w:rPr>
        <w:t>OLICY</w:t>
      </w:r>
      <w:r>
        <w:rPr>
          <w:b/>
          <w:spacing w:val="51"/>
        </w:rPr>
        <w:t xml:space="preserve"> </w:t>
      </w:r>
      <w:r>
        <w:rPr>
          <w:b/>
          <w:sz w:val="28"/>
        </w:rPr>
        <w:t>P</w:t>
      </w:r>
      <w:r>
        <w:rPr>
          <w:b/>
        </w:rPr>
        <w:t>ROJECT</w:t>
      </w:r>
    </w:p>
    <w:p w14:paraId="1CF3ABD9" w14:textId="77777777" w:rsidR="0046798B" w:rsidRDefault="00903B5C">
      <w:pPr>
        <w:spacing w:line="321" w:lineRule="exact"/>
        <w:ind w:left="4171" w:right="4690"/>
        <w:jc w:val="center"/>
        <w:rPr>
          <w:b/>
          <w:sz w:val="28"/>
        </w:rPr>
      </w:pPr>
      <w:r>
        <w:rPr>
          <w:b/>
          <w:sz w:val="28"/>
        </w:rPr>
        <w:t>— V</w:t>
      </w:r>
      <w:r>
        <w:rPr>
          <w:b/>
        </w:rPr>
        <w:t xml:space="preserve">ARIABLE </w:t>
      </w:r>
      <w:r>
        <w:rPr>
          <w:b/>
          <w:sz w:val="28"/>
        </w:rPr>
        <w:t>C</w:t>
      </w:r>
      <w:r>
        <w:rPr>
          <w:b/>
        </w:rPr>
        <w:t xml:space="preserve">ODEBOOK </w:t>
      </w:r>
      <w:r>
        <w:rPr>
          <w:b/>
          <w:sz w:val="28"/>
        </w:rPr>
        <w:t>―</w:t>
      </w:r>
    </w:p>
    <w:p w14:paraId="4B1461B9" w14:textId="77777777" w:rsidR="0046798B" w:rsidRDefault="0046798B">
      <w:pPr>
        <w:pStyle w:val="BodyText"/>
        <w:spacing w:before="4"/>
        <w:rPr>
          <w:b/>
          <w:sz w:val="24"/>
        </w:rPr>
      </w:pPr>
    </w:p>
    <w:p w14:paraId="67F5D165" w14:textId="77777777" w:rsidR="0046798B" w:rsidRDefault="00903B5C">
      <w:pPr>
        <w:pStyle w:val="Heading3"/>
      </w:pPr>
      <w:r>
        <w:rPr>
          <w:sz w:val="24"/>
        </w:rPr>
        <w:t>V</w:t>
      </w:r>
      <w:r>
        <w:t>ERSION</w:t>
      </w:r>
    </w:p>
    <w:p w14:paraId="5C6EEBB4" w14:textId="77777777" w:rsidR="0046798B" w:rsidRDefault="0046798B">
      <w:pPr>
        <w:pStyle w:val="BodyText"/>
        <w:rPr>
          <w:b/>
          <w:sz w:val="23"/>
        </w:rPr>
      </w:pPr>
    </w:p>
    <w:p w14:paraId="26553454" w14:textId="268C9439" w:rsidR="0046798B" w:rsidRDefault="00903B5C">
      <w:pPr>
        <w:ind w:left="4177" w:right="4689"/>
        <w:jc w:val="center"/>
      </w:pPr>
      <w:r>
        <w:t>2.</w:t>
      </w:r>
      <w:r w:rsidR="00C15DAE">
        <w:t>3</w:t>
      </w:r>
    </w:p>
    <w:p w14:paraId="2DC54F7C" w14:textId="77777777" w:rsidR="0046798B" w:rsidRDefault="0046798B">
      <w:pPr>
        <w:pStyle w:val="BodyText"/>
        <w:spacing w:before="3"/>
        <w:rPr>
          <w:sz w:val="24"/>
        </w:rPr>
      </w:pPr>
    </w:p>
    <w:p w14:paraId="05872124" w14:textId="77777777" w:rsidR="0046798B" w:rsidRDefault="00903B5C">
      <w:pPr>
        <w:ind w:left="4171" w:right="4690"/>
        <w:jc w:val="center"/>
        <w:rPr>
          <w:b/>
        </w:rPr>
      </w:pPr>
      <w:r>
        <w:rPr>
          <w:b/>
        </w:rPr>
        <w:t>About the Correlates of State Policy Project</w:t>
      </w:r>
    </w:p>
    <w:p w14:paraId="2C0F146E" w14:textId="77777777" w:rsidR="0046798B" w:rsidRDefault="0046798B">
      <w:pPr>
        <w:pStyle w:val="BodyText"/>
        <w:spacing w:before="9"/>
        <w:rPr>
          <w:b/>
          <w:sz w:val="23"/>
        </w:rPr>
      </w:pPr>
    </w:p>
    <w:p w14:paraId="598F9C32" w14:textId="77777777" w:rsidR="0046798B" w:rsidRDefault="00903B5C">
      <w:pPr>
        <w:ind w:left="620" w:right="1178"/>
      </w:pPr>
      <w:r>
        <w:t>The Correlates of State Policy Project, an initiative of the Institute for Public Policy and Social Research (IPPSR) at Michigan State University, aims to compile, disseminate, and encourage the use of quantitative data relevant to U.S. state policy research, tracking differences across and changes over time in the 50 states. In keeping with the mission of IPPSR, this project documents, updates, and distributes various datasets germane to research on pressing public policy issues. IPPSR is committed to research transparency, replication, and data reliability. These cross-state and cross-time datasets are free and publicly available for academics, policy analysts, students, policymakers, and the research community. We welcome notification of any errors, comments, and contributions of additional</w:t>
      </w:r>
      <w:r>
        <w:rPr>
          <w:spacing w:val="-3"/>
        </w:rPr>
        <w:t xml:space="preserve"> </w:t>
      </w:r>
      <w:r>
        <w:t>datasets.</w:t>
      </w:r>
    </w:p>
    <w:p w14:paraId="75681B01" w14:textId="77777777" w:rsidR="0046798B" w:rsidRDefault="0046798B">
      <w:pPr>
        <w:pStyle w:val="BodyText"/>
        <w:spacing w:before="3"/>
        <w:rPr>
          <w:sz w:val="24"/>
        </w:rPr>
      </w:pPr>
    </w:p>
    <w:p w14:paraId="35E0E455" w14:textId="77777777" w:rsidR="0046798B" w:rsidRDefault="00903B5C">
      <w:pPr>
        <w:ind w:left="4175" w:right="4690"/>
        <w:jc w:val="center"/>
        <w:rPr>
          <w:b/>
        </w:rPr>
      </w:pPr>
      <w:r>
        <w:rPr>
          <w:b/>
        </w:rPr>
        <w:t>About the Datasets and Variables</w:t>
      </w:r>
    </w:p>
    <w:p w14:paraId="0FA46B2C" w14:textId="77777777" w:rsidR="0046798B" w:rsidRDefault="0046798B">
      <w:pPr>
        <w:pStyle w:val="BodyText"/>
        <w:rPr>
          <w:b/>
          <w:sz w:val="23"/>
        </w:rPr>
      </w:pPr>
    </w:p>
    <w:p w14:paraId="31B025BE" w14:textId="2D9B3590" w:rsidR="0046798B" w:rsidRDefault="00903B5C">
      <w:pPr>
        <w:ind w:left="620" w:right="1178"/>
      </w:pPr>
      <w:r>
        <w:t xml:space="preserve">The Correlates of State Policy Project includes more than </w:t>
      </w:r>
      <w:r w:rsidR="00C15DAE">
        <w:t>2000</w:t>
      </w:r>
      <w:r>
        <w:t xml:space="preserve"> variables, with observations across the 50 U.S. states and across time (coverage varies across the period 1900–2018; specific date ranges for each variable are provided). These variables represent policy outputs or political, social, or economic factors that may influence policy differences. The codebook includes the variable name, a short description of the variable, the variable time frame, a longer description of the variable, and the variable source(s) and notes.</w:t>
      </w:r>
    </w:p>
    <w:p w14:paraId="4DA4AAB0" w14:textId="77777777" w:rsidR="0046798B" w:rsidRDefault="0046798B">
      <w:pPr>
        <w:pStyle w:val="BodyText"/>
        <w:spacing w:before="7"/>
        <w:rPr>
          <w:sz w:val="23"/>
        </w:rPr>
      </w:pPr>
    </w:p>
    <w:p w14:paraId="4134F269" w14:textId="77777777" w:rsidR="0046798B" w:rsidRDefault="00903B5C">
      <w:pPr>
        <w:spacing w:before="1"/>
        <w:ind w:left="4175" w:right="4690"/>
        <w:jc w:val="center"/>
        <w:rPr>
          <w:b/>
        </w:rPr>
      </w:pPr>
      <w:r>
        <w:rPr>
          <w:b/>
        </w:rPr>
        <w:t>Notes and Suggested Citation</w:t>
      </w:r>
    </w:p>
    <w:p w14:paraId="27448322" w14:textId="77777777" w:rsidR="0046798B" w:rsidRDefault="0046798B">
      <w:pPr>
        <w:pStyle w:val="BodyText"/>
        <w:spacing w:before="9"/>
        <w:rPr>
          <w:b/>
          <w:sz w:val="23"/>
        </w:rPr>
      </w:pPr>
    </w:p>
    <w:p w14:paraId="7EC78786" w14:textId="209CCEB9" w:rsidR="007B6536" w:rsidRDefault="00903B5C" w:rsidP="007B6536">
      <w:pPr>
        <w:ind w:left="620" w:right="1178"/>
      </w:pPr>
      <w:r>
        <w:t>This aggregated dataset is only possible because many scholars and students have spent countless hours creating, collecting, cleaning, and making data publicly available. Variable names, descriptions, dates, and notes are generally copied directly from the source. For complete information about the variable, such as how it was collected or calculated, see the original source. Attribution for a variable should be given to the named source(s). However, we would also appreciate recognition. A suggested citation follows:</w:t>
      </w:r>
    </w:p>
    <w:p w14:paraId="579CA6F4" w14:textId="77777777" w:rsidR="007B6536" w:rsidRDefault="007B6536">
      <w:pPr>
        <w:ind w:left="1340" w:right="1168" w:hanging="720"/>
      </w:pPr>
    </w:p>
    <w:p w14:paraId="1E2CCEDF" w14:textId="6068694E" w:rsidR="007B6536" w:rsidRDefault="007B6536">
      <w:pPr>
        <w:ind w:left="1340" w:right="1168" w:hanging="720"/>
      </w:pPr>
      <w:r>
        <w:t>Grossmann, Matt, Marty P. Jordan, and Joshua McCrain. 2021. The Correlates of State Policy Project and the Structure of State Panel Data. State Politics &amp; Policy Quarterly. 1-21.</w:t>
      </w:r>
    </w:p>
    <w:p w14:paraId="72A284ED" w14:textId="77777777" w:rsidR="0046798B" w:rsidRDefault="0046798B">
      <w:pPr>
        <w:sectPr w:rsidR="0046798B">
          <w:headerReference w:type="default" r:id="rId7"/>
          <w:footerReference w:type="default" r:id="rId8"/>
          <w:type w:val="continuous"/>
          <w:pgSz w:w="15840" w:h="12240" w:orient="landscape"/>
          <w:pgMar w:top="1220" w:right="300" w:bottom="980" w:left="820" w:header="730" w:footer="787" w:gutter="0"/>
          <w:pgNumType w:start="1"/>
          <w:cols w:space="720"/>
        </w:sectPr>
      </w:pPr>
    </w:p>
    <w:p w14:paraId="5FD27B72" w14:textId="77777777" w:rsidR="0046798B" w:rsidRDefault="0046798B">
      <w:pPr>
        <w:pStyle w:val="BodyText"/>
        <w:spacing w:before="1"/>
        <w:rPr>
          <w:sz w:val="11"/>
        </w:rPr>
      </w:pPr>
    </w:p>
    <w:p w14:paraId="28D6AE4A" w14:textId="77777777" w:rsidR="0046798B" w:rsidRDefault="00903B5C">
      <w:pPr>
        <w:spacing w:before="88"/>
        <w:ind w:left="4177" w:right="4688"/>
        <w:jc w:val="center"/>
        <w:rPr>
          <w:b/>
          <w:sz w:val="28"/>
        </w:rPr>
      </w:pPr>
      <w:r>
        <w:rPr>
          <w:b/>
          <w:sz w:val="28"/>
        </w:rPr>
        <w:t>Table of Contents</w:t>
      </w:r>
    </w:p>
    <w:p w14:paraId="4EE9199C" w14:textId="77777777" w:rsidR="0046798B" w:rsidRDefault="0046798B">
      <w:pPr>
        <w:pStyle w:val="BodyText"/>
        <w:spacing w:before="7"/>
        <w:rPr>
          <w:b/>
          <w:sz w:val="16"/>
        </w:rPr>
      </w:pPr>
    </w:p>
    <w:p w14:paraId="5F884F82" w14:textId="77777777" w:rsidR="0046798B" w:rsidRDefault="00903B5C">
      <w:pPr>
        <w:spacing w:before="90"/>
        <w:ind w:left="620"/>
        <w:rPr>
          <w:b/>
        </w:rPr>
      </w:pPr>
      <w:r>
        <w:rPr>
          <w:b/>
        </w:rPr>
        <w:t>Variables Organized by Policy Area</w:t>
      </w:r>
    </w:p>
    <w:sdt>
      <w:sdtPr>
        <w:id w:val="1165816181"/>
        <w:docPartObj>
          <w:docPartGallery w:val="Table of Contents"/>
          <w:docPartUnique/>
        </w:docPartObj>
      </w:sdtPr>
      <w:sdtEndPr/>
      <w:sdtContent>
        <w:p w14:paraId="0B5F2644" w14:textId="77777777" w:rsidR="0046798B" w:rsidRDefault="00797354">
          <w:pPr>
            <w:pStyle w:val="TOC1"/>
            <w:numPr>
              <w:ilvl w:val="0"/>
              <w:numId w:val="14"/>
            </w:numPr>
            <w:tabs>
              <w:tab w:val="left" w:pos="821"/>
              <w:tab w:val="right" w:leader="dot" w:pos="13574"/>
            </w:tabs>
            <w:spacing w:before="394"/>
          </w:pPr>
          <w:hyperlink w:anchor="_bookmark0" w:history="1">
            <w:r w:rsidR="00903B5C">
              <w:t>Demographics and Population</w:t>
            </w:r>
            <w:r w:rsidR="00903B5C">
              <w:tab/>
              <w:t>6</w:t>
            </w:r>
          </w:hyperlink>
        </w:p>
        <w:p w14:paraId="5C4BB1BA" w14:textId="77777777" w:rsidR="0046798B" w:rsidRDefault="00797354">
          <w:pPr>
            <w:pStyle w:val="TOC1"/>
            <w:numPr>
              <w:ilvl w:val="0"/>
              <w:numId w:val="14"/>
            </w:numPr>
            <w:tabs>
              <w:tab w:val="left" w:pos="901"/>
              <w:tab w:val="right" w:leader="dot" w:pos="13574"/>
            </w:tabs>
            <w:spacing w:before="120"/>
            <w:ind w:left="900" w:hanging="280"/>
          </w:pPr>
          <w:hyperlink w:anchor="_bookmark1" w:history="1">
            <w:r w:rsidR="00903B5C">
              <w:t>Economic and</w:t>
            </w:r>
            <w:r w:rsidR="00903B5C">
              <w:rPr>
                <w:spacing w:val="1"/>
              </w:rPr>
              <w:t xml:space="preserve"> </w:t>
            </w:r>
            <w:r w:rsidR="00903B5C">
              <w:t>Fiscal</w:t>
            </w:r>
            <w:r w:rsidR="00903B5C">
              <w:rPr>
                <w:spacing w:val="-2"/>
              </w:rPr>
              <w:t xml:space="preserve"> </w:t>
            </w:r>
            <w:r w:rsidR="00903B5C">
              <w:t>Policy</w:t>
            </w:r>
            <w:r w:rsidR="00903B5C">
              <w:tab/>
              <w:t>12</w:t>
            </w:r>
          </w:hyperlink>
        </w:p>
        <w:p w14:paraId="5EEE2128" w14:textId="77777777" w:rsidR="0046798B" w:rsidRDefault="00797354">
          <w:pPr>
            <w:pStyle w:val="TOC1"/>
            <w:numPr>
              <w:ilvl w:val="0"/>
              <w:numId w:val="14"/>
            </w:numPr>
            <w:tabs>
              <w:tab w:val="left" w:pos="981"/>
              <w:tab w:val="right" w:leader="dot" w:pos="13574"/>
            </w:tabs>
            <w:ind w:left="980" w:hanging="360"/>
          </w:pPr>
          <w:hyperlink w:anchor="_bookmark2" w:history="1">
            <w:r w:rsidR="00903B5C">
              <w:t>Government</w:t>
            </w:r>
            <w:r w:rsidR="00903B5C">
              <w:tab/>
              <w:t>74</w:t>
            </w:r>
          </w:hyperlink>
        </w:p>
        <w:p w14:paraId="707AEDA5" w14:textId="77777777" w:rsidR="0046798B" w:rsidRDefault="00797354">
          <w:pPr>
            <w:pStyle w:val="TOC1"/>
            <w:numPr>
              <w:ilvl w:val="0"/>
              <w:numId w:val="14"/>
            </w:numPr>
            <w:tabs>
              <w:tab w:val="left" w:pos="996"/>
              <w:tab w:val="right" w:leader="dot" w:pos="13574"/>
            </w:tabs>
            <w:spacing w:before="124"/>
            <w:ind w:left="995" w:hanging="375"/>
          </w:pPr>
          <w:hyperlink w:anchor="_bookmark3" w:history="1">
            <w:r w:rsidR="00903B5C">
              <w:t>Elections</w:t>
            </w:r>
            <w:r w:rsidR="00903B5C">
              <w:tab/>
              <w:t>118</w:t>
            </w:r>
          </w:hyperlink>
        </w:p>
        <w:p w14:paraId="36FBC548" w14:textId="77777777" w:rsidR="0046798B" w:rsidRDefault="00797354">
          <w:pPr>
            <w:pStyle w:val="TOC1"/>
            <w:numPr>
              <w:ilvl w:val="0"/>
              <w:numId w:val="14"/>
            </w:numPr>
            <w:tabs>
              <w:tab w:val="left" w:pos="916"/>
              <w:tab w:val="right" w:leader="dot" w:pos="13574"/>
            </w:tabs>
            <w:ind w:left="915" w:hanging="295"/>
          </w:pPr>
          <w:hyperlink w:anchor="_bookmark4" w:history="1">
            <w:r w:rsidR="00903B5C">
              <w:t>Policy Scores and Public</w:t>
            </w:r>
            <w:r w:rsidR="00903B5C">
              <w:rPr>
                <w:spacing w:val="-2"/>
              </w:rPr>
              <w:t xml:space="preserve"> </w:t>
            </w:r>
            <w:r w:rsidR="00903B5C">
              <w:t>Opinion</w:t>
            </w:r>
            <w:r w:rsidR="00903B5C">
              <w:tab/>
              <w:t>154</w:t>
            </w:r>
          </w:hyperlink>
        </w:p>
        <w:p w14:paraId="73CC3C30" w14:textId="77777777" w:rsidR="0046798B" w:rsidRDefault="00797354">
          <w:pPr>
            <w:pStyle w:val="TOC1"/>
            <w:numPr>
              <w:ilvl w:val="0"/>
              <w:numId w:val="14"/>
            </w:numPr>
            <w:tabs>
              <w:tab w:val="left" w:pos="996"/>
              <w:tab w:val="right" w:leader="dot" w:pos="13574"/>
            </w:tabs>
            <w:ind w:left="995" w:hanging="375"/>
          </w:pPr>
          <w:hyperlink w:anchor="_bookmark5" w:history="1">
            <w:r w:rsidR="00903B5C">
              <w:t>Criminal Justice and the</w:t>
            </w:r>
            <w:r w:rsidR="00903B5C">
              <w:rPr>
                <w:spacing w:val="-3"/>
              </w:rPr>
              <w:t xml:space="preserve"> </w:t>
            </w:r>
            <w:r w:rsidR="00903B5C">
              <w:t>Legal</w:t>
            </w:r>
            <w:r w:rsidR="00903B5C">
              <w:rPr>
                <w:spacing w:val="-2"/>
              </w:rPr>
              <w:t xml:space="preserve"> </w:t>
            </w:r>
            <w:r w:rsidR="00903B5C">
              <w:t>System</w:t>
            </w:r>
            <w:r w:rsidR="00903B5C">
              <w:tab/>
              <w:t>165</w:t>
            </w:r>
          </w:hyperlink>
        </w:p>
        <w:p w14:paraId="7D2DDFE4" w14:textId="77777777" w:rsidR="0046798B" w:rsidRDefault="00797354">
          <w:pPr>
            <w:pStyle w:val="TOC1"/>
            <w:numPr>
              <w:ilvl w:val="0"/>
              <w:numId w:val="14"/>
            </w:numPr>
            <w:tabs>
              <w:tab w:val="left" w:pos="1076"/>
              <w:tab w:val="right" w:leader="dot" w:pos="13574"/>
            </w:tabs>
            <w:ind w:left="1075" w:hanging="455"/>
          </w:pPr>
          <w:hyperlink w:anchor="_bookmark6" w:history="1">
            <w:r w:rsidR="00903B5C">
              <w:t>Education</w:t>
            </w:r>
            <w:r w:rsidR="00903B5C">
              <w:tab/>
              <w:t>197</w:t>
            </w:r>
          </w:hyperlink>
        </w:p>
        <w:p w14:paraId="63F321BE" w14:textId="77777777" w:rsidR="0046798B" w:rsidRDefault="00797354">
          <w:pPr>
            <w:pStyle w:val="TOC1"/>
            <w:numPr>
              <w:ilvl w:val="0"/>
              <w:numId w:val="14"/>
            </w:numPr>
            <w:tabs>
              <w:tab w:val="left" w:pos="1155"/>
              <w:tab w:val="right" w:leader="dot" w:pos="13574"/>
            </w:tabs>
            <w:spacing w:before="120"/>
            <w:ind w:left="1154" w:hanging="534"/>
          </w:pPr>
          <w:hyperlink w:anchor="_bookmark7" w:history="1">
            <w:r w:rsidR="00903B5C">
              <w:t>Healthcare and</w:t>
            </w:r>
            <w:r w:rsidR="00903B5C">
              <w:rPr>
                <w:spacing w:val="2"/>
              </w:rPr>
              <w:t xml:space="preserve"> </w:t>
            </w:r>
            <w:r w:rsidR="00903B5C">
              <w:t>Health Insurance</w:t>
            </w:r>
            <w:r w:rsidR="00903B5C">
              <w:tab/>
              <w:t>210</w:t>
            </w:r>
          </w:hyperlink>
        </w:p>
        <w:p w14:paraId="01624FDE" w14:textId="77777777" w:rsidR="0046798B" w:rsidRDefault="00797354">
          <w:pPr>
            <w:pStyle w:val="TOC1"/>
            <w:numPr>
              <w:ilvl w:val="0"/>
              <w:numId w:val="14"/>
            </w:numPr>
            <w:tabs>
              <w:tab w:val="left" w:pos="996"/>
              <w:tab w:val="right" w:leader="dot" w:pos="13574"/>
            </w:tabs>
            <w:spacing w:before="124"/>
            <w:ind w:left="995" w:hanging="375"/>
          </w:pPr>
          <w:hyperlink w:anchor="_bookmark8" w:history="1">
            <w:r w:rsidR="00903B5C">
              <w:t>Welfare</w:t>
            </w:r>
            <w:r w:rsidR="00903B5C">
              <w:rPr>
                <w:spacing w:val="-3"/>
              </w:rPr>
              <w:t xml:space="preserve"> </w:t>
            </w:r>
            <w:r w:rsidR="00903B5C">
              <w:t>Policy</w:t>
            </w:r>
            <w:r w:rsidR="00903B5C">
              <w:tab/>
              <w:t>236</w:t>
            </w:r>
          </w:hyperlink>
        </w:p>
        <w:p w14:paraId="339EA2F5" w14:textId="77777777" w:rsidR="0046798B" w:rsidRDefault="00797354">
          <w:pPr>
            <w:pStyle w:val="TOC1"/>
            <w:numPr>
              <w:ilvl w:val="0"/>
              <w:numId w:val="14"/>
            </w:numPr>
            <w:tabs>
              <w:tab w:val="left" w:pos="916"/>
              <w:tab w:val="right" w:leader="dot" w:pos="13574"/>
            </w:tabs>
            <w:ind w:left="915" w:hanging="295"/>
          </w:pPr>
          <w:hyperlink w:anchor="_bookmark9" w:history="1">
            <w:r w:rsidR="00903B5C">
              <w:t>Rights and Anti-Discrimination Protections</w:t>
            </w:r>
            <w:r w:rsidR="00903B5C">
              <w:tab/>
              <w:t>240</w:t>
            </w:r>
          </w:hyperlink>
        </w:p>
        <w:p w14:paraId="67DE6A64" w14:textId="77777777" w:rsidR="0046798B" w:rsidRDefault="00797354">
          <w:pPr>
            <w:pStyle w:val="TOC1"/>
            <w:numPr>
              <w:ilvl w:val="0"/>
              <w:numId w:val="14"/>
            </w:numPr>
            <w:tabs>
              <w:tab w:val="left" w:pos="996"/>
              <w:tab w:val="right" w:leader="dot" w:pos="13574"/>
            </w:tabs>
            <w:ind w:left="995" w:hanging="375"/>
          </w:pPr>
          <w:hyperlink w:anchor="_bookmark10" w:history="1">
            <w:r w:rsidR="00903B5C">
              <w:t>Environment</w:t>
            </w:r>
            <w:r w:rsidR="00903B5C">
              <w:tab/>
              <w:t>258</w:t>
            </w:r>
          </w:hyperlink>
        </w:p>
        <w:p w14:paraId="5AA47E6B" w14:textId="77777777" w:rsidR="0046798B" w:rsidRDefault="00797354">
          <w:pPr>
            <w:pStyle w:val="TOC1"/>
            <w:numPr>
              <w:ilvl w:val="0"/>
              <w:numId w:val="14"/>
            </w:numPr>
            <w:tabs>
              <w:tab w:val="left" w:pos="1076"/>
              <w:tab w:val="right" w:leader="dot" w:pos="13574"/>
            </w:tabs>
            <w:ind w:left="1075" w:hanging="455"/>
          </w:pPr>
          <w:hyperlink w:anchor="_bookmark11" w:history="1">
            <w:r w:rsidR="00903B5C">
              <w:t>Drug and</w:t>
            </w:r>
            <w:r w:rsidR="00903B5C">
              <w:rPr>
                <w:spacing w:val="-1"/>
              </w:rPr>
              <w:t xml:space="preserve"> </w:t>
            </w:r>
            <w:r w:rsidR="00903B5C">
              <w:t>Alcohol</w:t>
            </w:r>
            <w:r w:rsidR="00903B5C">
              <w:rPr>
                <w:spacing w:val="-2"/>
              </w:rPr>
              <w:t xml:space="preserve"> </w:t>
            </w:r>
            <w:r w:rsidR="00903B5C">
              <w:t>Policy</w:t>
            </w:r>
            <w:r w:rsidR="00903B5C">
              <w:tab/>
              <w:t>268</w:t>
            </w:r>
          </w:hyperlink>
        </w:p>
        <w:p w14:paraId="7392A93B" w14:textId="77777777" w:rsidR="0046798B" w:rsidRDefault="00797354">
          <w:pPr>
            <w:pStyle w:val="TOC1"/>
            <w:numPr>
              <w:ilvl w:val="0"/>
              <w:numId w:val="14"/>
            </w:numPr>
            <w:tabs>
              <w:tab w:val="left" w:pos="1155"/>
              <w:tab w:val="right" w:leader="dot" w:pos="13574"/>
            </w:tabs>
            <w:ind w:left="1154" w:hanging="534"/>
          </w:pPr>
          <w:hyperlink w:anchor="_bookmark12" w:history="1">
            <w:r w:rsidR="00903B5C">
              <w:t>Gun</w:t>
            </w:r>
            <w:r w:rsidR="00903B5C">
              <w:rPr>
                <w:spacing w:val="-1"/>
              </w:rPr>
              <w:t xml:space="preserve"> </w:t>
            </w:r>
            <w:r w:rsidR="00903B5C">
              <w:t>Control</w:t>
            </w:r>
            <w:r w:rsidR="00903B5C">
              <w:tab/>
              <w:t>286</w:t>
            </w:r>
          </w:hyperlink>
        </w:p>
        <w:p w14:paraId="5C733EE2" w14:textId="77777777" w:rsidR="0046798B" w:rsidRDefault="00797354">
          <w:pPr>
            <w:pStyle w:val="TOC1"/>
            <w:numPr>
              <w:ilvl w:val="0"/>
              <w:numId w:val="14"/>
            </w:numPr>
            <w:tabs>
              <w:tab w:val="left" w:pos="1170"/>
              <w:tab w:val="right" w:leader="dot" w:pos="13574"/>
            </w:tabs>
            <w:spacing w:before="125"/>
            <w:ind w:left="1169" w:hanging="549"/>
          </w:pPr>
          <w:hyperlink w:anchor="_bookmark13" w:history="1">
            <w:r w:rsidR="00903B5C">
              <w:t>Labor</w:t>
            </w:r>
            <w:r w:rsidR="00903B5C">
              <w:tab/>
              <w:t>294</w:t>
            </w:r>
          </w:hyperlink>
        </w:p>
        <w:p w14:paraId="4C404715" w14:textId="77777777" w:rsidR="0046798B" w:rsidRDefault="00797354">
          <w:pPr>
            <w:pStyle w:val="TOC1"/>
            <w:numPr>
              <w:ilvl w:val="0"/>
              <w:numId w:val="14"/>
            </w:numPr>
            <w:tabs>
              <w:tab w:val="left" w:pos="1090"/>
              <w:tab w:val="right" w:leader="dot" w:pos="13574"/>
            </w:tabs>
            <w:ind w:left="1089" w:hanging="469"/>
          </w:pPr>
          <w:hyperlink w:anchor="_bookmark14" w:history="1">
            <w:r w:rsidR="00903B5C">
              <w:t>Transportation</w:t>
            </w:r>
            <w:r w:rsidR="00903B5C">
              <w:tab/>
              <w:t>300</w:t>
            </w:r>
          </w:hyperlink>
        </w:p>
        <w:p w14:paraId="58F3C872" w14:textId="77777777" w:rsidR="0046798B" w:rsidRDefault="00797354">
          <w:pPr>
            <w:pStyle w:val="TOC1"/>
            <w:numPr>
              <w:ilvl w:val="0"/>
              <w:numId w:val="14"/>
            </w:numPr>
            <w:tabs>
              <w:tab w:val="left" w:pos="1170"/>
              <w:tab w:val="right" w:leader="dot" w:pos="13574"/>
            </w:tabs>
            <w:ind w:left="1169" w:hanging="549"/>
          </w:pPr>
          <w:hyperlink w:anchor="_bookmark15" w:history="1">
            <w:r w:rsidR="00903B5C">
              <w:t>Regulatory</w:t>
            </w:r>
            <w:r w:rsidR="00903B5C">
              <w:rPr>
                <w:spacing w:val="-1"/>
              </w:rPr>
              <w:t xml:space="preserve"> </w:t>
            </w:r>
            <w:r w:rsidR="00903B5C">
              <w:t>Policy</w:t>
            </w:r>
            <w:r w:rsidR="00903B5C">
              <w:tab/>
              <w:t>307</w:t>
            </w:r>
          </w:hyperlink>
        </w:p>
      </w:sdtContent>
    </w:sdt>
    <w:p w14:paraId="1B5D92C3" w14:textId="77777777" w:rsidR="0046798B" w:rsidRDefault="0046798B">
      <w:pPr>
        <w:sectPr w:rsidR="0046798B">
          <w:pgSz w:w="15840" w:h="12240" w:orient="landscape"/>
          <w:pgMar w:top="1220" w:right="300" w:bottom="980" w:left="820" w:header="730" w:footer="787" w:gutter="0"/>
          <w:cols w:space="720"/>
        </w:sectPr>
      </w:pPr>
    </w:p>
    <w:p w14:paraId="6FD3F20B" w14:textId="77777777" w:rsidR="0046798B" w:rsidRDefault="00903B5C">
      <w:pPr>
        <w:spacing w:before="216"/>
        <w:ind w:left="4116"/>
        <w:rPr>
          <w:b/>
          <w:sz w:val="28"/>
        </w:rPr>
      </w:pPr>
      <w:r>
        <w:rPr>
          <w:b/>
          <w:sz w:val="28"/>
        </w:rPr>
        <w:lastRenderedPageBreak/>
        <w:t>Examples of Variables Included in Each Category</w:t>
      </w:r>
    </w:p>
    <w:p w14:paraId="30F97A78" w14:textId="77777777" w:rsidR="0046798B" w:rsidRDefault="0046798B">
      <w:pPr>
        <w:pStyle w:val="BodyText"/>
        <w:spacing w:before="4"/>
        <w:rPr>
          <w:b/>
          <w:sz w:val="24"/>
        </w:rPr>
      </w:pPr>
    </w:p>
    <w:p w14:paraId="6DDC2BC7" w14:textId="77777777" w:rsidR="0046798B" w:rsidRDefault="00903B5C">
      <w:pPr>
        <w:pStyle w:val="Heading1"/>
        <w:numPr>
          <w:ilvl w:val="0"/>
          <w:numId w:val="13"/>
        </w:numPr>
        <w:tabs>
          <w:tab w:val="left" w:pos="1340"/>
          <w:tab w:val="left" w:pos="1341"/>
        </w:tabs>
        <w:spacing w:before="1"/>
      </w:pPr>
      <w:r>
        <w:t>Demographics and Population</w:t>
      </w:r>
    </w:p>
    <w:p w14:paraId="3288577F" w14:textId="77777777" w:rsidR="0046798B" w:rsidRDefault="0046798B">
      <w:pPr>
        <w:pStyle w:val="BodyText"/>
        <w:spacing w:before="7"/>
        <w:rPr>
          <w:sz w:val="23"/>
        </w:rPr>
      </w:pPr>
    </w:p>
    <w:p w14:paraId="339173B0" w14:textId="77777777" w:rsidR="0046798B" w:rsidRDefault="00903B5C">
      <w:pPr>
        <w:pStyle w:val="Heading2"/>
        <w:rPr>
          <w:rFonts w:ascii="Symbol" w:hAnsi="Symbol"/>
        </w:rPr>
      </w:pPr>
      <w:r>
        <w:t xml:space="preserve">State population totals </w:t>
      </w:r>
      <w:r>
        <w:rPr>
          <w:rFonts w:ascii="Symbol" w:hAnsi="Symbol"/>
        </w:rPr>
        <w:t></w:t>
      </w:r>
      <w:r>
        <w:t xml:space="preserve"> population density </w:t>
      </w:r>
      <w:r>
        <w:rPr>
          <w:rFonts w:ascii="Symbol" w:hAnsi="Symbol"/>
        </w:rPr>
        <w:t></w:t>
      </w:r>
      <w:r>
        <w:t xml:space="preserve"> population of selected age groups (under 5 years old, 5–17 years old, 18–24 years old, etc.) </w:t>
      </w:r>
      <w:r>
        <w:rPr>
          <w:rFonts w:ascii="Symbol" w:hAnsi="Symbol"/>
        </w:rPr>
        <w:t></w:t>
      </w:r>
    </w:p>
    <w:p w14:paraId="6E0FE487" w14:textId="77777777" w:rsidR="0046798B" w:rsidRDefault="00903B5C">
      <w:pPr>
        <w:pStyle w:val="Heading2"/>
        <w:spacing w:before="1"/>
      </w:pPr>
      <w:r>
        <w:t xml:space="preserve">female population </w:t>
      </w:r>
      <w:r>
        <w:rPr>
          <w:rFonts w:ascii="Symbol" w:hAnsi="Symbol"/>
        </w:rPr>
        <w:t></w:t>
      </w:r>
      <w:r>
        <w:t xml:space="preserve"> male population </w:t>
      </w:r>
      <w:r>
        <w:rPr>
          <w:rFonts w:ascii="Symbol" w:hAnsi="Symbol"/>
        </w:rPr>
        <w:t></w:t>
      </w:r>
      <w:r>
        <w:t xml:space="preserve"> religion </w:t>
      </w:r>
      <w:r>
        <w:rPr>
          <w:rFonts w:ascii="Symbol" w:hAnsi="Symbol"/>
        </w:rPr>
        <w:t></w:t>
      </w:r>
      <w:r>
        <w:t xml:space="preserve"> race and ethnicity </w:t>
      </w:r>
      <w:r>
        <w:rPr>
          <w:rFonts w:ascii="Symbol" w:hAnsi="Symbol"/>
        </w:rPr>
        <w:t></w:t>
      </w:r>
      <w:r>
        <w:t xml:space="preserve"> foreign-born population </w:t>
      </w:r>
      <w:r>
        <w:rPr>
          <w:rFonts w:ascii="Symbol" w:hAnsi="Symbol"/>
        </w:rPr>
        <w:t></w:t>
      </w:r>
      <w:r>
        <w:t xml:space="preserve"> immigration policy</w:t>
      </w:r>
    </w:p>
    <w:p w14:paraId="72BEF4B8" w14:textId="77777777" w:rsidR="0046798B" w:rsidRDefault="0046798B">
      <w:pPr>
        <w:pStyle w:val="BodyText"/>
        <w:spacing w:before="1"/>
        <w:rPr>
          <w:sz w:val="24"/>
        </w:rPr>
      </w:pPr>
    </w:p>
    <w:p w14:paraId="22BF236B" w14:textId="77777777" w:rsidR="0046798B" w:rsidRDefault="00903B5C">
      <w:pPr>
        <w:pStyle w:val="Heading1"/>
        <w:numPr>
          <w:ilvl w:val="0"/>
          <w:numId w:val="13"/>
        </w:numPr>
        <w:tabs>
          <w:tab w:val="left" w:pos="1340"/>
          <w:tab w:val="left" w:pos="1341"/>
        </w:tabs>
        <w:spacing w:before="1"/>
      </w:pPr>
      <w:r>
        <w:t>Economic and Fiscal</w:t>
      </w:r>
      <w:r>
        <w:rPr>
          <w:spacing w:val="-1"/>
        </w:rPr>
        <w:t xml:space="preserve"> </w:t>
      </w:r>
      <w:r>
        <w:t>Policy</w:t>
      </w:r>
    </w:p>
    <w:p w14:paraId="19BE7AFE" w14:textId="77777777" w:rsidR="0046798B" w:rsidRDefault="0046798B">
      <w:pPr>
        <w:pStyle w:val="BodyText"/>
        <w:spacing w:before="7"/>
        <w:rPr>
          <w:sz w:val="23"/>
        </w:rPr>
      </w:pPr>
    </w:p>
    <w:p w14:paraId="3B8121D0" w14:textId="77777777" w:rsidR="0046798B" w:rsidRDefault="00903B5C">
      <w:pPr>
        <w:pStyle w:val="Heading2"/>
        <w:ind w:right="1139"/>
      </w:pPr>
      <w:r>
        <w:t xml:space="preserve">Personal income </w:t>
      </w:r>
      <w:r>
        <w:rPr>
          <w:rFonts w:ascii="Symbol" w:hAnsi="Symbol"/>
        </w:rPr>
        <w:t></w:t>
      </w:r>
      <w:r>
        <w:t xml:space="preserve"> state minimum wage </w:t>
      </w:r>
      <w:r>
        <w:rPr>
          <w:rFonts w:ascii="Symbol" w:hAnsi="Symbol"/>
        </w:rPr>
        <w:t></w:t>
      </w:r>
      <w:r>
        <w:t xml:space="preserve"> per capita income </w:t>
      </w:r>
      <w:r>
        <w:rPr>
          <w:rFonts w:ascii="Symbol" w:hAnsi="Symbol"/>
        </w:rPr>
        <w:t></w:t>
      </w:r>
      <w:r>
        <w:t xml:space="preserve"> state consumer price index </w:t>
      </w:r>
      <w:r>
        <w:rPr>
          <w:rFonts w:ascii="Symbol" w:hAnsi="Symbol"/>
        </w:rPr>
        <w:t></w:t>
      </w:r>
      <w:r>
        <w:t xml:space="preserve"> gross state product </w:t>
      </w:r>
      <w:r>
        <w:rPr>
          <w:rFonts w:ascii="Symbol" w:hAnsi="Symbol"/>
        </w:rPr>
        <w:t></w:t>
      </w:r>
      <w:r>
        <w:t xml:space="preserve"> total state debt </w:t>
      </w:r>
      <w:r>
        <w:rPr>
          <w:rFonts w:ascii="Symbol" w:hAnsi="Symbol"/>
        </w:rPr>
        <w:t></w:t>
      </w:r>
      <w:r>
        <w:t xml:space="preserve"> total state revenue </w:t>
      </w:r>
      <w:r>
        <w:rPr>
          <w:rFonts w:ascii="Symbol" w:hAnsi="Symbol"/>
        </w:rPr>
        <w:t></w:t>
      </w:r>
      <w:r>
        <w:t xml:space="preserve"> total state expenditures </w:t>
      </w:r>
      <w:r>
        <w:rPr>
          <w:rFonts w:ascii="Symbol" w:hAnsi="Symbol"/>
        </w:rPr>
        <w:t></w:t>
      </w:r>
      <w:r>
        <w:t xml:space="preserve"> budget surplus estimates </w:t>
      </w:r>
      <w:r>
        <w:rPr>
          <w:rFonts w:ascii="Symbol" w:hAnsi="Symbol"/>
        </w:rPr>
        <w:t></w:t>
      </w:r>
      <w:r>
        <w:t xml:space="preserve"> total debt outstanding as percent </w:t>
      </w:r>
      <w:r>
        <w:rPr>
          <w:spacing w:val="-3"/>
        </w:rPr>
        <w:t xml:space="preserve">of </w:t>
      </w:r>
      <w:r>
        <w:t xml:space="preserve">GDP </w:t>
      </w:r>
      <w:r>
        <w:rPr>
          <w:rFonts w:ascii="Symbol" w:hAnsi="Symbol"/>
        </w:rPr>
        <w:t></w:t>
      </w:r>
      <w:r>
        <w:t xml:space="preserve"> total revenue outstanding as percent of GDP </w:t>
      </w:r>
      <w:r>
        <w:rPr>
          <w:rFonts w:ascii="Symbol" w:hAnsi="Symbol"/>
        </w:rPr>
        <w:t></w:t>
      </w:r>
      <w:r>
        <w:t xml:space="preserve"> state tax capacity </w:t>
      </w:r>
      <w:r>
        <w:rPr>
          <w:rFonts w:ascii="Symbol" w:hAnsi="Symbol"/>
        </w:rPr>
        <w:t></w:t>
      </w:r>
      <w:r>
        <w:t xml:space="preserve"> state assets </w:t>
      </w:r>
      <w:r>
        <w:rPr>
          <w:rFonts w:ascii="Symbol" w:hAnsi="Symbol"/>
        </w:rPr>
        <w:t></w:t>
      </w:r>
      <w:r>
        <w:t xml:space="preserve"> state liabilities </w:t>
      </w:r>
      <w:r>
        <w:rPr>
          <w:rFonts w:ascii="Symbol" w:hAnsi="Symbol"/>
        </w:rPr>
        <w:t></w:t>
      </w:r>
      <w:r>
        <w:t xml:space="preserve"> fiscal condition index </w:t>
      </w:r>
      <w:r>
        <w:rPr>
          <w:rFonts w:ascii="Symbol" w:hAnsi="Symbol"/>
        </w:rPr>
        <w:t></w:t>
      </w:r>
      <w:r>
        <w:t xml:space="preserve"> tax credits </w:t>
      </w:r>
      <w:r>
        <w:rPr>
          <w:rFonts w:ascii="Symbol" w:hAnsi="Symbol"/>
        </w:rPr>
        <w:t></w:t>
      </w:r>
      <w:r>
        <w:t xml:space="preserve"> income and sales tax rates </w:t>
      </w:r>
      <w:r>
        <w:rPr>
          <w:rFonts w:ascii="Symbol" w:hAnsi="Symbol"/>
        </w:rPr>
        <w:t></w:t>
      </w:r>
      <w:r>
        <w:t xml:space="preserve"> women’s earnings as a percentage of men’s earnings </w:t>
      </w:r>
      <w:r>
        <w:rPr>
          <w:rFonts w:ascii="Symbol" w:hAnsi="Symbol"/>
        </w:rPr>
        <w:t></w:t>
      </w:r>
      <w:r>
        <w:t xml:space="preserve"> unemployment rate </w:t>
      </w:r>
      <w:r>
        <w:rPr>
          <w:rFonts w:ascii="Symbol" w:hAnsi="Symbol"/>
        </w:rPr>
        <w:t></w:t>
      </w:r>
      <w:r>
        <w:t xml:space="preserve"> median household income </w:t>
      </w:r>
      <w:r>
        <w:rPr>
          <w:rFonts w:ascii="Symbol" w:hAnsi="Symbol"/>
        </w:rPr>
        <w:t></w:t>
      </w:r>
      <w:r>
        <w:t xml:space="preserve"> lottery ticket sales </w:t>
      </w:r>
      <w:r>
        <w:rPr>
          <w:rFonts w:ascii="Symbol" w:hAnsi="Symbol"/>
        </w:rPr>
        <w:t></w:t>
      </w:r>
      <w:r>
        <w:t xml:space="preserve"> poverty</w:t>
      </w:r>
      <w:r>
        <w:rPr>
          <w:spacing w:val="-36"/>
        </w:rPr>
        <w:t xml:space="preserve"> </w:t>
      </w:r>
      <w:r>
        <w:t>rate</w:t>
      </w:r>
    </w:p>
    <w:p w14:paraId="63FB0399" w14:textId="77777777" w:rsidR="0046798B" w:rsidRDefault="00903B5C">
      <w:pPr>
        <w:pStyle w:val="Heading2"/>
        <w:numPr>
          <w:ilvl w:val="1"/>
          <w:numId w:val="13"/>
        </w:numPr>
        <w:tabs>
          <w:tab w:val="left" w:pos="1496"/>
        </w:tabs>
        <w:spacing w:before="2"/>
      </w:pPr>
      <w:r>
        <w:t xml:space="preserve">AFDC/TANF recipients </w:t>
      </w:r>
      <w:r>
        <w:rPr>
          <w:rFonts w:ascii="Symbol" w:hAnsi="Symbol"/>
        </w:rPr>
        <w:t></w:t>
      </w:r>
      <w:r>
        <w:t xml:space="preserve"> foodstamps/SNAP recipients </w:t>
      </w:r>
      <w:r>
        <w:rPr>
          <w:rFonts w:ascii="Symbol" w:hAnsi="Symbol"/>
        </w:rPr>
        <w:t></w:t>
      </w:r>
      <w:r>
        <w:t xml:space="preserve"> welfare</w:t>
      </w:r>
      <w:r>
        <w:rPr>
          <w:spacing w:val="-9"/>
        </w:rPr>
        <w:t xml:space="preserve"> </w:t>
      </w:r>
      <w:r>
        <w:t>spending</w:t>
      </w:r>
    </w:p>
    <w:p w14:paraId="2FC5F906" w14:textId="77777777" w:rsidR="0046798B" w:rsidRDefault="0046798B">
      <w:pPr>
        <w:pStyle w:val="BodyText"/>
        <w:spacing w:before="2"/>
        <w:rPr>
          <w:sz w:val="24"/>
        </w:rPr>
      </w:pPr>
    </w:p>
    <w:p w14:paraId="58EF18FF" w14:textId="77777777" w:rsidR="0046798B" w:rsidRDefault="00903B5C">
      <w:pPr>
        <w:pStyle w:val="Heading1"/>
        <w:numPr>
          <w:ilvl w:val="0"/>
          <w:numId w:val="13"/>
        </w:numPr>
        <w:tabs>
          <w:tab w:val="left" w:pos="1340"/>
          <w:tab w:val="left" w:pos="1341"/>
        </w:tabs>
      </w:pPr>
      <w:r>
        <w:t>Government</w:t>
      </w:r>
    </w:p>
    <w:p w14:paraId="679EC2DB" w14:textId="77777777" w:rsidR="0046798B" w:rsidRDefault="0046798B">
      <w:pPr>
        <w:pStyle w:val="BodyText"/>
        <w:spacing w:before="8"/>
        <w:rPr>
          <w:sz w:val="23"/>
        </w:rPr>
      </w:pPr>
    </w:p>
    <w:p w14:paraId="50A62BB1" w14:textId="77777777" w:rsidR="0046798B" w:rsidRDefault="00903B5C">
      <w:pPr>
        <w:pStyle w:val="Heading2"/>
        <w:ind w:right="1255"/>
      </w:pPr>
      <w:r>
        <w:t xml:space="preserve">State term limits </w:t>
      </w:r>
      <w:r>
        <w:rPr>
          <w:rFonts w:ascii="Symbol" w:hAnsi="Symbol"/>
        </w:rPr>
        <w:t></w:t>
      </w:r>
      <w:r>
        <w:t xml:space="preserve"> legislative session length </w:t>
      </w:r>
      <w:r>
        <w:rPr>
          <w:rFonts w:ascii="Symbol" w:hAnsi="Symbol"/>
        </w:rPr>
        <w:t></w:t>
      </w:r>
      <w:r>
        <w:t xml:space="preserve"> procedures for administrative regulations </w:t>
      </w:r>
      <w:r>
        <w:rPr>
          <w:rFonts w:ascii="Symbol" w:hAnsi="Symbol"/>
        </w:rPr>
        <w:t></w:t>
      </w:r>
      <w:r>
        <w:t xml:space="preserve"> previous governors and their experience </w:t>
      </w:r>
      <w:r>
        <w:rPr>
          <w:rFonts w:ascii="Symbol" w:hAnsi="Symbol"/>
        </w:rPr>
        <w:t></w:t>
      </w:r>
      <w:r>
        <w:t xml:space="preserve"> party of governor </w:t>
      </w:r>
      <w:r>
        <w:rPr>
          <w:rFonts w:ascii="Symbol" w:hAnsi="Symbol"/>
        </w:rPr>
        <w:t></w:t>
      </w:r>
      <w:r>
        <w:t xml:space="preserve"> female elected officials </w:t>
      </w:r>
      <w:r>
        <w:rPr>
          <w:rFonts w:ascii="Symbol" w:hAnsi="Symbol"/>
        </w:rPr>
        <w:t></w:t>
      </w:r>
      <w:r>
        <w:t xml:space="preserve"> number of local governments </w:t>
      </w:r>
      <w:r>
        <w:rPr>
          <w:rFonts w:ascii="Symbol" w:hAnsi="Symbol"/>
        </w:rPr>
        <w:t></w:t>
      </w:r>
      <w:r>
        <w:t xml:space="preserve"> state chamber ideological measures (medians, distance between party medians in each chamber, party heterogeneity, etc.) </w:t>
      </w:r>
      <w:r>
        <w:rPr>
          <w:rFonts w:ascii="Symbol" w:hAnsi="Symbol"/>
        </w:rPr>
        <w:t></w:t>
      </w:r>
      <w:r>
        <w:t xml:space="preserve"> legislative seats held by each party </w:t>
      </w:r>
      <w:r>
        <w:rPr>
          <w:rFonts w:ascii="Symbol" w:hAnsi="Symbol"/>
        </w:rPr>
        <w:t></w:t>
      </w:r>
      <w:r>
        <w:t xml:space="preserve"> state legislative professionalism </w:t>
      </w:r>
      <w:r>
        <w:rPr>
          <w:rFonts w:ascii="Symbol" w:hAnsi="Symbol"/>
        </w:rPr>
        <w:t></w:t>
      </w:r>
      <w:r>
        <w:t xml:space="preserve"> state high court professionalism </w:t>
      </w:r>
      <w:r>
        <w:rPr>
          <w:rFonts w:ascii="Symbol" w:hAnsi="Symbol"/>
        </w:rPr>
        <w:t></w:t>
      </w:r>
      <w:r>
        <w:t xml:space="preserve"> corruption convictions </w:t>
      </w:r>
      <w:r>
        <w:rPr>
          <w:rFonts w:ascii="Symbol" w:hAnsi="Symbol"/>
        </w:rPr>
        <w:t></w:t>
      </w:r>
      <w:r>
        <w:t xml:space="preserve"> year of statehood </w:t>
      </w:r>
      <w:r>
        <w:rPr>
          <w:rFonts w:ascii="Symbol" w:hAnsi="Symbol"/>
        </w:rPr>
        <w:t></w:t>
      </w:r>
      <w:r>
        <w:t xml:space="preserve"> various “freedom” indices: economic freedom, personal freedom, gun control freedom, alcohol freedom, civil liberties freedom, labor market freedom, etc. </w:t>
      </w:r>
      <w:r>
        <w:rPr>
          <w:rFonts w:ascii="Symbol" w:hAnsi="Symbol"/>
        </w:rPr>
        <w:t></w:t>
      </w:r>
      <w:r>
        <w:t xml:space="preserve"> membership in interstate compacts</w:t>
      </w:r>
    </w:p>
    <w:p w14:paraId="11E700DE" w14:textId="77777777" w:rsidR="0046798B" w:rsidRDefault="0046798B">
      <w:pPr>
        <w:pStyle w:val="BodyText"/>
        <w:spacing w:before="4"/>
        <w:rPr>
          <w:sz w:val="24"/>
        </w:rPr>
      </w:pPr>
    </w:p>
    <w:p w14:paraId="6618F6C6" w14:textId="77777777" w:rsidR="0046798B" w:rsidRDefault="00903B5C">
      <w:pPr>
        <w:pStyle w:val="Heading1"/>
        <w:numPr>
          <w:ilvl w:val="0"/>
          <w:numId w:val="13"/>
        </w:numPr>
        <w:tabs>
          <w:tab w:val="left" w:pos="1340"/>
          <w:tab w:val="left" w:pos="1341"/>
        </w:tabs>
        <w:spacing w:before="1"/>
      </w:pPr>
      <w:r>
        <w:t>Elections</w:t>
      </w:r>
    </w:p>
    <w:p w14:paraId="66BFF79F" w14:textId="77777777" w:rsidR="0046798B" w:rsidRDefault="0046798B">
      <w:pPr>
        <w:pStyle w:val="BodyText"/>
        <w:spacing w:before="7"/>
        <w:rPr>
          <w:sz w:val="23"/>
        </w:rPr>
      </w:pPr>
    </w:p>
    <w:p w14:paraId="6D8B8BF7" w14:textId="77777777" w:rsidR="0046798B" w:rsidRDefault="00903B5C">
      <w:pPr>
        <w:pStyle w:val="Heading2"/>
        <w:ind w:right="2073"/>
        <w:jc w:val="both"/>
      </w:pPr>
      <w:r>
        <w:t xml:space="preserve">Voter ID and registration requirements </w:t>
      </w:r>
      <w:r>
        <w:rPr>
          <w:rFonts w:ascii="Symbol" w:hAnsi="Symbol"/>
        </w:rPr>
        <w:t></w:t>
      </w:r>
      <w:r>
        <w:t xml:space="preserve"> voting-eligible population turnout rate </w:t>
      </w:r>
      <w:r>
        <w:rPr>
          <w:rFonts w:ascii="Symbol" w:hAnsi="Symbol"/>
        </w:rPr>
        <w:t></w:t>
      </w:r>
      <w:r>
        <w:t xml:space="preserve"> election years </w:t>
      </w:r>
      <w:r>
        <w:rPr>
          <w:rFonts w:ascii="Symbol" w:hAnsi="Symbol"/>
        </w:rPr>
        <w:t></w:t>
      </w:r>
      <w:r>
        <w:t xml:space="preserve"> proportion of democratic state representatives and senators </w:t>
      </w:r>
      <w:r>
        <w:rPr>
          <w:rFonts w:ascii="Symbol" w:hAnsi="Symbol"/>
        </w:rPr>
        <w:t></w:t>
      </w:r>
      <w:r>
        <w:t xml:space="preserve"> proportion of two-party vote for Democratic gubernatorial candidate </w:t>
      </w:r>
      <w:r>
        <w:rPr>
          <w:rFonts w:ascii="Symbol" w:hAnsi="Symbol"/>
        </w:rPr>
        <w:t></w:t>
      </w:r>
      <w:r>
        <w:t xml:space="preserve"> measures of state electoral competitiveness </w:t>
      </w:r>
      <w:r>
        <w:rPr>
          <w:rFonts w:ascii="Symbol" w:hAnsi="Symbol"/>
        </w:rPr>
        <w:t></w:t>
      </w:r>
      <w:r>
        <w:t xml:space="preserve"> campaign finance regulations </w:t>
      </w:r>
      <w:r>
        <w:rPr>
          <w:rFonts w:ascii="Symbol" w:hAnsi="Symbol"/>
        </w:rPr>
        <w:t></w:t>
      </w:r>
      <w:r>
        <w:t xml:space="preserve"> interest groups by sector</w:t>
      </w:r>
    </w:p>
    <w:p w14:paraId="1D857094" w14:textId="77777777" w:rsidR="0046798B" w:rsidRDefault="0046798B">
      <w:pPr>
        <w:pStyle w:val="BodyText"/>
        <w:spacing w:before="3"/>
        <w:rPr>
          <w:sz w:val="24"/>
        </w:rPr>
      </w:pPr>
    </w:p>
    <w:p w14:paraId="233C9C55" w14:textId="77777777" w:rsidR="0046798B" w:rsidRDefault="00903B5C">
      <w:pPr>
        <w:pStyle w:val="Heading1"/>
        <w:numPr>
          <w:ilvl w:val="0"/>
          <w:numId w:val="13"/>
        </w:numPr>
        <w:tabs>
          <w:tab w:val="left" w:pos="1340"/>
          <w:tab w:val="left" w:pos="1341"/>
        </w:tabs>
      </w:pPr>
      <w:r>
        <w:t>Policy Scores and Public</w:t>
      </w:r>
      <w:r>
        <w:rPr>
          <w:spacing w:val="-2"/>
        </w:rPr>
        <w:t xml:space="preserve"> </w:t>
      </w:r>
      <w:r>
        <w:t>Opinion</w:t>
      </w:r>
    </w:p>
    <w:p w14:paraId="6746360E" w14:textId="77777777" w:rsidR="0046798B" w:rsidRDefault="0046798B">
      <w:pPr>
        <w:pStyle w:val="BodyText"/>
        <w:spacing w:before="1"/>
        <w:rPr>
          <w:sz w:val="24"/>
        </w:rPr>
      </w:pPr>
    </w:p>
    <w:p w14:paraId="0B949460" w14:textId="77777777" w:rsidR="0046798B" w:rsidRDefault="00903B5C">
      <w:pPr>
        <w:pStyle w:val="Heading2"/>
        <w:ind w:right="1974"/>
      </w:pPr>
      <w:r>
        <w:t xml:space="preserve">Mean liberalism scores (economic and social) </w:t>
      </w:r>
      <w:r>
        <w:rPr>
          <w:rFonts w:ascii="Symbol" w:hAnsi="Symbol"/>
        </w:rPr>
        <w:t></w:t>
      </w:r>
      <w:r>
        <w:t xml:space="preserve"> state policy liberalism scores </w:t>
      </w:r>
      <w:r>
        <w:rPr>
          <w:rFonts w:ascii="Symbol" w:hAnsi="Symbol"/>
        </w:rPr>
        <w:t></w:t>
      </w:r>
      <w:r>
        <w:t xml:space="preserve"> policy innovativeness scores </w:t>
      </w:r>
      <w:r>
        <w:rPr>
          <w:rFonts w:ascii="Symbol" w:hAnsi="Symbol"/>
        </w:rPr>
        <w:t></w:t>
      </w:r>
      <w:r>
        <w:t xml:space="preserve"> ideology and party identification scores </w:t>
      </w:r>
      <w:r>
        <w:rPr>
          <w:rFonts w:ascii="Symbol" w:hAnsi="Symbol"/>
        </w:rPr>
        <w:t></w:t>
      </w:r>
      <w:r>
        <w:t xml:space="preserve"> policy mood </w:t>
      </w:r>
      <w:r>
        <w:rPr>
          <w:rFonts w:ascii="Symbol" w:hAnsi="Symbol"/>
        </w:rPr>
        <w:t></w:t>
      </w:r>
      <w:r>
        <w:t xml:space="preserve"> political knowledge </w:t>
      </w:r>
      <w:r>
        <w:rPr>
          <w:rFonts w:ascii="Symbol" w:hAnsi="Symbol"/>
        </w:rPr>
        <w:t></w:t>
      </w:r>
      <w:r>
        <w:t xml:space="preserve"> social capital</w:t>
      </w:r>
    </w:p>
    <w:p w14:paraId="5E0CDFD2" w14:textId="77777777" w:rsidR="0046798B" w:rsidRDefault="0046798B">
      <w:pPr>
        <w:sectPr w:rsidR="0046798B">
          <w:pgSz w:w="15840" w:h="12240" w:orient="landscape"/>
          <w:pgMar w:top="1220" w:right="300" w:bottom="980" w:left="820" w:header="730" w:footer="787" w:gutter="0"/>
          <w:cols w:space="720"/>
        </w:sectPr>
      </w:pPr>
    </w:p>
    <w:p w14:paraId="2EF356ED" w14:textId="77777777" w:rsidR="0046798B" w:rsidRDefault="0046798B">
      <w:pPr>
        <w:pStyle w:val="BodyText"/>
        <w:spacing w:before="2"/>
        <w:rPr>
          <w:sz w:val="11"/>
        </w:rPr>
      </w:pPr>
    </w:p>
    <w:p w14:paraId="485AA18E" w14:textId="77777777" w:rsidR="0046798B" w:rsidRDefault="00903B5C">
      <w:pPr>
        <w:pStyle w:val="Heading1"/>
        <w:numPr>
          <w:ilvl w:val="0"/>
          <w:numId w:val="13"/>
        </w:numPr>
        <w:tabs>
          <w:tab w:val="left" w:pos="1340"/>
          <w:tab w:val="left" w:pos="1341"/>
        </w:tabs>
        <w:spacing w:before="90"/>
      </w:pPr>
      <w:r>
        <w:t>Criminal Justice and the Legal</w:t>
      </w:r>
      <w:r>
        <w:rPr>
          <w:spacing w:val="1"/>
        </w:rPr>
        <w:t xml:space="preserve"> </w:t>
      </w:r>
      <w:r>
        <w:t>System</w:t>
      </w:r>
    </w:p>
    <w:p w14:paraId="57F4AE29" w14:textId="77777777" w:rsidR="0046798B" w:rsidRDefault="0046798B">
      <w:pPr>
        <w:pStyle w:val="BodyText"/>
        <w:rPr>
          <w:sz w:val="21"/>
        </w:rPr>
      </w:pPr>
    </w:p>
    <w:p w14:paraId="60CA321C" w14:textId="77777777" w:rsidR="0046798B" w:rsidRDefault="00903B5C">
      <w:pPr>
        <w:pStyle w:val="Heading2"/>
        <w:ind w:right="1161"/>
      </w:pPr>
      <w:r>
        <w:t xml:space="preserve">Domestic violence laws </w:t>
      </w:r>
      <w:r>
        <w:rPr>
          <w:rFonts w:ascii="Symbol" w:hAnsi="Symbol"/>
        </w:rPr>
        <w:t></w:t>
      </w:r>
      <w:r>
        <w:t xml:space="preserve"> treatment of inmates </w:t>
      </w:r>
      <w:r>
        <w:rPr>
          <w:rFonts w:ascii="Symbol" w:hAnsi="Symbol"/>
        </w:rPr>
        <w:t></w:t>
      </w:r>
      <w:r>
        <w:t xml:space="preserve"> prohibition of harassment/stalking </w:t>
      </w:r>
      <w:r>
        <w:rPr>
          <w:rFonts w:ascii="Symbol" w:hAnsi="Symbol"/>
        </w:rPr>
        <w:t></w:t>
      </w:r>
      <w:r>
        <w:t xml:space="preserve"> procedures for and resolution of private disputes and civil cases </w:t>
      </w:r>
      <w:r>
        <w:rPr>
          <w:rFonts w:ascii="Symbol" w:hAnsi="Symbol"/>
        </w:rPr>
        <w:t></w:t>
      </w:r>
      <w:r>
        <w:t xml:space="preserve"> DNA testing </w:t>
      </w:r>
      <w:r>
        <w:rPr>
          <w:rFonts w:ascii="Symbol" w:hAnsi="Symbol"/>
        </w:rPr>
        <w:t></w:t>
      </w:r>
      <w:r>
        <w:t xml:space="preserve"> identity theft </w:t>
      </w:r>
      <w:r>
        <w:rPr>
          <w:rFonts w:ascii="Symbol" w:hAnsi="Symbol"/>
        </w:rPr>
        <w:t></w:t>
      </w:r>
      <w:r>
        <w:t xml:space="preserve"> death penalty reform </w:t>
      </w:r>
      <w:r>
        <w:rPr>
          <w:rFonts w:ascii="Symbol" w:hAnsi="Symbol"/>
        </w:rPr>
        <w:t></w:t>
      </w:r>
      <w:r>
        <w:t xml:space="preserve"> motor vehicle theft rate </w:t>
      </w:r>
      <w:r>
        <w:rPr>
          <w:rFonts w:ascii="Symbol" w:hAnsi="Symbol"/>
        </w:rPr>
        <w:t></w:t>
      </w:r>
      <w:r>
        <w:t xml:space="preserve"> property crime rate </w:t>
      </w:r>
      <w:r>
        <w:rPr>
          <w:rFonts w:ascii="Symbol" w:hAnsi="Symbol"/>
        </w:rPr>
        <w:t></w:t>
      </w:r>
      <w:r>
        <w:t xml:space="preserve"> violent crime rate </w:t>
      </w:r>
      <w:r>
        <w:rPr>
          <w:rFonts w:ascii="Symbol" w:hAnsi="Symbol"/>
        </w:rPr>
        <w:t></w:t>
      </w:r>
      <w:r>
        <w:t xml:space="preserve"> gun background checks </w:t>
      </w:r>
      <w:r>
        <w:rPr>
          <w:rFonts w:ascii="Symbol" w:hAnsi="Symbol"/>
        </w:rPr>
        <w:t></w:t>
      </w:r>
      <w:r>
        <w:t xml:space="preserve"> marriage license requirements </w:t>
      </w:r>
      <w:r>
        <w:rPr>
          <w:rFonts w:ascii="Symbol" w:hAnsi="Symbol"/>
        </w:rPr>
        <w:t></w:t>
      </w:r>
      <w:r>
        <w:t xml:space="preserve"> child custody and child support laws </w:t>
      </w:r>
      <w:r>
        <w:rPr>
          <w:rFonts w:ascii="Symbol" w:hAnsi="Symbol"/>
        </w:rPr>
        <w:t></w:t>
      </w:r>
      <w:r>
        <w:t xml:space="preserve"> no-fault divorce</w:t>
      </w:r>
    </w:p>
    <w:p w14:paraId="47F1467F" w14:textId="77777777" w:rsidR="0046798B" w:rsidRDefault="0046798B">
      <w:pPr>
        <w:pStyle w:val="BodyText"/>
        <w:spacing w:before="3"/>
        <w:rPr>
          <w:sz w:val="24"/>
        </w:rPr>
      </w:pPr>
    </w:p>
    <w:p w14:paraId="0E2A4650" w14:textId="77777777" w:rsidR="0046798B" w:rsidRDefault="00903B5C">
      <w:pPr>
        <w:pStyle w:val="Heading1"/>
        <w:numPr>
          <w:ilvl w:val="0"/>
          <w:numId w:val="13"/>
        </w:numPr>
        <w:tabs>
          <w:tab w:val="left" w:pos="1340"/>
          <w:tab w:val="left" w:pos="1341"/>
        </w:tabs>
        <w:spacing w:before="1"/>
      </w:pPr>
      <w:r>
        <w:t>Education</w:t>
      </w:r>
    </w:p>
    <w:p w14:paraId="06D82C2E" w14:textId="77777777" w:rsidR="0046798B" w:rsidRDefault="0046798B">
      <w:pPr>
        <w:pStyle w:val="BodyText"/>
        <w:spacing w:before="7"/>
        <w:rPr>
          <w:sz w:val="23"/>
        </w:rPr>
      </w:pPr>
    </w:p>
    <w:p w14:paraId="2E238E45" w14:textId="77777777" w:rsidR="0046798B" w:rsidRDefault="00903B5C">
      <w:pPr>
        <w:pStyle w:val="Heading2"/>
        <w:ind w:right="1345"/>
      </w:pPr>
      <w:r>
        <w:t xml:space="preserve">College placement exams </w:t>
      </w:r>
      <w:r>
        <w:rPr>
          <w:rFonts w:ascii="Symbol" w:hAnsi="Symbol"/>
        </w:rPr>
        <w:t></w:t>
      </w:r>
      <w:r>
        <w:t xml:space="preserve"> home-schooling policies </w:t>
      </w:r>
      <w:r>
        <w:rPr>
          <w:rFonts w:ascii="Symbol" w:hAnsi="Symbol"/>
        </w:rPr>
        <w:t></w:t>
      </w:r>
      <w:r>
        <w:t xml:space="preserve"> teacher certification </w:t>
      </w:r>
      <w:r>
        <w:rPr>
          <w:rFonts w:ascii="Symbol" w:hAnsi="Symbol"/>
        </w:rPr>
        <w:t></w:t>
      </w:r>
      <w:r>
        <w:t xml:space="preserve"> regulation of private schools </w:t>
      </w:r>
      <w:r>
        <w:rPr>
          <w:rFonts w:ascii="Symbol" w:hAnsi="Symbol"/>
        </w:rPr>
        <w:t></w:t>
      </w:r>
      <w:r>
        <w:t xml:space="preserve"> state education spending </w:t>
      </w:r>
      <w:r>
        <w:rPr>
          <w:rFonts w:ascii="Symbol" w:hAnsi="Symbol"/>
        </w:rPr>
        <w:t></w:t>
      </w:r>
      <w:r>
        <w:t xml:space="preserve"> percent of state population with a high school diploma </w:t>
      </w:r>
      <w:r>
        <w:rPr>
          <w:rFonts w:ascii="Symbol" w:hAnsi="Symbol"/>
        </w:rPr>
        <w:t></w:t>
      </w:r>
      <w:r>
        <w:t xml:space="preserve"> average school attendance rate </w:t>
      </w:r>
      <w:r>
        <w:rPr>
          <w:rFonts w:ascii="Symbol" w:hAnsi="Symbol"/>
        </w:rPr>
        <w:t></w:t>
      </w:r>
      <w:r>
        <w:t xml:space="preserve"> percent dropout rate </w:t>
      </w:r>
      <w:r>
        <w:rPr>
          <w:rFonts w:ascii="Symbol" w:hAnsi="Symbol"/>
        </w:rPr>
        <w:t></w:t>
      </w:r>
      <w:r>
        <w:t xml:space="preserve"> instruction expenses per student </w:t>
      </w:r>
      <w:r>
        <w:rPr>
          <w:rFonts w:ascii="Symbol" w:hAnsi="Symbol"/>
        </w:rPr>
        <w:t></w:t>
      </w:r>
      <w:r>
        <w:t xml:space="preserve"> pupil to teacher ratio </w:t>
      </w:r>
      <w:r>
        <w:rPr>
          <w:rFonts w:ascii="Symbol" w:hAnsi="Symbol"/>
        </w:rPr>
        <w:t></w:t>
      </w:r>
      <w:r>
        <w:t xml:space="preserve"> average tuition rates </w:t>
      </w:r>
      <w:r>
        <w:rPr>
          <w:rFonts w:ascii="Symbol" w:hAnsi="Symbol"/>
        </w:rPr>
        <w:t></w:t>
      </w:r>
      <w:r>
        <w:t xml:space="preserve"> fourth grade math and reading scores</w:t>
      </w:r>
    </w:p>
    <w:p w14:paraId="2515B154" w14:textId="77777777" w:rsidR="0046798B" w:rsidRDefault="0046798B">
      <w:pPr>
        <w:pStyle w:val="BodyText"/>
        <w:spacing w:before="3"/>
        <w:rPr>
          <w:sz w:val="24"/>
        </w:rPr>
      </w:pPr>
    </w:p>
    <w:p w14:paraId="4C40A933" w14:textId="77777777" w:rsidR="0046798B" w:rsidRDefault="00903B5C">
      <w:pPr>
        <w:pStyle w:val="Heading1"/>
        <w:numPr>
          <w:ilvl w:val="0"/>
          <w:numId w:val="13"/>
        </w:numPr>
        <w:tabs>
          <w:tab w:val="left" w:pos="1340"/>
          <w:tab w:val="left" w:pos="1341"/>
        </w:tabs>
      </w:pPr>
      <w:r>
        <w:t>Healthcare and Health</w:t>
      </w:r>
      <w:r>
        <w:rPr>
          <w:spacing w:val="-2"/>
        </w:rPr>
        <w:t xml:space="preserve"> </w:t>
      </w:r>
      <w:r>
        <w:t>Insurance</w:t>
      </w:r>
    </w:p>
    <w:p w14:paraId="67A7E084" w14:textId="77777777" w:rsidR="0046798B" w:rsidRDefault="0046798B">
      <w:pPr>
        <w:pStyle w:val="BodyText"/>
        <w:spacing w:before="7"/>
        <w:rPr>
          <w:sz w:val="23"/>
        </w:rPr>
      </w:pPr>
    </w:p>
    <w:p w14:paraId="2E5D23BC" w14:textId="77777777" w:rsidR="0046798B" w:rsidRDefault="00903B5C">
      <w:pPr>
        <w:pStyle w:val="Heading2"/>
        <w:ind w:right="1622"/>
      </w:pPr>
      <w:r>
        <w:t xml:space="preserve">Rights for the terminally ill </w:t>
      </w:r>
      <w:r>
        <w:rPr>
          <w:rFonts w:ascii="Symbol" w:hAnsi="Symbol"/>
        </w:rPr>
        <w:t></w:t>
      </w:r>
      <w:r>
        <w:t xml:space="preserve"> health insurance benefit mandates </w:t>
      </w:r>
      <w:r>
        <w:rPr>
          <w:rFonts w:ascii="Symbol" w:hAnsi="Symbol"/>
        </w:rPr>
        <w:t></w:t>
      </w:r>
      <w:r>
        <w:t xml:space="preserve"> health insurance mandated coverage for dependents </w:t>
      </w:r>
      <w:r>
        <w:rPr>
          <w:rFonts w:ascii="Symbol" w:hAnsi="Symbol"/>
        </w:rPr>
        <w:t></w:t>
      </w:r>
      <w:r>
        <w:t xml:space="preserve"> newborn screening </w:t>
      </w:r>
      <w:r>
        <w:rPr>
          <w:rFonts w:ascii="Symbol" w:hAnsi="Symbol"/>
        </w:rPr>
        <w:t></w:t>
      </w:r>
      <w:r>
        <w:t xml:space="preserve"> coverage for seniors’ prescription drugs </w:t>
      </w:r>
      <w:r>
        <w:rPr>
          <w:rFonts w:ascii="Symbol" w:hAnsi="Symbol"/>
        </w:rPr>
        <w:t></w:t>
      </w:r>
      <w:r>
        <w:t xml:space="preserve"> total state population with government insurance </w:t>
      </w:r>
      <w:r>
        <w:rPr>
          <w:rFonts w:ascii="Symbol" w:hAnsi="Symbol"/>
        </w:rPr>
        <w:t></w:t>
      </w:r>
      <w:r>
        <w:t xml:space="preserve"> health spending per capita </w:t>
      </w:r>
      <w:r>
        <w:rPr>
          <w:rFonts w:ascii="Symbol" w:hAnsi="Symbol"/>
        </w:rPr>
        <w:t></w:t>
      </w:r>
      <w:r>
        <w:t xml:space="preserve"> infant mortality rate </w:t>
      </w:r>
      <w:r>
        <w:rPr>
          <w:rFonts w:ascii="Symbol" w:hAnsi="Symbol"/>
        </w:rPr>
        <w:t></w:t>
      </w:r>
      <w:r>
        <w:t xml:space="preserve"> Medicaid enrollment</w:t>
      </w:r>
    </w:p>
    <w:p w14:paraId="4630BFD5" w14:textId="77777777" w:rsidR="0046798B" w:rsidRDefault="0046798B">
      <w:pPr>
        <w:pStyle w:val="BodyText"/>
        <w:spacing w:before="3"/>
        <w:rPr>
          <w:sz w:val="24"/>
        </w:rPr>
      </w:pPr>
    </w:p>
    <w:p w14:paraId="573C34BB" w14:textId="77777777" w:rsidR="0046798B" w:rsidRDefault="00903B5C">
      <w:pPr>
        <w:pStyle w:val="Heading1"/>
        <w:numPr>
          <w:ilvl w:val="0"/>
          <w:numId w:val="13"/>
        </w:numPr>
        <w:tabs>
          <w:tab w:val="left" w:pos="1340"/>
          <w:tab w:val="left" w:pos="1341"/>
        </w:tabs>
      </w:pPr>
      <w:r>
        <w:t>Welfare</w:t>
      </w:r>
      <w:r>
        <w:rPr>
          <w:spacing w:val="-3"/>
        </w:rPr>
        <w:t xml:space="preserve"> </w:t>
      </w:r>
      <w:r>
        <w:t>Policy</w:t>
      </w:r>
    </w:p>
    <w:p w14:paraId="3BBFC86B" w14:textId="77777777" w:rsidR="0046798B" w:rsidRDefault="0046798B">
      <w:pPr>
        <w:pStyle w:val="BodyText"/>
        <w:spacing w:before="2"/>
        <w:rPr>
          <w:sz w:val="24"/>
        </w:rPr>
      </w:pPr>
    </w:p>
    <w:p w14:paraId="47788C95" w14:textId="77777777" w:rsidR="0046798B" w:rsidRDefault="00903B5C">
      <w:pPr>
        <w:pStyle w:val="Heading2"/>
      </w:pPr>
      <w:r>
        <w:t xml:space="preserve">State adoption of Medicaid program </w:t>
      </w:r>
      <w:r>
        <w:rPr>
          <w:rFonts w:ascii="Symbol" w:hAnsi="Symbol"/>
        </w:rPr>
        <w:t></w:t>
      </w:r>
      <w:r>
        <w:t xml:space="preserve"> CHIP eligibility levels </w:t>
      </w:r>
      <w:r>
        <w:rPr>
          <w:rFonts w:ascii="Symbol" w:hAnsi="Symbol"/>
        </w:rPr>
        <w:t></w:t>
      </w:r>
      <w:r>
        <w:t xml:space="preserve"> AFDC benefits for average family </w:t>
      </w:r>
      <w:r>
        <w:rPr>
          <w:rFonts w:ascii="Symbol" w:hAnsi="Symbol"/>
        </w:rPr>
        <w:t></w:t>
      </w:r>
      <w:r>
        <w:t xml:space="preserve"> TANF eligibility and benefits</w:t>
      </w:r>
    </w:p>
    <w:p w14:paraId="76B6168E" w14:textId="77777777" w:rsidR="0046798B" w:rsidRDefault="0046798B">
      <w:pPr>
        <w:pStyle w:val="BodyText"/>
        <w:spacing w:before="1"/>
        <w:rPr>
          <w:sz w:val="24"/>
        </w:rPr>
      </w:pPr>
    </w:p>
    <w:p w14:paraId="428C2B0A" w14:textId="77777777" w:rsidR="0046798B" w:rsidRDefault="00903B5C">
      <w:pPr>
        <w:pStyle w:val="Heading1"/>
        <w:numPr>
          <w:ilvl w:val="0"/>
          <w:numId w:val="13"/>
        </w:numPr>
        <w:tabs>
          <w:tab w:val="left" w:pos="1340"/>
          <w:tab w:val="left" w:pos="1341"/>
        </w:tabs>
        <w:spacing w:before="1"/>
      </w:pPr>
      <w:r>
        <w:t>Rights and Anti-Discrimination Protections</w:t>
      </w:r>
    </w:p>
    <w:p w14:paraId="165BF660" w14:textId="77777777" w:rsidR="0046798B" w:rsidRDefault="0046798B">
      <w:pPr>
        <w:pStyle w:val="BodyText"/>
        <w:spacing w:before="7"/>
        <w:rPr>
          <w:sz w:val="23"/>
        </w:rPr>
      </w:pPr>
    </w:p>
    <w:p w14:paraId="61078F40" w14:textId="77777777" w:rsidR="0046798B" w:rsidRDefault="00903B5C">
      <w:pPr>
        <w:pStyle w:val="Heading2"/>
        <w:ind w:right="1248"/>
      </w:pPr>
      <w:r>
        <w:t xml:space="preserve">Law prohibiting hiring discrimination on the basis of gender </w:t>
      </w:r>
      <w:r>
        <w:rPr>
          <w:rFonts w:ascii="Symbol" w:hAnsi="Symbol"/>
        </w:rPr>
        <w:t></w:t>
      </w:r>
      <w:r>
        <w:t xml:space="preserve"> Equal Rights Amendment ratified </w:t>
      </w:r>
      <w:r>
        <w:rPr>
          <w:rFonts w:ascii="Symbol" w:hAnsi="Symbol"/>
        </w:rPr>
        <w:t></w:t>
      </w:r>
      <w:r>
        <w:t xml:space="preserve"> abortion and contraception policies (access, insurance coverage, parental consent, TRAP laws, fetal personhood, etc.) </w:t>
      </w:r>
      <w:r>
        <w:rPr>
          <w:rFonts w:ascii="Symbol" w:hAnsi="Symbol"/>
        </w:rPr>
        <w:t></w:t>
      </w:r>
      <w:r>
        <w:t xml:space="preserve"> laws banning hate crimes </w:t>
      </w:r>
      <w:r>
        <w:rPr>
          <w:rFonts w:ascii="Symbol" w:hAnsi="Symbol"/>
        </w:rPr>
        <w:t></w:t>
      </w:r>
      <w:r>
        <w:t xml:space="preserve"> same-sex marriage </w:t>
      </w:r>
      <w:r>
        <w:rPr>
          <w:rFonts w:ascii="Symbol" w:hAnsi="Symbol"/>
        </w:rPr>
        <w:t></w:t>
      </w:r>
      <w:r>
        <w:t xml:space="preserve"> laws prohibiting discrimination in employment, housing, public accommodations </w:t>
      </w:r>
      <w:r>
        <w:rPr>
          <w:rFonts w:ascii="Symbol" w:hAnsi="Symbol"/>
        </w:rPr>
        <w:t></w:t>
      </w:r>
      <w:r>
        <w:t xml:space="preserve"> fair housing </w:t>
      </w:r>
      <w:r>
        <w:rPr>
          <w:rFonts w:ascii="Symbol" w:hAnsi="Symbol"/>
        </w:rPr>
        <w:t></w:t>
      </w:r>
      <w:r>
        <w:t xml:space="preserve"> affirmative action ban</w:t>
      </w:r>
    </w:p>
    <w:p w14:paraId="7A0F63F0" w14:textId="77777777" w:rsidR="0046798B" w:rsidRDefault="0046798B">
      <w:pPr>
        <w:pStyle w:val="BodyText"/>
        <w:spacing w:before="1"/>
        <w:rPr>
          <w:sz w:val="22"/>
        </w:rPr>
      </w:pPr>
    </w:p>
    <w:p w14:paraId="3B79D849" w14:textId="77777777" w:rsidR="0046798B" w:rsidRDefault="00903B5C">
      <w:pPr>
        <w:pStyle w:val="Heading1"/>
        <w:numPr>
          <w:ilvl w:val="0"/>
          <w:numId w:val="13"/>
        </w:numPr>
        <w:tabs>
          <w:tab w:val="left" w:pos="1340"/>
          <w:tab w:val="left" w:pos="1341"/>
        </w:tabs>
        <w:spacing w:before="1"/>
      </w:pPr>
      <w:r>
        <w:t>Environment</w:t>
      </w:r>
    </w:p>
    <w:p w14:paraId="4C6B4A27" w14:textId="77777777" w:rsidR="0046798B" w:rsidRDefault="0046798B">
      <w:pPr>
        <w:pStyle w:val="BodyText"/>
        <w:spacing w:before="2"/>
        <w:rPr>
          <w:sz w:val="24"/>
        </w:rPr>
      </w:pPr>
    </w:p>
    <w:p w14:paraId="4B0887A5" w14:textId="77777777" w:rsidR="0046798B" w:rsidRDefault="00903B5C">
      <w:pPr>
        <w:pStyle w:val="Heading2"/>
        <w:spacing w:before="1" w:line="237" w:lineRule="auto"/>
        <w:ind w:right="1519"/>
      </w:pPr>
      <w:r>
        <w:t xml:space="preserve">Environmental building standards </w:t>
      </w:r>
      <w:r>
        <w:rPr>
          <w:rFonts w:ascii="Symbol" w:hAnsi="Symbol"/>
        </w:rPr>
        <w:t></w:t>
      </w:r>
      <w:r>
        <w:t xml:space="preserve"> tax credits for renewable energy </w:t>
      </w:r>
      <w:r>
        <w:rPr>
          <w:rFonts w:ascii="Symbol" w:hAnsi="Symbol"/>
        </w:rPr>
        <w:t></w:t>
      </w:r>
      <w:r>
        <w:t xml:space="preserve"> bottle bill </w:t>
      </w:r>
      <w:r>
        <w:rPr>
          <w:rFonts w:ascii="Symbol" w:hAnsi="Symbol"/>
        </w:rPr>
        <w:t></w:t>
      </w:r>
      <w:r>
        <w:t xml:space="preserve"> e-waste recycling program </w:t>
      </w:r>
      <w:r>
        <w:rPr>
          <w:rFonts w:ascii="Symbol" w:hAnsi="Symbol"/>
        </w:rPr>
        <w:t></w:t>
      </w:r>
      <w:r>
        <w:t xml:space="preserve"> cap on greenhouse gas emissions </w:t>
      </w:r>
      <w:r>
        <w:rPr>
          <w:rFonts w:ascii="Symbol" w:hAnsi="Symbol"/>
        </w:rPr>
        <w:t></w:t>
      </w:r>
      <w:r>
        <w:t xml:space="preserve"> endangered species regulations </w:t>
      </w:r>
      <w:r>
        <w:rPr>
          <w:rFonts w:ascii="Symbol" w:hAnsi="Symbol"/>
        </w:rPr>
        <w:t></w:t>
      </w:r>
      <w:r>
        <w:t xml:space="preserve"> commercial sector energy consumption </w:t>
      </w:r>
      <w:r>
        <w:rPr>
          <w:rFonts w:ascii="Symbol" w:hAnsi="Symbol"/>
        </w:rPr>
        <w:t></w:t>
      </w:r>
      <w:r>
        <w:t xml:space="preserve"> residential sector energy price </w:t>
      </w:r>
      <w:r>
        <w:rPr>
          <w:rFonts w:ascii="Symbol" w:hAnsi="Symbol"/>
        </w:rPr>
        <w:t></w:t>
      </w:r>
      <w:r>
        <w:t xml:space="preserve"> total CO</w:t>
      </w:r>
      <w:r>
        <w:rPr>
          <w:sz w:val="14"/>
        </w:rPr>
        <w:t xml:space="preserve">2 </w:t>
      </w:r>
      <w:r>
        <w:t>emissions</w:t>
      </w:r>
    </w:p>
    <w:p w14:paraId="214897BD" w14:textId="77777777" w:rsidR="0046798B" w:rsidRDefault="0046798B">
      <w:pPr>
        <w:spacing w:line="237" w:lineRule="auto"/>
        <w:sectPr w:rsidR="0046798B">
          <w:pgSz w:w="15840" w:h="12240" w:orient="landscape"/>
          <w:pgMar w:top="1220" w:right="300" w:bottom="980" w:left="820" w:header="730" w:footer="787" w:gutter="0"/>
          <w:cols w:space="720"/>
        </w:sectPr>
      </w:pPr>
    </w:p>
    <w:p w14:paraId="78F1FC7B" w14:textId="77777777" w:rsidR="0046798B" w:rsidRDefault="0046798B">
      <w:pPr>
        <w:pStyle w:val="BodyText"/>
        <w:spacing w:before="2"/>
        <w:rPr>
          <w:sz w:val="11"/>
        </w:rPr>
      </w:pPr>
    </w:p>
    <w:p w14:paraId="766FFE2E" w14:textId="77777777" w:rsidR="0046798B" w:rsidRDefault="00903B5C">
      <w:pPr>
        <w:pStyle w:val="Heading1"/>
        <w:numPr>
          <w:ilvl w:val="0"/>
          <w:numId w:val="13"/>
        </w:numPr>
        <w:tabs>
          <w:tab w:val="left" w:pos="1340"/>
          <w:tab w:val="left" w:pos="1341"/>
        </w:tabs>
        <w:spacing w:before="90"/>
      </w:pPr>
      <w:r>
        <w:t>Drug and Alcohol</w:t>
      </w:r>
      <w:r>
        <w:rPr>
          <w:spacing w:val="-3"/>
        </w:rPr>
        <w:t xml:space="preserve"> </w:t>
      </w:r>
      <w:r>
        <w:t>Policy</w:t>
      </w:r>
    </w:p>
    <w:p w14:paraId="41772286" w14:textId="77777777" w:rsidR="0046798B" w:rsidRDefault="0046798B">
      <w:pPr>
        <w:pStyle w:val="BodyText"/>
        <w:rPr>
          <w:sz w:val="21"/>
        </w:rPr>
      </w:pPr>
    </w:p>
    <w:p w14:paraId="1274333E" w14:textId="77777777" w:rsidR="0046798B" w:rsidRDefault="00903B5C">
      <w:pPr>
        <w:pStyle w:val="Heading2"/>
        <w:ind w:right="1301"/>
      </w:pPr>
      <w:r>
        <w:t xml:space="preserve">Punishment for DUIs </w:t>
      </w:r>
      <w:r>
        <w:rPr>
          <w:rFonts w:ascii="Symbol" w:hAnsi="Symbol"/>
        </w:rPr>
        <w:t></w:t>
      </w:r>
      <w:r>
        <w:t xml:space="preserve"> restrictions on alcohol sales </w:t>
      </w:r>
      <w:r>
        <w:rPr>
          <w:rFonts w:ascii="Symbol" w:hAnsi="Symbol"/>
        </w:rPr>
        <w:t></w:t>
      </w:r>
      <w:r>
        <w:t xml:space="preserve"> smoking bans </w:t>
      </w:r>
      <w:r>
        <w:rPr>
          <w:rFonts w:ascii="Symbol" w:hAnsi="Symbol"/>
        </w:rPr>
        <w:t></w:t>
      </w:r>
      <w:r>
        <w:t xml:space="preserve"> medical marijuana permitted </w:t>
      </w:r>
      <w:r>
        <w:rPr>
          <w:rFonts w:ascii="Symbol" w:hAnsi="Symbol"/>
        </w:rPr>
        <w:t></w:t>
      </w:r>
      <w:r>
        <w:t xml:space="preserve"> cigarette taxes </w:t>
      </w:r>
      <w:r>
        <w:rPr>
          <w:rFonts w:ascii="Symbol" w:hAnsi="Symbol"/>
        </w:rPr>
        <w:t></w:t>
      </w:r>
      <w:r>
        <w:t xml:space="preserve"> registration of beer kegs </w:t>
      </w:r>
      <w:r>
        <w:rPr>
          <w:rFonts w:ascii="Symbol" w:hAnsi="Symbol"/>
        </w:rPr>
        <w:t></w:t>
      </w:r>
      <w:r>
        <w:t xml:space="preserve"> zero-tolerance laws for underage drinking </w:t>
      </w:r>
      <w:r>
        <w:rPr>
          <w:rFonts w:ascii="Symbol" w:hAnsi="Symbol"/>
        </w:rPr>
        <w:t></w:t>
      </w:r>
      <w:r>
        <w:t xml:space="preserve"> Internet gambling </w:t>
      </w:r>
      <w:r>
        <w:rPr>
          <w:rFonts w:ascii="Symbol" w:hAnsi="Symbol"/>
        </w:rPr>
        <w:t></w:t>
      </w:r>
      <w:r>
        <w:t xml:space="preserve"> casinos allowed </w:t>
      </w:r>
      <w:r>
        <w:rPr>
          <w:rFonts w:ascii="Symbol" w:hAnsi="Symbol"/>
        </w:rPr>
        <w:t></w:t>
      </w:r>
      <w:r>
        <w:t xml:space="preserve"> state lottery</w:t>
      </w:r>
    </w:p>
    <w:p w14:paraId="0EDE8CB8" w14:textId="77777777" w:rsidR="0046798B" w:rsidRDefault="0046798B">
      <w:pPr>
        <w:pStyle w:val="BodyText"/>
        <w:spacing w:before="2"/>
        <w:rPr>
          <w:sz w:val="24"/>
        </w:rPr>
      </w:pPr>
    </w:p>
    <w:p w14:paraId="0AC9355B" w14:textId="77777777" w:rsidR="0046798B" w:rsidRDefault="00903B5C">
      <w:pPr>
        <w:pStyle w:val="Heading1"/>
        <w:numPr>
          <w:ilvl w:val="0"/>
          <w:numId w:val="13"/>
        </w:numPr>
        <w:tabs>
          <w:tab w:val="left" w:pos="1340"/>
          <w:tab w:val="left" w:pos="1341"/>
        </w:tabs>
      </w:pPr>
      <w:r>
        <w:t>Gun</w:t>
      </w:r>
      <w:r>
        <w:rPr>
          <w:spacing w:val="-1"/>
        </w:rPr>
        <w:t xml:space="preserve"> </w:t>
      </w:r>
      <w:r>
        <w:t>Control</w:t>
      </w:r>
    </w:p>
    <w:p w14:paraId="6410949C" w14:textId="77777777" w:rsidR="0046798B" w:rsidRDefault="0046798B">
      <w:pPr>
        <w:pStyle w:val="BodyText"/>
        <w:spacing w:before="6"/>
        <w:rPr>
          <w:sz w:val="21"/>
        </w:rPr>
      </w:pPr>
    </w:p>
    <w:p w14:paraId="6B22197C" w14:textId="77777777" w:rsidR="0046798B" w:rsidRDefault="00903B5C">
      <w:pPr>
        <w:pStyle w:val="Heading2"/>
        <w:spacing w:before="1"/>
        <w:rPr>
          <w:rFonts w:ascii="Symbol" w:hAnsi="Symbol"/>
        </w:rPr>
      </w:pPr>
      <w:r>
        <w:t xml:space="preserve">Concealed carry laws </w:t>
      </w:r>
      <w:r>
        <w:rPr>
          <w:rFonts w:ascii="Symbol" w:hAnsi="Symbol"/>
        </w:rPr>
        <w:t></w:t>
      </w:r>
      <w:r>
        <w:t xml:space="preserve"> assault weapons ban </w:t>
      </w:r>
      <w:r>
        <w:rPr>
          <w:rFonts w:ascii="Symbol" w:hAnsi="Symbol"/>
        </w:rPr>
        <w:t></w:t>
      </w:r>
      <w:r>
        <w:t xml:space="preserve"> background checks </w:t>
      </w:r>
      <w:r>
        <w:rPr>
          <w:rFonts w:ascii="Symbol" w:hAnsi="Symbol"/>
        </w:rPr>
        <w:t></w:t>
      </w:r>
      <w:r>
        <w:t xml:space="preserve"> waiting period for gun purchases </w:t>
      </w:r>
      <w:r>
        <w:rPr>
          <w:rFonts w:ascii="Symbol" w:hAnsi="Symbol"/>
        </w:rPr>
        <w:t></w:t>
      </w:r>
      <w:r>
        <w:t xml:space="preserve"> child-access prevention laws </w:t>
      </w:r>
      <w:r>
        <w:rPr>
          <w:rFonts w:ascii="Symbol" w:hAnsi="Symbol"/>
        </w:rPr>
        <w:t></w:t>
      </w:r>
    </w:p>
    <w:p w14:paraId="16388AB5" w14:textId="77777777" w:rsidR="0046798B" w:rsidRDefault="00903B5C">
      <w:pPr>
        <w:pStyle w:val="Heading2"/>
        <w:spacing w:before="1"/>
      </w:pPr>
      <w:r>
        <w:t>mandatory reporting of firearm thefts</w:t>
      </w:r>
    </w:p>
    <w:p w14:paraId="122E0185" w14:textId="77777777" w:rsidR="0046798B" w:rsidRDefault="0046798B">
      <w:pPr>
        <w:pStyle w:val="BodyText"/>
        <w:spacing w:before="5"/>
        <w:rPr>
          <w:sz w:val="22"/>
        </w:rPr>
      </w:pPr>
    </w:p>
    <w:p w14:paraId="09FD14E6" w14:textId="77777777" w:rsidR="0046798B" w:rsidRDefault="00903B5C">
      <w:pPr>
        <w:pStyle w:val="Heading1"/>
        <w:numPr>
          <w:ilvl w:val="0"/>
          <w:numId w:val="13"/>
        </w:numPr>
        <w:tabs>
          <w:tab w:val="left" w:pos="1340"/>
          <w:tab w:val="left" w:pos="1341"/>
        </w:tabs>
        <w:spacing w:before="1"/>
      </w:pPr>
      <w:r>
        <w:t>Labor</w:t>
      </w:r>
    </w:p>
    <w:p w14:paraId="4D177D44" w14:textId="77777777" w:rsidR="0046798B" w:rsidRDefault="0046798B">
      <w:pPr>
        <w:pStyle w:val="BodyText"/>
        <w:spacing w:before="5"/>
        <w:rPr>
          <w:sz w:val="21"/>
        </w:rPr>
      </w:pPr>
    </w:p>
    <w:p w14:paraId="192D7F02" w14:textId="77777777" w:rsidR="0046798B" w:rsidRDefault="00903B5C">
      <w:pPr>
        <w:pStyle w:val="Heading2"/>
        <w:ind w:right="1404"/>
      </w:pPr>
      <w:r>
        <w:t xml:space="preserve">State minimum wage rate </w:t>
      </w:r>
      <w:r>
        <w:rPr>
          <w:rFonts w:ascii="Symbol" w:hAnsi="Symbol"/>
        </w:rPr>
        <w:t></w:t>
      </w:r>
      <w:r>
        <w:t xml:space="preserve"> fair employment laws </w:t>
      </w:r>
      <w:r>
        <w:rPr>
          <w:rFonts w:ascii="Symbol" w:hAnsi="Symbol"/>
        </w:rPr>
        <w:t></w:t>
      </w:r>
      <w:r>
        <w:t xml:space="preserve"> workers’ compensation </w:t>
      </w:r>
      <w:r>
        <w:rPr>
          <w:rFonts w:ascii="Symbol" w:hAnsi="Symbol"/>
        </w:rPr>
        <w:t></w:t>
      </w:r>
      <w:r>
        <w:t xml:space="preserve"> unemployment compensation </w:t>
      </w:r>
      <w:r>
        <w:rPr>
          <w:rFonts w:ascii="Symbol" w:hAnsi="Symbol"/>
        </w:rPr>
        <w:t></w:t>
      </w:r>
      <w:r>
        <w:t xml:space="preserve"> right-to-work law </w:t>
      </w:r>
      <w:r>
        <w:rPr>
          <w:rFonts w:ascii="Symbol" w:hAnsi="Symbol"/>
        </w:rPr>
        <w:t></w:t>
      </w:r>
      <w:r>
        <w:t xml:space="preserve"> short- term disability insurance program</w:t>
      </w:r>
    </w:p>
    <w:p w14:paraId="016E3963" w14:textId="77777777" w:rsidR="0046798B" w:rsidRDefault="0046798B">
      <w:pPr>
        <w:pStyle w:val="BodyText"/>
        <w:spacing w:before="4"/>
        <w:rPr>
          <w:sz w:val="24"/>
        </w:rPr>
      </w:pPr>
    </w:p>
    <w:p w14:paraId="7C9C2D47" w14:textId="77777777" w:rsidR="0046798B" w:rsidRDefault="00903B5C">
      <w:pPr>
        <w:pStyle w:val="Heading1"/>
        <w:numPr>
          <w:ilvl w:val="0"/>
          <w:numId w:val="13"/>
        </w:numPr>
        <w:tabs>
          <w:tab w:val="left" w:pos="1340"/>
          <w:tab w:val="left" w:pos="1341"/>
        </w:tabs>
      </w:pPr>
      <w:r>
        <w:t>Transportation</w:t>
      </w:r>
    </w:p>
    <w:p w14:paraId="0E820458" w14:textId="77777777" w:rsidR="0046798B" w:rsidRDefault="0046798B">
      <w:pPr>
        <w:pStyle w:val="BodyText"/>
        <w:rPr>
          <w:sz w:val="21"/>
        </w:rPr>
      </w:pPr>
    </w:p>
    <w:p w14:paraId="2CED5340" w14:textId="77777777" w:rsidR="0046798B" w:rsidRDefault="00903B5C">
      <w:pPr>
        <w:pStyle w:val="Heading2"/>
        <w:rPr>
          <w:rFonts w:ascii="Symbol" w:hAnsi="Symbol"/>
        </w:rPr>
      </w:pPr>
      <w:r>
        <w:t xml:space="preserve">Seatbelt laws </w:t>
      </w:r>
      <w:r>
        <w:rPr>
          <w:rFonts w:ascii="Symbol" w:hAnsi="Symbol"/>
        </w:rPr>
        <w:t></w:t>
      </w:r>
      <w:r>
        <w:t xml:space="preserve"> motorcycle and bicycle helmet laws </w:t>
      </w:r>
      <w:r>
        <w:rPr>
          <w:rFonts w:ascii="Symbol" w:hAnsi="Symbol"/>
        </w:rPr>
        <w:t></w:t>
      </w:r>
      <w:r>
        <w:t xml:space="preserve"> blood-alcohol-content laws for drivers </w:t>
      </w:r>
      <w:r>
        <w:rPr>
          <w:rFonts w:ascii="Symbol" w:hAnsi="Symbol"/>
        </w:rPr>
        <w:t></w:t>
      </w:r>
      <w:r>
        <w:t xml:space="preserve"> uninsured/underinsured coverage required </w:t>
      </w:r>
      <w:r>
        <w:rPr>
          <w:rFonts w:ascii="Symbol" w:hAnsi="Symbol"/>
        </w:rPr>
        <w:t></w:t>
      </w:r>
    </w:p>
    <w:p w14:paraId="279F8954" w14:textId="77777777" w:rsidR="0046798B" w:rsidRDefault="00903B5C">
      <w:pPr>
        <w:pStyle w:val="Heading2"/>
        <w:spacing w:before="1"/>
      </w:pPr>
      <w:r>
        <w:t xml:space="preserve">ban on handheld cellphones for all drivers </w:t>
      </w:r>
      <w:r>
        <w:rPr>
          <w:rFonts w:ascii="Symbol" w:hAnsi="Symbol"/>
        </w:rPr>
        <w:t></w:t>
      </w:r>
      <w:r>
        <w:t xml:space="preserve"> driver’s license renewal cycle</w:t>
      </w:r>
    </w:p>
    <w:p w14:paraId="2E643582" w14:textId="77777777" w:rsidR="0046798B" w:rsidRDefault="0046798B">
      <w:pPr>
        <w:pStyle w:val="BodyText"/>
        <w:spacing w:before="2"/>
        <w:rPr>
          <w:sz w:val="24"/>
        </w:rPr>
      </w:pPr>
    </w:p>
    <w:p w14:paraId="55657579" w14:textId="77777777" w:rsidR="0046798B" w:rsidRDefault="00903B5C">
      <w:pPr>
        <w:pStyle w:val="Heading1"/>
        <w:numPr>
          <w:ilvl w:val="0"/>
          <w:numId w:val="13"/>
        </w:numPr>
        <w:tabs>
          <w:tab w:val="left" w:pos="1340"/>
          <w:tab w:val="left" w:pos="1341"/>
        </w:tabs>
      </w:pPr>
      <w:r>
        <w:t>Regulatory</w:t>
      </w:r>
      <w:r>
        <w:rPr>
          <w:spacing w:val="-1"/>
        </w:rPr>
        <w:t xml:space="preserve"> </w:t>
      </w:r>
      <w:r>
        <w:t>Policy</w:t>
      </w:r>
    </w:p>
    <w:p w14:paraId="3058741B" w14:textId="77777777" w:rsidR="0046798B" w:rsidRDefault="0046798B">
      <w:pPr>
        <w:pStyle w:val="BodyText"/>
        <w:spacing w:before="1"/>
        <w:rPr>
          <w:sz w:val="22"/>
        </w:rPr>
      </w:pPr>
    </w:p>
    <w:p w14:paraId="4C6AFEC8" w14:textId="77777777" w:rsidR="0046798B" w:rsidRDefault="00903B5C">
      <w:pPr>
        <w:pStyle w:val="Heading2"/>
        <w:spacing w:line="237" w:lineRule="auto"/>
        <w:ind w:right="1270"/>
      </w:pPr>
      <w:r>
        <w:t xml:space="preserve">Licensing requirements for various occupations </w:t>
      </w:r>
      <w:r>
        <w:rPr>
          <w:rFonts w:ascii="Symbol" w:hAnsi="Symbol"/>
        </w:rPr>
        <w:t></w:t>
      </w:r>
      <w:r>
        <w:t xml:space="preserve"> estate planning and administration, wills, trusts </w:t>
      </w:r>
      <w:r>
        <w:rPr>
          <w:rFonts w:ascii="Symbol" w:hAnsi="Symbol"/>
        </w:rPr>
        <w:t></w:t>
      </w:r>
      <w:r>
        <w:t xml:space="preserve"> abandonment of property </w:t>
      </w:r>
      <w:r>
        <w:rPr>
          <w:rFonts w:ascii="Symbol" w:hAnsi="Symbol"/>
        </w:rPr>
        <w:t></w:t>
      </w:r>
      <w:r>
        <w:t xml:space="preserve"> regulation of mortgages and leases </w:t>
      </w:r>
      <w:r>
        <w:rPr>
          <w:rFonts w:ascii="Symbol" w:hAnsi="Symbol"/>
        </w:rPr>
        <w:t></w:t>
      </w:r>
      <w:r>
        <w:t xml:space="preserve"> eminent domain </w:t>
      </w:r>
      <w:r>
        <w:rPr>
          <w:rFonts w:ascii="Symbol" w:hAnsi="Symbol"/>
        </w:rPr>
        <w:t></w:t>
      </w:r>
      <w:r>
        <w:t xml:space="preserve"> sale of fireworks permitted </w:t>
      </w:r>
      <w:r>
        <w:rPr>
          <w:rFonts w:ascii="Symbol" w:hAnsi="Symbol"/>
        </w:rPr>
        <w:t></w:t>
      </w:r>
      <w:r>
        <w:t xml:space="preserve"> lemon laws </w:t>
      </w:r>
      <w:r>
        <w:rPr>
          <w:rFonts w:ascii="Symbol" w:hAnsi="Symbol"/>
        </w:rPr>
        <w:t></w:t>
      </w:r>
      <w:r>
        <w:t xml:space="preserve"> consumer protections </w:t>
      </w:r>
      <w:r>
        <w:rPr>
          <w:rFonts w:ascii="Symbol" w:hAnsi="Symbol"/>
        </w:rPr>
        <w:t></w:t>
      </w:r>
      <w:r>
        <w:t xml:space="preserve"> regulation of sales and transactions/transfers</w:t>
      </w:r>
    </w:p>
    <w:p w14:paraId="3FBD29BB" w14:textId="77777777" w:rsidR="0046798B" w:rsidRDefault="0046798B">
      <w:pPr>
        <w:pStyle w:val="BodyText"/>
        <w:spacing w:before="5"/>
        <w:rPr>
          <w:sz w:val="24"/>
        </w:rPr>
      </w:pPr>
    </w:p>
    <w:p w14:paraId="56F6B410" w14:textId="77777777" w:rsidR="0046798B" w:rsidRDefault="00903B5C">
      <w:pPr>
        <w:spacing w:before="1"/>
        <w:ind w:left="620"/>
        <w:rPr>
          <w:b/>
          <w:i/>
        </w:rPr>
      </w:pPr>
      <w:r>
        <w:rPr>
          <w:b/>
          <w:i/>
        </w:rPr>
        <w:t>Note About Coding of Policy Outputs</w:t>
      </w:r>
    </w:p>
    <w:p w14:paraId="5166AE71" w14:textId="77777777" w:rsidR="0046798B" w:rsidRDefault="0046798B">
      <w:pPr>
        <w:pStyle w:val="BodyText"/>
        <w:spacing w:before="2"/>
        <w:rPr>
          <w:b/>
          <w:i/>
          <w:sz w:val="24"/>
        </w:rPr>
      </w:pPr>
    </w:p>
    <w:p w14:paraId="6B3EFCB7" w14:textId="77777777" w:rsidR="0046798B" w:rsidRDefault="00903B5C">
      <w:pPr>
        <w:spacing w:before="1"/>
        <w:ind w:left="620" w:right="1255"/>
      </w:pPr>
      <w:r>
        <w:t>Regarding the “policy output” variables, which typically indicate whether a given policy has been adopted (yes/no, 0/1): Many of these variables were originally presented in long format, with the data indicating the specific year that a policy was adopted by each state. The variables have been reshaped to wide format throughout the Correlates dataset, so a value of 0 indicates the years that a policy was not or has not been adopted, and a 1 indicates the years that a policy was or has been adopted in each state.</w:t>
      </w:r>
    </w:p>
    <w:p w14:paraId="6A71E640" w14:textId="77777777" w:rsidR="0046798B" w:rsidRDefault="0046798B">
      <w:pPr>
        <w:sectPr w:rsidR="0046798B">
          <w:pgSz w:w="15840" w:h="12240" w:orient="landscape"/>
          <w:pgMar w:top="1220" w:right="300" w:bottom="980" w:left="820" w:header="730" w:footer="787" w:gutter="0"/>
          <w:cols w:space="720"/>
        </w:sectPr>
      </w:pPr>
    </w:p>
    <w:p w14:paraId="2E9B0323" w14:textId="77777777" w:rsidR="0046798B" w:rsidRDefault="0046798B">
      <w:pPr>
        <w:pStyle w:val="BodyText"/>
        <w:spacing w:before="1"/>
        <w:rPr>
          <w:sz w:val="11"/>
        </w:rPr>
      </w:pPr>
    </w:p>
    <w:p w14:paraId="0BD4200C" w14:textId="77777777" w:rsidR="0046798B" w:rsidRDefault="00903B5C">
      <w:pPr>
        <w:pStyle w:val="ListParagraph"/>
        <w:numPr>
          <w:ilvl w:val="0"/>
          <w:numId w:val="12"/>
        </w:numPr>
        <w:tabs>
          <w:tab w:val="left" w:pos="5412"/>
        </w:tabs>
        <w:spacing w:before="88"/>
        <w:jc w:val="left"/>
        <w:rPr>
          <w:b/>
          <w:sz w:val="28"/>
        </w:rPr>
      </w:pPr>
      <w:bookmarkStart w:id="0" w:name="I._Demographics_and_Population"/>
      <w:bookmarkStart w:id="1" w:name="_bookmark0"/>
      <w:bookmarkEnd w:id="0"/>
      <w:bookmarkEnd w:id="1"/>
      <w:r>
        <w:rPr>
          <w:b/>
          <w:sz w:val="28"/>
        </w:rPr>
        <w:t>Demographics and</w:t>
      </w:r>
      <w:r>
        <w:rPr>
          <w:b/>
          <w:spacing w:val="-2"/>
          <w:sz w:val="28"/>
        </w:rPr>
        <w:t xml:space="preserve"> </w:t>
      </w:r>
      <w:r>
        <w:rPr>
          <w:b/>
          <w:sz w:val="28"/>
        </w:rPr>
        <w:t>Population</w:t>
      </w:r>
    </w:p>
    <w:p w14:paraId="63DE2707" w14:textId="77777777" w:rsidR="0046798B" w:rsidRDefault="0046798B">
      <w:pPr>
        <w:pStyle w:val="BodyText"/>
        <w:spacing w:before="7"/>
        <w:rPr>
          <w:b/>
          <w:sz w:val="16"/>
        </w:rPr>
      </w:pPr>
    </w:p>
    <w:p w14:paraId="5C8C19FF" w14:textId="77777777" w:rsidR="0046798B" w:rsidRDefault="00903B5C">
      <w:pPr>
        <w:pStyle w:val="ListParagraph"/>
        <w:numPr>
          <w:ilvl w:val="0"/>
          <w:numId w:val="11"/>
        </w:numPr>
        <w:tabs>
          <w:tab w:val="left" w:pos="916"/>
        </w:tabs>
        <w:spacing w:before="90"/>
        <w:rPr>
          <w:b/>
          <w:sz w:val="24"/>
        </w:rPr>
      </w:pPr>
      <w:r>
        <w:rPr>
          <w:b/>
          <w:sz w:val="24"/>
          <w:u w:val="single"/>
        </w:rPr>
        <w:t>Demographic</w:t>
      </w:r>
      <w:r>
        <w:rPr>
          <w:b/>
          <w:spacing w:val="-3"/>
          <w:sz w:val="24"/>
          <w:u w:val="single"/>
        </w:rPr>
        <w:t xml:space="preserve"> </w:t>
      </w:r>
      <w:r>
        <w:rPr>
          <w:b/>
          <w:sz w:val="24"/>
          <w:u w:val="single"/>
        </w:rPr>
        <w:t>Variables</w:t>
      </w:r>
    </w:p>
    <w:p w14:paraId="05CE3F68" w14:textId="77777777" w:rsidR="0046798B" w:rsidRDefault="0046798B">
      <w:pPr>
        <w:pStyle w:val="BodyText"/>
        <w:spacing w:before="8" w:after="1"/>
        <w:rPr>
          <w:b/>
          <w:sz w:val="23"/>
        </w:rPr>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32323E4A" w14:textId="77777777">
        <w:trPr>
          <w:trHeight w:val="590"/>
        </w:trPr>
        <w:tc>
          <w:tcPr>
            <w:tcW w:w="1711" w:type="dxa"/>
          </w:tcPr>
          <w:p w14:paraId="54631E3F" w14:textId="77777777" w:rsidR="0046798B" w:rsidRDefault="00903B5C">
            <w:pPr>
              <w:pStyle w:val="TableParagraph"/>
              <w:spacing w:before="164"/>
              <w:ind w:left="140"/>
              <w:rPr>
                <w:b/>
              </w:rPr>
            </w:pPr>
            <w:r>
              <w:rPr>
                <w:b/>
              </w:rPr>
              <w:t>Variable Name</w:t>
            </w:r>
          </w:p>
        </w:tc>
        <w:tc>
          <w:tcPr>
            <w:tcW w:w="1596" w:type="dxa"/>
          </w:tcPr>
          <w:p w14:paraId="798C29D4" w14:textId="77777777" w:rsidR="0046798B" w:rsidRDefault="00903B5C">
            <w:pPr>
              <w:pStyle w:val="TableParagraph"/>
              <w:spacing w:before="39" w:line="242" w:lineRule="auto"/>
              <w:ind w:left="249" w:right="229" w:firstLine="280"/>
              <w:rPr>
                <w:b/>
              </w:rPr>
            </w:pPr>
            <w:r>
              <w:rPr>
                <w:b/>
              </w:rPr>
              <w:t>Short Description</w:t>
            </w:r>
          </w:p>
        </w:tc>
        <w:tc>
          <w:tcPr>
            <w:tcW w:w="1285" w:type="dxa"/>
          </w:tcPr>
          <w:p w14:paraId="112DAD25" w14:textId="77777777" w:rsidR="0046798B" w:rsidRDefault="00903B5C">
            <w:pPr>
              <w:pStyle w:val="TableParagraph"/>
              <w:spacing w:before="164"/>
              <w:ind w:left="364"/>
              <w:rPr>
                <w:b/>
              </w:rPr>
            </w:pPr>
            <w:r>
              <w:rPr>
                <w:b/>
              </w:rPr>
              <w:t>Years</w:t>
            </w:r>
          </w:p>
        </w:tc>
        <w:tc>
          <w:tcPr>
            <w:tcW w:w="3421" w:type="dxa"/>
          </w:tcPr>
          <w:p w14:paraId="20581320" w14:textId="77777777" w:rsidR="0046798B" w:rsidRDefault="00903B5C">
            <w:pPr>
              <w:pStyle w:val="TableParagraph"/>
              <w:spacing w:before="39"/>
              <w:ind w:left="159" w:right="146"/>
              <w:jc w:val="center"/>
              <w:rPr>
                <w:b/>
              </w:rPr>
            </w:pPr>
            <w:r>
              <w:rPr>
                <w:b/>
              </w:rPr>
              <w:t>Coding /</w:t>
            </w:r>
          </w:p>
          <w:p w14:paraId="6DE26C51" w14:textId="77777777" w:rsidR="0046798B" w:rsidRDefault="00903B5C">
            <w:pPr>
              <w:pStyle w:val="TableParagraph"/>
              <w:spacing w:before="3"/>
              <w:ind w:left="159" w:right="150"/>
              <w:jc w:val="center"/>
              <w:rPr>
                <w:b/>
              </w:rPr>
            </w:pPr>
            <w:r>
              <w:rPr>
                <w:b/>
              </w:rPr>
              <w:t>Longer Description (if available)</w:t>
            </w:r>
          </w:p>
        </w:tc>
        <w:tc>
          <w:tcPr>
            <w:tcW w:w="6482" w:type="dxa"/>
          </w:tcPr>
          <w:p w14:paraId="22625A63" w14:textId="77777777" w:rsidR="0046798B" w:rsidRDefault="00903B5C">
            <w:pPr>
              <w:pStyle w:val="TableParagraph"/>
              <w:spacing w:before="164"/>
              <w:ind w:left="2852" w:right="2845"/>
              <w:jc w:val="center"/>
              <w:rPr>
                <w:b/>
              </w:rPr>
            </w:pPr>
            <w:r>
              <w:rPr>
                <w:b/>
              </w:rPr>
              <w:t>Sources</w:t>
            </w:r>
          </w:p>
        </w:tc>
      </w:tr>
      <w:tr w:rsidR="0046798B" w14:paraId="5081B5E4" w14:textId="77777777">
        <w:trPr>
          <w:trHeight w:val="1970"/>
        </w:trPr>
        <w:tc>
          <w:tcPr>
            <w:tcW w:w="1711" w:type="dxa"/>
          </w:tcPr>
          <w:p w14:paraId="4C8C6ACF" w14:textId="77777777" w:rsidR="0046798B" w:rsidRDefault="0046798B">
            <w:pPr>
              <w:pStyle w:val="TableParagraph"/>
              <w:rPr>
                <w:b/>
              </w:rPr>
            </w:pPr>
          </w:p>
          <w:p w14:paraId="41EA5D71" w14:textId="77777777" w:rsidR="0046798B" w:rsidRDefault="0046798B">
            <w:pPr>
              <w:pStyle w:val="TableParagraph"/>
              <w:rPr>
                <w:b/>
              </w:rPr>
            </w:pPr>
          </w:p>
          <w:p w14:paraId="570F9483" w14:textId="77777777" w:rsidR="0046798B" w:rsidRDefault="0046798B">
            <w:pPr>
              <w:pStyle w:val="TableParagraph"/>
              <w:spacing w:before="5"/>
              <w:rPr>
                <w:b/>
                <w:sz w:val="31"/>
              </w:rPr>
            </w:pPr>
          </w:p>
          <w:p w14:paraId="0BC144FA" w14:textId="77777777" w:rsidR="0046798B" w:rsidRDefault="00903B5C">
            <w:pPr>
              <w:pStyle w:val="TableParagraph"/>
              <w:spacing w:before="1"/>
              <w:ind w:left="115"/>
              <w:rPr>
                <w:b/>
                <w:sz w:val="20"/>
              </w:rPr>
            </w:pPr>
            <w:r>
              <w:rPr>
                <w:b/>
                <w:sz w:val="20"/>
              </w:rPr>
              <w:t>poptotal</w:t>
            </w:r>
          </w:p>
        </w:tc>
        <w:tc>
          <w:tcPr>
            <w:tcW w:w="1596" w:type="dxa"/>
          </w:tcPr>
          <w:p w14:paraId="107FE711" w14:textId="77777777" w:rsidR="0046798B" w:rsidRDefault="0046798B">
            <w:pPr>
              <w:pStyle w:val="TableParagraph"/>
              <w:rPr>
                <w:b/>
              </w:rPr>
            </w:pPr>
          </w:p>
          <w:p w14:paraId="15D02C27" w14:textId="77777777" w:rsidR="0046798B" w:rsidRDefault="0046798B">
            <w:pPr>
              <w:pStyle w:val="TableParagraph"/>
              <w:rPr>
                <w:b/>
              </w:rPr>
            </w:pPr>
          </w:p>
          <w:p w14:paraId="6E3A97C0" w14:textId="77777777" w:rsidR="0046798B" w:rsidRDefault="0046798B">
            <w:pPr>
              <w:pStyle w:val="TableParagraph"/>
              <w:spacing w:before="5"/>
              <w:rPr>
                <w:b/>
                <w:sz w:val="31"/>
              </w:rPr>
            </w:pPr>
          </w:p>
          <w:p w14:paraId="58DC9ACF" w14:textId="77777777" w:rsidR="0046798B" w:rsidRDefault="00903B5C">
            <w:pPr>
              <w:pStyle w:val="TableParagraph"/>
              <w:spacing w:before="1"/>
              <w:ind w:left="114"/>
              <w:rPr>
                <w:sz w:val="20"/>
              </w:rPr>
            </w:pPr>
            <w:r>
              <w:rPr>
                <w:sz w:val="20"/>
              </w:rPr>
              <w:t>Population total</w:t>
            </w:r>
          </w:p>
        </w:tc>
        <w:tc>
          <w:tcPr>
            <w:tcW w:w="1285" w:type="dxa"/>
          </w:tcPr>
          <w:p w14:paraId="222BCCFF" w14:textId="77777777" w:rsidR="0046798B" w:rsidRDefault="0046798B">
            <w:pPr>
              <w:pStyle w:val="TableParagraph"/>
              <w:rPr>
                <w:b/>
              </w:rPr>
            </w:pPr>
          </w:p>
          <w:p w14:paraId="0564054B" w14:textId="77777777" w:rsidR="0046798B" w:rsidRDefault="0046798B">
            <w:pPr>
              <w:pStyle w:val="TableParagraph"/>
              <w:rPr>
                <w:b/>
              </w:rPr>
            </w:pPr>
          </w:p>
          <w:p w14:paraId="692BB9A1" w14:textId="77777777" w:rsidR="0046798B" w:rsidRDefault="0046798B">
            <w:pPr>
              <w:pStyle w:val="TableParagraph"/>
              <w:spacing w:before="5"/>
              <w:rPr>
                <w:b/>
                <w:sz w:val="21"/>
              </w:rPr>
            </w:pPr>
          </w:p>
          <w:p w14:paraId="4D7D35D8" w14:textId="5796A069" w:rsidR="00855B7D" w:rsidRDefault="00903B5C" w:rsidP="00855B7D">
            <w:pPr>
              <w:pStyle w:val="TableParagraph"/>
              <w:spacing w:before="1"/>
              <w:ind w:left="114"/>
              <w:rPr>
                <w:sz w:val="20"/>
              </w:rPr>
            </w:pPr>
            <w:r>
              <w:rPr>
                <w:sz w:val="20"/>
              </w:rPr>
              <w:t>1900–20</w:t>
            </w:r>
            <w:r w:rsidR="00855B7D">
              <w:rPr>
                <w:sz w:val="20"/>
              </w:rPr>
              <w:t>19</w:t>
            </w:r>
          </w:p>
          <w:p w14:paraId="57878FEF" w14:textId="40314138" w:rsidR="0046798B" w:rsidRDefault="0046798B">
            <w:pPr>
              <w:pStyle w:val="TableParagraph"/>
              <w:ind w:left="114"/>
              <w:rPr>
                <w:sz w:val="20"/>
              </w:rPr>
            </w:pPr>
          </w:p>
        </w:tc>
        <w:tc>
          <w:tcPr>
            <w:tcW w:w="3421" w:type="dxa"/>
          </w:tcPr>
          <w:p w14:paraId="06A9B652" w14:textId="77777777" w:rsidR="0046798B" w:rsidRDefault="0046798B">
            <w:pPr>
              <w:pStyle w:val="TableParagraph"/>
              <w:rPr>
                <w:b/>
              </w:rPr>
            </w:pPr>
          </w:p>
          <w:p w14:paraId="37C409E2" w14:textId="77777777" w:rsidR="0046798B" w:rsidRDefault="0046798B">
            <w:pPr>
              <w:pStyle w:val="TableParagraph"/>
              <w:rPr>
                <w:b/>
              </w:rPr>
            </w:pPr>
          </w:p>
          <w:p w14:paraId="76BBEF60" w14:textId="77777777" w:rsidR="0046798B" w:rsidRDefault="0046798B">
            <w:pPr>
              <w:pStyle w:val="TableParagraph"/>
              <w:spacing w:before="5"/>
              <w:rPr>
                <w:b/>
                <w:sz w:val="31"/>
              </w:rPr>
            </w:pPr>
          </w:p>
          <w:p w14:paraId="22DB32A2" w14:textId="77777777" w:rsidR="0046798B" w:rsidRDefault="00903B5C">
            <w:pPr>
              <w:pStyle w:val="TableParagraph"/>
              <w:spacing w:before="1"/>
              <w:ind w:left="114"/>
              <w:rPr>
                <w:sz w:val="20"/>
              </w:rPr>
            </w:pPr>
            <w:r>
              <w:rPr>
                <w:sz w:val="20"/>
              </w:rPr>
              <w:t>Total population per state</w:t>
            </w:r>
          </w:p>
        </w:tc>
        <w:tc>
          <w:tcPr>
            <w:tcW w:w="6482" w:type="dxa"/>
          </w:tcPr>
          <w:p w14:paraId="4E3234F6" w14:textId="77777777" w:rsidR="0046798B" w:rsidRDefault="00903B5C">
            <w:pPr>
              <w:pStyle w:val="TableParagraph"/>
              <w:spacing w:before="43"/>
              <w:ind w:left="114"/>
              <w:rPr>
                <w:sz w:val="20"/>
              </w:rPr>
            </w:pPr>
            <w:r>
              <w:rPr>
                <w:sz w:val="20"/>
              </w:rPr>
              <w:t xml:space="preserve">U.S. Census Bureau </w:t>
            </w:r>
            <w:hyperlink r:id="rId9">
              <w:r>
                <w:rPr>
                  <w:sz w:val="20"/>
                </w:rPr>
                <w:t>(</w:t>
              </w:r>
              <w:r>
                <w:rPr>
                  <w:color w:val="0462C1"/>
                  <w:sz w:val="20"/>
                  <w:u w:val="single" w:color="0462C1"/>
                </w:rPr>
                <w:t>http://www.census.gov/</w:t>
              </w:r>
            </w:hyperlink>
            <w:r>
              <w:rPr>
                <w:sz w:val="20"/>
              </w:rPr>
              <w:t>)</w:t>
            </w:r>
          </w:p>
          <w:p w14:paraId="77269F79" w14:textId="77777777" w:rsidR="0046798B" w:rsidRDefault="0046798B">
            <w:pPr>
              <w:pStyle w:val="TableParagraph"/>
              <w:rPr>
                <w:b/>
                <w:sz w:val="20"/>
              </w:rPr>
            </w:pPr>
          </w:p>
          <w:p w14:paraId="1FC0EA8E" w14:textId="77777777" w:rsidR="0046798B" w:rsidRDefault="00903B5C">
            <w:pPr>
              <w:pStyle w:val="TableParagraph"/>
              <w:ind w:left="114" w:right="217"/>
              <w:rPr>
                <w:sz w:val="20"/>
              </w:rPr>
            </w:pPr>
            <w:r>
              <w:rPr>
                <w:sz w:val="20"/>
              </w:rPr>
              <w:t xml:space="preserve">Originally provided by Stateminder: A data visualization project from Georgetown University. </w:t>
            </w:r>
            <w:hyperlink r:id="rId10">
              <w:r>
                <w:rPr>
                  <w:sz w:val="20"/>
                  <w:u w:val="single"/>
                </w:rPr>
                <w:t>http://stateminder.org/</w:t>
              </w:r>
              <w:r>
                <w:rPr>
                  <w:sz w:val="20"/>
                </w:rPr>
                <w:t xml:space="preserve"> </w:t>
              </w:r>
            </w:hyperlink>
            <w:r>
              <w:rPr>
                <w:sz w:val="20"/>
              </w:rPr>
              <w:t>(no longer accessible online)</w:t>
            </w:r>
          </w:p>
          <w:p w14:paraId="46F31E54" w14:textId="77777777" w:rsidR="0046798B" w:rsidRDefault="0046798B">
            <w:pPr>
              <w:pStyle w:val="TableParagraph"/>
              <w:spacing w:before="6"/>
              <w:rPr>
                <w:b/>
                <w:sz w:val="23"/>
              </w:rPr>
            </w:pPr>
          </w:p>
          <w:p w14:paraId="77DF6710" w14:textId="77777777" w:rsidR="0046798B" w:rsidRDefault="00903B5C">
            <w:pPr>
              <w:pStyle w:val="TableParagraph"/>
              <w:ind w:left="114" w:right="652"/>
              <w:rPr>
                <w:sz w:val="20"/>
              </w:rPr>
            </w:pPr>
            <w:r>
              <w:rPr>
                <w:sz w:val="20"/>
              </w:rPr>
              <w:t xml:space="preserve">For 2012–2017: U.S. Census Bureau, American Fact Finder: </w:t>
            </w:r>
            <w:hyperlink r:id="rId11">
              <w:r>
                <w:rPr>
                  <w:color w:val="0462C1"/>
                  <w:sz w:val="20"/>
                  <w:u w:val="single" w:color="0462C1"/>
                </w:rPr>
                <w:t>https://www.census.gov/acs/www/data/data-tables-and-tools/american-</w:t>
              </w:r>
            </w:hyperlink>
            <w:r>
              <w:rPr>
                <w:color w:val="0462C1"/>
                <w:sz w:val="20"/>
              </w:rPr>
              <w:t xml:space="preserve"> </w:t>
            </w:r>
            <w:hyperlink r:id="rId12">
              <w:r>
                <w:rPr>
                  <w:color w:val="0462C1"/>
                  <w:sz w:val="20"/>
                  <w:u w:val="single" w:color="0462C1"/>
                </w:rPr>
                <w:t>factfinder/</w:t>
              </w:r>
            </w:hyperlink>
          </w:p>
        </w:tc>
      </w:tr>
      <w:tr w:rsidR="0046798B" w14:paraId="21F93CD3" w14:textId="77777777">
        <w:trPr>
          <w:trHeight w:val="1465"/>
        </w:trPr>
        <w:tc>
          <w:tcPr>
            <w:tcW w:w="1711" w:type="dxa"/>
          </w:tcPr>
          <w:p w14:paraId="1B2BC705" w14:textId="77777777" w:rsidR="0046798B" w:rsidRDefault="0046798B">
            <w:pPr>
              <w:pStyle w:val="TableParagraph"/>
              <w:rPr>
                <w:b/>
              </w:rPr>
            </w:pPr>
          </w:p>
          <w:p w14:paraId="797EC076" w14:textId="77777777" w:rsidR="0046798B" w:rsidRDefault="0046798B">
            <w:pPr>
              <w:pStyle w:val="TableParagraph"/>
              <w:spacing w:before="4"/>
              <w:rPr>
                <w:b/>
                <w:sz w:val="31"/>
              </w:rPr>
            </w:pPr>
          </w:p>
          <w:p w14:paraId="0EAA712C" w14:textId="77777777" w:rsidR="0046798B" w:rsidRDefault="00903B5C">
            <w:pPr>
              <w:pStyle w:val="TableParagraph"/>
              <w:ind w:left="115"/>
              <w:rPr>
                <w:b/>
                <w:sz w:val="20"/>
              </w:rPr>
            </w:pPr>
            <w:r>
              <w:rPr>
                <w:b/>
                <w:sz w:val="20"/>
              </w:rPr>
              <w:t>popdensity</w:t>
            </w:r>
          </w:p>
        </w:tc>
        <w:tc>
          <w:tcPr>
            <w:tcW w:w="1596" w:type="dxa"/>
          </w:tcPr>
          <w:p w14:paraId="3BC453AA" w14:textId="77777777" w:rsidR="0046798B" w:rsidRDefault="0046798B">
            <w:pPr>
              <w:pStyle w:val="TableParagraph"/>
              <w:rPr>
                <w:b/>
              </w:rPr>
            </w:pPr>
          </w:p>
          <w:p w14:paraId="75CA80D0" w14:textId="77777777" w:rsidR="0046798B" w:rsidRDefault="0046798B">
            <w:pPr>
              <w:pStyle w:val="TableParagraph"/>
              <w:spacing w:before="4"/>
              <w:rPr>
                <w:b/>
                <w:sz w:val="21"/>
              </w:rPr>
            </w:pPr>
          </w:p>
          <w:p w14:paraId="74BCA684" w14:textId="77777777" w:rsidR="0046798B" w:rsidRDefault="00903B5C">
            <w:pPr>
              <w:pStyle w:val="TableParagraph"/>
              <w:ind w:left="114" w:right="585"/>
              <w:rPr>
                <w:sz w:val="20"/>
              </w:rPr>
            </w:pPr>
            <w:r>
              <w:rPr>
                <w:sz w:val="20"/>
              </w:rPr>
              <w:t>Population density</w:t>
            </w:r>
          </w:p>
        </w:tc>
        <w:tc>
          <w:tcPr>
            <w:tcW w:w="1285" w:type="dxa"/>
          </w:tcPr>
          <w:p w14:paraId="044D1902" w14:textId="77777777" w:rsidR="0046798B" w:rsidRDefault="0046798B">
            <w:pPr>
              <w:pStyle w:val="TableParagraph"/>
              <w:rPr>
                <w:b/>
              </w:rPr>
            </w:pPr>
          </w:p>
          <w:p w14:paraId="1CC5095E" w14:textId="77777777" w:rsidR="0046798B" w:rsidRDefault="0046798B">
            <w:pPr>
              <w:pStyle w:val="TableParagraph"/>
              <w:spacing w:before="4"/>
              <w:rPr>
                <w:b/>
                <w:sz w:val="31"/>
              </w:rPr>
            </w:pPr>
          </w:p>
          <w:p w14:paraId="4E0511FF" w14:textId="77777777" w:rsidR="0046798B" w:rsidRDefault="00903B5C">
            <w:pPr>
              <w:pStyle w:val="TableParagraph"/>
              <w:ind w:left="114"/>
              <w:rPr>
                <w:sz w:val="20"/>
              </w:rPr>
            </w:pPr>
            <w:r>
              <w:rPr>
                <w:sz w:val="20"/>
              </w:rPr>
              <w:t>1975–1999</w:t>
            </w:r>
          </w:p>
        </w:tc>
        <w:tc>
          <w:tcPr>
            <w:tcW w:w="3421" w:type="dxa"/>
          </w:tcPr>
          <w:p w14:paraId="33903BFA" w14:textId="77777777" w:rsidR="0046798B" w:rsidRDefault="0046798B">
            <w:pPr>
              <w:pStyle w:val="TableParagraph"/>
              <w:spacing w:before="4"/>
              <w:rPr>
                <w:b/>
                <w:sz w:val="23"/>
              </w:rPr>
            </w:pPr>
          </w:p>
          <w:p w14:paraId="3F59C594" w14:textId="77777777" w:rsidR="0046798B" w:rsidRDefault="00903B5C">
            <w:pPr>
              <w:pStyle w:val="TableParagraph"/>
              <w:ind w:left="114" w:right="205"/>
              <w:rPr>
                <w:sz w:val="20"/>
              </w:rPr>
            </w:pPr>
            <w:r>
              <w:rPr>
                <w:sz w:val="20"/>
              </w:rPr>
              <w:t>Number of people per square mile of land area; population in 1000s divided by land area in square miles (excludes water)</w:t>
            </w:r>
          </w:p>
        </w:tc>
        <w:tc>
          <w:tcPr>
            <w:tcW w:w="6482" w:type="dxa"/>
          </w:tcPr>
          <w:p w14:paraId="71FD9DD9" w14:textId="77777777" w:rsidR="0046798B" w:rsidRDefault="00797354">
            <w:pPr>
              <w:pStyle w:val="TableParagraph"/>
              <w:spacing w:before="38"/>
              <w:ind w:left="114" w:right="217"/>
              <w:rPr>
                <w:sz w:val="20"/>
              </w:rPr>
            </w:pPr>
            <w:hyperlink r:id="rId13">
              <w:r w:rsidR="00903B5C">
                <w:rPr>
                  <w:sz w:val="20"/>
                </w:rPr>
                <w:t xml:space="preserve">http://www.ipsr.ku.edu/SPPQ/datasets.shtml </w:t>
              </w:r>
            </w:hyperlink>
            <w:r w:rsidR="00903B5C">
              <w:rPr>
                <w:sz w:val="20"/>
              </w:rPr>
              <w:t>(data from The Statistical Abstract of the United States, U.S. Census Bureau). No data were available for the District of Columbia.</w:t>
            </w:r>
          </w:p>
          <w:p w14:paraId="299D7AEE" w14:textId="77777777" w:rsidR="0046798B" w:rsidRDefault="0046798B">
            <w:pPr>
              <w:pStyle w:val="TableParagraph"/>
              <w:rPr>
                <w:b/>
                <w:sz w:val="20"/>
              </w:rPr>
            </w:pPr>
          </w:p>
          <w:p w14:paraId="1981C1EC" w14:textId="77777777" w:rsidR="0046798B" w:rsidRDefault="00903B5C">
            <w:pPr>
              <w:pStyle w:val="TableParagraph"/>
              <w:ind w:left="114" w:right="217"/>
              <w:rPr>
                <w:sz w:val="20"/>
              </w:rPr>
            </w:pPr>
            <w:r>
              <w:rPr>
                <w:sz w:val="20"/>
              </w:rPr>
              <w:t xml:space="preserve">Originally provided by Stateminder: A data visualization project from Georgetown University. </w:t>
            </w:r>
            <w:hyperlink r:id="rId14">
              <w:r>
                <w:rPr>
                  <w:sz w:val="20"/>
                  <w:u w:val="single"/>
                </w:rPr>
                <w:t>http://stateminder.org/</w:t>
              </w:r>
              <w:r>
                <w:rPr>
                  <w:sz w:val="20"/>
                </w:rPr>
                <w:t xml:space="preserve"> </w:t>
              </w:r>
            </w:hyperlink>
            <w:r>
              <w:rPr>
                <w:sz w:val="20"/>
              </w:rPr>
              <w:t>(no longer accessible online)</w:t>
            </w:r>
          </w:p>
        </w:tc>
      </w:tr>
      <w:tr w:rsidR="0046798B" w14:paraId="7E343B24" w14:textId="77777777">
        <w:trPr>
          <w:trHeight w:val="1235"/>
        </w:trPr>
        <w:tc>
          <w:tcPr>
            <w:tcW w:w="1711" w:type="dxa"/>
          </w:tcPr>
          <w:p w14:paraId="719F2611" w14:textId="77777777" w:rsidR="0046798B" w:rsidRDefault="0046798B">
            <w:pPr>
              <w:pStyle w:val="TableParagraph"/>
              <w:rPr>
                <w:b/>
              </w:rPr>
            </w:pPr>
          </w:p>
          <w:p w14:paraId="01845BF5" w14:textId="77777777" w:rsidR="0046798B" w:rsidRDefault="0046798B">
            <w:pPr>
              <w:pStyle w:val="TableParagraph"/>
              <w:spacing w:before="4"/>
              <w:rPr>
                <w:b/>
                <w:sz w:val="21"/>
              </w:rPr>
            </w:pPr>
          </w:p>
          <w:p w14:paraId="4DC86A32" w14:textId="77777777" w:rsidR="0046798B" w:rsidRDefault="00903B5C">
            <w:pPr>
              <w:pStyle w:val="TableParagraph"/>
              <w:ind w:left="115"/>
              <w:rPr>
                <w:b/>
                <w:sz w:val="20"/>
              </w:rPr>
            </w:pPr>
            <w:r>
              <w:rPr>
                <w:b/>
                <w:sz w:val="20"/>
              </w:rPr>
              <w:t>popfemale</w:t>
            </w:r>
          </w:p>
        </w:tc>
        <w:tc>
          <w:tcPr>
            <w:tcW w:w="1596" w:type="dxa"/>
          </w:tcPr>
          <w:p w14:paraId="1C9ECFBE" w14:textId="77777777" w:rsidR="0046798B" w:rsidRDefault="0046798B">
            <w:pPr>
              <w:pStyle w:val="TableParagraph"/>
              <w:rPr>
                <w:b/>
              </w:rPr>
            </w:pPr>
          </w:p>
          <w:p w14:paraId="13946738" w14:textId="77777777" w:rsidR="0046798B" w:rsidRDefault="00903B5C">
            <w:pPr>
              <w:pStyle w:val="TableParagraph"/>
              <w:spacing w:before="131"/>
              <w:ind w:left="114" w:right="596"/>
              <w:rPr>
                <w:sz w:val="20"/>
              </w:rPr>
            </w:pPr>
            <w:r>
              <w:rPr>
                <w:sz w:val="20"/>
              </w:rPr>
              <w:t>Female population</w:t>
            </w:r>
          </w:p>
        </w:tc>
        <w:tc>
          <w:tcPr>
            <w:tcW w:w="1285" w:type="dxa"/>
          </w:tcPr>
          <w:p w14:paraId="3F4895DA" w14:textId="77777777" w:rsidR="0046798B" w:rsidRDefault="0046798B">
            <w:pPr>
              <w:pStyle w:val="TableParagraph"/>
              <w:rPr>
                <w:b/>
              </w:rPr>
            </w:pPr>
          </w:p>
          <w:p w14:paraId="5EA9A31C" w14:textId="77777777" w:rsidR="0046798B" w:rsidRDefault="0046798B">
            <w:pPr>
              <w:pStyle w:val="TableParagraph"/>
              <w:spacing w:before="4"/>
              <w:rPr>
                <w:b/>
                <w:sz w:val="21"/>
              </w:rPr>
            </w:pPr>
          </w:p>
          <w:p w14:paraId="2CE35DFD" w14:textId="77777777" w:rsidR="0046798B" w:rsidRDefault="00903B5C">
            <w:pPr>
              <w:pStyle w:val="TableParagraph"/>
              <w:ind w:left="114"/>
              <w:rPr>
                <w:sz w:val="20"/>
              </w:rPr>
            </w:pPr>
            <w:r>
              <w:rPr>
                <w:sz w:val="20"/>
              </w:rPr>
              <w:t>1994–2010</w:t>
            </w:r>
          </w:p>
        </w:tc>
        <w:tc>
          <w:tcPr>
            <w:tcW w:w="3421" w:type="dxa"/>
          </w:tcPr>
          <w:p w14:paraId="29996D35" w14:textId="77777777" w:rsidR="0046798B" w:rsidRDefault="0046798B">
            <w:pPr>
              <w:pStyle w:val="TableParagraph"/>
              <w:rPr>
                <w:b/>
              </w:rPr>
            </w:pPr>
          </w:p>
          <w:p w14:paraId="7DFF49DD" w14:textId="77777777" w:rsidR="0046798B" w:rsidRDefault="00903B5C">
            <w:pPr>
              <w:pStyle w:val="TableParagraph"/>
              <w:spacing w:before="131"/>
              <w:ind w:left="114" w:right="206"/>
              <w:rPr>
                <w:sz w:val="20"/>
              </w:rPr>
            </w:pPr>
            <w:r>
              <w:rPr>
                <w:sz w:val="20"/>
              </w:rPr>
              <w:t>The number of residents who are female. Data for 2001 are unavailable.</w:t>
            </w:r>
          </w:p>
        </w:tc>
        <w:tc>
          <w:tcPr>
            <w:tcW w:w="6482" w:type="dxa"/>
          </w:tcPr>
          <w:p w14:paraId="45C1ABA8" w14:textId="77777777" w:rsidR="0046798B" w:rsidRDefault="00903B5C">
            <w:pPr>
              <w:pStyle w:val="TableParagraph"/>
              <w:spacing w:before="39"/>
              <w:ind w:left="114" w:right="2016"/>
              <w:rPr>
                <w:sz w:val="20"/>
              </w:rPr>
            </w:pPr>
            <w:r>
              <w:rPr>
                <w:sz w:val="20"/>
              </w:rPr>
              <w:t xml:space="preserve">CQ Press. “State Stats: Population under 5 years old.” </w:t>
            </w:r>
            <w:hyperlink r:id="rId15">
              <w:r>
                <w:rPr>
                  <w:color w:val="0462C1"/>
                  <w:sz w:val="20"/>
                  <w:u w:val="single" w:color="0462C1"/>
                </w:rPr>
                <w:t>http://library.cqpress.com/cqresearcher/index.php</w:t>
              </w:r>
            </w:hyperlink>
          </w:p>
          <w:p w14:paraId="31E315FD" w14:textId="77777777" w:rsidR="0046798B" w:rsidRDefault="0046798B">
            <w:pPr>
              <w:pStyle w:val="TableParagraph"/>
              <w:spacing w:before="11"/>
              <w:rPr>
                <w:b/>
                <w:sz w:val="19"/>
              </w:rPr>
            </w:pPr>
          </w:p>
          <w:p w14:paraId="6FCF4919" w14:textId="77777777" w:rsidR="0046798B" w:rsidRDefault="00903B5C">
            <w:pPr>
              <w:pStyle w:val="TableParagraph"/>
              <w:ind w:left="114" w:right="217"/>
              <w:rPr>
                <w:sz w:val="20"/>
              </w:rPr>
            </w:pPr>
            <w:r>
              <w:rPr>
                <w:sz w:val="20"/>
              </w:rPr>
              <w:t xml:space="preserve">Originally provided by Stateminder: A data visualization project from Georgetown University. </w:t>
            </w:r>
            <w:hyperlink r:id="rId16">
              <w:r>
                <w:rPr>
                  <w:sz w:val="20"/>
                  <w:u w:val="single"/>
                </w:rPr>
                <w:t>http://stateminder.org/</w:t>
              </w:r>
              <w:r>
                <w:rPr>
                  <w:sz w:val="20"/>
                </w:rPr>
                <w:t xml:space="preserve"> </w:t>
              </w:r>
            </w:hyperlink>
            <w:r>
              <w:rPr>
                <w:sz w:val="20"/>
              </w:rPr>
              <w:t>(no longer accessible online)</w:t>
            </w:r>
          </w:p>
        </w:tc>
      </w:tr>
      <w:tr w:rsidR="0046798B" w14:paraId="01540BDD" w14:textId="77777777">
        <w:trPr>
          <w:trHeight w:val="775"/>
        </w:trPr>
        <w:tc>
          <w:tcPr>
            <w:tcW w:w="1711" w:type="dxa"/>
          </w:tcPr>
          <w:p w14:paraId="34CDC60C" w14:textId="77777777" w:rsidR="0046798B" w:rsidRDefault="0046798B">
            <w:pPr>
              <w:pStyle w:val="TableParagraph"/>
              <w:spacing w:before="4"/>
              <w:rPr>
                <w:b/>
                <w:sz w:val="23"/>
              </w:rPr>
            </w:pPr>
          </w:p>
          <w:p w14:paraId="55337879" w14:textId="77777777" w:rsidR="0046798B" w:rsidRDefault="00903B5C">
            <w:pPr>
              <w:pStyle w:val="TableParagraph"/>
              <w:ind w:left="115"/>
              <w:rPr>
                <w:b/>
                <w:sz w:val="20"/>
              </w:rPr>
            </w:pPr>
            <w:r>
              <w:rPr>
                <w:b/>
                <w:sz w:val="20"/>
              </w:rPr>
              <w:t>pctpopfemale</w:t>
            </w:r>
          </w:p>
        </w:tc>
        <w:tc>
          <w:tcPr>
            <w:tcW w:w="1596" w:type="dxa"/>
          </w:tcPr>
          <w:p w14:paraId="32A1AA0D" w14:textId="77777777" w:rsidR="0046798B" w:rsidRDefault="00903B5C">
            <w:pPr>
              <w:pStyle w:val="TableParagraph"/>
              <w:spacing w:before="38"/>
              <w:ind w:left="114" w:right="452"/>
              <w:rPr>
                <w:sz w:val="20"/>
              </w:rPr>
            </w:pPr>
            <w:r>
              <w:rPr>
                <w:sz w:val="20"/>
              </w:rPr>
              <w:t>Female population (percentage)</w:t>
            </w:r>
          </w:p>
        </w:tc>
        <w:tc>
          <w:tcPr>
            <w:tcW w:w="1285" w:type="dxa"/>
          </w:tcPr>
          <w:p w14:paraId="7F05845E" w14:textId="77777777" w:rsidR="0046798B" w:rsidRDefault="0046798B">
            <w:pPr>
              <w:pStyle w:val="TableParagraph"/>
              <w:spacing w:before="4"/>
              <w:rPr>
                <w:b/>
                <w:sz w:val="23"/>
              </w:rPr>
            </w:pPr>
          </w:p>
          <w:p w14:paraId="11B40D93" w14:textId="77777777" w:rsidR="0046798B" w:rsidRDefault="00903B5C">
            <w:pPr>
              <w:pStyle w:val="TableParagraph"/>
              <w:ind w:left="114"/>
              <w:rPr>
                <w:sz w:val="20"/>
              </w:rPr>
            </w:pPr>
            <w:r>
              <w:rPr>
                <w:sz w:val="20"/>
              </w:rPr>
              <w:t>2012–2017</w:t>
            </w:r>
          </w:p>
        </w:tc>
        <w:tc>
          <w:tcPr>
            <w:tcW w:w="3421" w:type="dxa"/>
          </w:tcPr>
          <w:p w14:paraId="43798AF5" w14:textId="77777777" w:rsidR="0046798B" w:rsidRDefault="00903B5C">
            <w:pPr>
              <w:pStyle w:val="TableParagraph"/>
              <w:spacing w:before="153"/>
              <w:ind w:left="114" w:right="422"/>
              <w:rPr>
                <w:sz w:val="20"/>
              </w:rPr>
            </w:pPr>
            <w:r>
              <w:rPr>
                <w:sz w:val="20"/>
              </w:rPr>
              <w:t>Percentage of the state’s population that is female</w:t>
            </w:r>
          </w:p>
        </w:tc>
        <w:tc>
          <w:tcPr>
            <w:tcW w:w="6482" w:type="dxa"/>
          </w:tcPr>
          <w:p w14:paraId="28D4A894" w14:textId="77777777" w:rsidR="0046798B" w:rsidRDefault="00903B5C">
            <w:pPr>
              <w:pStyle w:val="TableParagraph"/>
              <w:spacing w:before="38"/>
              <w:ind w:left="114" w:right="652"/>
              <w:rPr>
                <w:sz w:val="20"/>
              </w:rPr>
            </w:pPr>
            <w:r>
              <w:rPr>
                <w:sz w:val="20"/>
              </w:rPr>
              <w:t>U.S. Census Bureau, American Fact Finder:</w:t>
            </w:r>
            <w:r>
              <w:rPr>
                <w:color w:val="0462C1"/>
                <w:sz w:val="20"/>
                <w:u w:val="single" w:color="0462C1"/>
              </w:rPr>
              <w:t xml:space="preserve"> </w:t>
            </w:r>
            <w:hyperlink r:id="rId17">
              <w:r>
                <w:rPr>
                  <w:color w:val="0462C1"/>
                  <w:sz w:val="20"/>
                  <w:u w:val="single" w:color="0462C1"/>
                </w:rPr>
                <w:t>https://www.census.gov/acs/www/data/data-tables-and-tools/american-</w:t>
              </w:r>
            </w:hyperlink>
            <w:hyperlink r:id="rId18">
              <w:r>
                <w:rPr>
                  <w:color w:val="0462C1"/>
                  <w:sz w:val="20"/>
                  <w:u w:val="single" w:color="0462C1"/>
                </w:rPr>
                <w:t xml:space="preserve"> factfinder/</w:t>
              </w:r>
            </w:hyperlink>
          </w:p>
        </w:tc>
      </w:tr>
      <w:tr w:rsidR="0046798B" w14:paraId="560AE2C5" w14:textId="77777777">
        <w:trPr>
          <w:trHeight w:val="1235"/>
        </w:trPr>
        <w:tc>
          <w:tcPr>
            <w:tcW w:w="1711" w:type="dxa"/>
          </w:tcPr>
          <w:p w14:paraId="1057C573" w14:textId="77777777" w:rsidR="0046798B" w:rsidRDefault="0046798B">
            <w:pPr>
              <w:pStyle w:val="TableParagraph"/>
              <w:rPr>
                <w:b/>
              </w:rPr>
            </w:pPr>
          </w:p>
          <w:p w14:paraId="123E8E0B" w14:textId="77777777" w:rsidR="0046798B" w:rsidRDefault="0046798B">
            <w:pPr>
              <w:pStyle w:val="TableParagraph"/>
              <w:spacing w:before="9"/>
              <w:rPr>
                <w:b/>
                <w:sz w:val="21"/>
              </w:rPr>
            </w:pPr>
          </w:p>
          <w:p w14:paraId="04DC02FF" w14:textId="77777777" w:rsidR="0046798B" w:rsidRDefault="00903B5C">
            <w:pPr>
              <w:pStyle w:val="TableParagraph"/>
              <w:ind w:left="115"/>
              <w:rPr>
                <w:b/>
                <w:sz w:val="20"/>
              </w:rPr>
            </w:pPr>
            <w:r>
              <w:rPr>
                <w:b/>
                <w:sz w:val="20"/>
              </w:rPr>
              <w:t>popmale</w:t>
            </w:r>
          </w:p>
        </w:tc>
        <w:tc>
          <w:tcPr>
            <w:tcW w:w="1596" w:type="dxa"/>
          </w:tcPr>
          <w:p w14:paraId="076B94F1" w14:textId="77777777" w:rsidR="0046798B" w:rsidRDefault="0046798B">
            <w:pPr>
              <w:pStyle w:val="TableParagraph"/>
              <w:rPr>
                <w:b/>
              </w:rPr>
            </w:pPr>
          </w:p>
          <w:p w14:paraId="453DA865" w14:textId="77777777" w:rsidR="0046798B" w:rsidRDefault="0046798B">
            <w:pPr>
              <w:pStyle w:val="TableParagraph"/>
              <w:spacing w:before="9"/>
              <w:rPr>
                <w:b/>
                <w:sz w:val="21"/>
              </w:rPr>
            </w:pPr>
          </w:p>
          <w:p w14:paraId="69720DC8" w14:textId="77777777" w:rsidR="0046798B" w:rsidRDefault="00903B5C">
            <w:pPr>
              <w:pStyle w:val="TableParagraph"/>
              <w:ind w:left="114"/>
              <w:rPr>
                <w:sz w:val="20"/>
              </w:rPr>
            </w:pPr>
            <w:r>
              <w:rPr>
                <w:sz w:val="20"/>
              </w:rPr>
              <w:t>Male population</w:t>
            </w:r>
          </w:p>
        </w:tc>
        <w:tc>
          <w:tcPr>
            <w:tcW w:w="1285" w:type="dxa"/>
          </w:tcPr>
          <w:p w14:paraId="5787A725" w14:textId="77777777" w:rsidR="0046798B" w:rsidRDefault="0046798B">
            <w:pPr>
              <w:pStyle w:val="TableParagraph"/>
              <w:rPr>
                <w:b/>
              </w:rPr>
            </w:pPr>
          </w:p>
          <w:p w14:paraId="0A240917" w14:textId="77777777" w:rsidR="0046798B" w:rsidRDefault="0046798B">
            <w:pPr>
              <w:pStyle w:val="TableParagraph"/>
              <w:spacing w:before="9"/>
              <w:rPr>
                <w:b/>
                <w:sz w:val="21"/>
              </w:rPr>
            </w:pPr>
          </w:p>
          <w:p w14:paraId="237D783F" w14:textId="77777777" w:rsidR="0046798B" w:rsidRDefault="00903B5C">
            <w:pPr>
              <w:pStyle w:val="TableParagraph"/>
              <w:ind w:left="114"/>
              <w:rPr>
                <w:sz w:val="20"/>
              </w:rPr>
            </w:pPr>
            <w:r>
              <w:rPr>
                <w:sz w:val="20"/>
              </w:rPr>
              <w:t>1994–2010</w:t>
            </w:r>
          </w:p>
        </w:tc>
        <w:tc>
          <w:tcPr>
            <w:tcW w:w="3421" w:type="dxa"/>
          </w:tcPr>
          <w:p w14:paraId="1F7AC7E7" w14:textId="77777777" w:rsidR="0046798B" w:rsidRDefault="0046798B">
            <w:pPr>
              <w:pStyle w:val="TableParagraph"/>
              <w:rPr>
                <w:b/>
              </w:rPr>
            </w:pPr>
          </w:p>
          <w:p w14:paraId="4453B98A" w14:textId="77777777" w:rsidR="0046798B" w:rsidRDefault="00903B5C">
            <w:pPr>
              <w:pStyle w:val="TableParagraph"/>
              <w:spacing w:before="135"/>
              <w:ind w:left="114" w:right="150"/>
              <w:rPr>
                <w:sz w:val="20"/>
              </w:rPr>
            </w:pPr>
            <w:r>
              <w:rPr>
                <w:sz w:val="20"/>
              </w:rPr>
              <w:t>The number of residents who are male. Data for 2001 are unavailable.</w:t>
            </w:r>
          </w:p>
        </w:tc>
        <w:tc>
          <w:tcPr>
            <w:tcW w:w="6482" w:type="dxa"/>
          </w:tcPr>
          <w:p w14:paraId="5B01CE0E" w14:textId="77777777" w:rsidR="0046798B" w:rsidRDefault="00903B5C">
            <w:pPr>
              <w:pStyle w:val="TableParagraph"/>
              <w:spacing w:before="43"/>
              <w:ind w:left="114" w:right="2016"/>
              <w:rPr>
                <w:sz w:val="20"/>
              </w:rPr>
            </w:pPr>
            <w:r>
              <w:rPr>
                <w:sz w:val="20"/>
              </w:rPr>
              <w:t xml:space="preserve">CQ Press. “State Stats: Population under 5 years old.” </w:t>
            </w:r>
            <w:hyperlink r:id="rId19">
              <w:r>
                <w:rPr>
                  <w:color w:val="0462C1"/>
                  <w:sz w:val="20"/>
                  <w:u w:val="single" w:color="0462C1"/>
                </w:rPr>
                <w:t>http://library.cqpress.com/cqresearcher/index.php</w:t>
              </w:r>
            </w:hyperlink>
          </w:p>
          <w:p w14:paraId="6F4AD0A4" w14:textId="77777777" w:rsidR="0046798B" w:rsidRDefault="0046798B">
            <w:pPr>
              <w:pStyle w:val="TableParagraph"/>
              <w:rPr>
                <w:b/>
                <w:sz w:val="20"/>
              </w:rPr>
            </w:pPr>
          </w:p>
          <w:p w14:paraId="24331073" w14:textId="77777777" w:rsidR="0046798B" w:rsidRDefault="00903B5C">
            <w:pPr>
              <w:pStyle w:val="TableParagraph"/>
              <w:ind w:left="114" w:right="217"/>
              <w:rPr>
                <w:sz w:val="20"/>
              </w:rPr>
            </w:pPr>
            <w:r>
              <w:rPr>
                <w:sz w:val="20"/>
              </w:rPr>
              <w:t xml:space="preserve">Originally provided by Stateminder: A data visualization project from Georgetown University. </w:t>
            </w:r>
            <w:hyperlink r:id="rId20">
              <w:r>
                <w:rPr>
                  <w:sz w:val="20"/>
                  <w:u w:val="single"/>
                </w:rPr>
                <w:t>http://stateminder.org/</w:t>
              </w:r>
              <w:r>
                <w:rPr>
                  <w:sz w:val="20"/>
                </w:rPr>
                <w:t xml:space="preserve"> </w:t>
              </w:r>
            </w:hyperlink>
            <w:r>
              <w:rPr>
                <w:sz w:val="20"/>
              </w:rPr>
              <w:t>(no longer accessible online)</w:t>
            </w:r>
          </w:p>
        </w:tc>
      </w:tr>
      <w:tr w:rsidR="0046798B" w14:paraId="63CD7ABF" w14:textId="77777777">
        <w:trPr>
          <w:trHeight w:val="775"/>
        </w:trPr>
        <w:tc>
          <w:tcPr>
            <w:tcW w:w="1711" w:type="dxa"/>
          </w:tcPr>
          <w:p w14:paraId="7AAA74FB" w14:textId="77777777" w:rsidR="0046798B" w:rsidRDefault="0046798B">
            <w:pPr>
              <w:pStyle w:val="TableParagraph"/>
              <w:spacing w:before="8"/>
              <w:rPr>
                <w:b/>
                <w:sz w:val="23"/>
              </w:rPr>
            </w:pPr>
          </w:p>
          <w:p w14:paraId="7856C415" w14:textId="77777777" w:rsidR="0046798B" w:rsidRDefault="00903B5C">
            <w:pPr>
              <w:pStyle w:val="TableParagraph"/>
              <w:spacing w:before="1"/>
              <w:ind w:left="115"/>
              <w:rPr>
                <w:b/>
                <w:sz w:val="20"/>
              </w:rPr>
            </w:pPr>
            <w:r>
              <w:rPr>
                <w:b/>
                <w:sz w:val="20"/>
              </w:rPr>
              <w:t>pctpopmale</w:t>
            </w:r>
          </w:p>
        </w:tc>
        <w:tc>
          <w:tcPr>
            <w:tcW w:w="1596" w:type="dxa"/>
          </w:tcPr>
          <w:p w14:paraId="33AD400F" w14:textId="77777777" w:rsidR="0046798B" w:rsidRDefault="00903B5C">
            <w:pPr>
              <w:pStyle w:val="TableParagraph"/>
              <w:spacing w:before="158"/>
              <w:ind w:left="114" w:right="135"/>
              <w:rPr>
                <w:sz w:val="20"/>
              </w:rPr>
            </w:pPr>
            <w:r>
              <w:rPr>
                <w:sz w:val="20"/>
              </w:rPr>
              <w:t>Male population (percentage)</w:t>
            </w:r>
          </w:p>
        </w:tc>
        <w:tc>
          <w:tcPr>
            <w:tcW w:w="1285" w:type="dxa"/>
          </w:tcPr>
          <w:p w14:paraId="187F3E9E" w14:textId="77777777" w:rsidR="0046798B" w:rsidRDefault="0046798B">
            <w:pPr>
              <w:pStyle w:val="TableParagraph"/>
              <w:spacing w:before="8"/>
              <w:rPr>
                <w:b/>
                <w:sz w:val="23"/>
              </w:rPr>
            </w:pPr>
          </w:p>
          <w:p w14:paraId="6491EB98" w14:textId="77777777" w:rsidR="0046798B" w:rsidRDefault="00903B5C">
            <w:pPr>
              <w:pStyle w:val="TableParagraph"/>
              <w:spacing w:before="1"/>
              <w:ind w:left="114"/>
              <w:rPr>
                <w:sz w:val="20"/>
              </w:rPr>
            </w:pPr>
            <w:r>
              <w:rPr>
                <w:sz w:val="20"/>
              </w:rPr>
              <w:t>2012–2017</w:t>
            </w:r>
          </w:p>
        </w:tc>
        <w:tc>
          <w:tcPr>
            <w:tcW w:w="3421" w:type="dxa"/>
          </w:tcPr>
          <w:p w14:paraId="4D0808E6" w14:textId="77777777" w:rsidR="0046798B" w:rsidRDefault="00903B5C">
            <w:pPr>
              <w:pStyle w:val="TableParagraph"/>
              <w:spacing w:before="158"/>
              <w:ind w:left="114" w:right="422"/>
              <w:rPr>
                <w:sz w:val="20"/>
              </w:rPr>
            </w:pPr>
            <w:r>
              <w:rPr>
                <w:sz w:val="20"/>
              </w:rPr>
              <w:t>Percentage of the state’s population that is male</w:t>
            </w:r>
          </w:p>
        </w:tc>
        <w:tc>
          <w:tcPr>
            <w:tcW w:w="6482" w:type="dxa"/>
          </w:tcPr>
          <w:p w14:paraId="484A41DC" w14:textId="77777777" w:rsidR="0046798B" w:rsidRDefault="00903B5C">
            <w:pPr>
              <w:pStyle w:val="TableParagraph"/>
              <w:spacing w:before="43"/>
              <w:ind w:left="114" w:right="652"/>
              <w:rPr>
                <w:sz w:val="20"/>
              </w:rPr>
            </w:pPr>
            <w:r>
              <w:rPr>
                <w:sz w:val="20"/>
              </w:rPr>
              <w:t>U.S. Census Bureau, American Fact Finder:</w:t>
            </w:r>
            <w:r>
              <w:rPr>
                <w:color w:val="0462C1"/>
                <w:sz w:val="20"/>
                <w:u w:val="single" w:color="0462C1"/>
              </w:rPr>
              <w:t xml:space="preserve"> </w:t>
            </w:r>
            <w:hyperlink r:id="rId21">
              <w:r>
                <w:rPr>
                  <w:color w:val="0462C1"/>
                  <w:sz w:val="20"/>
                  <w:u w:val="single" w:color="0462C1"/>
                </w:rPr>
                <w:t>https://www.census.gov/acs/www/data/data-tables-and-tools/american-</w:t>
              </w:r>
            </w:hyperlink>
            <w:hyperlink r:id="rId22">
              <w:r>
                <w:rPr>
                  <w:color w:val="0462C1"/>
                  <w:sz w:val="20"/>
                  <w:u w:val="single" w:color="0462C1"/>
                </w:rPr>
                <w:t xml:space="preserve"> factfinder/</w:t>
              </w:r>
            </w:hyperlink>
          </w:p>
        </w:tc>
      </w:tr>
    </w:tbl>
    <w:p w14:paraId="5CEAEBD1" w14:textId="77777777" w:rsidR="0046798B" w:rsidRDefault="0046798B">
      <w:pPr>
        <w:rPr>
          <w:sz w:val="20"/>
        </w:rPr>
        <w:sectPr w:rsidR="0046798B">
          <w:pgSz w:w="15840" w:h="12240" w:orient="landscape"/>
          <w:pgMar w:top="1220" w:right="300" w:bottom="980" w:left="820" w:header="730" w:footer="787" w:gutter="0"/>
          <w:cols w:space="720"/>
        </w:sectPr>
      </w:pPr>
    </w:p>
    <w:p w14:paraId="3B65A97C"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541608C" w14:textId="77777777">
        <w:trPr>
          <w:trHeight w:val="1235"/>
        </w:trPr>
        <w:tc>
          <w:tcPr>
            <w:tcW w:w="1711" w:type="dxa"/>
          </w:tcPr>
          <w:p w14:paraId="4623DDDA" w14:textId="77777777" w:rsidR="0046798B" w:rsidRDefault="0046798B">
            <w:pPr>
              <w:pStyle w:val="TableParagraph"/>
            </w:pPr>
          </w:p>
          <w:p w14:paraId="6902CBEF" w14:textId="77777777" w:rsidR="0046798B" w:rsidRDefault="0046798B">
            <w:pPr>
              <w:pStyle w:val="TableParagraph"/>
              <w:spacing w:before="9"/>
              <w:rPr>
                <w:sz w:val="21"/>
              </w:rPr>
            </w:pPr>
          </w:p>
          <w:p w14:paraId="2B568490" w14:textId="77777777" w:rsidR="0046798B" w:rsidRDefault="00903B5C">
            <w:pPr>
              <w:pStyle w:val="TableParagraph"/>
              <w:ind w:left="115"/>
              <w:rPr>
                <w:b/>
                <w:sz w:val="20"/>
              </w:rPr>
            </w:pPr>
            <w:r>
              <w:rPr>
                <w:b/>
                <w:sz w:val="20"/>
              </w:rPr>
              <w:t>popunder5</w:t>
            </w:r>
          </w:p>
        </w:tc>
        <w:tc>
          <w:tcPr>
            <w:tcW w:w="1596" w:type="dxa"/>
          </w:tcPr>
          <w:p w14:paraId="31286201" w14:textId="77777777" w:rsidR="0046798B" w:rsidRDefault="0046798B">
            <w:pPr>
              <w:pStyle w:val="TableParagraph"/>
              <w:spacing w:before="9"/>
              <w:rPr>
                <w:sz w:val="23"/>
              </w:rPr>
            </w:pPr>
          </w:p>
          <w:p w14:paraId="75448418" w14:textId="77777777" w:rsidR="0046798B" w:rsidRDefault="00903B5C">
            <w:pPr>
              <w:pStyle w:val="TableParagraph"/>
              <w:ind w:left="114" w:right="374"/>
              <w:rPr>
                <w:sz w:val="20"/>
              </w:rPr>
            </w:pPr>
            <w:r>
              <w:rPr>
                <w:sz w:val="20"/>
              </w:rPr>
              <w:t>Population under 5 years old</w:t>
            </w:r>
          </w:p>
        </w:tc>
        <w:tc>
          <w:tcPr>
            <w:tcW w:w="1285" w:type="dxa"/>
          </w:tcPr>
          <w:p w14:paraId="608C94B6" w14:textId="77777777" w:rsidR="0046798B" w:rsidRDefault="0046798B">
            <w:pPr>
              <w:pStyle w:val="TableParagraph"/>
            </w:pPr>
          </w:p>
          <w:p w14:paraId="0C31FE09" w14:textId="77777777" w:rsidR="0046798B" w:rsidRDefault="0046798B">
            <w:pPr>
              <w:pStyle w:val="TableParagraph"/>
              <w:spacing w:before="9"/>
              <w:rPr>
                <w:sz w:val="21"/>
              </w:rPr>
            </w:pPr>
          </w:p>
          <w:p w14:paraId="74EB52AB" w14:textId="77777777" w:rsidR="0046798B" w:rsidRDefault="00903B5C">
            <w:pPr>
              <w:pStyle w:val="TableParagraph"/>
              <w:ind w:left="114"/>
              <w:rPr>
                <w:sz w:val="20"/>
              </w:rPr>
            </w:pPr>
            <w:r>
              <w:rPr>
                <w:sz w:val="20"/>
              </w:rPr>
              <w:t>1994–2010</w:t>
            </w:r>
          </w:p>
        </w:tc>
        <w:tc>
          <w:tcPr>
            <w:tcW w:w="3421" w:type="dxa"/>
          </w:tcPr>
          <w:p w14:paraId="02CF5B31" w14:textId="77777777" w:rsidR="0046798B" w:rsidRDefault="0046798B">
            <w:pPr>
              <w:pStyle w:val="TableParagraph"/>
              <w:spacing w:before="9"/>
              <w:rPr>
                <w:sz w:val="23"/>
              </w:rPr>
            </w:pPr>
          </w:p>
          <w:p w14:paraId="67EA1E05" w14:textId="77777777" w:rsidR="0046798B" w:rsidRDefault="00903B5C">
            <w:pPr>
              <w:pStyle w:val="TableParagraph"/>
              <w:ind w:left="114" w:right="200"/>
              <w:rPr>
                <w:sz w:val="20"/>
              </w:rPr>
            </w:pPr>
            <w:r>
              <w:rPr>
                <w:sz w:val="20"/>
              </w:rPr>
              <w:t>The number of residents under the age of five in a state. Data for 2001 are unavailable.</w:t>
            </w:r>
          </w:p>
        </w:tc>
        <w:tc>
          <w:tcPr>
            <w:tcW w:w="6482" w:type="dxa"/>
          </w:tcPr>
          <w:p w14:paraId="1B8EA101" w14:textId="77777777" w:rsidR="0046798B" w:rsidRDefault="00903B5C">
            <w:pPr>
              <w:pStyle w:val="TableParagraph"/>
              <w:spacing w:before="43"/>
              <w:ind w:left="114" w:right="2016"/>
              <w:rPr>
                <w:sz w:val="20"/>
              </w:rPr>
            </w:pPr>
            <w:r>
              <w:rPr>
                <w:sz w:val="20"/>
              </w:rPr>
              <w:t xml:space="preserve">CQ Press. “State Stats: Population under 5 years old.” </w:t>
            </w:r>
            <w:hyperlink r:id="rId23">
              <w:r>
                <w:rPr>
                  <w:color w:val="0462C1"/>
                  <w:sz w:val="20"/>
                  <w:u w:val="single" w:color="0462C1"/>
                </w:rPr>
                <w:t>http://library.cqpress.com/cqresearcher/index.php</w:t>
              </w:r>
            </w:hyperlink>
          </w:p>
          <w:p w14:paraId="49C35F28" w14:textId="77777777" w:rsidR="0046798B" w:rsidRDefault="0046798B">
            <w:pPr>
              <w:pStyle w:val="TableParagraph"/>
              <w:rPr>
                <w:sz w:val="20"/>
              </w:rPr>
            </w:pPr>
          </w:p>
          <w:p w14:paraId="6726596C" w14:textId="77777777" w:rsidR="0046798B" w:rsidRDefault="00903B5C">
            <w:pPr>
              <w:pStyle w:val="TableParagraph"/>
              <w:ind w:left="114" w:right="217"/>
              <w:rPr>
                <w:sz w:val="20"/>
              </w:rPr>
            </w:pPr>
            <w:r>
              <w:rPr>
                <w:sz w:val="20"/>
              </w:rPr>
              <w:t xml:space="preserve">Originally provided by Stateminder: A data visualization project from Georgetown University. </w:t>
            </w:r>
            <w:hyperlink r:id="rId24">
              <w:r>
                <w:rPr>
                  <w:sz w:val="20"/>
                  <w:u w:val="single"/>
                </w:rPr>
                <w:t>http://stateminder.org/</w:t>
              </w:r>
              <w:r>
                <w:rPr>
                  <w:sz w:val="20"/>
                </w:rPr>
                <w:t xml:space="preserve"> </w:t>
              </w:r>
            </w:hyperlink>
            <w:r>
              <w:rPr>
                <w:sz w:val="20"/>
              </w:rPr>
              <w:t>(no longer accessible online)</w:t>
            </w:r>
          </w:p>
        </w:tc>
      </w:tr>
      <w:tr w:rsidR="0046798B" w14:paraId="59E81B97" w14:textId="77777777">
        <w:trPr>
          <w:trHeight w:val="775"/>
        </w:trPr>
        <w:tc>
          <w:tcPr>
            <w:tcW w:w="1711" w:type="dxa"/>
          </w:tcPr>
          <w:p w14:paraId="7821AC4E" w14:textId="77777777" w:rsidR="0046798B" w:rsidRDefault="0046798B">
            <w:pPr>
              <w:pStyle w:val="TableParagraph"/>
              <w:spacing w:before="9"/>
              <w:rPr>
                <w:sz w:val="23"/>
              </w:rPr>
            </w:pPr>
          </w:p>
          <w:p w14:paraId="3EDC172F" w14:textId="77777777" w:rsidR="0046798B" w:rsidRDefault="00903B5C">
            <w:pPr>
              <w:pStyle w:val="TableParagraph"/>
              <w:ind w:left="115"/>
              <w:rPr>
                <w:b/>
                <w:sz w:val="20"/>
              </w:rPr>
            </w:pPr>
            <w:r>
              <w:rPr>
                <w:b/>
                <w:sz w:val="20"/>
              </w:rPr>
              <w:t>pctpopunder14</w:t>
            </w:r>
          </w:p>
        </w:tc>
        <w:tc>
          <w:tcPr>
            <w:tcW w:w="1596" w:type="dxa"/>
          </w:tcPr>
          <w:p w14:paraId="1C7240D1" w14:textId="77777777" w:rsidR="0046798B" w:rsidRDefault="00903B5C">
            <w:pPr>
              <w:pStyle w:val="TableParagraph"/>
              <w:spacing w:before="43"/>
              <w:ind w:left="114" w:right="149"/>
              <w:rPr>
                <w:sz w:val="20"/>
              </w:rPr>
            </w:pPr>
            <w:r>
              <w:rPr>
                <w:sz w:val="20"/>
              </w:rPr>
              <w:t>Population under 14 years old (percentage)</w:t>
            </w:r>
          </w:p>
        </w:tc>
        <w:tc>
          <w:tcPr>
            <w:tcW w:w="1285" w:type="dxa"/>
          </w:tcPr>
          <w:p w14:paraId="662D4420" w14:textId="77777777" w:rsidR="0046798B" w:rsidRDefault="0046798B">
            <w:pPr>
              <w:pStyle w:val="TableParagraph"/>
              <w:spacing w:before="9"/>
              <w:rPr>
                <w:sz w:val="23"/>
              </w:rPr>
            </w:pPr>
          </w:p>
          <w:p w14:paraId="719B7449" w14:textId="77777777" w:rsidR="0046798B" w:rsidRDefault="00903B5C">
            <w:pPr>
              <w:pStyle w:val="TableParagraph"/>
              <w:ind w:left="114"/>
              <w:rPr>
                <w:sz w:val="20"/>
              </w:rPr>
            </w:pPr>
            <w:r>
              <w:rPr>
                <w:sz w:val="20"/>
              </w:rPr>
              <w:t>2013–2017</w:t>
            </w:r>
          </w:p>
        </w:tc>
        <w:tc>
          <w:tcPr>
            <w:tcW w:w="3421" w:type="dxa"/>
          </w:tcPr>
          <w:p w14:paraId="73C90D9A" w14:textId="77777777" w:rsidR="0046798B" w:rsidRDefault="00903B5C">
            <w:pPr>
              <w:pStyle w:val="TableParagraph"/>
              <w:spacing w:before="158"/>
              <w:ind w:left="114" w:right="422"/>
              <w:rPr>
                <w:sz w:val="20"/>
              </w:rPr>
            </w:pPr>
            <w:r>
              <w:rPr>
                <w:sz w:val="20"/>
              </w:rPr>
              <w:t>Percentage of the state’s population aged 14 years or younger</w:t>
            </w:r>
          </w:p>
        </w:tc>
        <w:tc>
          <w:tcPr>
            <w:tcW w:w="6482" w:type="dxa"/>
          </w:tcPr>
          <w:p w14:paraId="031BBB2B" w14:textId="77777777" w:rsidR="0046798B" w:rsidRDefault="00903B5C">
            <w:pPr>
              <w:pStyle w:val="TableParagraph"/>
              <w:spacing w:before="43"/>
              <w:ind w:left="114" w:right="652"/>
              <w:rPr>
                <w:sz w:val="20"/>
              </w:rPr>
            </w:pPr>
            <w:r>
              <w:rPr>
                <w:sz w:val="20"/>
              </w:rPr>
              <w:t>U.S. Census Bureau, American Fact Finder:</w:t>
            </w:r>
            <w:r>
              <w:rPr>
                <w:color w:val="0462C1"/>
                <w:sz w:val="20"/>
                <w:u w:val="single" w:color="0462C1"/>
              </w:rPr>
              <w:t xml:space="preserve"> </w:t>
            </w:r>
            <w:hyperlink r:id="rId25">
              <w:r>
                <w:rPr>
                  <w:color w:val="0462C1"/>
                  <w:sz w:val="20"/>
                  <w:u w:val="single" w:color="0462C1"/>
                </w:rPr>
                <w:t>https://www.census.gov/acs/www/data/data-tables-and-tools/american-</w:t>
              </w:r>
            </w:hyperlink>
            <w:hyperlink r:id="rId26">
              <w:r>
                <w:rPr>
                  <w:color w:val="0462C1"/>
                  <w:sz w:val="20"/>
                  <w:u w:val="single" w:color="0462C1"/>
                </w:rPr>
                <w:t xml:space="preserve"> factfinder/</w:t>
              </w:r>
            </w:hyperlink>
          </w:p>
        </w:tc>
      </w:tr>
      <w:tr w:rsidR="0046798B" w14:paraId="4A7CB75A" w14:textId="77777777">
        <w:trPr>
          <w:trHeight w:val="1240"/>
        </w:trPr>
        <w:tc>
          <w:tcPr>
            <w:tcW w:w="1711" w:type="dxa"/>
          </w:tcPr>
          <w:p w14:paraId="387747D3" w14:textId="77777777" w:rsidR="0046798B" w:rsidRDefault="0046798B">
            <w:pPr>
              <w:pStyle w:val="TableParagraph"/>
            </w:pPr>
          </w:p>
          <w:p w14:paraId="530B3D92" w14:textId="77777777" w:rsidR="0046798B" w:rsidRDefault="0046798B">
            <w:pPr>
              <w:pStyle w:val="TableParagraph"/>
              <w:spacing w:before="8"/>
              <w:rPr>
                <w:sz w:val="21"/>
              </w:rPr>
            </w:pPr>
          </w:p>
          <w:p w14:paraId="7145F4A9" w14:textId="77777777" w:rsidR="0046798B" w:rsidRDefault="00903B5C">
            <w:pPr>
              <w:pStyle w:val="TableParagraph"/>
              <w:spacing w:before="1"/>
              <w:ind w:left="115"/>
              <w:rPr>
                <w:b/>
                <w:sz w:val="20"/>
              </w:rPr>
            </w:pPr>
            <w:r>
              <w:rPr>
                <w:b/>
                <w:sz w:val="20"/>
              </w:rPr>
              <w:t>pop5to17</w:t>
            </w:r>
          </w:p>
        </w:tc>
        <w:tc>
          <w:tcPr>
            <w:tcW w:w="1596" w:type="dxa"/>
          </w:tcPr>
          <w:p w14:paraId="23C7E371" w14:textId="77777777" w:rsidR="0046798B" w:rsidRDefault="0046798B">
            <w:pPr>
              <w:pStyle w:val="TableParagraph"/>
              <w:spacing w:before="8"/>
              <w:rPr>
                <w:sz w:val="23"/>
              </w:rPr>
            </w:pPr>
          </w:p>
          <w:p w14:paraId="466D3D31" w14:textId="77777777" w:rsidR="0046798B" w:rsidRDefault="00903B5C">
            <w:pPr>
              <w:pStyle w:val="TableParagraph"/>
              <w:spacing w:before="1"/>
              <w:ind w:left="114" w:right="135"/>
              <w:jc w:val="both"/>
              <w:rPr>
                <w:sz w:val="20"/>
              </w:rPr>
            </w:pPr>
            <w:r>
              <w:rPr>
                <w:sz w:val="20"/>
              </w:rPr>
              <w:t>Population from 5 years old to 17 years old</w:t>
            </w:r>
          </w:p>
        </w:tc>
        <w:tc>
          <w:tcPr>
            <w:tcW w:w="1285" w:type="dxa"/>
          </w:tcPr>
          <w:p w14:paraId="67D16427" w14:textId="77777777" w:rsidR="0046798B" w:rsidRDefault="0046798B">
            <w:pPr>
              <w:pStyle w:val="TableParagraph"/>
            </w:pPr>
          </w:p>
          <w:p w14:paraId="66FC26D3" w14:textId="77777777" w:rsidR="0046798B" w:rsidRDefault="0046798B">
            <w:pPr>
              <w:pStyle w:val="TableParagraph"/>
              <w:spacing w:before="8"/>
              <w:rPr>
                <w:sz w:val="21"/>
              </w:rPr>
            </w:pPr>
          </w:p>
          <w:p w14:paraId="726A53C0" w14:textId="77777777" w:rsidR="0046798B" w:rsidRDefault="00903B5C">
            <w:pPr>
              <w:pStyle w:val="TableParagraph"/>
              <w:spacing w:before="1"/>
              <w:ind w:left="114"/>
              <w:rPr>
                <w:sz w:val="20"/>
              </w:rPr>
            </w:pPr>
            <w:r>
              <w:rPr>
                <w:sz w:val="20"/>
              </w:rPr>
              <w:t>1994–2010</w:t>
            </w:r>
          </w:p>
        </w:tc>
        <w:tc>
          <w:tcPr>
            <w:tcW w:w="3421" w:type="dxa"/>
          </w:tcPr>
          <w:p w14:paraId="741BEA8D" w14:textId="77777777" w:rsidR="0046798B" w:rsidRDefault="0046798B">
            <w:pPr>
              <w:pStyle w:val="TableParagraph"/>
              <w:spacing w:before="8"/>
              <w:rPr>
                <w:sz w:val="23"/>
              </w:rPr>
            </w:pPr>
          </w:p>
          <w:p w14:paraId="6E022286" w14:textId="77777777" w:rsidR="0046798B" w:rsidRDefault="00903B5C">
            <w:pPr>
              <w:pStyle w:val="TableParagraph"/>
              <w:spacing w:before="1"/>
              <w:ind w:left="114" w:right="316"/>
              <w:rPr>
                <w:sz w:val="20"/>
              </w:rPr>
            </w:pPr>
            <w:r>
              <w:rPr>
                <w:sz w:val="20"/>
              </w:rPr>
              <w:t>The number of residents between the ages of 5 and 17 in a state. Data for 2001 are unavailable.</w:t>
            </w:r>
          </w:p>
        </w:tc>
        <w:tc>
          <w:tcPr>
            <w:tcW w:w="6482" w:type="dxa"/>
          </w:tcPr>
          <w:p w14:paraId="62F35FE5" w14:textId="77777777" w:rsidR="0046798B" w:rsidRDefault="00903B5C">
            <w:pPr>
              <w:pStyle w:val="TableParagraph"/>
              <w:spacing w:before="43"/>
              <w:ind w:left="114" w:right="2016"/>
              <w:rPr>
                <w:sz w:val="20"/>
              </w:rPr>
            </w:pPr>
            <w:r>
              <w:rPr>
                <w:sz w:val="20"/>
              </w:rPr>
              <w:t xml:space="preserve">CQ Press. “State Stats: Population under 5 years old.” </w:t>
            </w:r>
            <w:hyperlink r:id="rId27">
              <w:r>
                <w:rPr>
                  <w:color w:val="0462C1"/>
                  <w:sz w:val="20"/>
                  <w:u w:val="single" w:color="0462C1"/>
                </w:rPr>
                <w:t>http://library.cqpress.com/cqresearcher/index.php</w:t>
              </w:r>
            </w:hyperlink>
          </w:p>
          <w:p w14:paraId="2DB2BFB7" w14:textId="77777777" w:rsidR="0046798B" w:rsidRDefault="0046798B">
            <w:pPr>
              <w:pStyle w:val="TableParagraph"/>
              <w:rPr>
                <w:sz w:val="20"/>
              </w:rPr>
            </w:pPr>
          </w:p>
          <w:p w14:paraId="3D719C0F" w14:textId="77777777" w:rsidR="0046798B" w:rsidRDefault="00903B5C">
            <w:pPr>
              <w:pStyle w:val="TableParagraph"/>
              <w:ind w:left="114" w:right="217"/>
              <w:rPr>
                <w:sz w:val="20"/>
              </w:rPr>
            </w:pPr>
            <w:r>
              <w:rPr>
                <w:sz w:val="20"/>
              </w:rPr>
              <w:t xml:space="preserve">Originally provided by Stateminder: A data visualization project from Georgetown University. </w:t>
            </w:r>
            <w:hyperlink r:id="rId28">
              <w:r>
                <w:rPr>
                  <w:sz w:val="20"/>
                  <w:u w:val="single"/>
                </w:rPr>
                <w:t>http://stateminder.org/</w:t>
              </w:r>
              <w:r>
                <w:rPr>
                  <w:sz w:val="20"/>
                </w:rPr>
                <w:t xml:space="preserve"> </w:t>
              </w:r>
            </w:hyperlink>
            <w:r>
              <w:rPr>
                <w:sz w:val="20"/>
              </w:rPr>
              <w:t>(no longer accessible online)</w:t>
            </w:r>
          </w:p>
        </w:tc>
      </w:tr>
      <w:tr w:rsidR="0046798B" w14:paraId="13EBF31D" w14:textId="77777777">
        <w:trPr>
          <w:trHeight w:val="1235"/>
        </w:trPr>
        <w:tc>
          <w:tcPr>
            <w:tcW w:w="1711" w:type="dxa"/>
          </w:tcPr>
          <w:p w14:paraId="2D92D19C" w14:textId="77777777" w:rsidR="0046798B" w:rsidRDefault="0046798B">
            <w:pPr>
              <w:pStyle w:val="TableParagraph"/>
            </w:pPr>
          </w:p>
          <w:p w14:paraId="7480264F" w14:textId="77777777" w:rsidR="0046798B" w:rsidRDefault="0046798B">
            <w:pPr>
              <w:pStyle w:val="TableParagraph"/>
              <w:spacing w:before="3"/>
              <w:rPr>
                <w:sz w:val="21"/>
              </w:rPr>
            </w:pPr>
          </w:p>
          <w:p w14:paraId="734AA054" w14:textId="77777777" w:rsidR="0046798B" w:rsidRDefault="00903B5C">
            <w:pPr>
              <w:pStyle w:val="TableParagraph"/>
              <w:spacing w:before="1"/>
              <w:ind w:left="115"/>
              <w:rPr>
                <w:b/>
                <w:sz w:val="20"/>
              </w:rPr>
            </w:pPr>
            <w:r>
              <w:rPr>
                <w:b/>
                <w:sz w:val="20"/>
              </w:rPr>
              <w:t>pop18to24</w:t>
            </w:r>
          </w:p>
        </w:tc>
        <w:tc>
          <w:tcPr>
            <w:tcW w:w="1596" w:type="dxa"/>
          </w:tcPr>
          <w:p w14:paraId="10F5ABA2" w14:textId="77777777" w:rsidR="0046798B" w:rsidRDefault="0046798B">
            <w:pPr>
              <w:pStyle w:val="TableParagraph"/>
              <w:spacing w:before="3"/>
              <w:rPr>
                <w:sz w:val="23"/>
              </w:rPr>
            </w:pPr>
          </w:p>
          <w:p w14:paraId="3BC615BB" w14:textId="77777777" w:rsidR="0046798B" w:rsidRDefault="00903B5C">
            <w:pPr>
              <w:pStyle w:val="TableParagraph"/>
              <w:spacing w:before="1"/>
              <w:ind w:left="114" w:right="113"/>
              <w:rPr>
                <w:sz w:val="20"/>
              </w:rPr>
            </w:pPr>
            <w:r>
              <w:rPr>
                <w:sz w:val="20"/>
              </w:rPr>
              <w:t>Population from 18 years old to 24 years old</w:t>
            </w:r>
          </w:p>
        </w:tc>
        <w:tc>
          <w:tcPr>
            <w:tcW w:w="1285" w:type="dxa"/>
          </w:tcPr>
          <w:p w14:paraId="393C8365" w14:textId="77777777" w:rsidR="0046798B" w:rsidRDefault="0046798B">
            <w:pPr>
              <w:pStyle w:val="TableParagraph"/>
            </w:pPr>
          </w:p>
          <w:p w14:paraId="61899913" w14:textId="77777777" w:rsidR="0046798B" w:rsidRDefault="0046798B">
            <w:pPr>
              <w:pStyle w:val="TableParagraph"/>
              <w:spacing w:before="3"/>
              <w:rPr>
                <w:sz w:val="21"/>
              </w:rPr>
            </w:pPr>
          </w:p>
          <w:p w14:paraId="76C25081" w14:textId="77777777" w:rsidR="0046798B" w:rsidRDefault="00903B5C">
            <w:pPr>
              <w:pStyle w:val="TableParagraph"/>
              <w:spacing w:before="1"/>
              <w:ind w:left="114"/>
              <w:rPr>
                <w:sz w:val="20"/>
              </w:rPr>
            </w:pPr>
            <w:r>
              <w:rPr>
                <w:sz w:val="20"/>
              </w:rPr>
              <w:t>1994–2010</w:t>
            </w:r>
          </w:p>
        </w:tc>
        <w:tc>
          <w:tcPr>
            <w:tcW w:w="3421" w:type="dxa"/>
          </w:tcPr>
          <w:p w14:paraId="17976691" w14:textId="77777777" w:rsidR="0046798B" w:rsidRDefault="0046798B">
            <w:pPr>
              <w:pStyle w:val="TableParagraph"/>
              <w:spacing w:before="3"/>
              <w:rPr>
                <w:sz w:val="23"/>
              </w:rPr>
            </w:pPr>
          </w:p>
          <w:p w14:paraId="26468C57" w14:textId="77777777" w:rsidR="0046798B" w:rsidRDefault="00903B5C">
            <w:pPr>
              <w:pStyle w:val="TableParagraph"/>
              <w:spacing w:before="1"/>
              <w:ind w:left="114" w:right="332"/>
              <w:jc w:val="both"/>
              <w:rPr>
                <w:sz w:val="20"/>
              </w:rPr>
            </w:pPr>
            <w:r>
              <w:rPr>
                <w:sz w:val="20"/>
              </w:rPr>
              <w:t>The number of residents between the ages of 18 and 24 in a state. Data for 2001 are unavailable.</w:t>
            </w:r>
          </w:p>
        </w:tc>
        <w:tc>
          <w:tcPr>
            <w:tcW w:w="6482" w:type="dxa"/>
          </w:tcPr>
          <w:p w14:paraId="7B8299E7" w14:textId="77777777" w:rsidR="0046798B" w:rsidRDefault="00903B5C">
            <w:pPr>
              <w:pStyle w:val="TableParagraph"/>
              <w:spacing w:before="38"/>
              <w:ind w:left="114" w:right="2016"/>
              <w:rPr>
                <w:sz w:val="20"/>
              </w:rPr>
            </w:pPr>
            <w:r>
              <w:rPr>
                <w:sz w:val="20"/>
              </w:rPr>
              <w:t xml:space="preserve">CQ Press. “State Stats: Population under 5 years old.” </w:t>
            </w:r>
            <w:hyperlink r:id="rId29">
              <w:r>
                <w:rPr>
                  <w:color w:val="0462C1"/>
                  <w:sz w:val="20"/>
                  <w:u w:val="single" w:color="0462C1"/>
                </w:rPr>
                <w:t>http://library.cqpress.com/cqresearcher/index.php</w:t>
              </w:r>
            </w:hyperlink>
          </w:p>
          <w:p w14:paraId="5C572AE0" w14:textId="77777777" w:rsidR="0046798B" w:rsidRDefault="0046798B">
            <w:pPr>
              <w:pStyle w:val="TableParagraph"/>
              <w:rPr>
                <w:sz w:val="20"/>
              </w:rPr>
            </w:pPr>
          </w:p>
          <w:p w14:paraId="1714CC3D" w14:textId="77777777" w:rsidR="0046798B" w:rsidRDefault="00903B5C">
            <w:pPr>
              <w:pStyle w:val="TableParagraph"/>
              <w:ind w:left="114" w:right="217"/>
              <w:rPr>
                <w:sz w:val="20"/>
              </w:rPr>
            </w:pPr>
            <w:r>
              <w:rPr>
                <w:sz w:val="20"/>
              </w:rPr>
              <w:t xml:space="preserve">Originally provided by Stateminder: A data visualization project from Georgetown University. </w:t>
            </w:r>
            <w:hyperlink r:id="rId30">
              <w:r>
                <w:rPr>
                  <w:sz w:val="20"/>
                  <w:u w:val="single"/>
                </w:rPr>
                <w:t>http://stateminder.org/</w:t>
              </w:r>
              <w:r>
                <w:rPr>
                  <w:sz w:val="20"/>
                </w:rPr>
                <w:t xml:space="preserve"> </w:t>
              </w:r>
            </w:hyperlink>
            <w:r>
              <w:rPr>
                <w:sz w:val="20"/>
              </w:rPr>
              <w:t>(no longer accessible online)</w:t>
            </w:r>
          </w:p>
        </w:tc>
      </w:tr>
      <w:tr w:rsidR="0046798B" w14:paraId="033E5BD0" w14:textId="77777777">
        <w:trPr>
          <w:trHeight w:val="1005"/>
        </w:trPr>
        <w:tc>
          <w:tcPr>
            <w:tcW w:w="1711" w:type="dxa"/>
          </w:tcPr>
          <w:p w14:paraId="5DDA66CA" w14:textId="77777777" w:rsidR="0046798B" w:rsidRDefault="0046798B">
            <w:pPr>
              <w:pStyle w:val="TableParagraph"/>
            </w:pPr>
          </w:p>
          <w:p w14:paraId="1EA6499F" w14:textId="77777777" w:rsidR="0046798B" w:rsidRDefault="00903B5C">
            <w:pPr>
              <w:pStyle w:val="TableParagraph"/>
              <w:spacing w:before="130"/>
              <w:ind w:left="115"/>
              <w:rPr>
                <w:b/>
                <w:sz w:val="20"/>
              </w:rPr>
            </w:pPr>
            <w:r>
              <w:rPr>
                <w:b/>
                <w:sz w:val="20"/>
              </w:rPr>
              <w:t>pctpop15to24</w:t>
            </w:r>
          </w:p>
        </w:tc>
        <w:tc>
          <w:tcPr>
            <w:tcW w:w="1596" w:type="dxa"/>
          </w:tcPr>
          <w:p w14:paraId="6C63245D" w14:textId="77777777" w:rsidR="0046798B" w:rsidRDefault="00903B5C">
            <w:pPr>
              <w:pStyle w:val="TableParagraph"/>
              <w:spacing w:before="38"/>
              <w:ind w:left="114" w:right="85"/>
              <w:rPr>
                <w:sz w:val="20"/>
              </w:rPr>
            </w:pPr>
            <w:r>
              <w:rPr>
                <w:sz w:val="20"/>
              </w:rPr>
              <w:t>Population between the ages of 15 and 24 (percentage)</w:t>
            </w:r>
          </w:p>
        </w:tc>
        <w:tc>
          <w:tcPr>
            <w:tcW w:w="1285" w:type="dxa"/>
          </w:tcPr>
          <w:p w14:paraId="3276E831" w14:textId="77777777" w:rsidR="0046798B" w:rsidRDefault="0046798B">
            <w:pPr>
              <w:pStyle w:val="TableParagraph"/>
            </w:pPr>
          </w:p>
          <w:p w14:paraId="16B66291" w14:textId="77777777" w:rsidR="0046798B" w:rsidRDefault="00903B5C">
            <w:pPr>
              <w:pStyle w:val="TableParagraph"/>
              <w:spacing w:before="130"/>
              <w:ind w:left="114"/>
              <w:rPr>
                <w:sz w:val="20"/>
              </w:rPr>
            </w:pPr>
            <w:r>
              <w:rPr>
                <w:sz w:val="20"/>
              </w:rPr>
              <w:t>2013–2017</w:t>
            </w:r>
          </w:p>
        </w:tc>
        <w:tc>
          <w:tcPr>
            <w:tcW w:w="3421" w:type="dxa"/>
          </w:tcPr>
          <w:p w14:paraId="6DF00214" w14:textId="77777777" w:rsidR="0046798B" w:rsidRDefault="0046798B">
            <w:pPr>
              <w:pStyle w:val="TableParagraph"/>
              <w:spacing w:before="3"/>
              <w:rPr>
                <w:sz w:val="23"/>
              </w:rPr>
            </w:pPr>
          </w:p>
          <w:p w14:paraId="2B8CBC51" w14:textId="77777777" w:rsidR="0046798B" w:rsidRDefault="00903B5C">
            <w:pPr>
              <w:pStyle w:val="TableParagraph"/>
              <w:spacing w:before="1"/>
              <w:ind w:left="114" w:right="422"/>
              <w:rPr>
                <w:sz w:val="20"/>
              </w:rPr>
            </w:pPr>
            <w:r>
              <w:rPr>
                <w:sz w:val="20"/>
              </w:rPr>
              <w:t>Percentage of the state’s population between the ages of 15 and 24</w:t>
            </w:r>
          </w:p>
        </w:tc>
        <w:tc>
          <w:tcPr>
            <w:tcW w:w="6482" w:type="dxa"/>
          </w:tcPr>
          <w:p w14:paraId="51213D6D" w14:textId="77777777" w:rsidR="0046798B" w:rsidRDefault="00903B5C">
            <w:pPr>
              <w:pStyle w:val="TableParagraph"/>
              <w:spacing w:before="153"/>
              <w:ind w:left="114" w:right="652"/>
              <w:rPr>
                <w:sz w:val="20"/>
              </w:rPr>
            </w:pPr>
            <w:r>
              <w:rPr>
                <w:sz w:val="20"/>
              </w:rPr>
              <w:t>U.S. Census Bureau, American Fact Finder:</w:t>
            </w:r>
            <w:r>
              <w:rPr>
                <w:color w:val="0462C1"/>
                <w:sz w:val="20"/>
                <w:u w:val="single" w:color="0462C1"/>
              </w:rPr>
              <w:t xml:space="preserve"> </w:t>
            </w:r>
            <w:hyperlink r:id="rId31">
              <w:r>
                <w:rPr>
                  <w:color w:val="0462C1"/>
                  <w:sz w:val="20"/>
                  <w:u w:val="single" w:color="0462C1"/>
                </w:rPr>
                <w:t>https://www.census.gov/acs/www/data/data-tables-and-tools/american-</w:t>
              </w:r>
            </w:hyperlink>
            <w:hyperlink r:id="rId32">
              <w:r>
                <w:rPr>
                  <w:color w:val="0462C1"/>
                  <w:sz w:val="20"/>
                  <w:u w:val="single" w:color="0462C1"/>
                </w:rPr>
                <w:t xml:space="preserve"> factfinder/</w:t>
              </w:r>
            </w:hyperlink>
          </w:p>
        </w:tc>
      </w:tr>
      <w:tr w:rsidR="0046798B" w14:paraId="30427926" w14:textId="77777777">
        <w:trPr>
          <w:trHeight w:val="1235"/>
        </w:trPr>
        <w:tc>
          <w:tcPr>
            <w:tcW w:w="1711" w:type="dxa"/>
          </w:tcPr>
          <w:p w14:paraId="0A54EC8B" w14:textId="77777777" w:rsidR="0046798B" w:rsidRDefault="0046798B">
            <w:pPr>
              <w:pStyle w:val="TableParagraph"/>
            </w:pPr>
          </w:p>
          <w:p w14:paraId="770349E4" w14:textId="77777777" w:rsidR="0046798B" w:rsidRDefault="0046798B">
            <w:pPr>
              <w:pStyle w:val="TableParagraph"/>
              <w:spacing w:before="3"/>
              <w:rPr>
                <w:sz w:val="21"/>
              </w:rPr>
            </w:pPr>
          </w:p>
          <w:p w14:paraId="5436A5E8" w14:textId="77777777" w:rsidR="0046798B" w:rsidRDefault="00903B5C">
            <w:pPr>
              <w:pStyle w:val="TableParagraph"/>
              <w:spacing w:before="1"/>
              <w:ind w:left="115"/>
              <w:rPr>
                <w:b/>
                <w:sz w:val="20"/>
              </w:rPr>
            </w:pPr>
            <w:r>
              <w:rPr>
                <w:b/>
                <w:sz w:val="20"/>
              </w:rPr>
              <w:t>pop25to44</w:t>
            </w:r>
          </w:p>
        </w:tc>
        <w:tc>
          <w:tcPr>
            <w:tcW w:w="1596" w:type="dxa"/>
          </w:tcPr>
          <w:p w14:paraId="4F878A2D" w14:textId="77777777" w:rsidR="0046798B" w:rsidRDefault="0046798B">
            <w:pPr>
              <w:pStyle w:val="TableParagraph"/>
              <w:spacing w:before="10"/>
              <w:rPr>
                <w:sz w:val="23"/>
              </w:rPr>
            </w:pPr>
          </w:p>
          <w:p w14:paraId="1DCCB279" w14:textId="77777777" w:rsidR="0046798B" w:rsidRDefault="00903B5C">
            <w:pPr>
              <w:pStyle w:val="TableParagraph"/>
              <w:spacing w:line="237" w:lineRule="auto"/>
              <w:ind w:left="114" w:right="113"/>
              <w:rPr>
                <w:sz w:val="20"/>
              </w:rPr>
            </w:pPr>
            <w:r>
              <w:rPr>
                <w:sz w:val="20"/>
              </w:rPr>
              <w:t>Population from 25 years old to 44 years old</w:t>
            </w:r>
          </w:p>
        </w:tc>
        <w:tc>
          <w:tcPr>
            <w:tcW w:w="1285" w:type="dxa"/>
          </w:tcPr>
          <w:p w14:paraId="50E7826E" w14:textId="77777777" w:rsidR="0046798B" w:rsidRDefault="0046798B">
            <w:pPr>
              <w:pStyle w:val="TableParagraph"/>
            </w:pPr>
          </w:p>
          <w:p w14:paraId="5C8391D2" w14:textId="77777777" w:rsidR="0046798B" w:rsidRDefault="0046798B">
            <w:pPr>
              <w:pStyle w:val="TableParagraph"/>
              <w:spacing w:before="3"/>
              <w:rPr>
                <w:sz w:val="21"/>
              </w:rPr>
            </w:pPr>
          </w:p>
          <w:p w14:paraId="3E7E19A7" w14:textId="77777777" w:rsidR="0046798B" w:rsidRDefault="00903B5C">
            <w:pPr>
              <w:pStyle w:val="TableParagraph"/>
              <w:spacing w:before="1"/>
              <w:ind w:left="114"/>
              <w:rPr>
                <w:sz w:val="20"/>
              </w:rPr>
            </w:pPr>
            <w:r>
              <w:rPr>
                <w:sz w:val="20"/>
              </w:rPr>
              <w:t>1994–2010</w:t>
            </w:r>
          </w:p>
        </w:tc>
        <w:tc>
          <w:tcPr>
            <w:tcW w:w="3421" w:type="dxa"/>
          </w:tcPr>
          <w:p w14:paraId="06AAF8E2" w14:textId="77777777" w:rsidR="0046798B" w:rsidRDefault="0046798B">
            <w:pPr>
              <w:pStyle w:val="TableParagraph"/>
              <w:spacing w:before="10"/>
              <w:rPr>
                <w:sz w:val="23"/>
              </w:rPr>
            </w:pPr>
          </w:p>
          <w:p w14:paraId="681AA814" w14:textId="77777777" w:rsidR="0046798B" w:rsidRDefault="00903B5C">
            <w:pPr>
              <w:pStyle w:val="TableParagraph"/>
              <w:spacing w:line="237" w:lineRule="auto"/>
              <w:ind w:left="114" w:right="331"/>
              <w:jc w:val="both"/>
              <w:rPr>
                <w:sz w:val="20"/>
              </w:rPr>
            </w:pPr>
            <w:r>
              <w:rPr>
                <w:sz w:val="20"/>
              </w:rPr>
              <w:t>The number of residents between the ages of 25 and 44 in a state. Data for 2001 are unavailable.</w:t>
            </w:r>
          </w:p>
        </w:tc>
        <w:tc>
          <w:tcPr>
            <w:tcW w:w="6482" w:type="dxa"/>
          </w:tcPr>
          <w:p w14:paraId="61AEE706" w14:textId="77777777" w:rsidR="0046798B" w:rsidRDefault="00903B5C">
            <w:pPr>
              <w:pStyle w:val="TableParagraph"/>
              <w:spacing w:before="43"/>
              <w:ind w:left="114" w:right="2016"/>
              <w:rPr>
                <w:sz w:val="20"/>
              </w:rPr>
            </w:pPr>
            <w:r>
              <w:rPr>
                <w:sz w:val="20"/>
              </w:rPr>
              <w:t xml:space="preserve">CQ Press. “State Stats: Population under 5 years old.” </w:t>
            </w:r>
            <w:hyperlink r:id="rId33">
              <w:r>
                <w:rPr>
                  <w:color w:val="0462C1"/>
                  <w:sz w:val="20"/>
                  <w:u w:val="single" w:color="0462C1"/>
                </w:rPr>
                <w:t>http://library.cqpress.com/cqresearcher/index.php</w:t>
              </w:r>
            </w:hyperlink>
          </w:p>
          <w:p w14:paraId="0DE1B044" w14:textId="77777777" w:rsidR="0046798B" w:rsidRDefault="0046798B">
            <w:pPr>
              <w:pStyle w:val="TableParagraph"/>
              <w:spacing w:before="6"/>
              <w:rPr>
                <w:sz w:val="19"/>
              </w:rPr>
            </w:pPr>
          </w:p>
          <w:p w14:paraId="2633E770" w14:textId="77777777" w:rsidR="0046798B" w:rsidRDefault="00903B5C">
            <w:pPr>
              <w:pStyle w:val="TableParagraph"/>
              <w:spacing w:before="1"/>
              <w:ind w:left="114" w:right="217"/>
              <w:rPr>
                <w:sz w:val="20"/>
              </w:rPr>
            </w:pPr>
            <w:r>
              <w:rPr>
                <w:sz w:val="20"/>
              </w:rPr>
              <w:t xml:space="preserve">Originally provided by Stateminder: A data visualization project from Georgetown University. </w:t>
            </w:r>
            <w:hyperlink r:id="rId34">
              <w:r>
                <w:rPr>
                  <w:sz w:val="20"/>
                  <w:u w:val="single"/>
                </w:rPr>
                <w:t>http://stateminder.org/</w:t>
              </w:r>
              <w:r>
                <w:rPr>
                  <w:sz w:val="20"/>
                </w:rPr>
                <w:t xml:space="preserve"> </w:t>
              </w:r>
            </w:hyperlink>
            <w:r>
              <w:rPr>
                <w:sz w:val="20"/>
              </w:rPr>
              <w:t>(no longer accessible online)</w:t>
            </w:r>
          </w:p>
        </w:tc>
      </w:tr>
      <w:tr w:rsidR="0046798B" w14:paraId="6DF3FFE9" w14:textId="77777777">
        <w:trPr>
          <w:trHeight w:val="1005"/>
        </w:trPr>
        <w:tc>
          <w:tcPr>
            <w:tcW w:w="1711" w:type="dxa"/>
          </w:tcPr>
          <w:p w14:paraId="012E68E5" w14:textId="77777777" w:rsidR="0046798B" w:rsidRDefault="0046798B">
            <w:pPr>
              <w:pStyle w:val="TableParagraph"/>
            </w:pPr>
          </w:p>
          <w:p w14:paraId="6C7AD49B" w14:textId="77777777" w:rsidR="0046798B" w:rsidRDefault="00903B5C">
            <w:pPr>
              <w:pStyle w:val="TableParagraph"/>
              <w:spacing w:before="135"/>
              <w:ind w:left="115"/>
              <w:rPr>
                <w:b/>
                <w:sz w:val="20"/>
              </w:rPr>
            </w:pPr>
            <w:r>
              <w:rPr>
                <w:b/>
                <w:sz w:val="20"/>
              </w:rPr>
              <w:t>pctpop25to44</w:t>
            </w:r>
          </w:p>
        </w:tc>
        <w:tc>
          <w:tcPr>
            <w:tcW w:w="1596" w:type="dxa"/>
          </w:tcPr>
          <w:p w14:paraId="3F3B4016" w14:textId="77777777" w:rsidR="0046798B" w:rsidRDefault="00903B5C">
            <w:pPr>
              <w:pStyle w:val="TableParagraph"/>
              <w:spacing w:before="43"/>
              <w:ind w:left="114" w:right="85"/>
              <w:rPr>
                <w:sz w:val="20"/>
              </w:rPr>
            </w:pPr>
            <w:r>
              <w:rPr>
                <w:sz w:val="20"/>
              </w:rPr>
              <w:t>Population between the ages of 25 and 44 (percentage)</w:t>
            </w:r>
          </w:p>
        </w:tc>
        <w:tc>
          <w:tcPr>
            <w:tcW w:w="1285" w:type="dxa"/>
          </w:tcPr>
          <w:p w14:paraId="5F166215" w14:textId="77777777" w:rsidR="0046798B" w:rsidRDefault="0046798B">
            <w:pPr>
              <w:pStyle w:val="TableParagraph"/>
            </w:pPr>
          </w:p>
          <w:p w14:paraId="78BDB484" w14:textId="77777777" w:rsidR="0046798B" w:rsidRDefault="00903B5C">
            <w:pPr>
              <w:pStyle w:val="TableParagraph"/>
              <w:spacing w:before="135"/>
              <w:ind w:left="114"/>
              <w:rPr>
                <w:sz w:val="20"/>
              </w:rPr>
            </w:pPr>
            <w:r>
              <w:rPr>
                <w:sz w:val="20"/>
              </w:rPr>
              <w:t>2013–2017</w:t>
            </w:r>
          </w:p>
        </w:tc>
        <w:tc>
          <w:tcPr>
            <w:tcW w:w="3421" w:type="dxa"/>
          </w:tcPr>
          <w:p w14:paraId="20C31395" w14:textId="77777777" w:rsidR="0046798B" w:rsidRDefault="0046798B">
            <w:pPr>
              <w:pStyle w:val="TableParagraph"/>
              <w:spacing w:before="8"/>
              <w:rPr>
                <w:sz w:val="23"/>
              </w:rPr>
            </w:pPr>
          </w:p>
          <w:p w14:paraId="76D2F6B2" w14:textId="77777777" w:rsidR="0046798B" w:rsidRDefault="00903B5C">
            <w:pPr>
              <w:pStyle w:val="TableParagraph"/>
              <w:spacing w:before="1"/>
              <w:ind w:left="114" w:right="422"/>
              <w:rPr>
                <w:sz w:val="20"/>
              </w:rPr>
            </w:pPr>
            <w:r>
              <w:rPr>
                <w:sz w:val="20"/>
              </w:rPr>
              <w:t>Percentage of the state’s population between the ages of 25 and 44</w:t>
            </w:r>
          </w:p>
        </w:tc>
        <w:tc>
          <w:tcPr>
            <w:tcW w:w="6482" w:type="dxa"/>
          </w:tcPr>
          <w:p w14:paraId="164EF404" w14:textId="77777777" w:rsidR="0046798B" w:rsidRDefault="00903B5C">
            <w:pPr>
              <w:pStyle w:val="TableParagraph"/>
              <w:spacing w:before="158"/>
              <w:ind w:left="114" w:right="652"/>
              <w:rPr>
                <w:sz w:val="20"/>
              </w:rPr>
            </w:pPr>
            <w:r>
              <w:rPr>
                <w:sz w:val="20"/>
              </w:rPr>
              <w:t>U.S. Census Bureau, American Fact Finder:</w:t>
            </w:r>
            <w:r>
              <w:rPr>
                <w:color w:val="0462C1"/>
                <w:sz w:val="20"/>
                <w:u w:val="single" w:color="0462C1"/>
              </w:rPr>
              <w:t xml:space="preserve"> </w:t>
            </w:r>
            <w:hyperlink r:id="rId35">
              <w:r>
                <w:rPr>
                  <w:color w:val="0462C1"/>
                  <w:sz w:val="20"/>
                  <w:u w:val="single" w:color="0462C1"/>
                </w:rPr>
                <w:t>https://www.census.gov/acs/www/data/data-tables-and-tools/american-</w:t>
              </w:r>
            </w:hyperlink>
            <w:hyperlink r:id="rId36">
              <w:r>
                <w:rPr>
                  <w:color w:val="0462C1"/>
                  <w:sz w:val="20"/>
                  <w:u w:val="single" w:color="0462C1"/>
                </w:rPr>
                <w:t xml:space="preserve"> factfinder/</w:t>
              </w:r>
            </w:hyperlink>
          </w:p>
        </w:tc>
      </w:tr>
      <w:tr w:rsidR="0046798B" w14:paraId="34EA5E92" w14:textId="77777777">
        <w:trPr>
          <w:trHeight w:val="1235"/>
        </w:trPr>
        <w:tc>
          <w:tcPr>
            <w:tcW w:w="1711" w:type="dxa"/>
          </w:tcPr>
          <w:p w14:paraId="44AD9245" w14:textId="77777777" w:rsidR="0046798B" w:rsidRDefault="0046798B">
            <w:pPr>
              <w:pStyle w:val="TableParagraph"/>
            </w:pPr>
          </w:p>
          <w:p w14:paraId="51D12806" w14:textId="77777777" w:rsidR="0046798B" w:rsidRDefault="0046798B">
            <w:pPr>
              <w:pStyle w:val="TableParagraph"/>
              <w:spacing w:before="8"/>
              <w:rPr>
                <w:sz w:val="21"/>
              </w:rPr>
            </w:pPr>
          </w:p>
          <w:p w14:paraId="5FF9488B" w14:textId="77777777" w:rsidR="0046798B" w:rsidRDefault="00903B5C">
            <w:pPr>
              <w:pStyle w:val="TableParagraph"/>
              <w:spacing w:before="1"/>
              <w:ind w:left="115"/>
              <w:rPr>
                <w:b/>
                <w:sz w:val="20"/>
              </w:rPr>
            </w:pPr>
            <w:r>
              <w:rPr>
                <w:b/>
                <w:sz w:val="20"/>
              </w:rPr>
              <w:t>pop45to64</w:t>
            </w:r>
          </w:p>
        </w:tc>
        <w:tc>
          <w:tcPr>
            <w:tcW w:w="1596" w:type="dxa"/>
          </w:tcPr>
          <w:p w14:paraId="7960D894" w14:textId="77777777" w:rsidR="0046798B" w:rsidRDefault="0046798B">
            <w:pPr>
              <w:pStyle w:val="TableParagraph"/>
              <w:spacing w:before="8"/>
              <w:rPr>
                <w:sz w:val="23"/>
              </w:rPr>
            </w:pPr>
          </w:p>
          <w:p w14:paraId="1361AF0A" w14:textId="77777777" w:rsidR="0046798B" w:rsidRDefault="00903B5C">
            <w:pPr>
              <w:pStyle w:val="TableParagraph"/>
              <w:spacing w:before="1"/>
              <w:ind w:left="114" w:right="113"/>
              <w:rPr>
                <w:sz w:val="20"/>
              </w:rPr>
            </w:pPr>
            <w:r>
              <w:rPr>
                <w:sz w:val="20"/>
              </w:rPr>
              <w:t>Population from 45 years old to 64 years old</w:t>
            </w:r>
          </w:p>
        </w:tc>
        <w:tc>
          <w:tcPr>
            <w:tcW w:w="1285" w:type="dxa"/>
          </w:tcPr>
          <w:p w14:paraId="2584BD1E" w14:textId="77777777" w:rsidR="0046798B" w:rsidRDefault="0046798B">
            <w:pPr>
              <w:pStyle w:val="TableParagraph"/>
            </w:pPr>
          </w:p>
          <w:p w14:paraId="7058015C" w14:textId="77777777" w:rsidR="0046798B" w:rsidRDefault="0046798B">
            <w:pPr>
              <w:pStyle w:val="TableParagraph"/>
              <w:spacing w:before="8"/>
              <w:rPr>
                <w:sz w:val="21"/>
              </w:rPr>
            </w:pPr>
          </w:p>
          <w:p w14:paraId="7B3921FA" w14:textId="77777777" w:rsidR="0046798B" w:rsidRDefault="00903B5C">
            <w:pPr>
              <w:pStyle w:val="TableParagraph"/>
              <w:spacing w:before="1"/>
              <w:ind w:left="114"/>
              <w:rPr>
                <w:sz w:val="20"/>
              </w:rPr>
            </w:pPr>
            <w:r>
              <w:rPr>
                <w:sz w:val="20"/>
              </w:rPr>
              <w:t>1994–2010</w:t>
            </w:r>
          </w:p>
        </w:tc>
        <w:tc>
          <w:tcPr>
            <w:tcW w:w="3421" w:type="dxa"/>
          </w:tcPr>
          <w:p w14:paraId="59D961E4" w14:textId="77777777" w:rsidR="0046798B" w:rsidRDefault="0046798B">
            <w:pPr>
              <w:pStyle w:val="TableParagraph"/>
              <w:spacing w:before="8"/>
              <w:rPr>
                <w:sz w:val="23"/>
              </w:rPr>
            </w:pPr>
          </w:p>
          <w:p w14:paraId="038D3B3A" w14:textId="77777777" w:rsidR="0046798B" w:rsidRDefault="00903B5C">
            <w:pPr>
              <w:pStyle w:val="TableParagraph"/>
              <w:spacing w:before="1"/>
              <w:ind w:left="114" w:right="331"/>
              <w:jc w:val="both"/>
              <w:rPr>
                <w:sz w:val="20"/>
              </w:rPr>
            </w:pPr>
            <w:r>
              <w:rPr>
                <w:sz w:val="20"/>
              </w:rPr>
              <w:t>The number of residents between the ages of 45 and 64 in a state. Data for 2001 are unavailable.</w:t>
            </w:r>
          </w:p>
        </w:tc>
        <w:tc>
          <w:tcPr>
            <w:tcW w:w="6482" w:type="dxa"/>
          </w:tcPr>
          <w:p w14:paraId="5C25D9EA" w14:textId="77777777" w:rsidR="0046798B" w:rsidRDefault="00903B5C">
            <w:pPr>
              <w:pStyle w:val="TableParagraph"/>
              <w:spacing w:before="43"/>
              <w:ind w:left="114" w:right="2016"/>
              <w:rPr>
                <w:sz w:val="20"/>
              </w:rPr>
            </w:pPr>
            <w:r>
              <w:rPr>
                <w:sz w:val="20"/>
              </w:rPr>
              <w:t xml:space="preserve">CQ Press. “State Stats: Population under 5 years old.” </w:t>
            </w:r>
            <w:hyperlink r:id="rId37">
              <w:r>
                <w:rPr>
                  <w:color w:val="0462C1"/>
                  <w:sz w:val="20"/>
                  <w:u w:val="single" w:color="0462C1"/>
                </w:rPr>
                <w:t>http://library.cqpress.com/cqresearcher/index.php</w:t>
              </w:r>
            </w:hyperlink>
          </w:p>
          <w:p w14:paraId="3325C88A" w14:textId="77777777" w:rsidR="0046798B" w:rsidRDefault="0046798B">
            <w:pPr>
              <w:pStyle w:val="TableParagraph"/>
              <w:rPr>
                <w:sz w:val="20"/>
              </w:rPr>
            </w:pPr>
          </w:p>
          <w:p w14:paraId="4B8B2A80" w14:textId="77777777" w:rsidR="0046798B" w:rsidRDefault="00903B5C">
            <w:pPr>
              <w:pStyle w:val="TableParagraph"/>
              <w:ind w:left="114" w:right="217"/>
              <w:rPr>
                <w:sz w:val="20"/>
              </w:rPr>
            </w:pPr>
            <w:r>
              <w:rPr>
                <w:sz w:val="20"/>
              </w:rPr>
              <w:t xml:space="preserve">Originally provided by Stateminder: A data visualization project from Georgetown University. </w:t>
            </w:r>
            <w:hyperlink r:id="rId38">
              <w:r>
                <w:rPr>
                  <w:sz w:val="20"/>
                  <w:u w:val="single"/>
                </w:rPr>
                <w:t>http://stateminder.org/</w:t>
              </w:r>
              <w:r>
                <w:rPr>
                  <w:sz w:val="20"/>
                </w:rPr>
                <w:t xml:space="preserve"> </w:t>
              </w:r>
            </w:hyperlink>
            <w:r>
              <w:rPr>
                <w:sz w:val="20"/>
              </w:rPr>
              <w:t>(no longer accessible online)</w:t>
            </w:r>
          </w:p>
        </w:tc>
      </w:tr>
    </w:tbl>
    <w:p w14:paraId="1E3ADA5D" w14:textId="77777777" w:rsidR="0046798B" w:rsidRDefault="0046798B">
      <w:pPr>
        <w:rPr>
          <w:sz w:val="20"/>
        </w:rPr>
        <w:sectPr w:rsidR="0046798B">
          <w:pgSz w:w="15840" w:h="12240" w:orient="landscape"/>
          <w:pgMar w:top="1220" w:right="300" w:bottom="980" w:left="820" w:header="730" w:footer="787" w:gutter="0"/>
          <w:cols w:space="720"/>
        </w:sectPr>
      </w:pPr>
    </w:p>
    <w:p w14:paraId="52D7D4A9"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37023ABC" w14:textId="77777777">
        <w:trPr>
          <w:trHeight w:val="1005"/>
        </w:trPr>
        <w:tc>
          <w:tcPr>
            <w:tcW w:w="1711" w:type="dxa"/>
          </w:tcPr>
          <w:p w14:paraId="3D063E0C" w14:textId="77777777" w:rsidR="0046798B" w:rsidRDefault="0046798B">
            <w:pPr>
              <w:pStyle w:val="TableParagraph"/>
            </w:pPr>
          </w:p>
          <w:p w14:paraId="3387265B" w14:textId="77777777" w:rsidR="0046798B" w:rsidRDefault="00903B5C">
            <w:pPr>
              <w:pStyle w:val="TableParagraph"/>
              <w:spacing w:before="135"/>
              <w:ind w:left="115"/>
              <w:rPr>
                <w:b/>
                <w:sz w:val="20"/>
              </w:rPr>
            </w:pPr>
            <w:r>
              <w:rPr>
                <w:b/>
                <w:sz w:val="20"/>
              </w:rPr>
              <w:t>pctpop45to64</w:t>
            </w:r>
          </w:p>
        </w:tc>
        <w:tc>
          <w:tcPr>
            <w:tcW w:w="1596" w:type="dxa"/>
          </w:tcPr>
          <w:p w14:paraId="62D73C49" w14:textId="77777777" w:rsidR="0046798B" w:rsidRDefault="00903B5C">
            <w:pPr>
              <w:pStyle w:val="TableParagraph"/>
              <w:spacing w:before="43"/>
              <w:ind w:left="114" w:right="85"/>
              <w:rPr>
                <w:sz w:val="20"/>
              </w:rPr>
            </w:pPr>
            <w:r>
              <w:rPr>
                <w:sz w:val="20"/>
              </w:rPr>
              <w:t>Population between the ages of 45 and 64 (percentage)</w:t>
            </w:r>
          </w:p>
        </w:tc>
        <w:tc>
          <w:tcPr>
            <w:tcW w:w="1285" w:type="dxa"/>
          </w:tcPr>
          <w:p w14:paraId="7630A471" w14:textId="77777777" w:rsidR="0046798B" w:rsidRDefault="0046798B">
            <w:pPr>
              <w:pStyle w:val="TableParagraph"/>
            </w:pPr>
          </w:p>
          <w:p w14:paraId="432180C8" w14:textId="77777777" w:rsidR="0046798B" w:rsidRDefault="00903B5C">
            <w:pPr>
              <w:pStyle w:val="TableParagraph"/>
              <w:spacing w:before="135"/>
              <w:ind w:left="114"/>
              <w:rPr>
                <w:sz w:val="20"/>
              </w:rPr>
            </w:pPr>
            <w:r>
              <w:rPr>
                <w:sz w:val="20"/>
              </w:rPr>
              <w:t>2013–2017</w:t>
            </w:r>
          </w:p>
        </w:tc>
        <w:tc>
          <w:tcPr>
            <w:tcW w:w="3421" w:type="dxa"/>
          </w:tcPr>
          <w:p w14:paraId="77564AB3" w14:textId="77777777" w:rsidR="0046798B" w:rsidRDefault="0046798B">
            <w:pPr>
              <w:pStyle w:val="TableParagraph"/>
              <w:spacing w:before="9"/>
              <w:rPr>
                <w:sz w:val="23"/>
              </w:rPr>
            </w:pPr>
          </w:p>
          <w:p w14:paraId="447CB142" w14:textId="77777777" w:rsidR="0046798B" w:rsidRDefault="00903B5C">
            <w:pPr>
              <w:pStyle w:val="TableParagraph"/>
              <w:ind w:left="114" w:right="422"/>
              <w:rPr>
                <w:sz w:val="20"/>
              </w:rPr>
            </w:pPr>
            <w:r>
              <w:rPr>
                <w:sz w:val="20"/>
              </w:rPr>
              <w:t>Percentage of the state’s population between the ages of 45 and 64</w:t>
            </w:r>
          </w:p>
        </w:tc>
        <w:tc>
          <w:tcPr>
            <w:tcW w:w="6482" w:type="dxa"/>
          </w:tcPr>
          <w:p w14:paraId="7EA9111B" w14:textId="77777777" w:rsidR="0046798B" w:rsidRDefault="00903B5C">
            <w:pPr>
              <w:pStyle w:val="TableParagraph"/>
              <w:spacing w:before="158"/>
              <w:ind w:left="114" w:right="652"/>
              <w:rPr>
                <w:sz w:val="20"/>
              </w:rPr>
            </w:pPr>
            <w:r>
              <w:rPr>
                <w:sz w:val="20"/>
              </w:rPr>
              <w:t>U.S. Census Bureau, American Fact Finder:</w:t>
            </w:r>
            <w:r>
              <w:rPr>
                <w:color w:val="0462C1"/>
                <w:sz w:val="20"/>
                <w:u w:val="single" w:color="0462C1"/>
              </w:rPr>
              <w:t xml:space="preserve"> </w:t>
            </w:r>
            <w:hyperlink r:id="rId39">
              <w:r>
                <w:rPr>
                  <w:color w:val="0462C1"/>
                  <w:sz w:val="20"/>
                  <w:u w:val="single" w:color="0462C1"/>
                </w:rPr>
                <w:t>https://www.census.gov/acs/www/data/data-tables-and-tools/american-</w:t>
              </w:r>
            </w:hyperlink>
            <w:hyperlink r:id="rId40">
              <w:r>
                <w:rPr>
                  <w:color w:val="0462C1"/>
                  <w:sz w:val="20"/>
                  <w:u w:val="single" w:color="0462C1"/>
                </w:rPr>
                <w:t xml:space="preserve"> factfinder/</w:t>
              </w:r>
            </w:hyperlink>
          </w:p>
        </w:tc>
      </w:tr>
      <w:tr w:rsidR="0046798B" w14:paraId="2541F425" w14:textId="77777777">
        <w:trPr>
          <w:trHeight w:val="1235"/>
        </w:trPr>
        <w:tc>
          <w:tcPr>
            <w:tcW w:w="1711" w:type="dxa"/>
          </w:tcPr>
          <w:p w14:paraId="6B9416EF" w14:textId="77777777" w:rsidR="0046798B" w:rsidRDefault="0046798B">
            <w:pPr>
              <w:pStyle w:val="TableParagraph"/>
            </w:pPr>
          </w:p>
          <w:p w14:paraId="2B40CA75" w14:textId="77777777" w:rsidR="0046798B" w:rsidRDefault="0046798B">
            <w:pPr>
              <w:pStyle w:val="TableParagraph"/>
              <w:spacing w:before="9"/>
              <w:rPr>
                <w:sz w:val="21"/>
              </w:rPr>
            </w:pPr>
          </w:p>
          <w:p w14:paraId="6FA3B940" w14:textId="77777777" w:rsidR="0046798B" w:rsidRDefault="00903B5C">
            <w:pPr>
              <w:pStyle w:val="TableParagraph"/>
              <w:ind w:left="115"/>
              <w:rPr>
                <w:b/>
                <w:sz w:val="20"/>
              </w:rPr>
            </w:pPr>
            <w:r>
              <w:rPr>
                <w:b/>
                <w:sz w:val="20"/>
              </w:rPr>
              <w:t>popover65</w:t>
            </w:r>
          </w:p>
        </w:tc>
        <w:tc>
          <w:tcPr>
            <w:tcW w:w="1596" w:type="dxa"/>
          </w:tcPr>
          <w:p w14:paraId="7706C8C7" w14:textId="77777777" w:rsidR="0046798B" w:rsidRDefault="0046798B">
            <w:pPr>
              <w:pStyle w:val="TableParagraph"/>
              <w:spacing w:before="8"/>
              <w:rPr>
                <w:sz w:val="23"/>
              </w:rPr>
            </w:pPr>
          </w:p>
          <w:p w14:paraId="5A51764C" w14:textId="77777777" w:rsidR="0046798B" w:rsidRDefault="00903B5C">
            <w:pPr>
              <w:pStyle w:val="TableParagraph"/>
              <w:spacing w:before="1"/>
              <w:ind w:left="114" w:right="149"/>
              <w:jc w:val="both"/>
              <w:rPr>
                <w:sz w:val="20"/>
              </w:rPr>
            </w:pPr>
            <w:r>
              <w:rPr>
                <w:sz w:val="20"/>
              </w:rPr>
              <w:t>Population from 65 years old and older</w:t>
            </w:r>
          </w:p>
        </w:tc>
        <w:tc>
          <w:tcPr>
            <w:tcW w:w="1285" w:type="dxa"/>
          </w:tcPr>
          <w:p w14:paraId="02343321" w14:textId="77777777" w:rsidR="0046798B" w:rsidRDefault="0046798B">
            <w:pPr>
              <w:pStyle w:val="TableParagraph"/>
            </w:pPr>
          </w:p>
          <w:p w14:paraId="279A3396" w14:textId="77777777" w:rsidR="0046798B" w:rsidRDefault="0046798B">
            <w:pPr>
              <w:pStyle w:val="TableParagraph"/>
              <w:spacing w:before="9"/>
              <w:rPr>
                <w:sz w:val="21"/>
              </w:rPr>
            </w:pPr>
          </w:p>
          <w:p w14:paraId="61B9B69E" w14:textId="77777777" w:rsidR="0046798B" w:rsidRDefault="00903B5C">
            <w:pPr>
              <w:pStyle w:val="TableParagraph"/>
              <w:ind w:left="114"/>
              <w:rPr>
                <w:sz w:val="20"/>
              </w:rPr>
            </w:pPr>
            <w:r>
              <w:rPr>
                <w:sz w:val="20"/>
              </w:rPr>
              <w:t>1994–2010</w:t>
            </w:r>
          </w:p>
        </w:tc>
        <w:tc>
          <w:tcPr>
            <w:tcW w:w="3421" w:type="dxa"/>
          </w:tcPr>
          <w:p w14:paraId="2C9FB3ED" w14:textId="77777777" w:rsidR="0046798B" w:rsidRDefault="0046798B">
            <w:pPr>
              <w:pStyle w:val="TableParagraph"/>
              <w:spacing w:before="8"/>
              <w:rPr>
                <w:sz w:val="23"/>
              </w:rPr>
            </w:pPr>
          </w:p>
          <w:p w14:paraId="05C64D7D" w14:textId="77777777" w:rsidR="0046798B" w:rsidRDefault="00903B5C">
            <w:pPr>
              <w:pStyle w:val="TableParagraph"/>
              <w:spacing w:before="1"/>
              <w:ind w:left="114" w:right="300"/>
              <w:rPr>
                <w:sz w:val="20"/>
              </w:rPr>
            </w:pPr>
            <w:r>
              <w:rPr>
                <w:sz w:val="20"/>
              </w:rPr>
              <w:t>The number of residents over the age of 65 in a state. Data for 2001 are unavailable.</w:t>
            </w:r>
          </w:p>
        </w:tc>
        <w:tc>
          <w:tcPr>
            <w:tcW w:w="6482" w:type="dxa"/>
          </w:tcPr>
          <w:p w14:paraId="23976557" w14:textId="77777777" w:rsidR="0046798B" w:rsidRDefault="00903B5C">
            <w:pPr>
              <w:pStyle w:val="TableParagraph"/>
              <w:spacing w:before="43"/>
              <w:ind w:left="114" w:right="2016"/>
              <w:rPr>
                <w:sz w:val="20"/>
              </w:rPr>
            </w:pPr>
            <w:r>
              <w:rPr>
                <w:sz w:val="20"/>
              </w:rPr>
              <w:t xml:space="preserve">CQ Press. “State Stats: Population under 5 years old.” </w:t>
            </w:r>
            <w:hyperlink r:id="rId41">
              <w:r>
                <w:rPr>
                  <w:color w:val="0462C1"/>
                  <w:sz w:val="20"/>
                  <w:u w:val="single" w:color="0462C1"/>
                </w:rPr>
                <w:t>http://library.cqpress.com/cqresearcher/index.php</w:t>
              </w:r>
            </w:hyperlink>
          </w:p>
          <w:p w14:paraId="0217858A" w14:textId="77777777" w:rsidR="0046798B" w:rsidRDefault="0046798B">
            <w:pPr>
              <w:pStyle w:val="TableParagraph"/>
              <w:rPr>
                <w:sz w:val="20"/>
              </w:rPr>
            </w:pPr>
          </w:p>
          <w:p w14:paraId="5B6AA4D2" w14:textId="77777777" w:rsidR="0046798B" w:rsidRDefault="00903B5C">
            <w:pPr>
              <w:pStyle w:val="TableParagraph"/>
              <w:spacing w:before="1"/>
              <w:ind w:left="114" w:right="217"/>
              <w:rPr>
                <w:sz w:val="20"/>
              </w:rPr>
            </w:pPr>
            <w:r>
              <w:rPr>
                <w:sz w:val="20"/>
              </w:rPr>
              <w:t xml:space="preserve">Originally provided by Stateminder: A data visualization project from Georgetown University. </w:t>
            </w:r>
            <w:hyperlink r:id="rId42">
              <w:r>
                <w:rPr>
                  <w:sz w:val="20"/>
                  <w:u w:val="single"/>
                </w:rPr>
                <w:t>http://stateminder.org/</w:t>
              </w:r>
              <w:r>
                <w:rPr>
                  <w:sz w:val="20"/>
                </w:rPr>
                <w:t xml:space="preserve"> </w:t>
              </w:r>
            </w:hyperlink>
            <w:r>
              <w:rPr>
                <w:sz w:val="20"/>
              </w:rPr>
              <w:t>(no longer accessible online)</w:t>
            </w:r>
          </w:p>
        </w:tc>
      </w:tr>
      <w:tr w:rsidR="0046798B" w14:paraId="15C87628" w14:textId="77777777">
        <w:trPr>
          <w:trHeight w:val="780"/>
        </w:trPr>
        <w:tc>
          <w:tcPr>
            <w:tcW w:w="1711" w:type="dxa"/>
          </w:tcPr>
          <w:p w14:paraId="6E3FF07A" w14:textId="77777777" w:rsidR="0046798B" w:rsidRDefault="0046798B">
            <w:pPr>
              <w:pStyle w:val="TableParagraph"/>
              <w:spacing w:before="8"/>
              <w:rPr>
                <w:sz w:val="23"/>
              </w:rPr>
            </w:pPr>
          </w:p>
          <w:p w14:paraId="25F96BA3" w14:textId="77777777" w:rsidR="0046798B" w:rsidRDefault="00903B5C">
            <w:pPr>
              <w:pStyle w:val="TableParagraph"/>
              <w:spacing w:before="1"/>
              <w:ind w:left="115"/>
              <w:rPr>
                <w:b/>
                <w:sz w:val="20"/>
              </w:rPr>
            </w:pPr>
            <w:r>
              <w:rPr>
                <w:b/>
                <w:sz w:val="20"/>
              </w:rPr>
              <w:t>pctpopover65</w:t>
            </w:r>
          </w:p>
        </w:tc>
        <w:tc>
          <w:tcPr>
            <w:tcW w:w="1596" w:type="dxa"/>
          </w:tcPr>
          <w:p w14:paraId="6CA314AB" w14:textId="77777777" w:rsidR="0046798B" w:rsidRDefault="00903B5C">
            <w:pPr>
              <w:pStyle w:val="TableParagraph"/>
              <w:spacing w:before="43"/>
              <w:ind w:left="114" w:right="179"/>
              <w:rPr>
                <w:sz w:val="20"/>
              </w:rPr>
            </w:pPr>
            <w:r>
              <w:rPr>
                <w:sz w:val="20"/>
              </w:rPr>
              <w:t>Population over 65 years old (percentage)</w:t>
            </w:r>
          </w:p>
        </w:tc>
        <w:tc>
          <w:tcPr>
            <w:tcW w:w="1285" w:type="dxa"/>
          </w:tcPr>
          <w:p w14:paraId="475CD6C3" w14:textId="77777777" w:rsidR="0046798B" w:rsidRDefault="0046798B">
            <w:pPr>
              <w:pStyle w:val="TableParagraph"/>
              <w:spacing w:before="8"/>
              <w:rPr>
                <w:sz w:val="23"/>
              </w:rPr>
            </w:pPr>
          </w:p>
          <w:p w14:paraId="4FA7CD62" w14:textId="77777777" w:rsidR="0046798B" w:rsidRDefault="00903B5C">
            <w:pPr>
              <w:pStyle w:val="TableParagraph"/>
              <w:spacing w:before="1"/>
              <w:ind w:left="114"/>
              <w:rPr>
                <w:sz w:val="20"/>
              </w:rPr>
            </w:pPr>
            <w:r>
              <w:rPr>
                <w:sz w:val="20"/>
              </w:rPr>
              <w:t>2013–2017</w:t>
            </w:r>
          </w:p>
        </w:tc>
        <w:tc>
          <w:tcPr>
            <w:tcW w:w="3421" w:type="dxa"/>
          </w:tcPr>
          <w:p w14:paraId="737EFA92" w14:textId="77777777" w:rsidR="0046798B" w:rsidRDefault="00903B5C">
            <w:pPr>
              <w:pStyle w:val="TableParagraph"/>
              <w:spacing w:before="158"/>
              <w:ind w:left="114" w:right="422"/>
              <w:rPr>
                <w:sz w:val="20"/>
              </w:rPr>
            </w:pPr>
            <w:r>
              <w:rPr>
                <w:sz w:val="20"/>
              </w:rPr>
              <w:t>Percentage of the state’s population over the age of 65</w:t>
            </w:r>
          </w:p>
        </w:tc>
        <w:tc>
          <w:tcPr>
            <w:tcW w:w="6482" w:type="dxa"/>
          </w:tcPr>
          <w:p w14:paraId="695FA84D" w14:textId="77777777" w:rsidR="0046798B" w:rsidRDefault="00903B5C">
            <w:pPr>
              <w:pStyle w:val="TableParagraph"/>
              <w:spacing w:before="43"/>
              <w:ind w:left="114" w:right="652"/>
              <w:rPr>
                <w:sz w:val="20"/>
              </w:rPr>
            </w:pPr>
            <w:r>
              <w:rPr>
                <w:sz w:val="20"/>
              </w:rPr>
              <w:t>U.S. Census Bureau, American Fact Finder:</w:t>
            </w:r>
            <w:r>
              <w:rPr>
                <w:color w:val="0462C1"/>
                <w:sz w:val="20"/>
                <w:u w:val="single" w:color="0462C1"/>
              </w:rPr>
              <w:t xml:space="preserve"> </w:t>
            </w:r>
            <w:hyperlink r:id="rId43">
              <w:r>
                <w:rPr>
                  <w:color w:val="0462C1"/>
                  <w:sz w:val="20"/>
                  <w:u w:val="single" w:color="0462C1"/>
                </w:rPr>
                <w:t>https://www.census.gov/acs/www/data/data-tables-and-tools/american-</w:t>
              </w:r>
            </w:hyperlink>
            <w:hyperlink r:id="rId44">
              <w:r>
                <w:rPr>
                  <w:color w:val="0462C1"/>
                  <w:sz w:val="20"/>
                  <w:u w:val="single" w:color="0462C1"/>
                </w:rPr>
                <w:t xml:space="preserve"> factfinder/</w:t>
              </w:r>
            </w:hyperlink>
          </w:p>
        </w:tc>
      </w:tr>
      <w:tr w:rsidR="0046798B" w14:paraId="0B29BE8E" w14:textId="77777777">
        <w:trPr>
          <w:trHeight w:val="775"/>
        </w:trPr>
        <w:tc>
          <w:tcPr>
            <w:tcW w:w="1711" w:type="dxa"/>
          </w:tcPr>
          <w:p w14:paraId="46698A63" w14:textId="77777777" w:rsidR="0046798B" w:rsidRDefault="0046798B">
            <w:pPr>
              <w:pStyle w:val="TableParagraph"/>
              <w:spacing w:before="3"/>
              <w:rPr>
                <w:sz w:val="23"/>
              </w:rPr>
            </w:pPr>
          </w:p>
          <w:p w14:paraId="59EED819" w14:textId="77777777" w:rsidR="0046798B" w:rsidRDefault="00903B5C">
            <w:pPr>
              <w:pStyle w:val="TableParagraph"/>
              <w:spacing w:before="1"/>
              <w:ind w:left="115"/>
              <w:rPr>
                <w:b/>
                <w:sz w:val="20"/>
              </w:rPr>
            </w:pPr>
            <w:r>
              <w:rPr>
                <w:b/>
                <w:sz w:val="20"/>
              </w:rPr>
              <w:t>pctpopover18</w:t>
            </w:r>
          </w:p>
        </w:tc>
        <w:tc>
          <w:tcPr>
            <w:tcW w:w="1596" w:type="dxa"/>
          </w:tcPr>
          <w:p w14:paraId="3AE512A5" w14:textId="77777777" w:rsidR="0046798B" w:rsidRDefault="00903B5C">
            <w:pPr>
              <w:pStyle w:val="TableParagraph"/>
              <w:spacing w:before="38"/>
              <w:ind w:left="114" w:right="179"/>
              <w:rPr>
                <w:sz w:val="20"/>
              </w:rPr>
            </w:pPr>
            <w:r>
              <w:rPr>
                <w:sz w:val="20"/>
              </w:rPr>
              <w:t>Population over 18 years old (percentage)</w:t>
            </w:r>
          </w:p>
        </w:tc>
        <w:tc>
          <w:tcPr>
            <w:tcW w:w="1285" w:type="dxa"/>
          </w:tcPr>
          <w:p w14:paraId="01091C70" w14:textId="77777777" w:rsidR="0046798B" w:rsidRDefault="0046798B">
            <w:pPr>
              <w:pStyle w:val="TableParagraph"/>
              <w:spacing w:before="3"/>
              <w:rPr>
                <w:sz w:val="23"/>
              </w:rPr>
            </w:pPr>
          </w:p>
          <w:p w14:paraId="559495A8" w14:textId="77777777" w:rsidR="0046798B" w:rsidRDefault="00903B5C">
            <w:pPr>
              <w:pStyle w:val="TableParagraph"/>
              <w:spacing w:before="1"/>
              <w:ind w:left="114"/>
              <w:rPr>
                <w:sz w:val="20"/>
              </w:rPr>
            </w:pPr>
            <w:r>
              <w:rPr>
                <w:sz w:val="20"/>
              </w:rPr>
              <w:t>2013–2017</w:t>
            </w:r>
          </w:p>
        </w:tc>
        <w:tc>
          <w:tcPr>
            <w:tcW w:w="3421" w:type="dxa"/>
          </w:tcPr>
          <w:p w14:paraId="403E24E0" w14:textId="77777777" w:rsidR="0046798B" w:rsidRDefault="00903B5C">
            <w:pPr>
              <w:pStyle w:val="TableParagraph"/>
              <w:spacing w:before="153"/>
              <w:ind w:left="114" w:right="422"/>
              <w:rPr>
                <w:sz w:val="20"/>
              </w:rPr>
            </w:pPr>
            <w:r>
              <w:rPr>
                <w:sz w:val="20"/>
              </w:rPr>
              <w:t>Percentage of the state’s population over the age of 18</w:t>
            </w:r>
          </w:p>
        </w:tc>
        <w:tc>
          <w:tcPr>
            <w:tcW w:w="6482" w:type="dxa"/>
          </w:tcPr>
          <w:p w14:paraId="2B197852" w14:textId="77777777" w:rsidR="0046798B" w:rsidRDefault="00903B5C">
            <w:pPr>
              <w:pStyle w:val="TableParagraph"/>
              <w:spacing w:before="38"/>
              <w:ind w:left="114" w:right="652"/>
              <w:rPr>
                <w:sz w:val="20"/>
              </w:rPr>
            </w:pPr>
            <w:r>
              <w:rPr>
                <w:sz w:val="20"/>
              </w:rPr>
              <w:t>U.S. Census Bureau, American Fact Finder:</w:t>
            </w:r>
            <w:r>
              <w:rPr>
                <w:color w:val="0462C1"/>
                <w:sz w:val="20"/>
                <w:u w:val="single" w:color="0462C1"/>
              </w:rPr>
              <w:t xml:space="preserve"> </w:t>
            </w:r>
            <w:hyperlink r:id="rId45">
              <w:r>
                <w:rPr>
                  <w:color w:val="0462C1"/>
                  <w:sz w:val="20"/>
                  <w:u w:val="single" w:color="0462C1"/>
                </w:rPr>
                <w:t>https://www.census.gov/acs/www/data/data-tables-and-tools/american-</w:t>
              </w:r>
            </w:hyperlink>
            <w:hyperlink r:id="rId46">
              <w:r>
                <w:rPr>
                  <w:color w:val="0462C1"/>
                  <w:sz w:val="20"/>
                  <w:u w:val="single" w:color="0462C1"/>
                </w:rPr>
                <w:t xml:space="preserve"> factfinder/</w:t>
              </w:r>
            </w:hyperlink>
          </w:p>
        </w:tc>
      </w:tr>
      <w:tr w:rsidR="0046798B" w14:paraId="7B453FE1" w14:textId="77777777">
        <w:trPr>
          <w:trHeight w:val="1235"/>
        </w:trPr>
        <w:tc>
          <w:tcPr>
            <w:tcW w:w="1711" w:type="dxa"/>
          </w:tcPr>
          <w:p w14:paraId="5B7FFC1D" w14:textId="77777777" w:rsidR="0046798B" w:rsidRDefault="0046798B">
            <w:pPr>
              <w:pStyle w:val="TableParagraph"/>
            </w:pPr>
          </w:p>
          <w:p w14:paraId="57F7DD05" w14:textId="77777777" w:rsidR="0046798B" w:rsidRDefault="0046798B">
            <w:pPr>
              <w:pStyle w:val="TableParagraph"/>
              <w:spacing w:before="4"/>
              <w:rPr>
                <w:sz w:val="21"/>
              </w:rPr>
            </w:pPr>
          </w:p>
          <w:p w14:paraId="5AE6E5A7" w14:textId="77777777" w:rsidR="0046798B" w:rsidRDefault="00903B5C">
            <w:pPr>
              <w:pStyle w:val="TableParagraph"/>
              <w:ind w:left="115"/>
              <w:rPr>
                <w:b/>
                <w:sz w:val="20"/>
              </w:rPr>
            </w:pPr>
            <w:r>
              <w:rPr>
                <w:b/>
                <w:sz w:val="20"/>
              </w:rPr>
              <w:t>popover85</w:t>
            </w:r>
          </w:p>
        </w:tc>
        <w:tc>
          <w:tcPr>
            <w:tcW w:w="1596" w:type="dxa"/>
          </w:tcPr>
          <w:p w14:paraId="67051387" w14:textId="77777777" w:rsidR="0046798B" w:rsidRDefault="0046798B">
            <w:pPr>
              <w:pStyle w:val="TableParagraph"/>
              <w:spacing w:before="4"/>
              <w:rPr>
                <w:sz w:val="23"/>
              </w:rPr>
            </w:pPr>
          </w:p>
          <w:p w14:paraId="48CB1668" w14:textId="77777777" w:rsidR="0046798B" w:rsidRDefault="00903B5C">
            <w:pPr>
              <w:pStyle w:val="TableParagraph"/>
              <w:ind w:left="114" w:right="150"/>
              <w:jc w:val="both"/>
              <w:rPr>
                <w:sz w:val="20"/>
              </w:rPr>
            </w:pPr>
            <w:r>
              <w:rPr>
                <w:sz w:val="20"/>
              </w:rPr>
              <w:t>Population from 85 years old and older</w:t>
            </w:r>
          </w:p>
        </w:tc>
        <w:tc>
          <w:tcPr>
            <w:tcW w:w="1285" w:type="dxa"/>
          </w:tcPr>
          <w:p w14:paraId="322770FE" w14:textId="77777777" w:rsidR="0046798B" w:rsidRDefault="0046798B">
            <w:pPr>
              <w:pStyle w:val="TableParagraph"/>
            </w:pPr>
          </w:p>
          <w:p w14:paraId="2E26989E" w14:textId="77777777" w:rsidR="0046798B" w:rsidRDefault="0046798B">
            <w:pPr>
              <w:pStyle w:val="TableParagraph"/>
              <w:spacing w:before="4"/>
              <w:rPr>
                <w:sz w:val="21"/>
              </w:rPr>
            </w:pPr>
          </w:p>
          <w:p w14:paraId="19B99ECC" w14:textId="77777777" w:rsidR="0046798B" w:rsidRDefault="00903B5C">
            <w:pPr>
              <w:pStyle w:val="TableParagraph"/>
              <w:ind w:left="114"/>
              <w:rPr>
                <w:sz w:val="20"/>
              </w:rPr>
            </w:pPr>
            <w:r>
              <w:rPr>
                <w:sz w:val="20"/>
              </w:rPr>
              <w:t>1995–2010</w:t>
            </w:r>
          </w:p>
        </w:tc>
        <w:tc>
          <w:tcPr>
            <w:tcW w:w="3421" w:type="dxa"/>
          </w:tcPr>
          <w:p w14:paraId="010DB0D6" w14:textId="77777777" w:rsidR="0046798B" w:rsidRDefault="0046798B">
            <w:pPr>
              <w:pStyle w:val="TableParagraph"/>
              <w:spacing w:before="4"/>
              <w:rPr>
                <w:sz w:val="23"/>
              </w:rPr>
            </w:pPr>
          </w:p>
          <w:p w14:paraId="0545A21D" w14:textId="77777777" w:rsidR="0046798B" w:rsidRDefault="00903B5C">
            <w:pPr>
              <w:pStyle w:val="TableParagraph"/>
              <w:ind w:left="114" w:right="300"/>
              <w:rPr>
                <w:sz w:val="20"/>
              </w:rPr>
            </w:pPr>
            <w:r>
              <w:rPr>
                <w:sz w:val="20"/>
              </w:rPr>
              <w:t>The number of residents over the age of 85 in a state. Data for 2001 are unavailable.</w:t>
            </w:r>
          </w:p>
        </w:tc>
        <w:tc>
          <w:tcPr>
            <w:tcW w:w="6482" w:type="dxa"/>
          </w:tcPr>
          <w:p w14:paraId="5B68F7FE" w14:textId="77777777" w:rsidR="0046798B" w:rsidRDefault="00903B5C">
            <w:pPr>
              <w:pStyle w:val="TableParagraph"/>
              <w:spacing w:before="38"/>
              <w:ind w:left="114" w:right="2016"/>
              <w:rPr>
                <w:sz w:val="20"/>
              </w:rPr>
            </w:pPr>
            <w:r>
              <w:rPr>
                <w:sz w:val="20"/>
              </w:rPr>
              <w:t xml:space="preserve">CQ Press. “State Stats: Population under 5 years old.” </w:t>
            </w:r>
            <w:hyperlink r:id="rId47">
              <w:r>
                <w:rPr>
                  <w:color w:val="0462C1"/>
                  <w:sz w:val="20"/>
                  <w:u w:val="single" w:color="0462C1"/>
                </w:rPr>
                <w:t>http://library.cqpress.com/cqresearcher/index.php</w:t>
              </w:r>
            </w:hyperlink>
          </w:p>
          <w:p w14:paraId="64FEBF38" w14:textId="77777777" w:rsidR="0046798B" w:rsidRDefault="0046798B">
            <w:pPr>
              <w:pStyle w:val="TableParagraph"/>
              <w:rPr>
                <w:sz w:val="20"/>
              </w:rPr>
            </w:pPr>
          </w:p>
          <w:p w14:paraId="1BFAB02C" w14:textId="77777777" w:rsidR="0046798B" w:rsidRDefault="00903B5C">
            <w:pPr>
              <w:pStyle w:val="TableParagraph"/>
              <w:ind w:left="114" w:right="217"/>
              <w:rPr>
                <w:sz w:val="20"/>
              </w:rPr>
            </w:pPr>
            <w:r>
              <w:rPr>
                <w:sz w:val="20"/>
              </w:rPr>
              <w:t xml:space="preserve">Originally provided by Stateminder: A data visualization project from Georgetown University. </w:t>
            </w:r>
            <w:hyperlink r:id="rId48">
              <w:r>
                <w:rPr>
                  <w:sz w:val="20"/>
                  <w:u w:val="single"/>
                </w:rPr>
                <w:t>http://stateminder.org/</w:t>
              </w:r>
              <w:r>
                <w:rPr>
                  <w:sz w:val="20"/>
                </w:rPr>
                <w:t xml:space="preserve"> </w:t>
              </w:r>
            </w:hyperlink>
            <w:r>
              <w:rPr>
                <w:sz w:val="20"/>
              </w:rPr>
              <w:t>(no longer accessible online)</w:t>
            </w:r>
          </w:p>
        </w:tc>
      </w:tr>
      <w:tr w:rsidR="0046798B" w14:paraId="6D446FDC" w14:textId="77777777">
        <w:trPr>
          <w:trHeight w:val="775"/>
        </w:trPr>
        <w:tc>
          <w:tcPr>
            <w:tcW w:w="1711" w:type="dxa"/>
          </w:tcPr>
          <w:p w14:paraId="2AB087E9" w14:textId="77777777" w:rsidR="0046798B" w:rsidRDefault="0046798B">
            <w:pPr>
              <w:pStyle w:val="TableParagraph"/>
              <w:spacing w:before="9"/>
              <w:rPr>
                <w:sz w:val="23"/>
              </w:rPr>
            </w:pPr>
          </w:p>
          <w:p w14:paraId="515AC225" w14:textId="77777777" w:rsidR="0046798B" w:rsidRDefault="00903B5C">
            <w:pPr>
              <w:pStyle w:val="TableParagraph"/>
              <w:ind w:left="115"/>
              <w:rPr>
                <w:b/>
                <w:sz w:val="20"/>
              </w:rPr>
            </w:pPr>
            <w:r>
              <w:rPr>
                <w:b/>
                <w:sz w:val="20"/>
              </w:rPr>
              <w:t>pctlatinx</w:t>
            </w:r>
          </w:p>
        </w:tc>
        <w:tc>
          <w:tcPr>
            <w:tcW w:w="1596" w:type="dxa"/>
          </w:tcPr>
          <w:p w14:paraId="21D6F0BE" w14:textId="77777777" w:rsidR="0046798B" w:rsidRDefault="00903B5C">
            <w:pPr>
              <w:pStyle w:val="TableParagraph"/>
              <w:spacing w:before="159"/>
              <w:ind w:left="114" w:right="596"/>
              <w:rPr>
                <w:sz w:val="20"/>
              </w:rPr>
            </w:pPr>
            <w:r>
              <w:rPr>
                <w:sz w:val="20"/>
              </w:rPr>
              <w:t>Latinx population</w:t>
            </w:r>
          </w:p>
        </w:tc>
        <w:tc>
          <w:tcPr>
            <w:tcW w:w="1285" w:type="dxa"/>
          </w:tcPr>
          <w:p w14:paraId="4DDE60B2" w14:textId="77777777" w:rsidR="0046798B" w:rsidRDefault="0046798B">
            <w:pPr>
              <w:pStyle w:val="TableParagraph"/>
              <w:spacing w:before="9"/>
              <w:rPr>
                <w:sz w:val="23"/>
              </w:rPr>
            </w:pPr>
          </w:p>
          <w:p w14:paraId="673064ED" w14:textId="77777777" w:rsidR="0046798B" w:rsidRDefault="00903B5C">
            <w:pPr>
              <w:pStyle w:val="TableParagraph"/>
              <w:ind w:left="114"/>
              <w:rPr>
                <w:sz w:val="20"/>
              </w:rPr>
            </w:pPr>
            <w:r>
              <w:rPr>
                <w:sz w:val="20"/>
              </w:rPr>
              <w:t>2013–2017</w:t>
            </w:r>
          </w:p>
        </w:tc>
        <w:tc>
          <w:tcPr>
            <w:tcW w:w="3421" w:type="dxa"/>
          </w:tcPr>
          <w:p w14:paraId="469CD740" w14:textId="77777777" w:rsidR="0046798B" w:rsidRDefault="00903B5C">
            <w:pPr>
              <w:pStyle w:val="TableParagraph"/>
              <w:spacing w:before="159"/>
              <w:ind w:left="114" w:right="172"/>
              <w:rPr>
                <w:sz w:val="20"/>
              </w:rPr>
            </w:pPr>
            <w:r>
              <w:rPr>
                <w:sz w:val="20"/>
              </w:rPr>
              <w:t>Percentage of the state’s residents who are Hispanic or Latino (of any race)</w:t>
            </w:r>
          </w:p>
        </w:tc>
        <w:tc>
          <w:tcPr>
            <w:tcW w:w="6482" w:type="dxa"/>
          </w:tcPr>
          <w:p w14:paraId="09FA9575" w14:textId="77777777" w:rsidR="0046798B" w:rsidRDefault="00903B5C">
            <w:pPr>
              <w:pStyle w:val="TableParagraph"/>
              <w:spacing w:before="44"/>
              <w:ind w:left="114" w:right="652"/>
              <w:rPr>
                <w:sz w:val="20"/>
              </w:rPr>
            </w:pPr>
            <w:r>
              <w:rPr>
                <w:sz w:val="20"/>
              </w:rPr>
              <w:t>U.S. Census Bureau, American Fact Finder:</w:t>
            </w:r>
            <w:r>
              <w:rPr>
                <w:color w:val="0462C1"/>
                <w:sz w:val="20"/>
                <w:u w:val="single" w:color="0462C1"/>
              </w:rPr>
              <w:t xml:space="preserve"> </w:t>
            </w:r>
            <w:hyperlink r:id="rId49">
              <w:r>
                <w:rPr>
                  <w:color w:val="0462C1"/>
                  <w:sz w:val="20"/>
                  <w:u w:val="single" w:color="0462C1"/>
                </w:rPr>
                <w:t>https://www.census.gov/acs/www/data/data-tables-and-tools/american-</w:t>
              </w:r>
            </w:hyperlink>
            <w:hyperlink r:id="rId50">
              <w:r>
                <w:rPr>
                  <w:color w:val="0462C1"/>
                  <w:sz w:val="20"/>
                  <w:u w:val="single" w:color="0462C1"/>
                </w:rPr>
                <w:t xml:space="preserve"> factfinder/</w:t>
              </w:r>
            </w:hyperlink>
          </w:p>
        </w:tc>
      </w:tr>
      <w:tr w:rsidR="0046798B" w14:paraId="4D62D5EB" w14:textId="77777777">
        <w:trPr>
          <w:trHeight w:val="775"/>
        </w:trPr>
        <w:tc>
          <w:tcPr>
            <w:tcW w:w="1711" w:type="dxa"/>
          </w:tcPr>
          <w:p w14:paraId="75843A43" w14:textId="77777777" w:rsidR="0046798B" w:rsidRDefault="0046798B">
            <w:pPr>
              <w:pStyle w:val="TableParagraph"/>
              <w:spacing w:before="8"/>
              <w:rPr>
                <w:sz w:val="23"/>
              </w:rPr>
            </w:pPr>
          </w:p>
          <w:p w14:paraId="6CBC198B" w14:textId="77777777" w:rsidR="0046798B" w:rsidRDefault="00903B5C">
            <w:pPr>
              <w:pStyle w:val="TableParagraph"/>
              <w:spacing w:before="1"/>
              <w:ind w:left="115"/>
              <w:rPr>
                <w:b/>
                <w:sz w:val="20"/>
              </w:rPr>
            </w:pPr>
            <w:r>
              <w:rPr>
                <w:b/>
                <w:sz w:val="20"/>
              </w:rPr>
              <w:t>pctwhite</w:t>
            </w:r>
          </w:p>
        </w:tc>
        <w:tc>
          <w:tcPr>
            <w:tcW w:w="1596" w:type="dxa"/>
          </w:tcPr>
          <w:p w14:paraId="072CD76B" w14:textId="77777777" w:rsidR="0046798B" w:rsidRDefault="00903B5C">
            <w:pPr>
              <w:pStyle w:val="TableParagraph"/>
              <w:spacing w:before="158"/>
              <w:ind w:left="114" w:right="596"/>
              <w:rPr>
                <w:sz w:val="20"/>
              </w:rPr>
            </w:pPr>
            <w:r>
              <w:rPr>
                <w:sz w:val="20"/>
              </w:rPr>
              <w:t>White population</w:t>
            </w:r>
          </w:p>
        </w:tc>
        <w:tc>
          <w:tcPr>
            <w:tcW w:w="1285" w:type="dxa"/>
          </w:tcPr>
          <w:p w14:paraId="5E50E954" w14:textId="77777777" w:rsidR="0046798B" w:rsidRDefault="0046798B">
            <w:pPr>
              <w:pStyle w:val="TableParagraph"/>
              <w:spacing w:before="8"/>
              <w:rPr>
                <w:sz w:val="23"/>
              </w:rPr>
            </w:pPr>
          </w:p>
          <w:p w14:paraId="611423F7" w14:textId="77777777" w:rsidR="0046798B" w:rsidRDefault="00903B5C">
            <w:pPr>
              <w:pStyle w:val="TableParagraph"/>
              <w:spacing w:before="1"/>
              <w:ind w:left="114"/>
              <w:rPr>
                <w:sz w:val="20"/>
              </w:rPr>
            </w:pPr>
            <w:r>
              <w:rPr>
                <w:sz w:val="20"/>
              </w:rPr>
              <w:t>2013–2017</w:t>
            </w:r>
          </w:p>
        </w:tc>
        <w:tc>
          <w:tcPr>
            <w:tcW w:w="3421" w:type="dxa"/>
          </w:tcPr>
          <w:p w14:paraId="5CB49C83" w14:textId="77777777" w:rsidR="0046798B" w:rsidRDefault="00903B5C">
            <w:pPr>
              <w:pStyle w:val="TableParagraph"/>
              <w:spacing w:before="158"/>
              <w:ind w:left="114" w:right="172"/>
              <w:rPr>
                <w:sz w:val="20"/>
              </w:rPr>
            </w:pPr>
            <w:r>
              <w:rPr>
                <w:sz w:val="20"/>
              </w:rPr>
              <w:t>Percentage of the state’s residents who are white (not Hispanic or Latino)</w:t>
            </w:r>
          </w:p>
        </w:tc>
        <w:tc>
          <w:tcPr>
            <w:tcW w:w="6482" w:type="dxa"/>
          </w:tcPr>
          <w:p w14:paraId="17E52901" w14:textId="77777777" w:rsidR="0046798B" w:rsidRDefault="00903B5C">
            <w:pPr>
              <w:pStyle w:val="TableParagraph"/>
              <w:spacing w:before="43"/>
              <w:ind w:left="114" w:right="652"/>
              <w:rPr>
                <w:sz w:val="20"/>
              </w:rPr>
            </w:pPr>
            <w:r>
              <w:rPr>
                <w:sz w:val="20"/>
              </w:rPr>
              <w:t>U.S. Census Bureau, American Fact Finder:</w:t>
            </w:r>
            <w:r>
              <w:rPr>
                <w:color w:val="0462C1"/>
                <w:sz w:val="20"/>
                <w:u w:val="single" w:color="0462C1"/>
              </w:rPr>
              <w:t xml:space="preserve"> </w:t>
            </w:r>
            <w:hyperlink r:id="rId51">
              <w:r>
                <w:rPr>
                  <w:color w:val="0462C1"/>
                  <w:sz w:val="20"/>
                  <w:u w:val="single" w:color="0462C1"/>
                </w:rPr>
                <w:t>https://www.census.gov/acs/www/data/data-tables-and-tools/american-</w:t>
              </w:r>
            </w:hyperlink>
            <w:hyperlink r:id="rId52">
              <w:r>
                <w:rPr>
                  <w:color w:val="0462C1"/>
                  <w:sz w:val="20"/>
                  <w:u w:val="single" w:color="0462C1"/>
                </w:rPr>
                <w:t xml:space="preserve"> factfinder/</w:t>
              </w:r>
            </w:hyperlink>
          </w:p>
        </w:tc>
      </w:tr>
      <w:tr w:rsidR="0046798B" w14:paraId="783D5F05" w14:textId="77777777">
        <w:trPr>
          <w:trHeight w:val="775"/>
        </w:trPr>
        <w:tc>
          <w:tcPr>
            <w:tcW w:w="1711" w:type="dxa"/>
          </w:tcPr>
          <w:p w14:paraId="63B567F1" w14:textId="77777777" w:rsidR="0046798B" w:rsidRDefault="0046798B">
            <w:pPr>
              <w:pStyle w:val="TableParagraph"/>
              <w:spacing w:before="8"/>
              <w:rPr>
                <w:sz w:val="23"/>
              </w:rPr>
            </w:pPr>
          </w:p>
          <w:p w14:paraId="41618502" w14:textId="77777777" w:rsidR="0046798B" w:rsidRDefault="00903B5C">
            <w:pPr>
              <w:pStyle w:val="TableParagraph"/>
              <w:spacing w:before="1"/>
              <w:ind w:left="115"/>
              <w:rPr>
                <w:b/>
                <w:sz w:val="20"/>
              </w:rPr>
            </w:pPr>
            <w:r>
              <w:rPr>
                <w:b/>
                <w:sz w:val="20"/>
              </w:rPr>
              <w:t>pctblack</w:t>
            </w:r>
          </w:p>
        </w:tc>
        <w:tc>
          <w:tcPr>
            <w:tcW w:w="1596" w:type="dxa"/>
          </w:tcPr>
          <w:p w14:paraId="55386C40" w14:textId="77777777" w:rsidR="0046798B" w:rsidRDefault="00903B5C">
            <w:pPr>
              <w:pStyle w:val="TableParagraph"/>
              <w:spacing w:before="158"/>
              <w:ind w:left="114" w:right="596"/>
              <w:rPr>
                <w:sz w:val="20"/>
              </w:rPr>
            </w:pPr>
            <w:r>
              <w:rPr>
                <w:sz w:val="20"/>
              </w:rPr>
              <w:t>Black population</w:t>
            </w:r>
          </w:p>
        </w:tc>
        <w:tc>
          <w:tcPr>
            <w:tcW w:w="1285" w:type="dxa"/>
          </w:tcPr>
          <w:p w14:paraId="709DBAE0" w14:textId="77777777" w:rsidR="0046798B" w:rsidRDefault="0046798B">
            <w:pPr>
              <w:pStyle w:val="TableParagraph"/>
              <w:spacing w:before="8"/>
              <w:rPr>
                <w:sz w:val="23"/>
              </w:rPr>
            </w:pPr>
          </w:p>
          <w:p w14:paraId="6E17053B" w14:textId="77777777" w:rsidR="0046798B" w:rsidRDefault="00903B5C">
            <w:pPr>
              <w:pStyle w:val="TableParagraph"/>
              <w:spacing w:before="1"/>
              <w:ind w:left="114"/>
              <w:rPr>
                <w:sz w:val="20"/>
              </w:rPr>
            </w:pPr>
            <w:r>
              <w:rPr>
                <w:sz w:val="20"/>
              </w:rPr>
              <w:t>2013–2017</w:t>
            </w:r>
          </w:p>
        </w:tc>
        <w:tc>
          <w:tcPr>
            <w:tcW w:w="3421" w:type="dxa"/>
          </w:tcPr>
          <w:p w14:paraId="04308AF8" w14:textId="77777777" w:rsidR="0046798B" w:rsidRDefault="00903B5C">
            <w:pPr>
              <w:pStyle w:val="TableParagraph"/>
              <w:spacing w:before="158"/>
              <w:ind w:left="114" w:right="172"/>
              <w:rPr>
                <w:sz w:val="20"/>
              </w:rPr>
            </w:pPr>
            <w:r>
              <w:rPr>
                <w:sz w:val="20"/>
              </w:rPr>
              <w:t>Percentage of the state’s residents who are black or African American (alone)</w:t>
            </w:r>
          </w:p>
        </w:tc>
        <w:tc>
          <w:tcPr>
            <w:tcW w:w="6482" w:type="dxa"/>
          </w:tcPr>
          <w:p w14:paraId="554FFA2C" w14:textId="77777777" w:rsidR="0046798B" w:rsidRDefault="00903B5C">
            <w:pPr>
              <w:pStyle w:val="TableParagraph"/>
              <w:spacing w:before="43"/>
              <w:ind w:left="114" w:right="652"/>
              <w:rPr>
                <w:sz w:val="20"/>
              </w:rPr>
            </w:pPr>
            <w:r>
              <w:rPr>
                <w:sz w:val="20"/>
              </w:rPr>
              <w:t>U.S. Census Bureau, American Fact Finder:</w:t>
            </w:r>
            <w:r>
              <w:rPr>
                <w:color w:val="0462C1"/>
                <w:sz w:val="20"/>
                <w:u w:val="single" w:color="0462C1"/>
              </w:rPr>
              <w:t xml:space="preserve"> </w:t>
            </w:r>
            <w:hyperlink r:id="rId53">
              <w:r>
                <w:rPr>
                  <w:color w:val="0462C1"/>
                  <w:sz w:val="20"/>
                  <w:u w:val="single" w:color="0462C1"/>
                </w:rPr>
                <w:t>https://www.census.gov/acs/www/data/data-tables-and-tools/american-</w:t>
              </w:r>
            </w:hyperlink>
            <w:hyperlink r:id="rId54">
              <w:r>
                <w:rPr>
                  <w:color w:val="0462C1"/>
                  <w:sz w:val="20"/>
                  <w:u w:val="single" w:color="0462C1"/>
                </w:rPr>
                <w:t xml:space="preserve"> factfinder/</w:t>
              </w:r>
            </w:hyperlink>
          </w:p>
        </w:tc>
      </w:tr>
      <w:tr w:rsidR="0046798B" w14:paraId="4282E0AC" w14:textId="77777777">
        <w:trPr>
          <w:trHeight w:val="780"/>
        </w:trPr>
        <w:tc>
          <w:tcPr>
            <w:tcW w:w="1711" w:type="dxa"/>
          </w:tcPr>
          <w:p w14:paraId="65733860" w14:textId="77777777" w:rsidR="0046798B" w:rsidRDefault="0046798B">
            <w:pPr>
              <w:pStyle w:val="TableParagraph"/>
              <w:spacing w:before="9"/>
              <w:rPr>
                <w:sz w:val="23"/>
              </w:rPr>
            </w:pPr>
          </w:p>
          <w:p w14:paraId="1046BAEE" w14:textId="77777777" w:rsidR="0046798B" w:rsidRDefault="00903B5C">
            <w:pPr>
              <w:pStyle w:val="TableParagraph"/>
              <w:ind w:left="115"/>
              <w:rPr>
                <w:b/>
                <w:sz w:val="20"/>
              </w:rPr>
            </w:pPr>
            <w:r>
              <w:rPr>
                <w:b/>
                <w:sz w:val="20"/>
              </w:rPr>
              <w:t>pctasian</w:t>
            </w:r>
          </w:p>
        </w:tc>
        <w:tc>
          <w:tcPr>
            <w:tcW w:w="1596" w:type="dxa"/>
          </w:tcPr>
          <w:p w14:paraId="047E0033" w14:textId="77777777" w:rsidR="0046798B" w:rsidRDefault="00903B5C">
            <w:pPr>
              <w:pStyle w:val="TableParagraph"/>
              <w:spacing w:before="158"/>
              <w:ind w:left="114" w:right="596"/>
              <w:rPr>
                <w:sz w:val="20"/>
              </w:rPr>
            </w:pPr>
            <w:r>
              <w:rPr>
                <w:sz w:val="20"/>
              </w:rPr>
              <w:t>Asian population</w:t>
            </w:r>
          </w:p>
        </w:tc>
        <w:tc>
          <w:tcPr>
            <w:tcW w:w="1285" w:type="dxa"/>
          </w:tcPr>
          <w:p w14:paraId="70DA5FCB" w14:textId="77777777" w:rsidR="0046798B" w:rsidRDefault="0046798B">
            <w:pPr>
              <w:pStyle w:val="TableParagraph"/>
              <w:spacing w:before="9"/>
              <w:rPr>
                <w:sz w:val="23"/>
              </w:rPr>
            </w:pPr>
          </w:p>
          <w:p w14:paraId="0499E297" w14:textId="77777777" w:rsidR="0046798B" w:rsidRDefault="00903B5C">
            <w:pPr>
              <w:pStyle w:val="TableParagraph"/>
              <w:ind w:left="114"/>
              <w:rPr>
                <w:sz w:val="20"/>
              </w:rPr>
            </w:pPr>
            <w:r>
              <w:rPr>
                <w:sz w:val="20"/>
              </w:rPr>
              <w:t>2013–2017</w:t>
            </w:r>
          </w:p>
        </w:tc>
        <w:tc>
          <w:tcPr>
            <w:tcW w:w="3421" w:type="dxa"/>
          </w:tcPr>
          <w:p w14:paraId="1E966771" w14:textId="77777777" w:rsidR="0046798B" w:rsidRDefault="00903B5C">
            <w:pPr>
              <w:pStyle w:val="TableParagraph"/>
              <w:spacing w:before="158"/>
              <w:ind w:left="114" w:right="172"/>
              <w:rPr>
                <w:sz w:val="20"/>
              </w:rPr>
            </w:pPr>
            <w:r>
              <w:rPr>
                <w:sz w:val="20"/>
              </w:rPr>
              <w:t>Percentage of the state’s residents who are Asian (alone)</w:t>
            </w:r>
          </w:p>
        </w:tc>
        <w:tc>
          <w:tcPr>
            <w:tcW w:w="6482" w:type="dxa"/>
          </w:tcPr>
          <w:p w14:paraId="0B0B1074" w14:textId="77777777" w:rsidR="0046798B" w:rsidRDefault="00903B5C">
            <w:pPr>
              <w:pStyle w:val="TableParagraph"/>
              <w:spacing w:before="43"/>
              <w:ind w:left="114" w:right="652"/>
              <w:rPr>
                <w:sz w:val="20"/>
              </w:rPr>
            </w:pPr>
            <w:r>
              <w:rPr>
                <w:sz w:val="20"/>
              </w:rPr>
              <w:t>U.S. Census Bureau, American Fact Finder:</w:t>
            </w:r>
            <w:r>
              <w:rPr>
                <w:color w:val="0462C1"/>
                <w:sz w:val="20"/>
                <w:u w:val="single" w:color="0462C1"/>
              </w:rPr>
              <w:t xml:space="preserve"> </w:t>
            </w:r>
            <w:hyperlink r:id="rId55">
              <w:r>
                <w:rPr>
                  <w:color w:val="0462C1"/>
                  <w:sz w:val="20"/>
                  <w:u w:val="single" w:color="0462C1"/>
                </w:rPr>
                <w:t>https://www.census.gov/acs/www/data/data-tables-and-tools/american-</w:t>
              </w:r>
            </w:hyperlink>
            <w:hyperlink r:id="rId56">
              <w:r>
                <w:rPr>
                  <w:color w:val="0462C1"/>
                  <w:sz w:val="20"/>
                  <w:u w:val="single" w:color="0462C1"/>
                </w:rPr>
                <w:t xml:space="preserve"> factfinder/</w:t>
              </w:r>
            </w:hyperlink>
          </w:p>
        </w:tc>
      </w:tr>
      <w:tr w:rsidR="0046798B" w14:paraId="62153E48" w14:textId="77777777">
        <w:trPr>
          <w:trHeight w:val="775"/>
        </w:trPr>
        <w:tc>
          <w:tcPr>
            <w:tcW w:w="1711" w:type="dxa"/>
          </w:tcPr>
          <w:p w14:paraId="31F1F89B" w14:textId="77777777" w:rsidR="0046798B" w:rsidRDefault="0046798B">
            <w:pPr>
              <w:pStyle w:val="TableParagraph"/>
              <w:spacing w:before="3"/>
              <w:rPr>
                <w:sz w:val="23"/>
              </w:rPr>
            </w:pPr>
          </w:p>
          <w:p w14:paraId="2ADB2F25" w14:textId="77777777" w:rsidR="0046798B" w:rsidRDefault="00903B5C">
            <w:pPr>
              <w:pStyle w:val="TableParagraph"/>
              <w:spacing w:before="1"/>
              <w:ind w:left="115"/>
              <w:rPr>
                <w:b/>
                <w:sz w:val="20"/>
              </w:rPr>
            </w:pPr>
            <w:r>
              <w:rPr>
                <w:b/>
                <w:sz w:val="20"/>
              </w:rPr>
              <w:t>pctpacific</w:t>
            </w:r>
          </w:p>
        </w:tc>
        <w:tc>
          <w:tcPr>
            <w:tcW w:w="1596" w:type="dxa"/>
          </w:tcPr>
          <w:p w14:paraId="35AC7A4E" w14:textId="77777777" w:rsidR="0046798B" w:rsidRDefault="00903B5C">
            <w:pPr>
              <w:pStyle w:val="TableParagraph"/>
              <w:spacing w:before="153"/>
              <w:ind w:left="114" w:right="202"/>
              <w:rPr>
                <w:sz w:val="20"/>
              </w:rPr>
            </w:pPr>
            <w:r>
              <w:rPr>
                <w:sz w:val="20"/>
              </w:rPr>
              <w:t>Pacific Islander population</w:t>
            </w:r>
          </w:p>
        </w:tc>
        <w:tc>
          <w:tcPr>
            <w:tcW w:w="1285" w:type="dxa"/>
          </w:tcPr>
          <w:p w14:paraId="34DCD056" w14:textId="77777777" w:rsidR="0046798B" w:rsidRDefault="0046798B">
            <w:pPr>
              <w:pStyle w:val="TableParagraph"/>
              <w:spacing w:before="3"/>
              <w:rPr>
                <w:sz w:val="23"/>
              </w:rPr>
            </w:pPr>
          </w:p>
          <w:p w14:paraId="16315075" w14:textId="77777777" w:rsidR="0046798B" w:rsidRDefault="00903B5C">
            <w:pPr>
              <w:pStyle w:val="TableParagraph"/>
              <w:spacing w:before="1"/>
              <w:ind w:left="114"/>
              <w:rPr>
                <w:sz w:val="20"/>
              </w:rPr>
            </w:pPr>
            <w:r>
              <w:rPr>
                <w:sz w:val="20"/>
              </w:rPr>
              <w:t>2013–2017</w:t>
            </w:r>
          </w:p>
        </w:tc>
        <w:tc>
          <w:tcPr>
            <w:tcW w:w="3421" w:type="dxa"/>
          </w:tcPr>
          <w:p w14:paraId="7CE84A7A" w14:textId="77777777" w:rsidR="0046798B" w:rsidRDefault="00903B5C">
            <w:pPr>
              <w:pStyle w:val="TableParagraph"/>
              <w:spacing w:before="38"/>
              <w:ind w:left="114" w:right="172"/>
              <w:rPr>
                <w:sz w:val="20"/>
              </w:rPr>
            </w:pPr>
            <w:r>
              <w:rPr>
                <w:sz w:val="20"/>
              </w:rPr>
              <w:t>Percentage of the state’s residents who are native Hawaiian or other Pacific Islander (alone)</w:t>
            </w:r>
          </w:p>
        </w:tc>
        <w:tc>
          <w:tcPr>
            <w:tcW w:w="6482" w:type="dxa"/>
          </w:tcPr>
          <w:p w14:paraId="767E3070" w14:textId="77777777" w:rsidR="0046798B" w:rsidRDefault="00903B5C">
            <w:pPr>
              <w:pStyle w:val="TableParagraph"/>
              <w:spacing w:before="38"/>
              <w:ind w:left="114" w:right="652"/>
              <w:rPr>
                <w:sz w:val="20"/>
              </w:rPr>
            </w:pPr>
            <w:r>
              <w:rPr>
                <w:sz w:val="20"/>
              </w:rPr>
              <w:t>U.S. Census Bureau, American Fact Finder:</w:t>
            </w:r>
            <w:r>
              <w:rPr>
                <w:color w:val="0462C1"/>
                <w:sz w:val="20"/>
                <w:u w:val="single" w:color="0462C1"/>
              </w:rPr>
              <w:t xml:space="preserve"> </w:t>
            </w:r>
            <w:hyperlink r:id="rId57">
              <w:r>
                <w:rPr>
                  <w:color w:val="0462C1"/>
                  <w:sz w:val="20"/>
                  <w:u w:val="single" w:color="0462C1"/>
                </w:rPr>
                <w:t>https://www.census.gov/acs/www/data/data-tables-and-tools/american-</w:t>
              </w:r>
            </w:hyperlink>
            <w:hyperlink r:id="rId58">
              <w:r>
                <w:rPr>
                  <w:color w:val="0462C1"/>
                  <w:sz w:val="20"/>
                  <w:u w:val="single" w:color="0462C1"/>
                </w:rPr>
                <w:t xml:space="preserve"> factfinder/</w:t>
              </w:r>
            </w:hyperlink>
          </w:p>
        </w:tc>
      </w:tr>
    </w:tbl>
    <w:p w14:paraId="64034B43" w14:textId="77777777" w:rsidR="0046798B" w:rsidRDefault="0046798B">
      <w:pPr>
        <w:rPr>
          <w:sz w:val="20"/>
        </w:rPr>
        <w:sectPr w:rsidR="0046798B">
          <w:pgSz w:w="15840" w:h="12240" w:orient="landscape"/>
          <w:pgMar w:top="1220" w:right="300" w:bottom="980" w:left="820" w:header="730" w:footer="787" w:gutter="0"/>
          <w:cols w:space="720"/>
        </w:sectPr>
      </w:pPr>
    </w:p>
    <w:p w14:paraId="6D6B33E3"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03A326F2" w14:textId="77777777">
        <w:trPr>
          <w:trHeight w:val="775"/>
        </w:trPr>
        <w:tc>
          <w:tcPr>
            <w:tcW w:w="1711" w:type="dxa"/>
          </w:tcPr>
          <w:p w14:paraId="44B2708B" w14:textId="77777777" w:rsidR="0046798B" w:rsidRDefault="00903B5C">
            <w:pPr>
              <w:pStyle w:val="TableParagraph"/>
              <w:spacing w:before="158"/>
              <w:ind w:left="115" w:right="166"/>
              <w:rPr>
                <w:b/>
                <w:sz w:val="20"/>
              </w:rPr>
            </w:pPr>
            <w:r>
              <w:rPr>
                <w:b/>
                <w:sz w:val="20"/>
              </w:rPr>
              <w:t>pctamericanindi an</w:t>
            </w:r>
          </w:p>
        </w:tc>
        <w:tc>
          <w:tcPr>
            <w:tcW w:w="1596" w:type="dxa"/>
          </w:tcPr>
          <w:p w14:paraId="0C945FB0" w14:textId="77777777" w:rsidR="0046798B" w:rsidRDefault="00903B5C">
            <w:pPr>
              <w:pStyle w:val="TableParagraph"/>
              <w:spacing w:before="158"/>
              <w:ind w:left="114" w:right="102"/>
              <w:rPr>
                <w:sz w:val="20"/>
              </w:rPr>
            </w:pPr>
            <w:r>
              <w:rPr>
                <w:sz w:val="20"/>
              </w:rPr>
              <w:t>American Indian population</w:t>
            </w:r>
          </w:p>
        </w:tc>
        <w:tc>
          <w:tcPr>
            <w:tcW w:w="1285" w:type="dxa"/>
          </w:tcPr>
          <w:p w14:paraId="33279896" w14:textId="77777777" w:rsidR="0046798B" w:rsidRDefault="0046798B">
            <w:pPr>
              <w:pStyle w:val="TableParagraph"/>
              <w:spacing w:before="9"/>
              <w:rPr>
                <w:sz w:val="23"/>
              </w:rPr>
            </w:pPr>
          </w:p>
          <w:p w14:paraId="11158E6F" w14:textId="77777777" w:rsidR="0046798B" w:rsidRDefault="00903B5C">
            <w:pPr>
              <w:pStyle w:val="TableParagraph"/>
              <w:ind w:left="114"/>
              <w:rPr>
                <w:sz w:val="20"/>
              </w:rPr>
            </w:pPr>
            <w:r>
              <w:rPr>
                <w:sz w:val="20"/>
              </w:rPr>
              <w:t>2013–2017</w:t>
            </w:r>
          </w:p>
        </w:tc>
        <w:tc>
          <w:tcPr>
            <w:tcW w:w="3421" w:type="dxa"/>
          </w:tcPr>
          <w:p w14:paraId="0305E6EF" w14:textId="77777777" w:rsidR="0046798B" w:rsidRDefault="00903B5C">
            <w:pPr>
              <w:pStyle w:val="TableParagraph"/>
              <w:spacing w:before="43"/>
              <w:ind w:left="114" w:right="184"/>
              <w:jc w:val="both"/>
              <w:rPr>
                <w:sz w:val="20"/>
              </w:rPr>
            </w:pPr>
            <w:r>
              <w:rPr>
                <w:sz w:val="20"/>
              </w:rPr>
              <w:t>Percentage of the state’s residents who are American Indian or Alaska Native (alone)</w:t>
            </w:r>
          </w:p>
        </w:tc>
        <w:tc>
          <w:tcPr>
            <w:tcW w:w="6482" w:type="dxa"/>
          </w:tcPr>
          <w:p w14:paraId="1479118E" w14:textId="77777777" w:rsidR="0046798B" w:rsidRDefault="00903B5C">
            <w:pPr>
              <w:pStyle w:val="TableParagraph"/>
              <w:spacing w:before="43"/>
              <w:ind w:left="114" w:right="652"/>
              <w:rPr>
                <w:sz w:val="20"/>
              </w:rPr>
            </w:pPr>
            <w:r>
              <w:rPr>
                <w:sz w:val="20"/>
              </w:rPr>
              <w:t>U.S. Census Bureau, American Fact Finder:</w:t>
            </w:r>
            <w:r>
              <w:rPr>
                <w:color w:val="0462C1"/>
                <w:sz w:val="20"/>
                <w:u w:val="single" w:color="0462C1"/>
              </w:rPr>
              <w:t xml:space="preserve"> </w:t>
            </w:r>
            <w:hyperlink r:id="rId59">
              <w:r>
                <w:rPr>
                  <w:color w:val="0462C1"/>
                  <w:sz w:val="20"/>
                  <w:u w:val="single" w:color="0462C1"/>
                </w:rPr>
                <w:t>https://www.census.gov/acs/www/data/data-tables-and-tools/american-</w:t>
              </w:r>
            </w:hyperlink>
            <w:hyperlink r:id="rId60">
              <w:r>
                <w:rPr>
                  <w:color w:val="0462C1"/>
                  <w:sz w:val="20"/>
                  <w:u w:val="single" w:color="0462C1"/>
                </w:rPr>
                <w:t xml:space="preserve"> factfinder/</w:t>
              </w:r>
            </w:hyperlink>
          </w:p>
        </w:tc>
      </w:tr>
      <w:tr w:rsidR="0046798B" w14:paraId="23C0D4F1" w14:textId="77777777">
        <w:trPr>
          <w:trHeight w:val="1465"/>
        </w:trPr>
        <w:tc>
          <w:tcPr>
            <w:tcW w:w="1711" w:type="dxa"/>
          </w:tcPr>
          <w:p w14:paraId="2519B86E" w14:textId="77777777" w:rsidR="0046798B" w:rsidRDefault="0046798B">
            <w:pPr>
              <w:pStyle w:val="TableParagraph"/>
            </w:pPr>
          </w:p>
          <w:p w14:paraId="66C5155F" w14:textId="77777777" w:rsidR="0046798B" w:rsidRDefault="0046798B">
            <w:pPr>
              <w:pStyle w:val="TableParagraph"/>
              <w:spacing w:before="8"/>
              <w:rPr>
                <w:sz w:val="31"/>
              </w:rPr>
            </w:pPr>
          </w:p>
          <w:p w14:paraId="31D1CD4E" w14:textId="77777777" w:rsidR="0046798B" w:rsidRDefault="00903B5C">
            <w:pPr>
              <w:pStyle w:val="TableParagraph"/>
              <w:spacing w:before="1"/>
              <w:ind w:left="115"/>
              <w:rPr>
                <w:b/>
                <w:sz w:val="20"/>
              </w:rPr>
            </w:pPr>
            <w:r>
              <w:rPr>
                <w:b/>
                <w:sz w:val="20"/>
              </w:rPr>
              <w:t>birthrate</w:t>
            </w:r>
          </w:p>
        </w:tc>
        <w:tc>
          <w:tcPr>
            <w:tcW w:w="1596" w:type="dxa"/>
          </w:tcPr>
          <w:p w14:paraId="58BE0379" w14:textId="77777777" w:rsidR="0046798B" w:rsidRDefault="0046798B">
            <w:pPr>
              <w:pStyle w:val="TableParagraph"/>
            </w:pPr>
          </w:p>
          <w:p w14:paraId="0C982681" w14:textId="77777777" w:rsidR="0046798B" w:rsidRDefault="0046798B">
            <w:pPr>
              <w:pStyle w:val="TableParagraph"/>
              <w:spacing w:before="8"/>
              <w:rPr>
                <w:sz w:val="31"/>
              </w:rPr>
            </w:pPr>
          </w:p>
          <w:p w14:paraId="4409EBC5" w14:textId="77777777" w:rsidR="0046798B" w:rsidRDefault="00903B5C">
            <w:pPr>
              <w:pStyle w:val="TableParagraph"/>
              <w:spacing w:before="1"/>
              <w:ind w:left="114"/>
              <w:rPr>
                <w:sz w:val="20"/>
              </w:rPr>
            </w:pPr>
            <w:r>
              <w:rPr>
                <w:sz w:val="20"/>
              </w:rPr>
              <w:t>Birth rate</w:t>
            </w:r>
          </w:p>
        </w:tc>
        <w:tc>
          <w:tcPr>
            <w:tcW w:w="1285" w:type="dxa"/>
          </w:tcPr>
          <w:p w14:paraId="4BA6B44A" w14:textId="77777777" w:rsidR="0046798B" w:rsidRDefault="0046798B">
            <w:pPr>
              <w:pStyle w:val="TableParagraph"/>
            </w:pPr>
          </w:p>
          <w:p w14:paraId="555F5EE9" w14:textId="77777777" w:rsidR="0046798B" w:rsidRDefault="0046798B">
            <w:pPr>
              <w:pStyle w:val="TableParagraph"/>
              <w:spacing w:before="8"/>
              <w:rPr>
                <w:sz w:val="31"/>
              </w:rPr>
            </w:pPr>
          </w:p>
          <w:p w14:paraId="46C8FD4A" w14:textId="77777777" w:rsidR="0046798B" w:rsidRDefault="00903B5C">
            <w:pPr>
              <w:pStyle w:val="TableParagraph"/>
              <w:spacing w:before="1"/>
              <w:ind w:left="114"/>
              <w:rPr>
                <w:sz w:val="20"/>
              </w:rPr>
            </w:pPr>
            <w:r>
              <w:rPr>
                <w:sz w:val="20"/>
              </w:rPr>
              <w:t>1991–2008</w:t>
            </w:r>
          </w:p>
        </w:tc>
        <w:tc>
          <w:tcPr>
            <w:tcW w:w="3421" w:type="dxa"/>
          </w:tcPr>
          <w:p w14:paraId="27A9E842" w14:textId="77777777" w:rsidR="0046798B" w:rsidRDefault="0046798B">
            <w:pPr>
              <w:pStyle w:val="TableParagraph"/>
            </w:pPr>
          </w:p>
          <w:p w14:paraId="3C4006CA" w14:textId="77777777" w:rsidR="0046798B" w:rsidRDefault="00903B5C">
            <w:pPr>
              <w:pStyle w:val="TableParagraph"/>
              <w:spacing w:before="135"/>
              <w:ind w:left="114" w:right="444"/>
              <w:rPr>
                <w:sz w:val="20"/>
              </w:rPr>
            </w:pPr>
            <w:r>
              <w:rPr>
                <w:sz w:val="20"/>
              </w:rPr>
              <w:t>Children per woman (total fertility) with projections; births per 1,000 women aged 15–44</w:t>
            </w:r>
          </w:p>
        </w:tc>
        <w:tc>
          <w:tcPr>
            <w:tcW w:w="6482" w:type="dxa"/>
          </w:tcPr>
          <w:p w14:paraId="7F5152EA" w14:textId="77777777" w:rsidR="0046798B" w:rsidRDefault="00903B5C">
            <w:pPr>
              <w:pStyle w:val="TableParagraph"/>
              <w:spacing w:before="43"/>
              <w:ind w:left="114"/>
              <w:rPr>
                <w:sz w:val="20"/>
              </w:rPr>
            </w:pPr>
            <w:r>
              <w:rPr>
                <w:sz w:val="20"/>
              </w:rPr>
              <w:t>Centers for Disease Control and Prevention. National Center for Health Statistics (VitalStats). https:/</w:t>
            </w:r>
            <w:hyperlink r:id="rId61">
              <w:r>
                <w:rPr>
                  <w:sz w:val="20"/>
                </w:rPr>
                <w:t>/ww</w:t>
              </w:r>
            </w:hyperlink>
            <w:r>
              <w:rPr>
                <w:sz w:val="20"/>
              </w:rPr>
              <w:t>w</w:t>
            </w:r>
            <w:hyperlink r:id="rId62">
              <w:r>
                <w:rPr>
                  <w:sz w:val="20"/>
                </w:rPr>
                <w:t>.cdc.gov/nchs/data_access/vitalstatsonline.htm</w:t>
              </w:r>
            </w:hyperlink>
          </w:p>
          <w:p w14:paraId="6DE6CB8C" w14:textId="77777777" w:rsidR="0046798B" w:rsidRDefault="0046798B">
            <w:pPr>
              <w:pStyle w:val="TableParagraph"/>
              <w:rPr>
                <w:sz w:val="20"/>
              </w:rPr>
            </w:pPr>
          </w:p>
          <w:p w14:paraId="4A1BB378" w14:textId="77777777" w:rsidR="0046798B" w:rsidRDefault="00903B5C">
            <w:pPr>
              <w:pStyle w:val="TableParagraph"/>
              <w:spacing w:before="1"/>
              <w:ind w:left="114" w:right="217"/>
              <w:rPr>
                <w:sz w:val="20"/>
              </w:rPr>
            </w:pPr>
            <w:r>
              <w:rPr>
                <w:sz w:val="20"/>
              </w:rPr>
              <w:t xml:space="preserve">Originally provided by Stateminder: A data visualization project from Georgetown University. </w:t>
            </w:r>
            <w:hyperlink r:id="rId63">
              <w:r>
                <w:rPr>
                  <w:sz w:val="20"/>
                  <w:u w:val="single"/>
                </w:rPr>
                <w:t>http://stateminder.org/</w:t>
              </w:r>
              <w:r>
                <w:rPr>
                  <w:sz w:val="20"/>
                </w:rPr>
                <w:t xml:space="preserve"> </w:t>
              </w:r>
            </w:hyperlink>
            <w:r>
              <w:rPr>
                <w:sz w:val="20"/>
              </w:rPr>
              <w:t>(no longer accessible online)</w:t>
            </w:r>
          </w:p>
        </w:tc>
      </w:tr>
      <w:tr w:rsidR="0046798B" w14:paraId="4252AFA4" w14:textId="77777777">
        <w:trPr>
          <w:trHeight w:val="550"/>
        </w:trPr>
        <w:tc>
          <w:tcPr>
            <w:tcW w:w="1711" w:type="dxa"/>
          </w:tcPr>
          <w:p w14:paraId="37B5ECEE" w14:textId="77777777" w:rsidR="0046798B" w:rsidRDefault="00903B5C">
            <w:pPr>
              <w:pStyle w:val="TableParagraph"/>
              <w:spacing w:before="158"/>
              <w:ind w:left="115"/>
              <w:rPr>
                <w:b/>
                <w:sz w:val="20"/>
              </w:rPr>
            </w:pPr>
            <w:r>
              <w:rPr>
                <w:b/>
                <w:sz w:val="20"/>
              </w:rPr>
              <w:t>evangelical_pop</w:t>
            </w:r>
          </w:p>
        </w:tc>
        <w:tc>
          <w:tcPr>
            <w:tcW w:w="1596" w:type="dxa"/>
          </w:tcPr>
          <w:p w14:paraId="594F35F5" w14:textId="77777777" w:rsidR="0046798B" w:rsidRDefault="00903B5C">
            <w:pPr>
              <w:pStyle w:val="TableParagraph"/>
              <w:spacing w:before="43"/>
              <w:ind w:left="114" w:right="508"/>
              <w:rPr>
                <w:sz w:val="20"/>
              </w:rPr>
            </w:pPr>
            <w:r>
              <w:rPr>
                <w:sz w:val="20"/>
              </w:rPr>
              <w:t>Evangelical population</w:t>
            </w:r>
          </w:p>
        </w:tc>
        <w:tc>
          <w:tcPr>
            <w:tcW w:w="1285" w:type="dxa"/>
          </w:tcPr>
          <w:p w14:paraId="4ED5ED7E" w14:textId="77777777" w:rsidR="0046798B" w:rsidRDefault="00903B5C">
            <w:pPr>
              <w:pStyle w:val="TableParagraph"/>
              <w:spacing w:before="158"/>
              <w:ind w:left="114"/>
              <w:rPr>
                <w:sz w:val="20"/>
              </w:rPr>
            </w:pPr>
            <w:r>
              <w:rPr>
                <w:sz w:val="20"/>
              </w:rPr>
              <w:t>1975–2013</w:t>
            </w:r>
          </w:p>
        </w:tc>
        <w:tc>
          <w:tcPr>
            <w:tcW w:w="3421" w:type="dxa"/>
          </w:tcPr>
          <w:p w14:paraId="0004CD6C" w14:textId="77777777" w:rsidR="0046798B" w:rsidRDefault="00903B5C">
            <w:pPr>
              <w:pStyle w:val="TableParagraph"/>
              <w:spacing w:before="43"/>
              <w:ind w:left="114" w:right="117"/>
              <w:rPr>
                <w:sz w:val="20"/>
              </w:rPr>
            </w:pPr>
            <w:r>
              <w:rPr>
                <w:sz w:val="20"/>
              </w:rPr>
              <w:t>Percentage of evangelical residents in a state</w:t>
            </w:r>
          </w:p>
        </w:tc>
        <w:tc>
          <w:tcPr>
            <w:tcW w:w="6482" w:type="dxa"/>
          </w:tcPr>
          <w:p w14:paraId="5349691F" w14:textId="77777777" w:rsidR="0046798B" w:rsidRDefault="00903B5C">
            <w:pPr>
              <w:pStyle w:val="TableParagraph"/>
              <w:spacing w:before="43"/>
              <w:ind w:left="114" w:right="100"/>
              <w:rPr>
                <w:sz w:val="20"/>
              </w:rPr>
            </w:pPr>
            <w:r>
              <w:rPr>
                <w:sz w:val="20"/>
              </w:rPr>
              <w:t xml:space="preserve">Sellers, Mitchell D. “Gubernatorial Use of Executive Orders: Unilateral Action and Policy Adoption.” </w:t>
            </w:r>
            <w:r>
              <w:rPr>
                <w:i/>
                <w:sz w:val="20"/>
              </w:rPr>
              <w:t xml:space="preserve">Journal of Public Policy </w:t>
            </w:r>
            <w:r>
              <w:rPr>
                <w:sz w:val="20"/>
              </w:rPr>
              <w:t>37.3 (2017): 315–339.</w:t>
            </w:r>
          </w:p>
        </w:tc>
      </w:tr>
      <w:tr w:rsidR="0046798B" w14:paraId="77BA1C6A" w14:textId="77777777">
        <w:trPr>
          <w:trHeight w:val="775"/>
        </w:trPr>
        <w:tc>
          <w:tcPr>
            <w:tcW w:w="1711" w:type="dxa"/>
          </w:tcPr>
          <w:p w14:paraId="7929050F" w14:textId="77777777" w:rsidR="0046798B" w:rsidRDefault="0046798B">
            <w:pPr>
              <w:pStyle w:val="TableParagraph"/>
              <w:spacing w:before="4"/>
              <w:rPr>
                <w:sz w:val="23"/>
              </w:rPr>
            </w:pPr>
          </w:p>
          <w:p w14:paraId="35B41287" w14:textId="77777777" w:rsidR="0046798B" w:rsidRDefault="00903B5C">
            <w:pPr>
              <w:pStyle w:val="TableParagraph"/>
              <w:ind w:left="115"/>
              <w:rPr>
                <w:b/>
                <w:sz w:val="20"/>
              </w:rPr>
            </w:pPr>
            <w:r>
              <w:rPr>
                <w:b/>
                <w:sz w:val="20"/>
              </w:rPr>
              <w:t>nonwhite</w:t>
            </w:r>
          </w:p>
        </w:tc>
        <w:tc>
          <w:tcPr>
            <w:tcW w:w="1596" w:type="dxa"/>
          </w:tcPr>
          <w:p w14:paraId="5837851B" w14:textId="77777777" w:rsidR="0046798B" w:rsidRDefault="00903B5C">
            <w:pPr>
              <w:pStyle w:val="TableParagraph"/>
              <w:spacing w:before="153"/>
              <w:ind w:left="114" w:right="596"/>
              <w:rPr>
                <w:sz w:val="20"/>
              </w:rPr>
            </w:pPr>
            <w:r>
              <w:rPr>
                <w:sz w:val="20"/>
              </w:rPr>
              <w:t>Nonwhite population</w:t>
            </w:r>
          </w:p>
        </w:tc>
        <w:tc>
          <w:tcPr>
            <w:tcW w:w="1285" w:type="dxa"/>
          </w:tcPr>
          <w:p w14:paraId="64FA4242" w14:textId="77777777" w:rsidR="0046798B" w:rsidRDefault="0046798B">
            <w:pPr>
              <w:pStyle w:val="TableParagraph"/>
              <w:spacing w:before="4"/>
              <w:rPr>
                <w:sz w:val="23"/>
              </w:rPr>
            </w:pPr>
          </w:p>
          <w:p w14:paraId="6FCCDBEE" w14:textId="77777777" w:rsidR="0046798B" w:rsidRDefault="00903B5C">
            <w:pPr>
              <w:pStyle w:val="TableParagraph"/>
              <w:ind w:left="114"/>
              <w:rPr>
                <w:sz w:val="20"/>
              </w:rPr>
            </w:pPr>
            <w:r>
              <w:rPr>
                <w:sz w:val="20"/>
              </w:rPr>
              <w:t>1974–2011</w:t>
            </w:r>
          </w:p>
        </w:tc>
        <w:tc>
          <w:tcPr>
            <w:tcW w:w="3421" w:type="dxa"/>
          </w:tcPr>
          <w:p w14:paraId="211E2044" w14:textId="77777777" w:rsidR="0046798B" w:rsidRDefault="00903B5C">
            <w:pPr>
              <w:pStyle w:val="TableParagraph"/>
              <w:spacing w:before="153"/>
              <w:ind w:left="114" w:right="238"/>
              <w:rPr>
                <w:sz w:val="20"/>
              </w:rPr>
            </w:pPr>
            <w:r>
              <w:rPr>
                <w:sz w:val="20"/>
              </w:rPr>
              <w:t>Proportion of the state population that is nonwhite</w:t>
            </w:r>
          </w:p>
        </w:tc>
        <w:tc>
          <w:tcPr>
            <w:tcW w:w="6482" w:type="dxa"/>
          </w:tcPr>
          <w:p w14:paraId="1BC88C46" w14:textId="77777777" w:rsidR="0046798B" w:rsidRDefault="00903B5C">
            <w:pPr>
              <w:pStyle w:val="TableParagraph"/>
              <w:spacing w:before="38"/>
              <w:ind w:left="114" w:right="405"/>
              <w:rPr>
                <w:sz w:val="20"/>
              </w:rPr>
            </w:pPr>
            <w:r>
              <w:rPr>
                <w:sz w:val="20"/>
              </w:rPr>
              <w:t xml:space="preserve">Kelly, Nathan J., and Christopher Witko. “Government Ideology and Unemployment in the U.S. States.” </w:t>
            </w:r>
            <w:r>
              <w:rPr>
                <w:i/>
                <w:sz w:val="20"/>
              </w:rPr>
              <w:t xml:space="preserve">State Politics &amp; Policy Quarterly </w:t>
            </w:r>
            <w:r>
              <w:rPr>
                <w:sz w:val="20"/>
              </w:rPr>
              <w:t>14.4 (2014): 389–413.</w:t>
            </w:r>
          </w:p>
        </w:tc>
      </w:tr>
      <w:tr w:rsidR="0046798B" w14:paraId="46DDF691" w14:textId="77777777">
        <w:trPr>
          <w:trHeight w:val="1695"/>
        </w:trPr>
        <w:tc>
          <w:tcPr>
            <w:tcW w:w="1711" w:type="dxa"/>
          </w:tcPr>
          <w:p w14:paraId="39E0F72F" w14:textId="77777777" w:rsidR="0046798B" w:rsidRDefault="0046798B">
            <w:pPr>
              <w:pStyle w:val="TableParagraph"/>
            </w:pPr>
          </w:p>
          <w:p w14:paraId="0677967A" w14:textId="77777777" w:rsidR="0046798B" w:rsidRDefault="0046798B">
            <w:pPr>
              <w:pStyle w:val="TableParagraph"/>
            </w:pPr>
          </w:p>
          <w:p w14:paraId="34D475FA" w14:textId="77777777" w:rsidR="0046798B" w:rsidRDefault="0046798B">
            <w:pPr>
              <w:pStyle w:val="TableParagraph"/>
              <w:spacing w:before="4"/>
              <w:rPr>
                <w:sz w:val="19"/>
              </w:rPr>
            </w:pPr>
          </w:p>
          <w:p w14:paraId="55BEBF60" w14:textId="77777777" w:rsidR="0046798B" w:rsidRDefault="00903B5C">
            <w:pPr>
              <w:pStyle w:val="TableParagraph"/>
              <w:ind w:left="115"/>
              <w:rPr>
                <w:b/>
                <w:sz w:val="20"/>
              </w:rPr>
            </w:pPr>
            <w:r>
              <w:rPr>
                <w:b/>
                <w:sz w:val="20"/>
              </w:rPr>
              <w:t>foreign_born</w:t>
            </w:r>
          </w:p>
        </w:tc>
        <w:tc>
          <w:tcPr>
            <w:tcW w:w="1596" w:type="dxa"/>
          </w:tcPr>
          <w:p w14:paraId="11C0B1A0" w14:textId="77777777" w:rsidR="0046798B" w:rsidRDefault="0046798B">
            <w:pPr>
              <w:pStyle w:val="TableParagraph"/>
            </w:pPr>
          </w:p>
          <w:p w14:paraId="286B023F" w14:textId="77777777" w:rsidR="0046798B" w:rsidRDefault="0046798B">
            <w:pPr>
              <w:pStyle w:val="TableParagraph"/>
              <w:spacing w:before="4"/>
              <w:rPr>
                <w:sz w:val="31"/>
              </w:rPr>
            </w:pPr>
          </w:p>
          <w:p w14:paraId="2C41EA6D" w14:textId="77777777" w:rsidR="0046798B" w:rsidRDefault="00903B5C">
            <w:pPr>
              <w:pStyle w:val="TableParagraph"/>
              <w:ind w:left="114" w:right="229"/>
              <w:rPr>
                <w:sz w:val="20"/>
              </w:rPr>
            </w:pPr>
            <w:r>
              <w:rPr>
                <w:sz w:val="20"/>
              </w:rPr>
              <w:t>Foreign-born population</w:t>
            </w:r>
          </w:p>
        </w:tc>
        <w:tc>
          <w:tcPr>
            <w:tcW w:w="1285" w:type="dxa"/>
          </w:tcPr>
          <w:p w14:paraId="77CB32A2" w14:textId="77777777" w:rsidR="0046798B" w:rsidRDefault="0046798B">
            <w:pPr>
              <w:pStyle w:val="TableParagraph"/>
            </w:pPr>
          </w:p>
          <w:p w14:paraId="4962654A" w14:textId="77777777" w:rsidR="0046798B" w:rsidRDefault="0046798B">
            <w:pPr>
              <w:pStyle w:val="TableParagraph"/>
            </w:pPr>
          </w:p>
          <w:p w14:paraId="5ED4AC36" w14:textId="77777777" w:rsidR="0046798B" w:rsidRDefault="0046798B">
            <w:pPr>
              <w:pStyle w:val="TableParagraph"/>
              <w:spacing w:before="4"/>
              <w:rPr>
                <w:sz w:val="19"/>
              </w:rPr>
            </w:pPr>
          </w:p>
          <w:p w14:paraId="1FDF75C7" w14:textId="77777777" w:rsidR="0046798B" w:rsidRDefault="00903B5C">
            <w:pPr>
              <w:pStyle w:val="TableParagraph"/>
              <w:ind w:left="114"/>
              <w:rPr>
                <w:sz w:val="20"/>
              </w:rPr>
            </w:pPr>
            <w:r>
              <w:rPr>
                <w:sz w:val="20"/>
              </w:rPr>
              <w:t>2005–2012</w:t>
            </w:r>
          </w:p>
        </w:tc>
        <w:tc>
          <w:tcPr>
            <w:tcW w:w="3421" w:type="dxa"/>
          </w:tcPr>
          <w:p w14:paraId="5AB604D2" w14:textId="77777777" w:rsidR="0046798B" w:rsidRDefault="0046798B">
            <w:pPr>
              <w:pStyle w:val="TableParagraph"/>
            </w:pPr>
          </w:p>
          <w:p w14:paraId="13E3C89B" w14:textId="77777777" w:rsidR="0046798B" w:rsidRDefault="0046798B">
            <w:pPr>
              <w:pStyle w:val="TableParagraph"/>
              <w:spacing w:before="4"/>
              <w:rPr>
                <w:sz w:val="31"/>
              </w:rPr>
            </w:pPr>
          </w:p>
          <w:p w14:paraId="24938D65" w14:textId="77777777" w:rsidR="0046798B" w:rsidRDefault="00903B5C">
            <w:pPr>
              <w:pStyle w:val="TableParagraph"/>
              <w:ind w:left="114" w:right="172"/>
              <w:rPr>
                <w:sz w:val="20"/>
              </w:rPr>
            </w:pPr>
            <w:r>
              <w:rPr>
                <w:sz w:val="20"/>
              </w:rPr>
              <w:t>Percentage of state population who are foreign born</w:t>
            </w:r>
          </w:p>
        </w:tc>
        <w:tc>
          <w:tcPr>
            <w:tcW w:w="6482" w:type="dxa"/>
          </w:tcPr>
          <w:p w14:paraId="4BA4202D" w14:textId="77777777" w:rsidR="0046798B" w:rsidRDefault="00903B5C">
            <w:pPr>
              <w:pStyle w:val="TableParagraph"/>
              <w:spacing w:before="38"/>
              <w:ind w:left="114" w:right="101"/>
              <w:rPr>
                <w:sz w:val="20"/>
              </w:rPr>
            </w:pPr>
            <w:r>
              <w:rPr>
                <w:sz w:val="20"/>
              </w:rPr>
              <w:t>Pew Research Center, Hispanic Trends Projection (based on American Community Survey data)</w:t>
            </w:r>
            <w:hyperlink r:id="rId64">
              <w:r>
                <w:rPr>
                  <w:sz w:val="20"/>
                </w:rPr>
                <w:t>: http://www.pewhispanic.org/2014/04/29/statistical-</w:t>
              </w:r>
            </w:hyperlink>
            <w:r>
              <w:rPr>
                <w:sz w:val="20"/>
              </w:rPr>
              <w:t xml:space="preserve"> portrait-of-the-foreign-born-population-in-the-united-states-2012/#foreign- born-by-state-2012</w:t>
            </w:r>
          </w:p>
          <w:p w14:paraId="727338EF" w14:textId="77777777" w:rsidR="0046798B" w:rsidRDefault="0046798B">
            <w:pPr>
              <w:pStyle w:val="TableParagraph"/>
              <w:rPr>
                <w:sz w:val="20"/>
              </w:rPr>
            </w:pPr>
          </w:p>
          <w:p w14:paraId="495C19D1" w14:textId="77777777" w:rsidR="0046798B" w:rsidRDefault="00903B5C">
            <w:pPr>
              <w:pStyle w:val="TableParagraph"/>
              <w:ind w:left="114"/>
              <w:rPr>
                <w:sz w:val="20"/>
              </w:rPr>
            </w:pPr>
            <w:r>
              <w:rPr>
                <w:sz w:val="20"/>
              </w:rPr>
              <w:t>Reich, Gary. “Immigrant legislation, across and within the United States.”</w:t>
            </w:r>
          </w:p>
          <w:p w14:paraId="6D573D77" w14:textId="77777777" w:rsidR="0046798B" w:rsidRDefault="00903B5C">
            <w:pPr>
              <w:pStyle w:val="TableParagraph"/>
              <w:ind w:left="114"/>
              <w:rPr>
                <w:sz w:val="20"/>
              </w:rPr>
            </w:pPr>
            <w:r>
              <w:rPr>
                <w:i/>
                <w:sz w:val="20"/>
              </w:rPr>
              <w:t xml:space="preserve">Research &amp; Politics </w:t>
            </w:r>
            <w:r>
              <w:rPr>
                <w:sz w:val="20"/>
              </w:rPr>
              <w:t>4.4 (2017): 1–11.</w:t>
            </w:r>
          </w:p>
        </w:tc>
      </w:tr>
      <w:tr w:rsidR="0046798B" w14:paraId="5D7515DD" w14:textId="77777777">
        <w:trPr>
          <w:trHeight w:val="3076"/>
        </w:trPr>
        <w:tc>
          <w:tcPr>
            <w:tcW w:w="1711" w:type="dxa"/>
          </w:tcPr>
          <w:p w14:paraId="4C48E7BA" w14:textId="77777777" w:rsidR="0046798B" w:rsidRDefault="0046798B">
            <w:pPr>
              <w:pStyle w:val="TableParagraph"/>
            </w:pPr>
          </w:p>
          <w:p w14:paraId="23EE9640" w14:textId="77777777" w:rsidR="0046798B" w:rsidRDefault="0046798B">
            <w:pPr>
              <w:pStyle w:val="TableParagraph"/>
            </w:pPr>
          </w:p>
          <w:p w14:paraId="1306DA43" w14:textId="77777777" w:rsidR="0046798B" w:rsidRDefault="0046798B">
            <w:pPr>
              <w:pStyle w:val="TableParagraph"/>
            </w:pPr>
          </w:p>
          <w:p w14:paraId="08EFFAFC" w14:textId="77777777" w:rsidR="0046798B" w:rsidRDefault="0046798B">
            <w:pPr>
              <w:pStyle w:val="TableParagraph"/>
            </w:pPr>
          </w:p>
          <w:p w14:paraId="797C4353" w14:textId="77777777" w:rsidR="0046798B" w:rsidRDefault="0046798B">
            <w:pPr>
              <w:pStyle w:val="TableParagraph"/>
            </w:pPr>
          </w:p>
          <w:p w14:paraId="2F2FC6AF" w14:textId="77777777" w:rsidR="0046798B" w:rsidRDefault="00903B5C">
            <w:pPr>
              <w:pStyle w:val="TableParagraph"/>
              <w:spacing w:before="153"/>
              <w:ind w:left="115"/>
              <w:rPr>
                <w:b/>
                <w:sz w:val="20"/>
              </w:rPr>
            </w:pPr>
            <w:r>
              <w:rPr>
                <w:b/>
                <w:sz w:val="20"/>
              </w:rPr>
              <w:t>newimmig</w:t>
            </w:r>
          </w:p>
        </w:tc>
        <w:tc>
          <w:tcPr>
            <w:tcW w:w="1596" w:type="dxa"/>
          </w:tcPr>
          <w:p w14:paraId="56E5E10B" w14:textId="77777777" w:rsidR="0046798B" w:rsidRDefault="0046798B">
            <w:pPr>
              <w:pStyle w:val="TableParagraph"/>
            </w:pPr>
          </w:p>
          <w:p w14:paraId="4BF7490C" w14:textId="77777777" w:rsidR="0046798B" w:rsidRDefault="0046798B">
            <w:pPr>
              <w:pStyle w:val="TableParagraph"/>
            </w:pPr>
          </w:p>
          <w:p w14:paraId="68BA3A55" w14:textId="77777777" w:rsidR="0046798B" w:rsidRDefault="0046798B">
            <w:pPr>
              <w:pStyle w:val="TableParagraph"/>
            </w:pPr>
          </w:p>
          <w:p w14:paraId="4B5CBB13" w14:textId="77777777" w:rsidR="0046798B" w:rsidRDefault="0046798B">
            <w:pPr>
              <w:pStyle w:val="TableParagraph"/>
            </w:pPr>
          </w:p>
          <w:p w14:paraId="3F81ACD5" w14:textId="77777777" w:rsidR="0046798B" w:rsidRDefault="00903B5C">
            <w:pPr>
              <w:pStyle w:val="TableParagraph"/>
              <w:spacing w:before="177"/>
              <w:ind w:left="114" w:right="191"/>
              <w:rPr>
                <w:sz w:val="20"/>
              </w:rPr>
            </w:pPr>
            <w:r>
              <w:rPr>
                <w:sz w:val="20"/>
              </w:rPr>
              <w:t>New immigrant green card holders</w:t>
            </w:r>
          </w:p>
        </w:tc>
        <w:tc>
          <w:tcPr>
            <w:tcW w:w="1285" w:type="dxa"/>
          </w:tcPr>
          <w:p w14:paraId="6CD0348D" w14:textId="77777777" w:rsidR="0046798B" w:rsidRDefault="0046798B">
            <w:pPr>
              <w:pStyle w:val="TableParagraph"/>
            </w:pPr>
          </w:p>
          <w:p w14:paraId="0A7D08E0" w14:textId="77777777" w:rsidR="0046798B" w:rsidRDefault="0046798B">
            <w:pPr>
              <w:pStyle w:val="TableParagraph"/>
            </w:pPr>
          </w:p>
          <w:p w14:paraId="79CA3264" w14:textId="77777777" w:rsidR="0046798B" w:rsidRDefault="0046798B">
            <w:pPr>
              <w:pStyle w:val="TableParagraph"/>
            </w:pPr>
          </w:p>
          <w:p w14:paraId="5CFC2F4C" w14:textId="77777777" w:rsidR="0046798B" w:rsidRDefault="0046798B">
            <w:pPr>
              <w:pStyle w:val="TableParagraph"/>
            </w:pPr>
          </w:p>
          <w:p w14:paraId="51AF51F2" w14:textId="77777777" w:rsidR="0046798B" w:rsidRDefault="0046798B">
            <w:pPr>
              <w:pStyle w:val="TableParagraph"/>
            </w:pPr>
          </w:p>
          <w:p w14:paraId="4DE79ADD" w14:textId="77777777" w:rsidR="0046798B" w:rsidRDefault="00903B5C">
            <w:pPr>
              <w:pStyle w:val="TableParagraph"/>
              <w:spacing w:before="153"/>
              <w:ind w:left="114"/>
              <w:rPr>
                <w:sz w:val="20"/>
              </w:rPr>
            </w:pPr>
            <w:r>
              <w:rPr>
                <w:sz w:val="20"/>
              </w:rPr>
              <w:t>1988–2011</w:t>
            </w:r>
          </w:p>
        </w:tc>
        <w:tc>
          <w:tcPr>
            <w:tcW w:w="3421" w:type="dxa"/>
          </w:tcPr>
          <w:p w14:paraId="492CE3FB" w14:textId="77777777" w:rsidR="0046798B" w:rsidRDefault="0046798B">
            <w:pPr>
              <w:pStyle w:val="TableParagraph"/>
            </w:pPr>
          </w:p>
          <w:p w14:paraId="5A32E9E6" w14:textId="77777777" w:rsidR="0046798B" w:rsidRDefault="0046798B">
            <w:pPr>
              <w:pStyle w:val="TableParagraph"/>
              <w:spacing w:before="8"/>
              <w:rPr>
                <w:sz w:val="21"/>
              </w:rPr>
            </w:pPr>
          </w:p>
          <w:p w14:paraId="6E4414F6" w14:textId="77777777" w:rsidR="0046798B" w:rsidRDefault="00903B5C">
            <w:pPr>
              <w:pStyle w:val="TableParagraph"/>
              <w:spacing w:before="1"/>
              <w:ind w:left="114" w:right="161"/>
              <w:rPr>
                <w:sz w:val="20"/>
              </w:rPr>
            </w:pPr>
            <w:r>
              <w:rPr>
                <w:sz w:val="20"/>
              </w:rPr>
              <w:t>Persons obtaining legal permanent resident status by state of residence: fiscal years 1988 to 2011. The fiscal year runs from October 1 through September 30. A permanent resident is defined as a green card holder who has been granted lawful authorization to live and work in the United States on a permanent basis.</w:t>
            </w:r>
          </w:p>
        </w:tc>
        <w:tc>
          <w:tcPr>
            <w:tcW w:w="6482" w:type="dxa"/>
          </w:tcPr>
          <w:p w14:paraId="44E51D99" w14:textId="77777777" w:rsidR="0046798B" w:rsidRDefault="00903B5C">
            <w:pPr>
              <w:pStyle w:val="TableParagraph"/>
              <w:spacing w:before="45" w:line="237" w:lineRule="auto"/>
              <w:ind w:left="114" w:right="119"/>
              <w:rPr>
                <w:sz w:val="20"/>
              </w:rPr>
            </w:pPr>
            <w:r>
              <w:rPr>
                <w:sz w:val="20"/>
              </w:rPr>
              <w:t>U.S. Department of Homeland Security. “Persons Obtaining Legal Permanent Resident Status by State of Residence: Fiscal Years 1988 to 2011.”</w:t>
            </w:r>
            <w:r>
              <w:rPr>
                <w:color w:val="0462C1"/>
                <w:sz w:val="20"/>
                <w:u w:val="single" w:color="0462C1"/>
              </w:rPr>
              <w:t xml:space="preserve"> </w:t>
            </w:r>
            <w:hyperlink r:id="rId65">
              <w:r>
                <w:rPr>
                  <w:color w:val="0462C1"/>
                  <w:sz w:val="20"/>
                  <w:u w:val="single" w:color="0462C1"/>
                </w:rPr>
                <w:t>https://www.dhs.gov/publication/yearbook-immigration-statistics-2011-legal-</w:t>
              </w:r>
            </w:hyperlink>
            <w:hyperlink r:id="rId66">
              <w:r>
                <w:rPr>
                  <w:color w:val="0462C1"/>
                  <w:sz w:val="20"/>
                  <w:u w:val="single" w:color="0462C1"/>
                </w:rPr>
                <w:t xml:space="preserve"> permanent-residents</w:t>
              </w:r>
            </w:hyperlink>
            <w:r>
              <w:rPr>
                <w:sz w:val="20"/>
              </w:rPr>
              <w:t>.</w:t>
            </w:r>
          </w:p>
          <w:p w14:paraId="24AD56B8" w14:textId="77777777" w:rsidR="0046798B" w:rsidRDefault="0046798B">
            <w:pPr>
              <w:pStyle w:val="TableParagraph"/>
              <w:spacing w:before="3"/>
              <w:rPr>
                <w:sz w:val="20"/>
              </w:rPr>
            </w:pPr>
          </w:p>
          <w:p w14:paraId="28E4860B" w14:textId="77777777" w:rsidR="0046798B" w:rsidRDefault="00903B5C">
            <w:pPr>
              <w:pStyle w:val="TableParagraph"/>
              <w:ind w:left="114" w:right="217"/>
              <w:rPr>
                <w:sz w:val="20"/>
              </w:rPr>
            </w:pPr>
            <w:r>
              <w:rPr>
                <w:sz w:val="20"/>
              </w:rPr>
              <w:t xml:space="preserve">Originally provided by Stateminder: A data visualization project from Georgetown University. </w:t>
            </w:r>
            <w:hyperlink r:id="rId67">
              <w:r>
                <w:rPr>
                  <w:sz w:val="20"/>
                  <w:u w:val="single"/>
                </w:rPr>
                <w:t>http://stateminder.org/</w:t>
              </w:r>
              <w:r>
                <w:rPr>
                  <w:sz w:val="20"/>
                </w:rPr>
                <w:t xml:space="preserve"> </w:t>
              </w:r>
            </w:hyperlink>
            <w:r>
              <w:rPr>
                <w:sz w:val="20"/>
              </w:rPr>
              <w:t>(no longer accessible online)</w:t>
            </w:r>
          </w:p>
          <w:p w14:paraId="61F72C7C" w14:textId="77777777" w:rsidR="0046798B" w:rsidRDefault="0046798B">
            <w:pPr>
              <w:pStyle w:val="TableParagraph"/>
              <w:rPr>
                <w:sz w:val="20"/>
              </w:rPr>
            </w:pPr>
          </w:p>
          <w:p w14:paraId="62727EBD" w14:textId="77777777" w:rsidR="0046798B" w:rsidRDefault="00903B5C">
            <w:pPr>
              <w:pStyle w:val="TableParagraph"/>
              <w:ind w:left="114" w:right="189"/>
              <w:rPr>
                <w:sz w:val="20"/>
              </w:rPr>
            </w:pPr>
            <w:r>
              <w:rPr>
                <w:sz w:val="20"/>
              </w:rPr>
              <w:t>Notes: To obtain permanent resident status, most individuals are sponsored by a family member or employer in the United States. Other individuals may become permanent residents through refugee or asylee status or other humanitarian programs. In some cases, people may be eligible to file for themselves.</w:t>
            </w:r>
          </w:p>
        </w:tc>
      </w:tr>
      <w:tr w:rsidR="0046798B" w14:paraId="63615168" w14:textId="77777777">
        <w:trPr>
          <w:trHeight w:val="775"/>
        </w:trPr>
        <w:tc>
          <w:tcPr>
            <w:tcW w:w="1711" w:type="dxa"/>
          </w:tcPr>
          <w:p w14:paraId="6FD4AD21" w14:textId="77777777" w:rsidR="0046798B" w:rsidRDefault="00903B5C">
            <w:pPr>
              <w:pStyle w:val="TableParagraph"/>
              <w:spacing w:before="158"/>
              <w:ind w:left="115"/>
              <w:rPr>
                <w:b/>
                <w:sz w:val="20"/>
              </w:rPr>
            </w:pPr>
            <w:r>
              <w:rPr>
                <w:b/>
                <w:sz w:val="20"/>
              </w:rPr>
              <w:t>undocumented_i mmigrants</w:t>
            </w:r>
          </w:p>
        </w:tc>
        <w:tc>
          <w:tcPr>
            <w:tcW w:w="1596" w:type="dxa"/>
          </w:tcPr>
          <w:p w14:paraId="4D02AFC4" w14:textId="77777777" w:rsidR="0046798B" w:rsidRDefault="00903B5C">
            <w:pPr>
              <w:pStyle w:val="TableParagraph"/>
              <w:spacing w:before="158"/>
              <w:ind w:left="114" w:right="624"/>
              <w:rPr>
                <w:sz w:val="20"/>
              </w:rPr>
            </w:pPr>
            <w:r>
              <w:rPr>
                <w:sz w:val="20"/>
              </w:rPr>
              <w:t>Estimated number of</w:t>
            </w:r>
          </w:p>
        </w:tc>
        <w:tc>
          <w:tcPr>
            <w:tcW w:w="1285" w:type="dxa"/>
          </w:tcPr>
          <w:p w14:paraId="7B1DD7E1" w14:textId="77777777" w:rsidR="0046798B" w:rsidRDefault="00903B5C">
            <w:pPr>
              <w:pStyle w:val="TableParagraph"/>
              <w:spacing w:before="43"/>
              <w:ind w:left="114"/>
              <w:rPr>
                <w:sz w:val="20"/>
              </w:rPr>
            </w:pPr>
            <w:r>
              <w:rPr>
                <w:sz w:val="20"/>
              </w:rPr>
              <w:t>1990, 2000,</w:t>
            </w:r>
          </w:p>
          <w:p w14:paraId="42EFBF3C" w14:textId="77777777" w:rsidR="0046798B" w:rsidRDefault="00903B5C">
            <w:pPr>
              <w:pStyle w:val="TableParagraph"/>
              <w:ind w:left="114"/>
              <w:rPr>
                <w:sz w:val="20"/>
              </w:rPr>
            </w:pPr>
            <w:r>
              <w:rPr>
                <w:sz w:val="20"/>
              </w:rPr>
              <w:t>2005, 2007,</w:t>
            </w:r>
          </w:p>
          <w:p w14:paraId="02883B3D" w14:textId="77777777" w:rsidR="0046798B" w:rsidRDefault="00903B5C">
            <w:pPr>
              <w:pStyle w:val="TableParagraph"/>
              <w:spacing w:before="1"/>
              <w:ind w:left="114"/>
              <w:rPr>
                <w:sz w:val="20"/>
              </w:rPr>
            </w:pPr>
            <w:r>
              <w:rPr>
                <w:sz w:val="20"/>
              </w:rPr>
              <w:t>2010</w:t>
            </w:r>
          </w:p>
        </w:tc>
        <w:tc>
          <w:tcPr>
            <w:tcW w:w="3421" w:type="dxa"/>
          </w:tcPr>
          <w:p w14:paraId="3F554FDA" w14:textId="77777777" w:rsidR="0046798B" w:rsidRDefault="00903B5C">
            <w:pPr>
              <w:pStyle w:val="TableParagraph"/>
              <w:spacing w:before="43"/>
              <w:ind w:left="114"/>
              <w:rPr>
                <w:sz w:val="20"/>
              </w:rPr>
            </w:pPr>
            <w:r>
              <w:rPr>
                <w:sz w:val="20"/>
              </w:rPr>
              <w:t>Estimated number of unauthorized immigrants in a state</w:t>
            </w:r>
          </w:p>
        </w:tc>
        <w:tc>
          <w:tcPr>
            <w:tcW w:w="6482" w:type="dxa"/>
          </w:tcPr>
          <w:p w14:paraId="46E53CFB" w14:textId="77777777" w:rsidR="0046798B" w:rsidRDefault="00903B5C">
            <w:pPr>
              <w:pStyle w:val="TableParagraph"/>
              <w:spacing w:before="158"/>
              <w:ind w:left="114" w:right="778"/>
              <w:rPr>
                <w:i/>
                <w:sz w:val="20"/>
              </w:rPr>
            </w:pPr>
            <w:r>
              <w:rPr>
                <w:sz w:val="20"/>
              </w:rPr>
              <w:t xml:space="preserve">Passel, Jeffrey S., and D’Vera Cohn. 2011. “Unauthorized Immigrant Population: National and State Trends, 2010.” </w:t>
            </w:r>
            <w:r>
              <w:rPr>
                <w:i/>
                <w:sz w:val="20"/>
              </w:rPr>
              <w:t>Pew Research Center.</w:t>
            </w:r>
          </w:p>
        </w:tc>
      </w:tr>
    </w:tbl>
    <w:p w14:paraId="277CF606" w14:textId="77777777" w:rsidR="0046798B" w:rsidRDefault="0046798B">
      <w:pPr>
        <w:rPr>
          <w:sz w:val="20"/>
        </w:rPr>
        <w:sectPr w:rsidR="0046798B">
          <w:pgSz w:w="15840" w:h="12240" w:orient="landscape"/>
          <w:pgMar w:top="1220" w:right="300" w:bottom="980" w:left="820" w:header="730" w:footer="787" w:gutter="0"/>
          <w:cols w:space="720"/>
        </w:sectPr>
      </w:pPr>
    </w:p>
    <w:p w14:paraId="7FF70597"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B855461" w14:textId="77777777">
        <w:trPr>
          <w:trHeight w:val="1235"/>
        </w:trPr>
        <w:tc>
          <w:tcPr>
            <w:tcW w:w="1711" w:type="dxa"/>
          </w:tcPr>
          <w:p w14:paraId="429E61A6" w14:textId="77777777" w:rsidR="0046798B" w:rsidRDefault="0046798B">
            <w:pPr>
              <w:pStyle w:val="TableParagraph"/>
              <w:rPr>
                <w:sz w:val="20"/>
              </w:rPr>
            </w:pPr>
          </w:p>
        </w:tc>
        <w:tc>
          <w:tcPr>
            <w:tcW w:w="1596" w:type="dxa"/>
          </w:tcPr>
          <w:p w14:paraId="5114F771" w14:textId="77777777" w:rsidR="0046798B" w:rsidRDefault="00903B5C">
            <w:pPr>
              <w:pStyle w:val="TableParagraph"/>
              <w:spacing w:before="43"/>
              <w:ind w:left="114" w:right="274"/>
              <w:rPr>
                <w:sz w:val="20"/>
              </w:rPr>
            </w:pPr>
            <w:r>
              <w:rPr>
                <w:sz w:val="20"/>
              </w:rPr>
              <w:t>undocumented immigrants</w:t>
            </w:r>
          </w:p>
        </w:tc>
        <w:tc>
          <w:tcPr>
            <w:tcW w:w="1285" w:type="dxa"/>
          </w:tcPr>
          <w:p w14:paraId="2C659799" w14:textId="77777777" w:rsidR="0046798B" w:rsidRDefault="0046798B">
            <w:pPr>
              <w:pStyle w:val="TableParagraph"/>
              <w:rPr>
                <w:sz w:val="20"/>
              </w:rPr>
            </w:pPr>
          </w:p>
        </w:tc>
        <w:tc>
          <w:tcPr>
            <w:tcW w:w="3421" w:type="dxa"/>
          </w:tcPr>
          <w:p w14:paraId="5075917D" w14:textId="77777777" w:rsidR="0046798B" w:rsidRDefault="00903B5C">
            <w:pPr>
              <w:pStyle w:val="TableParagraph"/>
              <w:spacing w:before="43"/>
              <w:ind w:left="114" w:right="104"/>
              <w:rPr>
                <w:sz w:val="20"/>
              </w:rPr>
            </w:pPr>
            <w:r>
              <w:rPr>
                <w:sz w:val="20"/>
              </w:rPr>
              <w:t>Notes: data are estimates by Pew Hispanic Center, not actual counts. Several observations are recorded as “&lt; 5,000” and “&lt; 10,000” rather than discrete estimates.</w:t>
            </w:r>
          </w:p>
        </w:tc>
        <w:tc>
          <w:tcPr>
            <w:tcW w:w="6482" w:type="dxa"/>
          </w:tcPr>
          <w:p w14:paraId="495B3822" w14:textId="77777777" w:rsidR="0046798B" w:rsidRDefault="0046798B">
            <w:pPr>
              <w:pStyle w:val="TableParagraph"/>
              <w:rPr>
                <w:sz w:val="20"/>
              </w:rPr>
            </w:pPr>
          </w:p>
        </w:tc>
      </w:tr>
      <w:tr w:rsidR="0046798B" w14:paraId="0DD1CC78" w14:textId="77777777">
        <w:trPr>
          <w:trHeight w:val="3076"/>
        </w:trPr>
        <w:tc>
          <w:tcPr>
            <w:tcW w:w="1711" w:type="dxa"/>
          </w:tcPr>
          <w:p w14:paraId="5502F9E2" w14:textId="77777777" w:rsidR="0046798B" w:rsidRDefault="0046798B">
            <w:pPr>
              <w:pStyle w:val="TableParagraph"/>
            </w:pPr>
          </w:p>
          <w:p w14:paraId="6E393B79" w14:textId="77777777" w:rsidR="0046798B" w:rsidRDefault="0046798B">
            <w:pPr>
              <w:pStyle w:val="TableParagraph"/>
            </w:pPr>
          </w:p>
          <w:p w14:paraId="24AB9223" w14:textId="77777777" w:rsidR="0046798B" w:rsidRDefault="0046798B">
            <w:pPr>
              <w:pStyle w:val="TableParagraph"/>
            </w:pPr>
          </w:p>
          <w:p w14:paraId="651201E2" w14:textId="77777777" w:rsidR="0046798B" w:rsidRDefault="0046798B">
            <w:pPr>
              <w:pStyle w:val="TableParagraph"/>
            </w:pPr>
          </w:p>
          <w:p w14:paraId="7EDF2BA4" w14:textId="77777777" w:rsidR="0046798B" w:rsidRDefault="0046798B">
            <w:pPr>
              <w:pStyle w:val="TableParagraph"/>
            </w:pPr>
          </w:p>
          <w:p w14:paraId="529A2C09" w14:textId="77777777" w:rsidR="0046798B" w:rsidRDefault="00903B5C">
            <w:pPr>
              <w:pStyle w:val="TableParagraph"/>
              <w:spacing w:before="159"/>
              <w:ind w:left="115"/>
              <w:rPr>
                <w:b/>
                <w:sz w:val="20"/>
              </w:rPr>
            </w:pPr>
            <w:r>
              <w:rPr>
                <w:b/>
                <w:sz w:val="20"/>
              </w:rPr>
              <w:t>refugeetotal</w:t>
            </w:r>
          </w:p>
        </w:tc>
        <w:tc>
          <w:tcPr>
            <w:tcW w:w="1596" w:type="dxa"/>
          </w:tcPr>
          <w:p w14:paraId="7F98400A" w14:textId="77777777" w:rsidR="0046798B" w:rsidRDefault="0046798B">
            <w:pPr>
              <w:pStyle w:val="TableParagraph"/>
            </w:pPr>
          </w:p>
          <w:p w14:paraId="0EDDB99F" w14:textId="77777777" w:rsidR="0046798B" w:rsidRDefault="0046798B">
            <w:pPr>
              <w:pStyle w:val="TableParagraph"/>
            </w:pPr>
          </w:p>
          <w:p w14:paraId="6B26B125" w14:textId="77777777" w:rsidR="0046798B" w:rsidRDefault="0046798B">
            <w:pPr>
              <w:pStyle w:val="TableParagraph"/>
            </w:pPr>
          </w:p>
          <w:p w14:paraId="4666D4F9" w14:textId="77777777" w:rsidR="0046798B" w:rsidRDefault="0046798B">
            <w:pPr>
              <w:pStyle w:val="TableParagraph"/>
            </w:pPr>
          </w:p>
          <w:p w14:paraId="72052A19" w14:textId="77777777" w:rsidR="0046798B" w:rsidRDefault="0046798B">
            <w:pPr>
              <w:pStyle w:val="TableParagraph"/>
            </w:pPr>
          </w:p>
          <w:p w14:paraId="4B2CF286" w14:textId="77777777" w:rsidR="0046798B" w:rsidRDefault="00903B5C">
            <w:pPr>
              <w:pStyle w:val="TableParagraph"/>
              <w:spacing w:before="159"/>
              <w:ind w:left="114"/>
              <w:rPr>
                <w:sz w:val="20"/>
              </w:rPr>
            </w:pPr>
            <w:r>
              <w:rPr>
                <w:sz w:val="20"/>
              </w:rPr>
              <w:t>Refugee total</w:t>
            </w:r>
          </w:p>
        </w:tc>
        <w:tc>
          <w:tcPr>
            <w:tcW w:w="1285" w:type="dxa"/>
          </w:tcPr>
          <w:p w14:paraId="1660D8D2" w14:textId="77777777" w:rsidR="0046798B" w:rsidRDefault="0046798B">
            <w:pPr>
              <w:pStyle w:val="TableParagraph"/>
            </w:pPr>
          </w:p>
          <w:p w14:paraId="1C6AB779" w14:textId="77777777" w:rsidR="0046798B" w:rsidRDefault="0046798B">
            <w:pPr>
              <w:pStyle w:val="TableParagraph"/>
            </w:pPr>
          </w:p>
          <w:p w14:paraId="450D65DD" w14:textId="77777777" w:rsidR="0046798B" w:rsidRDefault="0046798B">
            <w:pPr>
              <w:pStyle w:val="TableParagraph"/>
            </w:pPr>
          </w:p>
          <w:p w14:paraId="2E099F03" w14:textId="77777777" w:rsidR="0046798B" w:rsidRDefault="0046798B">
            <w:pPr>
              <w:pStyle w:val="TableParagraph"/>
            </w:pPr>
          </w:p>
          <w:p w14:paraId="4225F3C2" w14:textId="77777777" w:rsidR="0046798B" w:rsidRDefault="0046798B">
            <w:pPr>
              <w:pStyle w:val="TableParagraph"/>
            </w:pPr>
          </w:p>
          <w:p w14:paraId="45051FC2" w14:textId="77777777" w:rsidR="0046798B" w:rsidRDefault="00903B5C">
            <w:pPr>
              <w:pStyle w:val="TableParagraph"/>
              <w:spacing w:before="159"/>
              <w:ind w:left="114"/>
              <w:rPr>
                <w:sz w:val="20"/>
              </w:rPr>
            </w:pPr>
            <w:r>
              <w:rPr>
                <w:sz w:val="20"/>
              </w:rPr>
              <w:t>2000–2012</w:t>
            </w:r>
          </w:p>
        </w:tc>
        <w:tc>
          <w:tcPr>
            <w:tcW w:w="3421" w:type="dxa"/>
          </w:tcPr>
          <w:p w14:paraId="70A03DD9" w14:textId="77777777" w:rsidR="0046798B" w:rsidRDefault="0046798B">
            <w:pPr>
              <w:pStyle w:val="TableParagraph"/>
            </w:pPr>
          </w:p>
          <w:p w14:paraId="4E71AF02" w14:textId="77777777" w:rsidR="0046798B" w:rsidRDefault="0046798B">
            <w:pPr>
              <w:pStyle w:val="TableParagraph"/>
            </w:pPr>
          </w:p>
          <w:p w14:paraId="7A53BF42" w14:textId="77777777" w:rsidR="0046798B" w:rsidRDefault="0046798B">
            <w:pPr>
              <w:pStyle w:val="TableParagraph"/>
            </w:pPr>
          </w:p>
          <w:p w14:paraId="79DD3784" w14:textId="77777777" w:rsidR="0046798B" w:rsidRDefault="0046798B">
            <w:pPr>
              <w:pStyle w:val="TableParagraph"/>
            </w:pPr>
          </w:p>
          <w:p w14:paraId="36A7BC90" w14:textId="77777777" w:rsidR="0046798B" w:rsidRDefault="00903B5C">
            <w:pPr>
              <w:pStyle w:val="TableParagraph"/>
              <w:spacing w:before="182"/>
              <w:ind w:left="114" w:right="117"/>
              <w:rPr>
                <w:sz w:val="20"/>
              </w:rPr>
            </w:pPr>
            <w:r>
              <w:rPr>
                <w:sz w:val="20"/>
              </w:rPr>
              <w:t>Number of refugees arriving per state per fiscal year. The fiscal year runs from October 1 through September 30.</w:t>
            </w:r>
          </w:p>
        </w:tc>
        <w:tc>
          <w:tcPr>
            <w:tcW w:w="6482" w:type="dxa"/>
          </w:tcPr>
          <w:p w14:paraId="5BF9B2A8" w14:textId="77777777" w:rsidR="0046798B" w:rsidRDefault="00903B5C">
            <w:pPr>
              <w:pStyle w:val="TableParagraph"/>
              <w:spacing w:before="43"/>
              <w:ind w:left="114" w:right="943"/>
              <w:rPr>
                <w:sz w:val="20"/>
              </w:rPr>
            </w:pPr>
            <w:r>
              <w:rPr>
                <w:sz w:val="20"/>
              </w:rPr>
              <w:t>U.S. Department of Health &amp; Human Services—Office of Refugee Resettlement. “Refugee Arrival Data.”</w:t>
            </w:r>
            <w:r>
              <w:rPr>
                <w:color w:val="0462C1"/>
                <w:sz w:val="20"/>
                <w:u w:val="single" w:color="0462C1"/>
              </w:rPr>
              <w:t xml:space="preserve"> </w:t>
            </w:r>
            <w:hyperlink r:id="rId68">
              <w:r>
                <w:rPr>
                  <w:color w:val="0462C1"/>
                  <w:sz w:val="20"/>
                  <w:u w:val="single" w:color="0462C1"/>
                </w:rPr>
                <w:t>http://www.acf.hhs.gov/programs/orr/resource/refugee-arrival-data</w:t>
              </w:r>
            </w:hyperlink>
            <w:r>
              <w:rPr>
                <w:sz w:val="20"/>
              </w:rPr>
              <w:t>.</w:t>
            </w:r>
          </w:p>
          <w:p w14:paraId="1547C8C6" w14:textId="77777777" w:rsidR="0046798B" w:rsidRDefault="0046798B">
            <w:pPr>
              <w:pStyle w:val="TableParagraph"/>
              <w:rPr>
                <w:sz w:val="20"/>
              </w:rPr>
            </w:pPr>
          </w:p>
          <w:p w14:paraId="7DEE236D" w14:textId="77777777" w:rsidR="0046798B" w:rsidRDefault="00903B5C">
            <w:pPr>
              <w:pStyle w:val="TableParagraph"/>
              <w:spacing w:before="1"/>
              <w:ind w:left="114" w:right="217"/>
              <w:rPr>
                <w:sz w:val="20"/>
              </w:rPr>
            </w:pPr>
            <w:r>
              <w:rPr>
                <w:sz w:val="20"/>
              </w:rPr>
              <w:t xml:space="preserve">Originally provided by Stateminder: A data visualization project from Georgetown University. </w:t>
            </w:r>
            <w:hyperlink r:id="rId69">
              <w:r>
                <w:rPr>
                  <w:sz w:val="20"/>
                  <w:u w:val="single"/>
                </w:rPr>
                <w:t>http://stateminder.org/</w:t>
              </w:r>
              <w:r>
                <w:rPr>
                  <w:sz w:val="20"/>
                </w:rPr>
                <w:t xml:space="preserve"> </w:t>
              </w:r>
            </w:hyperlink>
            <w:r>
              <w:rPr>
                <w:sz w:val="20"/>
              </w:rPr>
              <w:t>(no longer accessible online)</w:t>
            </w:r>
          </w:p>
          <w:p w14:paraId="33D20216" w14:textId="77777777" w:rsidR="0046798B" w:rsidRDefault="0046798B">
            <w:pPr>
              <w:pStyle w:val="TableParagraph"/>
              <w:rPr>
                <w:sz w:val="20"/>
              </w:rPr>
            </w:pPr>
          </w:p>
          <w:p w14:paraId="1AA6D8A4" w14:textId="77777777" w:rsidR="0046798B" w:rsidRDefault="00903B5C">
            <w:pPr>
              <w:pStyle w:val="TableParagraph"/>
              <w:ind w:left="114" w:right="129"/>
              <w:rPr>
                <w:sz w:val="20"/>
              </w:rPr>
            </w:pPr>
            <w:r>
              <w:rPr>
                <w:sz w:val="20"/>
              </w:rPr>
              <w:t>Note: To be eligible for refugee status, an applicant must meet the definition of a refugee set forth in 101(a)(42) of the Immigration and Nationality Act: a person who is unable or unwilling to return to his or her country of nationality because of persecution or a well-founded fear of persecution on account of race, religion, nationality, membership in a particular social</w:t>
            </w:r>
            <w:r>
              <w:rPr>
                <w:spacing w:val="-16"/>
                <w:sz w:val="20"/>
              </w:rPr>
              <w:t xml:space="preserve"> </w:t>
            </w:r>
            <w:r>
              <w:rPr>
                <w:sz w:val="20"/>
              </w:rPr>
              <w:t>group, or political</w:t>
            </w:r>
            <w:r>
              <w:rPr>
                <w:spacing w:val="-4"/>
                <w:sz w:val="20"/>
              </w:rPr>
              <w:t xml:space="preserve"> </w:t>
            </w:r>
            <w:r>
              <w:rPr>
                <w:sz w:val="20"/>
              </w:rPr>
              <w:t>opinion.</w:t>
            </w:r>
          </w:p>
        </w:tc>
      </w:tr>
      <w:tr w:rsidR="0046798B" w14:paraId="53607E7A" w14:textId="77777777">
        <w:trPr>
          <w:trHeight w:val="1700"/>
        </w:trPr>
        <w:tc>
          <w:tcPr>
            <w:tcW w:w="1711" w:type="dxa"/>
          </w:tcPr>
          <w:p w14:paraId="449DD69C" w14:textId="77777777" w:rsidR="0046798B" w:rsidRDefault="0046798B">
            <w:pPr>
              <w:pStyle w:val="TableParagraph"/>
            </w:pPr>
          </w:p>
          <w:p w14:paraId="763EEF4B" w14:textId="77777777" w:rsidR="0046798B" w:rsidRDefault="0046798B">
            <w:pPr>
              <w:pStyle w:val="TableParagraph"/>
            </w:pPr>
          </w:p>
          <w:p w14:paraId="676EFB2B" w14:textId="77777777" w:rsidR="0046798B" w:rsidRDefault="0046798B">
            <w:pPr>
              <w:pStyle w:val="TableParagraph"/>
              <w:spacing w:before="8"/>
              <w:rPr>
                <w:sz w:val="19"/>
              </w:rPr>
            </w:pPr>
          </w:p>
          <w:p w14:paraId="27A68241" w14:textId="77777777" w:rsidR="0046798B" w:rsidRDefault="00903B5C">
            <w:pPr>
              <w:pStyle w:val="TableParagraph"/>
              <w:spacing w:before="1"/>
              <w:ind w:left="115"/>
              <w:rPr>
                <w:b/>
                <w:sz w:val="20"/>
              </w:rPr>
            </w:pPr>
            <w:r>
              <w:rPr>
                <w:b/>
                <w:sz w:val="20"/>
              </w:rPr>
              <w:t>pop_annual</w:t>
            </w:r>
          </w:p>
        </w:tc>
        <w:tc>
          <w:tcPr>
            <w:tcW w:w="1596" w:type="dxa"/>
          </w:tcPr>
          <w:p w14:paraId="39DFC517" w14:textId="77777777" w:rsidR="0046798B" w:rsidRDefault="0046798B">
            <w:pPr>
              <w:pStyle w:val="TableParagraph"/>
            </w:pPr>
          </w:p>
          <w:p w14:paraId="5898D626" w14:textId="77777777" w:rsidR="0046798B" w:rsidRDefault="0046798B">
            <w:pPr>
              <w:pStyle w:val="TableParagraph"/>
              <w:spacing w:before="8"/>
              <w:rPr>
                <w:sz w:val="31"/>
              </w:rPr>
            </w:pPr>
          </w:p>
          <w:p w14:paraId="7A5C64FD" w14:textId="77777777" w:rsidR="0046798B" w:rsidRDefault="00903B5C">
            <w:pPr>
              <w:pStyle w:val="TableParagraph"/>
              <w:spacing w:before="1"/>
              <w:ind w:left="114" w:right="596"/>
              <w:rPr>
                <w:sz w:val="20"/>
              </w:rPr>
            </w:pPr>
            <w:r>
              <w:rPr>
                <w:sz w:val="20"/>
              </w:rPr>
              <w:t>Total state population</w:t>
            </w:r>
          </w:p>
        </w:tc>
        <w:tc>
          <w:tcPr>
            <w:tcW w:w="1285" w:type="dxa"/>
          </w:tcPr>
          <w:p w14:paraId="459B4169" w14:textId="77777777" w:rsidR="0046798B" w:rsidRDefault="0046798B">
            <w:pPr>
              <w:pStyle w:val="TableParagraph"/>
            </w:pPr>
          </w:p>
          <w:p w14:paraId="70292A97" w14:textId="77777777" w:rsidR="0046798B" w:rsidRDefault="0046798B">
            <w:pPr>
              <w:pStyle w:val="TableParagraph"/>
            </w:pPr>
          </w:p>
          <w:p w14:paraId="7653CDB3" w14:textId="77777777" w:rsidR="0046798B" w:rsidRDefault="0046798B">
            <w:pPr>
              <w:pStyle w:val="TableParagraph"/>
              <w:spacing w:before="8"/>
              <w:rPr>
                <w:sz w:val="19"/>
              </w:rPr>
            </w:pPr>
          </w:p>
          <w:p w14:paraId="08074D22" w14:textId="77777777" w:rsidR="0046798B" w:rsidRDefault="00903B5C">
            <w:pPr>
              <w:pStyle w:val="TableParagraph"/>
              <w:spacing w:before="1"/>
              <w:ind w:left="114"/>
              <w:rPr>
                <w:sz w:val="20"/>
              </w:rPr>
            </w:pPr>
            <w:r>
              <w:rPr>
                <w:sz w:val="20"/>
              </w:rPr>
              <w:t>1929–2012</w:t>
            </w:r>
          </w:p>
        </w:tc>
        <w:tc>
          <w:tcPr>
            <w:tcW w:w="3421" w:type="dxa"/>
          </w:tcPr>
          <w:p w14:paraId="1B26C3A2" w14:textId="77777777" w:rsidR="0046798B" w:rsidRDefault="0046798B">
            <w:pPr>
              <w:pStyle w:val="TableParagraph"/>
            </w:pPr>
          </w:p>
          <w:p w14:paraId="392BCCC2" w14:textId="77777777" w:rsidR="0046798B" w:rsidRDefault="0046798B">
            <w:pPr>
              <w:pStyle w:val="TableParagraph"/>
              <w:spacing w:before="8"/>
              <w:rPr>
                <w:sz w:val="31"/>
              </w:rPr>
            </w:pPr>
          </w:p>
          <w:p w14:paraId="605AFD13" w14:textId="77777777" w:rsidR="0046798B" w:rsidRDefault="00903B5C">
            <w:pPr>
              <w:pStyle w:val="TableParagraph"/>
              <w:spacing w:before="1"/>
              <w:ind w:left="114" w:right="166"/>
              <w:rPr>
                <w:sz w:val="20"/>
              </w:rPr>
            </w:pPr>
            <w:r>
              <w:rPr>
                <w:sz w:val="20"/>
              </w:rPr>
              <w:t>Total population in the state, measured annually.</w:t>
            </w:r>
          </w:p>
        </w:tc>
        <w:tc>
          <w:tcPr>
            <w:tcW w:w="6482" w:type="dxa"/>
          </w:tcPr>
          <w:p w14:paraId="1DABB080" w14:textId="77777777" w:rsidR="0046798B" w:rsidRDefault="00903B5C">
            <w:pPr>
              <w:pStyle w:val="TableParagraph"/>
              <w:spacing w:before="43"/>
              <w:ind w:left="114" w:right="1111"/>
              <w:rPr>
                <w:sz w:val="20"/>
              </w:rPr>
            </w:pPr>
            <w:r>
              <w:rPr>
                <w:sz w:val="20"/>
              </w:rPr>
              <w:t xml:space="preserve">Klarner, Carl, 2013, “State Economic Data”, </w:t>
            </w:r>
            <w:hyperlink r:id="rId70">
              <w:r>
                <w:rPr>
                  <w:sz w:val="20"/>
                </w:rPr>
                <w:t>https://doi.org/10.7910/DVN/KMWN7N</w:t>
              </w:r>
            </w:hyperlink>
            <w:r>
              <w:rPr>
                <w:sz w:val="20"/>
              </w:rPr>
              <w:t>, Harvard Dataverse, V1</w:t>
            </w:r>
          </w:p>
          <w:p w14:paraId="5E9ED5DF" w14:textId="77777777" w:rsidR="0046798B" w:rsidRDefault="0046798B">
            <w:pPr>
              <w:pStyle w:val="TableParagraph"/>
              <w:rPr>
                <w:sz w:val="20"/>
              </w:rPr>
            </w:pPr>
          </w:p>
          <w:p w14:paraId="0E7FAEC5" w14:textId="77777777" w:rsidR="0046798B" w:rsidRDefault="00903B5C">
            <w:pPr>
              <w:pStyle w:val="TableParagraph"/>
              <w:ind w:left="114" w:right="237"/>
              <w:rPr>
                <w:sz w:val="20"/>
              </w:rPr>
            </w:pPr>
            <w:r>
              <w:rPr>
                <w:sz w:val="20"/>
              </w:rPr>
              <w:t xml:space="preserve">Source (2012): </w:t>
            </w:r>
            <w:hyperlink r:id="rId71">
              <w:r>
                <w:rPr>
                  <w:color w:val="0462C1"/>
                  <w:sz w:val="20"/>
                  <w:u w:val="single" w:color="0462C1"/>
                </w:rPr>
                <w:t>http://www.bizjournals.com/bizjournals/on-numbers/scott-</w:t>
              </w:r>
            </w:hyperlink>
            <w:r>
              <w:rPr>
                <w:color w:val="0462C1"/>
                <w:sz w:val="20"/>
              </w:rPr>
              <w:t xml:space="preserve"> </w:t>
            </w:r>
            <w:hyperlink r:id="rId72">
              <w:r>
                <w:rPr>
                  <w:color w:val="0462C1"/>
                  <w:sz w:val="20"/>
                  <w:u w:val="single" w:color="0462C1"/>
                </w:rPr>
                <w:t>thomas/2012/06/californias-population-passes-</w:t>
              </w:r>
            </w:hyperlink>
            <w:r>
              <w:rPr>
                <w:color w:val="0462C1"/>
                <w:sz w:val="20"/>
              </w:rPr>
              <w:t xml:space="preserve"> </w:t>
            </w:r>
            <w:hyperlink r:id="rId73">
              <w:r>
                <w:rPr>
                  <w:color w:val="0462C1"/>
                  <w:sz w:val="20"/>
                  <w:u w:val="single" w:color="0462C1"/>
                </w:rPr>
                <w:t>38.html?appSession=10897383915145&amp;RecordID=&amp;PageID=2&amp;PrevPageI</w:t>
              </w:r>
            </w:hyperlink>
            <w:r>
              <w:rPr>
                <w:color w:val="0462C1"/>
                <w:sz w:val="20"/>
              </w:rPr>
              <w:t xml:space="preserve"> </w:t>
            </w:r>
            <w:hyperlink r:id="rId74">
              <w:r>
                <w:rPr>
                  <w:color w:val="0462C1"/>
                  <w:sz w:val="20"/>
                  <w:u w:val="single" w:color="0462C1"/>
                </w:rPr>
                <w:t>D=&amp;cpipage=3&amp;CPISortType=&amp;CPIorderBy</w:t>
              </w:r>
            </w:hyperlink>
          </w:p>
        </w:tc>
      </w:tr>
    </w:tbl>
    <w:p w14:paraId="37E0F007" w14:textId="77777777" w:rsidR="0046798B" w:rsidRDefault="0046798B">
      <w:pPr>
        <w:pStyle w:val="BodyText"/>
        <w:spacing w:before="2"/>
        <w:rPr>
          <w:sz w:val="16"/>
        </w:rPr>
      </w:pPr>
    </w:p>
    <w:p w14:paraId="4B6510FD" w14:textId="77777777" w:rsidR="0046798B" w:rsidRDefault="00903B5C">
      <w:pPr>
        <w:pStyle w:val="ListParagraph"/>
        <w:numPr>
          <w:ilvl w:val="0"/>
          <w:numId w:val="11"/>
        </w:numPr>
        <w:tabs>
          <w:tab w:val="left" w:pos="901"/>
        </w:tabs>
        <w:spacing w:before="90"/>
        <w:ind w:left="900" w:hanging="280"/>
        <w:rPr>
          <w:b/>
          <w:sz w:val="24"/>
        </w:rPr>
      </w:pPr>
      <w:r>
        <w:rPr>
          <w:b/>
          <w:sz w:val="24"/>
          <w:u w:val="single"/>
        </w:rPr>
        <w:t>Immigration Policy</w:t>
      </w:r>
    </w:p>
    <w:p w14:paraId="7F498895" w14:textId="77777777" w:rsidR="0046798B" w:rsidRDefault="0046798B">
      <w:pPr>
        <w:pStyle w:val="BodyText"/>
        <w:spacing w:before="9"/>
        <w:rPr>
          <w:b/>
          <w:sz w:val="23"/>
        </w:rPr>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37D82985" w14:textId="77777777">
        <w:trPr>
          <w:trHeight w:val="590"/>
        </w:trPr>
        <w:tc>
          <w:tcPr>
            <w:tcW w:w="1711" w:type="dxa"/>
          </w:tcPr>
          <w:p w14:paraId="4309B1B1" w14:textId="77777777" w:rsidR="0046798B" w:rsidRDefault="00903B5C">
            <w:pPr>
              <w:pStyle w:val="TableParagraph"/>
              <w:spacing w:before="169"/>
              <w:ind w:left="140"/>
              <w:rPr>
                <w:b/>
              </w:rPr>
            </w:pPr>
            <w:r>
              <w:rPr>
                <w:b/>
              </w:rPr>
              <w:t>Variable Name</w:t>
            </w:r>
          </w:p>
        </w:tc>
        <w:tc>
          <w:tcPr>
            <w:tcW w:w="1596" w:type="dxa"/>
          </w:tcPr>
          <w:p w14:paraId="65F2ACFD" w14:textId="77777777" w:rsidR="0046798B" w:rsidRDefault="00903B5C">
            <w:pPr>
              <w:pStyle w:val="TableParagraph"/>
              <w:spacing w:before="39" w:line="242" w:lineRule="auto"/>
              <w:ind w:left="249" w:right="229" w:firstLine="280"/>
              <w:rPr>
                <w:b/>
              </w:rPr>
            </w:pPr>
            <w:r>
              <w:rPr>
                <w:b/>
              </w:rPr>
              <w:t>Short Description</w:t>
            </w:r>
          </w:p>
        </w:tc>
        <w:tc>
          <w:tcPr>
            <w:tcW w:w="1285" w:type="dxa"/>
          </w:tcPr>
          <w:p w14:paraId="29E35003" w14:textId="77777777" w:rsidR="0046798B" w:rsidRDefault="00903B5C">
            <w:pPr>
              <w:pStyle w:val="TableParagraph"/>
              <w:spacing w:before="169"/>
              <w:ind w:left="364"/>
              <w:rPr>
                <w:b/>
              </w:rPr>
            </w:pPr>
            <w:r>
              <w:rPr>
                <w:b/>
              </w:rPr>
              <w:t>Years</w:t>
            </w:r>
          </w:p>
        </w:tc>
        <w:tc>
          <w:tcPr>
            <w:tcW w:w="3421" w:type="dxa"/>
          </w:tcPr>
          <w:p w14:paraId="10813E5D" w14:textId="77777777" w:rsidR="0046798B" w:rsidRDefault="00903B5C">
            <w:pPr>
              <w:pStyle w:val="TableParagraph"/>
              <w:spacing w:before="39"/>
              <w:ind w:left="159" w:right="146"/>
              <w:jc w:val="center"/>
              <w:rPr>
                <w:b/>
              </w:rPr>
            </w:pPr>
            <w:r>
              <w:rPr>
                <w:b/>
              </w:rPr>
              <w:t>Coding /</w:t>
            </w:r>
          </w:p>
          <w:p w14:paraId="49421CE6" w14:textId="77777777" w:rsidR="0046798B" w:rsidRDefault="00903B5C">
            <w:pPr>
              <w:pStyle w:val="TableParagraph"/>
              <w:spacing w:before="2"/>
              <w:ind w:left="159" w:right="150"/>
              <w:jc w:val="center"/>
              <w:rPr>
                <w:b/>
              </w:rPr>
            </w:pPr>
            <w:r>
              <w:rPr>
                <w:b/>
              </w:rPr>
              <w:t>Longer Description (if available)</w:t>
            </w:r>
          </w:p>
        </w:tc>
        <w:tc>
          <w:tcPr>
            <w:tcW w:w="6482" w:type="dxa"/>
          </w:tcPr>
          <w:p w14:paraId="085B765B" w14:textId="77777777" w:rsidR="0046798B" w:rsidRDefault="00903B5C">
            <w:pPr>
              <w:pStyle w:val="TableParagraph"/>
              <w:spacing w:before="169"/>
              <w:ind w:left="2852" w:right="2845"/>
              <w:jc w:val="center"/>
              <w:rPr>
                <w:b/>
              </w:rPr>
            </w:pPr>
            <w:r>
              <w:rPr>
                <w:b/>
              </w:rPr>
              <w:t>Sources</w:t>
            </w:r>
          </w:p>
        </w:tc>
      </w:tr>
      <w:tr w:rsidR="0046798B" w14:paraId="75FC0CCC" w14:textId="77777777">
        <w:trPr>
          <w:trHeight w:val="1700"/>
        </w:trPr>
        <w:tc>
          <w:tcPr>
            <w:tcW w:w="1711" w:type="dxa"/>
          </w:tcPr>
          <w:p w14:paraId="7ABDB073" w14:textId="77777777" w:rsidR="0046798B" w:rsidRDefault="0046798B">
            <w:pPr>
              <w:pStyle w:val="TableParagraph"/>
              <w:rPr>
                <w:b/>
              </w:rPr>
            </w:pPr>
          </w:p>
          <w:p w14:paraId="5A272383" w14:textId="77777777" w:rsidR="0046798B" w:rsidRDefault="0046798B">
            <w:pPr>
              <w:pStyle w:val="TableParagraph"/>
              <w:rPr>
                <w:b/>
              </w:rPr>
            </w:pPr>
          </w:p>
          <w:p w14:paraId="2A8A3C9F" w14:textId="77777777" w:rsidR="0046798B" w:rsidRDefault="0046798B">
            <w:pPr>
              <w:pStyle w:val="TableParagraph"/>
              <w:spacing w:before="9"/>
              <w:rPr>
                <w:b/>
                <w:sz w:val="19"/>
              </w:rPr>
            </w:pPr>
          </w:p>
          <w:p w14:paraId="1444660C" w14:textId="77777777" w:rsidR="0046798B" w:rsidRDefault="00903B5C">
            <w:pPr>
              <w:pStyle w:val="TableParagraph"/>
              <w:ind w:left="115"/>
              <w:rPr>
                <w:b/>
                <w:sz w:val="20"/>
              </w:rPr>
            </w:pPr>
            <w:r>
              <w:rPr>
                <w:b/>
                <w:sz w:val="20"/>
              </w:rPr>
              <w:t>dimmhed</w:t>
            </w:r>
          </w:p>
        </w:tc>
        <w:tc>
          <w:tcPr>
            <w:tcW w:w="1596" w:type="dxa"/>
          </w:tcPr>
          <w:p w14:paraId="1F0B9C60" w14:textId="77777777" w:rsidR="0046798B" w:rsidRDefault="0046798B">
            <w:pPr>
              <w:pStyle w:val="TableParagraph"/>
              <w:rPr>
                <w:b/>
              </w:rPr>
            </w:pPr>
          </w:p>
          <w:p w14:paraId="1B7AC354" w14:textId="77777777" w:rsidR="0046798B" w:rsidRDefault="00903B5C">
            <w:pPr>
              <w:pStyle w:val="TableParagraph"/>
              <w:spacing w:before="135"/>
              <w:ind w:left="114" w:right="113"/>
              <w:rPr>
                <w:sz w:val="20"/>
              </w:rPr>
            </w:pPr>
            <w:r>
              <w:rPr>
                <w:sz w:val="20"/>
              </w:rPr>
              <w:t>Undocumented immigrants’ access to public higher education</w:t>
            </w:r>
          </w:p>
        </w:tc>
        <w:tc>
          <w:tcPr>
            <w:tcW w:w="1285" w:type="dxa"/>
          </w:tcPr>
          <w:p w14:paraId="4FA426AF" w14:textId="77777777" w:rsidR="0046798B" w:rsidRDefault="0046798B">
            <w:pPr>
              <w:pStyle w:val="TableParagraph"/>
              <w:rPr>
                <w:b/>
              </w:rPr>
            </w:pPr>
          </w:p>
          <w:p w14:paraId="676CF81D" w14:textId="77777777" w:rsidR="0046798B" w:rsidRDefault="0046798B">
            <w:pPr>
              <w:pStyle w:val="TableParagraph"/>
              <w:rPr>
                <w:b/>
              </w:rPr>
            </w:pPr>
          </w:p>
          <w:p w14:paraId="5A7769FE" w14:textId="77777777" w:rsidR="0046798B" w:rsidRDefault="0046798B">
            <w:pPr>
              <w:pStyle w:val="TableParagraph"/>
              <w:spacing w:before="9"/>
              <w:rPr>
                <w:b/>
                <w:sz w:val="19"/>
              </w:rPr>
            </w:pPr>
          </w:p>
          <w:p w14:paraId="322A1FF9" w14:textId="77777777" w:rsidR="0046798B" w:rsidRDefault="00903B5C">
            <w:pPr>
              <w:pStyle w:val="TableParagraph"/>
              <w:ind w:left="114"/>
              <w:rPr>
                <w:sz w:val="20"/>
              </w:rPr>
            </w:pPr>
            <w:r>
              <w:rPr>
                <w:sz w:val="20"/>
              </w:rPr>
              <w:t>2000–2017</w:t>
            </w:r>
          </w:p>
        </w:tc>
        <w:tc>
          <w:tcPr>
            <w:tcW w:w="3421" w:type="dxa"/>
          </w:tcPr>
          <w:p w14:paraId="1519601D" w14:textId="77777777" w:rsidR="0046798B" w:rsidRDefault="00903B5C">
            <w:pPr>
              <w:pStyle w:val="TableParagraph"/>
              <w:spacing w:before="43"/>
              <w:ind w:left="114" w:right="216"/>
              <w:rPr>
                <w:sz w:val="20"/>
              </w:rPr>
            </w:pPr>
            <w:r>
              <w:rPr>
                <w:sz w:val="20"/>
              </w:rPr>
              <w:t>Undocumented immigrants' access to public higher education (-1 = banned from all public universities, -0.5 = banned from some public universities, 0 = no in-state tuition, 0.5 = in-state tuition at some universities, 0.75 = in- state tuition for community colleges</w:t>
            </w:r>
          </w:p>
        </w:tc>
        <w:tc>
          <w:tcPr>
            <w:tcW w:w="6482" w:type="dxa"/>
          </w:tcPr>
          <w:p w14:paraId="0988E50C" w14:textId="77777777" w:rsidR="0046798B" w:rsidRDefault="0046798B">
            <w:pPr>
              <w:pStyle w:val="TableParagraph"/>
              <w:rPr>
                <w:b/>
              </w:rPr>
            </w:pPr>
          </w:p>
          <w:p w14:paraId="63C7ACCA" w14:textId="77777777" w:rsidR="0046798B" w:rsidRDefault="0046798B">
            <w:pPr>
              <w:pStyle w:val="TableParagraph"/>
              <w:spacing w:before="9"/>
              <w:rPr>
                <w:b/>
                <w:sz w:val="21"/>
              </w:rPr>
            </w:pPr>
          </w:p>
          <w:p w14:paraId="7E3C9A65"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6183F4E7" w14:textId="77777777" w:rsidR="0046798B" w:rsidRDefault="0046798B">
      <w:pPr>
        <w:rPr>
          <w:sz w:val="20"/>
        </w:rPr>
        <w:sectPr w:rsidR="0046798B">
          <w:pgSz w:w="15840" w:h="12240" w:orient="landscape"/>
          <w:pgMar w:top="1220" w:right="300" w:bottom="980" w:left="820" w:header="730" w:footer="787" w:gutter="0"/>
          <w:cols w:space="720"/>
        </w:sectPr>
      </w:pPr>
    </w:p>
    <w:p w14:paraId="1E57396E"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50C59B5B" w14:textId="77777777">
        <w:trPr>
          <w:trHeight w:val="542"/>
        </w:trPr>
        <w:tc>
          <w:tcPr>
            <w:tcW w:w="1711" w:type="dxa"/>
            <w:tcBorders>
              <w:bottom w:val="dotted" w:sz="6" w:space="0" w:color="BEBEBE"/>
            </w:tcBorders>
          </w:tcPr>
          <w:p w14:paraId="1342FFF0" w14:textId="77777777" w:rsidR="0046798B" w:rsidRDefault="0046798B">
            <w:pPr>
              <w:pStyle w:val="TableParagraph"/>
              <w:rPr>
                <w:sz w:val="20"/>
              </w:rPr>
            </w:pPr>
          </w:p>
        </w:tc>
        <w:tc>
          <w:tcPr>
            <w:tcW w:w="1596" w:type="dxa"/>
            <w:tcBorders>
              <w:bottom w:val="dotted" w:sz="6" w:space="0" w:color="BEBEBE"/>
            </w:tcBorders>
          </w:tcPr>
          <w:p w14:paraId="0C615EE6" w14:textId="77777777" w:rsidR="0046798B" w:rsidRDefault="0046798B">
            <w:pPr>
              <w:pStyle w:val="TableParagraph"/>
              <w:rPr>
                <w:sz w:val="20"/>
              </w:rPr>
            </w:pPr>
          </w:p>
        </w:tc>
        <w:tc>
          <w:tcPr>
            <w:tcW w:w="1285" w:type="dxa"/>
            <w:tcBorders>
              <w:bottom w:val="dotted" w:sz="6" w:space="0" w:color="BEBEBE"/>
            </w:tcBorders>
          </w:tcPr>
          <w:p w14:paraId="0E8266B0" w14:textId="77777777" w:rsidR="0046798B" w:rsidRDefault="0046798B">
            <w:pPr>
              <w:pStyle w:val="TableParagraph"/>
              <w:rPr>
                <w:sz w:val="20"/>
              </w:rPr>
            </w:pPr>
          </w:p>
        </w:tc>
        <w:tc>
          <w:tcPr>
            <w:tcW w:w="3421" w:type="dxa"/>
            <w:tcBorders>
              <w:bottom w:val="dotted" w:sz="6" w:space="0" w:color="BEBEBE"/>
            </w:tcBorders>
          </w:tcPr>
          <w:p w14:paraId="3BAA2C34" w14:textId="77777777" w:rsidR="0046798B" w:rsidRDefault="00903B5C">
            <w:pPr>
              <w:pStyle w:val="TableParagraph"/>
              <w:spacing w:before="43"/>
              <w:ind w:left="114" w:right="404"/>
              <w:rPr>
                <w:sz w:val="20"/>
              </w:rPr>
            </w:pPr>
            <w:r>
              <w:rPr>
                <w:sz w:val="20"/>
              </w:rPr>
              <w:t>and transfers to 4-years, 1 = in-state tuition statewide)</w:t>
            </w:r>
          </w:p>
        </w:tc>
        <w:tc>
          <w:tcPr>
            <w:tcW w:w="6482" w:type="dxa"/>
            <w:tcBorders>
              <w:bottom w:val="dotted" w:sz="6" w:space="0" w:color="BEBEBE"/>
            </w:tcBorders>
          </w:tcPr>
          <w:p w14:paraId="0A6E9E8F" w14:textId="77777777" w:rsidR="0046798B" w:rsidRDefault="0046798B">
            <w:pPr>
              <w:pStyle w:val="TableParagraph"/>
              <w:rPr>
                <w:sz w:val="20"/>
              </w:rPr>
            </w:pPr>
          </w:p>
        </w:tc>
      </w:tr>
      <w:tr w:rsidR="0046798B" w14:paraId="7CF4AE32" w14:textId="77777777">
        <w:trPr>
          <w:trHeight w:val="772"/>
        </w:trPr>
        <w:tc>
          <w:tcPr>
            <w:tcW w:w="1711" w:type="dxa"/>
            <w:tcBorders>
              <w:top w:val="dotted" w:sz="6" w:space="0" w:color="BEBEBE"/>
            </w:tcBorders>
          </w:tcPr>
          <w:p w14:paraId="47E5CFDE" w14:textId="77777777" w:rsidR="0046798B" w:rsidRDefault="00903B5C">
            <w:pPr>
              <w:pStyle w:val="TableParagraph"/>
              <w:spacing w:before="155"/>
              <w:ind w:left="115" w:right="121"/>
              <w:rPr>
                <w:b/>
                <w:sz w:val="20"/>
              </w:rPr>
            </w:pPr>
            <w:r>
              <w:rPr>
                <w:b/>
                <w:sz w:val="20"/>
              </w:rPr>
              <w:t>immig_laws_rest rict</w:t>
            </w:r>
          </w:p>
        </w:tc>
        <w:tc>
          <w:tcPr>
            <w:tcW w:w="1596" w:type="dxa"/>
            <w:tcBorders>
              <w:top w:val="dotted" w:sz="6" w:space="0" w:color="BEBEBE"/>
            </w:tcBorders>
          </w:tcPr>
          <w:p w14:paraId="5664615F" w14:textId="77777777" w:rsidR="0046798B" w:rsidRDefault="00903B5C">
            <w:pPr>
              <w:pStyle w:val="TableParagraph"/>
              <w:spacing w:before="40"/>
              <w:ind w:left="114" w:right="196"/>
              <w:jc w:val="both"/>
              <w:rPr>
                <w:sz w:val="20"/>
              </w:rPr>
            </w:pPr>
            <w:r>
              <w:rPr>
                <w:sz w:val="20"/>
              </w:rPr>
              <w:t>Total restrictive immigrant laws passed</w:t>
            </w:r>
          </w:p>
        </w:tc>
        <w:tc>
          <w:tcPr>
            <w:tcW w:w="1285" w:type="dxa"/>
            <w:tcBorders>
              <w:top w:val="dotted" w:sz="6" w:space="0" w:color="BEBEBE"/>
            </w:tcBorders>
          </w:tcPr>
          <w:p w14:paraId="63F85EAA" w14:textId="77777777" w:rsidR="0046798B" w:rsidRDefault="0046798B">
            <w:pPr>
              <w:pStyle w:val="TableParagraph"/>
              <w:spacing w:before="6"/>
              <w:rPr>
                <w:sz w:val="23"/>
              </w:rPr>
            </w:pPr>
          </w:p>
          <w:p w14:paraId="4A5481D7" w14:textId="77777777" w:rsidR="0046798B" w:rsidRDefault="00903B5C">
            <w:pPr>
              <w:pStyle w:val="TableParagraph"/>
              <w:ind w:left="114"/>
              <w:rPr>
                <w:sz w:val="20"/>
              </w:rPr>
            </w:pPr>
            <w:r>
              <w:rPr>
                <w:sz w:val="20"/>
              </w:rPr>
              <w:t>2005–2012</w:t>
            </w:r>
          </w:p>
        </w:tc>
        <w:tc>
          <w:tcPr>
            <w:tcW w:w="3421" w:type="dxa"/>
            <w:tcBorders>
              <w:top w:val="dotted" w:sz="6" w:space="0" w:color="BEBEBE"/>
            </w:tcBorders>
          </w:tcPr>
          <w:p w14:paraId="2705E608" w14:textId="77777777" w:rsidR="0046798B" w:rsidRDefault="00903B5C">
            <w:pPr>
              <w:pStyle w:val="TableParagraph"/>
              <w:spacing w:before="155"/>
              <w:ind w:left="114" w:right="94"/>
              <w:rPr>
                <w:sz w:val="20"/>
              </w:rPr>
            </w:pPr>
            <w:r>
              <w:rPr>
                <w:sz w:val="20"/>
              </w:rPr>
              <w:t>Number of “restrictive” laws relating to immigrants passed in the year</w:t>
            </w:r>
          </w:p>
        </w:tc>
        <w:tc>
          <w:tcPr>
            <w:tcW w:w="6482" w:type="dxa"/>
            <w:tcBorders>
              <w:top w:val="dotted" w:sz="6" w:space="0" w:color="BEBEBE"/>
            </w:tcBorders>
          </w:tcPr>
          <w:p w14:paraId="28567AFA" w14:textId="77777777" w:rsidR="0046798B" w:rsidRDefault="00903B5C">
            <w:pPr>
              <w:pStyle w:val="TableParagraph"/>
              <w:spacing w:before="155"/>
              <w:ind w:left="114"/>
              <w:rPr>
                <w:sz w:val="20"/>
              </w:rPr>
            </w:pPr>
            <w:r>
              <w:rPr>
                <w:sz w:val="20"/>
              </w:rPr>
              <w:t>Reich, Gary. “Immigrant legislation, across and within the United States.”</w:t>
            </w:r>
          </w:p>
          <w:p w14:paraId="18B899E5" w14:textId="77777777" w:rsidR="0046798B" w:rsidRDefault="00903B5C">
            <w:pPr>
              <w:pStyle w:val="TableParagraph"/>
              <w:spacing w:before="1"/>
              <w:ind w:left="114"/>
              <w:rPr>
                <w:sz w:val="20"/>
              </w:rPr>
            </w:pPr>
            <w:r>
              <w:rPr>
                <w:i/>
                <w:sz w:val="20"/>
              </w:rPr>
              <w:t xml:space="preserve">Research &amp; Politics </w:t>
            </w:r>
            <w:r>
              <w:rPr>
                <w:sz w:val="20"/>
              </w:rPr>
              <w:t>4.4 (2017): 1–11.</w:t>
            </w:r>
          </w:p>
        </w:tc>
      </w:tr>
      <w:tr w:rsidR="0046798B" w14:paraId="16DDBA71" w14:textId="77777777">
        <w:trPr>
          <w:trHeight w:val="1010"/>
        </w:trPr>
        <w:tc>
          <w:tcPr>
            <w:tcW w:w="1711" w:type="dxa"/>
          </w:tcPr>
          <w:p w14:paraId="51CBA35B" w14:textId="77777777" w:rsidR="0046798B" w:rsidRDefault="0046798B">
            <w:pPr>
              <w:pStyle w:val="TableParagraph"/>
              <w:spacing w:before="9"/>
              <w:rPr>
                <w:sz w:val="23"/>
              </w:rPr>
            </w:pPr>
          </w:p>
          <w:p w14:paraId="0C46C92E" w14:textId="77777777" w:rsidR="0046798B" w:rsidRDefault="00903B5C">
            <w:pPr>
              <w:pStyle w:val="TableParagraph"/>
              <w:ind w:left="115" w:right="166"/>
              <w:rPr>
                <w:b/>
                <w:sz w:val="20"/>
              </w:rPr>
            </w:pPr>
            <w:r>
              <w:rPr>
                <w:b/>
                <w:sz w:val="20"/>
              </w:rPr>
              <w:t>immig_laws_acc om</w:t>
            </w:r>
          </w:p>
        </w:tc>
        <w:tc>
          <w:tcPr>
            <w:tcW w:w="1596" w:type="dxa"/>
          </w:tcPr>
          <w:p w14:paraId="12A0AB80" w14:textId="77777777" w:rsidR="0046798B" w:rsidRDefault="00903B5C">
            <w:pPr>
              <w:pStyle w:val="TableParagraph"/>
              <w:spacing w:before="43"/>
              <w:ind w:left="114" w:right="174"/>
              <w:rPr>
                <w:sz w:val="20"/>
              </w:rPr>
            </w:pPr>
            <w:r>
              <w:rPr>
                <w:sz w:val="20"/>
              </w:rPr>
              <w:t>Total accommodating immigrant laws passed</w:t>
            </w:r>
          </w:p>
        </w:tc>
        <w:tc>
          <w:tcPr>
            <w:tcW w:w="1285" w:type="dxa"/>
          </w:tcPr>
          <w:p w14:paraId="38E01369" w14:textId="77777777" w:rsidR="0046798B" w:rsidRDefault="0046798B">
            <w:pPr>
              <w:pStyle w:val="TableParagraph"/>
            </w:pPr>
          </w:p>
          <w:p w14:paraId="075568AF" w14:textId="77777777" w:rsidR="0046798B" w:rsidRDefault="00903B5C">
            <w:pPr>
              <w:pStyle w:val="TableParagraph"/>
              <w:spacing w:before="136"/>
              <w:ind w:left="114"/>
              <w:rPr>
                <w:sz w:val="20"/>
              </w:rPr>
            </w:pPr>
            <w:r>
              <w:rPr>
                <w:sz w:val="20"/>
              </w:rPr>
              <w:t>2005–2012</w:t>
            </w:r>
          </w:p>
        </w:tc>
        <w:tc>
          <w:tcPr>
            <w:tcW w:w="3421" w:type="dxa"/>
          </w:tcPr>
          <w:p w14:paraId="729DA443" w14:textId="77777777" w:rsidR="0046798B" w:rsidRDefault="00903B5C">
            <w:pPr>
              <w:pStyle w:val="TableParagraph"/>
              <w:spacing w:before="159"/>
              <w:ind w:left="114" w:right="416"/>
              <w:rPr>
                <w:sz w:val="20"/>
              </w:rPr>
            </w:pPr>
            <w:r>
              <w:rPr>
                <w:sz w:val="20"/>
              </w:rPr>
              <w:t>Number of “accommodating” laws relating to immigrants passed in the year</w:t>
            </w:r>
          </w:p>
        </w:tc>
        <w:tc>
          <w:tcPr>
            <w:tcW w:w="6482" w:type="dxa"/>
          </w:tcPr>
          <w:p w14:paraId="24B3A25E" w14:textId="77777777" w:rsidR="0046798B" w:rsidRDefault="0046798B">
            <w:pPr>
              <w:pStyle w:val="TableParagraph"/>
              <w:spacing w:before="9"/>
              <w:rPr>
                <w:sz w:val="23"/>
              </w:rPr>
            </w:pPr>
          </w:p>
          <w:p w14:paraId="1A68A5BA" w14:textId="77777777" w:rsidR="0046798B" w:rsidRDefault="00903B5C">
            <w:pPr>
              <w:pStyle w:val="TableParagraph"/>
              <w:ind w:left="114"/>
              <w:rPr>
                <w:sz w:val="20"/>
              </w:rPr>
            </w:pPr>
            <w:r>
              <w:rPr>
                <w:sz w:val="20"/>
              </w:rPr>
              <w:t>Reich, Gary. “Immigrant legislation, across and within the United States.”</w:t>
            </w:r>
          </w:p>
          <w:p w14:paraId="3BAA7F2D" w14:textId="77777777" w:rsidR="0046798B" w:rsidRDefault="00903B5C">
            <w:pPr>
              <w:pStyle w:val="TableParagraph"/>
              <w:ind w:left="114"/>
              <w:rPr>
                <w:sz w:val="20"/>
              </w:rPr>
            </w:pPr>
            <w:r>
              <w:rPr>
                <w:i/>
                <w:sz w:val="20"/>
              </w:rPr>
              <w:t xml:space="preserve">Research &amp; Politics </w:t>
            </w:r>
            <w:r>
              <w:rPr>
                <w:sz w:val="20"/>
              </w:rPr>
              <w:t>4.4 (2017): 1–11.</w:t>
            </w:r>
          </w:p>
        </w:tc>
      </w:tr>
      <w:tr w:rsidR="0046798B" w14:paraId="557FE381" w14:textId="77777777">
        <w:trPr>
          <w:trHeight w:val="775"/>
        </w:trPr>
        <w:tc>
          <w:tcPr>
            <w:tcW w:w="1711" w:type="dxa"/>
          </w:tcPr>
          <w:p w14:paraId="53463367" w14:textId="77777777" w:rsidR="0046798B" w:rsidRDefault="00903B5C">
            <w:pPr>
              <w:pStyle w:val="TableParagraph"/>
              <w:spacing w:before="153"/>
              <w:ind w:left="115" w:right="132"/>
              <w:rPr>
                <w:b/>
                <w:sz w:val="20"/>
              </w:rPr>
            </w:pPr>
            <w:r>
              <w:rPr>
                <w:b/>
                <w:sz w:val="20"/>
              </w:rPr>
              <w:t>immig_laws_neu t</w:t>
            </w:r>
          </w:p>
        </w:tc>
        <w:tc>
          <w:tcPr>
            <w:tcW w:w="1596" w:type="dxa"/>
          </w:tcPr>
          <w:p w14:paraId="472ED2A8" w14:textId="77777777" w:rsidR="0046798B" w:rsidRDefault="00903B5C">
            <w:pPr>
              <w:pStyle w:val="TableParagraph"/>
              <w:spacing w:before="38"/>
              <w:ind w:left="114" w:right="202"/>
              <w:rPr>
                <w:sz w:val="20"/>
              </w:rPr>
            </w:pPr>
            <w:r>
              <w:rPr>
                <w:sz w:val="20"/>
              </w:rPr>
              <w:t>Total neutral immigrant laws passed</w:t>
            </w:r>
          </w:p>
        </w:tc>
        <w:tc>
          <w:tcPr>
            <w:tcW w:w="1285" w:type="dxa"/>
          </w:tcPr>
          <w:p w14:paraId="6A544182" w14:textId="77777777" w:rsidR="0046798B" w:rsidRDefault="0046798B">
            <w:pPr>
              <w:pStyle w:val="TableParagraph"/>
              <w:spacing w:before="3"/>
              <w:rPr>
                <w:sz w:val="23"/>
              </w:rPr>
            </w:pPr>
          </w:p>
          <w:p w14:paraId="3D620732" w14:textId="77777777" w:rsidR="0046798B" w:rsidRDefault="00903B5C">
            <w:pPr>
              <w:pStyle w:val="TableParagraph"/>
              <w:spacing w:before="1"/>
              <w:ind w:left="114"/>
              <w:rPr>
                <w:sz w:val="20"/>
              </w:rPr>
            </w:pPr>
            <w:r>
              <w:rPr>
                <w:sz w:val="20"/>
              </w:rPr>
              <w:t>2005–2012</w:t>
            </w:r>
          </w:p>
        </w:tc>
        <w:tc>
          <w:tcPr>
            <w:tcW w:w="3421" w:type="dxa"/>
          </w:tcPr>
          <w:p w14:paraId="74BAE360" w14:textId="77777777" w:rsidR="0046798B" w:rsidRDefault="00903B5C">
            <w:pPr>
              <w:pStyle w:val="TableParagraph"/>
              <w:spacing w:before="153"/>
              <w:ind w:left="114" w:right="339"/>
              <w:rPr>
                <w:sz w:val="20"/>
              </w:rPr>
            </w:pPr>
            <w:r>
              <w:rPr>
                <w:sz w:val="20"/>
              </w:rPr>
              <w:t>Number of “neutral” laws relating to immigrants passed in the year</w:t>
            </w:r>
          </w:p>
        </w:tc>
        <w:tc>
          <w:tcPr>
            <w:tcW w:w="6482" w:type="dxa"/>
          </w:tcPr>
          <w:p w14:paraId="40B1CE64" w14:textId="77777777" w:rsidR="0046798B" w:rsidRDefault="00903B5C">
            <w:pPr>
              <w:pStyle w:val="TableParagraph"/>
              <w:spacing w:before="153"/>
              <w:ind w:left="114"/>
              <w:rPr>
                <w:sz w:val="20"/>
              </w:rPr>
            </w:pPr>
            <w:r>
              <w:rPr>
                <w:sz w:val="20"/>
              </w:rPr>
              <w:t>Reich, Gary. “Immigrant legislation, across and within the United States.”</w:t>
            </w:r>
          </w:p>
          <w:p w14:paraId="00479731" w14:textId="77777777" w:rsidR="0046798B" w:rsidRDefault="00903B5C">
            <w:pPr>
              <w:pStyle w:val="TableParagraph"/>
              <w:ind w:left="114"/>
              <w:rPr>
                <w:sz w:val="20"/>
              </w:rPr>
            </w:pPr>
            <w:r>
              <w:rPr>
                <w:i/>
                <w:sz w:val="20"/>
              </w:rPr>
              <w:t xml:space="preserve">Research &amp; Politics </w:t>
            </w:r>
            <w:r>
              <w:rPr>
                <w:sz w:val="20"/>
              </w:rPr>
              <w:t>4.4 (2017): 1–11.</w:t>
            </w:r>
          </w:p>
        </w:tc>
      </w:tr>
      <w:tr w:rsidR="0046798B" w14:paraId="4B6C2A1D" w14:textId="77777777">
        <w:trPr>
          <w:trHeight w:val="545"/>
        </w:trPr>
        <w:tc>
          <w:tcPr>
            <w:tcW w:w="1711" w:type="dxa"/>
          </w:tcPr>
          <w:p w14:paraId="2647A841" w14:textId="77777777" w:rsidR="0046798B" w:rsidRDefault="00903B5C">
            <w:pPr>
              <w:pStyle w:val="TableParagraph"/>
              <w:spacing w:before="38"/>
              <w:ind w:left="115" w:right="110"/>
              <w:rPr>
                <w:b/>
                <w:sz w:val="20"/>
              </w:rPr>
            </w:pPr>
            <w:r>
              <w:rPr>
                <w:b/>
                <w:sz w:val="20"/>
              </w:rPr>
              <w:t>immig_laws_tota l</w:t>
            </w:r>
          </w:p>
        </w:tc>
        <w:tc>
          <w:tcPr>
            <w:tcW w:w="1596" w:type="dxa"/>
          </w:tcPr>
          <w:p w14:paraId="260E860E" w14:textId="77777777" w:rsidR="0046798B" w:rsidRDefault="00903B5C">
            <w:pPr>
              <w:pStyle w:val="TableParagraph"/>
              <w:spacing w:before="38"/>
              <w:ind w:left="114" w:right="146"/>
              <w:rPr>
                <w:sz w:val="20"/>
              </w:rPr>
            </w:pPr>
            <w:r>
              <w:rPr>
                <w:sz w:val="20"/>
              </w:rPr>
              <w:t>Total immigrant laws passed</w:t>
            </w:r>
          </w:p>
        </w:tc>
        <w:tc>
          <w:tcPr>
            <w:tcW w:w="1285" w:type="dxa"/>
          </w:tcPr>
          <w:p w14:paraId="163982A8" w14:textId="77777777" w:rsidR="0046798B" w:rsidRDefault="00903B5C">
            <w:pPr>
              <w:pStyle w:val="TableParagraph"/>
              <w:spacing w:before="153"/>
              <w:ind w:left="114"/>
              <w:rPr>
                <w:sz w:val="20"/>
              </w:rPr>
            </w:pPr>
            <w:r>
              <w:rPr>
                <w:sz w:val="20"/>
              </w:rPr>
              <w:t>2005–2012</w:t>
            </w:r>
          </w:p>
        </w:tc>
        <w:tc>
          <w:tcPr>
            <w:tcW w:w="3421" w:type="dxa"/>
          </w:tcPr>
          <w:p w14:paraId="37562A05" w14:textId="77777777" w:rsidR="0046798B" w:rsidRDefault="00903B5C">
            <w:pPr>
              <w:pStyle w:val="TableParagraph"/>
              <w:spacing w:before="38"/>
              <w:ind w:left="114" w:right="610"/>
              <w:rPr>
                <w:sz w:val="20"/>
              </w:rPr>
            </w:pPr>
            <w:r>
              <w:rPr>
                <w:sz w:val="20"/>
              </w:rPr>
              <w:t>Total laws relating to immigrants passed in the year</w:t>
            </w:r>
          </w:p>
        </w:tc>
        <w:tc>
          <w:tcPr>
            <w:tcW w:w="6482" w:type="dxa"/>
          </w:tcPr>
          <w:p w14:paraId="7F96C420" w14:textId="77777777" w:rsidR="0046798B" w:rsidRDefault="00903B5C">
            <w:pPr>
              <w:pStyle w:val="TableParagraph"/>
              <w:spacing w:before="38"/>
              <w:ind w:left="114"/>
              <w:rPr>
                <w:sz w:val="20"/>
              </w:rPr>
            </w:pPr>
            <w:r>
              <w:rPr>
                <w:sz w:val="20"/>
              </w:rPr>
              <w:t>Reich, Gary. “Immigrant legislation, across and within the United States.”</w:t>
            </w:r>
          </w:p>
          <w:p w14:paraId="55EEF64F" w14:textId="77777777" w:rsidR="0046798B" w:rsidRDefault="00903B5C">
            <w:pPr>
              <w:pStyle w:val="TableParagraph"/>
              <w:ind w:left="114"/>
              <w:rPr>
                <w:sz w:val="20"/>
              </w:rPr>
            </w:pPr>
            <w:r>
              <w:rPr>
                <w:i/>
                <w:sz w:val="20"/>
              </w:rPr>
              <w:t xml:space="preserve">Research &amp; Politics </w:t>
            </w:r>
            <w:r>
              <w:rPr>
                <w:sz w:val="20"/>
              </w:rPr>
              <w:t>4.4 (2017): 1–11.</w:t>
            </w:r>
          </w:p>
        </w:tc>
      </w:tr>
      <w:tr w:rsidR="0046798B" w14:paraId="3BCE305B" w14:textId="77777777">
        <w:trPr>
          <w:trHeight w:val="1235"/>
        </w:trPr>
        <w:tc>
          <w:tcPr>
            <w:tcW w:w="1711" w:type="dxa"/>
          </w:tcPr>
          <w:p w14:paraId="0F986637" w14:textId="77777777" w:rsidR="0046798B" w:rsidRDefault="0046798B">
            <w:pPr>
              <w:pStyle w:val="TableParagraph"/>
            </w:pPr>
          </w:p>
          <w:p w14:paraId="649610FD" w14:textId="77777777" w:rsidR="0046798B" w:rsidRDefault="00903B5C">
            <w:pPr>
              <w:pStyle w:val="TableParagraph"/>
              <w:spacing w:before="135"/>
              <w:ind w:left="115" w:right="99"/>
              <w:rPr>
                <w:b/>
                <w:sz w:val="20"/>
              </w:rPr>
            </w:pPr>
            <w:r>
              <w:rPr>
                <w:b/>
                <w:sz w:val="20"/>
              </w:rPr>
              <w:t>immigration_eng lish_language</w:t>
            </w:r>
          </w:p>
        </w:tc>
        <w:tc>
          <w:tcPr>
            <w:tcW w:w="1596" w:type="dxa"/>
          </w:tcPr>
          <w:p w14:paraId="6C169EE9" w14:textId="77777777" w:rsidR="0046798B" w:rsidRDefault="0046798B">
            <w:pPr>
              <w:pStyle w:val="TableParagraph"/>
            </w:pPr>
          </w:p>
          <w:p w14:paraId="3ADB4B27" w14:textId="77777777" w:rsidR="0046798B" w:rsidRDefault="00903B5C">
            <w:pPr>
              <w:pStyle w:val="TableParagraph"/>
              <w:spacing w:before="135"/>
              <w:ind w:left="114" w:right="102"/>
              <w:rPr>
                <w:sz w:val="20"/>
              </w:rPr>
            </w:pPr>
            <w:r>
              <w:rPr>
                <w:sz w:val="20"/>
              </w:rPr>
              <w:t>English is official language</w:t>
            </w:r>
          </w:p>
        </w:tc>
        <w:tc>
          <w:tcPr>
            <w:tcW w:w="1285" w:type="dxa"/>
          </w:tcPr>
          <w:p w14:paraId="09DEF069" w14:textId="77777777" w:rsidR="0046798B" w:rsidRDefault="0046798B">
            <w:pPr>
              <w:pStyle w:val="TableParagraph"/>
            </w:pPr>
          </w:p>
          <w:p w14:paraId="48B9AC6F" w14:textId="77777777" w:rsidR="0046798B" w:rsidRDefault="0046798B">
            <w:pPr>
              <w:pStyle w:val="TableParagraph"/>
              <w:spacing w:before="9"/>
              <w:rPr>
                <w:sz w:val="21"/>
              </w:rPr>
            </w:pPr>
          </w:p>
          <w:p w14:paraId="1618F252" w14:textId="77777777" w:rsidR="0046798B" w:rsidRDefault="00903B5C">
            <w:pPr>
              <w:pStyle w:val="TableParagraph"/>
              <w:ind w:left="114"/>
              <w:rPr>
                <w:sz w:val="20"/>
              </w:rPr>
            </w:pPr>
            <w:r>
              <w:rPr>
                <w:sz w:val="20"/>
              </w:rPr>
              <w:t>1970–2014</w:t>
            </w:r>
          </w:p>
        </w:tc>
        <w:tc>
          <w:tcPr>
            <w:tcW w:w="3421" w:type="dxa"/>
          </w:tcPr>
          <w:p w14:paraId="5614FF04" w14:textId="77777777" w:rsidR="0046798B" w:rsidRDefault="0046798B">
            <w:pPr>
              <w:pStyle w:val="TableParagraph"/>
            </w:pPr>
          </w:p>
          <w:p w14:paraId="7E882460" w14:textId="77777777" w:rsidR="0046798B" w:rsidRDefault="00903B5C">
            <w:pPr>
              <w:pStyle w:val="TableParagraph"/>
              <w:spacing w:before="135"/>
              <w:ind w:left="114" w:right="128"/>
              <w:rPr>
                <w:sz w:val="20"/>
              </w:rPr>
            </w:pPr>
            <w:r>
              <w:rPr>
                <w:sz w:val="20"/>
              </w:rPr>
              <w:t>Is English the state’s official language? (0 = no, 1 = yes)</w:t>
            </w:r>
          </w:p>
        </w:tc>
        <w:tc>
          <w:tcPr>
            <w:tcW w:w="6482" w:type="dxa"/>
          </w:tcPr>
          <w:p w14:paraId="47E8749B"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55F956BB" w14:textId="77777777">
        <w:trPr>
          <w:trHeight w:val="1235"/>
        </w:trPr>
        <w:tc>
          <w:tcPr>
            <w:tcW w:w="1711" w:type="dxa"/>
          </w:tcPr>
          <w:p w14:paraId="7021E8EC" w14:textId="77777777" w:rsidR="0046798B" w:rsidRDefault="0046798B">
            <w:pPr>
              <w:pStyle w:val="TableParagraph"/>
              <w:spacing w:before="9"/>
              <w:rPr>
                <w:sz w:val="23"/>
              </w:rPr>
            </w:pPr>
          </w:p>
          <w:p w14:paraId="5FF1AC14" w14:textId="77777777" w:rsidR="0046798B" w:rsidRDefault="00903B5C">
            <w:pPr>
              <w:pStyle w:val="TableParagraph"/>
              <w:ind w:left="115" w:right="103"/>
              <w:jc w:val="both"/>
              <w:rPr>
                <w:b/>
                <w:sz w:val="20"/>
              </w:rPr>
            </w:pPr>
            <w:r>
              <w:rPr>
                <w:b/>
                <w:sz w:val="20"/>
              </w:rPr>
              <w:t>immigration_inst ate_tuition_illega limmigrants</w:t>
            </w:r>
          </w:p>
        </w:tc>
        <w:tc>
          <w:tcPr>
            <w:tcW w:w="1596" w:type="dxa"/>
          </w:tcPr>
          <w:p w14:paraId="55636F54" w14:textId="77777777" w:rsidR="0046798B" w:rsidRDefault="0046798B">
            <w:pPr>
              <w:pStyle w:val="TableParagraph"/>
            </w:pPr>
          </w:p>
          <w:p w14:paraId="62B2D137" w14:textId="77777777" w:rsidR="0046798B" w:rsidRDefault="00903B5C">
            <w:pPr>
              <w:pStyle w:val="TableParagraph"/>
              <w:spacing w:before="136"/>
              <w:ind w:left="114" w:right="229"/>
              <w:rPr>
                <w:sz w:val="20"/>
              </w:rPr>
            </w:pPr>
            <w:r>
              <w:rPr>
                <w:sz w:val="20"/>
              </w:rPr>
              <w:t>In-state tuition for immigrants</w:t>
            </w:r>
          </w:p>
        </w:tc>
        <w:tc>
          <w:tcPr>
            <w:tcW w:w="1285" w:type="dxa"/>
          </w:tcPr>
          <w:p w14:paraId="011113CF" w14:textId="77777777" w:rsidR="0046798B" w:rsidRDefault="0046798B">
            <w:pPr>
              <w:pStyle w:val="TableParagraph"/>
            </w:pPr>
          </w:p>
          <w:p w14:paraId="0731A419" w14:textId="77777777" w:rsidR="0046798B" w:rsidRDefault="0046798B">
            <w:pPr>
              <w:pStyle w:val="TableParagraph"/>
              <w:spacing w:before="9"/>
              <w:rPr>
                <w:sz w:val="21"/>
              </w:rPr>
            </w:pPr>
          </w:p>
          <w:p w14:paraId="167119E5" w14:textId="77777777" w:rsidR="0046798B" w:rsidRDefault="00903B5C">
            <w:pPr>
              <w:pStyle w:val="TableParagraph"/>
              <w:ind w:left="114"/>
              <w:rPr>
                <w:sz w:val="20"/>
              </w:rPr>
            </w:pPr>
            <w:r>
              <w:rPr>
                <w:sz w:val="20"/>
              </w:rPr>
              <w:t>2001–2014</w:t>
            </w:r>
          </w:p>
        </w:tc>
        <w:tc>
          <w:tcPr>
            <w:tcW w:w="3421" w:type="dxa"/>
          </w:tcPr>
          <w:p w14:paraId="0BFB17C3" w14:textId="77777777" w:rsidR="0046798B" w:rsidRDefault="0046798B">
            <w:pPr>
              <w:pStyle w:val="TableParagraph"/>
            </w:pPr>
          </w:p>
          <w:p w14:paraId="3ACB3A17" w14:textId="77777777" w:rsidR="0046798B" w:rsidRDefault="00903B5C">
            <w:pPr>
              <w:pStyle w:val="TableParagraph"/>
              <w:spacing w:before="136"/>
              <w:ind w:left="114" w:right="166"/>
              <w:rPr>
                <w:sz w:val="20"/>
              </w:rPr>
            </w:pPr>
            <w:r>
              <w:rPr>
                <w:sz w:val="20"/>
              </w:rPr>
              <w:t>Does the state allow in-state tuition for illegal immigrants? (0 = no, 1 = yes)</w:t>
            </w:r>
          </w:p>
        </w:tc>
        <w:tc>
          <w:tcPr>
            <w:tcW w:w="6482" w:type="dxa"/>
          </w:tcPr>
          <w:p w14:paraId="218066ED"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7CA126F8" w14:textId="77777777">
        <w:trPr>
          <w:trHeight w:val="545"/>
        </w:trPr>
        <w:tc>
          <w:tcPr>
            <w:tcW w:w="1711" w:type="dxa"/>
          </w:tcPr>
          <w:p w14:paraId="59812C75" w14:textId="77777777" w:rsidR="0046798B" w:rsidRDefault="00903B5C">
            <w:pPr>
              <w:pStyle w:val="TableParagraph"/>
              <w:spacing w:before="158"/>
              <w:ind w:left="115"/>
              <w:rPr>
                <w:b/>
                <w:sz w:val="20"/>
              </w:rPr>
            </w:pPr>
            <w:r>
              <w:rPr>
                <w:b/>
                <w:sz w:val="20"/>
              </w:rPr>
              <w:t>engonly</w:t>
            </w:r>
          </w:p>
        </w:tc>
        <w:tc>
          <w:tcPr>
            <w:tcW w:w="1596" w:type="dxa"/>
          </w:tcPr>
          <w:p w14:paraId="4B936D41" w14:textId="77777777" w:rsidR="0046798B" w:rsidRDefault="00903B5C">
            <w:pPr>
              <w:pStyle w:val="TableParagraph"/>
              <w:spacing w:before="43"/>
              <w:ind w:left="114" w:right="229"/>
              <w:rPr>
                <w:sz w:val="20"/>
              </w:rPr>
            </w:pPr>
            <w:r>
              <w:rPr>
                <w:sz w:val="20"/>
              </w:rPr>
              <w:t>English-only law</w:t>
            </w:r>
          </w:p>
        </w:tc>
        <w:tc>
          <w:tcPr>
            <w:tcW w:w="1285" w:type="dxa"/>
          </w:tcPr>
          <w:p w14:paraId="71D32DE7" w14:textId="77777777" w:rsidR="0046798B" w:rsidRDefault="00903B5C">
            <w:pPr>
              <w:pStyle w:val="TableParagraph"/>
              <w:spacing w:before="158"/>
              <w:ind w:left="114"/>
              <w:rPr>
                <w:sz w:val="20"/>
              </w:rPr>
            </w:pPr>
            <w:r>
              <w:rPr>
                <w:sz w:val="20"/>
              </w:rPr>
              <w:t>1900–2007</w:t>
            </w:r>
          </w:p>
        </w:tc>
        <w:tc>
          <w:tcPr>
            <w:tcW w:w="3421" w:type="dxa"/>
          </w:tcPr>
          <w:p w14:paraId="4D94E836" w14:textId="77777777" w:rsidR="0046798B" w:rsidRDefault="00903B5C">
            <w:pPr>
              <w:pStyle w:val="TableParagraph"/>
              <w:spacing w:before="43"/>
              <w:ind w:left="114" w:right="1475"/>
              <w:rPr>
                <w:sz w:val="20"/>
              </w:rPr>
            </w:pPr>
            <w:r>
              <w:rPr>
                <w:sz w:val="20"/>
              </w:rPr>
              <w:t>0 = policy not adopted 1 = policy adopted</w:t>
            </w:r>
          </w:p>
        </w:tc>
        <w:tc>
          <w:tcPr>
            <w:tcW w:w="6482" w:type="dxa"/>
          </w:tcPr>
          <w:p w14:paraId="649D2BAB" w14:textId="77777777" w:rsidR="0046798B" w:rsidRDefault="00903B5C">
            <w:pPr>
              <w:pStyle w:val="TableParagraph"/>
              <w:spacing w:before="4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304F46" w14:paraId="35043B77" w14:textId="77777777">
        <w:trPr>
          <w:trHeight w:val="545"/>
        </w:trPr>
        <w:tc>
          <w:tcPr>
            <w:tcW w:w="1711" w:type="dxa"/>
          </w:tcPr>
          <w:p w14:paraId="347B0614" w14:textId="77777777" w:rsidR="00304F46" w:rsidRPr="00304F46" w:rsidRDefault="00304F46" w:rsidP="00304F46">
            <w:pPr>
              <w:rPr>
                <w:b/>
                <w:bCs/>
                <w:sz w:val="20"/>
                <w:szCs w:val="20"/>
              </w:rPr>
            </w:pPr>
            <w:r w:rsidRPr="00304F46">
              <w:rPr>
                <w:b/>
                <w:bCs/>
                <w:sz w:val="20"/>
                <w:szCs w:val="20"/>
              </w:rPr>
              <w:t>percentBlack</w:t>
            </w:r>
          </w:p>
          <w:p w14:paraId="4EF5B97A" w14:textId="77777777" w:rsidR="00304F46" w:rsidRDefault="00304F46" w:rsidP="00304F46">
            <w:pPr>
              <w:pStyle w:val="TableParagraph"/>
              <w:spacing w:before="158"/>
              <w:rPr>
                <w:b/>
                <w:sz w:val="20"/>
              </w:rPr>
            </w:pPr>
          </w:p>
        </w:tc>
        <w:tc>
          <w:tcPr>
            <w:tcW w:w="1596" w:type="dxa"/>
          </w:tcPr>
          <w:p w14:paraId="43D95B48" w14:textId="098C4613" w:rsidR="00304F46" w:rsidRDefault="00304F46">
            <w:pPr>
              <w:pStyle w:val="TableParagraph"/>
              <w:spacing w:before="43"/>
              <w:ind w:left="114" w:right="229"/>
              <w:rPr>
                <w:sz w:val="20"/>
              </w:rPr>
            </w:pPr>
            <w:r>
              <w:rPr>
                <w:sz w:val="20"/>
              </w:rPr>
              <w:t>Percentage of population identifying as Black</w:t>
            </w:r>
          </w:p>
        </w:tc>
        <w:tc>
          <w:tcPr>
            <w:tcW w:w="1285" w:type="dxa"/>
          </w:tcPr>
          <w:p w14:paraId="048FAA75" w14:textId="22C81916" w:rsidR="00304F46" w:rsidRPr="00304F46" w:rsidRDefault="00304F46" w:rsidP="00304F46">
            <w:pPr>
              <w:rPr>
                <w:sz w:val="20"/>
                <w:szCs w:val="20"/>
              </w:rPr>
            </w:pPr>
            <w:r w:rsidRPr="00304F46">
              <w:rPr>
                <w:sz w:val="20"/>
                <w:szCs w:val="20"/>
              </w:rPr>
              <w:t>decadal years from 1900-2010</w:t>
            </w:r>
          </w:p>
        </w:tc>
        <w:tc>
          <w:tcPr>
            <w:tcW w:w="3421" w:type="dxa"/>
          </w:tcPr>
          <w:p w14:paraId="168B010E" w14:textId="6D6EE5F1" w:rsidR="00304F46" w:rsidRPr="00304F46" w:rsidRDefault="00304F46" w:rsidP="00304F46">
            <w:pPr>
              <w:rPr>
                <w:sz w:val="20"/>
                <w:szCs w:val="20"/>
              </w:rPr>
            </w:pPr>
            <w:r w:rsidRPr="00304F46">
              <w:rPr>
                <w:sz w:val="20"/>
                <w:szCs w:val="20"/>
              </w:rPr>
              <w:t>the percentage of the population identified as black by the Census’s "race" variable</w:t>
            </w:r>
          </w:p>
        </w:tc>
        <w:tc>
          <w:tcPr>
            <w:tcW w:w="6482" w:type="dxa"/>
          </w:tcPr>
          <w:p w14:paraId="6DB4328D" w14:textId="5F64755E" w:rsidR="00304F46" w:rsidRPr="00304F46" w:rsidRDefault="00304F46" w:rsidP="00304F46">
            <w:pPr>
              <w:rPr>
                <w:sz w:val="20"/>
                <w:szCs w:val="20"/>
              </w:rPr>
            </w:pPr>
            <w:r w:rsidRPr="00304F46">
              <w:rPr>
                <w:sz w:val="20"/>
                <w:szCs w:val="20"/>
              </w:rPr>
              <w:t>Bullock, John G. "Education and attitudes toward redistribution in the United States." British Journal of Political Science (2020): 1-21.</w:t>
            </w:r>
          </w:p>
        </w:tc>
      </w:tr>
      <w:tr w:rsidR="00304F46" w14:paraId="436EDC6B" w14:textId="77777777">
        <w:trPr>
          <w:trHeight w:val="545"/>
        </w:trPr>
        <w:tc>
          <w:tcPr>
            <w:tcW w:w="1711" w:type="dxa"/>
          </w:tcPr>
          <w:p w14:paraId="11493B37" w14:textId="18A0C43B" w:rsidR="00304F46" w:rsidRPr="00304F46" w:rsidRDefault="00304F46" w:rsidP="00304F46">
            <w:pPr>
              <w:rPr>
                <w:b/>
                <w:bCs/>
                <w:sz w:val="20"/>
                <w:szCs w:val="20"/>
              </w:rPr>
            </w:pPr>
            <w:r w:rsidRPr="00304F46">
              <w:rPr>
                <w:b/>
                <w:bCs/>
                <w:sz w:val="20"/>
                <w:szCs w:val="20"/>
              </w:rPr>
              <w:t>percentForeignBorn</w:t>
            </w:r>
          </w:p>
        </w:tc>
        <w:tc>
          <w:tcPr>
            <w:tcW w:w="1596" w:type="dxa"/>
          </w:tcPr>
          <w:p w14:paraId="417165C7" w14:textId="2F8F9B30" w:rsidR="00304F46" w:rsidRDefault="00304F46" w:rsidP="00304F46">
            <w:pPr>
              <w:pStyle w:val="TableParagraph"/>
              <w:spacing w:before="43"/>
              <w:ind w:left="114" w:right="229"/>
              <w:rPr>
                <w:sz w:val="20"/>
              </w:rPr>
            </w:pPr>
            <w:r>
              <w:rPr>
                <w:sz w:val="20"/>
              </w:rPr>
              <w:t>Percentage of population identifying as foreign born</w:t>
            </w:r>
          </w:p>
        </w:tc>
        <w:tc>
          <w:tcPr>
            <w:tcW w:w="1285" w:type="dxa"/>
          </w:tcPr>
          <w:p w14:paraId="365A50FF" w14:textId="7FD1231E" w:rsidR="00304F46" w:rsidRDefault="00304F46" w:rsidP="00304F46">
            <w:pPr>
              <w:pStyle w:val="TableParagraph"/>
              <w:spacing w:before="158"/>
              <w:ind w:left="114"/>
              <w:rPr>
                <w:sz w:val="20"/>
              </w:rPr>
            </w:pPr>
            <w:r w:rsidRPr="005154A0">
              <w:rPr>
                <w:sz w:val="20"/>
                <w:szCs w:val="20"/>
              </w:rPr>
              <w:t>decadal years from 1900-2010</w:t>
            </w:r>
          </w:p>
        </w:tc>
        <w:tc>
          <w:tcPr>
            <w:tcW w:w="3421" w:type="dxa"/>
          </w:tcPr>
          <w:p w14:paraId="41E207F9" w14:textId="36C0ACB6" w:rsidR="00304F46" w:rsidRPr="00304F46" w:rsidRDefault="00304F46" w:rsidP="00304F46">
            <w:pPr>
              <w:rPr>
                <w:sz w:val="20"/>
                <w:szCs w:val="20"/>
              </w:rPr>
            </w:pPr>
            <w:r w:rsidRPr="00304F46">
              <w:rPr>
                <w:sz w:val="20"/>
                <w:szCs w:val="20"/>
              </w:rPr>
              <w:t>the percentage of the population identified as foreign-born by the Census</w:t>
            </w:r>
          </w:p>
        </w:tc>
        <w:tc>
          <w:tcPr>
            <w:tcW w:w="6482" w:type="dxa"/>
          </w:tcPr>
          <w:p w14:paraId="1758C449" w14:textId="1D3FE331" w:rsidR="00304F46" w:rsidRDefault="00304F46" w:rsidP="00304F46">
            <w:pPr>
              <w:pStyle w:val="TableParagraph"/>
              <w:spacing w:before="43"/>
              <w:ind w:left="114" w:right="683"/>
              <w:rPr>
                <w:sz w:val="20"/>
              </w:rPr>
            </w:pPr>
            <w:r w:rsidRPr="00372163">
              <w:rPr>
                <w:sz w:val="20"/>
                <w:szCs w:val="20"/>
              </w:rPr>
              <w:t>Bullock, John G. "Education and attitudes toward redistribution in the United States." British Journal of Political Science (2020): 1-21.</w:t>
            </w:r>
          </w:p>
        </w:tc>
      </w:tr>
      <w:tr w:rsidR="00304F46" w14:paraId="3ED494D8" w14:textId="77777777">
        <w:trPr>
          <w:trHeight w:val="545"/>
        </w:trPr>
        <w:tc>
          <w:tcPr>
            <w:tcW w:w="1711" w:type="dxa"/>
          </w:tcPr>
          <w:p w14:paraId="0F4A952C" w14:textId="77777777" w:rsidR="00304F46" w:rsidRPr="00304F46" w:rsidRDefault="00304F46" w:rsidP="00304F46">
            <w:pPr>
              <w:rPr>
                <w:b/>
                <w:bCs/>
                <w:sz w:val="20"/>
                <w:szCs w:val="20"/>
              </w:rPr>
            </w:pPr>
            <w:r w:rsidRPr="00304F46">
              <w:rPr>
                <w:b/>
                <w:bCs/>
                <w:sz w:val="20"/>
                <w:szCs w:val="20"/>
              </w:rPr>
              <w:t>percentUrban</w:t>
            </w:r>
          </w:p>
          <w:p w14:paraId="1A6E5901" w14:textId="77777777" w:rsidR="00304F46" w:rsidRDefault="00304F46" w:rsidP="00304F46">
            <w:pPr>
              <w:pStyle w:val="TableParagraph"/>
              <w:spacing w:before="158"/>
              <w:ind w:left="115"/>
              <w:jc w:val="center"/>
              <w:rPr>
                <w:b/>
                <w:sz w:val="20"/>
              </w:rPr>
            </w:pPr>
          </w:p>
        </w:tc>
        <w:tc>
          <w:tcPr>
            <w:tcW w:w="1596" w:type="dxa"/>
          </w:tcPr>
          <w:p w14:paraId="165944B9" w14:textId="61917B64" w:rsidR="00304F46" w:rsidRDefault="00304F46" w:rsidP="00304F46">
            <w:pPr>
              <w:pStyle w:val="TableParagraph"/>
              <w:spacing w:before="43"/>
              <w:ind w:left="114" w:right="229"/>
              <w:rPr>
                <w:sz w:val="20"/>
              </w:rPr>
            </w:pPr>
            <w:r>
              <w:rPr>
                <w:sz w:val="20"/>
              </w:rPr>
              <w:t xml:space="preserve">Percentage of population identifying as living in urban </w:t>
            </w:r>
            <w:r>
              <w:rPr>
                <w:sz w:val="20"/>
              </w:rPr>
              <w:lastRenderedPageBreak/>
              <w:t>areas.</w:t>
            </w:r>
          </w:p>
        </w:tc>
        <w:tc>
          <w:tcPr>
            <w:tcW w:w="1285" w:type="dxa"/>
          </w:tcPr>
          <w:p w14:paraId="79AE1A03" w14:textId="0D215022" w:rsidR="00304F46" w:rsidRDefault="00304F46" w:rsidP="00304F46">
            <w:pPr>
              <w:pStyle w:val="TableParagraph"/>
              <w:spacing w:before="158"/>
              <w:ind w:left="114"/>
              <w:rPr>
                <w:sz w:val="20"/>
              </w:rPr>
            </w:pPr>
            <w:r w:rsidRPr="005154A0">
              <w:rPr>
                <w:sz w:val="20"/>
                <w:szCs w:val="20"/>
              </w:rPr>
              <w:lastRenderedPageBreak/>
              <w:t>decadal years from 1900-2010</w:t>
            </w:r>
          </w:p>
        </w:tc>
        <w:tc>
          <w:tcPr>
            <w:tcW w:w="3421" w:type="dxa"/>
          </w:tcPr>
          <w:p w14:paraId="2728D6C2" w14:textId="27467F49" w:rsidR="00304F46" w:rsidRPr="00304F46" w:rsidRDefault="00304F46" w:rsidP="00304F46">
            <w:pPr>
              <w:rPr>
                <w:sz w:val="20"/>
                <w:szCs w:val="20"/>
              </w:rPr>
            </w:pPr>
            <w:r w:rsidRPr="00304F46">
              <w:rPr>
                <w:sz w:val="20"/>
                <w:szCs w:val="20"/>
              </w:rPr>
              <w:t xml:space="preserve">the percentage of the population identified as living in urban areas by the Census. To maximize consistency of the definition of “urban” across Census years, Census </w:t>
            </w:r>
            <w:r w:rsidRPr="00304F46">
              <w:rPr>
                <w:sz w:val="20"/>
                <w:szCs w:val="20"/>
              </w:rPr>
              <w:lastRenderedPageBreak/>
              <w:t>respondents were generally coded as living in urban areas if the Census “metro” variable indicated that they were living in a “metro area.” The “metro” variable is unavailable in 1970 and 1990 Census data; in these cases, I used the closely related “metarea” variable. As with most coding of urban residence in the United States, this coding is generous: for example, counties that contain more than 10,000 people are considered “urban” by this coding, and the entire state of New Jersey is coded as “urban” from 2000 to the present. See http://usa.ipums.org/usaaction/variables/alphabetical?id=M for more information about the definitions of the “metro” and “metarea” variables</w:t>
            </w:r>
          </w:p>
        </w:tc>
        <w:tc>
          <w:tcPr>
            <w:tcW w:w="6482" w:type="dxa"/>
          </w:tcPr>
          <w:p w14:paraId="64C39915" w14:textId="06A2B48A" w:rsidR="00304F46" w:rsidRDefault="00304F46" w:rsidP="00304F46">
            <w:pPr>
              <w:pStyle w:val="TableParagraph"/>
              <w:spacing w:before="43"/>
              <w:ind w:left="114" w:right="683"/>
              <w:rPr>
                <w:sz w:val="20"/>
              </w:rPr>
            </w:pPr>
            <w:r w:rsidRPr="00372163">
              <w:rPr>
                <w:sz w:val="20"/>
                <w:szCs w:val="20"/>
              </w:rPr>
              <w:lastRenderedPageBreak/>
              <w:t>Bullock, John G. "Education and attitudes toward redistribution in the United States." British Journal of Political Science (2020): 1-21.</w:t>
            </w:r>
          </w:p>
        </w:tc>
      </w:tr>
      <w:tr w:rsidR="00304F46" w14:paraId="27B5295A" w14:textId="77777777">
        <w:trPr>
          <w:trHeight w:val="545"/>
        </w:trPr>
        <w:tc>
          <w:tcPr>
            <w:tcW w:w="1711" w:type="dxa"/>
          </w:tcPr>
          <w:p w14:paraId="27CA74CF" w14:textId="77777777" w:rsidR="00304F46" w:rsidRPr="00304F46" w:rsidRDefault="00304F46" w:rsidP="00304F46">
            <w:pPr>
              <w:rPr>
                <w:b/>
                <w:bCs/>
                <w:sz w:val="20"/>
                <w:szCs w:val="20"/>
              </w:rPr>
            </w:pPr>
            <w:r w:rsidRPr="00304F46">
              <w:rPr>
                <w:b/>
                <w:bCs/>
                <w:sz w:val="20"/>
                <w:szCs w:val="20"/>
              </w:rPr>
              <w:t>percentWorkInManufacturing</w:t>
            </w:r>
          </w:p>
          <w:p w14:paraId="1E11AD1E" w14:textId="77777777" w:rsidR="00304F46" w:rsidRDefault="00304F46" w:rsidP="00304F46">
            <w:pPr>
              <w:pStyle w:val="TableParagraph"/>
              <w:spacing w:before="158"/>
              <w:ind w:left="115"/>
              <w:rPr>
                <w:b/>
                <w:sz w:val="20"/>
              </w:rPr>
            </w:pPr>
          </w:p>
        </w:tc>
        <w:tc>
          <w:tcPr>
            <w:tcW w:w="1596" w:type="dxa"/>
          </w:tcPr>
          <w:p w14:paraId="272B28AC" w14:textId="107F6940" w:rsidR="00304F46" w:rsidRDefault="00304F46" w:rsidP="00304F46">
            <w:pPr>
              <w:pStyle w:val="TableParagraph"/>
              <w:spacing w:before="43"/>
              <w:ind w:left="114" w:right="229"/>
              <w:rPr>
                <w:sz w:val="20"/>
              </w:rPr>
            </w:pPr>
            <w:r>
              <w:rPr>
                <w:sz w:val="20"/>
              </w:rPr>
              <w:t>Percentage of population identifying as living in urban areas when respondent was 14</w:t>
            </w:r>
          </w:p>
        </w:tc>
        <w:tc>
          <w:tcPr>
            <w:tcW w:w="1285" w:type="dxa"/>
          </w:tcPr>
          <w:p w14:paraId="3DC420FB" w14:textId="29E95D9D" w:rsidR="00304F46" w:rsidRDefault="00304F46" w:rsidP="00304F46">
            <w:pPr>
              <w:pStyle w:val="TableParagraph"/>
              <w:spacing w:before="158"/>
              <w:ind w:left="114"/>
              <w:rPr>
                <w:sz w:val="20"/>
              </w:rPr>
            </w:pPr>
            <w:r w:rsidRPr="005154A0">
              <w:rPr>
                <w:sz w:val="20"/>
                <w:szCs w:val="20"/>
              </w:rPr>
              <w:t>decadal years from 1900-2010</w:t>
            </w:r>
          </w:p>
        </w:tc>
        <w:tc>
          <w:tcPr>
            <w:tcW w:w="3421" w:type="dxa"/>
          </w:tcPr>
          <w:p w14:paraId="28321680" w14:textId="3B782738" w:rsidR="00304F46" w:rsidRPr="00304F46" w:rsidRDefault="00304F46" w:rsidP="00304F46">
            <w:pPr>
              <w:rPr>
                <w:sz w:val="20"/>
                <w:szCs w:val="20"/>
              </w:rPr>
            </w:pPr>
            <w:r w:rsidRPr="00304F46">
              <w:rPr>
                <w:sz w:val="20"/>
                <w:szCs w:val="20"/>
              </w:rPr>
              <w:t>the percentage of the population identified as living in urban areas by the Census when the respondent was 14, in the state in which he lived when he was 14</w:t>
            </w:r>
          </w:p>
        </w:tc>
        <w:tc>
          <w:tcPr>
            <w:tcW w:w="6482" w:type="dxa"/>
          </w:tcPr>
          <w:p w14:paraId="2495F3C2" w14:textId="0C2559A6" w:rsidR="00304F46" w:rsidRDefault="00304F46" w:rsidP="00304F46">
            <w:pPr>
              <w:pStyle w:val="TableParagraph"/>
              <w:spacing w:before="43"/>
              <w:ind w:left="114" w:right="683"/>
              <w:rPr>
                <w:sz w:val="20"/>
              </w:rPr>
            </w:pPr>
            <w:r w:rsidRPr="00372163">
              <w:rPr>
                <w:sz w:val="20"/>
                <w:szCs w:val="20"/>
              </w:rPr>
              <w:t>Bullock, John G. "Education and attitudes toward redistribution in the United States." British Journal of Political Science (2020): 1-21.</w:t>
            </w:r>
          </w:p>
        </w:tc>
      </w:tr>
    </w:tbl>
    <w:p w14:paraId="4D60EEDB" w14:textId="77777777" w:rsidR="0046798B" w:rsidRDefault="0046798B">
      <w:pPr>
        <w:rPr>
          <w:sz w:val="20"/>
        </w:rPr>
        <w:sectPr w:rsidR="0046798B">
          <w:pgSz w:w="15840" w:h="12240" w:orient="landscape"/>
          <w:pgMar w:top="1220" w:right="300" w:bottom="980" w:left="820" w:header="730" w:footer="787" w:gutter="0"/>
          <w:cols w:space="720"/>
        </w:sectPr>
      </w:pPr>
    </w:p>
    <w:p w14:paraId="1AB81DA7" w14:textId="77777777" w:rsidR="0046798B" w:rsidRDefault="0046798B">
      <w:pPr>
        <w:pStyle w:val="BodyText"/>
        <w:spacing w:before="1"/>
        <w:rPr>
          <w:sz w:val="11"/>
        </w:rPr>
      </w:pPr>
    </w:p>
    <w:p w14:paraId="24565E32" w14:textId="77777777" w:rsidR="0046798B" w:rsidRDefault="00903B5C">
      <w:pPr>
        <w:pStyle w:val="ListParagraph"/>
        <w:numPr>
          <w:ilvl w:val="0"/>
          <w:numId w:val="12"/>
        </w:numPr>
        <w:tabs>
          <w:tab w:val="left" w:pos="5647"/>
        </w:tabs>
        <w:spacing w:before="88"/>
        <w:ind w:left="5646" w:hanging="359"/>
        <w:jc w:val="left"/>
        <w:rPr>
          <w:b/>
          <w:sz w:val="28"/>
        </w:rPr>
      </w:pPr>
      <w:bookmarkStart w:id="2" w:name="II._Economic_and_Fiscal_Policy"/>
      <w:bookmarkStart w:id="3" w:name="_bookmark1"/>
      <w:bookmarkEnd w:id="2"/>
      <w:bookmarkEnd w:id="3"/>
      <w:r>
        <w:rPr>
          <w:b/>
          <w:sz w:val="28"/>
        </w:rPr>
        <w:t>Economic and Fiscal Policy</w:t>
      </w:r>
    </w:p>
    <w:p w14:paraId="2068656E" w14:textId="77777777" w:rsidR="0046798B" w:rsidRDefault="0046798B">
      <w:pPr>
        <w:pStyle w:val="BodyText"/>
        <w:spacing w:before="7"/>
        <w:rPr>
          <w:b/>
          <w:sz w:val="16"/>
        </w:rPr>
      </w:pPr>
    </w:p>
    <w:p w14:paraId="6007E874" w14:textId="77777777" w:rsidR="0046798B" w:rsidRDefault="00903B5C">
      <w:pPr>
        <w:pStyle w:val="ListParagraph"/>
        <w:numPr>
          <w:ilvl w:val="0"/>
          <w:numId w:val="10"/>
        </w:numPr>
        <w:tabs>
          <w:tab w:val="left" w:pos="916"/>
        </w:tabs>
        <w:spacing w:before="90"/>
        <w:rPr>
          <w:b/>
          <w:sz w:val="24"/>
        </w:rPr>
      </w:pPr>
      <w:r>
        <w:rPr>
          <w:b/>
          <w:sz w:val="24"/>
          <w:u w:val="single"/>
        </w:rPr>
        <w:t>State Expenditures and</w:t>
      </w:r>
      <w:r>
        <w:rPr>
          <w:b/>
          <w:spacing w:val="-4"/>
          <w:sz w:val="24"/>
          <w:u w:val="single"/>
        </w:rPr>
        <w:t xml:space="preserve"> </w:t>
      </w:r>
      <w:r>
        <w:rPr>
          <w:b/>
          <w:sz w:val="24"/>
          <w:u w:val="single"/>
        </w:rPr>
        <w:t>Revenue</w:t>
      </w:r>
    </w:p>
    <w:p w14:paraId="2A6D8C86" w14:textId="77777777" w:rsidR="0046798B" w:rsidRDefault="0046798B">
      <w:pPr>
        <w:pStyle w:val="BodyText"/>
        <w:spacing w:before="8" w:after="1"/>
        <w:rPr>
          <w:b/>
          <w:sz w:val="23"/>
        </w:rPr>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4BA17A3" w14:textId="77777777">
        <w:trPr>
          <w:trHeight w:val="590"/>
        </w:trPr>
        <w:tc>
          <w:tcPr>
            <w:tcW w:w="1711" w:type="dxa"/>
          </w:tcPr>
          <w:p w14:paraId="47B4B71D" w14:textId="77777777" w:rsidR="0046798B" w:rsidRDefault="00903B5C">
            <w:pPr>
              <w:pStyle w:val="TableParagraph"/>
              <w:spacing w:before="164"/>
              <w:ind w:left="140"/>
              <w:rPr>
                <w:b/>
              </w:rPr>
            </w:pPr>
            <w:r>
              <w:rPr>
                <w:b/>
              </w:rPr>
              <w:t>Variable Name</w:t>
            </w:r>
          </w:p>
        </w:tc>
        <w:tc>
          <w:tcPr>
            <w:tcW w:w="1596" w:type="dxa"/>
          </w:tcPr>
          <w:p w14:paraId="7AE1A37B" w14:textId="77777777" w:rsidR="0046798B" w:rsidRDefault="00903B5C">
            <w:pPr>
              <w:pStyle w:val="TableParagraph"/>
              <w:spacing w:before="39" w:line="242" w:lineRule="auto"/>
              <w:ind w:left="249" w:right="229" w:firstLine="280"/>
              <w:rPr>
                <w:b/>
              </w:rPr>
            </w:pPr>
            <w:r>
              <w:rPr>
                <w:b/>
              </w:rPr>
              <w:t>Short Description</w:t>
            </w:r>
          </w:p>
        </w:tc>
        <w:tc>
          <w:tcPr>
            <w:tcW w:w="1285" w:type="dxa"/>
          </w:tcPr>
          <w:p w14:paraId="3D499E9E" w14:textId="77777777" w:rsidR="0046798B" w:rsidRDefault="00903B5C">
            <w:pPr>
              <w:pStyle w:val="TableParagraph"/>
              <w:spacing w:before="164"/>
              <w:ind w:left="364"/>
              <w:rPr>
                <w:b/>
              </w:rPr>
            </w:pPr>
            <w:r>
              <w:rPr>
                <w:b/>
              </w:rPr>
              <w:t>Years</w:t>
            </w:r>
          </w:p>
        </w:tc>
        <w:tc>
          <w:tcPr>
            <w:tcW w:w="3421" w:type="dxa"/>
          </w:tcPr>
          <w:p w14:paraId="4C56F3D5" w14:textId="77777777" w:rsidR="0046798B" w:rsidRDefault="00903B5C">
            <w:pPr>
              <w:pStyle w:val="TableParagraph"/>
              <w:spacing w:before="39"/>
              <w:ind w:left="159" w:right="146"/>
              <w:jc w:val="center"/>
              <w:rPr>
                <w:b/>
              </w:rPr>
            </w:pPr>
            <w:r>
              <w:rPr>
                <w:b/>
              </w:rPr>
              <w:t>Coding /</w:t>
            </w:r>
          </w:p>
          <w:p w14:paraId="3ED50374" w14:textId="77777777" w:rsidR="0046798B" w:rsidRDefault="00903B5C">
            <w:pPr>
              <w:pStyle w:val="TableParagraph"/>
              <w:spacing w:before="3"/>
              <w:ind w:left="159" w:right="150"/>
              <w:jc w:val="center"/>
              <w:rPr>
                <w:b/>
              </w:rPr>
            </w:pPr>
            <w:r>
              <w:rPr>
                <w:b/>
              </w:rPr>
              <w:t>Longer Description (if available)</w:t>
            </w:r>
          </w:p>
        </w:tc>
        <w:tc>
          <w:tcPr>
            <w:tcW w:w="6482" w:type="dxa"/>
          </w:tcPr>
          <w:p w14:paraId="0CF24126" w14:textId="77777777" w:rsidR="0046798B" w:rsidRDefault="00903B5C">
            <w:pPr>
              <w:pStyle w:val="TableParagraph"/>
              <w:spacing w:before="164"/>
              <w:ind w:left="2852" w:right="2844"/>
              <w:jc w:val="center"/>
              <w:rPr>
                <w:b/>
              </w:rPr>
            </w:pPr>
            <w:r>
              <w:rPr>
                <w:b/>
              </w:rPr>
              <w:t>Sources</w:t>
            </w:r>
          </w:p>
        </w:tc>
      </w:tr>
      <w:tr w:rsidR="0046798B" w14:paraId="401DEF9A" w14:textId="77777777">
        <w:trPr>
          <w:trHeight w:val="780"/>
        </w:trPr>
        <w:tc>
          <w:tcPr>
            <w:tcW w:w="1711" w:type="dxa"/>
          </w:tcPr>
          <w:p w14:paraId="322990F9" w14:textId="77777777" w:rsidR="0046798B" w:rsidRDefault="0046798B">
            <w:pPr>
              <w:pStyle w:val="TableParagraph"/>
              <w:spacing w:before="8"/>
              <w:rPr>
                <w:b/>
                <w:sz w:val="23"/>
              </w:rPr>
            </w:pPr>
          </w:p>
          <w:p w14:paraId="7FAB623E" w14:textId="77777777" w:rsidR="0046798B" w:rsidRDefault="00903B5C">
            <w:pPr>
              <w:pStyle w:val="TableParagraph"/>
              <w:spacing w:before="1"/>
              <w:ind w:left="115"/>
              <w:rPr>
                <w:b/>
                <w:sz w:val="20"/>
              </w:rPr>
            </w:pPr>
            <w:r>
              <w:rPr>
                <w:b/>
                <w:sz w:val="20"/>
              </w:rPr>
              <w:t>all_other_taxes</w:t>
            </w:r>
          </w:p>
        </w:tc>
        <w:tc>
          <w:tcPr>
            <w:tcW w:w="1596" w:type="dxa"/>
          </w:tcPr>
          <w:p w14:paraId="6CE4D0CB" w14:textId="77777777" w:rsidR="0046798B" w:rsidRDefault="0046798B">
            <w:pPr>
              <w:pStyle w:val="TableParagraph"/>
              <w:spacing w:before="8"/>
              <w:rPr>
                <w:b/>
                <w:sz w:val="23"/>
              </w:rPr>
            </w:pPr>
          </w:p>
          <w:p w14:paraId="212AE7B8" w14:textId="77777777" w:rsidR="0046798B" w:rsidRDefault="00903B5C">
            <w:pPr>
              <w:pStyle w:val="TableParagraph"/>
              <w:spacing w:before="1"/>
              <w:ind w:left="114"/>
              <w:rPr>
                <w:sz w:val="20"/>
              </w:rPr>
            </w:pPr>
            <w:r>
              <w:rPr>
                <w:sz w:val="20"/>
              </w:rPr>
              <w:t>All other taxes</w:t>
            </w:r>
          </w:p>
        </w:tc>
        <w:tc>
          <w:tcPr>
            <w:tcW w:w="1285" w:type="dxa"/>
          </w:tcPr>
          <w:p w14:paraId="06084DF2" w14:textId="77777777" w:rsidR="0046798B" w:rsidRDefault="0046798B">
            <w:pPr>
              <w:pStyle w:val="TableParagraph"/>
              <w:spacing w:before="8"/>
              <w:rPr>
                <w:b/>
                <w:sz w:val="23"/>
              </w:rPr>
            </w:pPr>
          </w:p>
          <w:p w14:paraId="07A2F710" w14:textId="77777777" w:rsidR="0046798B" w:rsidRDefault="00903B5C">
            <w:pPr>
              <w:pStyle w:val="TableParagraph"/>
              <w:spacing w:before="1"/>
              <w:ind w:left="114"/>
              <w:rPr>
                <w:sz w:val="20"/>
              </w:rPr>
            </w:pPr>
            <w:r>
              <w:rPr>
                <w:sz w:val="20"/>
              </w:rPr>
              <w:t>2012–2016</w:t>
            </w:r>
          </w:p>
        </w:tc>
        <w:tc>
          <w:tcPr>
            <w:tcW w:w="3421" w:type="dxa"/>
          </w:tcPr>
          <w:p w14:paraId="11ECD27E" w14:textId="77777777" w:rsidR="0046798B" w:rsidRDefault="00903B5C">
            <w:pPr>
              <w:pStyle w:val="TableParagraph"/>
              <w:spacing w:before="43"/>
              <w:ind w:left="114" w:right="139"/>
              <w:rPr>
                <w:sz w:val="20"/>
              </w:rPr>
            </w:pPr>
            <w:r>
              <w:rPr>
                <w:sz w:val="20"/>
              </w:rPr>
              <w:t>All state government finance data from the Census Bureau are in 1,000s of current dollars.</w:t>
            </w:r>
          </w:p>
        </w:tc>
        <w:tc>
          <w:tcPr>
            <w:tcW w:w="6482" w:type="dxa"/>
          </w:tcPr>
          <w:p w14:paraId="4553EFA9" w14:textId="77777777" w:rsidR="0046798B" w:rsidRDefault="00903B5C">
            <w:pPr>
              <w:pStyle w:val="TableParagraph"/>
              <w:spacing w:before="43"/>
              <w:ind w:left="114"/>
              <w:rPr>
                <w:sz w:val="20"/>
              </w:rPr>
            </w:pPr>
            <w:r>
              <w:rPr>
                <w:sz w:val="20"/>
              </w:rPr>
              <w:t xml:space="preserve">United States Census Bureau: </w:t>
            </w:r>
            <w:hyperlink r:id="rId75">
              <w:r>
                <w:rPr>
                  <w:color w:val="0462C1"/>
                  <w:sz w:val="20"/>
                  <w:u w:val="single" w:color="0462C1"/>
                </w:rPr>
                <w:t>https://factfinder.census.gov/faces/nav/jsf/pages/programs.xhtml?program=as</w:t>
              </w:r>
            </w:hyperlink>
            <w:r>
              <w:rPr>
                <w:color w:val="0462C1"/>
                <w:sz w:val="20"/>
              </w:rPr>
              <w:t xml:space="preserve"> </w:t>
            </w:r>
            <w:hyperlink r:id="rId76">
              <w:r>
                <w:rPr>
                  <w:color w:val="0462C1"/>
                  <w:sz w:val="20"/>
                  <w:u w:val="single" w:color="0462C1"/>
                </w:rPr>
                <w:t>gov</w:t>
              </w:r>
            </w:hyperlink>
          </w:p>
        </w:tc>
      </w:tr>
      <w:tr w:rsidR="0046798B" w14:paraId="00E0C167" w14:textId="77777777">
        <w:trPr>
          <w:trHeight w:val="775"/>
        </w:trPr>
        <w:tc>
          <w:tcPr>
            <w:tcW w:w="1711" w:type="dxa"/>
          </w:tcPr>
          <w:p w14:paraId="577DAC2E" w14:textId="77777777" w:rsidR="0046798B" w:rsidRDefault="00903B5C">
            <w:pPr>
              <w:pStyle w:val="TableParagraph"/>
              <w:spacing w:before="153"/>
              <w:ind w:left="115"/>
              <w:rPr>
                <w:b/>
                <w:sz w:val="20"/>
              </w:rPr>
            </w:pPr>
            <w:r>
              <w:rPr>
                <w:b/>
                <w:sz w:val="20"/>
              </w:rPr>
              <w:t>corporation_net_ income_taxes</w:t>
            </w:r>
          </w:p>
        </w:tc>
        <w:tc>
          <w:tcPr>
            <w:tcW w:w="1596" w:type="dxa"/>
          </w:tcPr>
          <w:p w14:paraId="0B433442" w14:textId="77777777" w:rsidR="0046798B" w:rsidRDefault="00903B5C">
            <w:pPr>
              <w:pStyle w:val="TableParagraph"/>
              <w:spacing w:before="153"/>
              <w:ind w:left="114" w:right="191"/>
              <w:rPr>
                <w:sz w:val="20"/>
              </w:rPr>
            </w:pPr>
            <w:r>
              <w:rPr>
                <w:sz w:val="20"/>
              </w:rPr>
              <w:t>Corporation net income taxes</w:t>
            </w:r>
          </w:p>
        </w:tc>
        <w:tc>
          <w:tcPr>
            <w:tcW w:w="1285" w:type="dxa"/>
          </w:tcPr>
          <w:p w14:paraId="2C388FC2" w14:textId="77777777" w:rsidR="0046798B" w:rsidRDefault="0046798B">
            <w:pPr>
              <w:pStyle w:val="TableParagraph"/>
              <w:spacing w:before="4"/>
              <w:rPr>
                <w:b/>
                <w:sz w:val="23"/>
              </w:rPr>
            </w:pPr>
          </w:p>
          <w:p w14:paraId="10EFDFC5" w14:textId="77777777" w:rsidR="0046798B" w:rsidRDefault="00903B5C">
            <w:pPr>
              <w:pStyle w:val="TableParagraph"/>
              <w:ind w:left="114"/>
              <w:rPr>
                <w:sz w:val="20"/>
              </w:rPr>
            </w:pPr>
            <w:r>
              <w:rPr>
                <w:sz w:val="20"/>
              </w:rPr>
              <w:t>2012–2016</w:t>
            </w:r>
          </w:p>
        </w:tc>
        <w:tc>
          <w:tcPr>
            <w:tcW w:w="3421" w:type="dxa"/>
          </w:tcPr>
          <w:p w14:paraId="5D683752" w14:textId="77777777" w:rsidR="0046798B" w:rsidRDefault="00903B5C">
            <w:pPr>
              <w:pStyle w:val="TableParagraph"/>
              <w:spacing w:before="38"/>
              <w:ind w:left="114" w:right="139"/>
              <w:rPr>
                <w:sz w:val="20"/>
              </w:rPr>
            </w:pPr>
            <w:r>
              <w:rPr>
                <w:sz w:val="20"/>
              </w:rPr>
              <w:t>All state government finance data from the Census Bureau are in 1,000s of current dollars.</w:t>
            </w:r>
          </w:p>
        </w:tc>
        <w:tc>
          <w:tcPr>
            <w:tcW w:w="6482" w:type="dxa"/>
          </w:tcPr>
          <w:p w14:paraId="021F2BD2" w14:textId="77777777" w:rsidR="0046798B" w:rsidRDefault="00903B5C">
            <w:pPr>
              <w:pStyle w:val="TableParagraph"/>
              <w:spacing w:before="38"/>
              <w:ind w:left="114" w:right="121"/>
              <w:rPr>
                <w:sz w:val="20"/>
              </w:rPr>
            </w:pPr>
            <w:r>
              <w:rPr>
                <w:sz w:val="20"/>
              </w:rPr>
              <w:t xml:space="preserve">United States Census Bureau: </w:t>
            </w:r>
            <w:hyperlink r:id="rId77">
              <w:r>
                <w:rPr>
                  <w:color w:val="0462C1"/>
                  <w:sz w:val="20"/>
                  <w:u w:val="single" w:color="0462C1"/>
                </w:rPr>
                <w:t>https://factfinder.census.gov/faces/nav/jsf/pages/programs.xhtml?program=as</w:t>
              </w:r>
            </w:hyperlink>
            <w:r>
              <w:rPr>
                <w:color w:val="0462C1"/>
                <w:sz w:val="20"/>
              </w:rPr>
              <w:t xml:space="preserve"> </w:t>
            </w:r>
            <w:hyperlink r:id="rId78">
              <w:r>
                <w:rPr>
                  <w:color w:val="0462C1"/>
                  <w:sz w:val="20"/>
                  <w:u w:val="single" w:color="0462C1"/>
                </w:rPr>
                <w:t>gov</w:t>
              </w:r>
            </w:hyperlink>
          </w:p>
        </w:tc>
      </w:tr>
      <w:tr w:rsidR="0046798B" w14:paraId="3FFF87E1" w14:textId="77777777">
        <w:trPr>
          <w:trHeight w:val="775"/>
        </w:trPr>
        <w:tc>
          <w:tcPr>
            <w:tcW w:w="1711" w:type="dxa"/>
          </w:tcPr>
          <w:p w14:paraId="4968430B" w14:textId="77777777" w:rsidR="0046798B" w:rsidRDefault="0046798B">
            <w:pPr>
              <w:pStyle w:val="TableParagraph"/>
              <w:spacing w:before="3"/>
              <w:rPr>
                <w:b/>
                <w:sz w:val="23"/>
              </w:rPr>
            </w:pPr>
          </w:p>
          <w:p w14:paraId="3FE0D76E" w14:textId="77777777" w:rsidR="0046798B" w:rsidRDefault="00903B5C">
            <w:pPr>
              <w:pStyle w:val="TableParagraph"/>
              <w:spacing w:before="1"/>
              <w:ind w:left="115"/>
              <w:rPr>
                <w:b/>
                <w:sz w:val="20"/>
              </w:rPr>
            </w:pPr>
            <w:r>
              <w:rPr>
                <w:b/>
                <w:sz w:val="20"/>
              </w:rPr>
              <w:t>current_charges</w:t>
            </w:r>
          </w:p>
        </w:tc>
        <w:tc>
          <w:tcPr>
            <w:tcW w:w="1596" w:type="dxa"/>
          </w:tcPr>
          <w:p w14:paraId="2FB566E9" w14:textId="77777777" w:rsidR="0046798B" w:rsidRDefault="0046798B">
            <w:pPr>
              <w:pStyle w:val="TableParagraph"/>
              <w:spacing w:before="3"/>
              <w:rPr>
                <w:b/>
                <w:sz w:val="23"/>
              </w:rPr>
            </w:pPr>
          </w:p>
          <w:p w14:paraId="5D39CB37" w14:textId="77777777" w:rsidR="0046798B" w:rsidRDefault="00903B5C">
            <w:pPr>
              <w:pStyle w:val="TableParagraph"/>
              <w:spacing w:before="1"/>
              <w:ind w:left="114"/>
              <w:rPr>
                <w:sz w:val="20"/>
              </w:rPr>
            </w:pPr>
            <w:r>
              <w:rPr>
                <w:sz w:val="20"/>
              </w:rPr>
              <w:t>Current charges</w:t>
            </w:r>
          </w:p>
        </w:tc>
        <w:tc>
          <w:tcPr>
            <w:tcW w:w="1285" w:type="dxa"/>
          </w:tcPr>
          <w:p w14:paraId="0D35DD44" w14:textId="77777777" w:rsidR="0046798B" w:rsidRDefault="0046798B">
            <w:pPr>
              <w:pStyle w:val="TableParagraph"/>
              <w:spacing w:before="3"/>
              <w:rPr>
                <w:b/>
                <w:sz w:val="23"/>
              </w:rPr>
            </w:pPr>
          </w:p>
          <w:p w14:paraId="66763CD6" w14:textId="77777777" w:rsidR="0046798B" w:rsidRDefault="00903B5C">
            <w:pPr>
              <w:pStyle w:val="TableParagraph"/>
              <w:spacing w:before="1"/>
              <w:ind w:left="114"/>
              <w:rPr>
                <w:sz w:val="20"/>
              </w:rPr>
            </w:pPr>
            <w:r>
              <w:rPr>
                <w:sz w:val="20"/>
              </w:rPr>
              <w:t>2012–2016</w:t>
            </w:r>
          </w:p>
        </w:tc>
        <w:tc>
          <w:tcPr>
            <w:tcW w:w="3421" w:type="dxa"/>
          </w:tcPr>
          <w:p w14:paraId="6108D45A" w14:textId="77777777" w:rsidR="0046798B" w:rsidRDefault="00903B5C">
            <w:pPr>
              <w:pStyle w:val="TableParagraph"/>
              <w:spacing w:before="38"/>
              <w:ind w:left="114" w:right="139"/>
              <w:rPr>
                <w:sz w:val="20"/>
              </w:rPr>
            </w:pPr>
            <w:r>
              <w:rPr>
                <w:sz w:val="20"/>
              </w:rPr>
              <w:t>All state government finance data from the Census Bureau are in 1,000s of current dollars.</w:t>
            </w:r>
          </w:p>
        </w:tc>
        <w:tc>
          <w:tcPr>
            <w:tcW w:w="6482" w:type="dxa"/>
          </w:tcPr>
          <w:p w14:paraId="2AC76F24" w14:textId="77777777" w:rsidR="0046798B" w:rsidRDefault="00903B5C">
            <w:pPr>
              <w:pStyle w:val="TableParagraph"/>
              <w:spacing w:before="38"/>
              <w:ind w:left="114"/>
              <w:rPr>
                <w:sz w:val="20"/>
              </w:rPr>
            </w:pPr>
            <w:r>
              <w:rPr>
                <w:sz w:val="20"/>
              </w:rPr>
              <w:t xml:space="preserve">United States Census Bureau: </w:t>
            </w:r>
            <w:hyperlink r:id="rId79">
              <w:r>
                <w:rPr>
                  <w:color w:val="0462C1"/>
                  <w:sz w:val="20"/>
                  <w:u w:val="single" w:color="0462C1"/>
                </w:rPr>
                <w:t>https://factfinder.census.gov/faces/nav/jsf/pages/programs.xhtml?program=as</w:t>
              </w:r>
            </w:hyperlink>
            <w:r>
              <w:rPr>
                <w:color w:val="0462C1"/>
                <w:sz w:val="20"/>
              </w:rPr>
              <w:t xml:space="preserve"> </w:t>
            </w:r>
            <w:hyperlink r:id="rId80">
              <w:r>
                <w:rPr>
                  <w:color w:val="0462C1"/>
                  <w:sz w:val="20"/>
                  <w:u w:val="single" w:color="0462C1"/>
                </w:rPr>
                <w:t>gov</w:t>
              </w:r>
            </w:hyperlink>
          </w:p>
        </w:tc>
      </w:tr>
      <w:tr w:rsidR="0046798B" w14:paraId="26D8E139" w14:textId="77777777">
        <w:trPr>
          <w:trHeight w:val="1005"/>
        </w:trPr>
        <w:tc>
          <w:tcPr>
            <w:tcW w:w="1711" w:type="dxa"/>
          </w:tcPr>
          <w:p w14:paraId="490C875F" w14:textId="77777777" w:rsidR="0046798B" w:rsidRDefault="0046798B">
            <w:pPr>
              <w:pStyle w:val="TableParagraph"/>
              <w:rPr>
                <w:b/>
              </w:rPr>
            </w:pPr>
          </w:p>
          <w:p w14:paraId="00B2300A" w14:textId="77777777" w:rsidR="0046798B" w:rsidRDefault="00903B5C">
            <w:pPr>
              <w:pStyle w:val="TableParagraph"/>
              <w:spacing w:before="135"/>
              <w:ind w:left="115"/>
              <w:rPr>
                <w:b/>
                <w:sz w:val="20"/>
              </w:rPr>
            </w:pPr>
            <w:r>
              <w:rPr>
                <w:b/>
                <w:sz w:val="20"/>
              </w:rPr>
              <w:t>exp_correction</w:t>
            </w:r>
          </w:p>
        </w:tc>
        <w:tc>
          <w:tcPr>
            <w:tcW w:w="1596" w:type="dxa"/>
          </w:tcPr>
          <w:p w14:paraId="4EE9B205" w14:textId="77777777" w:rsidR="0046798B" w:rsidRDefault="00903B5C">
            <w:pPr>
              <w:pStyle w:val="TableParagraph"/>
              <w:spacing w:before="43"/>
              <w:ind w:left="114" w:right="207"/>
              <w:rPr>
                <w:sz w:val="20"/>
              </w:rPr>
            </w:pPr>
            <w:r>
              <w:rPr>
                <w:sz w:val="20"/>
              </w:rPr>
              <w:t>General expenditure, by function: correction</w:t>
            </w:r>
          </w:p>
        </w:tc>
        <w:tc>
          <w:tcPr>
            <w:tcW w:w="1285" w:type="dxa"/>
          </w:tcPr>
          <w:p w14:paraId="765F411B" w14:textId="77777777" w:rsidR="0046798B" w:rsidRDefault="0046798B">
            <w:pPr>
              <w:pStyle w:val="TableParagraph"/>
              <w:rPr>
                <w:b/>
              </w:rPr>
            </w:pPr>
          </w:p>
          <w:p w14:paraId="3F51A591" w14:textId="77777777" w:rsidR="0046798B" w:rsidRDefault="00903B5C">
            <w:pPr>
              <w:pStyle w:val="TableParagraph"/>
              <w:spacing w:before="135"/>
              <w:ind w:left="114"/>
              <w:rPr>
                <w:sz w:val="20"/>
              </w:rPr>
            </w:pPr>
            <w:r>
              <w:rPr>
                <w:sz w:val="20"/>
              </w:rPr>
              <w:t>1942–2016</w:t>
            </w:r>
          </w:p>
        </w:tc>
        <w:tc>
          <w:tcPr>
            <w:tcW w:w="3421" w:type="dxa"/>
          </w:tcPr>
          <w:p w14:paraId="3A496FC9" w14:textId="77777777" w:rsidR="0046798B" w:rsidRDefault="00903B5C">
            <w:pPr>
              <w:pStyle w:val="TableParagraph"/>
              <w:spacing w:before="158"/>
              <w:ind w:left="114" w:right="139"/>
              <w:rPr>
                <w:sz w:val="20"/>
              </w:rPr>
            </w:pPr>
            <w:r>
              <w:rPr>
                <w:sz w:val="20"/>
              </w:rPr>
              <w:t>All state government finance data from the Census Bureau are in 1,000s of current dollars.</w:t>
            </w:r>
          </w:p>
        </w:tc>
        <w:tc>
          <w:tcPr>
            <w:tcW w:w="6482" w:type="dxa"/>
          </w:tcPr>
          <w:p w14:paraId="2E525022" w14:textId="77777777" w:rsidR="0046798B" w:rsidRDefault="00903B5C">
            <w:pPr>
              <w:pStyle w:val="TableParagraph"/>
              <w:spacing w:before="158"/>
              <w:ind w:left="114"/>
              <w:rPr>
                <w:sz w:val="20"/>
              </w:rPr>
            </w:pPr>
            <w:r>
              <w:rPr>
                <w:sz w:val="20"/>
              </w:rPr>
              <w:t xml:space="preserve">United States Census Bureau: </w:t>
            </w:r>
            <w:hyperlink r:id="rId81">
              <w:r>
                <w:rPr>
                  <w:color w:val="0462C1"/>
                  <w:sz w:val="20"/>
                  <w:u w:val="single" w:color="0462C1"/>
                </w:rPr>
                <w:t>https://factfinder.census.gov/faces/nav/jsf/pages/programs.xhtml?program=as</w:t>
              </w:r>
            </w:hyperlink>
            <w:r>
              <w:rPr>
                <w:color w:val="0462C1"/>
                <w:sz w:val="20"/>
              </w:rPr>
              <w:t xml:space="preserve"> </w:t>
            </w:r>
            <w:hyperlink r:id="rId82">
              <w:r>
                <w:rPr>
                  <w:color w:val="0462C1"/>
                  <w:sz w:val="20"/>
                  <w:u w:val="single" w:color="0462C1"/>
                </w:rPr>
                <w:t>gov</w:t>
              </w:r>
            </w:hyperlink>
          </w:p>
        </w:tc>
      </w:tr>
      <w:tr w:rsidR="0046798B" w14:paraId="48BC8632" w14:textId="77777777">
        <w:trPr>
          <w:trHeight w:val="1005"/>
        </w:trPr>
        <w:tc>
          <w:tcPr>
            <w:tcW w:w="1711" w:type="dxa"/>
          </w:tcPr>
          <w:p w14:paraId="69451C60" w14:textId="77777777" w:rsidR="0046798B" w:rsidRDefault="0046798B">
            <w:pPr>
              <w:pStyle w:val="TableParagraph"/>
              <w:rPr>
                <w:b/>
              </w:rPr>
            </w:pPr>
          </w:p>
          <w:p w14:paraId="1B5E7275" w14:textId="77777777" w:rsidR="0046798B" w:rsidRDefault="00903B5C">
            <w:pPr>
              <w:pStyle w:val="TableParagraph"/>
              <w:spacing w:before="136"/>
              <w:ind w:left="115"/>
              <w:rPr>
                <w:b/>
                <w:sz w:val="20"/>
              </w:rPr>
            </w:pPr>
            <w:r>
              <w:rPr>
                <w:b/>
                <w:sz w:val="20"/>
              </w:rPr>
              <w:t>exp_direct</w:t>
            </w:r>
          </w:p>
        </w:tc>
        <w:tc>
          <w:tcPr>
            <w:tcW w:w="1596" w:type="dxa"/>
          </w:tcPr>
          <w:p w14:paraId="1159B558" w14:textId="77777777" w:rsidR="0046798B" w:rsidRDefault="00903B5C">
            <w:pPr>
              <w:pStyle w:val="TableParagraph"/>
              <w:spacing w:before="44"/>
              <w:ind w:left="114" w:right="452"/>
              <w:rPr>
                <w:sz w:val="20"/>
              </w:rPr>
            </w:pPr>
            <w:r>
              <w:rPr>
                <w:sz w:val="20"/>
              </w:rPr>
              <w:t>Total expenditure: direct expenditure</w:t>
            </w:r>
          </w:p>
        </w:tc>
        <w:tc>
          <w:tcPr>
            <w:tcW w:w="1285" w:type="dxa"/>
          </w:tcPr>
          <w:p w14:paraId="398EA558" w14:textId="77777777" w:rsidR="0046798B" w:rsidRDefault="0046798B">
            <w:pPr>
              <w:pStyle w:val="TableParagraph"/>
              <w:rPr>
                <w:b/>
              </w:rPr>
            </w:pPr>
          </w:p>
          <w:p w14:paraId="3069F989" w14:textId="77777777" w:rsidR="0046798B" w:rsidRDefault="00903B5C">
            <w:pPr>
              <w:pStyle w:val="TableParagraph"/>
              <w:spacing w:before="136"/>
              <w:ind w:left="114"/>
              <w:rPr>
                <w:sz w:val="20"/>
              </w:rPr>
            </w:pPr>
            <w:r>
              <w:rPr>
                <w:sz w:val="20"/>
              </w:rPr>
              <w:t>2012–2016</w:t>
            </w:r>
          </w:p>
        </w:tc>
        <w:tc>
          <w:tcPr>
            <w:tcW w:w="3421" w:type="dxa"/>
          </w:tcPr>
          <w:p w14:paraId="6C96CB11" w14:textId="77777777" w:rsidR="0046798B" w:rsidRDefault="00903B5C">
            <w:pPr>
              <w:pStyle w:val="TableParagraph"/>
              <w:spacing w:before="159"/>
              <w:ind w:left="114" w:right="139"/>
              <w:rPr>
                <w:sz w:val="20"/>
              </w:rPr>
            </w:pPr>
            <w:r>
              <w:rPr>
                <w:sz w:val="20"/>
              </w:rPr>
              <w:t>All state government finance data from the Census Bureau are in 1,000s of current dollars.</w:t>
            </w:r>
          </w:p>
        </w:tc>
        <w:tc>
          <w:tcPr>
            <w:tcW w:w="6482" w:type="dxa"/>
          </w:tcPr>
          <w:p w14:paraId="6FF94442" w14:textId="77777777" w:rsidR="0046798B" w:rsidRDefault="00903B5C">
            <w:pPr>
              <w:pStyle w:val="TableParagraph"/>
              <w:spacing w:before="159"/>
              <w:ind w:left="114"/>
              <w:rPr>
                <w:sz w:val="20"/>
              </w:rPr>
            </w:pPr>
            <w:r>
              <w:rPr>
                <w:sz w:val="20"/>
              </w:rPr>
              <w:t xml:space="preserve">United States Census Bureau: </w:t>
            </w:r>
            <w:hyperlink r:id="rId83">
              <w:r>
                <w:rPr>
                  <w:color w:val="0462C1"/>
                  <w:sz w:val="20"/>
                  <w:u w:val="single" w:color="0462C1"/>
                </w:rPr>
                <w:t>https://factfinder.census.gov/faces/nav/jsf/pages/programs.xhtml?program=as</w:t>
              </w:r>
            </w:hyperlink>
            <w:r>
              <w:rPr>
                <w:color w:val="0462C1"/>
                <w:sz w:val="20"/>
              </w:rPr>
              <w:t xml:space="preserve"> </w:t>
            </w:r>
            <w:hyperlink r:id="rId84">
              <w:r>
                <w:rPr>
                  <w:color w:val="0462C1"/>
                  <w:sz w:val="20"/>
                  <w:u w:val="single" w:color="0462C1"/>
                </w:rPr>
                <w:t>gov</w:t>
              </w:r>
            </w:hyperlink>
          </w:p>
        </w:tc>
      </w:tr>
      <w:tr w:rsidR="0046798B" w14:paraId="4881FE09" w14:textId="77777777">
        <w:trPr>
          <w:trHeight w:val="1465"/>
        </w:trPr>
        <w:tc>
          <w:tcPr>
            <w:tcW w:w="1711" w:type="dxa"/>
          </w:tcPr>
          <w:p w14:paraId="03750D80" w14:textId="77777777" w:rsidR="0046798B" w:rsidRDefault="0046798B">
            <w:pPr>
              <w:pStyle w:val="TableParagraph"/>
              <w:rPr>
                <w:b/>
              </w:rPr>
            </w:pPr>
          </w:p>
          <w:p w14:paraId="3C93991A" w14:textId="77777777" w:rsidR="0046798B" w:rsidRDefault="0046798B">
            <w:pPr>
              <w:pStyle w:val="TableParagraph"/>
              <w:spacing w:before="9"/>
              <w:rPr>
                <w:b/>
                <w:sz w:val="21"/>
              </w:rPr>
            </w:pPr>
          </w:p>
          <w:p w14:paraId="05655DBB" w14:textId="77777777" w:rsidR="0046798B" w:rsidRDefault="00903B5C">
            <w:pPr>
              <w:pStyle w:val="TableParagraph"/>
              <w:ind w:left="115" w:right="110"/>
              <w:rPr>
                <w:b/>
                <w:sz w:val="20"/>
              </w:rPr>
            </w:pPr>
            <w:r>
              <w:rPr>
                <w:b/>
                <w:sz w:val="20"/>
              </w:rPr>
              <w:t>exp_direct_assist ance_subsidies</w:t>
            </w:r>
          </w:p>
        </w:tc>
        <w:tc>
          <w:tcPr>
            <w:tcW w:w="1596" w:type="dxa"/>
          </w:tcPr>
          <w:p w14:paraId="1CC975E6" w14:textId="77777777" w:rsidR="0046798B" w:rsidRDefault="00903B5C">
            <w:pPr>
              <w:pStyle w:val="TableParagraph"/>
              <w:spacing w:before="43"/>
              <w:ind w:left="114" w:right="246"/>
              <w:rPr>
                <w:sz w:val="20"/>
              </w:rPr>
            </w:pPr>
            <w:r>
              <w:rPr>
                <w:sz w:val="20"/>
              </w:rPr>
              <w:t>Total expenditure: direct expenditure (assistance and subsidies)</w:t>
            </w:r>
          </w:p>
        </w:tc>
        <w:tc>
          <w:tcPr>
            <w:tcW w:w="1285" w:type="dxa"/>
          </w:tcPr>
          <w:p w14:paraId="77BCBD69" w14:textId="77777777" w:rsidR="0046798B" w:rsidRDefault="0046798B">
            <w:pPr>
              <w:pStyle w:val="TableParagraph"/>
              <w:rPr>
                <w:b/>
              </w:rPr>
            </w:pPr>
          </w:p>
          <w:p w14:paraId="1EBB6294" w14:textId="77777777" w:rsidR="0046798B" w:rsidRDefault="0046798B">
            <w:pPr>
              <w:pStyle w:val="TableParagraph"/>
              <w:spacing w:before="9"/>
              <w:rPr>
                <w:b/>
                <w:sz w:val="31"/>
              </w:rPr>
            </w:pPr>
          </w:p>
          <w:p w14:paraId="15C17DF1" w14:textId="77777777" w:rsidR="0046798B" w:rsidRDefault="00903B5C">
            <w:pPr>
              <w:pStyle w:val="TableParagraph"/>
              <w:ind w:left="114"/>
              <w:rPr>
                <w:sz w:val="20"/>
              </w:rPr>
            </w:pPr>
            <w:r>
              <w:rPr>
                <w:sz w:val="20"/>
              </w:rPr>
              <w:t>2012–2016</w:t>
            </w:r>
          </w:p>
        </w:tc>
        <w:tc>
          <w:tcPr>
            <w:tcW w:w="3421" w:type="dxa"/>
          </w:tcPr>
          <w:p w14:paraId="3B09468A" w14:textId="77777777" w:rsidR="0046798B" w:rsidRDefault="0046798B">
            <w:pPr>
              <w:pStyle w:val="TableParagraph"/>
              <w:rPr>
                <w:b/>
              </w:rPr>
            </w:pPr>
          </w:p>
          <w:p w14:paraId="6DE3FA9D" w14:textId="77777777" w:rsidR="0046798B" w:rsidRDefault="00903B5C">
            <w:pPr>
              <w:pStyle w:val="TableParagraph"/>
              <w:spacing w:before="135"/>
              <w:ind w:left="114" w:right="139"/>
              <w:rPr>
                <w:sz w:val="20"/>
              </w:rPr>
            </w:pPr>
            <w:r>
              <w:rPr>
                <w:sz w:val="20"/>
              </w:rPr>
              <w:t>All state government finance data from the Census Bureau are in 1,000s of current dollars.</w:t>
            </w:r>
          </w:p>
        </w:tc>
        <w:tc>
          <w:tcPr>
            <w:tcW w:w="6482" w:type="dxa"/>
          </w:tcPr>
          <w:p w14:paraId="5E125B1C" w14:textId="77777777" w:rsidR="0046798B" w:rsidRDefault="0046798B">
            <w:pPr>
              <w:pStyle w:val="TableParagraph"/>
              <w:rPr>
                <w:b/>
              </w:rPr>
            </w:pPr>
          </w:p>
          <w:p w14:paraId="013E279A" w14:textId="77777777" w:rsidR="0046798B" w:rsidRDefault="00903B5C">
            <w:pPr>
              <w:pStyle w:val="TableParagraph"/>
              <w:spacing w:before="135"/>
              <w:ind w:left="114"/>
              <w:rPr>
                <w:sz w:val="20"/>
              </w:rPr>
            </w:pPr>
            <w:r>
              <w:rPr>
                <w:sz w:val="20"/>
              </w:rPr>
              <w:t xml:space="preserve">United States Census Bureau: </w:t>
            </w:r>
            <w:hyperlink r:id="rId85">
              <w:r>
                <w:rPr>
                  <w:color w:val="0462C1"/>
                  <w:sz w:val="20"/>
                  <w:u w:val="single" w:color="0462C1"/>
                </w:rPr>
                <w:t>https://factfinder.census.gov/faces/nav/jsf/pages/programs.xhtml?program=as</w:t>
              </w:r>
            </w:hyperlink>
            <w:r>
              <w:rPr>
                <w:color w:val="0462C1"/>
                <w:sz w:val="20"/>
              </w:rPr>
              <w:t xml:space="preserve"> </w:t>
            </w:r>
            <w:hyperlink r:id="rId86">
              <w:r>
                <w:rPr>
                  <w:color w:val="0462C1"/>
                  <w:sz w:val="20"/>
                  <w:u w:val="single" w:color="0462C1"/>
                </w:rPr>
                <w:t>gov</w:t>
              </w:r>
            </w:hyperlink>
          </w:p>
        </w:tc>
      </w:tr>
      <w:tr w:rsidR="0046798B" w14:paraId="4657293E" w14:textId="77777777">
        <w:trPr>
          <w:trHeight w:val="1240"/>
        </w:trPr>
        <w:tc>
          <w:tcPr>
            <w:tcW w:w="1711" w:type="dxa"/>
          </w:tcPr>
          <w:p w14:paraId="3DFB76DD" w14:textId="77777777" w:rsidR="0046798B" w:rsidRDefault="0046798B">
            <w:pPr>
              <w:pStyle w:val="TableParagraph"/>
              <w:rPr>
                <w:b/>
              </w:rPr>
            </w:pPr>
          </w:p>
          <w:p w14:paraId="730BC82F" w14:textId="77777777" w:rsidR="0046798B" w:rsidRDefault="00903B5C">
            <w:pPr>
              <w:pStyle w:val="TableParagraph"/>
              <w:spacing w:before="135"/>
              <w:ind w:left="115" w:right="144"/>
              <w:rPr>
                <w:b/>
                <w:sz w:val="20"/>
              </w:rPr>
            </w:pPr>
            <w:r>
              <w:rPr>
                <w:b/>
                <w:sz w:val="20"/>
              </w:rPr>
              <w:t>exp_direct_capit al_outlay</w:t>
            </w:r>
          </w:p>
        </w:tc>
        <w:tc>
          <w:tcPr>
            <w:tcW w:w="1596" w:type="dxa"/>
          </w:tcPr>
          <w:p w14:paraId="260BB35A" w14:textId="77777777" w:rsidR="0046798B" w:rsidRDefault="00903B5C">
            <w:pPr>
              <w:pStyle w:val="TableParagraph"/>
              <w:spacing w:before="43"/>
              <w:ind w:left="114" w:right="235"/>
              <w:rPr>
                <w:sz w:val="20"/>
              </w:rPr>
            </w:pPr>
            <w:r>
              <w:rPr>
                <w:sz w:val="20"/>
              </w:rPr>
              <w:t>Total expenditure: direct expenditure (capital outlay)</w:t>
            </w:r>
          </w:p>
        </w:tc>
        <w:tc>
          <w:tcPr>
            <w:tcW w:w="1285" w:type="dxa"/>
          </w:tcPr>
          <w:p w14:paraId="29EC5C56" w14:textId="77777777" w:rsidR="0046798B" w:rsidRDefault="0046798B">
            <w:pPr>
              <w:pStyle w:val="TableParagraph"/>
              <w:rPr>
                <w:b/>
              </w:rPr>
            </w:pPr>
          </w:p>
          <w:p w14:paraId="6B9F2482" w14:textId="77777777" w:rsidR="0046798B" w:rsidRDefault="0046798B">
            <w:pPr>
              <w:pStyle w:val="TableParagraph"/>
              <w:spacing w:before="9"/>
              <w:rPr>
                <w:b/>
                <w:sz w:val="21"/>
              </w:rPr>
            </w:pPr>
          </w:p>
          <w:p w14:paraId="53488430" w14:textId="77777777" w:rsidR="0046798B" w:rsidRDefault="00903B5C">
            <w:pPr>
              <w:pStyle w:val="TableParagraph"/>
              <w:ind w:left="114"/>
              <w:rPr>
                <w:sz w:val="20"/>
              </w:rPr>
            </w:pPr>
            <w:r>
              <w:rPr>
                <w:sz w:val="20"/>
              </w:rPr>
              <w:t>2012–2016</w:t>
            </w:r>
          </w:p>
        </w:tc>
        <w:tc>
          <w:tcPr>
            <w:tcW w:w="3421" w:type="dxa"/>
          </w:tcPr>
          <w:p w14:paraId="2004141C" w14:textId="77777777" w:rsidR="0046798B" w:rsidRDefault="0046798B">
            <w:pPr>
              <w:pStyle w:val="TableParagraph"/>
              <w:spacing w:before="9"/>
              <w:rPr>
                <w:b/>
                <w:sz w:val="23"/>
              </w:rPr>
            </w:pPr>
          </w:p>
          <w:p w14:paraId="57843483" w14:textId="77777777" w:rsidR="0046798B" w:rsidRDefault="00903B5C">
            <w:pPr>
              <w:pStyle w:val="TableParagraph"/>
              <w:ind w:left="114" w:right="139"/>
              <w:rPr>
                <w:sz w:val="20"/>
              </w:rPr>
            </w:pPr>
            <w:r>
              <w:rPr>
                <w:sz w:val="20"/>
              </w:rPr>
              <w:t>All state government finance data from the Census Bureau are in 1,000s of current dollars.</w:t>
            </w:r>
          </w:p>
        </w:tc>
        <w:tc>
          <w:tcPr>
            <w:tcW w:w="6482" w:type="dxa"/>
          </w:tcPr>
          <w:p w14:paraId="05DF643A" w14:textId="77777777" w:rsidR="0046798B" w:rsidRDefault="0046798B">
            <w:pPr>
              <w:pStyle w:val="TableParagraph"/>
              <w:spacing w:before="9"/>
              <w:rPr>
                <w:b/>
                <w:sz w:val="23"/>
              </w:rPr>
            </w:pPr>
          </w:p>
          <w:p w14:paraId="6614C85B" w14:textId="77777777" w:rsidR="0046798B" w:rsidRDefault="00903B5C">
            <w:pPr>
              <w:pStyle w:val="TableParagraph"/>
              <w:ind w:left="114"/>
              <w:rPr>
                <w:sz w:val="20"/>
              </w:rPr>
            </w:pPr>
            <w:r>
              <w:rPr>
                <w:sz w:val="20"/>
              </w:rPr>
              <w:t xml:space="preserve">United States Census Bureau: </w:t>
            </w:r>
            <w:hyperlink r:id="rId87">
              <w:r>
                <w:rPr>
                  <w:color w:val="0462C1"/>
                  <w:sz w:val="20"/>
                  <w:u w:val="single" w:color="0462C1"/>
                </w:rPr>
                <w:t>https://factfinder.census.gov/faces/nav/jsf/pages/programs.xhtml?program=as</w:t>
              </w:r>
            </w:hyperlink>
            <w:r>
              <w:rPr>
                <w:color w:val="0462C1"/>
                <w:sz w:val="20"/>
              </w:rPr>
              <w:t xml:space="preserve"> </w:t>
            </w:r>
            <w:hyperlink r:id="rId88">
              <w:r>
                <w:rPr>
                  <w:color w:val="0462C1"/>
                  <w:sz w:val="20"/>
                  <w:u w:val="single" w:color="0462C1"/>
                </w:rPr>
                <w:t>gov</w:t>
              </w:r>
            </w:hyperlink>
          </w:p>
        </w:tc>
      </w:tr>
    </w:tbl>
    <w:p w14:paraId="18D615BA" w14:textId="77777777" w:rsidR="0046798B" w:rsidRDefault="0046798B">
      <w:pPr>
        <w:rPr>
          <w:sz w:val="20"/>
        </w:rPr>
        <w:sectPr w:rsidR="0046798B">
          <w:pgSz w:w="15840" w:h="12240" w:orient="landscape"/>
          <w:pgMar w:top="1220" w:right="300" w:bottom="980" w:left="820" w:header="730" w:footer="787" w:gutter="0"/>
          <w:cols w:space="720"/>
        </w:sectPr>
      </w:pPr>
    </w:p>
    <w:p w14:paraId="680C511E"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1FA4080" w14:textId="77777777">
        <w:trPr>
          <w:trHeight w:val="1465"/>
        </w:trPr>
        <w:tc>
          <w:tcPr>
            <w:tcW w:w="1711" w:type="dxa"/>
          </w:tcPr>
          <w:p w14:paraId="3B90CFDA" w14:textId="77777777" w:rsidR="0046798B" w:rsidRDefault="0046798B">
            <w:pPr>
              <w:pStyle w:val="TableParagraph"/>
            </w:pPr>
          </w:p>
          <w:p w14:paraId="3D82C3E0" w14:textId="77777777" w:rsidR="0046798B" w:rsidRDefault="0046798B">
            <w:pPr>
              <w:pStyle w:val="TableParagraph"/>
              <w:spacing w:before="9"/>
              <w:rPr>
                <w:sz w:val="21"/>
              </w:rPr>
            </w:pPr>
          </w:p>
          <w:p w14:paraId="5CA12E82" w14:textId="77777777" w:rsidR="0046798B" w:rsidRDefault="00903B5C">
            <w:pPr>
              <w:pStyle w:val="TableParagraph"/>
              <w:ind w:left="115" w:right="99"/>
              <w:rPr>
                <w:b/>
                <w:sz w:val="20"/>
              </w:rPr>
            </w:pPr>
            <w:r>
              <w:rPr>
                <w:b/>
                <w:sz w:val="20"/>
              </w:rPr>
              <w:t>exp_direct_curre nt_operations</w:t>
            </w:r>
          </w:p>
        </w:tc>
        <w:tc>
          <w:tcPr>
            <w:tcW w:w="1596" w:type="dxa"/>
          </w:tcPr>
          <w:p w14:paraId="2E820BAB" w14:textId="77777777" w:rsidR="0046798B" w:rsidRDefault="00903B5C">
            <w:pPr>
              <w:pStyle w:val="TableParagraph"/>
              <w:spacing w:before="43"/>
              <w:ind w:left="114" w:right="452"/>
              <w:rPr>
                <w:sz w:val="20"/>
              </w:rPr>
            </w:pPr>
            <w:r>
              <w:rPr>
                <w:sz w:val="20"/>
              </w:rPr>
              <w:t>Total expenditure: direct expenditure (current operations)</w:t>
            </w:r>
          </w:p>
        </w:tc>
        <w:tc>
          <w:tcPr>
            <w:tcW w:w="1285" w:type="dxa"/>
          </w:tcPr>
          <w:p w14:paraId="4E065BD0" w14:textId="77777777" w:rsidR="0046798B" w:rsidRDefault="0046798B">
            <w:pPr>
              <w:pStyle w:val="TableParagraph"/>
            </w:pPr>
          </w:p>
          <w:p w14:paraId="64FD1958" w14:textId="77777777" w:rsidR="0046798B" w:rsidRDefault="0046798B">
            <w:pPr>
              <w:pStyle w:val="TableParagraph"/>
              <w:spacing w:before="9"/>
              <w:rPr>
                <w:sz w:val="31"/>
              </w:rPr>
            </w:pPr>
          </w:p>
          <w:p w14:paraId="5CC23C8E" w14:textId="77777777" w:rsidR="0046798B" w:rsidRDefault="00903B5C">
            <w:pPr>
              <w:pStyle w:val="TableParagraph"/>
              <w:ind w:left="114"/>
              <w:rPr>
                <w:sz w:val="20"/>
              </w:rPr>
            </w:pPr>
            <w:r>
              <w:rPr>
                <w:sz w:val="20"/>
              </w:rPr>
              <w:t>2012–2016</w:t>
            </w:r>
          </w:p>
        </w:tc>
        <w:tc>
          <w:tcPr>
            <w:tcW w:w="3421" w:type="dxa"/>
          </w:tcPr>
          <w:p w14:paraId="2299E988" w14:textId="77777777" w:rsidR="0046798B" w:rsidRDefault="0046798B">
            <w:pPr>
              <w:pStyle w:val="TableParagraph"/>
            </w:pPr>
          </w:p>
          <w:p w14:paraId="05A0C700" w14:textId="77777777" w:rsidR="0046798B" w:rsidRDefault="00903B5C">
            <w:pPr>
              <w:pStyle w:val="TableParagraph"/>
              <w:spacing w:before="135"/>
              <w:ind w:left="114" w:right="139"/>
              <w:rPr>
                <w:sz w:val="20"/>
              </w:rPr>
            </w:pPr>
            <w:r>
              <w:rPr>
                <w:sz w:val="20"/>
              </w:rPr>
              <w:t>All state government finance data from the Census Bureau are in 1,000s of current dollars.</w:t>
            </w:r>
          </w:p>
        </w:tc>
        <w:tc>
          <w:tcPr>
            <w:tcW w:w="6482" w:type="dxa"/>
          </w:tcPr>
          <w:p w14:paraId="03FEEE25" w14:textId="77777777" w:rsidR="0046798B" w:rsidRDefault="0046798B">
            <w:pPr>
              <w:pStyle w:val="TableParagraph"/>
            </w:pPr>
          </w:p>
          <w:p w14:paraId="6602BC2F" w14:textId="77777777" w:rsidR="0046798B" w:rsidRDefault="00903B5C">
            <w:pPr>
              <w:pStyle w:val="TableParagraph"/>
              <w:spacing w:before="135"/>
              <w:ind w:left="114"/>
              <w:rPr>
                <w:sz w:val="20"/>
              </w:rPr>
            </w:pPr>
            <w:r>
              <w:rPr>
                <w:sz w:val="20"/>
              </w:rPr>
              <w:t xml:space="preserve">United States Census Bureau: </w:t>
            </w:r>
            <w:hyperlink r:id="rId89">
              <w:r>
                <w:rPr>
                  <w:color w:val="0462C1"/>
                  <w:sz w:val="20"/>
                  <w:u w:val="single" w:color="0462C1"/>
                </w:rPr>
                <w:t>https://factfinder.census.gov/faces/nav/jsf/pages/programs.xhtml?program=as</w:t>
              </w:r>
            </w:hyperlink>
            <w:r>
              <w:rPr>
                <w:color w:val="0462C1"/>
                <w:sz w:val="20"/>
              </w:rPr>
              <w:t xml:space="preserve"> </w:t>
            </w:r>
            <w:hyperlink r:id="rId90">
              <w:r>
                <w:rPr>
                  <w:color w:val="0462C1"/>
                  <w:sz w:val="20"/>
                  <w:u w:val="single" w:color="0462C1"/>
                </w:rPr>
                <w:t>gov</w:t>
              </w:r>
            </w:hyperlink>
          </w:p>
        </w:tc>
      </w:tr>
      <w:tr w:rsidR="0046798B" w14:paraId="7F11E3E4" w14:textId="77777777">
        <w:trPr>
          <w:trHeight w:val="1696"/>
        </w:trPr>
        <w:tc>
          <w:tcPr>
            <w:tcW w:w="1711" w:type="dxa"/>
          </w:tcPr>
          <w:p w14:paraId="488937C8" w14:textId="77777777" w:rsidR="0046798B" w:rsidRDefault="0046798B">
            <w:pPr>
              <w:pStyle w:val="TableParagraph"/>
            </w:pPr>
          </w:p>
          <w:p w14:paraId="532DBFDC" w14:textId="77777777" w:rsidR="0046798B" w:rsidRDefault="0046798B">
            <w:pPr>
              <w:pStyle w:val="TableParagraph"/>
              <w:spacing w:before="9"/>
              <w:rPr>
                <w:sz w:val="31"/>
              </w:rPr>
            </w:pPr>
          </w:p>
          <w:p w14:paraId="1D262A59" w14:textId="77777777" w:rsidR="0046798B" w:rsidRDefault="00903B5C">
            <w:pPr>
              <w:pStyle w:val="TableParagraph"/>
              <w:ind w:left="115" w:right="121"/>
              <w:rPr>
                <w:b/>
                <w:sz w:val="20"/>
              </w:rPr>
            </w:pPr>
            <w:r>
              <w:rPr>
                <w:b/>
                <w:sz w:val="20"/>
              </w:rPr>
              <w:t>exp_direct_insur ance</w:t>
            </w:r>
          </w:p>
        </w:tc>
        <w:tc>
          <w:tcPr>
            <w:tcW w:w="1596" w:type="dxa"/>
          </w:tcPr>
          <w:p w14:paraId="5C33607D" w14:textId="77777777" w:rsidR="0046798B" w:rsidRDefault="00903B5C">
            <w:pPr>
              <w:pStyle w:val="TableParagraph"/>
              <w:spacing w:before="44"/>
              <w:ind w:left="114" w:right="452"/>
              <w:rPr>
                <w:sz w:val="20"/>
              </w:rPr>
            </w:pPr>
            <w:r>
              <w:rPr>
                <w:sz w:val="20"/>
              </w:rPr>
              <w:t>Total expenditure: direct expenditure (insurance benefits and repayments)</w:t>
            </w:r>
          </w:p>
        </w:tc>
        <w:tc>
          <w:tcPr>
            <w:tcW w:w="1285" w:type="dxa"/>
          </w:tcPr>
          <w:p w14:paraId="3A09722E" w14:textId="77777777" w:rsidR="0046798B" w:rsidRDefault="0046798B">
            <w:pPr>
              <w:pStyle w:val="TableParagraph"/>
            </w:pPr>
          </w:p>
          <w:p w14:paraId="176E0F3A" w14:textId="77777777" w:rsidR="0046798B" w:rsidRDefault="0046798B">
            <w:pPr>
              <w:pStyle w:val="TableParagraph"/>
            </w:pPr>
          </w:p>
          <w:p w14:paraId="744AE69B" w14:textId="77777777" w:rsidR="0046798B" w:rsidRDefault="0046798B">
            <w:pPr>
              <w:pStyle w:val="TableParagraph"/>
              <w:spacing w:before="9"/>
              <w:rPr>
                <w:sz w:val="19"/>
              </w:rPr>
            </w:pPr>
          </w:p>
          <w:p w14:paraId="787DAD89" w14:textId="77777777" w:rsidR="0046798B" w:rsidRDefault="00903B5C">
            <w:pPr>
              <w:pStyle w:val="TableParagraph"/>
              <w:ind w:left="114"/>
              <w:rPr>
                <w:sz w:val="20"/>
              </w:rPr>
            </w:pPr>
            <w:r>
              <w:rPr>
                <w:sz w:val="20"/>
              </w:rPr>
              <w:t>2012–2016</w:t>
            </w:r>
          </w:p>
        </w:tc>
        <w:tc>
          <w:tcPr>
            <w:tcW w:w="3421" w:type="dxa"/>
          </w:tcPr>
          <w:p w14:paraId="087749E6" w14:textId="77777777" w:rsidR="0046798B" w:rsidRDefault="0046798B">
            <w:pPr>
              <w:pStyle w:val="TableParagraph"/>
            </w:pPr>
          </w:p>
          <w:p w14:paraId="635AAA09" w14:textId="77777777" w:rsidR="0046798B" w:rsidRDefault="0046798B">
            <w:pPr>
              <w:pStyle w:val="TableParagraph"/>
              <w:spacing w:before="9"/>
              <w:rPr>
                <w:sz w:val="21"/>
              </w:rPr>
            </w:pPr>
          </w:p>
          <w:p w14:paraId="2839FEED" w14:textId="77777777" w:rsidR="0046798B" w:rsidRDefault="00903B5C">
            <w:pPr>
              <w:pStyle w:val="TableParagraph"/>
              <w:ind w:left="114" w:right="139"/>
              <w:rPr>
                <w:sz w:val="20"/>
              </w:rPr>
            </w:pPr>
            <w:r>
              <w:rPr>
                <w:sz w:val="20"/>
              </w:rPr>
              <w:t>All state government finance data from the Census Bureau are in 1,000s of current dollars.</w:t>
            </w:r>
          </w:p>
        </w:tc>
        <w:tc>
          <w:tcPr>
            <w:tcW w:w="6482" w:type="dxa"/>
          </w:tcPr>
          <w:p w14:paraId="53F593E7" w14:textId="77777777" w:rsidR="0046798B" w:rsidRDefault="0046798B">
            <w:pPr>
              <w:pStyle w:val="TableParagraph"/>
            </w:pPr>
          </w:p>
          <w:p w14:paraId="0F37DB8A" w14:textId="77777777" w:rsidR="0046798B" w:rsidRDefault="0046798B">
            <w:pPr>
              <w:pStyle w:val="TableParagraph"/>
              <w:spacing w:before="9"/>
              <w:rPr>
                <w:sz w:val="21"/>
              </w:rPr>
            </w:pPr>
          </w:p>
          <w:p w14:paraId="6CEDEFB5" w14:textId="77777777" w:rsidR="0046798B" w:rsidRDefault="00903B5C">
            <w:pPr>
              <w:pStyle w:val="TableParagraph"/>
              <w:ind w:left="114"/>
              <w:rPr>
                <w:sz w:val="20"/>
              </w:rPr>
            </w:pPr>
            <w:r>
              <w:rPr>
                <w:sz w:val="20"/>
              </w:rPr>
              <w:t xml:space="preserve">United States Census Bureau: </w:t>
            </w:r>
            <w:hyperlink r:id="rId91">
              <w:r>
                <w:rPr>
                  <w:color w:val="0462C1"/>
                  <w:sz w:val="20"/>
                  <w:u w:val="single" w:color="0462C1"/>
                </w:rPr>
                <w:t>https://factfinder.census.gov/faces/nav/jsf/pages/programs.xhtml?program=as</w:t>
              </w:r>
            </w:hyperlink>
            <w:r>
              <w:rPr>
                <w:color w:val="0462C1"/>
                <w:sz w:val="20"/>
              </w:rPr>
              <w:t xml:space="preserve"> </w:t>
            </w:r>
            <w:hyperlink r:id="rId92">
              <w:r>
                <w:rPr>
                  <w:color w:val="0462C1"/>
                  <w:sz w:val="20"/>
                  <w:u w:val="single" w:color="0462C1"/>
                </w:rPr>
                <w:t>gov</w:t>
              </w:r>
            </w:hyperlink>
          </w:p>
        </w:tc>
      </w:tr>
      <w:tr w:rsidR="0046798B" w14:paraId="3FEE1B47" w14:textId="77777777">
        <w:trPr>
          <w:trHeight w:val="1240"/>
        </w:trPr>
        <w:tc>
          <w:tcPr>
            <w:tcW w:w="1711" w:type="dxa"/>
          </w:tcPr>
          <w:p w14:paraId="6C60ACD1" w14:textId="77777777" w:rsidR="0046798B" w:rsidRDefault="0046798B">
            <w:pPr>
              <w:pStyle w:val="TableParagraph"/>
            </w:pPr>
          </w:p>
          <w:p w14:paraId="53D2CC07" w14:textId="77777777" w:rsidR="0046798B" w:rsidRDefault="00903B5C">
            <w:pPr>
              <w:pStyle w:val="TableParagraph"/>
              <w:spacing w:before="135"/>
              <w:ind w:left="115"/>
              <w:rPr>
                <w:b/>
                <w:sz w:val="20"/>
              </w:rPr>
            </w:pPr>
            <w:r>
              <w:rPr>
                <w:b/>
                <w:sz w:val="20"/>
              </w:rPr>
              <w:t>exp_direct_inter est</w:t>
            </w:r>
          </w:p>
        </w:tc>
        <w:tc>
          <w:tcPr>
            <w:tcW w:w="1596" w:type="dxa"/>
          </w:tcPr>
          <w:p w14:paraId="58EA1D5B" w14:textId="77777777" w:rsidR="0046798B" w:rsidRDefault="00903B5C">
            <w:pPr>
              <w:pStyle w:val="TableParagraph"/>
              <w:spacing w:before="43"/>
              <w:ind w:left="114" w:right="85"/>
              <w:rPr>
                <w:sz w:val="20"/>
              </w:rPr>
            </w:pPr>
            <w:r>
              <w:rPr>
                <w:sz w:val="20"/>
              </w:rPr>
              <w:t>Total expenditure: direct expenditure (interest on debt)</w:t>
            </w:r>
          </w:p>
        </w:tc>
        <w:tc>
          <w:tcPr>
            <w:tcW w:w="1285" w:type="dxa"/>
          </w:tcPr>
          <w:p w14:paraId="28750CB8" w14:textId="77777777" w:rsidR="0046798B" w:rsidRDefault="0046798B">
            <w:pPr>
              <w:pStyle w:val="TableParagraph"/>
            </w:pPr>
          </w:p>
          <w:p w14:paraId="2D75AE76" w14:textId="77777777" w:rsidR="0046798B" w:rsidRDefault="0046798B">
            <w:pPr>
              <w:pStyle w:val="TableParagraph"/>
              <w:spacing w:before="8"/>
              <w:rPr>
                <w:sz w:val="21"/>
              </w:rPr>
            </w:pPr>
          </w:p>
          <w:p w14:paraId="16B2A083" w14:textId="77777777" w:rsidR="0046798B" w:rsidRDefault="00903B5C">
            <w:pPr>
              <w:pStyle w:val="TableParagraph"/>
              <w:spacing w:before="1"/>
              <w:ind w:left="114"/>
              <w:rPr>
                <w:sz w:val="20"/>
              </w:rPr>
            </w:pPr>
            <w:r>
              <w:rPr>
                <w:sz w:val="20"/>
              </w:rPr>
              <w:t>2012–2016</w:t>
            </w:r>
          </w:p>
        </w:tc>
        <w:tc>
          <w:tcPr>
            <w:tcW w:w="3421" w:type="dxa"/>
          </w:tcPr>
          <w:p w14:paraId="5DC48B8B" w14:textId="77777777" w:rsidR="0046798B" w:rsidRDefault="0046798B">
            <w:pPr>
              <w:pStyle w:val="TableParagraph"/>
              <w:spacing w:before="8"/>
              <w:rPr>
                <w:sz w:val="23"/>
              </w:rPr>
            </w:pPr>
          </w:p>
          <w:p w14:paraId="582A380C" w14:textId="77777777" w:rsidR="0046798B" w:rsidRDefault="00903B5C">
            <w:pPr>
              <w:pStyle w:val="TableParagraph"/>
              <w:spacing w:before="1"/>
              <w:ind w:left="114" w:right="139"/>
              <w:rPr>
                <w:sz w:val="20"/>
              </w:rPr>
            </w:pPr>
            <w:r>
              <w:rPr>
                <w:sz w:val="20"/>
              </w:rPr>
              <w:t>All state government finance data from the Census Bureau are in 1,000s of current dollars.</w:t>
            </w:r>
          </w:p>
        </w:tc>
        <w:tc>
          <w:tcPr>
            <w:tcW w:w="6482" w:type="dxa"/>
          </w:tcPr>
          <w:p w14:paraId="66B51B6B" w14:textId="77777777" w:rsidR="0046798B" w:rsidRDefault="0046798B">
            <w:pPr>
              <w:pStyle w:val="TableParagraph"/>
              <w:spacing w:before="8"/>
              <w:rPr>
                <w:sz w:val="23"/>
              </w:rPr>
            </w:pPr>
          </w:p>
          <w:p w14:paraId="4CE9C9C3" w14:textId="77777777" w:rsidR="0046798B" w:rsidRDefault="00903B5C">
            <w:pPr>
              <w:pStyle w:val="TableParagraph"/>
              <w:spacing w:before="1"/>
              <w:ind w:left="114" w:right="121"/>
              <w:rPr>
                <w:sz w:val="20"/>
              </w:rPr>
            </w:pPr>
            <w:r>
              <w:rPr>
                <w:sz w:val="20"/>
              </w:rPr>
              <w:t xml:space="preserve">United States Census Bureau: </w:t>
            </w:r>
            <w:hyperlink r:id="rId93">
              <w:r>
                <w:rPr>
                  <w:color w:val="0462C1"/>
                  <w:sz w:val="20"/>
                  <w:u w:val="single" w:color="0462C1"/>
                </w:rPr>
                <w:t>https://factfinder.census.gov/faces/nav/jsf/pages/programs.xhtml?program=as</w:t>
              </w:r>
            </w:hyperlink>
            <w:r>
              <w:rPr>
                <w:color w:val="0462C1"/>
                <w:sz w:val="20"/>
              </w:rPr>
              <w:t xml:space="preserve"> </w:t>
            </w:r>
            <w:hyperlink r:id="rId94">
              <w:r>
                <w:rPr>
                  <w:color w:val="0462C1"/>
                  <w:sz w:val="20"/>
                  <w:u w:val="single" w:color="0462C1"/>
                </w:rPr>
                <w:t>gov</w:t>
              </w:r>
            </w:hyperlink>
          </w:p>
        </w:tc>
      </w:tr>
      <w:tr w:rsidR="0046798B" w14:paraId="423862EE" w14:textId="77777777">
        <w:trPr>
          <w:trHeight w:val="1005"/>
        </w:trPr>
        <w:tc>
          <w:tcPr>
            <w:tcW w:w="1711" w:type="dxa"/>
          </w:tcPr>
          <w:p w14:paraId="2C9939AD" w14:textId="77777777" w:rsidR="0046798B" w:rsidRDefault="0046798B">
            <w:pPr>
              <w:pStyle w:val="TableParagraph"/>
            </w:pPr>
          </w:p>
          <w:p w14:paraId="0D46753F" w14:textId="77777777" w:rsidR="0046798B" w:rsidRDefault="00903B5C">
            <w:pPr>
              <w:pStyle w:val="TableParagraph"/>
              <w:spacing w:before="130"/>
              <w:ind w:left="115"/>
              <w:rPr>
                <w:b/>
                <w:sz w:val="20"/>
              </w:rPr>
            </w:pPr>
            <w:r>
              <w:rPr>
                <w:b/>
                <w:sz w:val="20"/>
              </w:rPr>
              <w:t>exp_education</w:t>
            </w:r>
          </w:p>
        </w:tc>
        <w:tc>
          <w:tcPr>
            <w:tcW w:w="1596" w:type="dxa"/>
          </w:tcPr>
          <w:p w14:paraId="630CABBB" w14:textId="77777777" w:rsidR="0046798B" w:rsidRDefault="00903B5C">
            <w:pPr>
              <w:pStyle w:val="TableParagraph"/>
              <w:spacing w:before="38"/>
              <w:ind w:left="114" w:right="207"/>
              <w:rPr>
                <w:sz w:val="20"/>
              </w:rPr>
            </w:pPr>
            <w:r>
              <w:rPr>
                <w:sz w:val="20"/>
              </w:rPr>
              <w:t>General expenditure, by function: education</w:t>
            </w:r>
          </w:p>
        </w:tc>
        <w:tc>
          <w:tcPr>
            <w:tcW w:w="1285" w:type="dxa"/>
          </w:tcPr>
          <w:p w14:paraId="78250776" w14:textId="77777777" w:rsidR="0046798B" w:rsidRDefault="0046798B">
            <w:pPr>
              <w:pStyle w:val="TableParagraph"/>
            </w:pPr>
          </w:p>
          <w:p w14:paraId="3F9C349A" w14:textId="77777777" w:rsidR="0046798B" w:rsidRDefault="00903B5C">
            <w:pPr>
              <w:pStyle w:val="TableParagraph"/>
              <w:spacing w:before="130"/>
              <w:ind w:left="114"/>
              <w:rPr>
                <w:sz w:val="20"/>
              </w:rPr>
            </w:pPr>
            <w:r>
              <w:rPr>
                <w:sz w:val="20"/>
              </w:rPr>
              <w:t>1942–2016</w:t>
            </w:r>
          </w:p>
        </w:tc>
        <w:tc>
          <w:tcPr>
            <w:tcW w:w="3421" w:type="dxa"/>
          </w:tcPr>
          <w:p w14:paraId="669ABFCD" w14:textId="77777777" w:rsidR="0046798B" w:rsidRDefault="00903B5C">
            <w:pPr>
              <w:pStyle w:val="TableParagraph"/>
              <w:spacing w:before="153"/>
              <w:ind w:left="114" w:right="139"/>
              <w:rPr>
                <w:sz w:val="20"/>
              </w:rPr>
            </w:pPr>
            <w:r>
              <w:rPr>
                <w:sz w:val="20"/>
              </w:rPr>
              <w:t>All state government finance data from the Census Bureau are in 1,000s of current dollars.</w:t>
            </w:r>
          </w:p>
        </w:tc>
        <w:tc>
          <w:tcPr>
            <w:tcW w:w="6482" w:type="dxa"/>
          </w:tcPr>
          <w:p w14:paraId="59BCFCBA" w14:textId="77777777" w:rsidR="0046798B" w:rsidRDefault="00903B5C">
            <w:pPr>
              <w:pStyle w:val="TableParagraph"/>
              <w:spacing w:before="153"/>
              <w:ind w:left="114"/>
              <w:rPr>
                <w:sz w:val="20"/>
              </w:rPr>
            </w:pPr>
            <w:r>
              <w:rPr>
                <w:sz w:val="20"/>
              </w:rPr>
              <w:t xml:space="preserve">United States Census Bureau: </w:t>
            </w:r>
            <w:hyperlink r:id="rId95">
              <w:r>
                <w:rPr>
                  <w:color w:val="0462C1"/>
                  <w:sz w:val="20"/>
                  <w:u w:val="single" w:color="0462C1"/>
                </w:rPr>
                <w:t>https://factfinder.census.gov/faces/nav/jsf/pages/programs.xhtml?program=as</w:t>
              </w:r>
            </w:hyperlink>
            <w:r>
              <w:rPr>
                <w:color w:val="0462C1"/>
                <w:sz w:val="20"/>
              </w:rPr>
              <w:t xml:space="preserve"> </w:t>
            </w:r>
            <w:hyperlink r:id="rId96">
              <w:r>
                <w:rPr>
                  <w:color w:val="0462C1"/>
                  <w:sz w:val="20"/>
                  <w:u w:val="single" w:color="0462C1"/>
                </w:rPr>
                <w:t>gov</w:t>
              </w:r>
            </w:hyperlink>
          </w:p>
        </w:tc>
      </w:tr>
      <w:tr w:rsidR="0046798B" w14:paraId="4D6A7948" w14:textId="77777777">
        <w:trPr>
          <w:trHeight w:val="1465"/>
        </w:trPr>
        <w:tc>
          <w:tcPr>
            <w:tcW w:w="1711" w:type="dxa"/>
          </w:tcPr>
          <w:p w14:paraId="08382BDE" w14:textId="77777777" w:rsidR="0046798B" w:rsidRDefault="0046798B">
            <w:pPr>
              <w:pStyle w:val="TableParagraph"/>
            </w:pPr>
          </w:p>
          <w:p w14:paraId="6DF78A3C" w14:textId="77777777" w:rsidR="0046798B" w:rsidRDefault="0046798B">
            <w:pPr>
              <w:pStyle w:val="TableParagraph"/>
              <w:spacing w:before="3"/>
              <w:rPr>
                <w:sz w:val="21"/>
              </w:rPr>
            </w:pPr>
          </w:p>
          <w:p w14:paraId="4C7F0E8A" w14:textId="77777777" w:rsidR="0046798B" w:rsidRDefault="00903B5C">
            <w:pPr>
              <w:pStyle w:val="TableParagraph"/>
              <w:spacing w:before="1"/>
              <w:ind w:left="115"/>
              <w:rPr>
                <w:b/>
                <w:sz w:val="20"/>
              </w:rPr>
            </w:pPr>
            <w:r>
              <w:rPr>
                <w:b/>
                <w:sz w:val="20"/>
              </w:rPr>
              <w:t>exp_general_inte rgovernmental</w:t>
            </w:r>
          </w:p>
        </w:tc>
        <w:tc>
          <w:tcPr>
            <w:tcW w:w="1596" w:type="dxa"/>
          </w:tcPr>
          <w:p w14:paraId="415DAFF4" w14:textId="77777777" w:rsidR="0046798B" w:rsidRDefault="00903B5C">
            <w:pPr>
              <w:pStyle w:val="TableParagraph"/>
              <w:spacing w:before="38"/>
              <w:ind w:left="114" w:right="130"/>
              <w:rPr>
                <w:sz w:val="20"/>
              </w:rPr>
            </w:pPr>
            <w:r>
              <w:rPr>
                <w:sz w:val="20"/>
              </w:rPr>
              <w:t>General expenditure, by function: intergovernment al general expenditure</w:t>
            </w:r>
          </w:p>
        </w:tc>
        <w:tc>
          <w:tcPr>
            <w:tcW w:w="1285" w:type="dxa"/>
          </w:tcPr>
          <w:p w14:paraId="42340C17" w14:textId="77777777" w:rsidR="0046798B" w:rsidRDefault="0046798B">
            <w:pPr>
              <w:pStyle w:val="TableParagraph"/>
            </w:pPr>
          </w:p>
          <w:p w14:paraId="61C0B023" w14:textId="77777777" w:rsidR="0046798B" w:rsidRDefault="0046798B">
            <w:pPr>
              <w:pStyle w:val="TableParagraph"/>
              <w:spacing w:before="3"/>
              <w:rPr>
                <w:sz w:val="31"/>
              </w:rPr>
            </w:pPr>
          </w:p>
          <w:p w14:paraId="38320A21" w14:textId="77777777" w:rsidR="0046798B" w:rsidRDefault="00903B5C">
            <w:pPr>
              <w:pStyle w:val="TableParagraph"/>
              <w:spacing w:before="1"/>
              <w:ind w:left="114"/>
              <w:rPr>
                <w:sz w:val="20"/>
              </w:rPr>
            </w:pPr>
            <w:r>
              <w:rPr>
                <w:sz w:val="20"/>
              </w:rPr>
              <w:t>2012–2016</w:t>
            </w:r>
          </w:p>
        </w:tc>
        <w:tc>
          <w:tcPr>
            <w:tcW w:w="3421" w:type="dxa"/>
          </w:tcPr>
          <w:p w14:paraId="72BB5E8A" w14:textId="77777777" w:rsidR="0046798B" w:rsidRDefault="0046798B">
            <w:pPr>
              <w:pStyle w:val="TableParagraph"/>
            </w:pPr>
          </w:p>
          <w:p w14:paraId="1926CA13" w14:textId="77777777" w:rsidR="0046798B" w:rsidRDefault="00903B5C">
            <w:pPr>
              <w:pStyle w:val="TableParagraph"/>
              <w:spacing w:before="130"/>
              <w:ind w:left="114" w:right="139"/>
              <w:rPr>
                <w:sz w:val="20"/>
              </w:rPr>
            </w:pPr>
            <w:r>
              <w:rPr>
                <w:sz w:val="20"/>
              </w:rPr>
              <w:t>All state government finance data from the Census Bureau are in 1,000s of current dollars.</w:t>
            </w:r>
          </w:p>
        </w:tc>
        <w:tc>
          <w:tcPr>
            <w:tcW w:w="6482" w:type="dxa"/>
          </w:tcPr>
          <w:p w14:paraId="0022EAC9" w14:textId="77777777" w:rsidR="0046798B" w:rsidRDefault="0046798B">
            <w:pPr>
              <w:pStyle w:val="TableParagraph"/>
            </w:pPr>
          </w:p>
          <w:p w14:paraId="5695D71E" w14:textId="77777777" w:rsidR="0046798B" w:rsidRDefault="00903B5C">
            <w:pPr>
              <w:pStyle w:val="TableParagraph"/>
              <w:spacing w:before="130"/>
              <w:ind w:left="114"/>
              <w:rPr>
                <w:sz w:val="20"/>
              </w:rPr>
            </w:pPr>
            <w:r>
              <w:rPr>
                <w:sz w:val="20"/>
              </w:rPr>
              <w:t xml:space="preserve">United States Census Bureau: </w:t>
            </w:r>
            <w:hyperlink r:id="rId97">
              <w:r>
                <w:rPr>
                  <w:color w:val="0462C1"/>
                  <w:sz w:val="20"/>
                  <w:u w:val="single" w:color="0462C1"/>
                </w:rPr>
                <w:t>https://factfinder.census.gov/faces/nav/jsf/pages/programs.xhtml?program=as</w:t>
              </w:r>
            </w:hyperlink>
            <w:r>
              <w:rPr>
                <w:color w:val="0462C1"/>
                <w:sz w:val="20"/>
              </w:rPr>
              <w:t xml:space="preserve"> </w:t>
            </w:r>
            <w:hyperlink r:id="rId98">
              <w:r>
                <w:rPr>
                  <w:color w:val="0462C1"/>
                  <w:sz w:val="20"/>
                  <w:u w:val="single" w:color="0462C1"/>
                </w:rPr>
                <w:t>gov</w:t>
              </w:r>
            </w:hyperlink>
          </w:p>
        </w:tc>
      </w:tr>
      <w:tr w:rsidR="0046798B" w14:paraId="7046477A" w14:textId="77777777">
        <w:trPr>
          <w:trHeight w:val="1235"/>
        </w:trPr>
        <w:tc>
          <w:tcPr>
            <w:tcW w:w="1711" w:type="dxa"/>
          </w:tcPr>
          <w:p w14:paraId="08BBB027" w14:textId="77777777" w:rsidR="0046798B" w:rsidRDefault="0046798B">
            <w:pPr>
              <w:pStyle w:val="TableParagraph"/>
              <w:spacing w:before="3"/>
              <w:rPr>
                <w:sz w:val="23"/>
              </w:rPr>
            </w:pPr>
          </w:p>
          <w:p w14:paraId="23617859" w14:textId="77777777" w:rsidR="0046798B" w:rsidRDefault="00903B5C">
            <w:pPr>
              <w:pStyle w:val="TableParagraph"/>
              <w:ind w:left="115" w:right="158"/>
              <w:jc w:val="both"/>
              <w:rPr>
                <w:b/>
                <w:sz w:val="20"/>
              </w:rPr>
            </w:pPr>
            <w:r>
              <w:rPr>
                <w:b/>
                <w:sz w:val="20"/>
              </w:rPr>
              <w:t>exp_government al_administratio n</w:t>
            </w:r>
          </w:p>
        </w:tc>
        <w:tc>
          <w:tcPr>
            <w:tcW w:w="1596" w:type="dxa"/>
          </w:tcPr>
          <w:p w14:paraId="6D52C04D" w14:textId="77777777" w:rsidR="0046798B" w:rsidRDefault="00903B5C">
            <w:pPr>
              <w:pStyle w:val="TableParagraph"/>
              <w:spacing w:before="38"/>
              <w:ind w:left="114" w:right="207"/>
              <w:rPr>
                <w:sz w:val="20"/>
              </w:rPr>
            </w:pPr>
            <w:r>
              <w:rPr>
                <w:sz w:val="20"/>
              </w:rPr>
              <w:t>General expenditure, by function: governmental administration</w:t>
            </w:r>
          </w:p>
        </w:tc>
        <w:tc>
          <w:tcPr>
            <w:tcW w:w="1285" w:type="dxa"/>
          </w:tcPr>
          <w:p w14:paraId="1AA83F3D" w14:textId="77777777" w:rsidR="0046798B" w:rsidRDefault="0046798B">
            <w:pPr>
              <w:pStyle w:val="TableParagraph"/>
            </w:pPr>
          </w:p>
          <w:p w14:paraId="438EC4FA" w14:textId="77777777" w:rsidR="0046798B" w:rsidRDefault="0046798B">
            <w:pPr>
              <w:pStyle w:val="TableParagraph"/>
              <w:spacing w:before="3"/>
              <w:rPr>
                <w:sz w:val="21"/>
              </w:rPr>
            </w:pPr>
          </w:p>
          <w:p w14:paraId="57277F0A" w14:textId="77777777" w:rsidR="0046798B" w:rsidRDefault="00903B5C">
            <w:pPr>
              <w:pStyle w:val="TableParagraph"/>
              <w:spacing w:before="1"/>
              <w:ind w:left="114"/>
              <w:rPr>
                <w:sz w:val="20"/>
              </w:rPr>
            </w:pPr>
            <w:r>
              <w:rPr>
                <w:sz w:val="20"/>
              </w:rPr>
              <w:t>1942–2016</w:t>
            </w:r>
          </w:p>
        </w:tc>
        <w:tc>
          <w:tcPr>
            <w:tcW w:w="3421" w:type="dxa"/>
          </w:tcPr>
          <w:p w14:paraId="214182C5" w14:textId="77777777" w:rsidR="0046798B" w:rsidRDefault="0046798B">
            <w:pPr>
              <w:pStyle w:val="TableParagraph"/>
              <w:spacing w:before="3"/>
              <w:rPr>
                <w:sz w:val="23"/>
              </w:rPr>
            </w:pPr>
          </w:p>
          <w:p w14:paraId="694274C3" w14:textId="77777777" w:rsidR="0046798B" w:rsidRDefault="00903B5C">
            <w:pPr>
              <w:pStyle w:val="TableParagraph"/>
              <w:ind w:left="114" w:right="139"/>
              <w:rPr>
                <w:sz w:val="20"/>
              </w:rPr>
            </w:pPr>
            <w:r>
              <w:rPr>
                <w:sz w:val="20"/>
              </w:rPr>
              <w:t>All state government finance data from the Census Bureau are in 1,000s of current dollars.</w:t>
            </w:r>
          </w:p>
        </w:tc>
        <w:tc>
          <w:tcPr>
            <w:tcW w:w="6482" w:type="dxa"/>
          </w:tcPr>
          <w:p w14:paraId="35865BB2" w14:textId="77777777" w:rsidR="0046798B" w:rsidRDefault="0046798B">
            <w:pPr>
              <w:pStyle w:val="TableParagraph"/>
              <w:spacing w:before="3"/>
              <w:rPr>
                <w:sz w:val="23"/>
              </w:rPr>
            </w:pPr>
          </w:p>
          <w:p w14:paraId="7E7882FE" w14:textId="77777777" w:rsidR="0046798B" w:rsidRDefault="00903B5C">
            <w:pPr>
              <w:pStyle w:val="TableParagraph"/>
              <w:ind w:left="114" w:right="121"/>
              <w:rPr>
                <w:sz w:val="20"/>
              </w:rPr>
            </w:pPr>
            <w:r>
              <w:rPr>
                <w:sz w:val="20"/>
              </w:rPr>
              <w:t xml:space="preserve">United States Census Bureau: </w:t>
            </w:r>
            <w:hyperlink r:id="rId99">
              <w:r>
                <w:rPr>
                  <w:color w:val="0462C1"/>
                  <w:sz w:val="20"/>
                  <w:u w:val="single" w:color="0462C1"/>
                </w:rPr>
                <w:t>https://factfinder.census.gov/faces/nav/jsf/pages/programs.xhtml?program=as</w:t>
              </w:r>
            </w:hyperlink>
            <w:r>
              <w:rPr>
                <w:color w:val="0462C1"/>
                <w:sz w:val="20"/>
              </w:rPr>
              <w:t xml:space="preserve"> </w:t>
            </w:r>
            <w:hyperlink r:id="rId100">
              <w:r>
                <w:rPr>
                  <w:color w:val="0462C1"/>
                  <w:sz w:val="20"/>
                  <w:u w:val="single" w:color="0462C1"/>
                </w:rPr>
                <w:t>gov</w:t>
              </w:r>
            </w:hyperlink>
          </w:p>
        </w:tc>
      </w:tr>
      <w:tr w:rsidR="0046798B" w14:paraId="6CB3CA68" w14:textId="77777777">
        <w:trPr>
          <w:trHeight w:val="775"/>
        </w:trPr>
        <w:tc>
          <w:tcPr>
            <w:tcW w:w="1711" w:type="dxa"/>
          </w:tcPr>
          <w:p w14:paraId="5331013D" w14:textId="77777777" w:rsidR="0046798B" w:rsidRDefault="0046798B">
            <w:pPr>
              <w:pStyle w:val="TableParagraph"/>
              <w:spacing w:before="8"/>
              <w:rPr>
                <w:sz w:val="23"/>
              </w:rPr>
            </w:pPr>
          </w:p>
          <w:p w14:paraId="1A096CFC" w14:textId="77777777" w:rsidR="0046798B" w:rsidRDefault="00903B5C">
            <w:pPr>
              <w:pStyle w:val="TableParagraph"/>
              <w:spacing w:before="1"/>
              <w:ind w:left="115"/>
              <w:rPr>
                <w:b/>
                <w:sz w:val="20"/>
              </w:rPr>
            </w:pPr>
            <w:r>
              <w:rPr>
                <w:b/>
                <w:sz w:val="20"/>
              </w:rPr>
              <w:t>exp_health</w:t>
            </w:r>
          </w:p>
        </w:tc>
        <w:tc>
          <w:tcPr>
            <w:tcW w:w="1596" w:type="dxa"/>
          </w:tcPr>
          <w:p w14:paraId="76A6C1A1" w14:textId="77777777" w:rsidR="0046798B" w:rsidRDefault="00903B5C">
            <w:pPr>
              <w:pStyle w:val="TableParagraph"/>
              <w:spacing w:before="43"/>
              <w:ind w:left="114" w:right="191"/>
              <w:rPr>
                <w:sz w:val="20"/>
              </w:rPr>
            </w:pPr>
            <w:r>
              <w:rPr>
                <w:sz w:val="20"/>
              </w:rPr>
              <w:t>General expenditure, by function: health</w:t>
            </w:r>
          </w:p>
        </w:tc>
        <w:tc>
          <w:tcPr>
            <w:tcW w:w="1285" w:type="dxa"/>
          </w:tcPr>
          <w:p w14:paraId="765F45A1" w14:textId="77777777" w:rsidR="0046798B" w:rsidRDefault="0046798B">
            <w:pPr>
              <w:pStyle w:val="TableParagraph"/>
              <w:spacing w:before="8"/>
              <w:rPr>
                <w:sz w:val="23"/>
              </w:rPr>
            </w:pPr>
          </w:p>
          <w:p w14:paraId="3FFF3357" w14:textId="77777777" w:rsidR="0046798B" w:rsidRDefault="00903B5C">
            <w:pPr>
              <w:pStyle w:val="TableParagraph"/>
              <w:spacing w:before="1"/>
              <w:ind w:left="114"/>
              <w:rPr>
                <w:sz w:val="20"/>
              </w:rPr>
            </w:pPr>
            <w:r>
              <w:rPr>
                <w:sz w:val="20"/>
              </w:rPr>
              <w:t>1942–2016</w:t>
            </w:r>
          </w:p>
        </w:tc>
        <w:tc>
          <w:tcPr>
            <w:tcW w:w="3421" w:type="dxa"/>
          </w:tcPr>
          <w:p w14:paraId="3C616234" w14:textId="77777777" w:rsidR="0046798B" w:rsidRDefault="00903B5C">
            <w:pPr>
              <w:pStyle w:val="TableParagraph"/>
              <w:spacing w:before="43"/>
              <w:ind w:left="114" w:right="139"/>
              <w:rPr>
                <w:sz w:val="20"/>
              </w:rPr>
            </w:pPr>
            <w:r>
              <w:rPr>
                <w:sz w:val="20"/>
              </w:rPr>
              <w:t>All state government finance data from the Census Bureau are in 1,000s of current dollars.</w:t>
            </w:r>
          </w:p>
        </w:tc>
        <w:tc>
          <w:tcPr>
            <w:tcW w:w="6482" w:type="dxa"/>
          </w:tcPr>
          <w:p w14:paraId="7F01374F" w14:textId="77777777" w:rsidR="0046798B" w:rsidRDefault="00903B5C">
            <w:pPr>
              <w:pStyle w:val="TableParagraph"/>
              <w:spacing w:before="43"/>
              <w:ind w:left="114"/>
              <w:rPr>
                <w:sz w:val="20"/>
              </w:rPr>
            </w:pPr>
            <w:r>
              <w:rPr>
                <w:sz w:val="20"/>
              </w:rPr>
              <w:t xml:space="preserve">United States Census Bureau: </w:t>
            </w:r>
            <w:hyperlink r:id="rId101">
              <w:r>
                <w:rPr>
                  <w:color w:val="0462C1"/>
                  <w:sz w:val="20"/>
                  <w:u w:val="single" w:color="0462C1"/>
                </w:rPr>
                <w:t>https://factfinder.census.gov/faces/nav/jsf/pages/programs.xhtml?program=as</w:t>
              </w:r>
            </w:hyperlink>
            <w:r>
              <w:rPr>
                <w:color w:val="0462C1"/>
                <w:sz w:val="20"/>
              </w:rPr>
              <w:t xml:space="preserve"> </w:t>
            </w:r>
            <w:hyperlink r:id="rId102">
              <w:r>
                <w:rPr>
                  <w:color w:val="0462C1"/>
                  <w:sz w:val="20"/>
                  <w:u w:val="single" w:color="0462C1"/>
                </w:rPr>
                <w:t>gov</w:t>
              </w:r>
            </w:hyperlink>
          </w:p>
        </w:tc>
      </w:tr>
    </w:tbl>
    <w:p w14:paraId="4868E999" w14:textId="77777777" w:rsidR="0046798B" w:rsidRDefault="0046798B">
      <w:pPr>
        <w:rPr>
          <w:sz w:val="20"/>
        </w:rPr>
        <w:sectPr w:rsidR="0046798B">
          <w:pgSz w:w="15840" w:h="12240" w:orient="landscape"/>
          <w:pgMar w:top="1220" w:right="300" w:bottom="980" w:left="820" w:header="730" w:footer="787" w:gutter="0"/>
          <w:cols w:space="720"/>
        </w:sectPr>
      </w:pPr>
    </w:p>
    <w:p w14:paraId="7BD6691F"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6252FD4" w14:textId="77777777">
        <w:trPr>
          <w:trHeight w:val="1005"/>
        </w:trPr>
        <w:tc>
          <w:tcPr>
            <w:tcW w:w="1711" w:type="dxa"/>
          </w:tcPr>
          <w:p w14:paraId="6B8BC298" w14:textId="77777777" w:rsidR="0046798B" w:rsidRDefault="0046798B">
            <w:pPr>
              <w:pStyle w:val="TableParagraph"/>
            </w:pPr>
          </w:p>
          <w:p w14:paraId="6BB536A1" w14:textId="77777777" w:rsidR="0046798B" w:rsidRDefault="00903B5C">
            <w:pPr>
              <w:pStyle w:val="TableParagraph"/>
              <w:spacing w:before="135"/>
              <w:ind w:left="115"/>
              <w:rPr>
                <w:b/>
                <w:sz w:val="20"/>
              </w:rPr>
            </w:pPr>
            <w:r>
              <w:rPr>
                <w:b/>
                <w:sz w:val="20"/>
              </w:rPr>
              <w:t>exp_highways</w:t>
            </w:r>
          </w:p>
        </w:tc>
        <w:tc>
          <w:tcPr>
            <w:tcW w:w="1596" w:type="dxa"/>
          </w:tcPr>
          <w:p w14:paraId="21FDB09B" w14:textId="77777777" w:rsidR="0046798B" w:rsidRDefault="00903B5C">
            <w:pPr>
              <w:pStyle w:val="TableParagraph"/>
              <w:spacing w:before="43"/>
              <w:ind w:left="114" w:right="207"/>
              <w:rPr>
                <w:sz w:val="20"/>
              </w:rPr>
            </w:pPr>
            <w:r>
              <w:rPr>
                <w:sz w:val="20"/>
              </w:rPr>
              <w:t>General expenditure, by function: highways</w:t>
            </w:r>
          </w:p>
        </w:tc>
        <w:tc>
          <w:tcPr>
            <w:tcW w:w="1285" w:type="dxa"/>
          </w:tcPr>
          <w:p w14:paraId="1C6CF65D" w14:textId="77777777" w:rsidR="0046798B" w:rsidRDefault="0046798B">
            <w:pPr>
              <w:pStyle w:val="TableParagraph"/>
            </w:pPr>
          </w:p>
          <w:p w14:paraId="1B340F46" w14:textId="77777777" w:rsidR="0046798B" w:rsidRDefault="00903B5C">
            <w:pPr>
              <w:pStyle w:val="TableParagraph"/>
              <w:spacing w:before="135"/>
              <w:ind w:left="114"/>
              <w:rPr>
                <w:sz w:val="20"/>
              </w:rPr>
            </w:pPr>
            <w:r>
              <w:rPr>
                <w:sz w:val="20"/>
              </w:rPr>
              <w:t>1942–2016</w:t>
            </w:r>
          </w:p>
        </w:tc>
        <w:tc>
          <w:tcPr>
            <w:tcW w:w="3421" w:type="dxa"/>
          </w:tcPr>
          <w:p w14:paraId="373AC0D4" w14:textId="77777777" w:rsidR="0046798B" w:rsidRDefault="00903B5C">
            <w:pPr>
              <w:pStyle w:val="TableParagraph"/>
              <w:spacing w:before="158"/>
              <w:ind w:left="114" w:right="139"/>
              <w:rPr>
                <w:sz w:val="20"/>
              </w:rPr>
            </w:pPr>
            <w:r>
              <w:rPr>
                <w:sz w:val="20"/>
              </w:rPr>
              <w:t>All state government finance data from the Census Bureau are in 1,000s of current dollars.</w:t>
            </w:r>
          </w:p>
        </w:tc>
        <w:tc>
          <w:tcPr>
            <w:tcW w:w="6482" w:type="dxa"/>
          </w:tcPr>
          <w:p w14:paraId="64045B08" w14:textId="77777777" w:rsidR="0046798B" w:rsidRDefault="00903B5C">
            <w:pPr>
              <w:pStyle w:val="TableParagraph"/>
              <w:spacing w:before="158"/>
              <w:ind w:left="114" w:right="121"/>
              <w:rPr>
                <w:sz w:val="20"/>
              </w:rPr>
            </w:pPr>
            <w:r>
              <w:rPr>
                <w:sz w:val="20"/>
              </w:rPr>
              <w:t xml:space="preserve">United States Census Bureau: </w:t>
            </w:r>
            <w:hyperlink r:id="rId103">
              <w:r>
                <w:rPr>
                  <w:color w:val="0462C1"/>
                  <w:sz w:val="20"/>
                  <w:u w:val="single" w:color="0462C1"/>
                </w:rPr>
                <w:t>https://factfinder.census.gov/faces/nav/jsf/pages/programs.xhtml?program=as</w:t>
              </w:r>
            </w:hyperlink>
            <w:r>
              <w:rPr>
                <w:color w:val="0462C1"/>
                <w:sz w:val="20"/>
              </w:rPr>
              <w:t xml:space="preserve"> </w:t>
            </w:r>
            <w:hyperlink r:id="rId104">
              <w:r>
                <w:rPr>
                  <w:color w:val="0462C1"/>
                  <w:sz w:val="20"/>
                  <w:u w:val="single" w:color="0462C1"/>
                </w:rPr>
                <w:t>gov</w:t>
              </w:r>
            </w:hyperlink>
          </w:p>
        </w:tc>
      </w:tr>
      <w:tr w:rsidR="0046798B" w14:paraId="7271F15C" w14:textId="77777777">
        <w:trPr>
          <w:trHeight w:val="1005"/>
        </w:trPr>
        <w:tc>
          <w:tcPr>
            <w:tcW w:w="1711" w:type="dxa"/>
          </w:tcPr>
          <w:p w14:paraId="2BA89D67" w14:textId="77777777" w:rsidR="0046798B" w:rsidRDefault="0046798B">
            <w:pPr>
              <w:pStyle w:val="TableParagraph"/>
            </w:pPr>
          </w:p>
          <w:p w14:paraId="7EAB3388" w14:textId="77777777" w:rsidR="0046798B" w:rsidRDefault="00903B5C">
            <w:pPr>
              <w:pStyle w:val="TableParagraph"/>
              <w:spacing w:before="135"/>
              <w:ind w:left="115"/>
              <w:rPr>
                <w:b/>
                <w:sz w:val="20"/>
              </w:rPr>
            </w:pPr>
            <w:r>
              <w:rPr>
                <w:b/>
                <w:sz w:val="20"/>
              </w:rPr>
              <w:t>exp_hospitals</w:t>
            </w:r>
          </w:p>
        </w:tc>
        <w:tc>
          <w:tcPr>
            <w:tcW w:w="1596" w:type="dxa"/>
          </w:tcPr>
          <w:p w14:paraId="08E4F4AD" w14:textId="77777777" w:rsidR="0046798B" w:rsidRDefault="00903B5C">
            <w:pPr>
              <w:pStyle w:val="TableParagraph"/>
              <w:spacing w:before="43"/>
              <w:ind w:left="114" w:right="207"/>
              <w:rPr>
                <w:sz w:val="20"/>
              </w:rPr>
            </w:pPr>
            <w:r>
              <w:rPr>
                <w:sz w:val="20"/>
              </w:rPr>
              <w:t>General expenditure, by function: hospitals</w:t>
            </w:r>
          </w:p>
        </w:tc>
        <w:tc>
          <w:tcPr>
            <w:tcW w:w="1285" w:type="dxa"/>
          </w:tcPr>
          <w:p w14:paraId="528B4585" w14:textId="77777777" w:rsidR="0046798B" w:rsidRDefault="0046798B">
            <w:pPr>
              <w:pStyle w:val="TableParagraph"/>
            </w:pPr>
          </w:p>
          <w:p w14:paraId="43F6F3C1" w14:textId="77777777" w:rsidR="0046798B" w:rsidRDefault="00903B5C">
            <w:pPr>
              <w:pStyle w:val="TableParagraph"/>
              <w:spacing w:before="135"/>
              <w:ind w:left="114"/>
              <w:rPr>
                <w:sz w:val="20"/>
              </w:rPr>
            </w:pPr>
            <w:r>
              <w:rPr>
                <w:sz w:val="20"/>
              </w:rPr>
              <w:t>1942–2016</w:t>
            </w:r>
          </w:p>
        </w:tc>
        <w:tc>
          <w:tcPr>
            <w:tcW w:w="3421" w:type="dxa"/>
          </w:tcPr>
          <w:p w14:paraId="73F2174A" w14:textId="77777777" w:rsidR="0046798B" w:rsidRDefault="00903B5C">
            <w:pPr>
              <w:pStyle w:val="TableParagraph"/>
              <w:spacing w:before="158"/>
              <w:ind w:left="114" w:right="139"/>
              <w:rPr>
                <w:sz w:val="20"/>
              </w:rPr>
            </w:pPr>
            <w:r>
              <w:rPr>
                <w:sz w:val="20"/>
              </w:rPr>
              <w:t>All state government finance data from the Census Bureau are in 1,000s of current dollars.</w:t>
            </w:r>
          </w:p>
        </w:tc>
        <w:tc>
          <w:tcPr>
            <w:tcW w:w="6482" w:type="dxa"/>
          </w:tcPr>
          <w:p w14:paraId="29746C78" w14:textId="77777777" w:rsidR="0046798B" w:rsidRDefault="00903B5C">
            <w:pPr>
              <w:pStyle w:val="TableParagraph"/>
              <w:spacing w:before="158"/>
              <w:ind w:left="114"/>
              <w:rPr>
                <w:sz w:val="20"/>
              </w:rPr>
            </w:pPr>
            <w:r>
              <w:rPr>
                <w:sz w:val="20"/>
              </w:rPr>
              <w:t xml:space="preserve">United States Census Bureau: </w:t>
            </w:r>
            <w:hyperlink r:id="rId105">
              <w:r>
                <w:rPr>
                  <w:color w:val="0462C1"/>
                  <w:sz w:val="20"/>
                  <w:u w:val="single" w:color="0462C1"/>
                </w:rPr>
                <w:t>https://factfinder.census.gov/faces/nav/jsf/pages/programs.xhtml?program=as</w:t>
              </w:r>
            </w:hyperlink>
            <w:r>
              <w:rPr>
                <w:color w:val="0462C1"/>
                <w:sz w:val="20"/>
              </w:rPr>
              <w:t xml:space="preserve"> </w:t>
            </w:r>
            <w:hyperlink r:id="rId106">
              <w:r>
                <w:rPr>
                  <w:color w:val="0462C1"/>
                  <w:sz w:val="20"/>
                  <w:u w:val="single" w:color="0462C1"/>
                </w:rPr>
                <w:t>gov</w:t>
              </w:r>
            </w:hyperlink>
          </w:p>
        </w:tc>
      </w:tr>
      <w:tr w:rsidR="0046798B" w14:paraId="61EDB212" w14:textId="77777777">
        <w:trPr>
          <w:trHeight w:val="1010"/>
        </w:trPr>
        <w:tc>
          <w:tcPr>
            <w:tcW w:w="1711" w:type="dxa"/>
          </w:tcPr>
          <w:p w14:paraId="1845585A" w14:textId="77777777" w:rsidR="0046798B" w:rsidRDefault="0046798B">
            <w:pPr>
              <w:pStyle w:val="TableParagraph"/>
              <w:spacing w:before="8"/>
              <w:rPr>
                <w:sz w:val="23"/>
              </w:rPr>
            </w:pPr>
          </w:p>
          <w:p w14:paraId="375B26F9" w14:textId="77777777" w:rsidR="0046798B" w:rsidRDefault="00903B5C">
            <w:pPr>
              <w:pStyle w:val="TableParagraph"/>
              <w:spacing w:before="1"/>
              <w:ind w:left="115" w:right="110"/>
              <w:rPr>
                <w:b/>
                <w:sz w:val="20"/>
              </w:rPr>
            </w:pPr>
            <w:r>
              <w:rPr>
                <w:b/>
                <w:sz w:val="20"/>
              </w:rPr>
              <w:t>exp_interest_on_ general_debt</w:t>
            </w:r>
          </w:p>
        </w:tc>
        <w:tc>
          <w:tcPr>
            <w:tcW w:w="1596" w:type="dxa"/>
          </w:tcPr>
          <w:p w14:paraId="3EF2F3BA" w14:textId="77777777" w:rsidR="0046798B" w:rsidRDefault="00903B5C">
            <w:pPr>
              <w:pStyle w:val="TableParagraph"/>
              <w:spacing w:before="43"/>
              <w:ind w:left="114" w:right="91"/>
              <w:rPr>
                <w:sz w:val="20"/>
              </w:rPr>
            </w:pPr>
            <w:r>
              <w:rPr>
                <w:sz w:val="20"/>
              </w:rPr>
              <w:t>General expenditure, by function: interest on general debt</w:t>
            </w:r>
          </w:p>
        </w:tc>
        <w:tc>
          <w:tcPr>
            <w:tcW w:w="1285" w:type="dxa"/>
          </w:tcPr>
          <w:p w14:paraId="097CF52C" w14:textId="77777777" w:rsidR="0046798B" w:rsidRDefault="0046798B">
            <w:pPr>
              <w:pStyle w:val="TableParagraph"/>
            </w:pPr>
          </w:p>
          <w:p w14:paraId="19D66138" w14:textId="77777777" w:rsidR="0046798B" w:rsidRDefault="00903B5C">
            <w:pPr>
              <w:pStyle w:val="TableParagraph"/>
              <w:spacing w:before="135"/>
              <w:ind w:left="114"/>
              <w:rPr>
                <w:sz w:val="20"/>
              </w:rPr>
            </w:pPr>
            <w:r>
              <w:rPr>
                <w:sz w:val="20"/>
              </w:rPr>
              <w:t>1942–2016</w:t>
            </w:r>
          </w:p>
        </w:tc>
        <w:tc>
          <w:tcPr>
            <w:tcW w:w="3421" w:type="dxa"/>
          </w:tcPr>
          <w:p w14:paraId="505C58B7" w14:textId="77777777" w:rsidR="0046798B" w:rsidRDefault="00903B5C">
            <w:pPr>
              <w:pStyle w:val="TableParagraph"/>
              <w:spacing w:before="158"/>
              <w:ind w:left="114" w:right="139"/>
              <w:rPr>
                <w:sz w:val="20"/>
              </w:rPr>
            </w:pPr>
            <w:r>
              <w:rPr>
                <w:sz w:val="20"/>
              </w:rPr>
              <w:t>All state government finance data from the Census Bureau are in 1,000s of current dollars.</w:t>
            </w:r>
          </w:p>
        </w:tc>
        <w:tc>
          <w:tcPr>
            <w:tcW w:w="6482" w:type="dxa"/>
          </w:tcPr>
          <w:p w14:paraId="01C4473D" w14:textId="77777777" w:rsidR="0046798B" w:rsidRDefault="00903B5C">
            <w:pPr>
              <w:pStyle w:val="TableParagraph"/>
              <w:spacing w:before="158"/>
              <w:ind w:left="114" w:right="121"/>
              <w:rPr>
                <w:sz w:val="20"/>
              </w:rPr>
            </w:pPr>
            <w:r>
              <w:rPr>
                <w:sz w:val="20"/>
              </w:rPr>
              <w:t xml:space="preserve">United States Census Bureau: </w:t>
            </w:r>
            <w:hyperlink r:id="rId107">
              <w:r>
                <w:rPr>
                  <w:color w:val="0462C1"/>
                  <w:sz w:val="20"/>
                  <w:u w:val="single" w:color="0462C1"/>
                </w:rPr>
                <w:t>https://factfinder.census.gov/faces/nav/jsf/pages/programs.xhtml?program=as</w:t>
              </w:r>
            </w:hyperlink>
            <w:r>
              <w:rPr>
                <w:color w:val="0462C1"/>
                <w:sz w:val="20"/>
              </w:rPr>
              <w:t xml:space="preserve"> </w:t>
            </w:r>
            <w:hyperlink r:id="rId108">
              <w:r>
                <w:rPr>
                  <w:color w:val="0462C1"/>
                  <w:sz w:val="20"/>
                  <w:u w:val="single" w:color="0462C1"/>
                </w:rPr>
                <w:t>gov</w:t>
              </w:r>
            </w:hyperlink>
          </w:p>
        </w:tc>
      </w:tr>
      <w:tr w:rsidR="0046798B" w14:paraId="19734BE4" w14:textId="77777777">
        <w:trPr>
          <w:trHeight w:val="1005"/>
        </w:trPr>
        <w:tc>
          <w:tcPr>
            <w:tcW w:w="1711" w:type="dxa"/>
          </w:tcPr>
          <w:p w14:paraId="76D53E3F" w14:textId="77777777" w:rsidR="0046798B" w:rsidRDefault="0046798B">
            <w:pPr>
              <w:pStyle w:val="TableParagraph"/>
              <w:spacing w:before="3"/>
              <w:rPr>
                <w:sz w:val="23"/>
              </w:rPr>
            </w:pPr>
          </w:p>
          <w:p w14:paraId="6DC1E255" w14:textId="77777777" w:rsidR="0046798B" w:rsidRDefault="00903B5C">
            <w:pPr>
              <w:pStyle w:val="TableParagraph"/>
              <w:spacing w:before="1"/>
              <w:ind w:left="115" w:right="166"/>
              <w:rPr>
                <w:b/>
                <w:sz w:val="20"/>
              </w:rPr>
            </w:pPr>
            <w:r>
              <w:rPr>
                <w:b/>
                <w:sz w:val="20"/>
              </w:rPr>
              <w:t>exp_intergovern mental</w:t>
            </w:r>
          </w:p>
        </w:tc>
        <w:tc>
          <w:tcPr>
            <w:tcW w:w="1596" w:type="dxa"/>
          </w:tcPr>
          <w:p w14:paraId="4214C300" w14:textId="77777777" w:rsidR="0046798B" w:rsidRDefault="00903B5C">
            <w:pPr>
              <w:pStyle w:val="TableParagraph"/>
              <w:spacing w:before="38"/>
              <w:ind w:left="114" w:right="130"/>
              <w:rPr>
                <w:sz w:val="20"/>
              </w:rPr>
            </w:pPr>
            <w:r>
              <w:rPr>
                <w:sz w:val="20"/>
              </w:rPr>
              <w:t>Total expenditure: intergovernment al expenditure</w:t>
            </w:r>
          </w:p>
        </w:tc>
        <w:tc>
          <w:tcPr>
            <w:tcW w:w="1285" w:type="dxa"/>
          </w:tcPr>
          <w:p w14:paraId="3189B509" w14:textId="77777777" w:rsidR="0046798B" w:rsidRDefault="0046798B">
            <w:pPr>
              <w:pStyle w:val="TableParagraph"/>
            </w:pPr>
          </w:p>
          <w:p w14:paraId="0AF2F28A" w14:textId="77777777" w:rsidR="0046798B" w:rsidRDefault="00903B5C">
            <w:pPr>
              <w:pStyle w:val="TableParagraph"/>
              <w:spacing w:before="130"/>
              <w:ind w:left="114"/>
              <w:rPr>
                <w:sz w:val="20"/>
              </w:rPr>
            </w:pPr>
            <w:r>
              <w:rPr>
                <w:sz w:val="20"/>
              </w:rPr>
              <w:t>2012–2016</w:t>
            </w:r>
          </w:p>
        </w:tc>
        <w:tc>
          <w:tcPr>
            <w:tcW w:w="3421" w:type="dxa"/>
          </w:tcPr>
          <w:p w14:paraId="254F4A90" w14:textId="77777777" w:rsidR="0046798B" w:rsidRDefault="00903B5C">
            <w:pPr>
              <w:pStyle w:val="TableParagraph"/>
              <w:spacing w:before="153"/>
              <w:ind w:left="114" w:right="139"/>
              <w:rPr>
                <w:sz w:val="20"/>
              </w:rPr>
            </w:pPr>
            <w:r>
              <w:rPr>
                <w:sz w:val="20"/>
              </w:rPr>
              <w:t>All state government finance data from the Census Bureau are in 1,000s of current dollars.</w:t>
            </w:r>
          </w:p>
        </w:tc>
        <w:tc>
          <w:tcPr>
            <w:tcW w:w="6482" w:type="dxa"/>
          </w:tcPr>
          <w:p w14:paraId="6DEC3327" w14:textId="77777777" w:rsidR="0046798B" w:rsidRDefault="00903B5C">
            <w:pPr>
              <w:pStyle w:val="TableParagraph"/>
              <w:spacing w:before="153"/>
              <w:ind w:left="114"/>
              <w:rPr>
                <w:sz w:val="20"/>
              </w:rPr>
            </w:pPr>
            <w:r>
              <w:rPr>
                <w:sz w:val="20"/>
              </w:rPr>
              <w:t xml:space="preserve">United States Census Bureau: </w:t>
            </w:r>
            <w:hyperlink r:id="rId109">
              <w:r>
                <w:rPr>
                  <w:color w:val="0462C1"/>
                  <w:sz w:val="20"/>
                  <w:u w:val="single" w:color="0462C1"/>
                </w:rPr>
                <w:t>https://factfinder.census.gov/faces/nav/jsf/pages/programs.xhtml?program=as</w:t>
              </w:r>
            </w:hyperlink>
            <w:r>
              <w:rPr>
                <w:color w:val="0462C1"/>
                <w:sz w:val="20"/>
              </w:rPr>
              <w:t xml:space="preserve"> </w:t>
            </w:r>
            <w:hyperlink r:id="rId110">
              <w:r>
                <w:rPr>
                  <w:color w:val="0462C1"/>
                  <w:sz w:val="20"/>
                  <w:u w:val="single" w:color="0462C1"/>
                </w:rPr>
                <w:t>gov</w:t>
              </w:r>
            </w:hyperlink>
          </w:p>
        </w:tc>
      </w:tr>
      <w:tr w:rsidR="0046798B" w14:paraId="0322C4AB" w14:textId="77777777">
        <w:trPr>
          <w:trHeight w:val="1005"/>
        </w:trPr>
        <w:tc>
          <w:tcPr>
            <w:tcW w:w="1711" w:type="dxa"/>
          </w:tcPr>
          <w:p w14:paraId="773332E1" w14:textId="77777777" w:rsidR="0046798B" w:rsidRDefault="0046798B">
            <w:pPr>
              <w:pStyle w:val="TableParagraph"/>
              <w:spacing w:before="4"/>
              <w:rPr>
                <w:sz w:val="23"/>
              </w:rPr>
            </w:pPr>
          </w:p>
          <w:p w14:paraId="0233E5C4" w14:textId="77777777" w:rsidR="0046798B" w:rsidRDefault="00903B5C">
            <w:pPr>
              <w:pStyle w:val="TableParagraph"/>
              <w:ind w:left="115" w:right="177"/>
              <w:rPr>
                <w:b/>
                <w:sz w:val="20"/>
              </w:rPr>
            </w:pPr>
            <w:r>
              <w:rPr>
                <w:b/>
                <w:sz w:val="20"/>
              </w:rPr>
              <w:t>exp_natural_res ources</w:t>
            </w:r>
          </w:p>
        </w:tc>
        <w:tc>
          <w:tcPr>
            <w:tcW w:w="1596" w:type="dxa"/>
          </w:tcPr>
          <w:p w14:paraId="1C0245C8" w14:textId="77777777" w:rsidR="0046798B" w:rsidRDefault="00903B5C">
            <w:pPr>
              <w:pStyle w:val="TableParagraph"/>
              <w:spacing w:before="38"/>
              <w:ind w:left="114" w:right="124"/>
              <w:rPr>
                <w:sz w:val="20"/>
              </w:rPr>
            </w:pPr>
            <w:r>
              <w:rPr>
                <w:sz w:val="20"/>
              </w:rPr>
              <w:t>General expenditure, by function: natural resources</w:t>
            </w:r>
          </w:p>
        </w:tc>
        <w:tc>
          <w:tcPr>
            <w:tcW w:w="1285" w:type="dxa"/>
          </w:tcPr>
          <w:p w14:paraId="1E3BB844" w14:textId="77777777" w:rsidR="0046798B" w:rsidRDefault="0046798B">
            <w:pPr>
              <w:pStyle w:val="TableParagraph"/>
            </w:pPr>
          </w:p>
          <w:p w14:paraId="7418D26E" w14:textId="77777777" w:rsidR="0046798B" w:rsidRDefault="00903B5C">
            <w:pPr>
              <w:pStyle w:val="TableParagraph"/>
              <w:spacing w:before="130"/>
              <w:ind w:left="114"/>
              <w:rPr>
                <w:sz w:val="20"/>
              </w:rPr>
            </w:pPr>
            <w:r>
              <w:rPr>
                <w:sz w:val="20"/>
              </w:rPr>
              <w:t>1942–2016</w:t>
            </w:r>
          </w:p>
        </w:tc>
        <w:tc>
          <w:tcPr>
            <w:tcW w:w="3421" w:type="dxa"/>
          </w:tcPr>
          <w:p w14:paraId="774DBBF8" w14:textId="77777777" w:rsidR="0046798B" w:rsidRDefault="00903B5C">
            <w:pPr>
              <w:pStyle w:val="TableParagraph"/>
              <w:spacing w:before="153"/>
              <w:ind w:left="114" w:right="139"/>
              <w:rPr>
                <w:sz w:val="20"/>
              </w:rPr>
            </w:pPr>
            <w:r>
              <w:rPr>
                <w:sz w:val="20"/>
              </w:rPr>
              <w:t>All state government finance data from the Census Bureau are in 1,000s of current dollars.</w:t>
            </w:r>
          </w:p>
        </w:tc>
        <w:tc>
          <w:tcPr>
            <w:tcW w:w="6482" w:type="dxa"/>
          </w:tcPr>
          <w:p w14:paraId="7C311C97" w14:textId="77777777" w:rsidR="0046798B" w:rsidRDefault="00903B5C">
            <w:pPr>
              <w:pStyle w:val="TableParagraph"/>
              <w:spacing w:before="153"/>
              <w:ind w:left="114" w:right="121"/>
              <w:rPr>
                <w:sz w:val="20"/>
              </w:rPr>
            </w:pPr>
            <w:r>
              <w:rPr>
                <w:sz w:val="20"/>
              </w:rPr>
              <w:t xml:space="preserve">United States Census Bureau: </w:t>
            </w:r>
            <w:hyperlink r:id="rId111">
              <w:r>
                <w:rPr>
                  <w:color w:val="0462C1"/>
                  <w:sz w:val="20"/>
                  <w:u w:val="single" w:color="0462C1"/>
                </w:rPr>
                <w:t>https://factfinder.census.gov/faces/nav/jsf/pages/programs.xhtml?program=as</w:t>
              </w:r>
            </w:hyperlink>
            <w:r>
              <w:rPr>
                <w:color w:val="0462C1"/>
                <w:sz w:val="20"/>
              </w:rPr>
              <w:t xml:space="preserve"> </w:t>
            </w:r>
            <w:hyperlink r:id="rId112">
              <w:r>
                <w:rPr>
                  <w:color w:val="0462C1"/>
                  <w:sz w:val="20"/>
                  <w:u w:val="single" w:color="0462C1"/>
                </w:rPr>
                <w:t>gov</w:t>
              </w:r>
            </w:hyperlink>
          </w:p>
        </w:tc>
      </w:tr>
      <w:tr w:rsidR="0046798B" w14:paraId="5436C2B3" w14:textId="77777777">
        <w:trPr>
          <w:trHeight w:val="1005"/>
        </w:trPr>
        <w:tc>
          <w:tcPr>
            <w:tcW w:w="1711" w:type="dxa"/>
          </w:tcPr>
          <w:p w14:paraId="67DF98AE" w14:textId="77777777" w:rsidR="0046798B" w:rsidRDefault="0046798B">
            <w:pPr>
              <w:pStyle w:val="TableParagraph"/>
              <w:spacing w:before="9"/>
              <w:rPr>
                <w:sz w:val="23"/>
              </w:rPr>
            </w:pPr>
          </w:p>
          <w:p w14:paraId="07F12CC6" w14:textId="77777777" w:rsidR="0046798B" w:rsidRDefault="00903B5C">
            <w:pPr>
              <w:pStyle w:val="TableParagraph"/>
              <w:ind w:left="115"/>
              <w:rPr>
                <w:b/>
                <w:sz w:val="20"/>
              </w:rPr>
            </w:pPr>
            <w:r>
              <w:rPr>
                <w:b/>
                <w:sz w:val="20"/>
              </w:rPr>
              <w:t>exp_other_and_ unallocable</w:t>
            </w:r>
          </w:p>
        </w:tc>
        <w:tc>
          <w:tcPr>
            <w:tcW w:w="1596" w:type="dxa"/>
          </w:tcPr>
          <w:p w14:paraId="4A4F5F14" w14:textId="77777777" w:rsidR="0046798B" w:rsidRDefault="00903B5C">
            <w:pPr>
              <w:pStyle w:val="TableParagraph"/>
              <w:spacing w:before="44"/>
              <w:ind w:left="114" w:right="191"/>
              <w:rPr>
                <w:sz w:val="20"/>
              </w:rPr>
            </w:pPr>
            <w:r>
              <w:rPr>
                <w:sz w:val="20"/>
              </w:rPr>
              <w:t>General expenditure, by function: other and unallocable</w:t>
            </w:r>
          </w:p>
        </w:tc>
        <w:tc>
          <w:tcPr>
            <w:tcW w:w="1285" w:type="dxa"/>
          </w:tcPr>
          <w:p w14:paraId="61FF501D" w14:textId="77777777" w:rsidR="0046798B" w:rsidRDefault="0046798B">
            <w:pPr>
              <w:pStyle w:val="TableParagraph"/>
            </w:pPr>
          </w:p>
          <w:p w14:paraId="1AB15E2D" w14:textId="77777777" w:rsidR="0046798B" w:rsidRDefault="00903B5C">
            <w:pPr>
              <w:pStyle w:val="TableParagraph"/>
              <w:spacing w:before="136"/>
              <w:ind w:left="114"/>
              <w:rPr>
                <w:sz w:val="20"/>
              </w:rPr>
            </w:pPr>
            <w:r>
              <w:rPr>
                <w:sz w:val="20"/>
              </w:rPr>
              <w:t>1942–2016</w:t>
            </w:r>
          </w:p>
        </w:tc>
        <w:tc>
          <w:tcPr>
            <w:tcW w:w="3421" w:type="dxa"/>
          </w:tcPr>
          <w:p w14:paraId="21769E92" w14:textId="77777777" w:rsidR="0046798B" w:rsidRDefault="00903B5C">
            <w:pPr>
              <w:pStyle w:val="TableParagraph"/>
              <w:spacing w:before="159"/>
              <w:ind w:left="114" w:right="139"/>
              <w:rPr>
                <w:sz w:val="20"/>
              </w:rPr>
            </w:pPr>
            <w:r>
              <w:rPr>
                <w:sz w:val="20"/>
              </w:rPr>
              <w:t>All state government finance data from the Census Bureau are in 1,000s of current dollars.</w:t>
            </w:r>
          </w:p>
        </w:tc>
        <w:tc>
          <w:tcPr>
            <w:tcW w:w="6482" w:type="dxa"/>
          </w:tcPr>
          <w:p w14:paraId="5EADFFAF" w14:textId="77777777" w:rsidR="0046798B" w:rsidRDefault="00903B5C">
            <w:pPr>
              <w:pStyle w:val="TableParagraph"/>
              <w:spacing w:before="159"/>
              <w:ind w:left="114"/>
              <w:rPr>
                <w:sz w:val="20"/>
              </w:rPr>
            </w:pPr>
            <w:r>
              <w:rPr>
                <w:sz w:val="20"/>
              </w:rPr>
              <w:t xml:space="preserve">United States Census Bureau: </w:t>
            </w:r>
            <w:hyperlink r:id="rId113">
              <w:r>
                <w:rPr>
                  <w:color w:val="0462C1"/>
                  <w:sz w:val="20"/>
                  <w:u w:val="single" w:color="0462C1"/>
                </w:rPr>
                <w:t>https://factfinder.census.gov/faces/nav/jsf/pages/programs.xhtml?program=as</w:t>
              </w:r>
            </w:hyperlink>
            <w:r>
              <w:rPr>
                <w:color w:val="0462C1"/>
                <w:sz w:val="20"/>
              </w:rPr>
              <w:t xml:space="preserve"> </w:t>
            </w:r>
            <w:hyperlink r:id="rId114">
              <w:r>
                <w:rPr>
                  <w:color w:val="0462C1"/>
                  <w:sz w:val="20"/>
                  <w:u w:val="single" w:color="0462C1"/>
                </w:rPr>
                <w:t>gov</w:t>
              </w:r>
            </w:hyperlink>
          </w:p>
        </w:tc>
      </w:tr>
      <w:tr w:rsidR="0046798B" w14:paraId="6ABA23EE" w14:textId="77777777">
        <w:trPr>
          <w:trHeight w:val="1005"/>
        </w:trPr>
        <w:tc>
          <w:tcPr>
            <w:tcW w:w="1711" w:type="dxa"/>
          </w:tcPr>
          <w:p w14:paraId="53D83CF8" w14:textId="77777777" w:rsidR="0046798B" w:rsidRDefault="0046798B">
            <w:pPr>
              <w:pStyle w:val="TableParagraph"/>
              <w:spacing w:before="9"/>
              <w:rPr>
                <w:sz w:val="23"/>
              </w:rPr>
            </w:pPr>
          </w:p>
          <w:p w14:paraId="29A7DE2C" w14:textId="77777777" w:rsidR="0046798B" w:rsidRDefault="00903B5C">
            <w:pPr>
              <w:pStyle w:val="TableParagraph"/>
              <w:ind w:left="115" w:right="154"/>
              <w:rPr>
                <w:b/>
                <w:sz w:val="20"/>
              </w:rPr>
            </w:pPr>
            <w:r>
              <w:rPr>
                <w:b/>
                <w:sz w:val="20"/>
              </w:rPr>
              <w:t>exp_parks_and_ recreation</w:t>
            </w:r>
          </w:p>
        </w:tc>
        <w:tc>
          <w:tcPr>
            <w:tcW w:w="1596" w:type="dxa"/>
          </w:tcPr>
          <w:p w14:paraId="2802FCED" w14:textId="77777777" w:rsidR="0046798B" w:rsidRDefault="00903B5C">
            <w:pPr>
              <w:pStyle w:val="TableParagraph"/>
              <w:spacing w:before="43"/>
              <w:ind w:left="114" w:right="207"/>
              <w:rPr>
                <w:sz w:val="20"/>
              </w:rPr>
            </w:pPr>
            <w:r>
              <w:rPr>
                <w:sz w:val="20"/>
              </w:rPr>
              <w:t>General expenditure, by function: parks and recreation</w:t>
            </w:r>
          </w:p>
        </w:tc>
        <w:tc>
          <w:tcPr>
            <w:tcW w:w="1285" w:type="dxa"/>
          </w:tcPr>
          <w:p w14:paraId="15ADD9C1" w14:textId="77777777" w:rsidR="0046798B" w:rsidRDefault="0046798B">
            <w:pPr>
              <w:pStyle w:val="TableParagraph"/>
            </w:pPr>
          </w:p>
          <w:p w14:paraId="498789CB" w14:textId="77777777" w:rsidR="0046798B" w:rsidRDefault="00903B5C">
            <w:pPr>
              <w:pStyle w:val="TableParagraph"/>
              <w:spacing w:before="135"/>
              <w:ind w:left="114"/>
              <w:rPr>
                <w:sz w:val="20"/>
              </w:rPr>
            </w:pPr>
            <w:r>
              <w:rPr>
                <w:sz w:val="20"/>
              </w:rPr>
              <w:t>1942–2016</w:t>
            </w:r>
          </w:p>
        </w:tc>
        <w:tc>
          <w:tcPr>
            <w:tcW w:w="3421" w:type="dxa"/>
          </w:tcPr>
          <w:p w14:paraId="6FBE11ED" w14:textId="77777777" w:rsidR="0046798B" w:rsidRDefault="00903B5C">
            <w:pPr>
              <w:pStyle w:val="TableParagraph"/>
              <w:spacing w:before="158"/>
              <w:ind w:left="114" w:right="139"/>
              <w:rPr>
                <w:sz w:val="20"/>
              </w:rPr>
            </w:pPr>
            <w:r>
              <w:rPr>
                <w:sz w:val="20"/>
              </w:rPr>
              <w:t>All state government finance data from the Census Bureau are in 1,000s of current dollars.</w:t>
            </w:r>
          </w:p>
        </w:tc>
        <w:tc>
          <w:tcPr>
            <w:tcW w:w="6482" w:type="dxa"/>
          </w:tcPr>
          <w:p w14:paraId="69C2A17D" w14:textId="77777777" w:rsidR="0046798B" w:rsidRDefault="00903B5C">
            <w:pPr>
              <w:pStyle w:val="TableParagraph"/>
              <w:spacing w:before="158"/>
              <w:ind w:left="114"/>
              <w:rPr>
                <w:sz w:val="20"/>
              </w:rPr>
            </w:pPr>
            <w:r>
              <w:rPr>
                <w:sz w:val="20"/>
              </w:rPr>
              <w:t xml:space="preserve">United States Census Bureau: </w:t>
            </w:r>
            <w:hyperlink r:id="rId115">
              <w:r>
                <w:rPr>
                  <w:color w:val="0462C1"/>
                  <w:sz w:val="20"/>
                  <w:u w:val="single" w:color="0462C1"/>
                </w:rPr>
                <w:t>https://factfinder.census.gov/faces/nav/jsf/pages/programs.xhtml?program=as</w:t>
              </w:r>
            </w:hyperlink>
            <w:r>
              <w:rPr>
                <w:color w:val="0462C1"/>
                <w:sz w:val="20"/>
              </w:rPr>
              <w:t xml:space="preserve"> </w:t>
            </w:r>
            <w:hyperlink r:id="rId116">
              <w:r>
                <w:rPr>
                  <w:color w:val="0462C1"/>
                  <w:sz w:val="20"/>
                  <w:u w:val="single" w:color="0462C1"/>
                </w:rPr>
                <w:t>gov</w:t>
              </w:r>
            </w:hyperlink>
          </w:p>
        </w:tc>
      </w:tr>
      <w:tr w:rsidR="0046798B" w14:paraId="3B2BA43F" w14:textId="77777777">
        <w:trPr>
          <w:trHeight w:val="1005"/>
        </w:trPr>
        <w:tc>
          <w:tcPr>
            <w:tcW w:w="1711" w:type="dxa"/>
          </w:tcPr>
          <w:p w14:paraId="02015468" w14:textId="77777777" w:rsidR="0046798B" w:rsidRDefault="0046798B">
            <w:pPr>
              <w:pStyle w:val="TableParagraph"/>
              <w:spacing w:before="8"/>
              <w:rPr>
                <w:sz w:val="23"/>
              </w:rPr>
            </w:pPr>
          </w:p>
          <w:p w14:paraId="080FBF53" w14:textId="77777777" w:rsidR="0046798B" w:rsidRDefault="00903B5C">
            <w:pPr>
              <w:pStyle w:val="TableParagraph"/>
              <w:ind w:left="115"/>
              <w:rPr>
                <w:b/>
                <w:sz w:val="20"/>
              </w:rPr>
            </w:pPr>
            <w:r>
              <w:rPr>
                <w:b/>
                <w:sz w:val="20"/>
              </w:rPr>
              <w:t>exp_police_prote ction</w:t>
            </w:r>
          </w:p>
        </w:tc>
        <w:tc>
          <w:tcPr>
            <w:tcW w:w="1596" w:type="dxa"/>
          </w:tcPr>
          <w:p w14:paraId="5F2B86B4" w14:textId="77777777" w:rsidR="0046798B" w:rsidRDefault="00903B5C">
            <w:pPr>
              <w:pStyle w:val="TableParagraph"/>
              <w:spacing w:before="43"/>
              <w:ind w:left="114" w:right="191"/>
              <w:rPr>
                <w:sz w:val="20"/>
              </w:rPr>
            </w:pPr>
            <w:r>
              <w:rPr>
                <w:sz w:val="20"/>
              </w:rPr>
              <w:t>General expenditure, by function: police protection</w:t>
            </w:r>
          </w:p>
        </w:tc>
        <w:tc>
          <w:tcPr>
            <w:tcW w:w="1285" w:type="dxa"/>
          </w:tcPr>
          <w:p w14:paraId="23DB9707" w14:textId="77777777" w:rsidR="0046798B" w:rsidRDefault="0046798B">
            <w:pPr>
              <w:pStyle w:val="TableParagraph"/>
            </w:pPr>
          </w:p>
          <w:p w14:paraId="3A3DA476" w14:textId="77777777" w:rsidR="0046798B" w:rsidRDefault="00903B5C">
            <w:pPr>
              <w:pStyle w:val="TableParagraph"/>
              <w:spacing w:before="135"/>
              <w:ind w:left="114"/>
              <w:rPr>
                <w:sz w:val="20"/>
              </w:rPr>
            </w:pPr>
            <w:r>
              <w:rPr>
                <w:sz w:val="20"/>
              </w:rPr>
              <w:t>1942–2016</w:t>
            </w:r>
          </w:p>
        </w:tc>
        <w:tc>
          <w:tcPr>
            <w:tcW w:w="3421" w:type="dxa"/>
          </w:tcPr>
          <w:p w14:paraId="69DB1031" w14:textId="77777777" w:rsidR="0046798B" w:rsidRDefault="00903B5C">
            <w:pPr>
              <w:pStyle w:val="TableParagraph"/>
              <w:spacing w:before="158"/>
              <w:ind w:left="114" w:right="139"/>
              <w:rPr>
                <w:sz w:val="20"/>
              </w:rPr>
            </w:pPr>
            <w:r>
              <w:rPr>
                <w:sz w:val="20"/>
              </w:rPr>
              <w:t>All state government finance data from the Census Bureau are in 1,000s of current dollars.</w:t>
            </w:r>
          </w:p>
        </w:tc>
        <w:tc>
          <w:tcPr>
            <w:tcW w:w="6482" w:type="dxa"/>
          </w:tcPr>
          <w:p w14:paraId="14091307" w14:textId="77777777" w:rsidR="0046798B" w:rsidRDefault="00903B5C">
            <w:pPr>
              <w:pStyle w:val="TableParagraph"/>
              <w:spacing w:before="158"/>
              <w:ind w:left="114" w:right="121"/>
              <w:rPr>
                <w:sz w:val="20"/>
              </w:rPr>
            </w:pPr>
            <w:r>
              <w:rPr>
                <w:sz w:val="20"/>
              </w:rPr>
              <w:t xml:space="preserve">United States Census Bureau: </w:t>
            </w:r>
            <w:hyperlink r:id="rId117">
              <w:r>
                <w:rPr>
                  <w:color w:val="0462C1"/>
                  <w:sz w:val="20"/>
                  <w:u w:val="single" w:color="0462C1"/>
                </w:rPr>
                <w:t>https://factfinder.census.gov/faces/nav/jsf/pages/programs.xhtml?program=as</w:t>
              </w:r>
            </w:hyperlink>
            <w:r>
              <w:rPr>
                <w:color w:val="0462C1"/>
                <w:sz w:val="20"/>
              </w:rPr>
              <w:t xml:space="preserve"> </w:t>
            </w:r>
            <w:hyperlink r:id="rId118">
              <w:r>
                <w:rPr>
                  <w:color w:val="0462C1"/>
                  <w:sz w:val="20"/>
                  <w:u w:val="single" w:color="0462C1"/>
                </w:rPr>
                <w:t>gov</w:t>
              </w:r>
            </w:hyperlink>
          </w:p>
        </w:tc>
      </w:tr>
      <w:tr w:rsidR="0046798B" w14:paraId="1FBAD00D" w14:textId="77777777">
        <w:trPr>
          <w:trHeight w:val="1010"/>
        </w:trPr>
        <w:tc>
          <w:tcPr>
            <w:tcW w:w="1711" w:type="dxa"/>
          </w:tcPr>
          <w:p w14:paraId="1448E147" w14:textId="77777777" w:rsidR="0046798B" w:rsidRDefault="0046798B">
            <w:pPr>
              <w:pStyle w:val="TableParagraph"/>
              <w:spacing w:before="8"/>
              <w:rPr>
                <w:sz w:val="23"/>
              </w:rPr>
            </w:pPr>
          </w:p>
          <w:p w14:paraId="4AF712D8" w14:textId="77777777" w:rsidR="0046798B" w:rsidRDefault="00903B5C">
            <w:pPr>
              <w:pStyle w:val="TableParagraph"/>
              <w:spacing w:before="1"/>
              <w:ind w:left="115" w:right="177"/>
              <w:rPr>
                <w:b/>
                <w:sz w:val="20"/>
              </w:rPr>
            </w:pPr>
            <w:r>
              <w:rPr>
                <w:b/>
                <w:sz w:val="20"/>
              </w:rPr>
              <w:t>exp_public_welf are</w:t>
            </w:r>
          </w:p>
        </w:tc>
        <w:tc>
          <w:tcPr>
            <w:tcW w:w="1596" w:type="dxa"/>
          </w:tcPr>
          <w:p w14:paraId="039ACF33" w14:textId="77777777" w:rsidR="0046798B" w:rsidRDefault="00903B5C">
            <w:pPr>
              <w:pStyle w:val="TableParagraph"/>
              <w:spacing w:before="43"/>
              <w:ind w:left="114"/>
              <w:rPr>
                <w:sz w:val="20"/>
              </w:rPr>
            </w:pPr>
            <w:r>
              <w:rPr>
                <w:sz w:val="20"/>
              </w:rPr>
              <w:t>General expenditure, by function: public welfare</w:t>
            </w:r>
          </w:p>
        </w:tc>
        <w:tc>
          <w:tcPr>
            <w:tcW w:w="1285" w:type="dxa"/>
          </w:tcPr>
          <w:p w14:paraId="650B8C20" w14:textId="77777777" w:rsidR="0046798B" w:rsidRDefault="0046798B">
            <w:pPr>
              <w:pStyle w:val="TableParagraph"/>
            </w:pPr>
          </w:p>
          <w:p w14:paraId="070B9519" w14:textId="77777777" w:rsidR="0046798B" w:rsidRDefault="00903B5C">
            <w:pPr>
              <w:pStyle w:val="TableParagraph"/>
              <w:spacing w:before="135"/>
              <w:ind w:left="114"/>
              <w:rPr>
                <w:sz w:val="20"/>
              </w:rPr>
            </w:pPr>
            <w:r>
              <w:rPr>
                <w:sz w:val="20"/>
              </w:rPr>
              <w:t>1942–2016</w:t>
            </w:r>
          </w:p>
        </w:tc>
        <w:tc>
          <w:tcPr>
            <w:tcW w:w="3421" w:type="dxa"/>
          </w:tcPr>
          <w:p w14:paraId="6263A204" w14:textId="77777777" w:rsidR="0046798B" w:rsidRDefault="00903B5C">
            <w:pPr>
              <w:pStyle w:val="TableParagraph"/>
              <w:spacing w:before="158"/>
              <w:ind w:left="114" w:right="139"/>
              <w:rPr>
                <w:sz w:val="20"/>
              </w:rPr>
            </w:pPr>
            <w:r>
              <w:rPr>
                <w:sz w:val="20"/>
              </w:rPr>
              <w:t>All state government finance data from the Census Bureau are in 1,000s of current dollars.</w:t>
            </w:r>
          </w:p>
        </w:tc>
        <w:tc>
          <w:tcPr>
            <w:tcW w:w="6482" w:type="dxa"/>
          </w:tcPr>
          <w:p w14:paraId="234B6DAA" w14:textId="77777777" w:rsidR="0046798B" w:rsidRDefault="00903B5C">
            <w:pPr>
              <w:pStyle w:val="TableParagraph"/>
              <w:spacing w:before="158"/>
              <w:ind w:left="114"/>
              <w:rPr>
                <w:sz w:val="20"/>
              </w:rPr>
            </w:pPr>
            <w:r>
              <w:rPr>
                <w:sz w:val="20"/>
              </w:rPr>
              <w:t xml:space="preserve">United States Census Bureau: </w:t>
            </w:r>
            <w:hyperlink r:id="rId119">
              <w:r>
                <w:rPr>
                  <w:color w:val="0462C1"/>
                  <w:sz w:val="20"/>
                  <w:u w:val="single" w:color="0462C1"/>
                </w:rPr>
                <w:t>https://factfinder.census.gov/faces/nav/jsf/pages/programs.xhtml?program=as</w:t>
              </w:r>
            </w:hyperlink>
            <w:r>
              <w:rPr>
                <w:color w:val="0462C1"/>
                <w:sz w:val="20"/>
              </w:rPr>
              <w:t xml:space="preserve"> </w:t>
            </w:r>
            <w:hyperlink r:id="rId120">
              <w:r>
                <w:rPr>
                  <w:color w:val="0462C1"/>
                  <w:sz w:val="20"/>
                  <w:u w:val="single" w:color="0462C1"/>
                </w:rPr>
                <w:t>gov</w:t>
              </w:r>
            </w:hyperlink>
          </w:p>
        </w:tc>
      </w:tr>
    </w:tbl>
    <w:p w14:paraId="5CCC4C87" w14:textId="77777777" w:rsidR="0046798B" w:rsidRDefault="0046798B">
      <w:pPr>
        <w:rPr>
          <w:sz w:val="20"/>
        </w:rPr>
        <w:sectPr w:rsidR="0046798B">
          <w:pgSz w:w="15840" w:h="12240" w:orient="landscape"/>
          <w:pgMar w:top="1220" w:right="300" w:bottom="980" w:left="820" w:header="730" w:footer="787" w:gutter="0"/>
          <w:cols w:space="720"/>
        </w:sectPr>
      </w:pPr>
    </w:p>
    <w:p w14:paraId="24A0ADA9"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CB3A160" w14:textId="77777777">
        <w:trPr>
          <w:trHeight w:val="1235"/>
        </w:trPr>
        <w:tc>
          <w:tcPr>
            <w:tcW w:w="1711" w:type="dxa"/>
          </w:tcPr>
          <w:p w14:paraId="43330556" w14:textId="77777777" w:rsidR="0046798B" w:rsidRDefault="0046798B">
            <w:pPr>
              <w:pStyle w:val="TableParagraph"/>
            </w:pPr>
          </w:p>
          <w:p w14:paraId="17607F06" w14:textId="77777777" w:rsidR="0046798B" w:rsidRDefault="00903B5C">
            <w:pPr>
              <w:pStyle w:val="TableParagraph"/>
              <w:spacing w:before="135"/>
              <w:ind w:left="115" w:right="177"/>
              <w:rPr>
                <w:b/>
                <w:sz w:val="20"/>
              </w:rPr>
            </w:pPr>
            <w:r>
              <w:rPr>
                <w:b/>
                <w:sz w:val="20"/>
              </w:rPr>
              <w:t>exp_salaries_wa ges</w:t>
            </w:r>
          </w:p>
        </w:tc>
        <w:tc>
          <w:tcPr>
            <w:tcW w:w="1596" w:type="dxa"/>
          </w:tcPr>
          <w:p w14:paraId="6BF5C74B" w14:textId="77777777" w:rsidR="0046798B" w:rsidRDefault="00903B5C">
            <w:pPr>
              <w:pStyle w:val="TableParagraph"/>
              <w:spacing w:before="43"/>
              <w:ind w:left="114" w:right="507"/>
              <w:rPr>
                <w:sz w:val="20"/>
              </w:rPr>
            </w:pPr>
            <w:r>
              <w:rPr>
                <w:sz w:val="20"/>
              </w:rPr>
              <w:t>Total expenditure (exhibit): salaries and wages</w:t>
            </w:r>
          </w:p>
        </w:tc>
        <w:tc>
          <w:tcPr>
            <w:tcW w:w="1285" w:type="dxa"/>
          </w:tcPr>
          <w:p w14:paraId="4EEB7857" w14:textId="77777777" w:rsidR="0046798B" w:rsidRDefault="0046798B">
            <w:pPr>
              <w:pStyle w:val="TableParagraph"/>
            </w:pPr>
          </w:p>
          <w:p w14:paraId="3A747141" w14:textId="77777777" w:rsidR="0046798B" w:rsidRDefault="0046798B">
            <w:pPr>
              <w:pStyle w:val="TableParagraph"/>
              <w:spacing w:before="9"/>
              <w:rPr>
                <w:sz w:val="21"/>
              </w:rPr>
            </w:pPr>
          </w:p>
          <w:p w14:paraId="2029A7AD" w14:textId="77777777" w:rsidR="0046798B" w:rsidRDefault="00903B5C">
            <w:pPr>
              <w:pStyle w:val="TableParagraph"/>
              <w:ind w:left="114"/>
              <w:rPr>
                <w:sz w:val="20"/>
              </w:rPr>
            </w:pPr>
            <w:r>
              <w:rPr>
                <w:sz w:val="20"/>
              </w:rPr>
              <w:t>2012–2016</w:t>
            </w:r>
          </w:p>
        </w:tc>
        <w:tc>
          <w:tcPr>
            <w:tcW w:w="3421" w:type="dxa"/>
          </w:tcPr>
          <w:p w14:paraId="79126240" w14:textId="77777777" w:rsidR="0046798B" w:rsidRDefault="0046798B">
            <w:pPr>
              <w:pStyle w:val="TableParagraph"/>
              <w:spacing w:before="9"/>
              <w:rPr>
                <w:sz w:val="23"/>
              </w:rPr>
            </w:pPr>
          </w:p>
          <w:p w14:paraId="51501940" w14:textId="77777777" w:rsidR="0046798B" w:rsidRDefault="00903B5C">
            <w:pPr>
              <w:pStyle w:val="TableParagraph"/>
              <w:ind w:left="114" w:right="139"/>
              <w:rPr>
                <w:sz w:val="20"/>
              </w:rPr>
            </w:pPr>
            <w:r>
              <w:rPr>
                <w:sz w:val="20"/>
              </w:rPr>
              <w:t>All state government finance data from the Census Bureau are in 1,000s of current dollars.</w:t>
            </w:r>
          </w:p>
        </w:tc>
        <w:tc>
          <w:tcPr>
            <w:tcW w:w="6482" w:type="dxa"/>
          </w:tcPr>
          <w:p w14:paraId="08E58A97" w14:textId="77777777" w:rsidR="0046798B" w:rsidRDefault="0046798B">
            <w:pPr>
              <w:pStyle w:val="TableParagraph"/>
              <w:spacing w:before="9"/>
              <w:rPr>
                <w:sz w:val="23"/>
              </w:rPr>
            </w:pPr>
          </w:p>
          <w:p w14:paraId="69026A44" w14:textId="77777777" w:rsidR="0046798B" w:rsidRDefault="00903B5C">
            <w:pPr>
              <w:pStyle w:val="TableParagraph"/>
              <w:ind w:left="114" w:right="121"/>
              <w:rPr>
                <w:sz w:val="20"/>
              </w:rPr>
            </w:pPr>
            <w:r>
              <w:rPr>
                <w:sz w:val="20"/>
              </w:rPr>
              <w:t xml:space="preserve">United States Census Bureau: </w:t>
            </w:r>
            <w:hyperlink r:id="rId121">
              <w:r>
                <w:rPr>
                  <w:color w:val="0462C1"/>
                  <w:sz w:val="20"/>
                  <w:u w:val="single" w:color="0462C1"/>
                </w:rPr>
                <w:t>https://factfinder.census.gov/faces/nav/jsf/pages/programs.xhtml?program=as</w:t>
              </w:r>
            </w:hyperlink>
            <w:r>
              <w:rPr>
                <w:color w:val="0462C1"/>
                <w:sz w:val="20"/>
              </w:rPr>
              <w:t xml:space="preserve"> </w:t>
            </w:r>
            <w:hyperlink r:id="rId122">
              <w:r>
                <w:rPr>
                  <w:color w:val="0462C1"/>
                  <w:sz w:val="20"/>
                  <w:u w:val="single" w:color="0462C1"/>
                </w:rPr>
                <w:t>gov</w:t>
              </w:r>
            </w:hyperlink>
          </w:p>
        </w:tc>
      </w:tr>
      <w:tr w:rsidR="0046798B" w14:paraId="288F626F" w14:textId="77777777">
        <w:trPr>
          <w:trHeight w:val="775"/>
        </w:trPr>
        <w:tc>
          <w:tcPr>
            <w:tcW w:w="1711" w:type="dxa"/>
          </w:tcPr>
          <w:p w14:paraId="32429E37" w14:textId="77777777" w:rsidR="0046798B" w:rsidRDefault="00903B5C">
            <w:pPr>
              <w:pStyle w:val="TableParagraph"/>
              <w:spacing w:before="158"/>
              <w:ind w:left="115" w:right="155"/>
              <w:rPr>
                <w:b/>
                <w:sz w:val="20"/>
              </w:rPr>
            </w:pPr>
            <w:r>
              <w:rPr>
                <w:b/>
                <w:sz w:val="20"/>
              </w:rPr>
              <w:t>general_sales_re ceipts_taxes</w:t>
            </w:r>
          </w:p>
        </w:tc>
        <w:tc>
          <w:tcPr>
            <w:tcW w:w="1596" w:type="dxa"/>
          </w:tcPr>
          <w:p w14:paraId="40BC829D" w14:textId="77777777" w:rsidR="0046798B" w:rsidRDefault="00903B5C">
            <w:pPr>
              <w:pStyle w:val="TableParagraph"/>
              <w:spacing w:before="43"/>
              <w:ind w:left="114" w:right="369"/>
              <w:rPr>
                <w:sz w:val="20"/>
              </w:rPr>
            </w:pPr>
            <w:r>
              <w:rPr>
                <w:sz w:val="20"/>
              </w:rPr>
              <w:t>General sales and gross receipts taxes</w:t>
            </w:r>
          </w:p>
        </w:tc>
        <w:tc>
          <w:tcPr>
            <w:tcW w:w="1285" w:type="dxa"/>
          </w:tcPr>
          <w:p w14:paraId="1AEBAAB0" w14:textId="77777777" w:rsidR="0046798B" w:rsidRDefault="0046798B">
            <w:pPr>
              <w:pStyle w:val="TableParagraph"/>
              <w:spacing w:before="9"/>
              <w:rPr>
                <w:sz w:val="23"/>
              </w:rPr>
            </w:pPr>
          </w:p>
          <w:p w14:paraId="5DFFD9C2" w14:textId="77777777" w:rsidR="0046798B" w:rsidRDefault="00903B5C">
            <w:pPr>
              <w:pStyle w:val="TableParagraph"/>
              <w:ind w:left="114"/>
              <w:rPr>
                <w:sz w:val="20"/>
              </w:rPr>
            </w:pPr>
            <w:r>
              <w:rPr>
                <w:sz w:val="20"/>
              </w:rPr>
              <w:t>2012–2016</w:t>
            </w:r>
          </w:p>
        </w:tc>
        <w:tc>
          <w:tcPr>
            <w:tcW w:w="3421" w:type="dxa"/>
          </w:tcPr>
          <w:p w14:paraId="3B51CDAE" w14:textId="77777777" w:rsidR="0046798B" w:rsidRDefault="00903B5C">
            <w:pPr>
              <w:pStyle w:val="TableParagraph"/>
              <w:spacing w:before="43"/>
              <w:ind w:left="114" w:right="139"/>
              <w:rPr>
                <w:sz w:val="20"/>
              </w:rPr>
            </w:pPr>
            <w:r>
              <w:rPr>
                <w:sz w:val="20"/>
              </w:rPr>
              <w:t>All state government finance data from the Census Bureau are in 1,000s of current dollars.</w:t>
            </w:r>
          </w:p>
        </w:tc>
        <w:tc>
          <w:tcPr>
            <w:tcW w:w="6482" w:type="dxa"/>
          </w:tcPr>
          <w:p w14:paraId="4C4C5CC2" w14:textId="77777777" w:rsidR="0046798B" w:rsidRDefault="00903B5C">
            <w:pPr>
              <w:pStyle w:val="TableParagraph"/>
              <w:spacing w:before="43"/>
              <w:ind w:left="114"/>
              <w:rPr>
                <w:sz w:val="20"/>
              </w:rPr>
            </w:pPr>
            <w:r>
              <w:rPr>
                <w:sz w:val="20"/>
              </w:rPr>
              <w:t xml:space="preserve">United States Census Bureau: </w:t>
            </w:r>
            <w:hyperlink r:id="rId123">
              <w:r>
                <w:rPr>
                  <w:color w:val="0462C1"/>
                  <w:sz w:val="20"/>
                  <w:u w:val="single" w:color="0462C1"/>
                </w:rPr>
                <w:t>https://factfinder.census.gov/faces/nav/jsf/pages/programs.xhtml?program=as</w:t>
              </w:r>
            </w:hyperlink>
            <w:r>
              <w:rPr>
                <w:color w:val="0462C1"/>
                <w:sz w:val="20"/>
              </w:rPr>
              <w:t xml:space="preserve"> </w:t>
            </w:r>
            <w:hyperlink r:id="rId124">
              <w:r>
                <w:rPr>
                  <w:color w:val="0462C1"/>
                  <w:sz w:val="20"/>
                  <w:u w:val="single" w:color="0462C1"/>
                </w:rPr>
                <w:t>gov</w:t>
              </w:r>
            </w:hyperlink>
          </w:p>
        </w:tc>
      </w:tr>
      <w:tr w:rsidR="0046798B" w14:paraId="1D797991" w14:textId="77777777">
        <w:trPr>
          <w:trHeight w:val="1470"/>
        </w:trPr>
        <w:tc>
          <w:tcPr>
            <w:tcW w:w="1711" w:type="dxa"/>
          </w:tcPr>
          <w:p w14:paraId="1FBFFBA4" w14:textId="77777777" w:rsidR="0046798B" w:rsidRDefault="0046798B">
            <w:pPr>
              <w:pStyle w:val="TableParagraph"/>
            </w:pPr>
          </w:p>
          <w:p w14:paraId="232588B7" w14:textId="77777777" w:rsidR="0046798B" w:rsidRDefault="0046798B">
            <w:pPr>
              <w:pStyle w:val="TableParagraph"/>
              <w:spacing w:before="9"/>
              <w:rPr>
                <w:sz w:val="31"/>
              </w:rPr>
            </w:pPr>
          </w:p>
          <w:p w14:paraId="71FA888E" w14:textId="77777777" w:rsidR="0046798B" w:rsidRDefault="00903B5C">
            <w:pPr>
              <w:pStyle w:val="TableParagraph"/>
              <w:ind w:left="115"/>
              <w:rPr>
                <w:b/>
                <w:sz w:val="20"/>
              </w:rPr>
            </w:pPr>
            <w:r>
              <w:rPr>
                <w:b/>
                <w:sz w:val="20"/>
              </w:rPr>
              <w:t>hincomemed</w:t>
            </w:r>
          </w:p>
        </w:tc>
        <w:tc>
          <w:tcPr>
            <w:tcW w:w="1596" w:type="dxa"/>
          </w:tcPr>
          <w:p w14:paraId="335592A4" w14:textId="77777777" w:rsidR="0046798B" w:rsidRDefault="0046798B">
            <w:pPr>
              <w:pStyle w:val="TableParagraph"/>
            </w:pPr>
          </w:p>
          <w:p w14:paraId="74E77C82" w14:textId="77777777" w:rsidR="0046798B" w:rsidRDefault="00903B5C">
            <w:pPr>
              <w:pStyle w:val="TableParagraph"/>
              <w:spacing w:before="135"/>
              <w:ind w:left="114" w:right="629"/>
              <w:rPr>
                <w:sz w:val="20"/>
              </w:rPr>
            </w:pPr>
            <w:r>
              <w:rPr>
                <w:sz w:val="20"/>
              </w:rPr>
              <w:t>Median household income</w:t>
            </w:r>
          </w:p>
        </w:tc>
        <w:tc>
          <w:tcPr>
            <w:tcW w:w="1285" w:type="dxa"/>
          </w:tcPr>
          <w:p w14:paraId="6FA08CBF" w14:textId="77777777" w:rsidR="0046798B" w:rsidRDefault="0046798B">
            <w:pPr>
              <w:pStyle w:val="TableParagraph"/>
            </w:pPr>
          </w:p>
          <w:p w14:paraId="7D446F99" w14:textId="77777777" w:rsidR="0046798B" w:rsidRDefault="0046798B">
            <w:pPr>
              <w:pStyle w:val="TableParagraph"/>
              <w:spacing w:before="9"/>
              <w:rPr>
                <w:sz w:val="31"/>
              </w:rPr>
            </w:pPr>
          </w:p>
          <w:p w14:paraId="457A364B" w14:textId="0F0851C4" w:rsidR="0046798B" w:rsidRDefault="00903B5C">
            <w:pPr>
              <w:pStyle w:val="TableParagraph"/>
              <w:ind w:left="114"/>
              <w:rPr>
                <w:sz w:val="20"/>
              </w:rPr>
            </w:pPr>
            <w:r>
              <w:rPr>
                <w:sz w:val="20"/>
              </w:rPr>
              <w:t>1984–201</w:t>
            </w:r>
            <w:r w:rsidR="00855B7D">
              <w:rPr>
                <w:sz w:val="20"/>
              </w:rPr>
              <w:t>9</w:t>
            </w:r>
          </w:p>
        </w:tc>
        <w:tc>
          <w:tcPr>
            <w:tcW w:w="3421" w:type="dxa"/>
          </w:tcPr>
          <w:p w14:paraId="7C81C2DE" w14:textId="77777777" w:rsidR="0046798B" w:rsidRDefault="0046798B">
            <w:pPr>
              <w:pStyle w:val="TableParagraph"/>
            </w:pPr>
          </w:p>
          <w:p w14:paraId="191DC6DF" w14:textId="77777777" w:rsidR="0046798B" w:rsidRDefault="00903B5C">
            <w:pPr>
              <w:pStyle w:val="TableParagraph"/>
              <w:spacing w:before="135"/>
              <w:ind w:left="114" w:right="272"/>
              <w:rPr>
                <w:sz w:val="20"/>
              </w:rPr>
            </w:pPr>
            <w:r>
              <w:rPr>
                <w:sz w:val="20"/>
              </w:rPr>
              <w:t>The median of all household incomes in a state. 2011 CPI-U-RS adjusted dollars.</w:t>
            </w:r>
          </w:p>
        </w:tc>
        <w:tc>
          <w:tcPr>
            <w:tcW w:w="6482" w:type="dxa"/>
          </w:tcPr>
          <w:p w14:paraId="2663152E" w14:textId="77777777" w:rsidR="0046798B" w:rsidRDefault="00903B5C">
            <w:pPr>
              <w:pStyle w:val="TableParagraph"/>
              <w:spacing w:before="43"/>
              <w:ind w:left="114" w:right="416"/>
              <w:rPr>
                <w:sz w:val="20"/>
              </w:rPr>
            </w:pPr>
            <w:r>
              <w:rPr>
                <w:sz w:val="20"/>
              </w:rPr>
              <w:t xml:space="preserve">U.S. Census Bureau. 2012. “Median Household Income by State - Single- Year Estimates.” Accessed at: </w:t>
            </w:r>
            <w:hyperlink r:id="rId125">
              <w:r>
                <w:rPr>
                  <w:sz w:val="20"/>
                  <w:u w:val="single"/>
                </w:rPr>
                <w:t>http://www.census.gov/topics/income-</w:t>
              </w:r>
            </w:hyperlink>
            <w:hyperlink r:id="rId126">
              <w:r>
                <w:rPr>
                  <w:sz w:val="20"/>
                  <w:u w:val="single"/>
                </w:rPr>
                <w:t xml:space="preserve"> poverty/income.html</w:t>
              </w:r>
              <w:r>
                <w:rPr>
                  <w:sz w:val="20"/>
                </w:rPr>
                <w:t>.</w:t>
              </w:r>
            </w:hyperlink>
          </w:p>
          <w:p w14:paraId="42305A15" w14:textId="77777777" w:rsidR="0046798B" w:rsidRDefault="0046798B">
            <w:pPr>
              <w:pStyle w:val="TableParagraph"/>
              <w:rPr>
                <w:sz w:val="20"/>
              </w:rPr>
            </w:pPr>
          </w:p>
          <w:p w14:paraId="53FC9F56" w14:textId="77777777" w:rsidR="0046798B" w:rsidRDefault="00903B5C">
            <w:pPr>
              <w:pStyle w:val="TableParagraph"/>
              <w:ind w:left="114" w:right="217"/>
              <w:rPr>
                <w:sz w:val="20"/>
              </w:rPr>
            </w:pPr>
            <w:r>
              <w:rPr>
                <w:sz w:val="20"/>
              </w:rPr>
              <w:t xml:space="preserve">Originally provided by Stateminder: A data visualization project from Georgetown University. </w:t>
            </w:r>
            <w:hyperlink r:id="rId127">
              <w:r>
                <w:rPr>
                  <w:sz w:val="20"/>
                </w:rPr>
                <w:t>http://stateminder.org/</w:t>
              </w:r>
            </w:hyperlink>
            <w:r>
              <w:rPr>
                <w:sz w:val="20"/>
                <w:u w:val="single"/>
              </w:rPr>
              <w:t xml:space="preserve"> (no longer accessible online)</w:t>
            </w:r>
          </w:p>
        </w:tc>
      </w:tr>
      <w:tr w:rsidR="0046798B" w14:paraId="289A65D2" w14:textId="77777777">
        <w:trPr>
          <w:trHeight w:val="775"/>
        </w:trPr>
        <w:tc>
          <w:tcPr>
            <w:tcW w:w="1711" w:type="dxa"/>
          </w:tcPr>
          <w:p w14:paraId="5839628D" w14:textId="77777777" w:rsidR="0046798B" w:rsidRDefault="00903B5C">
            <w:pPr>
              <w:pStyle w:val="TableParagraph"/>
              <w:spacing w:before="153"/>
              <w:ind w:left="115"/>
              <w:rPr>
                <w:b/>
                <w:sz w:val="20"/>
              </w:rPr>
            </w:pPr>
            <w:r>
              <w:rPr>
                <w:b/>
                <w:sz w:val="20"/>
              </w:rPr>
              <w:t>individual_inco me_taxes</w:t>
            </w:r>
          </w:p>
        </w:tc>
        <w:tc>
          <w:tcPr>
            <w:tcW w:w="1596" w:type="dxa"/>
          </w:tcPr>
          <w:p w14:paraId="2C86A1E0" w14:textId="77777777" w:rsidR="0046798B" w:rsidRDefault="00903B5C">
            <w:pPr>
              <w:pStyle w:val="TableParagraph"/>
              <w:spacing w:before="153"/>
              <w:ind w:left="114" w:right="402"/>
              <w:rPr>
                <w:sz w:val="20"/>
              </w:rPr>
            </w:pPr>
            <w:r>
              <w:rPr>
                <w:sz w:val="20"/>
              </w:rPr>
              <w:t>Individual income taxes</w:t>
            </w:r>
          </w:p>
        </w:tc>
        <w:tc>
          <w:tcPr>
            <w:tcW w:w="1285" w:type="dxa"/>
          </w:tcPr>
          <w:p w14:paraId="43FCE25F" w14:textId="77777777" w:rsidR="0046798B" w:rsidRDefault="0046798B">
            <w:pPr>
              <w:pStyle w:val="TableParagraph"/>
              <w:spacing w:before="3"/>
              <w:rPr>
                <w:sz w:val="23"/>
              </w:rPr>
            </w:pPr>
          </w:p>
          <w:p w14:paraId="578521BD" w14:textId="77777777" w:rsidR="0046798B" w:rsidRDefault="00903B5C">
            <w:pPr>
              <w:pStyle w:val="TableParagraph"/>
              <w:spacing w:before="1"/>
              <w:ind w:left="114"/>
              <w:rPr>
                <w:sz w:val="20"/>
              </w:rPr>
            </w:pPr>
            <w:r>
              <w:rPr>
                <w:sz w:val="20"/>
              </w:rPr>
              <w:t>2012–2016</w:t>
            </w:r>
          </w:p>
        </w:tc>
        <w:tc>
          <w:tcPr>
            <w:tcW w:w="3421" w:type="dxa"/>
          </w:tcPr>
          <w:p w14:paraId="296C3796" w14:textId="77777777" w:rsidR="0046798B" w:rsidRDefault="00903B5C">
            <w:pPr>
              <w:pStyle w:val="TableParagraph"/>
              <w:spacing w:before="38"/>
              <w:ind w:left="114" w:right="139"/>
              <w:rPr>
                <w:sz w:val="20"/>
              </w:rPr>
            </w:pPr>
            <w:r>
              <w:rPr>
                <w:sz w:val="20"/>
              </w:rPr>
              <w:t>All state government finance data from the Census Bureau are in 1,000s of current dollars.</w:t>
            </w:r>
          </w:p>
        </w:tc>
        <w:tc>
          <w:tcPr>
            <w:tcW w:w="6482" w:type="dxa"/>
          </w:tcPr>
          <w:p w14:paraId="379D4CDC" w14:textId="77777777" w:rsidR="0046798B" w:rsidRDefault="00903B5C">
            <w:pPr>
              <w:pStyle w:val="TableParagraph"/>
              <w:spacing w:before="38"/>
              <w:ind w:left="114"/>
              <w:rPr>
                <w:sz w:val="20"/>
              </w:rPr>
            </w:pPr>
            <w:r>
              <w:rPr>
                <w:sz w:val="20"/>
              </w:rPr>
              <w:t xml:space="preserve">United States Census Bureau: </w:t>
            </w:r>
            <w:hyperlink r:id="rId128">
              <w:r>
                <w:rPr>
                  <w:color w:val="0462C1"/>
                  <w:sz w:val="20"/>
                  <w:u w:val="single" w:color="0462C1"/>
                </w:rPr>
                <w:t>https://factfinder.census.gov/faces/nav/jsf/pages/programs.xhtml?program=as</w:t>
              </w:r>
            </w:hyperlink>
            <w:r>
              <w:rPr>
                <w:color w:val="0462C1"/>
                <w:sz w:val="20"/>
              </w:rPr>
              <w:t xml:space="preserve"> </w:t>
            </w:r>
            <w:hyperlink r:id="rId129">
              <w:r>
                <w:rPr>
                  <w:color w:val="0462C1"/>
                  <w:sz w:val="20"/>
                  <w:u w:val="single" w:color="0462C1"/>
                </w:rPr>
                <w:t>gov</w:t>
              </w:r>
            </w:hyperlink>
          </w:p>
        </w:tc>
      </w:tr>
      <w:tr w:rsidR="0046798B" w14:paraId="5E7CC18E" w14:textId="77777777">
        <w:trPr>
          <w:trHeight w:val="775"/>
        </w:trPr>
        <w:tc>
          <w:tcPr>
            <w:tcW w:w="1711" w:type="dxa"/>
          </w:tcPr>
          <w:p w14:paraId="4640F138" w14:textId="77777777" w:rsidR="0046798B" w:rsidRDefault="00903B5C">
            <w:pPr>
              <w:pStyle w:val="TableParagraph"/>
              <w:spacing w:before="153"/>
              <w:ind w:left="115" w:right="121"/>
              <w:rPr>
                <w:b/>
                <w:sz w:val="20"/>
              </w:rPr>
            </w:pPr>
            <w:r>
              <w:rPr>
                <w:b/>
                <w:sz w:val="20"/>
              </w:rPr>
              <w:t>insurance_trust_ expenditure</w:t>
            </w:r>
          </w:p>
        </w:tc>
        <w:tc>
          <w:tcPr>
            <w:tcW w:w="1596" w:type="dxa"/>
          </w:tcPr>
          <w:p w14:paraId="4472D992" w14:textId="77777777" w:rsidR="0046798B" w:rsidRDefault="00903B5C">
            <w:pPr>
              <w:pStyle w:val="TableParagraph"/>
              <w:spacing w:before="153"/>
              <w:ind w:left="114" w:right="269"/>
              <w:rPr>
                <w:sz w:val="20"/>
              </w:rPr>
            </w:pPr>
            <w:r>
              <w:rPr>
                <w:sz w:val="20"/>
              </w:rPr>
              <w:t>Insurance trust expenditure</w:t>
            </w:r>
          </w:p>
        </w:tc>
        <w:tc>
          <w:tcPr>
            <w:tcW w:w="1285" w:type="dxa"/>
          </w:tcPr>
          <w:p w14:paraId="051182EB" w14:textId="77777777" w:rsidR="0046798B" w:rsidRDefault="0046798B">
            <w:pPr>
              <w:pStyle w:val="TableParagraph"/>
              <w:spacing w:before="3"/>
              <w:rPr>
                <w:sz w:val="23"/>
              </w:rPr>
            </w:pPr>
          </w:p>
          <w:p w14:paraId="0BD832C9" w14:textId="77777777" w:rsidR="0046798B" w:rsidRDefault="00903B5C">
            <w:pPr>
              <w:pStyle w:val="TableParagraph"/>
              <w:spacing w:before="1"/>
              <w:ind w:left="114"/>
              <w:rPr>
                <w:sz w:val="20"/>
              </w:rPr>
            </w:pPr>
            <w:r>
              <w:rPr>
                <w:sz w:val="20"/>
              </w:rPr>
              <w:t>2012–2016</w:t>
            </w:r>
          </w:p>
        </w:tc>
        <w:tc>
          <w:tcPr>
            <w:tcW w:w="3421" w:type="dxa"/>
          </w:tcPr>
          <w:p w14:paraId="00211274" w14:textId="77777777" w:rsidR="0046798B" w:rsidRDefault="00903B5C">
            <w:pPr>
              <w:pStyle w:val="TableParagraph"/>
              <w:spacing w:before="38"/>
              <w:ind w:left="114" w:right="139"/>
              <w:rPr>
                <w:sz w:val="20"/>
              </w:rPr>
            </w:pPr>
            <w:r>
              <w:rPr>
                <w:sz w:val="20"/>
              </w:rPr>
              <w:t>All state government finance data from the Census Bureau are in 1,000s of current dollars.</w:t>
            </w:r>
          </w:p>
        </w:tc>
        <w:tc>
          <w:tcPr>
            <w:tcW w:w="6482" w:type="dxa"/>
          </w:tcPr>
          <w:p w14:paraId="0FCD9FEB" w14:textId="77777777" w:rsidR="0046798B" w:rsidRDefault="00903B5C">
            <w:pPr>
              <w:pStyle w:val="TableParagraph"/>
              <w:spacing w:before="38"/>
              <w:ind w:left="114" w:right="121"/>
              <w:rPr>
                <w:sz w:val="20"/>
              </w:rPr>
            </w:pPr>
            <w:r>
              <w:rPr>
                <w:sz w:val="20"/>
              </w:rPr>
              <w:t xml:space="preserve">United States Census Bureau: </w:t>
            </w:r>
            <w:hyperlink r:id="rId130">
              <w:r>
                <w:rPr>
                  <w:color w:val="0462C1"/>
                  <w:sz w:val="20"/>
                  <w:u w:val="single" w:color="0462C1"/>
                </w:rPr>
                <w:t>https://factfinder.census.gov/faces/nav/jsf/pages/programs.xhtml?program=as</w:t>
              </w:r>
            </w:hyperlink>
            <w:r>
              <w:rPr>
                <w:color w:val="0462C1"/>
                <w:sz w:val="20"/>
              </w:rPr>
              <w:t xml:space="preserve"> </w:t>
            </w:r>
            <w:hyperlink r:id="rId131">
              <w:r>
                <w:rPr>
                  <w:color w:val="0462C1"/>
                  <w:sz w:val="20"/>
                  <w:u w:val="single" w:color="0462C1"/>
                </w:rPr>
                <w:t>gov</w:t>
              </w:r>
            </w:hyperlink>
          </w:p>
        </w:tc>
      </w:tr>
      <w:tr w:rsidR="0046798B" w14:paraId="67F063B2" w14:textId="77777777">
        <w:trPr>
          <w:trHeight w:val="775"/>
        </w:trPr>
        <w:tc>
          <w:tcPr>
            <w:tcW w:w="1711" w:type="dxa"/>
          </w:tcPr>
          <w:p w14:paraId="731A3BDB" w14:textId="77777777" w:rsidR="0046798B" w:rsidRDefault="00903B5C">
            <w:pPr>
              <w:pStyle w:val="TableParagraph"/>
              <w:spacing w:before="159"/>
              <w:ind w:left="115" w:right="121"/>
              <w:rPr>
                <w:b/>
                <w:sz w:val="20"/>
              </w:rPr>
            </w:pPr>
            <w:r>
              <w:rPr>
                <w:b/>
                <w:sz w:val="20"/>
              </w:rPr>
              <w:t>insurance_trust_ revenue</w:t>
            </w:r>
          </w:p>
        </w:tc>
        <w:tc>
          <w:tcPr>
            <w:tcW w:w="1596" w:type="dxa"/>
          </w:tcPr>
          <w:p w14:paraId="507739B8" w14:textId="77777777" w:rsidR="0046798B" w:rsidRDefault="00903B5C">
            <w:pPr>
              <w:pStyle w:val="TableParagraph"/>
              <w:spacing w:before="159"/>
              <w:ind w:left="114" w:right="269"/>
              <w:rPr>
                <w:sz w:val="20"/>
              </w:rPr>
            </w:pPr>
            <w:r>
              <w:rPr>
                <w:sz w:val="20"/>
              </w:rPr>
              <w:t>Insurance trust revenue</w:t>
            </w:r>
          </w:p>
        </w:tc>
        <w:tc>
          <w:tcPr>
            <w:tcW w:w="1285" w:type="dxa"/>
          </w:tcPr>
          <w:p w14:paraId="08EE16BF" w14:textId="77777777" w:rsidR="0046798B" w:rsidRDefault="0046798B">
            <w:pPr>
              <w:pStyle w:val="TableParagraph"/>
              <w:spacing w:before="9"/>
              <w:rPr>
                <w:sz w:val="23"/>
              </w:rPr>
            </w:pPr>
          </w:p>
          <w:p w14:paraId="30EB5B21" w14:textId="77777777" w:rsidR="0046798B" w:rsidRDefault="00903B5C">
            <w:pPr>
              <w:pStyle w:val="TableParagraph"/>
              <w:ind w:left="114"/>
              <w:rPr>
                <w:sz w:val="20"/>
              </w:rPr>
            </w:pPr>
            <w:r>
              <w:rPr>
                <w:sz w:val="20"/>
              </w:rPr>
              <w:t>2012–2016</w:t>
            </w:r>
          </w:p>
        </w:tc>
        <w:tc>
          <w:tcPr>
            <w:tcW w:w="3421" w:type="dxa"/>
          </w:tcPr>
          <w:p w14:paraId="5013CE3D" w14:textId="77777777" w:rsidR="0046798B" w:rsidRDefault="00903B5C">
            <w:pPr>
              <w:pStyle w:val="TableParagraph"/>
              <w:spacing w:before="44"/>
              <w:ind w:left="114" w:right="139"/>
              <w:rPr>
                <w:sz w:val="20"/>
              </w:rPr>
            </w:pPr>
            <w:r>
              <w:rPr>
                <w:sz w:val="20"/>
              </w:rPr>
              <w:t>All state government finance data from the Census Bureau are in 1,000s of current dollars.</w:t>
            </w:r>
          </w:p>
        </w:tc>
        <w:tc>
          <w:tcPr>
            <w:tcW w:w="6482" w:type="dxa"/>
          </w:tcPr>
          <w:p w14:paraId="22DBDE6B" w14:textId="77777777" w:rsidR="0046798B" w:rsidRDefault="00903B5C">
            <w:pPr>
              <w:pStyle w:val="TableParagraph"/>
              <w:spacing w:before="44"/>
              <w:ind w:left="114"/>
              <w:rPr>
                <w:sz w:val="20"/>
              </w:rPr>
            </w:pPr>
            <w:r>
              <w:rPr>
                <w:sz w:val="20"/>
              </w:rPr>
              <w:t xml:space="preserve">United States Census Bureau: </w:t>
            </w:r>
            <w:hyperlink r:id="rId132">
              <w:r>
                <w:rPr>
                  <w:color w:val="0462C1"/>
                  <w:sz w:val="20"/>
                  <w:u w:val="single" w:color="0462C1"/>
                </w:rPr>
                <w:t>https://factfinder.census.gov/faces/nav/jsf/pages/programs.xhtml?program=as</w:t>
              </w:r>
            </w:hyperlink>
            <w:r>
              <w:rPr>
                <w:color w:val="0462C1"/>
                <w:sz w:val="20"/>
              </w:rPr>
              <w:t xml:space="preserve"> </w:t>
            </w:r>
            <w:hyperlink r:id="rId133">
              <w:r>
                <w:rPr>
                  <w:color w:val="0462C1"/>
                  <w:sz w:val="20"/>
                  <w:u w:val="single" w:color="0462C1"/>
                </w:rPr>
                <w:t>gov</w:t>
              </w:r>
            </w:hyperlink>
          </w:p>
        </w:tc>
      </w:tr>
      <w:tr w:rsidR="0046798B" w14:paraId="439BDE53" w14:textId="77777777">
        <w:trPr>
          <w:trHeight w:val="775"/>
        </w:trPr>
        <w:tc>
          <w:tcPr>
            <w:tcW w:w="1711" w:type="dxa"/>
          </w:tcPr>
          <w:p w14:paraId="0C2D7FAE" w14:textId="77777777" w:rsidR="0046798B" w:rsidRDefault="00903B5C">
            <w:pPr>
              <w:pStyle w:val="TableParagraph"/>
              <w:spacing w:before="158"/>
              <w:ind w:left="115" w:right="133"/>
              <w:rPr>
                <w:b/>
                <w:sz w:val="20"/>
              </w:rPr>
            </w:pPr>
            <w:r>
              <w:rPr>
                <w:b/>
                <w:sz w:val="20"/>
              </w:rPr>
              <w:t>intergovernment al_revenue</w:t>
            </w:r>
          </w:p>
        </w:tc>
        <w:tc>
          <w:tcPr>
            <w:tcW w:w="1596" w:type="dxa"/>
          </w:tcPr>
          <w:p w14:paraId="4887EBC9" w14:textId="77777777" w:rsidR="0046798B" w:rsidRDefault="00903B5C">
            <w:pPr>
              <w:pStyle w:val="TableParagraph"/>
              <w:spacing w:before="158"/>
              <w:ind w:left="114" w:right="119"/>
              <w:rPr>
                <w:sz w:val="20"/>
              </w:rPr>
            </w:pPr>
            <w:r>
              <w:rPr>
                <w:sz w:val="20"/>
              </w:rPr>
              <w:t>Intergovernment al revenue</w:t>
            </w:r>
          </w:p>
        </w:tc>
        <w:tc>
          <w:tcPr>
            <w:tcW w:w="1285" w:type="dxa"/>
          </w:tcPr>
          <w:p w14:paraId="216D52FE" w14:textId="77777777" w:rsidR="0046798B" w:rsidRDefault="0046798B">
            <w:pPr>
              <w:pStyle w:val="TableParagraph"/>
              <w:spacing w:before="8"/>
              <w:rPr>
                <w:sz w:val="23"/>
              </w:rPr>
            </w:pPr>
          </w:p>
          <w:p w14:paraId="7A158CFF" w14:textId="77777777" w:rsidR="0046798B" w:rsidRDefault="00903B5C">
            <w:pPr>
              <w:pStyle w:val="TableParagraph"/>
              <w:spacing w:before="1"/>
              <w:ind w:left="114"/>
              <w:rPr>
                <w:sz w:val="20"/>
              </w:rPr>
            </w:pPr>
            <w:r>
              <w:rPr>
                <w:sz w:val="20"/>
              </w:rPr>
              <w:t>2012–2016</w:t>
            </w:r>
          </w:p>
        </w:tc>
        <w:tc>
          <w:tcPr>
            <w:tcW w:w="3421" w:type="dxa"/>
          </w:tcPr>
          <w:p w14:paraId="27CF11B8" w14:textId="77777777" w:rsidR="0046798B" w:rsidRDefault="00903B5C">
            <w:pPr>
              <w:pStyle w:val="TableParagraph"/>
              <w:spacing w:before="43"/>
              <w:ind w:left="114" w:right="358"/>
              <w:jc w:val="both"/>
              <w:rPr>
                <w:sz w:val="20"/>
              </w:rPr>
            </w:pPr>
            <w:r>
              <w:rPr>
                <w:sz w:val="20"/>
              </w:rPr>
              <w:t>Intergovernmental state revenue. All state government finance data are in 1,000s of current dollars.</w:t>
            </w:r>
          </w:p>
        </w:tc>
        <w:tc>
          <w:tcPr>
            <w:tcW w:w="6482" w:type="dxa"/>
          </w:tcPr>
          <w:p w14:paraId="4DE775B7" w14:textId="77777777" w:rsidR="0046798B" w:rsidRDefault="00903B5C">
            <w:pPr>
              <w:pStyle w:val="TableParagraph"/>
              <w:spacing w:before="43"/>
              <w:ind w:left="114" w:right="121"/>
              <w:rPr>
                <w:sz w:val="20"/>
              </w:rPr>
            </w:pPr>
            <w:r>
              <w:rPr>
                <w:sz w:val="20"/>
              </w:rPr>
              <w:t xml:space="preserve">United States Census Bureau: </w:t>
            </w:r>
            <w:hyperlink r:id="rId134">
              <w:r>
                <w:rPr>
                  <w:color w:val="0462C1"/>
                  <w:sz w:val="20"/>
                  <w:u w:val="single" w:color="0462C1"/>
                </w:rPr>
                <w:t>https://factfinder.census.gov/faces/nav/jsf/pages/programs.xhtml?program=as</w:t>
              </w:r>
            </w:hyperlink>
            <w:r>
              <w:rPr>
                <w:color w:val="0462C1"/>
                <w:sz w:val="20"/>
              </w:rPr>
              <w:t xml:space="preserve"> </w:t>
            </w:r>
            <w:hyperlink r:id="rId135">
              <w:r>
                <w:rPr>
                  <w:color w:val="0462C1"/>
                  <w:sz w:val="20"/>
                  <w:u w:val="single" w:color="0462C1"/>
                </w:rPr>
                <w:t>gov</w:t>
              </w:r>
            </w:hyperlink>
          </w:p>
        </w:tc>
      </w:tr>
      <w:tr w:rsidR="0046798B" w14:paraId="2BB77BB9" w14:textId="77777777">
        <w:trPr>
          <w:trHeight w:val="775"/>
        </w:trPr>
        <w:tc>
          <w:tcPr>
            <w:tcW w:w="1711" w:type="dxa"/>
          </w:tcPr>
          <w:p w14:paraId="4DACDEC2" w14:textId="77777777" w:rsidR="0046798B" w:rsidRDefault="0046798B">
            <w:pPr>
              <w:pStyle w:val="TableParagraph"/>
              <w:spacing w:before="8"/>
              <w:rPr>
                <w:sz w:val="23"/>
              </w:rPr>
            </w:pPr>
          </w:p>
          <w:p w14:paraId="7BEA92B0" w14:textId="77777777" w:rsidR="0046798B" w:rsidRDefault="00903B5C">
            <w:pPr>
              <w:pStyle w:val="TableParagraph"/>
              <w:spacing w:before="1"/>
              <w:ind w:left="115"/>
              <w:rPr>
                <w:b/>
                <w:sz w:val="20"/>
              </w:rPr>
            </w:pPr>
            <w:r>
              <w:rPr>
                <w:b/>
                <w:sz w:val="20"/>
              </w:rPr>
              <w:t>license_taxes</w:t>
            </w:r>
          </w:p>
        </w:tc>
        <w:tc>
          <w:tcPr>
            <w:tcW w:w="1596" w:type="dxa"/>
          </w:tcPr>
          <w:p w14:paraId="710A5E73" w14:textId="77777777" w:rsidR="0046798B" w:rsidRDefault="0046798B">
            <w:pPr>
              <w:pStyle w:val="TableParagraph"/>
              <w:spacing w:before="8"/>
              <w:rPr>
                <w:sz w:val="23"/>
              </w:rPr>
            </w:pPr>
          </w:p>
          <w:p w14:paraId="35D64D00" w14:textId="77777777" w:rsidR="0046798B" w:rsidRDefault="00903B5C">
            <w:pPr>
              <w:pStyle w:val="TableParagraph"/>
              <w:spacing w:before="1"/>
              <w:ind w:left="114"/>
              <w:rPr>
                <w:sz w:val="20"/>
              </w:rPr>
            </w:pPr>
            <w:r>
              <w:rPr>
                <w:sz w:val="20"/>
              </w:rPr>
              <w:t>License taxes</w:t>
            </w:r>
          </w:p>
        </w:tc>
        <w:tc>
          <w:tcPr>
            <w:tcW w:w="1285" w:type="dxa"/>
          </w:tcPr>
          <w:p w14:paraId="7954D023" w14:textId="77777777" w:rsidR="0046798B" w:rsidRDefault="0046798B">
            <w:pPr>
              <w:pStyle w:val="TableParagraph"/>
              <w:spacing w:before="8"/>
              <w:rPr>
                <w:sz w:val="23"/>
              </w:rPr>
            </w:pPr>
          </w:p>
          <w:p w14:paraId="45C1D86F" w14:textId="77777777" w:rsidR="0046798B" w:rsidRDefault="00903B5C">
            <w:pPr>
              <w:pStyle w:val="TableParagraph"/>
              <w:spacing w:before="1"/>
              <w:ind w:left="114"/>
              <w:rPr>
                <w:sz w:val="20"/>
              </w:rPr>
            </w:pPr>
            <w:r>
              <w:rPr>
                <w:sz w:val="20"/>
              </w:rPr>
              <w:t>2012–2016</w:t>
            </w:r>
          </w:p>
        </w:tc>
        <w:tc>
          <w:tcPr>
            <w:tcW w:w="3421" w:type="dxa"/>
          </w:tcPr>
          <w:p w14:paraId="3898EEC5" w14:textId="77777777" w:rsidR="0046798B" w:rsidRDefault="00903B5C">
            <w:pPr>
              <w:pStyle w:val="TableParagraph"/>
              <w:spacing w:before="43"/>
              <w:ind w:left="114" w:right="139"/>
              <w:rPr>
                <w:sz w:val="20"/>
              </w:rPr>
            </w:pPr>
            <w:r>
              <w:rPr>
                <w:sz w:val="20"/>
              </w:rPr>
              <w:t>All state government finance data from the Census Bureau are in 1,000s of current dollars.</w:t>
            </w:r>
          </w:p>
        </w:tc>
        <w:tc>
          <w:tcPr>
            <w:tcW w:w="6482" w:type="dxa"/>
          </w:tcPr>
          <w:p w14:paraId="5E0CCA3D" w14:textId="77777777" w:rsidR="0046798B" w:rsidRDefault="00903B5C">
            <w:pPr>
              <w:pStyle w:val="TableParagraph"/>
              <w:spacing w:before="43"/>
              <w:ind w:left="114"/>
              <w:rPr>
                <w:sz w:val="20"/>
              </w:rPr>
            </w:pPr>
            <w:r>
              <w:rPr>
                <w:sz w:val="20"/>
              </w:rPr>
              <w:t xml:space="preserve">United States Census Bureau: </w:t>
            </w:r>
            <w:hyperlink r:id="rId136">
              <w:r>
                <w:rPr>
                  <w:color w:val="0462C1"/>
                  <w:sz w:val="20"/>
                  <w:u w:val="single" w:color="0462C1"/>
                </w:rPr>
                <w:t>https://factfinder.census.gov/faces/nav/jsf/pages/programs.xhtml?program=as</w:t>
              </w:r>
            </w:hyperlink>
            <w:r>
              <w:rPr>
                <w:color w:val="0462C1"/>
                <w:sz w:val="20"/>
              </w:rPr>
              <w:t xml:space="preserve"> </w:t>
            </w:r>
            <w:hyperlink r:id="rId137">
              <w:r>
                <w:rPr>
                  <w:color w:val="0462C1"/>
                  <w:sz w:val="20"/>
                  <w:u w:val="single" w:color="0462C1"/>
                </w:rPr>
                <w:t>gov</w:t>
              </w:r>
            </w:hyperlink>
          </w:p>
        </w:tc>
      </w:tr>
      <w:tr w:rsidR="0046798B" w14:paraId="0342FAF5" w14:textId="77777777">
        <w:trPr>
          <w:trHeight w:val="780"/>
        </w:trPr>
        <w:tc>
          <w:tcPr>
            <w:tcW w:w="1711" w:type="dxa"/>
          </w:tcPr>
          <w:p w14:paraId="391241D2" w14:textId="77777777" w:rsidR="0046798B" w:rsidRDefault="00903B5C">
            <w:pPr>
              <w:pStyle w:val="TableParagraph"/>
              <w:spacing w:before="158"/>
              <w:ind w:left="115" w:right="155"/>
              <w:rPr>
                <w:b/>
                <w:sz w:val="20"/>
              </w:rPr>
            </w:pPr>
            <w:r>
              <w:rPr>
                <w:b/>
                <w:sz w:val="20"/>
              </w:rPr>
              <w:t>liquor_stores_ex penditure</w:t>
            </w:r>
          </w:p>
        </w:tc>
        <w:tc>
          <w:tcPr>
            <w:tcW w:w="1596" w:type="dxa"/>
          </w:tcPr>
          <w:p w14:paraId="0C73F86C" w14:textId="77777777" w:rsidR="0046798B" w:rsidRDefault="00903B5C">
            <w:pPr>
              <w:pStyle w:val="TableParagraph"/>
              <w:spacing w:before="158"/>
              <w:ind w:left="114" w:right="229"/>
              <w:rPr>
                <w:sz w:val="20"/>
              </w:rPr>
            </w:pPr>
            <w:r>
              <w:rPr>
                <w:sz w:val="20"/>
              </w:rPr>
              <w:t>Liquor stores expenditure</w:t>
            </w:r>
          </w:p>
        </w:tc>
        <w:tc>
          <w:tcPr>
            <w:tcW w:w="1285" w:type="dxa"/>
          </w:tcPr>
          <w:p w14:paraId="580E069F" w14:textId="77777777" w:rsidR="0046798B" w:rsidRDefault="0046798B">
            <w:pPr>
              <w:pStyle w:val="TableParagraph"/>
              <w:spacing w:before="9"/>
              <w:rPr>
                <w:sz w:val="23"/>
              </w:rPr>
            </w:pPr>
          </w:p>
          <w:p w14:paraId="2D20F53A" w14:textId="77777777" w:rsidR="0046798B" w:rsidRDefault="00903B5C">
            <w:pPr>
              <w:pStyle w:val="TableParagraph"/>
              <w:ind w:left="114"/>
              <w:rPr>
                <w:sz w:val="20"/>
              </w:rPr>
            </w:pPr>
            <w:r>
              <w:rPr>
                <w:sz w:val="20"/>
              </w:rPr>
              <w:t>2012–2016</w:t>
            </w:r>
          </w:p>
        </w:tc>
        <w:tc>
          <w:tcPr>
            <w:tcW w:w="3421" w:type="dxa"/>
          </w:tcPr>
          <w:p w14:paraId="646C8863" w14:textId="77777777" w:rsidR="0046798B" w:rsidRDefault="00903B5C">
            <w:pPr>
              <w:pStyle w:val="TableParagraph"/>
              <w:spacing w:before="43"/>
              <w:ind w:left="114" w:right="139"/>
              <w:rPr>
                <w:sz w:val="20"/>
              </w:rPr>
            </w:pPr>
            <w:r>
              <w:rPr>
                <w:sz w:val="20"/>
              </w:rPr>
              <w:t>All state government finance data from the Census Bureau are in 1,000s of current dollars.</w:t>
            </w:r>
          </w:p>
        </w:tc>
        <w:tc>
          <w:tcPr>
            <w:tcW w:w="6482" w:type="dxa"/>
          </w:tcPr>
          <w:p w14:paraId="32B92165" w14:textId="77777777" w:rsidR="0046798B" w:rsidRDefault="00903B5C">
            <w:pPr>
              <w:pStyle w:val="TableParagraph"/>
              <w:spacing w:before="43"/>
              <w:ind w:left="114"/>
              <w:rPr>
                <w:sz w:val="20"/>
              </w:rPr>
            </w:pPr>
            <w:r>
              <w:rPr>
                <w:sz w:val="20"/>
              </w:rPr>
              <w:t xml:space="preserve">United States Census Bureau: </w:t>
            </w:r>
            <w:hyperlink r:id="rId138">
              <w:r>
                <w:rPr>
                  <w:color w:val="0462C1"/>
                  <w:sz w:val="20"/>
                  <w:u w:val="single" w:color="0462C1"/>
                </w:rPr>
                <w:t>https://factfinder.census.gov/faces/nav/jsf/pages/programs.xhtml?program=as</w:t>
              </w:r>
            </w:hyperlink>
            <w:r>
              <w:rPr>
                <w:color w:val="0462C1"/>
                <w:sz w:val="20"/>
              </w:rPr>
              <w:t xml:space="preserve"> </w:t>
            </w:r>
            <w:hyperlink r:id="rId139">
              <w:r>
                <w:rPr>
                  <w:color w:val="0462C1"/>
                  <w:sz w:val="20"/>
                  <w:u w:val="single" w:color="0462C1"/>
                </w:rPr>
                <w:t>gov</w:t>
              </w:r>
            </w:hyperlink>
          </w:p>
        </w:tc>
      </w:tr>
      <w:tr w:rsidR="0046798B" w14:paraId="5DF1118D" w14:textId="77777777">
        <w:trPr>
          <w:trHeight w:val="775"/>
        </w:trPr>
        <w:tc>
          <w:tcPr>
            <w:tcW w:w="1711" w:type="dxa"/>
          </w:tcPr>
          <w:p w14:paraId="3BA2459F" w14:textId="77777777" w:rsidR="0046798B" w:rsidRDefault="00903B5C">
            <w:pPr>
              <w:pStyle w:val="TableParagraph"/>
              <w:spacing w:before="153"/>
              <w:ind w:left="115" w:right="166"/>
              <w:rPr>
                <w:b/>
                <w:sz w:val="20"/>
              </w:rPr>
            </w:pPr>
            <w:r>
              <w:rPr>
                <w:b/>
                <w:sz w:val="20"/>
              </w:rPr>
              <w:t>liquor_stores_re venue</w:t>
            </w:r>
          </w:p>
        </w:tc>
        <w:tc>
          <w:tcPr>
            <w:tcW w:w="1596" w:type="dxa"/>
          </w:tcPr>
          <w:p w14:paraId="5B55BC94" w14:textId="77777777" w:rsidR="0046798B" w:rsidRDefault="00903B5C">
            <w:pPr>
              <w:pStyle w:val="TableParagraph"/>
              <w:spacing w:before="153"/>
              <w:ind w:left="114" w:right="229"/>
              <w:rPr>
                <w:sz w:val="20"/>
              </w:rPr>
            </w:pPr>
            <w:r>
              <w:rPr>
                <w:sz w:val="20"/>
              </w:rPr>
              <w:t>Liquor stores revenue</w:t>
            </w:r>
          </w:p>
        </w:tc>
        <w:tc>
          <w:tcPr>
            <w:tcW w:w="1285" w:type="dxa"/>
          </w:tcPr>
          <w:p w14:paraId="0330661E" w14:textId="77777777" w:rsidR="0046798B" w:rsidRDefault="0046798B">
            <w:pPr>
              <w:pStyle w:val="TableParagraph"/>
              <w:spacing w:before="3"/>
              <w:rPr>
                <w:sz w:val="23"/>
              </w:rPr>
            </w:pPr>
          </w:p>
          <w:p w14:paraId="72CA3309" w14:textId="77777777" w:rsidR="0046798B" w:rsidRDefault="00903B5C">
            <w:pPr>
              <w:pStyle w:val="TableParagraph"/>
              <w:spacing w:before="1"/>
              <w:ind w:left="114"/>
              <w:rPr>
                <w:sz w:val="20"/>
              </w:rPr>
            </w:pPr>
            <w:r>
              <w:rPr>
                <w:sz w:val="20"/>
              </w:rPr>
              <w:t>2012–2016</w:t>
            </w:r>
          </w:p>
        </w:tc>
        <w:tc>
          <w:tcPr>
            <w:tcW w:w="3421" w:type="dxa"/>
          </w:tcPr>
          <w:p w14:paraId="5214CB92" w14:textId="77777777" w:rsidR="0046798B" w:rsidRDefault="00903B5C">
            <w:pPr>
              <w:pStyle w:val="TableParagraph"/>
              <w:spacing w:before="38"/>
              <w:ind w:left="114" w:right="139"/>
              <w:rPr>
                <w:sz w:val="20"/>
              </w:rPr>
            </w:pPr>
            <w:r>
              <w:rPr>
                <w:sz w:val="20"/>
              </w:rPr>
              <w:t>All state government finance data from the Census Bureau are in 1,000s of current dollars.</w:t>
            </w:r>
          </w:p>
        </w:tc>
        <w:tc>
          <w:tcPr>
            <w:tcW w:w="6482" w:type="dxa"/>
          </w:tcPr>
          <w:p w14:paraId="02D26ECB" w14:textId="77777777" w:rsidR="0046798B" w:rsidRDefault="00903B5C">
            <w:pPr>
              <w:pStyle w:val="TableParagraph"/>
              <w:spacing w:before="38"/>
              <w:ind w:left="114" w:right="121"/>
              <w:rPr>
                <w:sz w:val="20"/>
              </w:rPr>
            </w:pPr>
            <w:r>
              <w:rPr>
                <w:sz w:val="20"/>
              </w:rPr>
              <w:t xml:space="preserve">United States Census Bureau: </w:t>
            </w:r>
            <w:hyperlink r:id="rId140">
              <w:r>
                <w:rPr>
                  <w:color w:val="0462C1"/>
                  <w:sz w:val="20"/>
                  <w:u w:val="single" w:color="0462C1"/>
                </w:rPr>
                <w:t>https://factfinder.census.gov/faces/nav/jsf/pages/programs.xhtml?program=as</w:t>
              </w:r>
            </w:hyperlink>
            <w:r>
              <w:rPr>
                <w:color w:val="0462C1"/>
                <w:sz w:val="20"/>
              </w:rPr>
              <w:t xml:space="preserve"> </w:t>
            </w:r>
            <w:hyperlink r:id="rId141">
              <w:r>
                <w:rPr>
                  <w:color w:val="0462C1"/>
                  <w:sz w:val="20"/>
                  <w:u w:val="single" w:color="0462C1"/>
                </w:rPr>
                <w:t>gov</w:t>
              </w:r>
            </w:hyperlink>
          </w:p>
        </w:tc>
      </w:tr>
    </w:tbl>
    <w:p w14:paraId="043B23B9" w14:textId="77777777" w:rsidR="0046798B" w:rsidRDefault="0046798B">
      <w:pPr>
        <w:rPr>
          <w:sz w:val="20"/>
        </w:rPr>
        <w:sectPr w:rsidR="0046798B">
          <w:pgSz w:w="15840" w:h="12240" w:orient="landscape"/>
          <w:pgMar w:top="1220" w:right="300" w:bottom="980" w:left="820" w:header="730" w:footer="787" w:gutter="0"/>
          <w:cols w:space="720"/>
        </w:sectPr>
      </w:pPr>
    </w:p>
    <w:p w14:paraId="6BD61DFC"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65BD27FB" w14:textId="77777777">
        <w:trPr>
          <w:trHeight w:val="1926"/>
        </w:trPr>
        <w:tc>
          <w:tcPr>
            <w:tcW w:w="1711" w:type="dxa"/>
          </w:tcPr>
          <w:p w14:paraId="10494C14" w14:textId="77777777" w:rsidR="0046798B" w:rsidRDefault="0046798B">
            <w:pPr>
              <w:pStyle w:val="TableParagraph"/>
            </w:pPr>
          </w:p>
          <w:p w14:paraId="66F854BC" w14:textId="77777777" w:rsidR="0046798B" w:rsidRDefault="0046798B">
            <w:pPr>
              <w:pStyle w:val="TableParagraph"/>
            </w:pPr>
          </w:p>
          <w:p w14:paraId="5FD79659" w14:textId="77777777" w:rsidR="0046798B" w:rsidRDefault="0046798B">
            <w:pPr>
              <w:pStyle w:val="TableParagraph"/>
              <w:spacing w:before="9"/>
              <w:rPr>
                <w:sz w:val="29"/>
              </w:rPr>
            </w:pPr>
          </w:p>
          <w:p w14:paraId="6CAFBD4E" w14:textId="77777777" w:rsidR="0046798B" w:rsidRDefault="00903B5C">
            <w:pPr>
              <w:pStyle w:val="TableParagraph"/>
              <w:ind w:left="115"/>
              <w:rPr>
                <w:b/>
                <w:sz w:val="20"/>
              </w:rPr>
            </w:pPr>
            <w:r>
              <w:rPr>
                <w:b/>
                <w:sz w:val="20"/>
              </w:rPr>
              <w:t>lotticksales</w:t>
            </w:r>
          </w:p>
        </w:tc>
        <w:tc>
          <w:tcPr>
            <w:tcW w:w="1596" w:type="dxa"/>
          </w:tcPr>
          <w:p w14:paraId="2CFE4589" w14:textId="77777777" w:rsidR="0046798B" w:rsidRDefault="0046798B">
            <w:pPr>
              <w:pStyle w:val="TableParagraph"/>
            </w:pPr>
          </w:p>
          <w:p w14:paraId="31BE5756" w14:textId="77777777" w:rsidR="0046798B" w:rsidRDefault="0046798B">
            <w:pPr>
              <w:pStyle w:val="TableParagraph"/>
            </w:pPr>
          </w:p>
          <w:p w14:paraId="6E294B6A" w14:textId="77777777" w:rsidR="0046798B" w:rsidRDefault="0046798B">
            <w:pPr>
              <w:pStyle w:val="TableParagraph"/>
              <w:spacing w:before="9"/>
              <w:rPr>
                <w:sz w:val="19"/>
              </w:rPr>
            </w:pPr>
          </w:p>
          <w:p w14:paraId="413F2528" w14:textId="77777777" w:rsidR="0046798B" w:rsidRDefault="00903B5C">
            <w:pPr>
              <w:pStyle w:val="TableParagraph"/>
              <w:ind w:left="114" w:right="369"/>
              <w:rPr>
                <w:sz w:val="20"/>
              </w:rPr>
            </w:pPr>
            <w:r>
              <w:rPr>
                <w:sz w:val="20"/>
              </w:rPr>
              <w:t>Lottery ticket sales</w:t>
            </w:r>
          </w:p>
        </w:tc>
        <w:tc>
          <w:tcPr>
            <w:tcW w:w="1285" w:type="dxa"/>
          </w:tcPr>
          <w:p w14:paraId="2E814EEB" w14:textId="77777777" w:rsidR="0046798B" w:rsidRDefault="0046798B">
            <w:pPr>
              <w:pStyle w:val="TableParagraph"/>
            </w:pPr>
          </w:p>
          <w:p w14:paraId="31BD499D" w14:textId="77777777" w:rsidR="0046798B" w:rsidRDefault="0046798B">
            <w:pPr>
              <w:pStyle w:val="TableParagraph"/>
            </w:pPr>
          </w:p>
          <w:p w14:paraId="45BDE75F" w14:textId="77777777" w:rsidR="0046798B" w:rsidRDefault="0046798B">
            <w:pPr>
              <w:pStyle w:val="TableParagraph"/>
              <w:spacing w:before="9"/>
              <w:rPr>
                <w:sz w:val="29"/>
              </w:rPr>
            </w:pPr>
          </w:p>
          <w:p w14:paraId="21621176" w14:textId="77777777" w:rsidR="0046798B" w:rsidRDefault="00903B5C">
            <w:pPr>
              <w:pStyle w:val="TableParagraph"/>
              <w:ind w:left="114"/>
              <w:rPr>
                <w:sz w:val="20"/>
              </w:rPr>
            </w:pPr>
            <w:r>
              <w:rPr>
                <w:sz w:val="20"/>
              </w:rPr>
              <w:t>1992–2002</w:t>
            </w:r>
          </w:p>
        </w:tc>
        <w:tc>
          <w:tcPr>
            <w:tcW w:w="3421" w:type="dxa"/>
          </w:tcPr>
          <w:p w14:paraId="4A44AF90" w14:textId="77777777" w:rsidR="0046798B" w:rsidRDefault="0046798B">
            <w:pPr>
              <w:pStyle w:val="TableParagraph"/>
            </w:pPr>
          </w:p>
          <w:p w14:paraId="480FFD08" w14:textId="77777777" w:rsidR="0046798B" w:rsidRDefault="0046798B">
            <w:pPr>
              <w:pStyle w:val="TableParagraph"/>
              <w:spacing w:before="9"/>
              <w:rPr>
                <w:sz w:val="21"/>
              </w:rPr>
            </w:pPr>
          </w:p>
          <w:p w14:paraId="286AEDF4" w14:textId="77777777" w:rsidR="0046798B" w:rsidRDefault="00903B5C">
            <w:pPr>
              <w:pStyle w:val="TableParagraph"/>
              <w:ind w:left="114" w:right="282"/>
              <w:rPr>
                <w:sz w:val="20"/>
              </w:rPr>
            </w:pPr>
            <w:r>
              <w:rPr>
                <w:sz w:val="20"/>
              </w:rPr>
              <w:t>Lottery ticket sales for instant tickets, three-digit, four-digit, lotto and other tickets (excluding commissions) (in thousands)</w:t>
            </w:r>
          </w:p>
        </w:tc>
        <w:tc>
          <w:tcPr>
            <w:tcW w:w="6482" w:type="dxa"/>
          </w:tcPr>
          <w:p w14:paraId="29377F83" w14:textId="77777777" w:rsidR="0046798B" w:rsidRDefault="00903B5C">
            <w:pPr>
              <w:pStyle w:val="TableParagraph"/>
              <w:spacing w:before="43"/>
              <w:ind w:left="114" w:right="705"/>
              <w:rPr>
                <w:sz w:val="20"/>
              </w:rPr>
            </w:pPr>
            <w:r>
              <w:rPr>
                <w:sz w:val="20"/>
              </w:rPr>
              <w:t>U.S. Census Bureau. 2009. “Lottery Sales—Type of Game and Use of Proceeds.”</w:t>
            </w:r>
          </w:p>
          <w:p w14:paraId="51237E35" w14:textId="77777777" w:rsidR="0046798B" w:rsidRDefault="0046798B">
            <w:pPr>
              <w:pStyle w:val="TableParagraph"/>
              <w:rPr>
                <w:sz w:val="20"/>
              </w:rPr>
            </w:pPr>
          </w:p>
          <w:p w14:paraId="59ADAB3E" w14:textId="77777777" w:rsidR="0046798B" w:rsidRDefault="00903B5C">
            <w:pPr>
              <w:pStyle w:val="TableParagraph"/>
              <w:ind w:left="114" w:right="217"/>
              <w:rPr>
                <w:sz w:val="20"/>
              </w:rPr>
            </w:pPr>
            <w:r>
              <w:rPr>
                <w:sz w:val="20"/>
              </w:rPr>
              <w:t xml:space="preserve">Originally provided by Stateminder: A data visualization project from Georgetown University. </w:t>
            </w:r>
            <w:hyperlink r:id="rId142">
              <w:r>
                <w:rPr>
                  <w:sz w:val="20"/>
                </w:rPr>
                <w:t>http://stateminder.org/</w:t>
              </w:r>
            </w:hyperlink>
            <w:r>
              <w:rPr>
                <w:sz w:val="20"/>
                <w:u w:val="single"/>
              </w:rPr>
              <w:t xml:space="preserve"> (no longer accessible online)</w:t>
            </w:r>
          </w:p>
          <w:p w14:paraId="768F4A41" w14:textId="77777777" w:rsidR="0046798B" w:rsidRDefault="0046798B">
            <w:pPr>
              <w:pStyle w:val="TableParagraph"/>
              <w:spacing w:before="1"/>
              <w:rPr>
                <w:sz w:val="20"/>
              </w:rPr>
            </w:pPr>
          </w:p>
          <w:p w14:paraId="72208C8E" w14:textId="77777777" w:rsidR="0046798B" w:rsidRDefault="00903B5C">
            <w:pPr>
              <w:pStyle w:val="TableParagraph"/>
              <w:ind w:left="114" w:right="366"/>
              <w:rPr>
                <w:sz w:val="20"/>
              </w:rPr>
            </w:pPr>
            <w:r>
              <w:rPr>
                <w:sz w:val="20"/>
              </w:rPr>
              <w:t>Note: Data from Census is actually originally from TLF Publications, Inc., Boyds, MD, 2009 World Lottery Almanac (copyright).</w:t>
            </w:r>
          </w:p>
        </w:tc>
      </w:tr>
      <w:tr w:rsidR="0046798B" w14:paraId="4E9D2F0E" w14:textId="77777777">
        <w:trPr>
          <w:trHeight w:val="1005"/>
        </w:trPr>
        <w:tc>
          <w:tcPr>
            <w:tcW w:w="1711" w:type="dxa"/>
          </w:tcPr>
          <w:p w14:paraId="24B3C6E4" w14:textId="77777777" w:rsidR="0046798B" w:rsidRDefault="0046798B">
            <w:pPr>
              <w:pStyle w:val="TableParagraph"/>
            </w:pPr>
          </w:p>
          <w:p w14:paraId="1FE1D23A" w14:textId="77777777" w:rsidR="0046798B" w:rsidRDefault="00903B5C">
            <w:pPr>
              <w:pStyle w:val="TableParagraph"/>
              <w:spacing w:before="135"/>
              <w:ind w:left="115"/>
              <w:rPr>
                <w:b/>
                <w:sz w:val="20"/>
              </w:rPr>
            </w:pPr>
            <w:r>
              <w:rPr>
                <w:b/>
                <w:sz w:val="20"/>
              </w:rPr>
              <w:t>lotadmincosts</w:t>
            </w:r>
          </w:p>
        </w:tc>
        <w:tc>
          <w:tcPr>
            <w:tcW w:w="1596" w:type="dxa"/>
          </w:tcPr>
          <w:p w14:paraId="354AB3CB" w14:textId="77777777" w:rsidR="0046798B" w:rsidRDefault="00903B5C">
            <w:pPr>
              <w:pStyle w:val="TableParagraph"/>
              <w:spacing w:before="158"/>
              <w:ind w:left="114" w:right="296"/>
              <w:rPr>
                <w:sz w:val="20"/>
              </w:rPr>
            </w:pPr>
            <w:r>
              <w:rPr>
                <w:sz w:val="20"/>
              </w:rPr>
              <w:t>Lottery administration costs</w:t>
            </w:r>
          </w:p>
        </w:tc>
        <w:tc>
          <w:tcPr>
            <w:tcW w:w="1285" w:type="dxa"/>
          </w:tcPr>
          <w:p w14:paraId="0DE0397B" w14:textId="77777777" w:rsidR="0046798B" w:rsidRDefault="0046798B">
            <w:pPr>
              <w:pStyle w:val="TableParagraph"/>
            </w:pPr>
          </w:p>
          <w:p w14:paraId="6E09E924" w14:textId="77777777" w:rsidR="0046798B" w:rsidRDefault="00903B5C">
            <w:pPr>
              <w:pStyle w:val="TableParagraph"/>
              <w:spacing w:before="135"/>
              <w:ind w:left="114"/>
              <w:rPr>
                <w:sz w:val="20"/>
              </w:rPr>
            </w:pPr>
            <w:r>
              <w:rPr>
                <w:sz w:val="20"/>
              </w:rPr>
              <w:t>1992–1999</w:t>
            </w:r>
          </w:p>
        </w:tc>
        <w:tc>
          <w:tcPr>
            <w:tcW w:w="3421" w:type="dxa"/>
          </w:tcPr>
          <w:p w14:paraId="0D41F288" w14:textId="77777777" w:rsidR="0046798B" w:rsidRDefault="0046798B">
            <w:pPr>
              <w:pStyle w:val="TableParagraph"/>
              <w:spacing w:before="8"/>
              <w:rPr>
                <w:sz w:val="23"/>
              </w:rPr>
            </w:pPr>
          </w:p>
          <w:p w14:paraId="360206FA" w14:textId="77777777" w:rsidR="0046798B" w:rsidRDefault="00903B5C">
            <w:pPr>
              <w:pStyle w:val="TableParagraph"/>
              <w:spacing w:before="1"/>
              <w:ind w:left="114" w:right="760"/>
              <w:rPr>
                <w:sz w:val="20"/>
              </w:rPr>
            </w:pPr>
            <w:r>
              <w:rPr>
                <w:sz w:val="20"/>
              </w:rPr>
              <w:t>Lottery administration costs (in thousands)</w:t>
            </w:r>
          </w:p>
        </w:tc>
        <w:tc>
          <w:tcPr>
            <w:tcW w:w="6482" w:type="dxa"/>
          </w:tcPr>
          <w:p w14:paraId="06D267CF" w14:textId="77777777" w:rsidR="0046798B" w:rsidRDefault="00903B5C">
            <w:pPr>
              <w:pStyle w:val="TableParagraph"/>
              <w:spacing w:before="43"/>
              <w:ind w:left="114"/>
              <w:rPr>
                <w:sz w:val="20"/>
              </w:rPr>
            </w:pPr>
            <w:r>
              <w:rPr>
                <w:sz w:val="20"/>
              </w:rPr>
              <w:t>U.S. Census Bureau. 2012. “Lottery Prize Amounts Awarded.”</w:t>
            </w:r>
          </w:p>
          <w:p w14:paraId="50E53283" w14:textId="77777777" w:rsidR="0046798B" w:rsidRDefault="0046798B">
            <w:pPr>
              <w:pStyle w:val="TableParagraph"/>
              <w:rPr>
                <w:sz w:val="20"/>
              </w:rPr>
            </w:pPr>
          </w:p>
          <w:p w14:paraId="03CF9BEB" w14:textId="77777777" w:rsidR="0046798B" w:rsidRDefault="00903B5C">
            <w:pPr>
              <w:pStyle w:val="TableParagraph"/>
              <w:ind w:left="114" w:right="217"/>
              <w:rPr>
                <w:sz w:val="20"/>
              </w:rPr>
            </w:pPr>
            <w:r>
              <w:rPr>
                <w:sz w:val="20"/>
              </w:rPr>
              <w:t xml:space="preserve">Originally provided by Stateminder: A data visualization project from Georgetown University. </w:t>
            </w:r>
            <w:hyperlink r:id="rId143">
              <w:r>
                <w:rPr>
                  <w:sz w:val="20"/>
                </w:rPr>
                <w:t>http://stateminder.org/</w:t>
              </w:r>
            </w:hyperlink>
            <w:r>
              <w:rPr>
                <w:sz w:val="20"/>
                <w:u w:val="single"/>
              </w:rPr>
              <w:t xml:space="preserve"> (no longer accessible online)</w:t>
            </w:r>
          </w:p>
        </w:tc>
      </w:tr>
      <w:tr w:rsidR="0046798B" w14:paraId="2FA61BDC" w14:textId="77777777">
        <w:trPr>
          <w:trHeight w:val="1010"/>
        </w:trPr>
        <w:tc>
          <w:tcPr>
            <w:tcW w:w="1711" w:type="dxa"/>
          </w:tcPr>
          <w:p w14:paraId="7F231E20" w14:textId="77777777" w:rsidR="0046798B" w:rsidRDefault="0046798B">
            <w:pPr>
              <w:pStyle w:val="TableParagraph"/>
            </w:pPr>
          </w:p>
          <w:p w14:paraId="01479D00" w14:textId="77777777" w:rsidR="0046798B" w:rsidRDefault="00903B5C">
            <w:pPr>
              <w:pStyle w:val="TableParagraph"/>
              <w:spacing w:before="135"/>
              <w:ind w:left="115"/>
              <w:rPr>
                <w:b/>
                <w:sz w:val="20"/>
              </w:rPr>
            </w:pPr>
            <w:r>
              <w:rPr>
                <w:b/>
                <w:sz w:val="20"/>
              </w:rPr>
              <w:t>lotprize</w:t>
            </w:r>
          </w:p>
        </w:tc>
        <w:tc>
          <w:tcPr>
            <w:tcW w:w="1596" w:type="dxa"/>
          </w:tcPr>
          <w:p w14:paraId="335EC7B7" w14:textId="77777777" w:rsidR="0046798B" w:rsidRDefault="00903B5C">
            <w:pPr>
              <w:pStyle w:val="TableParagraph"/>
              <w:spacing w:before="158"/>
              <w:ind w:left="114" w:right="229"/>
              <w:rPr>
                <w:sz w:val="20"/>
              </w:rPr>
            </w:pPr>
            <w:r>
              <w:rPr>
                <w:sz w:val="20"/>
              </w:rPr>
              <w:t>Lottery prize amounts awarded</w:t>
            </w:r>
          </w:p>
        </w:tc>
        <w:tc>
          <w:tcPr>
            <w:tcW w:w="1285" w:type="dxa"/>
          </w:tcPr>
          <w:p w14:paraId="56209298" w14:textId="77777777" w:rsidR="0046798B" w:rsidRDefault="0046798B">
            <w:pPr>
              <w:pStyle w:val="TableParagraph"/>
            </w:pPr>
          </w:p>
          <w:p w14:paraId="3AA4B1C4" w14:textId="77777777" w:rsidR="0046798B" w:rsidRDefault="00903B5C">
            <w:pPr>
              <w:pStyle w:val="TableParagraph"/>
              <w:spacing w:before="135"/>
              <w:ind w:left="114"/>
              <w:rPr>
                <w:sz w:val="20"/>
              </w:rPr>
            </w:pPr>
            <w:r>
              <w:rPr>
                <w:sz w:val="20"/>
              </w:rPr>
              <w:t>1992–2002</w:t>
            </w:r>
          </w:p>
        </w:tc>
        <w:tc>
          <w:tcPr>
            <w:tcW w:w="3421" w:type="dxa"/>
          </w:tcPr>
          <w:p w14:paraId="5B447495" w14:textId="77777777" w:rsidR="0046798B" w:rsidRDefault="0046798B">
            <w:pPr>
              <w:pStyle w:val="TableParagraph"/>
              <w:spacing w:before="8"/>
              <w:rPr>
                <w:sz w:val="23"/>
              </w:rPr>
            </w:pPr>
          </w:p>
          <w:p w14:paraId="6C3963CC" w14:textId="77777777" w:rsidR="0046798B" w:rsidRDefault="00903B5C">
            <w:pPr>
              <w:pStyle w:val="TableParagraph"/>
              <w:spacing w:before="1"/>
              <w:ind w:left="114" w:right="511"/>
              <w:rPr>
                <w:sz w:val="20"/>
              </w:rPr>
            </w:pPr>
            <w:r>
              <w:rPr>
                <w:sz w:val="20"/>
              </w:rPr>
              <w:t>Lottery prize amounts awarded (in thousands)</w:t>
            </w:r>
          </w:p>
        </w:tc>
        <w:tc>
          <w:tcPr>
            <w:tcW w:w="6482" w:type="dxa"/>
          </w:tcPr>
          <w:p w14:paraId="70B689FC" w14:textId="77777777" w:rsidR="0046798B" w:rsidRDefault="00903B5C">
            <w:pPr>
              <w:pStyle w:val="TableParagraph"/>
              <w:spacing w:before="43"/>
              <w:ind w:left="114"/>
              <w:rPr>
                <w:sz w:val="20"/>
              </w:rPr>
            </w:pPr>
            <w:r>
              <w:rPr>
                <w:sz w:val="20"/>
              </w:rPr>
              <w:t>U.S. Census Bureau. 2012. “Lottery Prize Amounts Awarded.”</w:t>
            </w:r>
          </w:p>
          <w:p w14:paraId="25D87293" w14:textId="77777777" w:rsidR="0046798B" w:rsidRDefault="0046798B">
            <w:pPr>
              <w:pStyle w:val="TableParagraph"/>
              <w:rPr>
                <w:sz w:val="20"/>
              </w:rPr>
            </w:pPr>
          </w:p>
          <w:p w14:paraId="7BB025C6" w14:textId="77777777" w:rsidR="0046798B" w:rsidRDefault="00903B5C">
            <w:pPr>
              <w:pStyle w:val="TableParagraph"/>
              <w:ind w:left="114" w:right="217"/>
              <w:rPr>
                <w:sz w:val="20"/>
              </w:rPr>
            </w:pPr>
            <w:r>
              <w:rPr>
                <w:sz w:val="20"/>
              </w:rPr>
              <w:t xml:space="preserve">Originally provided by Stateminder: A data visualization project from Georgetown University. </w:t>
            </w:r>
            <w:hyperlink r:id="rId144">
              <w:r>
                <w:rPr>
                  <w:sz w:val="20"/>
                </w:rPr>
                <w:t>http://stateminder.org/</w:t>
              </w:r>
            </w:hyperlink>
            <w:r>
              <w:rPr>
                <w:sz w:val="20"/>
                <w:u w:val="single"/>
              </w:rPr>
              <w:t xml:space="preserve"> (no longer accessible online)</w:t>
            </w:r>
          </w:p>
        </w:tc>
      </w:tr>
      <w:tr w:rsidR="0046798B" w14:paraId="05F96405" w14:textId="77777777">
        <w:trPr>
          <w:trHeight w:val="775"/>
        </w:trPr>
        <w:tc>
          <w:tcPr>
            <w:tcW w:w="1711" w:type="dxa"/>
          </w:tcPr>
          <w:p w14:paraId="12879560" w14:textId="77777777" w:rsidR="0046798B" w:rsidRDefault="00903B5C">
            <w:pPr>
              <w:pStyle w:val="TableParagraph"/>
              <w:spacing w:before="153"/>
              <w:ind w:left="115" w:right="99"/>
              <w:rPr>
                <w:b/>
                <w:sz w:val="20"/>
              </w:rPr>
            </w:pPr>
            <w:r>
              <w:rPr>
                <w:b/>
                <w:sz w:val="20"/>
              </w:rPr>
              <w:t>miscellaneous_ge neral_revenue</w:t>
            </w:r>
          </w:p>
        </w:tc>
        <w:tc>
          <w:tcPr>
            <w:tcW w:w="1596" w:type="dxa"/>
          </w:tcPr>
          <w:p w14:paraId="767A3E2B" w14:textId="77777777" w:rsidR="0046798B" w:rsidRDefault="00903B5C">
            <w:pPr>
              <w:pStyle w:val="TableParagraph"/>
              <w:spacing w:before="153"/>
              <w:ind w:left="114" w:right="180"/>
              <w:rPr>
                <w:sz w:val="20"/>
              </w:rPr>
            </w:pPr>
            <w:r>
              <w:rPr>
                <w:sz w:val="20"/>
              </w:rPr>
              <w:t>Miscellaneous general revenue</w:t>
            </w:r>
          </w:p>
        </w:tc>
        <w:tc>
          <w:tcPr>
            <w:tcW w:w="1285" w:type="dxa"/>
          </w:tcPr>
          <w:p w14:paraId="4AAFDD99" w14:textId="77777777" w:rsidR="0046798B" w:rsidRDefault="0046798B">
            <w:pPr>
              <w:pStyle w:val="TableParagraph"/>
              <w:spacing w:before="4"/>
              <w:rPr>
                <w:sz w:val="23"/>
              </w:rPr>
            </w:pPr>
          </w:p>
          <w:p w14:paraId="57D518A9" w14:textId="77777777" w:rsidR="0046798B" w:rsidRDefault="00903B5C">
            <w:pPr>
              <w:pStyle w:val="TableParagraph"/>
              <w:ind w:left="114"/>
              <w:rPr>
                <w:sz w:val="20"/>
              </w:rPr>
            </w:pPr>
            <w:r>
              <w:rPr>
                <w:sz w:val="20"/>
              </w:rPr>
              <w:t>2012–2016</w:t>
            </w:r>
          </w:p>
        </w:tc>
        <w:tc>
          <w:tcPr>
            <w:tcW w:w="3421" w:type="dxa"/>
          </w:tcPr>
          <w:p w14:paraId="252002AF" w14:textId="77777777" w:rsidR="0046798B" w:rsidRDefault="00903B5C">
            <w:pPr>
              <w:pStyle w:val="TableParagraph"/>
              <w:spacing w:before="38"/>
              <w:ind w:left="114" w:right="139"/>
              <w:rPr>
                <w:sz w:val="20"/>
              </w:rPr>
            </w:pPr>
            <w:r>
              <w:rPr>
                <w:sz w:val="20"/>
              </w:rPr>
              <w:t>All state government finance data from the Census Bureau are in 1,000s of current dollars.</w:t>
            </w:r>
          </w:p>
        </w:tc>
        <w:tc>
          <w:tcPr>
            <w:tcW w:w="6482" w:type="dxa"/>
          </w:tcPr>
          <w:p w14:paraId="5813ADA4" w14:textId="77777777" w:rsidR="0046798B" w:rsidRDefault="00903B5C">
            <w:pPr>
              <w:pStyle w:val="TableParagraph"/>
              <w:spacing w:before="38"/>
              <w:ind w:left="114"/>
              <w:rPr>
                <w:sz w:val="20"/>
              </w:rPr>
            </w:pPr>
            <w:r>
              <w:rPr>
                <w:sz w:val="20"/>
              </w:rPr>
              <w:t xml:space="preserve">United States Census Bureau: </w:t>
            </w:r>
            <w:hyperlink r:id="rId145">
              <w:r>
                <w:rPr>
                  <w:color w:val="0462C1"/>
                  <w:sz w:val="20"/>
                  <w:u w:val="single" w:color="0462C1"/>
                </w:rPr>
                <w:t>https://factfinder.census.gov/faces/nav/jsf/pages/programs.xhtml?program=as</w:t>
              </w:r>
            </w:hyperlink>
            <w:r>
              <w:rPr>
                <w:color w:val="0462C1"/>
                <w:sz w:val="20"/>
              </w:rPr>
              <w:t xml:space="preserve"> </w:t>
            </w:r>
            <w:hyperlink r:id="rId146">
              <w:r>
                <w:rPr>
                  <w:color w:val="0462C1"/>
                  <w:sz w:val="20"/>
                  <w:u w:val="single" w:color="0462C1"/>
                </w:rPr>
                <w:t>gov</w:t>
              </w:r>
            </w:hyperlink>
          </w:p>
        </w:tc>
      </w:tr>
      <w:tr w:rsidR="0046798B" w14:paraId="6DCDC9CE" w14:textId="77777777">
        <w:trPr>
          <w:trHeight w:val="775"/>
        </w:trPr>
        <w:tc>
          <w:tcPr>
            <w:tcW w:w="1711" w:type="dxa"/>
          </w:tcPr>
          <w:p w14:paraId="4B7EB575" w14:textId="77777777" w:rsidR="0046798B" w:rsidRDefault="00903B5C">
            <w:pPr>
              <w:pStyle w:val="TableParagraph"/>
              <w:spacing w:before="153"/>
              <w:ind w:left="115" w:right="166"/>
              <w:rPr>
                <w:b/>
                <w:sz w:val="20"/>
              </w:rPr>
            </w:pPr>
            <w:r>
              <w:rPr>
                <w:b/>
                <w:sz w:val="20"/>
              </w:rPr>
              <w:t>selective_sales_r eceipts_taxes</w:t>
            </w:r>
          </w:p>
        </w:tc>
        <w:tc>
          <w:tcPr>
            <w:tcW w:w="1596" w:type="dxa"/>
          </w:tcPr>
          <w:p w14:paraId="570438B2" w14:textId="77777777" w:rsidR="0046798B" w:rsidRDefault="00903B5C">
            <w:pPr>
              <w:pStyle w:val="TableParagraph"/>
              <w:spacing w:before="38"/>
              <w:ind w:left="114" w:right="280"/>
              <w:rPr>
                <w:sz w:val="20"/>
              </w:rPr>
            </w:pPr>
            <w:r>
              <w:rPr>
                <w:sz w:val="20"/>
              </w:rPr>
              <w:t>Selective sales and gross receipts taxes</w:t>
            </w:r>
          </w:p>
        </w:tc>
        <w:tc>
          <w:tcPr>
            <w:tcW w:w="1285" w:type="dxa"/>
          </w:tcPr>
          <w:p w14:paraId="57FFF3C8" w14:textId="77777777" w:rsidR="0046798B" w:rsidRDefault="0046798B">
            <w:pPr>
              <w:pStyle w:val="TableParagraph"/>
              <w:spacing w:before="3"/>
              <w:rPr>
                <w:sz w:val="23"/>
              </w:rPr>
            </w:pPr>
          </w:p>
          <w:p w14:paraId="113827CF" w14:textId="77777777" w:rsidR="0046798B" w:rsidRDefault="00903B5C">
            <w:pPr>
              <w:pStyle w:val="TableParagraph"/>
              <w:spacing w:before="1"/>
              <w:ind w:left="114"/>
              <w:rPr>
                <w:sz w:val="20"/>
              </w:rPr>
            </w:pPr>
            <w:r>
              <w:rPr>
                <w:sz w:val="20"/>
              </w:rPr>
              <w:t>2012–2016</w:t>
            </w:r>
          </w:p>
        </w:tc>
        <w:tc>
          <w:tcPr>
            <w:tcW w:w="3421" w:type="dxa"/>
          </w:tcPr>
          <w:p w14:paraId="325BF61C" w14:textId="77777777" w:rsidR="0046798B" w:rsidRDefault="00903B5C">
            <w:pPr>
              <w:pStyle w:val="TableParagraph"/>
              <w:spacing w:before="38"/>
              <w:ind w:left="114" w:right="139"/>
              <w:rPr>
                <w:sz w:val="20"/>
              </w:rPr>
            </w:pPr>
            <w:r>
              <w:rPr>
                <w:sz w:val="20"/>
              </w:rPr>
              <w:t>All state government finance data from the Census Bureau are in 1,000s of current dollars.</w:t>
            </w:r>
          </w:p>
        </w:tc>
        <w:tc>
          <w:tcPr>
            <w:tcW w:w="6482" w:type="dxa"/>
          </w:tcPr>
          <w:p w14:paraId="0CFD55B5" w14:textId="77777777" w:rsidR="0046798B" w:rsidRDefault="00903B5C">
            <w:pPr>
              <w:pStyle w:val="TableParagraph"/>
              <w:spacing w:before="38"/>
              <w:ind w:left="114" w:right="121"/>
              <w:rPr>
                <w:sz w:val="20"/>
              </w:rPr>
            </w:pPr>
            <w:r>
              <w:rPr>
                <w:sz w:val="20"/>
              </w:rPr>
              <w:t xml:space="preserve">United States Census Bureau: </w:t>
            </w:r>
            <w:hyperlink r:id="rId147">
              <w:r>
                <w:rPr>
                  <w:color w:val="0462C1"/>
                  <w:sz w:val="20"/>
                  <w:u w:val="single" w:color="0462C1"/>
                </w:rPr>
                <w:t>https://factfinder.census.gov/faces/nav/jsf/pages/programs.xhtml?program=as</w:t>
              </w:r>
            </w:hyperlink>
            <w:r>
              <w:rPr>
                <w:color w:val="0462C1"/>
                <w:sz w:val="20"/>
              </w:rPr>
              <w:t xml:space="preserve"> </w:t>
            </w:r>
            <w:hyperlink r:id="rId148">
              <w:r>
                <w:rPr>
                  <w:color w:val="0462C1"/>
                  <w:sz w:val="20"/>
                  <w:u w:val="single" w:color="0462C1"/>
                </w:rPr>
                <w:t>gov</w:t>
              </w:r>
            </w:hyperlink>
          </w:p>
        </w:tc>
      </w:tr>
      <w:tr w:rsidR="0046798B" w14:paraId="03D45ABF" w14:textId="77777777">
        <w:trPr>
          <w:trHeight w:val="2155"/>
        </w:trPr>
        <w:tc>
          <w:tcPr>
            <w:tcW w:w="1711" w:type="dxa"/>
          </w:tcPr>
          <w:p w14:paraId="0AC3E7DD" w14:textId="77777777" w:rsidR="0046798B" w:rsidRDefault="0046798B">
            <w:pPr>
              <w:pStyle w:val="TableParagraph"/>
            </w:pPr>
          </w:p>
          <w:p w14:paraId="18A2BEDD" w14:textId="77777777" w:rsidR="0046798B" w:rsidRDefault="0046798B">
            <w:pPr>
              <w:pStyle w:val="TableParagraph"/>
            </w:pPr>
          </w:p>
          <w:p w14:paraId="3680D2E4" w14:textId="77777777" w:rsidR="0046798B" w:rsidRDefault="0046798B">
            <w:pPr>
              <w:pStyle w:val="TableParagraph"/>
            </w:pPr>
          </w:p>
          <w:p w14:paraId="07274DEC" w14:textId="77777777" w:rsidR="0046798B" w:rsidRDefault="0046798B">
            <w:pPr>
              <w:pStyle w:val="TableParagraph"/>
              <w:spacing w:before="4"/>
              <w:rPr>
                <w:sz w:val="17"/>
              </w:rPr>
            </w:pPr>
          </w:p>
          <w:p w14:paraId="09E50917" w14:textId="77777777" w:rsidR="0046798B" w:rsidRDefault="00903B5C">
            <w:pPr>
              <w:pStyle w:val="TableParagraph"/>
              <w:ind w:left="115"/>
              <w:rPr>
                <w:b/>
                <w:sz w:val="20"/>
              </w:rPr>
            </w:pPr>
            <w:r>
              <w:rPr>
                <w:b/>
                <w:sz w:val="20"/>
              </w:rPr>
              <w:t>taxrevcorporate</w:t>
            </w:r>
          </w:p>
        </w:tc>
        <w:tc>
          <w:tcPr>
            <w:tcW w:w="1596" w:type="dxa"/>
          </w:tcPr>
          <w:p w14:paraId="329A6D3B" w14:textId="77777777" w:rsidR="0046798B" w:rsidRDefault="0046798B">
            <w:pPr>
              <w:pStyle w:val="TableParagraph"/>
            </w:pPr>
          </w:p>
          <w:p w14:paraId="695D3AE9" w14:textId="77777777" w:rsidR="0046798B" w:rsidRDefault="0046798B">
            <w:pPr>
              <w:pStyle w:val="TableParagraph"/>
            </w:pPr>
          </w:p>
          <w:p w14:paraId="38A9EB9D" w14:textId="77777777" w:rsidR="0046798B" w:rsidRDefault="0046798B">
            <w:pPr>
              <w:pStyle w:val="TableParagraph"/>
              <w:spacing w:before="3"/>
              <w:rPr>
                <w:sz w:val="19"/>
              </w:rPr>
            </w:pPr>
          </w:p>
          <w:p w14:paraId="69C0C03F" w14:textId="77777777" w:rsidR="0046798B" w:rsidRDefault="00903B5C">
            <w:pPr>
              <w:pStyle w:val="TableParagraph"/>
              <w:spacing w:before="1"/>
              <w:ind w:left="114" w:right="419"/>
              <w:jc w:val="both"/>
              <w:rPr>
                <w:sz w:val="20"/>
              </w:rPr>
            </w:pPr>
            <w:r>
              <w:rPr>
                <w:sz w:val="20"/>
              </w:rPr>
              <w:t>Tax revenue, corporate net income</w:t>
            </w:r>
          </w:p>
        </w:tc>
        <w:tc>
          <w:tcPr>
            <w:tcW w:w="1285" w:type="dxa"/>
          </w:tcPr>
          <w:p w14:paraId="229C2567" w14:textId="77777777" w:rsidR="0046798B" w:rsidRDefault="0046798B">
            <w:pPr>
              <w:pStyle w:val="TableParagraph"/>
            </w:pPr>
          </w:p>
          <w:p w14:paraId="5B53A533" w14:textId="77777777" w:rsidR="0046798B" w:rsidRDefault="0046798B">
            <w:pPr>
              <w:pStyle w:val="TableParagraph"/>
            </w:pPr>
          </w:p>
          <w:p w14:paraId="32F58BFD" w14:textId="77777777" w:rsidR="0046798B" w:rsidRDefault="0046798B">
            <w:pPr>
              <w:pStyle w:val="TableParagraph"/>
            </w:pPr>
          </w:p>
          <w:p w14:paraId="1108496C" w14:textId="77777777" w:rsidR="0046798B" w:rsidRDefault="0046798B">
            <w:pPr>
              <w:pStyle w:val="TableParagraph"/>
              <w:spacing w:before="4"/>
              <w:rPr>
                <w:sz w:val="17"/>
              </w:rPr>
            </w:pPr>
          </w:p>
          <w:p w14:paraId="05F565EA" w14:textId="5E5093A4" w:rsidR="0046798B" w:rsidRDefault="00903B5C">
            <w:pPr>
              <w:pStyle w:val="TableParagraph"/>
              <w:ind w:left="114"/>
              <w:rPr>
                <w:sz w:val="20"/>
              </w:rPr>
            </w:pPr>
            <w:r>
              <w:rPr>
                <w:sz w:val="20"/>
              </w:rPr>
              <w:t>1946–201</w:t>
            </w:r>
            <w:r w:rsidR="00855B7D">
              <w:rPr>
                <w:sz w:val="20"/>
              </w:rPr>
              <w:t>9</w:t>
            </w:r>
          </w:p>
        </w:tc>
        <w:tc>
          <w:tcPr>
            <w:tcW w:w="3421" w:type="dxa"/>
          </w:tcPr>
          <w:p w14:paraId="325385E5" w14:textId="77777777" w:rsidR="0046798B" w:rsidRDefault="00903B5C">
            <w:pPr>
              <w:pStyle w:val="TableParagraph"/>
              <w:spacing w:before="43"/>
              <w:ind w:left="114" w:right="160"/>
              <w:rPr>
                <w:sz w:val="20"/>
              </w:rPr>
            </w:pPr>
            <w:r>
              <w:rPr>
                <w:sz w:val="20"/>
              </w:rPr>
              <w:t>Taxes on net income of corporations and unincorporated businesses (when taxed separately from individual income). Includes distinctively imposed net income taxes on special kinds of corporations (e.g., financial institutions). Measured in thousands of dollars. Sum of tax revenue from corporate net income.</w:t>
            </w:r>
          </w:p>
        </w:tc>
        <w:tc>
          <w:tcPr>
            <w:tcW w:w="6482" w:type="dxa"/>
          </w:tcPr>
          <w:p w14:paraId="49446B65" w14:textId="77777777" w:rsidR="0046798B" w:rsidRDefault="0046798B">
            <w:pPr>
              <w:pStyle w:val="TableParagraph"/>
            </w:pPr>
          </w:p>
          <w:p w14:paraId="60D8ED49" w14:textId="77777777" w:rsidR="0046798B" w:rsidRDefault="00903B5C">
            <w:pPr>
              <w:pStyle w:val="TableParagraph"/>
              <w:spacing w:before="130" w:line="460" w:lineRule="atLeast"/>
              <w:ind w:left="114" w:right="652"/>
              <w:rPr>
                <w:sz w:val="20"/>
              </w:rPr>
            </w:pPr>
            <w:r>
              <w:rPr>
                <w:sz w:val="20"/>
              </w:rPr>
              <w:t>U.S. Census Bureau. 2011. “State Government Tax Collections.” Originally provided by Stateminder: A data visualization project from</w:t>
            </w:r>
          </w:p>
          <w:p w14:paraId="7D14036D" w14:textId="77777777" w:rsidR="0046798B" w:rsidRDefault="00903B5C">
            <w:pPr>
              <w:pStyle w:val="TableParagraph"/>
              <w:ind w:left="114"/>
              <w:rPr>
                <w:sz w:val="20"/>
              </w:rPr>
            </w:pPr>
            <w:r>
              <w:rPr>
                <w:sz w:val="20"/>
              </w:rPr>
              <w:t xml:space="preserve">Georgetown University. </w:t>
            </w:r>
            <w:hyperlink r:id="rId149">
              <w:r>
                <w:rPr>
                  <w:sz w:val="20"/>
                </w:rPr>
                <w:t>http://stateminder.org/</w:t>
              </w:r>
            </w:hyperlink>
            <w:r>
              <w:rPr>
                <w:sz w:val="20"/>
                <w:u w:val="single"/>
              </w:rPr>
              <w:t xml:space="preserve"> (no longer accessible online)</w:t>
            </w:r>
          </w:p>
        </w:tc>
      </w:tr>
      <w:tr w:rsidR="0046798B" w14:paraId="5F602DEB" w14:textId="77777777">
        <w:trPr>
          <w:trHeight w:val="775"/>
        </w:trPr>
        <w:tc>
          <w:tcPr>
            <w:tcW w:w="1711" w:type="dxa"/>
          </w:tcPr>
          <w:p w14:paraId="04AA0577" w14:textId="77777777" w:rsidR="0046798B" w:rsidRDefault="0046798B">
            <w:pPr>
              <w:pStyle w:val="TableParagraph"/>
              <w:spacing w:before="9"/>
              <w:rPr>
                <w:sz w:val="23"/>
              </w:rPr>
            </w:pPr>
          </w:p>
          <w:p w14:paraId="09A062ED" w14:textId="77777777" w:rsidR="0046798B" w:rsidRDefault="00903B5C">
            <w:pPr>
              <w:pStyle w:val="TableParagraph"/>
              <w:ind w:left="115"/>
              <w:rPr>
                <w:b/>
                <w:sz w:val="20"/>
              </w:rPr>
            </w:pPr>
            <w:r>
              <w:rPr>
                <w:b/>
                <w:sz w:val="20"/>
              </w:rPr>
              <w:t>total_holdings</w:t>
            </w:r>
          </w:p>
        </w:tc>
        <w:tc>
          <w:tcPr>
            <w:tcW w:w="1596" w:type="dxa"/>
          </w:tcPr>
          <w:p w14:paraId="68FFD684" w14:textId="77777777" w:rsidR="0046798B" w:rsidRDefault="00903B5C">
            <w:pPr>
              <w:pStyle w:val="TableParagraph"/>
              <w:spacing w:before="43"/>
              <w:ind w:left="114" w:right="285"/>
              <w:rPr>
                <w:sz w:val="20"/>
              </w:rPr>
            </w:pPr>
            <w:r>
              <w:rPr>
                <w:sz w:val="20"/>
              </w:rPr>
              <w:t>Total cash and security holdings</w:t>
            </w:r>
          </w:p>
        </w:tc>
        <w:tc>
          <w:tcPr>
            <w:tcW w:w="1285" w:type="dxa"/>
          </w:tcPr>
          <w:p w14:paraId="39D57D8A" w14:textId="77777777" w:rsidR="0046798B" w:rsidRDefault="0046798B">
            <w:pPr>
              <w:pStyle w:val="TableParagraph"/>
              <w:spacing w:before="9"/>
              <w:rPr>
                <w:sz w:val="23"/>
              </w:rPr>
            </w:pPr>
          </w:p>
          <w:p w14:paraId="4E3DED13" w14:textId="77777777" w:rsidR="0046798B" w:rsidRDefault="00903B5C">
            <w:pPr>
              <w:pStyle w:val="TableParagraph"/>
              <w:ind w:left="114"/>
              <w:rPr>
                <w:sz w:val="20"/>
              </w:rPr>
            </w:pPr>
            <w:r>
              <w:rPr>
                <w:sz w:val="20"/>
              </w:rPr>
              <w:t>2012–2016</w:t>
            </w:r>
          </w:p>
        </w:tc>
        <w:tc>
          <w:tcPr>
            <w:tcW w:w="3421" w:type="dxa"/>
          </w:tcPr>
          <w:p w14:paraId="38BCD8DB" w14:textId="77777777" w:rsidR="0046798B" w:rsidRDefault="00903B5C">
            <w:pPr>
              <w:pStyle w:val="TableParagraph"/>
              <w:spacing w:before="43"/>
              <w:ind w:left="114" w:right="139"/>
              <w:rPr>
                <w:sz w:val="20"/>
              </w:rPr>
            </w:pPr>
            <w:r>
              <w:rPr>
                <w:sz w:val="20"/>
              </w:rPr>
              <w:t>All state government finance data from the Census Bureau are in 1,000s of current dollars.</w:t>
            </w:r>
          </w:p>
        </w:tc>
        <w:tc>
          <w:tcPr>
            <w:tcW w:w="6482" w:type="dxa"/>
          </w:tcPr>
          <w:p w14:paraId="3FD81310" w14:textId="77777777" w:rsidR="0046798B" w:rsidRDefault="00903B5C">
            <w:pPr>
              <w:pStyle w:val="TableParagraph"/>
              <w:spacing w:before="43"/>
              <w:ind w:left="114"/>
              <w:rPr>
                <w:sz w:val="20"/>
              </w:rPr>
            </w:pPr>
            <w:r>
              <w:rPr>
                <w:sz w:val="20"/>
              </w:rPr>
              <w:t xml:space="preserve">United States Census Bureau: </w:t>
            </w:r>
            <w:hyperlink r:id="rId150">
              <w:r>
                <w:rPr>
                  <w:color w:val="0462C1"/>
                  <w:sz w:val="20"/>
                  <w:u w:val="single" w:color="0462C1"/>
                </w:rPr>
                <w:t>https://factfinder.census.gov/faces/nav/jsf/pages/programs.xhtml?program=as</w:t>
              </w:r>
            </w:hyperlink>
            <w:r>
              <w:rPr>
                <w:color w:val="0462C1"/>
                <w:sz w:val="20"/>
              </w:rPr>
              <w:t xml:space="preserve"> </w:t>
            </w:r>
            <w:hyperlink r:id="rId151">
              <w:r>
                <w:rPr>
                  <w:color w:val="0462C1"/>
                  <w:sz w:val="20"/>
                  <w:u w:val="single" w:color="0462C1"/>
                </w:rPr>
                <w:t>gov</w:t>
              </w:r>
            </w:hyperlink>
          </w:p>
        </w:tc>
      </w:tr>
      <w:tr w:rsidR="0046798B" w14:paraId="5C31731C" w14:textId="77777777">
        <w:trPr>
          <w:trHeight w:val="775"/>
        </w:trPr>
        <w:tc>
          <w:tcPr>
            <w:tcW w:w="1711" w:type="dxa"/>
          </w:tcPr>
          <w:p w14:paraId="07CE79CD" w14:textId="77777777" w:rsidR="0046798B" w:rsidRDefault="00903B5C">
            <w:pPr>
              <w:pStyle w:val="TableParagraph"/>
              <w:spacing w:before="158"/>
              <w:ind w:left="115"/>
              <w:rPr>
                <w:b/>
                <w:sz w:val="20"/>
              </w:rPr>
            </w:pPr>
            <w:r>
              <w:rPr>
                <w:b/>
                <w:sz w:val="20"/>
              </w:rPr>
              <w:t>utility_expenditu re</w:t>
            </w:r>
          </w:p>
        </w:tc>
        <w:tc>
          <w:tcPr>
            <w:tcW w:w="1596" w:type="dxa"/>
          </w:tcPr>
          <w:p w14:paraId="17235064" w14:textId="77777777" w:rsidR="0046798B" w:rsidRDefault="00903B5C">
            <w:pPr>
              <w:pStyle w:val="TableParagraph"/>
              <w:spacing w:before="158"/>
              <w:ind w:left="114" w:right="507"/>
              <w:rPr>
                <w:sz w:val="20"/>
              </w:rPr>
            </w:pPr>
            <w:r>
              <w:rPr>
                <w:sz w:val="20"/>
              </w:rPr>
              <w:t>Utility expenditure</w:t>
            </w:r>
          </w:p>
        </w:tc>
        <w:tc>
          <w:tcPr>
            <w:tcW w:w="1285" w:type="dxa"/>
          </w:tcPr>
          <w:p w14:paraId="40CFD888" w14:textId="77777777" w:rsidR="0046798B" w:rsidRDefault="0046798B">
            <w:pPr>
              <w:pStyle w:val="TableParagraph"/>
              <w:spacing w:before="8"/>
              <w:rPr>
                <w:sz w:val="23"/>
              </w:rPr>
            </w:pPr>
          </w:p>
          <w:p w14:paraId="00B2A8D6" w14:textId="77777777" w:rsidR="0046798B" w:rsidRDefault="00903B5C">
            <w:pPr>
              <w:pStyle w:val="TableParagraph"/>
              <w:spacing w:before="1"/>
              <w:ind w:left="114"/>
              <w:rPr>
                <w:sz w:val="20"/>
              </w:rPr>
            </w:pPr>
            <w:r>
              <w:rPr>
                <w:sz w:val="20"/>
              </w:rPr>
              <w:t>2012–2016</w:t>
            </w:r>
          </w:p>
        </w:tc>
        <w:tc>
          <w:tcPr>
            <w:tcW w:w="3421" w:type="dxa"/>
          </w:tcPr>
          <w:p w14:paraId="6103BB88" w14:textId="77777777" w:rsidR="0046798B" w:rsidRDefault="00903B5C">
            <w:pPr>
              <w:pStyle w:val="TableParagraph"/>
              <w:spacing w:before="43"/>
              <w:ind w:left="114" w:right="139"/>
              <w:rPr>
                <w:sz w:val="20"/>
              </w:rPr>
            </w:pPr>
            <w:r>
              <w:rPr>
                <w:sz w:val="20"/>
              </w:rPr>
              <w:t>All state government finance data from the Census Bureau are in 1,000s of current dollars.</w:t>
            </w:r>
          </w:p>
        </w:tc>
        <w:tc>
          <w:tcPr>
            <w:tcW w:w="6482" w:type="dxa"/>
          </w:tcPr>
          <w:p w14:paraId="673E4D89" w14:textId="77777777" w:rsidR="0046798B" w:rsidRDefault="00903B5C">
            <w:pPr>
              <w:pStyle w:val="TableParagraph"/>
              <w:spacing w:before="43"/>
              <w:ind w:left="114"/>
              <w:rPr>
                <w:sz w:val="20"/>
              </w:rPr>
            </w:pPr>
            <w:r>
              <w:rPr>
                <w:sz w:val="20"/>
              </w:rPr>
              <w:t xml:space="preserve">United States Census Bureau: </w:t>
            </w:r>
            <w:hyperlink r:id="rId152">
              <w:r>
                <w:rPr>
                  <w:color w:val="0462C1"/>
                  <w:sz w:val="20"/>
                  <w:u w:val="single" w:color="0462C1"/>
                </w:rPr>
                <w:t>https://factfinder.census.gov/faces/nav/jsf/pages/programs.xhtml?program=as</w:t>
              </w:r>
            </w:hyperlink>
            <w:r>
              <w:rPr>
                <w:color w:val="0462C1"/>
                <w:sz w:val="20"/>
              </w:rPr>
              <w:t xml:space="preserve"> </w:t>
            </w:r>
            <w:hyperlink r:id="rId153">
              <w:r>
                <w:rPr>
                  <w:color w:val="0462C1"/>
                  <w:sz w:val="20"/>
                  <w:u w:val="single" w:color="0462C1"/>
                </w:rPr>
                <w:t>gov</w:t>
              </w:r>
            </w:hyperlink>
          </w:p>
        </w:tc>
      </w:tr>
    </w:tbl>
    <w:p w14:paraId="7019DA0D" w14:textId="77777777" w:rsidR="0046798B" w:rsidRDefault="0046798B">
      <w:pPr>
        <w:rPr>
          <w:sz w:val="20"/>
        </w:rPr>
        <w:sectPr w:rsidR="0046798B">
          <w:pgSz w:w="15840" w:h="12240" w:orient="landscape"/>
          <w:pgMar w:top="1220" w:right="300" w:bottom="980" w:left="820" w:header="730" w:footer="787" w:gutter="0"/>
          <w:cols w:space="720"/>
        </w:sectPr>
      </w:pPr>
    </w:p>
    <w:p w14:paraId="2ACF1F9B"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7695614A" w14:textId="77777777">
        <w:trPr>
          <w:trHeight w:val="775"/>
        </w:trPr>
        <w:tc>
          <w:tcPr>
            <w:tcW w:w="1711" w:type="dxa"/>
          </w:tcPr>
          <w:p w14:paraId="66FC52F3" w14:textId="77777777" w:rsidR="0046798B" w:rsidRDefault="0046798B">
            <w:pPr>
              <w:pStyle w:val="TableParagraph"/>
              <w:spacing w:before="9"/>
              <w:rPr>
                <w:sz w:val="23"/>
              </w:rPr>
            </w:pPr>
          </w:p>
          <w:p w14:paraId="790725B7" w14:textId="77777777" w:rsidR="0046798B" w:rsidRDefault="00903B5C">
            <w:pPr>
              <w:pStyle w:val="TableParagraph"/>
              <w:ind w:left="115"/>
              <w:rPr>
                <w:b/>
                <w:sz w:val="20"/>
              </w:rPr>
            </w:pPr>
            <w:r>
              <w:rPr>
                <w:b/>
                <w:sz w:val="20"/>
              </w:rPr>
              <w:t>utility_revenue</w:t>
            </w:r>
          </w:p>
        </w:tc>
        <w:tc>
          <w:tcPr>
            <w:tcW w:w="1596" w:type="dxa"/>
          </w:tcPr>
          <w:p w14:paraId="223EDDD6" w14:textId="77777777" w:rsidR="0046798B" w:rsidRDefault="0046798B">
            <w:pPr>
              <w:pStyle w:val="TableParagraph"/>
              <w:spacing w:before="9"/>
              <w:rPr>
                <w:sz w:val="23"/>
              </w:rPr>
            </w:pPr>
          </w:p>
          <w:p w14:paraId="60D11410" w14:textId="77777777" w:rsidR="0046798B" w:rsidRDefault="00903B5C">
            <w:pPr>
              <w:pStyle w:val="TableParagraph"/>
              <w:ind w:left="114"/>
              <w:rPr>
                <w:sz w:val="20"/>
              </w:rPr>
            </w:pPr>
            <w:r>
              <w:rPr>
                <w:sz w:val="20"/>
              </w:rPr>
              <w:t>Utility revenue</w:t>
            </w:r>
          </w:p>
        </w:tc>
        <w:tc>
          <w:tcPr>
            <w:tcW w:w="1285" w:type="dxa"/>
          </w:tcPr>
          <w:p w14:paraId="4FFB81ED" w14:textId="77777777" w:rsidR="0046798B" w:rsidRDefault="0046798B">
            <w:pPr>
              <w:pStyle w:val="TableParagraph"/>
              <w:spacing w:before="9"/>
              <w:rPr>
                <w:sz w:val="23"/>
              </w:rPr>
            </w:pPr>
          </w:p>
          <w:p w14:paraId="7EB45250" w14:textId="77777777" w:rsidR="0046798B" w:rsidRDefault="00903B5C">
            <w:pPr>
              <w:pStyle w:val="TableParagraph"/>
              <w:ind w:left="114"/>
              <w:rPr>
                <w:sz w:val="20"/>
              </w:rPr>
            </w:pPr>
            <w:r>
              <w:rPr>
                <w:sz w:val="20"/>
              </w:rPr>
              <w:t>2012–2016</w:t>
            </w:r>
          </w:p>
        </w:tc>
        <w:tc>
          <w:tcPr>
            <w:tcW w:w="3421" w:type="dxa"/>
          </w:tcPr>
          <w:p w14:paraId="66C6B282" w14:textId="77777777" w:rsidR="0046798B" w:rsidRDefault="00903B5C">
            <w:pPr>
              <w:pStyle w:val="TableParagraph"/>
              <w:spacing w:before="43"/>
              <w:ind w:left="114" w:right="139"/>
              <w:rPr>
                <w:sz w:val="20"/>
              </w:rPr>
            </w:pPr>
            <w:r>
              <w:rPr>
                <w:sz w:val="20"/>
              </w:rPr>
              <w:t>All state government finance data from the Census Bureau are in 1,000s of current dollars.</w:t>
            </w:r>
          </w:p>
        </w:tc>
        <w:tc>
          <w:tcPr>
            <w:tcW w:w="6482" w:type="dxa"/>
          </w:tcPr>
          <w:p w14:paraId="6FBB1158" w14:textId="77777777" w:rsidR="0046798B" w:rsidRDefault="00903B5C">
            <w:pPr>
              <w:pStyle w:val="TableParagraph"/>
              <w:spacing w:before="43"/>
              <w:ind w:left="114"/>
              <w:rPr>
                <w:sz w:val="20"/>
              </w:rPr>
            </w:pPr>
            <w:r>
              <w:rPr>
                <w:sz w:val="20"/>
              </w:rPr>
              <w:t xml:space="preserve">United States Census Bureau: </w:t>
            </w:r>
            <w:hyperlink r:id="rId154">
              <w:r>
                <w:rPr>
                  <w:color w:val="0462C1"/>
                  <w:sz w:val="20"/>
                  <w:u w:val="single" w:color="0462C1"/>
                </w:rPr>
                <w:t>https://factfinder.census.gov/faces/nav/jsf/pages/programs.xhtml?program=as</w:t>
              </w:r>
            </w:hyperlink>
            <w:r>
              <w:rPr>
                <w:color w:val="0462C1"/>
                <w:sz w:val="20"/>
              </w:rPr>
              <w:t xml:space="preserve"> </w:t>
            </w:r>
            <w:hyperlink r:id="rId155">
              <w:r>
                <w:rPr>
                  <w:color w:val="0462C1"/>
                  <w:sz w:val="20"/>
                  <w:u w:val="single" w:color="0462C1"/>
                </w:rPr>
                <w:t>gov</w:t>
              </w:r>
            </w:hyperlink>
          </w:p>
        </w:tc>
      </w:tr>
      <w:tr w:rsidR="0046798B" w14:paraId="10A6A3FA" w14:textId="77777777">
        <w:trPr>
          <w:trHeight w:val="3076"/>
        </w:trPr>
        <w:tc>
          <w:tcPr>
            <w:tcW w:w="1711" w:type="dxa"/>
          </w:tcPr>
          <w:p w14:paraId="5BC24BB1" w14:textId="77777777" w:rsidR="0046798B" w:rsidRDefault="0046798B">
            <w:pPr>
              <w:pStyle w:val="TableParagraph"/>
            </w:pPr>
          </w:p>
          <w:p w14:paraId="47DEB039" w14:textId="77777777" w:rsidR="0046798B" w:rsidRDefault="0046798B">
            <w:pPr>
              <w:pStyle w:val="TableParagraph"/>
            </w:pPr>
          </w:p>
          <w:p w14:paraId="451B5C44" w14:textId="77777777" w:rsidR="0046798B" w:rsidRDefault="0046798B">
            <w:pPr>
              <w:pStyle w:val="TableParagraph"/>
            </w:pPr>
          </w:p>
          <w:p w14:paraId="45AF6336" w14:textId="77777777" w:rsidR="0046798B" w:rsidRDefault="0046798B">
            <w:pPr>
              <w:pStyle w:val="TableParagraph"/>
            </w:pPr>
          </w:p>
          <w:p w14:paraId="747DE588" w14:textId="77777777" w:rsidR="0046798B" w:rsidRDefault="0046798B">
            <w:pPr>
              <w:pStyle w:val="TableParagraph"/>
            </w:pPr>
          </w:p>
          <w:p w14:paraId="1CDB8739" w14:textId="77777777" w:rsidR="0046798B" w:rsidRDefault="00903B5C">
            <w:pPr>
              <w:pStyle w:val="TableParagraph"/>
              <w:spacing w:before="159"/>
              <w:ind w:left="115"/>
              <w:rPr>
                <w:b/>
                <w:sz w:val="20"/>
              </w:rPr>
            </w:pPr>
            <w:r>
              <w:rPr>
                <w:b/>
                <w:sz w:val="20"/>
              </w:rPr>
              <w:t>firms</w:t>
            </w:r>
          </w:p>
        </w:tc>
        <w:tc>
          <w:tcPr>
            <w:tcW w:w="1596" w:type="dxa"/>
          </w:tcPr>
          <w:p w14:paraId="2CDF5014" w14:textId="77777777" w:rsidR="0046798B" w:rsidRDefault="0046798B">
            <w:pPr>
              <w:pStyle w:val="TableParagraph"/>
            </w:pPr>
          </w:p>
          <w:p w14:paraId="0E0FD5DA" w14:textId="77777777" w:rsidR="0046798B" w:rsidRDefault="0046798B">
            <w:pPr>
              <w:pStyle w:val="TableParagraph"/>
            </w:pPr>
          </w:p>
          <w:p w14:paraId="108BC3B8" w14:textId="77777777" w:rsidR="0046798B" w:rsidRDefault="0046798B">
            <w:pPr>
              <w:pStyle w:val="TableParagraph"/>
            </w:pPr>
          </w:p>
          <w:p w14:paraId="5CE0342C" w14:textId="77777777" w:rsidR="0046798B" w:rsidRDefault="0046798B">
            <w:pPr>
              <w:pStyle w:val="TableParagraph"/>
            </w:pPr>
          </w:p>
          <w:p w14:paraId="203E5D05" w14:textId="77777777" w:rsidR="0046798B" w:rsidRDefault="0046798B">
            <w:pPr>
              <w:pStyle w:val="TableParagraph"/>
            </w:pPr>
          </w:p>
          <w:p w14:paraId="138344E9" w14:textId="77777777" w:rsidR="0046798B" w:rsidRDefault="00903B5C">
            <w:pPr>
              <w:pStyle w:val="TableParagraph"/>
              <w:spacing w:before="159"/>
              <w:ind w:left="114"/>
              <w:rPr>
                <w:sz w:val="20"/>
              </w:rPr>
            </w:pPr>
            <w:r>
              <w:rPr>
                <w:sz w:val="20"/>
              </w:rPr>
              <w:t>Number of firms</w:t>
            </w:r>
          </w:p>
        </w:tc>
        <w:tc>
          <w:tcPr>
            <w:tcW w:w="1285" w:type="dxa"/>
          </w:tcPr>
          <w:p w14:paraId="2DF76C0C" w14:textId="77777777" w:rsidR="0046798B" w:rsidRDefault="0046798B">
            <w:pPr>
              <w:pStyle w:val="TableParagraph"/>
            </w:pPr>
          </w:p>
          <w:p w14:paraId="07F8D431" w14:textId="77777777" w:rsidR="0046798B" w:rsidRDefault="0046798B">
            <w:pPr>
              <w:pStyle w:val="TableParagraph"/>
            </w:pPr>
          </w:p>
          <w:p w14:paraId="6FF10861" w14:textId="77777777" w:rsidR="0046798B" w:rsidRDefault="0046798B">
            <w:pPr>
              <w:pStyle w:val="TableParagraph"/>
            </w:pPr>
          </w:p>
          <w:p w14:paraId="0CDB745E" w14:textId="77777777" w:rsidR="0046798B" w:rsidRDefault="0046798B">
            <w:pPr>
              <w:pStyle w:val="TableParagraph"/>
            </w:pPr>
          </w:p>
          <w:p w14:paraId="5A0BE8D4" w14:textId="77777777" w:rsidR="0046798B" w:rsidRDefault="0046798B">
            <w:pPr>
              <w:pStyle w:val="TableParagraph"/>
            </w:pPr>
          </w:p>
          <w:p w14:paraId="15EFED14" w14:textId="2FE37C64" w:rsidR="0046798B" w:rsidRDefault="00903B5C">
            <w:pPr>
              <w:pStyle w:val="TableParagraph"/>
              <w:spacing w:before="159"/>
              <w:ind w:left="114"/>
              <w:rPr>
                <w:sz w:val="20"/>
              </w:rPr>
            </w:pPr>
            <w:r>
              <w:rPr>
                <w:sz w:val="20"/>
              </w:rPr>
              <w:t>1988–201</w:t>
            </w:r>
            <w:r w:rsidR="00855B7D">
              <w:rPr>
                <w:sz w:val="20"/>
              </w:rPr>
              <w:t>7</w:t>
            </w:r>
          </w:p>
        </w:tc>
        <w:tc>
          <w:tcPr>
            <w:tcW w:w="3421" w:type="dxa"/>
          </w:tcPr>
          <w:p w14:paraId="3066C67F" w14:textId="77777777" w:rsidR="0046798B" w:rsidRDefault="00903B5C">
            <w:pPr>
              <w:pStyle w:val="TableParagraph"/>
              <w:spacing w:before="43"/>
              <w:ind w:left="114" w:right="140"/>
              <w:rPr>
                <w:sz w:val="20"/>
              </w:rPr>
            </w:pPr>
            <w:r>
              <w:rPr>
                <w:sz w:val="20"/>
              </w:rPr>
              <w:t xml:space="preserve">Number of Firms. A firm is a business organization consisting of one or more domestic establishments in the same state and industry that were specified under common ownership or control. The firm and the establishment are the same for single-establishment firms. For each multi-establishment firm, establishments in the same industry within a state will be counted as one firm—the firm employment and </w:t>
            </w:r>
            <w:r>
              <w:rPr>
                <w:spacing w:val="-2"/>
                <w:sz w:val="20"/>
              </w:rPr>
              <w:t xml:space="preserve">annual </w:t>
            </w:r>
            <w:r>
              <w:rPr>
                <w:sz w:val="20"/>
              </w:rPr>
              <w:t>payroll are summed from the associated establishments.</w:t>
            </w:r>
          </w:p>
        </w:tc>
        <w:tc>
          <w:tcPr>
            <w:tcW w:w="6482" w:type="dxa"/>
          </w:tcPr>
          <w:p w14:paraId="71D9D2BF" w14:textId="77777777" w:rsidR="0046798B" w:rsidRDefault="0046798B">
            <w:pPr>
              <w:pStyle w:val="TableParagraph"/>
            </w:pPr>
          </w:p>
          <w:p w14:paraId="4C76D6B5" w14:textId="77777777" w:rsidR="0046798B" w:rsidRDefault="0046798B">
            <w:pPr>
              <w:pStyle w:val="TableParagraph"/>
            </w:pPr>
          </w:p>
          <w:p w14:paraId="0617B832" w14:textId="77777777" w:rsidR="0046798B" w:rsidRDefault="0046798B">
            <w:pPr>
              <w:pStyle w:val="TableParagraph"/>
            </w:pPr>
          </w:p>
          <w:p w14:paraId="570212DB" w14:textId="77777777" w:rsidR="0046798B" w:rsidRDefault="0046798B">
            <w:pPr>
              <w:pStyle w:val="TableParagraph"/>
              <w:spacing w:before="9"/>
              <w:rPr>
                <w:sz w:val="17"/>
              </w:rPr>
            </w:pPr>
          </w:p>
          <w:p w14:paraId="059A3A59" w14:textId="77777777" w:rsidR="0046798B" w:rsidRDefault="00903B5C">
            <w:pPr>
              <w:pStyle w:val="TableParagraph"/>
              <w:ind w:left="114" w:right="100"/>
              <w:rPr>
                <w:sz w:val="20"/>
              </w:rPr>
            </w:pPr>
            <w:r>
              <w:rPr>
                <w:sz w:val="20"/>
              </w:rPr>
              <w:t>US Census Bureau. Statistics of US Businesses. 2012. “SUSB totals for U.S. &amp; States.”</w:t>
            </w:r>
          </w:p>
          <w:p w14:paraId="08BD1332" w14:textId="77777777" w:rsidR="0046798B" w:rsidRDefault="0046798B">
            <w:pPr>
              <w:pStyle w:val="TableParagraph"/>
              <w:rPr>
                <w:sz w:val="20"/>
              </w:rPr>
            </w:pPr>
          </w:p>
          <w:p w14:paraId="589614BE" w14:textId="77777777" w:rsidR="0046798B" w:rsidRDefault="00903B5C">
            <w:pPr>
              <w:pStyle w:val="TableParagraph"/>
              <w:ind w:left="114" w:right="217"/>
              <w:rPr>
                <w:sz w:val="20"/>
              </w:rPr>
            </w:pPr>
            <w:r>
              <w:rPr>
                <w:sz w:val="20"/>
              </w:rPr>
              <w:t xml:space="preserve">Originally provided by Stateminder: A data visualization project from Georgetown University. </w:t>
            </w:r>
            <w:hyperlink r:id="rId156">
              <w:r>
                <w:rPr>
                  <w:sz w:val="20"/>
                </w:rPr>
                <w:t>http://stateminder.org/</w:t>
              </w:r>
            </w:hyperlink>
            <w:r>
              <w:rPr>
                <w:sz w:val="20"/>
                <w:u w:val="single"/>
              </w:rPr>
              <w:t xml:space="preserve"> (no longer accessible online)</w:t>
            </w:r>
          </w:p>
        </w:tc>
      </w:tr>
      <w:tr w:rsidR="0046798B" w14:paraId="350FC336" w14:textId="77777777">
        <w:trPr>
          <w:trHeight w:val="3536"/>
        </w:trPr>
        <w:tc>
          <w:tcPr>
            <w:tcW w:w="1711" w:type="dxa"/>
          </w:tcPr>
          <w:p w14:paraId="63ED7753" w14:textId="77777777" w:rsidR="0046798B" w:rsidRDefault="0046798B">
            <w:pPr>
              <w:pStyle w:val="TableParagraph"/>
            </w:pPr>
          </w:p>
          <w:p w14:paraId="28078C43" w14:textId="77777777" w:rsidR="0046798B" w:rsidRDefault="0046798B">
            <w:pPr>
              <w:pStyle w:val="TableParagraph"/>
            </w:pPr>
          </w:p>
          <w:p w14:paraId="449CA967" w14:textId="77777777" w:rsidR="0046798B" w:rsidRDefault="0046798B">
            <w:pPr>
              <w:pStyle w:val="TableParagraph"/>
            </w:pPr>
          </w:p>
          <w:p w14:paraId="491B9DB3" w14:textId="77777777" w:rsidR="0046798B" w:rsidRDefault="0046798B">
            <w:pPr>
              <w:pStyle w:val="TableParagraph"/>
            </w:pPr>
          </w:p>
          <w:p w14:paraId="437DA83B" w14:textId="77777777" w:rsidR="0046798B" w:rsidRDefault="0046798B">
            <w:pPr>
              <w:pStyle w:val="TableParagraph"/>
            </w:pPr>
          </w:p>
          <w:p w14:paraId="46ABAEDC" w14:textId="77777777" w:rsidR="0046798B" w:rsidRDefault="0046798B">
            <w:pPr>
              <w:pStyle w:val="TableParagraph"/>
            </w:pPr>
          </w:p>
          <w:p w14:paraId="435FF614" w14:textId="77777777" w:rsidR="0046798B" w:rsidRDefault="00903B5C">
            <w:pPr>
              <w:pStyle w:val="TableParagraph"/>
              <w:spacing w:before="136"/>
              <w:ind w:left="115"/>
              <w:rPr>
                <w:b/>
                <w:sz w:val="20"/>
              </w:rPr>
            </w:pPr>
            <w:r>
              <w:rPr>
                <w:b/>
                <w:sz w:val="20"/>
              </w:rPr>
              <w:t>patents</w:t>
            </w:r>
          </w:p>
        </w:tc>
        <w:tc>
          <w:tcPr>
            <w:tcW w:w="1596" w:type="dxa"/>
          </w:tcPr>
          <w:p w14:paraId="53703408" w14:textId="77777777" w:rsidR="0046798B" w:rsidRDefault="0046798B">
            <w:pPr>
              <w:pStyle w:val="TableParagraph"/>
            </w:pPr>
          </w:p>
          <w:p w14:paraId="1288FDC9" w14:textId="77777777" w:rsidR="0046798B" w:rsidRDefault="0046798B">
            <w:pPr>
              <w:pStyle w:val="TableParagraph"/>
            </w:pPr>
          </w:p>
          <w:p w14:paraId="2C7CCA8F" w14:textId="77777777" w:rsidR="0046798B" w:rsidRDefault="0046798B">
            <w:pPr>
              <w:pStyle w:val="TableParagraph"/>
            </w:pPr>
          </w:p>
          <w:p w14:paraId="4A738ED0" w14:textId="77777777" w:rsidR="0046798B" w:rsidRDefault="0046798B">
            <w:pPr>
              <w:pStyle w:val="TableParagraph"/>
            </w:pPr>
          </w:p>
          <w:p w14:paraId="4E3AAA9D" w14:textId="77777777" w:rsidR="0046798B" w:rsidRDefault="0046798B">
            <w:pPr>
              <w:pStyle w:val="TableParagraph"/>
            </w:pPr>
          </w:p>
          <w:p w14:paraId="3BB015D6" w14:textId="77777777" w:rsidR="0046798B" w:rsidRDefault="0046798B">
            <w:pPr>
              <w:pStyle w:val="TableParagraph"/>
              <w:spacing w:before="9"/>
              <w:rPr>
                <w:sz w:val="23"/>
              </w:rPr>
            </w:pPr>
          </w:p>
          <w:p w14:paraId="6D42938C" w14:textId="77777777" w:rsidR="0046798B" w:rsidRDefault="00903B5C">
            <w:pPr>
              <w:pStyle w:val="TableParagraph"/>
              <w:spacing w:before="1"/>
              <w:ind w:left="114" w:right="235"/>
              <w:rPr>
                <w:sz w:val="20"/>
              </w:rPr>
            </w:pPr>
            <w:r>
              <w:rPr>
                <w:sz w:val="20"/>
              </w:rPr>
              <w:t>Number of patents granted</w:t>
            </w:r>
          </w:p>
        </w:tc>
        <w:tc>
          <w:tcPr>
            <w:tcW w:w="1285" w:type="dxa"/>
          </w:tcPr>
          <w:p w14:paraId="2E2355C6" w14:textId="77777777" w:rsidR="0046798B" w:rsidRDefault="0046798B">
            <w:pPr>
              <w:pStyle w:val="TableParagraph"/>
            </w:pPr>
          </w:p>
          <w:p w14:paraId="1C9E66C5" w14:textId="77777777" w:rsidR="0046798B" w:rsidRDefault="0046798B">
            <w:pPr>
              <w:pStyle w:val="TableParagraph"/>
            </w:pPr>
          </w:p>
          <w:p w14:paraId="03D9653E" w14:textId="77777777" w:rsidR="0046798B" w:rsidRDefault="0046798B">
            <w:pPr>
              <w:pStyle w:val="TableParagraph"/>
            </w:pPr>
          </w:p>
          <w:p w14:paraId="460DAE8D" w14:textId="77777777" w:rsidR="0046798B" w:rsidRDefault="0046798B">
            <w:pPr>
              <w:pStyle w:val="TableParagraph"/>
            </w:pPr>
          </w:p>
          <w:p w14:paraId="15EE2573" w14:textId="77777777" w:rsidR="0046798B" w:rsidRDefault="0046798B">
            <w:pPr>
              <w:pStyle w:val="TableParagraph"/>
            </w:pPr>
          </w:p>
          <w:p w14:paraId="6C1F7887" w14:textId="77777777" w:rsidR="0046798B" w:rsidRDefault="0046798B">
            <w:pPr>
              <w:pStyle w:val="TableParagraph"/>
            </w:pPr>
          </w:p>
          <w:p w14:paraId="0E5FC563" w14:textId="77777777" w:rsidR="0046798B" w:rsidRDefault="00903B5C">
            <w:pPr>
              <w:pStyle w:val="TableParagraph"/>
              <w:spacing w:before="136"/>
              <w:ind w:left="114"/>
              <w:rPr>
                <w:sz w:val="20"/>
              </w:rPr>
            </w:pPr>
            <w:r>
              <w:rPr>
                <w:sz w:val="20"/>
              </w:rPr>
              <w:t>1998–2011</w:t>
            </w:r>
          </w:p>
        </w:tc>
        <w:tc>
          <w:tcPr>
            <w:tcW w:w="3421" w:type="dxa"/>
          </w:tcPr>
          <w:p w14:paraId="0B2421A3" w14:textId="77777777" w:rsidR="0046798B" w:rsidRDefault="0046798B">
            <w:pPr>
              <w:pStyle w:val="TableParagraph"/>
            </w:pPr>
          </w:p>
          <w:p w14:paraId="042B2650" w14:textId="77777777" w:rsidR="0046798B" w:rsidRDefault="0046798B">
            <w:pPr>
              <w:pStyle w:val="TableParagraph"/>
            </w:pPr>
          </w:p>
          <w:p w14:paraId="0669721B" w14:textId="77777777" w:rsidR="0046798B" w:rsidRDefault="0046798B">
            <w:pPr>
              <w:pStyle w:val="TableParagraph"/>
            </w:pPr>
          </w:p>
          <w:p w14:paraId="164B1B47" w14:textId="77777777" w:rsidR="0046798B" w:rsidRDefault="0046798B">
            <w:pPr>
              <w:pStyle w:val="TableParagraph"/>
              <w:spacing w:before="9"/>
              <w:rPr>
                <w:sz w:val="27"/>
              </w:rPr>
            </w:pPr>
          </w:p>
          <w:p w14:paraId="5A621F60" w14:textId="77777777" w:rsidR="0046798B" w:rsidRDefault="00903B5C">
            <w:pPr>
              <w:pStyle w:val="TableParagraph"/>
              <w:ind w:left="114"/>
              <w:rPr>
                <w:sz w:val="20"/>
              </w:rPr>
            </w:pPr>
            <w:r>
              <w:rPr>
                <w:sz w:val="20"/>
              </w:rPr>
              <w:t>This variable displays the number of</w:t>
            </w:r>
          </w:p>
          <w:p w14:paraId="015A82A4" w14:textId="77777777" w:rsidR="0046798B" w:rsidRDefault="00903B5C">
            <w:pPr>
              <w:pStyle w:val="TableParagraph"/>
              <w:spacing w:before="1"/>
              <w:ind w:left="114" w:right="200"/>
              <w:rPr>
                <w:sz w:val="20"/>
              </w:rPr>
            </w:pPr>
            <w:r>
              <w:rPr>
                <w:sz w:val="20"/>
              </w:rPr>
              <w:t>U.S. patents distributed by U.S. state and by calendar year of grant, and it counts documents of utility patents (i.e., patents for invention) granted by the U.S. Patent and Trademark Office.</w:t>
            </w:r>
          </w:p>
        </w:tc>
        <w:tc>
          <w:tcPr>
            <w:tcW w:w="6482" w:type="dxa"/>
          </w:tcPr>
          <w:p w14:paraId="08527C1D" w14:textId="77777777" w:rsidR="0046798B" w:rsidRDefault="00903B5C">
            <w:pPr>
              <w:pStyle w:val="TableParagraph"/>
              <w:spacing w:before="43"/>
              <w:ind w:left="114" w:right="506"/>
              <w:rPr>
                <w:sz w:val="20"/>
              </w:rPr>
            </w:pPr>
            <w:r>
              <w:rPr>
                <w:sz w:val="20"/>
              </w:rPr>
              <w:t>U.S. Patent and Trademark Office. 2012. “Number of Patents Granted as Distributed by Year of Patent Grant, Breakout by U.S. State and Foreign Country of Origin.” Accessed at:</w:t>
            </w:r>
            <w:r>
              <w:rPr>
                <w:sz w:val="20"/>
                <w:u w:val="single"/>
              </w:rPr>
              <w:t xml:space="preserve"> </w:t>
            </w:r>
            <w:hyperlink r:id="rId157">
              <w:r>
                <w:rPr>
                  <w:sz w:val="20"/>
                  <w:u w:val="single"/>
                </w:rPr>
                <w:t>http://www.uspto.gov/web/offices/ac/ido/oeip/taf/cst_utl.htm</w:t>
              </w:r>
            </w:hyperlink>
            <w:r>
              <w:rPr>
                <w:sz w:val="20"/>
              </w:rPr>
              <w:t>.</w:t>
            </w:r>
          </w:p>
          <w:p w14:paraId="5F70104B" w14:textId="77777777" w:rsidR="0046798B" w:rsidRDefault="0046798B">
            <w:pPr>
              <w:pStyle w:val="TableParagraph"/>
              <w:rPr>
                <w:sz w:val="20"/>
              </w:rPr>
            </w:pPr>
          </w:p>
          <w:p w14:paraId="692DF595" w14:textId="77777777" w:rsidR="0046798B" w:rsidRDefault="00903B5C">
            <w:pPr>
              <w:pStyle w:val="TableParagraph"/>
              <w:ind w:left="114" w:right="217"/>
              <w:rPr>
                <w:sz w:val="20"/>
              </w:rPr>
            </w:pPr>
            <w:r>
              <w:rPr>
                <w:sz w:val="20"/>
              </w:rPr>
              <w:t xml:space="preserve">Originally provided by Stateminder: A data visualization project from Georgetown University. </w:t>
            </w:r>
            <w:hyperlink r:id="rId158">
              <w:r>
                <w:rPr>
                  <w:sz w:val="20"/>
                </w:rPr>
                <w:t>http://stateminder.org/</w:t>
              </w:r>
            </w:hyperlink>
            <w:r>
              <w:rPr>
                <w:sz w:val="20"/>
                <w:u w:val="single"/>
              </w:rPr>
              <w:t xml:space="preserve"> (no longer accessible online)</w:t>
            </w:r>
          </w:p>
          <w:p w14:paraId="23333FAE" w14:textId="77777777" w:rsidR="0046798B" w:rsidRDefault="0046798B">
            <w:pPr>
              <w:pStyle w:val="TableParagraph"/>
              <w:spacing w:before="1"/>
              <w:rPr>
                <w:sz w:val="20"/>
              </w:rPr>
            </w:pPr>
          </w:p>
          <w:p w14:paraId="001EB4EE" w14:textId="77777777" w:rsidR="0046798B" w:rsidRDefault="00903B5C">
            <w:pPr>
              <w:pStyle w:val="TableParagraph"/>
              <w:ind w:left="114" w:right="145"/>
              <w:rPr>
                <w:sz w:val="20"/>
              </w:rPr>
            </w:pPr>
            <w:r>
              <w:rPr>
                <w:sz w:val="20"/>
              </w:rPr>
              <w:t>Note: The origin of a patent is determined by the residence of the first-named inventor. A patent is a document, issued by an authorized governmental agency, granting the right to exclude anyone else from the production or use of a specific new device, or process for a stated number of years. The grant is issued to the inventor after an examination that focuses on both the novelty and potential utility of the item. Pre-1998 data is omitted due to aggregation of years between 1963-1998 in the report.</w:t>
            </w:r>
          </w:p>
        </w:tc>
      </w:tr>
      <w:tr w:rsidR="0046798B" w14:paraId="05B7E9A9" w14:textId="77777777">
        <w:trPr>
          <w:trHeight w:val="1700"/>
        </w:trPr>
        <w:tc>
          <w:tcPr>
            <w:tcW w:w="1711" w:type="dxa"/>
          </w:tcPr>
          <w:p w14:paraId="38C0C3AA" w14:textId="77777777" w:rsidR="0046798B" w:rsidRDefault="0046798B">
            <w:pPr>
              <w:pStyle w:val="TableParagraph"/>
            </w:pPr>
          </w:p>
          <w:p w14:paraId="561F18D6" w14:textId="77777777" w:rsidR="0046798B" w:rsidRDefault="0046798B">
            <w:pPr>
              <w:pStyle w:val="TableParagraph"/>
            </w:pPr>
          </w:p>
          <w:p w14:paraId="0208BFE9" w14:textId="77777777" w:rsidR="0046798B" w:rsidRDefault="0046798B">
            <w:pPr>
              <w:pStyle w:val="TableParagraph"/>
              <w:spacing w:before="9"/>
              <w:rPr>
                <w:sz w:val="19"/>
              </w:rPr>
            </w:pPr>
          </w:p>
          <w:p w14:paraId="24B6EBEB" w14:textId="77777777" w:rsidR="0046798B" w:rsidRDefault="00903B5C">
            <w:pPr>
              <w:pStyle w:val="TableParagraph"/>
              <w:ind w:left="115"/>
              <w:rPr>
                <w:b/>
                <w:sz w:val="20"/>
              </w:rPr>
            </w:pPr>
            <w:r>
              <w:rPr>
                <w:b/>
                <w:sz w:val="20"/>
              </w:rPr>
              <w:t>valueofagsect</w:t>
            </w:r>
          </w:p>
        </w:tc>
        <w:tc>
          <w:tcPr>
            <w:tcW w:w="1596" w:type="dxa"/>
          </w:tcPr>
          <w:p w14:paraId="1885588A" w14:textId="77777777" w:rsidR="0046798B" w:rsidRDefault="0046798B">
            <w:pPr>
              <w:pStyle w:val="TableParagraph"/>
            </w:pPr>
          </w:p>
          <w:p w14:paraId="4EA25929" w14:textId="77777777" w:rsidR="0046798B" w:rsidRDefault="00903B5C">
            <w:pPr>
              <w:pStyle w:val="TableParagraph"/>
              <w:spacing w:before="135"/>
              <w:ind w:left="114"/>
              <w:rPr>
                <w:sz w:val="20"/>
              </w:rPr>
            </w:pPr>
            <w:r>
              <w:rPr>
                <w:sz w:val="20"/>
              </w:rPr>
              <w:t>Value added to</w:t>
            </w:r>
          </w:p>
          <w:p w14:paraId="4543481F" w14:textId="77777777" w:rsidR="0046798B" w:rsidRDefault="00903B5C">
            <w:pPr>
              <w:pStyle w:val="TableParagraph"/>
              <w:ind w:left="114" w:right="299"/>
              <w:jc w:val="both"/>
              <w:rPr>
                <w:sz w:val="20"/>
              </w:rPr>
            </w:pPr>
            <w:r>
              <w:rPr>
                <w:sz w:val="20"/>
              </w:rPr>
              <w:t>U.S. economy by agricultural sector</w:t>
            </w:r>
          </w:p>
        </w:tc>
        <w:tc>
          <w:tcPr>
            <w:tcW w:w="1285" w:type="dxa"/>
          </w:tcPr>
          <w:p w14:paraId="41329904" w14:textId="77777777" w:rsidR="0046798B" w:rsidRDefault="0046798B">
            <w:pPr>
              <w:pStyle w:val="TableParagraph"/>
            </w:pPr>
          </w:p>
          <w:p w14:paraId="4D24FA6E" w14:textId="77777777" w:rsidR="0046798B" w:rsidRDefault="0046798B">
            <w:pPr>
              <w:pStyle w:val="TableParagraph"/>
            </w:pPr>
          </w:p>
          <w:p w14:paraId="1EA82ED8" w14:textId="77777777" w:rsidR="0046798B" w:rsidRDefault="0046798B">
            <w:pPr>
              <w:pStyle w:val="TableParagraph"/>
              <w:spacing w:before="9"/>
              <w:rPr>
                <w:sz w:val="19"/>
              </w:rPr>
            </w:pPr>
          </w:p>
          <w:p w14:paraId="3519E8FD" w14:textId="77777777" w:rsidR="0046798B" w:rsidRDefault="00903B5C">
            <w:pPr>
              <w:pStyle w:val="TableParagraph"/>
              <w:ind w:left="114"/>
              <w:rPr>
                <w:sz w:val="20"/>
              </w:rPr>
            </w:pPr>
            <w:r>
              <w:rPr>
                <w:sz w:val="20"/>
              </w:rPr>
              <w:t>1950–2011</w:t>
            </w:r>
          </w:p>
        </w:tc>
        <w:tc>
          <w:tcPr>
            <w:tcW w:w="3421" w:type="dxa"/>
          </w:tcPr>
          <w:p w14:paraId="3E0C078E" w14:textId="77777777" w:rsidR="0046798B" w:rsidRDefault="00903B5C">
            <w:pPr>
              <w:pStyle w:val="TableParagraph"/>
              <w:spacing w:before="158"/>
              <w:ind w:left="114" w:right="322"/>
              <w:rPr>
                <w:sz w:val="20"/>
              </w:rPr>
            </w:pPr>
            <w:r>
              <w:rPr>
                <w:sz w:val="20"/>
              </w:rPr>
              <w:t>Net value-added is the sector’s contribution to the national economy and is the sum of the income from production earned by all factors-of- production, regardless of ownership (thousands of dollars)</w:t>
            </w:r>
          </w:p>
        </w:tc>
        <w:tc>
          <w:tcPr>
            <w:tcW w:w="6482" w:type="dxa"/>
          </w:tcPr>
          <w:p w14:paraId="6E8A9DA9" w14:textId="77777777" w:rsidR="0046798B" w:rsidRDefault="00903B5C">
            <w:pPr>
              <w:pStyle w:val="TableParagraph"/>
              <w:spacing w:before="43"/>
              <w:ind w:left="114" w:right="259"/>
              <w:rPr>
                <w:sz w:val="20"/>
              </w:rPr>
            </w:pPr>
            <w:r>
              <w:rPr>
                <w:sz w:val="20"/>
              </w:rPr>
              <w:t xml:space="preserve">Economic Research Service/USDA. 2011. “Value Added to the U.S. Economy by the agricultural sector via the production of goods and services 1949-2011.” Accessed at: </w:t>
            </w:r>
            <w:hyperlink r:id="rId159">
              <w:r>
                <w:rPr>
                  <w:sz w:val="20"/>
                  <w:u w:val="single"/>
                </w:rPr>
                <w:t>http://www.ers.usda.gov/data-products/farm-</w:t>
              </w:r>
            </w:hyperlink>
            <w:r>
              <w:rPr>
                <w:sz w:val="20"/>
              </w:rPr>
              <w:t xml:space="preserve"> </w:t>
            </w:r>
            <w:hyperlink r:id="rId160">
              <w:r>
                <w:rPr>
                  <w:sz w:val="20"/>
                  <w:u w:val="single"/>
                </w:rPr>
                <w:t>income-and-wealth-statistics.aspx</w:t>
              </w:r>
            </w:hyperlink>
            <w:r>
              <w:rPr>
                <w:sz w:val="20"/>
              </w:rPr>
              <w:t>.</w:t>
            </w:r>
          </w:p>
          <w:p w14:paraId="56CF5CBF" w14:textId="77777777" w:rsidR="0046798B" w:rsidRDefault="0046798B">
            <w:pPr>
              <w:pStyle w:val="TableParagraph"/>
              <w:rPr>
                <w:sz w:val="20"/>
              </w:rPr>
            </w:pPr>
          </w:p>
          <w:p w14:paraId="6C25EB11" w14:textId="77777777" w:rsidR="0046798B" w:rsidRDefault="00903B5C">
            <w:pPr>
              <w:pStyle w:val="TableParagraph"/>
              <w:ind w:left="114" w:right="217"/>
              <w:rPr>
                <w:sz w:val="20"/>
              </w:rPr>
            </w:pPr>
            <w:r>
              <w:rPr>
                <w:sz w:val="20"/>
              </w:rPr>
              <w:t xml:space="preserve">Originally provided by Stateminder: A data visualization project from Georgetown University. </w:t>
            </w:r>
            <w:hyperlink r:id="rId161">
              <w:r>
                <w:rPr>
                  <w:sz w:val="20"/>
                </w:rPr>
                <w:t>http://stateminder.org/</w:t>
              </w:r>
            </w:hyperlink>
            <w:r>
              <w:rPr>
                <w:sz w:val="20"/>
                <w:u w:val="single"/>
              </w:rPr>
              <w:t xml:space="preserve"> (no longer accessible online)</w:t>
            </w:r>
          </w:p>
        </w:tc>
      </w:tr>
    </w:tbl>
    <w:p w14:paraId="7B8B9CE2" w14:textId="77777777" w:rsidR="0046798B" w:rsidRDefault="0046798B">
      <w:pPr>
        <w:rPr>
          <w:sz w:val="20"/>
        </w:rPr>
        <w:sectPr w:rsidR="0046798B">
          <w:pgSz w:w="15840" w:h="12240" w:orient="landscape"/>
          <w:pgMar w:top="1220" w:right="300" w:bottom="980" w:left="820" w:header="730" w:footer="787" w:gutter="0"/>
          <w:cols w:space="720"/>
        </w:sectPr>
      </w:pPr>
    </w:p>
    <w:p w14:paraId="360E758D"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0A1BF5F6" w14:textId="77777777">
        <w:trPr>
          <w:trHeight w:val="1465"/>
        </w:trPr>
        <w:tc>
          <w:tcPr>
            <w:tcW w:w="1711" w:type="dxa"/>
          </w:tcPr>
          <w:p w14:paraId="63C067FB" w14:textId="77777777" w:rsidR="0046798B" w:rsidRDefault="0046798B">
            <w:pPr>
              <w:pStyle w:val="TableParagraph"/>
            </w:pPr>
          </w:p>
          <w:p w14:paraId="6761E624" w14:textId="77777777" w:rsidR="0046798B" w:rsidRDefault="0046798B">
            <w:pPr>
              <w:pStyle w:val="TableParagraph"/>
              <w:spacing w:before="9"/>
              <w:rPr>
                <w:sz w:val="31"/>
              </w:rPr>
            </w:pPr>
          </w:p>
          <w:p w14:paraId="31C6EABD" w14:textId="77777777" w:rsidR="0046798B" w:rsidRDefault="00903B5C">
            <w:pPr>
              <w:pStyle w:val="TableParagraph"/>
              <w:ind w:left="115"/>
              <w:rPr>
                <w:b/>
                <w:sz w:val="20"/>
              </w:rPr>
            </w:pPr>
            <w:r>
              <w:rPr>
                <w:b/>
                <w:sz w:val="20"/>
              </w:rPr>
              <w:t>farmpayment</w:t>
            </w:r>
          </w:p>
        </w:tc>
        <w:tc>
          <w:tcPr>
            <w:tcW w:w="1596" w:type="dxa"/>
          </w:tcPr>
          <w:p w14:paraId="37283192" w14:textId="77777777" w:rsidR="0046798B" w:rsidRDefault="0046798B">
            <w:pPr>
              <w:pStyle w:val="TableParagraph"/>
            </w:pPr>
          </w:p>
          <w:p w14:paraId="1C0290DF" w14:textId="77777777" w:rsidR="0046798B" w:rsidRDefault="00903B5C">
            <w:pPr>
              <w:pStyle w:val="TableParagraph"/>
              <w:spacing w:before="135"/>
              <w:ind w:left="114" w:right="229"/>
              <w:rPr>
                <w:sz w:val="20"/>
              </w:rPr>
            </w:pPr>
            <w:r>
              <w:rPr>
                <w:sz w:val="20"/>
              </w:rPr>
              <w:t>Government direct farm payments</w:t>
            </w:r>
          </w:p>
        </w:tc>
        <w:tc>
          <w:tcPr>
            <w:tcW w:w="1285" w:type="dxa"/>
          </w:tcPr>
          <w:p w14:paraId="297C84E5" w14:textId="77777777" w:rsidR="0046798B" w:rsidRDefault="0046798B">
            <w:pPr>
              <w:pStyle w:val="TableParagraph"/>
            </w:pPr>
          </w:p>
          <w:p w14:paraId="2902FC6A" w14:textId="77777777" w:rsidR="0046798B" w:rsidRDefault="0046798B">
            <w:pPr>
              <w:pStyle w:val="TableParagraph"/>
              <w:spacing w:before="9"/>
              <w:rPr>
                <w:sz w:val="31"/>
              </w:rPr>
            </w:pPr>
          </w:p>
          <w:p w14:paraId="729A4353" w14:textId="77777777" w:rsidR="0046798B" w:rsidRDefault="00903B5C">
            <w:pPr>
              <w:pStyle w:val="TableParagraph"/>
              <w:ind w:left="114"/>
              <w:rPr>
                <w:sz w:val="20"/>
              </w:rPr>
            </w:pPr>
            <w:r>
              <w:rPr>
                <w:sz w:val="20"/>
              </w:rPr>
              <w:t>1949–2011</w:t>
            </w:r>
          </w:p>
        </w:tc>
        <w:tc>
          <w:tcPr>
            <w:tcW w:w="3421" w:type="dxa"/>
          </w:tcPr>
          <w:p w14:paraId="2315B8AC" w14:textId="77777777" w:rsidR="0046798B" w:rsidRDefault="0046798B">
            <w:pPr>
              <w:pStyle w:val="TableParagraph"/>
              <w:spacing w:before="9"/>
              <w:rPr>
                <w:sz w:val="23"/>
              </w:rPr>
            </w:pPr>
          </w:p>
          <w:p w14:paraId="135A5928" w14:textId="77777777" w:rsidR="0046798B" w:rsidRDefault="00903B5C">
            <w:pPr>
              <w:pStyle w:val="TableParagraph"/>
              <w:ind w:left="114" w:right="244"/>
              <w:rPr>
                <w:sz w:val="20"/>
              </w:rPr>
            </w:pPr>
            <w:r>
              <w:rPr>
                <w:sz w:val="20"/>
              </w:rPr>
              <w:t>Aggregate sum of direct payments from programs in respective years by the government to farmers (thousands of dollars)</w:t>
            </w:r>
          </w:p>
        </w:tc>
        <w:tc>
          <w:tcPr>
            <w:tcW w:w="6482" w:type="dxa"/>
          </w:tcPr>
          <w:p w14:paraId="0C1B0FA1" w14:textId="77777777" w:rsidR="0046798B" w:rsidRDefault="00903B5C">
            <w:pPr>
              <w:pStyle w:val="TableParagraph"/>
              <w:spacing w:before="43"/>
              <w:ind w:left="114" w:right="126"/>
              <w:rPr>
                <w:sz w:val="20"/>
              </w:rPr>
            </w:pPr>
            <w:r>
              <w:rPr>
                <w:sz w:val="20"/>
              </w:rPr>
              <w:t xml:space="preserve">Economic Research Service/USDA. 2012. “Government payments, by program and State, 1990-2011.” </w:t>
            </w:r>
            <w:hyperlink r:id="rId162">
              <w:r>
                <w:rPr>
                  <w:sz w:val="20"/>
                  <w:u w:val="single"/>
                </w:rPr>
                <w:t>http://www.ers.usda.gov/data-products/farm-</w:t>
              </w:r>
            </w:hyperlink>
            <w:r>
              <w:rPr>
                <w:sz w:val="20"/>
              </w:rPr>
              <w:t xml:space="preserve"> </w:t>
            </w:r>
            <w:hyperlink r:id="rId163">
              <w:r>
                <w:rPr>
                  <w:sz w:val="20"/>
                  <w:u w:val="single"/>
                </w:rPr>
                <w:t>income-and-wealth-statistics.aspx</w:t>
              </w:r>
            </w:hyperlink>
            <w:r>
              <w:rPr>
                <w:sz w:val="20"/>
              </w:rPr>
              <w:t>.</w:t>
            </w:r>
          </w:p>
          <w:p w14:paraId="05333A88" w14:textId="77777777" w:rsidR="0046798B" w:rsidRDefault="0046798B">
            <w:pPr>
              <w:pStyle w:val="TableParagraph"/>
              <w:rPr>
                <w:sz w:val="20"/>
              </w:rPr>
            </w:pPr>
          </w:p>
          <w:p w14:paraId="195918E0" w14:textId="77777777" w:rsidR="0046798B" w:rsidRDefault="00903B5C">
            <w:pPr>
              <w:pStyle w:val="TableParagraph"/>
              <w:ind w:left="114" w:right="217"/>
              <w:rPr>
                <w:sz w:val="20"/>
              </w:rPr>
            </w:pPr>
            <w:r>
              <w:rPr>
                <w:sz w:val="20"/>
              </w:rPr>
              <w:t>Originally provided by Stateminder: A data visualization project from Georgetown Universit</w:t>
            </w:r>
            <w:hyperlink r:id="rId164">
              <w:r>
                <w:rPr>
                  <w:sz w:val="20"/>
                </w:rPr>
                <w:t>y. http://stateminder.org/</w:t>
              </w:r>
            </w:hyperlink>
            <w:r>
              <w:rPr>
                <w:sz w:val="20"/>
                <w:u w:val="single"/>
              </w:rPr>
              <w:t xml:space="preserve"> (no longer accessible online)</w:t>
            </w:r>
          </w:p>
        </w:tc>
      </w:tr>
      <w:tr w:rsidR="0046798B" w14:paraId="43191B87" w14:textId="77777777">
        <w:trPr>
          <w:trHeight w:val="545"/>
        </w:trPr>
        <w:tc>
          <w:tcPr>
            <w:tcW w:w="1711" w:type="dxa"/>
          </w:tcPr>
          <w:p w14:paraId="6DB794C3" w14:textId="77777777" w:rsidR="0046798B" w:rsidRDefault="00903B5C">
            <w:pPr>
              <w:pStyle w:val="TableParagraph"/>
              <w:spacing w:before="159"/>
              <w:ind w:left="115"/>
              <w:rPr>
                <w:b/>
                <w:sz w:val="20"/>
              </w:rPr>
            </w:pPr>
            <w:r>
              <w:rPr>
                <w:b/>
                <w:sz w:val="20"/>
              </w:rPr>
              <w:t>atkin_index</w:t>
            </w:r>
          </w:p>
        </w:tc>
        <w:tc>
          <w:tcPr>
            <w:tcW w:w="1596" w:type="dxa"/>
          </w:tcPr>
          <w:p w14:paraId="36D2F819" w14:textId="77777777" w:rsidR="0046798B" w:rsidRDefault="00903B5C">
            <w:pPr>
              <w:pStyle w:val="TableParagraph"/>
              <w:spacing w:before="159"/>
              <w:ind w:left="114"/>
              <w:rPr>
                <w:sz w:val="20"/>
              </w:rPr>
            </w:pPr>
            <w:r>
              <w:rPr>
                <w:sz w:val="20"/>
              </w:rPr>
              <w:t>Atkinson Index</w:t>
            </w:r>
          </w:p>
        </w:tc>
        <w:tc>
          <w:tcPr>
            <w:tcW w:w="1285" w:type="dxa"/>
          </w:tcPr>
          <w:p w14:paraId="5684A947" w14:textId="77777777" w:rsidR="0046798B" w:rsidRDefault="00903B5C">
            <w:pPr>
              <w:pStyle w:val="TableParagraph"/>
              <w:spacing w:before="159"/>
              <w:ind w:left="114"/>
              <w:rPr>
                <w:sz w:val="20"/>
              </w:rPr>
            </w:pPr>
            <w:r>
              <w:rPr>
                <w:sz w:val="20"/>
              </w:rPr>
              <w:t>1917–2013</w:t>
            </w:r>
          </w:p>
        </w:tc>
        <w:tc>
          <w:tcPr>
            <w:tcW w:w="3421" w:type="dxa"/>
          </w:tcPr>
          <w:p w14:paraId="3A5EEC99" w14:textId="77777777" w:rsidR="0046798B" w:rsidRDefault="00903B5C">
            <w:pPr>
              <w:pStyle w:val="TableParagraph"/>
              <w:spacing w:before="44"/>
              <w:ind w:left="114" w:right="322"/>
              <w:rPr>
                <w:sz w:val="20"/>
              </w:rPr>
            </w:pPr>
            <w:r>
              <w:rPr>
                <w:sz w:val="20"/>
              </w:rPr>
              <w:t>State income inequality measured by Atkinson Index</w:t>
            </w:r>
          </w:p>
        </w:tc>
        <w:tc>
          <w:tcPr>
            <w:tcW w:w="6482" w:type="dxa"/>
          </w:tcPr>
          <w:p w14:paraId="66A78152" w14:textId="77777777" w:rsidR="0046798B" w:rsidRDefault="00903B5C">
            <w:pPr>
              <w:pStyle w:val="TableParagraph"/>
              <w:spacing w:before="44"/>
              <w:ind w:left="114" w:right="1506"/>
              <w:rPr>
                <w:sz w:val="20"/>
              </w:rPr>
            </w:pPr>
            <w:r>
              <w:rPr>
                <w:sz w:val="20"/>
              </w:rPr>
              <w:t xml:space="preserve">Frank, Mark W. “U.S. State-Level Income Inequality Data.” </w:t>
            </w:r>
            <w:hyperlink r:id="rId165">
              <w:r>
                <w:rPr>
                  <w:sz w:val="20"/>
                  <w:u w:val="single"/>
                </w:rPr>
                <w:t>http://www.shsu.edu/eco_mwf/inequality.html</w:t>
              </w:r>
            </w:hyperlink>
          </w:p>
        </w:tc>
      </w:tr>
      <w:tr w:rsidR="0046798B" w14:paraId="43855F6B" w14:textId="77777777">
        <w:trPr>
          <w:trHeight w:val="550"/>
        </w:trPr>
        <w:tc>
          <w:tcPr>
            <w:tcW w:w="1711" w:type="dxa"/>
          </w:tcPr>
          <w:p w14:paraId="3541E3BC" w14:textId="77777777" w:rsidR="0046798B" w:rsidRDefault="00903B5C">
            <w:pPr>
              <w:pStyle w:val="TableParagraph"/>
              <w:spacing w:before="158"/>
              <w:ind w:left="115"/>
              <w:rPr>
                <w:b/>
                <w:sz w:val="20"/>
              </w:rPr>
            </w:pPr>
            <w:r>
              <w:rPr>
                <w:b/>
                <w:sz w:val="20"/>
              </w:rPr>
              <w:t>gini_coef</w:t>
            </w:r>
          </w:p>
        </w:tc>
        <w:tc>
          <w:tcPr>
            <w:tcW w:w="1596" w:type="dxa"/>
          </w:tcPr>
          <w:p w14:paraId="3BCA6708" w14:textId="77777777" w:rsidR="0046798B" w:rsidRDefault="00903B5C">
            <w:pPr>
              <w:pStyle w:val="TableParagraph"/>
              <w:spacing w:before="158"/>
              <w:ind w:left="114"/>
              <w:rPr>
                <w:sz w:val="20"/>
              </w:rPr>
            </w:pPr>
            <w:r>
              <w:rPr>
                <w:sz w:val="20"/>
              </w:rPr>
              <w:t>Gini coefficient</w:t>
            </w:r>
          </w:p>
        </w:tc>
        <w:tc>
          <w:tcPr>
            <w:tcW w:w="1285" w:type="dxa"/>
          </w:tcPr>
          <w:p w14:paraId="5EDF7F89" w14:textId="77777777" w:rsidR="0046798B" w:rsidRDefault="00903B5C">
            <w:pPr>
              <w:pStyle w:val="TableParagraph"/>
              <w:spacing w:before="158"/>
              <w:ind w:left="114"/>
              <w:rPr>
                <w:sz w:val="20"/>
              </w:rPr>
            </w:pPr>
            <w:r>
              <w:rPr>
                <w:sz w:val="20"/>
              </w:rPr>
              <w:t>1917–2013</w:t>
            </w:r>
          </w:p>
        </w:tc>
        <w:tc>
          <w:tcPr>
            <w:tcW w:w="3421" w:type="dxa"/>
          </w:tcPr>
          <w:p w14:paraId="3F2C9E9C" w14:textId="77777777" w:rsidR="0046798B" w:rsidRDefault="00903B5C">
            <w:pPr>
              <w:pStyle w:val="TableParagraph"/>
              <w:spacing w:before="43"/>
              <w:ind w:left="114" w:right="322"/>
              <w:rPr>
                <w:sz w:val="20"/>
              </w:rPr>
            </w:pPr>
            <w:r>
              <w:rPr>
                <w:sz w:val="20"/>
              </w:rPr>
              <w:t>State income inequality measured by Gini coefficient</w:t>
            </w:r>
          </w:p>
        </w:tc>
        <w:tc>
          <w:tcPr>
            <w:tcW w:w="6482" w:type="dxa"/>
          </w:tcPr>
          <w:p w14:paraId="2DCD9978" w14:textId="77777777" w:rsidR="0046798B" w:rsidRDefault="00903B5C">
            <w:pPr>
              <w:pStyle w:val="TableParagraph"/>
              <w:spacing w:before="43"/>
              <w:ind w:left="114" w:right="1506"/>
              <w:rPr>
                <w:sz w:val="20"/>
              </w:rPr>
            </w:pPr>
            <w:r>
              <w:rPr>
                <w:sz w:val="20"/>
              </w:rPr>
              <w:t xml:space="preserve">Frank, Mark W. “U.S. State-Level Income Inequality Data.” </w:t>
            </w:r>
            <w:hyperlink r:id="rId166">
              <w:r>
                <w:rPr>
                  <w:sz w:val="20"/>
                  <w:u w:val="single"/>
                </w:rPr>
                <w:t>http://www.shsu.edu/eco_mwf/inequality.html</w:t>
              </w:r>
            </w:hyperlink>
          </w:p>
        </w:tc>
      </w:tr>
      <w:tr w:rsidR="0046798B" w14:paraId="5D93E124" w14:textId="77777777">
        <w:trPr>
          <w:trHeight w:val="1465"/>
        </w:trPr>
        <w:tc>
          <w:tcPr>
            <w:tcW w:w="1711" w:type="dxa"/>
          </w:tcPr>
          <w:p w14:paraId="6EAA6901" w14:textId="77777777" w:rsidR="0046798B" w:rsidRDefault="0046798B">
            <w:pPr>
              <w:pStyle w:val="TableParagraph"/>
            </w:pPr>
          </w:p>
          <w:p w14:paraId="1A8B431A" w14:textId="77777777" w:rsidR="0046798B" w:rsidRDefault="0046798B">
            <w:pPr>
              <w:pStyle w:val="TableParagraph"/>
              <w:spacing w:before="4"/>
              <w:rPr>
                <w:sz w:val="31"/>
              </w:rPr>
            </w:pPr>
          </w:p>
          <w:p w14:paraId="6B99FA1C" w14:textId="77777777" w:rsidR="0046798B" w:rsidRDefault="00903B5C">
            <w:pPr>
              <w:pStyle w:val="TableParagraph"/>
              <w:ind w:left="115"/>
              <w:rPr>
                <w:b/>
                <w:sz w:val="20"/>
              </w:rPr>
            </w:pPr>
            <w:r>
              <w:rPr>
                <w:b/>
                <w:sz w:val="20"/>
              </w:rPr>
              <w:t>incshare_top001</w:t>
            </w:r>
          </w:p>
        </w:tc>
        <w:tc>
          <w:tcPr>
            <w:tcW w:w="1596" w:type="dxa"/>
          </w:tcPr>
          <w:p w14:paraId="0D1CF0D2" w14:textId="77777777" w:rsidR="0046798B" w:rsidRDefault="0046798B">
            <w:pPr>
              <w:pStyle w:val="TableParagraph"/>
            </w:pPr>
          </w:p>
          <w:p w14:paraId="2A4F6A74" w14:textId="77777777" w:rsidR="0046798B" w:rsidRDefault="0046798B">
            <w:pPr>
              <w:pStyle w:val="TableParagraph"/>
              <w:spacing w:before="4"/>
              <w:rPr>
                <w:sz w:val="21"/>
              </w:rPr>
            </w:pPr>
          </w:p>
          <w:p w14:paraId="43B3A687" w14:textId="77777777" w:rsidR="0046798B" w:rsidRDefault="00903B5C">
            <w:pPr>
              <w:pStyle w:val="TableParagraph"/>
              <w:ind w:left="114" w:right="91"/>
              <w:rPr>
                <w:sz w:val="20"/>
              </w:rPr>
            </w:pPr>
            <w:r>
              <w:rPr>
                <w:sz w:val="20"/>
              </w:rPr>
              <w:t>Top 0.01% share of income</w:t>
            </w:r>
          </w:p>
        </w:tc>
        <w:tc>
          <w:tcPr>
            <w:tcW w:w="1285" w:type="dxa"/>
          </w:tcPr>
          <w:p w14:paraId="5E086055" w14:textId="77777777" w:rsidR="0046798B" w:rsidRDefault="0046798B">
            <w:pPr>
              <w:pStyle w:val="TableParagraph"/>
            </w:pPr>
          </w:p>
          <w:p w14:paraId="02648E2D" w14:textId="77777777" w:rsidR="0046798B" w:rsidRDefault="0046798B">
            <w:pPr>
              <w:pStyle w:val="TableParagraph"/>
              <w:spacing w:before="4"/>
              <w:rPr>
                <w:sz w:val="31"/>
              </w:rPr>
            </w:pPr>
          </w:p>
          <w:p w14:paraId="66AEFA09" w14:textId="77777777" w:rsidR="0046798B" w:rsidRDefault="00903B5C">
            <w:pPr>
              <w:pStyle w:val="TableParagraph"/>
              <w:ind w:left="114"/>
              <w:rPr>
                <w:sz w:val="20"/>
              </w:rPr>
            </w:pPr>
            <w:r>
              <w:rPr>
                <w:sz w:val="20"/>
              </w:rPr>
              <w:t>1917–2013</w:t>
            </w:r>
          </w:p>
        </w:tc>
        <w:tc>
          <w:tcPr>
            <w:tcW w:w="3421" w:type="dxa"/>
          </w:tcPr>
          <w:p w14:paraId="61BB131F" w14:textId="77777777" w:rsidR="0046798B" w:rsidRDefault="0046798B">
            <w:pPr>
              <w:pStyle w:val="TableParagraph"/>
            </w:pPr>
          </w:p>
          <w:p w14:paraId="60D973A9" w14:textId="77777777" w:rsidR="0046798B" w:rsidRDefault="0046798B">
            <w:pPr>
              <w:pStyle w:val="TableParagraph"/>
              <w:spacing w:before="4"/>
              <w:rPr>
                <w:sz w:val="21"/>
              </w:rPr>
            </w:pPr>
          </w:p>
          <w:p w14:paraId="11370DB6" w14:textId="77777777" w:rsidR="0046798B" w:rsidRDefault="00903B5C">
            <w:pPr>
              <w:pStyle w:val="TableParagraph"/>
              <w:ind w:left="114" w:right="128"/>
              <w:rPr>
                <w:sz w:val="20"/>
              </w:rPr>
            </w:pPr>
            <w:r>
              <w:rPr>
                <w:sz w:val="20"/>
              </w:rPr>
              <w:t>Share of total income earned by the top 0.01% of earners</w:t>
            </w:r>
          </w:p>
        </w:tc>
        <w:tc>
          <w:tcPr>
            <w:tcW w:w="6482" w:type="dxa"/>
          </w:tcPr>
          <w:p w14:paraId="0815C780" w14:textId="77777777" w:rsidR="0046798B" w:rsidRDefault="00903B5C">
            <w:pPr>
              <w:pStyle w:val="TableParagraph"/>
              <w:spacing w:before="38"/>
              <w:ind w:left="114" w:right="1506"/>
              <w:rPr>
                <w:sz w:val="20"/>
              </w:rPr>
            </w:pPr>
            <w:r>
              <w:rPr>
                <w:sz w:val="20"/>
              </w:rPr>
              <w:t xml:space="preserve">Frank, Mark W. “U.S. State-Level Income Inequality Data.” </w:t>
            </w:r>
            <w:hyperlink r:id="rId167">
              <w:r>
                <w:rPr>
                  <w:sz w:val="20"/>
                  <w:u w:val="single"/>
                </w:rPr>
                <w:t>http://www.shsu.edu/eco_mwf/inequality.html</w:t>
              </w:r>
            </w:hyperlink>
          </w:p>
          <w:p w14:paraId="46933ECF" w14:textId="77777777" w:rsidR="0046798B" w:rsidRDefault="0046798B">
            <w:pPr>
              <w:pStyle w:val="TableParagraph"/>
              <w:rPr>
                <w:sz w:val="20"/>
              </w:rPr>
            </w:pPr>
          </w:p>
          <w:p w14:paraId="19DD65B7" w14:textId="77777777" w:rsidR="0046798B" w:rsidRDefault="00903B5C">
            <w:pPr>
              <w:pStyle w:val="TableParagraph"/>
              <w:ind w:left="114" w:right="217"/>
              <w:rPr>
                <w:sz w:val="20"/>
              </w:rPr>
            </w:pPr>
            <w:r>
              <w:rPr>
                <w:sz w:val="20"/>
              </w:rPr>
              <w:t>For methodology, see: Frank, Mark, Estelle Sommeiller, Mark Price, and Emmanuel Saez. 2015. “Frank-Sommeiller-Price Series for Top Income Shares by US States since 1917.”</w:t>
            </w:r>
          </w:p>
        </w:tc>
      </w:tr>
      <w:tr w:rsidR="0046798B" w14:paraId="73584EBB" w14:textId="77777777">
        <w:trPr>
          <w:trHeight w:val="1465"/>
        </w:trPr>
        <w:tc>
          <w:tcPr>
            <w:tcW w:w="1711" w:type="dxa"/>
          </w:tcPr>
          <w:p w14:paraId="0D30FCBF" w14:textId="77777777" w:rsidR="0046798B" w:rsidRDefault="0046798B">
            <w:pPr>
              <w:pStyle w:val="TableParagraph"/>
            </w:pPr>
          </w:p>
          <w:p w14:paraId="2B5CD69F" w14:textId="77777777" w:rsidR="0046798B" w:rsidRDefault="0046798B">
            <w:pPr>
              <w:pStyle w:val="TableParagraph"/>
              <w:spacing w:before="4"/>
              <w:rPr>
                <w:sz w:val="31"/>
              </w:rPr>
            </w:pPr>
          </w:p>
          <w:p w14:paraId="23A2642F" w14:textId="77777777" w:rsidR="0046798B" w:rsidRDefault="00903B5C">
            <w:pPr>
              <w:pStyle w:val="TableParagraph"/>
              <w:ind w:left="115"/>
              <w:rPr>
                <w:b/>
                <w:sz w:val="20"/>
              </w:rPr>
            </w:pPr>
            <w:r>
              <w:rPr>
                <w:b/>
                <w:sz w:val="20"/>
              </w:rPr>
              <w:t>incshare_top01</w:t>
            </w:r>
          </w:p>
        </w:tc>
        <w:tc>
          <w:tcPr>
            <w:tcW w:w="1596" w:type="dxa"/>
          </w:tcPr>
          <w:p w14:paraId="27EA316C" w14:textId="77777777" w:rsidR="0046798B" w:rsidRDefault="0046798B">
            <w:pPr>
              <w:pStyle w:val="TableParagraph"/>
            </w:pPr>
          </w:p>
          <w:p w14:paraId="5E76C79C" w14:textId="77777777" w:rsidR="0046798B" w:rsidRDefault="0046798B">
            <w:pPr>
              <w:pStyle w:val="TableParagraph"/>
              <w:spacing w:before="4"/>
              <w:rPr>
                <w:sz w:val="21"/>
              </w:rPr>
            </w:pPr>
          </w:p>
          <w:p w14:paraId="0DD4A18A" w14:textId="77777777" w:rsidR="0046798B" w:rsidRDefault="00903B5C">
            <w:pPr>
              <w:pStyle w:val="TableParagraph"/>
              <w:ind w:left="114" w:right="191"/>
              <w:rPr>
                <w:sz w:val="20"/>
              </w:rPr>
            </w:pPr>
            <w:r>
              <w:rPr>
                <w:sz w:val="20"/>
              </w:rPr>
              <w:t>Top 0.1% share of income</w:t>
            </w:r>
          </w:p>
        </w:tc>
        <w:tc>
          <w:tcPr>
            <w:tcW w:w="1285" w:type="dxa"/>
          </w:tcPr>
          <w:p w14:paraId="3145D3E5" w14:textId="77777777" w:rsidR="0046798B" w:rsidRDefault="0046798B">
            <w:pPr>
              <w:pStyle w:val="TableParagraph"/>
            </w:pPr>
          </w:p>
          <w:p w14:paraId="5EDECAD6" w14:textId="77777777" w:rsidR="0046798B" w:rsidRDefault="0046798B">
            <w:pPr>
              <w:pStyle w:val="TableParagraph"/>
              <w:spacing w:before="4"/>
              <w:rPr>
                <w:sz w:val="31"/>
              </w:rPr>
            </w:pPr>
          </w:p>
          <w:p w14:paraId="24185AFF" w14:textId="77777777" w:rsidR="0046798B" w:rsidRDefault="00903B5C">
            <w:pPr>
              <w:pStyle w:val="TableParagraph"/>
              <w:ind w:left="114"/>
              <w:rPr>
                <w:sz w:val="20"/>
              </w:rPr>
            </w:pPr>
            <w:r>
              <w:rPr>
                <w:sz w:val="20"/>
              </w:rPr>
              <w:t>1917–2013</w:t>
            </w:r>
          </w:p>
        </w:tc>
        <w:tc>
          <w:tcPr>
            <w:tcW w:w="3421" w:type="dxa"/>
          </w:tcPr>
          <w:p w14:paraId="5567A7A7" w14:textId="77777777" w:rsidR="0046798B" w:rsidRDefault="0046798B">
            <w:pPr>
              <w:pStyle w:val="TableParagraph"/>
            </w:pPr>
          </w:p>
          <w:p w14:paraId="0497824B" w14:textId="77777777" w:rsidR="0046798B" w:rsidRDefault="0046798B">
            <w:pPr>
              <w:pStyle w:val="TableParagraph"/>
              <w:spacing w:before="4"/>
              <w:rPr>
                <w:sz w:val="21"/>
              </w:rPr>
            </w:pPr>
          </w:p>
          <w:p w14:paraId="436E3BCE" w14:textId="77777777" w:rsidR="0046798B" w:rsidRDefault="00903B5C">
            <w:pPr>
              <w:pStyle w:val="TableParagraph"/>
              <w:ind w:left="114" w:right="128"/>
              <w:rPr>
                <w:sz w:val="20"/>
              </w:rPr>
            </w:pPr>
            <w:r>
              <w:rPr>
                <w:sz w:val="20"/>
              </w:rPr>
              <w:t>Share of total income earned by the top 0.1% of earners</w:t>
            </w:r>
          </w:p>
        </w:tc>
        <w:tc>
          <w:tcPr>
            <w:tcW w:w="6482" w:type="dxa"/>
          </w:tcPr>
          <w:p w14:paraId="76F92F64" w14:textId="77777777" w:rsidR="0046798B" w:rsidRDefault="00903B5C">
            <w:pPr>
              <w:pStyle w:val="TableParagraph"/>
              <w:spacing w:before="38"/>
              <w:ind w:left="114" w:right="1506"/>
              <w:rPr>
                <w:sz w:val="20"/>
              </w:rPr>
            </w:pPr>
            <w:r>
              <w:rPr>
                <w:sz w:val="20"/>
              </w:rPr>
              <w:t xml:space="preserve">Frank, Mark W. “U.S. State-Level Income Inequality Data.” </w:t>
            </w:r>
            <w:hyperlink r:id="rId168">
              <w:r>
                <w:rPr>
                  <w:sz w:val="20"/>
                  <w:u w:val="single"/>
                </w:rPr>
                <w:t>http://www.shsu.edu/eco_mwf/inequality.html</w:t>
              </w:r>
            </w:hyperlink>
          </w:p>
          <w:p w14:paraId="509BFC33" w14:textId="77777777" w:rsidR="0046798B" w:rsidRDefault="0046798B">
            <w:pPr>
              <w:pStyle w:val="TableParagraph"/>
              <w:rPr>
                <w:sz w:val="20"/>
              </w:rPr>
            </w:pPr>
          </w:p>
          <w:p w14:paraId="0B270786" w14:textId="77777777" w:rsidR="0046798B" w:rsidRDefault="00903B5C">
            <w:pPr>
              <w:pStyle w:val="TableParagraph"/>
              <w:ind w:left="114" w:right="217"/>
              <w:rPr>
                <w:sz w:val="20"/>
              </w:rPr>
            </w:pPr>
            <w:r>
              <w:rPr>
                <w:sz w:val="20"/>
              </w:rPr>
              <w:t>For methodology, see: Frank, Mark, Estelle Sommeiller, Mark Price, and Emmanuel Saez. 2015. “Frank-Sommeiller-Price Series for Top Income Shares by US States since 1917.”</w:t>
            </w:r>
          </w:p>
        </w:tc>
      </w:tr>
      <w:tr w:rsidR="0046798B" w14:paraId="07791C52" w14:textId="77777777">
        <w:trPr>
          <w:trHeight w:val="1465"/>
        </w:trPr>
        <w:tc>
          <w:tcPr>
            <w:tcW w:w="1711" w:type="dxa"/>
          </w:tcPr>
          <w:p w14:paraId="1DD15ED6" w14:textId="77777777" w:rsidR="0046798B" w:rsidRDefault="0046798B">
            <w:pPr>
              <w:pStyle w:val="TableParagraph"/>
            </w:pPr>
          </w:p>
          <w:p w14:paraId="042FF7CF" w14:textId="77777777" w:rsidR="0046798B" w:rsidRDefault="0046798B">
            <w:pPr>
              <w:pStyle w:val="TableParagraph"/>
              <w:spacing w:before="3"/>
              <w:rPr>
                <w:sz w:val="31"/>
              </w:rPr>
            </w:pPr>
          </w:p>
          <w:p w14:paraId="3F427F4A" w14:textId="77777777" w:rsidR="0046798B" w:rsidRDefault="00903B5C">
            <w:pPr>
              <w:pStyle w:val="TableParagraph"/>
              <w:spacing w:before="1"/>
              <w:ind w:left="115"/>
              <w:rPr>
                <w:b/>
                <w:sz w:val="20"/>
              </w:rPr>
            </w:pPr>
            <w:r>
              <w:rPr>
                <w:b/>
                <w:sz w:val="20"/>
              </w:rPr>
              <w:t>incshare_top05</w:t>
            </w:r>
          </w:p>
        </w:tc>
        <w:tc>
          <w:tcPr>
            <w:tcW w:w="1596" w:type="dxa"/>
          </w:tcPr>
          <w:p w14:paraId="751A1179" w14:textId="77777777" w:rsidR="0046798B" w:rsidRDefault="0046798B">
            <w:pPr>
              <w:pStyle w:val="TableParagraph"/>
            </w:pPr>
          </w:p>
          <w:p w14:paraId="041D35C3" w14:textId="77777777" w:rsidR="0046798B" w:rsidRDefault="0046798B">
            <w:pPr>
              <w:pStyle w:val="TableParagraph"/>
              <w:spacing w:before="3"/>
              <w:rPr>
                <w:sz w:val="21"/>
              </w:rPr>
            </w:pPr>
          </w:p>
          <w:p w14:paraId="6FA43568" w14:textId="77777777" w:rsidR="0046798B" w:rsidRDefault="00903B5C">
            <w:pPr>
              <w:pStyle w:val="TableParagraph"/>
              <w:spacing w:before="1"/>
              <w:ind w:left="114" w:right="191"/>
              <w:rPr>
                <w:sz w:val="20"/>
              </w:rPr>
            </w:pPr>
            <w:r>
              <w:rPr>
                <w:sz w:val="20"/>
              </w:rPr>
              <w:t>Top 0.5% share of income</w:t>
            </w:r>
          </w:p>
        </w:tc>
        <w:tc>
          <w:tcPr>
            <w:tcW w:w="1285" w:type="dxa"/>
          </w:tcPr>
          <w:p w14:paraId="09A1C022" w14:textId="77777777" w:rsidR="0046798B" w:rsidRDefault="0046798B">
            <w:pPr>
              <w:pStyle w:val="TableParagraph"/>
            </w:pPr>
          </w:p>
          <w:p w14:paraId="1D549AD1" w14:textId="77777777" w:rsidR="0046798B" w:rsidRDefault="0046798B">
            <w:pPr>
              <w:pStyle w:val="TableParagraph"/>
              <w:spacing w:before="3"/>
              <w:rPr>
                <w:sz w:val="31"/>
              </w:rPr>
            </w:pPr>
          </w:p>
          <w:p w14:paraId="51C3FBD2" w14:textId="77777777" w:rsidR="0046798B" w:rsidRDefault="00903B5C">
            <w:pPr>
              <w:pStyle w:val="TableParagraph"/>
              <w:spacing w:before="1"/>
              <w:ind w:left="114"/>
              <w:rPr>
                <w:sz w:val="20"/>
              </w:rPr>
            </w:pPr>
            <w:r>
              <w:rPr>
                <w:sz w:val="20"/>
              </w:rPr>
              <w:t>1917–2013</w:t>
            </w:r>
          </w:p>
        </w:tc>
        <w:tc>
          <w:tcPr>
            <w:tcW w:w="3421" w:type="dxa"/>
          </w:tcPr>
          <w:p w14:paraId="66A09475" w14:textId="77777777" w:rsidR="0046798B" w:rsidRDefault="0046798B">
            <w:pPr>
              <w:pStyle w:val="TableParagraph"/>
            </w:pPr>
          </w:p>
          <w:p w14:paraId="396C3F4B" w14:textId="77777777" w:rsidR="0046798B" w:rsidRDefault="0046798B">
            <w:pPr>
              <w:pStyle w:val="TableParagraph"/>
              <w:spacing w:before="3"/>
              <w:rPr>
                <w:sz w:val="21"/>
              </w:rPr>
            </w:pPr>
          </w:p>
          <w:p w14:paraId="08C50494" w14:textId="77777777" w:rsidR="0046798B" w:rsidRDefault="00903B5C">
            <w:pPr>
              <w:pStyle w:val="TableParagraph"/>
              <w:spacing w:before="1"/>
              <w:ind w:left="114" w:right="128"/>
              <w:rPr>
                <w:sz w:val="20"/>
              </w:rPr>
            </w:pPr>
            <w:r>
              <w:rPr>
                <w:sz w:val="20"/>
              </w:rPr>
              <w:t>Share of total income earned by the top 0.5% of earners</w:t>
            </w:r>
          </w:p>
        </w:tc>
        <w:tc>
          <w:tcPr>
            <w:tcW w:w="6482" w:type="dxa"/>
          </w:tcPr>
          <w:p w14:paraId="094D5D90" w14:textId="77777777" w:rsidR="0046798B" w:rsidRDefault="00903B5C">
            <w:pPr>
              <w:pStyle w:val="TableParagraph"/>
              <w:spacing w:before="43"/>
              <w:ind w:left="114" w:right="1506"/>
              <w:rPr>
                <w:sz w:val="20"/>
              </w:rPr>
            </w:pPr>
            <w:r>
              <w:rPr>
                <w:sz w:val="20"/>
              </w:rPr>
              <w:t xml:space="preserve">Frank, Mark W. “U.S. State-Level Income Inequality Data.” </w:t>
            </w:r>
            <w:hyperlink r:id="rId169">
              <w:r>
                <w:rPr>
                  <w:sz w:val="20"/>
                  <w:u w:val="single"/>
                </w:rPr>
                <w:t>http://www.shsu.edu/eco_mwf/inequality.html</w:t>
              </w:r>
            </w:hyperlink>
          </w:p>
          <w:p w14:paraId="780B0ED6" w14:textId="77777777" w:rsidR="0046798B" w:rsidRDefault="0046798B">
            <w:pPr>
              <w:pStyle w:val="TableParagraph"/>
              <w:spacing w:before="6"/>
              <w:rPr>
                <w:sz w:val="19"/>
              </w:rPr>
            </w:pPr>
          </w:p>
          <w:p w14:paraId="5B452A6A" w14:textId="77777777" w:rsidR="0046798B" w:rsidRDefault="00903B5C">
            <w:pPr>
              <w:pStyle w:val="TableParagraph"/>
              <w:spacing w:before="1"/>
              <w:ind w:left="114" w:right="217"/>
              <w:rPr>
                <w:sz w:val="20"/>
              </w:rPr>
            </w:pPr>
            <w:r>
              <w:rPr>
                <w:sz w:val="20"/>
              </w:rPr>
              <w:t>For methodology, see: Frank, Mark, Estelle Sommeiller, Mark Price, and Emmanuel Saez. 2015. “Frank-Sommeiller-Price Series for Top Income Shares by US States since 1917.”</w:t>
            </w:r>
          </w:p>
        </w:tc>
      </w:tr>
      <w:tr w:rsidR="0046798B" w14:paraId="0F269DFC" w14:textId="77777777">
        <w:trPr>
          <w:trHeight w:val="1465"/>
        </w:trPr>
        <w:tc>
          <w:tcPr>
            <w:tcW w:w="1711" w:type="dxa"/>
          </w:tcPr>
          <w:p w14:paraId="4C403A46" w14:textId="77777777" w:rsidR="0046798B" w:rsidRDefault="0046798B">
            <w:pPr>
              <w:pStyle w:val="TableParagraph"/>
            </w:pPr>
          </w:p>
          <w:p w14:paraId="57086A04" w14:textId="77777777" w:rsidR="0046798B" w:rsidRDefault="0046798B">
            <w:pPr>
              <w:pStyle w:val="TableParagraph"/>
              <w:spacing w:before="9"/>
              <w:rPr>
                <w:sz w:val="31"/>
              </w:rPr>
            </w:pPr>
          </w:p>
          <w:p w14:paraId="78D80C71" w14:textId="77777777" w:rsidR="0046798B" w:rsidRDefault="00903B5C">
            <w:pPr>
              <w:pStyle w:val="TableParagraph"/>
              <w:ind w:left="115"/>
              <w:rPr>
                <w:b/>
                <w:sz w:val="20"/>
              </w:rPr>
            </w:pPr>
            <w:r>
              <w:rPr>
                <w:b/>
                <w:sz w:val="20"/>
              </w:rPr>
              <w:t>incshare_top1</w:t>
            </w:r>
          </w:p>
        </w:tc>
        <w:tc>
          <w:tcPr>
            <w:tcW w:w="1596" w:type="dxa"/>
          </w:tcPr>
          <w:p w14:paraId="136247F6" w14:textId="77777777" w:rsidR="0046798B" w:rsidRDefault="0046798B">
            <w:pPr>
              <w:pStyle w:val="TableParagraph"/>
            </w:pPr>
          </w:p>
          <w:p w14:paraId="3C6F540D" w14:textId="77777777" w:rsidR="0046798B" w:rsidRDefault="0046798B">
            <w:pPr>
              <w:pStyle w:val="TableParagraph"/>
              <w:spacing w:before="8"/>
              <w:rPr>
                <w:sz w:val="21"/>
              </w:rPr>
            </w:pPr>
          </w:p>
          <w:p w14:paraId="15F84C98" w14:textId="77777777" w:rsidR="0046798B" w:rsidRDefault="00903B5C">
            <w:pPr>
              <w:pStyle w:val="TableParagraph"/>
              <w:ind w:left="114" w:right="124"/>
              <w:rPr>
                <w:sz w:val="20"/>
              </w:rPr>
            </w:pPr>
            <w:r>
              <w:rPr>
                <w:sz w:val="20"/>
              </w:rPr>
              <w:t>Top 1% share of income</w:t>
            </w:r>
          </w:p>
        </w:tc>
        <w:tc>
          <w:tcPr>
            <w:tcW w:w="1285" w:type="dxa"/>
          </w:tcPr>
          <w:p w14:paraId="719F1CD6" w14:textId="77777777" w:rsidR="0046798B" w:rsidRDefault="0046798B">
            <w:pPr>
              <w:pStyle w:val="TableParagraph"/>
            </w:pPr>
          </w:p>
          <w:p w14:paraId="002231BC" w14:textId="77777777" w:rsidR="0046798B" w:rsidRDefault="0046798B">
            <w:pPr>
              <w:pStyle w:val="TableParagraph"/>
              <w:spacing w:before="9"/>
              <w:rPr>
                <w:sz w:val="31"/>
              </w:rPr>
            </w:pPr>
          </w:p>
          <w:p w14:paraId="3ADAB3AB" w14:textId="77777777" w:rsidR="0046798B" w:rsidRDefault="00903B5C">
            <w:pPr>
              <w:pStyle w:val="TableParagraph"/>
              <w:ind w:left="114"/>
              <w:rPr>
                <w:sz w:val="20"/>
              </w:rPr>
            </w:pPr>
            <w:r>
              <w:rPr>
                <w:sz w:val="20"/>
              </w:rPr>
              <w:t>1917–2013</w:t>
            </w:r>
          </w:p>
        </w:tc>
        <w:tc>
          <w:tcPr>
            <w:tcW w:w="3421" w:type="dxa"/>
          </w:tcPr>
          <w:p w14:paraId="732B6DB4" w14:textId="77777777" w:rsidR="0046798B" w:rsidRDefault="0046798B">
            <w:pPr>
              <w:pStyle w:val="TableParagraph"/>
            </w:pPr>
          </w:p>
          <w:p w14:paraId="641C7EA9" w14:textId="77777777" w:rsidR="0046798B" w:rsidRDefault="0046798B">
            <w:pPr>
              <w:pStyle w:val="TableParagraph"/>
              <w:spacing w:before="8"/>
              <w:rPr>
                <w:sz w:val="21"/>
              </w:rPr>
            </w:pPr>
          </w:p>
          <w:p w14:paraId="3434055E" w14:textId="77777777" w:rsidR="0046798B" w:rsidRDefault="00903B5C">
            <w:pPr>
              <w:pStyle w:val="TableParagraph"/>
              <w:ind w:left="114" w:right="128"/>
              <w:rPr>
                <w:sz w:val="20"/>
              </w:rPr>
            </w:pPr>
            <w:r>
              <w:rPr>
                <w:sz w:val="20"/>
              </w:rPr>
              <w:t>Share of total income earned by the top 1% of earners</w:t>
            </w:r>
          </w:p>
        </w:tc>
        <w:tc>
          <w:tcPr>
            <w:tcW w:w="6482" w:type="dxa"/>
          </w:tcPr>
          <w:p w14:paraId="4ABEB72C" w14:textId="77777777" w:rsidR="0046798B" w:rsidRDefault="00903B5C">
            <w:pPr>
              <w:pStyle w:val="TableParagraph"/>
              <w:spacing w:before="43"/>
              <w:ind w:left="114" w:right="1506"/>
              <w:rPr>
                <w:sz w:val="20"/>
              </w:rPr>
            </w:pPr>
            <w:r>
              <w:rPr>
                <w:sz w:val="20"/>
              </w:rPr>
              <w:t xml:space="preserve">Frank, Mark W. “U.S. State-Level Income Inequality Data.” </w:t>
            </w:r>
            <w:hyperlink r:id="rId170">
              <w:r>
                <w:rPr>
                  <w:sz w:val="20"/>
                  <w:u w:val="single"/>
                </w:rPr>
                <w:t>http://www.shsu.edu/eco_mwf/inequality.html</w:t>
              </w:r>
            </w:hyperlink>
          </w:p>
          <w:p w14:paraId="1185EC87" w14:textId="77777777" w:rsidR="0046798B" w:rsidRDefault="0046798B">
            <w:pPr>
              <w:pStyle w:val="TableParagraph"/>
              <w:rPr>
                <w:sz w:val="20"/>
              </w:rPr>
            </w:pPr>
          </w:p>
          <w:p w14:paraId="59CFACD7" w14:textId="77777777" w:rsidR="0046798B" w:rsidRDefault="00903B5C">
            <w:pPr>
              <w:pStyle w:val="TableParagraph"/>
              <w:ind w:left="114" w:right="217"/>
              <w:rPr>
                <w:sz w:val="20"/>
              </w:rPr>
            </w:pPr>
            <w:r>
              <w:rPr>
                <w:sz w:val="20"/>
              </w:rPr>
              <w:t>For methodology, see: Frank, Mark, Estelle Sommeiller, Mark Price, and Emmanuel Saez. 2015. “Frank-Sommeiller-Price Series for Top Income Shares by US States since 1917.”</w:t>
            </w:r>
          </w:p>
        </w:tc>
      </w:tr>
      <w:tr w:rsidR="0046798B" w14:paraId="64A2EAA5" w14:textId="77777777">
        <w:trPr>
          <w:trHeight w:val="775"/>
        </w:trPr>
        <w:tc>
          <w:tcPr>
            <w:tcW w:w="1711" w:type="dxa"/>
          </w:tcPr>
          <w:p w14:paraId="578772E9" w14:textId="77777777" w:rsidR="0046798B" w:rsidRDefault="0046798B">
            <w:pPr>
              <w:pStyle w:val="TableParagraph"/>
              <w:spacing w:before="8"/>
              <w:rPr>
                <w:sz w:val="23"/>
              </w:rPr>
            </w:pPr>
          </w:p>
          <w:p w14:paraId="02502E7D" w14:textId="77777777" w:rsidR="0046798B" w:rsidRDefault="00903B5C">
            <w:pPr>
              <w:pStyle w:val="TableParagraph"/>
              <w:spacing w:before="1"/>
              <w:ind w:left="115"/>
              <w:rPr>
                <w:b/>
                <w:sz w:val="20"/>
              </w:rPr>
            </w:pPr>
            <w:r>
              <w:rPr>
                <w:b/>
                <w:sz w:val="20"/>
              </w:rPr>
              <w:t>incshare_top5</w:t>
            </w:r>
          </w:p>
        </w:tc>
        <w:tc>
          <w:tcPr>
            <w:tcW w:w="1596" w:type="dxa"/>
          </w:tcPr>
          <w:p w14:paraId="59141CB8" w14:textId="77777777" w:rsidR="0046798B" w:rsidRDefault="00903B5C">
            <w:pPr>
              <w:pStyle w:val="TableParagraph"/>
              <w:spacing w:before="158"/>
              <w:ind w:left="114" w:right="124"/>
              <w:rPr>
                <w:sz w:val="20"/>
              </w:rPr>
            </w:pPr>
            <w:r>
              <w:rPr>
                <w:sz w:val="20"/>
              </w:rPr>
              <w:t>Top 5% share of income</w:t>
            </w:r>
          </w:p>
        </w:tc>
        <w:tc>
          <w:tcPr>
            <w:tcW w:w="1285" w:type="dxa"/>
          </w:tcPr>
          <w:p w14:paraId="739E983C" w14:textId="77777777" w:rsidR="0046798B" w:rsidRDefault="0046798B">
            <w:pPr>
              <w:pStyle w:val="TableParagraph"/>
              <w:spacing w:before="8"/>
              <w:rPr>
                <w:sz w:val="23"/>
              </w:rPr>
            </w:pPr>
          </w:p>
          <w:p w14:paraId="26431B07" w14:textId="77777777" w:rsidR="0046798B" w:rsidRDefault="00903B5C">
            <w:pPr>
              <w:pStyle w:val="TableParagraph"/>
              <w:spacing w:before="1"/>
              <w:ind w:left="114"/>
              <w:rPr>
                <w:sz w:val="20"/>
              </w:rPr>
            </w:pPr>
            <w:r>
              <w:rPr>
                <w:sz w:val="20"/>
              </w:rPr>
              <w:t>1917–2013</w:t>
            </w:r>
          </w:p>
        </w:tc>
        <w:tc>
          <w:tcPr>
            <w:tcW w:w="3421" w:type="dxa"/>
          </w:tcPr>
          <w:p w14:paraId="77709E4D" w14:textId="77777777" w:rsidR="0046798B" w:rsidRDefault="00903B5C">
            <w:pPr>
              <w:pStyle w:val="TableParagraph"/>
              <w:spacing w:before="158"/>
              <w:ind w:left="114" w:right="128"/>
              <w:rPr>
                <w:sz w:val="20"/>
              </w:rPr>
            </w:pPr>
            <w:r>
              <w:rPr>
                <w:sz w:val="20"/>
              </w:rPr>
              <w:t>Share of total income earned by the top 5% of earners</w:t>
            </w:r>
          </w:p>
        </w:tc>
        <w:tc>
          <w:tcPr>
            <w:tcW w:w="6482" w:type="dxa"/>
          </w:tcPr>
          <w:p w14:paraId="3675EA1B" w14:textId="77777777" w:rsidR="0046798B" w:rsidRDefault="00903B5C">
            <w:pPr>
              <w:pStyle w:val="TableParagraph"/>
              <w:spacing w:before="43"/>
              <w:ind w:left="114" w:right="1506"/>
              <w:rPr>
                <w:sz w:val="20"/>
              </w:rPr>
            </w:pPr>
            <w:r>
              <w:rPr>
                <w:sz w:val="20"/>
              </w:rPr>
              <w:t xml:space="preserve">Frank, Mark W. “U.S. State-Level Income Inequality Data.” </w:t>
            </w:r>
            <w:hyperlink r:id="rId171">
              <w:r>
                <w:rPr>
                  <w:sz w:val="20"/>
                  <w:u w:val="single"/>
                </w:rPr>
                <w:t>http://www.shsu.edu/eco_mwf/inequality.html</w:t>
              </w:r>
            </w:hyperlink>
          </w:p>
        </w:tc>
      </w:tr>
    </w:tbl>
    <w:p w14:paraId="591097CD" w14:textId="77777777" w:rsidR="0046798B" w:rsidRDefault="0046798B">
      <w:pPr>
        <w:rPr>
          <w:sz w:val="20"/>
        </w:rPr>
        <w:sectPr w:rsidR="0046798B">
          <w:pgSz w:w="15840" w:h="12240" w:orient="landscape"/>
          <w:pgMar w:top="1220" w:right="300" w:bottom="980" w:left="820" w:header="730" w:footer="787" w:gutter="0"/>
          <w:cols w:space="720"/>
        </w:sectPr>
      </w:pPr>
    </w:p>
    <w:p w14:paraId="6C9C87D5"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D2C6BBD" w14:textId="77777777">
        <w:trPr>
          <w:trHeight w:val="775"/>
        </w:trPr>
        <w:tc>
          <w:tcPr>
            <w:tcW w:w="1711" w:type="dxa"/>
          </w:tcPr>
          <w:p w14:paraId="4C13F9F4" w14:textId="77777777" w:rsidR="0046798B" w:rsidRDefault="0046798B">
            <w:pPr>
              <w:pStyle w:val="TableParagraph"/>
              <w:rPr>
                <w:sz w:val="20"/>
              </w:rPr>
            </w:pPr>
          </w:p>
        </w:tc>
        <w:tc>
          <w:tcPr>
            <w:tcW w:w="1596" w:type="dxa"/>
          </w:tcPr>
          <w:p w14:paraId="3568DDFB" w14:textId="77777777" w:rsidR="0046798B" w:rsidRDefault="0046798B">
            <w:pPr>
              <w:pStyle w:val="TableParagraph"/>
              <w:rPr>
                <w:sz w:val="20"/>
              </w:rPr>
            </w:pPr>
          </w:p>
        </w:tc>
        <w:tc>
          <w:tcPr>
            <w:tcW w:w="1285" w:type="dxa"/>
          </w:tcPr>
          <w:p w14:paraId="1318C5F2" w14:textId="77777777" w:rsidR="0046798B" w:rsidRDefault="0046798B">
            <w:pPr>
              <w:pStyle w:val="TableParagraph"/>
              <w:rPr>
                <w:sz w:val="20"/>
              </w:rPr>
            </w:pPr>
          </w:p>
        </w:tc>
        <w:tc>
          <w:tcPr>
            <w:tcW w:w="3421" w:type="dxa"/>
          </w:tcPr>
          <w:p w14:paraId="386E8DA3" w14:textId="77777777" w:rsidR="0046798B" w:rsidRDefault="0046798B">
            <w:pPr>
              <w:pStyle w:val="TableParagraph"/>
              <w:rPr>
                <w:sz w:val="20"/>
              </w:rPr>
            </w:pPr>
          </w:p>
        </w:tc>
        <w:tc>
          <w:tcPr>
            <w:tcW w:w="6482" w:type="dxa"/>
          </w:tcPr>
          <w:p w14:paraId="043C6CF3" w14:textId="77777777" w:rsidR="0046798B" w:rsidRDefault="00903B5C">
            <w:pPr>
              <w:pStyle w:val="TableParagraph"/>
              <w:spacing w:before="43"/>
              <w:ind w:left="114" w:right="217"/>
              <w:rPr>
                <w:sz w:val="20"/>
              </w:rPr>
            </w:pPr>
            <w:r>
              <w:rPr>
                <w:sz w:val="20"/>
              </w:rPr>
              <w:t>For methodology, see: Frank, Mark, Estelle Sommeiller, Mark Price, and Emmanuel Saez. 2015. “Frank-Sommeiller-Price Series for Top Income Shares by US States since 1917.”</w:t>
            </w:r>
          </w:p>
        </w:tc>
      </w:tr>
      <w:tr w:rsidR="0046798B" w14:paraId="6242D718" w14:textId="77777777">
        <w:trPr>
          <w:trHeight w:val="1465"/>
        </w:trPr>
        <w:tc>
          <w:tcPr>
            <w:tcW w:w="1711" w:type="dxa"/>
          </w:tcPr>
          <w:p w14:paraId="4C2DF3BF" w14:textId="77777777" w:rsidR="0046798B" w:rsidRDefault="0046798B">
            <w:pPr>
              <w:pStyle w:val="TableParagraph"/>
            </w:pPr>
          </w:p>
          <w:p w14:paraId="19ECC82C" w14:textId="77777777" w:rsidR="0046798B" w:rsidRDefault="0046798B">
            <w:pPr>
              <w:pStyle w:val="TableParagraph"/>
              <w:spacing w:before="8"/>
              <w:rPr>
                <w:sz w:val="31"/>
              </w:rPr>
            </w:pPr>
          </w:p>
          <w:p w14:paraId="2BC7F509" w14:textId="77777777" w:rsidR="0046798B" w:rsidRDefault="00903B5C">
            <w:pPr>
              <w:pStyle w:val="TableParagraph"/>
              <w:spacing w:before="1"/>
              <w:ind w:left="115"/>
              <w:rPr>
                <w:b/>
                <w:sz w:val="20"/>
              </w:rPr>
            </w:pPr>
            <w:r>
              <w:rPr>
                <w:b/>
                <w:sz w:val="20"/>
              </w:rPr>
              <w:t>incshare_top10</w:t>
            </w:r>
          </w:p>
        </w:tc>
        <w:tc>
          <w:tcPr>
            <w:tcW w:w="1596" w:type="dxa"/>
          </w:tcPr>
          <w:p w14:paraId="311024D3" w14:textId="77777777" w:rsidR="0046798B" w:rsidRDefault="0046798B">
            <w:pPr>
              <w:pStyle w:val="TableParagraph"/>
            </w:pPr>
          </w:p>
          <w:p w14:paraId="5361823A" w14:textId="77777777" w:rsidR="0046798B" w:rsidRDefault="0046798B">
            <w:pPr>
              <w:pStyle w:val="TableParagraph"/>
              <w:spacing w:before="8"/>
              <w:rPr>
                <w:sz w:val="21"/>
              </w:rPr>
            </w:pPr>
          </w:p>
          <w:p w14:paraId="5ECDC129" w14:textId="77777777" w:rsidR="0046798B" w:rsidRDefault="00903B5C">
            <w:pPr>
              <w:pStyle w:val="TableParagraph"/>
              <w:spacing w:before="1"/>
              <w:ind w:left="114" w:right="241"/>
              <w:rPr>
                <w:sz w:val="20"/>
              </w:rPr>
            </w:pPr>
            <w:r>
              <w:rPr>
                <w:sz w:val="20"/>
              </w:rPr>
              <w:t>Top 10% share of income</w:t>
            </w:r>
          </w:p>
        </w:tc>
        <w:tc>
          <w:tcPr>
            <w:tcW w:w="1285" w:type="dxa"/>
          </w:tcPr>
          <w:p w14:paraId="167836C9" w14:textId="77777777" w:rsidR="0046798B" w:rsidRDefault="0046798B">
            <w:pPr>
              <w:pStyle w:val="TableParagraph"/>
            </w:pPr>
          </w:p>
          <w:p w14:paraId="1CDA7E49" w14:textId="77777777" w:rsidR="0046798B" w:rsidRDefault="0046798B">
            <w:pPr>
              <w:pStyle w:val="TableParagraph"/>
              <w:spacing w:before="8"/>
              <w:rPr>
                <w:sz w:val="31"/>
              </w:rPr>
            </w:pPr>
          </w:p>
          <w:p w14:paraId="052B7204" w14:textId="77777777" w:rsidR="0046798B" w:rsidRDefault="00903B5C">
            <w:pPr>
              <w:pStyle w:val="TableParagraph"/>
              <w:spacing w:before="1"/>
              <w:ind w:left="114"/>
              <w:rPr>
                <w:sz w:val="20"/>
              </w:rPr>
            </w:pPr>
            <w:r>
              <w:rPr>
                <w:sz w:val="20"/>
              </w:rPr>
              <w:t>1917–2013</w:t>
            </w:r>
          </w:p>
        </w:tc>
        <w:tc>
          <w:tcPr>
            <w:tcW w:w="3421" w:type="dxa"/>
          </w:tcPr>
          <w:p w14:paraId="6EC1BF78" w14:textId="77777777" w:rsidR="0046798B" w:rsidRDefault="0046798B">
            <w:pPr>
              <w:pStyle w:val="TableParagraph"/>
            </w:pPr>
          </w:p>
          <w:p w14:paraId="19DB4B64" w14:textId="77777777" w:rsidR="0046798B" w:rsidRDefault="0046798B">
            <w:pPr>
              <w:pStyle w:val="TableParagraph"/>
              <w:spacing w:before="8"/>
              <w:rPr>
                <w:sz w:val="21"/>
              </w:rPr>
            </w:pPr>
          </w:p>
          <w:p w14:paraId="0CE80B48" w14:textId="77777777" w:rsidR="0046798B" w:rsidRDefault="00903B5C">
            <w:pPr>
              <w:pStyle w:val="TableParagraph"/>
              <w:spacing w:before="1"/>
              <w:ind w:left="114" w:right="128"/>
              <w:rPr>
                <w:sz w:val="20"/>
              </w:rPr>
            </w:pPr>
            <w:r>
              <w:rPr>
                <w:sz w:val="20"/>
              </w:rPr>
              <w:t>Share of total income earned by the top 10% of earners</w:t>
            </w:r>
          </w:p>
        </w:tc>
        <w:tc>
          <w:tcPr>
            <w:tcW w:w="6482" w:type="dxa"/>
          </w:tcPr>
          <w:p w14:paraId="3D05755D" w14:textId="77777777" w:rsidR="0046798B" w:rsidRDefault="00903B5C">
            <w:pPr>
              <w:pStyle w:val="TableParagraph"/>
              <w:spacing w:before="43"/>
              <w:ind w:left="114" w:right="1506"/>
              <w:rPr>
                <w:sz w:val="20"/>
              </w:rPr>
            </w:pPr>
            <w:r>
              <w:rPr>
                <w:sz w:val="20"/>
              </w:rPr>
              <w:t xml:space="preserve">Frank, Mark W. “U.S. State-Level Income Inequality Data.” </w:t>
            </w:r>
            <w:hyperlink r:id="rId172">
              <w:r>
                <w:rPr>
                  <w:sz w:val="20"/>
                  <w:u w:val="single"/>
                </w:rPr>
                <w:t>http://www.shsu.edu/eco_mwf/inequality.html</w:t>
              </w:r>
            </w:hyperlink>
          </w:p>
          <w:p w14:paraId="15745112" w14:textId="77777777" w:rsidR="0046798B" w:rsidRDefault="0046798B">
            <w:pPr>
              <w:pStyle w:val="TableParagraph"/>
              <w:rPr>
                <w:sz w:val="20"/>
              </w:rPr>
            </w:pPr>
          </w:p>
          <w:p w14:paraId="2A56E2AD" w14:textId="77777777" w:rsidR="0046798B" w:rsidRDefault="00903B5C">
            <w:pPr>
              <w:pStyle w:val="TableParagraph"/>
              <w:spacing w:before="1"/>
              <w:ind w:left="114" w:right="217"/>
              <w:rPr>
                <w:sz w:val="20"/>
              </w:rPr>
            </w:pPr>
            <w:r>
              <w:rPr>
                <w:sz w:val="20"/>
              </w:rPr>
              <w:t>For methodology, see: Frank, Mark, Estelle Sommeiller, Mark Price, and Emmanuel Saez. 2015. “Frank-Sommeiller-Price Series for Top Income Shares by US States since 1917.”</w:t>
            </w:r>
          </w:p>
        </w:tc>
      </w:tr>
      <w:tr w:rsidR="0046798B" w14:paraId="0BF9E5AB" w14:textId="77777777">
        <w:trPr>
          <w:trHeight w:val="550"/>
        </w:trPr>
        <w:tc>
          <w:tcPr>
            <w:tcW w:w="1711" w:type="dxa"/>
          </w:tcPr>
          <w:p w14:paraId="3942A22A" w14:textId="77777777" w:rsidR="0046798B" w:rsidRDefault="00903B5C">
            <w:pPr>
              <w:pStyle w:val="TableParagraph"/>
              <w:spacing w:before="158"/>
              <w:ind w:left="115"/>
              <w:rPr>
                <w:b/>
                <w:sz w:val="20"/>
              </w:rPr>
            </w:pPr>
            <w:r>
              <w:rPr>
                <w:b/>
                <w:sz w:val="20"/>
              </w:rPr>
              <w:t>theil_index</w:t>
            </w:r>
          </w:p>
        </w:tc>
        <w:tc>
          <w:tcPr>
            <w:tcW w:w="1596" w:type="dxa"/>
          </w:tcPr>
          <w:p w14:paraId="4C53F50E" w14:textId="77777777" w:rsidR="0046798B" w:rsidRDefault="00903B5C">
            <w:pPr>
              <w:pStyle w:val="TableParagraph"/>
              <w:spacing w:before="158"/>
              <w:ind w:left="114"/>
              <w:rPr>
                <w:sz w:val="20"/>
              </w:rPr>
            </w:pPr>
            <w:r>
              <w:rPr>
                <w:sz w:val="20"/>
              </w:rPr>
              <w:t>Theil Index</w:t>
            </w:r>
          </w:p>
        </w:tc>
        <w:tc>
          <w:tcPr>
            <w:tcW w:w="1285" w:type="dxa"/>
          </w:tcPr>
          <w:p w14:paraId="4BED0515" w14:textId="77777777" w:rsidR="0046798B" w:rsidRDefault="00903B5C">
            <w:pPr>
              <w:pStyle w:val="TableParagraph"/>
              <w:spacing w:before="158"/>
              <w:ind w:left="114"/>
              <w:rPr>
                <w:sz w:val="20"/>
              </w:rPr>
            </w:pPr>
            <w:r>
              <w:rPr>
                <w:sz w:val="20"/>
              </w:rPr>
              <w:t>1917–2013</w:t>
            </w:r>
          </w:p>
        </w:tc>
        <w:tc>
          <w:tcPr>
            <w:tcW w:w="3421" w:type="dxa"/>
          </w:tcPr>
          <w:p w14:paraId="5EE8DF27" w14:textId="77777777" w:rsidR="0046798B" w:rsidRDefault="00903B5C">
            <w:pPr>
              <w:pStyle w:val="TableParagraph"/>
              <w:spacing w:before="43"/>
              <w:ind w:left="114" w:right="322"/>
              <w:rPr>
                <w:sz w:val="20"/>
              </w:rPr>
            </w:pPr>
            <w:r>
              <w:rPr>
                <w:sz w:val="20"/>
              </w:rPr>
              <w:t>State income inequality measured by Theil Index</w:t>
            </w:r>
          </w:p>
        </w:tc>
        <w:tc>
          <w:tcPr>
            <w:tcW w:w="6482" w:type="dxa"/>
          </w:tcPr>
          <w:p w14:paraId="26C5C3EB" w14:textId="77777777" w:rsidR="0046798B" w:rsidRDefault="00903B5C">
            <w:pPr>
              <w:pStyle w:val="TableParagraph"/>
              <w:spacing w:before="43"/>
              <w:ind w:left="114" w:right="1506"/>
              <w:rPr>
                <w:sz w:val="20"/>
              </w:rPr>
            </w:pPr>
            <w:r>
              <w:rPr>
                <w:sz w:val="20"/>
              </w:rPr>
              <w:t xml:space="preserve">Frank, Mark W. “U.S. State-Level Income Inequality Data.” </w:t>
            </w:r>
            <w:hyperlink r:id="rId173">
              <w:r>
                <w:rPr>
                  <w:sz w:val="20"/>
                  <w:u w:val="single"/>
                </w:rPr>
                <w:t>http://www.shsu.edu/eco_mwf/inequality.html</w:t>
              </w:r>
            </w:hyperlink>
          </w:p>
        </w:tc>
      </w:tr>
      <w:tr w:rsidR="0046798B" w14:paraId="37331045" w14:textId="77777777">
        <w:trPr>
          <w:trHeight w:val="545"/>
        </w:trPr>
        <w:tc>
          <w:tcPr>
            <w:tcW w:w="1711" w:type="dxa"/>
          </w:tcPr>
          <w:p w14:paraId="0CEC75B1" w14:textId="77777777" w:rsidR="0046798B" w:rsidRDefault="00903B5C">
            <w:pPr>
              <w:pStyle w:val="TableParagraph"/>
              <w:spacing w:before="153"/>
              <w:ind w:left="115"/>
              <w:rPr>
                <w:b/>
                <w:sz w:val="20"/>
              </w:rPr>
            </w:pPr>
            <w:r>
              <w:rPr>
                <w:b/>
                <w:sz w:val="20"/>
              </w:rPr>
              <w:t>is_a_state</w:t>
            </w:r>
          </w:p>
        </w:tc>
        <w:tc>
          <w:tcPr>
            <w:tcW w:w="1596" w:type="dxa"/>
          </w:tcPr>
          <w:p w14:paraId="666BACFD" w14:textId="77777777" w:rsidR="0046798B" w:rsidRDefault="00903B5C">
            <w:pPr>
              <w:pStyle w:val="TableParagraph"/>
              <w:spacing w:before="38"/>
              <w:ind w:left="114" w:right="390"/>
              <w:rPr>
                <w:sz w:val="20"/>
              </w:rPr>
            </w:pPr>
            <w:r>
              <w:rPr>
                <w:sz w:val="20"/>
              </w:rPr>
              <w:t>State dummy variable</w:t>
            </w:r>
          </w:p>
        </w:tc>
        <w:tc>
          <w:tcPr>
            <w:tcW w:w="1285" w:type="dxa"/>
          </w:tcPr>
          <w:p w14:paraId="4BD84DC3" w14:textId="77777777" w:rsidR="0046798B" w:rsidRDefault="00903B5C">
            <w:pPr>
              <w:pStyle w:val="TableParagraph"/>
              <w:spacing w:before="153"/>
              <w:ind w:left="114"/>
              <w:rPr>
                <w:sz w:val="20"/>
              </w:rPr>
            </w:pPr>
            <w:r>
              <w:rPr>
                <w:sz w:val="20"/>
              </w:rPr>
              <w:t>1929–2012</w:t>
            </w:r>
          </w:p>
        </w:tc>
        <w:tc>
          <w:tcPr>
            <w:tcW w:w="3421" w:type="dxa"/>
          </w:tcPr>
          <w:p w14:paraId="442C023D" w14:textId="77777777" w:rsidR="0046798B" w:rsidRDefault="00903B5C">
            <w:pPr>
              <w:pStyle w:val="TableParagraph"/>
              <w:spacing w:before="153"/>
              <w:ind w:left="114"/>
              <w:rPr>
                <w:sz w:val="20"/>
              </w:rPr>
            </w:pPr>
            <w:r>
              <w:rPr>
                <w:sz w:val="20"/>
              </w:rPr>
              <w:t>1 = is a state. 0 = DC and national data.</w:t>
            </w:r>
          </w:p>
        </w:tc>
        <w:tc>
          <w:tcPr>
            <w:tcW w:w="6482" w:type="dxa"/>
          </w:tcPr>
          <w:p w14:paraId="675EB42D" w14:textId="77777777" w:rsidR="0046798B" w:rsidRDefault="00903B5C">
            <w:pPr>
              <w:pStyle w:val="TableParagraph"/>
              <w:spacing w:before="38"/>
              <w:ind w:left="114" w:right="1111"/>
              <w:rPr>
                <w:sz w:val="20"/>
              </w:rPr>
            </w:pPr>
            <w:r>
              <w:rPr>
                <w:sz w:val="20"/>
              </w:rPr>
              <w:t xml:space="preserve">Klarner, Carl, 2013, “State Economic Data”, </w:t>
            </w:r>
            <w:hyperlink r:id="rId174">
              <w:r>
                <w:rPr>
                  <w:sz w:val="20"/>
                  <w:u w:val="single"/>
                </w:rPr>
                <w:t>https://doi.org/10.7910/DVN/KMWN7N</w:t>
              </w:r>
            </w:hyperlink>
            <w:r>
              <w:rPr>
                <w:sz w:val="20"/>
              </w:rPr>
              <w:t>, Harvard Dataverse, V1</w:t>
            </w:r>
          </w:p>
        </w:tc>
      </w:tr>
      <w:tr w:rsidR="0046798B" w14:paraId="6966058B" w14:textId="77777777">
        <w:trPr>
          <w:trHeight w:val="1005"/>
        </w:trPr>
        <w:tc>
          <w:tcPr>
            <w:tcW w:w="1711" w:type="dxa"/>
          </w:tcPr>
          <w:p w14:paraId="3D03EC73" w14:textId="77777777" w:rsidR="0046798B" w:rsidRDefault="0046798B">
            <w:pPr>
              <w:pStyle w:val="TableParagraph"/>
            </w:pPr>
          </w:p>
          <w:p w14:paraId="5A92D942" w14:textId="77777777" w:rsidR="0046798B" w:rsidRDefault="00903B5C">
            <w:pPr>
              <w:pStyle w:val="TableParagraph"/>
              <w:spacing w:before="130"/>
              <w:ind w:left="115"/>
              <w:rPr>
                <w:b/>
                <w:sz w:val="20"/>
              </w:rPr>
            </w:pPr>
            <w:r>
              <w:rPr>
                <w:b/>
                <w:sz w:val="20"/>
              </w:rPr>
              <w:t>region</w:t>
            </w:r>
          </w:p>
        </w:tc>
        <w:tc>
          <w:tcPr>
            <w:tcW w:w="1596" w:type="dxa"/>
          </w:tcPr>
          <w:p w14:paraId="4EA59EE1" w14:textId="77777777" w:rsidR="0046798B" w:rsidRDefault="0046798B">
            <w:pPr>
              <w:pStyle w:val="TableParagraph"/>
            </w:pPr>
          </w:p>
          <w:p w14:paraId="42CCF8C7" w14:textId="77777777" w:rsidR="0046798B" w:rsidRDefault="00903B5C">
            <w:pPr>
              <w:pStyle w:val="TableParagraph"/>
              <w:spacing w:before="130"/>
              <w:ind w:left="114"/>
              <w:rPr>
                <w:sz w:val="20"/>
              </w:rPr>
            </w:pPr>
            <w:r>
              <w:rPr>
                <w:sz w:val="20"/>
              </w:rPr>
              <w:t>U.S. region</w:t>
            </w:r>
          </w:p>
        </w:tc>
        <w:tc>
          <w:tcPr>
            <w:tcW w:w="1285" w:type="dxa"/>
          </w:tcPr>
          <w:p w14:paraId="4C70B85E" w14:textId="77777777" w:rsidR="0046798B" w:rsidRDefault="0046798B">
            <w:pPr>
              <w:pStyle w:val="TableParagraph"/>
            </w:pPr>
          </w:p>
          <w:p w14:paraId="1B5DD255" w14:textId="77777777" w:rsidR="0046798B" w:rsidRDefault="00903B5C">
            <w:pPr>
              <w:pStyle w:val="TableParagraph"/>
              <w:spacing w:before="130"/>
              <w:ind w:left="114"/>
              <w:rPr>
                <w:sz w:val="20"/>
              </w:rPr>
            </w:pPr>
            <w:r>
              <w:rPr>
                <w:sz w:val="20"/>
              </w:rPr>
              <w:t>1929–2012</w:t>
            </w:r>
          </w:p>
        </w:tc>
        <w:tc>
          <w:tcPr>
            <w:tcW w:w="3421" w:type="dxa"/>
          </w:tcPr>
          <w:p w14:paraId="795AB4BB" w14:textId="77777777" w:rsidR="0046798B" w:rsidRDefault="0046798B">
            <w:pPr>
              <w:pStyle w:val="TableParagraph"/>
              <w:spacing w:before="3"/>
              <w:rPr>
                <w:sz w:val="23"/>
              </w:rPr>
            </w:pPr>
          </w:p>
          <w:p w14:paraId="27D4706F" w14:textId="77777777" w:rsidR="0046798B" w:rsidRDefault="00903B5C">
            <w:pPr>
              <w:pStyle w:val="TableParagraph"/>
              <w:spacing w:before="1"/>
              <w:ind w:left="114" w:right="399"/>
              <w:rPr>
                <w:sz w:val="20"/>
              </w:rPr>
            </w:pPr>
            <w:r>
              <w:rPr>
                <w:sz w:val="20"/>
              </w:rPr>
              <w:t>If state is located in South (1), West (2), Midwest (3), Northeast (4).</w:t>
            </w:r>
          </w:p>
        </w:tc>
        <w:tc>
          <w:tcPr>
            <w:tcW w:w="6482" w:type="dxa"/>
          </w:tcPr>
          <w:p w14:paraId="1BEA079A" w14:textId="77777777" w:rsidR="0046798B" w:rsidRDefault="00903B5C">
            <w:pPr>
              <w:pStyle w:val="TableParagraph"/>
              <w:spacing w:before="38"/>
              <w:ind w:left="114" w:right="1111"/>
              <w:rPr>
                <w:sz w:val="20"/>
              </w:rPr>
            </w:pPr>
            <w:r>
              <w:rPr>
                <w:sz w:val="20"/>
              </w:rPr>
              <w:t xml:space="preserve">Klarner, Carl, 2013, “State Economic Data”, </w:t>
            </w:r>
            <w:hyperlink r:id="rId175">
              <w:r>
                <w:rPr>
                  <w:sz w:val="20"/>
                  <w:u w:val="single"/>
                </w:rPr>
                <w:t>https://doi.org/10.7910/DVN/KMWN7N</w:t>
              </w:r>
            </w:hyperlink>
            <w:r>
              <w:rPr>
                <w:sz w:val="20"/>
              </w:rPr>
              <w:t>, Harvard Dataverse, V1</w:t>
            </w:r>
          </w:p>
          <w:p w14:paraId="7C32580A" w14:textId="77777777" w:rsidR="0046798B" w:rsidRDefault="0046798B">
            <w:pPr>
              <w:pStyle w:val="TableParagraph"/>
              <w:rPr>
                <w:sz w:val="20"/>
              </w:rPr>
            </w:pPr>
          </w:p>
          <w:p w14:paraId="32686135" w14:textId="77777777" w:rsidR="0046798B" w:rsidRDefault="00903B5C">
            <w:pPr>
              <w:pStyle w:val="TableParagraph"/>
              <w:ind w:left="114"/>
              <w:rPr>
                <w:sz w:val="20"/>
              </w:rPr>
            </w:pPr>
            <w:r>
              <w:rPr>
                <w:sz w:val="20"/>
              </w:rPr>
              <w:t>Notes: The codes do not reflect the numeric codes used by the Census</w:t>
            </w:r>
          </w:p>
        </w:tc>
      </w:tr>
      <w:tr w:rsidR="0046798B" w14:paraId="1E828AE2" w14:textId="77777777">
        <w:trPr>
          <w:trHeight w:val="1235"/>
        </w:trPr>
        <w:tc>
          <w:tcPr>
            <w:tcW w:w="1711" w:type="dxa"/>
          </w:tcPr>
          <w:p w14:paraId="09EF96CB" w14:textId="77777777" w:rsidR="0046798B" w:rsidRDefault="0046798B">
            <w:pPr>
              <w:pStyle w:val="TableParagraph"/>
            </w:pPr>
          </w:p>
          <w:p w14:paraId="47788F6F" w14:textId="77777777" w:rsidR="0046798B" w:rsidRDefault="00903B5C">
            <w:pPr>
              <w:pStyle w:val="TableParagraph"/>
              <w:spacing w:before="135"/>
              <w:ind w:left="115" w:right="143"/>
              <w:rPr>
                <w:b/>
                <w:sz w:val="20"/>
              </w:rPr>
            </w:pPr>
            <w:r>
              <w:rPr>
                <w:b/>
                <w:sz w:val="20"/>
              </w:rPr>
              <w:t>bfh_cpi_multipli er</w:t>
            </w:r>
          </w:p>
        </w:tc>
        <w:tc>
          <w:tcPr>
            <w:tcW w:w="1596" w:type="dxa"/>
          </w:tcPr>
          <w:p w14:paraId="77237D2C" w14:textId="77777777" w:rsidR="0046798B" w:rsidRDefault="0046798B">
            <w:pPr>
              <w:pStyle w:val="TableParagraph"/>
              <w:spacing w:before="8"/>
              <w:rPr>
                <w:sz w:val="23"/>
              </w:rPr>
            </w:pPr>
          </w:p>
          <w:p w14:paraId="2785F7BF" w14:textId="77777777" w:rsidR="0046798B" w:rsidRDefault="00903B5C">
            <w:pPr>
              <w:pStyle w:val="TableParagraph"/>
              <w:spacing w:before="1"/>
              <w:ind w:left="114" w:right="230"/>
              <w:jc w:val="both"/>
              <w:rPr>
                <w:sz w:val="20"/>
              </w:rPr>
            </w:pPr>
            <w:r>
              <w:rPr>
                <w:sz w:val="20"/>
              </w:rPr>
              <w:t>Change in state consumer price index</w:t>
            </w:r>
          </w:p>
        </w:tc>
        <w:tc>
          <w:tcPr>
            <w:tcW w:w="1285" w:type="dxa"/>
          </w:tcPr>
          <w:p w14:paraId="597E307A" w14:textId="77777777" w:rsidR="0046798B" w:rsidRDefault="0046798B">
            <w:pPr>
              <w:pStyle w:val="TableParagraph"/>
            </w:pPr>
          </w:p>
          <w:p w14:paraId="5916AD35" w14:textId="77777777" w:rsidR="0046798B" w:rsidRDefault="0046798B">
            <w:pPr>
              <w:pStyle w:val="TableParagraph"/>
              <w:spacing w:before="8"/>
              <w:rPr>
                <w:sz w:val="21"/>
              </w:rPr>
            </w:pPr>
          </w:p>
          <w:p w14:paraId="55FFB1E1" w14:textId="77777777" w:rsidR="0046798B" w:rsidRDefault="00903B5C">
            <w:pPr>
              <w:pStyle w:val="TableParagraph"/>
              <w:spacing w:before="1"/>
              <w:ind w:left="114"/>
              <w:rPr>
                <w:sz w:val="20"/>
              </w:rPr>
            </w:pPr>
            <w:r>
              <w:rPr>
                <w:sz w:val="20"/>
              </w:rPr>
              <w:t>1960–2010</w:t>
            </w:r>
          </w:p>
        </w:tc>
        <w:tc>
          <w:tcPr>
            <w:tcW w:w="3421" w:type="dxa"/>
          </w:tcPr>
          <w:p w14:paraId="4D57E698" w14:textId="77777777" w:rsidR="0046798B" w:rsidRDefault="00903B5C">
            <w:pPr>
              <w:pStyle w:val="TableParagraph"/>
              <w:spacing w:before="43"/>
              <w:ind w:left="114" w:right="178"/>
              <w:rPr>
                <w:sz w:val="20"/>
              </w:rPr>
            </w:pPr>
            <w:r>
              <w:rPr>
                <w:sz w:val="20"/>
              </w:rPr>
              <w:t>Change between years was established with the following formula.</w:t>
            </w:r>
          </w:p>
          <w:p w14:paraId="4036379A" w14:textId="77777777" w:rsidR="0046798B" w:rsidRDefault="00903B5C">
            <w:pPr>
              <w:pStyle w:val="TableParagraph"/>
              <w:ind w:left="114" w:right="724"/>
              <w:rPr>
                <w:sz w:val="20"/>
              </w:rPr>
            </w:pPr>
            <w:r>
              <w:rPr>
                <w:sz w:val="20"/>
              </w:rPr>
              <w:t>{[State_cpi_bfh_est (time t) – State_cpi_bfh_est (time t-1)] / State_cpi_bfh_est (time t-1)}+1</w:t>
            </w:r>
          </w:p>
        </w:tc>
        <w:tc>
          <w:tcPr>
            <w:tcW w:w="6482" w:type="dxa"/>
          </w:tcPr>
          <w:p w14:paraId="7AFFD560" w14:textId="77777777" w:rsidR="0046798B" w:rsidRDefault="00903B5C">
            <w:pPr>
              <w:pStyle w:val="TableParagraph"/>
              <w:spacing w:before="133"/>
              <w:ind w:left="114" w:right="1111"/>
              <w:rPr>
                <w:sz w:val="20"/>
              </w:rPr>
            </w:pPr>
            <w:r>
              <w:rPr>
                <w:sz w:val="20"/>
              </w:rPr>
              <w:t xml:space="preserve">Klarner, Carl, 2013, “State Economic Data”, </w:t>
            </w:r>
            <w:hyperlink r:id="rId176">
              <w:r>
                <w:rPr>
                  <w:sz w:val="20"/>
                  <w:u w:val="single"/>
                </w:rPr>
                <w:t>https://doi.org/10.7910/DVN/KMWN7N</w:t>
              </w:r>
            </w:hyperlink>
            <w:r>
              <w:rPr>
                <w:sz w:val="20"/>
              </w:rPr>
              <w:t>, Harvard Dataverse, V1</w:t>
            </w:r>
          </w:p>
          <w:p w14:paraId="43A9BA30" w14:textId="77777777" w:rsidR="0046798B" w:rsidRDefault="0046798B">
            <w:pPr>
              <w:pStyle w:val="TableParagraph"/>
              <w:spacing w:before="6"/>
              <w:rPr>
                <w:sz w:val="23"/>
              </w:rPr>
            </w:pPr>
          </w:p>
          <w:p w14:paraId="61589615" w14:textId="77777777" w:rsidR="0046798B" w:rsidRDefault="00903B5C">
            <w:pPr>
              <w:pStyle w:val="TableParagraph"/>
              <w:ind w:left="114"/>
              <w:rPr>
                <w:sz w:val="16"/>
              </w:rPr>
            </w:pPr>
            <w:r>
              <w:rPr>
                <w:sz w:val="20"/>
              </w:rPr>
              <w:t xml:space="preserve">Notes on construction of variable: </w:t>
            </w:r>
            <w:r>
              <w:rPr>
                <w:sz w:val="16"/>
              </w:rPr>
              <w:t>i</w:t>
            </w:r>
          </w:p>
        </w:tc>
      </w:tr>
      <w:tr w:rsidR="0046798B" w14:paraId="3ABF814E" w14:textId="77777777">
        <w:trPr>
          <w:trHeight w:val="1465"/>
        </w:trPr>
        <w:tc>
          <w:tcPr>
            <w:tcW w:w="1711" w:type="dxa"/>
          </w:tcPr>
          <w:p w14:paraId="1116BF1F" w14:textId="77777777" w:rsidR="0046798B" w:rsidRDefault="0046798B">
            <w:pPr>
              <w:pStyle w:val="TableParagraph"/>
            </w:pPr>
          </w:p>
          <w:p w14:paraId="30AEB286" w14:textId="77777777" w:rsidR="0046798B" w:rsidRDefault="0046798B">
            <w:pPr>
              <w:pStyle w:val="TableParagraph"/>
              <w:spacing w:before="8"/>
              <w:rPr>
                <w:sz w:val="31"/>
              </w:rPr>
            </w:pPr>
          </w:p>
          <w:p w14:paraId="3903833D" w14:textId="77777777" w:rsidR="0046798B" w:rsidRDefault="00903B5C">
            <w:pPr>
              <w:pStyle w:val="TableParagraph"/>
              <w:spacing w:before="1"/>
              <w:ind w:left="115"/>
              <w:rPr>
                <w:b/>
                <w:sz w:val="20"/>
              </w:rPr>
            </w:pPr>
            <w:r>
              <w:rPr>
                <w:b/>
                <w:sz w:val="20"/>
              </w:rPr>
              <w:t>budget_surplus</w:t>
            </w:r>
          </w:p>
        </w:tc>
        <w:tc>
          <w:tcPr>
            <w:tcW w:w="1596" w:type="dxa"/>
          </w:tcPr>
          <w:p w14:paraId="56CE9CB7" w14:textId="77777777" w:rsidR="0046798B" w:rsidRDefault="0046798B">
            <w:pPr>
              <w:pStyle w:val="TableParagraph"/>
            </w:pPr>
          </w:p>
          <w:p w14:paraId="4F5F055A" w14:textId="77777777" w:rsidR="0046798B" w:rsidRDefault="0046798B">
            <w:pPr>
              <w:pStyle w:val="TableParagraph"/>
              <w:spacing w:before="8"/>
              <w:rPr>
                <w:sz w:val="21"/>
              </w:rPr>
            </w:pPr>
          </w:p>
          <w:p w14:paraId="0B5D249E" w14:textId="77777777" w:rsidR="0046798B" w:rsidRDefault="00903B5C">
            <w:pPr>
              <w:pStyle w:val="TableParagraph"/>
              <w:spacing w:before="1"/>
              <w:ind w:left="114" w:right="246"/>
              <w:rPr>
                <w:sz w:val="20"/>
              </w:rPr>
            </w:pPr>
            <w:r>
              <w:rPr>
                <w:sz w:val="20"/>
              </w:rPr>
              <w:t>Budget surplus estimate</w:t>
            </w:r>
          </w:p>
        </w:tc>
        <w:tc>
          <w:tcPr>
            <w:tcW w:w="1285" w:type="dxa"/>
          </w:tcPr>
          <w:p w14:paraId="0F52697D" w14:textId="77777777" w:rsidR="0046798B" w:rsidRDefault="0046798B">
            <w:pPr>
              <w:pStyle w:val="TableParagraph"/>
            </w:pPr>
          </w:p>
          <w:p w14:paraId="67A59AB4" w14:textId="77777777" w:rsidR="0046798B" w:rsidRDefault="0046798B">
            <w:pPr>
              <w:pStyle w:val="TableParagraph"/>
              <w:spacing w:before="8"/>
              <w:rPr>
                <w:sz w:val="31"/>
              </w:rPr>
            </w:pPr>
          </w:p>
          <w:p w14:paraId="572CD15E" w14:textId="77777777" w:rsidR="0046798B" w:rsidRDefault="00903B5C">
            <w:pPr>
              <w:pStyle w:val="TableParagraph"/>
              <w:spacing w:before="1"/>
              <w:ind w:left="114"/>
              <w:rPr>
                <w:sz w:val="20"/>
              </w:rPr>
            </w:pPr>
            <w:r>
              <w:rPr>
                <w:sz w:val="20"/>
              </w:rPr>
              <w:t>1942–2016</w:t>
            </w:r>
          </w:p>
        </w:tc>
        <w:tc>
          <w:tcPr>
            <w:tcW w:w="3421" w:type="dxa"/>
          </w:tcPr>
          <w:p w14:paraId="6D68E527" w14:textId="77777777" w:rsidR="0046798B" w:rsidRDefault="0046798B">
            <w:pPr>
              <w:pStyle w:val="TableParagraph"/>
              <w:spacing w:before="8"/>
              <w:rPr>
                <w:sz w:val="23"/>
              </w:rPr>
            </w:pPr>
          </w:p>
          <w:p w14:paraId="6C2BF97C" w14:textId="77777777" w:rsidR="0046798B" w:rsidRDefault="00903B5C">
            <w:pPr>
              <w:pStyle w:val="TableParagraph"/>
              <w:spacing w:before="1"/>
              <w:ind w:left="114" w:right="133"/>
              <w:rPr>
                <w:sz w:val="20"/>
              </w:rPr>
            </w:pPr>
            <w:r>
              <w:rPr>
                <w:sz w:val="20"/>
              </w:rPr>
              <w:t>Computed by: General_revenue – general_expenditure. Note: this is not a good measure of a state’s budget surplus in one year.</w:t>
            </w:r>
          </w:p>
        </w:tc>
        <w:tc>
          <w:tcPr>
            <w:tcW w:w="6482" w:type="dxa"/>
          </w:tcPr>
          <w:p w14:paraId="6E0EEEAC" w14:textId="77777777" w:rsidR="0046798B" w:rsidRDefault="00903B5C">
            <w:pPr>
              <w:pStyle w:val="TableParagraph"/>
              <w:spacing w:before="43"/>
              <w:ind w:left="114" w:right="1111"/>
              <w:rPr>
                <w:sz w:val="20"/>
              </w:rPr>
            </w:pPr>
            <w:r>
              <w:rPr>
                <w:sz w:val="20"/>
              </w:rPr>
              <w:t xml:space="preserve">Klarner, Carl, 2013, “State Economic Data”, </w:t>
            </w:r>
            <w:hyperlink r:id="rId177">
              <w:r>
                <w:rPr>
                  <w:sz w:val="20"/>
                  <w:u w:val="single"/>
                </w:rPr>
                <w:t>https://doi.org/10.7910/DVN/KMWN7N</w:t>
              </w:r>
            </w:hyperlink>
            <w:r>
              <w:rPr>
                <w:sz w:val="20"/>
              </w:rPr>
              <w:t>, Harvard Dataverse, V1</w:t>
            </w:r>
          </w:p>
          <w:p w14:paraId="4DE73A97" w14:textId="77777777" w:rsidR="0046798B" w:rsidRDefault="00903B5C">
            <w:pPr>
              <w:pStyle w:val="TableParagraph"/>
              <w:spacing w:line="460" w:lineRule="atLeast"/>
              <w:ind w:left="114" w:right="199"/>
              <w:rPr>
                <w:sz w:val="20"/>
              </w:rPr>
            </w:pPr>
            <w:r>
              <w:rPr>
                <w:sz w:val="20"/>
              </w:rPr>
              <w:t>STATA CODE: gen budget_surplus= general_revenue- general_expenditure Coded years 2012-2016 using the above code</w:t>
            </w:r>
          </w:p>
        </w:tc>
      </w:tr>
      <w:tr w:rsidR="0046798B" w14:paraId="715218CF" w14:textId="77777777">
        <w:trPr>
          <w:trHeight w:val="1695"/>
        </w:trPr>
        <w:tc>
          <w:tcPr>
            <w:tcW w:w="1711" w:type="dxa"/>
          </w:tcPr>
          <w:p w14:paraId="5FD06DFE" w14:textId="77777777" w:rsidR="0046798B" w:rsidRDefault="0046798B">
            <w:pPr>
              <w:pStyle w:val="TableParagraph"/>
            </w:pPr>
          </w:p>
          <w:p w14:paraId="5A188F40" w14:textId="77777777" w:rsidR="0046798B" w:rsidRDefault="0046798B">
            <w:pPr>
              <w:pStyle w:val="TableParagraph"/>
              <w:spacing w:before="9"/>
              <w:rPr>
                <w:sz w:val="31"/>
              </w:rPr>
            </w:pPr>
          </w:p>
          <w:p w14:paraId="7B3C6C41" w14:textId="77777777" w:rsidR="0046798B" w:rsidRDefault="00903B5C">
            <w:pPr>
              <w:pStyle w:val="TableParagraph"/>
              <w:ind w:left="115"/>
              <w:rPr>
                <w:b/>
                <w:sz w:val="20"/>
              </w:rPr>
            </w:pPr>
            <w:r>
              <w:rPr>
                <w:b/>
                <w:sz w:val="20"/>
              </w:rPr>
              <w:t>budget_surplus_ gsp</w:t>
            </w:r>
          </w:p>
        </w:tc>
        <w:tc>
          <w:tcPr>
            <w:tcW w:w="1596" w:type="dxa"/>
          </w:tcPr>
          <w:p w14:paraId="5811E9EE" w14:textId="77777777" w:rsidR="0046798B" w:rsidRDefault="0046798B">
            <w:pPr>
              <w:pStyle w:val="TableParagraph"/>
            </w:pPr>
          </w:p>
          <w:p w14:paraId="42483417" w14:textId="77777777" w:rsidR="0046798B" w:rsidRDefault="0046798B">
            <w:pPr>
              <w:pStyle w:val="TableParagraph"/>
              <w:spacing w:before="9"/>
              <w:rPr>
                <w:sz w:val="31"/>
              </w:rPr>
            </w:pPr>
          </w:p>
          <w:p w14:paraId="67032E05" w14:textId="77777777" w:rsidR="0046798B" w:rsidRDefault="00903B5C">
            <w:pPr>
              <w:pStyle w:val="TableParagraph"/>
              <w:ind w:left="114" w:right="246"/>
              <w:rPr>
                <w:sz w:val="20"/>
              </w:rPr>
            </w:pPr>
            <w:r>
              <w:rPr>
                <w:sz w:val="20"/>
              </w:rPr>
              <w:t>Budget surplus as pct. of GSP</w:t>
            </w:r>
          </w:p>
        </w:tc>
        <w:tc>
          <w:tcPr>
            <w:tcW w:w="1285" w:type="dxa"/>
          </w:tcPr>
          <w:p w14:paraId="00096397" w14:textId="77777777" w:rsidR="0046798B" w:rsidRDefault="0046798B">
            <w:pPr>
              <w:pStyle w:val="TableParagraph"/>
            </w:pPr>
          </w:p>
          <w:p w14:paraId="033E4F4E" w14:textId="77777777" w:rsidR="0046798B" w:rsidRDefault="0046798B">
            <w:pPr>
              <w:pStyle w:val="TableParagraph"/>
            </w:pPr>
          </w:p>
          <w:p w14:paraId="087526B4" w14:textId="77777777" w:rsidR="0046798B" w:rsidRDefault="0046798B">
            <w:pPr>
              <w:pStyle w:val="TableParagraph"/>
              <w:spacing w:before="9"/>
              <w:rPr>
                <w:sz w:val="19"/>
              </w:rPr>
            </w:pPr>
          </w:p>
          <w:p w14:paraId="115A6D7A" w14:textId="77777777" w:rsidR="0046798B" w:rsidRDefault="00903B5C">
            <w:pPr>
              <w:pStyle w:val="TableParagraph"/>
              <w:ind w:left="114"/>
              <w:rPr>
                <w:sz w:val="20"/>
              </w:rPr>
            </w:pPr>
            <w:r>
              <w:rPr>
                <w:sz w:val="20"/>
              </w:rPr>
              <w:t>1942–2016</w:t>
            </w:r>
          </w:p>
        </w:tc>
        <w:tc>
          <w:tcPr>
            <w:tcW w:w="3421" w:type="dxa"/>
          </w:tcPr>
          <w:p w14:paraId="55269770" w14:textId="77777777" w:rsidR="0046798B" w:rsidRDefault="0046798B">
            <w:pPr>
              <w:pStyle w:val="TableParagraph"/>
            </w:pPr>
          </w:p>
          <w:p w14:paraId="448C7B39" w14:textId="77777777" w:rsidR="0046798B" w:rsidRDefault="0046798B">
            <w:pPr>
              <w:pStyle w:val="TableParagraph"/>
              <w:spacing w:before="9"/>
              <w:rPr>
                <w:sz w:val="31"/>
              </w:rPr>
            </w:pPr>
          </w:p>
          <w:p w14:paraId="5C6011AC" w14:textId="77777777" w:rsidR="0046798B" w:rsidRDefault="00903B5C">
            <w:pPr>
              <w:pStyle w:val="TableParagraph"/>
              <w:ind w:left="114" w:right="110"/>
              <w:rPr>
                <w:sz w:val="20"/>
              </w:rPr>
            </w:pPr>
            <w:r>
              <w:rPr>
                <w:sz w:val="20"/>
              </w:rPr>
              <w:t>Budget surplus as percent of gross state product</w:t>
            </w:r>
          </w:p>
        </w:tc>
        <w:tc>
          <w:tcPr>
            <w:tcW w:w="6482" w:type="dxa"/>
          </w:tcPr>
          <w:p w14:paraId="6C92D6C3" w14:textId="77777777" w:rsidR="0046798B" w:rsidRDefault="00903B5C">
            <w:pPr>
              <w:pStyle w:val="TableParagraph"/>
              <w:spacing w:before="43"/>
              <w:ind w:left="114" w:right="1111"/>
              <w:rPr>
                <w:sz w:val="20"/>
              </w:rPr>
            </w:pPr>
            <w:r>
              <w:rPr>
                <w:sz w:val="20"/>
              </w:rPr>
              <w:t xml:space="preserve">Klarner, Carl, 2013, “State Economic Data”, </w:t>
            </w:r>
            <w:hyperlink r:id="rId178">
              <w:r>
                <w:rPr>
                  <w:sz w:val="20"/>
                  <w:u w:val="single"/>
                </w:rPr>
                <w:t>https://doi.org/10.7910/DVN/KMWN7N</w:t>
              </w:r>
            </w:hyperlink>
            <w:r>
              <w:rPr>
                <w:sz w:val="20"/>
              </w:rPr>
              <w:t>, Harvard Dataverse, V1</w:t>
            </w:r>
          </w:p>
          <w:p w14:paraId="5845EA87" w14:textId="77777777" w:rsidR="0046798B" w:rsidRDefault="0046798B">
            <w:pPr>
              <w:pStyle w:val="TableParagraph"/>
              <w:rPr>
                <w:sz w:val="20"/>
              </w:rPr>
            </w:pPr>
          </w:p>
          <w:p w14:paraId="0D432845" w14:textId="77777777" w:rsidR="0046798B" w:rsidRDefault="00903B5C">
            <w:pPr>
              <w:pStyle w:val="TableParagraph"/>
              <w:ind w:left="114"/>
              <w:rPr>
                <w:sz w:val="20"/>
              </w:rPr>
            </w:pPr>
            <w:r>
              <w:rPr>
                <w:sz w:val="20"/>
              </w:rPr>
              <w:t>STATA CODE:</w:t>
            </w:r>
          </w:p>
          <w:p w14:paraId="646C8FC5" w14:textId="77777777" w:rsidR="0046798B" w:rsidRDefault="00903B5C">
            <w:pPr>
              <w:pStyle w:val="TableParagraph"/>
              <w:ind w:left="114"/>
              <w:rPr>
                <w:sz w:val="20"/>
              </w:rPr>
            </w:pPr>
            <w:r>
              <w:rPr>
                <w:sz w:val="20"/>
              </w:rPr>
              <w:t>gen budget_surplus_gsp= (budget_surplus/(gsp_q*1000))*100</w:t>
            </w:r>
          </w:p>
          <w:p w14:paraId="33D454F4" w14:textId="77777777" w:rsidR="0046798B" w:rsidRDefault="0046798B">
            <w:pPr>
              <w:pStyle w:val="TableParagraph"/>
              <w:rPr>
                <w:sz w:val="20"/>
              </w:rPr>
            </w:pPr>
          </w:p>
          <w:p w14:paraId="73CBED0E" w14:textId="77777777" w:rsidR="0046798B" w:rsidRDefault="00903B5C">
            <w:pPr>
              <w:pStyle w:val="TableParagraph"/>
              <w:ind w:left="114"/>
              <w:rPr>
                <w:sz w:val="20"/>
              </w:rPr>
            </w:pPr>
            <w:r>
              <w:rPr>
                <w:sz w:val="20"/>
              </w:rPr>
              <w:t>Coded years 2012-2016 using the above code</w:t>
            </w:r>
          </w:p>
        </w:tc>
      </w:tr>
    </w:tbl>
    <w:p w14:paraId="758EBE99" w14:textId="77777777" w:rsidR="0046798B" w:rsidRDefault="0046798B">
      <w:pPr>
        <w:rPr>
          <w:sz w:val="20"/>
        </w:rPr>
        <w:sectPr w:rsidR="0046798B">
          <w:pgSz w:w="15840" w:h="12240" w:orient="landscape"/>
          <w:pgMar w:top="1220" w:right="300" w:bottom="980" w:left="820" w:header="730" w:footer="787" w:gutter="0"/>
          <w:cols w:space="720"/>
        </w:sectPr>
      </w:pPr>
    </w:p>
    <w:p w14:paraId="0032E81A"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F76C92B" w14:textId="77777777">
        <w:trPr>
          <w:trHeight w:val="1235"/>
        </w:trPr>
        <w:tc>
          <w:tcPr>
            <w:tcW w:w="1711" w:type="dxa"/>
          </w:tcPr>
          <w:p w14:paraId="3BFECBF1" w14:textId="77777777" w:rsidR="0046798B" w:rsidRDefault="0046798B">
            <w:pPr>
              <w:pStyle w:val="TableParagraph"/>
            </w:pPr>
          </w:p>
          <w:p w14:paraId="38E2B39F" w14:textId="77777777" w:rsidR="0046798B" w:rsidRDefault="00903B5C">
            <w:pPr>
              <w:pStyle w:val="TableParagraph"/>
              <w:spacing w:before="135"/>
              <w:ind w:left="115"/>
              <w:rPr>
                <w:b/>
                <w:sz w:val="20"/>
              </w:rPr>
            </w:pPr>
            <w:r>
              <w:rPr>
                <w:b/>
                <w:sz w:val="20"/>
              </w:rPr>
              <w:t>budget_surplus_i nc</w:t>
            </w:r>
          </w:p>
        </w:tc>
        <w:tc>
          <w:tcPr>
            <w:tcW w:w="1596" w:type="dxa"/>
          </w:tcPr>
          <w:p w14:paraId="6C119F2B" w14:textId="77777777" w:rsidR="0046798B" w:rsidRDefault="0046798B">
            <w:pPr>
              <w:pStyle w:val="TableParagraph"/>
              <w:spacing w:before="9"/>
              <w:rPr>
                <w:sz w:val="23"/>
              </w:rPr>
            </w:pPr>
          </w:p>
          <w:p w14:paraId="7B142E9A" w14:textId="77777777" w:rsidR="0046798B" w:rsidRDefault="00903B5C">
            <w:pPr>
              <w:pStyle w:val="TableParagraph"/>
              <w:ind w:left="114" w:right="135"/>
              <w:rPr>
                <w:sz w:val="20"/>
              </w:rPr>
            </w:pPr>
            <w:r>
              <w:rPr>
                <w:sz w:val="20"/>
              </w:rPr>
              <w:t>Budget surplus as pct. of personal income</w:t>
            </w:r>
          </w:p>
        </w:tc>
        <w:tc>
          <w:tcPr>
            <w:tcW w:w="1285" w:type="dxa"/>
          </w:tcPr>
          <w:p w14:paraId="504CBF0F" w14:textId="77777777" w:rsidR="0046798B" w:rsidRDefault="0046798B">
            <w:pPr>
              <w:pStyle w:val="TableParagraph"/>
            </w:pPr>
          </w:p>
          <w:p w14:paraId="2B4A78B1" w14:textId="77777777" w:rsidR="0046798B" w:rsidRDefault="0046798B">
            <w:pPr>
              <w:pStyle w:val="TableParagraph"/>
              <w:spacing w:before="9"/>
              <w:rPr>
                <w:sz w:val="21"/>
              </w:rPr>
            </w:pPr>
          </w:p>
          <w:p w14:paraId="6304FAC3" w14:textId="77777777" w:rsidR="0046798B" w:rsidRDefault="00903B5C">
            <w:pPr>
              <w:pStyle w:val="TableParagraph"/>
              <w:ind w:left="114"/>
              <w:rPr>
                <w:sz w:val="20"/>
              </w:rPr>
            </w:pPr>
            <w:r>
              <w:rPr>
                <w:sz w:val="20"/>
              </w:rPr>
              <w:t>1941–2009</w:t>
            </w:r>
          </w:p>
        </w:tc>
        <w:tc>
          <w:tcPr>
            <w:tcW w:w="3421" w:type="dxa"/>
          </w:tcPr>
          <w:p w14:paraId="5114EA39" w14:textId="77777777" w:rsidR="0046798B" w:rsidRDefault="0046798B">
            <w:pPr>
              <w:pStyle w:val="TableParagraph"/>
            </w:pPr>
          </w:p>
          <w:p w14:paraId="2A6A6F50" w14:textId="77777777" w:rsidR="0046798B" w:rsidRDefault="00903B5C">
            <w:pPr>
              <w:pStyle w:val="TableParagraph"/>
              <w:spacing w:before="135"/>
              <w:ind w:left="114" w:right="272"/>
              <w:rPr>
                <w:sz w:val="20"/>
              </w:rPr>
            </w:pPr>
            <w:r>
              <w:rPr>
                <w:sz w:val="20"/>
              </w:rPr>
              <w:t>Budget surplus as percent of personal income.</w:t>
            </w:r>
          </w:p>
        </w:tc>
        <w:tc>
          <w:tcPr>
            <w:tcW w:w="6482" w:type="dxa"/>
          </w:tcPr>
          <w:p w14:paraId="503D2B66" w14:textId="77777777" w:rsidR="0046798B" w:rsidRDefault="00903B5C">
            <w:pPr>
              <w:pStyle w:val="TableParagraph"/>
              <w:spacing w:before="43"/>
              <w:ind w:left="114" w:right="1111"/>
              <w:rPr>
                <w:sz w:val="20"/>
              </w:rPr>
            </w:pPr>
            <w:r>
              <w:rPr>
                <w:sz w:val="20"/>
              </w:rPr>
              <w:t xml:space="preserve">Klarner, Carl, 2013, “State Economic Data”, </w:t>
            </w:r>
            <w:hyperlink r:id="rId179">
              <w:r>
                <w:rPr>
                  <w:sz w:val="20"/>
                  <w:u w:val="single"/>
                </w:rPr>
                <w:t>https://doi.org/10.7910/DVN/KMWN7N</w:t>
              </w:r>
            </w:hyperlink>
            <w:r>
              <w:rPr>
                <w:sz w:val="20"/>
              </w:rPr>
              <w:t>, Harvard Dataverse, V1</w:t>
            </w:r>
          </w:p>
          <w:p w14:paraId="55B6D201" w14:textId="77777777" w:rsidR="0046798B" w:rsidRDefault="0046798B">
            <w:pPr>
              <w:pStyle w:val="TableParagraph"/>
              <w:rPr>
                <w:sz w:val="20"/>
              </w:rPr>
            </w:pPr>
          </w:p>
          <w:p w14:paraId="61A3440E" w14:textId="77777777" w:rsidR="0046798B" w:rsidRDefault="00903B5C">
            <w:pPr>
              <w:pStyle w:val="TableParagraph"/>
              <w:ind w:left="114" w:right="2483"/>
              <w:rPr>
                <w:sz w:val="20"/>
              </w:rPr>
            </w:pPr>
            <w:r>
              <w:rPr>
                <w:sz w:val="20"/>
              </w:rPr>
              <w:t>STATA CODE: gen budget_surplus_inc= (budget_surplus/personal_income1000s_b)*100</w:t>
            </w:r>
          </w:p>
        </w:tc>
      </w:tr>
      <w:tr w:rsidR="0046798B" w14:paraId="165AB42F" w14:textId="77777777">
        <w:trPr>
          <w:trHeight w:val="2846"/>
        </w:trPr>
        <w:tc>
          <w:tcPr>
            <w:tcW w:w="1711" w:type="dxa"/>
          </w:tcPr>
          <w:p w14:paraId="1B1048AC" w14:textId="77777777" w:rsidR="0046798B" w:rsidRDefault="0046798B">
            <w:pPr>
              <w:pStyle w:val="TableParagraph"/>
            </w:pPr>
          </w:p>
          <w:p w14:paraId="5AC09DFD" w14:textId="77777777" w:rsidR="0046798B" w:rsidRDefault="0046798B">
            <w:pPr>
              <w:pStyle w:val="TableParagraph"/>
            </w:pPr>
          </w:p>
          <w:p w14:paraId="2A79D2E5" w14:textId="77777777" w:rsidR="0046798B" w:rsidRDefault="0046798B">
            <w:pPr>
              <w:pStyle w:val="TableParagraph"/>
            </w:pPr>
          </w:p>
          <w:p w14:paraId="1E9C68D2" w14:textId="77777777" w:rsidR="0046798B" w:rsidRDefault="0046798B">
            <w:pPr>
              <w:pStyle w:val="TableParagraph"/>
              <w:spacing w:before="9"/>
              <w:rPr>
                <w:sz w:val="27"/>
              </w:rPr>
            </w:pPr>
          </w:p>
          <w:p w14:paraId="716DFAA8" w14:textId="77777777" w:rsidR="0046798B" w:rsidRDefault="00903B5C">
            <w:pPr>
              <w:pStyle w:val="TableParagraph"/>
              <w:ind w:left="115" w:right="110"/>
              <w:rPr>
                <w:b/>
                <w:sz w:val="20"/>
              </w:rPr>
            </w:pPr>
            <w:r>
              <w:rPr>
                <w:b/>
                <w:sz w:val="20"/>
              </w:rPr>
              <w:t>disposable_perso nal_income1000s</w:t>
            </w:r>
          </w:p>
          <w:p w14:paraId="2335EBFB" w14:textId="77777777" w:rsidR="0046798B" w:rsidRDefault="00903B5C">
            <w:pPr>
              <w:pStyle w:val="TableParagraph"/>
              <w:spacing w:before="1"/>
              <w:ind w:left="115"/>
              <w:rPr>
                <w:b/>
                <w:sz w:val="20"/>
              </w:rPr>
            </w:pPr>
            <w:r>
              <w:rPr>
                <w:b/>
                <w:sz w:val="20"/>
              </w:rPr>
              <w:t>_annual</w:t>
            </w:r>
          </w:p>
        </w:tc>
        <w:tc>
          <w:tcPr>
            <w:tcW w:w="1596" w:type="dxa"/>
          </w:tcPr>
          <w:p w14:paraId="66AAB3DA" w14:textId="77777777" w:rsidR="0046798B" w:rsidRDefault="0046798B">
            <w:pPr>
              <w:pStyle w:val="TableParagraph"/>
            </w:pPr>
          </w:p>
          <w:p w14:paraId="3DC2B0D3" w14:textId="77777777" w:rsidR="0046798B" w:rsidRDefault="0046798B">
            <w:pPr>
              <w:pStyle w:val="TableParagraph"/>
            </w:pPr>
          </w:p>
          <w:p w14:paraId="71066771" w14:textId="77777777" w:rsidR="0046798B" w:rsidRDefault="0046798B">
            <w:pPr>
              <w:pStyle w:val="TableParagraph"/>
            </w:pPr>
          </w:p>
          <w:p w14:paraId="1DBB3D42" w14:textId="77777777" w:rsidR="0046798B" w:rsidRDefault="0046798B">
            <w:pPr>
              <w:pStyle w:val="TableParagraph"/>
              <w:spacing w:before="9"/>
              <w:rPr>
                <w:sz w:val="27"/>
              </w:rPr>
            </w:pPr>
          </w:p>
          <w:p w14:paraId="3329D356" w14:textId="77777777" w:rsidR="0046798B" w:rsidRDefault="00903B5C">
            <w:pPr>
              <w:pStyle w:val="TableParagraph"/>
              <w:ind w:left="114" w:right="135"/>
              <w:rPr>
                <w:sz w:val="20"/>
              </w:rPr>
            </w:pPr>
            <w:r>
              <w:rPr>
                <w:sz w:val="20"/>
              </w:rPr>
              <w:t>Total state disposable personal income</w:t>
            </w:r>
          </w:p>
        </w:tc>
        <w:tc>
          <w:tcPr>
            <w:tcW w:w="1285" w:type="dxa"/>
          </w:tcPr>
          <w:p w14:paraId="669D5338" w14:textId="77777777" w:rsidR="0046798B" w:rsidRDefault="0046798B">
            <w:pPr>
              <w:pStyle w:val="TableParagraph"/>
            </w:pPr>
          </w:p>
          <w:p w14:paraId="3C8E8866" w14:textId="77777777" w:rsidR="0046798B" w:rsidRDefault="0046798B">
            <w:pPr>
              <w:pStyle w:val="TableParagraph"/>
            </w:pPr>
          </w:p>
          <w:p w14:paraId="431390F7" w14:textId="77777777" w:rsidR="0046798B" w:rsidRDefault="0046798B">
            <w:pPr>
              <w:pStyle w:val="TableParagraph"/>
            </w:pPr>
          </w:p>
          <w:p w14:paraId="60AD1A63" w14:textId="77777777" w:rsidR="0046798B" w:rsidRDefault="0046798B">
            <w:pPr>
              <w:pStyle w:val="TableParagraph"/>
            </w:pPr>
          </w:p>
          <w:p w14:paraId="6BDA2CD1" w14:textId="77777777" w:rsidR="0046798B" w:rsidRDefault="0046798B">
            <w:pPr>
              <w:pStyle w:val="TableParagraph"/>
              <w:spacing w:before="9"/>
              <w:rPr>
                <w:sz w:val="25"/>
              </w:rPr>
            </w:pPr>
          </w:p>
          <w:p w14:paraId="2BF63A80" w14:textId="77777777" w:rsidR="0046798B" w:rsidRDefault="00903B5C">
            <w:pPr>
              <w:pStyle w:val="TableParagraph"/>
              <w:ind w:left="114"/>
              <w:rPr>
                <w:sz w:val="20"/>
              </w:rPr>
            </w:pPr>
            <w:r>
              <w:rPr>
                <w:sz w:val="20"/>
              </w:rPr>
              <w:t>1948–2011</w:t>
            </w:r>
          </w:p>
        </w:tc>
        <w:tc>
          <w:tcPr>
            <w:tcW w:w="3421" w:type="dxa"/>
          </w:tcPr>
          <w:p w14:paraId="202EFB9F" w14:textId="77777777" w:rsidR="0046798B" w:rsidRDefault="0046798B">
            <w:pPr>
              <w:pStyle w:val="TableParagraph"/>
            </w:pPr>
          </w:p>
          <w:p w14:paraId="4577C24D" w14:textId="77777777" w:rsidR="0046798B" w:rsidRDefault="0046798B">
            <w:pPr>
              <w:pStyle w:val="TableParagraph"/>
            </w:pPr>
          </w:p>
          <w:p w14:paraId="1E65DF03" w14:textId="77777777" w:rsidR="0046798B" w:rsidRDefault="0046798B">
            <w:pPr>
              <w:pStyle w:val="TableParagraph"/>
            </w:pPr>
          </w:p>
          <w:p w14:paraId="4529442A" w14:textId="77777777" w:rsidR="0046798B" w:rsidRDefault="0046798B">
            <w:pPr>
              <w:pStyle w:val="TableParagraph"/>
            </w:pPr>
          </w:p>
          <w:p w14:paraId="5B28E370" w14:textId="77777777" w:rsidR="0046798B" w:rsidRDefault="00903B5C">
            <w:pPr>
              <w:pStyle w:val="TableParagraph"/>
              <w:spacing w:before="182"/>
              <w:ind w:left="114" w:right="94"/>
              <w:rPr>
                <w:sz w:val="20"/>
              </w:rPr>
            </w:pPr>
            <w:r>
              <w:rPr>
                <w:sz w:val="20"/>
              </w:rPr>
              <w:t>Total disposable personal income in the state, measured annually.</w:t>
            </w:r>
          </w:p>
        </w:tc>
        <w:tc>
          <w:tcPr>
            <w:tcW w:w="6482" w:type="dxa"/>
          </w:tcPr>
          <w:p w14:paraId="4AAA13E8" w14:textId="77777777" w:rsidR="0046798B" w:rsidRDefault="00903B5C">
            <w:pPr>
              <w:pStyle w:val="TableParagraph"/>
              <w:spacing w:before="43"/>
              <w:ind w:left="114" w:right="1111"/>
              <w:rPr>
                <w:sz w:val="20"/>
              </w:rPr>
            </w:pPr>
            <w:r>
              <w:rPr>
                <w:sz w:val="20"/>
              </w:rPr>
              <w:t xml:space="preserve">Klarner, Carl, 2013, “State Economic Data”, </w:t>
            </w:r>
            <w:hyperlink r:id="rId180">
              <w:r>
                <w:rPr>
                  <w:sz w:val="20"/>
                  <w:u w:val="single"/>
                </w:rPr>
                <w:t>https://doi.org/10.7910/DVN/KMWN7N</w:t>
              </w:r>
            </w:hyperlink>
            <w:r>
              <w:rPr>
                <w:sz w:val="20"/>
              </w:rPr>
              <w:t>, Harvard Dataverse, V1</w:t>
            </w:r>
          </w:p>
          <w:p w14:paraId="79CA8B69" w14:textId="77777777" w:rsidR="0046798B" w:rsidRDefault="0046798B">
            <w:pPr>
              <w:pStyle w:val="TableParagraph"/>
              <w:rPr>
                <w:sz w:val="20"/>
              </w:rPr>
            </w:pPr>
          </w:p>
          <w:p w14:paraId="6A533D11" w14:textId="77777777" w:rsidR="0046798B" w:rsidRDefault="00903B5C">
            <w:pPr>
              <w:pStyle w:val="TableParagraph"/>
              <w:spacing w:before="1"/>
              <w:ind w:left="114" w:right="135"/>
              <w:rPr>
                <w:sz w:val="20"/>
              </w:rPr>
            </w:pPr>
            <w:r>
              <w:rPr>
                <w:sz w:val="20"/>
              </w:rPr>
              <w:t xml:space="preserve">Source: </w:t>
            </w:r>
            <w:hyperlink r:id="rId181">
              <w:r>
                <w:rPr>
                  <w:sz w:val="20"/>
                  <w:u w:val="single"/>
                </w:rPr>
                <w:t>http://www.bea.gov/</w:t>
              </w:r>
              <w:r>
                <w:rPr>
                  <w:sz w:val="20"/>
                </w:rPr>
                <w:t>.</w:t>
              </w:r>
            </w:hyperlink>
            <w:r>
              <w:rPr>
                <w:sz w:val="20"/>
              </w:rPr>
              <w:t xml:space="preserve"> Then click on “state and local area personal income” under “regional.” Then under “data” click on “state annual personal income and employment.” Then, under “Annual State Personal Income and Employment” click “Personal income, per capita personal income, disposable personal income, and population (SA1-3, SA51-53).” Then click on Table ID “SA51-53 Disposable Personal Income Summary.” This yields both personal income ($1,000s), population (persons), and per capita personal income (dollars) (the latter was a perfect function of the two former (after rounding) so wasn’t retained).</w:t>
            </w:r>
          </w:p>
        </w:tc>
      </w:tr>
      <w:tr w:rsidR="0046798B" w14:paraId="64296C1E" w14:textId="77777777">
        <w:trPr>
          <w:trHeight w:val="550"/>
        </w:trPr>
        <w:tc>
          <w:tcPr>
            <w:tcW w:w="1711" w:type="dxa"/>
          </w:tcPr>
          <w:p w14:paraId="30BF1DFB" w14:textId="77777777" w:rsidR="0046798B" w:rsidRDefault="00903B5C">
            <w:pPr>
              <w:pStyle w:val="TableParagraph"/>
              <w:spacing w:before="158"/>
              <w:ind w:left="115"/>
              <w:rPr>
                <w:b/>
                <w:sz w:val="20"/>
              </w:rPr>
            </w:pPr>
            <w:r>
              <w:rPr>
                <w:b/>
                <w:sz w:val="20"/>
              </w:rPr>
              <w:t>fy_end_day</w:t>
            </w:r>
          </w:p>
        </w:tc>
        <w:tc>
          <w:tcPr>
            <w:tcW w:w="1596" w:type="dxa"/>
          </w:tcPr>
          <w:p w14:paraId="2EEDF4C9" w14:textId="77777777" w:rsidR="0046798B" w:rsidRDefault="00903B5C">
            <w:pPr>
              <w:pStyle w:val="TableParagraph"/>
              <w:spacing w:before="43"/>
              <w:ind w:left="114" w:right="208"/>
              <w:rPr>
                <w:sz w:val="20"/>
              </w:rPr>
            </w:pPr>
            <w:r>
              <w:rPr>
                <w:sz w:val="20"/>
              </w:rPr>
              <w:t>Day in which fiscal year ends</w:t>
            </w:r>
          </w:p>
        </w:tc>
        <w:tc>
          <w:tcPr>
            <w:tcW w:w="1285" w:type="dxa"/>
          </w:tcPr>
          <w:p w14:paraId="79D48B3F" w14:textId="77777777" w:rsidR="0046798B" w:rsidRDefault="00903B5C">
            <w:pPr>
              <w:pStyle w:val="TableParagraph"/>
              <w:spacing w:before="158"/>
              <w:ind w:left="114"/>
              <w:rPr>
                <w:sz w:val="20"/>
              </w:rPr>
            </w:pPr>
            <w:r>
              <w:rPr>
                <w:sz w:val="20"/>
              </w:rPr>
              <w:t>1942–2010</w:t>
            </w:r>
          </w:p>
        </w:tc>
        <w:tc>
          <w:tcPr>
            <w:tcW w:w="3421" w:type="dxa"/>
          </w:tcPr>
          <w:p w14:paraId="69EEF3FC" w14:textId="77777777" w:rsidR="0046798B" w:rsidRDefault="00903B5C">
            <w:pPr>
              <w:pStyle w:val="TableParagraph"/>
              <w:spacing w:before="43"/>
              <w:ind w:left="114" w:right="327"/>
              <w:rPr>
                <w:sz w:val="20"/>
              </w:rPr>
            </w:pPr>
            <w:r>
              <w:rPr>
                <w:sz w:val="20"/>
              </w:rPr>
              <w:t>Day of the month that the state fiscal year ends in.</w:t>
            </w:r>
          </w:p>
        </w:tc>
        <w:tc>
          <w:tcPr>
            <w:tcW w:w="6482" w:type="dxa"/>
          </w:tcPr>
          <w:p w14:paraId="0F12ED61" w14:textId="77777777" w:rsidR="0046798B" w:rsidRDefault="00903B5C">
            <w:pPr>
              <w:pStyle w:val="TableParagraph"/>
              <w:spacing w:before="43"/>
              <w:ind w:left="114" w:right="1111"/>
              <w:rPr>
                <w:sz w:val="20"/>
              </w:rPr>
            </w:pPr>
            <w:r>
              <w:rPr>
                <w:sz w:val="20"/>
              </w:rPr>
              <w:t xml:space="preserve">Klarner, Carl, 2013, “State Economic Data”, </w:t>
            </w:r>
            <w:hyperlink r:id="rId182">
              <w:r>
                <w:rPr>
                  <w:sz w:val="20"/>
                  <w:u w:val="single"/>
                </w:rPr>
                <w:t>https://doi.org/10.7910/DVN/KMWN7N</w:t>
              </w:r>
            </w:hyperlink>
            <w:r>
              <w:rPr>
                <w:sz w:val="20"/>
              </w:rPr>
              <w:t>, Harvard Dataverse, V1</w:t>
            </w:r>
          </w:p>
        </w:tc>
      </w:tr>
      <w:tr w:rsidR="0046798B" w14:paraId="26D08560" w14:textId="77777777">
        <w:trPr>
          <w:trHeight w:val="545"/>
        </w:trPr>
        <w:tc>
          <w:tcPr>
            <w:tcW w:w="1711" w:type="dxa"/>
          </w:tcPr>
          <w:p w14:paraId="2425987C" w14:textId="77777777" w:rsidR="0046798B" w:rsidRDefault="00903B5C">
            <w:pPr>
              <w:pStyle w:val="TableParagraph"/>
              <w:spacing w:before="153"/>
              <w:ind w:left="115"/>
              <w:rPr>
                <w:b/>
                <w:sz w:val="20"/>
              </w:rPr>
            </w:pPr>
            <w:r>
              <w:rPr>
                <w:b/>
                <w:sz w:val="20"/>
              </w:rPr>
              <w:t>fy_end_month</w:t>
            </w:r>
          </w:p>
        </w:tc>
        <w:tc>
          <w:tcPr>
            <w:tcW w:w="1596" w:type="dxa"/>
          </w:tcPr>
          <w:p w14:paraId="5157A1DD" w14:textId="77777777" w:rsidR="0046798B" w:rsidRDefault="00903B5C">
            <w:pPr>
              <w:pStyle w:val="TableParagraph"/>
              <w:spacing w:before="38"/>
              <w:ind w:left="114" w:right="174"/>
              <w:rPr>
                <w:sz w:val="20"/>
              </w:rPr>
            </w:pPr>
            <w:r>
              <w:rPr>
                <w:sz w:val="20"/>
              </w:rPr>
              <w:t>Month in which fiscal year ends</w:t>
            </w:r>
          </w:p>
        </w:tc>
        <w:tc>
          <w:tcPr>
            <w:tcW w:w="1285" w:type="dxa"/>
          </w:tcPr>
          <w:p w14:paraId="29E98CCE" w14:textId="77777777" w:rsidR="0046798B" w:rsidRDefault="00903B5C">
            <w:pPr>
              <w:pStyle w:val="TableParagraph"/>
              <w:spacing w:before="153"/>
              <w:ind w:left="114"/>
              <w:rPr>
                <w:sz w:val="20"/>
              </w:rPr>
            </w:pPr>
            <w:r>
              <w:rPr>
                <w:sz w:val="20"/>
              </w:rPr>
              <w:t>1942–2010</w:t>
            </w:r>
          </w:p>
        </w:tc>
        <w:tc>
          <w:tcPr>
            <w:tcW w:w="3421" w:type="dxa"/>
          </w:tcPr>
          <w:p w14:paraId="7FCB756D" w14:textId="77777777" w:rsidR="0046798B" w:rsidRDefault="00903B5C">
            <w:pPr>
              <w:pStyle w:val="TableParagraph"/>
              <w:spacing w:before="38"/>
              <w:ind w:left="114" w:right="300"/>
              <w:rPr>
                <w:sz w:val="20"/>
              </w:rPr>
            </w:pPr>
            <w:r>
              <w:rPr>
                <w:sz w:val="20"/>
              </w:rPr>
              <w:t>Number of month that the state fiscal year ends in.</w:t>
            </w:r>
          </w:p>
        </w:tc>
        <w:tc>
          <w:tcPr>
            <w:tcW w:w="6482" w:type="dxa"/>
          </w:tcPr>
          <w:p w14:paraId="3B64D873" w14:textId="77777777" w:rsidR="0046798B" w:rsidRDefault="00903B5C">
            <w:pPr>
              <w:pStyle w:val="TableParagraph"/>
              <w:spacing w:before="38"/>
              <w:ind w:left="114" w:right="1111"/>
              <w:rPr>
                <w:sz w:val="20"/>
              </w:rPr>
            </w:pPr>
            <w:r>
              <w:rPr>
                <w:sz w:val="20"/>
              </w:rPr>
              <w:t xml:space="preserve">Klarner, Carl, 2013, “State Economic Data”, </w:t>
            </w:r>
            <w:hyperlink r:id="rId183">
              <w:r>
                <w:rPr>
                  <w:sz w:val="20"/>
                  <w:u w:val="single"/>
                </w:rPr>
                <w:t>https://doi.org/10.7910/DVN/KMWN7N</w:t>
              </w:r>
            </w:hyperlink>
            <w:r>
              <w:rPr>
                <w:sz w:val="20"/>
              </w:rPr>
              <w:t>, Harvard Dataverse, V1</w:t>
            </w:r>
          </w:p>
        </w:tc>
      </w:tr>
      <w:tr w:rsidR="0046798B" w14:paraId="016CABB0" w14:textId="77777777">
        <w:trPr>
          <w:trHeight w:val="545"/>
        </w:trPr>
        <w:tc>
          <w:tcPr>
            <w:tcW w:w="1711" w:type="dxa"/>
          </w:tcPr>
          <w:p w14:paraId="2899864C" w14:textId="77777777" w:rsidR="0046798B" w:rsidRDefault="00903B5C">
            <w:pPr>
              <w:pStyle w:val="TableParagraph"/>
              <w:spacing w:before="154"/>
              <w:ind w:left="115"/>
              <w:rPr>
                <w:b/>
                <w:sz w:val="20"/>
              </w:rPr>
            </w:pPr>
            <w:r>
              <w:rPr>
                <w:b/>
                <w:sz w:val="20"/>
              </w:rPr>
              <w:t>fy_end_quar</w:t>
            </w:r>
          </w:p>
        </w:tc>
        <w:tc>
          <w:tcPr>
            <w:tcW w:w="1596" w:type="dxa"/>
          </w:tcPr>
          <w:p w14:paraId="24C1E3F5" w14:textId="77777777" w:rsidR="0046798B" w:rsidRDefault="00903B5C">
            <w:pPr>
              <w:pStyle w:val="TableParagraph"/>
              <w:spacing w:before="39"/>
              <w:ind w:left="114" w:right="96"/>
              <w:rPr>
                <w:sz w:val="20"/>
              </w:rPr>
            </w:pPr>
            <w:r>
              <w:rPr>
                <w:sz w:val="20"/>
              </w:rPr>
              <w:t>Quarter in which fiscal year ends</w:t>
            </w:r>
          </w:p>
        </w:tc>
        <w:tc>
          <w:tcPr>
            <w:tcW w:w="1285" w:type="dxa"/>
          </w:tcPr>
          <w:p w14:paraId="3D52F962" w14:textId="77777777" w:rsidR="0046798B" w:rsidRDefault="00903B5C">
            <w:pPr>
              <w:pStyle w:val="TableParagraph"/>
              <w:spacing w:before="154"/>
              <w:ind w:left="114"/>
              <w:rPr>
                <w:sz w:val="20"/>
              </w:rPr>
            </w:pPr>
            <w:r>
              <w:rPr>
                <w:sz w:val="20"/>
              </w:rPr>
              <w:t>1942–2010</w:t>
            </w:r>
          </w:p>
        </w:tc>
        <w:tc>
          <w:tcPr>
            <w:tcW w:w="3421" w:type="dxa"/>
          </w:tcPr>
          <w:p w14:paraId="3335F41A" w14:textId="77777777" w:rsidR="0046798B" w:rsidRDefault="00903B5C">
            <w:pPr>
              <w:pStyle w:val="TableParagraph"/>
              <w:spacing w:before="154"/>
              <w:ind w:left="114"/>
              <w:rPr>
                <w:sz w:val="20"/>
              </w:rPr>
            </w:pPr>
            <w:r>
              <w:rPr>
                <w:sz w:val="20"/>
              </w:rPr>
              <w:t>Last quarter of the state fiscal year.</w:t>
            </w:r>
          </w:p>
        </w:tc>
        <w:tc>
          <w:tcPr>
            <w:tcW w:w="6482" w:type="dxa"/>
          </w:tcPr>
          <w:p w14:paraId="37E25892" w14:textId="77777777" w:rsidR="0046798B" w:rsidRDefault="00903B5C">
            <w:pPr>
              <w:pStyle w:val="TableParagraph"/>
              <w:spacing w:before="39"/>
              <w:ind w:left="114" w:right="1111"/>
              <w:rPr>
                <w:sz w:val="20"/>
              </w:rPr>
            </w:pPr>
            <w:r>
              <w:rPr>
                <w:sz w:val="20"/>
              </w:rPr>
              <w:t xml:space="preserve">Klarner, Carl, 2013, “State Economic Data”, </w:t>
            </w:r>
            <w:hyperlink r:id="rId184">
              <w:r>
                <w:rPr>
                  <w:sz w:val="20"/>
                  <w:u w:val="single"/>
                </w:rPr>
                <w:t>https://doi.org/10.7910/DVN/KMWN7N</w:t>
              </w:r>
            </w:hyperlink>
            <w:r>
              <w:rPr>
                <w:sz w:val="20"/>
              </w:rPr>
              <w:t>, Harvard Dataverse, V1</w:t>
            </w:r>
          </w:p>
        </w:tc>
      </w:tr>
      <w:tr w:rsidR="0046798B" w14:paraId="0734CED7" w14:textId="77777777">
        <w:trPr>
          <w:trHeight w:val="3306"/>
        </w:trPr>
        <w:tc>
          <w:tcPr>
            <w:tcW w:w="1711" w:type="dxa"/>
          </w:tcPr>
          <w:p w14:paraId="41033FD3" w14:textId="77777777" w:rsidR="0046798B" w:rsidRDefault="0046798B">
            <w:pPr>
              <w:pStyle w:val="TableParagraph"/>
            </w:pPr>
          </w:p>
          <w:p w14:paraId="34B46708" w14:textId="77777777" w:rsidR="0046798B" w:rsidRDefault="0046798B">
            <w:pPr>
              <w:pStyle w:val="TableParagraph"/>
            </w:pPr>
          </w:p>
          <w:p w14:paraId="07E179FF" w14:textId="77777777" w:rsidR="0046798B" w:rsidRDefault="0046798B">
            <w:pPr>
              <w:pStyle w:val="TableParagraph"/>
            </w:pPr>
          </w:p>
          <w:p w14:paraId="7011E82D" w14:textId="77777777" w:rsidR="0046798B" w:rsidRDefault="0046798B">
            <w:pPr>
              <w:pStyle w:val="TableParagraph"/>
            </w:pPr>
          </w:p>
          <w:p w14:paraId="7A04FD8E" w14:textId="77777777" w:rsidR="0046798B" w:rsidRDefault="0046798B">
            <w:pPr>
              <w:pStyle w:val="TableParagraph"/>
            </w:pPr>
          </w:p>
          <w:p w14:paraId="2C80307D" w14:textId="77777777" w:rsidR="0046798B" w:rsidRDefault="00903B5C">
            <w:pPr>
              <w:pStyle w:val="TableParagraph"/>
              <w:spacing w:before="153"/>
              <w:ind w:left="115" w:right="99"/>
              <w:rPr>
                <w:b/>
                <w:sz w:val="20"/>
              </w:rPr>
            </w:pPr>
            <w:r>
              <w:rPr>
                <w:b/>
                <w:sz w:val="20"/>
              </w:rPr>
              <w:t>general_expendit ure</w:t>
            </w:r>
          </w:p>
        </w:tc>
        <w:tc>
          <w:tcPr>
            <w:tcW w:w="1596" w:type="dxa"/>
          </w:tcPr>
          <w:p w14:paraId="4CD107A5" w14:textId="77777777" w:rsidR="0046798B" w:rsidRDefault="0046798B">
            <w:pPr>
              <w:pStyle w:val="TableParagraph"/>
            </w:pPr>
          </w:p>
          <w:p w14:paraId="0A1F35C9" w14:textId="77777777" w:rsidR="0046798B" w:rsidRDefault="0046798B">
            <w:pPr>
              <w:pStyle w:val="TableParagraph"/>
            </w:pPr>
          </w:p>
          <w:p w14:paraId="6A5F289F" w14:textId="77777777" w:rsidR="0046798B" w:rsidRDefault="0046798B">
            <w:pPr>
              <w:pStyle w:val="TableParagraph"/>
            </w:pPr>
          </w:p>
          <w:p w14:paraId="5FA65C56" w14:textId="77777777" w:rsidR="0046798B" w:rsidRDefault="0046798B">
            <w:pPr>
              <w:pStyle w:val="TableParagraph"/>
            </w:pPr>
          </w:p>
          <w:p w14:paraId="0C3143C2" w14:textId="77777777" w:rsidR="0046798B" w:rsidRDefault="0046798B">
            <w:pPr>
              <w:pStyle w:val="TableParagraph"/>
            </w:pPr>
          </w:p>
          <w:p w14:paraId="59012E42" w14:textId="77777777" w:rsidR="0046798B" w:rsidRDefault="00903B5C">
            <w:pPr>
              <w:pStyle w:val="TableParagraph"/>
              <w:spacing w:before="153"/>
              <w:ind w:left="114" w:right="402"/>
              <w:rPr>
                <w:sz w:val="20"/>
              </w:rPr>
            </w:pPr>
            <w:r>
              <w:rPr>
                <w:sz w:val="20"/>
              </w:rPr>
              <w:t>General state expenditures</w:t>
            </w:r>
          </w:p>
        </w:tc>
        <w:tc>
          <w:tcPr>
            <w:tcW w:w="1285" w:type="dxa"/>
          </w:tcPr>
          <w:p w14:paraId="1D589071" w14:textId="77777777" w:rsidR="0046798B" w:rsidRDefault="0046798B">
            <w:pPr>
              <w:pStyle w:val="TableParagraph"/>
            </w:pPr>
          </w:p>
          <w:p w14:paraId="69A9F931" w14:textId="77777777" w:rsidR="0046798B" w:rsidRDefault="0046798B">
            <w:pPr>
              <w:pStyle w:val="TableParagraph"/>
            </w:pPr>
          </w:p>
          <w:p w14:paraId="38C9CB35" w14:textId="77777777" w:rsidR="0046798B" w:rsidRDefault="0046798B">
            <w:pPr>
              <w:pStyle w:val="TableParagraph"/>
            </w:pPr>
          </w:p>
          <w:p w14:paraId="30857424" w14:textId="77777777" w:rsidR="0046798B" w:rsidRDefault="0046798B">
            <w:pPr>
              <w:pStyle w:val="TableParagraph"/>
            </w:pPr>
          </w:p>
          <w:p w14:paraId="0AC55249" w14:textId="77777777" w:rsidR="0046798B" w:rsidRDefault="0046798B">
            <w:pPr>
              <w:pStyle w:val="TableParagraph"/>
            </w:pPr>
          </w:p>
          <w:p w14:paraId="4EF27FC1" w14:textId="77777777" w:rsidR="0046798B" w:rsidRDefault="0046798B">
            <w:pPr>
              <w:pStyle w:val="TableParagraph"/>
              <w:spacing w:before="4"/>
              <w:rPr>
                <w:sz w:val="23"/>
              </w:rPr>
            </w:pPr>
          </w:p>
          <w:p w14:paraId="481BE2A8" w14:textId="2150F484" w:rsidR="0046798B" w:rsidRDefault="00903B5C">
            <w:pPr>
              <w:pStyle w:val="TableParagraph"/>
              <w:ind w:left="114"/>
              <w:rPr>
                <w:sz w:val="20"/>
              </w:rPr>
            </w:pPr>
            <w:r>
              <w:rPr>
                <w:sz w:val="20"/>
              </w:rPr>
              <w:t>1942–201</w:t>
            </w:r>
            <w:r w:rsidR="00855B7D">
              <w:rPr>
                <w:sz w:val="20"/>
              </w:rPr>
              <w:t>8</w:t>
            </w:r>
          </w:p>
        </w:tc>
        <w:tc>
          <w:tcPr>
            <w:tcW w:w="3421" w:type="dxa"/>
          </w:tcPr>
          <w:p w14:paraId="70D3352C" w14:textId="77777777" w:rsidR="0046798B" w:rsidRDefault="0046798B">
            <w:pPr>
              <w:pStyle w:val="TableParagraph"/>
            </w:pPr>
          </w:p>
          <w:p w14:paraId="71ABD9A2" w14:textId="77777777" w:rsidR="0046798B" w:rsidRDefault="0046798B">
            <w:pPr>
              <w:pStyle w:val="TableParagraph"/>
            </w:pPr>
          </w:p>
          <w:p w14:paraId="68C91768" w14:textId="77777777" w:rsidR="0046798B" w:rsidRDefault="0046798B">
            <w:pPr>
              <w:pStyle w:val="TableParagraph"/>
            </w:pPr>
          </w:p>
          <w:p w14:paraId="0593DEDB" w14:textId="77777777" w:rsidR="0046798B" w:rsidRDefault="0046798B">
            <w:pPr>
              <w:pStyle w:val="TableParagraph"/>
            </w:pPr>
          </w:p>
          <w:p w14:paraId="14D92485" w14:textId="77777777" w:rsidR="0046798B" w:rsidRDefault="0046798B">
            <w:pPr>
              <w:pStyle w:val="TableParagraph"/>
              <w:spacing w:before="4"/>
              <w:rPr>
                <w:sz w:val="25"/>
              </w:rPr>
            </w:pPr>
          </w:p>
          <w:p w14:paraId="695AB531" w14:textId="77777777" w:rsidR="0046798B" w:rsidRDefault="00903B5C">
            <w:pPr>
              <w:pStyle w:val="TableParagraph"/>
              <w:ind w:left="114" w:right="222"/>
              <w:rPr>
                <w:sz w:val="20"/>
              </w:rPr>
            </w:pPr>
            <w:r>
              <w:rPr>
                <w:sz w:val="20"/>
              </w:rPr>
              <w:t>General state expenditures. All state government finance data are in 1,000s of current dollars.</w:t>
            </w:r>
          </w:p>
        </w:tc>
        <w:tc>
          <w:tcPr>
            <w:tcW w:w="6482" w:type="dxa"/>
          </w:tcPr>
          <w:p w14:paraId="57E5FF74" w14:textId="77777777" w:rsidR="0046798B" w:rsidRDefault="00903B5C">
            <w:pPr>
              <w:pStyle w:val="TableParagraph"/>
              <w:spacing w:before="47" w:line="235" w:lineRule="auto"/>
              <w:ind w:left="114" w:right="1111"/>
              <w:rPr>
                <w:sz w:val="20"/>
              </w:rPr>
            </w:pPr>
            <w:r>
              <w:rPr>
                <w:sz w:val="20"/>
              </w:rPr>
              <w:t xml:space="preserve">Klarner, Carl, 2013, “State Economic Data”, </w:t>
            </w:r>
            <w:hyperlink r:id="rId185">
              <w:r>
                <w:rPr>
                  <w:sz w:val="20"/>
                  <w:u w:val="single"/>
                </w:rPr>
                <w:t>https://doi.org/10.7910/DVN/KMWN7N</w:t>
              </w:r>
            </w:hyperlink>
            <w:r>
              <w:rPr>
                <w:sz w:val="20"/>
              </w:rPr>
              <w:t>, Harvard Dataverse, V1</w:t>
            </w:r>
          </w:p>
          <w:p w14:paraId="2D85D923" w14:textId="77777777" w:rsidR="0046798B" w:rsidRDefault="0046798B">
            <w:pPr>
              <w:pStyle w:val="TableParagraph"/>
              <w:spacing w:before="1"/>
              <w:rPr>
                <w:sz w:val="20"/>
              </w:rPr>
            </w:pPr>
          </w:p>
          <w:p w14:paraId="02E7DEF2" w14:textId="77777777" w:rsidR="0046798B" w:rsidRDefault="00903B5C">
            <w:pPr>
              <w:pStyle w:val="TableParagraph"/>
              <w:ind w:left="114"/>
              <w:rPr>
                <w:sz w:val="20"/>
              </w:rPr>
            </w:pPr>
            <w:r>
              <w:rPr>
                <w:sz w:val="20"/>
              </w:rPr>
              <w:t xml:space="preserve">Source: Figures exactly as they appear in the Census database file State_Govt_Finances for 1942 – 2006. For 2007 – 2010: </w:t>
            </w:r>
            <w:hyperlink r:id="rId186">
              <w:r>
                <w:rPr>
                  <w:sz w:val="20"/>
                  <w:u w:val="single"/>
                </w:rPr>
                <w:t>http://www.census.gov/govs/state/</w:t>
              </w:r>
            </w:hyperlink>
          </w:p>
          <w:p w14:paraId="1460AB7B" w14:textId="77777777" w:rsidR="0046798B" w:rsidRDefault="0046798B">
            <w:pPr>
              <w:pStyle w:val="TableParagraph"/>
              <w:rPr>
                <w:sz w:val="20"/>
              </w:rPr>
            </w:pPr>
          </w:p>
          <w:p w14:paraId="5B9F3EB0" w14:textId="77777777" w:rsidR="0046798B" w:rsidRDefault="00903B5C">
            <w:pPr>
              <w:pStyle w:val="TableParagraph"/>
              <w:ind w:left="114" w:right="132"/>
              <w:rPr>
                <w:sz w:val="20"/>
              </w:rPr>
            </w:pPr>
            <w:r>
              <w:rPr>
                <w:sz w:val="20"/>
              </w:rPr>
              <w:t>Note for data put into quarters 1, 2, 3 and 4: although these data were put into quarters, they were not divided by 4. There are always four cases that have the same exact numbers. These sets of four are within the same state fiscal year. Note for data put into quarter 2.5: data for the fiscal year that matches the year of the case is put into 2.5. For example, Indiana’s FY1986 (which goes from July 1st 1985, to June 30th, 1986) is put into 1986q2.5.</w:t>
            </w:r>
          </w:p>
        </w:tc>
      </w:tr>
    </w:tbl>
    <w:p w14:paraId="0FEFCCF9" w14:textId="77777777" w:rsidR="0046798B" w:rsidRDefault="0046798B">
      <w:pPr>
        <w:rPr>
          <w:sz w:val="20"/>
        </w:rPr>
        <w:sectPr w:rsidR="0046798B">
          <w:pgSz w:w="15840" w:h="12240" w:orient="landscape"/>
          <w:pgMar w:top="1220" w:right="300" w:bottom="980" w:left="820" w:header="730" w:footer="787" w:gutter="0"/>
          <w:cols w:space="720"/>
        </w:sectPr>
      </w:pPr>
    </w:p>
    <w:p w14:paraId="7D972F24"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64CA6D2E" w14:textId="77777777">
        <w:trPr>
          <w:trHeight w:val="775"/>
        </w:trPr>
        <w:tc>
          <w:tcPr>
            <w:tcW w:w="1711" w:type="dxa"/>
          </w:tcPr>
          <w:p w14:paraId="2BF86B3F" w14:textId="77777777" w:rsidR="0046798B" w:rsidRDefault="0046798B">
            <w:pPr>
              <w:pStyle w:val="TableParagraph"/>
              <w:rPr>
                <w:sz w:val="20"/>
              </w:rPr>
            </w:pPr>
          </w:p>
        </w:tc>
        <w:tc>
          <w:tcPr>
            <w:tcW w:w="1596" w:type="dxa"/>
          </w:tcPr>
          <w:p w14:paraId="74370A67" w14:textId="77777777" w:rsidR="0046798B" w:rsidRDefault="0046798B">
            <w:pPr>
              <w:pStyle w:val="TableParagraph"/>
              <w:rPr>
                <w:sz w:val="20"/>
              </w:rPr>
            </w:pPr>
          </w:p>
        </w:tc>
        <w:tc>
          <w:tcPr>
            <w:tcW w:w="1285" w:type="dxa"/>
          </w:tcPr>
          <w:p w14:paraId="7E970C4C" w14:textId="77777777" w:rsidR="0046798B" w:rsidRDefault="0046798B">
            <w:pPr>
              <w:pStyle w:val="TableParagraph"/>
              <w:rPr>
                <w:sz w:val="20"/>
              </w:rPr>
            </w:pPr>
          </w:p>
        </w:tc>
        <w:tc>
          <w:tcPr>
            <w:tcW w:w="3421" w:type="dxa"/>
          </w:tcPr>
          <w:p w14:paraId="03BFBB9F" w14:textId="77777777" w:rsidR="0046798B" w:rsidRDefault="0046798B">
            <w:pPr>
              <w:pStyle w:val="TableParagraph"/>
              <w:rPr>
                <w:sz w:val="20"/>
              </w:rPr>
            </w:pPr>
          </w:p>
        </w:tc>
        <w:tc>
          <w:tcPr>
            <w:tcW w:w="6482" w:type="dxa"/>
          </w:tcPr>
          <w:p w14:paraId="6D8D678D" w14:textId="77777777" w:rsidR="0046798B" w:rsidRDefault="00903B5C">
            <w:pPr>
              <w:pStyle w:val="TableParagraph"/>
              <w:spacing w:before="43"/>
              <w:ind w:left="114"/>
              <w:rPr>
                <w:sz w:val="20"/>
              </w:rPr>
            </w:pPr>
            <w:r>
              <w:rPr>
                <w:sz w:val="20"/>
              </w:rPr>
              <w:t xml:space="preserve">United States Census Bureau: </w:t>
            </w:r>
            <w:hyperlink r:id="rId187">
              <w:r>
                <w:rPr>
                  <w:color w:val="0462C1"/>
                  <w:sz w:val="20"/>
                  <w:u w:val="single" w:color="0462C1"/>
                </w:rPr>
                <w:t>https://factfinder.census.gov/faces/nav/jsf/pages/programs.xhtml?program=as</w:t>
              </w:r>
            </w:hyperlink>
            <w:r>
              <w:rPr>
                <w:color w:val="0462C1"/>
                <w:sz w:val="20"/>
              </w:rPr>
              <w:t xml:space="preserve"> </w:t>
            </w:r>
            <w:hyperlink r:id="rId188">
              <w:r>
                <w:rPr>
                  <w:color w:val="0462C1"/>
                  <w:sz w:val="20"/>
                  <w:u w:val="single" w:color="0462C1"/>
                </w:rPr>
                <w:t>gov</w:t>
              </w:r>
            </w:hyperlink>
          </w:p>
        </w:tc>
      </w:tr>
      <w:tr w:rsidR="0046798B" w14:paraId="1147E305" w14:textId="77777777">
        <w:trPr>
          <w:trHeight w:val="1235"/>
        </w:trPr>
        <w:tc>
          <w:tcPr>
            <w:tcW w:w="1711" w:type="dxa"/>
          </w:tcPr>
          <w:p w14:paraId="44CB5959" w14:textId="77777777" w:rsidR="0046798B" w:rsidRDefault="0046798B">
            <w:pPr>
              <w:pStyle w:val="TableParagraph"/>
            </w:pPr>
          </w:p>
          <w:p w14:paraId="482F8ACA" w14:textId="77777777" w:rsidR="0046798B" w:rsidRDefault="00903B5C">
            <w:pPr>
              <w:pStyle w:val="TableParagraph"/>
              <w:spacing w:before="135"/>
              <w:ind w:left="115" w:right="99"/>
              <w:rPr>
                <w:b/>
                <w:sz w:val="20"/>
              </w:rPr>
            </w:pPr>
            <w:r>
              <w:rPr>
                <w:b/>
                <w:sz w:val="20"/>
              </w:rPr>
              <w:t>general_expendit ure_gsp</w:t>
            </w:r>
          </w:p>
        </w:tc>
        <w:tc>
          <w:tcPr>
            <w:tcW w:w="1596" w:type="dxa"/>
          </w:tcPr>
          <w:p w14:paraId="62EC50F4" w14:textId="77777777" w:rsidR="0046798B" w:rsidRDefault="0046798B">
            <w:pPr>
              <w:pStyle w:val="TableParagraph"/>
              <w:spacing w:before="8"/>
              <w:rPr>
                <w:sz w:val="23"/>
              </w:rPr>
            </w:pPr>
          </w:p>
          <w:p w14:paraId="1EEA9E39" w14:textId="77777777" w:rsidR="0046798B" w:rsidRDefault="00903B5C">
            <w:pPr>
              <w:pStyle w:val="TableParagraph"/>
              <w:spacing w:before="1"/>
              <w:ind w:left="114" w:right="213"/>
              <w:rPr>
                <w:sz w:val="20"/>
              </w:rPr>
            </w:pPr>
            <w:r>
              <w:rPr>
                <w:sz w:val="20"/>
              </w:rPr>
              <w:t>General expenditures as pct. of GSP</w:t>
            </w:r>
          </w:p>
        </w:tc>
        <w:tc>
          <w:tcPr>
            <w:tcW w:w="1285" w:type="dxa"/>
          </w:tcPr>
          <w:p w14:paraId="29C4B4AB" w14:textId="77777777" w:rsidR="0046798B" w:rsidRDefault="0046798B">
            <w:pPr>
              <w:pStyle w:val="TableParagraph"/>
            </w:pPr>
          </w:p>
          <w:p w14:paraId="7A53D44B" w14:textId="77777777" w:rsidR="0046798B" w:rsidRDefault="0046798B">
            <w:pPr>
              <w:pStyle w:val="TableParagraph"/>
              <w:spacing w:before="8"/>
              <w:rPr>
                <w:sz w:val="21"/>
              </w:rPr>
            </w:pPr>
          </w:p>
          <w:p w14:paraId="7D0428B8" w14:textId="77777777" w:rsidR="0046798B" w:rsidRDefault="00903B5C">
            <w:pPr>
              <w:pStyle w:val="TableParagraph"/>
              <w:spacing w:before="1"/>
              <w:ind w:left="114"/>
              <w:rPr>
                <w:sz w:val="20"/>
              </w:rPr>
            </w:pPr>
            <w:r>
              <w:rPr>
                <w:sz w:val="20"/>
              </w:rPr>
              <w:t>1942–2010</w:t>
            </w:r>
          </w:p>
        </w:tc>
        <w:tc>
          <w:tcPr>
            <w:tcW w:w="3421" w:type="dxa"/>
          </w:tcPr>
          <w:p w14:paraId="239B1534" w14:textId="77777777" w:rsidR="0046798B" w:rsidRDefault="0046798B">
            <w:pPr>
              <w:pStyle w:val="TableParagraph"/>
            </w:pPr>
          </w:p>
          <w:p w14:paraId="0F893732" w14:textId="77777777" w:rsidR="0046798B" w:rsidRDefault="00903B5C">
            <w:pPr>
              <w:pStyle w:val="TableParagraph"/>
              <w:spacing w:before="135"/>
              <w:ind w:left="114" w:right="500"/>
              <w:rPr>
                <w:sz w:val="20"/>
              </w:rPr>
            </w:pPr>
            <w:r>
              <w:rPr>
                <w:sz w:val="20"/>
              </w:rPr>
              <w:t>General expenditures as percent of gross state product</w:t>
            </w:r>
          </w:p>
        </w:tc>
        <w:tc>
          <w:tcPr>
            <w:tcW w:w="6482" w:type="dxa"/>
          </w:tcPr>
          <w:p w14:paraId="1E1741B2" w14:textId="77777777" w:rsidR="0046798B" w:rsidRDefault="00903B5C">
            <w:pPr>
              <w:pStyle w:val="TableParagraph"/>
              <w:spacing w:before="43"/>
              <w:ind w:left="114" w:right="1111"/>
              <w:rPr>
                <w:sz w:val="20"/>
              </w:rPr>
            </w:pPr>
            <w:r>
              <w:rPr>
                <w:sz w:val="20"/>
              </w:rPr>
              <w:t xml:space="preserve">Klarner, Carl, 2013, “State Economic Data”, </w:t>
            </w:r>
            <w:hyperlink r:id="rId189">
              <w:r>
                <w:rPr>
                  <w:sz w:val="20"/>
                  <w:u w:val="single"/>
                </w:rPr>
                <w:t>https://doi.org/10.7910/DVN/KMWN7N</w:t>
              </w:r>
            </w:hyperlink>
            <w:r>
              <w:rPr>
                <w:sz w:val="20"/>
              </w:rPr>
              <w:t>, Harvard Dataverse, V1</w:t>
            </w:r>
          </w:p>
          <w:p w14:paraId="7D401CE8" w14:textId="77777777" w:rsidR="0046798B" w:rsidRDefault="0046798B">
            <w:pPr>
              <w:pStyle w:val="TableParagraph"/>
              <w:rPr>
                <w:sz w:val="20"/>
              </w:rPr>
            </w:pPr>
          </w:p>
          <w:p w14:paraId="1FA1E8EB" w14:textId="77777777" w:rsidR="0046798B" w:rsidRDefault="00903B5C">
            <w:pPr>
              <w:pStyle w:val="TableParagraph"/>
              <w:spacing w:before="1"/>
              <w:ind w:left="114"/>
              <w:rPr>
                <w:sz w:val="20"/>
              </w:rPr>
            </w:pPr>
            <w:r>
              <w:rPr>
                <w:sz w:val="20"/>
              </w:rPr>
              <w:t>STATA CODE:</w:t>
            </w:r>
          </w:p>
          <w:p w14:paraId="217143EF" w14:textId="77777777" w:rsidR="0046798B" w:rsidRDefault="00903B5C">
            <w:pPr>
              <w:pStyle w:val="TableParagraph"/>
              <w:ind w:left="114"/>
              <w:rPr>
                <w:sz w:val="20"/>
              </w:rPr>
            </w:pPr>
            <w:r>
              <w:rPr>
                <w:sz w:val="20"/>
              </w:rPr>
              <w:t>gen general_expenditure_gsp= (general_expenditure/(gsp_q*1000))*100</w:t>
            </w:r>
          </w:p>
        </w:tc>
      </w:tr>
      <w:tr w:rsidR="0046798B" w14:paraId="718DB884" w14:textId="77777777">
        <w:trPr>
          <w:trHeight w:val="1240"/>
        </w:trPr>
        <w:tc>
          <w:tcPr>
            <w:tcW w:w="1711" w:type="dxa"/>
          </w:tcPr>
          <w:p w14:paraId="0DDCFD54" w14:textId="77777777" w:rsidR="0046798B" w:rsidRDefault="0046798B">
            <w:pPr>
              <w:pStyle w:val="TableParagraph"/>
            </w:pPr>
          </w:p>
          <w:p w14:paraId="71EF3011" w14:textId="77777777" w:rsidR="0046798B" w:rsidRDefault="00903B5C">
            <w:pPr>
              <w:pStyle w:val="TableParagraph"/>
              <w:spacing w:before="135"/>
              <w:ind w:left="115" w:right="99"/>
              <w:rPr>
                <w:b/>
                <w:sz w:val="20"/>
              </w:rPr>
            </w:pPr>
            <w:r>
              <w:rPr>
                <w:b/>
                <w:sz w:val="20"/>
              </w:rPr>
              <w:t>general_expendit ure_inc</w:t>
            </w:r>
          </w:p>
        </w:tc>
        <w:tc>
          <w:tcPr>
            <w:tcW w:w="1596" w:type="dxa"/>
          </w:tcPr>
          <w:p w14:paraId="0013F0FE" w14:textId="77777777" w:rsidR="0046798B" w:rsidRDefault="00903B5C">
            <w:pPr>
              <w:pStyle w:val="TableParagraph"/>
              <w:spacing w:before="158"/>
              <w:ind w:left="114" w:right="213"/>
              <w:rPr>
                <w:sz w:val="20"/>
              </w:rPr>
            </w:pPr>
            <w:r>
              <w:rPr>
                <w:sz w:val="20"/>
              </w:rPr>
              <w:t>General expenditures as pct. of personal income</w:t>
            </w:r>
          </w:p>
        </w:tc>
        <w:tc>
          <w:tcPr>
            <w:tcW w:w="1285" w:type="dxa"/>
          </w:tcPr>
          <w:p w14:paraId="1810FAA5" w14:textId="77777777" w:rsidR="0046798B" w:rsidRDefault="0046798B">
            <w:pPr>
              <w:pStyle w:val="TableParagraph"/>
            </w:pPr>
          </w:p>
          <w:p w14:paraId="5E6C5286" w14:textId="77777777" w:rsidR="0046798B" w:rsidRDefault="0046798B">
            <w:pPr>
              <w:pStyle w:val="TableParagraph"/>
              <w:spacing w:before="8"/>
              <w:rPr>
                <w:sz w:val="21"/>
              </w:rPr>
            </w:pPr>
          </w:p>
          <w:p w14:paraId="7CA6CA38" w14:textId="77777777" w:rsidR="0046798B" w:rsidRDefault="00903B5C">
            <w:pPr>
              <w:pStyle w:val="TableParagraph"/>
              <w:spacing w:before="1"/>
              <w:ind w:left="114"/>
              <w:rPr>
                <w:sz w:val="20"/>
              </w:rPr>
            </w:pPr>
            <w:r>
              <w:rPr>
                <w:sz w:val="20"/>
              </w:rPr>
              <w:t>1941–2009</w:t>
            </w:r>
          </w:p>
        </w:tc>
        <w:tc>
          <w:tcPr>
            <w:tcW w:w="3421" w:type="dxa"/>
          </w:tcPr>
          <w:p w14:paraId="25A8B16B" w14:textId="77777777" w:rsidR="0046798B" w:rsidRDefault="0046798B">
            <w:pPr>
              <w:pStyle w:val="TableParagraph"/>
            </w:pPr>
          </w:p>
          <w:p w14:paraId="53AB1F13" w14:textId="77777777" w:rsidR="0046798B" w:rsidRDefault="00903B5C">
            <w:pPr>
              <w:pStyle w:val="TableParagraph"/>
              <w:spacing w:before="135"/>
              <w:ind w:left="114" w:right="500"/>
              <w:rPr>
                <w:sz w:val="20"/>
              </w:rPr>
            </w:pPr>
            <w:r>
              <w:rPr>
                <w:sz w:val="20"/>
              </w:rPr>
              <w:t>General expenditures as percent of personal income.</w:t>
            </w:r>
          </w:p>
        </w:tc>
        <w:tc>
          <w:tcPr>
            <w:tcW w:w="6482" w:type="dxa"/>
          </w:tcPr>
          <w:p w14:paraId="66D4077F" w14:textId="77777777" w:rsidR="0046798B" w:rsidRDefault="00903B5C">
            <w:pPr>
              <w:pStyle w:val="TableParagraph"/>
              <w:spacing w:before="43"/>
              <w:ind w:left="114" w:right="1111"/>
              <w:rPr>
                <w:sz w:val="20"/>
              </w:rPr>
            </w:pPr>
            <w:r>
              <w:rPr>
                <w:sz w:val="20"/>
              </w:rPr>
              <w:t xml:space="preserve">Klarner, Carl, 2013, “State Economic Data”, </w:t>
            </w:r>
            <w:hyperlink r:id="rId190">
              <w:r>
                <w:rPr>
                  <w:sz w:val="20"/>
                  <w:u w:val="single"/>
                </w:rPr>
                <w:t>https://doi.org/10.7910/DVN/KMWN7N</w:t>
              </w:r>
            </w:hyperlink>
            <w:r>
              <w:rPr>
                <w:sz w:val="20"/>
              </w:rPr>
              <w:t>, Harvard Dataverse, V1</w:t>
            </w:r>
          </w:p>
          <w:p w14:paraId="6F308D0B" w14:textId="77777777" w:rsidR="0046798B" w:rsidRDefault="0046798B">
            <w:pPr>
              <w:pStyle w:val="TableParagraph"/>
              <w:rPr>
                <w:sz w:val="20"/>
              </w:rPr>
            </w:pPr>
          </w:p>
          <w:p w14:paraId="349FCD24" w14:textId="77777777" w:rsidR="0046798B" w:rsidRDefault="00903B5C">
            <w:pPr>
              <w:pStyle w:val="TableParagraph"/>
              <w:ind w:left="114" w:right="2072"/>
              <w:rPr>
                <w:sz w:val="20"/>
              </w:rPr>
            </w:pPr>
            <w:r>
              <w:rPr>
                <w:sz w:val="20"/>
              </w:rPr>
              <w:t>STATA CODE: gen general_expenditure_inc= (general_expenditure/personal_income1000s_b)*100</w:t>
            </w:r>
          </w:p>
        </w:tc>
      </w:tr>
      <w:tr w:rsidR="0046798B" w14:paraId="2117BF50" w14:textId="77777777">
        <w:trPr>
          <w:trHeight w:val="3996"/>
        </w:trPr>
        <w:tc>
          <w:tcPr>
            <w:tcW w:w="1711" w:type="dxa"/>
          </w:tcPr>
          <w:p w14:paraId="64EC8302" w14:textId="77777777" w:rsidR="0046798B" w:rsidRDefault="0046798B">
            <w:pPr>
              <w:pStyle w:val="TableParagraph"/>
            </w:pPr>
          </w:p>
          <w:p w14:paraId="606AC2A9" w14:textId="77777777" w:rsidR="0046798B" w:rsidRDefault="0046798B">
            <w:pPr>
              <w:pStyle w:val="TableParagraph"/>
            </w:pPr>
          </w:p>
          <w:p w14:paraId="7ABAAC8D" w14:textId="77777777" w:rsidR="0046798B" w:rsidRDefault="0046798B">
            <w:pPr>
              <w:pStyle w:val="TableParagraph"/>
            </w:pPr>
          </w:p>
          <w:p w14:paraId="667A9149" w14:textId="77777777" w:rsidR="0046798B" w:rsidRDefault="0046798B">
            <w:pPr>
              <w:pStyle w:val="TableParagraph"/>
            </w:pPr>
          </w:p>
          <w:p w14:paraId="0724854D" w14:textId="77777777" w:rsidR="0046798B" w:rsidRDefault="0046798B">
            <w:pPr>
              <w:pStyle w:val="TableParagraph"/>
            </w:pPr>
          </w:p>
          <w:p w14:paraId="1F1A7E0B" w14:textId="77777777" w:rsidR="0046798B" w:rsidRDefault="0046798B">
            <w:pPr>
              <w:pStyle w:val="TableParagraph"/>
            </w:pPr>
          </w:p>
          <w:p w14:paraId="56621FC5" w14:textId="77777777" w:rsidR="0046798B" w:rsidRDefault="0046798B">
            <w:pPr>
              <w:pStyle w:val="TableParagraph"/>
              <w:spacing w:before="4"/>
              <w:rPr>
                <w:sz w:val="31"/>
              </w:rPr>
            </w:pPr>
          </w:p>
          <w:p w14:paraId="0D69B61D" w14:textId="77777777" w:rsidR="0046798B" w:rsidRDefault="00903B5C">
            <w:pPr>
              <w:pStyle w:val="TableParagraph"/>
              <w:spacing w:before="1"/>
              <w:ind w:left="115"/>
              <w:rPr>
                <w:b/>
                <w:sz w:val="20"/>
              </w:rPr>
            </w:pPr>
            <w:r>
              <w:rPr>
                <w:b/>
                <w:sz w:val="20"/>
              </w:rPr>
              <w:t>general_revenue</w:t>
            </w:r>
          </w:p>
        </w:tc>
        <w:tc>
          <w:tcPr>
            <w:tcW w:w="1596" w:type="dxa"/>
          </w:tcPr>
          <w:p w14:paraId="2B7C3F71" w14:textId="77777777" w:rsidR="0046798B" w:rsidRDefault="0046798B">
            <w:pPr>
              <w:pStyle w:val="TableParagraph"/>
            </w:pPr>
          </w:p>
          <w:p w14:paraId="589AA1C6" w14:textId="77777777" w:rsidR="0046798B" w:rsidRDefault="0046798B">
            <w:pPr>
              <w:pStyle w:val="TableParagraph"/>
            </w:pPr>
          </w:p>
          <w:p w14:paraId="3F3D0CF6" w14:textId="77777777" w:rsidR="0046798B" w:rsidRDefault="0046798B">
            <w:pPr>
              <w:pStyle w:val="TableParagraph"/>
            </w:pPr>
          </w:p>
          <w:p w14:paraId="2426FFA7" w14:textId="77777777" w:rsidR="0046798B" w:rsidRDefault="0046798B">
            <w:pPr>
              <w:pStyle w:val="TableParagraph"/>
            </w:pPr>
          </w:p>
          <w:p w14:paraId="072A6BAF" w14:textId="77777777" w:rsidR="0046798B" w:rsidRDefault="0046798B">
            <w:pPr>
              <w:pStyle w:val="TableParagraph"/>
            </w:pPr>
          </w:p>
          <w:p w14:paraId="0171CD07" w14:textId="77777777" w:rsidR="0046798B" w:rsidRDefault="0046798B">
            <w:pPr>
              <w:pStyle w:val="TableParagraph"/>
            </w:pPr>
          </w:p>
          <w:p w14:paraId="05D33EB8" w14:textId="77777777" w:rsidR="0046798B" w:rsidRDefault="0046798B">
            <w:pPr>
              <w:pStyle w:val="TableParagraph"/>
              <w:spacing w:before="4"/>
              <w:rPr>
                <w:sz w:val="21"/>
              </w:rPr>
            </w:pPr>
          </w:p>
          <w:p w14:paraId="1419BCAA" w14:textId="77777777" w:rsidR="0046798B" w:rsidRDefault="00903B5C">
            <w:pPr>
              <w:pStyle w:val="TableParagraph"/>
              <w:ind w:left="114" w:right="402"/>
              <w:rPr>
                <w:sz w:val="20"/>
              </w:rPr>
            </w:pPr>
            <w:r>
              <w:rPr>
                <w:sz w:val="20"/>
              </w:rPr>
              <w:t>General state revenue</w:t>
            </w:r>
          </w:p>
        </w:tc>
        <w:tc>
          <w:tcPr>
            <w:tcW w:w="1285" w:type="dxa"/>
          </w:tcPr>
          <w:p w14:paraId="3A677DFD" w14:textId="77777777" w:rsidR="0046798B" w:rsidRDefault="0046798B">
            <w:pPr>
              <w:pStyle w:val="TableParagraph"/>
            </w:pPr>
          </w:p>
          <w:p w14:paraId="2F591E45" w14:textId="77777777" w:rsidR="0046798B" w:rsidRDefault="0046798B">
            <w:pPr>
              <w:pStyle w:val="TableParagraph"/>
            </w:pPr>
          </w:p>
          <w:p w14:paraId="08EB1470" w14:textId="77777777" w:rsidR="0046798B" w:rsidRDefault="0046798B">
            <w:pPr>
              <w:pStyle w:val="TableParagraph"/>
            </w:pPr>
          </w:p>
          <w:p w14:paraId="3D7BB839" w14:textId="77777777" w:rsidR="0046798B" w:rsidRDefault="0046798B">
            <w:pPr>
              <w:pStyle w:val="TableParagraph"/>
            </w:pPr>
          </w:p>
          <w:p w14:paraId="4E572AA3" w14:textId="77777777" w:rsidR="0046798B" w:rsidRDefault="0046798B">
            <w:pPr>
              <w:pStyle w:val="TableParagraph"/>
            </w:pPr>
          </w:p>
          <w:p w14:paraId="010B9772" w14:textId="77777777" w:rsidR="0046798B" w:rsidRDefault="0046798B">
            <w:pPr>
              <w:pStyle w:val="TableParagraph"/>
            </w:pPr>
          </w:p>
          <w:p w14:paraId="34BD96EE" w14:textId="77777777" w:rsidR="0046798B" w:rsidRDefault="0046798B">
            <w:pPr>
              <w:pStyle w:val="TableParagraph"/>
              <w:spacing w:before="4"/>
              <w:rPr>
                <w:sz w:val="31"/>
              </w:rPr>
            </w:pPr>
          </w:p>
          <w:p w14:paraId="6853E9DF" w14:textId="45CD77DC" w:rsidR="0046798B" w:rsidRDefault="00903B5C">
            <w:pPr>
              <w:pStyle w:val="TableParagraph"/>
              <w:spacing w:before="1"/>
              <w:ind w:left="114"/>
              <w:rPr>
                <w:sz w:val="20"/>
              </w:rPr>
            </w:pPr>
            <w:r>
              <w:rPr>
                <w:sz w:val="20"/>
              </w:rPr>
              <w:t>1942–201</w:t>
            </w:r>
            <w:r w:rsidR="00855B7D">
              <w:rPr>
                <w:sz w:val="20"/>
              </w:rPr>
              <w:t>8</w:t>
            </w:r>
          </w:p>
        </w:tc>
        <w:tc>
          <w:tcPr>
            <w:tcW w:w="3421" w:type="dxa"/>
          </w:tcPr>
          <w:p w14:paraId="76400B4E" w14:textId="77777777" w:rsidR="0046798B" w:rsidRDefault="0046798B">
            <w:pPr>
              <w:pStyle w:val="TableParagraph"/>
            </w:pPr>
          </w:p>
          <w:p w14:paraId="11FE9817" w14:textId="77777777" w:rsidR="0046798B" w:rsidRDefault="0046798B">
            <w:pPr>
              <w:pStyle w:val="TableParagraph"/>
            </w:pPr>
          </w:p>
          <w:p w14:paraId="6F1D5B6E" w14:textId="77777777" w:rsidR="0046798B" w:rsidRDefault="0046798B">
            <w:pPr>
              <w:pStyle w:val="TableParagraph"/>
            </w:pPr>
          </w:p>
          <w:p w14:paraId="54498A30" w14:textId="77777777" w:rsidR="0046798B" w:rsidRDefault="0046798B">
            <w:pPr>
              <w:pStyle w:val="TableParagraph"/>
            </w:pPr>
          </w:p>
          <w:p w14:paraId="24473DC3" w14:textId="77777777" w:rsidR="0046798B" w:rsidRDefault="0046798B">
            <w:pPr>
              <w:pStyle w:val="TableParagraph"/>
            </w:pPr>
          </w:p>
          <w:p w14:paraId="5C193203" w14:textId="77777777" w:rsidR="0046798B" w:rsidRDefault="0046798B">
            <w:pPr>
              <w:pStyle w:val="TableParagraph"/>
            </w:pPr>
          </w:p>
          <w:p w14:paraId="4DA08491" w14:textId="77777777" w:rsidR="0046798B" w:rsidRDefault="00903B5C">
            <w:pPr>
              <w:pStyle w:val="TableParagraph"/>
              <w:spacing w:before="131"/>
              <w:ind w:left="114" w:right="222"/>
              <w:rPr>
                <w:sz w:val="20"/>
              </w:rPr>
            </w:pPr>
            <w:r>
              <w:rPr>
                <w:sz w:val="20"/>
              </w:rPr>
              <w:t>General state revenue. All state government finance data are in 1,000s of current dollars.</w:t>
            </w:r>
          </w:p>
        </w:tc>
        <w:tc>
          <w:tcPr>
            <w:tcW w:w="6482" w:type="dxa"/>
          </w:tcPr>
          <w:p w14:paraId="220A8299" w14:textId="77777777" w:rsidR="0046798B" w:rsidRDefault="00903B5C">
            <w:pPr>
              <w:pStyle w:val="TableParagraph"/>
              <w:spacing w:before="38"/>
              <w:ind w:left="114" w:right="1111"/>
              <w:rPr>
                <w:sz w:val="20"/>
              </w:rPr>
            </w:pPr>
            <w:r>
              <w:rPr>
                <w:sz w:val="20"/>
              </w:rPr>
              <w:t xml:space="preserve">Klarner, Carl, 2013, “State Economic Data”, </w:t>
            </w:r>
            <w:hyperlink r:id="rId191">
              <w:r>
                <w:rPr>
                  <w:sz w:val="20"/>
                  <w:u w:val="single"/>
                </w:rPr>
                <w:t>https://doi.org/10.7910/DVN/KMWN7N</w:t>
              </w:r>
            </w:hyperlink>
            <w:r>
              <w:rPr>
                <w:sz w:val="20"/>
              </w:rPr>
              <w:t>, Harvard Dataverse, V1</w:t>
            </w:r>
          </w:p>
          <w:p w14:paraId="0840EBD8" w14:textId="77777777" w:rsidR="0046798B" w:rsidRDefault="0046798B">
            <w:pPr>
              <w:pStyle w:val="TableParagraph"/>
              <w:rPr>
                <w:sz w:val="20"/>
              </w:rPr>
            </w:pPr>
          </w:p>
          <w:p w14:paraId="3DA48327" w14:textId="77777777" w:rsidR="0046798B" w:rsidRDefault="00903B5C">
            <w:pPr>
              <w:pStyle w:val="TableParagraph"/>
              <w:ind w:left="114"/>
              <w:rPr>
                <w:sz w:val="20"/>
              </w:rPr>
            </w:pPr>
            <w:r>
              <w:rPr>
                <w:sz w:val="20"/>
              </w:rPr>
              <w:t xml:space="preserve">Source: Figures exactly as they appear in the Census database file State_Govt_Finances for 1942 – 2006. For 2007 – 2010: </w:t>
            </w:r>
            <w:hyperlink r:id="rId192">
              <w:r>
                <w:rPr>
                  <w:sz w:val="20"/>
                  <w:u w:val="single"/>
                </w:rPr>
                <w:t>http://www.census.gov/govs/state/</w:t>
              </w:r>
            </w:hyperlink>
          </w:p>
          <w:p w14:paraId="6B484628" w14:textId="77777777" w:rsidR="0046798B" w:rsidRDefault="0046798B">
            <w:pPr>
              <w:pStyle w:val="TableParagraph"/>
              <w:rPr>
                <w:sz w:val="20"/>
              </w:rPr>
            </w:pPr>
          </w:p>
          <w:p w14:paraId="4EB86850" w14:textId="77777777" w:rsidR="0046798B" w:rsidRDefault="00903B5C">
            <w:pPr>
              <w:pStyle w:val="TableParagraph"/>
              <w:spacing w:before="1"/>
              <w:ind w:left="114" w:right="132"/>
              <w:rPr>
                <w:sz w:val="20"/>
              </w:rPr>
            </w:pPr>
            <w:r>
              <w:rPr>
                <w:sz w:val="20"/>
              </w:rPr>
              <w:t>Note for data put into quarters 1, 2, 3 and 4: although these data were put into quarters, they were not divided by 4. There are always four cases that have the same exact numbers. These sets of four are within the same state fiscal year. Note for data put into quarter 2.5: data for the fiscal year that matches the year of the case is put into 2.5. For example, Indiana’s FY1986 (which goes from July 1st 1985, to June 30th, 1986) is put into 1986q2.5.</w:t>
            </w:r>
          </w:p>
          <w:p w14:paraId="1386A19A" w14:textId="77777777" w:rsidR="0046798B" w:rsidRDefault="0046798B">
            <w:pPr>
              <w:pStyle w:val="TableParagraph"/>
              <w:rPr>
                <w:sz w:val="20"/>
              </w:rPr>
            </w:pPr>
          </w:p>
          <w:p w14:paraId="2EF250EF" w14:textId="77777777" w:rsidR="0046798B" w:rsidRDefault="00903B5C">
            <w:pPr>
              <w:pStyle w:val="TableParagraph"/>
              <w:spacing w:before="1"/>
              <w:ind w:left="114"/>
              <w:rPr>
                <w:sz w:val="20"/>
              </w:rPr>
            </w:pPr>
            <w:r>
              <w:rPr>
                <w:sz w:val="20"/>
              </w:rPr>
              <w:t xml:space="preserve">United States Census Bureau: </w:t>
            </w:r>
            <w:hyperlink r:id="rId193">
              <w:r>
                <w:rPr>
                  <w:color w:val="0462C1"/>
                  <w:sz w:val="20"/>
                  <w:u w:val="single" w:color="0462C1"/>
                </w:rPr>
                <w:t>https://factfinder.census.gov/faces/nav/jsf/pages/programs.xhtml?program=as</w:t>
              </w:r>
            </w:hyperlink>
            <w:r>
              <w:rPr>
                <w:color w:val="0462C1"/>
                <w:sz w:val="20"/>
              </w:rPr>
              <w:t xml:space="preserve"> </w:t>
            </w:r>
            <w:hyperlink r:id="rId194">
              <w:r>
                <w:rPr>
                  <w:color w:val="0462C1"/>
                  <w:sz w:val="20"/>
                  <w:u w:val="single" w:color="0462C1"/>
                </w:rPr>
                <w:t>gov</w:t>
              </w:r>
            </w:hyperlink>
          </w:p>
        </w:tc>
      </w:tr>
      <w:tr w:rsidR="0046798B" w14:paraId="11D72817" w14:textId="77777777">
        <w:trPr>
          <w:trHeight w:val="1695"/>
        </w:trPr>
        <w:tc>
          <w:tcPr>
            <w:tcW w:w="1711" w:type="dxa"/>
          </w:tcPr>
          <w:p w14:paraId="2713156A" w14:textId="77777777" w:rsidR="0046798B" w:rsidRDefault="0046798B">
            <w:pPr>
              <w:pStyle w:val="TableParagraph"/>
            </w:pPr>
          </w:p>
          <w:p w14:paraId="22294393" w14:textId="77777777" w:rsidR="0046798B" w:rsidRDefault="0046798B">
            <w:pPr>
              <w:pStyle w:val="TableParagraph"/>
              <w:spacing w:before="4"/>
              <w:rPr>
                <w:sz w:val="31"/>
              </w:rPr>
            </w:pPr>
          </w:p>
          <w:p w14:paraId="24121D7E" w14:textId="77777777" w:rsidR="0046798B" w:rsidRDefault="00903B5C">
            <w:pPr>
              <w:pStyle w:val="TableParagraph"/>
              <w:ind w:left="115"/>
              <w:rPr>
                <w:b/>
                <w:sz w:val="20"/>
              </w:rPr>
            </w:pPr>
            <w:r>
              <w:rPr>
                <w:b/>
                <w:sz w:val="20"/>
              </w:rPr>
              <w:t>general_revenue</w:t>
            </w:r>
          </w:p>
          <w:p w14:paraId="6602425D" w14:textId="77777777" w:rsidR="0046798B" w:rsidRDefault="00903B5C">
            <w:pPr>
              <w:pStyle w:val="TableParagraph"/>
              <w:ind w:left="115"/>
              <w:rPr>
                <w:b/>
                <w:sz w:val="20"/>
              </w:rPr>
            </w:pPr>
            <w:r>
              <w:rPr>
                <w:b/>
                <w:sz w:val="20"/>
              </w:rPr>
              <w:t>_gsp</w:t>
            </w:r>
          </w:p>
        </w:tc>
        <w:tc>
          <w:tcPr>
            <w:tcW w:w="1596" w:type="dxa"/>
          </w:tcPr>
          <w:p w14:paraId="7FB8D095" w14:textId="77777777" w:rsidR="0046798B" w:rsidRDefault="0046798B">
            <w:pPr>
              <w:pStyle w:val="TableParagraph"/>
            </w:pPr>
          </w:p>
          <w:p w14:paraId="7026EC6C" w14:textId="77777777" w:rsidR="0046798B" w:rsidRDefault="0046798B">
            <w:pPr>
              <w:pStyle w:val="TableParagraph"/>
              <w:spacing w:before="4"/>
              <w:rPr>
                <w:sz w:val="31"/>
              </w:rPr>
            </w:pPr>
          </w:p>
          <w:p w14:paraId="2048D4A9" w14:textId="77777777" w:rsidR="0046798B" w:rsidRDefault="00903B5C">
            <w:pPr>
              <w:pStyle w:val="TableParagraph"/>
              <w:ind w:left="114" w:right="136"/>
              <w:rPr>
                <w:sz w:val="20"/>
              </w:rPr>
            </w:pPr>
            <w:r>
              <w:rPr>
                <w:sz w:val="20"/>
              </w:rPr>
              <w:t>General revenue as pct. of GSP</w:t>
            </w:r>
          </w:p>
        </w:tc>
        <w:tc>
          <w:tcPr>
            <w:tcW w:w="1285" w:type="dxa"/>
          </w:tcPr>
          <w:p w14:paraId="251320C0" w14:textId="77777777" w:rsidR="0046798B" w:rsidRDefault="0046798B">
            <w:pPr>
              <w:pStyle w:val="TableParagraph"/>
            </w:pPr>
          </w:p>
          <w:p w14:paraId="69DC38EB" w14:textId="77777777" w:rsidR="0046798B" w:rsidRDefault="0046798B">
            <w:pPr>
              <w:pStyle w:val="TableParagraph"/>
            </w:pPr>
          </w:p>
          <w:p w14:paraId="4080810A" w14:textId="77777777" w:rsidR="0046798B" w:rsidRDefault="0046798B">
            <w:pPr>
              <w:pStyle w:val="TableParagraph"/>
              <w:spacing w:before="4"/>
              <w:rPr>
                <w:sz w:val="19"/>
              </w:rPr>
            </w:pPr>
          </w:p>
          <w:p w14:paraId="1CE3252A" w14:textId="77777777" w:rsidR="0046798B" w:rsidRDefault="00903B5C">
            <w:pPr>
              <w:pStyle w:val="TableParagraph"/>
              <w:ind w:left="114"/>
              <w:rPr>
                <w:sz w:val="20"/>
              </w:rPr>
            </w:pPr>
            <w:r>
              <w:rPr>
                <w:sz w:val="20"/>
              </w:rPr>
              <w:t>1942–2016</w:t>
            </w:r>
          </w:p>
        </w:tc>
        <w:tc>
          <w:tcPr>
            <w:tcW w:w="3421" w:type="dxa"/>
          </w:tcPr>
          <w:p w14:paraId="51158F81" w14:textId="77777777" w:rsidR="0046798B" w:rsidRDefault="0046798B">
            <w:pPr>
              <w:pStyle w:val="TableParagraph"/>
            </w:pPr>
          </w:p>
          <w:p w14:paraId="432F1A22" w14:textId="77777777" w:rsidR="0046798B" w:rsidRDefault="0046798B">
            <w:pPr>
              <w:pStyle w:val="TableParagraph"/>
              <w:spacing w:before="4"/>
              <w:rPr>
                <w:sz w:val="31"/>
              </w:rPr>
            </w:pPr>
          </w:p>
          <w:p w14:paraId="010A7521" w14:textId="77777777" w:rsidR="0046798B" w:rsidRDefault="00903B5C">
            <w:pPr>
              <w:pStyle w:val="TableParagraph"/>
              <w:ind w:left="114" w:right="417"/>
              <w:rPr>
                <w:sz w:val="20"/>
              </w:rPr>
            </w:pPr>
            <w:r>
              <w:rPr>
                <w:sz w:val="20"/>
              </w:rPr>
              <w:t>General revenue as percent of gross state product</w:t>
            </w:r>
          </w:p>
        </w:tc>
        <w:tc>
          <w:tcPr>
            <w:tcW w:w="6482" w:type="dxa"/>
          </w:tcPr>
          <w:p w14:paraId="093C2040" w14:textId="77777777" w:rsidR="0046798B" w:rsidRDefault="00903B5C">
            <w:pPr>
              <w:pStyle w:val="TableParagraph"/>
              <w:spacing w:before="38"/>
              <w:ind w:left="114" w:right="1111"/>
              <w:rPr>
                <w:sz w:val="20"/>
              </w:rPr>
            </w:pPr>
            <w:r>
              <w:rPr>
                <w:sz w:val="20"/>
              </w:rPr>
              <w:t xml:space="preserve">Klarner, Carl, 2013, “State Economic Data”, </w:t>
            </w:r>
            <w:hyperlink r:id="rId195">
              <w:r>
                <w:rPr>
                  <w:sz w:val="20"/>
                  <w:u w:val="single"/>
                </w:rPr>
                <w:t>https://doi.org/10.7910/DVN/KMWN7N</w:t>
              </w:r>
            </w:hyperlink>
            <w:r>
              <w:rPr>
                <w:sz w:val="20"/>
              </w:rPr>
              <w:t>, Harvard Dataverse, V1</w:t>
            </w:r>
          </w:p>
          <w:p w14:paraId="62ADDFA3" w14:textId="77777777" w:rsidR="0046798B" w:rsidRDefault="0046798B">
            <w:pPr>
              <w:pStyle w:val="TableParagraph"/>
              <w:rPr>
                <w:sz w:val="20"/>
              </w:rPr>
            </w:pPr>
          </w:p>
          <w:p w14:paraId="436951E2" w14:textId="77777777" w:rsidR="0046798B" w:rsidRDefault="00903B5C">
            <w:pPr>
              <w:pStyle w:val="TableParagraph"/>
              <w:ind w:left="114"/>
              <w:rPr>
                <w:sz w:val="20"/>
              </w:rPr>
            </w:pPr>
            <w:r>
              <w:rPr>
                <w:sz w:val="20"/>
              </w:rPr>
              <w:t>STATA CODE:</w:t>
            </w:r>
          </w:p>
          <w:p w14:paraId="3A772F35" w14:textId="77777777" w:rsidR="0046798B" w:rsidRDefault="00903B5C">
            <w:pPr>
              <w:pStyle w:val="TableParagraph"/>
              <w:ind w:left="114"/>
              <w:rPr>
                <w:sz w:val="20"/>
              </w:rPr>
            </w:pPr>
            <w:r>
              <w:rPr>
                <w:sz w:val="20"/>
              </w:rPr>
              <w:t>gen general_revenue_gsp= (general_revenue/(gsp_q*1000))*100</w:t>
            </w:r>
          </w:p>
          <w:p w14:paraId="095AD182" w14:textId="77777777" w:rsidR="0046798B" w:rsidRDefault="0046798B">
            <w:pPr>
              <w:pStyle w:val="TableParagraph"/>
              <w:rPr>
                <w:sz w:val="20"/>
              </w:rPr>
            </w:pPr>
          </w:p>
          <w:p w14:paraId="7C24261D" w14:textId="77777777" w:rsidR="0046798B" w:rsidRDefault="00903B5C">
            <w:pPr>
              <w:pStyle w:val="TableParagraph"/>
              <w:ind w:left="114"/>
              <w:rPr>
                <w:sz w:val="20"/>
              </w:rPr>
            </w:pPr>
            <w:r>
              <w:rPr>
                <w:sz w:val="20"/>
              </w:rPr>
              <w:t>Coded years 2012-2016 using the above code</w:t>
            </w:r>
          </w:p>
        </w:tc>
      </w:tr>
    </w:tbl>
    <w:p w14:paraId="0629B015" w14:textId="77777777" w:rsidR="0046798B" w:rsidRDefault="0046798B">
      <w:pPr>
        <w:rPr>
          <w:sz w:val="20"/>
        </w:rPr>
        <w:sectPr w:rsidR="0046798B">
          <w:pgSz w:w="15840" w:h="12240" w:orient="landscape"/>
          <w:pgMar w:top="1220" w:right="300" w:bottom="980" w:left="820" w:header="730" w:footer="787" w:gutter="0"/>
          <w:cols w:space="720"/>
        </w:sectPr>
      </w:pPr>
    </w:p>
    <w:p w14:paraId="0854D22D"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2B90A9FE" w14:textId="77777777">
        <w:trPr>
          <w:trHeight w:val="1235"/>
        </w:trPr>
        <w:tc>
          <w:tcPr>
            <w:tcW w:w="1711" w:type="dxa"/>
          </w:tcPr>
          <w:p w14:paraId="390FB2D5" w14:textId="77777777" w:rsidR="0046798B" w:rsidRDefault="0046798B">
            <w:pPr>
              <w:pStyle w:val="TableParagraph"/>
            </w:pPr>
          </w:p>
          <w:p w14:paraId="2A4C6ED8" w14:textId="77777777" w:rsidR="0046798B" w:rsidRDefault="00903B5C">
            <w:pPr>
              <w:pStyle w:val="TableParagraph"/>
              <w:spacing w:before="135"/>
              <w:ind w:left="115"/>
              <w:rPr>
                <w:b/>
                <w:sz w:val="20"/>
              </w:rPr>
            </w:pPr>
            <w:r>
              <w:rPr>
                <w:b/>
                <w:sz w:val="20"/>
              </w:rPr>
              <w:t>general_revenue</w:t>
            </w:r>
          </w:p>
          <w:p w14:paraId="514529A9" w14:textId="77777777" w:rsidR="0046798B" w:rsidRDefault="00903B5C">
            <w:pPr>
              <w:pStyle w:val="TableParagraph"/>
              <w:ind w:left="115"/>
              <w:rPr>
                <w:b/>
                <w:sz w:val="20"/>
              </w:rPr>
            </w:pPr>
            <w:r>
              <w:rPr>
                <w:b/>
                <w:sz w:val="20"/>
              </w:rPr>
              <w:t>_inc</w:t>
            </w:r>
          </w:p>
        </w:tc>
        <w:tc>
          <w:tcPr>
            <w:tcW w:w="1596" w:type="dxa"/>
          </w:tcPr>
          <w:p w14:paraId="655C2663" w14:textId="77777777" w:rsidR="0046798B" w:rsidRDefault="0046798B">
            <w:pPr>
              <w:pStyle w:val="TableParagraph"/>
              <w:spacing w:before="9"/>
              <w:rPr>
                <w:sz w:val="23"/>
              </w:rPr>
            </w:pPr>
          </w:p>
          <w:p w14:paraId="1B3996AF" w14:textId="77777777" w:rsidR="0046798B" w:rsidRDefault="00903B5C">
            <w:pPr>
              <w:pStyle w:val="TableParagraph"/>
              <w:ind w:left="114" w:right="135"/>
              <w:rPr>
                <w:sz w:val="20"/>
              </w:rPr>
            </w:pPr>
            <w:r>
              <w:rPr>
                <w:sz w:val="20"/>
              </w:rPr>
              <w:t>General revenue as pct. of personal income</w:t>
            </w:r>
          </w:p>
        </w:tc>
        <w:tc>
          <w:tcPr>
            <w:tcW w:w="1285" w:type="dxa"/>
          </w:tcPr>
          <w:p w14:paraId="0B566E93" w14:textId="77777777" w:rsidR="0046798B" w:rsidRDefault="0046798B">
            <w:pPr>
              <w:pStyle w:val="TableParagraph"/>
            </w:pPr>
          </w:p>
          <w:p w14:paraId="0DDCBD52" w14:textId="77777777" w:rsidR="0046798B" w:rsidRDefault="0046798B">
            <w:pPr>
              <w:pStyle w:val="TableParagraph"/>
              <w:spacing w:before="9"/>
              <w:rPr>
                <w:sz w:val="21"/>
              </w:rPr>
            </w:pPr>
          </w:p>
          <w:p w14:paraId="6857A3F1" w14:textId="77777777" w:rsidR="0046798B" w:rsidRDefault="00903B5C">
            <w:pPr>
              <w:pStyle w:val="TableParagraph"/>
              <w:ind w:left="114"/>
              <w:rPr>
                <w:sz w:val="20"/>
              </w:rPr>
            </w:pPr>
            <w:r>
              <w:rPr>
                <w:sz w:val="20"/>
              </w:rPr>
              <w:t>1941–2009</w:t>
            </w:r>
          </w:p>
        </w:tc>
        <w:tc>
          <w:tcPr>
            <w:tcW w:w="3421" w:type="dxa"/>
          </w:tcPr>
          <w:p w14:paraId="05393463" w14:textId="77777777" w:rsidR="0046798B" w:rsidRDefault="0046798B">
            <w:pPr>
              <w:pStyle w:val="TableParagraph"/>
            </w:pPr>
          </w:p>
          <w:p w14:paraId="7E9B79A7" w14:textId="77777777" w:rsidR="0046798B" w:rsidRDefault="00903B5C">
            <w:pPr>
              <w:pStyle w:val="TableParagraph"/>
              <w:spacing w:before="135"/>
              <w:ind w:left="114" w:right="161"/>
              <w:rPr>
                <w:sz w:val="20"/>
              </w:rPr>
            </w:pPr>
            <w:r>
              <w:rPr>
                <w:sz w:val="20"/>
              </w:rPr>
              <w:t>General revenue as percent of personal income.</w:t>
            </w:r>
          </w:p>
        </w:tc>
        <w:tc>
          <w:tcPr>
            <w:tcW w:w="6482" w:type="dxa"/>
          </w:tcPr>
          <w:p w14:paraId="2D96E4A5" w14:textId="77777777" w:rsidR="0046798B" w:rsidRDefault="00903B5C">
            <w:pPr>
              <w:pStyle w:val="TableParagraph"/>
              <w:spacing w:before="43"/>
              <w:ind w:left="114" w:right="1111"/>
              <w:rPr>
                <w:sz w:val="20"/>
              </w:rPr>
            </w:pPr>
            <w:r>
              <w:rPr>
                <w:sz w:val="20"/>
              </w:rPr>
              <w:t xml:space="preserve">Klarner, Carl, 2013, “State Economic Data”, </w:t>
            </w:r>
            <w:hyperlink r:id="rId196">
              <w:r>
                <w:rPr>
                  <w:sz w:val="20"/>
                  <w:u w:val="single"/>
                </w:rPr>
                <w:t>https://doi.org/10.7910/DVN/KMWN7N</w:t>
              </w:r>
            </w:hyperlink>
            <w:r>
              <w:rPr>
                <w:sz w:val="20"/>
              </w:rPr>
              <w:t>, Harvard Dataverse, V1</w:t>
            </w:r>
          </w:p>
          <w:p w14:paraId="10CE53DA" w14:textId="77777777" w:rsidR="0046798B" w:rsidRDefault="0046798B">
            <w:pPr>
              <w:pStyle w:val="TableParagraph"/>
              <w:rPr>
                <w:sz w:val="20"/>
              </w:rPr>
            </w:pPr>
          </w:p>
          <w:p w14:paraId="567397BA" w14:textId="77777777" w:rsidR="0046798B" w:rsidRDefault="00903B5C">
            <w:pPr>
              <w:pStyle w:val="TableParagraph"/>
              <w:ind w:left="114" w:right="2383"/>
              <w:rPr>
                <w:sz w:val="20"/>
              </w:rPr>
            </w:pPr>
            <w:r>
              <w:rPr>
                <w:sz w:val="20"/>
              </w:rPr>
              <w:t>STATA CODE: gen general_revenue_inc= (general_revenue/personal_income1000s_b)*100</w:t>
            </w:r>
          </w:p>
        </w:tc>
      </w:tr>
      <w:tr w:rsidR="0046798B" w14:paraId="23865C49" w14:textId="77777777">
        <w:trPr>
          <w:trHeight w:val="3306"/>
        </w:trPr>
        <w:tc>
          <w:tcPr>
            <w:tcW w:w="1711" w:type="dxa"/>
          </w:tcPr>
          <w:p w14:paraId="67D62C92" w14:textId="77777777" w:rsidR="0046798B" w:rsidRDefault="0046798B">
            <w:pPr>
              <w:pStyle w:val="TableParagraph"/>
            </w:pPr>
          </w:p>
          <w:p w14:paraId="1E78B8D4" w14:textId="77777777" w:rsidR="0046798B" w:rsidRDefault="0046798B">
            <w:pPr>
              <w:pStyle w:val="TableParagraph"/>
            </w:pPr>
          </w:p>
          <w:p w14:paraId="1857640D" w14:textId="77777777" w:rsidR="0046798B" w:rsidRDefault="0046798B">
            <w:pPr>
              <w:pStyle w:val="TableParagraph"/>
            </w:pPr>
          </w:p>
          <w:p w14:paraId="6BA601B0" w14:textId="77777777" w:rsidR="0046798B" w:rsidRDefault="0046798B">
            <w:pPr>
              <w:pStyle w:val="TableParagraph"/>
            </w:pPr>
          </w:p>
          <w:p w14:paraId="5A9BBB44" w14:textId="77777777" w:rsidR="0046798B" w:rsidRDefault="0046798B">
            <w:pPr>
              <w:pStyle w:val="TableParagraph"/>
            </w:pPr>
          </w:p>
          <w:p w14:paraId="236C0323" w14:textId="77777777" w:rsidR="0046798B" w:rsidRDefault="0046798B">
            <w:pPr>
              <w:pStyle w:val="TableParagraph"/>
              <w:spacing w:before="9"/>
              <w:rPr>
                <w:sz w:val="23"/>
              </w:rPr>
            </w:pPr>
          </w:p>
          <w:p w14:paraId="01C10A9E" w14:textId="77777777" w:rsidR="0046798B" w:rsidRDefault="00903B5C">
            <w:pPr>
              <w:pStyle w:val="TableParagraph"/>
              <w:spacing w:before="1"/>
              <w:ind w:left="115"/>
              <w:rPr>
                <w:b/>
                <w:sz w:val="20"/>
              </w:rPr>
            </w:pPr>
            <w:r>
              <w:rPr>
                <w:b/>
                <w:sz w:val="20"/>
              </w:rPr>
              <w:t>gov_fin_fy</w:t>
            </w:r>
          </w:p>
        </w:tc>
        <w:tc>
          <w:tcPr>
            <w:tcW w:w="1596" w:type="dxa"/>
          </w:tcPr>
          <w:p w14:paraId="65C10C03" w14:textId="77777777" w:rsidR="0046798B" w:rsidRDefault="0046798B">
            <w:pPr>
              <w:pStyle w:val="TableParagraph"/>
            </w:pPr>
          </w:p>
          <w:p w14:paraId="39F6CD46" w14:textId="77777777" w:rsidR="0046798B" w:rsidRDefault="0046798B">
            <w:pPr>
              <w:pStyle w:val="TableParagraph"/>
            </w:pPr>
          </w:p>
          <w:p w14:paraId="4C2DBC6A" w14:textId="77777777" w:rsidR="0046798B" w:rsidRDefault="0046798B">
            <w:pPr>
              <w:pStyle w:val="TableParagraph"/>
            </w:pPr>
          </w:p>
          <w:p w14:paraId="11A1FB03" w14:textId="77777777" w:rsidR="0046798B" w:rsidRDefault="0046798B">
            <w:pPr>
              <w:pStyle w:val="TableParagraph"/>
            </w:pPr>
          </w:p>
          <w:p w14:paraId="0E276707" w14:textId="77777777" w:rsidR="0046798B" w:rsidRDefault="0046798B">
            <w:pPr>
              <w:pStyle w:val="TableParagraph"/>
            </w:pPr>
          </w:p>
          <w:p w14:paraId="18A82F38" w14:textId="77777777" w:rsidR="0046798B" w:rsidRDefault="00903B5C">
            <w:pPr>
              <w:pStyle w:val="TableParagraph"/>
              <w:spacing w:before="159"/>
              <w:ind w:left="114" w:right="363"/>
              <w:rPr>
                <w:sz w:val="20"/>
              </w:rPr>
            </w:pPr>
            <w:r>
              <w:rPr>
                <w:sz w:val="20"/>
              </w:rPr>
              <w:t>Fiscal year of quarter</w:t>
            </w:r>
          </w:p>
        </w:tc>
        <w:tc>
          <w:tcPr>
            <w:tcW w:w="1285" w:type="dxa"/>
          </w:tcPr>
          <w:p w14:paraId="07282940" w14:textId="77777777" w:rsidR="0046798B" w:rsidRDefault="0046798B">
            <w:pPr>
              <w:pStyle w:val="TableParagraph"/>
            </w:pPr>
          </w:p>
          <w:p w14:paraId="2AC32EAE" w14:textId="77777777" w:rsidR="0046798B" w:rsidRDefault="0046798B">
            <w:pPr>
              <w:pStyle w:val="TableParagraph"/>
            </w:pPr>
          </w:p>
          <w:p w14:paraId="1CE2860E" w14:textId="77777777" w:rsidR="0046798B" w:rsidRDefault="0046798B">
            <w:pPr>
              <w:pStyle w:val="TableParagraph"/>
            </w:pPr>
          </w:p>
          <w:p w14:paraId="393D8D72" w14:textId="77777777" w:rsidR="0046798B" w:rsidRDefault="0046798B">
            <w:pPr>
              <w:pStyle w:val="TableParagraph"/>
            </w:pPr>
          </w:p>
          <w:p w14:paraId="09681766" w14:textId="77777777" w:rsidR="0046798B" w:rsidRDefault="0046798B">
            <w:pPr>
              <w:pStyle w:val="TableParagraph"/>
            </w:pPr>
          </w:p>
          <w:p w14:paraId="79565461" w14:textId="77777777" w:rsidR="0046798B" w:rsidRDefault="0046798B">
            <w:pPr>
              <w:pStyle w:val="TableParagraph"/>
              <w:spacing w:before="9"/>
              <w:rPr>
                <w:sz w:val="23"/>
              </w:rPr>
            </w:pPr>
          </w:p>
          <w:p w14:paraId="7FF01382" w14:textId="77777777" w:rsidR="0046798B" w:rsidRDefault="00903B5C">
            <w:pPr>
              <w:pStyle w:val="TableParagraph"/>
              <w:spacing w:before="1"/>
              <w:ind w:left="114"/>
              <w:rPr>
                <w:sz w:val="20"/>
              </w:rPr>
            </w:pPr>
            <w:r>
              <w:rPr>
                <w:sz w:val="20"/>
              </w:rPr>
              <w:t>1942–2010</w:t>
            </w:r>
          </w:p>
        </w:tc>
        <w:tc>
          <w:tcPr>
            <w:tcW w:w="3421" w:type="dxa"/>
          </w:tcPr>
          <w:p w14:paraId="38294F3F" w14:textId="77777777" w:rsidR="0046798B" w:rsidRDefault="00903B5C">
            <w:pPr>
              <w:pStyle w:val="TableParagraph"/>
              <w:spacing w:before="43"/>
              <w:ind w:left="114" w:right="144"/>
              <w:rPr>
                <w:sz w:val="20"/>
              </w:rPr>
            </w:pPr>
            <w:r>
              <w:rPr>
                <w:sz w:val="20"/>
              </w:rPr>
              <w:t>Fiscal year that the quarter in question belongs to (when is_a_quarter=1) or simply the fiscal year in question when quar=2.5. Only observed when the six state government finances variables below are observed when is_a_quarter=1, but is always observed within the available time period when quar=2.5. Most states are available annually starting in 1950, and biennially for 1942, 1944, 1946, and 1948. See the variable state_gov_finance_exists for quarters and years of coverage for each state.</w:t>
            </w:r>
          </w:p>
        </w:tc>
        <w:tc>
          <w:tcPr>
            <w:tcW w:w="6482" w:type="dxa"/>
          </w:tcPr>
          <w:p w14:paraId="23D208D1" w14:textId="77777777" w:rsidR="0046798B" w:rsidRDefault="0046798B">
            <w:pPr>
              <w:pStyle w:val="TableParagraph"/>
            </w:pPr>
          </w:p>
          <w:p w14:paraId="4BA9071A" w14:textId="77777777" w:rsidR="0046798B" w:rsidRDefault="0046798B">
            <w:pPr>
              <w:pStyle w:val="TableParagraph"/>
            </w:pPr>
          </w:p>
          <w:p w14:paraId="2E824DBC" w14:textId="77777777" w:rsidR="0046798B" w:rsidRDefault="0046798B">
            <w:pPr>
              <w:pStyle w:val="TableParagraph"/>
            </w:pPr>
          </w:p>
          <w:p w14:paraId="57ECDE3E" w14:textId="77777777" w:rsidR="0046798B" w:rsidRDefault="0046798B">
            <w:pPr>
              <w:pStyle w:val="TableParagraph"/>
            </w:pPr>
          </w:p>
          <w:p w14:paraId="3516CC29" w14:textId="77777777" w:rsidR="0046798B" w:rsidRDefault="00903B5C">
            <w:pPr>
              <w:pStyle w:val="TableParagraph"/>
              <w:spacing w:before="157"/>
              <w:ind w:left="114" w:right="1111"/>
              <w:rPr>
                <w:sz w:val="20"/>
              </w:rPr>
            </w:pPr>
            <w:r>
              <w:rPr>
                <w:sz w:val="20"/>
              </w:rPr>
              <w:t xml:space="preserve">Klarner, Carl, 2013, “State Economic Data”, </w:t>
            </w:r>
            <w:hyperlink r:id="rId197">
              <w:r>
                <w:rPr>
                  <w:sz w:val="20"/>
                  <w:u w:val="single"/>
                </w:rPr>
                <w:t>https://doi.org/10.7910/DVN/KMWN7N</w:t>
              </w:r>
            </w:hyperlink>
            <w:r>
              <w:rPr>
                <w:sz w:val="20"/>
              </w:rPr>
              <w:t>, Harvard Dataverse, V1</w:t>
            </w:r>
          </w:p>
          <w:p w14:paraId="46A3205A" w14:textId="77777777" w:rsidR="0046798B" w:rsidRDefault="0046798B">
            <w:pPr>
              <w:pStyle w:val="TableParagraph"/>
              <w:spacing w:before="5"/>
              <w:rPr>
                <w:sz w:val="23"/>
              </w:rPr>
            </w:pPr>
          </w:p>
          <w:p w14:paraId="7B1D0644" w14:textId="77777777" w:rsidR="0046798B" w:rsidRDefault="00903B5C">
            <w:pPr>
              <w:pStyle w:val="TableParagraph"/>
              <w:spacing w:before="1"/>
              <w:ind w:left="114"/>
              <w:rPr>
                <w:sz w:val="16"/>
              </w:rPr>
            </w:pPr>
            <w:r>
              <w:rPr>
                <w:sz w:val="20"/>
              </w:rPr>
              <w:t xml:space="preserve">Notes: </w:t>
            </w:r>
            <w:r>
              <w:rPr>
                <w:sz w:val="16"/>
              </w:rPr>
              <w:t>ii</w:t>
            </w:r>
          </w:p>
        </w:tc>
      </w:tr>
      <w:tr w:rsidR="0046798B" w14:paraId="66B09EB2" w14:textId="77777777">
        <w:trPr>
          <w:trHeight w:val="1010"/>
        </w:trPr>
        <w:tc>
          <w:tcPr>
            <w:tcW w:w="1711" w:type="dxa"/>
          </w:tcPr>
          <w:p w14:paraId="748F207A" w14:textId="77777777" w:rsidR="0046798B" w:rsidRDefault="0046798B">
            <w:pPr>
              <w:pStyle w:val="TableParagraph"/>
            </w:pPr>
          </w:p>
          <w:p w14:paraId="31DDDEDC" w14:textId="77777777" w:rsidR="0046798B" w:rsidRDefault="00903B5C">
            <w:pPr>
              <w:pStyle w:val="TableParagraph"/>
              <w:spacing w:before="135"/>
              <w:ind w:left="115"/>
              <w:rPr>
                <w:b/>
                <w:sz w:val="20"/>
              </w:rPr>
            </w:pPr>
            <w:r>
              <w:rPr>
                <w:b/>
                <w:sz w:val="20"/>
              </w:rPr>
              <w:t>gsp_naics_ann</w:t>
            </w:r>
          </w:p>
        </w:tc>
        <w:tc>
          <w:tcPr>
            <w:tcW w:w="1596" w:type="dxa"/>
          </w:tcPr>
          <w:p w14:paraId="27BB5F30" w14:textId="77777777" w:rsidR="0046798B" w:rsidRDefault="00903B5C">
            <w:pPr>
              <w:pStyle w:val="TableParagraph"/>
              <w:spacing w:before="158"/>
              <w:ind w:left="114" w:right="585"/>
              <w:jc w:val="both"/>
              <w:rPr>
                <w:sz w:val="20"/>
              </w:rPr>
            </w:pPr>
            <w:r>
              <w:rPr>
                <w:sz w:val="20"/>
              </w:rPr>
              <w:t>Gross state product by NAICS</w:t>
            </w:r>
          </w:p>
        </w:tc>
        <w:tc>
          <w:tcPr>
            <w:tcW w:w="1285" w:type="dxa"/>
          </w:tcPr>
          <w:p w14:paraId="5A3F6FEE" w14:textId="77777777" w:rsidR="0046798B" w:rsidRDefault="0046798B">
            <w:pPr>
              <w:pStyle w:val="TableParagraph"/>
            </w:pPr>
          </w:p>
          <w:p w14:paraId="4EB5DFD7" w14:textId="77777777" w:rsidR="0046798B" w:rsidRDefault="00903B5C">
            <w:pPr>
              <w:pStyle w:val="TableParagraph"/>
              <w:spacing w:before="135"/>
              <w:ind w:left="114"/>
              <w:rPr>
                <w:sz w:val="20"/>
              </w:rPr>
            </w:pPr>
            <w:r>
              <w:rPr>
                <w:sz w:val="20"/>
              </w:rPr>
              <w:t>1997–2010</w:t>
            </w:r>
          </w:p>
        </w:tc>
        <w:tc>
          <w:tcPr>
            <w:tcW w:w="3421" w:type="dxa"/>
          </w:tcPr>
          <w:p w14:paraId="325927E7" w14:textId="77777777" w:rsidR="0046798B" w:rsidRDefault="00903B5C">
            <w:pPr>
              <w:pStyle w:val="TableParagraph"/>
              <w:spacing w:before="158"/>
              <w:ind w:left="114" w:right="210"/>
              <w:rPr>
                <w:sz w:val="20"/>
              </w:rPr>
            </w:pPr>
            <w:r>
              <w:rPr>
                <w:sz w:val="20"/>
              </w:rPr>
              <w:t>Gross state product, NAICS system of classification (millions of current dollars). quar=2.5 only</w:t>
            </w:r>
          </w:p>
        </w:tc>
        <w:tc>
          <w:tcPr>
            <w:tcW w:w="6482" w:type="dxa"/>
          </w:tcPr>
          <w:p w14:paraId="215C98DE" w14:textId="77777777" w:rsidR="0046798B" w:rsidRDefault="00903B5C">
            <w:pPr>
              <w:pStyle w:val="TableParagraph"/>
              <w:spacing w:before="43"/>
              <w:ind w:left="114" w:right="1111"/>
              <w:rPr>
                <w:sz w:val="20"/>
              </w:rPr>
            </w:pPr>
            <w:r>
              <w:rPr>
                <w:sz w:val="20"/>
              </w:rPr>
              <w:t xml:space="preserve">Klarner, Carl, 2013, “State Economic Data”, </w:t>
            </w:r>
            <w:hyperlink r:id="rId198">
              <w:r>
                <w:rPr>
                  <w:sz w:val="20"/>
                  <w:u w:val="single"/>
                </w:rPr>
                <w:t>https://doi.org/10.7910/DVN/KMWN7N</w:t>
              </w:r>
            </w:hyperlink>
            <w:r>
              <w:rPr>
                <w:sz w:val="20"/>
              </w:rPr>
              <w:t>, Harvard Dataverse, V1</w:t>
            </w:r>
          </w:p>
          <w:p w14:paraId="78614F37" w14:textId="77777777" w:rsidR="0046798B" w:rsidRDefault="0046798B">
            <w:pPr>
              <w:pStyle w:val="TableParagraph"/>
              <w:rPr>
                <w:sz w:val="20"/>
              </w:rPr>
            </w:pPr>
          </w:p>
          <w:p w14:paraId="4828F7A0" w14:textId="77777777" w:rsidR="0046798B" w:rsidRDefault="00903B5C">
            <w:pPr>
              <w:pStyle w:val="TableParagraph"/>
              <w:spacing w:before="1"/>
              <w:ind w:left="114"/>
              <w:rPr>
                <w:sz w:val="20"/>
              </w:rPr>
            </w:pPr>
            <w:r>
              <w:rPr>
                <w:sz w:val="20"/>
              </w:rPr>
              <w:t xml:space="preserve">Source: </w:t>
            </w:r>
            <w:hyperlink r:id="rId199">
              <w:r>
                <w:rPr>
                  <w:sz w:val="20"/>
                  <w:u w:val="single"/>
                </w:rPr>
                <w:t>http://www.bea.gov/regional/gsp/</w:t>
              </w:r>
            </w:hyperlink>
          </w:p>
        </w:tc>
      </w:tr>
      <w:tr w:rsidR="0046798B" w14:paraId="682B96C0" w14:textId="77777777">
        <w:trPr>
          <w:trHeight w:val="1005"/>
        </w:trPr>
        <w:tc>
          <w:tcPr>
            <w:tcW w:w="1711" w:type="dxa"/>
          </w:tcPr>
          <w:p w14:paraId="20C5103F" w14:textId="77777777" w:rsidR="0046798B" w:rsidRDefault="0046798B">
            <w:pPr>
              <w:pStyle w:val="TableParagraph"/>
              <w:spacing w:before="3"/>
              <w:rPr>
                <w:sz w:val="23"/>
              </w:rPr>
            </w:pPr>
          </w:p>
          <w:p w14:paraId="430D04D9" w14:textId="77777777" w:rsidR="0046798B" w:rsidRDefault="00903B5C">
            <w:pPr>
              <w:pStyle w:val="TableParagraph"/>
              <w:spacing w:before="1"/>
              <w:ind w:left="115" w:right="132"/>
              <w:rPr>
                <w:b/>
                <w:sz w:val="20"/>
              </w:rPr>
            </w:pPr>
            <w:r>
              <w:rPr>
                <w:b/>
                <w:sz w:val="20"/>
              </w:rPr>
              <w:t>gsp_naics_ann_e xists</w:t>
            </w:r>
          </w:p>
        </w:tc>
        <w:tc>
          <w:tcPr>
            <w:tcW w:w="1596" w:type="dxa"/>
          </w:tcPr>
          <w:p w14:paraId="657FC901" w14:textId="77777777" w:rsidR="0046798B" w:rsidRDefault="00903B5C">
            <w:pPr>
              <w:pStyle w:val="TableParagraph"/>
              <w:spacing w:before="38"/>
              <w:ind w:left="114" w:right="85"/>
              <w:rPr>
                <w:sz w:val="20"/>
              </w:rPr>
            </w:pPr>
            <w:r>
              <w:rPr>
                <w:sz w:val="20"/>
              </w:rPr>
              <w:t>Gross state product by NAICS (dummy variable)</w:t>
            </w:r>
          </w:p>
        </w:tc>
        <w:tc>
          <w:tcPr>
            <w:tcW w:w="1285" w:type="dxa"/>
          </w:tcPr>
          <w:p w14:paraId="724F12D6" w14:textId="77777777" w:rsidR="0046798B" w:rsidRDefault="0046798B">
            <w:pPr>
              <w:pStyle w:val="TableParagraph"/>
            </w:pPr>
          </w:p>
          <w:p w14:paraId="5E929606" w14:textId="77777777" w:rsidR="0046798B" w:rsidRDefault="00903B5C">
            <w:pPr>
              <w:pStyle w:val="TableParagraph"/>
              <w:spacing w:before="130"/>
              <w:ind w:left="114"/>
              <w:rPr>
                <w:sz w:val="20"/>
              </w:rPr>
            </w:pPr>
            <w:r>
              <w:rPr>
                <w:sz w:val="20"/>
              </w:rPr>
              <w:t>1997–2010</w:t>
            </w:r>
          </w:p>
        </w:tc>
        <w:tc>
          <w:tcPr>
            <w:tcW w:w="3421" w:type="dxa"/>
          </w:tcPr>
          <w:p w14:paraId="38924ECE" w14:textId="77777777" w:rsidR="0046798B" w:rsidRDefault="0046798B">
            <w:pPr>
              <w:pStyle w:val="TableParagraph"/>
              <w:spacing w:before="3"/>
              <w:rPr>
                <w:sz w:val="23"/>
              </w:rPr>
            </w:pPr>
          </w:p>
          <w:p w14:paraId="5FE5FA85" w14:textId="77777777" w:rsidR="0046798B" w:rsidRDefault="00903B5C">
            <w:pPr>
              <w:pStyle w:val="TableParagraph"/>
              <w:spacing w:before="1"/>
              <w:ind w:left="114"/>
              <w:rPr>
                <w:sz w:val="20"/>
              </w:rPr>
            </w:pPr>
            <w:r>
              <w:rPr>
                <w:sz w:val="20"/>
              </w:rPr>
              <w:t>Dummy: 1 = gsp_NAICS_ann exists, 0</w:t>
            </w:r>
          </w:p>
          <w:p w14:paraId="14C89750" w14:textId="77777777" w:rsidR="0046798B" w:rsidRDefault="00903B5C">
            <w:pPr>
              <w:pStyle w:val="TableParagraph"/>
              <w:ind w:left="114"/>
              <w:rPr>
                <w:sz w:val="20"/>
              </w:rPr>
            </w:pPr>
            <w:r>
              <w:rPr>
                <w:sz w:val="20"/>
              </w:rPr>
              <w:t>= else.</w:t>
            </w:r>
          </w:p>
        </w:tc>
        <w:tc>
          <w:tcPr>
            <w:tcW w:w="6482" w:type="dxa"/>
          </w:tcPr>
          <w:p w14:paraId="6E61871D" w14:textId="77777777" w:rsidR="0046798B" w:rsidRDefault="0046798B">
            <w:pPr>
              <w:pStyle w:val="TableParagraph"/>
              <w:spacing w:before="3"/>
              <w:rPr>
                <w:sz w:val="23"/>
              </w:rPr>
            </w:pPr>
          </w:p>
          <w:p w14:paraId="2E896670" w14:textId="77777777" w:rsidR="0046798B" w:rsidRDefault="00903B5C">
            <w:pPr>
              <w:pStyle w:val="TableParagraph"/>
              <w:spacing w:before="1"/>
              <w:ind w:left="114" w:right="1111"/>
              <w:rPr>
                <w:sz w:val="20"/>
              </w:rPr>
            </w:pPr>
            <w:r>
              <w:rPr>
                <w:sz w:val="20"/>
              </w:rPr>
              <w:t xml:space="preserve">Klarner, Carl, 2013, “State Economic Data”, </w:t>
            </w:r>
            <w:hyperlink r:id="rId200">
              <w:r>
                <w:rPr>
                  <w:sz w:val="20"/>
                  <w:u w:val="single"/>
                </w:rPr>
                <w:t>https://doi.org/10.7910/DVN/KMWN7N</w:t>
              </w:r>
            </w:hyperlink>
            <w:r>
              <w:rPr>
                <w:sz w:val="20"/>
              </w:rPr>
              <w:t>, Harvard Dataverse, V1</w:t>
            </w:r>
          </w:p>
        </w:tc>
      </w:tr>
      <w:tr w:rsidR="0046798B" w14:paraId="6487A7E6" w14:textId="77777777">
        <w:trPr>
          <w:trHeight w:val="1235"/>
        </w:trPr>
        <w:tc>
          <w:tcPr>
            <w:tcW w:w="1711" w:type="dxa"/>
          </w:tcPr>
          <w:p w14:paraId="6B432933" w14:textId="77777777" w:rsidR="0046798B" w:rsidRDefault="0046798B">
            <w:pPr>
              <w:pStyle w:val="TableParagraph"/>
            </w:pPr>
          </w:p>
          <w:p w14:paraId="0A90877C" w14:textId="77777777" w:rsidR="0046798B" w:rsidRDefault="00903B5C">
            <w:pPr>
              <w:pStyle w:val="TableParagraph"/>
              <w:spacing w:before="130"/>
              <w:ind w:left="115" w:right="132"/>
              <w:rPr>
                <w:b/>
                <w:sz w:val="20"/>
              </w:rPr>
            </w:pPr>
            <w:r>
              <w:rPr>
                <w:b/>
                <w:sz w:val="20"/>
              </w:rPr>
              <w:t>gsp_naics_ann_e xists2</w:t>
            </w:r>
          </w:p>
        </w:tc>
        <w:tc>
          <w:tcPr>
            <w:tcW w:w="1596" w:type="dxa"/>
          </w:tcPr>
          <w:p w14:paraId="65AA608F" w14:textId="77777777" w:rsidR="0046798B" w:rsidRDefault="00903B5C">
            <w:pPr>
              <w:pStyle w:val="TableParagraph"/>
              <w:spacing w:before="38"/>
              <w:ind w:left="114" w:right="524"/>
              <w:jc w:val="both"/>
              <w:rPr>
                <w:sz w:val="13"/>
              </w:rPr>
            </w:pPr>
            <w:r>
              <w:rPr>
                <w:sz w:val="20"/>
              </w:rPr>
              <w:t>Gross state product by NAICS (2</w:t>
            </w:r>
            <w:r>
              <w:rPr>
                <w:sz w:val="13"/>
              </w:rPr>
              <w:t>nd</w:t>
            </w:r>
          </w:p>
          <w:p w14:paraId="544736D9" w14:textId="77777777" w:rsidR="0046798B" w:rsidRDefault="00903B5C">
            <w:pPr>
              <w:pStyle w:val="TableParagraph"/>
              <w:ind w:left="114" w:right="741"/>
              <w:rPr>
                <w:sz w:val="20"/>
              </w:rPr>
            </w:pPr>
            <w:r>
              <w:rPr>
                <w:sz w:val="20"/>
              </w:rPr>
              <w:t>dummy variable)</w:t>
            </w:r>
          </w:p>
        </w:tc>
        <w:tc>
          <w:tcPr>
            <w:tcW w:w="1285" w:type="dxa"/>
          </w:tcPr>
          <w:p w14:paraId="4B10080F" w14:textId="77777777" w:rsidR="0046798B" w:rsidRDefault="0046798B">
            <w:pPr>
              <w:pStyle w:val="TableParagraph"/>
            </w:pPr>
          </w:p>
          <w:p w14:paraId="41121080" w14:textId="77777777" w:rsidR="0046798B" w:rsidRDefault="0046798B">
            <w:pPr>
              <w:pStyle w:val="TableParagraph"/>
              <w:spacing w:before="3"/>
              <w:rPr>
                <w:sz w:val="21"/>
              </w:rPr>
            </w:pPr>
          </w:p>
          <w:p w14:paraId="6D0FCB4D" w14:textId="77777777" w:rsidR="0046798B" w:rsidRDefault="00903B5C">
            <w:pPr>
              <w:pStyle w:val="TableParagraph"/>
              <w:ind w:left="114"/>
              <w:rPr>
                <w:sz w:val="20"/>
              </w:rPr>
            </w:pPr>
            <w:r>
              <w:rPr>
                <w:sz w:val="20"/>
              </w:rPr>
              <w:t>1997–2010</w:t>
            </w:r>
          </w:p>
        </w:tc>
        <w:tc>
          <w:tcPr>
            <w:tcW w:w="3421" w:type="dxa"/>
          </w:tcPr>
          <w:p w14:paraId="11F729C8" w14:textId="77777777" w:rsidR="0046798B" w:rsidRDefault="00903B5C">
            <w:pPr>
              <w:pStyle w:val="TableParagraph"/>
              <w:spacing w:before="153"/>
              <w:ind w:left="114" w:right="111"/>
              <w:rPr>
                <w:sz w:val="20"/>
              </w:rPr>
            </w:pPr>
            <w:r>
              <w:rPr>
                <w:sz w:val="20"/>
              </w:rPr>
              <w:t>Dummy: 1 = gsp_NAICS_ann exists (for the both quar=2.5 and for all quarters between the middle of the year that gsp_NAICS_ann exists for).</w:t>
            </w:r>
          </w:p>
        </w:tc>
        <w:tc>
          <w:tcPr>
            <w:tcW w:w="6482" w:type="dxa"/>
          </w:tcPr>
          <w:p w14:paraId="520AAB35" w14:textId="77777777" w:rsidR="0046798B" w:rsidRDefault="00903B5C">
            <w:pPr>
              <w:pStyle w:val="TableParagraph"/>
              <w:spacing w:before="38"/>
              <w:ind w:left="114" w:right="1111"/>
              <w:rPr>
                <w:sz w:val="20"/>
              </w:rPr>
            </w:pPr>
            <w:r>
              <w:rPr>
                <w:sz w:val="20"/>
              </w:rPr>
              <w:t xml:space="preserve">Klarner, Carl, 2013, “State Economic Data”, </w:t>
            </w:r>
            <w:hyperlink r:id="rId201">
              <w:r>
                <w:rPr>
                  <w:sz w:val="20"/>
                  <w:u w:val="single"/>
                </w:rPr>
                <w:t>https://doi.org/10.7910/DVN/KMWN7N</w:t>
              </w:r>
            </w:hyperlink>
            <w:r>
              <w:rPr>
                <w:sz w:val="20"/>
              </w:rPr>
              <w:t>, Harvard Dataverse, V1</w:t>
            </w:r>
          </w:p>
          <w:p w14:paraId="7E56EA04" w14:textId="77777777" w:rsidR="0046798B" w:rsidRDefault="0046798B">
            <w:pPr>
              <w:pStyle w:val="TableParagraph"/>
              <w:rPr>
                <w:sz w:val="20"/>
              </w:rPr>
            </w:pPr>
          </w:p>
          <w:p w14:paraId="675C8C85" w14:textId="77777777" w:rsidR="0046798B" w:rsidRDefault="00903B5C">
            <w:pPr>
              <w:pStyle w:val="TableParagraph"/>
              <w:ind w:left="114" w:right="282"/>
              <w:rPr>
                <w:sz w:val="20"/>
              </w:rPr>
            </w:pPr>
            <w:r>
              <w:rPr>
                <w:sz w:val="20"/>
              </w:rPr>
              <w:t>Note: In other words, since gsp_NAICS_ann exists for 1997 to 2010, this is coded “1” for 1997q3 to 2010q2), blank = else.</w:t>
            </w:r>
          </w:p>
        </w:tc>
      </w:tr>
      <w:tr w:rsidR="0046798B" w14:paraId="25520361" w14:textId="77777777">
        <w:trPr>
          <w:trHeight w:val="1465"/>
        </w:trPr>
        <w:tc>
          <w:tcPr>
            <w:tcW w:w="1711" w:type="dxa"/>
          </w:tcPr>
          <w:p w14:paraId="43411DBD" w14:textId="77777777" w:rsidR="0046798B" w:rsidRDefault="0046798B">
            <w:pPr>
              <w:pStyle w:val="TableParagraph"/>
            </w:pPr>
          </w:p>
          <w:p w14:paraId="341EA6D0" w14:textId="77777777" w:rsidR="0046798B" w:rsidRDefault="0046798B">
            <w:pPr>
              <w:pStyle w:val="TableParagraph"/>
              <w:spacing w:before="3"/>
              <w:rPr>
                <w:sz w:val="21"/>
              </w:rPr>
            </w:pPr>
          </w:p>
          <w:p w14:paraId="16F25A86" w14:textId="77777777" w:rsidR="0046798B" w:rsidRDefault="00903B5C">
            <w:pPr>
              <w:pStyle w:val="TableParagraph"/>
              <w:spacing w:before="1"/>
              <w:ind w:left="115"/>
              <w:rPr>
                <w:b/>
                <w:sz w:val="20"/>
              </w:rPr>
            </w:pPr>
            <w:r>
              <w:rPr>
                <w:b/>
                <w:w w:val="95"/>
                <w:sz w:val="20"/>
              </w:rPr>
              <w:t xml:space="preserve">gsp_naics_ann_ </w:t>
            </w:r>
            <w:r>
              <w:rPr>
                <w:b/>
                <w:sz w:val="20"/>
              </w:rPr>
              <w:t>multiplier</w:t>
            </w:r>
          </w:p>
        </w:tc>
        <w:tc>
          <w:tcPr>
            <w:tcW w:w="1596" w:type="dxa"/>
          </w:tcPr>
          <w:p w14:paraId="6A877BCD" w14:textId="77777777" w:rsidR="0046798B" w:rsidRDefault="0046798B">
            <w:pPr>
              <w:pStyle w:val="TableParagraph"/>
              <w:spacing w:before="3"/>
              <w:rPr>
                <w:sz w:val="23"/>
              </w:rPr>
            </w:pPr>
          </w:p>
          <w:p w14:paraId="6AA55F5B" w14:textId="77777777" w:rsidR="0046798B" w:rsidRDefault="00903B5C">
            <w:pPr>
              <w:pStyle w:val="TableParagraph"/>
              <w:spacing w:before="1"/>
              <w:ind w:left="114" w:right="585"/>
              <w:jc w:val="both"/>
              <w:rPr>
                <w:sz w:val="20"/>
              </w:rPr>
            </w:pPr>
            <w:r>
              <w:rPr>
                <w:sz w:val="20"/>
              </w:rPr>
              <w:t>Gross state product by NAICS</w:t>
            </w:r>
          </w:p>
          <w:p w14:paraId="654817DF" w14:textId="77777777" w:rsidR="0046798B" w:rsidRDefault="00903B5C">
            <w:pPr>
              <w:pStyle w:val="TableParagraph"/>
              <w:ind w:left="114"/>
              <w:jc w:val="both"/>
              <w:rPr>
                <w:sz w:val="20"/>
              </w:rPr>
            </w:pPr>
            <w:r>
              <w:rPr>
                <w:sz w:val="20"/>
              </w:rPr>
              <w:t>multiplier</w:t>
            </w:r>
          </w:p>
        </w:tc>
        <w:tc>
          <w:tcPr>
            <w:tcW w:w="1285" w:type="dxa"/>
          </w:tcPr>
          <w:p w14:paraId="19C8C2D8" w14:textId="77777777" w:rsidR="0046798B" w:rsidRDefault="0046798B">
            <w:pPr>
              <w:pStyle w:val="TableParagraph"/>
            </w:pPr>
          </w:p>
          <w:p w14:paraId="45E7A379" w14:textId="77777777" w:rsidR="0046798B" w:rsidRDefault="0046798B">
            <w:pPr>
              <w:pStyle w:val="TableParagraph"/>
              <w:spacing w:before="3"/>
              <w:rPr>
                <w:sz w:val="31"/>
              </w:rPr>
            </w:pPr>
          </w:p>
          <w:p w14:paraId="62772BFA" w14:textId="77777777" w:rsidR="0046798B" w:rsidRDefault="00903B5C">
            <w:pPr>
              <w:pStyle w:val="TableParagraph"/>
              <w:spacing w:before="1"/>
              <w:ind w:left="114"/>
              <w:rPr>
                <w:sz w:val="20"/>
              </w:rPr>
            </w:pPr>
            <w:r>
              <w:rPr>
                <w:sz w:val="20"/>
              </w:rPr>
              <w:t>1997–2010</w:t>
            </w:r>
          </w:p>
        </w:tc>
        <w:tc>
          <w:tcPr>
            <w:tcW w:w="3421" w:type="dxa"/>
          </w:tcPr>
          <w:p w14:paraId="10DEF98E" w14:textId="77777777" w:rsidR="0046798B" w:rsidRDefault="00903B5C">
            <w:pPr>
              <w:pStyle w:val="TableParagraph"/>
              <w:spacing w:before="38"/>
              <w:ind w:left="114" w:right="150"/>
              <w:rPr>
                <w:sz w:val="20"/>
              </w:rPr>
            </w:pPr>
            <w:r>
              <w:rPr>
                <w:sz w:val="20"/>
              </w:rPr>
              <w:t>For Q=2.5: amount that last year’s figure needs to be multiplied by to equal this year’s figure. For Q=1, 2, 3 or 4: figure in Q=2.5, but altered as follows. Q3 from the year before Q2.5 gets a ^(1/8). Q4 from the year before</w:t>
            </w:r>
          </w:p>
        </w:tc>
        <w:tc>
          <w:tcPr>
            <w:tcW w:w="6482" w:type="dxa"/>
          </w:tcPr>
          <w:p w14:paraId="551866FF" w14:textId="77777777" w:rsidR="0046798B" w:rsidRDefault="0046798B">
            <w:pPr>
              <w:pStyle w:val="TableParagraph"/>
            </w:pPr>
          </w:p>
          <w:p w14:paraId="24341723" w14:textId="77777777" w:rsidR="0046798B" w:rsidRDefault="0046798B">
            <w:pPr>
              <w:pStyle w:val="TableParagraph"/>
              <w:spacing w:before="3"/>
              <w:rPr>
                <w:sz w:val="21"/>
              </w:rPr>
            </w:pPr>
          </w:p>
          <w:p w14:paraId="7D684CAA" w14:textId="77777777" w:rsidR="0046798B" w:rsidRDefault="00903B5C">
            <w:pPr>
              <w:pStyle w:val="TableParagraph"/>
              <w:spacing w:before="1"/>
              <w:ind w:left="114" w:right="1111"/>
              <w:rPr>
                <w:sz w:val="20"/>
              </w:rPr>
            </w:pPr>
            <w:r>
              <w:rPr>
                <w:sz w:val="20"/>
              </w:rPr>
              <w:t xml:space="preserve">Klarner, Carl, 2013, “State Economic Data”, </w:t>
            </w:r>
            <w:hyperlink r:id="rId202">
              <w:r>
                <w:rPr>
                  <w:sz w:val="20"/>
                  <w:u w:val="single"/>
                </w:rPr>
                <w:t>https://doi.org/10.7910/DVN/KMWN7N</w:t>
              </w:r>
            </w:hyperlink>
            <w:r>
              <w:rPr>
                <w:sz w:val="20"/>
              </w:rPr>
              <w:t>, Harvard Dataverse, V1</w:t>
            </w:r>
          </w:p>
        </w:tc>
      </w:tr>
    </w:tbl>
    <w:p w14:paraId="56587030" w14:textId="77777777" w:rsidR="0046798B" w:rsidRDefault="0046798B">
      <w:pPr>
        <w:rPr>
          <w:sz w:val="20"/>
        </w:rPr>
        <w:sectPr w:rsidR="0046798B">
          <w:pgSz w:w="15840" w:h="12240" w:orient="landscape"/>
          <w:pgMar w:top="1220" w:right="300" w:bottom="980" w:left="820" w:header="730" w:footer="787" w:gutter="0"/>
          <w:cols w:space="720"/>
        </w:sectPr>
      </w:pPr>
    </w:p>
    <w:p w14:paraId="19D4B403"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8F11A71" w14:textId="77777777">
        <w:trPr>
          <w:trHeight w:val="775"/>
        </w:trPr>
        <w:tc>
          <w:tcPr>
            <w:tcW w:w="1711" w:type="dxa"/>
          </w:tcPr>
          <w:p w14:paraId="100A9103" w14:textId="77777777" w:rsidR="0046798B" w:rsidRDefault="0046798B">
            <w:pPr>
              <w:pStyle w:val="TableParagraph"/>
              <w:rPr>
                <w:sz w:val="20"/>
              </w:rPr>
            </w:pPr>
          </w:p>
        </w:tc>
        <w:tc>
          <w:tcPr>
            <w:tcW w:w="1596" w:type="dxa"/>
          </w:tcPr>
          <w:p w14:paraId="0069E33B" w14:textId="77777777" w:rsidR="0046798B" w:rsidRDefault="0046798B">
            <w:pPr>
              <w:pStyle w:val="TableParagraph"/>
              <w:rPr>
                <w:sz w:val="20"/>
              </w:rPr>
            </w:pPr>
          </w:p>
        </w:tc>
        <w:tc>
          <w:tcPr>
            <w:tcW w:w="1285" w:type="dxa"/>
          </w:tcPr>
          <w:p w14:paraId="793EF851" w14:textId="77777777" w:rsidR="0046798B" w:rsidRDefault="0046798B">
            <w:pPr>
              <w:pStyle w:val="TableParagraph"/>
              <w:rPr>
                <w:sz w:val="20"/>
              </w:rPr>
            </w:pPr>
          </w:p>
        </w:tc>
        <w:tc>
          <w:tcPr>
            <w:tcW w:w="3421" w:type="dxa"/>
          </w:tcPr>
          <w:p w14:paraId="7FC929DE" w14:textId="77777777" w:rsidR="0046798B" w:rsidRDefault="00903B5C">
            <w:pPr>
              <w:pStyle w:val="TableParagraph"/>
              <w:spacing w:before="43"/>
              <w:ind w:left="114" w:right="168"/>
              <w:jc w:val="both"/>
              <w:rPr>
                <w:sz w:val="20"/>
              </w:rPr>
            </w:pPr>
            <w:r>
              <w:rPr>
                <w:sz w:val="20"/>
              </w:rPr>
              <w:t>Q2.5 gets a ^(1/4). Q1 from the year of Q2.5 gets a ^(1/4). Q2 from the year of Q2.5 gets a ^(1/4)</w:t>
            </w:r>
          </w:p>
        </w:tc>
        <w:tc>
          <w:tcPr>
            <w:tcW w:w="6482" w:type="dxa"/>
          </w:tcPr>
          <w:p w14:paraId="63582E32" w14:textId="77777777" w:rsidR="0046798B" w:rsidRDefault="0046798B">
            <w:pPr>
              <w:pStyle w:val="TableParagraph"/>
              <w:rPr>
                <w:sz w:val="20"/>
              </w:rPr>
            </w:pPr>
          </w:p>
        </w:tc>
      </w:tr>
      <w:tr w:rsidR="0046798B" w14:paraId="3CFB54EB" w14:textId="77777777">
        <w:trPr>
          <w:trHeight w:val="2616"/>
        </w:trPr>
        <w:tc>
          <w:tcPr>
            <w:tcW w:w="1711" w:type="dxa"/>
          </w:tcPr>
          <w:p w14:paraId="64903891" w14:textId="77777777" w:rsidR="0046798B" w:rsidRDefault="0046798B">
            <w:pPr>
              <w:pStyle w:val="TableParagraph"/>
            </w:pPr>
          </w:p>
          <w:p w14:paraId="0BD6F283" w14:textId="77777777" w:rsidR="0046798B" w:rsidRDefault="0046798B">
            <w:pPr>
              <w:pStyle w:val="TableParagraph"/>
            </w:pPr>
          </w:p>
          <w:p w14:paraId="50224B47" w14:textId="77777777" w:rsidR="0046798B" w:rsidRDefault="0046798B">
            <w:pPr>
              <w:pStyle w:val="TableParagraph"/>
            </w:pPr>
          </w:p>
          <w:p w14:paraId="4EAECBC4" w14:textId="77777777" w:rsidR="0046798B" w:rsidRDefault="0046798B">
            <w:pPr>
              <w:pStyle w:val="TableParagraph"/>
            </w:pPr>
          </w:p>
          <w:p w14:paraId="22CC0A67" w14:textId="77777777" w:rsidR="0046798B" w:rsidRDefault="00903B5C">
            <w:pPr>
              <w:pStyle w:val="TableParagraph"/>
              <w:spacing w:before="182"/>
              <w:ind w:left="115"/>
              <w:rPr>
                <w:b/>
                <w:sz w:val="20"/>
              </w:rPr>
            </w:pPr>
            <w:r>
              <w:rPr>
                <w:b/>
                <w:sz w:val="20"/>
              </w:rPr>
              <w:t>gsp_naics_q</w:t>
            </w:r>
          </w:p>
        </w:tc>
        <w:tc>
          <w:tcPr>
            <w:tcW w:w="1596" w:type="dxa"/>
          </w:tcPr>
          <w:p w14:paraId="08B7CFFD" w14:textId="77777777" w:rsidR="0046798B" w:rsidRDefault="0046798B">
            <w:pPr>
              <w:pStyle w:val="TableParagraph"/>
            </w:pPr>
          </w:p>
          <w:p w14:paraId="0EB2C3BA" w14:textId="77777777" w:rsidR="0046798B" w:rsidRDefault="0046798B">
            <w:pPr>
              <w:pStyle w:val="TableParagraph"/>
            </w:pPr>
          </w:p>
          <w:p w14:paraId="7B0B6D7D" w14:textId="77777777" w:rsidR="0046798B" w:rsidRDefault="0046798B">
            <w:pPr>
              <w:pStyle w:val="TableParagraph"/>
              <w:spacing w:before="9"/>
              <w:rPr>
                <w:sz w:val="19"/>
              </w:rPr>
            </w:pPr>
          </w:p>
          <w:p w14:paraId="00745A16" w14:textId="77777777" w:rsidR="0046798B" w:rsidRDefault="00903B5C">
            <w:pPr>
              <w:pStyle w:val="TableParagraph"/>
              <w:ind w:left="114" w:right="585"/>
              <w:jc w:val="both"/>
              <w:rPr>
                <w:sz w:val="20"/>
              </w:rPr>
            </w:pPr>
            <w:r>
              <w:rPr>
                <w:sz w:val="20"/>
              </w:rPr>
              <w:t>Gross state product by NAICS in</w:t>
            </w:r>
          </w:p>
          <w:p w14:paraId="0AB0B345" w14:textId="77777777" w:rsidR="0046798B" w:rsidRDefault="00903B5C">
            <w:pPr>
              <w:pStyle w:val="TableParagraph"/>
              <w:ind w:left="114" w:right="229"/>
              <w:rPr>
                <w:sz w:val="20"/>
              </w:rPr>
            </w:pPr>
            <w:r>
              <w:rPr>
                <w:sz w:val="20"/>
              </w:rPr>
              <w:t>millions of current dollars</w:t>
            </w:r>
          </w:p>
        </w:tc>
        <w:tc>
          <w:tcPr>
            <w:tcW w:w="1285" w:type="dxa"/>
          </w:tcPr>
          <w:p w14:paraId="37DA172A" w14:textId="77777777" w:rsidR="0046798B" w:rsidRDefault="0046798B">
            <w:pPr>
              <w:pStyle w:val="TableParagraph"/>
            </w:pPr>
          </w:p>
          <w:p w14:paraId="44B774F8" w14:textId="77777777" w:rsidR="0046798B" w:rsidRDefault="0046798B">
            <w:pPr>
              <w:pStyle w:val="TableParagraph"/>
            </w:pPr>
          </w:p>
          <w:p w14:paraId="4D0F33FF" w14:textId="77777777" w:rsidR="0046798B" w:rsidRDefault="0046798B">
            <w:pPr>
              <w:pStyle w:val="TableParagraph"/>
            </w:pPr>
          </w:p>
          <w:p w14:paraId="5B4A98AC" w14:textId="77777777" w:rsidR="0046798B" w:rsidRDefault="0046798B">
            <w:pPr>
              <w:pStyle w:val="TableParagraph"/>
            </w:pPr>
          </w:p>
          <w:p w14:paraId="57CFF2EC" w14:textId="77777777" w:rsidR="0046798B" w:rsidRDefault="00903B5C">
            <w:pPr>
              <w:pStyle w:val="TableParagraph"/>
              <w:spacing w:before="182"/>
              <w:ind w:left="114"/>
              <w:rPr>
                <w:sz w:val="20"/>
              </w:rPr>
            </w:pPr>
            <w:r>
              <w:rPr>
                <w:sz w:val="20"/>
              </w:rPr>
              <w:t>1997–2010</w:t>
            </w:r>
          </w:p>
        </w:tc>
        <w:tc>
          <w:tcPr>
            <w:tcW w:w="3421" w:type="dxa"/>
          </w:tcPr>
          <w:p w14:paraId="5FA72BE9" w14:textId="77777777" w:rsidR="0046798B" w:rsidRDefault="00903B5C">
            <w:pPr>
              <w:pStyle w:val="TableParagraph"/>
              <w:spacing w:before="43"/>
              <w:ind w:left="114" w:right="117"/>
              <w:rPr>
                <w:sz w:val="20"/>
              </w:rPr>
            </w:pPr>
            <w:r>
              <w:rPr>
                <w:sz w:val="20"/>
              </w:rPr>
              <w:t>Millions of current dollars. For Q=2.5, this equals gsp_naics_ann or gsp_sic_ann as appropriate. For Qs=1, 2, 3 and 4, it equals the figure from the last quarter (or Q=2.5, for Q=3), times the multipliers gsp_naics_ann_multiplier or gsp_sics_ann_multiplier above as appropriate. Note: although these data were put into quarters, they were not divided by 4.</w:t>
            </w:r>
          </w:p>
        </w:tc>
        <w:tc>
          <w:tcPr>
            <w:tcW w:w="6482" w:type="dxa"/>
          </w:tcPr>
          <w:p w14:paraId="2B4C843B" w14:textId="77777777" w:rsidR="0046798B" w:rsidRDefault="0046798B">
            <w:pPr>
              <w:pStyle w:val="TableParagraph"/>
            </w:pPr>
          </w:p>
          <w:p w14:paraId="31798534" w14:textId="77777777" w:rsidR="0046798B" w:rsidRDefault="0046798B">
            <w:pPr>
              <w:pStyle w:val="TableParagraph"/>
            </w:pPr>
          </w:p>
          <w:p w14:paraId="1DF7F775" w14:textId="77777777" w:rsidR="0046798B" w:rsidRDefault="0046798B">
            <w:pPr>
              <w:pStyle w:val="TableParagraph"/>
            </w:pPr>
          </w:p>
          <w:p w14:paraId="4CDCF5A1" w14:textId="77777777" w:rsidR="0046798B" w:rsidRDefault="0046798B">
            <w:pPr>
              <w:pStyle w:val="TableParagraph"/>
              <w:spacing w:before="9"/>
              <w:rPr>
                <w:sz w:val="27"/>
              </w:rPr>
            </w:pPr>
          </w:p>
          <w:p w14:paraId="53C80F2F" w14:textId="77777777" w:rsidR="0046798B" w:rsidRDefault="00903B5C">
            <w:pPr>
              <w:pStyle w:val="TableParagraph"/>
              <w:ind w:left="114" w:right="1111"/>
              <w:rPr>
                <w:sz w:val="20"/>
              </w:rPr>
            </w:pPr>
            <w:r>
              <w:rPr>
                <w:sz w:val="20"/>
              </w:rPr>
              <w:t xml:space="preserve">Klarner, Carl, 2013, “State Economic Data”, </w:t>
            </w:r>
            <w:hyperlink r:id="rId203">
              <w:r>
                <w:rPr>
                  <w:sz w:val="20"/>
                  <w:u w:val="single"/>
                </w:rPr>
                <w:t>https://doi.org/10.7910/DVN/KMWN7N</w:t>
              </w:r>
            </w:hyperlink>
            <w:r>
              <w:rPr>
                <w:sz w:val="20"/>
              </w:rPr>
              <w:t>, Harvard Dataverse, V1</w:t>
            </w:r>
          </w:p>
        </w:tc>
      </w:tr>
      <w:tr w:rsidR="0046798B" w14:paraId="60EF9D12" w14:textId="77777777">
        <w:trPr>
          <w:trHeight w:val="1930"/>
        </w:trPr>
        <w:tc>
          <w:tcPr>
            <w:tcW w:w="1711" w:type="dxa"/>
          </w:tcPr>
          <w:p w14:paraId="10F582DB" w14:textId="77777777" w:rsidR="0046798B" w:rsidRDefault="0046798B">
            <w:pPr>
              <w:pStyle w:val="TableParagraph"/>
            </w:pPr>
          </w:p>
          <w:p w14:paraId="35A9C9FA" w14:textId="77777777" w:rsidR="0046798B" w:rsidRDefault="0046798B">
            <w:pPr>
              <w:pStyle w:val="TableParagraph"/>
            </w:pPr>
          </w:p>
          <w:p w14:paraId="4DB63B0F" w14:textId="77777777" w:rsidR="0046798B" w:rsidRDefault="0046798B">
            <w:pPr>
              <w:pStyle w:val="TableParagraph"/>
              <w:spacing w:before="9"/>
              <w:rPr>
                <w:sz w:val="29"/>
              </w:rPr>
            </w:pPr>
          </w:p>
          <w:p w14:paraId="630493FA" w14:textId="77777777" w:rsidR="0046798B" w:rsidRDefault="00903B5C">
            <w:pPr>
              <w:pStyle w:val="TableParagraph"/>
              <w:ind w:left="115"/>
              <w:rPr>
                <w:b/>
                <w:sz w:val="20"/>
              </w:rPr>
            </w:pPr>
            <w:r>
              <w:rPr>
                <w:b/>
                <w:sz w:val="20"/>
              </w:rPr>
              <w:t>gsp_q</w:t>
            </w:r>
          </w:p>
        </w:tc>
        <w:tc>
          <w:tcPr>
            <w:tcW w:w="1596" w:type="dxa"/>
          </w:tcPr>
          <w:p w14:paraId="41ADBC61" w14:textId="77777777" w:rsidR="0046798B" w:rsidRDefault="0046798B">
            <w:pPr>
              <w:pStyle w:val="TableParagraph"/>
            </w:pPr>
          </w:p>
          <w:p w14:paraId="4120B7EB" w14:textId="77777777" w:rsidR="0046798B" w:rsidRDefault="00903B5C">
            <w:pPr>
              <w:pStyle w:val="TableParagraph"/>
              <w:spacing w:before="135"/>
              <w:ind w:left="114" w:right="229"/>
              <w:rPr>
                <w:sz w:val="20"/>
              </w:rPr>
            </w:pPr>
            <w:r>
              <w:rPr>
                <w:sz w:val="20"/>
              </w:rPr>
              <w:t>Gross state product combined in millions of current dollars</w:t>
            </w:r>
          </w:p>
        </w:tc>
        <w:tc>
          <w:tcPr>
            <w:tcW w:w="1285" w:type="dxa"/>
          </w:tcPr>
          <w:p w14:paraId="1F3C94AE" w14:textId="77777777" w:rsidR="0046798B" w:rsidRDefault="0046798B">
            <w:pPr>
              <w:pStyle w:val="TableParagraph"/>
            </w:pPr>
          </w:p>
          <w:p w14:paraId="722096AC" w14:textId="77777777" w:rsidR="0046798B" w:rsidRDefault="0046798B">
            <w:pPr>
              <w:pStyle w:val="TableParagraph"/>
            </w:pPr>
          </w:p>
          <w:p w14:paraId="67413EEA" w14:textId="77777777" w:rsidR="0046798B" w:rsidRDefault="0046798B">
            <w:pPr>
              <w:pStyle w:val="TableParagraph"/>
              <w:spacing w:before="9"/>
              <w:rPr>
                <w:sz w:val="29"/>
              </w:rPr>
            </w:pPr>
          </w:p>
          <w:p w14:paraId="4D178FB8" w14:textId="77777777" w:rsidR="0046798B" w:rsidRDefault="00903B5C">
            <w:pPr>
              <w:pStyle w:val="TableParagraph"/>
              <w:ind w:left="114"/>
              <w:rPr>
                <w:sz w:val="20"/>
              </w:rPr>
            </w:pPr>
            <w:r>
              <w:rPr>
                <w:sz w:val="20"/>
              </w:rPr>
              <w:t>1963–2010</w:t>
            </w:r>
          </w:p>
        </w:tc>
        <w:tc>
          <w:tcPr>
            <w:tcW w:w="3421" w:type="dxa"/>
          </w:tcPr>
          <w:p w14:paraId="1BF15139" w14:textId="77777777" w:rsidR="0046798B" w:rsidRDefault="00903B5C">
            <w:pPr>
              <w:pStyle w:val="TableParagraph"/>
              <w:spacing w:before="43"/>
              <w:ind w:left="114" w:right="116"/>
              <w:rPr>
                <w:sz w:val="20"/>
              </w:rPr>
            </w:pPr>
            <w:r>
              <w:rPr>
                <w:sz w:val="20"/>
              </w:rPr>
              <w:t xml:space="preserve">Millions of current dollars. Uses gsp_naics_q for 1997q2.5 to 2010. Uses gsp_sic_q for up to 1996q2.5. For 1996q3 to 1997q2, it connects the values between 1996q2.5 and 1997q2.5 with the multiplier. For the following three states only, 2010q2.5 was put </w:t>
            </w:r>
            <w:r>
              <w:rPr>
                <w:spacing w:val="-6"/>
                <w:sz w:val="20"/>
              </w:rPr>
              <w:t xml:space="preserve">into </w:t>
            </w:r>
            <w:r>
              <w:rPr>
                <w:sz w:val="20"/>
              </w:rPr>
              <w:t>2010q3: AL, MI, and</w:t>
            </w:r>
            <w:r>
              <w:rPr>
                <w:spacing w:val="-1"/>
                <w:sz w:val="20"/>
              </w:rPr>
              <w:t xml:space="preserve"> </w:t>
            </w:r>
            <w:r>
              <w:rPr>
                <w:sz w:val="20"/>
              </w:rPr>
              <w:t>TX.</w:t>
            </w:r>
          </w:p>
        </w:tc>
        <w:tc>
          <w:tcPr>
            <w:tcW w:w="6482" w:type="dxa"/>
          </w:tcPr>
          <w:p w14:paraId="13C5C735" w14:textId="77777777" w:rsidR="0046798B" w:rsidRDefault="0046798B">
            <w:pPr>
              <w:pStyle w:val="TableParagraph"/>
            </w:pPr>
          </w:p>
          <w:p w14:paraId="25780B61" w14:textId="77777777" w:rsidR="0046798B" w:rsidRDefault="0046798B">
            <w:pPr>
              <w:pStyle w:val="TableParagraph"/>
            </w:pPr>
          </w:p>
          <w:p w14:paraId="09595AE3" w14:textId="77777777" w:rsidR="0046798B" w:rsidRDefault="0046798B">
            <w:pPr>
              <w:pStyle w:val="TableParagraph"/>
              <w:spacing w:before="9"/>
              <w:rPr>
                <w:sz w:val="19"/>
              </w:rPr>
            </w:pPr>
          </w:p>
          <w:p w14:paraId="4400775A" w14:textId="77777777" w:rsidR="0046798B" w:rsidRDefault="00903B5C">
            <w:pPr>
              <w:pStyle w:val="TableParagraph"/>
              <w:ind w:left="114" w:right="1111"/>
              <w:rPr>
                <w:sz w:val="20"/>
              </w:rPr>
            </w:pPr>
            <w:r>
              <w:rPr>
                <w:sz w:val="20"/>
              </w:rPr>
              <w:t xml:space="preserve">Klarner, Carl, 2013, “State Economic Data”, </w:t>
            </w:r>
            <w:hyperlink r:id="rId204">
              <w:r>
                <w:rPr>
                  <w:sz w:val="20"/>
                  <w:u w:val="single"/>
                </w:rPr>
                <w:t>https://doi.org/10.7910/DVN/KMWN7N</w:t>
              </w:r>
            </w:hyperlink>
            <w:r>
              <w:rPr>
                <w:sz w:val="20"/>
              </w:rPr>
              <w:t>, Harvard Dataverse, V1</w:t>
            </w:r>
          </w:p>
        </w:tc>
      </w:tr>
      <w:tr w:rsidR="0046798B" w14:paraId="755AE202" w14:textId="77777777">
        <w:trPr>
          <w:trHeight w:val="1005"/>
        </w:trPr>
        <w:tc>
          <w:tcPr>
            <w:tcW w:w="1711" w:type="dxa"/>
          </w:tcPr>
          <w:p w14:paraId="6369B286" w14:textId="77777777" w:rsidR="0046798B" w:rsidRDefault="0046798B">
            <w:pPr>
              <w:pStyle w:val="TableParagraph"/>
            </w:pPr>
          </w:p>
          <w:p w14:paraId="68F2A99A" w14:textId="77777777" w:rsidR="0046798B" w:rsidRDefault="00903B5C">
            <w:pPr>
              <w:pStyle w:val="TableParagraph"/>
              <w:spacing w:before="130"/>
              <w:ind w:left="115"/>
              <w:rPr>
                <w:b/>
                <w:sz w:val="20"/>
              </w:rPr>
            </w:pPr>
            <w:r>
              <w:rPr>
                <w:b/>
                <w:sz w:val="20"/>
              </w:rPr>
              <w:t>gsp_sic_ann</w:t>
            </w:r>
          </w:p>
        </w:tc>
        <w:tc>
          <w:tcPr>
            <w:tcW w:w="1596" w:type="dxa"/>
          </w:tcPr>
          <w:p w14:paraId="40615A81" w14:textId="77777777" w:rsidR="0046798B" w:rsidRDefault="0046798B">
            <w:pPr>
              <w:pStyle w:val="TableParagraph"/>
              <w:spacing w:before="3"/>
              <w:rPr>
                <w:sz w:val="23"/>
              </w:rPr>
            </w:pPr>
          </w:p>
          <w:p w14:paraId="71D9CD5E" w14:textId="77777777" w:rsidR="0046798B" w:rsidRDefault="00903B5C">
            <w:pPr>
              <w:pStyle w:val="TableParagraph"/>
              <w:spacing w:before="1"/>
              <w:ind w:left="114"/>
              <w:rPr>
                <w:sz w:val="20"/>
              </w:rPr>
            </w:pPr>
            <w:r>
              <w:rPr>
                <w:sz w:val="20"/>
              </w:rPr>
              <w:t>Gross state product by SIC</w:t>
            </w:r>
          </w:p>
        </w:tc>
        <w:tc>
          <w:tcPr>
            <w:tcW w:w="1285" w:type="dxa"/>
          </w:tcPr>
          <w:p w14:paraId="4BA88C6E" w14:textId="77777777" w:rsidR="0046798B" w:rsidRDefault="0046798B">
            <w:pPr>
              <w:pStyle w:val="TableParagraph"/>
            </w:pPr>
          </w:p>
          <w:p w14:paraId="1C20266A" w14:textId="77777777" w:rsidR="0046798B" w:rsidRDefault="00903B5C">
            <w:pPr>
              <w:pStyle w:val="TableParagraph"/>
              <w:spacing w:before="130"/>
              <w:ind w:left="114"/>
              <w:rPr>
                <w:sz w:val="20"/>
              </w:rPr>
            </w:pPr>
            <w:r>
              <w:rPr>
                <w:sz w:val="20"/>
              </w:rPr>
              <w:t>1963–1997</w:t>
            </w:r>
          </w:p>
        </w:tc>
        <w:tc>
          <w:tcPr>
            <w:tcW w:w="3421" w:type="dxa"/>
          </w:tcPr>
          <w:p w14:paraId="186E6ACE" w14:textId="77777777" w:rsidR="0046798B" w:rsidRDefault="00903B5C">
            <w:pPr>
              <w:pStyle w:val="TableParagraph"/>
              <w:spacing w:before="38"/>
              <w:ind w:left="114"/>
              <w:rPr>
                <w:sz w:val="20"/>
              </w:rPr>
            </w:pPr>
            <w:r>
              <w:rPr>
                <w:sz w:val="20"/>
              </w:rPr>
              <w:t>Gross state product, SIC system of classification (millions of current dollars). Note: Figures for SIC and NAICS coexist for 1997</w:t>
            </w:r>
          </w:p>
        </w:tc>
        <w:tc>
          <w:tcPr>
            <w:tcW w:w="6482" w:type="dxa"/>
          </w:tcPr>
          <w:p w14:paraId="5F042073" w14:textId="77777777" w:rsidR="0046798B" w:rsidRDefault="00903B5C">
            <w:pPr>
              <w:pStyle w:val="TableParagraph"/>
              <w:spacing w:before="38"/>
              <w:ind w:left="114" w:right="1111"/>
              <w:rPr>
                <w:sz w:val="20"/>
              </w:rPr>
            </w:pPr>
            <w:r>
              <w:rPr>
                <w:sz w:val="20"/>
              </w:rPr>
              <w:t xml:space="preserve">Klarner, Carl, 2013, “State Economic Data”, </w:t>
            </w:r>
            <w:hyperlink r:id="rId205">
              <w:r>
                <w:rPr>
                  <w:sz w:val="20"/>
                  <w:u w:val="single"/>
                </w:rPr>
                <w:t>https://doi.org/10.7910/DVN/KMWN7N</w:t>
              </w:r>
            </w:hyperlink>
            <w:r>
              <w:rPr>
                <w:sz w:val="20"/>
              </w:rPr>
              <w:t>, Harvard Dataverse, V1</w:t>
            </w:r>
          </w:p>
          <w:p w14:paraId="3C5DBDC9" w14:textId="77777777" w:rsidR="0046798B" w:rsidRDefault="0046798B">
            <w:pPr>
              <w:pStyle w:val="TableParagraph"/>
              <w:rPr>
                <w:sz w:val="20"/>
              </w:rPr>
            </w:pPr>
          </w:p>
          <w:p w14:paraId="734691F9" w14:textId="77777777" w:rsidR="0046798B" w:rsidRDefault="00903B5C">
            <w:pPr>
              <w:pStyle w:val="TableParagraph"/>
              <w:ind w:left="114"/>
              <w:rPr>
                <w:sz w:val="20"/>
              </w:rPr>
            </w:pPr>
            <w:r>
              <w:rPr>
                <w:sz w:val="20"/>
              </w:rPr>
              <w:t xml:space="preserve">Source: </w:t>
            </w:r>
            <w:hyperlink r:id="rId206">
              <w:r>
                <w:rPr>
                  <w:sz w:val="20"/>
                  <w:u w:val="single"/>
                </w:rPr>
                <w:t>http://www.bea.gov/regional/gsp/</w:t>
              </w:r>
            </w:hyperlink>
          </w:p>
        </w:tc>
      </w:tr>
      <w:tr w:rsidR="0046798B" w14:paraId="0125A5DD" w14:textId="77777777">
        <w:trPr>
          <w:trHeight w:val="775"/>
        </w:trPr>
        <w:tc>
          <w:tcPr>
            <w:tcW w:w="1711" w:type="dxa"/>
          </w:tcPr>
          <w:p w14:paraId="3A9D5DF0" w14:textId="77777777" w:rsidR="0046798B" w:rsidRDefault="00903B5C">
            <w:pPr>
              <w:pStyle w:val="TableParagraph"/>
              <w:spacing w:before="154"/>
              <w:ind w:left="115" w:right="110"/>
              <w:rPr>
                <w:b/>
                <w:sz w:val="20"/>
              </w:rPr>
            </w:pPr>
            <w:r>
              <w:rPr>
                <w:b/>
                <w:sz w:val="20"/>
              </w:rPr>
              <w:t>gsp_sic_ann_exis ts</w:t>
            </w:r>
          </w:p>
        </w:tc>
        <w:tc>
          <w:tcPr>
            <w:tcW w:w="1596" w:type="dxa"/>
          </w:tcPr>
          <w:p w14:paraId="422999BA" w14:textId="77777777" w:rsidR="0046798B" w:rsidRDefault="00903B5C">
            <w:pPr>
              <w:pStyle w:val="TableParagraph"/>
              <w:spacing w:before="38"/>
              <w:ind w:left="114" w:right="146"/>
              <w:rPr>
                <w:sz w:val="20"/>
              </w:rPr>
            </w:pPr>
            <w:r>
              <w:rPr>
                <w:sz w:val="20"/>
              </w:rPr>
              <w:t>Gross state product by SIC dummy variable</w:t>
            </w:r>
          </w:p>
        </w:tc>
        <w:tc>
          <w:tcPr>
            <w:tcW w:w="1285" w:type="dxa"/>
          </w:tcPr>
          <w:p w14:paraId="50FB50BB" w14:textId="77777777" w:rsidR="0046798B" w:rsidRDefault="0046798B">
            <w:pPr>
              <w:pStyle w:val="TableParagraph"/>
              <w:spacing w:before="4"/>
              <w:rPr>
                <w:sz w:val="23"/>
              </w:rPr>
            </w:pPr>
          </w:p>
          <w:p w14:paraId="5454FFCE" w14:textId="77777777" w:rsidR="0046798B" w:rsidRDefault="00903B5C">
            <w:pPr>
              <w:pStyle w:val="TableParagraph"/>
              <w:ind w:left="114"/>
              <w:rPr>
                <w:sz w:val="20"/>
              </w:rPr>
            </w:pPr>
            <w:r>
              <w:rPr>
                <w:sz w:val="20"/>
              </w:rPr>
              <w:t>1963–1997</w:t>
            </w:r>
          </w:p>
        </w:tc>
        <w:tc>
          <w:tcPr>
            <w:tcW w:w="3421" w:type="dxa"/>
          </w:tcPr>
          <w:p w14:paraId="5BE674ED" w14:textId="77777777" w:rsidR="0046798B" w:rsidRDefault="00903B5C">
            <w:pPr>
              <w:pStyle w:val="TableParagraph"/>
              <w:spacing w:before="154"/>
              <w:ind w:left="114" w:right="619"/>
              <w:rPr>
                <w:sz w:val="20"/>
              </w:rPr>
            </w:pPr>
            <w:r>
              <w:rPr>
                <w:sz w:val="20"/>
              </w:rPr>
              <w:t>Dummy: 1 = gsp_SIC_ann exists (quar=2.5 only), 0 = else.</w:t>
            </w:r>
          </w:p>
        </w:tc>
        <w:tc>
          <w:tcPr>
            <w:tcW w:w="6482" w:type="dxa"/>
          </w:tcPr>
          <w:p w14:paraId="332081F0" w14:textId="77777777" w:rsidR="0046798B" w:rsidRDefault="00903B5C">
            <w:pPr>
              <w:pStyle w:val="TableParagraph"/>
              <w:spacing w:before="154"/>
              <w:ind w:left="114" w:right="1111"/>
              <w:rPr>
                <w:sz w:val="20"/>
              </w:rPr>
            </w:pPr>
            <w:r>
              <w:rPr>
                <w:sz w:val="20"/>
              </w:rPr>
              <w:t xml:space="preserve">Klarner, Carl, 2013, “State Economic Data”, </w:t>
            </w:r>
            <w:hyperlink r:id="rId207">
              <w:r>
                <w:rPr>
                  <w:sz w:val="20"/>
                  <w:u w:val="single"/>
                </w:rPr>
                <w:t>https://doi.org/10.7910/DVN/KMWN7N</w:t>
              </w:r>
            </w:hyperlink>
            <w:r>
              <w:rPr>
                <w:sz w:val="20"/>
              </w:rPr>
              <w:t>, Harvard Dataverse, V1</w:t>
            </w:r>
          </w:p>
        </w:tc>
      </w:tr>
      <w:tr w:rsidR="0046798B" w14:paraId="1B651B34" w14:textId="77777777">
        <w:trPr>
          <w:trHeight w:val="1235"/>
        </w:trPr>
        <w:tc>
          <w:tcPr>
            <w:tcW w:w="1711" w:type="dxa"/>
          </w:tcPr>
          <w:p w14:paraId="1C58C250" w14:textId="77777777" w:rsidR="0046798B" w:rsidRDefault="0046798B">
            <w:pPr>
              <w:pStyle w:val="TableParagraph"/>
            </w:pPr>
          </w:p>
          <w:p w14:paraId="1423454B" w14:textId="77777777" w:rsidR="0046798B" w:rsidRDefault="00903B5C">
            <w:pPr>
              <w:pStyle w:val="TableParagraph"/>
              <w:spacing w:before="130"/>
              <w:ind w:left="115" w:right="110"/>
              <w:rPr>
                <w:b/>
                <w:sz w:val="20"/>
              </w:rPr>
            </w:pPr>
            <w:r>
              <w:rPr>
                <w:b/>
                <w:sz w:val="20"/>
              </w:rPr>
              <w:t>gsp_sic_ann_exis ts2</w:t>
            </w:r>
          </w:p>
        </w:tc>
        <w:tc>
          <w:tcPr>
            <w:tcW w:w="1596" w:type="dxa"/>
          </w:tcPr>
          <w:p w14:paraId="2825FF23" w14:textId="77777777" w:rsidR="0046798B" w:rsidRDefault="00903B5C">
            <w:pPr>
              <w:pStyle w:val="TableParagraph"/>
              <w:spacing w:before="153"/>
              <w:ind w:left="114"/>
              <w:rPr>
                <w:sz w:val="20"/>
              </w:rPr>
            </w:pPr>
            <w:r>
              <w:rPr>
                <w:sz w:val="20"/>
              </w:rPr>
              <w:t>Gross state product by SIC (2</w:t>
            </w:r>
            <w:r>
              <w:rPr>
                <w:sz w:val="13"/>
              </w:rPr>
              <w:t xml:space="preserve">nd </w:t>
            </w:r>
            <w:r>
              <w:rPr>
                <w:sz w:val="20"/>
              </w:rPr>
              <w:t>dummy variable)</w:t>
            </w:r>
          </w:p>
        </w:tc>
        <w:tc>
          <w:tcPr>
            <w:tcW w:w="1285" w:type="dxa"/>
          </w:tcPr>
          <w:p w14:paraId="54B9BC57" w14:textId="77777777" w:rsidR="0046798B" w:rsidRDefault="0046798B">
            <w:pPr>
              <w:pStyle w:val="TableParagraph"/>
            </w:pPr>
          </w:p>
          <w:p w14:paraId="747B36E6" w14:textId="77777777" w:rsidR="0046798B" w:rsidRDefault="0046798B">
            <w:pPr>
              <w:pStyle w:val="TableParagraph"/>
              <w:spacing w:before="4"/>
              <w:rPr>
                <w:sz w:val="21"/>
              </w:rPr>
            </w:pPr>
          </w:p>
          <w:p w14:paraId="35F5FD42" w14:textId="77777777" w:rsidR="0046798B" w:rsidRDefault="00903B5C">
            <w:pPr>
              <w:pStyle w:val="TableParagraph"/>
              <w:ind w:left="114"/>
              <w:rPr>
                <w:sz w:val="20"/>
              </w:rPr>
            </w:pPr>
            <w:r>
              <w:rPr>
                <w:sz w:val="20"/>
              </w:rPr>
              <w:t>1963–1997</w:t>
            </w:r>
          </w:p>
        </w:tc>
        <w:tc>
          <w:tcPr>
            <w:tcW w:w="3421" w:type="dxa"/>
          </w:tcPr>
          <w:p w14:paraId="39018F70" w14:textId="77777777" w:rsidR="0046798B" w:rsidRDefault="00903B5C">
            <w:pPr>
              <w:pStyle w:val="TableParagraph"/>
              <w:spacing w:before="153"/>
              <w:ind w:left="114" w:right="269"/>
              <w:rPr>
                <w:sz w:val="20"/>
              </w:rPr>
            </w:pPr>
            <w:r>
              <w:rPr>
                <w:sz w:val="20"/>
              </w:rPr>
              <w:t>Dummy: 1 = gsp_SIC_ann exists (for the both quar=2.5 and for all quarters between the middle of the year that gsp_SIC_ann exists for).</w:t>
            </w:r>
          </w:p>
        </w:tc>
        <w:tc>
          <w:tcPr>
            <w:tcW w:w="6482" w:type="dxa"/>
          </w:tcPr>
          <w:p w14:paraId="0BE899F3" w14:textId="77777777" w:rsidR="0046798B" w:rsidRDefault="00903B5C">
            <w:pPr>
              <w:pStyle w:val="TableParagraph"/>
              <w:spacing w:before="38"/>
              <w:ind w:left="114" w:right="1111"/>
              <w:rPr>
                <w:sz w:val="20"/>
              </w:rPr>
            </w:pPr>
            <w:r>
              <w:rPr>
                <w:sz w:val="20"/>
              </w:rPr>
              <w:t xml:space="preserve">Klarner, Carl, 2013, “State Economic Data”, </w:t>
            </w:r>
            <w:hyperlink r:id="rId208">
              <w:r>
                <w:rPr>
                  <w:sz w:val="20"/>
                  <w:u w:val="single"/>
                </w:rPr>
                <w:t>https://doi.org/10.7910/DVN/KMWN7N</w:t>
              </w:r>
            </w:hyperlink>
            <w:r>
              <w:rPr>
                <w:sz w:val="20"/>
              </w:rPr>
              <w:t>, Harvard Dataverse, V1</w:t>
            </w:r>
          </w:p>
          <w:p w14:paraId="7566C615" w14:textId="77777777" w:rsidR="0046798B" w:rsidRDefault="0046798B">
            <w:pPr>
              <w:pStyle w:val="TableParagraph"/>
              <w:rPr>
                <w:sz w:val="20"/>
              </w:rPr>
            </w:pPr>
          </w:p>
          <w:p w14:paraId="02CA066C" w14:textId="77777777" w:rsidR="0046798B" w:rsidRDefault="00903B5C">
            <w:pPr>
              <w:pStyle w:val="TableParagraph"/>
              <w:ind w:left="114" w:right="571"/>
              <w:rPr>
                <w:sz w:val="20"/>
              </w:rPr>
            </w:pPr>
            <w:r>
              <w:rPr>
                <w:sz w:val="20"/>
              </w:rPr>
              <w:t>Note: In other words, since gsp_SIC_ann exists for 1997 to 2010, this is coded “1” for 1997q3 to 2010q2), blank = else.</w:t>
            </w:r>
          </w:p>
        </w:tc>
      </w:tr>
      <w:tr w:rsidR="0046798B" w14:paraId="062457A2" w14:textId="77777777">
        <w:trPr>
          <w:trHeight w:val="775"/>
        </w:trPr>
        <w:tc>
          <w:tcPr>
            <w:tcW w:w="1711" w:type="dxa"/>
          </w:tcPr>
          <w:p w14:paraId="10D155B0" w14:textId="77777777" w:rsidR="0046798B" w:rsidRDefault="00903B5C">
            <w:pPr>
              <w:pStyle w:val="TableParagraph"/>
              <w:spacing w:before="158"/>
              <w:ind w:left="115" w:right="98"/>
              <w:rPr>
                <w:b/>
                <w:sz w:val="20"/>
              </w:rPr>
            </w:pPr>
            <w:r>
              <w:rPr>
                <w:b/>
                <w:sz w:val="20"/>
              </w:rPr>
              <w:t>gsp_sic_ann_mul tiplier</w:t>
            </w:r>
          </w:p>
        </w:tc>
        <w:tc>
          <w:tcPr>
            <w:tcW w:w="1596" w:type="dxa"/>
          </w:tcPr>
          <w:p w14:paraId="49D10978" w14:textId="77777777" w:rsidR="0046798B" w:rsidRDefault="00903B5C">
            <w:pPr>
              <w:pStyle w:val="TableParagraph"/>
              <w:spacing w:before="43"/>
              <w:ind w:left="114"/>
              <w:rPr>
                <w:sz w:val="20"/>
              </w:rPr>
            </w:pPr>
            <w:r>
              <w:rPr>
                <w:sz w:val="20"/>
              </w:rPr>
              <w:t>Gross state product by SIC multiplier</w:t>
            </w:r>
          </w:p>
        </w:tc>
        <w:tc>
          <w:tcPr>
            <w:tcW w:w="1285" w:type="dxa"/>
          </w:tcPr>
          <w:p w14:paraId="736513D6" w14:textId="77777777" w:rsidR="0046798B" w:rsidRDefault="0046798B">
            <w:pPr>
              <w:pStyle w:val="TableParagraph"/>
              <w:spacing w:before="8"/>
              <w:rPr>
                <w:sz w:val="23"/>
              </w:rPr>
            </w:pPr>
          </w:p>
          <w:p w14:paraId="07B6F161" w14:textId="77777777" w:rsidR="0046798B" w:rsidRDefault="00903B5C">
            <w:pPr>
              <w:pStyle w:val="TableParagraph"/>
              <w:spacing w:before="1"/>
              <w:ind w:left="114"/>
              <w:rPr>
                <w:sz w:val="20"/>
              </w:rPr>
            </w:pPr>
            <w:r>
              <w:rPr>
                <w:sz w:val="20"/>
              </w:rPr>
              <w:t>1963–1997</w:t>
            </w:r>
          </w:p>
        </w:tc>
        <w:tc>
          <w:tcPr>
            <w:tcW w:w="3421" w:type="dxa"/>
          </w:tcPr>
          <w:p w14:paraId="1056DACD" w14:textId="77777777" w:rsidR="0046798B" w:rsidRDefault="00903B5C">
            <w:pPr>
              <w:pStyle w:val="TableParagraph"/>
              <w:spacing w:before="43"/>
              <w:ind w:left="114" w:right="253"/>
              <w:rPr>
                <w:sz w:val="20"/>
              </w:rPr>
            </w:pPr>
            <w:r>
              <w:rPr>
                <w:sz w:val="20"/>
              </w:rPr>
              <w:t>For Q=2.5: amount that last year’s figure needs to be multiplied by to equal this year’s figure. For Q=1, 2, 3</w:t>
            </w:r>
          </w:p>
        </w:tc>
        <w:tc>
          <w:tcPr>
            <w:tcW w:w="6482" w:type="dxa"/>
          </w:tcPr>
          <w:p w14:paraId="6F14A5AA" w14:textId="77777777" w:rsidR="0046798B" w:rsidRDefault="00903B5C">
            <w:pPr>
              <w:pStyle w:val="TableParagraph"/>
              <w:spacing w:before="158"/>
              <w:ind w:left="114" w:right="1111"/>
              <w:rPr>
                <w:sz w:val="20"/>
              </w:rPr>
            </w:pPr>
            <w:r>
              <w:rPr>
                <w:sz w:val="20"/>
              </w:rPr>
              <w:t xml:space="preserve">Klarner, Carl, 2013, “State Economic Data”, </w:t>
            </w:r>
            <w:hyperlink r:id="rId209">
              <w:r>
                <w:rPr>
                  <w:sz w:val="20"/>
                  <w:u w:val="single"/>
                </w:rPr>
                <w:t>https://doi.org/10.7910/DVN/KMWN7N</w:t>
              </w:r>
            </w:hyperlink>
            <w:r>
              <w:rPr>
                <w:sz w:val="20"/>
              </w:rPr>
              <w:t>, Harvard Dataverse, V1</w:t>
            </w:r>
          </w:p>
        </w:tc>
      </w:tr>
    </w:tbl>
    <w:p w14:paraId="3B42927B" w14:textId="77777777" w:rsidR="0046798B" w:rsidRDefault="0046798B">
      <w:pPr>
        <w:rPr>
          <w:sz w:val="20"/>
        </w:rPr>
        <w:sectPr w:rsidR="0046798B">
          <w:pgSz w:w="15840" w:h="12240" w:orient="landscape"/>
          <w:pgMar w:top="1220" w:right="300" w:bottom="980" w:left="820" w:header="730" w:footer="787" w:gutter="0"/>
          <w:cols w:space="720"/>
        </w:sectPr>
      </w:pPr>
    </w:p>
    <w:p w14:paraId="03FA4E1B"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3C27AE38" w14:textId="77777777">
        <w:trPr>
          <w:trHeight w:val="1465"/>
        </w:trPr>
        <w:tc>
          <w:tcPr>
            <w:tcW w:w="1711" w:type="dxa"/>
          </w:tcPr>
          <w:p w14:paraId="349317FC" w14:textId="77777777" w:rsidR="0046798B" w:rsidRDefault="0046798B">
            <w:pPr>
              <w:pStyle w:val="TableParagraph"/>
              <w:rPr>
                <w:sz w:val="20"/>
              </w:rPr>
            </w:pPr>
          </w:p>
        </w:tc>
        <w:tc>
          <w:tcPr>
            <w:tcW w:w="1596" w:type="dxa"/>
          </w:tcPr>
          <w:p w14:paraId="0A0BDE8A" w14:textId="77777777" w:rsidR="0046798B" w:rsidRDefault="0046798B">
            <w:pPr>
              <w:pStyle w:val="TableParagraph"/>
              <w:rPr>
                <w:sz w:val="20"/>
              </w:rPr>
            </w:pPr>
          </w:p>
        </w:tc>
        <w:tc>
          <w:tcPr>
            <w:tcW w:w="1285" w:type="dxa"/>
          </w:tcPr>
          <w:p w14:paraId="04650C42" w14:textId="77777777" w:rsidR="0046798B" w:rsidRDefault="0046798B">
            <w:pPr>
              <w:pStyle w:val="TableParagraph"/>
              <w:rPr>
                <w:sz w:val="20"/>
              </w:rPr>
            </w:pPr>
          </w:p>
        </w:tc>
        <w:tc>
          <w:tcPr>
            <w:tcW w:w="3421" w:type="dxa"/>
          </w:tcPr>
          <w:p w14:paraId="3393F554" w14:textId="77777777" w:rsidR="0046798B" w:rsidRDefault="00903B5C">
            <w:pPr>
              <w:pStyle w:val="TableParagraph"/>
              <w:spacing w:before="43"/>
              <w:ind w:left="114" w:right="150"/>
              <w:rPr>
                <w:sz w:val="20"/>
              </w:rPr>
            </w:pPr>
            <w:r>
              <w:rPr>
                <w:sz w:val="20"/>
              </w:rPr>
              <w:t>or 4: figure in Q=2.5, but altered as follows. Q3 from the year before Q2.5 gets a ^(1/8). Q4 from the year before Q2.5 gets a ^(1/4). Q1 from the year of Q2.5 gets a ^(1/4). Q2 from the year of Q2.5 gets a ^(1/4)</w:t>
            </w:r>
          </w:p>
        </w:tc>
        <w:tc>
          <w:tcPr>
            <w:tcW w:w="6482" w:type="dxa"/>
          </w:tcPr>
          <w:p w14:paraId="4E375794" w14:textId="77777777" w:rsidR="0046798B" w:rsidRDefault="0046798B">
            <w:pPr>
              <w:pStyle w:val="TableParagraph"/>
              <w:rPr>
                <w:sz w:val="20"/>
              </w:rPr>
            </w:pPr>
          </w:p>
        </w:tc>
      </w:tr>
      <w:tr w:rsidR="0046798B" w14:paraId="33830522" w14:textId="77777777">
        <w:trPr>
          <w:trHeight w:val="2616"/>
        </w:trPr>
        <w:tc>
          <w:tcPr>
            <w:tcW w:w="1711" w:type="dxa"/>
          </w:tcPr>
          <w:p w14:paraId="595371EF" w14:textId="77777777" w:rsidR="0046798B" w:rsidRDefault="0046798B">
            <w:pPr>
              <w:pStyle w:val="TableParagraph"/>
            </w:pPr>
          </w:p>
          <w:p w14:paraId="7146C4A0" w14:textId="77777777" w:rsidR="0046798B" w:rsidRDefault="0046798B">
            <w:pPr>
              <w:pStyle w:val="TableParagraph"/>
            </w:pPr>
          </w:p>
          <w:p w14:paraId="42F2100E" w14:textId="77777777" w:rsidR="0046798B" w:rsidRDefault="0046798B">
            <w:pPr>
              <w:pStyle w:val="TableParagraph"/>
            </w:pPr>
          </w:p>
          <w:p w14:paraId="5B5ED282" w14:textId="77777777" w:rsidR="0046798B" w:rsidRDefault="0046798B">
            <w:pPr>
              <w:pStyle w:val="TableParagraph"/>
            </w:pPr>
          </w:p>
          <w:p w14:paraId="5FBEB4DE" w14:textId="77777777" w:rsidR="0046798B" w:rsidRDefault="00903B5C">
            <w:pPr>
              <w:pStyle w:val="TableParagraph"/>
              <w:spacing w:before="182"/>
              <w:ind w:left="115"/>
              <w:rPr>
                <w:b/>
                <w:sz w:val="20"/>
              </w:rPr>
            </w:pPr>
            <w:r>
              <w:rPr>
                <w:b/>
                <w:sz w:val="20"/>
              </w:rPr>
              <w:t>gsp_sic_q</w:t>
            </w:r>
          </w:p>
        </w:tc>
        <w:tc>
          <w:tcPr>
            <w:tcW w:w="1596" w:type="dxa"/>
          </w:tcPr>
          <w:p w14:paraId="322D9B37" w14:textId="77777777" w:rsidR="0046798B" w:rsidRDefault="0046798B">
            <w:pPr>
              <w:pStyle w:val="TableParagraph"/>
            </w:pPr>
          </w:p>
          <w:p w14:paraId="1AA85C68" w14:textId="77777777" w:rsidR="0046798B" w:rsidRDefault="0046798B">
            <w:pPr>
              <w:pStyle w:val="TableParagraph"/>
            </w:pPr>
          </w:p>
          <w:p w14:paraId="47EDC9F0" w14:textId="77777777" w:rsidR="0046798B" w:rsidRDefault="0046798B">
            <w:pPr>
              <w:pStyle w:val="TableParagraph"/>
              <w:spacing w:before="9"/>
              <w:rPr>
                <w:sz w:val="29"/>
              </w:rPr>
            </w:pPr>
          </w:p>
          <w:p w14:paraId="0868D2F5" w14:textId="77777777" w:rsidR="0046798B" w:rsidRDefault="00903B5C">
            <w:pPr>
              <w:pStyle w:val="TableParagraph"/>
              <w:ind w:left="114" w:right="135"/>
              <w:rPr>
                <w:sz w:val="20"/>
              </w:rPr>
            </w:pPr>
            <w:r>
              <w:rPr>
                <w:sz w:val="20"/>
              </w:rPr>
              <w:t>Gross state product by SIC in millions of current dollars</w:t>
            </w:r>
          </w:p>
        </w:tc>
        <w:tc>
          <w:tcPr>
            <w:tcW w:w="1285" w:type="dxa"/>
          </w:tcPr>
          <w:p w14:paraId="3871C185" w14:textId="77777777" w:rsidR="0046798B" w:rsidRDefault="0046798B">
            <w:pPr>
              <w:pStyle w:val="TableParagraph"/>
            </w:pPr>
          </w:p>
          <w:p w14:paraId="7F19CDD9" w14:textId="77777777" w:rsidR="0046798B" w:rsidRDefault="0046798B">
            <w:pPr>
              <w:pStyle w:val="TableParagraph"/>
            </w:pPr>
          </w:p>
          <w:p w14:paraId="1BFB096D" w14:textId="77777777" w:rsidR="0046798B" w:rsidRDefault="0046798B">
            <w:pPr>
              <w:pStyle w:val="TableParagraph"/>
            </w:pPr>
          </w:p>
          <w:p w14:paraId="08A55D5D" w14:textId="77777777" w:rsidR="0046798B" w:rsidRDefault="0046798B">
            <w:pPr>
              <w:pStyle w:val="TableParagraph"/>
            </w:pPr>
          </w:p>
          <w:p w14:paraId="4AFB6631" w14:textId="77777777" w:rsidR="0046798B" w:rsidRDefault="00903B5C">
            <w:pPr>
              <w:pStyle w:val="TableParagraph"/>
              <w:spacing w:before="182"/>
              <w:ind w:left="114"/>
              <w:rPr>
                <w:sz w:val="20"/>
              </w:rPr>
            </w:pPr>
            <w:r>
              <w:rPr>
                <w:sz w:val="20"/>
              </w:rPr>
              <w:t>1963–1997</w:t>
            </w:r>
          </w:p>
        </w:tc>
        <w:tc>
          <w:tcPr>
            <w:tcW w:w="3421" w:type="dxa"/>
          </w:tcPr>
          <w:p w14:paraId="298C427D" w14:textId="77777777" w:rsidR="0046798B" w:rsidRDefault="00903B5C">
            <w:pPr>
              <w:pStyle w:val="TableParagraph"/>
              <w:spacing w:before="44"/>
              <w:ind w:left="114" w:right="117"/>
              <w:rPr>
                <w:sz w:val="20"/>
              </w:rPr>
            </w:pPr>
            <w:r>
              <w:rPr>
                <w:sz w:val="20"/>
              </w:rPr>
              <w:t>Millions of current dollars. For Q=2.5, this equals gsp_naics_ann or gsp_sic_ann as appropriate. For Qs=1, 2, 3 and 4, it equals the figure from the last quarter (or Q=2.5, for Q=3), times the multipliers gsp_naics_ann_multiplier or gsp_sics_ann_multiplier above as appropriate. Note: although these data were put into quarters, they were not divided by 4.</w:t>
            </w:r>
          </w:p>
        </w:tc>
        <w:tc>
          <w:tcPr>
            <w:tcW w:w="6482" w:type="dxa"/>
          </w:tcPr>
          <w:p w14:paraId="04DF8357" w14:textId="77777777" w:rsidR="0046798B" w:rsidRDefault="0046798B">
            <w:pPr>
              <w:pStyle w:val="TableParagraph"/>
            </w:pPr>
          </w:p>
          <w:p w14:paraId="0DBE507D" w14:textId="77777777" w:rsidR="0046798B" w:rsidRDefault="0046798B">
            <w:pPr>
              <w:pStyle w:val="TableParagraph"/>
            </w:pPr>
          </w:p>
          <w:p w14:paraId="59228182" w14:textId="77777777" w:rsidR="0046798B" w:rsidRDefault="0046798B">
            <w:pPr>
              <w:pStyle w:val="TableParagraph"/>
            </w:pPr>
          </w:p>
          <w:p w14:paraId="1BCF379D" w14:textId="77777777" w:rsidR="0046798B" w:rsidRDefault="0046798B">
            <w:pPr>
              <w:pStyle w:val="TableParagraph"/>
              <w:spacing w:before="9"/>
              <w:rPr>
                <w:sz w:val="27"/>
              </w:rPr>
            </w:pPr>
          </w:p>
          <w:p w14:paraId="77953E46" w14:textId="77777777" w:rsidR="0046798B" w:rsidRDefault="00903B5C">
            <w:pPr>
              <w:pStyle w:val="TableParagraph"/>
              <w:ind w:left="114" w:right="1111"/>
              <w:rPr>
                <w:sz w:val="20"/>
              </w:rPr>
            </w:pPr>
            <w:r>
              <w:rPr>
                <w:sz w:val="20"/>
              </w:rPr>
              <w:t xml:space="preserve">Klarner, Carl, 2013, “State Economic Data”, </w:t>
            </w:r>
            <w:hyperlink r:id="rId210">
              <w:r>
                <w:rPr>
                  <w:sz w:val="20"/>
                  <w:u w:val="single"/>
                </w:rPr>
                <w:t>https://doi.org/10.7910/DVN/KMWN7N</w:t>
              </w:r>
            </w:hyperlink>
            <w:r>
              <w:rPr>
                <w:sz w:val="20"/>
              </w:rPr>
              <w:t>, Harvard Dataverse, V1</w:t>
            </w:r>
          </w:p>
        </w:tc>
      </w:tr>
      <w:tr w:rsidR="0046798B" w14:paraId="42329684" w14:textId="77777777">
        <w:trPr>
          <w:trHeight w:val="2155"/>
        </w:trPr>
        <w:tc>
          <w:tcPr>
            <w:tcW w:w="1711" w:type="dxa"/>
          </w:tcPr>
          <w:p w14:paraId="4468AD03" w14:textId="77777777" w:rsidR="0046798B" w:rsidRDefault="0046798B">
            <w:pPr>
              <w:pStyle w:val="TableParagraph"/>
            </w:pPr>
          </w:p>
          <w:p w14:paraId="7EC226C0" w14:textId="77777777" w:rsidR="0046798B" w:rsidRDefault="0046798B">
            <w:pPr>
              <w:pStyle w:val="TableParagraph"/>
            </w:pPr>
          </w:p>
          <w:p w14:paraId="79558BB5" w14:textId="77777777" w:rsidR="0046798B" w:rsidRDefault="0046798B">
            <w:pPr>
              <w:pStyle w:val="TableParagraph"/>
              <w:spacing w:before="8"/>
              <w:rPr>
                <w:sz w:val="29"/>
              </w:rPr>
            </w:pPr>
          </w:p>
          <w:p w14:paraId="61DD979D" w14:textId="77777777" w:rsidR="0046798B" w:rsidRDefault="00903B5C">
            <w:pPr>
              <w:pStyle w:val="TableParagraph"/>
              <w:spacing w:before="1"/>
              <w:ind w:left="115" w:right="187"/>
              <w:rPr>
                <w:b/>
                <w:sz w:val="20"/>
              </w:rPr>
            </w:pPr>
            <w:r>
              <w:rPr>
                <w:b/>
                <w:sz w:val="20"/>
              </w:rPr>
              <w:t>housing_prices_ quar</w:t>
            </w:r>
          </w:p>
        </w:tc>
        <w:tc>
          <w:tcPr>
            <w:tcW w:w="1596" w:type="dxa"/>
          </w:tcPr>
          <w:p w14:paraId="0D0E3B6E" w14:textId="77777777" w:rsidR="0046798B" w:rsidRDefault="0046798B">
            <w:pPr>
              <w:pStyle w:val="TableParagraph"/>
            </w:pPr>
          </w:p>
          <w:p w14:paraId="760A92D2" w14:textId="77777777" w:rsidR="0046798B" w:rsidRDefault="0046798B">
            <w:pPr>
              <w:pStyle w:val="TableParagraph"/>
            </w:pPr>
          </w:p>
          <w:p w14:paraId="0EAF7468" w14:textId="77777777" w:rsidR="0046798B" w:rsidRDefault="0046798B">
            <w:pPr>
              <w:pStyle w:val="TableParagraph"/>
              <w:spacing w:before="8"/>
              <w:rPr>
                <w:sz w:val="19"/>
              </w:rPr>
            </w:pPr>
          </w:p>
          <w:p w14:paraId="7C1185D5" w14:textId="77777777" w:rsidR="0046798B" w:rsidRDefault="00903B5C">
            <w:pPr>
              <w:pStyle w:val="TableParagraph"/>
              <w:spacing w:before="1"/>
              <w:ind w:left="114" w:right="368"/>
              <w:rPr>
                <w:sz w:val="20"/>
              </w:rPr>
            </w:pPr>
            <w:r>
              <w:rPr>
                <w:sz w:val="20"/>
              </w:rPr>
              <w:t>Quarterly housing price index</w:t>
            </w:r>
          </w:p>
        </w:tc>
        <w:tc>
          <w:tcPr>
            <w:tcW w:w="1285" w:type="dxa"/>
          </w:tcPr>
          <w:p w14:paraId="4748243B" w14:textId="77777777" w:rsidR="0046798B" w:rsidRDefault="0046798B">
            <w:pPr>
              <w:pStyle w:val="TableParagraph"/>
            </w:pPr>
          </w:p>
          <w:p w14:paraId="35A2BBFC" w14:textId="77777777" w:rsidR="0046798B" w:rsidRDefault="0046798B">
            <w:pPr>
              <w:pStyle w:val="TableParagraph"/>
            </w:pPr>
          </w:p>
          <w:p w14:paraId="3F127023" w14:textId="77777777" w:rsidR="0046798B" w:rsidRDefault="0046798B">
            <w:pPr>
              <w:pStyle w:val="TableParagraph"/>
            </w:pPr>
          </w:p>
          <w:p w14:paraId="4164D465" w14:textId="77777777" w:rsidR="0046798B" w:rsidRDefault="0046798B">
            <w:pPr>
              <w:pStyle w:val="TableParagraph"/>
              <w:spacing w:before="8"/>
              <w:rPr>
                <w:sz w:val="17"/>
              </w:rPr>
            </w:pPr>
          </w:p>
          <w:p w14:paraId="5434ECD3" w14:textId="77777777" w:rsidR="0046798B" w:rsidRDefault="00903B5C">
            <w:pPr>
              <w:pStyle w:val="TableParagraph"/>
              <w:spacing w:before="1"/>
              <w:ind w:left="114"/>
              <w:rPr>
                <w:sz w:val="20"/>
              </w:rPr>
            </w:pPr>
            <w:r>
              <w:rPr>
                <w:sz w:val="20"/>
              </w:rPr>
              <w:t>1975–2012</w:t>
            </w:r>
          </w:p>
        </w:tc>
        <w:tc>
          <w:tcPr>
            <w:tcW w:w="3421" w:type="dxa"/>
          </w:tcPr>
          <w:p w14:paraId="0D6E3518" w14:textId="77777777" w:rsidR="0046798B" w:rsidRDefault="00903B5C">
            <w:pPr>
              <w:pStyle w:val="TableParagraph"/>
              <w:spacing w:before="43"/>
              <w:ind w:left="114" w:right="120"/>
              <w:rPr>
                <w:sz w:val="20"/>
              </w:rPr>
            </w:pPr>
            <w:r>
              <w:rPr>
                <w:sz w:val="20"/>
              </w:rPr>
              <w:t>When “is_a_quarter”=1, this represents quarterly housing price index (1980q1=1 for all states). All- transaction index estimated using sales prices and appraisal data. Data isn’t seasonally adjusted. When quar=2.5, this represents the average from the same indicator for the four quarters of the calendar year.</w:t>
            </w:r>
          </w:p>
        </w:tc>
        <w:tc>
          <w:tcPr>
            <w:tcW w:w="6482" w:type="dxa"/>
          </w:tcPr>
          <w:p w14:paraId="57F79669" w14:textId="77777777" w:rsidR="0046798B" w:rsidRDefault="00903B5C">
            <w:pPr>
              <w:pStyle w:val="TableParagraph"/>
              <w:spacing w:before="158"/>
              <w:ind w:left="114" w:right="1111"/>
              <w:rPr>
                <w:sz w:val="20"/>
              </w:rPr>
            </w:pPr>
            <w:r>
              <w:rPr>
                <w:sz w:val="20"/>
              </w:rPr>
              <w:t xml:space="preserve">Klarner, Carl, 2013, “State Economic Data”, </w:t>
            </w:r>
            <w:hyperlink r:id="rId211">
              <w:r>
                <w:rPr>
                  <w:sz w:val="20"/>
                  <w:u w:val="single"/>
                </w:rPr>
                <w:t>https://doi.org/10.7910/DVN/KMWN7N</w:t>
              </w:r>
            </w:hyperlink>
            <w:r>
              <w:rPr>
                <w:sz w:val="20"/>
              </w:rPr>
              <w:t>, Harvard Dataverse, V1</w:t>
            </w:r>
          </w:p>
          <w:p w14:paraId="505218EE" w14:textId="77777777" w:rsidR="0046798B" w:rsidRDefault="0046798B">
            <w:pPr>
              <w:pStyle w:val="TableParagraph"/>
              <w:rPr>
                <w:sz w:val="20"/>
              </w:rPr>
            </w:pPr>
          </w:p>
          <w:p w14:paraId="789333AE" w14:textId="77777777" w:rsidR="0046798B" w:rsidRDefault="00903B5C">
            <w:pPr>
              <w:pStyle w:val="TableParagraph"/>
              <w:ind w:left="114" w:right="156"/>
              <w:rPr>
                <w:sz w:val="20"/>
              </w:rPr>
            </w:pPr>
            <w:r>
              <w:rPr>
                <w:sz w:val="20"/>
              </w:rPr>
              <w:t xml:space="preserve">Source for quarterly data: Federal Housing Finance Agency. </w:t>
            </w:r>
            <w:hyperlink r:id="rId212">
              <w:r>
                <w:rPr>
                  <w:sz w:val="20"/>
                </w:rPr>
                <w:t>http://www.fhfa.gov/Default.aspx?Page=87.</w:t>
              </w:r>
            </w:hyperlink>
            <w:r>
              <w:rPr>
                <w:sz w:val="20"/>
              </w:rPr>
              <w:t xml:space="preserve"> “States through 2012q1 (not seasonally adjusted) [CSV].” Note: In the original source, 1980q1=100, and so was divided by 100 here. In the original source, all states are given a score of “100” in 1980q1, so apparently the index isn’t comparable across states.</w:t>
            </w:r>
          </w:p>
        </w:tc>
      </w:tr>
      <w:tr w:rsidR="0046798B" w14:paraId="573110DE" w14:textId="77777777">
        <w:trPr>
          <w:trHeight w:val="1240"/>
        </w:trPr>
        <w:tc>
          <w:tcPr>
            <w:tcW w:w="1711" w:type="dxa"/>
          </w:tcPr>
          <w:p w14:paraId="29C52CFB" w14:textId="77777777" w:rsidR="0046798B" w:rsidRDefault="0046798B">
            <w:pPr>
              <w:pStyle w:val="TableParagraph"/>
            </w:pPr>
          </w:p>
          <w:p w14:paraId="0C5B69A9" w14:textId="77777777" w:rsidR="0046798B" w:rsidRDefault="0046798B">
            <w:pPr>
              <w:pStyle w:val="TableParagraph"/>
              <w:spacing w:before="9"/>
              <w:rPr>
                <w:sz w:val="21"/>
              </w:rPr>
            </w:pPr>
          </w:p>
          <w:p w14:paraId="29F12F05" w14:textId="77777777" w:rsidR="0046798B" w:rsidRDefault="00903B5C">
            <w:pPr>
              <w:pStyle w:val="TableParagraph"/>
              <w:ind w:left="115"/>
              <w:rPr>
                <w:b/>
                <w:sz w:val="20"/>
              </w:rPr>
            </w:pPr>
            <w:r>
              <w:rPr>
                <w:b/>
                <w:sz w:val="20"/>
              </w:rPr>
              <w:t>inc_multiplier</w:t>
            </w:r>
          </w:p>
        </w:tc>
        <w:tc>
          <w:tcPr>
            <w:tcW w:w="1596" w:type="dxa"/>
          </w:tcPr>
          <w:p w14:paraId="24A59641" w14:textId="77777777" w:rsidR="0046798B" w:rsidRDefault="0046798B">
            <w:pPr>
              <w:pStyle w:val="TableParagraph"/>
            </w:pPr>
          </w:p>
          <w:p w14:paraId="7F82015E" w14:textId="77777777" w:rsidR="0046798B" w:rsidRDefault="00903B5C">
            <w:pPr>
              <w:pStyle w:val="TableParagraph"/>
              <w:spacing w:before="136"/>
              <w:ind w:left="114" w:right="91"/>
              <w:rPr>
                <w:sz w:val="20"/>
              </w:rPr>
            </w:pPr>
            <w:r>
              <w:rPr>
                <w:sz w:val="20"/>
              </w:rPr>
              <w:t>Imputed quarterly income</w:t>
            </w:r>
          </w:p>
        </w:tc>
        <w:tc>
          <w:tcPr>
            <w:tcW w:w="1285" w:type="dxa"/>
          </w:tcPr>
          <w:p w14:paraId="397B7779" w14:textId="77777777" w:rsidR="0046798B" w:rsidRDefault="0046798B">
            <w:pPr>
              <w:pStyle w:val="TableParagraph"/>
            </w:pPr>
          </w:p>
          <w:p w14:paraId="50A32E67" w14:textId="77777777" w:rsidR="0046798B" w:rsidRDefault="0046798B">
            <w:pPr>
              <w:pStyle w:val="TableParagraph"/>
              <w:spacing w:before="9"/>
              <w:rPr>
                <w:sz w:val="21"/>
              </w:rPr>
            </w:pPr>
          </w:p>
          <w:p w14:paraId="1F381045" w14:textId="77777777" w:rsidR="0046798B" w:rsidRDefault="00903B5C">
            <w:pPr>
              <w:pStyle w:val="TableParagraph"/>
              <w:ind w:left="114"/>
              <w:rPr>
                <w:sz w:val="20"/>
              </w:rPr>
            </w:pPr>
            <w:r>
              <w:rPr>
                <w:sz w:val="20"/>
              </w:rPr>
              <w:t>1929–1948</w:t>
            </w:r>
          </w:p>
        </w:tc>
        <w:tc>
          <w:tcPr>
            <w:tcW w:w="3421" w:type="dxa"/>
          </w:tcPr>
          <w:p w14:paraId="44D4DB4B" w14:textId="77777777" w:rsidR="0046798B" w:rsidRDefault="00903B5C">
            <w:pPr>
              <w:pStyle w:val="TableParagraph"/>
              <w:spacing w:before="43"/>
              <w:ind w:left="114" w:right="117"/>
              <w:rPr>
                <w:sz w:val="20"/>
              </w:rPr>
            </w:pPr>
            <w:r>
              <w:rPr>
                <w:sz w:val="20"/>
              </w:rPr>
              <w:t xml:space="preserve">Amount last period has to be </w:t>
            </w:r>
            <w:r>
              <w:rPr>
                <w:spacing w:val="-3"/>
                <w:sz w:val="20"/>
              </w:rPr>
              <w:t xml:space="preserve">multiplied </w:t>
            </w:r>
            <w:r>
              <w:rPr>
                <w:sz w:val="20"/>
              </w:rPr>
              <w:t>by to get the next period. The purpose of this variable is to impute quarterly income before such data were available.</w:t>
            </w:r>
          </w:p>
        </w:tc>
        <w:tc>
          <w:tcPr>
            <w:tcW w:w="6482" w:type="dxa"/>
          </w:tcPr>
          <w:p w14:paraId="34ED96E0" w14:textId="77777777" w:rsidR="0046798B" w:rsidRDefault="00903B5C">
            <w:pPr>
              <w:pStyle w:val="TableParagraph"/>
              <w:spacing w:before="133"/>
              <w:ind w:left="114" w:right="1111"/>
              <w:rPr>
                <w:sz w:val="20"/>
              </w:rPr>
            </w:pPr>
            <w:r>
              <w:rPr>
                <w:sz w:val="20"/>
              </w:rPr>
              <w:t xml:space="preserve">Klarner, Carl, 2013, “State Economic Data”, </w:t>
            </w:r>
            <w:hyperlink r:id="rId213">
              <w:r>
                <w:rPr>
                  <w:sz w:val="20"/>
                  <w:u w:val="single"/>
                </w:rPr>
                <w:t>https://doi.org/10.7910/DVN/KMWN7N</w:t>
              </w:r>
            </w:hyperlink>
            <w:r>
              <w:rPr>
                <w:sz w:val="20"/>
              </w:rPr>
              <w:t>, Harvard Dataverse, V1</w:t>
            </w:r>
          </w:p>
          <w:p w14:paraId="19C1E5EB" w14:textId="77777777" w:rsidR="0046798B" w:rsidRDefault="0046798B">
            <w:pPr>
              <w:pStyle w:val="TableParagraph"/>
              <w:spacing w:before="6"/>
              <w:rPr>
                <w:sz w:val="23"/>
              </w:rPr>
            </w:pPr>
          </w:p>
          <w:p w14:paraId="3E9E3A58" w14:textId="77777777" w:rsidR="0046798B" w:rsidRDefault="00903B5C">
            <w:pPr>
              <w:pStyle w:val="TableParagraph"/>
              <w:ind w:left="114"/>
              <w:rPr>
                <w:sz w:val="16"/>
              </w:rPr>
            </w:pPr>
            <w:r>
              <w:rPr>
                <w:sz w:val="20"/>
              </w:rPr>
              <w:t>Notes on construction of variable:</w:t>
            </w:r>
            <w:r>
              <w:rPr>
                <w:sz w:val="16"/>
              </w:rPr>
              <w:t>iii</w:t>
            </w:r>
          </w:p>
        </w:tc>
      </w:tr>
      <w:tr w:rsidR="0046798B" w14:paraId="53F8CD05" w14:textId="77777777">
        <w:trPr>
          <w:trHeight w:val="1005"/>
        </w:trPr>
        <w:tc>
          <w:tcPr>
            <w:tcW w:w="1711" w:type="dxa"/>
          </w:tcPr>
          <w:p w14:paraId="1060F8C2" w14:textId="77777777" w:rsidR="0046798B" w:rsidRDefault="0046798B">
            <w:pPr>
              <w:pStyle w:val="TableParagraph"/>
              <w:spacing w:before="4"/>
              <w:rPr>
                <w:sz w:val="23"/>
              </w:rPr>
            </w:pPr>
          </w:p>
          <w:p w14:paraId="7333D15D" w14:textId="77777777" w:rsidR="0046798B" w:rsidRDefault="00903B5C">
            <w:pPr>
              <w:pStyle w:val="TableParagraph"/>
              <w:ind w:left="115" w:right="88"/>
              <w:rPr>
                <w:b/>
                <w:sz w:val="20"/>
              </w:rPr>
            </w:pPr>
            <w:r>
              <w:rPr>
                <w:b/>
                <w:sz w:val="20"/>
              </w:rPr>
              <w:t>legislative_constr uction_exp</w:t>
            </w:r>
          </w:p>
        </w:tc>
        <w:tc>
          <w:tcPr>
            <w:tcW w:w="1596" w:type="dxa"/>
          </w:tcPr>
          <w:p w14:paraId="25F3C10B" w14:textId="77777777" w:rsidR="0046798B" w:rsidRDefault="00903B5C">
            <w:pPr>
              <w:pStyle w:val="TableParagraph"/>
              <w:spacing w:before="153"/>
              <w:ind w:left="114" w:right="430"/>
              <w:rPr>
                <w:sz w:val="20"/>
              </w:rPr>
            </w:pPr>
            <w:r>
              <w:rPr>
                <w:sz w:val="20"/>
              </w:rPr>
              <w:t>Legislative construction expenditures</w:t>
            </w:r>
          </w:p>
        </w:tc>
        <w:tc>
          <w:tcPr>
            <w:tcW w:w="1285" w:type="dxa"/>
          </w:tcPr>
          <w:p w14:paraId="134177F9" w14:textId="77777777" w:rsidR="0046798B" w:rsidRDefault="0046798B">
            <w:pPr>
              <w:pStyle w:val="TableParagraph"/>
            </w:pPr>
          </w:p>
          <w:p w14:paraId="51A44F0B" w14:textId="77777777" w:rsidR="0046798B" w:rsidRDefault="00903B5C">
            <w:pPr>
              <w:pStyle w:val="TableParagraph"/>
              <w:spacing w:before="130"/>
              <w:ind w:left="114"/>
              <w:rPr>
                <w:sz w:val="20"/>
              </w:rPr>
            </w:pPr>
            <w:r>
              <w:rPr>
                <w:sz w:val="20"/>
              </w:rPr>
              <w:t>2006–2010</w:t>
            </w:r>
          </w:p>
        </w:tc>
        <w:tc>
          <w:tcPr>
            <w:tcW w:w="3421" w:type="dxa"/>
          </w:tcPr>
          <w:p w14:paraId="27792CB1" w14:textId="77777777" w:rsidR="0046798B" w:rsidRDefault="00903B5C">
            <w:pPr>
              <w:pStyle w:val="TableParagraph"/>
              <w:spacing w:before="153"/>
              <w:ind w:left="114" w:right="372"/>
              <w:rPr>
                <w:sz w:val="20"/>
              </w:rPr>
            </w:pPr>
            <w:r>
              <w:rPr>
                <w:sz w:val="20"/>
              </w:rPr>
              <w:t>State legislature’s construction expenditures. Note: these are annual amounts put into quarters.</w:t>
            </w:r>
          </w:p>
        </w:tc>
        <w:tc>
          <w:tcPr>
            <w:tcW w:w="6482" w:type="dxa"/>
          </w:tcPr>
          <w:p w14:paraId="6EB45804" w14:textId="77777777" w:rsidR="0046798B" w:rsidRDefault="00903B5C">
            <w:pPr>
              <w:pStyle w:val="TableParagraph"/>
              <w:spacing w:before="38"/>
              <w:ind w:left="114" w:right="1111"/>
              <w:rPr>
                <w:sz w:val="20"/>
              </w:rPr>
            </w:pPr>
            <w:r>
              <w:rPr>
                <w:sz w:val="20"/>
              </w:rPr>
              <w:t xml:space="preserve">Klarner, Carl, 2013, “State Economic Data”, </w:t>
            </w:r>
            <w:hyperlink r:id="rId214">
              <w:r>
                <w:rPr>
                  <w:sz w:val="20"/>
                  <w:u w:val="single"/>
                </w:rPr>
                <w:t>https://doi.org/10.7910/DVN/KMWN7N</w:t>
              </w:r>
            </w:hyperlink>
            <w:r>
              <w:rPr>
                <w:sz w:val="20"/>
              </w:rPr>
              <w:t>, Harvard Dataverse, V1</w:t>
            </w:r>
          </w:p>
          <w:p w14:paraId="17A189DE" w14:textId="77777777" w:rsidR="0046798B" w:rsidRDefault="0046798B">
            <w:pPr>
              <w:pStyle w:val="TableParagraph"/>
              <w:rPr>
                <w:sz w:val="20"/>
              </w:rPr>
            </w:pPr>
          </w:p>
          <w:p w14:paraId="2B32B93B" w14:textId="77777777" w:rsidR="0046798B" w:rsidRDefault="00903B5C">
            <w:pPr>
              <w:pStyle w:val="TableParagraph"/>
              <w:ind w:left="114"/>
              <w:rPr>
                <w:sz w:val="20"/>
              </w:rPr>
            </w:pPr>
            <w:r>
              <w:rPr>
                <w:sz w:val="20"/>
              </w:rPr>
              <w:t xml:space="preserve">Source (fy2006 to fy2010): </w:t>
            </w:r>
            <w:hyperlink r:id="rId215">
              <w:r>
                <w:rPr>
                  <w:sz w:val="20"/>
                </w:rPr>
                <w:t>http://www.census.gov/govs/state/</w:t>
              </w:r>
            </w:hyperlink>
          </w:p>
        </w:tc>
      </w:tr>
      <w:tr w:rsidR="0046798B" w14:paraId="15C80811" w14:textId="77777777">
        <w:trPr>
          <w:trHeight w:val="775"/>
        </w:trPr>
        <w:tc>
          <w:tcPr>
            <w:tcW w:w="1711" w:type="dxa"/>
          </w:tcPr>
          <w:p w14:paraId="0ADE28B0" w14:textId="77777777" w:rsidR="0046798B" w:rsidRDefault="00903B5C">
            <w:pPr>
              <w:pStyle w:val="TableParagraph"/>
              <w:spacing w:before="153"/>
              <w:ind w:left="115" w:right="155"/>
              <w:rPr>
                <w:b/>
                <w:sz w:val="20"/>
              </w:rPr>
            </w:pPr>
            <w:r>
              <w:rPr>
                <w:b/>
                <w:sz w:val="20"/>
              </w:rPr>
              <w:t>legislative_curre nt_op_exp</w:t>
            </w:r>
          </w:p>
        </w:tc>
        <w:tc>
          <w:tcPr>
            <w:tcW w:w="1596" w:type="dxa"/>
          </w:tcPr>
          <w:p w14:paraId="07CBA2AF" w14:textId="77777777" w:rsidR="0046798B" w:rsidRDefault="00903B5C">
            <w:pPr>
              <w:pStyle w:val="TableParagraph"/>
              <w:spacing w:before="38"/>
              <w:ind w:left="114" w:right="430"/>
              <w:rPr>
                <w:sz w:val="20"/>
              </w:rPr>
            </w:pPr>
            <w:r>
              <w:rPr>
                <w:sz w:val="20"/>
              </w:rPr>
              <w:t>Legislative operating expenditures</w:t>
            </w:r>
          </w:p>
        </w:tc>
        <w:tc>
          <w:tcPr>
            <w:tcW w:w="1285" w:type="dxa"/>
          </w:tcPr>
          <w:p w14:paraId="2A2CD6A3" w14:textId="77777777" w:rsidR="0046798B" w:rsidRDefault="0046798B">
            <w:pPr>
              <w:pStyle w:val="TableParagraph"/>
              <w:spacing w:before="3"/>
              <w:rPr>
                <w:sz w:val="23"/>
              </w:rPr>
            </w:pPr>
          </w:p>
          <w:p w14:paraId="1532F47F" w14:textId="77777777" w:rsidR="0046798B" w:rsidRDefault="00903B5C">
            <w:pPr>
              <w:pStyle w:val="TableParagraph"/>
              <w:spacing w:before="1"/>
              <w:ind w:left="114"/>
              <w:rPr>
                <w:sz w:val="20"/>
              </w:rPr>
            </w:pPr>
            <w:r>
              <w:rPr>
                <w:sz w:val="20"/>
              </w:rPr>
              <w:t>2006–2010</w:t>
            </w:r>
          </w:p>
        </w:tc>
        <w:tc>
          <w:tcPr>
            <w:tcW w:w="3421" w:type="dxa"/>
          </w:tcPr>
          <w:p w14:paraId="5EDA7856" w14:textId="77777777" w:rsidR="0046798B" w:rsidRDefault="00903B5C">
            <w:pPr>
              <w:pStyle w:val="TableParagraph"/>
              <w:spacing w:before="38"/>
              <w:ind w:left="114" w:right="372"/>
              <w:rPr>
                <w:sz w:val="20"/>
              </w:rPr>
            </w:pPr>
            <w:r>
              <w:rPr>
                <w:sz w:val="20"/>
              </w:rPr>
              <w:t>State legislature’s current operating expenditures. Note: these are annual amounts put into quarters.</w:t>
            </w:r>
          </w:p>
        </w:tc>
        <w:tc>
          <w:tcPr>
            <w:tcW w:w="6482" w:type="dxa"/>
          </w:tcPr>
          <w:p w14:paraId="7E477107" w14:textId="77777777" w:rsidR="0046798B" w:rsidRDefault="00903B5C">
            <w:pPr>
              <w:pStyle w:val="TableParagraph"/>
              <w:spacing w:before="38"/>
              <w:ind w:left="114" w:right="1111"/>
              <w:rPr>
                <w:sz w:val="20"/>
              </w:rPr>
            </w:pPr>
            <w:r>
              <w:rPr>
                <w:sz w:val="20"/>
              </w:rPr>
              <w:t xml:space="preserve">Klarner, Carl, 2013, “State Economic Data”, </w:t>
            </w:r>
            <w:hyperlink r:id="rId216">
              <w:r>
                <w:rPr>
                  <w:sz w:val="20"/>
                  <w:u w:val="single"/>
                </w:rPr>
                <w:t>https://doi.org/10.7910/DVN/KMWN7N</w:t>
              </w:r>
            </w:hyperlink>
            <w:r>
              <w:rPr>
                <w:sz w:val="20"/>
              </w:rPr>
              <w:t>, Harvard Dataverse, V1</w:t>
            </w:r>
          </w:p>
        </w:tc>
      </w:tr>
    </w:tbl>
    <w:p w14:paraId="35EA24A8" w14:textId="77777777" w:rsidR="0046798B" w:rsidRDefault="0046798B">
      <w:pPr>
        <w:rPr>
          <w:sz w:val="20"/>
        </w:rPr>
        <w:sectPr w:rsidR="0046798B">
          <w:pgSz w:w="15840" w:h="12240" w:orient="landscape"/>
          <w:pgMar w:top="1220" w:right="300" w:bottom="980" w:left="820" w:header="730" w:footer="787" w:gutter="0"/>
          <w:cols w:space="720"/>
        </w:sectPr>
      </w:pPr>
    </w:p>
    <w:p w14:paraId="728D0883"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0A28A65C" w14:textId="77777777">
        <w:trPr>
          <w:trHeight w:val="1005"/>
        </w:trPr>
        <w:tc>
          <w:tcPr>
            <w:tcW w:w="1711" w:type="dxa"/>
          </w:tcPr>
          <w:p w14:paraId="278C6E5F" w14:textId="77777777" w:rsidR="0046798B" w:rsidRDefault="0046798B">
            <w:pPr>
              <w:pStyle w:val="TableParagraph"/>
              <w:rPr>
                <w:sz w:val="20"/>
              </w:rPr>
            </w:pPr>
          </w:p>
        </w:tc>
        <w:tc>
          <w:tcPr>
            <w:tcW w:w="1596" w:type="dxa"/>
          </w:tcPr>
          <w:p w14:paraId="5172F1D3" w14:textId="77777777" w:rsidR="0046798B" w:rsidRDefault="0046798B">
            <w:pPr>
              <w:pStyle w:val="TableParagraph"/>
              <w:rPr>
                <w:sz w:val="20"/>
              </w:rPr>
            </w:pPr>
          </w:p>
        </w:tc>
        <w:tc>
          <w:tcPr>
            <w:tcW w:w="1285" w:type="dxa"/>
          </w:tcPr>
          <w:p w14:paraId="41B41826" w14:textId="77777777" w:rsidR="0046798B" w:rsidRDefault="0046798B">
            <w:pPr>
              <w:pStyle w:val="TableParagraph"/>
              <w:rPr>
                <w:sz w:val="20"/>
              </w:rPr>
            </w:pPr>
          </w:p>
        </w:tc>
        <w:tc>
          <w:tcPr>
            <w:tcW w:w="3421" w:type="dxa"/>
          </w:tcPr>
          <w:p w14:paraId="350F443E" w14:textId="77777777" w:rsidR="0046798B" w:rsidRDefault="0046798B">
            <w:pPr>
              <w:pStyle w:val="TableParagraph"/>
              <w:rPr>
                <w:sz w:val="20"/>
              </w:rPr>
            </w:pPr>
          </w:p>
        </w:tc>
        <w:tc>
          <w:tcPr>
            <w:tcW w:w="6482" w:type="dxa"/>
          </w:tcPr>
          <w:p w14:paraId="25B9E195" w14:textId="77777777" w:rsidR="0046798B" w:rsidRDefault="00903B5C">
            <w:pPr>
              <w:pStyle w:val="TableParagraph"/>
              <w:spacing w:before="43"/>
              <w:ind w:left="114"/>
              <w:rPr>
                <w:sz w:val="20"/>
              </w:rPr>
            </w:pPr>
            <w:r>
              <w:rPr>
                <w:sz w:val="20"/>
              </w:rPr>
              <w:t xml:space="preserve">Source (fy2006 to fy2010): </w:t>
            </w:r>
            <w:hyperlink r:id="rId217">
              <w:r>
                <w:rPr>
                  <w:sz w:val="20"/>
                  <w:u w:val="single"/>
                </w:rPr>
                <w:t>http://www.census.gov/govs/state/</w:t>
              </w:r>
            </w:hyperlink>
          </w:p>
          <w:p w14:paraId="670FC98C" w14:textId="77777777" w:rsidR="0046798B" w:rsidRDefault="0046798B">
            <w:pPr>
              <w:pStyle w:val="TableParagraph"/>
              <w:rPr>
                <w:sz w:val="20"/>
              </w:rPr>
            </w:pPr>
          </w:p>
          <w:p w14:paraId="63B3F771" w14:textId="77777777" w:rsidR="0046798B" w:rsidRDefault="00903B5C">
            <w:pPr>
              <w:pStyle w:val="TableParagraph"/>
              <w:ind w:left="114" w:right="145"/>
              <w:rPr>
                <w:sz w:val="20"/>
              </w:rPr>
            </w:pPr>
            <w:r>
              <w:rPr>
                <w:sz w:val="20"/>
              </w:rPr>
              <w:t>Note: when legislative_current_op_exp was non-zero, I pasted in “0” into the other variables if there was no data there.</w:t>
            </w:r>
          </w:p>
        </w:tc>
      </w:tr>
      <w:tr w:rsidR="0046798B" w14:paraId="180B376C" w14:textId="77777777">
        <w:trPr>
          <w:trHeight w:val="1926"/>
        </w:trPr>
        <w:tc>
          <w:tcPr>
            <w:tcW w:w="1711" w:type="dxa"/>
          </w:tcPr>
          <w:p w14:paraId="5482D802" w14:textId="77777777" w:rsidR="0046798B" w:rsidRDefault="0046798B">
            <w:pPr>
              <w:pStyle w:val="TableParagraph"/>
            </w:pPr>
          </w:p>
          <w:p w14:paraId="3AA5B498" w14:textId="77777777" w:rsidR="0046798B" w:rsidRDefault="0046798B">
            <w:pPr>
              <w:pStyle w:val="TableParagraph"/>
            </w:pPr>
          </w:p>
          <w:p w14:paraId="020E0C54" w14:textId="77777777" w:rsidR="0046798B" w:rsidRDefault="0046798B">
            <w:pPr>
              <w:pStyle w:val="TableParagraph"/>
              <w:spacing w:before="9"/>
              <w:rPr>
                <w:sz w:val="19"/>
              </w:rPr>
            </w:pPr>
          </w:p>
          <w:p w14:paraId="6FFBB593" w14:textId="77777777" w:rsidR="0046798B" w:rsidRDefault="00903B5C">
            <w:pPr>
              <w:pStyle w:val="TableParagraph"/>
              <w:ind w:left="115" w:right="143"/>
              <w:rPr>
                <w:b/>
                <w:sz w:val="20"/>
              </w:rPr>
            </w:pPr>
            <w:r>
              <w:rPr>
                <w:b/>
                <w:sz w:val="20"/>
              </w:rPr>
              <w:t>legislative_equip ment_exp</w:t>
            </w:r>
          </w:p>
        </w:tc>
        <w:tc>
          <w:tcPr>
            <w:tcW w:w="1596" w:type="dxa"/>
          </w:tcPr>
          <w:p w14:paraId="2671B80D" w14:textId="77777777" w:rsidR="0046798B" w:rsidRDefault="0046798B">
            <w:pPr>
              <w:pStyle w:val="TableParagraph"/>
            </w:pPr>
          </w:p>
          <w:p w14:paraId="73AE87A3" w14:textId="77777777" w:rsidR="0046798B" w:rsidRDefault="0046798B">
            <w:pPr>
              <w:pStyle w:val="TableParagraph"/>
              <w:spacing w:before="9"/>
              <w:rPr>
                <w:sz w:val="31"/>
              </w:rPr>
            </w:pPr>
          </w:p>
          <w:p w14:paraId="09966BE8" w14:textId="77777777" w:rsidR="0046798B" w:rsidRDefault="00903B5C">
            <w:pPr>
              <w:pStyle w:val="TableParagraph"/>
              <w:ind w:left="114" w:right="430"/>
              <w:rPr>
                <w:sz w:val="20"/>
              </w:rPr>
            </w:pPr>
            <w:r>
              <w:rPr>
                <w:sz w:val="20"/>
              </w:rPr>
              <w:t>Legislative equipment expenditures</w:t>
            </w:r>
          </w:p>
        </w:tc>
        <w:tc>
          <w:tcPr>
            <w:tcW w:w="1285" w:type="dxa"/>
          </w:tcPr>
          <w:p w14:paraId="6AB66823" w14:textId="77777777" w:rsidR="0046798B" w:rsidRDefault="0046798B">
            <w:pPr>
              <w:pStyle w:val="TableParagraph"/>
            </w:pPr>
          </w:p>
          <w:p w14:paraId="72C60424" w14:textId="77777777" w:rsidR="0046798B" w:rsidRDefault="0046798B">
            <w:pPr>
              <w:pStyle w:val="TableParagraph"/>
            </w:pPr>
          </w:p>
          <w:p w14:paraId="3199DBD4" w14:textId="77777777" w:rsidR="0046798B" w:rsidRDefault="0046798B">
            <w:pPr>
              <w:pStyle w:val="TableParagraph"/>
              <w:spacing w:before="9"/>
              <w:rPr>
                <w:sz w:val="29"/>
              </w:rPr>
            </w:pPr>
          </w:p>
          <w:p w14:paraId="76932C81" w14:textId="77777777" w:rsidR="0046798B" w:rsidRDefault="00903B5C">
            <w:pPr>
              <w:pStyle w:val="TableParagraph"/>
              <w:ind w:left="114"/>
              <w:rPr>
                <w:sz w:val="20"/>
              </w:rPr>
            </w:pPr>
            <w:r>
              <w:rPr>
                <w:sz w:val="20"/>
              </w:rPr>
              <w:t>2006–2010</w:t>
            </w:r>
          </w:p>
        </w:tc>
        <w:tc>
          <w:tcPr>
            <w:tcW w:w="3421" w:type="dxa"/>
          </w:tcPr>
          <w:p w14:paraId="071F3E90" w14:textId="77777777" w:rsidR="0046798B" w:rsidRDefault="0046798B">
            <w:pPr>
              <w:pStyle w:val="TableParagraph"/>
            </w:pPr>
          </w:p>
          <w:p w14:paraId="54AFCACA" w14:textId="77777777" w:rsidR="0046798B" w:rsidRDefault="0046798B">
            <w:pPr>
              <w:pStyle w:val="TableParagraph"/>
              <w:spacing w:before="9"/>
              <w:rPr>
                <w:sz w:val="31"/>
              </w:rPr>
            </w:pPr>
          </w:p>
          <w:p w14:paraId="7703953A" w14:textId="77777777" w:rsidR="0046798B" w:rsidRDefault="00903B5C">
            <w:pPr>
              <w:pStyle w:val="TableParagraph"/>
              <w:ind w:left="114" w:right="372"/>
              <w:rPr>
                <w:sz w:val="20"/>
              </w:rPr>
            </w:pPr>
            <w:r>
              <w:rPr>
                <w:sz w:val="20"/>
              </w:rPr>
              <w:t>State legislature’s equipment expenditures. Note: these are annual amounts put into quarters.</w:t>
            </w:r>
          </w:p>
        </w:tc>
        <w:tc>
          <w:tcPr>
            <w:tcW w:w="6482" w:type="dxa"/>
          </w:tcPr>
          <w:p w14:paraId="5F80B6D9" w14:textId="77777777" w:rsidR="0046798B" w:rsidRDefault="00903B5C">
            <w:pPr>
              <w:pStyle w:val="TableParagraph"/>
              <w:spacing w:before="43"/>
              <w:ind w:left="114" w:right="1111"/>
              <w:rPr>
                <w:sz w:val="20"/>
              </w:rPr>
            </w:pPr>
            <w:r>
              <w:rPr>
                <w:sz w:val="20"/>
              </w:rPr>
              <w:t xml:space="preserve">Klarner, Carl, 2013, “State Economic Data”, </w:t>
            </w:r>
            <w:hyperlink r:id="rId218">
              <w:r>
                <w:rPr>
                  <w:sz w:val="20"/>
                  <w:u w:val="single"/>
                </w:rPr>
                <w:t>https://doi.org/10.7910/DVN/KMWN7N</w:t>
              </w:r>
            </w:hyperlink>
            <w:r>
              <w:rPr>
                <w:sz w:val="20"/>
              </w:rPr>
              <w:t>, Harvard Dataverse, V1</w:t>
            </w:r>
          </w:p>
          <w:p w14:paraId="67F38882" w14:textId="77777777" w:rsidR="0046798B" w:rsidRDefault="0046798B">
            <w:pPr>
              <w:pStyle w:val="TableParagraph"/>
              <w:rPr>
                <w:sz w:val="20"/>
              </w:rPr>
            </w:pPr>
          </w:p>
          <w:p w14:paraId="04C8CFBA" w14:textId="77777777" w:rsidR="0046798B" w:rsidRDefault="00903B5C">
            <w:pPr>
              <w:pStyle w:val="TableParagraph"/>
              <w:spacing w:before="1"/>
              <w:ind w:left="114"/>
              <w:rPr>
                <w:sz w:val="20"/>
              </w:rPr>
            </w:pPr>
            <w:r>
              <w:rPr>
                <w:sz w:val="20"/>
              </w:rPr>
              <w:t xml:space="preserve">Source (fy2006 to fy2010): </w:t>
            </w:r>
            <w:hyperlink r:id="rId219">
              <w:r>
                <w:rPr>
                  <w:sz w:val="20"/>
                  <w:u w:val="single"/>
                </w:rPr>
                <w:t>http://www.census.gov/govs/state/</w:t>
              </w:r>
            </w:hyperlink>
          </w:p>
          <w:p w14:paraId="26D5C6A6" w14:textId="77777777" w:rsidR="0046798B" w:rsidRDefault="0046798B">
            <w:pPr>
              <w:pStyle w:val="TableParagraph"/>
              <w:spacing w:before="11"/>
              <w:rPr>
                <w:sz w:val="19"/>
              </w:rPr>
            </w:pPr>
          </w:p>
          <w:p w14:paraId="72328AFE" w14:textId="77777777" w:rsidR="0046798B" w:rsidRDefault="00903B5C">
            <w:pPr>
              <w:pStyle w:val="TableParagraph"/>
              <w:ind w:left="114" w:right="1544"/>
              <w:rPr>
                <w:sz w:val="20"/>
              </w:rPr>
            </w:pPr>
            <w:r>
              <w:rPr>
                <w:sz w:val="20"/>
              </w:rPr>
              <w:t>Note: legislative_equipment_exp is often the same figure as legislative_other_capital_exp. When they differ, legislative_other_capital_exp is always larger.</w:t>
            </w:r>
          </w:p>
        </w:tc>
      </w:tr>
      <w:tr w:rsidR="0046798B" w14:paraId="5A551016" w14:textId="77777777">
        <w:trPr>
          <w:trHeight w:val="1010"/>
        </w:trPr>
        <w:tc>
          <w:tcPr>
            <w:tcW w:w="1711" w:type="dxa"/>
          </w:tcPr>
          <w:p w14:paraId="0159FB89" w14:textId="77777777" w:rsidR="0046798B" w:rsidRDefault="0046798B">
            <w:pPr>
              <w:pStyle w:val="TableParagraph"/>
              <w:spacing w:before="8"/>
              <w:rPr>
                <w:sz w:val="23"/>
              </w:rPr>
            </w:pPr>
          </w:p>
          <w:p w14:paraId="74136D51" w14:textId="77777777" w:rsidR="0046798B" w:rsidRDefault="00903B5C">
            <w:pPr>
              <w:pStyle w:val="TableParagraph"/>
              <w:spacing w:before="1"/>
              <w:ind w:left="115"/>
              <w:rPr>
                <w:b/>
                <w:sz w:val="20"/>
              </w:rPr>
            </w:pPr>
            <w:r>
              <w:rPr>
                <w:b/>
                <w:sz w:val="20"/>
              </w:rPr>
              <w:t>legislative_other</w:t>
            </w:r>
          </w:p>
          <w:p w14:paraId="28559F42" w14:textId="77777777" w:rsidR="0046798B" w:rsidRDefault="00903B5C">
            <w:pPr>
              <w:pStyle w:val="TableParagraph"/>
              <w:ind w:left="115"/>
              <w:rPr>
                <w:b/>
                <w:sz w:val="20"/>
              </w:rPr>
            </w:pPr>
            <w:r>
              <w:rPr>
                <w:b/>
                <w:sz w:val="20"/>
              </w:rPr>
              <w:t>_capital_exp</w:t>
            </w:r>
          </w:p>
        </w:tc>
        <w:tc>
          <w:tcPr>
            <w:tcW w:w="1596" w:type="dxa"/>
          </w:tcPr>
          <w:p w14:paraId="77CB7C77" w14:textId="77777777" w:rsidR="0046798B" w:rsidRDefault="00903B5C">
            <w:pPr>
              <w:pStyle w:val="TableParagraph"/>
              <w:spacing w:before="158"/>
              <w:ind w:left="114" w:right="102"/>
              <w:rPr>
                <w:sz w:val="20"/>
              </w:rPr>
            </w:pPr>
            <w:r>
              <w:rPr>
                <w:sz w:val="20"/>
              </w:rPr>
              <w:t>Legislative other capital expenditures</w:t>
            </w:r>
          </w:p>
        </w:tc>
        <w:tc>
          <w:tcPr>
            <w:tcW w:w="1285" w:type="dxa"/>
          </w:tcPr>
          <w:p w14:paraId="5472EB19" w14:textId="77777777" w:rsidR="0046798B" w:rsidRDefault="0046798B">
            <w:pPr>
              <w:pStyle w:val="TableParagraph"/>
            </w:pPr>
          </w:p>
          <w:p w14:paraId="57B20050" w14:textId="77777777" w:rsidR="0046798B" w:rsidRDefault="00903B5C">
            <w:pPr>
              <w:pStyle w:val="TableParagraph"/>
              <w:spacing w:before="135"/>
              <w:ind w:left="114"/>
              <w:rPr>
                <w:sz w:val="20"/>
              </w:rPr>
            </w:pPr>
            <w:r>
              <w:rPr>
                <w:sz w:val="20"/>
              </w:rPr>
              <w:t>2006–2010</w:t>
            </w:r>
          </w:p>
        </w:tc>
        <w:tc>
          <w:tcPr>
            <w:tcW w:w="3421" w:type="dxa"/>
          </w:tcPr>
          <w:p w14:paraId="62C2DBEB" w14:textId="77777777" w:rsidR="0046798B" w:rsidRDefault="00903B5C">
            <w:pPr>
              <w:pStyle w:val="TableParagraph"/>
              <w:spacing w:before="158"/>
              <w:ind w:left="114" w:right="372"/>
              <w:rPr>
                <w:sz w:val="20"/>
              </w:rPr>
            </w:pPr>
            <w:r>
              <w:rPr>
                <w:sz w:val="20"/>
              </w:rPr>
              <w:t>State legislature’s other capital expenditures. Note: these are annual amounts put into quarters.</w:t>
            </w:r>
          </w:p>
        </w:tc>
        <w:tc>
          <w:tcPr>
            <w:tcW w:w="6482" w:type="dxa"/>
          </w:tcPr>
          <w:p w14:paraId="687BC4EC" w14:textId="77777777" w:rsidR="0046798B" w:rsidRDefault="00903B5C">
            <w:pPr>
              <w:pStyle w:val="TableParagraph"/>
              <w:spacing w:before="43"/>
              <w:ind w:left="114" w:right="1111"/>
              <w:rPr>
                <w:sz w:val="20"/>
              </w:rPr>
            </w:pPr>
            <w:r>
              <w:rPr>
                <w:sz w:val="20"/>
              </w:rPr>
              <w:t xml:space="preserve">Klarner, Carl, 2013, “State Economic Data”, </w:t>
            </w:r>
            <w:hyperlink r:id="rId220">
              <w:r>
                <w:rPr>
                  <w:sz w:val="20"/>
                  <w:u w:val="single"/>
                </w:rPr>
                <w:t>https://doi.org/10.7910/DVN/KMWN7N</w:t>
              </w:r>
            </w:hyperlink>
            <w:r>
              <w:rPr>
                <w:sz w:val="20"/>
              </w:rPr>
              <w:t>, Harvard Dataverse, V1</w:t>
            </w:r>
          </w:p>
          <w:p w14:paraId="6F3E89EB" w14:textId="77777777" w:rsidR="0046798B" w:rsidRDefault="0046798B">
            <w:pPr>
              <w:pStyle w:val="TableParagraph"/>
              <w:rPr>
                <w:sz w:val="20"/>
              </w:rPr>
            </w:pPr>
          </w:p>
          <w:p w14:paraId="4D3DE3B2" w14:textId="77777777" w:rsidR="0046798B" w:rsidRDefault="00903B5C">
            <w:pPr>
              <w:pStyle w:val="TableParagraph"/>
              <w:ind w:left="114"/>
              <w:rPr>
                <w:sz w:val="20"/>
              </w:rPr>
            </w:pPr>
            <w:r>
              <w:rPr>
                <w:sz w:val="20"/>
              </w:rPr>
              <w:t xml:space="preserve">Source (fy2006 to fy2010): </w:t>
            </w:r>
            <w:hyperlink r:id="rId221">
              <w:r>
                <w:rPr>
                  <w:sz w:val="20"/>
                </w:rPr>
                <w:t>http://www.census.gov/govs/state/</w:t>
              </w:r>
            </w:hyperlink>
          </w:p>
        </w:tc>
      </w:tr>
      <w:tr w:rsidR="0046798B" w14:paraId="43769A2B" w14:textId="77777777">
        <w:trPr>
          <w:trHeight w:val="1235"/>
        </w:trPr>
        <w:tc>
          <w:tcPr>
            <w:tcW w:w="1711" w:type="dxa"/>
          </w:tcPr>
          <w:p w14:paraId="0C56EF77" w14:textId="77777777" w:rsidR="0046798B" w:rsidRDefault="0046798B">
            <w:pPr>
              <w:pStyle w:val="TableParagraph"/>
            </w:pPr>
          </w:p>
          <w:p w14:paraId="7E2D690A" w14:textId="77777777" w:rsidR="0046798B" w:rsidRDefault="00903B5C">
            <w:pPr>
              <w:pStyle w:val="TableParagraph"/>
              <w:spacing w:before="130"/>
              <w:ind w:left="115"/>
              <w:rPr>
                <w:b/>
                <w:sz w:val="20"/>
              </w:rPr>
            </w:pPr>
            <w:r>
              <w:rPr>
                <w:b/>
                <w:sz w:val="20"/>
              </w:rPr>
              <w:t>legislative_total_ exp</w:t>
            </w:r>
          </w:p>
        </w:tc>
        <w:tc>
          <w:tcPr>
            <w:tcW w:w="1596" w:type="dxa"/>
          </w:tcPr>
          <w:p w14:paraId="2F23A968" w14:textId="77777777" w:rsidR="0046798B" w:rsidRDefault="00903B5C">
            <w:pPr>
              <w:pStyle w:val="TableParagraph"/>
              <w:spacing w:before="153"/>
              <w:ind w:left="114" w:right="146"/>
              <w:rPr>
                <w:sz w:val="20"/>
              </w:rPr>
            </w:pPr>
            <w:r>
              <w:rPr>
                <w:sz w:val="20"/>
              </w:rPr>
              <w:t>Legislature total expenditures in current dollars (complete)</w:t>
            </w:r>
          </w:p>
        </w:tc>
        <w:tc>
          <w:tcPr>
            <w:tcW w:w="1285" w:type="dxa"/>
          </w:tcPr>
          <w:p w14:paraId="0626CF87" w14:textId="77777777" w:rsidR="0046798B" w:rsidRDefault="0046798B">
            <w:pPr>
              <w:pStyle w:val="TableParagraph"/>
            </w:pPr>
          </w:p>
          <w:p w14:paraId="19F4323B" w14:textId="77777777" w:rsidR="0046798B" w:rsidRDefault="0046798B">
            <w:pPr>
              <w:pStyle w:val="TableParagraph"/>
              <w:spacing w:before="4"/>
              <w:rPr>
                <w:sz w:val="21"/>
              </w:rPr>
            </w:pPr>
          </w:p>
          <w:p w14:paraId="4837C026" w14:textId="77777777" w:rsidR="0046798B" w:rsidRDefault="00903B5C">
            <w:pPr>
              <w:pStyle w:val="TableParagraph"/>
              <w:ind w:left="114"/>
              <w:rPr>
                <w:sz w:val="20"/>
              </w:rPr>
            </w:pPr>
            <w:r>
              <w:rPr>
                <w:sz w:val="20"/>
              </w:rPr>
              <w:t>1950–2010</w:t>
            </w:r>
          </w:p>
        </w:tc>
        <w:tc>
          <w:tcPr>
            <w:tcW w:w="3421" w:type="dxa"/>
          </w:tcPr>
          <w:p w14:paraId="1DD34CEB" w14:textId="77777777" w:rsidR="0046798B" w:rsidRDefault="0046798B">
            <w:pPr>
              <w:pStyle w:val="TableParagraph"/>
              <w:spacing w:before="4"/>
              <w:rPr>
                <w:sz w:val="23"/>
              </w:rPr>
            </w:pPr>
          </w:p>
          <w:p w14:paraId="4E3AA86A" w14:textId="77777777" w:rsidR="0046798B" w:rsidRDefault="00903B5C">
            <w:pPr>
              <w:pStyle w:val="TableParagraph"/>
              <w:ind w:left="114" w:right="94"/>
              <w:rPr>
                <w:sz w:val="20"/>
              </w:rPr>
            </w:pPr>
            <w:r>
              <w:rPr>
                <w:sz w:val="20"/>
              </w:rPr>
              <w:t>Total amount of money spent on the legislature (current dollars). Note: these are annual amounts put into quarters.</w:t>
            </w:r>
          </w:p>
        </w:tc>
        <w:tc>
          <w:tcPr>
            <w:tcW w:w="6482" w:type="dxa"/>
          </w:tcPr>
          <w:p w14:paraId="3B5BCA91" w14:textId="77777777" w:rsidR="0046798B" w:rsidRDefault="00903B5C">
            <w:pPr>
              <w:pStyle w:val="TableParagraph"/>
              <w:spacing w:before="38"/>
              <w:ind w:left="114" w:right="1111"/>
              <w:rPr>
                <w:sz w:val="20"/>
              </w:rPr>
            </w:pPr>
            <w:r>
              <w:rPr>
                <w:sz w:val="20"/>
              </w:rPr>
              <w:t xml:space="preserve">Klarner, Carl, 2013, “State Economic Data”, </w:t>
            </w:r>
            <w:hyperlink r:id="rId222">
              <w:r>
                <w:rPr>
                  <w:sz w:val="20"/>
                  <w:u w:val="single"/>
                </w:rPr>
                <w:t>https://doi.org/10.7910/DVN/KMWN7N</w:t>
              </w:r>
            </w:hyperlink>
            <w:r>
              <w:rPr>
                <w:sz w:val="20"/>
              </w:rPr>
              <w:t>, Harvard Dataverse, V1</w:t>
            </w:r>
          </w:p>
          <w:p w14:paraId="4B76F145" w14:textId="77777777" w:rsidR="0046798B" w:rsidRDefault="0046798B">
            <w:pPr>
              <w:pStyle w:val="TableParagraph"/>
              <w:rPr>
                <w:sz w:val="20"/>
              </w:rPr>
            </w:pPr>
          </w:p>
          <w:p w14:paraId="2D12C0AE" w14:textId="77777777" w:rsidR="0046798B" w:rsidRDefault="00903B5C">
            <w:pPr>
              <w:pStyle w:val="TableParagraph"/>
              <w:ind w:left="114" w:right="428"/>
              <w:rPr>
                <w:sz w:val="20"/>
              </w:rPr>
            </w:pPr>
            <w:r>
              <w:rPr>
                <w:sz w:val="20"/>
              </w:rPr>
              <w:t>Source (fy1951-fy2005): legislative_total_exp1; Source (fy2006-fy2010): legislative_total_exp2</w:t>
            </w:r>
          </w:p>
        </w:tc>
      </w:tr>
      <w:tr w:rsidR="0046798B" w14:paraId="7C30D0CC" w14:textId="77777777">
        <w:trPr>
          <w:trHeight w:val="1696"/>
        </w:trPr>
        <w:tc>
          <w:tcPr>
            <w:tcW w:w="1711" w:type="dxa"/>
          </w:tcPr>
          <w:p w14:paraId="38053DFC" w14:textId="77777777" w:rsidR="0046798B" w:rsidRDefault="0046798B">
            <w:pPr>
              <w:pStyle w:val="TableParagraph"/>
            </w:pPr>
          </w:p>
          <w:p w14:paraId="3C27C8A2" w14:textId="77777777" w:rsidR="0046798B" w:rsidRDefault="0046798B">
            <w:pPr>
              <w:pStyle w:val="TableParagraph"/>
              <w:spacing w:before="4"/>
              <w:rPr>
                <w:sz w:val="31"/>
              </w:rPr>
            </w:pPr>
          </w:p>
          <w:p w14:paraId="5D48D1C1" w14:textId="77777777" w:rsidR="0046798B" w:rsidRDefault="00903B5C">
            <w:pPr>
              <w:pStyle w:val="TableParagraph"/>
              <w:ind w:left="115"/>
              <w:rPr>
                <w:b/>
                <w:sz w:val="20"/>
              </w:rPr>
            </w:pPr>
            <w:r>
              <w:rPr>
                <w:b/>
                <w:sz w:val="20"/>
              </w:rPr>
              <w:t>legislative_total_ exp_exists</w:t>
            </w:r>
          </w:p>
        </w:tc>
        <w:tc>
          <w:tcPr>
            <w:tcW w:w="1596" w:type="dxa"/>
          </w:tcPr>
          <w:p w14:paraId="4DA3D053" w14:textId="77777777" w:rsidR="0046798B" w:rsidRDefault="00903B5C">
            <w:pPr>
              <w:pStyle w:val="TableParagraph"/>
              <w:spacing w:before="154"/>
              <w:ind w:left="114" w:right="150"/>
              <w:rPr>
                <w:sz w:val="20"/>
              </w:rPr>
            </w:pPr>
            <w:r>
              <w:rPr>
                <w:sz w:val="20"/>
              </w:rPr>
              <w:t>Legislature total expenditures in current dollars (complete dummy variable)</w:t>
            </w:r>
          </w:p>
        </w:tc>
        <w:tc>
          <w:tcPr>
            <w:tcW w:w="1285" w:type="dxa"/>
          </w:tcPr>
          <w:p w14:paraId="207BD99E" w14:textId="77777777" w:rsidR="0046798B" w:rsidRDefault="0046798B">
            <w:pPr>
              <w:pStyle w:val="TableParagraph"/>
            </w:pPr>
          </w:p>
          <w:p w14:paraId="4A585797" w14:textId="77777777" w:rsidR="0046798B" w:rsidRDefault="0046798B">
            <w:pPr>
              <w:pStyle w:val="TableParagraph"/>
            </w:pPr>
          </w:p>
          <w:p w14:paraId="3A2529DA" w14:textId="77777777" w:rsidR="0046798B" w:rsidRDefault="0046798B">
            <w:pPr>
              <w:pStyle w:val="TableParagraph"/>
              <w:spacing w:before="4"/>
              <w:rPr>
                <w:sz w:val="19"/>
              </w:rPr>
            </w:pPr>
          </w:p>
          <w:p w14:paraId="3EC35C8C" w14:textId="77777777" w:rsidR="0046798B" w:rsidRDefault="00903B5C">
            <w:pPr>
              <w:pStyle w:val="TableParagraph"/>
              <w:ind w:left="114"/>
              <w:rPr>
                <w:sz w:val="20"/>
              </w:rPr>
            </w:pPr>
            <w:r>
              <w:rPr>
                <w:sz w:val="20"/>
              </w:rPr>
              <w:t>1950–2010</w:t>
            </w:r>
          </w:p>
        </w:tc>
        <w:tc>
          <w:tcPr>
            <w:tcW w:w="3421" w:type="dxa"/>
          </w:tcPr>
          <w:p w14:paraId="67C24438" w14:textId="77777777" w:rsidR="0046798B" w:rsidRDefault="00903B5C">
            <w:pPr>
              <w:pStyle w:val="TableParagraph"/>
              <w:spacing w:before="39"/>
              <w:ind w:left="114"/>
              <w:rPr>
                <w:sz w:val="20"/>
              </w:rPr>
            </w:pPr>
            <w:r>
              <w:rPr>
                <w:sz w:val="20"/>
              </w:rPr>
              <w:t xml:space="preserve">1 = legislative_total_exp has a non- missing value, and it is one of the </w:t>
            </w:r>
            <w:r>
              <w:rPr>
                <w:spacing w:val="-4"/>
                <w:sz w:val="20"/>
              </w:rPr>
              <w:t xml:space="preserve">cases </w:t>
            </w:r>
            <w:r>
              <w:rPr>
                <w:sz w:val="20"/>
              </w:rPr>
              <w:t>that state_gov_finance_exists=1 for.</w:t>
            </w:r>
            <w:r>
              <w:rPr>
                <w:spacing w:val="-3"/>
                <w:sz w:val="20"/>
              </w:rPr>
              <w:t xml:space="preserve"> </w:t>
            </w:r>
            <w:r>
              <w:rPr>
                <w:sz w:val="20"/>
              </w:rPr>
              <w:t>0</w:t>
            </w:r>
          </w:p>
          <w:p w14:paraId="22BFFE9F" w14:textId="77777777" w:rsidR="0046798B" w:rsidRDefault="00903B5C">
            <w:pPr>
              <w:pStyle w:val="TableParagraph"/>
              <w:ind w:left="114"/>
              <w:rPr>
                <w:sz w:val="20"/>
              </w:rPr>
            </w:pPr>
            <w:r>
              <w:rPr>
                <w:sz w:val="20"/>
              </w:rPr>
              <w:t xml:space="preserve">= legislative_total_exp has a missing value, and it is one of the cases that state_gov_finance_exists=1 for. </w:t>
            </w:r>
            <w:r>
              <w:rPr>
                <w:spacing w:val="-3"/>
                <w:sz w:val="20"/>
              </w:rPr>
              <w:t>Blank</w:t>
            </w:r>
          </w:p>
          <w:p w14:paraId="3A97F147" w14:textId="77777777" w:rsidR="0046798B" w:rsidRDefault="00903B5C">
            <w:pPr>
              <w:pStyle w:val="TableParagraph"/>
              <w:ind w:left="114"/>
              <w:rPr>
                <w:sz w:val="20"/>
              </w:rPr>
            </w:pPr>
            <w:r>
              <w:rPr>
                <w:sz w:val="20"/>
              </w:rPr>
              <w:t>= else.</w:t>
            </w:r>
          </w:p>
        </w:tc>
        <w:tc>
          <w:tcPr>
            <w:tcW w:w="6482" w:type="dxa"/>
          </w:tcPr>
          <w:p w14:paraId="721010A0" w14:textId="77777777" w:rsidR="0046798B" w:rsidRDefault="0046798B">
            <w:pPr>
              <w:pStyle w:val="TableParagraph"/>
            </w:pPr>
          </w:p>
          <w:p w14:paraId="6D5AB02D" w14:textId="77777777" w:rsidR="0046798B" w:rsidRDefault="0046798B">
            <w:pPr>
              <w:pStyle w:val="TableParagraph"/>
              <w:spacing w:before="4"/>
              <w:rPr>
                <w:sz w:val="31"/>
              </w:rPr>
            </w:pPr>
          </w:p>
          <w:p w14:paraId="4B259779" w14:textId="77777777" w:rsidR="0046798B" w:rsidRDefault="00903B5C">
            <w:pPr>
              <w:pStyle w:val="TableParagraph"/>
              <w:ind w:left="114" w:right="1111"/>
              <w:rPr>
                <w:sz w:val="20"/>
              </w:rPr>
            </w:pPr>
            <w:r>
              <w:rPr>
                <w:sz w:val="20"/>
              </w:rPr>
              <w:t xml:space="preserve">Klarner, Carl, 2013, “State Economic Data”, </w:t>
            </w:r>
            <w:hyperlink r:id="rId223">
              <w:r>
                <w:rPr>
                  <w:sz w:val="20"/>
                  <w:u w:val="single"/>
                </w:rPr>
                <w:t>https://doi.org/10.7910/DVN/KMWN7N</w:t>
              </w:r>
            </w:hyperlink>
            <w:r>
              <w:rPr>
                <w:sz w:val="20"/>
              </w:rPr>
              <w:t>, Harvard Dataverse, V1</w:t>
            </w:r>
          </w:p>
        </w:tc>
      </w:tr>
      <w:tr w:rsidR="0046798B" w14:paraId="3A89EC97" w14:textId="77777777">
        <w:trPr>
          <w:trHeight w:val="2155"/>
        </w:trPr>
        <w:tc>
          <w:tcPr>
            <w:tcW w:w="1711" w:type="dxa"/>
          </w:tcPr>
          <w:p w14:paraId="77C72C20" w14:textId="77777777" w:rsidR="0046798B" w:rsidRDefault="0046798B">
            <w:pPr>
              <w:pStyle w:val="TableParagraph"/>
            </w:pPr>
          </w:p>
          <w:p w14:paraId="2EF4B7F2" w14:textId="77777777" w:rsidR="0046798B" w:rsidRDefault="0046798B">
            <w:pPr>
              <w:pStyle w:val="TableParagraph"/>
            </w:pPr>
          </w:p>
          <w:p w14:paraId="7D417D2D" w14:textId="77777777" w:rsidR="0046798B" w:rsidRDefault="0046798B">
            <w:pPr>
              <w:pStyle w:val="TableParagraph"/>
              <w:spacing w:before="4"/>
              <w:rPr>
                <w:sz w:val="29"/>
              </w:rPr>
            </w:pPr>
          </w:p>
          <w:p w14:paraId="546C2560" w14:textId="77777777" w:rsidR="0046798B" w:rsidRDefault="00903B5C">
            <w:pPr>
              <w:pStyle w:val="TableParagraph"/>
              <w:ind w:left="115"/>
              <w:rPr>
                <w:b/>
                <w:sz w:val="20"/>
              </w:rPr>
            </w:pPr>
            <w:r>
              <w:rPr>
                <w:b/>
                <w:sz w:val="20"/>
              </w:rPr>
              <w:t>legislative_total_ exp1</w:t>
            </w:r>
          </w:p>
        </w:tc>
        <w:tc>
          <w:tcPr>
            <w:tcW w:w="1596" w:type="dxa"/>
          </w:tcPr>
          <w:p w14:paraId="53E2C1CB" w14:textId="77777777" w:rsidR="0046798B" w:rsidRDefault="0046798B">
            <w:pPr>
              <w:pStyle w:val="TableParagraph"/>
            </w:pPr>
          </w:p>
          <w:p w14:paraId="3D31747E" w14:textId="77777777" w:rsidR="0046798B" w:rsidRDefault="0046798B">
            <w:pPr>
              <w:pStyle w:val="TableParagraph"/>
            </w:pPr>
          </w:p>
          <w:p w14:paraId="2D4EE742" w14:textId="77777777" w:rsidR="0046798B" w:rsidRDefault="0046798B">
            <w:pPr>
              <w:pStyle w:val="TableParagraph"/>
              <w:spacing w:before="4"/>
              <w:rPr>
                <w:sz w:val="29"/>
              </w:rPr>
            </w:pPr>
          </w:p>
          <w:p w14:paraId="470A8E84" w14:textId="77777777" w:rsidR="0046798B" w:rsidRDefault="00903B5C">
            <w:pPr>
              <w:pStyle w:val="TableParagraph"/>
              <w:ind w:left="114" w:right="146"/>
              <w:rPr>
                <w:sz w:val="20"/>
              </w:rPr>
            </w:pPr>
            <w:r>
              <w:rPr>
                <w:sz w:val="20"/>
              </w:rPr>
              <w:t>Legislature total expenditures</w:t>
            </w:r>
          </w:p>
        </w:tc>
        <w:tc>
          <w:tcPr>
            <w:tcW w:w="1285" w:type="dxa"/>
          </w:tcPr>
          <w:p w14:paraId="7B0A38FD" w14:textId="77777777" w:rsidR="0046798B" w:rsidRDefault="0046798B">
            <w:pPr>
              <w:pStyle w:val="TableParagraph"/>
            </w:pPr>
          </w:p>
          <w:p w14:paraId="52393659" w14:textId="77777777" w:rsidR="0046798B" w:rsidRDefault="0046798B">
            <w:pPr>
              <w:pStyle w:val="TableParagraph"/>
            </w:pPr>
          </w:p>
          <w:p w14:paraId="77E6D8A8" w14:textId="77777777" w:rsidR="0046798B" w:rsidRDefault="0046798B">
            <w:pPr>
              <w:pStyle w:val="TableParagraph"/>
            </w:pPr>
          </w:p>
          <w:p w14:paraId="6E12AD8C" w14:textId="77777777" w:rsidR="0046798B" w:rsidRDefault="0046798B">
            <w:pPr>
              <w:pStyle w:val="TableParagraph"/>
              <w:spacing w:before="4"/>
              <w:rPr>
                <w:sz w:val="17"/>
              </w:rPr>
            </w:pPr>
          </w:p>
          <w:p w14:paraId="5D98D243" w14:textId="77777777" w:rsidR="0046798B" w:rsidRDefault="00903B5C">
            <w:pPr>
              <w:pStyle w:val="TableParagraph"/>
              <w:ind w:left="114"/>
              <w:rPr>
                <w:sz w:val="20"/>
              </w:rPr>
            </w:pPr>
            <w:r>
              <w:rPr>
                <w:sz w:val="20"/>
              </w:rPr>
              <w:t>1950–2005</w:t>
            </w:r>
          </w:p>
        </w:tc>
        <w:tc>
          <w:tcPr>
            <w:tcW w:w="3421" w:type="dxa"/>
          </w:tcPr>
          <w:p w14:paraId="4AC73EAA" w14:textId="77777777" w:rsidR="0046798B" w:rsidRDefault="00903B5C">
            <w:pPr>
              <w:pStyle w:val="TableParagraph"/>
              <w:spacing w:before="38"/>
              <w:ind w:left="114" w:right="133"/>
              <w:rPr>
                <w:sz w:val="20"/>
              </w:rPr>
            </w:pPr>
            <w:r>
              <w:rPr>
                <w:sz w:val="20"/>
              </w:rPr>
              <w:t>Total amount of money spent on the legislature (current $1s). Note: the four component parts of legislative expenditure are 1) current operations, legislative services (code E26), 2) construction, legislative (code F26), 3) other capital outlay, legislative (code G26), and 4) equipment only, legislative (code K26).</w:t>
            </w:r>
          </w:p>
        </w:tc>
        <w:tc>
          <w:tcPr>
            <w:tcW w:w="6482" w:type="dxa"/>
          </w:tcPr>
          <w:p w14:paraId="58BBCFEE" w14:textId="77777777" w:rsidR="0046798B" w:rsidRDefault="00903B5C">
            <w:pPr>
              <w:pStyle w:val="TableParagraph"/>
              <w:spacing w:before="153"/>
              <w:ind w:left="114" w:right="1111"/>
              <w:rPr>
                <w:sz w:val="20"/>
              </w:rPr>
            </w:pPr>
            <w:r>
              <w:rPr>
                <w:sz w:val="20"/>
              </w:rPr>
              <w:t xml:space="preserve">Klarner, Carl, 2013, “State Economic Data”, </w:t>
            </w:r>
            <w:hyperlink r:id="rId224">
              <w:r>
                <w:rPr>
                  <w:sz w:val="20"/>
                  <w:u w:val="single"/>
                </w:rPr>
                <w:t>https://doi.org/10.7910/DVN/KMWN7N</w:t>
              </w:r>
            </w:hyperlink>
            <w:r>
              <w:rPr>
                <w:sz w:val="20"/>
              </w:rPr>
              <w:t>, Harvard Dataverse, V1</w:t>
            </w:r>
          </w:p>
          <w:p w14:paraId="3824C4F0" w14:textId="77777777" w:rsidR="0046798B" w:rsidRDefault="0046798B">
            <w:pPr>
              <w:pStyle w:val="TableParagraph"/>
              <w:rPr>
                <w:sz w:val="20"/>
              </w:rPr>
            </w:pPr>
          </w:p>
          <w:p w14:paraId="75A3FF1B" w14:textId="77777777" w:rsidR="0046798B" w:rsidRDefault="00903B5C">
            <w:pPr>
              <w:pStyle w:val="TableParagraph"/>
              <w:ind w:left="114"/>
              <w:rPr>
                <w:sz w:val="20"/>
              </w:rPr>
            </w:pPr>
            <w:r>
              <w:rPr>
                <w:sz w:val="20"/>
              </w:rPr>
              <w:t>Source (fy1951-fy2006: State Government Finances file.</w:t>
            </w:r>
          </w:p>
          <w:p w14:paraId="2F7E996F" w14:textId="77777777" w:rsidR="0046798B" w:rsidRDefault="0046798B">
            <w:pPr>
              <w:pStyle w:val="TableParagraph"/>
              <w:rPr>
                <w:sz w:val="20"/>
              </w:rPr>
            </w:pPr>
          </w:p>
          <w:p w14:paraId="26D0FD16" w14:textId="77777777" w:rsidR="0046798B" w:rsidRDefault="00903B5C">
            <w:pPr>
              <w:pStyle w:val="TableParagraph"/>
              <w:ind w:left="114"/>
              <w:rPr>
                <w:sz w:val="20"/>
              </w:rPr>
            </w:pPr>
            <w:r>
              <w:rPr>
                <w:sz w:val="20"/>
              </w:rPr>
              <w:t>Note: these are annual amounts put into quarters. Timing of variable: data put into the four quarters of the fiscal year the data are from. The data aren’t divided by four, even though they’re put into quarters.</w:t>
            </w:r>
          </w:p>
        </w:tc>
      </w:tr>
    </w:tbl>
    <w:p w14:paraId="58462E27" w14:textId="77777777" w:rsidR="0046798B" w:rsidRDefault="0046798B">
      <w:pPr>
        <w:rPr>
          <w:sz w:val="20"/>
        </w:rPr>
        <w:sectPr w:rsidR="0046798B">
          <w:pgSz w:w="15840" w:h="12240" w:orient="landscape"/>
          <w:pgMar w:top="1220" w:right="300" w:bottom="980" w:left="820" w:header="730" w:footer="787" w:gutter="0"/>
          <w:cols w:space="720"/>
        </w:sectPr>
      </w:pPr>
    </w:p>
    <w:p w14:paraId="17656B15"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26693584" w14:textId="77777777">
        <w:trPr>
          <w:trHeight w:val="1696"/>
        </w:trPr>
        <w:tc>
          <w:tcPr>
            <w:tcW w:w="1711" w:type="dxa"/>
          </w:tcPr>
          <w:p w14:paraId="28C9C119" w14:textId="77777777" w:rsidR="0046798B" w:rsidRDefault="0046798B">
            <w:pPr>
              <w:pStyle w:val="TableParagraph"/>
            </w:pPr>
          </w:p>
          <w:p w14:paraId="5F01A5F6" w14:textId="77777777" w:rsidR="0046798B" w:rsidRDefault="0046798B">
            <w:pPr>
              <w:pStyle w:val="TableParagraph"/>
              <w:spacing w:before="9"/>
              <w:rPr>
                <w:sz w:val="31"/>
              </w:rPr>
            </w:pPr>
          </w:p>
          <w:p w14:paraId="5D48ABF3" w14:textId="77777777" w:rsidR="0046798B" w:rsidRDefault="00903B5C">
            <w:pPr>
              <w:pStyle w:val="TableParagraph"/>
              <w:ind w:left="115"/>
              <w:rPr>
                <w:b/>
                <w:sz w:val="20"/>
              </w:rPr>
            </w:pPr>
            <w:r>
              <w:rPr>
                <w:b/>
                <w:sz w:val="20"/>
              </w:rPr>
              <w:t>legislative_total_ exp1_exists</w:t>
            </w:r>
          </w:p>
        </w:tc>
        <w:tc>
          <w:tcPr>
            <w:tcW w:w="1596" w:type="dxa"/>
          </w:tcPr>
          <w:p w14:paraId="47F98476" w14:textId="77777777" w:rsidR="0046798B" w:rsidRDefault="0046798B">
            <w:pPr>
              <w:pStyle w:val="TableParagraph"/>
            </w:pPr>
          </w:p>
          <w:p w14:paraId="4A5B6E05" w14:textId="77777777" w:rsidR="0046798B" w:rsidRDefault="00903B5C">
            <w:pPr>
              <w:pStyle w:val="TableParagraph"/>
              <w:spacing w:before="135"/>
              <w:ind w:left="114" w:right="146"/>
              <w:rPr>
                <w:sz w:val="20"/>
              </w:rPr>
            </w:pPr>
            <w:r>
              <w:rPr>
                <w:sz w:val="20"/>
              </w:rPr>
              <w:t>Legislature total expenditures (dummy variable)</w:t>
            </w:r>
          </w:p>
        </w:tc>
        <w:tc>
          <w:tcPr>
            <w:tcW w:w="1285" w:type="dxa"/>
          </w:tcPr>
          <w:p w14:paraId="309896C6" w14:textId="77777777" w:rsidR="0046798B" w:rsidRDefault="0046798B">
            <w:pPr>
              <w:pStyle w:val="TableParagraph"/>
            </w:pPr>
          </w:p>
          <w:p w14:paraId="68DD056A" w14:textId="77777777" w:rsidR="0046798B" w:rsidRDefault="0046798B">
            <w:pPr>
              <w:pStyle w:val="TableParagraph"/>
            </w:pPr>
          </w:p>
          <w:p w14:paraId="0225AB66" w14:textId="77777777" w:rsidR="0046798B" w:rsidRDefault="0046798B">
            <w:pPr>
              <w:pStyle w:val="TableParagraph"/>
              <w:spacing w:before="9"/>
              <w:rPr>
                <w:sz w:val="19"/>
              </w:rPr>
            </w:pPr>
          </w:p>
          <w:p w14:paraId="7A2D0D24" w14:textId="77777777" w:rsidR="0046798B" w:rsidRDefault="00903B5C">
            <w:pPr>
              <w:pStyle w:val="TableParagraph"/>
              <w:ind w:left="114"/>
              <w:rPr>
                <w:sz w:val="20"/>
              </w:rPr>
            </w:pPr>
            <w:r>
              <w:rPr>
                <w:sz w:val="20"/>
              </w:rPr>
              <w:t>1950–2005</w:t>
            </w:r>
          </w:p>
        </w:tc>
        <w:tc>
          <w:tcPr>
            <w:tcW w:w="3421" w:type="dxa"/>
          </w:tcPr>
          <w:p w14:paraId="2D5E1AEA" w14:textId="77777777" w:rsidR="0046798B" w:rsidRDefault="00903B5C">
            <w:pPr>
              <w:pStyle w:val="TableParagraph"/>
              <w:spacing w:before="43"/>
              <w:ind w:left="114"/>
              <w:rPr>
                <w:sz w:val="20"/>
              </w:rPr>
            </w:pPr>
            <w:r>
              <w:rPr>
                <w:sz w:val="20"/>
              </w:rPr>
              <w:t xml:space="preserve">1 = legislative_total_exp has a non- missing value, and it is one of the </w:t>
            </w:r>
            <w:r>
              <w:rPr>
                <w:spacing w:val="-4"/>
                <w:sz w:val="20"/>
              </w:rPr>
              <w:t xml:space="preserve">cases </w:t>
            </w:r>
            <w:r>
              <w:rPr>
                <w:sz w:val="20"/>
              </w:rPr>
              <w:t>that state_gov_finance_exists=1 for.</w:t>
            </w:r>
            <w:r>
              <w:rPr>
                <w:spacing w:val="-3"/>
                <w:sz w:val="20"/>
              </w:rPr>
              <w:t xml:space="preserve"> </w:t>
            </w:r>
            <w:r>
              <w:rPr>
                <w:sz w:val="20"/>
              </w:rPr>
              <w:t>0</w:t>
            </w:r>
          </w:p>
          <w:p w14:paraId="0E3B3EBB" w14:textId="77777777" w:rsidR="0046798B" w:rsidRDefault="00903B5C">
            <w:pPr>
              <w:pStyle w:val="TableParagraph"/>
              <w:ind w:left="114"/>
              <w:rPr>
                <w:sz w:val="20"/>
              </w:rPr>
            </w:pPr>
            <w:r>
              <w:rPr>
                <w:sz w:val="20"/>
              </w:rPr>
              <w:t xml:space="preserve">= legislative_total_exp has a missing value, and it is one of the cases that state_gov_finance_exists=1 for. </w:t>
            </w:r>
            <w:r>
              <w:rPr>
                <w:spacing w:val="-3"/>
                <w:sz w:val="20"/>
              </w:rPr>
              <w:t>Blank</w:t>
            </w:r>
          </w:p>
          <w:p w14:paraId="11E2367F" w14:textId="77777777" w:rsidR="0046798B" w:rsidRDefault="00903B5C">
            <w:pPr>
              <w:pStyle w:val="TableParagraph"/>
              <w:spacing w:before="1"/>
              <w:ind w:left="114"/>
              <w:rPr>
                <w:sz w:val="20"/>
              </w:rPr>
            </w:pPr>
            <w:r>
              <w:rPr>
                <w:sz w:val="20"/>
              </w:rPr>
              <w:t>= else.</w:t>
            </w:r>
          </w:p>
        </w:tc>
        <w:tc>
          <w:tcPr>
            <w:tcW w:w="6482" w:type="dxa"/>
          </w:tcPr>
          <w:p w14:paraId="2E516035" w14:textId="77777777" w:rsidR="0046798B" w:rsidRDefault="0046798B">
            <w:pPr>
              <w:pStyle w:val="TableParagraph"/>
            </w:pPr>
          </w:p>
          <w:p w14:paraId="02E4A255" w14:textId="77777777" w:rsidR="0046798B" w:rsidRDefault="0046798B">
            <w:pPr>
              <w:pStyle w:val="TableParagraph"/>
              <w:spacing w:before="9"/>
              <w:rPr>
                <w:sz w:val="31"/>
              </w:rPr>
            </w:pPr>
          </w:p>
          <w:p w14:paraId="18343886" w14:textId="77777777" w:rsidR="0046798B" w:rsidRDefault="00903B5C">
            <w:pPr>
              <w:pStyle w:val="TableParagraph"/>
              <w:ind w:left="114" w:right="1111"/>
              <w:rPr>
                <w:sz w:val="20"/>
              </w:rPr>
            </w:pPr>
            <w:r>
              <w:rPr>
                <w:sz w:val="20"/>
              </w:rPr>
              <w:t xml:space="preserve">Klarner, Carl, 2013, “State Economic Data”, </w:t>
            </w:r>
            <w:hyperlink r:id="rId225">
              <w:r>
                <w:rPr>
                  <w:sz w:val="20"/>
                  <w:u w:val="single"/>
                </w:rPr>
                <w:t>https://doi.org/10.7910/DVN/KMWN7N</w:t>
              </w:r>
            </w:hyperlink>
            <w:r>
              <w:rPr>
                <w:sz w:val="20"/>
              </w:rPr>
              <w:t>, Harvard Dataverse, V1</w:t>
            </w:r>
          </w:p>
        </w:tc>
      </w:tr>
      <w:tr w:rsidR="0046798B" w14:paraId="1F2157AE" w14:textId="77777777">
        <w:trPr>
          <w:trHeight w:val="775"/>
        </w:trPr>
        <w:tc>
          <w:tcPr>
            <w:tcW w:w="1711" w:type="dxa"/>
          </w:tcPr>
          <w:p w14:paraId="2D36C25A" w14:textId="77777777" w:rsidR="0046798B" w:rsidRDefault="00903B5C">
            <w:pPr>
              <w:pStyle w:val="TableParagraph"/>
              <w:spacing w:before="158"/>
              <w:ind w:left="115"/>
              <w:rPr>
                <w:b/>
                <w:sz w:val="20"/>
              </w:rPr>
            </w:pPr>
            <w:r>
              <w:rPr>
                <w:b/>
                <w:sz w:val="20"/>
              </w:rPr>
              <w:t>legislative_total_ exp1_note</w:t>
            </w:r>
          </w:p>
        </w:tc>
        <w:tc>
          <w:tcPr>
            <w:tcW w:w="1596" w:type="dxa"/>
          </w:tcPr>
          <w:p w14:paraId="28CAAF6B" w14:textId="77777777" w:rsidR="0046798B" w:rsidRDefault="00903B5C">
            <w:pPr>
              <w:pStyle w:val="TableParagraph"/>
              <w:spacing w:before="43"/>
              <w:ind w:left="114" w:right="213"/>
              <w:rPr>
                <w:sz w:val="20"/>
              </w:rPr>
            </w:pPr>
            <w:r>
              <w:rPr>
                <w:sz w:val="20"/>
              </w:rPr>
              <w:t>Notes about legislature total expenditures</w:t>
            </w:r>
          </w:p>
        </w:tc>
        <w:tc>
          <w:tcPr>
            <w:tcW w:w="1285" w:type="dxa"/>
          </w:tcPr>
          <w:p w14:paraId="02B8629C" w14:textId="77777777" w:rsidR="0046798B" w:rsidRDefault="0046798B">
            <w:pPr>
              <w:pStyle w:val="TableParagraph"/>
              <w:spacing w:before="8"/>
              <w:rPr>
                <w:sz w:val="23"/>
              </w:rPr>
            </w:pPr>
          </w:p>
          <w:p w14:paraId="76AB99C4" w14:textId="77777777" w:rsidR="0046798B" w:rsidRDefault="00903B5C">
            <w:pPr>
              <w:pStyle w:val="TableParagraph"/>
              <w:spacing w:before="1"/>
              <w:ind w:left="114"/>
              <w:rPr>
                <w:sz w:val="20"/>
              </w:rPr>
            </w:pPr>
            <w:r>
              <w:rPr>
                <w:sz w:val="20"/>
              </w:rPr>
              <w:t>1950–2005</w:t>
            </w:r>
          </w:p>
        </w:tc>
        <w:tc>
          <w:tcPr>
            <w:tcW w:w="3421" w:type="dxa"/>
          </w:tcPr>
          <w:p w14:paraId="3036DCA8" w14:textId="77777777" w:rsidR="0046798B" w:rsidRDefault="0046798B">
            <w:pPr>
              <w:pStyle w:val="TableParagraph"/>
              <w:spacing w:before="8"/>
              <w:rPr>
                <w:sz w:val="23"/>
              </w:rPr>
            </w:pPr>
          </w:p>
          <w:p w14:paraId="43BBEB87" w14:textId="77777777" w:rsidR="0046798B" w:rsidRDefault="00903B5C">
            <w:pPr>
              <w:pStyle w:val="TableParagraph"/>
              <w:spacing w:before="1"/>
              <w:ind w:left="114"/>
              <w:rPr>
                <w:sz w:val="20"/>
              </w:rPr>
            </w:pPr>
            <w:r>
              <w:rPr>
                <w:sz w:val="20"/>
              </w:rPr>
              <w:t>Notes about legislative_total_exp.</w:t>
            </w:r>
          </w:p>
        </w:tc>
        <w:tc>
          <w:tcPr>
            <w:tcW w:w="6482" w:type="dxa"/>
          </w:tcPr>
          <w:p w14:paraId="1B47735C" w14:textId="77777777" w:rsidR="0046798B" w:rsidRDefault="00903B5C">
            <w:pPr>
              <w:pStyle w:val="TableParagraph"/>
              <w:spacing w:before="158"/>
              <w:ind w:left="114" w:right="1111"/>
              <w:rPr>
                <w:sz w:val="20"/>
              </w:rPr>
            </w:pPr>
            <w:r>
              <w:rPr>
                <w:sz w:val="20"/>
              </w:rPr>
              <w:t xml:space="preserve">Klarner, Carl, 2013, “State Economic Data”, </w:t>
            </w:r>
            <w:hyperlink r:id="rId226">
              <w:r>
                <w:rPr>
                  <w:sz w:val="20"/>
                  <w:u w:val="single"/>
                </w:rPr>
                <w:t>https://doi.org/10.7910/DVN/KMWN7N</w:t>
              </w:r>
            </w:hyperlink>
            <w:r>
              <w:rPr>
                <w:sz w:val="20"/>
              </w:rPr>
              <w:t>, Harvard Dataverse, V1</w:t>
            </w:r>
          </w:p>
        </w:tc>
      </w:tr>
      <w:tr w:rsidR="0046798B" w14:paraId="5C3F3FCB" w14:textId="77777777">
        <w:trPr>
          <w:trHeight w:val="1010"/>
        </w:trPr>
        <w:tc>
          <w:tcPr>
            <w:tcW w:w="1711" w:type="dxa"/>
          </w:tcPr>
          <w:p w14:paraId="5D2D7E15" w14:textId="77777777" w:rsidR="0046798B" w:rsidRDefault="0046798B">
            <w:pPr>
              <w:pStyle w:val="TableParagraph"/>
              <w:spacing w:before="9"/>
              <w:rPr>
                <w:sz w:val="23"/>
              </w:rPr>
            </w:pPr>
          </w:p>
          <w:p w14:paraId="354ADD99" w14:textId="77777777" w:rsidR="0046798B" w:rsidRDefault="00903B5C">
            <w:pPr>
              <w:pStyle w:val="TableParagraph"/>
              <w:ind w:left="115"/>
              <w:rPr>
                <w:b/>
                <w:sz w:val="20"/>
              </w:rPr>
            </w:pPr>
            <w:r>
              <w:rPr>
                <w:b/>
                <w:sz w:val="20"/>
              </w:rPr>
              <w:t>legislative_total_ exp2</w:t>
            </w:r>
          </w:p>
        </w:tc>
        <w:tc>
          <w:tcPr>
            <w:tcW w:w="1596" w:type="dxa"/>
          </w:tcPr>
          <w:p w14:paraId="1423F4A0" w14:textId="77777777" w:rsidR="0046798B" w:rsidRDefault="00903B5C">
            <w:pPr>
              <w:pStyle w:val="TableParagraph"/>
              <w:spacing w:before="158"/>
              <w:ind w:left="114" w:right="146"/>
              <w:rPr>
                <w:sz w:val="20"/>
              </w:rPr>
            </w:pPr>
            <w:r>
              <w:rPr>
                <w:sz w:val="20"/>
              </w:rPr>
              <w:t>Legislature total expenditures in current dollars</w:t>
            </w:r>
          </w:p>
        </w:tc>
        <w:tc>
          <w:tcPr>
            <w:tcW w:w="1285" w:type="dxa"/>
          </w:tcPr>
          <w:p w14:paraId="426C60E3" w14:textId="77777777" w:rsidR="0046798B" w:rsidRDefault="0046798B">
            <w:pPr>
              <w:pStyle w:val="TableParagraph"/>
            </w:pPr>
          </w:p>
          <w:p w14:paraId="52CDB83C" w14:textId="77777777" w:rsidR="0046798B" w:rsidRDefault="00903B5C">
            <w:pPr>
              <w:pStyle w:val="TableParagraph"/>
              <w:spacing w:before="135"/>
              <w:ind w:left="114"/>
              <w:rPr>
                <w:sz w:val="20"/>
              </w:rPr>
            </w:pPr>
            <w:r>
              <w:rPr>
                <w:sz w:val="20"/>
              </w:rPr>
              <w:t>2006–2010</w:t>
            </w:r>
          </w:p>
        </w:tc>
        <w:tc>
          <w:tcPr>
            <w:tcW w:w="3421" w:type="dxa"/>
          </w:tcPr>
          <w:p w14:paraId="3921B27C" w14:textId="77777777" w:rsidR="0046798B" w:rsidRDefault="00903B5C">
            <w:pPr>
              <w:pStyle w:val="TableParagraph"/>
              <w:spacing w:before="158"/>
              <w:ind w:left="114" w:right="326"/>
              <w:jc w:val="both"/>
              <w:rPr>
                <w:sz w:val="20"/>
              </w:rPr>
            </w:pPr>
            <w:r>
              <w:rPr>
                <w:sz w:val="20"/>
              </w:rPr>
              <w:t>Total amount of money spent on the legislature (current $1s). Note: these are annual amounts put into quarters.</w:t>
            </w:r>
          </w:p>
        </w:tc>
        <w:tc>
          <w:tcPr>
            <w:tcW w:w="6482" w:type="dxa"/>
          </w:tcPr>
          <w:p w14:paraId="5CC90CF9" w14:textId="77777777" w:rsidR="0046798B" w:rsidRDefault="00903B5C">
            <w:pPr>
              <w:pStyle w:val="TableParagraph"/>
              <w:spacing w:before="43"/>
              <w:ind w:left="114" w:right="1111"/>
              <w:rPr>
                <w:sz w:val="20"/>
              </w:rPr>
            </w:pPr>
            <w:r>
              <w:rPr>
                <w:sz w:val="20"/>
              </w:rPr>
              <w:t xml:space="preserve">Klarner, Carl, 2013, “State Economic Data”, </w:t>
            </w:r>
            <w:hyperlink r:id="rId227">
              <w:r>
                <w:rPr>
                  <w:sz w:val="20"/>
                  <w:u w:val="single"/>
                </w:rPr>
                <w:t>https://doi.org/10.7910/DVN/KMWN7N</w:t>
              </w:r>
            </w:hyperlink>
            <w:r>
              <w:rPr>
                <w:sz w:val="20"/>
              </w:rPr>
              <w:t>, Harvard Dataverse, V1</w:t>
            </w:r>
          </w:p>
          <w:p w14:paraId="280382B4" w14:textId="77777777" w:rsidR="0046798B" w:rsidRDefault="0046798B">
            <w:pPr>
              <w:pStyle w:val="TableParagraph"/>
              <w:rPr>
                <w:sz w:val="20"/>
              </w:rPr>
            </w:pPr>
          </w:p>
          <w:p w14:paraId="29B9E97E" w14:textId="77777777" w:rsidR="0046798B" w:rsidRDefault="00903B5C">
            <w:pPr>
              <w:pStyle w:val="TableParagraph"/>
              <w:ind w:left="114"/>
              <w:rPr>
                <w:sz w:val="20"/>
              </w:rPr>
            </w:pPr>
            <w:r>
              <w:rPr>
                <w:sz w:val="20"/>
              </w:rPr>
              <w:t xml:space="preserve">Source (fy2006 to fy2010): </w:t>
            </w:r>
            <w:hyperlink r:id="rId228">
              <w:r>
                <w:rPr>
                  <w:sz w:val="20"/>
                </w:rPr>
                <w:t>http://www.census.gov/govs/state/</w:t>
              </w:r>
            </w:hyperlink>
          </w:p>
        </w:tc>
      </w:tr>
      <w:tr w:rsidR="0046798B" w14:paraId="7164298E" w14:textId="77777777">
        <w:trPr>
          <w:trHeight w:val="1695"/>
        </w:trPr>
        <w:tc>
          <w:tcPr>
            <w:tcW w:w="1711" w:type="dxa"/>
          </w:tcPr>
          <w:p w14:paraId="017F315B" w14:textId="77777777" w:rsidR="0046798B" w:rsidRDefault="0046798B">
            <w:pPr>
              <w:pStyle w:val="TableParagraph"/>
            </w:pPr>
          </w:p>
          <w:p w14:paraId="07952509" w14:textId="77777777" w:rsidR="0046798B" w:rsidRDefault="0046798B">
            <w:pPr>
              <w:pStyle w:val="TableParagraph"/>
              <w:spacing w:before="4"/>
              <w:rPr>
                <w:sz w:val="31"/>
              </w:rPr>
            </w:pPr>
          </w:p>
          <w:p w14:paraId="7FBA8DDA" w14:textId="77777777" w:rsidR="0046798B" w:rsidRDefault="00903B5C">
            <w:pPr>
              <w:pStyle w:val="TableParagraph"/>
              <w:ind w:left="115"/>
              <w:rPr>
                <w:b/>
                <w:sz w:val="20"/>
              </w:rPr>
            </w:pPr>
            <w:r>
              <w:rPr>
                <w:b/>
                <w:sz w:val="20"/>
              </w:rPr>
              <w:t>legislative_total_ exp2_exists</w:t>
            </w:r>
          </w:p>
        </w:tc>
        <w:tc>
          <w:tcPr>
            <w:tcW w:w="1596" w:type="dxa"/>
          </w:tcPr>
          <w:p w14:paraId="32E0E9C2" w14:textId="77777777" w:rsidR="0046798B" w:rsidRDefault="0046798B">
            <w:pPr>
              <w:pStyle w:val="TableParagraph"/>
              <w:spacing w:before="3"/>
              <w:rPr>
                <w:sz w:val="23"/>
              </w:rPr>
            </w:pPr>
          </w:p>
          <w:p w14:paraId="79747597" w14:textId="77777777" w:rsidR="0046798B" w:rsidRDefault="00903B5C">
            <w:pPr>
              <w:pStyle w:val="TableParagraph"/>
              <w:spacing w:before="1"/>
              <w:ind w:left="114" w:right="146"/>
              <w:rPr>
                <w:sz w:val="20"/>
              </w:rPr>
            </w:pPr>
            <w:r>
              <w:rPr>
                <w:sz w:val="20"/>
              </w:rPr>
              <w:t>Legislature total expenditures in current dollars (dummy variable)</w:t>
            </w:r>
          </w:p>
        </w:tc>
        <w:tc>
          <w:tcPr>
            <w:tcW w:w="1285" w:type="dxa"/>
          </w:tcPr>
          <w:p w14:paraId="03D011F4" w14:textId="77777777" w:rsidR="0046798B" w:rsidRDefault="0046798B">
            <w:pPr>
              <w:pStyle w:val="TableParagraph"/>
            </w:pPr>
          </w:p>
          <w:p w14:paraId="604D66ED" w14:textId="77777777" w:rsidR="0046798B" w:rsidRDefault="0046798B">
            <w:pPr>
              <w:pStyle w:val="TableParagraph"/>
            </w:pPr>
          </w:p>
          <w:p w14:paraId="14726F29" w14:textId="77777777" w:rsidR="0046798B" w:rsidRDefault="0046798B">
            <w:pPr>
              <w:pStyle w:val="TableParagraph"/>
              <w:spacing w:before="4"/>
              <w:rPr>
                <w:sz w:val="19"/>
              </w:rPr>
            </w:pPr>
          </w:p>
          <w:p w14:paraId="051F424D" w14:textId="77777777" w:rsidR="0046798B" w:rsidRDefault="00903B5C">
            <w:pPr>
              <w:pStyle w:val="TableParagraph"/>
              <w:ind w:left="114"/>
              <w:rPr>
                <w:sz w:val="20"/>
              </w:rPr>
            </w:pPr>
            <w:r>
              <w:rPr>
                <w:sz w:val="20"/>
              </w:rPr>
              <w:t>2006–2010</w:t>
            </w:r>
          </w:p>
        </w:tc>
        <w:tc>
          <w:tcPr>
            <w:tcW w:w="3421" w:type="dxa"/>
          </w:tcPr>
          <w:p w14:paraId="1B3F459D" w14:textId="77777777" w:rsidR="0046798B" w:rsidRDefault="00903B5C">
            <w:pPr>
              <w:pStyle w:val="TableParagraph"/>
              <w:spacing w:before="38"/>
              <w:ind w:left="114"/>
              <w:rPr>
                <w:sz w:val="20"/>
              </w:rPr>
            </w:pPr>
            <w:r>
              <w:rPr>
                <w:sz w:val="20"/>
              </w:rPr>
              <w:t xml:space="preserve">1 = legislative_total_exp2 has a non- missing value, and it is one of the </w:t>
            </w:r>
            <w:r>
              <w:rPr>
                <w:spacing w:val="-4"/>
                <w:sz w:val="20"/>
              </w:rPr>
              <w:t xml:space="preserve">cases </w:t>
            </w:r>
            <w:r>
              <w:rPr>
                <w:sz w:val="20"/>
              </w:rPr>
              <w:t>that state_gov_finance_exists=1 for.</w:t>
            </w:r>
            <w:r>
              <w:rPr>
                <w:spacing w:val="-3"/>
                <w:sz w:val="20"/>
              </w:rPr>
              <w:t xml:space="preserve"> </w:t>
            </w:r>
            <w:r>
              <w:rPr>
                <w:sz w:val="20"/>
              </w:rPr>
              <w:t>0</w:t>
            </w:r>
          </w:p>
          <w:p w14:paraId="655E5001" w14:textId="77777777" w:rsidR="0046798B" w:rsidRDefault="00903B5C">
            <w:pPr>
              <w:pStyle w:val="TableParagraph"/>
              <w:ind w:left="114"/>
              <w:rPr>
                <w:sz w:val="20"/>
              </w:rPr>
            </w:pPr>
            <w:r>
              <w:rPr>
                <w:sz w:val="20"/>
              </w:rPr>
              <w:t>= legislative_total_exp has a missing value, and it is one of the cases that state_gov_finance_exists=1 for.</w:t>
            </w:r>
            <w:r>
              <w:rPr>
                <w:spacing w:val="3"/>
                <w:sz w:val="20"/>
              </w:rPr>
              <w:t xml:space="preserve"> </w:t>
            </w:r>
            <w:r>
              <w:rPr>
                <w:spacing w:val="-3"/>
                <w:sz w:val="20"/>
              </w:rPr>
              <w:t>Blank</w:t>
            </w:r>
          </w:p>
          <w:p w14:paraId="6E302A80" w14:textId="77777777" w:rsidR="0046798B" w:rsidRDefault="00903B5C">
            <w:pPr>
              <w:pStyle w:val="TableParagraph"/>
              <w:ind w:left="114"/>
              <w:rPr>
                <w:sz w:val="20"/>
              </w:rPr>
            </w:pPr>
            <w:r>
              <w:rPr>
                <w:sz w:val="20"/>
              </w:rPr>
              <w:t>= else.</w:t>
            </w:r>
          </w:p>
        </w:tc>
        <w:tc>
          <w:tcPr>
            <w:tcW w:w="6482" w:type="dxa"/>
          </w:tcPr>
          <w:p w14:paraId="48DB5F2B" w14:textId="77777777" w:rsidR="0046798B" w:rsidRDefault="0046798B">
            <w:pPr>
              <w:pStyle w:val="TableParagraph"/>
            </w:pPr>
          </w:p>
          <w:p w14:paraId="22DED967" w14:textId="77777777" w:rsidR="0046798B" w:rsidRDefault="0046798B">
            <w:pPr>
              <w:pStyle w:val="TableParagraph"/>
              <w:spacing w:before="4"/>
              <w:rPr>
                <w:sz w:val="31"/>
              </w:rPr>
            </w:pPr>
          </w:p>
          <w:p w14:paraId="5A4703A8" w14:textId="77777777" w:rsidR="0046798B" w:rsidRDefault="00903B5C">
            <w:pPr>
              <w:pStyle w:val="TableParagraph"/>
              <w:ind w:left="114" w:right="1111"/>
              <w:rPr>
                <w:sz w:val="20"/>
              </w:rPr>
            </w:pPr>
            <w:r>
              <w:rPr>
                <w:sz w:val="20"/>
              </w:rPr>
              <w:t xml:space="preserve">Klarner, Carl, 2013, “State Economic Data”, </w:t>
            </w:r>
            <w:hyperlink r:id="rId229">
              <w:r>
                <w:rPr>
                  <w:sz w:val="20"/>
                  <w:u w:val="single"/>
                </w:rPr>
                <w:t>https://doi.org/10.7910/DVN/KMWN7N</w:t>
              </w:r>
            </w:hyperlink>
            <w:r>
              <w:rPr>
                <w:sz w:val="20"/>
              </w:rPr>
              <w:t>, Harvard Dataverse, V1</w:t>
            </w:r>
          </w:p>
        </w:tc>
      </w:tr>
      <w:tr w:rsidR="0046798B" w14:paraId="14F35040" w14:textId="77777777">
        <w:trPr>
          <w:trHeight w:val="2616"/>
        </w:trPr>
        <w:tc>
          <w:tcPr>
            <w:tcW w:w="1711" w:type="dxa"/>
          </w:tcPr>
          <w:p w14:paraId="2A9B3183" w14:textId="77777777" w:rsidR="0046798B" w:rsidRDefault="0046798B">
            <w:pPr>
              <w:pStyle w:val="TableParagraph"/>
            </w:pPr>
          </w:p>
          <w:p w14:paraId="1EC72B0F" w14:textId="77777777" w:rsidR="0046798B" w:rsidRDefault="0046798B">
            <w:pPr>
              <w:pStyle w:val="TableParagraph"/>
            </w:pPr>
          </w:p>
          <w:p w14:paraId="59CBA854" w14:textId="77777777" w:rsidR="0046798B" w:rsidRDefault="0046798B">
            <w:pPr>
              <w:pStyle w:val="TableParagraph"/>
            </w:pPr>
          </w:p>
          <w:p w14:paraId="75057C19" w14:textId="77777777" w:rsidR="0046798B" w:rsidRDefault="0046798B">
            <w:pPr>
              <w:pStyle w:val="TableParagraph"/>
              <w:spacing w:before="4"/>
              <w:rPr>
                <w:sz w:val="27"/>
              </w:rPr>
            </w:pPr>
          </w:p>
          <w:p w14:paraId="6E76C643" w14:textId="77777777" w:rsidR="0046798B" w:rsidRDefault="00903B5C">
            <w:pPr>
              <w:pStyle w:val="TableParagraph"/>
              <w:ind w:left="115" w:right="121"/>
              <w:rPr>
                <w:b/>
                <w:sz w:val="20"/>
              </w:rPr>
            </w:pPr>
            <w:r>
              <w:rPr>
                <w:b/>
                <w:sz w:val="20"/>
              </w:rPr>
              <w:t>nat_cpi_bls_qua r</w:t>
            </w:r>
          </w:p>
        </w:tc>
        <w:tc>
          <w:tcPr>
            <w:tcW w:w="1596" w:type="dxa"/>
          </w:tcPr>
          <w:p w14:paraId="5DA0E9DB" w14:textId="77777777" w:rsidR="0046798B" w:rsidRDefault="0046798B">
            <w:pPr>
              <w:pStyle w:val="TableParagraph"/>
            </w:pPr>
          </w:p>
          <w:p w14:paraId="01385798" w14:textId="77777777" w:rsidR="0046798B" w:rsidRDefault="0046798B">
            <w:pPr>
              <w:pStyle w:val="TableParagraph"/>
            </w:pPr>
          </w:p>
          <w:p w14:paraId="69851E4F" w14:textId="77777777" w:rsidR="0046798B" w:rsidRDefault="0046798B">
            <w:pPr>
              <w:pStyle w:val="TableParagraph"/>
            </w:pPr>
          </w:p>
          <w:p w14:paraId="32E8B077" w14:textId="77777777" w:rsidR="0046798B" w:rsidRDefault="0046798B">
            <w:pPr>
              <w:pStyle w:val="TableParagraph"/>
              <w:spacing w:before="4"/>
              <w:rPr>
                <w:sz w:val="17"/>
              </w:rPr>
            </w:pPr>
          </w:p>
          <w:p w14:paraId="23C69C86" w14:textId="77777777" w:rsidR="0046798B" w:rsidRDefault="00903B5C">
            <w:pPr>
              <w:pStyle w:val="TableParagraph"/>
              <w:ind w:left="114" w:right="224"/>
              <w:rPr>
                <w:sz w:val="20"/>
              </w:rPr>
            </w:pPr>
            <w:r>
              <w:rPr>
                <w:sz w:val="20"/>
              </w:rPr>
              <w:t>National consumer price index</w:t>
            </w:r>
          </w:p>
        </w:tc>
        <w:tc>
          <w:tcPr>
            <w:tcW w:w="1285" w:type="dxa"/>
          </w:tcPr>
          <w:p w14:paraId="156F8B9C" w14:textId="77777777" w:rsidR="0046798B" w:rsidRDefault="0046798B">
            <w:pPr>
              <w:pStyle w:val="TableParagraph"/>
            </w:pPr>
          </w:p>
          <w:p w14:paraId="734BABB9" w14:textId="77777777" w:rsidR="0046798B" w:rsidRDefault="0046798B">
            <w:pPr>
              <w:pStyle w:val="TableParagraph"/>
            </w:pPr>
          </w:p>
          <w:p w14:paraId="3907C00F" w14:textId="77777777" w:rsidR="0046798B" w:rsidRDefault="0046798B">
            <w:pPr>
              <w:pStyle w:val="TableParagraph"/>
            </w:pPr>
          </w:p>
          <w:p w14:paraId="795FCFFE" w14:textId="77777777" w:rsidR="0046798B" w:rsidRDefault="0046798B">
            <w:pPr>
              <w:pStyle w:val="TableParagraph"/>
            </w:pPr>
          </w:p>
          <w:p w14:paraId="6BBB4D97" w14:textId="77777777" w:rsidR="0046798B" w:rsidRDefault="00903B5C">
            <w:pPr>
              <w:pStyle w:val="TableParagraph"/>
              <w:spacing w:before="177"/>
              <w:ind w:left="114"/>
              <w:rPr>
                <w:sz w:val="20"/>
              </w:rPr>
            </w:pPr>
            <w:r>
              <w:rPr>
                <w:sz w:val="20"/>
              </w:rPr>
              <w:t>1929–2012</w:t>
            </w:r>
          </w:p>
        </w:tc>
        <w:tc>
          <w:tcPr>
            <w:tcW w:w="3421" w:type="dxa"/>
          </w:tcPr>
          <w:p w14:paraId="0B9C7FB0" w14:textId="77777777" w:rsidR="0046798B" w:rsidRDefault="00903B5C">
            <w:pPr>
              <w:pStyle w:val="TableParagraph"/>
              <w:spacing w:before="39"/>
              <w:ind w:left="114" w:right="138"/>
              <w:rPr>
                <w:sz w:val="20"/>
              </w:rPr>
            </w:pPr>
            <w:r>
              <w:rPr>
                <w:sz w:val="20"/>
              </w:rPr>
              <w:t>National consumer price index for the year, same value for all states within a quarter. This took the monthly data posted on the Bureau of Labor Statistics Web site, and averaged them within quarters, and applied them to all the states (not just to stateno=0, like in regional_cpi_bls_quar above) when “is_a_quarter”=1. The months were averaged across a calendar year when quar=2.5.</w:t>
            </w:r>
          </w:p>
        </w:tc>
        <w:tc>
          <w:tcPr>
            <w:tcW w:w="6482" w:type="dxa"/>
          </w:tcPr>
          <w:p w14:paraId="0DDB30B9" w14:textId="77777777" w:rsidR="0046798B" w:rsidRDefault="0046798B">
            <w:pPr>
              <w:pStyle w:val="TableParagraph"/>
            </w:pPr>
          </w:p>
          <w:p w14:paraId="2CE8DC03" w14:textId="77777777" w:rsidR="0046798B" w:rsidRDefault="0046798B">
            <w:pPr>
              <w:pStyle w:val="TableParagraph"/>
              <w:spacing w:before="4"/>
              <w:rPr>
                <w:sz w:val="21"/>
              </w:rPr>
            </w:pPr>
          </w:p>
          <w:p w14:paraId="7C4D1868" w14:textId="77777777" w:rsidR="0046798B" w:rsidRDefault="00903B5C">
            <w:pPr>
              <w:pStyle w:val="TableParagraph"/>
              <w:ind w:left="114" w:right="1111"/>
              <w:rPr>
                <w:sz w:val="20"/>
              </w:rPr>
            </w:pPr>
            <w:r>
              <w:rPr>
                <w:sz w:val="20"/>
              </w:rPr>
              <w:t xml:space="preserve">Klarner, Carl, 2013, “State Economic Data”, </w:t>
            </w:r>
            <w:hyperlink r:id="rId230">
              <w:r>
                <w:rPr>
                  <w:sz w:val="20"/>
                  <w:u w:val="single"/>
                </w:rPr>
                <w:t>https://doi.org/10.7910/DVN/KMWN7N</w:t>
              </w:r>
            </w:hyperlink>
            <w:r>
              <w:rPr>
                <w:sz w:val="20"/>
              </w:rPr>
              <w:t>, Harvard Dataverse, V1</w:t>
            </w:r>
          </w:p>
          <w:p w14:paraId="34AE4C43" w14:textId="77777777" w:rsidR="0046798B" w:rsidRDefault="0046798B">
            <w:pPr>
              <w:pStyle w:val="TableParagraph"/>
              <w:rPr>
                <w:sz w:val="20"/>
              </w:rPr>
            </w:pPr>
          </w:p>
          <w:p w14:paraId="1DB07132" w14:textId="77777777" w:rsidR="0046798B" w:rsidRDefault="00903B5C">
            <w:pPr>
              <w:pStyle w:val="TableParagraph"/>
              <w:spacing w:before="1"/>
              <w:ind w:left="114" w:right="656"/>
              <w:rPr>
                <w:sz w:val="20"/>
              </w:rPr>
            </w:pPr>
            <w:r>
              <w:rPr>
                <w:sz w:val="20"/>
              </w:rPr>
              <w:t xml:space="preserve">Source: the variable “cpi_bls_quar_interpolated” (although none of the national data were interpolated) from the file BLS_Regional_CPI_2012_06_04.xls. Before that </w:t>
            </w:r>
            <w:hyperlink r:id="rId231">
              <w:r>
                <w:rPr>
                  <w:sz w:val="20"/>
                  <w:u w:val="single"/>
                </w:rPr>
                <w:t>ftp://ftp.bls.gov/pub/special.requests/cpi/cpiai.txt</w:t>
              </w:r>
            </w:hyperlink>
          </w:p>
        </w:tc>
      </w:tr>
      <w:tr w:rsidR="0046798B" w14:paraId="1F9CA9CA" w14:textId="77777777">
        <w:trPr>
          <w:trHeight w:val="775"/>
        </w:trPr>
        <w:tc>
          <w:tcPr>
            <w:tcW w:w="1711" w:type="dxa"/>
          </w:tcPr>
          <w:p w14:paraId="555A6CDB" w14:textId="77777777" w:rsidR="0046798B" w:rsidRDefault="00903B5C">
            <w:pPr>
              <w:pStyle w:val="TableParagraph"/>
              <w:spacing w:before="153"/>
              <w:ind w:left="115" w:right="99"/>
              <w:rPr>
                <w:b/>
                <w:sz w:val="20"/>
              </w:rPr>
            </w:pPr>
            <w:r>
              <w:rPr>
                <w:b/>
                <w:sz w:val="20"/>
              </w:rPr>
              <w:t>non_june_30_fy_ end_date</w:t>
            </w:r>
          </w:p>
        </w:tc>
        <w:tc>
          <w:tcPr>
            <w:tcW w:w="1596" w:type="dxa"/>
          </w:tcPr>
          <w:p w14:paraId="090F03F3" w14:textId="77777777" w:rsidR="0046798B" w:rsidRDefault="00903B5C">
            <w:pPr>
              <w:pStyle w:val="TableParagraph"/>
              <w:spacing w:before="38"/>
              <w:ind w:left="114" w:right="300"/>
              <w:jc w:val="both"/>
              <w:rPr>
                <w:sz w:val="20"/>
              </w:rPr>
            </w:pPr>
            <w:r>
              <w:rPr>
                <w:sz w:val="20"/>
              </w:rPr>
              <w:t>Non-June 30</w:t>
            </w:r>
            <w:r>
              <w:rPr>
                <w:sz w:val="13"/>
              </w:rPr>
              <w:t xml:space="preserve">th </w:t>
            </w:r>
            <w:r>
              <w:rPr>
                <w:sz w:val="20"/>
              </w:rPr>
              <w:t>fiscal year end date</w:t>
            </w:r>
          </w:p>
        </w:tc>
        <w:tc>
          <w:tcPr>
            <w:tcW w:w="1285" w:type="dxa"/>
          </w:tcPr>
          <w:p w14:paraId="20173475" w14:textId="77777777" w:rsidR="0046798B" w:rsidRDefault="0046798B">
            <w:pPr>
              <w:pStyle w:val="TableParagraph"/>
              <w:spacing w:before="3"/>
              <w:rPr>
                <w:sz w:val="23"/>
              </w:rPr>
            </w:pPr>
          </w:p>
          <w:p w14:paraId="3544224E" w14:textId="77777777" w:rsidR="0046798B" w:rsidRDefault="00903B5C">
            <w:pPr>
              <w:pStyle w:val="TableParagraph"/>
              <w:spacing w:before="1"/>
              <w:ind w:left="114"/>
              <w:rPr>
                <w:sz w:val="20"/>
              </w:rPr>
            </w:pPr>
            <w:r>
              <w:rPr>
                <w:sz w:val="20"/>
              </w:rPr>
              <w:t>1942–2010</w:t>
            </w:r>
          </w:p>
        </w:tc>
        <w:tc>
          <w:tcPr>
            <w:tcW w:w="3421" w:type="dxa"/>
          </w:tcPr>
          <w:p w14:paraId="11E4CDD9" w14:textId="77777777" w:rsidR="0046798B" w:rsidRDefault="00903B5C">
            <w:pPr>
              <w:pStyle w:val="TableParagraph"/>
              <w:spacing w:before="38"/>
              <w:ind w:left="114" w:right="181"/>
              <w:rPr>
                <w:sz w:val="20"/>
              </w:rPr>
            </w:pPr>
            <w:r>
              <w:rPr>
                <w:sz w:val="20"/>
              </w:rPr>
              <w:t>1 = state fiscal year doesn’t end on June 30th, 0 = state fiscal year ends on June 30th. blank = non-observed.</w:t>
            </w:r>
          </w:p>
        </w:tc>
        <w:tc>
          <w:tcPr>
            <w:tcW w:w="6482" w:type="dxa"/>
          </w:tcPr>
          <w:p w14:paraId="11B9CA90" w14:textId="77777777" w:rsidR="0046798B" w:rsidRDefault="00903B5C">
            <w:pPr>
              <w:pStyle w:val="TableParagraph"/>
              <w:spacing w:before="153"/>
              <w:ind w:left="114" w:right="1111"/>
              <w:rPr>
                <w:sz w:val="20"/>
              </w:rPr>
            </w:pPr>
            <w:r>
              <w:rPr>
                <w:sz w:val="20"/>
              </w:rPr>
              <w:t xml:space="preserve">Klarner, Carl, 2013, “State Economic Data”, </w:t>
            </w:r>
            <w:hyperlink r:id="rId232">
              <w:r>
                <w:rPr>
                  <w:sz w:val="20"/>
                  <w:u w:val="single"/>
                </w:rPr>
                <w:t>https://doi.org/10.7910/DVN/KMWN7N</w:t>
              </w:r>
            </w:hyperlink>
            <w:r>
              <w:rPr>
                <w:sz w:val="20"/>
              </w:rPr>
              <w:t>, Harvard Dataverse, V1</w:t>
            </w:r>
          </w:p>
        </w:tc>
      </w:tr>
      <w:tr w:rsidR="0046798B" w14:paraId="092F70FB" w14:textId="77777777">
        <w:trPr>
          <w:trHeight w:val="545"/>
        </w:trPr>
        <w:tc>
          <w:tcPr>
            <w:tcW w:w="1711" w:type="dxa"/>
          </w:tcPr>
          <w:p w14:paraId="582A7C0E" w14:textId="77777777" w:rsidR="0046798B" w:rsidRDefault="00903B5C">
            <w:pPr>
              <w:pStyle w:val="TableParagraph"/>
              <w:spacing w:before="158"/>
              <w:ind w:left="115"/>
              <w:rPr>
                <w:b/>
                <w:sz w:val="20"/>
              </w:rPr>
            </w:pPr>
            <w:r>
              <w:rPr>
                <w:b/>
                <w:sz w:val="20"/>
              </w:rPr>
              <w:t>odd_even_year</w:t>
            </w:r>
          </w:p>
        </w:tc>
        <w:tc>
          <w:tcPr>
            <w:tcW w:w="1596" w:type="dxa"/>
          </w:tcPr>
          <w:p w14:paraId="70E5FE79" w14:textId="77777777" w:rsidR="0046798B" w:rsidRDefault="00903B5C">
            <w:pPr>
              <w:pStyle w:val="TableParagraph"/>
              <w:spacing w:before="43"/>
              <w:ind w:left="114" w:right="424"/>
              <w:rPr>
                <w:sz w:val="20"/>
              </w:rPr>
            </w:pPr>
            <w:r>
              <w:rPr>
                <w:sz w:val="20"/>
              </w:rPr>
              <w:t>Odd/even election year</w:t>
            </w:r>
          </w:p>
        </w:tc>
        <w:tc>
          <w:tcPr>
            <w:tcW w:w="1285" w:type="dxa"/>
          </w:tcPr>
          <w:p w14:paraId="42605C8C" w14:textId="77777777" w:rsidR="0046798B" w:rsidRDefault="00903B5C">
            <w:pPr>
              <w:pStyle w:val="TableParagraph"/>
              <w:spacing w:before="158"/>
              <w:ind w:left="114"/>
              <w:rPr>
                <w:sz w:val="20"/>
              </w:rPr>
            </w:pPr>
            <w:r>
              <w:rPr>
                <w:sz w:val="20"/>
              </w:rPr>
              <w:t>1929–2016</w:t>
            </w:r>
          </w:p>
        </w:tc>
        <w:tc>
          <w:tcPr>
            <w:tcW w:w="3421" w:type="dxa"/>
          </w:tcPr>
          <w:p w14:paraId="05CB329E" w14:textId="77777777" w:rsidR="0046798B" w:rsidRDefault="00903B5C">
            <w:pPr>
              <w:pStyle w:val="TableParagraph"/>
              <w:spacing w:before="43"/>
              <w:ind w:left="114"/>
              <w:rPr>
                <w:sz w:val="20"/>
              </w:rPr>
            </w:pPr>
            <w:r>
              <w:rPr>
                <w:sz w:val="20"/>
              </w:rPr>
              <w:t>1 = state is an odd-year election state, 2</w:t>
            </w:r>
          </w:p>
          <w:p w14:paraId="5F617D03" w14:textId="77777777" w:rsidR="0046798B" w:rsidRDefault="00903B5C">
            <w:pPr>
              <w:pStyle w:val="TableParagraph"/>
              <w:spacing w:before="1"/>
              <w:ind w:left="114"/>
              <w:rPr>
                <w:sz w:val="20"/>
              </w:rPr>
            </w:pPr>
            <w:r>
              <w:rPr>
                <w:sz w:val="20"/>
              </w:rPr>
              <w:t>= state is an even-year election state, 3</w:t>
            </w:r>
          </w:p>
        </w:tc>
        <w:tc>
          <w:tcPr>
            <w:tcW w:w="6482" w:type="dxa"/>
          </w:tcPr>
          <w:p w14:paraId="3A05BCF9" w14:textId="77777777" w:rsidR="0046798B" w:rsidRDefault="00903B5C">
            <w:pPr>
              <w:pStyle w:val="TableParagraph"/>
              <w:spacing w:before="43"/>
              <w:ind w:left="114" w:right="1111"/>
              <w:rPr>
                <w:sz w:val="20"/>
              </w:rPr>
            </w:pPr>
            <w:r>
              <w:rPr>
                <w:sz w:val="20"/>
              </w:rPr>
              <w:t xml:space="preserve">Klarner, Carl, 2013, “State Economic Data”, </w:t>
            </w:r>
            <w:hyperlink r:id="rId233">
              <w:r>
                <w:rPr>
                  <w:sz w:val="20"/>
                  <w:u w:val="single"/>
                </w:rPr>
                <w:t>https://doi.org/10.7910/DVN/KMWN7N</w:t>
              </w:r>
            </w:hyperlink>
            <w:r>
              <w:rPr>
                <w:sz w:val="20"/>
              </w:rPr>
              <w:t>, Harvard Dataverse, V1</w:t>
            </w:r>
          </w:p>
        </w:tc>
      </w:tr>
    </w:tbl>
    <w:p w14:paraId="7C0DFC76" w14:textId="77777777" w:rsidR="0046798B" w:rsidRDefault="0046798B">
      <w:pPr>
        <w:rPr>
          <w:sz w:val="20"/>
        </w:rPr>
        <w:sectPr w:rsidR="0046798B">
          <w:pgSz w:w="15840" w:h="12240" w:orient="landscape"/>
          <w:pgMar w:top="1220" w:right="300" w:bottom="980" w:left="820" w:header="730" w:footer="787" w:gutter="0"/>
          <w:cols w:space="720"/>
        </w:sectPr>
      </w:pPr>
    </w:p>
    <w:p w14:paraId="3F9B2C4F"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526F7E47" w14:textId="77777777">
        <w:trPr>
          <w:trHeight w:val="542"/>
        </w:trPr>
        <w:tc>
          <w:tcPr>
            <w:tcW w:w="1711" w:type="dxa"/>
            <w:tcBorders>
              <w:bottom w:val="dotted" w:sz="6" w:space="0" w:color="BEBEBE"/>
            </w:tcBorders>
          </w:tcPr>
          <w:p w14:paraId="3EFFACD7" w14:textId="77777777" w:rsidR="0046798B" w:rsidRDefault="0046798B">
            <w:pPr>
              <w:pStyle w:val="TableParagraph"/>
              <w:rPr>
                <w:sz w:val="20"/>
              </w:rPr>
            </w:pPr>
          </w:p>
        </w:tc>
        <w:tc>
          <w:tcPr>
            <w:tcW w:w="1596" w:type="dxa"/>
            <w:tcBorders>
              <w:bottom w:val="dotted" w:sz="6" w:space="0" w:color="BEBEBE"/>
            </w:tcBorders>
          </w:tcPr>
          <w:p w14:paraId="71967B49" w14:textId="77777777" w:rsidR="0046798B" w:rsidRDefault="00903B5C">
            <w:pPr>
              <w:pStyle w:val="TableParagraph"/>
              <w:spacing w:before="43"/>
              <w:ind w:left="114" w:right="741"/>
              <w:rPr>
                <w:sz w:val="20"/>
              </w:rPr>
            </w:pPr>
            <w:r>
              <w:rPr>
                <w:sz w:val="20"/>
              </w:rPr>
              <w:t>(dummy variable)</w:t>
            </w:r>
          </w:p>
        </w:tc>
        <w:tc>
          <w:tcPr>
            <w:tcW w:w="1285" w:type="dxa"/>
            <w:tcBorders>
              <w:bottom w:val="dotted" w:sz="6" w:space="0" w:color="BEBEBE"/>
            </w:tcBorders>
          </w:tcPr>
          <w:p w14:paraId="35048ECA" w14:textId="77777777" w:rsidR="0046798B" w:rsidRDefault="0046798B">
            <w:pPr>
              <w:pStyle w:val="TableParagraph"/>
              <w:rPr>
                <w:sz w:val="20"/>
              </w:rPr>
            </w:pPr>
          </w:p>
        </w:tc>
        <w:tc>
          <w:tcPr>
            <w:tcW w:w="3421" w:type="dxa"/>
            <w:tcBorders>
              <w:bottom w:val="dotted" w:sz="6" w:space="0" w:color="BEBEBE"/>
            </w:tcBorders>
          </w:tcPr>
          <w:p w14:paraId="0AE6AB2F" w14:textId="77777777" w:rsidR="0046798B" w:rsidRDefault="00903B5C">
            <w:pPr>
              <w:pStyle w:val="TableParagraph"/>
              <w:spacing w:before="43"/>
              <w:ind w:left="114" w:right="281"/>
              <w:rPr>
                <w:sz w:val="20"/>
              </w:rPr>
            </w:pPr>
            <w:r>
              <w:rPr>
                <w:sz w:val="20"/>
              </w:rPr>
              <w:t>= Louisiana. Years available: 1929q1 to 2016q4</w:t>
            </w:r>
          </w:p>
        </w:tc>
        <w:tc>
          <w:tcPr>
            <w:tcW w:w="6482" w:type="dxa"/>
            <w:tcBorders>
              <w:bottom w:val="dotted" w:sz="6" w:space="0" w:color="BEBEBE"/>
            </w:tcBorders>
          </w:tcPr>
          <w:p w14:paraId="4E41EEB5" w14:textId="77777777" w:rsidR="0046798B" w:rsidRDefault="0046798B">
            <w:pPr>
              <w:pStyle w:val="TableParagraph"/>
              <w:rPr>
                <w:sz w:val="20"/>
              </w:rPr>
            </w:pPr>
          </w:p>
        </w:tc>
      </w:tr>
      <w:tr w:rsidR="0046798B" w14:paraId="60D57D62" w14:textId="77777777">
        <w:trPr>
          <w:trHeight w:val="1002"/>
        </w:trPr>
        <w:tc>
          <w:tcPr>
            <w:tcW w:w="1711" w:type="dxa"/>
            <w:tcBorders>
              <w:top w:val="dotted" w:sz="6" w:space="0" w:color="BEBEBE"/>
            </w:tcBorders>
          </w:tcPr>
          <w:p w14:paraId="1A4C528C" w14:textId="77777777" w:rsidR="0046798B" w:rsidRDefault="0046798B">
            <w:pPr>
              <w:pStyle w:val="TableParagraph"/>
            </w:pPr>
          </w:p>
          <w:p w14:paraId="7D0775C9" w14:textId="77777777" w:rsidR="0046798B" w:rsidRDefault="00903B5C">
            <w:pPr>
              <w:pStyle w:val="TableParagraph"/>
              <w:spacing w:before="133"/>
              <w:ind w:left="115"/>
              <w:rPr>
                <w:b/>
                <w:sz w:val="20"/>
              </w:rPr>
            </w:pPr>
            <w:r>
              <w:rPr>
                <w:b/>
                <w:sz w:val="20"/>
              </w:rPr>
              <w:t>pc_inc_ann</w:t>
            </w:r>
          </w:p>
        </w:tc>
        <w:tc>
          <w:tcPr>
            <w:tcW w:w="1596" w:type="dxa"/>
            <w:tcBorders>
              <w:top w:val="dotted" w:sz="6" w:space="0" w:color="BEBEBE"/>
            </w:tcBorders>
          </w:tcPr>
          <w:p w14:paraId="223E9150" w14:textId="77777777" w:rsidR="0046798B" w:rsidRDefault="0046798B">
            <w:pPr>
              <w:pStyle w:val="TableParagraph"/>
              <w:spacing w:before="6"/>
              <w:rPr>
                <w:sz w:val="23"/>
              </w:rPr>
            </w:pPr>
          </w:p>
          <w:p w14:paraId="5559761D" w14:textId="77777777" w:rsidR="0046798B" w:rsidRDefault="00903B5C">
            <w:pPr>
              <w:pStyle w:val="TableParagraph"/>
              <w:ind w:left="114" w:right="280"/>
              <w:rPr>
                <w:sz w:val="20"/>
              </w:rPr>
            </w:pPr>
            <w:r>
              <w:rPr>
                <w:sz w:val="20"/>
              </w:rPr>
              <w:t>Per capital annual income</w:t>
            </w:r>
          </w:p>
        </w:tc>
        <w:tc>
          <w:tcPr>
            <w:tcW w:w="1285" w:type="dxa"/>
            <w:tcBorders>
              <w:top w:val="dotted" w:sz="6" w:space="0" w:color="BEBEBE"/>
            </w:tcBorders>
          </w:tcPr>
          <w:p w14:paraId="64151E62" w14:textId="77777777" w:rsidR="0046798B" w:rsidRDefault="0046798B">
            <w:pPr>
              <w:pStyle w:val="TableParagraph"/>
            </w:pPr>
          </w:p>
          <w:p w14:paraId="193B8C5E" w14:textId="77777777" w:rsidR="0046798B" w:rsidRDefault="00903B5C">
            <w:pPr>
              <w:pStyle w:val="TableParagraph"/>
              <w:spacing w:before="133"/>
              <w:ind w:left="114"/>
              <w:rPr>
                <w:sz w:val="20"/>
              </w:rPr>
            </w:pPr>
            <w:r>
              <w:rPr>
                <w:sz w:val="20"/>
              </w:rPr>
              <w:t>1929–2016</w:t>
            </w:r>
          </w:p>
        </w:tc>
        <w:tc>
          <w:tcPr>
            <w:tcW w:w="3421" w:type="dxa"/>
            <w:tcBorders>
              <w:top w:val="dotted" w:sz="6" w:space="0" w:color="BEBEBE"/>
            </w:tcBorders>
          </w:tcPr>
          <w:p w14:paraId="1C84A1CE" w14:textId="77777777" w:rsidR="0046798B" w:rsidRDefault="00903B5C">
            <w:pPr>
              <w:pStyle w:val="TableParagraph"/>
              <w:spacing w:before="40"/>
              <w:ind w:left="114" w:right="111"/>
              <w:rPr>
                <w:sz w:val="20"/>
              </w:rPr>
            </w:pPr>
            <w:r>
              <w:rPr>
                <w:sz w:val="20"/>
              </w:rPr>
              <w:t>Per capita income, annual data ($1s). Calculated by: (personal_income1000s_annual*1000)/ pop_annual</w:t>
            </w:r>
          </w:p>
        </w:tc>
        <w:tc>
          <w:tcPr>
            <w:tcW w:w="6482" w:type="dxa"/>
            <w:tcBorders>
              <w:top w:val="dotted" w:sz="6" w:space="0" w:color="BEBEBE"/>
            </w:tcBorders>
          </w:tcPr>
          <w:p w14:paraId="27402365" w14:textId="77777777" w:rsidR="0046798B" w:rsidRDefault="0046798B">
            <w:pPr>
              <w:pStyle w:val="TableParagraph"/>
              <w:spacing w:before="6"/>
              <w:rPr>
                <w:sz w:val="23"/>
              </w:rPr>
            </w:pPr>
          </w:p>
          <w:p w14:paraId="629A9F13" w14:textId="77777777" w:rsidR="0046798B" w:rsidRDefault="00903B5C">
            <w:pPr>
              <w:pStyle w:val="TableParagraph"/>
              <w:ind w:left="114" w:right="1111"/>
              <w:rPr>
                <w:sz w:val="20"/>
              </w:rPr>
            </w:pPr>
            <w:r>
              <w:rPr>
                <w:sz w:val="20"/>
              </w:rPr>
              <w:t xml:space="preserve">Klarner, Carl, 2013, “State Economic Data”, </w:t>
            </w:r>
            <w:hyperlink r:id="rId234">
              <w:r>
                <w:rPr>
                  <w:sz w:val="20"/>
                  <w:u w:val="single"/>
                </w:rPr>
                <w:t>https://doi.org/10.7910/DVN/KMWN7N</w:t>
              </w:r>
            </w:hyperlink>
            <w:r>
              <w:rPr>
                <w:sz w:val="20"/>
              </w:rPr>
              <w:t>, Harvard Dataverse, V1</w:t>
            </w:r>
          </w:p>
        </w:tc>
      </w:tr>
      <w:tr w:rsidR="0046798B" w14:paraId="688E26E8" w14:textId="77777777">
        <w:trPr>
          <w:trHeight w:val="1240"/>
        </w:trPr>
        <w:tc>
          <w:tcPr>
            <w:tcW w:w="1711" w:type="dxa"/>
          </w:tcPr>
          <w:p w14:paraId="7937FE80" w14:textId="77777777" w:rsidR="0046798B" w:rsidRDefault="0046798B">
            <w:pPr>
              <w:pStyle w:val="TableParagraph"/>
            </w:pPr>
          </w:p>
          <w:p w14:paraId="742B75E6" w14:textId="77777777" w:rsidR="0046798B" w:rsidRDefault="0046798B">
            <w:pPr>
              <w:pStyle w:val="TableParagraph"/>
              <w:spacing w:before="9"/>
              <w:rPr>
                <w:sz w:val="21"/>
              </w:rPr>
            </w:pPr>
          </w:p>
          <w:p w14:paraId="4256ED12" w14:textId="77777777" w:rsidR="0046798B" w:rsidRDefault="00903B5C">
            <w:pPr>
              <w:pStyle w:val="TableParagraph"/>
              <w:ind w:left="115"/>
              <w:rPr>
                <w:b/>
                <w:sz w:val="20"/>
              </w:rPr>
            </w:pPr>
            <w:r>
              <w:rPr>
                <w:b/>
                <w:sz w:val="20"/>
              </w:rPr>
              <w:t>pc_inc_quar</w:t>
            </w:r>
          </w:p>
        </w:tc>
        <w:tc>
          <w:tcPr>
            <w:tcW w:w="1596" w:type="dxa"/>
          </w:tcPr>
          <w:p w14:paraId="1BD19067" w14:textId="77777777" w:rsidR="0046798B" w:rsidRDefault="0046798B">
            <w:pPr>
              <w:pStyle w:val="TableParagraph"/>
              <w:spacing w:before="9"/>
              <w:rPr>
                <w:sz w:val="23"/>
              </w:rPr>
            </w:pPr>
          </w:p>
          <w:p w14:paraId="519D701F" w14:textId="77777777" w:rsidR="0046798B" w:rsidRDefault="00903B5C">
            <w:pPr>
              <w:pStyle w:val="TableParagraph"/>
              <w:ind w:left="114" w:right="124"/>
              <w:rPr>
                <w:sz w:val="20"/>
              </w:rPr>
            </w:pPr>
            <w:r>
              <w:rPr>
                <w:sz w:val="20"/>
              </w:rPr>
              <w:t>Personal income per capita by quarter</w:t>
            </w:r>
          </w:p>
        </w:tc>
        <w:tc>
          <w:tcPr>
            <w:tcW w:w="1285" w:type="dxa"/>
          </w:tcPr>
          <w:p w14:paraId="1FE331A7" w14:textId="77777777" w:rsidR="0046798B" w:rsidRDefault="0046798B">
            <w:pPr>
              <w:pStyle w:val="TableParagraph"/>
            </w:pPr>
          </w:p>
          <w:p w14:paraId="69F485B8" w14:textId="77777777" w:rsidR="0046798B" w:rsidRDefault="0046798B">
            <w:pPr>
              <w:pStyle w:val="TableParagraph"/>
              <w:spacing w:before="9"/>
              <w:rPr>
                <w:sz w:val="21"/>
              </w:rPr>
            </w:pPr>
          </w:p>
          <w:p w14:paraId="64BACA92" w14:textId="77777777" w:rsidR="0046798B" w:rsidRDefault="00903B5C">
            <w:pPr>
              <w:pStyle w:val="TableParagraph"/>
              <w:ind w:left="114"/>
              <w:rPr>
                <w:sz w:val="20"/>
              </w:rPr>
            </w:pPr>
            <w:r>
              <w:rPr>
                <w:sz w:val="20"/>
              </w:rPr>
              <w:t>1929–2012</w:t>
            </w:r>
          </w:p>
        </w:tc>
        <w:tc>
          <w:tcPr>
            <w:tcW w:w="3421" w:type="dxa"/>
          </w:tcPr>
          <w:p w14:paraId="6CFA1E00" w14:textId="77777777" w:rsidR="0046798B" w:rsidRDefault="00903B5C">
            <w:pPr>
              <w:pStyle w:val="TableParagraph"/>
              <w:spacing w:before="44"/>
              <w:ind w:left="114" w:right="266"/>
              <w:rPr>
                <w:sz w:val="20"/>
              </w:rPr>
            </w:pPr>
            <w:r>
              <w:rPr>
                <w:sz w:val="20"/>
              </w:rPr>
              <w:t>Personal income per capita (dollars). Note: not in thousands, but in dollars. Computed by: (Personal_income1000s*1000) / pop_quar</w:t>
            </w:r>
          </w:p>
        </w:tc>
        <w:tc>
          <w:tcPr>
            <w:tcW w:w="6482" w:type="dxa"/>
          </w:tcPr>
          <w:p w14:paraId="525DD378" w14:textId="77777777" w:rsidR="0046798B" w:rsidRDefault="0046798B">
            <w:pPr>
              <w:pStyle w:val="TableParagraph"/>
            </w:pPr>
          </w:p>
          <w:p w14:paraId="74868AF7" w14:textId="77777777" w:rsidR="0046798B" w:rsidRDefault="00903B5C">
            <w:pPr>
              <w:pStyle w:val="TableParagraph"/>
              <w:spacing w:before="136"/>
              <w:ind w:left="114" w:right="1111"/>
              <w:rPr>
                <w:sz w:val="20"/>
              </w:rPr>
            </w:pPr>
            <w:r>
              <w:rPr>
                <w:sz w:val="20"/>
              </w:rPr>
              <w:t xml:space="preserve">Klarner, Carl, 2013, “State Economic Data”, </w:t>
            </w:r>
            <w:hyperlink r:id="rId235">
              <w:r>
                <w:rPr>
                  <w:sz w:val="20"/>
                  <w:u w:val="single"/>
                </w:rPr>
                <w:t>https://doi.org/10.7910/DVN/KMWN7N</w:t>
              </w:r>
            </w:hyperlink>
            <w:r>
              <w:rPr>
                <w:sz w:val="20"/>
              </w:rPr>
              <w:t>, Harvard Dataverse, V1</w:t>
            </w:r>
          </w:p>
        </w:tc>
      </w:tr>
      <w:tr w:rsidR="0046798B" w14:paraId="048AFC1A" w14:textId="77777777">
        <w:trPr>
          <w:trHeight w:val="1005"/>
        </w:trPr>
        <w:tc>
          <w:tcPr>
            <w:tcW w:w="1711" w:type="dxa"/>
          </w:tcPr>
          <w:p w14:paraId="307771D1" w14:textId="77777777" w:rsidR="0046798B" w:rsidRDefault="0046798B">
            <w:pPr>
              <w:pStyle w:val="TableParagraph"/>
              <w:spacing w:before="4"/>
              <w:rPr>
                <w:sz w:val="23"/>
              </w:rPr>
            </w:pPr>
          </w:p>
          <w:p w14:paraId="7156291A" w14:textId="77777777" w:rsidR="0046798B" w:rsidRDefault="00903B5C">
            <w:pPr>
              <w:pStyle w:val="TableParagraph"/>
              <w:ind w:left="115" w:right="154"/>
              <w:rPr>
                <w:b/>
                <w:sz w:val="20"/>
              </w:rPr>
            </w:pPr>
            <w:r>
              <w:rPr>
                <w:b/>
                <w:sz w:val="20"/>
              </w:rPr>
              <w:t>pc_inc_quar_exi sts</w:t>
            </w:r>
          </w:p>
        </w:tc>
        <w:tc>
          <w:tcPr>
            <w:tcW w:w="1596" w:type="dxa"/>
          </w:tcPr>
          <w:p w14:paraId="1173C3E8" w14:textId="77777777" w:rsidR="0046798B" w:rsidRDefault="00903B5C">
            <w:pPr>
              <w:pStyle w:val="TableParagraph"/>
              <w:spacing w:before="38"/>
              <w:ind w:left="114" w:right="124"/>
              <w:rPr>
                <w:sz w:val="20"/>
              </w:rPr>
            </w:pPr>
            <w:r>
              <w:rPr>
                <w:sz w:val="20"/>
              </w:rPr>
              <w:t>Personal income per capita by quarter (dummy variable)</w:t>
            </w:r>
          </w:p>
        </w:tc>
        <w:tc>
          <w:tcPr>
            <w:tcW w:w="1285" w:type="dxa"/>
          </w:tcPr>
          <w:p w14:paraId="212F5FB1" w14:textId="77777777" w:rsidR="0046798B" w:rsidRDefault="0046798B">
            <w:pPr>
              <w:pStyle w:val="TableParagraph"/>
            </w:pPr>
          </w:p>
          <w:p w14:paraId="3176DCEC" w14:textId="77777777" w:rsidR="0046798B" w:rsidRDefault="00903B5C">
            <w:pPr>
              <w:pStyle w:val="TableParagraph"/>
              <w:spacing w:before="130"/>
              <w:ind w:left="114"/>
              <w:rPr>
                <w:sz w:val="20"/>
              </w:rPr>
            </w:pPr>
            <w:r>
              <w:rPr>
                <w:sz w:val="20"/>
              </w:rPr>
              <w:t>1929–2012</w:t>
            </w:r>
          </w:p>
        </w:tc>
        <w:tc>
          <w:tcPr>
            <w:tcW w:w="3421" w:type="dxa"/>
          </w:tcPr>
          <w:p w14:paraId="3806187C" w14:textId="77777777" w:rsidR="0046798B" w:rsidRDefault="0046798B">
            <w:pPr>
              <w:pStyle w:val="TableParagraph"/>
              <w:spacing w:before="4"/>
              <w:rPr>
                <w:sz w:val="23"/>
              </w:rPr>
            </w:pPr>
          </w:p>
          <w:p w14:paraId="5CE62337" w14:textId="77777777" w:rsidR="0046798B" w:rsidRDefault="00903B5C">
            <w:pPr>
              <w:pStyle w:val="TableParagraph"/>
              <w:ind w:left="114" w:right="492"/>
              <w:rPr>
                <w:sz w:val="20"/>
              </w:rPr>
            </w:pPr>
            <w:r>
              <w:rPr>
                <w:sz w:val="20"/>
              </w:rPr>
              <w:t>1 = pc_inc has a non-missing case. Blank = else.</w:t>
            </w:r>
          </w:p>
        </w:tc>
        <w:tc>
          <w:tcPr>
            <w:tcW w:w="6482" w:type="dxa"/>
          </w:tcPr>
          <w:p w14:paraId="03E1CA7A" w14:textId="77777777" w:rsidR="0046798B" w:rsidRDefault="0046798B">
            <w:pPr>
              <w:pStyle w:val="TableParagraph"/>
              <w:spacing w:before="4"/>
              <w:rPr>
                <w:sz w:val="23"/>
              </w:rPr>
            </w:pPr>
          </w:p>
          <w:p w14:paraId="08216777" w14:textId="77777777" w:rsidR="0046798B" w:rsidRDefault="00903B5C">
            <w:pPr>
              <w:pStyle w:val="TableParagraph"/>
              <w:ind w:left="114" w:right="1111"/>
              <w:rPr>
                <w:sz w:val="20"/>
              </w:rPr>
            </w:pPr>
            <w:r>
              <w:rPr>
                <w:sz w:val="20"/>
              </w:rPr>
              <w:t xml:space="preserve">Klarner, Carl, 2013, “State Economic Data”, </w:t>
            </w:r>
            <w:hyperlink r:id="rId236">
              <w:r>
                <w:rPr>
                  <w:sz w:val="20"/>
                  <w:u w:val="single"/>
                </w:rPr>
                <w:t>https://doi.org/10.7910/DVN/KMWN7N</w:t>
              </w:r>
            </w:hyperlink>
            <w:r>
              <w:rPr>
                <w:sz w:val="20"/>
              </w:rPr>
              <w:t>, Harvard Dataverse, V1</w:t>
            </w:r>
          </w:p>
        </w:tc>
      </w:tr>
      <w:tr w:rsidR="0046798B" w14:paraId="0C0144DC" w14:textId="77777777">
        <w:trPr>
          <w:trHeight w:val="1235"/>
        </w:trPr>
        <w:tc>
          <w:tcPr>
            <w:tcW w:w="1711" w:type="dxa"/>
          </w:tcPr>
          <w:p w14:paraId="62F629F0" w14:textId="77777777" w:rsidR="0046798B" w:rsidRDefault="0046798B">
            <w:pPr>
              <w:pStyle w:val="TableParagraph"/>
            </w:pPr>
          </w:p>
          <w:p w14:paraId="18B3DABE" w14:textId="77777777" w:rsidR="0046798B" w:rsidRDefault="00903B5C">
            <w:pPr>
              <w:pStyle w:val="TableParagraph"/>
              <w:spacing w:before="130"/>
              <w:ind w:left="115" w:right="121"/>
              <w:rPr>
                <w:b/>
                <w:sz w:val="20"/>
              </w:rPr>
            </w:pPr>
            <w:r>
              <w:rPr>
                <w:b/>
                <w:sz w:val="20"/>
              </w:rPr>
              <w:t>personal_income 1000s</w:t>
            </w:r>
          </w:p>
        </w:tc>
        <w:tc>
          <w:tcPr>
            <w:tcW w:w="1596" w:type="dxa"/>
          </w:tcPr>
          <w:p w14:paraId="46DB7CD8" w14:textId="77777777" w:rsidR="0046798B" w:rsidRDefault="0046798B">
            <w:pPr>
              <w:pStyle w:val="TableParagraph"/>
            </w:pPr>
          </w:p>
          <w:p w14:paraId="6D5151CB" w14:textId="77777777" w:rsidR="0046798B" w:rsidRDefault="00903B5C">
            <w:pPr>
              <w:pStyle w:val="TableParagraph"/>
              <w:spacing w:before="130"/>
              <w:ind w:left="114" w:right="241"/>
              <w:rPr>
                <w:sz w:val="20"/>
              </w:rPr>
            </w:pPr>
            <w:r>
              <w:rPr>
                <w:sz w:val="20"/>
              </w:rPr>
              <w:t>Total personal income in state</w:t>
            </w:r>
          </w:p>
        </w:tc>
        <w:tc>
          <w:tcPr>
            <w:tcW w:w="1285" w:type="dxa"/>
          </w:tcPr>
          <w:p w14:paraId="63BBC517" w14:textId="77777777" w:rsidR="0046798B" w:rsidRDefault="0046798B">
            <w:pPr>
              <w:pStyle w:val="TableParagraph"/>
            </w:pPr>
          </w:p>
          <w:p w14:paraId="3584F65F" w14:textId="77777777" w:rsidR="0046798B" w:rsidRDefault="0046798B">
            <w:pPr>
              <w:pStyle w:val="TableParagraph"/>
              <w:spacing w:before="4"/>
              <w:rPr>
                <w:sz w:val="21"/>
              </w:rPr>
            </w:pPr>
          </w:p>
          <w:p w14:paraId="48EC6D62" w14:textId="77777777" w:rsidR="0046798B" w:rsidRDefault="00903B5C">
            <w:pPr>
              <w:pStyle w:val="TableParagraph"/>
              <w:ind w:left="114"/>
              <w:rPr>
                <w:sz w:val="20"/>
              </w:rPr>
            </w:pPr>
            <w:r>
              <w:rPr>
                <w:sz w:val="20"/>
              </w:rPr>
              <w:t>1948–2012</w:t>
            </w:r>
          </w:p>
        </w:tc>
        <w:tc>
          <w:tcPr>
            <w:tcW w:w="3421" w:type="dxa"/>
          </w:tcPr>
          <w:p w14:paraId="312D1E65" w14:textId="77777777" w:rsidR="0046798B" w:rsidRDefault="00903B5C">
            <w:pPr>
              <w:pStyle w:val="TableParagraph"/>
              <w:spacing w:before="38"/>
              <w:ind w:left="114" w:right="250"/>
              <w:rPr>
                <w:sz w:val="20"/>
              </w:rPr>
            </w:pPr>
            <w:r>
              <w:rPr>
                <w:sz w:val="20"/>
              </w:rPr>
              <w:t>Combines the variables personal_income1000s_quar (when is_a_quarter=1) and personal_income1000s_annual (when quar=2.5).</w:t>
            </w:r>
          </w:p>
        </w:tc>
        <w:tc>
          <w:tcPr>
            <w:tcW w:w="6482" w:type="dxa"/>
          </w:tcPr>
          <w:p w14:paraId="2AF3E1B5" w14:textId="77777777" w:rsidR="0046798B" w:rsidRDefault="0046798B">
            <w:pPr>
              <w:pStyle w:val="TableParagraph"/>
            </w:pPr>
          </w:p>
          <w:p w14:paraId="6926AE80" w14:textId="77777777" w:rsidR="0046798B" w:rsidRDefault="00903B5C">
            <w:pPr>
              <w:pStyle w:val="TableParagraph"/>
              <w:spacing w:before="130"/>
              <w:ind w:left="114" w:right="1111"/>
              <w:rPr>
                <w:sz w:val="20"/>
              </w:rPr>
            </w:pPr>
            <w:r>
              <w:rPr>
                <w:sz w:val="20"/>
              </w:rPr>
              <w:t xml:space="preserve">Klarner, Carl, 2013, “State Economic Data”, </w:t>
            </w:r>
            <w:hyperlink r:id="rId237">
              <w:r>
                <w:rPr>
                  <w:sz w:val="20"/>
                  <w:u w:val="single"/>
                </w:rPr>
                <w:t>https://doi.org/10.7910/DVN/KMWN7N</w:t>
              </w:r>
            </w:hyperlink>
            <w:r>
              <w:rPr>
                <w:sz w:val="20"/>
              </w:rPr>
              <w:t>, Harvard Dataverse, V1</w:t>
            </w:r>
          </w:p>
        </w:tc>
      </w:tr>
      <w:tr w:rsidR="0046798B" w14:paraId="7EFD3428" w14:textId="77777777">
        <w:trPr>
          <w:trHeight w:val="2616"/>
        </w:trPr>
        <w:tc>
          <w:tcPr>
            <w:tcW w:w="1711" w:type="dxa"/>
          </w:tcPr>
          <w:p w14:paraId="27BB7607" w14:textId="77777777" w:rsidR="0046798B" w:rsidRDefault="0046798B">
            <w:pPr>
              <w:pStyle w:val="TableParagraph"/>
            </w:pPr>
          </w:p>
          <w:p w14:paraId="5DABB6AB" w14:textId="77777777" w:rsidR="0046798B" w:rsidRDefault="0046798B">
            <w:pPr>
              <w:pStyle w:val="TableParagraph"/>
            </w:pPr>
          </w:p>
          <w:p w14:paraId="1F8BACF1" w14:textId="77777777" w:rsidR="0046798B" w:rsidRDefault="0046798B">
            <w:pPr>
              <w:pStyle w:val="TableParagraph"/>
            </w:pPr>
          </w:p>
          <w:p w14:paraId="4C7665D4" w14:textId="77777777" w:rsidR="0046798B" w:rsidRDefault="0046798B">
            <w:pPr>
              <w:pStyle w:val="TableParagraph"/>
              <w:spacing w:before="4"/>
              <w:rPr>
                <w:sz w:val="27"/>
              </w:rPr>
            </w:pPr>
          </w:p>
          <w:p w14:paraId="752D4C68" w14:textId="77777777" w:rsidR="0046798B" w:rsidRDefault="00903B5C">
            <w:pPr>
              <w:pStyle w:val="TableParagraph"/>
              <w:ind w:left="115" w:right="121"/>
              <w:rPr>
                <w:b/>
                <w:sz w:val="20"/>
              </w:rPr>
            </w:pPr>
            <w:r>
              <w:rPr>
                <w:b/>
                <w:sz w:val="20"/>
              </w:rPr>
              <w:t>personal_income 1000s_b</w:t>
            </w:r>
          </w:p>
        </w:tc>
        <w:tc>
          <w:tcPr>
            <w:tcW w:w="1596" w:type="dxa"/>
          </w:tcPr>
          <w:p w14:paraId="65D91C2D" w14:textId="77777777" w:rsidR="0046798B" w:rsidRDefault="0046798B">
            <w:pPr>
              <w:pStyle w:val="TableParagraph"/>
            </w:pPr>
          </w:p>
          <w:p w14:paraId="551AE7DA" w14:textId="77777777" w:rsidR="0046798B" w:rsidRDefault="0046798B">
            <w:pPr>
              <w:pStyle w:val="TableParagraph"/>
            </w:pPr>
          </w:p>
          <w:p w14:paraId="043D798E" w14:textId="77777777" w:rsidR="0046798B" w:rsidRDefault="0046798B">
            <w:pPr>
              <w:pStyle w:val="TableParagraph"/>
            </w:pPr>
          </w:p>
          <w:p w14:paraId="456CEA84" w14:textId="77777777" w:rsidR="0046798B" w:rsidRDefault="0046798B">
            <w:pPr>
              <w:pStyle w:val="TableParagraph"/>
            </w:pPr>
          </w:p>
          <w:p w14:paraId="7E6DB10D" w14:textId="77777777" w:rsidR="0046798B" w:rsidRDefault="00903B5C">
            <w:pPr>
              <w:pStyle w:val="TableParagraph"/>
              <w:spacing w:before="177"/>
              <w:ind w:left="114"/>
              <w:rPr>
                <w:sz w:val="20"/>
              </w:rPr>
            </w:pPr>
            <w:r>
              <w:rPr>
                <w:sz w:val="20"/>
              </w:rPr>
              <w:t>Personal income</w:t>
            </w:r>
          </w:p>
        </w:tc>
        <w:tc>
          <w:tcPr>
            <w:tcW w:w="1285" w:type="dxa"/>
          </w:tcPr>
          <w:p w14:paraId="512E3D87" w14:textId="77777777" w:rsidR="0046798B" w:rsidRDefault="0046798B">
            <w:pPr>
              <w:pStyle w:val="TableParagraph"/>
            </w:pPr>
          </w:p>
          <w:p w14:paraId="75FB3CFB" w14:textId="77777777" w:rsidR="0046798B" w:rsidRDefault="0046798B">
            <w:pPr>
              <w:pStyle w:val="TableParagraph"/>
            </w:pPr>
          </w:p>
          <w:p w14:paraId="425F5A53" w14:textId="77777777" w:rsidR="0046798B" w:rsidRDefault="0046798B">
            <w:pPr>
              <w:pStyle w:val="TableParagraph"/>
            </w:pPr>
          </w:p>
          <w:p w14:paraId="5F1906C8" w14:textId="77777777" w:rsidR="0046798B" w:rsidRDefault="0046798B">
            <w:pPr>
              <w:pStyle w:val="TableParagraph"/>
            </w:pPr>
          </w:p>
          <w:p w14:paraId="5E25FE52" w14:textId="77777777" w:rsidR="0046798B" w:rsidRDefault="00903B5C">
            <w:pPr>
              <w:pStyle w:val="TableParagraph"/>
              <w:spacing w:before="177"/>
              <w:ind w:left="114"/>
              <w:rPr>
                <w:sz w:val="20"/>
              </w:rPr>
            </w:pPr>
            <w:r>
              <w:rPr>
                <w:sz w:val="20"/>
              </w:rPr>
              <w:t>1929–2012</w:t>
            </w:r>
          </w:p>
        </w:tc>
        <w:tc>
          <w:tcPr>
            <w:tcW w:w="3421" w:type="dxa"/>
          </w:tcPr>
          <w:p w14:paraId="729A7D8E" w14:textId="77777777" w:rsidR="0046798B" w:rsidRDefault="00903B5C">
            <w:pPr>
              <w:pStyle w:val="TableParagraph"/>
              <w:spacing w:before="44"/>
              <w:ind w:left="114" w:right="688"/>
              <w:rPr>
                <w:sz w:val="20"/>
              </w:rPr>
            </w:pPr>
            <w:r>
              <w:rPr>
                <w:sz w:val="20"/>
              </w:rPr>
              <w:t>Personal income in $1,000s. For Q=2.5, it’s equal to personal_income1000s_Annual.</w:t>
            </w:r>
          </w:p>
          <w:p w14:paraId="2BCFB4C3" w14:textId="77777777" w:rsidR="0046798B" w:rsidRDefault="00903B5C">
            <w:pPr>
              <w:pStyle w:val="TableParagraph"/>
              <w:ind w:left="114" w:right="123"/>
              <w:rPr>
                <w:sz w:val="20"/>
              </w:rPr>
            </w:pPr>
            <w:r>
              <w:rPr>
                <w:sz w:val="20"/>
              </w:rPr>
              <w:t xml:space="preserve">For Qs=1, 2, 3 and 4, and years 1948q1 to 2011q4, it’s equal to personal_income1000s_quar. For Qs=1, 2, 3 and 4, and years 1929q3 to 1947q4, it’s equal to the “last value” (q2.5 in the same year for q3, or the last quarter for other quarters) times </w:t>
            </w:r>
            <w:r>
              <w:rPr>
                <w:spacing w:val="-5"/>
                <w:sz w:val="20"/>
              </w:rPr>
              <w:t xml:space="preserve">the </w:t>
            </w:r>
            <w:r>
              <w:rPr>
                <w:sz w:val="20"/>
              </w:rPr>
              <w:t>growth rate given in</w:t>
            </w:r>
            <w:r>
              <w:rPr>
                <w:spacing w:val="-6"/>
                <w:sz w:val="20"/>
              </w:rPr>
              <w:t xml:space="preserve"> </w:t>
            </w:r>
            <w:r>
              <w:rPr>
                <w:sz w:val="20"/>
              </w:rPr>
              <w:t>inc_multiplier.</w:t>
            </w:r>
          </w:p>
        </w:tc>
        <w:tc>
          <w:tcPr>
            <w:tcW w:w="6482" w:type="dxa"/>
          </w:tcPr>
          <w:p w14:paraId="5A566033" w14:textId="77777777" w:rsidR="0046798B" w:rsidRDefault="0046798B">
            <w:pPr>
              <w:pStyle w:val="TableParagraph"/>
            </w:pPr>
          </w:p>
          <w:p w14:paraId="3EB569AE" w14:textId="77777777" w:rsidR="0046798B" w:rsidRDefault="0046798B">
            <w:pPr>
              <w:pStyle w:val="TableParagraph"/>
            </w:pPr>
          </w:p>
          <w:p w14:paraId="50A41A4B" w14:textId="77777777" w:rsidR="0046798B" w:rsidRDefault="0046798B">
            <w:pPr>
              <w:pStyle w:val="TableParagraph"/>
            </w:pPr>
          </w:p>
          <w:p w14:paraId="4291802B" w14:textId="77777777" w:rsidR="0046798B" w:rsidRDefault="0046798B">
            <w:pPr>
              <w:pStyle w:val="TableParagraph"/>
              <w:spacing w:before="4"/>
              <w:rPr>
                <w:sz w:val="27"/>
              </w:rPr>
            </w:pPr>
          </w:p>
          <w:p w14:paraId="62EED20D" w14:textId="77777777" w:rsidR="0046798B" w:rsidRDefault="00903B5C">
            <w:pPr>
              <w:pStyle w:val="TableParagraph"/>
              <w:ind w:left="114" w:right="1111"/>
              <w:rPr>
                <w:sz w:val="20"/>
              </w:rPr>
            </w:pPr>
            <w:r>
              <w:rPr>
                <w:sz w:val="20"/>
              </w:rPr>
              <w:t xml:space="preserve">Klarner, Carl, 2013, “State Economic Data”, </w:t>
            </w:r>
            <w:hyperlink r:id="rId238">
              <w:r>
                <w:rPr>
                  <w:sz w:val="20"/>
                  <w:u w:val="single"/>
                </w:rPr>
                <w:t>https://doi.org/10.7910/DVN/KMWN7N</w:t>
              </w:r>
            </w:hyperlink>
            <w:r>
              <w:rPr>
                <w:sz w:val="20"/>
              </w:rPr>
              <w:t>, Harvard Dataverse, V1</w:t>
            </w:r>
          </w:p>
        </w:tc>
      </w:tr>
      <w:tr w:rsidR="0046798B" w14:paraId="3E85F4A4" w14:textId="77777777">
        <w:trPr>
          <w:trHeight w:val="775"/>
        </w:trPr>
        <w:tc>
          <w:tcPr>
            <w:tcW w:w="1711" w:type="dxa"/>
          </w:tcPr>
          <w:p w14:paraId="52C6D0E6" w14:textId="77777777" w:rsidR="0046798B" w:rsidRDefault="00903B5C">
            <w:pPr>
              <w:pStyle w:val="TableParagraph"/>
              <w:spacing w:before="158"/>
              <w:ind w:left="115" w:right="121"/>
              <w:rPr>
                <w:b/>
                <w:sz w:val="20"/>
              </w:rPr>
            </w:pPr>
            <w:r>
              <w:rPr>
                <w:b/>
                <w:sz w:val="20"/>
              </w:rPr>
              <w:t>personal_income 1000s_b_exists</w:t>
            </w:r>
          </w:p>
        </w:tc>
        <w:tc>
          <w:tcPr>
            <w:tcW w:w="1596" w:type="dxa"/>
          </w:tcPr>
          <w:p w14:paraId="3048F6D3" w14:textId="77777777" w:rsidR="0046798B" w:rsidRDefault="00903B5C">
            <w:pPr>
              <w:pStyle w:val="TableParagraph"/>
              <w:spacing w:before="158"/>
              <w:ind w:left="114" w:right="124"/>
              <w:rPr>
                <w:sz w:val="20"/>
              </w:rPr>
            </w:pPr>
            <w:r>
              <w:rPr>
                <w:sz w:val="20"/>
              </w:rPr>
              <w:t>Personal income dummy</w:t>
            </w:r>
          </w:p>
        </w:tc>
        <w:tc>
          <w:tcPr>
            <w:tcW w:w="1285" w:type="dxa"/>
          </w:tcPr>
          <w:p w14:paraId="7A31CC5F" w14:textId="77777777" w:rsidR="0046798B" w:rsidRDefault="0046798B">
            <w:pPr>
              <w:pStyle w:val="TableParagraph"/>
              <w:spacing w:before="9"/>
              <w:rPr>
                <w:sz w:val="23"/>
              </w:rPr>
            </w:pPr>
          </w:p>
          <w:p w14:paraId="637A62E7" w14:textId="77777777" w:rsidR="0046798B" w:rsidRDefault="00903B5C">
            <w:pPr>
              <w:pStyle w:val="TableParagraph"/>
              <w:ind w:left="114"/>
              <w:rPr>
                <w:sz w:val="20"/>
              </w:rPr>
            </w:pPr>
            <w:r>
              <w:rPr>
                <w:sz w:val="20"/>
              </w:rPr>
              <w:t>1929–2012</w:t>
            </w:r>
          </w:p>
        </w:tc>
        <w:tc>
          <w:tcPr>
            <w:tcW w:w="3421" w:type="dxa"/>
          </w:tcPr>
          <w:p w14:paraId="693124A3" w14:textId="77777777" w:rsidR="0046798B" w:rsidRDefault="00903B5C">
            <w:pPr>
              <w:pStyle w:val="TableParagraph"/>
              <w:spacing w:before="43"/>
              <w:ind w:left="114" w:right="303"/>
              <w:rPr>
                <w:sz w:val="20"/>
              </w:rPr>
            </w:pPr>
            <w:r>
              <w:rPr>
                <w:sz w:val="20"/>
              </w:rPr>
              <w:t>Dummy: 1 = there is a value for “Personal_income1000s_b.” Blank = else.</w:t>
            </w:r>
          </w:p>
        </w:tc>
        <w:tc>
          <w:tcPr>
            <w:tcW w:w="6482" w:type="dxa"/>
          </w:tcPr>
          <w:p w14:paraId="1D577090" w14:textId="77777777" w:rsidR="0046798B" w:rsidRDefault="00903B5C">
            <w:pPr>
              <w:pStyle w:val="TableParagraph"/>
              <w:spacing w:before="158"/>
              <w:ind w:left="114" w:right="1111"/>
              <w:rPr>
                <w:sz w:val="20"/>
              </w:rPr>
            </w:pPr>
            <w:r>
              <w:rPr>
                <w:sz w:val="20"/>
              </w:rPr>
              <w:t xml:space="preserve">Klarner, Carl, 2013, “State Economic Data”, </w:t>
            </w:r>
            <w:hyperlink r:id="rId239">
              <w:r>
                <w:rPr>
                  <w:sz w:val="20"/>
                  <w:u w:val="single"/>
                </w:rPr>
                <w:t>https://doi.org/10.7910/DVN/KMWN7N</w:t>
              </w:r>
            </w:hyperlink>
            <w:r>
              <w:rPr>
                <w:sz w:val="20"/>
              </w:rPr>
              <w:t>, Harvard Dataverse, V1</w:t>
            </w:r>
          </w:p>
        </w:tc>
      </w:tr>
      <w:tr w:rsidR="0046798B" w14:paraId="40D27848" w14:textId="77777777">
        <w:trPr>
          <w:trHeight w:val="775"/>
        </w:trPr>
        <w:tc>
          <w:tcPr>
            <w:tcW w:w="1711" w:type="dxa"/>
          </w:tcPr>
          <w:p w14:paraId="3407177D" w14:textId="77777777" w:rsidR="0046798B" w:rsidRDefault="00903B5C">
            <w:pPr>
              <w:pStyle w:val="TableParagraph"/>
              <w:spacing w:before="158"/>
              <w:ind w:left="115" w:right="188"/>
              <w:rPr>
                <w:b/>
                <w:sz w:val="20"/>
              </w:rPr>
            </w:pPr>
            <w:r>
              <w:rPr>
                <w:b/>
                <w:sz w:val="20"/>
              </w:rPr>
              <w:t>real_inc1000s_q uar</w:t>
            </w:r>
          </w:p>
        </w:tc>
        <w:tc>
          <w:tcPr>
            <w:tcW w:w="1596" w:type="dxa"/>
          </w:tcPr>
          <w:p w14:paraId="0F1CDD12" w14:textId="77777777" w:rsidR="0046798B" w:rsidRDefault="00903B5C">
            <w:pPr>
              <w:pStyle w:val="TableParagraph"/>
              <w:spacing w:before="158"/>
              <w:ind w:left="114" w:right="357"/>
              <w:rPr>
                <w:sz w:val="20"/>
              </w:rPr>
            </w:pPr>
            <w:r>
              <w:rPr>
                <w:sz w:val="20"/>
              </w:rPr>
              <w:t>Real personal income</w:t>
            </w:r>
          </w:p>
        </w:tc>
        <w:tc>
          <w:tcPr>
            <w:tcW w:w="1285" w:type="dxa"/>
          </w:tcPr>
          <w:p w14:paraId="6159BA07" w14:textId="77777777" w:rsidR="0046798B" w:rsidRDefault="0046798B">
            <w:pPr>
              <w:pStyle w:val="TableParagraph"/>
              <w:spacing w:before="8"/>
              <w:rPr>
                <w:sz w:val="23"/>
              </w:rPr>
            </w:pPr>
          </w:p>
          <w:p w14:paraId="4A428B1D" w14:textId="77777777" w:rsidR="0046798B" w:rsidRDefault="00903B5C">
            <w:pPr>
              <w:pStyle w:val="TableParagraph"/>
              <w:spacing w:before="1"/>
              <w:ind w:left="114"/>
              <w:rPr>
                <w:sz w:val="20"/>
              </w:rPr>
            </w:pPr>
            <w:r>
              <w:rPr>
                <w:sz w:val="20"/>
              </w:rPr>
              <w:t>1960–2012</w:t>
            </w:r>
          </w:p>
        </w:tc>
        <w:tc>
          <w:tcPr>
            <w:tcW w:w="3421" w:type="dxa"/>
          </w:tcPr>
          <w:p w14:paraId="75DFB8F0" w14:textId="77777777" w:rsidR="0046798B" w:rsidRDefault="00903B5C">
            <w:pPr>
              <w:pStyle w:val="TableParagraph"/>
              <w:spacing w:before="43"/>
              <w:ind w:left="114" w:right="177"/>
              <w:rPr>
                <w:sz w:val="20"/>
              </w:rPr>
            </w:pPr>
            <w:r>
              <w:rPr>
                <w:sz w:val="20"/>
              </w:rPr>
              <w:t>Real personal income (in 2007 dollars, 1,000s), deflated with Berry, Fording and Hanson cost of living index.</w:t>
            </w:r>
          </w:p>
        </w:tc>
        <w:tc>
          <w:tcPr>
            <w:tcW w:w="6482" w:type="dxa"/>
          </w:tcPr>
          <w:p w14:paraId="22C6D47D" w14:textId="77777777" w:rsidR="0046798B" w:rsidRDefault="00903B5C">
            <w:pPr>
              <w:pStyle w:val="TableParagraph"/>
              <w:spacing w:before="158"/>
              <w:ind w:left="114" w:right="1111"/>
              <w:rPr>
                <w:sz w:val="20"/>
              </w:rPr>
            </w:pPr>
            <w:r>
              <w:rPr>
                <w:sz w:val="20"/>
              </w:rPr>
              <w:t xml:space="preserve">Klarner, Carl, 2013, “State Economic Data”, </w:t>
            </w:r>
            <w:hyperlink r:id="rId240">
              <w:r>
                <w:rPr>
                  <w:sz w:val="20"/>
                  <w:u w:val="single"/>
                </w:rPr>
                <w:t>https://doi.org/10.7910/DVN/KMWN7N</w:t>
              </w:r>
            </w:hyperlink>
            <w:r>
              <w:rPr>
                <w:sz w:val="20"/>
              </w:rPr>
              <w:t>, Harvard Dataverse, V1</w:t>
            </w:r>
          </w:p>
        </w:tc>
      </w:tr>
    </w:tbl>
    <w:p w14:paraId="655D36D3" w14:textId="77777777" w:rsidR="0046798B" w:rsidRDefault="0046798B">
      <w:pPr>
        <w:rPr>
          <w:sz w:val="20"/>
        </w:rPr>
        <w:sectPr w:rsidR="0046798B">
          <w:pgSz w:w="15840" w:h="12240" w:orient="landscape"/>
          <w:pgMar w:top="1220" w:right="300" w:bottom="980" w:left="820" w:header="730" w:footer="787" w:gutter="0"/>
          <w:cols w:space="720"/>
        </w:sectPr>
      </w:pPr>
    </w:p>
    <w:p w14:paraId="440D203B"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0B6045A3" w14:textId="77777777">
        <w:trPr>
          <w:trHeight w:val="775"/>
        </w:trPr>
        <w:tc>
          <w:tcPr>
            <w:tcW w:w="1711" w:type="dxa"/>
          </w:tcPr>
          <w:p w14:paraId="469A60A2" w14:textId="77777777" w:rsidR="0046798B" w:rsidRDefault="0046798B">
            <w:pPr>
              <w:pStyle w:val="TableParagraph"/>
              <w:rPr>
                <w:sz w:val="20"/>
              </w:rPr>
            </w:pPr>
          </w:p>
        </w:tc>
        <w:tc>
          <w:tcPr>
            <w:tcW w:w="1596" w:type="dxa"/>
          </w:tcPr>
          <w:p w14:paraId="2B7A0197" w14:textId="77777777" w:rsidR="0046798B" w:rsidRDefault="0046798B">
            <w:pPr>
              <w:pStyle w:val="TableParagraph"/>
              <w:rPr>
                <w:sz w:val="20"/>
              </w:rPr>
            </w:pPr>
          </w:p>
        </w:tc>
        <w:tc>
          <w:tcPr>
            <w:tcW w:w="1285" w:type="dxa"/>
          </w:tcPr>
          <w:p w14:paraId="029BD66D" w14:textId="77777777" w:rsidR="0046798B" w:rsidRDefault="0046798B">
            <w:pPr>
              <w:pStyle w:val="TableParagraph"/>
              <w:rPr>
                <w:sz w:val="20"/>
              </w:rPr>
            </w:pPr>
          </w:p>
        </w:tc>
        <w:tc>
          <w:tcPr>
            <w:tcW w:w="3421" w:type="dxa"/>
          </w:tcPr>
          <w:p w14:paraId="2F7DBB89" w14:textId="77777777" w:rsidR="0046798B" w:rsidRDefault="00903B5C">
            <w:pPr>
              <w:pStyle w:val="TableParagraph"/>
              <w:spacing w:before="43"/>
              <w:ind w:left="114" w:right="1127"/>
              <w:rPr>
                <w:sz w:val="20"/>
              </w:rPr>
            </w:pPr>
            <w:r>
              <w:rPr>
                <w:sz w:val="20"/>
              </w:rPr>
              <w:t>Computed by: personal_income1000s_b / state_cpi_bfh_est_quar</w:t>
            </w:r>
          </w:p>
        </w:tc>
        <w:tc>
          <w:tcPr>
            <w:tcW w:w="6482" w:type="dxa"/>
          </w:tcPr>
          <w:p w14:paraId="0590497F" w14:textId="77777777" w:rsidR="0046798B" w:rsidRDefault="0046798B">
            <w:pPr>
              <w:pStyle w:val="TableParagraph"/>
              <w:rPr>
                <w:sz w:val="20"/>
              </w:rPr>
            </w:pPr>
          </w:p>
        </w:tc>
      </w:tr>
      <w:tr w:rsidR="0046798B" w14:paraId="18B23F14" w14:textId="77777777">
        <w:trPr>
          <w:trHeight w:val="775"/>
        </w:trPr>
        <w:tc>
          <w:tcPr>
            <w:tcW w:w="1711" w:type="dxa"/>
          </w:tcPr>
          <w:p w14:paraId="075C300C" w14:textId="77777777" w:rsidR="0046798B" w:rsidRDefault="00903B5C">
            <w:pPr>
              <w:pStyle w:val="TableParagraph"/>
              <w:spacing w:before="158"/>
              <w:ind w:left="115" w:right="188"/>
              <w:rPr>
                <w:b/>
                <w:sz w:val="20"/>
              </w:rPr>
            </w:pPr>
            <w:r>
              <w:rPr>
                <w:b/>
                <w:sz w:val="20"/>
              </w:rPr>
              <w:t>real_inc1000s_q uar_exists</w:t>
            </w:r>
          </w:p>
        </w:tc>
        <w:tc>
          <w:tcPr>
            <w:tcW w:w="1596" w:type="dxa"/>
          </w:tcPr>
          <w:p w14:paraId="76ABE7D1" w14:textId="77777777" w:rsidR="0046798B" w:rsidRDefault="00903B5C">
            <w:pPr>
              <w:pStyle w:val="TableParagraph"/>
              <w:spacing w:before="43"/>
              <w:ind w:left="114" w:right="135"/>
              <w:rPr>
                <w:sz w:val="20"/>
              </w:rPr>
            </w:pPr>
            <w:r>
              <w:rPr>
                <w:sz w:val="20"/>
              </w:rPr>
              <w:t>Real personal income (dummy variable)</w:t>
            </w:r>
          </w:p>
        </w:tc>
        <w:tc>
          <w:tcPr>
            <w:tcW w:w="1285" w:type="dxa"/>
          </w:tcPr>
          <w:p w14:paraId="3BE92441" w14:textId="77777777" w:rsidR="0046798B" w:rsidRDefault="0046798B">
            <w:pPr>
              <w:pStyle w:val="TableParagraph"/>
              <w:spacing w:before="8"/>
              <w:rPr>
                <w:sz w:val="23"/>
              </w:rPr>
            </w:pPr>
          </w:p>
          <w:p w14:paraId="7A2097AB" w14:textId="77777777" w:rsidR="0046798B" w:rsidRDefault="00903B5C">
            <w:pPr>
              <w:pStyle w:val="TableParagraph"/>
              <w:spacing w:before="1"/>
              <w:ind w:left="114"/>
              <w:rPr>
                <w:sz w:val="20"/>
              </w:rPr>
            </w:pPr>
            <w:r>
              <w:rPr>
                <w:sz w:val="20"/>
              </w:rPr>
              <w:t>1960–2010</w:t>
            </w:r>
          </w:p>
        </w:tc>
        <w:tc>
          <w:tcPr>
            <w:tcW w:w="3421" w:type="dxa"/>
          </w:tcPr>
          <w:p w14:paraId="4F6774F4" w14:textId="77777777" w:rsidR="0046798B" w:rsidRDefault="00903B5C">
            <w:pPr>
              <w:pStyle w:val="TableParagraph"/>
              <w:spacing w:before="158"/>
              <w:ind w:left="114" w:right="370"/>
              <w:rPr>
                <w:sz w:val="20"/>
              </w:rPr>
            </w:pPr>
            <w:r>
              <w:rPr>
                <w:sz w:val="20"/>
              </w:rPr>
              <w:t>Dummy: 1 = there is a value for “real_inc1000s_quar.” Blank = else.</w:t>
            </w:r>
          </w:p>
        </w:tc>
        <w:tc>
          <w:tcPr>
            <w:tcW w:w="6482" w:type="dxa"/>
          </w:tcPr>
          <w:p w14:paraId="4EFE9BF7" w14:textId="77777777" w:rsidR="0046798B" w:rsidRDefault="00903B5C">
            <w:pPr>
              <w:pStyle w:val="TableParagraph"/>
              <w:spacing w:before="158"/>
              <w:ind w:left="114" w:right="1111"/>
              <w:rPr>
                <w:sz w:val="20"/>
              </w:rPr>
            </w:pPr>
            <w:r>
              <w:rPr>
                <w:sz w:val="20"/>
              </w:rPr>
              <w:t xml:space="preserve">Klarner, Carl, 2013, “State Economic Data”, </w:t>
            </w:r>
            <w:hyperlink r:id="rId241">
              <w:r>
                <w:rPr>
                  <w:sz w:val="20"/>
                  <w:u w:val="single"/>
                </w:rPr>
                <w:t>https://doi.org/10.7910/DVN/KMWN7N</w:t>
              </w:r>
            </w:hyperlink>
            <w:r>
              <w:rPr>
                <w:sz w:val="20"/>
              </w:rPr>
              <w:t>, Harvard Dataverse, V1</w:t>
            </w:r>
          </w:p>
        </w:tc>
      </w:tr>
      <w:tr w:rsidR="0046798B" w14:paraId="479BE38B" w14:textId="77777777">
        <w:trPr>
          <w:trHeight w:val="1240"/>
        </w:trPr>
        <w:tc>
          <w:tcPr>
            <w:tcW w:w="1711" w:type="dxa"/>
          </w:tcPr>
          <w:p w14:paraId="092AAEC5" w14:textId="77777777" w:rsidR="0046798B" w:rsidRDefault="0046798B">
            <w:pPr>
              <w:pStyle w:val="TableParagraph"/>
            </w:pPr>
          </w:p>
          <w:p w14:paraId="457F8080" w14:textId="77777777" w:rsidR="0046798B" w:rsidRDefault="00903B5C">
            <w:pPr>
              <w:pStyle w:val="TableParagraph"/>
              <w:spacing w:before="136"/>
              <w:ind w:left="115" w:right="154"/>
              <w:rPr>
                <w:b/>
                <w:sz w:val="20"/>
              </w:rPr>
            </w:pPr>
            <w:r>
              <w:rPr>
                <w:b/>
                <w:sz w:val="20"/>
              </w:rPr>
              <w:t>real_pc_inc_qua r</w:t>
            </w:r>
          </w:p>
        </w:tc>
        <w:tc>
          <w:tcPr>
            <w:tcW w:w="1596" w:type="dxa"/>
          </w:tcPr>
          <w:p w14:paraId="47718C89" w14:textId="77777777" w:rsidR="0046798B" w:rsidRDefault="0046798B">
            <w:pPr>
              <w:pStyle w:val="TableParagraph"/>
            </w:pPr>
          </w:p>
          <w:p w14:paraId="6A293C08" w14:textId="77777777" w:rsidR="0046798B" w:rsidRDefault="00903B5C">
            <w:pPr>
              <w:pStyle w:val="TableParagraph"/>
              <w:spacing w:before="136"/>
              <w:ind w:left="114" w:right="135"/>
              <w:rPr>
                <w:sz w:val="20"/>
              </w:rPr>
            </w:pPr>
            <w:r>
              <w:rPr>
                <w:sz w:val="20"/>
              </w:rPr>
              <w:t>Real per capita personal income</w:t>
            </w:r>
          </w:p>
        </w:tc>
        <w:tc>
          <w:tcPr>
            <w:tcW w:w="1285" w:type="dxa"/>
          </w:tcPr>
          <w:p w14:paraId="4AF0FE0F" w14:textId="77777777" w:rsidR="0046798B" w:rsidRDefault="0046798B">
            <w:pPr>
              <w:pStyle w:val="TableParagraph"/>
            </w:pPr>
          </w:p>
          <w:p w14:paraId="1A4F68A8" w14:textId="77777777" w:rsidR="0046798B" w:rsidRDefault="0046798B">
            <w:pPr>
              <w:pStyle w:val="TableParagraph"/>
              <w:spacing w:before="9"/>
              <w:rPr>
                <w:sz w:val="21"/>
              </w:rPr>
            </w:pPr>
          </w:p>
          <w:p w14:paraId="736EBB63" w14:textId="77777777" w:rsidR="0046798B" w:rsidRDefault="00903B5C">
            <w:pPr>
              <w:pStyle w:val="TableParagraph"/>
              <w:ind w:left="114"/>
              <w:rPr>
                <w:sz w:val="20"/>
              </w:rPr>
            </w:pPr>
            <w:r>
              <w:rPr>
                <w:sz w:val="20"/>
              </w:rPr>
              <w:t>1960–2010</w:t>
            </w:r>
          </w:p>
        </w:tc>
        <w:tc>
          <w:tcPr>
            <w:tcW w:w="3421" w:type="dxa"/>
          </w:tcPr>
          <w:p w14:paraId="7A17B44E" w14:textId="77777777" w:rsidR="0046798B" w:rsidRDefault="00903B5C">
            <w:pPr>
              <w:pStyle w:val="TableParagraph"/>
              <w:spacing w:before="44"/>
              <w:ind w:left="114" w:right="439"/>
              <w:rPr>
                <w:sz w:val="20"/>
              </w:rPr>
            </w:pPr>
            <w:r>
              <w:rPr>
                <w:sz w:val="20"/>
              </w:rPr>
              <w:t>Real per capita personal income (in 2007 dollars), deflated with Berry, Fording and Hanson cost of living index. ***Not in thousands, but in dollars.</w:t>
            </w:r>
          </w:p>
        </w:tc>
        <w:tc>
          <w:tcPr>
            <w:tcW w:w="6482" w:type="dxa"/>
          </w:tcPr>
          <w:p w14:paraId="7A6D118A" w14:textId="77777777" w:rsidR="0046798B" w:rsidRDefault="0046798B">
            <w:pPr>
              <w:pStyle w:val="TableParagraph"/>
            </w:pPr>
          </w:p>
          <w:p w14:paraId="4546C90D" w14:textId="77777777" w:rsidR="0046798B" w:rsidRDefault="00903B5C">
            <w:pPr>
              <w:pStyle w:val="TableParagraph"/>
              <w:spacing w:before="136"/>
              <w:ind w:left="114" w:right="1111"/>
              <w:rPr>
                <w:sz w:val="20"/>
              </w:rPr>
            </w:pPr>
            <w:r>
              <w:rPr>
                <w:sz w:val="20"/>
              </w:rPr>
              <w:t xml:space="preserve">Klarner, Carl, 2013, “State Economic Data”, </w:t>
            </w:r>
            <w:hyperlink r:id="rId242">
              <w:r>
                <w:rPr>
                  <w:sz w:val="20"/>
                  <w:u w:val="single"/>
                </w:rPr>
                <w:t>https://doi.org/10.7910/DVN/KMWN7N</w:t>
              </w:r>
            </w:hyperlink>
            <w:r>
              <w:rPr>
                <w:sz w:val="20"/>
              </w:rPr>
              <w:t>, Harvard Dataverse, V1</w:t>
            </w:r>
          </w:p>
        </w:tc>
      </w:tr>
      <w:tr w:rsidR="0046798B" w14:paraId="51A95F63" w14:textId="77777777">
        <w:trPr>
          <w:trHeight w:val="1005"/>
        </w:trPr>
        <w:tc>
          <w:tcPr>
            <w:tcW w:w="1711" w:type="dxa"/>
          </w:tcPr>
          <w:p w14:paraId="427533F2" w14:textId="77777777" w:rsidR="0046798B" w:rsidRDefault="0046798B">
            <w:pPr>
              <w:pStyle w:val="TableParagraph"/>
              <w:spacing w:before="4"/>
              <w:rPr>
                <w:sz w:val="23"/>
              </w:rPr>
            </w:pPr>
          </w:p>
          <w:p w14:paraId="2556ACB3" w14:textId="77777777" w:rsidR="0046798B" w:rsidRDefault="00903B5C">
            <w:pPr>
              <w:pStyle w:val="TableParagraph"/>
              <w:ind w:left="115" w:right="154"/>
              <w:rPr>
                <w:b/>
                <w:sz w:val="20"/>
              </w:rPr>
            </w:pPr>
            <w:r>
              <w:rPr>
                <w:b/>
                <w:sz w:val="20"/>
              </w:rPr>
              <w:t>real_pc_inc_qua r_exists</w:t>
            </w:r>
          </w:p>
        </w:tc>
        <w:tc>
          <w:tcPr>
            <w:tcW w:w="1596" w:type="dxa"/>
          </w:tcPr>
          <w:p w14:paraId="092C0415" w14:textId="77777777" w:rsidR="0046798B" w:rsidRDefault="00903B5C">
            <w:pPr>
              <w:pStyle w:val="TableParagraph"/>
              <w:spacing w:before="38"/>
              <w:ind w:left="114" w:right="135"/>
              <w:rPr>
                <w:sz w:val="20"/>
              </w:rPr>
            </w:pPr>
            <w:r>
              <w:rPr>
                <w:sz w:val="20"/>
              </w:rPr>
              <w:t>Real per capita personal income (dummy variable)</w:t>
            </w:r>
          </w:p>
        </w:tc>
        <w:tc>
          <w:tcPr>
            <w:tcW w:w="1285" w:type="dxa"/>
          </w:tcPr>
          <w:p w14:paraId="78A53DD1" w14:textId="77777777" w:rsidR="0046798B" w:rsidRDefault="0046798B">
            <w:pPr>
              <w:pStyle w:val="TableParagraph"/>
            </w:pPr>
          </w:p>
          <w:p w14:paraId="764170DC" w14:textId="77777777" w:rsidR="0046798B" w:rsidRDefault="00903B5C">
            <w:pPr>
              <w:pStyle w:val="TableParagraph"/>
              <w:spacing w:before="130"/>
              <w:ind w:left="114"/>
              <w:rPr>
                <w:sz w:val="20"/>
              </w:rPr>
            </w:pPr>
            <w:r>
              <w:rPr>
                <w:sz w:val="20"/>
              </w:rPr>
              <w:t>1960–2010</w:t>
            </w:r>
          </w:p>
        </w:tc>
        <w:tc>
          <w:tcPr>
            <w:tcW w:w="3421" w:type="dxa"/>
          </w:tcPr>
          <w:p w14:paraId="4793A487" w14:textId="77777777" w:rsidR="0046798B" w:rsidRDefault="0046798B">
            <w:pPr>
              <w:pStyle w:val="TableParagraph"/>
              <w:spacing w:before="4"/>
              <w:rPr>
                <w:sz w:val="23"/>
              </w:rPr>
            </w:pPr>
          </w:p>
          <w:p w14:paraId="061BAB95" w14:textId="77777777" w:rsidR="0046798B" w:rsidRDefault="00903B5C">
            <w:pPr>
              <w:pStyle w:val="TableParagraph"/>
              <w:ind w:left="114" w:right="704"/>
              <w:rPr>
                <w:sz w:val="20"/>
              </w:rPr>
            </w:pPr>
            <w:r>
              <w:rPr>
                <w:sz w:val="20"/>
              </w:rPr>
              <w:t>1 = real_pc_inc_quar has a non- missing case. Blank = else.</w:t>
            </w:r>
          </w:p>
        </w:tc>
        <w:tc>
          <w:tcPr>
            <w:tcW w:w="6482" w:type="dxa"/>
          </w:tcPr>
          <w:p w14:paraId="6E92331D" w14:textId="77777777" w:rsidR="0046798B" w:rsidRDefault="0046798B">
            <w:pPr>
              <w:pStyle w:val="TableParagraph"/>
              <w:spacing w:before="4"/>
              <w:rPr>
                <w:sz w:val="23"/>
              </w:rPr>
            </w:pPr>
          </w:p>
          <w:p w14:paraId="79BFE461" w14:textId="77777777" w:rsidR="0046798B" w:rsidRDefault="00903B5C">
            <w:pPr>
              <w:pStyle w:val="TableParagraph"/>
              <w:ind w:left="114" w:right="1111"/>
              <w:rPr>
                <w:sz w:val="20"/>
              </w:rPr>
            </w:pPr>
            <w:r>
              <w:rPr>
                <w:sz w:val="20"/>
              </w:rPr>
              <w:t xml:space="preserve">Klarner, Carl, 2013, “State Economic Data”, </w:t>
            </w:r>
            <w:hyperlink r:id="rId243">
              <w:r>
                <w:rPr>
                  <w:sz w:val="20"/>
                  <w:u w:val="single"/>
                </w:rPr>
                <w:t>https://doi.org/10.7910/DVN/KMWN7N</w:t>
              </w:r>
            </w:hyperlink>
            <w:r>
              <w:rPr>
                <w:sz w:val="20"/>
              </w:rPr>
              <w:t>, Harvard Dataverse, V1</w:t>
            </w:r>
          </w:p>
        </w:tc>
      </w:tr>
      <w:tr w:rsidR="0046798B" w14:paraId="09D123AD" w14:textId="77777777">
        <w:trPr>
          <w:trHeight w:val="2385"/>
        </w:trPr>
        <w:tc>
          <w:tcPr>
            <w:tcW w:w="1711" w:type="dxa"/>
          </w:tcPr>
          <w:p w14:paraId="69BD466F" w14:textId="77777777" w:rsidR="0046798B" w:rsidRDefault="0046798B">
            <w:pPr>
              <w:pStyle w:val="TableParagraph"/>
            </w:pPr>
          </w:p>
          <w:p w14:paraId="1D43F8A0" w14:textId="77777777" w:rsidR="0046798B" w:rsidRDefault="0046798B">
            <w:pPr>
              <w:pStyle w:val="TableParagraph"/>
            </w:pPr>
          </w:p>
          <w:p w14:paraId="53A5E5F8" w14:textId="77777777" w:rsidR="0046798B" w:rsidRDefault="0046798B">
            <w:pPr>
              <w:pStyle w:val="TableParagraph"/>
            </w:pPr>
          </w:p>
          <w:p w14:paraId="1E743EC0" w14:textId="77777777" w:rsidR="0046798B" w:rsidRDefault="0046798B">
            <w:pPr>
              <w:pStyle w:val="TableParagraph"/>
              <w:spacing w:before="4"/>
              <w:rPr>
                <w:sz w:val="17"/>
              </w:rPr>
            </w:pPr>
          </w:p>
          <w:p w14:paraId="6C98158D" w14:textId="77777777" w:rsidR="0046798B" w:rsidRDefault="00903B5C">
            <w:pPr>
              <w:pStyle w:val="TableParagraph"/>
              <w:ind w:left="115" w:right="154"/>
              <w:rPr>
                <w:b/>
                <w:sz w:val="20"/>
              </w:rPr>
            </w:pPr>
            <w:r>
              <w:rPr>
                <w:b/>
                <w:sz w:val="20"/>
              </w:rPr>
              <w:t>real_pc_inc_qua r_exists2</w:t>
            </w:r>
          </w:p>
        </w:tc>
        <w:tc>
          <w:tcPr>
            <w:tcW w:w="1596" w:type="dxa"/>
          </w:tcPr>
          <w:p w14:paraId="217FBF35" w14:textId="77777777" w:rsidR="0046798B" w:rsidRDefault="0046798B">
            <w:pPr>
              <w:pStyle w:val="TableParagraph"/>
            </w:pPr>
          </w:p>
          <w:p w14:paraId="3CD706D5" w14:textId="77777777" w:rsidR="0046798B" w:rsidRDefault="0046798B">
            <w:pPr>
              <w:pStyle w:val="TableParagraph"/>
            </w:pPr>
          </w:p>
          <w:p w14:paraId="202DE429" w14:textId="77777777" w:rsidR="0046798B" w:rsidRDefault="0046798B">
            <w:pPr>
              <w:pStyle w:val="TableParagraph"/>
              <w:spacing w:before="4"/>
              <w:rPr>
                <w:sz w:val="19"/>
              </w:rPr>
            </w:pPr>
          </w:p>
          <w:p w14:paraId="1B96B703" w14:textId="77777777" w:rsidR="0046798B" w:rsidRDefault="00903B5C">
            <w:pPr>
              <w:pStyle w:val="TableParagraph"/>
              <w:ind w:left="114" w:right="191"/>
              <w:rPr>
                <w:sz w:val="20"/>
              </w:rPr>
            </w:pPr>
            <w:r>
              <w:rPr>
                <w:sz w:val="20"/>
              </w:rPr>
              <w:t>Real per capita personal ncome (2</w:t>
            </w:r>
            <w:r>
              <w:rPr>
                <w:sz w:val="13"/>
              </w:rPr>
              <w:t xml:space="preserve">nd </w:t>
            </w:r>
            <w:r>
              <w:rPr>
                <w:sz w:val="20"/>
              </w:rPr>
              <w:t>dummy variable)</w:t>
            </w:r>
          </w:p>
        </w:tc>
        <w:tc>
          <w:tcPr>
            <w:tcW w:w="1285" w:type="dxa"/>
          </w:tcPr>
          <w:p w14:paraId="7FF7B7D1" w14:textId="77777777" w:rsidR="0046798B" w:rsidRDefault="0046798B">
            <w:pPr>
              <w:pStyle w:val="TableParagraph"/>
            </w:pPr>
          </w:p>
          <w:p w14:paraId="5D53C2F0" w14:textId="77777777" w:rsidR="0046798B" w:rsidRDefault="0046798B">
            <w:pPr>
              <w:pStyle w:val="TableParagraph"/>
            </w:pPr>
          </w:p>
          <w:p w14:paraId="716A4E52" w14:textId="77777777" w:rsidR="0046798B" w:rsidRDefault="0046798B">
            <w:pPr>
              <w:pStyle w:val="TableParagraph"/>
            </w:pPr>
          </w:p>
          <w:p w14:paraId="164B9787" w14:textId="77777777" w:rsidR="0046798B" w:rsidRDefault="0046798B">
            <w:pPr>
              <w:pStyle w:val="TableParagraph"/>
              <w:spacing w:before="4"/>
              <w:rPr>
                <w:sz w:val="27"/>
              </w:rPr>
            </w:pPr>
          </w:p>
          <w:p w14:paraId="6D00D3B5" w14:textId="77777777" w:rsidR="0046798B" w:rsidRDefault="00903B5C">
            <w:pPr>
              <w:pStyle w:val="TableParagraph"/>
              <w:ind w:left="114"/>
              <w:rPr>
                <w:sz w:val="20"/>
              </w:rPr>
            </w:pPr>
            <w:r>
              <w:rPr>
                <w:sz w:val="20"/>
              </w:rPr>
              <w:t>1960– 2010</w:t>
            </w:r>
          </w:p>
        </w:tc>
        <w:tc>
          <w:tcPr>
            <w:tcW w:w="3421" w:type="dxa"/>
          </w:tcPr>
          <w:p w14:paraId="53C6B366" w14:textId="77777777" w:rsidR="0046798B" w:rsidRDefault="00903B5C">
            <w:pPr>
              <w:pStyle w:val="TableParagraph"/>
              <w:spacing w:before="38"/>
              <w:ind w:left="114" w:right="150"/>
              <w:rPr>
                <w:sz w:val="20"/>
              </w:rPr>
            </w:pPr>
            <w:r>
              <w:rPr>
                <w:sz w:val="20"/>
              </w:rPr>
              <w:t>2 = real_pc_inc_quar has a non- missing case and is the earliest time a case appears for that state (or the nation). If q=2.5, this is the first time a case appears for cases with q=2.5 for that state. If “is_a_quarter”=1, this is the first time a case appears for cases with is_a_quarter=1 for that state. 1 = real_pc_inc_q has a non-missing case. Blank = else.</w:t>
            </w:r>
          </w:p>
        </w:tc>
        <w:tc>
          <w:tcPr>
            <w:tcW w:w="6482" w:type="dxa"/>
          </w:tcPr>
          <w:p w14:paraId="08DD3895" w14:textId="77777777" w:rsidR="0046798B" w:rsidRDefault="0046798B">
            <w:pPr>
              <w:pStyle w:val="TableParagraph"/>
            </w:pPr>
          </w:p>
          <w:p w14:paraId="29D06E84" w14:textId="77777777" w:rsidR="0046798B" w:rsidRDefault="0046798B">
            <w:pPr>
              <w:pStyle w:val="TableParagraph"/>
            </w:pPr>
          </w:p>
          <w:p w14:paraId="3C2C953F" w14:textId="77777777" w:rsidR="0046798B" w:rsidRDefault="0046798B">
            <w:pPr>
              <w:pStyle w:val="TableParagraph"/>
            </w:pPr>
          </w:p>
          <w:p w14:paraId="15665CD1" w14:textId="77777777" w:rsidR="0046798B" w:rsidRDefault="0046798B">
            <w:pPr>
              <w:pStyle w:val="TableParagraph"/>
              <w:spacing w:before="4"/>
              <w:rPr>
                <w:sz w:val="17"/>
              </w:rPr>
            </w:pPr>
          </w:p>
          <w:p w14:paraId="130389FB" w14:textId="77777777" w:rsidR="0046798B" w:rsidRDefault="00903B5C">
            <w:pPr>
              <w:pStyle w:val="TableParagraph"/>
              <w:ind w:left="114" w:right="1111"/>
              <w:rPr>
                <w:sz w:val="20"/>
              </w:rPr>
            </w:pPr>
            <w:r>
              <w:rPr>
                <w:sz w:val="20"/>
              </w:rPr>
              <w:t xml:space="preserve">Klarner, Carl, 2013, “State Economic Data”, </w:t>
            </w:r>
            <w:hyperlink r:id="rId244">
              <w:r>
                <w:rPr>
                  <w:sz w:val="20"/>
                  <w:u w:val="single"/>
                </w:rPr>
                <w:t>https://doi.org/10.7910/DVN/KMWN7N</w:t>
              </w:r>
            </w:hyperlink>
            <w:r>
              <w:rPr>
                <w:sz w:val="20"/>
              </w:rPr>
              <w:t>, Harvard Dataverse, V1</w:t>
            </w:r>
          </w:p>
        </w:tc>
      </w:tr>
      <w:tr w:rsidR="0046798B" w14:paraId="16E0C335" w14:textId="77777777">
        <w:trPr>
          <w:trHeight w:val="1235"/>
        </w:trPr>
        <w:tc>
          <w:tcPr>
            <w:tcW w:w="1711" w:type="dxa"/>
          </w:tcPr>
          <w:p w14:paraId="37524DE2" w14:textId="77777777" w:rsidR="0046798B" w:rsidRDefault="0046798B">
            <w:pPr>
              <w:pStyle w:val="TableParagraph"/>
            </w:pPr>
          </w:p>
          <w:p w14:paraId="6B82AD1E" w14:textId="77777777" w:rsidR="0046798B" w:rsidRDefault="0046798B">
            <w:pPr>
              <w:pStyle w:val="TableParagraph"/>
              <w:spacing w:before="4"/>
              <w:rPr>
                <w:sz w:val="21"/>
              </w:rPr>
            </w:pPr>
          </w:p>
          <w:p w14:paraId="0F3845D2" w14:textId="77777777" w:rsidR="0046798B" w:rsidRDefault="00903B5C">
            <w:pPr>
              <w:pStyle w:val="TableParagraph"/>
              <w:ind w:left="115"/>
              <w:rPr>
                <w:b/>
                <w:sz w:val="20"/>
              </w:rPr>
            </w:pPr>
            <w:r>
              <w:rPr>
                <w:b/>
                <w:sz w:val="20"/>
              </w:rPr>
              <w:t>real2_inc_quar</w:t>
            </w:r>
          </w:p>
        </w:tc>
        <w:tc>
          <w:tcPr>
            <w:tcW w:w="1596" w:type="dxa"/>
          </w:tcPr>
          <w:p w14:paraId="7CDB4EBF" w14:textId="77777777" w:rsidR="0046798B" w:rsidRDefault="00903B5C">
            <w:pPr>
              <w:pStyle w:val="TableParagraph"/>
              <w:spacing w:before="38"/>
              <w:ind w:left="114" w:right="357"/>
              <w:rPr>
                <w:sz w:val="20"/>
              </w:rPr>
            </w:pPr>
            <w:r>
              <w:rPr>
                <w:sz w:val="20"/>
              </w:rPr>
              <w:t>Real personal income (in</w:t>
            </w:r>
          </w:p>
          <w:p w14:paraId="0468DDD7" w14:textId="77777777" w:rsidR="0046798B" w:rsidRDefault="00903B5C">
            <w:pPr>
              <w:pStyle w:val="TableParagraph"/>
              <w:ind w:left="114" w:right="135"/>
              <w:rPr>
                <w:sz w:val="20"/>
              </w:rPr>
            </w:pPr>
            <w:r>
              <w:rPr>
                <w:sz w:val="20"/>
              </w:rPr>
              <w:t>$1000s of current dollars), deflated by CPI</w:t>
            </w:r>
          </w:p>
        </w:tc>
        <w:tc>
          <w:tcPr>
            <w:tcW w:w="1285" w:type="dxa"/>
          </w:tcPr>
          <w:p w14:paraId="46133CAC" w14:textId="77777777" w:rsidR="0046798B" w:rsidRDefault="0046798B">
            <w:pPr>
              <w:pStyle w:val="TableParagraph"/>
            </w:pPr>
          </w:p>
          <w:p w14:paraId="6B0B7BD5" w14:textId="77777777" w:rsidR="0046798B" w:rsidRDefault="0046798B">
            <w:pPr>
              <w:pStyle w:val="TableParagraph"/>
              <w:spacing w:before="4"/>
              <w:rPr>
                <w:sz w:val="21"/>
              </w:rPr>
            </w:pPr>
          </w:p>
          <w:p w14:paraId="329A830E" w14:textId="77777777" w:rsidR="0046798B" w:rsidRDefault="00903B5C">
            <w:pPr>
              <w:pStyle w:val="TableParagraph"/>
              <w:ind w:left="114"/>
              <w:rPr>
                <w:sz w:val="20"/>
              </w:rPr>
            </w:pPr>
            <w:r>
              <w:rPr>
                <w:sz w:val="20"/>
              </w:rPr>
              <w:t>1960–2010</w:t>
            </w:r>
          </w:p>
        </w:tc>
        <w:tc>
          <w:tcPr>
            <w:tcW w:w="3421" w:type="dxa"/>
          </w:tcPr>
          <w:p w14:paraId="6CA2807B" w14:textId="77777777" w:rsidR="0046798B" w:rsidRDefault="0046798B">
            <w:pPr>
              <w:pStyle w:val="TableParagraph"/>
              <w:spacing w:before="4"/>
              <w:rPr>
                <w:sz w:val="23"/>
              </w:rPr>
            </w:pPr>
          </w:p>
          <w:p w14:paraId="3127EB11" w14:textId="77777777" w:rsidR="0046798B" w:rsidRDefault="00903B5C">
            <w:pPr>
              <w:pStyle w:val="TableParagraph"/>
              <w:ind w:left="114" w:right="366"/>
              <w:rPr>
                <w:sz w:val="20"/>
              </w:rPr>
            </w:pPr>
            <w:r>
              <w:rPr>
                <w:sz w:val="20"/>
              </w:rPr>
              <w:t>Real personal income, in 1,000s of current dollars, deflated with the national CPI (1982-1984$s, 1,000s).</w:t>
            </w:r>
          </w:p>
        </w:tc>
        <w:tc>
          <w:tcPr>
            <w:tcW w:w="6482" w:type="dxa"/>
          </w:tcPr>
          <w:p w14:paraId="6371B2BB" w14:textId="77777777" w:rsidR="0046798B" w:rsidRDefault="00903B5C">
            <w:pPr>
              <w:pStyle w:val="TableParagraph"/>
              <w:spacing w:before="38"/>
              <w:ind w:left="114" w:right="1111"/>
              <w:rPr>
                <w:sz w:val="20"/>
              </w:rPr>
            </w:pPr>
            <w:r>
              <w:rPr>
                <w:sz w:val="20"/>
              </w:rPr>
              <w:t xml:space="preserve">Klarner, Carl, 2013, “State Economic Data”, </w:t>
            </w:r>
            <w:hyperlink r:id="rId245">
              <w:r>
                <w:rPr>
                  <w:sz w:val="20"/>
                  <w:u w:val="single"/>
                </w:rPr>
                <w:t>https://doi.org/10.7910/DVN/KMWN7N</w:t>
              </w:r>
            </w:hyperlink>
            <w:r>
              <w:rPr>
                <w:sz w:val="20"/>
              </w:rPr>
              <w:t>, Harvard Dataverse, V1</w:t>
            </w:r>
          </w:p>
          <w:p w14:paraId="1BE29BAF" w14:textId="77777777" w:rsidR="0046798B" w:rsidRDefault="0046798B">
            <w:pPr>
              <w:pStyle w:val="TableParagraph"/>
              <w:rPr>
                <w:sz w:val="20"/>
              </w:rPr>
            </w:pPr>
          </w:p>
          <w:p w14:paraId="5F7B43B1" w14:textId="77777777" w:rsidR="0046798B" w:rsidRDefault="00903B5C">
            <w:pPr>
              <w:pStyle w:val="TableParagraph"/>
              <w:ind w:left="114"/>
              <w:rPr>
                <w:sz w:val="20"/>
              </w:rPr>
            </w:pPr>
            <w:r>
              <w:rPr>
                <w:sz w:val="20"/>
              </w:rPr>
              <w:t>STATA CODE: gen real2_inc_quar= personal_income1000s_b / nat_cpi_bls_quar</w:t>
            </w:r>
          </w:p>
        </w:tc>
      </w:tr>
      <w:tr w:rsidR="0046798B" w14:paraId="2D508E98" w14:textId="77777777">
        <w:trPr>
          <w:trHeight w:val="1005"/>
        </w:trPr>
        <w:tc>
          <w:tcPr>
            <w:tcW w:w="1711" w:type="dxa"/>
          </w:tcPr>
          <w:p w14:paraId="47AD7CEE" w14:textId="77777777" w:rsidR="0046798B" w:rsidRDefault="0046798B">
            <w:pPr>
              <w:pStyle w:val="TableParagraph"/>
              <w:spacing w:before="9"/>
              <w:rPr>
                <w:sz w:val="23"/>
              </w:rPr>
            </w:pPr>
          </w:p>
          <w:p w14:paraId="659E8489" w14:textId="77777777" w:rsidR="0046798B" w:rsidRDefault="00903B5C">
            <w:pPr>
              <w:pStyle w:val="TableParagraph"/>
              <w:ind w:left="115" w:right="154"/>
              <w:rPr>
                <w:b/>
                <w:sz w:val="20"/>
              </w:rPr>
            </w:pPr>
            <w:r>
              <w:rPr>
                <w:b/>
                <w:sz w:val="20"/>
              </w:rPr>
              <w:t>real2_pc_inc_qu ar</w:t>
            </w:r>
          </w:p>
        </w:tc>
        <w:tc>
          <w:tcPr>
            <w:tcW w:w="1596" w:type="dxa"/>
          </w:tcPr>
          <w:p w14:paraId="0D4F5FF4" w14:textId="77777777" w:rsidR="0046798B" w:rsidRDefault="00903B5C">
            <w:pPr>
              <w:pStyle w:val="TableParagraph"/>
              <w:spacing w:before="158"/>
              <w:ind w:left="114" w:right="169"/>
              <w:rPr>
                <w:sz w:val="20"/>
              </w:rPr>
            </w:pPr>
            <w:r>
              <w:rPr>
                <w:sz w:val="20"/>
              </w:rPr>
              <w:t>Real personal income deflated by CPI</w:t>
            </w:r>
          </w:p>
        </w:tc>
        <w:tc>
          <w:tcPr>
            <w:tcW w:w="1285" w:type="dxa"/>
          </w:tcPr>
          <w:p w14:paraId="3920C17F" w14:textId="77777777" w:rsidR="0046798B" w:rsidRDefault="0046798B">
            <w:pPr>
              <w:pStyle w:val="TableParagraph"/>
            </w:pPr>
          </w:p>
          <w:p w14:paraId="38AC0545" w14:textId="77777777" w:rsidR="0046798B" w:rsidRDefault="00903B5C">
            <w:pPr>
              <w:pStyle w:val="TableParagraph"/>
              <w:spacing w:before="135"/>
              <w:ind w:left="114"/>
              <w:rPr>
                <w:sz w:val="20"/>
              </w:rPr>
            </w:pPr>
            <w:r>
              <w:rPr>
                <w:sz w:val="20"/>
              </w:rPr>
              <w:t>1960–2010</w:t>
            </w:r>
          </w:p>
        </w:tc>
        <w:tc>
          <w:tcPr>
            <w:tcW w:w="3421" w:type="dxa"/>
          </w:tcPr>
          <w:p w14:paraId="3A5303A1" w14:textId="77777777" w:rsidR="0046798B" w:rsidRDefault="00903B5C">
            <w:pPr>
              <w:pStyle w:val="TableParagraph"/>
              <w:spacing w:before="158"/>
              <w:ind w:left="114" w:right="294"/>
              <w:rPr>
                <w:sz w:val="20"/>
              </w:rPr>
            </w:pPr>
            <w:r>
              <w:rPr>
                <w:sz w:val="20"/>
              </w:rPr>
              <w:t>Real per capita personal income, deflated with the national CPI (1982- 1984$s, 1,000s).</w:t>
            </w:r>
          </w:p>
        </w:tc>
        <w:tc>
          <w:tcPr>
            <w:tcW w:w="6482" w:type="dxa"/>
          </w:tcPr>
          <w:p w14:paraId="1DBF0FFB" w14:textId="77777777" w:rsidR="0046798B" w:rsidRDefault="00903B5C">
            <w:pPr>
              <w:pStyle w:val="TableParagraph"/>
              <w:spacing w:before="43"/>
              <w:ind w:left="114" w:right="1111"/>
              <w:rPr>
                <w:sz w:val="20"/>
              </w:rPr>
            </w:pPr>
            <w:r>
              <w:rPr>
                <w:sz w:val="20"/>
              </w:rPr>
              <w:t xml:space="preserve">Klarner, Carl, 2013, “State Economic Data”, </w:t>
            </w:r>
            <w:hyperlink r:id="rId246">
              <w:r>
                <w:rPr>
                  <w:sz w:val="20"/>
                  <w:u w:val="single"/>
                </w:rPr>
                <w:t>https://doi.org/10.7910/DVN/KMWN7N</w:t>
              </w:r>
            </w:hyperlink>
            <w:r>
              <w:rPr>
                <w:sz w:val="20"/>
              </w:rPr>
              <w:t>, Harvard Dataverse, V1</w:t>
            </w:r>
          </w:p>
          <w:p w14:paraId="45D4D784" w14:textId="77777777" w:rsidR="0046798B" w:rsidRDefault="0046798B">
            <w:pPr>
              <w:pStyle w:val="TableParagraph"/>
              <w:rPr>
                <w:sz w:val="20"/>
              </w:rPr>
            </w:pPr>
          </w:p>
          <w:p w14:paraId="115CB9CC" w14:textId="77777777" w:rsidR="0046798B" w:rsidRDefault="00903B5C">
            <w:pPr>
              <w:pStyle w:val="TableParagraph"/>
              <w:ind w:left="114"/>
              <w:rPr>
                <w:sz w:val="20"/>
              </w:rPr>
            </w:pPr>
            <w:r>
              <w:rPr>
                <w:sz w:val="20"/>
              </w:rPr>
              <w:t>STATA CODE: gen real2_pc_inc_quar= real2_inc_quar/pop_quar</w:t>
            </w:r>
          </w:p>
        </w:tc>
      </w:tr>
      <w:tr w:rsidR="0046798B" w14:paraId="062018C9" w14:textId="77777777">
        <w:trPr>
          <w:trHeight w:val="775"/>
        </w:trPr>
        <w:tc>
          <w:tcPr>
            <w:tcW w:w="1711" w:type="dxa"/>
          </w:tcPr>
          <w:p w14:paraId="067B1BA3" w14:textId="77777777" w:rsidR="0046798B" w:rsidRDefault="0046798B">
            <w:pPr>
              <w:pStyle w:val="TableParagraph"/>
              <w:spacing w:before="8"/>
              <w:rPr>
                <w:sz w:val="23"/>
              </w:rPr>
            </w:pPr>
          </w:p>
          <w:p w14:paraId="3BDFFB74" w14:textId="77777777" w:rsidR="0046798B" w:rsidRDefault="00903B5C">
            <w:pPr>
              <w:pStyle w:val="TableParagraph"/>
              <w:spacing w:before="1"/>
              <w:ind w:left="115"/>
              <w:rPr>
                <w:b/>
                <w:sz w:val="20"/>
              </w:rPr>
            </w:pPr>
            <w:r>
              <w:rPr>
                <w:b/>
                <w:sz w:val="20"/>
              </w:rPr>
              <w:t>real_leg_tot_exp</w:t>
            </w:r>
          </w:p>
        </w:tc>
        <w:tc>
          <w:tcPr>
            <w:tcW w:w="1596" w:type="dxa"/>
          </w:tcPr>
          <w:p w14:paraId="1ABE76AC" w14:textId="77777777" w:rsidR="0046798B" w:rsidRDefault="00903B5C">
            <w:pPr>
              <w:pStyle w:val="TableParagraph"/>
              <w:spacing w:before="43"/>
              <w:ind w:left="114" w:right="146"/>
              <w:rPr>
                <w:sz w:val="20"/>
              </w:rPr>
            </w:pPr>
            <w:r>
              <w:rPr>
                <w:sz w:val="20"/>
              </w:rPr>
              <w:t>Legislature total expenditures adjusted by first</w:t>
            </w:r>
          </w:p>
        </w:tc>
        <w:tc>
          <w:tcPr>
            <w:tcW w:w="1285" w:type="dxa"/>
          </w:tcPr>
          <w:p w14:paraId="17DB5CAF" w14:textId="77777777" w:rsidR="0046798B" w:rsidRDefault="0046798B">
            <w:pPr>
              <w:pStyle w:val="TableParagraph"/>
              <w:spacing w:before="8"/>
              <w:rPr>
                <w:sz w:val="23"/>
              </w:rPr>
            </w:pPr>
          </w:p>
          <w:p w14:paraId="557F61E4" w14:textId="77777777" w:rsidR="0046798B" w:rsidRDefault="00903B5C">
            <w:pPr>
              <w:pStyle w:val="TableParagraph"/>
              <w:spacing w:before="1"/>
              <w:ind w:left="114"/>
              <w:rPr>
                <w:sz w:val="20"/>
              </w:rPr>
            </w:pPr>
            <w:r>
              <w:rPr>
                <w:sz w:val="20"/>
              </w:rPr>
              <w:t>1960–2010</w:t>
            </w:r>
          </w:p>
        </w:tc>
        <w:tc>
          <w:tcPr>
            <w:tcW w:w="3421" w:type="dxa"/>
          </w:tcPr>
          <w:p w14:paraId="12DB4A23" w14:textId="77777777" w:rsidR="0046798B" w:rsidRDefault="00903B5C">
            <w:pPr>
              <w:pStyle w:val="TableParagraph"/>
              <w:spacing w:before="158"/>
              <w:ind w:left="114" w:right="355"/>
              <w:rPr>
                <w:sz w:val="20"/>
              </w:rPr>
            </w:pPr>
            <w:r>
              <w:rPr>
                <w:sz w:val="20"/>
              </w:rPr>
              <w:t>Total expenditures on the legislature deflated by the Berry, Fording and</w:t>
            </w:r>
          </w:p>
        </w:tc>
        <w:tc>
          <w:tcPr>
            <w:tcW w:w="6482" w:type="dxa"/>
          </w:tcPr>
          <w:p w14:paraId="01B7E02F" w14:textId="77777777" w:rsidR="0046798B" w:rsidRDefault="00903B5C">
            <w:pPr>
              <w:pStyle w:val="TableParagraph"/>
              <w:spacing w:before="43"/>
              <w:ind w:left="114" w:right="1111"/>
              <w:rPr>
                <w:sz w:val="20"/>
              </w:rPr>
            </w:pPr>
            <w:r>
              <w:rPr>
                <w:sz w:val="20"/>
              </w:rPr>
              <w:t xml:space="preserve">Klarner, Carl, 2013, “State Economic Data”, </w:t>
            </w:r>
            <w:hyperlink r:id="rId247">
              <w:r>
                <w:rPr>
                  <w:sz w:val="20"/>
                  <w:u w:val="single"/>
                </w:rPr>
                <w:t>https://doi.org/10.7910/DVN/KMWN7N</w:t>
              </w:r>
            </w:hyperlink>
            <w:r>
              <w:rPr>
                <w:sz w:val="20"/>
              </w:rPr>
              <w:t>, Harvard Dataverse, V1</w:t>
            </w:r>
          </w:p>
        </w:tc>
      </w:tr>
    </w:tbl>
    <w:p w14:paraId="186382DC" w14:textId="77777777" w:rsidR="0046798B" w:rsidRDefault="0046798B">
      <w:pPr>
        <w:rPr>
          <w:sz w:val="20"/>
        </w:rPr>
        <w:sectPr w:rsidR="0046798B">
          <w:pgSz w:w="15840" w:h="12240" w:orient="landscape"/>
          <w:pgMar w:top="1220" w:right="300" w:bottom="980" w:left="820" w:header="730" w:footer="787" w:gutter="0"/>
          <w:cols w:space="720"/>
        </w:sectPr>
      </w:pPr>
    </w:p>
    <w:p w14:paraId="3C9FDFFE"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36F5E01D" w14:textId="77777777">
        <w:trPr>
          <w:trHeight w:val="542"/>
        </w:trPr>
        <w:tc>
          <w:tcPr>
            <w:tcW w:w="1711" w:type="dxa"/>
            <w:tcBorders>
              <w:bottom w:val="dotted" w:sz="6" w:space="0" w:color="BEBEBE"/>
            </w:tcBorders>
          </w:tcPr>
          <w:p w14:paraId="5C60F910" w14:textId="77777777" w:rsidR="0046798B" w:rsidRDefault="0046798B">
            <w:pPr>
              <w:pStyle w:val="TableParagraph"/>
              <w:rPr>
                <w:sz w:val="20"/>
              </w:rPr>
            </w:pPr>
          </w:p>
        </w:tc>
        <w:tc>
          <w:tcPr>
            <w:tcW w:w="1596" w:type="dxa"/>
            <w:tcBorders>
              <w:bottom w:val="dotted" w:sz="6" w:space="0" w:color="BEBEBE"/>
            </w:tcBorders>
          </w:tcPr>
          <w:p w14:paraId="0F3FBE9F" w14:textId="77777777" w:rsidR="0046798B" w:rsidRDefault="00903B5C">
            <w:pPr>
              <w:pStyle w:val="TableParagraph"/>
              <w:spacing w:before="43"/>
              <w:ind w:left="114" w:right="396"/>
              <w:rPr>
                <w:sz w:val="20"/>
              </w:rPr>
            </w:pPr>
            <w:r>
              <w:rPr>
                <w:sz w:val="20"/>
              </w:rPr>
              <w:t>cost of living indicator</w:t>
            </w:r>
          </w:p>
        </w:tc>
        <w:tc>
          <w:tcPr>
            <w:tcW w:w="1285" w:type="dxa"/>
            <w:tcBorders>
              <w:bottom w:val="dotted" w:sz="6" w:space="0" w:color="BEBEBE"/>
            </w:tcBorders>
          </w:tcPr>
          <w:p w14:paraId="1B808B24" w14:textId="77777777" w:rsidR="0046798B" w:rsidRDefault="0046798B">
            <w:pPr>
              <w:pStyle w:val="TableParagraph"/>
              <w:rPr>
                <w:sz w:val="20"/>
              </w:rPr>
            </w:pPr>
          </w:p>
        </w:tc>
        <w:tc>
          <w:tcPr>
            <w:tcW w:w="3421" w:type="dxa"/>
            <w:tcBorders>
              <w:bottom w:val="dotted" w:sz="6" w:space="0" w:color="BEBEBE"/>
            </w:tcBorders>
          </w:tcPr>
          <w:p w14:paraId="2D66B274" w14:textId="77777777" w:rsidR="0046798B" w:rsidRDefault="00903B5C">
            <w:pPr>
              <w:pStyle w:val="TableParagraph"/>
              <w:spacing w:before="43"/>
              <w:ind w:left="114" w:right="267"/>
              <w:rPr>
                <w:sz w:val="20"/>
              </w:rPr>
            </w:pPr>
            <w:r>
              <w:rPr>
                <w:sz w:val="20"/>
              </w:rPr>
              <w:t>Hansen state and year specific cost of living indicator.</w:t>
            </w:r>
          </w:p>
        </w:tc>
        <w:tc>
          <w:tcPr>
            <w:tcW w:w="6482" w:type="dxa"/>
            <w:tcBorders>
              <w:bottom w:val="dotted" w:sz="6" w:space="0" w:color="BEBEBE"/>
            </w:tcBorders>
          </w:tcPr>
          <w:p w14:paraId="57D8E5D4" w14:textId="77777777" w:rsidR="0046798B" w:rsidRDefault="00903B5C">
            <w:pPr>
              <w:pStyle w:val="TableParagraph"/>
              <w:spacing w:before="43"/>
              <w:ind w:left="114" w:right="1426"/>
              <w:rPr>
                <w:sz w:val="20"/>
              </w:rPr>
            </w:pPr>
            <w:r>
              <w:rPr>
                <w:sz w:val="20"/>
              </w:rPr>
              <w:t>STATA CODE: gen real_leg_tot_exp=legislative_total_exp / state_cpi_bfh_est_quar</w:t>
            </w:r>
          </w:p>
        </w:tc>
      </w:tr>
      <w:tr w:rsidR="0046798B" w14:paraId="32B0C453" w14:textId="77777777">
        <w:trPr>
          <w:trHeight w:val="1233"/>
        </w:trPr>
        <w:tc>
          <w:tcPr>
            <w:tcW w:w="1711" w:type="dxa"/>
            <w:tcBorders>
              <w:top w:val="dotted" w:sz="6" w:space="0" w:color="BEBEBE"/>
            </w:tcBorders>
          </w:tcPr>
          <w:p w14:paraId="11A39A2B" w14:textId="77777777" w:rsidR="0046798B" w:rsidRDefault="0046798B">
            <w:pPr>
              <w:pStyle w:val="TableParagraph"/>
            </w:pPr>
          </w:p>
          <w:p w14:paraId="4C5E3119" w14:textId="77777777" w:rsidR="0046798B" w:rsidRDefault="00903B5C">
            <w:pPr>
              <w:pStyle w:val="TableParagraph"/>
              <w:spacing w:before="133"/>
              <w:ind w:left="115" w:right="166"/>
              <w:rPr>
                <w:b/>
                <w:sz w:val="20"/>
              </w:rPr>
            </w:pPr>
            <w:r>
              <w:rPr>
                <w:b/>
                <w:sz w:val="20"/>
              </w:rPr>
              <w:t>real2_leg_tot_ex p</w:t>
            </w:r>
          </w:p>
        </w:tc>
        <w:tc>
          <w:tcPr>
            <w:tcW w:w="1596" w:type="dxa"/>
            <w:tcBorders>
              <w:top w:val="dotted" w:sz="6" w:space="0" w:color="BEBEBE"/>
            </w:tcBorders>
          </w:tcPr>
          <w:p w14:paraId="548E5EE0" w14:textId="77777777" w:rsidR="0046798B" w:rsidRDefault="00903B5C">
            <w:pPr>
              <w:pStyle w:val="TableParagraph"/>
              <w:spacing w:before="40"/>
              <w:ind w:left="114" w:right="146"/>
              <w:rPr>
                <w:sz w:val="20"/>
              </w:rPr>
            </w:pPr>
            <w:r>
              <w:rPr>
                <w:sz w:val="20"/>
              </w:rPr>
              <w:t>Legislature total expenditures adjusted by second cost of living indicator</w:t>
            </w:r>
          </w:p>
        </w:tc>
        <w:tc>
          <w:tcPr>
            <w:tcW w:w="1285" w:type="dxa"/>
            <w:tcBorders>
              <w:top w:val="dotted" w:sz="6" w:space="0" w:color="BEBEBE"/>
            </w:tcBorders>
          </w:tcPr>
          <w:p w14:paraId="74DAAC8F" w14:textId="77777777" w:rsidR="0046798B" w:rsidRDefault="0046798B">
            <w:pPr>
              <w:pStyle w:val="TableParagraph"/>
            </w:pPr>
          </w:p>
          <w:p w14:paraId="041AED74" w14:textId="77777777" w:rsidR="0046798B" w:rsidRDefault="0046798B">
            <w:pPr>
              <w:pStyle w:val="TableParagraph"/>
              <w:spacing w:before="6"/>
              <w:rPr>
                <w:sz w:val="21"/>
              </w:rPr>
            </w:pPr>
          </w:p>
          <w:p w14:paraId="1814263A" w14:textId="77777777" w:rsidR="0046798B" w:rsidRDefault="00903B5C">
            <w:pPr>
              <w:pStyle w:val="TableParagraph"/>
              <w:ind w:left="114"/>
              <w:rPr>
                <w:sz w:val="20"/>
              </w:rPr>
            </w:pPr>
            <w:r>
              <w:rPr>
                <w:sz w:val="20"/>
              </w:rPr>
              <w:t>1960–2010</w:t>
            </w:r>
          </w:p>
        </w:tc>
        <w:tc>
          <w:tcPr>
            <w:tcW w:w="3421" w:type="dxa"/>
            <w:tcBorders>
              <w:top w:val="dotted" w:sz="6" w:space="0" w:color="BEBEBE"/>
            </w:tcBorders>
          </w:tcPr>
          <w:p w14:paraId="580B438E" w14:textId="77777777" w:rsidR="0046798B" w:rsidRDefault="0046798B">
            <w:pPr>
              <w:pStyle w:val="TableParagraph"/>
              <w:spacing w:before="6"/>
              <w:rPr>
                <w:sz w:val="23"/>
              </w:rPr>
            </w:pPr>
          </w:p>
          <w:p w14:paraId="432B792D" w14:textId="77777777" w:rsidR="0046798B" w:rsidRDefault="00903B5C">
            <w:pPr>
              <w:pStyle w:val="TableParagraph"/>
              <w:ind w:left="114" w:right="373"/>
              <w:jc w:val="both"/>
              <w:rPr>
                <w:sz w:val="20"/>
              </w:rPr>
            </w:pPr>
            <w:r>
              <w:rPr>
                <w:sz w:val="20"/>
              </w:rPr>
              <w:t>Total expenditures on the legislature deflated by the national level cost of living indicator</w:t>
            </w:r>
          </w:p>
        </w:tc>
        <w:tc>
          <w:tcPr>
            <w:tcW w:w="6482" w:type="dxa"/>
            <w:tcBorders>
              <w:top w:val="dotted" w:sz="6" w:space="0" w:color="BEBEBE"/>
            </w:tcBorders>
          </w:tcPr>
          <w:p w14:paraId="75D47DF9" w14:textId="77777777" w:rsidR="0046798B" w:rsidRDefault="00903B5C">
            <w:pPr>
              <w:pStyle w:val="TableParagraph"/>
              <w:spacing w:before="40"/>
              <w:ind w:left="114" w:right="1111"/>
              <w:rPr>
                <w:sz w:val="20"/>
              </w:rPr>
            </w:pPr>
            <w:r>
              <w:rPr>
                <w:sz w:val="20"/>
              </w:rPr>
              <w:t xml:space="preserve">Klarner, Carl, 2013, “State Economic Data”, </w:t>
            </w:r>
            <w:hyperlink r:id="rId248">
              <w:r>
                <w:rPr>
                  <w:sz w:val="20"/>
                  <w:u w:val="single"/>
                </w:rPr>
                <w:t>https://doi.org/10.7910/DVN/KMWN7N</w:t>
              </w:r>
            </w:hyperlink>
            <w:r>
              <w:rPr>
                <w:sz w:val="20"/>
              </w:rPr>
              <w:t>, Harvard Dataverse, V1</w:t>
            </w:r>
          </w:p>
          <w:p w14:paraId="73F1B65C" w14:textId="77777777" w:rsidR="0046798B" w:rsidRDefault="0046798B">
            <w:pPr>
              <w:pStyle w:val="TableParagraph"/>
              <w:rPr>
                <w:sz w:val="20"/>
              </w:rPr>
            </w:pPr>
          </w:p>
          <w:p w14:paraId="1AEDDFD6" w14:textId="77777777" w:rsidR="0046798B" w:rsidRDefault="00903B5C">
            <w:pPr>
              <w:pStyle w:val="TableParagraph"/>
              <w:spacing w:before="1"/>
              <w:ind w:left="114" w:right="1326"/>
              <w:rPr>
                <w:sz w:val="20"/>
              </w:rPr>
            </w:pPr>
            <w:r>
              <w:rPr>
                <w:sz w:val="20"/>
              </w:rPr>
              <w:t>STATA CODE: gen real2_leg_tot_exp=legislative_total_exp / nat_cpi_bls_quar</w:t>
            </w:r>
          </w:p>
        </w:tc>
      </w:tr>
      <w:tr w:rsidR="0046798B" w14:paraId="1EB71583" w14:textId="77777777">
        <w:trPr>
          <w:trHeight w:val="3310"/>
        </w:trPr>
        <w:tc>
          <w:tcPr>
            <w:tcW w:w="1711" w:type="dxa"/>
          </w:tcPr>
          <w:p w14:paraId="426864BE" w14:textId="77777777" w:rsidR="0046798B" w:rsidRDefault="0046798B">
            <w:pPr>
              <w:pStyle w:val="TableParagraph"/>
            </w:pPr>
          </w:p>
          <w:p w14:paraId="39ED9687" w14:textId="77777777" w:rsidR="0046798B" w:rsidRDefault="0046798B">
            <w:pPr>
              <w:pStyle w:val="TableParagraph"/>
            </w:pPr>
          </w:p>
          <w:p w14:paraId="6AB49A26" w14:textId="77777777" w:rsidR="0046798B" w:rsidRDefault="0046798B">
            <w:pPr>
              <w:pStyle w:val="TableParagraph"/>
            </w:pPr>
          </w:p>
          <w:p w14:paraId="2D8A8D3B" w14:textId="77777777" w:rsidR="0046798B" w:rsidRDefault="0046798B">
            <w:pPr>
              <w:pStyle w:val="TableParagraph"/>
            </w:pPr>
          </w:p>
          <w:p w14:paraId="3758D9B7" w14:textId="77777777" w:rsidR="0046798B" w:rsidRDefault="0046798B">
            <w:pPr>
              <w:pStyle w:val="TableParagraph"/>
            </w:pPr>
          </w:p>
          <w:p w14:paraId="66A50DAE" w14:textId="77777777" w:rsidR="0046798B" w:rsidRDefault="0046798B">
            <w:pPr>
              <w:pStyle w:val="TableParagraph"/>
              <w:spacing w:before="9"/>
              <w:rPr>
                <w:sz w:val="23"/>
              </w:rPr>
            </w:pPr>
          </w:p>
          <w:p w14:paraId="650AC1FF" w14:textId="77777777" w:rsidR="0046798B" w:rsidRDefault="00903B5C">
            <w:pPr>
              <w:pStyle w:val="TableParagraph"/>
              <w:ind w:left="115"/>
              <w:rPr>
                <w:b/>
                <w:sz w:val="20"/>
              </w:rPr>
            </w:pPr>
            <w:r>
              <w:rPr>
                <w:b/>
                <w:sz w:val="20"/>
              </w:rPr>
              <w:t>state_cpi_bfh_est</w:t>
            </w:r>
          </w:p>
        </w:tc>
        <w:tc>
          <w:tcPr>
            <w:tcW w:w="1596" w:type="dxa"/>
          </w:tcPr>
          <w:p w14:paraId="68C14227" w14:textId="77777777" w:rsidR="0046798B" w:rsidRDefault="0046798B">
            <w:pPr>
              <w:pStyle w:val="TableParagraph"/>
            </w:pPr>
          </w:p>
          <w:p w14:paraId="5913CF4C" w14:textId="77777777" w:rsidR="0046798B" w:rsidRDefault="0046798B">
            <w:pPr>
              <w:pStyle w:val="TableParagraph"/>
            </w:pPr>
          </w:p>
          <w:p w14:paraId="68047D7C" w14:textId="77777777" w:rsidR="0046798B" w:rsidRDefault="0046798B">
            <w:pPr>
              <w:pStyle w:val="TableParagraph"/>
            </w:pPr>
          </w:p>
          <w:p w14:paraId="0F4EE6F3" w14:textId="77777777" w:rsidR="0046798B" w:rsidRDefault="0046798B">
            <w:pPr>
              <w:pStyle w:val="TableParagraph"/>
            </w:pPr>
          </w:p>
          <w:p w14:paraId="60FEB724" w14:textId="77777777" w:rsidR="0046798B" w:rsidRDefault="0046798B">
            <w:pPr>
              <w:pStyle w:val="TableParagraph"/>
            </w:pPr>
          </w:p>
          <w:p w14:paraId="26C4C921" w14:textId="77777777" w:rsidR="0046798B" w:rsidRDefault="00903B5C">
            <w:pPr>
              <w:pStyle w:val="TableParagraph"/>
              <w:spacing w:before="158"/>
              <w:ind w:left="114" w:right="224"/>
              <w:rPr>
                <w:sz w:val="20"/>
              </w:rPr>
            </w:pPr>
            <w:r>
              <w:rPr>
                <w:sz w:val="20"/>
              </w:rPr>
              <w:t>State consumer price index</w:t>
            </w:r>
          </w:p>
        </w:tc>
        <w:tc>
          <w:tcPr>
            <w:tcW w:w="1285" w:type="dxa"/>
          </w:tcPr>
          <w:p w14:paraId="6664C3CA" w14:textId="77777777" w:rsidR="0046798B" w:rsidRDefault="0046798B">
            <w:pPr>
              <w:pStyle w:val="TableParagraph"/>
            </w:pPr>
          </w:p>
          <w:p w14:paraId="42B7FD31" w14:textId="77777777" w:rsidR="0046798B" w:rsidRDefault="0046798B">
            <w:pPr>
              <w:pStyle w:val="TableParagraph"/>
            </w:pPr>
          </w:p>
          <w:p w14:paraId="27790E5A" w14:textId="77777777" w:rsidR="0046798B" w:rsidRDefault="0046798B">
            <w:pPr>
              <w:pStyle w:val="TableParagraph"/>
            </w:pPr>
          </w:p>
          <w:p w14:paraId="6A286C75" w14:textId="77777777" w:rsidR="0046798B" w:rsidRDefault="0046798B">
            <w:pPr>
              <w:pStyle w:val="TableParagraph"/>
            </w:pPr>
          </w:p>
          <w:p w14:paraId="2BD5B592" w14:textId="77777777" w:rsidR="0046798B" w:rsidRDefault="0046798B">
            <w:pPr>
              <w:pStyle w:val="TableParagraph"/>
            </w:pPr>
          </w:p>
          <w:p w14:paraId="40A37F8D" w14:textId="77777777" w:rsidR="0046798B" w:rsidRDefault="0046798B">
            <w:pPr>
              <w:pStyle w:val="TableParagraph"/>
              <w:spacing w:before="9"/>
              <w:rPr>
                <w:sz w:val="23"/>
              </w:rPr>
            </w:pPr>
          </w:p>
          <w:p w14:paraId="5B611212" w14:textId="77777777" w:rsidR="0046798B" w:rsidRDefault="00903B5C">
            <w:pPr>
              <w:pStyle w:val="TableParagraph"/>
              <w:ind w:left="114"/>
              <w:rPr>
                <w:sz w:val="20"/>
              </w:rPr>
            </w:pPr>
            <w:r>
              <w:rPr>
                <w:sz w:val="20"/>
              </w:rPr>
              <w:t>1960–2010</w:t>
            </w:r>
          </w:p>
        </w:tc>
        <w:tc>
          <w:tcPr>
            <w:tcW w:w="3421" w:type="dxa"/>
          </w:tcPr>
          <w:p w14:paraId="35FF322D" w14:textId="77777777" w:rsidR="0046798B" w:rsidRDefault="0046798B">
            <w:pPr>
              <w:pStyle w:val="TableParagraph"/>
            </w:pPr>
          </w:p>
          <w:p w14:paraId="1A34C8EF" w14:textId="77777777" w:rsidR="0046798B" w:rsidRDefault="0046798B">
            <w:pPr>
              <w:pStyle w:val="TableParagraph"/>
            </w:pPr>
          </w:p>
          <w:p w14:paraId="760D3178" w14:textId="77777777" w:rsidR="0046798B" w:rsidRDefault="0046798B">
            <w:pPr>
              <w:pStyle w:val="TableParagraph"/>
            </w:pPr>
          </w:p>
          <w:p w14:paraId="732FAEB8" w14:textId="77777777" w:rsidR="0046798B" w:rsidRDefault="0046798B">
            <w:pPr>
              <w:pStyle w:val="TableParagraph"/>
              <w:spacing w:before="9"/>
              <w:rPr>
                <w:sz w:val="27"/>
              </w:rPr>
            </w:pPr>
          </w:p>
          <w:p w14:paraId="074EB8DE" w14:textId="77777777" w:rsidR="0046798B" w:rsidRDefault="00903B5C">
            <w:pPr>
              <w:pStyle w:val="TableParagraph"/>
              <w:ind w:left="114" w:right="104"/>
              <w:jc w:val="both"/>
              <w:rPr>
                <w:sz w:val="20"/>
              </w:rPr>
            </w:pPr>
            <w:r>
              <w:rPr>
                <w:sz w:val="20"/>
              </w:rPr>
              <w:t>Berry, Fording and Hanson (2000) state and year specific consumer price index, measured in July, with estimated values for 2008 through 2010 by Klarner</w:t>
            </w:r>
          </w:p>
          <w:p w14:paraId="7216BF0A" w14:textId="77777777" w:rsidR="0046798B" w:rsidRDefault="00903B5C">
            <w:pPr>
              <w:pStyle w:val="TableParagraph"/>
              <w:ind w:left="114"/>
              <w:jc w:val="both"/>
              <w:rPr>
                <w:sz w:val="20"/>
              </w:rPr>
            </w:pPr>
            <w:r>
              <w:rPr>
                <w:sz w:val="20"/>
              </w:rPr>
              <w:t>2013.</w:t>
            </w:r>
          </w:p>
        </w:tc>
        <w:tc>
          <w:tcPr>
            <w:tcW w:w="6482" w:type="dxa"/>
          </w:tcPr>
          <w:p w14:paraId="6DABCAC8" w14:textId="77777777" w:rsidR="0046798B" w:rsidRDefault="00903B5C">
            <w:pPr>
              <w:pStyle w:val="TableParagraph"/>
              <w:spacing w:before="43"/>
              <w:ind w:left="114" w:right="1111"/>
              <w:rPr>
                <w:sz w:val="20"/>
              </w:rPr>
            </w:pPr>
            <w:r>
              <w:rPr>
                <w:sz w:val="20"/>
              </w:rPr>
              <w:t xml:space="preserve">Klarner, Carl, 2013, “State Economic Data”, </w:t>
            </w:r>
            <w:hyperlink r:id="rId249">
              <w:r>
                <w:rPr>
                  <w:sz w:val="20"/>
                  <w:u w:val="single"/>
                </w:rPr>
                <w:t>https://doi.org/10.7910/DVN/KMWN7N</w:t>
              </w:r>
            </w:hyperlink>
            <w:r>
              <w:rPr>
                <w:sz w:val="20"/>
              </w:rPr>
              <w:t>, Harvard Dataverse, V1</w:t>
            </w:r>
          </w:p>
          <w:p w14:paraId="728F4713" w14:textId="77777777" w:rsidR="0046798B" w:rsidRDefault="0046798B">
            <w:pPr>
              <w:pStyle w:val="TableParagraph"/>
              <w:rPr>
                <w:sz w:val="20"/>
              </w:rPr>
            </w:pPr>
          </w:p>
          <w:p w14:paraId="7DA69DCF" w14:textId="77777777" w:rsidR="0046798B" w:rsidRDefault="00903B5C">
            <w:pPr>
              <w:pStyle w:val="TableParagraph"/>
              <w:ind w:left="114"/>
              <w:rPr>
                <w:sz w:val="20"/>
              </w:rPr>
            </w:pPr>
            <w:r>
              <w:rPr>
                <w:sz w:val="20"/>
              </w:rPr>
              <w:t>Source (1960–2007):</w:t>
            </w:r>
          </w:p>
          <w:p w14:paraId="7C00FC6A" w14:textId="77777777" w:rsidR="0046798B" w:rsidRDefault="0046798B">
            <w:pPr>
              <w:pStyle w:val="TableParagraph"/>
              <w:rPr>
                <w:sz w:val="20"/>
              </w:rPr>
            </w:pPr>
          </w:p>
          <w:p w14:paraId="4CE07634" w14:textId="77777777" w:rsidR="0046798B" w:rsidRDefault="00903B5C">
            <w:pPr>
              <w:pStyle w:val="TableParagraph"/>
              <w:ind w:left="114" w:right="161"/>
              <w:rPr>
                <w:sz w:val="20"/>
              </w:rPr>
            </w:pPr>
            <w:r>
              <w:rPr>
                <w:sz w:val="20"/>
              </w:rPr>
              <w:t xml:space="preserve">Source: Berry, William D., Richard C. Fording and Russell L. Hanson. 2000. “An Annual Cost of Living Index for the American States, 1960-95,” </w:t>
            </w:r>
            <w:r>
              <w:rPr>
                <w:i/>
                <w:sz w:val="20"/>
              </w:rPr>
              <w:t>The Journal of Politics</w:t>
            </w:r>
            <w:r>
              <w:rPr>
                <w:sz w:val="20"/>
              </w:rPr>
              <w:t>, 60(2): 550-67.</w:t>
            </w:r>
          </w:p>
          <w:p w14:paraId="5A2380EE" w14:textId="77777777" w:rsidR="0046798B" w:rsidRDefault="0046798B">
            <w:pPr>
              <w:pStyle w:val="TableParagraph"/>
              <w:spacing w:before="1"/>
              <w:rPr>
                <w:sz w:val="20"/>
              </w:rPr>
            </w:pPr>
          </w:p>
          <w:p w14:paraId="1F1614B6" w14:textId="77777777" w:rsidR="0046798B" w:rsidRDefault="00903B5C">
            <w:pPr>
              <w:pStyle w:val="TableParagraph"/>
              <w:ind w:left="114"/>
              <w:rPr>
                <w:sz w:val="20"/>
              </w:rPr>
            </w:pPr>
            <w:r>
              <w:rPr>
                <w:sz w:val="20"/>
              </w:rPr>
              <w:t xml:space="preserve">Link: </w:t>
            </w:r>
            <w:hyperlink r:id="rId250">
              <w:r>
                <w:rPr>
                  <w:sz w:val="20"/>
                  <w:u w:val="single"/>
                </w:rPr>
                <w:t>https://rcfording.wordpress.com/datasets/</w:t>
              </w:r>
            </w:hyperlink>
          </w:p>
          <w:p w14:paraId="2D255353" w14:textId="77777777" w:rsidR="0046798B" w:rsidRDefault="0046798B">
            <w:pPr>
              <w:pStyle w:val="TableParagraph"/>
              <w:rPr>
                <w:sz w:val="20"/>
              </w:rPr>
            </w:pPr>
          </w:p>
          <w:p w14:paraId="0BFA5C64" w14:textId="77777777" w:rsidR="0046798B" w:rsidRDefault="00903B5C">
            <w:pPr>
              <w:pStyle w:val="TableParagraph"/>
              <w:ind w:left="114" w:right="153"/>
              <w:jc w:val="both"/>
              <w:rPr>
                <w:sz w:val="20"/>
              </w:rPr>
            </w:pPr>
            <w:r>
              <w:rPr>
                <w:sz w:val="20"/>
              </w:rPr>
              <w:t>The Berry, Fording, and Hanson (2000) dataset contains a yearly state cost of living index for the 48 continental states, for years 1960 - 2007, derived from state median housing values, per capita income, and population.</w:t>
            </w:r>
          </w:p>
        </w:tc>
      </w:tr>
      <w:tr w:rsidR="0046798B" w14:paraId="2531ECDF" w14:textId="77777777">
        <w:trPr>
          <w:trHeight w:val="775"/>
        </w:trPr>
        <w:tc>
          <w:tcPr>
            <w:tcW w:w="1711" w:type="dxa"/>
          </w:tcPr>
          <w:p w14:paraId="70C10A5E" w14:textId="77777777" w:rsidR="0046798B" w:rsidRDefault="00903B5C">
            <w:pPr>
              <w:pStyle w:val="TableParagraph"/>
              <w:spacing w:before="154"/>
              <w:ind w:left="115"/>
              <w:rPr>
                <w:b/>
                <w:sz w:val="20"/>
              </w:rPr>
            </w:pPr>
            <w:r>
              <w:rPr>
                <w:b/>
                <w:sz w:val="20"/>
              </w:rPr>
              <w:t>state_cpi_bfh_est</w:t>
            </w:r>
          </w:p>
          <w:p w14:paraId="38B7B8CD" w14:textId="77777777" w:rsidR="0046798B" w:rsidRDefault="00903B5C">
            <w:pPr>
              <w:pStyle w:val="TableParagraph"/>
              <w:ind w:left="115"/>
              <w:rPr>
                <w:b/>
                <w:sz w:val="20"/>
              </w:rPr>
            </w:pPr>
            <w:r>
              <w:rPr>
                <w:b/>
                <w:sz w:val="20"/>
              </w:rPr>
              <w:t>_quar</w:t>
            </w:r>
          </w:p>
        </w:tc>
        <w:tc>
          <w:tcPr>
            <w:tcW w:w="1596" w:type="dxa"/>
          </w:tcPr>
          <w:p w14:paraId="7B3965AA" w14:textId="77777777" w:rsidR="0046798B" w:rsidRDefault="00903B5C">
            <w:pPr>
              <w:pStyle w:val="TableParagraph"/>
              <w:spacing w:before="39"/>
              <w:ind w:left="114" w:right="158"/>
              <w:jc w:val="both"/>
              <w:rPr>
                <w:sz w:val="20"/>
              </w:rPr>
            </w:pPr>
            <w:r>
              <w:rPr>
                <w:sz w:val="20"/>
              </w:rPr>
              <w:t>Change in state consumer price index by quarter</w:t>
            </w:r>
          </w:p>
        </w:tc>
        <w:tc>
          <w:tcPr>
            <w:tcW w:w="1285" w:type="dxa"/>
          </w:tcPr>
          <w:p w14:paraId="63FE18C0" w14:textId="77777777" w:rsidR="0046798B" w:rsidRDefault="0046798B">
            <w:pPr>
              <w:pStyle w:val="TableParagraph"/>
              <w:spacing w:before="4"/>
              <w:rPr>
                <w:sz w:val="23"/>
              </w:rPr>
            </w:pPr>
          </w:p>
          <w:p w14:paraId="26087078" w14:textId="77777777" w:rsidR="0046798B" w:rsidRDefault="00903B5C">
            <w:pPr>
              <w:pStyle w:val="TableParagraph"/>
              <w:ind w:left="114"/>
              <w:rPr>
                <w:sz w:val="20"/>
              </w:rPr>
            </w:pPr>
            <w:r>
              <w:rPr>
                <w:sz w:val="20"/>
              </w:rPr>
              <w:t>1960–2010</w:t>
            </w:r>
          </w:p>
        </w:tc>
        <w:tc>
          <w:tcPr>
            <w:tcW w:w="3421" w:type="dxa"/>
          </w:tcPr>
          <w:p w14:paraId="2CCF6298" w14:textId="77777777" w:rsidR="0046798B" w:rsidRDefault="00903B5C">
            <w:pPr>
              <w:pStyle w:val="TableParagraph"/>
              <w:spacing w:before="39"/>
              <w:ind w:left="114" w:right="260"/>
              <w:rPr>
                <w:sz w:val="20"/>
              </w:rPr>
            </w:pPr>
            <w:r>
              <w:rPr>
                <w:sz w:val="20"/>
              </w:rPr>
              <w:t>Puts interpolated values into quarters. Multiplies the last period’s state_cpi with bfh_cpi_multiplier.</w:t>
            </w:r>
          </w:p>
        </w:tc>
        <w:tc>
          <w:tcPr>
            <w:tcW w:w="6482" w:type="dxa"/>
          </w:tcPr>
          <w:p w14:paraId="2B062122" w14:textId="77777777" w:rsidR="0046798B" w:rsidRDefault="00903B5C">
            <w:pPr>
              <w:pStyle w:val="TableParagraph"/>
              <w:spacing w:before="154"/>
              <w:ind w:left="114" w:right="1111"/>
              <w:rPr>
                <w:sz w:val="20"/>
              </w:rPr>
            </w:pPr>
            <w:r>
              <w:rPr>
                <w:sz w:val="20"/>
              </w:rPr>
              <w:t xml:space="preserve">Klarner, Carl, 2013, “State Economic Data”, </w:t>
            </w:r>
            <w:hyperlink r:id="rId251">
              <w:r>
                <w:rPr>
                  <w:sz w:val="20"/>
                  <w:u w:val="single"/>
                </w:rPr>
                <w:t>https://doi.org/10.7910/DVN/KMWN7N</w:t>
              </w:r>
            </w:hyperlink>
            <w:r>
              <w:rPr>
                <w:sz w:val="20"/>
              </w:rPr>
              <w:t>, Harvard Dataverse, V1</w:t>
            </w:r>
          </w:p>
        </w:tc>
      </w:tr>
      <w:tr w:rsidR="0046798B" w14:paraId="70664499" w14:textId="77777777">
        <w:trPr>
          <w:trHeight w:val="1465"/>
        </w:trPr>
        <w:tc>
          <w:tcPr>
            <w:tcW w:w="1711" w:type="dxa"/>
          </w:tcPr>
          <w:p w14:paraId="0758E07C" w14:textId="77777777" w:rsidR="0046798B" w:rsidRDefault="0046798B">
            <w:pPr>
              <w:pStyle w:val="TableParagraph"/>
            </w:pPr>
          </w:p>
          <w:p w14:paraId="77A8B4BC" w14:textId="77777777" w:rsidR="0046798B" w:rsidRDefault="0046798B">
            <w:pPr>
              <w:pStyle w:val="TableParagraph"/>
              <w:spacing w:before="4"/>
              <w:rPr>
                <w:sz w:val="21"/>
              </w:rPr>
            </w:pPr>
          </w:p>
          <w:p w14:paraId="1E2A7946" w14:textId="77777777" w:rsidR="0046798B" w:rsidRDefault="00903B5C">
            <w:pPr>
              <w:pStyle w:val="TableParagraph"/>
              <w:ind w:left="115" w:right="132"/>
              <w:rPr>
                <w:b/>
                <w:sz w:val="20"/>
              </w:rPr>
            </w:pPr>
            <w:r>
              <w:rPr>
                <w:b/>
                <w:sz w:val="20"/>
              </w:rPr>
              <w:t>state_gov_financ e_exists</w:t>
            </w:r>
          </w:p>
        </w:tc>
        <w:tc>
          <w:tcPr>
            <w:tcW w:w="1596" w:type="dxa"/>
          </w:tcPr>
          <w:p w14:paraId="5E7B3856" w14:textId="77777777" w:rsidR="0046798B" w:rsidRDefault="00903B5C">
            <w:pPr>
              <w:pStyle w:val="TableParagraph"/>
              <w:spacing w:before="153"/>
              <w:ind w:left="114" w:right="108"/>
              <w:rPr>
                <w:sz w:val="20"/>
              </w:rPr>
            </w:pPr>
            <w:r>
              <w:rPr>
                <w:sz w:val="20"/>
              </w:rPr>
              <w:t xml:space="preserve">State government finance </w:t>
            </w:r>
            <w:r>
              <w:rPr>
                <w:spacing w:val="-3"/>
                <w:sz w:val="20"/>
              </w:rPr>
              <w:t xml:space="preserve">variables </w:t>
            </w:r>
            <w:r>
              <w:rPr>
                <w:sz w:val="20"/>
              </w:rPr>
              <w:t>(dummy variable)</w:t>
            </w:r>
          </w:p>
        </w:tc>
        <w:tc>
          <w:tcPr>
            <w:tcW w:w="1285" w:type="dxa"/>
          </w:tcPr>
          <w:p w14:paraId="382D2724" w14:textId="77777777" w:rsidR="0046798B" w:rsidRDefault="0046798B">
            <w:pPr>
              <w:pStyle w:val="TableParagraph"/>
            </w:pPr>
          </w:p>
          <w:p w14:paraId="37435922" w14:textId="77777777" w:rsidR="0046798B" w:rsidRDefault="0046798B">
            <w:pPr>
              <w:pStyle w:val="TableParagraph"/>
              <w:spacing w:before="4"/>
              <w:rPr>
                <w:sz w:val="31"/>
              </w:rPr>
            </w:pPr>
          </w:p>
          <w:p w14:paraId="2DBF4B03" w14:textId="77777777" w:rsidR="0046798B" w:rsidRDefault="00903B5C">
            <w:pPr>
              <w:pStyle w:val="TableParagraph"/>
              <w:ind w:left="114"/>
              <w:rPr>
                <w:sz w:val="20"/>
              </w:rPr>
            </w:pPr>
            <w:r>
              <w:rPr>
                <w:sz w:val="20"/>
              </w:rPr>
              <w:t>1942–2010</w:t>
            </w:r>
          </w:p>
        </w:tc>
        <w:tc>
          <w:tcPr>
            <w:tcW w:w="3421" w:type="dxa"/>
          </w:tcPr>
          <w:p w14:paraId="1EAD8DE1" w14:textId="77777777" w:rsidR="0046798B" w:rsidRDefault="00903B5C">
            <w:pPr>
              <w:pStyle w:val="TableParagraph"/>
              <w:spacing w:before="38"/>
              <w:ind w:left="114" w:right="428"/>
              <w:rPr>
                <w:sz w:val="20"/>
              </w:rPr>
            </w:pPr>
            <w:r>
              <w:rPr>
                <w:sz w:val="20"/>
              </w:rPr>
              <w:t>Dummy: 1 = all six of the state government finance variables listed above are observed. Blank = not observed. Note: if one of the state government finances variables is observed, the other five are also.</w:t>
            </w:r>
          </w:p>
        </w:tc>
        <w:tc>
          <w:tcPr>
            <w:tcW w:w="6482" w:type="dxa"/>
          </w:tcPr>
          <w:p w14:paraId="0328B7C6" w14:textId="77777777" w:rsidR="0046798B" w:rsidRDefault="0046798B">
            <w:pPr>
              <w:pStyle w:val="TableParagraph"/>
            </w:pPr>
          </w:p>
          <w:p w14:paraId="4C1EE1E6" w14:textId="77777777" w:rsidR="0046798B" w:rsidRDefault="0046798B">
            <w:pPr>
              <w:pStyle w:val="TableParagraph"/>
              <w:spacing w:before="4"/>
              <w:rPr>
                <w:sz w:val="21"/>
              </w:rPr>
            </w:pPr>
          </w:p>
          <w:p w14:paraId="57CD0C86" w14:textId="77777777" w:rsidR="0046798B" w:rsidRDefault="00903B5C">
            <w:pPr>
              <w:pStyle w:val="TableParagraph"/>
              <w:ind w:left="114" w:right="1111"/>
              <w:rPr>
                <w:sz w:val="20"/>
              </w:rPr>
            </w:pPr>
            <w:r>
              <w:rPr>
                <w:sz w:val="20"/>
              </w:rPr>
              <w:t xml:space="preserve">Klarner, Carl, 2013, “State Economic Data”, </w:t>
            </w:r>
            <w:hyperlink r:id="rId252">
              <w:r>
                <w:rPr>
                  <w:sz w:val="20"/>
                  <w:u w:val="single"/>
                </w:rPr>
                <w:t>https://doi.org/10.7910/DVN/KMWN7N</w:t>
              </w:r>
            </w:hyperlink>
            <w:r>
              <w:rPr>
                <w:sz w:val="20"/>
              </w:rPr>
              <w:t>, Harvard Dataverse, V1</w:t>
            </w:r>
          </w:p>
        </w:tc>
      </w:tr>
      <w:tr w:rsidR="0046798B" w14:paraId="369DC60D" w14:textId="77777777">
        <w:trPr>
          <w:trHeight w:val="1695"/>
        </w:trPr>
        <w:tc>
          <w:tcPr>
            <w:tcW w:w="1711" w:type="dxa"/>
          </w:tcPr>
          <w:p w14:paraId="1E628C35" w14:textId="77777777" w:rsidR="0046798B" w:rsidRDefault="0046798B">
            <w:pPr>
              <w:pStyle w:val="TableParagraph"/>
            </w:pPr>
          </w:p>
          <w:p w14:paraId="45A99303" w14:textId="77777777" w:rsidR="0046798B" w:rsidRDefault="0046798B">
            <w:pPr>
              <w:pStyle w:val="TableParagraph"/>
            </w:pPr>
          </w:p>
          <w:p w14:paraId="1579B80E" w14:textId="77777777" w:rsidR="0046798B" w:rsidRDefault="0046798B">
            <w:pPr>
              <w:pStyle w:val="TableParagraph"/>
              <w:spacing w:before="4"/>
              <w:rPr>
                <w:sz w:val="19"/>
              </w:rPr>
            </w:pPr>
          </w:p>
          <w:p w14:paraId="79969C04" w14:textId="77777777" w:rsidR="0046798B" w:rsidRDefault="00903B5C">
            <w:pPr>
              <w:pStyle w:val="TableParagraph"/>
              <w:ind w:left="115"/>
              <w:rPr>
                <w:b/>
                <w:sz w:val="20"/>
              </w:rPr>
            </w:pPr>
            <w:r>
              <w:rPr>
                <w:b/>
                <w:sz w:val="20"/>
              </w:rPr>
              <w:t>taxes</w:t>
            </w:r>
          </w:p>
        </w:tc>
        <w:tc>
          <w:tcPr>
            <w:tcW w:w="1596" w:type="dxa"/>
          </w:tcPr>
          <w:p w14:paraId="21EC48BB" w14:textId="77777777" w:rsidR="0046798B" w:rsidRDefault="0046798B">
            <w:pPr>
              <w:pStyle w:val="TableParagraph"/>
            </w:pPr>
          </w:p>
          <w:p w14:paraId="00AEEA68" w14:textId="77777777" w:rsidR="0046798B" w:rsidRDefault="0046798B">
            <w:pPr>
              <w:pStyle w:val="TableParagraph"/>
              <w:spacing w:before="4"/>
              <w:rPr>
                <w:sz w:val="31"/>
              </w:rPr>
            </w:pPr>
          </w:p>
          <w:p w14:paraId="51633B4C" w14:textId="77777777" w:rsidR="0046798B" w:rsidRDefault="00903B5C">
            <w:pPr>
              <w:pStyle w:val="TableParagraph"/>
              <w:ind w:left="114" w:right="757"/>
              <w:rPr>
                <w:sz w:val="20"/>
              </w:rPr>
            </w:pPr>
            <w:r>
              <w:rPr>
                <w:sz w:val="20"/>
              </w:rPr>
              <w:t>State tax revenue</w:t>
            </w:r>
          </w:p>
        </w:tc>
        <w:tc>
          <w:tcPr>
            <w:tcW w:w="1285" w:type="dxa"/>
          </w:tcPr>
          <w:p w14:paraId="66E6B032" w14:textId="77777777" w:rsidR="0046798B" w:rsidRDefault="0046798B">
            <w:pPr>
              <w:pStyle w:val="TableParagraph"/>
            </w:pPr>
          </w:p>
          <w:p w14:paraId="3B024E73" w14:textId="77777777" w:rsidR="0046798B" w:rsidRDefault="0046798B">
            <w:pPr>
              <w:pStyle w:val="TableParagraph"/>
            </w:pPr>
          </w:p>
          <w:p w14:paraId="628854E9" w14:textId="77777777" w:rsidR="0046798B" w:rsidRDefault="0046798B">
            <w:pPr>
              <w:pStyle w:val="TableParagraph"/>
              <w:spacing w:before="4"/>
              <w:rPr>
                <w:sz w:val="19"/>
              </w:rPr>
            </w:pPr>
          </w:p>
          <w:p w14:paraId="232E6542" w14:textId="0BC2F9F9" w:rsidR="0046798B" w:rsidRDefault="00903B5C">
            <w:pPr>
              <w:pStyle w:val="TableParagraph"/>
              <w:ind w:left="114"/>
              <w:rPr>
                <w:sz w:val="20"/>
              </w:rPr>
            </w:pPr>
            <w:r>
              <w:rPr>
                <w:sz w:val="20"/>
              </w:rPr>
              <w:t>1942–201</w:t>
            </w:r>
            <w:r w:rsidR="00855B7D">
              <w:rPr>
                <w:sz w:val="20"/>
              </w:rPr>
              <w:t>9</w:t>
            </w:r>
          </w:p>
        </w:tc>
        <w:tc>
          <w:tcPr>
            <w:tcW w:w="3421" w:type="dxa"/>
          </w:tcPr>
          <w:p w14:paraId="45EF5D0F" w14:textId="77777777" w:rsidR="0046798B" w:rsidRDefault="0046798B">
            <w:pPr>
              <w:pStyle w:val="TableParagraph"/>
            </w:pPr>
          </w:p>
          <w:p w14:paraId="0AD1D840" w14:textId="77777777" w:rsidR="0046798B" w:rsidRDefault="0046798B">
            <w:pPr>
              <w:pStyle w:val="TableParagraph"/>
              <w:spacing w:before="4"/>
              <w:rPr>
                <w:sz w:val="21"/>
              </w:rPr>
            </w:pPr>
          </w:p>
          <w:p w14:paraId="2F61D3E3" w14:textId="77777777" w:rsidR="0046798B" w:rsidRDefault="00903B5C">
            <w:pPr>
              <w:pStyle w:val="TableParagraph"/>
              <w:ind w:left="114" w:right="122"/>
              <w:rPr>
                <w:sz w:val="20"/>
              </w:rPr>
            </w:pPr>
            <w:r>
              <w:rPr>
                <w:sz w:val="20"/>
              </w:rPr>
              <w:t>State tax revenue. All state government finance data are in 1,000s of current dollars.</w:t>
            </w:r>
          </w:p>
        </w:tc>
        <w:tc>
          <w:tcPr>
            <w:tcW w:w="6482" w:type="dxa"/>
          </w:tcPr>
          <w:p w14:paraId="570A6DA0" w14:textId="77777777" w:rsidR="0046798B" w:rsidRDefault="00903B5C">
            <w:pPr>
              <w:pStyle w:val="TableParagraph"/>
              <w:spacing w:before="38"/>
              <w:ind w:left="114" w:right="1111"/>
              <w:rPr>
                <w:sz w:val="20"/>
              </w:rPr>
            </w:pPr>
            <w:r>
              <w:rPr>
                <w:sz w:val="20"/>
              </w:rPr>
              <w:t xml:space="preserve">Klarner, Carl, 2013, “State Economic Data”, </w:t>
            </w:r>
            <w:hyperlink r:id="rId253">
              <w:r>
                <w:rPr>
                  <w:sz w:val="20"/>
                  <w:u w:val="single"/>
                </w:rPr>
                <w:t>https://doi.org/10.7910/DVN/KMWN7N</w:t>
              </w:r>
            </w:hyperlink>
            <w:r>
              <w:rPr>
                <w:sz w:val="20"/>
              </w:rPr>
              <w:t>, Harvard Dataverse, V1</w:t>
            </w:r>
          </w:p>
          <w:p w14:paraId="461C7BE0" w14:textId="77777777" w:rsidR="0046798B" w:rsidRDefault="0046798B">
            <w:pPr>
              <w:pStyle w:val="TableParagraph"/>
              <w:rPr>
                <w:sz w:val="20"/>
              </w:rPr>
            </w:pPr>
          </w:p>
          <w:p w14:paraId="4DC917AA" w14:textId="77777777" w:rsidR="0046798B" w:rsidRDefault="00903B5C">
            <w:pPr>
              <w:pStyle w:val="TableParagraph"/>
              <w:ind w:left="114"/>
              <w:rPr>
                <w:sz w:val="20"/>
              </w:rPr>
            </w:pPr>
            <w:r>
              <w:rPr>
                <w:sz w:val="20"/>
              </w:rPr>
              <w:t xml:space="preserve">Source: Figures exactly as they appear in the Census database file State_Govt_Finances for 1942 – 2006. For 2007 – 2010: </w:t>
            </w:r>
            <w:hyperlink r:id="rId254">
              <w:r>
                <w:rPr>
                  <w:sz w:val="20"/>
                  <w:u w:val="single"/>
                </w:rPr>
                <w:t>http://www.census.gov/govs/state/</w:t>
              </w:r>
            </w:hyperlink>
          </w:p>
        </w:tc>
      </w:tr>
    </w:tbl>
    <w:p w14:paraId="5DC3ACC6" w14:textId="77777777" w:rsidR="0046798B" w:rsidRDefault="0046798B">
      <w:pPr>
        <w:rPr>
          <w:sz w:val="20"/>
        </w:rPr>
        <w:sectPr w:rsidR="0046798B">
          <w:pgSz w:w="15840" w:h="12240" w:orient="landscape"/>
          <w:pgMar w:top="1220" w:right="300" w:bottom="980" w:left="820" w:header="730" w:footer="787" w:gutter="0"/>
          <w:cols w:space="720"/>
        </w:sectPr>
      </w:pPr>
    </w:p>
    <w:p w14:paraId="36C80FC8"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67AAF583" w14:textId="77777777">
        <w:trPr>
          <w:trHeight w:val="2386"/>
        </w:trPr>
        <w:tc>
          <w:tcPr>
            <w:tcW w:w="1711" w:type="dxa"/>
          </w:tcPr>
          <w:p w14:paraId="34123C0E" w14:textId="77777777" w:rsidR="0046798B" w:rsidRDefault="0046798B">
            <w:pPr>
              <w:pStyle w:val="TableParagraph"/>
              <w:rPr>
                <w:sz w:val="20"/>
              </w:rPr>
            </w:pPr>
          </w:p>
        </w:tc>
        <w:tc>
          <w:tcPr>
            <w:tcW w:w="1596" w:type="dxa"/>
          </w:tcPr>
          <w:p w14:paraId="3A96BB1B" w14:textId="77777777" w:rsidR="0046798B" w:rsidRDefault="0046798B">
            <w:pPr>
              <w:pStyle w:val="TableParagraph"/>
              <w:rPr>
                <w:sz w:val="20"/>
              </w:rPr>
            </w:pPr>
          </w:p>
        </w:tc>
        <w:tc>
          <w:tcPr>
            <w:tcW w:w="1285" w:type="dxa"/>
          </w:tcPr>
          <w:p w14:paraId="4394C25D" w14:textId="77777777" w:rsidR="0046798B" w:rsidRDefault="0046798B">
            <w:pPr>
              <w:pStyle w:val="TableParagraph"/>
              <w:rPr>
                <w:sz w:val="20"/>
              </w:rPr>
            </w:pPr>
          </w:p>
        </w:tc>
        <w:tc>
          <w:tcPr>
            <w:tcW w:w="3421" w:type="dxa"/>
          </w:tcPr>
          <w:p w14:paraId="3CF15588" w14:textId="77777777" w:rsidR="0046798B" w:rsidRDefault="0046798B">
            <w:pPr>
              <w:pStyle w:val="TableParagraph"/>
              <w:rPr>
                <w:sz w:val="20"/>
              </w:rPr>
            </w:pPr>
          </w:p>
        </w:tc>
        <w:tc>
          <w:tcPr>
            <w:tcW w:w="6482" w:type="dxa"/>
          </w:tcPr>
          <w:p w14:paraId="116B23E4" w14:textId="77777777" w:rsidR="0046798B" w:rsidRDefault="00903B5C">
            <w:pPr>
              <w:pStyle w:val="TableParagraph"/>
              <w:spacing w:before="43"/>
              <w:ind w:left="114" w:right="132"/>
              <w:rPr>
                <w:sz w:val="20"/>
              </w:rPr>
            </w:pPr>
            <w:r>
              <w:rPr>
                <w:sz w:val="20"/>
              </w:rPr>
              <w:t>Note for data put into quarters 1, 2, 3 and 4: although these data were put into quarters, they were not divided by 4. There are always four cases that have the same exact numbers. These sets of four are within the same state fiscal year. Note for data put into quarter 2.5: data for the fiscal year that matches the year of the case is put into 2.5. For example, Indiana’s FY1986 (which goes from July 1st 1985, to June 30th, 1986) is put into 1986q2.5.</w:t>
            </w:r>
          </w:p>
          <w:p w14:paraId="564CA15E" w14:textId="77777777" w:rsidR="0046798B" w:rsidRDefault="0046798B">
            <w:pPr>
              <w:pStyle w:val="TableParagraph"/>
              <w:spacing w:before="1"/>
              <w:rPr>
                <w:sz w:val="20"/>
              </w:rPr>
            </w:pPr>
          </w:p>
          <w:p w14:paraId="54D76E2F" w14:textId="77777777" w:rsidR="0046798B" w:rsidRDefault="00903B5C">
            <w:pPr>
              <w:pStyle w:val="TableParagraph"/>
              <w:ind w:left="114"/>
              <w:rPr>
                <w:sz w:val="20"/>
              </w:rPr>
            </w:pPr>
            <w:r>
              <w:rPr>
                <w:sz w:val="20"/>
              </w:rPr>
              <w:t xml:space="preserve">United States Census Bureau: </w:t>
            </w:r>
            <w:hyperlink r:id="rId255">
              <w:r>
                <w:rPr>
                  <w:color w:val="0462C1"/>
                  <w:sz w:val="20"/>
                  <w:u w:val="single" w:color="0462C1"/>
                </w:rPr>
                <w:t>https://factfinder.census.gov/faces/nav/jsf/pages/programs.xhtml?program=as</w:t>
              </w:r>
            </w:hyperlink>
            <w:r>
              <w:rPr>
                <w:color w:val="0462C1"/>
                <w:sz w:val="20"/>
              </w:rPr>
              <w:t xml:space="preserve"> </w:t>
            </w:r>
            <w:hyperlink r:id="rId256">
              <w:r>
                <w:rPr>
                  <w:color w:val="0462C1"/>
                  <w:sz w:val="20"/>
                  <w:u w:val="single" w:color="0462C1"/>
                </w:rPr>
                <w:t>gov</w:t>
              </w:r>
            </w:hyperlink>
          </w:p>
        </w:tc>
      </w:tr>
      <w:tr w:rsidR="0046798B" w14:paraId="0A1B481F" w14:textId="77777777">
        <w:trPr>
          <w:trHeight w:val="1235"/>
        </w:trPr>
        <w:tc>
          <w:tcPr>
            <w:tcW w:w="1711" w:type="dxa"/>
          </w:tcPr>
          <w:p w14:paraId="249986C5" w14:textId="77777777" w:rsidR="0046798B" w:rsidRDefault="0046798B">
            <w:pPr>
              <w:pStyle w:val="TableParagraph"/>
            </w:pPr>
          </w:p>
          <w:p w14:paraId="30D407C9" w14:textId="77777777" w:rsidR="0046798B" w:rsidRDefault="0046798B">
            <w:pPr>
              <w:pStyle w:val="TableParagraph"/>
              <w:spacing w:before="9"/>
              <w:rPr>
                <w:sz w:val="21"/>
              </w:rPr>
            </w:pPr>
          </w:p>
          <w:p w14:paraId="513B8A27" w14:textId="77777777" w:rsidR="0046798B" w:rsidRDefault="00903B5C">
            <w:pPr>
              <w:pStyle w:val="TableParagraph"/>
              <w:ind w:left="115"/>
              <w:rPr>
                <w:b/>
                <w:sz w:val="20"/>
              </w:rPr>
            </w:pPr>
            <w:r>
              <w:rPr>
                <w:b/>
                <w:sz w:val="20"/>
              </w:rPr>
              <w:t>taxes_gsp</w:t>
            </w:r>
          </w:p>
        </w:tc>
        <w:tc>
          <w:tcPr>
            <w:tcW w:w="1596" w:type="dxa"/>
          </w:tcPr>
          <w:p w14:paraId="742FD5BA" w14:textId="77777777" w:rsidR="0046798B" w:rsidRDefault="0046798B">
            <w:pPr>
              <w:pStyle w:val="TableParagraph"/>
            </w:pPr>
          </w:p>
          <w:p w14:paraId="6A273F6C" w14:textId="77777777" w:rsidR="0046798B" w:rsidRDefault="00903B5C">
            <w:pPr>
              <w:pStyle w:val="TableParagraph"/>
              <w:spacing w:before="135"/>
              <w:ind w:left="114" w:right="241"/>
              <w:rPr>
                <w:sz w:val="20"/>
              </w:rPr>
            </w:pPr>
            <w:r>
              <w:rPr>
                <w:sz w:val="20"/>
              </w:rPr>
              <w:t>Tax revenue as pct. of GSP</w:t>
            </w:r>
          </w:p>
        </w:tc>
        <w:tc>
          <w:tcPr>
            <w:tcW w:w="1285" w:type="dxa"/>
          </w:tcPr>
          <w:p w14:paraId="7EB90000" w14:textId="77777777" w:rsidR="0046798B" w:rsidRDefault="0046798B">
            <w:pPr>
              <w:pStyle w:val="TableParagraph"/>
            </w:pPr>
          </w:p>
          <w:p w14:paraId="1A42042D" w14:textId="77777777" w:rsidR="0046798B" w:rsidRDefault="0046798B">
            <w:pPr>
              <w:pStyle w:val="TableParagraph"/>
              <w:spacing w:before="9"/>
              <w:rPr>
                <w:sz w:val="21"/>
              </w:rPr>
            </w:pPr>
          </w:p>
          <w:p w14:paraId="71A6F5B5" w14:textId="77777777" w:rsidR="0046798B" w:rsidRDefault="00903B5C">
            <w:pPr>
              <w:pStyle w:val="TableParagraph"/>
              <w:ind w:left="114"/>
              <w:rPr>
                <w:sz w:val="20"/>
              </w:rPr>
            </w:pPr>
            <w:r>
              <w:rPr>
                <w:sz w:val="20"/>
              </w:rPr>
              <w:t>1942–2016</w:t>
            </w:r>
          </w:p>
        </w:tc>
        <w:tc>
          <w:tcPr>
            <w:tcW w:w="3421" w:type="dxa"/>
          </w:tcPr>
          <w:p w14:paraId="2D2D05E9" w14:textId="77777777" w:rsidR="0046798B" w:rsidRDefault="0046798B">
            <w:pPr>
              <w:pStyle w:val="TableParagraph"/>
            </w:pPr>
          </w:p>
          <w:p w14:paraId="33487783" w14:textId="77777777" w:rsidR="0046798B" w:rsidRDefault="00903B5C">
            <w:pPr>
              <w:pStyle w:val="TableParagraph"/>
              <w:spacing w:before="135"/>
              <w:ind w:left="114" w:right="322"/>
              <w:rPr>
                <w:sz w:val="20"/>
              </w:rPr>
            </w:pPr>
            <w:r>
              <w:rPr>
                <w:sz w:val="20"/>
              </w:rPr>
              <w:t>Tax revenue as percent of gross state product</w:t>
            </w:r>
          </w:p>
        </w:tc>
        <w:tc>
          <w:tcPr>
            <w:tcW w:w="6482" w:type="dxa"/>
          </w:tcPr>
          <w:p w14:paraId="7E1DBB72" w14:textId="77777777" w:rsidR="0046798B" w:rsidRDefault="00903B5C">
            <w:pPr>
              <w:pStyle w:val="TableParagraph"/>
              <w:spacing w:before="43"/>
              <w:ind w:left="114" w:right="1111"/>
              <w:rPr>
                <w:sz w:val="20"/>
              </w:rPr>
            </w:pPr>
            <w:r>
              <w:rPr>
                <w:sz w:val="20"/>
              </w:rPr>
              <w:t xml:space="preserve">Klarner, Carl, 2013, “State Economic Data”, </w:t>
            </w:r>
            <w:hyperlink r:id="rId257">
              <w:r>
                <w:rPr>
                  <w:sz w:val="20"/>
                  <w:u w:val="single"/>
                </w:rPr>
                <w:t>https://doi.org/10.7910/DVN/KMWN7N</w:t>
              </w:r>
            </w:hyperlink>
            <w:r>
              <w:rPr>
                <w:sz w:val="20"/>
              </w:rPr>
              <w:t>, Harvard Dataverse, V1</w:t>
            </w:r>
          </w:p>
          <w:p w14:paraId="55AD02F8" w14:textId="77777777" w:rsidR="0046798B" w:rsidRDefault="0046798B">
            <w:pPr>
              <w:pStyle w:val="TableParagraph"/>
              <w:rPr>
                <w:sz w:val="20"/>
              </w:rPr>
            </w:pPr>
          </w:p>
          <w:p w14:paraId="6957B5FD" w14:textId="77777777" w:rsidR="0046798B" w:rsidRDefault="00903B5C">
            <w:pPr>
              <w:pStyle w:val="TableParagraph"/>
              <w:ind w:left="114"/>
              <w:rPr>
                <w:sz w:val="20"/>
              </w:rPr>
            </w:pPr>
            <w:r>
              <w:rPr>
                <w:sz w:val="20"/>
              </w:rPr>
              <w:t>STATA CODE:</w:t>
            </w:r>
          </w:p>
          <w:p w14:paraId="64ED9934" w14:textId="77777777" w:rsidR="0046798B" w:rsidRDefault="00903B5C">
            <w:pPr>
              <w:pStyle w:val="TableParagraph"/>
              <w:ind w:left="114"/>
              <w:rPr>
                <w:sz w:val="20"/>
              </w:rPr>
            </w:pPr>
            <w:r>
              <w:rPr>
                <w:sz w:val="20"/>
              </w:rPr>
              <w:t>gen taxes_gsp= (taxes/(gsp_q*1000))*100</w:t>
            </w:r>
          </w:p>
        </w:tc>
      </w:tr>
      <w:tr w:rsidR="0046798B" w14:paraId="134A594C" w14:textId="77777777">
        <w:trPr>
          <w:trHeight w:val="1010"/>
        </w:trPr>
        <w:tc>
          <w:tcPr>
            <w:tcW w:w="1711" w:type="dxa"/>
          </w:tcPr>
          <w:p w14:paraId="53AA73C6" w14:textId="77777777" w:rsidR="0046798B" w:rsidRDefault="0046798B">
            <w:pPr>
              <w:pStyle w:val="TableParagraph"/>
            </w:pPr>
          </w:p>
          <w:p w14:paraId="4D285AB4" w14:textId="77777777" w:rsidR="0046798B" w:rsidRDefault="00903B5C">
            <w:pPr>
              <w:pStyle w:val="TableParagraph"/>
              <w:spacing w:before="135"/>
              <w:ind w:left="115"/>
              <w:rPr>
                <w:b/>
                <w:sz w:val="20"/>
              </w:rPr>
            </w:pPr>
            <w:r>
              <w:rPr>
                <w:b/>
                <w:sz w:val="20"/>
              </w:rPr>
              <w:t>taxes_inc</w:t>
            </w:r>
          </w:p>
        </w:tc>
        <w:tc>
          <w:tcPr>
            <w:tcW w:w="1596" w:type="dxa"/>
          </w:tcPr>
          <w:p w14:paraId="202C9B30" w14:textId="77777777" w:rsidR="0046798B" w:rsidRDefault="00903B5C">
            <w:pPr>
              <w:pStyle w:val="TableParagraph"/>
              <w:spacing w:before="158"/>
              <w:ind w:left="114" w:right="229"/>
              <w:jc w:val="both"/>
              <w:rPr>
                <w:sz w:val="20"/>
              </w:rPr>
            </w:pPr>
            <w:r>
              <w:rPr>
                <w:sz w:val="20"/>
              </w:rPr>
              <w:t>Tax revenue as pct. of personal income</w:t>
            </w:r>
          </w:p>
        </w:tc>
        <w:tc>
          <w:tcPr>
            <w:tcW w:w="1285" w:type="dxa"/>
          </w:tcPr>
          <w:p w14:paraId="6A4A3436" w14:textId="77777777" w:rsidR="0046798B" w:rsidRDefault="0046798B">
            <w:pPr>
              <w:pStyle w:val="TableParagraph"/>
            </w:pPr>
          </w:p>
          <w:p w14:paraId="3BC1E92A" w14:textId="77777777" w:rsidR="0046798B" w:rsidRDefault="00903B5C">
            <w:pPr>
              <w:pStyle w:val="TableParagraph"/>
              <w:spacing w:before="135"/>
              <w:ind w:left="114"/>
              <w:rPr>
                <w:sz w:val="20"/>
              </w:rPr>
            </w:pPr>
            <w:r>
              <w:rPr>
                <w:sz w:val="20"/>
              </w:rPr>
              <w:t>1941–2009</w:t>
            </w:r>
          </w:p>
        </w:tc>
        <w:tc>
          <w:tcPr>
            <w:tcW w:w="3421" w:type="dxa"/>
          </w:tcPr>
          <w:p w14:paraId="191AB92A" w14:textId="77777777" w:rsidR="0046798B" w:rsidRDefault="0046798B">
            <w:pPr>
              <w:pStyle w:val="TableParagraph"/>
              <w:spacing w:before="9"/>
              <w:rPr>
                <w:sz w:val="23"/>
              </w:rPr>
            </w:pPr>
          </w:p>
          <w:p w14:paraId="313E4FFC" w14:textId="77777777" w:rsidR="0046798B" w:rsidRDefault="00903B5C">
            <w:pPr>
              <w:pStyle w:val="TableParagraph"/>
              <w:ind w:left="114" w:right="483"/>
              <w:rPr>
                <w:sz w:val="20"/>
              </w:rPr>
            </w:pPr>
            <w:r>
              <w:rPr>
                <w:sz w:val="20"/>
              </w:rPr>
              <w:t>Tax revenue as percent of personal income</w:t>
            </w:r>
          </w:p>
        </w:tc>
        <w:tc>
          <w:tcPr>
            <w:tcW w:w="6482" w:type="dxa"/>
          </w:tcPr>
          <w:p w14:paraId="3E8F3437" w14:textId="77777777" w:rsidR="0046798B" w:rsidRDefault="00903B5C">
            <w:pPr>
              <w:pStyle w:val="TableParagraph"/>
              <w:spacing w:before="43"/>
              <w:ind w:left="114" w:right="1111"/>
              <w:rPr>
                <w:sz w:val="20"/>
              </w:rPr>
            </w:pPr>
            <w:r>
              <w:rPr>
                <w:sz w:val="20"/>
              </w:rPr>
              <w:t xml:space="preserve">Klarner, Carl, 2013, “State Economic Data”, </w:t>
            </w:r>
            <w:hyperlink r:id="rId258">
              <w:r>
                <w:rPr>
                  <w:sz w:val="20"/>
                  <w:u w:val="single"/>
                </w:rPr>
                <w:t>https://doi.org/10.7910/DVN/KMWN7N</w:t>
              </w:r>
            </w:hyperlink>
            <w:r>
              <w:rPr>
                <w:sz w:val="20"/>
              </w:rPr>
              <w:t>, Harvard Dataverse, V1</w:t>
            </w:r>
          </w:p>
          <w:p w14:paraId="16D2E844" w14:textId="77777777" w:rsidR="0046798B" w:rsidRDefault="0046798B">
            <w:pPr>
              <w:pStyle w:val="TableParagraph"/>
              <w:rPr>
                <w:sz w:val="20"/>
              </w:rPr>
            </w:pPr>
          </w:p>
          <w:p w14:paraId="34253AB7" w14:textId="77777777" w:rsidR="0046798B" w:rsidRDefault="00903B5C">
            <w:pPr>
              <w:pStyle w:val="TableParagraph"/>
              <w:ind w:left="114"/>
              <w:rPr>
                <w:sz w:val="20"/>
              </w:rPr>
            </w:pPr>
            <w:r>
              <w:rPr>
                <w:sz w:val="20"/>
              </w:rPr>
              <w:t>STATA CODE: gen taxes_inc= (taxes/personal_income1000s_b)*100</w:t>
            </w:r>
          </w:p>
        </w:tc>
      </w:tr>
      <w:tr w:rsidR="0046798B" w14:paraId="7BD11C96" w14:textId="77777777">
        <w:trPr>
          <w:trHeight w:val="4226"/>
        </w:trPr>
        <w:tc>
          <w:tcPr>
            <w:tcW w:w="1711" w:type="dxa"/>
          </w:tcPr>
          <w:p w14:paraId="265071C8" w14:textId="77777777" w:rsidR="0046798B" w:rsidRDefault="0046798B">
            <w:pPr>
              <w:pStyle w:val="TableParagraph"/>
            </w:pPr>
          </w:p>
          <w:p w14:paraId="7729CFD5" w14:textId="77777777" w:rsidR="0046798B" w:rsidRDefault="0046798B">
            <w:pPr>
              <w:pStyle w:val="TableParagraph"/>
            </w:pPr>
          </w:p>
          <w:p w14:paraId="1A1717D7" w14:textId="77777777" w:rsidR="0046798B" w:rsidRDefault="0046798B">
            <w:pPr>
              <w:pStyle w:val="TableParagraph"/>
            </w:pPr>
          </w:p>
          <w:p w14:paraId="02FA5785" w14:textId="77777777" w:rsidR="0046798B" w:rsidRDefault="0046798B">
            <w:pPr>
              <w:pStyle w:val="TableParagraph"/>
            </w:pPr>
          </w:p>
          <w:p w14:paraId="58FC3692" w14:textId="77777777" w:rsidR="0046798B" w:rsidRDefault="0046798B">
            <w:pPr>
              <w:pStyle w:val="TableParagraph"/>
            </w:pPr>
          </w:p>
          <w:p w14:paraId="5EC67427" w14:textId="77777777" w:rsidR="0046798B" w:rsidRDefault="0046798B">
            <w:pPr>
              <w:pStyle w:val="TableParagraph"/>
            </w:pPr>
          </w:p>
          <w:p w14:paraId="7E62E956" w14:textId="77777777" w:rsidR="0046798B" w:rsidRDefault="0046798B">
            <w:pPr>
              <w:pStyle w:val="TableParagraph"/>
              <w:spacing w:before="4"/>
              <w:rPr>
                <w:sz w:val="31"/>
              </w:rPr>
            </w:pPr>
          </w:p>
          <w:p w14:paraId="339E7B09" w14:textId="77777777" w:rsidR="0046798B" w:rsidRDefault="00903B5C">
            <w:pPr>
              <w:pStyle w:val="TableParagraph"/>
              <w:spacing w:before="1"/>
              <w:ind w:left="115"/>
              <w:rPr>
                <w:b/>
                <w:sz w:val="20"/>
              </w:rPr>
            </w:pPr>
            <w:r>
              <w:rPr>
                <w:b/>
                <w:sz w:val="20"/>
              </w:rPr>
              <w:t>total_debt_outst anding</w:t>
            </w:r>
          </w:p>
        </w:tc>
        <w:tc>
          <w:tcPr>
            <w:tcW w:w="1596" w:type="dxa"/>
          </w:tcPr>
          <w:p w14:paraId="61E2C63C" w14:textId="77777777" w:rsidR="0046798B" w:rsidRDefault="0046798B">
            <w:pPr>
              <w:pStyle w:val="TableParagraph"/>
            </w:pPr>
          </w:p>
          <w:p w14:paraId="53DBCDF4" w14:textId="77777777" w:rsidR="0046798B" w:rsidRDefault="0046798B">
            <w:pPr>
              <w:pStyle w:val="TableParagraph"/>
            </w:pPr>
          </w:p>
          <w:p w14:paraId="3278E188" w14:textId="77777777" w:rsidR="0046798B" w:rsidRDefault="0046798B">
            <w:pPr>
              <w:pStyle w:val="TableParagraph"/>
            </w:pPr>
          </w:p>
          <w:p w14:paraId="6270FAB7" w14:textId="77777777" w:rsidR="0046798B" w:rsidRDefault="0046798B">
            <w:pPr>
              <w:pStyle w:val="TableParagraph"/>
            </w:pPr>
          </w:p>
          <w:p w14:paraId="234F364B" w14:textId="77777777" w:rsidR="0046798B" w:rsidRDefault="0046798B">
            <w:pPr>
              <w:pStyle w:val="TableParagraph"/>
            </w:pPr>
          </w:p>
          <w:p w14:paraId="30E29FBB" w14:textId="77777777" w:rsidR="0046798B" w:rsidRDefault="0046798B">
            <w:pPr>
              <w:pStyle w:val="TableParagraph"/>
            </w:pPr>
          </w:p>
          <w:p w14:paraId="0116A387" w14:textId="77777777" w:rsidR="0046798B" w:rsidRDefault="0046798B">
            <w:pPr>
              <w:pStyle w:val="TableParagraph"/>
              <w:spacing w:before="4"/>
              <w:rPr>
                <w:sz w:val="31"/>
              </w:rPr>
            </w:pPr>
          </w:p>
          <w:p w14:paraId="5C8C164F" w14:textId="77777777" w:rsidR="0046798B" w:rsidRDefault="00903B5C">
            <w:pPr>
              <w:pStyle w:val="TableParagraph"/>
              <w:spacing w:before="1"/>
              <w:ind w:left="114" w:right="219"/>
              <w:rPr>
                <w:sz w:val="20"/>
              </w:rPr>
            </w:pPr>
            <w:r>
              <w:rPr>
                <w:sz w:val="20"/>
              </w:rPr>
              <w:t>Total state debt outstanding</w:t>
            </w:r>
          </w:p>
        </w:tc>
        <w:tc>
          <w:tcPr>
            <w:tcW w:w="1285" w:type="dxa"/>
          </w:tcPr>
          <w:p w14:paraId="0540AB3F" w14:textId="77777777" w:rsidR="0046798B" w:rsidRDefault="0046798B">
            <w:pPr>
              <w:pStyle w:val="TableParagraph"/>
            </w:pPr>
          </w:p>
          <w:p w14:paraId="1CF646F6" w14:textId="77777777" w:rsidR="0046798B" w:rsidRDefault="0046798B">
            <w:pPr>
              <w:pStyle w:val="TableParagraph"/>
            </w:pPr>
          </w:p>
          <w:p w14:paraId="2F0D1240" w14:textId="77777777" w:rsidR="0046798B" w:rsidRDefault="0046798B">
            <w:pPr>
              <w:pStyle w:val="TableParagraph"/>
            </w:pPr>
          </w:p>
          <w:p w14:paraId="2381F4A6" w14:textId="77777777" w:rsidR="0046798B" w:rsidRDefault="0046798B">
            <w:pPr>
              <w:pStyle w:val="TableParagraph"/>
            </w:pPr>
          </w:p>
          <w:p w14:paraId="4B933E26" w14:textId="77777777" w:rsidR="0046798B" w:rsidRDefault="0046798B">
            <w:pPr>
              <w:pStyle w:val="TableParagraph"/>
            </w:pPr>
          </w:p>
          <w:p w14:paraId="6AC41A55" w14:textId="77777777" w:rsidR="0046798B" w:rsidRDefault="0046798B">
            <w:pPr>
              <w:pStyle w:val="TableParagraph"/>
            </w:pPr>
          </w:p>
          <w:p w14:paraId="0033299E" w14:textId="77777777" w:rsidR="0046798B" w:rsidRDefault="0046798B">
            <w:pPr>
              <w:pStyle w:val="TableParagraph"/>
            </w:pPr>
          </w:p>
          <w:p w14:paraId="45D033BE" w14:textId="77777777" w:rsidR="0046798B" w:rsidRDefault="0046798B">
            <w:pPr>
              <w:pStyle w:val="TableParagraph"/>
              <w:spacing w:before="5"/>
              <w:rPr>
                <w:sz w:val="19"/>
              </w:rPr>
            </w:pPr>
          </w:p>
          <w:p w14:paraId="5F5DD358" w14:textId="3E5FEB04" w:rsidR="0046798B" w:rsidRDefault="00903B5C">
            <w:pPr>
              <w:pStyle w:val="TableParagraph"/>
              <w:ind w:left="114"/>
              <w:rPr>
                <w:sz w:val="20"/>
              </w:rPr>
            </w:pPr>
            <w:r>
              <w:rPr>
                <w:sz w:val="20"/>
              </w:rPr>
              <w:t>1942–201</w:t>
            </w:r>
            <w:r w:rsidR="00855B7D">
              <w:rPr>
                <w:sz w:val="20"/>
              </w:rPr>
              <w:t>9</w:t>
            </w:r>
          </w:p>
        </w:tc>
        <w:tc>
          <w:tcPr>
            <w:tcW w:w="3421" w:type="dxa"/>
          </w:tcPr>
          <w:p w14:paraId="2D81BE99" w14:textId="77777777" w:rsidR="0046798B" w:rsidRDefault="0046798B">
            <w:pPr>
              <w:pStyle w:val="TableParagraph"/>
            </w:pPr>
          </w:p>
          <w:p w14:paraId="6579AF13" w14:textId="77777777" w:rsidR="0046798B" w:rsidRDefault="0046798B">
            <w:pPr>
              <w:pStyle w:val="TableParagraph"/>
            </w:pPr>
          </w:p>
          <w:p w14:paraId="083E4E49" w14:textId="77777777" w:rsidR="0046798B" w:rsidRDefault="0046798B">
            <w:pPr>
              <w:pStyle w:val="TableParagraph"/>
            </w:pPr>
          </w:p>
          <w:p w14:paraId="594E0CF3" w14:textId="77777777" w:rsidR="0046798B" w:rsidRDefault="0046798B">
            <w:pPr>
              <w:pStyle w:val="TableParagraph"/>
            </w:pPr>
          </w:p>
          <w:p w14:paraId="2253BC97" w14:textId="77777777" w:rsidR="0046798B" w:rsidRDefault="0046798B">
            <w:pPr>
              <w:pStyle w:val="TableParagraph"/>
            </w:pPr>
          </w:p>
          <w:p w14:paraId="0176BF6E" w14:textId="77777777" w:rsidR="0046798B" w:rsidRDefault="0046798B">
            <w:pPr>
              <w:pStyle w:val="TableParagraph"/>
            </w:pPr>
          </w:p>
          <w:p w14:paraId="439A98E1" w14:textId="77777777" w:rsidR="0046798B" w:rsidRDefault="0046798B">
            <w:pPr>
              <w:pStyle w:val="TableParagraph"/>
              <w:spacing w:before="4"/>
              <w:rPr>
                <w:sz w:val="21"/>
              </w:rPr>
            </w:pPr>
          </w:p>
          <w:p w14:paraId="1CE7D93E" w14:textId="77777777" w:rsidR="0046798B" w:rsidRDefault="00903B5C">
            <w:pPr>
              <w:pStyle w:val="TableParagraph"/>
              <w:spacing w:before="1"/>
              <w:ind w:left="114" w:right="222"/>
              <w:rPr>
                <w:sz w:val="20"/>
              </w:rPr>
            </w:pPr>
            <w:r>
              <w:rPr>
                <w:sz w:val="20"/>
              </w:rPr>
              <w:t>Total state debt outstanding. All state government finance data are in 1,000s of current dollars.</w:t>
            </w:r>
          </w:p>
        </w:tc>
        <w:tc>
          <w:tcPr>
            <w:tcW w:w="6482" w:type="dxa"/>
          </w:tcPr>
          <w:p w14:paraId="0585D4E0" w14:textId="77777777" w:rsidR="0046798B" w:rsidRDefault="00903B5C">
            <w:pPr>
              <w:pStyle w:val="TableParagraph"/>
              <w:spacing w:before="38"/>
              <w:ind w:left="114" w:right="1111"/>
              <w:rPr>
                <w:sz w:val="20"/>
              </w:rPr>
            </w:pPr>
            <w:r>
              <w:rPr>
                <w:sz w:val="20"/>
              </w:rPr>
              <w:t xml:space="preserve">Klarner, Carl, 2013, “State Economic Data”, </w:t>
            </w:r>
            <w:hyperlink r:id="rId259">
              <w:r>
                <w:rPr>
                  <w:sz w:val="20"/>
                  <w:u w:val="single"/>
                </w:rPr>
                <w:t>https://doi.org/10.7910/DVN/KMWN7N</w:t>
              </w:r>
            </w:hyperlink>
            <w:r>
              <w:rPr>
                <w:sz w:val="20"/>
              </w:rPr>
              <w:t>, Harvard Dataverse, V1</w:t>
            </w:r>
          </w:p>
          <w:p w14:paraId="7A44556F" w14:textId="77777777" w:rsidR="0046798B" w:rsidRDefault="0046798B">
            <w:pPr>
              <w:pStyle w:val="TableParagraph"/>
              <w:rPr>
                <w:sz w:val="20"/>
              </w:rPr>
            </w:pPr>
          </w:p>
          <w:p w14:paraId="2A8E8F24" w14:textId="77777777" w:rsidR="0046798B" w:rsidRDefault="00903B5C">
            <w:pPr>
              <w:pStyle w:val="TableParagraph"/>
              <w:spacing w:before="1"/>
              <w:ind w:left="114"/>
              <w:rPr>
                <w:sz w:val="20"/>
              </w:rPr>
            </w:pPr>
            <w:r>
              <w:rPr>
                <w:sz w:val="20"/>
              </w:rPr>
              <w:t xml:space="preserve">Source: Figures exactly as they appear in the Census database file State_Govt_Finances for 1942 – 2006. For 2007 – 2010: </w:t>
            </w:r>
            <w:hyperlink r:id="rId260">
              <w:r>
                <w:rPr>
                  <w:sz w:val="20"/>
                  <w:u w:val="single"/>
                </w:rPr>
                <w:t>http://www.census.gov/govs/state/</w:t>
              </w:r>
            </w:hyperlink>
          </w:p>
          <w:p w14:paraId="3A162FD2" w14:textId="77777777" w:rsidR="0046798B" w:rsidRDefault="0046798B">
            <w:pPr>
              <w:pStyle w:val="TableParagraph"/>
              <w:rPr>
                <w:sz w:val="20"/>
              </w:rPr>
            </w:pPr>
          </w:p>
          <w:p w14:paraId="003559AB" w14:textId="77777777" w:rsidR="0046798B" w:rsidRDefault="00903B5C">
            <w:pPr>
              <w:pStyle w:val="TableParagraph"/>
              <w:ind w:left="114"/>
              <w:rPr>
                <w:sz w:val="20"/>
              </w:rPr>
            </w:pPr>
            <w:r>
              <w:rPr>
                <w:sz w:val="20"/>
              </w:rPr>
              <w:t xml:space="preserve">For 2012–2016: United States Census Bureau: </w:t>
            </w:r>
            <w:hyperlink r:id="rId261">
              <w:r>
                <w:rPr>
                  <w:color w:val="0462C1"/>
                  <w:sz w:val="20"/>
                  <w:u w:val="single" w:color="0462C1"/>
                </w:rPr>
                <w:t>https://factfinder.census.gov/faces/nav/jsf/pages/programs.xhtml?program=as</w:t>
              </w:r>
            </w:hyperlink>
            <w:r>
              <w:rPr>
                <w:color w:val="0462C1"/>
                <w:sz w:val="20"/>
              </w:rPr>
              <w:t xml:space="preserve"> </w:t>
            </w:r>
            <w:hyperlink r:id="rId262">
              <w:r>
                <w:rPr>
                  <w:color w:val="0462C1"/>
                  <w:sz w:val="20"/>
                  <w:u w:val="single" w:color="0462C1"/>
                </w:rPr>
                <w:t>gov</w:t>
              </w:r>
            </w:hyperlink>
          </w:p>
          <w:p w14:paraId="19BDA873" w14:textId="77777777" w:rsidR="0046798B" w:rsidRDefault="0046798B">
            <w:pPr>
              <w:pStyle w:val="TableParagraph"/>
              <w:rPr>
                <w:sz w:val="20"/>
              </w:rPr>
            </w:pPr>
          </w:p>
          <w:p w14:paraId="1BF40784" w14:textId="77777777" w:rsidR="0046798B" w:rsidRDefault="00903B5C">
            <w:pPr>
              <w:pStyle w:val="TableParagraph"/>
              <w:ind w:left="114" w:right="132"/>
              <w:rPr>
                <w:sz w:val="20"/>
              </w:rPr>
            </w:pPr>
            <w:r>
              <w:rPr>
                <w:sz w:val="20"/>
              </w:rPr>
              <w:t>Note for data put into quarters 1, 2, 3 and 4: although these data were put into quarters, they were not divided by 4. There are always four cases that have the same exact numbers. These sets of four are within the same state fiscal year. Note for data put into quarter 2.5: data for the fiscal year that matches the year of the case is put into 2.5. For example, Indiana’s FY1986 (which goes from July 1st 1985, to June 30th, 1986) is put into 1986q2.5.</w:t>
            </w:r>
          </w:p>
        </w:tc>
      </w:tr>
    </w:tbl>
    <w:p w14:paraId="20429D68" w14:textId="77777777" w:rsidR="0046798B" w:rsidRDefault="0046798B">
      <w:pPr>
        <w:rPr>
          <w:sz w:val="20"/>
        </w:rPr>
        <w:sectPr w:rsidR="0046798B">
          <w:pgSz w:w="15840" w:h="12240" w:orient="landscape"/>
          <w:pgMar w:top="1220" w:right="300" w:bottom="980" w:left="820" w:header="730" w:footer="787" w:gutter="0"/>
          <w:cols w:space="720"/>
        </w:sectPr>
      </w:pPr>
    </w:p>
    <w:p w14:paraId="369D5C73"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0B58A592" w14:textId="77777777">
        <w:trPr>
          <w:trHeight w:val="775"/>
        </w:trPr>
        <w:tc>
          <w:tcPr>
            <w:tcW w:w="1711" w:type="dxa"/>
          </w:tcPr>
          <w:p w14:paraId="4DF06E0F" w14:textId="77777777" w:rsidR="0046798B" w:rsidRDefault="0046798B">
            <w:pPr>
              <w:pStyle w:val="TableParagraph"/>
              <w:rPr>
                <w:sz w:val="20"/>
              </w:rPr>
            </w:pPr>
          </w:p>
        </w:tc>
        <w:tc>
          <w:tcPr>
            <w:tcW w:w="1596" w:type="dxa"/>
          </w:tcPr>
          <w:p w14:paraId="1BBB1DD4" w14:textId="77777777" w:rsidR="0046798B" w:rsidRDefault="0046798B">
            <w:pPr>
              <w:pStyle w:val="TableParagraph"/>
              <w:rPr>
                <w:sz w:val="20"/>
              </w:rPr>
            </w:pPr>
          </w:p>
        </w:tc>
        <w:tc>
          <w:tcPr>
            <w:tcW w:w="1285" w:type="dxa"/>
          </w:tcPr>
          <w:p w14:paraId="74740276" w14:textId="77777777" w:rsidR="0046798B" w:rsidRDefault="0046798B">
            <w:pPr>
              <w:pStyle w:val="TableParagraph"/>
              <w:rPr>
                <w:sz w:val="20"/>
              </w:rPr>
            </w:pPr>
          </w:p>
        </w:tc>
        <w:tc>
          <w:tcPr>
            <w:tcW w:w="3421" w:type="dxa"/>
          </w:tcPr>
          <w:p w14:paraId="218F6EC4" w14:textId="77777777" w:rsidR="0046798B" w:rsidRDefault="0046798B">
            <w:pPr>
              <w:pStyle w:val="TableParagraph"/>
              <w:rPr>
                <w:sz w:val="20"/>
              </w:rPr>
            </w:pPr>
          </w:p>
        </w:tc>
        <w:tc>
          <w:tcPr>
            <w:tcW w:w="6482" w:type="dxa"/>
          </w:tcPr>
          <w:p w14:paraId="16991F76" w14:textId="77777777" w:rsidR="0046798B" w:rsidRDefault="00903B5C">
            <w:pPr>
              <w:pStyle w:val="TableParagraph"/>
              <w:spacing w:before="43"/>
              <w:ind w:left="114"/>
              <w:rPr>
                <w:sz w:val="20"/>
              </w:rPr>
            </w:pPr>
            <w:r>
              <w:rPr>
                <w:sz w:val="20"/>
              </w:rPr>
              <w:t xml:space="preserve">United States Census Bureau: </w:t>
            </w:r>
            <w:hyperlink r:id="rId263">
              <w:r>
                <w:rPr>
                  <w:color w:val="0462C1"/>
                  <w:sz w:val="20"/>
                  <w:u w:val="single" w:color="0462C1"/>
                </w:rPr>
                <w:t>https://factfinder.census.gov/faces/nav/jsf/pages/programs.xhtml?program=as</w:t>
              </w:r>
            </w:hyperlink>
            <w:r>
              <w:rPr>
                <w:color w:val="0462C1"/>
                <w:sz w:val="20"/>
              </w:rPr>
              <w:t xml:space="preserve"> </w:t>
            </w:r>
            <w:hyperlink r:id="rId264">
              <w:r>
                <w:rPr>
                  <w:color w:val="0462C1"/>
                  <w:sz w:val="20"/>
                  <w:u w:val="single" w:color="0462C1"/>
                </w:rPr>
                <w:t>gov</w:t>
              </w:r>
            </w:hyperlink>
          </w:p>
        </w:tc>
      </w:tr>
      <w:tr w:rsidR="0046798B" w14:paraId="331AC066" w14:textId="77777777">
        <w:trPr>
          <w:trHeight w:val="1235"/>
        </w:trPr>
        <w:tc>
          <w:tcPr>
            <w:tcW w:w="1711" w:type="dxa"/>
          </w:tcPr>
          <w:p w14:paraId="62D49240" w14:textId="77777777" w:rsidR="0046798B" w:rsidRDefault="0046798B">
            <w:pPr>
              <w:pStyle w:val="TableParagraph"/>
            </w:pPr>
          </w:p>
          <w:p w14:paraId="0FFB94A5" w14:textId="77777777" w:rsidR="0046798B" w:rsidRDefault="00903B5C">
            <w:pPr>
              <w:pStyle w:val="TableParagraph"/>
              <w:spacing w:before="135"/>
              <w:ind w:left="115"/>
              <w:rPr>
                <w:b/>
                <w:sz w:val="20"/>
              </w:rPr>
            </w:pPr>
            <w:r>
              <w:rPr>
                <w:b/>
                <w:sz w:val="20"/>
              </w:rPr>
              <w:t>total_debt_outst anding_gsp</w:t>
            </w:r>
          </w:p>
        </w:tc>
        <w:tc>
          <w:tcPr>
            <w:tcW w:w="1596" w:type="dxa"/>
          </w:tcPr>
          <w:p w14:paraId="418226ED" w14:textId="77777777" w:rsidR="0046798B" w:rsidRDefault="0046798B">
            <w:pPr>
              <w:pStyle w:val="TableParagraph"/>
              <w:spacing w:before="8"/>
              <w:rPr>
                <w:sz w:val="23"/>
              </w:rPr>
            </w:pPr>
          </w:p>
          <w:p w14:paraId="391C39A6" w14:textId="77777777" w:rsidR="0046798B" w:rsidRDefault="00903B5C">
            <w:pPr>
              <w:pStyle w:val="TableParagraph"/>
              <w:spacing w:before="1"/>
              <w:ind w:left="114" w:right="302"/>
              <w:rPr>
                <w:sz w:val="20"/>
              </w:rPr>
            </w:pPr>
            <w:r>
              <w:rPr>
                <w:sz w:val="20"/>
              </w:rPr>
              <w:t>Total debt outstanding as pct. of GSP</w:t>
            </w:r>
          </w:p>
        </w:tc>
        <w:tc>
          <w:tcPr>
            <w:tcW w:w="1285" w:type="dxa"/>
          </w:tcPr>
          <w:p w14:paraId="0ADC7032" w14:textId="77777777" w:rsidR="0046798B" w:rsidRDefault="0046798B">
            <w:pPr>
              <w:pStyle w:val="TableParagraph"/>
            </w:pPr>
          </w:p>
          <w:p w14:paraId="45C8EE4D" w14:textId="77777777" w:rsidR="0046798B" w:rsidRDefault="0046798B">
            <w:pPr>
              <w:pStyle w:val="TableParagraph"/>
              <w:spacing w:before="8"/>
              <w:rPr>
                <w:sz w:val="21"/>
              </w:rPr>
            </w:pPr>
          </w:p>
          <w:p w14:paraId="486AEC65" w14:textId="77777777" w:rsidR="0046798B" w:rsidRDefault="00903B5C">
            <w:pPr>
              <w:pStyle w:val="TableParagraph"/>
              <w:spacing w:before="1"/>
              <w:ind w:left="114"/>
              <w:rPr>
                <w:sz w:val="20"/>
              </w:rPr>
            </w:pPr>
            <w:r>
              <w:rPr>
                <w:sz w:val="20"/>
              </w:rPr>
              <w:t>1942–2016</w:t>
            </w:r>
          </w:p>
        </w:tc>
        <w:tc>
          <w:tcPr>
            <w:tcW w:w="3421" w:type="dxa"/>
          </w:tcPr>
          <w:p w14:paraId="48FBB229" w14:textId="77777777" w:rsidR="0046798B" w:rsidRDefault="0046798B">
            <w:pPr>
              <w:pStyle w:val="TableParagraph"/>
            </w:pPr>
          </w:p>
          <w:p w14:paraId="7AEEB611" w14:textId="77777777" w:rsidR="0046798B" w:rsidRDefault="00903B5C">
            <w:pPr>
              <w:pStyle w:val="TableParagraph"/>
              <w:spacing w:before="135"/>
              <w:ind w:left="114" w:right="266"/>
              <w:rPr>
                <w:sz w:val="20"/>
              </w:rPr>
            </w:pPr>
            <w:r>
              <w:rPr>
                <w:sz w:val="20"/>
              </w:rPr>
              <w:t>Total debt outstanding as a percent of gross state product.</w:t>
            </w:r>
          </w:p>
        </w:tc>
        <w:tc>
          <w:tcPr>
            <w:tcW w:w="6482" w:type="dxa"/>
          </w:tcPr>
          <w:p w14:paraId="32CBAEF3" w14:textId="77777777" w:rsidR="0046798B" w:rsidRDefault="00903B5C">
            <w:pPr>
              <w:pStyle w:val="TableParagraph"/>
              <w:spacing w:before="43"/>
              <w:ind w:left="114" w:right="1111"/>
              <w:rPr>
                <w:sz w:val="20"/>
              </w:rPr>
            </w:pPr>
            <w:r>
              <w:rPr>
                <w:sz w:val="20"/>
              </w:rPr>
              <w:t xml:space="preserve">Klarner, Carl, 2013, “State Economic Data”, </w:t>
            </w:r>
            <w:hyperlink r:id="rId265">
              <w:r>
                <w:rPr>
                  <w:sz w:val="20"/>
                  <w:u w:val="single"/>
                </w:rPr>
                <w:t>https://doi.org/10.7910/DVN/KMWN7N</w:t>
              </w:r>
            </w:hyperlink>
            <w:r>
              <w:rPr>
                <w:sz w:val="20"/>
              </w:rPr>
              <w:t>, Harvard Dataverse, V1</w:t>
            </w:r>
          </w:p>
          <w:p w14:paraId="4B037505" w14:textId="77777777" w:rsidR="0046798B" w:rsidRDefault="0046798B">
            <w:pPr>
              <w:pStyle w:val="TableParagraph"/>
              <w:rPr>
                <w:sz w:val="20"/>
              </w:rPr>
            </w:pPr>
          </w:p>
          <w:p w14:paraId="5EAD2B5D" w14:textId="77777777" w:rsidR="0046798B" w:rsidRDefault="00903B5C">
            <w:pPr>
              <w:pStyle w:val="TableParagraph"/>
              <w:spacing w:before="1"/>
              <w:ind w:left="114"/>
              <w:rPr>
                <w:sz w:val="20"/>
              </w:rPr>
            </w:pPr>
            <w:r>
              <w:rPr>
                <w:sz w:val="20"/>
              </w:rPr>
              <w:t>STATA CODE:</w:t>
            </w:r>
          </w:p>
          <w:p w14:paraId="346573DD" w14:textId="77777777" w:rsidR="0046798B" w:rsidRDefault="00903B5C">
            <w:pPr>
              <w:pStyle w:val="TableParagraph"/>
              <w:ind w:left="114"/>
              <w:rPr>
                <w:sz w:val="20"/>
              </w:rPr>
            </w:pPr>
            <w:r>
              <w:rPr>
                <w:sz w:val="20"/>
              </w:rPr>
              <w:t>gen total_debt_outstanding_gsp= (total_debt_outstanding/(gsp_q*1000))*100</w:t>
            </w:r>
          </w:p>
        </w:tc>
      </w:tr>
      <w:tr w:rsidR="0046798B" w14:paraId="71BA82F7" w14:textId="77777777">
        <w:trPr>
          <w:trHeight w:val="1240"/>
        </w:trPr>
        <w:tc>
          <w:tcPr>
            <w:tcW w:w="1711" w:type="dxa"/>
          </w:tcPr>
          <w:p w14:paraId="2453DE1A" w14:textId="77777777" w:rsidR="0046798B" w:rsidRDefault="0046798B">
            <w:pPr>
              <w:pStyle w:val="TableParagraph"/>
            </w:pPr>
          </w:p>
          <w:p w14:paraId="407C4524" w14:textId="77777777" w:rsidR="0046798B" w:rsidRDefault="00903B5C">
            <w:pPr>
              <w:pStyle w:val="TableParagraph"/>
              <w:spacing w:before="135"/>
              <w:ind w:left="115"/>
              <w:rPr>
                <w:b/>
                <w:sz w:val="20"/>
              </w:rPr>
            </w:pPr>
            <w:r>
              <w:rPr>
                <w:b/>
                <w:sz w:val="20"/>
              </w:rPr>
              <w:t>total_debt_outst anding_inc</w:t>
            </w:r>
          </w:p>
        </w:tc>
        <w:tc>
          <w:tcPr>
            <w:tcW w:w="1596" w:type="dxa"/>
          </w:tcPr>
          <w:p w14:paraId="7A754AAB" w14:textId="77777777" w:rsidR="0046798B" w:rsidRDefault="00903B5C">
            <w:pPr>
              <w:pStyle w:val="TableParagraph"/>
              <w:spacing w:before="158"/>
              <w:ind w:left="114" w:right="213"/>
              <w:rPr>
                <w:sz w:val="20"/>
              </w:rPr>
            </w:pPr>
            <w:r>
              <w:rPr>
                <w:sz w:val="20"/>
              </w:rPr>
              <w:t>Total debt outstanding as pct. of personal income</w:t>
            </w:r>
          </w:p>
        </w:tc>
        <w:tc>
          <w:tcPr>
            <w:tcW w:w="1285" w:type="dxa"/>
          </w:tcPr>
          <w:p w14:paraId="00BE851A" w14:textId="77777777" w:rsidR="0046798B" w:rsidRDefault="0046798B">
            <w:pPr>
              <w:pStyle w:val="TableParagraph"/>
            </w:pPr>
          </w:p>
          <w:p w14:paraId="2804D70A" w14:textId="77777777" w:rsidR="0046798B" w:rsidRDefault="0046798B">
            <w:pPr>
              <w:pStyle w:val="TableParagraph"/>
              <w:spacing w:before="8"/>
              <w:rPr>
                <w:sz w:val="21"/>
              </w:rPr>
            </w:pPr>
          </w:p>
          <w:p w14:paraId="5CBA74FF" w14:textId="77777777" w:rsidR="0046798B" w:rsidRDefault="00903B5C">
            <w:pPr>
              <w:pStyle w:val="TableParagraph"/>
              <w:spacing w:before="1"/>
              <w:ind w:left="114"/>
              <w:rPr>
                <w:sz w:val="20"/>
              </w:rPr>
            </w:pPr>
            <w:r>
              <w:rPr>
                <w:sz w:val="20"/>
              </w:rPr>
              <w:t>1941–2009</w:t>
            </w:r>
          </w:p>
        </w:tc>
        <w:tc>
          <w:tcPr>
            <w:tcW w:w="3421" w:type="dxa"/>
          </w:tcPr>
          <w:p w14:paraId="78274239" w14:textId="77777777" w:rsidR="0046798B" w:rsidRDefault="0046798B">
            <w:pPr>
              <w:pStyle w:val="TableParagraph"/>
            </w:pPr>
          </w:p>
          <w:p w14:paraId="1524764D" w14:textId="77777777" w:rsidR="0046798B" w:rsidRDefault="00903B5C">
            <w:pPr>
              <w:pStyle w:val="TableParagraph"/>
              <w:spacing w:before="135"/>
              <w:ind w:left="114" w:right="266"/>
              <w:rPr>
                <w:sz w:val="20"/>
              </w:rPr>
            </w:pPr>
            <w:r>
              <w:rPr>
                <w:sz w:val="20"/>
              </w:rPr>
              <w:t>Total debt outstanding as a percent of personal income.</w:t>
            </w:r>
          </w:p>
        </w:tc>
        <w:tc>
          <w:tcPr>
            <w:tcW w:w="6482" w:type="dxa"/>
          </w:tcPr>
          <w:p w14:paraId="32DB2989" w14:textId="77777777" w:rsidR="0046798B" w:rsidRDefault="00903B5C">
            <w:pPr>
              <w:pStyle w:val="TableParagraph"/>
              <w:spacing w:before="43"/>
              <w:ind w:left="114" w:right="1111"/>
              <w:rPr>
                <w:sz w:val="20"/>
              </w:rPr>
            </w:pPr>
            <w:r>
              <w:rPr>
                <w:sz w:val="20"/>
              </w:rPr>
              <w:t xml:space="preserve">Klarner, Carl, 2013, “State Economic Data”, </w:t>
            </w:r>
            <w:hyperlink r:id="rId266">
              <w:r>
                <w:rPr>
                  <w:sz w:val="20"/>
                  <w:u w:val="single"/>
                </w:rPr>
                <w:t>https://doi.org/10.7910/DVN/KMWN7N</w:t>
              </w:r>
            </w:hyperlink>
            <w:r>
              <w:rPr>
                <w:sz w:val="20"/>
              </w:rPr>
              <w:t>, Harvard Dataverse, V1</w:t>
            </w:r>
          </w:p>
          <w:p w14:paraId="1CD54423" w14:textId="77777777" w:rsidR="0046798B" w:rsidRDefault="0046798B">
            <w:pPr>
              <w:pStyle w:val="TableParagraph"/>
              <w:rPr>
                <w:sz w:val="20"/>
              </w:rPr>
            </w:pPr>
          </w:p>
          <w:p w14:paraId="3CA3C49D" w14:textId="77777777" w:rsidR="0046798B" w:rsidRDefault="00903B5C">
            <w:pPr>
              <w:pStyle w:val="TableParagraph"/>
              <w:ind w:left="114" w:right="1872"/>
              <w:rPr>
                <w:sz w:val="20"/>
              </w:rPr>
            </w:pPr>
            <w:r>
              <w:rPr>
                <w:sz w:val="20"/>
              </w:rPr>
              <w:t>STATA CODE: gen total_debt_outstanding_inc= (total_debt_outstanding/personal_income1000s_b)*100</w:t>
            </w:r>
          </w:p>
        </w:tc>
      </w:tr>
      <w:tr w:rsidR="0046798B" w14:paraId="5F65F6C4" w14:textId="77777777">
        <w:trPr>
          <w:trHeight w:val="3996"/>
        </w:trPr>
        <w:tc>
          <w:tcPr>
            <w:tcW w:w="1711" w:type="dxa"/>
          </w:tcPr>
          <w:p w14:paraId="1B3F25F5" w14:textId="77777777" w:rsidR="0046798B" w:rsidRDefault="0046798B">
            <w:pPr>
              <w:pStyle w:val="TableParagraph"/>
            </w:pPr>
          </w:p>
          <w:p w14:paraId="609FF4F4" w14:textId="77777777" w:rsidR="0046798B" w:rsidRDefault="0046798B">
            <w:pPr>
              <w:pStyle w:val="TableParagraph"/>
            </w:pPr>
          </w:p>
          <w:p w14:paraId="73852362" w14:textId="77777777" w:rsidR="0046798B" w:rsidRDefault="0046798B">
            <w:pPr>
              <w:pStyle w:val="TableParagraph"/>
            </w:pPr>
          </w:p>
          <w:p w14:paraId="55AB5246" w14:textId="77777777" w:rsidR="0046798B" w:rsidRDefault="0046798B">
            <w:pPr>
              <w:pStyle w:val="TableParagraph"/>
            </w:pPr>
          </w:p>
          <w:p w14:paraId="28802205" w14:textId="77777777" w:rsidR="0046798B" w:rsidRDefault="0046798B">
            <w:pPr>
              <w:pStyle w:val="TableParagraph"/>
            </w:pPr>
          </w:p>
          <w:p w14:paraId="56A5E472" w14:textId="77777777" w:rsidR="0046798B" w:rsidRDefault="0046798B">
            <w:pPr>
              <w:pStyle w:val="TableParagraph"/>
            </w:pPr>
          </w:p>
          <w:p w14:paraId="3539BFF5" w14:textId="77777777" w:rsidR="0046798B" w:rsidRDefault="0046798B">
            <w:pPr>
              <w:pStyle w:val="TableParagraph"/>
              <w:spacing w:before="4"/>
              <w:rPr>
                <w:sz w:val="21"/>
              </w:rPr>
            </w:pPr>
          </w:p>
          <w:p w14:paraId="0385EBFB" w14:textId="77777777" w:rsidR="0046798B" w:rsidRDefault="00903B5C">
            <w:pPr>
              <w:pStyle w:val="TableParagraph"/>
              <w:ind w:left="115" w:right="121"/>
              <w:rPr>
                <w:b/>
                <w:sz w:val="20"/>
              </w:rPr>
            </w:pPr>
            <w:r>
              <w:rPr>
                <w:b/>
                <w:sz w:val="20"/>
              </w:rPr>
              <w:t>total_expenditur e</w:t>
            </w:r>
          </w:p>
        </w:tc>
        <w:tc>
          <w:tcPr>
            <w:tcW w:w="1596" w:type="dxa"/>
          </w:tcPr>
          <w:p w14:paraId="43BAA4B8" w14:textId="77777777" w:rsidR="0046798B" w:rsidRDefault="0046798B">
            <w:pPr>
              <w:pStyle w:val="TableParagraph"/>
            </w:pPr>
          </w:p>
          <w:p w14:paraId="6A4E0AF2" w14:textId="77777777" w:rsidR="0046798B" w:rsidRDefault="0046798B">
            <w:pPr>
              <w:pStyle w:val="TableParagraph"/>
            </w:pPr>
          </w:p>
          <w:p w14:paraId="4F06D987" w14:textId="77777777" w:rsidR="0046798B" w:rsidRDefault="0046798B">
            <w:pPr>
              <w:pStyle w:val="TableParagraph"/>
            </w:pPr>
          </w:p>
          <w:p w14:paraId="54D3F44C" w14:textId="77777777" w:rsidR="0046798B" w:rsidRDefault="0046798B">
            <w:pPr>
              <w:pStyle w:val="TableParagraph"/>
            </w:pPr>
          </w:p>
          <w:p w14:paraId="624FE2CC" w14:textId="77777777" w:rsidR="0046798B" w:rsidRDefault="0046798B">
            <w:pPr>
              <w:pStyle w:val="TableParagraph"/>
            </w:pPr>
          </w:p>
          <w:p w14:paraId="2DBC881F" w14:textId="77777777" w:rsidR="0046798B" w:rsidRDefault="0046798B">
            <w:pPr>
              <w:pStyle w:val="TableParagraph"/>
            </w:pPr>
          </w:p>
          <w:p w14:paraId="34BEE933" w14:textId="77777777" w:rsidR="0046798B" w:rsidRDefault="0046798B">
            <w:pPr>
              <w:pStyle w:val="TableParagraph"/>
              <w:spacing w:before="4"/>
              <w:rPr>
                <w:sz w:val="21"/>
              </w:rPr>
            </w:pPr>
          </w:p>
          <w:p w14:paraId="1B051E80" w14:textId="77777777" w:rsidR="0046798B" w:rsidRDefault="00903B5C">
            <w:pPr>
              <w:pStyle w:val="TableParagraph"/>
              <w:ind w:left="114" w:right="430"/>
              <w:rPr>
                <w:sz w:val="20"/>
              </w:rPr>
            </w:pPr>
            <w:r>
              <w:rPr>
                <w:sz w:val="20"/>
              </w:rPr>
              <w:t>Total state expenditures</w:t>
            </w:r>
          </w:p>
        </w:tc>
        <w:tc>
          <w:tcPr>
            <w:tcW w:w="1285" w:type="dxa"/>
          </w:tcPr>
          <w:p w14:paraId="2E6FC73A" w14:textId="77777777" w:rsidR="0046798B" w:rsidRDefault="0046798B">
            <w:pPr>
              <w:pStyle w:val="TableParagraph"/>
            </w:pPr>
          </w:p>
          <w:p w14:paraId="113AD4CA" w14:textId="77777777" w:rsidR="0046798B" w:rsidRDefault="0046798B">
            <w:pPr>
              <w:pStyle w:val="TableParagraph"/>
            </w:pPr>
          </w:p>
          <w:p w14:paraId="1901FF42" w14:textId="77777777" w:rsidR="0046798B" w:rsidRDefault="0046798B">
            <w:pPr>
              <w:pStyle w:val="TableParagraph"/>
            </w:pPr>
          </w:p>
          <w:p w14:paraId="7CAA5174" w14:textId="77777777" w:rsidR="0046798B" w:rsidRDefault="0046798B">
            <w:pPr>
              <w:pStyle w:val="TableParagraph"/>
            </w:pPr>
          </w:p>
          <w:p w14:paraId="2D03BE1C" w14:textId="77777777" w:rsidR="0046798B" w:rsidRDefault="0046798B">
            <w:pPr>
              <w:pStyle w:val="TableParagraph"/>
            </w:pPr>
          </w:p>
          <w:p w14:paraId="03A11277" w14:textId="77777777" w:rsidR="0046798B" w:rsidRDefault="0046798B">
            <w:pPr>
              <w:pStyle w:val="TableParagraph"/>
            </w:pPr>
          </w:p>
          <w:p w14:paraId="554E0DFC" w14:textId="77777777" w:rsidR="0046798B" w:rsidRDefault="0046798B">
            <w:pPr>
              <w:pStyle w:val="TableParagraph"/>
              <w:spacing w:before="4"/>
              <w:rPr>
                <w:sz w:val="31"/>
              </w:rPr>
            </w:pPr>
          </w:p>
          <w:p w14:paraId="2E7B6393" w14:textId="0B854850" w:rsidR="0046798B" w:rsidRDefault="00903B5C">
            <w:pPr>
              <w:pStyle w:val="TableParagraph"/>
              <w:spacing w:before="1"/>
              <w:ind w:left="114"/>
              <w:rPr>
                <w:sz w:val="20"/>
              </w:rPr>
            </w:pPr>
            <w:r>
              <w:rPr>
                <w:sz w:val="20"/>
              </w:rPr>
              <w:t>1942–201</w:t>
            </w:r>
            <w:r w:rsidR="00855B7D">
              <w:rPr>
                <w:sz w:val="20"/>
              </w:rPr>
              <w:t>9</w:t>
            </w:r>
          </w:p>
        </w:tc>
        <w:tc>
          <w:tcPr>
            <w:tcW w:w="3421" w:type="dxa"/>
          </w:tcPr>
          <w:p w14:paraId="4EA7CEE0" w14:textId="77777777" w:rsidR="0046798B" w:rsidRDefault="0046798B">
            <w:pPr>
              <w:pStyle w:val="TableParagraph"/>
            </w:pPr>
          </w:p>
          <w:p w14:paraId="16B8445D" w14:textId="77777777" w:rsidR="0046798B" w:rsidRDefault="0046798B">
            <w:pPr>
              <w:pStyle w:val="TableParagraph"/>
            </w:pPr>
          </w:p>
          <w:p w14:paraId="36236739" w14:textId="77777777" w:rsidR="0046798B" w:rsidRDefault="0046798B">
            <w:pPr>
              <w:pStyle w:val="TableParagraph"/>
            </w:pPr>
          </w:p>
          <w:p w14:paraId="073BBB78" w14:textId="77777777" w:rsidR="0046798B" w:rsidRDefault="0046798B">
            <w:pPr>
              <w:pStyle w:val="TableParagraph"/>
            </w:pPr>
          </w:p>
          <w:p w14:paraId="1993A231" w14:textId="77777777" w:rsidR="0046798B" w:rsidRDefault="0046798B">
            <w:pPr>
              <w:pStyle w:val="TableParagraph"/>
            </w:pPr>
          </w:p>
          <w:p w14:paraId="4FC20319" w14:textId="77777777" w:rsidR="0046798B" w:rsidRDefault="0046798B">
            <w:pPr>
              <w:pStyle w:val="TableParagraph"/>
            </w:pPr>
          </w:p>
          <w:p w14:paraId="60FDB2FE" w14:textId="77777777" w:rsidR="0046798B" w:rsidRDefault="00903B5C">
            <w:pPr>
              <w:pStyle w:val="TableParagraph"/>
              <w:spacing w:before="131"/>
              <w:ind w:left="114" w:right="222"/>
              <w:rPr>
                <w:sz w:val="20"/>
              </w:rPr>
            </w:pPr>
            <w:r>
              <w:rPr>
                <w:sz w:val="20"/>
              </w:rPr>
              <w:t>Total state expenditures. All state government finance data are in 1,000s of current dollars.</w:t>
            </w:r>
          </w:p>
        </w:tc>
        <w:tc>
          <w:tcPr>
            <w:tcW w:w="6482" w:type="dxa"/>
          </w:tcPr>
          <w:p w14:paraId="7FC89D1A" w14:textId="77777777" w:rsidR="0046798B" w:rsidRDefault="00903B5C">
            <w:pPr>
              <w:pStyle w:val="TableParagraph"/>
              <w:spacing w:before="38"/>
              <w:ind w:left="114" w:right="1111"/>
              <w:rPr>
                <w:sz w:val="20"/>
              </w:rPr>
            </w:pPr>
            <w:r>
              <w:rPr>
                <w:sz w:val="20"/>
              </w:rPr>
              <w:t xml:space="preserve">Klarner, Carl, 2013, “State Economic Data”, </w:t>
            </w:r>
            <w:hyperlink r:id="rId267">
              <w:r>
                <w:rPr>
                  <w:sz w:val="20"/>
                  <w:u w:val="single"/>
                </w:rPr>
                <w:t>https://doi.org/10.7910/DVN/KMWN7N</w:t>
              </w:r>
            </w:hyperlink>
            <w:r>
              <w:rPr>
                <w:sz w:val="20"/>
              </w:rPr>
              <w:t>, Harvard Dataverse, V1</w:t>
            </w:r>
          </w:p>
          <w:p w14:paraId="4E3FDEB0" w14:textId="77777777" w:rsidR="0046798B" w:rsidRDefault="0046798B">
            <w:pPr>
              <w:pStyle w:val="TableParagraph"/>
              <w:rPr>
                <w:sz w:val="20"/>
              </w:rPr>
            </w:pPr>
          </w:p>
          <w:p w14:paraId="034EE3AD" w14:textId="77777777" w:rsidR="0046798B" w:rsidRDefault="00903B5C">
            <w:pPr>
              <w:pStyle w:val="TableParagraph"/>
              <w:ind w:left="114"/>
              <w:rPr>
                <w:sz w:val="20"/>
              </w:rPr>
            </w:pPr>
            <w:r>
              <w:rPr>
                <w:sz w:val="20"/>
              </w:rPr>
              <w:t xml:space="preserve">Source: Figures exactly as they appear in the Census database file State_Govt_Finances for 1942 – 2006. For 2007 – 2010: </w:t>
            </w:r>
            <w:hyperlink r:id="rId268">
              <w:r>
                <w:rPr>
                  <w:sz w:val="20"/>
                  <w:u w:val="single"/>
                </w:rPr>
                <w:t>http://www.census.gov/govs/state/</w:t>
              </w:r>
            </w:hyperlink>
          </w:p>
          <w:p w14:paraId="0481203E" w14:textId="77777777" w:rsidR="0046798B" w:rsidRDefault="0046798B">
            <w:pPr>
              <w:pStyle w:val="TableParagraph"/>
              <w:rPr>
                <w:sz w:val="20"/>
              </w:rPr>
            </w:pPr>
          </w:p>
          <w:p w14:paraId="68BEAD6F" w14:textId="77777777" w:rsidR="0046798B" w:rsidRDefault="00903B5C">
            <w:pPr>
              <w:pStyle w:val="TableParagraph"/>
              <w:spacing w:before="1"/>
              <w:ind w:left="114" w:right="132"/>
              <w:rPr>
                <w:sz w:val="20"/>
              </w:rPr>
            </w:pPr>
            <w:r>
              <w:rPr>
                <w:sz w:val="20"/>
              </w:rPr>
              <w:t>Note for data put into quarters 1, 2, 3 and 4: although these data were put into quarters, they were not divided by 4. There are always four cases that have the same exact numbers. These sets of four are within the same state fiscal year. Note for data put into quarter 2.5: data for the fiscal year that matches the year of the case is put into 2.5. For example, Indiana’s FY1986 (which goes from July 1st 1985, to June 30th, 1986) is put into 1986q2.5.</w:t>
            </w:r>
          </w:p>
          <w:p w14:paraId="76107405" w14:textId="77777777" w:rsidR="0046798B" w:rsidRDefault="0046798B">
            <w:pPr>
              <w:pStyle w:val="TableParagraph"/>
              <w:rPr>
                <w:sz w:val="20"/>
              </w:rPr>
            </w:pPr>
          </w:p>
          <w:p w14:paraId="703FECA2" w14:textId="77777777" w:rsidR="0046798B" w:rsidRDefault="00903B5C">
            <w:pPr>
              <w:pStyle w:val="TableParagraph"/>
              <w:spacing w:before="1"/>
              <w:ind w:left="114"/>
              <w:rPr>
                <w:sz w:val="20"/>
              </w:rPr>
            </w:pPr>
            <w:r>
              <w:rPr>
                <w:sz w:val="20"/>
              </w:rPr>
              <w:t xml:space="preserve">United States Census Bureau: </w:t>
            </w:r>
            <w:hyperlink r:id="rId269">
              <w:r>
                <w:rPr>
                  <w:color w:val="0462C1"/>
                  <w:sz w:val="20"/>
                  <w:u w:val="single" w:color="0462C1"/>
                </w:rPr>
                <w:t>https://factfinder.census.gov/faces/nav/jsf/pages/programs.xhtml?program=as</w:t>
              </w:r>
            </w:hyperlink>
            <w:r>
              <w:rPr>
                <w:color w:val="0462C1"/>
                <w:sz w:val="20"/>
              </w:rPr>
              <w:t xml:space="preserve"> </w:t>
            </w:r>
            <w:hyperlink r:id="rId270">
              <w:r>
                <w:rPr>
                  <w:color w:val="0462C1"/>
                  <w:sz w:val="20"/>
                  <w:u w:val="single" w:color="0462C1"/>
                </w:rPr>
                <w:t>gov</w:t>
              </w:r>
            </w:hyperlink>
          </w:p>
        </w:tc>
      </w:tr>
      <w:tr w:rsidR="0046798B" w14:paraId="1803205B" w14:textId="77777777">
        <w:trPr>
          <w:trHeight w:val="1235"/>
        </w:trPr>
        <w:tc>
          <w:tcPr>
            <w:tcW w:w="1711" w:type="dxa"/>
          </w:tcPr>
          <w:p w14:paraId="65B8970A" w14:textId="77777777" w:rsidR="0046798B" w:rsidRDefault="0046798B">
            <w:pPr>
              <w:pStyle w:val="TableParagraph"/>
            </w:pPr>
          </w:p>
          <w:p w14:paraId="758752AA" w14:textId="77777777" w:rsidR="0046798B" w:rsidRDefault="00903B5C">
            <w:pPr>
              <w:pStyle w:val="TableParagraph"/>
              <w:spacing w:before="130"/>
              <w:ind w:left="115"/>
              <w:rPr>
                <w:b/>
                <w:sz w:val="20"/>
              </w:rPr>
            </w:pPr>
            <w:r>
              <w:rPr>
                <w:b/>
                <w:sz w:val="20"/>
              </w:rPr>
              <w:t>total_expenditur e_gsp</w:t>
            </w:r>
          </w:p>
        </w:tc>
        <w:tc>
          <w:tcPr>
            <w:tcW w:w="1596" w:type="dxa"/>
          </w:tcPr>
          <w:p w14:paraId="637B4382" w14:textId="77777777" w:rsidR="0046798B" w:rsidRDefault="0046798B">
            <w:pPr>
              <w:pStyle w:val="TableParagraph"/>
              <w:spacing w:before="3"/>
              <w:rPr>
                <w:sz w:val="23"/>
              </w:rPr>
            </w:pPr>
          </w:p>
          <w:p w14:paraId="0AD9C6E5" w14:textId="77777777" w:rsidR="0046798B" w:rsidRDefault="00903B5C">
            <w:pPr>
              <w:pStyle w:val="TableParagraph"/>
              <w:spacing w:before="1"/>
              <w:ind w:left="114" w:right="213"/>
              <w:rPr>
                <w:sz w:val="20"/>
              </w:rPr>
            </w:pPr>
            <w:r>
              <w:rPr>
                <w:sz w:val="20"/>
              </w:rPr>
              <w:t>Total expenditures as pct. of GSP</w:t>
            </w:r>
          </w:p>
        </w:tc>
        <w:tc>
          <w:tcPr>
            <w:tcW w:w="1285" w:type="dxa"/>
          </w:tcPr>
          <w:p w14:paraId="5FAFEB8C" w14:textId="77777777" w:rsidR="0046798B" w:rsidRDefault="0046798B">
            <w:pPr>
              <w:pStyle w:val="TableParagraph"/>
            </w:pPr>
          </w:p>
          <w:p w14:paraId="7AEC4813" w14:textId="77777777" w:rsidR="0046798B" w:rsidRDefault="0046798B">
            <w:pPr>
              <w:pStyle w:val="TableParagraph"/>
              <w:spacing w:before="4"/>
              <w:rPr>
                <w:sz w:val="21"/>
              </w:rPr>
            </w:pPr>
          </w:p>
          <w:p w14:paraId="55960886" w14:textId="77777777" w:rsidR="0046798B" w:rsidRDefault="00903B5C">
            <w:pPr>
              <w:pStyle w:val="TableParagraph"/>
              <w:ind w:left="114"/>
              <w:rPr>
                <w:sz w:val="20"/>
              </w:rPr>
            </w:pPr>
            <w:r>
              <w:rPr>
                <w:sz w:val="20"/>
              </w:rPr>
              <w:t>1942–2016</w:t>
            </w:r>
          </w:p>
        </w:tc>
        <w:tc>
          <w:tcPr>
            <w:tcW w:w="3421" w:type="dxa"/>
          </w:tcPr>
          <w:p w14:paraId="77D1CDD3" w14:textId="77777777" w:rsidR="0046798B" w:rsidRDefault="0046798B">
            <w:pPr>
              <w:pStyle w:val="TableParagraph"/>
            </w:pPr>
          </w:p>
          <w:p w14:paraId="46D20CFD" w14:textId="77777777" w:rsidR="0046798B" w:rsidRDefault="00903B5C">
            <w:pPr>
              <w:pStyle w:val="TableParagraph"/>
              <w:spacing w:before="130"/>
              <w:ind w:left="114" w:right="239"/>
              <w:rPr>
                <w:sz w:val="20"/>
              </w:rPr>
            </w:pPr>
            <w:r>
              <w:rPr>
                <w:sz w:val="20"/>
              </w:rPr>
              <w:t>Total expenditures as percent of gross state product</w:t>
            </w:r>
          </w:p>
        </w:tc>
        <w:tc>
          <w:tcPr>
            <w:tcW w:w="6482" w:type="dxa"/>
          </w:tcPr>
          <w:p w14:paraId="03493123" w14:textId="77777777" w:rsidR="0046798B" w:rsidRDefault="00903B5C">
            <w:pPr>
              <w:pStyle w:val="TableParagraph"/>
              <w:spacing w:before="38"/>
              <w:ind w:left="114" w:right="1111"/>
              <w:rPr>
                <w:sz w:val="20"/>
              </w:rPr>
            </w:pPr>
            <w:r>
              <w:rPr>
                <w:sz w:val="20"/>
              </w:rPr>
              <w:t xml:space="preserve">Klarner, Carl, 2013, “State Economic Data”, </w:t>
            </w:r>
            <w:hyperlink r:id="rId271">
              <w:r>
                <w:rPr>
                  <w:sz w:val="20"/>
                  <w:u w:val="single"/>
                </w:rPr>
                <w:t>https://doi.org/10.7910/DVN/KMWN7N</w:t>
              </w:r>
            </w:hyperlink>
            <w:r>
              <w:rPr>
                <w:sz w:val="20"/>
              </w:rPr>
              <w:t>, Harvard Dataverse, V1</w:t>
            </w:r>
          </w:p>
          <w:p w14:paraId="29EEBC6B" w14:textId="77777777" w:rsidR="0046798B" w:rsidRDefault="0046798B">
            <w:pPr>
              <w:pStyle w:val="TableParagraph"/>
              <w:rPr>
                <w:sz w:val="20"/>
              </w:rPr>
            </w:pPr>
          </w:p>
          <w:p w14:paraId="46BF3143" w14:textId="77777777" w:rsidR="0046798B" w:rsidRDefault="00903B5C">
            <w:pPr>
              <w:pStyle w:val="TableParagraph"/>
              <w:ind w:left="114"/>
              <w:rPr>
                <w:sz w:val="20"/>
              </w:rPr>
            </w:pPr>
            <w:r>
              <w:rPr>
                <w:sz w:val="20"/>
              </w:rPr>
              <w:t>STATA CODE:</w:t>
            </w:r>
          </w:p>
          <w:p w14:paraId="2FD1A065" w14:textId="77777777" w:rsidR="0046798B" w:rsidRDefault="00903B5C">
            <w:pPr>
              <w:pStyle w:val="TableParagraph"/>
              <w:ind w:left="114"/>
              <w:rPr>
                <w:sz w:val="20"/>
              </w:rPr>
            </w:pPr>
            <w:r>
              <w:rPr>
                <w:sz w:val="20"/>
              </w:rPr>
              <w:t>gen total_expenditure_gsp= (total_expenditure/(gsp_q*1000))*100</w:t>
            </w:r>
          </w:p>
        </w:tc>
      </w:tr>
      <w:tr w:rsidR="0046798B" w14:paraId="481EEFA4" w14:textId="77777777">
        <w:trPr>
          <w:trHeight w:val="775"/>
        </w:trPr>
        <w:tc>
          <w:tcPr>
            <w:tcW w:w="1711" w:type="dxa"/>
          </w:tcPr>
          <w:p w14:paraId="4AFCF87B" w14:textId="77777777" w:rsidR="0046798B" w:rsidRDefault="00903B5C">
            <w:pPr>
              <w:pStyle w:val="TableParagraph"/>
              <w:spacing w:before="153"/>
              <w:ind w:left="115"/>
              <w:rPr>
                <w:b/>
                <w:sz w:val="20"/>
              </w:rPr>
            </w:pPr>
            <w:r>
              <w:rPr>
                <w:b/>
                <w:sz w:val="20"/>
              </w:rPr>
              <w:t>total_expenditur e_inc</w:t>
            </w:r>
          </w:p>
        </w:tc>
        <w:tc>
          <w:tcPr>
            <w:tcW w:w="1596" w:type="dxa"/>
          </w:tcPr>
          <w:p w14:paraId="65D57414" w14:textId="77777777" w:rsidR="0046798B" w:rsidRDefault="00903B5C">
            <w:pPr>
              <w:pStyle w:val="TableParagraph"/>
              <w:spacing w:before="153"/>
              <w:ind w:left="114" w:right="213"/>
              <w:rPr>
                <w:sz w:val="20"/>
              </w:rPr>
            </w:pPr>
            <w:r>
              <w:rPr>
                <w:sz w:val="20"/>
              </w:rPr>
              <w:t>Total expenditures as</w:t>
            </w:r>
          </w:p>
        </w:tc>
        <w:tc>
          <w:tcPr>
            <w:tcW w:w="1285" w:type="dxa"/>
          </w:tcPr>
          <w:p w14:paraId="48D30499" w14:textId="77777777" w:rsidR="0046798B" w:rsidRDefault="0046798B">
            <w:pPr>
              <w:pStyle w:val="TableParagraph"/>
              <w:spacing w:before="3"/>
              <w:rPr>
                <w:sz w:val="23"/>
              </w:rPr>
            </w:pPr>
          </w:p>
          <w:p w14:paraId="6264398C" w14:textId="77777777" w:rsidR="0046798B" w:rsidRDefault="00903B5C">
            <w:pPr>
              <w:pStyle w:val="TableParagraph"/>
              <w:spacing w:before="1"/>
              <w:ind w:left="114"/>
              <w:rPr>
                <w:sz w:val="20"/>
              </w:rPr>
            </w:pPr>
            <w:r>
              <w:rPr>
                <w:sz w:val="20"/>
              </w:rPr>
              <w:t>1941–2009</w:t>
            </w:r>
          </w:p>
        </w:tc>
        <w:tc>
          <w:tcPr>
            <w:tcW w:w="3421" w:type="dxa"/>
          </w:tcPr>
          <w:p w14:paraId="3A009324" w14:textId="77777777" w:rsidR="0046798B" w:rsidRDefault="00903B5C">
            <w:pPr>
              <w:pStyle w:val="TableParagraph"/>
              <w:spacing w:before="153"/>
              <w:ind w:left="114" w:right="711"/>
              <w:rPr>
                <w:sz w:val="20"/>
              </w:rPr>
            </w:pPr>
            <w:r>
              <w:rPr>
                <w:sz w:val="20"/>
              </w:rPr>
              <w:t>Total expenditures as percent of personal income</w:t>
            </w:r>
          </w:p>
        </w:tc>
        <w:tc>
          <w:tcPr>
            <w:tcW w:w="6482" w:type="dxa"/>
          </w:tcPr>
          <w:p w14:paraId="43199967" w14:textId="77777777" w:rsidR="0046798B" w:rsidRDefault="00903B5C">
            <w:pPr>
              <w:pStyle w:val="TableParagraph"/>
              <w:spacing w:before="38"/>
              <w:ind w:left="114" w:right="1111"/>
              <w:rPr>
                <w:sz w:val="20"/>
              </w:rPr>
            </w:pPr>
            <w:r>
              <w:rPr>
                <w:sz w:val="20"/>
              </w:rPr>
              <w:t xml:space="preserve">Klarner, Carl, 2013, “State Economic Data”, </w:t>
            </w:r>
            <w:hyperlink r:id="rId272">
              <w:r>
                <w:rPr>
                  <w:sz w:val="20"/>
                  <w:u w:val="single"/>
                </w:rPr>
                <w:t>https://doi.org/10.7910/DVN/KMWN7N</w:t>
              </w:r>
            </w:hyperlink>
            <w:r>
              <w:rPr>
                <w:sz w:val="20"/>
              </w:rPr>
              <w:t>, Harvard Dataverse, V1</w:t>
            </w:r>
          </w:p>
        </w:tc>
      </w:tr>
    </w:tbl>
    <w:p w14:paraId="65DC3DA5" w14:textId="77777777" w:rsidR="0046798B" w:rsidRDefault="0046798B">
      <w:pPr>
        <w:rPr>
          <w:sz w:val="20"/>
        </w:rPr>
        <w:sectPr w:rsidR="0046798B">
          <w:pgSz w:w="15840" w:h="12240" w:orient="landscape"/>
          <w:pgMar w:top="1220" w:right="300" w:bottom="980" w:left="820" w:header="730" w:footer="787" w:gutter="0"/>
          <w:cols w:space="720"/>
        </w:sectPr>
      </w:pPr>
    </w:p>
    <w:p w14:paraId="4D35BF54"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2C1E7D08" w14:textId="77777777">
        <w:trPr>
          <w:trHeight w:val="542"/>
        </w:trPr>
        <w:tc>
          <w:tcPr>
            <w:tcW w:w="1711" w:type="dxa"/>
            <w:tcBorders>
              <w:bottom w:val="dotted" w:sz="6" w:space="0" w:color="BEBEBE"/>
            </w:tcBorders>
          </w:tcPr>
          <w:p w14:paraId="21F9D1EF" w14:textId="77777777" w:rsidR="0046798B" w:rsidRDefault="0046798B">
            <w:pPr>
              <w:pStyle w:val="TableParagraph"/>
              <w:rPr>
                <w:sz w:val="20"/>
              </w:rPr>
            </w:pPr>
          </w:p>
        </w:tc>
        <w:tc>
          <w:tcPr>
            <w:tcW w:w="1596" w:type="dxa"/>
            <w:tcBorders>
              <w:bottom w:val="dotted" w:sz="6" w:space="0" w:color="BEBEBE"/>
            </w:tcBorders>
          </w:tcPr>
          <w:p w14:paraId="07F77E31" w14:textId="77777777" w:rsidR="0046798B" w:rsidRDefault="00903B5C">
            <w:pPr>
              <w:pStyle w:val="TableParagraph"/>
              <w:spacing w:before="43"/>
              <w:ind w:left="114" w:right="213"/>
              <w:rPr>
                <w:sz w:val="20"/>
              </w:rPr>
            </w:pPr>
            <w:r>
              <w:rPr>
                <w:sz w:val="20"/>
              </w:rPr>
              <w:t>pct. of personal income</w:t>
            </w:r>
          </w:p>
        </w:tc>
        <w:tc>
          <w:tcPr>
            <w:tcW w:w="1285" w:type="dxa"/>
            <w:tcBorders>
              <w:bottom w:val="dotted" w:sz="6" w:space="0" w:color="BEBEBE"/>
            </w:tcBorders>
          </w:tcPr>
          <w:p w14:paraId="3CB0D267" w14:textId="77777777" w:rsidR="0046798B" w:rsidRDefault="0046798B">
            <w:pPr>
              <w:pStyle w:val="TableParagraph"/>
              <w:rPr>
                <w:sz w:val="20"/>
              </w:rPr>
            </w:pPr>
          </w:p>
        </w:tc>
        <w:tc>
          <w:tcPr>
            <w:tcW w:w="3421" w:type="dxa"/>
            <w:tcBorders>
              <w:bottom w:val="dotted" w:sz="6" w:space="0" w:color="BEBEBE"/>
            </w:tcBorders>
          </w:tcPr>
          <w:p w14:paraId="66848086" w14:textId="77777777" w:rsidR="0046798B" w:rsidRDefault="0046798B">
            <w:pPr>
              <w:pStyle w:val="TableParagraph"/>
              <w:rPr>
                <w:sz w:val="20"/>
              </w:rPr>
            </w:pPr>
          </w:p>
        </w:tc>
        <w:tc>
          <w:tcPr>
            <w:tcW w:w="6482" w:type="dxa"/>
            <w:tcBorders>
              <w:bottom w:val="dotted" w:sz="6" w:space="0" w:color="BEBEBE"/>
            </w:tcBorders>
          </w:tcPr>
          <w:p w14:paraId="04437CFC" w14:textId="77777777" w:rsidR="0046798B" w:rsidRDefault="00903B5C">
            <w:pPr>
              <w:pStyle w:val="TableParagraph"/>
              <w:spacing w:before="43"/>
              <w:ind w:left="114" w:right="2305"/>
              <w:rPr>
                <w:sz w:val="20"/>
              </w:rPr>
            </w:pPr>
            <w:r>
              <w:rPr>
                <w:sz w:val="20"/>
              </w:rPr>
              <w:t>STATA CODE: gen total_expenditure_inc= (total_expenditure/personal_income1000s_b)*100</w:t>
            </w:r>
          </w:p>
        </w:tc>
      </w:tr>
      <w:tr w:rsidR="0046798B" w14:paraId="0B2077B7" w14:textId="77777777">
        <w:trPr>
          <w:trHeight w:val="3993"/>
        </w:trPr>
        <w:tc>
          <w:tcPr>
            <w:tcW w:w="1711" w:type="dxa"/>
            <w:tcBorders>
              <w:top w:val="dotted" w:sz="6" w:space="0" w:color="BEBEBE"/>
            </w:tcBorders>
          </w:tcPr>
          <w:p w14:paraId="28AF5933" w14:textId="77777777" w:rsidR="0046798B" w:rsidRDefault="0046798B">
            <w:pPr>
              <w:pStyle w:val="TableParagraph"/>
            </w:pPr>
          </w:p>
          <w:p w14:paraId="69FDC354" w14:textId="77777777" w:rsidR="0046798B" w:rsidRDefault="0046798B">
            <w:pPr>
              <w:pStyle w:val="TableParagraph"/>
            </w:pPr>
          </w:p>
          <w:p w14:paraId="473B6A7F" w14:textId="77777777" w:rsidR="0046798B" w:rsidRDefault="0046798B">
            <w:pPr>
              <w:pStyle w:val="TableParagraph"/>
            </w:pPr>
          </w:p>
          <w:p w14:paraId="4D716313" w14:textId="77777777" w:rsidR="0046798B" w:rsidRDefault="0046798B">
            <w:pPr>
              <w:pStyle w:val="TableParagraph"/>
            </w:pPr>
          </w:p>
          <w:p w14:paraId="11F2C10C" w14:textId="77777777" w:rsidR="0046798B" w:rsidRDefault="0046798B">
            <w:pPr>
              <w:pStyle w:val="TableParagraph"/>
            </w:pPr>
          </w:p>
          <w:p w14:paraId="28E4A77A" w14:textId="77777777" w:rsidR="0046798B" w:rsidRDefault="0046798B">
            <w:pPr>
              <w:pStyle w:val="TableParagraph"/>
            </w:pPr>
          </w:p>
          <w:p w14:paraId="66F9BD0C" w14:textId="77777777" w:rsidR="0046798B" w:rsidRDefault="0046798B">
            <w:pPr>
              <w:pStyle w:val="TableParagraph"/>
              <w:spacing w:before="7"/>
              <w:rPr>
                <w:sz w:val="31"/>
              </w:rPr>
            </w:pPr>
          </w:p>
          <w:p w14:paraId="15D66B60" w14:textId="77777777" w:rsidR="0046798B" w:rsidRDefault="00903B5C">
            <w:pPr>
              <w:pStyle w:val="TableParagraph"/>
              <w:ind w:left="115"/>
              <w:rPr>
                <w:b/>
                <w:sz w:val="20"/>
              </w:rPr>
            </w:pPr>
            <w:r>
              <w:rPr>
                <w:b/>
                <w:sz w:val="20"/>
              </w:rPr>
              <w:t>total_revenue</w:t>
            </w:r>
          </w:p>
        </w:tc>
        <w:tc>
          <w:tcPr>
            <w:tcW w:w="1596" w:type="dxa"/>
            <w:tcBorders>
              <w:top w:val="dotted" w:sz="6" w:space="0" w:color="BEBEBE"/>
            </w:tcBorders>
          </w:tcPr>
          <w:p w14:paraId="5DE1F892" w14:textId="77777777" w:rsidR="0046798B" w:rsidRDefault="0046798B">
            <w:pPr>
              <w:pStyle w:val="TableParagraph"/>
            </w:pPr>
          </w:p>
          <w:p w14:paraId="4109E9CE" w14:textId="77777777" w:rsidR="0046798B" w:rsidRDefault="0046798B">
            <w:pPr>
              <w:pStyle w:val="TableParagraph"/>
            </w:pPr>
          </w:p>
          <w:p w14:paraId="345B6BD6" w14:textId="77777777" w:rsidR="0046798B" w:rsidRDefault="0046798B">
            <w:pPr>
              <w:pStyle w:val="TableParagraph"/>
            </w:pPr>
          </w:p>
          <w:p w14:paraId="3244CF14" w14:textId="77777777" w:rsidR="0046798B" w:rsidRDefault="0046798B">
            <w:pPr>
              <w:pStyle w:val="TableParagraph"/>
            </w:pPr>
          </w:p>
          <w:p w14:paraId="14C9000B" w14:textId="77777777" w:rsidR="0046798B" w:rsidRDefault="0046798B">
            <w:pPr>
              <w:pStyle w:val="TableParagraph"/>
            </w:pPr>
          </w:p>
          <w:p w14:paraId="7E136E4C" w14:textId="77777777" w:rsidR="0046798B" w:rsidRDefault="0046798B">
            <w:pPr>
              <w:pStyle w:val="TableParagraph"/>
            </w:pPr>
          </w:p>
          <w:p w14:paraId="4A7B64AD" w14:textId="77777777" w:rsidR="0046798B" w:rsidRDefault="0046798B">
            <w:pPr>
              <w:pStyle w:val="TableParagraph"/>
              <w:spacing w:before="7"/>
              <w:rPr>
                <w:sz w:val="21"/>
              </w:rPr>
            </w:pPr>
          </w:p>
          <w:p w14:paraId="7AD21F7B" w14:textId="77777777" w:rsidR="0046798B" w:rsidRDefault="00903B5C">
            <w:pPr>
              <w:pStyle w:val="TableParagraph"/>
              <w:ind w:left="114" w:right="613"/>
              <w:rPr>
                <w:sz w:val="20"/>
              </w:rPr>
            </w:pPr>
            <w:r>
              <w:rPr>
                <w:sz w:val="20"/>
              </w:rPr>
              <w:t>Total state revenue</w:t>
            </w:r>
          </w:p>
        </w:tc>
        <w:tc>
          <w:tcPr>
            <w:tcW w:w="1285" w:type="dxa"/>
            <w:tcBorders>
              <w:top w:val="dotted" w:sz="6" w:space="0" w:color="BEBEBE"/>
            </w:tcBorders>
          </w:tcPr>
          <w:p w14:paraId="6A0E9B55" w14:textId="77777777" w:rsidR="0046798B" w:rsidRDefault="0046798B">
            <w:pPr>
              <w:pStyle w:val="TableParagraph"/>
            </w:pPr>
          </w:p>
          <w:p w14:paraId="4D69EA37" w14:textId="77777777" w:rsidR="0046798B" w:rsidRDefault="0046798B">
            <w:pPr>
              <w:pStyle w:val="TableParagraph"/>
            </w:pPr>
          </w:p>
          <w:p w14:paraId="734B0DC1" w14:textId="77777777" w:rsidR="0046798B" w:rsidRDefault="0046798B">
            <w:pPr>
              <w:pStyle w:val="TableParagraph"/>
            </w:pPr>
          </w:p>
          <w:p w14:paraId="215B93C9" w14:textId="77777777" w:rsidR="0046798B" w:rsidRDefault="0046798B">
            <w:pPr>
              <w:pStyle w:val="TableParagraph"/>
            </w:pPr>
          </w:p>
          <w:p w14:paraId="5141446F" w14:textId="77777777" w:rsidR="0046798B" w:rsidRDefault="0046798B">
            <w:pPr>
              <w:pStyle w:val="TableParagraph"/>
            </w:pPr>
          </w:p>
          <w:p w14:paraId="4FEB3BED" w14:textId="77777777" w:rsidR="0046798B" w:rsidRDefault="0046798B">
            <w:pPr>
              <w:pStyle w:val="TableParagraph"/>
            </w:pPr>
          </w:p>
          <w:p w14:paraId="0E66D8A1" w14:textId="77777777" w:rsidR="0046798B" w:rsidRDefault="0046798B">
            <w:pPr>
              <w:pStyle w:val="TableParagraph"/>
              <w:spacing w:before="7"/>
              <w:rPr>
                <w:sz w:val="31"/>
              </w:rPr>
            </w:pPr>
          </w:p>
          <w:p w14:paraId="1A9150B0" w14:textId="45B6B270" w:rsidR="0046798B" w:rsidRDefault="00903B5C">
            <w:pPr>
              <w:pStyle w:val="TableParagraph"/>
              <w:ind w:left="114"/>
              <w:rPr>
                <w:sz w:val="20"/>
              </w:rPr>
            </w:pPr>
            <w:r>
              <w:rPr>
                <w:sz w:val="20"/>
              </w:rPr>
              <w:t>1942–201</w:t>
            </w:r>
            <w:r w:rsidR="00855B7D">
              <w:rPr>
                <w:sz w:val="20"/>
              </w:rPr>
              <w:t>9</w:t>
            </w:r>
          </w:p>
        </w:tc>
        <w:tc>
          <w:tcPr>
            <w:tcW w:w="3421" w:type="dxa"/>
            <w:tcBorders>
              <w:top w:val="dotted" w:sz="6" w:space="0" w:color="BEBEBE"/>
            </w:tcBorders>
          </w:tcPr>
          <w:p w14:paraId="53D12C41" w14:textId="77777777" w:rsidR="0046798B" w:rsidRDefault="0046798B">
            <w:pPr>
              <w:pStyle w:val="TableParagraph"/>
            </w:pPr>
          </w:p>
          <w:p w14:paraId="1A9B9BEC" w14:textId="77777777" w:rsidR="0046798B" w:rsidRDefault="0046798B">
            <w:pPr>
              <w:pStyle w:val="TableParagraph"/>
            </w:pPr>
          </w:p>
          <w:p w14:paraId="5EB96C32" w14:textId="77777777" w:rsidR="0046798B" w:rsidRDefault="0046798B">
            <w:pPr>
              <w:pStyle w:val="TableParagraph"/>
            </w:pPr>
          </w:p>
          <w:p w14:paraId="0A78B49A" w14:textId="77777777" w:rsidR="0046798B" w:rsidRDefault="0046798B">
            <w:pPr>
              <w:pStyle w:val="TableParagraph"/>
            </w:pPr>
          </w:p>
          <w:p w14:paraId="53B523C7" w14:textId="77777777" w:rsidR="0046798B" w:rsidRDefault="0046798B">
            <w:pPr>
              <w:pStyle w:val="TableParagraph"/>
            </w:pPr>
          </w:p>
          <w:p w14:paraId="672A6D18" w14:textId="77777777" w:rsidR="0046798B" w:rsidRDefault="0046798B">
            <w:pPr>
              <w:pStyle w:val="TableParagraph"/>
            </w:pPr>
          </w:p>
          <w:p w14:paraId="61A82FD2" w14:textId="77777777" w:rsidR="0046798B" w:rsidRDefault="00903B5C">
            <w:pPr>
              <w:pStyle w:val="TableParagraph"/>
              <w:spacing w:before="133"/>
              <w:ind w:left="114" w:right="222"/>
              <w:rPr>
                <w:sz w:val="20"/>
              </w:rPr>
            </w:pPr>
            <w:r>
              <w:rPr>
                <w:sz w:val="20"/>
              </w:rPr>
              <w:t>Total state revenue. All state government finance data are in 1,000s of current dollars.</w:t>
            </w:r>
          </w:p>
        </w:tc>
        <w:tc>
          <w:tcPr>
            <w:tcW w:w="6482" w:type="dxa"/>
            <w:tcBorders>
              <w:top w:val="dotted" w:sz="6" w:space="0" w:color="BEBEBE"/>
            </w:tcBorders>
          </w:tcPr>
          <w:p w14:paraId="0C3F8008" w14:textId="77777777" w:rsidR="0046798B" w:rsidRDefault="00903B5C">
            <w:pPr>
              <w:pStyle w:val="TableParagraph"/>
              <w:spacing w:before="40"/>
              <w:ind w:left="114" w:right="1111"/>
              <w:rPr>
                <w:sz w:val="20"/>
              </w:rPr>
            </w:pPr>
            <w:r>
              <w:rPr>
                <w:sz w:val="20"/>
              </w:rPr>
              <w:t xml:space="preserve">Klarner, Carl, 2013, “State Economic Data”, </w:t>
            </w:r>
            <w:hyperlink r:id="rId273">
              <w:r>
                <w:rPr>
                  <w:sz w:val="20"/>
                  <w:u w:val="single"/>
                </w:rPr>
                <w:t>https://doi.org/10.7910/DVN/KMWN7N</w:t>
              </w:r>
            </w:hyperlink>
            <w:r>
              <w:rPr>
                <w:sz w:val="20"/>
              </w:rPr>
              <w:t>, Harvard Dataverse, V1</w:t>
            </w:r>
          </w:p>
          <w:p w14:paraId="7B1F663B" w14:textId="77777777" w:rsidR="0046798B" w:rsidRDefault="0046798B">
            <w:pPr>
              <w:pStyle w:val="TableParagraph"/>
              <w:rPr>
                <w:sz w:val="20"/>
              </w:rPr>
            </w:pPr>
          </w:p>
          <w:p w14:paraId="7EA1CF87" w14:textId="77777777" w:rsidR="0046798B" w:rsidRDefault="00903B5C">
            <w:pPr>
              <w:pStyle w:val="TableParagraph"/>
              <w:spacing w:before="1"/>
              <w:ind w:left="114"/>
              <w:rPr>
                <w:sz w:val="20"/>
              </w:rPr>
            </w:pPr>
            <w:r>
              <w:rPr>
                <w:sz w:val="20"/>
              </w:rPr>
              <w:t xml:space="preserve">Source: Figures exactly as they appear in the Census database file State_Govt_Finances for 1942 – 2006. For 2007 – 2010: </w:t>
            </w:r>
            <w:hyperlink r:id="rId274">
              <w:r>
                <w:rPr>
                  <w:sz w:val="20"/>
                  <w:u w:val="single"/>
                </w:rPr>
                <w:t>http://www.census.gov/govs/state/</w:t>
              </w:r>
            </w:hyperlink>
          </w:p>
          <w:p w14:paraId="20A3760A" w14:textId="77777777" w:rsidR="0046798B" w:rsidRDefault="0046798B">
            <w:pPr>
              <w:pStyle w:val="TableParagraph"/>
              <w:rPr>
                <w:sz w:val="20"/>
              </w:rPr>
            </w:pPr>
          </w:p>
          <w:p w14:paraId="39F42B2F" w14:textId="77777777" w:rsidR="0046798B" w:rsidRDefault="00903B5C">
            <w:pPr>
              <w:pStyle w:val="TableParagraph"/>
              <w:ind w:left="114" w:right="132"/>
              <w:rPr>
                <w:sz w:val="20"/>
              </w:rPr>
            </w:pPr>
            <w:r>
              <w:rPr>
                <w:sz w:val="20"/>
              </w:rPr>
              <w:t>Note for data put into quarters 1, 2, 3 and 4: although these data were put into quarters, they were not divided by 4. There are always four cases that have the same exact numbers. These sets of four are within the same state fiscal year. Note for data put into quarter 2.5: data for the fiscal year that matches the year of the case is put into 2.5. For example, Indiana’s FY1986 (which goes from July 1st 1985, to June 30th, 1986) is put into 1986q2.5.</w:t>
            </w:r>
          </w:p>
          <w:p w14:paraId="672983D6" w14:textId="77777777" w:rsidR="0046798B" w:rsidRDefault="0046798B">
            <w:pPr>
              <w:pStyle w:val="TableParagraph"/>
              <w:spacing w:before="1"/>
              <w:rPr>
                <w:sz w:val="20"/>
              </w:rPr>
            </w:pPr>
          </w:p>
          <w:p w14:paraId="3EB399CF" w14:textId="77777777" w:rsidR="0046798B" w:rsidRDefault="00903B5C">
            <w:pPr>
              <w:pStyle w:val="TableParagraph"/>
              <w:ind w:left="114"/>
              <w:rPr>
                <w:sz w:val="20"/>
              </w:rPr>
            </w:pPr>
            <w:r>
              <w:rPr>
                <w:sz w:val="20"/>
              </w:rPr>
              <w:t xml:space="preserve">United States Census Bureau: </w:t>
            </w:r>
            <w:hyperlink r:id="rId275">
              <w:r>
                <w:rPr>
                  <w:color w:val="0462C1"/>
                  <w:sz w:val="20"/>
                  <w:u w:val="single" w:color="0462C1"/>
                </w:rPr>
                <w:t>https://factfinder.census.gov/faces/nav/jsf/pages/programs.xhtml?program=as</w:t>
              </w:r>
            </w:hyperlink>
            <w:r>
              <w:rPr>
                <w:color w:val="0462C1"/>
                <w:sz w:val="20"/>
              </w:rPr>
              <w:t xml:space="preserve"> </w:t>
            </w:r>
            <w:hyperlink r:id="rId276">
              <w:r>
                <w:rPr>
                  <w:color w:val="0462C1"/>
                  <w:sz w:val="20"/>
                  <w:u w:val="single" w:color="0462C1"/>
                </w:rPr>
                <w:t>gov</w:t>
              </w:r>
            </w:hyperlink>
          </w:p>
        </w:tc>
      </w:tr>
      <w:tr w:rsidR="0046798B" w14:paraId="183EC81C" w14:textId="77777777">
        <w:trPr>
          <w:trHeight w:val="1240"/>
        </w:trPr>
        <w:tc>
          <w:tcPr>
            <w:tcW w:w="1711" w:type="dxa"/>
          </w:tcPr>
          <w:p w14:paraId="779D4EF7" w14:textId="77777777" w:rsidR="0046798B" w:rsidRDefault="0046798B">
            <w:pPr>
              <w:pStyle w:val="TableParagraph"/>
            </w:pPr>
          </w:p>
          <w:p w14:paraId="68EB4F5E" w14:textId="77777777" w:rsidR="0046798B" w:rsidRDefault="00903B5C">
            <w:pPr>
              <w:pStyle w:val="TableParagraph"/>
              <w:spacing w:before="135"/>
              <w:ind w:left="115" w:right="99"/>
              <w:rPr>
                <w:b/>
                <w:sz w:val="20"/>
              </w:rPr>
            </w:pPr>
            <w:r>
              <w:rPr>
                <w:b/>
                <w:sz w:val="20"/>
              </w:rPr>
              <w:t>total_revenue_gs p</w:t>
            </w:r>
          </w:p>
        </w:tc>
        <w:tc>
          <w:tcPr>
            <w:tcW w:w="1596" w:type="dxa"/>
          </w:tcPr>
          <w:p w14:paraId="2650A9E2" w14:textId="77777777" w:rsidR="0046798B" w:rsidRDefault="0046798B">
            <w:pPr>
              <w:pStyle w:val="TableParagraph"/>
            </w:pPr>
          </w:p>
          <w:p w14:paraId="7F9209AE" w14:textId="77777777" w:rsidR="0046798B" w:rsidRDefault="00903B5C">
            <w:pPr>
              <w:pStyle w:val="TableParagraph"/>
              <w:spacing w:before="135"/>
              <w:ind w:left="114" w:right="130"/>
              <w:rPr>
                <w:sz w:val="20"/>
              </w:rPr>
            </w:pPr>
            <w:r>
              <w:rPr>
                <w:sz w:val="20"/>
              </w:rPr>
              <w:t>Total revenue as pct. of GSP</w:t>
            </w:r>
          </w:p>
        </w:tc>
        <w:tc>
          <w:tcPr>
            <w:tcW w:w="1285" w:type="dxa"/>
          </w:tcPr>
          <w:p w14:paraId="208A5C76" w14:textId="77777777" w:rsidR="0046798B" w:rsidRDefault="0046798B">
            <w:pPr>
              <w:pStyle w:val="TableParagraph"/>
            </w:pPr>
          </w:p>
          <w:p w14:paraId="7709E545" w14:textId="77777777" w:rsidR="0046798B" w:rsidRDefault="0046798B">
            <w:pPr>
              <w:pStyle w:val="TableParagraph"/>
              <w:spacing w:before="8"/>
              <w:rPr>
                <w:sz w:val="21"/>
              </w:rPr>
            </w:pPr>
          </w:p>
          <w:p w14:paraId="51AD7011" w14:textId="77777777" w:rsidR="0046798B" w:rsidRDefault="00903B5C">
            <w:pPr>
              <w:pStyle w:val="TableParagraph"/>
              <w:spacing w:before="1"/>
              <w:ind w:left="114"/>
              <w:rPr>
                <w:sz w:val="20"/>
              </w:rPr>
            </w:pPr>
            <w:r>
              <w:rPr>
                <w:sz w:val="20"/>
              </w:rPr>
              <w:t>1942–2016</w:t>
            </w:r>
          </w:p>
        </w:tc>
        <w:tc>
          <w:tcPr>
            <w:tcW w:w="3421" w:type="dxa"/>
          </w:tcPr>
          <w:p w14:paraId="05B11A84" w14:textId="77777777" w:rsidR="0046798B" w:rsidRDefault="0046798B">
            <w:pPr>
              <w:pStyle w:val="TableParagraph"/>
            </w:pPr>
          </w:p>
          <w:p w14:paraId="7652E15D" w14:textId="77777777" w:rsidR="0046798B" w:rsidRDefault="00903B5C">
            <w:pPr>
              <w:pStyle w:val="TableParagraph"/>
              <w:spacing w:before="135"/>
              <w:ind w:left="114" w:right="211"/>
              <w:rPr>
                <w:sz w:val="20"/>
              </w:rPr>
            </w:pPr>
            <w:r>
              <w:rPr>
                <w:sz w:val="20"/>
              </w:rPr>
              <w:t>Total revenue as percent of gross state product</w:t>
            </w:r>
          </w:p>
        </w:tc>
        <w:tc>
          <w:tcPr>
            <w:tcW w:w="6482" w:type="dxa"/>
          </w:tcPr>
          <w:p w14:paraId="649C9B74" w14:textId="77777777" w:rsidR="0046798B" w:rsidRDefault="00903B5C">
            <w:pPr>
              <w:pStyle w:val="TableParagraph"/>
              <w:spacing w:before="43"/>
              <w:ind w:left="114" w:right="1111"/>
              <w:rPr>
                <w:sz w:val="20"/>
              </w:rPr>
            </w:pPr>
            <w:r>
              <w:rPr>
                <w:sz w:val="20"/>
              </w:rPr>
              <w:t xml:space="preserve">Klarner, Carl, 2013, “State Economic Data”, </w:t>
            </w:r>
            <w:hyperlink r:id="rId277">
              <w:r>
                <w:rPr>
                  <w:sz w:val="20"/>
                  <w:u w:val="single"/>
                </w:rPr>
                <w:t>https://doi.org/10.7910/DVN/KMWN7N</w:t>
              </w:r>
            </w:hyperlink>
            <w:r>
              <w:rPr>
                <w:sz w:val="20"/>
              </w:rPr>
              <w:t>, Harvard Dataverse, V1</w:t>
            </w:r>
          </w:p>
          <w:p w14:paraId="670495EB" w14:textId="77777777" w:rsidR="0046798B" w:rsidRDefault="0046798B">
            <w:pPr>
              <w:pStyle w:val="TableParagraph"/>
              <w:rPr>
                <w:sz w:val="20"/>
              </w:rPr>
            </w:pPr>
          </w:p>
          <w:p w14:paraId="35F83DFA" w14:textId="77777777" w:rsidR="0046798B" w:rsidRDefault="00903B5C">
            <w:pPr>
              <w:pStyle w:val="TableParagraph"/>
              <w:spacing w:before="1"/>
              <w:ind w:left="114"/>
              <w:rPr>
                <w:sz w:val="20"/>
              </w:rPr>
            </w:pPr>
            <w:r>
              <w:rPr>
                <w:sz w:val="20"/>
              </w:rPr>
              <w:t>STATA CODE:</w:t>
            </w:r>
          </w:p>
          <w:p w14:paraId="0F6E5EFD" w14:textId="77777777" w:rsidR="0046798B" w:rsidRDefault="00903B5C">
            <w:pPr>
              <w:pStyle w:val="TableParagraph"/>
              <w:ind w:left="114"/>
              <w:rPr>
                <w:sz w:val="20"/>
              </w:rPr>
            </w:pPr>
            <w:r>
              <w:rPr>
                <w:sz w:val="20"/>
              </w:rPr>
              <w:t>gen total_revenue_gsp= (total_revenue/(gsp_q*1000))*100</w:t>
            </w:r>
          </w:p>
        </w:tc>
      </w:tr>
      <w:tr w:rsidR="0046798B" w14:paraId="21658074" w14:textId="77777777">
        <w:trPr>
          <w:trHeight w:val="1235"/>
        </w:trPr>
        <w:tc>
          <w:tcPr>
            <w:tcW w:w="1711" w:type="dxa"/>
          </w:tcPr>
          <w:p w14:paraId="3B8F967D" w14:textId="77777777" w:rsidR="0046798B" w:rsidRDefault="0046798B">
            <w:pPr>
              <w:pStyle w:val="TableParagraph"/>
            </w:pPr>
          </w:p>
          <w:p w14:paraId="0E8D1BB8" w14:textId="77777777" w:rsidR="0046798B" w:rsidRDefault="00903B5C">
            <w:pPr>
              <w:pStyle w:val="TableParagraph"/>
              <w:spacing w:before="130"/>
              <w:ind w:left="115" w:right="110"/>
              <w:rPr>
                <w:b/>
                <w:sz w:val="20"/>
              </w:rPr>
            </w:pPr>
            <w:r>
              <w:rPr>
                <w:b/>
                <w:sz w:val="20"/>
              </w:rPr>
              <w:t>total_revenue_in c</w:t>
            </w:r>
          </w:p>
        </w:tc>
        <w:tc>
          <w:tcPr>
            <w:tcW w:w="1596" w:type="dxa"/>
          </w:tcPr>
          <w:p w14:paraId="566D214F" w14:textId="77777777" w:rsidR="0046798B" w:rsidRDefault="0046798B">
            <w:pPr>
              <w:pStyle w:val="TableParagraph"/>
              <w:spacing w:before="3"/>
              <w:rPr>
                <w:sz w:val="23"/>
              </w:rPr>
            </w:pPr>
          </w:p>
          <w:p w14:paraId="33A3A7C5" w14:textId="77777777" w:rsidR="0046798B" w:rsidRDefault="00903B5C">
            <w:pPr>
              <w:pStyle w:val="TableParagraph"/>
              <w:spacing w:before="1"/>
              <w:ind w:left="114" w:right="130"/>
              <w:rPr>
                <w:sz w:val="20"/>
              </w:rPr>
            </w:pPr>
            <w:r>
              <w:rPr>
                <w:sz w:val="20"/>
              </w:rPr>
              <w:t>Total revenue as pct. of personal income</w:t>
            </w:r>
          </w:p>
        </w:tc>
        <w:tc>
          <w:tcPr>
            <w:tcW w:w="1285" w:type="dxa"/>
          </w:tcPr>
          <w:p w14:paraId="286802C4" w14:textId="77777777" w:rsidR="0046798B" w:rsidRDefault="0046798B">
            <w:pPr>
              <w:pStyle w:val="TableParagraph"/>
            </w:pPr>
          </w:p>
          <w:p w14:paraId="393ED6A5" w14:textId="77777777" w:rsidR="0046798B" w:rsidRDefault="0046798B">
            <w:pPr>
              <w:pStyle w:val="TableParagraph"/>
              <w:spacing w:before="3"/>
              <w:rPr>
                <w:sz w:val="21"/>
              </w:rPr>
            </w:pPr>
          </w:p>
          <w:p w14:paraId="3ABD4FAF" w14:textId="77777777" w:rsidR="0046798B" w:rsidRDefault="00903B5C">
            <w:pPr>
              <w:pStyle w:val="TableParagraph"/>
              <w:spacing w:before="1"/>
              <w:ind w:left="114"/>
              <w:rPr>
                <w:sz w:val="20"/>
              </w:rPr>
            </w:pPr>
            <w:r>
              <w:rPr>
                <w:sz w:val="20"/>
              </w:rPr>
              <w:t>1941–2009</w:t>
            </w:r>
          </w:p>
        </w:tc>
        <w:tc>
          <w:tcPr>
            <w:tcW w:w="3421" w:type="dxa"/>
          </w:tcPr>
          <w:p w14:paraId="0BA6BAF4" w14:textId="77777777" w:rsidR="0046798B" w:rsidRDefault="0046798B">
            <w:pPr>
              <w:pStyle w:val="TableParagraph"/>
            </w:pPr>
          </w:p>
          <w:p w14:paraId="165ED5F8" w14:textId="77777777" w:rsidR="0046798B" w:rsidRDefault="00903B5C">
            <w:pPr>
              <w:pStyle w:val="TableParagraph"/>
              <w:spacing w:before="130"/>
              <w:ind w:left="114" w:right="372"/>
              <w:rPr>
                <w:sz w:val="20"/>
              </w:rPr>
            </w:pPr>
            <w:r>
              <w:rPr>
                <w:sz w:val="20"/>
              </w:rPr>
              <w:t>Total revenue as percent of personal income.</w:t>
            </w:r>
          </w:p>
        </w:tc>
        <w:tc>
          <w:tcPr>
            <w:tcW w:w="6482" w:type="dxa"/>
          </w:tcPr>
          <w:p w14:paraId="4F434ED4" w14:textId="77777777" w:rsidR="0046798B" w:rsidRDefault="00903B5C">
            <w:pPr>
              <w:pStyle w:val="TableParagraph"/>
              <w:spacing w:before="38"/>
              <w:ind w:left="114" w:right="1111"/>
              <w:rPr>
                <w:sz w:val="20"/>
              </w:rPr>
            </w:pPr>
            <w:r>
              <w:rPr>
                <w:sz w:val="20"/>
              </w:rPr>
              <w:t xml:space="preserve">Klarner, Carl, 2013, “State Economic Data”, </w:t>
            </w:r>
            <w:hyperlink r:id="rId278">
              <w:r>
                <w:rPr>
                  <w:sz w:val="20"/>
                  <w:u w:val="single"/>
                </w:rPr>
                <w:t>https://doi.org/10.7910/DVN/KMWN7N</w:t>
              </w:r>
            </w:hyperlink>
            <w:r>
              <w:rPr>
                <w:sz w:val="20"/>
              </w:rPr>
              <w:t>, Harvard Dataverse, V1</w:t>
            </w:r>
          </w:p>
          <w:p w14:paraId="6433FCA5" w14:textId="77777777" w:rsidR="0046798B" w:rsidRDefault="0046798B">
            <w:pPr>
              <w:pStyle w:val="TableParagraph"/>
              <w:rPr>
                <w:sz w:val="20"/>
              </w:rPr>
            </w:pPr>
          </w:p>
          <w:p w14:paraId="397039C8" w14:textId="77777777" w:rsidR="0046798B" w:rsidRDefault="00903B5C">
            <w:pPr>
              <w:pStyle w:val="TableParagraph"/>
              <w:ind w:left="114" w:right="2616"/>
              <w:rPr>
                <w:sz w:val="20"/>
              </w:rPr>
            </w:pPr>
            <w:r>
              <w:rPr>
                <w:sz w:val="20"/>
              </w:rPr>
              <w:t>STATA CODE: gen total_revenue_inc= (total_revenue/personal_income1000s_b)*100</w:t>
            </w:r>
          </w:p>
        </w:tc>
      </w:tr>
      <w:tr w:rsidR="0046798B" w14:paraId="46759C38" w14:textId="77777777">
        <w:trPr>
          <w:trHeight w:val="1005"/>
        </w:trPr>
        <w:tc>
          <w:tcPr>
            <w:tcW w:w="1711" w:type="dxa"/>
          </w:tcPr>
          <w:p w14:paraId="4DFDB0F7" w14:textId="77777777" w:rsidR="0046798B" w:rsidRDefault="0046798B">
            <w:pPr>
              <w:pStyle w:val="TableParagraph"/>
            </w:pPr>
          </w:p>
          <w:p w14:paraId="187AD0DE" w14:textId="77777777" w:rsidR="0046798B" w:rsidRDefault="00903B5C">
            <w:pPr>
              <w:pStyle w:val="TableParagraph"/>
              <w:spacing w:before="130"/>
              <w:ind w:left="115"/>
              <w:rPr>
                <w:b/>
                <w:sz w:val="20"/>
              </w:rPr>
            </w:pPr>
            <w:r>
              <w:rPr>
                <w:b/>
                <w:sz w:val="20"/>
              </w:rPr>
              <w:t>budgt_solv</w:t>
            </w:r>
          </w:p>
        </w:tc>
        <w:tc>
          <w:tcPr>
            <w:tcW w:w="1596" w:type="dxa"/>
          </w:tcPr>
          <w:p w14:paraId="3AABA605" w14:textId="77777777" w:rsidR="0046798B" w:rsidRDefault="0046798B">
            <w:pPr>
              <w:pStyle w:val="TableParagraph"/>
            </w:pPr>
          </w:p>
          <w:p w14:paraId="660CF1B2" w14:textId="77777777" w:rsidR="0046798B" w:rsidRDefault="00903B5C">
            <w:pPr>
              <w:pStyle w:val="TableParagraph"/>
              <w:spacing w:before="130"/>
              <w:ind w:left="114"/>
              <w:rPr>
                <w:sz w:val="20"/>
              </w:rPr>
            </w:pPr>
            <w:r>
              <w:rPr>
                <w:sz w:val="20"/>
              </w:rPr>
              <w:t>Budget solvency</w:t>
            </w:r>
          </w:p>
        </w:tc>
        <w:tc>
          <w:tcPr>
            <w:tcW w:w="1285" w:type="dxa"/>
          </w:tcPr>
          <w:p w14:paraId="19A11860" w14:textId="77777777" w:rsidR="0046798B" w:rsidRDefault="0046798B">
            <w:pPr>
              <w:pStyle w:val="TableParagraph"/>
            </w:pPr>
          </w:p>
          <w:p w14:paraId="5430E521" w14:textId="77777777" w:rsidR="0046798B" w:rsidRDefault="00903B5C">
            <w:pPr>
              <w:pStyle w:val="TableParagraph"/>
              <w:spacing w:before="130"/>
              <w:ind w:left="114"/>
              <w:rPr>
                <w:sz w:val="20"/>
              </w:rPr>
            </w:pPr>
            <w:r>
              <w:rPr>
                <w:sz w:val="20"/>
              </w:rPr>
              <w:t>2014</w:t>
            </w:r>
          </w:p>
        </w:tc>
        <w:tc>
          <w:tcPr>
            <w:tcW w:w="3421" w:type="dxa"/>
          </w:tcPr>
          <w:p w14:paraId="72D2FD0D" w14:textId="77777777" w:rsidR="0046798B" w:rsidRDefault="0046798B">
            <w:pPr>
              <w:pStyle w:val="TableParagraph"/>
              <w:spacing w:before="3"/>
              <w:rPr>
                <w:sz w:val="23"/>
              </w:rPr>
            </w:pPr>
          </w:p>
          <w:p w14:paraId="2342C24D" w14:textId="77777777" w:rsidR="0046798B" w:rsidRDefault="00903B5C">
            <w:pPr>
              <w:pStyle w:val="TableParagraph"/>
              <w:ind w:left="114" w:right="155"/>
              <w:rPr>
                <w:sz w:val="20"/>
              </w:rPr>
            </w:pPr>
            <w:r>
              <w:rPr>
                <w:sz w:val="20"/>
              </w:rPr>
              <w:t>A state’s standardized budget solvency index</w:t>
            </w:r>
          </w:p>
        </w:tc>
        <w:tc>
          <w:tcPr>
            <w:tcW w:w="6482" w:type="dxa"/>
          </w:tcPr>
          <w:p w14:paraId="5324D113" w14:textId="77777777" w:rsidR="0046798B" w:rsidRDefault="00903B5C">
            <w:pPr>
              <w:pStyle w:val="TableParagraph"/>
              <w:spacing w:before="38"/>
              <w:ind w:left="114" w:right="236"/>
              <w:rPr>
                <w:sz w:val="20"/>
              </w:rPr>
            </w:pPr>
            <w:r>
              <w:rPr>
                <w:sz w:val="20"/>
              </w:rPr>
              <w:t xml:space="preserve">Norcross, Eileen and Olivia Gonzalez. 2016. “Ranking the States by Fiscal Condition.” 2016 edition. Arlington, VA: Mercatus Research, Mercatus Center at George Mason University. </w:t>
            </w:r>
            <w:hyperlink r:id="rId279">
              <w:r>
                <w:rPr>
                  <w:sz w:val="20"/>
                  <w:u w:val="single"/>
                </w:rPr>
                <w:t>http://mercatus.org/sites/default/files/Norcross-Fiscal-Rankings-2-v2_1.pdf</w:t>
              </w:r>
              <w:r>
                <w:rPr>
                  <w:sz w:val="20"/>
                </w:rPr>
                <w:t>.</w:t>
              </w:r>
            </w:hyperlink>
          </w:p>
        </w:tc>
      </w:tr>
      <w:tr w:rsidR="0046798B" w14:paraId="2D454DD5" w14:textId="77777777">
        <w:trPr>
          <w:trHeight w:val="1005"/>
        </w:trPr>
        <w:tc>
          <w:tcPr>
            <w:tcW w:w="1711" w:type="dxa"/>
          </w:tcPr>
          <w:p w14:paraId="28F6F3C6" w14:textId="77777777" w:rsidR="0046798B" w:rsidRDefault="0046798B">
            <w:pPr>
              <w:pStyle w:val="TableParagraph"/>
            </w:pPr>
          </w:p>
          <w:p w14:paraId="24F2CE32" w14:textId="77777777" w:rsidR="0046798B" w:rsidRDefault="00903B5C">
            <w:pPr>
              <w:pStyle w:val="TableParagraph"/>
              <w:spacing w:before="130"/>
              <w:ind w:left="115"/>
              <w:rPr>
                <w:b/>
                <w:sz w:val="20"/>
              </w:rPr>
            </w:pPr>
            <w:r>
              <w:rPr>
                <w:b/>
                <w:sz w:val="20"/>
              </w:rPr>
              <w:t>c_ce_i</w:t>
            </w:r>
          </w:p>
        </w:tc>
        <w:tc>
          <w:tcPr>
            <w:tcW w:w="1596" w:type="dxa"/>
          </w:tcPr>
          <w:p w14:paraId="11DD10C9" w14:textId="77777777" w:rsidR="0046798B" w:rsidRDefault="00903B5C">
            <w:pPr>
              <w:pStyle w:val="TableParagraph"/>
              <w:spacing w:before="38"/>
              <w:ind w:left="114" w:right="224"/>
              <w:rPr>
                <w:sz w:val="20"/>
              </w:rPr>
            </w:pPr>
            <w:r>
              <w:rPr>
                <w:sz w:val="20"/>
              </w:rPr>
              <w:t>Cash + cash equivalents + investments (in thousands $)</w:t>
            </w:r>
          </w:p>
        </w:tc>
        <w:tc>
          <w:tcPr>
            <w:tcW w:w="1285" w:type="dxa"/>
          </w:tcPr>
          <w:p w14:paraId="68D9A078" w14:textId="77777777" w:rsidR="0046798B" w:rsidRDefault="0046798B">
            <w:pPr>
              <w:pStyle w:val="TableParagraph"/>
            </w:pPr>
          </w:p>
          <w:p w14:paraId="7FEE174C" w14:textId="77777777" w:rsidR="0046798B" w:rsidRDefault="00903B5C">
            <w:pPr>
              <w:pStyle w:val="TableParagraph"/>
              <w:spacing w:before="130"/>
              <w:ind w:left="114"/>
              <w:rPr>
                <w:sz w:val="20"/>
              </w:rPr>
            </w:pPr>
            <w:r>
              <w:rPr>
                <w:sz w:val="20"/>
              </w:rPr>
              <w:t>2014</w:t>
            </w:r>
          </w:p>
        </w:tc>
        <w:tc>
          <w:tcPr>
            <w:tcW w:w="3421" w:type="dxa"/>
          </w:tcPr>
          <w:p w14:paraId="6C00BA8A" w14:textId="77777777" w:rsidR="0046798B" w:rsidRDefault="0046798B">
            <w:pPr>
              <w:pStyle w:val="TableParagraph"/>
              <w:spacing w:before="3"/>
              <w:rPr>
                <w:sz w:val="23"/>
              </w:rPr>
            </w:pPr>
          </w:p>
          <w:p w14:paraId="73012AC1" w14:textId="77777777" w:rsidR="0046798B" w:rsidRDefault="00903B5C">
            <w:pPr>
              <w:pStyle w:val="TableParagraph"/>
              <w:spacing w:before="1"/>
              <w:ind w:left="114" w:right="474"/>
              <w:rPr>
                <w:sz w:val="20"/>
              </w:rPr>
            </w:pPr>
            <w:r>
              <w:rPr>
                <w:sz w:val="20"/>
              </w:rPr>
              <w:t>A state’s cash + cash equivalents + investments (in thousands $)</w:t>
            </w:r>
          </w:p>
        </w:tc>
        <w:tc>
          <w:tcPr>
            <w:tcW w:w="6482" w:type="dxa"/>
          </w:tcPr>
          <w:p w14:paraId="0ED21A3D" w14:textId="77777777" w:rsidR="0046798B" w:rsidRDefault="00903B5C">
            <w:pPr>
              <w:pStyle w:val="TableParagraph"/>
              <w:spacing w:before="38"/>
              <w:ind w:left="114" w:right="236"/>
              <w:rPr>
                <w:sz w:val="20"/>
              </w:rPr>
            </w:pPr>
            <w:r>
              <w:rPr>
                <w:sz w:val="20"/>
              </w:rPr>
              <w:t xml:space="preserve">Norcross, Eileen and Olivia Gonzalez. 2016. “Ranking the States by Fiscal Condition.” 2016 edition. Arlington, VA: Mercatus Research, Mercatus Center at George Mason University. </w:t>
            </w:r>
            <w:hyperlink r:id="rId280">
              <w:r>
                <w:rPr>
                  <w:sz w:val="20"/>
                  <w:u w:val="single"/>
                </w:rPr>
                <w:t>http://mercatus.org/sites/default/files/Norcross-Fiscal-Rankings-2-v2_1.pdf</w:t>
              </w:r>
              <w:r>
                <w:rPr>
                  <w:sz w:val="20"/>
                </w:rPr>
                <w:t>.</w:t>
              </w:r>
            </w:hyperlink>
          </w:p>
        </w:tc>
      </w:tr>
    </w:tbl>
    <w:p w14:paraId="56C7BCA5" w14:textId="77777777" w:rsidR="0046798B" w:rsidRDefault="0046798B">
      <w:pPr>
        <w:rPr>
          <w:sz w:val="20"/>
        </w:rPr>
        <w:sectPr w:rsidR="0046798B">
          <w:pgSz w:w="15840" w:h="12240" w:orient="landscape"/>
          <w:pgMar w:top="1220" w:right="300" w:bottom="980" w:left="820" w:header="730" w:footer="787" w:gutter="0"/>
          <w:cols w:space="720"/>
        </w:sectPr>
      </w:pPr>
    </w:p>
    <w:p w14:paraId="479CDEBB"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3A49B07C" w14:textId="77777777">
        <w:trPr>
          <w:trHeight w:val="1235"/>
        </w:trPr>
        <w:tc>
          <w:tcPr>
            <w:tcW w:w="1711" w:type="dxa"/>
          </w:tcPr>
          <w:p w14:paraId="68198F23" w14:textId="77777777" w:rsidR="0046798B" w:rsidRDefault="0046798B">
            <w:pPr>
              <w:pStyle w:val="TableParagraph"/>
            </w:pPr>
          </w:p>
          <w:p w14:paraId="37951E70" w14:textId="77777777" w:rsidR="0046798B" w:rsidRDefault="0046798B">
            <w:pPr>
              <w:pStyle w:val="TableParagraph"/>
              <w:spacing w:before="9"/>
              <w:rPr>
                <w:sz w:val="21"/>
              </w:rPr>
            </w:pPr>
          </w:p>
          <w:p w14:paraId="6EBD77AA" w14:textId="77777777" w:rsidR="0046798B" w:rsidRDefault="00903B5C">
            <w:pPr>
              <w:pStyle w:val="TableParagraph"/>
              <w:ind w:left="115"/>
              <w:rPr>
                <w:b/>
                <w:sz w:val="20"/>
              </w:rPr>
            </w:pPr>
            <w:r>
              <w:rPr>
                <w:b/>
                <w:sz w:val="20"/>
              </w:rPr>
              <w:t>c_ce_i_r</w:t>
            </w:r>
          </w:p>
        </w:tc>
        <w:tc>
          <w:tcPr>
            <w:tcW w:w="1596" w:type="dxa"/>
          </w:tcPr>
          <w:p w14:paraId="75A4B1CF" w14:textId="77777777" w:rsidR="0046798B" w:rsidRDefault="00903B5C">
            <w:pPr>
              <w:pStyle w:val="TableParagraph"/>
              <w:spacing w:before="43"/>
              <w:ind w:left="114" w:right="280"/>
              <w:rPr>
                <w:sz w:val="20"/>
              </w:rPr>
            </w:pPr>
            <w:r>
              <w:rPr>
                <w:sz w:val="20"/>
              </w:rPr>
              <w:t>Cash + cash equivalents + investments + receivables (in thousands $)</w:t>
            </w:r>
          </w:p>
        </w:tc>
        <w:tc>
          <w:tcPr>
            <w:tcW w:w="1285" w:type="dxa"/>
          </w:tcPr>
          <w:p w14:paraId="4A46588C" w14:textId="77777777" w:rsidR="0046798B" w:rsidRDefault="0046798B">
            <w:pPr>
              <w:pStyle w:val="TableParagraph"/>
            </w:pPr>
          </w:p>
          <w:p w14:paraId="07BFC090" w14:textId="77777777" w:rsidR="0046798B" w:rsidRDefault="0046798B">
            <w:pPr>
              <w:pStyle w:val="TableParagraph"/>
              <w:spacing w:before="9"/>
              <w:rPr>
                <w:sz w:val="21"/>
              </w:rPr>
            </w:pPr>
          </w:p>
          <w:p w14:paraId="624B15A6" w14:textId="77777777" w:rsidR="0046798B" w:rsidRDefault="00903B5C">
            <w:pPr>
              <w:pStyle w:val="TableParagraph"/>
              <w:ind w:left="114"/>
              <w:rPr>
                <w:sz w:val="20"/>
              </w:rPr>
            </w:pPr>
            <w:r>
              <w:rPr>
                <w:sz w:val="20"/>
              </w:rPr>
              <w:t>2014</w:t>
            </w:r>
          </w:p>
        </w:tc>
        <w:tc>
          <w:tcPr>
            <w:tcW w:w="3421" w:type="dxa"/>
          </w:tcPr>
          <w:p w14:paraId="758A6A20" w14:textId="77777777" w:rsidR="0046798B" w:rsidRDefault="0046798B">
            <w:pPr>
              <w:pStyle w:val="TableParagraph"/>
              <w:spacing w:before="9"/>
              <w:rPr>
                <w:sz w:val="23"/>
              </w:rPr>
            </w:pPr>
          </w:p>
          <w:p w14:paraId="5A16523F" w14:textId="77777777" w:rsidR="0046798B" w:rsidRDefault="00903B5C">
            <w:pPr>
              <w:pStyle w:val="TableParagraph"/>
              <w:ind w:left="114" w:right="87"/>
              <w:rPr>
                <w:sz w:val="20"/>
              </w:rPr>
            </w:pPr>
            <w:r>
              <w:rPr>
                <w:sz w:val="20"/>
              </w:rPr>
              <w:t>A state’s cash + cash equivalents + investments + receivables (in thousands</w:t>
            </w:r>
          </w:p>
          <w:p w14:paraId="255E2836" w14:textId="77777777" w:rsidR="0046798B" w:rsidRDefault="00903B5C">
            <w:pPr>
              <w:pStyle w:val="TableParagraph"/>
              <w:ind w:left="114"/>
              <w:rPr>
                <w:sz w:val="20"/>
              </w:rPr>
            </w:pPr>
            <w:r>
              <w:rPr>
                <w:sz w:val="20"/>
              </w:rPr>
              <w:t>$)</w:t>
            </w:r>
          </w:p>
        </w:tc>
        <w:tc>
          <w:tcPr>
            <w:tcW w:w="6482" w:type="dxa"/>
          </w:tcPr>
          <w:p w14:paraId="2839539F" w14:textId="77777777" w:rsidR="0046798B" w:rsidRDefault="00903B5C">
            <w:pPr>
              <w:pStyle w:val="TableParagraph"/>
              <w:spacing w:before="158"/>
              <w:ind w:left="114" w:right="236"/>
              <w:rPr>
                <w:sz w:val="20"/>
              </w:rPr>
            </w:pPr>
            <w:r>
              <w:rPr>
                <w:sz w:val="20"/>
              </w:rPr>
              <w:t xml:space="preserve">Norcross, Eileen and Olivia Gonzalez. 2016. “Ranking the States by Fiscal Condition.” 2016 edition. Arlington, VA: Mercatus Research, Mercatus Center at George Mason University. </w:t>
            </w:r>
            <w:hyperlink r:id="rId281">
              <w:r>
                <w:rPr>
                  <w:sz w:val="20"/>
                  <w:u w:val="single"/>
                </w:rPr>
                <w:t>http://mercatus.org/sites/default/files/Norcross-Fiscal-Rankings-2-v2_1.pdf</w:t>
              </w:r>
              <w:r>
                <w:rPr>
                  <w:sz w:val="20"/>
                </w:rPr>
                <w:t>.</w:t>
              </w:r>
            </w:hyperlink>
          </w:p>
        </w:tc>
      </w:tr>
      <w:tr w:rsidR="0046798B" w14:paraId="5C7C170A" w14:textId="77777777">
        <w:trPr>
          <w:trHeight w:val="1005"/>
        </w:trPr>
        <w:tc>
          <w:tcPr>
            <w:tcW w:w="1711" w:type="dxa"/>
          </w:tcPr>
          <w:p w14:paraId="380467F4" w14:textId="77777777" w:rsidR="0046798B" w:rsidRDefault="0046798B">
            <w:pPr>
              <w:pStyle w:val="TableParagraph"/>
            </w:pPr>
          </w:p>
          <w:p w14:paraId="1C14CC7E" w14:textId="77777777" w:rsidR="0046798B" w:rsidRDefault="00903B5C">
            <w:pPr>
              <w:pStyle w:val="TableParagraph"/>
              <w:spacing w:before="136"/>
              <w:ind w:left="115"/>
              <w:rPr>
                <w:b/>
                <w:sz w:val="20"/>
              </w:rPr>
            </w:pPr>
            <w:r>
              <w:rPr>
                <w:b/>
                <w:sz w:val="20"/>
              </w:rPr>
              <w:t>cash_index</w:t>
            </w:r>
          </w:p>
        </w:tc>
        <w:tc>
          <w:tcPr>
            <w:tcW w:w="1596" w:type="dxa"/>
          </w:tcPr>
          <w:p w14:paraId="64F5B0DF" w14:textId="77777777" w:rsidR="0046798B" w:rsidRDefault="0046798B">
            <w:pPr>
              <w:pStyle w:val="TableParagraph"/>
            </w:pPr>
          </w:p>
          <w:p w14:paraId="408F5692" w14:textId="77777777" w:rsidR="0046798B" w:rsidRDefault="00903B5C">
            <w:pPr>
              <w:pStyle w:val="TableParagraph"/>
              <w:spacing w:before="136"/>
              <w:ind w:left="114"/>
              <w:rPr>
                <w:sz w:val="20"/>
              </w:rPr>
            </w:pPr>
            <w:r>
              <w:rPr>
                <w:sz w:val="20"/>
              </w:rPr>
              <w:t>Cash solvency</w:t>
            </w:r>
          </w:p>
        </w:tc>
        <w:tc>
          <w:tcPr>
            <w:tcW w:w="1285" w:type="dxa"/>
          </w:tcPr>
          <w:p w14:paraId="55F8E6AB" w14:textId="77777777" w:rsidR="0046798B" w:rsidRDefault="0046798B">
            <w:pPr>
              <w:pStyle w:val="TableParagraph"/>
            </w:pPr>
          </w:p>
          <w:p w14:paraId="48B620D6" w14:textId="77777777" w:rsidR="0046798B" w:rsidRDefault="00903B5C">
            <w:pPr>
              <w:pStyle w:val="TableParagraph"/>
              <w:spacing w:before="136"/>
              <w:ind w:left="114"/>
              <w:rPr>
                <w:sz w:val="20"/>
              </w:rPr>
            </w:pPr>
            <w:r>
              <w:rPr>
                <w:sz w:val="20"/>
              </w:rPr>
              <w:t>2014</w:t>
            </w:r>
          </w:p>
        </w:tc>
        <w:tc>
          <w:tcPr>
            <w:tcW w:w="3421" w:type="dxa"/>
          </w:tcPr>
          <w:p w14:paraId="0E168F1B" w14:textId="77777777" w:rsidR="0046798B" w:rsidRDefault="0046798B">
            <w:pPr>
              <w:pStyle w:val="TableParagraph"/>
              <w:spacing w:before="9"/>
              <w:rPr>
                <w:sz w:val="23"/>
              </w:rPr>
            </w:pPr>
          </w:p>
          <w:p w14:paraId="127CBEBA" w14:textId="77777777" w:rsidR="0046798B" w:rsidRDefault="00903B5C">
            <w:pPr>
              <w:pStyle w:val="TableParagraph"/>
              <w:ind w:left="114" w:right="344"/>
              <w:rPr>
                <w:sz w:val="20"/>
              </w:rPr>
            </w:pPr>
            <w:r>
              <w:rPr>
                <w:sz w:val="20"/>
              </w:rPr>
              <w:t>A state’s standardized cash solvency index</w:t>
            </w:r>
          </w:p>
        </w:tc>
        <w:tc>
          <w:tcPr>
            <w:tcW w:w="6482" w:type="dxa"/>
          </w:tcPr>
          <w:p w14:paraId="56AD96B9" w14:textId="77777777" w:rsidR="0046798B" w:rsidRDefault="00903B5C">
            <w:pPr>
              <w:pStyle w:val="TableParagraph"/>
              <w:spacing w:before="43"/>
              <w:ind w:left="114" w:right="236"/>
              <w:rPr>
                <w:sz w:val="20"/>
              </w:rPr>
            </w:pPr>
            <w:r>
              <w:rPr>
                <w:sz w:val="20"/>
              </w:rPr>
              <w:t xml:space="preserve">Norcross, Eileen and Olivia Gonzalez. 2016. “Ranking the States by Fiscal Condition.” 2016 edition. Arlington, VA: Mercatus Research, Mercatus Center at George Mason University. </w:t>
            </w:r>
            <w:hyperlink r:id="rId282">
              <w:r>
                <w:rPr>
                  <w:sz w:val="20"/>
                  <w:u w:val="single"/>
                </w:rPr>
                <w:t>http://mercatus.org/sites/default/files/Norcross-Fiscal-Rankings-2-v2_1.pdf</w:t>
              </w:r>
              <w:r>
                <w:rPr>
                  <w:sz w:val="20"/>
                </w:rPr>
                <w:t>.</w:t>
              </w:r>
            </w:hyperlink>
          </w:p>
        </w:tc>
      </w:tr>
      <w:tr w:rsidR="0046798B" w14:paraId="27888524" w14:textId="77777777">
        <w:trPr>
          <w:trHeight w:val="1700"/>
        </w:trPr>
        <w:tc>
          <w:tcPr>
            <w:tcW w:w="1711" w:type="dxa"/>
          </w:tcPr>
          <w:p w14:paraId="1F8CC0B0" w14:textId="77777777" w:rsidR="0046798B" w:rsidRDefault="0046798B">
            <w:pPr>
              <w:pStyle w:val="TableParagraph"/>
            </w:pPr>
          </w:p>
          <w:p w14:paraId="75C8E28C" w14:textId="77777777" w:rsidR="0046798B" w:rsidRDefault="0046798B">
            <w:pPr>
              <w:pStyle w:val="TableParagraph"/>
            </w:pPr>
          </w:p>
          <w:p w14:paraId="36A8010F" w14:textId="77777777" w:rsidR="0046798B" w:rsidRDefault="0046798B">
            <w:pPr>
              <w:pStyle w:val="TableParagraph"/>
              <w:spacing w:before="9"/>
              <w:rPr>
                <w:sz w:val="19"/>
              </w:rPr>
            </w:pPr>
          </w:p>
          <w:p w14:paraId="663D5B03" w14:textId="77777777" w:rsidR="0046798B" w:rsidRDefault="00903B5C">
            <w:pPr>
              <w:pStyle w:val="TableParagraph"/>
              <w:ind w:left="115"/>
              <w:rPr>
                <w:b/>
                <w:sz w:val="20"/>
              </w:rPr>
            </w:pPr>
            <w:r>
              <w:rPr>
                <w:b/>
                <w:sz w:val="20"/>
              </w:rPr>
              <w:t>cash_ratio</w:t>
            </w:r>
          </w:p>
        </w:tc>
        <w:tc>
          <w:tcPr>
            <w:tcW w:w="1596" w:type="dxa"/>
          </w:tcPr>
          <w:p w14:paraId="5AD975A1" w14:textId="77777777" w:rsidR="0046798B" w:rsidRDefault="0046798B">
            <w:pPr>
              <w:pStyle w:val="TableParagraph"/>
            </w:pPr>
          </w:p>
          <w:p w14:paraId="63827EC6" w14:textId="77777777" w:rsidR="0046798B" w:rsidRDefault="0046798B">
            <w:pPr>
              <w:pStyle w:val="TableParagraph"/>
            </w:pPr>
          </w:p>
          <w:p w14:paraId="2046513E" w14:textId="77777777" w:rsidR="0046798B" w:rsidRDefault="0046798B">
            <w:pPr>
              <w:pStyle w:val="TableParagraph"/>
              <w:spacing w:before="9"/>
              <w:rPr>
                <w:sz w:val="19"/>
              </w:rPr>
            </w:pPr>
          </w:p>
          <w:p w14:paraId="44A76CCC" w14:textId="77777777" w:rsidR="0046798B" w:rsidRDefault="00903B5C">
            <w:pPr>
              <w:pStyle w:val="TableParagraph"/>
              <w:ind w:left="114"/>
              <w:rPr>
                <w:sz w:val="20"/>
              </w:rPr>
            </w:pPr>
            <w:r>
              <w:rPr>
                <w:sz w:val="20"/>
              </w:rPr>
              <w:t>Cash ratio</w:t>
            </w:r>
          </w:p>
        </w:tc>
        <w:tc>
          <w:tcPr>
            <w:tcW w:w="1285" w:type="dxa"/>
          </w:tcPr>
          <w:p w14:paraId="6605AD91" w14:textId="77777777" w:rsidR="0046798B" w:rsidRDefault="0046798B">
            <w:pPr>
              <w:pStyle w:val="TableParagraph"/>
            </w:pPr>
          </w:p>
          <w:p w14:paraId="02E07D41" w14:textId="77777777" w:rsidR="0046798B" w:rsidRDefault="0046798B">
            <w:pPr>
              <w:pStyle w:val="TableParagraph"/>
            </w:pPr>
          </w:p>
          <w:p w14:paraId="7931D777" w14:textId="77777777" w:rsidR="0046798B" w:rsidRDefault="0046798B">
            <w:pPr>
              <w:pStyle w:val="TableParagraph"/>
              <w:spacing w:before="9"/>
              <w:rPr>
                <w:sz w:val="19"/>
              </w:rPr>
            </w:pPr>
          </w:p>
          <w:p w14:paraId="0823DA8F" w14:textId="77777777" w:rsidR="0046798B" w:rsidRDefault="00903B5C">
            <w:pPr>
              <w:pStyle w:val="TableParagraph"/>
              <w:ind w:left="114"/>
              <w:rPr>
                <w:sz w:val="20"/>
              </w:rPr>
            </w:pPr>
            <w:r>
              <w:rPr>
                <w:sz w:val="20"/>
              </w:rPr>
              <w:t>2014</w:t>
            </w:r>
          </w:p>
        </w:tc>
        <w:tc>
          <w:tcPr>
            <w:tcW w:w="3421" w:type="dxa"/>
          </w:tcPr>
          <w:p w14:paraId="628460C3" w14:textId="77777777" w:rsidR="0046798B" w:rsidRDefault="00903B5C">
            <w:pPr>
              <w:pStyle w:val="TableParagraph"/>
              <w:spacing w:before="43"/>
              <w:ind w:left="114"/>
              <w:rPr>
                <w:sz w:val="20"/>
              </w:rPr>
            </w:pPr>
            <w:r>
              <w:rPr>
                <w:sz w:val="20"/>
              </w:rPr>
              <w:t>A state’s cash ratio:</w:t>
            </w:r>
          </w:p>
          <w:p w14:paraId="0B80F741" w14:textId="77777777" w:rsidR="0046798B" w:rsidRDefault="0046798B">
            <w:pPr>
              <w:pStyle w:val="TableParagraph"/>
              <w:rPr>
                <w:sz w:val="20"/>
              </w:rPr>
            </w:pPr>
          </w:p>
          <w:p w14:paraId="6D9A26FE" w14:textId="77777777" w:rsidR="0046798B" w:rsidRDefault="00903B5C">
            <w:pPr>
              <w:pStyle w:val="TableParagraph"/>
              <w:ind w:left="114" w:right="838"/>
              <w:rPr>
                <w:sz w:val="20"/>
              </w:rPr>
            </w:pPr>
            <w:r>
              <w:rPr>
                <w:sz w:val="20"/>
              </w:rPr>
              <w:t>(cash + cash equivalents + investments)/current liabilities</w:t>
            </w:r>
          </w:p>
          <w:p w14:paraId="4DD6C8D2" w14:textId="77777777" w:rsidR="0046798B" w:rsidRDefault="0046798B">
            <w:pPr>
              <w:pStyle w:val="TableParagraph"/>
              <w:rPr>
                <w:sz w:val="20"/>
              </w:rPr>
            </w:pPr>
          </w:p>
          <w:p w14:paraId="43E30584" w14:textId="77777777" w:rsidR="0046798B" w:rsidRDefault="00903B5C">
            <w:pPr>
              <w:pStyle w:val="TableParagraph"/>
              <w:ind w:left="114" w:right="533"/>
              <w:rPr>
                <w:sz w:val="20"/>
              </w:rPr>
            </w:pPr>
            <w:r>
              <w:rPr>
                <w:sz w:val="20"/>
              </w:rPr>
              <w:t>Higher ratio indicates greater cash solvency</w:t>
            </w:r>
          </w:p>
        </w:tc>
        <w:tc>
          <w:tcPr>
            <w:tcW w:w="6482" w:type="dxa"/>
          </w:tcPr>
          <w:p w14:paraId="77578200" w14:textId="77777777" w:rsidR="0046798B" w:rsidRDefault="0046798B">
            <w:pPr>
              <w:pStyle w:val="TableParagraph"/>
            </w:pPr>
          </w:p>
          <w:p w14:paraId="73232D29" w14:textId="77777777" w:rsidR="0046798B" w:rsidRDefault="00903B5C">
            <w:pPr>
              <w:pStyle w:val="TableParagraph"/>
              <w:spacing w:before="135"/>
              <w:ind w:left="114" w:right="236"/>
              <w:rPr>
                <w:sz w:val="20"/>
              </w:rPr>
            </w:pPr>
            <w:r>
              <w:rPr>
                <w:sz w:val="20"/>
              </w:rPr>
              <w:t xml:space="preserve">Norcross, Eileen and Olivia Gonzalez. 2016. “Ranking the States by Fiscal Condition.” 2016 edition. Arlington, VA: Mercatus Research, Mercatus Center at George Mason University. </w:t>
            </w:r>
            <w:hyperlink r:id="rId283">
              <w:r>
                <w:rPr>
                  <w:sz w:val="20"/>
                  <w:u w:val="single"/>
                </w:rPr>
                <w:t>http://mercatus.org/sites/default/files/Norcross-Fiscal-Rankings-2-v2_1.pdf</w:t>
              </w:r>
              <w:r>
                <w:rPr>
                  <w:sz w:val="20"/>
                </w:rPr>
                <w:t>.</w:t>
              </w:r>
            </w:hyperlink>
          </w:p>
        </w:tc>
      </w:tr>
      <w:tr w:rsidR="0046798B" w14:paraId="014C9654" w14:textId="77777777">
        <w:trPr>
          <w:trHeight w:val="1005"/>
        </w:trPr>
        <w:tc>
          <w:tcPr>
            <w:tcW w:w="1711" w:type="dxa"/>
          </w:tcPr>
          <w:p w14:paraId="3B688AAC" w14:textId="77777777" w:rsidR="0046798B" w:rsidRDefault="0046798B">
            <w:pPr>
              <w:pStyle w:val="TableParagraph"/>
              <w:spacing w:before="4"/>
              <w:rPr>
                <w:sz w:val="23"/>
              </w:rPr>
            </w:pPr>
          </w:p>
          <w:p w14:paraId="349CC519" w14:textId="77777777" w:rsidR="0046798B" w:rsidRDefault="00903B5C">
            <w:pPr>
              <w:pStyle w:val="TableParagraph"/>
              <w:ind w:left="115"/>
              <w:rPr>
                <w:b/>
                <w:sz w:val="20"/>
              </w:rPr>
            </w:pPr>
            <w:r>
              <w:rPr>
                <w:b/>
                <w:sz w:val="20"/>
              </w:rPr>
              <w:t>change_in_net_a ssets</w:t>
            </w:r>
          </w:p>
        </w:tc>
        <w:tc>
          <w:tcPr>
            <w:tcW w:w="1596" w:type="dxa"/>
          </w:tcPr>
          <w:p w14:paraId="7D421709" w14:textId="77777777" w:rsidR="0046798B" w:rsidRDefault="0046798B">
            <w:pPr>
              <w:pStyle w:val="TableParagraph"/>
              <w:spacing w:before="4"/>
              <w:rPr>
                <w:sz w:val="23"/>
              </w:rPr>
            </w:pPr>
          </w:p>
          <w:p w14:paraId="6B7AB4FE" w14:textId="77777777" w:rsidR="0046798B" w:rsidRDefault="00903B5C">
            <w:pPr>
              <w:pStyle w:val="TableParagraph"/>
              <w:ind w:left="114" w:right="341"/>
              <w:rPr>
                <w:sz w:val="20"/>
              </w:rPr>
            </w:pPr>
            <w:r>
              <w:rPr>
                <w:sz w:val="20"/>
              </w:rPr>
              <w:t>Change in net assets</w:t>
            </w:r>
          </w:p>
        </w:tc>
        <w:tc>
          <w:tcPr>
            <w:tcW w:w="1285" w:type="dxa"/>
          </w:tcPr>
          <w:p w14:paraId="5D7E76DF" w14:textId="77777777" w:rsidR="0046798B" w:rsidRDefault="0046798B">
            <w:pPr>
              <w:pStyle w:val="TableParagraph"/>
            </w:pPr>
          </w:p>
          <w:p w14:paraId="57A339ED" w14:textId="77777777" w:rsidR="0046798B" w:rsidRDefault="00903B5C">
            <w:pPr>
              <w:pStyle w:val="TableParagraph"/>
              <w:spacing w:before="130"/>
              <w:ind w:left="114"/>
              <w:rPr>
                <w:sz w:val="20"/>
              </w:rPr>
            </w:pPr>
            <w:r>
              <w:rPr>
                <w:sz w:val="20"/>
              </w:rPr>
              <w:t>2014</w:t>
            </w:r>
          </w:p>
        </w:tc>
        <w:tc>
          <w:tcPr>
            <w:tcW w:w="3421" w:type="dxa"/>
          </w:tcPr>
          <w:p w14:paraId="2BF22F09" w14:textId="77777777" w:rsidR="0046798B" w:rsidRDefault="0046798B">
            <w:pPr>
              <w:pStyle w:val="TableParagraph"/>
            </w:pPr>
          </w:p>
          <w:p w14:paraId="0503425E" w14:textId="77777777" w:rsidR="0046798B" w:rsidRDefault="00903B5C">
            <w:pPr>
              <w:pStyle w:val="TableParagraph"/>
              <w:spacing w:before="130"/>
              <w:ind w:left="114"/>
              <w:rPr>
                <w:sz w:val="20"/>
              </w:rPr>
            </w:pPr>
            <w:r>
              <w:rPr>
                <w:sz w:val="20"/>
              </w:rPr>
              <w:t>A state’s change in net assets</w:t>
            </w:r>
          </w:p>
        </w:tc>
        <w:tc>
          <w:tcPr>
            <w:tcW w:w="6482" w:type="dxa"/>
          </w:tcPr>
          <w:p w14:paraId="6915B84F" w14:textId="77777777" w:rsidR="0046798B" w:rsidRDefault="00903B5C">
            <w:pPr>
              <w:pStyle w:val="TableParagraph"/>
              <w:spacing w:before="38"/>
              <w:ind w:left="114" w:right="236"/>
              <w:rPr>
                <w:sz w:val="20"/>
              </w:rPr>
            </w:pPr>
            <w:r>
              <w:rPr>
                <w:sz w:val="20"/>
              </w:rPr>
              <w:t xml:space="preserve">Norcross, Eileen and Olivia Gonzalez. 2016. “Ranking the States by Fiscal Condition.” 2016 edition. Arlington, VA: Mercatus Research, Mercatus Center at George Mason University. </w:t>
            </w:r>
            <w:hyperlink r:id="rId284">
              <w:r>
                <w:rPr>
                  <w:sz w:val="20"/>
                  <w:u w:val="single"/>
                </w:rPr>
                <w:t>http://mercatus.org/sites/default/files/Norcross-Fiscal-Rankings-2-v2_1.pdf</w:t>
              </w:r>
              <w:r>
                <w:rPr>
                  <w:sz w:val="20"/>
                </w:rPr>
                <w:t>.</w:t>
              </w:r>
            </w:hyperlink>
          </w:p>
        </w:tc>
      </w:tr>
      <w:tr w:rsidR="0046798B" w14:paraId="0C883F7A" w14:textId="77777777">
        <w:trPr>
          <w:trHeight w:val="1005"/>
        </w:trPr>
        <w:tc>
          <w:tcPr>
            <w:tcW w:w="1711" w:type="dxa"/>
          </w:tcPr>
          <w:p w14:paraId="722FD002" w14:textId="77777777" w:rsidR="0046798B" w:rsidRDefault="0046798B">
            <w:pPr>
              <w:pStyle w:val="TableParagraph"/>
              <w:spacing w:before="4"/>
              <w:rPr>
                <w:sz w:val="23"/>
              </w:rPr>
            </w:pPr>
          </w:p>
          <w:p w14:paraId="2F4BBF1C" w14:textId="77777777" w:rsidR="0046798B" w:rsidRDefault="00903B5C">
            <w:pPr>
              <w:pStyle w:val="TableParagraph"/>
              <w:ind w:left="115" w:right="110"/>
              <w:rPr>
                <w:b/>
                <w:sz w:val="20"/>
              </w:rPr>
            </w:pPr>
            <w:r>
              <w:rPr>
                <w:b/>
                <w:sz w:val="20"/>
              </w:rPr>
              <w:t>current_liabilitie s</w:t>
            </w:r>
          </w:p>
        </w:tc>
        <w:tc>
          <w:tcPr>
            <w:tcW w:w="1596" w:type="dxa"/>
          </w:tcPr>
          <w:p w14:paraId="07EF6739" w14:textId="77777777" w:rsidR="0046798B" w:rsidRDefault="00903B5C">
            <w:pPr>
              <w:pStyle w:val="TableParagraph"/>
              <w:spacing w:before="154"/>
              <w:ind w:left="114" w:right="435"/>
              <w:rPr>
                <w:sz w:val="20"/>
              </w:rPr>
            </w:pPr>
            <w:r>
              <w:rPr>
                <w:sz w:val="20"/>
              </w:rPr>
              <w:t>Current liabilities (in thousands $)</w:t>
            </w:r>
          </w:p>
        </w:tc>
        <w:tc>
          <w:tcPr>
            <w:tcW w:w="1285" w:type="dxa"/>
          </w:tcPr>
          <w:p w14:paraId="0657A537" w14:textId="77777777" w:rsidR="0046798B" w:rsidRDefault="0046798B">
            <w:pPr>
              <w:pStyle w:val="TableParagraph"/>
            </w:pPr>
          </w:p>
          <w:p w14:paraId="6B69E899" w14:textId="77777777" w:rsidR="0046798B" w:rsidRDefault="00903B5C">
            <w:pPr>
              <w:pStyle w:val="TableParagraph"/>
              <w:spacing w:before="131"/>
              <w:ind w:left="114"/>
              <w:rPr>
                <w:sz w:val="20"/>
              </w:rPr>
            </w:pPr>
            <w:r>
              <w:rPr>
                <w:sz w:val="20"/>
              </w:rPr>
              <w:t>2014</w:t>
            </w:r>
          </w:p>
        </w:tc>
        <w:tc>
          <w:tcPr>
            <w:tcW w:w="3421" w:type="dxa"/>
          </w:tcPr>
          <w:p w14:paraId="590D2992" w14:textId="77777777" w:rsidR="0046798B" w:rsidRDefault="0046798B">
            <w:pPr>
              <w:pStyle w:val="TableParagraph"/>
              <w:spacing w:before="4"/>
              <w:rPr>
                <w:sz w:val="23"/>
              </w:rPr>
            </w:pPr>
          </w:p>
          <w:p w14:paraId="6900A6C5" w14:textId="77777777" w:rsidR="0046798B" w:rsidRDefault="00903B5C">
            <w:pPr>
              <w:pStyle w:val="TableParagraph"/>
              <w:ind w:left="114" w:right="888"/>
              <w:rPr>
                <w:sz w:val="20"/>
              </w:rPr>
            </w:pPr>
            <w:r>
              <w:rPr>
                <w:sz w:val="20"/>
              </w:rPr>
              <w:t>A state’s current liabilities (in thousands $)</w:t>
            </w:r>
          </w:p>
        </w:tc>
        <w:tc>
          <w:tcPr>
            <w:tcW w:w="6482" w:type="dxa"/>
          </w:tcPr>
          <w:p w14:paraId="590AC083" w14:textId="77777777" w:rsidR="0046798B" w:rsidRDefault="00903B5C">
            <w:pPr>
              <w:pStyle w:val="TableParagraph"/>
              <w:spacing w:before="38"/>
              <w:ind w:left="114" w:right="236"/>
              <w:rPr>
                <w:sz w:val="20"/>
              </w:rPr>
            </w:pPr>
            <w:r>
              <w:rPr>
                <w:sz w:val="20"/>
              </w:rPr>
              <w:t xml:space="preserve">Norcross, Eileen and Olivia Gonzalez. 2016. “Ranking the States by Fiscal Condition.” 2016 edition. Arlington, VA: Mercatus Research, Mercatus Center at George Mason University. </w:t>
            </w:r>
            <w:hyperlink r:id="rId285">
              <w:r>
                <w:rPr>
                  <w:sz w:val="20"/>
                  <w:u w:val="single"/>
                </w:rPr>
                <w:t>http://mercatus.org/sites/default/files/Norcross-Fiscal-Rankings-2-v2_1.pdf</w:t>
              </w:r>
              <w:r>
                <w:rPr>
                  <w:sz w:val="20"/>
                </w:rPr>
                <w:t>.</w:t>
              </w:r>
            </w:hyperlink>
          </w:p>
        </w:tc>
      </w:tr>
      <w:tr w:rsidR="0046798B" w14:paraId="05CB3294" w14:textId="77777777">
        <w:trPr>
          <w:trHeight w:val="1465"/>
        </w:trPr>
        <w:tc>
          <w:tcPr>
            <w:tcW w:w="1711" w:type="dxa"/>
          </w:tcPr>
          <w:p w14:paraId="61F7F5A6" w14:textId="77777777" w:rsidR="0046798B" w:rsidRDefault="0046798B">
            <w:pPr>
              <w:pStyle w:val="TableParagraph"/>
            </w:pPr>
          </w:p>
          <w:p w14:paraId="0097C257" w14:textId="77777777" w:rsidR="0046798B" w:rsidRDefault="0046798B">
            <w:pPr>
              <w:pStyle w:val="TableParagraph"/>
              <w:spacing w:before="4"/>
              <w:rPr>
                <w:sz w:val="31"/>
              </w:rPr>
            </w:pPr>
          </w:p>
          <w:p w14:paraId="59073FB2" w14:textId="77777777" w:rsidR="0046798B" w:rsidRDefault="00903B5C">
            <w:pPr>
              <w:pStyle w:val="TableParagraph"/>
              <w:ind w:left="115"/>
              <w:rPr>
                <w:b/>
                <w:sz w:val="20"/>
              </w:rPr>
            </w:pPr>
            <w:r>
              <w:rPr>
                <w:b/>
                <w:sz w:val="20"/>
              </w:rPr>
              <w:t>current_ratio</w:t>
            </w:r>
          </w:p>
        </w:tc>
        <w:tc>
          <w:tcPr>
            <w:tcW w:w="1596" w:type="dxa"/>
          </w:tcPr>
          <w:p w14:paraId="0623836F" w14:textId="77777777" w:rsidR="0046798B" w:rsidRDefault="0046798B">
            <w:pPr>
              <w:pStyle w:val="TableParagraph"/>
            </w:pPr>
          </w:p>
          <w:p w14:paraId="1B75EA41" w14:textId="77777777" w:rsidR="0046798B" w:rsidRDefault="0046798B">
            <w:pPr>
              <w:pStyle w:val="TableParagraph"/>
              <w:spacing w:before="4"/>
              <w:rPr>
                <w:sz w:val="31"/>
              </w:rPr>
            </w:pPr>
          </w:p>
          <w:p w14:paraId="15A88A8B" w14:textId="77777777" w:rsidR="0046798B" w:rsidRDefault="00903B5C">
            <w:pPr>
              <w:pStyle w:val="TableParagraph"/>
              <w:ind w:left="114"/>
              <w:rPr>
                <w:sz w:val="20"/>
              </w:rPr>
            </w:pPr>
            <w:r>
              <w:rPr>
                <w:sz w:val="20"/>
              </w:rPr>
              <w:t>Current ratio</w:t>
            </w:r>
          </w:p>
        </w:tc>
        <w:tc>
          <w:tcPr>
            <w:tcW w:w="1285" w:type="dxa"/>
          </w:tcPr>
          <w:p w14:paraId="7DD7C28B" w14:textId="77777777" w:rsidR="0046798B" w:rsidRDefault="0046798B">
            <w:pPr>
              <w:pStyle w:val="TableParagraph"/>
            </w:pPr>
          </w:p>
          <w:p w14:paraId="594F5CB5" w14:textId="77777777" w:rsidR="0046798B" w:rsidRDefault="0046798B">
            <w:pPr>
              <w:pStyle w:val="TableParagraph"/>
              <w:spacing w:before="4"/>
              <w:rPr>
                <w:sz w:val="31"/>
              </w:rPr>
            </w:pPr>
          </w:p>
          <w:p w14:paraId="54A482AA" w14:textId="77777777" w:rsidR="0046798B" w:rsidRDefault="00903B5C">
            <w:pPr>
              <w:pStyle w:val="TableParagraph"/>
              <w:ind w:left="114"/>
              <w:rPr>
                <w:sz w:val="20"/>
              </w:rPr>
            </w:pPr>
            <w:r>
              <w:rPr>
                <w:sz w:val="20"/>
              </w:rPr>
              <w:t>2014</w:t>
            </w:r>
          </w:p>
        </w:tc>
        <w:tc>
          <w:tcPr>
            <w:tcW w:w="3421" w:type="dxa"/>
          </w:tcPr>
          <w:p w14:paraId="463597B6" w14:textId="77777777" w:rsidR="0046798B" w:rsidRDefault="00903B5C">
            <w:pPr>
              <w:pStyle w:val="TableParagraph"/>
              <w:spacing w:before="38"/>
              <w:ind w:left="114"/>
              <w:rPr>
                <w:sz w:val="20"/>
              </w:rPr>
            </w:pPr>
            <w:r>
              <w:rPr>
                <w:sz w:val="20"/>
              </w:rPr>
              <w:t>A state’s current ratio:</w:t>
            </w:r>
          </w:p>
          <w:p w14:paraId="110A06CC" w14:textId="77777777" w:rsidR="0046798B" w:rsidRDefault="0046798B">
            <w:pPr>
              <w:pStyle w:val="TableParagraph"/>
              <w:rPr>
                <w:sz w:val="20"/>
              </w:rPr>
            </w:pPr>
          </w:p>
          <w:p w14:paraId="48B3863E" w14:textId="77777777" w:rsidR="0046798B" w:rsidRDefault="00903B5C">
            <w:pPr>
              <w:pStyle w:val="TableParagraph"/>
              <w:spacing w:before="1"/>
              <w:ind w:left="114"/>
              <w:rPr>
                <w:sz w:val="20"/>
              </w:rPr>
            </w:pPr>
            <w:r>
              <w:rPr>
                <w:sz w:val="20"/>
              </w:rPr>
              <w:t>(current assets / current liabilities)</w:t>
            </w:r>
          </w:p>
          <w:p w14:paraId="2A31D2F7" w14:textId="77777777" w:rsidR="0046798B" w:rsidRDefault="0046798B">
            <w:pPr>
              <w:pStyle w:val="TableParagraph"/>
              <w:spacing w:before="11"/>
              <w:rPr>
                <w:sz w:val="19"/>
              </w:rPr>
            </w:pPr>
          </w:p>
          <w:p w14:paraId="54770A6C" w14:textId="77777777" w:rsidR="0046798B" w:rsidRDefault="00903B5C">
            <w:pPr>
              <w:pStyle w:val="TableParagraph"/>
              <w:ind w:left="114" w:right="939"/>
              <w:rPr>
                <w:sz w:val="20"/>
              </w:rPr>
            </w:pPr>
            <w:r>
              <w:rPr>
                <w:sz w:val="20"/>
              </w:rPr>
              <w:t>Higher ratio indicates greater solvency.</w:t>
            </w:r>
          </w:p>
        </w:tc>
        <w:tc>
          <w:tcPr>
            <w:tcW w:w="6482" w:type="dxa"/>
          </w:tcPr>
          <w:p w14:paraId="75D7B004" w14:textId="77777777" w:rsidR="0046798B" w:rsidRDefault="0046798B">
            <w:pPr>
              <w:pStyle w:val="TableParagraph"/>
              <w:spacing w:before="3"/>
              <w:rPr>
                <w:sz w:val="23"/>
              </w:rPr>
            </w:pPr>
          </w:p>
          <w:p w14:paraId="6E888109" w14:textId="77777777" w:rsidR="0046798B" w:rsidRDefault="00903B5C">
            <w:pPr>
              <w:pStyle w:val="TableParagraph"/>
              <w:spacing w:before="1"/>
              <w:ind w:left="114" w:right="236"/>
              <w:rPr>
                <w:sz w:val="20"/>
              </w:rPr>
            </w:pPr>
            <w:r>
              <w:rPr>
                <w:sz w:val="20"/>
              </w:rPr>
              <w:t xml:space="preserve">Norcross, Eileen and Olivia Gonzalez. 2016. “Ranking the States by Fiscal Condition.” 2016 edition. Arlington, VA: Mercatus Research, Mercatus Center at George Mason University. </w:t>
            </w:r>
            <w:hyperlink r:id="rId286">
              <w:r>
                <w:rPr>
                  <w:sz w:val="20"/>
                  <w:u w:val="single"/>
                </w:rPr>
                <w:t>http://mercatus.org/sites/default/files/Norcross-Fiscal-Rankings-2-v2_1.pdf</w:t>
              </w:r>
              <w:r>
                <w:rPr>
                  <w:sz w:val="20"/>
                </w:rPr>
                <w:t>.</w:t>
              </w:r>
            </w:hyperlink>
          </w:p>
        </w:tc>
      </w:tr>
      <w:tr w:rsidR="0046798B" w14:paraId="0021F1FF" w14:textId="77777777">
        <w:trPr>
          <w:trHeight w:val="1695"/>
        </w:trPr>
        <w:tc>
          <w:tcPr>
            <w:tcW w:w="1711" w:type="dxa"/>
          </w:tcPr>
          <w:p w14:paraId="5F60186D" w14:textId="77777777" w:rsidR="0046798B" w:rsidRDefault="0046798B">
            <w:pPr>
              <w:pStyle w:val="TableParagraph"/>
            </w:pPr>
          </w:p>
          <w:p w14:paraId="04960470" w14:textId="77777777" w:rsidR="0046798B" w:rsidRDefault="0046798B">
            <w:pPr>
              <w:pStyle w:val="TableParagraph"/>
              <w:spacing w:before="9"/>
              <w:rPr>
                <w:sz w:val="31"/>
              </w:rPr>
            </w:pPr>
          </w:p>
          <w:p w14:paraId="0A34F350" w14:textId="77777777" w:rsidR="0046798B" w:rsidRDefault="00903B5C">
            <w:pPr>
              <w:pStyle w:val="TableParagraph"/>
              <w:ind w:left="115" w:right="144"/>
              <w:rPr>
                <w:b/>
                <w:sz w:val="20"/>
              </w:rPr>
            </w:pPr>
            <w:r>
              <w:rPr>
                <w:b/>
                <w:sz w:val="20"/>
              </w:rPr>
              <w:t>exp_income_rati o</w:t>
            </w:r>
          </w:p>
        </w:tc>
        <w:tc>
          <w:tcPr>
            <w:tcW w:w="1596" w:type="dxa"/>
          </w:tcPr>
          <w:p w14:paraId="2C670780" w14:textId="77777777" w:rsidR="0046798B" w:rsidRDefault="0046798B">
            <w:pPr>
              <w:pStyle w:val="TableParagraph"/>
            </w:pPr>
          </w:p>
          <w:p w14:paraId="07977F43" w14:textId="77777777" w:rsidR="0046798B" w:rsidRDefault="0046798B">
            <w:pPr>
              <w:pStyle w:val="TableParagraph"/>
              <w:spacing w:before="9"/>
              <w:rPr>
                <w:sz w:val="31"/>
              </w:rPr>
            </w:pPr>
          </w:p>
          <w:p w14:paraId="59F9E4EF" w14:textId="77777777" w:rsidR="0046798B" w:rsidRDefault="00903B5C">
            <w:pPr>
              <w:pStyle w:val="TableParagraph"/>
              <w:ind w:left="114" w:right="446"/>
              <w:rPr>
                <w:sz w:val="20"/>
              </w:rPr>
            </w:pPr>
            <w:r>
              <w:rPr>
                <w:sz w:val="20"/>
              </w:rPr>
              <w:t>Expenses to income ratio</w:t>
            </w:r>
          </w:p>
        </w:tc>
        <w:tc>
          <w:tcPr>
            <w:tcW w:w="1285" w:type="dxa"/>
          </w:tcPr>
          <w:p w14:paraId="62D09C7C" w14:textId="77777777" w:rsidR="0046798B" w:rsidRDefault="0046798B">
            <w:pPr>
              <w:pStyle w:val="TableParagraph"/>
            </w:pPr>
          </w:p>
          <w:p w14:paraId="78101DF4" w14:textId="77777777" w:rsidR="0046798B" w:rsidRDefault="0046798B">
            <w:pPr>
              <w:pStyle w:val="TableParagraph"/>
            </w:pPr>
          </w:p>
          <w:p w14:paraId="1D5A22D6" w14:textId="77777777" w:rsidR="0046798B" w:rsidRDefault="0046798B">
            <w:pPr>
              <w:pStyle w:val="TableParagraph"/>
              <w:spacing w:before="9"/>
              <w:rPr>
                <w:sz w:val="19"/>
              </w:rPr>
            </w:pPr>
          </w:p>
          <w:p w14:paraId="25F735B3" w14:textId="77777777" w:rsidR="0046798B" w:rsidRDefault="00903B5C">
            <w:pPr>
              <w:pStyle w:val="TableParagraph"/>
              <w:ind w:left="114"/>
              <w:rPr>
                <w:sz w:val="20"/>
              </w:rPr>
            </w:pPr>
            <w:r>
              <w:rPr>
                <w:sz w:val="20"/>
              </w:rPr>
              <w:t>2014</w:t>
            </w:r>
          </w:p>
        </w:tc>
        <w:tc>
          <w:tcPr>
            <w:tcW w:w="3421" w:type="dxa"/>
          </w:tcPr>
          <w:p w14:paraId="17D3D238" w14:textId="77777777" w:rsidR="0046798B" w:rsidRDefault="00903B5C">
            <w:pPr>
              <w:pStyle w:val="TableParagraph"/>
              <w:spacing w:before="43"/>
              <w:ind w:left="114"/>
              <w:rPr>
                <w:sz w:val="20"/>
              </w:rPr>
            </w:pPr>
            <w:r>
              <w:rPr>
                <w:sz w:val="20"/>
              </w:rPr>
              <w:t>A state’s expenses to income ratio:</w:t>
            </w:r>
          </w:p>
          <w:p w14:paraId="34347F0B" w14:textId="77777777" w:rsidR="0046798B" w:rsidRDefault="0046798B">
            <w:pPr>
              <w:pStyle w:val="TableParagraph"/>
              <w:rPr>
                <w:sz w:val="20"/>
              </w:rPr>
            </w:pPr>
          </w:p>
          <w:p w14:paraId="5CFA9486" w14:textId="77777777" w:rsidR="0046798B" w:rsidRDefault="00903B5C">
            <w:pPr>
              <w:pStyle w:val="TableParagraph"/>
              <w:ind w:left="114" w:right="933"/>
              <w:rPr>
                <w:sz w:val="20"/>
              </w:rPr>
            </w:pPr>
            <w:r>
              <w:rPr>
                <w:sz w:val="20"/>
              </w:rPr>
              <w:t>Total expenses/state personal income</w:t>
            </w:r>
          </w:p>
          <w:p w14:paraId="1420B61E" w14:textId="77777777" w:rsidR="0046798B" w:rsidRDefault="0046798B">
            <w:pPr>
              <w:pStyle w:val="TableParagraph"/>
              <w:rPr>
                <w:sz w:val="20"/>
              </w:rPr>
            </w:pPr>
          </w:p>
          <w:p w14:paraId="45F763C8" w14:textId="77777777" w:rsidR="0046798B" w:rsidRDefault="00903B5C">
            <w:pPr>
              <w:pStyle w:val="TableParagraph"/>
              <w:ind w:left="114" w:right="985"/>
              <w:rPr>
                <w:sz w:val="20"/>
              </w:rPr>
            </w:pPr>
            <w:r>
              <w:rPr>
                <w:sz w:val="20"/>
              </w:rPr>
              <w:t>Higher value indicates lower service-level solvency.</w:t>
            </w:r>
          </w:p>
        </w:tc>
        <w:tc>
          <w:tcPr>
            <w:tcW w:w="6482" w:type="dxa"/>
          </w:tcPr>
          <w:p w14:paraId="3EBBC30D" w14:textId="77777777" w:rsidR="0046798B" w:rsidRDefault="0046798B">
            <w:pPr>
              <w:pStyle w:val="TableParagraph"/>
            </w:pPr>
          </w:p>
          <w:p w14:paraId="4436A9EE" w14:textId="77777777" w:rsidR="0046798B" w:rsidRDefault="00903B5C">
            <w:pPr>
              <w:pStyle w:val="TableParagraph"/>
              <w:spacing w:before="135"/>
              <w:ind w:left="114" w:right="236"/>
              <w:rPr>
                <w:sz w:val="20"/>
              </w:rPr>
            </w:pPr>
            <w:r>
              <w:rPr>
                <w:sz w:val="20"/>
              </w:rPr>
              <w:t xml:space="preserve">Norcross, Eileen and Olivia Gonzalez. 2016. “Ranking the States by Fiscal Condition.” 2016 edition. Arlington, VA: Mercatus Research, Mercatus Center at George Mason University. </w:t>
            </w:r>
            <w:hyperlink r:id="rId287">
              <w:r>
                <w:rPr>
                  <w:sz w:val="20"/>
                  <w:u w:val="single"/>
                </w:rPr>
                <w:t>http://mercatus.org/sites/default/files/Norcross-Fiscal-Rankings-2-v2_1.pdf</w:t>
              </w:r>
              <w:r>
                <w:rPr>
                  <w:sz w:val="20"/>
                </w:rPr>
                <w:t>.</w:t>
              </w:r>
            </w:hyperlink>
          </w:p>
        </w:tc>
      </w:tr>
    </w:tbl>
    <w:p w14:paraId="314D71A5" w14:textId="77777777" w:rsidR="0046798B" w:rsidRDefault="0046798B">
      <w:pPr>
        <w:rPr>
          <w:sz w:val="20"/>
        </w:rPr>
        <w:sectPr w:rsidR="0046798B">
          <w:pgSz w:w="15840" w:h="12240" w:orient="landscape"/>
          <w:pgMar w:top="1220" w:right="300" w:bottom="980" w:left="820" w:header="730" w:footer="787" w:gutter="0"/>
          <w:cols w:space="720"/>
        </w:sectPr>
      </w:pPr>
    </w:p>
    <w:p w14:paraId="030D8EA7"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50C86C35" w14:textId="77777777">
        <w:trPr>
          <w:trHeight w:val="1235"/>
        </w:trPr>
        <w:tc>
          <w:tcPr>
            <w:tcW w:w="1711" w:type="dxa"/>
          </w:tcPr>
          <w:p w14:paraId="3A265803" w14:textId="77777777" w:rsidR="0046798B" w:rsidRDefault="0046798B">
            <w:pPr>
              <w:pStyle w:val="TableParagraph"/>
            </w:pPr>
          </w:p>
          <w:p w14:paraId="6C0B3F89" w14:textId="77777777" w:rsidR="0046798B" w:rsidRDefault="00903B5C">
            <w:pPr>
              <w:pStyle w:val="TableParagraph"/>
              <w:spacing w:before="135"/>
              <w:ind w:left="115" w:right="154"/>
              <w:rPr>
                <w:b/>
                <w:sz w:val="20"/>
              </w:rPr>
            </w:pPr>
            <w:r>
              <w:rPr>
                <w:b/>
                <w:sz w:val="20"/>
              </w:rPr>
              <w:t>fisc_cond_w_tru st_fund</w:t>
            </w:r>
          </w:p>
        </w:tc>
        <w:tc>
          <w:tcPr>
            <w:tcW w:w="1596" w:type="dxa"/>
          </w:tcPr>
          <w:p w14:paraId="06915073" w14:textId="77777777" w:rsidR="0046798B" w:rsidRDefault="0046798B">
            <w:pPr>
              <w:pStyle w:val="TableParagraph"/>
              <w:spacing w:before="9"/>
              <w:rPr>
                <w:sz w:val="23"/>
              </w:rPr>
            </w:pPr>
          </w:p>
          <w:p w14:paraId="0FC811FD" w14:textId="77777777" w:rsidR="0046798B" w:rsidRDefault="00903B5C">
            <w:pPr>
              <w:pStyle w:val="TableParagraph"/>
              <w:ind w:left="114" w:right="168"/>
              <w:rPr>
                <w:sz w:val="20"/>
              </w:rPr>
            </w:pPr>
            <w:r>
              <w:rPr>
                <w:sz w:val="20"/>
              </w:rPr>
              <w:t>Fiscal condition with trust fund solvency</w:t>
            </w:r>
          </w:p>
        </w:tc>
        <w:tc>
          <w:tcPr>
            <w:tcW w:w="1285" w:type="dxa"/>
          </w:tcPr>
          <w:p w14:paraId="0966D1F5" w14:textId="77777777" w:rsidR="0046798B" w:rsidRDefault="0046798B">
            <w:pPr>
              <w:pStyle w:val="TableParagraph"/>
            </w:pPr>
          </w:p>
          <w:p w14:paraId="48915C93" w14:textId="77777777" w:rsidR="0046798B" w:rsidRDefault="0046798B">
            <w:pPr>
              <w:pStyle w:val="TableParagraph"/>
              <w:spacing w:before="9"/>
              <w:rPr>
                <w:sz w:val="21"/>
              </w:rPr>
            </w:pPr>
          </w:p>
          <w:p w14:paraId="0B995291" w14:textId="77777777" w:rsidR="0046798B" w:rsidRDefault="00903B5C">
            <w:pPr>
              <w:pStyle w:val="TableParagraph"/>
              <w:ind w:left="114"/>
              <w:rPr>
                <w:sz w:val="20"/>
              </w:rPr>
            </w:pPr>
            <w:r>
              <w:rPr>
                <w:sz w:val="20"/>
              </w:rPr>
              <w:t>2014</w:t>
            </w:r>
          </w:p>
        </w:tc>
        <w:tc>
          <w:tcPr>
            <w:tcW w:w="3421" w:type="dxa"/>
          </w:tcPr>
          <w:p w14:paraId="14012C04" w14:textId="77777777" w:rsidR="0046798B" w:rsidRDefault="00903B5C">
            <w:pPr>
              <w:pStyle w:val="TableParagraph"/>
              <w:spacing w:before="43"/>
              <w:ind w:left="114" w:right="70"/>
              <w:rPr>
                <w:sz w:val="20"/>
              </w:rPr>
            </w:pPr>
            <w:r>
              <w:rPr>
                <w:sz w:val="20"/>
              </w:rPr>
              <w:t>A state’s standardized fiscal condition index, weighted by 35% cash index, 35% budget index, 10% long run index, 10% service level index, and 10% trust fund index.</w:t>
            </w:r>
          </w:p>
        </w:tc>
        <w:tc>
          <w:tcPr>
            <w:tcW w:w="6482" w:type="dxa"/>
          </w:tcPr>
          <w:p w14:paraId="0C0256CB" w14:textId="77777777" w:rsidR="0046798B" w:rsidRDefault="00903B5C">
            <w:pPr>
              <w:pStyle w:val="TableParagraph"/>
              <w:spacing w:before="158"/>
              <w:ind w:left="114" w:right="236"/>
              <w:rPr>
                <w:sz w:val="20"/>
              </w:rPr>
            </w:pPr>
            <w:r>
              <w:rPr>
                <w:sz w:val="20"/>
              </w:rPr>
              <w:t xml:space="preserve">Norcross, Eileen and Olivia Gonzalez. 2016. “Ranking the States by Fiscal Condition.” 2016 edition. Arlington, VA: Mercatus Research, Mercatus Center at George Mason University. </w:t>
            </w:r>
            <w:hyperlink r:id="rId288">
              <w:r>
                <w:rPr>
                  <w:sz w:val="20"/>
                  <w:u w:val="single"/>
                </w:rPr>
                <w:t>http://mercatus.org/sites/default/files/Norcross-Fiscal-Rankings-2-v2_1.pdf</w:t>
              </w:r>
              <w:r>
                <w:rPr>
                  <w:sz w:val="20"/>
                </w:rPr>
                <w:t>.</w:t>
              </w:r>
            </w:hyperlink>
          </w:p>
        </w:tc>
      </w:tr>
      <w:tr w:rsidR="0046798B" w14:paraId="7412A878" w14:textId="77777777">
        <w:trPr>
          <w:trHeight w:val="1696"/>
        </w:trPr>
        <w:tc>
          <w:tcPr>
            <w:tcW w:w="1711" w:type="dxa"/>
          </w:tcPr>
          <w:p w14:paraId="33EC0B84" w14:textId="77777777" w:rsidR="0046798B" w:rsidRDefault="0046798B">
            <w:pPr>
              <w:pStyle w:val="TableParagraph"/>
            </w:pPr>
          </w:p>
          <w:p w14:paraId="01828DC4" w14:textId="77777777" w:rsidR="0046798B" w:rsidRDefault="0046798B">
            <w:pPr>
              <w:pStyle w:val="TableParagraph"/>
            </w:pPr>
          </w:p>
          <w:p w14:paraId="08853E45" w14:textId="77777777" w:rsidR="0046798B" w:rsidRDefault="0046798B">
            <w:pPr>
              <w:pStyle w:val="TableParagraph"/>
              <w:spacing w:before="9"/>
              <w:rPr>
                <w:sz w:val="19"/>
              </w:rPr>
            </w:pPr>
          </w:p>
          <w:p w14:paraId="7AB29B08" w14:textId="77777777" w:rsidR="0046798B" w:rsidRDefault="00903B5C">
            <w:pPr>
              <w:pStyle w:val="TableParagraph"/>
              <w:ind w:left="115"/>
              <w:rPr>
                <w:b/>
                <w:sz w:val="20"/>
              </w:rPr>
            </w:pPr>
            <w:r>
              <w:rPr>
                <w:b/>
                <w:sz w:val="20"/>
              </w:rPr>
              <w:t>long_term_liab</w:t>
            </w:r>
          </w:p>
        </w:tc>
        <w:tc>
          <w:tcPr>
            <w:tcW w:w="1596" w:type="dxa"/>
          </w:tcPr>
          <w:p w14:paraId="30F26F91" w14:textId="77777777" w:rsidR="0046798B" w:rsidRDefault="0046798B">
            <w:pPr>
              <w:pStyle w:val="TableParagraph"/>
            </w:pPr>
          </w:p>
          <w:p w14:paraId="5FAECDE3" w14:textId="77777777" w:rsidR="0046798B" w:rsidRDefault="0046798B">
            <w:pPr>
              <w:pStyle w:val="TableParagraph"/>
              <w:spacing w:before="9"/>
              <w:rPr>
                <w:sz w:val="31"/>
              </w:rPr>
            </w:pPr>
          </w:p>
          <w:p w14:paraId="501D70DB" w14:textId="77777777" w:rsidR="0046798B" w:rsidRDefault="00903B5C">
            <w:pPr>
              <w:pStyle w:val="TableParagraph"/>
              <w:ind w:left="114" w:right="229"/>
              <w:rPr>
                <w:sz w:val="20"/>
              </w:rPr>
            </w:pPr>
            <w:r>
              <w:rPr>
                <w:sz w:val="20"/>
              </w:rPr>
              <w:t>Long-term liability ratio</w:t>
            </w:r>
          </w:p>
        </w:tc>
        <w:tc>
          <w:tcPr>
            <w:tcW w:w="1285" w:type="dxa"/>
          </w:tcPr>
          <w:p w14:paraId="147F50E9" w14:textId="77777777" w:rsidR="0046798B" w:rsidRDefault="0046798B">
            <w:pPr>
              <w:pStyle w:val="TableParagraph"/>
            </w:pPr>
          </w:p>
          <w:p w14:paraId="734FBBD4" w14:textId="77777777" w:rsidR="0046798B" w:rsidRDefault="0046798B">
            <w:pPr>
              <w:pStyle w:val="TableParagraph"/>
            </w:pPr>
          </w:p>
          <w:p w14:paraId="54E5B544" w14:textId="77777777" w:rsidR="0046798B" w:rsidRDefault="0046798B">
            <w:pPr>
              <w:pStyle w:val="TableParagraph"/>
              <w:spacing w:before="9"/>
              <w:rPr>
                <w:sz w:val="19"/>
              </w:rPr>
            </w:pPr>
          </w:p>
          <w:p w14:paraId="0B67D849" w14:textId="77777777" w:rsidR="0046798B" w:rsidRDefault="00903B5C">
            <w:pPr>
              <w:pStyle w:val="TableParagraph"/>
              <w:ind w:left="114"/>
              <w:rPr>
                <w:sz w:val="20"/>
              </w:rPr>
            </w:pPr>
            <w:r>
              <w:rPr>
                <w:sz w:val="20"/>
              </w:rPr>
              <w:t>2014</w:t>
            </w:r>
          </w:p>
        </w:tc>
        <w:tc>
          <w:tcPr>
            <w:tcW w:w="3421" w:type="dxa"/>
          </w:tcPr>
          <w:p w14:paraId="29E10F2F" w14:textId="77777777" w:rsidR="0046798B" w:rsidRDefault="00903B5C">
            <w:pPr>
              <w:pStyle w:val="TableParagraph"/>
              <w:spacing w:before="43"/>
              <w:ind w:left="114"/>
              <w:rPr>
                <w:sz w:val="20"/>
              </w:rPr>
            </w:pPr>
            <w:r>
              <w:rPr>
                <w:sz w:val="20"/>
              </w:rPr>
              <w:t>A state’s long-term liability ratio:</w:t>
            </w:r>
          </w:p>
          <w:p w14:paraId="3A104D6D" w14:textId="77777777" w:rsidR="0046798B" w:rsidRDefault="0046798B">
            <w:pPr>
              <w:pStyle w:val="TableParagraph"/>
              <w:rPr>
                <w:sz w:val="20"/>
              </w:rPr>
            </w:pPr>
          </w:p>
          <w:p w14:paraId="1E770FCA" w14:textId="77777777" w:rsidR="0046798B" w:rsidRDefault="00903B5C">
            <w:pPr>
              <w:pStyle w:val="TableParagraph"/>
              <w:spacing w:before="1"/>
              <w:ind w:left="114"/>
              <w:rPr>
                <w:sz w:val="20"/>
              </w:rPr>
            </w:pPr>
            <w:r>
              <w:rPr>
                <w:sz w:val="20"/>
              </w:rPr>
              <w:t>long-term (noncurrent) liabilities / total assets</w:t>
            </w:r>
          </w:p>
          <w:p w14:paraId="58A56CE8" w14:textId="77777777" w:rsidR="0046798B" w:rsidRDefault="0046798B">
            <w:pPr>
              <w:pStyle w:val="TableParagraph"/>
              <w:spacing w:before="11"/>
              <w:rPr>
                <w:sz w:val="19"/>
              </w:rPr>
            </w:pPr>
          </w:p>
          <w:p w14:paraId="5D4FE6C8" w14:textId="77777777" w:rsidR="0046798B" w:rsidRDefault="00903B5C">
            <w:pPr>
              <w:pStyle w:val="TableParagraph"/>
              <w:ind w:left="114" w:right="167"/>
              <w:rPr>
                <w:sz w:val="20"/>
              </w:rPr>
            </w:pPr>
            <w:r>
              <w:rPr>
                <w:sz w:val="20"/>
              </w:rPr>
              <w:t>Lower value indicates greater long-run solvency.</w:t>
            </w:r>
          </w:p>
        </w:tc>
        <w:tc>
          <w:tcPr>
            <w:tcW w:w="6482" w:type="dxa"/>
          </w:tcPr>
          <w:p w14:paraId="5D557313" w14:textId="77777777" w:rsidR="0046798B" w:rsidRDefault="0046798B">
            <w:pPr>
              <w:pStyle w:val="TableParagraph"/>
            </w:pPr>
          </w:p>
          <w:p w14:paraId="322C99BD" w14:textId="77777777" w:rsidR="0046798B" w:rsidRDefault="00903B5C">
            <w:pPr>
              <w:pStyle w:val="TableParagraph"/>
              <w:spacing w:before="136"/>
              <w:ind w:left="114" w:right="236"/>
              <w:rPr>
                <w:sz w:val="20"/>
              </w:rPr>
            </w:pPr>
            <w:r>
              <w:rPr>
                <w:sz w:val="20"/>
              </w:rPr>
              <w:t xml:space="preserve">Norcross, Eileen and Olivia Gonzalez. 2016. “Ranking the States by Fiscal Condition.” 2016 edition. Arlington, VA: Mercatus Research, Mercatus Center at George Mason University. </w:t>
            </w:r>
            <w:hyperlink r:id="rId289">
              <w:r>
                <w:rPr>
                  <w:sz w:val="20"/>
                  <w:u w:val="single"/>
                </w:rPr>
                <w:t>http://mercatus.org/sites/default/files/Norcross-Fiscal-Rankings-2-v2_1.pdf</w:t>
              </w:r>
              <w:r>
                <w:rPr>
                  <w:sz w:val="20"/>
                </w:rPr>
                <w:t>.</w:t>
              </w:r>
            </w:hyperlink>
          </w:p>
        </w:tc>
      </w:tr>
      <w:tr w:rsidR="0046798B" w14:paraId="4D694B31" w14:textId="77777777">
        <w:trPr>
          <w:trHeight w:val="1010"/>
        </w:trPr>
        <w:tc>
          <w:tcPr>
            <w:tcW w:w="1711" w:type="dxa"/>
          </w:tcPr>
          <w:p w14:paraId="0AD6085F" w14:textId="77777777" w:rsidR="0046798B" w:rsidRDefault="0046798B">
            <w:pPr>
              <w:pStyle w:val="TableParagraph"/>
            </w:pPr>
          </w:p>
          <w:p w14:paraId="500BD2E4" w14:textId="77777777" w:rsidR="0046798B" w:rsidRDefault="00903B5C">
            <w:pPr>
              <w:pStyle w:val="TableParagraph"/>
              <w:spacing w:before="135"/>
              <w:ind w:left="115"/>
              <w:rPr>
                <w:b/>
                <w:sz w:val="20"/>
              </w:rPr>
            </w:pPr>
            <w:r>
              <w:rPr>
                <w:b/>
                <w:sz w:val="20"/>
              </w:rPr>
              <w:t>lr_solvencyindex</w:t>
            </w:r>
          </w:p>
        </w:tc>
        <w:tc>
          <w:tcPr>
            <w:tcW w:w="1596" w:type="dxa"/>
          </w:tcPr>
          <w:p w14:paraId="70A65F60" w14:textId="77777777" w:rsidR="0046798B" w:rsidRDefault="0046798B">
            <w:pPr>
              <w:pStyle w:val="TableParagraph"/>
              <w:spacing w:before="8"/>
              <w:rPr>
                <w:sz w:val="23"/>
              </w:rPr>
            </w:pPr>
          </w:p>
          <w:p w14:paraId="39A5CAF4" w14:textId="77777777" w:rsidR="0046798B" w:rsidRDefault="00903B5C">
            <w:pPr>
              <w:pStyle w:val="TableParagraph"/>
              <w:spacing w:before="1"/>
              <w:ind w:left="114" w:right="229"/>
              <w:rPr>
                <w:sz w:val="20"/>
              </w:rPr>
            </w:pPr>
            <w:r>
              <w:rPr>
                <w:sz w:val="20"/>
              </w:rPr>
              <w:t>Long run solvency</w:t>
            </w:r>
          </w:p>
        </w:tc>
        <w:tc>
          <w:tcPr>
            <w:tcW w:w="1285" w:type="dxa"/>
          </w:tcPr>
          <w:p w14:paraId="2867CDD5" w14:textId="77777777" w:rsidR="0046798B" w:rsidRDefault="0046798B">
            <w:pPr>
              <w:pStyle w:val="TableParagraph"/>
            </w:pPr>
          </w:p>
          <w:p w14:paraId="31501A07" w14:textId="77777777" w:rsidR="0046798B" w:rsidRDefault="00903B5C">
            <w:pPr>
              <w:pStyle w:val="TableParagraph"/>
              <w:spacing w:before="135"/>
              <w:ind w:left="114"/>
              <w:rPr>
                <w:sz w:val="20"/>
              </w:rPr>
            </w:pPr>
            <w:r>
              <w:rPr>
                <w:sz w:val="20"/>
              </w:rPr>
              <w:t>2014</w:t>
            </w:r>
          </w:p>
        </w:tc>
        <w:tc>
          <w:tcPr>
            <w:tcW w:w="3421" w:type="dxa"/>
          </w:tcPr>
          <w:p w14:paraId="69035A7A" w14:textId="77777777" w:rsidR="0046798B" w:rsidRDefault="0046798B">
            <w:pPr>
              <w:pStyle w:val="TableParagraph"/>
              <w:spacing w:before="8"/>
              <w:rPr>
                <w:sz w:val="23"/>
              </w:rPr>
            </w:pPr>
          </w:p>
          <w:p w14:paraId="40B2F5A7" w14:textId="77777777" w:rsidR="0046798B" w:rsidRDefault="00903B5C">
            <w:pPr>
              <w:pStyle w:val="TableParagraph"/>
              <w:spacing w:before="1"/>
              <w:ind w:left="114" w:right="788"/>
              <w:rPr>
                <w:sz w:val="20"/>
              </w:rPr>
            </w:pPr>
            <w:r>
              <w:rPr>
                <w:sz w:val="20"/>
              </w:rPr>
              <w:t>A state’s standardized long run solvency index</w:t>
            </w:r>
          </w:p>
        </w:tc>
        <w:tc>
          <w:tcPr>
            <w:tcW w:w="6482" w:type="dxa"/>
          </w:tcPr>
          <w:p w14:paraId="2C86E0C2" w14:textId="77777777" w:rsidR="0046798B" w:rsidRDefault="00903B5C">
            <w:pPr>
              <w:pStyle w:val="TableParagraph"/>
              <w:spacing w:before="43"/>
              <w:ind w:left="114" w:right="236"/>
              <w:rPr>
                <w:sz w:val="20"/>
              </w:rPr>
            </w:pPr>
            <w:r>
              <w:rPr>
                <w:sz w:val="20"/>
              </w:rPr>
              <w:t xml:space="preserve">Norcross, Eileen and Olivia Gonzalez. 2016. “Ranking the States by Fiscal Condition.” 2016 edition. Arlington, VA: Mercatus Research, Mercatus Center at George Mason University. </w:t>
            </w:r>
            <w:hyperlink r:id="rId290">
              <w:r>
                <w:rPr>
                  <w:sz w:val="20"/>
                  <w:u w:val="single"/>
                </w:rPr>
                <w:t>http://mercatus.org/sites/default/files/Norcross-Fiscal-Rankings-2-v2_1.pdf</w:t>
              </w:r>
              <w:r>
                <w:rPr>
                  <w:sz w:val="20"/>
                </w:rPr>
                <w:t>.</w:t>
              </w:r>
            </w:hyperlink>
          </w:p>
        </w:tc>
      </w:tr>
      <w:tr w:rsidR="0046798B" w14:paraId="59FCCE35" w14:textId="77777777">
        <w:trPr>
          <w:trHeight w:val="1693"/>
        </w:trPr>
        <w:tc>
          <w:tcPr>
            <w:tcW w:w="1711" w:type="dxa"/>
            <w:tcBorders>
              <w:bottom w:val="dotted" w:sz="6" w:space="0" w:color="BEBEBE"/>
            </w:tcBorders>
          </w:tcPr>
          <w:p w14:paraId="5B767309" w14:textId="77777777" w:rsidR="0046798B" w:rsidRDefault="0046798B">
            <w:pPr>
              <w:pStyle w:val="TableParagraph"/>
            </w:pPr>
          </w:p>
          <w:p w14:paraId="6A28111C" w14:textId="77777777" w:rsidR="0046798B" w:rsidRDefault="0046798B">
            <w:pPr>
              <w:pStyle w:val="TableParagraph"/>
            </w:pPr>
          </w:p>
          <w:p w14:paraId="1E254E25" w14:textId="77777777" w:rsidR="0046798B" w:rsidRDefault="0046798B">
            <w:pPr>
              <w:pStyle w:val="TableParagraph"/>
              <w:spacing w:before="4"/>
              <w:rPr>
                <w:sz w:val="19"/>
              </w:rPr>
            </w:pPr>
          </w:p>
          <w:p w14:paraId="1833954B" w14:textId="77777777" w:rsidR="0046798B" w:rsidRDefault="00903B5C">
            <w:pPr>
              <w:pStyle w:val="TableParagraph"/>
              <w:ind w:left="115"/>
              <w:rPr>
                <w:b/>
                <w:sz w:val="20"/>
              </w:rPr>
            </w:pPr>
            <w:r>
              <w:rPr>
                <w:b/>
                <w:sz w:val="20"/>
              </w:rPr>
              <w:t>lt_percapita</w:t>
            </w:r>
          </w:p>
        </w:tc>
        <w:tc>
          <w:tcPr>
            <w:tcW w:w="1596" w:type="dxa"/>
            <w:tcBorders>
              <w:bottom w:val="dotted" w:sz="6" w:space="0" w:color="BEBEBE"/>
            </w:tcBorders>
          </w:tcPr>
          <w:p w14:paraId="0DF32C66" w14:textId="77777777" w:rsidR="0046798B" w:rsidRDefault="0046798B">
            <w:pPr>
              <w:pStyle w:val="TableParagraph"/>
            </w:pPr>
          </w:p>
          <w:p w14:paraId="44FB09D7" w14:textId="77777777" w:rsidR="0046798B" w:rsidRDefault="0046798B">
            <w:pPr>
              <w:pStyle w:val="TableParagraph"/>
              <w:spacing w:before="4"/>
              <w:rPr>
                <w:sz w:val="21"/>
              </w:rPr>
            </w:pPr>
          </w:p>
          <w:p w14:paraId="6DB54D34" w14:textId="77777777" w:rsidR="0046798B" w:rsidRDefault="00903B5C">
            <w:pPr>
              <w:pStyle w:val="TableParagraph"/>
              <w:ind w:left="114" w:right="524"/>
              <w:rPr>
                <w:sz w:val="20"/>
              </w:rPr>
            </w:pPr>
            <w:r>
              <w:rPr>
                <w:sz w:val="20"/>
              </w:rPr>
              <w:t>Long-term liability per capita</w:t>
            </w:r>
          </w:p>
        </w:tc>
        <w:tc>
          <w:tcPr>
            <w:tcW w:w="1285" w:type="dxa"/>
            <w:tcBorders>
              <w:bottom w:val="dotted" w:sz="6" w:space="0" w:color="BEBEBE"/>
            </w:tcBorders>
          </w:tcPr>
          <w:p w14:paraId="5F5FA466" w14:textId="77777777" w:rsidR="0046798B" w:rsidRDefault="0046798B">
            <w:pPr>
              <w:pStyle w:val="TableParagraph"/>
            </w:pPr>
          </w:p>
          <w:p w14:paraId="7332B518" w14:textId="77777777" w:rsidR="0046798B" w:rsidRDefault="0046798B">
            <w:pPr>
              <w:pStyle w:val="TableParagraph"/>
            </w:pPr>
          </w:p>
          <w:p w14:paraId="7B5A43F7" w14:textId="77777777" w:rsidR="0046798B" w:rsidRDefault="0046798B">
            <w:pPr>
              <w:pStyle w:val="TableParagraph"/>
              <w:spacing w:before="4"/>
              <w:rPr>
                <w:sz w:val="19"/>
              </w:rPr>
            </w:pPr>
          </w:p>
          <w:p w14:paraId="50EE4A73" w14:textId="77777777" w:rsidR="0046798B" w:rsidRDefault="00903B5C">
            <w:pPr>
              <w:pStyle w:val="TableParagraph"/>
              <w:ind w:left="114"/>
              <w:rPr>
                <w:sz w:val="20"/>
              </w:rPr>
            </w:pPr>
            <w:r>
              <w:rPr>
                <w:sz w:val="20"/>
              </w:rPr>
              <w:t>2014</w:t>
            </w:r>
          </w:p>
        </w:tc>
        <w:tc>
          <w:tcPr>
            <w:tcW w:w="3421" w:type="dxa"/>
            <w:tcBorders>
              <w:bottom w:val="dotted" w:sz="6" w:space="0" w:color="BEBEBE"/>
            </w:tcBorders>
          </w:tcPr>
          <w:p w14:paraId="60AAF105" w14:textId="77777777" w:rsidR="0046798B" w:rsidRDefault="00903B5C">
            <w:pPr>
              <w:pStyle w:val="TableParagraph"/>
              <w:spacing w:before="38"/>
              <w:ind w:left="114"/>
              <w:rPr>
                <w:sz w:val="20"/>
              </w:rPr>
            </w:pPr>
            <w:r>
              <w:rPr>
                <w:sz w:val="20"/>
              </w:rPr>
              <w:t>A state’s long-term liability per capita:</w:t>
            </w:r>
          </w:p>
          <w:p w14:paraId="18ED4574" w14:textId="77777777" w:rsidR="0046798B" w:rsidRDefault="0046798B">
            <w:pPr>
              <w:pStyle w:val="TableParagraph"/>
              <w:rPr>
                <w:sz w:val="20"/>
              </w:rPr>
            </w:pPr>
          </w:p>
          <w:p w14:paraId="618E378C" w14:textId="77777777" w:rsidR="0046798B" w:rsidRDefault="00903B5C">
            <w:pPr>
              <w:pStyle w:val="TableParagraph"/>
              <w:ind w:left="114" w:right="472"/>
              <w:rPr>
                <w:sz w:val="20"/>
              </w:rPr>
            </w:pPr>
            <w:r>
              <w:rPr>
                <w:sz w:val="20"/>
              </w:rPr>
              <w:t>Long-term (noncurrent) liabilities / population</w:t>
            </w:r>
          </w:p>
          <w:p w14:paraId="27F5EFD8" w14:textId="77777777" w:rsidR="0046798B" w:rsidRDefault="0046798B">
            <w:pPr>
              <w:pStyle w:val="TableParagraph"/>
              <w:spacing w:before="1"/>
              <w:rPr>
                <w:sz w:val="20"/>
              </w:rPr>
            </w:pPr>
          </w:p>
          <w:p w14:paraId="20FF0038" w14:textId="77777777" w:rsidR="0046798B" w:rsidRDefault="00903B5C">
            <w:pPr>
              <w:pStyle w:val="TableParagraph"/>
              <w:ind w:left="114" w:right="167"/>
              <w:rPr>
                <w:sz w:val="20"/>
              </w:rPr>
            </w:pPr>
            <w:r>
              <w:rPr>
                <w:sz w:val="20"/>
              </w:rPr>
              <w:t>Lower value indicates greater long-run solvency.</w:t>
            </w:r>
          </w:p>
        </w:tc>
        <w:tc>
          <w:tcPr>
            <w:tcW w:w="6482" w:type="dxa"/>
            <w:tcBorders>
              <w:bottom w:val="dotted" w:sz="6" w:space="0" w:color="BEBEBE"/>
            </w:tcBorders>
          </w:tcPr>
          <w:p w14:paraId="71B83A82" w14:textId="77777777" w:rsidR="0046798B" w:rsidRDefault="0046798B">
            <w:pPr>
              <w:pStyle w:val="TableParagraph"/>
            </w:pPr>
          </w:p>
          <w:p w14:paraId="43A98915" w14:textId="77777777" w:rsidR="0046798B" w:rsidRDefault="00903B5C">
            <w:pPr>
              <w:pStyle w:val="TableParagraph"/>
              <w:spacing w:before="130"/>
              <w:ind w:left="114" w:right="236"/>
              <w:rPr>
                <w:sz w:val="20"/>
              </w:rPr>
            </w:pPr>
            <w:r>
              <w:rPr>
                <w:sz w:val="20"/>
              </w:rPr>
              <w:t xml:space="preserve">Norcross, Eileen and Olivia Gonzalez. 2016. “Ranking the States by Fiscal Condition.” 2016 edition. Arlington, VA: Mercatus Research, Mercatus Center at George Mason University. </w:t>
            </w:r>
            <w:hyperlink r:id="rId291">
              <w:r>
                <w:rPr>
                  <w:sz w:val="20"/>
                  <w:u w:val="single"/>
                </w:rPr>
                <w:t>http://mercatus.org/sites/default/files/Norcross-Fiscal-Rankings-2-v2_1.pdf</w:t>
              </w:r>
              <w:r>
                <w:rPr>
                  <w:sz w:val="20"/>
                </w:rPr>
                <w:t>.</w:t>
              </w:r>
            </w:hyperlink>
          </w:p>
        </w:tc>
      </w:tr>
      <w:tr w:rsidR="0046798B" w14:paraId="11EDD267" w14:textId="77777777">
        <w:trPr>
          <w:trHeight w:val="1693"/>
        </w:trPr>
        <w:tc>
          <w:tcPr>
            <w:tcW w:w="1711" w:type="dxa"/>
            <w:tcBorders>
              <w:top w:val="dotted" w:sz="6" w:space="0" w:color="BEBEBE"/>
            </w:tcBorders>
          </w:tcPr>
          <w:p w14:paraId="527FB074" w14:textId="77777777" w:rsidR="0046798B" w:rsidRDefault="0046798B">
            <w:pPr>
              <w:pStyle w:val="TableParagraph"/>
            </w:pPr>
          </w:p>
          <w:p w14:paraId="07A12CE2" w14:textId="77777777" w:rsidR="0046798B" w:rsidRDefault="0046798B">
            <w:pPr>
              <w:pStyle w:val="TableParagraph"/>
            </w:pPr>
          </w:p>
          <w:p w14:paraId="4D438C4E" w14:textId="77777777" w:rsidR="0046798B" w:rsidRDefault="0046798B">
            <w:pPr>
              <w:pStyle w:val="TableParagraph"/>
              <w:spacing w:before="1"/>
              <w:rPr>
                <w:sz w:val="19"/>
              </w:rPr>
            </w:pPr>
          </w:p>
          <w:p w14:paraId="336A5AA3" w14:textId="77777777" w:rsidR="0046798B" w:rsidRDefault="00903B5C">
            <w:pPr>
              <w:pStyle w:val="TableParagraph"/>
              <w:ind w:left="115"/>
              <w:rPr>
                <w:b/>
                <w:sz w:val="20"/>
              </w:rPr>
            </w:pPr>
            <w:r>
              <w:rPr>
                <w:b/>
                <w:sz w:val="20"/>
              </w:rPr>
              <w:t>net_asst_rat</w:t>
            </w:r>
          </w:p>
        </w:tc>
        <w:tc>
          <w:tcPr>
            <w:tcW w:w="1596" w:type="dxa"/>
            <w:tcBorders>
              <w:top w:val="dotted" w:sz="6" w:space="0" w:color="BEBEBE"/>
            </w:tcBorders>
          </w:tcPr>
          <w:p w14:paraId="1223F1F0" w14:textId="77777777" w:rsidR="0046798B" w:rsidRDefault="0046798B">
            <w:pPr>
              <w:pStyle w:val="TableParagraph"/>
            </w:pPr>
          </w:p>
          <w:p w14:paraId="08054C0C" w14:textId="77777777" w:rsidR="0046798B" w:rsidRDefault="0046798B">
            <w:pPr>
              <w:pStyle w:val="TableParagraph"/>
            </w:pPr>
          </w:p>
          <w:p w14:paraId="4E432341" w14:textId="77777777" w:rsidR="0046798B" w:rsidRDefault="0046798B">
            <w:pPr>
              <w:pStyle w:val="TableParagraph"/>
              <w:spacing w:before="1"/>
              <w:rPr>
                <w:sz w:val="19"/>
              </w:rPr>
            </w:pPr>
          </w:p>
          <w:p w14:paraId="00AC459D" w14:textId="77777777" w:rsidR="0046798B" w:rsidRDefault="00903B5C">
            <w:pPr>
              <w:pStyle w:val="TableParagraph"/>
              <w:ind w:left="114"/>
              <w:rPr>
                <w:sz w:val="20"/>
              </w:rPr>
            </w:pPr>
            <w:r>
              <w:rPr>
                <w:sz w:val="20"/>
              </w:rPr>
              <w:t>Net asset ratio</w:t>
            </w:r>
          </w:p>
        </w:tc>
        <w:tc>
          <w:tcPr>
            <w:tcW w:w="1285" w:type="dxa"/>
            <w:tcBorders>
              <w:top w:val="dotted" w:sz="6" w:space="0" w:color="BEBEBE"/>
            </w:tcBorders>
          </w:tcPr>
          <w:p w14:paraId="6BF75912" w14:textId="77777777" w:rsidR="0046798B" w:rsidRDefault="0046798B">
            <w:pPr>
              <w:pStyle w:val="TableParagraph"/>
            </w:pPr>
          </w:p>
          <w:p w14:paraId="0B20FADC" w14:textId="77777777" w:rsidR="0046798B" w:rsidRDefault="0046798B">
            <w:pPr>
              <w:pStyle w:val="TableParagraph"/>
            </w:pPr>
          </w:p>
          <w:p w14:paraId="0B44778F" w14:textId="77777777" w:rsidR="0046798B" w:rsidRDefault="0046798B">
            <w:pPr>
              <w:pStyle w:val="TableParagraph"/>
              <w:spacing w:before="1"/>
              <w:rPr>
                <w:sz w:val="19"/>
              </w:rPr>
            </w:pPr>
          </w:p>
          <w:p w14:paraId="5CAB4DD0" w14:textId="77777777" w:rsidR="0046798B" w:rsidRDefault="00903B5C">
            <w:pPr>
              <w:pStyle w:val="TableParagraph"/>
              <w:ind w:left="114"/>
              <w:rPr>
                <w:sz w:val="20"/>
              </w:rPr>
            </w:pPr>
            <w:r>
              <w:rPr>
                <w:sz w:val="20"/>
              </w:rPr>
              <w:t>2014</w:t>
            </w:r>
          </w:p>
        </w:tc>
        <w:tc>
          <w:tcPr>
            <w:tcW w:w="3421" w:type="dxa"/>
            <w:tcBorders>
              <w:top w:val="dotted" w:sz="6" w:space="0" w:color="BEBEBE"/>
            </w:tcBorders>
          </w:tcPr>
          <w:p w14:paraId="32D50C7D" w14:textId="77777777" w:rsidR="0046798B" w:rsidRDefault="00903B5C">
            <w:pPr>
              <w:pStyle w:val="TableParagraph"/>
              <w:spacing w:before="35"/>
              <w:ind w:left="114"/>
              <w:rPr>
                <w:sz w:val="20"/>
              </w:rPr>
            </w:pPr>
            <w:r>
              <w:rPr>
                <w:sz w:val="20"/>
              </w:rPr>
              <w:t>A state’s net asset ratio:</w:t>
            </w:r>
          </w:p>
          <w:p w14:paraId="324CEEC7" w14:textId="77777777" w:rsidR="0046798B" w:rsidRDefault="0046798B">
            <w:pPr>
              <w:pStyle w:val="TableParagraph"/>
              <w:rPr>
                <w:sz w:val="20"/>
              </w:rPr>
            </w:pPr>
          </w:p>
          <w:p w14:paraId="4C711A30" w14:textId="77777777" w:rsidR="0046798B" w:rsidRDefault="00903B5C">
            <w:pPr>
              <w:pStyle w:val="TableParagraph"/>
              <w:spacing w:before="1"/>
              <w:ind w:left="114" w:right="283"/>
              <w:rPr>
                <w:sz w:val="20"/>
              </w:rPr>
            </w:pPr>
            <w:r>
              <w:rPr>
                <w:sz w:val="20"/>
              </w:rPr>
              <w:t>restricted and unrestricted net assets / total assets</w:t>
            </w:r>
          </w:p>
          <w:p w14:paraId="2A0691BC" w14:textId="77777777" w:rsidR="0046798B" w:rsidRDefault="0046798B">
            <w:pPr>
              <w:pStyle w:val="TableParagraph"/>
              <w:rPr>
                <w:sz w:val="20"/>
              </w:rPr>
            </w:pPr>
          </w:p>
          <w:p w14:paraId="59119B28" w14:textId="77777777" w:rsidR="0046798B" w:rsidRDefault="00903B5C">
            <w:pPr>
              <w:pStyle w:val="TableParagraph"/>
              <w:ind w:left="114" w:right="100"/>
              <w:rPr>
                <w:sz w:val="20"/>
              </w:rPr>
            </w:pPr>
            <w:r>
              <w:rPr>
                <w:sz w:val="20"/>
              </w:rPr>
              <w:t>Higher ratio indicates stronger long-run solvency</w:t>
            </w:r>
          </w:p>
        </w:tc>
        <w:tc>
          <w:tcPr>
            <w:tcW w:w="6482" w:type="dxa"/>
            <w:tcBorders>
              <w:top w:val="dotted" w:sz="6" w:space="0" w:color="BEBEBE"/>
            </w:tcBorders>
          </w:tcPr>
          <w:p w14:paraId="137A40C6" w14:textId="77777777" w:rsidR="0046798B" w:rsidRDefault="0046798B">
            <w:pPr>
              <w:pStyle w:val="TableParagraph"/>
            </w:pPr>
          </w:p>
          <w:p w14:paraId="5413AD57" w14:textId="77777777" w:rsidR="0046798B" w:rsidRDefault="00903B5C">
            <w:pPr>
              <w:pStyle w:val="TableParagraph"/>
              <w:spacing w:before="128"/>
              <w:ind w:left="114" w:right="236"/>
              <w:rPr>
                <w:sz w:val="20"/>
              </w:rPr>
            </w:pPr>
            <w:r>
              <w:rPr>
                <w:sz w:val="20"/>
              </w:rPr>
              <w:t xml:space="preserve">Norcross, Eileen and Olivia Gonzalez. 2016. “Ranking the States by Fiscal Condition.” 2016 edition. Arlington, VA: Mercatus Research, Mercatus Center at George Mason University. </w:t>
            </w:r>
            <w:hyperlink r:id="rId292">
              <w:r>
                <w:rPr>
                  <w:sz w:val="20"/>
                  <w:u w:val="single"/>
                </w:rPr>
                <w:t>http://mercatus.org/sites/default/files/Norcross-Fiscal-Rankings-2-v2_1.pdf</w:t>
              </w:r>
              <w:r>
                <w:rPr>
                  <w:sz w:val="20"/>
                </w:rPr>
                <w:t>.</w:t>
              </w:r>
            </w:hyperlink>
          </w:p>
        </w:tc>
      </w:tr>
      <w:tr w:rsidR="0046798B" w14:paraId="37367342" w14:textId="77777777">
        <w:trPr>
          <w:trHeight w:val="1005"/>
        </w:trPr>
        <w:tc>
          <w:tcPr>
            <w:tcW w:w="1711" w:type="dxa"/>
          </w:tcPr>
          <w:p w14:paraId="6BAD6D31" w14:textId="77777777" w:rsidR="0046798B" w:rsidRDefault="0046798B">
            <w:pPr>
              <w:pStyle w:val="TableParagraph"/>
              <w:spacing w:before="4"/>
              <w:rPr>
                <w:sz w:val="23"/>
              </w:rPr>
            </w:pPr>
          </w:p>
          <w:p w14:paraId="7742DE58" w14:textId="77777777" w:rsidR="0046798B" w:rsidRDefault="00903B5C">
            <w:pPr>
              <w:pStyle w:val="TableParagraph"/>
              <w:ind w:left="115"/>
              <w:rPr>
                <w:b/>
                <w:sz w:val="20"/>
              </w:rPr>
            </w:pPr>
            <w:r>
              <w:rPr>
                <w:b/>
                <w:sz w:val="20"/>
              </w:rPr>
              <w:t>noncurrent_liabi lities</w:t>
            </w:r>
          </w:p>
        </w:tc>
        <w:tc>
          <w:tcPr>
            <w:tcW w:w="1596" w:type="dxa"/>
          </w:tcPr>
          <w:p w14:paraId="5B58C563" w14:textId="77777777" w:rsidR="0046798B" w:rsidRDefault="00903B5C">
            <w:pPr>
              <w:pStyle w:val="TableParagraph"/>
              <w:spacing w:before="153"/>
              <w:ind w:left="114" w:right="448"/>
              <w:jc w:val="both"/>
              <w:rPr>
                <w:sz w:val="20"/>
              </w:rPr>
            </w:pPr>
            <w:r>
              <w:rPr>
                <w:sz w:val="20"/>
              </w:rPr>
              <w:t>Non-current liabilities (in thousands $)</w:t>
            </w:r>
          </w:p>
        </w:tc>
        <w:tc>
          <w:tcPr>
            <w:tcW w:w="1285" w:type="dxa"/>
          </w:tcPr>
          <w:p w14:paraId="779944B2" w14:textId="77777777" w:rsidR="0046798B" w:rsidRDefault="0046798B">
            <w:pPr>
              <w:pStyle w:val="TableParagraph"/>
            </w:pPr>
          </w:p>
          <w:p w14:paraId="4DED69C8" w14:textId="77777777" w:rsidR="0046798B" w:rsidRDefault="00903B5C">
            <w:pPr>
              <w:pStyle w:val="TableParagraph"/>
              <w:spacing w:before="130"/>
              <w:ind w:left="114"/>
              <w:rPr>
                <w:sz w:val="20"/>
              </w:rPr>
            </w:pPr>
            <w:r>
              <w:rPr>
                <w:sz w:val="20"/>
              </w:rPr>
              <w:t>2014</w:t>
            </w:r>
          </w:p>
        </w:tc>
        <w:tc>
          <w:tcPr>
            <w:tcW w:w="3421" w:type="dxa"/>
          </w:tcPr>
          <w:p w14:paraId="28000715" w14:textId="77777777" w:rsidR="0046798B" w:rsidRDefault="0046798B">
            <w:pPr>
              <w:pStyle w:val="TableParagraph"/>
              <w:spacing w:before="4"/>
              <w:rPr>
                <w:sz w:val="23"/>
              </w:rPr>
            </w:pPr>
          </w:p>
          <w:p w14:paraId="241C79E9" w14:textId="77777777" w:rsidR="0046798B" w:rsidRDefault="00903B5C">
            <w:pPr>
              <w:pStyle w:val="TableParagraph"/>
              <w:ind w:left="114" w:right="522"/>
              <w:rPr>
                <w:sz w:val="20"/>
              </w:rPr>
            </w:pPr>
            <w:r>
              <w:rPr>
                <w:sz w:val="20"/>
              </w:rPr>
              <w:t>A state’s non-current liabilities (in thousands $)</w:t>
            </w:r>
          </w:p>
        </w:tc>
        <w:tc>
          <w:tcPr>
            <w:tcW w:w="6482" w:type="dxa"/>
          </w:tcPr>
          <w:p w14:paraId="737DABD8" w14:textId="77777777" w:rsidR="0046798B" w:rsidRDefault="00903B5C">
            <w:pPr>
              <w:pStyle w:val="TableParagraph"/>
              <w:spacing w:before="38"/>
              <w:ind w:left="114" w:right="236"/>
              <w:rPr>
                <w:sz w:val="20"/>
              </w:rPr>
            </w:pPr>
            <w:r>
              <w:rPr>
                <w:sz w:val="20"/>
              </w:rPr>
              <w:t xml:space="preserve">Norcross, Eileen and Olivia Gonzalez. 2016. “Ranking the States by Fiscal Condition.” 2016 edition. Arlington, VA: Mercatus Research, Mercatus Center at George Mason University. </w:t>
            </w:r>
            <w:hyperlink r:id="rId293">
              <w:r>
                <w:rPr>
                  <w:sz w:val="20"/>
                  <w:u w:val="single"/>
                </w:rPr>
                <w:t>http://mercatus.org/sites/default/files/Norcross-Fiscal-Rankings-2-v2_1.pdf</w:t>
              </w:r>
              <w:r>
                <w:rPr>
                  <w:sz w:val="20"/>
                </w:rPr>
                <w:t>.</w:t>
              </w:r>
            </w:hyperlink>
          </w:p>
        </w:tc>
      </w:tr>
      <w:tr w:rsidR="0046798B" w14:paraId="5C58B892" w14:textId="77777777">
        <w:trPr>
          <w:trHeight w:val="545"/>
        </w:trPr>
        <w:tc>
          <w:tcPr>
            <w:tcW w:w="1711" w:type="dxa"/>
          </w:tcPr>
          <w:p w14:paraId="3EF07322" w14:textId="77777777" w:rsidR="0046798B" w:rsidRDefault="00903B5C">
            <w:pPr>
              <w:pStyle w:val="TableParagraph"/>
              <w:spacing w:before="43"/>
              <w:ind w:left="115"/>
              <w:rPr>
                <w:b/>
                <w:sz w:val="20"/>
              </w:rPr>
            </w:pPr>
            <w:r>
              <w:rPr>
                <w:b/>
                <w:sz w:val="20"/>
              </w:rPr>
              <w:t>noncurrent_liabi lities2</w:t>
            </w:r>
          </w:p>
        </w:tc>
        <w:tc>
          <w:tcPr>
            <w:tcW w:w="1596" w:type="dxa"/>
          </w:tcPr>
          <w:p w14:paraId="297DB61F" w14:textId="77777777" w:rsidR="0046798B" w:rsidRDefault="00903B5C">
            <w:pPr>
              <w:pStyle w:val="TableParagraph"/>
              <w:spacing w:before="43"/>
              <w:ind w:left="114" w:right="474"/>
              <w:rPr>
                <w:sz w:val="20"/>
              </w:rPr>
            </w:pPr>
            <w:r>
              <w:rPr>
                <w:sz w:val="20"/>
              </w:rPr>
              <w:t>Non-current liabilities</w:t>
            </w:r>
          </w:p>
        </w:tc>
        <w:tc>
          <w:tcPr>
            <w:tcW w:w="1285" w:type="dxa"/>
          </w:tcPr>
          <w:p w14:paraId="56C083C6" w14:textId="77777777" w:rsidR="0046798B" w:rsidRDefault="00903B5C">
            <w:pPr>
              <w:pStyle w:val="TableParagraph"/>
              <w:spacing w:before="158"/>
              <w:ind w:left="114"/>
              <w:rPr>
                <w:sz w:val="20"/>
              </w:rPr>
            </w:pPr>
            <w:r>
              <w:rPr>
                <w:sz w:val="20"/>
              </w:rPr>
              <w:t>2014</w:t>
            </w:r>
          </w:p>
        </w:tc>
        <w:tc>
          <w:tcPr>
            <w:tcW w:w="3421" w:type="dxa"/>
          </w:tcPr>
          <w:p w14:paraId="328C2BD5" w14:textId="77777777" w:rsidR="0046798B" w:rsidRDefault="00903B5C">
            <w:pPr>
              <w:pStyle w:val="TableParagraph"/>
              <w:spacing w:before="158"/>
              <w:ind w:left="114"/>
              <w:rPr>
                <w:sz w:val="20"/>
              </w:rPr>
            </w:pPr>
            <w:r>
              <w:rPr>
                <w:sz w:val="20"/>
              </w:rPr>
              <w:t>A state’s non-current liabilities</w:t>
            </w:r>
          </w:p>
        </w:tc>
        <w:tc>
          <w:tcPr>
            <w:tcW w:w="6482" w:type="dxa"/>
          </w:tcPr>
          <w:p w14:paraId="467A493E" w14:textId="77777777" w:rsidR="0046798B" w:rsidRDefault="00903B5C">
            <w:pPr>
              <w:pStyle w:val="TableParagraph"/>
              <w:spacing w:before="43"/>
              <w:ind w:left="114" w:right="345"/>
              <w:rPr>
                <w:sz w:val="20"/>
              </w:rPr>
            </w:pPr>
            <w:r>
              <w:rPr>
                <w:sz w:val="20"/>
              </w:rPr>
              <w:t>Norcross, Eileen and Olivia Gonzalez. 2016. “Ranking the States by Fiscal Condition.” 2016 edition. Arlington, VA: Mercatus Research, Mercatus</w:t>
            </w:r>
          </w:p>
        </w:tc>
      </w:tr>
    </w:tbl>
    <w:p w14:paraId="52ADAC34" w14:textId="77777777" w:rsidR="0046798B" w:rsidRDefault="0046798B">
      <w:pPr>
        <w:rPr>
          <w:sz w:val="20"/>
        </w:rPr>
        <w:sectPr w:rsidR="0046798B">
          <w:pgSz w:w="15840" w:h="12240" w:orient="landscape"/>
          <w:pgMar w:top="1220" w:right="300" w:bottom="980" w:left="820" w:header="730" w:footer="787" w:gutter="0"/>
          <w:cols w:space="720"/>
        </w:sectPr>
      </w:pPr>
    </w:p>
    <w:p w14:paraId="6BB427B2"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50A02071" w14:textId="77777777">
        <w:trPr>
          <w:trHeight w:val="542"/>
        </w:trPr>
        <w:tc>
          <w:tcPr>
            <w:tcW w:w="1711" w:type="dxa"/>
            <w:tcBorders>
              <w:bottom w:val="dotted" w:sz="6" w:space="0" w:color="BEBEBE"/>
            </w:tcBorders>
          </w:tcPr>
          <w:p w14:paraId="7963CB93" w14:textId="77777777" w:rsidR="0046798B" w:rsidRDefault="0046798B">
            <w:pPr>
              <w:pStyle w:val="TableParagraph"/>
              <w:rPr>
                <w:sz w:val="20"/>
              </w:rPr>
            </w:pPr>
          </w:p>
        </w:tc>
        <w:tc>
          <w:tcPr>
            <w:tcW w:w="1596" w:type="dxa"/>
            <w:tcBorders>
              <w:bottom w:val="dotted" w:sz="6" w:space="0" w:color="BEBEBE"/>
            </w:tcBorders>
          </w:tcPr>
          <w:p w14:paraId="0485C69C" w14:textId="77777777" w:rsidR="0046798B" w:rsidRDefault="0046798B">
            <w:pPr>
              <w:pStyle w:val="TableParagraph"/>
              <w:rPr>
                <w:sz w:val="20"/>
              </w:rPr>
            </w:pPr>
          </w:p>
        </w:tc>
        <w:tc>
          <w:tcPr>
            <w:tcW w:w="1285" w:type="dxa"/>
            <w:tcBorders>
              <w:bottom w:val="dotted" w:sz="6" w:space="0" w:color="BEBEBE"/>
            </w:tcBorders>
          </w:tcPr>
          <w:p w14:paraId="1B20FA0F" w14:textId="77777777" w:rsidR="0046798B" w:rsidRDefault="0046798B">
            <w:pPr>
              <w:pStyle w:val="TableParagraph"/>
              <w:rPr>
                <w:sz w:val="20"/>
              </w:rPr>
            </w:pPr>
          </w:p>
        </w:tc>
        <w:tc>
          <w:tcPr>
            <w:tcW w:w="3421" w:type="dxa"/>
            <w:tcBorders>
              <w:bottom w:val="dotted" w:sz="6" w:space="0" w:color="BEBEBE"/>
            </w:tcBorders>
          </w:tcPr>
          <w:p w14:paraId="5B25CB71" w14:textId="77777777" w:rsidR="0046798B" w:rsidRDefault="0046798B">
            <w:pPr>
              <w:pStyle w:val="TableParagraph"/>
              <w:rPr>
                <w:sz w:val="20"/>
              </w:rPr>
            </w:pPr>
          </w:p>
        </w:tc>
        <w:tc>
          <w:tcPr>
            <w:tcW w:w="6482" w:type="dxa"/>
            <w:tcBorders>
              <w:bottom w:val="dotted" w:sz="6" w:space="0" w:color="BEBEBE"/>
            </w:tcBorders>
          </w:tcPr>
          <w:p w14:paraId="53FA9E84" w14:textId="77777777" w:rsidR="0046798B" w:rsidRDefault="00903B5C">
            <w:pPr>
              <w:pStyle w:val="TableParagraph"/>
              <w:spacing w:before="43"/>
              <w:ind w:left="114" w:right="236"/>
              <w:rPr>
                <w:sz w:val="20"/>
              </w:rPr>
            </w:pPr>
            <w:r>
              <w:rPr>
                <w:sz w:val="20"/>
              </w:rPr>
              <w:t xml:space="preserve">Center at George Mason University. </w:t>
            </w:r>
            <w:hyperlink r:id="rId294">
              <w:r>
                <w:rPr>
                  <w:sz w:val="20"/>
                  <w:u w:val="single"/>
                </w:rPr>
                <w:t>http://mercatus.org/sites/default/files/Norcross-Fiscal-Rankings-2-v2_1.pdf</w:t>
              </w:r>
              <w:r>
                <w:rPr>
                  <w:sz w:val="20"/>
                </w:rPr>
                <w:t>.</w:t>
              </w:r>
            </w:hyperlink>
          </w:p>
        </w:tc>
      </w:tr>
      <w:tr w:rsidR="0046798B" w14:paraId="0AB10C49" w14:textId="77777777">
        <w:trPr>
          <w:trHeight w:val="1463"/>
        </w:trPr>
        <w:tc>
          <w:tcPr>
            <w:tcW w:w="1711" w:type="dxa"/>
            <w:tcBorders>
              <w:top w:val="dotted" w:sz="6" w:space="0" w:color="BEBEBE"/>
            </w:tcBorders>
          </w:tcPr>
          <w:p w14:paraId="2A097DDF" w14:textId="77777777" w:rsidR="0046798B" w:rsidRDefault="0046798B">
            <w:pPr>
              <w:pStyle w:val="TableParagraph"/>
            </w:pPr>
          </w:p>
          <w:p w14:paraId="492EA04A" w14:textId="77777777" w:rsidR="0046798B" w:rsidRDefault="0046798B">
            <w:pPr>
              <w:pStyle w:val="TableParagraph"/>
              <w:spacing w:before="6"/>
              <w:rPr>
                <w:sz w:val="31"/>
              </w:rPr>
            </w:pPr>
          </w:p>
          <w:p w14:paraId="1CC80D47" w14:textId="77777777" w:rsidR="0046798B" w:rsidRDefault="00903B5C">
            <w:pPr>
              <w:pStyle w:val="TableParagraph"/>
              <w:ind w:left="115"/>
              <w:rPr>
                <w:b/>
                <w:sz w:val="20"/>
              </w:rPr>
            </w:pPr>
            <w:r>
              <w:rPr>
                <w:b/>
                <w:sz w:val="20"/>
              </w:rPr>
              <w:t>op_ratio</w:t>
            </w:r>
          </w:p>
        </w:tc>
        <w:tc>
          <w:tcPr>
            <w:tcW w:w="1596" w:type="dxa"/>
            <w:tcBorders>
              <w:top w:val="dotted" w:sz="6" w:space="0" w:color="BEBEBE"/>
            </w:tcBorders>
          </w:tcPr>
          <w:p w14:paraId="41B220D4" w14:textId="77777777" w:rsidR="0046798B" w:rsidRDefault="0046798B">
            <w:pPr>
              <w:pStyle w:val="TableParagraph"/>
            </w:pPr>
          </w:p>
          <w:p w14:paraId="69A23C28" w14:textId="77777777" w:rsidR="0046798B" w:rsidRDefault="0046798B">
            <w:pPr>
              <w:pStyle w:val="TableParagraph"/>
              <w:spacing w:before="6"/>
              <w:rPr>
                <w:sz w:val="31"/>
              </w:rPr>
            </w:pPr>
          </w:p>
          <w:p w14:paraId="0FEAADE4" w14:textId="77777777" w:rsidR="0046798B" w:rsidRDefault="00903B5C">
            <w:pPr>
              <w:pStyle w:val="TableParagraph"/>
              <w:ind w:left="114"/>
              <w:rPr>
                <w:sz w:val="20"/>
              </w:rPr>
            </w:pPr>
            <w:r>
              <w:rPr>
                <w:sz w:val="20"/>
              </w:rPr>
              <w:t>Operating ratio</w:t>
            </w:r>
          </w:p>
        </w:tc>
        <w:tc>
          <w:tcPr>
            <w:tcW w:w="1285" w:type="dxa"/>
            <w:tcBorders>
              <w:top w:val="dotted" w:sz="6" w:space="0" w:color="BEBEBE"/>
            </w:tcBorders>
          </w:tcPr>
          <w:p w14:paraId="391DB1C3" w14:textId="77777777" w:rsidR="0046798B" w:rsidRDefault="0046798B">
            <w:pPr>
              <w:pStyle w:val="TableParagraph"/>
            </w:pPr>
          </w:p>
          <w:p w14:paraId="43394694" w14:textId="77777777" w:rsidR="0046798B" w:rsidRDefault="0046798B">
            <w:pPr>
              <w:pStyle w:val="TableParagraph"/>
              <w:spacing w:before="6"/>
              <w:rPr>
                <w:sz w:val="31"/>
              </w:rPr>
            </w:pPr>
          </w:p>
          <w:p w14:paraId="07557336" w14:textId="77777777" w:rsidR="0046798B" w:rsidRDefault="00903B5C">
            <w:pPr>
              <w:pStyle w:val="TableParagraph"/>
              <w:ind w:left="114"/>
              <w:rPr>
                <w:sz w:val="20"/>
              </w:rPr>
            </w:pPr>
            <w:r>
              <w:rPr>
                <w:sz w:val="20"/>
              </w:rPr>
              <w:t>2014</w:t>
            </w:r>
          </w:p>
        </w:tc>
        <w:tc>
          <w:tcPr>
            <w:tcW w:w="3421" w:type="dxa"/>
            <w:tcBorders>
              <w:top w:val="dotted" w:sz="6" w:space="0" w:color="BEBEBE"/>
            </w:tcBorders>
          </w:tcPr>
          <w:p w14:paraId="7431911E" w14:textId="77777777" w:rsidR="0046798B" w:rsidRDefault="00903B5C">
            <w:pPr>
              <w:pStyle w:val="TableParagraph"/>
              <w:spacing w:before="40"/>
              <w:ind w:left="114"/>
              <w:rPr>
                <w:sz w:val="20"/>
              </w:rPr>
            </w:pPr>
            <w:r>
              <w:rPr>
                <w:sz w:val="20"/>
              </w:rPr>
              <w:t>A state’s operating ratio:</w:t>
            </w:r>
          </w:p>
          <w:p w14:paraId="2C991613" w14:textId="77777777" w:rsidR="0046798B" w:rsidRDefault="0046798B">
            <w:pPr>
              <w:pStyle w:val="TableParagraph"/>
              <w:rPr>
                <w:sz w:val="20"/>
              </w:rPr>
            </w:pPr>
          </w:p>
          <w:p w14:paraId="07F09938" w14:textId="77777777" w:rsidR="0046798B" w:rsidRDefault="00903B5C">
            <w:pPr>
              <w:pStyle w:val="TableParagraph"/>
              <w:spacing w:before="1"/>
              <w:ind w:left="114"/>
              <w:rPr>
                <w:sz w:val="20"/>
              </w:rPr>
            </w:pPr>
            <w:r>
              <w:rPr>
                <w:sz w:val="20"/>
              </w:rPr>
              <w:t>total revenues / total expenses</w:t>
            </w:r>
          </w:p>
          <w:p w14:paraId="3432A34E" w14:textId="77777777" w:rsidR="0046798B" w:rsidRDefault="0046798B">
            <w:pPr>
              <w:pStyle w:val="TableParagraph"/>
              <w:rPr>
                <w:sz w:val="20"/>
              </w:rPr>
            </w:pPr>
          </w:p>
          <w:p w14:paraId="15AFB663" w14:textId="77777777" w:rsidR="0046798B" w:rsidRDefault="00903B5C">
            <w:pPr>
              <w:pStyle w:val="TableParagraph"/>
              <w:ind w:left="114" w:right="766"/>
              <w:rPr>
                <w:sz w:val="20"/>
              </w:rPr>
            </w:pPr>
            <w:r>
              <w:rPr>
                <w:sz w:val="20"/>
              </w:rPr>
              <w:t>One or greater indicates budget solvency.</w:t>
            </w:r>
          </w:p>
        </w:tc>
        <w:tc>
          <w:tcPr>
            <w:tcW w:w="6482" w:type="dxa"/>
            <w:tcBorders>
              <w:top w:val="dotted" w:sz="6" w:space="0" w:color="BEBEBE"/>
            </w:tcBorders>
          </w:tcPr>
          <w:p w14:paraId="10F4BFA5" w14:textId="77777777" w:rsidR="0046798B" w:rsidRDefault="0046798B">
            <w:pPr>
              <w:pStyle w:val="TableParagraph"/>
              <w:spacing w:before="6"/>
              <w:rPr>
                <w:sz w:val="23"/>
              </w:rPr>
            </w:pPr>
          </w:p>
          <w:p w14:paraId="1868E1F4" w14:textId="77777777" w:rsidR="0046798B" w:rsidRDefault="00903B5C">
            <w:pPr>
              <w:pStyle w:val="TableParagraph"/>
              <w:ind w:left="114" w:right="236"/>
              <w:rPr>
                <w:sz w:val="20"/>
              </w:rPr>
            </w:pPr>
            <w:r>
              <w:rPr>
                <w:sz w:val="20"/>
              </w:rPr>
              <w:t xml:space="preserve">Norcross, Eileen and Olivia Gonzalez. 2016. “Ranking the States by Fiscal Condition.” 2016 edition. Arlington, VA: Mercatus Research, Mercatus Center at George Mason University. </w:t>
            </w:r>
            <w:hyperlink r:id="rId295">
              <w:r>
                <w:rPr>
                  <w:sz w:val="20"/>
                  <w:u w:val="single"/>
                </w:rPr>
                <w:t>http://mercatus.org/sites/default/files/Norcross-Fiscal-Rankings-2-v2_1.pdf</w:t>
              </w:r>
              <w:r>
                <w:rPr>
                  <w:sz w:val="20"/>
                </w:rPr>
                <w:t>.</w:t>
              </w:r>
            </w:hyperlink>
          </w:p>
        </w:tc>
      </w:tr>
      <w:tr w:rsidR="0046798B" w14:paraId="3143F537" w14:textId="77777777">
        <w:trPr>
          <w:trHeight w:val="1700"/>
        </w:trPr>
        <w:tc>
          <w:tcPr>
            <w:tcW w:w="1711" w:type="dxa"/>
          </w:tcPr>
          <w:p w14:paraId="4530FA4D" w14:textId="77777777" w:rsidR="0046798B" w:rsidRDefault="0046798B">
            <w:pPr>
              <w:pStyle w:val="TableParagraph"/>
            </w:pPr>
          </w:p>
          <w:p w14:paraId="02FF3524" w14:textId="77777777" w:rsidR="0046798B" w:rsidRDefault="0046798B">
            <w:pPr>
              <w:pStyle w:val="TableParagraph"/>
              <w:spacing w:before="9"/>
              <w:rPr>
                <w:sz w:val="31"/>
              </w:rPr>
            </w:pPr>
          </w:p>
          <w:p w14:paraId="13A65F67" w14:textId="77777777" w:rsidR="0046798B" w:rsidRDefault="00903B5C">
            <w:pPr>
              <w:pStyle w:val="TableParagraph"/>
              <w:ind w:left="115" w:right="343"/>
              <w:rPr>
                <w:b/>
                <w:sz w:val="20"/>
              </w:rPr>
            </w:pPr>
            <w:r>
              <w:rPr>
                <w:b/>
                <w:sz w:val="20"/>
              </w:rPr>
              <w:t>opeb_income_ ratio</w:t>
            </w:r>
          </w:p>
        </w:tc>
        <w:tc>
          <w:tcPr>
            <w:tcW w:w="1596" w:type="dxa"/>
          </w:tcPr>
          <w:p w14:paraId="70A6A42C" w14:textId="77777777" w:rsidR="0046798B" w:rsidRDefault="0046798B">
            <w:pPr>
              <w:pStyle w:val="TableParagraph"/>
            </w:pPr>
          </w:p>
          <w:p w14:paraId="43F50DD7" w14:textId="77777777" w:rsidR="0046798B" w:rsidRDefault="0046798B">
            <w:pPr>
              <w:pStyle w:val="TableParagraph"/>
              <w:spacing w:before="9"/>
              <w:rPr>
                <w:sz w:val="31"/>
              </w:rPr>
            </w:pPr>
          </w:p>
          <w:p w14:paraId="2B20D3A3" w14:textId="77777777" w:rsidR="0046798B" w:rsidRDefault="00903B5C">
            <w:pPr>
              <w:pStyle w:val="TableParagraph"/>
              <w:ind w:left="114" w:right="96"/>
              <w:rPr>
                <w:sz w:val="20"/>
              </w:rPr>
            </w:pPr>
            <w:r>
              <w:rPr>
                <w:sz w:val="20"/>
              </w:rPr>
              <w:t>OPEB to income ratio</w:t>
            </w:r>
          </w:p>
        </w:tc>
        <w:tc>
          <w:tcPr>
            <w:tcW w:w="1285" w:type="dxa"/>
          </w:tcPr>
          <w:p w14:paraId="2563E896" w14:textId="77777777" w:rsidR="0046798B" w:rsidRDefault="0046798B">
            <w:pPr>
              <w:pStyle w:val="TableParagraph"/>
            </w:pPr>
          </w:p>
          <w:p w14:paraId="04DE8A34" w14:textId="77777777" w:rsidR="0046798B" w:rsidRDefault="0046798B">
            <w:pPr>
              <w:pStyle w:val="TableParagraph"/>
            </w:pPr>
          </w:p>
          <w:p w14:paraId="686899D8" w14:textId="77777777" w:rsidR="0046798B" w:rsidRDefault="0046798B">
            <w:pPr>
              <w:pStyle w:val="TableParagraph"/>
              <w:spacing w:before="9"/>
              <w:rPr>
                <w:sz w:val="19"/>
              </w:rPr>
            </w:pPr>
          </w:p>
          <w:p w14:paraId="0FE2F313" w14:textId="77777777" w:rsidR="0046798B" w:rsidRDefault="00903B5C">
            <w:pPr>
              <w:pStyle w:val="TableParagraph"/>
              <w:ind w:left="114"/>
              <w:rPr>
                <w:sz w:val="20"/>
              </w:rPr>
            </w:pPr>
            <w:r>
              <w:rPr>
                <w:sz w:val="20"/>
              </w:rPr>
              <w:t>2014</w:t>
            </w:r>
          </w:p>
        </w:tc>
        <w:tc>
          <w:tcPr>
            <w:tcW w:w="3421" w:type="dxa"/>
          </w:tcPr>
          <w:p w14:paraId="1093E032" w14:textId="77777777" w:rsidR="0046798B" w:rsidRDefault="00903B5C">
            <w:pPr>
              <w:pStyle w:val="TableParagraph"/>
              <w:spacing w:before="43"/>
              <w:ind w:left="114" w:right="660"/>
              <w:rPr>
                <w:sz w:val="20"/>
              </w:rPr>
            </w:pPr>
            <w:r>
              <w:rPr>
                <w:sz w:val="20"/>
              </w:rPr>
              <w:t>A state’s other post-employment benefits to income ratio:</w:t>
            </w:r>
          </w:p>
          <w:p w14:paraId="140C8BCC" w14:textId="77777777" w:rsidR="0046798B" w:rsidRDefault="0046798B">
            <w:pPr>
              <w:pStyle w:val="TableParagraph"/>
              <w:rPr>
                <w:sz w:val="20"/>
              </w:rPr>
            </w:pPr>
          </w:p>
          <w:p w14:paraId="405BDC56" w14:textId="77777777" w:rsidR="0046798B" w:rsidRDefault="00903B5C">
            <w:pPr>
              <w:pStyle w:val="TableParagraph"/>
              <w:ind w:left="114"/>
              <w:rPr>
                <w:sz w:val="20"/>
              </w:rPr>
            </w:pPr>
            <w:r>
              <w:rPr>
                <w:sz w:val="20"/>
              </w:rPr>
              <w:t>OPEB / state personal income</w:t>
            </w:r>
          </w:p>
          <w:p w14:paraId="1F20B72C" w14:textId="77777777" w:rsidR="0046798B" w:rsidRDefault="0046798B">
            <w:pPr>
              <w:pStyle w:val="TableParagraph"/>
              <w:rPr>
                <w:sz w:val="20"/>
              </w:rPr>
            </w:pPr>
          </w:p>
          <w:p w14:paraId="451FC3FD" w14:textId="77777777" w:rsidR="0046798B" w:rsidRDefault="00903B5C">
            <w:pPr>
              <w:pStyle w:val="TableParagraph"/>
              <w:ind w:left="114" w:right="150"/>
              <w:rPr>
                <w:sz w:val="20"/>
              </w:rPr>
            </w:pPr>
            <w:r>
              <w:rPr>
                <w:sz w:val="20"/>
              </w:rPr>
              <w:t>Higher value indicates lower trust fund solvency.</w:t>
            </w:r>
          </w:p>
        </w:tc>
        <w:tc>
          <w:tcPr>
            <w:tcW w:w="6482" w:type="dxa"/>
          </w:tcPr>
          <w:p w14:paraId="6EAE92CE" w14:textId="77777777" w:rsidR="0046798B" w:rsidRDefault="0046798B">
            <w:pPr>
              <w:pStyle w:val="TableParagraph"/>
            </w:pPr>
          </w:p>
          <w:p w14:paraId="3A42D722" w14:textId="77777777" w:rsidR="0046798B" w:rsidRDefault="00903B5C">
            <w:pPr>
              <w:pStyle w:val="TableParagraph"/>
              <w:spacing w:before="135"/>
              <w:ind w:left="114" w:right="236"/>
              <w:rPr>
                <w:sz w:val="20"/>
              </w:rPr>
            </w:pPr>
            <w:r>
              <w:rPr>
                <w:sz w:val="20"/>
              </w:rPr>
              <w:t xml:space="preserve">Norcross, Eileen and Olivia Gonzalez. 2016. “Ranking the States by Fiscal Condition.” 2016 edition. Arlington, VA: Mercatus Research, Mercatus Center at George Mason University. </w:t>
            </w:r>
            <w:hyperlink r:id="rId296">
              <w:r>
                <w:rPr>
                  <w:sz w:val="20"/>
                  <w:u w:val="single"/>
                </w:rPr>
                <w:t>http://mercatus.org/sites/default/files/Norcross-Fiscal-Rankings-2-v2_1.pdf</w:t>
              </w:r>
              <w:r>
                <w:rPr>
                  <w:sz w:val="20"/>
                </w:rPr>
                <w:t>.</w:t>
              </w:r>
            </w:hyperlink>
          </w:p>
        </w:tc>
      </w:tr>
      <w:tr w:rsidR="0046798B" w14:paraId="3FF39E08" w14:textId="77777777">
        <w:trPr>
          <w:trHeight w:val="1923"/>
        </w:trPr>
        <w:tc>
          <w:tcPr>
            <w:tcW w:w="1711" w:type="dxa"/>
            <w:tcBorders>
              <w:bottom w:val="dotted" w:sz="6" w:space="0" w:color="BEBEBE"/>
            </w:tcBorders>
          </w:tcPr>
          <w:p w14:paraId="17230BDC" w14:textId="77777777" w:rsidR="0046798B" w:rsidRDefault="0046798B">
            <w:pPr>
              <w:pStyle w:val="TableParagraph"/>
            </w:pPr>
          </w:p>
          <w:p w14:paraId="368AB856" w14:textId="77777777" w:rsidR="0046798B" w:rsidRDefault="0046798B">
            <w:pPr>
              <w:pStyle w:val="TableParagraph"/>
            </w:pPr>
          </w:p>
          <w:p w14:paraId="02CE84AD" w14:textId="77777777" w:rsidR="0046798B" w:rsidRDefault="0046798B">
            <w:pPr>
              <w:pStyle w:val="TableParagraph"/>
              <w:spacing w:before="4"/>
              <w:rPr>
                <w:sz w:val="19"/>
              </w:rPr>
            </w:pPr>
          </w:p>
          <w:p w14:paraId="47C4949F" w14:textId="77777777" w:rsidR="0046798B" w:rsidRDefault="00903B5C">
            <w:pPr>
              <w:pStyle w:val="TableParagraph"/>
              <w:ind w:left="115" w:right="99"/>
              <w:rPr>
                <w:b/>
                <w:sz w:val="20"/>
              </w:rPr>
            </w:pPr>
            <w:r>
              <w:rPr>
                <w:b/>
                <w:sz w:val="20"/>
              </w:rPr>
              <w:t>pension_income_ ratio</w:t>
            </w:r>
          </w:p>
        </w:tc>
        <w:tc>
          <w:tcPr>
            <w:tcW w:w="1596" w:type="dxa"/>
            <w:tcBorders>
              <w:bottom w:val="dotted" w:sz="6" w:space="0" w:color="BEBEBE"/>
            </w:tcBorders>
          </w:tcPr>
          <w:p w14:paraId="5B86854F" w14:textId="77777777" w:rsidR="0046798B" w:rsidRDefault="0046798B">
            <w:pPr>
              <w:pStyle w:val="TableParagraph"/>
            </w:pPr>
          </w:p>
          <w:p w14:paraId="52B5079B" w14:textId="77777777" w:rsidR="0046798B" w:rsidRDefault="0046798B">
            <w:pPr>
              <w:pStyle w:val="TableParagraph"/>
              <w:spacing w:before="4"/>
              <w:rPr>
                <w:sz w:val="31"/>
              </w:rPr>
            </w:pPr>
          </w:p>
          <w:p w14:paraId="05F1B255" w14:textId="77777777" w:rsidR="0046798B" w:rsidRDefault="00903B5C">
            <w:pPr>
              <w:pStyle w:val="TableParagraph"/>
              <w:ind w:left="114" w:right="446"/>
              <w:rPr>
                <w:sz w:val="20"/>
              </w:rPr>
            </w:pPr>
            <w:r>
              <w:rPr>
                <w:sz w:val="20"/>
              </w:rPr>
              <w:t>Unfunded pension to income ratio</w:t>
            </w:r>
          </w:p>
        </w:tc>
        <w:tc>
          <w:tcPr>
            <w:tcW w:w="1285" w:type="dxa"/>
            <w:tcBorders>
              <w:bottom w:val="dotted" w:sz="6" w:space="0" w:color="BEBEBE"/>
            </w:tcBorders>
          </w:tcPr>
          <w:p w14:paraId="2453255F" w14:textId="77777777" w:rsidR="0046798B" w:rsidRDefault="0046798B">
            <w:pPr>
              <w:pStyle w:val="TableParagraph"/>
            </w:pPr>
          </w:p>
          <w:p w14:paraId="24CD73B9" w14:textId="77777777" w:rsidR="0046798B" w:rsidRDefault="0046798B">
            <w:pPr>
              <w:pStyle w:val="TableParagraph"/>
            </w:pPr>
          </w:p>
          <w:p w14:paraId="78DD3B3F" w14:textId="77777777" w:rsidR="0046798B" w:rsidRDefault="0046798B">
            <w:pPr>
              <w:pStyle w:val="TableParagraph"/>
              <w:spacing w:before="4"/>
              <w:rPr>
                <w:sz w:val="29"/>
              </w:rPr>
            </w:pPr>
          </w:p>
          <w:p w14:paraId="5A36E52F" w14:textId="77777777" w:rsidR="0046798B" w:rsidRDefault="00903B5C">
            <w:pPr>
              <w:pStyle w:val="TableParagraph"/>
              <w:ind w:left="114"/>
              <w:rPr>
                <w:sz w:val="20"/>
              </w:rPr>
            </w:pPr>
            <w:r>
              <w:rPr>
                <w:sz w:val="20"/>
              </w:rPr>
              <w:t>2014</w:t>
            </w:r>
          </w:p>
        </w:tc>
        <w:tc>
          <w:tcPr>
            <w:tcW w:w="3421" w:type="dxa"/>
            <w:tcBorders>
              <w:bottom w:val="dotted" w:sz="6" w:space="0" w:color="BEBEBE"/>
            </w:tcBorders>
          </w:tcPr>
          <w:p w14:paraId="07031B50" w14:textId="77777777" w:rsidR="0046798B" w:rsidRDefault="00903B5C">
            <w:pPr>
              <w:pStyle w:val="TableParagraph"/>
              <w:spacing w:before="38"/>
              <w:ind w:left="114" w:right="249"/>
              <w:rPr>
                <w:sz w:val="20"/>
              </w:rPr>
            </w:pPr>
            <w:r>
              <w:rPr>
                <w:sz w:val="20"/>
              </w:rPr>
              <w:t>A state’s unfunded pension to income ratio:</w:t>
            </w:r>
          </w:p>
          <w:p w14:paraId="1D3B7A5F" w14:textId="77777777" w:rsidR="0046798B" w:rsidRDefault="0046798B">
            <w:pPr>
              <w:pStyle w:val="TableParagraph"/>
              <w:rPr>
                <w:sz w:val="20"/>
              </w:rPr>
            </w:pPr>
          </w:p>
          <w:p w14:paraId="0DD24BBB" w14:textId="77777777" w:rsidR="0046798B" w:rsidRDefault="00903B5C">
            <w:pPr>
              <w:pStyle w:val="TableParagraph"/>
              <w:ind w:left="114" w:right="655"/>
              <w:rPr>
                <w:sz w:val="20"/>
              </w:rPr>
            </w:pPr>
            <w:r>
              <w:rPr>
                <w:sz w:val="20"/>
              </w:rPr>
              <w:t>unfunded pension liability / state personal income</w:t>
            </w:r>
          </w:p>
          <w:p w14:paraId="57B007C5" w14:textId="77777777" w:rsidR="0046798B" w:rsidRDefault="0046798B">
            <w:pPr>
              <w:pStyle w:val="TableParagraph"/>
              <w:spacing w:before="1"/>
              <w:rPr>
                <w:sz w:val="20"/>
              </w:rPr>
            </w:pPr>
          </w:p>
          <w:p w14:paraId="1726EB4F" w14:textId="77777777" w:rsidR="0046798B" w:rsidRDefault="00903B5C">
            <w:pPr>
              <w:pStyle w:val="TableParagraph"/>
              <w:ind w:left="114" w:right="150"/>
              <w:rPr>
                <w:sz w:val="20"/>
              </w:rPr>
            </w:pPr>
            <w:r>
              <w:rPr>
                <w:sz w:val="20"/>
              </w:rPr>
              <w:t>Higher value indicates lower trust fund solvency.</w:t>
            </w:r>
          </w:p>
        </w:tc>
        <w:tc>
          <w:tcPr>
            <w:tcW w:w="6482" w:type="dxa"/>
            <w:tcBorders>
              <w:bottom w:val="dotted" w:sz="6" w:space="0" w:color="BEBEBE"/>
            </w:tcBorders>
          </w:tcPr>
          <w:p w14:paraId="4B1DE7E7" w14:textId="77777777" w:rsidR="0046798B" w:rsidRDefault="0046798B">
            <w:pPr>
              <w:pStyle w:val="TableParagraph"/>
            </w:pPr>
          </w:p>
          <w:p w14:paraId="55565738" w14:textId="77777777" w:rsidR="0046798B" w:rsidRDefault="0046798B">
            <w:pPr>
              <w:pStyle w:val="TableParagraph"/>
              <w:spacing w:before="4"/>
              <w:rPr>
                <w:sz w:val="21"/>
              </w:rPr>
            </w:pPr>
          </w:p>
          <w:p w14:paraId="6C5CD210" w14:textId="77777777" w:rsidR="0046798B" w:rsidRDefault="00903B5C">
            <w:pPr>
              <w:pStyle w:val="TableParagraph"/>
              <w:ind w:left="114" w:right="236"/>
              <w:rPr>
                <w:sz w:val="20"/>
              </w:rPr>
            </w:pPr>
            <w:r>
              <w:rPr>
                <w:sz w:val="20"/>
              </w:rPr>
              <w:t xml:space="preserve">Norcross, Eileen and Olivia Gonzalez. 2016. “Ranking the States by Fiscal Condition.” 2016 edition. Arlington, VA: Mercatus Research, Mercatus Center at George Mason University. </w:t>
            </w:r>
            <w:hyperlink r:id="rId297">
              <w:r>
                <w:rPr>
                  <w:sz w:val="20"/>
                  <w:u w:val="single"/>
                </w:rPr>
                <w:t>http://mercatus.org/sites/default/files/Norcross-Fiscal-Rankings-2-v2_1.pdf</w:t>
              </w:r>
              <w:r>
                <w:rPr>
                  <w:sz w:val="20"/>
                </w:rPr>
                <w:t>.</w:t>
              </w:r>
            </w:hyperlink>
          </w:p>
        </w:tc>
      </w:tr>
      <w:tr w:rsidR="0046798B" w14:paraId="5BA11129" w14:textId="77777777">
        <w:trPr>
          <w:trHeight w:val="1693"/>
        </w:trPr>
        <w:tc>
          <w:tcPr>
            <w:tcW w:w="1711" w:type="dxa"/>
            <w:tcBorders>
              <w:top w:val="dotted" w:sz="6" w:space="0" w:color="BEBEBE"/>
            </w:tcBorders>
          </w:tcPr>
          <w:p w14:paraId="00027A3E" w14:textId="77777777" w:rsidR="0046798B" w:rsidRDefault="0046798B">
            <w:pPr>
              <w:pStyle w:val="TableParagraph"/>
            </w:pPr>
          </w:p>
          <w:p w14:paraId="7A184E1F" w14:textId="77777777" w:rsidR="0046798B" w:rsidRDefault="0046798B">
            <w:pPr>
              <w:pStyle w:val="TableParagraph"/>
              <w:spacing w:before="1"/>
              <w:rPr>
                <w:sz w:val="31"/>
              </w:rPr>
            </w:pPr>
          </w:p>
          <w:p w14:paraId="117A04E9" w14:textId="77777777" w:rsidR="0046798B" w:rsidRDefault="00903B5C">
            <w:pPr>
              <w:pStyle w:val="TableParagraph"/>
              <w:ind w:left="115" w:right="110"/>
              <w:rPr>
                <w:b/>
                <w:sz w:val="20"/>
              </w:rPr>
            </w:pPr>
            <w:r>
              <w:rPr>
                <w:b/>
                <w:sz w:val="20"/>
              </w:rPr>
              <w:t>primary_debt_in come_ratio</w:t>
            </w:r>
          </w:p>
        </w:tc>
        <w:tc>
          <w:tcPr>
            <w:tcW w:w="1596" w:type="dxa"/>
            <w:tcBorders>
              <w:top w:val="dotted" w:sz="6" w:space="0" w:color="BEBEBE"/>
            </w:tcBorders>
          </w:tcPr>
          <w:p w14:paraId="111B1379" w14:textId="77777777" w:rsidR="0046798B" w:rsidRDefault="0046798B">
            <w:pPr>
              <w:pStyle w:val="TableParagraph"/>
            </w:pPr>
          </w:p>
          <w:p w14:paraId="56C6BE9B" w14:textId="77777777" w:rsidR="0046798B" w:rsidRDefault="0046798B">
            <w:pPr>
              <w:pStyle w:val="TableParagraph"/>
              <w:spacing w:before="1"/>
              <w:rPr>
                <w:sz w:val="31"/>
              </w:rPr>
            </w:pPr>
          </w:p>
          <w:p w14:paraId="218B1C3F" w14:textId="77777777" w:rsidR="0046798B" w:rsidRDefault="00903B5C">
            <w:pPr>
              <w:pStyle w:val="TableParagraph"/>
              <w:ind w:left="114" w:right="219"/>
              <w:rPr>
                <w:sz w:val="20"/>
              </w:rPr>
            </w:pPr>
            <w:r>
              <w:rPr>
                <w:sz w:val="20"/>
              </w:rPr>
              <w:t>Debt to income ratio</w:t>
            </w:r>
          </w:p>
        </w:tc>
        <w:tc>
          <w:tcPr>
            <w:tcW w:w="1285" w:type="dxa"/>
            <w:tcBorders>
              <w:top w:val="dotted" w:sz="6" w:space="0" w:color="BEBEBE"/>
            </w:tcBorders>
          </w:tcPr>
          <w:p w14:paraId="70C771DA" w14:textId="77777777" w:rsidR="0046798B" w:rsidRDefault="0046798B">
            <w:pPr>
              <w:pStyle w:val="TableParagraph"/>
            </w:pPr>
          </w:p>
          <w:p w14:paraId="2E67B7A6" w14:textId="77777777" w:rsidR="0046798B" w:rsidRDefault="0046798B">
            <w:pPr>
              <w:pStyle w:val="TableParagraph"/>
            </w:pPr>
          </w:p>
          <w:p w14:paraId="5BFD3418" w14:textId="77777777" w:rsidR="0046798B" w:rsidRDefault="0046798B">
            <w:pPr>
              <w:pStyle w:val="TableParagraph"/>
              <w:spacing w:before="1"/>
              <w:rPr>
                <w:sz w:val="19"/>
              </w:rPr>
            </w:pPr>
          </w:p>
          <w:p w14:paraId="1BC45FED" w14:textId="77777777" w:rsidR="0046798B" w:rsidRDefault="00903B5C">
            <w:pPr>
              <w:pStyle w:val="TableParagraph"/>
              <w:ind w:left="114"/>
              <w:rPr>
                <w:sz w:val="20"/>
              </w:rPr>
            </w:pPr>
            <w:r>
              <w:rPr>
                <w:sz w:val="20"/>
              </w:rPr>
              <w:t>2014</w:t>
            </w:r>
          </w:p>
        </w:tc>
        <w:tc>
          <w:tcPr>
            <w:tcW w:w="3421" w:type="dxa"/>
            <w:tcBorders>
              <w:top w:val="dotted" w:sz="6" w:space="0" w:color="BEBEBE"/>
            </w:tcBorders>
          </w:tcPr>
          <w:p w14:paraId="57A0CD74" w14:textId="77777777" w:rsidR="0046798B" w:rsidRDefault="00903B5C">
            <w:pPr>
              <w:pStyle w:val="TableParagraph"/>
              <w:spacing w:before="35"/>
              <w:ind w:left="114"/>
              <w:rPr>
                <w:sz w:val="20"/>
              </w:rPr>
            </w:pPr>
            <w:r>
              <w:rPr>
                <w:sz w:val="20"/>
              </w:rPr>
              <w:t>A state’s debt to income ratio:</w:t>
            </w:r>
          </w:p>
          <w:p w14:paraId="4EF6CA7C" w14:textId="77777777" w:rsidR="0046798B" w:rsidRDefault="0046798B">
            <w:pPr>
              <w:pStyle w:val="TableParagraph"/>
              <w:rPr>
                <w:sz w:val="20"/>
              </w:rPr>
            </w:pPr>
          </w:p>
          <w:p w14:paraId="6CC2CDBD" w14:textId="77777777" w:rsidR="0046798B" w:rsidRDefault="00903B5C">
            <w:pPr>
              <w:pStyle w:val="TableParagraph"/>
              <w:spacing w:before="1"/>
              <w:ind w:left="114" w:right="316"/>
              <w:rPr>
                <w:sz w:val="20"/>
              </w:rPr>
            </w:pPr>
            <w:r>
              <w:rPr>
                <w:sz w:val="20"/>
              </w:rPr>
              <w:t>total primary government debt / state personal income</w:t>
            </w:r>
          </w:p>
          <w:p w14:paraId="085BAB92" w14:textId="77777777" w:rsidR="0046798B" w:rsidRDefault="0046798B">
            <w:pPr>
              <w:pStyle w:val="TableParagraph"/>
              <w:rPr>
                <w:sz w:val="20"/>
              </w:rPr>
            </w:pPr>
          </w:p>
          <w:p w14:paraId="3FD1C6B2" w14:textId="77777777" w:rsidR="0046798B" w:rsidRDefault="00903B5C">
            <w:pPr>
              <w:pStyle w:val="TableParagraph"/>
              <w:ind w:left="114" w:right="150"/>
              <w:rPr>
                <w:sz w:val="20"/>
              </w:rPr>
            </w:pPr>
            <w:r>
              <w:rPr>
                <w:sz w:val="20"/>
              </w:rPr>
              <w:t>Higher value indicates lower trust fund solvency.</w:t>
            </w:r>
          </w:p>
        </w:tc>
        <w:tc>
          <w:tcPr>
            <w:tcW w:w="6482" w:type="dxa"/>
            <w:tcBorders>
              <w:top w:val="dotted" w:sz="6" w:space="0" w:color="BEBEBE"/>
            </w:tcBorders>
          </w:tcPr>
          <w:p w14:paraId="6DC07F84" w14:textId="77777777" w:rsidR="0046798B" w:rsidRDefault="0046798B">
            <w:pPr>
              <w:pStyle w:val="TableParagraph"/>
            </w:pPr>
          </w:p>
          <w:p w14:paraId="0CE8D787" w14:textId="77777777" w:rsidR="0046798B" w:rsidRDefault="00903B5C">
            <w:pPr>
              <w:pStyle w:val="TableParagraph"/>
              <w:spacing w:before="128"/>
              <w:ind w:left="114" w:right="236"/>
              <w:rPr>
                <w:sz w:val="20"/>
              </w:rPr>
            </w:pPr>
            <w:r>
              <w:rPr>
                <w:sz w:val="20"/>
              </w:rPr>
              <w:t xml:space="preserve">Norcross, Eileen and Olivia Gonzalez. 2016. “Ranking the States by Fiscal Condition.” 2016 edition. Arlington, VA: Mercatus Research, Mercatus Center at George Mason University. </w:t>
            </w:r>
            <w:hyperlink r:id="rId298">
              <w:r>
                <w:rPr>
                  <w:sz w:val="20"/>
                  <w:u w:val="single"/>
                </w:rPr>
                <w:t>http://mercatus.org/sites/default/files/Norcross-Fiscal-Rankings-2-v2_1.pdf</w:t>
              </w:r>
              <w:r>
                <w:rPr>
                  <w:sz w:val="20"/>
                </w:rPr>
                <w:t>.</w:t>
              </w:r>
            </w:hyperlink>
          </w:p>
        </w:tc>
      </w:tr>
      <w:tr w:rsidR="0046798B" w14:paraId="02B3BBCD" w14:textId="77777777">
        <w:trPr>
          <w:trHeight w:val="1005"/>
        </w:trPr>
        <w:tc>
          <w:tcPr>
            <w:tcW w:w="1711" w:type="dxa"/>
          </w:tcPr>
          <w:p w14:paraId="4D1C37CC" w14:textId="77777777" w:rsidR="0046798B" w:rsidRDefault="0046798B">
            <w:pPr>
              <w:pStyle w:val="TableParagraph"/>
              <w:spacing w:before="4"/>
              <w:rPr>
                <w:sz w:val="23"/>
              </w:rPr>
            </w:pPr>
          </w:p>
          <w:p w14:paraId="4E956826" w14:textId="77777777" w:rsidR="0046798B" w:rsidRDefault="00903B5C">
            <w:pPr>
              <w:pStyle w:val="TableParagraph"/>
              <w:ind w:left="115" w:right="155"/>
              <w:rPr>
                <w:b/>
                <w:sz w:val="20"/>
              </w:rPr>
            </w:pPr>
            <w:r>
              <w:rPr>
                <w:b/>
                <w:sz w:val="20"/>
              </w:rPr>
              <w:t>primary_gov_de bt</w:t>
            </w:r>
          </w:p>
        </w:tc>
        <w:tc>
          <w:tcPr>
            <w:tcW w:w="1596" w:type="dxa"/>
          </w:tcPr>
          <w:p w14:paraId="54C947E1" w14:textId="77777777" w:rsidR="0046798B" w:rsidRDefault="0046798B">
            <w:pPr>
              <w:pStyle w:val="TableParagraph"/>
              <w:spacing w:before="4"/>
              <w:rPr>
                <w:sz w:val="23"/>
              </w:rPr>
            </w:pPr>
          </w:p>
          <w:p w14:paraId="48D766EB" w14:textId="77777777" w:rsidR="0046798B" w:rsidRDefault="00903B5C">
            <w:pPr>
              <w:pStyle w:val="TableParagraph"/>
              <w:ind w:left="114" w:right="102"/>
              <w:rPr>
                <w:sz w:val="20"/>
              </w:rPr>
            </w:pPr>
            <w:r>
              <w:rPr>
                <w:sz w:val="20"/>
              </w:rPr>
              <w:t>Primary government debt</w:t>
            </w:r>
          </w:p>
        </w:tc>
        <w:tc>
          <w:tcPr>
            <w:tcW w:w="1285" w:type="dxa"/>
          </w:tcPr>
          <w:p w14:paraId="0A941998" w14:textId="77777777" w:rsidR="0046798B" w:rsidRDefault="0046798B">
            <w:pPr>
              <w:pStyle w:val="TableParagraph"/>
            </w:pPr>
          </w:p>
          <w:p w14:paraId="6EA695FC" w14:textId="77777777" w:rsidR="0046798B" w:rsidRDefault="00903B5C">
            <w:pPr>
              <w:pStyle w:val="TableParagraph"/>
              <w:spacing w:before="130"/>
              <w:ind w:left="114"/>
              <w:rPr>
                <w:sz w:val="20"/>
              </w:rPr>
            </w:pPr>
            <w:r>
              <w:rPr>
                <w:sz w:val="20"/>
              </w:rPr>
              <w:t>2014</w:t>
            </w:r>
          </w:p>
        </w:tc>
        <w:tc>
          <w:tcPr>
            <w:tcW w:w="3421" w:type="dxa"/>
          </w:tcPr>
          <w:p w14:paraId="07D4E67A" w14:textId="77777777" w:rsidR="0046798B" w:rsidRDefault="0046798B">
            <w:pPr>
              <w:pStyle w:val="TableParagraph"/>
            </w:pPr>
          </w:p>
          <w:p w14:paraId="0D9A889A" w14:textId="77777777" w:rsidR="0046798B" w:rsidRDefault="00903B5C">
            <w:pPr>
              <w:pStyle w:val="TableParagraph"/>
              <w:spacing w:before="130"/>
              <w:ind w:left="114"/>
              <w:rPr>
                <w:sz w:val="20"/>
              </w:rPr>
            </w:pPr>
            <w:r>
              <w:rPr>
                <w:sz w:val="20"/>
              </w:rPr>
              <w:t>A state’s primary government debt</w:t>
            </w:r>
          </w:p>
        </w:tc>
        <w:tc>
          <w:tcPr>
            <w:tcW w:w="6482" w:type="dxa"/>
          </w:tcPr>
          <w:p w14:paraId="7C772AD9" w14:textId="77777777" w:rsidR="0046798B" w:rsidRDefault="00903B5C">
            <w:pPr>
              <w:pStyle w:val="TableParagraph"/>
              <w:spacing w:before="38"/>
              <w:ind w:left="114" w:right="236"/>
              <w:rPr>
                <w:sz w:val="20"/>
              </w:rPr>
            </w:pPr>
            <w:r>
              <w:rPr>
                <w:sz w:val="20"/>
              </w:rPr>
              <w:t xml:space="preserve">Norcross, Eileen and Olivia Gonzalez. 2016. “Ranking the States by Fiscal Condition.” 2016 edition. Arlington, VA: Mercatus Research, Mercatus Center at George Mason University. </w:t>
            </w:r>
            <w:hyperlink r:id="rId299">
              <w:r>
                <w:rPr>
                  <w:sz w:val="20"/>
                  <w:u w:val="single"/>
                </w:rPr>
                <w:t>http://mercatus.org/sites/default/files/Norcross-Fiscal-Rankings-2-v2_1.pdf</w:t>
              </w:r>
              <w:r>
                <w:rPr>
                  <w:sz w:val="20"/>
                </w:rPr>
                <w:t>.</w:t>
              </w:r>
            </w:hyperlink>
          </w:p>
        </w:tc>
      </w:tr>
      <w:tr w:rsidR="0046798B" w14:paraId="3387A21D" w14:textId="77777777">
        <w:trPr>
          <w:trHeight w:val="545"/>
        </w:trPr>
        <w:tc>
          <w:tcPr>
            <w:tcW w:w="1711" w:type="dxa"/>
          </w:tcPr>
          <w:p w14:paraId="4438496A" w14:textId="77777777" w:rsidR="0046798B" w:rsidRDefault="00903B5C">
            <w:pPr>
              <w:pStyle w:val="TableParagraph"/>
              <w:spacing w:before="158"/>
              <w:ind w:left="115"/>
              <w:rPr>
                <w:b/>
                <w:sz w:val="20"/>
              </w:rPr>
            </w:pPr>
            <w:r>
              <w:rPr>
                <w:b/>
                <w:sz w:val="20"/>
              </w:rPr>
              <w:t>quick_ratio</w:t>
            </w:r>
          </w:p>
        </w:tc>
        <w:tc>
          <w:tcPr>
            <w:tcW w:w="1596" w:type="dxa"/>
          </w:tcPr>
          <w:p w14:paraId="3E654C37" w14:textId="77777777" w:rsidR="0046798B" w:rsidRDefault="00903B5C">
            <w:pPr>
              <w:pStyle w:val="TableParagraph"/>
              <w:spacing w:before="158"/>
              <w:ind w:left="114"/>
              <w:rPr>
                <w:sz w:val="20"/>
              </w:rPr>
            </w:pPr>
            <w:r>
              <w:rPr>
                <w:sz w:val="20"/>
              </w:rPr>
              <w:t>Quick ratio</w:t>
            </w:r>
          </w:p>
        </w:tc>
        <w:tc>
          <w:tcPr>
            <w:tcW w:w="1285" w:type="dxa"/>
          </w:tcPr>
          <w:p w14:paraId="4F29A941" w14:textId="77777777" w:rsidR="0046798B" w:rsidRDefault="00903B5C">
            <w:pPr>
              <w:pStyle w:val="TableParagraph"/>
              <w:spacing w:before="158"/>
              <w:ind w:left="114"/>
              <w:rPr>
                <w:sz w:val="20"/>
              </w:rPr>
            </w:pPr>
            <w:r>
              <w:rPr>
                <w:sz w:val="20"/>
              </w:rPr>
              <w:t>2014</w:t>
            </w:r>
          </w:p>
        </w:tc>
        <w:tc>
          <w:tcPr>
            <w:tcW w:w="3421" w:type="dxa"/>
          </w:tcPr>
          <w:p w14:paraId="0C4F0333" w14:textId="77777777" w:rsidR="0046798B" w:rsidRDefault="00903B5C">
            <w:pPr>
              <w:pStyle w:val="TableParagraph"/>
              <w:spacing w:before="43"/>
              <w:ind w:left="114"/>
              <w:rPr>
                <w:sz w:val="20"/>
              </w:rPr>
            </w:pPr>
            <w:r>
              <w:rPr>
                <w:sz w:val="20"/>
              </w:rPr>
              <w:t>A state’s quick ratio:</w:t>
            </w:r>
          </w:p>
        </w:tc>
        <w:tc>
          <w:tcPr>
            <w:tcW w:w="6482" w:type="dxa"/>
          </w:tcPr>
          <w:p w14:paraId="4E3A742C" w14:textId="77777777" w:rsidR="0046798B" w:rsidRDefault="00903B5C">
            <w:pPr>
              <w:pStyle w:val="TableParagraph"/>
              <w:spacing w:before="43"/>
              <w:ind w:left="114" w:right="345"/>
              <w:rPr>
                <w:sz w:val="20"/>
              </w:rPr>
            </w:pPr>
            <w:r>
              <w:rPr>
                <w:sz w:val="20"/>
              </w:rPr>
              <w:t>Norcross, Eileen and Olivia Gonzalez. 2016. “Ranking the States by Fiscal Condition.” 2016 edition. Arlington, VA: Mercatus Research, Mercatus</w:t>
            </w:r>
          </w:p>
        </w:tc>
      </w:tr>
    </w:tbl>
    <w:p w14:paraId="7562FC1D" w14:textId="77777777" w:rsidR="0046798B" w:rsidRDefault="0046798B">
      <w:pPr>
        <w:rPr>
          <w:sz w:val="20"/>
        </w:rPr>
        <w:sectPr w:rsidR="0046798B">
          <w:pgSz w:w="15840" w:h="12240" w:orient="landscape"/>
          <w:pgMar w:top="1220" w:right="300" w:bottom="980" w:left="820" w:header="730" w:footer="787" w:gutter="0"/>
          <w:cols w:space="720"/>
        </w:sectPr>
      </w:pPr>
    </w:p>
    <w:p w14:paraId="716ECC9C"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28E89E9A" w14:textId="77777777">
        <w:trPr>
          <w:trHeight w:val="1235"/>
        </w:trPr>
        <w:tc>
          <w:tcPr>
            <w:tcW w:w="1711" w:type="dxa"/>
          </w:tcPr>
          <w:p w14:paraId="42AC620D" w14:textId="77777777" w:rsidR="0046798B" w:rsidRDefault="0046798B">
            <w:pPr>
              <w:pStyle w:val="TableParagraph"/>
              <w:rPr>
                <w:sz w:val="20"/>
              </w:rPr>
            </w:pPr>
          </w:p>
        </w:tc>
        <w:tc>
          <w:tcPr>
            <w:tcW w:w="1596" w:type="dxa"/>
          </w:tcPr>
          <w:p w14:paraId="6A3A5D6B" w14:textId="77777777" w:rsidR="0046798B" w:rsidRDefault="0046798B">
            <w:pPr>
              <w:pStyle w:val="TableParagraph"/>
              <w:rPr>
                <w:sz w:val="20"/>
              </w:rPr>
            </w:pPr>
          </w:p>
        </w:tc>
        <w:tc>
          <w:tcPr>
            <w:tcW w:w="1285" w:type="dxa"/>
          </w:tcPr>
          <w:p w14:paraId="5C1EC3C3" w14:textId="77777777" w:rsidR="0046798B" w:rsidRDefault="0046798B">
            <w:pPr>
              <w:pStyle w:val="TableParagraph"/>
              <w:rPr>
                <w:sz w:val="20"/>
              </w:rPr>
            </w:pPr>
          </w:p>
        </w:tc>
        <w:tc>
          <w:tcPr>
            <w:tcW w:w="3421" w:type="dxa"/>
          </w:tcPr>
          <w:p w14:paraId="2348ED47" w14:textId="77777777" w:rsidR="0046798B" w:rsidRDefault="00903B5C">
            <w:pPr>
              <w:pStyle w:val="TableParagraph"/>
              <w:spacing w:before="43"/>
              <w:ind w:left="114"/>
              <w:rPr>
                <w:sz w:val="20"/>
              </w:rPr>
            </w:pPr>
            <w:r>
              <w:rPr>
                <w:sz w:val="20"/>
              </w:rPr>
              <w:t>(cash + cash equivalents + investments</w:t>
            </w:r>
          </w:p>
          <w:p w14:paraId="3FC383AD" w14:textId="77777777" w:rsidR="0046798B" w:rsidRDefault="00903B5C">
            <w:pPr>
              <w:pStyle w:val="TableParagraph"/>
              <w:ind w:left="114"/>
              <w:rPr>
                <w:sz w:val="20"/>
              </w:rPr>
            </w:pPr>
            <w:r>
              <w:rPr>
                <w:sz w:val="20"/>
              </w:rPr>
              <w:t>+ receivables) / current liabilities</w:t>
            </w:r>
          </w:p>
          <w:p w14:paraId="4A9F573E" w14:textId="77777777" w:rsidR="0046798B" w:rsidRDefault="0046798B">
            <w:pPr>
              <w:pStyle w:val="TableParagraph"/>
              <w:rPr>
                <w:sz w:val="20"/>
              </w:rPr>
            </w:pPr>
          </w:p>
          <w:p w14:paraId="5DE2C5BB" w14:textId="77777777" w:rsidR="0046798B" w:rsidRDefault="00903B5C">
            <w:pPr>
              <w:pStyle w:val="TableParagraph"/>
              <w:ind w:left="114" w:right="533"/>
              <w:rPr>
                <w:sz w:val="20"/>
              </w:rPr>
            </w:pPr>
            <w:r>
              <w:rPr>
                <w:sz w:val="20"/>
              </w:rPr>
              <w:t>Higher ratio indicates greater cash solvency.</w:t>
            </w:r>
          </w:p>
        </w:tc>
        <w:tc>
          <w:tcPr>
            <w:tcW w:w="6482" w:type="dxa"/>
          </w:tcPr>
          <w:p w14:paraId="5FC87976" w14:textId="77777777" w:rsidR="0046798B" w:rsidRDefault="00903B5C">
            <w:pPr>
              <w:pStyle w:val="TableParagraph"/>
              <w:spacing w:before="43"/>
              <w:ind w:left="114" w:right="236"/>
              <w:rPr>
                <w:sz w:val="20"/>
              </w:rPr>
            </w:pPr>
            <w:r>
              <w:rPr>
                <w:sz w:val="20"/>
              </w:rPr>
              <w:t xml:space="preserve">Center at George Mason University. </w:t>
            </w:r>
            <w:hyperlink r:id="rId300">
              <w:r>
                <w:rPr>
                  <w:sz w:val="20"/>
                  <w:u w:val="single"/>
                </w:rPr>
                <w:t>http://mercatus.org/sites/default/files/Norcross-Fiscal-Rankings-2-v2_1.pdf</w:t>
              </w:r>
              <w:r>
                <w:rPr>
                  <w:sz w:val="20"/>
                </w:rPr>
                <w:t>.</w:t>
              </w:r>
            </w:hyperlink>
          </w:p>
        </w:tc>
      </w:tr>
      <w:tr w:rsidR="0046798B" w14:paraId="34350AFF" w14:textId="77777777">
        <w:trPr>
          <w:trHeight w:val="1005"/>
        </w:trPr>
        <w:tc>
          <w:tcPr>
            <w:tcW w:w="1711" w:type="dxa"/>
          </w:tcPr>
          <w:p w14:paraId="7F1941A6" w14:textId="77777777" w:rsidR="0046798B" w:rsidRDefault="0046798B">
            <w:pPr>
              <w:pStyle w:val="TableParagraph"/>
              <w:spacing w:before="9"/>
              <w:rPr>
                <w:sz w:val="23"/>
              </w:rPr>
            </w:pPr>
          </w:p>
          <w:p w14:paraId="06F876FE" w14:textId="77777777" w:rsidR="0046798B" w:rsidRDefault="00903B5C">
            <w:pPr>
              <w:pStyle w:val="TableParagraph"/>
              <w:ind w:left="115" w:right="99"/>
              <w:rPr>
                <w:b/>
                <w:sz w:val="20"/>
              </w:rPr>
            </w:pPr>
            <w:r>
              <w:rPr>
                <w:b/>
                <w:sz w:val="20"/>
              </w:rPr>
              <w:t>restricted_net_as sets</w:t>
            </w:r>
          </w:p>
        </w:tc>
        <w:tc>
          <w:tcPr>
            <w:tcW w:w="1596" w:type="dxa"/>
          </w:tcPr>
          <w:p w14:paraId="04F9A127" w14:textId="77777777" w:rsidR="0046798B" w:rsidRDefault="0046798B">
            <w:pPr>
              <w:pStyle w:val="TableParagraph"/>
              <w:spacing w:before="9"/>
              <w:rPr>
                <w:sz w:val="23"/>
              </w:rPr>
            </w:pPr>
          </w:p>
          <w:p w14:paraId="77A81574" w14:textId="77777777" w:rsidR="0046798B" w:rsidRDefault="00903B5C">
            <w:pPr>
              <w:pStyle w:val="TableParagraph"/>
              <w:ind w:left="114" w:right="124"/>
              <w:rPr>
                <w:sz w:val="20"/>
              </w:rPr>
            </w:pPr>
            <w:r>
              <w:rPr>
                <w:sz w:val="20"/>
              </w:rPr>
              <w:t>Restricted assets (in thousands $)</w:t>
            </w:r>
          </w:p>
        </w:tc>
        <w:tc>
          <w:tcPr>
            <w:tcW w:w="1285" w:type="dxa"/>
          </w:tcPr>
          <w:p w14:paraId="064BFD81" w14:textId="77777777" w:rsidR="0046798B" w:rsidRDefault="0046798B">
            <w:pPr>
              <w:pStyle w:val="TableParagraph"/>
            </w:pPr>
          </w:p>
          <w:p w14:paraId="2C48E2CE" w14:textId="77777777" w:rsidR="0046798B" w:rsidRDefault="00903B5C">
            <w:pPr>
              <w:pStyle w:val="TableParagraph"/>
              <w:spacing w:before="136"/>
              <w:ind w:left="114"/>
              <w:rPr>
                <w:sz w:val="20"/>
              </w:rPr>
            </w:pPr>
            <w:r>
              <w:rPr>
                <w:sz w:val="20"/>
              </w:rPr>
              <w:t>2014</w:t>
            </w:r>
          </w:p>
        </w:tc>
        <w:tc>
          <w:tcPr>
            <w:tcW w:w="3421" w:type="dxa"/>
          </w:tcPr>
          <w:p w14:paraId="0331C15F" w14:textId="77777777" w:rsidR="0046798B" w:rsidRDefault="0046798B">
            <w:pPr>
              <w:pStyle w:val="TableParagraph"/>
              <w:spacing w:before="9"/>
              <w:rPr>
                <w:sz w:val="23"/>
              </w:rPr>
            </w:pPr>
          </w:p>
          <w:p w14:paraId="26D40665" w14:textId="77777777" w:rsidR="0046798B" w:rsidRDefault="00903B5C">
            <w:pPr>
              <w:pStyle w:val="TableParagraph"/>
              <w:ind w:left="114"/>
              <w:rPr>
                <w:sz w:val="20"/>
              </w:rPr>
            </w:pPr>
            <w:r>
              <w:rPr>
                <w:sz w:val="20"/>
              </w:rPr>
              <w:t>A state’s restricted assets (in thousands</w:t>
            </w:r>
          </w:p>
          <w:p w14:paraId="2F0622F7" w14:textId="77777777" w:rsidR="0046798B" w:rsidRDefault="00903B5C">
            <w:pPr>
              <w:pStyle w:val="TableParagraph"/>
              <w:ind w:left="114"/>
              <w:rPr>
                <w:sz w:val="20"/>
              </w:rPr>
            </w:pPr>
            <w:r>
              <w:rPr>
                <w:sz w:val="20"/>
              </w:rPr>
              <w:t>$)</w:t>
            </w:r>
          </w:p>
        </w:tc>
        <w:tc>
          <w:tcPr>
            <w:tcW w:w="6482" w:type="dxa"/>
          </w:tcPr>
          <w:p w14:paraId="19783925" w14:textId="77777777" w:rsidR="0046798B" w:rsidRDefault="00903B5C">
            <w:pPr>
              <w:pStyle w:val="TableParagraph"/>
              <w:spacing w:before="43"/>
              <w:ind w:left="114" w:right="236"/>
              <w:rPr>
                <w:sz w:val="20"/>
              </w:rPr>
            </w:pPr>
            <w:r>
              <w:rPr>
                <w:sz w:val="20"/>
              </w:rPr>
              <w:t xml:space="preserve">Norcross, Eileen and Olivia Gonzalez. 2016. “Ranking the States by Fiscal Condition.” 2016 edition. Arlington, VA: Mercatus Research, Mercatus Center at George Mason University. </w:t>
            </w:r>
            <w:hyperlink r:id="rId301">
              <w:r>
                <w:rPr>
                  <w:sz w:val="20"/>
                  <w:u w:val="single"/>
                </w:rPr>
                <w:t>http://mercatus.org/sites/default/files/Norcross-Fiscal-Rankings-2-v2_1.pdf</w:t>
              </w:r>
              <w:r>
                <w:rPr>
                  <w:sz w:val="20"/>
                </w:rPr>
                <w:t>.</w:t>
              </w:r>
            </w:hyperlink>
          </w:p>
        </w:tc>
      </w:tr>
      <w:tr w:rsidR="0046798B" w14:paraId="260AD943" w14:textId="77777777">
        <w:trPr>
          <w:trHeight w:val="1470"/>
        </w:trPr>
        <w:tc>
          <w:tcPr>
            <w:tcW w:w="1711" w:type="dxa"/>
          </w:tcPr>
          <w:p w14:paraId="71F3A835" w14:textId="77777777" w:rsidR="0046798B" w:rsidRDefault="0046798B">
            <w:pPr>
              <w:pStyle w:val="TableParagraph"/>
            </w:pPr>
          </w:p>
          <w:p w14:paraId="2B88F5B6" w14:textId="77777777" w:rsidR="0046798B" w:rsidRDefault="0046798B">
            <w:pPr>
              <w:pStyle w:val="TableParagraph"/>
              <w:spacing w:before="9"/>
              <w:rPr>
                <w:sz w:val="21"/>
              </w:rPr>
            </w:pPr>
          </w:p>
          <w:p w14:paraId="404715B8" w14:textId="77777777" w:rsidR="0046798B" w:rsidRDefault="00903B5C">
            <w:pPr>
              <w:pStyle w:val="TableParagraph"/>
              <w:ind w:left="115" w:right="166"/>
              <w:rPr>
                <w:b/>
                <w:sz w:val="20"/>
              </w:rPr>
            </w:pPr>
            <w:r>
              <w:rPr>
                <w:b/>
                <w:sz w:val="20"/>
              </w:rPr>
              <w:t>rev_income_rati o</w:t>
            </w:r>
          </w:p>
        </w:tc>
        <w:tc>
          <w:tcPr>
            <w:tcW w:w="1596" w:type="dxa"/>
          </w:tcPr>
          <w:p w14:paraId="0218FC14" w14:textId="77777777" w:rsidR="0046798B" w:rsidRDefault="0046798B">
            <w:pPr>
              <w:pStyle w:val="TableParagraph"/>
            </w:pPr>
          </w:p>
          <w:p w14:paraId="138B42A4" w14:textId="77777777" w:rsidR="0046798B" w:rsidRDefault="00903B5C">
            <w:pPr>
              <w:pStyle w:val="TableParagraph"/>
              <w:spacing w:before="135"/>
              <w:ind w:left="114" w:right="546"/>
              <w:rPr>
                <w:sz w:val="20"/>
              </w:rPr>
            </w:pPr>
            <w:r>
              <w:rPr>
                <w:sz w:val="20"/>
              </w:rPr>
              <w:t>Revenue to income ratio</w:t>
            </w:r>
          </w:p>
        </w:tc>
        <w:tc>
          <w:tcPr>
            <w:tcW w:w="1285" w:type="dxa"/>
          </w:tcPr>
          <w:p w14:paraId="608849F9" w14:textId="77777777" w:rsidR="0046798B" w:rsidRDefault="0046798B">
            <w:pPr>
              <w:pStyle w:val="TableParagraph"/>
            </w:pPr>
          </w:p>
          <w:p w14:paraId="678AAF5E" w14:textId="77777777" w:rsidR="0046798B" w:rsidRDefault="0046798B">
            <w:pPr>
              <w:pStyle w:val="TableParagraph"/>
              <w:spacing w:before="9"/>
              <w:rPr>
                <w:sz w:val="31"/>
              </w:rPr>
            </w:pPr>
          </w:p>
          <w:p w14:paraId="4E76A827" w14:textId="77777777" w:rsidR="0046798B" w:rsidRDefault="00903B5C">
            <w:pPr>
              <w:pStyle w:val="TableParagraph"/>
              <w:ind w:left="114"/>
              <w:rPr>
                <w:sz w:val="20"/>
              </w:rPr>
            </w:pPr>
            <w:r>
              <w:rPr>
                <w:sz w:val="20"/>
              </w:rPr>
              <w:t>2014</w:t>
            </w:r>
          </w:p>
        </w:tc>
        <w:tc>
          <w:tcPr>
            <w:tcW w:w="3421" w:type="dxa"/>
          </w:tcPr>
          <w:p w14:paraId="391DB570" w14:textId="77777777" w:rsidR="0046798B" w:rsidRDefault="00903B5C">
            <w:pPr>
              <w:pStyle w:val="TableParagraph"/>
              <w:spacing w:before="43"/>
              <w:ind w:left="114"/>
              <w:rPr>
                <w:sz w:val="20"/>
              </w:rPr>
            </w:pPr>
            <w:r>
              <w:rPr>
                <w:sz w:val="20"/>
              </w:rPr>
              <w:t>A state’s revenue to income ratio:</w:t>
            </w:r>
          </w:p>
          <w:p w14:paraId="43C6584A" w14:textId="77777777" w:rsidR="0046798B" w:rsidRDefault="0046798B">
            <w:pPr>
              <w:pStyle w:val="TableParagraph"/>
              <w:rPr>
                <w:sz w:val="20"/>
              </w:rPr>
            </w:pPr>
          </w:p>
          <w:p w14:paraId="2B35D71E" w14:textId="77777777" w:rsidR="0046798B" w:rsidRDefault="00903B5C">
            <w:pPr>
              <w:pStyle w:val="TableParagraph"/>
              <w:ind w:left="114"/>
              <w:rPr>
                <w:sz w:val="20"/>
              </w:rPr>
            </w:pPr>
            <w:r>
              <w:rPr>
                <w:sz w:val="20"/>
              </w:rPr>
              <w:t>total revenues / state personal income</w:t>
            </w:r>
          </w:p>
          <w:p w14:paraId="4B8A5145" w14:textId="77777777" w:rsidR="0046798B" w:rsidRDefault="0046798B">
            <w:pPr>
              <w:pStyle w:val="TableParagraph"/>
              <w:rPr>
                <w:sz w:val="20"/>
              </w:rPr>
            </w:pPr>
          </w:p>
          <w:p w14:paraId="145CA6D3" w14:textId="77777777" w:rsidR="0046798B" w:rsidRDefault="00903B5C">
            <w:pPr>
              <w:pStyle w:val="TableParagraph"/>
              <w:ind w:left="114" w:right="289"/>
              <w:rPr>
                <w:sz w:val="20"/>
              </w:rPr>
            </w:pPr>
            <w:r>
              <w:rPr>
                <w:sz w:val="20"/>
              </w:rPr>
              <w:t>Higher value indicates lower service- level solvency.</w:t>
            </w:r>
          </w:p>
        </w:tc>
        <w:tc>
          <w:tcPr>
            <w:tcW w:w="6482" w:type="dxa"/>
          </w:tcPr>
          <w:p w14:paraId="4178AF90" w14:textId="77777777" w:rsidR="0046798B" w:rsidRDefault="0046798B">
            <w:pPr>
              <w:pStyle w:val="TableParagraph"/>
              <w:spacing w:before="8"/>
              <w:rPr>
                <w:sz w:val="23"/>
              </w:rPr>
            </w:pPr>
          </w:p>
          <w:p w14:paraId="4DF40905" w14:textId="77777777" w:rsidR="0046798B" w:rsidRDefault="00903B5C">
            <w:pPr>
              <w:pStyle w:val="TableParagraph"/>
              <w:spacing w:before="1"/>
              <w:ind w:left="114" w:right="236"/>
              <w:rPr>
                <w:sz w:val="20"/>
              </w:rPr>
            </w:pPr>
            <w:r>
              <w:rPr>
                <w:sz w:val="20"/>
              </w:rPr>
              <w:t xml:space="preserve">Norcross, Eileen and Olivia Gonzalez. 2016. “Ranking the States by Fiscal Condition.” 2016 edition. Arlington, VA: Mercatus Research, Mercatus Center at George Mason University. </w:t>
            </w:r>
            <w:hyperlink r:id="rId302">
              <w:r>
                <w:rPr>
                  <w:sz w:val="20"/>
                  <w:u w:val="single"/>
                </w:rPr>
                <w:t>http://mercatus.org/sites/default/files/Norcross-Fiscal-Rankings-2-v2_1.pdf</w:t>
              </w:r>
              <w:r>
                <w:rPr>
                  <w:sz w:val="20"/>
                </w:rPr>
                <w:t>.</w:t>
              </w:r>
            </w:hyperlink>
          </w:p>
        </w:tc>
      </w:tr>
      <w:tr w:rsidR="0046798B" w14:paraId="0DC3ED40" w14:textId="77777777">
        <w:trPr>
          <w:trHeight w:val="1005"/>
        </w:trPr>
        <w:tc>
          <w:tcPr>
            <w:tcW w:w="1711" w:type="dxa"/>
          </w:tcPr>
          <w:p w14:paraId="093DAE05" w14:textId="77777777" w:rsidR="0046798B" w:rsidRDefault="0046798B">
            <w:pPr>
              <w:pStyle w:val="TableParagraph"/>
            </w:pPr>
          </w:p>
          <w:p w14:paraId="1E499EA8" w14:textId="77777777" w:rsidR="0046798B" w:rsidRDefault="00903B5C">
            <w:pPr>
              <w:pStyle w:val="TableParagraph"/>
              <w:spacing w:before="130"/>
              <w:ind w:left="115"/>
              <w:rPr>
                <w:b/>
                <w:sz w:val="20"/>
              </w:rPr>
            </w:pPr>
            <w:r>
              <w:rPr>
                <w:b/>
                <w:sz w:val="20"/>
              </w:rPr>
              <w:t>ser_lvl_solv</w:t>
            </w:r>
          </w:p>
        </w:tc>
        <w:tc>
          <w:tcPr>
            <w:tcW w:w="1596" w:type="dxa"/>
          </w:tcPr>
          <w:p w14:paraId="09584649" w14:textId="77777777" w:rsidR="0046798B" w:rsidRDefault="0046798B">
            <w:pPr>
              <w:pStyle w:val="TableParagraph"/>
              <w:spacing w:before="4"/>
              <w:rPr>
                <w:sz w:val="23"/>
              </w:rPr>
            </w:pPr>
          </w:p>
          <w:p w14:paraId="1A8D1B4A" w14:textId="77777777" w:rsidR="0046798B" w:rsidRDefault="00903B5C">
            <w:pPr>
              <w:pStyle w:val="TableParagraph"/>
              <w:ind w:left="114" w:right="413"/>
              <w:rPr>
                <w:sz w:val="20"/>
              </w:rPr>
            </w:pPr>
            <w:r>
              <w:rPr>
                <w:sz w:val="20"/>
              </w:rPr>
              <w:t>Service level solvency</w:t>
            </w:r>
          </w:p>
        </w:tc>
        <w:tc>
          <w:tcPr>
            <w:tcW w:w="1285" w:type="dxa"/>
          </w:tcPr>
          <w:p w14:paraId="325CA546" w14:textId="77777777" w:rsidR="0046798B" w:rsidRDefault="0046798B">
            <w:pPr>
              <w:pStyle w:val="TableParagraph"/>
            </w:pPr>
          </w:p>
          <w:p w14:paraId="273D3B88" w14:textId="77777777" w:rsidR="0046798B" w:rsidRDefault="00903B5C">
            <w:pPr>
              <w:pStyle w:val="TableParagraph"/>
              <w:spacing w:before="130"/>
              <w:ind w:left="114"/>
              <w:rPr>
                <w:sz w:val="20"/>
              </w:rPr>
            </w:pPr>
            <w:r>
              <w:rPr>
                <w:sz w:val="20"/>
              </w:rPr>
              <w:t>2014</w:t>
            </w:r>
          </w:p>
        </w:tc>
        <w:tc>
          <w:tcPr>
            <w:tcW w:w="3421" w:type="dxa"/>
          </w:tcPr>
          <w:p w14:paraId="7321A6B9" w14:textId="77777777" w:rsidR="0046798B" w:rsidRDefault="0046798B">
            <w:pPr>
              <w:pStyle w:val="TableParagraph"/>
              <w:spacing w:before="4"/>
              <w:rPr>
                <w:sz w:val="23"/>
              </w:rPr>
            </w:pPr>
          </w:p>
          <w:p w14:paraId="6D05EAA2" w14:textId="77777777" w:rsidR="0046798B" w:rsidRDefault="00903B5C">
            <w:pPr>
              <w:pStyle w:val="TableParagraph"/>
              <w:ind w:left="114" w:right="456"/>
              <w:rPr>
                <w:sz w:val="20"/>
              </w:rPr>
            </w:pPr>
            <w:r>
              <w:rPr>
                <w:sz w:val="20"/>
              </w:rPr>
              <w:t>A state’s standardized service level solvency index</w:t>
            </w:r>
          </w:p>
        </w:tc>
        <w:tc>
          <w:tcPr>
            <w:tcW w:w="6482" w:type="dxa"/>
          </w:tcPr>
          <w:p w14:paraId="17074A8E" w14:textId="77777777" w:rsidR="0046798B" w:rsidRDefault="00903B5C">
            <w:pPr>
              <w:pStyle w:val="TableParagraph"/>
              <w:spacing w:before="38"/>
              <w:ind w:left="114" w:right="236"/>
              <w:rPr>
                <w:sz w:val="20"/>
              </w:rPr>
            </w:pPr>
            <w:r>
              <w:rPr>
                <w:sz w:val="20"/>
              </w:rPr>
              <w:t xml:space="preserve">Norcross, Eileen and Olivia Gonzalez. 2016. “Ranking the States by Fiscal Condition.” 2016 edition. Arlington, VA: Mercatus Research, Mercatus Center at George Mason University. </w:t>
            </w:r>
            <w:hyperlink r:id="rId303">
              <w:r>
                <w:rPr>
                  <w:sz w:val="20"/>
                  <w:u w:val="single"/>
                </w:rPr>
                <w:t>http://mercatus.org/sites/default/files/Norcross-Fiscal-Rankings-2-v2_1.pdf</w:t>
              </w:r>
              <w:r>
                <w:rPr>
                  <w:sz w:val="20"/>
                </w:rPr>
                <w:t>.</w:t>
              </w:r>
            </w:hyperlink>
          </w:p>
        </w:tc>
      </w:tr>
      <w:tr w:rsidR="0046798B" w14:paraId="65C9D620" w14:textId="77777777">
        <w:trPr>
          <w:trHeight w:val="1695"/>
        </w:trPr>
        <w:tc>
          <w:tcPr>
            <w:tcW w:w="1711" w:type="dxa"/>
          </w:tcPr>
          <w:p w14:paraId="3071648D" w14:textId="77777777" w:rsidR="0046798B" w:rsidRDefault="0046798B">
            <w:pPr>
              <w:pStyle w:val="TableParagraph"/>
            </w:pPr>
          </w:p>
          <w:p w14:paraId="092B46D3" w14:textId="77777777" w:rsidR="0046798B" w:rsidRDefault="0046798B">
            <w:pPr>
              <w:pStyle w:val="TableParagraph"/>
            </w:pPr>
          </w:p>
          <w:p w14:paraId="5C48B8B5" w14:textId="77777777" w:rsidR="0046798B" w:rsidRDefault="0046798B">
            <w:pPr>
              <w:pStyle w:val="TableParagraph"/>
              <w:spacing w:before="4"/>
              <w:rPr>
                <w:sz w:val="19"/>
              </w:rPr>
            </w:pPr>
          </w:p>
          <w:p w14:paraId="6CE2F076" w14:textId="77777777" w:rsidR="0046798B" w:rsidRDefault="00903B5C">
            <w:pPr>
              <w:pStyle w:val="TableParagraph"/>
              <w:ind w:left="115"/>
              <w:rPr>
                <w:b/>
                <w:sz w:val="20"/>
              </w:rPr>
            </w:pPr>
            <w:r>
              <w:rPr>
                <w:b/>
                <w:sz w:val="20"/>
              </w:rPr>
              <w:t>surplus_percap</w:t>
            </w:r>
          </w:p>
        </w:tc>
        <w:tc>
          <w:tcPr>
            <w:tcW w:w="1596" w:type="dxa"/>
          </w:tcPr>
          <w:p w14:paraId="592FD09B" w14:textId="77777777" w:rsidR="0046798B" w:rsidRDefault="0046798B">
            <w:pPr>
              <w:pStyle w:val="TableParagraph"/>
            </w:pPr>
          </w:p>
          <w:p w14:paraId="1A62C053" w14:textId="77777777" w:rsidR="0046798B" w:rsidRDefault="0046798B">
            <w:pPr>
              <w:pStyle w:val="TableParagraph"/>
              <w:spacing w:before="4"/>
              <w:rPr>
                <w:sz w:val="31"/>
              </w:rPr>
            </w:pPr>
          </w:p>
          <w:p w14:paraId="5978E6D9" w14:textId="77777777" w:rsidR="0046798B" w:rsidRDefault="00903B5C">
            <w:pPr>
              <w:pStyle w:val="TableParagraph"/>
              <w:ind w:left="114" w:right="126"/>
              <w:rPr>
                <w:sz w:val="20"/>
              </w:rPr>
            </w:pPr>
            <w:r>
              <w:rPr>
                <w:sz w:val="20"/>
              </w:rPr>
              <w:t>Surplus or deficit per</w:t>
            </w:r>
            <w:r>
              <w:rPr>
                <w:spacing w:val="-1"/>
                <w:sz w:val="20"/>
              </w:rPr>
              <w:t xml:space="preserve"> </w:t>
            </w:r>
            <w:r>
              <w:rPr>
                <w:spacing w:val="-3"/>
                <w:sz w:val="20"/>
              </w:rPr>
              <w:t>capita</w:t>
            </w:r>
          </w:p>
        </w:tc>
        <w:tc>
          <w:tcPr>
            <w:tcW w:w="1285" w:type="dxa"/>
          </w:tcPr>
          <w:p w14:paraId="0E3D039A" w14:textId="77777777" w:rsidR="0046798B" w:rsidRDefault="0046798B">
            <w:pPr>
              <w:pStyle w:val="TableParagraph"/>
            </w:pPr>
          </w:p>
          <w:p w14:paraId="55BFEC95" w14:textId="77777777" w:rsidR="0046798B" w:rsidRDefault="0046798B">
            <w:pPr>
              <w:pStyle w:val="TableParagraph"/>
            </w:pPr>
          </w:p>
          <w:p w14:paraId="3EE3EE77" w14:textId="77777777" w:rsidR="0046798B" w:rsidRDefault="0046798B">
            <w:pPr>
              <w:pStyle w:val="TableParagraph"/>
              <w:spacing w:before="4"/>
              <w:rPr>
                <w:sz w:val="19"/>
              </w:rPr>
            </w:pPr>
          </w:p>
          <w:p w14:paraId="49401901" w14:textId="77777777" w:rsidR="0046798B" w:rsidRDefault="00903B5C">
            <w:pPr>
              <w:pStyle w:val="TableParagraph"/>
              <w:ind w:left="114"/>
              <w:rPr>
                <w:sz w:val="20"/>
              </w:rPr>
            </w:pPr>
            <w:r>
              <w:rPr>
                <w:sz w:val="20"/>
              </w:rPr>
              <w:t>2014–2016</w:t>
            </w:r>
          </w:p>
        </w:tc>
        <w:tc>
          <w:tcPr>
            <w:tcW w:w="3421" w:type="dxa"/>
          </w:tcPr>
          <w:p w14:paraId="3B0C2A08" w14:textId="77777777" w:rsidR="0046798B" w:rsidRDefault="00903B5C">
            <w:pPr>
              <w:pStyle w:val="TableParagraph"/>
              <w:spacing w:before="153"/>
              <w:ind w:left="114"/>
              <w:rPr>
                <w:sz w:val="20"/>
              </w:rPr>
            </w:pPr>
            <w:r>
              <w:rPr>
                <w:sz w:val="20"/>
              </w:rPr>
              <w:t>A state’s surplus or deficit per capita:</w:t>
            </w:r>
          </w:p>
          <w:p w14:paraId="5CB5599C" w14:textId="77777777" w:rsidR="0046798B" w:rsidRDefault="0046798B">
            <w:pPr>
              <w:pStyle w:val="TableParagraph"/>
              <w:rPr>
                <w:sz w:val="20"/>
              </w:rPr>
            </w:pPr>
          </w:p>
          <w:p w14:paraId="343B944F" w14:textId="77777777" w:rsidR="0046798B" w:rsidRDefault="00903B5C">
            <w:pPr>
              <w:pStyle w:val="TableParagraph"/>
              <w:spacing w:before="1"/>
              <w:ind w:left="114"/>
              <w:rPr>
                <w:sz w:val="20"/>
              </w:rPr>
            </w:pPr>
            <w:r>
              <w:rPr>
                <w:sz w:val="20"/>
              </w:rPr>
              <w:t>change in net assets / population</w:t>
            </w:r>
          </w:p>
          <w:p w14:paraId="6CB55DFC" w14:textId="77777777" w:rsidR="0046798B" w:rsidRDefault="0046798B">
            <w:pPr>
              <w:pStyle w:val="TableParagraph"/>
              <w:spacing w:before="11"/>
              <w:rPr>
                <w:sz w:val="19"/>
              </w:rPr>
            </w:pPr>
          </w:p>
          <w:p w14:paraId="04E36ABC" w14:textId="77777777" w:rsidR="0046798B" w:rsidRDefault="00903B5C">
            <w:pPr>
              <w:pStyle w:val="TableParagraph"/>
              <w:ind w:left="114" w:right="860"/>
              <w:rPr>
                <w:sz w:val="20"/>
              </w:rPr>
            </w:pPr>
            <w:r>
              <w:rPr>
                <w:sz w:val="20"/>
              </w:rPr>
              <w:t>Positive ratio indicates budget solvency.</w:t>
            </w:r>
          </w:p>
        </w:tc>
        <w:tc>
          <w:tcPr>
            <w:tcW w:w="6482" w:type="dxa"/>
          </w:tcPr>
          <w:p w14:paraId="23826E36" w14:textId="77777777" w:rsidR="0046798B" w:rsidRDefault="00903B5C">
            <w:pPr>
              <w:pStyle w:val="TableParagraph"/>
              <w:spacing w:before="38"/>
              <w:ind w:left="114" w:right="236"/>
              <w:rPr>
                <w:sz w:val="20"/>
              </w:rPr>
            </w:pPr>
            <w:r>
              <w:rPr>
                <w:sz w:val="20"/>
              </w:rPr>
              <w:t xml:space="preserve">Norcross, Eileen and Olivia Gonzalez. 2016. “Ranking the States by Fiscal Condition.” 2016 edition. Arlington, VA: Mercatus Research, Mercatus Center at George Mason University. </w:t>
            </w:r>
            <w:hyperlink r:id="rId304">
              <w:r>
                <w:rPr>
                  <w:sz w:val="20"/>
                  <w:u w:val="single"/>
                </w:rPr>
                <w:t>http://mercatus.org/sites/default/files/Norcross-Fiscal-Rankings-2-v2_1.pdf</w:t>
              </w:r>
              <w:r>
                <w:rPr>
                  <w:sz w:val="20"/>
                </w:rPr>
                <w:t>.</w:t>
              </w:r>
            </w:hyperlink>
          </w:p>
          <w:p w14:paraId="5DCAE522" w14:textId="77777777" w:rsidR="0046798B" w:rsidRDefault="0046798B">
            <w:pPr>
              <w:pStyle w:val="TableParagraph"/>
              <w:rPr>
                <w:sz w:val="20"/>
              </w:rPr>
            </w:pPr>
          </w:p>
          <w:p w14:paraId="4BC5292F" w14:textId="77777777" w:rsidR="0046798B" w:rsidRDefault="00903B5C">
            <w:pPr>
              <w:pStyle w:val="TableParagraph"/>
              <w:spacing w:before="1"/>
              <w:ind w:left="114" w:right="672"/>
              <w:rPr>
                <w:sz w:val="20"/>
              </w:rPr>
            </w:pPr>
            <w:r>
              <w:rPr>
                <w:sz w:val="20"/>
              </w:rPr>
              <w:t>Coded years 2015–2016 using the following code: (General_revenue – general_expenditure)/ pop_annual</w:t>
            </w:r>
          </w:p>
        </w:tc>
      </w:tr>
      <w:tr w:rsidR="0046798B" w14:paraId="40D2492C" w14:textId="77777777">
        <w:trPr>
          <w:trHeight w:val="1465"/>
        </w:trPr>
        <w:tc>
          <w:tcPr>
            <w:tcW w:w="1711" w:type="dxa"/>
          </w:tcPr>
          <w:p w14:paraId="0B28729A" w14:textId="77777777" w:rsidR="0046798B" w:rsidRDefault="0046798B">
            <w:pPr>
              <w:pStyle w:val="TableParagraph"/>
            </w:pPr>
          </w:p>
          <w:p w14:paraId="29C143C8" w14:textId="77777777" w:rsidR="0046798B" w:rsidRDefault="0046798B">
            <w:pPr>
              <w:pStyle w:val="TableParagraph"/>
              <w:spacing w:before="4"/>
              <w:rPr>
                <w:sz w:val="21"/>
              </w:rPr>
            </w:pPr>
          </w:p>
          <w:p w14:paraId="76520E38" w14:textId="77777777" w:rsidR="0046798B" w:rsidRDefault="00903B5C">
            <w:pPr>
              <w:pStyle w:val="TableParagraph"/>
              <w:ind w:left="115" w:right="177"/>
              <w:rPr>
                <w:b/>
                <w:sz w:val="20"/>
              </w:rPr>
            </w:pPr>
            <w:r>
              <w:rPr>
                <w:b/>
                <w:sz w:val="20"/>
              </w:rPr>
              <w:t>tax_income_rati o</w:t>
            </w:r>
          </w:p>
        </w:tc>
        <w:tc>
          <w:tcPr>
            <w:tcW w:w="1596" w:type="dxa"/>
          </w:tcPr>
          <w:p w14:paraId="44F86DE2" w14:textId="77777777" w:rsidR="0046798B" w:rsidRDefault="0046798B">
            <w:pPr>
              <w:pStyle w:val="TableParagraph"/>
            </w:pPr>
          </w:p>
          <w:p w14:paraId="099C548A" w14:textId="77777777" w:rsidR="0046798B" w:rsidRDefault="0046798B">
            <w:pPr>
              <w:pStyle w:val="TableParagraph"/>
              <w:spacing w:before="4"/>
              <w:rPr>
                <w:sz w:val="21"/>
              </w:rPr>
            </w:pPr>
          </w:p>
          <w:p w14:paraId="4D63F904" w14:textId="77777777" w:rsidR="0046798B" w:rsidRDefault="00903B5C">
            <w:pPr>
              <w:pStyle w:val="TableParagraph"/>
              <w:ind w:left="114" w:right="296"/>
              <w:rPr>
                <w:sz w:val="20"/>
              </w:rPr>
            </w:pPr>
            <w:r>
              <w:rPr>
                <w:sz w:val="20"/>
              </w:rPr>
              <w:t>Tax to income ratio</w:t>
            </w:r>
          </w:p>
        </w:tc>
        <w:tc>
          <w:tcPr>
            <w:tcW w:w="1285" w:type="dxa"/>
          </w:tcPr>
          <w:p w14:paraId="0F54E1DA" w14:textId="77777777" w:rsidR="0046798B" w:rsidRDefault="0046798B">
            <w:pPr>
              <w:pStyle w:val="TableParagraph"/>
            </w:pPr>
          </w:p>
          <w:p w14:paraId="4669220A" w14:textId="77777777" w:rsidR="0046798B" w:rsidRDefault="0046798B">
            <w:pPr>
              <w:pStyle w:val="TableParagraph"/>
              <w:spacing w:before="4"/>
              <w:rPr>
                <w:sz w:val="31"/>
              </w:rPr>
            </w:pPr>
          </w:p>
          <w:p w14:paraId="4A4BBC2A" w14:textId="77777777" w:rsidR="0046798B" w:rsidRDefault="00903B5C">
            <w:pPr>
              <w:pStyle w:val="TableParagraph"/>
              <w:ind w:left="114"/>
              <w:rPr>
                <w:sz w:val="20"/>
              </w:rPr>
            </w:pPr>
            <w:r>
              <w:rPr>
                <w:sz w:val="20"/>
              </w:rPr>
              <w:t>2014</w:t>
            </w:r>
          </w:p>
        </w:tc>
        <w:tc>
          <w:tcPr>
            <w:tcW w:w="3421" w:type="dxa"/>
          </w:tcPr>
          <w:p w14:paraId="567E6BA0" w14:textId="77777777" w:rsidR="0046798B" w:rsidRDefault="00903B5C">
            <w:pPr>
              <w:pStyle w:val="TableParagraph"/>
              <w:spacing w:before="39" w:line="480" w:lineRule="auto"/>
              <w:ind w:left="114" w:right="588"/>
              <w:rPr>
                <w:sz w:val="20"/>
              </w:rPr>
            </w:pPr>
            <w:r>
              <w:rPr>
                <w:sz w:val="20"/>
              </w:rPr>
              <w:t>A state’s tax to income ratio: total taxes / state personal</w:t>
            </w:r>
            <w:r>
              <w:rPr>
                <w:spacing w:val="5"/>
                <w:sz w:val="20"/>
              </w:rPr>
              <w:t xml:space="preserve"> </w:t>
            </w:r>
            <w:r>
              <w:rPr>
                <w:spacing w:val="-4"/>
                <w:sz w:val="20"/>
              </w:rPr>
              <w:t>income</w:t>
            </w:r>
          </w:p>
          <w:p w14:paraId="4AF3C732" w14:textId="77777777" w:rsidR="0046798B" w:rsidRDefault="00903B5C">
            <w:pPr>
              <w:pStyle w:val="TableParagraph"/>
              <w:ind w:left="114" w:right="289"/>
              <w:rPr>
                <w:sz w:val="20"/>
              </w:rPr>
            </w:pPr>
            <w:r>
              <w:rPr>
                <w:sz w:val="20"/>
              </w:rPr>
              <w:t>Higher value indicates lower service- level solvency.</w:t>
            </w:r>
          </w:p>
        </w:tc>
        <w:tc>
          <w:tcPr>
            <w:tcW w:w="6482" w:type="dxa"/>
          </w:tcPr>
          <w:p w14:paraId="052D9C7D" w14:textId="77777777" w:rsidR="0046798B" w:rsidRDefault="0046798B">
            <w:pPr>
              <w:pStyle w:val="TableParagraph"/>
              <w:spacing w:before="4"/>
              <w:rPr>
                <w:sz w:val="23"/>
              </w:rPr>
            </w:pPr>
          </w:p>
          <w:p w14:paraId="41D91A49" w14:textId="77777777" w:rsidR="0046798B" w:rsidRDefault="00903B5C">
            <w:pPr>
              <w:pStyle w:val="TableParagraph"/>
              <w:ind w:left="114" w:right="236"/>
              <w:rPr>
                <w:sz w:val="20"/>
              </w:rPr>
            </w:pPr>
            <w:r>
              <w:rPr>
                <w:sz w:val="20"/>
              </w:rPr>
              <w:t xml:space="preserve">Norcross, Eileen and Olivia Gonzalez. 2016. “Ranking the States by Fiscal Condition.” 2016 edition. Arlington, VA: Mercatus Research, Mercatus Center at George Mason University. </w:t>
            </w:r>
            <w:hyperlink r:id="rId305">
              <w:r>
                <w:rPr>
                  <w:sz w:val="20"/>
                  <w:u w:val="single"/>
                </w:rPr>
                <w:t>http://mercatus.org/sites/default/files/Norcross-Fiscal-Rankings-2-v2_1.pdf</w:t>
              </w:r>
              <w:r>
                <w:rPr>
                  <w:sz w:val="20"/>
                </w:rPr>
                <w:t>.</w:t>
              </w:r>
            </w:hyperlink>
          </w:p>
        </w:tc>
      </w:tr>
      <w:tr w:rsidR="0046798B" w14:paraId="059B9137" w14:textId="77777777">
        <w:trPr>
          <w:trHeight w:val="1005"/>
        </w:trPr>
        <w:tc>
          <w:tcPr>
            <w:tcW w:w="1711" w:type="dxa"/>
          </w:tcPr>
          <w:p w14:paraId="5E4DF0FA" w14:textId="77777777" w:rsidR="0046798B" w:rsidRDefault="0046798B">
            <w:pPr>
              <w:pStyle w:val="TableParagraph"/>
            </w:pPr>
          </w:p>
          <w:p w14:paraId="6F229869" w14:textId="77777777" w:rsidR="0046798B" w:rsidRDefault="00903B5C">
            <w:pPr>
              <w:pStyle w:val="TableParagraph"/>
              <w:spacing w:before="135"/>
              <w:ind w:left="115"/>
              <w:rPr>
                <w:b/>
                <w:sz w:val="20"/>
              </w:rPr>
            </w:pPr>
            <w:r>
              <w:rPr>
                <w:b/>
                <w:sz w:val="20"/>
              </w:rPr>
              <w:t>total_assets</w:t>
            </w:r>
          </w:p>
        </w:tc>
        <w:tc>
          <w:tcPr>
            <w:tcW w:w="1596" w:type="dxa"/>
          </w:tcPr>
          <w:p w14:paraId="1D3DDC13" w14:textId="77777777" w:rsidR="0046798B" w:rsidRDefault="0046798B">
            <w:pPr>
              <w:pStyle w:val="TableParagraph"/>
              <w:spacing w:before="8"/>
              <w:rPr>
                <w:sz w:val="23"/>
              </w:rPr>
            </w:pPr>
          </w:p>
          <w:p w14:paraId="693075FA" w14:textId="77777777" w:rsidR="0046798B" w:rsidRDefault="00903B5C">
            <w:pPr>
              <w:pStyle w:val="TableParagraph"/>
              <w:spacing w:before="1"/>
              <w:ind w:left="114" w:right="241"/>
              <w:rPr>
                <w:sz w:val="20"/>
              </w:rPr>
            </w:pPr>
            <w:r>
              <w:rPr>
                <w:sz w:val="20"/>
              </w:rPr>
              <w:t>Total assets (in thousands $)</w:t>
            </w:r>
          </w:p>
        </w:tc>
        <w:tc>
          <w:tcPr>
            <w:tcW w:w="1285" w:type="dxa"/>
          </w:tcPr>
          <w:p w14:paraId="032AF70D" w14:textId="77777777" w:rsidR="0046798B" w:rsidRDefault="0046798B">
            <w:pPr>
              <w:pStyle w:val="TableParagraph"/>
            </w:pPr>
          </w:p>
          <w:p w14:paraId="22547189" w14:textId="77777777" w:rsidR="0046798B" w:rsidRDefault="00903B5C">
            <w:pPr>
              <w:pStyle w:val="TableParagraph"/>
              <w:spacing w:before="135"/>
              <w:ind w:left="114"/>
              <w:rPr>
                <w:sz w:val="20"/>
              </w:rPr>
            </w:pPr>
            <w:r>
              <w:rPr>
                <w:sz w:val="20"/>
              </w:rPr>
              <w:t>2014</w:t>
            </w:r>
          </w:p>
        </w:tc>
        <w:tc>
          <w:tcPr>
            <w:tcW w:w="3421" w:type="dxa"/>
          </w:tcPr>
          <w:p w14:paraId="1C945703" w14:textId="77777777" w:rsidR="0046798B" w:rsidRDefault="0046798B">
            <w:pPr>
              <w:pStyle w:val="TableParagraph"/>
            </w:pPr>
          </w:p>
          <w:p w14:paraId="01DAC817" w14:textId="77777777" w:rsidR="0046798B" w:rsidRDefault="00903B5C">
            <w:pPr>
              <w:pStyle w:val="TableParagraph"/>
              <w:spacing w:before="135"/>
              <w:ind w:left="114"/>
              <w:rPr>
                <w:sz w:val="20"/>
              </w:rPr>
            </w:pPr>
            <w:r>
              <w:rPr>
                <w:sz w:val="20"/>
              </w:rPr>
              <w:t>A state’s total assets (in thousands $)</w:t>
            </w:r>
          </w:p>
        </w:tc>
        <w:tc>
          <w:tcPr>
            <w:tcW w:w="6482" w:type="dxa"/>
          </w:tcPr>
          <w:p w14:paraId="413ABE19" w14:textId="77777777" w:rsidR="0046798B" w:rsidRDefault="00903B5C">
            <w:pPr>
              <w:pStyle w:val="TableParagraph"/>
              <w:spacing w:before="43"/>
              <w:ind w:left="114" w:right="236"/>
              <w:rPr>
                <w:sz w:val="20"/>
              </w:rPr>
            </w:pPr>
            <w:r>
              <w:rPr>
                <w:sz w:val="20"/>
              </w:rPr>
              <w:t xml:space="preserve">Norcross, Eileen and Olivia Gonzalez. 2016. “Ranking the States by Fiscal Condition.” 2016 edition. Arlington, VA: Mercatus Research, Mercatus Center at George Mason University. </w:t>
            </w:r>
            <w:hyperlink r:id="rId306">
              <w:r>
                <w:rPr>
                  <w:sz w:val="20"/>
                  <w:u w:val="single"/>
                </w:rPr>
                <w:t>http://mercatus.org/sites/default/files/Norcross-Fiscal-Rankings-2-v2_1.pdf</w:t>
              </w:r>
              <w:r>
                <w:rPr>
                  <w:sz w:val="20"/>
                </w:rPr>
                <w:t>.</w:t>
              </w:r>
            </w:hyperlink>
          </w:p>
        </w:tc>
      </w:tr>
    </w:tbl>
    <w:p w14:paraId="3C1EA414" w14:textId="77777777" w:rsidR="0046798B" w:rsidRDefault="0046798B">
      <w:pPr>
        <w:rPr>
          <w:sz w:val="20"/>
        </w:rPr>
        <w:sectPr w:rsidR="0046798B">
          <w:pgSz w:w="15840" w:h="12240" w:orient="landscape"/>
          <w:pgMar w:top="1220" w:right="300" w:bottom="980" w:left="820" w:header="730" w:footer="787" w:gutter="0"/>
          <w:cols w:space="720"/>
        </w:sectPr>
      </w:pPr>
    </w:p>
    <w:p w14:paraId="7E895679"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70C719A5" w14:textId="77777777">
        <w:trPr>
          <w:trHeight w:val="1005"/>
        </w:trPr>
        <w:tc>
          <w:tcPr>
            <w:tcW w:w="1711" w:type="dxa"/>
          </w:tcPr>
          <w:p w14:paraId="75C75D89" w14:textId="77777777" w:rsidR="0046798B" w:rsidRDefault="0046798B">
            <w:pPr>
              <w:pStyle w:val="TableParagraph"/>
              <w:spacing w:before="9"/>
              <w:rPr>
                <w:sz w:val="23"/>
              </w:rPr>
            </w:pPr>
          </w:p>
          <w:p w14:paraId="7C5C3B17" w14:textId="77777777" w:rsidR="0046798B" w:rsidRDefault="00903B5C">
            <w:pPr>
              <w:pStyle w:val="TableParagraph"/>
              <w:ind w:left="115"/>
              <w:rPr>
                <w:b/>
                <w:sz w:val="20"/>
              </w:rPr>
            </w:pPr>
            <w:r>
              <w:rPr>
                <w:b/>
                <w:sz w:val="20"/>
              </w:rPr>
              <w:t>total_current_as sets</w:t>
            </w:r>
          </w:p>
        </w:tc>
        <w:tc>
          <w:tcPr>
            <w:tcW w:w="1596" w:type="dxa"/>
          </w:tcPr>
          <w:p w14:paraId="7953D7F7" w14:textId="77777777" w:rsidR="0046798B" w:rsidRDefault="00903B5C">
            <w:pPr>
              <w:pStyle w:val="TableParagraph"/>
              <w:spacing w:before="158"/>
              <w:ind w:left="114" w:right="413"/>
              <w:rPr>
                <w:sz w:val="20"/>
              </w:rPr>
            </w:pPr>
            <w:r>
              <w:rPr>
                <w:sz w:val="20"/>
              </w:rPr>
              <w:t>Total current assets (in thousands $)</w:t>
            </w:r>
          </w:p>
        </w:tc>
        <w:tc>
          <w:tcPr>
            <w:tcW w:w="1285" w:type="dxa"/>
          </w:tcPr>
          <w:p w14:paraId="20910D40" w14:textId="77777777" w:rsidR="0046798B" w:rsidRDefault="0046798B">
            <w:pPr>
              <w:pStyle w:val="TableParagraph"/>
            </w:pPr>
          </w:p>
          <w:p w14:paraId="77B62717" w14:textId="77777777" w:rsidR="0046798B" w:rsidRDefault="00903B5C">
            <w:pPr>
              <w:pStyle w:val="TableParagraph"/>
              <w:spacing w:before="135"/>
              <w:ind w:left="114"/>
              <w:rPr>
                <w:sz w:val="20"/>
              </w:rPr>
            </w:pPr>
            <w:r>
              <w:rPr>
                <w:sz w:val="20"/>
              </w:rPr>
              <w:t>2014</w:t>
            </w:r>
          </w:p>
        </w:tc>
        <w:tc>
          <w:tcPr>
            <w:tcW w:w="3421" w:type="dxa"/>
          </w:tcPr>
          <w:p w14:paraId="22068B34" w14:textId="77777777" w:rsidR="0046798B" w:rsidRDefault="0046798B">
            <w:pPr>
              <w:pStyle w:val="TableParagraph"/>
              <w:spacing w:before="9"/>
              <w:rPr>
                <w:sz w:val="23"/>
              </w:rPr>
            </w:pPr>
          </w:p>
          <w:p w14:paraId="70170874" w14:textId="77777777" w:rsidR="0046798B" w:rsidRDefault="00903B5C">
            <w:pPr>
              <w:pStyle w:val="TableParagraph"/>
              <w:ind w:left="114" w:right="761"/>
              <w:rPr>
                <w:sz w:val="20"/>
              </w:rPr>
            </w:pPr>
            <w:r>
              <w:rPr>
                <w:sz w:val="20"/>
              </w:rPr>
              <w:t>A state’s total current assets (in thousands $)</w:t>
            </w:r>
          </w:p>
        </w:tc>
        <w:tc>
          <w:tcPr>
            <w:tcW w:w="6482" w:type="dxa"/>
          </w:tcPr>
          <w:p w14:paraId="3EAC3DAE" w14:textId="77777777" w:rsidR="0046798B" w:rsidRDefault="00903B5C">
            <w:pPr>
              <w:pStyle w:val="TableParagraph"/>
              <w:spacing w:before="43"/>
              <w:ind w:left="114" w:right="236"/>
              <w:rPr>
                <w:sz w:val="20"/>
              </w:rPr>
            </w:pPr>
            <w:r>
              <w:rPr>
                <w:sz w:val="20"/>
              </w:rPr>
              <w:t xml:space="preserve">Norcross, Eileen and Olivia Gonzalez. 2016. “Ranking the States by Fiscal Condition.” 2016 edition. Arlington, VA: Mercatus Research, Mercatus Center at George Mason University. </w:t>
            </w:r>
            <w:hyperlink r:id="rId307">
              <w:r>
                <w:rPr>
                  <w:sz w:val="20"/>
                  <w:u w:val="single"/>
                </w:rPr>
                <w:t>http://mercatus.org/sites/default/files/Norcross-Fiscal-Rankings-2-v2_1.pdf</w:t>
              </w:r>
              <w:r>
                <w:rPr>
                  <w:sz w:val="20"/>
                </w:rPr>
                <w:t>.</w:t>
              </w:r>
            </w:hyperlink>
          </w:p>
        </w:tc>
      </w:tr>
      <w:tr w:rsidR="0046798B" w14:paraId="4DB26BF7" w14:textId="77777777">
        <w:trPr>
          <w:trHeight w:val="1005"/>
        </w:trPr>
        <w:tc>
          <w:tcPr>
            <w:tcW w:w="1711" w:type="dxa"/>
          </w:tcPr>
          <w:p w14:paraId="212FBC30" w14:textId="77777777" w:rsidR="0046798B" w:rsidRDefault="0046798B">
            <w:pPr>
              <w:pStyle w:val="TableParagraph"/>
            </w:pPr>
          </w:p>
          <w:p w14:paraId="3F5350FC" w14:textId="77777777" w:rsidR="0046798B" w:rsidRDefault="00903B5C">
            <w:pPr>
              <w:pStyle w:val="TableParagraph"/>
              <w:spacing w:before="135"/>
              <w:ind w:left="115"/>
              <w:rPr>
                <w:b/>
                <w:sz w:val="20"/>
              </w:rPr>
            </w:pPr>
            <w:r>
              <w:rPr>
                <w:b/>
                <w:sz w:val="20"/>
              </w:rPr>
              <w:t>total_expenses</w:t>
            </w:r>
          </w:p>
        </w:tc>
        <w:tc>
          <w:tcPr>
            <w:tcW w:w="1596" w:type="dxa"/>
          </w:tcPr>
          <w:p w14:paraId="7A569B53" w14:textId="77777777" w:rsidR="0046798B" w:rsidRDefault="0046798B">
            <w:pPr>
              <w:pStyle w:val="TableParagraph"/>
            </w:pPr>
          </w:p>
          <w:p w14:paraId="6791BFCD" w14:textId="77777777" w:rsidR="0046798B" w:rsidRDefault="00903B5C">
            <w:pPr>
              <w:pStyle w:val="TableParagraph"/>
              <w:spacing w:before="135"/>
              <w:ind w:left="114"/>
              <w:rPr>
                <w:sz w:val="20"/>
              </w:rPr>
            </w:pPr>
            <w:r>
              <w:rPr>
                <w:sz w:val="20"/>
              </w:rPr>
              <w:t>Total expenses</w:t>
            </w:r>
          </w:p>
        </w:tc>
        <w:tc>
          <w:tcPr>
            <w:tcW w:w="1285" w:type="dxa"/>
          </w:tcPr>
          <w:p w14:paraId="5D781707" w14:textId="77777777" w:rsidR="0046798B" w:rsidRDefault="0046798B">
            <w:pPr>
              <w:pStyle w:val="TableParagraph"/>
            </w:pPr>
          </w:p>
          <w:p w14:paraId="63185589" w14:textId="77777777" w:rsidR="0046798B" w:rsidRDefault="00903B5C">
            <w:pPr>
              <w:pStyle w:val="TableParagraph"/>
              <w:spacing w:before="135"/>
              <w:ind w:left="114"/>
              <w:rPr>
                <w:sz w:val="20"/>
              </w:rPr>
            </w:pPr>
            <w:r>
              <w:rPr>
                <w:sz w:val="20"/>
              </w:rPr>
              <w:t>2014</w:t>
            </w:r>
          </w:p>
        </w:tc>
        <w:tc>
          <w:tcPr>
            <w:tcW w:w="3421" w:type="dxa"/>
          </w:tcPr>
          <w:p w14:paraId="37965B7C" w14:textId="77777777" w:rsidR="0046798B" w:rsidRDefault="0046798B">
            <w:pPr>
              <w:pStyle w:val="TableParagraph"/>
            </w:pPr>
          </w:p>
          <w:p w14:paraId="1E408169" w14:textId="77777777" w:rsidR="0046798B" w:rsidRDefault="00903B5C">
            <w:pPr>
              <w:pStyle w:val="TableParagraph"/>
              <w:spacing w:before="135"/>
              <w:ind w:left="114"/>
              <w:rPr>
                <w:sz w:val="20"/>
              </w:rPr>
            </w:pPr>
            <w:r>
              <w:rPr>
                <w:sz w:val="20"/>
              </w:rPr>
              <w:t>A state’s total expenses</w:t>
            </w:r>
          </w:p>
        </w:tc>
        <w:tc>
          <w:tcPr>
            <w:tcW w:w="6482" w:type="dxa"/>
          </w:tcPr>
          <w:p w14:paraId="2BB1590F" w14:textId="77777777" w:rsidR="0046798B" w:rsidRDefault="00903B5C">
            <w:pPr>
              <w:pStyle w:val="TableParagraph"/>
              <w:spacing w:before="43"/>
              <w:ind w:left="114" w:right="236"/>
              <w:rPr>
                <w:sz w:val="20"/>
              </w:rPr>
            </w:pPr>
            <w:r>
              <w:rPr>
                <w:sz w:val="20"/>
              </w:rPr>
              <w:t xml:space="preserve">Norcross, Eileen and Olivia Gonzalez. 2016. “Ranking the States by Fiscal Condition.” 2016 edition. Arlington, VA: Mercatus Research, Mercatus Center at George Mason University. </w:t>
            </w:r>
            <w:hyperlink r:id="rId308">
              <w:r>
                <w:rPr>
                  <w:sz w:val="20"/>
                  <w:u w:val="single"/>
                </w:rPr>
                <w:t>http://mercatus.org/sites/default/files/Norcross-Fiscal-Rankings-2-v2_1.pdf</w:t>
              </w:r>
              <w:r>
                <w:rPr>
                  <w:sz w:val="20"/>
                </w:rPr>
                <w:t>.</w:t>
              </w:r>
            </w:hyperlink>
          </w:p>
        </w:tc>
      </w:tr>
      <w:tr w:rsidR="0046798B" w14:paraId="093EB636" w14:textId="77777777">
        <w:trPr>
          <w:trHeight w:val="1010"/>
        </w:trPr>
        <w:tc>
          <w:tcPr>
            <w:tcW w:w="1711" w:type="dxa"/>
          </w:tcPr>
          <w:p w14:paraId="50E4C290" w14:textId="77777777" w:rsidR="0046798B" w:rsidRDefault="0046798B">
            <w:pPr>
              <w:pStyle w:val="TableParagraph"/>
            </w:pPr>
          </w:p>
          <w:p w14:paraId="7308F45D" w14:textId="77777777" w:rsidR="0046798B" w:rsidRDefault="00903B5C">
            <w:pPr>
              <w:pStyle w:val="TableParagraph"/>
              <w:spacing w:before="135"/>
              <w:ind w:left="115"/>
              <w:rPr>
                <w:b/>
                <w:sz w:val="20"/>
              </w:rPr>
            </w:pPr>
            <w:r>
              <w:rPr>
                <w:b/>
                <w:sz w:val="20"/>
              </w:rPr>
              <w:t>total_liabilities</w:t>
            </w:r>
          </w:p>
        </w:tc>
        <w:tc>
          <w:tcPr>
            <w:tcW w:w="1596" w:type="dxa"/>
          </w:tcPr>
          <w:p w14:paraId="39937CC3" w14:textId="77777777" w:rsidR="0046798B" w:rsidRDefault="0046798B">
            <w:pPr>
              <w:pStyle w:val="TableParagraph"/>
              <w:spacing w:before="8"/>
              <w:rPr>
                <w:sz w:val="23"/>
              </w:rPr>
            </w:pPr>
          </w:p>
          <w:p w14:paraId="6A260ABF" w14:textId="77777777" w:rsidR="0046798B" w:rsidRDefault="00903B5C">
            <w:pPr>
              <w:pStyle w:val="TableParagraph"/>
              <w:spacing w:before="1"/>
              <w:ind w:left="114" w:right="163"/>
              <w:rPr>
                <w:sz w:val="20"/>
              </w:rPr>
            </w:pPr>
            <w:r>
              <w:rPr>
                <w:sz w:val="20"/>
              </w:rPr>
              <w:t>Total liabilities (in thousands $)</w:t>
            </w:r>
          </w:p>
        </w:tc>
        <w:tc>
          <w:tcPr>
            <w:tcW w:w="1285" w:type="dxa"/>
          </w:tcPr>
          <w:p w14:paraId="50772D48" w14:textId="77777777" w:rsidR="0046798B" w:rsidRDefault="0046798B">
            <w:pPr>
              <w:pStyle w:val="TableParagraph"/>
            </w:pPr>
          </w:p>
          <w:p w14:paraId="07111294" w14:textId="77777777" w:rsidR="0046798B" w:rsidRDefault="00903B5C">
            <w:pPr>
              <w:pStyle w:val="TableParagraph"/>
              <w:spacing w:before="135"/>
              <w:ind w:left="114"/>
              <w:rPr>
                <w:sz w:val="20"/>
              </w:rPr>
            </w:pPr>
            <w:r>
              <w:rPr>
                <w:sz w:val="20"/>
              </w:rPr>
              <w:t>2014</w:t>
            </w:r>
          </w:p>
        </w:tc>
        <w:tc>
          <w:tcPr>
            <w:tcW w:w="3421" w:type="dxa"/>
          </w:tcPr>
          <w:p w14:paraId="35026F10" w14:textId="77777777" w:rsidR="0046798B" w:rsidRDefault="0046798B">
            <w:pPr>
              <w:pStyle w:val="TableParagraph"/>
              <w:spacing w:before="8"/>
              <w:rPr>
                <w:sz w:val="23"/>
              </w:rPr>
            </w:pPr>
          </w:p>
          <w:p w14:paraId="396B949A" w14:textId="77777777" w:rsidR="0046798B" w:rsidRDefault="00903B5C">
            <w:pPr>
              <w:pStyle w:val="TableParagraph"/>
              <w:spacing w:before="1"/>
              <w:ind w:left="114"/>
              <w:rPr>
                <w:sz w:val="20"/>
              </w:rPr>
            </w:pPr>
            <w:r>
              <w:rPr>
                <w:sz w:val="20"/>
              </w:rPr>
              <w:t>A state’s total liabilities (in thousands</w:t>
            </w:r>
          </w:p>
          <w:p w14:paraId="6F309EFA" w14:textId="77777777" w:rsidR="0046798B" w:rsidRDefault="00903B5C">
            <w:pPr>
              <w:pStyle w:val="TableParagraph"/>
              <w:ind w:left="114"/>
              <w:rPr>
                <w:sz w:val="20"/>
              </w:rPr>
            </w:pPr>
            <w:r>
              <w:rPr>
                <w:sz w:val="20"/>
              </w:rPr>
              <w:t>$)</w:t>
            </w:r>
          </w:p>
        </w:tc>
        <w:tc>
          <w:tcPr>
            <w:tcW w:w="6482" w:type="dxa"/>
          </w:tcPr>
          <w:p w14:paraId="374FBE27" w14:textId="77777777" w:rsidR="0046798B" w:rsidRDefault="00903B5C">
            <w:pPr>
              <w:pStyle w:val="TableParagraph"/>
              <w:spacing w:before="43"/>
              <w:ind w:left="114" w:right="236"/>
              <w:rPr>
                <w:sz w:val="20"/>
              </w:rPr>
            </w:pPr>
            <w:r>
              <w:rPr>
                <w:sz w:val="20"/>
              </w:rPr>
              <w:t xml:space="preserve">Norcross, Eileen and Olivia Gonzalez. 2016. “Ranking the States by Fiscal Condition.” 2016 edition. Arlington, VA: Mercatus Research, Mercatus Center at George Mason University. </w:t>
            </w:r>
            <w:hyperlink r:id="rId309">
              <w:r>
                <w:rPr>
                  <w:sz w:val="20"/>
                  <w:u w:val="single"/>
                </w:rPr>
                <w:t>http://mercatus.org/sites/default/files/Norcross-Fiscal-Rankings-2-v2_1.pdf</w:t>
              </w:r>
              <w:r>
                <w:rPr>
                  <w:sz w:val="20"/>
                </w:rPr>
                <w:t>.</w:t>
              </w:r>
            </w:hyperlink>
          </w:p>
        </w:tc>
      </w:tr>
      <w:tr w:rsidR="0046798B" w14:paraId="5DCCD529" w14:textId="77777777">
        <w:trPr>
          <w:trHeight w:val="1005"/>
        </w:trPr>
        <w:tc>
          <w:tcPr>
            <w:tcW w:w="1711" w:type="dxa"/>
          </w:tcPr>
          <w:p w14:paraId="45E0F981" w14:textId="77777777" w:rsidR="0046798B" w:rsidRDefault="0046798B">
            <w:pPr>
              <w:pStyle w:val="TableParagraph"/>
            </w:pPr>
          </w:p>
          <w:p w14:paraId="62D09311" w14:textId="77777777" w:rsidR="0046798B" w:rsidRDefault="00903B5C">
            <w:pPr>
              <w:pStyle w:val="TableParagraph"/>
              <w:spacing w:before="130"/>
              <w:ind w:left="115"/>
              <w:rPr>
                <w:b/>
                <w:sz w:val="20"/>
              </w:rPr>
            </w:pPr>
            <w:r>
              <w:rPr>
                <w:b/>
                <w:sz w:val="20"/>
              </w:rPr>
              <w:t>total_net_assets</w:t>
            </w:r>
          </w:p>
        </w:tc>
        <w:tc>
          <w:tcPr>
            <w:tcW w:w="1596" w:type="dxa"/>
          </w:tcPr>
          <w:p w14:paraId="76A6DEC5" w14:textId="77777777" w:rsidR="0046798B" w:rsidRDefault="0046798B">
            <w:pPr>
              <w:pStyle w:val="TableParagraph"/>
              <w:spacing w:before="3"/>
              <w:rPr>
                <w:sz w:val="23"/>
              </w:rPr>
            </w:pPr>
          </w:p>
          <w:p w14:paraId="7ABD2579" w14:textId="77777777" w:rsidR="0046798B" w:rsidRDefault="00903B5C">
            <w:pPr>
              <w:pStyle w:val="TableParagraph"/>
              <w:spacing w:before="1"/>
              <w:ind w:left="114" w:right="163"/>
              <w:rPr>
                <w:sz w:val="20"/>
              </w:rPr>
            </w:pPr>
            <w:r>
              <w:rPr>
                <w:sz w:val="20"/>
              </w:rPr>
              <w:t>Total net assets (in thousands $)</w:t>
            </w:r>
          </w:p>
        </w:tc>
        <w:tc>
          <w:tcPr>
            <w:tcW w:w="1285" w:type="dxa"/>
          </w:tcPr>
          <w:p w14:paraId="4553812D" w14:textId="77777777" w:rsidR="0046798B" w:rsidRDefault="0046798B">
            <w:pPr>
              <w:pStyle w:val="TableParagraph"/>
            </w:pPr>
          </w:p>
          <w:p w14:paraId="2F8F7CAE" w14:textId="77777777" w:rsidR="0046798B" w:rsidRDefault="00903B5C">
            <w:pPr>
              <w:pStyle w:val="TableParagraph"/>
              <w:spacing w:before="130"/>
              <w:ind w:left="114"/>
              <w:rPr>
                <w:sz w:val="20"/>
              </w:rPr>
            </w:pPr>
            <w:r>
              <w:rPr>
                <w:sz w:val="20"/>
              </w:rPr>
              <w:t>2014</w:t>
            </w:r>
          </w:p>
        </w:tc>
        <w:tc>
          <w:tcPr>
            <w:tcW w:w="3421" w:type="dxa"/>
          </w:tcPr>
          <w:p w14:paraId="2EAEF72E" w14:textId="77777777" w:rsidR="0046798B" w:rsidRDefault="0046798B">
            <w:pPr>
              <w:pStyle w:val="TableParagraph"/>
              <w:spacing w:before="3"/>
              <w:rPr>
                <w:sz w:val="23"/>
              </w:rPr>
            </w:pPr>
          </w:p>
          <w:p w14:paraId="094D5CA2" w14:textId="77777777" w:rsidR="0046798B" w:rsidRDefault="00903B5C">
            <w:pPr>
              <w:pStyle w:val="TableParagraph"/>
              <w:spacing w:before="1"/>
              <w:ind w:left="114"/>
              <w:rPr>
                <w:sz w:val="20"/>
              </w:rPr>
            </w:pPr>
            <w:r>
              <w:rPr>
                <w:sz w:val="20"/>
              </w:rPr>
              <w:t>A state’s total net assets (in thousands</w:t>
            </w:r>
          </w:p>
          <w:p w14:paraId="77E759D0" w14:textId="77777777" w:rsidR="0046798B" w:rsidRDefault="00903B5C">
            <w:pPr>
              <w:pStyle w:val="TableParagraph"/>
              <w:ind w:left="114"/>
              <w:rPr>
                <w:sz w:val="20"/>
              </w:rPr>
            </w:pPr>
            <w:r>
              <w:rPr>
                <w:sz w:val="20"/>
              </w:rPr>
              <w:t>$)</w:t>
            </w:r>
          </w:p>
        </w:tc>
        <w:tc>
          <w:tcPr>
            <w:tcW w:w="6482" w:type="dxa"/>
          </w:tcPr>
          <w:p w14:paraId="016D6BCA" w14:textId="77777777" w:rsidR="0046798B" w:rsidRDefault="00903B5C">
            <w:pPr>
              <w:pStyle w:val="TableParagraph"/>
              <w:spacing w:before="38"/>
              <w:ind w:left="114" w:right="236"/>
              <w:rPr>
                <w:sz w:val="20"/>
              </w:rPr>
            </w:pPr>
            <w:r>
              <w:rPr>
                <w:sz w:val="20"/>
              </w:rPr>
              <w:t xml:space="preserve">Norcross, Eileen and Olivia Gonzalez. 2016. “Ranking the States by Fiscal Condition.” 2016 edition. Arlington, VA: Mercatus Research, Mercatus Center at George Mason University. </w:t>
            </w:r>
            <w:hyperlink r:id="rId310">
              <w:r>
                <w:rPr>
                  <w:sz w:val="20"/>
                  <w:u w:val="single"/>
                </w:rPr>
                <w:t>http://mercatus.org/sites/default/files/Norcross-Fiscal-Rankings-2-v2_1.pdf</w:t>
              </w:r>
              <w:r>
                <w:rPr>
                  <w:sz w:val="20"/>
                </w:rPr>
                <w:t>.</w:t>
              </w:r>
            </w:hyperlink>
          </w:p>
        </w:tc>
      </w:tr>
      <w:tr w:rsidR="0046798B" w14:paraId="7649E5EC" w14:textId="77777777">
        <w:trPr>
          <w:trHeight w:val="1005"/>
        </w:trPr>
        <w:tc>
          <w:tcPr>
            <w:tcW w:w="1711" w:type="dxa"/>
          </w:tcPr>
          <w:p w14:paraId="161A6941" w14:textId="77777777" w:rsidR="0046798B" w:rsidRDefault="0046798B">
            <w:pPr>
              <w:pStyle w:val="TableParagraph"/>
              <w:spacing w:before="4"/>
              <w:rPr>
                <w:sz w:val="23"/>
              </w:rPr>
            </w:pPr>
          </w:p>
          <w:p w14:paraId="0E449C03" w14:textId="77777777" w:rsidR="0046798B" w:rsidRDefault="00903B5C">
            <w:pPr>
              <w:pStyle w:val="TableParagraph"/>
              <w:ind w:left="115" w:right="133"/>
              <w:rPr>
                <w:b/>
                <w:sz w:val="20"/>
              </w:rPr>
            </w:pPr>
            <w:r>
              <w:rPr>
                <w:b/>
                <w:sz w:val="20"/>
              </w:rPr>
              <w:t>total_revenue_m ercatus</w:t>
            </w:r>
          </w:p>
        </w:tc>
        <w:tc>
          <w:tcPr>
            <w:tcW w:w="1596" w:type="dxa"/>
          </w:tcPr>
          <w:p w14:paraId="7921D7CF" w14:textId="77777777" w:rsidR="0046798B" w:rsidRDefault="0046798B">
            <w:pPr>
              <w:pStyle w:val="TableParagraph"/>
            </w:pPr>
          </w:p>
          <w:p w14:paraId="22610D4C" w14:textId="77777777" w:rsidR="0046798B" w:rsidRDefault="00903B5C">
            <w:pPr>
              <w:pStyle w:val="TableParagraph"/>
              <w:spacing w:before="130"/>
              <w:ind w:left="114"/>
              <w:rPr>
                <w:sz w:val="20"/>
              </w:rPr>
            </w:pPr>
            <w:r>
              <w:rPr>
                <w:sz w:val="20"/>
              </w:rPr>
              <w:t>Total revenue</w:t>
            </w:r>
          </w:p>
        </w:tc>
        <w:tc>
          <w:tcPr>
            <w:tcW w:w="1285" w:type="dxa"/>
          </w:tcPr>
          <w:p w14:paraId="0047E212" w14:textId="77777777" w:rsidR="0046798B" w:rsidRDefault="0046798B">
            <w:pPr>
              <w:pStyle w:val="TableParagraph"/>
            </w:pPr>
          </w:p>
          <w:p w14:paraId="60B88EA0" w14:textId="77777777" w:rsidR="0046798B" w:rsidRDefault="00903B5C">
            <w:pPr>
              <w:pStyle w:val="TableParagraph"/>
              <w:spacing w:before="130"/>
              <w:ind w:left="114"/>
              <w:rPr>
                <w:sz w:val="20"/>
              </w:rPr>
            </w:pPr>
            <w:r>
              <w:rPr>
                <w:sz w:val="20"/>
              </w:rPr>
              <w:t>2014</w:t>
            </w:r>
          </w:p>
        </w:tc>
        <w:tc>
          <w:tcPr>
            <w:tcW w:w="3421" w:type="dxa"/>
          </w:tcPr>
          <w:p w14:paraId="234471E9" w14:textId="77777777" w:rsidR="0046798B" w:rsidRDefault="0046798B">
            <w:pPr>
              <w:pStyle w:val="TableParagraph"/>
            </w:pPr>
          </w:p>
          <w:p w14:paraId="13D2BB15" w14:textId="77777777" w:rsidR="0046798B" w:rsidRDefault="00903B5C">
            <w:pPr>
              <w:pStyle w:val="TableParagraph"/>
              <w:spacing w:before="130"/>
              <w:ind w:left="114"/>
              <w:rPr>
                <w:sz w:val="20"/>
              </w:rPr>
            </w:pPr>
            <w:r>
              <w:rPr>
                <w:sz w:val="20"/>
              </w:rPr>
              <w:t>A state’s total revenue</w:t>
            </w:r>
          </w:p>
        </w:tc>
        <w:tc>
          <w:tcPr>
            <w:tcW w:w="6482" w:type="dxa"/>
          </w:tcPr>
          <w:p w14:paraId="165FDA64" w14:textId="77777777" w:rsidR="0046798B" w:rsidRDefault="00903B5C">
            <w:pPr>
              <w:pStyle w:val="TableParagraph"/>
              <w:spacing w:before="38"/>
              <w:ind w:left="114" w:right="236"/>
              <w:rPr>
                <w:sz w:val="20"/>
              </w:rPr>
            </w:pPr>
            <w:r>
              <w:rPr>
                <w:sz w:val="20"/>
              </w:rPr>
              <w:t xml:space="preserve">Norcross, Eileen and Olivia Gonzalez. 2016. “Ranking the States by Fiscal Condition.” 2016 edition. Arlington, VA: Mercatus Research, Mercatus Center at George Mason University. </w:t>
            </w:r>
            <w:hyperlink r:id="rId311">
              <w:r>
                <w:rPr>
                  <w:sz w:val="20"/>
                  <w:u w:val="single"/>
                </w:rPr>
                <w:t>http://mercatus.org/sites/default/files/Norcross-Fiscal-Rankings-2-v2_1.pdf</w:t>
              </w:r>
              <w:r>
                <w:rPr>
                  <w:sz w:val="20"/>
                </w:rPr>
                <w:t>.</w:t>
              </w:r>
            </w:hyperlink>
          </w:p>
        </w:tc>
      </w:tr>
      <w:tr w:rsidR="0046798B" w14:paraId="5E48C7AA" w14:textId="77777777">
        <w:trPr>
          <w:trHeight w:val="1005"/>
        </w:trPr>
        <w:tc>
          <w:tcPr>
            <w:tcW w:w="1711" w:type="dxa"/>
          </w:tcPr>
          <w:p w14:paraId="0C068666" w14:textId="77777777" w:rsidR="0046798B" w:rsidRDefault="0046798B">
            <w:pPr>
              <w:pStyle w:val="TableParagraph"/>
            </w:pPr>
          </w:p>
          <w:p w14:paraId="715EADAD" w14:textId="77777777" w:rsidR="0046798B" w:rsidRDefault="00903B5C">
            <w:pPr>
              <w:pStyle w:val="TableParagraph"/>
              <w:spacing w:before="136"/>
              <w:ind w:left="115"/>
              <w:rPr>
                <w:b/>
                <w:sz w:val="20"/>
              </w:rPr>
            </w:pPr>
            <w:r>
              <w:rPr>
                <w:b/>
                <w:sz w:val="20"/>
              </w:rPr>
              <w:t>total_taxes</w:t>
            </w:r>
          </w:p>
        </w:tc>
        <w:tc>
          <w:tcPr>
            <w:tcW w:w="1596" w:type="dxa"/>
          </w:tcPr>
          <w:p w14:paraId="5839AFA5" w14:textId="77777777" w:rsidR="0046798B" w:rsidRDefault="0046798B">
            <w:pPr>
              <w:pStyle w:val="TableParagraph"/>
            </w:pPr>
          </w:p>
          <w:p w14:paraId="38143910" w14:textId="77777777" w:rsidR="0046798B" w:rsidRDefault="00903B5C">
            <w:pPr>
              <w:pStyle w:val="TableParagraph"/>
              <w:spacing w:before="136"/>
              <w:ind w:left="114"/>
              <w:rPr>
                <w:sz w:val="20"/>
              </w:rPr>
            </w:pPr>
            <w:r>
              <w:rPr>
                <w:sz w:val="20"/>
              </w:rPr>
              <w:t>Total taxes</w:t>
            </w:r>
          </w:p>
        </w:tc>
        <w:tc>
          <w:tcPr>
            <w:tcW w:w="1285" w:type="dxa"/>
          </w:tcPr>
          <w:p w14:paraId="7ADDF8C5" w14:textId="77777777" w:rsidR="0046798B" w:rsidRDefault="0046798B">
            <w:pPr>
              <w:pStyle w:val="TableParagraph"/>
            </w:pPr>
          </w:p>
          <w:p w14:paraId="309D953A" w14:textId="77777777" w:rsidR="0046798B" w:rsidRDefault="00903B5C">
            <w:pPr>
              <w:pStyle w:val="TableParagraph"/>
              <w:spacing w:before="136"/>
              <w:ind w:left="114"/>
              <w:rPr>
                <w:sz w:val="20"/>
              </w:rPr>
            </w:pPr>
            <w:r>
              <w:rPr>
                <w:sz w:val="20"/>
              </w:rPr>
              <w:t>2014</w:t>
            </w:r>
          </w:p>
        </w:tc>
        <w:tc>
          <w:tcPr>
            <w:tcW w:w="3421" w:type="dxa"/>
          </w:tcPr>
          <w:p w14:paraId="2872AF0F" w14:textId="77777777" w:rsidR="0046798B" w:rsidRDefault="0046798B">
            <w:pPr>
              <w:pStyle w:val="TableParagraph"/>
            </w:pPr>
          </w:p>
          <w:p w14:paraId="52B295E2" w14:textId="77777777" w:rsidR="0046798B" w:rsidRDefault="00903B5C">
            <w:pPr>
              <w:pStyle w:val="TableParagraph"/>
              <w:spacing w:before="136"/>
              <w:ind w:left="114"/>
              <w:rPr>
                <w:sz w:val="20"/>
              </w:rPr>
            </w:pPr>
            <w:r>
              <w:rPr>
                <w:sz w:val="20"/>
              </w:rPr>
              <w:t>A state’s total taxes</w:t>
            </w:r>
          </w:p>
        </w:tc>
        <w:tc>
          <w:tcPr>
            <w:tcW w:w="6482" w:type="dxa"/>
          </w:tcPr>
          <w:p w14:paraId="282CEB3A" w14:textId="77777777" w:rsidR="0046798B" w:rsidRDefault="00903B5C">
            <w:pPr>
              <w:pStyle w:val="TableParagraph"/>
              <w:spacing w:before="44"/>
              <w:ind w:left="114" w:right="236"/>
              <w:rPr>
                <w:sz w:val="20"/>
              </w:rPr>
            </w:pPr>
            <w:r>
              <w:rPr>
                <w:sz w:val="20"/>
              </w:rPr>
              <w:t xml:space="preserve">Norcross, Eileen and Olivia Gonzalez. 2016. “Ranking the States by Fiscal Condition.” 2016 edition. Arlington, VA: Mercatus Research, Mercatus Center at George Mason University. </w:t>
            </w:r>
            <w:hyperlink r:id="rId312">
              <w:r>
                <w:rPr>
                  <w:sz w:val="20"/>
                  <w:u w:val="single"/>
                </w:rPr>
                <w:t>http://mercatus.org/sites/default/files/Norcross-Fiscal-Rankings-2-v2_1.pdf</w:t>
              </w:r>
              <w:r>
                <w:rPr>
                  <w:sz w:val="20"/>
                </w:rPr>
                <w:t>.</w:t>
              </w:r>
            </w:hyperlink>
          </w:p>
        </w:tc>
      </w:tr>
      <w:tr w:rsidR="0046798B" w14:paraId="460E0869" w14:textId="77777777">
        <w:trPr>
          <w:trHeight w:val="1005"/>
        </w:trPr>
        <w:tc>
          <w:tcPr>
            <w:tcW w:w="1711" w:type="dxa"/>
          </w:tcPr>
          <w:p w14:paraId="2920BC6C" w14:textId="77777777" w:rsidR="0046798B" w:rsidRDefault="0046798B">
            <w:pPr>
              <w:pStyle w:val="TableParagraph"/>
            </w:pPr>
          </w:p>
          <w:p w14:paraId="67E931C8" w14:textId="77777777" w:rsidR="0046798B" w:rsidRDefault="00903B5C">
            <w:pPr>
              <w:pStyle w:val="TableParagraph"/>
              <w:spacing w:before="135"/>
              <w:ind w:left="115"/>
              <w:rPr>
                <w:b/>
                <w:sz w:val="20"/>
              </w:rPr>
            </w:pPr>
            <w:r>
              <w:rPr>
                <w:b/>
                <w:sz w:val="20"/>
              </w:rPr>
              <w:t>trust_fund_solv</w:t>
            </w:r>
          </w:p>
        </w:tc>
        <w:tc>
          <w:tcPr>
            <w:tcW w:w="1596" w:type="dxa"/>
          </w:tcPr>
          <w:p w14:paraId="7827A87C" w14:textId="77777777" w:rsidR="0046798B" w:rsidRDefault="0046798B">
            <w:pPr>
              <w:pStyle w:val="TableParagraph"/>
              <w:spacing w:before="9"/>
              <w:rPr>
                <w:sz w:val="23"/>
              </w:rPr>
            </w:pPr>
          </w:p>
          <w:p w14:paraId="24778D4B" w14:textId="77777777" w:rsidR="0046798B" w:rsidRDefault="00903B5C">
            <w:pPr>
              <w:pStyle w:val="TableParagraph"/>
              <w:ind w:left="114" w:right="613"/>
              <w:rPr>
                <w:sz w:val="20"/>
              </w:rPr>
            </w:pPr>
            <w:r>
              <w:rPr>
                <w:sz w:val="20"/>
              </w:rPr>
              <w:t>Trust fund solvency</w:t>
            </w:r>
          </w:p>
        </w:tc>
        <w:tc>
          <w:tcPr>
            <w:tcW w:w="1285" w:type="dxa"/>
          </w:tcPr>
          <w:p w14:paraId="19742D9F" w14:textId="77777777" w:rsidR="0046798B" w:rsidRDefault="0046798B">
            <w:pPr>
              <w:pStyle w:val="TableParagraph"/>
            </w:pPr>
          </w:p>
          <w:p w14:paraId="1906E928" w14:textId="77777777" w:rsidR="0046798B" w:rsidRDefault="00903B5C">
            <w:pPr>
              <w:pStyle w:val="TableParagraph"/>
              <w:spacing w:before="135"/>
              <w:ind w:left="114"/>
              <w:rPr>
                <w:sz w:val="20"/>
              </w:rPr>
            </w:pPr>
            <w:r>
              <w:rPr>
                <w:sz w:val="20"/>
              </w:rPr>
              <w:t>2014</w:t>
            </w:r>
          </w:p>
        </w:tc>
        <w:tc>
          <w:tcPr>
            <w:tcW w:w="3421" w:type="dxa"/>
          </w:tcPr>
          <w:p w14:paraId="392B6671" w14:textId="77777777" w:rsidR="0046798B" w:rsidRDefault="0046798B">
            <w:pPr>
              <w:pStyle w:val="TableParagraph"/>
              <w:spacing w:before="9"/>
              <w:rPr>
                <w:sz w:val="23"/>
              </w:rPr>
            </w:pPr>
          </w:p>
          <w:p w14:paraId="5105DEC2" w14:textId="77777777" w:rsidR="0046798B" w:rsidRDefault="00903B5C">
            <w:pPr>
              <w:pStyle w:val="TableParagraph"/>
              <w:ind w:left="114" w:right="688"/>
              <w:rPr>
                <w:sz w:val="20"/>
              </w:rPr>
            </w:pPr>
            <w:r>
              <w:rPr>
                <w:sz w:val="20"/>
              </w:rPr>
              <w:t>A state’s standardized trust fund solvency index</w:t>
            </w:r>
          </w:p>
        </w:tc>
        <w:tc>
          <w:tcPr>
            <w:tcW w:w="6482" w:type="dxa"/>
          </w:tcPr>
          <w:p w14:paraId="693F8CEB" w14:textId="77777777" w:rsidR="0046798B" w:rsidRDefault="00903B5C">
            <w:pPr>
              <w:pStyle w:val="TableParagraph"/>
              <w:spacing w:before="43"/>
              <w:ind w:left="114" w:right="236"/>
              <w:rPr>
                <w:sz w:val="20"/>
              </w:rPr>
            </w:pPr>
            <w:r>
              <w:rPr>
                <w:sz w:val="20"/>
              </w:rPr>
              <w:t xml:space="preserve">Norcross, Eileen and Olivia Gonzalez. 2016. “Ranking the States by Fiscal Condition.” 2016 edition. Arlington, VA: Mercatus Research, Mercatus Center at George Mason University. </w:t>
            </w:r>
            <w:hyperlink r:id="rId313">
              <w:r>
                <w:rPr>
                  <w:sz w:val="20"/>
                  <w:u w:val="single"/>
                </w:rPr>
                <w:t>http://mercatus.org/sites/default/files/Norcross-Fiscal-Rankings-2-v2_1.pdf</w:t>
              </w:r>
              <w:r>
                <w:rPr>
                  <w:sz w:val="20"/>
                </w:rPr>
                <w:t>.</w:t>
              </w:r>
            </w:hyperlink>
          </w:p>
        </w:tc>
      </w:tr>
      <w:tr w:rsidR="0046798B" w14:paraId="4BF161B8" w14:textId="77777777">
        <w:trPr>
          <w:trHeight w:val="1465"/>
        </w:trPr>
        <w:tc>
          <w:tcPr>
            <w:tcW w:w="1711" w:type="dxa"/>
          </w:tcPr>
          <w:p w14:paraId="23657359" w14:textId="77777777" w:rsidR="0046798B" w:rsidRDefault="0046798B">
            <w:pPr>
              <w:pStyle w:val="TableParagraph"/>
            </w:pPr>
          </w:p>
          <w:p w14:paraId="0606D096" w14:textId="77777777" w:rsidR="0046798B" w:rsidRDefault="0046798B">
            <w:pPr>
              <w:pStyle w:val="TableParagraph"/>
              <w:spacing w:before="9"/>
              <w:rPr>
                <w:sz w:val="31"/>
              </w:rPr>
            </w:pPr>
          </w:p>
          <w:p w14:paraId="4E7CC742" w14:textId="77777777" w:rsidR="0046798B" w:rsidRDefault="00903B5C">
            <w:pPr>
              <w:pStyle w:val="TableParagraph"/>
              <w:ind w:left="115"/>
              <w:rPr>
                <w:b/>
                <w:sz w:val="20"/>
              </w:rPr>
            </w:pPr>
            <w:r>
              <w:rPr>
                <w:b/>
                <w:sz w:val="20"/>
              </w:rPr>
              <w:t>uaal_opeb</w:t>
            </w:r>
          </w:p>
        </w:tc>
        <w:tc>
          <w:tcPr>
            <w:tcW w:w="1596" w:type="dxa"/>
          </w:tcPr>
          <w:p w14:paraId="23F514BB" w14:textId="77777777" w:rsidR="0046798B" w:rsidRDefault="00903B5C">
            <w:pPr>
              <w:pStyle w:val="TableParagraph"/>
              <w:spacing w:before="43"/>
              <w:ind w:left="114" w:right="88"/>
              <w:rPr>
                <w:sz w:val="20"/>
              </w:rPr>
            </w:pPr>
            <w:r>
              <w:rPr>
                <w:sz w:val="20"/>
              </w:rPr>
              <w:t>Unfunded actuarial accrued liability for other post- employment benefits</w:t>
            </w:r>
          </w:p>
        </w:tc>
        <w:tc>
          <w:tcPr>
            <w:tcW w:w="1285" w:type="dxa"/>
          </w:tcPr>
          <w:p w14:paraId="0C29170A" w14:textId="77777777" w:rsidR="0046798B" w:rsidRDefault="0046798B">
            <w:pPr>
              <w:pStyle w:val="TableParagraph"/>
            </w:pPr>
          </w:p>
          <w:p w14:paraId="1F658A97" w14:textId="77777777" w:rsidR="0046798B" w:rsidRDefault="0046798B">
            <w:pPr>
              <w:pStyle w:val="TableParagraph"/>
              <w:spacing w:before="9"/>
              <w:rPr>
                <w:sz w:val="31"/>
              </w:rPr>
            </w:pPr>
          </w:p>
          <w:p w14:paraId="15827FED" w14:textId="77777777" w:rsidR="0046798B" w:rsidRDefault="00903B5C">
            <w:pPr>
              <w:pStyle w:val="TableParagraph"/>
              <w:ind w:left="114"/>
              <w:rPr>
                <w:sz w:val="20"/>
              </w:rPr>
            </w:pPr>
            <w:r>
              <w:rPr>
                <w:sz w:val="20"/>
              </w:rPr>
              <w:t>2014</w:t>
            </w:r>
          </w:p>
        </w:tc>
        <w:tc>
          <w:tcPr>
            <w:tcW w:w="3421" w:type="dxa"/>
          </w:tcPr>
          <w:p w14:paraId="4A725BFF" w14:textId="77777777" w:rsidR="0046798B" w:rsidRDefault="0046798B">
            <w:pPr>
              <w:pStyle w:val="TableParagraph"/>
            </w:pPr>
          </w:p>
          <w:p w14:paraId="2040289F" w14:textId="77777777" w:rsidR="0046798B" w:rsidRDefault="00903B5C">
            <w:pPr>
              <w:pStyle w:val="TableParagraph"/>
              <w:spacing w:before="135"/>
              <w:ind w:left="114" w:right="356"/>
              <w:rPr>
                <w:sz w:val="20"/>
              </w:rPr>
            </w:pPr>
            <w:r>
              <w:rPr>
                <w:sz w:val="20"/>
              </w:rPr>
              <w:t>A state’s unfunded actuarial accrued liability for other post-employment benefits</w:t>
            </w:r>
          </w:p>
        </w:tc>
        <w:tc>
          <w:tcPr>
            <w:tcW w:w="6482" w:type="dxa"/>
          </w:tcPr>
          <w:p w14:paraId="58630D37" w14:textId="77777777" w:rsidR="0046798B" w:rsidRDefault="0046798B">
            <w:pPr>
              <w:pStyle w:val="TableParagraph"/>
              <w:spacing w:before="8"/>
              <w:rPr>
                <w:sz w:val="23"/>
              </w:rPr>
            </w:pPr>
          </w:p>
          <w:p w14:paraId="6AFECC52" w14:textId="77777777" w:rsidR="0046798B" w:rsidRDefault="00903B5C">
            <w:pPr>
              <w:pStyle w:val="TableParagraph"/>
              <w:ind w:left="114" w:right="236"/>
              <w:rPr>
                <w:sz w:val="20"/>
              </w:rPr>
            </w:pPr>
            <w:r>
              <w:rPr>
                <w:sz w:val="20"/>
              </w:rPr>
              <w:t xml:space="preserve">Norcross, Eileen and Olivia Gonzalez. 2016. “Ranking the States by Fiscal Condition.” 2016 edition. Arlington, VA: Mercatus Research, Mercatus Center at George Mason University. </w:t>
            </w:r>
            <w:hyperlink r:id="rId314">
              <w:r>
                <w:rPr>
                  <w:sz w:val="20"/>
                  <w:u w:val="single"/>
                </w:rPr>
                <w:t>http://mercatus.org/sites/default/files/Norcross-Fiscal-Rankings-2-v2_1.pdf</w:t>
              </w:r>
              <w:r>
                <w:rPr>
                  <w:sz w:val="20"/>
                </w:rPr>
                <w:t>.</w:t>
              </w:r>
            </w:hyperlink>
          </w:p>
        </w:tc>
      </w:tr>
      <w:tr w:rsidR="0046798B" w14:paraId="47683210" w14:textId="77777777">
        <w:trPr>
          <w:trHeight w:val="550"/>
        </w:trPr>
        <w:tc>
          <w:tcPr>
            <w:tcW w:w="1711" w:type="dxa"/>
          </w:tcPr>
          <w:p w14:paraId="063EBA78" w14:textId="77777777" w:rsidR="0046798B" w:rsidRDefault="00903B5C">
            <w:pPr>
              <w:pStyle w:val="TableParagraph"/>
              <w:spacing w:before="158"/>
              <w:ind w:left="115"/>
              <w:rPr>
                <w:b/>
                <w:sz w:val="20"/>
              </w:rPr>
            </w:pPr>
            <w:r>
              <w:rPr>
                <w:b/>
                <w:sz w:val="20"/>
              </w:rPr>
              <w:t>uaal_pension</w:t>
            </w:r>
          </w:p>
        </w:tc>
        <w:tc>
          <w:tcPr>
            <w:tcW w:w="1596" w:type="dxa"/>
          </w:tcPr>
          <w:p w14:paraId="2F845347" w14:textId="77777777" w:rsidR="0046798B" w:rsidRDefault="00903B5C">
            <w:pPr>
              <w:pStyle w:val="TableParagraph"/>
              <w:spacing w:before="43"/>
              <w:ind w:left="114" w:right="91"/>
              <w:rPr>
                <w:sz w:val="20"/>
              </w:rPr>
            </w:pPr>
            <w:r>
              <w:rPr>
                <w:sz w:val="20"/>
              </w:rPr>
              <w:t>Unfunded actuarial accrued</w:t>
            </w:r>
          </w:p>
        </w:tc>
        <w:tc>
          <w:tcPr>
            <w:tcW w:w="1285" w:type="dxa"/>
          </w:tcPr>
          <w:p w14:paraId="027BA1CA" w14:textId="77777777" w:rsidR="0046798B" w:rsidRDefault="00903B5C">
            <w:pPr>
              <w:pStyle w:val="TableParagraph"/>
              <w:spacing w:before="158"/>
              <w:ind w:left="114"/>
              <w:rPr>
                <w:sz w:val="20"/>
              </w:rPr>
            </w:pPr>
            <w:r>
              <w:rPr>
                <w:sz w:val="20"/>
              </w:rPr>
              <w:t>2014</w:t>
            </w:r>
          </w:p>
        </w:tc>
        <w:tc>
          <w:tcPr>
            <w:tcW w:w="3421" w:type="dxa"/>
          </w:tcPr>
          <w:p w14:paraId="5BFA7170" w14:textId="77777777" w:rsidR="0046798B" w:rsidRDefault="00903B5C">
            <w:pPr>
              <w:pStyle w:val="TableParagraph"/>
              <w:spacing w:before="43"/>
              <w:ind w:left="114" w:right="356"/>
              <w:rPr>
                <w:sz w:val="20"/>
              </w:rPr>
            </w:pPr>
            <w:r>
              <w:rPr>
                <w:sz w:val="20"/>
              </w:rPr>
              <w:t>A state’s unfunded actuarial accrued liability for pensions</w:t>
            </w:r>
          </w:p>
        </w:tc>
        <w:tc>
          <w:tcPr>
            <w:tcW w:w="6482" w:type="dxa"/>
          </w:tcPr>
          <w:p w14:paraId="31DEB23A" w14:textId="77777777" w:rsidR="0046798B" w:rsidRDefault="00903B5C">
            <w:pPr>
              <w:pStyle w:val="TableParagraph"/>
              <w:spacing w:before="43"/>
              <w:ind w:left="114" w:right="345"/>
              <w:rPr>
                <w:sz w:val="20"/>
              </w:rPr>
            </w:pPr>
            <w:r>
              <w:rPr>
                <w:sz w:val="20"/>
              </w:rPr>
              <w:t>Norcross, Eileen and Olivia Gonzalez. 2016. “Ranking the States by Fiscal Condition.” 2016 edition. Arlington, VA: Mercatus Research, Mercatus</w:t>
            </w:r>
          </w:p>
        </w:tc>
      </w:tr>
    </w:tbl>
    <w:p w14:paraId="0355653C" w14:textId="77777777" w:rsidR="0046798B" w:rsidRDefault="0046798B">
      <w:pPr>
        <w:rPr>
          <w:sz w:val="20"/>
        </w:rPr>
        <w:sectPr w:rsidR="0046798B">
          <w:pgSz w:w="15840" w:h="12240" w:orient="landscape"/>
          <w:pgMar w:top="1220" w:right="300" w:bottom="980" w:left="820" w:header="730" w:footer="787" w:gutter="0"/>
          <w:cols w:space="720"/>
        </w:sectPr>
      </w:pPr>
    </w:p>
    <w:p w14:paraId="7E1964F7"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3AF2A44B" w14:textId="77777777">
        <w:trPr>
          <w:trHeight w:val="542"/>
        </w:trPr>
        <w:tc>
          <w:tcPr>
            <w:tcW w:w="1711" w:type="dxa"/>
            <w:tcBorders>
              <w:bottom w:val="dotted" w:sz="6" w:space="0" w:color="BEBEBE"/>
            </w:tcBorders>
          </w:tcPr>
          <w:p w14:paraId="2F436473" w14:textId="77777777" w:rsidR="0046798B" w:rsidRDefault="0046798B">
            <w:pPr>
              <w:pStyle w:val="TableParagraph"/>
              <w:rPr>
                <w:sz w:val="20"/>
              </w:rPr>
            </w:pPr>
          </w:p>
        </w:tc>
        <w:tc>
          <w:tcPr>
            <w:tcW w:w="1596" w:type="dxa"/>
            <w:tcBorders>
              <w:bottom w:val="dotted" w:sz="6" w:space="0" w:color="BEBEBE"/>
            </w:tcBorders>
          </w:tcPr>
          <w:p w14:paraId="47715EFA" w14:textId="77777777" w:rsidR="0046798B" w:rsidRDefault="00903B5C">
            <w:pPr>
              <w:pStyle w:val="TableParagraph"/>
              <w:spacing w:before="43"/>
              <w:ind w:left="114" w:right="229"/>
              <w:rPr>
                <w:sz w:val="20"/>
              </w:rPr>
            </w:pPr>
            <w:r>
              <w:rPr>
                <w:sz w:val="20"/>
              </w:rPr>
              <w:t>liability for pensions</w:t>
            </w:r>
          </w:p>
        </w:tc>
        <w:tc>
          <w:tcPr>
            <w:tcW w:w="1285" w:type="dxa"/>
            <w:tcBorders>
              <w:bottom w:val="dotted" w:sz="6" w:space="0" w:color="BEBEBE"/>
            </w:tcBorders>
          </w:tcPr>
          <w:p w14:paraId="6355766F" w14:textId="77777777" w:rsidR="0046798B" w:rsidRDefault="0046798B">
            <w:pPr>
              <w:pStyle w:val="TableParagraph"/>
              <w:rPr>
                <w:sz w:val="20"/>
              </w:rPr>
            </w:pPr>
          </w:p>
        </w:tc>
        <w:tc>
          <w:tcPr>
            <w:tcW w:w="3421" w:type="dxa"/>
            <w:tcBorders>
              <w:bottom w:val="dotted" w:sz="6" w:space="0" w:color="BEBEBE"/>
            </w:tcBorders>
          </w:tcPr>
          <w:p w14:paraId="60AD6374" w14:textId="77777777" w:rsidR="0046798B" w:rsidRDefault="0046798B">
            <w:pPr>
              <w:pStyle w:val="TableParagraph"/>
              <w:rPr>
                <w:sz w:val="20"/>
              </w:rPr>
            </w:pPr>
          </w:p>
        </w:tc>
        <w:tc>
          <w:tcPr>
            <w:tcW w:w="6482" w:type="dxa"/>
            <w:tcBorders>
              <w:bottom w:val="dotted" w:sz="6" w:space="0" w:color="BEBEBE"/>
            </w:tcBorders>
          </w:tcPr>
          <w:p w14:paraId="76CD3EE4" w14:textId="77777777" w:rsidR="0046798B" w:rsidRDefault="00903B5C">
            <w:pPr>
              <w:pStyle w:val="TableParagraph"/>
              <w:spacing w:before="43"/>
              <w:ind w:left="114" w:right="236"/>
              <w:rPr>
                <w:sz w:val="20"/>
              </w:rPr>
            </w:pPr>
            <w:r>
              <w:rPr>
                <w:sz w:val="20"/>
              </w:rPr>
              <w:t xml:space="preserve">Center at George Mason University. </w:t>
            </w:r>
            <w:hyperlink r:id="rId315">
              <w:r>
                <w:rPr>
                  <w:sz w:val="20"/>
                  <w:u w:val="single"/>
                </w:rPr>
                <w:t>http://mercatus.org/sites/default/files/Norcross-Fiscal-Rankings-2-v2_1.pdf</w:t>
              </w:r>
              <w:r>
                <w:rPr>
                  <w:sz w:val="20"/>
                </w:rPr>
                <w:t>.</w:t>
              </w:r>
            </w:hyperlink>
          </w:p>
        </w:tc>
      </w:tr>
      <w:tr w:rsidR="0046798B" w14:paraId="5C2D7AD7" w14:textId="77777777">
        <w:trPr>
          <w:trHeight w:val="1002"/>
        </w:trPr>
        <w:tc>
          <w:tcPr>
            <w:tcW w:w="1711" w:type="dxa"/>
            <w:tcBorders>
              <w:top w:val="dotted" w:sz="6" w:space="0" w:color="BEBEBE"/>
            </w:tcBorders>
          </w:tcPr>
          <w:p w14:paraId="0995A7A4" w14:textId="77777777" w:rsidR="0046798B" w:rsidRDefault="0046798B">
            <w:pPr>
              <w:pStyle w:val="TableParagraph"/>
              <w:spacing w:before="6"/>
              <w:rPr>
                <w:sz w:val="23"/>
              </w:rPr>
            </w:pPr>
          </w:p>
          <w:p w14:paraId="4D4D029D" w14:textId="77777777" w:rsidR="0046798B" w:rsidRDefault="00903B5C">
            <w:pPr>
              <w:pStyle w:val="TableParagraph"/>
              <w:ind w:left="115"/>
              <w:rPr>
                <w:b/>
                <w:sz w:val="20"/>
              </w:rPr>
            </w:pPr>
            <w:r>
              <w:rPr>
                <w:b/>
                <w:sz w:val="20"/>
              </w:rPr>
              <w:t>unrestricted_net</w:t>
            </w:r>
          </w:p>
          <w:p w14:paraId="1E6A182E" w14:textId="77777777" w:rsidR="0046798B" w:rsidRDefault="00903B5C">
            <w:pPr>
              <w:pStyle w:val="TableParagraph"/>
              <w:ind w:left="115"/>
              <w:rPr>
                <w:b/>
                <w:sz w:val="20"/>
              </w:rPr>
            </w:pPr>
            <w:r>
              <w:rPr>
                <w:b/>
                <w:sz w:val="20"/>
              </w:rPr>
              <w:t>_assets</w:t>
            </w:r>
          </w:p>
        </w:tc>
        <w:tc>
          <w:tcPr>
            <w:tcW w:w="1596" w:type="dxa"/>
            <w:tcBorders>
              <w:top w:val="dotted" w:sz="6" w:space="0" w:color="BEBEBE"/>
            </w:tcBorders>
          </w:tcPr>
          <w:p w14:paraId="672E59B3" w14:textId="77777777" w:rsidR="0046798B" w:rsidRDefault="00903B5C">
            <w:pPr>
              <w:pStyle w:val="TableParagraph"/>
              <w:spacing w:before="155"/>
              <w:ind w:left="114" w:right="435"/>
              <w:rPr>
                <w:sz w:val="20"/>
              </w:rPr>
            </w:pPr>
            <w:r>
              <w:rPr>
                <w:sz w:val="20"/>
              </w:rPr>
              <w:t>Unrestricted assets (in thousands $)</w:t>
            </w:r>
          </w:p>
        </w:tc>
        <w:tc>
          <w:tcPr>
            <w:tcW w:w="1285" w:type="dxa"/>
            <w:tcBorders>
              <w:top w:val="dotted" w:sz="6" w:space="0" w:color="BEBEBE"/>
            </w:tcBorders>
          </w:tcPr>
          <w:p w14:paraId="783422AF" w14:textId="77777777" w:rsidR="0046798B" w:rsidRDefault="0046798B">
            <w:pPr>
              <w:pStyle w:val="TableParagraph"/>
            </w:pPr>
          </w:p>
          <w:p w14:paraId="03237AAE" w14:textId="77777777" w:rsidR="0046798B" w:rsidRDefault="00903B5C">
            <w:pPr>
              <w:pStyle w:val="TableParagraph"/>
              <w:spacing w:before="133"/>
              <w:ind w:left="114"/>
              <w:rPr>
                <w:sz w:val="20"/>
              </w:rPr>
            </w:pPr>
            <w:r>
              <w:rPr>
                <w:sz w:val="20"/>
              </w:rPr>
              <w:t>2014</w:t>
            </w:r>
          </w:p>
        </w:tc>
        <w:tc>
          <w:tcPr>
            <w:tcW w:w="3421" w:type="dxa"/>
            <w:tcBorders>
              <w:top w:val="dotted" w:sz="6" w:space="0" w:color="BEBEBE"/>
            </w:tcBorders>
          </w:tcPr>
          <w:p w14:paraId="0326164B" w14:textId="77777777" w:rsidR="0046798B" w:rsidRDefault="0046798B">
            <w:pPr>
              <w:pStyle w:val="TableParagraph"/>
              <w:spacing w:before="6"/>
              <w:rPr>
                <w:sz w:val="23"/>
              </w:rPr>
            </w:pPr>
          </w:p>
          <w:p w14:paraId="6731EDBF" w14:textId="77777777" w:rsidR="0046798B" w:rsidRDefault="00903B5C">
            <w:pPr>
              <w:pStyle w:val="TableParagraph"/>
              <w:ind w:left="114" w:right="788"/>
              <w:rPr>
                <w:sz w:val="20"/>
              </w:rPr>
            </w:pPr>
            <w:r>
              <w:rPr>
                <w:sz w:val="20"/>
              </w:rPr>
              <w:t>A state’s unrestricted assets (in thousands $)</w:t>
            </w:r>
          </w:p>
        </w:tc>
        <w:tc>
          <w:tcPr>
            <w:tcW w:w="6482" w:type="dxa"/>
            <w:tcBorders>
              <w:top w:val="dotted" w:sz="6" w:space="0" w:color="BEBEBE"/>
            </w:tcBorders>
          </w:tcPr>
          <w:p w14:paraId="017AB990" w14:textId="77777777" w:rsidR="0046798B" w:rsidRDefault="00903B5C">
            <w:pPr>
              <w:pStyle w:val="TableParagraph"/>
              <w:spacing w:before="40"/>
              <w:ind w:left="114" w:right="236"/>
              <w:rPr>
                <w:sz w:val="20"/>
              </w:rPr>
            </w:pPr>
            <w:r>
              <w:rPr>
                <w:sz w:val="20"/>
              </w:rPr>
              <w:t xml:space="preserve">Norcross, Eileen and Olivia Gonzalez. 2016. “Ranking the States by Fiscal Condition.” 2016 edition. Arlington, VA: Mercatus Research, Mercatus Center at George Mason University. </w:t>
            </w:r>
            <w:hyperlink r:id="rId316">
              <w:r>
                <w:rPr>
                  <w:sz w:val="20"/>
                  <w:u w:val="single"/>
                </w:rPr>
                <w:t>http://mercatus.org/sites/default/files/Norcross-Fiscal-Rankings-2-v2_1.pdf</w:t>
              </w:r>
              <w:r>
                <w:rPr>
                  <w:sz w:val="20"/>
                </w:rPr>
                <w:t>.</w:t>
              </w:r>
            </w:hyperlink>
          </w:p>
        </w:tc>
      </w:tr>
      <w:tr w:rsidR="0046798B" w14:paraId="6AFD8498" w14:textId="77777777">
        <w:trPr>
          <w:trHeight w:val="1010"/>
        </w:trPr>
        <w:tc>
          <w:tcPr>
            <w:tcW w:w="1711" w:type="dxa"/>
          </w:tcPr>
          <w:p w14:paraId="57CE666B" w14:textId="77777777" w:rsidR="0046798B" w:rsidRDefault="0046798B">
            <w:pPr>
              <w:pStyle w:val="TableParagraph"/>
            </w:pPr>
          </w:p>
          <w:p w14:paraId="243BF3C9" w14:textId="77777777" w:rsidR="0046798B" w:rsidRDefault="00903B5C">
            <w:pPr>
              <w:pStyle w:val="TableParagraph"/>
              <w:spacing w:before="136"/>
              <w:ind w:left="115"/>
              <w:rPr>
                <w:b/>
                <w:sz w:val="20"/>
              </w:rPr>
            </w:pPr>
            <w:r>
              <w:rPr>
                <w:b/>
                <w:sz w:val="20"/>
              </w:rPr>
              <w:t>change_amustax</w:t>
            </w:r>
          </w:p>
        </w:tc>
        <w:tc>
          <w:tcPr>
            <w:tcW w:w="1596" w:type="dxa"/>
          </w:tcPr>
          <w:p w14:paraId="2B04227D" w14:textId="77777777" w:rsidR="0046798B" w:rsidRDefault="00903B5C">
            <w:pPr>
              <w:pStyle w:val="TableParagraph"/>
              <w:spacing w:before="44"/>
              <w:ind w:left="114" w:right="246"/>
              <w:rPr>
                <w:sz w:val="20"/>
              </w:rPr>
            </w:pPr>
            <w:r>
              <w:rPr>
                <w:sz w:val="20"/>
              </w:rPr>
              <w:t>Change in amusement tax revenues from previous year</w:t>
            </w:r>
          </w:p>
        </w:tc>
        <w:tc>
          <w:tcPr>
            <w:tcW w:w="1285" w:type="dxa"/>
          </w:tcPr>
          <w:p w14:paraId="58ABDF4A" w14:textId="77777777" w:rsidR="0046798B" w:rsidRDefault="0046798B">
            <w:pPr>
              <w:pStyle w:val="TableParagraph"/>
            </w:pPr>
          </w:p>
          <w:p w14:paraId="54A1F778" w14:textId="77777777" w:rsidR="0046798B" w:rsidRDefault="00903B5C">
            <w:pPr>
              <w:pStyle w:val="TableParagraph"/>
              <w:spacing w:before="136"/>
              <w:ind w:left="114"/>
              <w:rPr>
                <w:sz w:val="20"/>
              </w:rPr>
            </w:pPr>
            <w:r>
              <w:rPr>
                <w:sz w:val="20"/>
              </w:rPr>
              <w:t>1995–2014</w:t>
            </w:r>
          </w:p>
        </w:tc>
        <w:tc>
          <w:tcPr>
            <w:tcW w:w="3421" w:type="dxa"/>
          </w:tcPr>
          <w:p w14:paraId="649F8B69" w14:textId="77777777" w:rsidR="0046798B" w:rsidRDefault="00903B5C">
            <w:pPr>
              <w:pStyle w:val="TableParagraph"/>
              <w:spacing w:before="159"/>
              <w:ind w:left="114" w:right="351"/>
              <w:rPr>
                <w:sz w:val="20"/>
              </w:rPr>
            </w:pPr>
            <w:r>
              <w:rPr>
                <w:sz w:val="20"/>
              </w:rPr>
              <w:t>Year over year percentage change in amusement tax revenue (note controlled for impact of tax policy)</w:t>
            </w:r>
          </w:p>
        </w:tc>
        <w:tc>
          <w:tcPr>
            <w:tcW w:w="6482" w:type="dxa"/>
          </w:tcPr>
          <w:p w14:paraId="57B42CA9" w14:textId="77777777" w:rsidR="0046798B" w:rsidRDefault="00903B5C">
            <w:pPr>
              <w:pStyle w:val="TableParagraph"/>
              <w:spacing w:before="159"/>
              <w:ind w:left="114"/>
              <w:rPr>
                <w:i/>
                <w:sz w:val="20"/>
              </w:rPr>
            </w:pPr>
            <w:r>
              <w:rPr>
                <w:sz w:val="20"/>
              </w:rPr>
              <w:t xml:space="preserve">Pew Charitable Trusts, 2016. </w:t>
            </w:r>
            <w:r>
              <w:rPr>
                <w:i/>
                <w:sz w:val="20"/>
              </w:rPr>
              <w:t>Fiscal 50: State Trends and Analysis.</w:t>
            </w:r>
          </w:p>
          <w:p w14:paraId="3622305A" w14:textId="77777777" w:rsidR="0046798B" w:rsidRDefault="0046798B">
            <w:pPr>
              <w:pStyle w:val="TableParagraph"/>
              <w:spacing w:before="11"/>
              <w:rPr>
                <w:sz w:val="19"/>
              </w:rPr>
            </w:pPr>
          </w:p>
          <w:p w14:paraId="58A5C82E" w14:textId="77777777" w:rsidR="0046798B" w:rsidRDefault="00903B5C">
            <w:pPr>
              <w:pStyle w:val="TableParagraph"/>
              <w:ind w:left="114"/>
              <w:rPr>
                <w:sz w:val="20"/>
              </w:rPr>
            </w:pPr>
            <w:r>
              <w:rPr>
                <w:sz w:val="20"/>
              </w:rPr>
              <w:t>Source: Census: State Govt Tax Collections</w:t>
            </w:r>
          </w:p>
        </w:tc>
      </w:tr>
      <w:tr w:rsidR="0046798B" w14:paraId="1FF10298" w14:textId="77777777">
        <w:trPr>
          <w:trHeight w:val="1235"/>
        </w:trPr>
        <w:tc>
          <w:tcPr>
            <w:tcW w:w="1711" w:type="dxa"/>
          </w:tcPr>
          <w:p w14:paraId="1AD4AD0A" w14:textId="77777777" w:rsidR="0046798B" w:rsidRDefault="0046798B">
            <w:pPr>
              <w:pStyle w:val="TableParagraph"/>
            </w:pPr>
          </w:p>
          <w:p w14:paraId="6BFF08CF" w14:textId="77777777" w:rsidR="0046798B" w:rsidRDefault="00903B5C">
            <w:pPr>
              <w:pStyle w:val="TableParagraph"/>
              <w:spacing w:before="130"/>
              <w:ind w:left="115" w:right="99"/>
              <w:rPr>
                <w:b/>
                <w:sz w:val="20"/>
              </w:rPr>
            </w:pPr>
            <w:r>
              <w:rPr>
                <w:b/>
                <w:sz w:val="20"/>
              </w:rPr>
              <w:t>change_bustax_o ther</w:t>
            </w:r>
          </w:p>
        </w:tc>
        <w:tc>
          <w:tcPr>
            <w:tcW w:w="1596" w:type="dxa"/>
          </w:tcPr>
          <w:p w14:paraId="3201E589" w14:textId="77777777" w:rsidR="0046798B" w:rsidRDefault="00903B5C">
            <w:pPr>
              <w:pStyle w:val="TableParagraph"/>
              <w:spacing w:before="38"/>
              <w:ind w:left="114" w:right="108"/>
              <w:rPr>
                <w:sz w:val="20"/>
              </w:rPr>
            </w:pPr>
            <w:r>
              <w:rPr>
                <w:sz w:val="20"/>
              </w:rPr>
              <w:t>Change in other business taxes and fees revenue from previous year</w:t>
            </w:r>
          </w:p>
        </w:tc>
        <w:tc>
          <w:tcPr>
            <w:tcW w:w="1285" w:type="dxa"/>
          </w:tcPr>
          <w:p w14:paraId="0DCF87D3" w14:textId="77777777" w:rsidR="0046798B" w:rsidRDefault="0046798B">
            <w:pPr>
              <w:pStyle w:val="TableParagraph"/>
            </w:pPr>
          </w:p>
          <w:p w14:paraId="6D9A4EF7" w14:textId="77777777" w:rsidR="0046798B" w:rsidRDefault="0046798B">
            <w:pPr>
              <w:pStyle w:val="TableParagraph"/>
              <w:spacing w:before="4"/>
              <w:rPr>
                <w:sz w:val="21"/>
              </w:rPr>
            </w:pPr>
          </w:p>
          <w:p w14:paraId="53D4451A" w14:textId="77777777" w:rsidR="0046798B" w:rsidRDefault="00903B5C">
            <w:pPr>
              <w:pStyle w:val="TableParagraph"/>
              <w:ind w:left="114"/>
              <w:rPr>
                <w:sz w:val="20"/>
              </w:rPr>
            </w:pPr>
            <w:r>
              <w:rPr>
                <w:sz w:val="20"/>
              </w:rPr>
              <w:t>1995–2014</w:t>
            </w:r>
          </w:p>
        </w:tc>
        <w:tc>
          <w:tcPr>
            <w:tcW w:w="3421" w:type="dxa"/>
          </w:tcPr>
          <w:p w14:paraId="116BDB87" w14:textId="77777777" w:rsidR="0046798B" w:rsidRDefault="00903B5C">
            <w:pPr>
              <w:pStyle w:val="TableParagraph"/>
              <w:spacing w:before="153"/>
              <w:ind w:left="114" w:right="216"/>
              <w:rPr>
                <w:sz w:val="20"/>
              </w:rPr>
            </w:pPr>
            <w:r>
              <w:rPr>
                <w:sz w:val="20"/>
              </w:rPr>
              <w:t>Year over year percentage change in revenue from other business taxes and fees (note controlled for impact of tax policy)</w:t>
            </w:r>
          </w:p>
        </w:tc>
        <w:tc>
          <w:tcPr>
            <w:tcW w:w="6482" w:type="dxa"/>
          </w:tcPr>
          <w:p w14:paraId="71D17ECA" w14:textId="77777777" w:rsidR="0046798B" w:rsidRDefault="0046798B">
            <w:pPr>
              <w:pStyle w:val="TableParagraph"/>
              <w:spacing w:before="4"/>
              <w:rPr>
                <w:sz w:val="23"/>
              </w:rPr>
            </w:pPr>
          </w:p>
          <w:p w14:paraId="0CFA06CB" w14:textId="77777777" w:rsidR="0046798B" w:rsidRDefault="00903B5C">
            <w:pPr>
              <w:pStyle w:val="TableParagraph"/>
              <w:ind w:left="114"/>
              <w:rPr>
                <w:i/>
                <w:sz w:val="20"/>
              </w:rPr>
            </w:pPr>
            <w:r>
              <w:rPr>
                <w:sz w:val="20"/>
              </w:rPr>
              <w:t xml:space="preserve">Pew Charitable Trusts, 2016. </w:t>
            </w:r>
            <w:r>
              <w:rPr>
                <w:i/>
                <w:sz w:val="20"/>
              </w:rPr>
              <w:t>Fiscal 50: State Trends and Analysis.</w:t>
            </w:r>
          </w:p>
          <w:p w14:paraId="6EE35383" w14:textId="77777777" w:rsidR="0046798B" w:rsidRDefault="0046798B">
            <w:pPr>
              <w:pStyle w:val="TableParagraph"/>
              <w:rPr>
                <w:sz w:val="20"/>
              </w:rPr>
            </w:pPr>
          </w:p>
          <w:p w14:paraId="2207CA85" w14:textId="77777777" w:rsidR="0046798B" w:rsidRDefault="00903B5C">
            <w:pPr>
              <w:pStyle w:val="TableParagraph"/>
              <w:ind w:left="114"/>
              <w:rPr>
                <w:sz w:val="20"/>
              </w:rPr>
            </w:pPr>
            <w:r>
              <w:rPr>
                <w:sz w:val="20"/>
              </w:rPr>
              <w:t>Source: Census: State Govt Tax Collections</w:t>
            </w:r>
          </w:p>
        </w:tc>
      </w:tr>
      <w:tr w:rsidR="0046798B" w14:paraId="3B16AF32" w14:textId="77777777">
        <w:trPr>
          <w:trHeight w:val="1235"/>
        </w:trPr>
        <w:tc>
          <w:tcPr>
            <w:tcW w:w="1711" w:type="dxa"/>
          </w:tcPr>
          <w:p w14:paraId="7BFD567C" w14:textId="77777777" w:rsidR="0046798B" w:rsidRDefault="0046798B">
            <w:pPr>
              <w:pStyle w:val="TableParagraph"/>
            </w:pPr>
          </w:p>
          <w:p w14:paraId="40EBC803" w14:textId="77777777" w:rsidR="0046798B" w:rsidRDefault="00903B5C">
            <w:pPr>
              <w:pStyle w:val="TableParagraph"/>
              <w:spacing w:before="130"/>
              <w:ind w:left="115" w:right="99"/>
              <w:rPr>
                <w:b/>
                <w:sz w:val="20"/>
              </w:rPr>
            </w:pPr>
            <w:r>
              <w:rPr>
                <w:b/>
                <w:sz w:val="20"/>
              </w:rPr>
              <w:t>change_corplicre v</w:t>
            </w:r>
          </w:p>
        </w:tc>
        <w:tc>
          <w:tcPr>
            <w:tcW w:w="1596" w:type="dxa"/>
          </w:tcPr>
          <w:p w14:paraId="3064E366" w14:textId="77777777" w:rsidR="0046798B" w:rsidRDefault="00903B5C">
            <w:pPr>
              <w:pStyle w:val="TableParagraph"/>
              <w:spacing w:before="38"/>
              <w:ind w:left="114" w:right="135"/>
              <w:rPr>
                <w:sz w:val="20"/>
              </w:rPr>
            </w:pPr>
            <w:r>
              <w:rPr>
                <w:sz w:val="20"/>
              </w:rPr>
              <w:t>Change in corporate licenses revenue from previous year</w:t>
            </w:r>
          </w:p>
        </w:tc>
        <w:tc>
          <w:tcPr>
            <w:tcW w:w="1285" w:type="dxa"/>
          </w:tcPr>
          <w:p w14:paraId="29747E66" w14:textId="77777777" w:rsidR="0046798B" w:rsidRDefault="0046798B">
            <w:pPr>
              <w:pStyle w:val="TableParagraph"/>
            </w:pPr>
          </w:p>
          <w:p w14:paraId="7521C753" w14:textId="77777777" w:rsidR="0046798B" w:rsidRDefault="0046798B">
            <w:pPr>
              <w:pStyle w:val="TableParagraph"/>
              <w:spacing w:before="4"/>
              <w:rPr>
                <w:sz w:val="21"/>
              </w:rPr>
            </w:pPr>
          </w:p>
          <w:p w14:paraId="2BE8A4CE" w14:textId="77777777" w:rsidR="0046798B" w:rsidRDefault="00903B5C">
            <w:pPr>
              <w:pStyle w:val="TableParagraph"/>
              <w:ind w:left="114"/>
              <w:rPr>
                <w:sz w:val="20"/>
              </w:rPr>
            </w:pPr>
            <w:r>
              <w:rPr>
                <w:sz w:val="20"/>
              </w:rPr>
              <w:t>1995–2014</w:t>
            </w:r>
          </w:p>
        </w:tc>
        <w:tc>
          <w:tcPr>
            <w:tcW w:w="3421" w:type="dxa"/>
          </w:tcPr>
          <w:p w14:paraId="17072ACF" w14:textId="77777777" w:rsidR="0046798B" w:rsidRDefault="0046798B">
            <w:pPr>
              <w:pStyle w:val="TableParagraph"/>
              <w:spacing w:before="4"/>
              <w:rPr>
                <w:sz w:val="23"/>
              </w:rPr>
            </w:pPr>
          </w:p>
          <w:p w14:paraId="090214FA" w14:textId="77777777" w:rsidR="0046798B" w:rsidRDefault="00903B5C">
            <w:pPr>
              <w:pStyle w:val="TableParagraph"/>
              <w:ind w:left="114" w:right="351"/>
              <w:rPr>
                <w:sz w:val="20"/>
              </w:rPr>
            </w:pPr>
            <w:r>
              <w:rPr>
                <w:sz w:val="20"/>
              </w:rPr>
              <w:t>Year over year percentage change in corporate license revenue (note controlled for impact of tax policy)</w:t>
            </w:r>
          </w:p>
        </w:tc>
        <w:tc>
          <w:tcPr>
            <w:tcW w:w="6482" w:type="dxa"/>
          </w:tcPr>
          <w:p w14:paraId="2FEB8321" w14:textId="77777777" w:rsidR="0046798B" w:rsidRDefault="0046798B">
            <w:pPr>
              <w:pStyle w:val="TableParagraph"/>
              <w:spacing w:before="4"/>
              <w:rPr>
                <w:sz w:val="23"/>
              </w:rPr>
            </w:pPr>
          </w:p>
          <w:p w14:paraId="79124753" w14:textId="77777777" w:rsidR="0046798B" w:rsidRDefault="00903B5C">
            <w:pPr>
              <w:pStyle w:val="TableParagraph"/>
              <w:ind w:left="114"/>
              <w:rPr>
                <w:i/>
                <w:sz w:val="20"/>
              </w:rPr>
            </w:pPr>
            <w:r>
              <w:rPr>
                <w:sz w:val="20"/>
              </w:rPr>
              <w:t xml:space="preserve">Pew Charitable Trusts, 2016. </w:t>
            </w:r>
            <w:r>
              <w:rPr>
                <w:i/>
                <w:sz w:val="20"/>
              </w:rPr>
              <w:t>Fiscal 50: State Trends and Analysis.</w:t>
            </w:r>
          </w:p>
          <w:p w14:paraId="4D474026" w14:textId="77777777" w:rsidR="0046798B" w:rsidRDefault="0046798B">
            <w:pPr>
              <w:pStyle w:val="TableParagraph"/>
              <w:rPr>
                <w:sz w:val="20"/>
              </w:rPr>
            </w:pPr>
          </w:p>
          <w:p w14:paraId="4174DB87" w14:textId="77777777" w:rsidR="0046798B" w:rsidRDefault="00903B5C">
            <w:pPr>
              <w:pStyle w:val="TableParagraph"/>
              <w:ind w:left="114"/>
              <w:rPr>
                <w:sz w:val="20"/>
              </w:rPr>
            </w:pPr>
            <w:r>
              <w:rPr>
                <w:sz w:val="20"/>
              </w:rPr>
              <w:t>Source: Census: State Govt Tax Collections</w:t>
            </w:r>
          </w:p>
        </w:tc>
      </w:tr>
      <w:tr w:rsidR="0046798B" w14:paraId="0A850F84" w14:textId="77777777">
        <w:trPr>
          <w:trHeight w:val="1235"/>
        </w:trPr>
        <w:tc>
          <w:tcPr>
            <w:tcW w:w="1711" w:type="dxa"/>
          </w:tcPr>
          <w:p w14:paraId="704BF33E" w14:textId="77777777" w:rsidR="0046798B" w:rsidRDefault="0046798B">
            <w:pPr>
              <w:pStyle w:val="TableParagraph"/>
            </w:pPr>
          </w:p>
          <w:p w14:paraId="2CBF88D0" w14:textId="77777777" w:rsidR="0046798B" w:rsidRDefault="0046798B">
            <w:pPr>
              <w:pStyle w:val="TableParagraph"/>
              <w:spacing w:before="9"/>
              <w:rPr>
                <w:sz w:val="21"/>
              </w:rPr>
            </w:pPr>
          </w:p>
          <w:p w14:paraId="4AF04DA2" w14:textId="77777777" w:rsidR="0046798B" w:rsidRDefault="00903B5C">
            <w:pPr>
              <w:pStyle w:val="TableParagraph"/>
              <w:ind w:left="115"/>
              <w:rPr>
                <w:b/>
                <w:sz w:val="20"/>
              </w:rPr>
            </w:pPr>
            <w:r>
              <w:rPr>
                <w:b/>
                <w:sz w:val="20"/>
              </w:rPr>
              <w:t>change_corptax</w:t>
            </w:r>
          </w:p>
        </w:tc>
        <w:tc>
          <w:tcPr>
            <w:tcW w:w="1596" w:type="dxa"/>
          </w:tcPr>
          <w:p w14:paraId="7FDF10EC" w14:textId="77777777" w:rsidR="0046798B" w:rsidRDefault="00903B5C">
            <w:pPr>
              <w:pStyle w:val="TableParagraph"/>
              <w:spacing w:before="45" w:line="237" w:lineRule="auto"/>
              <w:ind w:left="114" w:right="302"/>
              <w:rPr>
                <w:sz w:val="20"/>
              </w:rPr>
            </w:pPr>
            <w:r>
              <w:rPr>
                <w:sz w:val="20"/>
              </w:rPr>
              <w:t>Change in corporate income tax revenues from previous year</w:t>
            </w:r>
          </w:p>
        </w:tc>
        <w:tc>
          <w:tcPr>
            <w:tcW w:w="1285" w:type="dxa"/>
          </w:tcPr>
          <w:p w14:paraId="2B991C1B" w14:textId="77777777" w:rsidR="0046798B" w:rsidRDefault="0046798B">
            <w:pPr>
              <w:pStyle w:val="TableParagraph"/>
            </w:pPr>
          </w:p>
          <w:p w14:paraId="2BD800B7" w14:textId="77777777" w:rsidR="0046798B" w:rsidRDefault="0046798B">
            <w:pPr>
              <w:pStyle w:val="TableParagraph"/>
              <w:spacing w:before="9"/>
              <w:rPr>
                <w:sz w:val="21"/>
              </w:rPr>
            </w:pPr>
          </w:p>
          <w:p w14:paraId="18A03C35" w14:textId="77777777" w:rsidR="0046798B" w:rsidRDefault="00903B5C">
            <w:pPr>
              <w:pStyle w:val="TableParagraph"/>
              <w:ind w:left="114"/>
              <w:rPr>
                <w:sz w:val="20"/>
              </w:rPr>
            </w:pPr>
            <w:r>
              <w:rPr>
                <w:sz w:val="20"/>
              </w:rPr>
              <w:t>1995–2014</w:t>
            </w:r>
          </w:p>
        </w:tc>
        <w:tc>
          <w:tcPr>
            <w:tcW w:w="3421" w:type="dxa"/>
          </w:tcPr>
          <w:p w14:paraId="56327AEB" w14:textId="77777777" w:rsidR="0046798B" w:rsidRDefault="0046798B">
            <w:pPr>
              <w:pStyle w:val="TableParagraph"/>
              <w:spacing w:before="9"/>
              <w:rPr>
                <w:sz w:val="23"/>
              </w:rPr>
            </w:pPr>
          </w:p>
          <w:p w14:paraId="69A27604" w14:textId="77777777" w:rsidR="0046798B" w:rsidRDefault="00903B5C">
            <w:pPr>
              <w:pStyle w:val="TableParagraph"/>
              <w:ind w:left="114" w:right="351"/>
              <w:rPr>
                <w:sz w:val="20"/>
              </w:rPr>
            </w:pPr>
            <w:r>
              <w:rPr>
                <w:sz w:val="20"/>
              </w:rPr>
              <w:t>Year over year percentage change in corporate income tax revenue (note controlled for impact of tax policy)</w:t>
            </w:r>
          </w:p>
        </w:tc>
        <w:tc>
          <w:tcPr>
            <w:tcW w:w="6482" w:type="dxa"/>
          </w:tcPr>
          <w:p w14:paraId="18965FD5" w14:textId="77777777" w:rsidR="0046798B" w:rsidRDefault="0046798B">
            <w:pPr>
              <w:pStyle w:val="TableParagraph"/>
              <w:spacing w:before="9"/>
              <w:rPr>
                <w:sz w:val="23"/>
              </w:rPr>
            </w:pPr>
          </w:p>
          <w:p w14:paraId="5BE722D4" w14:textId="77777777" w:rsidR="0046798B" w:rsidRDefault="00903B5C">
            <w:pPr>
              <w:pStyle w:val="TableParagraph"/>
              <w:ind w:left="114"/>
              <w:rPr>
                <w:i/>
                <w:sz w:val="20"/>
              </w:rPr>
            </w:pPr>
            <w:r>
              <w:rPr>
                <w:sz w:val="20"/>
              </w:rPr>
              <w:t xml:space="preserve">Pew Charitable Trusts, 2016. </w:t>
            </w:r>
            <w:r>
              <w:rPr>
                <w:i/>
                <w:sz w:val="20"/>
              </w:rPr>
              <w:t>Fiscal 50: State Trends and Analysis.</w:t>
            </w:r>
          </w:p>
          <w:p w14:paraId="4D2FFE8C" w14:textId="77777777" w:rsidR="0046798B" w:rsidRDefault="0046798B">
            <w:pPr>
              <w:pStyle w:val="TableParagraph"/>
              <w:rPr>
                <w:sz w:val="20"/>
              </w:rPr>
            </w:pPr>
          </w:p>
          <w:p w14:paraId="45453167" w14:textId="77777777" w:rsidR="0046798B" w:rsidRDefault="00903B5C">
            <w:pPr>
              <w:pStyle w:val="TableParagraph"/>
              <w:ind w:left="114"/>
              <w:rPr>
                <w:sz w:val="20"/>
              </w:rPr>
            </w:pPr>
            <w:r>
              <w:rPr>
                <w:sz w:val="20"/>
              </w:rPr>
              <w:t>Source: Census: State Govt Tax Collections</w:t>
            </w:r>
          </w:p>
        </w:tc>
      </w:tr>
      <w:tr w:rsidR="0046798B" w14:paraId="3A38D068" w14:textId="77777777">
        <w:trPr>
          <w:trHeight w:val="1465"/>
        </w:trPr>
        <w:tc>
          <w:tcPr>
            <w:tcW w:w="1711" w:type="dxa"/>
          </w:tcPr>
          <w:p w14:paraId="2DB0FF4A" w14:textId="77777777" w:rsidR="0046798B" w:rsidRDefault="0046798B">
            <w:pPr>
              <w:pStyle w:val="TableParagraph"/>
            </w:pPr>
          </w:p>
          <w:p w14:paraId="7A3E8688" w14:textId="77777777" w:rsidR="0046798B" w:rsidRDefault="0046798B">
            <w:pPr>
              <w:pStyle w:val="TableParagraph"/>
              <w:spacing w:before="9"/>
              <w:rPr>
                <w:sz w:val="21"/>
              </w:rPr>
            </w:pPr>
          </w:p>
          <w:p w14:paraId="4BBC08A4" w14:textId="77777777" w:rsidR="0046798B" w:rsidRDefault="00903B5C">
            <w:pPr>
              <w:pStyle w:val="TableParagraph"/>
              <w:ind w:left="115" w:right="121"/>
              <w:rPr>
                <w:b/>
                <w:sz w:val="20"/>
              </w:rPr>
            </w:pPr>
            <w:r>
              <w:rPr>
                <w:b/>
                <w:sz w:val="20"/>
              </w:rPr>
              <w:t>change_docstock tax</w:t>
            </w:r>
          </w:p>
        </w:tc>
        <w:tc>
          <w:tcPr>
            <w:tcW w:w="1596" w:type="dxa"/>
          </w:tcPr>
          <w:p w14:paraId="07A45186" w14:textId="77777777" w:rsidR="0046798B" w:rsidRDefault="00903B5C">
            <w:pPr>
              <w:pStyle w:val="TableParagraph"/>
              <w:spacing w:before="43"/>
              <w:ind w:left="114" w:right="291"/>
              <w:rPr>
                <w:sz w:val="20"/>
              </w:rPr>
            </w:pPr>
            <w:r>
              <w:rPr>
                <w:sz w:val="20"/>
              </w:rPr>
              <w:t>Change in document and stock transfers tax revenues from previous year</w:t>
            </w:r>
          </w:p>
        </w:tc>
        <w:tc>
          <w:tcPr>
            <w:tcW w:w="1285" w:type="dxa"/>
          </w:tcPr>
          <w:p w14:paraId="45D84245" w14:textId="77777777" w:rsidR="0046798B" w:rsidRDefault="0046798B">
            <w:pPr>
              <w:pStyle w:val="TableParagraph"/>
            </w:pPr>
          </w:p>
          <w:p w14:paraId="14731A93" w14:textId="77777777" w:rsidR="0046798B" w:rsidRDefault="0046798B">
            <w:pPr>
              <w:pStyle w:val="TableParagraph"/>
              <w:spacing w:before="9"/>
              <w:rPr>
                <w:sz w:val="31"/>
              </w:rPr>
            </w:pPr>
          </w:p>
          <w:p w14:paraId="1ECF3426" w14:textId="77777777" w:rsidR="0046798B" w:rsidRDefault="00903B5C">
            <w:pPr>
              <w:pStyle w:val="TableParagraph"/>
              <w:ind w:left="114"/>
              <w:rPr>
                <w:sz w:val="20"/>
              </w:rPr>
            </w:pPr>
            <w:r>
              <w:rPr>
                <w:sz w:val="20"/>
              </w:rPr>
              <w:t>1995–2014</w:t>
            </w:r>
          </w:p>
        </w:tc>
        <w:tc>
          <w:tcPr>
            <w:tcW w:w="3421" w:type="dxa"/>
          </w:tcPr>
          <w:p w14:paraId="0E1058DE" w14:textId="77777777" w:rsidR="0046798B" w:rsidRDefault="0046798B">
            <w:pPr>
              <w:pStyle w:val="TableParagraph"/>
              <w:spacing w:before="9"/>
              <w:rPr>
                <w:sz w:val="23"/>
              </w:rPr>
            </w:pPr>
          </w:p>
          <w:p w14:paraId="242E05EE" w14:textId="77777777" w:rsidR="0046798B" w:rsidRDefault="00903B5C">
            <w:pPr>
              <w:pStyle w:val="TableParagraph"/>
              <w:ind w:left="114" w:right="333"/>
              <w:rPr>
                <w:sz w:val="20"/>
              </w:rPr>
            </w:pPr>
            <w:r>
              <w:rPr>
                <w:sz w:val="20"/>
              </w:rPr>
              <w:t>Year over year percentage change document and stock transfer revenue (note controlled for impact of tax policy)</w:t>
            </w:r>
          </w:p>
        </w:tc>
        <w:tc>
          <w:tcPr>
            <w:tcW w:w="6482" w:type="dxa"/>
          </w:tcPr>
          <w:p w14:paraId="14A647AA" w14:textId="77777777" w:rsidR="0046798B" w:rsidRDefault="0046798B">
            <w:pPr>
              <w:pStyle w:val="TableParagraph"/>
            </w:pPr>
          </w:p>
          <w:p w14:paraId="4A18142E" w14:textId="77777777" w:rsidR="0046798B" w:rsidRDefault="00903B5C">
            <w:pPr>
              <w:pStyle w:val="TableParagraph"/>
              <w:spacing w:before="135"/>
              <w:ind w:left="114"/>
              <w:rPr>
                <w:i/>
                <w:sz w:val="20"/>
              </w:rPr>
            </w:pPr>
            <w:r>
              <w:rPr>
                <w:sz w:val="20"/>
              </w:rPr>
              <w:t xml:space="preserve">Pew Charitable Trusts, 2016. </w:t>
            </w:r>
            <w:r>
              <w:rPr>
                <w:i/>
                <w:sz w:val="20"/>
              </w:rPr>
              <w:t>Fiscal 50: State Trends and Analysis.</w:t>
            </w:r>
          </w:p>
          <w:p w14:paraId="18CB173C" w14:textId="77777777" w:rsidR="0046798B" w:rsidRDefault="0046798B">
            <w:pPr>
              <w:pStyle w:val="TableParagraph"/>
              <w:rPr>
                <w:sz w:val="20"/>
              </w:rPr>
            </w:pPr>
          </w:p>
          <w:p w14:paraId="42470933" w14:textId="77777777" w:rsidR="0046798B" w:rsidRDefault="00903B5C">
            <w:pPr>
              <w:pStyle w:val="TableParagraph"/>
              <w:spacing w:before="1"/>
              <w:ind w:left="114"/>
              <w:rPr>
                <w:sz w:val="20"/>
              </w:rPr>
            </w:pPr>
            <w:r>
              <w:rPr>
                <w:sz w:val="20"/>
              </w:rPr>
              <w:t>Source: Census: State Govt Tax Collections</w:t>
            </w:r>
          </w:p>
        </w:tc>
      </w:tr>
      <w:tr w:rsidR="0046798B" w14:paraId="529F7F54" w14:textId="77777777">
        <w:trPr>
          <w:trHeight w:val="775"/>
        </w:trPr>
        <w:tc>
          <w:tcPr>
            <w:tcW w:w="1711" w:type="dxa"/>
          </w:tcPr>
          <w:p w14:paraId="309FE852" w14:textId="77777777" w:rsidR="0046798B" w:rsidRDefault="0046798B">
            <w:pPr>
              <w:pStyle w:val="TableParagraph"/>
              <w:spacing w:before="8"/>
              <w:rPr>
                <w:sz w:val="23"/>
              </w:rPr>
            </w:pPr>
          </w:p>
          <w:p w14:paraId="01A050A8" w14:textId="77777777" w:rsidR="0046798B" w:rsidRDefault="00903B5C">
            <w:pPr>
              <w:pStyle w:val="TableParagraph"/>
              <w:spacing w:before="1"/>
              <w:ind w:left="115"/>
              <w:rPr>
                <w:b/>
                <w:sz w:val="20"/>
              </w:rPr>
            </w:pPr>
            <w:r>
              <w:rPr>
                <w:b/>
                <w:sz w:val="20"/>
              </w:rPr>
              <w:t>change_fueltax</w:t>
            </w:r>
          </w:p>
        </w:tc>
        <w:tc>
          <w:tcPr>
            <w:tcW w:w="1596" w:type="dxa"/>
          </w:tcPr>
          <w:p w14:paraId="7E42FFB7" w14:textId="77777777" w:rsidR="0046798B" w:rsidRDefault="00903B5C">
            <w:pPr>
              <w:pStyle w:val="TableParagraph"/>
              <w:spacing w:before="43"/>
              <w:ind w:left="114" w:right="85"/>
              <w:rPr>
                <w:sz w:val="20"/>
              </w:rPr>
            </w:pPr>
            <w:r>
              <w:rPr>
                <w:sz w:val="20"/>
              </w:rPr>
              <w:t>Change in fuel tax revenue from previous year</w:t>
            </w:r>
          </w:p>
        </w:tc>
        <w:tc>
          <w:tcPr>
            <w:tcW w:w="1285" w:type="dxa"/>
          </w:tcPr>
          <w:p w14:paraId="6B5902A5" w14:textId="77777777" w:rsidR="0046798B" w:rsidRDefault="0046798B">
            <w:pPr>
              <w:pStyle w:val="TableParagraph"/>
              <w:spacing w:before="8"/>
              <w:rPr>
                <w:sz w:val="23"/>
              </w:rPr>
            </w:pPr>
          </w:p>
          <w:p w14:paraId="50C7605D" w14:textId="77777777" w:rsidR="0046798B" w:rsidRDefault="00903B5C">
            <w:pPr>
              <w:pStyle w:val="TableParagraph"/>
              <w:spacing w:before="1"/>
              <w:ind w:left="114"/>
              <w:rPr>
                <w:sz w:val="20"/>
              </w:rPr>
            </w:pPr>
            <w:r>
              <w:rPr>
                <w:sz w:val="20"/>
              </w:rPr>
              <w:t>1995–2014</w:t>
            </w:r>
          </w:p>
        </w:tc>
        <w:tc>
          <w:tcPr>
            <w:tcW w:w="3421" w:type="dxa"/>
          </w:tcPr>
          <w:p w14:paraId="0BC8A355" w14:textId="77777777" w:rsidR="0046798B" w:rsidRDefault="00903B5C">
            <w:pPr>
              <w:pStyle w:val="TableParagraph"/>
              <w:spacing w:before="43"/>
              <w:ind w:left="114" w:right="367"/>
              <w:jc w:val="both"/>
              <w:rPr>
                <w:sz w:val="20"/>
              </w:rPr>
            </w:pPr>
            <w:r>
              <w:rPr>
                <w:sz w:val="20"/>
              </w:rPr>
              <w:t>Year over year percentage change in fuel tax revenue (note controlled for impact of tax policy)</w:t>
            </w:r>
          </w:p>
        </w:tc>
        <w:tc>
          <w:tcPr>
            <w:tcW w:w="6482" w:type="dxa"/>
          </w:tcPr>
          <w:p w14:paraId="2B2EBBA9" w14:textId="77777777" w:rsidR="0046798B" w:rsidRDefault="00903B5C">
            <w:pPr>
              <w:pStyle w:val="TableParagraph"/>
              <w:spacing w:before="43"/>
              <w:ind w:left="114"/>
              <w:rPr>
                <w:i/>
                <w:sz w:val="20"/>
              </w:rPr>
            </w:pPr>
            <w:r>
              <w:rPr>
                <w:sz w:val="20"/>
              </w:rPr>
              <w:t xml:space="preserve">Pew Charitable Trusts, 2016. </w:t>
            </w:r>
            <w:r>
              <w:rPr>
                <w:i/>
                <w:sz w:val="20"/>
              </w:rPr>
              <w:t>Fiscal 50: State Trends and Analysis.</w:t>
            </w:r>
          </w:p>
          <w:p w14:paraId="3AE21CAF" w14:textId="77777777" w:rsidR="0046798B" w:rsidRDefault="0046798B">
            <w:pPr>
              <w:pStyle w:val="TableParagraph"/>
              <w:rPr>
                <w:sz w:val="20"/>
              </w:rPr>
            </w:pPr>
          </w:p>
          <w:p w14:paraId="0F733AB2" w14:textId="77777777" w:rsidR="0046798B" w:rsidRDefault="00903B5C">
            <w:pPr>
              <w:pStyle w:val="TableParagraph"/>
              <w:ind w:left="114"/>
              <w:rPr>
                <w:sz w:val="20"/>
              </w:rPr>
            </w:pPr>
            <w:r>
              <w:rPr>
                <w:sz w:val="20"/>
              </w:rPr>
              <w:t>Source: Census: State Govt Tax Collections</w:t>
            </w:r>
          </w:p>
        </w:tc>
      </w:tr>
    </w:tbl>
    <w:p w14:paraId="4BE489FD" w14:textId="77777777" w:rsidR="0046798B" w:rsidRDefault="0046798B">
      <w:pPr>
        <w:rPr>
          <w:sz w:val="20"/>
        </w:rPr>
        <w:sectPr w:rsidR="0046798B">
          <w:pgSz w:w="15840" w:h="12240" w:orient="landscape"/>
          <w:pgMar w:top="1220" w:right="300" w:bottom="980" w:left="820" w:header="730" w:footer="787" w:gutter="0"/>
          <w:cols w:space="720"/>
        </w:sectPr>
      </w:pPr>
    </w:p>
    <w:p w14:paraId="198E8BE6"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5A3EBE57" w14:textId="77777777">
        <w:trPr>
          <w:trHeight w:val="1005"/>
        </w:trPr>
        <w:tc>
          <w:tcPr>
            <w:tcW w:w="1711" w:type="dxa"/>
          </w:tcPr>
          <w:p w14:paraId="0C99B9FE" w14:textId="77777777" w:rsidR="0046798B" w:rsidRDefault="0046798B">
            <w:pPr>
              <w:pStyle w:val="TableParagraph"/>
              <w:spacing w:before="9"/>
              <w:rPr>
                <w:sz w:val="23"/>
              </w:rPr>
            </w:pPr>
          </w:p>
          <w:p w14:paraId="00810B09" w14:textId="77777777" w:rsidR="0046798B" w:rsidRDefault="00903B5C">
            <w:pPr>
              <w:pStyle w:val="TableParagraph"/>
              <w:ind w:left="115" w:right="88"/>
              <w:rPr>
                <w:b/>
                <w:sz w:val="20"/>
              </w:rPr>
            </w:pPr>
            <w:r>
              <w:rPr>
                <w:b/>
                <w:sz w:val="20"/>
              </w:rPr>
              <w:t>change_incometa x</w:t>
            </w:r>
          </w:p>
        </w:tc>
        <w:tc>
          <w:tcPr>
            <w:tcW w:w="1596" w:type="dxa"/>
          </w:tcPr>
          <w:p w14:paraId="71910FDD" w14:textId="77777777" w:rsidR="0046798B" w:rsidRDefault="00903B5C">
            <w:pPr>
              <w:pStyle w:val="TableParagraph"/>
              <w:spacing w:before="43"/>
              <w:ind w:left="114" w:right="85"/>
              <w:rPr>
                <w:sz w:val="20"/>
              </w:rPr>
            </w:pPr>
            <w:r>
              <w:rPr>
                <w:sz w:val="20"/>
              </w:rPr>
              <w:t>Change in personal income tax revenue from previous year</w:t>
            </w:r>
          </w:p>
        </w:tc>
        <w:tc>
          <w:tcPr>
            <w:tcW w:w="1285" w:type="dxa"/>
          </w:tcPr>
          <w:p w14:paraId="651A88F2" w14:textId="77777777" w:rsidR="0046798B" w:rsidRDefault="0046798B">
            <w:pPr>
              <w:pStyle w:val="TableParagraph"/>
            </w:pPr>
          </w:p>
          <w:p w14:paraId="46049470" w14:textId="77777777" w:rsidR="0046798B" w:rsidRDefault="00903B5C">
            <w:pPr>
              <w:pStyle w:val="TableParagraph"/>
              <w:spacing w:before="135"/>
              <w:ind w:left="114"/>
              <w:rPr>
                <w:sz w:val="20"/>
              </w:rPr>
            </w:pPr>
            <w:r>
              <w:rPr>
                <w:sz w:val="20"/>
              </w:rPr>
              <w:t>1995–2014</w:t>
            </w:r>
          </w:p>
        </w:tc>
        <w:tc>
          <w:tcPr>
            <w:tcW w:w="3421" w:type="dxa"/>
          </w:tcPr>
          <w:p w14:paraId="38BF7570" w14:textId="77777777" w:rsidR="0046798B" w:rsidRDefault="00903B5C">
            <w:pPr>
              <w:pStyle w:val="TableParagraph"/>
              <w:spacing w:before="158"/>
              <w:ind w:left="114" w:right="351"/>
              <w:rPr>
                <w:sz w:val="20"/>
              </w:rPr>
            </w:pPr>
            <w:r>
              <w:rPr>
                <w:sz w:val="20"/>
              </w:rPr>
              <w:t>Year over year percentage change in personal income tax revenue (note controlled for impact of tax policy)</w:t>
            </w:r>
          </w:p>
        </w:tc>
        <w:tc>
          <w:tcPr>
            <w:tcW w:w="6482" w:type="dxa"/>
          </w:tcPr>
          <w:p w14:paraId="240920FB" w14:textId="77777777" w:rsidR="0046798B" w:rsidRDefault="00903B5C">
            <w:pPr>
              <w:pStyle w:val="TableParagraph"/>
              <w:spacing w:before="158"/>
              <w:ind w:left="114"/>
              <w:rPr>
                <w:i/>
                <w:sz w:val="20"/>
              </w:rPr>
            </w:pPr>
            <w:r>
              <w:rPr>
                <w:sz w:val="20"/>
              </w:rPr>
              <w:t xml:space="preserve">Pew Charitable Trusts, 2016. </w:t>
            </w:r>
            <w:r>
              <w:rPr>
                <w:i/>
                <w:sz w:val="20"/>
              </w:rPr>
              <w:t>Fiscal 50: State Trends and Analysis.</w:t>
            </w:r>
          </w:p>
          <w:p w14:paraId="0D43081E" w14:textId="77777777" w:rsidR="0046798B" w:rsidRDefault="0046798B">
            <w:pPr>
              <w:pStyle w:val="TableParagraph"/>
              <w:rPr>
                <w:sz w:val="20"/>
              </w:rPr>
            </w:pPr>
          </w:p>
          <w:p w14:paraId="5F9B0C96" w14:textId="77777777" w:rsidR="0046798B" w:rsidRDefault="00903B5C">
            <w:pPr>
              <w:pStyle w:val="TableParagraph"/>
              <w:ind w:left="114"/>
              <w:rPr>
                <w:sz w:val="20"/>
              </w:rPr>
            </w:pPr>
            <w:r>
              <w:rPr>
                <w:sz w:val="20"/>
              </w:rPr>
              <w:t>Source: Census: State Govt Tax Collections</w:t>
            </w:r>
          </w:p>
        </w:tc>
      </w:tr>
      <w:tr w:rsidR="0046798B" w14:paraId="79B450EC" w14:textId="77777777">
        <w:trPr>
          <w:trHeight w:val="1005"/>
        </w:trPr>
        <w:tc>
          <w:tcPr>
            <w:tcW w:w="1711" w:type="dxa"/>
          </w:tcPr>
          <w:p w14:paraId="3419065E" w14:textId="77777777" w:rsidR="0046798B" w:rsidRDefault="0046798B">
            <w:pPr>
              <w:pStyle w:val="TableParagraph"/>
            </w:pPr>
          </w:p>
          <w:p w14:paraId="3F161A2B" w14:textId="77777777" w:rsidR="0046798B" w:rsidRDefault="00903B5C">
            <w:pPr>
              <w:pStyle w:val="TableParagraph"/>
              <w:spacing w:before="135"/>
              <w:ind w:left="115"/>
              <w:rPr>
                <w:b/>
                <w:sz w:val="20"/>
              </w:rPr>
            </w:pPr>
            <w:r>
              <w:rPr>
                <w:b/>
                <w:sz w:val="20"/>
              </w:rPr>
              <w:t>change_proptax</w:t>
            </w:r>
          </w:p>
        </w:tc>
        <w:tc>
          <w:tcPr>
            <w:tcW w:w="1596" w:type="dxa"/>
          </w:tcPr>
          <w:p w14:paraId="4DF6AB2D" w14:textId="77777777" w:rsidR="0046798B" w:rsidRDefault="00903B5C">
            <w:pPr>
              <w:pStyle w:val="TableParagraph"/>
              <w:spacing w:before="43"/>
              <w:ind w:left="114"/>
              <w:rPr>
                <w:sz w:val="20"/>
              </w:rPr>
            </w:pPr>
            <w:r>
              <w:rPr>
                <w:sz w:val="20"/>
              </w:rPr>
              <w:t>Change in property tax revenue from the previous year</w:t>
            </w:r>
          </w:p>
        </w:tc>
        <w:tc>
          <w:tcPr>
            <w:tcW w:w="1285" w:type="dxa"/>
          </w:tcPr>
          <w:p w14:paraId="0B11C919" w14:textId="77777777" w:rsidR="0046798B" w:rsidRDefault="0046798B">
            <w:pPr>
              <w:pStyle w:val="TableParagraph"/>
            </w:pPr>
          </w:p>
          <w:p w14:paraId="445C7F33" w14:textId="77777777" w:rsidR="0046798B" w:rsidRDefault="00903B5C">
            <w:pPr>
              <w:pStyle w:val="TableParagraph"/>
              <w:spacing w:before="135"/>
              <w:ind w:left="114"/>
              <w:rPr>
                <w:sz w:val="20"/>
              </w:rPr>
            </w:pPr>
            <w:r>
              <w:rPr>
                <w:sz w:val="20"/>
              </w:rPr>
              <w:t>1995–2014</w:t>
            </w:r>
          </w:p>
        </w:tc>
        <w:tc>
          <w:tcPr>
            <w:tcW w:w="3421" w:type="dxa"/>
          </w:tcPr>
          <w:p w14:paraId="2B88AD6E" w14:textId="77777777" w:rsidR="0046798B" w:rsidRDefault="00903B5C">
            <w:pPr>
              <w:pStyle w:val="TableParagraph"/>
              <w:spacing w:before="158"/>
              <w:ind w:left="114" w:right="321"/>
              <w:jc w:val="both"/>
              <w:rPr>
                <w:sz w:val="20"/>
              </w:rPr>
            </w:pPr>
            <w:r>
              <w:rPr>
                <w:sz w:val="20"/>
              </w:rPr>
              <w:t xml:space="preserve">Year over year percentage change in property tax revenue (note </w:t>
            </w:r>
            <w:r>
              <w:rPr>
                <w:spacing w:val="-3"/>
                <w:sz w:val="20"/>
              </w:rPr>
              <w:t xml:space="preserve">controlled </w:t>
            </w:r>
            <w:r>
              <w:rPr>
                <w:sz w:val="20"/>
              </w:rPr>
              <w:t>for impact of tax policy)</w:t>
            </w:r>
          </w:p>
        </w:tc>
        <w:tc>
          <w:tcPr>
            <w:tcW w:w="6482" w:type="dxa"/>
          </w:tcPr>
          <w:p w14:paraId="35723000" w14:textId="77777777" w:rsidR="0046798B" w:rsidRDefault="00903B5C">
            <w:pPr>
              <w:pStyle w:val="TableParagraph"/>
              <w:spacing w:before="158"/>
              <w:ind w:left="114"/>
              <w:rPr>
                <w:i/>
                <w:sz w:val="20"/>
              </w:rPr>
            </w:pPr>
            <w:r>
              <w:rPr>
                <w:sz w:val="20"/>
              </w:rPr>
              <w:t xml:space="preserve">Pew Charitable Trusts, 2016. </w:t>
            </w:r>
            <w:r>
              <w:rPr>
                <w:i/>
                <w:sz w:val="20"/>
              </w:rPr>
              <w:t>Fiscal 50: State Trends and Analysis.</w:t>
            </w:r>
          </w:p>
          <w:p w14:paraId="78A83E12" w14:textId="77777777" w:rsidR="0046798B" w:rsidRDefault="0046798B">
            <w:pPr>
              <w:pStyle w:val="TableParagraph"/>
              <w:rPr>
                <w:sz w:val="20"/>
              </w:rPr>
            </w:pPr>
          </w:p>
          <w:p w14:paraId="69624314" w14:textId="77777777" w:rsidR="0046798B" w:rsidRDefault="00903B5C">
            <w:pPr>
              <w:pStyle w:val="TableParagraph"/>
              <w:spacing w:before="1"/>
              <w:ind w:left="114"/>
              <w:rPr>
                <w:sz w:val="20"/>
              </w:rPr>
            </w:pPr>
            <w:r>
              <w:rPr>
                <w:sz w:val="20"/>
              </w:rPr>
              <w:t>Source: Census: State Govt Tax Collections</w:t>
            </w:r>
          </w:p>
        </w:tc>
      </w:tr>
      <w:tr w:rsidR="0046798B" w14:paraId="4016EF9A" w14:textId="77777777">
        <w:trPr>
          <w:trHeight w:val="780"/>
        </w:trPr>
        <w:tc>
          <w:tcPr>
            <w:tcW w:w="1711" w:type="dxa"/>
          </w:tcPr>
          <w:p w14:paraId="159154D7" w14:textId="77777777" w:rsidR="0046798B" w:rsidRDefault="0046798B">
            <w:pPr>
              <w:pStyle w:val="TableParagraph"/>
              <w:spacing w:before="8"/>
              <w:rPr>
                <w:sz w:val="23"/>
              </w:rPr>
            </w:pPr>
          </w:p>
          <w:p w14:paraId="03706D30" w14:textId="77777777" w:rsidR="0046798B" w:rsidRDefault="00903B5C">
            <w:pPr>
              <w:pStyle w:val="TableParagraph"/>
              <w:spacing w:before="1"/>
              <w:ind w:left="115"/>
              <w:rPr>
                <w:b/>
                <w:sz w:val="20"/>
              </w:rPr>
            </w:pPr>
            <w:r>
              <w:rPr>
                <w:b/>
                <w:sz w:val="20"/>
              </w:rPr>
              <w:t>change_salestax</w:t>
            </w:r>
          </w:p>
        </w:tc>
        <w:tc>
          <w:tcPr>
            <w:tcW w:w="1596" w:type="dxa"/>
          </w:tcPr>
          <w:p w14:paraId="0B197CF1" w14:textId="77777777" w:rsidR="0046798B" w:rsidRDefault="00903B5C">
            <w:pPr>
              <w:pStyle w:val="TableParagraph"/>
              <w:spacing w:before="43"/>
              <w:ind w:left="114" w:right="85"/>
              <w:rPr>
                <w:sz w:val="20"/>
              </w:rPr>
            </w:pPr>
            <w:r>
              <w:rPr>
                <w:sz w:val="20"/>
              </w:rPr>
              <w:t>Change in sales tax revenue from previous year</w:t>
            </w:r>
          </w:p>
        </w:tc>
        <w:tc>
          <w:tcPr>
            <w:tcW w:w="1285" w:type="dxa"/>
          </w:tcPr>
          <w:p w14:paraId="6BDAED5C" w14:textId="77777777" w:rsidR="0046798B" w:rsidRDefault="0046798B">
            <w:pPr>
              <w:pStyle w:val="TableParagraph"/>
              <w:spacing w:before="8"/>
              <w:rPr>
                <w:sz w:val="23"/>
              </w:rPr>
            </w:pPr>
          </w:p>
          <w:p w14:paraId="48D0CB06" w14:textId="77777777" w:rsidR="0046798B" w:rsidRDefault="00903B5C">
            <w:pPr>
              <w:pStyle w:val="TableParagraph"/>
              <w:spacing w:before="1"/>
              <w:ind w:left="114"/>
              <w:rPr>
                <w:sz w:val="20"/>
              </w:rPr>
            </w:pPr>
            <w:r>
              <w:rPr>
                <w:sz w:val="20"/>
              </w:rPr>
              <w:t>1995–2014</w:t>
            </w:r>
          </w:p>
        </w:tc>
        <w:tc>
          <w:tcPr>
            <w:tcW w:w="3421" w:type="dxa"/>
          </w:tcPr>
          <w:p w14:paraId="0D096E8A" w14:textId="77777777" w:rsidR="0046798B" w:rsidRDefault="00903B5C">
            <w:pPr>
              <w:pStyle w:val="TableParagraph"/>
              <w:spacing w:before="43"/>
              <w:ind w:left="114" w:right="323"/>
              <w:jc w:val="both"/>
              <w:rPr>
                <w:sz w:val="20"/>
              </w:rPr>
            </w:pPr>
            <w:r>
              <w:rPr>
                <w:sz w:val="20"/>
              </w:rPr>
              <w:t>Year over year percentage change in sales tax revenue (note controlled for impact of tax policy)</w:t>
            </w:r>
          </w:p>
        </w:tc>
        <w:tc>
          <w:tcPr>
            <w:tcW w:w="6482" w:type="dxa"/>
          </w:tcPr>
          <w:p w14:paraId="3DE250F1" w14:textId="77777777" w:rsidR="0046798B" w:rsidRDefault="00903B5C">
            <w:pPr>
              <w:pStyle w:val="TableParagraph"/>
              <w:spacing w:before="43"/>
              <w:ind w:left="114"/>
              <w:rPr>
                <w:i/>
                <w:sz w:val="20"/>
              </w:rPr>
            </w:pPr>
            <w:r>
              <w:rPr>
                <w:sz w:val="20"/>
              </w:rPr>
              <w:t xml:space="preserve">Pew Charitable Trusts, 2016. </w:t>
            </w:r>
            <w:r>
              <w:rPr>
                <w:i/>
                <w:sz w:val="20"/>
              </w:rPr>
              <w:t>Fiscal 50: State Trends and Analysis.</w:t>
            </w:r>
          </w:p>
          <w:p w14:paraId="2E47F8DB" w14:textId="77777777" w:rsidR="0046798B" w:rsidRDefault="0046798B">
            <w:pPr>
              <w:pStyle w:val="TableParagraph"/>
              <w:rPr>
                <w:sz w:val="20"/>
              </w:rPr>
            </w:pPr>
          </w:p>
          <w:p w14:paraId="1A22B218" w14:textId="77777777" w:rsidR="0046798B" w:rsidRDefault="00903B5C">
            <w:pPr>
              <w:pStyle w:val="TableParagraph"/>
              <w:ind w:left="114"/>
              <w:rPr>
                <w:sz w:val="20"/>
              </w:rPr>
            </w:pPr>
            <w:r>
              <w:rPr>
                <w:sz w:val="20"/>
              </w:rPr>
              <w:t>Source: Census: State Govt Tax Collections</w:t>
            </w:r>
          </w:p>
        </w:tc>
      </w:tr>
      <w:tr w:rsidR="0046798B" w14:paraId="710DB169" w14:textId="77777777">
        <w:trPr>
          <w:trHeight w:val="1005"/>
        </w:trPr>
        <w:tc>
          <w:tcPr>
            <w:tcW w:w="1711" w:type="dxa"/>
          </w:tcPr>
          <w:p w14:paraId="4AF2B937" w14:textId="77777777" w:rsidR="0046798B" w:rsidRDefault="0046798B">
            <w:pPr>
              <w:pStyle w:val="TableParagraph"/>
            </w:pPr>
          </w:p>
          <w:p w14:paraId="5CB85DC0" w14:textId="77777777" w:rsidR="0046798B" w:rsidRDefault="00903B5C">
            <w:pPr>
              <w:pStyle w:val="TableParagraph"/>
              <w:spacing w:before="130"/>
              <w:ind w:left="115"/>
              <w:rPr>
                <w:b/>
                <w:sz w:val="20"/>
              </w:rPr>
            </w:pPr>
            <w:r>
              <w:rPr>
                <w:b/>
                <w:sz w:val="20"/>
              </w:rPr>
              <w:t>change_sevtax</w:t>
            </w:r>
          </w:p>
        </w:tc>
        <w:tc>
          <w:tcPr>
            <w:tcW w:w="1596" w:type="dxa"/>
          </w:tcPr>
          <w:p w14:paraId="27F188BC" w14:textId="77777777" w:rsidR="0046798B" w:rsidRDefault="00903B5C">
            <w:pPr>
              <w:pStyle w:val="TableParagraph"/>
              <w:spacing w:before="38"/>
              <w:ind w:left="114" w:right="369"/>
              <w:rPr>
                <w:sz w:val="20"/>
              </w:rPr>
            </w:pPr>
            <w:r>
              <w:rPr>
                <w:sz w:val="20"/>
              </w:rPr>
              <w:t>Change in severance tax revenue from previous year</w:t>
            </w:r>
          </w:p>
        </w:tc>
        <w:tc>
          <w:tcPr>
            <w:tcW w:w="1285" w:type="dxa"/>
          </w:tcPr>
          <w:p w14:paraId="7817630B" w14:textId="77777777" w:rsidR="0046798B" w:rsidRDefault="0046798B">
            <w:pPr>
              <w:pStyle w:val="TableParagraph"/>
            </w:pPr>
          </w:p>
          <w:p w14:paraId="343F9987" w14:textId="77777777" w:rsidR="0046798B" w:rsidRDefault="00903B5C">
            <w:pPr>
              <w:pStyle w:val="TableParagraph"/>
              <w:spacing w:before="130"/>
              <w:ind w:left="114"/>
              <w:rPr>
                <w:sz w:val="20"/>
              </w:rPr>
            </w:pPr>
            <w:r>
              <w:rPr>
                <w:sz w:val="20"/>
              </w:rPr>
              <w:t>1995–2014</w:t>
            </w:r>
          </w:p>
        </w:tc>
        <w:tc>
          <w:tcPr>
            <w:tcW w:w="3421" w:type="dxa"/>
          </w:tcPr>
          <w:p w14:paraId="06F1A5B1" w14:textId="77777777" w:rsidR="0046798B" w:rsidRDefault="00903B5C">
            <w:pPr>
              <w:pStyle w:val="TableParagraph"/>
              <w:spacing w:before="153"/>
              <w:ind w:left="114" w:right="189"/>
              <w:rPr>
                <w:sz w:val="20"/>
              </w:rPr>
            </w:pPr>
            <w:r>
              <w:rPr>
                <w:sz w:val="20"/>
              </w:rPr>
              <w:t>Year over year percentage change in severance tax revenue (note controlled for impact of tax policy)</w:t>
            </w:r>
          </w:p>
        </w:tc>
        <w:tc>
          <w:tcPr>
            <w:tcW w:w="6482" w:type="dxa"/>
          </w:tcPr>
          <w:p w14:paraId="7F6E1C03" w14:textId="77777777" w:rsidR="0046798B" w:rsidRDefault="00903B5C">
            <w:pPr>
              <w:pStyle w:val="TableParagraph"/>
              <w:spacing w:before="153"/>
              <w:ind w:left="114"/>
              <w:rPr>
                <w:i/>
                <w:sz w:val="20"/>
              </w:rPr>
            </w:pPr>
            <w:r>
              <w:rPr>
                <w:sz w:val="20"/>
              </w:rPr>
              <w:t xml:space="preserve">Pew Charitable Trusts, 2016. </w:t>
            </w:r>
            <w:r>
              <w:rPr>
                <w:i/>
                <w:sz w:val="20"/>
              </w:rPr>
              <w:t>Fiscal 50: State Trends and Analysis.</w:t>
            </w:r>
          </w:p>
          <w:p w14:paraId="3E359F71" w14:textId="77777777" w:rsidR="0046798B" w:rsidRDefault="0046798B">
            <w:pPr>
              <w:pStyle w:val="TableParagraph"/>
              <w:rPr>
                <w:sz w:val="20"/>
              </w:rPr>
            </w:pPr>
          </w:p>
          <w:p w14:paraId="2A3291BC" w14:textId="77777777" w:rsidR="0046798B" w:rsidRDefault="00903B5C">
            <w:pPr>
              <w:pStyle w:val="TableParagraph"/>
              <w:ind w:left="114"/>
              <w:rPr>
                <w:sz w:val="20"/>
              </w:rPr>
            </w:pPr>
            <w:r>
              <w:rPr>
                <w:sz w:val="20"/>
              </w:rPr>
              <w:t>Source: Census: State Govt Tax Collections</w:t>
            </w:r>
          </w:p>
        </w:tc>
      </w:tr>
      <w:tr w:rsidR="0046798B" w14:paraId="1CC5F555" w14:textId="77777777">
        <w:trPr>
          <w:trHeight w:val="1235"/>
        </w:trPr>
        <w:tc>
          <w:tcPr>
            <w:tcW w:w="1711" w:type="dxa"/>
          </w:tcPr>
          <w:p w14:paraId="355BFA5D" w14:textId="77777777" w:rsidR="0046798B" w:rsidRDefault="0046798B">
            <w:pPr>
              <w:pStyle w:val="TableParagraph"/>
            </w:pPr>
          </w:p>
          <w:p w14:paraId="24A086F2" w14:textId="77777777" w:rsidR="0046798B" w:rsidRDefault="00903B5C">
            <w:pPr>
              <w:pStyle w:val="TableParagraph"/>
              <w:spacing w:before="130"/>
              <w:ind w:left="115" w:right="110"/>
              <w:rPr>
                <w:b/>
                <w:sz w:val="20"/>
              </w:rPr>
            </w:pPr>
            <w:r>
              <w:rPr>
                <w:b/>
                <w:sz w:val="20"/>
              </w:rPr>
              <w:t>change_stincome tax</w:t>
            </w:r>
          </w:p>
        </w:tc>
        <w:tc>
          <w:tcPr>
            <w:tcW w:w="1596" w:type="dxa"/>
          </w:tcPr>
          <w:p w14:paraId="3D65BE7E" w14:textId="77777777" w:rsidR="0046798B" w:rsidRDefault="00903B5C">
            <w:pPr>
              <w:pStyle w:val="TableParagraph"/>
              <w:spacing w:before="38"/>
              <w:ind w:left="114" w:right="357"/>
              <w:rPr>
                <w:sz w:val="20"/>
              </w:rPr>
            </w:pPr>
            <w:r>
              <w:rPr>
                <w:sz w:val="20"/>
              </w:rPr>
              <w:t>Change in personal state income tax revenue from previous year</w:t>
            </w:r>
          </w:p>
        </w:tc>
        <w:tc>
          <w:tcPr>
            <w:tcW w:w="1285" w:type="dxa"/>
          </w:tcPr>
          <w:p w14:paraId="0349B3AE" w14:textId="77777777" w:rsidR="0046798B" w:rsidRDefault="0046798B">
            <w:pPr>
              <w:pStyle w:val="TableParagraph"/>
            </w:pPr>
          </w:p>
          <w:p w14:paraId="3D7ECDC3" w14:textId="77777777" w:rsidR="0046798B" w:rsidRDefault="0046798B">
            <w:pPr>
              <w:pStyle w:val="TableParagraph"/>
              <w:spacing w:before="4"/>
              <w:rPr>
                <w:sz w:val="21"/>
              </w:rPr>
            </w:pPr>
          </w:p>
          <w:p w14:paraId="44A88A7B" w14:textId="77777777" w:rsidR="0046798B" w:rsidRDefault="00903B5C">
            <w:pPr>
              <w:pStyle w:val="TableParagraph"/>
              <w:ind w:left="114"/>
              <w:rPr>
                <w:sz w:val="20"/>
              </w:rPr>
            </w:pPr>
            <w:r>
              <w:rPr>
                <w:sz w:val="20"/>
              </w:rPr>
              <w:t>1995–2014</w:t>
            </w:r>
          </w:p>
        </w:tc>
        <w:tc>
          <w:tcPr>
            <w:tcW w:w="3421" w:type="dxa"/>
          </w:tcPr>
          <w:p w14:paraId="10D57CF5" w14:textId="77777777" w:rsidR="0046798B" w:rsidRDefault="0046798B">
            <w:pPr>
              <w:pStyle w:val="TableParagraph"/>
              <w:spacing w:before="4"/>
              <w:rPr>
                <w:sz w:val="23"/>
              </w:rPr>
            </w:pPr>
          </w:p>
          <w:p w14:paraId="69278889" w14:textId="77777777" w:rsidR="0046798B" w:rsidRDefault="00903B5C">
            <w:pPr>
              <w:pStyle w:val="TableParagraph"/>
              <w:ind w:left="114" w:right="106"/>
              <w:rPr>
                <w:sz w:val="20"/>
              </w:rPr>
            </w:pPr>
            <w:r>
              <w:rPr>
                <w:sz w:val="20"/>
              </w:rPr>
              <w:t>Year over year percentage change in personal state income tax revenue (note controlled for impact of tax policy)</w:t>
            </w:r>
          </w:p>
        </w:tc>
        <w:tc>
          <w:tcPr>
            <w:tcW w:w="6482" w:type="dxa"/>
          </w:tcPr>
          <w:p w14:paraId="2CADDF30" w14:textId="77777777" w:rsidR="0046798B" w:rsidRDefault="0046798B">
            <w:pPr>
              <w:pStyle w:val="TableParagraph"/>
              <w:spacing w:before="4"/>
              <w:rPr>
                <w:sz w:val="23"/>
              </w:rPr>
            </w:pPr>
          </w:p>
          <w:p w14:paraId="2558121A" w14:textId="77777777" w:rsidR="0046798B" w:rsidRDefault="00903B5C">
            <w:pPr>
              <w:pStyle w:val="TableParagraph"/>
              <w:ind w:left="114"/>
              <w:rPr>
                <w:i/>
                <w:sz w:val="20"/>
              </w:rPr>
            </w:pPr>
            <w:r>
              <w:rPr>
                <w:sz w:val="20"/>
              </w:rPr>
              <w:t xml:space="preserve">Pew Charitable Trusts, 2016. </w:t>
            </w:r>
            <w:r>
              <w:rPr>
                <w:i/>
                <w:sz w:val="20"/>
              </w:rPr>
              <w:t>Fiscal 50: State Trends and Analysis.</w:t>
            </w:r>
          </w:p>
          <w:p w14:paraId="3EBB24DF" w14:textId="77777777" w:rsidR="0046798B" w:rsidRDefault="0046798B">
            <w:pPr>
              <w:pStyle w:val="TableParagraph"/>
              <w:rPr>
                <w:sz w:val="20"/>
              </w:rPr>
            </w:pPr>
          </w:p>
          <w:p w14:paraId="2C82460C" w14:textId="77777777" w:rsidR="0046798B" w:rsidRDefault="00903B5C">
            <w:pPr>
              <w:pStyle w:val="TableParagraph"/>
              <w:ind w:left="114"/>
              <w:rPr>
                <w:sz w:val="20"/>
              </w:rPr>
            </w:pPr>
            <w:r>
              <w:rPr>
                <w:sz w:val="20"/>
              </w:rPr>
              <w:t>Source: Census: State Govt Tax Collections</w:t>
            </w:r>
          </w:p>
        </w:tc>
      </w:tr>
      <w:tr w:rsidR="0046798B" w14:paraId="4508D50A" w14:textId="77777777">
        <w:trPr>
          <w:trHeight w:val="1005"/>
        </w:trPr>
        <w:tc>
          <w:tcPr>
            <w:tcW w:w="1711" w:type="dxa"/>
          </w:tcPr>
          <w:p w14:paraId="71616F7B" w14:textId="77777777" w:rsidR="0046798B" w:rsidRDefault="0046798B">
            <w:pPr>
              <w:pStyle w:val="TableParagraph"/>
            </w:pPr>
          </w:p>
          <w:p w14:paraId="41FEA4F7" w14:textId="77777777" w:rsidR="0046798B" w:rsidRDefault="00903B5C">
            <w:pPr>
              <w:pStyle w:val="TableParagraph"/>
              <w:spacing w:before="136"/>
              <w:ind w:left="115"/>
              <w:rPr>
                <w:b/>
                <w:sz w:val="20"/>
              </w:rPr>
            </w:pPr>
            <w:r>
              <w:rPr>
                <w:b/>
                <w:sz w:val="20"/>
              </w:rPr>
              <w:t>change_tobtax</w:t>
            </w:r>
          </w:p>
        </w:tc>
        <w:tc>
          <w:tcPr>
            <w:tcW w:w="1596" w:type="dxa"/>
          </w:tcPr>
          <w:p w14:paraId="610B6521" w14:textId="77777777" w:rsidR="0046798B" w:rsidRDefault="00903B5C">
            <w:pPr>
              <w:pStyle w:val="TableParagraph"/>
              <w:spacing w:before="44"/>
              <w:ind w:left="114" w:right="369"/>
              <w:rPr>
                <w:sz w:val="20"/>
              </w:rPr>
            </w:pPr>
            <w:r>
              <w:rPr>
                <w:sz w:val="20"/>
              </w:rPr>
              <w:t>Change in tobacco tax revenue from previous year</w:t>
            </w:r>
          </w:p>
        </w:tc>
        <w:tc>
          <w:tcPr>
            <w:tcW w:w="1285" w:type="dxa"/>
          </w:tcPr>
          <w:p w14:paraId="0D33952F" w14:textId="77777777" w:rsidR="0046798B" w:rsidRDefault="0046798B">
            <w:pPr>
              <w:pStyle w:val="TableParagraph"/>
            </w:pPr>
          </w:p>
          <w:p w14:paraId="0EEED8A9" w14:textId="77777777" w:rsidR="0046798B" w:rsidRDefault="00903B5C">
            <w:pPr>
              <w:pStyle w:val="TableParagraph"/>
              <w:spacing w:before="136"/>
              <w:ind w:left="114"/>
              <w:rPr>
                <w:sz w:val="20"/>
              </w:rPr>
            </w:pPr>
            <w:r>
              <w:rPr>
                <w:sz w:val="20"/>
              </w:rPr>
              <w:t>1995–2014</w:t>
            </w:r>
          </w:p>
        </w:tc>
        <w:tc>
          <w:tcPr>
            <w:tcW w:w="3421" w:type="dxa"/>
          </w:tcPr>
          <w:p w14:paraId="7BFA81CA" w14:textId="77777777" w:rsidR="0046798B" w:rsidRDefault="00903B5C">
            <w:pPr>
              <w:pStyle w:val="TableParagraph"/>
              <w:spacing w:before="159"/>
              <w:ind w:left="114" w:right="367"/>
              <w:jc w:val="both"/>
              <w:rPr>
                <w:sz w:val="20"/>
              </w:rPr>
            </w:pPr>
            <w:r>
              <w:rPr>
                <w:sz w:val="20"/>
              </w:rPr>
              <w:t>Year over year percentage change in tobacco tax revenue (note controlled for impact of tax policy)</w:t>
            </w:r>
          </w:p>
        </w:tc>
        <w:tc>
          <w:tcPr>
            <w:tcW w:w="6482" w:type="dxa"/>
          </w:tcPr>
          <w:p w14:paraId="54521DA4" w14:textId="77777777" w:rsidR="0046798B" w:rsidRDefault="00903B5C">
            <w:pPr>
              <w:pStyle w:val="TableParagraph"/>
              <w:spacing w:before="159"/>
              <w:ind w:left="114"/>
              <w:rPr>
                <w:i/>
                <w:sz w:val="20"/>
              </w:rPr>
            </w:pPr>
            <w:r>
              <w:rPr>
                <w:sz w:val="20"/>
              </w:rPr>
              <w:t xml:space="preserve">Pew Charitable Trusts, 2016. </w:t>
            </w:r>
            <w:r>
              <w:rPr>
                <w:i/>
                <w:sz w:val="20"/>
              </w:rPr>
              <w:t>Fiscal 50: State Trends and Analysis.</w:t>
            </w:r>
          </w:p>
          <w:p w14:paraId="6D47EEC6" w14:textId="77777777" w:rsidR="0046798B" w:rsidRDefault="0046798B">
            <w:pPr>
              <w:pStyle w:val="TableParagraph"/>
              <w:spacing w:before="11"/>
              <w:rPr>
                <w:sz w:val="19"/>
              </w:rPr>
            </w:pPr>
          </w:p>
          <w:p w14:paraId="7BA005BB" w14:textId="77777777" w:rsidR="0046798B" w:rsidRDefault="00903B5C">
            <w:pPr>
              <w:pStyle w:val="TableParagraph"/>
              <w:ind w:left="114"/>
              <w:rPr>
                <w:sz w:val="20"/>
              </w:rPr>
            </w:pPr>
            <w:r>
              <w:rPr>
                <w:sz w:val="20"/>
              </w:rPr>
              <w:t>Source: Census: State Govt Tax Collections</w:t>
            </w:r>
          </w:p>
        </w:tc>
      </w:tr>
      <w:tr w:rsidR="0046798B" w14:paraId="439F2B57" w14:textId="77777777">
        <w:trPr>
          <w:trHeight w:val="1005"/>
        </w:trPr>
        <w:tc>
          <w:tcPr>
            <w:tcW w:w="1711" w:type="dxa"/>
          </w:tcPr>
          <w:p w14:paraId="7EE1AF14" w14:textId="77777777" w:rsidR="0046798B" w:rsidRDefault="0046798B">
            <w:pPr>
              <w:pStyle w:val="TableParagraph"/>
            </w:pPr>
          </w:p>
          <w:p w14:paraId="3306994A" w14:textId="77777777" w:rsidR="0046798B" w:rsidRDefault="00903B5C">
            <w:pPr>
              <w:pStyle w:val="TableParagraph"/>
              <w:spacing w:before="135"/>
              <w:ind w:left="115"/>
              <w:rPr>
                <w:b/>
                <w:sz w:val="20"/>
              </w:rPr>
            </w:pPr>
            <w:r>
              <w:rPr>
                <w:b/>
                <w:sz w:val="20"/>
              </w:rPr>
              <w:t>change_utiltax</w:t>
            </w:r>
          </w:p>
        </w:tc>
        <w:tc>
          <w:tcPr>
            <w:tcW w:w="1596" w:type="dxa"/>
          </w:tcPr>
          <w:p w14:paraId="1F336BA6" w14:textId="77777777" w:rsidR="0046798B" w:rsidRDefault="00903B5C">
            <w:pPr>
              <w:pStyle w:val="TableParagraph"/>
              <w:spacing w:before="43"/>
              <w:ind w:left="114" w:right="85"/>
              <w:rPr>
                <w:sz w:val="20"/>
              </w:rPr>
            </w:pPr>
            <w:r>
              <w:rPr>
                <w:sz w:val="20"/>
              </w:rPr>
              <w:t>Change in public utility tax revenues from previous year</w:t>
            </w:r>
          </w:p>
        </w:tc>
        <w:tc>
          <w:tcPr>
            <w:tcW w:w="1285" w:type="dxa"/>
          </w:tcPr>
          <w:p w14:paraId="12B588E3" w14:textId="77777777" w:rsidR="0046798B" w:rsidRDefault="0046798B">
            <w:pPr>
              <w:pStyle w:val="TableParagraph"/>
            </w:pPr>
          </w:p>
          <w:p w14:paraId="59512E2D" w14:textId="77777777" w:rsidR="0046798B" w:rsidRDefault="00903B5C">
            <w:pPr>
              <w:pStyle w:val="TableParagraph"/>
              <w:spacing w:before="135"/>
              <w:ind w:left="114"/>
              <w:rPr>
                <w:sz w:val="20"/>
              </w:rPr>
            </w:pPr>
            <w:r>
              <w:rPr>
                <w:sz w:val="20"/>
              </w:rPr>
              <w:t>1995–2014</w:t>
            </w:r>
          </w:p>
        </w:tc>
        <w:tc>
          <w:tcPr>
            <w:tcW w:w="3421" w:type="dxa"/>
          </w:tcPr>
          <w:p w14:paraId="1A6559A7" w14:textId="77777777" w:rsidR="0046798B" w:rsidRDefault="00903B5C">
            <w:pPr>
              <w:pStyle w:val="TableParagraph"/>
              <w:spacing w:before="158"/>
              <w:ind w:left="114"/>
              <w:rPr>
                <w:sz w:val="20"/>
              </w:rPr>
            </w:pPr>
            <w:r>
              <w:rPr>
                <w:sz w:val="20"/>
              </w:rPr>
              <w:t>Year over year percentage change in utility tax revenue (note controlled for impact of tax policy)</w:t>
            </w:r>
          </w:p>
        </w:tc>
        <w:tc>
          <w:tcPr>
            <w:tcW w:w="6482" w:type="dxa"/>
          </w:tcPr>
          <w:p w14:paraId="3D2D2553" w14:textId="77777777" w:rsidR="0046798B" w:rsidRDefault="00903B5C">
            <w:pPr>
              <w:pStyle w:val="TableParagraph"/>
              <w:spacing w:before="158"/>
              <w:ind w:left="114"/>
              <w:rPr>
                <w:i/>
                <w:sz w:val="20"/>
              </w:rPr>
            </w:pPr>
            <w:r>
              <w:rPr>
                <w:sz w:val="20"/>
              </w:rPr>
              <w:t xml:space="preserve">Pew Charitable Trusts, 2016. </w:t>
            </w:r>
            <w:r>
              <w:rPr>
                <w:i/>
                <w:sz w:val="20"/>
              </w:rPr>
              <w:t>Fiscal 50: State Trends and Analysis.</w:t>
            </w:r>
          </w:p>
          <w:p w14:paraId="07FDA9D6" w14:textId="77777777" w:rsidR="0046798B" w:rsidRDefault="0046798B">
            <w:pPr>
              <w:pStyle w:val="TableParagraph"/>
              <w:rPr>
                <w:sz w:val="20"/>
              </w:rPr>
            </w:pPr>
          </w:p>
          <w:p w14:paraId="29693190" w14:textId="77777777" w:rsidR="0046798B" w:rsidRDefault="00903B5C">
            <w:pPr>
              <w:pStyle w:val="TableParagraph"/>
              <w:ind w:left="114"/>
              <w:rPr>
                <w:sz w:val="20"/>
              </w:rPr>
            </w:pPr>
            <w:r>
              <w:rPr>
                <w:sz w:val="20"/>
              </w:rPr>
              <w:t>Source: Census: State Govt Tax Collections</w:t>
            </w:r>
          </w:p>
        </w:tc>
      </w:tr>
      <w:tr w:rsidR="0046798B" w14:paraId="20B2835C" w14:textId="77777777">
        <w:trPr>
          <w:trHeight w:val="1005"/>
        </w:trPr>
        <w:tc>
          <w:tcPr>
            <w:tcW w:w="1711" w:type="dxa"/>
          </w:tcPr>
          <w:p w14:paraId="4C4E9421" w14:textId="77777777" w:rsidR="0046798B" w:rsidRDefault="0046798B">
            <w:pPr>
              <w:pStyle w:val="TableParagraph"/>
            </w:pPr>
          </w:p>
          <w:p w14:paraId="7D958290" w14:textId="77777777" w:rsidR="0046798B" w:rsidRDefault="00903B5C">
            <w:pPr>
              <w:pStyle w:val="TableParagraph"/>
              <w:spacing w:before="135"/>
              <w:ind w:left="115"/>
              <w:rPr>
                <w:b/>
                <w:sz w:val="20"/>
              </w:rPr>
            </w:pPr>
            <w:r>
              <w:rPr>
                <w:b/>
                <w:sz w:val="20"/>
              </w:rPr>
              <w:t>change_vehtax</w:t>
            </w:r>
          </w:p>
        </w:tc>
        <w:tc>
          <w:tcPr>
            <w:tcW w:w="1596" w:type="dxa"/>
          </w:tcPr>
          <w:p w14:paraId="6BBEC093" w14:textId="77777777" w:rsidR="0046798B" w:rsidRDefault="00903B5C">
            <w:pPr>
              <w:pStyle w:val="TableParagraph"/>
              <w:spacing w:before="43"/>
              <w:ind w:left="114" w:right="107"/>
              <w:rPr>
                <w:sz w:val="20"/>
              </w:rPr>
            </w:pPr>
            <w:r>
              <w:rPr>
                <w:sz w:val="20"/>
              </w:rPr>
              <w:t>Change in motor vehicles tax revenue from previous year</w:t>
            </w:r>
          </w:p>
        </w:tc>
        <w:tc>
          <w:tcPr>
            <w:tcW w:w="1285" w:type="dxa"/>
          </w:tcPr>
          <w:p w14:paraId="0FEEC7C2" w14:textId="77777777" w:rsidR="0046798B" w:rsidRDefault="0046798B">
            <w:pPr>
              <w:pStyle w:val="TableParagraph"/>
            </w:pPr>
          </w:p>
          <w:p w14:paraId="567216CC" w14:textId="77777777" w:rsidR="0046798B" w:rsidRDefault="00903B5C">
            <w:pPr>
              <w:pStyle w:val="TableParagraph"/>
              <w:spacing w:before="135"/>
              <w:ind w:left="114"/>
              <w:rPr>
                <w:sz w:val="20"/>
              </w:rPr>
            </w:pPr>
            <w:r>
              <w:rPr>
                <w:sz w:val="20"/>
              </w:rPr>
              <w:t>1995–2014</w:t>
            </w:r>
          </w:p>
        </w:tc>
        <w:tc>
          <w:tcPr>
            <w:tcW w:w="3421" w:type="dxa"/>
          </w:tcPr>
          <w:p w14:paraId="71E16839" w14:textId="77777777" w:rsidR="0046798B" w:rsidRDefault="00903B5C">
            <w:pPr>
              <w:pStyle w:val="TableParagraph"/>
              <w:spacing w:before="158"/>
              <w:ind w:left="114" w:right="351"/>
              <w:rPr>
                <w:sz w:val="20"/>
              </w:rPr>
            </w:pPr>
            <w:r>
              <w:rPr>
                <w:sz w:val="20"/>
              </w:rPr>
              <w:t>Year over year percentage change in motor vehicle tax revenue (note controlled for impact of tax policy)</w:t>
            </w:r>
          </w:p>
        </w:tc>
        <w:tc>
          <w:tcPr>
            <w:tcW w:w="6482" w:type="dxa"/>
          </w:tcPr>
          <w:p w14:paraId="6F6843EC" w14:textId="77777777" w:rsidR="0046798B" w:rsidRDefault="00903B5C">
            <w:pPr>
              <w:pStyle w:val="TableParagraph"/>
              <w:spacing w:before="158"/>
              <w:ind w:left="114"/>
              <w:rPr>
                <w:i/>
                <w:sz w:val="20"/>
              </w:rPr>
            </w:pPr>
            <w:r>
              <w:rPr>
                <w:sz w:val="20"/>
              </w:rPr>
              <w:t xml:space="preserve">Pew Charitable Trusts, 2016. </w:t>
            </w:r>
            <w:r>
              <w:rPr>
                <w:i/>
                <w:sz w:val="20"/>
              </w:rPr>
              <w:t>Fiscal 50: State Trends and Analysis.</w:t>
            </w:r>
          </w:p>
          <w:p w14:paraId="0E02A043" w14:textId="77777777" w:rsidR="0046798B" w:rsidRDefault="0046798B">
            <w:pPr>
              <w:pStyle w:val="TableParagraph"/>
              <w:rPr>
                <w:sz w:val="20"/>
              </w:rPr>
            </w:pPr>
          </w:p>
          <w:p w14:paraId="15CAD0A2" w14:textId="77777777" w:rsidR="0046798B" w:rsidRDefault="00903B5C">
            <w:pPr>
              <w:pStyle w:val="TableParagraph"/>
              <w:ind w:left="114"/>
              <w:rPr>
                <w:sz w:val="20"/>
              </w:rPr>
            </w:pPr>
            <w:r>
              <w:rPr>
                <w:sz w:val="20"/>
              </w:rPr>
              <w:t>Source: Census: State Govt Tax Collections</w:t>
            </w:r>
          </w:p>
        </w:tc>
      </w:tr>
      <w:tr w:rsidR="0046798B" w14:paraId="175ED6C5" w14:textId="77777777">
        <w:trPr>
          <w:trHeight w:val="1010"/>
        </w:trPr>
        <w:tc>
          <w:tcPr>
            <w:tcW w:w="1711" w:type="dxa"/>
          </w:tcPr>
          <w:p w14:paraId="7B663636" w14:textId="77777777" w:rsidR="0046798B" w:rsidRDefault="0046798B">
            <w:pPr>
              <w:pStyle w:val="TableParagraph"/>
              <w:spacing w:before="8"/>
              <w:rPr>
                <w:sz w:val="23"/>
              </w:rPr>
            </w:pPr>
          </w:p>
          <w:p w14:paraId="1B3AB4FF" w14:textId="77777777" w:rsidR="0046798B" w:rsidRDefault="00903B5C">
            <w:pPr>
              <w:pStyle w:val="TableParagraph"/>
              <w:spacing w:before="1"/>
              <w:ind w:left="115" w:right="166"/>
              <w:rPr>
                <w:b/>
                <w:sz w:val="20"/>
              </w:rPr>
            </w:pPr>
            <w:r>
              <w:rPr>
                <w:b/>
                <w:sz w:val="20"/>
              </w:rPr>
              <w:t>dayreserve_genf und</w:t>
            </w:r>
          </w:p>
        </w:tc>
        <w:tc>
          <w:tcPr>
            <w:tcW w:w="1596" w:type="dxa"/>
          </w:tcPr>
          <w:p w14:paraId="363E6C62" w14:textId="77777777" w:rsidR="0046798B" w:rsidRDefault="00903B5C">
            <w:pPr>
              <w:pStyle w:val="TableParagraph"/>
              <w:spacing w:before="43"/>
              <w:ind w:left="114" w:right="224"/>
              <w:rPr>
                <w:sz w:val="20"/>
              </w:rPr>
            </w:pPr>
            <w:r>
              <w:rPr>
                <w:sz w:val="20"/>
              </w:rPr>
              <w:t>Days’ worth of general Fund expenditures in reserve</w:t>
            </w:r>
          </w:p>
        </w:tc>
        <w:tc>
          <w:tcPr>
            <w:tcW w:w="1285" w:type="dxa"/>
          </w:tcPr>
          <w:p w14:paraId="13D0CBF6" w14:textId="77777777" w:rsidR="0046798B" w:rsidRDefault="0046798B">
            <w:pPr>
              <w:pStyle w:val="TableParagraph"/>
            </w:pPr>
          </w:p>
          <w:p w14:paraId="4C2D6679" w14:textId="77777777" w:rsidR="0046798B" w:rsidRDefault="00903B5C">
            <w:pPr>
              <w:pStyle w:val="TableParagraph"/>
              <w:spacing w:before="135"/>
              <w:ind w:left="114"/>
              <w:rPr>
                <w:sz w:val="20"/>
              </w:rPr>
            </w:pPr>
            <w:r>
              <w:rPr>
                <w:sz w:val="20"/>
              </w:rPr>
              <w:t>2000–2015</w:t>
            </w:r>
          </w:p>
        </w:tc>
        <w:tc>
          <w:tcPr>
            <w:tcW w:w="3421" w:type="dxa"/>
          </w:tcPr>
          <w:p w14:paraId="04C0FC17" w14:textId="77777777" w:rsidR="0046798B" w:rsidRDefault="0046798B">
            <w:pPr>
              <w:pStyle w:val="TableParagraph"/>
              <w:spacing w:before="8"/>
              <w:rPr>
                <w:sz w:val="23"/>
              </w:rPr>
            </w:pPr>
          </w:p>
          <w:p w14:paraId="7A93A072" w14:textId="77777777" w:rsidR="0046798B" w:rsidRDefault="00903B5C">
            <w:pPr>
              <w:pStyle w:val="TableParagraph"/>
              <w:spacing w:before="1"/>
              <w:ind w:left="114" w:right="678"/>
              <w:rPr>
                <w:sz w:val="20"/>
              </w:rPr>
            </w:pPr>
            <w:r>
              <w:rPr>
                <w:sz w:val="20"/>
              </w:rPr>
              <w:t>State reserves as a share of daily general expenditures</w:t>
            </w:r>
          </w:p>
        </w:tc>
        <w:tc>
          <w:tcPr>
            <w:tcW w:w="6482" w:type="dxa"/>
          </w:tcPr>
          <w:p w14:paraId="0C7F280F" w14:textId="77777777" w:rsidR="0046798B" w:rsidRDefault="00903B5C">
            <w:pPr>
              <w:pStyle w:val="TableParagraph"/>
              <w:spacing w:before="43"/>
              <w:ind w:left="114"/>
              <w:rPr>
                <w:i/>
                <w:sz w:val="20"/>
              </w:rPr>
            </w:pPr>
            <w:r>
              <w:rPr>
                <w:sz w:val="20"/>
              </w:rPr>
              <w:t xml:space="preserve">Pew Charitable Trusts, 2016. </w:t>
            </w:r>
            <w:r>
              <w:rPr>
                <w:i/>
                <w:sz w:val="20"/>
              </w:rPr>
              <w:t>Fiscal 50: State Trends and Analysis.</w:t>
            </w:r>
          </w:p>
          <w:p w14:paraId="053077A2" w14:textId="77777777" w:rsidR="0046798B" w:rsidRDefault="0046798B">
            <w:pPr>
              <w:pStyle w:val="TableParagraph"/>
              <w:rPr>
                <w:sz w:val="20"/>
              </w:rPr>
            </w:pPr>
          </w:p>
          <w:p w14:paraId="2F6A2D76" w14:textId="77777777" w:rsidR="0046798B" w:rsidRDefault="00903B5C">
            <w:pPr>
              <w:pStyle w:val="TableParagraph"/>
              <w:ind w:left="114" w:right="394"/>
              <w:rPr>
                <w:sz w:val="20"/>
              </w:rPr>
            </w:pPr>
            <w:r>
              <w:rPr>
                <w:sz w:val="20"/>
              </w:rPr>
              <w:t>Source: The Fiscal Survey of States: National Association of State Budget Offices</w:t>
            </w:r>
          </w:p>
        </w:tc>
      </w:tr>
    </w:tbl>
    <w:p w14:paraId="2C62014F" w14:textId="77777777" w:rsidR="0046798B" w:rsidRDefault="0046798B">
      <w:pPr>
        <w:rPr>
          <w:sz w:val="20"/>
        </w:rPr>
        <w:sectPr w:rsidR="0046798B">
          <w:pgSz w:w="15840" w:h="12240" w:orient="landscape"/>
          <w:pgMar w:top="1220" w:right="300" w:bottom="980" w:left="820" w:header="730" w:footer="787" w:gutter="0"/>
          <w:cols w:space="720"/>
        </w:sectPr>
      </w:pPr>
    </w:p>
    <w:p w14:paraId="46D900F3"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69C16D67" w14:textId="77777777">
        <w:trPr>
          <w:trHeight w:val="1005"/>
        </w:trPr>
        <w:tc>
          <w:tcPr>
            <w:tcW w:w="1711" w:type="dxa"/>
          </w:tcPr>
          <w:p w14:paraId="0E064E89" w14:textId="77777777" w:rsidR="0046798B" w:rsidRDefault="0046798B">
            <w:pPr>
              <w:pStyle w:val="TableParagraph"/>
            </w:pPr>
          </w:p>
          <w:p w14:paraId="22FF9299" w14:textId="77777777" w:rsidR="0046798B" w:rsidRDefault="00903B5C">
            <w:pPr>
              <w:pStyle w:val="TableParagraph"/>
              <w:spacing w:before="135"/>
              <w:ind w:left="115"/>
              <w:rPr>
                <w:b/>
                <w:sz w:val="20"/>
              </w:rPr>
            </w:pPr>
            <w:r>
              <w:rPr>
                <w:b/>
                <w:sz w:val="20"/>
              </w:rPr>
              <w:t>employ_pop</w:t>
            </w:r>
          </w:p>
        </w:tc>
        <w:tc>
          <w:tcPr>
            <w:tcW w:w="1596" w:type="dxa"/>
          </w:tcPr>
          <w:p w14:paraId="41A7AD3B" w14:textId="77777777" w:rsidR="0046798B" w:rsidRDefault="00903B5C">
            <w:pPr>
              <w:pStyle w:val="TableParagraph"/>
              <w:spacing w:before="158"/>
              <w:ind w:left="114" w:right="180"/>
              <w:rPr>
                <w:sz w:val="20"/>
              </w:rPr>
            </w:pPr>
            <w:r>
              <w:rPr>
                <w:sz w:val="20"/>
              </w:rPr>
              <w:t>Rolling employment to population ratio</w:t>
            </w:r>
          </w:p>
        </w:tc>
        <w:tc>
          <w:tcPr>
            <w:tcW w:w="1285" w:type="dxa"/>
          </w:tcPr>
          <w:p w14:paraId="58AD8C5F" w14:textId="77777777" w:rsidR="0046798B" w:rsidRDefault="0046798B">
            <w:pPr>
              <w:pStyle w:val="TableParagraph"/>
            </w:pPr>
          </w:p>
          <w:p w14:paraId="14EEED7C" w14:textId="77777777" w:rsidR="0046798B" w:rsidRDefault="00903B5C">
            <w:pPr>
              <w:pStyle w:val="TableParagraph"/>
              <w:spacing w:before="135"/>
              <w:ind w:left="114"/>
              <w:rPr>
                <w:sz w:val="20"/>
              </w:rPr>
            </w:pPr>
            <w:r>
              <w:rPr>
                <w:sz w:val="20"/>
              </w:rPr>
              <w:t>2008–2015</w:t>
            </w:r>
          </w:p>
        </w:tc>
        <w:tc>
          <w:tcPr>
            <w:tcW w:w="3421" w:type="dxa"/>
          </w:tcPr>
          <w:p w14:paraId="2D1960C6" w14:textId="77777777" w:rsidR="0046798B" w:rsidRDefault="00903B5C">
            <w:pPr>
              <w:pStyle w:val="TableParagraph"/>
              <w:spacing w:before="43"/>
              <w:ind w:left="114" w:right="282"/>
              <w:rPr>
                <w:sz w:val="20"/>
              </w:rPr>
            </w:pPr>
            <w:r>
              <w:rPr>
                <w:sz w:val="20"/>
              </w:rPr>
              <w:t>Ratio of employed people among civilian, noninstitutionalized 25 to 54 year olds (annualized average of four quarters)</w:t>
            </w:r>
          </w:p>
        </w:tc>
        <w:tc>
          <w:tcPr>
            <w:tcW w:w="6482" w:type="dxa"/>
          </w:tcPr>
          <w:p w14:paraId="41A264A5" w14:textId="77777777" w:rsidR="0046798B" w:rsidRDefault="00903B5C">
            <w:pPr>
              <w:pStyle w:val="TableParagraph"/>
              <w:spacing w:before="158"/>
              <w:ind w:left="114"/>
              <w:rPr>
                <w:i/>
                <w:sz w:val="20"/>
              </w:rPr>
            </w:pPr>
            <w:r>
              <w:rPr>
                <w:sz w:val="20"/>
              </w:rPr>
              <w:t xml:space="preserve">Pew Charitable Trusts, 2016. </w:t>
            </w:r>
            <w:r>
              <w:rPr>
                <w:i/>
                <w:sz w:val="20"/>
              </w:rPr>
              <w:t>Fiscal 50: State Trends and Analysis.</w:t>
            </w:r>
          </w:p>
          <w:p w14:paraId="0DFBEA2E" w14:textId="77777777" w:rsidR="0046798B" w:rsidRDefault="0046798B">
            <w:pPr>
              <w:pStyle w:val="TableParagraph"/>
              <w:rPr>
                <w:sz w:val="20"/>
              </w:rPr>
            </w:pPr>
          </w:p>
          <w:p w14:paraId="1453B131" w14:textId="77777777" w:rsidR="0046798B" w:rsidRDefault="00903B5C">
            <w:pPr>
              <w:pStyle w:val="TableParagraph"/>
              <w:ind w:left="114"/>
              <w:rPr>
                <w:sz w:val="20"/>
              </w:rPr>
            </w:pPr>
            <w:r>
              <w:rPr>
                <w:sz w:val="20"/>
              </w:rPr>
              <w:t>Source: Current Population Survey: BLS/Census Bureau</w:t>
            </w:r>
          </w:p>
        </w:tc>
      </w:tr>
      <w:tr w:rsidR="0046798B" w14:paraId="1D73F0B1" w14:textId="77777777">
        <w:trPr>
          <w:trHeight w:val="1005"/>
        </w:trPr>
        <w:tc>
          <w:tcPr>
            <w:tcW w:w="1711" w:type="dxa"/>
          </w:tcPr>
          <w:p w14:paraId="3C8F08FF" w14:textId="77777777" w:rsidR="0046798B" w:rsidRDefault="0046798B">
            <w:pPr>
              <w:pStyle w:val="TableParagraph"/>
              <w:spacing w:before="8"/>
              <w:rPr>
                <w:sz w:val="23"/>
              </w:rPr>
            </w:pPr>
          </w:p>
          <w:p w14:paraId="5658ECC9" w14:textId="77777777" w:rsidR="0046798B" w:rsidRDefault="00903B5C">
            <w:pPr>
              <w:pStyle w:val="TableParagraph"/>
              <w:spacing w:before="1"/>
              <w:ind w:left="115"/>
              <w:rPr>
                <w:b/>
                <w:sz w:val="20"/>
              </w:rPr>
            </w:pPr>
            <w:r>
              <w:rPr>
                <w:b/>
                <w:sz w:val="20"/>
              </w:rPr>
              <w:t>endingbal_rainy day</w:t>
            </w:r>
          </w:p>
        </w:tc>
        <w:tc>
          <w:tcPr>
            <w:tcW w:w="1596" w:type="dxa"/>
          </w:tcPr>
          <w:p w14:paraId="2C80C62B" w14:textId="77777777" w:rsidR="0046798B" w:rsidRDefault="00903B5C">
            <w:pPr>
              <w:pStyle w:val="TableParagraph"/>
              <w:spacing w:before="158"/>
              <w:ind w:left="114" w:right="213"/>
              <w:rPr>
                <w:sz w:val="20"/>
              </w:rPr>
            </w:pPr>
            <w:r>
              <w:rPr>
                <w:sz w:val="20"/>
              </w:rPr>
              <w:t>Ending balance plus rainy day funds</w:t>
            </w:r>
          </w:p>
        </w:tc>
        <w:tc>
          <w:tcPr>
            <w:tcW w:w="1285" w:type="dxa"/>
          </w:tcPr>
          <w:p w14:paraId="633F2FB8" w14:textId="77777777" w:rsidR="0046798B" w:rsidRDefault="0046798B">
            <w:pPr>
              <w:pStyle w:val="TableParagraph"/>
            </w:pPr>
          </w:p>
          <w:p w14:paraId="0A16865B" w14:textId="77777777" w:rsidR="0046798B" w:rsidRDefault="00903B5C">
            <w:pPr>
              <w:pStyle w:val="TableParagraph"/>
              <w:spacing w:before="135"/>
              <w:ind w:left="114"/>
              <w:rPr>
                <w:sz w:val="20"/>
              </w:rPr>
            </w:pPr>
            <w:r>
              <w:rPr>
                <w:sz w:val="20"/>
              </w:rPr>
              <w:t>2000–2015</w:t>
            </w:r>
          </w:p>
        </w:tc>
        <w:tc>
          <w:tcPr>
            <w:tcW w:w="3421" w:type="dxa"/>
          </w:tcPr>
          <w:p w14:paraId="1D2D02BD" w14:textId="77777777" w:rsidR="0046798B" w:rsidRDefault="00903B5C">
            <w:pPr>
              <w:pStyle w:val="TableParagraph"/>
              <w:spacing w:before="158"/>
              <w:ind w:left="114" w:right="122"/>
              <w:rPr>
                <w:sz w:val="20"/>
              </w:rPr>
            </w:pPr>
            <w:r>
              <w:rPr>
                <w:sz w:val="20"/>
              </w:rPr>
              <w:t>Sum of general fund ending balances plus rainy day fund ending balances (in millions)</w:t>
            </w:r>
          </w:p>
        </w:tc>
        <w:tc>
          <w:tcPr>
            <w:tcW w:w="6482" w:type="dxa"/>
          </w:tcPr>
          <w:p w14:paraId="62CED08B" w14:textId="77777777" w:rsidR="0046798B" w:rsidRDefault="00903B5C">
            <w:pPr>
              <w:pStyle w:val="TableParagraph"/>
              <w:spacing w:before="43"/>
              <w:ind w:left="114"/>
              <w:rPr>
                <w:i/>
                <w:sz w:val="20"/>
              </w:rPr>
            </w:pPr>
            <w:r>
              <w:rPr>
                <w:sz w:val="20"/>
              </w:rPr>
              <w:t xml:space="preserve">Pew Charitable Trusts, 2016. </w:t>
            </w:r>
            <w:r>
              <w:rPr>
                <w:i/>
                <w:sz w:val="20"/>
              </w:rPr>
              <w:t>Fiscal 50: State Trends and Analysis.</w:t>
            </w:r>
          </w:p>
          <w:p w14:paraId="33235411" w14:textId="77777777" w:rsidR="0046798B" w:rsidRDefault="0046798B">
            <w:pPr>
              <w:pStyle w:val="TableParagraph"/>
              <w:rPr>
                <w:sz w:val="20"/>
              </w:rPr>
            </w:pPr>
          </w:p>
          <w:p w14:paraId="6D5CD568" w14:textId="77777777" w:rsidR="0046798B" w:rsidRDefault="00903B5C">
            <w:pPr>
              <w:pStyle w:val="TableParagraph"/>
              <w:spacing w:before="1"/>
              <w:ind w:left="114" w:right="394"/>
              <w:rPr>
                <w:sz w:val="20"/>
              </w:rPr>
            </w:pPr>
            <w:r>
              <w:rPr>
                <w:sz w:val="20"/>
              </w:rPr>
              <w:t>Source: The Fiscal Survey of States: National Association of State Budget Offices</w:t>
            </w:r>
          </w:p>
        </w:tc>
      </w:tr>
      <w:tr w:rsidR="0046798B" w14:paraId="1BE004A3" w14:textId="77777777">
        <w:trPr>
          <w:trHeight w:val="780"/>
        </w:trPr>
        <w:tc>
          <w:tcPr>
            <w:tcW w:w="1711" w:type="dxa"/>
          </w:tcPr>
          <w:p w14:paraId="03E57E29" w14:textId="77777777" w:rsidR="0046798B" w:rsidRDefault="0046798B">
            <w:pPr>
              <w:pStyle w:val="TableParagraph"/>
              <w:spacing w:before="8"/>
              <w:rPr>
                <w:sz w:val="23"/>
              </w:rPr>
            </w:pPr>
          </w:p>
          <w:p w14:paraId="1625A5CB" w14:textId="77777777" w:rsidR="0046798B" w:rsidRDefault="00903B5C">
            <w:pPr>
              <w:pStyle w:val="TableParagraph"/>
              <w:spacing w:before="1"/>
              <w:ind w:left="115"/>
              <w:rPr>
                <w:b/>
                <w:sz w:val="20"/>
              </w:rPr>
            </w:pPr>
            <w:r>
              <w:rPr>
                <w:b/>
                <w:sz w:val="20"/>
              </w:rPr>
              <w:t>fedshare_rev</w:t>
            </w:r>
          </w:p>
        </w:tc>
        <w:tc>
          <w:tcPr>
            <w:tcW w:w="1596" w:type="dxa"/>
          </w:tcPr>
          <w:p w14:paraId="3D560761" w14:textId="77777777" w:rsidR="0046798B" w:rsidRDefault="00903B5C">
            <w:pPr>
              <w:pStyle w:val="TableParagraph"/>
              <w:spacing w:before="158"/>
              <w:ind w:left="114" w:right="163"/>
              <w:rPr>
                <w:sz w:val="20"/>
              </w:rPr>
            </w:pPr>
            <w:r>
              <w:rPr>
                <w:sz w:val="20"/>
              </w:rPr>
              <w:t>Federal share of state revenue</w:t>
            </w:r>
          </w:p>
        </w:tc>
        <w:tc>
          <w:tcPr>
            <w:tcW w:w="1285" w:type="dxa"/>
          </w:tcPr>
          <w:p w14:paraId="2865FBA4" w14:textId="77777777" w:rsidR="0046798B" w:rsidRDefault="0046798B">
            <w:pPr>
              <w:pStyle w:val="TableParagraph"/>
              <w:spacing w:before="8"/>
              <w:rPr>
                <w:sz w:val="23"/>
              </w:rPr>
            </w:pPr>
          </w:p>
          <w:p w14:paraId="6B738F87" w14:textId="77777777" w:rsidR="0046798B" w:rsidRDefault="00903B5C">
            <w:pPr>
              <w:pStyle w:val="TableParagraph"/>
              <w:spacing w:before="1"/>
              <w:ind w:left="114"/>
              <w:rPr>
                <w:sz w:val="20"/>
              </w:rPr>
            </w:pPr>
            <w:r>
              <w:rPr>
                <w:sz w:val="20"/>
              </w:rPr>
              <w:t>2000–2014</w:t>
            </w:r>
          </w:p>
        </w:tc>
        <w:tc>
          <w:tcPr>
            <w:tcW w:w="3421" w:type="dxa"/>
          </w:tcPr>
          <w:p w14:paraId="4B561CC9" w14:textId="77777777" w:rsidR="0046798B" w:rsidRDefault="00903B5C">
            <w:pPr>
              <w:pStyle w:val="TableParagraph"/>
              <w:spacing w:before="158"/>
              <w:ind w:left="114" w:right="128"/>
              <w:rPr>
                <w:sz w:val="20"/>
              </w:rPr>
            </w:pPr>
            <w:r>
              <w:rPr>
                <w:sz w:val="20"/>
              </w:rPr>
              <w:t>Federal revenue as a share of total state revenue</w:t>
            </w:r>
          </w:p>
        </w:tc>
        <w:tc>
          <w:tcPr>
            <w:tcW w:w="6482" w:type="dxa"/>
          </w:tcPr>
          <w:p w14:paraId="419B36D7" w14:textId="77777777" w:rsidR="0046798B" w:rsidRDefault="00903B5C">
            <w:pPr>
              <w:pStyle w:val="TableParagraph"/>
              <w:spacing w:before="43"/>
              <w:ind w:left="114"/>
              <w:rPr>
                <w:i/>
                <w:sz w:val="20"/>
              </w:rPr>
            </w:pPr>
            <w:r>
              <w:rPr>
                <w:sz w:val="20"/>
              </w:rPr>
              <w:t xml:space="preserve">Pew Charitable Trusts, 2016. </w:t>
            </w:r>
            <w:r>
              <w:rPr>
                <w:i/>
                <w:sz w:val="20"/>
              </w:rPr>
              <w:t>Fiscal 50: State Trends and Analysis.</w:t>
            </w:r>
          </w:p>
          <w:p w14:paraId="7A93BE8D" w14:textId="77777777" w:rsidR="0046798B" w:rsidRDefault="0046798B">
            <w:pPr>
              <w:pStyle w:val="TableParagraph"/>
              <w:rPr>
                <w:sz w:val="20"/>
              </w:rPr>
            </w:pPr>
          </w:p>
          <w:p w14:paraId="11022F5F" w14:textId="77777777" w:rsidR="0046798B" w:rsidRDefault="00903B5C">
            <w:pPr>
              <w:pStyle w:val="TableParagraph"/>
              <w:ind w:left="114"/>
              <w:rPr>
                <w:sz w:val="20"/>
              </w:rPr>
            </w:pPr>
            <w:r>
              <w:rPr>
                <w:sz w:val="20"/>
              </w:rPr>
              <w:t>Source: Census: State Govt Tax Collections</w:t>
            </w:r>
          </w:p>
        </w:tc>
      </w:tr>
      <w:tr w:rsidR="0046798B" w14:paraId="49D8847A" w14:textId="77777777">
        <w:trPr>
          <w:trHeight w:val="1005"/>
        </w:trPr>
        <w:tc>
          <w:tcPr>
            <w:tcW w:w="1711" w:type="dxa"/>
          </w:tcPr>
          <w:p w14:paraId="7C1EB2BC" w14:textId="77777777" w:rsidR="0046798B" w:rsidRDefault="0046798B">
            <w:pPr>
              <w:pStyle w:val="TableParagraph"/>
              <w:spacing w:before="4"/>
              <w:rPr>
                <w:sz w:val="23"/>
              </w:rPr>
            </w:pPr>
          </w:p>
          <w:p w14:paraId="40BBC81D" w14:textId="77777777" w:rsidR="0046798B" w:rsidRDefault="00903B5C">
            <w:pPr>
              <w:pStyle w:val="TableParagraph"/>
              <w:ind w:left="115" w:right="132"/>
              <w:rPr>
                <w:b/>
                <w:sz w:val="20"/>
              </w:rPr>
            </w:pPr>
            <w:r>
              <w:rPr>
                <w:b/>
                <w:sz w:val="20"/>
              </w:rPr>
              <w:t>med_spending_o wn</w:t>
            </w:r>
          </w:p>
        </w:tc>
        <w:tc>
          <w:tcPr>
            <w:tcW w:w="1596" w:type="dxa"/>
          </w:tcPr>
          <w:p w14:paraId="7EF8D713" w14:textId="77777777" w:rsidR="0046798B" w:rsidRDefault="00903B5C">
            <w:pPr>
              <w:pStyle w:val="TableParagraph"/>
              <w:spacing w:before="38"/>
              <w:ind w:left="114" w:right="149"/>
              <w:rPr>
                <w:sz w:val="20"/>
              </w:rPr>
            </w:pPr>
            <w:r>
              <w:rPr>
                <w:sz w:val="20"/>
              </w:rPr>
              <w:t>Medicaid spending divided by own- source revenue</w:t>
            </w:r>
          </w:p>
        </w:tc>
        <w:tc>
          <w:tcPr>
            <w:tcW w:w="1285" w:type="dxa"/>
          </w:tcPr>
          <w:p w14:paraId="2B5FEC3D" w14:textId="77777777" w:rsidR="0046798B" w:rsidRDefault="0046798B">
            <w:pPr>
              <w:pStyle w:val="TableParagraph"/>
            </w:pPr>
          </w:p>
          <w:p w14:paraId="19F6AF36" w14:textId="77777777" w:rsidR="0046798B" w:rsidRDefault="00903B5C">
            <w:pPr>
              <w:pStyle w:val="TableParagraph"/>
              <w:spacing w:before="130"/>
              <w:ind w:left="114"/>
              <w:rPr>
                <w:sz w:val="20"/>
              </w:rPr>
            </w:pPr>
            <w:r>
              <w:rPr>
                <w:sz w:val="20"/>
              </w:rPr>
              <w:t>2000–2014</w:t>
            </w:r>
          </w:p>
        </w:tc>
        <w:tc>
          <w:tcPr>
            <w:tcW w:w="3421" w:type="dxa"/>
          </w:tcPr>
          <w:p w14:paraId="27AC764C" w14:textId="77777777" w:rsidR="0046798B" w:rsidRDefault="00903B5C">
            <w:pPr>
              <w:pStyle w:val="TableParagraph"/>
              <w:spacing w:before="153"/>
              <w:ind w:left="114" w:right="280"/>
              <w:rPr>
                <w:sz w:val="20"/>
              </w:rPr>
            </w:pPr>
            <w:r>
              <w:rPr>
                <w:sz w:val="20"/>
              </w:rPr>
              <w:t>State funded Medicaid spending as a share of own-source revenue (general revenue-federal funds)</w:t>
            </w:r>
          </w:p>
        </w:tc>
        <w:tc>
          <w:tcPr>
            <w:tcW w:w="6482" w:type="dxa"/>
          </w:tcPr>
          <w:p w14:paraId="1E43069F" w14:textId="77777777" w:rsidR="0046798B" w:rsidRDefault="00903B5C">
            <w:pPr>
              <w:pStyle w:val="TableParagraph"/>
              <w:spacing w:before="38"/>
              <w:ind w:left="114"/>
              <w:rPr>
                <w:i/>
                <w:sz w:val="20"/>
              </w:rPr>
            </w:pPr>
            <w:r>
              <w:rPr>
                <w:sz w:val="20"/>
              </w:rPr>
              <w:t xml:space="preserve">Pew Charitable Trusts, 2016. </w:t>
            </w:r>
            <w:r>
              <w:rPr>
                <w:i/>
                <w:sz w:val="20"/>
              </w:rPr>
              <w:t>Fiscal 50: State Trends and Analysis.</w:t>
            </w:r>
          </w:p>
          <w:p w14:paraId="0C61C068" w14:textId="77777777" w:rsidR="0046798B" w:rsidRDefault="0046798B">
            <w:pPr>
              <w:pStyle w:val="TableParagraph"/>
              <w:rPr>
                <w:sz w:val="20"/>
              </w:rPr>
            </w:pPr>
          </w:p>
          <w:p w14:paraId="1D1F0391" w14:textId="77777777" w:rsidR="0046798B" w:rsidRDefault="00903B5C">
            <w:pPr>
              <w:pStyle w:val="TableParagraph"/>
              <w:ind w:left="114" w:right="217"/>
              <w:rPr>
                <w:sz w:val="20"/>
              </w:rPr>
            </w:pPr>
            <w:r>
              <w:rPr>
                <w:sz w:val="20"/>
              </w:rPr>
              <w:t>Source: Centers for Medicare &amp; Medicaid Services, Census: Annual Survey of State Govt Finances</w:t>
            </w:r>
          </w:p>
        </w:tc>
      </w:tr>
      <w:tr w:rsidR="0046798B" w14:paraId="4E7FC906" w14:textId="77777777">
        <w:trPr>
          <w:trHeight w:val="1005"/>
        </w:trPr>
        <w:tc>
          <w:tcPr>
            <w:tcW w:w="1711" w:type="dxa"/>
          </w:tcPr>
          <w:p w14:paraId="125F1C02" w14:textId="77777777" w:rsidR="0046798B" w:rsidRDefault="0046798B">
            <w:pPr>
              <w:pStyle w:val="TableParagraph"/>
            </w:pPr>
          </w:p>
          <w:p w14:paraId="65C22A7A" w14:textId="77777777" w:rsidR="0046798B" w:rsidRDefault="00903B5C">
            <w:pPr>
              <w:pStyle w:val="TableParagraph"/>
              <w:spacing w:before="130"/>
              <w:ind w:left="115"/>
              <w:rPr>
                <w:b/>
                <w:sz w:val="20"/>
              </w:rPr>
            </w:pPr>
            <w:r>
              <w:rPr>
                <w:b/>
                <w:sz w:val="20"/>
              </w:rPr>
              <w:t>res_genfund</w:t>
            </w:r>
          </w:p>
        </w:tc>
        <w:tc>
          <w:tcPr>
            <w:tcW w:w="1596" w:type="dxa"/>
          </w:tcPr>
          <w:p w14:paraId="64E47B89" w14:textId="77777777" w:rsidR="0046798B" w:rsidRDefault="00903B5C">
            <w:pPr>
              <w:pStyle w:val="TableParagraph"/>
              <w:spacing w:before="38"/>
              <w:ind w:left="114" w:right="374"/>
              <w:rPr>
                <w:sz w:val="20"/>
              </w:rPr>
            </w:pPr>
            <w:r>
              <w:rPr>
                <w:sz w:val="20"/>
              </w:rPr>
              <w:t>Reserves as a percent of general fund expenditures</w:t>
            </w:r>
          </w:p>
        </w:tc>
        <w:tc>
          <w:tcPr>
            <w:tcW w:w="1285" w:type="dxa"/>
          </w:tcPr>
          <w:p w14:paraId="2C642238" w14:textId="77777777" w:rsidR="0046798B" w:rsidRDefault="0046798B">
            <w:pPr>
              <w:pStyle w:val="TableParagraph"/>
            </w:pPr>
          </w:p>
          <w:p w14:paraId="188183F4" w14:textId="77777777" w:rsidR="0046798B" w:rsidRDefault="00903B5C">
            <w:pPr>
              <w:pStyle w:val="TableParagraph"/>
              <w:spacing w:before="130"/>
              <w:ind w:left="114"/>
              <w:rPr>
                <w:sz w:val="20"/>
              </w:rPr>
            </w:pPr>
            <w:r>
              <w:rPr>
                <w:sz w:val="20"/>
              </w:rPr>
              <w:t>2000–2015</w:t>
            </w:r>
          </w:p>
        </w:tc>
        <w:tc>
          <w:tcPr>
            <w:tcW w:w="3421" w:type="dxa"/>
          </w:tcPr>
          <w:p w14:paraId="3BAFF7AA" w14:textId="77777777" w:rsidR="0046798B" w:rsidRDefault="00903B5C">
            <w:pPr>
              <w:pStyle w:val="TableParagraph"/>
              <w:spacing w:before="38"/>
              <w:ind w:left="114" w:right="289"/>
              <w:rPr>
                <w:sz w:val="20"/>
              </w:rPr>
            </w:pPr>
            <w:r>
              <w:rPr>
                <w:sz w:val="20"/>
              </w:rPr>
              <w:t>Reserves as a percent of general fund expenditures</w:t>
            </w:r>
          </w:p>
          <w:p w14:paraId="68BD0E4C" w14:textId="77777777" w:rsidR="0046798B" w:rsidRDefault="0046798B">
            <w:pPr>
              <w:pStyle w:val="TableParagraph"/>
              <w:rPr>
                <w:sz w:val="20"/>
              </w:rPr>
            </w:pPr>
          </w:p>
          <w:p w14:paraId="37DA55C6" w14:textId="77777777" w:rsidR="0046798B" w:rsidRDefault="00903B5C">
            <w:pPr>
              <w:pStyle w:val="TableParagraph"/>
              <w:ind w:left="114"/>
              <w:rPr>
                <w:sz w:val="20"/>
              </w:rPr>
            </w:pPr>
            <w:r>
              <w:rPr>
                <w:sz w:val="20"/>
              </w:rPr>
              <w:t>reserves / general fund expenditures</w:t>
            </w:r>
          </w:p>
        </w:tc>
        <w:tc>
          <w:tcPr>
            <w:tcW w:w="6482" w:type="dxa"/>
          </w:tcPr>
          <w:p w14:paraId="4E195071" w14:textId="77777777" w:rsidR="0046798B" w:rsidRDefault="00903B5C">
            <w:pPr>
              <w:pStyle w:val="TableParagraph"/>
              <w:spacing w:before="38"/>
              <w:ind w:left="114"/>
              <w:rPr>
                <w:i/>
                <w:sz w:val="20"/>
              </w:rPr>
            </w:pPr>
            <w:r>
              <w:rPr>
                <w:sz w:val="20"/>
              </w:rPr>
              <w:t xml:space="preserve">Pew Charitable Trusts, 2016. </w:t>
            </w:r>
            <w:r>
              <w:rPr>
                <w:i/>
                <w:sz w:val="20"/>
              </w:rPr>
              <w:t>Fiscal 50: State Trends and Analysis.</w:t>
            </w:r>
          </w:p>
          <w:p w14:paraId="3C2FCBC7" w14:textId="77777777" w:rsidR="0046798B" w:rsidRDefault="0046798B">
            <w:pPr>
              <w:pStyle w:val="TableParagraph"/>
              <w:rPr>
                <w:sz w:val="20"/>
              </w:rPr>
            </w:pPr>
          </w:p>
          <w:p w14:paraId="10A96B23" w14:textId="77777777" w:rsidR="0046798B" w:rsidRDefault="00903B5C">
            <w:pPr>
              <w:pStyle w:val="TableParagraph"/>
              <w:ind w:left="114" w:right="394"/>
              <w:rPr>
                <w:sz w:val="20"/>
              </w:rPr>
            </w:pPr>
            <w:r>
              <w:rPr>
                <w:sz w:val="20"/>
              </w:rPr>
              <w:t>Source: The Fiscal Survey of States: National Association of State Budget Offices</w:t>
            </w:r>
          </w:p>
        </w:tc>
      </w:tr>
      <w:tr w:rsidR="0046798B" w14:paraId="0593BF5D" w14:textId="77777777">
        <w:trPr>
          <w:trHeight w:val="1005"/>
        </w:trPr>
        <w:tc>
          <w:tcPr>
            <w:tcW w:w="1711" w:type="dxa"/>
          </w:tcPr>
          <w:p w14:paraId="174FC492" w14:textId="77777777" w:rsidR="0046798B" w:rsidRDefault="0046798B">
            <w:pPr>
              <w:pStyle w:val="TableParagraph"/>
              <w:spacing w:before="9"/>
              <w:rPr>
                <w:sz w:val="23"/>
              </w:rPr>
            </w:pPr>
          </w:p>
          <w:p w14:paraId="6A34E343" w14:textId="77777777" w:rsidR="0046798B" w:rsidRDefault="00903B5C">
            <w:pPr>
              <w:pStyle w:val="TableParagraph"/>
              <w:ind w:left="115" w:right="143"/>
              <w:rPr>
                <w:b/>
                <w:sz w:val="20"/>
              </w:rPr>
            </w:pPr>
            <w:r>
              <w:rPr>
                <w:b/>
                <w:sz w:val="20"/>
              </w:rPr>
              <w:t>spending_fedfun ds_perincome</w:t>
            </w:r>
          </w:p>
        </w:tc>
        <w:tc>
          <w:tcPr>
            <w:tcW w:w="1596" w:type="dxa"/>
          </w:tcPr>
          <w:p w14:paraId="09FF7376" w14:textId="77777777" w:rsidR="0046798B" w:rsidRDefault="00903B5C">
            <w:pPr>
              <w:pStyle w:val="TableParagraph"/>
              <w:spacing w:before="43"/>
              <w:ind w:left="114" w:right="150"/>
              <w:rPr>
                <w:sz w:val="20"/>
              </w:rPr>
            </w:pPr>
            <w:r>
              <w:rPr>
                <w:sz w:val="20"/>
              </w:rPr>
              <w:t>Federal spending over total state personal income</w:t>
            </w:r>
          </w:p>
        </w:tc>
        <w:tc>
          <w:tcPr>
            <w:tcW w:w="1285" w:type="dxa"/>
          </w:tcPr>
          <w:p w14:paraId="27FD1B7C" w14:textId="77777777" w:rsidR="0046798B" w:rsidRDefault="0046798B">
            <w:pPr>
              <w:pStyle w:val="TableParagraph"/>
            </w:pPr>
          </w:p>
          <w:p w14:paraId="34141E91" w14:textId="77777777" w:rsidR="0046798B" w:rsidRDefault="00903B5C">
            <w:pPr>
              <w:pStyle w:val="TableParagraph"/>
              <w:spacing w:before="136"/>
              <w:ind w:left="114"/>
              <w:rPr>
                <w:sz w:val="20"/>
              </w:rPr>
            </w:pPr>
            <w:r>
              <w:rPr>
                <w:sz w:val="20"/>
              </w:rPr>
              <w:t>1993–2012</w:t>
            </w:r>
          </w:p>
        </w:tc>
        <w:tc>
          <w:tcPr>
            <w:tcW w:w="3421" w:type="dxa"/>
          </w:tcPr>
          <w:p w14:paraId="02E57533" w14:textId="77777777" w:rsidR="0046798B" w:rsidRDefault="0046798B">
            <w:pPr>
              <w:pStyle w:val="TableParagraph"/>
              <w:spacing w:before="9"/>
              <w:rPr>
                <w:sz w:val="23"/>
              </w:rPr>
            </w:pPr>
          </w:p>
          <w:p w14:paraId="37CDD4CF" w14:textId="77777777" w:rsidR="0046798B" w:rsidRDefault="00903B5C">
            <w:pPr>
              <w:pStyle w:val="TableParagraph"/>
              <w:ind w:left="114" w:right="155"/>
              <w:rPr>
                <w:sz w:val="20"/>
              </w:rPr>
            </w:pPr>
            <w:r>
              <w:rPr>
                <w:sz w:val="20"/>
              </w:rPr>
              <w:t>Spending from federal funds as a share of state personal income</w:t>
            </w:r>
          </w:p>
        </w:tc>
        <w:tc>
          <w:tcPr>
            <w:tcW w:w="6482" w:type="dxa"/>
          </w:tcPr>
          <w:p w14:paraId="6E69D447" w14:textId="77777777" w:rsidR="0046798B" w:rsidRDefault="00903B5C">
            <w:pPr>
              <w:pStyle w:val="TableParagraph"/>
              <w:spacing w:before="43"/>
              <w:ind w:left="114"/>
              <w:rPr>
                <w:i/>
                <w:sz w:val="20"/>
              </w:rPr>
            </w:pPr>
            <w:r>
              <w:rPr>
                <w:sz w:val="20"/>
              </w:rPr>
              <w:t xml:space="preserve">Pew Charitable Trusts, 2016. </w:t>
            </w:r>
            <w:r>
              <w:rPr>
                <w:i/>
                <w:sz w:val="20"/>
              </w:rPr>
              <w:t>Fiscal 50: State Trends and Analysis.</w:t>
            </w:r>
          </w:p>
          <w:p w14:paraId="6D0198C8" w14:textId="77777777" w:rsidR="0046798B" w:rsidRDefault="0046798B">
            <w:pPr>
              <w:pStyle w:val="TableParagraph"/>
              <w:rPr>
                <w:sz w:val="20"/>
              </w:rPr>
            </w:pPr>
          </w:p>
          <w:p w14:paraId="714F2D8F" w14:textId="77777777" w:rsidR="0046798B" w:rsidRDefault="00903B5C">
            <w:pPr>
              <w:pStyle w:val="TableParagraph"/>
              <w:spacing w:before="1"/>
              <w:ind w:left="114"/>
              <w:rPr>
                <w:sz w:val="20"/>
              </w:rPr>
            </w:pPr>
            <w:r>
              <w:rPr>
                <w:sz w:val="20"/>
              </w:rPr>
              <w:t>Source: US Census Annual Survey of State Government Finances &amp; US BEA Regional Economic Accounts</w:t>
            </w:r>
          </w:p>
        </w:tc>
      </w:tr>
      <w:tr w:rsidR="0046798B" w14:paraId="06BEEF9C" w14:textId="77777777">
        <w:trPr>
          <w:trHeight w:val="1005"/>
        </w:trPr>
        <w:tc>
          <w:tcPr>
            <w:tcW w:w="1711" w:type="dxa"/>
          </w:tcPr>
          <w:p w14:paraId="1021025E" w14:textId="77777777" w:rsidR="0046798B" w:rsidRDefault="0046798B">
            <w:pPr>
              <w:pStyle w:val="TableParagraph"/>
              <w:spacing w:before="8"/>
              <w:rPr>
                <w:sz w:val="23"/>
              </w:rPr>
            </w:pPr>
          </w:p>
          <w:p w14:paraId="5D6490BC" w14:textId="77777777" w:rsidR="0046798B" w:rsidRDefault="00903B5C">
            <w:pPr>
              <w:pStyle w:val="TableParagraph"/>
              <w:spacing w:before="1"/>
              <w:ind w:left="115" w:right="154"/>
              <w:rPr>
                <w:b/>
                <w:sz w:val="20"/>
              </w:rPr>
            </w:pPr>
            <w:r>
              <w:rPr>
                <w:b/>
                <w:sz w:val="20"/>
              </w:rPr>
              <w:t>spending_stfund s_perincome</w:t>
            </w:r>
          </w:p>
        </w:tc>
        <w:tc>
          <w:tcPr>
            <w:tcW w:w="1596" w:type="dxa"/>
          </w:tcPr>
          <w:p w14:paraId="76116C29" w14:textId="77777777" w:rsidR="0046798B" w:rsidRDefault="00903B5C">
            <w:pPr>
              <w:pStyle w:val="TableParagraph"/>
              <w:spacing w:before="158"/>
              <w:ind w:left="114" w:right="135"/>
              <w:rPr>
                <w:sz w:val="20"/>
              </w:rPr>
            </w:pPr>
            <w:r>
              <w:rPr>
                <w:sz w:val="20"/>
              </w:rPr>
              <w:t>State spending over total state personal income</w:t>
            </w:r>
          </w:p>
        </w:tc>
        <w:tc>
          <w:tcPr>
            <w:tcW w:w="1285" w:type="dxa"/>
          </w:tcPr>
          <w:p w14:paraId="156F685E" w14:textId="77777777" w:rsidR="0046798B" w:rsidRDefault="0046798B">
            <w:pPr>
              <w:pStyle w:val="TableParagraph"/>
            </w:pPr>
          </w:p>
          <w:p w14:paraId="6E03A135" w14:textId="77777777" w:rsidR="0046798B" w:rsidRDefault="00903B5C">
            <w:pPr>
              <w:pStyle w:val="TableParagraph"/>
              <w:spacing w:before="135"/>
              <w:ind w:left="114"/>
              <w:rPr>
                <w:sz w:val="20"/>
              </w:rPr>
            </w:pPr>
            <w:r>
              <w:rPr>
                <w:sz w:val="20"/>
              </w:rPr>
              <w:t>1993–2012</w:t>
            </w:r>
          </w:p>
        </w:tc>
        <w:tc>
          <w:tcPr>
            <w:tcW w:w="3421" w:type="dxa"/>
          </w:tcPr>
          <w:p w14:paraId="1C4C5DE6" w14:textId="77777777" w:rsidR="0046798B" w:rsidRDefault="0046798B">
            <w:pPr>
              <w:pStyle w:val="TableParagraph"/>
              <w:spacing w:before="8"/>
              <w:rPr>
                <w:sz w:val="23"/>
              </w:rPr>
            </w:pPr>
          </w:p>
          <w:p w14:paraId="38BB0CE8" w14:textId="77777777" w:rsidR="0046798B" w:rsidRDefault="00903B5C">
            <w:pPr>
              <w:pStyle w:val="TableParagraph"/>
              <w:spacing w:before="1"/>
              <w:ind w:left="114" w:right="127"/>
              <w:rPr>
                <w:sz w:val="20"/>
              </w:rPr>
            </w:pPr>
            <w:r>
              <w:rPr>
                <w:sz w:val="20"/>
              </w:rPr>
              <w:t>Spending from state funds as a share of state personal income</w:t>
            </w:r>
          </w:p>
        </w:tc>
        <w:tc>
          <w:tcPr>
            <w:tcW w:w="6482" w:type="dxa"/>
          </w:tcPr>
          <w:p w14:paraId="7AEAFDA3" w14:textId="77777777" w:rsidR="0046798B" w:rsidRDefault="00903B5C">
            <w:pPr>
              <w:pStyle w:val="TableParagraph"/>
              <w:spacing w:before="43"/>
              <w:ind w:left="114"/>
              <w:rPr>
                <w:i/>
                <w:sz w:val="20"/>
              </w:rPr>
            </w:pPr>
            <w:r>
              <w:rPr>
                <w:sz w:val="20"/>
              </w:rPr>
              <w:t xml:space="preserve">Pew Charitable Trusts, 2016. </w:t>
            </w:r>
            <w:r>
              <w:rPr>
                <w:i/>
                <w:sz w:val="20"/>
              </w:rPr>
              <w:t>Fiscal 50: State Trends and Analysis.</w:t>
            </w:r>
          </w:p>
          <w:p w14:paraId="241162DB" w14:textId="77777777" w:rsidR="0046798B" w:rsidRDefault="0046798B">
            <w:pPr>
              <w:pStyle w:val="TableParagraph"/>
              <w:rPr>
                <w:sz w:val="20"/>
              </w:rPr>
            </w:pPr>
          </w:p>
          <w:p w14:paraId="4A0A4326" w14:textId="77777777" w:rsidR="0046798B" w:rsidRDefault="00903B5C">
            <w:pPr>
              <w:pStyle w:val="TableParagraph"/>
              <w:ind w:left="114" w:right="99"/>
              <w:rPr>
                <w:sz w:val="20"/>
              </w:rPr>
            </w:pPr>
            <w:r>
              <w:rPr>
                <w:sz w:val="20"/>
              </w:rPr>
              <w:t>Source: US Census Annual Survey of State Government Finances &amp; US BEA Regional Economic Accounts</w:t>
            </w:r>
          </w:p>
        </w:tc>
      </w:tr>
      <w:tr w:rsidR="0046798B" w14:paraId="70D0A570" w14:textId="77777777">
        <w:trPr>
          <w:trHeight w:val="1235"/>
        </w:trPr>
        <w:tc>
          <w:tcPr>
            <w:tcW w:w="1711" w:type="dxa"/>
          </w:tcPr>
          <w:p w14:paraId="65FAEF3D" w14:textId="77777777" w:rsidR="0046798B" w:rsidRDefault="0046798B">
            <w:pPr>
              <w:pStyle w:val="TableParagraph"/>
            </w:pPr>
          </w:p>
          <w:p w14:paraId="66B8E082" w14:textId="77777777" w:rsidR="0046798B" w:rsidRDefault="0046798B">
            <w:pPr>
              <w:pStyle w:val="TableParagraph"/>
              <w:spacing w:before="8"/>
              <w:rPr>
                <w:sz w:val="21"/>
              </w:rPr>
            </w:pPr>
          </w:p>
          <w:p w14:paraId="5D89C3E6" w14:textId="77777777" w:rsidR="0046798B" w:rsidRDefault="00903B5C">
            <w:pPr>
              <w:pStyle w:val="TableParagraph"/>
              <w:ind w:left="115"/>
              <w:rPr>
                <w:b/>
                <w:sz w:val="20"/>
              </w:rPr>
            </w:pPr>
            <w:r>
              <w:rPr>
                <w:b/>
                <w:sz w:val="20"/>
              </w:rPr>
              <w:t>taxcapacityindex</w:t>
            </w:r>
          </w:p>
        </w:tc>
        <w:tc>
          <w:tcPr>
            <w:tcW w:w="1596" w:type="dxa"/>
          </w:tcPr>
          <w:p w14:paraId="092D453F" w14:textId="77777777" w:rsidR="0046798B" w:rsidRDefault="0046798B">
            <w:pPr>
              <w:pStyle w:val="TableParagraph"/>
            </w:pPr>
          </w:p>
          <w:p w14:paraId="28C62A93" w14:textId="77777777" w:rsidR="0046798B" w:rsidRDefault="00903B5C">
            <w:pPr>
              <w:pStyle w:val="TableParagraph"/>
              <w:spacing w:before="135"/>
              <w:ind w:left="114" w:right="291"/>
              <w:rPr>
                <w:sz w:val="20"/>
              </w:rPr>
            </w:pPr>
            <w:r>
              <w:rPr>
                <w:sz w:val="20"/>
              </w:rPr>
              <w:t>State tax capacity index</w:t>
            </w:r>
          </w:p>
        </w:tc>
        <w:tc>
          <w:tcPr>
            <w:tcW w:w="1285" w:type="dxa"/>
          </w:tcPr>
          <w:p w14:paraId="555C1514" w14:textId="77777777" w:rsidR="0046798B" w:rsidRDefault="0046798B">
            <w:pPr>
              <w:pStyle w:val="TableParagraph"/>
            </w:pPr>
          </w:p>
          <w:p w14:paraId="48A18BA3" w14:textId="77777777" w:rsidR="0046798B" w:rsidRDefault="0046798B">
            <w:pPr>
              <w:pStyle w:val="TableParagraph"/>
              <w:spacing w:before="8"/>
              <w:rPr>
                <w:sz w:val="21"/>
              </w:rPr>
            </w:pPr>
          </w:p>
          <w:p w14:paraId="7876D137" w14:textId="77777777" w:rsidR="0046798B" w:rsidRDefault="00903B5C">
            <w:pPr>
              <w:pStyle w:val="TableParagraph"/>
              <w:ind w:left="114"/>
              <w:rPr>
                <w:sz w:val="20"/>
              </w:rPr>
            </w:pPr>
            <w:r>
              <w:rPr>
                <w:sz w:val="20"/>
              </w:rPr>
              <w:t>1960–1991</w:t>
            </w:r>
          </w:p>
        </w:tc>
        <w:tc>
          <w:tcPr>
            <w:tcW w:w="3421" w:type="dxa"/>
          </w:tcPr>
          <w:p w14:paraId="0145257E" w14:textId="77777777" w:rsidR="0046798B" w:rsidRDefault="00903B5C">
            <w:pPr>
              <w:pStyle w:val="TableParagraph"/>
              <w:spacing w:before="158"/>
              <w:ind w:left="114" w:right="166"/>
              <w:rPr>
                <w:sz w:val="20"/>
              </w:rPr>
            </w:pPr>
            <w:r>
              <w:rPr>
                <w:sz w:val="20"/>
              </w:rPr>
              <w:t>Estimate of state values on the ACIR’s (Advisory Commission on Intergovernmental Relations) tax capacity index.</w:t>
            </w:r>
          </w:p>
        </w:tc>
        <w:tc>
          <w:tcPr>
            <w:tcW w:w="6482" w:type="dxa"/>
          </w:tcPr>
          <w:p w14:paraId="54BC05A6" w14:textId="77777777" w:rsidR="0046798B" w:rsidRDefault="00903B5C">
            <w:pPr>
              <w:pStyle w:val="TableParagraph"/>
              <w:spacing w:before="43"/>
              <w:ind w:left="114" w:right="328"/>
              <w:rPr>
                <w:sz w:val="20"/>
              </w:rPr>
            </w:pPr>
            <w:r>
              <w:rPr>
                <w:sz w:val="20"/>
              </w:rPr>
              <w:t xml:space="preserve">Berry, William D. and Richard C. Fording. “Measuring State Tax Capacity and Effort.” </w:t>
            </w:r>
            <w:r>
              <w:rPr>
                <w:i/>
                <w:sz w:val="20"/>
              </w:rPr>
              <w:t xml:space="preserve">Social Science Quarterly </w:t>
            </w:r>
            <w:r>
              <w:rPr>
                <w:sz w:val="20"/>
              </w:rPr>
              <w:t>78 (2007): 158–66.</w:t>
            </w:r>
          </w:p>
          <w:p w14:paraId="4C3197F5" w14:textId="77777777" w:rsidR="0046798B" w:rsidRDefault="0046798B">
            <w:pPr>
              <w:pStyle w:val="TableParagraph"/>
              <w:rPr>
                <w:sz w:val="20"/>
              </w:rPr>
            </w:pPr>
          </w:p>
          <w:p w14:paraId="259F7177" w14:textId="77777777" w:rsidR="0046798B" w:rsidRDefault="00797354">
            <w:pPr>
              <w:pStyle w:val="TableParagraph"/>
              <w:ind w:left="114"/>
              <w:rPr>
                <w:sz w:val="20"/>
              </w:rPr>
            </w:pPr>
            <w:hyperlink r:id="rId317">
              <w:r w:rsidR="00903B5C">
                <w:rPr>
                  <w:color w:val="0462C1"/>
                  <w:sz w:val="20"/>
                  <w:u w:val="single" w:color="0462C1"/>
                </w:rPr>
                <w:t>http://www.icpsr.umich.edu/icpsrweb/ICPSR/studies/1124?q=Richard+Fordi</w:t>
              </w:r>
            </w:hyperlink>
            <w:r w:rsidR="00903B5C">
              <w:rPr>
                <w:color w:val="0462C1"/>
                <w:sz w:val="20"/>
              </w:rPr>
              <w:t xml:space="preserve"> </w:t>
            </w:r>
            <w:hyperlink r:id="rId318">
              <w:r w:rsidR="00903B5C">
                <w:rPr>
                  <w:color w:val="0462C1"/>
                  <w:sz w:val="20"/>
                  <w:u w:val="single" w:color="0462C1"/>
                </w:rPr>
                <w:t>ng&amp;permit%5B0%5D=AVAILABLE</w:t>
              </w:r>
            </w:hyperlink>
          </w:p>
        </w:tc>
      </w:tr>
      <w:tr w:rsidR="0046798B" w14:paraId="0AAFA1E5" w14:textId="77777777">
        <w:trPr>
          <w:trHeight w:val="1010"/>
        </w:trPr>
        <w:tc>
          <w:tcPr>
            <w:tcW w:w="1711" w:type="dxa"/>
          </w:tcPr>
          <w:p w14:paraId="0F67B745" w14:textId="77777777" w:rsidR="0046798B" w:rsidRDefault="0046798B">
            <w:pPr>
              <w:pStyle w:val="TableParagraph"/>
            </w:pPr>
          </w:p>
          <w:p w14:paraId="18EE9607" w14:textId="77777777" w:rsidR="0046798B" w:rsidRDefault="00903B5C">
            <w:pPr>
              <w:pStyle w:val="TableParagraph"/>
              <w:spacing w:before="135"/>
              <w:ind w:left="115"/>
              <w:rPr>
                <w:b/>
                <w:sz w:val="20"/>
              </w:rPr>
            </w:pPr>
            <w:r>
              <w:rPr>
                <w:b/>
                <w:sz w:val="20"/>
              </w:rPr>
              <w:t>taxeffortindex</w:t>
            </w:r>
          </w:p>
        </w:tc>
        <w:tc>
          <w:tcPr>
            <w:tcW w:w="1596" w:type="dxa"/>
          </w:tcPr>
          <w:p w14:paraId="13FE5AB8" w14:textId="77777777" w:rsidR="0046798B" w:rsidRDefault="0046798B">
            <w:pPr>
              <w:pStyle w:val="TableParagraph"/>
              <w:spacing w:before="8"/>
              <w:rPr>
                <w:sz w:val="23"/>
              </w:rPr>
            </w:pPr>
          </w:p>
          <w:p w14:paraId="1FEB05F5" w14:textId="77777777" w:rsidR="0046798B" w:rsidRDefault="00903B5C">
            <w:pPr>
              <w:pStyle w:val="TableParagraph"/>
              <w:spacing w:before="1"/>
              <w:ind w:left="114" w:right="229"/>
              <w:rPr>
                <w:sz w:val="20"/>
              </w:rPr>
            </w:pPr>
            <w:r>
              <w:rPr>
                <w:sz w:val="20"/>
              </w:rPr>
              <w:t>State tax effort index</w:t>
            </w:r>
          </w:p>
        </w:tc>
        <w:tc>
          <w:tcPr>
            <w:tcW w:w="1285" w:type="dxa"/>
          </w:tcPr>
          <w:p w14:paraId="16505BED" w14:textId="77777777" w:rsidR="0046798B" w:rsidRDefault="0046798B">
            <w:pPr>
              <w:pStyle w:val="TableParagraph"/>
            </w:pPr>
          </w:p>
          <w:p w14:paraId="23E3575C" w14:textId="77777777" w:rsidR="0046798B" w:rsidRDefault="00903B5C">
            <w:pPr>
              <w:pStyle w:val="TableParagraph"/>
              <w:spacing w:before="135"/>
              <w:ind w:left="114"/>
              <w:rPr>
                <w:sz w:val="20"/>
              </w:rPr>
            </w:pPr>
            <w:r>
              <w:rPr>
                <w:sz w:val="20"/>
              </w:rPr>
              <w:t>1960–1991</w:t>
            </w:r>
          </w:p>
        </w:tc>
        <w:tc>
          <w:tcPr>
            <w:tcW w:w="3421" w:type="dxa"/>
          </w:tcPr>
          <w:p w14:paraId="639B2A1A" w14:textId="77777777" w:rsidR="0046798B" w:rsidRDefault="00903B5C">
            <w:pPr>
              <w:pStyle w:val="TableParagraph"/>
              <w:spacing w:before="43"/>
              <w:ind w:left="114"/>
              <w:rPr>
                <w:sz w:val="20"/>
              </w:rPr>
            </w:pPr>
            <w:r>
              <w:rPr>
                <w:sz w:val="20"/>
              </w:rPr>
              <w:t>Estimate of state values on the ACIR’s (Advisory Commission on Intergovernmental Relations) tax effort index.</w:t>
            </w:r>
          </w:p>
        </w:tc>
        <w:tc>
          <w:tcPr>
            <w:tcW w:w="6482" w:type="dxa"/>
          </w:tcPr>
          <w:p w14:paraId="52AB24CD" w14:textId="77777777" w:rsidR="0046798B" w:rsidRDefault="00903B5C">
            <w:pPr>
              <w:pStyle w:val="TableParagraph"/>
              <w:spacing w:before="158"/>
              <w:ind w:left="114" w:right="328"/>
              <w:rPr>
                <w:sz w:val="20"/>
              </w:rPr>
            </w:pPr>
            <w:r>
              <w:rPr>
                <w:sz w:val="20"/>
              </w:rPr>
              <w:t xml:space="preserve">Berry, William D. and Richard C. Fording. “Measuring State Tax Capacity and Effort.” </w:t>
            </w:r>
            <w:r>
              <w:rPr>
                <w:i/>
                <w:sz w:val="20"/>
              </w:rPr>
              <w:t xml:space="preserve">Social Science Quarterly </w:t>
            </w:r>
            <w:r>
              <w:rPr>
                <w:sz w:val="20"/>
              </w:rPr>
              <w:t>78 (2007): 158–66.</w:t>
            </w:r>
          </w:p>
        </w:tc>
      </w:tr>
    </w:tbl>
    <w:p w14:paraId="0EE2845E" w14:textId="77777777" w:rsidR="0046798B" w:rsidRDefault="0046798B">
      <w:pPr>
        <w:rPr>
          <w:sz w:val="20"/>
        </w:rPr>
        <w:sectPr w:rsidR="0046798B">
          <w:pgSz w:w="15840" w:h="12240" w:orient="landscape"/>
          <w:pgMar w:top="1220" w:right="300" w:bottom="980" w:left="820" w:header="730" w:footer="787" w:gutter="0"/>
          <w:cols w:space="720"/>
        </w:sectPr>
      </w:pPr>
    </w:p>
    <w:p w14:paraId="22FCCA24" w14:textId="77777777" w:rsidR="0046798B" w:rsidRDefault="00797354">
      <w:pPr>
        <w:pStyle w:val="BodyText"/>
      </w:pPr>
      <w:r>
        <w:lastRenderedPageBreak/>
        <w:pict w14:anchorId="6EA9862F">
          <v:line id="_x0000_s1027" alt="" style="position:absolute;z-index:-1240480;mso-wrap-edited:f;mso-width-percent:0;mso-height-percent:0;mso-position-horizontal-relative:page;mso-position-vertical-relative:page;mso-width-percent:0;mso-height-percent:0" from="452.65pt,370.75pt" to="640.2pt,370.75pt" strokeweight=".25pt">
            <w10:wrap anchorx="page" anchory="page"/>
          </v:line>
        </w:pict>
      </w:r>
      <w:r>
        <w:pict w14:anchorId="6D1B6C5E">
          <v:line id="_x0000_s1026" alt="" style="position:absolute;z-index:-1240456;mso-wrap-edited:f;mso-width-percent:0;mso-height-percent:0;mso-position-horizontal-relative:page;mso-position-vertical-relative:page;mso-width-percent:0;mso-height-percent:0" from="640.7pt,405.3pt" to="758.75pt,405.3pt" strokeweight=".25pt">
            <w10:wrap anchorx="page" anchory="page"/>
          </v:line>
        </w:pict>
      </w: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2D86306D" w14:textId="77777777">
        <w:trPr>
          <w:trHeight w:val="542"/>
        </w:trPr>
        <w:tc>
          <w:tcPr>
            <w:tcW w:w="1711" w:type="dxa"/>
            <w:tcBorders>
              <w:bottom w:val="dotted" w:sz="6" w:space="0" w:color="BEBEBE"/>
            </w:tcBorders>
          </w:tcPr>
          <w:p w14:paraId="56E37F33" w14:textId="77777777" w:rsidR="0046798B" w:rsidRDefault="0046798B">
            <w:pPr>
              <w:pStyle w:val="TableParagraph"/>
              <w:rPr>
                <w:sz w:val="20"/>
              </w:rPr>
            </w:pPr>
          </w:p>
        </w:tc>
        <w:tc>
          <w:tcPr>
            <w:tcW w:w="1596" w:type="dxa"/>
            <w:tcBorders>
              <w:bottom w:val="dotted" w:sz="6" w:space="0" w:color="BEBEBE"/>
            </w:tcBorders>
          </w:tcPr>
          <w:p w14:paraId="7093A33D" w14:textId="77777777" w:rsidR="0046798B" w:rsidRDefault="0046798B">
            <w:pPr>
              <w:pStyle w:val="TableParagraph"/>
              <w:rPr>
                <w:sz w:val="20"/>
              </w:rPr>
            </w:pPr>
          </w:p>
        </w:tc>
        <w:tc>
          <w:tcPr>
            <w:tcW w:w="1285" w:type="dxa"/>
            <w:tcBorders>
              <w:bottom w:val="dotted" w:sz="6" w:space="0" w:color="BEBEBE"/>
            </w:tcBorders>
          </w:tcPr>
          <w:p w14:paraId="6AEA4196" w14:textId="77777777" w:rsidR="0046798B" w:rsidRDefault="0046798B">
            <w:pPr>
              <w:pStyle w:val="TableParagraph"/>
              <w:rPr>
                <w:sz w:val="20"/>
              </w:rPr>
            </w:pPr>
          </w:p>
        </w:tc>
        <w:tc>
          <w:tcPr>
            <w:tcW w:w="3421" w:type="dxa"/>
            <w:tcBorders>
              <w:bottom w:val="dotted" w:sz="6" w:space="0" w:color="BEBEBE"/>
            </w:tcBorders>
          </w:tcPr>
          <w:p w14:paraId="37E2FD05" w14:textId="77777777" w:rsidR="0046798B" w:rsidRDefault="0046798B">
            <w:pPr>
              <w:pStyle w:val="TableParagraph"/>
              <w:rPr>
                <w:sz w:val="20"/>
              </w:rPr>
            </w:pPr>
          </w:p>
        </w:tc>
        <w:tc>
          <w:tcPr>
            <w:tcW w:w="6482" w:type="dxa"/>
            <w:tcBorders>
              <w:bottom w:val="dotted" w:sz="6" w:space="0" w:color="BEBEBE"/>
            </w:tcBorders>
          </w:tcPr>
          <w:p w14:paraId="1A118774" w14:textId="77777777" w:rsidR="0046798B" w:rsidRDefault="00797354">
            <w:pPr>
              <w:pStyle w:val="TableParagraph"/>
              <w:spacing w:before="43"/>
              <w:ind w:left="114"/>
              <w:rPr>
                <w:sz w:val="20"/>
              </w:rPr>
            </w:pPr>
            <w:hyperlink r:id="rId319">
              <w:r w:rsidR="00903B5C">
                <w:rPr>
                  <w:sz w:val="20"/>
                  <w:u w:val="single"/>
                </w:rPr>
                <w:t>http://www.icpsr.umich.edu/icpsrweb/ICPSR/studies/1124?q=Richard+Fordi</w:t>
              </w:r>
            </w:hyperlink>
            <w:r w:rsidR="00903B5C">
              <w:rPr>
                <w:sz w:val="20"/>
              </w:rPr>
              <w:t xml:space="preserve"> </w:t>
            </w:r>
            <w:hyperlink r:id="rId320">
              <w:r w:rsidR="00903B5C">
                <w:rPr>
                  <w:sz w:val="20"/>
                  <w:u w:val="single"/>
                </w:rPr>
                <w:t>ng&amp;permit%5B0%5D=AVAILABLE</w:t>
              </w:r>
            </w:hyperlink>
          </w:p>
        </w:tc>
      </w:tr>
      <w:tr w:rsidR="0046798B" w14:paraId="02AC2983" w14:textId="77777777">
        <w:trPr>
          <w:trHeight w:val="772"/>
        </w:trPr>
        <w:tc>
          <w:tcPr>
            <w:tcW w:w="1711" w:type="dxa"/>
            <w:tcBorders>
              <w:top w:val="dotted" w:sz="6" w:space="0" w:color="BEBEBE"/>
            </w:tcBorders>
          </w:tcPr>
          <w:p w14:paraId="0FFCA3C9" w14:textId="77777777" w:rsidR="0046798B" w:rsidRDefault="0046798B">
            <w:pPr>
              <w:pStyle w:val="TableParagraph"/>
              <w:spacing w:before="6"/>
              <w:rPr>
                <w:sz w:val="23"/>
              </w:rPr>
            </w:pPr>
          </w:p>
          <w:p w14:paraId="6A2415DB" w14:textId="77777777" w:rsidR="0046798B" w:rsidRDefault="00903B5C">
            <w:pPr>
              <w:pStyle w:val="TableParagraph"/>
              <w:ind w:left="115"/>
              <w:rPr>
                <w:b/>
                <w:sz w:val="20"/>
              </w:rPr>
            </w:pPr>
            <w:r>
              <w:rPr>
                <w:b/>
                <w:sz w:val="20"/>
              </w:rPr>
              <w:t>bus_rank_cnbc</w:t>
            </w:r>
          </w:p>
        </w:tc>
        <w:tc>
          <w:tcPr>
            <w:tcW w:w="1596" w:type="dxa"/>
            <w:tcBorders>
              <w:top w:val="dotted" w:sz="6" w:space="0" w:color="BEBEBE"/>
            </w:tcBorders>
          </w:tcPr>
          <w:p w14:paraId="05676979" w14:textId="77777777" w:rsidR="0046798B" w:rsidRDefault="00903B5C">
            <w:pPr>
              <w:pStyle w:val="TableParagraph"/>
              <w:spacing w:before="40"/>
              <w:ind w:left="114" w:right="125"/>
              <w:jc w:val="both"/>
              <w:rPr>
                <w:sz w:val="20"/>
              </w:rPr>
            </w:pPr>
            <w:r>
              <w:rPr>
                <w:sz w:val="20"/>
              </w:rPr>
              <w:t>CNBC best state to do business in ranking</w:t>
            </w:r>
          </w:p>
        </w:tc>
        <w:tc>
          <w:tcPr>
            <w:tcW w:w="1285" w:type="dxa"/>
            <w:tcBorders>
              <w:top w:val="dotted" w:sz="6" w:space="0" w:color="BEBEBE"/>
            </w:tcBorders>
          </w:tcPr>
          <w:p w14:paraId="6B46048C" w14:textId="77777777" w:rsidR="0046798B" w:rsidRDefault="0046798B">
            <w:pPr>
              <w:pStyle w:val="TableParagraph"/>
              <w:spacing w:before="6"/>
              <w:rPr>
                <w:sz w:val="23"/>
              </w:rPr>
            </w:pPr>
          </w:p>
          <w:p w14:paraId="78295489" w14:textId="77777777" w:rsidR="0046798B" w:rsidRDefault="00903B5C">
            <w:pPr>
              <w:pStyle w:val="TableParagraph"/>
              <w:ind w:left="114"/>
              <w:rPr>
                <w:sz w:val="20"/>
              </w:rPr>
            </w:pPr>
            <w:r>
              <w:rPr>
                <w:sz w:val="20"/>
              </w:rPr>
              <w:t>2007–2012</w:t>
            </w:r>
          </w:p>
        </w:tc>
        <w:tc>
          <w:tcPr>
            <w:tcW w:w="3421" w:type="dxa"/>
            <w:tcBorders>
              <w:top w:val="dotted" w:sz="6" w:space="0" w:color="BEBEBE"/>
            </w:tcBorders>
          </w:tcPr>
          <w:p w14:paraId="649CF857" w14:textId="77777777" w:rsidR="0046798B" w:rsidRDefault="00903B5C">
            <w:pPr>
              <w:pStyle w:val="TableParagraph"/>
              <w:spacing w:before="155"/>
              <w:ind w:left="114" w:right="332"/>
              <w:rPr>
                <w:sz w:val="20"/>
              </w:rPr>
            </w:pPr>
            <w:r>
              <w:rPr>
                <w:sz w:val="20"/>
              </w:rPr>
              <w:t>Rank in CNBC’s analysis of the best states to conduct business in.</w:t>
            </w:r>
          </w:p>
        </w:tc>
        <w:tc>
          <w:tcPr>
            <w:tcW w:w="6482" w:type="dxa"/>
            <w:tcBorders>
              <w:top w:val="dotted" w:sz="6" w:space="0" w:color="BEBEBE"/>
            </w:tcBorders>
          </w:tcPr>
          <w:p w14:paraId="74F00316" w14:textId="77777777" w:rsidR="0046798B" w:rsidRDefault="00903B5C">
            <w:pPr>
              <w:pStyle w:val="TableParagraph"/>
              <w:spacing w:before="40"/>
              <w:ind w:left="114"/>
              <w:rPr>
                <w:sz w:val="20"/>
              </w:rPr>
            </w:pPr>
            <w:r>
              <w:rPr>
                <w:sz w:val="20"/>
              </w:rPr>
              <w:t>CNBC. “America’s Top States for Business.”</w:t>
            </w:r>
          </w:p>
          <w:p w14:paraId="36B348E5" w14:textId="77777777" w:rsidR="0046798B" w:rsidRDefault="0046798B">
            <w:pPr>
              <w:pStyle w:val="TableParagraph"/>
              <w:rPr>
                <w:sz w:val="20"/>
              </w:rPr>
            </w:pPr>
          </w:p>
          <w:p w14:paraId="1700543B" w14:textId="77777777" w:rsidR="0046798B" w:rsidRDefault="00903B5C">
            <w:pPr>
              <w:pStyle w:val="TableParagraph"/>
              <w:spacing w:before="1"/>
              <w:ind w:left="114"/>
              <w:rPr>
                <w:sz w:val="20"/>
              </w:rPr>
            </w:pPr>
            <w:r>
              <w:rPr>
                <w:sz w:val="20"/>
              </w:rPr>
              <w:t xml:space="preserve">Provided by: Pallay, Geoff. 2012. </w:t>
            </w:r>
            <w:r>
              <w:rPr>
                <w:i/>
                <w:sz w:val="20"/>
              </w:rPr>
              <w:t xml:space="preserve">Ballotpedia </w:t>
            </w:r>
            <w:r>
              <w:rPr>
                <w:sz w:val="20"/>
              </w:rPr>
              <w:t xml:space="preserve">and </w:t>
            </w:r>
            <w:r>
              <w:rPr>
                <w:i/>
                <w:sz w:val="20"/>
              </w:rPr>
              <w:t>The Lucy Burns Institute</w:t>
            </w:r>
            <w:r>
              <w:rPr>
                <w:sz w:val="20"/>
              </w:rPr>
              <w:t>.</w:t>
            </w:r>
          </w:p>
        </w:tc>
      </w:tr>
      <w:tr w:rsidR="0046798B" w14:paraId="10B83FDA" w14:textId="77777777">
        <w:trPr>
          <w:trHeight w:val="780"/>
        </w:trPr>
        <w:tc>
          <w:tcPr>
            <w:tcW w:w="1711" w:type="dxa"/>
          </w:tcPr>
          <w:p w14:paraId="21C14468" w14:textId="77777777" w:rsidR="0046798B" w:rsidRDefault="0046798B">
            <w:pPr>
              <w:pStyle w:val="TableParagraph"/>
              <w:spacing w:before="9"/>
              <w:rPr>
                <w:sz w:val="23"/>
              </w:rPr>
            </w:pPr>
          </w:p>
          <w:p w14:paraId="0E6A1E02" w14:textId="77777777" w:rsidR="0046798B" w:rsidRDefault="00903B5C">
            <w:pPr>
              <w:pStyle w:val="TableParagraph"/>
              <w:ind w:left="115"/>
              <w:rPr>
                <w:b/>
                <w:sz w:val="20"/>
              </w:rPr>
            </w:pPr>
            <w:r>
              <w:rPr>
                <w:b/>
                <w:sz w:val="20"/>
              </w:rPr>
              <w:t>bus_rank_forbes</w:t>
            </w:r>
          </w:p>
        </w:tc>
        <w:tc>
          <w:tcPr>
            <w:tcW w:w="1596" w:type="dxa"/>
          </w:tcPr>
          <w:p w14:paraId="180DDD24" w14:textId="77777777" w:rsidR="0046798B" w:rsidRDefault="00903B5C">
            <w:pPr>
              <w:pStyle w:val="TableParagraph"/>
              <w:spacing w:before="43"/>
              <w:ind w:left="114" w:right="125"/>
              <w:jc w:val="both"/>
              <w:rPr>
                <w:sz w:val="20"/>
              </w:rPr>
            </w:pPr>
            <w:r>
              <w:rPr>
                <w:sz w:val="20"/>
              </w:rPr>
              <w:t>Forbes best state to do business in ranking</w:t>
            </w:r>
          </w:p>
        </w:tc>
        <w:tc>
          <w:tcPr>
            <w:tcW w:w="1285" w:type="dxa"/>
          </w:tcPr>
          <w:p w14:paraId="66E95A35" w14:textId="77777777" w:rsidR="0046798B" w:rsidRDefault="0046798B">
            <w:pPr>
              <w:pStyle w:val="TableParagraph"/>
              <w:spacing w:before="9"/>
              <w:rPr>
                <w:sz w:val="23"/>
              </w:rPr>
            </w:pPr>
          </w:p>
          <w:p w14:paraId="2136A2EF" w14:textId="77777777" w:rsidR="0046798B" w:rsidRDefault="00903B5C">
            <w:pPr>
              <w:pStyle w:val="TableParagraph"/>
              <w:ind w:left="114"/>
              <w:rPr>
                <w:sz w:val="20"/>
              </w:rPr>
            </w:pPr>
            <w:r>
              <w:rPr>
                <w:sz w:val="20"/>
              </w:rPr>
              <w:t>2006–2012</w:t>
            </w:r>
          </w:p>
        </w:tc>
        <w:tc>
          <w:tcPr>
            <w:tcW w:w="3421" w:type="dxa"/>
          </w:tcPr>
          <w:p w14:paraId="48157215" w14:textId="77777777" w:rsidR="0046798B" w:rsidRDefault="00903B5C">
            <w:pPr>
              <w:pStyle w:val="TableParagraph"/>
              <w:spacing w:before="159"/>
              <w:ind w:left="114" w:right="410"/>
              <w:rPr>
                <w:sz w:val="20"/>
              </w:rPr>
            </w:pPr>
            <w:r>
              <w:rPr>
                <w:sz w:val="20"/>
              </w:rPr>
              <w:t>Rank in Forbes’ analysis of the best states to conduct business in.</w:t>
            </w:r>
          </w:p>
        </w:tc>
        <w:tc>
          <w:tcPr>
            <w:tcW w:w="6482" w:type="dxa"/>
          </w:tcPr>
          <w:p w14:paraId="79C65F80" w14:textId="77777777" w:rsidR="0046798B" w:rsidRDefault="00903B5C">
            <w:pPr>
              <w:pStyle w:val="TableParagraph"/>
              <w:spacing w:before="43"/>
              <w:ind w:left="114"/>
              <w:rPr>
                <w:sz w:val="20"/>
              </w:rPr>
            </w:pPr>
            <w:r>
              <w:rPr>
                <w:sz w:val="20"/>
              </w:rPr>
              <w:t>Forbes. “Best States for Business.”</w:t>
            </w:r>
          </w:p>
          <w:p w14:paraId="4A4AA377" w14:textId="77777777" w:rsidR="0046798B" w:rsidRDefault="0046798B">
            <w:pPr>
              <w:pStyle w:val="TableParagraph"/>
              <w:rPr>
                <w:sz w:val="20"/>
              </w:rPr>
            </w:pPr>
          </w:p>
          <w:p w14:paraId="2C6DF0B6" w14:textId="77777777" w:rsidR="0046798B" w:rsidRDefault="00903B5C">
            <w:pPr>
              <w:pStyle w:val="TableParagraph"/>
              <w:spacing w:before="1"/>
              <w:ind w:left="114"/>
              <w:rPr>
                <w:sz w:val="20"/>
              </w:rPr>
            </w:pPr>
            <w:r>
              <w:rPr>
                <w:sz w:val="20"/>
              </w:rPr>
              <w:t xml:space="preserve">Provided by: Pallay, Geoff. 2012. </w:t>
            </w:r>
            <w:r>
              <w:rPr>
                <w:i/>
                <w:sz w:val="20"/>
              </w:rPr>
              <w:t xml:space="preserve">Ballotpedia </w:t>
            </w:r>
            <w:r>
              <w:rPr>
                <w:sz w:val="20"/>
              </w:rPr>
              <w:t xml:space="preserve">and </w:t>
            </w:r>
            <w:r>
              <w:rPr>
                <w:i/>
                <w:sz w:val="20"/>
              </w:rPr>
              <w:t>The Lucy Burns Institute</w:t>
            </w:r>
            <w:r>
              <w:rPr>
                <w:sz w:val="20"/>
              </w:rPr>
              <w:t>.</w:t>
            </w:r>
          </w:p>
        </w:tc>
      </w:tr>
      <w:tr w:rsidR="0046798B" w14:paraId="7AD4D0BD" w14:textId="77777777">
        <w:trPr>
          <w:trHeight w:val="775"/>
        </w:trPr>
        <w:tc>
          <w:tcPr>
            <w:tcW w:w="1711" w:type="dxa"/>
          </w:tcPr>
          <w:p w14:paraId="0776377C" w14:textId="77777777" w:rsidR="0046798B" w:rsidRDefault="0046798B">
            <w:pPr>
              <w:pStyle w:val="TableParagraph"/>
              <w:spacing w:before="3"/>
              <w:rPr>
                <w:sz w:val="23"/>
              </w:rPr>
            </w:pPr>
          </w:p>
          <w:p w14:paraId="5D3B46BE" w14:textId="77777777" w:rsidR="0046798B" w:rsidRDefault="00903B5C">
            <w:pPr>
              <w:pStyle w:val="TableParagraph"/>
              <w:spacing w:before="1"/>
              <w:ind w:left="115"/>
              <w:rPr>
                <w:b/>
                <w:sz w:val="20"/>
              </w:rPr>
            </w:pPr>
            <w:r>
              <w:rPr>
                <w:b/>
                <w:sz w:val="20"/>
              </w:rPr>
              <w:t>sp_credit</w:t>
            </w:r>
          </w:p>
        </w:tc>
        <w:tc>
          <w:tcPr>
            <w:tcW w:w="1596" w:type="dxa"/>
          </w:tcPr>
          <w:p w14:paraId="4615D7CA" w14:textId="77777777" w:rsidR="0046798B" w:rsidRDefault="00903B5C">
            <w:pPr>
              <w:pStyle w:val="TableParagraph"/>
              <w:spacing w:before="153"/>
              <w:ind w:left="114" w:right="152"/>
              <w:rPr>
                <w:sz w:val="20"/>
              </w:rPr>
            </w:pPr>
            <w:r>
              <w:rPr>
                <w:sz w:val="20"/>
              </w:rPr>
              <w:t>S&amp;P state credit rating rank</w:t>
            </w:r>
          </w:p>
        </w:tc>
        <w:tc>
          <w:tcPr>
            <w:tcW w:w="1285" w:type="dxa"/>
          </w:tcPr>
          <w:p w14:paraId="4F044862" w14:textId="77777777" w:rsidR="0046798B" w:rsidRDefault="0046798B">
            <w:pPr>
              <w:pStyle w:val="TableParagraph"/>
              <w:spacing w:before="3"/>
              <w:rPr>
                <w:sz w:val="23"/>
              </w:rPr>
            </w:pPr>
          </w:p>
          <w:p w14:paraId="7259B5EF" w14:textId="77777777" w:rsidR="0046798B" w:rsidRDefault="00903B5C">
            <w:pPr>
              <w:pStyle w:val="TableParagraph"/>
              <w:spacing w:before="1"/>
              <w:ind w:left="114"/>
              <w:rPr>
                <w:sz w:val="20"/>
              </w:rPr>
            </w:pPr>
            <w:r>
              <w:rPr>
                <w:sz w:val="20"/>
              </w:rPr>
              <w:t>2001–2012</w:t>
            </w:r>
          </w:p>
        </w:tc>
        <w:tc>
          <w:tcPr>
            <w:tcW w:w="3421" w:type="dxa"/>
          </w:tcPr>
          <w:p w14:paraId="76A585F6" w14:textId="77777777" w:rsidR="0046798B" w:rsidRDefault="00903B5C">
            <w:pPr>
              <w:pStyle w:val="TableParagraph"/>
              <w:spacing w:before="38"/>
              <w:ind w:left="114" w:right="166"/>
              <w:rPr>
                <w:sz w:val="20"/>
              </w:rPr>
            </w:pPr>
            <w:r>
              <w:rPr>
                <w:sz w:val="20"/>
              </w:rPr>
              <w:t>Ranking of states from best to worst bond rating, according to Standard and Poor’s</w:t>
            </w:r>
          </w:p>
        </w:tc>
        <w:tc>
          <w:tcPr>
            <w:tcW w:w="6482" w:type="dxa"/>
          </w:tcPr>
          <w:p w14:paraId="47111D30" w14:textId="77777777" w:rsidR="0046798B" w:rsidRDefault="0046798B">
            <w:pPr>
              <w:pStyle w:val="TableParagraph"/>
              <w:spacing w:before="3"/>
              <w:rPr>
                <w:sz w:val="23"/>
              </w:rPr>
            </w:pPr>
          </w:p>
          <w:p w14:paraId="769986C9" w14:textId="77777777" w:rsidR="0046798B" w:rsidRDefault="00903B5C">
            <w:pPr>
              <w:pStyle w:val="TableParagraph"/>
              <w:spacing w:before="1"/>
              <w:ind w:left="114"/>
              <w:rPr>
                <w:sz w:val="20"/>
              </w:rPr>
            </w:pPr>
            <w:r>
              <w:rPr>
                <w:sz w:val="20"/>
              </w:rPr>
              <w:t xml:space="preserve">Provided by: Pallay, Geoff. 2012. </w:t>
            </w:r>
            <w:r>
              <w:rPr>
                <w:i/>
                <w:sz w:val="20"/>
              </w:rPr>
              <w:t xml:space="preserve">Ballotpedia </w:t>
            </w:r>
            <w:r>
              <w:rPr>
                <w:sz w:val="20"/>
              </w:rPr>
              <w:t xml:space="preserve">and </w:t>
            </w:r>
            <w:r>
              <w:rPr>
                <w:i/>
                <w:sz w:val="20"/>
              </w:rPr>
              <w:t>The Lucy Burns Institute</w:t>
            </w:r>
            <w:r>
              <w:rPr>
                <w:sz w:val="20"/>
              </w:rPr>
              <w:t>.</w:t>
            </w:r>
          </w:p>
        </w:tc>
      </w:tr>
      <w:tr w:rsidR="0046798B" w14:paraId="5CAA1CAE" w14:textId="77777777">
        <w:trPr>
          <w:trHeight w:val="775"/>
        </w:trPr>
        <w:tc>
          <w:tcPr>
            <w:tcW w:w="1711" w:type="dxa"/>
          </w:tcPr>
          <w:p w14:paraId="5158EF73" w14:textId="77777777" w:rsidR="0046798B" w:rsidRDefault="00903B5C">
            <w:pPr>
              <w:pStyle w:val="TableParagraph"/>
              <w:spacing w:before="153"/>
              <w:ind w:left="115" w:right="154"/>
              <w:rPr>
                <w:b/>
                <w:sz w:val="20"/>
              </w:rPr>
            </w:pPr>
            <w:r>
              <w:rPr>
                <w:b/>
                <w:sz w:val="20"/>
              </w:rPr>
              <w:t>cash_assist_perc ap</w:t>
            </w:r>
          </w:p>
        </w:tc>
        <w:tc>
          <w:tcPr>
            <w:tcW w:w="1596" w:type="dxa"/>
          </w:tcPr>
          <w:p w14:paraId="5BE6F44E" w14:textId="77777777" w:rsidR="0046798B" w:rsidRDefault="00903B5C">
            <w:pPr>
              <w:pStyle w:val="TableParagraph"/>
              <w:spacing w:before="153"/>
              <w:ind w:left="114" w:right="202"/>
              <w:rPr>
                <w:sz w:val="20"/>
              </w:rPr>
            </w:pPr>
            <w:r>
              <w:rPr>
                <w:sz w:val="20"/>
              </w:rPr>
              <w:t>Cash assistance spending</w:t>
            </w:r>
          </w:p>
        </w:tc>
        <w:tc>
          <w:tcPr>
            <w:tcW w:w="1285" w:type="dxa"/>
          </w:tcPr>
          <w:p w14:paraId="463732E5" w14:textId="77777777" w:rsidR="0046798B" w:rsidRDefault="0046798B">
            <w:pPr>
              <w:pStyle w:val="TableParagraph"/>
              <w:spacing w:before="3"/>
              <w:rPr>
                <w:sz w:val="23"/>
              </w:rPr>
            </w:pPr>
          </w:p>
          <w:p w14:paraId="4EA85DDF" w14:textId="77777777" w:rsidR="0046798B" w:rsidRDefault="00903B5C">
            <w:pPr>
              <w:pStyle w:val="TableParagraph"/>
              <w:spacing w:before="1"/>
              <w:ind w:left="114"/>
              <w:rPr>
                <w:sz w:val="20"/>
              </w:rPr>
            </w:pPr>
            <w:r>
              <w:rPr>
                <w:sz w:val="20"/>
              </w:rPr>
              <w:t>1976–2006</w:t>
            </w:r>
          </w:p>
        </w:tc>
        <w:tc>
          <w:tcPr>
            <w:tcW w:w="3421" w:type="dxa"/>
          </w:tcPr>
          <w:p w14:paraId="2C261652" w14:textId="77777777" w:rsidR="0046798B" w:rsidRDefault="00903B5C">
            <w:pPr>
              <w:pStyle w:val="TableParagraph"/>
              <w:spacing w:before="153"/>
              <w:ind w:left="114" w:right="105"/>
              <w:rPr>
                <w:sz w:val="20"/>
              </w:rPr>
            </w:pPr>
            <w:r>
              <w:rPr>
                <w:sz w:val="20"/>
              </w:rPr>
              <w:t>Total state cash assistance spending per capita</w:t>
            </w:r>
          </w:p>
        </w:tc>
        <w:tc>
          <w:tcPr>
            <w:tcW w:w="6482" w:type="dxa"/>
          </w:tcPr>
          <w:p w14:paraId="4C330741" w14:textId="77777777" w:rsidR="0046798B" w:rsidRDefault="00903B5C">
            <w:pPr>
              <w:pStyle w:val="TableParagraph"/>
              <w:spacing w:before="38"/>
              <w:ind w:left="114" w:right="106"/>
              <w:rPr>
                <w:sz w:val="20"/>
              </w:rPr>
            </w:pPr>
            <w:r>
              <w:rPr>
                <w:sz w:val="20"/>
              </w:rPr>
              <w:t xml:space="preserve">Hayes, Thomas J., and D. Xavier Medina Vidal. “Fiscal Policy and Economic Inequality in the U.S. States: Taxing and Spending from 1976 to 2006.” </w:t>
            </w:r>
            <w:r>
              <w:rPr>
                <w:i/>
                <w:sz w:val="20"/>
              </w:rPr>
              <w:t xml:space="preserve">Political Research Quarterly </w:t>
            </w:r>
            <w:r>
              <w:rPr>
                <w:sz w:val="20"/>
              </w:rPr>
              <w:t>68.2 (2015): 392–407.</w:t>
            </w:r>
          </w:p>
        </w:tc>
      </w:tr>
      <w:tr w:rsidR="0046798B" w14:paraId="6DBB57E0" w14:textId="77777777">
        <w:trPr>
          <w:trHeight w:val="775"/>
        </w:trPr>
        <w:tc>
          <w:tcPr>
            <w:tcW w:w="1711" w:type="dxa"/>
          </w:tcPr>
          <w:p w14:paraId="051B37C6" w14:textId="77777777" w:rsidR="0046798B" w:rsidRDefault="00903B5C">
            <w:pPr>
              <w:pStyle w:val="TableParagraph"/>
              <w:spacing w:before="158"/>
              <w:ind w:left="115"/>
              <w:rPr>
                <w:b/>
                <w:sz w:val="20"/>
              </w:rPr>
            </w:pPr>
            <w:r>
              <w:rPr>
                <w:b/>
                <w:sz w:val="20"/>
              </w:rPr>
              <w:t>unemploy_comp</w:t>
            </w:r>
          </w:p>
          <w:p w14:paraId="00376460" w14:textId="77777777" w:rsidR="0046798B" w:rsidRDefault="00903B5C">
            <w:pPr>
              <w:pStyle w:val="TableParagraph"/>
              <w:ind w:left="115"/>
              <w:rPr>
                <w:b/>
                <w:sz w:val="20"/>
              </w:rPr>
            </w:pPr>
            <w:r>
              <w:rPr>
                <w:b/>
                <w:sz w:val="20"/>
              </w:rPr>
              <w:t>_percap</w:t>
            </w:r>
          </w:p>
        </w:tc>
        <w:tc>
          <w:tcPr>
            <w:tcW w:w="1596" w:type="dxa"/>
          </w:tcPr>
          <w:p w14:paraId="68126840" w14:textId="77777777" w:rsidR="0046798B" w:rsidRDefault="00903B5C">
            <w:pPr>
              <w:pStyle w:val="TableParagraph"/>
              <w:spacing w:before="43"/>
              <w:ind w:left="114" w:right="207"/>
              <w:rPr>
                <w:sz w:val="20"/>
              </w:rPr>
            </w:pPr>
            <w:r>
              <w:rPr>
                <w:sz w:val="20"/>
              </w:rPr>
              <w:t>Unemployment compensation spending</w:t>
            </w:r>
          </w:p>
        </w:tc>
        <w:tc>
          <w:tcPr>
            <w:tcW w:w="1285" w:type="dxa"/>
          </w:tcPr>
          <w:p w14:paraId="253653FE" w14:textId="77777777" w:rsidR="0046798B" w:rsidRDefault="0046798B">
            <w:pPr>
              <w:pStyle w:val="TableParagraph"/>
              <w:spacing w:before="9"/>
              <w:rPr>
                <w:sz w:val="23"/>
              </w:rPr>
            </w:pPr>
          </w:p>
          <w:p w14:paraId="3040F8FD" w14:textId="77777777" w:rsidR="0046798B" w:rsidRDefault="00903B5C">
            <w:pPr>
              <w:pStyle w:val="TableParagraph"/>
              <w:ind w:left="114"/>
              <w:rPr>
                <w:sz w:val="20"/>
              </w:rPr>
            </w:pPr>
            <w:r>
              <w:rPr>
                <w:sz w:val="20"/>
              </w:rPr>
              <w:t>1976–2006</w:t>
            </w:r>
          </w:p>
        </w:tc>
        <w:tc>
          <w:tcPr>
            <w:tcW w:w="3421" w:type="dxa"/>
          </w:tcPr>
          <w:p w14:paraId="479CC0DA" w14:textId="77777777" w:rsidR="0046798B" w:rsidRDefault="00903B5C">
            <w:pPr>
              <w:pStyle w:val="TableParagraph"/>
              <w:spacing w:before="158"/>
              <w:ind w:left="114" w:right="561"/>
              <w:rPr>
                <w:sz w:val="20"/>
              </w:rPr>
            </w:pPr>
            <w:r>
              <w:rPr>
                <w:sz w:val="20"/>
              </w:rPr>
              <w:t>Total state unemployment compensation spending per capita</w:t>
            </w:r>
          </w:p>
        </w:tc>
        <w:tc>
          <w:tcPr>
            <w:tcW w:w="6482" w:type="dxa"/>
          </w:tcPr>
          <w:p w14:paraId="639F34D9" w14:textId="77777777" w:rsidR="0046798B" w:rsidRDefault="00903B5C">
            <w:pPr>
              <w:pStyle w:val="TableParagraph"/>
              <w:spacing w:before="43"/>
              <w:ind w:left="114" w:right="106"/>
              <w:rPr>
                <w:sz w:val="20"/>
              </w:rPr>
            </w:pPr>
            <w:r>
              <w:rPr>
                <w:sz w:val="20"/>
              </w:rPr>
              <w:t xml:space="preserve">Hayes, Thomas J., and D. Xavier Medina Vidal. “Fiscal Policy and Economic Inequality in the U.S. States: Taxing and Spending from 1976 to 2006.” </w:t>
            </w:r>
            <w:r>
              <w:rPr>
                <w:i/>
                <w:sz w:val="20"/>
              </w:rPr>
              <w:t xml:space="preserve">Political Research Quarterly </w:t>
            </w:r>
            <w:r>
              <w:rPr>
                <w:sz w:val="20"/>
              </w:rPr>
              <w:t>68.2 (2015): 392–407.</w:t>
            </w:r>
          </w:p>
        </w:tc>
      </w:tr>
      <w:tr w:rsidR="0046798B" w14:paraId="5FF002BE" w14:textId="77777777">
        <w:trPr>
          <w:trHeight w:val="775"/>
        </w:trPr>
        <w:tc>
          <w:tcPr>
            <w:tcW w:w="1711" w:type="dxa"/>
          </w:tcPr>
          <w:p w14:paraId="47270D8F" w14:textId="77777777" w:rsidR="0046798B" w:rsidRDefault="00903B5C">
            <w:pPr>
              <w:pStyle w:val="TableParagraph"/>
              <w:spacing w:before="158"/>
              <w:ind w:left="115" w:right="166"/>
              <w:rPr>
                <w:b/>
                <w:sz w:val="20"/>
              </w:rPr>
            </w:pPr>
            <w:r>
              <w:rPr>
                <w:b/>
                <w:sz w:val="20"/>
              </w:rPr>
              <w:t>welfare_spendin g_percap</w:t>
            </w:r>
          </w:p>
        </w:tc>
        <w:tc>
          <w:tcPr>
            <w:tcW w:w="1596" w:type="dxa"/>
          </w:tcPr>
          <w:p w14:paraId="403FF10E" w14:textId="77777777" w:rsidR="0046798B" w:rsidRDefault="00903B5C">
            <w:pPr>
              <w:pStyle w:val="TableParagraph"/>
              <w:spacing w:before="158"/>
              <w:ind w:left="114" w:right="729"/>
              <w:rPr>
                <w:sz w:val="20"/>
              </w:rPr>
            </w:pPr>
            <w:r>
              <w:rPr>
                <w:sz w:val="20"/>
              </w:rPr>
              <w:t>Welfare spending</w:t>
            </w:r>
          </w:p>
        </w:tc>
        <w:tc>
          <w:tcPr>
            <w:tcW w:w="1285" w:type="dxa"/>
          </w:tcPr>
          <w:p w14:paraId="700F7236" w14:textId="77777777" w:rsidR="0046798B" w:rsidRDefault="0046798B">
            <w:pPr>
              <w:pStyle w:val="TableParagraph"/>
              <w:spacing w:before="8"/>
              <w:rPr>
                <w:sz w:val="23"/>
              </w:rPr>
            </w:pPr>
          </w:p>
          <w:p w14:paraId="1B9D7070" w14:textId="77777777" w:rsidR="0046798B" w:rsidRDefault="00903B5C">
            <w:pPr>
              <w:pStyle w:val="TableParagraph"/>
              <w:spacing w:before="1"/>
              <w:ind w:left="114"/>
              <w:rPr>
                <w:sz w:val="20"/>
              </w:rPr>
            </w:pPr>
            <w:r>
              <w:rPr>
                <w:sz w:val="20"/>
              </w:rPr>
              <w:t>1976–2006</w:t>
            </w:r>
          </w:p>
        </w:tc>
        <w:tc>
          <w:tcPr>
            <w:tcW w:w="3421" w:type="dxa"/>
          </w:tcPr>
          <w:p w14:paraId="01EF450B" w14:textId="77777777" w:rsidR="0046798B" w:rsidRDefault="0046798B">
            <w:pPr>
              <w:pStyle w:val="TableParagraph"/>
              <w:spacing w:before="8"/>
              <w:rPr>
                <w:sz w:val="23"/>
              </w:rPr>
            </w:pPr>
          </w:p>
          <w:p w14:paraId="53386DFE" w14:textId="77777777" w:rsidR="0046798B" w:rsidRDefault="00903B5C">
            <w:pPr>
              <w:pStyle w:val="TableParagraph"/>
              <w:spacing w:before="1"/>
              <w:ind w:left="114"/>
              <w:rPr>
                <w:sz w:val="20"/>
              </w:rPr>
            </w:pPr>
            <w:r>
              <w:rPr>
                <w:sz w:val="20"/>
              </w:rPr>
              <w:t>Total state welfare spending per capita</w:t>
            </w:r>
          </w:p>
        </w:tc>
        <w:tc>
          <w:tcPr>
            <w:tcW w:w="6482" w:type="dxa"/>
          </w:tcPr>
          <w:p w14:paraId="36E08F8E" w14:textId="77777777" w:rsidR="0046798B" w:rsidRDefault="00903B5C">
            <w:pPr>
              <w:pStyle w:val="TableParagraph"/>
              <w:spacing w:before="43"/>
              <w:ind w:left="114" w:right="106"/>
              <w:rPr>
                <w:sz w:val="20"/>
              </w:rPr>
            </w:pPr>
            <w:r>
              <w:rPr>
                <w:sz w:val="20"/>
              </w:rPr>
              <w:t xml:space="preserve">Hayes, Thomas J., and D. Xavier Medina Vidal. “Fiscal Policy and Economic Inequality in the U.S. States: Taxing and Spending from 1976 to 2006.” </w:t>
            </w:r>
            <w:r>
              <w:rPr>
                <w:i/>
                <w:sz w:val="20"/>
              </w:rPr>
              <w:t xml:space="preserve">Political Research Quarterly </w:t>
            </w:r>
            <w:r>
              <w:rPr>
                <w:sz w:val="20"/>
              </w:rPr>
              <w:t>68.2 (2015): 392–407.</w:t>
            </w:r>
          </w:p>
        </w:tc>
      </w:tr>
      <w:tr w:rsidR="0046798B" w14:paraId="69EAD0F0" w14:textId="77777777">
        <w:trPr>
          <w:trHeight w:val="3767"/>
        </w:trPr>
        <w:tc>
          <w:tcPr>
            <w:tcW w:w="1711" w:type="dxa"/>
          </w:tcPr>
          <w:p w14:paraId="15A609CB" w14:textId="77777777" w:rsidR="0046798B" w:rsidRDefault="0046798B">
            <w:pPr>
              <w:pStyle w:val="TableParagraph"/>
            </w:pPr>
          </w:p>
          <w:p w14:paraId="1DD27143" w14:textId="77777777" w:rsidR="0046798B" w:rsidRDefault="0046798B">
            <w:pPr>
              <w:pStyle w:val="TableParagraph"/>
            </w:pPr>
          </w:p>
          <w:p w14:paraId="2D4FD9E1" w14:textId="77777777" w:rsidR="0046798B" w:rsidRDefault="0046798B">
            <w:pPr>
              <w:pStyle w:val="TableParagraph"/>
            </w:pPr>
          </w:p>
          <w:p w14:paraId="6B664B9A" w14:textId="77777777" w:rsidR="0046798B" w:rsidRDefault="0046798B">
            <w:pPr>
              <w:pStyle w:val="TableParagraph"/>
            </w:pPr>
          </w:p>
          <w:p w14:paraId="4E6F3BFF" w14:textId="77777777" w:rsidR="0046798B" w:rsidRDefault="0046798B">
            <w:pPr>
              <w:pStyle w:val="TableParagraph"/>
            </w:pPr>
          </w:p>
          <w:p w14:paraId="1C5D7297" w14:textId="77777777" w:rsidR="0046798B" w:rsidRDefault="0046798B">
            <w:pPr>
              <w:pStyle w:val="TableParagraph"/>
            </w:pPr>
          </w:p>
          <w:p w14:paraId="4801D33C" w14:textId="77777777" w:rsidR="0046798B" w:rsidRDefault="0046798B">
            <w:pPr>
              <w:pStyle w:val="TableParagraph"/>
              <w:spacing w:before="10"/>
              <w:rPr>
                <w:sz w:val="21"/>
              </w:rPr>
            </w:pPr>
          </w:p>
          <w:p w14:paraId="09119079" w14:textId="77777777" w:rsidR="0046798B" w:rsidRDefault="00903B5C">
            <w:pPr>
              <w:pStyle w:val="TableParagraph"/>
              <w:ind w:left="115"/>
              <w:rPr>
                <w:b/>
                <w:sz w:val="20"/>
              </w:rPr>
            </w:pPr>
            <w:r>
              <w:rPr>
                <w:b/>
                <w:sz w:val="20"/>
              </w:rPr>
              <w:t>gsppcap</w:t>
            </w:r>
          </w:p>
        </w:tc>
        <w:tc>
          <w:tcPr>
            <w:tcW w:w="1596" w:type="dxa"/>
          </w:tcPr>
          <w:p w14:paraId="01E0261C" w14:textId="77777777" w:rsidR="0046798B" w:rsidRDefault="0046798B">
            <w:pPr>
              <w:pStyle w:val="TableParagraph"/>
            </w:pPr>
          </w:p>
          <w:p w14:paraId="0F22C3D6" w14:textId="77777777" w:rsidR="0046798B" w:rsidRDefault="0046798B">
            <w:pPr>
              <w:pStyle w:val="TableParagraph"/>
            </w:pPr>
          </w:p>
          <w:p w14:paraId="43BF9D0B" w14:textId="77777777" w:rsidR="0046798B" w:rsidRDefault="0046798B">
            <w:pPr>
              <w:pStyle w:val="TableParagraph"/>
            </w:pPr>
          </w:p>
          <w:p w14:paraId="28F89799" w14:textId="77777777" w:rsidR="0046798B" w:rsidRDefault="0046798B">
            <w:pPr>
              <w:pStyle w:val="TableParagraph"/>
            </w:pPr>
          </w:p>
          <w:p w14:paraId="63DC91EF" w14:textId="77777777" w:rsidR="0046798B" w:rsidRDefault="0046798B">
            <w:pPr>
              <w:pStyle w:val="TableParagraph"/>
            </w:pPr>
          </w:p>
          <w:p w14:paraId="1FD7775C" w14:textId="77777777" w:rsidR="0046798B" w:rsidRDefault="0046798B">
            <w:pPr>
              <w:pStyle w:val="TableParagraph"/>
              <w:spacing w:before="9"/>
              <w:rPr>
                <w:sz w:val="23"/>
              </w:rPr>
            </w:pPr>
          </w:p>
          <w:p w14:paraId="280ACFBA" w14:textId="77777777" w:rsidR="0046798B" w:rsidRDefault="00903B5C">
            <w:pPr>
              <w:pStyle w:val="TableParagraph"/>
              <w:spacing w:before="1"/>
              <w:ind w:left="114" w:right="553"/>
              <w:jc w:val="both"/>
              <w:rPr>
                <w:sz w:val="20"/>
              </w:rPr>
            </w:pPr>
            <w:r>
              <w:rPr>
                <w:sz w:val="20"/>
              </w:rPr>
              <w:t>Gross state product per capita</w:t>
            </w:r>
          </w:p>
        </w:tc>
        <w:tc>
          <w:tcPr>
            <w:tcW w:w="1285" w:type="dxa"/>
          </w:tcPr>
          <w:p w14:paraId="41CFDB1A" w14:textId="77777777" w:rsidR="0046798B" w:rsidRDefault="0046798B">
            <w:pPr>
              <w:pStyle w:val="TableParagraph"/>
            </w:pPr>
          </w:p>
          <w:p w14:paraId="5E1547B0" w14:textId="77777777" w:rsidR="0046798B" w:rsidRDefault="0046798B">
            <w:pPr>
              <w:pStyle w:val="TableParagraph"/>
            </w:pPr>
          </w:p>
          <w:p w14:paraId="716C2392" w14:textId="77777777" w:rsidR="0046798B" w:rsidRDefault="0046798B">
            <w:pPr>
              <w:pStyle w:val="TableParagraph"/>
            </w:pPr>
          </w:p>
          <w:p w14:paraId="5C9D82CF" w14:textId="77777777" w:rsidR="0046798B" w:rsidRDefault="0046798B">
            <w:pPr>
              <w:pStyle w:val="TableParagraph"/>
            </w:pPr>
          </w:p>
          <w:p w14:paraId="21B03942" w14:textId="77777777" w:rsidR="0046798B" w:rsidRDefault="0046798B">
            <w:pPr>
              <w:pStyle w:val="TableParagraph"/>
            </w:pPr>
          </w:p>
          <w:p w14:paraId="00916EB3" w14:textId="77777777" w:rsidR="0046798B" w:rsidRDefault="0046798B">
            <w:pPr>
              <w:pStyle w:val="TableParagraph"/>
            </w:pPr>
          </w:p>
          <w:p w14:paraId="665074B5" w14:textId="77777777" w:rsidR="0046798B" w:rsidRDefault="0046798B">
            <w:pPr>
              <w:pStyle w:val="TableParagraph"/>
              <w:spacing w:before="10"/>
              <w:rPr>
                <w:sz w:val="21"/>
              </w:rPr>
            </w:pPr>
          </w:p>
          <w:p w14:paraId="379A3FFD" w14:textId="77777777" w:rsidR="0046798B" w:rsidRDefault="00903B5C">
            <w:pPr>
              <w:pStyle w:val="TableParagraph"/>
              <w:ind w:left="114"/>
              <w:rPr>
                <w:sz w:val="20"/>
              </w:rPr>
            </w:pPr>
            <w:r>
              <w:rPr>
                <w:sz w:val="20"/>
              </w:rPr>
              <w:t>1987–2010</w:t>
            </w:r>
          </w:p>
        </w:tc>
        <w:tc>
          <w:tcPr>
            <w:tcW w:w="3421" w:type="dxa"/>
          </w:tcPr>
          <w:p w14:paraId="339591FF" w14:textId="77777777" w:rsidR="0046798B" w:rsidRDefault="0046798B">
            <w:pPr>
              <w:pStyle w:val="TableParagraph"/>
            </w:pPr>
          </w:p>
          <w:p w14:paraId="0C0EA940" w14:textId="77777777" w:rsidR="0046798B" w:rsidRDefault="0046798B">
            <w:pPr>
              <w:pStyle w:val="TableParagraph"/>
            </w:pPr>
          </w:p>
          <w:p w14:paraId="297FA5E9" w14:textId="77777777" w:rsidR="0046798B" w:rsidRDefault="0046798B">
            <w:pPr>
              <w:pStyle w:val="TableParagraph"/>
              <w:spacing w:before="9"/>
              <w:rPr>
                <w:sz w:val="29"/>
              </w:rPr>
            </w:pPr>
          </w:p>
          <w:p w14:paraId="210CB530" w14:textId="77777777" w:rsidR="0046798B" w:rsidRDefault="00903B5C">
            <w:pPr>
              <w:pStyle w:val="TableParagraph"/>
              <w:ind w:left="114" w:right="130"/>
              <w:rPr>
                <w:sz w:val="20"/>
              </w:rPr>
            </w:pPr>
            <w:r>
              <w:rPr>
                <w:sz w:val="20"/>
              </w:rPr>
              <w:t>Per capita GDP by state is the state counterpart of the nation’s gross domestic product (GDP) divided by the residents of the state. Current dollars per state resident. Per capita GDP by state is derived as the sum of the GDP originating in all the industries in a state divided by the population of the state.</w:t>
            </w:r>
          </w:p>
        </w:tc>
        <w:tc>
          <w:tcPr>
            <w:tcW w:w="6482" w:type="dxa"/>
          </w:tcPr>
          <w:p w14:paraId="7F8FA83C" w14:textId="77777777" w:rsidR="0046798B" w:rsidRDefault="00903B5C">
            <w:pPr>
              <w:pStyle w:val="TableParagraph"/>
              <w:spacing w:before="44"/>
              <w:ind w:left="114" w:right="200"/>
              <w:rPr>
                <w:sz w:val="20"/>
              </w:rPr>
            </w:pPr>
            <w:r>
              <w:rPr>
                <w:sz w:val="20"/>
              </w:rPr>
              <w:t xml:space="preserve">US Department of Commerce Bureau of Economic Analysis. 2012. “NAICS Per Capita GDP by state/SIC Per Capita GDP by state.” Accessed at: </w:t>
            </w:r>
            <w:hyperlink r:id="rId321">
              <w:r>
                <w:rPr>
                  <w:sz w:val="20"/>
                </w:rPr>
                <w:t>http://www.bea.gov/regional/downloadzip.cfm.</w:t>
              </w:r>
            </w:hyperlink>
          </w:p>
          <w:p w14:paraId="4535EFAC" w14:textId="77777777" w:rsidR="0046798B" w:rsidRDefault="0046798B">
            <w:pPr>
              <w:pStyle w:val="TableParagraph"/>
              <w:spacing w:before="11"/>
              <w:rPr>
                <w:sz w:val="19"/>
              </w:rPr>
            </w:pPr>
          </w:p>
          <w:p w14:paraId="41386649" w14:textId="77777777" w:rsidR="0046798B" w:rsidRDefault="00903B5C">
            <w:pPr>
              <w:pStyle w:val="TableParagraph"/>
              <w:ind w:left="114" w:right="217"/>
              <w:rPr>
                <w:sz w:val="20"/>
              </w:rPr>
            </w:pPr>
            <w:r>
              <w:rPr>
                <w:sz w:val="20"/>
              </w:rPr>
              <w:t xml:space="preserve">Originally provided by Stateminder: A data visualization project from Georgetown University. </w:t>
            </w:r>
            <w:hyperlink r:id="rId322">
              <w:r>
                <w:rPr>
                  <w:sz w:val="20"/>
                </w:rPr>
                <w:t xml:space="preserve">http://stateminder.org/ </w:t>
              </w:r>
            </w:hyperlink>
            <w:r>
              <w:rPr>
                <w:sz w:val="20"/>
              </w:rPr>
              <w:t>(no longer accessible online)</w:t>
            </w:r>
          </w:p>
          <w:p w14:paraId="2BB8DF54" w14:textId="77777777" w:rsidR="0046798B" w:rsidRDefault="0046798B">
            <w:pPr>
              <w:pStyle w:val="TableParagraph"/>
              <w:spacing w:before="1"/>
              <w:rPr>
                <w:sz w:val="20"/>
              </w:rPr>
            </w:pPr>
          </w:p>
          <w:p w14:paraId="6E5C6710" w14:textId="77777777" w:rsidR="0046798B" w:rsidRDefault="00903B5C">
            <w:pPr>
              <w:pStyle w:val="TableParagraph"/>
              <w:ind w:left="114" w:right="176"/>
              <w:rPr>
                <w:sz w:val="20"/>
              </w:rPr>
            </w:pPr>
            <w:r>
              <w:rPr>
                <w:sz w:val="20"/>
              </w:rPr>
              <w:t>Note: There is a discontinuity in the GDP-by-state time series at 1997, where the data change from SIC industry definitions to NAICS industry definitions. This discontinuity results from many sources, including differences in source data and different estimation methodologies. In addition, the NAICS-based GDP-by-state estimates are consistent with U.S. gross domestic product (GDP) while the SIC-based GDP-by-state estimates are consistent with U.S. gross domestic income (GDI). This data discontinuity may affect both the levels and the growth rates of the GDP-by-state estimates. NAICS industry defined data was used for 1997.</w:t>
            </w:r>
          </w:p>
        </w:tc>
      </w:tr>
    </w:tbl>
    <w:p w14:paraId="705E7867" w14:textId="77777777" w:rsidR="0046798B" w:rsidRDefault="0046798B">
      <w:pPr>
        <w:rPr>
          <w:sz w:val="20"/>
        </w:rPr>
        <w:sectPr w:rsidR="0046798B">
          <w:pgSz w:w="15840" w:h="12240" w:orient="landscape"/>
          <w:pgMar w:top="1220" w:right="300" w:bottom="980" w:left="820" w:header="730" w:footer="787" w:gutter="0"/>
          <w:cols w:space="720"/>
        </w:sectPr>
      </w:pPr>
    </w:p>
    <w:p w14:paraId="733DF2DD"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78DE30B3" w14:textId="77777777">
        <w:trPr>
          <w:trHeight w:val="3076"/>
        </w:trPr>
        <w:tc>
          <w:tcPr>
            <w:tcW w:w="1711" w:type="dxa"/>
          </w:tcPr>
          <w:p w14:paraId="2A9AF469" w14:textId="77777777" w:rsidR="0046798B" w:rsidRDefault="0046798B">
            <w:pPr>
              <w:pStyle w:val="TableParagraph"/>
            </w:pPr>
          </w:p>
          <w:p w14:paraId="159F17D2" w14:textId="77777777" w:rsidR="0046798B" w:rsidRDefault="0046798B">
            <w:pPr>
              <w:pStyle w:val="TableParagraph"/>
            </w:pPr>
          </w:p>
          <w:p w14:paraId="13618532" w14:textId="77777777" w:rsidR="0046798B" w:rsidRDefault="0046798B">
            <w:pPr>
              <w:pStyle w:val="TableParagraph"/>
            </w:pPr>
          </w:p>
          <w:p w14:paraId="1F3F8198" w14:textId="77777777" w:rsidR="0046798B" w:rsidRDefault="0046798B">
            <w:pPr>
              <w:pStyle w:val="TableParagraph"/>
            </w:pPr>
          </w:p>
          <w:p w14:paraId="625B610F" w14:textId="77777777" w:rsidR="0046798B" w:rsidRDefault="0046798B">
            <w:pPr>
              <w:pStyle w:val="TableParagraph"/>
            </w:pPr>
          </w:p>
          <w:p w14:paraId="66A7692B" w14:textId="77777777" w:rsidR="0046798B" w:rsidRDefault="00903B5C">
            <w:pPr>
              <w:pStyle w:val="TableParagraph"/>
              <w:spacing w:before="159"/>
              <w:ind w:left="115"/>
              <w:rPr>
                <w:b/>
                <w:sz w:val="20"/>
              </w:rPr>
            </w:pPr>
            <w:r>
              <w:rPr>
                <w:b/>
                <w:sz w:val="20"/>
              </w:rPr>
              <w:t>gsptotal</w:t>
            </w:r>
          </w:p>
        </w:tc>
        <w:tc>
          <w:tcPr>
            <w:tcW w:w="1596" w:type="dxa"/>
          </w:tcPr>
          <w:p w14:paraId="3F7A85F7" w14:textId="77777777" w:rsidR="0046798B" w:rsidRDefault="0046798B">
            <w:pPr>
              <w:pStyle w:val="TableParagraph"/>
            </w:pPr>
          </w:p>
          <w:p w14:paraId="5A722B6C" w14:textId="77777777" w:rsidR="0046798B" w:rsidRDefault="0046798B">
            <w:pPr>
              <w:pStyle w:val="TableParagraph"/>
            </w:pPr>
          </w:p>
          <w:p w14:paraId="68F8AE24" w14:textId="77777777" w:rsidR="0046798B" w:rsidRDefault="0046798B">
            <w:pPr>
              <w:pStyle w:val="TableParagraph"/>
            </w:pPr>
          </w:p>
          <w:p w14:paraId="273D881A" w14:textId="77777777" w:rsidR="0046798B" w:rsidRDefault="0046798B">
            <w:pPr>
              <w:pStyle w:val="TableParagraph"/>
            </w:pPr>
          </w:p>
          <w:p w14:paraId="7E9B0BEF" w14:textId="77777777" w:rsidR="0046798B" w:rsidRDefault="0046798B">
            <w:pPr>
              <w:pStyle w:val="TableParagraph"/>
              <w:spacing w:before="9"/>
              <w:rPr>
                <w:sz w:val="25"/>
              </w:rPr>
            </w:pPr>
          </w:p>
          <w:p w14:paraId="1D25BC66" w14:textId="77777777" w:rsidR="0046798B" w:rsidRDefault="00903B5C">
            <w:pPr>
              <w:pStyle w:val="TableParagraph"/>
              <w:ind w:left="114" w:right="435"/>
              <w:rPr>
                <w:sz w:val="20"/>
              </w:rPr>
            </w:pPr>
            <w:r>
              <w:rPr>
                <w:sz w:val="20"/>
              </w:rPr>
              <w:t>Gross state product total</w:t>
            </w:r>
          </w:p>
        </w:tc>
        <w:tc>
          <w:tcPr>
            <w:tcW w:w="1285" w:type="dxa"/>
          </w:tcPr>
          <w:p w14:paraId="4BB9502C" w14:textId="77777777" w:rsidR="0046798B" w:rsidRDefault="0046798B">
            <w:pPr>
              <w:pStyle w:val="TableParagraph"/>
            </w:pPr>
          </w:p>
          <w:p w14:paraId="1F458DE4" w14:textId="77777777" w:rsidR="0046798B" w:rsidRDefault="0046798B">
            <w:pPr>
              <w:pStyle w:val="TableParagraph"/>
            </w:pPr>
          </w:p>
          <w:p w14:paraId="4A611881" w14:textId="77777777" w:rsidR="0046798B" w:rsidRDefault="0046798B">
            <w:pPr>
              <w:pStyle w:val="TableParagraph"/>
            </w:pPr>
          </w:p>
          <w:p w14:paraId="09F5DAF1" w14:textId="77777777" w:rsidR="0046798B" w:rsidRDefault="0046798B">
            <w:pPr>
              <w:pStyle w:val="TableParagraph"/>
            </w:pPr>
          </w:p>
          <w:p w14:paraId="37DD0D5E" w14:textId="77777777" w:rsidR="0046798B" w:rsidRDefault="0046798B">
            <w:pPr>
              <w:pStyle w:val="TableParagraph"/>
            </w:pPr>
          </w:p>
          <w:p w14:paraId="3656A35E" w14:textId="77777777" w:rsidR="0046798B" w:rsidRDefault="00903B5C">
            <w:pPr>
              <w:pStyle w:val="TableParagraph"/>
              <w:spacing w:before="159"/>
              <w:ind w:left="114"/>
              <w:rPr>
                <w:sz w:val="20"/>
              </w:rPr>
            </w:pPr>
            <w:r>
              <w:rPr>
                <w:sz w:val="20"/>
              </w:rPr>
              <w:t>1963–2016</w:t>
            </w:r>
          </w:p>
        </w:tc>
        <w:tc>
          <w:tcPr>
            <w:tcW w:w="3421" w:type="dxa"/>
          </w:tcPr>
          <w:p w14:paraId="34C62D48" w14:textId="77777777" w:rsidR="0046798B" w:rsidRDefault="0046798B">
            <w:pPr>
              <w:pStyle w:val="TableParagraph"/>
            </w:pPr>
          </w:p>
          <w:p w14:paraId="31C3FEB8" w14:textId="77777777" w:rsidR="0046798B" w:rsidRDefault="0046798B">
            <w:pPr>
              <w:pStyle w:val="TableParagraph"/>
            </w:pPr>
          </w:p>
          <w:p w14:paraId="470FB155" w14:textId="77777777" w:rsidR="0046798B" w:rsidRDefault="0046798B">
            <w:pPr>
              <w:pStyle w:val="TableParagraph"/>
              <w:spacing w:before="9"/>
              <w:rPr>
                <w:sz w:val="29"/>
              </w:rPr>
            </w:pPr>
          </w:p>
          <w:p w14:paraId="4012F793" w14:textId="77777777" w:rsidR="0046798B" w:rsidRDefault="00903B5C">
            <w:pPr>
              <w:pStyle w:val="TableParagraph"/>
              <w:ind w:left="114" w:right="138"/>
              <w:rPr>
                <w:sz w:val="20"/>
              </w:rPr>
            </w:pPr>
            <w:r>
              <w:rPr>
                <w:sz w:val="20"/>
              </w:rPr>
              <w:t>GDP by state is the state counterpart of the nation’s gross domestic product (GDP). GDP by state is derived as the sum of the GDP originating in all the industries in a state (in millions of current dollars)</w:t>
            </w:r>
          </w:p>
        </w:tc>
        <w:tc>
          <w:tcPr>
            <w:tcW w:w="6482" w:type="dxa"/>
          </w:tcPr>
          <w:p w14:paraId="32B0993F" w14:textId="77777777" w:rsidR="0046798B" w:rsidRDefault="00903B5C">
            <w:pPr>
              <w:pStyle w:val="TableParagraph"/>
              <w:spacing w:before="43"/>
              <w:ind w:left="114" w:right="200"/>
              <w:rPr>
                <w:sz w:val="20"/>
              </w:rPr>
            </w:pPr>
            <w:r>
              <w:rPr>
                <w:sz w:val="20"/>
              </w:rPr>
              <w:t xml:space="preserve">US Department of Commerce Bureau of Economic Analysis. 2012. “NAICS Per Capita GDP by state/SIC Per Capita GDP by state.” Accessed at: </w:t>
            </w:r>
            <w:hyperlink r:id="rId323">
              <w:r>
                <w:rPr>
                  <w:sz w:val="20"/>
                  <w:u w:val="single"/>
                </w:rPr>
                <w:t>http://www.bea.gov/regional/downloadzip.cfm</w:t>
              </w:r>
              <w:r>
                <w:rPr>
                  <w:sz w:val="20"/>
                </w:rPr>
                <w:t>.</w:t>
              </w:r>
            </w:hyperlink>
          </w:p>
          <w:p w14:paraId="3BF3CD5E" w14:textId="77777777" w:rsidR="0046798B" w:rsidRDefault="0046798B">
            <w:pPr>
              <w:pStyle w:val="TableParagraph"/>
              <w:rPr>
                <w:sz w:val="20"/>
              </w:rPr>
            </w:pPr>
          </w:p>
          <w:p w14:paraId="131A73EE" w14:textId="77777777" w:rsidR="0046798B" w:rsidRDefault="00903B5C">
            <w:pPr>
              <w:pStyle w:val="TableParagraph"/>
              <w:ind w:left="114" w:right="176"/>
              <w:rPr>
                <w:sz w:val="20"/>
              </w:rPr>
            </w:pPr>
            <w:r>
              <w:rPr>
                <w:sz w:val="20"/>
              </w:rPr>
              <w:t>Note: There is a discontinuity in the GDP-by-state time series at 1997, where the data change from SIC industry definitions to NAICS industry definitions. This discontinuity results from many sources, including differences in source data and different estimation methodologies. In addition, the NAICS-based GDP-by-state estimates are consistent with U.S. gross domestic product (GDP) while the SIC-based GDP-by-state estimates are consistent with U.S. gross domestic income (GDI). This data discontinuity may affect both the levels and the growth rates of the GDP-by-state estimates. NAICS industry defined data was used for 1997.</w:t>
            </w:r>
          </w:p>
        </w:tc>
      </w:tr>
      <w:tr w:rsidR="0046798B" w14:paraId="6BEB0E63" w14:textId="77777777">
        <w:trPr>
          <w:trHeight w:val="2845"/>
        </w:trPr>
        <w:tc>
          <w:tcPr>
            <w:tcW w:w="1711" w:type="dxa"/>
          </w:tcPr>
          <w:p w14:paraId="7EFF288D" w14:textId="77777777" w:rsidR="0046798B" w:rsidRDefault="0046798B">
            <w:pPr>
              <w:pStyle w:val="TableParagraph"/>
            </w:pPr>
          </w:p>
          <w:p w14:paraId="1DC3AE39" w14:textId="77777777" w:rsidR="0046798B" w:rsidRDefault="0046798B">
            <w:pPr>
              <w:pStyle w:val="TableParagraph"/>
            </w:pPr>
          </w:p>
          <w:p w14:paraId="76FF8411" w14:textId="77777777" w:rsidR="0046798B" w:rsidRDefault="0046798B">
            <w:pPr>
              <w:pStyle w:val="TableParagraph"/>
            </w:pPr>
          </w:p>
          <w:p w14:paraId="437A6554" w14:textId="77777777" w:rsidR="0046798B" w:rsidRDefault="0046798B">
            <w:pPr>
              <w:pStyle w:val="TableParagraph"/>
            </w:pPr>
          </w:p>
          <w:p w14:paraId="498E29BF" w14:textId="77777777" w:rsidR="0046798B" w:rsidRDefault="0046798B">
            <w:pPr>
              <w:pStyle w:val="TableParagraph"/>
              <w:spacing w:before="9"/>
              <w:rPr>
                <w:sz w:val="25"/>
              </w:rPr>
            </w:pPr>
          </w:p>
          <w:p w14:paraId="6DE4633E" w14:textId="77777777" w:rsidR="0046798B" w:rsidRDefault="00903B5C">
            <w:pPr>
              <w:pStyle w:val="TableParagraph"/>
              <w:ind w:left="115"/>
              <w:rPr>
                <w:b/>
                <w:sz w:val="20"/>
              </w:rPr>
            </w:pPr>
            <w:r>
              <w:rPr>
                <w:b/>
                <w:sz w:val="20"/>
              </w:rPr>
              <w:t>incomepcap</w:t>
            </w:r>
          </w:p>
        </w:tc>
        <w:tc>
          <w:tcPr>
            <w:tcW w:w="1596" w:type="dxa"/>
          </w:tcPr>
          <w:p w14:paraId="6DC04013" w14:textId="77777777" w:rsidR="0046798B" w:rsidRDefault="0046798B">
            <w:pPr>
              <w:pStyle w:val="TableParagraph"/>
            </w:pPr>
          </w:p>
          <w:p w14:paraId="0367112B" w14:textId="77777777" w:rsidR="0046798B" w:rsidRDefault="0046798B">
            <w:pPr>
              <w:pStyle w:val="TableParagraph"/>
            </w:pPr>
          </w:p>
          <w:p w14:paraId="240A4044" w14:textId="77777777" w:rsidR="0046798B" w:rsidRDefault="0046798B">
            <w:pPr>
              <w:pStyle w:val="TableParagraph"/>
            </w:pPr>
          </w:p>
          <w:p w14:paraId="38503989" w14:textId="77777777" w:rsidR="0046798B" w:rsidRDefault="0046798B">
            <w:pPr>
              <w:pStyle w:val="TableParagraph"/>
            </w:pPr>
          </w:p>
          <w:p w14:paraId="78BC0586" w14:textId="77777777" w:rsidR="0046798B" w:rsidRDefault="00903B5C">
            <w:pPr>
              <w:pStyle w:val="TableParagraph"/>
              <w:spacing w:before="181"/>
              <w:ind w:left="114" w:right="546"/>
              <w:rPr>
                <w:sz w:val="20"/>
              </w:rPr>
            </w:pPr>
            <w:r>
              <w:rPr>
                <w:sz w:val="20"/>
              </w:rPr>
              <w:t>Income per capita</w:t>
            </w:r>
          </w:p>
        </w:tc>
        <w:tc>
          <w:tcPr>
            <w:tcW w:w="1285" w:type="dxa"/>
          </w:tcPr>
          <w:p w14:paraId="602CCDD4" w14:textId="77777777" w:rsidR="0046798B" w:rsidRDefault="0046798B">
            <w:pPr>
              <w:pStyle w:val="TableParagraph"/>
            </w:pPr>
          </w:p>
          <w:p w14:paraId="31E12A70" w14:textId="77777777" w:rsidR="0046798B" w:rsidRDefault="0046798B">
            <w:pPr>
              <w:pStyle w:val="TableParagraph"/>
            </w:pPr>
          </w:p>
          <w:p w14:paraId="2625DE29" w14:textId="77777777" w:rsidR="0046798B" w:rsidRDefault="0046798B">
            <w:pPr>
              <w:pStyle w:val="TableParagraph"/>
            </w:pPr>
          </w:p>
          <w:p w14:paraId="15C88BB6" w14:textId="77777777" w:rsidR="0046798B" w:rsidRDefault="0046798B">
            <w:pPr>
              <w:pStyle w:val="TableParagraph"/>
            </w:pPr>
          </w:p>
          <w:p w14:paraId="49A47D2A" w14:textId="77777777" w:rsidR="0046798B" w:rsidRDefault="0046798B">
            <w:pPr>
              <w:pStyle w:val="TableParagraph"/>
              <w:spacing w:before="9"/>
              <w:rPr>
                <w:sz w:val="25"/>
              </w:rPr>
            </w:pPr>
          </w:p>
          <w:p w14:paraId="46628900" w14:textId="1A5E71A4" w:rsidR="0046798B" w:rsidRDefault="00903B5C">
            <w:pPr>
              <w:pStyle w:val="TableParagraph"/>
              <w:ind w:left="114"/>
              <w:rPr>
                <w:sz w:val="20"/>
              </w:rPr>
            </w:pPr>
            <w:r>
              <w:rPr>
                <w:sz w:val="20"/>
              </w:rPr>
              <w:t>1929–201</w:t>
            </w:r>
            <w:r w:rsidR="00855B7D">
              <w:rPr>
                <w:sz w:val="20"/>
              </w:rPr>
              <w:t>9</w:t>
            </w:r>
          </w:p>
        </w:tc>
        <w:tc>
          <w:tcPr>
            <w:tcW w:w="3421" w:type="dxa"/>
          </w:tcPr>
          <w:p w14:paraId="4D2EAF8C" w14:textId="77777777" w:rsidR="0046798B" w:rsidRDefault="0046798B">
            <w:pPr>
              <w:pStyle w:val="TableParagraph"/>
            </w:pPr>
          </w:p>
          <w:p w14:paraId="131172F1" w14:textId="77777777" w:rsidR="0046798B" w:rsidRDefault="0046798B">
            <w:pPr>
              <w:pStyle w:val="TableParagraph"/>
            </w:pPr>
          </w:p>
          <w:p w14:paraId="1F733C4D" w14:textId="77777777" w:rsidR="0046798B" w:rsidRDefault="0046798B">
            <w:pPr>
              <w:pStyle w:val="TableParagraph"/>
            </w:pPr>
          </w:p>
          <w:p w14:paraId="22DD2B05" w14:textId="77777777" w:rsidR="0046798B" w:rsidRDefault="0046798B">
            <w:pPr>
              <w:pStyle w:val="TableParagraph"/>
              <w:spacing w:before="9"/>
              <w:rPr>
                <w:sz w:val="17"/>
              </w:rPr>
            </w:pPr>
          </w:p>
          <w:p w14:paraId="19C81884" w14:textId="77777777" w:rsidR="0046798B" w:rsidRDefault="00903B5C">
            <w:pPr>
              <w:pStyle w:val="TableParagraph"/>
              <w:ind w:left="114" w:right="115"/>
              <w:rPr>
                <w:sz w:val="20"/>
              </w:rPr>
            </w:pPr>
            <w:r>
              <w:rPr>
                <w:sz w:val="20"/>
              </w:rPr>
              <w:t xml:space="preserve">Per capita personal income is the income that is received by persons from all sources. Total personal </w:t>
            </w:r>
            <w:r>
              <w:rPr>
                <w:spacing w:val="-4"/>
                <w:sz w:val="20"/>
              </w:rPr>
              <w:t xml:space="preserve">income </w:t>
            </w:r>
            <w:r>
              <w:rPr>
                <w:sz w:val="20"/>
              </w:rPr>
              <w:t>divided by total midyear</w:t>
            </w:r>
            <w:r>
              <w:rPr>
                <w:spacing w:val="-5"/>
                <w:sz w:val="20"/>
              </w:rPr>
              <w:t xml:space="preserve"> </w:t>
            </w:r>
            <w:r>
              <w:rPr>
                <w:sz w:val="20"/>
              </w:rPr>
              <w:t>population.</w:t>
            </w:r>
          </w:p>
        </w:tc>
        <w:tc>
          <w:tcPr>
            <w:tcW w:w="6482" w:type="dxa"/>
          </w:tcPr>
          <w:p w14:paraId="2C612E2F" w14:textId="77777777" w:rsidR="0046798B" w:rsidRDefault="00903B5C">
            <w:pPr>
              <w:pStyle w:val="TableParagraph"/>
              <w:spacing w:before="43"/>
              <w:ind w:left="114" w:right="116"/>
              <w:rPr>
                <w:sz w:val="20"/>
              </w:rPr>
            </w:pPr>
            <w:r>
              <w:rPr>
                <w:sz w:val="20"/>
              </w:rPr>
              <w:t>U.S. Department of Commerce, Bureau of Economic Analysis. “SA1-3 Personal income summary.” Accessed at:</w:t>
            </w:r>
            <w:r>
              <w:rPr>
                <w:sz w:val="20"/>
                <w:u w:val="single"/>
              </w:rPr>
              <w:t xml:space="preserve"> </w:t>
            </w:r>
            <w:hyperlink r:id="rId324">
              <w:r>
                <w:rPr>
                  <w:sz w:val="20"/>
                  <w:u w:val="single"/>
                </w:rPr>
                <w:t>http://www.bea.gov/iTable/iTable.cfm?ReqID=70&amp;step=1#reqid=70&amp;step=1</w:t>
              </w:r>
            </w:hyperlink>
            <w:hyperlink r:id="rId325">
              <w:r>
                <w:rPr>
                  <w:sz w:val="20"/>
                  <w:u w:val="single"/>
                </w:rPr>
                <w:t xml:space="preserve"> &amp;isuri=1</w:t>
              </w:r>
              <w:r>
                <w:rPr>
                  <w:sz w:val="20"/>
                </w:rPr>
                <w:t>.</w:t>
              </w:r>
            </w:hyperlink>
          </w:p>
          <w:p w14:paraId="27359DB0" w14:textId="77777777" w:rsidR="0046798B" w:rsidRDefault="0046798B">
            <w:pPr>
              <w:pStyle w:val="TableParagraph"/>
              <w:rPr>
                <w:sz w:val="20"/>
              </w:rPr>
            </w:pPr>
          </w:p>
          <w:p w14:paraId="4EEF2FE5" w14:textId="77777777" w:rsidR="0046798B" w:rsidRDefault="00903B5C">
            <w:pPr>
              <w:pStyle w:val="TableParagraph"/>
              <w:ind w:left="114" w:right="217"/>
              <w:rPr>
                <w:sz w:val="20"/>
              </w:rPr>
            </w:pPr>
            <w:r>
              <w:rPr>
                <w:sz w:val="20"/>
              </w:rPr>
              <w:t xml:space="preserve">Originally provided by Stateminder: A data visualization project from Georgetown University. </w:t>
            </w:r>
            <w:hyperlink r:id="rId326">
              <w:r>
                <w:rPr>
                  <w:sz w:val="20"/>
                </w:rPr>
                <w:t>http://stateminder.org/</w:t>
              </w:r>
            </w:hyperlink>
            <w:r>
              <w:rPr>
                <w:sz w:val="20"/>
                <w:u w:val="single"/>
              </w:rPr>
              <w:t xml:space="preserve"> (no longer accessible online)</w:t>
            </w:r>
          </w:p>
          <w:p w14:paraId="490D3E8E" w14:textId="77777777" w:rsidR="0046798B" w:rsidRDefault="0046798B">
            <w:pPr>
              <w:pStyle w:val="TableParagraph"/>
              <w:rPr>
                <w:sz w:val="20"/>
              </w:rPr>
            </w:pPr>
          </w:p>
          <w:p w14:paraId="1C25A9AD" w14:textId="77777777" w:rsidR="0046798B" w:rsidRDefault="00903B5C">
            <w:pPr>
              <w:pStyle w:val="TableParagraph"/>
              <w:spacing w:before="1"/>
              <w:ind w:left="114" w:right="142"/>
              <w:rPr>
                <w:sz w:val="20"/>
              </w:rPr>
            </w:pPr>
            <w:r>
              <w:rPr>
                <w:sz w:val="20"/>
              </w:rPr>
              <w:t>Note: This measure of income is calculated as the personal income of the residents of a given area divided by the resident population of the area. In computing per capita personal income, BEA uses the Census Bureau's annual midyear population estimates.</w:t>
            </w:r>
          </w:p>
        </w:tc>
      </w:tr>
      <w:tr w:rsidR="0046798B" w14:paraId="107EECF4" w14:textId="77777777">
        <w:trPr>
          <w:trHeight w:val="3076"/>
        </w:trPr>
        <w:tc>
          <w:tcPr>
            <w:tcW w:w="1711" w:type="dxa"/>
          </w:tcPr>
          <w:p w14:paraId="3393E32D" w14:textId="77777777" w:rsidR="0046798B" w:rsidRDefault="0046798B">
            <w:pPr>
              <w:pStyle w:val="TableParagraph"/>
            </w:pPr>
          </w:p>
          <w:p w14:paraId="4B7F0EE3" w14:textId="77777777" w:rsidR="0046798B" w:rsidRDefault="0046798B">
            <w:pPr>
              <w:pStyle w:val="TableParagraph"/>
            </w:pPr>
          </w:p>
          <w:p w14:paraId="646AF6A0" w14:textId="77777777" w:rsidR="0046798B" w:rsidRDefault="0046798B">
            <w:pPr>
              <w:pStyle w:val="TableParagraph"/>
            </w:pPr>
          </w:p>
          <w:p w14:paraId="768441FF" w14:textId="77777777" w:rsidR="0046798B" w:rsidRDefault="0046798B">
            <w:pPr>
              <w:pStyle w:val="TableParagraph"/>
            </w:pPr>
          </w:p>
          <w:p w14:paraId="4AE4C6BA" w14:textId="77777777" w:rsidR="0046798B" w:rsidRDefault="0046798B">
            <w:pPr>
              <w:pStyle w:val="TableParagraph"/>
            </w:pPr>
          </w:p>
          <w:p w14:paraId="45A8A769" w14:textId="77777777" w:rsidR="0046798B" w:rsidRDefault="00903B5C">
            <w:pPr>
              <w:pStyle w:val="TableParagraph"/>
              <w:spacing w:before="158"/>
              <w:ind w:left="115"/>
              <w:rPr>
                <w:b/>
                <w:sz w:val="20"/>
              </w:rPr>
            </w:pPr>
            <w:r>
              <w:rPr>
                <w:b/>
                <w:sz w:val="20"/>
              </w:rPr>
              <w:t>pctwomenearn</w:t>
            </w:r>
          </w:p>
        </w:tc>
        <w:tc>
          <w:tcPr>
            <w:tcW w:w="1596" w:type="dxa"/>
          </w:tcPr>
          <w:p w14:paraId="722B38D0" w14:textId="77777777" w:rsidR="0046798B" w:rsidRDefault="0046798B">
            <w:pPr>
              <w:pStyle w:val="TableParagraph"/>
            </w:pPr>
          </w:p>
          <w:p w14:paraId="7F2F8350" w14:textId="77777777" w:rsidR="0046798B" w:rsidRDefault="0046798B">
            <w:pPr>
              <w:pStyle w:val="TableParagraph"/>
            </w:pPr>
          </w:p>
          <w:p w14:paraId="5CCD88B9" w14:textId="77777777" w:rsidR="0046798B" w:rsidRDefault="0046798B">
            <w:pPr>
              <w:pStyle w:val="TableParagraph"/>
            </w:pPr>
          </w:p>
          <w:p w14:paraId="54031A5D" w14:textId="77777777" w:rsidR="0046798B" w:rsidRDefault="0046798B">
            <w:pPr>
              <w:pStyle w:val="TableParagraph"/>
            </w:pPr>
          </w:p>
          <w:p w14:paraId="161756FA" w14:textId="77777777" w:rsidR="0046798B" w:rsidRDefault="00903B5C">
            <w:pPr>
              <w:pStyle w:val="TableParagraph"/>
              <w:spacing w:before="181"/>
              <w:ind w:left="114" w:right="108"/>
              <w:rPr>
                <w:sz w:val="20"/>
              </w:rPr>
            </w:pPr>
            <w:r>
              <w:rPr>
                <w:sz w:val="20"/>
              </w:rPr>
              <w:t>Women’s earnings as a percent of men’s</w:t>
            </w:r>
          </w:p>
        </w:tc>
        <w:tc>
          <w:tcPr>
            <w:tcW w:w="1285" w:type="dxa"/>
          </w:tcPr>
          <w:p w14:paraId="18706B98" w14:textId="77777777" w:rsidR="0046798B" w:rsidRDefault="0046798B">
            <w:pPr>
              <w:pStyle w:val="TableParagraph"/>
            </w:pPr>
          </w:p>
          <w:p w14:paraId="2BDC7798" w14:textId="77777777" w:rsidR="0046798B" w:rsidRDefault="0046798B">
            <w:pPr>
              <w:pStyle w:val="TableParagraph"/>
            </w:pPr>
          </w:p>
          <w:p w14:paraId="43E4BFBC" w14:textId="77777777" w:rsidR="0046798B" w:rsidRDefault="0046798B">
            <w:pPr>
              <w:pStyle w:val="TableParagraph"/>
            </w:pPr>
          </w:p>
          <w:p w14:paraId="399C6E02" w14:textId="77777777" w:rsidR="0046798B" w:rsidRDefault="0046798B">
            <w:pPr>
              <w:pStyle w:val="TableParagraph"/>
            </w:pPr>
          </w:p>
          <w:p w14:paraId="41350CFB" w14:textId="77777777" w:rsidR="0046798B" w:rsidRDefault="0046798B">
            <w:pPr>
              <w:pStyle w:val="TableParagraph"/>
            </w:pPr>
          </w:p>
          <w:p w14:paraId="2B3FD340" w14:textId="77777777" w:rsidR="0046798B" w:rsidRDefault="00903B5C">
            <w:pPr>
              <w:pStyle w:val="TableParagraph"/>
              <w:spacing w:before="158"/>
              <w:ind w:left="114"/>
              <w:rPr>
                <w:sz w:val="20"/>
              </w:rPr>
            </w:pPr>
            <w:r>
              <w:rPr>
                <w:sz w:val="20"/>
              </w:rPr>
              <w:t>2002–2011</w:t>
            </w:r>
          </w:p>
        </w:tc>
        <w:tc>
          <w:tcPr>
            <w:tcW w:w="3421" w:type="dxa"/>
          </w:tcPr>
          <w:p w14:paraId="4A97FE77" w14:textId="77777777" w:rsidR="0046798B" w:rsidRDefault="0046798B">
            <w:pPr>
              <w:pStyle w:val="TableParagraph"/>
            </w:pPr>
          </w:p>
          <w:p w14:paraId="4409E842" w14:textId="77777777" w:rsidR="0046798B" w:rsidRDefault="0046798B">
            <w:pPr>
              <w:pStyle w:val="TableParagraph"/>
            </w:pPr>
          </w:p>
          <w:p w14:paraId="4B1FFB53" w14:textId="77777777" w:rsidR="0046798B" w:rsidRDefault="0046798B">
            <w:pPr>
              <w:pStyle w:val="TableParagraph"/>
            </w:pPr>
          </w:p>
          <w:p w14:paraId="24F986B5" w14:textId="77777777" w:rsidR="0046798B" w:rsidRDefault="0046798B">
            <w:pPr>
              <w:pStyle w:val="TableParagraph"/>
              <w:spacing w:before="9"/>
              <w:rPr>
                <w:sz w:val="17"/>
              </w:rPr>
            </w:pPr>
          </w:p>
          <w:p w14:paraId="13B18248" w14:textId="77777777" w:rsidR="0046798B" w:rsidRDefault="00903B5C">
            <w:pPr>
              <w:pStyle w:val="TableParagraph"/>
              <w:ind w:left="114" w:right="384"/>
              <w:rPr>
                <w:sz w:val="20"/>
              </w:rPr>
            </w:pPr>
            <w:r>
              <w:rPr>
                <w:sz w:val="20"/>
              </w:rPr>
              <w:t>Percent of women’s median weekly earnings as a percent of men’s (all races). Data calculated from median usual weekly earnings of full-time wage and salary workers.</w:t>
            </w:r>
          </w:p>
        </w:tc>
        <w:tc>
          <w:tcPr>
            <w:tcW w:w="6482" w:type="dxa"/>
          </w:tcPr>
          <w:p w14:paraId="1BDFC44C" w14:textId="77777777" w:rsidR="0046798B" w:rsidRDefault="00903B5C">
            <w:pPr>
              <w:pStyle w:val="TableParagraph"/>
              <w:spacing w:before="43"/>
              <w:ind w:left="114" w:right="389"/>
              <w:rPr>
                <w:sz w:val="20"/>
              </w:rPr>
            </w:pPr>
            <w:r>
              <w:rPr>
                <w:sz w:val="20"/>
              </w:rPr>
              <w:t>U.S. Bureau of Labor Statistics. 2016. “Women’s Earnings as a Percent of Men’s Earnings.” Accessed at:</w:t>
            </w:r>
            <w:r>
              <w:rPr>
                <w:sz w:val="20"/>
                <w:u w:val="single"/>
              </w:rPr>
              <w:t xml:space="preserve"> </w:t>
            </w:r>
            <w:hyperlink r:id="rId327" w:anchor="demographics">
              <w:r>
                <w:rPr>
                  <w:sz w:val="20"/>
                  <w:u w:val="single"/>
                </w:rPr>
                <w:t>http://www.bls.gov/cps/earnings.htm#demographics</w:t>
              </w:r>
            </w:hyperlink>
            <w:r>
              <w:rPr>
                <w:sz w:val="20"/>
              </w:rPr>
              <w:t>.</w:t>
            </w:r>
          </w:p>
          <w:p w14:paraId="727A5DAA" w14:textId="77777777" w:rsidR="0046798B" w:rsidRDefault="0046798B">
            <w:pPr>
              <w:pStyle w:val="TableParagraph"/>
              <w:rPr>
                <w:sz w:val="20"/>
              </w:rPr>
            </w:pPr>
          </w:p>
          <w:p w14:paraId="5B683C97" w14:textId="77777777" w:rsidR="0046798B" w:rsidRDefault="00903B5C">
            <w:pPr>
              <w:pStyle w:val="TableParagraph"/>
              <w:spacing w:before="1"/>
              <w:ind w:left="114" w:right="217"/>
              <w:rPr>
                <w:sz w:val="20"/>
              </w:rPr>
            </w:pPr>
            <w:r>
              <w:rPr>
                <w:sz w:val="20"/>
              </w:rPr>
              <w:t xml:space="preserve">Originally provided by Stateminder: A data visualization project from Georgetown University. </w:t>
            </w:r>
            <w:hyperlink r:id="rId328">
              <w:r>
                <w:rPr>
                  <w:sz w:val="20"/>
                </w:rPr>
                <w:t>http://stateminder.org/</w:t>
              </w:r>
            </w:hyperlink>
            <w:r>
              <w:rPr>
                <w:sz w:val="20"/>
                <w:u w:val="single"/>
              </w:rPr>
              <w:t xml:space="preserve"> (no longer accessible online)</w:t>
            </w:r>
          </w:p>
          <w:p w14:paraId="48E9542E" w14:textId="77777777" w:rsidR="0046798B" w:rsidRDefault="0046798B">
            <w:pPr>
              <w:pStyle w:val="TableParagraph"/>
              <w:rPr>
                <w:sz w:val="20"/>
              </w:rPr>
            </w:pPr>
          </w:p>
          <w:p w14:paraId="3A4F550F" w14:textId="77777777" w:rsidR="0046798B" w:rsidRDefault="00903B5C">
            <w:pPr>
              <w:pStyle w:val="TableParagraph"/>
              <w:ind w:left="114" w:right="89"/>
              <w:rPr>
                <w:sz w:val="20"/>
              </w:rPr>
            </w:pPr>
            <w:r>
              <w:rPr>
                <w:sz w:val="20"/>
              </w:rPr>
              <w:t>Note: In general, the sampling error for the state estimates is considerably larger than it is for the national estimates; thus, comparisons of state estimates should be made with caution. Data measure usual hourly and weekly earnings of wage and salary workers. All self-employed persons are excluded, regardless of whether their businesses are incorporated. Data represent earnings before taxes and other deductions and include any overtime pay,</w:t>
            </w:r>
          </w:p>
        </w:tc>
      </w:tr>
    </w:tbl>
    <w:p w14:paraId="70551192" w14:textId="77777777" w:rsidR="0046798B" w:rsidRDefault="0046798B">
      <w:pPr>
        <w:rPr>
          <w:sz w:val="20"/>
        </w:rPr>
        <w:sectPr w:rsidR="0046798B">
          <w:pgSz w:w="15840" w:h="12240" w:orient="landscape"/>
          <w:pgMar w:top="1220" w:right="300" w:bottom="980" w:left="820" w:header="730" w:footer="787" w:gutter="0"/>
          <w:cols w:space="720"/>
        </w:sectPr>
      </w:pPr>
    </w:p>
    <w:p w14:paraId="0A901271"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30E381C0" w14:textId="77777777">
        <w:trPr>
          <w:trHeight w:val="542"/>
        </w:trPr>
        <w:tc>
          <w:tcPr>
            <w:tcW w:w="1711" w:type="dxa"/>
            <w:tcBorders>
              <w:bottom w:val="dotted" w:sz="6" w:space="0" w:color="BEBEBE"/>
            </w:tcBorders>
          </w:tcPr>
          <w:p w14:paraId="54202B07" w14:textId="77777777" w:rsidR="0046798B" w:rsidRDefault="0046798B">
            <w:pPr>
              <w:pStyle w:val="TableParagraph"/>
              <w:rPr>
                <w:sz w:val="20"/>
              </w:rPr>
            </w:pPr>
          </w:p>
        </w:tc>
        <w:tc>
          <w:tcPr>
            <w:tcW w:w="1596" w:type="dxa"/>
            <w:tcBorders>
              <w:bottom w:val="dotted" w:sz="6" w:space="0" w:color="BEBEBE"/>
            </w:tcBorders>
          </w:tcPr>
          <w:p w14:paraId="711F8B4C" w14:textId="77777777" w:rsidR="0046798B" w:rsidRDefault="0046798B">
            <w:pPr>
              <w:pStyle w:val="TableParagraph"/>
              <w:rPr>
                <w:sz w:val="20"/>
              </w:rPr>
            </w:pPr>
          </w:p>
        </w:tc>
        <w:tc>
          <w:tcPr>
            <w:tcW w:w="1285" w:type="dxa"/>
            <w:tcBorders>
              <w:bottom w:val="dotted" w:sz="6" w:space="0" w:color="BEBEBE"/>
            </w:tcBorders>
          </w:tcPr>
          <w:p w14:paraId="622FE80E" w14:textId="77777777" w:rsidR="0046798B" w:rsidRDefault="0046798B">
            <w:pPr>
              <w:pStyle w:val="TableParagraph"/>
              <w:rPr>
                <w:sz w:val="20"/>
              </w:rPr>
            </w:pPr>
          </w:p>
        </w:tc>
        <w:tc>
          <w:tcPr>
            <w:tcW w:w="3421" w:type="dxa"/>
            <w:tcBorders>
              <w:bottom w:val="dotted" w:sz="6" w:space="0" w:color="BEBEBE"/>
            </w:tcBorders>
          </w:tcPr>
          <w:p w14:paraId="62E64E41" w14:textId="77777777" w:rsidR="0046798B" w:rsidRDefault="0046798B">
            <w:pPr>
              <w:pStyle w:val="TableParagraph"/>
              <w:rPr>
                <w:sz w:val="20"/>
              </w:rPr>
            </w:pPr>
          </w:p>
        </w:tc>
        <w:tc>
          <w:tcPr>
            <w:tcW w:w="6482" w:type="dxa"/>
            <w:tcBorders>
              <w:bottom w:val="dotted" w:sz="6" w:space="0" w:color="BEBEBE"/>
            </w:tcBorders>
          </w:tcPr>
          <w:p w14:paraId="38550667" w14:textId="77777777" w:rsidR="0046798B" w:rsidRDefault="00903B5C">
            <w:pPr>
              <w:pStyle w:val="TableParagraph"/>
              <w:spacing w:before="43"/>
              <w:ind w:left="114" w:right="287"/>
              <w:rPr>
                <w:sz w:val="20"/>
              </w:rPr>
            </w:pPr>
            <w:r>
              <w:rPr>
                <w:sz w:val="20"/>
              </w:rPr>
              <w:t>commissions, or tips usually received. The earnings data are collected from one-fourth of the CPS total sample of approximately 60,000 households.</w:t>
            </w:r>
          </w:p>
        </w:tc>
      </w:tr>
      <w:tr w:rsidR="0046798B" w14:paraId="404F7E6A" w14:textId="77777777">
        <w:trPr>
          <w:trHeight w:val="2153"/>
        </w:trPr>
        <w:tc>
          <w:tcPr>
            <w:tcW w:w="1711" w:type="dxa"/>
            <w:tcBorders>
              <w:top w:val="dotted" w:sz="6" w:space="0" w:color="BEBEBE"/>
            </w:tcBorders>
          </w:tcPr>
          <w:p w14:paraId="22F55E8B" w14:textId="77777777" w:rsidR="0046798B" w:rsidRDefault="0046798B">
            <w:pPr>
              <w:pStyle w:val="TableParagraph"/>
            </w:pPr>
          </w:p>
          <w:p w14:paraId="3A38D263" w14:textId="77777777" w:rsidR="0046798B" w:rsidRDefault="0046798B">
            <w:pPr>
              <w:pStyle w:val="TableParagraph"/>
            </w:pPr>
          </w:p>
          <w:p w14:paraId="30EBFC47" w14:textId="77777777" w:rsidR="0046798B" w:rsidRDefault="0046798B">
            <w:pPr>
              <w:pStyle w:val="TableParagraph"/>
            </w:pPr>
          </w:p>
          <w:p w14:paraId="683A013D" w14:textId="77777777" w:rsidR="0046798B" w:rsidRDefault="0046798B">
            <w:pPr>
              <w:pStyle w:val="TableParagraph"/>
              <w:spacing w:before="6"/>
              <w:rPr>
                <w:sz w:val="17"/>
              </w:rPr>
            </w:pPr>
          </w:p>
          <w:p w14:paraId="144E6C03" w14:textId="77777777" w:rsidR="0046798B" w:rsidRDefault="00903B5C">
            <w:pPr>
              <w:pStyle w:val="TableParagraph"/>
              <w:spacing w:before="1"/>
              <w:ind w:left="115"/>
              <w:rPr>
                <w:b/>
                <w:sz w:val="20"/>
              </w:rPr>
            </w:pPr>
            <w:r>
              <w:rPr>
                <w:b/>
                <w:sz w:val="20"/>
              </w:rPr>
              <w:t>unemployment</w:t>
            </w:r>
          </w:p>
        </w:tc>
        <w:tc>
          <w:tcPr>
            <w:tcW w:w="1596" w:type="dxa"/>
            <w:tcBorders>
              <w:top w:val="dotted" w:sz="6" w:space="0" w:color="BEBEBE"/>
            </w:tcBorders>
          </w:tcPr>
          <w:p w14:paraId="1F926351" w14:textId="77777777" w:rsidR="0046798B" w:rsidRDefault="0046798B">
            <w:pPr>
              <w:pStyle w:val="TableParagraph"/>
            </w:pPr>
          </w:p>
          <w:p w14:paraId="4DF8E50E" w14:textId="77777777" w:rsidR="0046798B" w:rsidRDefault="0046798B">
            <w:pPr>
              <w:pStyle w:val="TableParagraph"/>
              <w:spacing w:before="6"/>
              <w:rPr>
                <w:sz w:val="21"/>
              </w:rPr>
            </w:pPr>
          </w:p>
          <w:p w14:paraId="607820A0" w14:textId="77777777" w:rsidR="0046798B" w:rsidRDefault="00903B5C">
            <w:pPr>
              <w:pStyle w:val="TableParagraph"/>
              <w:ind w:left="114" w:right="196"/>
              <w:rPr>
                <w:sz w:val="20"/>
              </w:rPr>
            </w:pPr>
            <w:r>
              <w:rPr>
                <w:sz w:val="20"/>
              </w:rPr>
              <w:t>Employment status of the civilian noninstitutional population</w:t>
            </w:r>
          </w:p>
        </w:tc>
        <w:tc>
          <w:tcPr>
            <w:tcW w:w="1285" w:type="dxa"/>
            <w:tcBorders>
              <w:top w:val="dotted" w:sz="6" w:space="0" w:color="BEBEBE"/>
            </w:tcBorders>
          </w:tcPr>
          <w:p w14:paraId="7B889275" w14:textId="77777777" w:rsidR="0046798B" w:rsidRDefault="0046798B">
            <w:pPr>
              <w:pStyle w:val="TableParagraph"/>
            </w:pPr>
          </w:p>
          <w:p w14:paraId="416787C4" w14:textId="77777777" w:rsidR="0046798B" w:rsidRDefault="0046798B">
            <w:pPr>
              <w:pStyle w:val="TableParagraph"/>
            </w:pPr>
          </w:p>
          <w:p w14:paraId="3BD04E62" w14:textId="77777777" w:rsidR="0046798B" w:rsidRDefault="0046798B">
            <w:pPr>
              <w:pStyle w:val="TableParagraph"/>
              <w:spacing w:before="6"/>
              <w:rPr>
                <w:sz w:val="29"/>
              </w:rPr>
            </w:pPr>
          </w:p>
          <w:p w14:paraId="415BD9D2" w14:textId="77777777" w:rsidR="0046798B" w:rsidRDefault="00903B5C">
            <w:pPr>
              <w:pStyle w:val="TableParagraph"/>
              <w:ind w:left="114"/>
              <w:rPr>
                <w:sz w:val="20"/>
              </w:rPr>
            </w:pPr>
            <w:r>
              <w:rPr>
                <w:sz w:val="20"/>
              </w:rPr>
              <w:t>1975–2004;</w:t>
            </w:r>
          </w:p>
          <w:p w14:paraId="7BC02D6B" w14:textId="77777777" w:rsidR="0046798B" w:rsidRDefault="00903B5C">
            <w:pPr>
              <w:pStyle w:val="TableParagraph"/>
              <w:spacing w:before="1"/>
              <w:ind w:left="114"/>
              <w:rPr>
                <w:sz w:val="20"/>
              </w:rPr>
            </w:pPr>
            <w:r>
              <w:rPr>
                <w:sz w:val="20"/>
              </w:rPr>
              <w:t>2005–2017</w:t>
            </w:r>
          </w:p>
        </w:tc>
        <w:tc>
          <w:tcPr>
            <w:tcW w:w="3421" w:type="dxa"/>
            <w:tcBorders>
              <w:top w:val="dotted" w:sz="6" w:space="0" w:color="BEBEBE"/>
            </w:tcBorders>
          </w:tcPr>
          <w:p w14:paraId="169B63CD" w14:textId="77777777" w:rsidR="0046798B" w:rsidRDefault="0046798B">
            <w:pPr>
              <w:pStyle w:val="TableParagraph"/>
            </w:pPr>
          </w:p>
          <w:p w14:paraId="625061BF" w14:textId="77777777" w:rsidR="0046798B" w:rsidRDefault="0046798B">
            <w:pPr>
              <w:pStyle w:val="TableParagraph"/>
            </w:pPr>
          </w:p>
          <w:p w14:paraId="40C2D805" w14:textId="77777777" w:rsidR="0046798B" w:rsidRDefault="0046798B">
            <w:pPr>
              <w:pStyle w:val="TableParagraph"/>
              <w:spacing w:before="6"/>
              <w:rPr>
                <w:sz w:val="19"/>
              </w:rPr>
            </w:pPr>
          </w:p>
          <w:p w14:paraId="0DE6066B" w14:textId="77777777" w:rsidR="0046798B" w:rsidRDefault="00903B5C">
            <w:pPr>
              <w:pStyle w:val="TableParagraph"/>
              <w:ind w:left="114" w:right="178"/>
              <w:rPr>
                <w:sz w:val="20"/>
              </w:rPr>
            </w:pPr>
            <w:r>
              <w:rPr>
                <w:sz w:val="20"/>
              </w:rPr>
              <w:t>Unemployment rate, measured as percentage of state’s labor force that is out of work.</w:t>
            </w:r>
          </w:p>
        </w:tc>
        <w:tc>
          <w:tcPr>
            <w:tcW w:w="6482" w:type="dxa"/>
            <w:tcBorders>
              <w:top w:val="dotted" w:sz="6" w:space="0" w:color="BEBEBE"/>
            </w:tcBorders>
          </w:tcPr>
          <w:p w14:paraId="4C90FF1A" w14:textId="77777777" w:rsidR="0046798B" w:rsidRDefault="00903B5C">
            <w:pPr>
              <w:pStyle w:val="TableParagraph"/>
              <w:spacing w:before="40"/>
              <w:ind w:left="114"/>
              <w:rPr>
                <w:sz w:val="20"/>
              </w:rPr>
            </w:pPr>
            <w:r>
              <w:rPr>
                <w:sz w:val="20"/>
              </w:rPr>
              <w:t>Bureau of Labor Statistics. 2012. “Labor Force Statistics from the Current Population Survey.”</w:t>
            </w:r>
          </w:p>
          <w:p w14:paraId="7197662E" w14:textId="77777777" w:rsidR="0046798B" w:rsidRDefault="0046798B">
            <w:pPr>
              <w:pStyle w:val="TableParagraph"/>
              <w:rPr>
                <w:sz w:val="20"/>
              </w:rPr>
            </w:pPr>
          </w:p>
          <w:p w14:paraId="5837D577" w14:textId="77777777" w:rsidR="0046798B" w:rsidRDefault="00903B5C">
            <w:pPr>
              <w:pStyle w:val="TableParagraph"/>
              <w:spacing w:before="1"/>
              <w:ind w:left="114" w:right="217"/>
              <w:rPr>
                <w:sz w:val="20"/>
              </w:rPr>
            </w:pPr>
            <w:r>
              <w:rPr>
                <w:sz w:val="20"/>
              </w:rPr>
              <w:t xml:space="preserve">Originally provided by Stateminder: A data visualization project from Georgetown University. </w:t>
            </w:r>
            <w:hyperlink r:id="rId329">
              <w:r>
                <w:rPr>
                  <w:sz w:val="20"/>
                </w:rPr>
                <w:t>http://stateminder.org/</w:t>
              </w:r>
            </w:hyperlink>
            <w:r>
              <w:rPr>
                <w:sz w:val="20"/>
                <w:u w:val="single"/>
              </w:rPr>
              <w:t xml:space="preserve"> (no longer accessible online)</w:t>
            </w:r>
          </w:p>
          <w:p w14:paraId="71051FA7" w14:textId="77777777" w:rsidR="0046798B" w:rsidRDefault="0046798B">
            <w:pPr>
              <w:pStyle w:val="TableParagraph"/>
              <w:rPr>
                <w:sz w:val="20"/>
              </w:rPr>
            </w:pPr>
          </w:p>
          <w:p w14:paraId="6C9C394F" w14:textId="77777777" w:rsidR="0046798B" w:rsidRDefault="00903B5C">
            <w:pPr>
              <w:pStyle w:val="TableParagraph"/>
              <w:ind w:left="114" w:right="263"/>
              <w:rPr>
                <w:sz w:val="20"/>
              </w:rPr>
            </w:pPr>
            <w:r>
              <w:rPr>
                <w:sz w:val="20"/>
              </w:rPr>
              <w:t xml:space="preserve">For 2005–2017: University of Kentucky Center for Poverty Research. 2019. “UKCPR National Welfare Data, 1980-2017.” Lexington, KY. </w:t>
            </w:r>
            <w:hyperlink r:id="rId330">
              <w:r>
                <w:rPr>
                  <w:color w:val="0462C1"/>
                  <w:sz w:val="20"/>
                  <w:u w:val="single" w:color="0462C1"/>
                </w:rPr>
                <w:t>http://ukcpr.org/resources/national-welfare-data</w:t>
              </w:r>
            </w:hyperlink>
          </w:p>
        </w:tc>
      </w:tr>
      <w:tr w:rsidR="0046798B" w14:paraId="498229E7" w14:textId="77777777">
        <w:trPr>
          <w:trHeight w:val="2621"/>
        </w:trPr>
        <w:tc>
          <w:tcPr>
            <w:tcW w:w="1711" w:type="dxa"/>
          </w:tcPr>
          <w:p w14:paraId="44B185F2" w14:textId="77777777" w:rsidR="0046798B" w:rsidRDefault="0046798B">
            <w:pPr>
              <w:pStyle w:val="TableParagraph"/>
            </w:pPr>
          </w:p>
          <w:p w14:paraId="696C5BCB" w14:textId="77777777" w:rsidR="0046798B" w:rsidRDefault="0046798B">
            <w:pPr>
              <w:pStyle w:val="TableParagraph"/>
            </w:pPr>
          </w:p>
          <w:p w14:paraId="7D0A7480" w14:textId="77777777" w:rsidR="0046798B" w:rsidRDefault="0046798B">
            <w:pPr>
              <w:pStyle w:val="TableParagraph"/>
            </w:pPr>
          </w:p>
          <w:p w14:paraId="15245913" w14:textId="77777777" w:rsidR="0046798B" w:rsidRDefault="0046798B">
            <w:pPr>
              <w:pStyle w:val="TableParagraph"/>
            </w:pPr>
          </w:p>
          <w:p w14:paraId="2E79EA12" w14:textId="77777777" w:rsidR="0046798B" w:rsidRDefault="00903B5C">
            <w:pPr>
              <w:pStyle w:val="TableParagraph"/>
              <w:spacing w:before="182"/>
              <w:ind w:left="115"/>
              <w:rPr>
                <w:b/>
                <w:sz w:val="20"/>
              </w:rPr>
            </w:pPr>
            <w:r>
              <w:rPr>
                <w:b/>
                <w:sz w:val="20"/>
              </w:rPr>
              <w:t>bankrupt</w:t>
            </w:r>
          </w:p>
        </w:tc>
        <w:tc>
          <w:tcPr>
            <w:tcW w:w="1596" w:type="dxa"/>
          </w:tcPr>
          <w:p w14:paraId="161588E9" w14:textId="77777777" w:rsidR="0046798B" w:rsidRDefault="0046798B">
            <w:pPr>
              <w:pStyle w:val="TableParagraph"/>
            </w:pPr>
          </w:p>
          <w:p w14:paraId="53321A5A" w14:textId="77777777" w:rsidR="0046798B" w:rsidRDefault="0046798B">
            <w:pPr>
              <w:pStyle w:val="TableParagraph"/>
            </w:pPr>
          </w:p>
          <w:p w14:paraId="4429C204" w14:textId="77777777" w:rsidR="0046798B" w:rsidRDefault="0046798B">
            <w:pPr>
              <w:pStyle w:val="TableParagraph"/>
            </w:pPr>
          </w:p>
          <w:p w14:paraId="1104ECB2" w14:textId="77777777" w:rsidR="0046798B" w:rsidRDefault="0046798B">
            <w:pPr>
              <w:pStyle w:val="TableParagraph"/>
              <w:spacing w:before="9"/>
              <w:rPr>
                <w:sz w:val="17"/>
              </w:rPr>
            </w:pPr>
          </w:p>
          <w:p w14:paraId="04F928F5" w14:textId="77777777" w:rsidR="0046798B" w:rsidRDefault="00903B5C">
            <w:pPr>
              <w:pStyle w:val="TableParagraph"/>
              <w:ind w:left="114" w:right="318"/>
              <w:rPr>
                <w:sz w:val="20"/>
              </w:rPr>
            </w:pPr>
            <w:r>
              <w:rPr>
                <w:sz w:val="20"/>
              </w:rPr>
              <w:t>Number of bankruptcy filings in state</w:t>
            </w:r>
          </w:p>
        </w:tc>
        <w:tc>
          <w:tcPr>
            <w:tcW w:w="1285" w:type="dxa"/>
          </w:tcPr>
          <w:p w14:paraId="65A4ECA2" w14:textId="77777777" w:rsidR="0046798B" w:rsidRDefault="0046798B">
            <w:pPr>
              <w:pStyle w:val="TableParagraph"/>
            </w:pPr>
          </w:p>
          <w:p w14:paraId="0316F472" w14:textId="77777777" w:rsidR="0046798B" w:rsidRDefault="0046798B">
            <w:pPr>
              <w:pStyle w:val="TableParagraph"/>
            </w:pPr>
          </w:p>
          <w:p w14:paraId="22AC7AFA" w14:textId="77777777" w:rsidR="0046798B" w:rsidRDefault="0046798B">
            <w:pPr>
              <w:pStyle w:val="TableParagraph"/>
            </w:pPr>
          </w:p>
          <w:p w14:paraId="4DF6A030" w14:textId="77777777" w:rsidR="0046798B" w:rsidRDefault="0046798B">
            <w:pPr>
              <w:pStyle w:val="TableParagraph"/>
            </w:pPr>
          </w:p>
          <w:p w14:paraId="096C3A57" w14:textId="77777777" w:rsidR="0046798B" w:rsidRDefault="00903B5C">
            <w:pPr>
              <w:pStyle w:val="TableParagraph"/>
              <w:spacing w:before="182"/>
              <w:ind w:left="114"/>
              <w:rPr>
                <w:sz w:val="20"/>
              </w:rPr>
            </w:pPr>
            <w:r>
              <w:rPr>
                <w:sz w:val="20"/>
              </w:rPr>
              <w:t>1999–2009</w:t>
            </w:r>
          </w:p>
        </w:tc>
        <w:tc>
          <w:tcPr>
            <w:tcW w:w="3421" w:type="dxa"/>
          </w:tcPr>
          <w:p w14:paraId="1806DA79" w14:textId="77777777" w:rsidR="0046798B" w:rsidRDefault="0046798B">
            <w:pPr>
              <w:pStyle w:val="TableParagraph"/>
            </w:pPr>
          </w:p>
          <w:p w14:paraId="59F816A4" w14:textId="77777777" w:rsidR="0046798B" w:rsidRDefault="0046798B">
            <w:pPr>
              <w:pStyle w:val="TableParagraph"/>
              <w:spacing w:before="9"/>
              <w:rPr>
                <w:sz w:val="31"/>
              </w:rPr>
            </w:pPr>
          </w:p>
          <w:p w14:paraId="1D8984BF" w14:textId="77777777" w:rsidR="0046798B" w:rsidRDefault="00903B5C">
            <w:pPr>
              <w:pStyle w:val="TableParagraph"/>
              <w:ind w:left="114" w:right="111"/>
              <w:rPr>
                <w:sz w:val="20"/>
              </w:rPr>
            </w:pPr>
            <w:r>
              <w:rPr>
                <w:sz w:val="20"/>
              </w:rPr>
              <w:t>This variable displays the total number of bankruptcy case filings in each state for calendar years 1999–2009. The value in each year is calculated by taking the sum of bankruptcy cases that were filed in each state.</w:t>
            </w:r>
          </w:p>
        </w:tc>
        <w:tc>
          <w:tcPr>
            <w:tcW w:w="6482" w:type="dxa"/>
          </w:tcPr>
          <w:p w14:paraId="3FB64DD5" w14:textId="77777777" w:rsidR="0046798B" w:rsidRDefault="00903B5C">
            <w:pPr>
              <w:pStyle w:val="TableParagraph"/>
              <w:spacing w:before="43"/>
              <w:ind w:left="114" w:right="106"/>
              <w:jc w:val="both"/>
              <w:rPr>
                <w:sz w:val="20"/>
              </w:rPr>
            </w:pPr>
            <w:r>
              <w:rPr>
                <w:sz w:val="20"/>
              </w:rPr>
              <w:t xml:space="preserve">The United States Department of Justice. 2012. “Total Case Filings, Calendar Years 1999-2009.” Accessed at: </w:t>
            </w:r>
            <w:hyperlink r:id="rId331">
              <w:r>
                <w:rPr>
                  <w:color w:val="0462C1"/>
                  <w:sz w:val="20"/>
                  <w:u w:val="single" w:color="0462C1"/>
                </w:rPr>
                <w:t>https://www.justice.gov/ust/bankruptcy-data-</w:t>
              </w:r>
            </w:hyperlink>
            <w:r>
              <w:rPr>
                <w:color w:val="0462C1"/>
                <w:sz w:val="20"/>
              </w:rPr>
              <w:t xml:space="preserve"> </w:t>
            </w:r>
            <w:hyperlink r:id="rId332">
              <w:r>
                <w:rPr>
                  <w:color w:val="0462C1"/>
                  <w:sz w:val="20"/>
                  <w:u w:val="single" w:color="0462C1"/>
                </w:rPr>
                <w:t>statistics</w:t>
              </w:r>
            </w:hyperlink>
          </w:p>
          <w:p w14:paraId="4FD4B1EE" w14:textId="77777777" w:rsidR="0046798B" w:rsidRDefault="0046798B">
            <w:pPr>
              <w:pStyle w:val="TableParagraph"/>
              <w:rPr>
                <w:sz w:val="20"/>
              </w:rPr>
            </w:pPr>
          </w:p>
          <w:p w14:paraId="2DBAD13A" w14:textId="77777777" w:rsidR="0046798B" w:rsidRDefault="00903B5C">
            <w:pPr>
              <w:pStyle w:val="TableParagraph"/>
              <w:ind w:left="114" w:right="217"/>
              <w:rPr>
                <w:sz w:val="20"/>
              </w:rPr>
            </w:pPr>
            <w:r>
              <w:rPr>
                <w:sz w:val="20"/>
              </w:rPr>
              <w:t xml:space="preserve">Originally provided by Stateminder: A data visualization project from Georgetown University. </w:t>
            </w:r>
            <w:hyperlink r:id="rId333">
              <w:r>
                <w:rPr>
                  <w:sz w:val="20"/>
                </w:rPr>
                <w:t>http://stateminder.org/</w:t>
              </w:r>
            </w:hyperlink>
            <w:r>
              <w:rPr>
                <w:sz w:val="20"/>
                <w:u w:val="single"/>
              </w:rPr>
              <w:t xml:space="preserve"> (no longer accessible online)</w:t>
            </w:r>
          </w:p>
          <w:p w14:paraId="72F968C5" w14:textId="77777777" w:rsidR="0046798B" w:rsidRDefault="0046798B">
            <w:pPr>
              <w:pStyle w:val="TableParagraph"/>
              <w:spacing w:before="1"/>
              <w:rPr>
                <w:sz w:val="20"/>
              </w:rPr>
            </w:pPr>
          </w:p>
          <w:p w14:paraId="65355170" w14:textId="77777777" w:rsidR="0046798B" w:rsidRDefault="00903B5C">
            <w:pPr>
              <w:pStyle w:val="TableParagraph"/>
              <w:ind w:left="114" w:right="217"/>
              <w:rPr>
                <w:sz w:val="20"/>
              </w:rPr>
            </w:pPr>
            <w:r>
              <w:rPr>
                <w:sz w:val="20"/>
              </w:rPr>
              <w:t>Note: Source of filing data is the Administrative Office of the U.S. Courts. The substantial decrease in 2006 across all states is mainly due to the introduction of the Bankruptcy Abuse Prevention and Consumer Protection Act of 2005.</w:t>
            </w:r>
          </w:p>
        </w:tc>
      </w:tr>
      <w:tr w:rsidR="0046798B" w14:paraId="755CC4EC" w14:textId="77777777">
        <w:trPr>
          <w:trHeight w:val="3536"/>
        </w:trPr>
        <w:tc>
          <w:tcPr>
            <w:tcW w:w="1711" w:type="dxa"/>
          </w:tcPr>
          <w:p w14:paraId="218E5232" w14:textId="77777777" w:rsidR="0046798B" w:rsidRDefault="0046798B">
            <w:pPr>
              <w:pStyle w:val="TableParagraph"/>
            </w:pPr>
          </w:p>
          <w:p w14:paraId="6BF40262" w14:textId="77777777" w:rsidR="0046798B" w:rsidRDefault="0046798B">
            <w:pPr>
              <w:pStyle w:val="TableParagraph"/>
            </w:pPr>
          </w:p>
          <w:p w14:paraId="0B0C489D" w14:textId="77777777" w:rsidR="0046798B" w:rsidRDefault="0046798B">
            <w:pPr>
              <w:pStyle w:val="TableParagraph"/>
            </w:pPr>
          </w:p>
          <w:p w14:paraId="714A6ECC" w14:textId="77777777" w:rsidR="0046798B" w:rsidRDefault="0046798B">
            <w:pPr>
              <w:pStyle w:val="TableParagraph"/>
            </w:pPr>
          </w:p>
          <w:p w14:paraId="4F89780D" w14:textId="77777777" w:rsidR="0046798B" w:rsidRDefault="0046798B">
            <w:pPr>
              <w:pStyle w:val="TableParagraph"/>
            </w:pPr>
          </w:p>
          <w:p w14:paraId="67CF72F2" w14:textId="77777777" w:rsidR="0046798B" w:rsidRDefault="0046798B">
            <w:pPr>
              <w:pStyle w:val="TableParagraph"/>
            </w:pPr>
          </w:p>
          <w:p w14:paraId="1C79A128" w14:textId="77777777" w:rsidR="0046798B" w:rsidRDefault="00903B5C">
            <w:pPr>
              <w:pStyle w:val="TableParagraph"/>
              <w:spacing w:before="131"/>
              <w:ind w:left="115"/>
              <w:rPr>
                <w:b/>
                <w:sz w:val="20"/>
              </w:rPr>
            </w:pPr>
            <w:r>
              <w:rPr>
                <w:b/>
                <w:sz w:val="20"/>
              </w:rPr>
              <w:t>foodstampben</w:t>
            </w:r>
          </w:p>
        </w:tc>
        <w:tc>
          <w:tcPr>
            <w:tcW w:w="1596" w:type="dxa"/>
          </w:tcPr>
          <w:p w14:paraId="01283CF3" w14:textId="77777777" w:rsidR="0046798B" w:rsidRDefault="0046798B">
            <w:pPr>
              <w:pStyle w:val="TableParagraph"/>
            </w:pPr>
          </w:p>
          <w:p w14:paraId="7FB6D957" w14:textId="77777777" w:rsidR="0046798B" w:rsidRDefault="0046798B">
            <w:pPr>
              <w:pStyle w:val="TableParagraph"/>
            </w:pPr>
          </w:p>
          <w:p w14:paraId="24BCDF1C" w14:textId="77777777" w:rsidR="0046798B" w:rsidRDefault="0046798B">
            <w:pPr>
              <w:pStyle w:val="TableParagraph"/>
            </w:pPr>
          </w:p>
          <w:p w14:paraId="7CC807F7" w14:textId="77777777" w:rsidR="0046798B" w:rsidRDefault="0046798B">
            <w:pPr>
              <w:pStyle w:val="TableParagraph"/>
            </w:pPr>
          </w:p>
          <w:p w14:paraId="20E683EC" w14:textId="77777777" w:rsidR="0046798B" w:rsidRDefault="0046798B">
            <w:pPr>
              <w:pStyle w:val="TableParagraph"/>
            </w:pPr>
          </w:p>
          <w:p w14:paraId="465FAB82" w14:textId="77777777" w:rsidR="0046798B" w:rsidRDefault="0046798B">
            <w:pPr>
              <w:pStyle w:val="TableParagraph"/>
              <w:spacing w:before="4"/>
              <w:rPr>
                <w:sz w:val="23"/>
              </w:rPr>
            </w:pPr>
          </w:p>
          <w:p w14:paraId="5F436B99" w14:textId="77777777" w:rsidR="0046798B" w:rsidRDefault="00903B5C">
            <w:pPr>
              <w:pStyle w:val="TableParagraph"/>
              <w:ind w:left="114" w:right="513"/>
              <w:rPr>
                <w:sz w:val="20"/>
              </w:rPr>
            </w:pPr>
            <w:r>
              <w:rPr>
                <w:sz w:val="20"/>
              </w:rPr>
              <w:t>Food stamp benefits</w:t>
            </w:r>
          </w:p>
        </w:tc>
        <w:tc>
          <w:tcPr>
            <w:tcW w:w="1285" w:type="dxa"/>
          </w:tcPr>
          <w:p w14:paraId="3883B076" w14:textId="77777777" w:rsidR="0046798B" w:rsidRDefault="0046798B">
            <w:pPr>
              <w:pStyle w:val="TableParagraph"/>
            </w:pPr>
          </w:p>
          <w:p w14:paraId="2F157D94" w14:textId="77777777" w:rsidR="0046798B" w:rsidRDefault="0046798B">
            <w:pPr>
              <w:pStyle w:val="TableParagraph"/>
            </w:pPr>
          </w:p>
          <w:p w14:paraId="667F6104" w14:textId="77777777" w:rsidR="0046798B" w:rsidRDefault="0046798B">
            <w:pPr>
              <w:pStyle w:val="TableParagraph"/>
            </w:pPr>
          </w:p>
          <w:p w14:paraId="3FB9D6E1" w14:textId="77777777" w:rsidR="0046798B" w:rsidRDefault="0046798B">
            <w:pPr>
              <w:pStyle w:val="TableParagraph"/>
            </w:pPr>
          </w:p>
          <w:p w14:paraId="57755C50" w14:textId="77777777" w:rsidR="0046798B" w:rsidRDefault="0046798B">
            <w:pPr>
              <w:pStyle w:val="TableParagraph"/>
            </w:pPr>
          </w:p>
          <w:p w14:paraId="4C635C74" w14:textId="77777777" w:rsidR="0046798B" w:rsidRDefault="0046798B">
            <w:pPr>
              <w:pStyle w:val="TableParagraph"/>
            </w:pPr>
          </w:p>
          <w:p w14:paraId="1ADE9D7E" w14:textId="77777777" w:rsidR="0046798B" w:rsidRDefault="00903B5C">
            <w:pPr>
              <w:pStyle w:val="TableParagraph"/>
              <w:spacing w:before="131"/>
              <w:ind w:left="114"/>
              <w:rPr>
                <w:sz w:val="20"/>
              </w:rPr>
            </w:pPr>
            <w:r>
              <w:rPr>
                <w:sz w:val="20"/>
              </w:rPr>
              <w:t>2002–2011</w:t>
            </w:r>
          </w:p>
        </w:tc>
        <w:tc>
          <w:tcPr>
            <w:tcW w:w="3421" w:type="dxa"/>
          </w:tcPr>
          <w:p w14:paraId="694CABF5" w14:textId="77777777" w:rsidR="0046798B" w:rsidRDefault="0046798B">
            <w:pPr>
              <w:pStyle w:val="TableParagraph"/>
            </w:pPr>
          </w:p>
          <w:p w14:paraId="3D6DD741" w14:textId="77777777" w:rsidR="0046798B" w:rsidRDefault="00903B5C">
            <w:pPr>
              <w:pStyle w:val="TableParagraph"/>
              <w:spacing w:before="130"/>
              <w:ind w:left="114" w:right="108"/>
              <w:rPr>
                <w:sz w:val="20"/>
              </w:rPr>
            </w:pPr>
            <w:r>
              <w:rPr>
                <w:sz w:val="20"/>
              </w:rPr>
              <w:t>Average monthly food stamp benefits per person in a fiscal year. Food stamps are defined as a federal entitlement program providing credit to purchase food items for people earning less than 130% of the federal poverty line. The federal fiscal year runs from October 1 through September 30. (Avg. dollars per participant.) The number of persons participating is reported monthly.</w:t>
            </w:r>
          </w:p>
          <w:p w14:paraId="39E7BF1E" w14:textId="77777777" w:rsidR="0046798B" w:rsidRDefault="00903B5C">
            <w:pPr>
              <w:pStyle w:val="TableParagraph"/>
              <w:spacing w:before="1"/>
              <w:ind w:left="114" w:right="239"/>
              <w:rPr>
                <w:sz w:val="20"/>
              </w:rPr>
            </w:pPr>
            <w:r>
              <w:rPr>
                <w:sz w:val="20"/>
              </w:rPr>
              <w:t>Annual averages are the sums divided by twelve.</w:t>
            </w:r>
          </w:p>
        </w:tc>
        <w:tc>
          <w:tcPr>
            <w:tcW w:w="6482" w:type="dxa"/>
          </w:tcPr>
          <w:p w14:paraId="0A9BA7F6" w14:textId="77777777" w:rsidR="0046798B" w:rsidRDefault="00903B5C">
            <w:pPr>
              <w:pStyle w:val="TableParagraph"/>
              <w:spacing w:before="38"/>
              <w:ind w:left="114" w:right="281"/>
              <w:rPr>
                <w:sz w:val="20"/>
              </w:rPr>
            </w:pPr>
            <w:r>
              <w:rPr>
                <w:sz w:val="20"/>
              </w:rPr>
              <w:t xml:space="preserve">Kaiser Family Organization. 2016. “Average Monthly Food Stamp Benefits per Participant.” Accessed at: </w:t>
            </w:r>
            <w:hyperlink r:id="rId334">
              <w:r>
                <w:rPr>
                  <w:sz w:val="20"/>
                  <w:u w:val="single"/>
                </w:rPr>
                <w:t>http://kff.org/other/state-indicator/avg-</w:t>
              </w:r>
            </w:hyperlink>
            <w:r>
              <w:rPr>
                <w:sz w:val="20"/>
              </w:rPr>
              <w:t xml:space="preserve"> </w:t>
            </w:r>
            <w:hyperlink r:id="rId335">
              <w:r>
                <w:rPr>
                  <w:sz w:val="20"/>
                  <w:u w:val="single"/>
                </w:rPr>
                <w:t>monthly-food-stamp-benefits/</w:t>
              </w:r>
              <w:r>
                <w:rPr>
                  <w:sz w:val="20"/>
                </w:rPr>
                <w:t>.</w:t>
              </w:r>
            </w:hyperlink>
          </w:p>
          <w:p w14:paraId="1087357A" w14:textId="77777777" w:rsidR="0046798B" w:rsidRDefault="0046798B">
            <w:pPr>
              <w:pStyle w:val="TableParagraph"/>
              <w:rPr>
                <w:sz w:val="20"/>
              </w:rPr>
            </w:pPr>
          </w:p>
          <w:p w14:paraId="2E1B4A22" w14:textId="77777777" w:rsidR="0046798B" w:rsidRDefault="00903B5C">
            <w:pPr>
              <w:pStyle w:val="TableParagraph"/>
              <w:ind w:left="114" w:right="217"/>
              <w:rPr>
                <w:sz w:val="20"/>
              </w:rPr>
            </w:pPr>
            <w:r>
              <w:rPr>
                <w:sz w:val="20"/>
              </w:rPr>
              <w:t xml:space="preserve">Originally provided by Stateminder: A data visualization project from Georgetown University. </w:t>
            </w:r>
            <w:hyperlink r:id="rId336">
              <w:r>
                <w:rPr>
                  <w:sz w:val="20"/>
                </w:rPr>
                <w:t>http://stateminder.org/</w:t>
              </w:r>
            </w:hyperlink>
            <w:r>
              <w:rPr>
                <w:sz w:val="20"/>
                <w:u w:val="single"/>
              </w:rPr>
              <w:t xml:space="preserve"> (no longer accessible online)</w:t>
            </w:r>
          </w:p>
          <w:p w14:paraId="67F7D8C2" w14:textId="77777777" w:rsidR="0046798B" w:rsidRDefault="0046798B">
            <w:pPr>
              <w:pStyle w:val="TableParagraph"/>
              <w:rPr>
                <w:sz w:val="20"/>
              </w:rPr>
            </w:pPr>
          </w:p>
          <w:p w14:paraId="2A438596" w14:textId="77777777" w:rsidR="0046798B" w:rsidRDefault="00903B5C">
            <w:pPr>
              <w:pStyle w:val="TableParagraph"/>
              <w:spacing w:before="1"/>
              <w:ind w:left="114" w:right="106"/>
              <w:rPr>
                <w:sz w:val="20"/>
              </w:rPr>
            </w:pPr>
            <w:r>
              <w:rPr>
                <w:sz w:val="20"/>
              </w:rPr>
              <w:t>Note: In 2008, the “Food Stamp” program was re-named SNAP: Supplemental Nutrition Assistance Program. The name change reflects the program’s focus on nutrition and putting healthy food within reach for low income households. 2011 data are preliminary. Generally SNAP households must have monthly gross income less than 130 percent of the Federal poverty guidelines ($2,422 for a family of four in fiscal year 2012), monthly net income less than 100 percent of the poverty guidelines, and assets of less than</w:t>
            </w:r>
          </w:p>
          <w:p w14:paraId="7B688FAC" w14:textId="77777777" w:rsidR="0046798B" w:rsidRDefault="00903B5C">
            <w:pPr>
              <w:pStyle w:val="TableParagraph"/>
              <w:ind w:left="114"/>
              <w:rPr>
                <w:sz w:val="20"/>
              </w:rPr>
            </w:pPr>
            <w:r>
              <w:rPr>
                <w:sz w:val="20"/>
              </w:rPr>
              <w:t>$2,000. SNAP clients can buy all foods carrying a nutrition facts label and</w:t>
            </w:r>
          </w:p>
        </w:tc>
      </w:tr>
    </w:tbl>
    <w:p w14:paraId="02FB934A" w14:textId="77777777" w:rsidR="0046798B" w:rsidRDefault="0046798B">
      <w:pPr>
        <w:rPr>
          <w:sz w:val="20"/>
        </w:rPr>
        <w:sectPr w:rsidR="0046798B">
          <w:pgSz w:w="15840" w:h="12240" w:orient="landscape"/>
          <w:pgMar w:top="1220" w:right="300" w:bottom="980" w:left="820" w:header="730" w:footer="787" w:gutter="0"/>
          <w:cols w:space="720"/>
        </w:sectPr>
      </w:pPr>
    </w:p>
    <w:p w14:paraId="084E339C"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059CAC27" w14:textId="77777777">
        <w:trPr>
          <w:trHeight w:val="542"/>
        </w:trPr>
        <w:tc>
          <w:tcPr>
            <w:tcW w:w="1711" w:type="dxa"/>
            <w:tcBorders>
              <w:bottom w:val="dotted" w:sz="6" w:space="0" w:color="BEBEBE"/>
            </w:tcBorders>
          </w:tcPr>
          <w:p w14:paraId="3B1EA438" w14:textId="77777777" w:rsidR="0046798B" w:rsidRDefault="0046798B">
            <w:pPr>
              <w:pStyle w:val="TableParagraph"/>
              <w:rPr>
                <w:sz w:val="20"/>
              </w:rPr>
            </w:pPr>
          </w:p>
        </w:tc>
        <w:tc>
          <w:tcPr>
            <w:tcW w:w="1596" w:type="dxa"/>
            <w:tcBorders>
              <w:bottom w:val="dotted" w:sz="6" w:space="0" w:color="BEBEBE"/>
            </w:tcBorders>
          </w:tcPr>
          <w:p w14:paraId="218EB9D3" w14:textId="77777777" w:rsidR="0046798B" w:rsidRDefault="0046798B">
            <w:pPr>
              <w:pStyle w:val="TableParagraph"/>
              <w:rPr>
                <w:sz w:val="20"/>
              </w:rPr>
            </w:pPr>
          </w:p>
        </w:tc>
        <w:tc>
          <w:tcPr>
            <w:tcW w:w="1285" w:type="dxa"/>
            <w:tcBorders>
              <w:bottom w:val="dotted" w:sz="6" w:space="0" w:color="BEBEBE"/>
            </w:tcBorders>
          </w:tcPr>
          <w:p w14:paraId="7B7B94C3" w14:textId="77777777" w:rsidR="0046798B" w:rsidRDefault="0046798B">
            <w:pPr>
              <w:pStyle w:val="TableParagraph"/>
              <w:rPr>
                <w:sz w:val="20"/>
              </w:rPr>
            </w:pPr>
          </w:p>
        </w:tc>
        <w:tc>
          <w:tcPr>
            <w:tcW w:w="3421" w:type="dxa"/>
            <w:tcBorders>
              <w:bottom w:val="dotted" w:sz="6" w:space="0" w:color="BEBEBE"/>
            </w:tcBorders>
          </w:tcPr>
          <w:p w14:paraId="4F06F71F" w14:textId="77777777" w:rsidR="0046798B" w:rsidRDefault="0046798B">
            <w:pPr>
              <w:pStyle w:val="TableParagraph"/>
              <w:rPr>
                <w:sz w:val="20"/>
              </w:rPr>
            </w:pPr>
          </w:p>
        </w:tc>
        <w:tc>
          <w:tcPr>
            <w:tcW w:w="6482" w:type="dxa"/>
            <w:tcBorders>
              <w:bottom w:val="dotted" w:sz="6" w:space="0" w:color="BEBEBE"/>
            </w:tcBorders>
          </w:tcPr>
          <w:p w14:paraId="59434AE2" w14:textId="77777777" w:rsidR="0046798B" w:rsidRDefault="00903B5C">
            <w:pPr>
              <w:pStyle w:val="TableParagraph"/>
              <w:spacing w:before="43"/>
              <w:ind w:left="114" w:right="639"/>
              <w:rPr>
                <w:sz w:val="20"/>
              </w:rPr>
            </w:pPr>
            <w:r>
              <w:rPr>
                <w:sz w:val="20"/>
              </w:rPr>
              <w:t>intended to be eaten at home. Some items, such as alcoholic beverages, cigarettes, vitamins or medicines and pet foods are not allowed.</w:t>
            </w:r>
          </w:p>
        </w:tc>
      </w:tr>
      <w:tr w:rsidR="0046798B" w14:paraId="2BBAAF07" w14:textId="77777777">
        <w:trPr>
          <w:trHeight w:val="772"/>
        </w:trPr>
        <w:tc>
          <w:tcPr>
            <w:tcW w:w="1711" w:type="dxa"/>
            <w:tcBorders>
              <w:top w:val="dotted" w:sz="6" w:space="0" w:color="BEBEBE"/>
            </w:tcBorders>
          </w:tcPr>
          <w:p w14:paraId="668504CB" w14:textId="77777777" w:rsidR="0046798B" w:rsidRDefault="0046798B">
            <w:pPr>
              <w:pStyle w:val="TableParagraph"/>
              <w:spacing w:before="6"/>
              <w:rPr>
                <w:sz w:val="23"/>
              </w:rPr>
            </w:pPr>
          </w:p>
          <w:p w14:paraId="1815DB88" w14:textId="77777777" w:rsidR="0046798B" w:rsidRDefault="00903B5C">
            <w:pPr>
              <w:pStyle w:val="TableParagraph"/>
              <w:ind w:left="115"/>
              <w:rPr>
                <w:b/>
                <w:sz w:val="20"/>
              </w:rPr>
            </w:pPr>
            <w:r>
              <w:rPr>
                <w:b/>
                <w:sz w:val="20"/>
              </w:rPr>
              <w:t>statemin</w:t>
            </w:r>
          </w:p>
        </w:tc>
        <w:tc>
          <w:tcPr>
            <w:tcW w:w="1596" w:type="dxa"/>
            <w:tcBorders>
              <w:top w:val="dotted" w:sz="6" w:space="0" w:color="BEBEBE"/>
            </w:tcBorders>
          </w:tcPr>
          <w:p w14:paraId="1993A695" w14:textId="77777777" w:rsidR="0046798B" w:rsidRDefault="00903B5C">
            <w:pPr>
              <w:pStyle w:val="TableParagraph"/>
              <w:spacing w:before="155"/>
              <w:ind w:left="114" w:right="224"/>
              <w:rPr>
                <w:sz w:val="20"/>
              </w:rPr>
            </w:pPr>
            <w:r>
              <w:rPr>
                <w:sz w:val="20"/>
              </w:rPr>
              <w:t>State minimum wage</w:t>
            </w:r>
          </w:p>
        </w:tc>
        <w:tc>
          <w:tcPr>
            <w:tcW w:w="1285" w:type="dxa"/>
            <w:tcBorders>
              <w:top w:val="dotted" w:sz="6" w:space="0" w:color="BEBEBE"/>
            </w:tcBorders>
          </w:tcPr>
          <w:p w14:paraId="506A621E" w14:textId="77777777" w:rsidR="0046798B" w:rsidRDefault="0046798B">
            <w:pPr>
              <w:pStyle w:val="TableParagraph"/>
              <w:spacing w:before="6"/>
              <w:rPr>
                <w:sz w:val="23"/>
              </w:rPr>
            </w:pPr>
          </w:p>
          <w:p w14:paraId="1C42F763" w14:textId="77777777" w:rsidR="0046798B" w:rsidRDefault="00903B5C">
            <w:pPr>
              <w:pStyle w:val="TableParagraph"/>
              <w:ind w:left="114"/>
              <w:rPr>
                <w:sz w:val="20"/>
              </w:rPr>
            </w:pPr>
            <w:r>
              <w:rPr>
                <w:sz w:val="20"/>
              </w:rPr>
              <w:t>1980–2017</w:t>
            </w:r>
          </w:p>
        </w:tc>
        <w:tc>
          <w:tcPr>
            <w:tcW w:w="3421" w:type="dxa"/>
            <w:tcBorders>
              <w:top w:val="dotted" w:sz="6" w:space="0" w:color="BEBEBE"/>
            </w:tcBorders>
          </w:tcPr>
          <w:p w14:paraId="50194650" w14:textId="77777777" w:rsidR="0046798B" w:rsidRDefault="0046798B">
            <w:pPr>
              <w:pStyle w:val="TableParagraph"/>
              <w:spacing w:before="6"/>
              <w:rPr>
                <w:sz w:val="23"/>
              </w:rPr>
            </w:pPr>
          </w:p>
          <w:p w14:paraId="74AB517D" w14:textId="77777777" w:rsidR="0046798B" w:rsidRDefault="00903B5C">
            <w:pPr>
              <w:pStyle w:val="TableParagraph"/>
              <w:ind w:left="114"/>
              <w:rPr>
                <w:sz w:val="20"/>
              </w:rPr>
            </w:pPr>
            <w:r>
              <w:rPr>
                <w:sz w:val="20"/>
              </w:rPr>
              <w:t>State minimum wage in dollars.</w:t>
            </w:r>
          </w:p>
        </w:tc>
        <w:tc>
          <w:tcPr>
            <w:tcW w:w="6482" w:type="dxa"/>
            <w:tcBorders>
              <w:top w:val="dotted" w:sz="6" w:space="0" w:color="BEBEBE"/>
            </w:tcBorders>
          </w:tcPr>
          <w:p w14:paraId="6B620DDC" w14:textId="77777777" w:rsidR="0046798B" w:rsidRDefault="00903B5C">
            <w:pPr>
              <w:pStyle w:val="TableParagraph"/>
              <w:spacing w:before="40"/>
              <w:ind w:left="114" w:right="791"/>
              <w:rPr>
                <w:sz w:val="20"/>
              </w:rPr>
            </w:pPr>
            <w:r>
              <w:rPr>
                <w:sz w:val="20"/>
              </w:rPr>
              <w:t xml:space="preserve">University of Kentucky Center for Poverty Research. 2019. “UKCPR National Welfare Data, 1980-2017.” Lexington, KY. </w:t>
            </w:r>
            <w:hyperlink r:id="rId337">
              <w:r>
                <w:rPr>
                  <w:color w:val="0462C1"/>
                  <w:sz w:val="20"/>
                  <w:u w:val="single" w:color="0462C1"/>
                </w:rPr>
                <w:t>http://ukcpr.org/resources/national-welfare-data</w:t>
              </w:r>
            </w:hyperlink>
          </w:p>
        </w:tc>
      </w:tr>
      <w:tr w:rsidR="0046798B" w14:paraId="77341E2C" w14:textId="77777777">
        <w:trPr>
          <w:trHeight w:val="780"/>
        </w:trPr>
        <w:tc>
          <w:tcPr>
            <w:tcW w:w="1711" w:type="dxa"/>
          </w:tcPr>
          <w:p w14:paraId="33D96DFE" w14:textId="77777777" w:rsidR="0046798B" w:rsidRDefault="0046798B">
            <w:pPr>
              <w:pStyle w:val="TableParagraph"/>
              <w:spacing w:before="9"/>
              <w:rPr>
                <w:sz w:val="23"/>
              </w:rPr>
            </w:pPr>
          </w:p>
          <w:p w14:paraId="375D89EF" w14:textId="77777777" w:rsidR="0046798B" w:rsidRDefault="00903B5C">
            <w:pPr>
              <w:pStyle w:val="TableParagraph"/>
              <w:ind w:left="115"/>
              <w:rPr>
                <w:b/>
                <w:sz w:val="20"/>
              </w:rPr>
            </w:pPr>
            <w:r>
              <w:rPr>
                <w:b/>
                <w:sz w:val="20"/>
              </w:rPr>
              <w:t>employed</w:t>
            </w:r>
          </w:p>
        </w:tc>
        <w:tc>
          <w:tcPr>
            <w:tcW w:w="1596" w:type="dxa"/>
          </w:tcPr>
          <w:p w14:paraId="1A815571" w14:textId="77777777" w:rsidR="0046798B" w:rsidRDefault="00903B5C">
            <w:pPr>
              <w:pStyle w:val="TableParagraph"/>
              <w:spacing w:before="43"/>
              <w:ind w:left="114" w:right="124"/>
              <w:rPr>
                <w:sz w:val="20"/>
              </w:rPr>
            </w:pPr>
            <w:r>
              <w:rPr>
                <w:sz w:val="20"/>
              </w:rPr>
              <w:t>Employed population (total number)</w:t>
            </w:r>
          </w:p>
        </w:tc>
        <w:tc>
          <w:tcPr>
            <w:tcW w:w="1285" w:type="dxa"/>
          </w:tcPr>
          <w:p w14:paraId="6EB78BB1" w14:textId="77777777" w:rsidR="0046798B" w:rsidRDefault="0046798B">
            <w:pPr>
              <w:pStyle w:val="TableParagraph"/>
              <w:spacing w:before="9"/>
              <w:rPr>
                <w:sz w:val="23"/>
              </w:rPr>
            </w:pPr>
          </w:p>
          <w:p w14:paraId="1276F59F" w14:textId="77777777" w:rsidR="0046798B" w:rsidRDefault="00903B5C">
            <w:pPr>
              <w:pStyle w:val="TableParagraph"/>
              <w:ind w:left="114"/>
              <w:rPr>
                <w:sz w:val="20"/>
              </w:rPr>
            </w:pPr>
            <w:r>
              <w:rPr>
                <w:sz w:val="20"/>
              </w:rPr>
              <w:t>1980–2017</w:t>
            </w:r>
          </w:p>
        </w:tc>
        <w:tc>
          <w:tcPr>
            <w:tcW w:w="3421" w:type="dxa"/>
          </w:tcPr>
          <w:p w14:paraId="78B99306" w14:textId="77777777" w:rsidR="0046798B" w:rsidRDefault="00903B5C">
            <w:pPr>
              <w:pStyle w:val="TableParagraph"/>
              <w:spacing w:before="159"/>
              <w:ind w:left="114" w:right="555"/>
              <w:rPr>
                <w:sz w:val="20"/>
              </w:rPr>
            </w:pPr>
            <w:r>
              <w:rPr>
                <w:sz w:val="20"/>
              </w:rPr>
              <w:t>Total number of people employed within the state.</w:t>
            </w:r>
          </w:p>
        </w:tc>
        <w:tc>
          <w:tcPr>
            <w:tcW w:w="6482" w:type="dxa"/>
          </w:tcPr>
          <w:p w14:paraId="024A4B37" w14:textId="77777777" w:rsidR="0046798B" w:rsidRDefault="00903B5C">
            <w:pPr>
              <w:pStyle w:val="TableParagraph"/>
              <w:spacing w:before="43"/>
              <w:ind w:left="114" w:right="791"/>
              <w:rPr>
                <w:sz w:val="20"/>
              </w:rPr>
            </w:pPr>
            <w:r>
              <w:rPr>
                <w:sz w:val="20"/>
              </w:rPr>
              <w:t xml:space="preserve">University of Kentucky Center for Poverty Research. 2019. “UKCPR National Welfare Data, 1980-2017.” Lexington, KY. </w:t>
            </w:r>
            <w:hyperlink r:id="rId338">
              <w:r>
                <w:rPr>
                  <w:color w:val="0462C1"/>
                  <w:sz w:val="20"/>
                  <w:u w:val="single" w:color="0462C1"/>
                </w:rPr>
                <w:t>http://ukcpr.org/resources/national-welfare-data</w:t>
              </w:r>
            </w:hyperlink>
          </w:p>
        </w:tc>
      </w:tr>
      <w:tr w:rsidR="0046798B" w14:paraId="4ED91EE9" w14:textId="77777777">
        <w:trPr>
          <w:trHeight w:val="775"/>
        </w:trPr>
        <w:tc>
          <w:tcPr>
            <w:tcW w:w="1711" w:type="dxa"/>
          </w:tcPr>
          <w:p w14:paraId="257669BC" w14:textId="77777777" w:rsidR="0046798B" w:rsidRDefault="0046798B">
            <w:pPr>
              <w:pStyle w:val="TableParagraph"/>
              <w:spacing w:before="3"/>
              <w:rPr>
                <w:sz w:val="23"/>
              </w:rPr>
            </w:pPr>
          </w:p>
          <w:p w14:paraId="4AC3237E" w14:textId="77777777" w:rsidR="0046798B" w:rsidRDefault="00903B5C">
            <w:pPr>
              <w:pStyle w:val="TableParagraph"/>
              <w:spacing w:before="1"/>
              <w:ind w:left="115"/>
              <w:rPr>
                <w:b/>
                <w:sz w:val="20"/>
              </w:rPr>
            </w:pPr>
            <w:r>
              <w:rPr>
                <w:b/>
                <w:sz w:val="20"/>
              </w:rPr>
              <w:t>unemployed</w:t>
            </w:r>
          </w:p>
        </w:tc>
        <w:tc>
          <w:tcPr>
            <w:tcW w:w="1596" w:type="dxa"/>
          </w:tcPr>
          <w:p w14:paraId="3B357C94" w14:textId="77777777" w:rsidR="0046798B" w:rsidRDefault="00903B5C">
            <w:pPr>
              <w:pStyle w:val="TableParagraph"/>
              <w:spacing w:before="38"/>
              <w:ind w:left="114" w:right="124"/>
              <w:rPr>
                <w:sz w:val="20"/>
              </w:rPr>
            </w:pPr>
            <w:r>
              <w:rPr>
                <w:sz w:val="20"/>
              </w:rPr>
              <w:t>Unemployed population (total number)</w:t>
            </w:r>
          </w:p>
        </w:tc>
        <w:tc>
          <w:tcPr>
            <w:tcW w:w="1285" w:type="dxa"/>
          </w:tcPr>
          <w:p w14:paraId="0DF91183" w14:textId="77777777" w:rsidR="0046798B" w:rsidRDefault="0046798B">
            <w:pPr>
              <w:pStyle w:val="TableParagraph"/>
              <w:spacing w:before="3"/>
              <w:rPr>
                <w:sz w:val="23"/>
              </w:rPr>
            </w:pPr>
          </w:p>
          <w:p w14:paraId="2721769A" w14:textId="77777777" w:rsidR="0046798B" w:rsidRDefault="00903B5C">
            <w:pPr>
              <w:pStyle w:val="TableParagraph"/>
              <w:spacing w:before="1"/>
              <w:ind w:left="114"/>
              <w:rPr>
                <w:sz w:val="20"/>
              </w:rPr>
            </w:pPr>
            <w:r>
              <w:rPr>
                <w:sz w:val="20"/>
              </w:rPr>
              <w:t>1980–2017</w:t>
            </w:r>
          </w:p>
        </w:tc>
        <w:tc>
          <w:tcPr>
            <w:tcW w:w="3421" w:type="dxa"/>
          </w:tcPr>
          <w:p w14:paraId="49CFCBA2" w14:textId="77777777" w:rsidR="0046798B" w:rsidRDefault="00903B5C">
            <w:pPr>
              <w:pStyle w:val="TableParagraph"/>
              <w:spacing w:before="153"/>
              <w:ind w:left="114" w:right="355"/>
              <w:rPr>
                <w:sz w:val="20"/>
              </w:rPr>
            </w:pPr>
            <w:r>
              <w:rPr>
                <w:sz w:val="20"/>
              </w:rPr>
              <w:t>Total number of people unemployed within the state.</w:t>
            </w:r>
          </w:p>
        </w:tc>
        <w:tc>
          <w:tcPr>
            <w:tcW w:w="6482" w:type="dxa"/>
          </w:tcPr>
          <w:p w14:paraId="43C3EFF3" w14:textId="77777777" w:rsidR="0046798B" w:rsidRDefault="00903B5C">
            <w:pPr>
              <w:pStyle w:val="TableParagraph"/>
              <w:spacing w:before="38"/>
              <w:ind w:left="114" w:right="791"/>
              <w:rPr>
                <w:sz w:val="20"/>
              </w:rPr>
            </w:pPr>
            <w:r>
              <w:rPr>
                <w:sz w:val="20"/>
              </w:rPr>
              <w:t xml:space="preserve">University of Kentucky Center for Poverty Research. 2019. “UKCPR National Welfare Data, 1980-2017.” Lexington, KY. </w:t>
            </w:r>
            <w:hyperlink r:id="rId339">
              <w:r>
                <w:rPr>
                  <w:color w:val="0462C1"/>
                  <w:sz w:val="20"/>
                  <w:u w:val="single" w:color="0462C1"/>
                </w:rPr>
                <w:t>http://ukcpr.org/resources/national-welfare-data</w:t>
              </w:r>
            </w:hyperlink>
          </w:p>
        </w:tc>
      </w:tr>
      <w:tr w:rsidR="0046798B" w14:paraId="7F8F13B3" w14:textId="77777777">
        <w:trPr>
          <w:trHeight w:val="775"/>
        </w:trPr>
        <w:tc>
          <w:tcPr>
            <w:tcW w:w="1711" w:type="dxa"/>
          </w:tcPr>
          <w:p w14:paraId="7A839E1E" w14:textId="77777777" w:rsidR="0046798B" w:rsidRDefault="0046798B">
            <w:pPr>
              <w:pStyle w:val="TableParagraph"/>
              <w:spacing w:before="3"/>
              <w:rPr>
                <w:sz w:val="23"/>
              </w:rPr>
            </w:pPr>
          </w:p>
          <w:p w14:paraId="2655DE0F" w14:textId="77777777" w:rsidR="0046798B" w:rsidRDefault="00903B5C">
            <w:pPr>
              <w:pStyle w:val="TableParagraph"/>
              <w:spacing w:before="1"/>
              <w:ind w:left="115"/>
              <w:rPr>
                <w:b/>
                <w:sz w:val="20"/>
              </w:rPr>
            </w:pPr>
            <w:r>
              <w:rPr>
                <w:b/>
                <w:sz w:val="20"/>
              </w:rPr>
              <w:t>afdc_case</w:t>
            </w:r>
          </w:p>
        </w:tc>
        <w:tc>
          <w:tcPr>
            <w:tcW w:w="1596" w:type="dxa"/>
          </w:tcPr>
          <w:p w14:paraId="4734B459" w14:textId="77777777" w:rsidR="0046798B" w:rsidRDefault="00903B5C">
            <w:pPr>
              <w:pStyle w:val="TableParagraph"/>
              <w:spacing w:before="153"/>
              <w:ind w:left="114"/>
              <w:rPr>
                <w:sz w:val="20"/>
              </w:rPr>
            </w:pPr>
            <w:r>
              <w:rPr>
                <w:sz w:val="20"/>
              </w:rPr>
              <w:t>AFDC/TANF</w:t>
            </w:r>
          </w:p>
          <w:p w14:paraId="4BF79E70" w14:textId="77777777" w:rsidR="0046798B" w:rsidRDefault="00903B5C">
            <w:pPr>
              <w:pStyle w:val="TableParagraph"/>
              <w:ind w:left="114"/>
              <w:rPr>
                <w:sz w:val="20"/>
              </w:rPr>
            </w:pPr>
            <w:r>
              <w:rPr>
                <w:sz w:val="20"/>
              </w:rPr>
              <w:t>caseloads</w:t>
            </w:r>
          </w:p>
        </w:tc>
        <w:tc>
          <w:tcPr>
            <w:tcW w:w="1285" w:type="dxa"/>
          </w:tcPr>
          <w:p w14:paraId="7585FBF0" w14:textId="77777777" w:rsidR="0046798B" w:rsidRDefault="0046798B">
            <w:pPr>
              <w:pStyle w:val="TableParagraph"/>
              <w:spacing w:before="3"/>
              <w:rPr>
                <w:sz w:val="23"/>
              </w:rPr>
            </w:pPr>
          </w:p>
          <w:p w14:paraId="301F0A71" w14:textId="77777777" w:rsidR="0046798B" w:rsidRDefault="00903B5C">
            <w:pPr>
              <w:pStyle w:val="TableParagraph"/>
              <w:spacing w:before="1"/>
              <w:ind w:left="114"/>
              <w:rPr>
                <w:sz w:val="20"/>
              </w:rPr>
            </w:pPr>
            <w:r>
              <w:rPr>
                <w:sz w:val="20"/>
              </w:rPr>
              <w:t>1980–2017</w:t>
            </w:r>
          </w:p>
        </w:tc>
        <w:tc>
          <w:tcPr>
            <w:tcW w:w="3421" w:type="dxa"/>
          </w:tcPr>
          <w:p w14:paraId="31E06C64" w14:textId="77777777" w:rsidR="0046798B" w:rsidRDefault="00903B5C">
            <w:pPr>
              <w:pStyle w:val="TableParagraph"/>
              <w:spacing w:before="38"/>
              <w:ind w:left="114" w:right="494"/>
              <w:rPr>
                <w:sz w:val="20"/>
              </w:rPr>
            </w:pPr>
            <w:r>
              <w:rPr>
                <w:sz w:val="20"/>
              </w:rPr>
              <w:t>Average monthly number of total family caseloads for AFDC/TANF within a year.</w:t>
            </w:r>
          </w:p>
        </w:tc>
        <w:tc>
          <w:tcPr>
            <w:tcW w:w="6482" w:type="dxa"/>
          </w:tcPr>
          <w:p w14:paraId="09AAFBEB" w14:textId="77777777" w:rsidR="0046798B" w:rsidRDefault="00903B5C">
            <w:pPr>
              <w:pStyle w:val="TableParagraph"/>
              <w:spacing w:before="38"/>
              <w:ind w:left="114" w:right="791"/>
              <w:rPr>
                <w:sz w:val="20"/>
              </w:rPr>
            </w:pPr>
            <w:r>
              <w:rPr>
                <w:sz w:val="20"/>
              </w:rPr>
              <w:t xml:space="preserve">University of Kentucky Center for Poverty Research. 2019. “UKCPR National Welfare Data, 1980-2017.” Lexington, KY. </w:t>
            </w:r>
            <w:hyperlink r:id="rId340">
              <w:r>
                <w:rPr>
                  <w:color w:val="0462C1"/>
                  <w:sz w:val="20"/>
                  <w:u w:val="single" w:color="0462C1"/>
                </w:rPr>
                <w:t>http://ukcpr.org/resources/national-welfare-data</w:t>
              </w:r>
            </w:hyperlink>
          </w:p>
        </w:tc>
      </w:tr>
      <w:tr w:rsidR="0046798B" w14:paraId="42024CA6" w14:textId="77777777">
        <w:trPr>
          <w:trHeight w:val="775"/>
        </w:trPr>
        <w:tc>
          <w:tcPr>
            <w:tcW w:w="1711" w:type="dxa"/>
          </w:tcPr>
          <w:p w14:paraId="2EF3B61C" w14:textId="77777777" w:rsidR="0046798B" w:rsidRDefault="0046798B">
            <w:pPr>
              <w:pStyle w:val="TableParagraph"/>
              <w:spacing w:before="9"/>
              <w:rPr>
                <w:sz w:val="23"/>
              </w:rPr>
            </w:pPr>
          </w:p>
          <w:p w14:paraId="569E2238" w14:textId="77777777" w:rsidR="0046798B" w:rsidRDefault="00903B5C">
            <w:pPr>
              <w:pStyle w:val="TableParagraph"/>
              <w:ind w:left="115"/>
              <w:rPr>
                <w:b/>
                <w:sz w:val="20"/>
              </w:rPr>
            </w:pPr>
            <w:r>
              <w:rPr>
                <w:b/>
                <w:sz w:val="20"/>
              </w:rPr>
              <w:t>afdc_rep</w:t>
            </w:r>
          </w:p>
        </w:tc>
        <w:tc>
          <w:tcPr>
            <w:tcW w:w="1596" w:type="dxa"/>
          </w:tcPr>
          <w:p w14:paraId="0B939437" w14:textId="77777777" w:rsidR="0046798B" w:rsidRDefault="00903B5C">
            <w:pPr>
              <w:pStyle w:val="TableParagraph"/>
              <w:spacing w:before="158"/>
              <w:ind w:left="114"/>
              <w:rPr>
                <w:sz w:val="20"/>
              </w:rPr>
            </w:pPr>
            <w:r>
              <w:rPr>
                <w:sz w:val="20"/>
              </w:rPr>
              <w:t>AFDC/TANF</w:t>
            </w:r>
          </w:p>
          <w:p w14:paraId="37A9BB9A" w14:textId="77777777" w:rsidR="0046798B" w:rsidRDefault="00903B5C">
            <w:pPr>
              <w:pStyle w:val="TableParagraph"/>
              <w:ind w:left="114"/>
              <w:rPr>
                <w:sz w:val="20"/>
              </w:rPr>
            </w:pPr>
            <w:r>
              <w:rPr>
                <w:sz w:val="20"/>
              </w:rPr>
              <w:t>recipients</w:t>
            </w:r>
          </w:p>
        </w:tc>
        <w:tc>
          <w:tcPr>
            <w:tcW w:w="1285" w:type="dxa"/>
          </w:tcPr>
          <w:p w14:paraId="058ED093" w14:textId="77777777" w:rsidR="0046798B" w:rsidRDefault="0046798B">
            <w:pPr>
              <w:pStyle w:val="TableParagraph"/>
              <w:spacing w:before="9"/>
              <w:rPr>
                <w:sz w:val="23"/>
              </w:rPr>
            </w:pPr>
          </w:p>
          <w:p w14:paraId="52E451C5" w14:textId="77777777" w:rsidR="0046798B" w:rsidRDefault="00903B5C">
            <w:pPr>
              <w:pStyle w:val="TableParagraph"/>
              <w:ind w:left="114"/>
              <w:rPr>
                <w:sz w:val="20"/>
              </w:rPr>
            </w:pPr>
            <w:r>
              <w:rPr>
                <w:sz w:val="20"/>
              </w:rPr>
              <w:t>1980–2017</w:t>
            </w:r>
          </w:p>
        </w:tc>
        <w:tc>
          <w:tcPr>
            <w:tcW w:w="3421" w:type="dxa"/>
          </w:tcPr>
          <w:p w14:paraId="1C21DF84" w14:textId="77777777" w:rsidR="0046798B" w:rsidRDefault="00903B5C">
            <w:pPr>
              <w:pStyle w:val="TableParagraph"/>
              <w:spacing w:before="43"/>
              <w:ind w:left="114" w:right="421"/>
              <w:rPr>
                <w:sz w:val="20"/>
              </w:rPr>
            </w:pPr>
            <w:r>
              <w:rPr>
                <w:sz w:val="20"/>
              </w:rPr>
              <w:t>Average monthly number of total recipients of AFDC/TANF within a year.</w:t>
            </w:r>
          </w:p>
        </w:tc>
        <w:tc>
          <w:tcPr>
            <w:tcW w:w="6482" w:type="dxa"/>
          </w:tcPr>
          <w:p w14:paraId="5A888279" w14:textId="77777777" w:rsidR="0046798B" w:rsidRDefault="00903B5C">
            <w:pPr>
              <w:pStyle w:val="TableParagraph"/>
              <w:spacing w:before="43"/>
              <w:ind w:left="114" w:right="791"/>
              <w:rPr>
                <w:sz w:val="20"/>
              </w:rPr>
            </w:pPr>
            <w:r>
              <w:rPr>
                <w:sz w:val="20"/>
              </w:rPr>
              <w:t xml:space="preserve">University of Kentucky Center for Poverty Research. 2019. “UKCPR National Welfare Data, 1980-2017.” Lexington, KY. </w:t>
            </w:r>
            <w:hyperlink r:id="rId341">
              <w:r>
                <w:rPr>
                  <w:color w:val="0462C1"/>
                  <w:sz w:val="20"/>
                  <w:u w:val="single" w:color="0462C1"/>
                </w:rPr>
                <w:t>http://ukcpr.org/resources/national-welfare-data</w:t>
              </w:r>
            </w:hyperlink>
          </w:p>
        </w:tc>
      </w:tr>
      <w:tr w:rsidR="0046798B" w14:paraId="4E3907DF" w14:textId="77777777">
        <w:trPr>
          <w:trHeight w:val="775"/>
        </w:trPr>
        <w:tc>
          <w:tcPr>
            <w:tcW w:w="1711" w:type="dxa"/>
          </w:tcPr>
          <w:p w14:paraId="6D435D56" w14:textId="77777777" w:rsidR="0046798B" w:rsidRDefault="00903B5C">
            <w:pPr>
              <w:pStyle w:val="TableParagraph"/>
              <w:spacing w:before="158"/>
              <w:ind w:left="115" w:right="143"/>
              <w:rPr>
                <w:b/>
                <w:sz w:val="20"/>
              </w:rPr>
            </w:pPr>
            <w:r>
              <w:rPr>
                <w:b/>
                <w:sz w:val="20"/>
              </w:rPr>
              <w:t>afdccases_childo nly</w:t>
            </w:r>
          </w:p>
        </w:tc>
        <w:tc>
          <w:tcPr>
            <w:tcW w:w="1596" w:type="dxa"/>
          </w:tcPr>
          <w:p w14:paraId="4C608EB3" w14:textId="77777777" w:rsidR="0046798B" w:rsidRDefault="00903B5C">
            <w:pPr>
              <w:pStyle w:val="TableParagraph"/>
              <w:spacing w:before="43"/>
              <w:ind w:left="114"/>
              <w:rPr>
                <w:sz w:val="20"/>
              </w:rPr>
            </w:pPr>
            <w:r>
              <w:rPr>
                <w:sz w:val="20"/>
              </w:rPr>
              <w:t>AFDC/TANF</w:t>
            </w:r>
          </w:p>
          <w:p w14:paraId="2F4F3694" w14:textId="77777777" w:rsidR="0046798B" w:rsidRDefault="00903B5C">
            <w:pPr>
              <w:pStyle w:val="TableParagraph"/>
              <w:ind w:left="114" w:right="629"/>
              <w:rPr>
                <w:sz w:val="20"/>
              </w:rPr>
            </w:pPr>
            <w:r>
              <w:rPr>
                <w:sz w:val="20"/>
              </w:rPr>
              <w:t>child-only caseloads</w:t>
            </w:r>
          </w:p>
        </w:tc>
        <w:tc>
          <w:tcPr>
            <w:tcW w:w="1285" w:type="dxa"/>
          </w:tcPr>
          <w:p w14:paraId="0CEDA588" w14:textId="77777777" w:rsidR="0046798B" w:rsidRDefault="0046798B">
            <w:pPr>
              <w:pStyle w:val="TableParagraph"/>
              <w:spacing w:before="8"/>
              <w:rPr>
                <w:sz w:val="23"/>
              </w:rPr>
            </w:pPr>
          </w:p>
          <w:p w14:paraId="13F41D1D" w14:textId="77777777" w:rsidR="0046798B" w:rsidRDefault="00903B5C">
            <w:pPr>
              <w:pStyle w:val="TableParagraph"/>
              <w:spacing w:before="1"/>
              <w:ind w:left="114"/>
              <w:rPr>
                <w:sz w:val="20"/>
              </w:rPr>
            </w:pPr>
            <w:r>
              <w:rPr>
                <w:sz w:val="20"/>
              </w:rPr>
              <w:t>1985–2017</w:t>
            </w:r>
          </w:p>
        </w:tc>
        <w:tc>
          <w:tcPr>
            <w:tcW w:w="3421" w:type="dxa"/>
          </w:tcPr>
          <w:p w14:paraId="170D98AF" w14:textId="77777777" w:rsidR="0046798B" w:rsidRDefault="00903B5C">
            <w:pPr>
              <w:pStyle w:val="TableParagraph"/>
              <w:spacing w:before="43"/>
              <w:ind w:left="114" w:right="283"/>
              <w:rPr>
                <w:sz w:val="20"/>
              </w:rPr>
            </w:pPr>
            <w:r>
              <w:rPr>
                <w:sz w:val="20"/>
              </w:rPr>
              <w:t>Average monthly number of total no- parent (child-only) caseloads for AFDC/TANF within a year.</w:t>
            </w:r>
          </w:p>
        </w:tc>
        <w:tc>
          <w:tcPr>
            <w:tcW w:w="6482" w:type="dxa"/>
          </w:tcPr>
          <w:p w14:paraId="7FA73F6C" w14:textId="77777777" w:rsidR="0046798B" w:rsidRDefault="00903B5C">
            <w:pPr>
              <w:pStyle w:val="TableParagraph"/>
              <w:spacing w:before="43"/>
              <w:ind w:left="114" w:right="791"/>
              <w:rPr>
                <w:sz w:val="20"/>
              </w:rPr>
            </w:pPr>
            <w:r>
              <w:rPr>
                <w:sz w:val="20"/>
              </w:rPr>
              <w:t xml:space="preserve">University of Kentucky Center for Poverty Research. 2019. “UKCPR National Welfare Data, 1980-2017.” Lexington, KY. </w:t>
            </w:r>
            <w:hyperlink r:id="rId342">
              <w:r>
                <w:rPr>
                  <w:color w:val="0462C1"/>
                  <w:sz w:val="20"/>
                  <w:u w:val="single" w:color="0462C1"/>
                </w:rPr>
                <w:t>http://ukcpr.org/resources/national-welfare-data</w:t>
              </w:r>
            </w:hyperlink>
          </w:p>
        </w:tc>
      </w:tr>
      <w:tr w:rsidR="0046798B" w14:paraId="3A12D8B9" w14:textId="77777777">
        <w:trPr>
          <w:trHeight w:val="1235"/>
        </w:trPr>
        <w:tc>
          <w:tcPr>
            <w:tcW w:w="1711" w:type="dxa"/>
          </w:tcPr>
          <w:p w14:paraId="7CEFD6BE" w14:textId="77777777" w:rsidR="0046798B" w:rsidRDefault="0046798B">
            <w:pPr>
              <w:pStyle w:val="TableParagraph"/>
            </w:pPr>
          </w:p>
          <w:p w14:paraId="180E23F9" w14:textId="77777777" w:rsidR="0046798B" w:rsidRDefault="00903B5C">
            <w:pPr>
              <w:pStyle w:val="TableParagraph"/>
              <w:spacing w:before="136"/>
              <w:ind w:left="115" w:right="88"/>
              <w:rPr>
                <w:b/>
                <w:sz w:val="20"/>
              </w:rPr>
            </w:pPr>
            <w:r>
              <w:rPr>
                <w:b/>
                <w:sz w:val="20"/>
              </w:rPr>
              <w:t>marginallyfoodin secure</w:t>
            </w:r>
          </w:p>
        </w:tc>
        <w:tc>
          <w:tcPr>
            <w:tcW w:w="1596" w:type="dxa"/>
          </w:tcPr>
          <w:p w14:paraId="7186BF20" w14:textId="77777777" w:rsidR="0046798B" w:rsidRDefault="0046798B">
            <w:pPr>
              <w:pStyle w:val="TableParagraph"/>
            </w:pPr>
          </w:p>
          <w:p w14:paraId="595F2D41" w14:textId="77777777" w:rsidR="0046798B" w:rsidRDefault="00903B5C">
            <w:pPr>
              <w:pStyle w:val="TableParagraph"/>
              <w:spacing w:before="136"/>
              <w:ind w:left="114" w:right="146"/>
              <w:rPr>
                <w:sz w:val="20"/>
              </w:rPr>
            </w:pPr>
            <w:r>
              <w:rPr>
                <w:sz w:val="20"/>
              </w:rPr>
              <w:t>Marginally food insecure</w:t>
            </w:r>
          </w:p>
        </w:tc>
        <w:tc>
          <w:tcPr>
            <w:tcW w:w="1285" w:type="dxa"/>
          </w:tcPr>
          <w:p w14:paraId="3357EF8E" w14:textId="77777777" w:rsidR="0046798B" w:rsidRDefault="0046798B">
            <w:pPr>
              <w:pStyle w:val="TableParagraph"/>
            </w:pPr>
          </w:p>
          <w:p w14:paraId="4F8DE55D" w14:textId="77777777" w:rsidR="0046798B" w:rsidRDefault="0046798B">
            <w:pPr>
              <w:pStyle w:val="TableParagraph"/>
              <w:spacing w:before="9"/>
              <w:rPr>
                <w:sz w:val="21"/>
              </w:rPr>
            </w:pPr>
          </w:p>
          <w:p w14:paraId="11A50544" w14:textId="77777777" w:rsidR="0046798B" w:rsidRDefault="00903B5C">
            <w:pPr>
              <w:pStyle w:val="TableParagraph"/>
              <w:ind w:left="114"/>
              <w:rPr>
                <w:sz w:val="20"/>
              </w:rPr>
            </w:pPr>
            <w:r>
              <w:rPr>
                <w:sz w:val="20"/>
              </w:rPr>
              <w:t>2001–2017</w:t>
            </w:r>
          </w:p>
        </w:tc>
        <w:tc>
          <w:tcPr>
            <w:tcW w:w="3421" w:type="dxa"/>
          </w:tcPr>
          <w:p w14:paraId="02C7CB70" w14:textId="77777777" w:rsidR="0046798B" w:rsidRDefault="00903B5C">
            <w:pPr>
              <w:pStyle w:val="TableParagraph"/>
              <w:spacing w:before="44"/>
              <w:ind w:left="114"/>
              <w:rPr>
                <w:sz w:val="20"/>
              </w:rPr>
            </w:pPr>
            <w:r>
              <w:rPr>
                <w:sz w:val="20"/>
              </w:rPr>
              <w:t>Proportion of individuals deemed marginally food insecure (i.e., answer “yes” to at least one question from the Core Food Security Model, Current Population Survey)</w:t>
            </w:r>
          </w:p>
        </w:tc>
        <w:tc>
          <w:tcPr>
            <w:tcW w:w="6482" w:type="dxa"/>
          </w:tcPr>
          <w:p w14:paraId="45D430F9" w14:textId="77777777" w:rsidR="0046798B" w:rsidRDefault="0046798B">
            <w:pPr>
              <w:pStyle w:val="TableParagraph"/>
              <w:spacing w:before="9"/>
              <w:rPr>
                <w:sz w:val="23"/>
              </w:rPr>
            </w:pPr>
          </w:p>
          <w:p w14:paraId="78679D84" w14:textId="77777777" w:rsidR="0046798B" w:rsidRDefault="00903B5C">
            <w:pPr>
              <w:pStyle w:val="TableParagraph"/>
              <w:ind w:left="114" w:right="786"/>
              <w:rPr>
                <w:sz w:val="20"/>
              </w:rPr>
            </w:pPr>
            <w:r>
              <w:rPr>
                <w:sz w:val="20"/>
              </w:rPr>
              <w:t xml:space="preserve">University of Kentucky Center for Poverty Research. 2019. “UKCPR National Welfare Data, 1980-2017.” Lexington, KY. </w:t>
            </w:r>
            <w:hyperlink r:id="rId343">
              <w:r>
                <w:rPr>
                  <w:color w:val="0462C1"/>
                  <w:sz w:val="20"/>
                  <w:u w:val="single" w:color="0462C1"/>
                </w:rPr>
                <w:t>http://ukcpr.org/resources/national-welfare-data</w:t>
              </w:r>
            </w:hyperlink>
          </w:p>
        </w:tc>
      </w:tr>
      <w:tr w:rsidR="0046798B" w14:paraId="349F6884" w14:textId="77777777">
        <w:trPr>
          <w:trHeight w:val="1240"/>
        </w:trPr>
        <w:tc>
          <w:tcPr>
            <w:tcW w:w="1711" w:type="dxa"/>
          </w:tcPr>
          <w:p w14:paraId="00111025" w14:textId="77777777" w:rsidR="0046798B" w:rsidRDefault="0046798B">
            <w:pPr>
              <w:pStyle w:val="TableParagraph"/>
            </w:pPr>
          </w:p>
          <w:p w14:paraId="29A5143D" w14:textId="77777777" w:rsidR="0046798B" w:rsidRDefault="0046798B">
            <w:pPr>
              <w:pStyle w:val="TableParagraph"/>
              <w:spacing w:before="9"/>
              <w:rPr>
                <w:sz w:val="21"/>
              </w:rPr>
            </w:pPr>
          </w:p>
          <w:p w14:paraId="3D0635DD" w14:textId="77777777" w:rsidR="0046798B" w:rsidRDefault="00903B5C">
            <w:pPr>
              <w:pStyle w:val="TableParagraph"/>
              <w:ind w:left="115"/>
              <w:rPr>
                <w:b/>
                <w:sz w:val="20"/>
              </w:rPr>
            </w:pPr>
            <w:r>
              <w:rPr>
                <w:b/>
                <w:sz w:val="20"/>
              </w:rPr>
              <w:t>foodinsecure</w:t>
            </w:r>
          </w:p>
        </w:tc>
        <w:tc>
          <w:tcPr>
            <w:tcW w:w="1596" w:type="dxa"/>
          </w:tcPr>
          <w:p w14:paraId="324D2E43" w14:textId="77777777" w:rsidR="0046798B" w:rsidRDefault="0046798B">
            <w:pPr>
              <w:pStyle w:val="TableParagraph"/>
            </w:pPr>
          </w:p>
          <w:p w14:paraId="55F4850C" w14:textId="77777777" w:rsidR="0046798B" w:rsidRDefault="0046798B">
            <w:pPr>
              <w:pStyle w:val="TableParagraph"/>
              <w:spacing w:before="9"/>
              <w:rPr>
                <w:sz w:val="21"/>
              </w:rPr>
            </w:pPr>
          </w:p>
          <w:p w14:paraId="20A10CDB" w14:textId="77777777" w:rsidR="0046798B" w:rsidRDefault="00903B5C">
            <w:pPr>
              <w:pStyle w:val="TableParagraph"/>
              <w:ind w:left="114"/>
              <w:rPr>
                <w:sz w:val="20"/>
              </w:rPr>
            </w:pPr>
            <w:r>
              <w:rPr>
                <w:sz w:val="20"/>
              </w:rPr>
              <w:t>Food insecure</w:t>
            </w:r>
          </w:p>
        </w:tc>
        <w:tc>
          <w:tcPr>
            <w:tcW w:w="1285" w:type="dxa"/>
          </w:tcPr>
          <w:p w14:paraId="5D76EBD3" w14:textId="77777777" w:rsidR="0046798B" w:rsidRDefault="0046798B">
            <w:pPr>
              <w:pStyle w:val="TableParagraph"/>
            </w:pPr>
          </w:p>
          <w:p w14:paraId="3641D552" w14:textId="77777777" w:rsidR="0046798B" w:rsidRDefault="0046798B">
            <w:pPr>
              <w:pStyle w:val="TableParagraph"/>
              <w:spacing w:before="9"/>
              <w:rPr>
                <w:sz w:val="21"/>
              </w:rPr>
            </w:pPr>
          </w:p>
          <w:p w14:paraId="16A17233" w14:textId="77777777" w:rsidR="0046798B" w:rsidRDefault="00903B5C">
            <w:pPr>
              <w:pStyle w:val="TableParagraph"/>
              <w:ind w:left="114"/>
              <w:rPr>
                <w:sz w:val="20"/>
              </w:rPr>
            </w:pPr>
            <w:r>
              <w:rPr>
                <w:sz w:val="20"/>
              </w:rPr>
              <w:t>2001–2017</w:t>
            </w:r>
          </w:p>
        </w:tc>
        <w:tc>
          <w:tcPr>
            <w:tcW w:w="3421" w:type="dxa"/>
          </w:tcPr>
          <w:p w14:paraId="4AA6C5F9" w14:textId="77777777" w:rsidR="0046798B" w:rsidRDefault="00903B5C">
            <w:pPr>
              <w:pStyle w:val="TableParagraph"/>
              <w:spacing w:before="43"/>
              <w:ind w:left="114" w:right="177"/>
              <w:rPr>
                <w:sz w:val="20"/>
              </w:rPr>
            </w:pPr>
            <w:r>
              <w:rPr>
                <w:sz w:val="20"/>
              </w:rPr>
              <w:t>Proportion of individuals deemed food insecure (i.e., answer “yes” to at least three questions from the Core Food Security Model, Current Population Survey)</w:t>
            </w:r>
          </w:p>
        </w:tc>
        <w:tc>
          <w:tcPr>
            <w:tcW w:w="6482" w:type="dxa"/>
          </w:tcPr>
          <w:p w14:paraId="7B05CB2D" w14:textId="77777777" w:rsidR="0046798B" w:rsidRDefault="0046798B">
            <w:pPr>
              <w:pStyle w:val="TableParagraph"/>
              <w:spacing w:before="9"/>
              <w:rPr>
                <w:sz w:val="23"/>
              </w:rPr>
            </w:pPr>
          </w:p>
          <w:p w14:paraId="285088DE" w14:textId="77777777" w:rsidR="0046798B" w:rsidRDefault="00903B5C">
            <w:pPr>
              <w:pStyle w:val="TableParagraph"/>
              <w:ind w:left="114" w:right="791"/>
              <w:rPr>
                <w:sz w:val="20"/>
              </w:rPr>
            </w:pPr>
            <w:r>
              <w:rPr>
                <w:sz w:val="20"/>
              </w:rPr>
              <w:t xml:space="preserve">University of Kentucky Center for Poverty Research. 2019. “UKCPR National Welfare Data, 1980-2017.” Lexington, KY. </w:t>
            </w:r>
            <w:hyperlink r:id="rId344">
              <w:r>
                <w:rPr>
                  <w:color w:val="0462C1"/>
                  <w:sz w:val="20"/>
                  <w:u w:val="single" w:color="0462C1"/>
                </w:rPr>
                <w:t>http://ukcpr.org/resources/national-welfare-data</w:t>
              </w:r>
            </w:hyperlink>
          </w:p>
        </w:tc>
      </w:tr>
      <w:tr w:rsidR="0046798B" w14:paraId="2FD96B41" w14:textId="77777777">
        <w:trPr>
          <w:trHeight w:val="1235"/>
        </w:trPr>
        <w:tc>
          <w:tcPr>
            <w:tcW w:w="1711" w:type="dxa"/>
          </w:tcPr>
          <w:p w14:paraId="62796ED0" w14:textId="77777777" w:rsidR="0046798B" w:rsidRDefault="0046798B">
            <w:pPr>
              <w:pStyle w:val="TableParagraph"/>
            </w:pPr>
          </w:p>
          <w:p w14:paraId="679CF9C0" w14:textId="77777777" w:rsidR="0046798B" w:rsidRDefault="00903B5C">
            <w:pPr>
              <w:pStyle w:val="TableParagraph"/>
              <w:spacing w:before="130"/>
              <w:ind w:left="115" w:right="144"/>
              <w:rPr>
                <w:b/>
                <w:sz w:val="20"/>
              </w:rPr>
            </w:pPr>
            <w:r>
              <w:rPr>
                <w:b/>
                <w:sz w:val="20"/>
              </w:rPr>
              <w:t>verylowfoodsecu re</w:t>
            </w:r>
          </w:p>
        </w:tc>
        <w:tc>
          <w:tcPr>
            <w:tcW w:w="1596" w:type="dxa"/>
          </w:tcPr>
          <w:p w14:paraId="0C2632F0" w14:textId="77777777" w:rsidR="0046798B" w:rsidRDefault="0046798B">
            <w:pPr>
              <w:pStyle w:val="TableParagraph"/>
            </w:pPr>
          </w:p>
          <w:p w14:paraId="307CE227" w14:textId="77777777" w:rsidR="0046798B" w:rsidRDefault="00903B5C">
            <w:pPr>
              <w:pStyle w:val="TableParagraph"/>
              <w:spacing w:before="130"/>
              <w:ind w:left="114" w:right="285"/>
              <w:rPr>
                <w:sz w:val="20"/>
              </w:rPr>
            </w:pPr>
            <w:r>
              <w:rPr>
                <w:sz w:val="20"/>
              </w:rPr>
              <w:t>Very low food insecure</w:t>
            </w:r>
          </w:p>
        </w:tc>
        <w:tc>
          <w:tcPr>
            <w:tcW w:w="1285" w:type="dxa"/>
          </w:tcPr>
          <w:p w14:paraId="41FCB827" w14:textId="77777777" w:rsidR="0046798B" w:rsidRDefault="0046798B">
            <w:pPr>
              <w:pStyle w:val="TableParagraph"/>
            </w:pPr>
          </w:p>
          <w:p w14:paraId="17317CAC" w14:textId="77777777" w:rsidR="0046798B" w:rsidRDefault="0046798B">
            <w:pPr>
              <w:pStyle w:val="TableParagraph"/>
              <w:spacing w:before="4"/>
              <w:rPr>
                <w:sz w:val="21"/>
              </w:rPr>
            </w:pPr>
          </w:p>
          <w:p w14:paraId="6088976B" w14:textId="77777777" w:rsidR="0046798B" w:rsidRDefault="00903B5C">
            <w:pPr>
              <w:pStyle w:val="TableParagraph"/>
              <w:ind w:left="114"/>
              <w:rPr>
                <w:sz w:val="20"/>
              </w:rPr>
            </w:pPr>
            <w:r>
              <w:rPr>
                <w:sz w:val="20"/>
              </w:rPr>
              <w:t>2001–2017</w:t>
            </w:r>
          </w:p>
        </w:tc>
        <w:tc>
          <w:tcPr>
            <w:tcW w:w="3421" w:type="dxa"/>
          </w:tcPr>
          <w:p w14:paraId="7325C1E7" w14:textId="77777777" w:rsidR="0046798B" w:rsidRDefault="00903B5C">
            <w:pPr>
              <w:pStyle w:val="TableParagraph"/>
              <w:spacing w:before="38"/>
              <w:ind w:left="114" w:right="117"/>
              <w:rPr>
                <w:sz w:val="20"/>
              </w:rPr>
            </w:pPr>
            <w:r>
              <w:rPr>
                <w:sz w:val="20"/>
              </w:rPr>
              <w:t>Proportion of individuals deemed very low food insecure (i.e., answer “yes” to at least eight questions from the Core Food Security Model, Current Population Survey)</w:t>
            </w:r>
          </w:p>
        </w:tc>
        <w:tc>
          <w:tcPr>
            <w:tcW w:w="6482" w:type="dxa"/>
          </w:tcPr>
          <w:p w14:paraId="0A8CB98D" w14:textId="77777777" w:rsidR="0046798B" w:rsidRDefault="0046798B">
            <w:pPr>
              <w:pStyle w:val="TableParagraph"/>
              <w:spacing w:before="4"/>
              <w:rPr>
                <w:sz w:val="23"/>
              </w:rPr>
            </w:pPr>
          </w:p>
          <w:p w14:paraId="53B708CC" w14:textId="77777777" w:rsidR="0046798B" w:rsidRDefault="00903B5C">
            <w:pPr>
              <w:pStyle w:val="TableParagraph"/>
              <w:ind w:left="114" w:right="791"/>
              <w:rPr>
                <w:sz w:val="20"/>
              </w:rPr>
            </w:pPr>
            <w:r>
              <w:rPr>
                <w:sz w:val="20"/>
              </w:rPr>
              <w:t xml:space="preserve">University of Kentucky Center for Poverty Research. 2019. “UKCPR National Welfare Data, 1980-2017.” Lexington, KY. </w:t>
            </w:r>
            <w:hyperlink r:id="rId345">
              <w:r>
                <w:rPr>
                  <w:color w:val="0462C1"/>
                  <w:sz w:val="20"/>
                  <w:u w:val="single" w:color="0462C1"/>
                </w:rPr>
                <w:t>http://ukcpr.org/resources/national-welfare-data</w:t>
              </w:r>
            </w:hyperlink>
          </w:p>
        </w:tc>
      </w:tr>
    </w:tbl>
    <w:p w14:paraId="42F45ABB" w14:textId="77777777" w:rsidR="0046798B" w:rsidRDefault="0046798B">
      <w:pPr>
        <w:rPr>
          <w:sz w:val="20"/>
        </w:rPr>
        <w:sectPr w:rsidR="0046798B">
          <w:pgSz w:w="15840" w:h="12240" w:orient="landscape"/>
          <w:pgMar w:top="1220" w:right="300" w:bottom="980" w:left="820" w:header="730" w:footer="787" w:gutter="0"/>
          <w:cols w:space="720"/>
        </w:sectPr>
      </w:pPr>
    </w:p>
    <w:p w14:paraId="334981AA"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7E0CAAFC" w14:textId="77777777">
        <w:trPr>
          <w:trHeight w:val="775"/>
        </w:trPr>
        <w:tc>
          <w:tcPr>
            <w:tcW w:w="1711" w:type="dxa"/>
          </w:tcPr>
          <w:p w14:paraId="26002669" w14:textId="77777777" w:rsidR="0046798B" w:rsidRDefault="0046798B">
            <w:pPr>
              <w:pStyle w:val="TableParagraph"/>
              <w:spacing w:before="9"/>
              <w:rPr>
                <w:sz w:val="23"/>
              </w:rPr>
            </w:pPr>
          </w:p>
          <w:p w14:paraId="6ECE40D7" w14:textId="77777777" w:rsidR="0046798B" w:rsidRDefault="00903B5C">
            <w:pPr>
              <w:pStyle w:val="TableParagraph"/>
              <w:ind w:left="115"/>
              <w:rPr>
                <w:b/>
                <w:sz w:val="20"/>
              </w:rPr>
            </w:pPr>
            <w:r>
              <w:rPr>
                <w:b/>
                <w:sz w:val="20"/>
              </w:rPr>
              <w:t>foodstamp_case</w:t>
            </w:r>
          </w:p>
        </w:tc>
        <w:tc>
          <w:tcPr>
            <w:tcW w:w="1596" w:type="dxa"/>
          </w:tcPr>
          <w:p w14:paraId="799A68DF" w14:textId="77777777" w:rsidR="0046798B" w:rsidRDefault="00903B5C">
            <w:pPr>
              <w:pStyle w:val="TableParagraph"/>
              <w:spacing w:before="43"/>
              <w:ind w:left="114" w:right="407"/>
              <w:rPr>
                <w:sz w:val="20"/>
              </w:rPr>
            </w:pPr>
            <w:r>
              <w:rPr>
                <w:sz w:val="20"/>
              </w:rPr>
              <w:t>Food stamp/SNAP caseloads</w:t>
            </w:r>
          </w:p>
        </w:tc>
        <w:tc>
          <w:tcPr>
            <w:tcW w:w="1285" w:type="dxa"/>
          </w:tcPr>
          <w:p w14:paraId="33B61B17" w14:textId="77777777" w:rsidR="0046798B" w:rsidRDefault="0046798B">
            <w:pPr>
              <w:pStyle w:val="TableParagraph"/>
              <w:spacing w:before="9"/>
              <w:rPr>
                <w:sz w:val="23"/>
              </w:rPr>
            </w:pPr>
          </w:p>
          <w:p w14:paraId="6C3A005E" w14:textId="77777777" w:rsidR="0046798B" w:rsidRDefault="00903B5C">
            <w:pPr>
              <w:pStyle w:val="TableParagraph"/>
              <w:ind w:left="114"/>
              <w:rPr>
                <w:sz w:val="20"/>
              </w:rPr>
            </w:pPr>
            <w:r>
              <w:rPr>
                <w:sz w:val="20"/>
              </w:rPr>
              <w:t>1980–2017</w:t>
            </w:r>
          </w:p>
        </w:tc>
        <w:tc>
          <w:tcPr>
            <w:tcW w:w="3421" w:type="dxa"/>
          </w:tcPr>
          <w:p w14:paraId="082D0D23" w14:textId="77777777" w:rsidR="0046798B" w:rsidRDefault="00903B5C">
            <w:pPr>
              <w:pStyle w:val="TableParagraph"/>
              <w:spacing w:before="43"/>
              <w:ind w:left="114" w:right="620"/>
              <w:jc w:val="both"/>
              <w:rPr>
                <w:sz w:val="20"/>
              </w:rPr>
            </w:pPr>
            <w:r>
              <w:rPr>
                <w:sz w:val="20"/>
              </w:rPr>
              <w:t xml:space="preserve">Average monthly number of </w:t>
            </w:r>
            <w:r>
              <w:rPr>
                <w:spacing w:val="-4"/>
                <w:sz w:val="20"/>
              </w:rPr>
              <w:t xml:space="preserve">total </w:t>
            </w:r>
            <w:r>
              <w:rPr>
                <w:sz w:val="20"/>
              </w:rPr>
              <w:t>caseloads for food stamps/SNAP within a year.</w:t>
            </w:r>
          </w:p>
        </w:tc>
        <w:tc>
          <w:tcPr>
            <w:tcW w:w="6482" w:type="dxa"/>
          </w:tcPr>
          <w:p w14:paraId="435DBC46" w14:textId="77777777" w:rsidR="0046798B" w:rsidRDefault="00903B5C">
            <w:pPr>
              <w:pStyle w:val="TableParagraph"/>
              <w:spacing w:before="43"/>
              <w:ind w:left="114" w:right="791"/>
              <w:rPr>
                <w:sz w:val="20"/>
              </w:rPr>
            </w:pPr>
            <w:r>
              <w:rPr>
                <w:sz w:val="20"/>
              </w:rPr>
              <w:t xml:space="preserve">University of Kentucky Center for Poverty Research. 2019. “UKCPR National Welfare Data, 1980-2017.” Lexington, KY. </w:t>
            </w:r>
            <w:hyperlink r:id="rId346">
              <w:r>
                <w:rPr>
                  <w:color w:val="0462C1"/>
                  <w:sz w:val="20"/>
                  <w:u w:val="single" w:color="0462C1"/>
                </w:rPr>
                <w:t>http://ukcpr.org/resources/national-welfare-data</w:t>
              </w:r>
            </w:hyperlink>
          </w:p>
        </w:tc>
      </w:tr>
      <w:tr w:rsidR="0046798B" w14:paraId="4434C005" w14:textId="77777777">
        <w:trPr>
          <w:trHeight w:val="775"/>
        </w:trPr>
        <w:tc>
          <w:tcPr>
            <w:tcW w:w="1711" w:type="dxa"/>
          </w:tcPr>
          <w:p w14:paraId="4708726B" w14:textId="77777777" w:rsidR="0046798B" w:rsidRDefault="0046798B">
            <w:pPr>
              <w:pStyle w:val="TableParagraph"/>
              <w:spacing w:before="8"/>
              <w:rPr>
                <w:sz w:val="23"/>
              </w:rPr>
            </w:pPr>
          </w:p>
          <w:p w14:paraId="2A1A49DD" w14:textId="77777777" w:rsidR="0046798B" w:rsidRDefault="00903B5C">
            <w:pPr>
              <w:pStyle w:val="TableParagraph"/>
              <w:spacing w:before="1"/>
              <w:ind w:left="115"/>
              <w:rPr>
                <w:b/>
                <w:sz w:val="20"/>
              </w:rPr>
            </w:pPr>
            <w:r>
              <w:rPr>
                <w:b/>
                <w:sz w:val="20"/>
              </w:rPr>
              <w:t>foodstamp_rep</w:t>
            </w:r>
          </w:p>
        </w:tc>
        <w:tc>
          <w:tcPr>
            <w:tcW w:w="1596" w:type="dxa"/>
          </w:tcPr>
          <w:p w14:paraId="4D9078B4" w14:textId="77777777" w:rsidR="0046798B" w:rsidRDefault="00903B5C">
            <w:pPr>
              <w:pStyle w:val="TableParagraph"/>
              <w:spacing w:before="43"/>
              <w:ind w:left="114" w:right="407"/>
              <w:rPr>
                <w:sz w:val="20"/>
              </w:rPr>
            </w:pPr>
            <w:r>
              <w:rPr>
                <w:sz w:val="20"/>
              </w:rPr>
              <w:t>Food stamp/SNAP recipients</w:t>
            </w:r>
          </w:p>
        </w:tc>
        <w:tc>
          <w:tcPr>
            <w:tcW w:w="1285" w:type="dxa"/>
          </w:tcPr>
          <w:p w14:paraId="3A736DED" w14:textId="77777777" w:rsidR="0046798B" w:rsidRDefault="0046798B">
            <w:pPr>
              <w:pStyle w:val="TableParagraph"/>
              <w:spacing w:before="8"/>
              <w:rPr>
                <w:sz w:val="23"/>
              </w:rPr>
            </w:pPr>
          </w:p>
          <w:p w14:paraId="794D0372" w14:textId="77777777" w:rsidR="0046798B" w:rsidRDefault="00903B5C">
            <w:pPr>
              <w:pStyle w:val="TableParagraph"/>
              <w:spacing w:before="1"/>
              <w:ind w:left="114"/>
              <w:rPr>
                <w:sz w:val="20"/>
              </w:rPr>
            </w:pPr>
            <w:r>
              <w:rPr>
                <w:sz w:val="20"/>
              </w:rPr>
              <w:t>1980–2017</w:t>
            </w:r>
          </w:p>
        </w:tc>
        <w:tc>
          <w:tcPr>
            <w:tcW w:w="3421" w:type="dxa"/>
          </w:tcPr>
          <w:p w14:paraId="1A8A3144" w14:textId="77777777" w:rsidR="0046798B" w:rsidRDefault="00903B5C">
            <w:pPr>
              <w:pStyle w:val="TableParagraph"/>
              <w:spacing w:before="43"/>
              <w:ind w:left="114" w:right="244"/>
              <w:rPr>
                <w:sz w:val="20"/>
              </w:rPr>
            </w:pPr>
            <w:r>
              <w:rPr>
                <w:sz w:val="20"/>
              </w:rPr>
              <w:t>Average monthly number of persons receiving food stamps/SNAP within a year.</w:t>
            </w:r>
          </w:p>
        </w:tc>
        <w:tc>
          <w:tcPr>
            <w:tcW w:w="6482" w:type="dxa"/>
          </w:tcPr>
          <w:p w14:paraId="4290B321" w14:textId="77777777" w:rsidR="0046798B" w:rsidRDefault="00903B5C">
            <w:pPr>
              <w:pStyle w:val="TableParagraph"/>
              <w:spacing w:before="43"/>
              <w:ind w:left="114" w:right="791"/>
              <w:rPr>
                <w:sz w:val="20"/>
              </w:rPr>
            </w:pPr>
            <w:r>
              <w:rPr>
                <w:sz w:val="20"/>
              </w:rPr>
              <w:t xml:space="preserve">University of Kentucky Center for Poverty Research. 2019. “UKCPR National Welfare Data, 1980-2017.” Lexington, KY. </w:t>
            </w:r>
            <w:hyperlink r:id="rId347">
              <w:r>
                <w:rPr>
                  <w:color w:val="0462C1"/>
                  <w:sz w:val="20"/>
                  <w:u w:val="single" w:color="0462C1"/>
                </w:rPr>
                <w:t>http://ukcpr.org/resources/national-welfare-data</w:t>
              </w:r>
            </w:hyperlink>
          </w:p>
        </w:tc>
      </w:tr>
      <w:tr w:rsidR="0046798B" w14:paraId="79CAAC3C" w14:textId="77777777">
        <w:trPr>
          <w:trHeight w:val="780"/>
        </w:trPr>
        <w:tc>
          <w:tcPr>
            <w:tcW w:w="1711" w:type="dxa"/>
          </w:tcPr>
          <w:p w14:paraId="36B76126" w14:textId="77777777" w:rsidR="0046798B" w:rsidRDefault="0046798B">
            <w:pPr>
              <w:pStyle w:val="TableParagraph"/>
              <w:spacing w:before="9"/>
              <w:rPr>
                <w:sz w:val="23"/>
              </w:rPr>
            </w:pPr>
          </w:p>
          <w:p w14:paraId="3416C6C6" w14:textId="77777777" w:rsidR="0046798B" w:rsidRDefault="00903B5C">
            <w:pPr>
              <w:pStyle w:val="TableParagraph"/>
              <w:ind w:left="115"/>
              <w:rPr>
                <w:b/>
                <w:sz w:val="20"/>
              </w:rPr>
            </w:pPr>
            <w:r>
              <w:rPr>
                <w:b/>
                <w:sz w:val="20"/>
              </w:rPr>
              <w:t>nslp_free</w:t>
            </w:r>
          </w:p>
        </w:tc>
        <w:tc>
          <w:tcPr>
            <w:tcW w:w="1596" w:type="dxa"/>
          </w:tcPr>
          <w:p w14:paraId="68D456D8" w14:textId="77777777" w:rsidR="0046798B" w:rsidRDefault="00903B5C">
            <w:pPr>
              <w:pStyle w:val="TableParagraph"/>
              <w:spacing w:before="159"/>
              <w:ind w:left="114" w:right="441"/>
              <w:rPr>
                <w:sz w:val="20"/>
              </w:rPr>
            </w:pPr>
            <w:r>
              <w:rPr>
                <w:sz w:val="20"/>
              </w:rPr>
              <w:t>NSLP free participation</w:t>
            </w:r>
          </w:p>
        </w:tc>
        <w:tc>
          <w:tcPr>
            <w:tcW w:w="1285" w:type="dxa"/>
          </w:tcPr>
          <w:p w14:paraId="35149029" w14:textId="77777777" w:rsidR="0046798B" w:rsidRDefault="0046798B">
            <w:pPr>
              <w:pStyle w:val="TableParagraph"/>
              <w:spacing w:before="9"/>
              <w:rPr>
                <w:sz w:val="23"/>
              </w:rPr>
            </w:pPr>
          </w:p>
          <w:p w14:paraId="70EB39C0" w14:textId="77777777" w:rsidR="0046798B" w:rsidRDefault="00903B5C">
            <w:pPr>
              <w:pStyle w:val="TableParagraph"/>
              <w:ind w:left="114"/>
              <w:rPr>
                <w:sz w:val="20"/>
              </w:rPr>
            </w:pPr>
            <w:r>
              <w:rPr>
                <w:sz w:val="20"/>
              </w:rPr>
              <w:t>1989–2017</w:t>
            </w:r>
          </w:p>
        </w:tc>
        <w:tc>
          <w:tcPr>
            <w:tcW w:w="3421" w:type="dxa"/>
          </w:tcPr>
          <w:p w14:paraId="0B13782F" w14:textId="77777777" w:rsidR="0046798B" w:rsidRDefault="00903B5C">
            <w:pPr>
              <w:pStyle w:val="TableParagraph"/>
              <w:spacing w:before="159"/>
              <w:ind w:left="114" w:right="410"/>
              <w:rPr>
                <w:sz w:val="20"/>
              </w:rPr>
            </w:pPr>
            <w:r>
              <w:rPr>
                <w:sz w:val="20"/>
              </w:rPr>
              <w:t>Participation in the National School Lunch Program (free)</w:t>
            </w:r>
          </w:p>
        </w:tc>
        <w:tc>
          <w:tcPr>
            <w:tcW w:w="6482" w:type="dxa"/>
          </w:tcPr>
          <w:p w14:paraId="04F65940" w14:textId="77777777" w:rsidR="0046798B" w:rsidRDefault="00903B5C">
            <w:pPr>
              <w:pStyle w:val="TableParagraph"/>
              <w:spacing w:before="44"/>
              <w:ind w:left="114" w:right="791"/>
              <w:rPr>
                <w:sz w:val="20"/>
              </w:rPr>
            </w:pPr>
            <w:r>
              <w:rPr>
                <w:sz w:val="20"/>
              </w:rPr>
              <w:t xml:space="preserve">University of Kentucky Center for Poverty Research. 2019. “UKCPR National Welfare Data, 1980-2017.” Lexington, KY. </w:t>
            </w:r>
            <w:hyperlink r:id="rId348">
              <w:r>
                <w:rPr>
                  <w:color w:val="0462C1"/>
                  <w:sz w:val="20"/>
                  <w:u w:val="single" w:color="0462C1"/>
                </w:rPr>
                <w:t>http://ukcpr.org/resources/national-welfare-data</w:t>
              </w:r>
            </w:hyperlink>
          </w:p>
        </w:tc>
      </w:tr>
      <w:tr w:rsidR="0046798B" w14:paraId="32FD13B3" w14:textId="77777777">
        <w:trPr>
          <w:trHeight w:val="775"/>
        </w:trPr>
        <w:tc>
          <w:tcPr>
            <w:tcW w:w="1711" w:type="dxa"/>
          </w:tcPr>
          <w:p w14:paraId="6F3E7EA4" w14:textId="77777777" w:rsidR="0046798B" w:rsidRDefault="0046798B">
            <w:pPr>
              <w:pStyle w:val="TableParagraph"/>
              <w:spacing w:before="3"/>
              <w:rPr>
                <w:sz w:val="23"/>
              </w:rPr>
            </w:pPr>
          </w:p>
          <w:p w14:paraId="4B8D5BBA" w14:textId="77777777" w:rsidR="0046798B" w:rsidRDefault="00903B5C">
            <w:pPr>
              <w:pStyle w:val="TableParagraph"/>
              <w:spacing w:before="1"/>
              <w:ind w:left="115"/>
              <w:rPr>
                <w:b/>
                <w:sz w:val="20"/>
              </w:rPr>
            </w:pPr>
            <w:r>
              <w:rPr>
                <w:b/>
                <w:sz w:val="20"/>
              </w:rPr>
              <w:t>nslp_reduced</w:t>
            </w:r>
          </w:p>
        </w:tc>
        <w:tc>
          <w:tcPr>
            <w:tcW w:w="1596" w:type="dxa"/>
          </w:tcPr>
          <w:p w14:paraId="0904DC0B" w14:textId="77777777" w:rsidR="0046798B" w:rsidRDefault="00903B5C">
            <w:pPr>
              <w:pStyle w:val="TableParagraph"/>
              <w:spacing w:before="153"/>
              <w:ind w:left="114" w:right="280"/>
              <w:rPr>
                <w:sz w:val="20"/>
              </w:rPr>
            </w:pPr>
            <w:r>
              <w:rPr>
                <w:sz w:val="20"/>
              </w:rPr>
              <w:t>NSLP reduced participation</w:t>
            </w:r>
          </w:p>
        </w:tc>
        <w:tc>
          <w:tcPr>
            <w:tcW w:w="1285" w:type="dxa"/>
          </w:tcPr>
          <w:p w14:paraId="1A7A53F0" w14:textId="77777777" w:rsidR="0046798B" w:rsidRDefault="0046798B">
            <w:pPr>
              <w:pStyle w:val="TableParagraph"/>
              <w:spacing w:before="3"/>
              <w:rPr>
                <w:sz w:val="23"/>
              </w:rPr>
            </w:pPr>
          </w:p>
          <w:p w14:paraId="61F2CBAB" w14:textId="77777777" w:rsidR="0046798B" w:rsidRDefault="00903B5C">
            <w:pPr>
              <w:pStyle w:val="TableParagraph"/>
              <w:spacing w:before="1"/>
              <w:ind w:left="114"/>
              <w:rPr>
                <w:sz w:val="20"/>
              </w:rPr>
            </w:pPr>
            <w:r>
              <w:rPr>
                <w:sz w:val="20"/>
              </w:rPr>
              <w:t>1989–2017</w:t>
            </w:r>
          </w:p>
        </w:tc>
        <w:tc>
          <w:tcPr>
            <w:tcW w:w="3421" w:type="dxa"/>
          </w:tcPr>
          <w:p w14:paraId="3A7C42C7" w14:textId="77777777" w:rsidR="0046798B" w:rsidRDefault="00903B5C">
            <w:pPr>
              <w:pStyle w:val="TableParagraph"/>
              <w:spacing w:before="153"/>
              <w:ind w:left="114" w:right="410"/>
              <w:rPr>
                <w:sz w:val="20"/>
              </w:rPr>
            </w:pPr>
            <w:r>
              <w:rPr>
                <w:sz w:val="20"/>
              </w:rPr>
              <w:t>Participation in the National School Lunch Program (reduced)</w:t>
            </w:r>
          </w:p>
        </w:tc>
        <w:tc>
          <w:tcPr>
            <w:tcW w:w="6482" w:type="dxa"/>
          </w:tcPr>
          <w:p w14:paraId="4C1A9619" w14:textId="77777777" w:rsidR="0046798B" w:rsidRDefault="00903B5C">
            <w:pPr>
              <w:pStyle w:val="TableParagraph"/>
              <w:spacing w:before="38"/>
              <w:ind w:left="114" w:right="791"/>
              <w:rPr>
                <w:sz w:val="20"/>
              </w:rPr>
            </w:pPr>
            <w:r>
              <w:rPr>
                <w:sz w:val="20"/>
              </w:rPr>
              <w:t xml:space="preserve">University of Kentucky Center for Poverty Research. 2019. “UKCPR National Welfare Data, 1980-2017.” Lexington, KY. </w:t>
            </w:r>
            <w:hyperlink r:id="rId349">
              <w:r>
                <w:rPr>
                  <w:color w:val="0462C1"/>
                  <w:sz w:val="20"/>
                  <w:u w:val="single" w:color="0462C1"/>
                </w:rPr>
                <w:t>http://ukcpr.org/resources/national-welfare-data</w:t>
              </w:r>
            </w:hyperlink>
          </w:p>
        </w:tc>
      </w:tr>
      <w:tr w:rsidR="0046798B" w14:paraId="6D451F6E" w14:textId="77777777">
        <w:trPr>
          <w:trHeight w:val="775"/>
        </w:trPr>
        <w:tc>
          <w:tcPr>
            <w:tcW w:w="1711" w:type="dxa"/>
          </w:tcPr>
          <w:p w14:paraId="31E992F8" w14:textId="77777777" w:rsidR="0046798B" w:rsidRDefault="0046798B">
            <w:pPr>
              <w:pStyle w:val="TableParagraph"/>
              <w:spacing w:before="3"/>
              <w:rPr>
                <w:sz w:val="23"/>
              </w:rPr>
            </w:pPr>
          </w:p>
          <w:p w14:paraId="68B7FEDF" w14:textId="77777777" w:rsidR="0046798B" w:rsidRDefault="00903B5C">
            <w:pPr>
              <w:pStyle w:val="TableParagraph"/>
              <w:spacing w:before="1"/>
              <w:ind w:left="115"/>
              <w:rPr>
                <w:b/>
                <w:sz w:val="20"/>
              </w:rPr>
            </w:pPr>
            <w:r>
              <w:rPr>
                <w:b/>
                <w:sz w:val="20"/>
              </w:rPr>
              <w:t>nslp_total</w:t>
            </w:r>
          </w:p>
        </w:tc>
        <w:tc>
          <w:tcPr>
            <w:tcW w:w="1596" w:type="dxa"/>
          </w:tcPr>
          <w:p w14:paraId="75B9957D" w14:textId="77777777" w:rsidR="0046798B" w:rsidRDefault="00903B5C">
            <w:pPr>
              <w:pStyle w:val="TableParagraph"/>
              <w:spacing w:before="153"/>
              <w:ind w:left="114" w:right="441"/>
              <w:rPr>
                <w:sz w:val="20"/>
              </w:rPr>
            </w:pPr>
            <w:r>
              <w:rPr>
                <w:sz w:val="20"/>
              </w:rPr>
              <w:t>Total NSLP participation</w:t>
            </w:r>
          </w:p>
        </w:tc>
        <w:tc>
          <w:tcPr>
            <w:tcW w:w="1285" w:type="dxa"/>
          </w:tcPr>
          <w:p w14:paraId="6BA8CC80" w14:textId="77777777" w:rsidR="0046798B" w:rsidRDefault="0046798B">
            <w:pPr>
              <w:pStyle w:val="TableParagraph"/>
              <w:spacing w:before="3"/>
              <w:rPr>
                <w:sz w:val="23"/>
              </w:rPr>
            </w:pPr>
          </w:p>
          <w:p w14:paraId="45BA4083" w14:textId="77777777" w:rsidR="0046798B" w:rsidRDefault="00903B5C">
            <w:pPr>
              <w:pStyle w:val="TableParagraph"/>
              <w:spacing w:before="1"/>
              <w:ind w:left="114"/>
              <w:rPr>
                <w:sz w:val="20"/>
              </w:rPr>
            </w:pPr>
            <w:r>
              <w:rPr>
                <w:sz w:val="20"/>
              </w:rPr>
              <w:t>1989–2017</w:t>
            </w:r>
          </w:p>
        </w:tc>
        <w:tc>
          <w:tcPr>
            <w:tcW w:w="3421" w:type="dxa"/>
          </w:tcPr>
          <w:p w14:paraId="1549BEBB" w14:textId="77777777" w:rsidR="0046798B" w:rsidRDefault="00903B5C">
            <w:pPr>
              <w:pStyle w:val="TableParagraph"/>
              <w:spacing w:before="153"/>
              <w:ind w:left="114" w:right="555"/>
              <w:rPr>
                <w:sz w:val="20"/>
              </w:rPr>
            </w:pPr>
            <w:r>
              <w:rPr>
                <w:sz w:val="20"/>
              </w:rPr>
              <w:t>Total participation in the National School Lunch Program</w:t>
            </w:r>
          </w:p>
        </w:tc>
        <w:tc>
          <w:tcPr>
            <w:tcW w:w="6482" w:type="dxa"/>
          </w:tcPr>
          <w:p w14:paraId="4926B6F1" w14:textId="77777777" w:rsidR="0046798B" w:rsidRDefault="00903B5C">
            <w:pPr>
              <w:pStyle w:val="TableParagraph"/>
              <w:spacing w:before="38"/>
              <w:ind w:left="114" w:right="791"/>
              <w:rPr>
                <w:sz w:val="20"/>
              </w:rPr>
            </w:pPr>
            <w:r>
              <w:rPr>
                <w:sz w:val="20"/>
              </w:rPr>
              <w:t xml:space="preserve">University of Kentucky Center for Poverty Research. 2019. “UKCPR National Welfare Data, 1980-2017.” Lexington, KY. </w:t>
            </w:r>
            <w:hyperlink r:id="rId350">
              <w:r>
                <w:rPr>
                  <w:color w:val="0462C1"/>
                  <w:sz w:val="20"/>
                  <w:u w:val="single" w:color="0462C1"/>
                </w:rPr>
                <w:t>http://ukcpr.org/resources/national-welfare-data</w:t>
              </w:r>
            </w:hyperlink>
          </w:p>
        </w:tc>
      </w:tr>
      <w:tr w:rsidR="0046798B" w14:paraId="403A316D" w14:textId="77777777">
        <w:trPr>
          <w:trHeight w:val="775"/>
        </w:trPr>
        <w:tc>
          <w:tcPr>
            <w:tcW w:w="1711" w:type="dxa"/>
          </w:tcPr>
          <w:p w14:paraId="0FD39DAC" w14:textId="77777777" w:rsidR="0046798B" w:rsidRDefault="0046798B">
            <w:pPr>
              <w:pStyle w:val="TableParagraph"/>
              <w:spacing w:before="9"/>
              <w:rPr>
                <w:sz w:val="23"/>
              </w:rPr>
            </w:pPr>
          </w:p>
          <w:p w14:paraId="445499BD" w14:textId="77777777" w:rsidR="0046798B" w:rsidRDefault="00903B5C">
            <w:pPr>
              <w:pStyle w:val="TableParagraph"/>
              <w:ind w:left="115"/>
              <w:rPr>
                <w:b/>
                <w:sz w:val="20"/>
              </w:rPr>
            </w:pPr>
            <w:r>
              <w:rPr>
                <w:b/>
                <w:sz w:val="20"/>
              </w:rPr>
              <w:t>sbp_free</w:t>
            </w:r>
          </w:p>
        </w:tc>
        <w:tc>
          <w:tcPr>
            <w:tcW w:w="1596" w:type="dxa"/>
          </w:tcPr>
          <w:p w14:paraId="7C9AC1B8" w14:textId="77777777" w:rsidR="0046798B" w:rsidRDefault="00903B5C">
            <w:pPr>
              <w:pStyle w:val="TableParagraph"/>
              <w:spacing w:before="158"/>
              <w:ind w:left="114" w:right="441"/>
              <w:rPr>
                <w:sz w:val="20"/>
              </w:rPr>
            </w:pPr>
            <w:r>
              <w:rPr>
                <w:sz w:val="20"/>
              </w:rPr>
              <w:t>SBP free participation</w:t>
            </w:r>
          </w:p>
        </w:tc>
        <w:tc>
          <w:tcPr>
            <w:tcW w:w="1285" w:type="dxa"/>
          </w:tcPr>
          <w:p w14:paraId="5806BCC8" w14:textId="77777777" w:rsidR="0046798B" w:rsidRDefault="0046798B">
            <w:pPr>
              <w:pStyle w:val="TableParagraph"/>
              <w:spacing w:before="9"/>
              <w:rPr>
                <w:sz w:val="23"/>
              </w:rPr>
            </w:pPr>
          </w:p>
          <w:p w14:paraId="15853820" w14:textId="77777777" w:rsidR="0046798B" w:rsidRDefault="00903B5C">
            <w:pPr>
              <w:pStyle w:val="TableParagraph"/>
              <w:ind w:left="114"/>
              <w:rPr>
                <w:sz w:val="20"/>
              </w:rPr>
            </w:pPr>
            <w:r>
              <w:rPr>
                <w:sz w:val="20"/>
              </w:rPr>
              <w:t>1989–2017</w:t>
            </w:r>
          </w:p>
        </w:tc>
        <w:tc>
          <w:tcPr>
            <w:tcW w:w="3421" w:type="dxa"/>
          </w:tcPr>
          <w:p w14:paraId="32C6D395" w14:textId="77777777" w:rsidR="0046798B" w:rsidRDefault="00903B5C">
            <w:pPr>
              <w:pStyle w:val="TableParagraph"/>
              <w:spacing w:before="158"/>
              <w:ind w:left="114" w:right="333"/>
              <w:rPr>
                <w:sz w:val="20"/>
              </w:rPr>
            </w:pPr>
            <w:r>
              <w:rPr>
                <w:sz w:val="20"/>
              </w:rPr>
              <w:t>Participation in the School Breakfast Program (free)</w:t>
            </w:r>
          </w:p>
        </w:tc>
        <w:tc>
          <w:tcPr>
            <w:tcW w:w="6482" w:type="dxa"/>
          </w:tcPr>
          <w:p w14:paraId="10AFB833" w14:textId="77777777" w:rsidR="0046798B" w:rsidRDefault="00903B5C">
            <w:pPr>
              <w:pStyle w:val="TableParagraph"/>
              <w:spacing w:before="43"/>
              <w:ind w:left="114" w:right="791"/>
              <w:rPr>
                <w:sz w:val="20"/>
              </w:rPr>
            </w:pPr>
            <w:r>
              <w:rPr>
                <w:sz w:val="20"/>
              </w:rPr>
              <w:t xml:space="preserve">University of Kentucky Center for Poverty Research. 2019. “UKCPR National Welfare Data, 1980-2017.” Lexington, KY. </w:t>
            </w:r>
            <w:hyperlink r:id="rId351">
              <w:r>
                <w:rPr>
                  <w:color w:val="0462C1"/>
                  <w:sz w:val="20"/>
                  <w:u w:val="single" w:color="0462C1"/>
                </w:rPr>
                <w:t>http://ukcpr.org/resources/national-welfare-data</w:t>
              </w:r>
            </w:hyperlink>
          </w:p>
        </w:tc>
      </w:tr>
      <w:tr w:rsidR="0046798B" w14:paraId="0961DB37" w14:textId="77777777">
        <w:trPr>
          <w:trHeight w:val="775"/>
        </w:trPr>
        <w:tc>
          <w:tcPr>
            <w:tcW w:w="1711" w:type="dxa"/>
          </w:tcPr>
          <w:p w14:paraId="13870595" w14:textId="77777777" w:rsidR="0046798B" w:rsidRDefault="0046798B">
            <w:pPr>
              <w:pStyle w:val="TableParagraph"/>
              <w:spacing w:before="8"/>
              <w:rPr>
                <w:sz w:val="23"/>
              </w:rPr>
            </w:pPr>
          </w:p>
          <w:p w14:paraId="3DEDD695" w14:textId="77777777" w:rsidR="0046798B" w:rsidRDefault="00903B5C">
            <w:pPr>
              <w:pStyle w:val="TableParagraph"/>
              <w:spacing w:before="1"/>
              <w:ind w:left="115"/>
              <w:rPr>
                <w:b/>
                <w:sz w:val="20"/>
              </w:rPr>
            </w:pPr>
            <w:r>
              <w:rPr>
                <w:b/>
                <w:sz w:val="20"/>
              </w:rPr>
              <w:t>sbp_reduced</w:t>
            </w:r>
          </w:p>
        </w:tc>
        <w:tc>
          <w:tcPr>
            <w:tcW w:w="1596" w:type="dxa"/>
          </w:tcPr>
          <w:p w14:paraId="684DE778" w14:textId="77777777" w:rsidR="0046798B" w:rsidRDefault="00903B5C">
            <w:pPr>
              <w:pStyle w:val="TableParagraph"/>
              <w:spacing w:before="158"/>
              <w:ind w:left="114" w:right="413"/>
              <w:rPr>
                <w:sz w:val="20"/>
              </w:rPr>
            </w:pPr>
            <w:r>
              <w:rPr>
                <w:sz w:val="20"/>
              </w:rPr>
              <w:t>SBP reduced participation</w:t>
            </w:r>
          </w:p>
        </w:tc>
        <w:tc>
          <w:tcPr>
            <w:tcW w:w="1285" w:type="dxa"/>
          </w:tcPr>
          <w:p w14:paraId="0FB5E287" w14:textId="77777777" w:rsidR="0046798B" w:rsidRDefault="0046798B">
            <w:pPr>
              <w:pStyle w:val="TableParagraph"/>
              <w:spacing w:before="8"/>
              <w:rPr>
                <w:sz w:val="23"/>
              </w:rPr>
            </w:pPr>
          </w:p>
          <w:p w14:paraId="4FC01927" w14:textId="77777777" w:rsidR="0046798B" w:rsidRDefault="00903B5C">
            <w:pPr>
              <w:pStyle w:val="TableParagraph"/>
              <w:spacing w:before="1"/>
              <w:ind w:left="114"/>
              <w:rPr>
                <w:sz w:val="20"/>
              </w:rPr>
            </w:pPr>
            <w:r>
              <w:rPr>
                <w:sz w:val="20"/>
              </w:rPr>
              <w:t>1989–2017</w:t>
            </w:r>
          </w:p>
        </w:tc>
        <w:tc>
          <w:tcPr>
            <w:tcW w:w="3421" w:type="dxa"/>
          </w:tcPr>
          <w:p w14:paraId="1791CB48" w14:textId="77777777" w:rsidR="0046798B" w:rsidRDefault="00903B5C">
            <w:pPr>
              <w:pStyle w:val="TableParagraph"/>
              <w:spacing w:before="158"/>
              <w:ind w:left="114" w:right="333"/>
              <w:rPr>
                <w:sz w:val="20"/>
              </w:rPr>
            </w:pPr>
            <w:r>
              <w:rPr>
                <w:sz w:val="20"/>
              </w:rPr>
              <w:t>Participation in the School Breakfast Program (reduced)</w:t>
            </w:r>
          </w:p>
        </w:tc>
        <w:tc>
          <w:tcPr>
            <w:tcW w:w="6482" w:type="dxa"/>
          </w:tcPr>
          <w:p w14:paraId="4F304207" w14:textId="77777777" w:rsidR="0046798B" w:rsidRDefault="00903B5C">
            <w:pPr>
              <w:pStyle w:val="TableParagraph"/>
              <w:spacing w:before="43"/>
              <w:ind w:left="114" w:right="791"/>
              <w:rPr>
                <w:sz w:val="20"/>
              </w:rPr>
            </w:pPr>
            <w:r>
              <w:rPr>
                <w:sz w:val="20"/>
              </w:rPr>
              <w:t xml:space="preserve">University of Kentucky Center for Poverty Research. 2019. “UKCPR National Welfare Data, 1980-2017.” Lexington, KY. </w:t>
            </w:r>
            <w:hyperlink r:id="rId352">
              <w:r>
                <w:rPr>
                  <w:color w:val="0462C1"/>
                  <w:sz w:val="20"/>
                  <w:u w:val="single" w:color="0462C1"/>
                </w:rPr>
                <w:t>http://ukcpr.org/resources/national-welfare-data</w:t>
              </w:r>
            </w:hyperlink>
          </w:p>
        </w:tc>
      </w:tr>
      <w:tr w:rsidR="0046798B" w14:paraId="38F3A202" w14:textId="77777777">
        <w:trPr>
          <w:trHeight w:val="780"/>
        </w:trPr>
        <w:tc>
          <w:tcPr>
            <w:tcW w:w="1711" w:type="dxa"/>
          </w:tcPr>
          <w:p w14:paraId="0A238A33" w14:textId="77777777" w:rsidR="0046798B" w:rsidRDefault="0046798B">
            <w:pPr>
              <w:pStyle w:val="TableParagraph"/>
              <w:spacing w:before="8"/>
              <w:rPr>
                <w:sz w:val="23"/>
              </w:rPr>
            </w:pPr>
          </w:p>
          <w:p w14:paraId="1079895E" w14:textId="77777777" w:rsidR="0046798B" w:rsidRDefault="00903B5C">
            <w:pPr>
              <w:pStyle w:val="TableParagraph"/>
              <w:spacing w:before="1"/>
              <w:ind w:left="115"/>
              <w:rPr>
                <w:b/>
                <w:sz w:val="20"/>
              </w:rPr>
            </w:pPr>
            <w:r>
              <w:rPr>
                <w:b/>
                <w:sz w:val="20"/>
              </w:rPr>
              <w:t>sbp_total</w:t>
            </w:r>
          </w:p>
        </w:tc>
        <w:tc>
          <w:tcPr>
            <w:tcW w:w="1596" w:type="dxa"/>
          </w:tcPr>
          <w:p w14:paraId="21978F87" w14:textId="77777777" w:rsidR="0046798B" w:rsidRDefault="00903B5C">
            <w:pPr>
              <w:pStyle w:val="TableParagraph"/>
              <w:spacing w:before="158"/>
              <w:ind w:left="114" w:right="441"/>
              <w:rPr>
                <w:sz w:val="20"/>
              </w:rPr>
            </w:pPr>
            <w:r>
              <w:rPr>
                <w:sz w:val="20"/>
              </w:rPr>
              <w:t>Total SBP participation</w:t>
            </w:r>
          </w:p>
        </w:tc>
        <w:tc>
          <w:tcPr>
            <w:tcW w:w="1285" w:type="dxa"/>
          </w:tcPr>
          <w:p w14:paraId="4E69E03F" w14:textId="77777777" w:rsidR="0046798B" w:rsidRDefault="0046798B">
            <w:pPr>
              <w:pStyle w:val="TableParagraph"/>
              <w:spacing w:before="8"/>
              <w:rPr>
                <w:sz w:val="23"/>
              </w:rPr>
            </w:pPr>
          </w:p>
          <w:p w14:paraId="4ECC9F30" w14:textId="77777777" w:rsidR="0046798B" w:rsidRDefault="00903B5C">
            <w:pPr>
              <w:pStyle w:val="TableParagraph"/>
              <w:spacing w:before="1"/>
              <w:ind w:left="114"/>
              <w:rPr>
                <w:sz w:val="20"/>
              </w:rPr>
            </w:pPr>
            <w:r>
              <w:rPr>
                <w:sz w:val="20"/>
              </w:rPr>
              <w:t>1989–2017</w:t>
            </w:r>
          </w:p>
        </w:tc>
        <w:tc>
          <w:tcPr>
            <w:tcW w:w="3421" w:type="dxa"/>
          </w:tcPr>
          <w:p w14:paraId="1B03C729" w14:textId="77777777" w:rsidR="0046798B" w:rsidRDefault="00903B5C">
            <w:pPr>
              <w:pStyle w:val="TableParagraph"/>
              <w:spacing w:before="158"/>
              <w:ind w:left="114" w:right="688"/>
              <w:rPr>
                <w:sz w:val="20"/>
              </w:rPr>
            </w:pPr>
            <w:r>
              <w:rPr>
                <w:sz w:val="20"/>
              </w:rPr>
              <w:t>Total participation in the School Breakfast Program</w:t>
            </w:r>
          </w:p>
        </w:tc>
        <w:tc>
          <w:tcPr>
            <w:tcW w:w="6482" w:type="dxa"/>
          </w:tcPr>
          <w:p w14:paraId="7AFC37BF" w14:textId="77777777" w:rsidR="0046798B" w:rsidRDefault="00903B5C">
            <w:pPr>
              <w:pStyle w:val="TableParagraph"/>
              <w:spacing w:before="43"/>
              <w:ind w:left="114" w:right="791"/>
              <w:rPr>
                <w:sz w:val="20"/>
              </w:rPr>
            </w:pPr>
            <w:r>
              <w:rPr>
                <w:sz w:val="20"/>
              </w:rPr>
              <w:t xml:space="preserve">University of Kentucky Center for Poverty Research. 2019. “UKCPR National Welfare Data, 1980-2017.” Lexington, KY. </w:t>
            </w:r>
            <w:hyperlink r:id="rId353">
              <w:r>
                <w:rPr>
                  <w:color w:val="0462C1"/>
                  <w:sz w:val="20"/>
                  <w:u w:val="single" w:color="0462C1"/>
                </w:rPr>
                <w:t>http://ukcpr.org/resources/national-welfare-data</w:t>
              </w:r>
            </w:hyperlink>
          </w:p>
        </w:tc>
      </w:tr>
      <w:tr w:rsidR="0046798B" w14:paraId="365C0E4F" w14:textId="77777777">
        <w:trPr>
          <w:trHeight w:val="1465"/>
        </w:trPr>
        <w:tc>
          <w:tcPr>
            <w:tcW w:w="1711" w:type="dxa"/>
          </w:tcPr>
          <w:p w14:paraId="759AF7DF" w14:textId="77777777" w:rsidR="0046798B" w:rsidRDefault="0046798B">
            <w:pPr>
              <w:pStyle w:val="TableParagraph"/>
            </w:pPr>
          </w:p>
          <w:p w14:paraId="55241B59" w14:textId="77777777" w:rsidR="0046798B" w:rsidRDefault="0046798B">
            <w:pPr>
              <w:pStyle w:val="TableParagraph"/>
              <w:spacing w:before="4"/>
              <w:rPr>
                <w:sz w:val="31"/>
              </w:rPr>
            </w:pPr>
          </w:p>
          <w:p w14:paraId="653A108D" w14:textId="77777777" w:rsidR="0046798B" w:rsidRDefault="00903B5C">
            <w:pPr>
              <w:pStyle w:val="TableParagraph"/>
              <w:ind w:left="115"/>
              <w:rPr>
                <w:b/>
                <w:sz w:val="20"/>
              </w:rPr>
            </w:pPr>
            <w:r>
              <w:rPr>
                <w:b/>
                <w:sz w:val="20"/>
              </w:rPr>
              <w:t>povrate</w:t>
            </w:r>
          </w:p>
        </w:tc>
        <w:tc>
          <w:tcPr>
            <w:tcW w:w="1596" w:type="dxa"/>
          </w:tcPr>
          <w:p w14:paraId="7F99EEA6" w14:textId="77777777" w:rsidR="0046798B" w:rsidRDefault="0046798B">
            <w:pPr>
              <w:pStyle w:val="TableParagraph"/>
            </w:pPr>
          </w:p>
          <w:p w14:paraId="4F65590E" w14:textId="77777777" w:rsidR="0046798B" w:rsidRDefault="0046798B">
            <w:pPr>
              <w:pStyle w:val="TableParagraph"/>
              <w:spacing w:before="4"/>
              <w:rPr>
                <w:sz w:val="21"/>
              </w:rPr>
            </w:pPr>
          </w:p>
          <w:p w14:paraId="7E164693" w14:textId="77777777" w:rsidR="0046798B" w:rsidRDefault="00903B5C">
            <w:pPr>
              <w:pStyle w:val="TableParagraph"/>
              <w:ind w:left="114" w:right="391"/>
              <w:rPr>
                <w:sz w:val="20"/>
              </w:rPr>
            </w:pPr>
            <w:r>
              <w:rPr>
                <w:sz w:val="20"/>
              </w:rPr>
              <w:t>State poverty rate</w:t>
            </w:r>
          </w:p>
        </w:tc>
        <w:tc>
          <w:tcPr>
            <w:tcW w:w="1285" w:type="dxa"/>
          </w:tcPr>
          <w:p w14:paraId="379E6319" w14:textId="77777777" w:rsidR="0046798B" w:rsidRDefault="0046798B">
            <w:pPr>
              <w:pStyle w:val="TableParagraph"/>
            </w:pPr>
          </w:p>
          <w:p w14:paraId="524C8CEC" w14:textId="77777777" w:rsidR="0046798B" w:rsidRDefault="0046798B">
            <w:pPr>
              <w:pStyle w:val="TableParagraph"/>
              <w:spacing w:before="4"/>
              <w:rPr>
                <w:sz w:val="31"/>
              </w:rPr>
            </w:pPr>
          </w:p>
          <w:p w14:paraId="5DC72794" w14:textId="77777777" w:rsidR="0046798B" w:rsidRDefault="00903B5C">
            <w:pPr>
              <w:pStyle w:val="TableParagraph"/>
              <w:ind w:left="114"/>
              <w:rPr>
                <w:sz w:val="20"/>
              </w:rPr>
            </w:pPr>
            <w:r>
              <w:rPr>
                <w:sz w:val="20"/>
              </w:rPr>
              <w:t>1980–2017</w:t>
            </w:r>
          </w:p>
        </w:tc>
        <w:tc>
          <w:tcPr>
            <w:tcW w:w="3421" w:type="dxa"/>
          </w:tcPr>
          <w:p w14:paraId="3C463D8B" w14:textId="77777777" w:rsidR="0046798B" w:rsidRDefault="00903B5C">
            <w:pPr>
              <w:pStyle w:val="TableParagraph"/>
              <w:spacing w:before="38"/>
              <w:ind w:left="114" w:right="111"/>
              <w:rPr>
                <w:sz w:val="20"/>
              </w:rPr>
            </w:pPr>
            <w:r>
              <w:rPr>
                <w:sz w:val="20"/>
              </w:rPr>
              <w:t>Estimated percent of individuals living in poverty. Note: The official poverty definition uses money income before taxes and does not include capital gains or noncash benefits (such as public housing, Medicaid, and food stamps).</w:t>
            </w:r>
          </w:p>
        </w:tc>
        <w:tc>
          <w:tcPr>
            <w:tcW w:w="6482" w:type="dxa"/>
          </w:tcPr>
          <w:p w14:paraId="6DB3E319" w14:textId="77777777" w:rsidR="0046798B" w:rsidRDefault="0046798B">
            <w:pPr>
              <w:pStyle w:val="TableParagraph"/>
            </w:pPr>
          </w:p>
          <w:p w14:paraId="291C1B9D" w14:textId="77777777" w:rsidR="0046798B" w:rsidRDefault="00903B5C">
            <w:pPr>
              <w:pStyle w:val="TableParagraph"/>
              <w:spacing w:before="130"/>
              <w:ind w:left="114" w:right="790"/>
              <w:rPr>
                <w:sz w:val="20"/>
              </w:rPr>
            </w:pPr>
            <w:r>
              <w:rPr>
                <w:sz w:val="20"/>
              </w:rPr>
              <w:t xml:space="preserve">University of Kentucky Center for Poverty Research. 2019. “UKCPR National Welfare Data, 1980-2017.” Lexington, KY. </w:t>
            </w:r>
            <w:hyperlink r:id="rId354">
              <w:r>
                <w:rPr>
                  <w:color w:val="0462C1"/>
                  <w:sz w:val="20"/>
                  <w:u w:val="single" w:color="0462C1"/>
                </w:rPr>
                <w:t>http://ukcpr.org/resources/national-welfare-data</w:t>
              </w:r>
            </w:hyperlink>
          </w:p>
        </w:tc>
      </w:tr>
      <w:tr w:rsidR="0046798B" w14:paraId="1221807A" w14:textId="77777777">
        <w:trPr>
          <w:trHeight w:val="1005"/>
        </w:trPr>
        <w:tc>
          <w:tcPr>
            <w:tcW w:w="1711" w:type="dxa"/>
          </w:tcPr>
          <w:p w14:paraId="049DAFFD" w14:textId="77777777" w:rsidR="0046798B" w:rsidRDefault="0046798B">
            <w:pPr>
              <w:pStyle w:val="TableParagraph"/>
              <w:spacing w:before="4"/>
              <w:rPr>
                <w:sz w:val="23"/>
              </w:rPr>
            </w:pPr>
          </w:p>
          <w:p w14:paraId="307534BC" w14:textId="77777777" w:rsidR="0046798B" w:rsidRDefault="00903B5C">
            <w:pPr>
              <w:pStyle w:val="TableParagraph"/>
              <w:ind w:left="115" w:right="132"/>
              <w:rPr>
                <w:b/>
                <w:sz w:val="20"/>
              </w:rPr>
            </w:pPr>
            <w:r>
              <w:rPr>
                <w:b/>
                <w:sz w:val="20"/>
              </w:rPr>
              <w:t>ssirecipients_age d</w:t>
            </w:r>
          </w:p>
        </w:tc>
        <w:tc>
          <w:tcPr>
            <w:tcW w:w="1596" w:type="dxa"/>
          </w:tcPr>
          <w:p w14:paraId="1B74D023" w14:textId="77777777" w:rsidR="0046798B" w:rsidRDefault="0046798B">
            <w:pPr>
              <w:pStyle w:val="TableParagraph"/>
              <w:spacing w:before="4"/>
              <w:rPr>
                <w:sz w:val="23"/>
              </w:rPr>
            </w:pPr>
          </w:p>
          <w:p w14:paraId="6B619F43" w14:textId="77777777" w:rsidR="0046798B" w:rsidRDefault="00903B5C">
            <w:pPr>
              <w:pStyle w:val="TableParagraph"/>
              <w:ind w:left="114" w:right="152"/>
              <w:rPr>
                <w:sz w:val="20"/>
              </w:rPr>
            </w:pPr>
            <w:r>
              <w:rPr>
                <w:sz w:val="20"/>
              </w:rPr>
              <w:t>Number of aged SSI recipients</w:t>
            </w:r>
          </w:p>
        </w:tc>
        <w:tc>
          <w:tcPr>
            <w:tcW w:w="1285" w:type="dxa"/>
          </w:tcPr>
          <w:p w14:paraId="1B27B14C" w14:textId="77777777" w:rsidR="0046798B" w:rsidRDefault="0046798B">
            <w:pPr>
              <w:pStyle w:val="TableParagraph"/>
            </w:pPr>
          </w:p>
          <w:p w14:paraId="5CC97012" w14:textId="77777777" w:rsidR="0046798B" w:rsidRDefault="00903B5C">
            <w:pPr>
              <w:pStyle w:val="TableParagraph"/>
              <w:spacing w:before="130"/>
              <w:ind w:left="114"/>
              <w:rPr>
                <w:sz w:val="20"/>
              </w:rPr>
            </w:pPr>
            <w:r>
              <w:rPr>
                <w:sz w:val="20"/>
              </w:rPr>
              <w:t>1990–2017</w:t>
            </w:r>
          </w:p>
        </w:tc>
        <w:tc>
          <w:tcPr>
            <w:tcW w:w="3421" w:type="dxa"/>
          </w:tcPr>
          <w:p w14:paraId="36DD5CF9" w14:textId="77777777" w:rsidR="0046798B" w:rsidRDefault="00903B5C">
            <w:pPr>
              <w:pStyle w:val="TableParagraph"/>
              <w:spacing w:before="38"/>
              <w:ind w:left="114" w:right="188"/>
              <w:rPr>
                <w:sz w:val="20"/>
              </w:rPr>
            </w:pPr>
            <w:r>
              <w:rPr>
                <w:sz w:val="20"/>
              </w:rPr>
              <w:t>Number of persons receiving federally administered Social Security Income (SSI) payments under aged enrollment category</w:t>
            </w:r>
          </w:p>
        </w:tc>
        <w:tc>
          <w:tcPr>
            <w:tcW w:w="6482" w:type="dxa"/>
          </w:tcPr>
          <w:p w14:paraId="65448EA7" w14:textId="77777777" w:rsidR="0046798B" w:rsidRDefault="00903B5C">
            <w:pPr>
              <w:pStyle w:val="TableParagraph"/>
              <w:spacing w:before="153"/>
              <w:ind w:left="114" w:right="791"/>
              <w:rPr>
                <w:sz w:val="20"/>
              </w:rPr>
            </w:pPr>
            <w:r>
              <w:rPr>
                <w:sz w:val="20"/>
              </w:rPr>
              <w:t xml:space="preserve">University of Kentucky Center for Poverty Research. 2019. “UKCPR National Welfare Data, 1980-2017.” Lexington, KY. </w:t>
            </w:r>
            <w:hyperlink r:id="rId355">
              <w:r>
                <w:rPr>
                  <w:color w:val="0462C1"/>
                  <w:sz w:val="20"/>
                  <w:u w:val="single" w:color="0462C1"/>
                </w:rPr>
                <w:t>http://ukcpr.org/resources/national-welfare-data</w:t>
              </w:r>
            </w:hyperlink>
          </w:p>
        </w:tc>
      </w:tr>
    </w:tbl>
    <w:p w14:paraId="2A4A79B3" w14:textId="77777777" w:rsidR="0046798B" w:rsidRDefault="0046798B">
      <w:pPr>
        <w:rPr>
          <w:sz w:val="20"/>
        </w:rPr>
        <w:sectPr w:rsidR="0046798B">
          <w:pgSz w:w="15840" w:h="12240" w:orient="landscape"/>
          <w:pgMar w:top="1220" w:right="300" w:bottom="980" w:left="820" w:header="730" w:footer="787" w:gutter="0"/>
          <w:cols w:space="720"/>
        </w:sectPr>
      </w:pPr>
    </w:p>
    <w:p w14:paraId="062B9668"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7434F97C" w14:textId="77777777">
        <w:trPr>
          <w:trHeight w:val="1005"/>
        </w:trPr>
        <w:tc>
          <w:tcPr>
            <w:tcW w:w="1711" w:type="dxa"/>
          </w:tcPr>
          <w:p w14:paraId="5135C71B" w14:textId="77777777" w:rsidR="0046798B" w:rsidRDefault="0046798B">
            <w:pPr>
              <w:pStyle w:val="TableParagraph"/>
              <w:spacing w:before="9"/>
              <w:rPr>
                <w:sz w:val="23"/>
              </w:rPr>
            </w:pPr>
          </w:p>
          <w:p w14:paraId="172440E9" w14:textId="77777777" w:rsidR="0046798B" w:rsidRDefault="00903B5C">
            <w:pPr>
              <w:pStyle w:val="TableParagraph"/>
              <w:ind w:left="115" w:right="88"/>
              <w:rPr>
                <w:b/>
                <w:sz w:val="20"/>
              </w:rPr>
            </w:pPr>
            <w:r>
              <w:rPr>
                <w:b/>
                <w:sz w:val="20"/>
              </w:rPr>
              <w:t>ssirecipients_blin d</w:t>
            </w:r>
          </w:p>
        </w:tc>
        <w:tc>
          <w:tcPr>
            <w:tcW w:w="1596" w:type="dxa"/>
          </w:tcPr>
          <w:p w14:paraId="64DAE5E9" w14:textId="77777777" w:rsidR="0046798B" w:rsidRDefault="0046798B">
            <w:pPr>
              <w:pStyle w:val="TableParagraph"/>
              <w:spacing w:before="9"/>
              <w:rPr>
                <w:sz w:val="23"/>
              </w:rPr>
            </w:pPr>
          </w:p>
          <w:p w14:paraId="3CB30F7C" w14:textId="77777777" w:rsidR="0046798B" w:rsidRDefault="00903B5C">
            <w:pPr>
              <w:pStyle w:val="TableParagraph"/>
              <w:ind w:left="114"/>
              <w:rPr>
                <w:sz w:val="20"/>
              </w:rPr>
            </w:pPr>
            <w:r>
              <w:rPr>
                <w:sz w:val="20"/>
              </w:rPr>
              <w:t>Number of blind SSI recipients</w:t>
            </w:r>
          </w:p>
        </w:tc>
        <w:tc>
          <w:tcPr>
            <w:tcW w:w="1285" w:type="dxa"/>
          </w:tcPr>
          <w:p w14:paraId="3C65DAD8" w14:textId="77777777" w:rsidR="0046798B" w:rsidRDefault="0046798B">
            <w:pPr>
              <w:pStyle w:val="TableParagraph"/>
            </w:pPr>
          </w:p>
          <w:p w14:paraId="2A895F4C" w14:textId="77777777" w:rsidR="0046798B" w:rsidRDefault="00903B5C">
            <w:pPr>
              <w:pStyle w:val="TableParagraph"/>
              <w:spacing w:before="135"/>
              <w:ind w:left="114"/>
              <w:rPr>
                <w:sz w:val="20"/>
              </w:rPr>
            </w:pPr>
            <w:r>
              <w:rPr>
                <w:sz w:val="20"/>
              </w:rPr>
              <w:t>1990–2017</w:t>
            </w:r>
          </w:p>
        </w:tc>
        <w:tc>
          <w:tcPr>
            <w:tcW w:w="3421" w:type="dxa"/>
          </w:tcPr>
          <w:p w14:paraId="73199D61" w14:textId="77777777" w:rsidR="0046798B" w:rsidRDefault="00903B5C">
            <w:pPr>
              <w:pStyle w:val="TableParagraph"/>
              <w:spacing w:before="43"/>
              <w:ind w:left="114"/>
              <w:rPr>
                <w:sz w:val="20"/>
              </w:rPr>
            </w:pPr>
            <w:r>
              <w:rPr>
                <w:sz w:val="20"/>
              </w:rPr>
              <w:t>Number of persons receiving federally administered Social Security Income (SSI) payments under blind enrollment category</w:t>
            </w:r>
          </w:p>
        </w:tc>
        <w:tc>
          <w:tcPr>
            <w:tcW w:w="6482" w:type="dxa"/>
          </w:tcPr>
          <w:p w14:paraId="38B789F9" w14:textId="77777777" w:rsidR="0046798B" w:rsidRDefault="00903B5C">
            <w:pPr>
              <w:pStyle w:val="TableParagraph"/>
              <w:spacing w:before="158"/>
              <w:ind w:left="114" w:right="791"/>
              <w:rPr>
                <w:sz w:val="20"/>
              </w:rPr>
            </w:pPr>
            <w:r>
              <w:rPr>
                <w:sz w:val="20"/>
              </w:rPr>
              <w:t xml:space="preserve">University of Kentucky Center for Poverty Research. 2019. “UKCPR National Welfare Data, 1980-2017.” Lexington, KY. </w:t>
            </w:r>
            <w:hyperlink r:id="rId356">
              <w:r>
                <w:rPr>
                  <w:color w:val="0462C1"/>
                  <w:sz w:val="20"/>
                  <w:u w:val="single" w:color="0462C1"/>
                </w:rPr>
                <w:t>http://ukcpr.org/resources/national-welfare-data</w:t>
              </w:r>
            </w:hyperlink>
          </w:p>
        </w:tc>
      </w:tr>
      <w:tr w:rsidR="0046798B" w14:paraId="389DF478" w14:textId="77777777">
        <w:trPr>
          <w:trHeight w:val="1005"/>
        </w:trPr>
        <w:tc>
          <w:tcPr>
            <w:tcW w:w="1711" w:type="dxa"/>
          </w:tcPr>
          <w:p w14:paraId="2F53F6B2" w14:textId="77777777" w:rsidR="0046798B" w:rsidRDefault="0046798B">
            <w:pPr>
              <w:pStyle w:val="TableParagraph"/>
              <w:spacing w:before="8"/>
              <w:rPr>
                <w:sz w:val="23"/>
              </w:rPr>
            </w:pPr>
          </w:p>
          <w:p w14:paraId="432BCCD3" w14:textId="77777777" w:rsidR="0046798B" w:rsidRDefault="00903B5C">
            <w:pPr>
              <w:pStyle w:val="TableParagraph"/>
              <w:spacing w:before="1"/>
              <w:ind w:left="115" w:right="177"/>
              <w:rPr>
                <w:b/>
                <w:sz w:val="20"/>
              </w:rPr>
            </w:pPr>
            <w:r>
              <w:rPr>
                <w:b/>
                <w:sz w:val="20"/>
              </w:rPr>
              <w:t>ssirecipients_dis abled</w:t>
            </w:r>
          </w:p>
        </w:tc>
        <w:tc>
          <w:tcPr>
            <w:tcW w:w="1596" w:type="dxa"/>
          </w:tcPr>
          <w:p w14:paraId="025DA368" w14:textId="77777777" w:rsidR="0046798B" w:rsidRDefault="00903B5C">
            <w:pPr>
              <w:pStyle w:val="TableParagraph"/>
              <w:spacing w:before="158"/>
              <w:ind w:left="114" w:right="446"/>
              <w:rPr>
                <w:sz w:val="20"/>
              </w:rPr>
            </w:pPr>
            <w:r>
              <w:rPr>
                <w:sz w:val="20"/>
              </w:rPr>
              <w:t>Number of disabled SSI recipients</w:t>
            </w:r>
          </w:p>
        </w:tc>
        <w:tc>
          <w:tcPr>
            <w:tcW w:w="1285" w:type="dxa"/>
          </w:tcPr>
          <w:p w14:paraId="5D527DB5" w14:textId="77777777" w:rsidR="0046798B" w:rsidRDefault="0046798B">
            <w:pPr>
              <w:pStyle w:val="TableParagraph"/>
            </w:pPr>
          </w:p>
          <w:p w14:paraId="40AD7A0C" w14:textId="77777777" w:rsidR="0046798B" w:rsidRDefault="00903B5C">
            <w:pPr>
              <w:pStyle w:val="TableParagraph"/>
              <w:spacing w:before="135"/>
              <w:ind w:left="114"/>
              <w:rPr>
                <w:sz w:val="20"/>
              </w:rPr>
            </w:pPr>
            <w:r>
              <w:rPr>
                <w:sz w:val="20"/>
              </w:rPr>
              <w:t>1990–2017</w:t>
            </w:r>
          </w:p>
        </w:tc>
        <w:tc>
          <w:tcPr>
            <w:tcW w:w="3421" w:type="dxa"/>
          </w:tcPr>
          <w:p w14:paraId="5A30016A" w14:textId="77777777" w:rsidR="0046798B" w:rsidRDefault="00903B5C">
            <w:pPr>
              <w:pStyle w:val="TableParagraph"/>
              <w:spacing w:before="43"/>
              <w:ind w:left="114" w:right="189"/>
              <w:rPr>
                <w:sz w:val="20"/>
              </w:rPr>
            </w:pPr>
            <w:r>
              <w:rPr>
                <w:sz w:val="20"/>
              </w:rPr>
              <w:t>Number of persons receiving federally administered Social Security Income (SSI) payments under disabled enrollment category</w:t>
            </w:r>
          </w:p>
        </w:tc>
        <w:tc>
          <w:tcPr>
            <w:tcW w:w="6482" w:type="dxa"/>
          </w:tcPr>
          <w:p w14:paraId="7EB31E4A" w14:textId="77777777" w:rsidR="0046798B" w:rsidRDefault="00903B5C">
            <w:pPr>
              <w:pStyle w:val="TableParagraph"/>
              <w:spacing w:before="158"/>
              <w:ind w:left="114" w:right="791"/>
              <w:rPr>
                <w:sz w:val="20"/>
              </w:rPr>
            </w:pPr>
            <w:r>
              <w:rPr>
                <w:sz w:val="20"/>
              </w:rPr>
              <w:t xml:space="preserve">University of Kentucky Center for Poverty Research. 2019. “UKCPR National Welfare Data, 1980-2017.” Lexington, KY. </w:t>
            </w:r>
            <w:hyperlink r:id="rId357">
              <w:r>
                <w:rPr>
                  <w:color w:val="0462C1"/>
                  <w:sz w:val="20"/>
                  <w:u w:val="single" w:color="0462C1"/>
                </w:rPr>
                <w:t>http://ukcpr.org/resources/national-welfare-data</w:t>
              </w:r>
            </w:hyperlink>
          </w:p>
        </w:tc>
      </w:tr>
      <w:tr w:rsidR="0046798B" w14:paraId="18F50C0E" w14:textId="77777777">
        <w:trPr>
          <w:trHeight w:val="780"/>
        </w:trPr>
        <w:tc>
          <w:tcPr>
            <w:tcW w:w="1711" w:type="dxa"/>
          </w:tcPr>
          <w:p w14:paraId="1EB8758A" w14:textId="77777777" w:rsidR="0046798B" w:rsidRDefault="00903B5C">
            <w:pPr>
              <w:pStyle w:val="TableParagraph"/>
              <w:spacing w:before="158"/>
              <w:ind w:left="115" w:right="88"/>
              <w:rPr>
                <w:b/>
                <w:sz w:val="20"/>
              </w:rPr>
            </w:pPr>
            <w:r>
              <w:rPr>
                <w:b/>
                <w:sz w:val="20"/>
              </w:rPr>
              <w:t>ssirecipients_tota l</w:t>
            </w:r>
          </w:p>
        </w:tc>
        <w:tc>
          <w:tcPr>
            <w:tcW w:w="1596" w:type="dxa"/>
          </w:tcPr>
          <w:p w14:paraId="2581EFB9" w14:textId="77777777" w:rsidR="0046798B" w:rsidRDefault="00903B5C">
            <w:pPr>
              <w:pStyle w:val="TableParagraph"/>
              <w:spacing w:before="158"/>
              <w:ind w:left="114" w:right="152"/>
              <w:rPr>
                <w:sz w:val="20"/>
              </w:rPr>
            </w:pPr>
            <w:r>
              <w:rPr>
                <w:sz w:val="20"/>
              </w:rPr>
              <w:t>Total number of SSI recipients</w:t>
            </w:r>
          </w:p>
        </w:tc>
        <w:tc>
          <w:tcPr>
            <w:tcW w:w="1285" w:type="dxa"/>
          </w:tcPr>
          <w:p w14:paraId="04D655B7" w14:textId="77777777" w:rsidR="0046798B" w:rsidRDefault="0046798B">
            <w:pPr>
              <w:pStyle w:val="TableParagraph"/>
              <w:spacing w:before="8"/>
              <w:rPr>
                <w:sz w:val="23"/>
              </w:rPr>
            </w:pPr>
          </w:p>
          <w:p w14:paraId="2DA3083A" w14:textId="77777777" w:rsidR="0046798B" w:rsidRDefault="00903B5C">
            <w:pPr>
              <w:pStyle w:val="TableParagraph"/>
              <w:spacing w:before="1"/>
              <w:ind w:left="114"/>
              <w:rPr>
                <w:sz w:val="20"/>
              </w:rPr>
            </w:pPr>
            <w:r>
              <w:rPr>
                <w:sz w:val="20"/>
              </w:rPr>
              <w:t>1990–2017</w:t>
            </w:r>
          </w:p>
        </w:tc>
        <w:tc>
          <w:tcPr>
            <w:tcW w:w="3421" w:type="dxa"/>
          </w:tcPr>
          <w:p w14:paraId="627F5C21" w14:textId="77777777" w:rsidR="0046798B" w:rsidRDefault="00903B5C">
            <w:pPr>
              <w:pStyle w:val="TableParagraph"/>
              <w:spacing w:before="43"/>
              <w:ind w:left="114" w:right="189"/>
              <w:rPr>
                <w:sz w:val="20"/>
              </w:rPr>
            </w:pPr>
            <w:r>
              <w:rPr>
                <w:sz w:val="20"/>
              </w:rPr>
              <w:t>Number of persons receiving federally administered Social Security Income (SSI) payments</w:t>
            </w:r>
          </w:p>
        </w:tc>
        <w:tc>
          <w:tcPr>
            <w:tcW w:w="6482" w:type="dxa"/>
          </w:tcPr>
          <w:p w14:paraId="4AFE4DA2" w14:textId="77777777" w:rsidR="0046798B" w:rsidRDefault="00903B5C">
            <w:pPr>
              <w:pStyle w:val="TableParagraph"/>
              <w:spacing w:before="43"/>
              <w:ind w:left="114" w:right="791"/>
              <w:rPr>
                <w:sz w:val="20"/>
              </w:rPr>
            </w:pPr>
            <w:r>
              <w:rPr>
                <w:sz w:val="20"/>
              </w:rPr>
              <w:t xml:space="preserve">University of Kentucky Center for Poverty Research. 2019. “UKCPR National Welfare Data, 1980-2017.” Lexington, KY. </w:t>
            </w:r>
            <w:hyperlink r:id="rId358">
              <w:r>
                <w:rPr>
                  <w:color w:val="0462C1"/>
                  <w:sz w:val="20"/>
                  <w:u w:val="single" w:color="0462C1"/>
                </w:rPr>
                <w:t>http://ukcpr.org/resources/national-welfare-data</w:t>
              </w:r>
            </w:hyperlink>
          </w:p>
        </w:tc>
      </w:tr>
      <w:tr w:rsidR="0046798B" w14:paraId="178D3193" w14:textId="77777777">
        <w:trPr>
          <w:trHeight w:val="1235"/>
        </w:trPr>
        <w:tc>
          <w:tcPr>
            <w:tcW w:w="1711" w:type="dxa"/>
          </w:tcPr>
          <w:p w14:paraId="0BDC4483" w14:textId="77777777" w:rsidR="0046798B" w:rsidRDefault="0046798B">
            <w:pPr>
              <w:pStyle w:val="TableParagraph"/>
            </w:pPr>
          </w:p>
          <w:p w14:paraId="1C3D1DC0" w14:textId="77777777" w:rsidR="0046798B" w:rsidRDefault="0046798B">
            <w:pPr>
              <w:pStyle w:val="TableParagraph"/>
              <w:spacing w:before="4"/>
              <w:rPr>
                <w:sz w:val="21"/>
              </w:rPr>
            </w:pPr>
          </w:p>
          <w:p w14:paraId="6FAAFF27" w14:textId="77777777" w:rsidR="0046798B" w:rsidRDefault="00903B5C">
            <w:pPr>
              <w:pStyle w:val="TableParagraph"/>
              <w:ind w:left="115"/>
              <w:rPr>
                <w:b/>
                <w:sz w:val="20"/>
              </w:rPr>
            </w:pPr>
            <w:r>
              <w:rPr>
                <w:b/>
                <w:sz w:val="20"/>
              </w:rPr>
              <w:t>ssistate</w:t>
            </w:r>
          </w:p>
        </w:tc>
        <w:tc>
          <w:tcPr>
            <w:tcW w:w="1596" w:type="dxa"/>
          </w:tcPr>
          <w:p w14:paraId="0E0B620C" w14:textId="77777777" w:rsidR="0046798B" w:rsidRDefault="0046798B">
            <w:pPr>
              <w:pStyle w:val="TableParagraph"/>
            </w:pPr>
          </w:p>
          <w:p w14:paraId="65BD28F8" w14:textId="77777777" w:rsidR="0046798B" w:rsidRDefault="00903B5C">
            <w:pPr>
              <w:pStyle w:val="TableParagraph"/>
              <w:spacing w:before="130"/>
              <w:ind w:left="114" w:right="279"/>
              <w:rPr>
                <w:sz w:val="20"/>
              </w:rPr>
            </w:pPr>
            <w:r>
              <w:rPr>
                <w:sz w:val="20"/>
              </w:rPr>
              <w:t>Maximum SSI state benefits</w:t>
            </w:r>
          </w:p>
        </w:tc>
        <w:tc>
          <w:tcPr>
            <w:tcW w:w="1285" w:type="dxa"/>
          </w:tcPr>
          <w:p w14:paraId="24D99E4B" w14:textId="77777777" w:rsidR="0046798B" w:rsidRDefault="0046798B">
            <w:pPr>
              <w:pStyle w:val="TableParagraph"/>
            </w:pPr>
          </w:p>
          <w:p w14:paraId="4B9A61D0" w14:textId="77777777" w:rsidR="0046798B" w:rsidRDefault="0046798B">
            <w:pPr>
              <w:pStyle w:val="TableParagraph"/>
              <w:spacing w:before="4"/>
              <w:rPr>
                <w:sz w:val="21"/>
              </w:rPr>
            </w:pPr>
          </w:p>
          <w:p w14:paraId="7CA735BC" w14:textId="77777777" w:rsidR="0046798B" w:rsidRDefault="00903B5C">
            <w:pPr>
              <w:pStyle w:val="TableParagraph"/>
              <w:ind w:left="114"/>
              <w:rPr>
                <w:sz w:val="20"/>
              </w:rPr>
            </w:pPr>
            <w:r>
              <w:rPr>
                <w:sz w:val="20"/>
              </w:rPr>
              <w:t>1980–2011</w:t>
            </w:r>
          </w:p>
        </w:tc>
        <w:tc>
          <w:tcPr>
            <w:tcW w:w="3421" w:type="dxa"/>
          </w:tcPr>
          <w:p w14:paraId="35C570F2" w14:textId="77777777" w:rsidR="0046798B" w:rsidRDefault="0046798B">
            <w:pPr>
              <w:pStyle w:val="TableParagraph"/>
            </w:pPr>
          </w:p>
          <w:p w14:paraId="728AD34C" w14:textId="77777777" w:rsidR="0046798B" w:rsidRDefault="00903B5C">
            <w:pPr>
              <w:pStyle w:val="TableParagraph"/>
              <w:spacing w:before="130"/>
              <w:ind w:left="114"/>
              <w:rPr>
                <w:sz w:val="20"/>
              </w:rPr>
            </w:pPr>
            <w:r>
              <w:rPr>
                <w:sz w:val="20"/>
              </w:rPr>
              <w:t>Maximum amount of SSI benefits from state</w:t>
            </w:r>
          </w:p>
        </w:tc>
        <w:tc>
          <w:tcPr>
            <w:tcW w:w="6482" w:type="dxa"/>
          </w:tcPr>
          <w:p w14:paraId="52D8ED37" w14:textId="77777777" w:rsidR="0046798B" w:rsidRDefault="00903B5C">
            <w:pPr>
              <w:pStyle w:val="TableParagraph"/>
              <w:spacing w:before="38"/>
              <w:ind w:left="114" w:right="791"/>
              <w:rPr>
                <w:sz w:val="20"/>
              </w:rPr>
            </w:pPr>
            <w:r>
              <w:rPr>
                <w:sz w:val="20"/>
              </w:rPr>
              <w:t xml:space="preserve">University of Kentucky Center for Poverty Research. 2019. “UKCPR National Welfare Data, 1980-2017.” Lexington, KY. </w:t>
            </w:r>
            <w:hyperlink r:id="rId359">
              <w:r>
                <w:rPr>
                  <w:color w:val="0462C1"/>
                  <w:sz w:val="20"/>
                  <w:u w:val="single" w:color="0462C1"/>
                </w:rPr>
                <w:t>http://ukcpr.org/resources/national-welfare-data</w:t>
              </w:r>
            </w:hyperlink>
          </w:p>
          <w:p w14:paraId="67113251" w14:textId="77777777" w:rsidR="0046798B" w:rsidRDefault="0046798B">
            <w:pPr>
              <w:pStyle w:val="TableParagraph"/>
              <w:rPr>
                <w:sz w:val="20"/>
              </w:rPr>
            </w:pPr>
          </w:p>
          <w:p w14:paraId="19C43761" w14:textId="77777777" w:rsidR="0046798B" w:rsidRDefault="00903B5C">
            <w:pPr>
              <w:pStyle w:val="TableParagraph"/>
              <w:ind w:left="114"/>
              <w:rPr>
                <w:sz w:val="20"/>
              </w:rPr>
            </w:pPr>
            <w:r>
              <w:rPr>
                <w:sz w:val="20"/>
              </w:rPr>
              <w:t>Note: This variable is no longer being updated by the source.</w:t>
            </w:r>
          </w:p>
        </w:tc>
      </w:tr>
      <w:tr w:rsidR="0046798B" w14:paraId="0EC853AB" w14:textId="77777777">
        <w:trPr>
          <w:trHeight w:val="1235"/>
        </w:trPr>
        <w:tc>
          <w:tcPr>
            <w:tcW w:w="1711" w:type="dxa"/>
          </w:tcPr>
          <w:p w14:paraId="1EB383C2" w14:textId="77777777" w:rsidR="0046798B" w:rsidRDefault="0046798B">
            <w:pPr>
              <w:pStyle w:val="TableParagraph"/>
            </w:pPr>
          </w:p>
          <w:p w14:paraId="67D27B85" w14:textId="77777777" w:rsidR="0046798B" w:rsidRDefault="0046798B">
            <w:pPr>
              <w:pStyle w:val="TableParagraph"/>
              <w:spacing w:before="4"/>
              <w:rPr>
                <w:sz w:val="21"/>
              </w:rPr>
            </w:pPr>
          </w:p>
          <w:p w14:paraId="10D9998D" w14:textId="77777777" w:rsidR="0046798B" w:rsidRDefault="00903B5C">
            <w:pPr>
              <w:pStyle w:val="TableParagraph"/>
              <w:ind w:left="115"/>
              <w:rPr>
                <w:b/>
                <w:sz w:val="20"/>
              </w:rPr>
            </w:pPr>
            <w:r>
              <w:rPr>
                <w:b/>
                <w:sz w:val="20"/>
              </w:rPr>
              <w:t>ssitotal</w:t>
            </w:r>
          </w:p>
        </w:tc>
        <w:tc>
          <w:tcPr>
            <w:tcW w:w="1596" w:type="dxa"/>
          </w:tcPr>
          <w:p w14:paraId="06E46FD9" w14:textId="77777777" w:rsidR="0046798B" w:rsidRDefault="0046798B">
            <w:pPr>
              <w:pStyle w:val="TableParagraph"/>
            </w:pPr>
          </w:p>
          <w:p w14:paraId="04A37F19" w14:textId="77777777" w:rsidR="0046798B" w:rsidRDefault="00903B5C">
            <w:pPr>
              <w:pStyle w:val="TableParagraph"/>
              <w:spacing w:before="130"/>
              <w:ind w:left="114" w:right="690"/>
              <w:rPr>
                <w:sz w:val="20"/>
              </w:rPr>
            </w:pPr>
            <w:r>
              <w:rPr>
                <w:sz w:val="20"/>
              </w:rPr>
              <w:t>Total SSI benefits</w:t>
            </w:r>
          </w:p>
        </w:tc>
        <w:tc>
          <w:tcPr>
            <w:tcW w:w="1285" w:type="dxa"/>
          </w:tcPr>
          <w:p w14:paraId="0F4F9C74" w14:textId="77777777" w:rsidR="0046798B" w:rsidRDefault="0046798B">
            <w:pPr>
              <w:pStyle w:val="TableParagraph"/>
            </w:pPr>
          </w:p>
          <w:p w14:paraId="7C31D4B8" w14:textId="77777777" w:rsidR="0046798B" w:rsidRDefault="0046798B">
            <w:pPr>
              <w:pStyle w:val="TableParagraph"/>
              <w:spacing w:before="4"/>
              <w:rPr>
                <w:sz w:val="21"/>
              </w:rPr>
            </w:pPr>
          </w:p>
          <w:p w14:paraId="1EBA9B18" w14:textId="77777777" w:rsidR="0046798B" w:rsidRDefault="00903B5C">
            <w:pPr>
              <w:pStyle w:val="TableParagraph"/>
              <w:ind w:left="114"/>
              <w:rPr>
                <w:sz w:val="20"/>
              </w:rPr>
            </w:pPr>
            <w:r>
              <w:rPr>
                <w:sz w:val="20"/>
              </w:rPr>
              <w:t>1980–2011</w:t>
            </w:r>
          </w:p>
        </w:tc>
        <w:tc>
          <w:tcPr>
            <w:tcW w:w="3421" w:type="dxa"/>
          </w:tcPr>
          <w:p w14:paraId="77DCB21F" w14:textId="77777777" w:rsidR="0046798B" w:rsidRDefault="0046798B">
            <w:pPr>
              <w:pStyle w:val="TableParagraph"/>
            </w:pPr>
          </w:p>
          <w:p w14:paraId="68AA3743" w14:textId="77777777" w:rsidR="0046798B" w:rsidRDefault="00903B5C">
            <w:pPr>
              <w:pStyle w:val="TableParagraph"/>
              <w:spacing w:before="130"/>
              <w:ind w:left="114" w:right="149"/>
              <w:rPr>
                <w:sz w:val="20"/>
              </w:rPr>
            </w:pPr>
            <w:r>
              <w:rPr>
                <w:sz w:val="20"/>
              </w:rPr>
              <w:t>Maximum total SSI benefits (state plus federal)</w:t>
            </w:r>
          </w:p>
        </w:tc>
        <w:tc>
          <w:tcPr>
            <w:tcW w:w="6482" w:type="dxa"/>
          </w:tcPr>
          <w:p w14:paraId="6516E3AC" w14:textId="77777777" w:rsidR="0046798B" w:rsidRDefault="00903B5C">
            <w:pPr>
              <w:pStyle w:val="TableParagraph"/>
              <w:spacing w:before="38"/>
              <w:ind w:left="114" w:right="791"/>
              <w:rPr>
                <w:sz w:val="20"/>
              </w:rPr>
            </w:pPr>
            <w:r>
              <w:rPr>
                <w:sz w:val="20"/>
              </w:rPr>
              <w:t xml:space="preserve">University of Kentucky Center for Poverty Research. 2019. “UKCPR National Welfare Data, 1980-2017.” Lexington, KY. </w:t>
            </w:r>
            <w:hyperlink r:id="rId360">
              <w:r>
                <w:rPr>
                  <w:color w:val="0462C1"/>
                  <w:sz w:val="20"/>
                  <w:u w:val="single" w:color="0462C1"/>
                </w:rPr>
                <w:t>http://ukcpr.org/resources/national-welfare-data</w:t>
              </w:r>
            </w:hyperlink>
          </w:p>
          <w:p w14:paraId="3A2931A0" w14:textId="77777777" w:rsidR="0046798B" w:rsidRDefault="0046798B">
            <w:pPr>
              <w:pStyle w:val="TableParagraph"/>
              <w:rPr>
                <w:sz w:val="20"/>
              </w:rPr>
            </w:pPr>
          </w:p>
          <w:p w14:paraId="59618F6E" w14:textId="77777777" w:rsidR="0046798B" w:rsidRDefault="00903B5C">
            <w:pPr>
              <w:pStyle w:val="TableParagraph"/>
              <w:ind w:left="114"/>
              <w:rPr>
                <w:sz w:val="20"/>
              </w:rPr>
            </w:pPr>
            <w:r>
              <w:rPr>
                <w:sz w:val="20"/>
              </w:rPr>
              <w:t>Note: This variable is no longer being updated by the source.</w:t>
            </w:r>
          </w:p>
        </w:tc>
      </w:tr>
      <w:tr w:rsidR="0046798B" w14:paraId="003169B6" w14:textId="77777777">
        <w:trPr>
          <w:trHeight w:val="775"/>
        </w:trPr>
        <w:tc>
          <w:tcPr>
            <w:tcW w:w="1711" w:type="dxa"/>
          </w:tcPr>
          <w:p w14:paraId="363E7F65" w14:textId="77777777" w:rsidR="0046798B" w:rsidRDefault="0046798B">
            <w:pPr>
              <w:pStyle w:val="TableParagraph"/>
              <w:spacing w:before="8"/>
              <w:rPr>
                <w:sz w:val="23"/>
              </w:rPr>
            </w:pPr>
          </w:p>
          <w:p w14:paraId="16AA08FB" w14:textId="77777777" w:rsidR="0046798B" w:rsidRDefault="00903B5C">
            <w:pPr>
              <w:pStyle w:val="TableParagraph"/>
              <w:spacing w:before="1"/>
              <w:ind w:left="115"/>
              <w:rPr>
                <w:b/>
                <w:sz w:val="20"/>
              </w:rPr>
            </w:pPr>
            <w:r>
              <w:rPr>
                <w:b/>
                <w:sz w:val="20"/>
              </w:rPr>
              <w:t>stateeitcrate</w:t>
            </w:r>
          </w:p>
        </w:tc>
        <w:tc>
          <w:tcPr>
            <w:tcW w:w="1596" w:type="dxa"/>
          </w:tcPr>
          <w:p w14:paraId="14273D02" w14:textId="77777777" w:rsidR="0046798B" w:rsidRDefault="0046798B">
            <w:pPr>
              <w:pStyle w:val="TableParagraph"/>
              <w:spacing w:before="8"/>
              <w:rPr>
                <w:sz w:val="23"/>
              </w:rPr>
            </w:pPr>
          </w:p>
          <w:p w14:paraId="405C3591" w14:textId="77777777" w:rsidR="0046798B" w:rsidRDefault="00903B5C">
            <w:pPr>
              <w:pStyle w:val="TableParagraph"/>
              <w:spacing w:before="1"/>
              <w:ind w:left="114"/>
              <w:rPr>
                <w:sz w:val="20"/>
              </w:rPr>
            </w:pPr>
            <w:r>
              <w:rPr>
                <w:sz w:val="20"/>
              </w:rPr>
              <w:t>State EITC rate</w:t>
            </w:r>
          </w:p>
        </w:tc>
        <w:tc>
          <w:tcPr>
            <w:tcW w:w="1285" w:type="dxa"/>
          </w:tcPr>
          <w:p w14:paraId="2C7FCC3A" w14:textId="77777777" w:rsidR="0046798B" w:rsidRDefault="0046798B">
            <w:pPr>
              <w:pStyle w:val="TableParagraph"/>
              <w:spacing w:before="8"/>
              <w:rPr>
                <w:sz w:val="23"/>
              </w:rPr>
            </w:pPr>
          </w:p>
          <w:p w14:paraId="3DCA8AA9" w14:textId="77777777" w:rsidR="0046798B" w:rsidRDefault="00903B5C">
            <w:pPr>
              <w:pStyle w:val="TableParagraph"/>
              <w:spacing w:before="1"/>
              <w:ind w:left="114"/>
              <w:rPr>
                <w:sz w:val="20"/>
              </w:rPr>
            </w:pPr>
            <w:r>
              <w:rPr>
                <w:sz w:val="20"/>
              </w:rPr>
              <w:t>1980–2017</w:t>
            </w:r>
          </w:p>
        </w:tc>
        <w:tc>
          <w:tcPr>
            <w:tcW w:w="3421" w:type="dxa"/>
          </w:tcPr>
          <w:p w14:paraId="1E365B13" w14:textId="77777777" w:rsidR="0046798B" w:rsidRDefault="00903B5C">
            <w:pPr>
              <w:pStyle w:val="TableParagraph"/>
              <w:spacing w:before="158"/>
              <w:ind w:left="114" w:right="294"/>
              <w:rPr>
                <w:sz w:val="20"/>
              </w:rPr>
            </w:pPr>
            <w:r>
              <w:rPr>
                <w:sz w:val="20"/>
              </w:rPr>
              <w:t>State Earned Income Tax Credit, as a percentage of federal credit</w:t>
            </w:r>
          </w:p>
        </w:tc>
        <w:tc>
          <w:tcPr>
            <w:tcW w:w="6482" w:type="dxa"/>
          </w:tcPr>
          <w:p w14:paraId="2650AE0A" w14:textId="77777777" w:rsidR="0046798B" w:rsidRDefault="00903B5C">
            <w:pPr>
              <w:pStyle w:val="TableParagraph"/>
              <w:spacing w:before="43"/>
              <w:ind w:left="114" w:right="791"/>
              <w:rPr>
                <w:sz w:val="20"/>
              </w:rPr>
            </w:pPr>
            <w:r>
              <w:rPr>
                <w:sz w:val="20"/>
              </w:rPr>
              <w:t xml:space="preserve">University of Kentucky Center for Poverty Research. 2019. “UKCPR National Welfare Data, 1980-2017.” Lexington, KY. </w:t>
            </w:r>
            <w:hyperlink r:id="rId361">
              <w:r>
                <w:rPr>
                  <w:color w:val="0462C1"/>
                  <w:sz w:val="20"/>
                  <w:u w:val="single" w:color="0462C1"/>
                </w:rPr>
                <w:t>http://ukcpr.org/resources/national-welfare-data</w:t>
              </w:r>
            </w:hyperlink>
          </w:p>
        </w:tc>
      </w:tr>
      <w:tr w:rsidR="0046798B" w14:paraId="031E9B6D" w14:textId="77777777">
        <w:trPr>
          <w:trHeight w:val="775"/>
        </w:trPr>
        <w:tc>
          <w:tcPr>
            <w:tcW w:w="1711" w:type="dxa"/>
          </w:tcPr>
          <w:p w14:paraId="02B127D0" w14:textId="77777777" w:rsidR="0046798B" w:rsidRDefault="0046798B">
            <w:pPr>
              <w:pStyle w:val="TableParagraph"/>
              <w:spacing w:before="9"/>
              <w:rPr>
                <w:sz w:val="23"/>
              </w:rPr>
            </w:pPr>
          </w:p>
          <w:p w14:paraId="61510EFC" w14:textId="77777777" w:rsidR="0046798B" w:rsidRDefault="00903B5C">
            <w:pPr>
              <w:pStyle w:val="TableParagraph"/>
              <w:ind w:left="115"/>
              <w:rPr>
                <w:b/>
                <w:sz w:val="20"/>
              </w:rPr>
            </w:pPr>
            <w:r>
              <w:rPr>
                <w:b/>
                <w:sz w:val="20"/>
              </w:rPr>
              <w:t>wicparticipation</w:t>
            </w:r>
          </w:p>
        </w:tc>
        <w:tc>
          <w:tcPr>
            <w:tcW w:w="1596" w:type="dxa"/>
          </w:tcPr>
          <w:p w14:paraId="7DB8B924" w14:textId="77777777" w:rsidR="0046798B" w:rsidRDefault="00903B5C">
            <w:pPr>
              <w:pStyle w:val="TableParagraph"/>
              <w:spacing w:before="158"/>
              <w:ind w:left="114"/>
              <w:rPr>
                <w:sz w:val="20"/>
              </w:rPr>
            </w:pPr>
            <w:r>
              <w:rPr>
                <w:sz w:val="20"/>
              </w:rPr>
              <w:t>WIC</w:t>
            </w:r>
          </w:p>
          <w:p w14:paraId="32A391AA" w14:textId="77777777" w:rsidR="0046798B" w:rsidRDefault="00903B5C">
            <w:pPr>
              <w:pStyle w:val="TableParagraph"/>
              <w:ind w:left="114"/>
              <w:rPr>
                <w:sz w:val="20"/>
              </w:rPr>
            </w:pPr>
            <w:r>
              <w:rPr>
                <w:sz w:val="20"/>
              </w:rPr>
              <w:t>participation</w:t>
            </w:r>
          </w:p>
        </w:tc>
        <w:tc>
          <w:tcPr>
            <w:tcW w:w="1285" w:type="dxa"/>
          </w:tcPr>
          <w:p w14:paraId="4817FCB3" w14:textId="77777777" w:rsidR="0046798B" w:rsidRDefault="0046798B">
            <w:pPr>
              <w:pStyle w:val="TableParagraph"/>
              <w:spacing w:before="9"/>
              <w:rPr>
                <w:sz w:val="23"/>
              </w:rPr>
            </w:pPr>
          </w:p>
          <w:p w14:paraId="5B4645FA" w14:textId="77777777" w:rsidR="0046798B" w:rsidRDefault="00903B5C">
            <w:pPr>
              <w:pStyle w:val="TableParagraph"/>
              <w:ind w:left="114"/>
              <w:rPr>
                <w:sz w:val="20"/>
              </w:rPr>
            </w:pPr>
            <w:r>
              <w:rPr>
                <w:sz w:val="20"/>
              </w:rPr>
              <w:t>1989–2017</w:t>
            </w:r>
          </w:p>
        </w:tc>
        <w:tc>
          <w:tcPr>
            <w:tcW w:w="3421" w:type="dxa"/>
          </w:tcPr>
          <w:p w14:paraId="31F777B0" w14:textId="77777777" w:rsidR="0046798B" w:rsidRDefault="00903B5C">
            <w:pPr>
              <w:pStyle w:val="TableParagraph"/>
              <w:spacing w:before="158"/>
              <w:ind w:left="114" w:right="561"/>
              <w:rPr>
                <w:sz w:val="20"/>
              </w:rPr>
            </w:pPr>
            <w:r>
              <w:rPr>
                <w:sz w:val="20"/>
              </w:rPr>
              <w:t>Total participation in the Women, Infants, and Children Program</w:t>
            </w:r>
          </w:p>
        </w:tc>
        <w:tc>
          <w:tcPr>
            <w:tcW w:w="6482" w:type="dxa"/>
          </w:tcPr>
          <w:p w14:paraId="7DB77C0B" w14:textId="77777777" w:rsidR="0046798B" w:rsidRDefault="00903B5C">
            <w:pPr>
              <w:pStyle w:val="TableParagraph"/>
              <w:spacing w:before="43"/>
              <w:ind w:left="114" w:right="791"/>
              <w:rPr>
                <w:sz w:val="20"/>
              </w:rPr>
            </w:pPr>
            <w:r>
              <w:rPr>
                <w:sz w:val="20"/>
              </w:rPr>
              <w:t xml:space="preserve">University of Kentucky Center for Poverty Research. 2019. “UKCPR National Welfare Data, 1980-2017.” Lexington, KY. </w:t>
            </w:r>
            <w:hyperlink r:id="rId362">
              <w:r>
                <w:rPr>
                  <w:color w:val="0462C1"/>
                  <w:sz w:val="20"/>
                  <w:u w:val="single" w:color="0462C1"/>
                </w:rPr>
                <w:t>http://ukcpr.org/resources/national-welfare-data</w:t>
              </w:r>
            </w:hyperlink>
          </w:p>
        </w:tc>
      </w:tr>
      <w:tr w:rsidR="0046798B" w14:paraId="244C3667" w14:textId="77777777">
        <w:trPr>
          <w:trHeight w:val="775"/>
        </w:trPr>
        <w:tc>
          <w:tcPr>
            <w:tcW w:w="1711" w:type="dxa"/>
          </w:tcPr>
          <w:p w14:paraId="483D4797" w14:textId="77777777" w:rsidR="0046798B" w:rsidRDefault="00903B5C">
            <w:pPr>
              <w:pStyle w:val="TableParagraph"/>
              <w:spacing w:before="158"/>
              <w:ind w:left="115" w:right="121"/>
              <w:rPr>
                <w:b/>
                <w:sz w:val="20"/>
              </w:rPr>
            </w:pPr>
            <w:r>
              <w:rPr>
                <w:b/>
                <w:sz w:val="20"/>
              </w:rPr>
              <w:t>workerscompens ation</w:t>
            </w:r>
          </w:p>
        </w:tc>
        <w:tc>
          <w:tcPr>
            <w:tcW w:w="1596" w:type="dxa"/>
          </w:tcPr>
          <w:p w14:paraId="71F03F07" w14:textId="77777777" w:rsidR="0046798B" w:rsidRDefault="00903B5C">
            <w:pPr>
              <w:pStyle w:val="TableParagraph"/>
              <w:spacing w:before="158"/>
              <w:ind w:left="114" w:right="341"/>
              <w:rPr>
                <w:sz w:val="20"/>
              </w:rPr>
            </w:pPr>
            <w:r>
              <w:rPr>
                <w:sz w:val="20"/>
              </w:rPr>
              <w:t>Workers’ compensation</w:t>
            </w:r>
          </w:p>
        </w:tc>
        <w:tc>
          <w:tcPr>
            <w:tcW w:w="1285" w:type="dxa"/>
          </w:tcPr>
          <w:p w14:paraId="28AED1DA" w14:textId="77777777" w:rsidR="0046798B" w:rsidRDefault="0046798B">
            <w:pPr>
              <w:pStyle w:val="TableParagraph"/>
              <w:spacing w:before="8"/>
              <w:rPr>
                <w:sz w:val="23"/>
              </w:rPr>
            </w:pPr>
          </w:p>
          <w:p w14:paraId="55B557A9" w14:textId="77777777" w:rsidR="0046798B" w:rsidRDefault="00903B5C">
            <w:pPr>
              <w:pStyle w:val="TableParagraph"/>
              <w:spacing w:before="1"/>
              <w:ind w:left="114"/>
              <w:rPr>
                <w:sz w:val="20"/>
              </w:rPr>
            </w:pPr>
            <w:r>
              <w:rPr>
                <w:sz w:val="20"/>
              </w:rPr>
              <w:t>1980–2017</w:t>
            </w:r>
          </w:p>
        </w:tc>
        <w:tc>
          <w:tcPr>
            <w:tcW w:w="3421" w:type="dxa"/>
          </w:tcPr>
          <w:p w14:paraId="28F0C277" w14:textId="77777777" w:rsidR="0046798B" w:rsidRDefault="00903B5C">
            <w:pPr>
              <w:pStyle w:val="TableParagraph"/>
              <w:spacing w:before="158"/>
              <w:ind w:left="114" w:right="516"/>
              <w:rPr>
                <w:sz w:val="20"/>
              </w:rPr>
            </w:pPr>
            <w:r>
              <w:rPr>
                <w:sz w:val="20"/>
              </w:rPr>
              <w:t>Total state workers’ compensation spending in thousands of dollars</w:t>
            </w:r>
          </w:p>
        </w:tc>
        <w:tc>
          <w:tcPr>
            <w:tcW w:w="6482" w:type="dxa"/>
          </w:tcPr>
          <w:p w14:paraId="3761216D" w14:textId="77777777" w:rsidR="0046798B" w:rsidRDefault="00903B5C">
            <w:pPr>
              <w:pStyle w:val="TableParagraph"/>
              <w:spacing w:before="43"/>
              <w:ind w:left="114" w:right="791"/>
              <w:rPr>
                <w:sz w:val="20"/>
              </w:rPr>
            </w:pPr>
            <w:r>
              <w:rPr>
                <w:sz w:val="20"/>
              </w:rPr>
              <w:t xml:space="preserve">University of Kentucky Center for Poverty Research. 2019. “UKCPR National Welfare Data, 1980-2017.” Lexington, KY. </w:t>
            </w:r>
            <w:hyperlink r:id="rId363">
              <w:r>
                <w:rPr>
                  <w:color w:val="0462C1"/>
                  <w:sz w:val="20"/>
                  <w:u w:val="single" w:color="0462C1"/>
                </w:rPr>
                <w:t>http://ukcpr.org/resources/national-welfare-data</w:t>
              </w:r>
            </w:hyperlink>
          </w:p>
        </w:tc>
      </w:tr>
      <w:tr w:rsidR="0046798B" w14:paraId="6FB3C297" w14:textId="77777777">
        <w:trPr>
          <w:trHeight w:val="1010"/>
        </w:trPr>
        <w:tc>
          <w:tcPr>
            <w:tcW w:w="1711" w:type="dxa"/>
          </w:tcPr>
          <w:p w14:paraId="1ACFE529" w14:textId="77777777" w:rsidR="0046798B" w:rsidRDefault="0046798B">
            <w:pPr>
              <w:pStyle w:val="TableParagraph"/>
            </w:pPr>
          </w:p>
          <w:p w14:paraId="34972445" w14:textId="77777777" w:rsidR="0046798B" w:rsidRDefault="00903B5C">
            <w:pPr>
              <w:pStyle w:val="TableParagraph"/>
              <w:spacing w:before="135"/>
              <w:ind w:left="115"/>
              <w:rPr>
                <w:b/>
                <w:sz w:val="20"/>
              </w:rPr>
            </w:pPr>
            <w:r>
              <w:rPr>
                <w:b/>
                <w:sz w:val="20"/>
              </w:rPr>
              <w:t>aapfdp</w:t>
            </w:r>
          </w:p>
        </w:tc>
        <w:tc>
          <w:tcPr>
            <w:tcW w:w="1596" w:type="dxa"/>
          </w:tcPr>
          <w:p w14:paraId="255744C2" w14:textId="77777777" w:rsidR="0046798B" w:rsidRDefault="00903B5C">
            <w:pPr>
              <w:pStyle w:val="TableParagraph"/>
              <w:spacing w:before="43"/>
              <w:ind w:left="114" w:right="135"/>
              <w:rPr>
                <w:sz w:val="20"/>
              </w:rPr>
            </w:pPr>
            <w:r>
              <w:rPr>
                <w:sz w:val="20"/>
              </w:rPr>
              <w:t>Alaska Permanent Fund Dividend actual payouts</w:t>
            </w:r>
          </w:p>
        </w:tc>
        <w:tc>
          <w:tcPr>
            <w:tcW w:w="1285" w:type="dxa"/>
          </w:tcPr>
          <w:p w14:paraId="1FF58A37" w14:textId="77777777" w:rsidR="0046798B" w:rsidRDefault="0046798B">
            <w:pPr>
              <w:pStyle w:val="TableParagraph"/>
            </w:pPr>
          </w:p>
          <w:p w14:paraId="29C41B40" w14:textId="77777777" w:rsidR="0046798B" w:rsidRDefault="00903B5C">
            <w:pPr>
              <w:pStyle w:val="TableParagraph"/>
              <w:spacing w:before="135"/>
              <w:ind w:left="114"/>
              <w:rPr>
                <w:sz w:val="20"/>
              </w:rPr>
            </w:pPr>
            <w:r>
              <w:rPr>
                <w:sz w:val="20"/>
              </w:rPr>
              <w:t>1957–2016</w:t>
            </w:r>
          </w:p>
        </w:tc>
        <w:tc>
          <w:tcPr>
            <w:tcW w:w="3421" w:type="dxa"/>
          </w:tcPr>
          <w:p w14:paraId="635633B9" w14:textId="77777777" w:rsidR="0046798B" w:rsidRDefault="0046798B">
            <w:pPr>
              <w:pStyle w:val="TableParagraph"/>
              <w:spacing w:before="9"/>
              <w:rPr>
                <w:sz w:val="23"/>
              </w:rPr>
            </w:pPr>
          </w:p>
          <w:p w14:paraId="7D0B395D" w14:textId="77777777" w:rsidR="0046798B" w:rsidRDefault="00903B5C">
            <w:pPr>
              <w:pStyle w:val="TableParagraph"/>
              <w:ind w:left="114" w:right="134"/>
              <w:rPr>
                <w:sz w:val="20"/>
              </w:rPr>
            </w:pPr>
            <w:r>
              <w:rPr>
                <w:sz w:val="20"/>
              </w:rPr>
              <w:t>Alaska Permanent Fund Dividend actual payouts (previous calendar year)</w:t>
            </w:r>
          </w:p>
        </w:tc>
        <w:tc>
          <w:tcPr>
            <w:tcW w:w="6482" w:type="dxa"/>
          </w:tcPr>
          <w:p w14:paraId="32A499F9"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5E3D1297" w14:textId="77777777" w:rsidR="0046798B" w:rsidRDefault="0046798B">
      <w:pPr>
        <w:rPr>
          <w:sz w:val="20"/>
        </w:rPr>
        <w:sectPr w:rsidR="0046798B">
          <w:pgSz w:w="15840" w:h="12240" w:orient="landscape"/>
          <w:pgMar w:top="1220" w:right="300" w:bottom="980" w:left="820" w:header="730" w:footer="787" w:gutter="0"/>
          <w:cols w:space="720"/>
        </w:sectPr>
      </w:pPr>
    </w:p>
    <w:p w14:paraId="67FF0EE2"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857F03F" w14:textId="77777777">
        <w:trPr>
          <w:trHeight w:val="1005"/>
        </w:trPr>
        <w:tc>
          <w:tcPr>
            <w:tcW w:w="1711" w:type="dxa"/>
          </w:tcPr>
          <w:p w14:paraId="3EEAE0BF" w14:textId="77777777" w:rsidR="0046798B" w:rsidRDefault="0046798B">
            <w:pPr>
              <w:pStyle w:val="TableParagraph"/>
            </w:pPr>
          </w:p>
          <w:p w14:paraId="53BCE7C3" w14:textId="77777777" w:rsidR="0046798B" w:rsidRDefault="00903B5C">
            <w:pPr>
              <w:pStyle w:val="TableParagraph"/>
              <w:spacing w:before="135"/>
              <w:ind w:left="115"/>
              <w:rPr>
                <w:b/>
                <w:sz w:val="20"/>
              </w:rPr>
            </w:pPr>
            <w:r>
              <w:rPr>
                <w:b/>
                <w:sz w:val="20"/>
              </w:rPr>
              <w:t>aairpi</w:t>
            </w:r>
          </w:p>
        </w:tc>
        <w:tc>
          <w:tcPr>
            <w:tcW w:w="1596" w:type="dxa"/>
          </w:tcPr>
          <w:p w14:paraId="1113FEA8" w14:textId="77777777" w:rsidR="0046798B" w:rsidRDefault="00903B5C">
            <w:pPr>
              <w:pStyle w:val="TableParagraph"/>
              <w:spacing w:before="43"/>
              <w:ind w:left="114" w:right="246"/>
              <w:rPr>
                <w:sz w:val="20"/>
              </w:rPr>
            </w:pPr>
            <w:r>
              <w:rPr>
                <w:sz w:val="20"/>
              </w:rPr>
              <w:t>Air transportation spending, % of income</w:t>
            </w:r>
          </w:p>
        </w:tc>
        <w:tc>
          <w:tcPr>
            <w:tcW w:w="1285" w:type="dxa"/>
          </w:tcPr>
          <w:p w14:paraId="471D2C34" w14:textId="77777777" w:rsidR="0046798B" w:rsidRDefault="0046798B">
            <w:pPr>
              <w:pStyle w:val="TableParagraph"/>
            </w:pPr>
          </w:p>
          <w:p w14:paraId="45359112" w14:textId="77777777" w:rsidR="0046798B" w:rsidRDefault="00903B5C">
            <w:pPr>
              <w:pStyle w:val="TableParagraph"/>
              <w:spacing w:before="135"/>
              <w:ind w:left="114"/>
              <w:rPr>
                <w:sz w:val="20"/>
              </w:rPr>
            </w:pPr>
            <w:r>
              <w:rPr>
                <w:sz w:val="20"/>
              </w:rPr>
              <w:t>1957–2015</w:t>
            </w:r>
          </w:p>
        </w:tc>
        <w:tc>
          <w:tcPr>
            <w:tcW w:w="3421" w:type="dxa"/>
          </w:tcPr>
          <w:p w14:paraId="330B32A3" w14:textId="77777777" w:rsidR="0046798B" w:rsidRDefault="0046798B">
            <w:pPr>
              <w:pStyle w:val="TableParagraph"/>
              <w:spacing w:before="9"/>
              <w:rPr>
                <w:sz w:val="23"/>
              </w:rPr>
            </w:pPr>
          </w:p>
          <w:p w14:paraId="4FA25B8C" w14:textId="77777777" w:rsidR="0046798B" w:rsidRDefault="00903B5C">
            <w:pPr>
              <w:pStyle w:val="TableParagraph"/>
              <w:ind w:left="114" w:right="594"/>
              <w:rPr>
                <w:sz w:val="20"/>
              </w:rPr>
            </w:pPr>
            <w:r>
              <w:rPr>
                <w:sz w:val="20"/>
              </w:rPr>
              <w:t>Air transportation spending, % of income (aairspt / apersinc)</w:t>
            </w:r>
          </w:p>
        </w:tc>
        <w:tc>
          <w:tcPr>
            <w:tcW w:w="6482" w:type="dxa"/>
          </w:tcPr>
          <w:p w14:paraId="229EFCE0" w14:textId="77777777" w:rsidR="0046798B" w:rsidRDefault="00903B5C">
            <w:pPr>
              <w:pStyle w:val="TableParagraph"/>
              <w:spacing w:before="158"/>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FFD9819" w14:textId="77777777">
        <w:trPr>
          <w:trHeight w:val="1695"/>
        </w:trPr>
        <w:tc>
          <w:tcPr>
            <w:tcW w:w="1711" w:type="dxa"/>
          </w:tcPr>
          <w:p w14:paraId="70A876AD" w14:textId="77777777" w:rsidR="0046798B" w:rsidRDefault="0046798B">
            <w:pPr>
              <w:pStyle w:val="TableParagraph"/>
            </w:pPr>
          </w:p>
          <w:p w14:paraId="09DDCA3B" w14:textId="77777777" w:rsidR="0046798B" w:rsidRDefault="0046798B">
            <w:pPr>
              <w:pStyle w:val="TableParagraph"/>
            </w:pPr>
          </w:p>
          <w:p w14:paraId="1CA3E4D2" w14:textId="77777777" w:rsidR="0046798B" w:rsidRDefault="0046798B">
            <w:pPr>
              <w:pStyle w:val="TableParagraph"/>
              <w:spacing w:before="9"/>
              <w:rPr>
                <w:sz w:val="19"/>
              </w:rPr>
            </w:pPr>
          </w:p>
          <w:p w14:paraId="568E0648" w14:textId="77777777" w:rsidR="0046798B" w:rsidRDefault="00903B5C">
            <w:pPr>
              <w:pStyle w:val="TableParagraph"/>
              <w:ind w:left="115"/>
              <w:rPr>
                <w:b/>
                <w:sz w:val="20"/>
              </w:rPr>
            </w:pPr>
            <w:r>
              <w:rPr>
                <w:b/>
                <w:sz w:val="20"/>
              </w:rPr>
              <w:t>aairspt</w:t>
            </w:r>
          </w:p>
        </w:tc>
        <w:tc>
          <w:tcPr>
            <w:tcW w:w="1596" w:type="dxa"/>
          </w:tcPr>
          <w:p w14:paraId="2193E8A0" w14:textId="77777777" w:rsidR="0046798B" w:rsidRDefault="00903B5C">
            <w:pPr>
              <w:pStyle w:val="TableParagraph"/>
              <w:spacing w:before="43"/>
              <w:ind w:left="114" w:right="235"/>
              <w:rPr>
                <w:sz w:val="20"/>
              </w:rPr>
            </w:pPr>
            <w:r>
              <w:rPr>
                <w:sz w:val="20"/>
              </w:rPr>
              <w:t>State and local government air transportation direct expenditure, in millions of dollars</w:t>
            </w:r>
          </w:p>
        </w:tc>
        <w:tc>
          <w:tcPr>
            <w:tcW w:w="1285" w:type="dxa"/>
          </w:tcPr>
          <w:p w14:paraId="42500E41" w14:textId="77777777" w:rsidR="0046798B" w:rsidRDefault="0046798B">
            <w:pPr>
              <w:pStyle w:val="TableParagraph"/>
            </w:pPr>
          </w:p>
          <w:p w14:paraId="143F9C12" w14:textId="77777777" w:rsidR="0046798B" w:rsidRDefault="0046798B">
            <w:pPr>
              <w:pStyle w:val="TableParagraph"/>
            </w:pPr>
          </w:p>
          <w:p w14:paraId="67532AD0" w14:textId="77777777" w:rsidR="0046798B" w:rsidRDefault="0046798B">
            <w:pPr>
              <w:pStyle w:val="TableParagraph"/>
              <w:spacing w:before="9"/>
              <w:rPr>
                <w:sz w:val="19"/>
              </w:rPr>
            </w:pPr>
          </w:p>
          <w:p w14:paraId="7C9E6A51" w14:textId="77777777" w:rsidR="0046798B" w:rsidRDefault="00903B5C">
            <w:pPr>
              <w:pStyle w:val="TableParagraph"/>
              <w:ind w:left="114"/>
              <w:rPr>
                <w:sz w:val="20"/>
              </w:rPr>
            </w:pPr>
            <w:r>
              <w:rPr>
                <w:sz w:val="20"/>
              </w:rPr>
              <w:t>1957–2015</w:t>
            </w:r>
          </w:p>
        </w:tc>
        <w:tc>
          <w:tcPr>
            <w:tcW w:w="3421" w:type="dxa"/>
          </w:tcPr>
          <w:p w14:paraId="64618FD2" w14:textId="77777777" w:rsidR="0046798B" w:rsidRDefault="0046798B">
            <w:pPr>
              <w:pStyle w:val="TableParagraph"/>
            </w:pPr>
          </w:p>
          <w:p w14:paraId="0DD768CC" w14:textId="77777777" w:rsidR="0046798B" w:rsidRDefault="0046798B">
            <w:pPr>
              <w:pStyle w:val="TableParagraph"/>
              <w:spacing w:before="9"/>
              <w:rPr>
                <w:sz w:val="21"/>
              </w:rPr>
            </w:pPr>
          </w:p>
          <w:p w14:paraId="1BDC171B" w14:textId="77777777" w:rsidR="0046798B" w:rsidRDefault="00903B5C">
            <w:pPr>
              <w:pStyle w:val="TableParagraph"/>
              <w:ind w:left="114" w:right="411"/>
              <w:rPr>
                <w:sz w:val="20"/>
              </w:rPr>
            </w:pPr>
            <w:r>
              <w:rPr>
                <w:sz w:val="20"/>
              </w:rPr>
              <w:t>State and local government air transportation direct expenditure, in millions of dollars</w:t>
            </w:r>
          </w:p>
        </w:tc>
        <w:tc>
          <w:tcPr>
            <w:tcW w:w="6482" w:type="dxa"/>
          </w:tcPr>
          <w:p w14:paraId="656F14BD" w14:textId="77777777" w:rsidR="0046798B" w:rsidRDefault="0046798B">
            <w:pPr>
              <w:pStyle w:val="TableParagraph"/>
            </w:pPr>
          </w:p>
          <w:p w14:paraId="717B7DC2" w14:textId="77777777" w:rsidR="0046798B" w:rsidRDefault="0046798B">
            <w:pPr>
              <w:pStyle w:val="TableParagraph"/>
              <w:spacing w:before="9"/>
              <w:rPr>
                <w:sz w:val="21"/>
              </w:rPr>
            </w:pPr>
          </w:p>
          <w:p w14:paraId="29947948"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9C87D2B" w14:textId="77777777">
        <w:trPr>
          <w:trHeight w:val="1240"/>
        </w:trPr>
        <w:tc>
          <w:tcPr>
            <w:tcW w:w="1711" w:type="dxa"/>
          </w:tcPr>
          <w:p w14:paraId="7EC0C1DB" w14:textId="77777777" w:rsidR="0046798B" w:rsidRDefault="0046798B">
            <w:pPr>
              <w:pStyle w:val="TableParagraph"/>
            </w:pPr>
          </w:p>
          <w:p w14:paraId="43D9F967" w14:textId="77777777" w:rsidR="0046798B" w:rsidRDefault="0046798B">
            <w:pPr>
              <w:pStyle w:val="TableParagraph"/>
              <w:spacing w:before="9"/>
              <w:rPr>
                <w:sz w:val="21"/>
              </w:rPr>
            </w:pPr>
          </w:p>
          <w:p w14:paraId="1C41AE3A" w14:textId="77777777" w:rsidR="0046798B" w:rsidRDefault="00903B5C">
            <w:pPr>
              <w:pStyle w:val="TableParagraph"/>
              <w:ind w:left="115"/>
              <w:rPr>
                <w:b/>
                <w:sz w:val="20"/>
              </w:rPr>
            </w:pPr>
            <w:r>
              <w:rPr>
                <w:b/>
                <w:sz w:val="20"/>
              </w:rPr>
              <w:t>aalct</w:t>
            </w:r>
          </w:p>
        </w:tc>
        <w:tc>
          <w:tcPr>
            <w:tcW w:w="1596" w:type="dxa"/>
          </w:tcPr>
          <w:p w14:paraId="1EC59754" w14:textId="77777777" w:rsidR="0046798B" w:rsidRDefault="00903B5C">
            <w:pPr>
              <w:pStyle w:val="TableParagraph"/>
              <w:spacing w:before="43"/>
              <w:ind w:left="114" w:right="274"/>
              <w:rPr>
                <w:sz w:val="20"/>
              </w:rPr>
            </w:pPr>
            <w:r>
              <w:rPr>
                <w:sz w:val="20"/>
              </w:rPr>
              <w:t>State and local alcohol tax revenues, in millions of dollars</w:t>
            </w:r>
          </w:p>
        </w:tc>
        <w:tc>
          <w:tcPr>
            <w:tcW w:w="1285" w:type="dxa"/>
          </w:tcPr>
          <w:p w14:paraId="1D4B2418" w14:textId="77777777" w:rsidR="0046798B" w:rsidRDefault="0046798B">
            <w:pPr>
              <w:pStyle w:val="TableParagraph"/>
            </w:pPr>
          </w:p>
          <w:p w14:paraId="66B4777F" w14:textId="77777777" w:rsidR="0046798B" w:rsidRDefault="0046798B">
            <w:pPr>
              <w:pStyle w:val="TableParagraph"/>
              <w:spacing w:before="9"/>
              <w:rPr>
                <w:sz w:val="21"/>
              </w:rPr>
            </w:pPr>
          </w:p>
          <w:p w14:paraId="3459279E" w14:textId="77777777" w:rsidR="0046798B" w:rsidRDefault="00903B5C">
            <w:pPr>
              <w:pStyle w:val="TableParagraph"/>
              <w:ind w:left="114"/>
              <w:rPr>
                <w:sz w:val="20"/>
              </w:rPr>
            </w:pPr>
            <w:r>
              <w:rPr>
                <w:sz w:val="20"/>
              </w:rPr>
              <w:t>1957–2015</w:t>
            </w:r>
          </w:p>
        </w:tc>
        <w:tc>
          <w:tcPr>
            <w:tcW w:w="3421" w:type="dxa"/>
          </w:tcPr>
          <w:p w14:paraId="5B51A220" w14:textId="77777777" w:rsidR="0046798B" w:rsidRDefault="0046798B">
            <w:pPr>
              <w:pStyle w:val="TableParagraph"/>
            </w:pPr>
          </w:p>
          <w:p w14:paraId="65C59BA3" w14:textId="77777777" w:rsidR="0046798B" w:rsidRDefault="00903B5C">
            <w:pPr>
              <w:pStyle w:val="TableParagraph"/>
              <w:spacing w:before="135"/>
              <w:ind w:left="114" w:right="150"/>
              <w:rPr>
                <w:sz w:val="20"/>
              </w:rPr>
            </w:pPr>
            <w:r>
              <w:rPr>
                <w:sz w:val="20"/>
              </w:rPr>
              <w:t>State and local alcohol tax revenues, in millions of dollars</w:t>
            </w:r>
          </w:p>
        </w:tc>
        <w:tc>
          <w:tcPr>
            <w:tcW w:w="6482" w:type="dxa"/>
          </w:tcPr>
          <w:p w14:paraId="68F09946" w14:textId="77777777" w:rsidR="0046798B" w:rsidRDefault="0046798B">
            <w:pPr>
              <w:pStyle w:val="TableParagraph"/>
              <w:spacing w:before="9"/>
              <w:rPr>
                <w:sz w:val="23"/>
              </w:rPr>
            </w:pPr>
          </w:p>
          <w:p w14:paraId="71350332"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0E100C2" w14:textId="77777777">
        <w:trPr>
          <w:trHeight w:val="1235"/>
        </w:trPr>
        <w:tc>
          <w:tcPr>
            <w:tcW w:w="1711" w:type="dxa"/>
          </w:tcPr>
          <w:p w14:paraId="3B769298" w14:textId="77777777" w:rsidR="0046798B" w:rsidRDefault="0046798B">
            <w:pPr>
              <w:pStyle w:val="TableParagraph"/>
            </w:pPr>
          </w:p>
          <w:p w14:paraId="4EE29EFE" w14:textId="77777777" w:rsidR="0046798B" w:rsidRDefault="0046798B">
            <w:pPr>
              <w:pStyle w:val="TableParagraph"/>
              <w:spacing w:before="4"/>
              <w:rPr>
                <w:sz w:val="21"/>
              </w:rPr>
            </w:pPr>
          </w:p>
          <w:p w14:paraId="66FA64F1" w14:textId="77777777" w:rsidR="0046798B" w:rsidRDefault="00903B5C">
            <w:pPr>
              <w:pStyle w:val="TableParagraph"/>
              <w:ind w:left="115"/>
              <w:rPr>
                <w:b/>
                <w:sz w:val="20"/>
              </w:rPr>
            </w:pPr>
            <w:r>
              <w:rPr>
                <w:b/>
                <w:sz w:val="20"/>
              </w:rPr>
              <w:t>aalct2</w:t>
            </w:r>
          </w:p>
        </w:tc>
        <w:tc>
          <w:tcPr>
            <w:tcW w:w="1596" w:type="dxa"/>
          </w:tcPr>
          <w:p w14:paraId="2EFF5641" w14:textId="77777777" w:rsidR="0046798B" w:rsidRDefault="00903B5C">
            <w:pPr>
              <w:pStyle w:val="TableParagraph"/>
              <w:spacing w:before="38"/>
              <w:ind w:left="114" w:right="274"/>
              <w:rPr>
                <w:sz w:val="20"/>
              </w:rPr>
            </w:pPr>
            <w:r>
              <w:rPr>
                <w:sz w:val="20"/>
              </w:rPr>
              <w:t>State and local alcohol tax revenues, in millions of dollars</w:t>
            </w:r>
          </w:p>
        </w:tc>
        <w:tc>
          <w:tcPr>
            <w:tcW w:w="1285" w:type="dxa"/>
          </w:tcPr>
          <w:p w14:paraId="149CDA40" w14:textId="77777777" w:rsidR="0046798B" w:rsidRDefault="0046798B">
            <w:pPr>
              <w:pStyle w:val="TableParagraph"/>
            </w:pPr>
          </w:p>
          <w:p w14:paraId="606D8C89" w14:textId="77777777" w:rsidR="0046798B" w:rsidRDefault="0046798B">
            <w:pPr>
              <w:pStyle w:val="TableParagraph"/>
              <w:spacing w:before="4"/>
              <w:rPr>
                <w:sz w:val="21"/>
              </w:rPr>
            </w:pPr>
          </w:p>
          <w:p w14:paraId="65B541F4" w14:textId="77777777" w:rsidR="0046798B" w:rsidRDefault="00903B5C">
            <w:pPr>
              <w:pStyle w:val="TableParagraph"/>
              <w:ind w:left="114"/>
              <w:rPr>
                <w:sz w:val="20"/>
              </w:rPr>
            </w:pPr>
            <w:r>
              <w:rPr>
                <w:sz w:val="20"/>
              </w:rPr>
              <w:t>1956–2011</w:t>
            </w:r>
          </w:p>
        </w:tc>
        <w:tc>
          <w:tcPr>
            <w:tcW w:w="3421" w:type="dxa"/>
          </w:tcPr>
          <w:p w14:paraId="75B013D7" w14:textId="77777777" w:rsidR="0046798B" w:rsidRDefault="0046798B">
            <w:pPr>
              <w:pStyle w:val="TableParagraph"/>
              <w:spacing w:before="4"/>
              <w:rPr>
                <w:sz w:val="23"/>
              </w:rPr>
            </w:pPr>
          </w:p>
          <w:p w14:paraId="7EF61603" w14:textId="77777777" w:rsidR="0046798B" w:rsidRDefault="00903B5C">
            <w:pPr>
              <w:pStyle w:val="TableParagraph"/>
              <w:ind w:left="114" w:right="150"/>
              <w:rPr>
                <w:sz w:val="20"/>
              </w:rPr>
            </w:pPr>
            <w:r>
              <w:rPr>
                <w:sz w:val="20"/>
              </w:rPr>
              <w:t>State and local alcohol tax revenues, in millions of dollars (values for subsequent fiscal year)</w:t>
            </w:r>
          </w:p>
        </w:tc>
        <w:tc>
          <w:tcPr>
            <w:tcW w:w="6482" w:type="dxa"/>
          </w:tcPr>
          <w:p w14:paraId="41B77B7C" w14:textId="77777777" w:rsidR="0046798B" w:rsidRDefault="0046798B">
            <w:pPr>
              <w:pStyle w:val="TableParagraph"/>
              <w:spacing w:before="4"/>
              <w:rPr>
                <w:sz w:val="23"/>
              </w:rPr>
            </w:pPr>
          </w:p>
          <w:p w14:paraId="37090A68" w14:textId="77777777" w:rsidR="0046798B" w:rsidRDefault="00903B5C">
            <w:pPr>
              <w:pStyle w:val="TableParagraph"/>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17C99F7" w14:textId="77777777">
        <w:trPr>
          <w:trHeight w:val="1696"/>
        </w:trPr>
        <w:tc>
          <w:tcPr>
            <w:tcW w:w="1711" w:type="dxa"/>
          </w:tcPr>
          <w:p w14:paraId="02E70F89" w14:textId="77777777" w:rsidR="0046798B" w:rsidRDefault="0046798B">
            <w:pPr>
              <w:pStyle w:val="TableParagraph"/>
            </w:pPr>
          </w:p>
          <w:p w14:paraId="754BB463" w14:textId="77777777" w:rsidR="0046798B" w:rsidRDefault="0046798B">
            <w:pPr>
              <w:pStyle w:val="TableParagraph"/>
            </w:pPr>
          </w:p>
          <w:p w14:paraId="74542DF4" w14:textId="77777777" w:rsidR="0046798B" w:rsidRDefault="0046798B">
            <w:pPr>
              <w:pStyle w:val="TableParagraph"/>
              <w:spacing w:before="4"/>
              <w:rPr>
                <w:sz w:val="19"/>
              </w:rPr>
            </w:pPr>
          </w:p>
          <w:p w14:paraId="5C73E173" w14:textId="77777777" w:rsidR="0046798B" w:rsidRDefault="00903B5C">
            <w:pPr>
              <w:pStyle w:val="TableParagraph"/>
              <w:ind w:left="115"/>
              <w:rPr>
                <w:b/>
                <w:sz w:val="20"/>
              </w:rPr>
            </w:pPr>
            <w:r>
              <w:rPr>
                <w:b/>
                <w:sz w:val="20"/>
              </w:rPr>
              <w:t>aslcash</w:t>
            </w:r>
          </w:p>
        </w:tc>
        <w:tc>
          <w:tcPr>
            <w:tcW w:w="1596" w:type="dxa"/>
          </w:tcPr>
          <w:p w14:paraId="649CE3B3" w14:textId="77777777" w:rsidR="0046798B" w:rsidRDefault="00903B5C">
            <w:pPr>
              <w:pStyle w:val="TableParagraph"/>
              <w:spacing w:before="39"/>
              <w:ind w:left="114" w:right="91"/>
              <w:rPr>
                <w:sz w:val="20"/>
              </w:rPr>
            </w:pPr>
            <w:r>
              <w:rPr>
                <w:sz w:val="20"/>
              </w:rPr>
              <w:t>State and local government cash and security holdings, other than trust funds, in millions of dollars</w:t>
            </w:r>
          </w:p>
        </w:tc>
        <w:tc>
          <w:tcPr>
            <w:tcW w:w="1285" w:type="dxa"/>
          </w:tcPr>
          <w:p w14:paraId="71D82B95" w14:textId="77777777" w:rsidR="0046798B" w:rsidRDefault="0046798B">
            <w:pPr>
              <w:pStyle w:val="TableParagraph"/>
            </w:pPr>
          </w:p>
          <w:p w14:paraId="0D0CE001" w14:textId="77777777" w:rsidR="0046798B" w:rsidRDefault="0046798B">
            <w:pPr>
              <w:pStyle w:val="TableParagraph"/>
            </w:pPr>
          </w:p>
          <w:p w14:paraId="41FA36FE" w14:textId="77777777" w:rsidR="0046798B" w:rsidRDefault="0046798B">
            <w:pPr>
              <w:pStyle w:val="TableParagraph"/>
              <w:spacing w:before="4"/>
              <w:rPr>
                <w:sz w:val="19"/>
              </w:rPr>
            </w:pPr>
          </w:p>
          <w:p w14:paraId="371C83B1" w14:textId="77777777" w:rsidR="0046798B" w:rsidRDefault="00903B5C">
            <w:pPr>
              <w:pStyle w:val="TableParagraph"/>
              <w:ind w:left="114"/>
              <w:rPr>
                <w:sz w:val="20"/>
              </w:rPr>
            </w:pPr>
            <w:r>
              <w:rPr>
                <w:sz w:val="20"/>
              </w:rPr>
              <w:t>1995–2017</w:t>
            </w:r>
          </w:p>
        </w:tc>
        <w:tc>
          <w:tcPr>
            <w:tcW w:w="3421" w:type="dxa"/>
          </w:tcPr>
          <w:p w14:paraId="5BF4F9D6" w14:textId="77777777" w:rsidR="0046798B" w:rsidRDefault="0046798B">
            <w:pPr>
              <w:pStyle w:val="TableParagraph"/>
              <w:spacing w:before="4"/>
              <w:rPr>
                <w:sz w:val="23"/>
              </w:rPr>
            </w:pPr>
          </w:p>
          <w:p w14:paraId="60216D18" w14:textId="77777777" w:rsidR="0046798B" w:rsidRDefault="00903B5C">
            <w:pPr>
              <w:pStyle w:val="TableParagraph"/>
              <w:ind w:left="114" w:right="155"/>
              <w:rPr>
                <w:sz w:val="20"/>
              </w:rPr>
            </w:pPr>
            <w:r>
              <w:rPr>
                <w:sz w:val="20"/>
              </w:rPr>
              <w:t>State and local government cash and security holdings, other than trust funds, in millions of dollars (NASBO used to apply changes to estimate most recent years, in italics)</w:t>
            </w:r>
          </w:p>
        </w:tc>
        <w:tc>
          <w:tcPr>
            <w:tcW w:w="6482" w:type="dxa"/>
          </w:tcPr>
          <w:p w14:paraId="7D631033" w14:textId="77777777" w:rsidR="0046798B" w:rsidRDefault="0046798B">
            <w:pPr>
              <w:pStyle w:val="TableParagraph"/>
            </w:pPr>
          </w:p>
          <w:p w14:paraId="5C71769A" w14:textId="77777777" w:rsidR="0046798B" w:rsidRDefault="0046798B">
            <w:pPr>
              <w:pStyle w:val="TableParagraph"/>
              <w:spacing w:before="4"/>
              <w:rPr>
                <w:sz w:val="21"/>
              </w:rPr>
            </w:pPr>
          </w:p>
          <w:p w14:paraId="07DFD860"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DE8144F" w14:textId="77777777">
        <w:trPr>
          <w:trHeight w:val="1005"/>
        </w:trPr>
        <w:tc>
          <w:tcPr>
            <w:tcW w:w="1711" w:type="dxa"/>
          </w:tcPr>
          <w:p w14:paraId="142B7053" w14:textId="77777777" w:rsidR="0046798B" w:rsidRDefault="0046798B">
            <w:pPr>
              <w:pStyle w:val="TableParagraph"/>
            </w:pPr>
          </w:p>
          <w:p w14:paraId="6180E097" w14:textId="77777777" w:rsidR="0046798B" w:rsidRDefault="00903B5C">
            <w:pPr>
              <w:pStyle w:val="TableParagraph"/>
              <w:spacing w:before="130"/>
              <w:ind w:left="115"/>
              <w:rPr>
                <w:b/>
                <w:sz w:val="20"/>
              </w:rPr>
            </w:pPr>
            <w:r>
              <w:rPr>
                <w:b/>
                <w:sz w:val="20"/>
              </w:rPr>
              <w:t>apersinc</w:t>
            </w:r>
          </w:p>
        </w:tc>
        <w:tc>
          <w:tcPr>
            <w:tcW w:w="1596" w:type="dxa"/>
          </w:tcPr>
          <w:p w14:paraId="2834E2CA" w14:textId="77777777" w:rsidR="0046798B" w:rsidRDefault="00903B5C">
            <w:pPr>
              <w:pStyle w:val="TableParagraph"/>
              <w:spacing w:before="38"/>
              <w:ind w:left="114" w:right="124"/>
              <w:rPr>
                <w:sz w:val="20"/>
              </w:rPr>
            </w:pPr>
            <w:r>
              <w:rPr>
                <w:sz w:val="20"/>
              </w:rPr>
              <w:t>Personal income in millions of dollars, fiscal year</w:t>
            </w:r>
          </w:p>
        </w:tc>
        <w:tc>
          <w:tcPr>
            <w:tcW w:w="1285" w:type="dxa"/>
          </w:tcPr>
          <w:p w14:paraId="0FED225F" w14:textId="77777777" w:rsidR="0046798B" w:rsidRDefault="0046798B">
            <w:pPr>
              <w:pStyle w:val="TableParagraph"/>
            </w:pPr>
          </w:p>
          <w:p w14:paraId="174C58D3" w14:textId="77777777" w:rsidR="0046798B" w:rsidRDefault="00903B5C">
            <w:pPr>
              <w:pStyle w:val="TableParagraph"/>
              <w:spacing w:before="130"/>
              <w:ind w:left="114"/>
              <w:rPr>
                <w:sz w:val="20"/>
              </w:rPr>
            </w:pPr>
            <w:r>
              <w:rPr>
                <w:sz w:val="20"/>
              </w:rPr>
              <w:t>1957–2017</w:t>
            </w:r>
          </w:p>
        </w:tc>
        <w:tc>
          <w:tcPr>
            <w:tcW w:w="3421" w:type="dxa"/>
          </w:tcPr>
          <w:p w14:paraId="66F866F9" w14:textId="77777777" w:rsidR="0046798B" w:rsidRDefault="0046798B">
            <w:pPr>
              <w:pStyle w:val="TableParagraph"/>
              <w:spacing w:before="3"/>
              <w:rPr>
                <w:sz w:val="23"/>
              </w:rPr>
            </w:pPr>
          </w:p>
          <w:p w14:paraId="629353DE" w14:textId="77777777" w:rsidR="0046798B" w:rsidRDefault="00903B5C">
            <w:pPr>
              <w:pStyle w:val="TableParagraph"/>
              <w:ind w:left="114" w:right="177"/>
              <w:rPr>
                <w:sz w:val="20"/>
              </w:rPr>
            </w:pPr>
            <w:r>
              <w:rPr>
                <w:sz w:val="20"/>
              </w:rPr>
              <w:t>Personal income in millions of dollars, fiscal year</w:t>
            </w:r>
          </w:p>
        </w:tc>
        <w:tc>
          <w:tcPr>
            <w:tcW w:w="6482" w:type="dxa"/>
          </w:tcPr>
          <w:p w14:paraId="49055DB0" w14:textId="77777777" w:rsidR="0046798B" w:rsidRDefault="00903B5C">
            <w:pPr>
              <w:pStyle w:val="TableParagraph"/>
              <w:spacing w:before="15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CCBBB3F" w14:textId="77777777">
        <w:trPr>
          <w:trHeight w:val="1005"/>
        </w:trPr>
        <w:tc>
          <w:tcPr>
            <w:tcW w:w="1711" w:type="dxa"/>
          </w:tcPr>
          <w:p w14:paraId="7B5FFFB3" w14:textId="77777777" w:rsidR="0046798B" w:rsidRDefault="0046798B">
            <w:pPr>
              <w:pStyle w:val="TableParagraph"/>
            </w:pPr>
          </w:p>
          <w:p w14:paraId="2CE17089" w14:textId="77777777" w:rsidR="0046798B" w:rsidRDefault="00903B5C">
            <w:pPr>
              <w:pStyle w:val="TableParagraph"/>
              <w:spacing w:before="135"/>
              <w:ind w:left="115"/>
              <w:rPr>
                <w:b/>
                <w:sz w:val="20"/>
              </w:rPr>
            </w:pPr>
            <w:r>
              <w:rPr>
                <w:b/>
                <w:sz w:val="20"/>
              </w:rPr>
              <w:t>apersinca</w:t>
            </w:r>
          </w:p>
        </w:tc>
        <w:tc>
          <w:tcPr>
            <w:tcW w:w="1596" w:type="dxa"/>
          </w:tcPr>
          <w:p w14:paraId="5FA71102" w14:textId="77777777" w:rsidR="0046798B" w:rsidRDefault="00903B5C">
            <w:pPr>
              <w:pStyle w:val="TableParagraph"/>
              <w:spacing w:before="43"/>
              <w:ind w:left="114" w:right="330"/>
              <w:rPr>
                <w:sz w:val="20"/>
              </w:rPr>
            </w:pPr>
            <w:r>
              <w:rPr>
                <w:sz w:val="20"/>
              </w:rPr>
              <w:t>Personal income, fiscal year, concept two</w:t>
            </w:r>
          </w:p>
        </w:tc>
        <w:tc>
          <w:tcPr>
            <w:tcW w:w="1285" w:type="dxa"/>
          </w:tcPr>
          <w:p w14:paraId="27446061" w14:textId="77777777" w:rsidR="0046798B" w:rsidRDefault="0046798B">
            <w:pPr>
              <w:pStyle w:val="TableParagraph"/>
            </w:pPr>
          </w:p>
          <w:p w14:paraId="05323D3D" w14:textId="77777777" w:rsidR="0046798B" w:rsidRDefault="00903B5C">
            <w:pPr>
              <w:pStyle w:val="TableParagraph"/>
              <w:spacing w:before="135"/>
              <w:ind w:left="114"/>
              <w:rPr>
                <w:sz w:val="20"/>
              </w:rPr>
            </w:pPr>
            <w:r>
              <w:rPr>
                <w:sz w:val="20"/>
              </w:rPr>
              <w:t>2000–2017</w:t>
            </w:r>
          </w:p>
        </w:tc>
        <w:tc>
          <w:tcPr>
            <w:tcW w:w="3421" w:type="dxa"/>
          </w:tcPr>
          <w:p w14:paraId="7363F206" w14:textId="77777777" w:rsidR="0046798B" w:rsidRDefault="00903B5C">
            <w:pPr>
              <w:pStyle w:val="TableParagraph"/>
              <w:spacing w:before="158"/>
              <w:ind w:left="114" w:right="300"/>
              <w:rPr>
                <w:sz w:val="20"/>
              </w:rPr>
            </w:pPr>
            <w:r>
              <w:rPr>
                <w:sz w:val="20"/>
              </w:rPr>
              <w:t>Personal income, fiscal year, concept two: apersinc + acapgain + aben – asupp</w:t>
            </w:r>
          </w:p>
        </w:tc>
        <w:tc>
          <w:tcPr>
            <w:tcW w:w="6482" w:type="dxa"/>
          </w:tcPr>
          <w:p w14:paraId="5C48B81B"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5EDB5F1D" w14:textId="77777777" w:rsidR="0046798B" w:rsidRDefault="0046798B">
      <w:pPr>
        <w:rPr>
          <w:sz w:val="20"/>
        </w:rPr>
        <w:sectPr w:rsidR="0046798B">
          <w:pgSz w:w="15840" w:h="12240" w:orient="landscape"/>
          <w:pgMar w:top="1220" w:right="300" w:bottom="980" w:left="820" w:header="730" w:footer="787" w:gutter="0"/>
          <w:cols w:space="720"/>
        </w:sectPr>
      </w:pPr>
    </w:p>
    <w:p w14:paraId="20DCC5DC"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9979D24" w14:textId="77777777">
        <w:trPr>
          <w:trHeight w:val="1005"/>
        </w:trPr>
        <w:tc>
          <w:tcPr>
            <w:tcW w:w="1711" w:type="dxa"/>
          </w:tcPr>
          <w:p w14:paraId="509F5918" w14:textId="77777777" w:rsidR="0046798B" w:rsidRDefault="0046798B">
            <w:pPr>
              <w:pStyle w:val="TableParagraph"/>
            </w:pPr>
          </w:p>
          <w:p w14:paraId="0C29D533" w14:textId="77777777" w:rsidR="0046798B" w:rsidRDefault="00903B5C">
            <w:pPr>
              <w:pStyle w:val="TableParagraph"/>
              <w:spacing w:before="135"/>
              <w:ind w:left="115"/>
              <w:rPr>
                <w:b/>
                <w:sz w:val="20"/>
              </w:rPr>
            </w:pPr>
            <w:r>
              <w:rPr>
                <w:b/>
                <w:sz w:val="20"/>
              </w:rPr>
              <w:t>apersinccy</w:t>
            </w:r>
          </w:p>
        </w:tc>
        <w:tc>
          <w:tcPr>
            <w:tcW w:w="1596" w:type="dxa"/>
          </w:tcPr>
          <w:p w14:paraId="3BE4B316" w14:textId="77777777" w:rsidR="0046798B" w:rsidRDefault="00903B5C">
            <w:pPr>
              <w:pStyle w:val="TableParagraph"/>
              <w:spacing w:before="43"/>
              <w:ind w:left="114" w:right="124"/>
              <w:rPr>
                <w:sz w:val="20"/>
              </w:rPr>
            </w:pPr>
            <w:r>
              <w:rPr>
                <w:sz w:val="20"/>
              </w:rPr>
              <w:t>Personal income in millions of dollars, calendar year</w:t>
            </w:r>
          </w:p>
        </w:tc>
        <w:tc>
          <w:tcPr>
            <w:tcW w:w="1285" w:type="dxa"/>
          </w:tcPr>
          <w:p w14:paraId="4FB71740" w14:textId="77777777" w:rsidR="0046798B" w:rsidRDefault="0046798B">
            <w:pPr>
              <w:pStyle w:val="TableParagraph"/>
            </w:pPr>
          </w:p>
          <w:p w14:paraId="3E03DE4C" w14:textId="77777777" w:rsidR="0046798B" w:rsidRDefault="00903B5C">
            <w:pPr>
              <w:pStyle w:val="TableParagraph"/>
              <w:spacing w:before="135"/>
              <w:ind w:left="114"/>
              <w:rPr>
                <w:sz w:val="20"/>
              </w:rPr>
            </w:pPr>
            <w:r>
              <w:rPr>
                <w:sz w:val="20"/>
              </w:rPr>
              <w:t>1957–2016</w:t>
            </w:r>
          </w:p>
        </w:tc>
        <w:tc>
          <w:tcPr>
            <w:tcW w:w="3421" w:type="dxa"/>
          </w:tcPr>
          <w:p w14:paraId="3573E09A" w14:textId="77777777" w:rsidR="0046798B" w:rsidRDefault="0046798B">
            <w:pPr>
              <w:pStyle w:val="TableParagraph"/>
              <w:spacing w:before="9"/>
              <w:rPr>
                <w:sz w:val="23"/>
              </w:rPr>
            </w:pPr>
          </w:p>
          <w:p w14:paraId="397C495D" w14:textId="77777777" w:rsidR="0046798B" w:rsidRDefault="00903B5C">
            <w:pPr>
              <w:pStyle w:val="TableParagraph"/>
              <w:ind w:left="114" w:right="177"/>
              <w:rPr>
                <w:sz w:val="20"/>
              </w:rPr>
            </w:pPr>
            <w:r>
              <w:rPr>
                <w:sz w:val="20"/>
              </w:rPr>
              <w:t>Personal income in millions of dollars, calendar year</w:t>
            </w:r>
          </w:p>
        </w:tc>
        <w:tc>
          <w:tcPr>
            <w:tcW w:w="6482" w:type="dxa"/>
          </w:tcPr>
          <w:p w14:paraId="70175152"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588491B" w14:textId="77777777">
        <w:trPr>
          <w:trHeight w:val="775"/>
        </w:trPr>
        <w:tc>
          <w:tcPr>
            <w:tcW w:w="1711" w:type="dxa"/>
          </w:tcPr>
          <w:p w14:paraId="58744CB6" w14:textId="77777777" w:rsidR="0046798B" w:rsidRDefault="0046798B">
            <w:pPr>
              <w:pStyle w:val="TableParagraph"/>
              <w:spacing w:before="8"/>
              <w:rPr>
                <w:sz w:val="23"/>
              </w:rPr>
            </w:pPr>
          </w:p>
          <w:p w14:paraId="00AFCBC5" w14:textId="77777777" w:rsidR="0046798B" w:rsidRDefault="00903B5C">
            <w:pPr>
              <w:pStyle w:val="TableParagraph"/>
              <w:spacing w:before="1"/>
              <w:ind w:left="115"/>
              <w:rPr>
                <w:b/>
                <w:sz w:val="20"/>
              </w:rPr>
            </w:pPr>
            <w:r>
              <w:rPr>
                <w:b/>
                <w:sz w:val="20"/>
              </w:rPr>
              <w:t>aasstpi</w:t>
            </w:r>
          </w:p>
        </w:tc>
        <w:tc>
          <w:tcPr>
            <w:tcW w:w="1596" w:type="dxa"/>
          </w:tcPr>
          <w:p w14:paraId="7328FC63" w14:textId="77777777" w:rsidR="0046798B" w:rsidRDefault="00903B5C">
            <w:pPr>
              <w:pStyle w:val="TableParagraph"/>
              <w:spacing w:before="43"/>
              <w:ind w:left="114" w:right="252"/>
              <w:rPr>
                <w:sz w:val="20"/>
              </w:rPr>
            </w:pPr>
            <w:r>
              <w:rPr>
                <w:sz w:val="20"/>
              </w:rPr>
              <w:t>Cash and security assets,</w:t>
            </w:r>
          </w:p>
          <w:p w14:paraId="0667482C" w14:textId="77777777" w:rsidR="0046798B" w:rsidRDefault="00903B5C">
            <w:pPr>
              <w:pStyle w:val="TableParagraph"/>
              <w:spacing w:before="1"/>
              <w:ind w:left="114"/>
              <w:rPr>
                <w:sz w:val="20"/>
              </w:rPr>
            </w:pPr>
            <w:r>
              <w:rPr>
                <w:sz w:val="20"/>
              </w:rPr>
              <w:t>% of income</w:t>
            </w:r>
          </w:p>
        </w:tc>
        <w:tc>
          <w:tcPr>
            <w:tcW w:w="1285" w:type="dxa"/>
          </w:tcPr>
          <w:p w14:paraId="434875B5" w14:textId="77777777" w:rsidR="0046798B" w:rsidRDefault="0046798B">
            <w:pPr>
              <w:pStyle w:val="TableParagraph"/>
              <w:spacing w:before="8"/>
              <w:rPr>
                <w:sz w:val="23"/>
              </w:rPr>
            </w:pPr>
          </w:p>
          <w:p w14:paraId="4DD883A9" w14:textId="77777777" w:rsidR="0046798B" w:rsidRDefault="00903B5C">
            <w:pPr>
              <w:pStyle w:val="TableParagraph"/>
              <w:spacing w:before="1"/>
              <w:ind w:left="114"/>
              <w:rPr>
                <w:sz w:val="20"/>
              </w:rPr>
            </w:pPr>
            <w:r>
              <w:rPr>
                <w:sz w:val="20"/>
              </w:rPr>
              <w:t>1995–2017</w:t>
            </w:r>
          </w:p>
        </w:tc>
        <w:tc>
          <w:tcPr>
            <w:tcW w:w="3421" w:type="dxa"/>
          </w:tcPr>
          <w:p w14:paraId="063FBB3F" w14:textId="77777777" w:rsidR="0046798B" w:rsidRDefault="00903B5C">
            <w:pPr>
              <w:pStyle w:val="TableParagraph"/>
              <w:spacing w:before="158"/>
              <w:ind w:left="114" w:right="216"/>
              <w:rPr>
                <w:sz w:val="20"/>
              </w:rPr>
            </w:pPr>
            <w:r>
              <w:rPr>
                <w:sz w:val="20"/>
              </w:rPr>
              <w:t>Cash and security assets, % of income (aslcash / apersinc)</w:t>
            </w:r>
          </w:p>
        </w:tc>
        <w:tc>
          <w:tcPr>
            <w:tcW w:w="6482" w:type="dxa"/>
          </w:tcPr>
          <w:p w14:paraId="55FF12FD"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EE8E035" w14:textId="77777777">
        <w:trPr>
          <w:trHeight w:val="1010"/>
        </w:trPr>
        <w:tc>
          <w:tcPr>
            <w:tcW w:w="1711" w:type="dxa"/>
          </w:tcPr>
          <w:p w14:paraId="48695871" w14:textId="77777777" w:rsidR="0046798B" w:rsidRDefault="0046798B">
            <w:pPr>
              <w:pStyle w:val="TableParagraph"/>
            </w:pPr>
          </w:p>
          <w:p w14:paraId="0C72B368" w14:textId="77777777" w:rsidR="0046798B" w:rsidRDefault="00903B5C">
            <w:pPr>
              <w:pStyle w:val="TableParagraph"/>
              <w:spacing w:before="135"/>
              <w:ind w:left="115"/>
              <w:rPr>
                <w:b/>
                <w:sz w:val="20"/>
              </w:rPr>
            </w:pPr>
            <w:r>
              <w:rPr>
                <w:b/>
                <w:sz w:val="20"/>
              </w:rPr>
              <w:t>aasstpia</w:t>
            </w:r>
          </w:p>
        </w:tc>
        <w:tc>
          <w:tcPr>
            <w:tcW w:w="1596" w:type="dxa"/>
          </w:tcPr>
          <w:p w14:paraId="275953C8" w14:textId="77777777" w:rsidR="0046798B" w:rsidRDefault="00903B5C">
            <w:pPr>
              <w:pStyle w:val="TableParagraph"/>
              <w:spacing w:before="43"/>
              <w:ind w:left="114" w:right="252"/>
              <w:rPr>
                <w:sz w:val="20"/>
              </w:rPr>
            </w:pPr>
            <w:r>
              <w:rPr>
                <w:sz w:val="20"/>
              </w:rPr>
              <w:t>Cash and security assets,</w:t>
            </w:r>
          </w:p>
          <w:p w14:paraId="28EFDF92" w14:textId="77777777" w:rsidR="0046798B" w:rsidRDefault="00903B5C">
            <w:pPr>
              <w:pStyle w:val="TableParagraph"/>
              <w:ind w:left="114" w:right="229"/>
              <w:rPr>
                <w:sz w:val="20"/>
              </w:rPr>
            </w:pPr>
            <w:r>
              <w:rPr>
                <w:sz w:val="20"/>
              </w:rPr>
              <w:t>% of income, concept two</w:t>
            </w:r>
          </w:p>
        </w:tc>
        <w:tc>
          <w:tcPr>
            <w:tcW w:w="1285" w:type="dxa"/>
          </w:tcPr>
          <w:p w14:paraId="1560BB8F" w14:textId="77777777" w:rsidR="0046798B" w:rsidRDefault="0046798B">
            <w:pPr>
              <w:pStyle w:val="TableParagraph"/>
            </w:pPr>
          </w:p>
          <w:p w14:paraId="3B08166B" w14:textId="77777777" w:rsidR="0046798B" w:rsidRDefault="00903B5C">
            <w:pPr>
              <w:pStyle w:val="TableParagraph"/>
              <w:spacing w:before="135"/>
              <w:ind w:left="114"/>
              <w:rPr>
                <w:sz w:val="20"/>
              </w:rPr>
            </w:pPr>
            <w:r>
              <w:rPr>
                <w:sz w:val="20"/>
              </w:rPr>
              <w:t>2000–2017</w:t>
            </w:r>
          </w:p>
        </w:tc>
        <w:tc>
          <w:tcPr>
            <w:tcW w:w="3421" w:type="dxa"/>
          </w:tcPr>
          <w:p w14:paraId="4050ECEC" w14:textId="77777777" w:rsidR="0046798B" w:rsidRDefault="0046798B">
            <w:pPr>
              <w:pStyle w:val="TableParagraph"/>
              <w:spacing w:before="8"/>
              <w:rPr>
                <w:sz w:val="23"/>
              </w:rPr>
            </w:pPr>
          </w:p>
          <w:p w14:paraId="7B9E02B5" w14:textId="77777777" w:rsidR="0046798B" w:rsidRDefault="00903B5C">
            <w:pPr>
              <w:pStyle w:val="TableParagraph"/>
              <w:spacing w:before="1"/>
              <w:ind w:left="114" w:right="166"/>
              <w:rPr>
                <w:sz w:val="20"/>
              </w:rPr>
            </w:pPr>
            <w:r>
              <w:rPr>
                <w:sz w:val="20"/>
              </w:rPr>
              <w:t>Cash and security assets, % of income, concept two (aslcash / apersinca)</w:t>
            </w:r>
          </w:p>
        </w:tc>
        <w:tc>
          <w:tcPr>
            <w:tcW w:w="6482" w:type="dxa"/>
          </w:tcPr>
          <w:p w14:paraId="77DAC5F3" w14:textId="77777777" w:rsidR="0046798B" w:rsidRDefault="00903B5C">
            <w:pPr>
              <w:pStyle w:val="TableParagraph"/>
              <w:spacing w:before="158"/>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7E489FB" w14:textId="77777777">
        <w:trPr>
          <w:trHeight w:val="1235"/>
        </w:trPr>
        <w:tc>
          <w:tcPr>
            <w:tcW w:w="1711" w:type="dxa"/>
          </w:tcPr>
          <w:p w14:paraId="66EE1E81" w14:textId="77777777" w:rsidR="0046798B" w:rsidRDefault="0046798B">
            <w:pPr>
              <w:pStyle w:val="TableParagraph"/>
            </w:pPr>
          </w:p>
          <w:p w14:paraId="58151F1E" w14:textId="77777777" w:rsidR="0046798B" w:rsidRDefault="0046798B">
            <w:pPr>
              <w:pStyle w:val="TableParagraph"/>
              <w:spacing w:before="4"/>
              <w:rPr>
                <w:sz w:val="21"/>
              </w:rPr>
            </w:pPr>
          </w:p>
          <w:p w14:paraId="3D579D16" w14:textId="77777777" w:rsidR="0046798B" w:rsidRDefault="00903B5C">
            <w:pPr>
              <w:pStyle w:val="TableParagraph"/>
              <w:ind w:left="115"/>
              <w:rPr>
                <w:b/>
                <w:sz w:val="20"/>
              </w:rPr>
            </w:pPr>
            <w:r>
              <w:rPr>
                <w:b/>
                <w:sz w:val="20"/>
              </w:rPr>
              <w:t>aben</w:t>
            </w:r>
          </w:p>
        </w:tc>
        <w:tc>
          <w:tcPr>
            <w:tcW w:w="1596" w:type="dxa"/>
          </w:tcPr>
          <w:p w14:paraId="65323101" w14:textId="77777777" w:rsidR="0046798B" w:rsidRDefault="00903B5C">
            <w:pPr>
              <w:pStyle w:val="TableParagraph"/>
              <w:spacing w:before="38"/>
              <w:ind w:left="114" w:right="117"/>
              <w:rPr>
                <w:sz w:val="20"/>
              </w:rPr>
            </w:pPr>
            <w:r>
              <w:rPr>
                <w:sz w:val="20"/>
              </w:rPr>
              <w:t xml:space="preserve">Taxable pensions and annuity, </w:t>
            </w:r>
            <w:r>
              <w:rPr>
                <w:spacing w:val="-3"/>
                <w:sz w:val="20"/>
              </w:rPr>
              <w:t xml:space="preserve">millions </w:t>
            </w:r>
            <w:r>
              <w:rPr>
                <w:sz w:val="20"/>
              </w:rPr>
              <w:t>of dollars, calendar</w:t>
            </w:r>
            <w:r>
              <w:rPr>
                <w:spacing w:val="-2"/>
                <w:sz w:val="20"/>
              </w:rPr>
              <w:t xml:space="preserve"> </w:t>
            </w:r>
            <w:r>
              <w:rPr>
                <w:sz w:val="20"/>
              </w:rPr>
              <w:t>year</w:t>
            </w:r>
          </w:p>
        </w:tc>
        <w:tc>
          <w:tcPr>
            <w:tcW w:w="1285" w:type="dxa"/>
          </w:tcPr>
          <w:p w14:paraId="518ECF4D" w14:textId="77777777" w:rsidR="0046798B" w:rsidRDefault="0046798B">
            <w:pPr>
              <w:pStyle w:val="TableParagraph"/>
            </w:pPr>
          </w:p>
          <w:p w14:paraId="6EB391F0" w14:textId="77777777" w:rsidR="0046798B" w:rsidRDefault="0046798B">
            <w:pPr>
              <w:pStyle w:val="TableParagraph"/>
              <w:spacing w:before="4"/>
              <w:rPr>
                <w:sz w:val="21"/>
              </w:rPr>
            </w:pPr>
          </w:p>
          <w:p w14:paraId="79F2A3A3" w14:textId="77777777" w:rsidR="0046798B" w:rsidRDefault="00903B5C">
            <w:pPr>
              <w:pStyle w:val="TableParagraph"/>
              <w:ind w:left="114"/>
              <w:rPr>
                <w:sz w:val="20"/>
              </w:rPr>
            </w:pPr>
            <w:r>
              <w:rPr>
                <w:sz w:val="20"/>
              </w:rPr>
              <w:t>2004–2017</w:t>
            </w:r>
          </w:p>
        </w:tc>
        <w:tc>
          <w:tcPr>
            <w:tcW w:w="3421" w:type="dxa"/>
          </w:tcPr>
          <w:p w14:paraId="6C7CA35E" w14:textId="77777777" w:rsidR="0046798B" w:rsidRDefault="0046798B">
            <w:pPr>
              <w:pStyle w:val="TableParagraph"/>
              <w:spacing w:before="4"/>
              <w:rPr>
                <w:sz w:val="23"/>
              </w:rPr>
            </w:pPr>
          </w:p>
          <w:p w14:paraId="0494306F" w14:textId="77777777" w:rsidR="0046798B" w:rsidRDefault="00903B5C">
            <w:pPr>
              <w:pStyle w:val="TableParagraph"/>
              <w:ind w:left="114" w:right="138"/>
              <w:rPr>
                <w:sz w:val="20"/>
              </w:rPr>
            </w:pPr>
            <w:r>
              <w:rPr>
                <w:sz w:val="20"/>
              </w:rPr>
              <w:t>Taxable pensions and annuity, millions of dollars, calendar year (carried forward as needed)</w:t>
            </w:r>
          </w:p>
        </w:tc>
        <w:tc>
          <w:tcPr>
            <w:tcW w:w="6482" w:type="dxa"/>
          </w:tcPr>
          <w:p w14:paraId="4412B95D" w14:textId="77777777" w:rsidR="0046798B" w:rsidRDefault="0046798B">
            <w:pPr>
              <w:pStyle w:val="TableParagraph"/>
              <w:spacing w:before="4"/>
              <w:rPr>
                <w:sz w:val="23"/>
              </w:rPr>
            </w:pPr>
          </w:p>
          <w:p w14:paraId="1D5DF09D"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DAAB597" w14:textId="77777777">
        <w:trPr>
          <w:trHeight w:val="1235"/>
        </w:trPr>
        <w:tc>
          <w:tcPr>
            <w:tcW w:w="1711" w:type="dxa"/>
          </w:tcPr>
          <w:p w14:paraId="558E3EF2" w14:textId="77777777" w:rsidR="0046798B" w:rsidRDefault="0046798B">
            <w:pPr>
              <w:pStyle w:val="TableParagraph"/>
            </w:pPr>
          </w:p>
          <w:p w14:paraId="4D119ECF" w14:textId="77777777" w:rsidR="0046798B" w:rsidRDefault="0046798B">
            <w:pPr>
              <w:pStyle w:val="TableParagraph"/>
              <w:spacing w:before="4"/>
              <w:rPr>
                <w:sz w:val="21"/>
              </w:rPr>
            </w:pPr>
          </w:p>
          <w:p w14:paraId="38063D52" w14:textId="77777777" w:rsidR="0046798B" w:rsidRDefault="00903B5C">
            <w:pPr>
              <w:pStyle w:val="TableParagraph"/>
              <w:ind w:left="115"/>
              <w:rPr>
                <w:b/>
                <w:sz w:val="20"/>
              </w:rPr>
            </w:pPr>
            <w:r>
              <w:rPr>
                <w:b/>
                <w:sz w:val="20"/>
              </w:rPr>
              <w:t>acapgain</w:t>
            </w:r>
          </w:p>
        </w:tc>
        <w:tc>
          <w:tcPr>
            <w:tcW w:w="1596" w:type="dxa"/>
          </w:tcPr>
          <w:p w14:paraId="626B4FA0" w14:textId="77777777" w:rsidR="0046798B" w:rsidRDefault="00903B5C">
            <w:pPr>
              <w:pStyle w:val="TableParagraph"/>
              <w:spacing w:before="38"/>
              <w:ind w:left="114" w:right="130"/>
              <w:rPr>
                <w:sz w:val="20"/>
              </w:rPr>
            </w:pPr>
            <w:r>
              <w:rPr>
                <w:sz w:val="20"/>
              </w:rPr>
              <w:t>Net capital gain, less loss, millions of dollars, calendar year</w:t>
            </w:r>
          </w:p>
        </w:tc>
        <w:tc>
          <w:tcPr>
            <w:tcW w:w="1285" w:type="dxa"/>
          </w:tcPr>
          <w:p w14:paraId="49DA88FD" w14:textId="77777777" w:rsidR="0046798B" w:rsidRDefault="0046798B">
            <w:pPr>
              <w:pStyle w:val="TableParagraph"/>
            </w:pPr>
          </w:p>
          <w:p w14:paraId="5FC61FE9" w14:textId="77777777" w:rsidR="0046798B" w:rsidRDefault="0046798B">
            <w:pPr>
              <w:pStyle w:val="TableParagraph"/>
              <w:spacing w:before="4"/>
              <w:rPr>
                <w:sz w:val="21"/>
              </w:rPr>
            </w:pPr>
          </w:p>
          <w:p w14:paraId="4EC30ADB" w14:textId="77777777" w:rsidR="0046798B" w:rsidRDefault="00903B5C">
            <w:pPr>
              <w:pStyle w:val="TableParagraph"/>
              <w:ind w:left="114"/>
              <w:rPr>
                <w:sz w:val="20"/>
              </w:rPr>
            </w:pPr>
            <w:r>
              <w:rPr>
                <w:sz w:val="20"/>
              </w:rPr>
              <w:t>2004–2017</w:t>
            </w:r>
          </w:p>
        </w:tc>
        <w:tc>
          <w:tcPr>
            <w:tcW w:w="3421" w:type="dxa"/>
          </w:tcPr>
          <w:p w14:paraId="2B844BE7" w14:textId="77777777" w:rsidR="0046798B" w:rsidRDefault="0046798B">
            <w:pPr>
              <w:pStyle w:val="TableParagraph"/>
              <w:spacing w:before="4"/>
              <w:rPr>
                <w:sz w:val="23"/>
              </w:rPr>
            </w:pPr>
          </w:p>
          <w:p w14:paraId="0D609651" w14:textId="77777777" w:rsidR="0046798B" w:rsidRDefault="00903B5C">
            <w:pPr>
              <w:pStyle w:val="TableParagraph"/>
              <w:ind w:left="114" w:right="150"/>
              <w:rPr>
                <w:sz w:val="20"/>
              </w:rPr>
            </w:pPr>
            <w:r>
              <w:rPr>
                <w:sz w:val="20"/>
              </w:rPr>
              <w:t>Net capital gain, less loss, millions of dollars, calendar year (carried forward as needed)</w:t>
            </w:r>
          </w:p>
        </w:tc>
        <w:tc>
          <w:tcPr>
            <w:tcW w:w="6482" w:type="dxa"/>
          </w:tcPr>
          <w:p w14:paraId="4D735A25" w14:textId="77777777" w:rsidR="0046798B" w:rsidRDefault="0046798B">
            <w:pPr>
              <w:pStyle w:val="TableParagraph"/>
              <w:spacing w:before="4"/>
              <w:rPr>
                <w:sz w:val="23"/>
              </w:rPr>
            </w:pPr>
          </w:p>
          <w:p w14:paraId="5D562A89" w14:textId="77777777" w:rsidR="0046798B" w:rsidRDefault="00903B5C">
            <w:pPr>
              <w:pStyle w:val="TableParagraph"/>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288E7DD" w14:textId="77777777">
        <w:trPr>
          <w:trHeight w:val="1235"/>
        </w:trPr>
        <w:tc>
          <w:tcPr>
            <w:tcW w:w="1711" w:type="dxa"/>
          </w:tcPr>
          <w:p w14:paraId="29054A4F" w14:textId="77777777" w:rsidR="0046798B" w:rsidRDefault="0046798B">
            <w:pPr>
              <w:pStyle w:val="TableParagraph"/>
            </w:pPr>
          </w:p>
          <w:p w14:paraId="4B00741E" w14:textId="77777777" w:rsidR="0046798B" w:rsidRDefault="0046798B">
            <w:pPr>
              <w:pStyle w:val="TableParagraph"/>
              <w:spacing w:before="8"/>
              <w:rPr>
                <w:sz w:val="21"/>
              </w:rPr>
            </w:pPr>
          </w:p>
          <w:p w14:paraId="6B737E4F" w14:textId="77777777" w:rsidR="0046798B" w:rsidRDefault="00903B5C">
            <w:pPr>
              <w:pStyle w:val="TableParagraph"/>
              <w:spacing w:before="1"/>
              <w:ind w:left="115"/>
              <w:rPr>
                <w:b/>
                <w:sz w:val="20"/>
              </w:rPr>
            </w:pPr>
            <w:r>
              <w:rPr>
                <w:b/>
                <w:sz w:val="20"/>
              </w:rPr>
              <w:t>achgt</w:t>
            </w:r>
          </w:p>
        </w:tc>
        <w:tc>
          <w:tcPr>
            <w:tcW w:w="1596" w:type="dxa"/>
          </w:tcPr>
          <w:p w14:paraId="48C18D9E" w14:textId="77777777" w:rsidR="0046798B" w:rsidRDefault="00903B5C">
            <w:pPr>
              <w:pStyle w:val="TableParagraph"/>
              <w:spacing w:before="45" w:line="237" w:lineRule="auto"/>
              <w:ind w:left="114" w:right="174"/>
              <w:rPr>
                <w:sz w:val="20"/>
              </w:rPr>
            </w:pPr>
            <w:r>
              <w:rPr>
                <w:sz w:val="20"/>
              </w:rPr>
              <w:t>State and local revenues from current charges, in millions of dollars</w:t>
            </w:r>
          </w:p>
        </w:tc>
        <w:tc>
          <w:tcPr>
            <w:tcW w:w="1285" w:type="dxa"/>
          </w:tcPr>
          <w:p w14:paraId="4462B60C" w14:textId="77777777" w:rsidR="0046798B" w:rsidRDefault="0046798B">
            <w:pPr>
              <w:pStyle w:val="TableParagraph"/>
            </w:pPr>
          </w:p>
          <w:p w14:paraId="19EEC76C" w14:textId="77777777" w:rsidR="0046798B" w:rsidRDefault="0046798B">
            <w:pPr>
              <w:pStyle w:val="TableParagraph"/>
              <w:spacing w:before="8"/>
              <w:rPr>
                <w:sz w:val="21"/>
              </w:rPr>
            </w:pPr>
          </w:p>
          <w:p w14:paraId="786544A3" w14:textId="77777777" w:rsidR="0046798B" w:rsidRDefault="00903B5C">
            <w:pPr>
              <w:pStyle w:val="TableParagraph"/>
              <w:spacing w:before="1"/>
              <w:ind w:left="114"/>
              <w:rPr>
                <w:sz w:val="20"/>
              </w:rPr>
            </w:pPr>
            <w:r>
              <w:rPr>
                <w:sz w:val="20"/>
              </w:rPr>
              <w:t>1957–2015</w:t>
            </w:r>
          </w:p>
        </w:tc>
        <w:tc>
          <w:tcPr>
            <w:tcW w:w="3421" w:type="dxa"/>
          </w:tcPr>
          <w:p w14:paraId="60070937" w14:textId="77777777" w:rsidR="0046798B" w:rsidRDefault="0046798B">
            <w:pPr>
              <w:pStyle w:val="TableParagraph"/>
            </w:pPr>
          </w:p>
          <w:p w14:paraId="08F96152" w14:textId="77777777" w:rsidR="0046798B" w:rsidRDefault="00903B5C">
            <w:pPr>
              <w:pStyle w:val="TableParagraph"/>
              <w:spacing w:before="135"/>
              <w:ind w:left="114" w:right="283"/>
              <w:rPr>
                <w:sz w:val="20"/>
              </w:rPr>
            </w:pPr>
            <w:r>
              <w:rPr>
                <w:sz w:val="20"/>
              </w:rPr>
              <w:t>State and local revenues from current charges, in millions of dollars</w:t>
            </w:r>
          </w:p>
        </w:tc>
        <w:tc>
          <w:tcPr>
            <w:tcW w:w="6482" w:type="dxa"/>
          </w:tcPr>
          <w:p w14:paraId="62172E33" w14:textId="77777777" w:rsidR="0046798B" w:rsidRDefault="0046798B">
            <w:pPr>
              <w:pStyle w:val="TableParagraph"/>
              <w:spacing w:before="10"/>
              <w:rPr>
                <w:sz w:val="23"/>
              </w:rPr>
            </w:pPr>
          </w:p>
          <w:p w14:paraId="2E544933" w14:textId="77777777" w:rsidR="0046798B" w:rsidRDefault="00903B5C">
            <w:pPr>
              <w:pStyle w:val="TableParagraph"/>
              <w:spacing w:line="237" w:lineRule="auto"/>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D15C0B6" w14:textId="77777777">
        <w:trPr>
          <w:trHeight w:val="1465"/>
        </w:trPr>
        <w:tc>
          <w:tcPr>
            <w:tcW w:w="1711" w:type="dxa"/>
          </w:tcPr>
          <w:p w14:paraId="09340E49" w14:textId="77777777" w:rsidR="0046798B" w:rsidRDefault="0046798B">
            <w:pPr>
              <w:pStyle w:val="TableParagraph"/>
            </w:pPr>
          </w:p>
          <w:p w14:paraId="2D14C9E2" w14:textId="77777777" w:rsidR="0046798B" w:rsidRDefault="0046798B">
            <w:pPr>
              <w:pStyle w:val="TableParagraph"/>
              <w:spacing w:before="8"/>
              <w:rPr>
                <w:sz w:val="31"/>
              </w:rPr>
            </w:pPr>
          </w:p>
          <w:p w14:paraId="1191A1E5" w14:textId="77777777" w:rsidR="0046798B" w:rsidRDefault="00903B5C">
            <w:pPr>
              <w:pStyle w:val="TableParagraph"/>
              <w:spacing w:before="1"/>
              <w:ind w:left="115"/>
              <w:rPr>
                <w:b/>
                <w:sz w:val="20"/>
              </w:rPr>
            </w:pPr>
            <w:r>
              <w:rPr>
                <w:b/>
                <w:sz w:val="20"/>
              </w:rPr>
              <w:t>acinct</w:t>
            </w:r>
          </w:p>
        </w:tc>
        <w:tc>
          <w:tcPr>
            <w:tcW w:w="1596" w:type="dxa"/>
          </w:tcPr>
          <w:p w14:paraId="1AFC89E9" w14:textId="77777777" w:rsidR="0046798B" w:rsidRDefault="00903B5C">
            <w:pPr>
              <w:pStyle w:val="TableParagraph"/>
              <w:spacing w:before="43"/>
              <w:ind w:left="114" w:right="274"/>
              <w:rPr>
                <w:sz w:val="20"/>
              </w:rPr>
            </w:pPr>
            <w:r>
              <w:rPr>
                <w:sz w:val="20"/>
              </w:rPr>
              <w:t>State and local corporate income tax revenues, in millions of dollars</w:t>
            </w:r>
          </w:p>
        </w:tc>
        <w:tc>
          <w:tcPr>
            <w:tcW w:w="1285" w:type="dxa"/>
          </w:tcPr>
          <w:p w14:paraId="65438091" w14:textId="77777777" w:rsidR="0046798B" w:rsidRDefault="0046798B">
            <w:pPr>
              <w:pStyle w:val="TableParagraph"/>
            </w:pPr>
          </w:p>
          <w:p w14:paraId="69A81B1B" w14:textId="77777777" w:rsidR="0046798B" w:rsidRDefault="0046798B">
            <w:pPr>
              <w:pStyle w:val="TableParagraph"/>
              <w:spacing w:before="8"/>
              <w:rPr>
                <w:sz w:val="31"/>
              </w:rPr>
            </w:pPr>
          </w:p>
          <w:p w14:paraId="7124D23E" w14:textId="77777777" w:rsidR="0046798B" w:rsidRDefault="00903B5C">
            <w:pPr>
              <w:pStyle w:val="TableParagraph"/>
              <w:spacing w:before="1"/>
              <w:ind w:left="114"/>
              <w:rPr>
                <w:sz w:val="20"/>
              </w:rPr>
            </w:pPr>
            <w:r>
              <w:rPr>
                <w:sz w:val="20"/>
              </w:rPr>
              <w:t>1957–2015</w:t>
            </w:r>
          </w:p>
        </w:tc>
        <w:tc>
          <w:tcPr>
            <w:tcW w:w="3421" w:type="dxa"/>
          </w:tcPr>
          <w:p w14:paraId="2CA282E5" w14:textId="77777777" w:rsidR="0046798B" w:rsidRDefault="0046798B">
            <w:pPr>
              <w:pStyle w:val="TableParagraph"/>
            </w:pPr>
          </w:p>
          <w:p w14:paraId="71845418" w14:textId="77777777" w:rsidR="0046798B" w:rsidRDefault="0046798B">
            <w:pPr>
              <w:pStyle w:val="TableParagraph"/>
              <w:spacing w:before="8"/>
              <w:rPr>
                <w:sz w:val="21"/>
              </w:rPr>
            </w:pPr>
          </w:p>
          <w:p w14:paraId="7C9B12CD" w14:textId="77777777" w:rsidR="0046798B" w:rsidRDefault="00903B5C">
            <w:pPr>
              <w:pStyle w:val="TableParagraph"/>
              <w:spacing w:before="1"/>
              <w:ind w:left="114" w:right="361"/>
              <w:rPr>
                <w:sz w:val="20"/>
              </w:rPr>
            </w:pPr>
            <w:r>
              <w:rPr>
                <w:sz w:val="20"/>
              </w:rPr>
              <w:t>State and local corporate income tax revenues, in millions of dollars</w:t>
            </w:r>
          </w:p>
        </w:tc>
        <w:tc>
          <w:tcPr>
            <w:tcW w:w="6482" w:type="dxa"/>
          </w:tcPr>
          <w:p w14:paraId="642D4CDD" w14:textId="77777777" w:rsidR="0046798B" w:rsidRDefault="0046798B">
            <w:pPr>
              <w:pStyle w:val="TableParagraph"/>
            </w:pPr>
          </w:p>
          <w:p w14:paraId="38EAA702" w14:textId="77777777" w:rsidR="0046798B" w:rsidRDefault="00903B5C">
            <w:pPr>
              <w:pStyle w:val="TableParagraph"/>
              <w:spacing w:before="135"/>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3795C85" w14:textId="77777777">
        <w:trPr>
          <w:trHeight w:val="1235"/>
        </w:trPr>
        <w:tc>
          <w:tcPr>
            <w:tcW w:w="1711" w:type="dxa"/>
          </w:tcPr>
          <w:p w14:paraId="668EB672" w14:textId="77777777" w:rsidR="0046798B" w:rsidRDefault="0046798B">
            <w:pPr>
              <w:pStyle w:val="TableParagraph"/>
            </w:pPr>
          </w:p>
          <w:p w14:paraId="0BFA1353" w14:textId="77777777" w:rsidR="0046798B" w:rsidRDefault="0046798B">
            <w:pPr>
              <w:pStyle w:val="TableParagraph"/>
              <w:spacing w:before="8"/>
              <w:rPr>
                <w:sz w:val="21"/>
              </w:rPr>
            </w:pPr>
          </w:p>
          <w:p w14:paraId="13C41DD0" w14:textId="77777777" w:rsidR="0046798B" w:rsidRDefault="00903B5C">
            <w:pPr>
              <w:pStyle w:val="TableParagraph"/>
              <w:spacing w:before="1"/>
              <w:ind w:left="115"/>
              <w:rPr>
                <w:b/>
                <w:sz w:val="20"/>
              </w:rPr>
            </w:pPr>
            <w:r>
              <w:rPr>
                <w:b/>
                <w:sz w:val="20"/>
              </w:rPr>
              <w:t>acjarea</w:t>
            </w:r>
          </w:p>
        </w:tc>
        <w:tc>
          <w:tcPr>
            <w:tcW w:w="1596" w:type="dxa"/>
          </w:tcPr>
          <w:p w14:paraId="65B8730D" w14:textId="77777777" w:rsidR="0046798B" w:rsidRDefault="00903B5C">
            <w:pPr>
              <w:pStyle w:val="TableParagraph"/>
              <w:spacing w:before="43"/>
              <w:ind w:left="114" w:right="157"/>
              <w:rPr>
                <w:sz w:val="20"/>
              </w:rPr>
            </w:pPr>
            <w:r>
              <w:rPr>
                <w:sz w:val="20"/>
              </w:rPr>
              <w:t>Effective number of competing jurisdictions per 100 sq mi</w:t>
            </w:r>
          </w:p>
        </w:tc>
        <w:tc>
          <w:tcPr>
            <w:tcW w:w="1285" w:type="dxa"/>
          </w:tcPr>
          <w:p w14:paraId="7022A64B" w14:textId="77777777" w:rsidR="0046798B" w:rsidRDefault="0046798B">
            <w:pPr>
              <w:pStyle w:val="TableParagraph"/>
            </w:pPr>
          </w:p>
          <w:p w14:paraId="7C526CA6" w14:textId="77777777" w:rsidR="0046798B" w:rsidRDefault="0046798B">
            <w:pPr>
              <w:pStyle w:val="TableParagraph"/>
              <w:spacing w:before="8"/>
              <w:rPr>
                <w:sz w:val="21"/>
              </w:rPr>
            </w:pPr>
          </w:p>
          <w:p w14:paraId="011F219B" w14:textId="77777777" w:rsidR="0046798B" w:rsidRDefault="00903B5C">
            <w:pPr>
              <w:pStyle w:val="TableParagraph"/>
              <w:spacing w:before="1"/>
              <w:ind w:left="114"/>
              <w:rPr>
                <w:sz w:val="20"/>
              </w:rPr>
            </w:pPr>
            <w:r>
              <w:rPr>
                <w:sz w:val="20"/>
              </w:rPr>
              <w:t>1977–2015</w:t>
            </w:r>
          </w:p>
        </w:tc>
        <w:tc>
          <w:tcPr>
            <w:tcW w:w="3421" w:type="dxa"/>
          </w:tcPr>
          <w:p w14:paraId="2258F02E" w14:textId="77777777" w:rsidR="0046798B" w:rsidRDefault="0046798B">
            <w:pPr>
              <w:pStyle w:val="TableParagraph"/>
            </w:pPr>
          </w:p>
          <w:p w14:paraId="4902E961" w14:textId="77777777" w:rsidR="0046798B" w:rsidRDefault="00903B5C">
            <w:pPr>
              <w:pStyle w:val="TableParagraph"/>
              <w:spacing w:before="135"/>
              <w:ind w:left="114"/>
              <w:rPr>
                <w:sz w:val="20"/>
              </w:rPr>
            </w:pPr>
            <w:r>
              <w:rPr>
                <w:sz w:val="20"/>
              </w:rPr>
              <w:t>Effective number of competing jurisdictions per 100 sq mi</w:t>
            </w:r>
          </w:p>
        </w:tc>
        <w:tc>
          <w:tcPr>
            <w:tcW w:w="6482" w:type="dxa"/>
          </w:tcPr>
          <w:p w14:paraId="0FC01D53" w14:textId="77777777" w:rsidR="0046798B" w:rsidRDefault="0046798B">
            <w:pPr>
              <w:pStyle w:val="TableParagraph"/>
              <w:spacing w:before="8"/>
              <w:rPr>
                <w:sz w:val="23"/>
              </w:rPr>
            </w:pPr>
          </w:p>
          <w:p w14:paraId="5831A44F"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61DF0A6B" w14:textId="77777777" w:rsidR="0046798B" w:rsidRDefault="0046798B">
      <w:pPr>
        <w:rPr>
          <w:sz w:val="20"/>
        </w:rPr>
        <w:sectPr w:rsidR="0046798B">
          <w:pgSz w:w="15840" w:h="12240" w:orient="landscape"/>
          <w:pgMar w:top="1220" w:right="300" w:bottom="980" w:left="820" w:header="730" w:footer="787" w:gutter="0"/>
          <w:cols w:space="720"/>
        </w:sectPr>
      </w:pPr>
    </w:p>
    <w:p w14:paraId="449F9C3D"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3D8EA78E" w14:textId="77777777">
        <w:trPr>
          <w:trHeight w:val="775"/>
        </w:trPr>
        <w:tc>
          <w:tcPr>
            <w:tcW w:w="1711" w:type="dxa"/>
          </w:tcPr>
          <w:p w14:paraId="3A39A32E" w14:textId="77777777" w:rsidR="0046798B" w:rsidRDefault="0046798B">
            <w:pPr>
              <w:pStyle w:val="TableParagraph"/>
              <w:spacing w:before="9"/>
              <w:rPr>
                <w:sz w:val="23"/>
              </w:rPr>
            </w:pPr>
          </w:p>
          <w:p w14:paraId="5035FF71" w14:textId="77777777" w:rsidR="0046798B" w:rsidRDefault="00903B5C">
            <w:pPr>
              <w:pStyle w:val="TableParagraph"/>
              <w:ind w:left="115"/>
              <w:rPr>
                <w:b/>
                <w:sz w:val="20"/>
              </w:rPr>
            </w:pPr>
            <w:r>
              <w:rPr>
                <w:b/>
                <w:sz w:val="20"/>
              </w:rPr>
              <w:t>acorrpi</w:t>
            </w:r>
          </w:p>
        </w:tc>
        <w:tc>
          <w:tcPr>
            <w:tcW w:w="1596" w:type="dxa"/>
          </w:tcPr>
          <w:p w14:paraId="429562D3" w14:textId="77777777" w:rsidR="0046798B" w:rsidRDefault="00903B5C">
            <w:pPr>
              <w:pStyle w:val="TableParagraph"/>
              <w:spacing w:before="43"/>
              <w:ind w:left="114" w:right="246"/>
              <w:rPr>
                <w:sz w:val="20"/>
              </w:rPr>
            </w:pPr>
            <w:r>
              <w:rPr>
                <w:sz w:val="20"/>
              </w:rPr>
              <w:t>Corrections spending, % of income</w:t>
            </w:r>
          </w:p>
        </w:tc>
        <w:tc>
          <w:tcPr>
            <w:tcW w:w="1285" w:type="dxa"/>
          </w:tcPr>
          <w:p w14:paraId="77FD0B25" w14:textId="77777777" w:rsidR="0046798B" w:rsidRDefault="0046798B">
            <w:pPr>
              <w:pStyle w:val="TableParagraph"/>
              <w:spacing w:before="9"/>
              <w:rPr>
                <w:sz w:val="23"/>
              </w:rPr>
            </w:pPr>
          </w:p>
          <w:p w14:paraId="41A18A1F" w14:textId="77777777" w:rsidR="0046798B" w:rsidRDefault="00903B5C">
            <w:pPr>
              <w:pStyle w:val="TableParagraph"/>
              <w:ind w:left="114"/>
              <w:rPr>
                <w:sz w:val="20"/>
              </w:rPr>
            </w:pPr>
            <w:r>
              <w:rPr>
                <w:sz w:val="20"/>
              </w:rPr>
              <w:t>1957–2015</w:t>
            </w:r>
          </w:p>
        </w:tc>
        <w:tc>
          <w:tcPr>
            <w:tcW w:w="3421" w:type="dxa"/>
          </w:tcPr>
          <w:p w14:paraId="6D3C8E84" w14:textId="77777777" w:rsidR="0046798B" w:rsidRDefault="00903B5C">
            <w:pPr>
              <w:pStyle w:val="TableParagraph"/>
              <w:spacing w:before="158"/>
              <w:ind w:left="114" w:right="449"/>
              <w:rPr>
                <w:sz w:val="20"/>
              </w:rPr>
            </w:pPr>
            <w:r>
              <w:rPr>
                <w:sz w:val="20"/>
              </w:rPr>
              <w:t>Corrections spending, % of income (acorrspt / apersinc)</w:t>
            </w:r>
          </w:p>
        </w:tc>
        <w:tc>
          <w:tcPr>
            <w:tcW w:w="6482" w:type="dxa"/>
          </w:tcPr>
          <w:p w14:paraId="47345431"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98CF287" w14:textId="77777777">
        <w:trPr>
          <w:trHeight w:val="1695"/>
        </w:trPr>
        <w:tc>
          <w:tcPr>
            <w:tcW w:w="1711" w:type="dxa"/>
          </w:tcPr>
          <w:p w14:paraId="24BEBE91" w14:textId="77777777" w:rsidR="0046798B" w:rsidRDefault="0046798B">
            <w:pPr>
              <w:pStyle w:val="TableParagraph"/>
            </w:pPr>
          </w:p>
          <w:p w14:paraId="44A17B32" w14:textId="77777777" w:rsidR="0046798B" w:rsidRDefault="0046798B">
            <w:pPr>
              <w:pStyle w:val="TableParagraph"/>
            </w:pPr>
          </w:p>
          <w:p w14:paraId="020001B0" w14:textId="77777777" w:rsidR="0046798B" w:rsidRDefault="0046798B">
            <w:pPr>
              <w:pStyle w:val="TableParagraph"/>
              <w:spacing w:before="9"/>
              <w:rPr>
                <w:sz w:val="19"/>
              </w:rPr>
            </w:pPr>
          </w:p>
          <w:p w14:paraId="554D6C37" w14:textId="77777777" w:rsidR="0046798B" w:rsidRDefault="00903B5C">
            <w:pPr>
              <w:pStyle w:val="TableParagraph"/>
              <w:ind w:left="115"/>
              <w:rPr>
                <w:b/>
                <w:sz w:val="20"/>
              </w:rPr>
            </w:pPr>
            <w:r>
              <w:rPr>
                <w:b/>
                <w:sz w:val="20"/>
              </w:rPr>
              <w:t>acorrspt</w:t>
            </w:r>
          </w:p>
        </w:tc>
        <w:tc>
          <w:tcPr>
            <w:tcW w:w="1596" w:type="dxa"/>
          </w:tcPr>
          <w:p w14:paraId="163D6B6D" w14:textId="77777777" w:rsidR="0046798B" w:rsidRDefault="00903B5C">
            <w:pPr>
              <w:pStyle w:val="TableParagraph"/>
              <w:spacing w:before="43"/>
              <w:ind w:left="114" w:right="109"/>
              <w:rPr>
                <w:sz w:val="20"/>
              </w:rPr>
            </w:pPr>
            <w:r>
              <w:rPr>
                <w:sz w:val="20"/>
              </w:rPr>
              <w:t xml:space="preserve">State and local government </w:t>
            </w:r>
            <w:r>
              <w:rPr>
                <w:spacing w:val="-4"/>
                <w:sz w:val="20"/>
              </w:rPr>
              <w:t xml:space="preserve">total </w:t>
            </w:r>
            <w:r>
              <w:rPr>
                <w:sz w:val="20"/>
              </w:rPr>
              <w:t>corrections direct expenditure, in millions of dollars</w:t>
            </w:r>
          </w:p>
        </w:tc>
        <w:tc>
          <w:tcPr>
            <w:tcW w:w="1285" w:type="dxa"/>
          </w:tcPr>
          <w:p w14:paraId="4D4EFF3A" w14:textId="77777777" w:rsidR="0046798B" w:rsidRDefault="0046798B">
            <w:pPr>
              <w:pStyle w:val="TableParagraph"/>
            </w:pPr>
          </w:p>
          <w:p w14:paraId="6AA22A9C" w14:textId="77777777" w:rsidR="0046798B" w:rsidRDefault="0046798B">
            <w:pPr>
              <w:pStyle w:val="TableParagraph"/>
            </w:pPr>
          </w:p>
          <w:p w14:paraId="6A499B01" w14:textId="77777777" w:rsidR="0046798B" w:rsidRDefault="0046798B">
            <w:pPr>
              <w:pStyle w:val="TableParagraph"/>
              <w:spacing w:before="9"/>
              <w:rPr>
                <w:sz w:val="19"/>
              </w:rPr>
            </w:pPr>
          </w:p>
          <w:p w14:paraId="24CC6AA1" w14:textId="77777777" w:rsidR="0046798B" w:rsidRDefault="00903B5C">
            <w:pPr>
              <w:pStyle w:val="TableParagraph"/>
              <w:ind w:left="114"/>
              <w:rPr>
                <w:sz w:val="20"/>
              </w:rPr>
            </w:pPr>
            <w:r>
              <w:rPr>
                <w:sz w:val="20"/>
              </w:rPr>
              <w:t>1957–2015</w:t>
            </w:r>
          </w:p>
        </w:tc>
        <w:tc>
          <w:tcPr>
            <w:tcW w:w="3421" w:type="dxa"/>
          </w:tcPr>
          <w:p w14:paraId="5123603A" w14:textId="77777777" w:rsidR="0046798B" w:rsidRDefault="0046798B">
            <w:pPr>
              <w:pStyle w:val="TableParagraph"/>
            </w:pPr>
          </w:p>
          <w:p w14:paraId="552F84AF" w14:textId="77777777" w:rsidR="0046798B" w:rsidRDefault="0046798B">
            <w:pPr>
              <w:pStyle w:val="TableParagraph"/>
              <w:spacing w:before="8"/>
              <w:rPr>
                <w:sz w:val="21"/>
              </w:rPr>
            </w:pPr>
          </w:p>
          <w:p w14:paraId="1B0211D5" w14:textId="77777777" w:rsidR="0046798B" w:rsidRDefault="00903B5C">
            <w:pPr>
              <w:pStyle w:val="TableParagraph"/>
              <w:spacing w:before="1"/>
              <w:ind w:left="114" w:right="651"/>
              <w:jc w:val="both"/>
              <w:rPr>
                <w:sz w:val="20"/>
              </w:rPr>
            </w:pPr>
            <w:r>
              <w:rPr>
                <w:sz w:val="20"/>
              </w:rPr>
              <w:t>State and local government total corrections direct expenditure, in millions of dollars</w:t>
            </w:r>
          </w:p>
        </w:tc>
        <w:tc>
          <w:tcPr>
            <w:tcW w:w="6482" w:type="dxa"/>
          </w:tcPr>
          <w:p w14:paraId="3972CD34" w14:textId="77777777" w:rsidR="0046798B" w:rsidRDefault="0046798B">
            <w:pPr>
              <w:pStyle w:val="TableParagraph"/>
            </w:pPr>
          </w:p>
          <w:p w14:paraId="04371FE8" w14:textId="77777777" w:rsidR="0046798B" w:rsidRDefault="0046798B">
            <w:pPr>
              <w:pStyle w:val="TableParagraph"/>
              <w:spacing w:before="8"/>
              <w:rPr>
                <w:sz w:val="21"/>
              </w:rPr>
            </w:pPr>
          </w:p>
          <w:p w14:paraId="51CFBCDB"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B58A2D7" w14:textId="77777777">
        <w:trPr>
          <w:trHeight w:val="1240"/>
        </w:trPr>
        <w:tc>
          <w:tcPr>
            <w:tcW w:w="1711" w:type="dxa"/>
          </w:tcPr>
          <w:p w14:paraId="1F40FE23" w14:textId="77777777" w:rsidR="0046798B" w:rsidRDefault="0046798B">
            <w:pPr>
              <w:pStyle w:val="TableParagraph"/>
            </w:pPr>
          </w:p>
          <w:p w14:paraId="1B623712" w14:textId="77777777" w:rsidR="0046798B" w:rsidRDefault="0046798B">
            <w:pPr>
              <w:pStyle w:val="TableParagraph"/>
              <w:spacing w:before="9"/>
              <w:rPr>
                <w:sz w:val="21"/>
              </w:rPr>
            </w:pPr>
          </w:p>
          <w:p w14:paraId="21E7636A" w14:textId="77777777" w:rsidR="0046798B" w:rsidRDefault="00903B5C">
            <w:pPr>
              <w:pStyle w:val="TableParagraph"/>
              <w:ind w:left="115"/>
              <w:rPr>
                <w:b/>
                <w:sz w:val="20"/>
              </w:rPr>
            </w:pPr>
            <w:r>
              <w:rPr>
                <w:b/>
                <w:sz w:val="20"/>
              </w:rPr>
              <w:t>acredit</w:t>
            </w:r>
          </w:p>
        </w:tc>
        <w:tc>
          <w:tcPr>
            <w:tcW w:w="1596" w:type="dxa"/>
          </w:tcPr>
          <w:p w14:paraId="44DDA3FD" w14:textId="77777777" w:rsidR="0046798B" w:rsidRDefault="00903B5C">
            <w:pPr>
              <w:pStyle w:val="TableParagraph"/>
              <w:spacing w:before="43"/>
              <w:ind w:left="114" w:right="430"/>
              <w:rPr>
                <w:sz w:val="20"/>
              </w:rPr>
            </w:pPr>
            <w:r>
              <w:rPr>
                <w:sz w:val="20"/>
              </w:rPr>
              <w:t>State government credit rating, Standard &amp; Poor’s</w:t>
            </w:r>
          </w:p>
        </w:tc>
        <w:tc>
          <w:tcPr>
            <w:tcW w:w="1285" w:type="dxa"/>
          </w:tcPr>
          <w:p w14:paraId="05E8E985" w14:textId="77777777" w:rsidR="0046798B" w:rsidRDefault="0046798B">
            <w:pPr>
              <w:pStyle w:val="TableParagraph"/>
            </w:pPr>
          </w:p>
          <w:p w14:paraId="5353472A" w14:textId="77777777" w:rsidR="0046798B" w:rsidRDefault="0046798B">
            <w:pPr>
              <w:pStyle w:val="TableParagraph"/>
              <w:spacing w:before="9"/>
              <w:rPr>
                <w:sz w:val="21"/>
              </w:rPr>
            </w:pPr>
          </w:p>
          <w:p w14:paraId="3CDE0AC6" w14:textId="77777777" w:rsidR="0046798B" w:rsidRDefault="00903B5C">
            <w:pPr>
              <w:pStyle w:val="TableParagraph"/>
              <w:ind w:left="114"/>
              <w:rPr>
                <w:sz w:val="20"/>
              </w:rPr>
            </w:pPr>
            <w:r>
              <w:rPr>
                <w:sz w:val="20"/>
              </w:rPr>
              <w:t>2001–2016</w:t>
            </w:r>
          </w:p>
        </w:tc>
        <w:tc>
          <w:tcPr>
            <w:tcW w:w="3421" w:type="dxa"/>
          </w:tcPr>
          <w:p w14:paraId="2D5012B7" w14:textId="77777777" w:rsidR="0046798B" w:rsidRDefault="00903B5C">
            <w:pPr>
              <w:pStyle w:val="TableParagraph"/>
              <w:spacing w:before="43"/>
              <w:ind w:left="114" w:right="131"/>
              <w:rPr>
                <w:sz w:val="20"/>
              </w:rPr>
            </w:pPr>
            <w:r>
              <w:rPr>
                <w:sz w:val="20"/>
              </w:rPr>
              <w:t>State government credit rating, Standard &amp; Poor’s (0 = AAA, 1 = AA+, 2 = AA, 3 = AA-, 4 = A+, 5 = A,</w:t>
            </w:r>
          </w:p>
          <w:p w14:paraId="73EAC693" w14:textId="77777777" w:rsidR="0046798B" w:rsidRDefault="00903B5C">
            <w:pPr>
              <w:pStyle w:val="TableParagraph"/>
              <w:ind w:left="114"/>
              <w:rPr>
                <w:sz w:val="20"/>
              </w:rPr>
            </w:pPr>
            <w:r>
              <w:rPr>
                <w:sz w:val="20"/>
              </w:rPr>
              <w:t>6 = A-, 7 = BBB+, 8 = BBB)</w:t>
            </w:r>
          </w:p>
        </w:tc>
        <w:tc>
          <w:tcPr>
            <w:tcW w:w="6482" w:type="dxa"/>
          </w:tcPr>
          <w:p w14:paraId="10D0FC47" w14:textId="77777777" w:rsidR="0046798B" w:rsidRDefault="0046798B">
            <w:pPr>
              <w:pStyle w:val="TableParagraph"/>
              <w:spacing w:before="9"/>
              <w:rPr>
                <w:sz w:val="23"/>
              </w:rPr>
            </w:pPr>
          </w:p>
          <w:p w14:paraId="3C6AE179"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14E4027" w14:textId="77777777">
        <w:trPr>
          <w:trHeight w:val="775"/>
        </w:trPr>
        <w:tc>
          <w:tcPr>
            <w:tcW w:w="1711" w:type="dxa"/>
          </w:tcPr>
          <w:p w14:paraId="426C01AD" w14:textId="77777777" w:rsidR="0046798B" w:rsidRDefault="0046798B">
            <w:pPr>
              <w:pStyle w:val="TableParagraph"/>
              <w:spacing w:before="4"/>
              <w:rPr>
                <w:sz w:val="23"/>
              </w:rPr>
            </w:pPr>
          </w:p>
          <w:p w14:paraId="44890F28" w14:textId="77777777" w:rsidR="0046798B" w:rsidRDefault="00903B5C">
            <w:pPr>
              <w:pStyle w:val="TableParagraph"/>
              <w:ind w:left="115"/>
              <w:rPr>
                <w:b/>
                <w:sz w:val="20"/>
              </w:rPr>
            </w:pPr>
            <w:r>
              <w:rPr>
                <w:b/>
                <w:sz w:val="20"/>
              </w:rPr>
              <w:t>adebtpi</w:t>
            </w:r>
          </w:p>
        </w:tc>
        <w:tc>
          <w:tcPr>
            <w:tcW w:w="1596" w:type="dxa"/>
          </w:tcPr>
          <w:p w14:paraId="59174C0B" w14:textId="77777777" w:rsidR="0046798B" w:rsidRDefault="00903B5C">
            <w:pPr>
              <w:pStyle w:val="TableParagraph"/>
              <w:spacing w:before="153"/>
              <w:ind w:left="114" w:right="580"/>
              <w:rPr>
                <w:sz w:val="20"/>
              </w:rPr>
            </w:pPr>
            <w:r>
              <w:rPr>
                <w:sz w:val="20"/>
              </w:rPr>
              <w:t>Debt, % of income</w:t>
            </w:r>
          </w:p>
        </w:tc>
        <w:tc>
          <w:tcPr>
            <w:tcW w:w="1285" w:type="dxa"/>
          </w:tcPr>
          <w:p w14:paraId="6DCD2C04" w14:textId="77777777" w:rsidR="0046798B" w:rsidRDefault="0046798B">
            <w:pPr>
              <w:pStyle w:val="TableParagraph"/>
              <w:spacing w:before="4"/>
              <w:rPr>
                <w:sz w:val="23"/>
              </w:rPr>
            </w:pPr>
          </w:p>
          <w:p w14:paraId="731E967A" w14:textId="77777777" w:rsidR="0046798B" w:rsidRDefault="00903B5C">
            <w:pPr>
              <w:pStyle w:val="TableParagraph"/>
              <w:ind w:left="114"/>
              <w:rPr>
                <w:sz w:val="20"/>
              </w:rPr>
            </w:pPr>
            <w:r>
              <w:rPr>
                <w:sz w:val="20"/>
              </w:rPr>
              <w:t>1957–2015</w:t>
            </w:r>
          </w:p>
        </w:tc>
        <w:tc>
          <w:tcPr>
            <w:tcW w:w="3421" w:type="dxa"/>
          </w:tcPr>
          <w:p w14:paraId="777FBE6D" w14:textId="77777777" w:rsidR="0046798B" w:rsidRDefault="0046798B">
            <w:pPr>
              <w:pStyle w:val="TableParagraph"/>
              <w:spacing w:before="4"/>
              <w:rPr>
                <w:sz w:val="23"/>
              </w:rPr>
            </w:pPr>
          </w:p>
          <w:p w14:paraId="7AB96264" w14:textId="77777777" w:rsidR="0046798B" w:rsidRDefault="00903B5C">
            <w:pPr>
              <w:pStyle w:val="TableParagraph"/>
              <w:ind w:left="114"/>
              <w:rPr>
                <w:sz w:val="20"/>
              </w:rPr>
            </w:pPr>
            <w:r>
              <w:rPr>
                <w:sz w:val="20"/>
              </w:rPr>
              <w:t>Debt, % of income (asldebt / apersinc)</w:t>
            </w:r>
          </w:p>
        </w:tc>
        <w:tc>
          <w:tcPr>
            <w:tcW w:w="6482" w:type="dxa"/>
          </w:tcPr>
          <w:p w14:paraId="35008DD7" w14:textId="77777777" w:rsidR="0046798B" w:rsidRDefault="00903B5C">
            <w:pPr>
              <w:pStyle w:val="TableParagraph"/>
              <w:spacing w:before="3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0DAA451" w14:textId="77777777">
        <w:trPr>
          <w:trHeight w:val="775"/>
        </w:trPr>
        <w:tc>
          <w:tcPr>
            <w:tcW w:w="1711" w:type="dxa"/>
          </w:tcPr>
          <w:p w14:paraId="62000A35" w14:textId="77777777" w:rsidR="0046798B" w:rsidRDefault="0046798B">
            <w:pPr>
              <w:pStyle w:val="TableParagraph"/>
              <w:spacing w:before="3"/>
              <w:rPr>
                <w:sz w:val="23"/>
              </w:rPr>
            </w:pPr>
          </w:p>
          <w:p w14:paraId="36947EC7" w14:textId="77777777" w:rsidR="0046798B" w:rsidRDefault="00903B5C">
            <w:pPr>
              <w:pStyle w:val="TableParagraph"/>
              <w:spacing w:before="1"/>
              <w:ind w:left="115"/>
              <w:rPr>
                <w:b/>
                <w:sz w:val="20"/>
              </w:rPr>
            </w:pPr>
            <w:r>
              <w:rPr>
                <w:b/>
                <w:sz w:val="20"/>
              </w:rPr>
              <w:t>adebtpia</w:t>
            </w:r>
          </w:p>
        </w:tc>
        <w:tc>
          <w:tcPr>
            <w:tcW w:w="1596" w:type="dxa"/>
          </w:tcPr>
          <w:p w14:paraId="79D064DE" w14:textId="77777777" w:rsidR="0046798B" w:rsidRDefault="00903B5C">
            <w:pPr>
              <w:pStyle w:val="TableParagraph"/>
              <w:spacing w:before="38"/>
              <w:ind w:left="114" w:right="141"/>
              <w:rPr>
                <w:sz w:val="20"/>
              </w:rPr>
            </w:pPr>
            <w:r>
              <w:rPr>
                <w:sz w:val="20"/>
              </w:rPr>
              <w:t>Debt, % of income, concept two</w:t>
            </w:r>
          </w:p>
        </w:tc>
        <w:tc>
          <w:tcPr>
            <w:tcW w:w="1285" w:type="dxa"/>
          </w:tcPr>
          <w:p w14:paraId="4ABA8AEA" w14:textId="77777777" w:rsidR="0046798B" w:rsidRDefault="0046798B">
            <w:pPr>
              <w:pStyle w:val="TableParagraph"/>
              <w:spacing w:before="3"/>
              <w:rPr>
                <w:sz w:val="23"/>
              </w:rPr>
            </w:pPr>
          </w:p>
          <w:p w14:paraId="71700CFE" w14:textId="77777777" w:rsidR="0046798B" w:rsidRDefault="00903B5C">
            <w:pPr>
              <w:pStyle w:val="TableParagraph"/>
              <w:spacing w:before="1"/>
              <w:ind w:left="114"/>
              <w:rPr>
                <w:sz w:val="20"/>
              </w:rPr>
            </w:pPr>
            <w:r>
              <w:rPr>
                <w:sz w:val="20"/>
              </w:rPr>
              <w:t>2000–2015</w:t>
            </w:r>
          </w:p>
        </w:tc>
        <w:tc>
          <w:tcPr>
            <w:tcW w:w="3421" w:type="dxa"/>
          </w:tcPr>
          <w:p w14:paraId="72AF723E" w14:textId="77777777" w:rsidR="0046798B" w:rsidRDefault="00903B5C">
            <w:pPr>
              <w:pStyle w:val="TableParagraph"/>
              <w:spacing w:before="153"/>
              <w:ind w:left="114" w:right="694"/>
              <w:rPr>
                <w:sz w:val="20"/>
              </w:rPr>
            </w:pPr>
            <w:r>
              <w:rPr>
                <w:sz w:val="20"/>
              </w:rPr>
              <w:t>Debt, % of income, concept two (asldebt / apersinca)</w:t>
            </w:r>
          </w:p>
        </w:tc>
        <w:tc>
          <w:tcPr>
            <w:tcW w:w="6482" w:type="dxa"/>
          </w:tcPr>
          <w:p w14:paraId="4FBEAC09" w14:textId="77777777" w:rsidR="0046798B" w:rsidRDefault="00903B5C">
            <w:pPr>
              <w:pStyle w:val="TableParagraph"/>
              <w:spacing w:before="3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BCD4225" w14:textId="77777777">
        <w:trPr>
          <w:trHeight w:val="775"/>
        </w:trPr>
        <w:tc>
          <w:tcPr>
            <w:tcW w:w="1711" w:type="dxa"/>
          </w:tcPr>
          <w:p w14:paraId="3EDEA978" w14:textId="77777777" w:rsidR="0046798B" w:rsidRDefault="0046798B">
            <w:pPr>
              <w:pStyle w:val="TableParagraph"/>
              <w:spacing w:before="8"/>
              <w:rPr>
                <w:sz w:val="23"/>
              </w:rPr>
            </w:pPr>
          </w:p>
          <w:p w14:paraId="7F182599" w14:textId="77777777" w:rsidR="0046798B" w:rsidRDefault="00903B5C">
            <w:pPr>
              <w:pStyle w:val="TableParagraph"/>
              <w:spacing w:before="1"/>
              <w:ind w:left="115"/>
              <w:rPr>
                <w:b/>
                <w:sz w:val="20"/>
              </w:rPr>
            </w:pPr>
            <w:r>
              <w:rPr>
                <w:b/>
                <w:sz w:val="20"/>
              </w:rPr>
              <w:t>adjsppib</w:t>
            </w:r>
          </w:p>
        </w:tc>
        <w:tc>
          <w:tcPr>
            <w:tcW w:w="1596" w:type="dxa"/>
          </w:tcPr>
          <w:p w14:paraId="5C6769F2" w14:textId="77777777" w:rsidR="0046798B" w:rsidRDefault="00903B5C">
            <w:pPr>
              <w:pStyle w:val="TableParagraph"/>
              <w:spacing w:before="43"/>
              <w:ind w:left="114" w:right="91"/>
              <w:rPr>
                <w:sz w:val="20"/>
              </w:rPr>
            </w:pPr>
            <w:r>
              <w:rPr>
                <w:sz w:val="20"/>
              </w:rPr>
              <w:t>Unexpected total spending, concept B</w:t>
            </w:r>
          </w:p>
        </w:tc>
        <w:tc>
          <w:tcPr>
            <w:tcW w:w="1285" w:type="dxa"/>
          </w:tcPr>
          <w:p w14:paraId="0658636D" w14:textId="77777777" w:rsidR="0046798B" w:rsidRDefault="0046798B">
            <w:pPr>
              <w:pStyle w:val="TableParagraph"/>
              <w:spacing w:before="8"/>
              <w:rPr>
                <w:sz w:val="23"/>
              </w:rPr>
            </w:pPr>
          </w:p>
          <w:p w14:paraId="07EAFF67" w14:textId="77777777" w:rsidR="0046798B" w:rsidRDefault="00903B5C">
            <w:pPr>
              <w:pStyle w:val="TableParagraph"/>
              <w:spacing w:before="1"/>
              <w:ind w:left="114"/>
              <w:rPr>
                <w:sz w:val="20"/>
              </w:rPr>
            </w:pPr>
            <w:r>
              <w:rPr>
                <w:sz w:val="20"/>
              </w:rPr>
              <w:t>1957–2010</w:t>
            </w:r>
          </w:p>
        </w:tc>
        <w:tc>
          <w:tcPr>
            <w:tcW w:w="3421" w:type="dxa"/>
          </w:tcPr>
          <w:p w14:paraId="5D54CBBD" w14:textId="77777777" w:rsidR="0046798B" w:rsidRDefault="00903B5C">
            <w:pPr>
              <w:pStyle w:val="TableParagraph"/>
              <w:spacing w:before="158"/>
              <w:ind w:left="114" w:right="239"/>
              <w:rPr>
                <w:sz w:val="20"/>
              </w:rPr>
            </w:pPr>
            <w:r>
              <w:rPr>
                <w:sz w:val="20"/>
              </w:rPr>
              <w:t>Unexpected total spending, concept B (residuals: atotpib on agrantspi)</w:t>
            </w:r>
          </w:p>
        </w:tc>
        <w:tc>
          <w:tcPr>
            <w:tcW w:w="6482" w:type="dxa"/>
          </w:tcPr>
          <w:p w14:paraId="1918E9C7"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707738D" w14:textId="77777777">
        <w:trPr>
          <w:trHeight w:val="775"/>
        </w:trPr>
        <w:tc>
          <w:tcPr>
            <w:tcW w:w="1711" w:type="dxa"/>
          </w:tcPr>
          <w:p w14:paraId="3C6F70E4" w14:textId="77777777" w:rsidR="0046798B" w:rsidRDefault="0046798B">
            <w:pPr>
              <w:pStyle w:val="TableParagraph"/>
              <w:spacing w:before="9"/>
              <w:rPr>
                <w:sz w:val="23"/>
              </w:rPr>
            </w:pPr>
          </w:p>
          <w:p w14:paraId="1A4AA097" w14:textId="77777777" w:rsidR="0046798B" w:rsidRDefault="00903B5C">
            <w:pPr>
              <w:pStyle w:val="TableParagraph"/>
              <w:ind w:left="115"/>
              <w:rPr>
                <w:b/>
                <w:sz w:val="20"/>
              </w:rPr>
            </w:pPr>
            <w:r>
              <w:rPr>
                <w:b/>
                <w:sz w:val="20"/>
              </w:rPr>
              <w:t>adjsppic</w:t>
            </w:r>
          </w:p>
        </w:tc>
        <w:tc>
          <w:tcPr>
            <w:tcW w:w="1596" w:type="dxa"/>
          </w:tcPr>
          <w:p w14:paraId="3BFF7874" w14:textId="77777777" w:rsidR="0046798B" w:rsidRDefault="00903B5C">
            <w:pPr>
              <w:pStyle w:val="TableParagraph"/>
              <w:spacing w:before="43"/>
              <w:ind w:left="114" w:right="91"/>
              <w:rPr>
                <w:sz w:val="20"/>
              </w:rPr>
            </w:pPr>
            <w:r>
              <w:rPr>
                <w:sz w:val="20"/>
              </w:rPr>
              <w:t>Unexpected total spending, concept C</w:t>
            </w:r>
          </w:p>
        </w:tc>
        <w:tc>
          <w:tcPr>
            <w:tcW w:w="1285" w:type="dxa"/>
          </w:tcPr>
          <w:p w14:paraId="52BCCB70" w14:textId="77777777" w:rsidR="0046798B" w:rsidRDefault="0046798B">
            <w:pPr>
              <w:pStyle w:val="TableParagraph"/>
              <w:spacing w:before="9"/>
              <w:rPr>
                <w:sz w:val="23"/>
              </w:rPr>
            </w:pPr>
          </w:p>
          <w:p w14:paraId="2FD5649A" w14:textId="77777777" w:rsidR="0046798B" w:rsidRDefault="00903B5C">
            <w:pPr>
              <w:pStyle w:val="TableParagraph"/>
              <w:ind w:left="114"/>
              <w:rPr>
                <w:sz w:val="20"/>
              </w:rPr>
            </w:pPr>
            <w:r>
              <w:rPr>
                <w:sz w:val="20"/>
              </w:rPr>
              <w:t>1957–2010</w:t>
            </w:r>
          </w:p>
        </w:tc>
        <w:tc>
          <w:tcPr>
            <w:tcW w:w="3421" w:type="dxa"/>
          </w:tcPr>
          <w:p w14:paraId="2881246A" w14:textId="77777777" w:rsidR="0046798B" w:rsidRDefault="00903B5C">
            <w:pPr>
              <w:pStyle w:val="TableParagraph"/>
              <w:spacing w:before="158"/>
              <w:ind w:left="114" w:right="239"/>
              <w:rPr>
                <w:sz w:val="20"/>
              </w:rPr>
            </w:pPr>
            <w:r>
              <w:rPr>
                <w:sz w:val="20"/>
              </w:rPr>
              <w:t>Unexpected total spending, concept C (residuals: atotpic on agrantspi)</w:t>
            </w:r>
          </w:p>
        </w:tc>
        <w:tc>
          <w:tcPr>
            <w:tcW w:w="6482" w:type="dxa"/>
          </w:tcPr>
          <w:p w14:paraId="7D5EC062"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264A20C" w14:textId="77777777">
        <w:trPr>
          <w:trHeight w:val="775"/>
        </w:trPr>
        <w:tc>
          <w:tcPr>
            <w:tcW w:w="1711" w:type="dxa"/>
          </w:tcPr>
          <w:p w14:paraId="33E8BD1E" w14:textId="77777777" w:rsidR="0046798B" w:rsidRDefault="0046798B">
            <w:pPr>
              <w:pStyle w:val="TableParagraph"/>
              <w:spacing w:before="8"/>
              <w:rPr>
                <w:sz w:val="23"/>
              </w:rPr>
            </w:pPr>
          </w:p>
          <w:p w14:paraId="02ABFA06" w14:textId="77777777" w:rsidR="0046798B" w:rsidRDefault="00903B5C">
            <w:pPr>
              <w:pStyle w:val="TableParagraph"/>
              <w:spacing w:before="1"/>
              <w:ind w:left="115"/>
              <w:rPr>
                <w:b/>
                <w:sz w:val="20"/>
              </w:rPr>
            </w:pPr>
            <w:r>
              <w:rPr>
                <w:b/>
                <w:sz w:val="20"/>
              </w:rPr>
              <w:t>aedpi</w:t>
            </w:r>
          </w:p>
        </w:tc>
        <w:tc>
          <w:tcPr>
            <w:tcW w:w="1596" w:type="dxa"/>
          </w:tcPr>
          <w:p w14:paraId="1AA36EA8" w14:textId="77777777" w:rsidR="0046798B" w:rsidRDefault="00903B5C">
            <w:pPr>
              <w:pStyle w:val="TableParagraph"/>
              <w:spacing w:before="43"/>
              <w:ind w:left="114" w:right="246"/>
              <w:rPr>
                <w:sz w:val="20"/>
              </w:rPr>
            </w:pPr>
            <w:r>
              <w:rPr>
                <w:sz w:val="20"/>
              </w:rPr>
              <w:t>Educational spending, % of income</w:t>
            </w:r>
          </w:p>
        </w:tc>
        <w:tc>
          <w:tcPr>
            <w:tcW w:w="1285" w:type="dxa"/>
          </w:tcPr>
          <w:p w14:paraId="0AD8D889" w14:textId="77777777" w:rsidR="0046798B" w:rsidRDefault="0046798B">
            <w:pPr>
              <w:pStyle w:val="TableParagraph"/>
              <w:spacing w:before="8"/>
              <w:rPr>
                <w:sz w:val="23"/>
              </w:rPr>
            </w:pPr>
          </w:p>
          <w:p w14:paraId="3BF7BE69" w14:textId="77777777" w:rsidR="0046798B" w:rsidRDefault="00903B5C">
            <w:pPr>
              <w:pStyle w:val="TableParagraph"/>
              <w:spacing w:before="1"/>
              <w:ind w:left="114"/>
              <w:rPr>
                <w:sz w:val="20"/>
              </w:rPr>
            </w:pPr>
            <w:r>
              <w:rPr>
                <w:sz w:val="20"/>
              </w:rPr>
              <w:t>1957–2015</w:t>
            </w:r>
          </w:p>
        </w:tc>
        <w:tc>
          <w:tcPr>
            <w:tcW w:w="3421" w:type="dxa"/>
          </w:tcPr>
          <w:p w14:paraId="2A50964A" w14:textId="77777777" w:rsidR="0046798B" w:rsidRDefault="00903B5C">
            <w:pPr>
              <w:pStyle w:val="TableParagraph"/>
              <w:spacing w:before="158"/>
              <w:ind w:left="114" w:right="427"/>
              <w:rPr>
                <w:sz w:val="20"/>
              </w:rPr>
            </w:pPr>
            <w:r>
              <w:rPr>
                <w:sz w:val="20"/>
              </w:rPr>
              <w:t>Educational spending, % of income (aedspt / apersinc)</w:t>
            </w:r>
          </w:p>
        </w:tc>
        <w:tc>
          <w:tcPr>
            <w:tcW w:w="6482" w:type="dxa"/>
          </w:tcPr>
          <w:p w14:paraId="70A26E0B" w14:textId="77777777" w:rsidR="0046798B" w:rsidRDefault="00903B5C">
            <w:pPr>
              <w:pStyle w:val="TableParagraph"/>
              <w:spacing w:before="4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534B9A7" w14:textId="77777777">
        <w:trPr>
          <w:trHeight w:val="1010"/>
        </w:trPr>
        <w:tc>
          <w:tcPr>
            <w:tcW w:w="1711" w:type="dxa"/>
          </w:tcPr>
          <w:p w14:paraId="09A95831" w14:textId="77777777" w:rsidR="0046798B" w:rsidRDefault="0046798B">
            <w:pPr>
              <w:pStyle w:val="TableParagraph"/>
            </w:pPr>
          </w:p>
          <w:p w14:paraId="40A8FB42" w14:textId="77777777" w:rsidR="0046798B" w:rsidRDefault="00903B5C">
            <w:pPr>
              <w:pStyle w:val="TableParagraph"/>
              <w:spacing w:before="135"/>
              <w:ind w:left="115"/>
              <w:rPr>
                <w:b/>
                <w:sz w:val="20"/>
              </w:rPr>
            </w:pPr>
            <w:r>
              <w:rPr>
                <w:b/>
                <w:sz w:val="20"/>
              </w:rPr>
              <w:t>aedpia</w:t>
            </w:r>
          </w:p>
        </w:tc>
        <w:tc>
          <w:tcPr>
            <w:tcW w:w="1596" w:type="dxa"/>
          </w:tcPr>
          <w:p w14:paraId="2DBBFA4E" w14:textId="77777777" w:rsidR="0046798B" w:rsidRDefault="00903B5C">
            <w:pPr>
              <w:pStyle w:val="TableParagraph"/>
              <w:spacing w:before="158"/>
              <w:ind w:left="114" w:right="496"/>
              <w:rPr>
                <w:sz w:val="20"/>
              </w:rPr>
            </w:pPr>
            <w:r>
              <w:rPr>
                <w:sz w:val="20"/>
              </w:rPr>
              <w:t>Unexpected education spending</w:t>
            </w:r>
          </w:p>
        </w:tc>
        <w:tc>
          <w:tcPr>
            <w:tcW w:w="1285" w:type="dxa"/>
          </w:tcPr>
          <w:p w14:paraId="1F7E4852" w14:textId="77777777" w:rsidR="0046798B" w:rsidRDefault="0046798B">
            <w:pPr>
              <w:pStyle w:val="TableParagraph"/>
            </w:pPr>
          </w:p>
          <w:p w14:paraId="4AA93E4A" w14:textId="77777777" w:rsidR="0046798B" w:rsidRDefault="00903B5C">
            <w:pPr>
              <w:pStyle w:val="TableParagraph"/>
              <w:spacing w:before="135"/>
              <w:ind w:left="114"/>
              <w:rPr>
                <w:sz w:val="20"/>
              </w:rPr>
            </w:pPr>
            <w:r>
              <w:rPr>
                <w:sz w:val="20"/>
              </w:rPr>
              <w:t>2000–2015</w:t>
            </w:r>
          </w:p>
        </w:tc>
        <w:tc>
          <w:tcPr>
            <w:tcW w:w="3421" w:type="dxa"/>
          </w:tcPr>
          <w:p w14:paraId="59C7882E" w14:textId="77777777" w:rsidR="0046798B" w:rsidRDefault="00903B5C">
            <w:pPr>
              <w:pStyle w:val="TableParagraph"/>
              <w:spacing w:before="43"/>
              <w:ind w:left="114" w:right="583"/>
              <w:rPr>
                <w:sz w:val="20"/>
              </w:rPr>
            </w:pPr>
            <w:r>
              <w:rPr>
                <w:sz w:val="20"/>
              </w:rPr>
              <w:t>Unexpected education spending (modified by agrantspi, aschlpr, equation derived from diff-in-diff estimates)</w:t>
            </w:r>
          </w:p>
        </w:tc>
        <w:tc>
          <w:tcPr>
            <w:tcW w:w="6482" w:type="dxa"/>
          </w:tcPr>
          <w:p w14:paraId="56C02ABF"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72C31475" w14:textId="77777777" w:rsidR="0046798B" w:rsidRDefault="0046798B">
      <w:pPr>
        <w:rPr>
          <w:sz w:val="20"/>
        </w:rPr>
        <w:sectPr w:rsidR="0046798B">
          <w:pgSz w:w="15840" w:h="12240" w:orient="landscape"/>
          <w:pgMar w:top="1220" w:right="300" w:bottom="980" w:left="820" w:header="730" w:footer="787" w:gutter="0"/>
          <w:cols w:space="720"/>
        </w:sectPr>
      </w:pPr>
    </w:p>
    <w:p w14:paraId="40F4AFB6"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D52BA02" w14:textId="77777777">
        <w:trPr>
          <w:trHeight w:val="2156"/>
        </w:trPr>
        <w:tc>
          <w:tcPr>
            <w:tcW w:w="1711" w:type="dxa"/>
          </w:tcPr>
          <w:p w14:paraId="06059F7B" w14:textId="77777777" w:rsidR="0046798B" w:rsidRDefault="0046798B">
            <w:pPr>
              <w:pStyle w:val="TableParagraph"/>
            </w:pPr>
          </w:p>
          <w:p w14:paraId="20C3D44D" w14:textId="77777777" w:rsidR="0046798B" w:rsidRDefault="0046798B">
            <w:pPr>
              <w:pStyle w:val="TableParagraph"/>
            </w:pPr>
          </w:p>
          <w:p w14:paraId="13B464AB" w14:textId="77777777" w:rsidR="0046798B" w:rsidRDefault="0046798B">
            <w:pPr>
              <w:pStyle w:val="TableParagraph"/>
            </w:pPr>
          </w:p>
          <w:p w14:paraId="0A86ADAB" w14:textId="77777777" w:rsidR="0046798B" w:rsidRDefault="0046798B">
            <w:pPr>
              <w:pStyle w:val="TableParagraph"/>
              <w:spacing w:before="9"/>
              <w:rPr>
                <w:sz w:val="17"/>
              </w:rPr>
            </w:pPr>
          </w:p>
          <w:p w14:paraId="6BC13FC7" w14:textId="77777777" w:rsidR="0046798B" w:rsidRDefault="00903B5C">
            <w:pPr>
              <w:pStyle w:val="TableParagraph"/>
              <w:ind w:left="115"/>
              <w:rPr>
                <w:b/>
                <w:sz w:val="20"/>
              </w:rPr>
            </w:pPr>
            <w:r>
              <w:rPr>
                <w:b/>
                <w:sz w:val="20"/>
              </w:rPr>
              <w:t>aedspt</w:t>
            </w:r>
          </w:p>
        </w:tc>
        <w:tc>
          <w:tcPr>
            <w:tcW w:w="1596" w:type="dxa"/>
          </w:tcPr>
          <w:p w14:paraId="6FB89A25" w14:textId="77777777" w:rsidR="0046798B" w:rsidRDefault="00903B5C">
            <w:pPr>
              <w:pStyle w:val="TableParagraph"/>
              <w:spacing w:before="43"/>
              <w:ind w:left="114" w:right="91"/>
              <w:rPr>
                <w:sz w:val="20"/>
              </w:rPr>
            </w:pPr>
            <w:r>
              <w:rPr>
                <w:sz w:val="20"/>
              </w:rPr>
              <w:t>State and local government total education, including education assistance, direct expenditure, in millions of dollars</w:t>
            </w:r>
          </w:p>
        </w:tc>
        <w:tc>
          <w:tcPr>
            <w:tcW w:w="1285" w:type="dxa"/>
          </w:tcPr>
          <w:p w14:paraId="17FE6A2A" w14:textId="77777777" w:rsidR="0046798B" w:rsidRDefault="0046798B">
            <w:pPr>
              <w:pStyle w:val="TableParagraph"/>
            </w:pPr>
          </w:p>
          <w:p w14:paraId="163B9651" w14:textId="77777777" w:rsidR="0046798B" w:rsidRDefault="0046798B">
            <w:pPr>
              <w:pStyle w:val="TableParagraph"/>
            </w:pPr>
          </w:p>
          <w:p w14:paraId="070258BA" w14:textId="77777777" w:rsidR="0046798B" w:rsidRDefault="0046798B">
            <w:pPr>
              <w:pStyle w:val="TableParagraph"/>
            </w:pPr>
          </w:p>
          <w:p w14:paraId="00128D00" w14:textId="77777777" w:rsidR="0046798B" w:rsidRDefault="0046798B">
            <w:pPr>
              <w:pStyle w:val="TableParagraph"/>
              <w:spacing w:before="9"/>
              <w:rPr>
                <w:sz w:val="17"/>
              </w:rPr>
            </w:pPr>
          </w:p>
          <w:p w14:paraId="62B7D9AB" w14:textId="77777777" w:rsidR="0046798B" w:rsidRDefault="00903B5C">
            <w:pPr>
              <w:pStyle w:val="TableParagraph"/>
              <w:ind w:left="114"/>
              <w:rPr>
                <w:sz w:val="20"/>
              </w:rPr>
            </w:pPr>
            <w:r>
              <w:rPr>
                <w:sz w:val="20"/>
              </w:rPr>
              <w:t>1957–2015</w:t>
            </w:r>
          </w:p>
        </w:tc>
        <w:tc>
          <w:tcPr>
            <w:tcW w:w="3421" w:type="dxa"/>
          </w:tcPr>
          <w:p w14:paraId="42265674" w14:textId="77777777" w:rsidR="0046798B" w:rsidRDefault="0046798B">
            <w:pPr>
              <w:pStyle w:val="TableParagraph"/>
            </w:pPr>
          </w:p>
          <w:p w14:paraId="53CF85BE" w14:textId="77777777" w:rsidR="0046798B" w:rsidRDefault="0046798B">
            <w:pPr>
              <w:pStyle w:val="TableParagraph"/>
              <w:spacing w:before="9"/>
              <w:rPr>
                <w:sz w:val="31"/>
              </w:rPr>
            </w:pPr>
          </w:p>
          <w:p w14:paraId="5B4AAF8D" w14:textId="77777777" w:rsidR="0046798B" w:rsidRDefault="00903B5C">
            <w:pPr>
              <w:pStyle w:val="TableParagraph"/>
              <w:ind w:left="114" w:right="672"/>
              <w:rPr>
                <w:sz w:val="20"/>
              </w:rPr>
            </w:pPr>
            <w:r>
              <w:rPr>
                <w:sz w:val="20"/>
              </w:rPr>
              <w:t>State and local government total education, including education assistance, direct expenditure, in millions of dollars</w:t>
            </w:r>
          </w:p>
        </w:tc>
        <w:tc>
          <w:tcPr>
            <w:tcW w:w="6482" w:type="dxa"/>
          </w:tcPr>
          <w:p w14:paraId="5B3D92C8" w14:textId="77777777" w:rsidR="0046798B" w:rsidRDefault="0046798B">
            <w:pPr>
              <w:pStyle w:val="TableParagraph"/>
            </w:pPr>
          </w:p>
          <w:p w14:paraId="6434E556" w14:textId="77777777" w:rsidR="0046798B" w:rsidRDefault="0046798B">
            <w:pPr>
              <w:pStyle w:val="TableParagraph"/>
            </w:pPr>
          </w:p>
          <w:p w14:paraId="5C4EF68C" w14:textId="77777777" w:rsidR="0046798B" w:rsidRDefault="0046798B">
            <w:pPr>
              <w:pStyle w:val="TableParagraph"/>
              <w:spacing w:before="9"/>
              <w:rPr>
                <w:sz w:val="19"/>
              </w:rPr>
            </w:pPr>
          </w:p>
          <w:p w14:paraId="5C553EAF" w14:textId="77777777" w:rsidR="0046798B" w:rsidRDefault="00903B5C">
            <w:pPr>
              <w:pStyle w:val="TableParagraph"/>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8C40183" w14:textId="77777777">
        <w:trPr>
          <w:trHeight w:val="1005"/>
        </w:trPr>
        <w:tc>
          <w:tcPr>
            <w:tcW w:w="1711" w:type="dxa"/>
          </w:tcPr>
          <w:p w14:paraId="79B6B0EB" w14:textId="77777777" w:rsidR="0046798B" w:rsidRDefault="0046798B">
            <w:pPr>
              <w:pStyle w:val="TableParagraph"/>
            </w:pPr>
          </w:p>
          <w:p w14:paraId="70AE3189" w14:textId="77777777" w:rsidR="0046798B" w:rsidRDefault="00903B5C">
            <w:pPr>
              <w:pStyle w:val="TableParagraph"/>
              <w:spacing w:before="135"/>
              <w:ind w:left="115"/>
              <w:rPr>
                <w:b/>
                <w:sz w:val="20"/>
              </w:rPr>
            </w:pPr>
            <w:r>
              <w:rPr>
                <w:b/>
                <w:sz w:val="20"/>
              </w:rPr>
              <w:t>aencj</w:t>
            </w:r>
          </w:p>
        </w:tc>
        <w:tc>
          <w:tcPr>
            <w:tcW w:w="1596" w:type="dxa"/>
          </w:tcPr>
          <w:p w14:paraId="65AF52DF" w14:textId="77777777" w:rsidR="0046798B" w:rsidRDefault="00903B5C">
            <w:pPr>
              <w:pStyle w:val="TableParagraph"/>
              <w:spacing w:before="43"/>
              <w:ind w:left="114" w:right="463"/>
              <w:rPr>
                <w:sz w:val="20"/>
              </w:rPr>
            </w:pPr>
            <w:r>
              <w:rPr>
                <w:sz w:val="20"/>
              </w:rPr>
              <w:t>Effective number of competing jurisdictions</w:t>
            </w:r>
          </w:p>
        </w:tc>
        <w:tc>
          <w:tcPr>
            <w:tcW w:w="1285" w:type="dxa"/>
          </w:tcPr>
          <w:p w14:paraId="120B29D4" w14:textId="77777777" w:rsidR="0046798B" w:rsidRDefault="0046798B">
            <w:pPr>
              <w:pStyle w:val="TableParagraph"/>
            </w:pPr>
          </w:p>
          <w:p w14:paraId="5150644F" w14:textId="77777777" w:rsidR="0046798B" w:rsidRDefault="00903B5C">
            <w:pPr>
              <w:pStyle w:val="TableParagraph"/>
              <w:spacing w:before="135"/>
              <w:ind w:left="114"/>
              <w:rPr>
                <w:sz w:val="20"/>
              </w:rPr>
            </w:pPr>
            <w:r>
              <w:rPr>
                <w:sz w:val="20"/>
              </w:rPr>
              <w:t>1977–2015</w:t>
            </w:r>
          </w:p>
        </w:tc>
        <w:tc>
          <w:tcPr>
            <w:tcW w:w="3421" w:type="dxa"/>
          </w:tcPr>
          <w:p w14:paraId="142510AE" w14:textId="77777777" w:rsidR="0046798B" w:rsidRDefault="00903B5C">
            <w:pPr>
              <w:pStyle w:val="TableParagraph"/>
              <w:spacing w:before="43"/>
              <w:ind w:left="114" w:right="199"/>
              <w:rPr>
                <w:sz w:val="20"/>
              </w:rPr>
            </w:pPr>
            <w:r>
              <w:rPr>
                <w:sz w:val="20"/>
              </w:rPr>
              <w:t>Effective number of competing jurisdictions (weighted sum of general local jurisdictions, where own-source revenue share constitutes the weights)</w:t>
            </w:r>
          </w:p>
        </w:tc>
        <w:tc>
          <w:tcPr>
            <w:tcW w:w="6482" w:type="dxa"/>
          </w:tcPr>
          <w:p w14:paraId="6CFD9EDA"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D91581D" w14:textId="77777777">
        <w:trPr>
          <w:trHeight w:val="1010"/>
        </w:trPr>
        <w:tc>
          <w:tcPr>
            <w:tcW w:w="1711" w:type="dxa"/>
          </w:tcPr>
          <w:p w14:paraId="727AE337" w14:textId="77777777" w:rsidR="0046798B" w:rsidRDefault="0046798B">
            <w:pPr>
              <w:pStyle w:val="TableParagraph"/>
            </w:pPr>
          </w:p>
          <w:p w14:paraId="6F6BB302" w14:textId="77777777" w:rsidR="0046798B" w:rsidRDefault="00903B5C">
            <w:pPr>
              <w:pStyle w:val="TableParagraph"/>
              <w:spacing w:before="135"/>
              <w:ind w:left="115"/>
              <w:rPr>
                <w:b/>
                <w:sz w:val="20"/>
              </w:rPr>
            </w:pPr>
            <w:r>
              <w:rPr>
                <w:b/>
                <w:sz w:val="20"/>
              </w:rPr>
              <w:t>aerpi</w:t>
            </w:r>
          </w:p>
        </w:tc>
        <w:tc>
          <w:tcPr>
            <w:tcW w:w="1596" w:type="dxa"/>
          </w:tcPr>
          <w:p w14:paraId="11BF41A6" w14:textId="77777777" w:rsidR="0046798B" w:rsidRDefault="00903B5C">
            <w:pPr>
              <w:pStyle w:val="TableParagraph"/>
              <w:spacing w:before="43"/>
              <w:ind w:left="114" w:right="246"/>
              <w:rPr>
                <w:sz w:val="20"/>
              </w:rPr>
            </w:pPr>
            <w:r>
              <w:rPr>
                <w:sz w:val="20"/>
              </w:rPr>
              <w:t>Employee retirement spending, % of income</w:t>
            </w:r>
          </w:p>
        </w:tc>
        <w:tc>
          <w:tcPr>
            <w:tcW w:w="1285" w:type="dxa"/>
          </w:tcPr>
          <w:p w14:paraId="714642C3" w14:textId="77777777" w:rsidR="0046798B" w:rsidRDefault="0046798B">
            <w:pPr>
              <w:pStyle w:val="TableParagraph"/>
            </w:pPr>
          </w:p>
          <w:p w14:paraId="2F7C1B4B" w14:textId="77777777" w:rsidR="0046798B" w:rsidRDefault="00903B5C">
            <w:pPr>
              <w:pStyle w:val="TableParagraph"/>
              <w:spacing w:before="135"/>
              <w:ind w:left="114"/>
              <w:rPr>
                <w:sz w:val="20"/>
              </w:rPr>
            </w:pPr>
            <w:r>
              <w:rPr>
                <w:sz w:val="20"/>
              </w:rPr>
              <w:t>1957–2015</w:t>
            </w:r>
          </w:p>
        </w:tc>
        <w:tc>
          <w:tcPr>
            <w:tcW w:w="3421" w:type="dxa"/>
          </w:tcPr>
          <w:p w14:paraId="472FC7D0" w14:textId="77777777" w:rsidR="0046798B" w:rsidRDefault="0046798B">
            <w:pPr>
              <w:pStyle w:val="TableParagraph"/>
              <w:spacing w:before="8"/>
              <w:rPr>
                <w:sz w:val="23"/>
              </w:rPr>
            </w:pPr>
          </w:p>
          <w:p w14:paraId="0F115FEA" w14:textId="77777777" w:rsidR="0046798B" w:rsidRDefault="00903B5C">
            <w:pPr>
              <w:pStyle w:val="TableParagraph"/>
              <w:spacing w:before="1"/>
              <w:ind w:left="114" w:right="339"/>
              <w:rPr>
                <w:sz w:val="20"/>
              </w:rPr>
            </w:pPr>
            <w:r>
              <w:rPr>
                <w:sz w:val="20"/>
              </w:rPr>
              <w:t>Employee retirement spending, % of income (aerspt / apersinc)</w:t>
            </w:r>
          </w:p>
        </w:tc>
        <w:tc>
          <w:tcPr>
            <w:tcW w:w="6482" w:type="dxa"/>
          </w:tcPr>
          <w:p w14:paraId="28995652" w14:textId="77777777" w:rsidR="0046798B" w:rsidRDefault="00903B5C">
            <w:pPr>
              <w:pStyle w:val="TableParagraph"/>
              <w:spacing w:before="158"/>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5C9D4B6" w14:textId="77777777">
        <w:trPr>
          <w:trHeight w:val="2386"/>
        </w:trPr>
        <w:tc>
          <w:tcPr>
            <w:tcW w:w="1711" w:type="dxa"/>
          </w:tcPr>
          <w:p w14:paraId="6BEE1F95" w14:textId="77777777" w:rsidR="0046798B" w:rsidRDefault="0046798B">
            <w:pPr>
              <w:pStyle w:val="TableParagraph"/>
            </w:pPr>
          </w:p>
          <w:p w14:paraId="293E892C" w14:textId="77777777" w:rsidR="0046798B" w:rsidRDefault="0046798B">
            <w:pPr>
              <w:pStyle w:val="TableParagraph"/>
            </w:pPr>
          </w:p>
          <w:p w14:paraId="5F212224" w14:textId="77777777" w:rsidR="0046798B" w:rsidRDefault="0046798B">
            <w:pPr>
              <w:pStyle w:val="TableParagraph"/>
            </w:pPr>
          </w:p>
          <w:p w14:paraId="1527B205" w14:textId="77777777" w:rsidR="0046798B" w:rsidRDefault="0046798B">
            <w:pPr>
              <w:pStyle w:val="TableParagraph"/>
              <w:spacing w:before="4"/>
              <w:rPr>
                <w:sz w:val="27"/>
              </w:rPr>
            </w:pPr>
          </w:p>
          <w:p w14:paraId="2EE535B8" w14:textId="77777777" w:rsidR="0046798B" w:rsidRDefault="00903B5C">
            <w:pPr>
              <w:pStyle w:val="TableParagraph"/>
              <w:ind w:left="115"/>
              <w:rPr>
                <w:b/>
                <w:sz w:val="20"/>
              </w:rPr>
            </w:pPr>
            <w:r>
              <w:rPr>
                <w:b/>
                <w:sz w:val="20"/>
              </w:rPr>
              <w:t>aerspt</w:t>
            </w:r>
          </w:p>
        </w:tc>
        <w:tc>
          <w:tcPr>
            <w:tcW w:w="1596" w:type="dxa"/>
          </w:tcPr>
          <w:p w14:paraId="2A4AADC2" w14:textId="77777777" w:rsidR="0046798B" w:rsidRDefault="00903B5C">
            <w:pPr>
              <w:pStyle w:val="TableParagraph"/>
              <w:spacing w:before="38"/>
              <w:ind w:left="114" w:right="91"/>
              <w:rPr>
                <w:sz w:val="20"/>
              </w:rPr>
            </w:pPr>
            <w:r>
              <w:rPr>
                <w:sz w:val="20"/>
              </w:rPr>
              <w:t>State and local government total employee retirement expenditure (benefit payments and withdrawals), in millions of dollars</w:t>
            </w:r>
          </w:p>
        </w:tc>
        <w:tc>
          <w:tcPr>
            <w:tcW w:w="1285" w:type="dxa"/>
          </w:tcPr>
          <w:p w14:paraId="0DF8C41F" w14:textId="77777777" w:rsidR="0046798B" w:rsidRDefault="0046798B">
            <w:pPr>
              <w:pStyle w:val="TableParagraph"/>
            </w:pPr>
          </w:p>
          <w:p w14:paraId="1B88882B" w14:textId="77777777" w:rsidR="0046798B" w:rsidRDefault="0046798B">
            <w:pPr>
              <w:pStyle w:val="TableParagraph"/>
            </w:pPr>
          </w:p>
          <w:p w14:paraId="5FDCA838" w14:textId="77777777" w:rsidR="0046798B" w:rsidRDefault="0046798B">
            <w:pPr>
              <w:pStyle w:val="TableParagraph"/>
            </w:pPr>
          </w:p>
          <w:p w14:paraId="2F2E5AF0" w14:textId="77777777" w:rsidR="0046798B" w:rsidRDefault="0046798B">
            <w:pPr>
              <w:pStyle w:val="TableParagraph"/>
              <w:spacing w:before="4"/>
              <w:rPr>
                <w:sz w:val="27"/>
              </w:rPr>
            </w:pPr>
          </w:p>
          <w:p w14:paraId="206386ED" w14:textId="77777777" w:rsidR="0046798B" w:rsidRDefault="00903B5C">
            <w:pPr>
              <w:pStyle w:val="TableParagraph"/>
              <w:ind w:left="114"/>
              <w:rPr>
                <w:sz w:val="20"/>
              </w:rPr>
            </w:pPr>
            <w:r>
              <w:rPr>
                <w:sz w:val="20"/>
              </w:rPr>
              <w:t>1957–2015</w:t>
            </w:r>
          </w:p>
        </w:tc>
        <w:tc>
          <w:tcPr>
            <w:tcW w:w="3421" w:type="dxa"/>
          </w:tcPr>
          <w:p w14:paraId="253BEE7E" w14:textId="77777777" w:rsidR="0046798B" w:rsidRDefault="0046798B">
            <w:pPr>
              <w:pStyle w:val="TableParagraph"/>
            </w:pPr>
          </w:p>
          <w:p w14:paraId="07391AB0" w14:textId="77777777" w:rsidR="0046798B" w:rsidRDefault="0046798B">
            <w:pPr>
              <w:pStyle w:val="TableParagraph"/>
            </w:pPr>
          </w:p>
          <w:p w14:paraId="34C18D48" w14:textId="77777777" w:rsidR="0046798B" w:rsidRDefault="0046798B">
            <w:pPr>
              <w:pStyle w:val="TableParagraph"/>
              <w:spacing w:before="3"/>
              <w:rPr>
                <w:sz w:val="19"/>
              </w:rPr>
            </w:pPr>
          </w:p>
          <w:p w14:paraId="0055D79B" w14:textId="77777777" w:rsidR="0046798B" w:rsidRDefault="00903B5C">
            <w:pPr>
              <w:pStyle w:val="TableParagraph"/>
              <w:spacing w:before="1"/>
              <w:ind w:left="114" w:right="150"/>
              <w:rPr>
                <w:sz w:val="20"/>
              </w:rPr>
            </w:pPr>
            <w:r>
              <w:rPr>
                <w:sz w:val="20"/>
              </w:rPr>
              <w:t>State and local government total employee retirement expenditure (benefit payments and withdrawals), in millions of dollars</w:t>
            </w:r>
          </w:p>
        </w:tc>
        <w:tc>
          <w:tcPr>
            <w:tcW w:w="6482" w:type="dxa"/>
          </w:tcPr>
          <w:p w14:paraId="783CFD9E" w14:textId="77777777" w:rsidR="0046798B" w:rsidRDefault="0046798B">
            <w:pPr>
              <w:pStyle w:val="TableParagraph"/>
            </w:pPr>
          </w:p>
          <w:p w14:paraId="56DA8BF6" w14:textId="77777777" w:rsidR="0046798B" w:rsidRDefault="0046798B">
            <w:pPr>
              <w:pStyle w:val="TableParagraph"/>
            </w:pPr>
          </w:p>
          <w:p w14:paraId="19384472" w14:textId="77777777" w:rsidR="0046798B" w:rsidRDefault="0046798B">
            <w:pPr>
              <w:pStyle w:val="TableParagraph"/>
              <w:spacing w:before="3"/>
              <w:rPr>
                <w:sz w:val="29"/>
              </w:rPr>
            </w:pPr>
          </w:p>
          <w:p w14:paraId="1EA6885B"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EA87C24" w14:textId="77777777">
        <w:trPr>
          <w:trHeight w:val="1005"/>
        </w:trPr>
        <w:tc>
          <w:tcPr>
            <w:tcW w:w="1711" w:type="dxa"/>
          </w:tcPr>
          <w:p w14:paraId="5AF23929" w14:textId="77777777" w:rsidR="0046798B" w:rsidRDefault="0046798B">
            <w:pPr>
              <w:pStyle w:val="TableParagraph"/>
            </w:pPr>
          </w:p>
          <w:p w14:paraId="1987BB3B" w14:textId="77777777" w:rsidR="0046798B" w:rsidRDefault="00903B5C">
            <w:pPr>
              <w:pStyle w:val="TableParagraph"/>
              <w:spacing w:before="130"/>
              <w:ind w:left="115"/>
              <w:rPr>
                <w:b/>
                <w:sz w:val="20"/>
              </w:rPr>
            </w:pPr>
            <w:r>
              <w:rPr>
                <w:b/>
                <w:sz w:val="20"/>
              </w:rPr>
              <w:t>aesapi</w:t>
            </w:r>
          </w:p>
        </w:tc>
        <w:tc>
          <w:tcPr>
            <w:tcW w:w="1596" w:type="dxa"/>
          </w:tcPr>
          <w:p w14:paraId="0726780A" w14:textId="77777777" w:rsidR="0046798B" w:rsidRDefault="00903B5C">
            <w:pPr>
              <w:pStyle w:val="TableParagraph"/>
              <w:spacing w:before="38"/>
              <w:ind w:left="114" w:right="246"/>
              <w:rPr>
                <w:sz w:val="20"/>
              </w:rPr>
            </w:pPr>
            <w:r>
              <w:rPr>
                <w:sz w:val="20"/>
              </w:rPr>
              <w:t>Employment security spending, % of income</w:t>
            </w:r>
          </w:p>
        </w:tc>
        <w:tc>
          <w:tcPr>
            <w:tcW w:w="1285" w:type="dxa"/>
          </w:tcPr>
          <w:p w14:paraId="69D7D48C" w14:textId="77777777" w:rsidR="0046798B" w:rsidRDefault="0046798B">
            <w:pPr>
              <w:pStyle w:val="TableParagraph"/>
            </w:pPr>
          </w:p>
          <w:p w14:paraId="1801F28D" w14:textId="77777777" w:rsidR="0046798B" w:rsidRDefault="00903B5C">
            <w:pPr>
              <w:pStyle w:val="TableParagraph"/>
              <w:spacing w:before="130"/>
              <w:ind w:left="114"/>
              <w:rPr>
                <w:sz w:val="20"/>
              </w:rPr>
            </w:pPr>
            <w:r>
              <w:rPr>
                <w:sz w:val="20"/>
              </w:rPr>
              <w:t>1957–2015</w:t>
            </w:r>
          </w:p>
        </w:tc>
        <w:tc>
          <w:tcPr>
            <w:tcW w:w="3421" w:type="dxa"/>
          </w:tcPr>
          <w:p w14:paraId="1DC2D016" w14:textId="77777777" w:rsidR="0046798B" w:rsidRDefault="0046798B">
            <w:pPr>
              <w:pStyle w:val="TableParagraph"/>
              <w:spacing w:before="3"/>
              <w:rPr>
                <w:sz w:val="23"/>
              </w:rPr>
            </w:pPr>
          </w:p>
          <w:p w14:paraId="55B58CB2" w14:textId="77777777" w:rsidR="0046798B" w:rsidRDefault="00903B5C">
            <w:pPr>
              <w:pStyle w:val="TableParagraph"/>
              <w:ind w:left="114" w:right="305"/>
              <w:rPr>
                <w:sz w:val="20"/>
              </w:rPr>
            </w:pPr>
            <w:r>
              <w:rPr>
                <w:sz w:val="20"/>
              </w:rPr>
              <w:t>Employment security spending, % of income (aesaspt / apersinc)</w:t>
            </w:r>
          </w:p>
        </w:tc>
        <w:tc>
          <w:tcPr>
            <w:tcW w:w="6482" w:type="dxa"/>
          </w:tcPr>
          <w:p w14:paraId="30E3650D" w14:textId="77777777" w:rsidR="0046798B" w:rsidRDefault="00903B5C">
            <w:pPr>
              <w:pStyle w:val="TableParagraph"/>
              <w:spacing w:before="15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E2601B4" w14:textId="77777777">
        <w:trPr>
          <w:trHeight w:val="1695"/>
        </w:trPr>
        <w:tc>
          <w:tcPr>
            <w:tcW w:w="1711" w:type="dxa"/>
          </w:tcPr>
          <w:p w14:paraId="40AF3171" w14:textId="77777777" w:rsidR="0046798B" w:rsidRDefault="0046798B">
            <w:pPr>
              <w:pStyle w:val="TableParagraph"/>
            </w:pPr>
          </w:p>
          <w:p w14:paraId="1C089704" w14:textId="77777777" w:rsidR="0046798B" w:rsidRDefault="0046798B">
            <w:pPr>
              <w:pStyle w:val="TableParagraph"/>
            </w:pPr>
          </w:p>
          <w:p w14:paraId="10963B90" w14:textId="77777777" w:rsidR="0046798B" w:rsidRDefault="0046798B">
            <w:pPr>
              <w:pStyle w:val="TableParagraph"/>
              <w:spacing w:before="4"/>
              <w:rPr>
                <w:sz w:val="19"/>
              </w:rPr>
            </w:pPr>
          </w:p>
          <w:p w14:paraId="6E77C53F" w14:textId="77777777" w:rsidR="0046798B" w:rsidRDefault="00903B5C">
            <w:pPr>
              <w:pStyle w:val="TableParagraph"/>
              <w:ind w:left="115"/>
              <w:rPr>
                <w:b/>
                <w:sz w:val="20"/>
              </w:rPr>
            </w:pPr>
            <w:r>
              <w:rPr>
                <w:b/>
                <w:sz w:val="20"/>
              </w:rPr>
              <w:t>aesaspt</w:t>
            </w:r>
          </w:p>
        </w:tc>
        <w:tc>
          <w:tcPr>
            <w:tcW w:w="1596" w:type="dxa"/>
          </w:tcPr>
          <w:p w14:paraId="03D6FC19" w14:textId="77777777" w:rsidR="0046798B" w:rsidRDefault="00903B5C">
            <w:pPr>
              <w:pStyle w:val="TableParagraph"/>
              <w:spacing w:before="38"/>
              <w:ind w:left="114" w:right="274"/>
              <w:rPr>
                <w:sz w:val="20"/>
              </w:rPr>
            </w:pPr>
            <w:r>
              <w:rPr>
                <w:sz w:val="20"/>
              </w:rPr>
              <w:t>State and local government employment security/social insurance administration direct</w:t>
            </w:r>
          </w:p>
        </w:tc>
        <w:tc>
          <w:tcPr>
            <w:tcW w:w="1285" w:type="dxa"/>
          </w:tcPr>
          <w:p w14:paraId="69920872" w14:textId="77777777" w:rsidR="0046798B" w:rsidRDefault="0046798B">
            <w:pPr>
              <w:pStyle w:val="TableParagraph"/>
            </w:pPr>
          </w:p>
          <w:p w14:paraId="225AF48D" w14:textId="77777777" w:rsidR="0046798B" w:rsidRDefault="0046798B">
            <w:pPr>
              <w:pStyle w:val="TableParagraph"/>
            </w:pPr>
          </w:p>
          <w:p w14:paraId="166497B9" w14:textId="77777777" w:rsidR="0046798B" w:rsidRDefault="0046798B">
            <w:pPr>
              <w:pStyle w:val="TableParagraph"/>
              <w:spacing w:before="4"/>
              <w:rPr>
                <w:sz w:val="19"/>
              </w:rPr>
            </w:pPr>
          </w:p>
          <w:p w14:paraId="2C1D4729" w14:textId="77777777" w:rsidR="0046798B" w:rsidRDefault="00903B5C">
            <w:pPr>
              <w:pStyle w:val="TableParagraph"/>
              <w:ind w:left="114"/>
              <w:rPr>
                <w:sz w:val="20"/>
              </w:rPr>
            </w:pPr>
            <w:r>
              <w:rPr>
                <w:sz w:val="20"/>
              </w:rPr>
              <w:t>1957–2015</w:t>
            </w:r>
          </w:p>
        </w:tc>
        <w:tc>
          <w:tcPr>
            <w:tcW w:w="3421" w:type="dxa"/>
          </w:tcPr>
          <w:p w14:paraId="7A3FB726" w14:textId="77777777" w:rsidR="0046798B" w:rsidRDefault="0046798B">
            <w:pPr>
              <w:pStyle w:val="TableParagraph"/>
            </w:pPr>
          </w:p>
          <w:p w14:paraId="7962230A" w14:textId="77777777" w:rsidR="0046798B" w:rsidRDefault="00903B5C">
            <w:pPr>
              <w:pStyle w:val="TableParagraph"/>
              <w:spacing w:before="130"/>
              <w:ind w:left="114" w:right="255"/>
              <w:rPr>
                <w:sz w:val="20"/>
              </w:rPr>
            </w:pPr>
            <w:r>
              <w:rPr>
                <w:sz w:val="20"/>
              </w:rPr>
              <w:t>State and local government employment security/social insurance administration direct expenditure, in millions of dollars</w:t>
            </w:r>
          </w:p>
        </w:tc>
        <w:tc>
          <w:tcPr>
            <w:tcW w:w="6482" w:type="dxa"/>
          </w:tcPr>
          <w:p w14:paraId="44E728C0" w14:textId="77777777" w:rsidR="0046798B" w:rsidRDefault="0046798B">
            <w:pPr>
              <w:pStyle w:val="TableParagraph"/>
            </w:pPr>
          </w:p>
          <w:p w14:paraId="731319CD" w14:textId="77777777" w:rsidR="0046798B" w:rsidRDefault="0046798B">
            <w:pPr>
              <w:pStyle w:val="TableParagraph"/>
              <w:spacing w:before="4"/>
              <w:rPr>
                <w:sz w:val="21"/>
              </w:rPr>
            </w:pPr>
          </w:p>
          <w:p w14:paraId="3ED1B553"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631C13FB" w14:textId="77777777" w:rsidR="0046798B" w:rsidRDefault="0046798B">
      <w:pPr>
        <w:rPr>
          <w:sz w:val="20"/>
        </w:rPr>
        <w:sectPr w:rsidR="0046798B">
          <w:pgSz w:w="15840" w:h="12240" w:orient="landscape"/>
          <w:pgMar w:top="1220" w:right="300" w:bottom="980" w:left="820" w:header="730" w:footer="787" w:gutter="0"/>
          <w:cols w:space="720"/>
        </w:sectPr>
      </w:pPr>
    </w:p>
    <w:p w14:paraId="473769DC"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119832C" w14:textId="77777777">
        <w:trPr>
          <w:trHeight w:val="775"/>
        </w:trPr>
        <w:tc>
          <w:tcPr>
            <w:tcW w:w="1711" w:type="dxa"/>
          </w:tcPr>
          <w:p w14:paraId="33E5096B" w14:textId="77777777" w:rsidR="0046798B" w:rsidRDefault="0046798B">
            <w:pPr>
              <w:pStyle w:val="TableParagraph"/>
              <w:rPr>
                <w:sz w:val="20"/>
              </w:rPr>
            </w:pPr>
          </w:p>
        </w:tc>
        <w:tc>
          <w:tcPr>
            <w:tcW w:w="1596" w:type="dxa"/>
          </w:tcPr>
          <w:p w14:paraId="74A7284F" w14:textId="77777777" w:rsidR="0046798B" w:rsidRDefault="00903B5C">
            <w:pPr>
              <w:pStyle w:val="TableParagraph"/>
              <w:spacing w:before="43"/>
              <w:ind w:left="114" w:right="252"/>
              <w:rPr>
                <w:sz w:val="20"/>
              </w:rPr>
            </w:pPr>
            <w:r>
              <w:rPr>
                <w:sz w:val="20"/>
              </w:rPr>
              <w:t>expenditure, in millions of dollars</w:t>
            </w:r>
          </w:p>
        </w:tc>
        <w:tc>
          <w:tcPr>
            <w:tcW w:w="1285" w:type="dxa"/>
          </w:tcPr>
          <w:p w14:paraId="4BC241C1" w14:textId="77777777" w:rsidR="0046798B" w:rsidRDefault="0046798B">
            <w:pPr>
              <w:pStyle w:val="TableParagraph"/>
              <w:rPr>
                <w:sz w:val="20"/>
              </w:rPr>
            </w:pPr>
          </w:p>
        </w:tc>
        <w:tc>
          <w:tcPr>
            <w:tcW w:w="3421" w:type="dxa"/>
          </w:tcPr>
          <w:p w14:paraId="7661680B" w14:textId="77777777" w:rsidR="0046798B" w:rsidRDefault="0046798B">
            <w:pPr>
              <w:pStyle w:val="TableParagraph"/>
              <w:rPr>
                <w:sz w:val="20"/>
              </w:rPr>
            </w:pPr>
          </w:p>
        </w:tc>
        <w:tc>
          <w:tcPr>
            <w:tcW w:w="6482" w:type="dxa"/>
          </w:tcPr>
          <w:p w14:paraId="11E17385" w14:textId="77777777" w:rsidR="0046798B" w:rsidRDefault="0046798B">
            <w:pPr>
              <w:pStyle w:val="TableParagraph"/>
              <w:rPr>
                <w:sz w:val="20"/>
              </w:rPr>
            </w:pPr>
          </w:p>
        </w:tc>
      </w:tr>
      <w:tr w:rsidR="0046798B" w14:paraId="63B9027C" w14:textId="77777777">
        <w:trPr>
          <w:trHeight w:val="1235"/>
        </w:trPr>
        <w:tc>
          <w:tcPr>
            <w:tcW w:w="1711" w:type="dxa"/>
          </w:tcPr>
          <w:p w14:paraId="1AC9D7E6" w14:textId="77777777" w:rsidR="0046798B" w:rsidRDefault="0046798B">
            <w:pPr>
              <w:pStyle w:val="TableParagraph"/>
            </w:pPr>
          </w:p>
          <w:p w14:paraId="4C6C4CC6" w14:textId="77777777" w:rsidR="0046798B" w:rsidRDefault="0046798B">
            <w:pPr>
              <w:pStyle w:val="TableParagraph"/>
              <w:spacing w:before="8"/>
              <w:rPr>
                <w:sz w:val="21"/>
              </w:rPr>
            </w:pPr>
          </w:p>
          <w:p w14:paraId="71CA26F0" w14:textId="77777777" w:rsidR="0046798B" w:rsidRDefault="00903B5C">
            <w:pPr>
              <w:pStyle w:val="TableParagraph"/>
              <w:spacing w:before="1"/>
              <w:ind w:left="115"/>
              <w:rPr>
                <w:b/>
                <w:sz w:val="20"/>
              </w:rPr>
            </w:pPr>
            <w:r>
              <w:rPr>
                <w:b/>
                <w:sz w:val="20"/>
              </w:rPr>
              <w:t>afcgapi</w:t>
            </w:r>
          </w:p>
        </w:tc>
        <w:tc>
          <w:tcPr>
            <w:tcW w:w="1596" w:type="dxa"/>
          </w:tcPr>
          <w:p w14:paraId="7344AB50" w14:textId="77777777" w:rsidR="0046798B" w:rsidRDefault="00903B5C">
            <w:pPr>
              <w:pStyle w:val="TableParagraph"/>
              <w:spacing w:before="43"/>
              <w:ind w:left="114" w:right="91"/>
              <w:rPr>
                <w:sz w:val="20"/>
              </w:rPr>
            </w:pPr>
            <w:r>
              <w:rPr>
                <w:sz w:val="20"/>
              </w:rPr>
              <w:t>Financial control and general administration spending, % of income</w:t>
            </w:r>
          </w:p>
        </w:tc>
        <w:tc>
          <w:tcPr>
            <w:tcW w:w="1285" w:type="dxa"/>
          </w:tcPr>
          <w:p w14:paraId="2C6D0C15" w14:textId="77777777" w:rsidR="0046798B" w:rsidRDefault="0046798B">
            <w:pPr>
              <w:pStyle w:val="TableParagraph"/>
            </w:pPr>
          </w:p>
          <w:p w14:paraId="6E754A62" w14:textId="77777777" w:rsidR="0046798B" w:rsidRDefault="0046798B">
            <w:pPr>
              <w:pStyle w:val="TableParagraph"/>
              <w:spacing w:before="8"/>
              <w:rPr>
                <w:sz w:val="21"/>
              </w:rPr>
            </w:pPr>
          </w:p>
          <w:p w14:paraId="24B379C1" w14:textId="77777777" w:rsidR="0046798B" w:rsidRDefault="00903B5C">
            <w:pPr>
              <w:pStyle w:val="TableParagraph"/>
              <w:spacing w:before="1"/>
              <w:ind w:left="114"/>
              <w:rPr>
                <w:sz w:val="20"/>
              </w:rPr>
            </w:pPr>
            <w:r>
              <w:rPr>
                <w:sz w:val="20"/>
              </w:rPr>
              <w:t>1957–2015</w:t>
            </w:r>
          </w:p>
        </w:tc>
        <w:tc>
          <w:tcPr>
            <w:tcW w:w="3421" w:type="dxa"/>
          </w:tcPr>
          <w:p w14:paraId="1452A72D" w14:textId="77777777" w:rsidR="0046798B" w:rsidRDefault="0046798B">
            <w:pPr>
              <w:pStyle w:val="TableParagraph"/>
              <w:spacing w:before="8"/>
              <w:rPr>
                <w:sz w:val="23"/>
              </w:rPr>
            </w:pPr>
          </w:p>
          <w:p w14:paraId="41E41674" w14:textId="77777777" w:rsidR="0046798B" w:rsidRDefault="00903B5C">
            <w:pPr>
              <w:pStyle w:val="TableParagraph"/>
              <w:spacing w:before="1"/>
              <w:ind w:left="114" w:right="227"/>
              <w:rPr>
                <w:sz w:val="20"/>
              </w:rPr>
            </w:pPr>
            <w:r>
              <w:rPr>
                <w:sz w:val="20"/>
              </w:rPr>
              <w:t>Financial control and general administration spending, % of income (afcgaspt / apersinc)</w:t>
            </w:r>
          </w:p>
        </w:tc>
        <w:tc>
          <w:tcPr>
            <w:tcW w:w="6482" w:type="dxa"/>
          </w:tcPr>
          <w:p w14:paraId="663E4751" w14:textId="77777777" w:rsidR="0046798B" w:rsidRDefault="0046798B">
            <w:pPr>
              <w:pStyle w:val="TableParagraph"/>
              <w:spacing w:before="8"/>
              <w:rPr>
                <w:sz w:val="23"/>
              </w:rPr>
            </w:pPr>
          </w:p>
          <w:p w14:paraId="7E42CCD5"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A96528B" w14:textId="77777777">
        <w:trPr>
          <w:trHeight w:val="2160"/>
        </w:trPr>
        <w:tc>
          <w:tcPr>
            <w:tcW w:w="1711" w:type="dxa"/>
          </w:tcPr>
          <w:p w14:paraId="4BA139AB" w14:textId="77777777" w:rsidR="0046798B" w:rsidRDefault="0046798B">
            <w:pPr>
              <w:pStyle w:val="TableParagraph"/>
            </w:pPr>
          </w:p>
          <w:p w14:paraId="032E412C" w14:textId="77777777" w:rsidR="0046798B" w:rsidRDefault="0046798B">
            <w:pPr>
              <w:pStyle w:val="TableParagraph"/>
            </w:pPr>
          </w:p>
          <w:p w14:paraId="2086E59D" w14:textId="77777777" w:rsidR="0046798B" w:rsidRDefault="0046798B">
            <w:pPr>
              <w:pStyle w:val="TableParagraph"/>
            </w:pPr>
          </w:p>
          <w:p w14:paraId="72238D74" w14:textId="77777777" w:rsidR="0046798B" w:rsidRDefault="0046798B">
            <w:pPr>
              <w:pStyle w:val="TableParagraph"/>
              <w:spacing w:before="9"/>
              <w:rPr>
                <w:sz w:val="17"/>
              </w:rPr>
            </w:pPr>
          </w:p>
          <w:p w14:paraId="58F68EAE" w14:textId="77777777" w:rsidR="0046798B" w:rsidRDefault="00903B5C">
            <w:pPr>
              <w:pStyle w:val="TableParagraph"/>
              <w:ind w:left="115"/>
              <w:rPr>
                <w:b/>
                <w:sz w:val="20"/>
              </w:rPr>
            </w:pPr>
            <w:r>
              <w:rPr>
                <w:b/>
                <w:sz w:val="20"/>
              </w:rPr>
              <w:t>afcgaspt</w:t>
            </w:r>
          </w:p>
        </w:tc>
        <w:tc>
          <w:tcPr>
            <w:tcW w:w="1596" w:type="dxa"/>
          </w:tcPr>
          <w:p w14:paraId="05CC86A7" w14:textId="77777777" w:rsidR="0046798B" w:rsidRDefault="00903B5C">
            <w:pPr>
              <w:pStyle w:val="TableParagraph"/>
              <w:spacing w:before="43"/>
              <w:ind w:left="114" w:right="135"/>
              <w:rPr>
                <w:sz w:val="20"/>
              </w:rPr>
            </w:pPr>
            <w:r>
              <w:rPr>
                <w:sz w:val="20"/>
              </w:rPr>
              <w:t>State and local government financial control and general administration direct expenditure, in millions of dollars</w:t>
            </w:r>
          </w:p>
        </w:tc>
        <w:tc>
          <w:tcPr>
            <w:tcW w:w="1285" w:type="dxa"/>
          </w:tcPr>
          <w:p w14:paraId="12565531" w14:textId="77777777" w:rsidR="0046798B" w:rsidRDefault="0046798B">
            <w:pPr>
              <w:pStyle w:val="TableParagraph"/>
            </w:pPr>
          </w:p>
          <w:p w14:paraId="150EE5D6" w14:textId="77777777" w:rsidR="0046798B" w:rsidRDefault="0046798B">
            <w:pPr>
              <w:pStyle w:val="TableParagraph"/>
            </w:pPr>
          </w:p>
          <w:p w14:paraId="7793FC95" w14:textId="77777777" w:rsidR="0046798B" w:rsidRDefault="0046798B">
            <w:pPr>
              <w:pStyle w:val="TableParagraph"/>
            </w:pPr>
          </w:p>
          <w:p w14:paraId="034DE907" w14:textId="77777777" w:rsidR="0046798B" w:rsidRDefault="0046798B">
            <w:pPr>
              <w:pStyle w:val="TableParagraph"/>
              <w:spacing w:before="9"/>
              <w:rPr>
                <w:sz w:val="17"/>
              </w:rPr>
            </w:pPr>
          </w:p>
          <w:p w14:paraId="5EF15F9F" w14:textId="77777777" w:rsidR="0046798B" w:rsidRDefault="00903B5C">
            <w:pPr>
              <w:pStyle w:val="TableParagraph"/>
              <w:ind w:left="114"/>
              <w:rPr>
                <w:sz w:val="20"/>
              </w:rPr>
            </w:pPr>
            <w:r>
              <w:rPr>
                <w:sz w:val="20"/>
              </w:rPr>
              <w:t>1957–2015</w:t>
            </w:r>
          </w:p>
        </w:tc>
        <w:tc>
          <w:tcPr>
            <w:tcW w:w="3421" w:type="dxa"/>
          </w:tcPr>
          <w:p w14:paraId="6CEE4BCD" w14:textId="77777777" w:rsidR="0046798B" w:rsidRDefault="0046798B">
            <w:pPr>
              <w:pStyle w:val="TableParagraph"/>
            </w:pPr>
          </w:p>
          <w:p w14:paraId="0CDEDDAE" w14:textId="77777777" w:rsidR="0046798B" w:rsidRDefault="0046798B">
            <w:pPr>
              <w:pStyle w:val="TableParagraph"/>
              <w:spacing w:before="9"/>
              <w:rPr>
                <w:sz w:val="31"/>
              </w:rPr>
            </w:pPr>
          </w:p>
          <w:p w14:paraId="5CEB0665" w14:textId="77777777" w:rsidR="0046798B" w:rsidRDefault="00903B5C">
            <w:pPr>
              <w:pStyle w:val="TableParagraph"/>
              <w:ind w:left="114" w:right="344"/>
              <w:rPr>
                <w:sz w:val="20"/>
              </w:rPr>
            </w:pPr>
            <w:r>
              <w:rPr>
                <w:sz w:val="20"/>
              </w:rPr>
              <w:t>State and local government financial control and general administration direct expenditure, in millions of dollars</w:t>
            </w:r>
          </w:p>
        </w:tc>
        <w:tc>
          <w:tcPr>
            <w:tcW w:w="6482" w:type="dxa"/>
          </w:tcPr>
          <w:p w14:paraId="3F6134A5" w14:textId="77777777" w:rsidR="0046798B" w:rsidRDefault="0046798B">
            <w:pPr>
              <w:pStyle w:val="TableParagraph"/>
            </w:pPr>
          </w:p>
          <w:p w14:paraId="0F2D839F" w14:textId="77777777" w:rsidR="0046798B" w:rsidRDefault="0046798B">
            <w:pPr>
              <w:pStyle w:val="TableParagraph"/>
            </w:pPr>
          </w:p>
          <w:p w14:paraId="601F30E5" w14:textId="77777777" w:rsidR="0046798B" w:rsidRDefault="0046798B">
            <w:pPr>
              <w:pStyle w:val="TableParagraph"/>
              <w:spacing w:before="9"/>
              <w:rPr>
                <w:sz w:val="19"/>
              </w:rPr>
            </w:pPr>
          </w:p>
          <w:p w14:paraId="27A39BA2"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AD13422" w14:textId="77777777">
        <w:trPr>
          <w:trHeight w:val="2386"/>
        </w:trPr>
        <w:tc>
          <w:tcPr>
            <w:tcW w:w="1711" w:type="dxa"/>
          </w:tcPr>
          <w:p w14:paraId="03E97D49" w14:textId="77777777" w:rsidR="0046798B" w:rsidRDefault="0046798B">
            <w:pPr>
              <w:pStyle w:val="TableParagraph"/>
            </w:pPr>
          </w:p>
          <w:p w14:paraId="2F780461" w14:textId="77777777" w:rsidR="0046798B" w:rsidRDefault="0046798B">
            <w:pPr>
              <w:pStyle w:val="TableParagraph"/>
            </w:pPr>
          </w:p>
          <w:p w14:paraId="2A4CD32F" w14:textId="77777777" w:rsidR="0046798B" w:rsidRDefault="0046798B">
            <w:pPr>
              <w:pStyle w:val="TableParagraph"/>
            </w:pPr>
          </w:p>
          <w:p w14:paraId="604E72A9" w14:textId="77777777" w:rsidR="0046798B" w:rsidRDefault="0046798B">
            <w:pPr>
              <w:pStyle w:val="TableParagraph"/>
              <w:spacing w:before="4"/>
              <w:rPr>
                <w:sz w:val="27"/>
              </w:rPr>
            </w:pPr>
          </w:p>
          <w:p w14:paraId="3C91AD43" w14:textId="77777777" w:rsidR="0046798B" w:rsidRDefault="00903B5C">
            <w:pPr>
              <w:pStyle w:val="TableParagraph"/>
              <w:ind w:left="115"/>
              <w:rPr>
                <w:b/>
                <w:sz w:val="20"/>
              </w:rPr>
            </w:pPr>
            <w:r>
              <w:rPr>
                <w:b/>
                <w:sz w:val="20"/>
              </w:rPr>
              <w:t>afdec</w:t>
            </w:r>
          </w:p>
        </w:tc>
        <w:tc>
          <w:tcPr>
            <w:tcW w:w="1596" w:type="dxa"/>
          </w:tcPr>
          <w:p w14:paraId="3BB0C473" w14:textId="77777777" w:rsidR="0046798B" w:rsidRDefault="0046798B">
            <w:pPr>
              <w:pStyle w:val="TableParagraph"/>
            </w:pPr>
          </w:p>
          <w:p w14:paraId="076D32D8" w14:textId="77777777" w:rsidR="0046798B" w:rsidRDefault="0046798B">
            <w:pPr>
              <w:pStyle w:val="TableParagraph"/>
              <w:spacing w:before="3"/>
              <w:rPr>
                <w:sz w:val="21"/>
              </w:rPr>
            </w:pPr>
          </w:p>
          <w:p w14:paraId="03442B64" w14:textId="77777777" w:rsidR="0046798B" w:rsidRDefault="00903B5C">
            <w:pPr>
              <w:pStyle w:val="TableParagraph"/>
              <w:spacing w:before="1"/>
              <w:ind w:left="114" w:right="135"/>
              <w:rPr>
                <w:sz w:val="20"/>
              </w:rPr>
            </w:pPr>
            <w:r>
              <w:rPr>
                <w:sz w:val="20"/>
              </w:rPr>
              <w:t>Fiscal decentralization: local government own-source</w:t>
            </w:r>
          </w:p>
          <w:p w14:paraId="6941412A" w14:textId="77777777" w:rsidR="0046798B" w:rsidRDefault="00903B5C">
            <w:pPr>
              <w:pStyle w:val="TableParagraph"/>
              <w:ind w:left="114"/>
              <w:rPr>
                <w:sz w:val="20"/>
              </w:rPr>
            </w:pPr>
            <w:r>
              <w:rPr>
                <w:sz w:val="20"/>
              </w:rPr>
              <w:t>general revenues</w:t>
            </w:r>
          </w:p>
        </w:tc>
        <w:tc>
          <w:tcPr>
            <w:tcW w:w="1285" w:type="dxa"/>
          </w:tcPr>
          <w:p w14:paraId="076DDE0D" w14:textId="77777777" w:rsidR="0046798B" w:rsidRDefault="0046798B">
            <w:pPr>
              <w:pStyle w:val="TableParagraph"/>
            </w:pPr>
          </w:p>
          <w:p w14:paraId="1CEC5185" w14:textId="77777777" w:rsidR="0046798B" w:rsidRDefault="0046798B">
            <w:pPr>
              <w:pStyle w:val="TableParagraph"/>
            </w:pPr>
          </w:p>
          <w:p w14:paraId="31002905" w14:textId="77777777" w:rsidR="0046798B" w:rsidRDefault="0046798B">
            <w:pPr>
              <w:pStyle w:val="TableParagraph"/>
            </w:pPr>
          </w:p>
          <w:p w14:paraId="6E326627" w14:textId="77777777" w:rsidR="0046798B" w:rsidRDefault="0046798B">
            <w:pPr>
              <w:pStyle w:val="TableParagraph"/>
              <w:spacing w:before="4"/>
              <w:rPr>
                <w:sz w:val="27"/>
              </w:rPr>
            </w:pPr>
          </w:p>
          <w:p w14:paraId="1E85CEFF" w14:textId="77777777" w:rsidR="0046798B" w:rsidRDefault="00903B5C">
            <w:pPr>
              <w:pStyle w:val="TableParagraph"/>
              <w:ind w:left="114"/>
              <w:rPr>
                <w:sz w:val="20"/>
              </w:rPr>
            </w:pPr>
            <w:r>
              <w:rPr>
                <w:sz w:val="20"/>
              </w:rPr>
              <w:t>1957–2015</w:t>
            </w:r>
          </w:p>
        </w:tc>
        <w:tc>
          <w:tcPr>
            <w:tcW w:w="3421" w:type="dxa"/>
          </w:tcPr>
          <w:p w14:paraId="0E62C49D" w14:textId="77777777" w:rsidR="0046798B" w:rsidRDefault="00903B5C">
            <w:pPr>
              <w:pStyle w:val="TableParagraph"/>
              <w:spacing w:before="38"/>
              <w:ind w:left="114" w:right="106"/>
              <w:rPr>
                <w:sz w:val="20"/>
              </w:rPr>
            </w:pPr>
            <w:r>
              <w:rPr>
                <w:sz w:val="20"/>
              </w:rPr>
              <w:t xml:space="preserve">Fiscal decentralization: local government own-source general revenues (charges, liquor store and utilities revenues, taxes, and miscellaneous revenue) divided by </w:t>
            </w:r>
            <w:r>
              <w:rPr>
                <w:spacing w:val="-4"/>
                <w:sz w:val="20"/>
              </w:rPr>
              <w:t xml:space="preserve">total </w:t>
            </w:r>
            <w:r>
              <w:rPr>
                <w:sz w:val="20"/>
              </w:rPr>
              <w:t>state and local general revenues (charges, liquor store and utilities revenues, taxes, miscellaneous revenues, and federal intergovernmental</w:t>
            </w:r>
            <w:r>
              <w:rPr>
                <w:spacing w:val="-2"/>
                <w:sz w:val="20"/>
              </w:rPr>
              <w:t xml:space="preserve"> </w:t>
            </w:r>
            <w:r>
              <w:rPr>
                <w:sz w:val="20"/>
              </w:rPr>
              <w:t>expenditure)</w:t>
            </w:r>
          </w:p>
        </w:tc>
        <w:tc>
          <w:tcPr>
            <w:tcW w:w="6482" w:type="dxa"/>
          </w:tcPr>
          <w:p w14:paraId="7E1D6272" w14:textId="77777777" w:rsidR="0046798B" w:rsidRDefault="0046798B">
            <w:pPr>
              <w:pStyle w:val="TableParagraph"/>
            </w:pPr>
          </w:p>
          <w:p w14:paraId="48569E15" w14:textId="77777777" w:rsidR="0046798B" w:rsidRDefault="0046798B">
            <w:pPr>
              <w:pStyle w:val="TableParagraph"/>
            </w:pPr>
          </w:p>
          <w:p w14:paraId="3DFB7068" w14:textId="77777777" w:rsidR="0046798B" w:rsidRDefault="0046798B">
            <w:pPr>
              <w:pStyle w:val="TableParagraph"/>
              <w:spacing w:before="3"/>
              <w:rPr>
                <w:sz w:val="29"/>
              </w:rPr>
            </w:pPr>
          </w:p>
          <w:p w14:paraId="72142B62"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E0FF8B3" w14:textId="77777777">
        <w:trPr>
          <w:trHeight w:val="1695"/>
        </w:trPr>
        <w:tc>
          <w:tcPr>
            <w:tcW w:w="1711" w:type="dxa"/>
          </w:tcPr>
          <w:p w14:paraId="16C9B4A0" w14:textId="77777777" w:rsidR="0046798B" w:rsidRDefault="0046798B">
            <w:pPr>
              <w:pStyle w:val="TableParagraph"/>
            </w:pPr>
          </w:p>
          <w:p w14:paraId="53232169" w14:textId="77777777" w:rsidR="0046798B" w:rsidRDefault="0046798B">
            <w:pPr>
              <w:pStyle w:val="TableParagraph"/>
            </w:pPr>
          </w:p>
          <w:p w14:paraId="05C59755" w14:textId="77777777" w:rsidR="0046798B" w:rsidRDefault="0046798B">
            <w:pPr>
              <w:pStyle w:val="TableParagraph"/>
              <w:spacing w:before="3"/>
              <w:rPr>
                <w:sz w:val="19"/>
              </w:rPr>
            </w:pPr>
          </w:p>
          <w:p w14:paraId="084B57B9" w14:textId="77777777" w:rsidR="0046798B" w:rsidRDefault="00903B5C">
            <w:pPr>
              <w:pStyle w:val="TableParagraph"/>
              <w:ind w:left="115"/>
              <w:rPr>
                <w:b/>
                <w:sz w:val="20"/>
              </w:rPr>
            </w:pPr>
            <w:r>
              <w:rPr>
                <w:b/>
                <w:sz w:val="20"/>
              </w:rPr>
              <w:t>afgrant</w:t>
            </w:r>
          </w:p>
        </w:tc>
        <w:tc>
          <w:tcPr>
            <w:tcW w:w="1596" w:type="dxa"/>
          </w:tcPr>
          <w:p w14:paraId="4D70FE64" w14:textId="77777777" w:rsidR="0046798B" w:rsidRDefault="00903B5C">
            <w:pPr>
              <w:pStyle w:val="TableParagraph"/>
              <w:spacing w:before="38"/>
              <w:ind w:left="114" w:right="274"/>
              <w:rPr>
                <w:sz w:val="20"/>
              </w:rPr>
            </w:pPr>
            <w:r>
              <w:rPr>
                <w:sz w:val="20"/>
              </w:rPr>
              <w:t>State and local revenues from federal government transfers, in millions of dollars</w:t>
            </w:r>
          </w:p>
        </w:tc>
        <w:tc>
          <w:tcPr>
            <w:tcW w:w="1285" w:type="dxa"/>
          </w:tcPr>
          <w:p w14:paraId="02DC2649" w14:textId="77777777" w:rsidR="0046798B" w:rsidRDefault="0046798B">
            <w:pPr>
              <w:pStyle w:val="TableParagraph"/>
            </w:pPr>
          </w:p>
          <w:p w14:paraId="52B57DD5" w14:textId="77777777" w:rsidR="0046798B" w:rsidRDefault="0046798B">
            <w:pPr>
              <w:pStyle w:val="TableParagraph"/>
            </w:pPr>
          </w:p>
          <w:p w14:paraId="17A940E1" w14:textId="77777777" w:rsidR="0046798B" w:rsidRDefault="0046798B">
            <w:pPr>
              <w:pStyle w:val="TableParagraph"/>
              <w:spacing w:before="3"/>
              <w:rPr>
                <w:sz w:val="19"/>
              </w:rPr>
            </w:pPr>
          </w:p>
          <w:p w14:paraId="532AC2D1" w14:textId="77777777" w:rsidR="0046798B" w:rsidRDefault="00903B5C">
            <w:pPr>
              <w:pStyle w:val="TableParagraph"/>
              <w:ind w:left="114"/>
              <w:rPr>
                <w:sz w:val="20"/>
              </w:rPr>
            </w:pPr>
            <w:r>
              <w:rPr>
                <w:sz w:val="20"/>
              </w:rPr>
              <w:t>1957–2015</w:t>
            </w:r>
          </w:p>
        </w:tc>
        <w:tc>
          <w:tcPr>
            <w:tcW w:w="3421" w:type="dxa"/>
          </w:tcPr>
          <w:p w14:paraId="2A80A5EB" w14:textId="77777777" w:rsidR="0046798B" w:rsidRDefault="0046798B">
            <w:pPr>
              <w:pStyle w:val="TableParagraph"/>
            </w:pPr>
          </w:p>
          <w:p w14:paraId="2469E19E" w14:textId="77777777" w:rsidR="0046798B" w:rsidRDefault="0046798B">
            <w:pPr>
              <w:pStyle w:val="TableParagraph"/>
              <w:spacing w:before="3"/>
              <w:rPr>
                <w:sz w:val="21"/>
              </w:rPr>
            </w:pPr>
          </w:p>
          <w:p w14:paraId="0D013B8D" w14:textId="77777777" w:rsidR="0046798B" w:rsidRDefault="00903B5C">
            <w:pPr>
              <w:pStyle w:val="TableParagraph"/>
              <w:ind w:left="114" w:right="295"/>
              <w:rPr>
                <w:sz w:val="20"/>
              </w:rPr>
            </w:pPr>
            <w:r>
              <w:rPr>
                <w:sz w:val="20"/>
              </w:rPr>
              <w:t>State and local revenues from federal government transfers, in millions of dollars</w:t>
            </w:r>
          </w:p>
        </w:tc>
        <w:tc>
          <w:tcPr>
            <w:tcW w:w="6482" w:type="dxa"/>
          </w:tcPr>
          <w:p w14:paraId="035638D6" w14:textId="77777777" w:rsidR="0046798B" w:rsidRDefault="0046798B">
            <w:pPr>
              <w:pStyle w:val="TableParagraph"/>
            </w:pPr>
          </w:p>
          <w:p w14:paraId="1DCF2E74" w14:textId="77777777" w:rsidR="0046798B" w:rsidRDefault="0046798B">
            <w:pPr>
              <w:pStyle w:val="TableParagraph"/>
              <w:spacing w:before="3"/>
              <w:rPr>
                <w:sz w:val="21"/>
              </w:rPr>
            </w:pPr>
          </w:p>
          <w:p w14:paraId="3035E146"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8B46638" w14:textId="77777777">
        <w:trPr>
          <w:trHeight w:val="775"/>
        </w:trPr>
        <w:tc>
          <w:tcPr>
            <w:tcW w:w="1711" w:type="dxa"/>
          </w:tcPr>
          <w:p w14:paraId="65C49C54" w14:textId="77777777" w:rsidR="0046798B" w:rsidRDefault="0046798B">
            <w:pPr>
              <w:pStyle w:val="TableParagraph"/>
              <w:spacing w:before="3"/>
              <w:rPr>
                <w:sz w:val="23"/>
              </w:rPr>
            </w:pPr>
          </w:p>
          <w:p w14:paraId="42AE3049" w14:textId="77777777" w:rsidR="0046798B" w:rsidRDefault="00903B5C">
            <w:pPr>
              <w:pStyle w:val="TableParagraph"/>
              <w:spacing w:before="1"/>
              <w:ind w:left="115"/>
              <w:rPr>
                <w:b/>
                <w:sz w:val="20"/>
              </w:rPr>
            </w:pPr>
            <w:r>
              <w:rPr>
                <w:b/>
                <w:sz w:val="20"/>
              </w:rPr>
              <w:t>agast</w:t>
            </w:r>
          </w:p>
        </w:tc>
        <w:tc>
          <w:tcPr>
            <w:tcW w:w="1596" w:type="dxa"/>
          </w:tcPr>
          <w:p w14:paraId="2F7F3E55" w14:textId="77777777" w:rsidR="0046798B" w:rsidRDefault="00903B5C">
            <w:pPr>
              <w:pStyle w:val="TableParagraph"/>
              <w:spacing w:before="38"/>
              <w:ind w:left="114" w:right="290"/>
              <w:jc w:val="both"/>
              <w:rPr>
                <w:sz w:val="20"/>
              </w:rPr>
            </w:pPr>
            <w:r>
              <w:rPr>
                <w:sz w:val="20"/>
              </w:rPr>
              <w:t>State and local motor fuel tax revenues, in</w:t>
            </w:r>
          </w:p>
        </w:tc>
        <w:tc>
          <w:tcPr>
            <w:tcW w:w="1285" w:type="dxa"/>
          </w:tcPr>
          <w:p w14:paraId="3F87063D" w14:textId="77777777" w:rsidR="0046798B" w:rsidRDefault="0046798B">
            <w:pPr>
              <w:pStyle w:val="TableParagraph"/>
              <w:spacing w:before="3"/>
              <w:rPr>
                <w:sz w:val="23"/>
              </w:rPr>
            </w:pPr>
          </w:p>
          <w:p w14:paraId="3A073750" w14:textId="77777777" w:rsidR="0046798B" w:rsidRDefault="00903B5C">
            <w:pPr>
              <w:pStyle w:val="TableParagraph"/>
              <w:spacing w:before="1"/>
              <w:ind w:left="114"/>
              <w:rPr>
                <w:sz w:val="20"/>
              </w:rPr>
            </w:pPr>
            <w:r>
              <w:rPr>
                <w:sz w:val="20"/>
              </w:rPr>
              <w:t>1957–2015</w:t>
            </w:r>
          </w:p>
        </w:tc>
        <w:tc>
          <w:tcPr>
            <w:tcW w:w="3421" w:type="dxa"/>
          </w:tcPr>
          <w:p w14:paraId="41E1DA25" w14:textId="77777777" w:rsidR="0046798B" w:rsidRDefault="00903B5C">
            <w:pPr>
              <w:pStyle w:val="TableParagraph"/>
              <w:spacing w:before="153"/>
              <w:ind w:left="114" w:right="105"/>
              <w:rPr>
                <w:sz w:val="20"/>
              </w:rPr>
            </w:pPr>
            <w:r>
              <w:rPr>
                <w:sz w:val="20"/>
              </w:rPr>
              <w:t>State and local motor fuel tax revenues, in millions of dollars</w:t>
            </w:r>
          </w:p>
        </w:tc>
        <w:tc>
          <w:tcPr>
            <w:tcW w:w="6482" w:type="dxa"/>
          </w:tcPr>
          <w:p w14:paraId="107A8E5E" w14:textId="77777777" w:rsidR="0046798B" w:rsidRDefault="00903B5C">
            <w:pPr>
              <w:pStyle w:val="TableParagraph"/>
              <w:spacing w:before="38"/>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4BC2436A" w14:textId="77777777" w:rsidR="0046798B" w:rsidRDefault="0046798B">
      <w:pPr>
        <w:rPr>
          <w:sz w:val="20"/>
        </w:rPr>
        <w:sectPr w:rsidR="0046798B">
          <w:pgSz w:w="15840" w:h="12240" w:orient="landscape"/>
          <w:pgMar w:top="1220" w:right="300" w:bottom="980" w:left="820" w:header="730" w:footer="787" w:gutter="0"/>
          <w:cols w:space="720"/>
        </w:sectPr>
      </w:pPr>
    </w:p>
    <w:p w14:paraId="76A127E0"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56B8E642" w14:textId="77777777">
        <w:trPr>
          <w:trHeight w:val="542"/>
        </w:trPr>
        <w:tc>
          <w:tcPr>
            <w:tcW w:w="1711" w:type="dxa"/>
            <w:tcBorders>
              <w:bottom w:val="dotted" w:sz="6" w:space="0" w:color="BEBEBE"/>
            </w:tcBorders>
          </w:tcPr>
          <w:p w14:paraId="1F83AB92" w14:textId="77777777" w:rsidR="0046798B" w:rsidRDefault="0046798B">
            <w:pPr>
              <w:pStyle w:val="TableParagraph"/>
              <w:rPr>
                <w:sz w:val="20"/>
              </w:rPr>
            </w:pPr>
          </w:p>
        </w:tc>
        <w:tc>
          <w:tcPr>
            <w:tcW w:w="1596" w:type="dxa"/>
            <w:tcBorders>
              <w:bottom w:val="dotted" w:sz="6" w:space="0" w:color="BEBEBE"/>
            </w:tcBorders>
          </w:tcPr>
          <w:p w14:paraId="1959C8CC" w14:textId="77777777" w:rsidR="0046798B" w:rsidRDefault="00903B5C">
            <w:pPr>
              <w:pStyle w:val="TableParagraph"/>
              <w:spacing w:before="43"/>
              <w:ind w:left="114" w:right="579"/>
              <w:rPr>
                <w:sz w:val="20"/>
              </w:rPr>
            </w:pPr>
            <w:r>
              <w:rPr>
                <w:sz w:val="20"/>
              </w:rPr>
              <w:t>millions of dollars</w:t>
            </w:r>
          </w:p>
        </w:tc>
        <w:tc>
          <w:tcPr>
            <w:tcW w:w="1285" w:type="dxa"/>
            <w:tcBorders>
              <w:bottom w:val="dotted" w:sz="6" w:space="0" w:color="BEBEBE"/>
            </w:tcBorders>
          </w:tcPr>
          <w:p w14:paraId="2478FBE6" w14:textId="77777777" w:rsidR="0046798B" w:rsidRDefault="0046798B">
            <w:pPr>
              <w:pStyle w:val="TableParagraph"/>
              <w:rPr>
                <w:sz w:val="20"/>
              </w:rPr>
            </w:pPr>
          </w:p>
        </w:tc>
        <w:tc>
          <w:tcPr>
            <w:tcW w:w="3421" w:type="dxa"/>
            <w:tcBorders>
              <w:bottom w:val="dotted" w:sz="6" w:space="0" w:color="BEBEBE"/>
            </w:tcBorders>
          </w:tcPr>
          <w:p w14:paraId="50646C76" w14:textId="77777777" w:rsidR="0046798B" w:rsidRDefault="0046798B">
            <w:pPr>
              <w:pStyle w:val="TableParagraph"/>
              <w:rPr>
                <w:sz w:val="20"/>
              </w:rPr>
            </w:pPr>
          </w:p>
        </w:tc>
        <w:tc>
          <w:tcPr>
            <w:tcW w:w="6482" w:type="dxa"/>
            <w:tcBorders>
              <w:bottom w:val="dotted" w:sz="6" w:space="0" w:color="BEBEBE"/>
            </w:tcBorders>
          </w:tcPr>
          <w:p w14:paraId="37A1D6C4" w14:textId="77777777" w:rsidR="0046798B" w:rsidRDefault="0046798B">
            <w:pPr>
              <w:pStyle w:val="TableParagraph"/>
              <w:rPr>
                <w:sz w:val="20"/>
              </w:rPr>
            </w:pPr>
          </w:p>
        </w:tc>
      </w:tr>
      <w:tr w:rsidR="0046798B" w14:paraId="3AC6AF0C" w14:textId="77777777">
        <w:trPr>
          <w:trHeight w:val="1233"/>
        </w:trPr>
        <w:tc>
          <w:tcPr>
            <w:tcW w:w="1711" w:type="dxa"/>
            <w:tcBorders>
              <w:top w:val="dotted" w:sz="6" w:space="0" w:color="BEBEBE"/>
            </w:tcBorders>
          </w:tcPr>
          <w:p w14:paraId="0E664FA4" w14:textId="77777777" w:rsidR="0046798B" w:rsidRDefault="0046798B">
            <w:pPr>
              <w:pStyle w:val="TableParagraph"/>
            </w:pPr>
          </w:p>
          <w:p w14:paraId="0609FC02" w14:textId="77777777" w:rsidR="0046798B" w:rsidRDefault="0046798B">
            <w:pPr>
              <w:pStyle w:val="TableParagraph"/>
              <w:spacing w:before="6"/>
              <w:rPr>
                <w:sz w:val="21"/>
              </w:rPr>
            </w:pPr>
          </w:p>
          <w:p w14:paraId="48157965" w14:textId="77777777" w:rsidR="0046798B" w:rsidRDefault="00903B5C">
            <w:pPr>
              <w:pStyle w:val="TableParagraph"/>
              <w:ind w:left="115"/>
              <w:rPr>
                <w:b/>
                <w:sz w:val="20"/>
              </w:rPr>
            </w:pPr>
            <w:r>
              <w:rPr>
                <w:b/>
                <w:sz w:val="20"/>
              </w:rPr>
              <w:t>agovemp</w:t>
            </w:r>
          </w:p>
        </w:tc>
        <w:tc>
          <w:tcPr>
            <w:tcW w:w="1596" w:type="dxa"/>
            <w:tcBorders>
              <w:top w:val="dotted" w:sz="6" w:space="0" w:color="BEBEBE"/>
            </w:tcBorders>
          </w:tcPr>
          <w:p w14:paraId="7ADEF905" w14:textId="77777777" w:rsidR="0046798B" w:rsidRDefault="00903B5C">
            <w:pPr>
              <w:pStyle w:val="TableParagraph"/>
              <w:spacing w:before="40"/>
              <w:ind w:left="114" w:right="157"/>
              <w:rPr>
                <w:sz w:val="20"/>
              </w:rPr>
            </w:pPr>
            <w:r>
              <w:rPr>
                <w:sz w:val="20"/>
              </w:rPr>
              <w:t>Employees in government and government enterprises, in thousands</w:t>
            </w:r>
          </w:p>
        </w:tc>
        <w:tc>
          <w:tcPr>
            <w:tcW w:w="1285" w:type="dxa"/>
            <w:tcBorders>
              <w:top w:val="dotted" w:sz="6" w:space="0" w:color="BEBEBE"/>
            </w:tcBorders>
          </w:tcPr>
          <w:p w14:paraId="57043325" w14:textId="77777777" w:rsidR="0046798B" w:rsidRDefault="0046798B">
            <w:pPr>
              <w:pStyle w:val="TableParagraph"/>
            </w:pPr>
          </w:p>
          <w:p w14:paraId="572AF5DF" w14:textId="77777777" w:rsidR="0046798B" w:rsidRDefault="0046798B">
            <w:pPr>
              <w:pStyle w:val="TableParagraph"/>
              <w:spacing w:before="6"/>
              <w:rPr>
                <w:sz w:val="21"/>
              </w:rPr>
            </w:pPr>
          </w:p>
          <w:p w14:paraId="26274747" w14:textId="77777777" w:rsidR="0046798B" w:rsidRDefault="00903B5C">
            <w:pPr>
              <w:pStyle w:val="TableParagraph"/>
              <w:ind w:left="114"/>
              <w:rPr>
                <w:sz w:val="20"/>
              </w:rPr>
            </w:pPr>
            <w:r>
              <w:rPr>
                <w:sz w:val="20"/>
              </w:rPr>
              <w:t>1972–2016</w:t>
            </w:r>
          </w:p>
        </w:tc>
        <w:tc>
          <w:tcPr>
            <w:tcW w:w="3421" w:type="dxa"/>
            <w:tcBorders>
              <w:top w:val="dotted" w:sz="6" w:space="0" w:color="BEBEBE"/>
            </w:tcBorders>
          </w:tcPr>
          <w:p w14:paraId="4BE62B69" w14:textId="77777777" w:rsidR="0046798B" w:rsidRDefault="0046798B">
            <w:pPr>
              <w:pStyle w:val="TableParagraph"/>
            </w:pPr>
          </w:p>
          <w:p w14:paraId="581C32F6" w14:textId="77777777" w:rsidR="0046798B" w:rsidRDefault="00903B5C">
            <w:pPr>
              <w:pStyle w:val="TableParagraph"/>
              <w:spacing w:before="133"/>
              <w:ind w:left="114" w:right="299"/>
              <w:rPr>
                <w:sz w:val="20"/>
              </w:rPr>
            </w:pPr>
            <w:r>
              <w:rPr>
                <w:sz w:val="20"/>
              </w:rPr>
              <w:t>Employees in government and government enterprises, in thousands</w:t>
            </w:r>
          </w:p>
        </w:tc>
        <w:tc>
          <w:tcPr>
            <w:tcW w:w="6482" w:type="dxa"/>
            <w:tcBorders>
              <w:top w:val="dotted" w:sz="6" w:space="0" w:color="BEBEBE"/>
            </w:tcBorders>
          </w:tcPr>
          <w:p w14:paraId="4CDBDCB6" w14:textId="77777777" w:rsidR="0046798B" w:rsidRDefault="0046798B">
            <w:pPr>
              <w:pStyle w:val="TableParagraph"/>
              <w:spacing w:before="6"/>
              <w:rPr>
                <w:sz w:val="23"/>
              </w:rPr>
            </w:pPr>
          </w:p>
          <w:p w14:paraId="29AF07B0"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0F46D3C" w14:textId="77777777">
        <w:trPr>
          <w:trHeight w:val="780"/>
        </w:trPr>
        <w:tc>
          <w:tcPr>
            <w:tcW w:w="1711" w:type="dxa"/>
          </w:tcPr>
          <w:p w14:paraId="73363D77" w14:textId="77777777" w:rsidR="0046798B" w:rsidRDefault="0046798B">
            <w:pPr>
              <w:pStyle w:val="TableParagraph"/>
              <w:spacing w:before="8"/>
              <w:rPr>
                <w:sz w:val="23"/>
              </w:rPr>
            </w:pPr>
          </w:p>
          <w:p w14:paraId="02E103D5" w14:textId="77777777" w:rsidR="0046798B" w:rsidRDefault="00903B5C">
            <w:pPr>
              <w:pStyle w:val="TableParagraph"/>
              <w:spacing w:before="1"/>
              <w:ind w:left="115"/>
              <w:rPr>
                <w:b/>
                <w:sz w:val="20"/>
              </w:rPr>
            </w:pPr>
            <w:r>
              <w:rPr>
                <w:b/>
                <w:sz w:val="20"/>
              </w:rPr>
              <w:t>agovempa</w:t>
            </w:r>
          </w:p>
        </w:tc>
        <w:tc>
          <w:tcPr>
            <w:tcW w:w="1596" w:type="dxa"/>
          </w:tcPr>
          <w:p w14:paraId="0D5CB0C3" w14:textId="77777777" w:rsidR="0046798B" w:rsidRDefault="00903B5C">
            <w:pPr>
              <w:pStyle w:val="TableParagraph"/>
              <w:spacing w:before="43"/>
              <w:ind w:left="114" w:right="469"/>
              <w:jc w:val="both"/>
              <w:rPr>
                <w:sz w:val="20"/>
              </w:rPr>
            </w:pPr>
            <w:r>
              <w:rPr>
                <w:sz w:val="20"/>
              </w:rPr>
              <w:t>Unexpected government employment</w:t>
            </w:r>
          </w:p>
        </w:tc>
        <w:tc>
          <w:tcPr>
            <w:tcW w:w="1285" w:type="dxa"/>
          </w:tcPr>
          <w:p w14:paraId="37F5ED07" w14:textId="77777777" w:rsidR="0046798B" w:rsidRDefault="0046798B">
            <w:pPr>
              <w:pStyle w:val="TableParagraph"/>
              <w:spacing w:before="8"/>
              <w:rPr>
                <w:sz w:val="23"/>
              </w:rPr>
            </w:pPr>
          </w:p>
          <w:p w14:paraId="7092FB42" w14:textId="77777777" w:rsidR="0046798B" w:rsidRDefault="00903B5C">
            <w:pPr>
              <w:pStyle w:val="TableParagraph"/>
              <w:spacing w:before="1"/>
              <w:ind w:left="114"/>
              <w:rPr>
                <w:sz w:val="20"/>
              </w:rPr>
            </w:pPr>
            <w:r>
              <w:rPr>
                <w:sz w:val="20"/>
              </w:rPr>
              <w:t>1972–2010</w:t>
            </w:r>
          </w:p>
        </w:tc>
        <w:tc>
          <w:tcPr>
            <w:tcW w:w="3421" w:type="dxa"/>
          </w:tcPr>
          <w:p w14:paraId="51BE0B63" w14:textId="77777777" w:rsidR="0046798B" w:rsidRDefault="00903B5C">
            <w:pPr>
              <w:pStyle w:val="TableParagraph"/>
              <w:spacing w:before="158"/>
              <w:ind w:left="114" w:right="266"/>
              <w:rPr>
                <w:sz w:val="20"/>
              </w:rPr>
            </w:pPr>
            <w:r>
              <w:rPr>
                <w:sz w:val="20"/>
              </w:rPr>
              <w:t>Unexpected government employment (residuals: agovempr on agrantspi)</w:t>
            </w:r>
          </w:p>
        </w:tc>
        <w:tc>
          <w:tcPr>
            <w:tcW w:w="6482" w:type="dxa"/>
          </w:tcPr>
          <w:p w14:paraId="02C7AAE9"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4922091" w14:textId="77777777">
        <w:trPr>
          <w:trHeight w:val="1465"/>
        </w:trPr>
        <w:tc>
          <w:tcPr>
            <w:tcW w:w="1711" w:type="dxa"/>
          </w:tcPr>
          <w:p w14:paraId="7C0F604D" w14:textId="77777777" w:rsidR="0046798B" w:rsidRDefault="0046798B">
            <w:pPr>
              <w:pStyle w:val="TableParagraph"/>
            </w:pPr>
          </w:p>
          <w:p w14:paraId="74EE6214" w14:textId="77777777" w:rsidR="0046798B" w:rsidRDefault="0046798B">
            <w:pPr>
              <w:pStyle w:val="TableParagraph"/>
              <w:spacing w:before="4"/>
              <w:rPr>
                <w:sz w:val="31"/>
              </w:rPr>
            </w:pPr>
          </w:p>
          <w:p w14:paraId="7835A00F" w14:textId="77777777" w:rsidR="0046798B" w:rsidRDefault="00903B5C">
            <w:pPr>
              <w:pStyle w:val="TableParagraph"/>
              <w:ind w:left="115"/>
              <w:rPr>
                <w:b/>
                <w:sz w:val="20"/>
              </w:rPr>
            </w:pPr>
            <w:r>
              <w:rPr>
                <w:b/>
                <w:sz w:val="20"/>
              </w:rPr>
              <w:t>agovempr</w:t>
            </w:r>
          </w:p>
        </w:tc>
        <w:tc>
          <w:tcPr>
            <w:tcW w:w="1596" w:type="dxa"/>
          </w:tcPr>
          <w:p w14:paraId="3C4A56F6" w14:textId="77777777" w:rsidR="0046798B" w:rsidRDefault="00903B5C">
            <w:pPr>
              <w:pStyle w:val="TableParagraph"/>
              <w:spacing w:before="38"/>
              <w:ind w:left="114" w:right="274"/>
              <w:rPr>
                <w:sz w:val="20"/>
              </w:rPr>
            </w:pPr>
            <w:r>
              <w:rPr>
                <w:sz w:val="20"/>
              </w:rPr>
              <w:t>State and local government employment divided by private employment</w:t>
            </w:r>
          </w:p>
        </w:tc>
        <w:tc>
          <w:tcPr>
            <w:tcW w:w="1285" w:type="dxa"/>
          </w:tcPr>
          <w:p w14:paraId="0AF6EA6C" w14:textId="77777777" w:rsidR="0046798B" w:rsidRDefault="0046798B">
            <w:pPr>
              <w:pStyle w:val="TableParagraph"/>
            </w:pPr>
          </w:p>
          <w:p w14:paraId="3D8BD68D" w14:textId="77777777" w:rsidR="0046798B" w:rsidRDefault="0046798B">
            <w:pPr>
              <w:pStyle w:val="TableParagraph"/>
              <w:spacing w:before="4"/>
              <w:rPr>
                <w:sz w:val="31"/>
              </w:rPr>
            </w:pPr>
          </w:p>
          <w:p w14:paraId="38B2A43B" w14:textId="77777777" w:rsidR="0046798B" w:rsidRDefault="00903B5C">
            <w:pPr>
              <w:pStyle w:val="TableParagraph"/>
              <w:ind w:left="114"/>
              <w:rPr>
                <w:sz w:val="20"/>
              </w:rPr>
            </w:pPr>
            <w:r>
              <w:rPr>
                <w:sz w:val="20"/>
              </w:rPr>
              <w:t>1972–2016</w:t>
            </w:r>
          </w:p>
        </w:tc>
        <w:tc>
          <w:tcPr>
            <w:tcW w:w="3421" w:type="dxa"/>
          </w:tcPr>
          <w:p w14:paraId="38535070" w14:textId="77777777" w:rsidR="0046798B" w:rsidRDefault="0046798B">
            <w:pPr>
              <w:pStyle w:val="TableParagraph"/>
            </w:pPr>
          </w:p>
          <w:p w14:paraId="6F41ACD4" w14:textId="77777777" w:rsidR="0046798B" w:rsidRDefault="00903B5C">
            <w:pPr>
              <w:pStyle w:val="TableParagraph"/>
              <w:spacing w:before="130"/>
              <w:ind w:left="114" w:right="772"/>
              <w:rPr>
                <w:sz w:val="20"/>
              </w:rPr>
            </w:pPr>
            <w:r>
              <w:rPr>
                <w:sz w:val="20"/>
              </w:rPr>
              <w:t>State and local government employment divided by private employment</w:t>
            </w:r>
          </w:p>
        </w:tc>
        <w:tc>
          <w:tcPr>
            <w:tcW w:w="6482" w:type="dxa"/>
          </w:tcPr>
          <w:p w14:paraId="4590408B" w14:textId="77777777" w:rsidR="0046798B" w:rsidRDefault="0046798B">
            <w:pPr>
              <w:pStyle w:val="TableParagraph"/>
            </w:pPr>
          </w:p>
          <w:p w14:paraId="4A08F454" w14:textId="77777777" w:rsidR="0046798B" w:rsidRDefault="00903B5C">
            <w:pPr>
              <w:pStyle w:val="TableParagraph"/>
              <w:spacing w:before="130"/>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928F476" w14:textId="77777777">
        <w:trPr>
          <w:trHeight w:val="775"/>
        </w:trPr>
        <w:tc>
          <w:tcPr>
            <w:tcW w:w="1711" w:type="dxa"/>
          </w:tcPr>
          <w:p w14:paraId="04F843A7" w14:textId="77777777" w:rsidR="0046798B" w:rsidRDefault="0046798B">
            <w:pPr>
              <w:pStyle w:val="TableParagraph"/>
              <w:spacing w:before="4"/>
              <w:rPr>
                <w:sz w:val="23"/>
              </w:rPr>
            </w:pPr>
          </w:p>
          <w:p w14:paraId="43482380" w14:textId="77777777" w:rsidR="0046798B" w:rsidRDefault="00903B5C">
            <w:pPr>
              <w:pStyle w:val="TableParagraph"/>
              <w:ind w:left="115"/>
              <w:rPr>
                <w:b/>
                <w:sz w:val="20"/>
              </w:rPr>
            </w:pPr>
            <w:r>
              <w:rPr>
                <w:b/>
                <w:sz w:val="20"/>
              </w:rPr>
              <w:t>agpbpi</w:t>
            </w:r>
          </w:p>
        </w:tc>
        <w:tc>
          <w:tcPr>
            <w:tcW w:w="1596" w:type="dxa"/>
          </w:tcPr>
          <w:p w14:paraId="4186CA6E" w14:textId="77777777" w:rsidR="0046798B" w:rsidRDefault="00903B5C">
            <w:pPr>
              <w:pStyle w:val="TableParagraph"/>
              <w:spacing w:before="38"/>
              <w:ind w:left="114" w:right="244"/>
              <w:jc w:val="both"/>
              <w:rPr>
                <w:sz w:val="20"/>
              </w:rPr>
            </w:pPr>
            <w:r>
              <w:rPr>
                <w:sz w:val="20"/>
              </w:rPr>
              <w:t>Public building spending, % of income</w:t>
            </w:r>
          </w:p>
        </w:tc>
        <w:tc>
          <w:tcPr>
            <w:tcW w:w="1285" w:type="dxa"/>
          </w:tcPr>
          <w:p w14:paraId="6B10AB23" w14:textId="77777777" w:rsidR="0046798B" w:rsidRDefault="0046798B">
            <w:pPr>
              <w:pStyle w:val="TableParagraph"/>
              <w:spacing w:before="4"/>
              <w:rPr>
                <w:sz w:val="23"/>
              </w:rPr>
            </w:pPr>
          </w:p>
          <w:p w14:paraId="79823AFF" w14:textId="77777777" w:rsidR="0046798B" w:rsidRDefault="00903B5C">
            <w:pPr>
              <w:pStyle w:val="TableParagraph"/>
              <w:ind w:left="114"/>
              <w:rPr>
                <w:sz w:val="20"/>
              </w:rPr>
            </w:pPr>
            <w:r>
              <w:rPr>
                <w:sz w:val="20"/>
              </w:rPr>
              <w:t>1957–2015</w:t>
            </w:r>
          </w:p>
        </w:tc>
        <w:tc>
          <w:tcPr>
            <w:tcW w:w="3421" w:type="dxa"/>
          </w:tcPr>
          <w:p w14:paraId="141E4E63" w14:textId="77777777" w:rsidR="0046798B" w:rsidRDefault="00903B5C">
            <w:pPr>
              <w:pStyle w:val="TableParagraph"/>
              <w:spacing w:before="153"/>
              <w:ind w:left="114"/>
              <w:rPr>
                <w:sz w:val="20"/>
              </w:rPr>
            </w:pPr>
            <w:r>
              <w:rPr>
                <w:sz w:val="20"/>
              </w:rPr>
              <w:t>Public building spending, % of income (agpbspt / apersinc)</w:t>
            </w:r>
          </w:p>
        </w:tc>
        <w:tc>
          <w:tcPr>
            <w:tcW w:w="6482" w:type="dxa"/>
          </w:tcPr>
          <w:p w14:paraId="69B1E848" w14:textId="77777777" w:rsidR="0046798B" w:rsidRDefault="00903B5C">
            <w:pPr>
              <w:pStyle w:val="TableParagraph"/>
              <w:spacing w:before="3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038CBDF" w14:textId="77777777">
        <w:trPr>
          <w:trHeight w:val="1696"/>
        </w:trPr>
        <w:tc>
          <w:tcPr>
            <w:tcW w:w="1711" w:type="dxa"/>
          </w:tcPr>
          <w:p w14:paraId="633738B1" w14:textId="77777777" w:rsidR="0046798B" w:rsidRDefault="0046798B">
            <w:pPr>
              <w:pStyle w:val="TableParagraph"/>
            </w:pPr>
          </w:p>
          <w:p w14:paraId="5886D8BC" w14:textId="77777777" w:rsidR="0046798B" w:rsidRDefault="0046798B">
            <w:pPr>
              <w:pStyle w:val="TableParagraph"/>
            </w:pPr>
          </w:p>
          <w:p w14:paraId="4835767E" w14:textId="77777777" w:rsidR="0046798B" w:rsidRDefault="0046798B">
            <w:pPr>
              <w:pStyle w:val="TableParagraph"/>
              <w:spacing w:before="9"/>
              <w:rPr>
                <w:sz w:val="19"/>
              </w:rPr>
            </w:pPr>
          </w:p>
          <w:p w14:paraId="460FA394" w14:textId="77777777" w:rsidR="0046798B" w:rsidRDefault="00903B5C">
            <w:pPr>
              <w:pStyle w:val="TableParagraph"/>
              <w:ind w:left="115"/>
              <w:rPr>
                <w:b/>
                <w:sz w:val="20"/>
              </w:rPr>
            </w:pPr>
            <w:r>
              <w:rPr>
                <w:b/>
                <w:sz w:val="20"/>
              </w:rPr>
              <w:t>agpbspt</w:t>
            </w:r>
          </w:p>
        </w:tc>
        <w:tc>
          <w:tcPr>
            <w:tcW w:w="1596" w:type="dxa"/>
          </w:tcPr>
          <w:p w14:paraId="61033C81" w14:textId="77777777" w:rsidR="0046798B" w:rsidRDefault="00903B5C">
            <w:pPr>
              <w:pStyle w:val="TableParagraph"/>
              <w:spacing w:before="43"/>
              <w:ind w:left="114" w:right="252"/>
              <w:rPr>
                <w:sz w:val="20"/>
              </w:rPr>
            </w:pPr>
            <w:r>
              <w:rPr>
                <w:sz w:val="20"/>
              </w:rPr>
              <w:t>State and local government general public buildings total expenditure, in millions of dollars</w:t>
            </w:r>
          </w:p>
        </w:tc>
        <w:tc>
          <w:tcPr>
            <w:tcW w:w="1285" w:type="dxa"/>
          </w:tcPr>
          <w:p w14:paraId="5435159A" w14:textId="77777777" w:rsidR="0046798B" w:rsidRDefault="0046798B">
            <w:pPr>
              <w:pStyle w:val="TableParagraph"/>
            </w:pPr>
          </w:p>
          <w:p w14:paraId="138A8EA3" w14:textId="77777777" w:rsidR="0046798B" w:rsidRDefault="0046798B">
            <w:pPr>
              <w:pStyle w:val="TableParagraph"/>
            </w:pPr>
          </w:p>
          <w:p w14:paraId="458EC6F3" w14:textId="77777777" w:rsidR="0046798B" w:rsidRDefault="0046798B">
            <w:pPr>
              <w:pStyle w:val="TableParagraph"/>
              <w:spacing w:before="9"/>
              <w:rPr>
                <w:sz w:val="19"/>
              </w:rPr>
            </w:pPr>
          </w:p>
          <w:p w14:paraId="117339E9" w14:textId="77777777" w:rsidR="0046798B" w:rsidRDefault="00903B5C">
            <w:pPr>
              <w:pStyle w:val="TableParagraph"/>
              <w:ind w:left="114"/>
              <w:rPr>
                <w:sz w:val="20"/>
              </w:rPr>
            </w:pPr>
            <w:r>
              <w:rPr>
                <w:sz w:val="20"/>
              </w:rPr>
              <w:t>1957–2015</w:t>
            </w:r>
          </w:p>
        </w:tc>
        <w:tc>
          <w:tcPr>
            <w:tcW w:w="3421" w:type="dxa"/>
          </w:tcPr>
          <w:p w14:paraId="0C816D20" w14:textId="77777777" w:rsidR="0046798B" w:rsidRDefault="0046798B">
            <w:pPr>
              <w:pStyle w:val="TableParagraph"/>
            </w:pPr>
          </w:p>
          <w:p w14:paraId="5C44110E" w14:textId="77777777" w:rsidR="0046798B" w:rsidRDefault="0046798B">
            <w:pPr>
              <w:pStyle w:val="TableParagraph"/>
              <w:spacing w:before="9"/>
              <w:rPr>
                <w:sz w:val="21"/>
              </w:rPr>
            </w:pPr>
          </w:p>
          <w:p w14:paraId="3A4F3B46" w14:textId="3FA88CE0" w:rsidR="0046798B" w:rsidRDefault="00903B5C">
            <w:pPr>
              <w:pStyle w:val="TableParagraph"/>
              <w:ind w:left="114" w:right="327"/>
              <w:rPr>
                <w:sz w:val="20"/>
              </w:rPr>
            </w:pPr>
            <w:r>
              <w:rPr>
                <w:sz w:val="20"/>
              </w:rPr>
              <w:t>State and local government general public buildings total expenditure, in millions of dollars</w:t>
            </w:r>
          </w:p>
        </w:tc>
        <w:tc>
          <w:tcPr>
            <w:tcW w:w="6482" w:type="dxa"/>
          </w:tcPr>
          <w:p w14:paraId="0CA1C992" w14:textId="77777777" w:rsidR="0046798B" w:rsidRDefault="0046798B">
            <w:pPr>
              <w:pStyle w:val="TableParagraph"/>
            </w:pPr>
          </w:p>
          <w:p w14:paraId="35BE910D" w14:textId="77777777" w:rsidR="0046798B" w:rsidRDefault="0046798B">
            <w:pPr>
              <w:pStyle w:val="TableParagraph"/>
              <w:spacing w:before="9"/>
              <w:rPr>
                <w:sz w:val="21"/>
              </w:rPr>
            </w:pPr>
          </w:p>
          <w:p w14:paraId="6ACF5D3D" w14:textId="77777777" w:rsidR="0046798B" w:rsidRDefault="00903B5C">
            <w:pPr>
              <w:pStyle w:val="TableParagraph"/>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7CE6A94" w14:textId="77777777">
        <w:trPr>
          <w:trHeight w:val="775"/>
        </w:trPr>
        <w:tc>
          <w:tcPr>
            <w:tcW w:w="1711" w:type="dxa"/>
          </w:tcPr>
          <w:p w14:paraId="0DF1F445" w14:textId="77777777" w:rsidR="0046798B" w:rsidRDefault="0046798B">
            <w:pPr>
              <w:pStyle w:val="TableParagraph"/>
              <w:spacing w:before="8"/>
              <w:rPr>
                <w:sz w:val="23"/>
              </w:rPr>
            </w:pPr>
          </w:p>
          <w:p w14:paraId="1634AEC5" w14:textId="77777777" w:rsidR="0046798B" w:rsidRDefault="00903B5C">
            <w:pPr>
              <w:pStyle w:val="TableParagraph"/>
              <w:ind w:left="115"/>
              <w:rPr>
                <w:b/>
                <w:sz w:val="20"/>
              </w:rPr>
            </w:pPr>
            <w:r>
              <w:rPr>
                <w:b/>
                <w:sz w:val="20"/>
              </w:rPr>
              <w:t>agrantspi</w:t>
            </w:r>
          </w:p>
        </w:tc>
        <w:tc>
          <w:tcPr>
            <w:tcW w:w="1596" w:type="dxa"/>
          </w:tcPr>
          <w:p w14:paraId="7E217BC7" w14:textId="77777777" w:rsidR="0046798B" w:rsidRDefault="00903B5C">
            <w:pPr>
              <w:pStyle w:val="TableParagraph"/>
              <w:spacing w:before="158"/>
              <w:ind w:left="114"/>
              <w:rPr>
                <w:sz w:val="20"/>
              </w:rPr>
            </w:pPr>
            <w:r>
              <w:rPr>
                <w:sz w:val="20"/>
              </w:rPr>
              <w:t>Federal grants,</w:t>
            </w:r>
          </w:p>
          <w:p w14:paraId="659674AE" w14:textId="77777777" w:rsidR="0046798B" w:rsidRDefault="00903B5C">
            <w:pPr>
              <w:pStyle w:val="TableParagraph"/>
              <w:ind w:left="114"/>
              <w:rPr>
                <w:sz w:val="20"/>
              </w:rPr>
            </w:pPr>
            <w:r>
              <w:rPr>
                <w:sz w:val="20"/>
              </w:rPr>
              <w:t>% of income</w:t>
            </w:r>
          </w:p>
        </w:tc>
        <w:tc>
          <w:tcPr>
            <w:tcW w:w="1285" w:type="dxa"/>
          </w:tcPr>
          <w:p w14:paraId="58072CEC" w14:textId="77777777" w:rsidR="0046798B" w:rsidRDefault="0046798B">
            <w:pPr>
              <w:pStyle w:val="TableParagraph"/>
              <w:spacing w:before="8"/>
              <w:rPr>
                <w:sz w:val="23"/>
              </w:rPr>
            </w:pPr>
          </w:p>
          <w:p w14:paraId="2653414A" w14:textId="77777777" w:rsidR="0046798B" w:rsidRDefault="00903B5C">
            <w:pPr>
              <w:pStyle w:val="TableParagraph"/>
              <w:ind w:left="114"/>
              <w:rPr>
                <w:sz w:val="20"/>
              </w:rPr>
            </w:pPr>
            <w:r>
              <w:rPr>
                <w:sz w:val="20"/>
              </w:rPr>
              <w:t>1957–2015</w:t>
            </w:r>
          </w:p>
        </w:tc>
        <w:tc>
          <w:tcPr>
            <w:tcW w:w="3421" w:type="dxa"/>
          </w:tcPr>
          <w:p w14:paraId="62FC6868" w14:textId="77777777" w:rsidR="0046798B" w:rsidRDefault="00903B5C">
            <w:pPr>
              <w:pStyle w:val="TableParagraph"/>
              <w:spacing w:before="158"/>
              <w:ind w:left="114"/>
              <w:rPr>
                <w:sz w:val="20"/>
              </w:rPr>
            </w:pPr>
            <w:r>
              <w:rPr>
                <w:sz w:val="20"/>
              </w:rPr>
              <w:t>Federal grants, % of income (afgrant / apersinc)</w:t>
            </w:r>
          </w:p>
        </w:tc>
        <w:tc>
          <w:tcPr>
            <w:tcW w:w="6482" w:type="dxa"/>
          </w:tcPr>
          <w:p w14:paraId="083E4449"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B16F4B5" w14:textId="77777777">
        <w:trPr>
          <w:trHeight w:val="1235"/>
        </w:trPr>
        <w:tc>
          <w:tcPr>
            <w:tcW w:w="1711" w:type="dxa"/>
          </w:tcPr>
          <w:p w14:paraId="24DB833D" w14:textId="77777777" w:rsidR="0046798B" w:rsidRDefault="0046798B">
            <w:pPr>
              <w:pStyle w:val="TableParagraph"/>
            </w:pPr>
          </w:p>
          <w:p w14:paraId="14467BFA" w14:textId="77777777" w:rsidR="0046798B" w:rsidRDefault="0046798B">
            <w:pPr>
              <w:pStyle w:val="TableParagraph"/>
              <w:spacing w:before="9"/>
              <w:rPr>
                <w:sz w:val="21"/>
              </w:rPr>
            </w:pPr>
          </w:p>
          <w:p w14:paraId="6F0EDDDD" w14:textId="77777777" w:rsidR="0046798B" w:rsidRDefault="00903B5C">
            <w:pPr>
              <w:pStyle w:val="TableParagraph"/>
              <w:ind w:left="115"/>
              <w:rPr>
                <w:b/>
                <w:sz w:val="20"/>
              </w:rPr>
            </w:pPr>
            <w:r>
              <w:rPr>
                <w:b/>
                <w:sz w:val="20"/>
              </w:rPr>
              <w:t>ahcdpi</w:t>
            </w:r>
          </w:p>
        </w:tc>
        <w:tc>
          <w:tcPr>
            <w:tcW w:w="1596" w:type="dxa"/>
          </w:tcPr>
          <w:p w14:paraId="28626265" w14:textId="77777777" w:rsidR="0046798B" w:rsidRDefault="00903B5C">
            <w:pPr>
              <w:pStyle w:val="TableParagraph"/>
              <w:spacing w:before="43"/>
              <w:ind w:left="114" w:right="246"/>
              <w:rPr>
                <w:sz w:val="20"/>
              </w:rPr>
            </w:pPr>
            <w:r>
              <w:rPr>
                <w:sz w:val="20"/>
              </w:rPr>
              <w:t>Housing and community development spending, % of income</w:t>
            </w:r>
          </w:p>
        </w:tc>
        <w:tc>
          <w:tcPr>
            <w:tcW w:w="1285" w:type="dxa"/>
          </w:tcPr>
          <w:p w14:paraId="616580F3" w14:textId="77777777" w:rsidR="0046798B" w:rsidRDefault="0046798B">
            <w:pPr>
              <w:pStyle w:val="TableParagraph"/>
            </w:pPr>
          </w:p>
          <w:p w14:paraId="0E10D654" w14:textId="77777777" w:rsidR="0046798B" w:rsidRDefault="0046798B">
            <w:pPr>
              <w:pStyle w:val="TableParagraph"/>
              <w:spacing w:before="9"/>
              <w:rPr>
                <w:sz w:val="21"/>
              </w:rPr>
            </w:pPr>
          </w:p>
          <w:p w14:paraId="36FB0525" w14:textId="77777777" w:rsidR="0046798B" w:rsidRDefault="00903B5C">
            <w:pPr>
              <w:pStyle w:val="TableParagraph"/>
              <w:ind w:left="114"/>
              <w:rPr>
                <w:sz w:val="20"/>
              </w:rPr>
            </w:pPr>
            <w:r>
              <w:rPr>
                <w:sz w:val="20"/>
              </w:rPr>
              <w:t>1957–2015</w:t>
            </w:r>
          </w:p>
        </w:tc>
        <w:tc>
          <w:tcPr>
            <w:tcW w:w="3421" w:type="dxa"/>
          </w:tcPr>
          <w:p w14:paraId="570131DC" w14:textId="77777777" w:rsidR="0046798B" w:rsidRDefault="0046798B">
            <w:pPr>
              <w:pStyle w:val="TableParagraph"/>
              <w:spacing w:before="9"/>
              <w:rPr>
                <w:sz w:val="23"/>
              </w:rPr>
            </w:pPr>
          </w:p>
          <w:p w14:paraId="63E2A175" w14:textId="77777777" w:rsidR="0046798B" w:rsidRDefault="00903B5C">
            <w:pPr>
              <w:pStyle w:val="TableParagraph"/>
              <w:ind w:left="114" w:right="216"/>
              <w:rPr>
                <w:sz w:val="20"/>
              </w:rPr>
            </w:pPr>
            <w:r>
              <w:rPr>
                <w:sz w:val="20"/>
              </w:rPr>
              <w:t>Housing and community development spending, % of income (ahcdspt / apersinc)</w:t>
            </w:r>
          </w:p>
        </w:tc>
        <w:tc>
          <w:tcPr>
            <w:tcW w:w="6482" w:type="dxa"/>
          </w:tcPr>
          <w:p w14:paraId="0858EBDC" w14:textId="77777777" w:rsidR="0046798B" w:rsidRDefault="0046798B">
            <w:pPr>
              <w:pStyle w:val="TableParagraph"/>
              <w:spacing w:before="9"/>
              <w:rPr>
                <w:sz w:val="23"/>
              </w:rPr>
            </w:pPr>
          </w:p>
          <w:p w14:paraId="565D0F0B"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4AB6AA2E" w14:textId="77777777" w:rsidR="0046798B" w:rsidRDefault="0046798B">
      <w:pPr>
        <w:rPr>
          <w:sz w:val="20"/>
        </w:rPr>
        <w:sectPr w:rsidR="0046798B">
          <w:pgSz w:w="15840" w:h="12240" w:orient="landscape"/>
          <w:pgMar w:top="1220" w:right="300" w:bottom="980" w:left="820" w:header="730" w:footer="787" w:gutter="0"/>
          <w:cols w:space="720"/>
        </w:sectPr>
      </w:pPr>
    </w:p>
    <w:p w14:paraId="5CAB8C2A"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6EA1B7C3" w14:textId="77777777">
        <w:trPr>
          <w:trHeight w:val="775"/>
        </w:trPr>
        <w:tc>
          <w:tcPr>
            <w:tcW w:w="1711" w:type="dxa"/>
          </w:tcPr>
          <w:p w14:paraId="3C2CFED9" w14:textId="77777777" w:rsidR="0046798B" w:rsidRDefault="0046798B">
            <w:pPr>
              <w:pStyle w:val="TableParagraph"/>
              <w:spacing w:before="9"/>
              <w:rPr>
                <w:sz w:val="23"/>
              </w:rPr>
            </w:pPr>
          </w:p>
          <w:p w14:paraId="2539B1A3" w14:textId="77777777" w:rsidR="0046798B" w:rsidRDefault="00903B5C">
            <w:pPr>
              <w:pStyle w:val="TableParagraph"/>
              <w:ind w:left="115"/>
              <w:rPr>
                <w:b/>
                <w:sz w:val="20"/>
              </w:rPr>
            </w:pPr>
            <w:r>
              <w:rPr>
                <w:b/>
                <w:sz w:val="20"/>
              </w:rPr>
              <w:t>ahcdpia</w:t>
            </w:r>
          </w:p>
        </w:tc>
        <w:tc>
          <w:tcPr>
            <w:tcW w:w="1596" w:type="dxa"/>
          </w:tcPr>
          <w:p w14:paraId="316075C9" w14:textId="77777777" w:rsidR="0046798B" w:rsidRDefault="00903B5C">
            <w:pPr>
              <w:pStyle w:val="TableParagraph"/>
              <w:spacing w:before="43"/>
              <w:ind w:left="114" w:right="496"/>
              <w:rPr>
                <w:sz w:val="20"/>
              </w:rPr>
            </w:pPr>
            <w:r>
              <w:rPr>
                <w:sz w:val="20"/>
              </w:rPr>
              <w:t>Unexpected housing spending</w:t>
            </w:r>
          </w:p>
        </w:tc>
        <w:tc>
          <w:tcPr>
            <w:tcW w:w="1285" w:type="dxa"/>
          </w:tcPr>
          <w:p w14:paraId="5C936301" w14:textId="77777777" w:rsidR="0046798B" w:rsidRDefault="0046798B">
            <w:pPr>
              <w:pStyle w:val="TableParagraph"/>
              <w:spacing w:before="9"/>
              <w:rPr>
                <w:sz w:val="23"/>
              </w:rPr>
            </w:pPr>
          </w:p>
          <w:p w14:paraId="1D4A060A" w14:textId="77777777" w:rsidR="0046798B" w:rsidRDefault="00903B5C">
            <w:pPr>
              <w:pStyle w:val="TableParagraph"/>
              <w:ind w:left="114"/>
              <w:rPr>
                <w:sz w:val="20"/>
              </w:rPr>
            </w:pPr>
            <w:r>
              <w:rPr>
                <w:sz w:val="20"/>
              </w:rPr>
              <w:t>1957–2015</w:t>
            </w:r>
          </w:p>
        </w:tc>
        <w:tc>
          <w:tcPr>
            <w:tcW w:w="3421" w:type="dxa"/>
          </w:tcPr>
          <w:p w14:paraId="3BD67DF5" w14:textId="77777777" w:rsidR="0046798B" w:rsidRDefault="00903B5C">
            <w:pPr>
              <w:pStyle w:val="TableParagraph"/>
              <w:spacing w:before="43"/>
              <w:ind w:left="114" w:right="461"/>
              <w:rPr>
                <w:sz w:val="20"/>
              </w:rPr>
            </w:pPr>
            <w:r>
              <w:rPr>
                <w:sz w:val="20"/>
              </w:rPr>
              <w:t>Unexpected housing spending (modified by agrantspi, equation derived from diff-in-diff estimates)</w:t>
            </w:r>
          </w:p>
        </w:tc>
        <w:tc>
          <w:tcPr>
            <w:tcW w:w="6482" w:type="dxa"/>
          </w:tcPr>
          <w:p w14:paraId="2EAAEF0E"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9112C9A" w14:textId="77777777">
        <w:trPr>
          <w:trHeight w:val="2156"/>
        </w:trPr>
        <w:tc>
          <w:tcPr>
            <w:tcW w:w="1711" w:type="dxa"/>
          </w:tcPr>
          <w:p w14:paraId="4D139F36" w14:textId="77777777" w:rsidR="0046798B" w:rsidRDefault="0046798B">
            <w:pPr>
              <w:pStyle w:val="TableParagraph"/>
            </w:pPr>
          </w:p>
          <w:p w14:paraId="04CFBFB3" w14:textId="77777777" w:rsidR="0046798B" w:rsidRDefault="0046798B">
            <w:pPr>
              <w:pStyle w:val="TableParagraph"/>
            </w:pPr>
          </w:p>
          <w:p w14:paraId="30F9EAC7" w14:textId="77777777" w:rsidR="0046798B" w:rsidRDefault="0046798B">
            <w:pPr>
              <w:pStyle w:val="TableParagraph"/>
            </w:pPr>
          </w:p>
          <w:p w14:paraId="7EB0A955" w14:textId="77777777" w:rsidR="0046798B" w:rsidRDefault="0046798B">
            <w:pPr>
              <w:pStyle w:val="TableParagraph"/>
              <w:spacing w:before="9"/>
              <w:rPr>
                <w:sz w:val="17"/>
              </w:rPr>
            </w:pPr>
          </w:p>
          <w:p w14:paraId="5A5D284D" w14:textId="77777777" w:rsidR="0046798B" w:rsidRDefault="00903B5C">
            <w:pPr>
              <w:pStyle w:val="TableParagraph"/>
              <w:ind w:left="115"/>
              <w:rPr>
                <w:b/>
                <w:sz w:val="20"/>
              </w:rPr>
            </w:pPr>
            <w:r>
              <w:rPr>
                <w:b/>
                <w:sz w:val="20"/>
              </w:rPr>
              <w:t>ahcdspt</w:t>
            </w:r>
          </w:p>
        </w:tc>
        <w:tc>
          <w:tcPr>
            <w:tcW w:w="1596" w:type="dxa"/>
          </w:tcPr>
          <w:p w14:paraId="42DFE6B7" w14:textId="77777777" w:rsidR="0046798B" w:rsidRDefault="00903B5C">
            <w:pPr>
              <w:pStyle w:val="TableParagraph"/>
              <w:spacing w:before="43"/>
              <w:ind w:left="114" w:right="252"/>
              <w:rPr>
                <w:sz w:val="20"/>
              </w:rPr>
            </w:pPr>
            <w:r>
              <w:rPr>
                <w:sz w:val="20"/>
              </w:rPr>
              <w:t>State and local government housing and community development direct expenditure, in millions of dollars</w:t>
            </w:r>
          </w:p>
        </w:tc>
        <w:tc>
          <w:tcPr>
            <w:tcW w:w="1285" w:type="dxa"/>
          </w:tcPr>
          <w:p w14:paraId="22A2E508" w14:textId="77777777" w:rsidR="0046798B" w:rsidRDefault="0046798B">
            <w:pPr>
              <w:pStyle w:val="TableParagraph"/>
            </w:pPr>
          </w:p>
          <w:p w14:paraId="5E39229F" w14:textId="77777777" w:rsidR="0046798B" w:rsidRDefault="0046798B">
            <w:pPr>
              <w:pStyle w:val="TableParagraph"/>
            </w:pPr>
          </w:p>
          <w:p w14:paraId="50F208E0" w14:textId="77777777" w:rsidR="0046798B" w:rsidRDefault="0046798B">
            <w:pPr>
              <w:pStyle w:val="TableParagraph"/>
            </w:pPr>
          </w:p>
          <w:p w14:paraId="704B4E6A" w14:textId="77777777" w:rsidR="0046798B" w:rsidRDefault="0046798B">
            <w:pPr>
              <w:pStyle w:val="TableParagraph"/>
              <w:spacing w:before="9"/>
              <w:rPr>
                <w:sz w:val="17"/>
              </w:rPr>
            </w:pPr>
          </w:p>
          <w:p w14:paraId="140C3EEF" w14:textId="77777777" w:rsidR="0046798B" w:rsidRDefault="00903B5C">
            <w:pPr>
              <w:pStyle w:val="TableParagraph"/>
              <w:ind w:left="114"/>
              <w:rPr>
                <w:sz w:val="20"/>
              </w:rPr>
            </w:pPr>
            <w:r>
              <w:rPr>
                <w:sz w:val="20"/>
              </w:rPr>
              <w:t>1957–2015</w:t>
            </w:r>
          </w:p>
        </w:tc>
        <w:tc>
          <w:tcPr>
            <w:tcW w:w="3421" w:type="dxa"/>
          </w:tcPr>
          <w:p w14:paraId="34D70535" w14:textId="77777777" w:rsidR="0046798B" w:rsidRDefault="0046798B">
            <w:pPr>
              <w:pStyle w:val="TableParagraph"/>
            </w:pPr>
          </w:p>
          <w:p w14:paraId="37EF8671" w14:textId="77777777" w:rsidR="0046798B" w:rsidRDefault="0046798B">
            <w:pPr>
              <w:pStyle w:val="TableParagraph"/>
            </w:pPr>
          </w:p>
          <w:p w14:paraId="7B055BC3" w14:textId="77777777" w:rsidR="0046798B" w:rsidRDefault="0046798B">
            <w:pPr>
              <w:pStyle w:val="TableParagraph"/>
              <w:spacing w:before="9"/>
              <w:rPr>
                <w:sz w:val="19"/>
              </w:rPr>
            </w:pPr>
          </w:p>
          <w:p w14:paraId="179E4952" w14:textId="77777777" w:rsidR="0046798B" w:rsidRDefault="00903B5C">
            <w:pPr>
              <w:pStyle w:val="TableParagraph"/>
              <w:ind w:left="114" w:right="426"/>
              <w:jc w:val="both"/>
              <w:rPr>
                <w:sz w:val="20"/>
              </w:rPr>
            </w:pPr>
            <w:r>
              <w:rPr>
                <w:sz w:val="20"/>
              </w:rPr>
              <w:t>State and local government housing and community development direct expenditure, in millions of dollars</w:t>
            </w:r>
          </w:p>
        </w:tc>
        <w:tc>
          <w:tcPr>
            <w:tcW w:w="6482" w:type="dxa"/>
          </w:tcPr>
          <w:p w14:paraId="2E6F7D79" w14:textId="77777777" w:rsidR="0046798B" w:rsidRDefault="0046798B">
            <w:pPr>
              <w:pStyle w:val="TableParagraph"/>
            </w:pPr>
          </w:p>
          <w:p w14:paraId="062D44A8" w14:textId="77777777" w:rsidR="0046798B" w:rsidRDefault="0046798B">
            <w:pPr>
              <w:pStyle w:val="TableParagraph"/>
            </w:pPr>
          </w:p>
          <w:p w14:paraId="11AF8F44" w14:textId="77777777" w:rsidR="0046798B" w:rsidRDefault="0046798B">
            <w:pPr>
              <w:pStyle w:val="TableParagraph"/>
              <w:spacing w:before="9"/>
              <w:rPr>
                <w:sz w:val="19"/>
              </w:rPr>
            </w:pPr>
          </w:p>
          <w:p w14:paraId="1717D9F4"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E0B87D1" w14:textId="77777777">
        <w:trPr>
          <w:trHeight w:val="1010"/>
        </w:trPr>
        <w:tc>
          <w:tcPr>
            <w:tcW w:w="1711" w:type="dxa"/>
          </w:tcPr>
          <w:p w14:paraId="72E8C3F1" w14:textId="77777777" w:rsidR="0046798B" w:rsidRDefault="0046798B">
            <w:pPr>
              <w:pStyle w:val="TableParagraph"/>
            </w:pPr>
          </w:p>
          <w:p w14:paraId="66B1F700" w14:textId="77777777" w:rsidR="0046798B" w:rsidRDefault="00903B5C">
            <w:pPr>
              <w:pStyle w:val="TableParagraph"/>
              <w:spacing w:before="135"/>
              <w:ind w:left="115"/>
              <w:rPr>
                <w:b/>
                <w:sz w:val="20"/>
              </w:rPr>
            </w:pPr>
            <w:r>
              <w:rPr>
                <w:b/>
                <w:sz w:val="20"/>
              </w:rPr>
              <w:t>ahealpi</w:t>
            </w:r>
          </w:p>
        </w:tc>
        <w:tc>
          <w:tcPr>
            <w:tcW w:w="1596" w:type="dxa"/>
          </w:tcPr>
          <w:p w14:paraId="545D9DFB" w14:textId="77777777" w:rsidR="0046798B" w:rsidRDefault="00903B5C">
            <w:pPr>
              <w:pStyle w:val="TableParagraph"/>
              <w:spacing w:before="43"/>
              <w:ind w:left="114" w:right="246"/>
              <w:rPr>
                <w:sz w:val="20"/>
              </w:rPr>
            </w:pPr>
            <w:r>
              <w:rPr>
                <w:sz w:val="20"/>
              </w:rPr>
              <w:t>Health and hospitals spending, % of income</w:t>
            </w:r>
          </w:p>
        </w:tc>
        <w:tc>
          <w:tcPr>
            <w:tcW w:w="1285" w:type="dxa"/>
          </w:tcPr>
          <w:p w14:paraId="26827E00" w14:textId="77777777" w:rsidR="0046798B" w:rsidRDefault="0046798B">
            <w:pPr>
              <w:pStyle w:val="TableParagraph"/>
            </w:pPr>
          </w:p>
          <w:p w14:paraId="77289B57" w14:textId="77777777" w:rsidR="0046798B" w:rsidRDefault="00903B5C">
            <w:pPr>
              <w:pStyle w:val="TableParagraph"/>
              <w:spacing w:before="135"/>
              <w:ind w:left="114"/>
              <w:rPr>
                <w:sz w:val="20"/>
              </w:rPr>
            </w:pPr>
            <w:r>
              <w:rPr>
                <w:sz w:val="20"/>
              </w:rPr>
              <w:t>1957–2015</w:t>
            </w:r>
          </w:p>
        </w:tc>
        <w:tc>
          <w:tcPr>
            <w:tcW w:w="3421" w:type="dxa"/>
          </w:tcPr>
          <w:p w14:paraId="6BDC5489" w14:textId="77777777" w:rsidR="0046798B" w:rsidRDefault="0046798B">
            <w:pPr>
              <w:pStyle w:val="TableParagraph"/>
              <w:spacing w:before="8"/>
              <w:rPr>
                <w:sz w:val="23"/>
              </w:rPr>
            </w:pPr>
          </w:p>
          <w:p w14:paraId="7EA3F664" w14:textId="77777777" w:rsidR="0046798B" w:rsidRDefault="00903B5C">
            <w:pPr>
              <w:pStyle w:val="TableParagraph"/>
              <w:spacing w:before="1"/>
              <w:ind w:left="114" w:right="388"/>
              <w:rPr>
                <w:sz w:val="20"/>
              </w:rPr>
            </w:pPr>
            <w:r>
              <w:rPr>
                <w:sz w:val="20"/>
              </w:rPr>
              <w:t>Health and hospitals spending, % of income (ahealspt / apersinc)</w:t>
            </w:r>
          </w:p>
        </w:tc>
        <w:tc>
          <w:tcPr>
            <w:tcW w:w="6482" w:type="dxa"/>
          </w:tcPr>
          <w:p w14:paraId="73304672"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DA5CC79" w14:textId="77777777">
        <w:trPr>
          <w:trHeight w:val="1005"/>
        </w:trPr>
        <w:tc>
          <w:tcPr>
            <w:tcW w:w="1711" w:type="dxa"/>
          </w:tcPr>
          <w:p w14:paraId="3B660EE7" w14:textId="77777777" w:rsidR="0046798B" w:rsidRDefault="0046798B">
            <w:pPr>
              <w:pStyle w:val="TableParagraph"/>
            </w:pPr>
          </w:p>
          <w:p w14:paraId="555693AD" w14:textId="77777777" w:rsidR="0046798B" w:rsidRDefault="00903B5C">
            <w:pPr>
              <w:pStyle w:val="TableParagraph"/>
              <w:spacing w:before="130"/>
              <w:ind w:left="115"/>
              <w:rPr>
                <w:b/>
                <w:sz w:val="20"/>
              </w:rPr>
            </w:pPr>
            <w:r>
              <w:rPr>
                <w:b/>
                <w:sz w:val="20"/>
              </w:rPr>
              <w:t>ahealpia</w:t>
            </w:r>
          </w:p>
        </w:tc>
        <w:tc>
          <w:tcPr>
            <w:tcW w:w="1596" w:type="dxa"/>
          </w:tcPr>
          <w:p w14:paraId="756C32EE" w14:textId="77777777" w:rsidR="0046798B" w:rsidRDefault="00903B5C">
            <w:pPr>
              <w:pStyle w:val="TableParagraph"/>
              <w:spacing w:before="38"/>
              <w:ind w:left="114" w:right="496"/>
              <w:rPr>
                <w:sz w:val="20"/>
              </w:rPr>
            </w:pPr>
            <w:r>
              <w:rPr>
                <w:sz w:val="20"/>
              </w:rPr>
              <w:t>Unexpected health and hospitals spending</w:t>
            </w:r>
          </w:p>
        </w:tc>
        <w:tc>
          <w:tcPr>
            <w:tcW w:w="1285" w:type="dxa"/>
          </w:tcPr>
          <w:p w14:paraId="52EAC18E" w14:textId="77777777" w:rsidR="0046798B" w:rsidRDefault="0046798B">
            <w:pPr>
              <w:pStyle w:val="TableParagraph"/>
            </w:pPr>
          </w:p>
          <w:p w14:paraId="13105069" w14:textId="77777777" w:rsidR="0046798B" w:rsidRDefault="00903B5C">
            <w:pPr>
              <w:pStyle w:val="TableParagraph"/>
              <w:spacing w:before="130"/>
              <w:ind w:left="114"/>
              <w:rPr>
                <w:sz w:val="20"/>
              </w:rPr>
            </w:pPr>
            <w:r>
              <w:rPr>
                <w:sz w:val="20"/>
              </w:rPr>
              <w:t>2000–2015</w:t>
            </w:r>
          </w:p>
        </w:tc>
        <w:tc>
          <w:tcPr>
            <w:tcW w:w="3421" w:type="dxa"/>
          </w:tcPr>
          <w:p w14:paraId="73E98E3A" w14:textId="77777777" w:rsidR="0046798B" w:rsidRDefault="00903B5C">
            <w:pPr>
              <w:pStyle w:val="TableParagraph"/>
              <w:spacing w:before="38"/>
              <w:ind w:left="114" w:right="130"/>
              <w:rPr>
                <w:sz w:val="20"/>
              </w:rPr>
            </w:pPr>
            <w:r>
              <w:rPr>
                <w:sz w:val="20"/>
              </w:rPr>
              <w:t>Unexpected health and hospitals spending (modified by agrantspi, aeldpr, apovrate, equation derived from diff-in-diff estimates)</w:t>
            </w:r>
          </w:p>
        </w:tc>
        <w:tc>
          <w:tcPr>
            <w:tcW w:w="6482" w:type="dxa"/>
          </w:tcPr>
          <w:p w14:paraId="62024F37" w14:textId="77777777" w:rsidR="0046798B" w:rsidRDefault="00903B5C">
            <w:pPr>
              <w:pStyle w:val="TableParagraph"/>
              <w:spacing w:before="15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9D31884" w14:textId="77777777">
        <w:trPr>
          <w:trHeight w:val="1696"/>
        </w:trPr>
        <w:tc>
          <w:tcPr>
            <w:tcW w:w="1711" w:type="dxa"/>
          </w:tcPr>
          <w:p w14:paraId="2CA1E91E" w14:textId="77777777" w:rsidR="0046798B" w:rsidRDefault="0046798B">
            <w:pPr>
              <w:pStyle w:val="TableParagraph"/>
            </w:pPr>
          </w:p>
          <w:p w14:paraId="5A78EF5A" w14:textId="77777777" w:rsidR="0046798B" w:rsidRDefault="0046798B">
            <w:pPr>
              <w:pStyle w:val="TableParagraph"/>
            </w:pPr>
          </w:p>
          <w:p w14:paraId="6C832629" w14:textId="77777777" w:rsidR="0046798B" w:rsidRDefault="0046798B">
            <w:pPr>
              <w:pStyle w:val="TableParagraph"/>
              <w:spacing w:before="4"/>
              <w:rPr>
                <w:sz w:val="19"/>
              </w:rPr>
            </w:pPr>
          </w:p>
          <w:p w14:paraId="7E5BE442" w14:textId="77777777" w:rsidR="0046798B" w:rsidRDefault="00903B5C">
            <w:pPr>
              <w:pStyle w:val="TableParagraph"/>
              <w:ind w:left="115"/>
              <w:rPr>
                <w:b/>
                <w:sz w:val="20"/>
              </w:rPr>
            </w:pPr>
            <w:r>
              <w:rPr>
                <w:b/>
                <w:sz w:val="20"/>
              </w:rPr>
              <w:t>ahealspt</w:t>
            </w:r>
          </w:p>
        </w:tc>
        <w:tc>
          <w:tcPr>
            <w:tcW w:w="1596" w:type="dxa"/>
          </w:tcPr>
          <w:p w14:paraId="2650B170" w14:textId="77777777" w:rsidR="0046798B" w:rsidRDefault="00903B5C">
            <w:pPr>
              <w:pStyle w:val="TableParagraph"/>
              <w:spacing w:before="38"/>
              <w:ind w:left="114" w:right="91"/>
              <w:rPr>
                <w:sz w:val="20"/>
              </w:rPr>
            </w:pPr>
            <w:r>
              <w:rPr>
                <w:sz w:val="20"/>
              </w:rPr>
              <w:t>State and local government total health and hospitals direct expenditure, in millions of dollars</w:t>
            </w:r>
          </w:p>
        </w:tc>
        <w:tc>
          <w:tcPr>
            <w:tcW w:w="1285" w:type="dxa"/>
          </w:tcPr>
          <w:p w14:paraId="00B3DA1A" w14:textId="77777777" w:rsidR="0046798B" w:rsidRDefault="0046798B">
            <w:pPr>
              <w:pStyle w:val="TableParagraph"/>
            </w:pPr>
          </w:p>
          <w:p w14:paraId="0EC2C4B5" w14:textId="77777777" w:rsidR="0046798B" w:rsidRDefault="0046798B">
            <w:pPr>
              <w:pStyle w:val="TableParagraph"/>
            </w:pPr>
          </w:p>
          <w:p w14:paraId="6100FC24" w14:textId="77777777" w:rsidR="0046798B" w:rsidRDefault="0046798B">
            <w:pPr>
              <w:pStyle w:val="TableParagraph"/>
              <w:spacing w:before="4"/>
              <w:rPr>
                <w:sz w:val="19"/>
              </w:rPr>
            </w:pPr>
          </w:p>
          <w:p w14:paraId="7DD5D2BE" w14:textId="77777777" w:rsidR="0046798B" w:rsidRDefault="00903B5C">
            <w:pPr>
              <w:pStyle w:val="TableParagraph"/>
              <w:ind w:left="114"/>
              <w:rPr>
                <w:sz w:val="20"/>
              </w:rPr>
            </w:pPr>
            <w:r>
              <w:rPr>
                <w:sz w:val="20"/>
              </w:rPr>
              <w:t>1957–2015</w:t>
            </w:r>
          </w:p>
        </w:tc>
        <w:tc>
          <w:tcPr>
            <w:tcW w:w="3421" w:type="dxa"/>
          </w:tcPr>
          <w:p w14:paraId="0F02CD7F" w14:textId="77777777" w:rsidR="0046798B" w:rsidRDefault="0046798B">
            <w:pPr>
              <w:pStyle w:val="TableParagraph"/>
            </w:pPr>
          </w:p>
          <w:p w14:paraId="79922805" w14:textId="77777777" w:rsidR="0046798B" w:rsidRDefault="0046798B">
            <w:pPr>
              <w:pStyle w:val="TableParagraph"/>
              <w:spacing w:before="4"/>
              <w:rPr>
                <w:sz w:val="21"/>
              </w:rPr>
            </w:pPr>
          </w:p>
          <w:p w14:paraId="7716526E" w14:textId="77777777" w:rsidR="0046798B" w:rsidRDefault="00903B5C">
            <w:pPr>
              <w:pStyle w:val="TableParagraph"/>
              <w:ind w:left="114" w:right="150"/>
              <w:rPr>
                <w:sz w:val="20"/>
              </w:rPr>
            </w:pPr>
            <w:r>
              <w:rPr>
                <w:sz w:val="20"/>
              </w:rPr>
              <w:t>State and local government total health and hospitals direct expenditure, in millions of dollars</w:t>
            </w:r>
          </w:p>
        </w:tc>
        <w:tc>
          <w:tcPr>
            <w:tcW w:w="6482" w:type="dxa"/>
          </w:tcPr>
          <w:p w14:paraId="2E6547AA" w14:textId="77777777" w:rsidR="0046798B" w:rsidRDefault="0046798B">
            <w:pPr>
              <w:pStyle w:val="TableParagraph"/>
            </w:pPr>
          </w:p>
          <w:p w14:paraId="7E7B086A" w14:textId="77777777" w:rsidR="0046798B" w:rsidRDefault="0046798B">
            <w:pPr>
              <w:pStyle w:val="TableParagraph"/>
              <w:spacing w:before="4"/>
              <w:rPr>
                <w:sz w:val="21"/>
              </w:rPr>
            </w:pPr>
          </w:p>
          <w:p w14:paraId="50FECB89"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260F45F" w14:textId="77777777">
        <w:trPr>
          <w:trHeight w:val="775"/>
        </w:trPr>
        <w:tc>
          <w:tcPr>
            <w:tcW w:w="1711" w:type="dxa"/>
          </w:tcPr>
          <w:p w14:paraId="12606050" w14:textId="77777777" w:rsidR="0046798B" w:rsidRDefault="0046798B">
            <w:pPr>
              <w:pStyle w:val="TableParagraph"/>
              <w:spacing w:before="3"/>
              <w:rPr>
                <w:sz w:val="23"/>
              </w:rPr>
            </w:pPr>
          </w:p>
          <w:p w14:paraId="165BA72B" w14:textId="77777777" w:rsidR="0046798B" w:rsidRDefault="00903B5C">
            <w:pPr>
              <w:pStyle w:val="TableParagraph"/>
              <w:ind w:left="115"/>
              <w:rPr>
                <w:b/>
                <w:sz w:val="20"/>
              </w:rPr>
            </w:pPr>
            <w:r>
              <w:rPr>
                <w:b/>
                <w:sz w:val="20"/>
              </w:rPr>
              <w:t>ahwypi</w:t>
            </w:r>
          </w:p>
        </w:tc>
        <w:tc>
          <w:tcPr>
            <w:tcW w:w="1596" w:type="dxa"/>
          </w:tcPr>
          <w:p w14:paraId="5528E8BF" w14:textId="77777777" w:rsidR="0046798B" w:rsidRDefault="00903B5C">
            <w:pPr>
              <w:pStyle w:val="TableParagraph"/>
              <w:spacing w:before="38"/>
              <w:ind w:left="114" w:right="246"/>
              <w:rPr>
                <w:sz w:val="20"/>
              </w:rPr>
            </w:pPr>
            <w:r>
              <w:rPr>
                <w:sz w:val="20"/>
              </w:rPr>
              <w:t>Highway spending, % of income</w:t>
            </w:r>
          </w:p>
        </w:tc>
        <w:tc>
          <w:tcPr>
            <w:tcW w:w="1285" w:type="dxa"/>
          </w:tcPr>
          <w:p w14:paraId="1D75D635" w14:textId="77777777" w:rsidR="0046798B" w:rsidRDefault="0046798B">
            <w:pPr>
              <w:pStyle w:val="TableParagraph"/>
              <w:spacing w:before="3"/>
              <w:rPr>
                <w:sz w:val="23"/>
              </w:rPr>
            </w:pPr>
          </w:p>
          <w:p w14:paraId="4CA77B88" w14:textId="77777777" w:rsidR="0046798B" w:rsidRDefault="00903B5C">
            <w:pPr>
              <w:pStyle w:val="TableParagraph"/>
              <w:ind w:left="114"/>
              <w:rPr>
                <w:sz w:val="20"/>
              </w:rPr>
            </w:pPr>
            <w:r>
              <w:rPr>
                <w:sz w:val="20"/>
              </w:rPr>
              <w:t>1957–2015</w:t>
            </w:r>
          </w:p>
        </w:tc>
        <w:tc>
          <w:tcPr>
            <w:tcW w:w="3421" w:type="dxa"/>
          </w:tcPr>
          <w:p w14:paraId="503AE6CC" w14:textId="77777777" w:rsidR="0046798B" w:rsidRDefault="00903B5C">
            <w:pPr>
              <w:pStyle w:val="TableParagraph"/>
              <w:spacing w:before="153"/>
              <w:ind w:left="114" w:right="649"/>
              <w:rPr>
                <w:sz w:val="20"/>
              </w:rPr>
            </w:pPr>
            <w:r>
              <w:rPr>
                <w:sz w:val="20"/>
              </w:rPr>
              <w:t>Highway spending, % of income (ahwyspt / apersinc)</w:t>
            </w:r>
          </w:p>
        </w:tc>
        <w:tc>
          <w:tcPr>
            <w:tcW w:w="6482" w:type="dxa"/>
          </w:tcPr>
          <w:p w14:paraId="7EB50A81" w14:textId="77777777" w:rsidR="0046798B" w:rsidRDefault="00903B5C">
            <w:pPr>
              <w:pStyle w:val="TableParagraph"/>
              <w:spacing w:before="3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2071698" w14:textId="77777777">
        <w:trPr>
          <w:trHeight w:val="775"/>
        </w:trPr>
        <w:tc>
          <w:tcPr>
            <w:tcW w:w="1711" w:type="dxa"/>
          </w:tcPr>
          <w:p w14:paraId="5C8B9D94" w14:textId="77777777" w:rsidR="0046798B" w:rsidRDefault="0046798B">
            <w:pPr>
              <w:pStyle w:val="TableParagraph"/>
              <w:spacing w:before="9"/>
              <w:rPr>
                <w:sz w:val="23"/>
              </w:rPr>
            </w:pPr>
          </w:p>
          <w:p w14:paraId="73291207" w14:textId="77777777" w:rsidR="0046798B" w:rsidRDefault="00903B5C">
            <w:pPr>
              <w:pStyle w:val="TableParagraph"/>
              <w:ind w:left="115"/>
              <w:rPr>
                <w:b/>
                <w:sz w:val="20"/>
              </w:rPr>
            </w:pPr>
            <w:r>
              <w:rPr>
                <w:b/>
                <w:sz w:val="20"/>
              </w:rPr>
              <w:t>ahwypia</w:t>
            </w:r>
          </w:p>
        </w:tc>
        <w:tc>
          <w:tcPr>
            <w:tcW w:w="1596" w:type="dxa"/>
          </w:tcPr>
          <w:p w14:paraId="09A59088" w14:textId="77777777" w:rsidR="0046798B" w:rsidRDefault="00903B5C">
            <w:pPr>
              <w:pStyle w:val="TableParagraph"/>
              <w:spacing w:before="43"/>
              <w:ind w:left="114" w:right="496"/>
              <w:rPr>
                <w:sz w:val="20"/>
              </w:rPr>
            </w:pPr>
            <w:r>
              <w:rPr>
                <w:sz w:val="20"/>
              </w:rPr>
              <w:t>Unexpected highway spending</w:t>
            </w:r>
          </w:p>
        </w:tc>
        <w:tc>
          <w:tcPr>
            <w:tcW w:w="1285" w:type="dxa"/>
          </w:tcPr>
          <w:p w14:paraId="2FA659CB" w14:textId="77777777" w:rsidR="0046798B" w:rsidRDefault="0046798B">
            <w:pPr>
              <w:pStyle w:val="TableParagraph"/>
              <w:spacing w:before="9"/>
              <w:rPr>
                <w:sz w:val="23"/>
              </w:rPr>
            </w:pPr>
          </w:p>
          <w:p w14:paraId="1BCF96EB" w14:textId="77777777" w:rsidR="0046798B" w:rsidRDefault="00903B5C">
            <w:pPr>
              <w:pStyle w:val="TableParagraph"/>
              <w:ind w:left="114"/>
              <w:rPr>
                <w:sz w:val="20"/>
              </w:rPr>
            </w:pPr>
            <w:r>
              <w:rPr>
                <w:sz w:val="20"/>
              </w:rPr>
              <w:t>1957–2015</w:t>
            </w:r>
          </w:p>
        </w:tc>
        <w:tc>
          <w:tcPr>
            <w:tcW w:w="3421" w:type="dxa"/>
          </w:tcPr>
          <w:p w14:paraId="05DD6481" w14:textId="77777777" w:rsidR="0046798B" w:rsidRDefault="00903B5C">
            <w:pPr>
              <w:pStyle w:val="TableParagraph"/>
              <w:spacing w:before="43"/>
              <w:ind w:left="114" w:right="461"/>
              <w:rPr>
                <w:sz w:val="20"/>
              </w:rPr>
            </w:pPr>
            <w:r>
              <w:rPr>
                <w:sz w:val="20"/>
              </w:rPr>
              <w:t>Unexpected highway spending (modified by agrantspi, equation derived from diff-in-diff estimates)</w:t>
            </w:r>
          </w:p>
        </w:tc>
        <w:tc>
          <w:tcPr>
            <w:tcW w:w="6482" w:type="dxa"/>
          </w:tcPr>
          <w:p w14:paraId="19656602"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D2F1C7B" w14:textId="77777777">
        <w:trPr>
          <w:trHeight w:val="1005"/>
        </w:trPr>
        <w:tc>
          <w:tcPr>
            <w:tcW w:w="1711" w:type="dxa"/>
          </w:tcPr>
          <w:p w14:paraId="44FAA414" w14:textId="77777777" w:rsidR="0046798B" w:rsidRDefault="0046798B">
            <w:pPr>
              <w:pStyle w:val="TableParagraph"/>
            </w:pPr>
          </w:p>
          <w:p w14:paraId="5E756B74" w14:textId="77777777" w:rsidR="0046798B" w:rsidRDefault="00903B5C">
            <w:pPr>
              <w:pStyle w:val="TableParagraph"/>
              <w:spacing w:before="135"/>
              <w:ind w:left="115"/>
              <w:rPr>
                <w:b/>
                <w:sz w:val="20"/>
              </w:rPr>
            </w:pPr>
            <w:r>
              <w:rPr>
                <w:b/>
                <w:sz w:val="20"/>
              </w:rPr>
              <w:t>ahwyspt</w:t>
            </w:r>
          </w:p>
        </w:tc>
        <w:tc>
          <w:tcPr>
            <w:tcW w:w="1596" w:type="dxa"/>
          </w:tcPr>
          <w:p w14:paraId="59A83953" w14:textId="77777777" w:rsidR="0046798B" w:rsidRDefault="00903B5C">
            <w:pPr>
              <w:pStyle w:val="TableParagraph"/>
              <w:spacing w:before="43"/>
              <w:ind w:left="114" w:right="91"/>
              <w:rPr>
                <w:sz w:val="20"/>
              </w:rPr>
            </w:pPr>
            <w:r>
              <w:rPr>
                <w:sz w:val="20"/>
              </w:rPr>
              <w:t>State and local government total highways direct expenditure, in</w:t>
            </w:r>
          </w:p>
        </w:tc>
        <w:tc>
          <w:tcPr>
            <w:tcW w:w="1285" w:type="dxa"/>
          </w:tcPr>
          <w:p w14:paraId="25AC0C7B" w14:textId="77777777" w:rsidR="0046798B" w:rsidRDefault="0046798B">
            <w:pPr>
              <w:pStyle w:val="TableParagraph"/>
            </w:pPr>
          </w:p>
          <w:p w14:paraId="546790AA" w14:textId="77777777" w:rsidR="0046798B" w:rsidRDefault="00903B5C">
            <w:pPr>
              <w:pStyle w:val="TableParagraph"/>
              <w:spacing w:before="135"/>
              <w:ind w:left="114"/>
              <w:rPr>
                <w:sz w:val="20"/>
              </w:rPr>
            </w:pPr>
            <w:r>
              <w:rPr>
                <w:sz w:val="20"/>
              </w:rPr>
              <w:t>1957–2015</w:t>
            </w:r>
          </w:p>
        </w:tc>
        <w:tc>
          <w:tcPr>
            <w:tcW w:w="3421" w:type="dxa"/>
          </w:tcPr>
          <w:p w14:paraId="2425BCA0" w14:textId="77777777" w:rsidR="0046798B" w:rsidRDefault="00903B5C">
            <w:pPr>
              <w:pStyle w:val="TableParagraph"/>
              <w:spacing w:before="158"/>
              <w:ind w:left="114" w:right="688"/>
              <w:rPr>
                <w:sz w:val="20"/>
              </w:rPr>
            </w:pPr>
            <w:r>
              <w:rPr>
                <w:sz w:val="20"/>
              </w:rPr>
              <w:t>State and local government total highways direct expenditure, in millions of dollars</w:t>
            </w:r>
          </w:p>
        </w:tc>
        <w:tc>
          <w:tcPr>
            <w:tcW w:w="6482" w:type="dxa"/>
          </w:tcPr>
          <w:p w14:paraId="56C20B0F" w14:textId="77777777" w:rsidR="0046798B" w:rsidRDefault="00903B5C">
            <w:pPr>
              <w:pStyle w:val="TableParagraph"/>
              <w:spacing w:before="158"/>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43649950" w14:textId="77777777" w:rsidR="0046798B" w:rsidRDefault="0046798B">
      <w:pPr>
        <w:rPr>
          <w:sz w:val="20"/>
        </w:rPr>
        <w:sectPr w:rsidR="0046798B">
          <w:pgSz w:w="15840" w:h="12240" w:orient="landscape"/>
          <w:pgMar w:top="1220" w:right="300" w:bottom="980" w:left="820" w:header="730" w:footer="787" w:gutter="0"/>
          <w:cols w:space="720"/>
        </w:sectPr>
      </w:pPr>
    </w:p>
    <w:p w14:paraId="055A6B02"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0AA99028" w14:textId="77777777">
        <w:trPr>
          <w:trHeight w:val="542"/>
        </w:trPr>
        <w:tc>
          <w:tcPr>
            <w:tcW w:w="1711" w:type="dxa"/>
            <w:tcBorders>
              <w:bottom w:val="dotted" w:sz="6" w:space="0" w:color="BEBEBE"/>
            </w:tcBorders>
          </w:tcPr>
          <w:p w14:paraId="78C7D023" w14:textId="77777777" w:rsidR="0046798B" w:rsidRDefault="0046798B">
            <w:pPr>
              <w:pStyle w:val="TableParagraph"/>
              <w:rPr>
                <w:sz w:val="20"/>
              </w:rPr>
            </w:pPr>
          </w:p>
        </w:tc>
        <w:tc>
          <w:tcPr>
            <w:tcW w:w="1596" w:type="dxa"/>
            <w:tcBorders>
              <w:bottom w:val="dotted" w:sz="6" w:space="0" w:color="BEBEBE"/>
            </w:tcBorders>
          </w:tcPr>
          <w:p w14:paraId="2488D98F" w14:textId="77777777" w:rsidR="0046798B" w:rsidRDefault="00903B5C">
            <w:pPr>
              <w:pStyle w:val="TableParagraph"/>
              <w:spacing w:before="43"/>
              <w:ind w:left="114" w:right="579"/>
              <w:rPr>
                <w:sz w:val="20"/>
              </w:rPr>
            </w:pPr>
            <w:r>
              <w:rPr>
                <w:sz w:val="20"/>
              </w:rPr>
              <w:t>millions of dollars</w:t>
            </w:r>
          </w:p>
        </w:tc>
        <w:tc>
          <w:tcPr>
            <w:tcW w:w="1285" w:type="dxa"/>
            <w:tcBorders>
              <w:bottom w:val="dotted" w:sz="6" w:space="0" w:color="BEBEBE"/>
            </w:tcBorders>
          </w:tcPr>
          <w:p w14:paraId="310F0CC1" w14:textId="77777777" w:rsidR="0046798B" w:rsidRDefault="0046798B">
            <w:pPr>
              <w:pStyle w:val="TableParagraph"/>
              <w:rPr>
                <w:sz w:val="20"/>
              </w:rPr>
            </w:pPr>
          </w:p>
        </w:tc>
        <w:tc>
          <w:tcPr>
            <w:tcW w:w="3421" w:type="dxa"/>
            <w:tcBorders>
              <w:bottom w:val="dotted" w:sz="6" w:space="0" w:color="BEBEBE"/>
            </w:tcBorders>
          </w:tcPr>
          <w:p w14:paraId="29691EBB" w14:textId="77777777" w:rsidR="0046798B" w:rsidRDefault="0046798B">
            <w:pPr>
              <w:pStyle w:val="TableParagraph"/>
              <w:rPr>
                <w:sz w:val="20"/>
              </w:rPr>
            </w:pPr>
          </w:p>
        </w:tc>
        <w:tc>
          <w:tcPr>
            <w:tcW w:w="6482" w:type="dxa"/>
            <w:tcBorders>
              <w:bottom w:val="dotted" w:sz="6" w:space="0" w:color="BEBEBE"/>
            </w:tcBorders>
          </w:tcPr>
          <w:p w14:paraId="40CCC4E0" w14:textId="77777777" w:rsidR="0046798B" w:rsidRDefault="0046798B">
            <w:pPr>
              <w:pStyle w:val="TableParagraph"/>
              <w:rPr>
                <w:sz w:val="20"/>
              </w:rPr>
            </w:pPr>
          </w:p>
        </w:tc>
      </w:tr>
      <w:tr w:rsidR="0046798B" w14:paraId="44581748" w14:textId="77777777">
        <w:trPr>
          <w:trHeight w:val="1463"/>
        </w:trPr>
        <w:tc>
          <w:tcPr>
            <w:tcW w:w="1711" w:type="dxa"/>
            <w:tcBorders>
              <w:top w:val="dotted" w:sz="6" w:space="0" w:color="BEBEBE"/>
            </w:tcBorders>
          </w:tcPr>
          <w:p w14:paraId="260C0CA6" w14:textId="77777777" w:rsidR="0046798B" w:rsidRDefault="0046798B">
            <w:pPr>
              <w:pStyle w:val="TableParagraph"/>
            </w:pPr>
          </w:p>
          <w:p w14:paraId="374E0609" w14:textId="77777777" w:rsidR="0046798B" w:rsidRDefault="0046798B">
            <w:pPr>
              <w:pStyle w:val="TableParagraph"/>
              <w:spacing w:before="6"/>
              <w:rPr>
                <w:sz w:val="31"/>
              </w:rPr>
            </w:pPr>
          </w:p>
          <w:p w14:paraId="474A56EB" w14:textId="77777777" w:rsidR="0046798B" w:rsidRDefault="00903B5C">
            <w:pPr>
              <w:pStyle w:val="TableParagraph"/>
              <w:ind w:left="115"/>
              <w:rPr>
                <w:b/>
                <w:sz w:val="20"/>
              </w:rPr>
            </w:pPr>
            <w:r>
              <w:rPr>
                <w:b/>
                <w:sz w:val="20"/>
              </w:rPr>
              <w:t>aiinct</w:t>
            </w:r>
          </w:p>
        </w:tc>
        <w:tc>
          <w:tcPr>
            <w:tcW w:w="1596" w:type="dxa"/>
            <w:tcBorders>
              <w:top w:val="dotted" w:sz="6" w:space="0" w:color="BEBEBE"/>
            </w:tcBorders>
          </w:tcPr>
          <w:p w14:paraId="09F55270" w14:textId="77777777" w:rsidR="0046798B" w:rsidRDefault="00903B5C">
            <w:pPr>
              <w:pStyle w:val="TableParagraph"/>
              <w:spacing w:before="40"/>
              <w:ind w:left="114" w:right="274"/>
              <w:rPr>
                <w:sz w:val="20"/>
              </w:rPr>
            </w:pPr>
            <w:r>
              <w:rPr>
                <w:sz w:val="20"/>
              </w:rPr>
              <w:t>State and local individual income tax revenues, in millions of dollars</w:t>
            </w:r>
          </w:p>
        </w:tc>
        <w:tc>
          <w:tcPr>
            <w:tcW w:w="1285" w:type="dxa"/>
            <w:tcBorders>
              <w:top w:val="dotted" w:sz="6" w:space="0" w:color="BEBEBE"/>
            </w:tcBorders>
          </w:tcPr>
          <w:p w14:paraId="236836BB" w14:textId="77777777" w:rsidR="0046798B" w:rsidRDefault="0046798B">
            <w:pPr>
              <w:pStyle w:val="TableParagraph"/>
            </w:pPr>
          </w:p>
          <w:p w14:paraId="70086591" w14:textId="77777777" w:rsidR="0046798B" w:rsidRDefault="0046798B">
            <w:pPr>
              <w:pStyle w:val="TableParagraph"/>
              <w:spacing w:before="6"/>
              <w:rPr>
                <w:sz w:val="31"/>
              </w:rPr>
            </w:pPr>
          </w:p>
          <w:p w14:paraId="0D2D7061" w14:textId="77777777" w:rsidR="0046798B" w:rsidRDefault="00903B5C">
            <w:pPr>
              <w:pStyle w:val="TableParagraph"/>
              <w:ind w:left="114"/>
              <w:rPr>
                <w:sz w:val="20"/>
              </w:rPr>
            </w:pPr>
            <w:r>
              <w:rPr>
                <w:sz w:val="20"/>
              </w:rPr>
              <w:t>1957–2015</w:t>
            </w:r>
          </w:p>
        </w:tc>
        <w:tc>
          <w:tcPr>
            <w:tcW w:w="3421" w:type="dxa"/>
            <w:tcBorders>
              <w:top w:val="dotted" w:sz="6" w:space="0" w:color="BEBEBE"/>
            </w:tcBorders>
          </w:tcPr>
          <w:p w14:paraId="233CE0BA" w14:textId="77777777" w:rsidR="0046798B" w:rsidRDefault="0046798B">
            <w:pPr>
              <w:pStyle w:val="TableParagraph"/>
            </w:pPr>
          </w:p>
          <w:p w14:paraId="71860ED7" w14:textId="77777777" w:rsidR="0046798B" w:rsidRDefault="0046798B">
            <w:pPr>
              <w:pStyle w:val="TableParagraph"/>
              <w:spacing w:before="6"/>
              <w:rPr>
                <w:sz w:val="21"/>
              </w:rPr>
            </w:pPr>
          </w:p>
          <w:p w14:paraId="3EF4550D" w14:textId="77777777" w:rsidR="0046798B" w:rsidRDefault="00903B5C">
            <w:pPr>
              <w:pStyle w:val="TableParagraph"/>
              <w:ind w:left="114" w:right="305"/>
              <w:rPr>
                <w:sz w:val="20"/>
              </w:rPr>
            </w:pPr>
            <w:r>
              <w:rPr>
                <w:sz w:val="20"/>
              </w:rPr>
              <w:t>State and local individual income tax revenues, in millions of dollars</w:t>
            </w:r>
          </w:p>
        </w:tc>
        <w:tc>
          <w:tcPr>
            <w:tcW w:w="6482" w:type="dxa"/>
            <w:tcBorders>
              <w:top w:val="dotted" w:sz="6" w:space="0" w:color="BEBEBE"/>
            </w:tcBorders>
          </w:tcPr>
          <w:p w14:paraId="3E6FB2CF" w14:textId="77777777" w:rsidR="0046798B" w:rsidRDefault="0046798B">
            <w:pPr>
              <w:pStyle w:val="TableParagraph"/>
            </w:pPr>
          </w:p>
          <w:p w14:paraId="5E2B75EE" w14:textId="77777777" w:rsidR="0046798B" w:rsidRDefault="00903B5C">
            <w:pPr>
              <w:pStyle w:val="TableParagraph"/>
              <w:spacing w:before="13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AEBAFB4" w14:textId="77777777">
        <w:trPr>
          <w:trHeight w:val="1240"/>
        </w:trPr>
        <w:tc>
          <w:tcPr>
            <w:tcW w:w="1711" w:type="dxa"/>
          </w:tcPr>
          <w:p w14:paraId="02820D9C" w14:textId="77777777" w:rsidR="0046798B" w:rsidRDefault="0046798B">
            <w:pPr>
              <w:pStyle w:val="TableParagraph"/>
            </w:pPr>
          </w:p>
          <w:p w14:paraId="5250D517" w14:textId="77777777" w:rsidR="0046798B" w:rsidRDefault="0046798B">
            <w:pPr>
              <w:pStyle w:val="TableParagraph"/>
              <w:spacing w:before="8"/>
              <w:rPr>
                <w:sz w:val="21"/>
              </w:rPr>
            </w:pPr>
          </w:p>
          <w:p w14:paraId="020BAEC6" w14:textId="77777777" w:rsidR="0046798B" w:rsidRDefault="00903B5C">
            <w:pPr>
              <w:pStyle w:val="TableParagraph"/>
              <w:spacing w:before="1"/>
              <w:ind w:left="115"/>
              <w:rPr>
                <w:b/>
                <w:sz w:val="20"/>
              </w:rPr>
            </w:pPr>
            <w:r>
              <w:rPr>
                <w:b/>
                <w:sz w:val="20"/>
              </w:rPr>
              <w:t>aincalc</w:t>
            </w:r>
          </w:p>
        </w:tc>
        <w:tc>
          <w:tcPr>
            <w:tcW w:w="1596" w:type="dxa"/>
          </w:tcPr>
          <w:p w14:paraId="153C9D20" w14:textId="77777777" w:rsidR="0046798B" w:rsidRDefault="00903B5C">
            <w:pPr>
              <w:pStyle w:val="TableParagraph"/>
              <w:spacing w:before="43"/>
              <w:ind w:left="114" w:right="135"/>
              <w:rPr>
                <w:sz w:val="20"/>
              </w:rPr>
            </w:pPr>
            <w:r>
              <w:rPr>
                <w:sz w:val="20"/>
              </w:rPr>
              <w:t>State and local alcohol tax revenues, as a percentage of personal income</w:t>
            </w:r>
          </w:p>
        </w:tc>
        <w:tc>
          <w:tcPr>
            <w:tcW w:w="1285" w:type="dxa"/>
          </w:tcPr>
          <w:p w14:paraId="51649B22" w14:textId="77777777" w:rsidR="0046798B" w:rsidRDefault="0046798B">
            <w:pPr>
              <w:pStyle w:val="TableParagraph"/>
            </w:pPr>
          </w:p>
          <w:p w14:paraId="1BA05546" w14:textId="77777777" w:rsidR="0046798B" w:rsidRDefault="0046798B">
            <w:pPr>
              <w:pStyle w:val="TableParagraph"/>
              <w:spacing w:before="8"/>
              <w:rPr>
                <w:sz w:val="21"/>
              </w:rPr>
            </w:pPr>
          </w:p>
          <w:p w14:paraId="70F423D0" w14:textId="77777777" w:rsidR="0046798B" w:rsidRDefault="00903B5C">
            <w:pPr>
              <w:pStyle w:val="TableParagraph"/>
              <w:spacing w:before="1"/>
              <w:ind w:left="114"/>
              <w:rPr>
                <w:sz w:val="20"/>
              </w:rPr>
            </w:pPr>
            <w:r>
              <w:rPr>
                <w:sz w:val="20"/>
              </w:rPr>
              <w:t>1957–2015</w:t>
            </w:r>
          </w:p>
        </w:tc>
        <w:tc>
          <w:tcPr>
            <w:tcW w:w="3421" w:type="dxa"/>
          </w:tcPr>
          <w:p w14:paraId="610EC40B" w14:textId="77777777" w:rsidR="0046798B" w:rsidRDefault="0046798B">
            <w:pPr>
              <w:pStyle w:val="TableParagraph"/>
            </w:pPr>
          </w:p>
          <w:p w14:paraId="0E83BFFA" w14:textId="77777777" w:rsidR="0046798B" w:rsidRDefault="00903B5C">
            <w:pPr>
              <w:pStyle w:val="TableParagraph"/>
              <w:spacing w:before="135"/>
              <w:ind w:left="114" w:right="139"/>
              <w:rPr>
                <w:sz w:val="20"/>
              </w:rPr>
            </w:pPr>
            <w:r>
              <w:rPr>
                <w:sz w:val="20"/>
              </w:rPr>
              <w:t>State and local alcohol tax revenues, as a percentage of personal income</w:t>
            </w:r>
          </w:p>
        </w:tc>
        <w:tc>
          <w:tcPr>
            <w:tcW w:w="6482" w:type="dxa"/>
          </w:tcPr>
          <w:p w14:paraId="6F689576" w14:textId="77777777" w:rsidR="0046798B" w:rsidRDefault="0046798B">
            <w:pPr>
              <w:pStyle w:val="TableParagraph"/>
              <w:spacing w:before="8"/>
              <w:rPr>
                <w:sz w:val="23"/>
              </w:rPr>
            </w:pPr>
          </w:p>
          <w:p w14:paraId="1A3AC030"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F78819B" w14:textId="77777777">
        <w:trPr>
          <w:trHeight w:val="1465"/>
        </w:trPr>
        <w:tc>
          <w:tcPr>
            <w:tcW w:w="1711" w:type="dxa"/>
          </w:tcPr>
          <w:p w14:paraId="1EC0640F" w14:textId="77777777" w:rsidR="0046798B" w:rsidRDefault="0046798B">
            <w:pPr>
              <w:pStyle w:val="TableParagraph"/>
            </w:pPr>
          </w:p>
          <w:p w14:paraId="55CB5ADB" w14:textId="77777777" w:rsidR="0046798B" w:rsidRDefault="0046798B">
            <w:pPr>
              <w:pStyle w:val="TableParagraph"/>
              <w:spacing w:before="4"/>
              <w:rPr>
                <w:sz w:val="31"/>
              </w:rPr>
            </w:pPr>
          </w:p>
          <w:p w14:paraId="7569615E" w14:textId="77777777" w:rsidR="0046798B" w:rsidRDefault="00903B5C">
            <w:pPr>
              <w:pStyle w:val="TableParagraph"/>
              <w:ind w:left="115"/>
              <w:rPr>
                <w:b/>
                <w:sz w:val="20"/>
              </w:rPr>
            </w:pPr>
            <w:r>
              <w:rPr>
                <w:b/>
                <w:sz w:val="20"/>
              </w:rPr>
              <w:t>aincchg</w:t>
            </w:r>
          </w:p>
        </w:tc>
        <w:tc>
          <w:tcPr>
            <w:tcW w:w="1596" w:type="dxa"/>
          </w:tcPr>
          <w:p w14:paraId="66C93CDF" w14:textId="77777777" w:rsidR="0046798B" w:rsidRDefault="00903B5C">
            <w:pPr>
              <w:pStyle w:val="TableParagraph"/>
              <w:spacing w:before="38"/>
              <w:ind w:left="114" w:right="174"/>
              <w:rPr>
                <w:sz w:val="20"/>
              </w:rPr>
            </w:pPr>
            <w:r>
              <w:rPr>
                <w:sz w:val="20"/>
              </w:rPr>
              <w:t>State and local revenues from current charges, as a percentage of personal income</w:t>
            </w:r>
          </w:p>
        </w:tc>
        <w:tc>
          <w:tcPr>
            <w:tcW w:w="1285" w:type="dxa"/>
          </w:tcPr>
          <w:p w14:paraId="51311C3D" w14:textId="77777777" w:rsidR="0046798B" w:rsidRDefault="0046798B">
            <w:pPr>
              <w:pStyle w:val="TableParagraph"/>
            </w:pPr>
          </w:p>
          <w:p w14:paraId="64153935" w14:textId="77777777" w:rsidR="0046798B" w:rsidRDefault="0046798B">
            <w:pPr>
              <w:pStyle w:val="TableParagraph"/>
              <w:spacing w:before="4"/>
              <w:rPr>
                <w:sz w:val="31"/>
              </w:rPr>
            </w:pPr>
          </w:p>
          <w:p w14:paraId="1D40996C" w14:textId="77777777" w:rsidR="0046798B" w:rsidRDefault="00903B5C">
            <w:pPr>
              <w:pStyle w:val="TableParagraph"/>
              <w:ind w:left="114"/>
              <w:rPr>
                <w:sz w:val="20"/>
              </w:rPr>
            </w:pPr>
            <w:r>
              <w:rPr>
                <w:sz w:val="20"/>
              </w:rPr>
              <w:t>1957–2015</w:t>
            </w:r>
          </w:p>
        </w:tc>
        <w:tc>
          <w:tcPr>
            <w:tcW w:w="3421" w:type="dxa"/>
          </w:tcPr>
          <w:p w14:paraId="524A7EAD" w14:textId="77777777" w:rsidR="0046798B" w:rsidRDefault="0046798B">
            <w:pPr>
              <w:pStyle w:val="TableParagraph"/>
            </w:pPr>
          </w:p>
          <w:p w14:paraId="0EEAA6C4" w14:textId="77777777" w:rsidR="0046798B" w:rsidRDefault="00903B5C">
            <w:pPr>
              <w:pStyle w:val="TableParagraph"/>
              <w:spacing w:before="130"/>
              <w:ind w:left="114" w:right="283"/>
              <w:rPr>
                <w:sz w:val="20"/>
              </w:rPr>
            </w:pPr>
            <w:r>
              <w:rPr>
                <w:sz w:val="20"/>
              </w:rPr>
              <w:t>State and local revenues from current charges, as a percentage of personal income</w:t>
            </w:r>
          </w:p>
        </w:tc>
        <w:tc>
          <w:tcPr>
            <w:tcW w:w="6482" w:type="dxa"/>
          </w:tcPr>
          <w:p w14:paraId="5B0C609A" w14:textId="77777777" w:rsidR="0046798B" w:rsidRDefault="0046798B">
            <w:pPr>
              <w:pStyle w:val="TableParagraph"/>
            </w:pPr>
          </w:p>
          <w:p w14:paraId="04E2E504" w14:textId="77777777" w:rsidR="0046798B" w:rsidRDefault="00903B5C">
            <w:pPr>
              <w:pStyle w:val="TableParagraph"/>
              <w:spacing w:before="130"/>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0956A74" w14:textId="77777777">
        <w:trPr>
          <w:trHeight w:val="1465"/>
        </w:trPr>
        <w:tc>
          <w:tcPr>
            <w:tcW w:w="1711" w:type="dxa"/>
          </w:tcPr>
          <w:p w14:paraId="1D10BECC" w14:textId="77777777" w:rsidR="0046798B" w:rsidRDefault="0046798B">
            <w:pPr>
              <w:pStyle w:val="TableParagraph"/>
            </w:pPr>
          </w:p>
          <w:p w14:paraId="26746763" w14:textId="77777777" w:rsidR="0046798B" w:rsidRDefault="0046798B">
            <w:pPr>
              <w:pStyle w:val="TableParagraph"/>
              <w:spacing w:before="4"/>
              <w:rPr>
                <w:sz w:val="31"/>
              </w:rPr>
            </w:pPr>
          </w:p>
          <w:p w14:paraId="5AAEFB2F" w14:textId="77777777" w:rsidR="0046798B" w:rsidRDefault="00903B5C">
            <w:pPr>
              <w:pStyle w:val="TableParagraph"/>
              <w:ind w:left="115"/>
              <w:rPr>
                <w:b/>
                <w:sz w:val="20"/>
              </w:rPr>
            </w:pPr>
            <w:r>
              <w:rPr>
                <w:b/>
                <w:sz w:val="20"/>
              </w:rPr>
              <w:t>ainccinc</w:t>
            </w:r>
          </w:p>
        </w:tc>
        <w:tc>
          <w:tcPr>
            <w:tcW w:w="1596" w:type="dxa"/>
          </w:tcPr>
          <w:p w14:paraId="05E71916" w14:textId="77777777" w:rsidR="0046798B" w:rsidRDefault="00903B5C">
            <w:pPr>
              <w:pStyle w:val="TableParagraph"/>
              <w:spacing w:before="38"/>
              <w:ind w:left="114" w:right="135"/>
              <w:rPr>
                <w:sz w:val="20"/>
              </w:rPr>
            </w:pPr>
            <w:r>
              <w:rPr>
                <w:sz w:val="20"/>
              </w:rPr>
              <w:t>State and local corporate income tax revenues, as a percentage of personal income</w:t>
            </w:r>
          </w:p>
        </w:tc>
        <w:tc>
          <w:tcPr>
            <w:tcW w:w="1285" w:type="dxa"/>
          </w:tcPr>
          <w:p w14:paraId="0DBA20C2" w14:textId="77777777" w:rsidR="0046798B" w:rsidRDefault="0046798B">
            <w:pPr>
              <w:pStyle w:val="TableParagraph"/>
            </w:pPr>
          </w:p>
          <w:p w14:paraId="38877C0F" w14:textId="77777777" w:rsidR="0046798B" w:rsidRDefault="0046798B">
            <w:pPr>
              <w:pStyle w:val="TableParagraph"/>
              <w:spacing w:before="4"/>
              <w:rPr>
                <w:sz w:val="31"/>
              </w:rPr>
            </w:pPr>
          </w:p>
          <w:p w14:paraId="40AF0D29" w14:textId="77777777" w:rsidR="0046798B" w:rsidRDefault="00903B5C">
            <w:pPr>
              <w:pStyle w:val="TableParagraph"/>
              <w:ind w:left="114"/>
              <w:rPr>
                <w:sz w:val="20"/>
              </w:rPr>
            </w:pPr>
            <w:r>
              <w:rPr>
                <w:sz w:val="20"/>
              </w:rPr>
              <w:t>1957–2015</w:t>
            </w:r>
          </w:p>
        </w:tc>
        <w:tc>
          <w:tcPr>
            <w:tcW w:w="3421" w:type="dxa"/>
          </w:tcPr>
          <w:p w14:paraId="1698C333" w14:textId="77777777" w:rsidR="0046798B" w:rsidRDefault="0046798B">
            <w:pPr>
              <w:pStyle w:val="TableParagraph"/>
            </w:pPr>
          </w:p>
          <w:p w14:paraId="7D85452E" w14:textId="77777777" w:rsidR="0046798B" w:rsidRDefault="00903B5C">
            <w:pPr>
              <w:pStyle w:val="TableParagraph"/>
              <w:spacing w:before="131"/>
              <w:ind w:left="114" w:right="300"/>
              <w:rPr>
                <w:sz w:val="20"/>
              </w:rPr>
            </w:pPr>
            <w:r>
              <w:rPr>
                <w:sz w:val="20"/>
              </w:rPr>
              <w:t>State and local corporate income tax revenues, as a percentage of personal income</w:t>
            </w:r>
          </w:p>
        </w:tc>
        <w:tc>
          <w:tcPr>
            <w:tcW w:w="6482" w:type="dxa"/>
          </w:tcPr>
          <w:p w14:paraId="7CBBE4C0" w14:textId="77777777" w:rsidR="0046798B" w:rsidRDefault="0046798B">
            <w:pPr>
              <w:pStyle w:val="TableParagraph"/>
            </w:pPr>
          </w:p>
          <w:p w14:paraId="4F43A172" w14:textId="77777777" w:rsidR="0046798B" w:rsidRDefault="00903B5C">
            <w:pPr>
              <w:pStyle w:val="TableParagraph"/>
              <w:spacing w:before="13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F0D3C20" w14:textId="77777777">
        <w:trPr>
          <w:trHeight w:val="1235"/>
        </w:trPr>
        <w:tc>
          <w:tcPr>
            <w:tcW w:w="1711" w:type="dxa"/>
          </w:tcPr>
          <w:p w14:paraId="2F21CE64" w14:textId="77777777" w:rsidR="0046798B" w:rsidRDefault="0046798B">
            <w:pPr>
              <w:pStyle w:val="TableParagraph"/>
            </w:pPr>
          </w:p>
          <w:p w14:paraId="3EF79BAF" w14:textId="77777777" w:rsidR="0046798B" w:rsidRDefault="0046798B">
            <w:pPr>
              <w:pStyle w:val="TableParagraph"/>
              <w:spacing w:before="4"/>
              <w:rPr>
                <w:sz w:val="21"/>
              </w:rPr>
            </w:pPr>
          </w:p>
          <w:p w14:paraId="3C1C5BBF" w14:textId="77777777" w:rsidR="0046798B" w:rsidRDefault="00903B5C">
            <w:pPr>
              <w:pStyle w:val="TableParagraph"/>
              <w:ind w:left="115"/>
              <w:rPr>
                <w:b/>
                <w:sz w:val="20"/>
              </w:rPr>
            </w:pPr>
            <w:r>
              <w:rPr>
                <w:b/>
                <w:sz w:val="20"/>
              </w:rPr>
              <w:t>aincgas</w:t>
            </w:r>
          </w:p>
        </w:tc>
        <w:tc>
          <w:tcPr>
            <w:tcW w:w="1596" w:type="dxa"/>
          </w:tcPr>
          <w:p w14:paraId="26F879B1" w14:textId="77777777" w:rsidR="0046798B" w:rsidRDefault="00903B5C">
            <w:pPr>
              <w:pStyle w:val="TableParagraph"/>
              <w:spacing w:before="38"/>
              <w:ind w:left="114" w:right="135"/>
              <w:rPr>
                <w:sz w:val="20"/>
              </w:rPr>
            </w:pPr>
            <w:r>
              <w:rPr>
                <w:sz w:val="20"/>
              </w:rPr>
              <w:t>State and local motor fuel tax revenues, as a percentage of personal income</w:t>
            </w:r>
          </w:p>
        </w:tc>
        <w:tc>
          <w:tcPr>
            <w:tcW w:w="1285" w:type="dxa"/>
          </w:tcPr>
          <w:p w14:paraId="256143D5" w14:textId="77777777" w:rsidR="0046798B" w:rsidRDefault="0046798B">
            <w:pPr>
              <w:pStyle w:val="TableParagraph"/>
            </w:pPr>
          </w:p>
          <w:p w14:paraId="1F7415A0" w14:textId="77777777" w:rsidR="0046798B" w:rsidRDefault="0046798B">
            <w:pPr>
              <w:pStyle w:val="TableParagraph"/>
              <w:spacing w:before="4"/>
              <w:rPr>
                <w:sz w:val="21"/>
              </w:rPr>
            </w:pPr>
          </w:p>
          <w:p w14:paraId="436E6D65" w14:textId="77777777" w:rsidR="0046798B" w:rsidRDefault="00903B5C">
            <w:pPr>
              <w:pStyle w:val="TableParagraph"/>
              <w:ind w:left="114"/>
              <w:rPr>
                <w:sz w:val="20"/>
              </w:rPr>
            </w:pPr>
            <w:r>
              <w:rPr>
                <w:sz w:val="20"/>
              </w:rPr>
              <w:t>1957–2015</w:t>
            </w:r>
          </w:p>
        </w:tc>
        <w:tc>
          <w:tcPr>
            <w:tcW w:w="3421" w:type="dxa"/>
          </w:tcPr>
          <w:p w14:paraId="7E67A676" w14:textId="77777777" w:rsidR="0046798B" w:rsidRDefault="0046798B">
            <w:pPr>
              <w:pStyle w:val="TableParagraph"/>
            </w:pPr>
          </w:p>
          <w:p w14:paraId="6969F6D9" w14:textId="77777777" w:rsidR="0046798B" w:rsidRDefault="00903B5C">
            <w:pPr>
              <w:pStyle w:val="TableParagraph"/>
              <w:spacing w:before="131"/>
              <w:ind w:left="114" w:right="105"/>
              <w:rPr>
                <w:sz w:val="20"/>
              </w:rPr>
            </w:pPr>
            <w:r>
              <w:rPr>
                <w:sz w:val="20"/>
              </w:rPr>
              <w:t>State and local motor fuel tax revenues, as a percentage of personal income</w:t>
            </w:r>
          </w:p>
        </w:tc>
        <w:tc>
          <w:tcPr>
            <w:tcW w:w="6482" w:type="dxa"/>
          </w:tcPr>
          <w:p w14:paraId="212FD7F2" w14:textId="77777777" w:rsidR="0046798B" w:rsidRDefault="0046798B">
            <w:pPr>
              <w:pStyle w:val="TableParagraph"/>
              <w:spacing w:before="4"/>
              <w:rPr>
                <w:sz w:val="23"/>
              </w:rPr>
            </w:pPr>
          </w:p>
          <w:p w14:paraId="437C3515" w14:textId="77777777" w:rsidR="0046798B" w:rsidRDefault="00903B5C">
            <w:pPr>
              <w:pStyle w:val="TableParagraph"/>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3BDCFD3" w14:textId="77777777">
        <w:trPr>
          <w:trHeight w:val="775"/>
        </w:trPr>
        <w:tc>
          <w:tcPr>
            <w:tcW w:w="1711" w:type="dxa"/>
          </w:tcPr>
          <w:p w14:paraId="09C854C5" w14:textId="77777777" w:rsidR="0046798B" w:rsidRDefault="0046798B">
            <w:pPr>
              <w:pStyle w:val="TableParagraph"/>
              <w:spacing w:before="9"/>
              <w:rPr>
                <w:sz w:val="23"/>
              </w:rPr>
            </w:pPr>
          </w:p>
          <w:p w14:paraId="6568C56F" w14:textId="77777777" w:rsidR="0046798B" w:rsidRDefault="00903B5C">
            <w:pPr>
              <w:pStyle w:val="TableParagraph"/>
              <w:ind w:left="115"/>
              <w:rPr>
                <w:b/>
                <w:sz w:val="20"/>
              </w:rPr>
            </w:pPr>
            <w:r>
              <w:rPr>
                <w:b/>
                <w:sz w:val="20"/>
              </w:rPr>
              <w:t>aincgasa</w:t>
            </w:r>
          </w:p>
        </w:tc>
        <w:tc>
          <w:tcPr>
            <w:tcW w:w="1596" w:type="dxa"/>
          </w:tcPr>
          <w:p w14:paraId="7F6B122E" w14:textId="77777777" w:rsidR="0046798B" w:rsidRDefault="00903B5C">
            <w:pPr>
              <w:pStyle w:val="TableParagraph"/>
              <w:spacing w:before="158"/>
              <w:ind w:left="114" w:right="180"/>
              <w:rPr>
                <w:sz w:val="20"/>
              </w:rPr>
            </w:pPr>
            <w:r>
              <w:rPr>
                <w:sz w:val="20"/>
              </w:rPr>
              <w:t>Unexpected gas taxes</w:t>
            </w:r>
          </w:p>
        </w:tc>
        <w:tc>
          <w:tcPr>
            <w:tcW w:w="1285" w:type="dxa"/>
          </w:tcPr>
          <w:p w14:paraId="49A56D44" w14:textId="77777777" w:rsidR="0046798B" w:rsidRDefault="0046798B">
            <w:pPr>
              <w:pStyle w:val="TableParagraph"/>
              <w:spacing w:before="9"/>
              <w:rPr>
                <w:sz w:val="23"/>
              </w:rPr>
            </w:pPr>
          </w:p>
          <w:p w14:paraId="6A5D9B99" w14:textId="77777777" w:rsidR="0046798B" w:rsidRDefault="00903B5C">
            <w:pPr>
              <w:pStyle w:val="TableParagraph"/>
              <w:ind w:left="114"/>
              <w:rPr>
                <w:sz w:val="20"/>
              </w:rPr>
            </w:pPr>
            <w:r>
              <w:rPr>
                <w:sz w:val="20"/>
              </w:rPr>
              <w:t>1957–2015</w:t>
            </w:r>
          </w:p>
        </w:tc>
        <w:tc>
          <w:tcPr>
            <w:tcW w:w="3421" w:type="dxa"/>
          </w:tcPr>
          <w:p w14:paraId="24272AE1" w14:textId="77777777" w:rsidR="0046798B" w:rsidRDefault="00903B5C">
            <w:pPr>
              <w:pStyle w:val="TableParagraph"/>
              <w:spacing w:before="43"/>
              <w:ind w:left="114" w:right="455"/>
              <w:rPr>
                <w:sz w:val="20"/>
              </w:rPr>
            </w:pPr>
            <w:r>
              <w:rPr>
                <w:sz w:val="20"/>
              </w:rPr>
              <w:t>Unexpected gas taxes (modified by apopdens, ln(apopdens), equation derived from diff-in-diff estimates)</w:t>
            </w:r>
          </w:p>
        </w:tc>
        <w:tc>
          <w:tcPr>
            <w:tcW w:w="6482" w:type="dxa"/>
          </w:tcPr>
          <w:p w14:paraId="0DA4BB9B"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B1F3594" w14:textId="77777777">
        <w:trPr>
          <w:trHeight w:val="1005"/>
        </w:trPr>
        <w:tc>
          <w:tcPr>
            <w:tcW w:w="1711" w:type="dxa"/>
          </w:tcPr>
          <w:p w14:paraId="23DA9311" w14:textId="77777777" w:rsidR="0046798B" w:rsidRDefault="0046798B">
            <w:pPr>
              <w:pStyle w:val="TableParagraph"/>
            </w:pPr>
          </w:p>
          <w:p w14:paraId="1348BC9C" w14:textId="77777777" w:rsidR="0046798B" w:rsidRDefault="00903B5C">
            <w:pPr>
              <w:pStyle w:val="TableParagraph"/>
              <w:spacing w:before="135"/>
              <w:ind w:left="115"/>
              <w:rPr>
                <w:b/>
                <w:sz w:val="20"/>
              </w:rPr>
            </w:pPr>
            <w:r>
              <w:rPr>
                <w:b/>
                <w:sz w:val="20"/>
              </w:rPr>
              <w:t>ainciinc</w:t>
            </w:r>
          </w:p>
        </w:tc>
        <w:tc>
          <w:tcPr>
            <w:tcW w:w="1596" w:type="dxa"/>
          </w:tcPr>
          <w:p w14:paraId="68786072" w14:textId="77777777" w:rsidR="0046798B" w:rsidRDefault="00903B5C">
            <w:pPr>
              <w:pStyle w:val="TableParagraph"/>
              <w:spacing w:before="43"/>
              <w:ind w:left="114" w:right="274"/>
              <w:rPr>
                <w:sz w:val="20"/>
              </w:rPr>
            </w:pPr>
            <w:r>
              <w:rPr>
                <w:sz w:val="20"/>
              </w:rPr>
              <w:t>State and local individual income tax revenues, as a</w:t>
            </w:r>
          </w:p>
        </w:tc>
        <w:tc>
          <w:tcPr>
            <w:tcW w:w="1285" w:type="dxa"/>
          </w:tcPr>
          <w:p w14:paraId="6D18E2F5" w14:textId="77777777" w:rsidR="0046798B" w:rsidRDefault="0046798B">
            <w:pPr>
              <w:pStyle w:val="TableParagraph"/>
            </w:pPr>
          </w:p>
          <w:p w14:paraId="6EC7C045" w14:textId="77777777" w:rsidR="0046798B" w:rsidRDefault="00903B5C">
            <w:pPr>
              <w:pStyle w:val="TableParagraph"/>
              <w:spacing w:before="135"/>
              <w:ind w:left="114"/>
              <w:rPr>
                <w:sz w:val="20"/>
              </w:rPr>
            </w:pPr>
            <w:r>
              <w:rPr>
                <w:sz w:val="20"/>
              </w:rPr>
              <w:t>1957–2015</w:t>
            </w:r>
          </w:p>
        </w:tc>
        <w:tc>
          <w:tcPr>
            <w:tcW w:w="3421" w:type="dxa"/>
          </w:tcPr>
          <w:p w14:paraId="00280D3C" w14:textId="77777777" w:rsidR="0046798B" w:rsidRDefault="00903B5C">
            <w:pPr>
              <w:pStyle w:val="TableParagraph"/>
              <w:spacing w:before="158"/>
              <w:ind w:left="114" w:right="317"/>
              <w:jc w:val="both"/>
              <w:rPr>
                <w:sz w:val="20"/>
              </w:rPr>
            </w:pPr>
            <w:r>
              <w:rPr>
                <w:sz w:val="20"/>
              </w:rPr>
              <w:t>State and local individual income tax revenues, as a percentage of personal income</w:t>
            </w:r>
          </w:p>
        </w:tc>
        <w:tc>
          <w:tcPr>
            <w:tcW w:w="6482" w:type="dxa"/>
          </w:tcPr>
          <w:p w14:paraId="1B905525"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4757150E" w14:textId="77777777" w:rsidR="0046798B" w:rsidRDefault="0046798B">
      <w:pPr>
        <w:rPr>
          <w:sz w:val="20"/>
        </w:rPr>
        <w:sectPr w:rsidR="0046798B">
          <w:pgSz w:w="15840" w:h="12240" w:orient="landscape"/>
          <w:pgMar w:top="1220" w:right="300" w:bottom="980" w:left="820" w:header="730" w:footer="787" w:gutter="0"/>
          <w:cols w:space="720"/>
        </w:sectPr>
      </w:pPr>
    </w:p>
    <w:p w14:paraId="72CF8CF4"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0811366" w14:textId="77777777">
        <w:trPr>
          <w:trHeight w:val="542"/>
        </w:trPr>
        <w:tc>
          <w:tcPr>
            <w:tcW w:w="1711" w:type="dxa"/>
            <w:tcBorders>
              <w:bottom w:val="dotted" w:sz="6" w:space="0" w:color="BEBEBE"/>
            </w:tcBorders>
          </w:tcPr>
          <w:p w14:paraId="1F5F68CD" w14:textId="77777777" w:rsidR="0046798B" w:rsidRDefault="0046798B">
            <w:pPr>
              <w:pStyle w:val="TableParagraph"/>
              <w:rPr>
                <w:sz w:val="20"/>
              </w:rPr>
            </w:pPr>
          </w:p>
        </w:tc>
        <w:tc>
          <w:tcPr>
            <w:tcW w:w="1596" w:type="dxa"/>
            <w:tcBorders>
              <w:bottom w:val="dotted" w:sz="6" w:space="0" w:color="BEBEBE"/>
            </w:tcBorders>
          </w:tcPr>
          <w:p w14:paraId="2A443333" w14:textId="77777777" w:rsidR="0046798B" w:rsidRDefault="00903B5C">
            <w:pPr>
              <w:pStyle w:val="TableParagraph"/>
              <w:spacing w:before="43"/>
              <w:ind w:left="114" w:right="135"/>
              <w:rPr>
                <w:sz w:val="20"/>
              </w:rPr>
            </w:pPr>
            <w:r>
              <w:rPr>
                <w:sz w:val="20"/>
              </w:rPr>
              <w:t>percentage of personal income</w:t>
            </w:r>
          </w:p>
        </w:tc>
        <w:tc>
          <w:tcPr>
            <w:tcW w:w="1285" w:type="dxa"/>
            <w:tcBorders>
              <w:bottom w:val="dotted" w:sz="6" w:space="0" w:color="BEBEBE"/>
            </w:tcBorders>
          </w:tcPr>
          <w:p w14:paraId="156D043F" w14:textId="77777777" w:rsidR="0046798B" w:rsidRDefault="0046798B">
            <w:pPr>
              <w:pStyle w:val="TableParagraph"/>
              <w:rPr>
                <w:sz w:val="20"/>
              </w:rPr>
            </w:pPr>
          </w:p>
        </w:tc>
        <w:tc>
          <w:tcPr>
            <w:tcW w:w="3421" w:type="dxa"/>
            <w:tcBorders>
              <w:bottom w:val="dotted" w:sz="6" w:space="0" w:color="BEBEBE"/>
            </w:tcBorders>
          </w:tcPr>
          <w:p w14:paraId="12489AC3" w14:textId="77777777" w:rsidR="0046798B" w:rsidRDefault="0046798B">
            <w:pPr>
              <w:pStyle w:val="TableParagraph"/>
              <w:rPr>
                <w:sz w:val="20"/>
              </w:rPr>
            </w:pPr>
          </w:p>
        </w:tc>
        <w:tc>
          <w:tcPr>
            <w:tcW w:w="6482" w:type="dxa"/>
            <w:tcBorders>
              <w:bottom w:val="dotted" w:sz="6" w:space="0" w:color="BEBEBE"/>
            </w:tcBorders>
          </w:tcPr>
          <w:p w14:paraId="0665F553" w14:textId="77777777" w:rsidR="0046798B" w:rsidRDefault="0046798B">
            <w:pPr>
              <w:pStyle w:val="TableParagraph"/>
              <w:rPr>
                <w:sz w:val="20"/>
              </w:rPr>
            </w:pPr>
          </w:p>
        </w:tc>
      </w:tr>
      <w:tr w:rsidR="0046798B" w14:paraId="5FA0D354" w14:textId="77777777">
        <w:trPr>
          <w:trHeight w:val="1463"/>
        </w:trPr>
        <w:tc>
          <w:tcPr>
            <w:tcW w:w="1711" w:type="dxa"/>
            <w:tcBorders>
              <w:top w:val="dotted" w:sz="6" w:space="0" w:color="BEBEBE"/>
            </w:tcBorders>
          </w:tcPr>
          <w:p w14:paraId="42D1E3E8" w14:textId="77777777" w:rsidR="0046798B" w:rsidRDefault="0046798B">
            <w:pPr>
              <w:pStyle w:val="TableParagraph"/>
            </w:pPr>
          </w:p>
          <w:p w14:paraId="0921096F" w14:textId="77777777" w:rsidR="0046798B" w:rsidRDefault="0046798B">
            <w:pPr>
              <w:pStyle w:val="TableParagraph"/>
              <w:spacing w:before="6"/>
              <w:rPr>
                <w:sz w:val="31"/>
              </w:rPr>
            </w:pPr>
          </w:p>
          <w:p w14:paraId="5373AC1C" w14:textId="77777777" w:rsidR="0046798B" w:rsidRDefault="00903B5C">
            <w:pPr>
              <w:pStyle w:val="TableParagraph"/>
              <w:ind w:left="115"/>
              <w:rPr>
                <w:b/>
                <w:sz w:val="20"/>
              </w:rPr>
            </w:pPr>
            <w:r>
              <w:rPr>
                <w:b/>
                <w:sz w:val="20"/>
              </w:rPr>
              <w:t>ainclic</w:t>
            </w:r>
          </w:p>
        </w:tc>
        <w:tc>
          <w:tcPr>
            <w:tcW w:w="1596" w:type="dxa"/>
            <w:tcBorders>
              <w:top w:val="dotted" w:sz="6" w:space="0" w:color="BEBEBE"/>
            </w:tcBorders>
          </w:tcPr>
          <w:p w14:paraId="179E7E46" w14:textId="77777777" w:rsidR="0046798B" w:rsidRDefault="00903B5C">
            <w:pPr>
              <w:pStyle w:val="TableParagraph"/>
              <w:spacing w:before="40"/>
              <w:ind w:left="114" w:right="135"/>
              <w:rPr>
                <w:sz w:val="20"/>
              </w:rPr>
            </w:pPr>
            <w:r>
              <w:rPr>
                <w:sz w:val="20"/>
              </w:rPr>
              <w:t>State and local motor vehicle license tax revenues, as a percentage of personal income</w:t>
            </w:r>
          </w:p>
        </w:tc>
        <w:tc>
          <w:tcPr>
            <w:tcW w:w="1285" w:type="dxa"/>
            <w:tcBorders>
              <w:top w:val="dotted" w:sz="6" w:space="0" w:color="BEBEBE"/>
            </w:tcBorders>
          </w:tcPr>
          <w:p w14:paraId="365EFD93" w14:textId="77777777" w:rsidR="0046798B" w:rsidRDefault="0046798B">
            <w:pPr>
              <w:pStyle w:val="TableParagraph"/>
            </w:pPr>
          </w:p>
          <w:p w14:paraId="7532C871" w14:textId="77777777" w:rsidR="0046798B" w:rsidRDefault="0046798B">
            <w:pPr>
              <w:pStyle w:val="TableParagraph"/>
              <w:spacing w:before="6"/>
              <w:rPr>
                <w:sz w:val="31"/>
              </w:rPr>
            </w:pPr>
          </w:p>
          <w:p w14:paraId="3840814D" w14:textId="77777777" w:rsidR="0046798B" w:rsidRDefault="00903B5C">
            <w:pPr>
              <w:pStyle w:val="TableParagraph"/>
              <w:ind w:left="114"/>
              <w:rPr>
                <w:sz w:val="20"/>
              </w:rPr>
            </w:pPr>
            <w:r>
              <w:rPr>
                <w:sz w:val="20"/>
              </w:rPr>
              <w:t>1957–2015</w:t>
            </w:r>
          </w:p>
        </w:tc>
        <w:tc>
          <w:tcPr>
            <w:tcW w:w="3421" w:type="dxa"/>
            <w:tcBorders>
              <w:top w:val="dotted" w:sz="6" w:space="0" w:color="BEBEBE"/>
            </w:tcBorders>
          </w:tcPr>
          <w:p w14:paraId="1DAD3054" w14:textId="77777777" w:rsidR="0046798B" w:rsidRDefault="0046798B">
            <w:pPr>
              <w:pStyle w:val="TableParagraph"/>
            </w:pPr>
          </w:p>
          <w:p w14:paraId="1823D9B0" w14:textId="77777777" w:rsidR="0046798B" w:rsidRDefault="00903B5C">
            <w:pPr>
              <w:pStyle w:val="TableParagraph"/>
              <w:spacing w:before="133"/>
              <w:ind w:left="114" w:right="339"/>
              <w:rPr>
                <w:sz w:val="20"/>
              </w:rPr>
            </w:pPr>
            <w:r>
              <w:rPr>
                <w:sz w:val="20"/>
              </w:rPr>
              <w:t>State and local motor vehicle license tax revenues, as a percentage of personal income</w:t>
            </w:r>
          </w:p>
        </w:tc>
        <w:tc>
          <w:tcPr>
            <w:tcW w:w="6482" w:type="dxa"/>
            <w:tcBorders>
              <w:top w:val="dotted" w:sz="6" w:space="0" w:color="BEBEBE"/>
            </w:tcBorders>
          </w:tcPr>
          <w:p w14:paraId="3263003E" w14:textId="77777777" w:rsidR="0046798B" w:rsidRDefault="0046798B">
            <w:pPr>
              <w:pStyle w:val="TableParagraph"/>
            </w:pPr>
          </w:p>
          <w:p w14:paraId="1B0D130E" w14:textId="77777777" w:rsidR="0046798B" w:rsidRDefault="00903B5C">
            <w:pPr>
              <w:pStyle w:val="TableParagraph"/>
              <w:spacing w:before="13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7CF58B4" w14:textId="77777777">
        <w:trPr>
          <w:trHeight w:val="1010"/>
        </w:trPr>
        <w:tc>
          <w:tcPr>
            <w:tcW w:w="1711" w:type="dxa"/>
          </w:tcPr>
          <w:p w14:paraId="37D83627" w14:textId="77777777" w:rsidR="0046798B" w:rsidRDefault="0046798B">
            <w:pPr>
              <w:pStyle w:val="TableParagraph"/>
            </w:pPr>
          </w:p>
          <w:p w14:paraId="7CA23A93" w14:textId="77777777" w:rsidR="0046798B" w:rsidRDefault="00903B5C">
            <w:pPr>
              <w:pStyle w:val="TableParagraph"/>
              <w:spacing w:before="135"/>
              <w:ind w:left="115"/>
              <w:rPr>
                <w:b/>
                <w:sz w:val="20"/>
              </w:rPr>
            </w:pPr>
            <w:r>
              <w:rPr>
                <w:b/>
                <w:sz w:val="20"/>
              </w:rPr>
              <w:t>aincloc3</w:t>
            </w:r>
          </w:p>
        </w:tc>
        <w:tc>
          <w:tcPr>
            <w:tcW w:w="1596" w:type="dxa"/>
          </w:tcPr>
          <w:p w14:paraId="76AE1362" w14:textId="77777777" w:rsidR="0046798B" w:rsidRDefault="00903B5C">
            <w:pPr>
              <w:pStyle w:val="TableParagraph"/>
              <w:spacing w:before="43"/>
              <w:ind w:left="114"/>
              <w:rPr>
                <w:sz w:val="20"/>
              </w:rPr>
            </w:pPr>
            <w:r>
              <w:rPr>
                <w:sz w:val="20"/>
              </w:rPr>
              <w:t>Tax concept 3,</w:t>
            </w:r>
          </w:p>
          <w:p w14:paraId="0F2A8BB8" w14:textId="77777777" w:rsidR="0046798B" w:rsidRDefault="00903B5C">
            <w:pPr>
              <w:pStyle w:val="TableParagraph"/>
              <w:ind w:left="114" w:right="229"/>
              <w:rPr>
                <w:sz w:val="20"/>
              </w:rPr>
            </w:pPr>
            <w:r>
              <w:rPr>
                <w:sz w:val="20"/>
              </w:rPr>
              <w:t>% of income, local government</w:t>
            </w:r>
          </w:p>
        </w:tc>
        <w:tc>
          <w:tcPr>
            <w:tcW w:w="1285" w:type="dxa"/>
          </w:tcPr>
          <w:p w14:paraId="6E3EC1B8" w14:textId="77777777" w:rsidR="0046798B" w:rsidRDefault="0046798B">
            <w:pPr>
              <w:pStyle w:val="TableParagraph"/>
            </w:pPr>
          </w:p>
          <w:p w14:paraId="789AB2AA" w14:textId="77777777" w:rsidR="0046798B" w:rsidRDefault="00903B5C">
            <w:pPr>
              <w:pStyle w:val="TableParagraph"/>
              <w:spacing w:before="135"/>
              <w:ind w:left="114"/>
              <w:rPr>
                <w:sz w:val="20"/>
              </w:rPr>
            </w:pPr>
            <w:r>
              <w:rPr>
                <w:sz w:val="20"/>
              </w:rPr>
              <w:t>1957–2015</w:t>
            </w:r>
          </w:p>
        </w:tc>
        <w:tc>
          <w:tcPr>
            <w:tcW w:w="3421" w:type="dxa"/>
          </w:tcPr>
          <w:p w14:paraId="61C529A7" w14:textId="77777777" w:rsidR="0046798B" w:rsidRDefault="0046798B">
            <w:pPr>
              <w:pStyle w:val="TableParagraph"/>
              <w:spacing w:before="8"/>
              <w:rPr>
                <w:sz w:val="23"/>
              </w:rPr>
            </w:pPr>
          </w:p>
          <w:p w14:paraId="63DBDC49" w14:textId="77777777" w:rsidR="0046798B" w:rsidRDefault="00903B5C">
            <w:pPr>
              <w:pStyle w:val="TableParagraph"/>
              <w:spacing w:before="1"/>
              <w:ind w:left="114" w:right="533"/>
              <w:rPr>
                <w:sz w:val="20"/>
              </w:rPr>
            </w:pPr>
            <w:r>
              <w:rPr>
                <w:sz w:val="20"/>
              </w:rPr>
              <w:t>Tax concept 3, % of income, local government</w:t>
            </w:r>
          </w:p>
        </w:tc>
        <w:tc>
          <w:tcPr>
            <w:tcW w:w="6482" w:type="dxa"/>
          </w:tcPr>
          <w:p w14:paraId="049EB696"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B3E5EA6" w14:textId="77777777">
        <w:trPr>
          <w:trHeight w:val="1005"/>
        </w:trPr>
        <w:tc>
          <w:tcPr>
            <w:tcW w:w="1711" w:type="dxa"/>
          </w:tcPr>
          <w:p w14:paraId="488AE4C8" w14:textId="77777777" w:rsidR="0046798B" w:rsidRDefault="0046798B">
            <w:pPr>
              <w:pStyle w:val="TableParagraph"/>
            </w:pPr>
          </w:p>
          <w:p w14:paraId="13779C02" w14:textId="77777777" w:rsidR="0046798B" w:rsidRDefault="00903B5C">
            <w:pPr>
              <w:pStyle w:val="TableParagraph"/>
              <w:spacing w:before="130"/>
              <w:ind w:left="115"/>
              <w:rPr>
                <w:b/>
                <w:sz w:val="20"/>
              </w:rPr>
            </w:pPr>
            <w:r>
              <w:rPr>
                <w:b/>
                <w:sz w:val="20"/>
              </w:rPr>
              <w:t>aincloc4</w:t>
            </w:r>
          </w:p>
        </w:tc>
        <w:tc>
          <w:tcPr>
            <w:tcW w:w="1596" w:type="dxa"/>
          </w:tcPr>
          <w:p w14:paraId="6EA8B9E9" w14:textId="77777777" w:rsidR="0046798B" w:rsidRDefault="00903B5C">
            <w:pPr>
              <w:pStyle w:val="TableParagraph"/>
              <w:spacing w:before="38"/>
              <w:ind w:left="114"/>
              <w:rPr>
                <w:sz w:val="20"/>
              </w:rPr>
            </w:pPr>
            <w:r>
              <w:rPr>
                <w:sz w:val="20"/>
              </w:rPr>
              <w:t>Tax concept 3,</w:t>
            </w:r>
          </w:p>
          <w:p w14:paraId="59F120E5" w14:textId="77777777" w:rsidR="0046798B" w:rsidRDefault="00903B5C">
            <w:pPr>
              <w:pStyle w:val="TableParagraph"/>
              <w:ind w:left="114" w:right="191"/>
              <w:rPr>
                <w:sz w:val="20"/>
              </w:rPr>
            </w:pPr>
            <w:r>
              <w:rPr>
                <w:sz w:val="20"/>
              </w:rPr>
              <w:t>% of income concept 2, local government</w:t>
            </w:r>
          </w:p>
        </w:tc>
        <w:tc>
          <w:tcPr>
            <w:tcW w:w="1285" w:type="dxa"/>
          </w:tcPr>
          <w:p w14:paraId="1287D7C5" w14:textId="77777777" w:rsidR="0046798B" w:rsidRDefault="0046798B">
            <w:pPr>
              <w:pStyle w:val="TableParagraph"/>
            </w:pPr>
          </w:p>
          <w:p w14:paraId="006D6D99" w14:textId="77777777" w:rsidR="0046798B" w:rsidRDefault="00903B5C">
            <w:pPr>
              <w:pStyle w:val="TableParagraph"/>
              <w:spacing w:before="130"/>
              <w:ind w:left="114"/>
              <w:rPr>
                <w:sz w:val="20"/>
              </w:rPr>
            </w:pPr>
            <w:r>
              <w:rPr>
                <w:sz w:val="20"/>
              </w:rPr>
              <w:t>2000–2015</w:t>
            </w:r>
          </w:p>
        </w:tc>
        <w:tc>
          <w:tcPr>
            <w:tcW w:w="3421" w:type="dxa"/>
          </w:tcPr>
          <w:p w14:paraId="01122F92" w14:textId="77777777" w:rsidR="0046798B" w:rsidRDefault="0046798B">
            <w:pPr>
              <w:pStyle w:val="TableParagraph"/>
              <w:spacing w:before="3"/>
              <w:rPr>
                <w:sz w:val="23"/>
              </w:rPr>
            </w:pPr>
          </w:p>
          <w:p w14:paraId="31B7B53B" w14:textId="77777777" w:rsidR="0046798B" w:rsidRDefault="00903B5C">
            <w:pPr>
              <w:pStyle w:val="TableParagraph"/>
              <w:spacing w:before="1"/>
              <w:ind w:left="114" w:right="150"/>
              <w:rPr>
                <w:sz w:val="20"/>
              </w:rPr>
            </w:pPr>
            <w:r>
              <w:rPr>
                <w:sz w:val="20"/>
              </w:rPr>
              <w:t>Tax concept 3, % of income concept 2, local government</w:t>
            </w:r>
          </w:p>
        </w:tc>
        <w:tc>
          <w:tcPr>
            <w:tcW w:w="6482" w:type="dxa"/>
          </w:tcPr>
          <w:p w14:paraId="6FB05874" w14:textId="77777777" w:rsidR="0046798B" w:rsidRDefault="00903B5C">
            <w:pPr>
              <w:pStyle w:val="TableParagraph"/>
              <w:spacing w:before="15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FAFAAEC" w14:textId="77777777">
        <w:trPr>
          <w:trHeight w:val="1235"/>
        </w:trPr>
        <w:tc>
          <w:tcPr>
            <w:tcW w:w="1711" w:type="dxa"/>
          </w:tcPr>
          <w:p w14:paraId="02C1FC52" w14:textId="77777777" w:rsidR="0046798B" w:rsidRDefault="0046798B">
            <w:pPr>
              <w:pStyle w:val="TableParagraph"/>
            </w:pPr>
          </w:p>
          <w:p w14:paraId="66F98C7C" w14:textId="77777777" w:rsidR="0046798B" w:rsidRDefault="0046798B">
            <w:pPr>
              <w:pStyle w:val="TableParagraph"/>
              <w:spacing w:before="4"/>
              <w:rPr>
                <w:sz w:val="21"/>
              </w:rPr>
            </w:pPr>
          </w:p>
          <w:p w14:paraId="0E8F61D2" w14:textId="77777777" w:rsidR="0046798B" w:rsidRDefault="00903B5C">
            <w:pPr>
              <w:pStyle w:val="TableParagraph"/>
              <w:ind w:left="115"/>
              <w:rPr>
                <w:b/>
                <w:sz w:val="20"/>
              </w:rPr>
            </w:pPr>
            <w:r>
              <w:rPr>
                <w:b/>
                <w:sz w:val="20"/>
              </w:rPr>
              <w:t>aincoth</w:t>
            </w:r>
          </w:p>
        </w:tc>
        <w:tc>
          <w:tcPr>
            <w:tcW w:w="1596" w:type="dxa"/>
          </w:tcPr>
          <w:p w14:paraId="2DA86791" w14:textId="77777777" w:rsidR="0046798B" w:rsidRDefault="00903B5C">
            <w:pPr>
              <w:pStyle w:val="TableParagraph"/>
              <w:spacing w:before="38"/>
              <w:ind w:left="114" w:right="135"/>
              <w:rPr>
                <w:sz w:val="20"/>
              </w:rPr>
            </w:pPr>
            <w:r>
              <w:rPr>
                <w:sz w:val="20"/>
              </w:rPr>
              <w:t>State and local revenues from other taxes, as a percentage of personal income</w:t>
            </w:r>
          </w:p>
        </w:tc>
        <w:tc>
          <w:tcPr>
            <w:tcW w:w="1285" w:type="dxa"/>
          </w:tcPr>
          <w:p w14:paraId="3099FAF2" w14:textId="77777777" w:rsidR="0046798B" w:rsidRDefault="0046798B">
            <w:pPr>
              <w:pStyle w:val="TableParagraph"/>
            </w:pPr>
          </w:p>
          <w:p w14:paraId="1E3CE484" w14:textId="77777777" w:rsidR="0046798B" w:rsidRDefault="0046798B">
            <w:pPr>
              <w:pStyle w:val="TableParagraph"/>
              <w:spacing w:before="4"/>
              <w:rPr>
                <w:sz w:val="21"/>
              </w:rPr>
            </w:pPr>
          </w:p>
          <w:p w14:paraId="21176430" w14:textId="77777777" w:rsidR="0046798B" w:rsidRDefault="00903B5C">
            <w:pPr>
              <w:pStyle w:val="TableParagraph"/>
              <w:ind w:left="114"/>
              <w:rPr>
                <w:sz w:val="20"/>
              </w:rPr>
            </w:pPr>
            <w:r>
              <w:rPr>
                <w:sz w:val="20"/>
              </w:rPr>
              <w:t>1957–2015</w:t>
            </w:r>
          </w:p>
        </w:tc>
        <w:tc>
          <w:tcPr>
            <w:tcW w:w="3421" w:type="dxa"/>
          </w:tcPr>
          <w:p w14:paraId="196B3CD0" w14:textId="77777777" w:rsidR="0046798B" w:rsidRDefault="0046798B">
            <w:pPr>
              <w:pStyle w:val="TableParagraph"/>
              <w:spacing w:before="4"/>
              <w:rPr>
                <w:sz w:val="23"/>
              </w:rPr>
            </w:pPr>
          </w:p>
          <w:p w14:paraId="4208B3F4" w14:textId="77777777" w:rsidR="0046798B" w:rsidRDefault="00903B5C">
            <w:pPr>
              <w:pStyle w:val="TableParagraph"/>
              <w:ind w:left="114" w:right="439"/>
              <w:rPr>
                <w:sz w:val="20"/>
              </w:rPr>
            </w:pPr>
            <w:r>
              <w:rPr>
                <w:sz w:val="20"/>
              </w:rPr>
              <w:t>State and local revenues from other taxes, as a percentage of personal income</w:t>
            </w:r>
          </w:p>
        </w:tc>
        <w:tc>
          <w:tcPr>
            <w:tcW w:w="6482" w:type="dxa"/>
          </w:tcPr>
          <w:p w14:paraId="62EC80EA" w14:textId="77777777" w:rsidR="0046798B" w:rsidRDefault="0046798B">
            <w:pPr>
              <w:pStyle w:val="TableParagraph"/>
              <w:spacing w:before="4"/>
              <w:rPr>
                <w:sz w:val="23"/>
              </w:rPr>
            </w:pPr>
          </w:p>
          <w:p w14:paraId="261A72B7"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B8B398B" w14:textId="77777777">
        <w:trPr>
          <w:trHeight w:val="1235"/>
        </w:trPr>
        <w:tc>
          <w:tcPr>
            <w:tcW w:w="1711" w:type="dxa"/>
          </w:tcPr>
          <w:p w14:paraId="713D14C5" w14:textId="77777777" w:rsidR="0046798B" w:rsidRDefault="0046798B">
            <w:pPr>
              <w:pStyle w:val="TableParagraph"/>
            </w:pPr>
          </w:p>
          <w:p w14:paraId="4F52BF21" w14:textId="77777777" w:rsidR="0046798B" w:rsidRDefault="0046798B">
            <w:pPr>
              <w:pStyle w:val="TableParagraph"/>
              <w:spacing w:before="8"/>
              <w:rPr>
                <w:sz w:val="21"/>
              </w:rPr>
            </w:pPr>
          </w:p>
          <w:p w14:paraId="347B2EAE" w14:textId="77777777" w:rsidR="0046798B" w:rsidRDefault="00903B5C">
            <w:pPr>
              <w:pStyle w:val="TableParagraph"/>
              <w:spacing w:before="1"/>
              <w:ind w:left="115"/>
              <w:rPr>
                <w:b/>
                <w:sz w:val="20"/>
              </w:rPr>
            </w:pPr>
            <w:r>
              <w:rPr>
                <w:b/>
                <w:sz w:val="20"/>
              </w:rPr>
              <w:t>aincprop</w:t>
            </w:r>
          </w:p>
        </w:tc>
        <w:tc>
          <w:tcPr>
            <w:tcW w:w="1596" w:type="dxa"/>
          </w:tcPr>
          <w:p w14:paraId="74BA8CF1" w14:textId="77777777" w:rsidR="0046798B" w:rsidRDefault="00903B5C">
            <w:pPr>
              <w:pStyle w:val="TableParagraph"/>
              <w:spacing w:before="45" w:line="237" w:lineRule="auto"/>
              <w:ind w:left="114" w:right="135"/>
              <w:rPr>
                <w:sz w:val="20"/>
              </w:rPr>
            </w:pPr>
            <w:r>
              <w:rPr>
                <w:sz w:val="20"/>
              </w:rPr>
              <w:t>State and local property tax revenues, as a percentage of personal income</w:t>
            </w:r>
          </w:p>
        </w:tc>
        <w:tc>
          <w:tcPr>
            <w:tcW w:w="1285" w:type="dxa"/>
          </w:tcPr>
          <w:p w14:paraId="33BE018C" w14:textId="77777777" w:rsidR="0046798B" w:rsidRDefault="0046798B">
            <w:pPr>
              <w:pStyle w:val="TableParagraph"/>
            </w:pPr>
          </w:p>
          <w:p w14:paraId="1B4E256A" w14:textId="77777777" w:rsidR="0046798B" w:rsidRDefault="0046798B">
            <w:pPr>
              <w:pStyle w:val="TableParagraph"/>
              <w:spacing w:before="8"/>
              <w:rPr>
                <w:sz w:val="21"/>
              </w:rPr>
            </w:pPr>
          </w:p>
          <w:p w14:paraId="1FFE06E9" w14:textId="77777777" w:rsidR="0046798B" w:rsidRDefault="00903B5C">
            <w:pPr>
              <w:pStyle w:val="TableParagraph"/>
              <w:spacing w:before="1"/>
              <w:ind w:left="114"/>
              <w:rPr>
                <w:sz w:val="20"/>
              </w:rPr>
            </w:pPr>
            <w:r>
              <w:rPr>
                <w:sz w:val="20"/>
              </w:rPr>
              <w:t>1957–2015</w:t>
            </w:r>
          </w:p>
        </w:tc>
        <w:tc>
          <w:tcPr>
            <w:tcW w:w="3421" w:type="dxa"/>
          </w:tcPr>
          <w:p w14:paraId="6F5BE358" w14:textId="77777777" w:rsidR="0046798B" w:rsidRDefault="0046798B">
            <w:pPr>
              <w:pStyle w:val="TableParagraph"/>
            </w:pPr>
          </w:p>
          <w:p w14:paraId="332DAAD8" w14:textId="77777777" w:rsidR="0046798B" w:rsidRDefault="00903B5C">
            <w:pPr>
              <w:pStyle w:val="TableParagraph"/>
              <w:spacing w:before="135"/>
              <w:ind w:left="114" w:right="267"/>
              <w:rPr>
                <w:sz w:val="20"/>
              </w:rPr>
            </w:pPr>
            <w:r>
              <w:rPr>
                <w:sz w:val="20"/>
              </w:rPr>
              <w:t>State and local property tax revenues, as a percentage of personal income</w:t>
            </w:r>
          </w:p>
        </w:tc>
        <w:tc>
          <w:tcPr>
            <w:tcW w:w="6482" w:type="dxa"/>
          </w:tcPr>
          <w:p w14:paraId="79FFEE51" w14:textId="77777777" w:rsidR="0046798B" w:rsidRDefault="0046798B">
            <w:pPr>
              <w:pStyle w:val="TableParagraph"/>
              <w:spacing w:before="10"/>
              <w:rPr>
                <w:sz w:val="23"/>
              </w:rPr>
            </w:pPr>
          </w:p>
          <w:p w14:paraId="6A668F10" w14:textId="77777777" w:rsidR="0046798B" w:rsidRDefault="00903B5C">
            <w:pPr>
              <w:pStyle w:val="TableParagraph"/>
              <w:spacing w:line="237" w:lineRule="auto"/>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45A90B0" w14:textId="77777777">
        <w:trPr>
          <w:trHeight w:val="1235"/>
        </w:trPr>
        <w:tc>
          <w:tcPr>
            <w:tcW w:w="1711" w:type="dxa"/>
          </w:tcPr>
          <w:p w14:paraId="272B7672" w14:textId="77777777" w:rsidR="0046798B" w:rsidRDefault="0046798B">
            <w:pPr>
              <w:pStyle w:val="TableParagraph"/>
            </w:pPr>
          </w:p>
          <w:p w14:paraId="496BAB16" w14:textId="77777777" w:rsidR="0046798B" w:rsidRDefault="0046798B">
            <w:pPr>
              <w:pStyle w:val="TableParagraph"/>
              <w:spacing w:before="8"/>
              <w:rPr>
                <w:sz w:val="21"/>
              </w:rPr>
            </w:pPr>
          </w:p>
          <w:p w14:paraId="428F4342" w14:textId="77777777" w:rsidR="0046798B" w:rsidRDefault="00903B5C">
            <w:pPr>
              <w:pStyle w:val="TableParagraph"/>
              <w:spacing w:before="1"/>
              <w:ind w:left="115"/>
              <w:rPr>
                <w:b/>
                <w:sz w:val="20"/>
              </w:rPr>
            </w:pPr>
            <w:r>
              <w:rPr>
                <w:b/>
                <w:sz w:val="20"/>
              </w:rPr>
              <w:t>aincsale</w:t>
            </w:r>
          </w:p>
        </w:tc>
        <w:tc>
          <w:tcPr>
            <w:tcW w:w="1596" w:type="dxa"/>
          </w:tcPr>
          <w:p w14:paraId="0D1413C5" w14:textId="77777777" w:rsidR="0046798B" w:rsidRDefault="00903B5C">
            <w:pPr>
              <w:pStyle w:val="TableParagraph"/>
              <w:spacing w:before="43"/>
              <w:ind w:left="114" w:right="130"/>
              <w:rPr>
                <w:sz w:val="20"/>
              </w:rPr>
            </w:pPr>
            <w:r>
              <w:rPr>
                <w:sz w:val="20"/>
              </w:rPr>
              <w:t>State and local general sales tax revenues, as a percentage of personal income</w:t>
            </w:r>
          </w:p>
        </w:tc>
        <w:tc>
          <w:tcPr>
            <w:tcW w:w="1285" w:type="dxa"/>
          </w:tcPr>
          <w:p w14:paraId="56472968" w14:textId="77777777" w:rsidR="0046798B" w:rsidRDefault="0046798B">
            <w:pPr>
              <w:pStyle w:val="TableParagraph"/>
            </w:pPr>
          </w:p>
          <w:p w14:paraId="030C6782" w14:textId="77777777" w:rsidR="0046798B" w:rsidRDefault="0046798B">
            <w:pPr>
              <w:pStyle w:val="TableParagraph"/>
              <w:spacing w:before="8"/>
              <w:rPr>
                <w:sz w:val="21"/>
              </w:rPr>
            </w:pPr>
          </w:p>
          <w:p w14:paraId="0DEB88D9" w14:textId="77777777" w:rsidR="0046798B" w:rsidRDefault="00903B5C">
            <w:pPr>
              <w:pStyle w:val="TableParagraph"/>
              <w:spacing w:before="1"/>
              <w:ind w:left="114"/>
              <w:rPr>
                <w:sz w:val="20"/>
              </w:rPr>
            </w:pPr>
            <w:r>
              <w:rPr>
                <w:sz w:val="20"/>
              </w:rPr>
              <w:t>1957–2015</w:t>
            </w:r>
          </w:p>
        </w:tc>
        <w:tc>
          <w:tcPr>
            <w:tcW w:w="3421" w:type="dxa"/>
          </w:tcPr>
          <w:p w14:paraId="1FED9D2A" w14:textId="77777777" w:rsidR="0046798B" w:rsidRDefault="0046798B">
            <w:pPr>
              <w:pStyle w:val="TableParagraph"/>
              <w:spacing w:before="8"/>
              <w:rPr>
                <w:sz w:val="23"/>
              </w:rPr>
            </w:pPr>
          </w:p>
          <w:p w14:paraId="79B324CD" w14:textId="77777777" w:rsidR="0046798B" w:rsidRDefault="00903B5C">
            <w:pPr>
              <w:pStyle w:val="TableParagraph"/>
              <w:ind w:left="114" w:right="300"/>
              <w:rPr>
                <w:sz w:val="20"/>
              </w:rPr>
            </w:pPr>
            <w:r>
              <w:rPr>
                <w:sz w:val="20"/>
              </w:rPr>
              <w:t>State and local general sales tax revenues, as a percentage of personal income</w:t>
            </w:r>
          </w:p>
        </w:tc>
        <w:tc>
          <w:tcPr>
            <w:tcW w:w="6482" w:type="dxa"/>
          </w:tcPr>
          <w:p w14:paraId="6897D6CA" w14:textId="77777777" w:rsidR="0046798B" w:rsidRDefault="0046798B">
            <w:pPr>
              <w:pStyle w:val="TableParagraph"/>
              <w:spacing w:before="8"/>
              <w:rPr>
                <w:sz w:val="23"/>
              </w:rPr>
            </w:pPr>
          </w:p>
          <w:p w14:paraId="2417E936"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9284558" w14:textId="77777777">
        <w:trPr>
          <w:trHeight w:val="1465"/>
        </w:trPr>
        <w:tc>
          <w:tcPr>
            <w:tcW w:w="1711" w:type="dxa"/>
          </w:tcPr>
          <w:p w14:paraId="616D8222" w14:textId="77777777" w:rsidR="0046798B" w:rsidRDefault="0046798B">
            <w:pPr>
              <w:pStyle w:val="TableParagraph"/>
            </w:pPr>
          </w:p>
          <w:p w14:paraId="41263628" w14:textId="77777777" w:rsidR="0046798B" w:rsidRDefault="0046798B">
            <w:pPr>
              <w:pStyle w:val="TableParagraph"/>
              <w:spacing w:before="8"/>
              <w:rPr>
                <w:sz w:val="31"/>
              </w:rPr>
            </w:pPr>
          </w:p>
          <w:p w14:paraId="71F87445" w14:textId="77777777" w:rsidR="0046798B" w:rsidRDefault="00903B5C">
            <w:pPr>
              <w:pStyle w:val="TableParagraph"/>
              <w:spacing w:before="1"/>
              <w:ind w:left="115"/>
              <w:rPr>
                <w:b/>
                <w:sz w:val="20"/>
              </w:rPr>
            </w:pPr>
            <w:r>
              <w:rPr>
                <w:b/>
                <w:sz w:val="20"/>
              </w:rPr>
              <w:t>aincsel</w:t>
            </w:r>
          </w:p>
        </w:tc>
        <w:tc>
          <w:tcPr>
            <w:tcW w:w="1596" w:type="dxa"/>
          </w:tcPr>
          <w:p w14:paraId="63916FCE" w14:textId="77777777" w:rsidR="0046798B" w:rsidRDefault="00903B5C">
            <w:pPr>
              <w:pStyle w:val="TableParagraph"/>
              <w:spacing w:before="43"/>
              <w:ind w:left="114" w:right="135"/>
              <w:rPr>
                <w:sz w:val="20"/>
              </w:rPr>
            </w:pPr>
            <w:r>
              <w:rPr>
                <w:sz w:val="20"/>
              </w:rPr>
              <w:t>State and local other selective sales tax revenues, as a percentage of personal income</w:t>
            </w:r>
          </w:p>
        </w:tc>
        <w:tc>
          <w:tcPr>
            <w:tcW w:w="1285" w:type="dxa"/>
          </w:tcPr>
          <w:p w14:paraId="5D7B0BAC" w14:textId="77777777" w:rsidR="0046798B" w:rsidRDefault="0046798B">
            <w:pPr>
              <w:pStyle w:val="TableParagraph"/>
            </w:pPr>
          </w:p>
          <w:p w14:paraId="547BBD85" w14:textId="77777777" w:rsidR="0046798B" w:rsidRDefault="0046798B">
            <w:pPr>
              <w:pStyle w:val="TableParagraph"/>
              <w:spacing w:before="8"/>
              <w:rPr>
                <w:sz w:val="31"/>
              </w:rPr>
            </w:pPr>
          </w:p>
          <w:p w14:paraId="2A2270B5" w14:textId="77777777" w:rsidR="0046798B" w:rsidRDefault="00903B5C">
            <w:pPr>
              <w:pStyle w:val="TableParagraph"/>
              <w:spacing w:before="1"/>
              <w:ind w:left="114"/>
              <w:rPr>
                <w:sz w:val="20"/>
              </w:rPr>
            </w:pPr>
            <w:r>
              <w:rPr>
                <w:sz w:val="20"/>
              </w:rPr>
              <w:t>1957–2015</w:t>
            </w:r>
          </w:p>
        </w:tc>
        <w:tc>
          <w:tcPr>
            <w:tcW w:w="3421" w:type="dxa"/>
          </w:tcPr>
          <w:p w14:paraId="064A9DFC" w14:textId="77777777" w:rsidR="0046798B" w:rsidRDefault="0046798B">
            <w:pPr>
              <w:pStyle w:val="TableParagraph"/>
            </w:pPr>
          </w:p>
          <w:p w14:paraId="779B71EF" w14:textId="77777777" w:rsidR="0046798B" w:rsidRDefault="00903B5C">
            <w:pPr>
              <w:pStyle w:val="TableParagraph"/>
              <w:spacing w:before="135"/>
              <w:ind w:left="114" w:right="156"/>
              <w:rPr>
                <w:sz w:val="20"/>
              </w:rPr>
            </w:pPr>
            <w:r>
              <w:rPr>
                <w:sz w:val="20"/>
              </w:rPr>
              <w:t>State and local other selective sales tax revenues, as a percentage of personal income</w:t>
            </w:r>
          </w:p>
        </w:tc>
        <w:tc>
          <w:tcPr>
            <w:tcW w:w="6482" w:type="dxa"/>
          </w:tcPr>
          <w:p w14:paraId="216ED02B" w14:textId="77777777" w:rsidR="0046798B" w:rsidRDefault="0046798B">
            <w:pPr>
              <w:pStyle w:val="TableParagraph"/>
            </w:pPr>
          </w:p>
          <w:p w14:paraId="3334BC4B" w14:textId="77777777" w:rsidR="0046798B" w:rsidRDefault="00903B5C">
            <w:pPr>
              <w:pStyle w:val="TableParagraph"/>
              <w:spacing w:before="135"/>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68F8E801" w14:textId="77777777" w:rsidR="0046798B" w:rsidRDefault="0046798B">
      <w:pPr>
        <w:rPr>
          <w:sz w:val="20"/>
        </w:rPr>
        <w:sectPr w:rsidR="0046798B">
          <w:pgSz w:w="15840" w:h="12240" w:orient="landscape"/>
          <w:pgMar w:top="1220" w:right="300" w:bottom="980" w:left="820" w:header="730" w:footer="787" w:gutter="0"/>
          <w:cols w:space="720"/>
        </w:sectPr>
      </w:pPr>
    </w:p>
    <w:p w14:paraId="2FE9608E"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32C0D5A9" w14:textId="77777777">
        <w:trPr>
          <w:trHeight w:val="1235"/>
        </w:trPr>
        <w:tc>
          <w:tcPr>
            <w:tcW w:w="1711" w:type="dxa"/>
          </w:tcPr>
          <w:p w14:paraId="2729FA89" w14:textId="77777777" w:rsidR="0046798B" w:rsidRDefault="0046798B">
            <w:pPr>
              <w:pStyle w:val="TableParagraph"/>
            </w:pPr>
          </w:p>
          <w:p w14:paraId="107D102C" w14:textId="77777777" w:rsidR="0046798B" w:rsidRDefault="0046798B">
            <w:pPr>
              <w:pStyle w:val="TableParagraph"/>
              <w:spacing w:before="9"/>
              <w:rPr>
                <w:sz w:val="21"/>
              </w:rPr>
            </w:pPr>
          </w:p>
          <w:p w14:paraId="28E21684" w14:textId="77777777" w:rsidR="0046798B" w:rsidRDefault="00903B5C">
            <w:pPr>
              <w:pStyle w:val="TableParagraph"/>
              <w:ind w:left="115"/>
              <w:rPr>
                <w:b/>
                <w:sz w:val="20"/>
              </w:rPr>
            </w:pPr>
            <w:r>
              <w:rPr>
                <w:b/>
                <w:sz w:val="20"/>
              </w:rPr>
              <w:t>aincsev</w:t>
            </w:r>
          </w:p>
        </w:tc>
        <w:tc>
          <w:tcPr>
            <w:tcW w:w="1596" w:type="dxa"/>
          </w:tcPr>
          <w:p w14:paraId="04869814" w14:textId="77777777" w:rsidR="0046798B" w:rsidRDefault="00903B5C">
            <w:pPr>
              <w:pStyle w:val="TableParagraph"/>
              <w:spacing w:before="43"/>
              <w:ind w:left="114" w:right="135"/>
              <w:rPr>
                <w:sz w:val="20"/>
              </w:rPr>
            </w:pPr>
            <w:r>
              <w:rPr>
                <w:sz w:val="20"/>
              </w:rPr>
              <w:t>State revenues from severance taxes, as a percentage of personal income</w:t>
            </w:r>
          </w:p>
        </w:tc>
        <w:tc>
          <w:tcPr>
            <w:tcW w:w="1285" w:type="dxa"/>
          </w:tcPr>
          <w:p w14:paraId="3A84EDBD" w14:textId="77777777" w:rsidR="0046798B" w:rsidRDefault="0046798B">
            <w:pPr>
              <w:pStyle w:val="TableParagraph"/>
            </w:pPr>
          </w:p>
          <w:p w14:paraId="18A14786" w14:textId="77777777" w:rsidR="0046798B" w:rsidRDefault="0046798B">
            <w:pPr>
              <w:pStyle w:val="TableParagraph"/>
              <w:spacing w:before="9"/>
              <w:rPr>
                <w:sz w:val="21"/>
              </w:rPr>
            </w:pPr>
          </w:p>
          <w:p w14:paraId="7E41ADAD" w14:textId="77777777" w:rsidR="0046798B" w:rsidRDefault="00903B5C">
            <w:pPr>
              <w:pStyle w:val="TableParagraph"/>
              <w:ind w:left="114"/>
              <w:rPr>
                <w:sz w:val="20"/>
              </w:rPr>
            </w:pPr>
            <w:r>
              <w:rPr>
                <w:sz w:val="20"/>
              </w:rPr>
              <w:t>1957–2015</w:t>
            </w:r>
          </w:p>
        </w:tc>
        <w:tc>
          <w:tcPr>
            <w:tcW w:w="3421" w:type="dxa"/>
          </w:tcPr>
          <w:p w14:paraId="38B0C96C" w14:textId="77777777" w:rsidR="0046798B" w:rsidRDefault="0046798B">
            <w:pPr>
              <w:pStyle w:val="TableParagraph"/>
            </w:pPr>
          </w:p>
          <w:p w14:paraId="712C0C92" w14:textId="77777777" w:rsidR="0046798B" w:rsidRDefault="00903B5C">
            <w:pPr>
              <w:pStyle w:val="TableParagraph"/>
              <w:spacing w:before="135"/>
              <w:ind w:left="114" w:right="111"/>
              <w:rPr>
                <w:sz w:val="20"/>
              </w:rPr>
            </w:pPr>
            <w:r>
              <w:rPr>
                <w:sz w:val="20"/>
              </w:rPr>
              <w:t>State revenues from severance taxes, as a percentage of personal income</w:t>
            </w:r>
          </w:p>
        </w:tc>
        <w:tc>
          <w:tcPr>
            <w:tcW w:w="6482" w:type="dxa"/>
          </w:tcPr>
          <w:p w14:paraId="41EB4329" w14:textId="77777777" w:rsidR="0046798B" w:rsidRDefault="0046798B">
            <w:pPr>
              <w:pStyle w:val="TableParagraph"/>
              <w:spacing w:before="9"/>
              <w:rPr>
                <w:sz w:val="23"/>
              </w:rPr>
            </w:pPr>
          </w:p>
          <w:p w14:paraId="797C5B20"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E34E350" w14:textId="77777777">
        <w:trPr>
          <w:trHeight w:val="1005"/>
        </w:trPr>
        <w:tc>
          <w:tcPr>
            <w:tcW w:w="1711" w:type="dxa"/>
          </w:tcPr>
          <w:p w14:paraId="2AD171C3" w14:textId="77777777" w:rsidR="0046798B" w:rsidRDefault="0046798B">
            <w:pPr>
              <w:pStyle w:val="TableParagraph"/>
            </w:pPr>
          </w:p>
          <w:p w14:paraId="4006169D" w14:textId="77777777" w:rsidR="0046798B" w:rsidRDefault="00903B5C">
            <w:pPr>
              <w:pStyle w:val="TableParagraph"/>
              <w:spacing w:before="136"/>
              <w:ind w:left="115"/>
              <w:rPr>
                <w:b/>
                <w:sz w:val="20"/>
              </w:rPr>
            </w:pPr>
            <w:r>
              <w:rPr>
                <w:b/>
                <w:sz w:val="20"/>
              </w:rPr>
              <w:t>aincstat3</w:t>
            </w:r>
          </w:p>
        </w:tc>
        <w:tc>
          <w:tcPr>
            <w:tcW w:w="1596" w:type="dxa"/>
          </w:tcPr>
          <w:p w14:paraId="449E5788" w14:textId="77777777" w:rsidR="0046798B" w:rsidRDefault="00903B5C">
            <w:pPr>
              <w:pStyle w:val="TableParagraph"/>
              <w:spacing w:before="43"/>
              <w:ind w:left="114"/>
              <w:rPr>
                <w:sz w:val="20"/>
              </w:rPr>
            </w:pPr>
            <w:r>
              <w:rPr>
                <w:sz w:val="20"/>
              </w:rPr>
              <w:t>Tax concept 3,</w:t>
            </w:r>
          </w:p>
          <w:p w14:paraId="0990D5B9" w14:textId="77777777" w:rsidR="0046798B" w:rsidRDefault="00903B5C">
            <w:pPr>
              <w:pStyle w:val="TableParagraph"/>
              <w:spacing w:before="1"/>
              <w:ind w:left="114" w:right="229"/>
              <w:rPr>
                <w:sz w:val="20"/>
              </w:rPr>
            </w:pPr>
            <w:r>
              <w:rPr>
                <w:sz w:val="20"/>
              </w:rPr>
              <w:t>% of income, state government</w:t>
            </w:r>
          </w:p>
        </w:tc>
        <w:tc>
          <w:tcPr>
            <w:tcW w:w="1285" w:type="dxa"/>
          </w:tcPr>
          <w:p w14:paraId="1463E178" w14:textId="77777777" w:rsidR="0046798B" w:rsidRDefault="0046798B">
            <w:pPr>
              <w:pStyle w:val="TableParagraph"/>
            </w:pPr>
          </w:p>
          <w:p w14:paraId="56CD621A" w14:textId="77777777" w:rsidR="0046798B" w:rsidRDefault="00903B5C">
            <w:pPr>
              <w:pStyle w:val="TableParagraph"/>
              <w:spacing w:before="136"/>
              <w:ind w:left="114"/>
              <w:rPr>
                <w:sz w:val="20"/>
              </w:rPr>
            </w:pPr>
            <w:r>
              <w:rPr>
                <w:sz w:val="20"/>
              </w:rPr>
              <w:t>1957–2015</w:t>
            </w:r>
          </w:p>
        </w:tc>
        <w:tc>
          <w:tcPr>
            <w:tcW w:w="3421" w:type="dxa"/>
          </w:tcPr>
          <w:p w14:paraId="2039716A" w14:textId="77777777" w:rsidR="0046798B" w:rsidRDefault="0046798B">
            <w:pPr>
              <w:pStyle w:val="TableParagraph"/>
              <w:spacing w:before="9"/>
              <w:rPr>
                <w:sz w:val="23"/>
              </w:rPr>
            </w:pPr>
          </w:p>
          <w:p w14:paraId="56C0AD8C" w14:textId="77777777" w:rsidR="0046798B" w:rsidRDefault="00903B5C">
            <w:pPr>
              <w:pStyle w:val="TableParagraph"/>
              <w:ind w:left="114" w:right="555"/>
              <w:rPr>
                <w:sz w:val="20"/>
              </w:rPr>
            </w:pPr>
            <w:r>
              <w:rPr>
                <w:sz w:val="20"/>
              </w:rPr>
              <w:t>Tax concept 3, % of income, state government</w:t>
            </w:r>
          </w:p>
        </w:tc>
        <w:tc>
          <w:tcPr>
            <w:tcW w:w="6482" w:type="dxa"/>
          </w:tcPr>
          <w:p w14:paraId="38CEBCFC"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DD566AB" w14:textId="77777777">
        <w:trPr>
          <w:trHeight w:val="1010"/>
        </w:trPr>
        <w:tc>
          <w:tcPr>
            <w:tcW w:w="1711" w:type="dxa"/>
          </w:tcPr>
          <w:p w14:paraId="7E01771C" w14:textId="77777777" w:rsidR="0046798B" w:rsidRDefault="0046798B">
            <w:pPr>
              <w:pStyle w:val="TableParagraph"/>
            </w:pPr>
          </w:p>
          <w:p w14:paraId="1943618A" w14:textId="77777777" w:rsidR="0046798B" w:rsidRDefault="00903B5C">
            <w:pPr>
              <w:pStyle w:val="TableParagraph"/>
              <w:spacing w:before="135"/>
              <w:ind w:left="115"/>
              <w:rPr>
                <w:b/>
                <w:sz w:val="20"/>
              </w:rPr>
            </w:pPr>
            <w:r>
              <w:rPr>
                <w:b/>
                <w:sz w:val="20"/>
              </w:rPr>
              <w:t>aincstat4</w:t>
            </w:r>
          </w:p>
        </w:tc>
        <w:tc>
          <w:tcPr>
            <w:tcW w:w="1596" w:type="dxa"/>
          </w:tcPr>
          <w:p w14:paraId="4901A20E" w14:textId="77777777" w:rsidR="0046798B" w:rsidRDefault="00903B5C">
            <w:pPr>
              <w:pStyle w:val="TableParagraph"/>
              <w:spacing w:before="43"/>
              <w:ind w:left="114"/>
              <w:rPr>
                <w:sz w:val="20"/>
              </w:rPr>
            </w:pPr>
            <w:r>
              <w:rPr>
                <w:sz w:val="20"/>
              </w:rPr>
              <w:t>Tax concept 3,</w:t>
            </w:r>
          </w:p>
          <w:p w14:paraId="5EB2D265" w14:textId="77777777" w:rsidR="0046798B" w:rsidRDefault="00903B5C">
            <w:pPr>
              <w:pStyle w:val="TableParagraph"/>
              <w:ind w:left="114" w:right="213"/>
              <w:rPr>
                <w:sz w:val="20"/>
              </w:rPr>
            </w:pPr>
            <w:r>
              <w:rPr>
                <w:sz w:val="20"/>
              </w:rPr>
              <w:t>% of income concept 2, state government</w:t>
            </w:r>
          </w:p>
        </w:tc>
        <w:tc>
          <w:tcPr>
            <w:tcW w:w="1285" w:type="dxa"/>
          </w:tcPr>
          <w:p w14:paraId="0D3E4855" w14:textId="77777777" w:rsidR="0046798B" w:rsidRDefault="0046798B">
            <w:pPr>
              <w:pStyle w:val="TableParagraph"/>
            </w:pPr>
          </w:p>
          <w:p w14:paraId="29699DFA" w14:textId="77777777" w:rsidR="0046798B" w:rsidRDefault="00903B5C">
            <w:pPr>
              <w:pStyle w:val="TableParagraph"/>
              <w:spacing w:before="135"/>
              <w:ind w:left="114"/>
              <w:rPr>
                <w:sz w:val="20"/>
              </w:rPr>
            </w:pPr>
            <w:r>
              <w:rPr>
                <w:sz w:val="20"/>
              </w:rPr>
              <w:t>2000–2017</w:t>
            </w:r>
          </w:p>
        </w:tc>
        <w:tc>
          <w:tcPr>
            <w:tcW w:w="3421" w:type="dxa"/>
          </w:tcPr>
          <w:p w14:paraId="53DE4308" w14:textId="77777777" w:rsidR="0046798B" w:rsidRDefault="0046798B">
            <w:pPr>
              <w:pStyle w:val="TableParagraph"/>
              <w:spacing w:before="8"/>
              <w:rPr>
                <w:sz w:val="23"/>
              </w:rPr>
            </w:pPr>
          </w:p>
          <w:p w14:paraId="10BE6120" w14:textId="77777777" w:rsidR="0046798B" w:rsidRDefault="00903B5C">
            <w:pPr>
              <w:pStyle w:val="TableParagraph"/>
              <w:spacing w:before="1"/>
              <w:ind w:left="114" w:right="150"/>
              <w:rPr>
                <w:sz w:val="20"/>
              </w:rPr>
            </w:pPr>
            <w:r>
              <w:rPr>
                <w:sz w:val="20"/>
              </w:rPr>
              <w:t>Tax concept 3, % of income concept 2, state government</w:t>
            </w:r>
          </w:p>
        </w:tc>
        <w:tc>
          <w:tcPr>
            <w:tcW w:w="6482" w:type="dxa"/>
          </w:tcPr>
          <w:p w14:paraId="72A0CC95"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4A695BB" w14:textId="77777777">
        <w:trPr>
          <w:trHeight w:val="1235"/>
        </w:trPr>
        <w:tc>
          <w:tcPr>
            <w:tcW w:w="1711" w:type="dxa"/>
          </w:tcPr>
          <w:p w14:paraId="1ED06F63" w14:textId="77777777" w:rsidR="0046798B" w:rsidRDefault="0046798B">
            <w:pPr>
              <w:pStyle w:val="TableParagraph"/>
            </w:pPr>
          </w:p>
          <w:p w14:paraId="3D4DE475" w14:textId="77777777" w:rsidR="0046798B" w:rsidRDefault="0046798B">
            <w:pPr>
              <w:pStyle w:val="TableParagraph"/>
              <w:spacing w:before="3"/>
              <w:rPr>
                <w:sz w:val="21"/>
              </w:rPr>
            </w:pPr>
          </w:p>
          <w:p w14:paraId="70423EE2" w14:textId="77777777" w:rsidR="0046798B" w:rsidRDefault="00903B5C">
            <w:pPr>
              <w:pStyle w:val="TableParagraph"/>
              <w:spacing w:before="1"/>
              <w:ind w:left="115"/>
              <w:rPr>
                <w:b/>
                <w:sz w:val="20"/>
              </w:rPr>
            </w:pPr>
            <w:r>
              <w:rPr>
                <w:b/>
                <w:sz w:val="20"/>
              </w:rPr>
              <w:t>ainctob</w:t>
            </w:r>
          </w:p>
        </w:tc>
        <w:tc>
          <w:tcPr>
            <w:tcW w:w="1596" w:type="dxa"/>
          </w:tcPr>
          <w:p w14:paraId="387350E6" w14:textId="77777777" w:rsidR="0046798B" w:rsidRDefault="00903B5C">
            <w:pPr>
              <w:pStyle w:val="TableParagraph"/>
              <w:spacing w:before="38"/>
              <w:ind w:left="114" w:right="135"/>
              <w:rPr>
                <w:sz w:val="20"/>
              </w:rPr>
            </w:pPr>
            <w:r>
              <w:rPr>
                <w:sz w:val="20"/>
              </w:rPr>
              <w:t>State and local tobacco tax revenues, as a percentage of personal income</w:t>
            </w:r>
          </w:p>
        </w:tc>
        <w:tc>
          <w:tcPr>
            <w:tcW w:w="1285" w:type="dxa"/>
          </w:tcPr>
          <w:p w14:paraId="3AF35781" w14:textId="77777777" w:rsidR="0046798B" w:rsidRDefault="0046798B">
            <w:pPr>
              <w:pStyle w:val="TableParagraph"/>
            </w:pPr>
          </w:p>
          <w:p w14:paraId="2470C270" w14:textId="77777777" w:rsidR="0046798B" w:rsidRDefault="0046798B">
            <w:pPr>
              <w:pStyle w:val="TableParagraph"/>
              <w:spacing w:before="3"/>
              <w:rPr>
                <w:sz w:val="21"/>
              </w:rPr>
            </w:pPr>
          </w:p>
          <w:p w14:paraId="14DFFC9C" w14:textId="77777777" w:rsidR="0046798B" w:rsidRDefault="00903B5C">
            <w:pPr>
              <w:pStyle w:val="TableParagraph"/>
              <w:spacing w:before="1"/>
              <w:ind w:left="114"/>
              <w:rPr>
                <w:sz w:val="20"/>
              </w:rPr>
            </w:pPr>
            <w:r>
              <w:rPr>
                <w:sz w:val="20"/>
              </w:rPr>
              <w:t>1957–2015</w:t>
            </w:r>
          </w:p>
        </w:tc>
        <w:tc>
          <w:tcPr>
            <w:tcW w:w="3421" w:type="dxa"/>
          </w:tcPr>
          <w:p w14:paraId="6FEAAFCE" w14:textId="77777777" w:rsidR="0046798B" w:rsidRDefault="0046798B">
            <w:pPr>
              <w:pStyle w:val="TableParagraph"/>
            </w:pPr>
          </w:p>
          <w:p w14:paraId="19676873" w14:textId="77777777" w:rsidR="0046798B" w:rsidRDefault="00903B5C">
            <w:pPr>
              <w:pStyle w:val="TableParagraph"/>
              <w:spacing w:before="130"/>
              <w:ind w:left="114" w:right="106"/>
              <w:rPr>
                <w:sz w:val="20"/>
              </w:rPr>
            </w:pPr>
            <w:r>
              <w:rPr>
                <w:sz w:val="20"/>
              </w:rPr>
              <w:t>State and local tobacco tax revenues, as a percentage of personal income</w:t>
            </w:r>
          </w:p>
        </w:tc>
        <w:tc>
          <w:tcPr>
            <w:tcW w:w="6482" w:type="dxa"/>
          </w:tcPr>
          <w:p w14:paraId="2F1ECBEF" w14:textId="77777777" w:rsidR="0046798B" w:rsidRDefault="0046798B">
            <w:pPr>
              <w:pStyle w:val="TableParagraph"/>
              <w:spacing w:before="3"/>
              <w:rPr>
                <w:sz w:val="23"/>
              </w:rPr>
            </w:pPr>
          </w:p>
          <w:p w14:paraId="4B826697" w14:textId="77777777" w:rsidR="0046798B" w:rsidRDefault="00903B5C">
            <w:pPr>
              <w:pStyle w:val="TableParagraph"/>
              <w:spacing w:before="1"/>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E7A11F7" w14:textId="77777777">
        <w:trPr>
          <w:trHeight w:val="1695"/>
        </w:trPr>
        <w:tc>
          <w:tcPr>
            <w:tcW w:w="1711" w:type="dxa"/>
          </w:tcPr>
          <w:p w14:paraId="65CB0FD5" w14:textId="77777777" w:rsidR="0046798B" w:rsidRDefault="0046798B">
            <w:pPr>
              <w:pStyle w:val="TableParagraph"/>
            </w:pPr>
          </w:p>
          <w:p w14:paraId="3A2B439C" w14:textId="77777777" w:rsidR="0046798B" w:rsidRDefault="0046798B">
            <w:pPr>
              <w:pStyle w:val="TableParagraph"/>
            </w:pPr>
          </w:p>
          <w:p w14:paraId="28CD7A5C" w14:textId="77777777" w:rsidR="0046798B" w:rsidRDefault="0046798B">
            <w:pPr>
              <w:pStyle w:val="TableParagraph"/>
              <w:spacing w:before="4"/>
              <w:rPr>
                <w:sz w:val="19"/>
              </w:rPr>
            </w:pPr>
          </w:p>
          <w:p w14:paraId="6DDBE839" w14:textId="77777777" w:rsidR="0046798B" w:rsidRDefault="00903B5C">
            <w:pPr>
              <w:pStyle w:val="TableParagraph"/>
              <w:ind w:left="115"/>
              <w:rPr>
                <w:b/>
                <w:sz w:val="20"/>
              </w:rPr>
            </w:pPr>
            <w:r>
              <w:rPr>
                <w:b/>
                <w:sz w:val="20"/>
              </w:rPr>
              <w:t>ainctot</w:t>
            </w:r>
          </w:p>
        </w:tc>
        <w:tc>
          <w:tcPr>
            <w:tcW w:w="1596" w:type="dxa"/>
          </w:tcPr>
          <w:p w14:paraId="2868B384" w14:textId="77777777" w:rsidR="0046798B" w:rsidRDefault="00903B5C">
            <w:pPr>
              <w:pStyle w:val="TableParagraph"/>
              <w:spacing w:before="38"/>
              <w:ind w:left="114" w:right="174"/>
              <w:rPr>
                <w:sz w:val="20"/>
              </w:rPr>
            </w:pPr>
            <w:r>
              <w:rPr>
                <w:sz w:val="20"/>
              </w:rPr>
              <w:t>State and local revenues from all taxes but not current charges, as a percentage of personal income</w:t>
            </w:r>
          </w:p>
        </w:tc>
        <w:tc>
          <w:tcPr>
            <w:tcW w:w="1285" w:type="dxa"/>
          </w:tcPr>
          <w:p w14:paraId="53BB9C81" w14:textId="77777777" w:rsidR="0046798B" w:rsidRDefault="0046798B">
            <w:pPr>
              <w:pStyle w:val="TableParagraph"/>
            </w:pPr>
          </w:p>
          <w:p w14:paraId="5F6FDAA0" w14:textId="77777777" w:rsidR="0046798B" w:rsidRDefault="0046798B">
            <w:pPr>
              <w:pStyle w:val="TableParagraph"/>
            </w:pPr>
          </w:p>
          <w:p w14:paraId="61231D31" w14:textId="77777777" w:rsidR="0046798B" w:rsidRDefault="0046798B">
            <w:pPr>
              <w:pStyle w:val="TableParagraph"/>
              <w:spacing w:before="4"/>
              <w:rPr>
                <w:sz w:val="19"/>
              </w:rPr>
            </w:pPr>
          </w:p>
          <w:p w14:paraId="1B23BE50" w14:textId="77777777" w:rsidR="0046798B" w:rsidRDefault="00903B5C">
            <w:pPr>
              <w:pStyle w:val="TableParagraph"/>
              <w:ind w:left="114"/>
              <w:rPr>
                <w:sz w:val="20"/>
              </w:rPr>
            </w:pPr>
            <w:r>
              <w:rPr>
                <w:sz w:val="20"/>
              </w:rPr>
              <w:t>1957–2015</w:t>
            </w:r>
          </w:p>
        </w:tc>
        <w:tc>
          <w:tcPr>
            <w:tcW w:w="3421" w:type="dxa"/>
          </w:tcPr>
          <w:p w14:paraId="4548D0EA" w14:textId="77777777" w:rsidR="0046798B" w:rsidRDefault="0046798B">
            <w:pPr>
              <w:pStyle w:val="TableParagraph"/>
            </w:pPr>
          </w:p>
          <w:p w14:paraId="15837049" w14:textId="77777777" w:rsidR="0046798B" w:rsidRDefault="0046798B">
            <w:pPr>
              <w:pStyle w:val="TableParagraph"/>
              <w:spacing w:before="3"/>
              <w:rPr>
                <w:sz w:val="21"/>
              </w:rPr>
            </w:pPr>
          </w:p>
          <w:p w14:paraId="6E775ABC" w14:textId="77777777" w:rsidR="0046798B" w:rsidRDefault="00903B5C">
            <w:pPr>
              <w:pStyle w:val="TableParagraph"/>
              <w:spacing w:before="1"/>
              <w:ind w:left="114" w:right="117"/>
              <w:rPr>
                <w:sz w:val="20"/>
              </w:rPr>
            </w:pPr>
            <w:r>
              <w:rPr>
                <w:sz w:val="20"/>
              </w:rPr>
              <w:t>State and local revenues from all taxes but not current charges, as a percentage of personal income</w:t>
            </w:r>
          </w:p>
        </w:tc>
        <w:tc>
          <w:tcPr>
            <w:tcW w:w="6482" w:type="dxa"/>
          </w:tcPr>
          <w:p w14:paraId="73E0E3AB" w14:textId="77777777" w:rsidR="0046798B" w:rsidRDefault="0046798B">
            <w:pPr>
              <w:pStyle w:val="TableParagraph"/>
            </w:pPr>
          </w:p>
          <w:p w14:paraId="158AFD40" w14:textId="77777777" w:rsidR="0046798B" w:rsidRDefault="0046798B">
            <w:pPr>
              <w:pStyle w:val="TableParagraph"/>
              <w:spacing w:before="3"/>
              <w:rPr>
                <w:sz w:val="21"/>
              </w:rPr>
            </w:pPr>
          </w:p>
          <w:p w14:paraId="102249E8"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5F6671B" w14:textId="77777777">
        <w:trPr>
          <w:trHeight w:val="775"/>
        </w:trPr>
        <w:tc>
          <w:tcPr>
            <w:tcW w:w="1711" w:type="dxa"/>
          </w:tcPr>
          <w:p w14:paraId="7C0FEB8C" w14:textId="77777777" w:rsidR="0046798B" w:rsidRDefault="0046798B">
            <w:pPr>
              <w:pStyle w:val="TableParagraph"/>
              <w:spacing w:before="4"/>
              <w:rPr>
                <w:sz w:val="23"/>
              </w:rPr>
            </w:pPr>
          </w:p>
          <w:p w14:paraId="09CC4A41" w14:textId="77777777" w:rsidR="0046798B" w:rsidRDefault="00903B5C">
            <w:pPr>
              <w:pStyle w:val="TableParagraph"/>
              <w:ind w:left="115"/>
              <w:rPr>
                <w:b/>
                <w:sz w:val="20"/>
              </w:rPr>
            </w:pPr>
            <w:r>
              <w:rPr>
                <w:b/>
                <w:sz w:val="20"/>
              </w:rPr>
              <w:t>ainctot2</w:t>
            </w:r>
          </w:p>
        </w:tc>
        <w:tc>
          <w:tcPr>
            <w:tcW w:w="1596" w:type="dxa"/>
          </w:tcPr>
          <w:p w14:paraId="7D4964C5" w14:textId="77777777" w:rsidR="0046798B" w:rsidRDefault="00903B5C">
            <w:pPr>
              <w:pStyle w:val="TableParagraph"/>
              <w:spacing w:before="154"/>
              <w:ind w:left="114"/>
              <w:rPr>
                <w:sz w:val="20"/>
              </w:rPr>
            </w:pPr>
            <w:r>
              <w:rPr>
                <w:sz w:val="20"/>
              </w:rPr>
              <w:t>Tax concept 2,</w:t>
            </w:r>
          </w:p>
          <w:p w14:paraId="03ABCC83" w14:textId="77777777" w:rsidR="0046798B" w:rsidRDefault="00903B5C">
            <w:pPr>
              <w:pStyle w:val="TableParagraph"/>
              <w:ind w:left="114"/>
              <w:rPr>
                <w:sz w:val="20"/>
              </w:rPr>
            </w:pPr>
            <w:r>
              <w:rPr>
                <w:sz w:val="20"/>
              </w:rPr>
              <w:t>% of income</w:t>
            </w:r>
          </w:p>
        </w:tc>
        <w:tc>
          <w:tcPr>
            <w:tcW w:w="1285" w:type="dxa"/>
          </w:tcPr>
          <w:p w14:paraId="70D16347" w14:textId="77777777" w:rsidR="0046798B" w:rsidRDefault="0046798B">
            <w:pPr>
              <w:pStyle w:val="TableParagraph"/>
              <w:spacing w:before="4"/>
              <w:rPr>
                <w:sz w:val="23"/>
              </w:rPr>
            </w:pPr>
          </w:p>
          <w:p w14:paraId="2BDA82A5" w14:textId="77777777" w:rsidR="0046798B" w:rsidRDefault="00903B5C">
            <w:pPr>
              <w:pStyle w:val="TableParagraph"/>
              <w:ind w:left="114"/>
              <w:rPr>
                <w:sz w:val="20"/>
              </w:rPr>
            </w:pPr>
            <w:r>
              <w:rPr>
                <w:sz w:val="20"/>
              </w:rPr>
              <w:t>1957–2015</w:t>
            </w:r>
          </w:p>
        </w:tc>
        <w:tc>
          <w:tcPr>
            <w:tcW w:w="3421" w:type="dxa"/>
          </w:tcPr>
          <w:p w14:paraId="78D2C47C" w14:textId="77777777" w:rsidR="0046798B" w:rsidRDefault="0046798B">
            <w:pPr>
              <w:pStyle w:val="TableParagraph"/>
              <w:spacing w:before="4"/>
              <w:rPr>
                <w:sz w:val="23"/>
              </w:rPr>
            </w:pPr>
          </w:p>
          <w:p w14:paraId="48C8D35D" w14:textId="77777777" w:rsidR="0046798B" w:rsidRDefault="00903B5C">
            <w:pPr>
              <w:pStyle w:val="TableParagraph"/>
              <w:ind w:left="114"/>
              <w:rPr>
                <w:sz w:val="20"/>
              </w:rPr>
            </w:pPr>
            <w:r>
              <w:rPr>
                <w:sz w:val="20"/>
              </w:rPr>
              <w:t>Tax concept 2, % of income</w:t>
            </w:r>
          </w:p>
        </w:tc>
        <w:tc>
          <w:tcPr>
            <w:tcW w:w="6482" w:type="dxa"/>
          </w:tcPr>
          <w:p w14:paraId="5B617C9D" w14:textId="77777777" w:rsidR="0046798B" w:rsidRDefault="00903B5C">
            <w:pPr>
              <w:pStyle w:val="TableParagraph"/>
              <w:spacing w:before="3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A0A2A6D" w14:textId="77777777">
        <w:trPr>
          <w:trHeight w:val="775"/>
        </w:trPr>
        <w:tc>
          <w:tcPr>
            <w:tcW w:w="1711" w:type="dxa"/>
          </w:tcPr>
          <w:p w14:paraId="18DE4902" w14:textId="77777777" w:rsidR="0046798B" w:rsidRDefault="0046798B">
            <w:pPr>
              <w:pStyle w:val="TableParagraph"/>
              <w:spacing w:before="8"/>
              <w:rPr>
                <w:sz w:val="23"/>
              </w:rPr>
            </w:pPr>
          </w:p>
          <w:p w14:paraId="22A38F2B" w14:textId="77777777" w:rsidR="0046798B" w:rsidRDefault="00903B5C">
            <w:pPr>
              <w:pStyle w:val="TableParagraph"/>
              <w:spacing w:before="1"/>
              <w:ind w:left="115"/>
              <w:rPr>
                <w:b/>
                <w:sz w:val="20"/>
              </w:rPr>
            </w:pPr>
            <w:r>
              <w:rPr>
                <w:b/>
                <w:sz w:val="20"/>
              </w:rPr>
              <w:t>ainctot3</w:t>
            </w:r>
          </w:p>
        </w:tc>
        <w:tc>
          <w:tcPr>
            <w:tcW w:w="1596" w:type="dxa"/>
          </w:tcPr>
          <w:p w14:paraId="77B83C5C" w14:textId="77777777" w:rsidR="0046798B" w:rsidRDefault="00903B5C">
            <w:pPr>
              <w:pStyle w:val="TableParagraph"/>
              <w:spacing w:before="158"/>
              <w:ind w:left="114"/>
              <w:rPr>
                <w:sz w:val="20"/>
              </w:rPr>
            </w:pPr>
            <w:r>
              <w:rPr>
                <w:sz w:val="20"/>
              </w:rPr>
              <w:t>Tax concept 3,</w:t>
            </w:r>
          </w:p>
          <w:p w14:paraId="71F08A28" w14:textId="77777777" w:rsidR="0046798B" w:rsidRDefault="00903B5C">
            <w:pPr>
              <w:pStyle w:val="TableParagraph"/>
              <w:ind w:left="114"/>
              <w:rPr>
                <w:sz w:val="20"/>
              </w:rPr>
            </w:pPr>
            <w:r>
              <w:rPr>
                <w:sz w:val="20"/>
              </w:rPr>
              <w:t>% of income</w:t>
            </w:r>
          </w:p>
        </w:tc>
        <w:tc>
          <w:tcPr>
            <w:tcW w:w="1285" w:type="dxa"/>
          </w:tcPr>
          <w:p w14:paraId="33F120BC" w14:textId="77777777" w:rsidR="0046798B" w:rsidRDefault="0046798B">
            <w:pPr>
              <w:pStyle w:val="TableParagraph"/>
              <w:spacing w:before="8"/>
              <w:rPr>
                <w:sz w:val="23"/>
              </w:rPr>
            </w:pPr>
          </w:p>
          <w:p w14:paraId="44819E0B" w14:textId="77777777" w:rsidR="0046798B" w:rsidRDefault="00903B5C">
            <w:pPr>
              <w:pStyle w:val="TableParagraph"/>
              <w:spacing w:before="1"/>
              <w:ind w:left="114"/>
              <w:rPr>
                <w:sz w:val="20"/>
              </w:rPr>
            </w:pPr>
            <w:r>
              <w:rPr>
                <w:sz w:val="20"/>
              </w:rPr>
              <w:t>1957–2015</w:t>
            </w:r>
          </w:p>
        </w:tc>
        <w:tc>
          <w:tcPr>
            <w:tcW w:w="3421" w:type="dxa"/>
          </w:tcPr>
          <w:p w14:paraId="3B98EC5B" w14:textId="77777777" w:rsidR="0046798B" w:rsidRDefault="0046798B">
            <w:pPr>
              <w:pStyle w:val="TableParagraph"/>
              <w:spacing w:before="8"/>
              <w:rPr>
                <w:sz w:val="23"/>
              </w:rPr>
            </w:pPr>
          </w:p>
          <w:p w14:paraId="74B02929" w14:textId="77777777" w:rsidR="0046798B" w:rsidRDefault="00903B5C">
            <w:pPr>
              <w:pStyle w:val="TableParagraph"/>
              <w:spacing w:before="1"/>
              <w:ind w:left="114"/>
              <w:rPr>
                <w:sz w:val="20"/>
              </w:rPr>
            </w:pPr>
            <w:r>
              <w:rPr>
                <w:sz w:val="20"/>
              </w:rPr>
              <w:t>Tax concept 3, % of income</w:t>
            </w:r>
          </w:p>
        </w:tc>
        <w:tc>
          <w:tcPr>
            <w:tcW w:w="6482" w:type="dxa"/>
          </w:tcPr>
          <w:p w14:paraId="2527FC63"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7C7F5D0" w14:textId="77777777">
        <w:trPr>
          <w:trHeight w:val="775"/>
        </w:trPr>
        <w:tc>
          <w:tcPr>
            <w:tcW w:w="1711" w:type="dxa"/>
          </w:tcPr>
          <w:p w14:paraId="430A3D83" w14:textId="77777777" w:rsidR="0046798B" w:rsidRDefault="0046798B">
            <w:pPr>
              <w:pStyle w:val="TableParagraph"/>
              <w:spacing w:before="8"/>
              <w:rPr>
                <w:sz w:val="23"/>
              </w:rPr>
            </w:pPr>
          </w:p>
          <w:p w14:paraId="7AE6A0FB" w14:textId="77777777" w:rsidR="0046798B" w:rsidRDefault="00903B5C">
            <w:pPr>
              <w:pStyle w:val="TableParagraph"/>
              <w:spacing w:before="1"/>
              <w:ind w:left="115"/>
              <w:rPr>
                <w:b/>
                <w:sz w:val="20"/>
              </w:rPr>
            </w:pPr>
            <w:r>
              <w:rPr>
                <w:b/>
                <w:sz w:val="20"/>
              </w:rPr>
              <w:t>ainctot4</w:t>
            </w:r>
          </w:p>
        </w:tc>
        <w:tc>
          <w:tcPr>
            <w:tcW w:w="1596" w:type="dxa"/>
          </w:tcPr>
          <w:p w14:paraId="7CBAA794" w14:textId="77777777" w:rsidR="0046798B" w:rsidRDefault="00903B5C">
            <w:pPr>
              <w:pStyle w:val="TableParagraph"/>
              <w:spacing w:before="43"/>
              <w:ind w:left="114"/>
              <w:rPr>
                <w:sz w:val="20"/>
              </w:rPr>
            </w:pPr>
            <w:r>
              <w:rPr>
                <w:sz w:val="20"/>
              </w:rPr>
              <w:t>Tax concept 3,</w:t>
            </w:r>
          </w:p>
          <w:p w14:paraId="1FBBD646" w14:textId="77777777" w:rsidR="0046798B" w:rsidRDefault="00903B5C">
            <w:pPr>
              <w:pStyle w:val="TableParagraph"/>
              <w:ind w:left="114" w:right="229"/>
              <w:rPr>
                <w:sz w:val="20"/>
              </w:rPr>
            </w:pPr>
            <w:r>
              <w:rPr>
                <w:sz w:val="20"/>
              </w:rPr>
              <w:t>% of income concept 2</w:t>
            </w:r>
          </w:p>
        </w:tc>
        <w:tc>
          <w:tcPr>
            <w:tcW w:w="1285" w:type="dxa"/>
          </w:tcPr>
          <w:p w14:paraId="0417F880" w14:textId="77777777" w:rsidR="0046798B" w:rsidRDefault="0046798B">
            <w:pPr>
              <w:pStyle w:val="TableParagraph"/>
              <w:spacing w:before="8"/>
              <w:rPr>
                <w:sz w:val="23"/>
              </w:rPr>
            </w:pPr>
          </w:p>
          <w:p w14:paraId="26A4FB67" w14:textId="77777777" w:rsidR="0046798B" w:rsidRDefault="00903B5C">
            <w:pPr>
              <w:pStyle w:val="TableParagraph"/>
              <w:spacing w:before="1"/>
              <w:ind w:left="114"/>
              <w:rPr>
                <w:sz w:val="20"/>
              </w:rPr>
            </w:pPr>
            <w:r>
              <w:rPr>
                <w:sz w:val="20"/>
              </w:rPr>
              <w:t>2000–2015</w:t>
            </w:r>
          </w:p>
        </w:tc>
        <w:tc>
          <w:tcPr>
            <w:tcW w:w="3421" w:type="dxa"/>
          </w:tcPr>
          <w:p w14:paraId="224D5B09" w14:textId="77777777" w:rsidR="0046798B" w:rsidRDefault="0046798B">
            <w:pPr>
              <w:pStyle w:val="TableParagraph"/>
              <w:spacing w:before="8"/>
              <w:rPr>
                <w:sz w:val="23"/>
              </w:rPr>
            </w:pPr>
          </w:p>
          <w:p w14:paraId="0CAA4017" w14:textId="77777777" w:rsidR="0046798B" w:rsidRDefault="00903B5C">
            <w:pPr>
              <w:pStyle w:val="TableParagraph"/>
              <w:spacing w:before="1"/>
              <w:ind w:left="114"/>
              <w:rPr>
                <w:sz w:val="20"/>
              </w:rPr>
            </w:pPr>
            <w:r>
              <w:rPr>
                <w:sz w:val="20"/>
              </w:rPr>
              <w:t>Tax concept 3, % of income concept 2</w:t>
            </w:r>
          </w:p>
        </w:tc>
        <w:tc>
          <w:tcPr>
            <w:tcW w:w="6482" w:type="dxa"/>
          </w:tcPr>
          <w:p w14:paraId="7A696155"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0D2DF0D3" w14:textId="77777777" w:rsidR="0046798B" w:rsidRDefault="0046798B">
      <w:pPr>
        <w:rPr>
          <w:sz w:val="20"/>
        </w:rPr>
        <w:sectPr w:rsidR="0046798B">
          <w:pgSz w:w="15840" w:h="12240" w:orient="landscape"/>
          <w:pgMar w:top="1220" w:right="300" w:bottom="980" w:left="820" w:header="730" w:footer="787" w:gutter="0"/>
          <w:cols w:space="720"/>
        </w:sectPr>
      </w:pPr>
    </w:p>
    <w:p w14:paraId="367C9456"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5E4C8E96" w14:textId="77777777">
        <w:trPr>
          <w:trHeight w:val="1235"/>
        </w:trPr>
        <w:tc>
          <w:tcPr>
            <w:tcW w:w="1711" w:type="dxa"/>
          </w:tcPr>
          <w:p w14:paraId="64537E3B" w14:textId="77777777" w:rsidR="0046798B" w:rsidRDefault="0046798B">
            <w:pPr>
              <w:pStyle w:val="TableParagraph"/>
            </w:pPr>
          </w:p>
          <w:p w14:paraId="721E9936" w14:textId="77777777" w:rsidR="0046798B" w:rsidRDefault="0046798B">
            <w:pPr>
              <w:pStyle w:val="TableParagraph"/>
              <w:spacing w:before="9"/>
              <w:rPr>
                <w:sz w:val="21"/>
              </w:rPr>
            </w:pPr>
          </w:p>
          <w:p w14:paraId="1AE8AF85" w14:textId="77777777" w:rsidR="0046798B" w:rsidRDefault="00903B5C">
            <w:pPr>
              <w:pStyle w:val="TableParagraph"/>
              <w:ind w:left="115"/>
              <w:rPr>
                <w:b/>
                <w:sz w:val="20"/>
              </w:rPr>
            </w:pPr>
            <w:r>
              <w:rPr>
                <w:b/>
                <w:sz w:val="20"/>
              </w:rPr>
              <w:t>aincutil</w:t>
            </w:r>
          </w:p>
        </w:tc>
        <w:tc>
          <w:tcPr>
            <w:tcW w:w="1596" w:type="dxa"/>
          </w:tcPr>
          <w:p w14:paraId="6BA24161" w14:textId="77777777" w:rsidR="0046798B" w:rsidRDefault="00903B5C">
            <w:pPr>
              <w:pStyle w:val="TableParagraph"/>
              <w:spacing w:before="43"/>
              <w:ind w:left="114" w:right="135"/>
              <w:rPr>
                <w:sz w:val="20"/>
              </w:rPr>
            </w:pPr>
            <w:r>
              <w:rPr>
                <w:sz w:val="20"/>
              </w:rPr>
              <w:t>State and local utility tax revenues, as a percentage of personal income</w:t>
            </w:r>
          </w:p>
        </w:tc>
        <w:tc>
          <w:tcPr>
            <w:tcW w:w="1285" w:type="dxa"/>
          </w:tcPr>
          <w:p w14:paraId="4AB30BB1" w14:textId="77777777" w:rsidR="0046798B" w:rsidRDefault="0046798B">
            <w:pPr>
              <w:pStyle w:val="TableParagraph"/>
            </w:pPr>
          </w:p>
          <w:p w14:paraId="51D45D0B" w14:textId="77777777" w:rsidR="0046798B" w:rsidRDefault="0046798B">
            <w:pPr>
              <w:pStyle w:val="TableParagraph"/>
              <w:spacing w:before="9"/>
              <w:rPr>
                <w:sz w:val="21"/>
              </w:rPr>
            </w:pPr>
          </w:p>
          <w:p w14:paraId="5B023D5F" w14:textId="77777777" w:rsidR="0046798B" w:rsidRDefault="00903B5C">
            <w:pPr>
              <w:pStyle w:val="TableParagraph"/>
              <w:ind w:left="114"/>
              <w:rPr>
                <w:sz w:val="20"/>
              </w:rPr>
            </w:pPr>
            <w:r>
              <w:rPr>
                <w:sz w:val="20"/>
              </w:rPr>
              <w:t>1957–2015</w:t>
            </w:r>
          </w:p>
        </w:tc>
        <w:tc>
          <w:tcPr>
            <w:tcW w:w="3421" w:type="dxa"/>
          </w:tcPr>
          <w:p w14:paraId="7FF93F33" w14:textId="77777777" w:rsidR="0046798B" w:rsidRDefault="0046798B">
            <w:pPr>
              <w:pStyle w:val="TableParagraph"/>
            </w:pPr>
          </w:p>
          <w:p w14:paraId="17FA71A1" w14:textId="77777777" w:rsidR="0046798B" w:rsidRDefault="00903B5C">
            <w:pPr>
              <w:pStyle w:val="TableParagraph"/>
              <w:spacing w:before="135"/>
              <w:ind w:left="114" w:right="111"/>
              <w:rPr>
                <w:sz w:val="20"/>
              </w:rPr>
            </w:pPr>
            <w:r>
              <w:rPr>
                <w:sz w:val="20"/>
              </w:rPr>
              <w:t>State and local utility tax revenues, as a percentage of personal income</w:t>
            </w:r>
          </w:p>
        </w:tc>
        <w:tc>
          <w:tcPr>
            <w:tcW w:w="6482" w:type="dxa"/>
          </w:tcPr>
          <w:p w14:paraId="7DE5E8C1" w14:textId="77777777" w:rsidR="0046798B" w:rsidRDefault="0046798B">
            <w:pPr>
              <w:pStyle w:val="TableParagraph"/>
              <w:spacing w:before="9"/>
              <w:rPr>
                <w:sz w:val="23"/>
              </w:rPr>
            </w:pPr>
          </w:p>
          <w:p w14:paraId="781F27F3"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0C4A64E" w14:textId="77777777">
        <w:trPr>
          <w:trHeight w:val="775"/>
        </w:trPr>
        <w:tc>
          <w:tcPr>
            <w:tcW w:w="1711" w:type="dxa"/>
          </w:tcPr>
          <w:p w14:paraId="3A06ED54" w14:textId="77777777" w:rsidR="0046798B" w:rsidRDefault="0046798B">
            <w:pPr>
              <w:pStyle w:val="TableParagraph"/>
              <w:spacing w:before="9"/>
              <w:rPr>
                <w:sz w:val="23"/>
              </w:rPr>
            </w:pPr>
          </w:p>
          <w:p w14:paraId="36CB8B61" w14:textId="77777777" w:rsidR="0046798B" w:rsidRDefault="00903B5C">
            <w:pPr>
              <w:pStyle w:val="TableParagraph"/>
              <w:ind w:left="115"/>
              <w:rPr>
                <w:b/>
                <w:sz w:val="20"/>
              </w:rPr>
            </w:pPr>
            <w:r>
              <w:rPr>
                <w:b/>
                <w:sz w:val="20"/>
              </w:rPr>
              <w:t>aintpi</w:t>
            </w:r>
          </w:p>
        </w:tc>
        <w:tc>
          <w:tcPr>
            <w:tcW w:w="1596" w:type="dxa"/>
          </w:tcPr>
          <w:p w14:paraId="39AED63D" w14:textId="77777777" w:rsidR="0046798B" w:rsidRDefault="00903B5C">
            <w:pPr>
              <w:pStyle w:val="TableParagraph"/>
              <w:spacing w:before="43"/>
              <w:ind w:left="114" w:right="224"/>
              <w:jc w:val="both"/>
              <w:rPr>
                <w:sz w:val="20"/>
              </w:rPr>
            </w:pPr>
            <w:r>
              <w:rPr>
                <w:sz w:val="20"/>
              </w:rPr>
              <w:t>Interest on debt spending, % of income</w:t>
            </w:r>
          </w:p>
        </w:tc>
        <w:tc>
          <w:tcPr>
            <w:tcW w:w="1285" w:type="dxa"/>
          </w:tcPr>
          <w:p w14:paraId="035DBF60" w14:textId="77777777" w:rsidR="0046798B" w:rsidRDefault="0046798B">
            <w:pPr>
              <w:pStyle w:val="TableParagraph"/>
              <w:spacing w:before="9"/>
              <w:rPr>
                <w:sz w:val="23"/>
              </w:rPr>
            </w:pPr>
          </w:p>
          <w:p w14:paraId="3E8377DA" w14:textId="77777777" w:rsidR="0046798B" w:rsidRDefault="00903B5C">
            <w:pPr>
              <w:pStyle w:val="TableParagraph"/>
              <w:ind w:left="114"/>
              <w:rPr>
                <w:sz w:val="20"/>
              </w:rPr>
            </w:pPr>
            <w:r>
              <w:rPr>
                <w:sz w:val="20"/>
              </w:rPr>
              <w:t>1957–2015</w:t>
            </w:r>
          </w:p>
        </w:tc>
        <w:tc>
          <w:tcPr>
            <w:tcW w:w="3421" w:type="dxa"/>
          </w:tcPr>
          <w:p w14:paraId="5499C5F4" w14:textId="77777777" w:rsidR="0046798B" w:rsidRDefault="00903B5C">
            <w:pPr>
              <w:pStyle w:val="TableParagraph"/>
              <w:spacing w:before="158"/>
              <w:ind w:left="114" w:right="138"/>
              <w:rPr>
                <w:sz w:val="20"/>
              </w:rPr>
            </w:pPr>
            <w:r>
              <w:rPr>
                <w:sz w:val="20"/>
              </w:rPr>
              <w:t>Interest on debt spending, % of income (aintspt / apersinc)</w:t>
            </w:r>
          </w:p>
        </w:tc>
        <w:tc>
          <w:tcPr>
            <w:tcW w:w="6482" w:type="dxa"/>
          </w:tcPr>
          <w:p w14:paraId="2A4C00BA"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627C2AC" w14:textId="77777777">
        <w:trPr>
          <w:trHeight w:val="1930"/>
        </w:trPr>
        <w:tc>
          <w:tcPr>
            <w:tcW w:w="1711" w:type="dxa"/>
          </w:tcPr>
          <w:p w14:paraId="532CC3CB" w14:textId="77777777" w:rsidR="0046798B" w:rsidRDefault="0046798B">
            <w:pPr>
              <w:pStyle w:val="TableParagraph"/>
            </w:pPr>
          </w:p>
          <w:p w14:paraId="77602B31" w14:textId="77777777" w:rsidR="0046798B" w:rsidRDefault="0046798B">
            <w:pPr>
              <w:pStyle w:val="TableParagraph"/>
            </w:pPr>
          </w:p>
          <w:p w14:paraId="3F65FEF2" w14:textId="77777777" w:rsidR="0046798B" w:rsidRDefault="0046798B">
            <w:pPr>
              <w:pStyle w:val="TableParagraph"/>
              <w:spacing w:before="9"/>
              <w:rPr>
                <w:sz w:val="29"/>
              </w:rPr>
            </w:pPr>
          </w:p>
          <w:p w14:paraId="46F26567" w14:textId="77777777" w:rsidR="0046798B" w:rsidRDefault="00903B5C">
            <w:pPr>
              <w:pStyle w:val="TableParagraph"/>
              <w:ind w:left="115"/>
              <w:rPr>
                <w:b/>
                <w:sz w:val="20"/>
              </w:rPr>
            </w:pPr>
            <w:r>
              <w:rPr>
                <w:b/>
                <w:sz w:val="20"/>
              </w:rPr>
              <w:t>aintspt</w:t>
            </w:r>
          </w:p>
        </w:tc>
        <w:tc>
          <w:tcPr>
            <w:tcW w:w="1596" w:type="dxa"/>
          </w:tcPr>
          <w:p w14:paraId="5C28F1F0" w14:textId="77777777" w:rsidR="0046798B" w:rsidRDefault="00903B5C">
            <w:pPr>
              <w:pStyle w:val="TableParagraph"/>
              <w:spacing w:before="43"/>
              <w:ind w:left="114" w:right="274"/>
              <w:rPr>
                <w:sz w:val="20"/>
              </w:rPr>
            </w:pPr>
            <w:r>
              <w:rPr>
                <w:sz w:val="20"/>
              </w:rPr>
              <w:t>State and local government interest on general debt, excluding utilities, in millions of dollars</w:t>
            </w:r>
          </w:p>
        </w:tc>
        <w:tc>
          <w:tcPr>
            <w:tcW w:w="1285" w:type="dxa"/>
          </w:tcPr>
          <w:p w14:paraId="29D67601" w14:textId="77777777" w:rsidR="0046798B" w:rsidRDefault="0046798B">
            <w:pPr>
              <w:pStyle w:val="TableParagraph"/>
            </w:pPr>
          </w:p>
          <w:p w14:paraId="2379DAD5" w14:textId="77777777" w:rsidR="0046798B" w:rsidRDefault="0046798B">
            <w:pPr>
              <w:pStyle w:val="TableParagraph"/>
            </w:pPr>
          </w:p>
          <w:p w14:paraId="14CCE863" w14:textId="77777777" w:rsidR="0046798B" w:rsidRDefault="0046798B">
            <w:pPr>
              <w:pStyle w:val="TableParagraph"/>
              <w:spacing w:before="9"/>
              <w:rPr>
                <w:sz w:val="29"/>
              </w:rPr>
            </w:pPr>
          </w:p>
          <w:p w14:paraId="13FBCAA0" w14:textId="77777777" w:rsidR="0046798B" w:rsidRDefault="00903B5C">
            <w:pPr>
              <w:pStyle w:val="TableParagraph"/>
              <w:ind w:left="114"/>
              <w:rPr>
                <w:sz w:val="20"/>
              </w:rPr>
            </w:pPr>
            <w:r>
              <w:rPr>
                <w:sz w:val="20"/>
              </w:rPr>
              <w:t>1957–2015</w:t>
            </w:r>
          </w:p>
        </w:tc>
        <w:tc>
          <w:tcPr>
            <w:tcW w:w="3421" w:type="dxa"/>
          </w:tcPr>
          <w:p w14:paraId="3D99197E" w14:textId="77777777" w:rsidR="0046798B" w:rsidRDefault="0046798B">
            <w:pPr>
              <w:pStyle w:val="TableParagraph"/>
            </w:pPr>
          </w:p>
          <w:p w14:paraId="3573C78C" w14:textId="77777777" w:rsidR="0046798B" w:rsidRDefault="0046798B">
            <w:pPr>
              <w:pStyle w:val="TableParagraph"/>
              <w:spacing w:before="9"/>
              <w:rPr>
                <w:sz w:val="31"/>
              </w:rPr>
            </w:pPr>
          </w:p>
          <w:p w14:paraId="35BB185B" w14:textId="77777777" w:rsidR="0046798B" w:rsidRDefault="00903B5C">
            <w:pPr>
              <w:pStyle w:val="TableParagraph"/>
              <w:ind w:left="114" w:right="205"/>
              <w:rPr>
                <w:sz w:val="20"/>
              </w:rPr>
            </w:pPr>
            <w:r>
              <w:rPr>
                <w:sz w:val="20"/>
              </w:rPr>
              <w:t>State and local government interest on general debt, excluding utilities, in millions of dollars</w:t>
            </w:r>
          </w:p>
        </w:tc>
        <w:tc>
          <w:tcPr>
            <w:tcW w:w="6482" w:type="dxa"/>
          </w:tcPr>
          <w:p w14:paraId="65A2345F" w14:textId="77777777" w:rsidR="0046798B" w:rsidRDefault="0046798B">
            <w:pPr>
              <w:pStyle w:val="TableParagraph"/>
            </w:pPr>
          </w:p>
          <w:p w14:paraId="1AC00E22" w14:textId="77777777" w:rsidR="0046798B" w:rsidRDefault="0046798B">
            <w:pPr>
              <w:pStyle w:val="TableParagraph"/>
              <w:spacing w:before="9"/>
              <w:rPr>
                <w:sz w:val="31"/>
              </w:rPr>
            </w:pPr>
          </w:p>
          <w:p w14:paraId="54EAFE39"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0B9ADE4" w14:textId="77777777">
        <w:trPr>
          <w:trHeight w:val="2616"/>
        </w:trPr>
        <w:tc>
          <w:tcPr>
            <w:tcW w:w="1711" w:type="dxa"/>
          </w:tcPr>
          <w:p w14:paraId="4E6424E3" w14:textId="77777777" w:rsidR="0046798B" w:rsidRDefault="0046798B">
            <w:pPr>
              <w:pStyle w:val="TableParagraph"/>
            </w:pPr>
          </w:p>
          <w:p w14:paraId="72E80196" w14:textId="77777777" w:rsidR="0046798B" w:rsidRDefault="0046798B">
            <w:pPr>
              <w:pStyle w:val="TableParagraph"/>
            </w:pPr>
          </w:p>
          <w:p w14:paraId="4991D1A0" w14:textId="77777777" w:rsidR="0046798B" w:rsidRDefault="0046798B">
            <w:pPr>
              <w:pStyle w:val="TableParagraph"/>
            </w:pPr>
          </w:p>
          <w:p w14:paraId="7A23C3F5" w14:textId="77777777" w:rsidR="0046798B" w:rsidRDefault="0046798B">
            <w:pPr>
              <w:pStyle w:val="TableParagraph"/>
            </w:pPr>
          </w:p>
          <w:p w14:paraId="4921903B" w14:textId="77777777" w:rsidR="0046798B" w:rsidRDefault="00903B5C">
            <w:pPr>
              <w:pStyle w:val="TableParagraph"/>
              <w:spacing w:before="177"/>
              <w:ind w:left="115"/>
              <w:rPr>
                <w:b/>
                <w:sz w:val="20"/>
              </w:rPr>
            </w:pPr>
            <w:r>
              <w:rPr>
                <w:b/>
                <w:sz w:val="20"/>
              </w:rPr>
              <w:t>algbc</w:t>
            </w:r>
          </w:p>
        </w:tc>
        <w:tc>
          <w:tcPr>
            <w:tcW w:w="1596" w:type="dxa"/>
          </w:tcPr>
          <w:p w14:paraId="27A6F596" w14:textId="77777777" w:rsidR="0046798B" w:rsidRDefault="00903B5C">
            <w:pPr>
              <w:pStyle w:val="TableParagraph"/>
              <w:spacing w:before="38"/>
              <w:ind w:left="114" w:right="91"/>
              <w:rPr>
                <w:sz w:val="20"/>
              </w:rPr>
            </w:pPr>
            <w:r>
              <w:rPr>
                <w:sz w:val="20"/>
              </w:rPr>
              <w:t>Local government budget constraints: local government</w:t>
            </w:r>
          </w:p>
          <w:p w14:paraId="4B284047" w14:textId="77777777" w:rsidR="0046798B" w:rsidRDefault="00903B5C">
            <w:pPr>
              <w:pStyle w:val="TableParagraph"/>
              <w:spacing w:before="1"/>
              <w:ind w:left="114" w:right="118"/>
              <w:rPr>
                <w:sz w:val="20"/>
              </w:rPr>
            </w:pPr>
            <w:r>
              <w:rPr>
                <w:sz w:val="20"/>
              </w:rPr>
              <w:t xml:space="preserve">own-source general </w:t>
            </w:r>
            <w:r>
              <w:rPr>
                <w:spacing w:val="-4"/>
                <w:sz w:val="20"/>
              </w:rPr>
              <w:t xml:space="preserve">revenues </w:t>
            </w:r>
            <w:r>
              <w:rPr>
                <w:sz w:val="20"/>
              </w:rPr>
              <w:t>divided by total local government general</w:t>
            </w:r>
            <w:r>
              <w:rPr>
                <w:spacing w:val="9"/>
                <w:sz w:val="20"/>
              </w:rPr>
              <w:t xml:space="preserve"> </w:t>
            </w:r>
            <w:r>
              <w:rPr>
                <w:spacing w:val="-4"/>
                <w:sz w:val="20"/>
              </w:rPr>
              <w:t>revenues</w:t>
            </w:r>
          </w:p>
        </w:tc>
        <w:tc>
          <w:tcPr>
            <w:tcW w:w="1285" w:type="dxa"/>
          </w:tcPr>
          <w:p w14:paraId="6236B3E4" w14:textId="77777777" w:rsidR="0046798B" w:rsidRDefault="0046798B">
            <w:pPr>
              <w:pStyle w:val="TableParagraph"/>
            </w:pPr>
          </w:p>
          <w:p w14:paraId="67A01255" w14:textId="77777777" w:rsidR="0046798B" w:rsidRDefault="0046798B">
            <w:pPr>
              <w:pStyle w:val="TableParagraph"/>
            </w:pPr>
          </w:p>
          <w:p w14:paraId="02EC4549" w14:textId="77777777" w:rsidR="0046798B" w:rsidRDefault="0046798B">
            <w:pPr>
              <w:pStyle w:val="TableParagraph"/>
            </w:pPr>
          </w:p>
          <w:p w14:paraId="3D2AC568" w14:textId="77777777" w:rsidR="0046798B" w:rsidRDefault="0046798B">
            <w:pPr>
              <w:pStyle w:val="TableParagraph"/>
            </w:pPr>
          </w:p>
          <w:p w14:paraId="2CE3EFFD" w14:textId="77777777" w:rsidR="0046798B" w:rsidRDefault="00903B5C">
            <w:pPr>
              <w:pStyle w:val="TableParagraph"/>
              <w:spacing w:before="177"/>
              <w:ind w:left="114"/>
              <w:rPr>
                <w:sz w:val="20"/>
              </w:rPr>
            </w:pPr>
            <w:r>
              <w:rPr>
                <w:sz w:val="20"/>
              </w:rPr>
              <w:t>1957–2015</w:t>
            </w:r>
          </w:p>
        </w:tc>
        <w:tc>
          <w:tcPr>
            <w:tcW w:w="3421" w:type="dxa"/>
          </w:tcPr>
          <w:p w14:paraId="3F7A9926" w14:textId="77777777" w:rsidR="0046798B" w:rsidRDefault="0046798B">
            <w:pPr>
              <w:pStyle w:val="TableParagraph"/>
            </w:pPr>
          </w:p>
          <w:p w14:paraId="5D521148" w14:textId="77777777" w:rsidR="0046798B" w:rsidRDefault="0046798B">
            <w:pPr>
              <w:pStyle w:val="TableParagraph"/>
            </w:pPr>
          </w:p>
          <w:p w14:paraId="306DE620" w14:textId="77777777" w:rsidR="0046798B" w:rsidRDefault="0046798B">
            <w:pPr>
              <w:pStyle w:val="TableParagraph"/>
              <w:spacing w:before="4"/>
              <w:rPr>
                <w:sz w:val="29"/>
              </w:rPr>
            </w:pPr>
          </w:p>
          <w:p w14:paraId="032233D8" w14:textId="77777777" w:rsidR="0046798B" w:rsidRDefault="00903B5C">
            <w:pPr>
              <w:pStyle w:val="TableParagraph"/>
              <w:ind w:left="114" w:right="250"/>
              <w:rPr>
                <w:sz w:val="20"/>
              </w:rPr>
            </w:pPr>
            <w:r>
              <w:rPr>
                <w:sz w:val="20"/>
              </w:rPr>
              <w:t>Local government budget constraints: local government own-source general revenues divided by total local government general revenues</w:t>
            </w:r>
          </w:p>
        </w:tc>
        <w:tc>
          <w:tcPr>
            <w:tcW w:w="6482" w:type="dxa"/>
          </w:tcPr>
          <w:p w14:paraId="522B8D41" w14:textId="77777777" w:rsidR="0046798B" w:rsidRDefault="0046798B">
            <w:pPr>
              <w:pStyle w:val="TableParagraph"/>
            </w:pPr>
          </w:p>
          <w:p w14:paraId="6BD6E1C3" w14:textId="77777777" w:rsidR="0046798B" w:rsidRDefault="0046798B">
            <w:pPr>
              <w:pStyle w:val="TableParagraph"/>
            </w:pPr>
          </w:p>
          <w:p w14:paraId="2D9FDCF1" w14:textId="77777777" w:rsidR="0046798B" w:rsidRDefault="0046798B">
            <w:pPr>
              <w:pStyle w:val="TableParagraph"/>
            </w:pPr>
          </w:p>
          <w:p w14:paraId="68EBE0FD" w14:textId="77777777" w:rsidR="0046798B" w:rsidRDefault="0046798B">
            <w:pPr>
              <w:pStyle w:val="TableParagraph"/>
              <w:spacing w:before="4"/>
              <w:rPr>
                <w:sz w:val="17"/>
              </w:rPr>
            </w:pPr>
          </w:p>
          <w:p w14:paraId="3C234924"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512B2A7" w14:textId="77777777">
        <w:trPr>
          <w:trHeight w:val="775"/>
        </w:trPr>
        <w:tc>
          <w:tcPr>
            <w:tcW w:w="1711" w:type="dxa"/>
          </w:tcPr>
          <w:p w14:paraId="5E50C610" w14:textId="77777777" w:rsidR="0046798B" w:rsidRDefault="0046798B">
            <w:pPr>
              <w:pStyle w:val="TableParagraph"/>
              <w:spacing w:before="3"/>
              <w:rPr>
                <w:sz w:val="23"/>
              </w:rPr>
            </w:pPr>
          </w:p>
          <w:p w14:paraId="5BCB4387" w14:textId="77777777" w:rsidR="0046798B" w:rsidRDefault="00903B5C">
            <w:pPr>
              <w:pStyle w:val="TableParagraph"/>
              <w:ind w:left="115"/>
              <w:rPr>
                <w:b/>
                <w:sz w:val="20"/>
              </w:rPr>
            </w:pPr>
            <w:r>
              <w:rPr>
                <w:b/>
                <w:sz w:val="20"/>
              </w:rPr>
              <w:t>alibpi</w:t>
            </w:r>
          </w:p>
        </w:tc>
        <w:tc>
          <w:tcPr>
            <w:tcW w:w="1596" w:type="dxa"/>
          </w:tcPr>
          <w:p w14:paraId="1FEA8B94" w14:textId="77777777" w:rsidR="0046798B" w:rsidRDefault="00903B5C">
            <w:pPr>
              <w:pStyle w:val="TableParagraph"/>
              <w:spacing w:before="38"/>
              <w:ind w:left="114" w:right="246"/>
              <w:rPr>
                <w:sz w:val="20"/>
              </w:rPr>
            </w:pPr>
            <w:r>
              <w:rPr>
                <w:sz w:val="20"/>
              </w:rPr>
              <w:t>Library spending, % of income</w:t>
            </w:r>
          </w:p>
        </w:tc>
        <w:tc>
          <w:tcPr>
            <w:tcW w:w="1285" w:type="dxa"/>
          </w:tcPr>
          <w:p w14:paraId="03F97813" w14:textId="77777777" w:rsidR="0046798B" w:rsidRDefault="0046798B">
            <w:pPr>
              <w:pStyle w:val="TableParagraph"/>
              <w:spacing w:before="3"/>
              <w:rPr>
                <w:sz w:val="23"/>
              </w:rPr>
            </w:pPr>
          </w:p>
          <w:p w14:paraId="14801313" w14:textId="77777777" w:rsidR="0046798B" w:rsidRDefault="00903B5C">
            <w:pPr>
              <w:pStyle w:val="TableParagraph"/>
              <w:ind w:left="114"/>
              <w:rPr>
                <w:sz w:val="20"/>
              </w:rPr>
            </w:pPr>
            <w:r>
              <w:rPr>
                <w:sz w:val="20"/>
              </w:rPr>
              <w:t>1957–2015</w:t>
            </w:r>
          </w:p>
        </w:tc>
        <w:tc>
          <w:tcPr>
            <w:tcW w:w="3421" w:type="dxa"/>
          </w:tcPr>
          <w:p w14:paraId="10686CCA" w14:textId="77777777" w:rsidR="0046798B" w:rsidRDefault="00903B5C">
            <w:pPr>
              <w:pStyle w:val="TableParagraph"/>
              <w:spacing w:before="153"/>
              <w:ind w:left="114"/>
              <w:rPr>
                <w:sz w:val="20"/>
              </w:rPr>
            </w:pPr>
            <w:r>
              <w:rPr>
                <w:sz w:val="20"/>
              </w:rPr>
              <w:t>Library spending, % of income (alibspt</w:t>
            </w:r>
          </w:p>
          <w:p w14:paraId="11222D4B" w14:textId="77777777" w:rsidR="0046798B" w:rsidRDefault="00903B5C">
            <w:pPr>
              <w:pStyle w:val="TableParagraph"/>
              <w:ind w:left="114"/>
              <w:rPr>
                <w:sz w:val="20"/>
              </w:rPr>
            </w:pPr>
            <w:r>
              <w:rPr>
                <w:sz w:val="20"/>
              </w:rPr>
              <w:t>/ apersinc)</w:t>
            </w:r>
          </w:p>
        </w:tc>
        <w:tc>
          <w:tcPr>
            <w:tcW w:w="6482" w:type="dxa"/>
          </w:tcPr>
          <w:p w14:paraId="67305AA7" w14:textId="77777777" w:rsidR="0046798B" w:rsidRDefault="00903B5C">
            <w:pPr>
              <w:pStyle w:val="TableParagraph"/>
              <w:spacing w:before="3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9DAD9EE" w14:textId="77777777">
        <w:trPr>
          <w:trHeight w:val="1465"/>
        </w:trPr>
        <w:tc>
          <w:tcPr>
            <w:tcW w:w="1711" w:type="dxa"/>
          </w:tcPr>
          <w:p w14:paraId="795C7F6A" w14:textId="77777777" w:rsidR="0046798B" w:rsidRDefault="0046798B">
            <w:pPr>
              <w:pStyle w:val="TableParagraph"/>
            </w:pPr>
          </w:p>
          <w:p w14:paraId="6C910209" w14:textId="77777777" w:rsidR="0046798B" w:rsidRDefault="0046798B">
            <w:pPr>
              <w:pStyle w:val="TableParagraph"/>
              <w:spacing w:before="4"/>
              <w:rPr>
                <w:sz w:val="31"/>
              </w:rPr>
            </w:pPr>
          </w:p>
          <w:p w14:paraId="12080F47" w14:textId="77777777" w:rsidR="0046798B" w:rsidRDefault="00903B5C">
            <w:pPr>
              <w:pStyle w:val="TableParagraph"/>
              <w:ind w:left="115"/>
              <w:rPr>
                <w:b/>
                <w:sz w:val="20"/>
              </w:rPr>
            </w:pPr>
            <w:r>
              <w:rPr>
                <w:b/>
                <w:sz w:val="20"/>
              </w:rPr>
              <w:t>alibspt</w:t>
            </w:r>
          </w:p>
        </w:tc>
        <w:tc>
          <w:tcPr>
            <w:tcW w:w="1596" w:type="dxa"/>
          </w:tcPr>
          <w:p w14:paraId="5A3EE1F2" w14:textId="77777777" w:rsidR="0046798B" w:rsidRDefault="00903B5C">
            <w:pPr>
              <w:pStyle w:val="TableParagraph"/>
              <w:spacing w:before="38"/>
              <w:ind w:left="114" w:right="252"/>
              <w:rPr>
                <w:sz w:val="20"/>
              </w:rPr>
            </w:pPr>
            <w:r>
              <w:rPr>
                <w:sz w:val="20"/>
              </w:rPr>
              <w:t>State and local government libraries direct expenditure, in millions of dollars</w:t>
            </w:r>
          </w:p>
        </w:tc>
        <w:tc>
          <w:tcPr>
            <w:tcW w:w="1285" w:type="dxa"/>
          </w:tcPr>
          <w:p w14:paraId="396EE1DF" w14:textId="77777777" w:rsidR="0046798B" w:rsidRDefault="0046798B">
            <w:pPr>
              <w:pStyle w:val="TableParagraph"/>
            </w:pPr>
          </w:p>
          <w:p w14:paraId="6DDC037F" w14:textId="77777777" w:rsidR="0046798B" w:rsidRDefault="0046798B">
            <w:pPr>
              <w:pStyle w:val="TableParagraph"/>
              <w:spacing w:before="4"/>
              <w:rPr>
                <w:sz w:val="31"/>
              </w:rPr>
            </w:pPr>
          </w:p>
          <w:p w14:paraId="2C7F1706" w14:textId="77777777" w:rsidR="0046798B" w:rsidRDefault="00903B5C">
            <w:pPr>
              <w:pStyle w:val="TableParagraph"/>
              <w:ind w:left="114"/>
              <w:rPr>
                <w:sz w:val="20"/>
              </w:rPr>
            </w:pPr>
            <w:r>
              <w:rPr>
                <w:sz w:val="20"/>
              </w:rPr>
              <w:t>1957–2015</w:t>
            </w:r>
          </w:p>
        </w:tc>
        <w:tc>
          <w:tcPr>
            <w:tcW w:w="3421" w:type="dxa"/>
          </w:tcPr>
          <w:p w14:paraId="22A30CA2" w14:textId="77777777" w:rsidR="0046798B" w:rsidRDefault="0046798B">
            <w:pPr>
              <w:pStyle w:val="TableParagraph"/>
            </w:pPr>
          </w:p>
          <w:p w14:paraId="64287951" w14:textId="77777777" w:rsidR="0046798B" w:rsidRDefault="00903B5C">
            <w:pPr>
              <w:pStyle w:val="TableParagraph"/>
              <w:spacing w:before="130"/>
              <w:ind w:left="114" w:right="389"/>
              <w:rPr>
                <w:sz w:val="20"/>
              </w:rPr>
            </w:pPr>
            <w:r>
              <w:rPr>
                <w:sz w:val="20"/>
              </w:rPr>
              <w:t>State and local government libraries direct expenditure, in millions of dollars</w:t>
            </w:r>
          </w:p>
        </w:tc>
        <w:tc>
          <w:tcPr>
            <w:tcW w:w="6482" w:type="dxa"/>
          </w:tcPr>
          <w:p w14:paraId="7FC309CA" w14:textId="77777777" w:rsidR="0046798B" w:rsidRDefault="0046798B">
            <w:pPr>
              <w:pStyle w:val="TableParagraph"/>
            </w:pPr>
          </w:p>
          <w:p w14:paraId="785B83C3" w14:textId="77777777" w:rsidR="0046798B" w:rsidRDefault="00903B5C">
            <w:pPr>
              <w:pStyle w:val="TableParagraph"/>
              <w:spacing w:before="130"/>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0BE776AD" w14:textId="77777777" w:rsidR="0046798B" w:rsidRDefault="0046798B">
      <w:pPr>
        <w:rPr>
          <w:sz w:val="20"/>
        </w:rPr>
        <w:sectPr w:rsidR="0046798B">
          <w:pgSz w:w="15840" w:h="12240" w:orient="landscape"/>
          <w:pgMar w:top="1220" w:right="300" w:bottom="980" w:left="820" w:header="730" w:footer="787" w:gutter="0"/>
          <w:cols w:space="720"/>
        </w:sectPr>
      </w:pPr>
    </w:p>
    <w:p w14:paraId="49C07DF3"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53F5D3BD" w14:textId="77777777">
        <w:trPr>
          <w:trHeight w:val="1465"/>
        </w:trPr>
        <w:tc>
          <w:tcPr>
            <w:tcW w:w="1711" w:type="dxa"/>
          </w:tcPr>
          <w:p w14:paraId="78ACA878" w14:textId="77777777" w:rsidR="0046798B" w:rsidRDefault="0046798B">
            <w:pPr>
              <w:pStyle w:val="TableParagraph"/>
            </w:pPr>
          </w:p>
          <w:p w14:paraId="12C7F197" w14:textId="77777777" w:rsidR="0046798B" w:rsidRDefault="0046798B">
            <w:pPr>
              <w:pStyle w:val="TableParagraph"/>
              <w:spacing w:before="9"/>
              <w:rPr>
                <w:sz w:val="31"/>
              </w:rPr>
            </w:pPr>
          </w:p>
          <w:p w14:paraId="1B8BFA36" w14:textId="77777777" w:rsidR="0046798B" w:rsidRDefault="00903B5C">
            <w:pPr>
              <w:pStyle w:val="TableParagraph"/>
              <w:ind w:left="115"/>
              <w:rPr>
                <w:b/>
                <w:sz w:val="20"/>
              </w:rPr>
            </w:pPr>
            <w:r>
              <w:rPr>
                <w:b/>
                <w:sz w:val="20"/>
              </w:rPr>
              <w:t>alict</w:t>
            </w:r>
          </w:p>
        </w:tc>
        <w:tc>
          <w:tcPr>
            <w:tcW w:w="1596" w:type="dxa"/>
          </w:tcPr>
          <w:p w14:paraId="640AA09D" w14:textId="77777777" w:rsidR="0046798B" w:rsidRDefault="00903B5C">
            <w:pPr>
              <w:pStyle w:val="TableParagraph"/>
              <w:spacing w:before="43"/>
              <w:ind w:left="114" w:right="274"/>
              <w:rPr>
                <w:sz w:val="20"/>
              </w:rPr>
            </w:pPr>
            <w:r>
              <w:rPr>
                <w:sz w:val="20"/>
              </w:rPr>
              <w:t>State and local motor vehicle license tax revenues, in millions of dollars</w:t>
            </w:r>
          </w:p>
        </w:tc>
        <w:tc>
          <w:tcPr>
            <w:tcW w:w="1285" w:type="dxa"/>
          </w:tcPr>
          <w:p w14:paraId="06C08D51" w14:textId="77777777" w:rsidR="0046798B" w:rsidRDefault="0046798B">
            <w:pPr>
              <w:pStyle w:val="TableParagraph"/>
            </w:pPr>
          </w:p>
          <w:p w14:paraId="23FA0D95" w14:textId="77777777" w:rsidR="0046798B" w:rsidRDefault="0046798B">
            <w:pPr>
              <w:pStyle w:val="TableParagraph"/>
              <w:spacing w:before="9"/>
              <w:rPr>
                <w:sz w:val="31"/>
              </w:rPr>
            </w:pPr>
          </w:p>
          <w:p w14:paraId="4AE7C699" w14:textId="77777777" w:rsidR="0046798B" w:rsidRDefault="00903B5C">
            <w:pPr>
              <w:pStyle w:val="TableParagraph"/>
              <w:ind w:left="114"/>
              <w:rPr>
                <w:sz w:val="20"/>
              </w:rPr>
            </w:pPr>
            <w:r>
              <w:rPr>
                <w:sz w:val="20"/>
              </w:rPr>
              <w:t>1957–2015</w:t>
            </w:r>
          </w:p>
        </w:tc>
        <w:tc>
          <w:tcPr>
            <w:tcW w:w="3421" w:type="dxa"/>
          </w:tcPr>
          <w:p w14:paraId="38BAC1A3" w14:textId="77777777" w:rsidR="0046798B" w:rsidRDefault="0046798B">
            <w:pPr>
              <w:pStyle w:val="TableParagraph"/>
            </w:pPr>
          </w:p>
          <w:p w14:paraId="6FA34CD3" w14:textId="77777777" w:rsidR="0046798B" w:rsidRDefault="0046798B">
            <w:pPr>
              <w:pStyle w:val="TableParagraph"/>
              <w:spacing w:before="9"/>
              <w:rPr>
                <w:sz w:val="21"/>
              </w:rPr>
            </w:pPr>
          </w:p>
          <w:p w14:paraId="66C726D9" w14:textId="77777777" w:rsidR="0046798B" w:rsidRDefault="00903B5C">
            <w:pPr>
              <w:pStyle w:val="TableParagraph"/>
              <w:ind w:left="114" w:right="339"/>
              <w:rPr>
                <w:sz w:val="20"/>
              </w:rPr>
            </w:pPr>
            <w:r>
              <w:rPr>
                <w:sz w:val="20"/>
              </w:rPr>
              <w:t>State and local motor vehicle license tax revenues, in millions of dollars</w:t>
            </w:r>
          </w:p>
        </w:tc>
        <w:tc>
          <w:tcPr>
            <w:tcW w:w="6482" w:type="dxa"/>
          </w:tcPr>
          <w:p w14:paraId="012A37C4" w14:textId="77777777" w:rsidR="0046798B" w:rsidRDefault="0046798B">
            <w:pPr>
              <w:pStyle w:val="TableParagraph"/>
            </w:pPr>
          </w:p>
          <w:p w14:paraId="4BAA0104" w14:textId="77777777" w:rsidR="0046798B" w:rsidRDefault="00903B5C">
            <w:pPr>
              <w:pStyle w:val="TableParagraph"/>
              <w:spacing w:before="135"/>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FB96F53" w14:textId="77777777">
        <w:trPr>
          <w:trHeight w:val="2156"/>
        </w:trPr>
        <w:tc>
          <w:tcPr>
            <w:tcW w:w="1711" w:type="dxa"/>
          </w:tcPr>
          <w:p w14:paraId="18C8E470" w14:textId="77777777" w:rsidR="0046798B" w:rsidRDefault="0046798B">
            <w:pPr>
              <w:pStyle w:val="TableParagraph"/>
            </w:pPr>
          </w:p>
          <w:p w14:paraId="6DF049F1" w14:textId="77777777" w:rsidR="0046798B" w:rsidRDefault="0046798B">
            <w:pPr>
              <w:pStyle w:val="TableParagraph"/>
            </w:pPr>
          </w:p>
          <w:p w14:paraId="365197AA" w14:textId="77777777" w:rsidR="0046798B" w:rsidRDefault="0046798B">
            <w:pPr>
              <w:pStyle w:val="TableParagraph"/>
            </w:pPr>
          </w:p>
          <w:p w14:paraId="73342AFF" w14:textId="77777777" w:rsidR="0046798B" w:rsidRDefault="0046798B">
            <w:pPr>
              <w:pStyle w:val="TableParagraph"/>
              <w:spacing w:before="9"/>
              <w:rPr>
                <w:sz w:val="17"/>
              </w:rPr>
            </w:pPr>
          </w:p>
          <w:p w14:paraId="33627B76" w14:textId="77777777" w:rsidR="0046798B" w:rsidRDefault="00903B5C">
            <w:pPr>
              <w:pStyle w:val="TableParagraph"/>
              <w:ind w:left="115"/>
              <w:rPr>
                <w:b/>
                <w:sz w:val="20"/>
              </w:rPr>
            </w:pPr>
            <w:r>
              <w:rPr>
                <w:b/>
                <w:sz w:val="20"/>
              </w:rPr>
              <w:t>aloctot3</w:t>
            </w:r>
          </w:p>
        </w:tc>
        <w:tc>
          <w:tcPr>
            <w:tcW w:w="1596" w:type="dxa"/>
          </w:tcPr>
          <w:p w14:paraId="64273D66" w14:textId="77777777" w:rsidR="0046798B" w:rsidRDefault="00903B5C">
            <w:pPr>
              <w:pStyle w:val="TableParagraph"/>
              <w:spacing w:before="44"/>
              <w:ind w:left="114" w:right="116"/>
              <w:rPr>
                <w:sz w:val="20"/>
              </w:rPr>
            </w:pPr>
            <w:r>
              <w:rPr>
                <w:sz w:val="20"/>
              </w:rPr>
              <w:t>Local revenues from all taxes but not current charges or gas, severance, alcohol, or tobacco taxes, in millions of dollars</w:t>
            </w:r>
          </w:p>
        </w:tc>
        <w:tc>
          <w:tcPr>
            <w:tcW w:w="1285" w:type="dxa"/>
          </w:tcPr>
          <w:p w14:paraId="506B6299" w14:textId="77777777" w:rsidR="0046798B" w:rsidRDefault="0046798B">
            <w:pPr>
              <w:pStyle w:val="TableParagraph"/>
            </w:pPr>
          </w:p>
          <w:p w14:paraId="42B25AAD" w14:textId="77777777" w:rsidR="0046798B" w:rsidRDefault="0046798B">
            <w:pPr>
              <w:pStyle w:val="TableParagraph"/>
            </w:pPr>
          </w:p>
          <w:p w14:paraId="4F4D898C" w14:textId="77777777" w:rsidR="0046798B" w:rsidRDefault="0046798B">
            <w:pPr>
              <w:pStyle w:val="TableParagraph"/>
            </w:pPr>
          </w:p>
          <w:p w14:paraId="6CA28C82" w14:textId="77777777" w:rsidR="0046798B" w:rsidRDefault="0046798B">
            <w:pPr>
              <w:pStyle w:val="TableParagraph"/>
              <w:spacing w:before="9"/>
              <w:rPr>
                <w:sz w:val="17"/>
              </w:rPr>
            </w:pPr>
          </w:p>
          <w:p w14:paraId="32F55076" w14:textId="77777777" w:rsidR="0046798B" w:rsidRDefault="00903B5C">
            <w:pPr>
              <w:pStyle w:val="TableParagraph"/>
              <w:ind w:left="114"/>
              <w:rPr>
                <w:sz w:val="20"/>
              </w:rPr>
            </w:pPr>
            <w:r>
              <w:rPr>
                <w:sz w:val="20"/>
              </w:rPr>
              <w:t>1957–2015</w:t>
            </w:r>
          </w:p>
        </w:tc>
        <w:tc>
          <w:tcPr>
            <w:tcW w:w="3421" w:type="dxa"/>
          </w:tcPr>
          <w:p w14:paraId="081C94D0" w14:textId="77777777" w:rsidR="0046798B" w:rsidRDefault="0046798B">
            <w:pPr>
              <w:pStyle w:val="TableParagraph"/>
            </w:pPr>
          </w:p>
          <w:p w14:paraId="4B85B026" w14:textId="77777777" w:rsidR="0046798B" w:rsidRDefault="0046798B">
            <w:pPr>
              <w:pStyle w:val="TableParagraph"/>
              <w:spacing w:before="9"/>
              <w:rPr>
                <w:sz w:val="21"/>
              </w:rPr>
            </w:pPr>
          </w:p>
          <w:p w14:paraId="62C391AC" w14:textId="77777777" w:rsidR="0046798B" w:rsidRDefault="00903B5C">
            <w:pPr>
              <w:pStyle w:val="TableParagraph"/>
              <w:ind w:left="114" w:right="111"/>
              <w:rPr>
                <w:sz w:val="20"/>
              </w:rPr>
            </w:pPr>
            <w:r>
              <w:rPr>
                <w:sz w:val="20"/>
              </w:rPr>
              <w:t>Local revenues from all taxes but not current charges or gas, severance, alcohol, or tobacco taxes, in millions of dollars (local severance taxes assumed to be 0 in 2005 and before)</w:t>
            </w:r>
          </w:p>
        </w:tc>
        <w:tc>
          <w:tcPr>
            <w:tcW w:w="6482" w:type="dxa"/>
          </w:tcPr>
          <w:p w14:paraId="03B85498" w14:textId="77777777" w:rsidR="0046798B" w:rsidRDefault="0046798B">
            <w:pPr>
              <w:pStyle w:val="TableParagraph"/>
            </w:pPr>
          </w:p>
          <w:p w14:paraId="51920E47" w14:textId="77777777" w:rsidR="0046798B" w:rsidRDefault="0046798B">
            <w:pPr>
              <w:pStyle w:val="TableParagraph"/>
            </w:pPr>
          </w:p>
          <w:p w14:paraId="6B3AA96F" w14:textId="77777777" w:rsidR="0046798B" w:rsidRDefault="0046798B">
            <w:pPr>
              <w:pStyle w:val="TableParagraph"/>
              <w:spacing w:before="9"/>
              <w:rPr>
                <w:sz w:val="19"/>
              </w:rPr>
            </w:pPr>
          </w:p>
          <w:p w14:paraId="4482F9E4" w14:textId="77777777" w:rsidR="0046798B" w:rsidRDefault="00903B5C">
            <w:pPr>
              <w:pStyle w:val="TableParagraph"/>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14A6AF7" w14:textId="77777777">
        <w:trPr>
          <w:trHeight w:val="780"/>
        </w:trPr>
        <w:tc>
          <w:tcPr>
            <w:tcW w:w="1711" w:type="dxa"/>
          </w:tcPr>
          <w:p w14:paraId="37F0B8A4" w14:textId="77777777" w:rsidR="0046798B" w:rsidRDefault="0046798B">
            <w:pPr>
              <w:pStyle w:val="TableParagraph"/>
              <w:spacing w:before="9"/>
              <w:rPr>
                <w:sz w:val="23"/>
              </w:rPr>
            </w:pPr>
          </w:p>
          <w:p w14:paraId="28E83E3A" w14:textId="77777777" w:rsidR="0046798B" w:rsidRDefault="00903B5C">
            <w:pPr>
              <w:pStyle w:val="TableParagraph"/>
              <w:ind w:left="115"/>
              <w:rPr>
                <w:b/>
                <w:sz w:val="20"/>
              </w:rPr>
            </w:pPr>
            <w:r>
              <w:rPr>
                <w:b/>
                <w:sz w:val="20"/>
              </w:rPr>
              <w:t>anecpi</w:t>
            </w:r>
          </w:p>
        </w:tc>
        <w:tc>
          <w:tcPr>
            <w:tcW w:w="1596" w:type="dxa"/>
          </w:tcPr>
          <w:p w14:paraId="70A7F7F5" w14:textId="77777777" w:rsidR="0046798B" w:rsidRDefault="00903B5C">
            <w:pPr>
              <w:pStyle w:val="TableParagraph"/>
              <w:spacing w:before="43"/>
              <w:ind w:left="114" w:right="263"/>
              <w:jc w:val="both"/>
              <w:rPr>
                <w:sz w:val="20"/>
              </w:rPr>
            </w:pPr>
            <w:r>
              <w:rPr>
                <w:sz w:val="20"/>
              </w:rPr>
              <w:t>Miscellaneous spending, % of income</w:t>
            </w:r>
          </w:p>
        </w:tc>
        <w:tc>
          <w:tcPr>
            <w:tcW w:w="1285" w:type="dxa"/>
          </w:tcPr>
          <w:p w14:paraId="76E05761" w14:textId="77777777" w:rsidR="0046798B" w:rsidRDefault="0046798B">
            <w:pPr>
              <w:pStyle w:val="TableParagraph"/>
              <w:spacing w:before="9"/>
              <w:rPr>
                <w:sz w:val="23"/>
              </w:rPr>
            </w:pPr>
          </w:p>
          <w:p w14:paraId="17851B4D" w14:textId="77777777" w:rsidR="0046798B" w:rsidRDefault="00903B5C">
            <w:pPr>
              <w:pStyle w:val="TableParagraph"/>
              <w:ind w:left="114"/>
              <w:rPr>
                <w:sz w:val="20"/>
              </w:rPr>
            </w:pPr>
            <w:r>
              <w:rPr>
                <w:sz w:val="20"/>
              </w:rPr>
              <w:t>1957–2015</w:t>
            </w:r>
          </w:p>
        </w:tc>
        <w:tc>
          <w:tcPr>
            <w:tcW w:w="3421" w:type="dxa"/>
          </w:tcPr>
          <w:p w14:paraId="68752493" w14:textId="77777777" w:rsidR="0046798B" w:rsidRDefault="00903B5C">
            <w:pPr>
              <w:pStyle w:val="TableParagraph"/>
              <w:spacing w:before="158"/>
              <w:ind w:left="114" w:right="227"/>
              <w:rPr>
                <w:sz w:val="20"/>
              </w:rPr>
            </w:pPr>
            <w:r>
              <w:rPr>
                <w:sz w:val="20"/>
              </w:rPr>
              <w:t>Miscellaneous spending, % of income (anecspt / apersinc)</w:t>
            </w:r>
          </w:p>
        </w:tc>
        <w:tc>
          <w:tcPr>
            <w:tcW w:w="6482" w:type="dxa"/>
          </w:tcPr>
          <w:p w14:paraId="7108FFCE"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3395D45" w14:textId="77777777">
        <w:trPr>
          <w:trHeight w:val="2846"/>
        </w:trPr>
        <w:tc>
          <w:tcPr>
            <w:tcW w:w="1711" w:type="dxa"/>
          </w:tcPr>
          <w:p w14:paraId="1EF63337" w14:textId="77777777" w:rsidR="0046798B" w:rsidRDefault="0046798B">
            <w:pPr>
              <w:pStyle w:val="TableParagraph"/>
            </w:pPr>
          </w:p>
          <w:p w14:paraId="66178245" w14:textId="77777777" w:rsidR="0046798B" w:rsidRDefault="0046798B">
            <w:pPr>
              <w:pStyle w:val="TableParagraph"/>
            </w:pPr>
          </w:p>
          <w:p w14:paraId="2EED8CBD" w14:textId="77777777" w:rsidR="0046798B" w:rsidRDefault="0046798B">
            <w:pPr>
              <w:pStyle w:val="TableParagraph"/>
            </w:pPr>
          </w:p>
          <w:p w14:paraId="6A3CED99" w14:textId="77777777" w:rsidR="0046798B" w:rsidRDefault="0046798B">
            <w:pPr>
              <w:pStyle w:val="TableParagraph"/>
            </w:pPr>
          </w:p>
          <w:p w14:paraId="3E73F69A" w14:textId="77777777" w:rsidR="0046798B" w:rsidRDefault="0046798B">
            <w:pPr>
              <w:pStyle w:val="TableParagraph"/>
              <w:spacing w:before="4"/>
              <w:rPr>
                <w:sz w:val="25"/>
              </w:rPr>
            </w:pPr>
          </w:p>
          <w:p w14:paraId="01C83AA1" w14:textId="77777777" w:rsidR="0046798B" w:rsidRDefault="00903B5C">
            <w:pPr>
              <w:pStyle w:val="TableParagraph"/>
              <w:ind w:left="115"/>
              <w:rPr>
                <w:b/>
                <w:sz w:val="20"/>
              </w:rPr>
            </w:pPr>
            <w:r>
              <w:rPr>
                <w:b/>
                <w:sz w:val="20"/>
              </w:rPr>
              <w:t>anecspt</w:t>
            </w:r>
          </w:p>
        </w:tc>
        <w:tc>
          <w:tcPr>
            <w:tcW w:w="1596" w:type="dxa"/>
          </w:tcPr>
          <w:p w14:paraId="797DED4E" w14:textId="77777777" w:rsidR="0046798B" w:rsidRDefault="00903B5C">
            <w:pPr>
              <w:pStyle w:val="TableParagraph"/>
              <w:spacing w:before="38"/>
              <w:ind w:left="114" w:right="175"/>
              <w:rPr>
                <w:sz w:val="20"/>
              </w:rPr>
            </w:pPr>
            <w:r>
              <w:rPr>
                <w:sz w:val="20"/>
              </w:rPr>
              <w:t>State and local government general not- elsewhere- classified (including miscellaneous commercial activities) direct expenditure, in millions of dollars</w:t>
            </w:r>
          </w:p>
        </w:tc>
        <w:tc>
          <w:tcPr>
            <w:tcW w:w="1285" w:type="dxa"/>
          </w:tcPr>
          <w:p w14:paraId="6F05B9BA" w14:textId="77777777" w:rsidR="0046798B" w:rsidRDefault="0046798B">
            <w:pPr>
              <w:pStyle w:val="TableParagraph"/>
            </w:pPr>
          </w:p>
          <w:p w14:paraId="49B3172C" w14:textId="77777777" w:rsidR="0046798B" w:rsidRDefault="0046798B">
            <w:pPr>
              <w:pStyle w:val="TableParagraph"/>
            </w:pPr>
          </w:p>
          <w:p w14:paraId="768CBD89" w14:textId="77777777" w:rsidR="0046798B" w:rsidRDefault="0046798B">
            <w:pPr>
              <w:pStyle w:val="TableParagraph"/>
            </w:pPr>
          </w:p>
          <w:p w14:paraId="105026B6" w14:textId="77777777" w:rsidR="0046798B" w:rsidRDefault="0046798B">
            <w:pPr>
              <w:pStyle w:val="TableParagraph"/>
            </w:pPr>
          </w:p>
          <w:p w14:paraId="6DE9C3FE" w14:textId="77777777" w:rsidR="0046798B" w:rsidRDefault="0046798B">
            <w:pPr>
              <w:pStyle w:val="TableParagraph"/>
              <w:spacing w:before="4"/>
              <w:rPr>
                <w:sz w:val="25"/>
              </w:rPr>
            </w:pPr>
          </w:p>
          <w:p w14:paraId="3C10EA19" w14:textId="77777777" w:rsidR="0046798B" w:rsidRDefault="00903B5C">
            <w:pPr>
              <w:pStyle w:val="TableParagraph"/>
              <w:ind w:left="114"/>
              <w:rPr>
                <w:sz w:val="20"/>
              </w:rPr>
            </w:pPr>
            <w:r>
              <w:rPr>
                <w:sz w:val="20"/>
              </w:rPr>
              <w:t>1957–2015</w:t>
            </w:r>
          </w:p>
        </w:tc>
        <w:tc>
          <w:tcPr>
            <w:tcW w:w="3421" w:type="dxa"/>
          </w:tcPr>
          <w:p w14:paraId="6FF1A09D" w14:textId="77777777" w:rsidR="0046798B" w:rsidRDefault="0046798B">
            <w:pPr>
              <w:pStyle w:val="TableParagraph"/>
            </w:pPr>
          </w:p>
          <w:p w14:paraId="23AB9794" w14:textId="77777777" w:rsidR="0046798B" w:rsidRDefault="0046798B">
            <w:pPr>
              <w:pStyle w:val="TableParagraph"/>
            </w:pPr>
          </w:p>
          <w:p w14:paraId="08E2DC04" w14:textId="77777777" w:rsidR="0046798B" w:rsidRDefault="0046798B">
            <w:pPr>
              <w:pStyle w:val="TableParagraph"/>
              <w:spacing w:before="4"/>
              <w:rPr>
                <w:sz w:val="29"/>
              </w:rPr>
            </w:pPr>
          </w:p>
          <w:p w14:paraId="021F315D" w14:textId="77777777" w:rsidR="0046798B" w:rsidRDefault="00903B5C">
            <w:pPr>
              <w:pStyle w:val="TableParagraph"/>
              <w:ind w:left="114" w:right="326"/>
              <w:rPr>
                <w:sz w:val="20"/>
              </w:rPr>
            </w:pPr>
            <w:r>
              <w:rPr>
                <w:sz w:val="20"/>
              </w:rPr>
              <w:t>State and local government general not-elsewhere-classified (including miscellaneous commercial activities) direct expenditure, in millions of dollars</w:t>
            </w:r>
          </w:p>
        </w:tc>
        <w:tc>
          <w:tcPr>
            <w:tcW w:w="6482" w:type="dxa"/>
          </w:tcPr>
          <w:p w14:paraId="01B58133" w14:textId="77777777" w:rsidR="0046798B" w:rsidRDefault="0046798B">
            <w:pPr>
              <w:pStyle w:val="TableParagraph"/>
            </w:pPr>
          </w:p>
          <w:p w14:paraId="2B2A2ECA" w14:textId="77777777" w:rsidR="0046798B" w:rsidRDefault="0046798B">
            <w:pPr>
              <w:pStyle w:val="TableParagraph"/>
            </w:pPr>
          </w:p>
          <w:p w14:paraId="0C51BAC5" w14:textId="77777777" w:rsidR="0046798B" w:rsidRDefault="0046798B">
            <w:pPr>
              <w:pStyle w:val="TableParagraph"/>
            </w:pPr>
          </w:p>
          <w:p w14:paraId="3676DD07" w14:textId="77777777" w:rsidR="0046798B" w:rsidRDefault="0046798B">
            <w:pPr>
              <w:pStyle w:val="TableParagraph"/>
              <w:spacing w:before="4"/>
              <w:rPr>
                <w:sz w:val="27"/>
              </w:rPr>
            </w:pPr>
          </w:p>
          <w:p w14:paraId="090A17A2" w14:textId="77777777" w:rsidR="0046798B" w:rsidRDefault="00903B5C">
            <w:pPr>
              <w:pStyle w:val="TableParagraph"/>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2658915" w14:textId="77777777">
        <w:trPr>
          <w:trHeight w:val="1005"/>
        </w:trPr>
        <w:tc>
          <w:tcPr>
            <w:tcW w:w="1711" w:type="dxa"/>
          </w:tcPr>
          <w:p w14:paraId="2ABBFB7B" w14:textId="77777777" w:rsidR="0046798B" w:rsidRDefault="0046798B">
            <w:pPr>
              <w:pStyle w:val="TableParagraph"/>
            </w:pPr>
          </w:p>
          <w:p w14:paraId="08AB683E" w14:textId="77777777" w:rsidR="0046798B" w:rsidRDefault="00903B5C">
            <w:pPr>
              <w:pStyle w:val="TableParagraph"/>
              <w:spacing w:before="130"/>
              <w:ind w:left="115"/>
              <w:rPr>
                <w:b/>
                <w:sz w:val="20"/>
              </w:rPr>
            </w:pPr>
            <w:r>
              <w:rPr>
                <w:b/>
                <w:sz w:val="20"/>
              </w:rPr>
              <w:t>anrpi</w:t>
            </w:r>
          </w:p>
        </w:tc>
        <w:tc>
          <w:tcPr>
            <w:tcW w:w="1596" w:type="dxa"/>
          </w:tcPr>
          <w:p w14:paraId="32CABBBC" w14:textId="77777777" w:rsidR="0046798B" w:rsidRDefault="00903B5C">
            <w:pPr>
              <w:pStyle w:val="TableParagraph"/>
              <w:spacing w:before="38"/>
              <w:ind w:left="114" w:right="246"/>
              <w:rPr>
                <w:sz w:val="20"/>
              </w:rPr>
            </w:pPr>
            <w:r>
              <w:rPr>
                <w:sz w:val="20"/>
              </w:rPr>
              <w:t>Natural resources spending, % of income</w:t>
            </w:r>
          </w:p>
        </w:tc>
        <w:tc>
          <w:tcPr>
            <w:tcW w:w="1285" w:type="dxa"/>
          </w:tcPr>
          <w:p w14:paraId="2690F164" w14:textId="77777777" w:rsidR="0046798B" w:rsidRDefault="0046798B">
            <w:pPr>
              <w:pStyle w:val="TableParagraph"/>
            </w:pPr>
          </w:p>
          <w:p w14:paraId="218957DB" w14:textId="77777777" w:rsidR="0046798B" w:rsidRDefault="00903B5C">
            <w:pPr>
              <w:pStyle w:val="TableParagraph"/>
              <w:spacing w:before="130"/>
              <w:ind w:left="114"/>
              <w:rPr>
                <w:sz w:val="20"/>
              </w:rPr>
            </w:pPr>
            <w:r>
              <w:rPr>
                <w:sz w:val="20"/>
              </w:rPr>
              <w:t>1957–2015</w:t>
            </w:r>
          </w:p>
        </w:tc>
        <w:tc>
          <w:tcPr>
            <w:tcW w:w="3421" w:type="dxa"/>
          </w:tcPr>
          <w:p w14:paraId="2CFC2DD3" w14:textId="77777777" w:rsidR="0046798B" w:rsidRDefault="0046798B">
            <w:pPr>
              <w:pStyle w:val="TableParagraph"/>
              <w:spacing w:before="3"/>
              <w:rPr>
                <w:sz w:val="23"/>
              </w:rPr>
            </w:pPr>
          </w:p>
          <w:p w14:paraId="6176B325" w14:textId="77777777" w:rsidR="0046798B" w:rsidRDefault="00903B5C">
            <w:pPr>
              <w:pStyle w:val="TableParagraph"/>
              <w:spacing w:before="1"/>
              <w:ind w:left="114" w:right="616"/>
              <w:rPr>
                <w:sz w:val="20"/>
              </w:rPr>
            </w:pPr>
            <w:r>
              <w:rPr>
                <w:sz w:val="20"/>
              </w:rPr>
              <w:t>Natural resources spending, % of income (anrspt / apersinc)</w:t>
            </w:r>
          </w:p>
        </w:tc>
        <w:tc>
          <w:tcPr>
            <w:tcW w:w="6482" w:type="dxa"/>
          </w:tcPr>
          <w:p w14:paraId="21C374D3" w14:textId="77777777" w:rsidR="0046798B" w:rsidRDefault="00903B5C">
            <w:pPr>
              <w:pStyle w:val="TableParagraph"/>
              <w:spacing w:before="15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09A87D8" w14:textId="77777777">
        <w:trPr>
          <w:trHeight w:val="775"/>
        </w:trPr>
        <w:tc>
          <w:tcPr>
            <w:tcW w:w="1711" w:type="dxa"/>
          </w:tcPr>
          <w:p w14:paraId="6C48E0F0" w14:textId="77777777" w:rsidR="0046798B" w:rsidRDefault="0046798B">
            <w:pPr>
              <w:pStyle w:val="TableParagraph"/>
              <w:spacing w:before="3"/>
              <w:rPr>
                <w:sz w:val="23"/>
              </w:rPr>
            </w:pPr>
          </w:p>
          <w:p w14:paraId="42EA501F" w14:textId="77777777" w:rsidR="0046798B" w:rsidRDefault="00903B5C">
            <w:pPr>
              <w:pStyle w:val="TableParagraph"/>
              <w:spacing w:before="1"/>
              <w:ind w:left="115"/>
              <w:rPr>
                <w:b/>
                <w:sz w:val="20"/>
              </w:rPr>
            </w:pPr>
            <w:r>
              <w:rPr>
                <w:b/>
                <w:sz w:val="20"/>
              </w:rPr>
              <w:t>anrpia</w:t>
            </w:r>
          </w:p>
        </w:tc>
        <w:tc>
          <w:tcPr>
            <w:tcW w:w="1596" w:type="dxa"/>
          </w:tcPr>
          <w:p w14:paraId="321095B2" w14:textId="77777777" w:rsidR="0046798B" w:rsidRDefault="00903B5C">
            <w:pPr>
              <w:pStyle w:val="TableParagraph"/>
              <w:spacing w:before="38"/>
              <w:ind w:left="114" w:right="91"/>
              <w:rPr>
                <w:sz w:val="20"/>
              </w:rPr>
            </w:pPr>
            <w:r>
              <w:rPr>
                <w:sz w:val="20"/>
              </w:rPr>
              <w:t>Unexpected natural resources spending</w:t>
            </w:r>
          </w:p>
        </w:tc>
        <w:tc>
          <w:tcPr>
            <w:tcW w:w="1285" w:type="dxa"/>
          </w:tcPr>
          <w:p w14:paraId="414B9EBD" w14:textId="77777777" w:rsidR="0046798B" w:rsidRDefault="0046798B">
            <w:pPr>
              <w:pStyle w:val="TableParagraph"/>
              <w:spacing w:before="3"/>
              <w:rPr>
                <w:sz w:val="23"/>
              </w:rPr>
            </w:pPr>
          </w:p>
          <w:p w14:paraId="0D1580AB" w14:textId="77777777" w:rsidR="0046798B" w:rsidRDefault="00903B5C">
            <w:pPr>
              <w:pStyle w:val="TableParagraph"/>
              <w:spacing w:before="1"/>
              <w:ind w:left="114"/>
              <w:rPr>
                <w:sz w:val="20"/>
              </w:rPr>
            </w:pPr>
            <w:r>
              <w:rPr>
                <w:sz w:val="20"/>
              </w:rPr>
              <w:t>1957–2015</w:t>
            </w:r>
          </w:p>
        </w:tc>
        <w:tc>
          <w:tcPr>
            <w:tcW w:w="3421" w:type="dxa"/>
          </w:tcPr>
          <w:p w14:paraId="0CF5E8F4" w14:textId="77777777" w:rsidR="0046798B" w:rsidRDefault="00903B5C">
            <w:pPr>
              <w:pStyle w:val="TableParagraph"/>
              <w:spacing w:before="38"/>
              <w:ind w:left="114" w:right="139"/>
              <w:rPr>
                <w:sz w:val="20"/>
              </w:rPr>
            </w:pPr>
            <w:r>
              <w:rPr>
                <w:sz w:val="20"/>
              </w:rPr>
              <w:t>Unexpected natural resources spending (modified by ln(apopdens), equation derived from diff-in-diff estimate)</w:t>
            </w:r>
          </w:p>
        </w:tc>
        <w:tc>
          <w:tcPr>
            <w:tcW w:w="6482" w:type="dxa"/>
          </w:tcPr>
          <w:p w14:paraId="50F6A165" w14:textId="77777777" w:rsidR="0046798B" w:rsidRDefault="00903B5C">
            <w:pPr>
              <w:pStyle w:val="TableParagraph"/>
              <w:spacing w:before="3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635A2F60" w14:textId="77777777" w:rsidR="0046798B" w:rsidRDefault="0046798B">
      <w:pPr>
        <w:rPr>
          <w:sz w:val="20"/>
        </w:rPr>
        <w:sectPr w:rsidR="0046798B">
          <w:pgSz w:w="15840" w:h="12240" w:orient="landscape"/>
          <w:pgMar w:top="1220" w:right="300" w:bottom="980" w:left="820" w:header="730" w:footer="787" w:gutter="0"/>
          <w:cols w:space="720"/>
        </w:sectPr>
      </w:pPr>
    </w:p>
    <w:p w14:paraId="15D861C6"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757D30B5" w14:textId="77777777">
        <w:trPr>
          <w:trHeight w:val="1696"/>
        </w:trPr>
        <w:tc>
          <w:tcPr>
            <w:tcW w:w="1711" w:type="dxa"/>
          </w:tcPr>
          <w:p w14:paraId="292BB1FD" w14:textId="77777777" w:rsidR="0046798B" w:rsidRDefault="0046798B">
            <w:pPr>
              <w:pStyle w:val="TableParagraph"/>
            </w:pPr>
          </w:p>
          <w:p w14:paraId="0C57EE36" w14:textId="77777777" w:rsidR="0046798B" w:rsidRDefault="0046798B">
            <w:pPr>
              <w:pStyle w:val="TableParagraph"/>
            </w:pPr>
          </w:p>
          <w:p w14:paraId="245A430B" w14:textId="77777777" w:rsidR="0046798B" w:rsidRDefault="0046798B">
            <w:pPr>
              <w:pStyle w:val="TableParagraph"/>
              <w:spacing w:before="9"/>
              <w:rPr>
                <w:sz w:val="19"/>
              </w:rPr>
            </w:pPr>
          </w:p>
          <w:p w14:paraId="35CAC407" w14:textId="77777777" w:rsidR="0046798B" w:rsidRDefault="00903B5C">
            <w:pPr>
              <w:pStyle w:val="TableParagraph"/>
              <w:ind w:left="115"/>
              <w:rPr>
                <w:b/>
                <w:sz w:val="20"/>
              </w:rPr>
            </w:pPr>
            <w:r>
              <w:rPr>
                <w:b/>
                <w:sz w:val="20"/>
              </w:rPr>
              <w:t>anrspt</w:t>
            </w:r>
          </w:p>
        </w:tc>
        <w:tc>
          <w:tcPr>
            <w:tcW w:w="1596" w:type="dxa"/>
          </w:tcPr>
          <w:p w14:paraId="3ECF21E0" w14:textId="77777777" w:rsidR="0046798B" w:rsidRDefault="00903B5C">
            <w:pPr>
              <w:pStyle w:val="TableParagraph"/>
              <w:spacing w:before="43"/>
              <w:ind w:left="114" w:right="91"/>
              <w:rPr>
                <w:sz w:val="20"/>
              </w:rPr>
            </w:pPr>
            <w:r>
              <w:rPr>
                <w:sz w:val="20"/>
              </w:rPr>
              <w:t>State and local government total natural resources direct expenditure, in millions of dollars</w:t>
            </w:r>
          </w:p>
        </w:tc>
        <w:tc>
          <w:tcPr>
            <w:tcW w:w="1285" w:type="dxa"/>
          </w:tcPr>
          <w:p w14:paraId="2B536658" w14:textId="77777777" w:rsidR="0046798B" w:rsidRDefault="0046798B">
            <w:pPr>
              <w:pStyle w:val="TableParagraph"/>
            </w:pPr>
          </w:p>
          <w:p w14:paraId="3989FAE3" w14:textId="77777777" w:rsidR="0046798B" w:rsidRDefault="0046798B">
            <w:pPr>
              <w:pStyle w:val="TableParagraph"/>
            </w:pPr>
          </w:p>
          <w:p w14:paraId="7D6AA3CA" w14:textId="77777777" w:rsidR="0046798B" w:rsidRDefault="0046798B">
            <w:pPr>
              <w:pStyle w:val="TableParagraph"/>
              <w:spacing w:before="9"/>
              <w:rPr>
                <w:sz w:val="19"/>
              </w:rPr>
            </w:pPr>
          </w:p>
          <w:p w14:paraId="7F1A679A" w14:textId="77777777" w:rsidR="0046798B" w:rsidRDefault="00903B5C">
            <w:pPr>
              <w:pStyle w:val="TableParagraph"/>
              <w:ind w:left="114"/>
              <w:rPr>
                <w:sz w:val="20"/>
              </w:rPr>
            </w:pPr>
            <w:r>
              <w:rPr>
                <w:sz w:val="20"/>
              </w:rPr>
              <w:t>1957–2015</w:t>
            </w:r>
          </w:p>
        </w:tc>
        <w:tc>
          <w:tcPr>
            <w:tcW w:w="3421" w:type="dxa"/>
          </w:tcPr>
          <w:p w14:paraId="33057C74" w14:textId="77777777" w:rsidR="0046798B" w:rsidRDefault="0046798B">
            <w:pPr>
              <w:pStyle w:val="TableParagraph"/>
            </w:pPr>
          </w:p>
          <w:p w14:paraId="74842B34" w14:textId="77777777" w:rsidR="0046798B" w:rsidRDefault="0046798B">
            <w:pPr>
              <w:pStyle w:val="TableParagraph"/>
              <w:spacing w:before="9"/>
              <w:rPr>
                <w:sz w:val="21"/>
              </w:rPr>
            </w:pPr>
          </w:p>
          <w:p w14:paraId="0D7A6B85" w14:textId="77777777" w:rsidR="0046798B" w:rsidRDefault="00903B5C">
            <w:pPr>
              <w:pStyle w:val="TableParagraph"/>
              <w:ind w:left="114" w:right="161"/>
              <w:rPr>
                <w:sz w:val="20"/>
              </w:rPr>
            </w:pPr>
            <w:r>
              <w:rPr>
                <w:sz w:val="20"/>
              </w:rPr>
              <w:t>State and local government total natural resources direct expenditure, in millions of dollars</w:t>
            </w:r>
          </w:p>
        </w:tc>
        <w:tc>
          <w:tcPr>
            <w:tcW w:w="6482" w:type="dxa"/>
          </w:tcPr>
          <w:p w14:paraId="2C7B8A16" w14:textId="77777777" w:rsidR="0046798B" w:rsidRDefault="0046798B">
            <w:pPr>
              <w:pStyle w:val="TableParagraph"/>
            </w:pPr>
          </w:p>
          <w:p w14:paraId="1A6D2D62" w14:textId="77777777" w:rsidR="0046798B" w:rsidRDefault="0046798B">
            <w:pPr>
              <w:pStyle w:val="TableParagraph"/>
              <w:spacing w:before="9"/>
              <w:rPr>
                <w:sz w:val="21"/>
              </w:rPr>
            </w:pPr>
          </w:p>
          <w:p w14:paraId="6972D5B3" w14:textId="77777777" w:rsidR="0046798B" w:rsidRDefault="00903B5C">
            <w:pPr>
              <w:pStyle w:val="TableParagraph"/>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6C7BFCE" w14:textId="77777777">
        <w:trPr>
          <w:trHeight w:val="1005"/>
        </w:trPr>
        <w:tc>
          <w:tcPr>
            <w:tcW w:w="1711" w:type="dxa"/>
          </w:tcPr>
          <w:p w14:paraId="5EC2732F" w14:textId="77777777" w:rsidR="0046798B" w:rsidRDefault="0046798B">
            <w:pPr>
              <w:pStyle w:val="TableParagraph"/>
            </w:pPr>
          </w:p>
          <w:p w14:paraId="64C9AD69" w14:textId="77777777" w:rsidR="0046798B" w:rsidRDefault="00903B5C">
            <w:pPr>
              <w:pStyle w:val="TableParagraph"/>
              <w:spacing w:before="135"/>
              <w:ind w:left="115"/>
              <w:rPr>
                <w:b/>
                <w:sz w:val="20"/>
              </w:rPr>
            </w:pPr>
            <w:r>
              <w:rPr>
                <w:b/>
                <w:sz w:val="20"/>
              </w:rPr>
              <w:t>aoilprice</w:t>
            </w:r>
          </w:p>
        </w:tc>
        <w:tc>
          <w:tcPr>
            <w:tcW w:w="1596" w:type="dxa"/>
          </w:tcPr>
          <w:p w14:paraId="280E7F18" w14:textId="77777777" w:rsidR="0046798B" w:rsidRDefault="00903B5C">
            <w:pPr>
              <w:pStyle w:val="TableParagraph"/>
              <w:spacing w:before="43"/>
              <w:ind w:left="114" w:right="191"/>
              <w:rPr>
                <w:sz w:val="20"/>
              </w:rPr>
            </w:pPr>
            <w:r>
              <w:rPr>
                <w:sz w:val="20"/>
              </w:rPr>
              <w:t>Annual average imported crude petroleum real price, dollars</w:t>
            </w:r>
          </w:p>
        </w:tc>
        <w:tc>
          <w:tcPr>
            <w:tcW w:w="1285" w:type="dxa"/>
          </w:tcPr>
          <w:p w14:paraId="4F2E8F6A" w14:textId="77777777" w:rsidR="0046798B" w:rsidRDefault="0046798B">
            <w:pPr>
              <w:pStyle w:val="TableParagraph"/>
            </w:pPr>
          </w:p>
          <w:p w14:paraId="4840AB3A" w14:textId="77777777" w:rsidR="0046798B" w:rsidRDefault="00903B5C">
            <w:pPr>
              <w:pStyle w:val="TableParagraph"/>
              <w:spacing w:before="135"/>
              <w:ind w:left="114"/>
              <w:rPr>
                <w:sz w:val="20"/>
              </w:rPr>
            </w:pPr>
            <w:r>
              <w:rPr>
                <w:sz w:val="20"/>
              </w:rPr>
              <w:t>1977–2017</w:t>
            </w:r>
          </w:p>
        </w:tc>
        <w:tc>
          <w:tcPr>
            <w:tcW w:w="3421" w:type="dxa"/>
          </w:tcPr>
          <w:p w14:paraId="73F5A21D" w14:textId="77777777" w:rsidR="0046798B" w:rsidRDefault="0046798B">
            <w:pPr>
              <w:pStyle w:val="TableParagraph"/>
              <w:spacing w:before="8"/>
              <w:rPr>
                <w:sz w:val="23"/>
              </w:rPr>
            </w:pPr>
          </w:p>
          <w:p w14:paraId="31592EC4" w14:textId="77777777" w:rsidR="0046798B" w:rsidRDefault="00903B5C">
            <w:pPr>
              <w:pStyle w:val="TableParagraph"/>
              <w:spacing w:before="1"/>
              <w:ind w:left="114" w:right="750"/>
              <w:rPr>
                <w:sz w:val="20"/>
              </w:rPr>
            </w:pPr>
            <w:r>
              <w:rPr>
                <w:sz w:val="20"/>
              </w:rPr>
              <w:t>Annual average imported crude petroleum real price, dollars</w:t>
            </w:r>
          </w:p>
        </w:tc>
        <w:tc>
          <w:tcPr>
            <w:tcW w:w="6482" w:type="dxa"/>
          </w:tcPr>
          <w:p w14:paraId="4563F556"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AB0ACFC" w14:textId="77777777">
        <w:trPr>
          <w:trHeight w:val="780"/>
        </w:trPr>
        <w:tc>
          <w:tcPr>
            <w:tcW w:w="1711" w:type="dxa"/>
          </w:tcPr>
          <w:p w14:paraId="58161A53" w14:textId="77777777" w:rsidR="0046798B" w:rsidRDefault="0046798B">
            <w:pPr>
              <w:pStyle w:val="TableParagraph"/>
              <w:spacing w:before="9"/>
              <w:rPr>
                <w:sz w:val="23"/>
              </w:rPr>
            </w:pPr>
          </w:p>
          <w:p w14:paraId="62FCCFD8" w14:textId="77777777" w:rsidR="0046798B" w:rsidRDefault="00903B5C">
            <w:pPr>
              <w:pStyle w:val="TableParagraph"/>
              <w:ind w:left="115"/>
              <w:rPr>
                <w:b/>
                <w:sz w:val="20"/>
              </w:rPr>
            </w:pPr>
            <w:r>
              <w:rPr>
                <w:b/>
                <w:sz w:val="20"/>
              </w:rPr>
              <w:t>aoitpi</w:t>
            </w:r>
          </w:p>
        </w:tc>
        <w:tc>
          <w:tcPr>
            <w:tcW w:w="1596" w:type="dxa"/>
          </w:tcPr>
          <w:p w14:paraId="17BE8EAD" w14:textId="77777777" w:rsidR="0046798B" w:rsidRDefault="00903B5C">
            <w:pPr>
              <w:pStyle w:val="TableParagraph"/>
              <w:spacing w:before="43"/>
              <w:ind w:left="114" w:right="246"/>
              <w:rPr>
                <w:sz w:val="20"/>
              </w:rPr>
            </w:pPr>
            <w:r>
              <w:rPr>
                <w:sz w:val="20"/>
              </w:rPr>
              <w:t>Other in-trust spending, % of income</w:t>
            </w:r>
          </w:p>
        </w:tc>
        <w:tc>
          <w:tcPr>
            <w:tcW w:w="1285" w:type="dxa"/>
          </w:tcPr>
          <w:p w14:paraId="04744A55" w14:textId="77777777" w:rsidR="0046798B" w:rsidRDefault="0046798B">
            <w:pPr>
              <w:pStyle w:val="TableParagraph"/>
              <w:spacing w:before="9"/>
              <w:rPr>
                <w:sz w:val="23"/>
              </w:rPr>
            </w:pPr>
          </w:p>
          <w:p w14:paraId="7C545D4A" w14:textId="77777777" w:rsidR="0046798B" w:rsidRDefault="00903B5C">
            <w:pPr>
              <w:pStyle w:val="TableParagraph"/>
              <w:ind w:left="114"/>
              <w:rPr>
                <w:sz w:val="20"/>
              </w:rPr>
            </w:pPr>
            <w:r>
              <w:rPr>
                <w:sz w:val="20"/>
              </w:rPr>
              <w:t>1957–2015</w:t>
            </w:r>
          </w:p>
        </w:tc>
        <w:tc>
          <w:tcPr>
            <w:tcW w:w="3421" w:type="dxa"/>
          </w:tcPr>
          <w:p w14:paraId="4B8BEBD9" w14:textId="77777777" w:rsidR="0046798B" w:rsidRDefault="00903B5C">
            <w:pPr>
              <w:pStyle w:val="TableParagraph"/>
              <w:spacing w:before="158"/>
              <w:ind w:left="114"/>
              <w:rPr>
                <w:sz w:val="20"/>
              </w:rPr>
            </w:pPr>
            <w:r>
              <w:rPr>
                <w:sz w:val="20"/>
              </w:rPr>
              <w:t>Other in-trust spending, % of income (aoitspt / apersinc)</w:t>
            </w:r>
          </w:p>
        </w:tc>
        <w:tc>
          <w:tcPr>
            <w:tcW w:w="6482" w:type="dxa"/>
          </w:tcPr>
          <w:p w14:paraId="51E3C95C"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BEB464D" w14:textId="77777777">
        <w:trPr>
          <w:trHeight w:val="2385"/>
        </w:trPr>
        <w:tc>
          <w:tcPr>
            <w:tcW w:w="1711" w:type="dxa"/>
          </w:tcPr>
          <w:p w14:paraId="56E8FBDD" w14:textId="77777777" w:rsidR="0046798B" w:rsidRDefault="0046798B">
            <w:pPr>
              <w:pStyle w:val="TableParagraph"/>
            </w:pPr>
          </w:p>
          <w:p w14:paraId="43132F97" w14:textId="77777777" w:rsidR="0046798B" w:rsidRDefault="0046798B">
            <w:pPr>
              <w:pStyle w:val="TableParagraph"/>
            </w:pPr>
          </w:p>
          <w:p w14:paraId="521599AF" w14:textId="77777777" w:rsidR="0046798B" w:rsidRDefault="0046798B">
            <w:pPr>
              <w:pStyle w:val="TableParagraph"/>
            </w:pPr>
          </w:p>
          <w:p w14:paraId="21B5A2A5" w14:textId="77777777" w:rsidR="0046798B" w:rsidRDefault="0046798B">
            <w:pPr>
              <w:pStyle w:val="TableParagraph"/>
              <w:spacing w:before="4"/>
              <w:rPr>
                <w:sz w:val="27"/>
              </w:rPr>
            </w:pPr>
          </w:p>
          <w:p w14:paraId="502D6623" w14:textId="77777777" w:rsidR="0046798B" w:rsidRDefault="00903B5C">
            <w:pPr>
              <w:pStyle w:val="TableParagraph"/>
              <w:ind w:left="115"/>
              <w:rPr>
                <w:b/>
                <w:sz w:val="20"/>
              </w:rPr>
            </w:pPr>
            <w:r>
              <w:rPr>
                <w:b/>
                <w:sz w:val="20"/>
              </w:rPr>
              <w:t>aoitspt</w:t>
            </w:r>
          </w:p>
        </w:tc>
        <w:tc>
          <w:tcPr>
            <w:tcW w:w="1596" w:type="dxa"/>
          </w:tcPr>
          <w:p w14:paraId="78B43084" w14:textId="77777777" w:rsidR="0046798B" w:rsidRDefault="00903B5C">
            <w:pPr>
              <w:pStyle w:val="TableParagraph"/>
              <w:spacing w:before="38"/>
              <w:ind w:left="114" w:right="100"/>
              <w:rPr>
                <w:sz w:val="20"/>
              </w:rPr>
            </w:pPr>
            <w:r>
              <w:rPr>
                <w:sz w:val="20"/>
              </w:rPr>
              <w:t xml:space="preserve">State and local government other insurance trust total expenditure, including workers compensation, </w:t>
            </w:r>
            <w:r>
              <w:rPr>
                <w:spacing w:val="-13"/>
                <w:sz w:val="20"/>
              </w:rPr>
              <w:t xml:space="preserve">in </w:t>
            </w:r>
            <w:r>
              <w:rPr>
                <w:sz w:val="20"/>
              </w:rPr>
              <w:t>millions of dollars</w:t>
            </w:r>
          </w:p>
        </w:tc>
        <w:tc>
          <w:tcPr>
            <w:tcW w:w="1285" w:type="dxa"/>
          </w:tcPr>
          <w:p w14:paraId="33B6360F" w14:textId="77777777" w:rsidR="0046798B" w:rsidRDefault="0046798B">
            <w:pPr>
              <w:pStyle w:val="TableParagraph"/>
            </w:pPr>
          </w:p>
          <w:p w14:paraId="7044ABE6" w14:textId="77777777" w:rsidR="0046798B" w:rsidRDefault="0046798B">
            <w:pPr>
              <w:pStyle w:val="TableParagraph"/>
            </w:pPr>
          </w:p>
          <w:p w14:paraId="15837737" w14:textId="77777777" w:rsidR="0046798B" w:rsidRDefault="0046798B">
            <w:pPr>
              <w:pStyle w:val="TableParagraph"/>
            </w:pPr>
          </w:p>
          <w:p w14:paraId="6F8138BE" w14:textId="77777777" w:rsidR="0046798B" w:rsidRDefault="0046798B">
            <w:pPr>
              <w:pStyle w:val="TableParagraph"/>
              <w:spacing w:before="4"/>
              <w:rPr>
                <w:sz w:val="27"/>
              </w:rPr>
            </w:pPr>
          </w:p>
          <w:p w14:paraId="4B6AC0F7" w14:textId="77777777" w:rsidR="0046798B" w:rsidRDefault="00903B5C">
            <w:pPr>
              <w:pStyle w:val="TableParagraph"/>
              <w:ind w:left="114"/>
              <w:rPr>
                <w:sz w:val="20"/>
              </w:rPr>
            </w:pPr>
            <w:r>
              <w:rPr>
                <w:sz w:val="20"/>
              </w:rPr>
              <w:t>1957–2015</w:t>
            </w:r>
          </w:p>
        </w:tc>
        <w:tc>
          <w:tcPr>
            <w:tcW w:w="3421" w:type="dxa"/>
          </w:tcPr>
          <w:p w14:paraId="5979ABF4" w14:textId="77777777" w:rsidR="0046798B" w:rsidRDefault="0046798B">
            <w:pPr>
              <w:pStyle w:val="TableParagraph"/>
            </w:pPr>
          </w:p>
          <w:p w14:paraId="2BC6A2E2" w14:textId="77777777" w:rsidR="0046798B" w:rsidRDefault="0046798B">
            <w:pPr>
              <w:pStyle w:val="TableParagraph"/>
            </w:pPr>
          </w:p>
          <w:p w14:paraId="7E637983" w14:textId="77777777" w:rsidR="0046798B" w:rsidRDefault="0046798B">
            <w:pPr>
              <w:pStyle w:val="TableParagraph"/>
              <w:spacing w:before="4"/>
              <w:rPr>
                <w:sz w:val="19"/>
              </w:rPr>
            </w:pPr>
          </w:p>
          <w:p w14:paraId="49398662" w14:textId="77777777" w:rsidR="0046798B" w:rsidRDefault="00903B5C">
            <w:pPr>
              <w:pStyle w:val="TableParagraph"/>
              <w:ind w:left="114" w:right="410"/>
              <w:rPr>
                <w:sz w:val="20"/>
              </w:rPr>
            </w:pPr>
            <w:r>
              <w:rPr>
                <w:sz w:val="20"/>
              </w:rPr>
              <w:t>State and local government other insurance trust total expenditure, including workers compensation, in millions of dollars</w:t>
            </w:r>
          </w:p>
        </w:tc>
        <w:tc>
          <w:tcPr>
            <w:tcW w:w="6482" w:type="dxa"/>
          </w:tcPr>
          <w:p w14:paraId="3EE537BE" w14:textId="77777777" w:rsidR="0046798B" w:rsidRDefault="0046798B">
            <w:pPr>
              <w:pStyle w:val="TableParagraph"/>
            </w:pPr>
          </w:p>
          <w:p w14:paraId="7A983B34" w14:textId="77777777" w:rsidR="0046798B" w:rsidRDefault="0046798B">
            <w:pPr>
              <w:pStyle w:val="TableParagraph"/>
            </w:pPr>
          </w:p>
          <w:p w14:paraId="3D242929" w14:textId="77777777" w:rsidR="0046798B" w:rsidRDefault="0046798B">
            <w:pPr>
              <w:pStyle w:val="TableParagraph"/>
              <w:spacing w:before="4"/>
              <w:rPr>
                <w:sz w:val="29"/>
              </w:rPr>
            </w:pPr>
          </w:p>
          <w:p w14:paraId="2F4BD9B2" w14:textId="77777777" w:rsidR="0046798B" w:rsidRDefault="00903B5C">
            <w:pPr>
              <w:pStyle w:val="TableParagraph"/>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C157270" w14:textId="77777777">
        <w:trPr>
          <w:trHeight w:val="1235"/>
        </w:trPr>
        <w:tc>
          <w:tcPr>
            <w:tcW w:w="1711" w:type="dxa"/>
          </w:tcPr>
          <w:p w14:paraId="5BF4BA22" w14:textId="77777777" w:rsidR="0046798B" w:rsidRDefault="0046798B">
            <w:pPr>
              <w:pStyle w:val="TableParagraph"/>
            </w:pPr>
          </w:p>
          <w:p w14:paraId="5695931A" w14:textId="77777777" w:rsidR="0046798B" w:rsidRDefault="0046798B">
            <w:pPr>
              <w:pStyle w:val="TableParagraph"/>
              <w:spacing w:before="4"/>
              <w:rPr>
                <w:sz w:val="21"/>
              </w:rPr>
            </w:pPr>
          </w:p>
          <w:p w14:paraId="433923BD" w14:textId="77777777" w:rsidR="0046798B" w:rsidRDefault="00903B5C">
            <w:pPr>
              <w:pStyle w:val="TableParagraph"/>
              <w:ind w:left="115"/>
              <w:rPr>
                <w:b/>
                <w:sz w:val="20"/>
              </w:rPr>
            </w:pPr>
            <w:r>
              <w:rPr>
                <w:b/>
                <w:sz w:val="20"/>
              </w:rPr>
              <w:t>aotht</w:t>
            </w:r>
          </w:p>
        </w:tc>
        <w:tc>
          <w:tcPr>
            <w:tcW w:w="1596" w:type="dxa"/>
          </w:tcPr>
          <w:p w14:paraId="021CD498" w14:textId="77777777" w:rsidR="0046798B" w:rsidRDefault="00903B5C">
            <w:pPr>
              <w:pStyle w:val="TableParagraph"/>
              <w:spacing w:before="38"/>
              <w:ind w:left="114" w:right="274"/>
              <w:rPr>
                <w:sz w:val="20"/>
              </w:rPr>
            </w:pPr>
            <w:r>
              <w:rPr>
                <w:sz w:val="20"/>
              </w:rPr>
              <w:t>State and local revenues from other taxes, in millions of dollars</w:t>
            </w:r>
          </w:p>
        </w:tc>
        <w:tc>
          <w:tcPr>
            <w:tcW w:w="1285" w:type="dxa"/>
          </w:tcPr>
          <w:p w14:paraId="271470E9" w14:textId="77777777" w:rsidR="0046798B" w:rsidRDefault="0046798B">
            <w:pPr>
              <w:pStyle w:val="TableParagraph"/>
            </w:pPr>
          </w:p>
          <w:p w14:paraId="563C5C22" w14:textId="77777777" w:rsidR="0046798B" w:rsidRDefault="0046798B">
            <w:pPr>
              <w:pStyle w:val="TableParagraph"/>
              <w:spacing w:before="4"/>
              <w:rPr>
                <w:sz w:val="21"/>
              </w:rPr>
            </w:pPr>
          </w:p>
          <w:p w14:paraId="64A76BC0" w14:textId="77777777" w:rsidR="0046798B" w:rsidRDefault="00903B5C">
            <w:pPr>
              <w:pStyle w:val="TableParagraph"/>
              <w:ind w:left="114"/>
              <w:rPr>
                <w:sz w:val="20"/>
              </w:rPr>
            </w:pPr>
            <w:r>
              <w:rPr>
                <w:sz w:val="20"/>
              </w:rPr>
              <w:t>1957–2015</w:t>
            </w:r>
          </w:p>
        </w:tc>
        <w:tc>
          <w:tcPr>
            <w:tcW w:w="3421" w:type="dxa"/>
          </w:tcPr>
          <w:p w14:paraId="05DD9812" w14:textId="77777777" w:rsidR="0046798B" w:rsidRDefault="0046798B">
            <w:pPr>
              <w:pStyle w:val="TableParagraph"/>
            </w:pPr>
          </w:p>
          <w:p w14:paraId="211F8C8F" w14:textId="77777777" w:rsidR="0046798B" w:rsidRDefault="00903B5C">
            <w:pPr>
              <w:pStyle w:val="TableParagraph"/>
              <w:spacing w:before="130"/>
              <w:ind w:left="114" w:right="439"/>
              <w:rPr>
                <w:sz w:val="20"/>
              </w:rPr>
            </w:pPr>
            <w:r>
              <w:rPr>
                <w:sz w:val="20"/>
              </w:rPr>
              <w:t>State and local revenues from other taxes, in millions of dollars</w:t>
            </w:r>
          </w:p>
        </w:tc>
        <w:tc>
          <w:tcPr>
            <w:tcW w:w="6482" w:type="dxa"/>
          </w:tcPr>
          <w:p w14:paraId="52600F42" w14:textId="77777777" w:rsidR="0046798B" w:rsidRDefault="0046798B">
            <w:pPr>
              <w:pStyle w:val="TableParagraph"/>
              <w:spacing w:before="3"/>
              <w:rPr>
                <w:sz w:val="23"/>
              </w:rPr>
            </w:pPr>
          </w:p>
          <w:p w14:paraId="4A36317D"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C2E94C4" w14:textId="77777777">
        <w:trPr>
          <w:trHeight w:val="1005"/>
        </w:trPr>
        <w:tc>
          <w:tcPr>
            <w:tcW w:w="1711" w:type="dxa"/>
          </w:tcPr>
          <w:p w14:paraId="7DD3E6FC" w14:textId="77777777" w:rsidR="0046798B" w:rsidRDefault="0046798B">
            <w:pPr>
              <w:pStyle w:val="TableParagraph"/>
            </w:pPr>
          </w:p>
          <w:p w14:paraId="45514982" w14:textId="77777777" w:rsidR="0046798B" w:rsidRDefault="00903B5C">
            <w:pPr>
              <w:pStyle w:val="TableParagraph"/>
              <w:spacing w:before="130"/>
              <w:ind w:left="115"/>
              <w:rPr>
                <w:b/>
                <w:sz w:val="20"/>
              </w:rPr>
            </w:pPr>
            <w:r>
              <w:rPr>
                <w:b/>
                <w:sz w:val="20"/>
              </w:rPr>
              <w:t>aparkpi</w:t>
            </w:r>
          </w:p>
        </w:tc>
        <w:tc>
          <w:tcPr>
            <w:tcW w:w="1596" w:type="dxa"/>
          </w:tcPr>
          <w:p w14:paraId="5A7DD2B9" w14:textId="77777777" w:rsidR="0046798B" w:rsidRDefault="00903B5C">
            <w:pPr>
              <w:pStyle w:val="TableParagraph"/>
              <w:spacing w:before="38"/>
              <w:ind w:left="114" w:right="246"/>
              <w:rPr>
                <w:sz w:val="20"/>
              </w:rPr>
            </w:pPr>
            <w:r>
              <w:rPr>
                <w:sz w:val="20"/>
              </w:rPr>
              <w:t>Parks and recreation spending, % of income</w:t>
            </w:r>
          </w:p>
        </w:tc>
        <w:tc>
          <w:tcPr>
            <w:tcW w:w="1285" w:type="dxa"/>
          </w:tcPr>
          <w:p w14:paraId="2809DC86" w14:textId="77777777" w:rsidR="0046798B" w:rsidRDefault="0046798B">
            <w:pPr>
              <w:pStyle w:val="TableParagraph"/>
            </w:pPr>
          </w:p>
          <w:p w14:paraId="1D5DC7F0" w14:textId="77777777" w:rsidR="0046798B" w:rsidRDefault="00903B5C">
            <w:pPr>
              <w:pStyle w:val="TableParagraph"/>
              <w:spacing w:before="130"/>
              <w:ind w:left="114"/>
              <w:rPr>
                <w:sz w:val="20"/>
              </w:rPr>
            </w:pPr>
            <w:r>
              <w:rPr>
                <w:sz w:val="20"/>
              </w:rPr>
              <w:t>1957–2015</w:t>
            </w:r>
          </w:p>
        </w:tc>
        <w:tc>
          <w:tcPr>
            <w:tcW w:w="3421" w:type="dxa"/>
          </w:tcPr>
          <w:p w14:paraId="31CC1210" w14:textId="77777777" w:rsidR="0046798B" w:rsidRDefault="0046798B">
            <w:pPr>
              <w:pStyle w:val="TableParagraph"/>
              <w:spacing w:before="3"/>
              <w:rPr>
                <w:sz w:val="23"/>
              </w:rPr>
            </w:pPr>
          </w:p>
          <w:p w14:paraId="7CDDBB69" w14:textId="77777777" w:rsidR="0046798B" w:rsidRDefault="00903B5C">
            <w:pPr>
              <w:pStyle w:val="TableParagraph"/>
              <w:spacing w:before="1"/>
              <w:ind w:left="114" w:right="389"/>
              <w:rPr>
                <w:sz w:val="20"/>
              </w:rPr>
            </w:pPr>
            <w:r>
              <w:rPr>
                <w:sz w:val="20"/>
              </w:rPr>
              <w:t>Parks and recreation spending, % of income (aparkspt / apersinc)</w:t>
            </w:r>
          </w:p>
        </w:tc>
        <w:tc>
          <w:tcPr>
            <w:tcW w:w="6482" w:type="dxa"/>
          </w:tcPr>
          <w:p w14:paraId="616BB5E9" w14:textId="77777777" w:rsidR="0046798B" w:rsidRDefault="00903B5C">
            <w:pPr>
              <w:pStyle w:val="TableParagraph"/>
              <w:spacing w:before="15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43CD659" w14:textId="77777777">
        <w:trPr>
          <w:trHeight w:val="1005"/>
        </w:trPr>
        <w:tc>
          <w:tcPr>
            <w:tcW w:w="1711" w:type="dxa"/>
          </w:tcPr>
          <w:p w14:paraId="220E1D57" w14:textId="77777777" w:rsidR="0046798B" w:rsidRDefault="0046798B">
            <w:pPr>
              <w:pStyle w:val="TableParagraph"/>
            </w:pPr>
          </w:p>
          <w:p w14:paraId="12884915" w14:textId="77777777" w:rsidR="0046798B" w:rsidRDefault="00903B5C">
            <w:pPr>
              <w:pStyle w:val="TableParagraph"/>
              <w:spacing w:before="135"/>
              <w:ind w:left="115"/>
              <w:rPr>
                <w:b/>
                <w:sz w:val="20"/>
              </w:rPr>
            </w:pPr>
            <w:r>
              <w:rPr>
                <w:b/>
                <w:sz w:val="20"/>
              </w:rPr>
              <w:t>aparkspt</w:t>
            </w:r>
          </w:p>
        </w:tc>
        <w:tc>
          <w:tcPr>
            <w:tcW w:w="1596" w:type="dxa"/>
          </w:tcPr>
          <w:p w14:paraId="11686022" w14:textId="77777777" w:rsidR="0046798B" w:rsidRDefault="00903B5C">
            <w:pPr>
              <w:pStyle w:val="TableParagraph"/>
              <w:spacing w:before="43"/>
              <w:ind w:left="114" w:right="147"/>
              <w:rPr>
                <w:sz w:val="20"/>
              </w:rPr>
            </w:pPr>
            <w:r>
              <w:rPr>
                <w:sz w:val="20"/>
              </w:rPr>
              <w:t>State and local government parks and recreation direct</w:t>
            </w:r>
          </w:p>
        </w:tc>
        <w:tc>
          <w:tcPr>
            <w:tcW w:w="1285" w:type="dxa"/>
          </w:tcPr>
          <w:p w14:paraId="6C3C9FFC" w14:textId="77777777" w:rsidR="0046798B" w:rsidRDefault="0046798B">
            <w:pPr>
              <w:pStyle w:val="TableParagraph"/>
            </w:pPr>
          </w:p>
          <w:p w14:paraId="6CD28A1E" w14:textId="77777777" w:rsidR="0046798B" w:rsidRDefault="00903B5C">
            <w:pPr>
              <w:pStyle w:val="TableParagraph"/>
              <w:spacing w:before="135"/>
              <w:ind w:left="114"/>
              <w:rPr>
                <w:sz w:val="20"/>
              </w:rPr>
            </w:pPr>
            <w:r>
              <w:rPr>
                <w:sz w:val="20"/>
              </w:rPr>
              <w:t>1957–2015</w:t>
            </w:r>
          </w:p>
        </w:tc>
        <w:tc>
          <w:tcPr>
            <w:tcW w:w="3421" w:type="dxa"/>
          </w:tcPr>
          <w:p w14:paraId="64099F9A" w14:textId="77777777" w:rsidR="0046798B" w:rsidRDefault="00903B5C">
            <w:pPr>
              <w:pStyle w:val="TableParagraph"/>
              <w:spacing w:before="158"/>
              <w:ind w:left="114" w:right="272"/>
              <w:rPr>
                <w:sz w:val="20"/>
              </w:rPr>
            </w:pPr>
            <w:r>
              <w:rPr>
                <w:sz w:val="20"/>
              </w:rPr>
              <w:t>State and local government parks and recreation direct expenditure, in millions of dollars</w:t>
            </w:r>
          </w:p>
        </w:tc>
        <w:tc>
          <w:tcPr>
            <w:tcW w:w="6482" w:type="dxa"/>
          </w:tcPr>
          <w:p w14:paraId="603CB6C7"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7CF7D6F1" w14:textId="77777777" w:rsidR="0046798B" w:rsidRDefault="0046798B">
      <w:pPr>
        <w:rPr>
          <w:sz w:val="20"/>
        </w:rPr>
        <w:sectPr w:rsidR="0046798B">
          <w:pgSz w:w="15840" w:h="12240" w:orient="landscape"/>
          <w:pgMar w:top="1220" w:right="300" w:bottom="980" w:left="820" w:header="730" w:footer="787" w:gutter="0"/>
          <w:cols w:space="720"/>
        </w:sectPr>
      </w:pPr>
    </w:p>
    <w:p w14:paraId="4AFDC7BF"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59CAE4DA" w14:textId="77777777">
        <w:trPr>
          <w:trHeight w:val="775"/>
        </w:trPr>
        <w:tc>
          <w:tcPr>
            <w:tcW w:w="1711" w:type="dxa"/>
          </w:tcPr>
          <w:p w14:paraId="04E4CF52" w14:textId="77777777" w:rsidR="0046798B" w:rsidRDefault="0046798B">
            <w:pPr>
              <w:pStyle w:val="TableParagraph"/>
              <w:rPr>
                <w:sz w:val="20"/>
              </w:rPr>
            </w:pPr>
          </w:p>
        </w:tc>
        <w:tc>
          <w:tcPr>
            <w:tcW w:w="1596" w:type="dxa"/>
          </w:tcPr>
          <w:p w14:paraId="58F2239A" w14:textId="77777777" w:rsidR="0046798B" w:rsidRDefault="00903B5C">
            <w:pPr>
              <w:pStyle w:val="TableParagraph"/>
              <w:spacing w:before="43"/>
              <w:ind w:left="114" w:right="252"/>
              <w:rPr>
                <w:sz w:val="20"/>
              </w:rPr>
            </w:pPr>
            <w:r>
              <w:rPr>
                <w:sz w:val="20"/>
              </w:rPr>
              <w:t>expenditure, in millions of dollars</w:t>
            </w:r>
          </w:p>
        </w:tc>
        <w:tc>
          <w:tcPr>
            <w:tcW w:w="1285" w:type="dxa"/>
          </w:tcPr>
          <w:p w14:paraId="5C4CA83B" w14:textId="77777777" w:rsidR="0046798B" w:rsidRDefault="0046798B">
            <w:pPr>
              <w:pStyle w:val="TableParagraph"/>
              <w:rPr>
                <w:sz w:val="20"/>
              </w:rPr>
            </w:pPr>
          </w:p>
        </w:tc>
        <w:tc>
          <w:tcPr>
            <w:tcW w:w="3421" w:type="dxa"/>
          </w:tcPr>
          <w:p w14:paraId="03DEBEBF" w14:textId="77777777" w:rsidR="0046798B" w:rsidRDefault="0046798B">
            <w:pPr>
              <w:pStyle w:val="TableParagraph"/>
              <w:rPr>
                <w:sz w:val="20"/>
              </w:rPr>
            </w:pPr>
          </w:p>
        </w:tc>
        <w:tc>
          <w:tcPr>
            <w:tcW w:w="6482" w:type="dxa"/>
          </w:tcPr>
          <w:p w14:paraId="13485AAA" w14:textId="77777777" w:rsidR="0046798B" w:rsidRDefault="0046798B">
            <w:pPr>
              <w:pStyle w:val="TableParagraph"/>
              <w:rPr>
                <w:sz w:val="20"/>
              </w:rPr>
            </w:pPr>
          </w:p>
        </w:tc>
      </w:tr>
      <w:tr w:rsidR="0046798B" w14:paraId="160F1C00" w14:textId="77777777">
        <w:trPr>
          <w:trHeight w:val="775"/>
        </w:trPr>
        <w:tc>
          <w:tcPr>
            <w:tcW w:w="1711" w:type="dxa"/>
          </w:tcPr>
          <w:p w14:paraId="57BA68C5" w14:textId="77777777" w:rsidR="0046798B" w:rsidRDefault="0046798B">
            <w:pPr>
              <w:pStyle w:val="TableParagraph"/>
              <w:spacing w:before="8"/>
              <w:rPr>
                <w:sz w:val="23"/>
              </w:rPr>
            </w:pPr>
          </w:p>
          <w:p w14:paraId="255224C9" w14:textId="77777777" w:rsidR="0046798B" w:rsidRDefault="00903B5C">
            <w:pPr>
              <w:pStyle w:val="TableParagraph"/>
              <w:spacing w:before="1"/>
              <w:ind w:left="115"/>
              <w:rPr>
                <w:b/>
                <w:sz w:val="20"/>
              </w:rPr>
            </w:pPr>
            <w:r>
              <w:rPr>
                <w:b/>
                <w:sz w:val="20"/>
              </w:rPr>
              <w:t>apkgpi</w:t>
            </w:r>
          </w:p>
        </w:tc>
        <w:tc>
          <w:tcPr>
            <w:tcW w:w="1596" w:type="dxa"/>
          </w:tcPr>
          <w:p w14:paraId="5B59F6FA" w14:textId="77777777" w:rsidR="0046798B" w:rsidRDefault="00903B5C">
            <w:pPr>
              <w:pStyle w:val="TableParagraph"/>
              <w:spacing w:before="43"/>
              <w:ind w:left="114" w:right="246"/>
              <w:rPr>
                <w:sz w:val="20"/>
              </w:rPr>
            </w:pPr>
            <w:r>
              <w:rPr>
                <w:sz w:val="20"/>
              </w:rPr>
              <w:t>Parking spending, % of income</w:t>
            </w:r>
          </w:p>
        </w:tc>
        <w:tc>
          <w:tcPr>
            <w:tcW w:w="1285" w:type="dxa"/>
          </w:tcPr>
          <w:p w14:paraId="2564CB5C" w14:textId="77777777" w:rsidR="0046798B" w:rsidRDefault="0046798B">
            <w:pPr>
              <w:pStyle w:val="TableParagraph"/>
              <w:spacing w:before="8"/>
              <w:rPr>
                <w:sz w:val="23"/>
              </w:rPr>
            </w:pPr>
          </w:p>
          <w:p w14:paraId="26DA4989" w14:textId="77777777" w:rsidR="0046798B" w:rsidRDefault="00903B5C">
            <w:pPr>
              <w:pStyle w:val="TableParagraph"/>
              <w:spacing w:before="1"/>
              <w:ind w:left="114"/>
              <w:rPr>
                <w:sz w:val="20"/>
              </w:rPr>
            </w:pPr>
            <w:r>
              <w:rPr>
                <w:sz w:val="20"/>
              </w:rPr>
              <w:t>1957–2015</w:t>
            </w:r>
          </w:p>
        </w:tc>
        <w:tc>
          <w:tcPr>
            <w:tcW w:w="3421" w:type="dxa"/>
          </w:tcPr>
          <w:p w14:paraId="1F43E0B1" w14:textId="77777777" w:rsidR="0046798B" w:rsidRDefault="00903B5C">
            <w:pPr>
              <w:pStyle w:val="TableParagraph"/>
              <w:spacing w:before="158"/>
              <w:ind w:left="114" w:right="205"/>
              <w:rPr>
                <w:sz w:val="20"/>
              </w:rPr>
            </w:pPr>
            <w:r>
              <w:rPr>
                <w:sz w:val="20"/>
              </w:rPr>
              <w:t>Parking spending, % of income (apkgspt / apersinc)</w:t>
            </w:r>
          </w:p>
        </w:tc>
        <w:tc>
          <w:tcPr>
            <w:tcW w:w="6482" w:type="dxa"/>
          </w:tcPr>
          <w:p w14:paraId="0A0FAA90" w14:textId="77777777" w:rsidR="0046798B" w:rsidRDefault="00903B5C">
            <w:pPr>
              <w:pStyle w:val="TableParagraph"/>
              <w:spacing w:before="4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3ECA715" w14:textId="77777777">
        <w:trPr>
          <w:trHeight w:val="1471"/>
        </w:trPr>
        <w:tc>
          <w:tcPr>
            <w:tcW w:w="1711" w:type="dxa"/>
          </w:tcPr>
          <w:p w14:paraId="5CB1DCA1" w14:textId="77777777" w:rsidR="0046798B" w:rsidRDefault="0046798B">
            <w:pPr>
              <w:pStyle w:val="TableParagraph"/>
            </w:pPr>
          </w:p>
          <w:p w14:paraId="2E69E1E8" w14:textId="77777777" w:rsidR="0046798B" w:rsidRDefault="0046798B">
            <w:pPr>
              <w:pStyle w:val="TableParagraph"/>
              <w:spacing w:before="9"/>
              <w:rPr>
                <w:sz w:val="31"/>
              </w:rPr>
            </w:pPr>
          </w:p>
          <w:p w14:paraId="2F0C5DD2" w14:textId="77777777" w:rsidR="0046798B" w:rsidRDefault="00903B5C">
            <w:pPr>
              <w:pStyle w:val="TableParagraph"/>
              <w:ind w:left="115"/>
              <w:rPr>
                <w:b/>
                <w:sz w:val="20"/>
              </w:rPr>
            </w:pPr>
            <w:r>
              <w:rPr>
                <w:b/>
                <w:sz w:val="20"/>
              </w:rPr>
              <w:t>apkgspt</w:t>
            </w:r>
          </w:p>
        </w:tc>
        <w:tc>
          <w:tcPr>
            <w:tcW w:w="1596" w:type="dxa"/>
          </w:tcPr>
          <w:p w14:paraId="08780148" w14:textId="77777777" w:rsidR="0046798B" w:rsidRDefault="00903B5C">
            <w:pPr>
              <w:pStyle w:val="TableParagraph"/>
              <w:spacing w:before="44"/>
              <w:ind w:left="114" w:right="252"/>
              <w:rPr>
                <w:sz w:val="20"/>
              </w:rPr>
            </w:pPr>
            <w:r>
              <w:rPr>
                <w:sz w:val="20"/>
              </w:rPr>
              <w:t>State and local government parking direct expenditure, in millions of dollars</w:t>
            </w:r>
          </w:p>
        </w:tc>
        <w:tc>
          <w:tcPr>
            <w:tcW w:w="1285" w:type="dxa"/>
          </w:tcPr>
          <w:p w14:paraId="7ED5DF46" w14:textId="77777777" w:rsidR="0046798B" w:rsidRDefault="0046798B">
            <w:pPr>
              <w:pStyle w:val="TableParagraph"/>
            </w:pPr>
          </w:p>
          <w:p w14:paraId="6DE38281" w14:textId="77777777" w:rsidR="0046798B" w:rsidRDefault="0046798B">
            <w:pPr>
              <w:pStyle w:val="TableParagraph"/>
              <w:spacing w:before="9"/>
              <w:rPr>
                <w:sz w:val="31"/>
              </w:rPr>
            </w:pPr>
          </w:p>
          <w:p w14:paraId="4C12754A" w14:textId="77777777" w:rsidR="0046798B" w:rsidRDefault="00903B5C">
            <w:pPr>
              <w:pStyle w:val="TableParagraph"/>
              <w:ind w:left="114"/>
              <w:rPr>
                <w:sz w:val="20"/>
              </w:rPr>
            </w:pPr>
            <w:r>
              <w:rPr>
                <w:sz w:val="20"/>
              </w:rPr>
              <w:t>1957–2015</w:t>
            </w:r>
          </w:p>
        </w:tc>
        <w:tc>
          <w:tcPr>
            <w:tcW w:w="3421" w:type="dxa"/>
          </w:tcPr>
          <w:p w14:paraId="7B2A7D68" w14:textId="77777777" w:rsidR="0046798B" w:rsidRDefault="0046798B">
            <w:pPr>
              <w:pStyle w:val="TableParagraph"/>
            </w:pPr>
          </w:p>
          <w:p w14:paraId="281A03B5" w14:textId="77777777" w:rsidR="0046798B" w:rsidRDefault="00903B5C">
            <w:pPr>
              <w:pStyle w:val="TableParagraph"/>
              <w:spacing w:before="136"/>
              <w:ind w:left="114" w:right="433"/>
              <w:rPr>
                <w:sz w:val="20"/>
              </w:rPr>
            </w:pPr>
            <w:r>
              <w:rPr>
                <w:sz w:val="20"/>
              </w:rPr>
              <w:t>State and local government parking direct expenditure, in millions of dollars</w:t>
            </w:r>
          </w:p>
        </w:tc>
        <w:tc>
          <w:tcPr>
            <w:tcW w:w="6482" w:type="dxa"/>
          </w:tcPr>
          <w:p w14:paraId="090CF33A" w14:textId="77777777" w:rsidR="0046798B" w:rsidRDefault="0046798B">
            <w:pPr>
              <w:pStyle w:val="TableParagraph"/>
            </w:pPr>
          </w:p>
          <w:p w14:paraId="50DB9B96" w14:textId="77777777" w:rsidR="0046798B" w:rsidRDefault="00903B5C">
            <w:pPr>
              <w:pStyle w:val="TableParagraph"/>
              <w:spacing w:before="136"/>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A5A8D62" w14:textId="77777777">
        <w:trPr>
          <w:trHeight w:val="1005"/>
        </w:trPr>
        <w:tc>
          <w:tcPr>
            <w:tcW w:w="1711" w:type="dxa"/>
          </w:tcPr>
          <w:p w14:paraId="78D27F15" w14:textId="77777777" w:rsidR="0046798B" w:rsidRDefault="0046798B">
            <w:pPr>
              <w:pStyle w:val="TableParagraph"/>
            </w:pPr>
          </w:p>
          <w:p w14:paraId="3E623A25" w14:textId="77777777" w:rsidR="0046798B" w:rsidRDefault="00903B5C">
            <w:pPr>
              <w:pStyle w:val="TableParagraph"/>
              <w:spacing w:before="130"/>
              <w:ind w:left="115"/>
              <w:rPr>
                <w:b/>
                <w:sz w:val="20"/>
              </w:rPr>
            </w:pPr>
            <w:r>
              <w:rPr>
                <w:b/>
                <w:sz w:val="20"/>
              </w:rPr>
              <w:t>apolpi</w:t>
            </w:r>
          </w:p>
        </w:tc>
        <w:tc>
          <w:tcPr>
            <w:tcW w:w="1596" w:type="dxa"/>
          </w:tcPr>
          <w:p w14:paraId="595D7E79" w14:textId="77777777" w:rsidR="0046798B" w:rsidRDefault="00903B5C">
            <w:pPr>
              <w:pStyle w:val="TableParagraph"/>
              <w:spacing w:before="38"/>
              <w:ind w:left="114" w:right="246"/>
              <w:rPr>
                <w:sz w:val="20"/>
              </w:rPr>
            </w:pPr>
            <w:r>
              <w:rPr>
                <w:sz w:val="20"/>
              </w:rPr>
              <w:t>Police, fire, regulatory spending, % of income</w:t>
            </w:r>
          </w:p>
        </w:tc>
        <w:tc>
          <w:tcPr>
            <w:tcW w:w="1285" w:type="dxa"/>
          </w:tcPr>
          <w:p w14:paraId="72C9CA69" w14:textId="77777777" w:rsidR="0046798B" w:rsidRDefault="0046798B">
            <w:pPr>
              <w:pStyle w:val="TableParagraph"/>
            </w:pPr>
          </w:p>
          <w:p w14:paraId="426711E9" w14:textId="77777777" w:rsidR="0046798B" w:rsidRDefault="00903B5C">
            <w:pPr>
              <w:pStyle w:val="TableParagraph"/>
              <w:spacing w:before="130"/>
              <w:ind w:left="114"/>
              <w:rPr>
                <w:sz w:val="20"/>
              </w:rPr>
            </w:pPr>
            <w:r>
              <w:rPr>
                <w:sz w:val="20"/>
              </w:rPr>
              <w:t>1957–2015</w:t>
            </w:r>
          </w:p>
        </w:tc>
        <w:tc>
          <w:tcPr>
            <w:tcW w:w="3421" w:type="dxa"/>
          </w:tcPr>
          <w:p w14:paraId="0726E38D" w14:textId="77777777" w:rsidR="0046798B" w:rsidRDefault="0046798B">
            <w:pPr>
              <w:pStyle w:val="TableParagraph"/>
              <w:spacing w:before="3"/>
              <w:rPr>
                <w:sz w:val="23"/>
              </w:rPr>
            </w:pPr>
          </w:p>
          <w:p w14:paraId="79F44BC5" w14:textId="77777777" w:rsidR="0046798B" w:rsidRDefault="00903B5C">
            <w:pPr>
              <w:pStyle w:val="TableParagraph"/>
              <w:spacing w:before="1"/>
              <w:ind w:left="114"/>
              <w:rPr>
                <w:sz w:val="20"/>
              </w:rPr>
            </w:pPr>
            <w:r>
              <w:rPr>
                <w:sz w:val="20"/>
              </w:rPr>
              <w:t>Police, fire, regulatory spending, % of income</w:t>
            </w:r>
          </w:p>
        </w:tc>
        <w:tc>
          <w:tcPr>
            <w:tcW w:w="6482" w:type="dxa"/>
          </w:tcPr>
          <w:p w14:paraId="2C0BC392" w14:textId="77777777" w:rsidR="0046798B" w:rsidRDefault="00903B5C">
            <w:pPr>
              <w:pStyle w:val="TableParagraph"/>
              <w:spacing w:before="15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C897F0E" w14:textId="77777777">
        <w:trPr>
          <w:trHeight w:val="775"/>
        </w:trPr>
        <w:tc>
          <w:tcPr>
            <w:tcW w:w="1711" w:type="dxa"/>
          </w:tcPr>
          <w:p w14:paraId="5EEEBE2B" w14:textId="77777777" w:rsidR="0046798B" w:rsidRDefault="0046798B">
            <w:pPr>
              <w:pStyle w:val="TableParagraph"/>
              <w:spacing w:before="4"/>
              <w:rPr>
                <w:sz w:val="23"/>
              </w:rPr>
            </w:pPr>
          </w:p>
          <w:p w14:paraId="08026219" w14:textId="77777777" w:rsidR="0046798B" w:rsidRDefault="00903B5C">
            <w:pPr>
              <w:pStyle w:val="TableParagraph"/>
              <w:ind w:left="115"/>
              <w:rPr>
                <w:b/>
                <w:sz w:val="20"/>
              </w:rPr>
            </w:pPr>
            <w:r>
              <w:rPr>
                <w:b/>
                <w:sz w:val="20"/>
              </w:rPr>
              <w:t>apolpia</w:t>
            </w:r>
          </w:p>
        </w:tc>
        <w:tc>
          <w:tcPr>
            <w:tcW w:w="1596" w:type="dxa"/>
          </w:tcPr>
          <w:p w14:paraId="5E7A10D4" w14:textId="77777777" w:rsidR="0046798B" w:rsidRDefault="00903B5C">
            <w:pPr>
              <w:pStyle w:val="TableParagraph"/>
              <w:spacing w:before="38"/>
              <w:ind w:left="114" w:right="297"/>
              <w:rPr>
                <w:sz w:val="20"/>
              </w:rPr>
            </w:pPr>
            <w:r>
              <w:rPr>
                <w:sz w:val="20"/>
              </w:rPr>
              <w:t>Unexpected police and fire spending</w:t>
            </w:r>
          </w:p>
        </w:tc>
        <w:tc>
          <w:tcPr>
            <w:tcW w:w="1285" w:type="dxa"/>
          </w:tcPr>
          <w:p w14:paraId="0BE47441" w14:textId="77777777" w:rsidR="0046798B" w:rsidRDefault="0046798B">
            <w:pPr>
              <w:pStyle w:val="TableParagraph"/>
              <w:spacing w:before="4"/>
              <w:rPr>
                <w:sz w:val="23"/>
              </w:rPr>
            </w:pPr>
          </w:p>
          <w:p w14:paraId="564C8FEB" w14:textId="77777777" w:rsidR="0046798B" w:rsidRDefault="00903B5C">
            <w:pPr>
              <w:pStyle w:val="TableParagraph"/>
              <w:ind w:left="114"/>
              <w:rPr>
                <w:sz w:val="20"/>
              </w:rPr>
            </w:pPr>
            <w:r>
              <w:rPr>
                <w:sz w:val="20"/>
              </w:rPr>
              <w:t>1957–2015</w:t>
            </w:r>
          </w:p>
        </w:tc>
        <w:tc>
          <w:tcPr>
            <w:tcW w:w="3421" w:type="dxa"/>
          </w:tcPr>
          <w:p w14:paraId="523A0DF3" w14:textId="77777777" w:rsidR="0046798B" w:rsidRDefault="00903B5C">
            <w:pPr>
              <w:pStyle w:val="TableParagraph"/>
              <w:spacing w:before="38"/>
              <w:ind w:left="114" w:right="344"/>
              <w:rPr>
                <w:sz w:val="20"/>
              </w:rPr>
            </w:pPr>
            <w:r>
              <w:rPr>
                <w:sz w:val="20"/>
              </w:rPr>
              <w:t>Unexpected police and fire spending (modified by agrantspi, equation derived from diff-in-diff estimate)</w:t>
            </w:r>
          </w:p>
        </w:tc>
        <w:tc>
          <w:tcPr>
            <w:tcW w:w="6482" w:type="dxa"/>
          </w:tcPr>
          <w:p w14:paraId="18360C7B" w14:textId="77777777" w:rsidR="0046798B" w:rsidRDefault="00903B5C">
            <w:pPr>
              <w:pStyle w:val="TableParagraph"/>
              <w:spacing w:before="3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5EA4271" w14:textId="77777777">
        <w:trPr>
          <w:trHeight w:val="2156"/>
        </w:trPr>
        <w:tc>
          <w:tcPr>
            <w:tcW w:w="1711" w:type="dxa"/>
          </w:tcPr>
          <w:p w14:paraId="71DC3B03" w14:textId="77777777" w:rsidR="0046798B" w:rsidRDefault="0046798B">
            <w:pPr>
              <w:pStyle w:val="TableParagraph"/>
            </w:pPr>
          </w:p>
          <w:p w14:paraId="28D0D6E8" w14:textId="77777777" w:rsidR="0046798B" w:rsidRDefault="0046798B">
            <w:pPr>
              <w:pStyle w:val="TableParagraph"/>
            </w:pPr>
          </w:p>
          <w:p w14:paraId="6ED13CA6" w14:textId="77777777" w:rsidR="0046798B" w:rsidRDefault="0046798B">
            <w:pPr>
              <w:pStyle w:val="TableParagraph"/>
            </w:pPr>
          </w:p>
          <w:p w14:paraId="6C109940" w14:textId="77777777" w:rsidR="0046798B" w:rsidRDefault="0046798B">
            <w:pPr>
              <w:pStyle w:val="TableParagraph"/>
              <w:spacing w:before="9"/>
              <w:rPr>
                <w:sz w:val="17"/>
              </w:rPr>
            </w:pPr>
          </w:p>
          <w:p w14:paraId="53D40A49" w14:textId="77777777" w:rsidR="0046798B" w:rsidRDefault="00903B5C">
            <w:pPr>
              <w:pStyle w:val="TableParagraph"/>
              <w:ind w:left="115"/>
              <w:rPr>
                <w:b/>
                <w:sz w:val="20"/>
              </w:rPr>
            </w:pPr>
            <w:r>
              <w:rPr>
                <w:b/>
                <w:sz w:val="20"/>
              </w:rPr>
              <w:t>apolspt</w:t>
            </w:r>
          </w:p>
        </w:tc>
        <w:tc>
          <w:tcPr>
            <w:tcW w:w="1596" w:type="dxa"/>
          </w:tcPr>
          <w:p w14:paraId="089B6ADD" w14:textId="77777777" w:rsidR="0046798B" w:rsidRDefault="00903B5C">
            <w:pPr>
              <w:pStyle w:val="TableParagraph"/>
              <w:spacing w:before="43"/>
              <w:ind w:left="114" w:right="124"/>
              <w:rPr>
                <w:sz w:val="20"/>
              </w:rPr>
            </w:pPr>
            <w:r>
              <w:rPr>
                <w:sz w:val="20"/>
              </w:rPr>
              <w:t>State and local government police and fire protection and regulatory inspection direct expenditure, in millions of dollars</w:t>
            </w:r>
          </w:p>
        </w:tc>
        <w:tc>
          <w:tcPr>
            <w:tcW w:w="1285" w:type="dxa"/>
          </w:tcPr>
          <w:p w14:paraId="4D5F59AE" w14:textId="77777777" w:rsidR="0046798B" w:rsidRDefault="0046798B">
            <w:pPr>
              <w:pStyle w:val="TableParagraph"/>
            </w:pPr>
          </w:p>
          <w:p w14:paraId="5E00474B" w14:textId="77777777" w:rsidR="0046798B" w:rsidRDefault="0046798B">
            <w:pPr>
              <w:pStyle w:val="TableParagraph"/>
            </w:pPr>
          </w:p>
          <w:p w14:paraId="4BBBF557" w14:textId="77777777" w:rsidR="0046798B" w:rsidRDefault="0046798B">
            <w:pPr>
              <w:pStyle w:val="TableParagraph"/>
            </w:pPr>
          </w:p>
          <w:p w14:paraId="04BFF66E" w14:textId="77777777" w:rsidR="0046798B" w:rsidRDefault="0046798B">
            <w:pPr>
              <w:pStyle w:val="TableParagraph"/>
              <w:spacing w:before="9"/>
              <w:rPr>
                <w:sz w:val="17"/>
              </w:rPr>
            </w:pPr>
          </w:p>
          <w:p w14:paraId="535D9C0C" w14:textId="77777777" w:rsidR="0046798B" w:rsidRDefault="00903B5C">
            <w:pPr>
              <w:pStyle w:val="TableParagraph"/>
              <w:ind w:left="114"/>
              <w:rPr>
                <w:sz w:val="20"/>
              </w:rPr>
            </w:pPr>
            <w:r>
              <w:rPr>
                <w:sz w:val="20"/>
              </w:rPr>
              <w:t>1957–2015</w:t>
            </w:r>
          </w:p>
        </w:tc>
        <w:tc>
          <w:tcPr>
            <w:tcW w:w="3421" w:type="dxa"/>
          </w:tcPr>
          <w:p w14:paraId="49385A24" w14:textId="77777777" w:rsidR="0046798B" w:rsidRDefault="0046798B">
            <w:pPr>
              <w:pStyle w:val="TableParagraph"/>
            </w:pPr>
          </w:p>
          <w:p w14:paraId="11E6F27E" w14:textId="77777777" w:rsidR="0046798B" w:rsidRDefault="0046798B">
            <w:pPr>
              <w:pStyle w:val="TableParagraph"/>
              <w:spacing w:before="11"/>
              <w:rPr>
                <w:sz w:val="31"/>
              </w:rPr>
            </w:pPr>
          </w:p>
          <w:p w14:paraId="63F19653" w14:textId="77777777" w:rsidR="0046798B" w:rsidRDefault="00903B5C">
            <w:pPr>
              <w:pStyle w:val="TableParagraph"/>
              <w:spacing w:line="237" w:lineRule="auto"/>
              <w:ind w:left="114" w:right="216"/>
              <w:rPr>
                <w:sz w:val="20"/>
              </w:rPr>
            </w:pPr>
            <w:r>
              <w:rPr>
                <w:sz w:val="20"/>
              </w:rPr>
              <w:t>State and local government police and fire protection and regulatory inspection direct expenditure, in millions of dollars</w:t>
            </w:r>
          </w:p>
        </w:tc>
        <w:tc>
          <w:tcPr>
            <w:tcW w:w="6482" w:type="dxa"/>
          </w:tcPr>
          <w:p w14:paraId="4620E417" w14:textId="77777777" w:rsidR="0046798B" w:rsidRDefault="0046798B">
            <w:pPr>
              <w:pStyle w:val="TableParagraph"/>
            </w:pPr>
          </w:p>
          <w:p w14:paraId="76DB1C72" w14:textId="77777777" w:rsidR="0046798B" w:rsidRDefault="0046798B">
            <w:pPr>
              <w:pStyle w:val="TableParagraph"/>
            </w:pPr>
          </w:p>
          <w:p w14:paraId="4EDF364D" w14:textId="77777777" w:rsidR="0046798B" w:rsidRDefault="0046798B">
            <w:pPr>
              <w:pStyle w:val="TableParagraph"/>
              <w:spacing w:before="11"/>
              <w:rPr>
                <w:sz w:val="19"/>
              </w:rPr>
            </w:pPr>
          </w:p>
          <w:p w14:paraId="64330F99" w14:textId="77777777" w:rsidR="0046798B" w:rsidRDefault="00903B5C">
            <w:pPr>
              <w:pStyle w:val="TableParagraph"/>
              <w:spacing w:line="237" w:lineRule="auto"/>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A04AEC9" w14:textId="77777777">
        <w:trPr>
          <w:trHeight w:val="775"/>
        </w:trPr>
        <w:tc>
          <w:tcPr>
            <w:tcW w:w="1711" w:type="dxa"/>
          </w:tcPr>
          <w:p w14:paraId="5703A511" w14:textId="77777777" w:rsidR="0046798B" w:rsidRDefault="0046798B">
            <w:pPr>
              <w:pStyle w:val="TableParagraph"/>
              <w:spacing w:before="8"/>
              <w:rPr>
                <w:sz w:val="23"/>
              </w:rPr>
            </w:pPr>
          </w:p>
          <w:p w14:paraId="41E069F9" w14:textId="77777777" w:rsidR="0046798B" w:rsidRDefault="00903B5C">
            <w:pPr>
              <w:pStyle w:val="TableParagraph"/>
              <w:spacing w:before="1"/>
              <w:ind w:left="115"/>
              <w:rPr>
                <w:b/>
                <w:sz w:val="20"/>
              </w:rPr>
            </w:pPr>
            <w:r>
              <w:rPr>
                <w:b/>
                <w:sz w:val="20"/>
              </w:rPr>
              <w:t>aprivate</w:t>
            </w:r>
          </w:p>
        </w:tc>
        <w:tc>
          <w:tcPr>
            <w:tcW w:w="1596" w:type="dxa"/>
          </w:tcPr>
          <w:p w14:paraId="594E4568" w14:textId="77777777" w:rsidR="0046798B" w:rsidRDefault="00903B5C">
            <w:pPr>
              <w:pStyle w:val="TableParagraph"/>
              <w:spacing w:before="43"/>
              <w:ind w:left="114" w:right="413"/>
              <w:rPr>
                <w:sz w:val="20"/>
              </w:rPr>
            </w:pPr>
            <w:r>
              <w:rPr>
                <w:sz w:val="20"/>
              </w:rPr>
              <w:t>Private land ownership in square miles</w:t>
            </w:r>
          </w:p>
        </w:tc>
        <w:tc>
          <w:tcPr>
            <w:tcW w:w="1285" w:type="dxa"/>
          </w:tcPr>
          <w:p w14:paraId="2AC9795B" w14:textId="77777777" w:rsidR="0046798B" w:rsidRDefault="0046798B">
            <w:pPr>
              <w:pStyle w:val="TableParagraph"/>
              <w:spacing w:before="8"/>
              <w:rPr>
                <w:sz w:val="23"/>
              </w:rPr>
            </w:pPr>
          </w:p>
          <w:p w14:paraId="0E4151FB" w14:textId="77777777" w:rsidR="0046798B" w:rsidRDefault="00903B5C">
            <w:pPr>
              <w:pStyle w:val="TableParagraph"/>
              <w:spacing w:before="1"/>
              <w:ind w:left="114"/>
              <w:rPr>
                <w:sz w:val="20"/>
              </w:rPr>
            </w:pPr>
            <w:r>
              <w:rPr>
                <w:sz w:val="20"/>
              </w:rPr>
              <w:t>1957–2015</w:t>
            </w:r>
          </w:p>
        </w:tc>
        <w:tc>
          <w:tcPr>
            <w:tcW w:w="3421" w:type="dxa"/>
          </w:tcPr>
          <w:p w14:paraId="7AF2CD51" w14:textId="77777777" w:rsidR="0046798B" w:rsidRDefault="00903B5C">
            <w:pPr>
              <w:pStyle w:val="TableParagraph"/>
              <w:spacing w:before="158"/>
              <w:ind w:left="114" w:right="172"/>
              <w:rPr>
                <w:sz w:val="20"/>
              </w:rPr>
            </w:pPr>
            <w:r>
              <w:rPr>
                <w:sz w:val="20"/>
              </w:rPr>
              <w:t>Private land ownership in square miles (aland – apublic)</w:t>
            </w:r>
          </w:p>
        </w:tc>
        <w:tc>
          <w:tcPr>
            <w:tcW w:w="6482" w:type="dxa"/>
          </w:tcPr>
          <w:p w14:paraId="4FBB9309"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70AA7A3" w14:textId="77777777">
        <w:trPr>
          <w:trHeight w:val="1005"/>
        </w:trPr>
        <w:tc>
          <w:tcPr>
            <w:tcW w:w="1711" w:type="dxa"/>
          </w:tcPr>
          <w:p w14:paraId="50B25226" w14:textId="77777777" w:rsidR="0046798B" w:rsidRDefault="0046798B">
            <w:pPr>
              <w:pStyle w:val="TableParagraph"/>
            </w:pPr>
          </w:p>
          <w:p w14:paraId="640662AE" w14:textId="77777777" w:rsidR="0046798B" w:rsidRDefault="00903B5C">
            <w:pPr>
              <w:pStyle w:val="TableParagraph"/>
              <w:spacing w:before="135"/>
              <w:ind w:left="115"/>
              <w:rPr>
                <w:b/>
                <w:sz w:val="20"/>
              </w:rPr>
            </w:pPr>
            <w:r>
              <w:rPr>
                <w:b/>
                <w:sz w:val="20"/>
              </w:rPr>
              <w:t>apublic</w:t>
            </w:r>
          </w:p>
        </w:tc>
        <w:tc>
          <w:tcPr>
            <w:tcW w:w="1596" w:type="dxa"/>
          </w:tcPr>
          <w:p w14:paraId="6404961C" w14:textId="77777777" w:rsidR="0046798B" w:rsidRDefault="00903B5C">
            <w:pPr>
              <w:pStyle w:val="TableParagraph"/>
              <w:spacing w:before="43"/>
              <w:ind w:left="114" w:right="97"/>
              <w:rPr>
                <w:sz w:val="20"/>
              </w:rPr>
            </w:pPr>
            <w:r>
              <w:rPr>
                <w:sz w:val="20"/>
              </w:rPr>
              <w:t>Federal and state land ownership in square miles, early 1990s</w:t>
            </w:r>
          </w:p>
        </w:tc>
        <w:tc>
          <w:tcPr>
            <w:tcW w:w="1285" w:type="dxa"/>
          </w:tcPr>
          <w:p w14:paraId="1EFF9567" w14:textId="77777777" w:rsidR="0046798B" w:rsidRDefault="0046798B">
            <w:pPr>
              <w:pStyle w:val="TableParagraph"/>
            </w:pPr>
          </w:p>
          <w:p w14:paraId="4E13531B" w14:textId="77777777" w:rsidR="0046798B" w:rsidRDefault="00903B5C">
            <w:pPr>
              <w:pStyle w:val="TableParagraph"/>
              <w:spacing w:before="135"/>
              <w:ind w:left="114"/>
              <w:rPr>
                <w:sz w:val="20"/>
              </w:rPr>
            </w:pPr>
            <w:r>
              <w:rPr>
                <w:sz w:val="20"/>
              </w:rPr>
              <w:t>1957–2015</w:t>
            </w:r>
          </w:p>
        </w:tc>
        <w:tc>
          <w:tcPr>
            <w:tcW w:w="3421" w:type="dxa"/>
          </w:tcPr>
          <w:p w14:paraId="5667FF9C" w14:textId="77777777" w:rsidR="0046798B" w:rsidRDefault="0046798B">
            <w:pPr>
              <w:pStyle w:val="TableParagraph"/>
              <w:spacing w:before="8"/>
              <w:rPr>
                <w:sz w:val="23"/>
              </w:rPr>
            </w:pPr>
          </w:p>
          <w:p w14:paraId="6EC5E47A" w14:textId="77777777" w:rsidR="0046798B" w:rsidRDefault="00903B5C">
            <w:pPr>
              <w:pStyle w:val="TableParagraph"/>
              <w:spacing w:before="1"/>
              <w:ind w:left="114" w:right="438"/>
              <w:rPr>
                <w:sz w:val="20"/>
              </w:rPr>
            </w:pPr>
            <w:r>
              <w:rPr>
                <w:sz w:val="20"/>
              </w:rPr>
              <w:t>Federal and state land ownership in square miles, early 1990s</w:t>
            </w:r>
          </w:p>
        </w:tc>
        <w:tc>
          <w:tcPr>
            <w:tcW w:w="6482" w:type="dxa"/>
          </w:tcPr>
          <w:p w14:paraId="38DB103C"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7ECDE9E2" w14:textId="77777777" w:rsidR="0046798B" w:rsidRDefault="0046798B">
      <w:pPr>
        <w:rPr>
          <w:sz w:val="20"/>
        </w:rPr>
        <w:sectPr w:rsidR="0046798B">
          <w:pgSz w:w="15840" w:h="12240" w:orient="landscape"/>
          <w:pgMar w:top="1220" w:right="300" w:bottom="980" w:left="820" w:header="730" w:footer="787" w:gutter="0"/>
          <w:cols w:space="720"/>
        </w:sectPr>
      </w:pPr>
    </w:p>
    <w:p w14:paraId="3C9282DB"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7C9A49FB" w14:textId="77777777">
        <w:trPr>
          <w:trHeight w:val="1005"/>
        </w:trPr>
        <w:tc>
          <w:tcPr>
            <w:tcW w:w="1711" w:type="dxa"/>
          </w:tcPr>
          <w:p w14:paraId="5BB2D9DB" w14:textId="77777777" w:rsidR="0046798B" w:rsidRDefault="0046798B">
            <w:pPr>
              <w:pStyle w:val="TableParagraph"/>
            </w:pPr>
          </w:p>
          <w:p w14:paraId="775C9FA4" w14:textId="77777777" w:rsidR="0046798B" w:rsidRDefault="00903B5C">
            <w:pPr>
              <w:pStyle w:val="TableParagraph"/>
              <w:spacing w:before="135"/>
              <w:ind w:left="115"/>
              <w:rPr>
                <w:b/>
                <w:sz w:val="20"/>
              </w:rPr>
            </w:pPr>
            <w:r>
              <w:rPr>
                <w:b/>
                <w:sz w:val="20"/>
              </w:rPr>
              <w:t>aprivemp</w:t>
            </w:r>
          </w:p>
        </w:tc>
        <w:tc>
          <w:tcPr>
            <w:tcW w:w="1596" w:type="dxa"/>
          </w:tcPr>
          <w:p w14:paraId="376544CC" w14:textId="77777777" w:rsidR="0046798B" w:rsidRDefault="00903B5C">
            <w:pPr>
              <w:pStyle w:val="TableParagraph"/>
              <w:spacing w:before="43"/>
              <w:ind w:left="114" w:right="191"/>
              <w:rPr>
                <w:sz w:val="20"/>
              </w:rPr>
            </w:pPr>
            <w:r>
              <w:rPr>
                <w:sz w:val="20"/>
              </w:rPr>
              <w:t>Employees in private industry and farms, in thousands</w:t>
            </w:r>
          </w:p>
        </w:tc>
        <w:tc>
          <w:tcPr>
            <w:tcW w:w="1285" w:type="dxa"/>
          </w:tcPr>
          <w:p w14:paraId="430D2771" w14:textId="77777777" w:rsidR="0046798B" w:rsidRDefault="0046798B">
            <w:pPr>
              <w:pStyle w:val="TableParagraph"/>
            </w:pPr>
          </w:p>
          <w:p w14:paraId="6AAEF204" w14:textId="77777777" w:rsidR="0046798B" w:rsidRDefault="00903B5C">
            <w:pPr>
              <w:pStyle w:val="TableParagraph"/>
              <w:spacing w:before="135"/>
              <w:ind w:left="114"/>
              <w:rPr>
                <w:sz w:val="20"/>
              </w:rPr>
            </w:pPr>
            <w:r>
              <w:rPr>
                <w:sz w:val="20"/>
              </w:rPr>
              <w:t>1972–2016</w:t>
            </w:r>
          </w:p>
        </w:tc>
        <w:tc>
          <w:tcPr>
            <w:tcW w:w="3421" w:type="dxa"/>
          </w:tcPr>
          <w:p w14:paraId="548766BB" w14:textId="77777777" w:rsidR="0046798B" w:rsidRDefault="00903B5C">
            <w:pPr>
              <w:pStyle w:val="TableParagraph"/>
              <w:spacing w:before="158"/>
              <w:ind w:left="114" w:right="533"/>
              <w:rPr>
                <w:sz w:val="20"/>
              </w:rPr>
            </w:pPr>
            <w:r>
              <w:rPr>
                <w:sz w:val="20"/>
              </w:rPr>
              <w:t>Employees in private industry and farms, in thousands (atotemp – agovemp)</w:t>
            </w:r>
          </w:p>
        </w:tc>
        <w:tc>
          <w:tcPr>
            <w:tcW w:w="6482" w:type="dxa"/>
          </w:tcPr>
          <w:p w14:paraId="697D079F"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D26A5EF" w14:textId="77777777">
        <w:trPr>
          <w:trHeight w:val="1235"/>
        </w:trPr>
        <w:tc>
          <w:tcPr>
            <w:tcW w:w="1711" w:type="dxa"/>
          </w:tcPr>
          <w:p w14:paraId="46151F9D" w14:textId="77777777" w:rsidR="0046798B" w:rsidRDefault="0046798B">
            <w:pPr>
              <w:pStyle w:val="TableParagraph"/>
            </w:pPr>
          </w:p>
          <w:p w14:paraId="336AA693" w14:textId="77777777" w:rsidR="0046798B" w:rsidRDefault="0046798B">
            <w:pPr>
              <w:pStyle w:val="TableParagraph"/>
              <w:spacing w:before="9"/>
              <w:rPr>
                <w:sz w:val="21"/>
              </w:rPr>
            </w:pPr>
          </w:p>
          <w:p w14:paraId="1D851565" w14:textId="77777777" w:rsidR="0046798B" w:rsidRDefault="00903B5C">
            <w:pPr>
              <w:pStyle w:val="TableParagraph"/>
              <w:ind w:left="115"/>
              <w:rPr>
                <w:b/>
                <w:sz w:val="20"/>
              </w:rPr>
            </w:pPr>
            <w:r>
              <w:rPr>
                <w:b/>
                <w:sz w:val="20"/>
              </w:rPr>
              <w:t>apropt</w:t>
            </w:r>
          </w:p>
        </w:tc>
        <w:tc>
          <w:tcPr>
            <w:tcW w:w="1596" w:type="dxa"/>
          </w:tcPr>
          <w:p w14:paraId="15927BD1" w14:textId="77777777" w:rsidR="0046798B" w:rsidRDefault="00903B5C">
            <w:pPr>
              <w:pStyle w:val="TableParagraph"/>
              <w:spacing w:before="43"/>
              <w:ind w:left="114" w:right="274"/>
              <w:rPr>
                <w:sz w:val="20"/>
              </w:rPr>
            </w:pPr>
            <w:r>
              <w:rPr>
                <w:sz w:val="20"/>
              </w:rPr>
              <w:t>State and local property tax revenues, in millions of dollars</w:t>
            </w:r>
          </w:p>
        </w:tc>
        <w:tc>
          <w:tcPr>
            <w:tcW w:w="1285" w:type="dxa"/>
          </w:tcPr>
          <w:p w14:paraId="2FA4B647" w14:textId="77777777" w:rsidR="0046798B" w:rsidRDefault="0046798B">
            <w:pPr>
              <w:pStyle w:val="TableParagraph"/>
            </w:pPr>
          </w:p>
          <w:p w14:paraId="5CF181DB" w14:textId="77777777" w:rsidR="0046798B" w:rsidRDefault="0046798B">
            <w:pPr>
              <w:pStyle w:val="TableParagraph"/>
              <w:spacing w:before="9"/>
              <w:rPr>
                <w:sz w:val="21"/>
              </w:rPr>
            </w:pPr>
          </w:p>
          <w:p w14:paraId="380F9403" w14:textId="77777777" w:rsidR="0046798B" w:rsidRDefault="00903B5C">
            <w:pPr>
              <w:pStyle w:val="TableParagraph"/>
              <w:ind w:left="114"/>
              <w:rPr>
                <w:sz w:val="20"/>
              </w:rPr>
            </w:pPr>
            <w:r>
              <w:rPr>
                <w:sz w:val="20"/>
              </w:rPr>
              <w:t>1957–2015</w:t>
            </w:r>
          </w:p>
        </w:tc>
        <w:tc>
          <w:tcPr>
            <w:tcW w:w="3421" w:type="dxa"/>
          </w:tcPr>
          <w:p w14:paraId="48AE0EAE" w14:textId="77777777" w:rsidR="0046798B" w:rsidRDefault="0046798B">
            <w:pPr>
              <w:pStyle w:val="TableParagraph"/>
            </w:pPr>
          </w:p>
          <w:p w14:paraId="58761003" w14:textId="77777777" w:rsidR="0046798B" w:rsidRDefault="00903B5C">
            <w:pPr>
              <w:pStyle w:val="TableParagraph"/>
              <w:spacing w:before="135"/>
              <w:ind w:left="114" w:right="267"/>
              <w:rPr>
                <w:sz w:val="20"/>
              </w:rPr>
            </w:pPr>
            <w:r>
              <w:rPr>
                <w:sz w:val="20"/>
              </w:rPr>
              <w:t>State and local property tax revenues, in millions of dollars</w:t>
            </w:r>
          </w:p>
        </w:tc>
        <w:tc>
          <w:tcPr>
            <w:tcW w:w="6482" w:type="dxa"/>
          </w:tcPr>
          <w:p w14:paraId="44512505" w14:textId="77777777" w:rsidR="0046798B" w:rsidRDefault="0046798B">
            <w:pPr>
              <w:pStyle w:val="TableParagraph"/>
              <w:spacing w:before="8"/>
              <w:rPr>
                <w:sz w:val="23"/>
              </w:rPr>
            </w:pPr>
          </w:p>
          <w:p w14:paraId="78061A2A" w14:textId="77777777" w:rsidR="0046798B" w:rsidRDefault="00903B5C">
            <w:pPr>
              <w:pStyle w:val="TableParagraph"/>
              <w:spacing w:before="1"/>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4674C0B" w14:textId="77777777">
        <w:trPr>
          <w:trHeight w:val="780"/>
        </w:trPr>
        <w:tc>
          <w:tcPr>
            <w:tcW w:w="1711" w:type="dxa"/>
          </w:tcPr>
          <w:p w14:paraId="6EB89238" w14:textId="77777777" w:rsidR="0046798B" w:rsidRDefault="0046798B">
            <w:pPr>
              <w:pStyle w:val="TableParagraph"/>
              <w:spacing w:before="8"/>
              <w:rPr>
                <w:sz w:val="23"/>
              </w:rPr>
            </w:pPr>
          </w:p>
          <w:p w14:paraId="39CE6ABA" w14:textId="77777777" w:rsidR="0046798B" w:rsidRDefault="00903B5C">
            <w:pPr>
              <w:pStyle w:val="TableParagraph"/>
              <w:spacing w:before="1"/>
              <w:ind w:left="115"/>
              <w:rPr>
                <w:b/>
                <w:sz w:val="20"/>
              </w:rPr>
            </w:pPr>
            <w:r>
              <w:rPr>
                <w:b/>
                <w:sz w:val="20"/>
              </w:rPr>
              <w:t>apwpi</w:t>
            </w:r>
          </w:p>
        </w:tc>
        <w:tc>
          <w:tcPr>
            <w:tcW w:w="1596" w:type="dxa"/>
          </w:tcPr>
          <w:p w14:paraId="3EE12921" w14:textId="77777777" w:rsidR="0046798B" w:rsidRDefault="00903B5C">
            <w:pPr>
              <w:pStyle w:val="TableParagraph"/>
              <w:spacing w:before="43"/>
              <w:ind w:left="114" w:right="263"/>
              <w:jc w:val="both"/>
              <w:rPr>
                <w:sz w:val="20"/>
              </w:rPr>
            </w:pPr>
            <w:r>
              <w:rPr>
                <w:sz w:val="20"/>
              </w:rPr>
              <w:t>Public welfare spending, % of income</w:t>
            </w:r>
          </w:p>
        </w:tc>
        <w:tc>
          <w:tcPr>
            <w:tcW w:w="1285" w:type="dxa"/>
          </w:tcPr>
          <w:p w14:paraId="5EF39C5F" w14:textId="77777777" w:rsidR="0046798B" w:rsidRDefault="0046798B">
            <w:pPr>
              <w:pStyle w:val="TableParagraph"/>
              <w:spacing w:before="8"/>
              <w:rPr>
                <w:sz w:val="23"/>
              </w:rPr>
            </w:pPr>
          </w:p>
          <w:p w14:paraId="42C2C9FE" w14:textId="77777777" w:rsidR="0046798B" w:rsidRDefault="00903B5C">
            <w:pPr>
              <w:pStyle w:val="TableParagraph"/>
              <w:spacing w:before="1"/>
              <w:ind w:left="114"/>
              <w:rPr>
                <w:sz w:val="20"/>
              </w:rPr>
            </w:pPr>
            <w:r>
              <w:rPr>
                <w:sz w:val="20"/>
              </w:rPr>
              <w:t>1957–2015</w:t>
            </w:r>
          </w:p>
        </w:tc>
        <w:tc>
          <w:tcPr>
            <w:tcW w:w="3421" w:type="dxa"/>
          </w:tcPr>
          <w:p w14:paraId="45CBFB2D" w14:textId="77777777" w:rsidR="0046798B" w:rsidRDefault="00903B5C">
            <w:pPr>
              <w:pStyle w:val="TableParagraph"/>
              <w:spacing w:before="158"/>
              <w:ind w:left="114" w:right="222"/>
              <w:rPr>
                <w:sz w:val="20"/>
              </w:rPr>
            </w:pPr>
            <w:r>
              <w:rPr>
                <w:sz w:val="20"/>
              </w:rPr>
              <w:t>Public welfare spending, % of income (apwspt / apersinc)</w:t>
            </w:r>
          </w:p>
        </w:tc>
        <w:tc>
          <w:tcPr>
            <w:tcW w:w="6482" w:type="dxa"/>
          </w:tcPr>
          <w:p w14:paraId="3D6FC863" w14:textId="77777777" w:rsidR="0046798B" w:rsidRDefault="00903B5C">
            <w:pPr>
              <w:pStyle w:val="TableParagraph"/>
              <w:spacing w:before="4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FF469BE" w14:textId="77777777">
        <w:trPr>
          <w:trHeight w:val="1005"/>
        </w:trPr>
        <w:tc>
          <w:tcPr>
            <w:tcW w:w="1711" w:type="dxa"/>
          </w:tcPr>
          <w:p w14:paraId="09DCFFD1" w14:textId="77777777" w:rsidR="0046798B" w:rsidRDefault="0046798B">
            <w:pPr>
              <w:pStyle w:val="TableParagraph"/>
            </w:pPr>
          </w:p>
          <w:p w14:paraId="7E4EA2C7" w14:textId="77777777" w:rsidR="0046798B" w:rsidRDefault="00903B5C">
            <w:pPr>
              <w:pStyle w:val="TableParagraph"/>
              <w:spacing w:before="130"/>
              <w:ind w:left="115"/>
              <w:rPr>
                <w:b/>
                <w:sz w:val="20"/>
              </w:rPr>
            </w:pPr>
            <w:r>
              <w:rPr>
                <w:b/>
                <w:sz w:val="20"/>
              </w:rPr>
              <w:t>apwpia</w:t>
            </w:r>
          </w:p>
        </w:tc>
        <w:tc>
          <w:tcPr>
            <w:tcW w:w="1596" w:type="dxa"/>
          </w:tcPr>
          <w:p w14:paraId="29C7B2CA" w14:textId="77777777" w:rsidR="0046798B" w:rsidRDefault="00903B5C">
            <w:pPr>
              <w:pStyle w:val="TableParagraph"/>
              <w:spacing w:before="153"/>
              <w:ind w:left="114" w:right="302"/>
              <w:rPr>
                <w:sz w:val="20"/>
              </w:rPr>
            </w:pPr>
            <w:r>
              <w:rPr>
                <w:sz w:val="20"/>
              </w:rPr>
              <w:t>Unexpected public welfare spending</w:t>
            </w:r>
          </w:p>
        </w:tc>
        <w:tc>
          <w:tcPr>
            <w:tcW w:w="1285" w:type="dxa"/>
          </w:tcPr>
          <w:p w14:paraId="6D22CB05" w14:textId="77777777" w:rsidR="0046798B" w:rsidRDefault="0046798B">
            <w:pPr>
              <w:pStyle w:val="TableParagraph"/>
            </w:pPr>
          </w:p>
          <w:p w14:paraId="6AD35E46" w14:textId="77777777" w:rsidR="0046798B" w:rsidRDefault="00903B5C">
            <w:pPr>
              <w:pStyle w:val="TableParagraph"/>
              <w:spacing w:before="130"/>
              <w:ind w:left="114"/>
              <w:rPr>
                <w:sz w:val="20"/>
              </w:rPr>
            </w:pPr>
            <w:r>
              <w:rPr>
                <w:sz w:val="20"/>
              </w:rPr>
              <w:t>2000–2015</w:t>
            </w:r>
          </w:p>
        </w:tc>
        <w:tc>
          <w:tcPr>
            <w:tcW w:w="3421" w:type="dxa"/>
          </w:tcPr>
          <w:p w14:paraId="49D48D27" w14:textId="77777777" w:rsidR="0046798B" w:rsidRDefault="00903B5C">
            <w:pPr>
              <w:pStyle w:val="TableParagraph"/>
              <w:spacing w:before="38"/>
              <w:ind w:left="114" w:right="350"/>
              <w:rPr>
                <w:sz w:val="20"/>
              </w:rPr>
            </w:pPr>
            <w:r>
              <w:rPr>
                <w:sz w:val="20"/>
              </w:rPr>
              <w:t>Unexpected public welfare spending (modified by agrantspi, aeldpr, equation derived from diff-in-diff estimates)</w:t>
            </w:r>
          </w:p>
        </w:tc>
        <w:tc>
          <w:tcPr>
            <w:tcW w:w="6482" w:type="dxa"/>
          </w:tcPr>
          <w:p w14:paraId="7A37F665" w14:textId="77777777" w:rsidR="0046798B" w:rsidRDefault="00903B5C">
            <w:pPr>
              <w:pStyle w:val="TableParagraph"/>
              <w:spacing w:before="15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5AF0F6A" w14:textId="77777777">
        <w:trPr>
          <w:trHeight w:val="1925"/>
        </w:trPr>
        <w:tc>
          <w:tcPr>
            <w:tcW w:w="1711" w:type="dxa"/>
          </w:tcPr>
          <w:p w14:paraId="6E896AF9" w14:textId="77777777" w:rsidR="0046798B" w:rsidRDefault="0046798B">
            <w:pPr>
              <w:pStyle w:val="TableParagraph"/>
            </w:pPr>
          </w:p>
          <w:p w14:paraId="28D9C134" w14:textId="77777777" w:rsidR="0046798B" w:rsidRDefault="0046798B">
            <w:pPr>
              <w:pStyle w:val="TableParagraph"/>
            </w:pPr>
          </w:p>
          <w:p w14:paraId="44D5AD59" w14:textId="77777777" w:rsidR="0046798B" w:rsidRDefault="0046798B">
            <w:pPr>
              <w:pStyle w:val="TableParagraph"/>
              <w:spacing w:before="4"/>
              <w:rPr>
                <w:sz w:val="29"/>
              </w:rPr>
            </w:pPr>
          </w:p>
          <w:p w14:paraId="546817C8" w14:textId="77777777" w:rsidR="0046798B" w:rsidRDefault="00903B5C">
            <w:pPr>
              <w:pStyle w:val="TableParagraph"/>
              <w:ind w:left="115"/>
              <w:rPr>
                <w:b/>
                <w:sz w:val="20"/>
              </w:rPr>
            </w:pPr>
            <w:r>
              <w:rPr>
                <w:b/>
                <w:sz w:val="20"/>
              </w:rPr>
              <w:t>apwspt</w:t>
            </w:r>
          </w:p>
        </w:tc>
        <w:tc>
          <w:tcPr>
            <w:tcW w:w="1596" w:type="dxa"/>
          </w:tcPr>
          <w:p w14:paraId="38653570" w14:textId="77777777" w:rsidR="0046798B" w:rsidRDefault="00903B5C">
            <w:pPr>
              <w:pStyle w:val="TableParagraph"/>
              <w:spacing w:before="38"/>
              <w:ind w:left="114" w:right="252"/>
              <w:rPr>
                <w:sz w:val="20"/>
              </w:rPr>
            </w:pPr>
            <w:r>
              <w:rPr>
                <w:sz w:val="20"/>
              </w:rPr>
              <w:t>State and local government public welfare and veterans’ services direct expenditure, in millions of dollars</w:t>
            </w:r>
          </w:p>
        </w:tc>
        <w:tc>
          <w:tcPr>
            <w:tcW w:w="1285" w:type="dxa"/>
          </w:tcPr>
          <w:p w14:paraId="1DBFE51A" w14:textId="77777777" w:rsidR="0046798B" w:rsidRDefault="0046798B">
            <w:pPr>
              <w:pStyle w:val="TableParagraph"/>
            </w:pPr>
          </w:p>
          <w:p w14:paraId="65C4E0FF" w14:textId="77777777" w:rsidR="0046798B" w:rsidRDefault="0046798B">
            <w:pPr>
              <w:pStyle w:val="TableParagraph"/>
            </w:pPr>
          </w:p>
          <w:p w14:paraId="4CF88C93" w14:textId="77777777" w:rsidR="0046798B" w:rsidRDefault="0046798B">
            <w:pPr>
              <w:pStyle w:val="TableParagraph"/>
              <w:spacing w:before="4"/>
              <w:rPr>
                <w:sz w:val="29"/>
              </w:rPr>
            </w:pPr>
          </w:p>
          <w:p w14:paraId="7635B97E" w14:textId="77777777" w:rsidR="0046798B" w:rsidRDefault="00903B5C">
            <w:pPr>
              <w:pStyle w:val="TableParagraph"/>
              <w:ind w:left="114"/>
              <w:rPr>
                <w:sz w:val="20"/>
              </w:rPr>
            </w:pPr>
            <w:r>
              <w:rPr>
                <w:sz w:val="20"/>
              </w:rPr>
              <w:t>1957–2015</w:t>
            </w:r>
          </w:p>
        </w:tc>
        <w:tc>
          <w:tcPr>
            <w:tcW w:w="3421" w:type="dxa"/>
          </w:tcPr>
          <w:p w14:paraId="061A0BAA" w14:textId="77777777" w:rsidR="0046798B" w:rsidRDefault="0046798B">
            <w:pPr>
              <w:pStyle w:val="TableParagraph"/>
            </w:pPr>
          </w:p>
          <w:p w14:paraId="303E3A06" w14:textId="77777777" w:rsidR="0046798B" w:rsidRDefault="0046798B">
            <w:pPr>
              <w:pStyle w:val="TableParagraph"/>
              <w:spacing w:before="4"/>
              <w:rPr>
                <w:sz w:val="31"/>
              </w:rPr>
            </w:pPr>
          </w:p>
          <w:p w14:paraId="5E44B3AC" w14:textId="77777777" w:rsidR="0046798B" w:rsidRDefault="00903B5C">
            <w:pPr>
              <w:pStyle w:val="TableParagraph"/>
              <w:ind w:left="114" w:right="356"/>
              <w:rPr>
                <w:sz w:val="20"/>
              </w:rPr>
            </w:pPr>
            <w:r>
              <w:rPr>
                <w:sz w:val="20"/>
              </w:rPr>
              <w:t>State and local government public welfare and veterans’ services direct expenditure, in millions of dollars</w:t>
            </w:r>
          </w:p>
        </w:tc>
        <w:tc>
          <w:tcPr>
            <w:tcW w:w="6482" w:type="dxa"/>
          </w:tcPr>
          <w:p w14:paraId="0CADAFDE" w14:textId="77777777" w:rsidR="0046798B" w:rsidRDefault="0046798B">
            <w:pPr>
              <w:pStyle w:val="TableParagraph"/>
            </w:pPr>
          </w:p>
          <w:p w14:paraId="7E409E14" w14:textId="77777777" w:rsidR="0046798B" w:rsidRDefault="0046798B">
            <w:pPr>
              <w:pStyle w:val="TableParagraph"/>
              <w:spacing w:before="4"/>
              <w:rPr>
                <w:sz w:val="31"/>
              </w:rPr>
            </w:pPr>
          </w:p>
          <w:p w14:paraId="0FFD5B95" w14:textId="77777777" w:rsidR="0046798B" w:rsidRDefault="00903B5C">
            <w:pPr>
              <w:pStyle w:val="TableParagraph"/>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5BC6A4D" w14:textId="77777777">
        <w:trPr>
          <w:trHeight w:val="1235"/>
        </w:trPr>
        <w:tc>
          <w:tcPr>
            <w:tcW w:w="1711" w:type="dxa"/>
          </w:tcPr>
          <w:p w14:paraId="27EF1666" w14:textId="77777777" w:rsidR="0046798B" w:rsidRDefault="0046798B">
            <w:pPr>
              <w:pStyle w:val="TableParagraph"/>
            </w:pPr>
          </w:p>
          <w:p w14:paraId="1A3B0612" w14:textId="77777777" w:rsidR="0046798B" w:rsidRDefault="0046798B">
            <w:pPr>
              <w:pStyle w:val="TableParagraph"/>
              <w:spacing w:before="4"/>
              <w:rPr>
                <w:sz w:val="21"/>
              </w:rPr>
            </w:pPr>
          </w:p>
          <w:p w14:paraId="6564B129" w14:textId="77777777" w:rsidR="0046798B" w:rsidRDefault="00903B5C">
            <w:pPr>
              <w:pStyle w:val="TableParagraph"/>
              <w:ind w:left="115"/>
              <w:rPr>
                <w:b/>
                <w:sz w:val="20"/>
              </w:rPr>
            </w:pPr>
            <w:r>
              <w:rPr>
                <w:b/>
                <w:sz w:val="20"/>
              </w:rPr>
              <w:t>arevshg1</w:t>
            </w:r>
          </w:p>
        </w:tc>
        <w:tc>
          <w:tcPr>
            <w:tcW w:w="1596" w:type="dxa"/>
          </w:tcPr>
          <w:p w14:paraId="62ED5CD1" w14:textId="77777777" w:rsidR="0046798B" w:rsidRDefault="00903B5C">
            <w:pPr>
              <w:pStyle w:val="TableParagraph"/>
              <w:spacing w:before="38"/>
              <w:ind w:left="114" w:right="144"/>
              <w:rPr>
                <w:sz w:val="20"/>
              </w:rPr>
            </w:pPr>
            <w:r>
              <w:rPr>
                <w:sz w:val="20"/>
              </w:rPr>
              <w:t>Own-source revenue share of tier-one general local governments</w:t>
            </w:r>
          </w:p>
        </w:tc>
        <w:tc>
          <w:tcPr>
            <w:tcW w:w="1285" w:type="dxa"/>
          </w:tcPr>
          <w:p w14:paraId="470E9F7B" w14:textId="77777777" w:rsidR="0046798B" w:rsidRDefault="0046798B">
            <w:pPr>
              <w:pStyle w:val="TableParagraph"/>
            </w:pPr>
          </w:p>
          <w:p w14:paraId="17091E8F" w14:textId="77777777" w:rsidR="0046798B" w:rsidRDefault="0046798B">
            <w:pPr>
              <w:pStyle w:val="TableParagraph"/>
              <w:spacing w:before="4"/>
              <w:rPr>
                <w:sz w:val="21"/>
              </w:rPr>
            </w:pPr>
          </w:p>
          <w:p w14:paraId="53E60480" w14:textId="77777777" w:rsidR="0046798B" w:rsidRDefault="00903B5C">
            <w:pPr>
              <w:pStyle w:val="TableParagraph"/>
              <w:ind w:left="114"/>
              <w:rPr>
                <w:sz w:val="20"/>
              </w:rPr>
            </w:pPr>
            <w:r>
              <w:rPr>
                <w:sz w:val="20"/>
              </w:rPr>
              <w:t>1977–2015</w:t>
            </w:r>
          </w:p>
        </w:tc>
        <w:tc>
          <w:tcPr>
            <w:tcW w:w="3421" w:type="dxa"/>
          </w:tcPr>
          <w:p w14:paraId="3A479750" w14:textId="77777777" w:rsidR="0046798B" w:rsidRDefault="00903B5C">
            <w:pPr>
              <w:pStyle w:val="TableParagraph"/>
              <w:spacing w:before="38"/>
              <w:ind w:left="114" w:right="161"/>
              <w:rPr>
                <w:sz w:val="20"/>
              </w:rPr>
            </w:pPr>
            <w:r>
              <w:rPr>
                <w:sz w:val="20"/>
              </w:rPr>
              <w:t>Own-source revenue share of tier-one general local governments (share of all local general government own-source revenue) (carry-forward imputation between censuses)</w:t>
            </w:r>
          </w:p>
        </w:tc>
        <w:tc>
          <w:tcPr>
            <w:tcW w:w="6482" w:type="dxa"/>
          </w:tcPr>
          <w:p w14:paraId="6784B8B8" w14:textId="77777777" w:rsidR="0046798B" w:rsidRDefault="0046798B">
            <w:pPr>
              <w:pStyle w:val="TableParagraph"/>
              <w:spacing w:before="3"/>
              <w:rPr>
                <w:sz w:val="23"/>
              </w:rPr>
            </w:pPr>
          </w:p>
          <w:p w14:paraId="69AF50D2"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4B80363" w14:textId="77777777">
        <w:trPr>
          <w:trHeight w:val="1235"/>
        </w:trPr>
        <w:tc>
          <w:tcPr>
            <w:tcW w:w="1711" w:type="dxa"/>
          </w:tcPr>
          <w:p w14:paraId="2846AF91" w14:textId="77777777" w:rsidR="0046798B" w:rsidRDefault="0046798B">
            <w:pPr>
              <w:pStyle w:val="TableParagraph"/>
            </w:pPr>
          </w:p>
          <w:p w14:paraId="3ACA0BDE" w14:textId="77777777" w:rsidR="0046798B" w:rsidRDefault="0046798B">
            <w:pPr>
              <w:pStyle w:val="TableParagraph"/>
              <w:spacing w:before="9"/>
              <w:rPr>
                <w:sz w:val="21"/>
              </w:rPr>
            </w:pPr>
          </w:p>
          <w:p w14:paraId="74361458" w14:textId="77777777" w:rsidR="0046798B" w:rsidRDefault="00903B5C">
            <w:pPr>
              <w:pStyle w:val="TableParagraph"/>
              <w:ind w:left="115"/>
              <w:rPr>
                <w:b/>
                <w:sz w:val="20"/>
              </w:rPr>
            </w:pPr>
            <w:r>
              <w:rPr>
                <w:b/>
                <w:sz w:val="20"/>
              </w:rPr>
              <w:t>arevshg2</w:t>
            </w:r>
          </w:p>
        </w:tc>
        <w:tc>
          <w:tcPr>
            <w:tcW w:w="1596" w:type="dxa"/>
          </w:tcPr>
          <w:p w14:paraId="59B765DC" w14:textId="77777777" w:rsidR="0046798B" w:rsidRDefault="00903B5C">
            <w:pPr>
              <w:pStyle w:val="TableParagraph"/>
              <w:spacing w:before="43"/>
              <w:ind w:left="114" w:right="144"/>
              <w:rPr>
                <w:sz w:val="20"/>
              </w:rPr>
            </w:pPr>
            <w:r>
              <w:rPr>
                <w:sz w:val="20"/>
              </w:rPr>
              <w:t>Own-source revenue share of tier-two general local governments</w:t>
            </w:r>
          </w:p>
        </w:tc>
        <w:tc>
          <w:tcPr>
            <w:tcW w:w="1285" w:type="dxa"/>
          </w:tcPr>
          <w:p w14:paraId="6BCB865B" w14:textId="77777777" w:rsidR="0046798B" w:rsidRDefault="0046798B">
            <w:pPr>
              <w:pStyle w:val="TableParagraph"/>
            </w:pPr>
          </w:p>
          <w:p w14:paraId="79EE3E4D" w14:textId="77777777" w:rsidR="0046798B" w:rsidRDefault="0046798B">
            <w:pPr>
              <w:pStyle w:val="TableParagraph"/>
              <w:spacing w:before="9"/>
              <w:rPr>
                <w:sz w:val="21"/>
              </w:rPr>
            </w:pPr>
          </w:p>
          <w:p w14:paraId="43D909E2" w14:textId="77777777" w:rsidR="0046798B" w:rsidRDefault="00903B5C">
            <w:pPr>
              <w:pStyle w:val="TableParagraph"/>
              <w:ind w:left="114"/>
              <w:rPr>
                <w:sz w:val="20"/>
              </w:rPr>
            </w:pPr>
            <w:r>
              <w:rPr>
                <w:sz w:val="20"/>
              </w:rPr>
              <w:t>1977–2015</w:t>
            </w:r>
          </w:p>
        </w:tc>
        <w:tc>
          <w:tcPr>
            <w:tcW w:w="3421" w:type="dxa"/>
          </w:tcPr>
          <w:p w14:paraId="785CEAF4" w14:textId="77777777" w:rsidR="0046798B" w:rsidRDefault="00903B5C">
            <w:pPr>
              <w:pStyle w:val="TableParagraph"/>
              <w:spacing w:before="43"/>
              <w:ind w:left="114" w:right="161"/>
              <w:rPr>
                <w:sz w:val="20"/>
              </w:rPr>
            </w:pPr>
            <w:r>
              <w:rPr>
                <w:sz w:val="20"/>
              </w:rPr>
              <w:t>Own-source revenue share of tier-two general local governments (share of all local general government own-source revenue) (carry-forward imputation between censuses)</w:t>
            </w:r>
          </w:p>
        </w:tc>
        <w:tc>
          <w:tcPr>
            <w:tcW w:w="6482" w:type="dxa"/>
          </w:tcPr>
          <w:p w14:paraId="1FAE9A43" w14:textId="77777777" w:rsidR="0046798B" w:rsidRDefault="0046798B">
            <w:pPr>
              <w:pStyle w:val="TableParagraph"/>
              <w:spacing w:before="8"/>
              <w:rPr>
                <w:sz w:val="23"/>
              </w:rPr>
            </w:pPr>
          </w:p>
          <w:p w14:paraId="0860CD7E"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97391FE" w14:textId="77777777">
        <w:trPr>
          <w:trHeight w:val="775"/>
        </w:trPr>
        <w:tc>
          <w:tcPr>
            <w:tcW w:w="1711" w:type="dxa"/>
          </w:tcPr>
          <w:p w14:paraId="2266B1AD" w14:textId="77777777" w:rsidR="0046798B" w:rsidRDefault="0046798B">
            <w:pPr>
              <w:pStyle w:val="TableParagraph"/>
              <w:spacing w:before="8"/>
              <w:rPr>
                <w:sz w:val="23"/>
              </w:rPr>
            </w:pPr>
          </w:p>
          <w:p w14:paraId="58BB02FA" w14:textId="77777777" w:rsidR="0046798B" w:rsidRDefault="00903B5C">
            <w:pPr>
              <w:pStyle w:val="TableParagraph"/>
              <w:spacing w:before="1"/>
              <w:ind w:left="115"/>
              <w:rPr>
                <w:b/>
                <w:sz w:val="20"/>
              </w:rPr>
            </w:pPr>
            <w:r>
              <w:rPr>
                <w:b/>
                <w:sz w:val="20"/>
              </w:rPr>
              <w:t>arevshg3</w:t>
            </w:r>
          </w:p>
        </w:tc>
        <w:tc>
          <w:tcPr>
            <w:tcW w:w="1596" w:type="dxa"/>
          </w:tcPr>
          <w:p w14:paraId="196E1574" w14:textId="77777777" w:rsidR="0046798B" w:rsidRDefault="00903B5C">
            <w:pPr>
              <w:pStyle w:val="TableParagraph"/>
              <w:spacing w:before="43"/>
              <w:ind w:left="114" w:right="144"/>
              <w:rPr>
                <w:sz w:val="20"/>
              </w:rPr>
            </w:pPr>
            <w:r>
              <w:rPr>
                <w:sz w:val="20"/>
              </w:rPr>
              <w:t>Own-source revenue share of tier-three</w:t>
            </w:r>
          </w:p>
        </w:tc>
        <w:tc>
          <w:tcPr>
            <w:tcW w:w="1285" w:type="dxa"/>
          </w:tcPr>
          <w:p w14:paraId="2F39B472" w14:textId="77777777" w:rsidR="0046798B" w:rsidRDefault="0046798B">
            <w:pPr>
              <w:pStyle w:val="TableParagraph"/>
              <w:spacing w:before="8"/>
              <w:rPr>
                <w:sz w:val="23"/>
              </w:rPr>
            </w:pPr>
          </w:p>
          <w:p w14:paraId="53CC40D2" w14:textId="77777777" w:rsidR="0046798B" w:rsidRDefault="00903B5C">
            <w:pPr>
              <w:pStyle w:val="TableParagraph"/>
              <w:spacing w:before="1"/>
              <w:ind w:left="114"/>
              <w:rPr>
                <w:sz w:val="20"/>
              </w:rPr>
            </w:pPr>
            <w:r>
              <w:rPr>
                <w:sz w:val="20"/>
              </w:rPr>
              <w:t>1977–2015</w:t>
            </w:r>
          </w:p>
        </w:tc>
        <w:tc>
          <w:tcPr>
            <w:tcW w:w="3421" w:type="dxa"/>
          </w:tcPr>
          <w:p w14:paraId="5DDF9619" w14:textId="77777777" w:rsidR="0046798B" w:rsidRDefault="00903B5C">
            <w:pPr>
              <w:pStyle w:val="TableParagraph"/>
              <w:spacing w:before="43"/>
              <w:ind w:left="114" w:right="165"/>
              <w:jc w:val="both"/>
              <w:rPr>
                <w:sz w:val="20"/>
              </w:rPr>
            </w:pPr>
            <w:r>
              <w:rPr>
                <w:sz w:val="20"/>
              </w:rPr>
              <w:t>Own-source revenue share of tier-three general local governments (share of all local general government own-source</w:t>
            </w:r>
          </w:p>
        </w:tc>
        <w:tc>
          <w:tcPr>
            <w:tcW w:w="6482" w:type="dxa"/>
          </w:tcPr>
          <w:p w14:paraId="658E26CE" w14:textId="77777777" w:rsidR="0046798B" w:rsidRDefault="00903B5C">
            <w:pPr>
              <w:pStyle w:val="TableParagraph"/>
              <w:spacing w:before="4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01B478FF" w14:textId="77777777" w:rsidR="0046798B" w:rsidRDefault="0046798B">
      <w:pPr>
        <w:rPr>
          <w:sz w:val="20"/>
        </w:rPr>
        <w:sectPr w:rsidR="0046798B">
          <w:pgSz w:w="15840" w:h="12240" w:orient="landscape"/>
          <w:pgMar w:top="1220" w:right="300" w:bottom="980" w:left="820" w:header="730" w:footer="787" w:gutter="0"/>
          <w:cols w:space="720"/>
        </w:sectPr>
      </w:pPr>
    </w:p>
    <w:p w14:paraId="03927933"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6FBE2004" w14:textId="77777777">
        <w:trPr>
          <w:trHeight w:val="542"/>
        </w:trPr>
        <w:tc>
          <w:tcPr>
            <w:tcW w:w="1711" w:type="dxa"/>
            <w:tcBorders>
              <w:bottom w:val="dotted" w:sz="6" w:space="0" w:color="BEBEBE"/>
            </w:tcBorders>
          </w:tcPr>
          <w:p w14:paraId="2540539A" w14:textId="77777777" w:rsidR="0046798B" w:rsidRDefault="0046798B">
            <w:pPr>
              <w:pStyle w:val="TableParagraph"/>
              <w:rPr>
                <w:sz w:val="20"/>
              </w:rPr>
            </w:pPr>
          </w:p>
        </w:tc>
        <w:tc>
          <w:tcPr>
            <w:tcW w:w="1596" w:type="dxa"/>
            <w:tcBorders>
              <w:bottom w:val="dotted" w:sz="6" w:space="0" w:color="BEBEBE"/>
            </w:tcBorders>
          </w:tcPr>
          <w:p w14:paraId="2FD3FCA6" w14:textId="77777777" w:rsidR="0046798B" w:rsidRDefault="00903B5C">
            <w:pPr>
              <w:pStyle w:val="TableParagraph"/>
              <w:spacing w:before="43"/>
              <w:ind w:left="114" w:right="418"/>
              <w:rPr>
                <w:sz w:val="20"/>
              </w:rPr>
            </w:pPr>
            <w:r>
              <w:rPr>
                <w:sz w:val="20"/>
              </w:rPr>
              <w:t>general local governments</w:t>
            </w:r>
          </w:p>
        </w:tc>
        <w:tc>
          <w:tcPr>
            <w:tcW w:w="1285" w:type="dxa"/>
            <w:tcBorders>
              <w:bottom w:val="dotted" w:sz="6" w:space="0" w:color="BEBEBE"/>
            </w:tcBorders>
          </w:tcPr>
          <w:p w14:paraId="7290425B" w14:textId="77777777" w:rsidR="0046798B" w:rsidRDefault="0046798B">
            <w:pPr>
              <w:pStyle w:val="TableParagraph"/>
              <w:rPr>
                <w:sz w:val="20"/>
              </w:rPr>
            </w:pPr>
          </w:p>
        </w:tc>
        <w:tc>
          <w:tcPr>
            <w:tcW w:w="3421" w:type="dxa"/>
            <w:tcBorders>
              <w:bottom w:val="dotted" w:sz="6" w:space="0" w:color="BEBEBE"/>
            </w:tcBorders>
          </w:tcPr>
          <w:p w14:paraId="234EA1A5" w14:textId="77777777" w:rsidR="0046798B" w:rsidRDefault="00903B5C">
            <w:pPr>
              <w:pStyle w:val="TableParagraph"/>
              <w:spacing w:before="43"/>
              <w:ind w:left="114"/>
              <w:rPr>
                <w:sz w:val="20"/>
              </w:rPr>
            </w:pPr>
            <w:r>
              <w:rPr>
                <w:sz w:val="20"/>
              </w:rPr>
              <w:t>revenue) (carry-forward imputation between censuses)</w:t>
            </w:r>
          </w:p>
        </w:tc>
        <w:tc>
          <w:tcPr>
            <w:tcW w:w="6482" w:type="dxa"/>
            <w:tcBorders>
              <w:bottom w:val="dotted" w:sz="6" w:space="0" w:color="BEBEBE"/>
            </w:tcBorders>
          </w:tcPr>
          <w:p w14:paraId="1A9C0D7C" w14:textId="77777777" w:rsidR="0046798B" w:rsidRDefault="0046798B">
            <w:pPr>
              <w:pStyle w:val="TableParagraph"/>
              <w:rPr>
                <w:sz w:val="20"/>
              </w:rPr>
            </w:pPr>
          </w:p>
        </w:tc>
      </w:tr>
      <w:tr w:rsidR="0046798B" w14:paraId="70B08E92" w14:textId="77777777">
        <w:trPr>
          <w:trHeight w:val="1233"/>
        </w:trPr>
        <w:tc>
          <w:tcPr>
            <w:tcW w:w="1711" w:type="dxa"/>
            <w:tcBorders>
              <w:top w:val="dotted" w:sz="6" w:space="0" w:color="BEBEBE"/>
            </w:tcBorders>
          </w:tcPr>
          <w:p w14:paraId="6BDF2EB7" w14:textId="77777777" w:rsidR="0046798B" w:rsidRDefault="0046798B">
            <w:pPr>
              <w:pStyle w:val="TableParagraph"/>
            </w:pPr>
          </w:p>
          <w:p w14:paraId="6C1006A8" w14:textId="77777777" w:rsidR="0046798B" w:rsidRDefault="0046798B">
            <w:pPr>
              <w:pStyle w:val="TableParagraph"/>
              <w:spacing w:before="6"/>
              <w:rPr>
                <w:sz w:val="21"/>
              </w:rPr>
            </w:pPr>
          </w:p>
          <w:p w14:paraId="3DDC55B0" w14:textId="77777777" w:rsidR="0046798B" w:rsidRDefault="00903B5C">
            <w:pPr>
              <w:pStyle w:val="TableParagraph"/>
              <w:ind w:left="115"/>
              <w:rPr>
                <w:b/>
                <w:sz w:val="20"/>
              </w:rPr>
            </w:pPr>
            <w:r>
              <w:rPr>
                <w:b/>
                <w:sz w:val="20"/>
              </w:rPr>
              <w:t>asalet</w:t>
            </w:r>
          </w:p>
        </w:tc>
        <w:tc>
          <w:tcPr>
            <w:tcW w:w="1596" w:type="dxa"/>
            <w:tcBorders>
              <w:top w:val="dotted" w:sz="6" w:space="0" w:color="BEBEBE"/>
            </w:tcBorders>
          </w:tcPr>
          <w:p w14:paraId="48D0281D" w14:textId="77777777" w:rsidR="0046798B" w:rsidRDefault="00903B5C">
            <w:pPr>
              <w:pStyle w:val="TableParagraph"/>
              <w:spacing w:before="40"/>
              <w:ind w:left="114" w:right="130"/>
              <w:rPr>
                <w:sz w:val="20"/>
              </w:rPr>
            </w:pPr>
            <w:r>
              <w:rPr>
                <w:sz w:val="20"/>
              </w:rPr>
              <w:t>State and local general sales tax revenues, in millions of dollars</w:t>
            </w:r>
          </w:p>
        </w:tc>
        <w:tc>
          <w:tcPr>
            <w:tcW w:w="1285" w:type="dxa"/>
            <w:tcBorders>
              <w:top w:val="dotted" w:sz="6" w:space="0" w:color="BEBEBE"/>
            </w:tcBorders>
          </w:tcPr>
          <w:p w14:paraId="749FBEF1" w14:textId="77777777" w:rsidR="0046798B" w:rsidRDefault="0046798B">
            <w:pPr>
              <w:pStyle w:val="TableParagraph"/>
            </w:pPr>
          </w:p>
          <w:p w14:paraId="2F6D1EA9" w14:textId="77777777" w:rsidR="0046798B" w:rsidRDefault="0046798B">
            <w:pPr>
              <w:pStyle w:val="TableParagraph"/>
              <w:spacing w:before="6"/>
              <w:rPr>
                <w:sz w:val="21"/>
              </w:rPr>
            </w:pPr>
          </w:p>
          <w:p w14:paraId="083DFDA8" w14:textId="77777777" w:rsidR="0046798B" w:rsidRDefault="00903B5C">
            <w:pPr>
              <w:pStyle w:val="TableParagraph"/>
              <w:ind w:left="114"/>
              <w:rPr>
                <w:sz w:val="20"/>
              </w:rPr>
            </w:pPr>
            <w:r>
              <w:rPr>
                <w:sz w:val="20"/>
              </w:rPr>
              <w:t>1957–2015</w:t>
            </w:r>
          </w:p>
        </w:tc>
        <w:tc>
          <w:tcPr>
            <w:tcW w:w="3421" w:type="dxa"/>
            <w:tcBorders>
              <w:top w:val="dotted" w:sz="6" w:space="0" w:color="BEBEBE"/>
            </w:tcBorders>
          </w:tcPr>
          <w:p w14:paraId="4D38DBB7" w14:textId="77777777" w:rsidR="0046798B" w:rsidRDefault="0046798B">
            <w:pPr>
              <w:pStyle w:val="TableParagraph"/>
            </w:pPr>
          </w:p>
          <w:p w14:paraId="1951D27A" w14:textId="77777777" w:rsidR="0046798B" w:rsidRDefault="00903B5C">
            <w:pPr>
              <w:pStyle w:val="TableParagraph"/>
              <w:spacing w:before="133"/>
              <w:ind w:left="114" w:right="728"/>
              <w:rPr>
                <w:sz w:val="20"/>
              </w:rPr>
            </w:pPr>
            <w:r>
              <w:rPr>
                <w:sz w:val="20"/>
              </w:rPr>
              <w:t>State and local general sales tax revenues, in millions of dollars</w:t>
            </w:r>
          </w:p>
        </w:tc>
        <w:tc>
          <w:tcPr>
            <w:tcW w:w="6482" w:type="dxa"/>
            <w:tcBorders>
              <w:top w:val="dotted" w:sz="6" w:space="0" w:color="BEBEBE"/>
            </w:tcBorders>
          </w:tcPr>
          <w:p w14:paraId="7304415F" w14:textId="77777777" w:rsidR="0046798B" w:rsidRDefault="0046798B">
            <w:pPr>
              <w:pStyle w:val="TableParagraph"/>
              <w:spacing w:before="6"/>
              <w:rPr>
                <w:sz w:val="23"/>
              </w:rPr>
            </w:pPr>
          </w:p>
          <w:p w14:paraId="054CDC6A"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EACF670" w14:textId="77777777">
        <w:trPr>
          <w:trHeight w:val="1010"/>
        </w:trPr>
        <w:tc>
          <w:tcPr>
            <w:tcW w:w="1711" w:type="dxa"/>
          </w:tcPr>
          <w:p w14:paraId="405A5C7E" w14:textId="77777777" w:rsidR="0046798B" w:rsidRDefault="0046798B">
            <w:pPr>
              <w:pStyle w:val="TableParagraph"/>
            </w:pPr>
          </w:p>
          <w:p w14:paraId="659B2583" w14:textId="77777777" w:rsidR="0046798B" w:rsidRDefault="00903B5C">
            <w:pPr>
              <w:pStyle w:val="TableParagraph"/>
              <w:spacing w:before="135"/>
              <w:ind w:left="115"/>
              <w:rPr>
                <w:b/>
                <w:sz w:val="20"/>
              </w:rPr>
            </w:pPr>
            <w:r>
              <w:rPr>
                <w:b/>
                <w:sz w:val="20"/>
              </w:rPr>
              <w:t>asanpi</w:t>
            </w:r>
          </w:p>
        </w:tc>
        <w:tc>
          <w:tcPr>
            <w:tcW w:w="1596" w:type="dxa"/>
          </w:tcPr>
          <w:p w14:paraId="0BFB0755" w14:textId="77777777" w:rsidR="0046798B" w:rsidRDefault="00903B5C">
            <w:pPr>
              <w:pStyle w:val="TableParagraph"/>
              <w:spacing w:before="43"/>
              <w:ind w:left="114" w:right="246"/>
              <w:rPr>
                <w:sz w:val="20"/>
              </w:rPr>
            </w:pPr>
            <w:r>
              <w:rPr>
                <w:sz w:val="20"/>
              </w:rPr>
              <w:t>Sanitation and sewerage spending, % of income</w:t>
            </w:r>
          </w:p>
        </w:tc>
        <w:tc>
          <w:tcPr>
            <w:tcW w:w="1285" w:type="dxa"/>
          </w:tcPr>
          <w:p w14:paraId="3854FB35" w14:textId="77777777" w:rsidR="0046798B" w:rsidRDefault="0046798B">
            <w:pPr>
              <w:pStyle w:val="TableParagraph"/>
            </w:pPr>
          </w:p>
          <w:p w14:paraId="2F35E3FE" w14:textId="77777777" w:rsidR="0046798B" w:rsidRDefault="00903B5C">
            <w:pPr>
              <w:pStyle w:val="TableParagraph"/>
              <w:spacing w:before="135"/>
              <w:ind w:left="114"/>
              <w:rPr>
                <w:sz w:val="20"/>
              </w:rPr>
            </w:pPr>
            <w:r>
              <w:rPr>
                <w:sz w:val="20"/>
              </w:rPr>
              <w:t>1957–2015</w:t>
            </w:r>
          </w:p>
        </w:tc>
        <w:tc>
          <w:tcPr>
            <w:tcW w:w="3421" w:type="dxa"/>
          </w:tcPr>
          <w:p w14:paraId="4178428B" w14:textId="77777777" w:rsidR="0046798B" w:rsidRDefault="0046798B">
            <w:pPr>
              <w:pStyle w:val="TableParagraph"/>
              <w:spacing w:before="8"/>
              <w:rPr>
                <w:sz w:val="23"/>
              </w:rPr>
            </w:pPr>
          </w:p>
          <w:p w14:paraId="3D9D9BF9" w14:textId="77777777" w:rsidR="0046798B" w:rsidRDefault="00903B5C">
            <w:pPr>
              <w:pStyle w:val="TableParagraph"/>
              <w:spacing w:before="1"/>
              <w:ind w:left="114" w:right="294"/>
              <w:rPr>
                <w:sz w:val="20"/>
              </w:rPr>
            </w:pPr>
            <w:r>
              <w:rPr>
                <w:sz w:val="20"/>
              </w:rPr>
              <w:t>Sanitation and sewerage spending, % of income (asanspt / apersinc)</w:t>
            </w:r>
          </w:p>
        </w:tc>
        <w:tc>
          <w:tcPr>
            <w:tcW w:w="6482" w:type="dxa"/>
          </w:tcPr>
          <w:p w14:paraId="62757240"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053A101" w14:textId="77777777">
        <w:trPr>
          <w:trHeight w:val="2385"/>
        </w:trPr>
        <w:tc>
          <w:tcPr>
            <w:tcW w:w="1711" w:type="dxa"/>
          </w:tcPr>
          <w:p w14:paraId="5C7703D2" w14:textId="77777777" w:rsidR="0046798B" w:rsidRDefault="0046798B">
            <w:pPr>
              <w:pStyle w:val="TableParagraph"/>
            </w:pPr>
          </w:p>
          <w:p w14:paraId="5CDA8706" w14:textId="77777777" w:rsidR="0046798B" w:rsidRDefault="0046798B">
            <w:pPr>
              <w:pStyle w:val="TableParagraph"/>
            </w:pPr>
          </w:p>
          <w:p w14:paraId="467AD50F" w14:textId="77777777" w:rsidR="0046798B" w:rsidRDefault="0046798B">
            <w:pPr>
              <w:pStyle w:val="TableParagraph"/>
            </w:pPr>
          </w:p>
          <w:p w14:paraId="714C7F28" w14:textId="77777777" w:rsidR="0046798B" w:rsidRDefault="0046798B">
            <w:pPr>
              <w:pStyle w:val="TableParagraph"/>
              <w:spacing w:before="4"/>
              <w:rPr>
                <w:sz w:val="27"/>
              </w:rPr>
            </w:pPr>
          </w:p>
          <w:p w14:paraId="1EB71227" w14:textId="77777777" w:rsidR="0046798B" w:rsidRDefault="00903B5C">
            <w:pPr>
              <w:pStyle w:val="TableParagraph"/>
              <w:ind w:left="115"/>
              <w:rPr>
                <w:b/>
                <w:sz w:val="20"/>
              </w:rPr>
            </w:pPr>
            <w:r>
              <w:rPr>
                <w:b/>
                <w:sz w:val="20"/>
              </w:rPr>
              <w:t>asanspt</w:t>
            </w:r>
          </w:p>
        </w:tc>
        <w:tc>
          <w:tcPr>
            <w:tcW w:w="1596" w:type="dxa"/>
          </w:tcPr>
          <w:p w14:paraId="704015F1" w14:textId="77777777" w:rsidR="0046798B" w:rsidRDefault="00903B5C">
            <w:pPr>
              <w:pStyle w:val="TableParagraph"/>
              <w:spacing w:before="38"/>
              <w:ind w:left="114" w:right="252"/>
              <w:rPr>
                <w:sz w:val="20"/>
              </w:rPr>
            </w:pPr>
            <w:r>
              <w:rPr>
                <w:sz w:val="20"/>
              </w:rPr>
              <w:t>State and local government sanitation (sewerage and solid waste management) direct expenditure, in millions of dollars</w:t>
            </w:r>
          </w:p>
        </w:tc>
        <w:tc>
          <w:tcPr>
            <w:tcW w:w="1285" w:type="dxa"/>
          </w:tcPr>
          <w:p w14:paraId="6596AC18" w14:textId="77777777" w:rsidR="0046798B" w:rsidRDefault="0046798B">
            <w:pPr>
              <w:pStyle w:val="TableParagraph"/>
            </w:pPr>
          </w:p>
          <w:p w14:paraId="60550423" w14:textId="77777777" w:rsidR="0046798B" w:rsidRDefault="0046798B">
            <w:pPr>
              <w:pStyle w:val="TableParagraph"/>
            </w:pPr>
          </w:p>
          <w:p w14:paraId="388C9060" w14:textId="77777777" w:rsidR="0046798B" w:rsidRDefault="0046798B">
            <w:pPr>
              <w:pStyle w:val="TableParagraph"/>
            </w:pPr>
          </w:p>
          <w:p w14:paraId="038B8EAB" w14:textId="77777777" w:rsidR="0046798B" w:rsidRDefault="0046798B">
            <w:pPr>
              <w:pStyle w:val="TableParagraph"/>
              <w:spacing w:before="4"/>
              <w:rPr>
                <w:sz w:val="27"/>
              </w:rPr>
            </w:pPr>
          </w:p>
          <w:p w14:paraId="1BECD6CB" w14:textId="77777777" w:rsidR="0046798B" w:rsidRDefault="00903B5C">
            <w:pPr>
              <w:pStyle w:val="TableParagraph"/>
              <w:ind w:left="114"/>
              <w:rPr>
                <w:sz w:val="20"/>
              </w:rPr>
            </w:pPr>
            <w:r>
              <w:rPr>
                <w:sz w:val="20"/>
              </w:rPr>
              <w:t>1957–2015</w:t>
            </w:r>
          </w:p>
        </w:tc>
        <w:tc>
          <w:tcPr>
            <w:tcW w:w="3421" w:type="dxa"/>
          </w:tcPr>
          <w:p w14:paraId="67F8E4B6" w14:textId="77777777" w:rsidR="0046798B" w:rsidRDefault="0046798B">
            <w:pPr>
              <w:pStyle w:val="TableParagraph"/>
            </w:pPr>
          </w:p>
          <w:p w14:paraId="526B1872" w14:textId="77777777" w:rsidR="0046798B" w:rsidRDefault="0046798B">
            <w:pPr>
              <w:pStyle w:val="TableParagraph"/>
            </w:pPr>
          </w:p>
          <w:p w14:paraId="7195B0B1" w14:textId="77777777" w:rsidR="0046798B" w:rsidRDefault="0046798B">
            <w:pPr>
              <w:pStyle w:val="TableParagraph"/>
              <w:spacing w:before="4"/>
              <w:rPr>
                <w:sz w:val="19"/>
              </w:rPr>
            </w:pPr>
          </w:p>
          <w:p w14:paraId="16A869FE" w14:textId="77777777" w:rsidR="0046798B" w:rsidRDefault="00903B5C">
            <w:pPr>
              <w:pStyle w:val="TableParagraph"/>
              <w:ind w:left="114" w:right="266"/>
              <w:rPr>
                <w:sz w:val="20"/>
              </w:rPr>
            </w:pPr>
            <w:r>
              <w:rPr>
                <w:sz w:val="20"/>
              </w:rPr>
              <w:t>State and local government sanitation (sewerage and solid waste management) direct expenditure, in millions of dollars</w:t>
            </w:r>
          </w:p>
        </w:tc>
        <w:tc>
          <w:tcPr>
            <w:tcW w:w="6482" w:type="dxa"/>
          </w:tcPr>
          <w:p w14:paraId="55F6FA22" w14:textId="77777777" w:rsidR="0046798B" w:rsidRDefault="0046798B">
            <w:pPr>
              <w:pStyle w:val="TableParagraph"/>
            </w:pPr>
          </w:p>
          <w:p w14:paraId="7EE6C16A" w14:textId="77777777" w:rsidR="0046798B" w:rsidRDefault="0046798B">
            <w:pPr>
              <w:pStyle w:val="TableParagraph"/>
            </w:pPr>
          </w:p>
          <w:p w14:paraId="75970241" w14:textId="77777777" w:rsidR="0046798B" w:rsidRDefault="0046798B">
            <w:pPr>
              <w:pStyle w:val="TableParagraph"/>
              <w:spacing w:before="4"/>
              <w:rPr>
                <w:sz w:val="29"/>
              </w:rPr>
            </w:pPr>
          </w:p>
          <w:p w14:paraId="3D3E7678" w14:textId="77777777" w:rsidR="0046798B" w:rsidRDefault="00903B5C">
            <w:pPr>
              <w:pStyle w:val="TableParagraph"/>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60F3F0E" w14:textId="77777777">
        <w:trPr>
          <w:trHeight w:val="1466"/>
        </w:trPr>
        <w:tc>
          <w:tcPr>
            <w:tcW w:w="1711" w:type="dxa"/>
          </w:tcPr>
          <w:p w14:paraId="43545ACF" w14:textId="77777777" w:rsidR="0046798B" w:rsidRDefault="0046798B">
            <w:pPr>
              <w:pStyle w:val="TableParagraph"/>
            </w:pPr>
          </w:p>
          <w:p w14:paraId="162CA0ED" w14:textId="77777777" w:rsidR="0046798B" w:rsidRDefault="0046798B">
            <w:pPr>
              <w:pStyle w:val="TableParagraph"/>
              <w:spacing w:before="4"/>
              <w:rPr>
                <w:sz w:val="31"/>
              </w:rPr>
            </w:pPr>
          </w:p>
          <w:p w14:paraId="492662E3" w14:textId="77777777" w:rsidR="0046798B" w:rsidRDefault="00903B5C">
            <w:pPr>
              <w:pStyle w:val="TableParagraph"/>
              <w:ind w:left="115"/>
              <w:rPr>
                <w:b/>
                <w:sz w:val="20"/>
              </w:rPr>
            </w:pPr>
            <w:r>
              <w:rPr>
                <w:b/>
                <w:sz w:val="20"/>
              </w:rPr>
              <w:t>aselt</w:t>
            </w:r>
          </w:p>
        </w:tc>
        <w:tc>
          <w:tcPr>
            <w:tcW w:w="1596" w:type="dxa"/>
          </w:tcPr>
          <w:p w14:paraId="60AC808B" w14:textId="77777777" w:rsidR="0046798B" w:rsidRDefault="00903B5C">
            <w:pPr>
              <w:pStyle w:val="TableParagraph"/>
              <w:spacing w:before="39"/>
              <w:ind w:left="114" w:right="274"/>
              <w:rPr>
                <w:sz w:val="20"/>
              </w:rPr>
            </w:pPr>
            <w:r>
              <w:rPr>
                <w:sz w:val="20"/>
              </w:rPr>
              <w:t>State and local other selective sales tax revenues, in millions of dollars</w:t>
            </w:r>
          </w:p>
        </w:tc>
        <w:tc>
          <w:tcPr>
            <w:tcW w:w="1285" w:type="dxa"/>
          </w:tcPr>
          <w:p w14:paraId="54CC4BC8" w14:textId="77777777" w:rsidR="0046798B" w:rsidRDefault="0046798B">
            <w:pPr>
              <w:pStyle w:val="TableParagraph"/>
            </w:pPr>
          </w:p>
          <w:p w14:paraId="3C841817" w14:textId="77777777" w:rsidR="0046798B" w:rsidRDefault="0046798B">
            <w:pPr>
              <w:pStyle w:val="TableParagraph"/>
              <w:spacing w:before="4"/>
              <w:rPr>
                <w:sz w:val="31"/>
              </w:rPr>
            </w:pPr>
          </w:p>
          <w:p w14:paraId="329CFB6E" w14:textId="77777777" w:rsidR="0046798B" w:rsidRDefault="00903B5C">
            <w:pPr>
              <w:pStyle w:val="TableParagraph"/>
              <w:ind w:left="114"/>
              <w:rPr>
                <w:sz w:val="20"/>
              </w:rPr>
            </w:pPr>
            <w:r>
              <w:rPr>
                <w:sz w:val="20"/>
              </w:rPr>
              <w:t>1957–2015</w:t>
            </w:r>
          </w:p>
        </w:tc>
        <w:tc>
          <w:tcPr>
            <w:tcW w:w="3421" w:type="dxa"/>
          </w:tcPr>
          <w:p w14:paraId="4B6672F7" w14:textId="77777777" w:rsidR="0046798B" w:rsidRDefault="0046798B">
            <w:pPr>
              <w:pStyle w:val="TableParagraph"/>
            </w:pPr>
          </w:p>
          <w:p w14:paraId="34555CED" w14:textId="77777777" w:rsidR="0046798B" w:rsidRDefault="0046798B">
            <w:pPr>
              <w:pStyle w:val="TableParagraph"/>
              <w:spacing w:before="4"/>
              <w:rPr>
                <w:sz w:val="21"/>
              </w:rPr>
            </w:pPr>
          </w:p>
          <w:p w14:paraId="49DAB8DA" w14:textId="77777777" w:rsidR="0046798B" w:rsidRDefault="00903B5C">
            <w:pPr>
              <w:pStyle w:val="TableParagraph"/>
              <w:ind w:left="114" w:right="156"/>
              <w:rPr>
                <w:sz w:val="20"/>
              </w:rPr>
            </w:pPr>
            <w:r>
              <w:rPr>
                <w:sz w:val="20"/>
              </w:rPr>
              <w:t>State and local other selective sales tax revenues, in millions of dollars</w:t>
            </w:r>
          </w:p>
        </w:tc>
        <w:tc>
          <w:tcPr>
            <w:tcW w:w="6482" w:type="dxa"/>
          </w:tcPr>
          <w:p w14:paraId="66F26B58" w14:textId="77777777" w:rsidR="0046798B" w:rsidRDefault="0046798B">
            <w:pPr>
              <w:pStyle w:val="TableParagraph"/>
            </w:pPr>
          </w:p>
          <w:p w14:paraId="7D0CFB3D" w14:textId="77777777" w:rsidR="0046798B" w:rsidRDefault="00903B5C">
            <w:pPr>
              <w:pStyle w:val="TableParagraph"/>
              <w:spacing w:before="13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7A4EE4A" w14:textId="77777777">
        <w:trPr>
          <w:trHeight w:val="1235"/>
        </w:trPr>
        <w:tc>
          <w:tcPr>
            <w:tcW w:w="1711" w:type="dxa"/>
          </w:tcPr>
          <w:p w14:paraId="41F2EB81" w14:textId="77777777" w:rsidR="0046798B" w:rsidRDefault="0046798B">
            <w:pPr>
              <w:pStyle w:val="TableParagraph"/>
            </w:pPr>
          </w:p>
          <w:p w14:paraId="1F41919A" w14:textId="77777777" w:rsidR="0046798B" w:rsidRDefault="0046798B">
            <w:pPr>
              <w:pStyle w:val="TableParagraph"/>
              <w:spacing w:before="3"/>
              <w:rPr>
                <w:sz w:val="21"/>
              </w:rPr>
            </w:pPr>
          </w:p>
          <w:p w14:paraId="317B7D57" w14:textId="77777777" w:rsidR="0046798B" w:rsidRDefault="00903B5C">
            <w:pPr>
              <w:pStyle w:val="TableParagraph"/>
              <w:ind w:left="115"/>
              <w:rPr>
                <w:b/>
                <w:sz w:val="20"/>
              </w:rPr>
            </w:pPr>
            <w:r>
              <w:rPr>
                <w:b/>
                <w:sz w:val="20"/>
              </w:rPr>
              <w:t>asevt</w:t>
            </w:r>
          </w:p>
        </w:tc>
        <w:tc>
          <w:tcPr>
            <w:tcW w:w="1596" w:type="dxa"/>
          </w:tcPr>
          <w:p w14:paraId="69843584" w14:textId="77777777" w:rsidR="0046798B" w:rsidRDefault="00903B5C">
            <w:pPr>
              <w:pStyle w:val="TableParagraph"/>
              <w:spacing w:before="38"/>
              <w:ind w:left="114" w:right="152"/>
              <w:rPr>
                <w:sz w:val="20"/>
              </w:rPr>
            </w:pPr>
            <w:r>
              <w:rPr>
                <w:sz w:val="20"/>
              </w:rPr>
              <w:t>State and local revenues from severance taxes, in millions of dollars</w:t>
            </w:r>
          </w:p>
        </w:tc>
        <w:tc>
          <w:tcPr>
            <w:tcW w:w="1285" w:type="dxa"/>
          </w:tcPr>
          <w:p w14:paraId="1005EAAA" w14:textId="77777777" w:rsidR="0046798B" w:rsidRDefault="0046798B">
            <w:pPr>
              <w:pStyle w:val="TableParagraph"/>
            </w:pPr>
          </w:p>
          <w:p w14:paraId="4E0829D7" w14:textId="77777777" w:rsidR="0046798B" w:rsidRDefault="0046798B">
            <w:pPr>
              <w:pStyle w:val="TableParagraph"/>
              <w:spacing w:before="3"/>
              <w:rPr>
                <w:sz w:val="21"/>
              </w:rPr>
            </w:pPr>
          </w:p>
          <w:p w14:paraId="2A39EBC8" w14:textId="77777777" w:rsidR="0046798B" w:rsidRDefault="00903B5C">
            <w:pPr>
              <w:pStyle w:val="TableParagraph"/>
              <w:ind w:left="114"/>
              <w:rPr>
                <w:sz w:val="20"/>
              </w:rPr>
            </w:pPr>
            <w:r>
              <w:rPr>
                <w:sz w:val="20"/>
              </w:rPr>
              <w:t>1957–2015</w:t>
            </w:r>
          </w:p>
        </w:tc>
        <w:tc>
          <w:tcPr>
            <w:tcW w:w="3421" w:type="dxa"/>
          </w:tcPr>
          <w:p w14:paraId="0B1726DC" w14:textId="77777777" w:rsidR="0046798B" w:rsidRDefault="00903B5C">
            <w:pPr>
              <w:pStyle w:val="TableParagraph"/>
              <w:spacing w:before="153"/>
              <w:ind w:left="114" w:right="255"/>
              <w:rPr>
                <w:sz w:val="20"/>
              </w:rPr>
            </w:pPr>
            <w:r>
              <w:rPr>
                <w:sz w:val="20"/>
              </w:rPr>
              <w:t>State and local revenues from severance taxes, in millions of dollars (for 1957–1967, imputed assuming constant ratio to “other taxes”)</w:t>
            </w:r>
          </w:p>
        </w:tc>
        <w:tc>
          <w:tcPr>
            <w:tcW w:w="6482" w:type="dxa"/>
          </w:tcPr>
          <w:p w14:paraId="123A792D" w14:textId="77777777" w:rsidR="0046798B" w:rsidRDefault="0046798B">
            <w:pPr>
              <w:pStyle w:val="TableParagraph"/>
              <w:spacing w:before="3"/>
              <w:rPr>
                <w:sz w:val="23"/>
              </w:rPr>
            </w:pPr>
          </w:p>
          <w:p w14:paraId="6847701D" w14:textId="77777777" w:rsidR="0046798B" w:rsidRDefault="00903B5C">
            <w:pPr>
              <w:pStyle w:val="TableParagraph"/>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047462E" w14:textId="77777777">
        <w:trPr>
          <w:trHeight w:val="1235"/>
        </w:trPr>
        <w:tc>
          <w:tcPr>
            <w:tcW w:w="1711" w:type="dxa"/>
          </w:tcPr>
          <w:p w14:paraId="2D5659FC" w14:textId="77777777" w:rsidR="0046798B" w:rsidRDefault="0046798B">
            <w:pPr>
              <w:pStyle w:val="TableParagraph"/>
            </w:pPr>
          </w:p>
          <w:p w14:paraId="64C6EEDD" w14:textId="77777777" w:rsidR="0046798B" w:rsidRDefault="0046798B">
            <w:pPr>
              <w:pStyle w:val="TableParagraph"/>
              <w:spacing w:before="8"/>
              <w:rPr>
                <w:sz w:val="21"/>
              </w:rPr>
            </w:pPr>
          </w:p>
          <w:p w14:paraId="3EC677B7" w14:textId="77777777" w:rsidR="0046798B" w:rsidRDefault="00903B5C">
            <w:pPr>
              <w:pStyle w:val="TableParagraph"/>
              <w:spacing w:before="1"/>
              <w:ind w:left="115"/>
              <w:rPr>
                <w:b/>
                <w:sz w:val="20"/>
              </w:rPr>
            </w:pPr>
            <w:r>
              <w:rPr>
                <w:b/>
                <w:sz w:val="20"/>
              </w:rPr>
              <w:t>asldebt</w:t>
            </w:r>
          </w:p>
        </w:tc>
        <w:tc>
          <w:tcPr>
            <w:tcW w:w="1596" w:type="dxa"/>
          </w:tcPr>
          <w:p w14:paraId="5EEB82BE" w14:textId="77777777" w:rsidR="0046798B" w:rsidRDefault="00903B5C">
            <w:pPr>
              <w:pStyle w:val="TableParagraph"/>
              <w:spacing w:before="43"/>
              <w:ind w:left="114" w:right="239"/>
              <w:rPr>
                <w:sz w:val="20"/>
              </w:rPr>
            </w:pPr>
            <w:r>
              <w:rPr>
                <w:sz w:val="20"/>
              </w:rPr>
              <w:t>State and local government outstanding debt, long-term and short-term,</w:t>
            </w:r>
          </w:p>
        </w:tc>
        <w:tc>
          <w:tcPr>
            <w:tcW w:w="1285" w:type="dxa"/>
          </w:tcPr>
          <w:p w14:paraId="0C039602" w14:textId="77777777" w:rsidR="0046798B" w:rsidRDefault="0046798B">
            <w:pPr>
              <w:pStyle w:val="TableParagraph"/>
            </w:pPr>
          </w:p>
          <w:p w14:paraId="009E7C2F" w14:textId="77777777" w:rsidR="0046798B" w:rsidRDefault="0046798B">
            <w:pPr>
              <w:pStyle w:val="TableParagraph"/>
              <w:spacing w:before="8"/>
              <w:rPr>
                <w:sz w:val="21"/>
              </w:rPr>
            </w:pPr>
          </w:p>
          <w:p w14:paraId="5B0EC60E" w14:textId="77777777" w:rsidR="0046798B" w:rsidRDefault="00903B5C">
            <w:pPr>
              <w:pStyle w:val="TableParagraph"/>
              <w:spacing w:before="1"/>
              <w:ind w:left="114"/>
              <w:rPr>
                <w:sz w:val="20"/>
              </w:rPr>
            </w:pPr>
            <w:r>
              <w:rPr>
                <w:sz w:val="20"/>
              </w:rPr>
              <w:t>1957–2015</w:t>
            </w:r>
          </w:p>
        </w:tc>
        <w:tc>
          <w:tcPr>
            <w:tcW w:w="3421" w:type="dxa"/>
          </w:tcPr>
          <w:p w14:paraId="60D0DCA7" w14:textId="77777777" w:rsidR="0046798B" w:rsidRDefault="0046798B">
            <w:pPr>
              <w:pStyle w:val="TableParagraph"/>
              <w:spacing w:before="8"/>
              <w:rPr>
                <w:sz w:val="23"/>
              </w:rPr>
            </w:pPr>
          </w:p>
          <w:p w14:paraId="47ADE89B" w14:textId="77777777" w:rsidR="0046798B" w:rsidRDefault="00903B5C">
            <w:pPr>
              <w:pStyle w:val="TableParagraph"/>
              <w:spacing w:before="1"/>
              <w:ind w:left="114" w:right="111"/>
              <w:rPr>
                <w:sz w:val="20"/>
              </w:rPr>
            </w:pPr>
            <w:r>
              <w:rPr>
                <w:sz w:val="20"/>
              </w:rPr>
              <w:t>State and local government outstanding debt, long-term and short-term, in millions of dollars</w:t>
            </w:r>
          </w:p>
        </w:tc>
        <w:tc>
          <w:tcPr>
            <w:tcW w:w="6482" w:type="dxa"/>
          </w:tcPr>
          <w:p w14:paraId="75C15866" w14:textId="77777777" w:rsidR="0046798B" w:rsidRDefault="0046798B">
            <w:pPr>
              <w:pStyle w:val="TableParagraph"/>
              <w:spacing w:before="8"/>
              <w:rPr>
                <w:sz w:val="23"/>
              </w:rPr>
            </w:pPr>
          </w:p>
          <w:p w14:paraId="156935F2"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495C0E34" w14:textId="77777777" w:rsidR="0046798B" w:rsidRDefault="0046798B">
      <w:pPr>
        <w:rPr>
          <w:sz w:val="20"/>
        </w:rPr>
        <w:sectPr w:rsidR="0046798B">
          <w:pgSz w:w="15840" w:h="12240" w:orient="landscape"/>
          <w:pgMar w:top="1220" w:right="300" w:bottom="980" w:left="820" w:header="730" w:footer="787" w:gutter="0"/>
          <w:cols w:space="720"/>
        </w:sectPr>
      </w:pPr>
    </w:p>
    <w:p w14:paraId="6B99C345"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38A4F427" w14:textId="77777777">
        <w:trPr>
          <w:trHeight w:val="542"/>
        </w:trPr>
        <w:tc>
          <w:tcPr>
            <w:tcW w:w="1711" w:type="dxa"/>
            <w:tcBorders>
              <w:bottom w:val="dotted" w:sz="6" w:space="0" w:color="BEBEBE"/>
            </w:tcBorders>
          </w:tcPr>
          <w:p w14:paraId="04E52941" w14:textId="77777777" w:rsidR="0046798B" w:rsidRDefault="0046798B">
            <w:pPr>
              <w:pStyle w:val="TableParagraph"/>
              <w:rPr>
                <w:sz w:val="20"/>
              </w:rPr>
            </w:pPr>
          </w:p>
        </w:tc>
        <w:tc>
          <w:tcPr>
            <w:tcW w:w="1596" w:type="dxa"/>
            <w:tcBorders>
              <w:bottom w:val="dotted" w:sz="6" w:space="0" w:color="BEBEBE"/>
            </w:tcBorders>
          </w:tcPr>
          <w:p w14:paraId="666C4767" w14:textId="77777777" w:rsidR="0046798B" w:rsidRDefault="00903B5C">
            <w:pPr>
              <w:pStyle w:val="TableParagraph"/>
              <w:spacing w:before="43"/>
              <w:ind w:left="114" w:right="374"/>
              <w:rPr>
                <w:sz w:val="20"/>
              </w:rPr>
            </w:pPr>
            <w:r>
              <w:rPr>
                <w:sz w:val="20"/>
              </w:rPr>
              <w:t>in millions of dollars</w:t>
            </w:r>
          </w:p>
        </w:tc>
        <w:tc>
          <w:tcPr>
            <w:tcW w:w="1285" w:type="dxa"/>
            <w:tcBorders>
              <w:bottom w:val="dotted" w:sz="6" w:space="0" w:color="BEBEBE"/>
            </w:tcBorders>
          </w:tcPr>
          <w:p w14:paraId="62FC1B60" w14:textId="77777777" w:rsidR="0046798B" w:rsidRDefault="0046798B">
            <w:pPr>
              <w:pStyle w:val="TableParagraph"/>
              <w:rPr>
                <w:sz w:val="20"/>
              </w:rPr>
            </w:pPr>
          </w:p>
        </w:tc>
        <w:tc>
          <w:tcPr>
            <w:tcW w:w="3421" w:type="dxa"/>
            <w:tcBorders>
              <w:bottom w:val="dotted" w:sz="6" w:space="0" w:color="BEBEBE"/>
            </w:tcBorders>
          </w:tcPr>
          <w:p w14:paraId="7CB30D5C" w14:textId="77777777" w:rsidR="0046798B" w:rsidRDefault="0046798B">
            <w:pPr>
              <w:pStyle w:val="TableParagraph"/>
              <w:rPr>
                <w:sz w:val="20"/>
              </w:rPr>
            </w:pPr>
          </w:p>
        </w:tc>
        <w:tc>
          <w:tcPr>
            <w:tcW w:w="6482" w:type="dxa"/>
            <w:tcBorders>
              <w:bottom w:val="dotted" w:sz="6" w:space="0" w:color="BEBEBE"/>
            </w:tcBorders>
          </w:tcPr>
          <w:p w14:paraId="7C147A4E" w14:textId="77777777" w:rsidR="0046798B" w:rsidRDefault="0046798B">
            <w:pPr>
              <w:pStyle w:val="TableParagraph"/>
              <w:rPr>
                <w:sz w:val="20"/>
              </w:rPr>
            </w:pPr>
          </w:p>
        </w:tc>
      </w:tr>
      <w:tr w:rsidR="0046798B" w14:paraId="1F3073E7" w14:textId="77777777">
        <w:trPr>
          <w:trHeight w:val="1463"/>
        </w:trPr>
        <w:tc>
          <w:tcPr>
            <w:tcW w:w="1711" w:type="dxa"/>
            <w:tcBorders>
              <w:top w:val="dotted" w:sz="6" w:space="0" w:color="BEBEBE"/>
            </w:tcBorders>
          </w:tcPr>
          <w:p w14:paraId="2B3752B6" w14:textId="77777777" w:rsidR="0046798B" w:rsidRDefault="0046798B">
            <w:pPr>
              <w:pStyle w:val="TableParagraph"/>
            </w:pPr>
          </w:p>
          <w:p w14:paraId="046CE218" w14:textId="77777777" w:rsidR="0046798B" w:rsidRDefault="0046798B">
            <w:pPr>
              <w:pStyle w:val="TableParagraph"/>
              <w:spacing w:before="6"/>
              <w:rPr>
                <w:sz w:val="31"/>
              </w:rPr>
            </w:pPr>
          </w:p>
          <w:p w14:paraId="602A5B41" w14:textId="77777777" w:rsidR="0046798B" w:rsidRDefault="00903B5C">
            <w:pPr>
              <w:pStyle w:val="TableParagraph"/>
              <w:ind w:left="115"/>
              <w:rPr>
                <w:b/>
                <w:sz w:val="20"/>
              </w:rPr>
            </w:pPr>
            <w:r>
              <w:rPr>
                <w:b/>
                <w:sz w:val="20"/>
              </w:rPr>
              <w:t>aslgci</w:t>
            </w:r>
          </w:p>
        </w:tc>
        <w:tc>
          <w:tcPr>
            <w:tcW w:w="1596" w:type="dxa"/>
            <w:tcBorders>
              <w:top w:val="dotted" w:sz="6" w:space="0" w:color="BEBEBE"/>
            </w:tcBorders>
          </w:tcPr>
          <w:p w14:paraId="53FBB0B7" w14:textId="77777777" w:rsidR="0046798B" w:rsidRDefault="00903B5C">
            <w:pPr>
              <w:pStyle w:val="TableParagraph"/>
              <w:spacing w:before="40"/>
              <w:ind w:left="114" w:right="185"/>
              <w:rPr>
                <w:sz w:val="20"/>
              </w:rPr>
            </w:pPr>
            <w:r>
              <w:rPr>
                <w:sz w:val="20"/>
              </w:rPr>
              <w:t>State and local government consumption and investment, in millions of dollars</w:t>
            </w:r>
          </w:p>
        </w:tc>
        <w:tc>
          <w:tcPr>
            <w:tcW w:w="1285" w:type="dxa"/>
            <w:tcBorders>
              <w:top w:val="dotted" w:sz="6" w:space="0" w:color="BEBEBE"/>
            </w:tcBorders>
          </w:tcPr>
          <w:p w14:paraId="79B75017" w14:textId="77777777" w:rsidR="0046798B" w:rsidRDefault="0046798B">
            <w:pPr>
              <w:pStyle w:val="TableParagraph"/>
            </w:pPr>
          </w:p>
          <w:p w14:paraId="08888CFA" w14:textId="77777777" w:rsidR="0046798B" w:rsidRDefault="0046798B">
            <w:pPr>
              <w:pStyle w:val="TableParagraph"/>
              <w:spacing w:before="6"/>
              <w:rPr>
                <w:sz w:val="31"/>
              </w:rPr>
            </w:pPr>
          </w:p>
          <w:p w14:paraId="799507CB" w14:textId="77777777" w:rsidR="0046798B" w:rsidRDefault="00903B5C">
            <w:pPr>
              <w:pStyle w:val="TableParagraph"/>
              <w:ind w:left="114"/>
              <w:rPr>
                <w:sz w:val="20"/>
              </w:rPr>
            </w:pPr>
            <w:r>
              <w:rPr>
                <w:sz w:val="20"/>
              </w:rPr>
              <w:t>1967–2015</w:t>
            </w:r>
          </w:p>
        </w:tc>
        <w:tc>
          <w:tcPr>
            <w:tcW w:w="3421" w:type="dxa"/>
            <w:tcBorders>
              <w:top w:val="dotted" w:sz="6" w:space="0" w:color="BEBEBE"/>
            </w:tcBorders>
          </w:tcPr>
          <w:p w14:paraId="6558E0B1" w14:textId="77777777" w:rsidR="0046798B" w:rsidRDefault="0046798B">
            <w:pPr>
              <w:pStyle w:val="TableParagraph"/>
            </w:pPr>
          </w:p>
          <w:p w14:paraId="1DB0E083" w14:textId="77777777" w:rsidR="0046798B" w:rsidRDefault="00903B5C">
            <w:pPr>
              <w:pStyle w:val="TableParagraph"/>
              <w:spacing w:before="133"/>
              <w:ind w:left="114" w:right="721"/>
              <w:rPr>
                <w:sz w:val="20"/>
              </w:rPr>
            </w:pPr>
            <w:r>
              <w:rPr>
                <w:sz w:val="20"/>
              </w:rPr>
              <w:t>State and local government consumption and investment, in millions of dollars</w:t>
            </w:r>
          </w:p>
        </w:tc>
        <w:tc>
          <w:tcPr>
            <w:tcW w:w="6482" w:type="dxa"/>
            <w:tcBorders>
              <w:top w:val="dotted" w:sz="6" w:space="0" w:color="BEBEBE"/>
            </w:tcBorders>
          </w:tcPr>
          <w:p w14:paraId="25A1BEE2" w14:textId="77777777" w:rsidR="0046798B" w:rsidRDefault="0046798B">
            <w:pPr>
              <w:pStyle w:val="TableParagraph"/>
            </w:pPr>
          </w:p>
          <w:p w14:paraId="4924ADE8" w14:textId="77777777" w:rsidR="0046798B" w:rsidRDefault="00903B5C">
            <w:pPr>
              <w:pStyle w:val="TableParagraph"/>
              <w:spacing w:before="13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44AF274" w14:textId="77777777">
        <w:trPr>
          <w:trHeight w:val="1470"/>
        </w:trPr>
        <w:tc>
          <w:tcPr>
            <w:tcW w:w="1711" w:type="dxa"/>
          </w:tcPr>
          <w:p w14:paraId="20DB177F" w14:textId="77777777" w:rsidR="0046798B" w:rsidRDefault="0046798B">
            <w:pPr>
              <w:pStyle w:val="TableParagraph"/>
            </w:pPr>
          </w:p>
          <w:p w14:paraId="10212DEB" w14:textId="77777777" w:rsidR="0046798B" w:rsidRDefault="0046798B">
            <w:pPr>
              <w:pStyle w:val="TableParagraph"/>
              <w:spacing w:before="9"/>
              <w:rPr>
                <w:sz w:val="31"/>
              </w:rPr>
            </w:pPr>
          </w:p>
          <w:p w14:paraId="63EB4E7C" w14:textId="77777777" w:rsidR="0046798B" w:rsidRDefault="00903B5C">
            <w:pPr>
              <w:pStyle w:val="TableParagraph"/>
              <w:ind w:left="115"/>
              <w:rPr>
                <w:b/>
                <w:sz w:val="20"/>
              </w:rPr>
            </w:pPr>
            <w:r>
              <w:rPr>
                <w:b/>
                <w:sz w:val="20"/>
              </w:rPr>
              <w:t>aslgpi</w:t>
            </w:r>
          </w:p>
        </w:tc>
        <w:tc>
          <w:tcPr>
            <w:tcW w:w="1596" w:type="dxa"/>
          </w:tcPr>
          <w:p w14:paraId="552EDB23" w14:textId="77777777" w:rsidR="0046798B" w:rsidRDefault="00903B5C">
            <w:pPr>
              <w:pStyle w:val="TableParagraph"/>
              <w:spacing w:before="43"/>
              <w:ind w:left="114" w:right="151"/>
              <w:rPr>
                <w:sz w:val="20"/>
              </w:rPr>
            </w:pPr>
            <w:r>
              <w:rPr>
                <w:sz w:val="20"/>
              </w:rPr>
              <w:t>Government consumption and investment divided by calendar-year personal income</w:t>
            </w:r>
          </w:p>
        </w:tc>
        <w:tc>
          <w:tcPr>
            <w:tcW w:w="1285" w:type="dxa"/>
          </w:tcPr>
          <w:p w14:paraId="0199C3BB" w14:textId="77777777" w:rsidR="0046798B" w:rsidRDefault="0046798B">
            <w:pPr>
              <w:pStyle w:val="TableParagraph"/>
            </w:pPr>
          </w:p>
          <w:p w14:paraId="02F693A3" w14:textId="77777777" w:rsidR="0046798B" w:rsidRDefault="0046798B">
            <w:pPr>
              <w:pStyle w:val="TableParagraph"/>
              <w:spacing w:before="9"/>
              <w:rPr>
                <w:sz w:val="31"/>
              </w:rPr>
            </w:pPr>
          </w:p>
          <w:p w14:paraId="488A7842" w14:textId="77777777" w:rsidR="0046798B" w:rsidRDefault="00903B5C">
            <w:pPr>
              <w:pStyle w:val="TableParagraph"/>
              <w:ind w:left="114"/>
              <w:rPr>
                <w:sz w:val="20"/>
              </w:rPr>
            </w:pPr>
            <w:r>
              <w:rPr>
                <w:sz w:val="20"/>
              </w:rPr>
              <w:t>1967–2015</w:t>
            </w:r>
          </w:p>
        </w:tc>
        <w:tc>
          <w:tcPr>
            <w:tcW w:w="3421" w:type="dxa"/>
          </w:tcPr>
          <w:p w14:paraId="0334491E" w14:textId="77777777" w:rsidR="0046798B" w:rsidRDefault="0046798B">
            <w:pPr>
              <w:pStyle w:val="TableParagraph"/>
            </w:pPr>
          </w:p>
          <w:p w14:paraId="07E5B38E" w14:textId="77777777" w:rsidR="0046798B" w:rsidRDefault="00903B5C">
            <w:pPr>
              <w:pStyle w:val="TableParagraph"/>
              <w:spacing w:before="135"/>
              <w:ind w:left="114" w:right="300"/>
              <w:rPr>
                <w:sz w:val="20"/>
              </w:rPr>
            </w:pPr>
            <w:r>
              <w:rPr>
                <w:sz w:val="20"/>
              </w:rPr>
              <w:t>Government consumption and investment divided by calendar-year personal income (aslgci / apersinccy)</w:t>
            </w:r>
          </w:p>
        </w:tc>
        <w:tc>
          <w:tcPr>
            <w:tcW w:w="6482" w:type="dxa"/>
          </w:tcPr>
          <w:p w14:paraId="12261626" w14:textId="77777777" w:rsidR="0046798B" w:rsidRDefault="0046798B">
            <w:pPr>
              <w:pStyle w:val="TableParagraph"/>
            </w:pPr>
          </w:p>
          <w:p w14:paraId="5A2C65D1" w14:textId="77777777" w:rsidR="0046798B" w:rsidRDefault="00903B5C">
            <w:pPr>
              <w:pStyle w:val="TableParagraph"/>
              <w:spacing w:before="135"/>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4E077A7" w14:textId="77777777">
        <w:trPr>
          <w:trHeight w:val="1005"/>
        </w:trPr>
        <w:tc>
          <w:tcPr>
            <w:tcW w:w="1711" w:type="dxa"/>
          </w:tcPr>
          <w:p w14:paraId="7A444778" w14:textId="77777777" w:rsidR="0046798B" w:rsidRDefault="0046798B">
            <w:pPr>
              <w:pStyle w:val="TableParagraph"/>
            </w:pPr>
          </w:p>
          <w:p w14:paraId="2876C633" w14:textId="77777777" w:rsidR="0046798B" w:rsidRDefault="00903B5C">
            <w:pPr>
              <w:pStyle w:val="TableParagraph"/>
              <w:spacing w:before="130"/>
              <w:ind w:left="115"/>
              <w:rPr>
                <w:b/>
                <w:sz w:val="20"/>
              </w:rPr>
            </w:pPr>
            <w:r>
              <w:rPr>
                <w:b/>
                <w:sz w:val="20"/>
              </w:rPr>
              <w:t>astatemp</w:t>
            </w:r>
          </w:p>
        </w:tc>
        <w:tc>
          <w:tcPr>
            <w:tcW w:w="1596" w:type="dxa"/>
          </w:tcPr>
          <w:p w14:paraId="6F9E52E3" w14:textId="77777777" w:rsidR="0046798B" w:rsidRDefault="00903B5C">
            <w:pPr>
              <w:pStyle w:val="TableParagraph"/>
              <w:spacing w:before="38"/>
              <w:ind w:left="114" w:right="241"/>
              <w:rPr>
                <w:sz w:val="20"/>
              </w:rPr>
            </w:pPr>
            <w:r>
              <w:rPr>
                <w:sz w:val="20"/>
              </w:rPr>
              <w:t>Employees in state and local government, in thousands</w:t>
            </w:r>
          </w:p>
        </w:tc>
        <w:tc>
          <w:tcPr>
            <w:tcW w:w="1285" w:type="dxa"/>
          </w:tcPr>
          <w:p w14:paraId="27DECFCB" w14:textId="77777777" w:rsidR="0046798B" w:rsidRDefault="0046798B">
            <w:pPr>
              <w:pStyle w:val="TableParagraph"/>
            </w:pPr>
          </w:p>
          <w:p w14:paraId="29D66601" w14:textId="77777777" w:rsidR="0046798B" w:rsidRDefault="00903B5C">
            <w:pPr>
              <w:pStyle w:val="TableParagraph"/>
              <w:spacing w:before="130"/>
              <w:ind w:left="114"/>
              <w:rPr>
                <w:sz w:val="20"/>
              </w:rPr>
            </w:pPr>
            <w:r>
              <w:rPr>
                <w:sz w:val="20"/>
              </w:rPr>
              <w:t>1972–2016</w:t>
            </w:r>
          </w:p>
        </w:tc>
        <w:tc>
          <w:tcPr>
            <w:tcW w:w="3421" w:type="dxa"/>
          </w:tcPr>
          <w:p w14:paraId="2114043D" w14:textId="77777777" w:rsidR="0046798B" w:rsidRDefault="0046798B">
            <w:pPr>
              <w:pStyle w:val="TableParagraph"/>
              <w:spacing w:before="3"/>
              <w:rPr>
                <w:sz w:val="23"/>
              </w:rPr>
            </w:pPr>
          </w:p>
          <w:p w14:paraId="17F363C4" w14:textId="77777777" w:rsidR="0046798B" w:rsidRDefault="00903B5C">
            <w:pPr>
              <w:pStyle w:val="TableParagraph"/>
              <w:spacing w:before="1"/>
              <w:ind w:left="114" w:right="988"/>
              <w:rPr>
                <w:sz w:val="20"/>
              </w:rPr>
            </w:pPr>
            <w:r>
              <w:rPr>
                <w:sz w:val="20"/>
              </w:rPr>
              <w:t>Employees in state and local government, in thousands</w:t>
            </w:r>
          </w:p>
        </w:tc>
        <w:tc>
          <w:tcPr>
            <w:tcW w:w="6482" w:type="dxa"/>
          </w:tcPr>
          <w:p w14:paraId="6F47143E" w14:textId="77777777" w:rsidR="0046798B" w:rsidRDefault="00903B5C">
            <w:pPr>
              <w:pStyle w:val="TableParagraph"/>
              <w:spacing w:before="15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C1026A9" w14:textId="77777777">
        <w:trPr>
          <w:trHeight w:val="2156"/>
        </w:trPr>
        <w:tc>
          <w:tcPr>
            <w:tcW w:w="1711" w:type="dxa"/>
          </w:tcPr>
          <w:p w14:paraId="025AEF27" w14:textId="77777777" w:rsidR="0046798B" w:rsidRDefault="0046798B">
            <w:pPr>
              <w:pStyle w:val="TableParagraph"/>
            </w:pPr>
          </w:p>
          <w:p w14:paraId="75956875" w14:textId="77777777" w:rsidR="0046798B" w:rsidRDefault="0046798B">
            <w:pPr>
              <w:pStyle w:val="TableParagraph"/>
            </w:pPr>
          </w:p>
          <w:p w14:paraId="7FD540AC" w14:textId="77777777" w:rsidR="0046798B" w:rsidRDefault="0046798B">
            <w:pPr>
              <w:pStyle w:val="TableParagraph"/>
            </w:pPr>
          </w:p>
          <w:p w14:paraId="331EF41B" w14:textId="77777777" w:rsidR="0046798B" w:rsidRDefault="0046798B">
            <w:pPr>
              <w:pStyle w:val="TableParagraph"/>
              <w:spacing w:before="4"/>
              <w:rPr>
                <w:sz w:val="17"/>
              </w:rPr>
            </w:pPr>
          </w:p>
          <w:p w14:paraId="45877FC2" w14:textId="77777777" w:rsidR="0046798B" w:rsidRDefault="00903B5C">
            <w:pPr>
              <w:pStyle w:val="TableParagraph"/>
              <w:ind w:left="115"/>
              <w:rPr>
                <w:b/>
                <w:sz w:val="20"/>
              </w:rPr>
            </w:pPr>
            <w:r>
              <w:rPr>
                <w:b/>
                <w:sz w:val="20"/>
              </w:rPr>
              <w:t>astatetot3</w:t>
            </w:r>
          </w:p>
        </w:tc>
        <w:tc>
          <w:tcPr>
            <w:tcW w:w="1596" w:type="dxa"/>
          </w:tcPr>
          <w:p w14:paraId="7A3D080B" w14:textId="77777777" w:rsidR="0046798B" w:rsidRDefault="00903B5C">
            <w:pPr>
              <w:pStyle w:val="TableParagraph"/>
              <w:spacing w:before="38"/>
              <w:ind w:left="114" w:right="116"/>
              <w:rPr>
                <w:sz w:val="20"/>
              </w:rPr>
            </w:pPr>
            <w:r>
              <w:rPr>
                <w:sz w:val="20"/>
              </w:rPr>
              <w:t>State revenues from all taxes but not current charges or gas, severance, alcohol, or tobacco taxes, in millions of dollars</w:t>
            </w:r>
          </w:p>
        </w:tc>
        <w:tc>
          <w:tcPr>
            <w:tcW w:w="1285" w:type="dxa"/>
          </w:tcPr>
          <w:p w14:paraId="126A94A5" w14:textId="77777777" w:rsidR="0046798B" w:rsidRDefault="0046798B">
            <w:pPr>
              <w:pStyle w:val="TableParagraph"/>
            </w:pPr>
          </w:p>
          <w:p w14:paraId="1DD54128" w14:textId="77777777" w:rsidR="0046798B" w:rsidRDefault="0046798B">
            <w:pPr>
              <w:pStyle w:val="TableParagraph"/>
            </w:pPr>
          </w:p>
          <w:p w14:paraId="19314C63" w14:textId="77777777" w:rsidR="0046798B" w:rsidRDefault="0046798B">
            <w:pPr>
              <w:pStyle w:val="TableParagraph"/>
            </w:pPr>
          </w:p>
          <w:p w14:paraId="134C35EE" w14:textId="77777777" w:rsidR="0046798B" w:rsidRDefault="0046798B">
            <w:pPr>
              <w:pStyle w:val="TableParagraph"/>
              <w:spacing w:before="4"/>
              <w:rPr>
                <w:sz w:val="17"/>
              </w:rPr>
            </w:pPr>
          </w:p>
          <w:p w14:paraId="6DBD9545" w14:textId="77777777" w:rsidR="0046798B" w:rsidRDefault="00903B5C">
            <w:pPr>
              <w:pStyle w:val="TableParagraph"/>
              <w:ind w:left="114"/>
              <w:rPr>
                <w:sz w:val="20"/>
              </w:rPr>
            </w:pPr>
            <w:r>
              <w:rPr>
                <w:sz w:val="20"/>
              </w:rPr>
              <w:t>1957–2015</w:t>
            </w:r>
          </w:p>
        </w:tc>
        <w:tc>
          <w:tcPr>
            <w:tcW w:w="3421" w:type="dxa"/>
          </w:tcPr>
          <w:p w14:paraId="1D145F8B" w14:textId="77777777" w:rsidR="0046798B" w:rsidRDefault="0046798B">
            <w:pPr>
              <w:pStyle w:val="TableParagraph"/>
              <w:spacing w:before="3"/>
              <w:rPr>
                <w:sz w:val="23"/>
              </w:rPr>
            </w:pPr>
          </w:p>
          <w:p w14:paraId="31A22B7E" w14:textId="77777777" w:rsidR="0046798B" w:rsidRDefault="00903B5C">
            <w:pPr>
              <w:pStyle w:val="TableParagraph"/>
              <w:spacing w:before="1"/>
              <w:ind w:left="114" w:right="125"/>
              <w:rPr>
                <w:sz w:val="20"/>
              </w:rPr>
            </w:pPr>
            <w:r>
              <w:rPr>
                <w:sz w:val="20"/>
              </w:rPr>
              <w:t xml:space="preserve">State revenues from all taxes but not current charges or gas, severance, alcohol, or tobacco taxes, in millions </w:t>
            </w:r>
            <w:r>
              <w:rPr>
                <w:spacing w:val="-7"/>
                <w:sz w:val="20"/>
              </w:rPr>
              <w:t xml:space="preserve">of </w:t>
            </w:r>
            <w:r>
              <w:rPr>
                <w:sz w:val="20"/>
              </w:rPr>
              <w:t>dollars (NASBO used to apply changes in sales, personal income, and corporate income taxes to most recent years, in italics)</w:t>
            </w:r>
          </w:p>
        </w:tc>
        <w:tc>
          <w:tcPr>
            <w:tcW w:w="6482" w:type="dxa"/>
          </w:tcPr>
          <w:p w14:paraId="356B4C01" w14:textId="77777777" w:rsidR="0046798B" w:rsidRDefault="0046798B">
            <w:pPr>
              <w:pStyle w:val="TableParagraph"/>
            </w:pPr>
          </w:p>
          <w:p w14:paraId="704F83EC" w14:textId="77777777" w:rsidR="0046798B" w:rsidRDefault="0046798B">
            <w:pPr>
              <w:pStyle w:val="TableParagraph"/>
            </w:pPr>
          </w:p>
          <w:p w14:paraId="3584F277" w14:textId="77777777" w:rsidR="0046798B" w:rsidRDefault="0046798B">
            <w:pPr>
              <w:pStyle w:val="TableParagraph"/>
              <w:spacing w:before="4"/>
              <w:rPr>
                <w:sz w:val="19"/>
              </w:rPr>
            </w:pPr>
          </w:p>
          <w:p w14:paraId="48569147"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A518A9C" w14:textId="77777777">
        <w:trPr>
          <w:trHeight w:val="1235"/>
        </w:trPr>
        <w:tc>
          <w:tcPr>
            <w:tcW w:w="1711" w:type="dxa"/>
          </w:tcPr>
          <w:p w14:paraId="52A80160" w14:textId="77777777" w:rsidR="0046798B" w:rsidRDefault="0046798B">
            <w:pPr>
              <w:pStyle w:val="TableParagraph"/>
            </w:pPr>
          </w:p>
          <w:p w14:paraId="1249B3DE" w14:textId="77777777" w:rsidR="0046798B" w:rsidRDefault="0046798B">
            <w:pPr>
              <w:pStyle w:val="TableParagraph"/>
              <w:spacing w:before="3"/>
              <w:rPr>
                <w:sz w:val="21"/>
              </w:rPr>
            </w:pPr>
          </w:p>
          <w:p w14:paraId="30860605" w14:textId="77777777" w:rsidR="0046798B" w:rsidRDefault="00903B5C">
            <w:pPr>
              <w:pStyle w:val="TableParagraph"/>
              <w:ind w:left="115"/>
              <w:rPr>
                <w:b/>
                <w:sz w:val="20"/>
              </w:rPr>
            </w:pPr>
            <w:r>
              <w:rPr>
                <w:b/>
                <w:sz w:val="20"/>
              </w:rPr>
              <w:t>asupp</w:t>
            </w:r>
          </w:p>
        </w:tc>
        <w:tc>
          <w:tcPr>
            <w:tcW w:w="1596" w:type="dxa"/>
          </w:tcPr>
          <w:p w14:paraId="20A1B467" w14:textId="77777777" w:rsidR="0046798B" w:rsidRDefault="00903B5C">
            <w:pPr>
              <w:pStyle w:val="TableParagraph"/>
              <w:spacing w:before="38"/>
              <w:ind w:left="114" w:right="96"/>
              <w:rPr>
                <w:sz w:val="20"/>
              </w:rPr>
            </w:pPr>
            <w:r>
              <w:rPr>
                <w:sz w:val="20"/>
              </w:rPr>
              <w:t>Supplements to wages and salaries, millions of dollars, fiscal year</w:t>
            </w:r>
          </w:p>
        </w:tc>
        <w:tc>
          <w:tcPr>
            <w:tcW w:w="1285" w:type="dxa"/>
          </w:tcPr>
          <w:p w14:paraId="76928AF0" w14:textId="77777777" w:rsidR="0046798B" w:rsidRDefault="0046798B">
            <w:pPr>
              <w:pStyle w:val="TableParagraph"/>
            </w:pPr>
          </w:p>
          <w:p w14:paraId="6EE909E1" w14:textId="77777777" w:rsidR="0046798B" w:rsidRDefault="0046798B">
            <w:pPr>
              <w:pStyle w:val="TableParagraph"/>
              <w:spacing w:before="3"/>
              <w:rPr>
                <w:sz w:val="21"/>
              </w:rPr>
            </w:pPr>
          </w:p>
          <w:p w14:paraId="7D2CDDC4" w14:textId="77777777" w:rsidR="0046798B" w:rsidRDefault="00903B5C">
            <w:pPr>
              <w:pStyle w:val="TableParagraph"/>
              <w:ind w:left="114"/>
              <w:rPr>
                <w:sz w:val="20"/>
              </w:rPr>
            </w:pPr>
            <w:r>
              <w:rPr>
                <w:sz w:val="20"/>
              </w:rPr>
              <w:t>1957–2017</w:t>
            </w:r>
          </w:p>
        </w:tc>
        <w:tc>
          <w:tcPr>
            <w:tcW w:w="3421" w:type="dxa"/>
          </w:tcPr>
          <w:p w14:paraId="3D44B119" w14:textId="77777777" w:rsidR="0046798B" w:rsidRDefault="0046798B">
            <w:pPr>
              <w:pStyle w:val="TableParagraph"/>
            </w:pPr>
          </w:p>
          <w:p w14:paraId="0F4AE088" w14:textId="77777777" w:rsidR="0046798B" w:rsidRDefault="00903B5C">
            <w:pPr>
              <w:pStyle w:val="TableParagraph"/>
              <w:spacing w:before="130"/>
              <w:ind w:left="114" w:right="449"/>
              <w:rPr>
                <w:sz w:val="20"/>
              </w:rPr>
            </w:pPr>
            <w:r>
              <w:rPr>
                <w:sz w:val="20"/>
              </w:rPr>
              <w:t>Supplements to wages and salaries, millions of dollars, fiscal year</w:t>
            </w:r>
          </w:p>
        </w:tc>
        <w:tc>
          <w:tcPr>
            <w:tcW w:w="6482" w:type="dxa"/>
          </w:tcPr>
          <w:p w14:paraId="469469B8" w14:textId="77777777" w:rsidR="0046798B" w:rsidRDefault="0046798B">
            <w:pPr>
              <w:pStyle w:val="TableParagraph"/>
              <w:spacing w:before="3"/>
              <w:rPr>
                <w:sz w:val="23"/>
              </w:rPr>
            </w:pPr>
          </w:p>
          <w:p w14:paraId="46A8870B"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0211E9F" w14:textId="77777777">
        <w:trPr>
          <w:trHeight w:val="1235"/>
        </w:trPr>
        <w:tc>
          <w:tcPr>
            <w:tcW w:w="1711" w:type="dxa"/>
          </w:tcPr>
          <w:p w14:paraId="353F65CE" w14:textId="77777777" w:rsidR="0046798B" w:rsidRDefault="0046798B">
            <w:pPr>
              <w:pStyle w:val="TableParagraph"/>
            </w:pPr>
          </w:p>
          <w:p w14:paraId="5C314F39" w14:textId="77777777" w:rsidR="0046798B" w:rsidRDefault="0046798B">
            <w:pPr>
              <w:pStyle w:val="TableParagraph"/>
              <w:spacing w:before="8"/>
              <w:rPr>
                <w:sz w:val="21"/>
              </w:rPr>
            </w:pPr>
          </w:p>
          <w:p w14:paraId="6AB9312B" w14:textId="77777777" w:rsidR="0046798B" w:rsidRDefault="00903B5C">
            <w:pPr>
              <w:pStyle w:val="TableParagraph"/>
              <w:spacing w:before="1"/>
              <w:ind w:left="115"/>
              <w:rPr>
                <w:b/>
                <w:sz w:val="20"/>
              </w:rPr>
            </w:pPr>
            <w:r>
              <w:rPr>
                <w:b/>
                <w:sz w:val="20"/>
              </w:rPr>
              <w:t>atobt</w:t>
            </w:r>
          </w:p>
        </w:tc>
        <w:tc>
          <w:tcPr>
            <w:tcW w:w="1596" w:type="dxa"/>
          </w:tcPr>
          <w:p w14:paraId="5DA03B4D" w14:textId="77777777" w:rsidR="0046798B" w:rsidRDefault="00903B5C">
            <w:pPr>
              <w:pStyle w:val="TableParagraph"/>
              <w:spacing w:before="43"/>
              <w:ind w:left="114" w:right="274"/>
              <w:rPr>
                <w:sz w:val="20"/>
              </w:rPr>
            </w:pPr>
            <w:r>
              <w:rPr>
                <w:sz w:val="20"/>
              </w:rPr>
              <w:t>State and local tobacco tax revenues, in millions of dollars</w:t>
            </w:r>
          </w:p>
        </w:tc>
        <w:tc>
          <w:tcPr>
            <w:tcW w:w="1285" w:type="dxa"/>
          </w:tcPr>
          <w:p w14:paraId="670FDC67" w14:textId="77777777" w:rsidR="0046798B" w:rsidRDefault="0046798B">
            <w:pPr>
              <w:pStyle w:val="TableParagraph"/>
            </w:pPr>
          </w:p>
          <w:p w14:paraId="668736AE" w14:textId="77777777" w:rsidR="0046798B" w:rsidRDefault="0046798B">
            <w:pPr>
              <w:pStyle w:val="TableParagraph"/>
              <w:spacing w:before="8"/>
              <w:rPr>
                <w:sz w:val="21"/>
              </w:rPr>
            </w:pPr>
          </w:p>
          <w:p w14:paraId="6C499430" w14:textId="77777777" w:rsidR="0046798B" w:rsidRDefault="00903B5C">
            <w:pPr>
              <w:pStyle w:val="TableParagraph"/>
              <w:spacing w:before="1"/>
              <w:ind w:left="114"/>
              <w:rPr>
                <w:sz w:val="20"/>
              </w:rPr>
            </w:pPr>
            <w:r>
              <w:rPr>
                <w:sz w:val="20"/>
              </w:rPr>
              <w:t>1957–2015</w:t>
            </w:r>
          </w:p>
        </w:tc>
        <w:tc>
          <w:tcPr>
            <w:tcW w:w="3421" w:type="dxa"/>
          </w:tcPr>
          <w:p w14:paraId="5DC6F39E" w14:textId="77777777" w:rsidR="0046798B" w:rsidRDefault="0046798B">
            <w:pPr>
              <w:pStyle w:val="TableParagraph"/>
            </w:pPr>
          </w:p>
          <w:p w14:paraId="347CC9BE" w14:textId="77777777" w:rsidR="0046798B" w:rsidRDefault="00903B5C">
            <w:pPr>
              <w:pStyle w:val="TableParagraph"/>
              <w:spacing w:before="135"/>
              <w:ind w:left="114" w:right="117"/>
              <w:rPr>
                <w:sz w:val="20"/>
              </w:rPr>
            </w:pPr>
            <w:r>
              <w:rPr>
                <w:sz w:val="20"/>
              </w:rPr>
              <w:t>State and local tobacco tax revenues, in millions of dollars</w:t>
            </w:r>
          </w:p>
        </w:tc>
        <w:tc>
          <w:tcPr>
            <w:tcW w:w="6482" w:type="dxa"/>
          </w:tcPr>
          <w:p w14:paraId="32545398" w14:textId="77777777" w:rsidR="0046798B" w:rsidRDefault="0046798B">
            <w:pPr>
              <w:pStyle w:val="TableParagraph"/>
              <w:spacing w:before="8"/>
              <w:rPr>
                <w:sz w:val="23"/>
              </w:rPr>
            </w:pPr>
          </w:p>
          <w:p w14:paraId="6817B254" w14:textId="77777777" w:rsidR="0046798B" w:rsidRDefault="00903B5C">
            <w:pPr>
              <w:pStyle w:val="TableParagraph"/>
              <w:spacing w:before="1"/>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41A0BF5C" w14:textId="77777777" w:rsidR="0046798B" w:rsidRDefault="0046798B">
      <w:pPr>
        <w:rPr>
          <w:sz w:val="20"/>
        </w:rPr>
        <w:sectPr w:rsidR="0046798B">
          <w:pgSz w:w="15840" w:h="12240" w:orient="landscape"/>
          <w:pgMar w:top="1220" w:right="300" w:bottom="980" w:left="820" w:header="730" w:footer="787" w:gutter="0"/>
          <w:cols w:space="720"/>
        </w:sectPr>
      </w:pPr>
    </w:p>
    <w:p w14:paraId="4EDA012A"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017F333C" w14:textId="77777777">
        <w:trPr>
          <w:trHeight w:val="775"/>
        </w:trPr>
        <w:tc>
          <w:tcPr>
            <w:tcW w:w="1711" w:type="dxa"/>
          </w:tcPr>
          <w:p w14:paraId="1C6B92CF" w14:textId="77777777" w:rsidR="0046798B" w:rsidRDefault="0046798B">
            <w:pPr>
              <w:pStyle w:val="TableParagraph"/>
              <w:spacing w:before="9"/>
              <w:rPr>
                <w:sz w:val="23"/>
              </w:rPr>
            </w:pPr>
          </w:p>
          <w:p w14:paraId="65EBCDEA" w14:textId="77777777" w:rsidR="0046798B" w:rsidRDefault="00903B5C">
            <w:pPr>
              <w:pStyle w:val="TableParagraph"/>
              <w:ind w:left="115"/>
              <w:rPr>
                <w:b/>
                <w:sz w:val="20"/>
              </w:rPr>
            </w:pPr>
            <w:r>
              <w:rPr>
                <w:b/>
                <w:sz w:val="20"/>
              </w:rPr>
              <w:t>atotemp</w:t>
            </w:r>
          </w:p>
        </w:tc>
        <w:tc>
          <w:tcPr>
            <w:tcW w:w="1596" w:type="dxa"/>
          </w:tcPr>
          <w:p w14:paraId="2247651F" w14:textId="77777777" w:rsidR="0046798B" w:rsidRDefault="00903B5C">
            <w:pPr>
              <w:pStyle w:val="TableParagraph"/>
              <w:spacing w:before="43"/>
              <w:ind w:left="114" w:right="341"/>
              <w:rPr>
                <w:sz w:val="20"/>
              </w:rPr>
            </w:pPr>
            <w:r>
              <w:rPr>
                <w:sz w:val="20"/>
              </w:rPr>
              <w:t>Total employees, in thousands</w:t>
            </w:r>
          </w:p>
        </w:tc>
        <w:tc>
          <w:tcPr>
            <w:tcW w:w="1285" w:type="dxa"/>
          </w:tcPr>
          <w:p w14:paraId="27FF2B4F" w14:textId="77777777" w:rsidR="0046798B" w:rsidRDefault="0046798B">
            <w:pPr>
              <w:pStyle w:val="TableParagraph"/>
              <w:spacing w:before="9"/>
              <w:rPr>
                <w:sz w:val="23"/>
              </w:rPr>
            </w:pPr>
          </w:p>
          <w:p w14:paraId="032D2F66" w14:textId="77777777" w:rsidR="0046798B" w:rsidRDefault="00903B5C">
            <w:pPr>
              <w:pStyle w:val="TableParagraph"/>
              <w:ind w:left="114"/>
              <w:rPr>
                <w:sz w:val="20"/>
              </w:rPr>
            </w:pPr>
            <w:r>
              <w:rPr>
                <w:sz w:val="20"/>
              </w:rPr>
              <w:t>1972–2016</w:t>
            </w:r>
          </w:p>
        </w:tc>
        <w:tc>
          <w:tcPr>
            <w:tcW w:w="3421" w:type="dxa"/>
          </w:tcPr>
          <w:p w14:paraId="77800A48" w14:textId="77777777" w:rsidR="0046798B" w:rsidRDefault="0046798B">
            <w:pPr>
              <w:pStyle w:val="TableParagraph"/>
              <w:spacing w:before="9"/>
              <w:rPr>
                <w:sz w:val="23"/>
              </w:rPr>
            </w:pPr>
          </w:p>
          <w:p w14:paraId="06176F23" w14:textId="77777777" w:rsidR="0046798B" w:rsidRDefault="00903B5C">
            <w:pPr>
              <w:pStyle w:val="TableParagraph"/>
              <w:ind w:left="114"/>
              <w:rPr>
                <w:sz w:val="20"/>
              </w:rPr>
            </w:pPr>
            <w:r>
              <w:rPr>
                <w:sz w:val="20"/>
              </w:rPr>
              <w:t>Total employees, in thousands</w:t>
            </w:r>
          </w:p>
        </w:tc>
        <w:tc>
          <w:tcPr>
            <w:tcW w:w="6482" w:type="dxa"/>
          </w:tcPr>
          <w:p w14:paraId="4C0F4963" w14:textId="77777777" w:rsidR="0046798B" w:rsidRDefault="00903B5C">
            <w:pPr>
              <w:pStyle w:val="TableParagraph"/>
              <w:spacing w:before="4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E0C0071" w14:textId="77777777">
        <w:trPr>
          <w:trHeight w:val="775"/>
        </w:trPr>
        <w:tc>
          <w:tcPr>
            <w:tcW w:w="1711" w:type="dxa"/>
          </w:tcPr>
          <w:p w14:paraId="07DD373A" w14:textId="77777777" w:rsidR="0046798B" w:rsidRDefault="0046798B">
            <w:pPr>
              <w:pStyle w:val="TableParagraph"/>
              <w:spacing w:before="8"/>
              <w:rPr>
                <w:sz w:val="23"/>
              </w:rPr>
            </w:pPr>
          </w:p>
          <w:p w14:paraId="4C9C68EA" w14:textId="77777777" w:rsidR="0046798B" w:rsidRDefault="00903B5C">
            <w:pPr>
              <w:pStyle w:val="TableParagraph"/>
              <w:spacing w:before="1"/>
              <w:ind w:left="115"/>
              <w:rPr>
                <w:b/>
                <w:sz w:val="20"/>
              </w:rPr>
            </w:pPr>
            <w:r>
              <w:rPr>
                <w:b/>
                <w:sz w:val="20"/>
              </w:rPr>
              <w:t>atotpi</w:t>
            </w:r>
          </w:p>
        </w:tc>
        <w:tc>
          <w:tcPr>
            <w:tcW w:w="1596" w:type="dxa"/>
          </w:tcPr>
          <w:p w14:paraId="2771AADE" w14:textId="77777777" w:rsidR="0046798B" w:rsidRDefault="00903B5C">
            <w:pPr>
              <w:pStyle w:val="TableParagraph"/>
              <w:spacing w:before="158"/>
              <w:ind w:left="114"/>
              <w:rPr>
                <w:sz w:val="20"/>
              </w:rPr>
            </w:pPr>
            <w:r>
              <w:rPr>
                <w:sz w:val="20"/>
              </w:rPr>
              <w:t>Total spending,</w:t>
            </w:r>
          </w:p>
          <w:p w14:paraId="4EB4DE50" w14:textId="77777777" w:rsidR="0046798B" w:rsidRDefault="00903B5C">
            <w:pPr>
              <w:pStyle w:val="TableParagraph"/>
              <w:ind w:left="114"/>
              <w:rPr>
                <w:sz w:val="20"/>
              </w:rPr>
            </w:pPr>
            <w:r>
              <w:rPr>
                <w:sz w:val="20"/>
              </w:rPr>
              <w:t>% of income</w:t>
            </w:r>
          </w:p>
        </w:tc>
        <w:tc>
          <w:tcPr>
            <w:tcW w:w="1285" w:type="dxa"/>
          </w:tcPr>
          <w:p w14:paraId="0BC190D6" w14:textId="77777777" w:rsidR="0046798B" w:rsidRDefault="0046798B">
            <w:pPr>
              <w:pStyle w:val="TableParagraph"/>
              <w:spacing w:before="8"/>
              <w:rPr>
                <w:sz w:val="23"/>
              </w:rPr>
            </w:pPr>
          </w:p>
          <w:p w14:paraId="1BDE1931" w14:textId="77777777" w:rsidR="0046798B" w:rsidRDefault="00903B5C">
            <w:pPr>
              <w:pStyle w:val="TableParagraph"/>
              <w:spacing w:before="1"/>
              <w:ind w:left="114"/>
              <w:rPr>
                <w:sz w:val="20"/>
              </w:rPr>
            </w:pPr>
            <w:r>
              <w:rPr>
                <w:sz w:val="20"/>
              </w:rPr>
              <w:t>1957–2015</w:t>
            </w:r>
          </w:p>
        </w:tc>
        <w:tc>
          <w:tcPr>
            <w:tcW w:w="3421" w:type="dxa"/>
          </w:tcPr>
          <w:p w14:paraId="3279302A" w14:textId="77777777" w:rsidR="0046798B" w:rsidRDefault="00903B5C">
            <w:pPr>
              <w:pStyle w:val="TableParagraph"/>
              <w:spacing w:before="158"/>
              <w:ind w:left="114" w:right="205"/>
              <w:rPr>
                <w:sz w:val="20"/>
              </w:rPr>
            </w:pPr>
            <w:r>
              <w:rPr>
                <w:sz w:val="20"/>
              </w:rPr>
              <w:t>Total spending, % of income (atotspt / apersinc)</w:t>
            </w:r>
          </w:p>
        </w:tc>
        <w:tc>
          <w:tcPr>
            <w:tcW w:w="6482" w:type="dxa"/>
          </w:tcPr>
          <w:p w14:paraId="6E397A0C" w14:textId="77777777" w:rsidR="0046798B" w:rsidRDefault="00903B5C">
            <w:pPr>
              <w:pStyle w:val="TableParagraph"/>
              <w:spacing w:before="4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6B24F2F" w14:textId="77777777">
        <w:trPr>
          <w:trHeight w:val="780"/>
        </w:trPr>
        <w:tc>
          <w:tcPr>
            <w:tcW w:w="1711" w:type="dxa"/>
          </w:tcPr>
          <w:p w14:paraId="1D79C00D" w14:textId="77777777" w:rsidR="0046798B" w:rsidRDefault="0046798B">
            <w:pPr>
              <w:pStyle w:val="TableParagraph"/>
              <w:spacing w:before="9"/>
              <w:rPr>
                <w:sz w:val="23"/>
              </w:rPr>
            </w:pPr>
          </w:p>
          <w:p w14:paraId="62C973C2" w14:textId="77777777" w:rsidR="0046798B" w:rsidRDefault="00903B5C">
            <w:pPr>
              <w:pStyle w:val="TableParagraph"/>
              <w:ind w:left="115"/>
              <w:rPr>
                <w:b/>
                <w:sz w:val="20"/>
              </w:rPr>
            </w:pPr>
            <w:r>
              <w:rPr>
                <w:b/>
                <w:sz w:val="20"/>
              </w:rPr>
              <w:t>atotpib</w:t>
            </w:r>
          </w:p>
        </w:tc>
        <w:tc>
          <w:tcPr>
            <w:tcW w:w="1596" w:type="dxa"/>
          </w:tcPr>
          <w:p w14:paraId="656ACCCA" w14:textId="77777777" w:rsidR="0046798B" w:rsidRDefault="00903B5C">
            <w:pPr>
              <w:pStyle w:val="TableParagraph"/>
              <w:spacing w:before="44"/>
              <w:ind w:left="114" w:right="163"/>
              <w:rPr>
                <w:sz w:val="20"/>
              </w:rPr>
            </w:pPr>
            <w:r>
              <w:rPr>
                <w:sz w:val="20"/>
              </w:rPr>
              <w:t>Total spending concept B, % of income</w:t>
            </w:r>
          </w:p>
        </w:tc>
        <w:tc>
          <w:tcPr>
            <w:tcW w:w="1285" w:type="dxa"/>
          </w:tcPr>
          <w:p w14:paraId="4D3F5020" w14:textId="77777777" w:rsidR="0046798B" w:rsidRDefault="0046798B">
            <w:pPr>
              <w:pStyle w:val="TableParagraph"/>
              <w:spacing w:before="9"/>
              <w:rPr>
                <w:sz w:val="23"/>
              </w:rPr>
            </w:pPr>
          </w:p>
          <w:p w14:paraId="10F1C74D" w14:textId="77777777" w:rsidR="0046798B" w:rsidRDefault="00903B5C">
            <w:pPr>
              <w:pStyle w:val="TableParagraph"/>
              <w:ind w:left="114"/>
              <w:rPr>
                <w:sz w:val="20"/>
              </w:rPr>
            </w:pPr>
            <w:r>
              <w:rPr>
                <w:sz w:val="20"/>
              </w:rPr>
              <w:t>1957–2015</w:t>
            </w:r>
          </w:p>
        </w:tc>
        <w:tc>
          <w:tcPr>
            <w:tcW w:w="3421" w:type="dxa"/>
          </w:tcPr>
          <w:p w14:paraId="26778920" w14:textId="77777777" w:rsidR="0046798B" w:rsidRDefault="00903B5C">
            <w:pPr>
              <w:pStyle w:val="TableParagraph"/>
              <w:spacing w:before="159"/>
              <w:ind w:left="114" w:right="105"/>
              <w:rPr>
                <w:sz w:val="20"/>
              </w:rPr>
            </w:pPr>
            <w:r>
              <w:rPr>
                <w:sz w:val="20"/>
              </w:rPr>
              <w:t>Total spending concept B, % of income (atotsptb / apersinc)</w:t>
            </w:r>
          </w:p>
        </w:tc>
        <w:tc>
          <w:tcPr>
            <w:tcW w:w="6482" w:type="dxa"/>
          </w:tcPr>
          <w:p w14:paraId="52D45449" w14:textId="77777777" w:rsidR="0046798B" w:rsidRDefault="00903B5C">
            <w:pPr>
              <w:pStyle w:val="TableParagraph"/>
              <w:spacing w:before="44"/>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AE6636E" w14:textId="77777777">
        <w:trPr>
          <w:trHeight w:val="775"/>
        </w:trPr>
        <w:tc>
          <w:tcPr>
            <w:tcW w:w="1711" w:type="dxa"/>
          </w:tcPr>
          <w:p w14:paraId="71948FAB" w14:textId="77777777" w:rsidR="0046798B" w:rsidRDefault="0046798B">
            <w:pPr>
              <w:pStyle w:val="TableParagraph"/>
              <w:spacing w:before="3"/>
              <w:rPr>
                <w:sz w:val="23"/>
              </w:rPr>
            </w:pPr>
          </w:p>
          <w:p w14:paraId="6B588BE7" w14:textId="77777777" w:rsidR="0046798B" w:rsidRDefault="00903B5C">
            <w:pPr>
              <w:pStyle w:val="TableParagraph"/>
              <w:spacing w:before="1"/>
              <w:ind w:left="115"/>
              <w:rPr>
                <w:b/>
                <w:sz w:val="20"/>
              </w:rPr>
            </w:pPr>
            <w:r>
              <w:rPr>
                <w:b/>
                <w:sz w:val="20"/>
              </w:rPr>
              <w:t>atotpic</w:t>
            </w:r>
          </w:p>
        </w:tc>
        <w:tc>
          <w:tcPr>
            <w:tcW w:w="1596" w:type="dxa"/>
          </w:tcPr>
          <w:p w14:paraId="3EFC15A1" w14:textId="77777777" w:rsidR="0046798B" w:rsidRDefault="00903B5C">
            <w:pPr>
              <w:pStyle w:val="TableParagraph"/>
              <w:spacing w:before="38"/>
              <w:ind w:left="114" w:right="178"/>
              <w:jc w:val="both"/>
              <w:rPr>
                <w:sz w:val="20"/>
              </w:rPr>
            </w:pPr>
            <w:r>
              <w:rPr>
                <w:sz w:val="20"/>
              </w:rPr>
              <w:t>Total spending, concept C, % of income</w:t>
            </w:r>
          </w:p>
        </w:tc>
        <w:tc>
          <w:tcPr>
            <w:tcW w:w="1285" w:type="dxa"/>
          </w:tcPr>
          <w:p w14:paraId="67D68CF0" w14:textId="77777777" w:rsidR="0046798B" w:rsidRDefault="0046798B">
            <w:pPr>
              <w:pStyle w:val="TableParagraph"/>
              <w:spacing w:before="3"/>
              <w:rPr>
                <w:sz w:val="23"/>
              </w:rPr>
            </w:pPr>
          </w:p>
          <w:p w14:paraId="2CE9D005" w14:textId="77777777" w:rsidR="0046798B" w:rsidRDefault="00903B5C">
            <w:pPr>
              <w:pStyle w:val="TableParagraph"/>
              <w:spacing w:before="1"/>
              <w:ind w:left="114"/>
              <w:rPr>
                <w:sz w:val="20"/>
              </w:rPr>
            </w:pPr>
            <w:r>
              <w:rPr>
                <w:sz w:val="20"/>
              </w:rPr>
              <w:t>1957–2015</w:t>
            </w:r>
          </w:p>
        </w:tc>
        <w:tc>
          <w:tcPr>
            <w:tcW w:w="3421" w:type="dxa"/>
          </w:tcPr>
          <w:p w14:paraId="20DE1AD2" w14:textId="77777777" w:rsidR="0046798B" w:rsidRDefault="00903B5C">
            <w:pPr>
              <w:pStyle w:val="TableParagraph"/>
              <w:spacing w:before="153"/>
              <w:ind w:left="114" w:right="694"/>
              <w:rPr>
                <w:sz w:val="20"/>
              </w:rPr>
            </w:pPr>
            <w:r>
              <w:rPr>
                <w:sz w:val="20"/>
              </w:rPr>
              <w:t>Total spending, concept C, % of income (atotsptc / apersinc)</w:t>
            </w:r>
          </w:p>
        </w:tc>
        <w:tc>
          <w:tcPr>
            <w:tcW w:w="6482" w:type="dxa"/>
          </w:tcPr>
          <w:p w14:paraId="03B7BD50" w14:textId="77777777" w:rsidR="0046798B" w:rsidRDefault="00903B5C">
            <w:pPr>
              <w:pStyle w:val="TableParagraph"/>
              <w:spacing w:before="3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EFC4842" w14:textId="77777777">
        <w:trPr>
          <w:trHeight w:val="1465"/>
        </w:trPr>
        <w:tc>
          <w:tcPr>
            <w:tcW w:w="1711" w:type="dxa"/>
          </w:tcPr>
          <w:p w14:paraId="338143BC" w14:textId="77777777" w:rsidR="0046798B" w:rsidRDefault="0046798B">
            <w:pPr>
              <w:pStyle w:val="TableParagraph"/>
            </w:pPr>
          </w:p>
          <w:p w14:paraId="011055CC" w14:textId="77777777" w:rsidR="0046798B" w:rsidRDefault="0046798B">
            <w:pPr>
              <w:pStyle w:val="TableParagraph"/>
              <w:spacing w:before="3"/>
              <w:rPr>
                <w:sz w:val="31"/>
              </w:rPr>
            </w:pPr>
          </w:p>
          <w:p w14:paraId="6AB8260F" w14:textId="77777777" w:rsidR="0046798B" w:rsidRDefault="00903B5C">
            <w:pPr>
              <w:pStyle w:val="TableParagraph"/>
              <w:spacing w:before="1"/>
              <w:ind w:left="115"/>
              <w:rPr>
                <w:b/>
                <w:sz w:val="20"/>
              </w:rPr>
            </w:pPr>
            <w:r>
              <w:rPr>
                <w:b/>
                <w:sz w:val="20"/>
              </w:rPr>
              <w:t>atotspt</w:t>
            </w:r>
          </w:p>
        </w:tc>
        <w:tc>
          <w:tcPr>
            <w:tcW w:w="1596" w:type="dxa"/>
          </w:tcPr>
          <w:p w14:paraId="3598FB12" w14:textId="77777777" w:rsidR="0046798B" w:rsidRDefault="00903B5C">
            <w:pPr>
              <w:pStyle w:val="TableParagraph"/>
              <w:spacing w:before="38"/>
              <w:ind w:left="114" w:right="274"/>
              <w:rPr>
                <w:sz w:val="20"/>
              </w:rPr>
            </w:pPr>
            <w:r>
              <w:rPr>
                <w:sz w:val="20"/>
              </w:rPr>
              <w:t>Total state and local government spending, in millions of dollars</w:t>
            </w:r>
          </w:p>
        </w:tc>
        <w:tc>
          <w:tcPr>
            <w:tcW w:w="1285" w:type="dxa"/>
          </w:tcPr>
          <w:p w14:paraId="48E4BCE0" w14:textId="77777777" w:rsidR="0046798B" w:rsidRDefault="0046798B">
            <w:pPr>
              <w:pStyle w:val="TableParagraph"/>
            </w:pPr>
          </w:p>
          <w:p w14:paraId="0A2EC754" w14:textId="77777777" w:rsidR="0046798B" w:rsidRDefault="0046798B">
            <w:pPr>
              <w:pStyle w:val="TableParagraph"/>
              <w:spacing w:before="3"/>
              <w:rPr>
                <w:sz w:val="31"/>
              </w:rPr>
            </w:pPr>
          </w:p>
          <w:p w14:paraId="3FA18ED9" w14:textId="77777777" w:rsidR="0046798B" w:rsidRDefault="00903B5C">
            <w:pPr>
              <w:pStyle w:val="TableParagraph"/>
              <w:spacing w:before="1"/>
              <w:ind w:left="114"/>
              <w:rPr>
                <w:sz w:val="20"/>
              </w:rPr>
            </w:pPr>
            <w:r>
              <w:rPr>
                <w:sz w:val="20"/>
              </w:rPr>
              <w:t>1957–2015</w:t>
            </w:r>
          </w:p>
        </w:tc>
        <w:tc>
          <w:tcPr>
            <w:tcW w:w="3421" w:type="dxa"/>
          </w:tcPr>
          <w:p w14:paraId="33F1F08D" w14:textId="77777777" w:rsidR="0046798B" w:rsidRDefault="0046798B">
            <w:pPr>
              <w:pStyle w:val="TableParagraph"/>
            </w:pPr>
          </w:p>
          <w:p w14:paraId="63A62344" w14:textId="77777777" w:rsidR="0046798B" w:rsidRDefault="0046798B">
            <w:pPr>
              <w:pStyle w:val="TableParagraph"/>
              <w:spacing w:before="3"/>
              <w:rPr>
                <w:sz w:val="21"/>
              </w:rPr>
            </w:pPr>
          </w:p>
          <w:p w14:paraId="77A3E3EE" w14:textId="77777777" w:rsidR="0046798B" w:rsidRDefault="00903B5C">
            <w:pPr>
              <w:pStyle w:val="TableParagraph"/>
              <w:spacing w:before="1"/>
              <w:ind w:left="114" w:right="655"/>
              <w:rPr>
                <w:sz w:val="20"/>
              </w:rPr>
            </w:pPr>
            <w:r>
              <w:rPr>
                <w:sz w:val="20"/>
              </w:rPr>
              <w:t>Total state and local government spending, in millions of dollars</w:t>
            </w:r>
          </w:p>
        </w:tc>
        <w:tc>
          <w:tcPr>
            <w:tcW w:w="6482" w:type="dxa"/>
          </w:tcPr>
          <w:p w14:paraId="656C27CE" w14:textId="77777777" w:rsidR="0046798B" w:rsidRDefault="0046798B">
            <w:pPr>
              <w:pStyle w:val="TableParagraph"/>
            </w:pPr>
          </w:p>
          <w:p w14:paraId="013FFDE7" w14:textId="77777777" w:rsidR="0046798B" w:rsidRDefault="00903B5C">
            <w:pPr>
              <w:pStyle w:val="TableParagraph"/>
              <w:spacing w:before="130"/>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C299A71" w14:textId="77777777">
        <w:trPr>
          <w:trHeight w:val="4226"/>
        </w:trPr>
        <w:tc>
          <w:tcPr>
            <w:tcW w:w="1711" w:type="dxa"/>
          </w:tcPr>
          <w:p w14:paraId="7F6CCE70" w14:textId="77777777" w:rsidR="0046798B" w:rsidRDefault="0046798B">
            <w:pPr>
              <w:pStyle w:val="TableParagraph"/>
            </w:pPr>
          </w:p>
          <w:p w14:paraId="0C388874" w14:textId="77777777" w:rsidR="0046798B" w:rsidRDefault="0046798B">
            <w:pPr>
              <w:pStyle w:val="TableParagraph"/>
            </w:pPr>
          </w:p>
          <w:p w14:paraId="6FD77945" w14:textId="77777777" w:rsidR="0046798B" w:rsidRDefault="0046798B">
            <w:pPr>
              <w:pStyle w:val="TableParagraph"/>
            </w:pPr>
          </w:p>
          <w:p w14:paraId="38542F92" w14:textId="77777777" w:rsidR="0046798B" w:rsidRDefault="0046798B">
            <w:pPr>
              <w:pStyle w:val="TableParagraph"/>
            </w:pPr>
          </w:p>
          <w:p w14:paraId="10B1D646" w14:textId="77777777" w:rsidR="0046798B" w:rsidRDefault="0046798B">
            <w:pPr>
              <w:pStyle w:val="TableParagraph"/>
            </w:pPr>
          </w:p>
          <w:p w14:paraId="1175F3EE" w14:textId="77777777" w:rsidR="0046798B" w:rsidRDefault="0046798B">
            <w:pPr>
              <w:pStyle w:val="TableParagraph"/>
            </w:pPr>
          </w:p>
          <w:p w14:paraId="751BA349" w14:textId="77777777" w:rsidR="0046798B" w:rsidRDefault="0046798B">
            <w:pPr>
              <w:pStyle w:val="TableParagraph"/>
            </w:pPr>
          </w:p>
          <w:p w14:paraId="40541FB4" w14:textId="77777777" w:rsidR="0046798B" w:rsidRDefault="0046798B">
            <w:pPr>
              <w:pStyle w:val="TableParagraph"/>
              <w:spacing w:before="5"/>
              <w:rPr>
                <w:sz w:val="19"/>
              </w:rPr>
            </w:pPr>
          </w:p>
          <w:p w14:paraId="765123B7" w14:textId="77777777" w:rsidR="0046798B" w:rsidRDefault="00903B5C">
            <w:pPr>
              <w:pStyle w:val="TableParagraph"/>
              <w:ind w:left="115"/>
              <w:rPr>
                <w:b/>
                <w:sz w:val="20"/>
              </w:rPr>
            </w:pPr>
            <w:r>
              <w:rPr>
                <w:b/>
                <w:sz w:val="20"/>
              </w:rPr>
              <w:t>atotsptb</w:t>
            </w:r>
          </w:p>
        </w:tc>
        <w:tc>
          <w:tcPr>
            <w:tcW w:w="1596" w:type="dxa"/>
          </w:tcPr>
          <w:p w14:paraId="21D40FD4" w14:textId="77777777" w:rsidR="0046798B" w:rsidRDefault="00903B5C">
            <w:pPr>
              <w:pStyle w:val="TableParagraph"/>
              <w:spacing w:before="43"/>
              <w:ind w:left="114" w:right="135"/>
              <w:rPr>
                <w:sz w:val="20"/>
              </w:rPr>
            </w:pPr>
            <w:r>
              <w:rPr>
                <w:sz w:val="20"/>
              </w:rPr>
              <w:t>Total state and local government spending, minus unemployment compensation, interest on general debt, other insurance trust, Alaska Permanent Fund Dividend payouts, and liquor store and utility expenditure, in millions of dollars</w:t>
            </w:r>
          </w:p>
        </w:tc>
        <w:tc>
          <w:tcPr>
            <w:tcW w:w="1285" w:type="dxa"/>
          </w:tcPr>
          <w:p w14:paraId="5F7004AA" w14:textId="77777777" w:rsidR="0046798B" w:rsidRDefault="0046798B">
            <w:pPr>
              <w:pStyle w:val="TableParagraph"/>
            </w:pPr>
          </w:p>
          <w:p w14:paraId="676FE6FD" w14:textId="77777777" w:rsidR="0046798B" w:rsidRDefault="0046798B">
            <w:pPr>
              <w:pStyle w:val="TableParagraph"/>
            </w:pPr>
          </w:p>
          <w:p w14:paraId="4AFD7411" w14:textId="77777777" w:rsidR="0046798B" w:rsidRDefault="0046798B">
            <w:pPr>
              <w:pStyle w:val="TableParagraph"/>
            </w:pPr>
          </w:p>
          <w:p w14:paraId="785A8930" w14:textId="77777777" w:rsidR="0046798B" w:rsidRDefault="0046798B">
            <w:pPr>
              <w:pStyle w:val="TableParagraph"/>
            </w:pPr>
          </w:p>
          <w:p w14:paraId="444DEE8C" w14:textId="77777777" w:rsidR="0046798B" w:rsidRDefault="0046798B">
            <w:pPr>
              <w:pStyle w:val="TableParagraph"/>
            </w:pPr>
          </w:p>
          <w:p w14:paraId="7CC5514A" w14:textId="77777777" w:rsidR="0046798B" w:rsidRDefault="0046798B">
            <w:pPr>
              <w:pStyle w:val="TableParagraph"/>
            </w:pPr>
          </w:p>
          <w:p w14:paraId="38CC7B52" w14:textId="77777777" w:rsidR="0046798B" w:rsidRDefault="0046798B">
            <w:pPr>
              <w:pStyle w:val="TableParagraph"/>
            </w:pPr>
          </w:p>
          <w:p w14:paraId="17A3C0F3" w14:textId="77777777" w:rsidR="0046798B" w:rsidRDefault="0046798B">
            <w:pPr>
              <w:pStyle w:val="TableParagraph"/>
              <w:spacing w:before="5"/>
              <w:rPr>
                <w:sz w:val="19"/>
              </w:rPr>
            </w:pPr>
          </w:p>
          <w:p w14:paraId="002DDAAF" w14:textId="77777777" w:rsidR="0046798B" w:rsidRDefault="00903B5C">
            <w:pPr>
              <w:pStyle w:val="TableParagraph"/>
              <w:ind w:left="114"/>
              <w:rPr>
                <w:sz w:val="20"/>
              </w:rPr>
            </w:pPr>
            <w:r>
              <w:rPr>
                <w:sz w:val="20"/>
              </w:rPr>
              <w:t>1957–2015</w:t>
            </w:r>
          </w:p>
        </w:tc>
        <w:tc>
          <w:tcPr>
            <w:tcW w:w="3421" w:type="dxa"/>
          </w:tcPr>
          <w:p w14:paraId="7A2B2C16" w14:textId="77777777" w:rsidR="0046798B" w:rsidRDefault="0046798B">
            <w:pPr>
              <w:pStyle w:val="TableParagraph"/>
            </w:pPr>
          </w:p>
          <w:p w14:paraId="654730E4" w14:textId="77777777" w:rsidR="0046798B" w:rsidRDefault="0046798B">
            <w:pPr>
              <w:pStyle w:val="TableParagraph"/>
            </w:pPr>
          </w:p>
          <w:p w14:paraId="772B8E70" w14:textId="77777777" w:rsidR="0046798B" w:rsidRDefault="0046798B">
            <w:pPr>
              <w:pStyle w:val="TableParagraph"/>
            </w:pPr>
          </w:p>
          <w:p w14:paraId="5D04694E" w14:textId="77777777" w:rsidR="0046798B" w:rsidRDefault="0046798B">
            <w:pPr>
              <w:pStyle w:val="TableParagraph"/>
            </w:pPr>
          </w:p>
          <w:p w14:paraId="0D48B0AD" w14:textId="77777777" w:rsidR="0046798B" w:rsidRDefault="0046798B">
            <w:pPr>
              <w:pStyle w:val="TableParagraph"/>
              <w:spacing w:before="9"/>
              <w:rPr>
                <w:sz w:val="25"/>
              </w:rPr>
            </w:pPr>
          </w:p>
          <w:p w14:paraId="38AEA06F" w14:textId="77777777" w:rsidR="0046798B" w:rsidRDefault="00903B5C">
            <w:pPr>
              <w:pStyle w:val="TableParagraph"/>
              <w:ind w:left="114" w:right="120"/>
              <w:rPr>
                <w:sz w:val="20"/>
              </w:rPr>
            </w:pPr>
            <w:r>
              <w:rPr>
                <w:sz w:val="20"/>
              </w:rPr>
              <w:t xml:space="preserve">Total state and local government spending, minus unemployment compensation, interest on general debt, other insurance trust, Alaska Permanent Fund Dividend payouts, </w:t>
            </w:r>
            <w:r>
              <w:rPr>
                <w:spacing w:val="-5"/>
                <w:sz w:val="20"/>
              </w:rPr>
              <w:t xml:space="preserve">and </w:t>
            </w:r>
            <w:r>
              <w:rPr>
                <w:sz w:val="20"/>
              </w:rPr>
              <w:t>liquor store and utility expenditure, in millions of</w:t>
            </w:r>
            <w:r>
              <w:rPr>
                <w:spacing w:val="-1"/>
                <w:sz w:val="20"/>
              </w:rPr>
              <w:t xml:space="preserve"> </w:t>
            </w:r>
            <w:r>
              <w:rPr>
                <w:sz w:val="20"/>
              </w:rPr>
              <w:t>dollars</w:t>
            </w:r>
          </w:p>
        </w:tc>
        <w:tc>
          <w:tcPr>
            <w:tcW w:w="6482" w:type="dxa"/>
          </w:tcPr>
          <w:p w14:paraId="1E4D9606" w14:textId="77777777" w:rsidR="0046798B" w:rsidRDefault="0046798B">
            <w:pPr>
              <w:pStyle w:val="TableParagraph"/>
            </w:pPr>
          </w:p>
          <w:p w14:paraId="21811389" w14:textId="77777777" w:rsidR="0046798B" w:rsidRDefault="0046798B">
            <w:pPr>
              <w:pStyle w:val="TableParagraph"/>
            </w:pPr>
          </w:p>
          <w:p w14:paraId="6FD740D0" w14:textId="77777777" w:rsidR="0046798B" w:rsidRDefault="0046798B">
            <w:pPr>
              <w:pStyle w:val="TableParagraph"/>
            </w:pPr>
          </w:p>
          <w:p w14:paraId="2FDE67CC" w14:textId="77777777" w:rsidR="0046798B" w:rsidRDefault="0046798B">
            <w:pPr>
              <w:pStyle w:val="TableParagraph"/>
            </w:pPr>
          </w:p>
          <w:p w14:paraId="0240B6E2" w14:textId="77777777" w:rsidR="0046798B" w:rsidRDefault="0046798B">
            <w:pPr>
              <w:pStyle w:val="TableParagraph"/>
            </w:pPr>
          </w:p>
          <w:p w14:paraId="07B4B14E" w14:textId="77777777" w:rsidR="0046798B" w:rsidRDefault="0046798B">
            <w:pPr>
              <w:pStyle w:val="TableParagraph"/>
            </w:pPr>
          </w:p>
          <w:p w14:paraId="3A02AF77" w14:textId="77777777" w:rsidR="0046798B" w:rsidRDefault="0046798B">
            <w:pPr>
              <w:pStyle w:val="TableParagraph"/>
              <w:spacing w:before="5"/>
              <w:rPr>
                <w:sz w:val="21"/>
              </w:rPr>
            </w:pPr>
          </w:p>
          <w:p w14:paraId="1412468F" w14:textId="77777777" w:rsidR="0046798B" w:rsidRDefault="00903B5C">
            <w:pPr>
              <w:pStyle w:val="TableParagraph"/>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0316A743" w14:textId="77777777" w:rsidR="0046798B" w:rsidRDefault="0046798B">
      <w:pPr>
        <w:rPr>
          <w:sz w:val="20"/>
        </w:rPr>
        <w:sectPr w:rsidR="0046798B">
          <w:pgSz w:w="15840" w:h="12240" w:orient="landscape"/>
          <w:pgMar w:top="1220" w:right="300" w:bottom="980" w:left="820" w:header="730" w:footer="787" w:gutter="0"/>
          <w:cols w:space="720"/>
        </w:sectPr>
      </w:pPr>
    </w:p>
    <w:p w14:paraId="171B7063"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960340E" w14:textId="77777777">
        <w:trPr>
          <w:trHeight w:val="4686"/>
        </w:trPr>
        <w:tc>
          <w:tcPr>
            <w:tcW w:w="1711" w:type="dxa"/>
          </w:tcPr>
          <w:p w14:paraId="12B33E8B" w14:textId="77777777" w:rsidR="0046798B" w:rsidRDefault="0046798B">
            <w:pPr>
              <w:pStyle w:val="TableParagraph"/>
            </w:pPr>
          </w:p>
          <w:p w14:paraId="017303F0" w14:textId="77777777" w:rsidR="0046798B" w:rsidRDefault="0046798B">
            <w:pPr>
              <w:pStyle w:val="TableParagraph"/>
            </w:pPr>
          </w:p>
          <w:p w14:paraId="346AAC76" w14:textId="77777777" w:rsidR="0046798B" w:rsidRDefault="0046798B">
            <w:pPr>
              <w:pStyle w:val="TableParagraph"/>
            </w:pPr>
          </w:p>
          <w:p w14:paraId="7B66ED07" w14:textId="77777777" w:rsidR="0046798B" w:rsidRDefault="0046798B">
            <w:pPr>
              <w:pStyle w:val="TableParagraph"/>
            </w:pPr>
          </w:p>
          <w:p w14:paraId="36A019CC" w14:textId="77777777" w:rsidR="0046798B" w:rsidRDefault="0046798B">
            <w:pPr>
              <w:pStyle w:val="TableParagraph"/>
            </w:pPr>
          </w:p>
          <w:p w14:paraId="370A66B9" w14:textId="77777777" w:rsidR="0046798B" w:rsidRDefault="0046798B">
            <w:pPr>
              <w:pStyle w:val="TableParagraph"/>
            </w:pPr>
          </w:p>
          <w:p w14:paraId="2513A937" w14:textId="77777777" w:rsidR="0046798B" w:rsidRDefault="0046798B">
            <w:pPr>
              <w:pStyle w:val="TableParagraph"/>
            </w:pPr>
          </w:p>
          <w:p w14:paraId="7E4F6CEE" w14:textId="77777777" w:rsidR="0046798B" w:rsidRDefault="0046798B">
            <w:pPr>
              <w:pStyle w:val="TableParagraph"/>
            </w:pPr>
          </w:p>
          <w:p w14:paraId="4812F161" w14:textId="77777777" w:rsidR="0046798B" w:rsidRDefault="0046798B">
            <w:pPr>
              <w:pStyle w:val="TableParagraph"/>
              <w:spacing w:before="9"/>
              <w:rPr>
                <w:sz w:val="17"/>
              </w:rPr>
            </w:pPr>
          </w:p>
          <w:p w14:paraId="19C2E717" w14:textId="77777777" w:rsidR="0046798B" w:rsidRDefault="00903B5C">
            <w:pPr>
              <w:pStyle w:val="TableParagraph"/>
              <w:spacing w:before="1"/>
              <w:ind w:left="115"/>
              <w:rPr>
                <w:b/>
                <w:sz w:val="20"/>
              </w:rPr>
            </w:pPr>
            <w:r>
              <w:rPr>
                <w:b/>
                <w:sz w:val="20"/>
              </w:rPr>
              <w:t>atotsptc</w:t>
            </w:r>
          </w:p>
        </w:tc>
        <w:tc>
          <w:tcPr>
            <w:tcW w:w="1596" w:type="dxa"/>
          </w:tcPr>
          <w:p w14:paraId="65281074" w14:textId="77777777" w:rsidR="0046798B" w:rsidRDefault="00903B5C">
            <w:pPr>
              <w:pStyle w:val="TableParagraph"/>
              <w:spacing w:before="43"/>
              <w:ind w:left="114" w:right="135"/>
              <w:rPr>
                <w:sz w:val="20"/>
              </w:rPr>
            </w:pPr>
            <w:r>
              <w:rPr>
                <w:sz w:val="20"/>
              </w:rPr>
              <w:t>Total state and local government spending, minus current charges and unemployment compensation, interest on general debt, other insurance trust, Alaska Permanent Fund Dividend payouts, and liquor store and utility expenditure, in millions of dollars</w:t>
            </w:r>
          </w:p>
        </w:tc>
        <w:tc>
          <w:tcPr>
            <w:tcW w:w="1285" w:type="dxa"/>
          </w:tcPr>
          <w:p w14:paraId="4D0C2DB2" w14:textId="77777777" w:rsidR="0046798B" w:rsidRDefault="0046798B">
            <w:pPr>
              <w:pStyle w:val="TableParagraph"/>
            </w:pPr>
          </w:p>
          <w:p w14:paraId="6741F3A8" w14:textId="77777777" w:rsidR="0046798B" w:rsidRDefault="0046798B">
            <w:pPr>
              <w:pStyle w:val="TableParagraph"/>
            </w:pPr>
          </w:p>
          <w:p w14:paraId="682D66BF" w14:textId="77777777" w:rsidR="0046798B" w:rsidRDefault="0046798B">
            <w:pPr>
              <w:pStyle w:val="TableParagraph"/>
            </w:pPr>
          </w:p>
          <w:p w14:paraId="30CB8AC0" w14:textId="77777777" w:rsidR="0046798B" w:rsidRDefault="0046798B">
            <w:pPr>
              <w:pStyle w:val="TableParagraph"/>
            </w:pPr>
          </w:p>
          <w:p w14:paraId="0B96A7AB" w14:textId="77777777" w:rsidR="0046798B" w:rsidRDefault="0046798B">
            <w:pPr>
              <w:pStyle w:val="TableParagraph"/>
            </w:pPr>
          </w:p>
          <w:p w14:paraId="2DAAFC47" w14:textId="77777777" w:rsidR="0046798B" w:rsidRDefault="0046798B">
            <w:pPr>
              <w:pStyle w:val="TableParagraph"/>
            </w:pPr>
          </w:p>
          <w:p w14:paraId="139CE944" w14:textId="77777777" w:rsidR="0046798B" w:rsidRDefault="0046798B">
            <w:pPr>
              <w:pStyle w:val="TableParagraph"/>
            </w:pPr>
          </w:p>
          <w:p w14:paraId="05AD9565" w14:textId="77777777" w:rsidR="0046798B" w:rsidRDefault="0046798B">
            <w:pPr>
              <w:pStyle w:val="TableParagraph"/>
            </w:pPr>
          </w:p>
          <w:p w14:paraId="6F49064D" w14:textId="77777777" w:rsidR="0046798B" w:rsidRDefault="0046798B">
            <w:pPr>
              <w:pStyle w:val="TableParagraph"/>
              <w:spacing w:before="9"/>
              <w:rPr>
                <w:sz w:val="17"/>
              </w:rPr>
            </w:pPr>
          </w:p>
          <w:p w14:paraId="5F83A42B" w14:textId="77777777" w:rsidR="0046798B" w:rsidRDefault="00903B5C">
            <w:pPr>
              <w:pStyle w:val="TableParagraph"/>
              <w:spacing w:before="1"/>
              <w:ind w:left="114"/>
              <w:rPr>
                <w:sz w:val="20"/>
              </w:rPr>
            </w:pPr>
            <w:r>
              <w:rPr>
                <w:sz w:val="20"/>
              </w:rPr>
              <w:t>1957–2015</w:t>
            </w:r>
          </w:p>
        </w:tc>
        <w:tc>
          <w:tcPr>
            <w:tcW w:w="3421" w:type="dxa"/>
          </w:tcPr>
          <w:p w14:paraId="583DEA8C" w14:textId="77777777" w:rsidR="0046798B" w:rsidRDefault="0046798B">
            <w:pPr>
              <w:pStyle w:val="TableParagraph"/>
            </w:pPr>
          </w:p>
          <w:p w14:paraId="5A5BF066" w14:textId="77777777" w:rsidR="0046798B" w:rsidRDefault="0046798B">
            <w:pPr>
              <w:pStyle w:val="TableParagraph"/>
            </w:pPr>
          </w:p>
          <w:p w14:paraId="14225658" w14:textId="77777777" w:rsidR="0046798B" w:rsidRDefault="0046798B">
            <w:pPr>
              <w:pStyle w:val="TableParagraph"/>
            </w:pPr>
          </w:p>
          <w:p w14:paraId="045726EB" w14:textId="77777777" w:rsidR="0046798B" w:rsidRDefault="0046798B">
            <w:pPr>
              <w:pStyle w:val="TableParagraph"/>
            </w:pPr>
          </w:p>
          <w:p w14:paraId="1E7CBAA6" w14:textId="77777777" w:rsidR="0046798B" w:rsidRDefault="0046798B">
            <w:pPr>
              <w:pStyle w:val="TableParagraph"/>
            </w:pPr>
          </w:p>
          <w:p w14:paraId="32112B67" w14:textId="77777777" w:rsidR="0046798B" w:rsidRDefault="0046798B">
            <w:pPr>
              <w:pStyle w:val="TableParagraph"/>
              <w:spacing w:before="9"/>
              <w:rPr>
                <w:sz w:val="23"/>
              </w:rPr>
            </w:pPr>
          </w:p>
          <w:p w14:paraId="57BAD1A1" w14:textId="77777777" w:rsidR="0046798B" w:rsidRDefault="00903B5C">
            <w:pPr>
              <w:pStyle w:val="TableParagraph"/>
              <w:spacing w:before="1"/>
              <w:ind w:left="114" w:right="227"/>
              <w:rPr>
                <w:sz w:val="20"/>
              </w:rPr>
            </w:pPr>
            <w:r>
              <w:rPr>
                <w:sz w:val="20"/>
              </w:rPr>
              <w:t>Total state and local government spending, minus current charges and unemployment compensation, interest on general debt, other insurance trust, Alaska Permanent Fund Dividend payouts, and liquor store and utility expenditure, in millions of dollars</w:t>
            </w:r>
          </w:p>
        </w:tc>
        <w:tc>
          <w:tcPr>
            <w:tcW w:w="6482" w:type="dxa"/>
          </w:tcPr>
          <w:p w14:paraId="3508E4B5" w14:textId="77777777" w:rsidR="0046798B" w:rsidRDefault="0046798B">
            <w:pPr>
              <w:pStyle w:val="TableParagraph"/>
            </w:pPr>
          </w:p>
          <w:p w14:paraId="313AB7B7" w14:textId="77777777" w:rsidR="0046798B" w:rsidRDefault="0046798B">
            <w:pPr>
              <w:pStyle w:val="TableParagraph"/>
            </w:pPr>
          </w:p>
          <w:p w14:paraId="34A6B7A8" w14:textId="77777777" w:rsidR="0046798B" w:rsidRDefault="0046798B">
            <w:pPr>
              <w:pStyle w:val="TableParagraph"/>
            </w:pPr>
          </w:p>
          <w:p w14:paraId="7AE06924" w14:textId="77777777" w:rsidR="0046798B" w:rsidRDefault="0046798B">
            <w:pPr>
              <w:pStyle w:val="TableParagraph"/>
            </w:pPr>
          </w:p>
          <w:p w14:paraId="0E2E845D" w14:textId="77777777" w:rsidR="0046798B" w:rsidRDefault="0046798B">
            <w:pPr>
              <w:pStyle w:val="TableParagraph"/>
            </w:pPr>
          </w:p>
          <w:p w14:paraId="2998A80C" w14:textId="77777777" w:rsidR="0046798B" w:rsidRDefault="0046798B">
            <w:pPr>
              <w:pStyle w:val="TableParagraph"/>
            </w:pPr>
          </w:p>
          <w:p w14:paraId="60739A0B" w14:textId="77777777" w:rsidR="0046798B" w:rsidRDefault="0046798B">
            <w:pPr>
              <w:pStyle w:val="TableParagraph"/>
            </w:pPr>
          </w:p>
          <w:p w14:paraId="4DE96EFD" w14:textId="77777777" w:rsidR="0046798B" w:rsidRDefault="0046798B">
            <w:pPr>
              <w:pStyle w:val="TableParagraph"/>
              <w:spacing w:before="9"/>
              <w:rPr>
                <w:sz w:val="19"/>
              </w:rPr>
            </w:pPr>
          </w:p>
          <w:p w14:paraId="0F53B555"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7C03FCB" w14:textId="77777777">
        <w:trPr>
          <w:trHeight w:val="1695"/>
        </w:trPr>
        <w:tc>
          <w:tcPr>
            <w:tcW w:w="1711" w:type="dxa"/>
          </w:tcPr>
          <w:p w14:paraId="1AB9BD14" w14:textId="77777777" w:rsidR="0046798B" w:rsidRDefault="0046798B">
            <w:pPr>
              <w:pStyle w:val="TableParagraph"/>
            </w:pPr>
          </w:p>
          <w:p w14:paraId="62976063" w14:textId="77777777" w:rsidR="0046798B" w:rsidRDefault="0046798B">
            <w:pPr>
              <w:pStyle w:val="TableParagraph"/>
            </w:pPr>
          </w:p>
          <w:p w14:paraId="645991AD" w14:textId="77777777" w:rsidR="0046798B" w:rsidRDefault="0046798B">
            <w:pPr>
              <w:pStyle w:val="TableParagraph"/>
              <w:spacing w:before="9"/>
              <w:rPr>
                <w:sz w:val="19"/>
              </w:rPr>
            </w:pPr>
          </w:p>
          <w:p w14:paraId="5B368046" w14:textId="77777777" w:rsidR="0046798B" w:rsidRDefault="00903B5C">
            <w:pPr>
              <w:pStyle w:val="TableParagraph"/>
              <w:ind w:left="115"/>
              <w:rPr>
                <w:b/>
                <w:sz w:val="20"/>
              </w:rPr>
            </w:pPr>
            <w:r>
              <w:rPr>
                <w:b/>
                <w:sz w:val="20"/>
              </w:rPr>
              <w:t>atott</w:t>
            </w:r>
          </w:p>
        </w:tc>
        <w:tc>
          <w:tcPr>
            <w:tcW w:w="1596" w:type="dxa"/>
          </w:tcPr>
          <w:p w14:paraId="54E3E2E2" w14:textId="77777777" w:rsidR="0046798B" w:rsidRDefault="00903B5C">
            <w:pPr>
              <w:pStyle w:val="TableParagraph"/>
              <w:spacing w:before="43"/>
              <w:ind w:left="114" w:right="180"/>
              <w:rPr>
                <w:sz w:val="20"/>
              </w:rPr>
            </w:pPr>
            <w:r>
              <w:rPr>
                <w:sz w:val="20"/>
              </w:rPr>
              <w:t>State and local revenues from all taxes but not current charges or gas taxes, in millions of dollars</w:t>
            </w:r>
          </w:p>
        </w:tc>
        <w:tc>
          <w:tcPr>
            <w:tcW w:w="1285" w:type="dxa"/>
          </w:tcPr>
          <w:p w14:paraId="4583CFB1" w14:textId="77777777" w:rsidR="0046798B" w:rsidRDefault="0046798B">
            <w:pPr>
              <w:pStyle w:val="TableParagraph"/>
            </w:pPr>
          </w:p>
          <w:p w14:paraId="6CC3A01A" w14:textId="77777777" w:rsidR="0046798B" w:rsidRDefault="0046798B">
            <w:pPr>
              <w:pStyle w:val="TableParagraph"/>
            </w:pPr>
          </w:p>
          <w:p w14:paraId="27E1E761" w14:textId="77777777" w:rsidR="0046798B" w:rsidRDefault="0046798B">
            <w:pPr>
              <w:pStyle w:val="TableParagraph"/>
              <w:spacing w:before="9"/>
              <w:rPr>
                <w:sz w:val="19"/>
              </w:rPr>
            </w:pPr>
          </w:p>
          <w:p w14:paraId="2076374D" w14:textId="77777777" w:rsidR="0046798B" w:rsidRDefault="00903B5C">
            <w:pPr>
              <w:pStyle w:val="TableParagraph"/>
              <w:ind w:left="114"/>
              <w:rPr>
                <w:sz w:val="20"/>
              </w:rPr>
            </w:pPr>
            <w:r>
              <w:rPr>
                <w:sz w:val="20"/>
              </w:rPr>
              <w:t>1957–2015</w:t>
            </w:r>
          </w:p>
        </w:tc>
        <w:tc>
          <w:tcPr>
            <w:tcW w:w="3421" w:type="dxa"/>
          </w:tcPr>
          <w:p w14:paraId="72344E40" w14:textId="77777777" w:rsidR="0046798B" w:rsidRDefault="0046798B">
            <w:pPr>
              <w:pStyle w:val="TableParagraph"/>
            </w:pPr>
          </w:p>
          <w:p w14:paraId="5BAADFD0" w14:textId="77777777" w:rsidR="0046798B" w:rsidRDefault="0046798B">
            <w:pPr>
              <w:pStyle w:val="TableParagraph"/>
              <w:spacing w:before="9"/>
              <w:rPr>
                <w:sz w:val="21"/>
              </w:rPr>
            </w:pPr>
          </w:p>
          <w:p w14:paraId="4559246D" w14:textId="77777777" w:rsidR="0046798B" w:rsidRDefault="00903B5C">
            <w:pPr>
              <w:pStyle w:val="TableParagraph"/>
              <w:ind w:left="114" w:right="204"/>
              <w:jc w:val="both"/>
              <w:rPr>
                <w:sz w:val="20"/>
              </w:rPr>
            </w:pPr>
            <w:r>
              <w:rPr>
                <w:sz w:val="20"/>
              </w:rPr>
              <w:t>State and local revenues from all taxes but not current charges or gas taxes, in millions of dollars</w:t>
            </w:r>
          </w:p>
        </w:tc>
        <w:tc>
          <w:tcPr>
            <w:tcW w:w="6482" w:type="dxa"/>
          </w:tcPr>
          <w:p w14:paraId="07D738BA" w14:textId="77777777" w:rsidR="0046798B" w:rsidRDefault="0046798B">
            <w:pPr>
              <w:pStyle w:val="TableParagraph"/>
            </w:pPr>
          </w:p>
          <w:p w14:paraId="66A7E3DA" w14:textId="77777777" w:rsidR="0046798B" w:rsidRDefault="0046798B">
            <w:pPr>
              <w:pStyle w:val="TableParagraph"/>
              <w:spacing w:before="9"/>
              <w:rPr>
                <w:sz w:val="21"/>
              </w:rPr>
            </w:pPr>
          </w:p>
          <w:p w14:paraId="51DD0972"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F1DBE92" w14:textId="77777777">
        <w:trPr>
          <w:trHeight w:val="1926"/>
        </w:trPr>
        <w:tc>
          <w:tcPr>
            <w:tcW w:w="1711" w:type="dxa"/>
          </w:tcPr>
          <w:p w14:paraId="155C1F5F" w14:textId="77777777" w:rsidR="0046798B" w:rsidRDefault="0046798B">
            <w:pPr>
              <w:pStyle w:val="TableParagraph"/>
            </w:pPr>
          </w:p>
          <w:p w14:paraId="0A2C4413" w14:textId="77777777" w:rsidR="0046798B" w:rsidRDefault="0046798B">
            <w:pPr>
              <w:pStyle w:val="TableParagraph"/>
            </w:pPr>
          </w:p>
          <w:p w14:paraId="5F3C4818" w14:textId="77777777" w:rsidR="0046798B" w:rsidRDefault="0046798B">
            <w:pPr>
              <w:pStyle w:val="TableParagraph"/>
              <w:spacing w:before="9"/>
              <w:rPr>
                <w:sz w:val="29"/>
              </w:rPr>
            </w:pPr>
          </w:p>
          <w:p w14:paraId="26A6AD97" w14:textId="77777777" w:rsidR="0046798B" w:rsidRDefault="00903B5C">
            <w:pPr>
              <w:pStyle w:val="TableParagraph"/>
              <w:ind w:left="115"/>
              <w:rPr>
                <w:b/>
                <w:sz w:val="20"/>
              </w:rPr>
            </w:pPr>
            <w:r>
              <w:rPr>
                <w:b/>
                <w:sz w:val="20"/>
              </w:rPr>
              <w:t>atott2</w:t>
            </w:r>
          </w:p>
        </w:tc>
        <w:tc>
          <w:tcPr>
            <w:tcW w:w="1596" w:type="dxa"/>
          </w:tcPr>
          <w:p w14:paraId="635E50C5" w14:textId="77777777" w:rsidR="0046798B" w:rsidRDefault="00903B5C">
            <w:pPr>
              <w:pStyle w:val="TableParagraph"/>
              <w:spacing w:before="43"/>
              <w:ind w:left="114" w:right="152"/>
              <w:rPr>
                <w:sz w:val="20"/>
              </w:rPr>
            </w:pPr>
            <w:r>
              <w:rPr>
                <w:sz w:val="20"/>
              </w:rPr>
              <w:t>State and local revenues from all taxes but not current charges or gas taxes or severance taxes, in millions of dollars</w:t>
            </w:r>
          </w:p>
        </w:tc>
        <w:tc>
          <w:tcPr>
            <w:tcW w:w="1285" w:type="dxa"/>
          </w:tcPr>
          <w:p w14:paraId="344D8A61" w14:textId="77777777" w:rsidR="0046798B" w:rsidRDefault="0046798B">
            <w:pPr>
              <w:pStyle w:val="TableParagraph"/>
            </w:pPr>
          </w:p>
          <w:p w14:paraId="1DC28BE6" w14:textId="77777777" w:rsidR="0046798B" w:rsidRDefault="0046798B">
            <w:pPr>
              <w:pStyle w:val="TableParagraph"/>
            </w:pPr>
          </w:p>
          <w:p w14:paraId="4B7DB62B" w14:textId="77777777" w:rsidR="0046798B" w:rsidRDefault="0046798B">
            <w:pPr>
              <w:pStyle w:val="TableParagraph"/>
              <w:spacing w:before="9"/>
              <w:rPr>
                <w:sz w:val="29"/>
              </w:rPr>
            </w:pPr>
          </w:p>
          <w:p w14:paraId="30C271A1" w14:textId="77777777" w:rsidR="0046798B" w:rsidRDefault="00903B5C">
            <w:pPr>
              <w:pStyle w:val="TableParagraph"/>
              <w:ind w:left="114"/>
              <w:rPr>
                <w:sz w:val="20"/>
              </w:rPr>
            </w:pPr>
            <w:r>
              <w:rPr>
                <w:sz w:val="20"/>
              </w:rPr>
              <w:t>1957–2015</w:t>
            </w:r>
          </w:p>
        </w:tc>
        <w:tc>
          <w:tcPr>
            <w:tcW w:w="3421" w:type="dxa"/>
          </w:tcPr>
          <w:p w14:paraId="2E8DF772" w14:textId="77777777" w:rsidR="0046798B" w:rsidRDefault="0046798B">
            <w:pPr>
              <w:pStyle w:val="TableParagraph"/>
            </w:pPr>
          </w:p>
          <w:p w14:paraId="175A8E9B" w14:textId="77777777" w:rsidR="0046798B" w:rsidRDefault="0046798B">
            <w:pPr>
              <w:pStyle w:val="TableParagraph"/>
              <w:spacing w:before="9"/>
              <w:rPr>
                <w:sz w:val="31"/>
              </w:rPr>
            </w:pPr>
          </w:p>
          <w:p w14:paraId="081DA103" w14:textId="77777777" w:rsidR="0046798B" w:rsidRDefault="00903B5C">
            <w:pPr>
              <w:pStyle w:val="TableParagraph"/>
              <w:ind w:left="114" w:right="204"/>
              <w:jc w:val="both"/>
              <w:rPr>
                <w:sz w:val="20"/>
              </w:rPr>
            </w:pPr>
            <w:r>
              <w:rPr>
                <w:sz w:val="20"/>
              </w:rPr>
              <w:t>State and local revenues from all taxes but not current charges or gas taxes or severance taxes, in millions of dollars</w:t>
            </w:r>
          </w:p>
        </w:tc>
        <w:tc>
          <w:tcPr>
            <w:tcW w:w="6482" w:type="dxa"/>
          </w:tcPr>
          <w:p w14:paraId="73B69540" w14:textId="77777777" w:rsidR="0046798B" w:rsidRDefault="0046798B">
            <w:pPr>
              <w:pStyle w:val="TableParagraph"/>
            </w:pPr>
          </w:p>
          <w:p w14:paraId="3E88BC0D" w14:textId="77777777" w:rsidR="0046798B" w:rsidRDefault="0046798B">
            <w:pPr>
              <w:pStyle w:val="TableParagraph"/>
              <w:spacing w:before="9"/>
              <w:rPr>
                <w:sz w:val="31"/>
              </w:rPr>
            </w:pPr>
          </w:p>
          <w:p w14:paraId="1EA305AF" w14:textId="77777777" w:rsidR="0046798B" w:rsidRDefault="00903B5C">
            <w:pPr>
              <w:pStyle w:val="TableParagraph"/>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FCB1F20" w14:textId="77777777">
        <w:trPr>
          <w:trHeight w:val="780"/>
        </w:trPr>
        <w:tc>
          <w:tcPr>
            <w:tcW w:w="1711" w:type="dxa"/>
          </w:tcPr>
          <w:p w14:paraId="6324E97D" w14:textId="77777777" w:rsidR="0046798B" w:rsidRDefault="0046798B">
            <w:pPr>
              <w:pStyle w:val="TableParagraph"/>
              <w:spacing w:before="8"/>
              <w:rPr>
                <w:sz w:val="23"/>
              </w:rPr>
            </w:pPr>
          </w:p>
          <w:p w14:paraId="1A1E4365" w14:textId="77777777" w:rsidR="0046798B" w:rsidRDefault="00903B5C">
            <w:pPr>
              <w:pStyle w:val="TableParagraph"/>
              <w:spacing w:before="1"/>
              <w:ind w:left="115"/>
              <w:rPr>
                <w:b/>
                <w:sz w:val="20"/>
              </w:rPr>
            </w:pPr>
            <w:r>
              <w:rPr>
                <w:b/>
                <w:sz w:val="20"/>
              </w:rPr>
              <w:t>atott3</w:t>
            </w:r>
          </w:p>
        </w:tc>
        <w:tc>
          <w:tcPr>
            <w:tcW w:w="1596" w:type="dxa"/>
          </w:tcPr>
          <w:p w14:paraId="160C2B26" w14:textId="77777777" w:rsidR="0046798B" w:rsidRDefault="00903B5C">
            <w:pPr>
              <w:pStyle w:val="TableParagraph"/>
              <w:spacing w:before="43"/>
              <w:ind w:left="114" w:right="180"/>
              <w:rPr>
                <w:sz w:val="20"/>
              </w:rPr>
            </w:pPr>
            <w:r>
              <w:rPr>
                <w:sz w:val="20"/>
              </w:rPr>
              <w:t>State and local revenues from all taxes but not</w:t>
            </w:r>
          </w:p>
        </w:tc>
        <w:tc>
          <w:tcPr>
            <w:tcW w:w="1285" w:type="dxa"/>
          </w:tcPr>
          <w:p w14:paraId="6BDFFFC8" w14:textId="77777777" w:rsidR="0046798B" w:rsidRDefault="0046798B">
            <w:pPr>
              <w:pStyle w:val="TableParagraph"/>
              <w:spacing w:before="8"/>
              <w:rPr>
                <w:sz w:val="23"/>
              </w:rPr>
            </w:pPr>
          </w:p>
          <w:p w14:paraId="0B649797" w14:textId="77777777" w:rsidR="0046798B" w:rsidRDefault="00903B5C">
            <w:pPr>
              <w:pStyle w:val="TableParagraph"/>
              <w:spacing w:before="1"/>
              <w:ind w:left="114"/>
              <w:rPr>
                <w:sz w:val="20"/>
              </w:rPr>
            </w:pPr>
            <w:r>
              <w:rPr>
                <w:sz w:val="20"/>
              </w:rPr>
              <w:t>1957–2015</w:t>
            </w:r>
          </w:p>
        </w:tc>
        <w:tc>
          <w:tcPr>
            <w:tcW w:w="3421" w:type="dxa"/>
          </w:tcPr>
          <w:p w14:paraId="2D18401E" w14:textId="77777777" w:rsidR="0046798B" w:rsidRDefault="00903B5C">
            <w:pPr>
              <w:pStyle w:val="TableParagraph"/>
              <w:spacing w:before="158"/>
              <w:ind w:left="114" w:right="189"/>
              <w:rPr>
                <w:sz w:val="20"/>
              </w:rPr>
            </w:pPr>
            <w:r>
              <w:rPr>
                <w:sz w:val="20"/>
              </w:rPr>
              <w:t>State and local revenues from all taxes but not current charges or gas,</w:t>
            </w:r>
          </w:p>
        </w:tc>
        <w:tc>
          <w:tcPr>
            <w:tcW w:w="6482" w:type="dxa"/>
          </w:tcPr>
          <w:p w14:paraId="16608496"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7E75BDAD" w14:textId="77777777" w:rsidR="0046798B" w:rsidRDefault="0046798B">
      <w:pPr>
        <w:rPr>
          <w:sz w:val="20"/>
        </w:rPr>
        <w:sectPr w:rsidR="0046798B">
          <w:pgSz w:w="15840" w:h="12240" w:orient="landscape"/>
          <w:pgMar w:top="1220" w:right="300" w:bottom="980" w:left="820" w:header="730" w:footer="787" w:gutter="0"/>
          <w:cols w:space="720"/>
        </w:sectPr>
      </w:pPr>
    </w:p>
    <w:p w14:paraId="05FA98C0"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9E12863" w14:textId="77777777">
        <w:trPr>
          <w:trHeight w:val="1696"/>
        </w:trPr>
        <w:tc>
          <w:tcPr>
            <w:tcW w:w="1711" w:type="dxa"/>
          </w:tcPr>
          <w:p w14:paraId="79C2BDCF" w14:textId="77777777" w:rsidR="0046798B" w:rsidRDefault="0046798B">
            <w:pPr>
              <w:pStyle w:val="TableParagraph"/>
              <w:rPr>
                <w:sz w:val="20"/>
              </w:rPr>
            </w:pPr>
          </w:p>
        </w:tc>
        <w:tc>
          <w:tcPr>
            <w:tcW w:w="1596" w:type="dxa"/>
          </w:tcPr>
          <w:p w14:paraId="3EF8BA04" w14:textId="77777777" w:rsidR="0046798B" w:rsidRDefault="00903B5C">
            <w:pPr>
              <w:pStyle w:val="TableParagraph"/>
              <w:spacing w:before="43"/>
              <w:ind w:left="114" w:right="113"/>
              <w:rPr>
                <w:sz w:val="20"/>
              </w:rPr>
            </w:pPr>
            <w:r>
              <w:rPr>
                <w:sz w:val="20"/>
              </w:rPr>
              <w:t>current charges or gas, severance, alcohol, or tobacco taxes, in millions of dollars</w:t>
            </w:r>
          </w:p>
        </w:tc>
        <w:tc>
          <w:tcPr>
            <w:tcW w:w="1285" w:type="dxa"/>
          </w:tcPr>
          <w:p w14:paraId="67050331" w14:textId="77777777" w:rsidR="0046798B" w:rsidRDefault="0046798B">
            <w:pPr>
              <w:pStyle w:val="TableParagraph"/>
              <w:rPr>
                <w:sz w:val="20"/>
              </w:rPr>
            </w:pPr>
          </w:p>
        </w:tc>
        <w:tc>
          <w:tcPr>
            <w:tcW w:w="3421" w:type="dxa"/>
          </w:tcPr>
          <w:p w14:paraId="4658638A" w14:textId="77777777" w:rsidR="0046798B" w:rsidRDefault="00903B5C">
            <w:pPr>
              <w:pStyle w:val="TableParagraph"/>
              <w:spacing w:before="43"/>
              <w:ind w:left="114" w:right="145"/>
              <w:rPr>
                <w:sz w:val="20"/>
              </w:rPr>
            </w:pPr>
            <w:r>
              <w:rPr>
                <w:sz w:val="20"/>
              </w:rPr>
              <w:t>severance, alcohol, or tobacco taxes, in millions of dollars</w:t>
            </w:r>
          </w:p>
        </w:tc>
        <w:tc>
          <w:tcPr>
            <w:tcW w:w="6482" w:type="dxa"/>
          </w:tcPr>
          <w:p w14:paraId="47EF7ED2" w14:textId="77777777" w:rsidR="0046798B" w:rsidRDefault="0046798B">
            <w:pPr>
              <w:pStyle w:val="TableParagraph"/>
              <w:rPr>
                <w:sz w:val="20"/>
              </w:rPr>
            </w:pPr>
          </w:p>
        </w:tc>
      </w:tr>
      <w:tr w:rsidR="0046798B" w14:paraId="5A2E9361" w14:textId="77777777">
        <w:trPr>
          <w:trHeight w:val="775"/>
        </w:trPr>
        <w:tc>
          <w:tcPr>
            <w:tcW w:w="1711" w:type="dxa"/>
          </w:tcPr>
          <w:p w14:paraId="5DD73F98" w14:textId="77777777" w:rsidR="0046798B" w:rsidRDefault="0046798B">
            <w:pPr>
              <w:pStyle w:val="TableParagraph"/>
              <w:spacing w:before="8"/>
              <w:rPr>
                <w:sz w:val="23"/>
              </w:rPr>
            </w:pPr>
          </w:p>
          <w:p w14:paraId="25AF9E0F" w14:textId="77777777" w:rsidR="0046798B" w:rsidRDefault="00903B5C">
            <w:pPr>
              <w:pStyle w:val="TableParagraph"/>
              <w:spacing w:before="1"/>
              <w:ind w:left="115"/>
              <w:rPr>
                <w:b/>
                <w:sz w:val="20"/>
              </w:rPr>
            </w:pPr>
            <w:r>
              <w:rPr>
                <w:b/>
                <w:sz w:val="20"/>
              </w:rPr>
              <w:t>aunempi</w:t>
            </w:r>
          </w:p>
        </w:tc>
        <w:tc>
          <w:tcPr>
            <w:tcW w:w="1596" w:type="dxa"/>
          </w:tcPr>
          <w:p w14:paraId="5D4F783E" w14:textId="77777777" w:rsidR="0046798B" w:rsidRDefault="00903B5C">
            <w:pPr>
              <w:pStyle w:val="TableParagraph"/>
              <w:spacing w:before="43"/>
              <w:ind w:left="114" w:right="224"/>
              <w:jc w:val="both"/>
              <w:rPr>
                <w:sz w:val="20"/>
              </w:rPr>
            </w:pPr>
            <w:r>
              <w:rPr>
                <w:sz w:val="20"/>
              </w:rPr>
              <w:t>Unemployment spending, % of income</w:t>
            </w:r>
          </w:p>
        </w:tc>
        <w:tc>
          <w:tcPr>
            <w:tcW w:w="1285" w:type="dxa"/>
          </w:tcPr>
          <w:p w14:paraId="4CC4D7B6" w14:textId="77777777" w:rsidR="0046798B" w:rsidRDefault="0046798B">
            <w:pPr>
              <w:pStyle w:val="TableParagraph"/>
              <w:spacing w:before="8"/>
              <w:rPr>
                <w:sz w:val="23"/>
              </w:rPr>
            </w:pPr>
          </w:p>
          <w:p w14:paraId="36943E41" w14:textId="77777777" w:rsidR="0046798B" w:rsidRDefault="00903B5C">
            <w:pPr>
              <w:pStyle w:val="TableParagraph"/>
              <w:spacing w:before="1"/>
              <w:ind w:left="114"/>
              <w:rPr>
                <w:sz w:val="20"/>
              </w:rPr>
            </w:pPr>
            <w:r>
              <w:rPr>
                <w:sz w:val="20"/>
              </w:rPr>
              <w:t>1957–2015</w:t>
            </w:r>
          </w:p>
        </w:tc>
        <w:tc>
          <w:tcPr>
            <w:tcW w:w="3421" w:type="dxa"/>
          </w:tcPr>
          <w:p w14:paraId="702514FC" w14:textId="77777777" w:rsidR="0046798B" w:rsidRDefault="00903B5C">
            <w:pPr>
              <w:pStyle w:val="TableParagraph"/>
              <w:spacing w:before="158"/>
              <w:ind w:left="114" w:right="138"/>
              <w:rPr>
                <w:sz w:val="20"/>
              </w:rPr>
            </w:pPr>
            <w:r>
              <w:rPr>
                <w:sz w:val="20"/>
              </w:rPr>
              <w:t>Unemployment spending, % of income (aunemspt / apersinc)</w:t>
            </w:r>
          </w:p>
        </w:tc>
        <w:tc>
          <w:tcPr>
            <w:tcW w:w="6482" w:type="dxa"/>
          </w:tcPr>
          <w:p w14:paraId="59A2EB6D" w14:textId="77777777" w:rsidR="0046798B" w:rsidRDefault="00903B5C">
            <w:pPr>
              <w:pStyle w:val="TableParagraph"/>
              <w:spacing w:before="4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561369D" w14:textId="77777777">
        <w:trPr>
          <w:trHeight w:val="2160"/>
        </w:trPr>
        <w:tc>
          <w:tcPr>
            <w:tcW w:w="1711" w:type="dxa"/>
          </w:tcPr>
          <w:p w14:paraId="47D8E7D3" w14:textId="77777777" w:rsidR="0046798B" w:rsidRDefault="0046798B">
            <w:pPr>
              <w:pStyle w:val="TableParagraph"/>
            </w:pPr>
          </w:p>
          <w:p w14:paraId="67425F98" w14:textId="77777777" w:rsidR="0046798B" w:rsidRDefault="0046798B">
            <w:pPr>
              <w:pStyle w:val="TableParagraph"/>
            </w:pPr>
          </w:p>
          <w:p w14:paraId="785A312B" w14:textId="77777777" w:rsidR="0046798B" w:rsidRDefault="0046798B">
            <w:pPr>
              <w:pStyle w:val="TableParagraph"/>
            </w:pPr>
          </w:p>
          <w:p w14:paraId="371D2E7D" w14:textId="77777777" w:rsidR="0046798B" w:rsidRDefault="0046798B">
            <w:pPr>
              <w:pStyle w:val="TableParagraph"/>
              <w:spacing w:before="9"/>
              <w:rPr>
                <w:sz w:val="17"/>
              </w:rPr>
            </w:pPr>
          </w:p>
          <w:p w14:paraId="758D5297" w14:textId="77777777" w:rsidR="0046798B" w:rsidRDefault="00903B5C">
            <w:pPr>
              <w:pStyle w:val="TableParagraph"/>
              <w:ind w:left="115"/>
              <w:rPr>
                <w:b/>
                <w:sz w:val="20"/>
              </w:rPr>
            </w:pPr>
            <w:r>
              <w:rPr>
                <w:b/>
                <w:sz w:val="20"/>
              </w:rPr>
              <w:t>aunemspt</w:t>
            </w:r>
          </w:p>
        </w:tc>
        <w:tc>
          <w:tcPr>
            <w:tcW w:w="1596" w:type="dxa"/>
          </w:tcPr>
          <w:p w14:paraId="49A65B3F" w14:textId="77777777" w:rsidR="0046798B" w:rsidRDefault="00903B5C">
            <w:pPr>
              <w:pStyle w:val="TableParagraph"/>
              <w:spacing w:before="43"/>
              <w:ind w:left="114" w:right="102"/>
              <w:rPr>
                <w:sz w:val="20"/>
              </w:rPr>
            </w:pPr>
            <w:r>
              <w:rPr>
                <w:sz w:val="20"/>
              </w:rPr>
              <w:t>State and local government unemployment compensation total expenditure (benefit payments), in millions of dollars</w:t>
            </w:r>
          </w:p>
        </w:tc>
        <w:tc>
          <w:tcPr>
            <w:tcW w:w="1285" w:type="dxa"/>
          </w:tcPr>
          <w:p w14:paraId="0E076B6A" w14:textId="77777777" w:rsidR="0046798B" w:rsidRDefault="0046798B">
            <w:pPr>
              <w:pStyle w:val="TableParagraph"/>
            </w:pPr>
          </w:p>
          <w:p w14:paraId="4DB067B9" w14:textId="77777777" w:rsidR="0046798B" w:rsidRDefault="0046798B">
            <w:pPr>
              <w:pStyle w:val="TableParagraph"/>
            </w:pPr>
          </w:p>
          <w:p w14:paraId="0387F01D" w14:textId="77777777" w:rsidR="0046798B" w:rsidRDefault="0046798B">
            <w:pPr>
              <w:pStyle w:val="TableParagraph"/>
            </w:pPr>
          </w:p>
          <w:p w14:paraId="11133C17" w14:textId="77777777" w:rsidR="0046798B" w:rsidRDefault="0046798B">
            <w:pPr>
              <w:pStyle w:val="TableParagraph"/>
              <w:spacing w:before="9"/>
              <w:rPr>
                <w:sz w:val="17"/>
              </w:rPr>
            </w:pPr>
          </w:p>
          <w:p w14:paraId="29F4F0A2" w14:textId="77777777" w:rsidR="0046798B" w:rsidRDefault="00903B5C">
            <w:pPr>
              <w:pStyle w:val="TableParagraph"/>
              <w:ind w:left="114"/>
              <w:rPr>
                <w:sz w:val="20"/>
              </w:rPr>
            </w:pPr>
            <w:r>
              <w:rPr>
                <w:sz w:val="20"/>
              </w:rPr>
              <w:t>1957–2015</w:t>
            </w:r>
          </w:p>
        </w:tc>
        <w:tc>
          <w:tcPr>
            <w:tcW w:w="3421" w:type="dxa"/>
          </w:tcPr>
          <w:p w14:paraId="34C04C1F" w14:textId="77777777" w:rsidR="0046798B" w:rsidRDefault="0046798B">
            <w:pPr>
              <w:pStyle w:val="TableParagraph"/>
            </w:pPr>
          </w:p>
          <w:p w14:paraId="50350FDC" w14:textId="77777777" w:rsidR="0046798B" w:rsidRDefault="0046798B">
            <w:pPr>
              <w:pStyle w:val="TableParagraph"/>
              <w:spacing w:before="9"/>
              <w:rPr>
                <w:sz w:val="31"/>
              </w:rPr>
            </w:pPr>
          </w:p>
          <w:p w14:paraId="1EAE5985" w14:textId="77777777" w:rsidR="0046798B" w:rsidRDefault="00903B5C">
            <w:pPr>
              <w:pStyle w:val="TableParagraph"/>
              <w:ind w:left="114" w:right="510"/>
              <w:rPr>
                <w:sz w:val="20"/>
              </w:rPr>
            </w:pPr>
            <w:r>
              <w:rPr>
                <w:sz w:val="20"/>
              </w:rPr>
              <w:t>State and local government unemployment compensation total expenditure (benefit payments), in millions of dollars</w:t>
            </w:r>
          </w:p>
        </w:tc>
        <w:tc>
          <w:tcPr>
            <w:tcW w:w="6482" w:type="dxa"/>
          </w:tcPr>
          <w:p w14:paraId="21ACFAB1" w14:textId="77777777" w:rsidR="0046798B" w:rsidRDefault="0046798B">
            <w:pPr>
              <w:pStyle w:val="TableParagraph"/>
            </w:pPr>
          </w:p>
          <w:p w14:paraId="041A14B2" w14:textId="77777777" w:rsidR="0046798B" w:rsidRDefault="0046798B">
            <w:pPr>
              <w:pStyle w:val="TableParagraph"/>
            </w:pPr>
          </w:p>
          <w:p w14:paraId="7798B392" w14:textId="77777777" w:rsidR="0046798B" w:rsidRDefault="0046798B">
            <w:pPr>
              <w:pStyle w:val="TableParagraph"/>
              <w:spacing w:before="9"/>
              <w:rPr>
                <w:sz w:val="19"/>
              </w:rPr>
            </w:pPr>
          </w:p>
          <w:p w14:paraId="382DF01C"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ABE7469" w14:textId="77777777">
        <w:trPr>
          <w:trHeight w:val="775"/>
        </w:trPr>
        <w:tc>
          <w:tcPr>
            <w:tcW w:w="1711" w:type="dxa"/>
          </w:tcPr>
          <w:p w14:paraId="0D791A14" w14:textId="77777777" w:rsidR="0046798B" w:rsidRDefault="0046798B">
            <w:pPr>
              <w:pStyle w:val="TableParagraph"/>
              <w:spacing w:before="3"/>
              <w:rPr>
                <w:sz w:val="23"/>
              </w:rPr>
            </w:pPr>
          </w:p>
          <w:p w14:paraId="79EA1A19" w14:textId="77777777" w:rsidR="0046798B" w:rsidRDefault="00903B5C">
            <w:pPr>
              <w:pStyle w:val="TableParagraph"/>
              <w:spacing w:before="1"/>
              <w:ind w:left="115"/>
              <w:rPr>
                <w:b/>
                <w:sz w:val="20"/>
              </w:rPr>
            </w:pPr>
            <w:r>
              <w:rPr>
                <w:b/>
                <w:sz w:val="20"/>
              </w:rPr>
              <w:t>autilpi</w:t>
            </w:r>
          </w:p>
        </w:tc>
        <w:tc>
          <w:tcPr>
            <w:tcW w:w="1596" w:type="dxa"/>
          </w:tcPr>
          <w:p w14:paraId="24F83110" w14:textId="77777777" w:rsidR="0046798B" w:rsidRDefault="00903B5C">
            <w:pPr>
              <w:pStyle w:val="TableParagraph"/>
              <w:spacing w:before="38"/>
              <w:ind w:left="114" w:right="246"/>
              <w:rPr>
                <w:sz w:val="20"/>
              </w:rPr>
            </w:pPr>
            <w:r>
              <w:rPr>
                <w:sz w:val="20"/>
              </w:rPr>
              <w:t>Utilities spending, % of income</w:t>
            </w:r>
          </w:p>
        </w:tc>
        <w:tc>
          <w:tcPr>
            <w:tcW w:w="1285" w:type="dxa"/>
          </w:tcPr>
          <w:p w14:paraId="607EEF94" w14:textId="77777777" w:rsidR="0046798B" w:rsidRDefault="0046798B">
            <w:pPr>
              <w:pStyle w:val="TableParagraph"/>
              <w:spacing w:before="3"/>
              <w:rPr>
                <w:sz w:val="23"/>
              </w:rPr>
            </w:pPr>
          </w:p>
          <w:p w14:paraId="00B9E686" w14:textId="77777777" w:rsidR="0046798B" w:rsidRDefault="00903B5C">
            <w:pPr>
              <w:pStyle w:val="TableParagraph"/>
              <w:spacing w:before="1"/>
              <w:ind w:left="114"/>
              <w:rPr>
                <w:sz w:val="20"/>
              </w:rPr>
            </w:pPr>
            <w:r>
              <w:rPr>
                <w:sz w:val="20"/>
              </w:rPr>
              <w:t>1957–2015</w:t>
            </w:r>
          </w:p>
        </w:tc>
        <w:tc>
          <w:tcPr>
            <w:tcW w:w="3421" w:type="dxa"/>
          </w:tcPr>
          <w:p w14:paraId="76CD496A" w14:textId="77777777" w:rsidR="0046798B" w:rsidRDefault="00903B5C">
            <w:pPr>
              <w:pStyle w:val="TableParagraph"/>
              <w:spacing w:before="153"/>
              <w:ind w:left="114" w:right="738"/>
              <w:rPr>
                <w:sz w:val="20"/>
              </w:rPr>
            </w:pPr>
            <w:r>
              <w:rPr>
                <w:sz w:val="20"/>
              </w:rPr>
              <w:t>Utilities spending, % of income (autilspt / apersinc)</w:t>
            </w:r>
          </w:p>
        </w:tc>
        <w:tc>
          <w:tcPr>
            <w:tcW w:w="6482" w:type="dxa"/>
          </w:tcPr>
          <w:p w14:paraId="3C866431" w14:textId="77777777" w:rsidR="0046798B" w:rsidRDefault="00903B5C">
            <w:pPr>
              <w:pStyle w:val="TableParagraph"/>
              <w:spacing w:before="38"/>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7D9252B" w14:textId="77777777">
        <w:trPr>
          <w:trHeight w:val="2155"/>
        </w:trPr>
        <w:tc>
          <w:tcPr>
            <w:tcW w:w="1711" w:type="dxa"/>
          </w:tcPr>
          <w:p w14:paraId="478493FF" w14:textId="77777777" w:rsidR="0046798B" w:rsidRDefault="0046798B">
            <w:pPr>
              <w:pStyle w:val="TableParagraph"/>
            </w:pPr>
          </w:p>
          <w:p w14:paraId="442E6BC9" w14:textId="77777777" w:rsidR="0046798B" w:rsidRDefault="0046798B">
            <w:pPr>
              <w:pStyle w:val="TableParagraph"/>
            </w:pPr>
          </w:p>
          <w:p w14:paraId="43E9E92B" w14:textId="77777777" w:rsidR="0046798B" w:rsidRDefault="0046798B">
            <w:pPr>
              <w:pStyle w:val="TableParagraph"/>
            </w:pPr>
          </w:p>
          <w:p w14:paraId="7FA2E6B7" w14:textId="77777777" w:rsidR="0046798B" w:rsidRDefault="0046798B">
            <w:pPr>
              <w:pStyle w:val="TableParagraph"/>
              <w:spacing w:before="4"/>
              <w:rPr>
                <w:sz w:val="17"/>
              </w:rPr>
            </w:pPr>
          </w:p>
          <w:p w14:paraId="277A015A" w14:textId="77777777" w:rsidR="0046798B" w:rsidRDefault="00903B5C">
            <w:pPr>
              <w:pStyle w:val="TableParagraph"/>
              <w:ind w:left="115"/>
              <w:rPr>
                <w:b/>
                <w:sz w:val="20"/>
              </w:rPr>
            </w:pPr>
            <w:r>
              <w:rPr>
                <w:b/>
                <w:sz w:val="20"/>
              </w:rPr>
              <w:t>autilspt</w:t>
            </w:r>
          </w:p>
        </w:tc>
        <w:tc>
          <w:tcPr>
            <w:tcW w:w="1596" w:type="dxa"/>
          </w:tcPr>
          <w:p w14:paraId="0E92B1BD" w14:textId="77777777" w:rsidR="0046798B" w:rsidRDefault="00903B5C">
            <w:pPr>
              <w:pStyle w:val="TableParagraph"/>
              <w:spacing w:before="38"/>
              <w:ind w:left="114" w:right="169"/>
              <w:rPr>
                <w:sz w:val="20"/>
              </w:rPr>
            </w:pPr>
            <w:r>
              <w:rPr>
                <w:sz w:val="20"/>
              </w:rPr>
              <w:t>State and local government liquor store and utility expenditure, including interest on debt, in millions of dollars</w:t>
            </w:r>
          </w:p>
        </w:tc>
        <w:tc>
          <w:tcPr>
            <w:tcW w:w="1285" w:type="dxa"/>
          </w:tcPr>
          <w:p w14:paraId="2CB9638C" w14:textId="77777777" w:rsidR="0046798B" w:rsidRDefault="0046798B">
            <w:pPr>
              <w:pStyle w:val="TableParagraph"/>
            </w:pPr>
          </w:p>
          <w:p w14:paraId="5F2CBB10" w14:textId="77777777" w:rsidR="0046798B" w:rsidRDefault="0046798B">
            <w:pPr>
              <w:pStyle w:val="TableParagraph"/>
            </w:pPr>
          </w:p>
          <w:p w14:paraId="52114069" w14:textId="77777777" w:rsidR="0046798B" w:rsidRDefault="0046798B">
            <w:pPr>
              <w:pStyle w:val="TableParagraph"/>
            </w:pPr>
          </w:p>
          <w:p w14:paraId="7AE0CFB0" w14:textId="77777777" w:rsidR="0046798B" w:rsidRDefault="0046798B">
            <w:pPr>
              <w:pStyle w:val="TableParagraph"/>
              <w:spacing w:before="4"/>
              <w:rPr>
                <w:sz w:val="17"/>
              </w:rPr>
            </w:pPr>
          </w:p>
          <w:p w14:paraId="1D8C8116" w14:textId="77777777" w:rsidR="0046798B" w:rsidRDefault="00903B5C">
            <w:pPr>
              <w:pStyle w:val="TableParagraph"/>
              <w:ind w:left="114"/>
              <w:rPr>
                <w:sz w:val="20"/>
              </w:rPr>
            </w:pPr>
            <w:r>
              <w:rPr>
                <w:sz w:val="20"/>
              </w:rPr>
              <w:t>1957–2015</w:t>
            </w:r>
          </w:p>
        </w:tc>
        <w:tc>
          <w:tcPr>
            <w:tcW w:w="3421" w:type="dxa"/>
          </w:tcPr>
          <w:p w14:paraId="3240DD12" w14:textId="77777777" w:rsidR="0046798B" w:rsidRDefault="0046798B">
            <w:pPr>
              <w:pStyle w:val="TableParagraph"/>
            </w:pPr>
          </w:p>
          <w:p w14:paraId="7D6DB83A" w14:textId="77777777" w:rsidR="0046798B" w:rsidRDefault="0046798B">
            <w:pPr>
              <w:pStyle w:val="TableParagraph"/>
            </w:pPr>
          </w:p>
          <w:p w14:paraId="75418E37" w14:textId="77777777" w:rsidR="0046798B" w:rsidRDefault="0046798B">
            <w:pPr>
              <w:pStyle w:val="TableParagraph"/>
              <w:spacing w:before="3"/>
              <w:rPr>
                <w:sz w:val="19"/>
              </w:rPr>
            </w:pPr>
          </w:p>
          <w:p w14:paraId="6EF9CBA3" w14:textId="77777777" w:rsidR="0046798B" w:rsidRDefault="00903B5C">
            <w:pPr>
              <w:pStyle w:val="TableParagraph"/>
              <w:spacing w:before="1"/>
              <w:ind w:left="114" w:right="127"/>
              <w:rPr>
                <w:sz w:val="20"/>
              </w:rPr>
            </w:pPr>
            <w:r>
              <w:rPr>
                <w:sz w:val="20"/>
              </w:rPr>
              <w:t>State and local government liquor store and utility expenditure, including interest on debt, in millions of dollars</w:t>
            </w:r>
          </w:p>
        </w:tc>
        <w:tc>
          <w:tcPr>
            <w:tcW w:w="6482" w:type="dxa"/>
          </w:tcPr>
          <w:p w14:paraId="00062F92" w14:textId="77777777" w:rsidR="0046798B" w:rsidRDefault="0046798B">
            <w:pPr>
              <w:pStyle w:val="TableParagraph"/>
            </w:pPr>
          </w:p>
          <w:p w14:paraId="085B9131" w14:textId="77777777" w:rsidR="0046798B" w:rsidRDefault="0046798B">
            <w:pPr>
              <w:pStyle w:val="TableParagraph"/>
            </w:pPr>
          </w:p>
          <w:p w14:paraId="3BDDAB2B" w14:textId="77777777" w:rsidR="0046798B" w:rsidRDefault="0046798B">
            <w:pPr>
              <w:pStyle w:val="TableParagraph"/>
              <w:spacing w:before="3"/>
              <w:rPr>
                <w:sz w:val="19"/>
              </w:rPr>
            </w:pPr>
          </w:p>
          <w:p w14:paraId="41FC51C1"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42FD62B" w14:textId="77777777">
        <w:trPr>
          <w:trHeight w:val="1235"/>
        </w:trPr>
        <w:tc>
          <w:tcPr>
            <w:tcW w:w="1711" w:type="dxa"/>
          </w:tcPr>
          <w:p w14:paraId="3073A41C" w14:textId="77777777" w:rsidR="0046798B" w:rsidRDefault="0046798B">
            <w:pPr>
              <w:pStyle w:val="TableParagraph"/>
            </w:pPr>
          </w:p>
          <w:p w14:paraId="5F6B9691" w14:textId="77777777" w:rsidR="0046798B" w:rsidRDefault="0046798B">
            <w:pPr>
              <w:pStyle w:val="TableParagraph"/>
              <w:spacing w:before="4"/>
              <w:rPr>
                <w:sz w:val="21"/>
              </w:rPr>
            </w:pPr>
          </w:p>
          <w:p w14:paraId="3D7C350F" w14:textId="77777777" w:rsidR="0046798B" w:rsidRDefault="00903B5C">
            <w:pPr>
              <w:pStyle w:val="TableParagraph"/>
              <w:ind w:left="115"/>
              <w:rPr>
                <w:b/>
                <w:sz w:val="20"/>
              </w:rPr>
            </w:pPr>
            <w:r>
              <w:rPr>
                <w:b/>
                <w:sz w:val="20"/>
              </w:rPr>
              <w:t>autilt</w:t>
            </w:r>
          </w:p>
        </w:tc>
        <w:tc>
          <w:tcPr>
            <w:tcW w:w="1596" w:type="dxa"/>
          </w:tcPr>
          <w:p w14:paraId="610C4801" w14:textId="77777777" w:rsidR="0046798B" w:rsidRDefault="00903B5C">
            <w:pPr>
              <w:pStyle w:val="TableParagraph"/>
              <w:spacing w:before="38"/>
              <w:ind w:left="114" w:right="274"/>
              <w:rPr>
                <w:sz w:val="20"/>
              </w:rPr>
            </w:pPr>
            <w:r>
              <w:rPr>
                <w:sz w:val="20"/>
              </w:rPr>
              <w:t>State and local utility tax revenues, in millions of dollars</w:t>
            </w:r>
          </w:p>
        </w:tc>
        <w:tc>
          <w:tcPr>
            <w:tcW w:w="1285" w:type="dxa"/>
          </w:tcPr>
          <w:p w14:paraId="2F333A1D" w14:textId="77777777" w:rsidR="0046798B" w:rsidRDefault="0046798B">
            <w:pPr>
              <w:pStyle w:val="TableParagraph"/>
            </w:pPr>
          </w:p>
          <w:p w14:paraId="5B4925A7" w14:textId="77777777" w:rsidR="0046798B" w:rsidRDefault="0046798B">
            <w:pPr>
              <w:pStyle w:val="TableParagraph"/>
              <w:spacing w:before="4"/>
              <w:rPr>
                <w:sz w:val="21"/>
              </w:rPr>
            </w:pPr>
          </w:p>
          <w:p w14:paraId="20365D93" w14:textId="77777777" w:rsidR="0046798B" w:rsidRDefault="00903B5C">
            <w:pPr>
              <w:pStyle w:val="TableParagraph"/>
              <w:ind w:left="114"/>
              <w:rPr>
                <w:sz w:val="20"/>
              </w:rPr>
            </w:pPr>
            <w:r>
              <w:rPr>
                <w:sz w:val="20"/>
              </w:rPr>
              <w:t>1957–2015</w:t>
            </w:r>
          </w:p>
        </w:tc>
        <w:tc>
          <w:tcPr>
            <w:tcW w:w="3421" w:type="dxa"/>
          </w:tcPr>
          <w:p w14:paraId="60B08513" w14:textId="77777777" w:rsidR="0046798B" w:rsidRDefault="0046798B">
            <w:pPr>
              <w:pStyle w:val="TableParagraph"/>
            </w:pPr>
          </w:p>
          <w:p w14:paraId="6EEE1E57" w14:textId="77777777" w:rsidR="0046798B" w:rsidRDefault="00903B5C">
            <w:pPr>
              <w:pStyle w:val="TableParagraph"/>
              <w:spacing w:before="130"/>
              <w:ind w:left="114" w:right="261"/>
              <w:rPr>
                <w:sz w:val="20"/>
              </w:rPr>
            </w:pPr>
            <w:r>
              <w:rPr>
                <w:sz w:val="20"/>
              </w:rPr>
              <w:t>State and local utility tax revenues, in millions of dollars</w:t>
            </w:r>
          </w:p>
        </w:tc>
        <w:tc>
          <w:tcPr>
            <w:tcW w:w="6482" w:type="dxa"/>
          </w:tcPr>
          <w:p w14:paraId="400ED3C9" w14:textId="77777777" w:rsidR="0046798B" w:rsidRDefault="0046798B">
            <w:pPr>
              <w:pStyle w:val="TableParagraph"/>
              <w:spacing w:before="4"/>
              <w:rPr>
                <w:sz w:val="23"/>
              </w:rPr>
            </w:pPr>
          </w:p>
          <w:p w14:paraId="13DF9A51" w14:textId="77777777" w:rsidR="0046798B" w:rsidRDefault="00903B5C">
            <w:pPr>
              <w:pStyle w:val="TableParagraph"/>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3A37E0B3" w14:textId="77777777" w:rsidR="0046798B" w:rsidRDefault="0046798B">
      <w:pPr>
        <w:rPr>
          <w:sz w:val="20"/>
        </w:rPr>
        <w:sectPr w:rsidR="0046798B">
          <w:pgSz w:w="15840" w:h="12240" w:orient="landscape"/>
          <w:pgMar w:top="1220" w:right="300" w:bottom="980" w:left="820" w:header="730" w:footer="787" w:gutter="0"/>
          <w:cols w:space="720"/>
        </w:sectPr>
      </w:pPr>
    </w:p>
    <w:p w14:paraId="0CB40BE5"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CD95B19" w14:textId="77777777">
        <w:trPr>
          <w:trHeight w:val="1005"/>
        </w:trPr>
        <w:tc>
          <w:tcPr>
            <w:tcW w:w="1711" w:type="dxa"/>
          </w:tcPr>
          <w:p w14:paraId="72391400" w14:textId="77777777" w:rsidR="0046798B" w:rsidRDefault="0046798B">
            <w:pPr>
              <w:pStyle w:val="TableParagraph"/>
            </w:pPr>
          </w:p>
          <w:p w14:paraId="12C12C9A" w14:textId="77777777" w:rsidR="0046798B" w:rsidRDefault="00903B5C">
            <w:pPr>
              <w:pStyle w:val="TableParagraph"/>
              <w:spacing w:before="135"/>
              <w:ind w:left="115"/>
              <w:rPr>
                <w:b/>
                <w:sz w:val="20"/>
              </w:rPr>
            </w:pPr>
            <w:r>
              <w:rPr>
                <w:b/>
                <w:sz w:val="20"/>
              </w:rPr>
              <w:t>awtpi</w:t>
            </w:r>
          </w:p>
        </w:tc>
        <w:tc>
          <w:tcPr>
            <w:tcW w:w="1596" w:type="dxa"/>
          </w:tcPr>
          <w:p w14:paraId="17D8D94E" w14:textId="77777777" w:rsidR="0046798B" w:rsidRDefault="00903B5C">
            <w:pPr>
              <w:pStyle w:val="TableParagraph"/>
              <w:spacing w:before="43"/>
              <w:ind w:left="114" w:right="246"/>
              <w:rPr>
                <w:sz w:val="20"/>
              </w:rPr>
            </w:pPr>
            <w:r>
              <w:rPr>
                <w:sz w:val="20"/>
              </w:rPr>
              <w:t>Water transportation spending, % of income</w:t>
            </w:r>
          </w:p>
        </w:tc>
        <w:tc>
          <w:tcPr>
            <w:tcW w:w="1285" w:type="dxa"/>
          </w:tcPr>
          <w:p w14:paraId="75153224" w14:textId="77777777" w:rsidR="0046798B" w:rsidRDefault="0046798B">
            <w:pPr>
              <w:pStyle w:val="TableParagraph"/>
            </w:pPr>
          </w:p>
          <w:p w14:paraId="493180BE" w14:textId="77777777" w:rsidR="0046798B" w:rsidRDefault="00903B5C">
            <w:pPr>
              <w:pStyle w:val="TableParagraph"/>
              <w:spacing w:before="135"/>
              <w:ind w:left="114"/>
              <w:rPr>
                <w:sz w:val="20"/>
              </w:rPr>
            </w:pPr>
            <w:r>
              <w:rPr>
                <w:sz w:val="20"/>
              </w:rPr>
              <w:t>1957–2015</w:t>
            </w:r>
          </w:p>
        </w:tc>
        <w:tc>
          <w:tcPr>
            <w:tcW w:w="3421" w:type="dxa"/>
          </w:tcPr>
          <w:p w14:paraId="0B24E7FF" w14:textId="77777777" w:rsidR="0046798B" w:rsidRDefault="0046798B">
            <w:pPr>
              <w:pStyle w:val="TableParagraph"/>
              <w:spacing w:before="9"/>
              <w:rPr>
                <w:sz w:val="23"/>
              </w:rPr>
            </w:pPr>
          </w:p>
          <w:p w14:paraId="21E4D57D" w14:textId="77777777" w:rsidR="0046798B" w:rsidRDefault="00903B5C">
            <w:pPr>
              <w:pStyle w:val="TableParagraph"/>
              <w:ind w:left="114" w:right="372"/>
              <w:rPr>
                <w:sz w:val="20"/>
              </w:rPr>
            </w:pPr>
            <w:r>
              <w:rPr>
                <w:sz w:val="20"/>
              </w:rPr>
              <w:t>Water transportation spending, % of income (awtspt / apersinc)</w:t>
            </w:r>
          </w:p>
        </w:tc>
        <w:tc>
          <w:tcPr>
            <w:tcW w:w="6482" w:type="dxa"/>
          </w:tcPr>
          <w:p w14:paraId="62DEEA8F"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89A982C" w14:textId="77777777">
        <w:trPr>
          <w:trHeight w:val="1005"/>
        </w:trPr>
        <w:tc>
          <w:tcPr>
            <w:tcW w:w="1711" w:type="dxa"/>
          </w:tcPr>
          <w:p w14:paraId="59889E2E" w14:textId="77777777" w:rsidR="0046798B" w:rsidRDefault="0046798B">
            <w:pPr>
              <w:pStyle w:val="TableParagraph"/>
            </w:pPr>
          </w:p>
          <w:p w14:paraId="69292B37" w14:textId="77777777" w:rsidR="0046798B" w:rsidRDefault="00903B5C">
            <w:pPr>
              <w:pStyle w:val="TableParagraph"/>
              <w:spacing w:before="135"/>
              <w:ind w:left="115"/>
              <w:rPr>
                <w:b/>
                <w:sz w:val="20"/>
              </w:rPr>
            </w:pPr>
            <w:r>
              <w:rPr>
                <w:b/>
                <w:sz w:val="20"/>
              </w:rPr>
              <w:t>awtpia</w:t>
            </w:r>
          </w:p>
        </w:tc>
        <w:tc>
          <w:tcPr>
            <w:tcW w:w="1596" w:type="dxa"/>
          </w:tcPr>
          <w:p w14:paraId="6B6BDB62" w14:textId="77777777" w:rsidR="0046798B" w:rsidRDefault="00903B5C">
            <w:pPr>
              <w:pStyle w:val="TableParagraph"/>
              <w:spacing w:before="43"/>
              <w:ind w:left="114" w:right="341"/>
              <w:rPr>
                <w:sz w:val="20"/>
              </w:rPr>
            </w:pPr>
            <w:r>
              <w:rPr>
                <w:sz w:val="20"/>
              </w:rPr>
              <w:t>Unexpected water transportation spending</w:t>
            </w:r>
          </w:p>
        </w:tc>
        <w:tc>
          <w:tcPr>
            <w:tcW w:w="1285" w:type="dxa"/>
          </w:tcPr>
          <w:p w14:paraId="23CC28DA" w14:textId="77777777" w:rsidR="0046798B" w:rsidRDefault="0046798B">
            <w:pPr>
              <w:pStyle w:val="TableParagraph"/>
            </w:pPr>
          </w:p>
          <w:p w14:paraId="6A47FC8C" w14:textId="77777777" w:rsidR="0046798B" w:rsidRDefault="00903B5C">
            <w:pPr>
              <w:pStyle w:val="TableParagraph"/>
              <w:spacing w:before="135"/>
              <w:ind w:left="114"/>
              <w:rPr>
                <w:sz w:val="20"/>
              </w:rPr>
            </w:pPr>
            <w:r>
              <w:rPr>
                <w:sz w:val="20"/>
              </w:rPr>
              <w:t>1957–2015</w:t>
            </w:r>
          </w:p>
        </w:tc>
        <w:tc>
          <w:tcPr>
            <w:tcW w:w="3421" w:type="dxa"/>
          </w:tcPr>
          <w:p w14:paraId="66B08064" w14:textId="77777777" w:rsidR="0046798B" w:rsidRDefault="00903B5C">
            <w:pPr>
              <w:pStyle w:val="TableParagraph"/>
              <w:spacing w:before="43"/>
              <w:ind w:left="114" w:right="127"/>
              <w:rPr>
                <w:sz w:val="20"/>
              </w:rPr>
            </w:pPr>
            <w:r>
              <w:rPr>
                <w:sz w:val="20"/>
              </w:rPr>
              <w:t>Unexpected water transportation spending (modified by acoast, equation derived from year-fixed-effects estimates)</w:t>
            </w:r>
          </w:p>
        </w:tc>
        <w:tc>
          <w:tcPr>
            <w:tcW w:w="6482" w:type="dxa"/>
          </w:tcPr>
          <w:p w14:paraId="1C3A6DFF"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778CA2F" w14:textId="77777777">
        <w:trPr>
          <w:trHeight w:val="2390"/>
        </w:trPr>
        <w:tc>
          <w:tcPr>
            <w:tcW w:w="1711" w:type="dxa"/>
          </w:tcPr>
          <w:p w14:paraId="2DCC7CDE" w14:textId="77777777" w:rsidR="0046798B" w:rsidRDefault="0046798B">
            <w:pPr>
              <w:pStyle w:val="TableParagraph"/>
            </w:pPr>
          </w:p>
          <w:p w14:paraId="18DF22EC" w14:textId="77777777" w:rsidR="0046798B" w:rsidRDefault="0046798B">
            <w:pPr>
              <w:pStyle w:val="TableParagraph"/>
            </w:pPr>
          </w:p>
          <w:p w14:paraId="434B7C25" w14:textId="77777777" w:rsidR="0046798B" w:rsidRDefault="0046798B">
            <w:pPr>
              <w:pStyle w:val="TableParagraph"/>
            </w:pPr>
          </w:p>
          <w:p w14:paraId="41E66B10" w14:textId="77777777" w:rsidR="0046798B" w:rsidRDefault="0046798B">
            <w:pPr>
              <w:pStyle w:val="TableParagraph"/>
              <w:spacing w:before="9"/>
              <w:rPr>
                <w:sz w:val="27"/>
              </w:rPr>
            </w:pPr>
          </w:p>
          <w:p w14:paraId="3FA61390" w14:textId="77777777" w:rsidR="0046798B" w:rsidRDefault="00903B5C">
            <w:pPr>
              <w:pStyle w:val="TableParagraph"/>
              <w:ind w:left="115"/>
              <w:rPr>
                <w:b/>
                <w:sz w:val="20"/>
              </w:rPr>
            </w:pPr>
            <w:r>
              <w:rPr>
                <w:b/>
                <w:sz w:val="20"/>
              </w:rPr>
              <w:t>awtspt</w:t>
            </w:r>
          </w:p>
        </w:tc>
        <w:tc>
          <w:tcPr>
            <w:tcW w:w="1596" w:type="dxa"/>
          </w:tcPr>
          <w:p w14:paraId="6149517A" w14:textId="77777777" w:rsidR="0046798B" w:rsidRDefault="00903B5C">
            <w:pPr>
              <w:pStyle w:val="TableParagraph"/>
              <w:spacing w:before="43"/>
              <w:ind w:left="114" w:right="252"/>
              <w:rPr>
                <w:sz w:val="20"/>
              </w:rPr>
            </w:pPr>
            <w:r>
              <w:rPr>
                <w:sz w:val="20"/>
              </w:rPr>
              <w:t>State and local government water transportation and sea and inland port facilities direct expenditure, in millions of dollars</w:t>
            </w:r>
          </w:p>
        </w:tc>
        <w:tc>
          <w:tcPr>
            <w:tcW w:w="1285" w:type="dxa"/>
          </w:tcPr>
          <w:p w14:paraId="54C7B12D" w14:textId="77777777" w:rsidR="0046798B" w:rsidRDefault="0046798B">
            <w:pPr>
              <w:pStyle w:val="TableParagraph"/>
            </w:pPr>
          </w:p>
          <w:p w14:paraId="0BE4EEDB" w14:textId="77777777" w:rsidR="0046798B" w:rsidRDefault="0046798B">
            <w:pPr>
              <w:pStyle w:val="TableParagraph"/>
            </w:pPr>
          </w:p>
          <w:p w14:paraId="68AC036D" w14:textId="77777777" w:rsidR="0046798B" w:rsidRDefault="0046798B">
            <w:pPr>
              <w:pStyle w:val="TableParagraph"/>
            </w:pPr>
          </w:p>
          <w:p w14:paraId="2A0C4B75" w14:textId="77777777" w:rsidR="0046798B" w:rsidRDefault="0046798B">
            <w:pPr>
              <w:pStyle w:val="TableParagraph"/>
              <w:spacing w:before="9"/>
              <w:rPr>
                <w:sz w:val="27"/>
              </w:rPr>
            </w:pPr>
          </w:p>
          <w:p w14:paraId="34B79FB2" w14:textId="77777777" w:rsidR="0046798B" w:rsidRDefault="00903B5C">
            <w:pPr>
              <w:pStyle w:val="TableParagraph"/>
              <w:ind w:left="114"/>
              <w:rPr>
                <w:sz w:val="20"/>
              </w:rPr>
            </w:pPr>
            <w:r>
              <w:rPr>
                <w:sz w:val="20"/>
              </w:rPr>
              <w:t>1957–2015</w:t>
            </w:r>
          </w:p>
        </w:tc>
        <w:tc>
          <w:tcPr>
            <w:tcW w:w="3421" w:type="dxa"/>
          </w:tcPr>
          <w:p w14:paraId="0376417D" w14:textId="77777777" w:rsidR="0046798B" w:rsidRDefault="0046798B">
            <w:pPr>
              <w:pStyle w:val="TableParagraph"/>
            </w:pPr>
          </w:p>
          <w:p w14:paraId="6ABB195F" w14:textId="77777777" w:rsidR="0046798B" w:rsidRDefault="0046798B">
            <w:pPr>
              <w:pStyle w:val="TableParagraph"/>
            </w:pPr>
          </w:p>
          <w:p w14:paraId="26C93DDC" w14:textId="77777777" w:rsidR="0046798B" w:rsidRDefault="0046798B">
            <w:pPr>
              <w:pStyle w:val="TableParagraph"/>
              <w:spacing w:before="9"/>
              <w:rPr>
                <w:sz w:val="19"/>
              </w:rPr>
            </w:pPr>
          </w:p>
          <w:p w14:paraId="1156ED6D" w14:textId="77777777" w:rsidR="0046798B" w:rsidRDefault="00903B5C">
            <w:pPr>
              <w:pStyle w:val="TableParagraph"/>
              <w:ind w:left="114" w:right="127"/>
              <w:rPr>
                <w:sz w:val="20"/>
              </w:rPr>
            </w:pPr>
            <w:r>
              <w:rPr>
                <w:sz w:val="20"/>
              </w:rPr>
              <w:t>State and local government water transportation and sea and inland port facilities direct expenditure, in millions of dollars</w:t>
            </w:r>
          </w:p>
        </w:tc>
        <w:tc>
          <w:tcPr>
            <w:tcW w:w="6482" w:type="dxa"/>
          </w:tcPr>
          <w:p w14:paraId="4EDF3388" w14:textId="77777777" w:rsidR="0046798B" w:rsidRDefault="0046798B">
            <w:pPr>
              <w:pStyle w:val="TableParagraph"/>
            </w:pPr>
          </w:p>
          <w:p w14:paraId="63C8C670" w14:textId="77777777" w:rsidR="0046798B" w:rsidRDefault="0046798B">
            <w:pPr>
              <w:pStyle w:val="TableParagraph"/>
            </w:pPr>
          </w:p>
          <w:p w14:paraId="2871B551" w14:textId="77777777" w:rsidR="0046798B" w:rsidRDefault="0046798B">
            <w:pPr>
              <w:pStyle w:val="TableParagraph"/>
              <w:spacing w:before="9"/>
              <w:rPr>
                <w:sz w:val="29"/>
              </w:rPr>
            </w:pPr>
          </w:p>
          <w:p w14:paraId="2D45BD38"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D398E8B" w14:textId="77777777">
        <w:trPr>
          <w:trHeight w:val="1465"/>
        </w:trPr>
        <w:tc>
          <w:tcPr>
            <w:tcW w:w="1711" w:type="dxa"/>
          </w:tcPr>
          <w:p w14:paraId="1FF159CC" w14:textId="77777777" w:rsidR="0046798B" w:rsidRDefault="0046798B">
            <w:pPr>
              <w:pStyle w:val="TableParagraph"/>
            </w:pPr>
          </w:p>
          <w:p w14:paraId="090EB018" w14:textId="77777777" w:rsidR="0046798B" w:rsidRDefault="0046798B">
            <w:pPr>
              <w:pStyle w:val="TableParagraph"/>
              <w:spacing w:before="3"/>
              <w:rPr>
                <w:sz w:val="31"/>
              </w:rPr>
            </w:pPr>
          </w:p>
          <w:p w14:paraId="1386390D" w14:textId="77777777" w:rsidR="0046798B" w:rsidRDefault="00903B5C">
            <w:pPr>
              <w:pStyle w:val="TableParagraph"/>
              <w:spacing w:before="1"/>
              <w:ind w:left="115"/>
              <w:rPr>
                <w:b/>
                <w:sz w:val="20"/>
              </w:rPr>
            </w:pPr>
            <w:r>
              <w:rPr>
                <w:b/>
                <w:sz w:val="20"/>
              </w:rPr>
              <w:t>calctc</w:t>
            </w:r>
          </w:p>
        </w:tc>
        <w:tc>
          <w:tcPr>
            <w:tcW w:w="1596" w:type="dxa"/>
          </w:tcPr>
          <w:p w14:paraId="1F476145" w14:textId="77777777" w:rsidR="0046798B" w:rsidRDefault="00903B5C">
            <w:pPr>
              <w:pStyle w:val="TableParagraph"/>
              <w:spacing w:before="38"/>
              <w:ind w:left="114" w:right="202"/>
              <w:rPr>
                <w:sz w:val="20"/>
              </w:rPr>
            </w:pPr>
            <w:r>
              <w:rPr>
                <w:sz w:val="20"/>
              </w:rPr>
              <w:t>State and local alcohol tax revenues, in millions of constant (2008) dollars</w:t>
            </w:r>
          </w:p>
        </w:tc>
        <w:tc>
          <w:tcPr>
            <w:tcW w:w="1285" w:type="dxa"/>
          </w:tcPr>
          <w:p w14:paraId="106B5ABA" w14:textId="77777777" w:rsidR="0046798B" w:rsidRDefault="0046798B">
            <w:pPr>
              <w:pStyle w:val="TableParagraph"/>
            </w:pPr>
          </w:p>
          <w:p w14:paraId="01845011" w14:textId="77777777" w:rsidR="0046798B" w:rsidRDefault="0046798B">
            <w:pPr>
              <w:pStyle w:val="TableParagraph"/>
              <w:spacing w:before="3"/>
              <w:rPr>
                <w:sz w:val="31"/>
              </w:rPr>
            </w:pPr>
          </w:p>
          <w:p w14:paraId="4C003C05" w14:textId="77777777" w:rsidR="0046798B" w:rsidRDefault="00903B5C">
            <w:pPr>
              <w:pStyle w:val="TableParagraph"/>
              <w:spacing w:before="1"/>
              <w:ind w:left="114"/>
              <w:rPr>
                <w:sz w:val="20"/>
              </w:rPr>
            </w:pPr>
            <w:r>
              <w:rPr>
                <w:sz w:val="20"/>
              </w:rPr>
              <w:t>1956–2011</w:t>
            </w:r>
          </w:p>
        </w:tc>
        <w:tc>
          <w:tcPr>
            <w:tcW w:w="3421" w:type="dxa"/>
          </w:tcPr>
          <w:p w14:paraId="400B6D3A" w14:textId="77777777" w:rsidR="0046798B" w:rsidRDefault="0046798B">
            <w:pPr>
              <w:pStyle w:val="TableParagraph"/>
            </w:pPr>
          </w:p>
          <w:p w14:paraId="116A0E1C" w14:textId="77777777" w:rsidR="0046798B" w:rsidRDefault="0046798B">
            <w:pPr>
              <w:pStyle w:val="TableParagraph"/>
              <w:spacing w:before="3"/>
              <w:rPr>
                <w:sz w:val="21"/>
              </w:rPr>
            </w:pPr>
          </w:p>
          <w:p w14:paraId="2CABF8F4" w14:textId="77777777" w:rsidR="0046798B" w:rsidRDefault="00903B5C">
            <w:pPr>
              <w:pStyle w:val="TableParagraph"/>
              <w:spacing w:before="1"/>
              <w:ind w:left="114" w:right="150"/>
              <w:rPr>
                <w:sz w:val="20"/>
              </w:rPr>
            </w:pPr>
            <w:r>
              <w:rPr>
                <w:sz w:val="20"/>
              </w:rPr>
              <w:t>State and local alcohol tax revenues, in millions of constant (2008) dollars</w:t>
            </w:r>
          </w:p>
        </w:tc>
        <w:tc>
          <w:tcPr>
            <w:tcW w:w="6482" w:type="dxa"/>
          </w:tcPr>
          <w:p w14:paraId="5C7A65A1" w14:textId="77777777" w:rsidR="0046798B" w:rsidRDefault="0046798B">
            <w:pPr>
              <w:pStyle w:val="TableParagraph"/>
            </w:pPr>
          </w:p>
          <w:p w14:paraId="5E99CC25" w14:textId="77777777" w:rsidR="0046798B" w:rsidRDefault="00903B5C">
            <w:pPr>
              <w:pStyle w:val="TableParagraph"/>
              <w:spacing w:before="130"/>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251E52F" w14:textId="77777777">
        <w:trPr>
          <w:trHeight w:val="775"/>
        </w:trPr>
        <w:tc>
          <w:tcPr>
            <w:tcW w:w="1711" w:type="dxa"/>
          </w:tcPr>
          <w:p w14:paraId="341E41F0" w14:textId="77777777" w:rsidR="0046798B" w:rsidRDefault="0046798B">
            <w:pPr>
              <w:pStyle w:val="TableParagraph"/>
              <w:spacing w:before="3"/>
              <w:rPr>
                <w:sz w:val="23"/>
              </w:rPr>
            </w:pPr>
          </w:p>
          <w:p w14:paraId="07D46D0E" w14:textId="77777777" w:rsidR="0046798B" w:rsidRDefault="00903B5C">
            <w:pPr>
              <w:pStyle w:val="TableParagraph"/>
              <w:spacing w:before="1"/>
              <w:ind w:left="115"/>
              <w:rPr>
                <w:b/>
                <w:sz w:val="20"/>
              </w:rPr>
            </w:pPr>
            <w:r>
              <w:rPr>
                <w:b/>
                <w:sz w:val="20"/>
              </w:rPr>
              <w:t>ccpi</w:t>
            </w:r>
          </w:p>
        </w:tc>
        <w:tc>
          <w:tcPr>
            <w:tcW w:w="1596" w:type="dxa"/>
          </w:tcPr>
          <w:p w14:paraId="7B6875E5" w14:textId="77777777" w:rsidR="0046798B" w:rsidRDefault="00903B5C">
            <w:pPr>
              <w:pStyle w:val="TableParagraph"/>
              <w:spacing w:before="38"/>
              <w:ind w:left="114" w:right="190"/>
              <w:jc w:val="both"/>
              <w:rPr>
                <w:sz w:val="20"/>
              </w:rPr>
            </w:pPr>
            <w:r>
              <w:rPr>
                <w:sz w:val="20"/>
              </w:rPr>
              <w:t>Consumer price index, all items, annual</w:t>
            </w:r>
          </w:p>
        </w:tc>
        <w:tc>
          <w:tcPr>
            <w:tcW w:w="1285" w:type="dxa"/>
          </w:tcPr>
          <w:p w14:paraId="717FBACA" w14:textId="77777777" w:rsidR="0046798B" w:rsidRDefault="0046798B">
            <w:pPr>
              <w:pStyle w:val="TableParagraph"/>
              <w:spacing w:before="3"/>
              <w:rPr>
                <w:sz w:val="23"/>
              </w:rPr>
            </w:pPr>
          </w:p>
          <w:p w14:paraId="4C2DC71A" w14:textId="77777777" w:rsidR="0046798B" w:rsidRDefault="00903B5C">
            <w:pPr>
              <w:pStyle w:val="TableParagraph"/>
              <w:spacing w:before="1"/>
              <w:ind w:left="114"/>
              <w:rPr>
                <w:sz w:val="20"/>
              </w:rPr>
            </w:pPr>
            <w:r>
              <w:rPr>
                <w:sz w:val="20"/>
              </w:rPr>
              <w:t>2000–2014</w:t>
            </w:r>
          </w:p>
        </w:tc>
        <w:tc>
          <w:tcPr>
            <w:tcW w:w="3421" w:type="dxa"/>
          </w:tcPr>
          <w:p w14:paraId="133C03B2" w14:textId="77777777" w:rsidR="0046798B" w:rsidRDefault="0046798B">
            <w:pPr>
              <w:pStyle w:val="TableParagraph"/>
              <w:spacing w:before="3"/>
              <w:rPr>
                <w:sz w:val="23"/>
              </w:rPr>
            </w:pPr>
          </w:p>
          <w:p w14:paraId="00666F94" w14:textId="77777777" w:rsidR="0046798B" w:rsidRDefault="00903B5C">
            <w:pPr>
              <w:pStyle w:val="TableParagraph"/>
              <w:spacing w:before="1"/>
              <w:ind w:left="114"/>
              <w:rPr>
                <w:sz w:val="20"/>
              </w:rPr>
            </w:pPr>
            <w:r>
              <w:rPr>
                <w:sz w:val="20"/>
              </w:rPr>
              <w:t>Consumer price index, all items, annual</w:t>
            </w:r>
          </w:p>
        </w:tc>
        <w:tc>
          <w:tcPr>
            <w:tcW w:w="6482" w:type="dxa"/>
          </w:tcPr>
          <w:p w14:paraId="74D31ECF" w14:textId="77777777" w:rsidR="0046798B" w:rsidRDefault="00903B5C">
            <w:pPr>
              <w:pStyle w:val="TableParagraph"/>
              <w:spacing w:before="38"/>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88932B7" w14:textId="77777777">
        <w:trPr>
          <w:trHeight w:val="1465"/>
        </w:trPr>
        <w:tc>
          <w:tcPr>
            <w:tcW w:w="1711" w:type="dxa"/>
          </w:tcPr>
          <w:p w14:paraId="7AD21935" w14:textId="77777777" w:rsidR="0046798B" w:rsidRDefault="0046798B">
            <w:pPr>
              <w:pStyle w:val="TableParagraph"/>
            </w:pPr>
          </w:p>
          <w:p w14:paraId="691DFDFD" w14:textId="77777777" w:rsidR="0046798B" w:rsidRDefault="0046798B">
            <w:pPr>
              <w:pStyle w:val="TableParagraph"/>
              <w:spacing w:before="3"/>
              <w:rPr>
                <w:sz w:val="31"/>
              </w:rPr>
            </w:pPr>
          </w:p>
          <w:p w14:paraId="3EA5B6F1" w14:textId="77777777" w:rsidR="0046798B" w:rsidRDefault="00903B5C">
            <w:pPr>
              <w:pStyle w:val="TableParagraph"/>
              <w:ind w:left="115"/>
              <w:rPr>
                <w:b/>
                <w:sz w:val="20"/>
              </w:rPr>
            </w:pPr>
            <w:r>
              <w:rPr>
                <w:b/>
                <w:sz w:val="20"/>
              </w:rPr>
              <w:t>cliquor</w:t>
            </w:r>
          </w:p>
        </w:tc>
        <w:tc>
          <w:tcPr>
            <w:tcW w:w="1596" w:type="dxa"/>
          </w:tcPr>
          <w:p w14:paraId="766801D5" w14:textId="77777777" w:rsidR="0046798B" w:rsidRDefault="00903B5C">
            <w:pPr>
              <w:pStyle w:val="TableParagraph"/>
              <w:spacing w:before="38"/>
              <w:ind w:left="114" w:right="106"/>
              <w:rPr>
                <w:sz w:val="20"/>
              </w:rPr>
            </w:pPr>
            <w:r>
              <w:rPr>
                <w:sz w:val="20"/>
              </w:rPr>
              <w:t xml:space="preserve">State liquor </w:t>
            </w:r>
            <w:r>
              <w:rPr>
                <w:spacing w:val="-4"/>
                <w:sz w:val="20"/>
              </w:rPr>
              <w:t xml:space="preserve">store </w:t>
            </w:r>
            <w:r>
              <w:rPr>
                <w:sz w:val="20"/>
              </w:rPr>
              <w:t>revenue, in thousands of dollars, subsequent fiscal</w:t>
            </w:r>
            <w:r>
              <w:rPr>
                <w:spacing w:val="-1"/>
                <w:sz w:val="20"/>
              </w:rPr>
              <w:t xml:space="preserve"> </w:t>
            </w:r>
            <w:r>
              <w:rPr>
                <w:sz w:val="20"/>
              </w:rPr>
              <w:t>year</w:t>
            </w:r>
          </w:p>
        </w:tc>
        <w:tc>
          <w:tcPr>
            <w:tcW w:w="1285" w:type="dxa"/>
          </w:tcPr>
          <w:p w14:paraId="0F1B30C2" w14:textId="77777777" w:rsidR="0046798B" w:rsidRDefault="0046798B">
            <w:pPr>
              <w:pStyle w:val="TableParagraph"/>
            </w:pPr>
          </w:p>
          <w:p w14:paraId="212A3701" w14:textId="77777777" w:rsidR="0046798B" w:rsidRDefault="0046798B">
            <w:pPr>
              <w:pStyle w:val="TableParagraph"/>
              <w:spacing w:before="3"/>
              <w:rPr>
                <w:sz w:val="31"/>
              </w:rPr>
            </w:pPr>
          </w:p>
          <w:p w14:paraId="6B8CE180" w14:textId="77777777" w:rsidR="0046798B" w:rsidRDefault="00903B5C">
            <w:pPr>
              <w:pStyle w:val="TableParagraph"/>
              <w:ind w:left="114"/>
              <w:rPr>
                <w:sz w:val="20"/>
              </w:rPr>
            </w:pPr>
            <w:r>
              <w:rPr>
                <w:sz w:val="20"/>
              </w:rPr>
              <w:t>1952–2012</w:t>
            </w:r>
          </w:p>
        </w:tc>
        <w:tc>
          <w:tcPr>
            <w:tcW w:w="3421" w:type="dxa"/>
          </w:tcPr>
          <w:p w14:paraId="16B3D7ED" w14:textId="77777777" w:rsidR="0046798B" w:rsidRDefault="0046798B">
            <w:pPr>
              <w:pStyle w:val="TableParagraph"/>
            </w:pPr>
          </w:p>
          <w:p w14:paraId="0C6F4C48" w14:textId="77777777" w:rsidR="0046798B" w:rsidRDefault="0046798B">
            <w:pPr>
              <w:pStyle w:val="TableParagraph"/>
              <w:spacing w:before="3"/>
              <w:rPr>
                <w:sz w:val="21"/>
              </w:rPr>
            </w:pPr>
          </w:p>
          <w:p w14:paraId="24CE2DF1" w14:textId="77777777" w:rsidR="0046798B" w:rsidRDefault="00903B5C">
            <w:pPr>
              <w:pStyle w:val="TableParagraph"/>
              <w:ind w:left="114" w:right="122"/>
              <w:rPr>
                <w:sz w:val="20"/>
              </w:rPr>
            </w:pPr>
            <w:r>
              <w:rPr>
                <w:sz w:val="20"/>
              </w:rPr>
              <w:t>State liquor store revenue, in thousands of dollars, subsequent fiscal year</w:t>
            </w:r>
          </w:p>
        </w:tc>
        <w:tc>
          <w:tcPr>
            <w:tcW w:w="6482" w:type="dxa"/>
          </w:tcPr>
          <w:p w14:paraId="14C52A7B" w14:textId="77777777" w:rsidR="0046798B" w:rsidRDefault="0046798B">
            <w:pPr>
              <w:pStyle w:val="TableParagraph"/>
            </w:pPr>
          </w:p>
          <w:p w14:paraId="6AFB5F70" w14:textId="77777777" w:rsidR="0046798B" w:rsidRDefault="00903B5C">
            <w:pPr>
              <w:pStyle w:val="TableParagraph"/>
              <w:spacing w:before="130"/>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A72C70A" w14:textId="77777777">
        <w:trPr>
          <w:trHeight w:val="1005"/>
        </w:trPr>
        <w:tc>
          <w:tcPr>
            <w:tcW w:w="1711" w:type="dxa"/>
          </w:tcPr>
          <w:p w14:paraId="526B6707" w14:textId="77777777" w:rsidR="0046798B" w:rsidRDefault="0046798B">
            <w:pPr>
              <w:pStyle w:val="TableParagraph"/>
            </w:pPr>
          </w:p>
          <w:p w14:paraId="7D5C5B7E" w14:textId="77777777" w:rsidR="0046798B" w:rsidRDefault="00903B5C">
            <w:pPr>
              <w:pStyle w:val="TableParagraph"/>
              <w:spacing w:before="135"/>
              <w:ind w:left="115"/>
              <w:rPr>
                <w:b/>
                <w:sz w:val="20"/>
              </w:rPr>
            </w:pPr>
            <w:r>
              <w:rPr>
                <w:b/>
                <w:sz w:val="20"/>
              </w:rPr>
              <w:t>cliquorc</w:t>
            </w:r>
          </w:p>
        </w:tc>
        <w:tc>
          <w:tcPr>
            <w:tcW w:w="1596" w:type="dxa"/>
          </w:tcPr>
          <w:p w14:paraId="5B2EFCD0" w14:textId="77777777" w:rsidR="0046798B" w:rsidRDefault="00903B5C">
            <w:pPr>
              <w:pStyle w:val="TableParagraph"/>
              <w:spacing w:before="43"/>
              <w:ind w:left="114"/>
              <w:rPr>
                <w:sz w:val="20"/>
              </w:rPr>
            </w:pPr>
            <w:r>
              <w:rPr>
                <w:sz w:val="20"/>
              </w:rPr>
              <w:t>State liquor store revenue, in thousands of constant 2008</w:t>
            </w:r>
          </w:p>
        </w:tc>
        <w:tc>
          <w:tcPr>
            <w:tcW w:w="1285" w:type="dxa"/>
          </w:tcPr>
          <w:p w14:paraId="34A5A422" w14:textId="77777777" w:rsidR="0046798B" w:rsidRDefault="0046798B">
            <w:pPr>
              <w:pStyle w:val="TableParagraph"/>
            </w:pPr>
          </w:p>
          <w:p w14:paraId="51968DC2" w14:textId="77777777" w:rsidR="0046798B" w:rsidRDefault="00903B5C">
            <w:pPr>
              <w:pStyle w:val="TableParagraph"/>
              <w:spacing w:before="135"/>
              <w:ind w:left="114"/>
              <w:rPr>
                <w:sz w:val="20"/>
              </w:rPr>
            </w:pPr>
            <w:r>
              <w:rPr>
                <w:sz w:val="20"/>
              </w:rPr>
              <w:t>1952–2012</w:t>
            </w:r>
          </w:p>
        </w:tc>
        <w:tc>
          <w:tcPr>
            <w:tcW w:w="3421" w:type="dxa"/>
          </w:tcPr>
          <w:p w14:paraId="17C92A6A" w14:textId="77777777" w:rsidR="0046798B" w:rsidRDefault="00903B5C">
            <w:pPr>
              <w:pStyle w:val="TableParagraph"/>
              <w:spacing w:before="158"/>
              <w:ind w:left="114" w:right="122"/>
              <w:rPr>
                <w:sz w:val="20"/>
              </w:rPr>
            </w:pPr>
            <w:r>
              <w:rPr>
                <w:sz w:val="20"/>
              </w:rPr>
              <w:t>State liquor store revenue, in thousands of constant 2008 dollars, subsequent fiscal year</w:t>
            </w:r>
          </w:p>
        </w:tc>
        <w:tc>
          <w:tcPr>
            <w:tcW w:w="6482" w:type="dxa"/>
          </w:tcPr>
          <w:p w14:paraId="1B6CDD4E" w14:textId="77777777" w:rsidR="0046798B" w:rsidRDefault="00903B5C">
            <w:pPr>
              <w:pStyle w:val="TableParagraph"/>
              <w:spacing w:before="158"/>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604A8BF8" w14:textId="77777777" w:rsidR="0046798B" w:rsidRDefault="0046798B">
      <w:pPr>
        <w:rPr>
          <w:sz w:val="20"/>
        </w:rPr>
        <w:sectPr w:rsidR="0046798B">
          <w:pgSz w:w="15840" w:h="12240" w:orient="landscape"/>
          <w:pgMar w:top="1220" w:right="300" w:bottom="980" w:left="820" w:header="730" w:footer="787" w:gutter="0"/>
          <w:cols w:space="720"/>
        </w:sectPr>
      </w:pPr>
    </w:p>
    <w:p w14:paraId="26E891EC"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054E005A" w14:textId="77777777">
        <w:trPr>
          <w:trHeight w:val="775"/>
        </w:trPr>
        <w:tc>
          <w:tcPr>
            <w:tcW w:w="1711" w:type="dxa"/>
          </w:tcPr>
          <w:p w14:paraId="4332C2A2" w14:textId="77777777" w:rsidR="0046798B" w:rsidRDefault="0046798B">
            <w:pPr>
              <w:pStyle w:val="TableParagraph"/>
              <w:rPr>
                <w:sz w:val="20"/>
              </w:rPr>
            </w:pPr>
          </w:p>
        </w:tc>
        <w:tc>
          <w:tcPr>
            <w:tcW w:w="1596" w:type="dxa"/>
          </w:tcPr>
          <w:p w14:paraId="0D6187AA" w14:textId="77777777" w:rsidR="0046798B" w:rsidRDefault="00903B5C">
            <w:pPr>
              <w:pStyle w:val="TableParagraph"/>
              <w:spacing w:before="43"/>
              <w:ind w:left="114" w:right="563"/>
              <w:rPr>
                <w:sz w:val="20"/>
              </w:rPr>
            </w:pPr>
            <w:r>
              <w:rPr>
                <w:sz w:val="20"/>
              </w:rPr>
              <w:t>dollars, subsequent fiscal year</w:t>
            </w:r>
          </w:p>
        </w:tc>
        <w:tc>
          <w:tcPr>
            <w:tcW w:w="1285" w:type="dxa"/>
          </w:tcPr>
          <w:p w14:paraId="719E2AD2" w14:textId="77777777" w:rsidR="0046798B" w:rsidRDefault="0046798B">
            <w:pPr>
              <w:pStyle w:val="TableParagraph"/>
              <w:rPr>
                <w:sz w:val="20"/>
              </w:rPr>
            </w:pPr>
          </w:p>
        </w:tc>
        <w:tc>
          <w:tcPr>
            <w:tcW w:w="3421" w:type="dxa"/>
          </w:tcPr>
          <w:p w14:paraId="5BDD9E9E" w14:textId="77777777" w:rsidR="0046798B" w:rsidRDefault="0046798B">
            <w:pPr>
              <w:pStyle w:val="TableParagraph"/>
              <w:rPr>
                <w:sz w:val="20"/>
              </w:rPr>
            </w:pPr>
          </w:p>
        </w:tc>
        <w:tc>
          <w:tcPr>
            <w:tcW w:w="6482" w:type="dxa"/>
          </w:tcPr>
          <w:p w14:paraId="601AF5A1" w14:textId="77777777" w:rsidR="0046798B" w:rsidRDefault="0046798B">
            <w:pPr>
              <w:pStyle w:val="TableParagraph"/>
              <w:rPr>
                <w:sz w:val="20"/>
              </w:rPr>
            </w:pPr>
          </w:p>
        </w:tc>
      </w:tr>
      <w:tr w:rsidR="0046798B" w14:paraId="2B52B4C1" w14:textId="77777777">
        <w:trPr>
          <w:trHeight w:val="1925"/>
        </w:trPr>
        <w:tc>
          <w:tcPr>
            <w:tcW w:w="1711" w:type="dxa"/>
          </w:tcPr>
          <w:p w14:paraId="1C702E86" w14:textId="77777777" w:rsidR="0046798B" w:rsidRDefault="0046798B">
            <w:pPr>
              <w:pStyle w:val="TableParagraph"/>
            </w:pPr>
          </w:p>
          <w:p w14:paraId="16B59C81" w14:textId="77777777" w:rsidR="0046798B" w:rsidRDefault="0046798B">
            <w:pPr>
              <w:pStyle w:val="TableParagraph"/>
            </w:pPr>
          </w:p>
          <w:p w14:paraId="5041C1D3" w14:textId="77777777" w:rsidR="0046798B" w:rsidRDefault="0046798B">
            <w:pPr>
              <w:pStyle w:val="TableParagraph"/>
              <w:spacing w:before="9"/>
              <w:rPr>
                <w:sz w:val="29"/>
              </w:rPr>
            </w:pPr>
          </w:p>
          <w:p w14:paraId="05B5A801" w14:textId="77777777" w:rsidR="0046798B" w:rsidRDefault="00903B5C">
            <w:pPr>
              <w:pStyle w:val="TableParagraph"/>
              <w:ind w:left="115"/>
              <w:rPr>
                <w:b/>
                <w:sz w:val="20"/>
              </w:rPr>
            </w:pPr>
            <w:r>
              <w:rPr>
                <w:b/>
                <w:sz w:val="20"/>
              </w:rPr>
              <w:t>dgamrev</w:t>
            </w:r>
          </w:p>
        </w:tc>
        <w:tc>
          <w:tcPr>
            <w:tcW w:w="1596" w:type="dxa"/>
          </w:tcPr>
          <w:p w14:paraId="24FAD481" w14:textId="77777777" w:rsidR="0046798B" w:rsidRDefault="00903B5C">
            <w:pPr>
              <w:pStyle w:val="TableParagraph"/>
              <w:spacing w:before="43"/>
              <w:ind w:left="114" w:right="132"/>
              <w:rPr>
                <w:sz w:val="20"/>
              </w:rPr>
            </w:pPr>
            <w:r>
              <w:rPr>
                <w:sz w:val="20"/>
              </w:rPr>
              <w:t>Total state and local government revenues from taxes on receipts and licenses of amusements and pari-mutuels</w:t>
            </w:r>
          </w:p>
        </w:tc>
        <w:tc>
          <w:tcPr>
            <w:tcW w:w="1285" w:type="dxa"/>
          </w:tcPr>
          <w:p w14:paraId="45B71DCC" w14:textId="77777777" w:rsidR="0046798B" w:rsidRDefault="0046798B">
            <w:pPr>
              <w:pStyle w:val="TableParagraph"/>
            </w:pPr>
          </w:p>
          <w:p w14:paraId="1CFEF926" w14:textId="77777777" w:rsidR="0046798B" w:rsidRDefault="0046798B">
            <w:pPr>
              <w:pStyle w:val="TableParagraph"/>
            </w:pPr>
          </w:p>
          <w:p w14:paraId="7CA8D8B4" w14:textId="77777777" w:rsidR="0046798B" w:rsidRDefault="0046798B">
            <w:pPr>
              <w:pStyle w:val="TableParagraph"/>
              <w:spacing w:before="9"/>
              <w:rPr>
                <w:sz w:val="29"/>
              </w:rPr>
            </w:pPr>
          </w:p>
          <w:p w14:paraId="748E708B" w14:textId="77777777" w:rsidR="0046798B" w:rsidRDefault="00903B5C">
            <w:pPr>
              <w:pStyle w:val="TableParagraph"/>
              <w:ind w:left="114"/>
              <w:rPr>
                <w:sz w:val="20"/>
              </w:rPr>
            </w:pPr>
            <w:r>
              <w:rPr>
                <w:sz w:val="20"/>
              </w:rPr>
              <w:t>1957–2015</w:t>
            </w:r>
          </w:p>
        </w:tc>
        <w:tc>
          <w:tcPr>
            <w:tcW w:w="3421" w:type="dxa"/>
          </w:tcPr>
          <w:p w14:paraId="178067C7" w14:textId="77777777" w:rsidR="0046798B" w:rsidRDefault="0046798B">
            <w:pPr>
              <w:pStyle w:val="TableParagraph"/>
            </w:pPr>
          </w:p>
          <w:p w14:paraId="341A0AB2" w14:textId="77777777" w:rsidR="0046798B" w:rsidRDefault="0046798B">
            <w:pPr>
              <w:pStyle w:val="TableParagraph"/>
              <w:spacing w:before="8"/>
              <w:rPr>
                <w:sz w:val="21"/>
              </w:rPr>
            </w:pPr>
          </w:p>
          <w:p w14:paraId="66191A7D" w14:textId="77777777" w:rsidR="0046798B" w:rsidRDefault="00903B5C">
            <w:pPr>
              <w:pStyle w:val="TableParagraph"/>
              <w:spacing w:before="1"/>
              <w:ind w:left="114" w:right="405"/>
              <w:rPr>
                <w:sz w:val="20"/>
              </w:rPr>
            </w:pPr>
            <w:r>
              <w:rPr>
                <w:sz w:val="20"/>
              </w:rPr>
              <w:t>Total state and local government revenues from taxes on receipts and licenses of amusements and pari- mutuels, in thousands of dollars</w:t>
            </w:r>
          </w:p>
        </w:tc>
        <w:tc>
          <w:tcPr>
            <w:tcW w:w="6482" w:type="dxa"/>
          </w:tcPr>
          <w:p w14:paraId="6C1A26B7" w14:textId="77777777" w:rsidR="0046798B" w:rsidRDefault="0046798B">
            <w:pPr>
              <w:pStyle w:val="TableParagraph"/>
            </w:pPr>
          </w:p>
          <w:p w14:paraId="424C3D9B" w14:textId="77777777" w:rsidR="0046798B" w:rsidRDefault="0046798B">
            <w:pPr>
              <w:pStyle w:val="TableParagraph"/>
              <w:spacing w:before="8"/>
              <w:rPr>
                <w:sz w:val="31"/>
              </w:rPr>
            </w:pPr>
          </w:p>
          <w:p w14:paraId="01E4385B"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4F01139" w14:textId="77777777">
        <w:trPr>
          <w:trHeight w:val="1010"/>
        </w:trPr>
        <w:tc>
          <w:tcPr>
            <w:tcW w:w="1711" w:type="dxa"/>
          </w:tcPr>
          <w:p w14:paraId="1EED24B6" w14:textId="77777777" w:rsidR="0046798B" w:rsidRDefault="0046798B">
            <w:pPr>
              <w:pStyle w:val="TableParagraph"/>
            </w:pPr>
          </w:p>
          <w:p w14:paraId="0AA6275F" w14:textId="77777777" w:rsidR="0046798B" w:rsidRDefault="00903B5C">
            <w:pPr>
              <w:pStyle w:val="TableParagraph"/>
              <w:spacing w:before="135"/>
              <w:ind w:left="115"/>
              <w:rPr>
                <w:b/>
                <w:sz w:val="20"/>
              </w:rPr>
            </w:pPr>
            <w:r>
              <w:rPr>
                <w:b/>
                <w:sz w:val="20"/>
              </w:rPr>
              <w:t>dgrpi</w:t>
            </w:r>
          </w:p>
        </w:tc>
        <w:tc>
          <w:tcPr>
            <w:tcW w:w="1596" w:type="dxa"/>
          </w:tcPr>
          <w:p w14:paraId="23412568" w14:textId="77777777" w:rsidR="0046798B" w:rsidRDefault="00903B5C">
            <w:pPr>
              <w:pStyle w:val="TableParagraph"/>
              <w:spacing w:before="43"/>
              <w:ind w:left="114" w:right="385"/>
              <w:rPr>
                <w:sz w:val="20"/>
              </w:rPr>
            </w:pPr>
            <w:r>
              <w:rPr>
                <w:sz w:val="20"/>
              </w:rPr>
              <w:t>Gaming revenues as a ratio of the economy</w:t>
            </w:r>
          </w:p>
        </w:tc>
        <w:tc>
          <w:tcPr>
            <w:tcW w:w="1285" w:type="dxa"/>
          </w:tcPr>
          <w:p w14:paraId="1544BB9C" w14:textId="77777777" w:rsidR="0046798B" w:rsidRDefault="0046798B">
            <w:pPr>
              <w:pStyle w:val="TableParagraph"/>
            </w:pPr>
          </w:p>
          <w:p w14:paraId="08DE0553" w14:textId="77777777" w:rsidR="0046798B" w:rsidRDefault="00903B5C">
            <w:pPr>
              <w:pStyle w:val="TableParagraph"/>
              <w:spacing w:before="135"/>
              <w:ind w:left="114"/>
              <w:rPr>
                <w:sz w:val="20"/>
              </w:rPr>
            </w:pPr>
            <w:r>
              <w:rPr>
                <w:sz w:val="20"/>
              </w:rPr>
              <w:t>1957–2015</w:t>
            </w:r>
          </w:p>
        </w:tc>
        <w:tc>
          <w:tcPr>
            <w:tcW w:w="3421" w:type="dxa"/>
          </w:tcPr>
          <w:p w14:paraId="487EF6BA" w14:textId="77777777" w:rsidR="0046798B" w:rsidRDefault="00903B5C">
            <w:pPr>
              <w:pStyle w:val="TableParagraph"/>
              <w:spacing w:before="158"/>
              <w:ind w:left="114" w:right="585"/>
              <w:jc w:val="both"/>
              <w:rPr>
                <w:sz w:val="20"/>
              </w:rPr>
            </w:pPr>
            <w:r>
              <w:rPr>
                <w:sz w:val="20"/>
              </w:rPr>
              <w:t>Gaming revenues as a ratio of the economy (times 1000): dgamrev / apersinc</w:t>
            </w:r>
          </w:p>
        </w:tc>
        <w:tc>
          <w:tcPr>
            <w:tcW w:w="6482" w:type="dxa"/>
          </w:tcPr>
          <w:p w14:paraId="49CC128A" w14:textId="77777777" w:rsidR="0046798B" w:rsidRDefault="00903B5C">
            <w:pPr>
              <w:pStyle w:val="TableParagraph"/>
              <w:spacing w:before="158"/>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8B1C94E" w14:textId="77777777">
        <w:trPr>
          <w:trHeight w:val="1235"/>
        </w:trPr>
        <w:tc>
          <w:tcPr>
            <w:tcW w:w="1711" w:type="dxa"/>
          </w:tcPr>
          <w:p w14:paraId="78D1906B" w14:textId="77777777" w:rsidR="0046798B" w:rsidRDefault="0046798B">
            <w:pPr>
              <w:pStyle w:val="TableParagraph"/>
            </w:pPr>
          </w:p>
          <w:p w14:paraId="1A9E5B79" w14:textId="77777777" w:rsidR="0046798B" w:rsidRDefault="0046798B">
            <w:pPr>
              <w:pStyle w:val="TableParagraph"/>
              <w:spacing w:before="4"/>
              <w:rPr>
                <w:sz w:val="21"/>
              </w:rPr>
            </w:pPr>
          </w:p>
          <w:p w14:paraId="4827FB83" w14:textId="77777777" w:rsidR="0046798B" w:rsidRDefault="00903B5C">
            <w:pPr>
              <w:pStyle w:val="TableParagraph"/>
              <w:ind w:left="115"/>
              <w:rPr>
                <w:b/>
                <w:sz w:val="20"/>
              </w:rPr>
            </w:pPr>
            <w:r>
              <w:rPr>
                <w:b/>
                <w:sz w:val="20"/>
              </w:rPr>
              <w:t>dgwin</w:t>
            </w:r>
          </w:p>
        </w:tc>
        <w:tc>
          <w:tcPr>
            <w:tcW w:w="1596" w:type="dxa"/>
          </w:tcPr>
          <w:p w14:paraId="40E8A02A" w14:textId="77777777" w:rsidR="0046798B" w:rsidRDefault="00903B5C">
            <w:pPr>
              <w:pStyle w:val="TableParagraph"/>
              <w:spacing w:before="38"/>
              <w:ind w:left="114" w:right="269"/>
              <w:rPr>
                <w:sz w:val="20"/>
              </w:rPr>
            </w:pPr>
            <w:r>
              <w:rPr>
                <w:sz w:val="20"/>
              </w:rPr>
              <w:t>Commercial casino and racino win, revenue, or gross proceeds</w:t>
            </w:r>
          </w:p>
        </w:tc>
        <w:tc>
          <w:tcPr>
            <w:tcW w:w="1285" w:type="dxa"/>
          </w:tcPr>
          <w:p w14:paraId="3755415A" w14:textId="77777777" w:rsidR="0046798B" w:rsidRDefault="0046798B">
            <w:pPr>
              <w:pStyle w:val="TableParagraph"/>
            </w:pPr>
          </w:p>
          <w:p w14:paraId="5CB8E838" w14:textId="77777777" w:rsidR="0046798B" w:rsidRDefault="0046798B">
            <w:pPr>
              <w:pStyle w:val="TableParagraph"/>
              <w:spacing w:before="4"/>
              <w:rPr>
                <w:sz w:val="21"/>
              </w:rPr>
            </w:pPr>
          </w:p>
          <w:p w14:paraId="3CB193F8" w14:textId="77777777" w:rsidR="0046798B" w:rsidRDefault="00903B5C">
            <w:pPr>
              <w:pStyle w:val="TableParagraph"/>
              <w:ind w:left="114"/>
              <w:rPr>
                <w:sz w:val="20"/>
              </w:rPr>
            </w:pPr>
            <w:r>
              <w:rPr>
                <w:sz w:val="20"/>
              </w:rPr>
              <w:t>1957–2015</w:t>
            </w:r>
          </w:p>
        </w:tc>
        <w:tc>
          <w:tcPr>
            <w:tcW w:w="3421" w:type="dxa"/>
          </w:tcPr>
          <w:p w14:paraId="038672F4" w14:textId="77777777" w:rsidR="0046798B" w:rsidRDefault="0046798B">
            <w:pPr>
              <w:pStyle w:val="TableParagraph"/>
              <w:spacing w:before="4"/>
              <w:rPr>
                <w:sz w:val="23"/>
              </w:rPr>
            </w:pPr>
          </w:p>
          <w:p w14:paraId="57F4B6A8" w14:textId="77777777" w:rsidR="0046798B" w:rsidRDefault="00903B5C">
            <w:pPr>
              <w:pStyle w:val="TableParagraph"/>
              <w:ind w:left="114" w:right="155"/>
              <w:rPr>
                <w:sz w:val="20"/>
              </w:rPr>
            </w:pPr>
            <w:r>
              <w:rPr>
                <w:sz w:val="20"/>
              </w:rPr>
              <w:t>Commercial casino and racino win, revenue, or gross proceeds (millions of dollars)</w:t>
            </w:r>
          </w:p>
        </w:tc>
        <w:tc>
          <w:tcPr>
            <w:tcW w:w="6482" w:type="dxa"/>
          </w:tcPr>
          <w:p w14:paraId="621037D3" w14:textId="77777777" w:rsidR="0046798B" w:rsidRDefault="0046798B">
            <w:pPr>
              <w:pStyle w:val="TableParagraph"/>
              <w:spacing w:before="4"/>
              <w:rPr>
                <w:sz w:val="23"/>
              </w:rPr>
            </w:pPr>
          </w:p>
          <w:p w14:paraId="233A8FF7"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0456201" w14:textId="77777777">
        <w:trPr>
          <w:trHeight w:val="1005"/>
        </w:trPr>
        <w:tc>
          <w:tcPr>
            <w:tcW w:w="1711" w:type="dxa"/>
          </w:tcPr>
          <w:p w14:paraId="77846F41" w14:textId="77777777" w:rsidR="0046798B" w:rsidRDefault="0046798B">
            <w:pPr>
              <w:pStyle w:val="TableParagraph"/>
            </w:pPr>
          </w:p>
          <w:p w14:paraId="2EACFA1D" w14:textId="77777777" w:rsidR="0046798B" w:rsidRDefault="00903B5C">
            <w:pPr>
              <w:pStyle w:val="TableParagraph"/>
              <w:spacing w:before="131"/>
              <w:ind w:left="115"/>
              <w:rPr>
                <w:b/>
                <w:sz w:val="20"/>
              </w:rPr>
            </w:pPr>
            <w:r>
              <w:rPr>
                <w:b/>
                <w:sz w:val="20"/>
              </w:rPr>
              <w:t>dgwinpi</w:t>
            </w:r>
          </w:p>
        </w:tc>
        <w:tc>
          <w:tcPr>
            <w:tcW w:w="1596" w:type="dxa"/>
          </w:tcPr>
          <w:p w14:paraId="3D03FAC9" w14:textId="77777777" w:rsidR="0046798B" w:rsidRDefault="00903B5C">
            <w:pPr>
              <w:pStyle w:val="TableParagraph"/>
              <w:spacing w:before="38"/>
              <w:ind w:left="114" w:right="246"/>
              <w:rPr>
                <w:sz w:val="20"/>
              </w:rPr>
            </w:pPr>
            <w:r>
              <w:rPr>
                <w:sz w:val="20"/>
              </w:rPr>
              <w:t>Casino and racino win as a percentage of the economy</w:t>
            </w:r>
          </w:p>
        </w:tc>
        <w:tc>
          <w:tcPr>
            <w:tcW w:w="1285" w:type="dxa"/>
          </w:tcPr>
          <w:p w14:paraId="5CB8B919" w14:textId="77777777" w:rsidR="0046798B" w:rsidRDefault="0046798B">
            <w:pPr>
              <w:pStyle w:val="TableParagraph"/>
            </w:pPr>
          </w:p>
          <w:p w14:paraId="35A1EA3F" w14:textId="77777777" w:rsidR="0046798B" w:rsidRDefault="00903B5C">
            <w:pPr>
              <w:pStyle w:val="TableParagraph"/>
              <w:spacing w:before="131"/>
              <w:ind w:left="114"/>
              <w:rPr>
                <w:sz w:val="20"/>
              </w:rPr>
            </w:pPr>
            <w:r>
              <w:rPr>
                <w:sz w:val="20"/>
              </w:rPr>
              <w:t>2000–2016</w:t>
            </w:r>
          </w:p>
        </w:tc>
        <w:tc>
          <w:tcPr>
            <w:tcW w:w="3421" w:type="dxa"/>
          </w:tcPr>
          <w:p w14:paraId="1FA43786" w14:textId="77777777" w:rsidR="0046798B" w:rsidRDefault="0046798B">
            <w:pPr>
              <w:pStyle w:val="TableParagraph"/>
              <w:spacing w:before="4"/>
              <w:rPr>
                <w:sz w:val="23"/>
              </w:rPr>
            </w:pPr>
          </w:p>
          <w:p w14:paraId="79F2D1D7" w14:textId="77777777" w:rsidR="0046798B" w:rsidRDefault="00903B5C">
            <w:pPr>
              <w:pStyle w:val="TableParagraph"/>
              <w:ind w:left="114" w:right="211"/>
              <w:rPr>
                <w:sz w:val="20"/>
              </w:rPr>
            </w:pPr>
            <w:r>
              <w:rPr>
                <w:sz w:val="20"/>
              </w:rPr>
              <w:t>Casino and racino win as a percentage of the economy (dgwin / apersinc)</w:t>
            </w:r>
          </w:p>
        </w:tc>
        <w:tc>
          <w:tcPr>
            <w:tcW w:w="6482" w:type="dxa"/>
          </w:tcPr>
          <w:p w14:paraId="73690DDA" w14:textId="77777777" w:rsidR="0046798B" w:rsidRDefault="00903B5C">
            <w:pPr>
              <w:pStyle w:val="TableParagraph"/>
              <w:spacing w:before="154"/>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74DEBF7" w14:textId="77777777">
        <w:trPr>
          <w:trHeight w:val="1005"/>
        </w:trPr>
        <w:tc>
          <w:tcPr>
            <w:tcW w:w="1711" w:type="dxa"/>
          </w:tcPr>
          <w:p w14:paraId="20CD72F1" w14:textId="77777777" w:rsidR="0046798B" w:rsidRDefault="0046798B">
            <w:pPr>
              <w:pStyle w:val="TableParagraph"/>
            </w:pPr>
          </w:p>
          <w:p w14:paraId="04BF5255" w14:textId="77777777" w:rsidR="0046798B" w:rsidRDefault="00903B5C">
            <w:pPr>
              <w:pStyle w:val="TableParagraph"/>
              <w:spacing w:before="131"/>
              <w:ind w:left="115"/>
              <w:rPr>
                <w:b/>
                <w:sz w:val="20"/>
              </w:rPr>
            </w:pPr>
            <w:r>
              <w:rPr>
                <w:b/>
                <w:sz w:val="20"/>
              </w:rPr>
              <w:t>dlwinpi</w:t>
            </w:r>
          </w:p>
        </w:tc>
        <w:tc>
          <w:tcPr>
            <w:tcW w:w="1596" w:type="dxa"/>
          </w:tcPr>
          <w:p w14:paraId="3AC644FF" w14:textId="77777777" w:rsidR="0046798B" w:rsidRDefault="00903B5C">
            <w:pPr>
              <w:pStyle w:val="TableParagraph"/>
              <w:spacing w:before="38"/>
              <w:ind w:left="114" w:right="230"/>
              <w:rPr>
                <w:sz w:val="20"/>
              </w:rPr>
            </w:pPr>
            <w:r>
              <w:rPr>
                <w:sz w:val="20"/>
              </w:rPr>
              <w:t>Log casino and racino win as a percentage of log income</w:t>
            </w:r>
          </w:p>
        </w:tc>
        <w:tc>
          <w:tcPr>
            <w:tcW w:w="1285" w:type="dxa"/>
          </w:tcPr>
          <w:p w14:paraId="6351B45D" w14:textId="77777777" w:rsidR="0046798B" w:rsidRDefault="0046798B">
            <w:pPr>
              <w:pStyle w:val="TableParagraph"/>
            </w:pPr>
          </w:p>
          <w:p w14:paraId="508149CC" w14:textId="77777777" w:rsidR="0046798B" w:rsidRDefault="00903B5C">
            <w:pPr>
              <w:pStyle w:val="TableParagraph"/>
              <w:spacing w:before="131"/>
              <w:ind w:left="114"/>
              <w:rPr>
                <w:sz w:val="20"/>
              </w:rPr>
            </w:pPr>
            <w:r>
              <w:rPr>
                <w:sz w:val="20"/>
              </w:rPr>
              <w:t>2000–2016</w:t>
            </w:r>
          </w:p>
        </w:tc>
        <w:tc>
          <w:tcPr>
            <w:tcW w:w="3421" w:type="dxa"/>
          </w:tcPr>
          <w:p w14:paraId="0AF8F42D" w14:textId="77777777" w:rsidR="0046798B" w:rsidRDefault="00903B5C">
            <w:pPr>
              <w:pStyle w:val="TableParagraph"/>
              <w:spacing w:before="153"/>
              <w:ind w:left="114" w:right="659"/>
              <w:rPr>
                <w:sz w:val="20"/>
              </w:rPr>
            </w:pPr>
            <w:r>
              <w:rPr>
                <w:sz w:val="20"/>
              </w:rPr>
              <w:t>Log casino and racino win as a percentage of log income: ln(1 + dgwinpi) / ln(apersinc)</w:t>
            </w:r>
          </w:p>
        </w:tc>
        <w:tc>
          <w:tcPr>
            <w:tcW w:w="6482" w:type="dxa"/>
          </w:tcPr>
          <w:p w14:paraId="0BBC0664" w14:textId="77777777" w:rsidR="0046798B" w:rsidRDefault="00903B5C">
            <w:pPr>
              <w:pStyle w:val="TableParagraph"/>
              <w:spacing w:before="15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3AE6656" w14:textId="77777777">
        <w:trPr>
          <w:trHeight w:val="1005"/>
        </w:trPr>
        <w:tc>
          <w:tcPr>
            <w:tcW w:w="1711" w:type="dxa"/>
          </w:tcPr>
          <w:p w14:paraId="13624111" w14:textId="77777777" w:rsidR="0046798B" w:rsidRDefault="0046798B">
            <w:pPr>
              <w:pStyle w:val="TableParagraph"/>
            </w:pPr>
          </w:p>
          <w:p w14:paraId="3B66F6F4" w14:textId="77777777" w:rsidR="0046798B" w:rsidRDefault="00903B5C">
            <w:pPr>
              <w:pStyle w:val="TableParagraph"/>
              <w:spacing w:before="135"/>
              <w:ind w:left="115"/>
              <w:rPr>
                <w:b/>
                <w:sz w:val="20"/>
              </w:rPr>
            </w:pPr>
            <w:r>
              <w:rPr>
                <w:b/>
                <w:sz w:val="20"/>
              </w:rPr>
              <w:t>faccom</w:t>
            </w:r>
          </w:p>
        </w:tc>
        <w:tc>
          <w:tcPr>
            <w:tcW w:w="1596" w:type="dxa"/>
          </w:tcPr>
          <w:p w14:paraId="781CB6F1" w14:textId="77777777" w:rsidR="0046798B" w:rsidRDefault="00903B5C">
            <w:pPr>
              <w:pStyle w:val="TableParagraph"/>
              <w:spacing w:before="43"/>
              <w:ind w:left="114" w:right="135"/>
              <w:jc w:val="both"/>
              <w:rPr>
                <w:sz w:val="20"/>
              </w:rPr>
            </w:pPr>
            <w:r>
              <w:rPr>
                <w:sz w:val="20"/>
              </w:rPr>
              <w:t>Accommodation GDP divided by all GDP in</w:t>
            </w:r>
          </w:p>
          <w:p w14:paraId="00A3469F" w14:textId="77777777" w:rsidR="0046798B" w:rsidRDefault="00903B5C">
            <w:pPr>
              <w:pStyle w:val="TableParagraph"/>
              <w:ind w:left="114"/>
              <w:jc w:val="both"/>
              <w:rPr>
                <w:sz w:val="20"/>
              </w:rPr>
            </w:pPr>
            <w:r>
              <w:rPr>
                <w:sz w:val="20"/>
              </w:rPr>
              <w:t>*previous* year</w:t>
            </w:r>
          </w:p>
        </w:tc>
        <w:tc>
          <w:tcPr>
            <w:tcW w:w="1285" w:type="dxa"/>
          </w:tcPr>
          <w:p w14:paraId="12D8FA09" w14:textId="77777777" w:rsidR="0046798B" w:rsidRDefault="0046798B">
            <w:pPr>
              <w:pStyle w:val="TableParagraph"/>
            </w:pPr>
          </w:p>
          <w:p w14:paraId="28FCEE8F" w14:textId="77777777" w:rsidR="0046798B" w:rsidRDefault="00903B5C">
            <w:pPr>
              <w:pStyle w:val="TableParagraph"/>
              <w:spacing w:before="135"/>
              <w:ind w:left="114"/>
              <w:rPr>
                <w:sz w:val="20"/>
              </w:rPr>
            </w:pPr>
            <w:r>
              <w:rPr>
                <w:sz w:val="20"/>
              </w:rPr>
              <w:t>2000–2013</w:t>
            </w:r>
          </w:p>
        </w:tc>
        <w:tc>
          <w:tcPr>
            <w:tcW w:w="3421" w:type="dxa"/>
          </w:tcPr>
          <w:p w14:paraId="0A58A747" w14:textId="77777777" w:rsidR="0046798B" w:rsidRDefault="00903B5C">
            <w:pPr>
              <w:pStyle w:val="TableParagraph"/>
              <w:spacing w:before="158"/>
              <w:ind w:left="114" w:right="205"/>
              <w:rPr>
                <w:sz w:val="20"/>
              </w:rPr>
            </w:pPr>
            <w:r>
              <w:rPr>
                <w:sz w:val="20"/>
              </w:rPr>
              <w:t>Accommodation GDP divided by all GDP in *previous* year (for imputation of land-use regulation)</w:t>
            </w:r>
          </w:p>
        </w:tc>
        <w:tc>
          <w:tcPr>
            <w:tcW w:w="6482" w:type="dxa"/>
          </w:tcPr>
          <w:p w14:paraId="0615F6EC" w14:textId="77777777" w:rsidR="0046798B" w:rsidRDefault="00903B5C">
            <w:pPr>
              <w:pStyle w:val="TableParagraph"/>
              <w:spacing w:before="158"/>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A7D6149" w14:textId="77777777">
        <w:trPr>
          <w:trHeight w:val="775"/>
        </w:trPr>
        <w:tc>
          <w:tcPr>
            <w:tcW w:w="1711" w:type="dxa"/>
          </w:tcPr>
          <w:p w14:paraId="24989B9E" w14:textId="77777777" w:rsidR="0046798B" w:rsidRDefault="0046798B">
            <w:pPr>
              <w:pStyle w:val="TableParagraph"/>
              <w:spacing w:before="8"/>
              <w:rPr>
                <w:sz w:val="23"/>
              </w:rPr>
            </w:pPr>
          </w:p>
          <w:p w14:paraId="0D96B83B" w14:textId="77777777" w:rsidR="0046798B" w:rsidRDefault="00903B5C">
            <w:pPr>
              <w:pStyle w:val="TableParagraph"/>
              <w:spacing w:before="1"/>
              <w:ind w:left="115"/>
              <w:rPr>
                <w:b/>
                <w:sz w:val="20"/>
              </w:rPr>
            </w:pPr>
            <w:r>
              <w:rPr>
                <w:b/>
                <w:sz w:val="20"/>
              </w:rPr>
              <w:t>fcpi</w:t>
            </w:r>
          </w:p>
        </w:tc>
        <w:tc>
          <w:tcPr>
            <w:tcW w:w="1596" w:type="dxa"/>
          </w:tcPr>
          <w:p w14:paraId="6A2677A0" w14:textId="77777777" w:rsidR="0046798B" w:rsidRDefault="00903B5C">
            <w:pPr>
              <w:pStyle w:val="TableParagraph"/>
              <w:spacing w:before="43"/>
              <w:ind w:left="114" w:right="459"/>
              <w:jc w:val="both"/>
              <w:rPr>
                <w:sz w:val="20"/>
              </w:rPr>
            </w:pPr>
            <w:r>
              <w:rPr>
                <w:sz w:val="20"/>
              </w:rPr>
              <w:t>State cost of living, index year 2007</w:t>
            </w:r>
          </w:p>
        </w:tc>
        <w:tc>
          <w:tcPr>
            <w:tcW w:w="1285" w:type="dxa"/>
          </w:tcPr>
          <w:p w14:paraId="60C8228E" w14:textId="77777777" w:rsidR="0046798B" w:rsidRDefault="0046798B">
            <w:pPr>
              <w:pStyle w:val="TableParagraph"/>
              <w:spacing w:before="8"/>
              <w:rPr>
                <w:sz w:val="23"/>
              </w:rPr>
            </w:pPr>
          </w:p>
          <w:p w14:paraId="78E2999E" w14:textId="77777777" w:rsidR="0046798B" w:rsidRDefault="00903B5C">
            <w:pPr>
              <w:pStyle w:val="TableParagraph"/>
              <w:spacing w:before="1"/>
              <w:ind w:left="114"/>
              <w:rPr>
                <w:sz w:val="20"/>
              </w:rPr>
            </w:pPr>
            <w:r>
              <w:rPr>
                <w:sz w:val="20"/>
              </w:rPr>
              <w:t>2000–2007</w:t>
            </w:r>
          </w:p>
        </w:tc>
        <w:tc>
          <w:tcPr>
            <w:tcW w:w="3421" w:type="dxa"/>
          </w:tcPr>
          <w:p w14:paraId="282C4227" w14:textId="77777777" w:rsidR="0046798B" w:rsidRDefault="0046798B">
            <w:pPr>
              <w:pStyle w:val="TableParagraph"/>
              <w:spacing w:before="8"/>
              <w:rPr>
                <w:sz w:val="23"/>
              </w:rPr>
            </w:pPr>
          </w:p>
          <w:p w14:paraId="44F2A078" w14:textId="77777777" w:rsidR="0046798B" w:rsidRDefault="00903B5C">
            <w:pPr>
              <w:pStyle w:val="TableParagraph"/>
              <w:spacing w:before="1"/>
              <w:ind w:left="114"/>
              <w:rPr>
                <w:sz w:val="20"/>
              </w:rPr>
            </w:pPr>
            <w:r>
              <w:rPr>
                <w:sz w:val="20"/>
              </w:rPr>
              <w:t>State cost of living, index year 2007</w:t>
            </w:r>
          </w:p>
        </w:tc>
        <w:tc>
          <w:tcPr>
            <w:tcW w:w="6482" w:type="dxa"/>
          </w:tcPr>
          <w:p w14:paraId="2B02EE51" w14:textId="77777777" w:rsidR="0046798B" w:rsidRDefault="00903B5C">
            <w:pPr>
              <w:pStyle w:val="TableParagraph"/>
              <w:spacing w:before="4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2709E86A" w14:textId="77777777" w:rsidR="0046798B" w:rsidRDefault="0046798B">
      <w:pPr>
        <w:rPr>
          <w:sz w:val="20"/>
        </w:rPr>
        <w:sectPr w:rsidR="0046798B">
          <w:pgSz w:w="15840" w:h="12240" w:orient="landscape"/>
          <w:pgMar w:top="1220" w:right="300" w:bottom="980" w:left="820" w:header="730" w:footer="787" w:gutter="0"/>
          <w:cols w:space="720"/>
        </w:sectPr>
      </w:pPr>
    </w:p>
    <w:p w14:paraId="4225FB81"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55B3636F" w14:textId="77777777">
        <w:trPr>
          <w:trHeight w:val="775"/>
        </w:trPr>
        <w:tc>
          <w:tcPr>
            <w:tcW w:w="1711" w:type="dxa"/>
          </w:tcPr>
          <w:p w14:paraId="462E6B44" w14:textId="77777777" w:rsidR="0046798B" w:rsidRDefault="0046798B">
            <w:pPr>
              <w:pStyle w:val="TableParagraph"/>
              <w:spacing w:before="9"/>
              <w:rPr>
                <w:sz w:val="23"/>
              </w:rPr>
            </w:pPr>
          </w:p>
          <w:p w14:paraId="7DD5DCA7" w14:textId="77777777" w:rsidR="0046798B" w:rsidRDefault="00903B5C">
            <w:pPr>
              <w:pStyle w:val="TableParagraph"/>
              <w:ind w:left="115"/>
              <w:rPr>
                <w:b/>
                <w:sz w:val="20"/>
              </w:rPr>
            </w:pPr>
            <w:r>
              <w:rPr>
                <w:b/>
                <w:sz w:val="20"/>
              </w:rPr>
              <w:t>fgastax</w:t>
            </w:r>
          </w:p>
        </w:tc>
        <w:tc>
          <w:tcPr>
            <w:tcW w:w="1596" w:type="dxa"/>
          </w:tcPr>
          <w:p w14:paraId="107EE16A" w14:textId="77777777" w:rsidR="0046798B" w:rsidRDefault="0046798B">
            <w:pPr>
              <w:pStyle w:val="TableParagraph"/>
              <w:spacing w:before="9"/>
              <w:rPr>
                <w:sz w:val="23"/>
              </w:rPr>
            </w:pPr>
          </w:p>
          <w:p w14:paraId="6E9A64F7" w14:textId="77777777" w:rsidR="0046798B" w:rsidRDefault="00903B5C">
            <w:pPr>
              <w:pStyle w:val="TableParagraph"/>
              <w:ind w:left="114"/>
              <w:rPr>
                <w:sz w:val="20"/>
              </w:rPr>
            </w:pPr>
            <w:r>
              <w:rPr>
                <w:sz w:val="20"/>
              </w:rPr>
              <w:t>Gasoline tax rate</w:t>
            </w:r>
          </w:p>
        </w:tc>
        <w:tc>
          <w:tcPr>
            <w:tcW w:w="1285" w:type="dxa"/>
          </w:tcPr>
          <w:p w14:paraId="3420402E" w14:textId="77777777" w:rsidR="0046798B" w:rsidRDefault="0046798B">
            <w:pPr>
              <w:pStyle w:val="TableParagraph"/>
              <w:spacing w:before="9"/>
              <w:rPr>
                <w:sz w:val="23"/>
              </w:rPr>
            </w:pPr>
          </w:p>
          <w:p w14:paraId="544B06A4" w14:textId="77777777" w:rsidR="0046798B" w:rsidRDefault="00903B5C">
            <w:pPr>
              <w:pStyle w:val="TableParagraph"/>
              <w:ind w:left="114"/>
              <w:rPr>
                <w:sz w:val="20"/>
              </w:rPr>
            </w:pPr>
            <w:r>
              <w:rPr>
                <w:sz w:val="20"/>
              </w:rPr>
              <w:t>2000–2013</w:t>
            </w:r>
          </w:p>
        </w:tc>
        <w:tc>
          <w:tcPr>
            <w:tcW w:w="3421" w:type="dxa"/>
          </w:tcPr>
          <w:p w14:paraId="5D4AAAED" w14:textId="77777777" w:rsidR="0046798B" w:rsidRDefault="00903B5C">
            <w:pPr>
              <w:pStyle w:val="TableParagraph"/>
              <w:spacing w:before="43"/>
              <w:ind w:left="114"/>
              <w:rPr>
                <w:sz w:val="20"/>
              </w:rPr>
            </w:pPr>
            <w:r>
              <w:rPr>
                <w:sz w:val="20"/>
              </w:rPr>
              <w:t>(fgastax1 * 201.6) / ccpi</w:t>
            </w:r>
          </w:p>
          <w:p w14:paraId="148C2EC7" w14:textId="77777777" w:rsidR="0046798B" w:rsidRDefault="0046798B">
            <w:pPr>
              <w:pStyle w:val="TableParagraph"/>
              <w:rPr>
                <w:sz w:val="20"/>
              </w:rPr>
            </w:pPr>
          </w:p>
          <w:p w14:paraId="60EB3240" w14:textId="77777777" w:rsidR="0046798B" w:rsidRDefault="00903B5C">
            <w:pPr>
              <w:pStyle w:val="TableParagraph"/>
              <w:ind w:left="114"/>
              <w:rPr>
                <w:sz w:val="20"/>
              </w:rPr>
            </w:pPr>
            <w:r>
              <w:rPr>
                <w:sz w:val="20"/>
              </w:rPr>
              <w:t>Note: 201.6 = value of ccpi in 2006</w:t>
            </w:r>
          </w:p>
        </w:tc>
        <w:tc>
          <w:tcPr>
            <w:tcW w:w="6482" w:type="dxa"/>
          </w:tcPr>
          <w:p w14:paraId="39F3B6AA"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AFA7D3A" w14:textId="77777777">
        <w:trPr>
          <w:trHeight w:val="775"/>
        </w:trPr>
        <w:tc>
          <w:tcPr>
            <w:tcW w:w="1711" w:type="dxa"/>
          </w:tcPr>
          <w:p w14:paraId="5DFA84B2" w14:textId="77777777" w:rsidR="0046798B" w:rsidRDefault="0046798B">
            <w:pPr>
              <w:pStyle w:val="TableParagraph"/>
              <w:spacing w:before="8"/>
              <w:rPr>
                <w:sz w:val="23"/>
              </w:rPr>
            </w:pPr>
          </w:p>
          <w:p w14:paraId="6EC185AA" w14:textId="77777777" w:rsidR="0046798B" w:rsidRDefault="00903B5C">
            <w:pPr>
              <w:pStyle w:val="TableParagraph"/>
              <w:spacing w:before="1"/>
              <w:ind w:left="115"/>
              <w:rPr>
                <w:b/>
                <w:sz w:val="20"/>
              </w:rPr>
            </w:pPr>
            <w:r>
              <w:rPr>
                <w:b/>
                <w:sz w:val="20"/>
              </w:rPr>
              <w:t>fgastax1</w:t>
            </w:r>
          </w:p>
        </w:tc>
        <w:tc>
          <w:tcPr>
            <w:tcW w:w="1596" w:type="dxa"/>
          </w:tcPr>
          <w:p w14:paraId="1131C545" w14:textId="77777777" w:rsidR="0046798B" w:rsidRDefault="00903B5C">
            <w:pPr>
              <w:pStyle w:val="TableParagraph"/>
              <w:spacing w:before="43"/>
              <w:ind w:left="114" w:right="97"/>
              <w:rPr>
                <w:sz w:val="20"/>
              </w:rPr>
            </w:pPr>
            <w:r>
              <w:rPr>
                <w:sz w:val="20"/>
              </w:rPr>
              <w:t>Gasoline tax rate per gallon in dollars</w:t>
            </w:r>
          </w:p>
        </w:tc>
        <w:tc>
          <w:tcPr>
            <w:tcW w:w="1285" w:type="dxa"/>
          </w:tcPr>
          <w:p w14:paraId="3D699AF1" w14:textId="77777777" w:rsidR="0046798B" w:rsidRDefault="0046798B">
            <w:pPr>
              <w:pStyle w:val="TableParagraph"/>
              <w:spacing w:before="8"/>
              <w:rPr>
                <w:sz w:val="23"/>
              </w:rPr>
            </w:pPr>
          </w:p>
          <w:p w14:paraId="1769F635" w14:textId="77777777" w:rsidR="0046798B" w:rsidRDefault="00903B5C">
            <w:pPr>
              <w:pStyle w:val="TableParagraph"/>
              <w:spacing w:before="1"/>
              <w:ind w:left="114"/>
              <w:rPr>
                <w:sz w:val="20"/>
              </w:rPr>
            </w:pPr>
            <w:r>
              <w:rPr>
                <w:sz w:val="20"/>
              </w:rPr>
              <w:t>2000–2013</w:t>
            </w:r>
          </w:p>
        </w:tc>
        <w:tc>
          <w:tcPr>
            <w:tcW w:w="3421" w:type="dxa"/>
          </w:tcPr>
          <w:p w14:paraId="5716FCE2" w14:textId="77777777" w:rsidR="0046798B" w:rsidRDefault="00903B5C">
            <w:pPr>
              <w:pStyle w:val="TableParagraph"/>
              <w:spacing w:before="43"/>
              <w:ind w:left="114" w:right="216"/>
              <w:rPr>
                <w:sz w:val="20"/>
              </w:rPr>
            </w:pPr>
            <w:r>
              <w:rPr>
                <w:sz w:val="20"/>
              </w:rPr>
              <w:t>Gasoline tax rate per gallon in dollars, including sales, excise, storage, and franchise taxes</w:t>
            </w:r>
          </w:p>
        </w:tc>
        <w:tc>
          <w:tcPr>
            <w:tcW w:w="6482" w:type="dxa"/>
          </w:tcPr>
          <w:p w14:paraId="27F05BB2"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70DCC0E" w14:textId="77777777">
        <w:trPr>
          <w:trHeight w:val="780"/>
        </w:trPr>
        <w:tc>
          <w:tcPr>
            <w:tcW w:w="1711" w:type="dxa"/>
          </w:tcPr>
          <w:p w14:paraId="06A2F171" w14:textId="77777777" w:rsidR="0046798B" w:rsidRDefault="0046798B">
            <w:pPr>
              <w:pStyle w:val="TableParagraph"/>
              <w:spacing w:before="9"/>
              <w:rPr>
                <w:sz w:val="23"/>
              </w:rPr>
            </w:pPr>
          </w:p>
          <w:p w14:paraId="34152796" w14:textId="77777777" w:rsidR="0046798B" w:rsidRDefault="00903B5C">
            <w:pPr>
              <w:pStyle w:val="TableParagraph"/>
              <w:ind w:left="115"/>
              <w:rPr>
                <w:b/>
                <w:sz w:val="20"/>
              </w:rPr>
            </w:pPr>
            <w:r>
              <w:rPr>
                <w:b/>
                <w:sz w:val="20"/>
              </w:rPr>
              <w:t>fipd</w:t>
            </w:r>
          </w:p>
        </w:tc>
        <w:tc>
          <w:tcPr>
            <w:tcW w:w="1596" w:type="dxa"/>
          </w:tcPr>
          <w:p w14:paraId="2A9C6D6D" w14:textId="77777777" w:rsidR="0046798B" w:rsidRDefault="00903B5C">
            <w:pPr>
              <w:pStyle w:val="TableParagraph"/>
              <w:spacing w:before="44"/>
              <w:ind w:left="114" w:right="163"/>
              <w:rPr>
                <w:sz w:val="20"/>
              </w:rPr>
            </w:pPr>
            <w:r>
              <w:rPr>
                <w:sz w:val="20"/>
              </w:rPr>
              <w:t>State implicit price deflator, index year 2008</w:t>
            </w:r>
          </w:p>
        </w:tc>
        <w:tc>
          <w:tcPr>
            <w:tcW w:w="1285" w:type="dxa"/>
          </w:tcPr>
          <w:p w14:paraId="4E1EB076" w14:textId="77777777" w:rsidR="0046798B" w:rsidRDefault="0046798B">
            <w:pPr>
              <w:pStyle w:val="TableParagraph"/>
              <w:spacing w:before="9"/>
              <w:rPr>
                <w:sz w:val="23"/>
              </w:rPr>
            </w:pPr>
          </w:p>
          <w:p w14:paraId="0A646BBF" w14:textId="77777777" w:rsidR="0046798B" w:rsidRDefault="00903B5C">
            <w:pPr>
              <w:pStyle w:val="TableParagraph"/>
              <w:ind w:left="114"/>
              <w:rPr>
                <w:sz w:val="20"/>
              </w:rPr>
            </w:pPr>
            <w:r>
              <w:rPr>
                <w:sz w:val="20"/>
              </w:rPr>
              <w:t>2007–2013</w:t>
            </w:r>
          </w:p>
        </w:tc>
        <w:tc>
          <w:tcPr>
            <w:tcW w:w="3421" w:type="dxa"/>
          </w:tcPr>
          <w:p w14:paraId="49863FCD" w14:textId="77777777" w:rsidR="0046798B" w:rsidRDefault="00903B5C">
            <w:pPr>
              <w:pStyle w:val="TableParagraph"/>
              <w:spacing w:before="159"/>
              <w:ind w:left="114"/>
              <w:rPr>
                <w:sz w:val="20"/>
              </w:rPr>
            </w:pPr>
            <w:r>
              <w:rPr>
                <w:sz w:val="20"/>
              </w:rPr>
              <w:t>State implicit price deflator, index year 2008</w:t>
            </w:r>
          </w:p>
        </w:tc>
        <w:tc>
          <w:tcPr>
            <w:tcW w:w="6482" w:type="dxa"/>
          </w:tcPr>
          <w:p w14:paraId="3E4A64E7" w14:textId="77777777" w:rsidR="0046798B" w:rsidRDefault="00903B5C">
            <w:pPr>
              <w:pStyle w:val="TableParagraph"/>
              <w:spacing w:before="44"/>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02FF475" w14:textId="77777777">
        <w:trPr>
          <w:trHeight w:val="775"/>
        </w:trPr>
        <w:tc>
          <w:tcPr>
            <w:tcW w:w="1711" w:type="dxa"/>
          </w:tcPr>
          <w:p w14:paraId="775A22A1" w14:textId="77777777" w:rsidR="0046798B" w:rsidRDefault="0046798B">
            <w:pPr>
              <w:pStyle w:val="TableParagraph"/>
              <w:spacing w:before="3"/>
              <w:rPr>
                <w:sz w:val="23"/>
              </w:rPr>
            </w:pPr>
          </w:p>
          <w:p w14:paraId="57EF69C1" w14:textId="77777777" w:rsidR="0046798B" w:rsidRDefault="00903B5C">
            <w:pPr>
              <w:pStyle w:val="TableParagraph"/>
              <w:spacing w:before="1"/>
              <w:ind w:left="115"/>
              <w:rPr>
                <w:b/>
                <w:sz w:val="20"/>
              </w:rPr>
            </w:pPr>
            <w:r>
              <w:rPr>
                <w:b/>
                <w:sz w:val="20"/>
              </w:rPr>
              <w:t>fcpi</w:t>
            </w:r>
          </w:p>
        </w:tc>
        <w:tc>
          <w:tcPr>
            <w:tcW w:w="1596" w:type="dxa"/>
          </w:tcPr>
          <w:p w14:paraId="16B90747" w14:textId="77777777" w:rsidR="0046798B" w:rsidRDefault="00903B5C">
            <w:pPr>
              <w:pStyle w:val="TableParagraph"/>
              <w:spacing w:before="38"/>
              <w:ind w:left="114" w:right="459"/>
              <w:jc w:val="both"/>
              <w:rPr>
                <w:sz w:val="20"/>
              </w:rPr>
            </w:pPr>
            <w:r>
              <w:rPr>
                <w:sz w:val="20"/>
              </w:rPr>
              <w:t>State cost of living, index year 2007</w:t>
            </w:r>
          </w:p>
        </w:tc>
        <w:tc>
          <w:tcPr>
            <w:tcW w:w="1285" w:type="dxa"/>
          </w:tcPr>
          <w:p w14:paraId="5358F36D" w14:textId="77777777" w:rsidR="0046798B" w:rsidRDefault="0046798B">
            <w:pPr>
              <w:pStyle w:val="TableParagraph"/>
              <w:spacing w:before="3"/>
              <w:rPr>
                <w:sz w:val="23"/>
              </w:rPr>
            </w:pPr>
          </w:p>
          <w:p w14:paraId="167F8520" w14:textId="77777777" w:rsidR="0046798B" w:rsidRDefault="00903B5C">
            <w:pPr>
              <w:pStyle w:val="TableParagraph"/>
              <w:spacing w:before="1"/>
              <w:ind w:left="114"/>
              <w:rPr>
                <w:sz w:val="20"/>
              </w:rPr>
            </w:pPr>
            <w:r>
              <w:rPr>
                <w:sz w:val="20"/>
              </w:rPr>
              <w:t>2000–2007</w:t>
            </w:r>
          </w:p>
        </w:tc>
        <w:tc>
          <w:tcPr>
            <w:tcW w:w="3421" w:type="dxa"/>
          </w:tcPr>
          <w:p w14:paraId="3522DF03" w14:textId="77777777" w:rsidR="0046798B" w:rsidRDefault="0046798B">
            <w:pPr>
              <w:pStyle w:val="TableParagraph"/>
              <w:spacing w:before="3"/>
              <w:rPr>
                <w:sz w:val="23"/>
              </w:rPr>
            </w:pPr>
          </w:p>
          <w:p w14:paraId="15D24D62" w14:textId="77777777" w:rsidR="0046798B" w:rsidRDefault="00903B5C">
            <w:pPr>
              <w:pStyle w:val="TableParagraph"/>
              <w:spacing w:before="1"/>
              <w:ind w:left="114"/>
              <w:rPr>
                <w:sz w:val="20"/>
              </w:rPr>
            </w:pPr>
            <w:r>
              <w:rPr>
                <w:sz w:val="20"/>
              </w:rPr>
              <w:t>State cost of living, index year 2007</w:t>
            </w:r>
          </w:p>
        </w:tc>
        <w:tc>
          <w:tcPr>
            <w:tcW w:w="6482" w:type="dxa"/>
          </w:tcPr>
          <w:p w14:paraId="3FEF7388" w14:textId="77777777" w:rsidR="0046798B" w:rsidRDefault="00903B5C">
            <w:pPr>
              <w:pStyle w:val="TableParagraph"/>
              <w:spacing w:before="38"/>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FDEDDF7" w14:textId="77777777">
        <w:trPr>
          <w:trHeight w:val="775"/>
        </w:trPr>
        <w:tc>
          <w:tcPr>
            <w:tcW w:w="1711" w:type="dxa"/>
          </w:tcPr>
          <w:p w14:paraId="2AC2145B" w14:textId="77777777" w:rsidR="0046798B" w:rsidRDefault="0046798B">
            <w:pPr>
              <w:pStyle w:val="TableParagraph"/>
              <w:spacing w:before="3"/>
              <w:rPr>
                <w:sz w:val="23"/>
              </w:rPr>
            </w:pPr>
          </w:p>
          <w:p w14:paraId="7293B774" w14:textId="77777777" w:rsidR="0046798B" w:rsidRDefault="00903B5C">
            <w:pPr>
              <w:pStyle w:val="TableParagraph"/>
              <w:spacing w:before="1"/>
              <w:ind w:left="115"/>
              <w:rPr>
                <w:b/>
                <w:sz w:val="20"/>
              </w:rPr>
            </w:pPr>
            <w:r>
              <w:rPr>
                <w:b/>
                <w:sz w:val="20"/>
              </w:rPr>
              <w:t>fpp</w:t>
            </w:r>
          </w:p>
        </w:tc>
        <w:tc>
          <w:tcPr>
            <w:tcW w:w="1596" w:type="dxa"/>
          </w:tcPr>
          <w:p w14:paraId="27F1D986" w14:textId="77777777" w:rsidR="0046798B" w:rsidRDefault="00903B5C">
            <w:pPr>
              <w:pStyle w:val="TableParagraph"/>
              <w:spacing w:before="153"/>
              <w:ind w:left="114" w:right="602"/>
              <w:rPr>
                <w:sz w:val="20"/>
              </w:rPr>
            </w:pPr>
            <w:r>
              <w:rPr>
                <w:sz w:val="20"/>
              </w:rPr>
              <w:t>State price parities</w:t>
            </w:r>
          </w:p>
        </w:tc>
        <w:tc>
          <w:tcPr>
            <w:tcW w:w="1285" w:type="dxa"/>
          </w:tcPr>
          <w:p w14:paraId="0432B13D" w14:textId="77777777" w:rsidR="0046798B" w:rsidRDefault="0046798B">
            <w:pPr>
              <w:pStyle w:val="TableParagraph"/>
              <w:spacing w:before="3"/>
              <w:rPr>
                <w:sz w:val="23"/>
              </w:rPr>
            </w:pPr>
          </w:p>
          <w:p w14:paraId="27C6368C" w14:textId="77777777" w:rsidR="0046798B" w:rsidRDefault="00903B5C">
            <w:pPr>
              <w:pStyle w:val="TableParagraph"/>
              <w:spacing w:before="1"/>
              <w:ind w:left="114"/>
              <w:rPr>
                <w:sz w:val="20"/>
              </w:rPr>
            </w:pPr>
            <w:r>
              <w:rPr>
                <w:sz w:val="20"/>
              </w:rPr>
              <w:t>2007–2013</w:t>
            </w:r>
          </w:p>
        </w:tc>
        <w:tc>
          <w:tcPr>
            <w:tcW w:w="3421" w:type="dxa"/>
          </w:tcPr>
          <w:p w14:paraId="7A2753F9" w14:textId="77777777" w:rsidR="0046798B" w:rsidRDefault="0046798B">
            <w:pPr>
              <w:pStyle w:val="TableParagraph"/>
              <w:spacing w:before="3"/>
              <w:rPr>
                <w:sz w:val="23"/>
              </w:rPr>
            </w:pPr>
          </w:p>
          <w:p w14:paraId="51CD83B9" w14:textId="77777777" w:rsidR="0046798B" w:rsidRDefault="00903B5C">
            <w:pPr>
              <w:pStyle w:val="TableParagraph"/>
              <w:spacing w:before="1"/>
              <w:ind w:left="114"/>
              <w:rPr>
                <w:sz w:val="20"/>
              </w:rPr>
            </w:pPr>
            <w:r>
              <w:rPr>
                <w:sz w:val="20"/>
              </w:rPr>
              <w:t>State price parities</w:t>
            </w:r>
          </w:p>
        </w:tc>
        <w:tc>
          <w:tcPr>
            <w:tcW w:w="6482" w:type="dxa"/>
          </w:tcPr>
          <w:p w14:paraId="54432B3E" w14:textId="77777777" w:rsidR="0046798B" w:rsidRDefault="00903B5C">
            <w:pPr>
              <w:pStyle w:val="TableParagraph"/>
              <w:spacing w:before="38"/>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49A39B0" w14:textId="77777777">
        <w:trPr>
          <w:trHeight w:val="1235"/>
        </w:trPr>
        <w:tc>
          <w:tcPr>
            <w:tcW w:w="1711" w:type="dxa"/>
          </w:tcPr>
          <w:p w14:paraId="13F60A8D" w14:textId="77777777" w:rsidR="0046798B" w:rsidRDefault="0046798B">
            <w:pPr>
              <w:pStyle w:val="TableParagraph"/>
            </w:pPr>
          </w:p>
          <w:p w14:paraId="60FF7114" w14:textId="77777777" w:rsidR="0046798B" w:rsidRDefault="0046798B">
            <w:pPr>
              <w:pStyle w:val="TableParagraph"/>
              <w:spacing w:before="9"/>
              <w:rPr>
                <w:sz w:val="21"/>
              </w:rPr>
            </w:pPr>
          </w:p>
          <w:p w14:paraId="42A1EC66" w14:textId="77777777" w:rsidR="0046798B" w:rsidRDefault="00903B5C">
            <w:pPr>
              <w:pStyle w:val="TableParagraph"/>
              <w:ind w:left="115"/>
              <w:rPr>
                <w:b/>
                <w:sz w:val="20"/>
              </w:rPr>
            </w:pPr>
            <w:r>
              <w:rPr>
                <w:b/>
                <w:sz w:val="20"/>
              </w:rPr>
              <w:t>ogdp</w:t>
            </w:r>
          </w:p>
        </w:tc>
        <w:tc>
          <w:tcPr>
            <w:tcW w:w="1596" w:type="dxa"/>
          </w:tcPr>
          <w:p w14:paraId="58F6E09E" w14:textId="77777777" w:rsidR="0046798B" w:rsidRDefault="00903B5C">
            <w:pPr>
              <w:pStyle w:val="TableParagraph"/>
              <w:spacing w:before="43"/>
              <w:ind w:left="114" w:right="335"/>
              <w:rPr>
                <w:sz w:val="20"/>
              </w:rPr>
            </w:pPr>
            <w:r>
              <w:rPr>
                <w:sz w:val="20"/>
              </w:rPr>
              <w:t>Real GDP, all industry total, millions of chained 2009 dollars</w:t>
            </w:r>
          </w:p>
        </w:tc>
        <w:tc>
          <w:tcPr>
            <w:tcW w:w="1285" w:type="dxa"/>
          </w:tcPr>
          <w:p w14:paraId="1213E5E4" w14:textId="77777777" w:rsidR="0046798B" w:rsidRDefault="0046798B">
            <w:pPr>
              <w:pStyle w:val="TableParagraph"/>
            </w:pPr>
          </w:p>
          <w:p w14:paraId="2067232A" w14:textId="77777777" w:rsidR="0046798B" w:rsidRDefault="0046798B">
            <w:pPr>
              <w:pStyle w:val="TableParagraph"/>
              <w:spacing w:before="9"/>
              <w:rPr>
                <w:sz w:val="21"/>
              </w:rPr>
            </w:pPr>
          </w:p>
          <w:p w14:paraId="2FBCB2BD" w14:textId="77777777" w:rsidR="0046798B" w:rsidRDefault="00903B5C">
            <w:pPr>
              <w:pStyle w:val="TableParagraph"/>
              <w:ind w:left="114"/>
              <w:rPr>
                <w:sz w:val="20"/>
              </w:rPr>
            </w:pPr>
            <w:r>
              <w:rPr>
                <w:sz w:val="20"/>
              </w:rPr>
              <w:t>2001–2016</w:t>
            </w:r>
          </w:p>
        </w:tc>
        <w:tc>
          <w:tcPr>
            <w:tcW w:w="3421" w:type="dxa"/>
          </w:tcPr>
          <w:p w14:paraId="7521C424" w14:textId="77777777" w:rsidR="0046798B" w:rsidRDefault="0046798B">
            <w:pPr>
              <w:pStyle w:val="TableParagraph"/>
            </w:pPr>
          </w:p>
          <w:p w14:paraId="2B6E7DDC" w14:textId="77777777" w:rsidR="0046798B" w:rsidRDefault="00903B5C">
            <w:pPr>
              <w:pStyle w:val="TableParagraph"/>
              <w:spacing w:before="135"/>
              <w:ind w:left="114" w:right="205"/>
              <w:rPr>
                <w:sz w:val="20"/>
              </w:rPr>
            </w:pPr>
            <w:r>
              <w:rPr>
                <w:sz w:val="20"/>
              </w:rPr>
              <w:t>Real GDP, all industry total, millions of chained 2009 dollars</w:t>
            </w:r>
          </w:p>
        </w:tc>
        <w:tc>
          <w:tcPr>
            <w:tcW w:w="6482" w:type="dxa"/>
          </w:tcPr>
          <w:p w14:paraId="48DF203C" w14:textId="77777777" w:rsidR="0046798B" w:rsidRDefault="0046798B">
            <w:pPr>
              <w:pStyle w:val="TableParagraph"/>
              <w:spacing w:before="9"/>
              <w:rPr>
                <w:sz w:val="23"/>
              </w:rPr>
            </w:pPr>
          </w:p>
          <w:p w14:paraId="32E48A4B"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1DAB56F" w14:textId="77777777">
        <w:trPr>
          <w:trHeight w:val="1466"/>
        </w:trPr>
        <w:tc>
          <w:tcPr>
            <w:tcW w:w="1711" w:type="dxa"/>
          </w:tcPr>
          <w:p w14:paraId="2BA3D1A2" w14:textId="77777777" w:rsidR="0046798B" w:rsidRDefault="0046798B">
            <w:pPr>
              <w:pStyle w:val="TableParagraph"/>
            </w:pPr>
          </w:p>
          <w:p w14:paraId="46ADEC46" w14:textId="77777777" w:rsidR="0046798B" w:rsidRDefault="0046798B">
            <w:pPr>
              <w:pStyle w:val="TableParagraph"/>
              <w:spacing w:before="9"/>
              <w:rPr>
                <w:sz w:val="31"/>
              </w:rPr>
            </w:pPr>
          </w:p>
          <w:p w14:paraId="194E0AA8" w14:textId="77777777" w:rsidR="0046798B" w:rsidRDefault="00903B5C">
            <w:pPr>
              <w:pStyle w:val="TableParagraph"/>
              <w:ind w:left="115"/>
              <w:rPr>
                <w:b/>
                <w:sz w:val="20"/>
              </w:rPr>
            </w:pPr>
            <w:r>
              <w:rPr>
                <w:b/>
                <w:sz w:val="20"/>
              </w:rPr>
              <w:t>ogdpfin</w:t>
            </w:r>
          </w:p>
        </w:tc>
        <w:tc>
          <w:tcPr>
            <w:tcW w:w="1596" w:type="dxa"/>
          </w:tcPr>
          <w:p w14:paraId="61FB7E9C" w14:textId="77777777" w:rsidR="0046798B" w:rsidRDefault="00903B5C">
            <w:pPr>
              <w:pStyle w:val="TableParagraph"/>
              <w:spacing w:before="44"/>
              <w:ind w:left="114" w:right="380"/>
              <w:rPr>
                <w:sz w:val="20"/>
              </w:rPr>
            </w:pPr>
            <w:r>
              <w:rPr>
                <w:sz w:val="20"/>
              </w:rPr>
              <w:t>Real GDP, finance and insurance, millions of chained 2009 dollars</w:t>
            </w:r>
          </w:p>
        </w:tc>
        <w:tc>
          <w:tcPr>
            <w:tcW w:w="1285" w:type="dxa"/>
          </w:tcPr>
          <w:p w14:paraId="08350DA1" w14:textId="77777777" w:rsidR="0046798B" w:rsidRDefault="0046798B">
            <w:pPr>
              <w:pStyle w:val="TableParagraph"/>
            </w:pPr>
          </w:p>
          <w:p w14:paraId="76587CA0" w14:textId="77777777" w:rsidR="0046798B" w:rsidRDefault="0046798B">
            <w:pPr>
              <w:pStyle w:val="TableParagraph"/>
              <w:spacing w:before="9"/>
              <w:rPr>
                <w:sz w:val="31"/>
              </w:rPr>
            </w:pPr>
          </w:p>
          <w:p w14:paraId="3BB20D99" w14:textId="77777777" w:rsidR="0046798B" w:rsidRDefault="00903B5C">
            <w:pPr>
              <w:pStyle w:val="TableParagraph"/>
              <w:ind w:left="114"/>
              <w:rPr>
                <w:sz w:val="20"/>
              </w:rPr>
            </w:pPr>
            <w:r>
              <w:rPr>
                <w:sz w:val="20"/>
              </w:rPr>
              <w:t>2001–2016</w:t>
            </w:r>
          </w:p>
        </w:tc>
        <w:tc>
          <w:tcPr>
            <w:tcW w:w="3421" w:type="dxa"/>
          </w:tcPr>
          <w:p w14:paraId="38C069A5" w14:textId="77777777" w:rsidR="0046798B" w:rsidRDefault="0046798B">
            <w:pPr>
              <w:pStyle w:val="TableParagraph"/>
            </w:pPr>
          </w:p>
          <w:p w14:paraId="48A1A839" w14:textId="77777777" w:rsidR="0046798B" w:rsidRDefault="0046798B">
            <w:pPr>
              <w:pStyle w:val="TableParagraph"/>
              <w:spacing w:before="9"/>
              <w:rPr>
                <w:sz w:val="21"/>
              </w:rPr>
            </w:pPr>
          </w:p>
          <w:p w14:paraId="7CBF5EE8" w14:textId="77777777" w:rsidR="0046798B" w:rsidRDefault="00903B5C">
            <w:pPr>
              <w:pStyle w:val="TableParagraph"/>
              <w:ind w:left="114" w:right="566"/>
              <w:rPr>
                <w:sz w:val="20"/>
              </w:rPr>
            </w:pPr>
            <w:r>
              <w:rPr>
                <w:sz w:val="20"/>
              </w:rPr>
              <w:t>Real GDP, finance and insurance, millions of chained 2009 dollars</w:t>
            </w:r>
          </w:p>
        </w:tc>
        <w:tc>
          <w:tcPr>
            <w:tcW w:w="6482" w:type="dxa"/>
          </w:tcPr>
          <w:p w14:paraId="54A8E011" w14:textId="77777777" w:rsidR="0046798B" w:rsidRDefault="0046798B">
            <w:pPr>
              <w:pStyle w:val="TableParagraph"/>
            </w:pPr>
          </w:p>
          <w:p w14:paraId="6DA8DAB1" w14:textId="77777777" w:rsidR="0046798B" w:rsidRDefault="00903B5C">
            <w:pPr>
              <w:pStyle w:val="TableParagraph"/>
              <w:spacing w:before="136"/>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441A3C5" w14:textId="77777777">
        <w:trPr>
          <w:trHeight w:val="1465"/>
        </w:trPr>
        <w:tc>
          <w:tcPr>
            <w:tcW w:w="1711" w:type="dxa"/>
          </w:tcPr>
          <w:p w14:paraId="3E6F23FD" w14:textId="77777777" w:rsidR="0046798B" w:rsidRDefault="0046798B">
            <w:pPr>
              <w:pStyle w:val="TableParagraph"/>
            </w:pPr>
          </w:p>
          <w:p w14:paraId="48C47163" w14:textId="77777777" w:rsidR="0046798B" w:rsidRDefault="0046798B">
            <w:pPr>
              <w:pStyle w:val="TableParagraph"/>
              <w:spacing w:before="8"/>
              <w:rPr>
                <w:sz w:val="31"/>
              </w:rPr>
            </w:pPr>
          </w:p>
          <w:p w14:paraId="333EB097" w14:textId="77777777" w:rsidR="0046798B" w:rsidRDefault="00903B5C">
            <w:pPr>
              <w:pStyle w:val="TableParagraph"/>
              <w:ind w:left="115"/>
              <w:rPr>
                <w:b/>
                <w:sz w:val="20"/>
              </w:rPr>
            </w:pPr>
            <w:r>
              <w:rPr>
                <w:b/>
                <w:sz w:val="20"/>
              </w:rPr>
              <w:t>ogdphc</w:t>
            </w:r>
          </w:p>
        </w:tc>
        <w:tc>
          <w:tcPr>
            <w:tcW w:w="1596" w:type="dxa"/>
          </w:tcPr>
          <w:p w14:paraId="07097197" w14:textId="77777777" w:rsidR="0046798B" w:rsidRDefault="00903B5C">
            <w:pPr>
              <w:pStyle w:val="TableParagraph"/>
              <w:spacing w:before="43"/>
              <w:ind w:left="114" w:right="85"/>
              <w:rPr>
                <w:sz w:val="20"/>
              </w:rPr>
            </w:pPr>
            <w:r>
              <w:rPr>
                <w:sz w:val="20"/>
              </w:rPr>
              <w:t>Real GDP, healthcare and social assistance, millions of chained 2009 dollars</w:t>
            </w:r>
          </w:p>
        </w:tc>
        <w:tc>
          <w:tcPr>
            <w:tcW w:w="1285" w:type="dxa"/>
          </w:tcPr>
          <w:p w14:paraId="10577471" w14:textId="77777777" w:rsidR="0046798B" w:rsidRDefault="0046798B">
            <w:pPr>
              <w:pStyle w:val="TableParagraph"/>
            </w:pPr>
          </w:p>
          <w:p w14:paraId="061ACA94" w14:textId="77777777" w:rsidR="0046798B" w:rsidRDefault="0046798B">
            <w:pPr>
              <w:pStyle w:val="TableParagraph"/>
              <w:spacing w:before="8"/>
              <w:rPr>
                <w:sz w:val="31"/>
              </w:rPr>
            </w:pPr>
          </w:p>
          <w:p w14:paraId="4CDA33BB" w14:textId="77777777" w:rsidR="0046798B" w:rsidRDefault="00903B5C">
            <w:pPr>
              <w:pStyle w:val="TableParagraph"/>
              <w:ind w:left="114"/>
              <w:rPr>
                <w:sz w:val="20"/>
              </w:rPr>
            </w:pPr>
            <w:r>
              <w:rPr>
                <w:sz w:val="20"/>
              </w:rPr>
              <w:t>2001–2016</w:t>
            </w:r>
          </w:p>
        </w:tc>
        <w:tc>
          <w:tcPr>
            <w:tcW w:w="3421" w:type="dxa"/>
          </w:tcPr>
          <w:p w14:paraId="69FF6DF7" w14:textId="77777777" w:rsidR="0046798B" w:rsidRDefault="0046798B">
            <w:pPr>
              <w:pStyle w:val="TableParagraph"/>
            </w:pPr>
          </w:p>
          <w:p w14:paraId="072A7F31" w14:textId="77777777" w:rsidR="0046798B" w:rsidRDefault="00903B5C">
            <w:pPr>
              <w:pStyle w:val="TableParagraph"/>
              <w:spacing w:before="135"/>
              <w:ind w:left="114" w:right="383"/>
              <w:rPr>
                <w:sz w:val="20"/>
              </w:rPr>
            </w:pPr>
            <w:r>
              <w:rPr>
                <w:sz w:val="20"/>
              </w:rPr>
              <w:t>Real GDP, healthcare and social assistance, millions of chained 2009 dollars</w:t>
            </w:r>
          </w:p>
        </w:tc>
        <w:tc>
          <w:tcPr>
            <w:tcW w:w="6482" w:type="dxa"/>
          </w:tcPr>
          <w:p w14:paraId="045E21D8" w14:textId="77777777" w:rsidR="0046798B" w:rsidRDefault="0046798B">
            <w:pPr>
              <w:pStyle w:val="TableParagraph"/>
            </w:pPr>
          </w:p>
          <w:p w14:paraId="2A4500EF" w14:textId="77777777" w:rsidR="0046798B" w:rsidRDefault="00903B5C">
            <w:pPr>
              <w:pStyle w:val="TableParagraph"/>
              <w:spacing w:before="135"/>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99AC7B8" w14:textId="77777777">
        <w:trPr>
          <w:trHeight w:val="780"/>
        </w:trPr>
        <w:tc>
          <w:tcPr>
            <w:tcW w:w="1711" w:type="dxa"/>
          </w:tcPr>
          <w:p w14:paraId="55349954" w14:textId="77777777" w:rsidR="0046798B" w:rsidRDefault="0046798B">
            <w:pPr>
              <w:pStyle w:val="TableParagraph"/>
              <w:spacing w:before="8"/>
              <w:rPr>
                <w:sz w:val="23"/>
              </w:rPr>
            </w:pPr>
          </w:p>
          <w:p w14:paraId="5DEB0068" w14:textId="77777777" w:rsidR="0046798B" w:rsidRDefault="00903B5C">
            <w:pPr>
              <w:pStyle w:val="TableParagraph"/>
              <w:spacing w:before="1"/>
              <w:ind w:left="115"/>
              <w:rPr>
                <w:b/>
                <w:sz w:val="20"/>
              </w:rPr>
            </w:pPr>
            <w:r>
              <w:rPr>
                <w:b/>
                <w:sz w:val="20"/>
              </w:rPr>
              <w:t>ogdpman</w:t>
            </w:r>
          </w:p>
        </w:tc>
        <w:tc>
          <w:tcPr>
            <w:tcW w:w="1596" w:type="dxa"/>
          </w:tcPr>
          <w:p w14:paraId="1B7B8E45" w14:textId="77777777" w:rsidR="0046798B" w:rsidRDefault="00903B5C">
            <w:pPr>
              <w:pStyle w:val="TableParagraph"/>
              <w:spacing w:before="43"/>
              <w:ind w:left="114" w:right="235"/>
              <w:rPr>
                <w:sz w:val="20"/>
              </w:rPr>
            </w:pPr>
            <w:r>
              <w:rPr>
                <w:sz w:val="20"/>
              </w:rPr>
              <w:t>Real GDP, manufacturing, millions of</w:t>
            </w:r>
          </w:p>
        </w:tc>
        <w:tc>
          <w:tcPr>
            <w:tcW w:w="1285" w:type="dxa"/>
          </w:tcPr>
          <w:p w14:paraId="6E0DA389" w14:textId="77777777" w:rsidR="0046798B" w:rsidRDefault="0046798B">
            <w:pPr>
              <w:pStyle w:val="TableParagraph"/>
              <w:spacing w:before="8"/>
              <w:rPr>
                <w:sz w:val="23"/>
              </w:rPr>
            </w:pPr>
          </w:p>
          <w:p w14:paraId="1C47C0FF" w14:textId="77777777" w:rsidR="0046798B" w:rsidRDefault="00903B5C">
            <w:pPr>
              <w:pStyle w:val="TableParagraph"/>
              <w:spacing w:before="1"/>
              <w:ind w:left="114"/>
              <w:rPr>
                <w:sz w:val="20"/>
              </w:rPr>
            </w:pPr>
            <w:r>
              <w:rPr>
                <w:sz w:val="20"/>
              </w:rPr>
              <w:t>2001–2016</w:t>
            </w:r>
          </w:p>
        </w:tc>
        <w:tc>
          <w:tcPr>
            <w:tcW w:w="3421" w:type="dxa"/>
          </w:tcPr>
          <w:p w14:paraId="07C3C4CA" w14:textId="77777777" w:rsidR="0046798B" w:rsidRDefault="00903B5C">
            <w:pPr>
              <w:pStyle w:val="TableParagraph"/>
              <w:spacing w:before="158"/>
              <w:ind w:left="114"/>
              <w:rPr>
                <w:sz w:val="20"/>
              </w:rPr>
            </w:pPr>
            <w:r>
              <w:rPr>
                <w:sz w:val="20"/>
              </w:rPr>
              <w:t>Real GDP, manufacturing, millions of chained 2009 dollars</w:t>
            </w:r>
          </w:p>
        </w:tc>
        <w:tc>
          <w:tcPr>
            <w:tcW w:w="6482" w:type="dxa"/>
          </w:tcPr>
          <w:p w14:paraId="7C613E2A" w14:textId="77777777" w:rsidR="0046798B" w:rsidRDefault="00903B5C">
            <w:pPr>
              <w:pStyle w:val="TableParagraph"/>
              <w:spacing w:before="4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01ECBE6E" w14:textId="77777777" w:rsidR="0046798B" w:rsidRDefault="0046798B">
      <w:pPr>
        <w:rPr>
          <w:sz w:val="20"/>
        </w:rPr>
        <w:sectPr w:rsidR="0046798B">
          <w:pgSz w:w="15840" w:h="12240" w:orient="landscape"/>
          <w:pgMar w:top="1220" w:right="300" w:bottom="980" w:left="820" w:header="730" w:footer="787" w:gutter="0"/>
          <w:cols w:space="720"/>
        </w:sectPr>
      </w:pPr>
    </w:p>
    <w:p w14:paraId="72523A9B"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3F23111" w14:textId="77777777">
        <w:trPr>
          <w:trHeight w:val="542"/>
        </w:trPr>
        <w:tc>
          <w:tcPr>
            <w:tcW w:w="1711" w:type="dxa"/>
            <w:tcBorders>
              <w:bottom w:val="dotted" w:sz="6" w:space="0" w:color="BEBEBE"/>
            </w:tcBorders>
          </w:tcPr>
          <w:p w14:paraId="579F3270" w14:textId="77777777" w:rsidR="0046798B" w:rsidRDefault="0046798B">
            <w:pPr>
              <w:pStyle w:val="TableParagraph"/>
              <w:rPr>
                <w:sz w:val="20"/>
              </w:rPr>
            </w:pPr>
          </w:p>
        </w:tc>
        <w:tc>
          <w:tcPr>
            <w:tcW w:w="1596" w:type="dxa"/>
            <w:tcBorders>
              <w:bottom w:val="dotted" w:sz="6" w:space="0" w:color="BEBEBE"/>
            </w:tcBorders>
          </w:tcPr>
          <w:p w14:paraId="115ED346" w14:textId="77777777" w:rsidR="0046798B" w:rsidRDefault="00903B5C">
            <w:pPr>
              <w:pStyle w:val="TableParagraph"/>
              <w:spacing w:before="43"/>
              <w:ind w:left="114" w:right="380"/>
              <w:rPr>
                <w:sz w:val="20"/>
              </w:rPr>
            </w:pPr>
            <w:r>
              <w:rPr>
                <w:sz w:val="20"/>
              </w:rPr>
              <w:t>chained 2009 dollars</w:t>
            </w:r>
          </w:p>
        </w:tc>
        <w:tc>
          <w:tcPr>
            <w:tcW w:w="1285" w:type="dxa"/>
            <w:tcBorders>
              <w:bottom w:val="dotted" w:sz="6" w:space="0" w:color="BEBEBE"/>
            </w:tcBorders>
          </w:tcPr>
          <w:p w14:paraId="7DDBDD12" w14:textId="77777777" w:rsidR="0046798B" w:rsidRDefault="0046798B">
            <w:pPr>
              <w:pStyle w:val="TableParagraph"/>
              <w:rPr>
                <w:sz w:val="20"/>
              </w:rPr>
            </w:pPr>
          </w:p>
        </w:tc>
        <w:tc>
          <w:tcPr>
            <w:tcW w:w="3421" w:type="dxa"/>
            <w:tcBorders>
              <w:bottom w:val="dotted" w:sz="6" w:space="0" w:color="BEBEBE"/>
            </w:tcBorders>
          </w:tcPr>
          <w:p w14:paraId="76BD0807" w14:textId="77777777" w:rsidR="0046798B" w:rsidRDefault="0046798B">
            <w:pPr>
              <w:pStyle w:val="TableParagraph"/>
              <w:rPr>
                <w:sz w:val="20"/>
              </w:rPr>
            </w:pPr>
          </w:p>
        </w:tc>
        <w:tc>
          <w:tcPr>
            <w:tcW w:w="6482" w:type="dxa"/>
            <w:tcBorders>
              <w:bottom w:val="dotted" w:sz="6" w:space="0" w:color="BEBEBE"/>
            </w:tcBorders>
          </w:tcPr>
          <w:p w14:paraId="4CE9E48F" w14:textId="77777777" w:rsidR="0046798B" w:rsidRDefault="0046798B">
            <w:pPr>
              <w:pStyle w:val="TableParagraph"/>
              <w:rPr>
                <w:sz w:val="20"/>
              </w:rPr>
            </w:pPr>
          </w:p>
        </w:tc>
      </w:tr>
      <w:tr w:rsidR="0046798B" w14:paraId="17099D0D" w14:textId="77777777">
        <w:trPr>
          <w:trHeight w:val="772"/>
        </w:trPr>
        <w:tc>
          <w:tcPr>
            <w:tcW w:w="1711" w:type="dxa"/>
            <w:tcBorders>
              <w:top w:val="dotted" w:sz="6" w:space="0" w:color="BEBEBE"/>
            </w:tcBorders>
          </w:tcPr>
          <w:p w14:paraId="3D514154" w14:textId="77777777" w:rsidR="0046798B" w:rsidRDefault="0046798B">
            <w:pPr>
              <w:pStyle w:val="TableParagraph"/>
              <w:spacing w:before="6"/>
              <w:rPr>
                <w:sz w:val="23"/>
              </w:rPr>
            </w:pPr>
          </w:p>
          <w:p w14:paraId="7143F96C" w14:textId="77777777" w:rsidR="0046798B" w:rsidRDefault="00903B5C">
            <w:pPr>
              <w:pStyle w:val="TableParagraph"/>
              <w:ind w:left="115"/>
              <w:rPr>
                <w:b/>
                <w:sz w:val="20"/>
              </w:rPr>
            </w:pPr>
            <w:r>
              <w:rPr>
                <w:b/>
                <w:sz w:val="20"/>
              </w:rPr>
              <w:t>ogdppc</w:t>
            </w:r>
          </w:p>
        </w:tc>
        <w:tc>
          <w:tcPr>
            <w:tcW w:w="1596" w:type="dxa"/>
            <w:tcBorders>
              <w:top w:val="dotted" w:sz="6" w:space="0" w:color="BEBEBE"/>
            </w:tcBorders>
          </w:tcPr>
          <w:p w14:paraId="57C49021" w14:textId="77777777" w:rsidR="0046798B" w:rsidRDefault="00903B5C">
            <w:pPr>
              <w:pStyle w:val="TableParagraph"/>
              <w:spacing w:before="40"/>
              <w:ind w:left="114" w:right="85"/>
              <w:rPr>
                <w:sz w:val="20"/>
              </w:rPr>
            </w:pPr>
            <w:r>
              <w:rPr>
                <w:sz w:val="20"/>
              </w:rPr>
              <w:t>Real GDP per capita, excluding legal services</w:t>
            </w:r>
          </w:p>
        </w:tc>
        <w:tc>
          <w:tcPr>
            <w:tcW w:w="1285" w:type="dxa"/>
            <w:tcBorders>
              <w:top w:val="dotted" w:sz="6" w:space="0" w:color="BEBEBE"/>
            </w:tcBorders>
          </w:tcPr>
          <w:p w14:paraId="2ADA3169" w14:textId="77777777" w:rsidR="0046798B" w:rsidRDefault="0046798B">
            <w:pPr>
              <w:pStyle w:val="TableParagraph"/>
              <w:spacing w:before="6"/>
              <w:rPr>
                <w:sz w:val="23"/>
              </w:rPr>
            </w:pPr>
          </w:p>
          <w:p w14:paraId="0FA64072" w14:textId="77777777" w:rsidR="0046798B" w:rsidRDefault="00903B5C">
            <w:pPr>
              <w:pStyle w:val="TableParagraph"/>
              <w:ind w:left="114"/>
              <w:rPr>
                <w:sz w:val="20"/>
              </w:rPr>
            </w:pPr>
            <w:r>
              <w:rPr>
                <w:sz w:val="20"/>
              </w:rPr>
              <w:t>2001–2015</w:t>
            </w:r>
          </w:p>
        </w:tc>
        <w:tc>
          <w:tcPr>
            <w:tcW w:w="3421" w:type="dxa"/>
            <w:tcBorders>
              <w:top w:val="dotted" w:sz="6" w:space="0" w:color="BEBEBE"/>
            </w:tcBorders>
          </w:tcPr>
          <w:p w14:paraId="78030AD6" w14:textId="77777777" w:rsidR="0046798B" w:rsidRDefault="00903B5C">
            <w:pPr>
              <w:pStyle w:val="TableParagraph"/>
              <w:spacing w:before="155"/>
              <w:ind w:left="114" w:right="300"/>
              <w:rPr>
                <w:sz w:val="20"/>
              </w:rPr>
            </w:pPr>
            <w:r>
              <w:rPr>
                <w:sz w:val="20"/>
              </w:rPr>
              <w:t>Real GDP per capita, excluding legal services</w:t>
            </w:r>
          </w:p>
        </w:tc>
        <w:tc>
          <w:tcPr>
            <w:tcW w:w="6482" w:type="dxa"/>
            <w:tcBorders>
              <w:top w:val="dotted" w:sz="6" w:space="0" w:color="BEBEBE"/>
            </w:tcBorders>
          </w:tcPr>
          <w:p w14:paraId="27C3A124" w14:textId="77777777" w:rsidR="0046798B" w:rsidRDefault="00903B5C">
            <w:pPr>
              <w:pStyle w:val="TableParagraph"/>
              <w:spacing w:before="40"/>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935B6B7" w14:textId="77777777">
        <w:trPr>
          <w:trHeight w:val="780"/>
        </w:trPr>
        <w:tc>
          <w:tcPr>
            <w:tcW w:w="1711" w:type="dxa"/>
          </w:tcPr>
          <w:p w14:paraId="66DAAD53" w14:textId="77777777" w:rsidR="0046798B" w:rsidRDefault="0046798B">
            <w:pPr>
              <w:pStyle w:val="TableParagraph"/>
              <w:spacing w:before="9"/>
              <w:rPr>
                <w:sz w:val="23"/>
              </w:rPr>
            </w:pPr>
          </w:p>
          <w:p w14:paraId="6E382C6E" w14:textId="77777777" w:rsidR="0046798B" w:rsidRDefault="00903B5C">
            <w:pPr>
              <w:pStyle w:val="TableParagraph"/>
              <w:ind w:left="115"/>
              <w:rPr>
                <w:b/>
                <w:sz w:val="20"/>
              </w:rPr>
            </w:pPr>
            <w:r>
              <w:rPr>
                <w:b/>
                <w:sz w:val="20"/>
              </w:rPr>
              <w:t>olegal</w:t>
            </w:r>
          </w:p>
        </w:tc>
        <w:tc>
          <w:tcPr>
            <w:tcW w:w="1596" w:type="dxa"/>
          </w:tcPr>
          <w:p w14:paraId="7C0D6BA6" w14:textId="77777777" w:rsidR="0046798B" w:rsidRDefault="00903B5C">
            <w:pPr>
              <w:pStyle w:val="TableParagraph"/>
              <w:spacing w:before="159"/>
              <w:ind w:left="114" w:right="302"/>
              <w:rPr>
                <w:sz w:val="20"/>
              </w:rPr>
            </w:pPr>
            <w:r>
              <w:rPr>
                <w:sz w:val="20"/>
              </w:rPr>
              <w:t>Legal services share of GDP</w:t>
            </w:r>
          </w:p>
        </w:tc>
        <w:tc>
          <w:tcPr>
            <w:tcW w:w="1285" w:type="dxa"/>
          </w:tcPr>
          <w:p w14:paraId="29E7AA87" w14:textId="77777777" w:rsidR="0046798B" w:rsidRDefault="0046798B">
            <w:pPr>
              <w:pStyle w:val="TableParagraph"/>
              <w:spacing w:before="9"/>
              <w:rPr>
                <w:sz w:val="23"/>
              </w:rPr>
            </w:pPr>
          </w:p>
          <w:p w14:paraId="3785D42F" w14:textId="77777777" w:rsidR="0046798B" w:rsidRDefault="00903B5C">
            <w:pPr>
              <w:pStyle w:val="TableParagraph"/>
              <w:ind w:left="114"/>
              <w:rPr>
                <w:sz w:val="20"/>
              </w:rPr>
            </w:pPr>
            <w:r>
              <w:rPr>
                <w:sz w:val="20"/>
              </w:rPr>
              <w:t>2001–2015</w:t>
            </w:r>
          </w:p>
        </w:tc>
        <w:tc>
          <w:tcPr>
            <w:tcW w:w="3421" w:type="dxa"/>
          </w:tcPr>
          <w:p w14:paraId="2429F26E" w14:textId="77777777" w:rsidR="0046798B" w:rsidRDefault="00903B5C">
            <w:pPr>
              <w:pStyle w:val="TableParagraph"/>
              <w:spacing w:before="159"/>
              <w:ind w:left="114" w:right="205"/>
              <w:rPr>
                <w:sz w:val="20"/>
              </w:rPr>
            </w:pPr>
            <w:r>
              <w:rPr>
                <w:sz w:val="20"/>
              </w:rPr>
              <w:t>Legal services share of GDP (olegalgdp / ogdp)</w:t>
            </w:r>
          </w:p>
        </w:tc>
        <w:tc>
          <w:tcPr>
            <w:tcW w:w="6482" w:type="dxa"/>
          </w:tcPr>
          <w:p w14:paraId="78463A41" w14:textId="77777777" w:rsidR="0046798B" w:rsidRDefault="00903B5C">
            <w:pPr>
              <w:pStyle w:val="TableParagraph"/>
              <w:spacing w:before="4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84D5003" w14:textId="77777777">
        <w:trPr>
          <w:trHeight w:val="1235"/>
        </w:trPr>
        <w:tc>
          <w:tcPr>
            <w:tcW w:w="1711" w:type="dxa"/>
          </w:tcPr>
          <w:p w14:paraId="5CAF61EC" w14:textId="77777777" w:rsidR="0046798B" w:rsidRDefault="0046798B">
            <w:pPr>
              <w:pStyle w:val="TableParagraph"/>
            </w:pPr>
          </w:p>
          <w:p w14:paraId="4F4C7399" w14:textId="77777777" w:rsidR="0046798B" w:rsidRDefault="0046798B">
            <w:pPr>
              <w:pStyle w:val="TableParagraph"/>
              <w:spacing w:before="3"/>
              <w:rPr>
                <w:sz w:val="21"/>
              </w:rPr>
            </w:pPr>
          </w:p>
          <w:p w14:paraId="42FB9EC1" w14:textId="77777777" w:rsidR="0046798B" w:rsidRDefault="00903B5C">
            <w:pPr>
              <w:pStyle w:val="TableParagraph"/>
              <w:spacing w:before="1"/>
              <w:ind w:left="115"/>
              <w:rPr>
                <w:b/>
                <w:sz w:val="20"/>
              </w:rPr>
            </w:pPr>
            <w:r>
              <w:rPr>
                <w:b/>
                <w:sz w:val="20"/>
              </w:rPr>
              <w:t>olegalgdp</w:t>
            </w:r>
          </w:p>
        </w:tc>
        <w:tc>
          <w:tcPr>
            <w:tcW w:w="1596" w:type="dxa"/>
          </w:tcPr>
          <w:p w14:paraId="4A063AB6" w14:textId="77777777" w:rsidR="0046798B" w:rsidRDefault="00903B5C">
            <w:pPr>
              <w:pStyle w:val="TableParagraph"/>
              <w:spacing w:before="38"/>
              <w:ind w:left="114" w:right="146"/>
              <w:rPr>
                <w:sz w:val="20"/>
              </w:rPr>
            </w:pPr>
            <w:r>
              <w:rPr>
                <w:sz w:val="20"/>
              </w:rPr>
              <w:t>Real GDP, legal services, millions of chained 2009 dollars</w:t>
            </w:r>
          </w:p>
        </w:tc>
        <w:tc>
          <w:tcPr>
            <w:tcW w:w="1285" w:type="dxa"/>
          </w:tcPr>
          <w:p w14:paraId="6C0747D5" w14:textId="77777777" w:rsidR="0046798B" w:rsidRDefault="0046798B">
            <w:pPr>
              <w:pStyle w:val="TableParagraph"/>
            </w:pPr>
          </w:p>
          <w:p w14:paraId="6E5BAFE9" w14:textId="77777777" w:rsidR="0046798B" w:rsidRDefault="0046798B">
            <w:pPr>
              <w:pStyle w:val="TableParagraph"/>
              <w:spacing w:before="3"/>
              <w:rPr>
                <w:sz w:val="21"/>
              </w:rPr>
            </w:pPr>
          </w:p>
          <w:p w14:paraId="4E786F76" w14:textId="77777777" w:rsidR="0046798B" w:rsidRDefault="00903B5C">
            <w:pPr>
              <w:pStyle w:val="TableParagraph"/>
              <w:spacing w:before="1"/>
              <w:ind w:left="114"/>
              <w:rPr>
                <w:sz w:val="20"/>
              </w:rPr>
            </w:pPr>
            <w:r>
              <w:rPr>
                <w:sz w:val="20"/>
              </w:rPr>
              <w:t>2001–2015</w:t>
            </w:r>
          </w:p>
        </w:tc>
        <w:tc>
          <w:tcPr>
            <w:tcW w:w="3421" w:type="dxa"/>
          </w:tcPr>
          <w:p w14:paraId="7D58D868" w14:textId="77777777" w:rsidR="0046798B" w:rsidRDefault="0046798B">
            <w:pPr>
              <w:pStyle w:val="TableParagraph"/>
            </w:pPr>
          </w:p>
          <w:p w14:paraId="5473061D" w14:textId="77777777" w:rsidR="0046798B" w:rsidRDefault="00903B5C">
            <w:pPr>
              <w:pStyle w:val="TableParagraph"/>
              <w:spacing w:before="130"/>
              <w:ind w:left="114" w:right="305"/>
              <w:rPr>
                <w:sz w:val="20"/>
              </w:rPr>
            </w:pPr>
            <w:r>
              <w:rPr>
                <w:sz w:val="20"/>
              </w:rPr>
              <w:t>Real GDP, legal services, millions of chained 2009 dollars</w:t>
            </w:r>
          </w:p>
        </w:tc>
        <w:tc>
          <w:tcPr>
            <w:tcW w:w="6482" w:type="dxa"/>
          </w:tcPr>
          <w:p w14:paraId="5BBE7BF2" w14:textId="77777777" w:rsidR="0046798B" w:rsidRDefault="0046798B">
            <w:pPr>
              <w:pStyle w:val="TableParagraph"/>
              <w:spacing w:before="3"/>
              <w:rPr>
                <w:sz w:val="23"/>
              </w:rPr>
            </w:pPr>
          </w:p>
          <w:p w14:paraId="35A5E4F5"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09036819" w14:textId="77777777" w:rsidR="0046798B" w:rsidRDefault="0046798B">
      <w:pPr>
        <w:pStyle w:val="BodyText"/>
        <w:spacing w:before="0"/>
        <w:rPr>
          <w:sz w:val="20"/>
        </w:rPr>
      </w:pPr>
    </w:p>
    <w:p w14:paraId="62BD34DD" w14:textId="77777777" w:rsidR="0046798B" w:rsidRDefault="0046798B">
      <w:pPr>
        <w:pStyle w:val="BodyText"/>
        <w:spacing w:before="1"/>
        <w:rPr>
          <w:sz w:val="20"/>
        </w:rPr>
      </w:pPr>
    </w:p>
    <w:p w14:paraId="0FA1DB74" w14:textId="77777777" w:rsidR="0046798B" w:rsidRDefault="00903B5C">
      <w:pPr>
        <w:pStyle w:val="ListParagraph"/>
        <w:numPr>
          <w:ilvl w:val="0"/>
          <w:numId w:val="10"/>
        </w:numPr>
        <w:tabs>
          <w:tab w:val="left" w:pos="901"/>
        </w:tabs>
        <w:spacing w:before="90"/>
        <w:ind w:left="900" w:hanging="280"/>
        <w:rPr>
          <w:b/>
          <w:sz w:val="24"/>
        </w:rPr>
      </w:pPr>
      <w:r>
        <w:rPr>
          <w:b/>
          <w:sz w:val="24"/>
          <w:u w:val="single"/>
        </w:rPr>
        <w:t>Tax</w:t>
      </w:r>
      <w:r>
        <w:rPr>
          <w:b/>
          <w:spacing w:val="-2"/>
          <w:sz w:val="24"/>
          <w:u w:val="single"/>
        </w:rPr>
        <w:t xml:space="preserve"> </w:t>
      </w:r>
      <w:r>
        <w:rPr>
          <w:b/>
          <w:sz w:val="24"/>
          <w:u w:val="single"/>
        </w:rPr>
        <w:t>Policy</w:t>
      </w:r>
    </w:p>
    <w:p w14:paraId="4F6CAA76" w14:textId="77777777" w:rsidR="0046798B" w:rsidRDefault="0046798B">
      <w:pPr>
        <w:pStyle w:val="BodyText"/>
        <w:spacing w:before="2"/>
        <w:rPr>
          <w:b/>
          <w:sz w:val="24"/>
        </w:rPr>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606D205E" w14:textId="77777777">
        <w:trPr>
          <w:trHeight w:val="590"/>
        </w:trPr>
        <w:tc>
          <w:tcPr>
            <w:tcW w:w="1711" w:type="dxa"/>
          </w:tcPr>
          <w:p w14:paraId="16D448FC" w14:textId="77777777" w:rsidR="0046798B" w:rsidRDefault="00903B5C">
            <w:pPr>
              <w:pStyle w:val="TableParagraph"/>
              <w:spacing w:before="164"/>
              <w:ind w:left="140"/>
              <w:rPr>
                <w:b/>
              </w:rPr>
            </w:pPr>
            <w:r>
              <w:rPr>
                <w:b/>
              </w:rPr>
              <w:t>Variable Name</w:t>
            </w:r>
          </w:p>
        </w:tc>
        <w:tc>
          <w:tcPr>
            <w:tcW w:w="1596" w:type="dxa"/>
          </w:tcPr>
          <w:p w14:paraId="6900B666" w14:textId="77777777" w:rsidR="0046798B" w:rsidRDefault="00903B5C">
            <w:pPr>
              <w:pStyle w:val="TableParagraph"/>
              <w:spacing w:before="41" w:line="237" w:lineRule="auto"/>
              <w:ind w:left="249" w:right="229" w:firstLine="280"/>
              <w:rPr>
                <w:b/>
              </w:rPr>
            </w:pPr>
            <w:r>
              <w:rPr>
                <w:b/>
              </w:rPr>
              <w:t>Short Description</w:t>
            </w:r>
          </w:p>
        </w:tc>
        <w:tc>
          <w:tcPr>
            <w:tcW w:w="1285" w:type="dxa"/>
          </w:tcPr>
          <w:p w14:paraId="5B625280" w14:textId="77777777" w:rsidR="0046798B" w:rsidRDefault="00903B5C">
            <w:pPr>
              <w:pStyle w:val="TableParagraph"/>
              <w:spacing w:before="164"/>
              <w:ind w:left="364"/>
              <w:rPr>
                <w:b/>
              </w:rPr>
            </w:pPr>
            <w:r>
              <w:rPr>
                <w:b/>
              </w:rPr>
              <w:t>Years</w:t>
            </w:r>
          </w:p>
        </w:tc>
        <w:tc>
          <w:tcPr>
            <w:tcW w:w="3421" w:type="dxa"/>
          </w:tcPr>
          <w:p w14:paraId="6603E478" w14:textId="77777777" w:rsidR="0046798B" w:rsidRDefault="00903B5C">
            <w:pPr>
              <w:pStyle w:val="TableParagraph"/>
              <w:spacing w:before="39" w:line="251" w:lineRule="exact"/>
              <w:ind w:left="159" w:right="146"/>
              <w:jc w:val="center"/>
              <w:rPr>
                <w:b/>
              </w:rPr>
            </w:pPr>
            <w:r>
              <w:rPr>
                <w:b/>
              </w:rPr>
              <w:t>Coding /</w:t>
            </w:r>
          </w:p>
          <w:p w14:paraId="3E60C5FB" w14:textId="77777777" w:rsidR="0046798B" w:rsidRDefault="00903B5C">
            <w:pPr>
              <w:pStyle w:val="TableParagraph"/>
              <w:spacing w:line="251" w:lineRule="exact"/>
              <w:ind w:left="159" w:right="150"/>
              <w:jc w:val="center"/>
              <w:rPr>
                <w:b/>
              </w:rPr>
            </w:pPr>
            <w:r>
              <w:rPr>
                <w:b/>
              </w:rPr>
              <w:t>Longer Description (if available)</w:t>
            </w:r>
          </w:p>
        </w:tc>
        <w:tc>
          <w:tcPr>
            <w:tcW w:w="6482" w:type="dxa"/>
          </w:tcPr>
          <w:p w14:paraId="219807BA" w14:textId="77777777" w:rsidR="0046798B" w:rsidRDefault="00903B5C">
            <w:pPr>
              <w:pStyle w:val="TableParagraph"/>
              <w:spacing w:before="164"/>
              <w:ind w:left="2852" w:right="2845"/>
              <w:jc w:val="center"/>
              <w:rPr>
                <w:b/>
              </w:rPr>
            </w:pPr>
            <w:r>
              <w:rPr>
                <w:b/>
              </w:rPr>
              <w:t>Sources</w:t>
            </w:r>
          </w:p>
        </w:tc>
      </w:tr>
      <w:tr w:rsidR="0046798B" w14:paraId="6BB7130E" w14:textId="77777777">
        <w:trPr>
          <w:trHeight w:val="775"/>
        </w:trPr>
        <w:tc>
          <w:tcPr>
            <w:tcW w:w="1711" w:type="dxa"/>
          </w:tcPr>
          <w:p w14:paraId="557FA005" w14:textId="77777777" w:rsidR="0046798B" w:rsidRDefault="0046798B">
            <w:pPr>
              <w:pStyle w:val="TableParagraph"/>
              <w:spacing w:before="9"/>
              <w:rPr>
                <w:b/>
                <w:sz w:val="23"/>
              </w:rPr>
            </w:pPr>
          </w:p>
          <w:p w14:paraId="1C2AD2E9" w14:textId="77777777" w:rsidR="0046798B" w:rsidRDefault="00903B5C">
            <w:pPr>
              <w:pStyle w:val="TableParagraph"/>
              <w:ind w:left="115"/>
              <w:rPr>
                <w:b/>
                <w:sz w:val="20"/>
              </w:rPr>
            </w:pPr>
            <w:r>
              <w:rPr>
                <w:b/>
                <w:sz w:val="20"/>
              </w:rPr>
              <w:t>jobtaxcredit</w:t>
            </w:r>
          </w:p>
        </w:tc>
        <w:tc>
          <w:tcPr>
            <w:tcW w:w="1596" w:type="dxa"/>
          </w:tcPr>
          <w:p w14:paraId="31E9E81F" w14:textId="77777777" w:rsidR="0046798B" w:rsidRDefault="00903B5C">
            <w:pPr>
              <w:pStyle w:val="TableParagraph"/>
              <w:spacing w:before="159"/>
              <w:ind w:left="114" w:right="135"/>
              <w:rPr>
                <w:sz w:val="20"/>
              </w:rPr>
            </w:pPr>
            <w:r>
              <w:rPr>
                <w:sz w:val="20"/>
              </w:rPr>
              <w:t>Tax incentives for job creation</w:t>
            </w:r>
          </w:p>
        </w:tc>
        <w:tc>
          <w:tcPr>
            <w:tcW w:w="1285" w:type="dxa"/>
          </w:tcPr>
          <w:p w14:paraId="757ABEEE" w14:textId="77777777" w:rsidR="0046798B" w:rsidRDefault="0046798B">
            <w:pPr>
              <w:pStyle w:val="TableParagraph"/>
              <w:spacing w:before="9"/>
              <w:rPr>
                <w:b/>
                <w:sz w:val="23"/>
              </w:rPr>
            </w:pPr>
          </w:p>
          <w:p w14:paraId="00FBB038" w14:textId="77777777" w:rsidR="0046798B" w:rsidRDefault="00903B5C">
            <w:pPr>
              <w:pStyle w:val="TableParagraph"/>
              <w:ind w:left="114"/>
              <w:rPr>
                <w:sz w:val="20"/>
              </w:rPr>
            </w:pPr>
            <w:r>
              <w:rPr>
                <w:sz w:val="20"/>
              </w:rPr>
              <w:t>2016</w:t>
            </w:r>
          </w:p>
        </w:tc>
        <w:tc>
          <w:tcPr>
            <w:tcW w:w="3421" w:type="dxa"/>
          </w:tcPr>
          <w:p w14:paraId="52A3FC48" w14:textId="77777777" w:rsidR="0046798B" w:rsidRDefault="00903B5C">
            <w:pPr>
              <w:pStyle w:val="TableParagraph"/>
              <w:spacing w:before="44"/>
              <w:ind w:left="114" w:right="360"/>
              <w:jc w:val="both"/>
              <w:rPr>
                <w:sz w:val="20"/>
              </w:rPr>
            </w:pPr>
            <w:r>
              <w:rPr>
                <w:sz w:val="20"/>
              </w:rPr>
              <w:t>Does the state offer tax incentives or credits for job creation? (0 = no, 1 = yes)</w:t>
            </w:r>
          </w:p>
        </w:tc>
        <w:tc>
          <w:tcPr>
            <w:tcW w:w="6482" w:type="dxa"/>
          </w:tcPr>
          <w:p w14:paraId="781228E0" w14:textId="77777777" w:rsidR="0046798B" w:rsidRDefault="00903B5C">
            <w:pPr>
              <w:pStyle w:val="TableParagraph"/>
              <w:spacing w:before="44"/>
              <w:ind w:left="114" w:right="370"/>
              <w:jc w:val="both"/>
              <w:rPr>
                <w:sz w:val="20"/>
              </w:rPr>
            </w:pPr>
            <w:r>
              <w:rPr>
                <w:sz w:val="20"/>
              </w:rPr>
              <w:t xml:space="preserve">Francis, Norton. 2016. “State Tax Incentives for Economic Development.” The Urban Institute. </w:t>
            </w:r>
            <w:hyperlink r:id="rId364">
              <w:r>
                <w:rPr>
                  <w:color w:val="0462C1"/>
                  <w:sz w:val="20"/>
                  <w:u w:val="single" w:color="0462C1"/>
                </w:rPr>
                <w:t>https://www.urban.org/research/publication/state-tax-</w:t>
              </w:r>
            </w:hyperlink>
            <w:r>
              <w:rPr>
                <w:color w:val="0462C1"/>
                <w:sz w:val="20"/>
              </w:rPr>
              <w:t xml:space="preserve"> </w:t>
            </w:r>
            <w:hyperlink r:id="rId365">
              <w:r>
                <w:rPr>
                  <w:color w:val="0462C1"/>
                  <w:sz w:val="20"/>
                  <w:u w:val="single" w:color="0462C1"/>
                </w:rPr>
                <w:t>incentives-economic-development</w:t>
              </w:r>
            </w:hyperlink>
          </w:p>
        </w:tc>
      </w:tr>
      <w:tr w:rsidR="0046798B" w14:paraId="2DC0421E" w14:textId="77777777">
        <w:trPr>
          <w:trHeight w:val="775"/>
        </w:trPr>
        <w:tc>
          <w:tcPr>
            <w:tcW w:w="1711" w:type="dxa"/>
          </w:tcPr>
          <w:p w14:paraId="6962FFB0" w14:textId="77777777" w:rsidR="0046798B" w:rsidRDefault="0046798B">
            <w:pPr>
              <w:pStyle w:val="TableParagraph"/>
              <w:spacing w:before="8"/>
              <w:rPr>
                <w:b/>
                <w:sz w:val="23"/>
              </w:rPr>
            </w:pPr>
          </w:p>
          <w:p w14:paraId="15F7E9AB" w14:textId="77777777" w:rsidR="0046798B" w:rsidRDefault="00903B5C">
            <w:pPr>
              <w:pStyle w:val="TableParagraph"/>
              <w:spacing w:before="1"/>
              <w:ind w:left="115"/>
              <w:rPr>
                <w:b/>
                <w:sz w:val="20"/>
              </w:rPr>
            </w:pPr>
            <w:r>
              <w:rPr>
                <w:b/>
                <w:sz w:val="20"/>
              </w:rPr>
              <w:t>investtaxcredit</w:t>
            </w:r>
          </w:p>
        </w:tc>
        <w:tc>
          <w:tcPr>
            <w:tcW w:w="1596" w:type="dxa"/>
          </w:tcPr>
          <w:p w14:paraId="62CBF9B8" w14:textId="77777777" w:rsidR="0046798B" w:rsidRDefault="00903B5C">
            <w:pPr>
              <w:pStyle w:val="TableParagraph"/>
              <w:spacing w:before="158"/>
              <w:ind w:left="114" w:right="280"/>
              <w:rPr>
                <w:sz w:val="20"/>
              </w:rPr>
            </w:pPr>
            <w:r>
              <w:rPr>
                <w:sz w:val="20"/>
              </w:rPr>
              <w:t>Tax incentives for investment</w:t>
            </w:r>
          </w:p>
        </w:tc>
        <w:tc>
          <w:tcPr>
            <w:tcW w:w="1285" w:type="dxa"/>
          </w:tcPr>
          <w:p w14:paraId="4637F550" w14:textId="77777777" w:rsidR="0046798B" w:rsidRDefault="0046798B">
            <w:pPr>
              <w:pStyle w:val="TableParagraph"/>
              <w:spacing w:before="8"/>
              <w:rPr>
                <w:b/>
                <w:sz w:val="23"/>
              </w:rPr>
            </w:pPr>
          </w:p>
          <w:p w14:paraId="6BCAE65C" w14:textId="77777777" w:rsidR="0046798B" w:rsidRDefault="00903B5C">
            <w:pPr>
              <w:pStyle w:val="TableParagraph"/>
              <w:spacing w:before="1"/>
              <w:ind w:left="114"/>
              <w:rPr>
                <w:sz w:val="20"/>
              </w:rPr>
            </w:pPr>
            <w:r>
              <w:rPr>
                <w:sz w:val="20"/>
              </w:rPr>
              <w:t>2016</w:t>
            </w:r>
          </w:p>
        </w:tc>
        <w:tc>
          <w:tcPr>
            <w:tcW w:w="3421" w:type="dxa"/>
          </w:tcPr>
          <w:p w14:paraId="61F451A1" w14:textId="77777777" w:rsidR="0046798B" w:rsidRDefault="00903B5C">
            <w:pPr>
              <w:pStyle w:val="TableParagraph"/>
              <w:spacing w:before="43"/>
              <w:ind w:left="114" w:right="344"/>
              <w:rPr>
                <w:sz w:val="20"/>
              </w:rPr>
            </w:pPr>
            <w:r>
              <w:rPr>
                <w:sz w:val="20"/>
              </w:rPr>
              <w:t>Does the state offer tax incentives or credits for investment? (0 = no, 1 = yes)</w:t>
            </w:r>
          </w:p>
        </w:tc>
        <w:tc>
          <w:tcPr>
            <w:tcW w:w="6482" w:type="dxa"/>
          </w:tcPr>
          <w:p w14:paraId="74EC7137" w14:textId="77777777" w:rsidR="0046798B" w:rsidRDefault="00903B5C">
            <w:pPr>
              <w:pStyle w:val="TableParagraph"/>
              <w:spacing w:before="43"/>
              <w:ind w:left="114" w:right="370"/>
              <w:jc w:val="both"/>
              <w:rPr>
                <w:sz w:val="20"/>
              </w:rPr>
            </w:pPr>
            <w:r>
              <w:rPr>
                <w:sz w:val="20"/>
              </w:rPr>
              <w:t xml:space="preserve">Francis, Norton. 2016. “State Tax Incentives for Economic Development.” The Urban Institute. </w:t>
            </w:r>
            <w:hyperlink r:id="rId366">
              <w:r>
                <w:rPr>
                  <w:color w:val="0462C1"/>
                  <w:sz w:val="20"/>
                  <w:u w:val="single" w:color="0462C1"/>
                </w:rPr>
                <w:t>https://www.urban.org/research/publication/state-tax-</w:t>
              </w:r>
            </w:hyperlink>
            <w:r>
              <w:rPr>
                <w:color w:val="0462C1"/>
                <w:sz w:val="20"/>
              </w:rPr>
              <w:t xml:space="preserve"> </w:t>
            </w:r>
            <w:hyperlink r:id="rId367">
              <w:r>
                <w:rPr>
                  <w:color w:val="0462C1"/>
                  <w:sz w:val="20"/>
                  <w:u w:val="single" w:color="0462C1"/>
                </w:rPr>
                <w:t>incentives-economic-development</w:t>
              </w:r>
            </w:hyperlink>
          </w:p>
        </w:tc>
      </w:tr>
      <w:tr w:rsidR="0046798B" w14:paraId="04C218B3" w14:textId="77777777">
        <w:trPr>
          <w:trHeight w:val="775"/>
        </w:trPr>
        <w:tc>
          <w:tcPr>
            <w:tcW w:w="1711" w:type="dxa"/>
          </w:tcPr>
          <w:p w14:paraId="43B54B8B" w14:textId="77777777" w:rsidR="0046798B" w:rsidRDefault="0046798B">
            <w:pPr>
              <w:pStyle w:val="TableParagraph"/>
              <w:spacing w:before="8"/>
              <w:rPr>
                <w:b/>
                <w:sz w:val="23"/>
              </w:rPr>
            </w:pPr>
          </w:p>
          <w:p w14:paraId="1D1FFAC0" w14:textId="77777777" w:rsidR="0046798B" w:rsidRDefault="00903B5C">
            <w:pPr>
              <w:pStyle w:val="TableParagraph"/>
              <w:ind w:left="115"/>
              <w:rPr>
                <w:b/>
                <w:sz w:val="20"/>
              </w:rPr>
            </w:pPr>
            <w:r>
              <w:rPr>
                <w:b/>
                <w:sz w:val="20"/>
              </w:rPr>
              <w:t>ezonetaxcredit</w:t>
            </w:r>
          </w:p>
        </w:tc>
        <w:tc>
          <w:tcPr>
            <w:tcW w:w="1596" w:type="dxa"/>
          </w:tcPr>
          <w:p w14:paraId="6EE356C3" w14:textId="77777777" w:rsidR="0046798B" w:rsidRDefault="00903B5C">
            <w:pPr>
              <w:pStyle w:val="TableParagraph"/>
              <w:spacing w:before="43"/>
              <w:ind w:left="114" w:right="280"/>
              <w:rPr>
                <w:sz w:val="20"/>
              </w:rPr>
            </w:pPr>
            <w:r>
              <w:rPr>
                <w:sz w:val="20"/>
              </w:rPr>
              <w:t>Tax incentives for enterprise zones</w:t>
            </w:r>
          </w:p>
        </w:tc>
        <w:tc>
          <w:tcPr>
            <w:tcW w:w="1285" w:type="dxa"/>
          </w:tcPr>
          <w:p w14:paraId="22846DD4" w14:textId="77777777" w:rsidR="0046798B" w:rsidRDefault="0046798B">
            <w:pPr>
              <w:pStyle w:val="TableParagraph"/>
              <w:spacing w:before="8"/>
              <w:rPr>
                <w:b/>
                <w:sz w:val="23"/>
              </w:rPr>
            </w:pPr>
          </w:p>
          <w:p w14:paraId="4D762293" w14:textId="77777777" w:rsidR="0046798B" w:rsidRDefault="00903B5C">
            <w:pPr>
              <w:pStyle w:val="TableParagraph"/>
              <w:ind w:left="114"/>
              <w:rPr>
                <w:sz w:val="20"/>
              </w:rPr>
            </w:pPr>
            <w:r>
              <w:rPr>
                <w:sz w:val="20"/>
              </w:rPr>
              <w:t>2016</w:t>
            </w:r>
          </w:p>
        </w:tc>
        <w:tc>
          <w:tcPr>
            <w:tcW w:w="3421" w:type="dxa"/>
          </w:tcPr>
          <w:p w14:paraId="481942F5" w14:textId="77777777" w:rsidR="0046798B" w:rsidRDefault="00903B5C">
            <w:pPr>
              <w:pStyle w:val="TableParagraph"/>
              <w:spacing w:before="43"/>
              <w:ind w:left="114" w:right="198"/>
              <w:rPr>
                <w:sz w:val="20"/>
              </w:rPr>
            </w:pPr>
            <w:r>
              <w:rPr>
                <w:sz w:val="20"/>
              </w:rPr>
              <w:t>Does the state offer tax incentives or credits for enterprise zones? (0 = no, 1</w:t>
            </w:r>
          </w:p>
          <w:p w14:paraId="0C2A9DE1" w14:textId="77777777" w:rsidR="0046798B" w:rsidRDefault="00903B5C">
            <w:pPr>
              <w:pStyle w:val="TableParagraph"/>
              <w:ind w:left="114"/>
              <w:rPr>
                <w:sz w:val="20"/>
              </w:rPr>
            </w:pPr>
            <w:r>
              <w:rPr>
                <w:sz w:val="20"/>
              </w:rPr>
              <w:t>= yes)</w:t>
            </w:r>
          </w:p>
        </w:tc>
        <w:tc>
          <w:tcPr>
            <w:tcW w:w="6482" w:type="dxa"/>
          </w:tcPr>
          <w:p w14:paraId="59F7714A" w14:textId="77777777" w:rsidR="0046798B" w:rsidRDefault="00903B5C">
            <w:pPr>
              <w:pStyle w:val="TableParagraph"/>
              <w:spacing w:before="43"/>
              <w:ind w:left="114" w:right="370"/>
              <w:jc w:val="both"/>
              <w:rPr>
                <w:sz w:val="20"/>
              </w:rPr>
            </w:pPr>
            <w:r>
              <w:rPr>
                <w:sz w:val="20"/>
              </w:rPr>
              <w:t xml:space="preserve">Francis, Norton. 2016. “State Tax Incentives for Economic Development.” The Urban Institute. </w:t>
            </w:r>
            <w:hyperlink r:id="rId368">
              <w:r>
                <w:rPr>
                  <w:color w:val="0462C1"/>
                  <w:sz w:val="20"/>
                  <w:u w:val="single" w:color="0462C1"/>
                </w:rPr>
                <w:t>https://www.urban.org/research/publication/state-tax-</w:t>
              </w:r>
            </w:hyperlink>
            <w:r>
              <w:rPr>
                <w:color w:val="0462C1"/>
                <w:sz w:val="20"/>
              </w:rPr>
              <w:t xml:space="preserve"> </w:t>
            </w:r>
            <w:hyperlink r:id="rId369">
              <w:r>
                <w:rPr>
                  <w:color w:val="0462C1"/>
                  <w:sz w:val="20"/>
                  <w:u w:val="single" w:color="0462C1"/>
                </w:rPr>
                <w:t>incentives-economic-development</w:t>
              </w:r>
            </w:hyperlink>
          </w:p>
        </w:tc>
      </w:tr>
      <w:tr w:rsidR="0046798B" w14:paraId="7C65A4EE" w14:textId="77777777">
        <w:trPr>
          <w:trHeight w:val="777"/>
        </w:trPr>
        <w:tc>
          <w:tcPr>
            <w:tcW w:w="1711" w:type="dxa"/>
            <w:tcBorders>
              <w:bottom w:val="dotted" w:sz="6" w:space="0" w:color="BEBEBE"/>
            </w:tcBorders>
          </w:tcPr>
          <w:p w14:paraId="253A4553" w14:textId="77777777" w:rsidR="0046798B" w:rsidRDefault="0046798B">
            <w:pPr>
              <w:pStyle w:val="TableParagraph"/>
              <w:spacing w:before="9"/>
              <w:rPr>
                <w:b/>
                <w:sz w:val="23"/>
              </w:rPr>
            </w:pPr>
          </w:p>
          <w:p w14:paraId="478240C4" w14:textId="77777777" w:rsidR="0046798B" w:rsidRDefault="00903B5C">
            <w:pPr>
              <w:pStyle w:val="TableParagraph"/>
              <w:ind w:left="115"/>
              <w:rPr>
                <w:b/>
                <w:sz w:val="20"/>
              </w:rPr>
            </w:pPr>
            <w:r>
              <w:rPr>
                <w:b/>
                <w:sz w:val="20"/>
              </w:rPr>
              <w:t>agtaxcredit</w:t>
            </w:r>
          </w:p>
        </w:tc>
        <w:tc>
          <w:tcPr>
            <w:tcW w:w="1596" w:type="dxa"/>
            <w:tcBorders>
              <w:bottom w:val="dotted" w:sz="6" w:space="0" w:color="BEBEBE"/>
            </w:tcBorders>
          </w:tcPr>
          <w:p w14:paraId="6AFB8135" w14:textId="77777777" w:rsidR="0046798B" w:rsidRDefault="00903B5C">
            <w:pPr>
              <w:pStyle w:val="TableParagraph"/>
              <w:spacing w:before="43"/>
              <w:ind w:left="114" w:right="269"/>
              <w:jc w:val="both"/>
              <w:rPr>
                <w:sz w:val="20"/>
              </w:rPr>
            </w:pPr>
            <w:r>
              <w:rPr>
                <w:sz w:val="20"/>
              </w:rPr>
              <w:t xml:space="preserve">Tax incentives for </w:t>
            </w:r>
            <w:r>
              <w:rPr>
                <w:spacing w:val="-3"/>
                <w:sz w:val="20"/>
              </w:rPr>
              <w:t xml:space="preserve">agricultural </w:t>
            </w:r>
            <w:r>
              <w:rPr>
                <w:sz w:val="20"/>
              </w:rPr>
              <w:t>activities</w:t>
            </w:r>
          </w:p>
        </w:tc>
        <w:tc>
          <w:tcPr>
            <w:tcW w:w="1285" w:type="dxa"/>
            <w:tcBorders>
              <w:bottom w:val="dotted" w:sz="6" w:space="0" w:color="BEBEBE"/>
            </w:tcBorders>
          </w:tcPr>
          <w:p w14:paraId="4D98BE92" w14:textId="77777777" w:rsidR="0046798B" w:rsidRDefault="0046798B">
            <w:pPr>
              <w:pStyle w:val="TableParagraph"/>
              <w:spacing w:before="9"/>
              <w:rPr>
                <w:b/>
                <w:sz w:val="23"/>
              </w:rPr>
            </w:pPr>
          </w:p>
          <w:p w14:paraId="77D3CBAA" w14:textId="77777777" w:rsidR="0046798B" w:rsidRDefault="00903B5C">
            <w:pPr>
              <w:pStyle w:val="TableParagraph"/>
              <w:ind w:left="114"/>
              <w:rPr>
                <w:sz w:val="20"/>
              </w:rPr>
            </w:pPr>
            <w:r>
              <w:rPr>
                <w:sz w:val="20"/>
              </w:rPr>
              <w:t>2016</w:t>
            </w:r>
          </w:p>
        </w:tc>
        <w:tc>
          <w:tcPr>
            <w:tcW w:w="3421" w:type="dxa"/>
            <w:tcBorders>
              <w:bottom w:val="dotted" w:sz="6" w:space="0" w:color="BEBEBE"/>
            </w:tcBorders>
          </w:tcPr>
          <w:p w14:paraId="133936CA" w14:textId="77777777" w:rsidR="0046798B" w:rsidRDefault="00903B5C">
            <w:pPr>
              <w:pStyle w:val="TableParagraph"/>
              <w:spacing w:before="43"/>
              <w:ind w:left="114" w:right="344"/>
              <w:rPr>
                <w:sz w:val="20"/>
              </w:rPr>
            </w:pPr>
            <w:r>
              <w:rPr>
                <w:sz w:val="20"/>
              </w:rPr>
              <w:t>Does the state offer tax incentives or credits for agriculture? (0 = no, 1 = yes)</w:t>
            </w:r>
          </w:p>
        </w:tc>
        <w:tc>
          <w:tcPr>
            <w:tcW w:w="6482" w:type="dxa"/>
            <w:tcBorders>
              <w:bottom w:val="dotted" w:sz="6" w:space="0" w:color="BEBEBE"/>
            </w:tcBorders>
          </w:tcPr>
          <w:p w14:paraId="14F7AAF1" w14:textId="77777777" w:rsidR="0046798B" w:rsidRDefault="00903B5C">
            <w:pPr>
              <w:pStyle w:val="TableParagraph"/>
              <w:spacing w:before="43"/>
              <w:ind w:left="114" w:right="370"/>
              <w:jc w:val="both"/>
              <w:rPr>
                <w:sz w:val="20"/>
              </w:rPr>
            </w:pPr>
            <w:r>
              <w:rPr>
                <w:sz w:val="20"/>
              </w:rPr>
              <w:t xml:space="preserve">Francis, Norton. 2016. “State Tax Incentives for Economic Development.” The Urban Institute. </w:t>
            </w:r>
            <w:hyperlink r:id="rId370">
              <w:r>
                <w:rPr>
                  <w:color w:val="0462C1"/>
                  <w:sz w:val="20"/>
                  <w:u w:val="single" w:color="0462C1"/>
                </w:rPr>
                <w:t>https://www.urban.org/research/publication/state-tax-</w:t>
              </w:r>
            </w:hyperlink>
            <w:r>
              <w:rPr>
                <w:color w:val="0462C1"/>
                <w:sz w:val="20"/>
              </w:rPr>
              <w:t xml:space="preserve"> </w:t>
            </w:r>
            <w:hyperlink r:id="rId371">
              <w:r>
                <w:rPr>
                  <w:color w:val="0462C1"/>
                  <w:sz w:val="20"/>
                  <w:u w:val="single" w:color="0462C1"/>
                </w:rPr>
                <w:t>incentives-economic-development</w:t>
              </w:r>
            </w:hyperlink>
          </w:p>
        </w:tc>
      </w:tr>
      <w:tr w:rsidR="0046798B" w14:paraId="0E3B4D89" w14:textId="77777777">
        <w:trPr>
          <w:trHeight w:val="773"/>
        </w:trPr>
        <w:tc>
          <w:tcPr>
            <w:tcW w:w="1711" w:type="dxa"/>
            <w:tcBorders>
              <w:top w:val="dotted" w:sz="6" w:space="0" w:color="BEBEBE"/>
            </w:tcBorders>
          </w:tcPr>
          <w:p w14:paraId="6275464E" w14:textId="77777777" w:rsidR="0046798B" w:rsidRDefault="0046798B">
            <w:pPr>
              <w:pStyle w:val="TableParagraph"/>
              <w:spacing w:before="1"/>
              <w:rPr>
                <w:b/>
                <w:sz w:val="23"/>
              </w:rPr>
            </w:pPr>
          </w:p>
          <w:p w14:paraId="48170450" w14:textId="77777777" w:rsidR="0046798B" w:rsidRDefault="00903B5C">
            <w:pPr>
              <w:pStyle w:val="TableParagraph"/>
              <w:ind w:left="115"/>
              <w:rPr>
                <w:b/>
                <w:sz w:val="20"/>
              </w:rPr>
            </w:pPr>
            <w:r>
              <w:rPr>
                <w:b/>
                <w:sz w:val="20"/>
              </w:rPr>
              <w:t>techtaxcredit</w:t>
            </w:r>
          </w:p>
        </w:tc>
        <w:tc>
          <w:tcPr>
            <w:tcW w:w="1596" w:type="dxa"/>
            <w:tcBorders>
              <w:top w:val="dotted" w:sz="6" w:space="0" w:color="BEBEBE"/>
            </w:tcBorders>
          </w:tcPr>
          <w:p w14:paraId="360D5312" w14:textId="77777777" w:rsidR="0046798B" w:rsidRDefault="00903B5C">
            <w:pPr>
              <w:pStyle w:val="TableParagraph"/>
              <w:spacing w:before="150"/>
              <w:ind w:left="114" w:right="280"/>
              <w:rPr>
                <w:sz w:val="20"/>
              </w:rPr>
            </w:pPr>
            <w:r>
              <w:rPr>
                <w:sz w:val="20"/>
              </w:rPr>
              <w:t>Tax incentives for technology</w:t>
            </w:r>
          </w:p>
        </w:tc>
        <w:tc>
          <w:tcPr>
            <w:tcW w:w="1285" w:type="dxa"/>
            <w:tcBorders>
              <w:top w:val="dotted" w:sz="6" w:space="0" w:color="BEBEBE"/>
            </w:tcBorders>
          </w:tcPr>
          <w:p w14:paraId="3838A37E" w14:textId="77777777" w:rsidR="0046798B" w:rsidRDefault="0046798B">
            <w:pPr>
              <w:pStyle w:val="TableParagraph"/>
              <w:spacing w:before="1"/>
              <w:rPr>
                <w:b/>
                <w:sz w:val="23"/>
              </w:rPr>
            </w:pPr>
          </w:p>
          <w:p w14:paraId="6FE4FD53" w14:textId="77777777" w:rsidR="0046798B" w:rsidRDefault="00903B5C">
            <w:pPr>
              <w:pStyle w:val="TableParagraph"/>
              <w:ind w:left="114"/>
              <w:rPr>
                <w:sz w:val="20"/>
              </w:rPr>
            </w:pPr>
            <w:r>
              <w:rPr>
                <w:sz w:val="20"/>
              </w:rPr>
              <w:t>2016</w:t>
            </w:r>
          </w:p>
        </w:tc>
        <w:tc>
          <w:tcPr>
            <w:tcW w:w="3421" w:type="dxa"/>
            <w:tcBorders>
              <w:top w:val="dotted" w:sz="6" w:space="0" w:color="BEBEBE"/>
            </w:tcBorders>
          </w:tcPr>
          <w:p w14:paraId="3ED75037" w14:textId="77777777" w:rsidR="0046798B" w:rsidRDefault="00903B5C">
            <w:pPr>
              <w:pStyle w:val="TableParagraph"/>
              <w:spacing w:before="35"/>
              <w:ind w:left="114" w:right="344"/>
              <w:rPr>
                <w:sz w:val="20"/>
              </w:rPr>
            </w:pPr>
            <w:r>
              <w:rPr>
                <w:sz w:val="20"/>
              </w:rPr>
              <w:t>Does the state offer tax incentives or credits for technology? (0 = no, 1 = yes)</w:t>
            </w:r>
          </w:p>
        </w:tc>
        <w:tc>
          <w:tcPr>
            <w:tcW w:w="6482" w:type="dxa"/>
            <w:tcBorders>
              <w:top w:val="dotted" w:sz="6" w:space="0" w:color="BEBEBE"/>
            </w:tcBorders>
          </w:tcPr>
          <w:p w14:paraId="652D1995" w14:textId="77777777" w:rsidR="0046798B" w:rsidRDefault="00903B5C">
            <w:pPr>
              <w:pStyle w:val="TableParagraph"/>
              <w:spacing w:before="35"/>
              <w:ind w:left="114" w:right="368"/>
              <w:jc w:val="both"/>
              <w:rPr>
                <w:sz w:val="20"/>
              </w:rPr>
            </w:pPr>
            <w:r>
              <w:rPr>
                <w:sz w:val="20"/>
              </w:rPr>
              <w:t xml:space="preserve">Francis, Norton. 2016. “State Tax Incentives for Economic Development.” The Urban Institute. </w:t>
            </w:r>
            <w:hyperlink r:id="rId372">
              <w:r>
                <w:rPr>
                  <w:color w:val="0462C1"/>
                  <w:sz w:val="20"/>
                  <w:u w:val="single" w:color="0462C1"/>
                </w:rPr>
                <w:t>https://www.urban.org/research/publication/state-tax-</w:t>
              </w:r>
            </w:hyperlink>
            <w:r>
              <w:rPr>
                <w:color w:val="0462C1"/>
                <w:sz w:val="20"/>
              </w:rPr>
              <w:t xml:space="preserve"> </w:t>
            </w:r>
            <w:hyperlink r:id="rId373">
              <w:r>
                <w:rPr>
                  <w:color w:val="0462C1"/>
                  <w:sz w:val="20"/>
                  <w:u w:val="single" w:color="0462C1"/>
                </w:rPr>
                <w:t>incentives-economic-development</w:t>
              </w:r>
            </w:hyperlink>
          </w:p>
        </w:tc>
      </w:tr>
    </w:tbl>
    <w:p w14:paraId="141A4389" w14:textId="77777777" w:rsidR="0046798B" w:rsidRDefault="0046798B">
      <w:pPr>
        <w:jc w:val="both"/>
        <w:rPr>
          <w:sz w:val="20"/>
        </w:rPr>
        <w:sectPr w:rsidR="0046798B">
          <w:pgSz w:w="15840" w:h="12240" w:orient="landscape"/>
          <w:pgMar w:top="1220" w:right="300" w:bottom="980" w:left="820" w:header="730" w:footer="787" w:gutter="0"/>
          <w:cols w:space="720"/>
        </w:sectPr>
      </w:pPr>
    </w:p>
    <w:p w14:paraId="4E9D8C2D"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0AEA3AB9" w14:textId="77777777">
        <w:trPr>
          <w:trHeight w:val="775"/>
        </w:trPr>
        <w:tc>
          <w:tcPr>
            <w:tcW w:w="1711" w:type="dxa"/>
          </w:tcPr>
          <w:p w14:paraId="0D17770A" w14:textId="77777777" w:rsidR="0046798B" w:rsidRDefault="0046798B">
            <w:pPr>
              <w:pStyle w:val="TableParagraph"/>
              <w:spacing w:before="9"/>
              <w:rPr>
                <w:sz w:val="23"/>
              </w:rPr>
            </w:pPr>
          </w:p>
          <w:p w14:paraId="583E6232" w14:textId="77777777" w:rsidR="0046798B" w:rsidRDefault="00903B5C">
            <w:pPr>
              <w:pStyle w:val="TableParagraph"/>
              <w:ind w:left="115"/>
              <w:rPr>
                <w:b/>
                <w:sz w:val="20"/>
              </w:rPr>
            </w:pPr>
            <w:r>
              <w:rPr>
                <w:b/>
                <w:sz w:val="20"/>
              </w:rPr>
              <w:t>manutaxcredit</w:t>
            </w:r>
          </w:p>
        </w:tc>
        <w:tc>
          <w:tcPr>
            <w:tcW w:w="1596" w:type="dxa"/>
          </w:tcPr>
          <w:p w14:paraId="6C49EE67" w14:textId="77777777" w:rsidR="0046798B" w:rsidRDefault="00903B5C">
            <w:pPr>
              <w:pStyle w:val="TableParagraph"/>
              <w:spacing w:before="43"/>
              <w:ind w:left="114" w:right="280"/>
              <w:rPr>
                <w:sz w:val="20"/>
              </w:rPr>
            </w:pPr>
            <w:r>
              <w:rPr>
                <w:sz w:val="20"/>
              </w:rPr>
              <w:t>Tax incentives for manufacturing</w:t>
            </w:r>
          </w:p>
        </w:tc>
        <w:tc>
          <w:tcPr>
            <w:tcW w:w="1285" w:type="dxa"/>
          </w:tcPr>
          <w:p w14:paraId="6B4BE83E" w14:textId="77777777" w:rsidR="0046798B" w:rsidRDefault="0046798B">
            <w:pPr>
              <w:pStyle w:val="TableParagraph"/>
              <w:spacing w:before="9"/>
              <w:rPr>
                <w:sz w:val="23"/>
              </w:rPr>
            </w:pPr>
          </w:p>
          <w:p w14:paraId="5A19720E" w14:textId="77777777" w:rsidR="0046798B" w:rsidRDefault="00903B5C">
            <w:pPr>
              <w:pStyle w:val="TableParagraph"/>
              <w:ind w:left="114"/>
              <w:rPr>
                <w:sz w:val="20"/>
              </w:rPr>
            </w:pPr>
            <w:r>
              <w:rPr>
                <w:sz w:val="20"/>
              </w:rPr>
              <w:t>2016</w:t>
            </w:r>
          </w:p>
        </w:tc>
        <w:tc>
          <w:tcPr>
            <w:tcW w:w="3421" w:type="dxa"/>
          </w:tcPr>
          <w:p w14:paraId="1D3973B5" w14:textId="77777777" w:rsidR="0046798B" w:rsidRDefault="00903B5C">
            <w:pPr>
              <w:pStyle w:val="TableParagraph"/>
              <w:spacing w:before="43"/>
              <w:ind w:left="114" w:right="163"/>
              <w:rPr>
                <w:sz w:val="20"/>
              </w:rPr>
            </w:pPr>
            <w:r>
              <w:rPr>
                <w:sz w:val="20"/>
              </w:rPr>
              <w:t>Does the state offer tax incentives or credits for manufacturing? (0 = no, 1 = yes)</w:t>
            </w:r>
          </w:p>
        </w:tc>
        <w:tc>
          <w:tcPr>
            <w:tcW w:w="6482" w:type="dxa"/>
          </w:tcPr>
          <w:p w14:paraId="40189A74" w14:textId="77777777" w:rsidR="0046798B" w:rsidRDefault="00903B5C">
            <w:pPr>
              <w:pStyle w:val="TableParagraph"/>
              <w:spacing w:before="43"/>
              <w:ind w:left="114" w:right="370"/>
              <w:jc w:val="both"/>
              <w:rPr>
                <w:sz w:val="20"/>
              </w:rPr>
            </w:pPr>
            <w:r>
              <w:rPr>
                <w:sz w:val="20"/>
              </w:rPr>
              <w:t xml:space="preserve">Francis, Norton. 2016. “State Tax Incentives for Economic Development.” The Urban Institute. </w:t>
            </w:r>
            <w:hyperlink r:id="rId374">
              <w:r>
                <w:rPr>
                  <w:color w:val="0462C1"/>
                  <w:sz w:val="20"/>
                  <w:u w:val="single" w:color="0462C1"/>
                </w:rPr>
                <w:t>https://www.urban.org/research/publication/state-tax-</w:t>
              </w:r>
            </w:hyperlink>
            <w:r>
              <w:rPr>
                <w:color w:val="0462C1"/>
                <w:sz w:val="20"/>
              </w:rPr>
              <w:t xml:space="preserve"> </w:t>
            </w:r>
            <w:hyperlink r:id="rId375">
              <w:r>
                <w:rPr>
                  <w:color w:val="0462C1"/>
                  <w:sz w:val="20"/>
                  <w:u w:val="single" w:color="0462C1"/>
                </w:rPr>
                <w:t>incentives-economic-development</w:t>
              </w:r>
            </w:hyperlink>
          </w:p>
        </w:tc>
      </w:tr>
      <w:tr w:rsidR="0046798B" w14:paraId="23E137B4" w14:textId="77777777">
        <w:trPr>
          <w:trHeight w:val="2846"/>
        </w:trPr>
        <w:tc>
          <w:tcPr>
            <w:tcW w:w="1711" w:type="dxa"/>
          </w:tcPr>
          <w:p w14:paraId="56DB71DE" w14:textId="77777777" w:rsidR="0046798B" w:rsidRDefault="0046798B">
            <w:pPr>
              <w:pStyle w:val="TableParagraph"/>
            </w:pPr>
          </w:p>
          <w:p w14:paraId="3BAC475D" w14:textId="77777777" w:rsidR="0046798B" w:rsidRDefault="0046798B">
            <w:pPr>
              <w:pStyle w:val="TableParagraph"/>
            </w:pPr>
          </w:p>
          <w:p w14:paraId="5B3A7BF9" w14:textId="77777777" w:rsidR="0046798B" w:rsidRDefault="0046798B">
            <w:pPr>
              <w:pStyle w:val="TableParagraph"/>
            </w:pPr>
          </w:p>
          <w:p w14:paraId="6DB2DA58" w14:textId="77777777" w:rsidR="0046798B" w:rsidRDefault="0046798B">
            <w:pPr>
              <w:pStyle w:val="TableParagraph"/>
            </w:pPr>
          </w:p>
          <w:p w14:paraId="016F487A" w14:textId="77777777" w:rsidR="0046798B" w:rsidRDefault="0046798B">
            <w:pPr>
              <w:pStyle w:val="TableParagraph"/>
              <w:spacing w:before="9"/>
              <w:rPr>
                <w:sz w:val="25"/>
              </w:rPr>
            </w:pPr>
          </w:p>
          <w:p w14:paraId="253C1004" w14:textId="77777777" w:rsidR="0046798B" w:rsidRDefault="00903B5C">
            <w:pPr>
              <w:pStyle w:val="TableParagraph"/>
              <w:ind w:left="115"/>
              <w:rPr>
                <w:b/>
                <w:sz w:val="20"/>
              </w:rPr>
            </w:pPr>
            <w:r>
              <w:rPr>
                <w:b/>
                <w:sz w:val="20"/>
              </w:rPr>
              <w:t>filmtaxcredit</w:t>
            </w:r>
          </w:p>
        </w:tc>
        <w:tc>
          <w:tcPr>
            <w:tcW w:w="1596" w:type="dxa"/>
          </w:tcPr>
          <w:p w14:paraId="0C3F3CEE" w14:textId="77777777" w:rsidR="0046798B" w:rsidRDefault="0046798B">
            <w:pPr>
              <w:pStyle w:val="TableParagraph"/>
            </w:pPr>
          </w:p>
          <w:p w14:paraId="71111C69" w14:textId="77777777" w:rsidR="0046798B" w:rsidRDefault="0046798B">
            <w:pPr>
              <w:pStyle w:val="TableParagraph"/>
            </w:pPr>
          </w:p>
          <w:p w14:paraId="387BD534" w14:textId="77777777" w:rsidR="0046798B" w:rsidRDefault="0046798B">
            <w:pPr>
              <w:pStyle w:val="TableParagraph"/>
            </w:pPr>
          </w:p>
          <w:p w14:paraId="01AF0117" w14:textId="77777777" w:rsidR="0046798B" w:rsidRDefault="0046798B">
            <w:pPr>
              <w:pStyle w:val="TableParagraph"/>
              <w:spacing w:before="9"/>
              <w:rPr>
                <w:sz w:val="27"/>
              </w:rPr>
            </w:pPr>
          </w:p>
          <w:p w14:paraId="31C970A0" w14:textId="77777777" w:rsidR="0046798B" w:rsidRDefault="00903B5C">
            <w:pPr>
              <w:pStyle w:val="TableParagraph"/>
              <w:ind w:left="114" w:right="280"/>
              <w:rPr>
                <w:sz w:val="20"/>
              </w:rPr>
            </w:pPr>
            <w:r>
              <w:rPr>
                <w:sz w:val="20"/>
              </w:rPr>
              <w:t>Tax incentives for the film industry</w:t>
            </w:r>
          </w:p>
        </w:tc>
        <w:tc>
          <w:tcPr>
            <w:tcW w:w="1285" w:type="dxa"/>
          </w:tcPr>
          <w:p w14:paraId="17F2767B" w14:textId="77777777" w:rsidR="0046798B" w:rsidRDefault="0046798B">
            <w:pPr>
              <w:pStyle w:val="TableParagraph"/>
            </w:pPr>
          </w:p>
          <w:p w14:paraId="4BB81AAF" w14:textId="77777777" w:rsidR="0046798B" w:rsidRDefault="0046798B">
            <w:pPr>
              <w:pStyle w:val="TableParagraph"/>
            </w:pPr>
          </w:p>
          <w:p w14:paraId="70E488C8" w14:textId="77777777" w:rsidR="0046798B" w:rsidRDefault="0046798B">
            <w:pPr>
              <w:pStyle w:val="TableParagraph"/>
            </w:pPr>
          </w:p>
          <w:p w14:paraId="0A605F5D" w14:textId="77777777" w:rsidR="0046798B" w:rsidRDefault="0046798B">
            <w:pPr>
              <w:pStyle w:val="TableParagraph"/>
            </w:pPr>
          </w:p>
          <w:p w14:paraId="2E372C42" w14:textId="77777777" w:rsidR="0046798B" w:rsidRDefault="00903B5C">
            <w:pPr>
              <w:pStyle w:val="TableParagraph"/>
              <w:spacing w:before="182"/>
              <w:ind w:left="114"/>
              <w:rPr>
                <w:sz w:val="20"/>
              </w:rPr>
            </w:pPr>
            <w:r>
              <w:rPr>
                <w:sz w:val="20"/>
              </w:rPr>
              <w:t>1992–2009;</w:t>
            </w:r>
          </w:p>
          <w:p w14:paraId="15A99FAB" w14:textId="77777777" w:rsidR="0046798B" w:rsidRDefault="00903B5C">
            <w:pPr>
              <w:pStyle w:val="TableParagraph"/>
              <w:ind w:left="114"/>
              <w:rPr>
                <w:sz w:val="20"/>
              </w:rPr>
            </w:pPr>
            <w:r>
              <w:rPr>
                <w:sz w:val="20"/>
              </w:rPr>
              <w:t>2016</w:t>
            </w:r>
          </w:p>
        </w:tc>
        <w:tc>
          <w:tcPr>
            <w:tcW w:w="3421" w:type="dxa"/>
          </w:tcPr>
          <w:p w14:paraId="275F25BC" w14:textId="77777777" w:rsidR="0046798B" w:rsidRDefault="0046798B">
            <w:pPr>
              <w:pStyle w:val="TableParagraph"/>
            </w:pPr>
          </w:p>
          <w:p w14:paraId="08376322" w14:textId="77777777" w:rsidR="0046798B" w:rsidRDefault="0046798B">
            <w:pPr>
              <w:pStyle w:val="TableParagraph"/>
            </w:pPr>
          </w:p>
          <w:p w14:paraId="4FE2CDEB" w14:textId="77777777" w:rsidR="0046798B" w:rsidRDefault="0046798B">
            <w:pPr>
              <w:pStyle w:val="TableParagraph"/>
            </w:pPr>
          </w:p>
          <w:p w14:paraId="4B027D8C" w14:textId="77777777" w:rsidR="0046798B" w:rsidRDefault="0046798B">
            <w:pPr>
              <w:pStyle w:val="TableParagraph"/>
              <w:spacing w:before="9"/>
              <w:rPr>
                <w:sz w:val="27"/>
              </w:rPr>
            </w:pPr>
          </w:p>
          <w:p w14:paraId="39974125" w14:textId="77777777" w:rsidR="0046798B" w:rsidRDefault="00903B5C">
            <w:pPr>
              <w:pStyle w:val="TableParagraph"/>
              <w:ind w:left="114"/>
              <w:rPr>
                <w:sz w:val="20"/>
              </w:rPr>
            </w:pPr>
            <w:r>
              <w:rPr>
                <w:sz w:val="20"/>
              </w:rPr>
              <w:t>Does the state offer tax incentives or credits for the film industry? (0 = no, 1</w:t>
            </w:r>
          </w:p>
          <w:p w14:paraId="7AAB07BF" w14:textId="77777777" w:rsidR="0046798B" w:rsidRDefault="00903B5C">
            <w:pPr>
              <w:pStyle w:val="TableParagraph"/>
              <w:ind w:left="114"/>
              <w:rPr>
                <w:sz w:val="20"/>
              </w:rPr>
            </w:pPr>
            <w:r>
              <w:rPr>
                <w:sz w:val="20"/>
              </w:rPr>
              <w:t>= yes)</w:t>
            </w:r>
          </w:p>
        </w:tc>
        <w:tc>
          <w:tcPr>
            <w:tcW w:w="6482" w:type="dxa"/>
          </w:tcPr>
          <w:p w14:paraId="0E552C64" w14:textId="77777777" w:rsidR="0046798B" w:rsidRDefault="00903B5C">
            <w:pPr>
              <w:pStyle w:val="TableParagraph"/>
              <w:spacing w:before="43"/>
              <w:ind w:left="114" w:right="370"/>
              <w:jc w:val="both"/>
              <w:rPr>
                <w:sz w:val="20"/>
              </w:rPr>
            </w:pPr>
            <w:r>
              <w:rPr>
                <w:sz w:val="20"/>
              </w:rPr>
              <w:t xml:space="preserve">Francis, Norton. 2016. “State Tax Incentives for Economic Development.” The Urban Institute. </w:t>
            </w:r>
            <w:hyperlink r:id="rId376">
              <w:r>
                <w:rPr>
                  <w:color w:val="0462C1"/>
                  <w:sz w:val="20"/>
                  <w:u w:val="single" w:color="0462C1"/>
                </w:rPr>
                <w:t>https://www.urban.org/research/publication/state-tax-</w:t>
              </w:r>
            </w:hyperlink>
            <w:r>
              <w:rPr>
                <w:color w:val="0462C1"/>
                <w:sz w:val="20"/>
              </w:rPr>
              <w:t xml:space="preserve"> </w:t>
            </w:r>
            <w:hyperlink r:id="rId377">
              <w:r>
                <w:rPr>
                  <w:color w:val="0462C1"/>
                  <w:sz w:val="20"/>
                  <w:u w:val="single" w:color="0462C1"/>
                </w:rPr>
                <w:t>incentives-economic-development</w:t>
              </w:r>
            </w:hyperlink>
          </w:p>
          <w:p w14:paraId="7494B17F" w14:textId="77777777" w:rsidR="0046798B" w:rsidRDefault="0046798B">
            <w:pPr>
              <w:pStyle w:val="TableParagraph"/>
              <w:rPr>
                <w:sz w:val="20"/>
              </w:rPr>
            </w:pPr>
          </w:p>
          <w:p w14:paraId="076A45AF" w14:textId="77777777" w:rsidR="0046798B" w:rsidRDefault="00903B5C">
            <w:pPr>
              <w:pStyle w:val="TableParagraph"/>
              <w:spacing w:before="1"/>
              <w:ind w:left="114" w:right="128"/>
              <w:jc w:val="both"/>
              <w:rPr>
                <w:sz w:val="20"/>
              </w:rPr>
            </w:pPr>
            <w:r>
              <w:rPr>
                <w:sz w:val="20"/>
              </w:rPr>
              <w:t>Mallinson, Daniel J. “Building a better speed trap: Measuring policy</w:t>
            </w:r>
            <w:r>
              <w:rPr>
                <w:spacing w:val="-16"/>
                <w:sz w:val="20"/>
              </w:rPr>
              <w:t xml:space="preserve"> </w:t>
            </w:r>
            <w:r>
              <w:rPr>
                <w:sz w:val="20"/>
              </w:rPr>
              <w:t xml:space="preserve">adoption speed in the American states.” </w:t>
            </w:r>
            <w:r>
              <w:rPr>
                <w:i/>
                <w:sz w:val="20"/>
              </w:rPr>
              <w:t xml:space="preserve">State Politics &amp; Policy Quarterly </w:t>
            </w:r>
            <w:r>
              <w:rPr>
                <w:sz w:val="20"/>
              </w:rPr>
              <w:t>16.1 (2016): 98-120.</w:t>
            </w:r>
          </w:p>
          <w:p w14:paraId="12FFF776" w14:textId="77777777" w:rsidR="0046798B" w:rsidRDefault="0046798B">
            <w:pPr>
              <w:pStyle w:val="TableParagraph"/>
              <w:rPr>
                <w:sz w:val="20"/>
              </w:rPr>
            </w:pPr>
          </w:p>
          <w:p w14:paraId="00C515C8"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BD14B0B" w14:textId="77777777">
        <w:trPr>
          <w:trHeight w:val="1470"/>
        </w:trPr>
        <w:tc>
          <w:tcPr>
            <w:tcW w:w="1711" w:type="dxa"/>
          </w:tcPr>
          <w:p w14:paraId="1222C804" w14:textId="77777777" w:rsidR="0046798B" w:rsidRDefault="0046798B">
            <w:pPr>
              <w:pStyle w:val="TableParagraph"/>
            </w:pPr>
          </w:p>
          <w:p w14:paraId="5B5FF557" w14:textId="77777777" w:rsidR="0046798B" w:rsidRDefault="0046798B">
            <w:pPr>
              <w:pStyle w:val="TableParagraph"/>
              <w:spacing w:before="9"/>
              <w:rPr>
                <w:sz w:val="31"/>
              </w:rPr>
            </w:pPr>
          </w:p>
          <w:p w14:paraId="0B53EF6D" w14:textId="77777777" w:rsidR="0046798B" w:rsidRDefault="00903B5C">
            <w:pPr>
              <w:pStyle w:val="TableParagraph"/>
              <w:ind w:left="115"/>
              <w:rPr>
                <w:b/>
                <w:sz w:val="20"/>
              </w:rPr>
            </w:pPr>
            <w:r>
              <w:rPr>
                <w:b/>
                <w:sz w:val="20"/>
              </w:rPr>
              <w:t>eireport</w:t>
            </w:r>
          </w:p>
        </w:tc>
        <w:tc>
          <w:tcPr>
            <w:tcW w:w="1596" w:type="dxa"/>
          </w:tcPr>
          <w:p w14:paraId="2E14D81B" w14:textId="77777777" w:rsidR="0046798B" w:rsidRDefault="00903B5C">
            <w:pPr>
              <w:pStyle w:val="TableParagraph"/>
              <w:spacing w:before="158"/>
              <w:ind w:left="114" w:right="113"/>
              <w:rPr>
                <w:sz w:val="20"/>
              </w:rPr>
            </w:pPr>
            <w:r>
              <w:rPr>
                <w:sz w:val="20"/>
              </w:rPr>
              <w:t>State has a tax expenditure report or a more comprehensive incentives report</w:t>
            </w:r>
          </w:p>
        </w:tc>
        <w:tc>
          <w:tcPr>
            <w:tcW w:w="1285" w:type="dxa"/>
          </w:tcPr>
          <w:p w14:paraId="70B33D6D" w14:textId="77777777" w:rsidR="0046798B" w:rsidRDefault="0046798B">
            <w:pPr>
              <w:pStyle w:val="TableParagraph"/>
            </w:pPr>
          </w:p>
          <w:p w14:paraId="27487297" w14:textId="77777777" w:rsidR="0046798B" w:rsidRDefault="0046798B">
            <w:pPr>
              <w:pStyle w:val="TableParagraph"/>
              <w:spacing w:before="9"/>
              <w:rPr>
                <w:sz w:val="31"/>
              </w:rPr>
            </w:pPr>
          </w:p>
          <w:p w14:paraId="2160C53A" w14:textId="77777777" w:rsidR="0046798B" w:rsidRDefault="00903B5C">
            <w:pPr>
              <w:pStyle w:val="TableParagraph"/>
              <w:ind w:left="114"/>
              <w:rPr>
                <w:sz w:val="20"/>
              </w:rPr>
            </w:pPr>
            <w:r>
              <w:rPr>
                <w:sz w:val="20"/>
              </w:rPr>
              <w:t>2016</w:t>
            </w:r>
          </w:p>
        </w:tc>
        <w:tc>
          <w:tcPr>
            <w:tcW w:w="3421" w:type="dxa"/>
          </w:tcPr>
          <w:p w14:paraId="187B08A8" w14:textId="77777777" w:rsidR="0046798B" w:rsidRDefault="00903B5C">
            <w:pPr>
              <w:pStyle w:val="TableParagraph"/>
              <w:spacing w:before="43"/>
              <w:ind w:left="114" w:right="122"/>
              <w:rPr>
                <w:sz w:val="20"/>
              </w:rPr>
            </w:pPr>
            <w:r>
              <w:rPr>
                <w:sz w:val="20"/>
              </w:rPr>
              <w:t>Does the state release a tax expenditure report, or a more comprehensive tax incentives report with performance metrics (or neither)? (0 = neither, 1 = expenditure report, 2 = incentives report)</w:t>
            </w:r>
          </w:p>
        </w:tc>
        <w:tc>
          <w:tcPr>
            <w:tcW w:w="6482" w:type="dxa"/>
          </w:tcPr>
          <w:p w14:paraId="4307CC8E" w14:textId="77777777" w:rsidR="0046798B" w:rsidRDefault="0046798B">
            <w:pPr>
              <w:pStyle w:val="TableParagraph"/>
            </w:pPr>
          </w:p>
          <w:p w14:paraId="1D3F2DEB" w14:textId="77777777" w:rsidR="0046798B" w:rsidRDefault="00903B5C">
            <w:pPr>
              <w:pStyle w:val="TableParagraph"/>
              <w:spacing w:before="135"/>
              <w:ind w:left="114" w:right="370"/>
              <w:jc w:val="both"/>
              <w:rPr>
                <w:sz w:val="20"/>
              </w:rPr>
            </w:pPr>
            <w:r>
              <w:rPr>
                <w:sz w:val="20"/>
              </w:rPr>
              <w:t xml:space="preserve">Francis, Norton. 2016. “State Tax Incentives for Economic Development.” The Urban Institute. </w:t>
            </w:r>
            <w:hyperlink r:id="rId378">
              <w:r>
                <w:rPr>
                  <w:color w:val="0462C1"/>
                  <w:sz w:val="20"/>
                  <w:u w:val="single" w:color="0462C1"/>
                </w:rPr>
                <w:t>https://www.urban.org/research/publication/state-tax-</w:t>
              </w:r>
            </w:hyperlink>
            <w:r>
              <w:rPr>
                <w:color w:val="0462C1"/>
                <w:sz w:val="20"/>
              </w:rPr>
              <w:t xml:space="preserve"> </w:t>
            </w:r>
            <w:hyperlink r:id="rId379">
              <w:r>
                <w:rPr>
                  <w:color w:val="0462C1"/>
                  <w:sz w:val="20"/>
                  <w:u w:val="single" w:color="0462C1"/>
                </w:rPr>
                <w:t>incentives-economic-development</w:t>
              </w:r>
            </w:hyperlink>
          </w:p>
        </w:tc>
      </w:tr>
      <w:tr w:rsidR="0046798B" w14:paraId="6E836AE9" w14:textId="77777777">
        <w:trPr>
          <w:trHeight w:val="1235"/>
        </w:trPr>
        <w:tc>
          <w:tcPr>
            <w:tcW w:w="1711" w:type="dxa"/>
          </w:tcPr>
          <w:p w14:paraId="4738A117" w14:textId="77777777" w:rsidR="0046798B" w:rsidRDefault="0046798B">
            <w:pPr>
              <w:pStyle w:val="TableParagraph"/>
            </w:pPr>
          </w:p>
          <w:p w14:paraId="6288BCC1" w14:textId="77777777" w:rsidR="0046798B" w:rsidRDefault="00903B5C">
            <w:pPr>
              <w:pStyle w:val="TableParagraph"/>
              <w:spacing w:before="131"/>
              <w:ind w:left="115" w:right="110"/>
              <w:rPr>
                <w:b/>
                <w:sz w:val="20"/>
              </w:rPr>
            </w:pPr>
            <w:r>
              <w:rPr>
                <w:b/>
                <w:sz w:val="20"/>
              </w:rPr>
              <w:t>corporate_incom etax</w:t>
            </w:r>
          </w:p>
        </w:tc>
        <w:tc>
          <w:tcPr>
            <w:tcW w:w="1596" w:type="dxa"/>
          </w:tcPr>
          <w:p w14:paraId="32BE2A4E" w14:textId="77777777" w:rsidR="0046798B" w:rsidRDefault="0046798B">
            <w:pPr>
              <w:pStyle w:val="TableParagraph"/>
            </w:pPr>
          </w:p>
          <w:p w14:paraId="4469C548" w14:textId="77777777" w:rsidR="0046798B" w:rsidRDefault="00903B5C">
            <w:pPr>
              <w:pStyle w:val="TableParagraph"/>
              <w:spacing w:before="131"/>
              <w:ind w:left="114" w:right="569"/>
              <w:rPr>
                <w:sz w:val="20"/>
              </w:rPr>
            </w:pPr>
            <w:r>
              <w:rPr>
                <w:sz w:val="20"/>
              </w:rPr>
              <w:t>Corporate income tax</w:t>
            </w:r>
          </w:p>
        </w:tc>
        <w:tc>
          <w:tcPr>
            <w:tcW w:w="1285" w:type="dxa"/>
          </w:tcPr>
          <w:p w14:paraId="28C237EB" w14:textId="77777777" w:rsidR="0046798B" w:rsidRDefault="0046798B">
            <w:pPr>
              <w:pStyle w:val="TableParagraph"/>
            </w:pPr>
          </w:p>
          <w:p w14:paraId="3DE80744" w14:textId="77777777" w:rsidR="0046798B" w:rsidRDefault="0046798B">
            <w:pPr>
              <w:pStyle w:val="TableParagraph"/>
              <w:spacing w:before="4"/>
              <w:rPr>
                <w:sz w:val="21"/>
              </w:rPr>
            </w:pPr>
          </w:p>
          <w:p w14:paraId="096B8DD4" w14:textId="77777777" w:rsidR="0046798B" w:rsidRDefault="00903B5C">
            <w:pPr>
              <w:pStyle w:val="TableParagraph"/>
              <w:ind w:left="114"/>
              <w:rPr>
                <w:sz w:val="20"/>
              </w:rPr>
            </w:pPr>
            <w:r>
              <w:rPr>
                <w:sz w:val="20"/>
              </w:rPr>
              <w:t>1936–1940</w:t>
            </w:r>
          </w:p>
        </w:tc>
        <w:tc>
          <w:tcPr>
            <w:tcW w:w="3421" w:type="dxa"/>
          </w:tcPr>
          <w:p w14:paraId="7E2CB47C" w14:textId="77777777" w:rsidR="0046798B" w:rsidRDefault="0046798B">
            <w:pPr>
              <w:pStyle w:val="TableParagraph"/>
            </w:pPr>
          </w:p>
          <w:p w14:paraId="1414FB46" w14:textId="77777777" w:rsidR="0046798B" w:rsidRDefault="00903B5C">
            <w:pPr>
              <w:pStyle w:val="TableParagraph"/>
              <w:spacing w:before="131"/>
              <w:ind w:left="114" w:right="337"/>
              <w:rPr>
                <w:sz w:val="20"/>
              </w:rPr>
            </w:pPr>
            <w:r>
              <w:rPr>
                <w:sz w:val="20"/>
              </w:rPr>
              <w:t>Is there a corporate income tax? (0 = no, 1 = yes)</w:t>
            </w:r>
          </w:p>
        </w:tc>
        <w:tc>
          <w:tcPr>
            <w:tcW w:w="6482" w:type="dxa"/>
          </w:tcPr>
          <w:p w14:paraId="03F87A95" w14:textId="77777777" w:rsidR="0046798B" w:rsidRDefault="00903B5C">
            <w:pPr>
              <w:pStyle w:val="TableParagraph"/>
              <w:spacing w:before="39"/>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02138486" w14:textId="77777777">
        <w:trPr>
          <w:trHeight w:val="1235"/>
        </w:trPr>
        <w:tc>
          <w:tcPr>
            <w:tcW w:w="1711" w:type="dxa"/>
          </w:tcPr>
          <w:p w14:paraId="42A9631B" w14:textId="77777777" w:rsidR="0046798B" w:rsidRDefault="0046798B">
            <w:pPr>
              <w:pStyle w:val="TableParagraph"/>
            </w:pPr>
          </w:p>
          <w:p w14:paraId="774BE363" w14:textId="77777777" w:rsidR="0046798B" w:rsidRDefault="00903B5C">
            <w:pPr>
              <w:pStyle w:val="TableParagraph"/>
              <w:spacing w:before="131"/>
              <w:ind w:left="115" w:right="99"/>
              <w:rPr>
                <w:b/>
                <w:sz w:val="20"/>
              </w:rPr>
            </w:pPr>
            <w:r>
              <w:rPr>
                <w:b/>
                <w:sz w:val="20"/>
              </w:rPr>
              <w:t>earned_income_t axcredit</w:t>
            </w:r>
          </w:p>
        </w:tc>
        <w:tc>
          <w:tcPr>
            <w:tcW w:w="1596" w:type="dxa"/>
          </w:tcPr>
          <w:p w14:paraId="355F5257" w14:textId="77777777" w:rsidR="0046798B" w:rsidRDefault="0046798B">
            <w:pPr>
              <w:pStyle w:val="TableParagraph"/>
            </w:pPr>
          </w:p>
          <w:p w14:paraId="24E6935F" w14:textId="77777777" w:rsidR="0046798B" w:rsidRDefault="00903B5C">
            <w:pPr>
              <w:pStyle w:val="TableParagraph"/>
              <w:spacing w:before="131"/>
              <w:ind w:left="114" w:right="247"/>
              <w:rPr>
                <w:sz w:val="20"/>
              </w:rPr>
            </w:pPr>
            <w:r>
              <w:rPr>
                <w:sz w:val="20"/>
              </w:rPr>
              <w:t>Earned income tax credit</w:t>
            </w:r>
          </w:p>
        </w:tc>
        <w:tc>
          <w:tcPr>
            <w:tcW w:w="1285" w:type="dxa"/>
          </w:tcPr>
          <w:p w14:paraId="3CB06D18" w14:textId="77777777" w:rsidR="0046798B" w:rsidRDefault="0046798B">
            <w:pPr>
              <w:pStyle w:val="TableParagraph"/>
            </w:pPr>
          </w:p>
          <w:p w14:paraId="5755F36E" w14:textId="77777777" w:rsidR="0046798B" w:rsidRDefault="0046798B">
            <w:pPr>
              <w:pStyle w:val="TableParagraph"/>
              <w:spacing w:before="4"/>
              <w:rPr>
                <w:sz w:val="21"/>
              </w:rPr>
            </w:pPr>
          </w:p>
          <w:p w14:paraId="1768A844" w14:textId="77777777" w:rsidR="0046798B" w:rsidRDefault="00903B5C">
            <w:pPr>
              <w:pStyle w:val="TableParagraph"/>
              <w:ind w:left="114"/>
              <w:rPr>
                <w:sz w:val="20"/>
              </w:rPr>
            </w:pPr>
            <w:r>
              <w:rPr>
                <w:sz w:val="20"/>
              </w:rPr>
              <w:t>1988–2014</w:t>
            </w:r>
          </w:p>
        </w:tc>
        <w:tc>
          <w:tcPr>
            <w:tcW w:w="3421" w:type="dxa"/>
          </w:tcPr>
          <w:p w14:paraId="250C025C" w14:textId="77777777" w:rsidR="0046798B" w:rsidRDefault="0046798B">
            <w:pPr>
              <w:pStyle w:val="TableParagraph"/>
            </w:pPr>
          </w:p>
          <w:p w14:paraId="58C34C1A" w14:textId="77777777" w:rsidR="0046798B" w:rsidRDefault="00903B5C">
            <w:pPr>
              <w:pStyle w:val="TableParagraph"/>
              <w:spacing w:before="131"/>
              <w:ind w:left="114" w:right="267"/>
              <w:rPr>
                <w:sz w:val="20"/>
              </w:rPr>
            </w:pPr>
            <w:r>
              <w:rPr>
                <w:sz w:val="20"/>
              </w:rPr>
              <w:t>Does the state have an earned income tax credit? (0 = no, 1 = yes)</w:t>
            </w:r>
          </w:p>
        </w:tc>
        <w:tc>
          <w:tcPr>
            <w:tcW w:w="6482" w:type="dxa"/>
          </w:tcPr>
          <w:p w14:paraId="574B62A0"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4E9C3901" w14:textId="77777777">
        <w:trPr>
          <w:trHeight w:val="1235"/>
        </w:trPr>
        <w:tc>
          <w:tcPr>
            <w:tcW w:w="1711" w:type="dxa"/>
          </w:tcPr>
          <w:p w14:paraId="41CFA77A" w14:textId="77777777" w:rsidR="0046798B" w:rsidRDefault="0046798B">
            <w:pPr>
              <w:pStyle w:val="TableParagraph"/>
            </w:pPr>
          </w:p>
          <w:p w14:paraId="5658BFE6" w14:textId="77777777" w:rsidR="0046798B" w:rsidRDefault="0046798B">
            <w:pPr>
              <w:pStyle w:val="TableParagraph"/>
              <w:spacing w:before="4"/>
              <w:rPr>
                <w:sz w:val="21"/>
              </w:rPr>
            </w:pPr>
          </w:p>
          <w:p w14:paraId="25C6BD76" w14:textId="77777777" w:rsidR="0046798B" w:rsidRDefault="00903B5C">
            <w:pPr>
              <w:pStyle w:val="TableParagraph"/>
              <w:ind w:left="115"/>
              <w:rPr>
                <w:b/>
                <w:sz w:val="20"/>
              </w:rPr>
            </w:pPr>
            <w:r>
              <w:rPr>
                <w:b/>
                <w:sz w:val="20"/>
              </w:rPr>
              <w:t>estate_tax</w:t>
            </w:r>
          </w:p>
        </w:tc>
        <w:tc>
          <w:tcPr>
            <w:tcW w:w="1596" w:type="dxa"/>
          </w:tcPr>
          <w:p w14:paraId="545F28B7" w14:textId="77777777" w:rsidR="0046798B" w:rsidRDefault="0046798B">
            <w:pPr>
              <w:pStyle w:val="TableParagraph"/>
            </w:pPr>
          </w:p>
          <w:p w14:paraId="61A9CDF1" w14:textId="77777777" w:rsidR="0046798B" w:rsidRDefault="0046798B">
            <w:pPr>
              <w:pStyle w:val="TableParagraph"/>
              <w:spacing w:before="4"/>
              <w:rPr>
                <w:sz w:val="21"/>
              </w:rPr>
            </w:pPr>
          </w:p>
          <w:p w14:paraId="4A4E921B" w14:textId="77777777" w:rsidR="0046798B" w:rsidRDefault="00903B5C">
            <w:pPr>
              <w:pStyle w:val="TableParagraph"/>
              <w:ind w:left="114"/>
              <w:rPr>
                <w:sz w:val="20"/>
              </w:rPr>
            </w:pPr>
            <w:r>
              <w:rPr>
                <w:sz w:val="20"/>
              </w:rPr>
              <w:t>Estate tax</w:t>
            </w:r>
          </w:p>
        </w:tc>
        <w:tc>
          <w:tcPr>
            <w:tcW w:w="1285" w:type="dxa"/>
          </w:tcPr>
          <w:p w14:paraId="434803CE" w14:textId="77777777" w:rsidR="0046798B" w:rsidRDefault="0046798B">
            <w:pPr>
              <w:pStyle w:val="TableParagraph"/>
            </w:pPr>
          </w:p>
          <w:p w14:paraId="3CC6C230" w14:textId="77777777" w:rsidR="0046798B" w:rsidRDefault="0046798B">
            <w:pPr>
              <w:pStyle w:val="TableParagraph"/>
              <w:spacing w:before="4"/>
              <w:rPr>
                <w:sz w:val="21"/>
              </w:rPr>
            </w:pPr>
          </w:p>
          <w:p w14:paraId="301488CD" w14:textId="77777777" w:rsidR="0046798B" w:rsidRDefault="00903B5C">
            <w:pPr>
              <w:pStyle w:val="TableParagraph"/>
              <w:ind w:left="114"/>
              <w:rPr>
                <w:sz w:val="20"/>
              </w:rPr>
            </w:pPr>
            <w:r>
              <w:rPr>
                <w:sz w:val="20"/>
              </w:rPr>
              <w:t>2009–2014</w:t>
            </w:r>
          </w:p>
        </w:tc>
        <w:tc>
          <w:tcPr>
            <w:tcW w:w="3421" w:type="dxa"/>
          </w:tcPr>
          <w:p w14:paraId="1ED0E064" w14:textId="77777777" w:rsidR="0046798B" w:rsidRDefault="0046798B">
            <w:pPr>
              <w:pStyle w:val="TableParagraph"/>
            </w:pPr>
          </w:p>
          <w:p w14:paraId="4E3D0D7B" w14:textId="77777777" w:rsidR="0046798B" w:rsidRDefault="00903B5C">
            <w:pPr>
              <w:pStyle w:val="TableParagraph"/>
              <w:spacing w:before="130"/>
              <w:ind w:left="114" w:right="247"/>
              <w:rPr>
                <w:sz w:val="20"/>
              </w:rPr>
            </w:pPr>
            <w:r>
              <w:rPr>
                <w:sz w:val="20"/>
              </w:rPr>
              <w:t>Is there a state estate tax? (0 = no, 1 = yes)</w:t>
            </w:r>
          </w:p>
        </w:tc>
        <w:tc>
          <w:tcPr>
            <w:tcW w:w="6482" w:type="dxa"/>
          </w:tcPr>
          <w:p w14:paraId="173B0785"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bl>
    <w:p w14:paraId="5A43C456" w14:textId="77777777" w:rsidR="0046798B" w:rsidRDefault="0046798B">
      <w:pPr>
        <w:rPr>
          <w:sz w:val="20"/>
        </w:rPr>
        <w:sectPr w:rsidR="0046798B">
          <w:pgSz w:w="15840" w:h="12240" w:orient="landscape"/>
          <w:pgMar w:top="1220" w:right="300" w:bottom="980" w:left="820" w:header="730" w:footer="787" w:gutter="0"/>
          <w:cols w:space="720"/>
        </w:sectPr>
      </w:pPr>
    </w:p>
    <w:p w14:paraId="74D00370"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23C66178" w14:textId="77777777">
        <w:trPr>
          <w:trHeight w:val="1235"/>
        </w:trPr>
        <w:tc>
          <w:tcPr>
            <w:tcW w:w="1711" w:type="dxa"/>
          </w:tcPr>
          <w:p w14:paraId="6B20C49D" w14:textId="77777777" w:rsidR="0046798B" w:rsidRDefault="0046798B">
            <w:pPr>
              <w:pStyle w:val="TableParagraph"/>
            </w:pPr>
          </w:p>
          <w:p w14:paraId="6323AEA6" w14:textId="77777777" w:rsidR="0046798B" w:rsidRDefault="0046798B">
            <w:pPr>
              <w:pStyle w:val="TableParagraph"/>
              <w:spacing w:before="9"/>
              <w:rPr>
                <w:sz w:val="21"/>
              </w:rPr>
            </w:pPr>
          </w:p>
          <w:p w14:paraId="6AEFFAA2" w14:textId="77777777" w:rsidR="0046798B" w:rsidRDefault="00903B5C">
            <w:pPr>
              <w:pStyle w:val="TableParagraph"/>
              <w:ind w:left="115"/>
              <w:rPr>
                <w:b/>
                <w:sz w:val="20"/>
              </w:rPr>
            </w:pPr>
            <w:r>
              <w:rPr>
                <w:b/>
                <w:sz w:val="20"/>
              </w:rPr>
              <w:t>income_taxes</w:t>
            </w:r>
          </w:p>
        </w:tc>
        <w:tc>
          <w:tcPr>
            <w:tcW w:w="1596" w:type="dxa"/>
          </w:tcPr>
          <w:p w14:paraId="136EFB03" w14:textId="77777777" w:rsidR="0046798B" w:rsidRDefault="0046798B">
            <w:pPr>
              <w:pStyle w:val="TableParagraph"/>
            </w:pPr>
          </w:p>
          <w:p w14:paraId="23A053C5" w14:textId="77777777" w:rsidR="0046798B" w:rsidRDefault="0046798B">
            <w:pPr>
              <w:pStyle w:val="TableParagraph"/>
              <w:spacing w:before="9"/>
              <w:rPr>
                <w:sz w:val="21"/>
              </w:rPr>
            </w:pPr>
          </w:p>
          <w:p w14:paraId="58BA7073" w14:textId="77777777" w:rsidR="0046798B" w:rsidRDefault="00903B5C">
            <w:pPr>
              <w:pStyle w:val="TableParagraph"/>
              <w:ind w:left="114"/>
              <w:rPr>
                <w:sz w:val="20"/>
              </w:rPr>
            </w:pPr>
            <w:r>
              <w:rPr>
                <w:sz w:val="20"/>
              </w:rPr>
              <w:t>Income tax</w:t>
            </w:r>
          </w:p>
        </w:tc>
        <w:tc>
          <w:tcPr>
            <w:tcW w:w="1285" w:type="dxa"/>
          </w:tcPr>
          <w:p w14:paraId="0378DB59" w14:textId="77777777" w:rsidR="0046798B" w:rsidRDefault="0046798B">
            <w:pPr>
              <w:pStyle w:val="TableParagraph"/>
            </w:pPr>
          </w:p>
          <w:p w14:paraId="4E83AA91" w14:textId="77777777" w:rsidR="0046798B" w:rsidRDefault="0046798B">
            <w:pPr>
              <w:pStyle w:val="TableParagraph"/>
              <w:spacing w:before="9"/>
              <w:rPr>
                <w:sz w:val="21"/>
              </w:rPr>
            </w:pPr>
          </w:p>
          <w:p w14:paraId="2C335039" w14:textId="77777777" w:rsidR="0046798B" w:rsidRDefault="00903B5C">
            <w:pPr>
              <w:pStyle w:val="TableParagraph"/>
              <w:ind w:left="114"/>
              <w:rPr>
                <w:sz w:val="20"/>
              </w:rPr>
            </w:pPr>
            <w:r>
              <w:rPr>
                <w:sz w:val="20"/>
              </w:rPr>
              <w:t>1936–2014</w:t>
            </w:r>
          </w:p>
        </w:tc>
        <w:tc>
          <w:tcPr>
            <w:tcW w:w="3421" w:type="dxa"/>
          </w:tcPr>
          <w:p w14:paraId="4799627D" w14:textId="77777777" w:rsidR="0046798B" w:rsidRDefault="0046798B">
            <w:pPr>
              <w:pStyle w:val="TableParagraph"/>
            </w:pPr>
          </w:p>
          <w:p w14:paraId="62642FB2" w14:textId="77777777" w:rsidR="0046798B" w:rsidRDefault="00903B5C">
            <w:pPr>
              <w:pStyle w:val="TableParagraph"/>
              <w:spacing w:before="135"/>
              <w:ind w:left="114" w:right="87"/>
              <w:rPr>
                <w:sz w:val="20"/>
              </w:rPr>
            </w:pPr>
            <w:r>
              <w:rPr>
                <w:sz w:val="20"/>
              </w:rPr>
              <w:t>Does the state have an income tax? (0 = no, 1 = yes)</w:t>
            </w:r>
          </w:p>
        </w:tc>
        <w:tc>
          <w:tcPr>
            <w:tcW w:w="6482" w:type="dxa"/>
          </w:tcPr>
          <w:p w14:paraId="3886BB26"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0EC718A5" w14:textId="77777777">
        <w:trPr>
          <w:trHeight w:val="1235"/>
        </w:trPr>
        <w:tc>
          <w:tcPr>
            <w:tcW w:w="1711" w:type="dxa"/>
          </w:tcPr>
          <w:p w14:paraId="0C960912" w14:textId="77777777" w:rsidR="0046798B" w:rsidRDefault="0046798B">
            <w:pPr>
              <w:pStyle w:val="TableParagraph"/>
            </w:pPr>
          </w:p>
          <w:p w14:paraId="72E6AE29" w14:textId="77777777" w:rsidR="0046798B" w:rsidRDefault="00903B5C">
            <w:pPr>
              <w:pStyle w:val="TableParagraph"/>
              <w:spacing w:before="136"/>
              <w:ind w:left="115" w:right="154"/>
              <w:rPr>
                <w:b/>
                <w:sz w:val="20"/>
              </w:rPr>
            </w:pPr>
            <w:r>
              <w:rPr>
                <w:b/>
                <w:sz w:val="20"/>
              </w:rPr>
              <w:t>sales_taxes_bina ry_pre1946</w:t>
            </w:r>
          </w:p>
        </w:tc>
        <w:tc>
          <w:tcPr>
            <w:tcW w:w="1596" w:type="dxa"/>
          </w:tcPr>
          <w:p w14:paraId="16B444B2" w14:textId="77777777" w:rsidR="0046798B" w:rsidRDefault="0046798B">
            <w:pPr>
              <w:pStyle w:val="TableParagraph"/>
            </w:pPr>
          </w:p>
          <w:p w14:paraId="1CBC266D" w14:textId="77777777" w:rsidR="0046798B" w:rsidRDefault="0046798B">
            <w:pPr>
              <w:pStyle w:val="TableParagraph"/>
              <w:spacing w:before="9"/>
              <w:rPr>
                <w:sz w:val="21"/>
              </w:rPr>
            </w:pPr>
          </w:p>
          <w:p w14:paraId="791ADB31" w14:textId="77777777" w:rsidR="0046798B" w:rsidRDefault="00903B5C">
            <w:pPr>
              <w:pStyle w:val="TableParagraph"/>
              <w:ind w:left="114"/>
              <w:rPr>
                <w:sz w:val="20"/>
              </w:rPr>
            </w:pPr>
            <w:r>
              <w:rPr>
                <w:sz w:val="20"/>
              </w:rPr>
              <w:t>Sales tax</w:t>
            </w:r>
          </w:p>
        </w:tc>
        <w:tc>
          <w:tcPr>
            <w:tcW w:w="1285" w:type="dxa"/>
          </w:tcPr>
          <w:p w14:paraId="1657DE77" w14:textId="77777777" w:rsidR="0046798B" w:rsidRDefault="0046798B">
            <w:pPr>
              <w:pStyle w:val="TableParagraph"/>
            </w:pPr>
          </w:p>
          <w:p w14:paraId="43FE31DA" w14:textId="77777777" w:rsidR="0046798B" w:rsidRDefault="0046798B">
            <w:pPr>
              <w:pStyle w:val="TableParagraph"/>
              <w:spacing w:before="9"/>
              <w:rPr>
                <w:sz w:val="21"/>
              </w:rPr>
            </w:pPr>
          </w:p>
          <w:p w14:paraId="09CB61FF" w14:textId="77777777" w:rsidR="0046798B" w:rsidRDefault="00903B5C">
            <w:pPr>
              <w:pStyle w:val="TableParagraph"/>
              <w:ind w:left="114"/>
              <w:rPr>
                <w:sz w:val="20"/>
              </w:rPr>
            </w:pPr>
            <w:r>
              <w:rPr>
                <w:sz w:val="20"/>
              </w:rPr>
              <w:t>1936–1945</w:t>
            </w:r>
          </w:p>
        </w:tc>
        <w:tc>
          <w:tcPr>
            <w:tcW w:w="3421" w:type="dxa"/>
          </w:tcPr>
          <w:p w14:paraId="5A7B3965" w14:textId="77777777" w:rsidR="0046798B" w:rsidRDefault="0046798B">
            <w:pPr>
              <w:pStyle w:val="TableParagraph"/>
            </w:pPr>
          </w:p>
          <w:p w14:paraId="4455B5A7" w14:textId="77777777" w:rsidR="0046798B" w:rsidRDefault="00903B5C">
            <w:pPr>
              <w:pStyle w:val="TableParagraph"/>
              <w:spacing w:before="136"/>
              <w:ind w:left="114" w:right="87"/>
              <w:rPr>
                <w:sz w:val="20"/>
              </w:rPr>
            </w:pPr>
            <w:r>
              <w:rPr>
                <w:sz w:val="20"/>
              </w:rPr>
              <w:t>Does the state have a sales tax? (0 = no, 1 = yes)</w:t>
            </w:r>
          </w:p>
        </w:tc>
        <w:tc>
          <w:tcPr>
            <w:tcW w:w="6482" w:type="dxa"/>
          </w:tcPr>
          <w:p w14:paraId="272698F8"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1E559CD3" w14:textId="77777777">
        <w:trPr>
          <w:trHeight w:val="2160"/>
        </w:trPr>
        <w:tc>
          <w:tcPr>
            <w:tcW w:w="1711" w:type="dxa"/>
          </w:tcPr>
          <w:p w14:paraId="07092E6A" w14:textId="77777777" w:rsidR="0046798B" w:rsidRDefault="0046798B">
            <w:pPr>
              <w:pStyle w:val="TableParagraph"/>
            </w:pPr>
          </w:p>
          <w:p w14:paraId="06463C07" w14:textId="77777777" w:rsidR="0046798B" w:rsidRDefault="0046798B">
            <w:pPr>
              <w:pStyle w:val="TableParagraph"/>
            </w:pPr>
          </w:p>
          <w:p w14:paraId="4F798FC4" w14:textId="77777777" w:rsidR="0046798B" w:rsidRDefault="0046798B">
            <w:pPr>
              <w:pStyle w:val="TableParagraph"/>
            </w:pPr>
          </w:p>
          <w:p w14:paraId="058D2707" w14:textId="77777777" w:rsidR="0046798B" w:rsidRDefault="0046798B">
            <w:pPr>
              <w:pStyle w:val="TableParagraph"/>
              <w:spacing w:before="9"/>
              <w:rPr>
                <w:sz w:val="17"/>
              </w:rPr>
            </w:pPr>
          </w:p>
          <w:p w14:paraId="131EDC56" w14:textId="77777777" w:rsidR="0046798B" w:rsidRDefault="00903B5C">
            <w:pPr>
              <w:pStyle w:val="TableParagraph"/>
              <w:ind w:left="115"/>
              <w:rPr>
                <w:b/>
                <w:sz w:val="20"/>
              </w:rPr>
            </w:pPr>
            <w:r>
              <w:rPr>
                <w:b/>
                <w:sz w:val="20"/>
              </w:rPr>
              <w:t>x_sales_taxes</w:t>
            </w:r>
          </w:p>
        </w:tc>
        <w:tc>
          <w:tcPr>
            <w:tcW w:w="1596" w:type="dxa"/>
          </w:tcPr>
          <w:p w14:paraId="21F789D7" w14:textId="77777777" w:rsidR="0046798B" w:rsidRDefault="0046798B">
            <w:pPr>
              <w:pStyle w:val="TableParagraph"/>
            </w:pPr>
          </w:p>
          <w:p w14:paraId="306FB23B" w14:textId="77777777" w:rsidR="0046798B" w:rsidRDefault="0046798B">
            <w:pPr>
              <w:pStyle w:val="TableParagraph"/>
            </w:pPr>
          </w:p>
          <w:p w14:paraId="481552F5" w14:textId="77777777" w:rsidR="0046798B" w:rsidRDefault="0046798B">
            <w:pPr>
              <w:pStyle w:val="TableParagraph"/>
            </w:pPr>
          </w:p>
          <w:p w14:paraId="751C4C74" w14:textId="77777777" w:rsidR="0046798B" w:rsidRDefault="0046798B">
            <w:pPr>
              <w:pStyle w:val="TableParagraph"/>
              <w:spacing w:before="9"/>
              <w:rPr>
                <w:sz w:val="17"/>
              </w:rPr>
            </w:pPr>
          </w:p>
          <w:p w14:paraId="59ADFAF8" w14:textId="77777777" w:rsidR="0046798B" w:rsidRDefault="00903B5C">
            <w:pPr>
              <w:pStyle w:val="TableParagraph"/>
              <w:ind w:left="114"/>
              <w:rPr>
                <w:sz w:val="20"/>
              </w:rPr>
            </w:pPr>
            <w:r>
              <w:rPr>
                <w:sz w:val="20"/>
              </w:rPr>
              <w:t>Sales tax rate</w:t>
            </w:r>
          </w:p>
        </w:tc>
        <w:tc>
          <w:tcPr>
            <w:tcW w:w="1285" w:type="dxa"/>
          </w:tcPr>
          <w:p w14:paraId="0281ED9D" w14:textId="77777777" w:rsidR="0046798B" w:rsidRDefault="0046798B">
            <w:pPr>
              <w:pStyle w:val="TableParagraph"/>
            </w:pPr>
          </w:p>
          <w:p w14:paraId="4D855AA1" w14:textId="77777777" w:rsidR="0046798B" w:rsidRDefault="0046798B">
            <w:pPr>
              <w:pStyle w:val="TableParagraph"/>
            </w:pPr>
          </w:p>
          <w:p w14:paraId="0FF2ADFB" w14:textId="77777777" w:rsidR="0046798B" w:rsidRDefault="0046798B">
            <w:pPr>
              <w:pStyle w:val="TableParagraph"/>
            </w:pPr>
          </w:p>
          <w:p w14:paraId="6C093858" w14:textId="77777777" w:rsidR="0046798B" w:rsidRDefault="0046798B">
            <w:pPr>
              <w:pStyle w:val="TableParagraph"/>
              <w:spacing w:before="9"/>
              <w:rPr>
                <w:sz w:val="17"/>
              </w:rPr>
            </w:pPr>
          </w:p>
          <w:p w14:paraId="38C370B8" w14:textId="77777777" w:rsidR="0046798B" w:rsidRDefault="00903B5C">
            <w:pPr>
              <w:pStyle w:val="TableParagraph"/>
              <w:ind w:left="114"/>
              <w:rPr>
                <w:sz w:val="20"/>
              </w:rPr>
            </w:pPr>
            <w:r>
              <w:rPr>
                <w:sz w:val="20"/>
              </w:rPr>
              <w:t>1946–2014</w:t>
            </w:r>
          </w:p>
        </w:tc>
        <w:tc>
          <w:tcPr>
            <w:tcW w:w="3421" w:type="dxa"/>
          </w:tcPr>
          <w:p w14:paraId="3CC81A49" w14:textId="77777777" w:rsidR="0046798B" w:rsidRDefault="0046798B">
            <w:pPr>
              <w:pStyle w:val="TableParagraph"/>
            </w:pPr>
          </w:p>
          <w:p w14:paraId="63A53B62" w14:textId="77777777" w:rsidR="0046798B" w:rsidRDefault="0046798B">
            <w:pPr>
              <w:pStyle w:val="TableParagraph"/>
            </w:pPr>
          </w:p>
          <w:p w14:paraId="54E408C6" w14:textId="77777777" w:rsidR="0046798B" w:rsidRDefault="0046798B">
            <w:pPr>
              <w:pStyle w:val="TableParagraph"/>
            </w:pPr>
          </w:p>
          <w:p w14:paraId="4B317C87" w14:textId="77777777" w:rsidR="0046798B" w:rsidRDefault="0046798B">
            <w:pPr>
              <w:pStyle w:val="TableParagraph"/>
              <w:spacing w:before="9"/>
              <w:rPr>
                <w:sz w:val="17"/>
              </w:rPr>
            </w:pPr>
          </w:p>
          <w:p w14:paraId="448336C3" w14:textId="77777777" w:rsidR="0046798B" w:rsidRDefault="00903B5C">
            <w:pPr>
              <w:pStyle w:val="TableParagraph"/>
              <w:ind w:left="114"/>
              <w:rPr>
                <w:sz w:val="20"/>
              </w:rPr>
            </w:pPr>
            <w:r>
              <w:rPr>
                <w:sz w:val="20"/>
              </w:rPr>
              <w:t>What is the sales tax rate?</w:t>
            </w:r>
          </w:p>
        </w:tc>
        <w:tc>
          <w:tcPr>
            <w:tcW w:w="6482" w:type="dxa"/>
          </w:tcPr>
          <w:p w14:paraId="78D8AA02"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p w14:paraId="2AFF0065" w14:textId="77777777" w:rsidR="0046798B" w:rsidRDefault="0046798B">
            <w:pPr>
              <w:pStyle w:val="TableParagraph"/>
              <w:spacing w:before="1"/>
              <w:rPr>
                <w:sz w:val="20"/>
              </w:rPr>
            </w:pPr>
          </w:p>
          <w:p w14:paraId="13BEEB4D" w14:textId="77777777" w:rsidR="0046798B" w:rsidRDefault="00903B5C">
            <w:pPr>
              <w:pStyle w:val="TableParagraph"/>
              <w:ind w:left="114" w:right="622"/>
              <w:rPr>
                <w:sz w:val="20"/>
              </w:rPr>
            </w:pPr>
            <w:r>
              <w:rPr>
                <w:sz w:val="20"/>
              </w:rPr>
              <w:t xml:space="preserve">For 2019: “State Sales Tax Rates” (provided by the Sales Tax Institute) </w:t>
            </w:r>
            <w:hyperlink r:id="rId380">
              <w:r>
                <w:rPr>
                  <w:color w:val="0462C1"/>
                  <w:sz w:val="20"/>
                  <w:u w:val="single" w:color="0462C1"/>
                </w:rPr>
                <w:t>https://www.salestaxinstitute.com/resources/rates</w:t>
              </w:r>
            </w:hyperlink>
          </w:p>
        </w:tc>
      </w:tr>
      <w:tr w:rsidR="0046798B" w14:paraId="0AC35D62" w14:textId="77777777">
        <w:trPr>
          <w:trHeight w:val="1235"/>
        </w:trPr>
        <w:tc>
          <w:tcPr>
            <w:tcW w:w="1711" w:type="dxa"/>
          </w:tcPr>
          <w:p w14:paraId="556E18CD" w14:textId="77777777" w:rsidR="0046798B" w:rsidRDefault="0046798B">
            <w:pPr>
              <w:pStyle w:val="TableParagraph"/>
            </w:pPr>
          </w:p>
          <w:p w14:paraId="7BBA5B9E" w14:textId="77777777" w:rsidR="0046798B" w:rsidRDefault="0046798B">
            <w:pPr>
              <w:pStyle w:val="TableParagraph"/>
              <w:spacing w:before="4"/>
              <w:rPr>
                <w:sz w:val="21"/>
              </w:rPr>
            </w:pPr>
          </w:p>
          <w:p w14:paraId="3759B2DC" w14:textId="77777777" w:rsidR="0046798B" w:rsidRDefault="00903B5C">
            <w:pPr>
              <w:pStyle w:val="TableParagraph"/>
              <w:ind w:left="115"/>
              <w:rPr>
                <w:b/>
                <w:sz w:val="20"/>
              </w:rPr>
            </w:pPr>
            <w:r>
              <w:rPr>
                <w:b/>
                <w:sz w:val="20"/>
              </w:rPr>
              <w:t>x_tax_burden</w:t>
            </w:r>
          </w:p>
        </w:tc>
        <w:tc>
          <w:tcPr>
            <w:tcW w:w="1596" w:type="dxa"/>
          </w:tcPr>
          <w:p w14:paraId="072F8282" w14:textId="77777777" w:rsidR="0046798B" w:rsidRDefault="0046798B">
            <w:pPr>
              <w:pStyle w:val="TableParagraph"/>
            </w:pPr>
          </w:p>
          <w:p w14:paraId="44AE6DDF" w14:textId="77777777" w:rsidR="0046798B" w:rsidRDefault="0046798B">
            <w:pPr>
              <w:pStyle w:val="TableParagraph"/>
              <w:spacing w:before="4"/>
              <w:rPr>
                <w:sz w:val="21"/>
              </w:rPr>
            </w:pPr>
          </w:p>
          <w:p w14:paraId="72B9EA23" w14:textId="77777777" w:rsidR="0046798B" w:rsidRDefault="00903B5C">
            <w:pPr>
              <w:pStyle w:val="TableParagraph"/>
              <w:ind w:left="114"/>
              <w:rPr>
                <w:sz w:val="20"/>
              </w:rPr>
            </w:pPr>
            <w:r>
              <w:rPr>
                <w:sz w:val="20"/>
              </w:rPr>
              <w:t>Tax burden</w:t>
            </w:r>
          </w:p>
        </w:tc>
        <w:tc>
          <w:tcPr>
            <w:tcW w:w="1285" w:type="dxa"/>
          </w:tcPr>
          <w:p w14:paraId="615830A8" w14:textId="77777777" w:rsidR="0046798B" w:rsidRDefault="0046798B">
            <w:pPr>
              <w:pStyle w:val="TableParagraph"/>
            </w:pPr>
          </w:p>
          <w:p w14:paraId="0F4F8543" w14:textId="77777777" w:rsidR="0046798B" w:rsidRDefault="0046798B">
            <w:pPr>
              <w:pStyle w:val="TableParagraph"/>
              <w:spacing w:before="4"/>
              <w:rPr>
                <w:sz w:val="21"/>
              </w:rPr>
            </w:pPr>
          </w:p>
          <w:p w14:paraId="78B801DA" w14:textId="77777777" w:rsidR="0046798B" w:rsidRDefault="00903B5C">
            <w:pPr>
              <w:pStyle w:val="TableParagraph"/>
              <w:ind w:left="114"/>
              <w:rPr>
                <w:sz w:val="20"/>
              </w:rPr>
            </w:pPr>
            <w:r>
              <w:rPr>
                <w:sz w:val="20"/>
              </w:rPr>
              <w:t>1977–2010</w:t>
            </w:r>
          </w:p>
        </w:tc>
        <w:tc>
          <w:tcPr>
            <w:tcW w:w="3421" w:type="dxa"/>
          </w:tcPr>
          <w:p w14:paraId="462BEFF9" w14:textId="77777777" w:rsidR="0046798B" w:rsidRDefault="0046798B">
            <w:pPr>
              <w:pStyle w:val="TableParagraph"/>
            </w:pPr>
          </w:p>
          <w:p w14:paraId="1EA1ECF7" w14:textId="77777777" w:rsidR="0046798B" w:rsidRDefault="00903B5C">
            <w:pPr>
              <w:pStyle w:val="TableParagraph"/>
              <w:spacing w:before="130"/>
              <w:ind w:left="114" w:right="533"/>
              <w:rPr>
                <w:sz w:val="20"/>
              </w:rPr>
            </w:pPr>
            <w:r>
              <w:rPr>
                <w:sz w:val="20"/>
              </w:rPr>
              <w:t>What is the state’s tax burden (per capita taxes/per capita income)?</w:t>
            </w:r>
          </w:p>
        </w:tc>
        <w:tc>
          <w:tcPr>
            <w:tcW w:w="6482" w:type="dxa"/>
          </w:tcPr>
          <w:p w14:paraId="450C7A79"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2E834A7E" w14:textId="77777777">
        <w:trPr>
          <w:trHeight w:val="1235"/>
        </w:trPr>
        <w:tc>
          <w:tcPr>
            <w:tcW w:w="1711" w:type="dxa"/>
          </w:tcPr>
          <w:p w14:paraId="03E241E3" w14:textId="77777777" w:rsidR="0046798B" w:rsidRDefault="0046798B">
            <w:pPr>
              <w:pStyle w:val="TableParagraph"/>
            </w:pPr>
          </w:p>
          <w:p w14:paraId="1A06474E" w14:textId="77777777" w:rsidR="0046798B" w:rsidRDefault="0046798B">
            <w:pPr>
              <w:pStyle w:val="TableParagraph"/>
              <w:spacing w:before="4"/>
              <w:rPr>
                <w:sz w:val="21"/>
              </w:rPr>
            </w:pPr>
          </w:p>
          <w:p w14:paraId="7DEA4AC2" w14:textId="77777777" w:rsidR="0046798B" w:rsidRDefault="00903B5C">
            <w:pPr>
              <w:pStyle w:val="TableParagraph"/>
              <w:ind w:left="115"/>
              <w:rPr>
                <w:b/>
                <w:sz w:val="20"/>
              </w:rPr>
            </w:pPr>
            <w:r>
              <w:rPr>
                <w:b/>
                <w:sz w:val="20"/>
              </w:rPr>
              <w:t>x_tax_rate_rich</w:t>
            </w:r>
          </w:p>
        </w:tc>
        <w:tc>
          <w:tcPr>
            <w:tcW w:w="1596" w:type="dxa"/>
          </w:tcPr>
          <w:p w14:paraId="2042E300" w14:textId="77777777" w:rsidR="0046798B" w:rsidRDefault="0046798B">
            <w:pPr>
              <w:pStyle w:val="TableParagraph"/>
            </w:pPr>
          </w:p>
          <w:p w14:paraId="410B277B" w14:textId="77777777" w:rsidR="0046798B" w:rsidRDefault="00903B5C">
            <w:pPr>
              <w:pStyle w:val="TableParagraph"/>
              <w:spacing w:before="130"/>
              <w:ind w:left="114" w:right="319"/>
              <w:rPr>
                <w:sz w:val="20"/>
              </w:rPr>
            </w:pPr>
            <w:r>
              <w:rPr>
                <w:sz w:val="20"/>
              </w:rPr>
              <w:t>Income tax rate—wealthy</w:t>
            </w:r>
          </w:p>
        </w:tc>
        <w:tc>
          <w:tcPr>
            <w:tcW w:w="1285" w:type="dxa"/>
          </w:tcPr>
          <w:p w14:paraId="63F6612A" w14:textId="77777777" w:rsidR="0046798B" w:rsidRDefault="0046798B">
            <w:pPr>
              <w:pStyle w:val="TableParagraph"/>
            </w:pPr>
          </w:p>
          <w:p w14:paraId="7DFA6D08" w14:textId="77777777" w:rsidR="0046798B" w:rsidRDefault="0046798B">
            <w:pPr>
              <w:pStyle w:val="TableParagraph"/>
              <w:spacing w:before="4"/>
              <w:rPr>
                <w:sz w:val="21"/>
              </w:rPr>
            </w:pPr>
          </w:p>
          <w:p w14:paraId="0B35D7E0" w14:textId="77777777" w:rsidR="0046798B" w:rsidRDefault="00903B5C">
            <w:pPr>
              <w:pStyle w:val="TableParagraph"/>
              <w:ind w:left="114"/>
              <w:rPr>
                <w:sz w:val="20"/>
              </w:rPr>
            </w:pPr>
            <w:r>
              <w:rPr>
                <w:sz w:val="20"/>
              </w:rPr>
              <w:t>1977–2012</w:t>
            </w:r>
          </w:p>
        </w:tc>
        <w:tc>
          <w:tcPr>
            <w:tcW w:w="3421" w:type="dxa"/>
          </w:tcPr>
          <w:p w14:paraId="2BA76B8B" w14:textId="77777777" w:rsidR="0046798B" w:rsidRDefault="0046798B">
            <w:pPr>
              <w:pStyle w:val="TableParagraph"/>
              <w:spacing w:before="3"/>
              <w:rPr>
                <w:sz w:val="23"/>
              </w:rPr>
            </w:pPr>
          </w:p>
          <w:p w14:paraId="50D56BB1" w14:textId="77777777" w:rsidR="0046798B" w:rsidRDefault="00903B5C">
            <w:pPr>
              <w:pStyle w:val="TableParagraph"/>
              <w:spacing w:before="1"/>
              <w:ind w:left="114" w:right="172"/>
              <w:jc w:val="both"/>
              <w:rPr>
                <w:sz w:val="20"/>
              </w:rPr>
            </w:pPr>
            <w:r>
              <w:rPr>
                <w:sz w:val="20"/>
              </w:rPr>
              <w:t>What is the state individual income tax rate for an individual who makes more than 1.5 million real dollars?</w:t>
            </w:r>
          </w:p>
        </w:tc>
        <w:tc>
          <w:tcPr>
            <w:tcW w:w="6482" w:type="dxa"/>
          </w:tcPr>
          <w:p w14:paraId="269147FC"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547CDF29" w14:textId="77777777">
        <w:trPr>
          <w:trHeight w:val="1925"/>
        </w:trPr>
        <w:tc>
          <w:tcPr>
            <w:tcW w:w="1711" w:type="dxa"/>
          </w:tcPr>
          <w:p w14:paraId="7DCD833C" w14:textId="77777777" w:rsidR="0046798B" w:rsidRDefault="0046798B">
            <w:pPr>
              <w:pStyle w:val="TableParagraph"/>
            </w:pPr>
          </w:p>
          <w:p w14:paraId="50308F3B" w14:textId="77777777" w:rsidR="0046798B" w:rsidRDefault="0046798B">
            <w:pPr>
              <w:pStyle w:val="TableParagraph"/>
            </w:pPr>
          </w:p>
          <w:p w14:paraId="71F39CC7" w14:textId="77777777" w:rsidR="0046798B" w:rsidRDefault="0046798B">
            <w:pPr>
              <w:pStyle w:val="TableParagraph"/>
              <w:spacing w:before="4"/>
              <w:rPr>
                <w:sz w:val="19"/>
              </w:rPr>
            </w:pPr>
          </w:p>
          <w:p w14:paraId="29D27009" w14:textId="77777777" w:rsidR="0046798B" w:rsidRDefault="00903B5C">
            <w:pPr>
              <w:pStyle w:val="TableParagraph"/>
              <w:ind w:left="115" w:right="99"/>
              <w:rPr>
                <w:b/>
                <w:sz w:val="20"/>
              </w:rPr>
            </w:pPr>
            <w:r>
              <w:rPr>
                <w:b/>
                <w:sz w:val="20"/>
              </w:rPr>
              <w:t>x_top_corporatei ncometaxrate</w:t>
            </w:r>
          </w:p>
        </w:tc>
        <w:tc>
          <w:tcPr>
            <w:tcW w:w="1596" w:type="dxa"/>
          </w:tcPr>
          <w:p w14:paraId="0920D8EC" w14:textId="77777777" w:rsidR="0046798B" w:rsidRDefault="0046798B">
            <w:pPr>
              <w:pStyle w:val="TableParagraph"/>
            </w:pPr>
          </w:p>
          <w:p w14:paraId="4C2E8C6E" w14:textId="77777777" w:rsidR="0046798B" w:rsidRDefault="0046798B">
            <w:pPr>
              <w:pStyle w:val="TableParagraph"/>
            </w:pPr>
          </w:p>
          <w:p w14:paraId="30CE48BB" w14:textId="77777777" w:rsidR="0046798B" w:rsidRDefault="0046798B">
            <w:pPr>
              <w:pStyle w:val="TableParagraph"/>
              <w:spacing w:before="4"/>
              <w:rPr>
                <w:sz w:val="19"/>
              </w:rPr>
            </w:pPr>
          </w:p>
          <w:p w14:paraId="74C8EF91" w14:textId="77777777" w:rsidR="0046798B" w:rsidRDefault="00903B5C">
            <w:pPr>
              <w:pStyle w:val="TableParagraph"/>
              <w:ind w:left="114" w:right="324"/>
              <w:rPr>
                <w:sz w:val="20"/>
              </w:rPr>
            </w:pPr>
            <w:r>
              <w:rPr>
                <w:sz w:val="20"/>
              </w:rPr>
              <w:t>Top corporate tax rate</w:t>
            </w:r>
          </w:p>
        </w:tc>
        <w:tc>
          <w:tcPr>
            <w:tcW w:w="1285" w:type="dxa"/>
          </w:tcPr>
          <w:p w14:paraId="5B9B925F" w14:textId="77777777" w:rsidR="0046798B" w:rsidRDefault="0046798B">
            <w:pPr>
              <w:pStyle w:val="TableParagraph"/>
            </w:pPr>
          </w:p>
          <w:p w14:paraId="7A4B3AB9" w14:textId="77777777" w:rsidR="0046798B" w:rsidRDefault="0046798B">
            <w:pPr>
              <w:pStyle w:val="TableParagraph"/>
            </w:pPr>
          </w:p>
          <w:p w14:paraId="3318C0D8" w14:textId="77777777" w:rsidR="0046798B" w:rsidRDefault="0046798B">
            <w:pPr>
              <w:pStyle w:val="TableParagraph"/>
              <w:spacing w:before="4"/>
              <w:rPr>
                <w:sz w:val="29"/>
              </w:rPr>
            </w:pPr>
          </w:p>
          <w:p w14:paraId="57AAFF33" w14:textId="77777777" w:rsidR="0046798B" w:rsidRDefault="00903B5C">
            <w:pPr>
              <w:pStyle w:val="TableParagraph"/>
              <w:ind w:left="114"/>
              <w:rPr>
                <w:sz w:val="20"/>
              </w:rPr>
            </w:pPr>
            <w:r>
              <w:rPr>
                <w:sz w:val="20"/>
              </w:rPr>
              <w:t>1941–2014</w:t>
            </w:r>
          </w:p>
        </w:tc>
        <w:tc>
          <w:tcPr>
            <w:tcW w:w="3421" w:type="dxa"/>
          </w:tcPr>
          <w:p w14:paraId="560D3479" w14:textId="77777777" w:rsidR="0046798B" w:rsidRDefault="0046798B">
            <w:pPr>
              <w:pStyle w:val="TableParagraph"/>
            </w:pPr>
          </w:p>
          <w:p w14:paraId="53A2E3D7" w14:textId="77777777" w:rsidR="0046798B" w:rsidRDefault="0046798B">
            <w:pPr>
              <w:pStyle w:val="TableParagraph"/>
            </w:pPr>
          </w:p>
          <w:p w14:paraId="2B0B9FCD" w14:textId="77777777" w:rsidR="0046798B" w:rsidRDefault="0046798B">
            <w:pPr>
              <w:pStyle w:val="TableParagraph"/>
              <w:spacing w:before="4"/>
              <w:rPr>
                <w:sz w:val="29"/>
              </w:rPr>
            </w:pPr>
          </w:p>
          <w:p w14:paraId="77FE3623" w14:textId="77777777" w:rsidR="0046798B" w:rsidRDefault="00903B5C">
            <w:pPr>
              <w:pStyle w:val="TableParagraph"/>
              <w:ind w:left="114"/>
              <w:rPr>
                <w:sz w:val="20"/>
              </w:rPr>
            </w:pPr>
            <w:r>
              <w:rPr>
                <w:sz w:val="20"/>
              </w:rPr>
              <w:t>What is the top corporate tax rate?</w:t>
            </w:r>
          </w:p>
        </w:tc>
        <w:tc>
          <w:tcPr>
            <w:tcW w:w="6482" w:type="dxa"/>
          </w:tcPr>
          <w:p w14:paraId="6E6FE588"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p w14:paraId="55C58652" w14:textId="77777777" w:rsidR="0046798B" w:rsidRDefault="0046798B">
            <w:pPr>
              <w:pStyle w:val="TableParagraph"/>
              <w:rPr>
                <w:sz w:val="20"/>
              </w:rPr>
            </w:pPr>
          </w:p>
          <w:p w14:paraId="15BED1A2" w14:textId="77777777" w:rsidR="0046798B" w:rsidRDefault="00903B5C">
            <w:pPr>
              <w:pStyle w:val="TableParagraph"/>
              <w:ind w:left="114" w:right="727"/>
              <w:rPr>
                <w:sz w:val="20"/>
              </w:rPr>
            </w:pPr>
            <w:r>
              <w:rPr>
                <w:color w:val="0462C1"/>
                <w:sz w:val="20"/>
                <w:u w:val="single" w:color="0462C1"/>
              </w:rPr>
              <w:t>For 2019: “Facts and Figures 2019: How Does Your State Compare?”</w:t>
            </w:r>
            <w:r>
              <w:rPr>
                <w:color w:val="0462C1"/>
                <w:sz w:val="20"/>
              </w:rPr>
              <w:t xml:space="preserve"> </w:t>
            </w:r>
            <w:r>
              <w:rPr>
                <w:color w:val="0462C1"/>
                <w:sz w:val="20"/>
                <w:u w:val="single" w:color="0462C1"/>
              </w:rPr>
              <w:t>(provided by The Tax Foundation)</w:t>
            </w:r>
          </w:p>
        </w:tc>
      </w:tr>
    </w:tbl>
    <w:p w14:paraId="558A0148" w14:textId="77777777" w:rsidR="0046798B" w:rsidRDefault="0046798B">
      <w:pPr>
        <w:rPr>
          <w:sz w:val="20"/>
        </w:rPr>
        <w:sectPr w:rsidR="0046798B">
          <w:pgSz w:w="15840" w:h="12240" w:orient="landscape"/>
          <w:pgMar w:top="1220" w:right="300" w:bottom="980" w:left="820" w:header="730" w:footer="787" w:gutter="0"/>
          <w:cols w:space="720"/>
        </w:sectPr>
      </w:pPr>
    </w:p>
    <w:p w14:paraId="2A601BBF"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AB3B22F" w14:textId="77777777">
        <w:trPr>
          <w:trHeight w:val="542"/>
        </w:trPr>
        <w:tc>
          <w:tcPr>
            <w:tcW w:w="1711" w:type="dxa"/>
            <w:tcBorders>
              <w:bottom w:val="dotted" w:sz="6" w:space="0" w:color="BEBEBE"/>
            </w:tcBorders>
          </w:tcPr>
          <w:p w14:paraId="44153A24" w14:textId="77777777" w:rsidR="0046798B" w:rsidRDefault="0046798B">
            <w:pPr>
              <w:pStyle w:val="TableParagraph"/>
              <w:rPr>
                <w:sz w:val="20"/>
              </w:rPr>
            </w:pPr>
          </w:p>
        </w:tc>
        <w:tc>
          <w:tcPr>
            <w:tcW w:w="1596" w:type="dxa"/>
            <w:tcBorders>
              <w:bottom w:val="dotted" w:sz="6" w:space="0" w:color="BEBEBE"/>
            </w:tcBorders>
          </w:tcPr>
          <w:p w14:paraId="7D64430D" w14:textId="77777777" w:rsidR="0046798B" w:rsidRDefault="0046798B">
            <w:pPr>
              <w:pStyle w:val="TableParagraph"/>
              <w:rPr>
                <w:sz w:val="20"/>
              </w:rPr>
            </w:pPr>
          </w:p>
        </w:tc>
        <w:tc>
          <w:tcPr>
            <w:tcW w:w="1285" w:type="dxa"/>
            <w:tcBorders>
              <w:bottom w:val="dotted" w:sz="6" w:space="0" w:color="BEBEBE"/>
            </w:tcBorders>
          </w:tcPr>
          <w:p w14:paraId="0A6D50F9" w14:textId="77777777" w:rsidR="0046798B" w:rsidRDefault="0046798B">
            <w:pPr>
              <w:pStyle w:val="TableParagraph"/>
              <w:rPr>
                <w:sz w:val="20"/>
              </w:rPr>
            </w:pPr>
          </w:p>
        </w:tc>
        <w:tc>
          <w:tcPr>
            <w:tcW w:w="3421" w:type="dxa"/>
            <w:tcBorders>
              <w:bottom w:val="dotted" w:sz="6" w:space="0" w:color="BEBEBE"/>
            </w:tcBorders>
          </w:tcPr>
          <w:p w14:paraId="1EC80EB1" w14:textId="77777777" w:rsidR="0046798B" w:rsidRDefault="0046798B">
            <w:pPr>
              <w:pStyle w:val="TableParagraph"/>
              <w:rPr>
                <w:sz w:val="20"/>
              </w:rPr>
            </w:pPr>
          </w:p>
        </w:tc>
        <w:tc>
          <w:tcPr>
            <w:tcW w:w="6482" w:type="dxa"/>
            <w:tcBorders>
              <w:bottom w:val="dotted" w:sz="6" w:space="0" w:color="BEBEBE"/>
            </w:tcBorders>
          </w:tcPr>
          <w:p w14:paraId="7BE8528C" w14:textId="77777777" w:rsidR="0046798B" w:rsidRDefault="00797354">
            <w:pPr>
              <w:pStyle w:val="TableParagraph"/>
              <w:spacing w:before="43"/>
              <w:ind w:left="114" w:right="387"/>
              <w:rPr>
                <w:sz w:val="20"/>
              </w:rPr>
            </w:pPr>
            <w:hyperlink r:id="rId381">
              <w:r w:rsidR="00903B5C">
                <w:rPr>
                  <w:color w:val="0462C1"/>
                  <w:sz w:val="20"/>
                  <w:u w:val="single" w:color="0462C1"/>
                </w:rPr>
                <w:t>https://files.taxfoundation.org/20190715165329/Facts-Figures-2019-How-</w:t>
              </w:r>
            </w:hyperlink>
            <w:r w:rsidR="00903B5C">
              <w:rPr>
                <w:color w:val="0462C1"/>
                <w:sz w:val="20"/>
              </w:rPr>
              <w:t xml:space="preserve"> </w:t>
            </w:r>
            <w:hyperlink r:id="rId382">
              <w:r w:rsidR="00903B5C">
                <w:rPr>
                  <w:color w:val="0462C1"/>
                  <w:sz w:val="20"/>
                  <w:u w:val="single" w:color="0462C1"/>
                </w:rPr>
                <w:t>Does-Your-State-Compare.pdf</w:t>
              </w:r>
            </w:hyperlink>
          </w:p>
        </w:tc>
      </w:tr>
      <w:tr w:rsidR="0046798B" w14:paraId="01C15907" w14:textId="77777777">
        <w:trPr>
          <w:trHeight w:val="2153"/>
        </w:trPr>
        <w:tc>
          <w:tcPr>
            <w:tcW w:w="1711" w:type="dxa"/>
            <w:tcBorders>
              <w:top w:val="dotted" w:sz="6" w:space="0" w:color="BEBEBE"/>
            </w:tcBorders>
          </w:tcPr>
          <w:p w14:paraId="7AC76925" w14:textId="77777777" w:rsidR="0046798B" w:rsidRDefault="0046798B">
            <w:pPr>
              <w:pStyle w:val="TableParagraph"/>
            </w:pPr>
          </w:p>
          <w:p w14:paraId="4F19B9DC" w14:textId="77777777" w:rsidR="0046798B" w:rsidRDefault="0046798B">
            <w:pPr>
              <w:pStyle w:val="TableParagraph"/>
            </w:pPr>
          </w:p>
          <w:p w14:paraId="28FC0BDC" w14:textId="77777777" w:rsidR="0046798B" w:rsidRDefault="0046798B">
            <w:pPr>
              <w:pStyle w:val="TableParagraph"/>
              <w:spacing w:before="6"/>
              <w:rPr>
                <w:sz w:val="29"/>
              </w:rPr>
            </w:pPr>
          </w:p>
          <w:p w14:paraId="685FAFB7" w14:textId="77777777" w:rsidR="0046798B" w:rsidRDefault="00903B5C">
            <w:pPr>
              <w:pStyle w:val="TableParagraph"/>
              <w:ind w:left="115" w:right="122"/>
              <w:rPr>
                <w:b/>
                <w:sz w:val="20"/>
              </w:rPr>
            </w:pPr>
            <w:r>
              <w:rPr>
                <w:b/>
                <w:sz w:val="20"/>
              </w:rPr>
              <w:t>federal_lien_regi stration_act</w:t>
            </w:r>
          </w:p>
        </w:tc>
        <w:tc>
          <w:tcPr>
            <w:tcW w:w="1596" w:type="dxa"/>
            <w:tcBorders>
              <w:top w:val="dotted" w:sz="6" w:space="0" w:color="BEBEBE"/>
            </w:tcBorders>
          </w:tcPr>
          <w:p w14:paraId="39E4F38C" w14:textId="77777777" w:rsidR="0046798B" w:rsidRDefault="00903B5C">
            <w:pPr>
              <w:pStyle w:val="TableParagraph"/>
              <w:spacing w:before="40"/>
              <w:ind w:left="114" w:right="124"/>
              <w:rPr>
                <w:sz w:val="20"/>
              </w:rPr>
            </w:pPr>
            <w:r>
              <w:rPr>
                <w:sz w:val="20"/>
              </w:rPr>
              <w:t>Allows federal tax liens to be filed in an office designated by the law of the state in which the property subject to the lien is situated</w:t>
            </w:r>
          </w:p>
        </w:tc>
        <w:tc>
          <w:tcPr>
            <w:tcW w:w="1285" w:type="dxa"/>
            <w:tcBorders>
              <w:top w:val="dotted" w:sz="6" w:space="0" w:color="BEBEBE"/>
            </w:tcBorders>
          </w:tcPr>
          <w:p w14:paraId="1F600333" w14:textId="77777777" w:rsidR="0046798B" w:rsidRDefault="0046798B">
            <w:pPr>
              <w:pStyle w:val="TableParagraph"/>
            </w:pPr>
          </w:p>
          <w:p w14:paraId="41677DFD" w14:textId="77777777" w:rsidR="0046798B" w:rsidRDefault="0046798B">
            <w:pPr>
              <w:pStyle w:val="TableParagraph"/>
            </w:pPr>
          </w:p>
          <w:p w14:paraId="3A59312C" w14:textId="77777777" w:rsidR="0046798B" w:rsidRDefault="0046798B">
            <w:pPr>
              <w:pStyle w:val="TableParagraph"/>
            </w:pPr>
          </w:p>
          <w:p w14:paraId="0AC02BCC" w14:textId="77777777" w:rsidR="0046798B" w:rsidRDefault="0046798B">
            <w:pPr>
              <w:pStyle w:val="TableParagraph"/>
              <w:spacing w:before="6"/>
              <w:rPr>
                <w:sz w:val="17"/>
              </w:rPr>
            </w:pPr>
          </w:p>
          <w:p w14:paraId="095CD72D" w14:textId="77777777" w:rsidR="0046798B" w:rsidRDefault="00903B5C">
            <w:pPr>
              <w:pStyle w:val="TableParagraph"/>
              <w:spacing w:before="1"/>
              <w:ind w:left="114"/>
              <w:rPr>
                <w:sz w:val="20"/>
              </w:rPr>
            </w:pPr>
            <w:r>
              <w:rPr>
                <w:sz w:val="20"/>
              </w:rPr>
              <w:t>1968–1998</w:t>
            </w:r>
          </w:p>
        </w:tc>
        <w:tc>
          <w:tcPr>
            <w:tcW w:w="3421" w:type="dxa"/>
            <w:tcBorders>
              <w:top w:val="dotted" w:sz="6" w:space="0" w:color="BEBEBE"/>
            </w:tcBorders>
          </w:tcPr>
          <w:p w14:paraId="49B79750" w14:textId="77777777" w:rsidR="0046798B" w:rsidRDefault="0046798B">
            <w:pPr>
              <w:pStyle w:val="TableParagraph"/>
            </w:pPr>
          </w:p>
          <w:p w14:paraId="2334BA38" w14:textId="77777777" w:rsidR="0046798B" w:rsidRDefault="0046798B">
            <w:pPr>
              <w:pStyle w:val="TableParagraph"/>
            </w:pPr>
          </w:p>
          <w:p w14:paraId="38D8CE3C" w14:textId="77777777" w:rsidR="0046798B" w:rsidRDefault="0046798B">
            <w:pPr>
              <w:pStyle w:val="TableParagraph"/>
              <w:spacing w:before="6"/>
              <w:rPr>
                <w:sz w:val="29"/>
              </w:rPr>
            </w:pPr>
          </w:p>
          <w:p w14:paraId="706CB01B" w14:textId="77777777" w:rsidR="0046798B" w:rsidRDefault="00903B5C">
            <w:pPr>
              <w:pStyle w:val="TableParagraph"/>
              <w:ind w:left="114" w:right="1475"/>
              <w:rPr>
                <w:sz w:val="20"/>
              </w:rPr>
            </w:pPr>
            <w:r>
              <w:rPr>
                <w:sz w:val="20"/>
              </w:rPr>
              <w:t>0 = policy not adopted 1 = policy adopted</w:t>
            </w:r>
          </w:p>
        </w:tc>
        <w:tc>
          <w:tcPr>
            <w:tcW w:w="6482" w:type="dxa"/>
            <w:tcBorders>
              <w:top w:val="dotted" w:sz="6" w:space="0" w:color="BEBEBE"/>
            </w:tcBorders>
          </w:tcPr>
          <w:p w14:paraId="14ACF39F" w14:textId="77777777" w:rsidR="0046798B" w:rsidRDefault="0046798B">
            <w:pPr>
              <w:pStyle w:val="TableParagraph"/>
            </w:pPr>
          </w:p>
          <w:p w14:paraId="4A0ADF52" w14:textId="77777777" w:rsidR="0046798B" w:rsidRDefault="00903B5C">
            <w:pPr>
              <w:pStyle w:val="TableParagraph"/>
              <w:spacing w:before="133"/>
              <w:ind w:left="114"/>
              <w:rPr>
                <w:sz w:val="20"/>
              </w:rPr>
            </w:pPr>
            <w:r>
              <w:rPr>
                <w:sz w:val="20"/>
              </w:rPr>
              <w:t xml:space="preserve">Uniform Law Commission website: </w:t>
            </w:r>
            <w:hyperlink r:id="rId383">
              <w:r>
                <w:rPr>
                  <w:color w:val="0462C1"/>
                  <w:sz w:val="20"/>
                  <w:u w:val="single" w:color="0462C1"/>
                </w:rPr>
                <w:t>http://www.uniformlaws.org/</w:t>
              </w:r>
            </w:hyperlink>
          </w:p>
          <w:p w14:paraId="1E262E59" w14:textId="77777777" w:rsidR="0046798B" w:rsidRDefault="0046798B">
            <w:pPr>
              <w:pStyle w:val="TableParagraph"/>
              <w:spacing w:before="11"/>
              <w:rPr>
                <w:sz w:val="19"/>
              </w:rPr>
            </w:pPr>
          </w:p>
          <w:p w14:paraId="39CCD2D7"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35114533" w14:textId="77777777">
        <w:trPr>
          <w:trHeight w:val="550"/>
        </w:trPr>
        <w:tc>
          <w:tcPr>
            <w:tcW w:w="1711" w:type="dxa"/>
          </w:tcPr>
          <w:p w14:paraId="718109A0" w14:textId="77777777" w:rsidR="0046798B" w:rsidRDefault="00903B5C">
            <w:pPr>
              <w:pStyle w:val="TableParagraph"/>
              <w:spacing w:before="158"/>
              <w:ind w:left="115"/>
              <w:rPr>
                <w:b/>
                <w:sz w:val="20"/>
              </w:rPr>
            </w:pPr>
            <w:r>
              <w:rPr>
                <w:b/>
                <w:sz w:val="20"/>
              </w:rPr>
              <w:t>gastax</w:t>
            </w:r>
          </w:p>
        </w:tc>
        <w:tc>
          <w:tcPr>
            <w:tcW w:w="1596" w:type="dxa"/>
          </w:tcPr>
          <w:p w14:paraId="7E5B4625" w14:textId="77777777" w:rsidR="0046798B" w:rsidRDefault="00903B5C">
            <w:pPr>
              <w:pStyle w:val="TableParagraph"/>
              <w:spacing w:before="158"/>
              <w:ind w:left="114"/>
              <w:rPr>
                <w:sz w:val="20"/>
              </w:rPr>
            </w:pPr>
            <w:r>
              <w:rPr>
                <w:sz w:val="20"/>
              </w:rPr>
              <w:t>State gas tax</w:t>
            </w:r>
          </w:p>
        </w:tc>
        <w:tc>
          <w:tcPr>
            <w:tcW w:w="1285" w:type="dxa"/>
          </w:tcPr>
          <w:p w14:paraId="0E9EF680" w14:textId="77777777" w:rsidR="0046798B" w:rsidRDefault="00903B5C">
            <w:pPr>
              <w:pStyle w:val="TableParagraph"/>
              <w:spacing w:before="158"/>
              <w:ind w:left="114"/>
              <w:rPr>
                <w:sz w:val="20"/>
              </w:rPr>
            </w:pPr>
            <w:r>
              <w:rPr>
                <w:sz w:val="20"/>
              </w:rPr>
              <w:t>1919–1929</w:t>
            </w:r>
          </w:p>
        </w:tc>
        <w:tc>
          <w:tcPr>
            <w:tcW w:w="3421" w:type="dxa"/>
          </w:tcPr>
          <w:p w14:paraId="03634620" w14:textId="77777777" w:rsidR="0046798B" w:rsidRDefault="00903B5C">
            <w:pPr>
              <w:pStyle w:val="TableParagraph"/>
              <w:spacing w:before="43"/>
              <w:ind w:left="114" w:right="131"/>
              <w:rPr>
                <w:sz w:val="20"/>
              </w:rPr>
            </w:pPr>
            <w:r>
              <w:rPr>
                <w:sz w:val="20"/>
              </w:rPr>
              <w:t>Did state adopt a state gas tax? (0 = no, 1 = yes)</w:t>
            </w:r>
          </w:p>
        </w:tc>
        <w:tc>
          <w:tcPr>
            <w:tcW w:w="6482" w:type="dxa"/>
          </w:tcPr>
          <w:p w14:paraId="1285E0E4" w14:textId="77777777" w:rsidR="0046798B" w:rsidRDefault="00903B5C">
            <w:pPr>
              <w:pStyle w:val="TableParagraph"/>
              <w:spacing w:before="4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2268DC47" w14:textId="77777777">
        <w:trPr>
          <w:trHeight w:val="545"/>
        </w:trPr>
        <w:tc>
          <w:tcPr>
            <w:tcW w:w="1711" w:type="dxa"/>
          </w:tcPr>
          <w:p w14:paraId="72987C1B" w14:textId="77777777" w:rsidR="0046798B" w:rsidRDefault="00903B5C">
            <w:pPr>
              <w:pStyle w:val="TableParagraph"/>
              <w:spacing w:before="153"/>
              <w:ind w:left="115"/>
              <w:rPr>
                <w:b/>
                <w:sz w:val="20"/>
              </w:rPr>
            </w:pPr>
            <w:r>
              <w:rPr>
                <w:b/>
                <w:sz w:val="20"/>
              </w:rPr>
              <w:t>inctax</w:t>
            </w:r>
          </w:p>
        </w:tc>
        <w:tc>
          <w:tcPr>
            <w:tcW w:w="1596" w:type="dxa"/>
          </w:tcPr>
          <w:p w14:paraId="5EDE1C0E" w14:textId="77777777" w:rsidR="0046798B" w:rsidRDefault="00903B5C">
            <w:pPr>
              <w:pStyle w:val="TableParagraph"/>
              <w:spacing w:before="153"/>
              <w:ind w:left="114"/>
              <w:rPr>
                <w:sz w:val="20"/>
              </w:rPr>
            </w:pPr>
            <w:r>
              <w:rPr>
                <w:sz w:val="20"/>
              </w:rPr>
              <w:t>State income tax</w:t>
            </w:r>
          </w:p>
        </w:tc>
        <w:tc>
          <w:tcPr>
            <w:tcW w:w="1285" w:type="dxa"/>
          </w:tcPr>
          <w:p w14:paraId="09E735DB" w14:textId="77777777" w:rsidR="0046798B" w:rsidRDefault="00903B5C">
            <w:pPr>
              <w:pStyle w:val="TableParagraph"/>
              <w:spacing w:before="153"/>
              <w:ind w:left="114"/>
              <w:rPr>
                <w:sz w:val="20"/>
              </w:rPr>
            </w:pPr>
            <w:r>
              <w:rPr>
                <w:sz w:val="20"/>
              </w:rPr>
              <w:t>1916–1937</w:t>
            </w:r>
          </w:p>
        </w:tc>
        <w:tc>
          <w:tcPr>
            <w:tcW w:w="3421" w:type="dxa"/>
          </w:tcPr>
          <w:p w14:paraId="0609D433" w14:textId="77777777" w:rsidR="0046798B" w:rsidRDefault="00903B5C">
            <w:pPr>
              <w:pStyle w:val="TableParagraph"/>
              <w:spacing w:before="38"/>
              <w:ind w:left="114" w:right="109"/>
              <w:rPr>
                <w:sz w:val="20"/>
              </w:rPr>
            </w:pPr>
            <w:r>
              <w:rPr>
                <w:sz w:val="20"/>
              </w:rPr>
              <w:t>Did state adopt a state income tax? (0 = no, 1 = yes)</w:t>
            </w:r>
          </w:p>
        </w:tc>
        <w:tc>
          <w:tcPr>
            <w:tcW w:w="6482" w:type="dxa"/>
          </w:tcPr>
          <w:p w14:paraId="421E6080" w14:textId="77777777" w:rsidR="0046798B" w:rsidRDefault="00903B5C">
            <w:pPr>
              <w:pStyle w:val="TableParagraph"/>
              <w:spacing w:before="3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63750F04" w14:textId="77777777">
        <w:trPr>
          <w:trHeight w:val="545"/>
        </w:trPr>
        <w:tc>
          <w:tcPr>
            <w:tcW w:w="1711" w:type="dxa"/>
          </w:tcPr>
          <w:p w14:paraId="2BD7581A" w14:textId="77777777" w:rsidR="0046798B" w:rsidRDefault="00903B5C">
            <w:pPr>
              <w:pStyle w:val="TableParagraph"/>
              <w:spacing w:before="153"/>
              <w:ind w:left="115"/>
              <w:rPr>
                <w:b/>
                <w:sz w:val="20"/>
              </w:rPr>
            </w:pPr>
            <w:r>
              <w:rPr>
                <w:b/>
                <w:sz w:val="20"/>
              </w:rPr>
              <w:t>lien</w:t>
            </w:r>
          </w:p>
        </w:tc>
        <w:tc>
          <w:tcPr>
            <w:tcW w:w="1596" w:type="dxa"/>
          </w:tcPr>
          <w:p w14:paraId="7F5B9BC8" w14:textId="77777777" w:rsidR="0046798B" w:rsidRDefault="00903B5C">
            <w:pPr>
              <w:pStyle w:val="TableParagraph"/>
              <w:spacing w:before="153"/>
              <w:ind w:left="114"/>
              <w:rPr>
                <w:sz w:val="20"/>
              </w:rPr>
            </w:pPr>
            <w:r>
              <w:rPr>
                <w:sz w:val="20"/>
              </w:rPr>
              <w:t>Lien statutes</w:t>
            </w:r>
          </w:p>
        </w:tc>
        <w:tc>
          <w:tcPr>
            <w:tcW w:w="1285" w:type="dxa"/>
          </w:tcPr>
          <w:p w14:paraId="78744CA7" w14:textId="77777777" w:rsidR="0046798B" w:rsidRDefault="00903B5C">
            <w:pPr>
              <w:pStyle w:val="TableParagraph"/>
              <w:spacing w:before="153"/>
              <w:ind w:left="114"/>
              <w:rPr>
                <w:sz w:val="20"/>
              </w:rPr>
            </w:pPr>
            <w:r>
              <w:rPr>
                <w:sz w:val="20"/>
              </w:rPr>
              <w:t>1995–1999</w:t>
            </w:r>
          </w:p>
        </w:tc>
        <w:tc>
          <w:tcPr>
            <w:tcW w:w="3421" w:type="dxa"/>
          </w:tcPr>
          <w:p w14:paraId="20AD8C65" w14:textId="77777777" w:rsidR="0046798B" w:rsidRDefault="00903B5C">
            <w:pPr>
              <w:pStyle w:val="TableParagraph"/>
              <w:spacing w:before="38"/>
              <w:ind w:left="114"/>
              <w:rPr>
                <w:sz w:val="20"/>
              </w:rPr>
            </w:pPr>
            <w:r>
              <w:rPr>
                <w:sz w:val="20"/>
              </w:rPr>
              <w:t>Did state adopt lien statutes? (0 = no, 1</w:t>
            </w:r>
          </w:p>
          <w:p w14:paraId="3CEFBD8F" w14:textId="77777777" w:rsidR="0046798B" w:rsidRDefault="00903B5C">
            <w:pPr>
              <w:pStyle w:val="TableParagraph"/>
              <w:ind w:left="114"/>
              <w:rPr>
                <w:sz w:val="20"/>
              </w:rPr>
            </w:pPr>
            <w:r>
              <w:rPr>
                <w:sz w:val="20"/>
              </w:rPr>
              <w:t>= yes)</w:t>
            </w:r>
          </w:p>
        </w:tc>
        <w:tc>
          <w:tcPr>
            <w:tcW w:w="6482" w:type="dxa"/>
          </w:tcPr>
          <w:p w14:paraId="5447D9A2" w14:textId="77777777" w:rsidR="0046798B" w:rsidRDefault="00903B5C">
            <w:pPr>
              <w:pStyle w:val="TableParagraph"/>
              <w:spacing w:before="3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2E170869" w14:textId="77777777">
        <w:trPr>
          <w:trHeight w:val="775"/>
        </w:trPr>
        <w:tc>
          <w:tcPr>
            <w:tcW w:w="1711" w:type="dxa"/>
          </w:tcPr>
          <w:p w14:paraId="1CCDED43" w14:textId="77777777" w:rsidR="0046798B" w:rsidRDefault="0046798B">
            <w:pPr>
              <w:pStyle w:val="TableParagraph"/>
              <w:spacing w:before="8"/>
              <w:rPr>
                <w:sz w:val="23"/>
              </w:rPr>
            </w:pPr>
          </w:p>
          <w:p w14:paraId="2313F0E5" w14:textId="77777777" w:rsidR="0046798B" w:rsidRDefault="00903B5C">
            <w:pPr>
              <w:pStyle w:val="TableParagraph"/>
              <w:spacing w:before="1"/>
              <w:ind w:left="115"/>
              <w:rPr>
                <w:b/>
                <w:sz w:val="20"/>
              </w:rPr>
            </w:pPr>
            <w:r>
              <w:rPr>
                <w:b/>
                <w:sz w:val="20"/>
              </w:rPr>
              <w:t>tels</w:t>
            </w:r>
          </w:p>
        </w:tc>
        <w:tc>
          <w:tcPr>
            <w:tcW w:w="1596" w:type="dxa"/>
          </w:tcPr>
          <w:p w14:paraId="4F0D3497" w14:textId="77777777" w:rsidR="0046798B" w:rsidRDefault="00903B5C">
            <w:pPr>
              <w:pStyle w:val="TableParagraph"/>
              <w:spacing w:before="43"/>
              <w:ind w:left="114" w:right="507"/>
              <w:rPr>
                <w:sz w:val="20"/>
              </w:rPr>
            </w:pPr>
            <w:r>
              <w:rPr>
                <w:sz w:val="20"/>
              </w:rPr>
              <w:t>Tax and expenditure limits</w:t>
            </w:r>
          </w:p>
        </w:tc>
        <w:tc>
          <w:tcPr>
            <w:tcW w:w="1285" w:type="dxa"/>
          </w:tcPr>
          <w:p w14:paraId="48A775EC" w14:textId="77777777" w:rsidR="0046798B" w:rsidRDefault="0046798B">
            <w:pPr>
              <w:pStyle w:val="TableParagraph"/>
              <w:spacing w:before="8"/>
              <w:rPr>
                <w:sz w:val="23"/>
              </w:rPr>
            </w:pPr>
          </w:p>
          <w:p w14:paraId="5B63BC3E" w14:textId="77777777" w:rsidR="0046798B" w:rsidRDefault="00903B5C">
            <w:pPr>
              <w:pStyle w:val="TableParagraph"/>
              <w:spacing w:before="1"/>
              <w:ind w:left="114"/>
              <w:rPr>
                <w:sz w:val="20"/>
              </w:rPr>
            </w:pPr>
            <w:r>
              <w:rPr>
                <w:sz w:val="20"/>
              </w:rPr>
              <w:t>1976–1994</w:t>
            </w:r>
          </w:p>
        </w:tc>
        <w:tc>
          <w:tcPr>
            <w:tcW w:w="3421" w:type="dxa"/>
          </w:tcPr>
          <w:p w14:paraId="1C398ABD" w14:textId="77777777" w:rsidR="0046798B" w:rsidRDefault="00903B5C">
            <w:pPr>
              <w:pStyle w:val="TableParagraph"/>
              <w:spacing w:before="158"/>
              <w:ind w:left="114" w:right="439"/>
              <w:rPr>
                <w:sz w:val="20"/>
              </w:rPr>
            </w:pPr>
            <w:r>
              <w:rPr>
                <w:sz w:val="20"/>
              </w:rPr>
              <w:t>Did state adopt tax and expenditure limits (TELs)? (0 = no, 1 = yes)</w:t>
            </w:r>
          </w:p>
        </w:tc>
        <w:tc>
          <w:tcPr>
            <w:tcW w:w="6482" w:type="dxa"/>
          </w:tcPr>
          <w:p w14:paraId="668C43EF" w14:textId="77777777" w:rsidR="0046798B" w:rsidRDefault="00903B5C">
            <w:pPr>
              <w:pStyle w:val="TableParagraph"/>
              <w:spacing w:before="15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DF4FED" w14:paraId="7102390C" w14:textId="77777777" w:rsidTr="00DF4FED">
        <w:trPr>
          <w:trHeight w:val="714"/>
        </w:trPr>
        <w:tc>
          <w:tcPr>
            <w:tcW w:w="1711" w:type="dxa"/>
          </w:tcPr>
          <w:p w14:paraId="5DD1BC06" w14:textId="77777777" w:rsidR="00DF4FED" w:rsidRPr="00DF4FED" w:rsidRDefault="00DF4FED" w:rsidP="00DF4FED">
            <w:pPr>
              <w:rPr>
                <w:b/>
                <w:bCs/>
                <w:sz w:val="20"/>
                <w:szCs w:val="20"/>
              </w:rPr>
            </w:pPr>
            <w:r w:rsidRPr="00DF4FED">
              <w:rPr>
                <w:b/>
                <w:bCs/>
                <w:sz w:val="20"/>
                <w:szCs w:val="20"/>
              </w:rPr>
              <w:t>inflation</w:t>
            </w:r>
          </w:p>
          <w:p w14:paraId="04D04D84" w14:textId="77777777" w:rsidR="00DF4FED" w:rsidRPr="00DF4FED" w:rsidRDefault="00DF4FED">
            <w:pPr>
              <w:pStyle w:val="TableParagraph"/>
              <w:spacing w:before="8"/>
              <w:rPr>
                <w:b/>
                <w:bCs/>
                <w:sz w:val="20"/>
                <w:szCs w:val="20"/>
              </w:rPr>
            </w:pPr>
          </w:p>
        </w:tc>
        <w:tc>
          <w:tcPr>
            <w:tcW w:w="1596" w:type="dxa"/>
          </w:tcPr>
          <w:p w14:paraId="463A76FA" w14:textId="77EBAC76" w:rsidR="00DF4FED" w:rsidRDefault="00DF4FED">
            <w:pPr>
              <w:pStyle w:val="TableParagraph"/>
              <w:spacing w:before="43"/>
              <w:ind w:left="114" w:right="507"/>
              <w:rPr>
                <w:sz w:val="20"/>
              </w:rPr>
            </w:pPr>
            <w:r>
              <w:rPr>
                <w:sz w:val="20"/>
              </w:rPr>
              <w:t>Inflation rate</w:t>
            </w:r>
          </w:p>
        </w:tc>
        <w:tc>
          <w:tcPr>
            <w:tcW w:w="1285" w:type="dxa"/>
          </w:tcPr>
          <w:p w14:paraId="4BF32D3C" w14:textId="51BBF12B" w:rsidR="00DF4FED" w:rsidRPr="00DF4FED" w:rsidRDefault="00DF4FED" w:rsidP="00DF4FED">
            <w:pPr>
              <w:pStyle w:val="TableParagraph"/>
              <w:spacing w:before="8"/>
              <w:jc w:val="center"/>
              <w:rPr>
                <w:sz w:val="20"/>
                <w:szCs w:val="20"/>
              </w:rPr>
            </w:pPr>
            <w:r>
              <w:rPr>
                <w:sz w:val="20"/>
                <w:szCs w:val="20"/>
              </w:rPr>
              <w:t>1978-2017</w:t>
            </w:r>
          </w:p>
        </w:tc>
        <w:tc>
          <w:tcPr>
            <w:tcW w:w="3421" w:type="dxa"/>
          </w:tcPr>
          <w:p w14:paraId="4B1B3D86" w14:textId="054CFE7C" w:rsidR="00DF4FED" w:rsidRPr="00DF4FED" w:rsidRDefault="00DF4FED" w:rsidP="00DF4FED">
            <w:pPr>
              <w:rPr>
                <w:sz w:val="20"/>
                <w:szCs w:val="20"/>
              </w:rPr>
            </w:pPr>
            <w:r w:rsidRPr="00DF4FED">
              <w:rPr>
                <w:sz w:val="20"/>
                <w:szCs w:val="20"/>
              </w:rPr>
              <w:t>Annual inflation rate in the state and year</w:t>
            </w:r>
          </w:p>
        </w:tc>
        <w:tc>
          <w:tcPr>
            <w:tcW w:w="6482" w:type="dxa"/>
          </w:tcPr>
          <w:p w14:paraId="6F1418A4" w14:textId="3D4340A9" w:rsidR="00DF4FED" w:rsidRPr="00DF4FED" w:rsidRDefault="00DF4FED" w:rsidP="00DF4FED">
            <w:pPr>
              <w:rPr>
                <w:sz w:val="20"/>
                <w:szCs w:val="20"/>
              </w:rPr>
            </w:pPr>
            <w:r w:rsidRPr="00DF4FED">
              <w:rPr>
                <w:sz w:val="20"/>
                <w:szCs w:val="20"/>
              </w:rPr>
              <w:t>Hazell, Jonathon, Juan Herreño, Emi Nakamura, and Jón Steinsson. The slope of the Phillips Curve: evidence from US states. No. w28005. National Bureau of Economic Research, 2020</w:t>
            </w:r>
            <w:r>
              <w:rPr>
                <w:sz w:val="20"/>
                <w:szCs w:val="20"/>
              </w:rPr>
              <w:t>.</w:t>
            </w:r>
          </w:p>
        </w:tc>
      </w:tr>
      <w:tr w:rsidR="00DF4FED" w14:paraId="731B916B" w14:textId="77777777">
        <w:trPr>
          <w:trHeight w:val="775"/>
        </w:trPr>
        <w:tc>
          <w:tcPr>
            <w:tcW w:w="1711" w:type="dxa"/>
          </w:tcPr>
          <w:p w14:paraId="499E2C8A" w14:textId="77777777" w:rsidR="00DF4FED" w:rsidRPr="00DF4FED" w:rsidRDefault="00DF4FED" w:rsidP="00DF4FED">
            <w:pPr>
              <w:rPr>
                <w:b/>
                <w:bCs/>
                <w:sz w:val="20"/>
                <w:szCs w:val="20"/>
              </w:rPr>
            </w:pPr>
            <w:r w:rsidRPr="00DF4FED">
              <w:rPr>
                <w:b/>
                <w:bCs/>
                <w:sz w:val="20"/>
                <w:szCs w:val="20"/>
              </w:rPr>
              <w:t>inflation_nt</w:t>
            </w:r>
          </w:p>
          <w:p w14:paraId="7196B2A3" w14:textId="77777777" w:rsidR="00DF4FED" w:rsidRPr="00DF4FED" w:rsidRDefault="00DF4FED" w:rsidP="00DF4FED">
            <w:pPr>
              <w:pStyle w:val="TableParagraph"/>
              <w:spacing w:before="8"/>
              <w:rPr>
                <w:b/>
                <w:bCs/>
                <w:sz w:val="20"/>
                <w:szCs w:val="20"/>
              </w:rPr>
            </w:pPr>
          </w:p>
        </w:tc>
        <w:tc>
          <w:tcPr>
            <w:tcW w:w="1596" w:type="dxa"/>
          </w:tcPr>
          <w:p w14:paraId="3D501877" w14:textId="54440547" w:rsidR="00DF4FED" w:rsidRDefault="00DF4FED" w:rsidP="00DF4FED">
            <w:pPr>
              <w:pStyle w:val="TableParagraph"/>
              <w:spacing w:before="43"/>
              <w:ind w:left="114" w:right="507"/>
              <w:rPr>
                <w:sz w:val="20"/>
              </w:rPr>
            </w:pPr>
            <w:r>
              <w:rPr>
                <w:sz w:val="20"/>
              </w:rPr>
              <w:t>Inflation rate in non-tradeable sector</w:t>
            </w:r>
          </w:p>
        </w:tc>
        <w:tc>
          <w:tcPr>
            <w:tcW w:w="1285" w:type="dxa"/>
          </w:tcPr>
          <w:p w14:paraId="44C773CF" w14:textId="1A075ECE" w:rsidR="00DF4FED" w:rsidRDefault="00DF4FED" w:rsidP="00DF4FED">
            <w:pPr>
              <w:pStyle w:val="TableParagraph"/>
              <w:spacing w:before="8"/>
              <w:jc w:val="center"/>
              <w:rPr>
                <w:sz w:val="23"/>
              </w:rPr>
            </w:pPr>
            <w:r>
              <w:rPr>
                <w:sz w:val="20"/>
                <w:szCs w:val="20"/>
              </w:rPr>
              <w:t>1978-2017</w:t>
            </w:r>
          </w:p>
        </w:tc>
        <w:tc>
          <w:tcPr>
            <w:tcW w:w="3421" w:type="dxa"/>
          </w:tcPr>
          <w:p w14:paraId="32B2993A" w14:textId="08A681E1" w:rsidR="00DF4FED" w:rsidRPr="00DF4FED" w:rsidRDefault="00DF4FED" w:rsidP="00DF4FED">
            <w:pPr>
              <w:rPr>
                <w:sz w:val="20"/>
                <w:szCs w:val="20"/>
              </w:rPr>
            </w:pPr>
            <w:r w:rsidRPr="00DF4FED">
              <w:rPr>
                <w:sz w:val="20"/>
                <w:szCs w:val="20"/>
              </w:rPr>
              <w:t>Annual inflation rate in the non-tradeable sector in state and year</w:t>
            </w:r>
          </w:p>
        </w:tc>
        <w:tc>
          <w:tcPr>
            <w:tcW w:w="6482" w:type="dxa"/>
          </w:tcPr>
          <w:p w14:paraId="08AD156C" w14:textId="440B893E" w:rsidR="00DF4FED" w:rsidRDefault="00DF4FED" w:rsidP="00DF4FED">
            <w:pPr>
              <w:pStyle w:val="TableParagraph"/>
              <w:spacing w:before="158"/>
              <w:ind w:right="683"/>
              <w:rPr>
                <w:sz w:val="20"/>
              </w:rPr>
            </w:pPr>
            <w:r w:rsidRPr="00DF4FED">
              <w:rPr>
                <w:sz w:val="20"/>
                <w:szCs w:val="20"/>
              </w:rPr>
              <w:t>Hazell, Jonathon, Juan Herreño, Emi Nakamura, and Jón Steinsson. The slope of the Phillips Curve: evidence from US states. No. w28005. National Bureau of Economic Research, 2020</w:t>
            </w:r>
            <w:r>
              <w:rPr>
                <w:sz w:val="20"/>
                <w:szCs w:val="20"/>
              </w:rPr>
              <w:t>.</w:t>
            </w:r>
          </w:p>
        </w:tc>
      </w:tr>
      <w:tr w:rsidR="00DF4FED" w14:paraId="13CAAC32" w14:textId="77777777">
        <w:trPr>
          <w:trHeight w:val="775"/>
        </w:trPr>
        <w:tc>
          <w:tcPr>
            <w:tcW w:w="1711" w:type="dxa"/>
          </w:tcPr>
          <w:p w14:paraId="4298E6CA" w14:textId="77777777" w:rsidR="00DF4FED" w:rsidRPr="00DF4FED" w:rsidRDefault="00DF4FED" w:rsidP="00DF4FED">
            <w:pPr>
              <w:rPr>
                <w:b/>
                <w:bCs/>
                <w:sz w:val="20"/>
                <w:szCs w:val="20"/>
              </w:rPr>
            </w:pPr>
            <w:r w:rsidRPr="00DF4FED">
              <w:rPr>
                <w:b/>
                <w:bCs/>
                <w:sz w:val="20"/>
                <w:szCs w:val="20"/>
              </w:rPr>
              <w:t>inflation_t</w:t>
            </w:r>
          </w:p>
          <w:p w14:paraId="3C8AF8A7" w14:textId="77777777" w:rsidR="00DF4FED" w:rsidRPr="00DF4FED" w:rsidRDefault="00DF4FED" w:rsidP="00DF4FED">
            <w:pPr>
              <w:pStyle w:val="TableParagraph"/>
              <w:spacing w:before="8"/>
              <w:jc w:val="center"/>
              <w:rPr>
                <w:b/>
                <w:bCs/>
                <w:sz w:val="20"/>
                <w:szCs w:val="20"/>
              </w:rPr>
            </w:pPr>
          </w:p>
        </w:tc>
        <w:tc>
          <w:tcPr>
            <w:tcW w:w="1596" w:type="dxa"/>
          </w:tcPr>
          <w:p w14:paraId="3A72052C" w14:textId="3D122528" w:rsidR="00DF4FED" w:rsidRDefault="00DF4FED" w:rsidP="00DF4FED">
            <w:pPr>
              <w:pStyle w:val="TableParagraph"/>
              <w:spacing w:before="43"/>
              <w:ind w:left="114" w:right="507"/>
              <w:rPr>
                <w:sz w:val="20"/>
              </w:rPr>
            </w:pPr>
            <w:r>
              <w:rPr>
                <w:sz w:val="20"/>
              </w:rPr>
              <w:t>Inflation rate in tradeable sector</w:t>
            </w:r>
          </w:p>
        </w:tc>
        <w:tc>
          <w:tcPr>
            <w:tcW w:w="1285" w:type="dxa"/>
          </w:tcPr>
          <w:p w14:paraId="433D2F0B" w14:textId="59B709D9" w:rsidR="00DF4FED" w:rsidRDefault="00DF4FED" w:rsidP="00DF4FED">
            <w:pPr>
              <w:pStyle w:val="TableParagraph"/>
              <w:spacing w:before="8"/>
              <w:jc w:val="center"/>
              <w:rPr>
                <w:sz w:val="23"/>
              </w:rPr>
            </w:pPr>
            <w:r>
              <w:rPr>
                <w:sz w:val="20"/>
                <w:szCs w:val="20"/>
              </w:rPr>
              <w:t>1978-2017</w:t>
            </w:r>
          </w:p>
        </w:tc>
        <w:tc>
          <w:tcPr>
            <w:tcW w:w="3421" w:type="dxa"/>
          </w:tcPr>
          <w:p w14:paraId="1D428C78" w14:textId="5CF3A028" w:rsidR="00DF4FED" w:rsidRPr="00DF4FED" w:rsidRDefault="00DF4FED" w:rsidP="00DF4FED">
            <w:pPr>
              <w:rPr>
                <w:sz w:val="20"/>
                <w:szCs w:val="20"/>
              </w:rPr>
            </w:pPr>
            <w:r w:rsidRPr="00DF4FED">
              <w:rPr>
                <w:sz w:val="20"/>
                <w:szCs w:val="20"/>
              </w:rPr>
              <w:t>Annual inflation rate in the tradeable sector in state and year</w:t>
            </w:r>
          </w:p>
        </w:tc>
        <w:tc>
          <w:tcPr>
            <w:tcW w:w="6482" w:type="dxa"/>
          </w:tcPr>
          <w:p w14:paraId="1D139869" w14:textId="0167FA18" w:rsidR="00DF4FED" w:rsidRDefault="00DF4FED" w:rsidP="00DF4FED">
            <w:pPr>
              <w:pStyle w:val="TableParagraph"/>
              <w:spacing w:before="158"/>
              <w:ind w:right="683"/>
              <w:rPr>
                <w:sz w:val="20"/>
              </w:rPr>
            </w:pPr>
            <w:r w:rsidRPr="00DF4FED">
              <w:rPr>
                <w:sz w:val="20"/>
                <w:szCs w:val="20"/>
              </w:rPr>
              <w:t>Hazell, Jonathon, Juan Herreño, Emi Nakamura, and Jón Steinsson. The slope of the Phillips Curve: evidence from US states. No. w28005. National Bureau of Economic Research, 2020</w:t>
            </w:r>
            <w:r>
              <w:rPr>
                <w:sz w:val="20"/>
                <w:szCs w:val="20"/>
              </w:rPr>
              <w:t>.</w:t>
            </w:r>
          </w:p>
        </w:tc>
      </w:tr>
    </w:tbl>
    <w:p w14:paraId="44AA5CCA" w14:textId="77777777" w:rsidR="0046798B" w:rsidRDefault="0046798B">
      <w:pPr>
        <w:rPr>
          <w:sz w:val="20"/>
        </w:rPr>
        <w:sectPr w:rsidR="0046798B">
          <w:pgSz w:w="15840" w:h="12240" w:orient="landscape"/>
          <w:pgMar w:top="1220" w:right="300" w:bottom="980" w:left="820" w:header="730" w:footer="787" w:gutter="0"/>
          <w:cols w:space="720"/>
        </w:sectPr>
      </w:pPr>
    </w:p>
    <w:p w14:paraId="56B69782" w14:textId="77777777" w:rsidR="0046798B" w:rsidRDefault="0046798B">
      <w:pPr>
        <w:pStyle w:val="BodyText"/>
        <w:spacing w:before="1"/>
        <w:rPr>
          <w:sz w:val="11"/>
        </w:rPr>
      </w:pPr>
    </w:p>
    <w:p w14:paraId="35DF462C" w14:textId="77777777" w:rsidR="0046798B" w:rsidRDefault="00903B5C">
      <w:pPr>
        <w:pStyle w:val="ListParagraph"/>
        <w:numPr>
          <w:ilvl w:val="0"/>
          <w:numId w:val="12"/>
        </w:numPr>
        <w:tabs>
          <w:tab w:val="left" w:pos="6582"/>
        </w:tabs>
        <w:spacing w:before="88"/>
        <w:ind w:left="6581" w:hanging="469"/>
        <w:jc w:val="left"/>
        <w:rPr>
          <w:b/>
          <w:sz w:val="28"/>
        </w:rPr>
      </w:pPr>
      <w:bookmarkStart w:id="4" w:name="III._Government"/>
      <w:bookmarkStart w:id="5" w:name="_bookmark2"/>
      <w:bookmarkEnd w:id="4"/>
      <w:bookmarkEnd w:id="5"/>
      <w:r>
        <w:rPr>
          <w:b/>
          <w:sz w:val="28"/>
        </w:rPr>
        <w:t>Government</w:t>
      </w:r>
    </w:p>
    <w:p w14:paraId="5193C7B2" w14:textId="77777777" w:rsidR="0046798B" w:rsidRDefault="0046798B">
      <w:pPr>
        <w:pStyle w:val="BodyText"/>
        <w:spacing w:before="7"/>
        <w:rPr>
          <w:b/>
          <w:sz w:val="16"/>
        </w:rPr>
      </w:pPr>
    </w:p>
    <w:p w14:paraId="2D60DCF8" w14:textId="77777777" w:rsidR="0046798B" w:rsidRDefault="00903B5C">
      <w:pPr>
        <w:pStyle w:val="ListParagraph"/>
        <w:numPr>
          <w:ilvl w:val="0"/>
          <w:numId w:val="9"/>
        </w:numPr>
        <w:tabs>
          <w:tab w:val="left" w:pos="916"/>
        </w:tabs>
        <w:spacing w:before="90"/>
        <w:rPr>
          <w:b/>
          <w:sz w:val="24"/>
        </w:rPr>
      </w:pPr>
      <w:r>
        <w:rPr>
          <w:b/>
          <w:sz w:val="24"/>
          <w:u w:val="single"/>
        </w:rPr>
        <w:t>Governmental</w:t>
      </w:r>
      <w:r>
        <w:rPr>
          <w:b/>
          <w:spacing w:val="-3"/>
          <w:sz w:val="24"/>
          <w:u w:val="single"/>
        </w:rPr>
        <w:t xml:space="preserve"> </w:t>
      </w:r>
      <w:r>
        <w:rPr>
          <w:b/>
          <w:sz w:val="24"/>
          <w:u w:val="single"/>
        </w:rPr>
        <w:t>Policies</w:t>
      </w:r>
    </w:p>
    <w:p w14:paraId="7809DFBF" w14:textId="77777777" w:rsidR="0046798B" w:rsidRDefault="0046798B">
      <w:pPr>
        <w:pStyle w:val="BodyText"/>
        <w:spacing w:before="8" w:after="1"/>
        <w:rPr>
          <w:b/>
          <w:sz w:val="23"/>
        </w:rPr>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3DDE3B82" w14:textId="77777777">
        <w:trPr>
          <w:trHeight w:val="590"/>
        </w:trPr>
        <w:tc>
          <w:tcPr>
            <w:tcW w:w="1711" w:type="dxa"/>
          </w:tcPr>
          <w:p w14:paraId="2DD9916F" w14:textId="77777777" w:rsidR="0046798B" w:rsidRDefault="00903B5C">
            <w:pPr>
              <w:pStyle w:val="TableParagraph"/>
              <w:spacing w:before="164"/>
              <w:ind w:left="140"/>
              <w:rPr>
                <w:b/>
              </w:rPr>
            </w:pPr>
            <w:r>
              <w:rPr>
                <w:b/>
              </w:rPr>
              <w:t>Variable Name</w:t>
            </w:r>
          </w:p>
        </w:tc>
        <w:tc>
          <w:tcPr>
            <w:tcW w:w="1596" w:type="dxa"/>
          </w:tcPr>
          <w:p w14:paraId="0EAD0A4C" w14:textId="77777777" w:rsidR="0046798B" w:rsidRDefault="00903B5C">
            <w:pPr>
              <w:pStyle w:val="TableParagraph"/>
              <w:spacing w:before="39" w:line="242" w:lineRule="auto"/>
              <w:ind w:left="249" w:right="229" w:firstLine="280"/>
              <w:rPr>
                <w:b/>
              </w:rPr>
            </w:pPr>
            <w:r>
              <w:rPr>
                <w:b/>
              </w:rPr>
              <w:t>Short Description</w:t>
            </w:r>
          </w:p>
        </w:tc>
        <w:tc>
          <w:tcPr>
            <w:tcW w:w="1285" w:type="dxa"/>
          </w:tcPr>
          <w:p w14:paraId="1F70B737" w14:textId="77777777" w:rsidR="0046798B" w:rsidRDefault="00903B5C">
            <w:pPr>
              <w:pStyle w:val="TableParagraph"/>
              <w:spacing w:before="164"/>
              <w:ind w:left="364"/>
              <w:rPr>
                <w:b/>
              </w:rPr>
            </w:pPr>
            <w:r>
              <w:rPr>
                <w:b/>
              </w:rPr>
              <w:t>Years</w:t>
            </w:r>
          </w:p>
        </w:tc>
        <w:tc>
          <w:tcPr>
            <w:tcW w:w="3421" w:type="dxa"/>
          </w:tcPr>
          <w:p w14:paraId="423175E6" w14:textId="77777777" w:rsidR="0046798B" w:rsidRDefault="00903B5C">
            <w:pPr>
              <w:pStyle w:val="TableParagraph"/>
              <w:spacing w:before="39"/>
              <w:ind w:left="159" w:right="146"/>
              <w:jc w:val="center"/>
              <w:rPr>
                <w:b/>
              </w:rPr>
            </w:pPr>
            <w:r>
              <w:rPr>
                <w:b/>
              </w:rPr>
              <w:t>Coding /</w:t>
            </w:r>
          </w:p>
          <w:p w14:paraId="7E84C5E1" w14:textId="77777777" w:rsidR="0046798B" w:rsidRDefault="00903B5C">
            <w:pPr>
              <w:pStyle w:val="TableParagraph"/>
              <w:spacing w:before="3"/>
              <w:ind w:left="159" w:right="150"/>
              <w:jc w:val="center"/>
              <w:rPr>
                <w:b/>
              </w:rPr>
            </w:pPr>
            <w:r>
              <w:rPr>
                <w:b/>
              </w:rPr>
              <w:t>Longer Description (if available)</w:t>
            </w:r>
          </w:p>
        </w:tc>
        <w:tc>
          <w:tcPr>
            <w:tcW w:w="6482" w:type="dxa"/>
          </w:tcPr>
          <w:p w14:paraId="46A833F6" w14:textId="77777777" w:rsidR="0046798B" w:rsidRDefault="00903B5C">
            <w:pPr>
              <w:pStyle w:val="TableParagraph"/>
              <w:spacing w:before="164"/>
              <w:ind w:left="2852" w:right="2845"/>
              <w:jc w:val="center"/>
              <w:rPr>
                <w:b/>
              </w:rPr>
            </w:pPr>
            <w:r>
              <w:rPr>
                <w:b/>
              </w:rPr>
              <w:t>Sources</w:t>
            </w:r>
          </w:p>
        </w:tc>
      </w:tr>
      <w:tr w:rsidR="0046798B" w14:paraId="50209393" w14:textId="77777777">
        <w:trPr>
          <w:trHeight w:val="1240"/>
        </w:trPr>
        <w:tc>
          <w:tcPr>
            <w:tcW w:w="1711" w:type="dxa"/>
          </w:tcPr>
          <w:p w14:paraId="119DCD96" w14:textId="77777777" w:rsidR="0046798B" w:rsidRDefault="0046798B">
            <w:pPr>
              <w:pStyle w:val="TableParagraph"/>
              <w:rPr>
                <w:b/>
              </w:rPr>
            </w:pPr>
          </w:p>
          <w:p w14:paraId="6DE4A16C" w14:textId="77777777" w:rsidR="0046798B" w:rsidRDefault="00903B5C">
            <w:pPr>
              <w:pStyle w:val="TableParagraph"/>
              <w:spacing w:before="135"/>
              <w:ind w:left="115"/>
              <w:rPr>
                <w:b/>
                <w:sz w:val="20"/>
              </w:rPr>
            </w:pPr>
            <w:r>
              <w:rPr>
                <w:b/>
                <w:sz w:val="20"/>
              </w:rPr>
              <w:t>regulations_hom erule</w:t>
            </w:r>
          </w:p>
        </w:tc>
        <w:tc>
          <w:tcPr>
            <w:tcW w:w="1596" w:type="dxa"/>
          </w:tcPr>
          <w:p w14:paraId="77119355" w14:textId="77777777" w:rsidR="0046798B" w:rsidRDefault="0046798B">
            <w:pPr>
              <w:pStyle w:val="TableParagraph"/>
              <w:rPr>
                <w:b/>
              </w:rPr>
            </w:pPr>
          </w:p>
          <w:p w14:paraId="784E21AE" w14:textId="77777777" w:rsidR="0046798B" w:rsidRDefault="00903B5C">
            <w:pPr>
              <w:pStyle w:val="TableParagraph"/>
              <w:spacing w:before="135"/>
              <w:ind w:left="114" w:right="135"/>
              <w:rPr>
                <w:sz w:val="20"/>
              </w:rPr>
            </w:pPr>
            <w:r>
              <w:rPr>
                <w:sz w:val="20"/>
              </w:rPr>
              <w:t>Municipal home rule</w:t>
            </w:r>
          </w:p>
        </w:tc>
        <w:tc>
          <w:tcPr>
            <w:tcW w:w="1285" w:type="dxa"/>
          </w:tcPr>
          <w:p w14:paraId="686F0F83" w14:textId="77777777" w:rsidR="0046798B" w:rsidRDefault="0046798B">
            <w:pPr>
              <w:pStyle w:val="TableParagraph"/>
              <w:rPr>
                <w:b/>
              </w:rPr>
            </w:pPr>
          </w:p>
          <w:p w14:paraId="07B305CF" w14:textId="77777777" w:rsidR="0046798B" w:rsidRDefault="0046798B">
            <w:pPr>
              <w:pStyle w:val="TableParagraph"/>
              <w:spacing w:before="8"/>
              <w:rPr>
                <w:b/>
                <w:sz w:val="21"/>
              </w:rPr>
            </w:pPr>
          </w:p>
          <w:p w14:paraId="79F29B48" w14:textId="77777777" w:rsidR="0046798B" w:rsidRDefault="00903B5C">
            <w:pPr>
              <w:pStyle w:val="TableParagraph"/>
              <w:spacing w:before="1"/>
              <w:ind w:left="114"/>
              <w:rPr>
                <w:sz w:val="20"/>
              </w:rPr>
            </w:pPr>
            <w:r>
              <w:rPr>
                <w:sz w:val="20"/>
              </w:rPr>
              <w:t>1936–1961</w:t>
            </w:r>
          </w:p>
        </w:tc>
        <w:tc>
          <w:tcPr>
            <w:tcW w:w="3421" w:type="dxa"/>
          </w:tcPr>
          <w:p w14:paraId="6B3C0520" w14:textId="77777777" w:rsidR="0046798B" w:rsidRDefault="00903B5C">
            <w:pPr>
              <w:pStyle w:val="TableParagraph"/>
              <w:spacing w:before="158"/>
              <w:ind w:left="114" w:right="255"/>
              <w:rPr>
                <w:sz w:val="20"/>
              </w:rPr>
            </w:pPr>
            <w:r>
              <w:rPr>
                <w:sz w:val="20"/>
              </w:rPr>
              <w:t>Enables cities to adopt a home rule charter that acts as the city’s basic governing document over local issues (0 = no, 1 = yes)</w:t>
            </w:r>
          </w:p>
        </w:tc>
        <w:tc>
          <w:tcPr>
            <w:tcW w:w="6482" w:type="dxa"/>
          </w:tcPr>
          <w:p w14:paraId="789D9315"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65CE69AB" w14:textId="77777777">
        <w:trPr>
          <w:trHeight w:val="545"/>
        </w:trPr>
        <w:tc>
          <w:tcPr>
            <w:tcW w:w="1711" w:type="dxa"/>
          </w:tcPr>
          <w:p w14:paraId="0CCA4D7D" w14:textId="77777777" w:rsidR="0046798B" w:rsidRDefault="00903B5C">
            <w:pPr>
              <w:pStyle w:val="TableParagraph"/>
              <w:spacing w:before="153"/>
              <w:ind w:left="115"/>
              <w:rPr>
                <w:b/>
                <w:sz w:val="20"/>
              </w:rPr>
            </w:pPr>
            <w:r>
              <w:rPr>
                <w:b/>
                <w:sz w:val="20"/>
              </w:rPr>
              <w:t>legpre</w:t>
            </w:r>
          </w:p>
        </w:tc>
        <w:tc>
          <w:tcPr>
            <w:tcW w:w="1596" w:type="dxa"/>
          </w:tcPr>
          <w:p w14:paraId="480B7B24" w14:textId="77777777" w:rsidR="0046798B" w:rsidRDefault="00903B5C">
            <w:pPr>
              <w:pStyle w:val="TableParagraph"/>
              <w:spacing w:before="38"/>
              <w:ind w:left="114" w:right="135"/>
              <w:rPr>
                <w:sz w:val="20"/>
              </w:rPr>
            </w:pPr>
            <w:r>
              <w:rPr>
                <w:sz w:val="20"/>
              </w:rPr>
              <w:t>Legislative pre- planning agency</w:t>
            </w:r>
          </w:p>
        </w:tc>
        <w:tc>
          <w:tcPr>
            <w:tcW w:w="1285" w:type="dxa"/>
          </w:tcPr>
          <w:p w14:paraId="7B7FFFE6" w14:textId="77777777" w:rsidR="0046798B" w:rsidRDefault="00903B5C">
            <w:pPr>
              <w:pStyle w:val="TableParagraph"/>
              <w:spacing w:before="153"/>
              <w:ind w:left="114"/>
              <w:rPr>
                <w:sz w:val="20"/>
              </w:rPr>
            </w:pPr>
            <w:r>
              <w:rPr>
                <w:sz w:val="20"/>
              </w:rPr>
              <w:t>1933–1972</w:t>
            </w:r>
          </w:p>
        </w:tc>
        <w:tc>
          <w:tcPr>
            <w:tcW w:w="3421" w:type="dxa"/>
          </w:tcPr>
          <w:p w14:paraId="78890300" w14:textId="77777777" w:rsidR="0046798B" w:rsidRDefault="00903B5C">
            <w:pPr>
              <w:pStyle w:val="TableParagraph"/>
              <w:spacing w:before="38"/>
              <w:ind w:left="114" w:right="496"/>
              <w:rPr>
                <w:sz w:val="20"/>
              </w:rPr>
            </w:pPr>
            <w:r>
              <w:rPr>
                <w:sz w:val="20"/>
              </w:rPr>
              <w:t>Did state adopt a legislative pre- planning agency? (0 = no, 1 = yes)</w:t>
            </w:r>
          </w:p>
        </w:tc>
        <w:tc>
          <w:tcPr>
            <w:tcW w:w="6482" w:type="dxa"/>
          </w:tcPr>
          <w:p w14:paraId="3B451F4C" w14:textId="77777777" w:rsidR="0046798B" w:rsidRDefault="00903B5C">
            <w:pPr>
              <w:pStyle w:val="TableParagraph"/>
              <w:spacing w:before="3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68065BAC" w14:textId="77777777">
        <w:trPr>
          <w:trHeight w:val="775"/>
        </w:trPr>
        <w:tc>
          <w:tcPr>
            <w:tcW w:w="1711" w:type="dxa"/>
          </w:tcPr>
          <w:p w14:paraId="3AB8B4C4" w14:textId="77777777" w:rsidR="0046798B" w:rsidRDefault="0046798B">
            <w:pPr>
              <w:pStyle w:val="TableParagraph"/>
              <w:spacing w:before="3"/>
              <w:rPr>
                <w:b/>
                <w:sz w:val="23"/>
              </w:rPr>
            </w:pPr>
          </w:p>
          <w:p w14:paraId="5AFB8F67" w14:textId="77777777" w:rsidR="0046798B" w:rsidRDefault="00903B5C">
            <w:pPr>
              <w:pStyle w:val="TableParagraph"/>
              <w:spacing w:before="1"/>
              <w:ind w:left="115"/>
              <w:rPr>
                <w:b/>
                <w:sz w:val="20"/>
              </w:rPr>
            </w:pPr>
            <w:r>
              <w:rPr>
                <w:b/>
                <w:sz w:val="20"/>
              </w:rPr>
              <w:t>missplan</w:t>
            </w:r>
          </w:p>
        </w:tc>
        <w:tc>
          <w:tcPr>
            <w:tcW w:w="1596" w:type="dxa"/>
          </w:tcPr>
          <w:p w14:paraId="7FB95834" w14:textId="77777777" w:rsidR="0046798B" w:rsidRDefault="0046798B">
            <w:pPr>
              <w:pStyle w:val="TableParagraph"/>
              <w:spacing w:before="3"/>
              <w:rPr>
                <w:b/>
                <w:sz w:val="23"/>
              </w:rPr>
            </w:pPr>
          </w:p>
          <w:p w14:paraId="0479B16A" w14:textId="77777777" w:rsidR="0046798B" w:rsidRDefault="00903B5C">
            <w:pPr>
              <w:pStyle w:val="TableParagraph"/>
              <w:spacing w:before="1"/>
              <w:ind w:left="114"/>
              <w:rPr>
                <w:sz w:val="20"/>
              </w:rPr>
            </w:pPr>
            <w:r>
              <w:rPr>
                <w:sz w:val="20"/>
              </w:rPr>
              <w:t>Missouri Plan</w:t>
            </w:r>
          </w:p>
        </w:tc>
        <w:tc>
          <w:tcPr>
            <w:tcW w:w="1285" w:type="dxa"/>
          </w:tcPr>
          <w:p w14:paraId="4B97DFFC" w14:textId="77777777" w:rsidR="0046798B" w:rsidRDefault="0046798B">
            <w:pPr>
              <w:pStyle w:val="TableParagraph"/>
              <w:spacing w:before="3"/>
              <w:rPr>
                <w:b/>
                <w:sz w:val="23"/>
              </w:rPr>
            </w:pPr>
          </w:p>
          <w:p w14:paraId="1C78B465" w14:textId="77777777" w:rsidR="0046798B" w:rsidRDefault="00903B5C">
            <w:pPr>
              <w:pStyle w:val="TableParagraph"/>
              <w:spacing w:before="1"/>
              <w:ind w:left="114"/>
              <w:rPr>
                <w:sz w:val="20"/>
              </w:rPr>
            </w:pPr>
            <w:r>
              <w:rPr>
                <w:sz w:val="20"/>
              </w:rPr>
              <w:t>1940–1976</w:t>
            </w:r>
          </w:p>
        </w:tc>
        <w:tc>
          <w:tcPr>
            <w:tcW w:w="3421" w:type="dxa"/>
          </w:tcPr>
          <w:p w14:paraId="5DAD451B" w14:textId="77777777" w:rsidR="0046798B" w:rsidRDefault="00903B5C">
            <w:pPr>
              <w:pStyle w:val="TableParagraph"/>
              <w:spacing w:before="38"/>
              <w:ind w:left="114" w:right="605"/>
              <w:rPr>
                <w:sz w:val="20"/>
              </w:rPr>
            </w:pPr>
            <w:r>
              <w:rPr>
                <w:sz w:val="20"/>
              </w:rPr>
              <w:t>Did state adopt the Missouri Plan (judges chosen by nonpartisan committee)? (0 = no, 1 = yes)</w:t>
            </w:r>
          </w:p>
        </w:tc>
        <w:tc>
          <w:tcPr>
            <w:tcW w:w="6482" w:type="dxa"/>
          </w:tcPr>
          <w:p w14:paraId="5B410269" w14:textId="77777777" w:rsidR="0046798B" w:rsidRDefault="00903B5C">
            <w:pPr>
              <w:pStyle w:val="TableParagraph"/>
              <w:spacing w:before="15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4FDE3689" w14:textId="77777777">
        <w:trPr>
          <w:trHeight w:val="1235"/>
        </w:trPr>
        <w:tc>
          <w:tcPr>
            <w:tcW w:w="1711" w:type="dxa"/>
          </w:tcPr>
          <w:p w14:paraId="56F7B40B" w14:textId="77777777" w:rsidR="0046798B" w:rsidRDefault="0046798B">
            <w:pPr>
              <w:pStyle w:val="TableParagraph"/>
              <w:rPr>
                <w:b/>
              </w:rPr>
            </w:pPr>
          </w:p>
          <w:p w14:paraId="77C2ECAC" w14:textId="77777777" w:rsidR="0046798B" w:rsidRDefault="0046798B">
            <w:pPr>
              <w:pStyle w:val="TableParagraph"/>
              <w:spacing w:before="8"/>
              <w:rPr>
                <w:b/>
                <w:sz w:val="21"/>
              </w:rPr>
            </w:pPr>
          </w:p>
          <w:p w14:paraId="0BFE8B28" w14:textId="77777777" w:rsidR="0046798B" w:rsidRDefault="00903B5C">
            <w:pPr>
              <w:pStyle w:val="TableParagraph"/>
              <w:spacing w:before="1"/>
              <w:ind w:left="115"/>
              <w:rPr>
                <w:b/>
                <w:sz w:val="20"/>
              </w:rPr>
            </w:pPr>
            <w:r>
              <w:rPr>
                <w:b/>
                <w:sz w:val="20"/>
              </w:rPr>
              <w:t>norealid</w:t>
            </w:r>
          </w:p>
        </w:tc>
        <w:tc>
          <w:tcPr>
            <w:tcW w:w="1596" w:type="dxa"/>
          </w:tcPr>
          <w:p w14:paraId="3F2D3CFF" w14:textId="77777777" w:rsidR="0046798B" w:rsidRDefault="00903B5C">
            <w:pPr>
              <w:pStyle w:val="TableParagraph"/>
              <w:spacing w:before="43"/>
              <w:ind w:left="114" w:right="107"/>
              <w:rPr>
                <w:sz w:val="20"/>
              </w:rPr>
            </w:pPr>
            <w:r>
              <w:rPr>
                <w:sz w:val="20"/>
              </w:rPr>
              <w:t>State policy to refuse to comply with 2005 Federal Real ID Act</w:t>
            </w:r>
          </w:p>
        </w:tc>
        <w:tc>
          <w:tcPr>
            <w:tcW w:w="1285" w:type="dxa"/>
          </w:tcPr>
          <w:p w14:paraId="4589D6B5" w14:textId="77777777" w:rsidR="0046798B" w:rsidRDefault="0046798B">
            <w:pPr>
              <w:pStyle w:val="TableParagraph"/>
              <w:rPr>
                <w:b/>
              </w:rPr>
            </w:pPr>
          </w:p>
          <w:p w14:paraId="53FEAFF3" w14:textId="77777777" w:rsidR="0046798B" w:rsidRDefault="0046798B">
            <w:pPr>
              <w:pStyle w:val="TableParagraph"/>
              <w:spacing w:before="8"/>
              <w:rPr>
                <w:b/>
                <w:sz w:val="21"/>
              </w:rPr>
            </w:pPr>
          </w:p>
          <w:p w14:paraId="6CB0E114" w14:textId="77777777" w:rsidR="0046798B" w:rsidRDefault="00903B5C">
            <w:pPr>
              <w:pStyle w:val="TableParagraph"/>
              <w:spacing w:before="1"/>
              <w:ind w:left="114"/>
              <w:rPr>
                <w:sz w:val="20"/>
              </w:rPr>
            </w:pPr>
            <w:r>
              <w:rPr>
                <w:sz w:val="20"/>
              </w:rPr>
              <w:t>2007–2009</w:t>
            </w:r>
          </w:p>
        </w:tc>
        <w:tc>
          <w:tcPr>
            <w:tcW w:w="3421" w:type="dxa"/>
          </w:tcPr>
          <w:p w14:paraId="58B7BA5E" w14:textId="77777777" w:rsidR="0046798B" w:rsidRDefault="0046798B">
            <w:pPr>
              <w:pStyle w:val="TableParagraph"/>
              <w:spacing w:before="8"/>
              <w:rPr>
                <w:b/>
                <w:sz w:val="23"/>
              </w:rPr>
            </w:pPr>
          </w:p>
          <w:p w14:paraId="1B759CF7" w14:textId="77777777" w:rsidR="0046798B" w:rsidRDefault="00903B5C">
            <w:pPr>
              <w:pStyle w:val="TableParagraph"/>
              <w:spacing w:before="1"/>
              <w:ind w:left="114" w:right="150"/>
              <w:rPr>
                <w:sz w:val="20"/>
              </w:rPr>
            </w:pPr>
            <w:r>
              <w:rPr>
                <w:sz w:val="20"/>
              </w:rPr>
              <w:t>Did state adopt state policy to refuse to comply with 2005 Federal Real ID Act? (0 = no, 1 = yes)</w:t>
            </w:r>
          </w:p>
        </w:tc>
        <w:tc>
          <w:tcPr>
            <w:tcW w:w="6482" w:type="dxa"/>
          </w:tcPr>
          <w:p w14:paraId="0A136A07" w14:textId="77777777" w:rsidR="0046798B" w:rsidRDefault="0046798B">
            <w:pPr>
              <w:pStyle w:val="TableParagraph"/>
              <w:rPr>
                <w:b/>
              </w:rPr>
            </w:pPr>
          </w:p>
          <w:p w14:paraId="25D74E29" w14:textId="77777777" w:rsidR="0046798B" w:rsidRDefault="00903B5C">
            <w:pPr>
              <w:pStyle w:val="TableParagraph"/>
              <w:spacing w:before="135"/>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1FA9FA40" w14:textId="77777777">
        <w:trPr>
          <w:trHeight w:val="545"/>
        </w:trPr>
        <w:tc>
          <w:tcPr>
            <w:tcW w:w="1711" w:type="dxa"/>
          </w:tcPr>
          <w:p w14:paraId="1ADF1617" w14:textId="77777777" w:rsidR="0046798B" w:rsidRDefault="00903B5C">
            <w:pPr>
              <w:pStyle w:val="TableParagraph"/>
              <w:spacing w:before="158"/>
              <w:ind w:left="115"/>
              <w:rPr>
                <w:b/>
                <w:sz w:val="20"/>
              </w:rPr>
            </w:pPr>
            <w:r>
              <w:rPr>
                <w:b/>
                <w:sz w:val="20"/>
              </w:rPr>
              <w:t>recipsup</w:t>
            </w:r>
          </w:p>
        </w:tc>
        <w:tc>
          <w:tcPr>
            <w:tcW w:w="1596" w:type="dxa"/>
          </w:tcPr>
          <w:p w14:paraId="7B5F2E8B" w14:textId="77777777" w:rsidR="0046798B" w:rsidRDefault="00903B5C">
            <w:pPr>
              <w:pStyle w:val="TableParagraph"/>
              <w:spacing w:before="43"/>
              <w:ind w:left="114" w:right="513"/>
              <w:rPr>
                <w:sz w:val="20"/>
              </w:rPr>
            </w:pPr>
            <w:r>
              <w:rPr>
                <w:sz w:val="20"/>
              </w:rPr>
              <w:t>Reciprocal support law</w:t>
            </w:r>
          </w:p>
        </w:tc>
        <w:tc>
          <w:tcPr>
            <w:tcW w:w="1285" w:type="dxa"/>
          </w:tcPr>
          <w:p w14:paraId="0D898190" w14:textId="77777777" w:rsidR="0046798B" w:rsidRDefault="00903B5C">
            <w:pPr>
              <w:pStyle w:val="TableParagraph"/>
              <w:spacing w:before="158"/>
              <w:ind w:left="114"/>
              <w:rPr>
                <w:sz w:val="20"/>
              </w:rPr>
            </w:pPr>
            <w:r>
              <w:rPr>
                <w:sz w:val="20"/>
              </w:rPr>
              <w:t>1934–1959</w:t>
            </w:r>
          </w:p>
        </w:tc>
        <w:tc>
          <w:tcPr>
            <w:tcW w:w="3421" w:type="dxa"/>
          </w:tcPr>
          <w:p w14:paraId="6F3C168D" w14:textId="77777777" w:rsidR="0046798B" w:rsidRDefault="00903B5C">
            <w:pPr>
              <w:pStyle w:val="TableParagraph"/>
              <w:spacing w:before="43"/>
              <w:ind w:left="114" w:right="427"/>
              <w:rPr>
                <w:sz w:val="20"/>
              </w:rPr>
            </w:pPr>
            <w:r>
              <w:rPr>
                <w:sz w:val="20"/>
              </w:rPr>
              <w:t>Did state adopt a reciprocal support law? (0 = no, 1 = yes)</w:t>
            </w:r>
          </w:p>
        </w:tc>
        <w:tc>
          <w:tcPr>
            <w:tcW w:w="6482" w:type="dxa"/>
          </w:tcPr>
          <w:p w14:paraId="6F3A03A0" w14:textId="77777777" w:rsidR="0046798B" w:rsidRDefault="00903B5C">
            <w:pPr>
              <w:pStyle w:val="TableParagraph"/>
              <w:spacing w:before="4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15961849" w14:textId="77777777">
        <w:trPr>
          <w:trHeight w:val="545"/>
        </w:trPr>
        <w:tc>
          <w:tcPr>
            <w:tcW w:w="1711" w:type="dxa"/>
          </w:tcPr>
          <w:p w14:paraId="56F23D18" w14:textId="77777777" w:rsidR="0046798B" w:rsidRDefault="00903B5C">
            <w:pPr>
              <w:pStyle w:val="TableParagraph"/>
              <w:spacing w:before="158"/>
              <w:ind w:left="115"/>
              <w:rPr>
                <w:b/>
                <w:sz w:val="20"/>
              </w:rPr>
            </w:pPr>
            <w:r>
              <w:rPr>
                <w:b/>
                <w:sz w:val="20"/>
              </w:rPr>
              <w:t>stplnb</w:t>
            </w:r>
          </w:p>
        </w:tc>
        <w:tc>
          <w:tcPr>
            <w:tcW w:w="1596" w:type="dxa"/>
          </w:tcPr>
          <w:p w14:paraId="261EA560" w14:textId="77777777" w:rsidR="0046798B" w:rsidRDefault="00903B5C">
            <w:pPr>
              <w:pStyle w:val="TableParagraph"/>
              <w:spacing w:before="43"/>
              <w:ind w:left="114" w:right="302"/>
              <w:rPr>
                <w:sz w:val="20"/>
              </w:rPr>
            </w:pPr>
            <w:r>
              <w:rPr>
                <w:sz w:val="20"/>
              </w:rPr>
              <w:t>State planning board</w:t>
            </w:r>
          </w:p>
        </w:tc>
        <w:tc>
          <w:tcPr>
            <w:tcW w:w="1285" w:type="dxa"/>
          </w:tcPr>
          <w:p w14:paraId="00BB1DAF" w14:textId="77777777" w:rsidR="0046798B" w:rsidRDefault="00903B5C">
            <w:pPr>
              <w:pStyle w:val="TableParagraph"/>
              <w:spacing w:before="158"/>
              <w:ind w:left="114"/>
              <w:rPr>
                <w:sz w:val="20"/>
              </w:rPr>
            </w:pPr>
            <w:r>
              <w:rPr>
                <w:sz w:val="20"/>
              </w:rPr>
              <w:t>1933–1959</w:t>
            </w:r>
          </w:p>
        </w:tc>
        <w:tc>
          <w:tcPr>
            <w:tcW w:w="3421" w:type="dxa"/>
          </w:tcPr>
          <w:p w14:paraId="256E72D4" w14:textId="77777777" w:rsidR="0046798B" w:rsidRDefault="00903B5C">
            <w:pPr>
              <w:pStyle w:val="TableParagraph"/>
              <w:spacing w:before="43"/>
              <w:ind w:left="114" w:right="166"/>
              <w:rPr>
                <w:sz w:val="20"/>
              </w:rPr>
            </w:pPr>
            <w:r>
              <w:rPr>
                <w:sz w:val="20"/>
              </w:rPr>
              <w:t>Did state adopt a state planning board? (0 = no, 1 = yes)</w:t>
            </w:r>
          </w:p>
        </w:tc>
        <w:tc>
          <w:tcPr>
            <w:tcW w:w="6482" w:type="dxa"/>
          </w:tcPr>
          <w:p w14:paraId="193807F6" w14:textId="77777777" w:rsidR="0046798B" w:rsidRDefault="00903B5C">
            <w:pPr>
              <w:pStyle w:val="TableParagraph"/>
              <w:spacing w:before="4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3D5370E7" w14:textId="77777777">
        <w:trPr>
          <w:trHeight w:val="550"/>
        </w:trPr>
        <w:tc>
          <w:tcPr>
            <w:tcW w:w="1711" w:type="dxa"/>
          </w:tcPr>
          <w:p w14:paraId="3A2E7549" w14:textId="77777777" w:rsidR="0046798B" w:rsidRDefault="00903B5C">
            <w:pPr>
              <w:pStyle w:val="TableParagraph"/>
              <w:spacing w:before="158"/>
              <w:ind w:left="115"/>
              <w:rPr>
                <w:b/>
                <w:sz w:val="20"/>
              </w:rPr>
            </w:pPr>
            <w:r>
              <w:rPr>
                <w:b/>
                <w:sz w:val="20"/>
              </w:rPr>
              <w:t>termlim</w:t>
            </w:r>
          </w:p>
        </w:tc>
        <w:tc>
          <w:tcPr>
            <w:tcW w:w="1596" w:type="dxa"/>
          </w:tcPr>
          <w:p w14:paraId="23563BAA" w14:textId="77777777" w:rsidR="0046798B" w:rsidRDefault="00903B5C">
            <w:pPr>
              <w:pStyle w:val="TableParagraph"/>
              <w:spacing w:before="43"/>
              <w:ind w:left="114" w:right="146"/>
              <w:rPr>
                <w:sz w:val="20"/>
              </w:rPr>
            </w:pPr>
            <w:r>
              <w:rPr>
                <w:sz w:val="20"/>
              </w:rPr>
              <w:t>Legislative term limits</w:t>
            </w:r>
          </w:p>
        </w:tc>
        <w:tc>
          <w:tcPr>
            <w:tcW w:w="1285" w:type="dxa"/>
          </w:tcPr>
          <w:p w14:paraId="3E3BA527" w14:textId="77777777" w:rsidR="0046798B" w:rsidRDefault="00903B5C">
            <w:pPr>
              <w:pStyle w:val="TableParagraph"/>
              <w:spacing w:before="158"/>
              <w:ind w:left="114"/>
              <w:rPr>
                <w:sz w:val="20"/>
              </w:rPr>
            </w:pPr>
            <w:r>
              <w:rPr>
                <w:sz w:val="20"/>
              </w:rPr>
              <w:t>1990–2000</w:t>
            </w:r>
          </w:p>
        </w:tc>
        <w:tc>
          <w:tcPr>
            <w:tcW w:w="3421" w:type="dxa"/>
          </w:tcPr>
          <w:p w14:paraId="113B8C15" w14:textId="77777777" w:rsidR="0046798B" w:rsidRDefault="00903B5C">
            <w:pPr>
              <w:pStyle w:val="TableParagraph"/>
              <w:spacing w:before="43"/>
              <w:ind w:left="114" w:right="183"/>
              <w:rPr>
                <w:sz w:val="20"/>
              </w:rPr>
            </w:pPr>
            <w:r>
              <w:rPr>
                <w:sz w:val="20"/>
              </w:rPr>
              <w:t>Did state adopt legislative term limits? (0 = no, 1 = yes)</w:t>
            </w:r>
          </w:p>
        </w:tc>
        <w:tc>
          <w:tcPr>
            <w:tcW w:w="6482" w:type="dxa"/>
          </w:tcPr>
          <w:p w14:paraId="3479BCF9" w14:textId="77777777" w:rsidR="0046798B" w:rsidRDefault="00903B5C">
            <w:pPr>
              <w:pStyle w:val="TableParagraph"/>
              <w:spacing w:before="4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460A1B74" w14:textId="77777777">
        <w:trPr>
          <w:trHeight w:val="1695"/>
        </w:trPr>
        <w:tc>
          <w:tcPr>
            <w:tcW w:w="1711" w:type="dxa"/>
          </w:tcPr>
          <w:p w14:paraId="451F1C98" w14:textId="77777777" w:rsidR="0046798B" w:rsidRDefault="0046798B">
            <w:pPr>
              <w:pStyle w:val="TableParagraph"/>
              <w:rPr>
                <w:b/>
              </w:rPr>
            </w:pPr>
          </w:p>
          <w:p w14:paraId="5598C26B" w14:textId="77777777" w:rsidR="0046798B" w:rsidRDefault="0046798B">
            <w:pPr>
              <w:pStyle w:val="TableParagraph"/>
              <w:spacing w:before="4"/>
              <w:rPr>
                <w:b/>
                <w:sz w:val="31"/>
              </w:rPr>
            </w:pPr>
          </w:p>
          <w:p w14:paraId="60675C7C" w14:textId="77777777" w:rsidR="0046798B" w:rsidRDefault="00903B5C">
            <w:pPr>
              <w:pStyle w:val="TableParagraph"/>
              <w:ind w:left="115" w:right="110"/>
              <w:rPr>
                <w:b/>
                <w:sz w:val="20"/>
              </w:rPr>
            </w:pPr>
            <w:r>
              <w:rPr>
                <w:b/>
                <w:sz w:val="20"/>
              </w:rPr>
              <w:t>appointment_of_ commissioners</w:t>
            </w:r>
          </w:p>
        </w:tc>
        <w:tc>
          <w:tcPr>
            <w:tcW w:w="1596" w:type="dxa"/>
          </w:tcPr>
          <w:p w14:paraId="7853E42D" w14:textId="77777777" w:rsidR="0046798B" w:rsidRDefault="00903B5C">
            <w:pPr>
              <w:pStyle w:val="TableParagraph"/>
              <w:spacing w:before="38"/>
              <w:ind w:left="114" w:right="235"/>
              <w:rPr>
                <w:sz w:val="20"/>
              </w:rPr>
            </w:pPr>
            <w:r>
              <w:rPr>
                <w:sz w:val="20"/>
              </w:rPr>
              <w:t>Creates commission on uniform state laws, and procedure to appoint commissioners</w:t>
            </w:r>
          </w:p>
        </w:tc>
        <w:tc>
          <w:tcPr>
            <w:tcW w:w="1285" w:type="dxa"/>
          </w:tcPr>
          <w:p w14:paraId="4565781A" w14:textId="77777777" w:rsidR="0046798B" w:rsidRDefault="0046798B">
            <w:pPr>
              <w:pStyle w:val="TableParagraph"/>
              <w:rPr>
                <w:b/>
              </w:rPr>
            </w:pPr>
          </w:p>
          <w:p w14:paraId="60BD4AB2" w14:textId="77777777" w:rsidR="0046798B" w:rsidRDefault="0046798B">
            <w:pPr>
              <w:pStyle w:val="TableParagraph"/>
              <w:rPr>
                <w:b/>
              </w:rPr>
            </w:pPr>
          </w:p>
          <w:p w14:paraId="58E772EB" w14:textId="77777777" w:rsidR="0046798B" w:rsidRDefault="0046798B">
            <w:pPr>
              <w:pStyle w:val="TableParagraph"/>
              <w:spacing w:before="4"/>
              <w:rPr>
                <w:b/>
                <w:sz w:val="19"/>
              </w:rPr>
            </w:pPr>
          </w:p>
          <w:p w14:paraId="42307C8F" w14:textId="77777777" w:rsidR="0046798B" w:rsidRDefault="00903B5C">
            <w:pPr>
              <w:pStyle w:val="TableParagraph"/>
              <w:ind w:left="114"/>
              <w:rPr>
                <w:sz w:val="20"/>
              </w:rPr>
            </w:pPr>
            <w:r>
              <w:rPr>
                <w:sz w:val="20"/>
              </w:rPr>
              <w:t>1921–1955</w:t>
            </w:r>
          </w:p>
        </w:tc>
        <w:tc>
          <w:tcPr>
            <w:tcW w:w="3421" w:type="dxa"/>
          </w:tcPr>
          <w:p w14:paraId="592755F6" w14:textId="77777777" w:rsidR="0046798B" w:rsidRDefault="0046798B">
            <w:pPr>
              <w:pStyle w:val="TableParagraph"/>
              <w:rPr>
                <w:b/>
              </w:rPr>
            </w:pPr>
          </w:p>
          <w:p w14:paraId="55199A4E" w14:textId="77777777" w:rsidR="0046798B" w:rsidRDefault="0046798B">
            <w:pPr>
              <w:pStyle w:val="TableParagraph"/>
              <w:spacing w:before="4"/>
              <w:rPr>
                <w:b/>
                <w:sz w:val="31"/>
              </w:rPr>
            </w:pPr>
          </w:p>
          <w:p w14:paraId="5241774E" w14:textId="77777777" w:rsidR="0046798B" w:rsidRDefault="00903B5C">
            <w:pPr>
              <w:pStyle w:val="TableParagraph"/>
              <w:ind w:left="114" w:right="1475"/>
              <w:rPr>
                <w:sz w:val="20"/>
              </w:rPr>
            </w:pPr>
            <w:r>
              <w:rPr>
                <w:sz w:val="20"/>
              </w:rPr>
              <w:t>0 = policy not adopted 1 = policy adopted</w:t>
            </w:r>
          </w:p>
        </w:tc>
        <w:tc>
          <w:tcPr>
            <w:tcW w:w="6482" w:type="dxa"/>
          </w:tcPr>
          <w:p w14:paraId="348AC46D" w14:textId="77777777" w:rsidR="0046798B" w:rsidRDefault="00903B5C">
            <w:pPr>
              <w:pStyle w:val="TableParagraph"/>
              <w:spacing w:before="153"/>
              <w:ind w:left="114"/>
              <w:rPr>
                <w:sz w:val="20"/>
              </w:rPr>
            </w:pPr>
            <w:r>
              <w:rPr>
                <w:sz w:val="20"/>
              </w:rPr>
              <w:t xml:space="preserve">Uniform Law Commission website: </w:t>
            </w:r>
            <w:hyperlink r:id="rId384">
              <w:r>
                <w:rPr>
                  <w:color w:val="0462C1"/>
                  <w:sz w:val="20"/>
                  <w:u w:val="single" w:color="0462C1"/>
                </w:rPr>
                <w:t>http://www.uniformlaws.org/</w:t>
              </w:r>
            </w:hyperlink>
          </w:p>
          <w:p w14:paraId="4A9E6250" w14:textId="77777777" w:rsidR="0046798B" w:rsidRDefault="0046798B">
            <w:pPr>
              <w:pStyle w:val="TableParagraph"/>
              <w:rPr>
                <w:b/>
                <w:sz w:val="20"/>
              </w:rPr>
            </w:pPr>
          </w:p>
          <w:p w14:paraId="392E734D"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bl>
    <w:p w14:paraId="0CCBF9C0" w14:textId="77777777" w:rsidR="0046798B" w:rsidRDefault="0046798B">
      <w:pPr>
        <w:rPr>
          <w:sz w:val="20"/>
        </w:rPr>
        <w:sectPr w:rsidR="0046798B">
          <w:pgSz w:w="15840" w:h="12240" w:orient="landscape"/>
          <w:pgMar w:top="1220" w:right="300" w:bottom="980" w:left="820" w:header="730" w:footer="787" w:gutter="0"/>
          <w:cols w:space="720"/>
        </w:sectPr>
      </w:pPr>
    </w:p>
    <w:p w14:paraId="0838EE9B"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74C00524" w14:textId="77777777">
        <w:trPr>
          <w:trHeight w:val="2616"/>
        </w:trPr>
        <w:tc>
          <w:tcPr>
            <w:tcW w:w="1711" w:type="dxa"/>
          </w:tcPr>
          <w:p w14:paraId="0B265819" w14:textId="77777777" w:rsidR="0046798B" w:rsidRDefault="0046798B">
            <w:pPr>
              <w:pStyle w:val="TableParagraph"/>
            </w:pPr>
          </w:p>
          <w:p w14:paraId="590E7BDD" w14:textId="77777777" w:rsidR="0046798B" w:rsidRDefault="0046798B">
            <w:pPr>
              <w:pStyle w:val="TableParagraph"/>
            </w:pPr>
          </w:p>
          <w:p w14:paraId="1BB2C3C0" w14:textId="77777777" w:rsidR="0046798B" w:rsidRDefault="0046798B">
            <w:pPr>
              <w:pStyle w:val="TableParagraph"/>
            </w:pPr>
          </w:p>
          <w:p w14:paraId="340C56E5" w14:textId="77777777" w:rsidR="0046798B" w:rsidRDefault="0046798B">
            <w:pPr>
              <w:pStyle w:val="TableParagraph"/>
              <w:spacing w:before="9"/>
              <w:rPr>
                <w:sz w:val="27"/>
              </w:rPr>
            </w:pPr>
          </w:p>
          <w:p w14:paraId="586E673B" w14:textId="77777777" w:rsidR="0046798B" w:rsidRDefault="00903B5C">
            <w:pPr>
              <w:pStyle w:val="TableParagraph"/>
              <w:ind w:left="115" w:right="88"/>
              <w:rPr>
                <w:b/>
                <w:sz w:val="20"/>
              </w:rPr>
            </w:pPr>
            <w:r>
              <w:rPr>
                <w:b/>
                <w:sz w:val="20"/>
              </w:rPr>
              <w:t>facsimile_signatu res_of_public_o</w:t>
            </w:r>
          </w:p>
        </w:tc>
        <w:tc>
          <w:tcPr>
            <w:tcW w:w="1596" w:type="dxa"/>
          </w:tcPr>
          <w:p w14:paraId="1E7B2CAF" w14:textId="77777777" w:rsidR="0046798B" w:rsidRDefault="00903B5C">
            <w:pPr>
              <w:pStyle w:val="TableParagraph"/>
              <w:spacing w:before="43"/>
              <w:ind w:left="114" w:right="157"/>
              <w:rPr>
                <w:sz w:val="20"/>
              </w:rPr>
            </w:pPr>
            <w:r>
              <w:rPr>
                <w:sz w:val="20"/>
              </w:rPr>
              <w:t>Permits the use of facsimile signatures by public officials whose signature to a public security or instrument of payment is required or permitted</w:t>
            </w:r>
          </w:p>
        </w:tc>
        <w:tc>
          <w:tcPr>
            <w:tcW w:w="1285" w:type="dxa"/>
          </w:tcPr>
          <w:p w14:paraId="766DFEC7" w14:textId="77777777" w:rsidR="0046798B" w:rsidRDefault="0046798B">
            <w:pPr>
              <w:pStyle w:val="TableParagraph"/>
            </w:pPr>
          </w:p>
          <w:p w14:paraId="74D403E3" w14:textId="77777777" w:rsidR="0046798B" w:rsidRDefault="0046798B">
            <w:pPr>
              <w:pStyle w:val="TableParagraph"/>
            </w:pPr>
          </w:p>
          <w:p w14:paraId="04A61561" w14:textId="77777777" w:rsidR="0046798B" w:rsidRDefault="0046798B">
            <w:pPr>
              <w:pStyle w:val="TableParagraph"/>
            </w:pPr>
          </w:p>
          <w:p w14:paraId="728ECBBA" w14:textId="77777777" w:rsidR="0046798B" w:rsidRDefault="0046798B">
            <w:pPr>
              <w:pStyle w:val="TableParagraph"/>
            </w:pPr>
          </w:p>
          <w:p w14:paraId="6B2AA630" w14:textId="77777777" w:rsidR="0046798B" w:rsidRDefault="00903B5C">
            <w:pPr>
              <w:pStyle w:val="TableParagraph"/>
              <w:spacing w:before="181"/>
              <w:ind w:left="114"/>
              <w:rPr>
                <w:sz w:val="20"/>
              </w:rPr>
            </w:pPr>
            <w:r>
              <w:rPr>
                <w:sz w:val="20"/>
              </w:rPr>
              <w:t>1958–1999</w:t>
            </w:r>
          </w:p>
        </w:tc>
        <w:tc>
          <w:tcPr>
            <w:tcW w:w="3421" w:type="dxa"/>
          </w:tcPr>
          <w:p w14:paraId="5E3676F2" w14:textId="77777777" w:rsidR="0046798B" w:rsidRDefault="0046798B">
            <w:pPr>
              <w:pStyle w:val="TableParagraph"/>
            </w:pPr>
          </w:p>
          <w:p w14:paraId="6A7E1753" w14:textId="77777777" w:rsidR="0046798B" w:rsidRDefault="0046798B">
            <w:pPr>
              <w:pStyle w:val="TableParagraph"/>
            </w:pPr>
          </w:p>
          <w:p w14:paraId="0251BD33" w14:textId="77777777" w:rsidR="0046798B" w:rsidRDefault="0046798B">
            <w:pPr>
              <w:pStyle w:val="TableParagraph"/>
            </w:pPr>
          </w:p>
          <w:p w14:paraId="14D3EC2D" w14:textId="77777777" w:rsidR="0046798B" w:rsidRDefault="0046798B">
            <w:pPr>
              <w:pStyle w:val="TableParagraph"/>
              <w:spacing w:before="9"/>
              <w:rPr>
                <w:sz w:val="27"/>
              </w:rPr>
            </w:pPr>
          </w:p>
          <w:p w14:paraId="211838FE" w14:textId="77777777" w:rsidR="0046798B" w:rsidRDefault="00903B5C">
            <w:pPr>
              <w:pStyle w:val="TableParagraph"/>
              <w:ind w:left="114" w:right="1475"/>
              <w:rPr>
                <w:sz w:val="20"/>
              </w:rPr>
            </w:pPr>
            <w:r>
              <w:rPr>
                <w:sz w:val="20"/>
              </w:rPr>
              <w:t>0 = policy not adopted 1 = policy adopted</w:t>
            </w:r>
          </w:p>
        </w:tc>
        <w:tc>
          <w:tcPr>
            <w:tcW w:w="6482" w:type="dxa"/>
          </w:tcPr>
          <w:p w14:paraId="394F2D0F" w14:textId="77777777" w:rsidR="0046798B" w:rsidRDefault="0046798B">
            <w:pPr>
              <w:pStyle w:val="TableParagraph"/>
            </w:pPr>
          </w:p>
          <w:p w14:paraId="2D80688D" w14:textId="77777777" w:rsidR="0046798B" w:rsidRDefault="0046798B">
            <w:pPr>
              <w:pStyle w:val="TableParagraph"/>
              <w:spacing w:before="9"/>
              <w:rPr>
                <w:sz w:val="31"/>
              </w:rPr>
            </w:pPr>
          </w:p>
          <w:p w14:paraId="3237A35E" w14:textId="77777777" w:rsidR="0046798B" w:rsidRDefault="00903B5C">
            <w:pPr>
              <w:pStyle w:val="TableParagraph"/>
              <w:ind w:left="114"/>
              <w:rPr>
                <w:sz w:val="20"/>
              </w:rPr>
            </w:pPr>
            <w:r>
              <w:rPr>
                <w:sz w:val="20"/>
              </w:rPr>
              <w:t xml:space="preserve">Uniform Law Commission website: </w:t>
            </w:r>
            <w:hyperlink r:id="rId385">
              <w:r>
                <w:rPr>
                  <w:color w:val="0462C1"/>
                  <w:sz w:val="20"/>
                  <w:u w:val="single" w:color="0462C1"/>
                </w:rPr>
                <w:t>http://www.uniformlaws.org/</w:t>
              </w:r>
            </w:hyperlink>
          </w:p>
          <w:p w14:paraId="1B832531" w14:textId="77777777" w:rsidR="0046798B" w:rsidRDefault="0046798B">
            <w:pPr>
              <w:pStyle w:val="TableParagraph"/>
              <w:rPr>
                <w:sz w:val="20"/>
              </w:rPr>
            </w:pPr>
          </w:p>
          <w:p w14:paraId="11368CB0"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6F658A8B" w14:textId="77777777">
        <w:trPr>
          <w:trHeight w:val="1465"/>
        </w:trPr>
        <w:tc>
          <w:tcPr>
            <w:tcW w:w="1711" w:type="dxa"/>
          </w:tcPr>
          <w:p w14:paraId="059221AE" w14:textId="77777777" w:rsidR="0046798B" w:rsidRDefault="0046798B">
            <w:pPr>
              <w:pStyle w:val="TableParagraph"/>
            </w:pPr>
          </w:p>
          <w:p w14:paraId="5222BD64" w14:textId="77777777" w:rsidR="0046798B" w:rsidRDefault="0046798B">
            <w:pPr>
              <w:pStyle w:val="TableParagraph"/>
              <w:spacing w:before="9"/>
              <w:rPr>
                <w:sz w:val="21"/>
              </w:rPr>
            </w:pPr>
          </w:p>
          <w:p w14:paraId="19C8937A" w14:textId="77777777" w:rsidR="0046798B" w:rsidRDefault="00903B5C">
            <w:pPr>
              <w:pStyle w:val="TableParagraph"/>
              <w:ind w:left="115" w:right="99"/>
              <w:rPr>
                <w:b/>
                <w:sz w:val="20"/>
              </w:rPr>
            </w:pPr>
            <w:r>
              <w:rPr>
                <w:b/>
                <w:sz w:val="20"/>
              </w:rPr>
              <w:t>faithful_presiden tial_electors_a</w:t>
            </w:r>
          </w:p>
        </w:tc>
        <w:tc>
          <w:tcPr>
            <w:tcW w:w="1596" w:type="dxa"/>
          </w:tcPr>
          <w:p w14:paraId="3ECE633F" w14:textId="77777777" w:rsidR="0046798B" w:rsidRDefault="00903B5C">
            <w:pPr>
              <w:pStyle w:val="TableParagraph"/>
              <w:spacing w:before="43"/>
              <w:ind w:left="114" w:right="230"/>
              <w:rPr>
                <w:sz w:val="20"/>
              </w:rPr>
            </w:pPr>
            <w:r>
              <w:rPr>
                <w:sz w:val="20"/>
              </w:rPr>
              <w:t>Require delegates in Electoral College to vote in accordance with voters</w:t>
            </w:r>
          </w:p>
        </w:tc>
        <w:tc>
          <w:tcPr>
            <w:tcW w:w="1285" w:type="dxa"/>
          </w:tcPr>
          <w:p w14:paraId="0EC23D02" w14:textId="77777777" w:rsidR="0046798B" w:rsidRDefault="0046798B">
            <w:pPr>
              <w:pStyle w:val="TableParagraph"/>
            </w:pPr>
          </w:p>
          <w:p w14:paraId="4CAB3664" w14:textId="77777777" w:rsidR="0046798B" w:rsidRDefault="0046798B">
            <w:pPr>
              <w:pStyle w:val="TableParagraph"/>
              <w:spacing w:before="9"/>
              <w:rPr>
                <w:sz w:val="31"/>
              </w:rPr>
            </w:pPr>
          </w:p>
          <w:p w14:paraId="5F526ACD" w14:textId="77777777" w:rsidR="0046798B" w:rsidRDefault="00903B5C">
            <w:pPr>
              <w:pStyle w:val="TableParagraph"/>
              <w:ind w:left="114"/>
              <w:rPr>
                <w:sz w:val="20"/>
              </w:rPr>
            </w:pPr>
            <w:r>
              <w:rPr>
                <w:sz w:val="20"/>
              </w:rPr>
              <w:t>2011–2015</w:t>
            </w:r>
          </w:p>
        </w:tc>
        <w:tc>
          <w:tcPr>
            <w:tcW w:w="3421" w:type="dxa"/>
          </w:tcPr>
          <w:p w14:paraId="77D81775" w14:textId="77777777" w:rsidR="0046798B" w:rsidRDefault="0046798B">
            <w:pPr>
              <w:pStyle w:val="TableParagraph"/>
            </w:pPr>
          </w:p>
          <w:p w14:paraId="3808CD4E" w14:textId="77777777" w:rsidR="0046798B" w:rsidRDefault="0046798B">
            <w:pPr>
              <w:pStyle w:val="TableParagraph"/>
              <w:spacing w:before="9"/>
              <w:rPr>
                <w:sz w:val="21"/>
              </w:rPr>
            </w:pPr>
          </w:p>
          <w:p w14:paraId="44B8EF18" w14:textId="77777777" w:rsidR="0046798B" w:rsidRDefault="00903B5C">
            <w:pPr>
              <w:pStyle w:val="TableParagraph"/>
              <w:ind w:left="114" w:right="1475"/>
              <w:rPr>
                <w:sz w:val="20"/>
              </w:rPr>
            </w:pPr>
            <w:r>
              <w:rPr>
                <w:sz w:val="20"/>
              </w:rPr>
              <w:t>0 = policy not adopted 1 = policy adopted</w:t>
            </w:r>
          </w:p>
        </w:tc>
        <w:tc>
          <w:tcPr>
            <w:tcW w:w="6482" w:type="dxa"/>
          </w:tcPr>
          <w:p w14:paraId="05B949AF" w14:textId="77777777" w:rsidR="0046798B" w:rsidRDefault="00903B5C">
            <w:pPr>
              <w:pStyle w:val="TableParagraph"/>
              <w:spacing w:before="43"/>
              <w:ind w:left="114"/>
              <w:rPr>
                <w:sz w:val="20"/>
              </w:rPr>
            </w:pPr>
            <w:r>
              <w:rPr>
                <w:sz w:val="20"/>
              </w:rPr>
              <w:t xml:space="preserve">Uniform Law Commission website: </w:t>
            </w:r>
            <w:hyperlink r:id="rId386">
              <w:r>
                <w:rPr>
                  <w:color w:val="0462C1"/>
                  <w:sz w:val="20"/>
                  <w:u w:val="single" w:color="0462C1"/>
                </w:rPr>
                <w:t>http://www.uniformlaws.org/</w:t>
              </w:r>
            </w:hyperlink>
          </w:p>
          <w:p w14:paraId="304C6982" w14:textId="77777777" w:rsidR="0046798B" w:rsidRDefault="0046798B">
            <w:pPr>
              <w:pStyle w:val="TableParagraph"/>
              <w:rPr>
                <w:sz w:val="20"/>
              </w:rPr>
            </w:pPr>
          </w:p>
          <w:p w14:paraId="7E787D22"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0C9F5241" w14:textId="77777777">
        <w:trPr>
          <w:trHeight w:val="2155"/>
        </w:trPr>
        <w:tc>
          <w:tcPr>
            <w:tcW w:w="1711" w:type="dxa"/>
          </w:tcPr>
          <w:p w14:paraId="2580E6D1" w14:textId="77777777" w:rsidR="0046798B" w:rsidRDefault="0046798B">
            <w:pPr>
              <w:pStyle w:val="TableParagraph"/>
            </w:pPr>
          </w:p>
          <w:p w14:paraId="5D239E31" w14:textId="77777777" w:rsidR="0046798B" w:rsidRDefault="0046798B">
            <w:pPr>
              <w:pStyle w:val="TableParagraph"/>
            </w:pPr>
          </w:p>
          <w:p w14:paraId="3A789578" w14:textId="77777777" w:rsidR="0046798B" w:rsidRDefault="0046798B">
            <w:pPr>
              <w:pStyle w:val="TableParagraph"/>
              <w:spacing w:before="8"/>
              <w:rPr>
                <w:sz w:val="19"/>
              </w:rPr>
            </w:pPr>
          </w:p>
          <w:p w14:paraId="3F0AE400" w14:textId="77777777" w:rsidR="0046798B" w:rsidRDefault="00903B5C">
            <w:pPr>
              <w:pStyle w:val="TableParagraph"/>
              <w:spacing w:before="1"/>
              <w:ind w:left="115" w:right="99"/>
              <w:rPr>
                <w:b/>
                <w:sz w:val="20"/>
              </w:rPr>
            </w:pPr>
            <w:r>
              <w:rPr>
                <w:b/>
                <w:sz w:val="20"/>
              </w:rPr>
              <w:t>management_of_ public_employee</w:t>
            </w:r>
          </w:p>
          <w:p w14:paraId="1FD9B1D0" w14:textId="77777777" w:rsidR="0046798B" w:rsidRDefault="00903B5C">
            <w:pPr>
              <w:pStyle w:val="TableParagraph"/>
              <w:ind w:left="115"/>
              <w:rPr>
                <w:b/>
                <w:sz w:val="20"/>
              </w:rPr>
            </w:pPr>
            <w:r>
              <w:rPr>
                <w:b/>
                <w:sz w:val="20"/>
              </w:rPr>
              <w:t>_re</w:t>
            </w:r>
          </w:p>
        </w:tc>
        <w:tc>
          <w:tcPr>
            <w:tcW w:w="1596" w:type="dxa"/>
          </w:tcPr>
          <w:p w14:paraId="7D873BEB" w14:textId="77777777" w:rsidR="0046798B" w:rsidRDefault="00903B5C">
            <w:pPr>
              <w:pStyle w:val="TableParagraph"/>
              <w:spacing w:before="43"/>
              <w:ind w:left="114" w:right="85"/>
              <w:rPr>
                <w:sz w:val="20"/>
              </w:rPr>
            </w:pPr>
            <w:r>
              <w:rPr>
                <w:sz w:val="20"/>
              </w:rPr>
              <w:t>Provide legal rules that permit public employee retirement systems to invest their funds in the most productive and secure manner</w:t>
            </w:r>
          </w:p>
        </w:tc>
        <w:tc>
          <w:tcPr>
            <w:tcW w:w="1285" w:type="dxa"/>
          </w:tcPr>
          <w:p w14:paraId="4812B1E3" w14:textId="77777777" w:rsidR="0046798B" w:rsidRDefault="0046798B">
            <w:pPr>
              <w:pStyle w:val="TableParagraph"/>
            </w:pPr>
          </w:p>
          <w:p w14:paraId="103F33B3" w14:textId="77777777" w:rsidR="0046798B" w:rsidRDefault="0046798B">
            <w:pPr>
              <w:pStyle w:val="TableParagraph"/>
            </w:pPr>
          </w:p>
          <w:p w14:paraId="63AF1285" w14:textId="77777777" w:rsidR="0046798B" w:rsidRDefault="0046798B">
            <w:pPr>
              <w:pStyle w:val="TableParagraph"/>
            </w:pPr>
          </w:p>
          <w:p w14:paraId="4E6676DF" w14:textId="77777777" w:rsidR="0046798B" w:rsidRDefault="0046798B">
            <w:pPr>
              <w:pStyle w:val="TableParagraph"/>
              <w:spacing w:before="8"/>
              <w:rPr>
                <w:sz w:val="17"/>
              </w:rPr>
            </w:pPr>
          </w:p>
          <w:p w14:paraId="4BEB1AD5" w14:textId="77777777" w:rsidR="0046798B" w:rsidRDefault="00903B5C">
            <w:pPr>
              <w:pStyle w:val="TableParagraph"/>
              <w:spacing w:before="1"/>
              <w:ind w:left="114"/>
              <w:rPr>
                <w:sz w:val="20"/>
              </w:rPr>
            </w:pPr>
            <w:r>
              <w:rPr>
                <w:sz w:val="20"/>
              </w:rPr>
              <w:t>2005</w:t>
            </w:r>
          </w:p>
        </w:tc>
        <w:tc>
          <w:tcPr>
            <w:tcW w:w="3421" w:type="dxa"/>
          </w:tcPr>
          <w:p w14:paraId="157144B5" w14:textId="77777777" w:rsidR="0046798B" w:rsidRDefault="0046798B">
            <w:pPr>
              <w:pStyle w:val="TableParagraph"/>
            </w:pPr>
          </w:p>
          <w:p w14:paraId="356599BD" w14:textId="77777777" w:rsidR="0046798B" w:rsidRDefault="0046798B">
            <w:pPr>
              <w:pStyle w:val="TableParagraph"/>
            </w:pPr>
          </w:p>
          <w:p w14:paraId="15C7B42A" w14:textId="77777777" w:rsidR="0046798B" w:rsidRDefault="0046798B">
            <w:pPr>
              <w:pStyle w:val="TableParagraph"/>
              <w:spacing w:before="8"/>
              <w:rPr>
                <w:sz w:val="29"/>
              </w:rPr>
            </w:pPr>
          </w:p>
          <w:p w14:paraId="29577432"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1B1159D7" w14:textId="77777777" w:rsidR="0046798B" w:rsidRDefault="0046798B">
            <w:pPr>
              <w:pStyle w:val="TableParagraph"/>
            </w:pPr>
          </w:p>
          <w:p w14:paraId="03B03F03" w14:textId="77777777" w:rsidR="0046798B" w:rsidRDefault="00903B5C">
            <w:pPr>
              <w:pStyle w:val="TableParagraph"/>
              <w:spacing w:before="135"/>
              <w:ind w:left="114"/>
              <w:rPr>
                <w:sz w:val="20"/>
              </w:rPr>
            </w:pPr>
            <w:r>
              <w:rPr>
                <w:sz w:val="20"/>
              </w:rPr>
              <w:t xml:space="preserve">Uniform Law Commission website: </w:t>
            </w:r>
            <w:hyperlink r:id="rId387">
              <w:r>
                <w:rPr>
                  <w:color w:val="0462C1"/>
                  <w:sz w:val="20"/>
                  <w:u w:val="single" w:color="0462C1"/>
                </w:rPr>
                <w:t>http://www.uniformlaws.org/</w:t>
              </w:r>
            </w:hyperlink>
          </w:p>
          <w:p w14:paraId="1B6E0885" w14:textId="77777777" w:rsidR="0046798B" w:rsidRDefault="0046798B">
            <w:pPr>
              <w:pStyle w:val="TableParagraph"/>
              <w:rPr>
                <w:sz w:val="20"/>
              </w:rPr>
            </w:pPr>
          </w:p>
          <w:p w14:paraId="67499328"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6FC4D2A8" w14:textId="77777777">
        <w:trPr>
          <w:trHeight w:val="1470"/>
        </w:trPr>
        <w:tc>
          <w:tcPr>
            <w:tcW w:w="1711" w:type="dxa"/>
          </w:tcPr>
          <w:p w14:paraId="57235098" w14:textId="77777777" w:rsidR="0046798B" w:rsidRDefault="0046798B">
            <w:pPr>
              <w:pStyle w:val="TableParagraph"/>
            </w:pPr>
          </w:p>
          <w:p w14:paraId="00D7ADEA" w14:textId="77777777" w:rsidR="0046798B" w:rsidRDefault="00903B5C">
            <w:pPr>
              <w:pStyle w:val="TableParagraph"/>
              <w:spacing w:before="136"/>
              <w:ind w:left="115" w:right="146"/>
              <w:jc w:val="both"/>
              <w:rPr>
                <w:b/>
                <w:sz w:val="20"/>
              </w:rPr>
            </w:pPr>
            <w:r>
              <w:rPr>
                <w:b/>
                <w:sz w:val="20"/>
              </w:rPr>
              <w:t>military_and_ov erseas_voters_ac t</w:t>
            </w:r>
          </w:p>
        </w:tc>
        <w:tc>
          <w:tcPr>
            <w:tcW w:w="1596" w:type="dxa"/>
          </w:tcPr>
          <w:p w14:paraId="6D37A38D" w14:textId="77777777" w:rsidR="0046798B" w:rsidRDefault="0046798B">
            <w:pPr>
              <w:pStyle w:val="TableParagraph"/>
              <w:spacing w:before="9"/>
              <w:rPr>
                <w:sz w:val="23"/>
              </w:rPr>
            </w:pPr>
          </w:p>
          <w:p w14:paraId="0A8A4540" w14:textId="77777777" w:rsidR="0046798B" w:rsidRDefault="00903B5C">
            <w:pPr>
              <w:pStyle w:val="TableParagraph"/>
              <w:ind w:left="114" w:right="180"/>
              <w:rPr>
                <w:sz w:val="20"/>
              </w:rPr>
            </w:pPr>
            <w:r>
              <w:rPr>
                <w:sz w:val="20"/>
              </w:rPr>
              <w:t>Simplifies absentee voting for military and civilians abroad</w:t>
            </w:r>
          </w:p>
        </w:tc>
        <w:tc>
          <w:tcPr>
            <w:tcW w:w="1285" w:type="dxa"/>
          </w:tcPr>
          <w:p w14:paraId="758F4BFD" w14:textId="77777777" w:rsidR="0046798B" w:rsidRDefault="0046798B">
            <w:pPr>
              <w:pStyle w:val="TableParagraph"/>
            </w:pPr>
          </w:p>
          <w:p w14:paraId="15631B67" w14:textId="77777777" w:rsidR="0046798B" w:rsidRDefault="0046798B">
            <w:pPr>
              <w:pStyle w:val="TableParagraph"/>
              <w:spacing w:before="9"/>
              <w:rPr>
                <w:sz w:val="31"/>
              </w:rPr>
            </w:pPr>
          </w:p>
          <w:p w14:paraId="161F06E0" w14:textId="77777777" w:rsidR="0046798B" w:rsidRDefault="00903B5C">
            <w:pPr>
              <w:pStyle w:val="TableParagraph"/>
              <w:ind w:left="114"/>
              <w:rPr>
                <w:sz w:val="20"/>
              </w:rPr>
            </w:pPr>
            <w:r>
              <w:rPr>
                <w:sz w:val="20"/>
              </w:rPr>
              <w:t>2011–2015</w:t>
            </w:r>
          </w:p>
        </w:tc>
        <w:tc>
          <w:tcPr>
            <w:tcW w:w="3421" w:type="dxa"/>
          </w:tcPr>
          <w:p w14:paraId="3F578BA7" w14:textId="77777777" w:rsidR="0046798B" w:rsidRDefault="0046798B">
            <w:pPr>
              <w:pStyle w:val="TableParagraph"/>
            </w:pPr>
          </w:p>
          <w:p w14:paraId="1C955C10" w14:textId="77777777" w:rsidR="0046798B" w:rsidRDefault="0046798B">
            <w:pPr>
              <w:pStyle w:val="TableParagraph"/>
              <w:spacing w:before="9"/>
              <w:rPr>
                <w:sz w:val="21"/>
              </w:rPr>
            </w:pPr>
          </w:p>
          <w:p w14:paraId="28F995D9" w14:textId="77777777" w:rsidR="0046798B" w:rsidRDefault="00903B5C">
            <w:pPr>
              <w:pStyle w:val="TableParagraph"/>
              <w:ind w:left="114" w:right="1475"/>
              <w:rPr>
                <w:sz w:val="20"/>
              </w:rPr>
            </w:pPr>
            <w:r>
              <w:rPr>
                <w:sz w:val="20"/>
              </w:rPr>
              <w:t>0 = policy not adopted 1 = policy adopted</w:t>
            </w:r>
          </w:p>
        </w:tc>
        <w:tc>
          <w:tcPr>
            <w:tcW w:w="6482" w:type="dxa"/>
          </w:tcPr>
          <w:p w14:paraId="09F67CFA" w14:textId="77777777" w:rsidR="0046798B" w:rsidRDefault="00903B5C">
            <w:pPr>
              <w:pStyle w:val="TableParagraph"/>
              <w:spacing w:before="43"/>
              <w:ind w:left="114"/>
              <w:rPr>
                <w:sz w:val="20"/>
              </w:rPr>
            </w:pPr>
            <w:r>
              <w:rPr>
                <w:sz w:val="20"/>
              </w:rPr>
              <w:t xml:space="preserve">Uniform Law Commission website: </w:t>
            </w:r>
            <w:hyperlink r:id="rId388">
              <w:r>
                <w:rPr>
                  <w:color w:val="0462C1"/>
                  <w:sz w:val="20"/>
                  <w:u w:val="single" w:color="0462C1"/>
                </w:rPr>
                <w:t>http://www.uniformlaws.org/</w:t>
              </w:r>
            </w:hyperlink>
          </w:p>
          <w:p w14:paraId="50253FD0" w14:textId="77777777" w:rsidR="0046798B" w:rsidRDefault="0046798B">
            <w:pPr>
              <w:pStyle w:val="TableParagraph"/>
              <w:rPr>
                <w:sz w:val="20"/>
              </w:rPr>
            </w:pPr>
          </w:p>
          <w:p w14:paraId="400DE2DB"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25AD18A9" w14:textId="77777777">
        <w:trPr>
          <w:trHeight w:val="1465"/>
        </w:trPr>
        <w:tc>
          <w:tcPr>
            <w:tcW w:w="1711" w:type="dxa"/>
          </w:tcPr>
          <w:p w14:paraId="6CD274D5" w14:textId="77777777" w:rsidR="0046798B" w:rsidRDefault="0046798B">
            <w:pPr>
              <w:pStyle w:val="TableParagraph"/>
            </w:pPr>
          </w:p>
          <w:p w14:paraId="60D90EAE" w14:textId="77777777" w:rsidR="0046798B" w:rsidRDefault="00903B5C">
            <w:pPr>
              <w:pStyle w:val="TableParagraph"/>
              <w:spacing w:before="130"/>
              <w:ind w:left="115" w:right="132"/>
              <w:rPr>
                <w:b/>
                <w:sz w:val="20"/>
              </w:rPr>
            </w:pPr>
            <w:r>
              <w:rPr>
                <w:b/>
                <w:sz w:val="20"/>
              </w:rPr>
              <w:t>model_state_ad ministrative_pro ce</w:t>
            </w:r>
          </w:p>
        </w:tc>
        <w:tc>
          <w:tcPr>
            <w:tcW w:w="1596" w:type="dxa"/>
          </w:tcPr>
          <w:p w14:paraId="02151A6F" w14:textId="77777777" w:rsidR="0046798B" w:rsidRDefault="00903B5C">
            <w:pPr>
              <w:pStyle w:val="TableParagraph"/>
              <w:spacing w:before="153"/>
              <w:ind w:left="114" w:right="291"/>
              <w:rPr>
                <w:sz w:val="20"/>
              </w:rPr>
            </w:pPr>
            <w:r>
              <w:rPr>
                <w:sz w:val="20"/>
              </w:rPr>
              <w:t>Provides procedures for promulgating administrative regulations</w:t>
            </w:r>
          </w:p>
        </w:tc>
        <w:tc>
          <w:tcPr>
            <w:tcW w:w="1285" w:type="dxa"/>
          </w:tcPr>
          <w:p w14:paraId="7EA3B30B" w14:textId="77777777" w:rsidR="0046798B" w:rsidRDefault="0046798B">
            <w:pPr>
              <w:pStyle w:val="TableParagraph"/>
            </w:pPr>
          </w:p>
          <w:p w14:paraId="691898F8" w14:textId="77777777" w:rsidR="0046798B" w:rsidRDefault="0046798B">
            <w:pPr>
              <w:pStyle w:val="TableParagraph"/>
              <w:spacing w:before="4"/>
              <w:rPr>
                <w:sz w:val="31"/>
              </w:rPr>
            </w:pPr>
          </w:p>
          <w:p w14:paraId="6FB1491E" w14:textId="77777777" w:rsidR="0046798B" w:rsidRDefault="00903B5C">
            <w:pPr>
              <w:pStyle w:val="TableParagraph"/>
              <w:ind w:left="114"/>
              <w:rPr>
                <w:sz w:val="20"/>
              </w:rPr>
            </w:pPr>
            <w:r>
              <w:rPr>
                <w:sz w:val="20"/>
              </w:rPr>
              <w:t>1968–1986</w:t>
            </w:r>
          </w:p>
        </w:tc>
        <w:tc>
          <w:tcPr>
            <w:tcW w:w="3421" w:type="dxa"/>
          </w:tcPr>
          <w:p w14:paraId="7F4EFABB" w14:textId="77777777" w:rsidR="0046798B" w:rsidRDefault="0046798B">
            <w:pPr>
              <w:pStyle w:val="TableParagraph"/>
            </w:pPr>
          </w:p>
          <w:p w14:paraId="13F5DB70" w14:textId="77777777" w:rsidR="0046798B" w:rsidRDefault="0046798B">
            <w:pPr>
              <w:pStyle w:val="TableParagraph"/>
              <w:spacing w:before="4"/>
              <w:rPr>
                <w:sz w:val="21"/>
              </w:rPr>
            </w:pPr>
          </w:p>
          <w:p w14:paraId="59F002C5" w14:textId="77777777" w:rsidR="0046798B" w:rsidRDefault="00903B5C">
            <w:pPr>
              <w:pStyle w:val="TableParagraph"/>
              <w:ind w:left="114" w:right="1475"/>
              <w:rPr>
                <w:sz w:val="20"/>
              </w:rPr>
            </w:pPr>
            <w:r>
              <w:rPr>
                <w:sz w:val="20"/>
              </w:rPr>
              <w:t>0 = policy not adopted 1 = policy adopted</w:t>
            </w:r>
          </w:p>
        </w:tc>
        <w:tc>
          <w:tcPr>
            <w:tcW w:w="6482" w:type="dxa"/>
          </w:tcPr>
          <w:p w14:paraId="67A72A69" w14:textId="77777777" w:rsidR="0046798B" w:rsidRDefault="00903B5C">
            <w:pPr>
              <w:pStyle w:val="TableParagraph"/>
              <w:spacing w:before="38"/>
              <w:ind w:left="114"/>
              <w:rPr>
                <w:sz w:val="20"/>
              </w:rPr>
            </w:pPr>
            <w:r>
              <w:rPr>
                <w:sz w:val="20"/>
              </w:rPr>
              <w:t xml:space="preserve">Uniform Law Commission website: </w:t>
            </w:r>
            <w:hyperlink r:id="rId389">
              <w:r>
                <w:rPr>
                  <w:color w:val="0462C1"/>
                  <w:sz w:val="20"/>
                  <w:u w:val="single" w:color="0462C1"/>
                </w:rPr>
                <w:t>http://www.uniformlaws.org/</w:t>
              </w:r>
            </w:hyperlink>
          </w:p>
          <w:p w14:paraId="1312FF19" w14:textId="77777777" w:rsidR="0046798B" w:rsidRDefault="0046798B">
            <w:pPr>
              <w:pStyle w:val="TableParagraph"/>
              <w:rPr>
                <w:sz w:val="20"/>
              </w:rPr>
            </w:pPr>
          </w:p>
          <w:p w14:paraId="5AD12CB6"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bl>
    <w:p w14:paraId="7C97DD5D" w14:textId="77777777" w:rsidR="0046798B" w:rsidRDefault="0046798B">
      <w:pPr>
        <w:rPr>
          <w:sz w:val="20"/>
        </w:rPr>
        <w:sectPr w:rsidR="0046798B">
          <w:pgSz w:w="15840" w:h="12240" w:orient="landscape"/>
          <w:pgMar w:top="1220" w:right="300" w:bottom="980" w:left="820" w:header="730" w:footer="787" w:gutter="0"/>
          <w:cols w:space="720"/>
        </w:sectPr>
      </w:pPr>
    </w:p>
    <w:p w14:paraId="69142E0C"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787028BE" w14:textId="77777777">
        <w:trPr>
          <w:trHeight w:val="1465"/>
        </w:trPr>
        <w:tc>
          <w:tcPr>
            <w:tcW w:w="1711" w:type="dxa"/>
          </w:tcPr>
          <w:p w14:paraId="4637668A" w14:textId="77777777" w:rsidR="0046798B" w:rsidRDefault="0046798B">
            <w:pPr>
              <w:pStyle w:val="TableParagraph"/>
            </w:pPr>
          </w:p>
          <w:p w14:paraId="5665905A" w14:textId="77777777" w:rsidR="0046798B" w:rsidRDefault="00903B5C">
            <w:pPr>
              <w:pStyle w:val="TableParagraph"/>
              <w:spacing w:before="135"/>
              <w:ind w:left="115" w:right="119"/>
              <w:jc w:val="both"/>
              <w:rPr>
                <w:b/>
                <w:sz w:val="20"/>
              </w:rPr>
            </w:pPr>
            <w:r>
              <w:rPr>
                <w:b/>
                <w:sz w:val="20"/>
              </w:rPr>
              <w:t>prudent_manage ment_of_instituti o</w:t>
            </w:r>
          </w:p>
        </w:tc>
        <w:tc>
          <w:tcPr>
            <w:tcW w:w="1596" w:type="dxa"/>
          </w:tcPr>
          <w:p w14:paraId="115FACD5" w14:textId="77777777" w:rsidR="0046798B" w:rsidRDefault="00903B5C">
            <w:pPr>
              <w:pStyle w:val="TableParagraph"/>
              <w:spacing w:before="158"/>
              <w:ind w:left="114" w:right="279"/>
              <w:rPr>
                <w:sz w:val="20"/>
              </w:rPr>
            </w:pPr>
            <w:r>
              <w:rPr>
                <w:sz w:val="20"/>
              </w:rPr>
              <w:t>Requires prudent and diverse investments of state funds</w:t>
            </w:r>
          </w:p>
        </w:tc>
        <w:tc>
          <w:tcPr>
            <w:tcW w:w="1285" w:type="dxa"/>
          </w:tcPr>
          <w:p w14:paraId="1E761C95" w14:textId="77777777" w:rsidR="0046798B" w:rsidRDefault="0046798B">
            <w:pPr>
              <w:pStyle w:val="TableParagraph"/>
            </w:pPr>
          </w:p>
          <w:p w14:paraId="34333242" w14:textId="77777777" w:rsidR="0046798B" w:rsidRDefault="0046798B">
            <w:pPr>
              <w:pStyle w:val="TableParagraph"/>
              <w:spacing w:before="9"/>
              <w:rPr>
                <w:sz w:val="31"/>
              </w:rPr>
            </w:pPr>
          </w:p>
          <w:p w14:paraId="2B1BD54F" w14:textId="77777777" w:rsidR="0046798B" w:rsidRDefault="00903B5C">
            <w:pPr>
              <w:pStyle w:val="TableParagraph"/>
              <w:ind w:left="114"/>
              <w:rPr>
                <w:sz w:val="20"/>
              </w:rPr>
            </w:pPr>
            <w:r>
              <w:rPr>
                <w:sz w:val="20"/>
              </w:rPr>
              <w:t>2007–2012</w:t>
            </w:r>
          </w:p>
        </w:tc>
        <w:tc>
          <w:tcPr>
            <w:tcW w:w="3421" w:type="dxa"/>
          </w:tcPr>
          <w:p w14:paraId="65D30E8A" w14:textId="77777777" w:rsidR="0046798B" w:rsidRDefault="0046798B">
            <w:pPr>
              <w:pStyle w:val="TableParagraph"/>
            </w:pPr>
          </w:p>
          <w:p w14:paraId="6CE1B1FA" w14:textId="77777777" w:rsidR="0046798B" w:rsidRDefault="0046798B">
            <w:pPr>
              <w:pStyle w:val="TableParagraph"/>
              <w:spacing w:before="9"/>
              <w:rPr>
                <w:sz w:val="21"/>
              </w:rPr>
            </w:pPr>
          </w:p>
          <w:p w14:paraId="2975A89A" w14:textId="77777777" w:rsidR="0046798B" w:rsidRDefault="00903B5C">
            <w:pPr>
              <w:pStyle w:val="TableParagraph"/>
              <w:ind w:left="114" w:right="1475"/>
              <w:rPr>
                <w:sz w:val="20"/>
              </w:rPr>
            </w:pPr>
            <w:r>
              <w:rPr>
                <w:sz w:val="20"/>
              </w:rPr>
              <w:t>0 = policy not adopted 1 = policy adopted</w:t>
            </w:r>
          </w:p>
        </w:tc>
        <w:tc>
          <w:tcPr>
            <w:tcW w:w="6482" w:type="dxa"/>
          </w:tcPr>
          <w:p w14:paraId="21D1DB43" w14:textId="77777777" w:rsidR="0046798B" w:rsidRDefault="00903B5C">
            <w:pPr>
              <w:pStyle w:val="TableParagraph"/>
              <w:spacing w:before="43"/>
              <w:ind w:left="114"/>
              <w:rPr>
                <w:sz w:val="20"/>
              </w:rPr>
            </w:pPr>
            <w:r>
              <w:rPr>
                <w:sz w:val="20"/>
              </w:rPr>
              <w:t xml:space="preserve">Uniform Law Commission website: </w:t>
            </w:r>
            <w:hyperlink r:id="rId390">
              <w:r>
                <w:rPr>
                  <w:color w:val="0462C1"/>
                  <w:sz w:val="20"/>
                  <w:u w:val="single" w:color="0462C1"/>
                </w:rPr>
                <w:t>http://www.uniformlaws.org/</w:t>
              </w:r>
            </w:hyperlink>
          </w:p>
          <w:p w14:paraId="0AD55F7A" w14:textId="77777777" w:rsidR="0046798B" w:rsidRDefault="0046798B">
            <w:pPr>
              <w:pStyle w:val="TableParagraph"/>
              <w:rPr>
                <w:sz w:val="20"/>
              </w:rPr>
            </w:pPr>
          </w:p>
          <w:p w14:paraId="36BC7F65"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53826D4F" w14:textId="77777777">
        <w:trPr>
          <w:trHeight w:val="2156"/>
        </w:trPr>
        <w:tc>
          <w:tcPr>
            <w:tcW w:w="1711" w:type="dxa"/>
          </w:tcPr>
          <w:p w14:paraId="01D8062D" w14:textId="77777777" w:rsidR="0046798B" w:rsidRDefault="0046798B">
            <w:pPr>
              <w:pStyle w:val="TableParagraph"/>
            </w:pPr>
          </w:p>
          <w:p w14:paraId="57719748" w14:textId="77777777" w:rsidR="0046798B" w:rsidRDefault="0046798B">
            <w:pPr>
              <w:pStyle w:val="TableParagraph"/>
            </w:pPr>
          </w:p>
          <w:p w14:paraId="3BC58212" w14:textId="77777777" w:rsidR="0046798B" w:rsidRDefault="0046798B">
            <w:pPr>
              <w:pStyle w:val="TableParagraph"/>
              <w:spacing w:before="9"/>
              <w:rPr>
                <w:sz w:val="29"/>
              </w:rPr>
            </w:pPr>
          </w:p>
          <w:p w14:paraId="231BC003" w14:textId="77777777" w:rsidR="0046798B" w:rsidRDefault="00903B5C">
            <w:pPr>
              <w:pStyle w:val="TableParagraph"/>
              <w:ind w:left="115" w:right="133"/>
              <w:rPr>
                <w:b/>
                <w:sz w:val="20"/>
              </w:rPr>
            </w:pPr>
            <w:r>
              <w:rPr>
                <w:b/>
                <w:sz w:val="20"/>
              </w:rPr>
              <w:t>real_property_el ectronic_recordi</w:t>
            </w:r>
          </w:p>
        </w:tc>
        <w:tc>
          <w:tcPr>
            <w:tcW w:w="1596" w:type="dxa"/>
          </w:tcPr>
          <w:p w14:paraId="7AA1F3E6" w14:textId="77777777" w:rsidR="0046798B" w:rsidRDefault="00903B5C">
            <w:pPr>
              <w:pStyle w:val="TableParagraph"/>
              <w:spacing w:before="44"/>
              <w:ind w:left="114" w:right="85"/>
              <w:rPr>
                <w:sz w:val="20"/>
              </w:rPr>
            </w:pPr>
            <w:r>
              <w:rPr>
                <w:sz w:val="20"/>
              </w:rPr>
              <w:t>Give county clerks and recorders the legal authority to prepare for electronic recording of real property instruments</w:t>
            </w:r>
          </w:p>
        </w:tc>
        <w:tc>
          <w:tcPr>
            <w:tcW w:w="1285" w:type="dxa"/>
          </w:tcPr>
          <w:p w14:paraId="3216C354" w14:textId="77777777" w:rsidR="0046798B" w:rsidRDefault="0046798B">
            <w:pPr>
              <w:pStyle w:val="TableParagraph"/>
            </w:pPr>
          </w:p>
          <w:p w14:paraId="2E504243" w14:textId="77777777" w:rsidR="0046798B" w:rsidRDefault="0046798B">
            <w:pPr>
              <w:pStyle w:val="TableParagraph"/>
            </w:pPr>
          </w:p>
          <w:p w14:paraId="580AC886" w14:textId="77777777" w:rsidR="0046798B" w:rsidRDefault="0046798B">
            <w:pPr>
              <w:pStyle w:val="TableParagraph"/>
            </w:pPr>
          </w:p>
          <w:p w14:paraId="30BBA1C2" w14:textId="77777777" w:rsidR="0046798B" w:rsidRDefault="0046798B">
            <w:pPr>
              <w:pStyle w:val="TableParagraph"/>
              <w:spacing w:before="9"/>
              <w:rPr>
                <w:sz w:val="17"/>
              </w:rPr>
            </w:pPr>
          </w:p>
          <w:p w14:paraId="29396A97" w14:textId="77777777" w:rsidR="0046798B" w:rsidRDefault="00903B5C">
            <w:pPr>
              <w:pStyle w:val="TableParagraph"/>
              <w:ind w:left="114"/>
              <w:rPr>
                <w:sz w:val="20"/>
              </w:rPr>
            </w:pPr>
            <w:r>
              <w:rPr>
                <w:sz w:val="20"/>
              </w:rPr>
              <w:t>2005–2016</w:t>
            </w:r>
          </w:p>
        </w:tc>
        <w:tc>
          <w:tcPr>
            <w:tcW w:w="3421" w:type="dxa"/>
          </w:tcPr>
          <w:p w14:paraId="1ABAF7E7" w14:textId="77777777" w:rsidR="0046798B" w:rsidRDefault="0046798B">
            <w:pPr>
              <w:pStyle w:val="TableParagraph"/>
            </w:pPr>
          </w:p>
          <w:p w14:paraId="11C5129E" w14:textId="77777777" w:rsidR="0046798B" w:rsidRDefault="0046798B">
            <w:pPr>
              <w:pStyle w:val="TableParagraph"/>
            </w:pPr>
          </w:p>
          <w:p w14:paraId="5067E5A1" w14:textId="77777777" w:rsidR="0046798B" w:rsidRDefault="0046798B">
            <w:pPr>
              <w:pStyle w:val="TableParagraph"/>
              <w:spacing w:before="9"/>
              <w:rPr>
                <w:sz w:val="29"/>
              </w:rPr>
            </w:pPr>
          </w:p>
          <w:p w14:paraId="3CE12E1A" w14:textId="77777777" w:rsidR="0046798B" w:rsidRDefault="00903B5C">
            <w:pPr>
              <w:pStyle w:val="TableParagraph"/>
              <w:ind w:left="114" w:right="1475"/>
              <w:rPr>
                <w:sz w:val="20"/>
              </w:rPr>
            </w:pPr>
            <w:r>
              <w:rPr>
                <w:sz w:val="20"/>
              </w:rPr>
              <w:t>0 = policy not adopted 1 = policy adopted</w:t>
            </w:r>
          </w:p>
        </w:tc>
        <w:tc>
          <w:tcPr>
            <w:tcW w:w="6482" w:type="dxa"/>
          </w:tcPr>
          <w:p w14:paraId="25B26268" w14:textId="77777777" w:rsidR="0046798B" w:rsidRDefault="0046798B">
            <w:pPr>
              <w:pStyle w:val="TableParagraph"/>
            </w:pPr>
          </w:p>
          <w:p w14:paraId="4775E3C8" w14:textId="77777777" w:rsidR="0046798B" w:rsidRDefault="00903B5C">
            <w:pPr>
              <w:pStyle w:val="TableParagraph"/>
              <w:spacing w:before="136"/>
              <w:ind w:left="114"/>
              <w:rPr>
                <w:sz w:val="20"/>
              </w:rPr>
            </w:pPr>
            <w:r>
              <w:rPr>
                <w:sz w:val="20"/>
              </w:rPr>
              <w:t xml:space="preserve">Uniform Law Commission website: </w:t>
            </w:r>
            <w:hyperlink r:id="rId391">
              <w:r>
                <w:rPr>
                  <w:color w:val="0462C1"/>
                  <w:sz w:val="20"/>
                  <w:u w:val="single" w:color="0462C1"/>
                </w:rPr>
                <w:t>http://www.uniformlaws.org/</w:t>
              </w:r>
            </w:hyperlink>
          </w:p>
          <w:p w14:paraId="10B04BBF" w14:textId="77777777" w:rsidR="0046798B" w:rsidRDefault="0046798B">
            <w:pPr>
              <w:pStyle w:val="TableParagraph"/>
              <w:spacing w:before="11"/>
              <w:rPr>
                <w:sz w:val="19"/>
              </w:rPr>
            </w:pPr>
          </w:p>
          <w:p w14:paraId="56569AEE"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58BF58D1" w14:textId="77777777">
        <w:trPr>
          <w:trHeight w:val="1470"/>
        </w:trPr>
        <w:tc>
          <w:tcPr>
            <w:tcW w:w="1711" w:type="dxa"/>
          </w:tcPr>
          <w:p w14:paraId="4DA8492A" w14:textId="77777777" w:rsidR="0046798B" w:rsidRDefault="0046798B">
            <w:pPr>
              <w:pStyle w:val="TableParagraph"/>
            </w:pPr>
          </w:p>
          <w:p w14:paraId="4C0BA573" w14:textId="77777777" w:rsidR="0046798B" w:rsidRDefault="0046798B">
            <w:pPr>
              <w:pStyle w:val="TableParagraph"/>
              <w:spacing w:before="9"/>
              <w:rPr>
                <w:sz w:val="21"/>
              </w:rPr>
            </w:pPr>
          </w:p>
          <w:p w14:paraId="75D71AC5" w14:textId="77777777" w:rsidR="0046798B" w:rsidRDefault="00903B5C">
            <w:pPr>
              <w:pStyle w:val="TableParagraph"/>
              <w:ind w:left="115" w:right="144"/>
              <w:rPr>
                <w:b/>
                <w:sz w:val="20"/>
              </w:rPr>
            </w:pPr>
            <w:r>
              <w:rPr>
                <w:b/>
                <w:sz w:val="20"/>
              </w:rPr>
              <w:t>registered_agent s_act_model_20</w:t>
            </w:r>
          </w:p>
        </w:tc>
        <w:tc>
          <w:tcPr>
            <w:tcW w:w="1596" w:type="dxa"/>
          </w:tcPr>
          <w:p w14:paraId="582AEA48" w14:textId="77777777" w:rsidR="0046798B" w:rsidRDefault="00903B5C">
            <w:pPr>
              <w:pStyle w:val="TableParagraph"/>
              <w:spacing w:before="158"/>
              <w:ind w:left="114" w:right="102"/>
              <w:rPr>
                <w:sz w:val="20"/>
              </w:rPr>
            </w:pPr>
            <w:r>
              <w:rPr>
                <w:sz w:val="20"/>
              </w:rPr>
              <w:t>Provides states with one registration procedure for registered agents</w:t>
            </w:r>
          </w:p>
        </w:tc>
        <w:tc>
          <w:tcPr>
            <w:tcW w:w="1285" w:type="dxa"/>
          </w:tcPr>
          <w:p w14:paraId="016AA999" w14:textId="77777777" w:rsidR="0046798B" w:rsidRDefault="0046798B">
            <w:pPr>
              <w:pStyle w:val="TableParagraph"/>
            </w:pPr>
          </w:p>
          <w:p w14:paraId="73F8F319" w14:textId="77777777" w:rsidR="0046798B" w:rsidRDefault="0046798B">
            <w:pPr>
              <w:pStyle w:val="TableParagraph"/>
              <w:spacing w:before="9"/>
              <w:rPr>
                <w:sz w:val="31"/>
              </w:rPr>
            </w:pPr>
          </w:p>
          <w:p w14:paraId="3092FFD8" w14:textId="77777777" w:rsidR="0046798B" w:rsidRDefault="00903B5C">
            <w:pPr>
              <w:pStyle w:val="TableParagraph"/>
              <w:ind w:left="114"/>
              <w:rPr>
                <w:sz w:val="20"/>
              </w:rPr>
            </w:pPr>
            <w:r>
              <w:rPr>
                <w:sz w:val="20"/>
              </w:rPr>
              <w:t>2007–2012</w:t>
            </w:r>
          </w:p>
        </w:tc>
        <w:tc>
          <w:tcPr>
            <w:tcW w:w="3421" w:type="dxa"/>
          </w:tcPr>
          <w:p w14:paraId="126DC6EE" w14:textId="77777777" w:rsidR="0046798B" w:rsidRDefault="0046798B">
            <w:pPr>
              <w:pStyle w:val="TableParagraph"/>
            </w:pPr>
          </w:p>
          <w:p w14:paraId="18755A8D" w14:textId="77777777" w:rsidR="0046798B" w:rsidRDefault="0046798B">
            <w:pPr>
              <w:pStyle w:val="TableParagraph"/>
              <w:spacing w:before="9"/>
              <w:rPr>
                <w:sz w:val="21"/>
              </w:rPr>
            </w:pPr>
          </w:p>
          <w:p w14:paraId="691F8EA3" w14:textId="77777777" w:rsidR="0046798B" w:rsidRDefault="00903B5C">
            <w:pPr>
              <w:pStyle w:val="TableParagraph"/>
              <w:ind w:left="114" w:right="1475"/>
              <w:rPr>
                <w:sz w:val="20"/>
              </w:rPr>
            </w:pPr>
            <w:r>
              <w:rPr>
                <w:sz w:val="20"/>
              </w:rPr>
              <w:t>0 = policy not adopted 1 = policy adopted</w:t>
            </w:r>
          </w:p>
        </w:tc>
        <w:tc>
          <w:tcPr>
            <w:tcW w:w="6482" w:type="dxa"/>
          </w:tcPr>
          <w:p w14:paraId="7AB004FD" w14:textId="77777777" w:rsidR="0046798B" w:rsidRDefault="00903B5C">
            <w:pPr>
              <w:pStyle w:val="TableParagraph"/>
              <w:spacing w:before="43"/>
              <w:ind w:left="114"/>
              <w:rPr>
                <w:sz w:val="20"/>
              </w:rPr>
            </w:pPr>
            <w:r>
              <w:rPr>
                <w:sz w:val="20"/>
              </w:rPr>
              <w:t xml:space="preserve">Uniform Law Commission website: </w:t>
            </w:r>
            <w:hyperlink r:id="rId392">
              <w:r>
                <w:rPr>
                  <w:color w:val="0462C1"/>
                  <w:sz w:val="20"/>
                  <w:u w:val="single" w:color="0462C1"/>
                </w:rPr>
                <w:t>http://www.uniformlaws.org/</w:t>
              </w:r>
            </w:hyperlink>
          </w:p>
          <w:p w14:paraId="4DBC4ED4" w14:textId="77777777" w:rsidR="0046798B" w:rsidRDefault="0046798B">
            <w:pPr>
              <w:pStyle w:val="TableParagraph"/>
              <w:rPr>
                <w:sz w:val="20"/>
              </w:rPr>
            </w:pPr>
          </w:p>
          <w:p w14:paraId="4C28EAAA"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68D4F937" w14:textId="77777777">
        <w:trPr>
          <w:trHeight w:val="1696"/>
        </w:trPr>
        <w:tc>
          <w:tcPr>
            <w:tcW w:w="1711" w:type="dxa"/>
          </w:tcPr>
          <w:p w14:paraId="3FBF3AB1" w14:textId="77777777" w:rsidR="0046798B" w:rsidRDefault="0046798B">
            <w:pPr>
              <w:pStyle w:val="TableParagraph"/>
            </w:pPr>
          </w:p>
          <w:p w14:paraId="263B804E" w14:textId="77777777" w:rsidR="0046798B" w:rsidRDefault="0046798B">
            <w:pPr>
              <w:pStyle w:val="TableParagraph"/>
            </w:pPr>
          </w:p>
          <w:p w14:paraId="53B5E84E" w14:textId="77777777" w:rsidR="0046798B" w:rsidRDefault="0046798B">
            <w:pPr>
              <w:pStyle w:val="TableParagraph"/>
              <w:spacing w:before="4"/>
              <w:rPr>
                <w:sz w:val="19"/>
              </w:rPr>
            </w:pPr>
          </w:p>
          <w:p w14:paraId="049DEC7B" w14:textId="77777777" w:rsidR="0046798B" w:rsidRDefault="00903B5C">
            <w:pPr>
              <w:pStyle w:val="TableParagraph"/>
              <w:ind w:left="115"/>
              <w:rPr>
                <w:b/>
                <w:sz w:val="20"/>
              </w:rPr>
            </w:pPr>
            <w:r>
              <w:rPr>
                <w:b/>
                <w:sz w:val="20"/>
              </w:rPr>
              <w:t>drecord</w:t>
            </w:r>
          </w:p>
        </w:tc>
        <w:tc>
          <w:tcPr>
            <w:tcW w:w="1596" w:type="dxa"/>
          </w:tcPr>
          <w:p w14:paraId="3985CCA0" w14:textId="77777777" w:rsidR="0046798B" w:rsidRDefault="0046798B">
            <w:pPr>
              <w:pStyle w:val="TableParagraph"/>
            </w:pPr>
          </w:p>
          <w:p w14:paraId="5D07FAD4" w14:textId="77777777" w:rsidR="0046798B" w:rsidRDefault="00903B5C">
            <w:pPr>
              <w:pStyle w:val="TableParagraph"/>
              <w:spacing w:before="131"/>
              <w:ind w:left="114" w:right="135"/>
              <w:rPr>
                <w:sz w:val="20"/>
              </w:rPr>
            </w:pPr>
            <w:r>
              <w:rPr>
                <w:sz w:val="20"/>
              </w:rPr>
              <w:t>Two-party consent laws for recording public officials</w:t>
            </w:r>
          </w:p>
        </w:tc>
        <w:tc>
          <w:tcPr>
            <w:tcW w:w="1285" w:type="dxa"/>
          </w:tcPr>
          <w:p w14:paraId="162E75A7" w14:textId="77777777" w:rsidR="0046798B" w:rsidRDefault="0046798B">
            <w:pPr>
              <w:pStyle w:val="TableParagraph"/>
            </w:pPr>
          </w:p>
          <w:p w14:paraId="0F644AF5" w14:textId="77777777" w:rsidR="0046798B" w:rsidRDefault="0046798B">
            <w:pPr>
              <w:pStyle w:val="TableParagraph"/>
            </w:pPr>
          </w:p>
          <w:p w14:paraId="159C50D4" w14:textId="77777777" w:rsidR="0046798B" w:rsidRDefault="0046798B">
            <w:pPr>
              <w:pStyle w:val="TableParagraph"/>
              <w:spacing w:before="4"/>
              <w:rPr>
                <w:sz w:val="19"/>
              </w:rPr>
            </w:pPr>
          </w:p>
          <w:p w14:paraId="28D594DB" w14:textId="77777777" w:rsidR="0046798B" w:rsidRDefault="00903B5C">
            <w:pPr>
              <w:pStyle w:val="TableParagraph"/>
              <w:ind w:left="114"/>
              <w:rPr>
                <w:sz w:val="20"/>
              </w:rPr>
            </w:pPr>
            <w:r>
              <w:rPr>
                <w:sz w:val="20"/>
              </w:rPr>
              <w:t>2006–2014</w:t>
            </w:r>
          </w:p>
        </w:tc>
        <w:tc>
          <w:tcPr>
            <w:tcW w:w="3421" w:type="dxa"/>
          </w:tcPr>
          <w:p w14:paraId="24BC661C" w14:textId="77777777" w:rsidR="0046798B" w:rsidRDefault="00903B5C">
            <w:pPr>
              <w:pStyle w:val="TableParagraph"/>
              <w:spacing w:before="39"/>
              <w:ind w:left="114" w:right="148"/>
              <w:rPr>
                <w:sz w:val="20"/>
              </w:rPr>
            </w:pPr>
            <w:r>
              <w:rPr>
                <w:sz w:val="20"/>
              </w:rPr>
              <w:t>Two-party consent laws for recording public officials? (0 = no, 0.5 = statute contains exception when conversation happens in a public place/where there is little expectation of privacy/in person, 1 = yes, illegal to record public officials without their consent)</w:t>
            </w:r>
          </w:p>
        </w:tc>
        <w:tc>
          <w:tcPr>
            <w:tcW w:w="6482" w:type="dxa"/>
          </w:tcPr>
          <w:p w14:paraId="6AA5FDC3" w14:textId="77777777" w:rsidR="0046798B" w:rsidRDefault="0046798B">
            <w:pPr>
              <w:pStyle w:val="TableParagraph"/>
            </w:pPr>
          </w:p>
          <w:p w14:paraId="7D050784" w14:textId="77777777" w:rsidR="0046798B" w:rsidRDefault="0046798B">
            <w:pPr>
              <w:pStyle w:val="TableParagraph"/>
              <w:spacing w:before="4"/>
              <w:rPr>
                <w:sz w:val="21"/>
              </w:rPr>
            </w:pPr>
          </w:p>
          <w:p w14:paraId="44FE3F73"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4D699609" w14:textId="77777777" w:rsidR="0046798B" w:rsidRDefault="0046798B">
      <w:pPr>
        <w:pStyle w:val="BodyText"/>
        <w:spacing w:before="1"/>
        <w:rPr>
          <w:sz w:val="16"/>
        </w:rPr>
      </w:pPr>
    </w:p>
    <w:p w14:paraId="66ADB60D" w14:textId="77777777" w:rsidR="0046798B" w:rsidRDefault="00903B5C">
      <w:pPr>
        <w:pStyle w:val="ListParagraph"/>
        <w:numPr>
          <w:ilvl w:val="0"/>
          <w:numId w:val="9"/>
        </w:numPr>
        <w:tabs>
          <w:tab w:val="left" w:pos="901"/>
        </w:tabs>
        <w:spacing w:before="90"/>
        <w:ind w:left="900" w:hanging="280"/>
        <w:rPr>
          <w:b/>
          <w:sz w:val="24"/>
        </w:rPr>
      </w:pPr>
      <w:r>
        <w:rPr>
          <w:b/>
          <w:sz w:val="24"/>
          <w:u w:val="single"/>
        </w:rPr>
        <w:t>Institutions and Elected</w:t>
      </w:r>
      <w:r>
        <w:rPr>
          <w:b/>
          <w:spacing w:val="2"/>
          <w:sz w:val="24"/>
          <w:u w:val="single"/>
        </w:rPr>
        <w:t xml:space="preserve"> </w:t>
      </w:r>
      <w:r>
        <w:rPr>
          <w:b/>
          <w:sz w:val="24"/>
          <w:u w:val="single"/>
        </w:rPr>
        <w:t>Officials</w:t>
      </w:r>
    </w:p>
    <w:p w14:paraId="312E084F" w14:textId="77777777" w:rsidR="0046798B" w:rsidRDefault="0046798B">
      <w:pPr>
        <w:pStyle w:val="BodyText"/>
        <w:spacing w:before="9"/>
        <w:rPr>
          <w:b/>
          <w:sz w:val="23"/>
        </w:rPr>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0"/>
        <w:gridCol w:w="3421"/>
        <w:gridCol w:w="6487"/>
      </w:tblGrid>
      <w:tr w:rsidR="0046798B" w14:paraId="4D6605B1" w14:textId="77777777">
        <w:trPr>
          <w:trHeight w:val="595"/>
        </w:trPr>
        <w:tc>
          <w:tcPr>
            <w:tcW w:w="1711" w:type="dxa"/>
          </w:tcPr>
          <w:p w14:paraId="4E0194A4" w14:textId="77777777" w:rsidR="0046798B" w:rsidRDefault="00903B5C">
            <w:pPr>
              <w:pStyle w:val="TableParagraph"/>
              <w:spacing w:before="170"/>
              <w:ind w:left="140"/>
              <w:rPr>
                <w:b/>
              </w:rPr>
            </w:pPr>
            <w:r>
              <w:rPr>
                <w:b/>
              </w:rPr>
              <w:t>Variable Name</w:t>
            </w:r>
          </w:p>
        </w:tc>
        <w:tc>
          <w:tcPr>
            <w:tcW w:w="1596" w:type="dxa"/>
          </w:tcPr>
          <w:p w14:paraId="2DB03E88" w14:textId="77777777" w:rsidR="0046798B" w:rsidRDefault="00903B5C">
            <w:pPr>
              <w:pStyle w:val="TableParagraph"/>
              <w:spacing w:before="40" w:line="242" w:lineRule="auto"/>
              <w:ind w:left="249" w:right="229" w:firstLine="280"/>
              <w:rPr>
                <w:b/>
              </w:rPr>
            </w:pPr>
            <w:r>
              <w:rPr>
                <w:b/>
              </w:rPr>
              <w:t>Short Description</w:t>
            </w:r>
          </w:p>
        </w:tc>
        <w:tc>
          <w:tcPr>
            <w:tcW w:w="1280" w:type="dxa"/>
          </w:tcPr>
          <w:p w14:paraId="5D5BB0E9" w14:textId="77777777" w:rsidR="0046798B" w:rsidRDefault="00903B5C">
            <w:pPr>
              <w:pStyle w:val="TableParagraph"/>
              <w:spacing w:before="170"/>
              <w:ind w:left="364"/>
              <w:rPr>
                <w:b/>
              </w:rPr>
            </w:pPr>
            <w:r>
              <w:rPr>
                <w:b/>
              </w:rPr>
              <w:t>Years</w:t>
            </w:r>
          </w:p>
        </w:tc>
        <w:tc>
          <w:tcPr>
            <w:tcW w:w="3421" w:type="dxa"/>
          </w:tcPr>
          <w:p w14:paraId="219EBBC1" w14:textId="77777777" w:rsidR="0046798B" w:rsidRDefault="00903B5C">
            <w:pPr>
              <w:pStyle w:val="TableParagraph"/>
              <w:spacing w:before="40"/>
              <w:ind w:left="159" w:right="146"/>
              <w:jc w:val="center"/>
              <w:rPr>
                <w:b/>
              </w:rPr>
            </w:pPr>
            <w:r>
              <w:rPr>
                <w:b/>
              </w:rPr>
              <w:t>Coding /</w:t>
            </w:r>
          </w:p>
          <w:p w14:paraId="61959E2C" w14:textId="77777777" w:rsidR="0046798B" w:rsidRDefault="00903B5C">
            <w:pPr>
              <w:pStyle w:val="TableParagraph"/>
              <w:spacing w:before="2"/>
              <w:ind w:left="159" w:right="150"/>
              <w:jc w:val="center"/>
              <w:rPr>
                <w:b/>
              </w:rPr>
            </w:pPr>
            <w:r>
              <w:rPr>
                <w:b/>
              </w:rPr>
              <w:t>Longer Description (if available)</w:t>
            </w:r>
          </w:p>
        </w:tc>
        <w:tc>
          <w:tcPr>
            <w:tcW w:w="6487" w:type="dxa"/>
          </w:tcPr>
          <w:p w14:paraId="43E1EDA1" w14:textId="77777777" w:rsidR="0046798B" w:rsidRDefault="00903B5C">
            <w:pPr>
              <w:pStyle w:val="TableParagraph"/>
              <w:spacing w:before="170"/>
              <w:ind w:left="2857" w:right="2845"/>
              <w:jc w:val="center"/>
              <w:rPr>
                <w:b/>
              </w:rPr>
            </w:pPr>
            <w:r>
              <w:rPr>
                <w:b/>
              </w:rPr>
              <w:t>Sources</w:t>
            </w:r>
          </w:p>
        </w:tc>
      </w:tr>
      <w:tr w:rsidR="0046798B" w14:paraId="24628F57" w14:textId="77777777">
        <w:trPr>
          <w:trHeight w:val="545"/>
        </w:trPr>
        <w:tc>
          <w:tcPr>
            <w:tcW w:w="1711" w:type="dxa"/>
          </w:tcPr>
          <w:p w14:paraId="5DF526B9" w14:textId="77777777" w:rsidR="0046798B" w:rsidRDefault="00903B5C">
            <w:pPr>
              <w:pStyle w:val="TableParagraph"/>
              <w:spacing w:before="153"/>
              <w:ind w:left="115"/>
              <w:rPr>
                <w:b/>
                <w:sz w:val="20"/>
              </w:rPr>
            </w:pPr>
            <w:r>
              <w:rPr>
                <w:b/>
                <w:sz w:val="20"/>
              </w:rPr>
              <w:t>yrstatehd</w:t>
            </w:r>
          </w:p>
        </w:tc>
        <w:tc>
          <w:tcPr>
            <w:tcW w:w="1596" w:type="dxa"/>
          </w:tcPr>
          <w:p w14:paraId="20DB75BA" w14:textId="77777777" w:rsidR="0046798B" w:rsidRDefault="00903B5C">
            <w:pPr>
              <w:pStyle w:val="TableParagraph"/>
              <w:spacing w:before="38"/>
              <w:ind w:left="114" w:right="480"/>
              <w:rPr>
                <w:sz w:val="20"/>
              </w:rPr>
            </w:pPr>
            <w:r>
              <w:rPr>
                <w:sz w:val="20"/>
              </w:rPr>
              <w:t>Year gained statehood</w:t>
            </w:r>
          </w:p>
        </w:tc>
        <w:tc>
          <w:tcPr>
            <w:tcW w:w="1280" w:type="dxa"/>
          </w:tcPr>
          <w:p w14:paraId="1E403757" w14:textId="77777777" w:rsidR="0046798B" w:rsidRDefault="00903B5C">
            <w:pPr>
              <w:pStyle w:val="TableParagraph"/>
              <w:spacing w:before="153"/>
              <w:ind w:left="114"/>
              <w:rPr>
                <w:sz w:val="20"/>
              </w:rPr>
            </w:pPr>
            <w:r>
              <w:rPr>
                <w:sz w:val="20"/>
              </w:rPr>
              <w:t>1913–2010</w:t>
            </w:r>
          </w:p>
        </w:tc>
        <w:tc>
          <w:tcPr>
            <w:tcW w:w="3421" w:type="dxa"/>
          </w:tcPr>
          <w:p w14:paraId="2097C51F" w14:textId="77777777" w:rsidR="0046798B" w:rsidRDefault="00903B5C">
            <w:pPr>
              <w:pStyle w:val="TableParagraph"/>
              <w:spacing w:before="153"/>
              <w:ind w:left="114"/>
              <w:rPr>
                <w:sz w:val="20"/>
              </w:rPr>
            </w:pPr>
            <w:r>
              <w:rPr>
                <w:sz w:val="20"/>
              </w:rPr>
              <w:t>The year that the state gained statehood</w:t>
            </w:r>
          </w:p>
        </w:tc>
        <w:tc>
          <w:tcPr>
            <w:tcW w:w="6487" w:type="dxa"/>
          </w:tcPr>
          <w:p w14:paraId="7971F8CB" w14:textId="77777777" w:rsidR="0046798B" w:rsidRDefault="00903B5C">
            <w:pPr>
              <w:pStyle w:val="TableParagraph"/>
              <w:spacing w:before="38"/>
              <w:ind w:left="114" w:right="688"/>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bl>
    <w:p w14:paraId="7421BF5D" w14:textId="77777777" w:rsidR="0046798B" w:rsidRDefault="0046798B">
      <w:pPr>
        <w:rPr>
          <w:sz w:val="20"/>
        </w:rPr>
        <w:sectPr w:rsidR="0046798B">
          <w:pgSz w:w="15840" w:h="12240" w:orient="landscape"/>
          <w:pgMar w:top="1220" w:right="300" w:bottom="980" w:left="820" w:header="730" w:footer="787" w:gutter="0"/>
          <w:cols w:space="720"/>
        </w:sectPr>
      </w:pPr>
    </w:p>
    <w:p w14:paraId="4DB74CEB"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0"/>
        <w:gridCol w:w="3421"/>
        <w:gridCol w:w="6487"/>
      </w:tblGrid>
      <w:tr w:rsidR="0046798B" w14:paraId="5A0B11C2" w14:textId="77777777">
        <w:trPr>
          <w:trHeight w:val="775"/>
        </w:trPr>
        <w:tc>
          <w:tcPr>
            <w:tcW w:w="1711" w:type="dxa"/>
          </w:tcPr>
          <w:p w14:paraId="0C0EB036" w14:textId="77777777" w:rsidR="0046798B" w:rsidRDefault="0046798B">
            <w:pPr>
              <w:pStyle w:val="TableParagraph"/>
              <w:spacing w:before="9"/>
              <w:rPr>
                <w:sz w:val="23"/>
              </w:rPr>
            </w:pPr>
          </w:p>
          <w:p w14:paraId="2A8ABD1E" w14:textId="77777777" w:rsidR="0046798B" w:rsidRDefault="00903B5C">
            <w:pPr>
              <w:pStyle w:val="TableParagraph"/>
              <w:ind w:left="115"/>
              <w:rPr>
                <w:b/>
                <w:sz w:val="20"/>
              </w:rPr>
            </w:pPr>
            <w:r>
              <w:rPr>
                <w:b/>
                <w:sz w:val="20"/>
              </w:rPr>
              <w:t>acounty</w:t>
            </w:r>
          </w:p>
        </w:tc>
        <w:tc>
          <w:tcPr>
            <w:tcW w:w="1596" w:type="dxa"/>
          </w:tcPr>
          <w:p w14:paraId="2785F5E7" w14:textId="77777777" w:rsidR="0046798B" w:rsidRDefault="00903B5C">
            <w:pPr>
              <w:pStyle w:val="TableParagraph"/>
              <w:spacing w:before="43"/>
              <w:ind w:left="114" w:right="418"/>
              <w:rPr>
                <w:sz w:val="20"/>
              </w:rPr>
            </w:pPr>
            <w:r>
              <w:rPr>
                <w:sz w:val="20"/>
              </w:rPr>
              <w:t>Number of county governments</w:t>
            </w:r>
          </w:p>
        </w:tc>
        <w:tc>
          <w:tcPr>
            <w:tcW w:w="1280" w:type="dxa"/>
          </w:tcPr>
          <w:p w14:paraId="593755C4" w14:textId="77777777" w:rsidR="0046798B" w:rsidRDefault="0046798B">
            <w:pPr>
              <w:pStyle w:val="TableParagraph"/>
              <w:spacing w:before="9"/>
              <w:rPr>
                <w:sz w:val="23"/>
              </w:rPr>
            </w:pPr>
          </w:p>
          <w:p w14:paraId="3AE2188B" w14:textId="77777777" w:rsidR="0046798B" w:rsidRDefault="00903B5C">
            <w:pPr>
              <w:pStyle w:val="TableParagraph"/>
              <w:ind w:left="114"/>
              <w:rPr>
                <w:sz w:val="20"/>
              </w:rPr>
            </w:pPr>
            <w:r>
              <w:rPr>
                <w:sz w:val="20"/>
              </w:rPr>
              <w:t>1977–2015</w:t>
            </w:r>
          </w:p>
        </w:tc>
        <w:tc>
          <w:tcPr>
            <w:tcW w:w="3421" w:type="dxa"/>
          </w:tcPr>
          <w:p w14:paraId="0ED46C42" w14:textId="77777777" w:rsidR="0046798B" w:rsidRDefault="00903B5C">
            <w:pPr>
              <w:pStyle w:val="TableParagraph"/>
              <w:spacing w:before="158"/>
              <w:ind w:left="114" w:right="133"/>
              <w:rPr>
                <w:sz w:val="20"/>
              </w:rPr>
            </w:pPr>
            <w:r>
              <w:rPr>
                <w:sz w:val="20"/>
              </w:rPr>
              <w:t>Number of county governments (carry- forward imputation between censuses)</w:t>
            </w:r>
          </w:p>
        </w:tc>
        <w:tc>
          <w:tcPr>
            <w:tcW w:w="6487" w:type="dxa"/>
          </w:tcPr>
          <w:p w14:paraId="0649D8B3" w14:textId="77777777" w:rsidR="0046798B" w:rsidRDefault="00903B5C">
            <w:pPr>
              <w:pStyle w:val="TableParagraph"/>
              <w:spacing w:before="43"/>
              <w:ind w:left="114" w:right="277"/>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599E368" w14:textId="77777777">
        <w:trPr>
          <w:trHeight w:val="775"/>
        </w:trPr>
        <w:tc>
          <w:tcPr>
            <w:tcW w:w="1711" w:type="dxa"/>
          </w:tcPr>
          <w:p w14:paraId="75B52B4C" w14:textId="77777777" w:rsidR="0046798B" w:rsidRDefault="0046798B">
            <w:pPr>
              <w:pStyle w:val="TableParagraph"/>
              <w:spacing w:before="8"/>
              <w:rPr>
                <w:sz w:val="23"/>
              </w:rPr>
            </w:pPr>
          </w:p>
          <w:p w14:paraId="424AEB0F" w14:textId="77777777" w:rsidR="0046798B" w:rsidRDefault="00903B5C">
            <w:pPr>
              <w:pStyle w:val="TableParagraph"/>
              <w:spacing w:before="1"/>
              <w:ind w:left="115"/>
              <w:rPr>
                <w:b/>
                <w:sz w:val="20"/>
              </w:rPr>
            </w:pPr>
            <w:r>
              <w:rPr>
                <w:b/>
                <w:sz w:val="20"/>
              </w:rPr>
              <w:t>amuni</w:t>
            </w:r>
          </w:p>
        </w:tc>
        <w:tc>
          <w:tcPr>
            <w:tcW w:w="1596" w:type="dxa"/>
          </w:tcPr>
          <w:p w14:paraId="4F288061" w14:textId="77777777" w:rsidR="0046798B" w:rsidRDefault="00903B5C">
            <w:pPr>
              <w:pStyle w:val="TableParagraph"/>
              <w:spacing w:before="43"/>
              <w:ind w:left="114" w:right="418"/>
              <w:rPr>
                <w:sz w:val="20"/>
              </w:rPr>
            </w:pPr>
            <w:r>
              <w:rPr>
                <w:sz w:val="20"/>
              </w:rPr>
              <w:t>Number of municipal governments</w:t>
            </w:r>
          </w:p>
        </w:tc>
        <w:tc>
          <w:tcPr>
            <w:tcW w:w="1280" w:type="dxa"/>
          </w:tcPr>
          <w:p w14:paraId="5FD1F296" w14:textId="77777777" w:rsidR="0046798B" w:rsidRDefault="0046798B">
            <w:pPr>
              <w:pStyle w:val="TableParagraph"/>
              <w:spacing w:before="8"/>
              <w:rPr>
                <w:sz w:val="23"/>
              </w:rPr>
            </w:pPr>
          </w:p>
          <w:p w14:paraId="14544D2C" w14:textId="77777777" w:rsidR="0046798B" w:rsidRDefault="00903B5C">
            <w:pPr>
              <w:pStyle w:val="TableParagraph"/>
              <w:spacing w:before="1"/>
              <w:ind w:left="114"/>
              <w:rPr>
                <w:sz w:val="20"/>
              </w:rPr>
            </w:pPr>
            <w:r>
              <w:rPr>
                <w:sz w:val="20"/>
              </w:rPr>
              <w:t>1977–2015</w:t>
            </w:r>
          </w:p>
        </w:tc>
        <w:tc>
          <w:tcPr>
            <w:tcW w:w="3421" w:type="dxa"/>
          </w:tcPr>
          <w:p w14:paraId="01213AF3" w14:textId="77777777" w:rsidR="0046798B" w:rsidRDefault="00903B5C">
            <w:pPr>
              <w:pStyle w:val="TableParagraph"/>
              <w:spacing w:before="43"/>
              <w:ind w:left="114" w:right="394"/>
              <w:rPr>
                <w:sz w:val="20"/>
              </w:rPr>
            </w:pPr>
            <w:r>
              <w:rPr>
                <w:sz w:val="20"/>
              </w:rPr>
              <w:t>Total number of municipal level governments in state (carry-forward imputation between censuses)</w:t>
            </w:r>
          </w:p>
        </w:tc>
        <w:tc>
          <w:tcPr>
            <w:tcW w:w="6487" w:type="dxa"/>
          </w:tcPr>
          <w:p w14:paraId="72DF24F6"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FF9EECB" w14:textId="77777777">
        <w:trPr>
          <w:trHeight w:val="780"/>
        </w:trPr>
        <w:tc>
          <w:tcPr>
            <w:tcW w:w="1711" w:type="dxa"/>
          </w:tcPr>
          <w:p w14:paraId="2BB603B2" w14:textId="77777777" w:rsidR="0046798B" w:rsidRDefault="0046798B">
            <w:pPr>
              <w:pStyle w:val="TableParagraph"/>
              <w:spacing w:before="9"/>
              <w:rPr>
                <w:sz w:val="23"/>
              </w:rPr>
            </w:pPr>
          </w:p>
          <w:p w14:paraId="00B88156" w14:textId="77777777" w:rsidR="0046798B" w:rsidRDefault="00903B5C">
            <w:pPr>
              <w:pStyle w:val="TableParagraph"/>
              <w:ind w:left="115"/>
              <w:rPr>
                <w:b/>
                <w:sz w:val="20"/>
              </w:rPr>
            </w:pPr>
            <w:r>
              <w:rPr>
                <w:b/>
                <w:sz w:val="20"/>
              </w:rPr>
              <w:t>atown</w:t>
            </w:r>
          </w:p>
        </w:tc>
        <w:tc>
          <w:tcPr>
            <w:tcW w:w="1596" w:type="dxa"/>
          </w:tcPr>
          <w:p w14:paraId="41466029" w14:textId="77777777" w:rsidR="0046798B" w:rsidRDefault="00903B5C">
            <w:pPr>
              <w:pStyle w:val="TableParagraph"/>
              <w:spacing w:before="44"/>
              <w:ind w:left="114" w:right="418"/>
              <w:rPr>
                <w:sz w:val="20"/>
              </w:rPr>
            </w:pPr>
            <w:r>
              <w:rPr>
                <w:sz w:val="20"/>
              </w:rPr>
              <w:t>Number of township governments</w:t>
            </w:r>
          </w:p>
        </w:tc>
        <w:tc>
          <w:tcPr>
            <w:tcW w:w="1280" w:type="dxa"/>
          </w:tcPr>
          <w:p w14:paraId="43E3ED45" w14:textId="77777777" w:rsidR="0046798B" w:rsidRDefault="0046798B">
            <w:pPr>
              <w:pStyle w:val="TableParagraph"/>
              <w:spacing w:before="9"/>
              <w:rPr>
                <w:sz w:val="23"/>
              </w:rPr>
            </w:pPr>
          </w:p>
          <w:p w14:paraId="1A125659" w14:textId="77777777" w:rsidR="0046798B" w:rsidRDefault="00903B5C">
            <w:pPr>
              <w:pStyle w:val="TableParagraph"/>
              <w:ind w:left="114"/>
              <w:rPr>
                <w:sz w:val="20"/>
              </w:rPr>
            </w:pPr>
            <w:r>
              <w:rPr>
                <w:sz w:val="20"/>
              </w:rPr>
              <w:t>1977–2015</w:t>
            </w:r>
          </w:p>
        </w:tc>
        <w:tc>
          <w:tcPr>
            <w:tcW w:w="3421" w:type="dxa"/>
          </w:tcPr>
          <w:p w14:paraId="4C87457C" w14:textId="77777777" w:rsidR="0046798B" w:rsidRDefault="00903B5C">
            <w:pPr>
              <w:pStyle w:val="TableParagraph"/>
              <w:spacing w:before="44"/>
              <w:ind w:left="114" w:right="394"/>
              <w:rPr>
                <w:sz w:val="20"/>
              </w:rPr>
            </w:pPr>
            <w:r>
              <w:rPr>
                <w:sz w:val="20"/>
              </w:rPr>
              <w:t>Total number of township level governments in state (carry-forward imputation between censuses)</w:t>
            </w:r>
          </w:p>
        </w:tc>
        <w:tc>
          <w:tcPr>
            <w:tcW w:w="6487" w:type="dxa"/>
          </w:tcPr>
          <w:p w14:paraId="7C8185E0" w14:textId="77777777" w:rsidR="0046798B" w:rsidRDefault="00903B5C">
            <w:pPr>
              <w:pStyle w:val="TableParagraph"/>
              <w:spacing w:before="44"/>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5B0CA42" w14:textId="77777777">
        <w:trPr>
          <w:trHeight w:val="1695"/>
        </w:trPr>
        <w:tc>
          <w:tcPr>
            <w:tcW w:w="1711" w:type="dxa"/>
          </w:tcPr>
          <w:p w14:paraId="024AA483" w14:textId="77777777" w:rsidR="0046798B" w:rsidRDefault="0046798B">
            <w:pPr>
              <w:pStyle w:val="TableParagraph"/>
            </w:pPr>
          </w:p>
          <w:p w14:paraId="0495E300" w14:textId="77777777" w:rsidR="0046798B" w:rsidRDefault="0046798B">
            <w:pPr>
              <w:pStyle w:val="TableParagraph"/>
            </w:pPr>
          </w:p>
          <w:p w14:paraId="05322D54" w14:textId="77777777" w:rsidR="0046798B" w:rsidRDefault="0046798B">
            <w:pPr>
              <w:pStyle w:val="TableParagraph"/>
              <w:spacing w:before="4"/>
              <w:rPr>
                <w:sz w:val="19"/>
              </w:rPr>
            </w:pPr>
          </w:p>
          <w:p w14:paraId="7101AE12" w14:textId="77777777" w:rsidR="0046798B" w:rsidRDefault="00903B5C">
            <w:pPr>
              <w:pStyle w:val="TableParagraph"/>
              <w:ind w:left="115"/>
              <w:rPr>
                <w:b/>
                <w:sz w:val="20"/>
              </w:rPr>
            </w:pPr>
            <w:r>
              <w:rPr>
                <w:b/>
                <w:sz w:val="20"/>
              </w:rPr>
              <w:t>agen1</w:t>
            </w:r>
          </w:p>
        </w:tc>
        <w:tc>
          <w:tcPr>
            <w:tcW w:w="1596" w:type="dxa"/>
          </w:tcPr>
          <w:p w14:paraId="687FCCD2" w14:textId="77777777" w:rsidR="0046798B" w:rsidRDefault="00903B5C">
            <w:pPr>
              <w:pStyle w:val="TableParagraph"/>
              <w:spacing w:before="38"/>
              <w:ind w:left="114" w:right="269"/>
              <w:rPr>
                <w:sz w:val="20"/>
              </w:rPr>
            </w:pPr>
            <w:r>
              <w:rPr>
                <w:sz w:val="20"/>
              </w:rPr>
              <w:t>Number of general county or county-like governments, such as independent cities</w:t>
            </w:r>
          </w:p>
        </w:tc>
        <w:tc>
          <w:tcPr>
            <w:tcW w:w="1280" w:type="dxa"/>
          </w:tcPr>
          <w:p w14:paraId="09E176F9" w14:textId="77777777" w:rsidR="0046798B" w:rsidRDefault="0046798B">
            <w:pPr>
              <w:pStyle w:val="TableParagraph"/>
            </w:pPr>
          </w:p>
          <w:p w14:paraId="299DEA67" w14:textId="77777777" w:rsidR="0046798B" w:rsidRDefault="0046798B">
            <w:pPr>
              <w:pStyle w:val="TableParagraph"/>
            </w:pPr>
          </w:p>
          <w:p w14:paraId="2A3630E2" w14:textId="77777777" w:rsidR="0046798B" w:rsidRDefault="0046798B">
            <w:pPr>
              <w:pStyle w:val="TableParagraph"/>
              <w:spacing w:before="4"/>
              <w:rPr>
                <w:sz w:val="19"/>
              </w:rPr>
            </w:pPr>
          </w:p>
          <w:p w14:paraId="7BFE222B" w14:textId="77777777" w:rsidR="0046798B" w:rsidRDefault="00903B5C">
            <w:pPr>
              <w:pStyle w:val="TableParagraph"/>
              <w:ind w:left="114"/>
              <w:rPr>
                <w:sz w:val="20"/>
              </w:rPr>
            </w:pPr>
            <w:r>
              <w:rPr>
                <w:sz w:val="20"/>
              </w:rPr>
              <w:t>1977–2015</w:t>
            </w:r>
          </w:p>
        </w:tc>
        <w:tc>
          <w:tcPr>
            <w:tcW w:w="3421" w:type="dxa"/>
          </w:tcPr>
          <w:p w14:paraId="5F71C42E" w14:textId="77777777" w:rsidR="0046798B" w:rsidRDefault="0046798B">
            <w:pPr>
              <w:pStyle w:val="TableParagraph"/>
            </w:pPr>
          </w:p>
          <w:p w14:paraId="2A7FFC98" w14:textId="77777777" w:rsidR="0046798B" w:rsidRDefault="00903B5C">
            <w:pPr>
              <w:pStyle w:val="TableParagraph"/>
              <w:spacing w:before="130"/>
              <w:ind w:left="114" w:right="183"/>
              <w:rPr>
                <w:sz w:val="20"/>
              </w:rPr>
            </w:pPr>
            <w:r>
              <w:rPr>
                <w:sz w:val="20"/>
              </w:rPr>
              <w:t>Number of general county or county- like governments, such as independent cities (carry-forward imputation between censuses)</w:t>
            </w:r>
          </w:p>
        </w:tc>
        <w:tc>
          <w:tcPr>
            <w:tcW w:w="6487" w:type="dxa"/>
          </w:tcPr>
          <w:p w14:paraId="0B0A0B92" w14:textId="77777777" w:rsidR="0046798B" w:rsidRDefault="0046798B">
            <w:pPr>
              <w:pStyle w:val="TableParagraph"/>
            </w:pPr>
          </w:p>
          <w:p w14:paraId="1B6A83EF" w14:textId="77777777" w:rsidR="0046798B" w:rsidRDefault="0046798B">
            <w:pPr>
              <w:pStyle w:val="TableParagraph"/>
              <w:spacing w:before="4"/>
              <w:rPr>
                <w:sz w:val="21"/>
              </w:rPr>
            </w:pPr>
          </w:p>
          <w:p w14:paraId="60541B86"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7B0579C" w14:textId="77777777">
        <w:trPr>
          <w:trHeight w:val="1235"/>
        </w:trPr>
        <w:tc>
          <w:tcPr>
            <w:tcW w:w="1711" w:type="dxa"/>
          </w:tcPr>
          <w:p w14:paraId="3A4C1301" w14:textId="77777777" w:rsidR="0046798B" w:rsidRDefault="0046798B">
            <w:pPr>
              <w:pStyle w:val="TableParagraph"/>
            </w:pPr>
          </w:p>
          <w:p w14:paraId="1381DCB7" w14:textId="77777777" w:rsidR="0046798B" w:rsidRDefault="0046798B">
            <w:pPr>
              <w:pStyle w:val="TableParagraph"/>
              <w:spacing w:before="4"/>
              <w:rPr>
                <w:sz w:val="21"/>
              </w:rPr>
            </w:pPr>
          </w:p>
          <w:p w14:paraId="77FD19AA" w14:textId="77777777" w:rsidR="0046798B" w:rsidRDefault="00903B5C">
            <w:pPr>
              <w:pStyle w:val="TableParagraph"/>
              <w:ind w:left="115"/>
              <w:rPr>
                <w:b/>
                <w:sz w:val="20"/>
              </w:rPr>
            </w:pPr>
            <w:r>
              <w:rPr>
                <w:b/>
                <w:sz w:val="20"/>
              </w:rPr>
              <w:t>agen2</w:t>
            </w:r>
          </w:p>
        </w:tc>
        <w:tc>
          <w:tcPr>
            <w:tcW w:w="1596" w:type="dxa"/>
          </w:tcPr>
          <w:p w14:paraId="43CE9002" w14:textId="77777777" w:rsidR="0046798B" w:rsidRDefault="00903B5C">
            <w:pPr>
              <w:pStyle w:val="TableParagraph"/>
              <w:spacing w:before="38"/>
              <w:ind w:left="114" w:right="110"/>
              <w:rPr>
                <w:sz w:val="20"/>
              </w:rPr>
            </w:pPr>
            <w:r>
              <w:rPr>
                <w:sz w:val="20"/>
              </w:rPr>
              <w:t>Number of general second- tier local governments, non-overlapping</w:t>
            </w:r>
          </w:p>
        </w:tc>
        <w:tc>
          <w:tcPr>
            <w:tcW w:w="1280" w:type="dxa"/>
          </w:tcPr>
          <w:p w14:paraId="6677834D" w14:textId="77777777" w:rsidR="0046798B" w:rsidRDefault="0046798B">
            <w:pPr>
              <w:pStyle w:val="TableParagraph"/>
            </w:pPr>
          </w:p>
          <w:p w14:paraId="11F5145E" w14:textId="77777777" w:rsidR="0046798B" w:rsidRDefault="0046798B">
            <w:pPr>
              <w:pStyle w:val="TableParagraph"/>
              <w:spacing w:before="4"/>
              <w:rPr>
                <w:sz w:val="21"/>
              </w:rPr>
            </w:pPr>
          </w:p>
          <w:p w14:paraId="021B0323" w14:textId="77777777" w:rsidR="0046798B" w:rsidRDefault="00903B5C">
            <w:pPr>
              <w:pStyle w:val="TableParagraph"/>
              <w:ind w:left="114"/>
              <w:rPr>
                <w:sz w:val="20"/>
              </w:rPr>
            </w:pPr>
            <w:r>
              <w:rPr>
                <w:sz w:val="20"/>
              </w:rPr>
              <w:t>1977–2015</w:t>
            </w:r>
          </w:p>
        </w:tc>
        <w:tc>
          <w:tcPr>
            <w:tcW w:w="3421" w:type="dxa"/>
          </w:tcPr>
          <w:p w14:paraId="615416E7" w14:textId="77777777" w:rsidR="0046798B" w:rsidRDefault="0046798B">
            <w:pPr>
              <w:pStyle w:val="TableParagraph"/>
              <w:spacing w:before="4"/>
              <w:rPr>
                <w:sz w:val="23"/>
              </w:rPr>
            </w:pPr>
          </w:p>
          <w:p w14:paraId="71FF76CE" w14:textId="77777777" w:rsidR="0046798B" w:rsidRDefault="00903B5C">
            <w:pPr>
              <w:pStyle w:val="TableParagraph"/>
              <w:ind w:left="114" w:right="194"/>
              <w:rPr>
                <w:sz w:val="20"/>
              </w:rPr>
            </w:pPr>
            <w:r>
              <w:rPr>
                <w:sz w:val="20"/>
              </w:rPr>
              <w:t>Number of general second-tier local governments, non-overlapping (carry- forward imputation between censuses)</w:t>
            </w:r>
          </w:p>
        </w:tc>
        <w:tc>
          <w:tcPr>
            <w:tcW w:w="6487" w:type="dxa"/>
          </w:tcPr>
          <w:p w14:paraId="707DBA57" w14:textId="77777777" w:rsidR="0046798B" w:rsidRDefault="0046798B">
            <w:pPr>
              <w:pStyle w:val="TableParagraph"/>
              <w:spacing w:before="4"/>
              <w:rPr>
                <w:sz w:val="23"/>
              </w:rPr>
            </w:pPr>
          </w:p>
          <w:p w14:paraId="22627F0A"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C89AE79" w14:textId="77777777">
        <w:trPr>
          <w:trHeight w:val="1005"/>
        </w:trPr>
        <w:tc>
          <w:tcPr>
            <w:tcW w:w="1711" w:type="dxa"/>
          </w:tcPr>
          <w:p w14:paraId="031DBF43" w14:textId="77777777" w:rsidR="0046798B" w:rsidRDefault="0046798B">
            <w:pPr>
              <w:pStyle w:val="TableParagraph"/>
            </w:pPr>
          </w:p>
          <w:p w14:paraId="273F1AAC" w14:textId="77777777" w:rsidR="0046798B" w:rsidRDefault="00903B5C">
            <w:pPr>
              <w:pStyle w:val="TableParagraph"/>
              <w:spacing w:before="135"/>
              <w:ind w:left="115"/>
              <w:rPr>
                <w:b/>
                <w:sz w:val="20"/>
              </w:rPr>
            </w:pPr>
            <w:r>
              <w:rPr>
                <w:b/>
                <w:sz w:val="20"/>
              </w:rPr>
              <w:t>agen3</w:t>
            </w:r>
          </w:p>
        </w:tc>
        <w:tc>
          <w:tcPr>
            <w:tcW w:w="1596" w:type="dxa"/>
          </w:tcPr>
          <w:p w14:paraId="3AEF0E35" w14:textId="77777777" w:rsidR="0046798B" w:rsidRDefault="00903B5C">
            <w:pPr>
              <w:pStyle w:val="TableParagraph"/>
              <w:spacing w:before="45" w:line="237" w:lineRule="auto"/>
              <w:ind w:left="114" w:right="85"/>
              <w:rPr>
                <w:sz w:val="20"/>
              </w:rPr>
            </w:pPr>
            <w:r>
              <w:rPr>
                <w:sz w:val="20"/>
              </w:rPr>
              <w:t>Number of general third-tier local governments</w:t>
            </w:r>
          </w:p>
        </w:tc>
        <w:tc>
          <w:tcPr>
            <w:tcW w:w="1280" w:type="dxa"/>
          </w:tcPr>
          <w:p w14:paraId="0000C9F2" w14:textId="77777777" w:rsidR="0046798B" w:rsidRDefault="0046798B">
            <w:pPr>
              <w:pStyle w:val="TableParagraph"/>
            </w:pPr>
          </w:p>
          <w:p w14:paraId="394FEF5A" w14:textId="77777777" w:rsidR="0046798B" w:rsidRDefault="00903B5C">
            <w:pPr>
              <w:pStyle w:val="TableParagraph"/>
              <w:spacing w:before="135"/>
              <w:ind w:left="114"/>
              <w:rPr>
                <w:sz w:val="20"/>
              </w:rPr>
            </w:pPr>
            <w:r>
              <w:rPr>
                <w:sz w:val="20"/>
              </w:rPr>
              <w:t>1977–2015</w:t>
            </w:r>
          </w:p>
        </w:tc>
        <w:tc>
          <w:tcPr>
            <w:tcW w:w="3421" w:type="dxa"/>
          </w:tcPr>
          <w:p w14:paraId="4A9E3081" w14:textId="77777777" w:rsidR="0046798B" w:rsidRDefault="00903B5C">
            <w:pPr>
              <w:pStyle w:val="TableParagraph"/>
              <w:spacing w:before="158"/>
              <w:ind w:left="114"/>
              <w:rPr>
                <w:sz w:val="20"/>
              </w:rPr>
            </w:pPr>
            <w:r>
              <w:rPr>
                <w:sz w:val="20"/>
              </w:rPr>
              <w:t>Number of general third-tier local governments (carry-forward imputation between censuses)</w:t>
            </w:r>
          </w:p>
        </w:tc>
        <w:tc>
          <w:tcPr>
            <w:tcW w:w="6487" w:type="dxa"/>
          </w:tcPr>
          <w:p w14:paraId="31B7A034" w14:textId="77777777" w:rsidR="0046798B" w:rsidRDefault="00903B5C">
            <w:pPr>
              <w:pStyle w:val="TableParagraph"/>
              <w:spacing w:before="158"/>
              <w:ind w:left="114" w:right="277"/>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99F9FDD" w14:textId="77777777">
        <w:trPr>
          <w:trHeight w:val="1005"/>
        </w:trPr>
        <w:tc>
          <w:tcPr>
            <w:tcW w:w="1711" w:type="dxa"/>
          </w:tcPr>
          <w:p w14:paraId="78F75203" w14:textId="77777777" w:rsidR="0046798B" w:rsidRDefault="0046798B">
            <w:pPr>
              <w:pStyle w:val="TableParagraph"/>
            </w:pPr>
          </w:p>
          <w:p w14:paraId="4312393F" w14:textId="77777777" w:rsidR="0046798B" w:rsidRDefault="00903B5C">
            <w:pPr>
              <w:pStyle w:val="TableParagraph"/>
              <w:spacing w:before="135"/>
              <w:ind w:left="115"/>
              <w:rPr>
                <w:b/>
                <w:sz w:val="20"/>
              </w:rPr>
            </w:pPr>
            <w:r>
              <w:rPr>
                <w:b/>
                <w:sz w:val="20"/>
              </w:rPr>
              <w:t>gov_employ</w:t>
            </w:r>
          </w:p>
        </w:tc>
        <w:tc>
          <w:tcPr>
            <w:tcW w:w="1596" w:type="dxa"/>
          </w:tcPr>
          <w:p w14:paraId="2D2AFEFA" w14:textId="77777777" w:rsidR="0046798B" w:rsidRDefault="00903B5C">
            <w:pPr>
              <w:pStyle w:val="TableParagraph"/>
              <w:spacing w:before="43"/>
              <w:ind w:left="114" w:right="496"/>
              <w:rPr>
                <w:sz w:val="20"/>
              </w:rPr>
            </w:pPr>
            <w:r>
              <w:rPr>
                <w:sz w:val="20"/>
              </w:rPr>
              <w:t>Ranking of number of government employees</w:t>
            </w:r>
          </w:p>
        </w:tc>
        <w:tc>
          <w:tcPr>
            <w:tcW w:w="1280" w:type="dxa"/>
          </w:tcPr>
          <w:p w14:paraId="65849589" w14:textId="77777777" w:rsidR="0046798B" w:rsidRDefault="0046798B">
            <w:pPr>
              <w:pStyle w:val="TableParagraph"/>
            </w:pPr>
          </w:p>
          <w:p w14:paraId="2A698502" w14:textId="77777777" w:rsidR="0046798B" w:rsidRDefault="00903B5C">
            <w:pPr>
              <w:pStyle w:val="TableParagraph"/>
              <w:spacing w:before="135"/>
              <w:ind w:left="114"/>
              <w:rPr>
                <w:sz w:val="20"/>
              </w:rPr>
            </w:pPr>
            <w:r>
              <w:rPr>
                <w:sz w:val="20"/>
              </w:rPr>
              <w:t>1992–2012</w:t>
            </w:r>
          </w:p>
        </w:tc>
        <w:tc>
          <w:tcPr>
            <w:tcW w:w="3421" w:type="dxa"/>
          </w:tcPr>
          <w:p w14:paraId="2D206835" w14:textId="77777777" w:rsidR="0046798B" w:rsidRDefault="00903B5C">
            <w:pPr>
              <w:pStyle w:val="TableParagraph"/>
              <w:spacing w:before="158"/>
              <w:ind w:left="114" w:right="383"/>
              <w:jc w:val="both"/>
              <w:rPr>
                <w:sz w:val="20"/>
              </w:rPr>
            </w:pPr>
            <w:r>
              <w:rPr>
                <w:sz w:val="20"/>
              </w:rPr>
              <w:t>Ranking of states in order of fewest government employees as a share of population, to most.</w:t>
            </w:r>
          </w:p>
        </w:tc>
        <w:tc>
          <w:tcPr>
            <w:tcW w:w="6487" w:type="dxa"/>
          </w:tcPr>
          <w:p w14:paraId="4F4A81DC" w14:textId="77777777" w:rsidR="0046798B" w:rsidRDefault="0046798B">
            <w:pPr>
              <w:pStyle w:val="TableParagraph"/>
            </w:pPr>
          </w:p>
          <w:p w14:paraId="7864AF22" w14:textId="77777777" w:rsidR="0046798B" w:rsidRDefault="00903B5C">
            <w:pPr>
              <w:pStyle w:val="TableParagraph"/>
              <w:spacing w:before="135"/>
              <w:ind w:left="114"/>
              <w:rPr>
                <w:sz w:val="20"/>
              </w:rPr>
            </w:pPr>
            <w:r>
              <w:rPr>
                <w:sz w:val="20"/>
              </w:rPr>
              <w:t xml:space="preserve">Pallay, Geoff. 2012. </w:t>
            </w:r>
            <w:r>
              <w:rPr>
                <w:i/>
                <w:sz w:val="20"/>
              </w:rPr>
              <w:t xml:space="preserve">Ballotpedia </w:t>
            </w:r>
            <w:r>
              <w:rPr>
                <w:sz w:val="20"/>
              </w:rPr>
              <w:t xml:space="preserve">and </w:t>
            </w:r>
            <w:r>
              <w:rPr>
                <w:i/>
                <w:sz w:val="20"/>
              </w:rPr>
              <w:t>The Lucy Burns Institute</w:t>
            </w:r>
            <w:r>
              <w:rPr>
                <w:sz w:val="20"/>
              </w:rPr>
              <w:t>.</w:t>
            </w:r>
          </w:p>
        </w:tc>
      </w:tr>
      <w:tr w:rsidR="0046798B" w14:paraId="28555400" w14:textId="77777777">
        <w:trPr>
          <w:trHeight w:val="545"/>
        </w:trPr>
        <w:tc>
          <w:tcPr>
            <w:tcW w:w="1711" w:type="dxa"/>
          </w:tcPr>
          <w:p w14:paraId="0BC4CC83" w14:textId="77777777" w:rsidR="0046798B" w:rsidRDefault="00903B5C">
            <w:pPr>
              <w:pStyle w:val="TableParagraph"/>
              <w:spacing w:before="43"/>
              <w:ind w:left="115"/>
              <w:rPr>
                <w:b/>
                <w:sz w:val="20"/>
              </w:rPr>
            </w:pPr>
            <w:r>
              <w:rPr>
                <w:b/>
                <w:sz w:val="20"/>
              </w:rPr>
              <w:t>constitution_ado pted</w:t>
            </w:r>
          </w:p>
        </w:tc>
        <w:tc>
          <w:tcPr>
            <w:tcW w:w="1596" w:type="dxa"/>
          </w:tcPr>
          <w:p w14:paraId="17E66E4C" w14:textId="77777777" w:rsidR="0046798B" w:rsidRDefault="00903B5C">
            <w:pPr>
              <w:pStyle w:val="TableParagraph"/>
              <w:spacing w:before="43"/>
              <w:ind w:left="114" w:right="462"/>
              <w:rPr>
                <w:sz w:val="20"/>
              </w:rPr>
            </w:pPr>
            <w:r>
              <w:rPr>
                <w:sz w:val="20"/>
              </w:rPr>
              <w:t>Constitution adopted</w:t>
            </w:r>
          </w:p>
        </w:tc>
        <w:tc>
          <w:tcPr>
            <w:tcW w:w="1280" w:type="dxa"/>
          </w:tcPr>
          <w:p w14:paraId="7E220FA1" w14:textId="77777777" w:rsidR="0046798B" w:rsidRDefault="00903B5C">
            <w:pPr>
              <w:pStyle w:val="TableParagraph"/>
              <w:spacing w:before="158"/>
              <w:ind w:left="114"/>
              <w:rPr>
                <w:sz w:val="20"/>
              </w:rPr>
            </w:pPr>
            <w:r>
              <w:rPr>
                <w:sz w:val="20"/>
              </w:rPr>
              <w:t>1900–2015</w:t>
            </w:r>
          </w:p>
        </w:tc>
        <w:tc>
          <w:tcPr>
            <w:tcW w:w="3421" w:type="dxa"/>
          </w:tcPr>
          <w:p w14:paraId="7BBE9243" w14:textId="77777777" w:rsidR="0046798B" w:rsidRDefault="00903B5C">
            <w:pPr>
              <w:pStyle w:val="TableParagraph"/>
              <w:spacing w:before="43"/>
              <w:ind w:left="114" w:right="305"/>
              <w:rPr>
                <w:sz w:val="20"/>
              </w:rPr>
            </w:pPr>
            <w:r>
              <w:rPr>
                <w:sz w:val="20"/>
              </w:rPr>
              <w:t>Was a new state constitution adopted this year?</w:t>
            </w:r>
          </w:p>
        </w:tc>
        <w:tc>
          <w:tcPr>
            <w:tcW w:w="6487" w:type="dxa"/>
          </w:tcPr>
          <w:p w14:paraId="58FE216E" w14:textId="77777777" w:rsidR="0046798B" w:rsidRDefault="00903B5C">
            <w:pPr>
              <w:pStyle w:val="TableParagraph"/>
              <w:spacing w:before="43"/>
              <w:ind w:left="114" w:right="527"/>
              <w:rPr>
                <w:i/>
                <w:sz w:val="20"/>
              </w:rPr>
            </w:pPr>
            <w:r>
              <w:rPr>
                <w:sz w:val="20"/>
              </w:rPr>
              <w:t xml:space="preserve">The Council of State Governments. 2017. “General Information on State Constitutions.” </w:t>
            </w:r>
            <w:r>
              <w:rPr>
                <w:i/>
                <w:sz w:val="20"/>
              </w:rPr>
              <w:t>The Book of the States.</w:t>
            </w:r>
          </w:p>
        </w:tc>
      </w:tr>
      <w:tr w:rsidR="0046798B" w14:paraId="048800F1" w14:textId="77777777">
        <w:trPr>
          <w:trHeight w:val="550"/>
        </w:trPr>
        <w:tc>
          <w:tcPr>
            <w:tcW w:w="1711" w:type="dxa"/>
          </w:tcPr>
          <w:p w14:paraId="6C845213" w14:textId="77777777" w:rsidR="0046798B" w:rsidRDefault="00903B5C">
            <w:pPr>
              <w:pStyle w:val="TableParagraph"/>
              <w:spacing w:before="43"/>
              <w:ind w:left="115" w:right="144"/>
              <w:rPr>
                <w:b/>
                <w:sz w:val="20"/>
              </w:rPr>
            </w:pPr>
            <w:r>
              <w:rPr>
                <w:b/>
                <w:sz w:val="20"/>
              </w:rPr>
              <w:t>current_constitu tion_length</w:t>
            </w:r>
          </w:p>
        </w:tc>
        <w:tc>
          <w:tcPr>
            <w:tcW w:w="1596" w:type="dxa"/>
          </w:tcPr>
          <w:p w14:paraId="2B4D8715" w14:textId="77777777" w:rsidR="0046798B" w:rsidRDefault="00903B5C">
            <w:pPr>
              <w:pStyle w:val="TableParagraph"/>
              <w:spacing w:before="43"/>
              <w:ind w:left="114" w:right="462"/>
              <w:rPr>
                <w:sz w:val="20"/>
              </w:rPr>
            </w:pPr>
            <w:r>
              <w:rPr>
                <w:sz w:val="20"/>
              </w:rPr>
              <w:t>Constitution length</w:t>
            </w:r>
          </w:p>
        </w:tc>
        <w:tc>
          <w:tcPr>
            <w:tcW w:w="1280" w:type="dxa"/>
          </w:tcPr>
          <w:p w14:paraId="584404EC" w14:textId="77777777" w:rsidR="0046798B" w:rsidRDefault="00903B5C">
            <w:pPr>
              <w:pStyle w:val="TableParagraph"/>
              <w:spacing w:before="158"/>
              <w:ind w:left="114"/>
              <w:rPr>
                <w:sz w:val="20"/>
              </w:rPr>
            </w:pPr>
            <w:r>
              <w:rPr>
                <w:sz w:val="20"/>
              </w:rPr>
              <w:t>2016</w:t>
            </w:r>
          </w:p>
        </w:tc>
        <w:tc>
          <w:tcPr>
            <w:tcW w:w="3421" w:type="dxa"/>
          </w:tcPr>
          <w:p w14:paraId="447DB8D6" w14:textId="77777777" w:rsidR="0046798B" w:rsidRDefault="00903B5C">
            <w:pPr>
              <w:pStyle w:val="TableParagraph"/>
              <w:spacing w:before="43"/>
              <w:ind w:left="114" w:right="472"/>
              <w:rPr>
                <w:sz w:val="20"/>
              </w:rPr>
            </w:pPr>
            <w:r>
              <w:rPr>
                <w:sz w:val="20"/>
              </w:rPr>
              <w:t>The estimated length of the current state constitution</w:t>
            </w:r>
          </w:p>
        </w:tc>
        <w:tc>
          <w:tcPr>
            <w:tcW w:w="6487" w:type="dxa"/>
          </w:tcPr>
          <w:p w14:paraId="2628C12F" w14:textId="77777777" w:rsidR="0046798B" w:rsidRDefault="00903B5C">
            <w:pPr>
              <w:pStyle w:val="TableParagraph"/>
              <w:spacing w:before="43"/>
              <w:ind w:left="114" w:right="527"/>
              <w:rPr>
                <w:i/>
                <w:sz w:val="20"/>
              </w:rPr>
            </w:pPr>
            <w:r>
              <w:rPr>
                <w:sz w:val="20"/>
              </w:rPr>
              <w:t xml:space="preserve">The Council of State Governments. 2017. “General Information on State Constitutions.” </w:t>
            </w:r>
            <w:r>
              <w:rPr>
                <w:i/>
                <w:sz w:val="20"/>
              </w:rPr>
              <w:t>The Book of the States.</w:t>
            </w:r>
          </w:p>
        </w:tc>
      </w:tr>
      <w:tr w:rsidR="0046798B" w14:paraId="50E3C39A" w14:textId="77777777">
        <w:trPr>
          <w:trHeight w:val="775"/>
        </w:trPr>
        <w:tc>
          <w:tcPr>
            <w:tcW w:w="1711" w:type="dxa"/>
          </w:tcPr>
          <w:p w14:paraId="7098E15C" w14:textId="77777777" w:rsidR="0046798B" w:rsidRDefault="00903B5C">
            <w:pPr>
              <w:pStyle w:val="TableParagraph"/>
              <w:spacing w:before="153"/>
              <w:ind w:left="115" w:right="188"/>
              <w:rPr>
                <w:b/>
                <w:sz w:val="20"/>
              </w:rPr>
            </w:pPr>
            <w:r>
              <w:rPr>
                <w:b/>
                <w:sz w:val="20"/>
              </w:rPr>
              <w:t>amendments_su bmitted</w:t>
            </w:r>
          </w:p>
        </w:tc>
        <w:tc>
          <w:tcPr>
            <w:tcW w:w="1596" w:type="dxa"/>
          </w:tcPr>
          <w:p w14:paraId="340A6F06" w14:textId="77777777" w:rsidR="0046798B" w:rsidRDefault="00903B5C">
            <w:pPr>
              <w:pStyle w:val="TableParagraph"/>
              <w:spacing w:before="153"/>
              <w:ind w:left="114" w:right="385"/>
              <w:rPr>
                <w:sz w:val="20"/>
              </w:rPr>
            </w:pPr>
            <w:r>
              <w:rPr>
                <w:sz w:val="20"/>
              </w:rPr>
              <w:t>Amendments submitted</w:t>
            </w:r>
          </w:p>
        </w:tc>
        <w:tc>
          <w:tcPr>
            <w:tcW w:w="1280" w:type="dxa"/>
          </w:tcPr>
          <w:p w14:paraId="0F52028A" w14:textId="77777777" w:rsidR="0046798B" w:rsidRDefault="0046798B">
            <w:pPr>
              <w:pStyle w:val="TableParagraph"/>
              <w:spacing w:before="3"/>
              <w:rPr>
                <w:sz w:val="23"/>
              </w:rPr>
            </w:pPr>
          </w:p>
          <w:p w14:paraId="583814F0" w14:textId="77777777" w:rsidR="0046798B" w:rsidRDefault="00903B5C">
            <w:pPr>
              <w:pStyle w:val="TableParagraph"/>
              <w:spacing w:before="1"/>
              <w:ind w:left="114"/>
              <w:rPr>
                <w:sz w:val="20"/>
              </w:rPr>
            </w:pPr>
            <w:r>
              <w:rPr>
                <w:sz w:val="20"/>
              </w:rPr>
              <w:t>2016</w:t>
            </w:r>
          </w:p>
        </w:tc>
        <w:tc>
          <w:tcPr>
            <w:tcW w:w="3421" w:type="dxa"/>
          </w:tcPr>
          <w:p w14:paraId="7A882CDA" w14:textId="77777777" w:rsidR="0046798B" w:rsidRDefault="00903B5C">
            <w:pPr>
              <w:pStyle w:val="TableParagraph"/>
              <w:spacing w:before="38"/>
              <w:ind w:left="114" w:right="749"/>
              <w:rPr>
                <w:sz w:val="20"/>
              </w:rPr>
            </w:pPr>
            <w:r>
              <w:rPr>
                <w:sz w:val="20"/>
              </w:rPr>
              <w:t>Number of amendments to the constitution submitted to voters</w:t>
            </w:r>
          </w:p>
        </w:tc>
        <w:tc>
          <w:tcPr>
            <w:tcW w:w="6487" w:type="dxa"/>
          </w:tcPr>
          <w:p w14:paraId="552D9617" w14:textId="77777777" w:rsidR="0046798B" w:rsidRDefault="00903B5C">
            <w:pPr>
              <w:pStyle w:val="TableParagraph"/>
              <w:spacing w:before="153"/>
              <w:ind w:left="114" w:right="527"/>
              <w:rPr>
                <w:i/>
                <w:sz w:val="20"/>
              </w:rPr>
            </w:pPr>
            <w:r>
              <w:rPr>
                <w:sz w:val="20"/>
              </w:rPr>
              <w:t xml:space="preserve">The Council of State Governments. 2017. “General Information on State Constitutions.” </w:t>
            </w:r>
            <w:r>
              <w:rPr>
                <w:i/>
                <w:sz w:val="20"/>
              </w:rPr>
              <w:t>The Book of the States.</w:t>
            </w:r>
          </w:p>
        </w:tc>
      </w:tr>
    </w:tbl>
    <w:p w14:paraId="4CD3BD37" w14:textId="77777777" w:rsidR="0046798B" w:rsidRDefault="0046798B">
      <w:pPr>
        <w:rPr>
          <w:sz w:val="20"/>
        </w:rPr>
        <w:sectPr w:rsidR="0046798B">
          <w:pgSz w:w="15840" w:h="12240" w:orient="landscape"/>
          <w:pgMar w:top="1220" w:right="300" w:bottom="980" w:left="820" w:header="730" w:footer="787" w:gutter="0"/>
          <w:cols w:space="720"/>
        </w:sectPr>
      </w:pPr>
    </w:p>
    <w:p w14:paraId="720ED1C0"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0"/>
        <w:gridCol w:w="3421"/>
        <w:gridCol w:w="6477"/>
      </w:tblGrid>
      <w:tr w:rsidR="0046798B" w14:paraId="795A1FA8" w14:textId="77777777">
        <w:trPr>
          <w:trHeight w:val="542"/>
        </w:trPr>
        <w:tc>
          <w:tcPr>
            <w:tcW w:w="1711" w:type="dxa"/>
            <w:tcBorders>
              <w:bottom w:val="dotted" w:sz="6" w:space="0" w:color="BEBEBE"/>
            </w:tcBorders>
          </w:tcPr>
          <w:p w14:paraId="3D91ACBC" w14:textId="77777777" w:rsidR="0046798B" w:rsidRDefault="0046798B">
            <w:pPr>
              <w:pStyle w:val="TableParagraph"/>
              <w:rPr>
                <w:sz w:val="20"/>
              </w:rPr>
            </w:pPr>
          </w:p>
        </w:tc>
        <w:tc>
          <w:tcPr>
            <w:tcW w:w="1596" w:type="dxa"/>
            <w:tcBorders>
              <w:bottom w:val="dotted" w:sz="6" w:space="0" w:color="BEBEBE"/>
            </w:tcBorders>
          </w:tcPr>
          <w:p w14:paraId="189C770D" w14:textId="77777777" w:rsidR="0046798B" w:rsidRDefault="0046798B">
            <w:pPr>
              <w:pStyle w:val="TableParagraph"/>
              <w:rPr>
                <w:sz w:val="20"/>
              </w:rPr>
            </w:pPr>
          </w:p>
        </w:tc>
        <w:tc>
          <w:tcPr>
            <w:tcW w:w="1280" w:type="dxa"/>
            <w:tcBorders>
              <w:bottom w:val="dotted" w:sz="6" w:space="0" w:color="BEBEBE"/>
            </w:tcBorders>
          </w:tcPr>
          <w:p w14:paraId="458FDD87" w14:textId="77777777" w:rsidR="0046798B" w:rsidRDefault="0046798B">
            <w:pPr>
              <w:pStyle w:val="TableParagraph"/>
              <w:rPr>
                <w:sz w:val="20"/>
              </w:rPr>
            </w:pPr>
          </w:p>
        </w:tc>
        <w:tc>
          <w:tcPr>
            <w:tcW w:w="3421" w:type="dxa"/>
            <w:tcBorders>
              <w:bottom w:val="dotted" w:sz="6" w:space="0" w:color="BEBEBE"/>
            </w:tcBorders>
          </w:tcPr>
          <w:p w14:paraId="3B325989" w14:textId="77777777" w:rsidR="0046798B" w:rsidRDefault="00903B5C">
            <w:pPr>
              <w:pStyle w:val="TableParagraph"/>
              <w:spacing w:before="43"/>
              <w:ind w:left="114" w:right="277"/>
              <w:rPr>
                <w:sz w:val="20"/>
              </w:rPr>
            </w:pPr>
            <w:r>
              <w:rPr>
                <w:sz w:val="20"/>
              </w:rPr>
              <w:t>Note: Amendments are not submitted to voters in Delaware.</w:t>
            </w:r>
          </w:p>
        </w:tc>
        <w:tc>
          <w:tcPr>
            <w:tcW w:w="6477" w:type="dxa"/>
            <w:tcBorders>
              <w:bottom w:val="dotted" w:sz="6" w:space="0" w:color="BEBEBE"/>
            </w:tcBorders>
          </w:tcPr>
          <w:p w14:paraId="15A1C047" w14:textId="77777777" w:rsidR="0046798B" w:rsidRDefault="0046798B">
            <w:pPr>
              <w:pStyle w:val="TableParagraph"/>
              <w:rPr>
                <w:sz w:val="20"/>
              </w:rPr>
            </w:pPr>
          </w:p>
        </w:tc>
      </w:tr>
      <w:tr w:rsidR="0046798B" w14:paraId="31B8FDE5" w14:textId="77777777">
        <w:trPr>
          <w:trHeight w:val="542"/>
        </w:trPr>
        <w:tc>
          <w:tcPr>
            <w:tcW w:w="1711" w:type="dxa"/>
            <w:tcBorders>
              <w:top w:val="dotted" w:sz="6" w:space="0" w:color="BEBEBE"/>
            </w:tcBorders>
          </w:tcPr>
          <w:p w14:paraId="117D7542" w14:textId="77777777" w:rsidR="0046798B" w:rsidRDefault="00903B5C">
            <w:pPr>
              <w:pStyle w:val="TableParagraph"/>
              <w:spacing w:before="40"/>
              <w:ind w:left="115" w:right="165"/>
              <w:rPr>
                <w:b/>
                <w:sz w:val="20"/>
              </w:rPr>
            </w:pPr>
            <w:r>
              <w:rPr>
                <w:b/>
                <w:sz w:val="20"/>
              </w:rPr>
              <w:t>amendments_ad opted</w:t>
            </w:r>
          </w:p>
        </w:tc>
        <w:tc>
          <w:tcPr>
            <w:tcW w:w="1596" w:type="dxa"/>
            <w:tcBorders>
              <w:top w:val="dotted" w:sz="6" w:space="0" w:color="BEBEBE"/>
            </w:tcBorders>
          </w:tcPr>
          <w:p w14:paraId="150816F5" w14:textId="77777777" w:rsidR="0046798B" w:rsidRDefault="00903B5C">
            <w:pPr>
              <w:pStyle w:val="TableParagraph"/>
              <w:spacing w:before="40"/>
              <w:ind w:left="114" w:right="385"/>
              <w:rPr>
                <w:sz w:val="20"/>
              </w:rPr>
            </w:pPr>
            <w:r>
              <w:rPr>
                <w:sz w:val="20"/>
              </w:rPr>
              <w:t>Amendments adopted</w:t>
            </w:r>
          </w:p>
        </w:tc>
        <w:tc>
          <w:tcPr>
            <w:tcW w:w="1280" w:type="dxa"/>
            <w:tcBorders>
              <w:top w:val="dotted" w:sz="6" w:space="0" w:color="BEBEBE"/>
            </w:tcBorders>
          </w:tcPr>
          <w:p w14:paraId="72656E65" w14:textId="77777777" w:rsidR="0046798B" w:rsidRDefault="00903B5C">
            <w:pPr>
              <w:pStyle w:val="TableParagraph"/>
              <w:spacing w:before="155"/>
              <w:ind w:left="114"/>
              <w:rPr>
                <w:sz w:val="20"/>
              </w:rPr>
            </w:pPr>
            <w:r>
              <w:rPr>
                <w:sz w:val="20"/>
              </w:rPr>
              <w:t>2016</w:t>
            </w:r>
          </w:p>
        </w:tc>
        <w:tc>
          <w:tcPr>
            <w:tcW w:w="3421" w:type="dxa"/>
            <w:tcBorders>
              <w:top w:val="dotted" w:sz="6" w:space="0" w:color="BEBEBE"/>
            </w:tcBorders>
          </w:tcPr>
          <w:p w14:paraId="38491E24" w14:textId="77777777" w:rsidR="0046798B" w:rsidRDefault="00903B5C">
            <w:pPr>
              <w:pStyle w:val="TableParagraph"/>
              <w:spacing w:before="40"/>
              <w:ind w:left="114" w:right="844"/>
              <w:rPr>
                <w:sz w:val="20"/>
              </w:rPr>
            </w:pPr>
            <w:r>
              <w:rPr>
                <w:sz w:val="20"/>
              </w:rPr>
              <w:t>Number of amendments to the constitution adopted</w:t>
            </w:r>
          </w:p>
        </w:tc>
        <w:tc>
          <w:tcPr>
            <w:tcW w:w="6477" w:type="dxa"/>
            <w:tcBorders>
              <w:top w:val="dotted" w:sz="6" w:space="0" w:color="BEBEBE"/>
            </w:tcBorders>
          </w:tcPr>
          <w:p w14:paraId="681611E2" w14:textId="77777777" w:rsidR="0046798B" w:rsidRDefault="00903B5C">
            <w:pPr>
              <w:pStyle w:val="TableParagraph"/>
              <w:spacing w:before="40"/>
              <w:ind w:left="114" w:right="517"/>
              <w:rPr>
                <w:i/>
                <w:sz w:val="20"/>
              </w:rPr>
            </w:pPr>
            <w:r>
              <w:rPr>
                <w:sz w:val="20"/>
              </w:rPr>
              <w:t xml:space="preserve">The Council of State Governments. 2017. “General Information on State Constitutions.” </w:t>
            </w:r>
            <w:r>
              <w:rPr>
                <w:i/>
                <w:sz w:val="20"/>
              </w:rPr>
              <w:t>The Book of the States.</w:t>
            </w:r>
          </w:p>
        </w:tc>
      </w:tr>
      <w:tr w:rsidR="0046798B" w14:paraId="31A54392" w14:textId="77777777">
        <w:trPr>
          <w:trHeight w:val="780"/>
        </w:trPr>
        <w:tc>
          <w:tcPr>
            <w:tcW w:w="1711" w:type="dxa"/>
          </w:tcPr>
          <w:p w14:paraId="20F0F829" w14:textId="77777777" w:rsidR="0046798B" w:rsidRDefault="00903B5C">
            <w:pPr>
              <w:pStyle w:val="TableParagraph"/>
              <w:spacing w:before="158"/>
              <w:ind w:left="115"/>
              <w:rPr>
                <w:b/>
                <w:sz w:val="20"/>
              </w:rPr>
            </w:pPr>
            <w:r>
              <w:rPr>
                <w:b/>
                <w:sz w:val="20"/>
              </w:rPr>
              <w:t>prez_election_ye ar</w:t>
            </w:r>
          </w:p>
        </w:tc>
        <w:tc>
          <w:tcPr>
            <w:tcW w:w="1596" w:type="dxa"/>
          </w:tcPr>
          <w:p w14:paraId="576CF8B0" w14:textId="77777777" w:rsidR="0046798B" w:rsidRDefault="00903B5C">
            <w:pPr>
              <w:pStyle w:val="TableParagraph"/>
              <w:spacing w:before="43"/>
              <w:ind w:left="114" w:right="424"/>
              <w:rPr>
                <w:sz w:val="20"/>
              </w:rPr>
            </w:pPr>
            <w:r>
              <w:rPr>
                <w:sz w:val="20"/>
              </w:rPr>
              <w:t>Presidential election year dummy</w:t>
            </w:r>
          </w:p>
        </w:tc>
        <w:tc>
          <w:tcPr>
            <w:tcW w:w="1280" w:type="dxa"/>
          </w:tcPr>
          <w:p w14:paraId="0A8D4FD5" w14:textId="77777777" w:rsidR="0046798B" w:rsidRDefault="0046798B">
            <w:pPr>
              <w:pStyle w:val="TableParagraph"/>
              <w:spacing w:before="8"/>
              <w:rPr>
                <w:sz w:val="23"/>
              </w:rPr>
            </w:pPr>
          </w:p>
          <w:p w14:paraId="6A3C5453" w14:textId="77777777" w:rsidR="0046798B" w:rsidRDefault="00903B5C">
            <w:pPr>
              <w:pStyle w:val="TableParagraph"/>
              <w:spacing w:before="1"/>
              <w:ind w:left="114"/>
              <w:rPr>
                <w:sz w:val="20"/>
              </w:rPr>
            </w:pPr>
            <w:r>
              <w:rPr>
                <w:sz w:val="20"/>
              </w:rPr>
              <w:t>1925–2016</w:t>
            </w:r>
          </w:p>
        </w:tc>
        <w:tc>
          <w:tcPr>
            <w:tcW w:w="3421" w:type="dxa"/>
          </w:tcPr>
          <w:p w14:paraId="277BEBF7" w14:textId="77777777" w:rsidR="0046798B" w:rsidRDefault="00903B5C">
            <w:pPr>
              <w:pStyle w:val="TableParagraph"/>
              <w:spacing w:before="158"/>
              <w:ind w:left="114" w:right="142"/>
              <w:rPr>
                <w:sz w:val="20"/>
              </w:rPr>
            </w:pPr>
            <w:r>
              <w:rPr>
                <w:sz w:val="20"/>
              </w:rPr>
              <w:t>Dummy: 1 = presidential election year. 0 = else.</w:t>
            </w:r>
          </w:p>
        </w:tc>
        <w:tc>
          <w:tcPr>
            <w:tcW w:w="6477" w:type="dxa"/>
          </w:tcPr>
          <w:p w14:paraId="58182737" w14:textId="77777777" w:rsidR="0046798B" w:rsidRDefault="00903B5C">
            <w:pPr>
              <w:pStyle w:val="TableParagraph"/>
              <w:spacing w:before="158"/>
              <w:ind w:left="114" w:right="1261"/>
              <w:rPr>
                <w:sz w:val="20"/>
              </w:rPr>
            </w:pPr>
            <w:r>
              <w:rPr>
                <w:sz w:val="20"/>
              </w:rPr>
              <w:t xml:space="preserve">Klarner, Carl, 2013, “Governors Dataset”, </w:t>
            </w:r>
            <w:hyperlink r:id="rId393">
              <w:r>
                <w:rPr>
                  <w:color w:val="0462C1"/>
                  <w:sz w:val="20"/>
                  <w:u w:val="single" w:color="0462C1"/>
                </w:rPr>
                <w:t>https://doi.org/10.7910/DVN/PQ0Y1N</w:t>
              </w:r>
              <w:r>
                <w:rPr>
                  <w:sz w:val="20"/>
                </w:rPr>
                <w:t>,</w:t>
              </w:r>
            </w:hyperlink>
            <w:r>
              <w:rPr>
                <w:sz w:val="20"/>
              </w:rPr>
              <w:t xml:space="preserve"> Harvard Dataverse, V1</w:t>
            </w:r>
          </w:p>
        </w:tc>
      </w:tr>
      <w:tr w:rsidR="0046798B" w14:paraId="0D4F23BF" w14:textId="77777777">
        <w:trPr>
          <w:trHeight w:val="1465"/>
        </w:trPr>
        <w:tc>
          <w:tcPr>
            <w:tcW w:w="1711" w:type="dxa"/>
          </w:tcPr>
          <w:p w14:paraId="2C1E02AB" w14:textId="77777777" w:rsidR="0046798B" w:rsidRDefault="0046798B">
            <w:pPr>
              <w:pStyle w:val="TableParagraph"/>
            </w:pPr>
          </w:p>
          <w:p w14:paraId="165930AB" w14:textId="77777777" w:rsidR="0046798B" w:rsidRDefault="0046798B">
            <w:pPr>
              <w:pStyle w:val="TableParagraph"/>
              <w:spacing w:before="3"/>
              <w:rPr>
                <w:sz w:val="31"/>
              </w:rPr>
            </w:pPr>
          </w:p>
          <w:p w14:paraId="76ACBBBA" w14:textId="77777777" w:rsidR="0046798B" w:rsidRDefault="00903B5C">
            <w:pPr>
              <w:pStyle w:val="TableParagraph"/>
              <w:spacing w:before="1"/>
              <w:ind w:left="115"/>
              <w:rPr>
                <w:b/>
                <w:sz w:val="20"/>
              </w:rPr>
            </w:pPr>
            <w:r>
              <w:rPr>
                <w:b/>
                <w:sz w:val="20"/>
              </w:rPr>
              <w:t>weird5</w:t>
            </w:r>
          </w:p>
        </w:tc>
        <w:tc>
          <w:tcPr>
            <w:tcW w:w="1596" w:type="dxa"/>
          </w:tcPr>
          <w:p w14:paraId="5BAAC3D5" w14:textId="77777777" w:rsidR="0046798B" w:rsidRDefault="0046798B">
            <w:pPr>
              <w:pStyle w:val="TableParagraph"/>
            </w:pPr>
          </w:p>
          <w:p w14:paraId="4127A68F" w14:textId="77777777" w:rsidR="0046798B" w:rsidRDefault="00903B5C">
            <w:pPr>
              <w:pStyle w:val="TableParagraph"/>
              <w:spacing w:before="130"/>
              <w:ind w:left="114" w:right="174"/>
              <w:rPr>
                <w:sz w:val="20"/>
              </w:rPr>
            </w:pPr>
            <w:r>
              <w:rPr>
                <w:sz w:val="20"/>
              </w:rPr>
              <w:t>Even-numbered year biennium dummy</w:t>
            </w:r>
          </w:p>
        </w:tc>
        <w:tc>
          <w:tcPr>
            <w:tcW w:w="1280" w:type="dxa"/>
          </w:tcPr>
          <w:p w14:paraId="292D902C" w14:textId="77777777" w:rsidR="0046798B" w:rsidRDefault="0046798B">
            <w:pPr>
              <w:pStyle w:val="TableParagraph"/>
            </w:pPr>
          </w:p>
          <w:p w14:paraId="5400A1C1" w14:textId="77777777" w:rsidR="0046798B" w:rsidRDefault="0046798B">
            <w:pPr>
              <w:pStyle w:val="TableParagraph"/>
              <w:spacing w:before="3"/>
              <w:rPr>
                <w:sz w:val="31"/>
              </w:rPr>
            </w:pPr>
          </w:p>
          <w:p w14:paraId="374A44AD" w14:textId="77777777" w:rsidR="0046798B" w:rsidRDefault="00903B5C">
            <w:pPr>
              <w:pStyle w:val="TableParagraph"/>
              <w:spacing w:before="1"/>
              <w:ind w:left="114"/>
              <w:rPr>
                <w:sz w:val="20"/>
              </w:rPr>
            </w:pPr>
            <w:r>
              <w:rPr>
                <w:sz w:val="20"/>
              </w:rPr>
              <w:t>1925–2016</w:t>
            </w:r>
          </w:p>
        </w:tc>
        <w:tc>
          <w:tcPr>
            <w:tcW w:w="3421" w:type="dxa"/>
          </w:tcPr>
          <w:p w14:paraId="37397957" w14:textId="77777777" w:rsidR="0046798B" w:rsidRDefault="00903B5C">
            <w:pPr>
              <w:pStyle w:val="TableParagraph"/>
              <w:spacing w:before="38"/>
              <w:ind w:left="114" w:right="166"/>
              <w:rPr>
                <w:sz w:val="20"/>
              </w:rPr>
            </w:pPr>
            <w:r>
              <w:rPr>
                <w:sz w:val="20"/>
              </w:rPr>
              <w:t>Dummy variable: one of the five states that had their bienniums start in even numbered years for some part of the period. This includes KY after it switched to even-year elections for the state legislature.</w:t>
            </w:r>
          </w:p>
        </w:tc>
        <w:tc>
          <w:tcPr>
            <w:tcW w:w="6477" w:type="dxa"/>
          </w:tcPr>
          <w:p w14:paraId="32F0C5F0" w14:textId="77777777" w:rsidR="0046798B" w:rsidRDefault="0046798B">
            <w:pPr>
              <w:pStyle w:val="TableParagraph"/>
            </w:pPr>
          </w:p>
          <w:p w14:paraId="59E65F07" w14:textId="77777777" w:rsidR="0046798B" w:rsidRDefault="0046798B">
            <w:pPr>
              <w:pStyle w:val="TableParagraph"/>
              <w:spacing w:before="3"/>
              <w:rPr>
                <w:sz w:val="21"/>
              </w:rPr>
            </w:pPr>
          </w:p>
          <w:p w14:paraId="75D87D63" w14:textId="77777777" w:rsidR="0046798B" w:rsidRDefault="00903B5C">
            <w:pPr>
              <w:pStyle w:val="TableParagraph"/>
              <w:spacing w:before="1"/>
              <w:ind w:left="114" w:right="1261"/>
              <w:rPr>
                <w:sz w:val="20"/>
              </w:rPr>
            </w:pPr>
            <w:r>
              <w:rPr>
                <w:sz w:val="20"/>
              </w:rPr>
              <w:t xml:space="preserve">Klarner, Carl, 2013, “Governors Dataset”, </w:t>
            </w:r>
            <w:hyperlink r:id="rId394">
              <w:r>
                <w:rPr>
                  <w:color w:val="0462C1"/>
                  <w:sz w:val="20"/>
                  <w:u w:val="single" w:color="0462C1"/>
                </w:rPr>
                <w:t>https://doi.org/10.7910/DVN/PQ0Y1N</w:t>
              </w:r>
              <w:r>
                <w:rPr>
                  <w:sz w:val="20"/>
                </w:rPr>
                <w:t>,</w:t>
              </w:r>
            </w:hyperlink>
            <w:r>
              <w:rPr>
                <w:sz w:val="20"/>
              </w:rPr>
              <w:t xml:space="preserve"> Harvard Dataverse, V1</w:t>
            </w:r>
          </w:p>
        </w:tc>
      </w:tr>
      <w:tr w:rsidR="0046798B" w14:paraId="5169B35C" w14:textId="77777777">
        <w:trPr>
          <w:trHeight w:val="1465"/>
        </w:trPr>
        <w:tc>
          <w:tcPr>
            <w:tcW w:w="1711" w:type="dxa"/>
          </w:tcPr>
          <w:p w14:paraId="301B15B4" w14:textId="77777777" w:rsidR="0046798B" w:rsidRDefault="0046798B">
            <w:pPr>
              <w:pStyle w:val="TableParagraph"/>
            </w:pPr>
          </w:p>
          <w:p w14:paraId="1A1C6087" w14:textId="77777777" w:rsidR="0046798B" w:rsidRDefault="0046798B">
            <w:pPr>
              <w:pStyle w:val="TableParagraph"/>
              <w:spacing w:before="4"/>
              <w:rPr>
                <w:sz w:val="31"/>
              </w:rPr>
            </w:pPr>
          </w:p>
          <w:p w14:paraId="4DAFCF1E" w14:textId="77777777" w:rsidR="0046798B" w:rsidRDefault="00903B5C">
            <w:pPr>
              <w:pStyle w:val="TableParagraph"/>
              <w:ind w:left="115"/>
              <w:rPr>
                <w:b/>
                <w:sz w:val="20"/>
              </w:rPr>
            </w:pPr>
            <w:r>
              <w:rPr>
                <w:b/>
                <w:sz w:val="20"/>
              </w:rPr>
              <w:t>weird5_b</w:t>
            </w:r>
          </w:p>
        </w:tc>
        <w:tc>
          <w:tcPr>
            <w:tcW w:w="1596" w:type="dxa"/>
          </w:tcPr>
          <w:p w14:paraId="6CA994F4" w14:textId="77777777" w:rsidR="0046798B" w:rsidRDefault="0046798B">
            <w:pPr>
              <w:pStyle w:val="TableParagraph"/>
            </w:pPr>
          </w:p>
          <w:p w14:paraId="40C4336D" w14:textId="77777777" w:rsidR="0046798B" w:rsidRDefault="00903B5C">
            <w:pPr>
              <w:pStyle w:val="TableParagraph"/>
              <w:spacing w:before="130"/>
              <w:ind w:left="114" w:right="118"/>
              <w:rPr>
                <w:sz w:val="20"/>
              </w:rPr>
            </w:pPr>
            <w:r>
              <w:rPr>
                <w:sz w:val="20"/>
              </w:rPr>
              <w:t>Even-numbered year biennium dummy (no KY)</w:t>
            </w:r>
          </w:p>
        </w:tc>
        <w:tc>
          <w:tcPr>
            <w:tcW w:w="1280" w:type="dxa"/>
          </w:tcPr>
          <w:p w14:paraId="41F5ADE5" w14:textId="77777777" w:rsidR="0046798B" w:rsidRDefault="0046798B">
            <w:pPr>
              <w:pStyle w:val="TableParagraph"/>
            </w:pPr>
          </w:p>
          <w:p w14:paraId="091D071B" w14:textId="77777777" w:rsidR="0046798B" w:rsidRDefault="0046798B">
            <w:pPr>
              <w:pStyle w:val="TableParagraph"/>
              <w:spacing w:before="4"/>
              <w:rPr>
                <w:sz w:val="31"/>
              </w:rPr>
            </w:pPr>
          </w:p>
          <w:p w14:paraId="39A65347" w14:textId="77777777" w:rsidR="0046798B" w:rsidRDefault="00903B5C">
            <w:pPr>
              <w:pStyle w:val="TableParagraph"/>
              <w:ind w:left="114"/>
              <w:rPr>
                <w:sz w:val="20"/>
              </w:rPr>
            </w:pPr>
            <w:r>
              <w:rPr>
                <w:sz w:val="20"/>
              </w:rPr>
              <w:t>1925–2016</w:t>
            </w:r>
          </w:p>
        </w:tc>
        <w:tc>
          <w:tcPr>
            <w:tcW w:w="3421" w:type="dxa"/>
          </w:tcPr>
          <w:p w14:paraId="3CD594AC" w14:textId="77777777" w:rsidR="0046798B" w:rsidRDefault="00903B5C">
            <w:pPr>
              <w:pStyle w:val="TableParagraph"/>
              <w:spacing w:before="38"/>
              <w:ind w:left="114" w:right="116"/>
              <w:rPr>
                <w:sz w:val="20"/>
              </w:rPr>
            </w:pPr>
            <w:r>
              <w:rPr>
                <w:sz w:val="20"/>
              </w:rPr>
              <w:t>Dummy variable: one of the five states that had their bienniums start in even numbered years for some part of the period. This doesn’t include KY after it switched to even-year elections for the state legislature.</w:t>
            </w:r>
          </w:p>
        </w:tc>
        <w:tc>
          <w:tcPr>
            <w:tcW w:w="6477" w:type="dxa"/>
          </w:tcPr>
          <w:p w14:paraId="68B56811" w14:textId="77777777" w:rsidR="0046798B" w:rsidRDefault="0046798B">
            <w:pPr>
              <w:pStyle w:val="TableParagraph"/>
            </w:pPr>
          </w:p>
          <w:p w14:paraId="12664F5C" w14:textId="77777777" w:rsidR="0046798B" w:rsidRDefault="0046798B">
            <w:pPr>
              <w:pStyle w:val="TableParagraph"/>
              <w:spacing w:before="3"/>
              <w:rPr>
                <w:sz w:val="21"/>
              </w:rPr>
            </w:pPr>
          </w:p>
          <w:p w14:paraId="79FF4792" w14:textId="77777777" w:rsidR="0046798B" w:rsidRDefault="00903B5C">
            <w:pPr>
              <w:pStyle w:val="TableParagraph"/>
              <w:spacing w:before="1"/>
              <w:ind w:left="114" w:right="1261"/>
              <w:rPr>
                <w:sz w:val="20"/>
              </w:rPr>
            </w:pPr>
            <w:r>
              <w:rPr>
                <w:sz w:val="20"/>
              </w:rPr>
              <w:t xml:space="preserve">Klarner, Carl, 2013, “Governors Dataset”, </w:t>
            </w:r>
            <w:hyperlink r:id="rId395">
              <w:r>
                <w:rPr>
                  <w:color w:val="0462C1"/>
                  <w:sz w:val="20"/>
                  <w:u w:val="single" w:color="0462C1"/>
                </w:rPr>
                <w:t>https://doi.org/10.7910/DVN/PQ0Y1N</w:t>
              </w:r>
              <w:r>
                <w:rPr>
                  <w:sz w:val="20"/>
                </w:rPr>
                <w:t>,</w:t>
              </w:r>
            </w:hyperlink>
            <w:r>
              <w:rPr>
                <w:sz w:val="20"/>
              </w:rPr>
              <w:t xml:space="preserve"> Harvard Dataverse, V1</w:t>
            </w:r>
          </w:p>
        </w:tc>
      </w:tr>
      <w:tr w:rsidR="0046798B" w14:paraId="73A13835" w14:textId="77777777">
        <w:trPr>
          <w:trHeight w:val="2386"/>
        </w:trPr>
        <w:tc>
          <w:tcPr>
            <w:tcW w:w="1711" w:type="dxa"/>
          </w:tcPr>
          <w:p w14:paraId="5F12AC0F" w14:textId="77777777" w:rsidR="0046798B" w:rsidRDefault="0046798B">
            <w:pPr>
              <w:pStyle w:val="TableParagraph"/>
            </w:pPr>
          </w:p>
          <w:p w14:paraId="6A5F9AE8" w14:textId="77777777" w:rsidR="0046798B" w:rsidRDefault="0046798B">
            <w:pPr>
              <w:pStyle w:val="TableParagraph"/>
            </w:pPr>
          </w:p>
          <w:p w14:paraId="70C69FDA" w14:textId="77777777" w:rsidR="0046798B" w:rsidRDefault="0046798B">
            <w:pPr>
              <w:pStyle w:val="TableParagraph"/>
            </w:pPr>
          </w:p>
          <w:p w14:paraId="0EEF6BC7" w14:textId="77777777" w:rsidR="0046798B" w:rsidRDefault="0046798B">
            <w:pPr>
              <w:pStyle w:val="TableParagraph"/>
              <w:spacing w:before="9"/>
              <w:rPr>
                <w:sz w:val="27"/>
              </w:rPr>
            </w:pPr>
          </w:p>
          <w:p w14:paraId="12067542" w14:textId="77777777" w:rsidR="0046798B" w:rsidRDefault="00903B5C">
            <w:pPr>
              <w:pStyle w:val="TableParagraph"/>
              <w:ind w:left="115"/>
              <w:rPr>
                <w:b/>
                <w:sz w:val="20"/>
              </w:rPr>
            </w:pPr>
            <w:r>
              <w:rPr>
                <w:b/>
                <w:sz w:val="20"/>
              </w:rPr>
              <w:t>biennium</w:t>
            </w:r>
          </w:p>
        </w:tc>
        <w:tc>
          <w:tcPr>
            <w:tcW w:w="1596" w:type="dxa"/>
          </w:tcPr>
          <w:p w14:paraId="1CCD0ECA" w14:textId="77777777" w:rsidR="0046798B" w:rsidRDefault="0046798B">
            <w:pPr>
              <w:pStyle w:val="TableParagraph"/>
            </w:pPr>
          </w:p>
          <w:p w14:paraId="01BD1C80" w14:textId="77777777" w:rsidR="0046798B" w:rsidRDefault="0046798B">
            <w:pPr>
              <w:pStyle w:val="TableParagraph"/>
            </w:pPr>
          </w:p>
          <w:p w14:paraId="4EFB080E" w14:textId="77777777" w:rsidR="0046798B" w:rsidRDefault="0046798B">
            <w:pPr>
              <w:pStyle w:val="TableParagraph"/>
            </w:pPr>
          </w:p>
          <w:p w14:paraId="0F70EBB7" w14:textId="77777777" w:rsidR="0046798B" w:rsidRDefault="0046798B">
            <w:pPr>
              <w:pStyle w:val="TableParagraph"/>
              <w:spacing w:before="1"/>
              <w:rPr>
                <w:sz w:val="18"/>
              </w:rPr>
            </w:pPr>
          </w:p>
          <w:p w14:paraId="7A0F81CD" w14:textId="77777777" w:rsidR="0046798B" w:rsidRDefault="00903B5C">
            <w:pPr>
              <w:pStyle w:val="TableParagraph"/>
              <w:spacing w:line="235" w:lineRule="auto"/>
              <w:ind w:left="114"/>
              <w:rPr>
                <w:sz w:val="20"/>
              </w:rPr>
            </w:pPr>
            <w:r>
              <w:rPr>
                <w:sz w:val="20"/>
              </w:rPr>
              <w:t>First year of the biennium</w:t>
            </w:r>
          </w:p>
        </w:tc>
        <w:tc>
          <w:tcPr>
            <w:tcW w:w="1280" w:type="dxa"/>
          </w:tcPr>
          <w:p w14:paraId="3FF389C3" w14:textId="77777777" w:rsidR="0046798B" w:rsidRDefault="0046798B">
            <w:pPr>
              <w:pStyle w:val="TableParagraph"/>
            </w:pPr>
          </w:p>
          <w:p w14:paraId="7CF8D414" w14:textId="77777777" w:rsidR="0046798B" w:rsidRDefault="0046798B">
            <w:pPr>
              <w:pStyle w:val="TableParagraph"/>
            </w:pPr>
          </w:p>
          <w:p w14:paraId="70ED0616" w14:textId="77777777" w:rsidR="0046798B" w:rsidRDefault="0046798B">
            <w:pPr>
              <w:pStyle w:val="TableParagraph"/>
            </w:pPr>
          </w:p>
          <w:p w14:paraId="500F7FE3" w14:textId="77777777" w:rsidR="0046798B" w:rsidRDefault="0046798B">
            <w:pPr>
              <w:pStyle w:val="TableParagraph"/>
              <w:spacing w:before="9"/>
              <w:rPr>
                <w:sz w:val="27"/>
              </w:rPr>
            </w:pPr>
          </w:p>
          <w:p w14:paraId="7DAA1814" w14:textId="77777777" w:rsidR="0046798B" w:rsidRDefault="00903B5C">
            <w:pPr>
              <w:pStyle w:val="TableParagraph"/>
              <w:ind w:left="114"/>
              <w:rPr>
                <w:sz w:val="20"/>
              </w:rPr>
            </w:pPr>
            <w:r>
              <w:rPr>
                <w:sz w:val="20"/>
              </w:rPr>
              <w:t>1925–2016</w:t>
            </w:r>
          </w:p>
        </w:tc>
        <w:tc>
          <w:tcPr>
            <w:tcW w:w="3421" w:type="dxa"/>
          </w:tcPr>
          <w:p w14:paraId="016AB7B2" w14:textId="77777777" w:rsidR="0046798B" w:rsidRDefault="00903B5C">
            <w:pPr>
              <w:pStyle w:val="TableParagraph"/>
              <w:spacing w:before="43"/>
              <w:ind w:left="114" w:right="144"/>
              <w:rPr>
                <w:sz w:val="20"/>
              </w:rPr>
            </w:pPr>
            <w:r>
              <w:rPr>
                <w:sz w:val="20"/>
              </w:rPr>
              <w:t>First year of the biennium a year belongs to. Bienniums are thought to start in the year after an election in (often) even-numbered years. For example, 1971-1972 is the biennium in OR after the 1970 election. Then “1971” would appear in both 1971 and 1972 for OR. This includes KY after it switched to even-year elections for the state legislature.</w:t>
            </w:r>
          </w:p>
        </w:tc>
        <w:tc>
          <w:tcPr>
            <w:tcW w:w="6477" w:type="dxa"/>
          </w:tcPr>
          <w:p w14:paraId="7615E806" w14:textId="77777777" w:rsidR="0046798B" w:rsidRDefault="0046798B">
            <w:pPr>
              <w:pStyle w:val="TableParagraph"/>
            </w:pPr>
          </w:p>
          <w:p w14:paraId="41732F82" w14:textId="77777777" w:rsidR="0046798B" w:rsidRDefault="0046798B">
            <w:pPr>
              <w:pStyle w:val="TableParagraph"/>
            </w:pPr>
          </w:p>
          <w:p w14:paraId="7AF260DF" w14:textId="77777777" w:rsidR="0046798B" w:rsidRDefault="0046798B">
            <w:pPr>
              <w:pStyle w:val="TableParagraph"/>
            </w:pPr>
          </w:p>
          <w:p w14:paraId="3F7B3243" w14:textId="77777777" w:rsidR="0046798B" w:rsidRDefault="0046798B">
            <w:pPr>
              <w:pStyle w:val="TableParagraph"/>
              <w:spacing w:before="1"/>
              <w:rPr>
                <w:sz w:val="18"/>
              </w:rPr>
            </w:pPr>
          </w:p>
          <w:p w14:paraId="744419DD" w14:textId="77777777" w:rsidR="0046798B" w:rsidRDefault="00903B5C">
            <w:pPr>
              <w:pStyle w:val="TableParagraph"/>
              <w:spacing w:line="235" w:lineRule="auto"/>
              <w:ind w:left="114" w:right="1261"/>
              <w:rPr>
                <w:sz w:val="20"/>
              </w:rPr>
            </w:pPr>
            <w:r>
              <w:rPr>
                <w:sz w:val="20"/>
              </w:rPr>
              <w:t xml:space="preserve">Klarner, Carl, 2013, “Governors Dataset”, </w:t>
            </w:r>
            <w:hyperlink r:id="rId396">
              <w:r>
                <w:rPr>
                  <w:color w:val="0462C1"/>
                  <w:sz w:val="20"/>
                  <w:u w:val="single" w:color="0462C1"/>
                </w:rPr>
                <w:t>https://doi.org/10.7910/DVN/PQ0Y1N</w:t>
              </w:r>
              <w:r>
                <w:rPr>
                  <w:sz w:val="20"/>
                </w:rPr>
                <w:t>,</w:t>
              </w:r>
            </w:hyperlink>
            <w:r>
              <w:rPr>
                <w:sz w:val="20"/>
              </w:rPr>
              <w:t xml:space="preserve"> Harvard Dataverse, V1</w:t>
            </w:r>
          </w:p>
        </w:tc>
      </w:tr>
      <w:tr w:rsidR="0046798B" w14:paraId="169DE199" w14:textId="77777777">
        <w:trPr>
          <w:trHeight w:val="1925"/>
        </w:trPr>
        <w:tc>
          <w:tcPr>
            <w:tcW w:w="1711" w:type="dxa"/>
          </w:tcPr>
          <w:p w14:paraId="0AF62C17" w14:textId="77777777" w:rsidR="0046798B" w:rsidRDefault="0046798B">
            <w:pPr>
              <w:pStyle w:val="TableParagraph"/>
            </w:pPr>
          </w:p>
          <w:p w14:paraId="210611F3" w14:textId="77777777" w:rsidR="0046798B" w:rsidRDefault="0046798B">
            <w:pPr>
              <w:pStyle w:val="TableParagraph"/>
            </w:pPr>
          </w:p>
          <w:p w14:paraId="00EB5579" w14:textId="77777777" w:rsidR="0046798B" w:rsidRDefault="0046798B">
            <w:pPr>
              <w:pStyle w:val="TableParagraph"/>
              <w:spacing w:before="9"/>
              <w:rPr>
                <w:sz w:val="29"/>
              </w:rPr>
            </w:pPr>
          </w:p>
          <w:p w14:paraId="5F3AAD4A" w14:textId="77777777" w:rsidR="0046798B" w:rsidRDefault="00903B5C">
            <w:pPr>
              <w:pStyle w:val="TableParagraph"/>
              <w:ind w:left="115"/>
              <w:rPr>
                <w:b/>
                <w:sz w:val="20"/>
              </w:rPr>
            </w:pPr>
            <w:r>
              <w:rPr>
                <w:b/>
                <w:sz w:val="20"/>
              </w:rPr>
              <w:t>biennium_b</w:t>
            </w:r>
          </w:p>
        </w:tc>
        <w:tc>
          <w:tcPr>
            <w:tcW w:w="1596" w:type="dxa"/>
          </w:tcPr>
          <w:p w14:paraId="6916E1C6" w14:textId="77777777" w:rsidR="0046798B" w:rsidRDefault="0046798B">
            <w:pPr>
              <w:pStyle w:val="TableParagraph"/>
            </w:pPr>
          </w:p>
          <w:p w14:paraId="2DE051D5" w14:textId="77777777" w:rsidR="0046798B" w:rsidRDefault="0046798B">
            <w:pPr>
              <w:pStyle w:val="TableParagraph"/>
              <w:spacing w:before="9"/>
              <w:rPr>
                <w:sz w:val="31"/>
              </w:rPr>
            </w:pPr>
          </w:p>
          <w:p w14:paraId="11B0173F" w14:textId="77777777" w:rsidR="0046798B" w:rsidRDefault="00903B5C">
            <w:pPr>
              <w:pStyle w:val="TableParagraph"/>
              <w:ind w:left="114" w:right="135"/>
              <w:rPr>
                <w:sz w:val="20"/>
              </w:rPr>
            </w:pPr>
            <w:r>
              <w:rPr>
                <w:sz w:val="20"/>
              </w:rPr>
              <w:t>First year of the biennium (no KY)</w:t>
            </w:r>
          </w:p>
        </w:tc>
        <w:tc>
          <w:tcPr>
            <w:tcW w:w="1280" w:type="dxa"/>
          </w:tcPr>
          <w:p w14:paraId="2B788E93" w14:textId="77777777" w:rsidR="0046798B" w:rsidRDefault="0046798B">
            <w:pPr>
              <w:pStyle w:val="TableParagraph"/>
            </w:pPr>
          </w:p>
          <w:p w14:paraId="4B026A34" w14:textId="77777777" w:rsidR="0046798B" w:rsidRDefault="0046798B">
            <w:pPr>
              <w:pStyle w:val="TableParagraph"/>
            </w:pPr>
          </w:p>
          <w:p w14:paraId="36B12DB3" w14:textId="77777777" w:rsidR="0046798B" w:rsidRDefault="0046798B">
            <w:pPr>
              <w:pStyle w:val="TableParagraph"/>
              <w:spacing w:before="9"/>
              <w:rPr>
                <w:sz w:val="29"/>
              </w:rPr>
            </w:pPr>
          </w:p>
          <w:p w14:paraId="4632F994" w14:textId="77777777" w:rsidR="0046798B" w:rsidRDefault="00903B5C">
            <w:pPr>
              <w:pStyle w:val="TableParagraph"/>
              <w:ind w:left="114"/>
              <w:rPr>
                <w:sz w:val="20"/>
              </w:rPr>
            </w:pPr>
            <w:r>
              <w:rPr>
                <w:sz w:val="20"/>
              </w:rPr>
              <w:t>1925–2016</w:t>
            </w:r>
          </w:p>
        </w:tc>
        <w:tc>
          <w:tcPr>
            <w:tcW w:w="3421" w:type="dxa"/>
          </w:tcPr>
          <w:p w14:paraId="2C9D7C88" w14:textId="77777777" w:rsidR="0046798B" w:rsidRDefault="00903B5C">
            <w:pPr>
              <w:pStyle w:val="TableParagraph"/>
              <w:spacing w:before="43"/>
              <w:ind w:left="114" w:right="144"/>
              <w:rPr>
                <w:sz w:val="20"/>
              </w:rPr>
            </w:pPr>
            <w:r>
              <w:rPr>
                <w:sz w:val="20"/>
              </w:rPr>
              <w:t>First year of the biennium a year belongs to. Bienniums are thought to start in the year after an election in (often) even numbered years. For example, 1971-1972 is the biennium in OR after the 1970 election. Then “1971” would appear in both 1971 and 1972 for OR. This considers KY a</w:t>
            </w:r>
          </w:p>
        </w:tc>
        <w:tc>
          <w:tcPr>
            <w:tcW w:w="6477" w:type="dxa"/>
          </w:tcPr>
          <w:p w14:paraId="30BF381C" w14:textId="77777777" w:rsidR="0046798B" w:rsidRDefault="0046798B">
            <w:pPr>
              <w:pStyle w:val="TableParagraph"/>
            </w:pPr>
          </w:p>
          <w:p w14:paraId="32D867AF" w14:textId="77777777" w:rsidR="0046798B" w:rsidRDefault="0046798B">
            <w:pPr>
              <w:pStyle w:val="TableParagraph"/>
            </w:pPr>
          </w:p>
          <w:p w14:paraId="330E726D" w14:textId="77777777" w:rsidR="0046798B" w:rsidRDefault="0046798B">
            <w:pPr>
              <w:pStyle w:val="TableParagraph"/>
              <w:spacing w:before="9"/>
              <w:rPr>
                <w:sz w:val="19"/>
              </w:rPr>
            </w:pPr>
          </w:p>
          <w:p w14:paraId="4C488EDF" w14:textId="77777777" w:rsidR="0046798B" w:rsidRDefault="00903B5C">
            <w:pPr>
              <w:pStyle w:val="TableParagraph"/>
              <w:ind w:left="114" w:right="1261"/>
              <w:rPr>
                <w:sz w:val="20"/>
              </w:rPr>
            </w:pPr>
            <w:r>
              <w:rPr>
                <w:sz w:val="20"/>
              </w:rPr>
              <w:t xml:space="preserve">Klarner, Carl, 2013, “Governors Dataset”, </w:t>
            </w:r>
            <w:hyperlink r:id="rId397">
              <w:r>
                <w:rPr>
                  <w:color w:val="0462C1"/>
                  <w:sz w:val="20"/>
                  <w:u w:val="single" w:color="0462C1"/>
                </w:rPr>
                <w:t>https://doi.org/10.7910/DVN/PQ0Y1N</w:t>
              </w:r>
              <w:r>
                <w:rPr>
                  <w:sz w:val="20"/>
                </w:rPr>
                <w:t>,</w:t>
              </w:r>
            </w:hyperlink>
            <w:r>
              <w:rPr>
                <w:sz w:val="20"/>
              </w:rPr>
              <w:t xml:space="preserve"> Harvard Dataverse, V1</w:t>
            </w:r>
          </w:p>
        </w:tc>
      </w:tr>
    </w:tbl>
    <w:p w14:paraId="41E4633A" w14:textId="77777777" w:rsidR="0046798B" w:rsidRDefault="0046798B">
      <w:pPr>
        <w:rPr>
          <w:sz w:val="20"/>
        </w:rPr>
        <w:sectPr w:rsidR="0046798B">
          <w:pgSz w:w="15840" w:h="12240" w:orient="landscape"/>
          <w:pgMar w:top="1220" w:right="300" w:bottom="980" w:left="820" w:header="730" w:footer="787" w:gutter="0"/>
          <w:cols w:space="720"/>
        </w:sectPr>
      </w:pPr>
    </w:p>
    <w:p w14:paraId="71BF8E32"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0"/>
        <w:gridCol w:w="3421"/>
        <w:gridCol w:w="6477"/>
      </w:tblGrid>
      <w:tr w:rsidR="0046798B" w14:paraId="71ADD011" w14:textId="77777777">
        <w:trPr>
          <w:trHeight w:val="775"/>
        </w:trPr>
        <w:tc>
          <w:tcPr>
            <w:tcW w:w="1711" w:type="dxa"/>
          </w:tcPr>
          <w:p w14:paraId="5CBF041B" w14:textId="77777777" w:rsidR="0046798B" w:rsidRDefault="0046798B">
            <w:pPr>
              <w:pStyle w:val="TableParagraph"/>
              <w:rPr>
                <w:sz w:val="20"/>
              </w:rPr>
            </w:pPr>
          </w:p>
        </w:tc>
        <w:tc>
          <w:tcPr>
            <w:tcW w:w="1596" w:type="dxa"/>
          </w:tcPr>
          <w:p w14:paraId="270D6809" w14:textId="77777777" w:rsidR="0046798B" w:rsidRDefault="0046798B">
            <w:pPr>
              <w:pStyle w:val="TableParagraph"/>
              <w:rPr>
                <w:sz w:val="20"/>
              </w:rPr>
            </w:pPr>
          </w:p>
        </w:tc>
        <w:tc>
          <w:tcPr>
            <w:tcW w:w="1280" w:type="dxa"/>
          </w:tcPr>
          <w:p w14:paraId="485CEE25" w14:textId="77777777" w:rsidR="0046798B" w:rsidRDefault="0046798B">
            <w:pPr>
              <w:pStyle w:val="TableParagraph"/>
              <w:rPr>
                <w:sz w:val="20"/>
              </w:rPr>
            </w:pPr>
          </w:p>
        </w:tc>
        <w:tc>
          <w:tcPr>
            <w:tcW w:w="3421" w:type="dxa"/>
          </w:tcPr>
          <w:p w14:paraId="3028E938" w14:textId="77777777" w:rsidR="0046798B" w:rsidRDefault="00903B5C">
            <w:pPr>
              <w:pStyle w:val="TableParagraph"/>
              <w:spacing w:before="43"/>
              <w:ind w:left="114" w:right="586"/>
              <w:rPr>
                <w:sz w:val="20"/>
              </w:rPr>
            </w:pPr>
            <w:r>
              <w:rPr>
                <w:sz w:val="20"/>
              </w:rPr>
              <w:t>“normal state” after it switched to even-year elections for the state legislature.</w:t>
            </w:r>
          </w:p>
        </w:tc>
        <w:tc>
          <w:tcPr>
            <w:tcW w:w="6477" w:type="dxa"/>
          </w:tcPr>
          <w:p w14:paraId="2C87D2C6" w14:textId="77777777" w:rsidR="0046798B" w:rsidRDefault="0046798B">
            <w:pPr>
              <w:pStyle w:val="TableParagraph"/>
              <w:rPr>
                <w:sz w:val="20"/>
              </w:rPr>
            </w:pPr>
          </w:p>
        </w:tc>
      </w:tr>
      <w:tr w:rsidR="0046798B" w14:paraId="7537D430" w14:textId="77777777">
        <w:trPr>
          <w:trHeight w:val="1465"/>
        </w:trPr>
        <w:tc>
          <w:tcPr>
            <w:tcW w:w="1711" w:type="dxa"/>
          </w:tcPr>
          <w:p w14:paraId="341409B9" w14:textId="77777777" w:rsidR="0046798B" w:rsidRDefault="0046798B">
            <w:pPr>
              <w:pStyle w:val="TableParagraph"/>
            </w:pPr>
          </w:p>
          <w:p w14:paraId="7FC5C742" w14:textId="77777777" w:rsidR="0046798B" w:rsidRDefault="0046798B">
            <w:pPr>
              <w:pStyle w:val="TableParagraph"/>
              <w:spacing w:before="8"/>
              <w:rPr>
                <w:sz w:val="21"/>
              </w:rPr>
            </w:pPr>
          </w:p>
          <w:p w14:paraId="617A3300" w14:textId="77777777" w:rsidR="0046798B" w:rsidRDefault="00903B5C">
            <w:pPr>
              <w:pStyle w:val="TableParagraph"/>
              <w:spacing w:before="1"/>
              <w:ind w:left="115" w:right="99"/>
              <w:rPr>
                <w:b/>
                <w:sz w:val="20"/>
              </w:rPr>
            </w:pPr>
            <w:r>
              <w:rPr>
                <w:b/>
                <w:sz w:val="20"/>
              </w:rPr>
              <w:t>biennium_first_y ear</w:t>
            </w:r>
          </w:p>
        </w:tc>
        <w:tc>
          <w:tcPr>
            <w:tcW w:w="1596" w:type="dxa"/>
          </w:tcPr>
          <w:p w14:paraId="280362F0" w14:textId="77777777" w:rsidR="0046798B" w:rsidRDefault="0046798B">
            <w:pPr>
              <w:pStyle w:val="TableParagraph"/>
            </w:pPr>
          </w:p>
          <w:p w14:paraId="24F76628" w14:textId="77777777" w:rsidR="0046798B" w:rsidRDefault="0046798B">
            <w:pPr>
              <w:pStyle w:val="TableParagraph"/>
              <w:spacing w:before="8"/>
              <w:rPr>
                <w:sz w:val="21"/>
              </w:rPr>
            </w:pPr>
          </w:p>
          <w:p w14:paraId="4216E59F" w14:textId="77777777" w:rsidR="0046798B" w:rsidRDefault="00903B5C">
            <w:pPr>
              <w:pStyle w:val="TableParagraph"/>
              <w:spacing w:before="1"/>
              <w:ind w:left="114" w:right="290"/>
              <w:rPr>
                <w:sz w:val="20"/>
              </w:rPr>
            </w:pPr>
            <w:r>
              <w:rPr>
                <w:sz w:val="20"/>
              </w:rPr>
              <w:t>Biennium first year dummy</w:t>
            </w:r>
          </w:p>
        </w:tc>
        <w:tc>
          <w:tcPr>
            <w:tcW w:w="1280" w:type="dxa"/>
          </w:tcPr>
          <w:p w14:paraId="0373DD7B" w14:textId="77777777" w:rsidR="0046798B" w:rsidRDefault="0046798B">
            <w:pPr>
              <w:pStyle w:val="TableParagraph"/>
            </w:pPr>
          </w:p>
          <w:p w14:paraId="0F046D8F" w14:textId="77777777" w:rsidR="0046798B" w:rsidRDefault="0046798B">
            <w:pPr>
              <w:pStyle w:val="TableParagraph"/>
              <w:spacing w:before="8"/>
              <w:rPr>
                <w:sz w:val="31"/>
              </w:rPr>
            </w:pPr>
          </w:p>
          <w:p w14:paraId="37EBD16E" w14:textId="77777777" w:rsidR="0046798B" w:rsidRDefault="00903B5C">
            <w:pPr>
              <w:pStyle w:val="TableParagraph"/>
              <w:spacing w:before="1"/>
              <w:ind w:left="114"/>
              <w:rPr>
                <w:sz w:val="20"/>
              </w:rPr>
            </w:pPr>
            <w:r>
              <w:rPr>
                <w:sz w:val="20"/>
              </w:rPr>
              <w:t>1925–2016</w:t>
            </w:r>
          </w:p>
        </w:tc>
        <w:tc>
          <w:tcPr>
            <w:tcW w:w="3421" w:type="dxa"/>
          </w:tcPr>
          <w:p w14:paraId="6CCE3190" w14:textId="77777777" w:rsidR="0046798B" w:rsidRDefault="00903B5C">
            <w:pPr>
              <w:pStyle w:val="TableParagraph"/>
              <w:spacing w:before="43"/>
              <w:ind w:left="114" w:right="145"/>
              <w:rPr>
                <w:sz w:val="20"/>
              </w:rPr>
            </w:pPr>
            <w:r>
              <w:rPr>
                <w:sz w:val="20"/>
              </w:rPr>
              <w:t>Dummy variable: first year of a biennium. Note: these bienniums are set up in a way that defines the year after the election as the first year of the biennium. This is based off of biennium, not biennium_b.</w:t>
            </w:r>
          </w:p>
        </w:tc>
        <w:tc>
          <w:tcPr>
            <w:tcW w:w="6477" w:type="dxa"/>
          </w:tcPr>
          <w:p w14:paraId="3D5061E4" w14:textId="77777777" w:rsidR="0046798B" w:rsidRDefault="0046798B">
            <w:pPr>
              <w:pStyle w:val="TableParagraph"/>
            </w:pPr>
          </w:p>
          <w:p w14:paraId="4FC835FA" w14:textId="77777777" w:rsidR="0046798B" w:rsidRDefault="0046798B">
            <w:pPr>
              <w:pStyle w:val="TableParagraph"/>
              <w:spacing w:before="8"/>
              <w:rPr>
                <w:sz w:val="21"/>
              </w:rPr>
            </w:pPr>
          </w:p>
          <w:p w14:paraId="4ECBA2F8" w14:textId="77777777" w:rsidR="0046798B" w:rsidRDefault="00903B5C">
            <w:pPr>
              <w:pStyle w:val="TableParagraph"/>
              <w:spacing w:before="1"/>
              <w:ind w:left="114" w:right="1261"/>
              <w:rPr>
                <w:sz w:val="20"/>
              </w:rPr>
            </w:pPr>
            <w:r>
              <w:rPr>
                <w:sz w:val="20"/>
              </w:rPr>
              <w:t xml:space="preserve">Klarner, Carl, 2013, “Governors Dataset”, </w:t>
            </w:r>
            <w:hyperlink r:id="rId398">
              <w:r>
                <w:rPr>
                  <w:color w:val="0462C1"/>
                  <w:sz w:val="20"/>
                  <w:u w:val="single" w:color="0462C1"/>
                </w:rPr>
                <w:t>https://doi.org/10.7910/DVN/PQ0Y1N</w:t>
              </w:r>
              <w:r>
                <w:rPr>
                  <w:sz w:val="20"/>
                </w:rPr>
                <w:t>,</w:t>
              </w:r>
            </w:hyperlink>
            <w:r>
              <w:rPr>
                <w:sz w:val="20"/>
              </w:rPr>
              <w:t xml:space="preserve"> Harvard Dataverse, V1</w:t>
            </w:r>
          </w:p>
        </w:tc>
      </w:tr>
      <w:tr w:rsidR="0046798B" w14:paraId="6F290A8E" w14:textId="77777777">
        <w:trPr>
          <w:trHeight w:val="1470"/>
        </w:trPr>
        <w:tc>
          <w:tcPr>
            <w:tcW w:w="1711" w:type="dxa"/>
          </w:tcPr>
          <w:p w14:paraId="79D43C4E" w14:textId="77777777" w:rsidR="0046798B" w:rsidRDefault="0046798B">
            <w:pPr>
              <w:pStyle w:val="TableParagraph"/>
            </w:pPr>
          </w:p>
          <w:p w14:paraId="5E1A7ABD" w14:textId="77777777" w:rsidR="0046798B" w:rsidRDefault="0046798B">
            <w:pPr>
              <w:pStyle w:val="TableParagraph"/>
              <w:spacing w:before="9"/>
              <w:rPr>
                <w:sz w:val="21"/>
              </w:rPr>
            </w:pPr>
          </w:p>
          <w:p w14:paraId="38E38EFC" w14:textId="77777777" w:rsidR="0046798B" w:rsidRDefault="00903B5C">
            <w:pPr>
              <w:pStyle w:val="TableParagraph"/>
              <w:ind w:left="115" w:right="187"/>
              <w:rPr>
                <w:b/>
                <w:sz w:val="20"/>
              </w:rPr>
            </w:pPr>
            <w:r>
              <w:rPr>
                <w:b/>
                <w:sz w:val="20"/>
              </w:rPr>
              <w:t>biennium_secon d_year</w:t>
            </w:r>
          </w:p>
        </w:tc>
        <w:tc>
          <w:tcPr>
            <w:tcW w:w="1596" w:type="dxa"/>
          </w:tcPr>
          <w:p w14:paraId="0CF129B9" w14:textId="77777777" w:rsidR="0046798B" w:rsidRDefault="0046798B">
            <w:pPr>
              <w:pStyle w:val="TableParagraph"/>
            </w:pPr>
          </w:p>
          <w:p w14:paraId="1ADA5F53" w14:textId="77777777" w:rsidR="0046798B" w:rsidRDefault="00903B5C">
            <w:pPr>
              <w:pStyle w:val="TableParagraph"/>
              <w:spacing w:before="135"/>
              <w:ind w:left="114" w:right="502"/>
              <w:rPr>
                <w:sz w:val="20"/>
              </w:rPr>
            </w:pPr>
            <w:r>
              <w:rPr>
                <w:sz w:val="20"/>
              </w:rPr>
              <w:t>Biennium second year dummy</w:t>
            </w:r>
          </w:p>
        </w:tc>
        <w:tc>
          <w:tcPr>
            <w:tcW w:w="1280" w:type="dxa"/>
          </w:tcPr>
          <w:p w14:paraId="4687A0B5" w14:textId="77777777" w:rsidR="0046798B" w:rsidRDefault="0046798B">
            <w:pPr>
              <w:pStyle w:val="TableParagraph"/>
            </w:pPr>
          </w:p>
          <w:p w14:paraId="5C2D2A60" w14:textId="77777777" w:rsidR="0046798B" w:rsidRDefault="0046798B">
            <w:pPr>
              <w:pStyle w:val="TableParagraph"/>
              <w:spacing w:before="9"/>
              <w:rPr>
                <w:sz w:val="31"/>
              </w:rPr>
            </w:pPr>
          </w:p>
          <w:p w14:paraId="4BBF90EC" w14:textId="77777777" w:rsidR="0046798B" w:rsidRDefault="00903B5C">
            <w:pPr>
              <w:pStyle w:val="TableParagraph"/>
              <w:ind w:left="114"/>
              <w:rPr>
                <w:sz w:val="20"/>
              </w:rPr>
            </w:pPr>
            <w:r>
              <w:rPr>
                <w:sz w:val="20"/>
              </w:rPr>
              <w:t>1925–2016</w:t>
            </w:r>
          </w:p>
        </w:tc>
        <w:tc>
          <w:tcPr>
            <w:tcW w:w="3421" w:type="dxa"/>
          </w:tcPr>
          <w:p w14:paraId="0F2784BB" w14:textId="77777777" w:rsidR="0046798B" w:rsidRDefault="00903B5C">
            <w:pPr>
              <w:pStyle w:val="TableParagraph"/>
              <w:spacing w:before="43"/>
              <w:ind w:left="114" w:right="145"/>
              <w:rPr>
                <w:sz w:val="20"/>
              </w:rPr>
            </w:pPr>
            <w:r>
              <w:rPr>
                <w:sz w:val="20"/>
              </w:rPr>
              <w:t>Dummy variable: second year of a biennium. Note: these bienniums are set up in a way that defines the year after the election as the first year of the biennium. This is based off of biennium, not biennium_b.</w:t>
            </w:r>
          </w:p>
        </w:tc>
        <w:tc>
          <w:tcPr>
            <w:tcW w:w="6477" w:type="dxa"/>
          </w:tcPr>
          <w:p w14:paraId="7A1BA8FC" w14:textId="77777777" w:rsidR="0046798B" w:rsidRDefault="0046798B">
            <w:pPr>
              <w:pStyle w:val="TableParagraph"/>
            </w:pPr>
          </w:p>
          <w:p w14:paraId="122ECE73" w14:textId="77777777" w:rsidR="0046798B" w:rsidRDefault="0046798B">
            <w:pPr>
              <w:pStyle w:val="TableParagraph"/>
              <w:spacing w:before="9"/>
              <w:rPr>
                <w:sz w:val="21"/>
              </w:rPr>
            </w:pPr>
          </w:p>
          <w:p w14:paraId="28B2D1D8" w14:textId="77777777" w:rsidR="0046798B" w:rsidRDefault="00903B5C">
            <w:pPr>
              <w:pStyle w:val="TableParagraph"/>
              <w:ind w:left="114" w:right="1261"/>
              <w:rPr>
                <w:sz w:val="20"/>
              </w:rPr>
            </w:pPr>
            <w:r>
              <w:rPr>
                <w:sz w:val="20"/>
              </w:rPr>
              <w:t xml:space="preserve">Klarner, Carl, 2013, “Governors Dataset”, </w:t>
            </w:r>
            <w:hyperlink r:id="rId399">
              <w:r>
                <w:rPr>
                  <w:color w:val="0462C1"/>
                  <w:sz w:val="20"/>
                  <w:u w:val="single" w:color="0462C1"/>
                </w:rPr>
                <w:t>https://doi.org/10.7910/DVN/PQ0Y1N</w:t>
              </w:r>
              <w:r>
                <w:rPr>
                  <w:sz w:val="20"/>
                </w:rPr>
                <w:t>,</w:t>
              </w:r>
            </w:hyperlink>
            <w:r>
              <w:rPr>
                <w:sz w:val="20"/>
              </w:rPr>
              <w:t xml:space="preserve"> Harvard Dataverse, V1</w:t>
            </w:r>
          </w:p>
        </w:tc>
      </w:tr>
      <w:tr w:rsidR="0046798B" w14:paraId="2DE3D431" w14:textId="77777777">
        <w:trPr>
          <w:trHeight w:val="545"/>
        </w:trPr>
        <w:tc>
          <w:tcPr>
            <w:tcW w:w="1711" w:type="dxa"/>
          </w:tcPr>
          <w:p w14:paraId="1486E78B" w14:textId="77777777" w:rsidR="0046798B" w:rsidRDefault="00903B5C">
            <w:pPr>
              <w:pStyle w:val="TableParagraph"/>
              <w:spacing w:before="153"/>
              <w:ind w:left="115"/>
              <w:rPr>
                <w:b/>
                <w:sz w:val="20"/>
              </w:rPr>
            </w:pPr>
            <w:r>
              <w:rPr>
                <w:b/>
                <w:sz w:val="20"/>
              </w:rPr>
              <w:t>govname1</w:t>
            </w:r>
          </w:p>
        </w:tc>
        <w:tc>
          <w:tcPr>
            <w:tcW w:w="1596" w:type="dxa"/>
          </w:tcPr>
          <w:p w14:paraId="166D8003" w14:textId="77777777" w:rsidR="0046798B" w:rsidRDefault="00903B5C">
            <w:pPr>
              <w:pStyle w:val="TableParagraph"/>
              <w:spacing w:before="38"/>
              <w:ind w:left="114" w:right="149"/>
              <w:rPr>
                <w:sz w:val="20"/>
              </w:rPr>
            </w:pPr>
            <w:r>
              <w:rPr>
                <w:sz w:val="20"/>
              </w:rPr>
              <w:t>Governor name 1</w:t>
            </w:r>
          </w:p>
        </w:tc>
        <w:tc>
          <w:tcPr>
            <w:tcW w:w="1280" w:type="dxa"/>
          </w:tcPr>
          <w:p w14:paraId="01D4B5A1" w14:textId="77777777" w:rsidR="0046798B" w:rsidRDefault="00903B5C">
            <w:pPr>
              <w:pStyle w:val="TableParagraph"/>
              <w:spacing w:before="153"/>
              <w:ind w:left="114"/>
              <w:rPr>
                <w:sz w:val="20"/>
              </w:rPr>
            </w:pPr>
            <w:r>
              <w:rPr>
                <w:sz w:val="20"/>
              </w:rPr>
              <w:t>1925–2016</w:t>
            </w:r>
          </w:p>
        </w:tc>
        <w:tc>
          <w:tcPr>
            <w:tcW w:w="3421" w:type="dxa"/>
          </w:tcPr>
          <w:p w14:paraId="5848A05A" w14:textId="77777777" w:rsidR="0046798B" w:rsidRDefault="00903B5C">
            <w:pPr>
              <w:pStyle w:val="TableParagraph"/>
              <w:spacing w:before="153"/>
              <w:ind w:left="114"/>
              <w:rPr>
                <w:sz w:val="20"/>
              </w:rPr>
            </w:pPr>
            <w:r>
              <w:rPr>
                <w:sz w:val="20"/>
              </w:rPr>
              <w:t>Governor’s name from first source</w:t>
            </w:r>
          </w:p>
        </w:tc>
        <w:tc>
          <w:tcPr>
            <w:tcW w:w="6477" w:type="dxa"/>
          </w:tcPr>
          <w:p w14:paraId="753C85BF" w14:textId="77777777" w:rsidR="0046798B" w:rsidRDefault="00903B5C">
            <w:pPr>
              <w:pStyle w:val="TableParagraph"/>
              <w:spacing w:before="38"/>
              <w:ind w:left="114" w:right="1261"/>
              <w:rPr>
                <w:sz w:val="20"/>
              </w:rPr>
            </w:pPr>
            <w:r>
              <w:rPr>
                <w:sz w:val="20"/>
              </w:rPr>
              <w:t xml:space="preserve">Klarner, Carl, 2013, “Governors Dataset”, </w:t>
            </w:r>
            <w:hyperlink r:id="rId400">
              <w:r>
                <w:rPr>
                  <w:color w:val="0462C1"/>
                  <w:sz w:val="20"/>
                  <w:u w:val="single" w:color="0462C1"/>
                </w:rPr>
                <w:t>https://doi.org/10.7910/DVN/PQ0Y1N</w:t>
              </w:r>
              <w:r>
                <w:rPr>
                  <w:sz w:val="20"/>
                </w:rPr>
                <w:t>,</w:t>
              </w:r>
            </w:hyperlink>
            <w:r>
              <w:rPr>
                <w:sz w:val="20"/>
              </w:rPr>
              <w:t xml:space="preserve"> Harvard Dataverse, V1</w:t>
            </w:r>
          </w:p>
        </w:tc>
      </w:tr>
      <w:tr w:rsidR="0046798B" w14:paraId="796105D3" w14:textId="77777777">
        <w:trPr>
          <w:trHeight w:val="775"/>
        </w:trPr>
        <w:tc>
          <w:tcPr>
            <w:tcW w:w="1711" w:type="dxa"/>
          </w:tcPr>
          <w:p w14:paraId="1850338B" w14:textId="77777777" w:rsidR="0046798B" w:rsidRDefault="0046798B">
            <w:pPr>
              <w:pStyle w:val="TableParagraph"/>
              <w:spacing w:before="3"/>
              <w:rPr>
                <w:sz w:val="23"/>
              </w:rPr>
            </w:pPr>
          </w:p>
          <w:p w14:paraId="57D629DF" w14:textId="77777777" w:rsidR="0046798B" w:rsidRDefault="00903B5C">
            <w:pPr>
              <w:pStyle w:val="TableParagraph"/>
              <w:spacing w:before="1"/>
              <w:ind w:left="115"/>
              <w:rPr>
                <w:b/>
                <w:sz w:val="20"/>
              </w:rPr>
            </w:pPr>
            <w:r>
              <w:rPr>
                <w:b/>
                <w:sz w:val="20"/>
              </w:rPr>
              <w:t>govname1_sour</w:t>
            </w:r>
          </w:p>
        </w:tc>
        <w:tc>
          <w:tcPr>
            <w:tcW w:w="1596" w:type="dxa"/>
          </w:tcPr>
          <w:p w14:paraId="4E1129B3" w14:textId="77777777" w:rsidR="0046798B" w:rsidRDefault="00903B5C">
            <w:pPr>
              <w:pStyle w:val="TableParagraph"/>
              <w:spacing w:before="153"/>
              <w:ind w:left="114"/>
              <w:rPr>
                <w:sz w:val="20"/>
              </w:rPr>
            </w:pPr>
            <w:r>
              <w:rPr>
                <w:sz w:val="20"/>
              </w:rPr>
              <w:t>Governor name source 1</w:t>
            </w:r>
          </w:p>
        </w:tc>
        <w:tc>
          <w:tcPr>
            <w:tcW w:w="1280" w:type="dxa"/>
          </w:tcPr>
          <w:p w14:paraId="0379A221" w14:textId="77777777" w:rsidR="0046798B" w:rsidRDefault="0046798B">
            <w:pPr>
              <w:pStyle w:val="TableParagraph"/>
              <w:spacing w:before="3"/>
              <w:rPr>
                <w:sz w:val="23"/>
              </w:rPr>
            </w:pPr>
          </w:p>
          <w:p w14:paraId="6C4D8741" w14:textId="77777777" w:rsidR="0046798B" w:rsidRDefault="00903B5C">
            <w:pPr>
              <w:pStyle w:val="TableParagraph"/>
              <w:spacing w:before="1"/>
              <w:ind w:left="114"/>
              <w:rPr>
                <w:sz w:val="20"/>
              </w:rPr>
            </w:pPr>
            <w:r>
              <w:rPr>
                <w:sz w:val="20"/>
              </w:rPr>
              <w:t>1925–2016</w:t>
            </w:r>
          </w:p>
        </w:tc>
        <w:tc>
          <w:tcPr>
            <w:tcW w:w="3421" w:type="dxa"/>
          </w:tcPr>
          <w:p w14:paraId="754ABC73" w14:textId="77777777" w:rsidR="0046798B" w:rsidRDefault="00903B5C">
            <w:pPr>
              <w:pStyle w:val="TableParagraph"/>
              <w:spacing w:before="38"/>
              <w:ind w:left="114" w:right="227"/>
              <w:rPr>
                <w:sz w:val="20"/>
              </w:rPr>
            </w:pPr>
            <w:r>
              <w:rPr>
                <w:sz w:val="20"/>
              </w:rPr>
              <w:t>Source of information in govname1, and other notes about when governors assumed office.</w:t>
            </w:r>
          </w:p>
        </w:tc>
        <w:tc>
          <w:tcPr>
            <w:tcW w:w="6477" w:type="dxa"/>
          </w:tcPr>
          <w:p w14:paraId="4F2C8116" w14:textId="77777777" w:rsidR="0046798B" w:rsidRDefault="00903B5C">
            <w:pPr>
              <w:pStyle w:val="TableParagraph"/>
              <w:spacing w:before="153"/>
              <w:ind w:left="114" w:right="1261"/>
              <w:rPr>
                <w:sz w:val="20"/>
              </w:rPr>
            </w:pPr>
            <w:r>
              <w:rPr>
                <w:sz w:val="20"/>
              </w:rPr>
              <w:t xml:space="preserve">Klarner, Carl, 2013, “Governors Dataset”, </w:t>
            </w:r>
            <w:hyperlink r:id="rId401">
              <w:r>
                <w:rPr>
                  <w:color w:val="0462C1"/>
                  <w:sz w:val="20"/>
                  <w:u w:val="single" w:color="0462C1"/>
                </w:rPr>
                <w:t>https://doi.org/10.7910/DVN/PQ0Y1N</w:t>
              </w:r>
              <w:r>
                <w:rPr>
                  <w:sz w:val="20"/>
                </w:rPr>
                <w:t>,</w:t>
              </w:r>
            </w:hyperlink>
            <w:r>
              <w:rPr>
                <w:sz w:val="20"/>
              </w:rPr>
              <w:t xml:space="preserve"> Harvard Dataverse, V1</w:t>
            </w:r>
          </w:p>
        </w:tc>
      </w:tr>
      <w:tr w:rsidR="0046798B" w14:paraId="55C213F6" w14:textId="77777777">
        <w:trPr>
          <w:trHeight w:val="545"/>
        </w:trPr>
        <w:tc>
          <w:tcPr>
            <w:tcW w:w="1711" w:type="dxa"/>
          </w:tcPr>
          <w:p w14:paraId="1A2971E1" w14:textId="77777777" w:rsidR="0046798B" w:rsidRDefault="00903B5C">
            <w:pPr>
              <w:pStyle w:val="TableParagraph"/>
              <w:spacing w:before="159"/>
              <w:ind w:left="115"/>
              <w:rPr>
                <w:b/>
                <w:sz w:val="20"/>
              </w:rPr>
            </w:pPr>
            <w:r>
              <w:rPr>
                <w:b/>
                <w:sz w:val="20"/>
              </w:rPr>
              <w:t>govname1_date</w:t>
            </w:r>
          </w:p>
        </w:tc>
        <w:tc>
          <w:tcPr>
            <w:tcW w:w="1596" w:type="dxa"/>
          </w:tcPr>
          <w:p w14:paraId="430292E3" w14:textId="77777777" w:rsidR="0046798B" w:rsidRDefault="00903B5C">
            <w:pPr>
              <w:pStyle w:val="TableParagraph"/>
              <w:spacing w:before="44"/>
              <w:ind w:left="114"/>
              <w:rPr>
                <w:sz w:val="20"/>
              </w:rPr>
            </w:pPr>
            <w:r>
              <w:rPr>
                <w:sz w:val="20"/>
              </w:rPr>
              <w:t>Governor name source 1 date</w:t>
            </w:r>
          </w:p>
        </w:tc>
        <w:tc>
          <w:tcPr>
            <w:tcW w:w="1280" w:type="dxa"/>
          </w:tcPr>
          <w:p w14:paraId="54C9F99D" w14:textId="77777777" w:rsidR="0046798B" w:rsidRDefault="00903B5C">
            <w:pPr>
              <w:pStyle w:val="TableParagraph"/>
              <w:spacing w:before="159"/>
              <w:ind w:left="114"/>
              <w:rPr>
                <w:sz w:val="20"/>
              </w:rPr>
            </w:pPr>
            <w:r>
              <w:rPr>
                <w:sz w:val="20"/>
              </w:rPr>
              <w:t>1925–2016</w:t>
            </w:r>
          </w:p>
        </w:tc>
        <w:tc>
          <w:tcPr>
            <w:tcW w:w="3421" w:type="dxa"/>
          </w:tcPr>
          <w:p w14:paraId="6379CC22" w14:textId="77777777" w:rsidR="0046798B" w:rsidRDefault="00903B5C">
            <w:pPr>
              <w:pStyle w:val="TableParagraph"/>
              <w:spacing w:before="159"/>
              <w:ind w:left="114"/>
              <w:rPr>
                <w:sz w:val="20"/>
              </w:rPr>
            </w:pPr>
            <w:r>
              <w:rPr>
                <w:sz w:val="20"/>
              </w:rPr>
              <w:t>Date of source for govname1.</w:t>
            </w:r>
          </w:p>
        </w:tc>
        <w:tc>
          <w:tcPr>
            <w:tcW w:w="6477" w:type="dxa"/>
          </w:tcPr>
          <w:p w14:paraId="529914DC" w14:textId="77777777" w:rsidR="0046798B" w:rsidRDefault="00903B5C">
            <w:pPr>
              <w:pStyle w:val="TableParagraph"/>
              <w:spacing w:before="44"/>
              <w:ind w:left="114" w:right="1261"/>
              <w:rPr>
                <w:sz w:val="20"/>
              </w:rPr>
            </w:pPr>
            <w:r>
              <w:rPr>
                <w:sz w:val="20"/>
              </w:rPr>
              <w:t xml:space="preserve">Klarner, Carl, 2013, “Governors Dataset”, </w:t>
            </w:r>
            <w:hyperlink r:id="rId402">
              <w:r>
                <w:rPr>
                  <w:color w:val="0462C1"/>
                  <w:sz w:val="20"/>
                  <w:u w:val="single" w:color="0462C1"/>
                </w:rPr>
                <w:t>https://doi.org/10.7910/DVN/PQ0Y1N</w:t>
              </w:r>
              <w:r>
                <w:rPr>
                  <w:sz w:val="20"/>
                </w:rPr>
                <w:t>,</w:t>
              </w:r>
            </w:hyperlink>
            <w:r>
              <w:rPr>
                <w:sz w:val="20"/>
              </w:rPr>
              <w:t xml:space="preserve"> Harvard Dataverse, V1</w:t>
            </w:r>
          </w:p>
        </w:tc>
      </w:tr>
      <w:tr w:rsidR="0046798B" w14:paraId="65D294BB" w14:textId="77777777">
        <w:trPr>
          <w:trHeight w:val="545"/>
        </w:trPr>
        <w:tc>
          <w:tcPr>
            <w:tcW w:w="1711" w:type="dxa"/>
          </w:tcPr>
          <w:p w14:paraId="1184AE9E" w14:textId="77777777" w:rsidR="0046798B" w:rsidRDefault="00903B5C">
            <w:pPr>
              <w:pStyle w:val="TableParagraph"/>
              <w:spacing w:before="158"/>
              <w:ind w:left="115"/>
              <w:rPr>
                <w:b/>
                <w:sz w:val="20"/>
              </w:rPr>
            </w:pPr>
            <w:r>
              <w:rPr>
                <w:b/>
                <w:sz w:val="20"/>
              </w:rPr>
              <w:t>govname2</w:t>
            </w:r>
          </w:p>
        </w:tc>
        <w:tc>
          <w:tcPr>
            <w:tcW w:w="1596" w:type="dxa"/>
          </w:tcPr>
          <w:p w14:paraId="2A2BAC9B" w14:textId="77777777" w:rsidR="0046798B" w:rsidRDefault="00903B5C">
            <w:pPr>
              <w:pStyle w:val="TableParagraph"/>
              <w:spacing w:before="43"/>
              <w:ind w:left="114" w:right="149"/>
              <w:rPr>
                <w:sz w:val="20"/>
              </w:rPr>
            </w:pPr>
            <w:r>
              <w:rPr>
                <w:sz w:val="20"/>
              </w:rPr>
              <w:t>Governor name 2</w:t>
            </w:r>
          </w:p>
        </w:tc>
        <w:tc>
          <w:tcPr>
            <w:tcW w:w="1280" w:type="dxa"/>
          </w:tcPr>
          <w:p w14:paraId="68897B8A" w14:textId="77777777" w:rsidR="0046798B" w:rsidRDefault="00903B5C">
            <w:pPr>
              <w:pStyle w:val="TableParagraph"/>
              <w:spacing w:before="158"/>
              <w:ind w:left="114"/>
              <w:rPr>
                <w:sz w:val="20"/>
              </w:rPr>
            </w:pPr>
            <w:r>
              <w:rPr>
                <w:sz w:val="20"/>
              </w:rPr>
              <w:t>1925–2016</w:t>
            </w:r>
          </w:p>
        </w:tc>
        <w:tc>
          <w:tcPr>
            <w:tcW w:w="3421" w:type="dxa"/>
          </w:tcPr>
          <w:p w14:paraId="7D55570A" w14:textId="77777777" w:rsidR="0046798B" w:rsidRDefault="00903B5C">
            <w:pPr>
              <w:pStyle w:val="TableParagraph"/>
              <w:spacing w:before="158"/>
              <w:ind w:left="114"/>
              <w:rPr>
                <w:sz w:val="20"/>
              </w:rPr>
            </w:pPr>
            <w:r>
              <w:rPr>
                <w:sz w:val="20"/>
              </w:rPr>
              <w:t>Governor’s name from first source</w:t>
            </w:r>
          </w:p>
        </w:tc>
        <w:tc>
          <w:tcPr>
            <w:tcW w:w="6477" w:type="dxa"/>
          </w:tcPr>
          <w:p w14:paraId="4DF908C7" w14:textId="77777777" w:rsidR="0046798B" w:rsidRDefault="00903B5C">
            <w:pPr>
              <w:pStyle w:val="TableParagraph"/>
              <w:spacing w:before="43"/>
              <w:ind w:left="114" w:right="1261"/>
              <w:rPr>
                <w:sz w:val="20"/>
              </w:rPr>
            </w:pPr>
            <w:r>
              <w:rPr>
                <w:sz w:val="20"/>
              </w:rPr>
              <w:t xml:space="preserve">Klarner, Carl, 2013, “Governors Dataset”, </w:t>
            </w:r>
            <w:hyperlink r:id="rId403">
              <w:r>
                <w:rPr>
                  <w:color w:val="0462C1"/>
                  <w:sz w:val="20"/>
                  <w:u w:val="single" w:color="0462C1"/>
                </w:rPr>
                <w:t>https://doi.org/10.7910/DVN/PQ0Y1N</w:t>
              </w:r>
              <w:r>
                <w:rPr>
                  <w:sz w:val="20"/>
                </w:rPr>
                <w:t>,</w:t>
              </w:r>
            </w:hyperlink>
            <w:r>
              <w:rPr>
                <w:sz w:val="20"/>
              </w:rPr>
              <w:t xml:space="preserve"> Harvard Dataverse, V1</w:t>
            </w:r>
          </w:p>
        </w:tc>
      </w:tr>
      <w:tr w:rsidR="0046798B" w14:paraId="61BC9FF8" w14:textId="77777777">
        <w:trPr>
          <w:trHeight w:val="775"/>
        </w:trPr>
        <w:tc>
          <w:tcPr>
            <w:tcW w:w="1711" w:type="dxa"/>
          </w:tcPr>
          <w:p w14:paraId="5AA0ACFD" w14:textId="77777777" w:rsidR="0046798B" w:rsidRDefault="0046798B">
            <w:pPr>
              <w:pStyle w:val="TableParagraph"/>
              <w:spacing w:before="9"/>
              <w:rPr>
                <w:sz w:val="23"/>
              </w:rPr>
            </w:pPr>
          </w:p>
          <w:p w14:paraId="611944B1" w14:textId="77777777" w:rsidR="0046798B" w:rsidRDefault="00903B5C">
            <w:pPr>
              <w:pStyle w:val="TableParagraph"/>
              <w:ind w:left="115"/>
              <w:rPr>
                <w:b/>
                <w:sz w:val="20"/>
              </w:rPr>
            </w:pPr>
            <w:r>
              <w:rPr>
                <w:b/>
                <w:sz w:val="20"/>
              </w:rPr>
              <w:t>govname2_sour</w:t>
            </w:r>
          </w:p>
        </w:tc>
        <w:tc>
          <w:tcPr>
            <w:tcW w:w="1596" w:type="dxa"/>
          </w:tcPr>
          <w:p w14:paraId="216D31E3" w14:textId="77777777" w:rsidR="0046798B" w:rsidRDefault="00903B5C">
            <w:pPr>
              <w:pStyle w:val="TableParagraph"/>
              <w:spacing w:before="158"/>
              <w:ind w:left="114"/>
              <w:rPr>
                <w:sz w:val="20"/>
              </w:rPr>
            </w:pPr>
            <w:r>
              <w:rPr>
                <w:sz w:val="20"/>
              </w:rPr>
              <w:t>Governor name source 2</w:t>
            </w:r>
          </w:p>
        </w:tc>
        <w:tc>
          <w:tcPr>
            <w:tcW w:w="1280" w:type="dxa"/>
          </w:tcPr>
          <w:p w14:paraId="751FA768" w14:textId="77777777" w:rsidR="0046798B" w:rsidRDefault="0046798B">
            <w:pPr>
              <w:pStyle w:val="TableParagraph"/>
              <w:spacing w:before="9"/>
              <w:rPr>
                <w:sz w:val="23"/>
              </w:rPr>
            </w:pPr>
          </w:p>
          <w:p w14:paraId="5A6627BB" w14:textId="77777777" w:rsidR="0046798B" w:rsidRDefault="00903B5C">
            <w:pPr>
              <w:pStyle w:val="TableParagraph"/>
              <w:ind w:left="114"/>
              <w:rPr>
                <w:sz w:val="20"/>
              </w:rPr>
            </w:pPr>
            <w:r>
              <w:rPr>
                <w:sz w:val="20"/>
              </w:rPr>
              <w:t>1925–2016</w:t>
            </w:r>
          </w:p>
        </w:tc>
        <w:tc>
          <w:tcPr>
            <w:tcW w:w="3421" w:type="dxa"/>
          </w:tcPr>
          <w:p w14:paraId="1C0F20F4" w14:textId="77777777" w:rsidR="0046798B" w:rsidRDefault="00903B5C">
            <w:pPr>
              <w:pStyle w:val="TableParagraph"/>
              <w:spacing w:before="43"/>
              <w:ind w:left="114" w:right="227"/>
              <w:rPr>
                <w:sz w:val="20"/>
              </w:rPr>
            </w:pPr>
            <w:r>
              <w:rPr>
                <w:sz w:val="20"/>
              </w:rPr>
              <w:t>Source of information in govname2, and other notes about when governors assumed office.</w:t>
            </w:r>
          </w:p>
        </w:tc>
        <w:tc>
          <w:tcPr>
            <w:tcW w:w="6477" w:type="dxa"/>
          </w:tcPr>
          <w:p w14:paraId="0B6FF953" w14:textId="77777777" w:rsidR="0046798B" w:rsidRDefault="00903B5C">
            <w:pPr>
              <w:pStyle w:val="TableParagraph"/>
              <w:spacing w:before="158"/>
              <w:ind w:left="114" w:right="1261"/>
              <w:rPr>
                <w:sz w:val="20"/>
              </w:rPr>
            </w:pPr>
            <w:r>
              <w:rPr>
                <w:sz w:val="20"/>
              </w:rPr>
              <w:t xml:space="preserve">Klarner, Carl, 2013, “Governors Dataset”, </w:t>
            </w:r>
            <w:hyperlink r:id="rId404">
              <w:r>
                <w:rPr>
                  <w:color w:val="0462C1"/>
                  <w:sz w:val="20"/>
                  <w:u w:val="single" w:color="0462C1"/>
                </w:rPr>
                <w:t>https://doi.org/10.7910/DVN/PQ0Y1N</w:t>
              </w:r>
              <w:r>
                <w:rPr>
                  <w:sz w:val="20"/>
                </w:rPr>
                <w:t>,</w:t>
              </w:r>
            </w:hyperlink>
            <w:r>
              <w:rPr>
                <w:sz w:val="20"/>
              </w:rPr>
              <w:t xml:space="preserve"> Harvard Dataverse, V1</w:t>
            </w:r>
          </w:p>
        </w:tc>
      </w:tr>
      <w:tr w:rsidR="0046798B" w14:paraId="28D74F1B" w14:textId="77777777">
        <w:trPr>
          <w:trHeight w:val="550"/>
        </w:trPr>
        <w:tc>
          <w:tcPr>
            <w:tcW w:w="1711" w:type="dxa"/>
          </w:tcPr>
          <w:p w14:paraId="1C51DD7D" w14:textId="77777777" w:rsidR="0046798B" w:rsidRDefault="00903B5C">
            <w:pPr>
              <w:pStyle w:val="TableParagraph"/>
              <w:spacing w:before="158"/>
              <w:ind w:left="115"/>
              <w:rPr>
                <w:b/>
                <w:sz w:val="20"/>
              </w:rPr>
            </w:pPr>
            <w:r>
              <w:rPr>
                <w:b/>
                <w:sz w:val="20"/>
              </w:rPr>
              <w:t>govname2_date</w:t>
            </w:r>
          </w:p>
        </w:tc>
        <w:tc>
          <w:tcPr>
            <w:tcW w:w="1596" w:type="dxa"/>
          </w:tcPr>
          <w:p w14:paraId="0BAAC993" w14:textId="77777777" w:rsidR="0046798B" w:rsidRDefault="00903B5C">
            <w:pPr>
              <w:pStyle w:val="TableParagraph"/>
              <w:spacing w:before="43"/>
              <w:ind w:left="114"/>
              <w:rPr>
                <w:sz w:val="20"/>
              </w:rPr>
            </w:pPr>
            <w:r>
              <w:rPr>
                <w:sz w:val="20"/>
              </w:rPr>
              <w:t>Governor name source 2 date</w:t>
            </w:r>
          </w:p>
        </w:tc>
        <w:tc>
          <w:tcPr>
            <w:tcW w:w="1280" w:type="dxa"/>
          </w:tcPr>
          <w:p w14:paraId="3203B29E" w14:textId="77777777" w:rsidR="0046798B" w:rsidRDefault="00903B5C">
            <w:pPr>
              <w:pStyle w:val="TableParagraph"/>
              <w:spacing w:before="158"/>
              <w:ind w:left="114"/>
              <w:rPr>
                <w:sz w:val="20"/>
              </w:rPr>
            </w:pPr>
            <w:r>
              <w:rPr>
                <w:sz w:val="20"/>
              </w:rPr>
              <w:t>1925–2016</w:t>
            </w:r>
          </w:p>
        </w:tc>
        <w:tc>
          <w:tcPr>
            <w:tcW w:w="3421" w:type="dxa"/>
          </w:tcPr>
          <w:p w14:paraId="52E8234D" w14:textId="77777777" w:rsidR="0046798B" w:rsidRDefault="00903B5C">
            <w:pPr>
              <w:pStyle w:val="TableParagraph"/>
              <w:spacing w:before="158"/>
              <w:ind w:left="114"/>
              <w:rPr>
                <w:sz w:val="20"/>
              </w:rPr>
            </w:pPr>
            <w:r>
              <w:rPr>
                <w:sz w:val="20"/>
              </w:rPr>
              <w:t>Date of source for govname2.</w:t>
            </w:r>
          </w:p>
        </w:tc>
        <w:tc>
          <w:tcPr>
            <w:tcW w:w="6477" w:type="dxa"/>
          </w:tcPr>
          <w:p w14:paraId="2E9F1AE3" w14:textId="77777777" w:rsidR="0046798B" w:rsidRDefault="00903B5C">
            <w:pPr>
              <w:pStyle w:val="TableParagraph"/>
              <w:spacing w:before="43"/>
              <w:ind w:left="114" w:right="1261"/>
              <w:rPr>
                <w:sz w:val="20"/>
              </w:rPr>
            </w:pPr>
            <w:r>
              <w:rPr>
                <w:sz w:val="20"/>
              </w:rPr>
              <w:t xml:space="preserve">Klarner, Carl, 2013, “Governors Dataset”, </w:t>
            </w:r>
            <w:hyperlink r:id="rId405">
              <w:r>
                <w:rPr>
                  <w:color w:val="0462C1"/>
                  <w:sz w:val="20"/>
                  <w:u w:val="single" w:color="0462C1"/>
                </w:rPr>
                <w:t>https://doi.org/10.7910/DVN/PQ0Y1N</w:t>
              </w:r>
              <w:r>
                <w:rPr>
                  <w:sz w:val="20"/>
                </w:rPr>
                <w:t>,</w:t>
              </w:r>
            </w:hyperlink>
            <w:r>
              <w:rPr>
                <w:sz w:val="20"/>
              </w:rPr>
              <w:t xml:space="preserve"> Harvard Dataverse, V1</w:t>
            </w:r>
          </w:p>
        </w:tc>
      </w:tr>
      <w:tr w:rsidR="0046798B" w14:paraId="49561D43" w14:textId="77777777">
        <w:trPr>
          <w:trHeight w:val="545"/>
        </w:trPr>
        <w:tc>
          <w:tcPr>
            <w:tcW w:w="1711" w:type="dxa"/>
          </w:tcPr>
          <w:p w14:paraId="67029413" w14:textId="77777777" w:rsidR="0046798B" w:rsidRDefault="00903B5C">
            <w:pPr>
              <w:pStyle w:val="TableParagraph"/>
              <w:spacing w:before="153"/>
              <w:ind w:left="115"/>
              <w:rPr>
                <w:b/>
                <w:sz w:val="20"/>
              </w:rPr>
            </w:pPr>
            <w:r>
              <w:rPr>
                <w:b/>
                <w:sz w:val="20"/>
              </w:rPr>
              <w:t>govname2_notes</w:t>
            </w:r>
          </w:p>
        </w:tc>
        <w:tc>
          <w:tcPr>
            <w:tcW w:w="1596" w:type="dxa"/>
          </w:tcPr>
          <w:p w14:paraId="68F791DD" w14:textId="77777777" w:rsidR="0046798B" w:rsidRDefault="00903B5C">
            <w:pPr>
              <w:pStyle w:val="TableParagraph"/>
              <w:spacing w:before="38"/>
              <w:ind w:left="114"/>
              <w:rPr>
                <w:sz w:val="20"/>
              </w:rPr>
            </w:pPr>
            <w:r>
              <w:rPr>
                <w:sz w:val="20"/>
              </w:rPr>
              <w:t>Governor name source notes</w:t>
            </w:r>
          </w:p>
        </w:tc>
        <w:tc>
          <w:tcPr>
            <w:tcW w:w="1280" w:type="dxa"/>
          </w:tcPr>
          <w:p w14:paraId="7CA3B9E0" w14:textId="77777777" w:rsidR="0046798B" w:rsidRDefault="00903B5C">
            <w:pPr>
              <w:pStyle w:val="TableParagraph"/>
              <w:spacing w:before="153"/>
              <w:ind w:left="114"/>
              <w:rPr>
                <w:sz w:val="20"/>
              </w:rPr>
            </w:pPr>
            <w:r>
              <w:rPr>
                <w:sz w:val="20"/>
              </w:rPr>
              <w:t>1925–2016</w:t>
            </w:r>
          </w:p>
        </w:tc>
        <w:tc>
          <w:tcPr>
            <w:tcW w:w="3421" w:type="dxa"/>
          </w:tcPr>
          <w:p w14:paraId="301ECA7A" w14:textId="77777777" w:rsidR="0046798B" w:rsidRDefault="00903B5C">
            <w:pPr>
              <w:pStyle w:val="TableParagraph"/>
              <w:spacing w:before="153"/>
              <w:ind w:left="114"/>
              <w:rPr>
                <w:sz w:val="20"/>
              </w:rPr>
            </w:pPr>
            <w:r>
              <w:rPr>
                <w:sz w:val="20"/>
              </w:rPr>
              <w:t>Notes about govname from source2.</w:t>
            </w:r>
          </w:p>
        </w:tc>
        <w:tc>
          <w:tcPr>
            <w:tcW w:w="6477" w:type="dxa"/>
          </w:tcPr>
          <w:p w14:paraId="284A66CA" w14:textId="77777777" w:rsidR="0046798B" w:rsidRDefault="00903B5C">
            <w:pPr>
              <w:pStyle w:val="TableParagraph"/>
              <w:spacing w:before="38"/>
              <w:ind w:left="114" w:right="1261"/>
              <w:rPr>
                <w:sz w:val="20"/>
              </w:rPr>
            </w:pPr>
            <w:r>
              <w:rPr>
                <w:sz w:val="20"/>
              </w:rPr>
              <w:t xml:space="preserve">Klarner, Carl, 2013, “Governors Dataset”, </w:t>
            </w:r>
            <w:hyperlink r:id="rId406">
              <w:r>
                <w:rPr>
                  <w:color w:val="0462C1"/>
                  <w:sz w:val="20"/>
                  <w:u w:val="single" w:color="0462C1"/>
                </w:rPr>
                <w:t>https://doi.org/10.7910/DVN/PQ0Y1N</w:t>
              </w:r>
              <w:r>
                <w:rPr>
                  <w:sz w:val="20"/>
                </w:rPr>
                <w:t>,</w:t>
              </w:r>
            </w:hyperlink>
            <w:r>
              <w:rPr>
                <w:sz w:val="20"/>
              </w:rPr>
              <w:t xml:space="preserve"> Harvard Dataverse, V1</w:t>
            </w:r>
          </w:p>
        </w:tc>
      </w:tr>
      <w:tr w:rsidR="0046798B" w14:paraId="5F5E203E" w14:textId="77777777">
        <w:trPr>
          <w:trHeight w:val="1005"/>
        </w:trPr>
        <w:tc>
          <w:tcPr>
            <w:tcW w:w="1711" w:type="dxa"/>
          </w:tcPr>
          <w:p w14:paraId="07AD70EE" w14:textId="77777777" w:rsidR="0046798B" w:rsidRDefault="0046798B">
            <w:pPr>
              <w:pStyle w:val="TableParagraph"/>
            </w:pPr>
          </w:p>
          <w:p w14:paraId="23D208EB" w14:textId="77777777" w:rsidR="0046798B" w:rsidRDefault="00903B5C">
            <w:pPr>
              <w:pStyle w:val="TableParagraph"/>
              <w:spacing w:before="130"/>
              <w:ind w:left="115"/>
              <w:rPr>
                <w:b/>
                <w:sz w:val="20"/>
              </w:rPr>
            </w:pPr>
            <w:r>
              <w:rPr>
                <w:b/>
                <w:sz w:val="20"/>
              </w:rPr>
              <w:t>gub_election</w:t>
            </w:r>
          </w:p>
        </w:tc>
        <w:tc>
          <w:tcPr>
            <w:tcW w:w="1596" w:type="dxa"/>
          </w:tcPr>
          <w:p w14:paraId="4BACEA86" w14:textId="77777777" w:rsidR="0046798B" w:rsidRDefault="00903B5C">
            <w:pPr>
              <w:pStyle w:val="TableParagraph"/>
              <w:spacing w:before="153"/>
              <w:ind w:left="114" w:right="229"/>
              <w:rPr>
                <w:sz w:val="20"/>
              </w:rPr>
            </w:pPr>
            <w:r>
              <w:rPr>
                <w:sz w:val="20"/>
              </w:rPr>
              <w:t>Gubernatorial election year dummy</w:t>
            </w:r>
          </w:p>
        </w:tc>
        <w:tc>
          <w:tcPr>
            <w:tcW w:w="1280" w:type="dxa"/>
          </w:tcPr>
          <w:p w14:paraId="43ADF7A3" w14:textId="77777777" w:rsidR="0046798B" w:rsidRDefault="0046798B">
            <w:pPr>
              <w:pStyle w:val="TableParagraph"/>
            </w:pPr>
          </w:p>
          <w:p w14:paraId="040203B5" w14:textId="77777777" w:rsidR="0046798B" w:rsidRDefault="00903B5C">
            <w:pPr>
              <w:pStyle w:val="TableParagraph"/>
              <w:spacing w:before="130"/>
              <w:ind w:left="114"/>
              <w:rPr>
                <w:sz w:val="20"/>
              </w:rPr>
            </w:pPr>
            <w:r>
              <w:rPr>
                <w:sz w:val="20"/>
              </w:rPr>
              <w:t>1936–2015</w:t>
            </w:r>
          </w:p>
        </w:tc>
        <w:tc>
          <w:tcPr>
            <w:tcW w:w="3421" w:type="dxa"/>
          </w:tcPr>
          <w:p w14:paraId="5C54E1E9" w14:textId="77777777" w:rsidR="0046798B" w:rsidRDefault="00903B5C">
            <w:pPr>
              <w:pStyle w:val="TableParagraph"/>
              <w:spacing w:before="38"/>
              <w:ind w:left="114" w:right="248"/>
              <w:rPr>
                <w:sz w:val="20"/>
              </w:rPr>
            </w:pPr>
            <w:r>
              <w:rPr>
                <w:sz w:val="20"/>
              </w:rPr>
              <w:t>Dummy: 1 = gubernatorial election in that year. Blank = none. This puts the election year into the calendar year it was held in.</w:t>
            </w:r>
          </w:p>
        </w:tc>
        <w:tc>
          <w:tcPr>
            <w:tcW w:w="6477" w:type="dxa"/>
          </w:tcPr>
          <w:p w14:paraId="3F6B9976" w14:textId="77777777" w:rsidR="0046798B" w:rsidRDefault="0046798B">
            <w:pPr>
              <w:pStyle w:val="TableParagraph"/>
              <w:spacing w:before="3"/>
              <w:rPr>
                <w:sz w:val="23"/>
              </w:rPr>
            </w:pPr>
          </w:p>
          <w:p w14:paraId="1DEB1A56" w14:textId="77777777" w:rsidR="0046798B" w:rsidRDefault="00903B5C">
            <w:pPr>
              <w:pStyle w:val="TableParagraph"/>
              <w:spacing w:before="1"/>
              <w:ind w:left="114" w:right="1261"/>
              <w:rPr>
                <w:sz w:val="20"/>
              </w:rPr>
            </w:pPr>
            <w:r>
              <w:rPr>
                <w:sz w:val="20"/>
              </w:rPr>
              <w:t xml:space="preserve">Klarner, Carl, 2013, “Governors Dataset”, </w:t>
            </w:r>
            <w:hyperlink r:id="rId407">
              <w:r>
                <w:rPr>
                  <w:color w:val="0462C1"/>
                  <w:sz w:val="20"/>
                  <w:u w:val="single" w:color="0462C1"/>
                </w:rPr>
                <w:t>https://doi.org/10.7910/DVN/PQ0Y1N</w:t>
              </w:r>
              <w:r>
                <w:rPr>
                  <w:sz w:val="20"/>
                </w:rPr>
                <w:t>,</w:t>
              </w:r>
            </w:hyperlink>
            <w:r>
              <w:rPr>
                <w:sz w:val="20"/>
              </w:rPr>
              <w:t xml:space="preserve"> Harvard Dataverse, V1</w:t>
            </w:r>
          </w:p>
        </w:tc>
      </w:tr>
    </w:tbl>
    <w:p w14:paraId="3907E3E8" w14:textId="77777777" w:rsidR="0046798B" w:rsidRDefault="0046798B">
      <w:pPr>
        <w:rPr>
          <w:sz w:val="20"/>
        </w:rPr>
        <w:sectPr w:rsidR="0046798B">
          <w:pgSz w:w="15840" w:h="12240" w:orient="landscape"/>
          <w:pgMar w:top="1220" w:right="300" w:bottom="980" w:left="820" w:header="730" w:footer="787" w:gutter="0"/>
          <w:cols w:space="720"/>
        </w:sectPr>
      </w:pPr>
    </w:p>
    <w:p w14:paraId="7EBF1F02"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0"/>
        <w:gridCol w:w="3421"/>
        <w:gridCol w:w="6477"/>
      </w:tblGrid>
      <w:tr w:rsidR="0046798B" w14:paraId="40059528" w14:textId="77777777">
        <w:trPr>
          <w:trHeight w:val="1005"/>
        </w:trPr>
        <w:tc>
          <w:tcPr>
            <w:tcW w:w="1711" w:type="dxa"/>
          </w:tcPr>
          <w:p w14:paraId="051586DE" w14:textId="77777777" w:rsidR="0046798B" w:rsidRDefault="0046798B">
            <w:pPr>
              <w:pStyle w:val="TableParagraph"/>
              <w:spacing w:before="9"/>
              <w:rPr>
                <w:sz w:val="23"/>
              </w:rPr>
            </w:pPr>
          </w:p>
          <w:p w14:paraId="25E39EEF" w14:textId="77777777" w:rsidR="0046798B" w:rsidRDefault="00903B5C">
            <w:pPr>
              <w:pStyle w:val="TableParagraph"/>
              <w:ind w:left="115" w:right="110"/>
              <w:rPr>
                <w:b/>
                <w:sz w:val="20"/>
              </w:rPr>
            </w:pPr>
            <w:r>
              <w:rPr>
                <w:b/>
                <w:sz w:val="20"/>
              </w:rPr>
              <w:t>gub_election_reg ime</w:t>
            </w:r>
          </w:p>
        </w:tc>
        <w:tc>
          <w:tcPr>
            <w:tcW w:w="1596" w:type="dxa"/>
          </w:tcPr>
          <w:p w14:paraId="2854F7B7" w14:textId="77777777" w:rsidR="0046798B" w:rsidRDefault="00903B5C">
            <w:pPr>
              <w:pStyle w:val="TableParagraph"/>
              <w:spacing w:before="43"/>
              <w:ind w:left="114" w:right="335"/>
              <w:rPr>
                <w:sz w:val="20"/>
              </w:rPr>
            </w:pPr>
            <w:r>
              <w:rPr>
                <w:sz w:val="20"/>
              </w:rPr>
              <w:t>Calendar year for next gubernatorial election</w:t>
            </w:r>
          </w:p>
        </w:tc>
        <w:tc>
          <w:tcPr>
            <w:tcW w:w="1280" w:type="dxa"/>
          </w:tcPr>
          <w:p w14:paraId="5EAFE67E" w14:textId="77777777" w:rsidR="0046798B" w:rsidRDefault="0046798B">
            <w:pPr>
              <w:pStyle w:val="TableParagraph"/>
            </w:pPr>
          </w:p>
          <w:p w14:paraId="1D2A66C3" w14:textId="77777777" w:rsidR="0046798B" w:rsidRDefault="00903B5C">
            <w:pPr>
              <w:pStyle w:val="TableParagraph"/>
              <w:spacing w:before="135"/>
              <w:ind w:left="114"/>
              <w:rPr>
                <w:sz w:val="20"/>
              </w:rPr>
            </w:pPr>
            <w:r>
              <w:rPr>
                <w:sz w:val="20"/>
              </w:rPr>
              <w:t>1936–2015</w:t>
            </w:r>
          </w:p>
        </w:tc>
        <w:tc>
          <w:tcPr>
            <w:tcW w:w="3421" w:type="dxa"/>
          </w:tcPr>
          <w:p w14:paraId="7EB50B65" w14:textId="77777777" w:rsidR="0046798B" w:rsidRDefault="00903B5C">
            <w:pPr>
              <w:pStyle w:val="TableParagraph"/>
              <w:spacing w:before="43"/>
              <w:ind w:left="114" w:right="266"/>
              <w:rPr>
                <w:sz w:val="20"/>
              </w:rPr>
            </w:pPr>
            <w:r>
              <w:rPr>
                <w:sz w:val="20"/>
              </w:rPr>
              <w:t>Calendar year in which the next gubernatorial election will be held. In an election year, this variable will be equal to “year.”</w:t>
            </w:r>
          </w:p>
        </w:tc>
        <w:tc>
          <w:tcPr>
            <w:tcW w:w="6477" w:type="dxa"/>
          </w:tcPr>
          <w:p w14:paraId="0283299E" w14:textId="77777777" w:rsidR="0046798B" w:rsidRDefault="0046798B">
            <w:pPr>
              <w:pStyle w:val="TableParagraph"/>
              <w:spacing w:before="9"/>
              <w:rPr>
                <w:sz w:val="23"/>
              </w:rPr>
            </w:pPr>
          </w:p>
          <w:p w14:paraId="7CE032B0" w14:textId="77777777" w:rsidR="0046798B" w:rsidRDefault="00903B5C">
            <w:pPr>
              <w:pStyle w:val="TableParagraph"/>
              <w:ind w:left="114" w:right="1261"/>
              <w:rPr>
                <w:sz w:val="20"/>
              </w:rPr>
            </w:pPr>
            <w:r>
              <w:rPr>
                <w:sz w:val="20"/>
              </w:rPr>
              <w:t xml:space="preserve">Klarner, Carl, 2013, “Governors Dataset”, </w:t>
            </w:r>
            <w:hyperlink r:id="rId408">
              <w:r>
                <w:rPr>
                  <w:color w:val="0462C1"/>
                  <w:sz w:val="20"/>
                  <w:u w:val="single" w:color="0462C1"/>
                </w:rPr>
                <w:t>https://doi.org/10.7910/DVN/PQ0Y1N</w:t>
              </w:r>
              <w:r>
                <w:rPr>
                  <w:sz w:val="20"/>
                </w:rPr>
                <w:t>,</w:t>
              </w:r>
            </w:hyperlink>
            <w:r>
              <w:rPr>
                <w:sz w:val="20"/>
              </w:rPr>
              <w:t xml:space="preserve"> Harvard Dataverse, V1</w:t>
            </w:r>
          </w:p>
        </w:tc>
      </w:tr>
      <w:tr w:rsidR="0046798B" w14:paraId="49573DEE" w14:textId="77777777">
        <w:trPr>
          <w:trHeight w:val="1235"/>
        </w:trPr>
        <w:tc>
          <w:tcPr>
            <w:tcW w:w="1711" w:type="dxa"/>
          </w:tcPr>
          <w:p w14:paraId="3137FCD1" w14:textId="77777777" w:rsidR="0046798B" w:rsidRDefault="0046798B">
            <w:pPr>
              <w:pStyle w:val="TableParagraph"/>
            </w:pPr>
          </w:p>
          <w:p w14:paraId="4BEABD3C" w14:textId="77777777" w:rsidR="0046798B" w:rsidRDefault="00903B5C">
            <w:pPr>
              <w:pStyle w:val="TableParagraph"/>
              <w:spacing w:before="135"/>
              <w:ind w:left="115" w:right="155"/>
              <w:rPr>
                <w:b/>
                <w:sz w:val="20"/>
              </w:rPr>
            </w:pPr>
            <w:r>
              <w:rPr>
                <w:b/>
                <w:sz w:val="20"/>
              </w:rPr>
              <w:t>gov_midyear_ch ange_date</w:t>
            </w:r>
          </w:p>
        </w:tc>
        <w:tc>
          <w:tcPr>
            <w:tcW w:w="1596" w:type="dxa"/>
          </w:tcPr>
          <w:p w14:paraId="076A8270" w14:textId="77777777" w:rsidR="0046798B" w:rsidRDefault="00903B5C">
            <w:pPr>
              <w:pStyle w:val="TableParagraph"/>
              <w:spacing w:before="43"/>
              <w:ind w:left="114" w:right="97"/>
              <w:rPr>
                <w:sz w:val="20"/>
              </w:rPr>
            </w:pPr>
            <w:r>
              <w:rPr>
                <w:sz w:val="20"/>
              </w:rPr>
              <w:t>Date of gubernatorial change for “non- standard” departures</w:t>
            </w:r>
          </w:p>
        </w:tc>
        <w:tc>
          <w:tcPr>
            <w:tcW w:w="1280" w:type="dxa"/>
          </w:tcPr>
          <w:p w14:paraId="1C1ABBC9" w14:textId="77777777" w:rsidR="0046798B" w:rsidRDefault="0046798B">
            <w:pPr>
              <w:pStyle w:val="TableParagraph"/>
            </w:pPr>
          </w:p>
          <w:p w14:paraId="48A2D13B" w14:textId="77777777" w:rsidR="0046798B" w:rsidRDefault="0046798B">
            <w:pPr>
              <w:pStyle w:val="TableParagraph"/>
              <w:spacing w:before="9"/>
              <w:rPr>
                <w:sz w:val="21"/>
              </w:rPr>
            </w:pPr>
          </w:p>
          <w:p w14:paraId="29419BA7" w14:textId="77777777" w:rsidR="0046798B" w:rsidRDefault="00903B5C">
            <w:pPr>
              <w:pStyle w:val="TableParagraph"/>
              <w:ind w:left="114"/>
              <w:rPr>
                <w:sz w:val="20"/>
              </w:rPr>
            </w:pPr>
            <w:r>
              <w:rPr>
                <w:sz w:val="20"/>
              </w:rPr>
              <w:t>1936–2010</w:t>
            </w:r>
          </w:p>
        </w:tc>
        <w:tc>
          <w:tcPr>
            <w:tcW w:w="3421" w:type="dxa"/>
          </w:tcPr>
          <w:p w14:paraId="54FD19A1" w14:textId="77777777" w:rsidR="0046798B" w:rsidRDefault="00903B5C">
            <w:pPr>
              <w:pStyle w:val="TableParagraph"/>
              <w:spacing w:before="43"/>
              <w:ind w:left="114" w:right="189"/>
              <w:rPr>
                <w:sz w:val="20"/>
              </w:rPr>
            </w:pPr>
            <w:r>
              <w:rPr>
                <w:sz w:val="20"/>
              </w:rPr>
              <w:t>Date of mid-year change in governors, if the governor left office at a “non- standard” time, except for LA. “Non- standard” means because of death, resignation, or impeachment.</w:t>
            </w:r>
          </w:p>
        </w:tc>
        <w:tc>
          <w:tcPr>
            <w:tcW w:w="6477" w:type="dxa"/>
          </w:tcPr>
          <w:p w14:paraId="0CCD05AA" w14:textId="77777777" w:rsidR="0046798B" w:rsidRDefault="0046798B">
            <w:pPr>
              <w:pStyle w:val="TableParagraph"/>
            </w:pPr>
          </w:p>
          <w:p w14:paraId="305F0BDF" w14:textId="77777777" w:rsidR="0046798B" w:rsidRDefault="00903B5C">
            <w:pPr>
              <w:pStyle w:val="TableParagraph"/>
              <w:spacing w:before="135"/>
              <w:ind w:left="114" w:right="1261"/>
              <w:rPr>
                <w:sz w:val="20"/>
              </w:rPr>
            </w:pPr>
            <w:r>
              <w:rPr>
                <w:sz w:val="20"/>
              </w:rPr>
              <w:t xml:space="preserve">Klarner, Carl, 2013, “Governors Dataset”, </w:t>
            </w:r>
            <w:hyperlink r:id="rId409">
              <w:r>
                <w:rPr>
                  <w:color w:val="0462C1"/>
                  <w:sz w:val="20"/>
                  <w:u w:val="single" w:color="0462C1"/>
                </w:rPr>
                <w:t>https://doi.org/10.7910/DVN/PQ0Y1N</w:t>
              </w:r>
              <w:r>
                <w:rPr>
                  <w:sz w:val="20"/>
                </w:rPr>
                <w:t>,</w:t>
              </w:r>
            </w:hyperlink>
            <w:r>
              <w:rPr>
                <w:sz w:val="20"/>
              </w:rPr>
              <w:t xml:space="preserve"> Harvard Dataverse, V1</w:t>
            </w:r>
          </w:p>
        </w:tc>
      </w:tr>
      <w:tr w:rsidR="0046798B" w14:paraId="7932A783" w14:textId="77777777">
        <w:trPr>
          <w:trHeight w:val="780"/>
        </w:trPr>
        <w:tc>
          <w:tcPr>
            <w:tcW w:w="1711" w:type="dxa"/>
          </w:tcPr>
          <w:p w14:paraId="32EFBE16" w14:textId="77777777" w:rsidR="0046798B" w:rsidRDefault="00903B5C">
            <w:pPr>
              <w:pStyle w:val="TableParagraph"/>
              <w:spacing w:before="158"/>
              <w:ind w:left="115" w:right="155"/>
              <w:rPr>
                <w:b/>
                <w:sz w:val="20"/>
              </w:rPr>
            </w:pPr>
            <w:r>
              <w:rPr>
                <w:b/>
                <w:sz w:val="20"/>
              </w:rPr>
              <w:t>gov_midyear_ch ange_month</w:t>
            </w:r>
          </w:p>
        </w:tc>
        <w:tc>
          <w:tcPr>
            <w:tcW w:w="1596" w:type="dxa"/>
          </w:tcPr>
          <w:p w14:paraId="325C17AD" w14:textId="77777777" w:rsidR="0046798B" w:rsidRDefault="00903B5C">
            <w:pPr>
              <w:pStyle w:val="TableParagraph"/>
              <w:spacing w:before="43"/>
              <w:ind w:left="114" w:right="385"/>
              <w:rPr>
                <w:sz w:val="20"/>
              </w:rPr>
            </w:pPr>
            <w:r>
              <w:rPr>
                <w:sz w:val="20"/>
              </w:rPr>
              <w:t>Month of gubernatorial change</w:t>
            </w:r>
          </w:p>
        </w:tc>
        <w:tc>
          <w:tcPr>
            <w:tcW w:w="1280" w:type="dxa"/>
          </w:tcPr>
          <w:p w14:paraId="12051ED8" w14:textId="77777777" w:rsidR="0046798B" w:rsidRDefault="0046798B">
            <w:pPr>
              <w:pStyle w:val="TableParagraph"/>
              <w:spacing w:before="8"/>
              <w:rPr>
                <w:sz w:val="23"/>
              </w:rPr>
            </w:pPr>
          </w:p>
          <w:p w14:paraId="697CF386" w14:textId="77777777" w:rsidR="0046798B" w:rsidRDefault="00903B5C">
            <w:pPr>
              <w:pStyle w:val="TableParagraph"/>
              <w:spacing w:before="1"/>
              <w:ind w:left="114"/>
              <w:rPr>
                <w:sz w:val="20"/>
              </w:rPr>
            </w:pPr>
            <w:r>
              <w:rPr>
                <w:sz w:val="20"/>
              </w:rPr>
              <w:t>1936–2010</w:t>
            </w:r>
          </w:p>
        </w:tc>
        <w:tc>
          <w:tcPr>
            <w:tcW w:w="3421" w:type="dxa"/>
          </w:tcPr>
          <w:p w14:paraId="79973837" w14:textId="77777777" w:rsidR="0046798B" w:rsidRDefault="00903B5C">
            <w:pPr>
              <w:pStyle w:val="TableParagraph"/>
              <w:spacing w:before="158"/>
              <w:ind w:left="114"/>
              <w:rPr>
                <w:sz w:val="20"/>
              </w:rPr>
            </w:pPr>
            <w:r>
              <w:rPr>
                <w:sz w:val="20"/>
              </w:rPr>
              <w:t>Number of month in the year from gov_midyear_change_date.</w:t>
            </w:r>
          </w:p>
        </w:tc>
        <w:tc>
          <w:tcPr>
            <w:tcW w:w="6477" w:type="dxa"/>
          </w:tcPr>
          <w:p w14:paraId="39547C55" w14:textId="77777777" w:rsidR="0046798B" w:rsidRDefault="00903B5C">
            <w:pPr>
              <w:pStyle w:val="TableParagraph"/>
              <w:spacing w:before="158"/>
              <w:ind w:left="114" w:right="1261"/>
              <w:rPr>
                <w:sz w:val="20"/>
              </w:rPr>
            </w:pPr>
            <w:r>
              <w:rPr>
                <w:sz w:val="20"/>
              </w:rPr>
              <w:t xml:space="preserve">Klarner, Carl, 2013, “Governors Dataset”, </w:t>
            </w:r>
            <w:hyperlink r:id="rId410">
              <w:r>
                <w:rPr>
                  <w:color w:val="0462C1"/>
                  <w:sz w:val="20"/>
                  <w:u w:val="single" w:color="0462C1"/>
                </w:rPr>
                <w:t>https://doi.org/10.7910/DVN/PQ0Y1N</w:t>
              </w:r>
              <w:r>
                <w:rPr>
                  <w:sz w:val="20"/>
                </w:rPr>
                <w:t>,</w:t>
              </w:r>
            </w:hyperlink>
            <w:r>
              <w:rPr>
                <w:sz w:val="20"/>
              </w:rPr>
              <w:t xml:space="preserve"> Harvard Dataverse, V1</w:t>
            </w:r>
          </w:p>
        </w:tc>
      </w:tr>
      <w:tr w:rsidR="0046798B" w14:paraId="1A9EAFCD" w14:textId="77777777">
        <w:trPr>
          <w:trHeight w:val="775"/>
        </w:trPr>
        <w:tc>
          <w:tcPr>
            <w:tcW w:w="1711" w:type="dxa"/>
          </w:tcPr>
          <w:p w14:paraId="2751363E" w14:textId="77777777" w:rsidR="0046798B" w:rsidRDefault="00903B5C">
            <w:pPr>
              <w:pStyle w:val="TableParagraph"/>
              <w:spacing w:before="153"/>
              <w:ind w:left="115" w:right="155"/>
              <w:rPr>
                <w:b/>
                <w:sz w:val="20"/>
              </w:rPr>
            </w:pPr>
            <w:r>
              <w:rPr>
                <w:b/>
                <w:sz w:val="20"/>
              </w:rPr>
              <w:t>gov_midyear_ch ange_day</w:t>
            </w:r>
          </w:p>
        </w:tc>
        <w:tc>
          <w:tcPr>
            <w:tcW w:w="1596" w:type="dxa"/>
          </w:tcPr>
          <w:p w14:paraId="719AA07E" w14:textId="77777777" w:rsidR="0046798B" w:rsidRDefault="00903B5C">
            <w:pPr>
              <w:pStyle w:val="TableParagraph"/>
              <w:spacing w:before="38"/>
              <w:ind w:left="114" w:right="385"/>
              <w:rPr>
                <w:sz w:val="20"/>
              </w:rPr>
            </w:pPr>
            <w:r>
              <w:rPr>
                <w:sz w:val="20"/>
              </w:rPr>
              <w:t>Day of gubernatorial change</w:t>
            </w:r>
          </w:p>
        </w:tc>
        <w:tc>
          <w:tcPr>
            <w:tcW w:w="1280" w:type="dxa"/>
          </w:tcPr>
          <w:p w14:paraId="540BF5E9" w14:textId="77777777" w:rsidR="0046798B" w:rsidRDefault="0046798B">
            <w:pPr>
              <w:pStyle w:val="TableParagraph"/>
              <w:spacing w:before="3"/>
              <w:rPr>
                <w:sz w:val="23"/>
              </w:rPr>
            </w:pPr>
          </w:p>
          <w:p w14:paraId="69E5DA76" w14:textId="77777777" w:rsidR="0046798B" w:rsidRDefault="00903B5C">
            <w:pPr>
              <w:pStyle w:val="TableParagraph"/>
              <w:spacing w:before="1"/>
              <w:ind w:left="114"/>
              <w:rPr>
                <w:sz w:val="20"/>
              </w:rPr>
            </w:pPr>
            <w:r>
              <w:rPr>
                <w:sz w:val="20"/>
              </w:rPr>
              <w:t>1936–2010</w:t>
            </w:r>
          </w:p>
        </w:tc>
        <w:tc>
          <w:tcPr>
            <w:tcW w:w="3421" w:type="dxa"/>
          </w:tcPr>
          <w:p w14:paraId="31FAD382" w14:textId="77777777" w:rsidR="0046798B" w:rsidRDefault="00903B5C">
            <w:pPr>
              <w:pStyle w:val="TableParagraph"/>
              <w:spacing w:before="153"/>
              <w:ind w:left="114" w:right="1072"/>
              <w:rPr>
                <w:sz w:val="20"/>
              </w:rPr>
            </w:pPr>
            <w:r>
              <w:rPr>
                <w:sz w:val="20"/>
              </w:rPr>
              <w:t>Day of the month from gov_midyear_change_date.</w:t>
            </w:r>
          </w:p>
        </w:tc>
        <w:tc>
          <w:tcPr>
            <w:tcW w:w="6477" w:type="dxa"/>
          </w:tcPr>
          <w:p w14:paraId="7E90F89E" w14:textId="77777777" w:rsidR="0046798B" w:rsidRDefault="00903B5C">
            <w:pPr>
              <w:pStyle w:val="TableParagraph"/>
              <w:spacing w:before="153"/>
              <w:ind w:left="114" w:right="1261"/>
              <w:rPr>
                <w:sz w:val="20"/>
              </w:rPr>
            </w:pPr>
            <w:r>
              <w:rPr>
                <w:sz w:val="20"/>
              </w:rPr>
              <w:t xml:space="preserve">Klarner, Carl, 2013, “Governors Dataset”, </w:t>
            </w:r>
            <w:hyperlink r:id="rId411">
              <w:r>
                <w:rPr>
                  <w:color w:val="0462C1"/>
                  <w:sz w:val="20"/>
                  <w:u w:val="single" w:color="0462C1"/>
                </w:rPr>
                <w:t>https://doi.org/10.7910/DVN/PQ0Y1N</w:t>
              </w:r>
              <w:r>
                <w:rPr>
                  <w:sz w:val="20"/>
                </w:rPr>
                <w:t>,</w:t>
              </w:r>
            </w:hyperlink>
            <w:r>
              <w:rPr>
                <w:sz w:val="20"/>
              </w:rPr>
              <w:t xml:space="preserve"> Harvard Dataverse, V1</w:t>
            </w:r>
          </w:p>
        </w:tc>
      </w:tr>
      <w:tr w:rsidR="0046798B" w14:paraId="2C1F586B" w14:textId="77777777">
        <w:trPr>
          <w:trHeight w:val="775"/>
        </w:trPr>
        <w:tc>
          <w:tcPr>
            <w:tcW w:w="1711" w:type="dxa"/>
          </w:tcPr>
          <w:p w14:paraId="54CAFC40" w14:textId="77777777" w:rsidR="0046798B" w:rsidRDefault="00903B5C">
            <w:pPr>
              <w:pStyle w:val="TableParagraph"/>
              <w:spacing w:before="38"/>
              <w:ind w:left="115" w:right="154"/>
              <w:jc w:val="both"/>
              <w:rPr>
                <w:b/>
                <w:sz w:val="20"/>
              </w:rPr>
            </w:pPr>
            <w:r>
              <w:rPr>
                <w:b/>
                <w:sz w:val="20"/>
              </w:rPr>
              <w:t xml:space="preserve">gov_midyear_ch </w:t>
            </w:r>
            <w:r>
              <w:rPr>
                <w:b/>
                <w:spacing w:val="-1"/>
                <w:sz w:val="20"/>
              </w:rPr>
              <w:t xml:space="preserve">ange_ordinal_da </w:t>
            </w:r>
            <w:r>
              <w:rPr>
                <w:b/>
                <w:sz w:val="20"/>
              </w:rPr>
              <w:t>y</w:t>
            </w:r>
          </w:p>
        </w:tc>
        <w:tc>
          <w:tcPr>
            <w:tcW w:w="1596" w:type="dxa"/>
          </w:tcPr>
          <w:p w14:paraId="0A3C069C" w14:textId="77777777" w:rsidR="0046798B" w:rsidRDefault="00903B5C">
            <w:pPr>
              <w:pStyle w:val="TableParagraph"/>
              <w:spacing w:before="38"/>
              <w:ind w:left="114" w:right="291"/>
              <w:rPr>
                <w:sz w:val="20"/>
              </w:rPr>
            </w:pPr>
            <w:r>
              <w:rPr>
                <w:sz w:val="20"/>
              </w:rPr>
              <w:t>Day of year of gubernatorial change</w:t>
            </w:r>
          </w:p>
        </w:tc>
        <w:tc>
          <w:tcPr>
            <w:tcW w:w="1280" w:type="dxa"/>
          </w:tcPr>
          <w:p w14:paraId="3BD63C9A" w14:textId="77777777" w:rsidR="0046798B" w:rsidRDefault="0046798B">
            <w:pPr>
              <w:pStyle w:val="TableParagraph"/>
              <w:spacing w:before="4"/>
              <w:rPr>
                <w:sz w:val="23"/>
              </w:rPr>
            </w:pPr>
          </w:p>
          <w:p w14:paraId="24DFC70C" w14:textId="77777777" w:rsidR="0046798B" w:rsidRDefault="00903B5C">
            <w:pPr>
              <w:pStyle w:val="TableParagraph"/>
              <w:ind w:left="114"/>
              <w:rPr>
                <w:sz w:val="20"/>
              </w:rPr>
            </w:pPr>
            <w:r>
              <w:rPr>
                <w:sz w:val="20"/>
              </w:rPr>
              <w:t>1936–2010</w:t>
            </w:r>
          </w:p>
        </w:tc>
        <w:tc>
          <w:tcPr>
            <w:tcW w:w="3421" w:type="dxa"/>
          </w:tcPr>
          <w:p w14:paraId="37E3EECD" w14:textId="77777777" w:rsidR="0046798B" w:rsidRDefault="00903B5C">
            <w:pPr>
              <w:pStyle w:val="TableParagraph"/>
              <w:spacing w:before="153"/>
              <w:ind w:left="114" w:right="1072"/>
              <w:rPr>
                <w:sz w:val="20"/>
              </w:rPr>
            </w:pPr>
            <w:r>
              <w:rPr>
                <w:sz w:val="20"/>
              </w:rPr>
              <w:t>Day of the year from gov_midyear_change_date.</w:t>
            </w:r>
          </w:p>
        </w:tc>
        <w:tc>
          <w:tcPr>
            <w:tcW w:w="6477" w:type="dxa"/>
          </w:tcPr>
          <w:p w14:paraId="3E4D0757" w14:textId="77777777" w:rsidR="0046798B" w:rsidRDefault="00903B5C">
            <w:pPr>
              <w:pStyle w:val="TableParagraph"/>
              <w:spacing w:before="153"/>
              <w:ind w:left="114" w:right="1261"/>
              <w:rPr>
                <w:sz w:val="20"/>
              </w:rPr>
            </w:pPr>
            <w:r>
              <w:rPr>
                <w:sz w:val="20"/>
              </w:rPr>
              <w:t xml:space="preserve">Klarner, Carl, 2013, “Governors Dataset”, </w:t>
            </w:r>
            <w:hyperlink r:id="rId412">
              <w:r>
                <w:rPr>
                  <w:color w:val="0462C1"/>
                  <w:sz w:val="20"/>
                  <w:u w:val="single" w:color="0462C1"/>
                </w:rPr>
                <w:t>https://doi.org/10.7910/DVN/PQ0Y1N</w:t>
              </w:r>
              <w:r>
                <w:rPr>
                  <w:sz w:val="20"/>
                </w:rPr>
                <w:t>,</w:t>
              </w:r>
            </w:hyperlink>
            <w:r>
              <w:rPr>
                <w:sz w:val="20"/>
              </w:rPr>
              <w:t xml:space="preserve"> Harvard Dataverse, V1</w:t>
            </w:r>
          </w:p>
        </w:tc>
      </w:tr>
      <w:tr w:rsidR="0046798B" w14:paraId="3D698650" w14:textId="77777777">
        <w:trPr>
          <w:trHeight w:val="1235"/>
        </w:trPr>
        <w:tc>
          <w:tcPr>
            <w:tcW w:w="1711" w:type="dxa"/>
          </w:tcPr>
          <w:p w14:paraId="498FC31C" w14:textId="77777777" w:rsidR="0046798B" w:rsidRDefault="0046798B">
            <w:pPr>
              <w:pStyle w:val="TableParagraph"/>
            </w:pPr>
          </w:p>
          <w:p w14:paraId="2B3CD287" w14:textId="77777777" w:rsidR="0046798B" w:rsidRDefault="00903B5C">
            <w:pPr>
              <w:pStyle w:val="TableParagraph"/>
              <w:spacing w:before="135"/>
              <w:ind w:left="115" w:right="155"/>
              <w:rPr>
                <w:b/>
                <w:sz w:val="20"/>
              </w:rPr>
            </w:pPr>
            <w:r>
              <w:rPr>
                <w:b/>
                <w:sz w:val="20"/>
              </w:rPr>
              <w:t>gov_midyear_ch ange_a</w:t>
            </w:r>
          </w:p>
        </w:tc>
        <w:tc>
          <w:tcPr>
            <w:tcW w:w="1596" w:type="dxa"/>
          </w:tcPr>
          <w:p w14:paraId="57655836" w14:textId="77777777" w:rsidR="0046798B" w:rsidRDefault="00903B5C">
            <w:pPr>
              <w:pStyle w:val="TableParagraph"/>
              <w:spacing w:before="43"/>
              <w:ind w:left="114" w:right="97"/>
              <w:rPr>
                <w:sz w:val="20"/>
              </w:rPr>
            </w:pPr>
            <w:r>
              <w:rPr>
                <w:sz w:val="20"/>
              </w:rPr>
              <w:t>Dummy for gubernatorial change for “non- standard” departures</w:t>
            </w:r>
          </w:p>
        </w:tc>
        <w:tc>
          <w:tcPr>
            <w:tcW w:w="1280" w:type="dxa"/>
          </w:tcPr>
          <w:p w14:paraId="65F60148" w14:textId="77777777" w:rsidR="0046798B" w:rsidRDefault="0046798B">
            <w:pPr>
              <w:pStyle w:val="TableParagraph"/>
            </w:pPr>
          </w:p>
          <w:p w14:paraId="299C160D" w14:textId="77777777" w:rsidR="0046798B" w:rsidRDefault="0046798B">
            <w:pPr>
              <w:pStyle w:val="TableParagraph"/>
              <w:spacing w:before="9"/>
              <w:rPr>
                <w:sz w:val="21"/>
              </w:rPr>
            </w:pPr>
          </w:p>
          <w:p w14:paraId="6406C3F7" w14:textId="77777777" w:rsidR="0046798B" w:rsidRDefault="00903B5C">
            <w:pPr>
              <w:pStyle w:val="TableParagraph"/>
              <w:ind w:left="114"/>
              <w:rPr>
                <w:sz w:val="20"/>
              </w:rPr>
            </w:pPr>
            <w:r>
              <w:rPr>
                <w:sz w:val="20"/>
              </w:rPr>
              <w:t>1936–2010</w:t>
            </w:r>
          </w:p>
        </w:tc>
        <w:tc>
          <w:tcPr>
            <w:tcW w:w="3421" w:type="dxa"/>
          </w:tcPr>
          <w:p w14:paraId="7298D35D" w14:textId="77777777" w:rsidR="0046798B" w:rsidRDefault="0046798B">
            <w:pPr>
              <w:pStyle w:val="TableParagraph"/>
            </w:pPr>
          </w:p>
          <w:p w14:paraId="6BF1818E" w14:textId="77777777" w:rsidR="0046798B" w:rsidRDefault="00903B5C">
            <w:pPr>
              <w:pStyle w:val="TableParagraph"/>
              <w:spacing w:before="135"/>
              <w:ind w:left="114" w:right="354"/>
              <w:rPr>
                <w:sz w:val="20"/>
              </w:rPr>
            </w:pPr>
            <w:r>
              <w:rPr>
                <w:sz w:val="20"/>
              </w:rPr>
              <w:t>1 = gov_midyear_change_date has a date in it, blank = doesn’t.</w:t>
            </w:r>
          </w:p>
        </w:tc>
        <w:tc>
          <w:tcPr>
            <w:tcW w:w="6477" w:type="dxa"/>
          </w:tcPr>
          <w:p w14:paraId="2B041EA5" w14:textId="77777777" w:rsidR="0046798B" w:rsidRDefault="0046798B">
            <w:pPr>
              <w:pStyle w:val="TableParagraph"/>
            </w:pPr>
          </w:p>
          <w:p w14:paraId="581875BC" w14:textId="77777777" w:rsidR="0046798B" w:rsidRDefault="00903B5C">
            <w:pPr>
              <w:pStyle w:val="TableParagraph"/>
              <w:spacing w:before="135"/>
              <w:ind w:left="114" w:right="1261"/>
              <w:rPr>
                <w:sz w:val="20"/>
              </w:rPr>
            </w:pPr>
            <w:r>
              <w:rPr>
                <w:sz w:val="20"/>
              </w:rPr>
              <w:t xml:space="preserve">Klarner, Carl, 2013, “Governors Dataset”, </w:t>
            </w:r>
            <w:hyperlink r:id="rId413">
              <w:r>
                <w:rPr>
                  <w:color w:val="0462C1"/>
                  <w:sz w:val="20"/>
                  <w:u w:val="single" w:color="0462C1"/>
                </w:rPr>
                <w:t>https://doi.org/10.7910/DVN/PQ0Y1N</w:t>
              </w:r>
              <w:r>
                <w:rPr>
                  <w:sz w:val="20"/>
                </w:rPr>
                <w:t>,</w:t>
              </w:r>
            </w:hyperlink>
            <w:r>
              <w:rPr>
                <w:sz w:val="20"/>
              </w:rPr>
              <w:t xml:space="preserve"> Harvard Dataverse, V1</w:t>
            </w:r>
          </w:p>
        </w:tc>
      </w:tr>
      <w:tr w:rsidR="0046798B" w14:paraId="671FA21F" w14:textId="77777777">
        <w:trPr>
          <w:trHeight w:val="545"/>
        </w:trPr>
        <w:tc>
          <w:tcPr>
            <w:tcW w:w="1711" w:type="dxa"/>
          </w:tcPr>
          <w:p w14:paraId="14527CD0" w14:textId="77777777" w:rsidR="0046798B" w:rsidRDefault="00903B5C">
            <w:pPr>
              <w:pStyle w:val="TableParagraph"/>
              <w:spacing w:before="43"/>
              <w:ind w:left="115"/>
              <w:rPr>
                <w:b/>
                <w:sz w:val="20"/>
              </w:rPr>
            </w:pPr>
            <w:r>
              <w:rPr>
                <w:b/>
                <w:sz w:val="20"/>
              </w:rPr>
              <w:t>budget_pass2011</w:t>
            </w:r>
          </w:p>
          <w:p w14:paraId="3B8AF18F" w14:textId="77777777" w:rsidR="0046798B" w:rsidRDefault="00903B5C">
            <w:pPr>
              <w:pStyle w:val="TableParagraph"/>
              <w:ind w:left="115"/>
              <w:rPr>
                <w:b/>
                <w:sz w:val="20"/>
              </w:rPr>
            </w:pPr>
            <w:r>
              <w:rPr>
                <w:b/>
                <w:sz w:val="20"/>
              </w:rPr>
              <w:t>_04_20</w:t>
            </w:r>
          </w:p>
        </w:tc>
        <w:tc>
          <w:tcPr>
            <w:tcW w:w="1596" w:type="dxa"/>
          </w:tcPr>
          <w:p w14:paraId="5C61C50D" w14:textId="77777777" w:rsidR="0046798B" w:rsidRDefault="00903B5C">
            <w:pPr>
              <w:pStyle w:val="TableParagraph"/>
              <w:spacing w:before="43"/>
              <w:ind w:left="114" w:right="291"/>
              <w:rPr>
                <w:sz w:val="20"/>
              </w:rPr>
            </w:pPr>
            <w:r>
              <w:rPr>
                <w:sz w:val="20"/>
              </w:rPr>
              <w:t>Budget passed dummy</w:t>
            </w:r>
          </w:p>
        </w:tc>
        <w:tc>
          <w:tcPr>
            <w:tcW w:w="1280" w:type="dxa"/>
          </w:tcPr>
          <w:p w14:paraId="2DD17637" w14:textId="77777777" w:rsidR="0046798B" w:rsidRDefault="00903B5C">
            <w:pPr>
              <w:pStyle w:val="TableParagraph"/>
              <w:spacing w:before="158"/>
              <w:ind w:left="114"/>
              <w:rPr>
                <w:sz w:val="20"/>
              </w:rPr>
            </w:pPr>
            <w:r>
              <w:rPr>
                <w:sz w:val="20"/>
              </w:rPr>
              <w:t>1958–2010</w:t>
            </w:r>
          </w:p>
        </w:tc>
        <w:tc>
          <w:tcPr>
            <w:tcW w:w="3421" w:type="dxa"/>
          </w:tcPr>
          <w:p w14:paraId="57B0E46F" w14:textId="77777777" w:rsidR="0046798B" w:rsidRDefault="00903B5C">
            <w:pPr>
              <w:pStyle w:val="TableParagraph"/>
              <w:spacing w:before="43"/>
              <w:ind w:left="114" w:right="531"/>
              <w:rPr>
                <w:sz w:val="20"/>
              </w:rPr>
            </w:pPr>
            <w:r>
              <w:rPr>
                <w:sz w:val="20"/>
              </w:rPr>
              <w:t>Dummy: 1 = budget passed in this year.</w:t>
            </w:r>
          </w:p>
        </w:tc>
        <w:tc>
          <w:tcPr>
            <w:tcW w:w="6477" w:type="dxa"/>
          </w:tcPr>
          <w:p w14:paraId="383868F7" w14:textId="77777777" w:rsidR="0046798B" w:rsidRDefault="00903B5C">
            <w:pPr>
              <w:pStyle w:val="TableParagraph"/>
              <w:spacing w:before="43"/>
              <w:ind w:left="114" w:right="1261"/>
              <w:rPr>
                <w:sz w:val="20"/>
              </w:rPr>
            </w:pPr>
            <w:r>
              <w:rPr>
                <w:sz w:val="20"/>
              </w:rPr>
              <w:t xml:space="preserve">Klarner, Carl, 2013, “Governors Dataset”, </w:t>
            </w:r>
            <w:hyperlink r:id="rId414">
              <w:r>
                <w:rPr>
                  <w:color w:val="0462C1"/>
                  <w:sz w:val="20"/>
                  <w:u w:val="single" w:color="0462C1"/>
                </w:rPr>
                <w:t>https://doi.org/10.7910/DVN/PQ0Y1N</w:t>
              </w:r>
              <w:r>
                <w:rPr>
                  <w:sz w:val="20"/>
                </w:rPr>
                <w:t>,</w:t>
              </w:r>
            </w:hyperlink>
            <w:r>
              <w:rPr>
                <w:sz w:val="20"/>
              </w:rPr>
              <w:t xml:space="preserve"> Harvard Dataverse, V1</w:t>
            </w:r>
          </w:p>
        </w:tc>
      </w:tr>
      <w:tr w:rsidR="0046798B" w14:paraId="59B5CA8B" w14:textId="77777777">
        <w:trPr>
          <w:trHeight w:val="775"/>
        </w:trPr>
        <w:tc>
          <w:tcPr>
            <w:tcW w:w="1711" w:type="dxa"/>
          </w:tcPr>
          <w:p w14:paraId="439B69A9" w14:textId="77777777" w:rsidR="0046798B" w:rsidRDefault="00903B5C">
            <w:pPr>
              <w:pStyle w:val="TableParagraph"/>
              <w:spacing w:before="158"/>
              <w:ind w:left="115" w:right="144"/>
              <w:rPr>
                <w:b/>
                <w:sz w:val="20"/>
              </w:rPr>
            </w:pPr>
            <w:r>
              <w:rPr>
                <w:b/>
                <w:sz w:val="20"/>
              </w:rPr>
              <w:t>when_leg_met20 11_04_13</w:t>
            </w:r>
          </w:p>
        </w:tc>
        <w:tc>
          <w:tcPr>
            <w:tcW w:w="1596" w:type="dxa"/>
          </w:tcPr>
          <w:p w14:paraId="3C314F89" w14:textId="77777777" w:rsidR="0046798B" w:rsidRDefault="00903B5C">
            <w:pPr>
              <w:pStyle w:val="TableParagraph"/>
              <w:spacing w:before="158"/>
              <w:ind w:left="114" w:right="113"/>
              <w:rPr>
                <w:sz w:val="20"/>
              </w:rPr>
            </w:pPr>
            <w:r>
              <w:rPr>
                <w:sz w:val="20"/>
              </w:rPr>
              <w:t>Dates legislature met</w:t>
            </w:r>
          </w:p>
        </w:tc>
        <w:tc>
          <w:tcPr>
            <w:tcW w:w="1280" w:type="dxa"/>
          </w:tcPr>
          <w:p w14:paraId="4AC51E20" w14:textId="77777777" w:rsidR="0046798B" w:rsidRDefault="0046798B">
            <w:pPr>
              <w:pStyle w:val="TableParagraph"/>
              <w:spacing w:before="9"/>
              <w:rPr>
                <w:sz w:val="23"/>
              </w:rPr>
            </w:pPr>
          </w:p>
          <w:p w14:paraId="072185EC" w14:textId="77777777" w:rsidR="0046798B" w:rsidRDefault="00903B5C">
            <w:pPr>
              <w:pStyle w:val="TableParagraph"/>
              <w:ind w:left="114"/>
              <w:rPr>
                <w:sz w:val="20"/>
              </w:rPr>
            </w:pPr>
            <w:r>
              <w:rPr>
                <w:sz w:val="20"/>
              </w:rPr>
              <w:t>Various</w:t>
            </w:r>
          </w:p>
        </w:tc>
        <w:tc>
          <w:tcPr>
            <w:tcW w:w="3421" w:type="dxa"/>
          </w:tcPr>
          <w:p w14:paraId="2C1B6F79" w14:textId="77777777" w:rsidR="0046798B" w:rsidRDefault="00903B5C">
            <w:pPr>
              <w:pStyle w:val="TableParagraph"/>
              <w:spacing w:before="43"/>
              <w:ind w:left="114" w:right="475"/>
              <w:rPr>
                <w:sz w:val="20"/>
              </w:rPr>
            </w:pPr>
            <w:r>
              <w:rPr>
                <w:sz w:val="20"/>
              </w:rPr>
              <w:t>Dates legislature met. Only input if mid-year change in governor.</w:t>
            </w:r>
          </w:p>
          <w:p w14:paraId="33904C66" w14:textId="77777777" w:rsidR="0046798B" w:rsidRDefault="00903B5C">
            <w:pPr>
              <w:pStyle w:val="TableParagraph"/>
              <w:spacing w:before="1"/>
              <w:ind w:left="114"/>
              <w:rPr>
                <w:sz w:val="20"/>
              </w:rPr>
            </w:pPr>
            <w:r>
              <w:rPr>
                <w:sz w:val="20"/>
              </w:rPr>
              <w:t>Incomplete.</w:t>
            </w:r>
          </w:p>
        </w:tc>
        <w:tc>
          <w:tcPr>
            <w:tcW w:w="6477" w:type="dxa"/>
          </w:tcPr>
          <w:p w14:paraId="41CFBDEB" w14:textId="77777777" w:rsidR="0046798B" w:rsidRDefault="00903B5C">
            <w:pPr>
              <w:pStyle w:val="TableParagraph"/>
              <w:spacing w:before="158"/>
              <w:ind w:left="114" w:right="1261"/>
              <w:rPr>
                <w:sz w:val="20"/>
              </w:rPr>
            </w:pPr>
            <w:r>
              <w:rPr>
                <w:sz w:val="20"/>
              </w:rPr>
              <w:t xml:space="preserve">Klarner, Carl, 2013, “Governors Dataset”, </w:t>
            </w:r>
            <w:hyperlink r:id="rId415">
              <w:r>
                <w:rPr>
                  <w:color w:val="0462C1"/>
                  <w:sz w:val="20"/>
                  <w:u w:val="single" w:color="0462C1"/>
                </w:rPr>
                <w:t>https://doi.org/10.7910/DVN/PQ0Y1N</w:t>
              </w:r>
              <w:r>
                <w:rPr>
                  <w:sz w:val="20"/>
                </w:rPr>
                <w:t>,</w:t>
              </w:r>
            </w:hyperlink>
            <w:r>
              <w:rPr>
                <w:sz w:val="20"/>
              </w:rPr>
              <w:t xml:space="preserve"> Harvard Dataverse, V1</w:t>
            </w:r>
          </w:p>
        </w:tc>
      </w:tr>
      <w:tr w:rsidR="0046798B" w14:paraId="4EA43E88" w14:textId="77777777">
        <w:trPr>
          <w:trHeight w:val="1700"/>
        </w:trPr>
        <w:tc>
          <w:tcPr>
            <w:tcW w:w="1711" w:type="dxa"/>
          </w:tcPr>
          <w:p w14:paraId="2E281F19" w14:textId="77777777" w:rsidR="0046798B" w:rsidRDefault="0046798B">
            <w:pPr>
              <w:pStyle w:val="TableParagraph"/>
            </w:pPr>
          </w:p>
          <w:p w14:paraId="543DCB70" w14:textId="77777777" w:rsidR="0046798B" w:rsidRDefault="0046798B">
            <w:pPr>
              <w:pStyle w:val="TableParagraph"/>
              <w:spacing w:before="9"/>
              <w:rPr>
                <w:sz w:val="31"/>
              </w:rPr>
            </w:pPr>
          </w:p>
          <w:p w14:paraId="61B25ADB" w14:textId="77777777" w:rsidR="0046798B" w:rsidRDefault="00903B5C">
            <w:pPr>
              <w:pStyle w:val="TableParagraph"/>
              <w:ind w:left="115" w:right="155"/>
              <w:rPr>
                <w:b/>
                <w:sz w:val="20"/>
              </w:rPr>
            </w:pPr>
            <w:r>
              <w:rPr>
                <w:b/>
                <w:sz w:val="20"/>
              </w:rPr>
              <w:t>gov_midyear_ch ange_b</w:t>
            </w:r>
          </w:p>
        </w:tc>
        <w:tc>
          <w:tcPr>
            <w:tcW w:w="1596" w:type="dxa"/>
          </w:tcPr>
          <w:p w14:paraId="1254753A" w14:textId="77777777" w:rsidR="0046798B" w:rsidRDefault="0046798B">
            <w:pPr>
              <w:pStyle w:val="TableParagraph"/>
            </w:pPr>
          </w:p>
          <w:p w14:paraId="4D21FA9A" w14:textId="77777777" w:rsidR="0046798B" w:rsidRDefault="00903B5C">
            <w:pPr>
              <w:pStyle w:val="TableParagraph"/>
              <w:spacing w:before="135"/>
              <w:ind w:left="114" w:right="130"/>
              <w:rPr>
                <w:sz w:val="20"/>
              </w:rPr>
            </w:pPr>
            <w:r>
              <w:rPr>
                <w:sz w:val="20"/>
              </w:rPr>
              <w:t>Gubernatorial mid-year change before election dummy</w:t>
            </w:r>
          </w:p>
        </w:tc>
        <w:tc>
          <w:tcPr>
            <w:tcW w:w="1280" w:type="dxa"/>
          </w:tcPr>
          <w:p w14:paraId="2B97B931" w14:textId="77777777" w:rsidR="0046798B" w:rsidRDefault="0046798B">
            <w:pPr>
              <w:pStyle w:val="TableParagraph"/>
            </w:pPr>
          </w:p>
          <w:p w14:paraId="76A85F12" w14:textId="77777777" w:rsidR="0046798B" w:rsidRDefault="0046798B">
            <w:pPr>
              <w:pStyle w:val="TableParagraph"/>
            </w:pPr>
          </w:p>
          <w:p w14:paraId="34542050" w14:textId="77777777" w:rsidR="0046798B" w:rsidRDefault="0046798B">
            <w:pPr>
              <w:pStyle w:val="TableParagraph"/>
              <w:spacing w:before="9"/>
              <w:rPr>
                <w:sz w:val="19"/>
              </w:rPr>
            </w:pPr>
          </w:p>
          <w:p w14:paraId="1A6870C3" w14:textId="77777777" w:rsidR="0046798B" w:rsidRDefault="00903B5C">
            <w:pPr>
              <w:pStyle w:val="TableParagraph"/>
              <w:ind w:left="114"/>
              <w:rPr>
                <w:sz w:val="20"/>
              </w:rPr>
            </w:pPr>
            <w:r>
              <w:rPr>
                <w:sz w:val="20"/>
              </w:rPr>
              <w:t>1961–2010</w:t>
            </w:r>
          </w:p>
        </w:tc>
        <w:tc>
          <w:tcPr>
            <w:tcW w:w="3421" w:type="dxa"/>
          </w:tcPr>
          <w:p w14:paraId="33BA9832" w14:textId="77777777" w:rsidR="0046798B" w:rsidRDefault="00903B5C">
            <w:pPr>
              <w:pStyle w:val="TableParagraph"/>
              <w:spacing w:before="43"/>
              <w:ind w:left="114" w:right="128"/>
              <w:rPr>
                <w:sz w:val="20"/>
              </w:rPr>
            </w:pPr>
            <w:r>
              <w:rPr>
                <w:sz w:val="20"/>
              </w:rPr>
              <w:t>1 = governor changes mid-year. Mid- year for this variable means that the governor came in before the November election, or when a November election could have been in the case of a non- election year. Note non-standard election dates for Louisiana, and how</w:t>
            </w:r>
          </w:p>
        </w:tc>
        <w:tc>
          <w:tcPr>
            <w:tcW w:w="6477" w:type="dxa"/>
          </w:tcPr>
          <w:p w14:paraId="186D8837" w14:textId="77777777" w:rsidR="0046798B" w:rsidRDefault="0046798B">
            <w:pPr>
              <w:pStyle w:val="TableParagraph"/>
            </w:pPr>
          </w:p>
          <w:p w14:paraId="3D0F557C" w14:textId="77777777" w:rsidR="0046798B" w:rsidRDefault="0046798B">
            <w:pPr>
              <w:pStyle w:val="TableParagraph"/>
              <w:spacing w:before="9"/>
              <w:rPr>
                <w:sz w:val="31"/>
              </w:rPr>
            </w:pPr>
          </w:p>
          <w:p w14:paraId="104F5609" w14:textId="77777777" w:rsidR="0046798B" w:rsidRDefault="00903B5C">
            <w:pPr>
              <w:pStyle w:val="TableParagraph"/>
              <w:ind w:left="114" w:right="1261"/>
              <w:rPr>
                <w:sz w:val="20"/>
              </w:rPr>
            </w:pPr>
            <w:r>
              <w:rPr>
                <w:sz w:val="20"/>
              </w:rPr>
              <w:t xml:space="preserve">Klarner, Carl, 2013, “Governors Dataset”, </w:t>
            </w:r>
            <w:hyperlink r:id="rId416">
              <w:r>
                <w:rPr>
                  <w:color w:val="0462C1"/>
                  <w:sz w:val="20"/>
                  <w:u w:val="single" w:color="0462C1"/>
                </w:rPr>
                <w:t>https://doi.org/10.7910/DVN/PQ0Y1N</w:t>
              </w:r>
              <w:r>
                <w:rPr>
                  <w:sz w:val="20"/>
                </w:rPr>
                <w:t>,</w:t>
              </w:r>
            </w:hyperlink>
            <w:r>
              <w:rPr>
                <w:sz w:val="20"/>
              </w:rPr>
              <w:t xml:space="preserve"> Harvard Dataverse, V1</w:t>
            </w:r>
          </w:p>
        </w:tc>
      </w:tr>
    </w:tbl>
    <w:p w14:paraId="0DFFC824" w14:textId="77777777" w:rsidR="0046798B" w:rsidRDefault="0046798B">
      <w:pPr>
        <w:rPr>
          <w:sz w:val="20"/>
        </w:rPr>
        <w:sectPr w:rsidR="0046798B">
          <w:pgSz w:w="15840" w:h="12240" w:orient="landscape"/>
          <w:pgMar w:top="1220" w:right="300" w:bottom="980" w:left="820" w:header="730" w:footer="787" w:gutter="0"/>
          <w:cols w:space="720"/>
        </w:sectPr>
      </w:pPr>
    </w:p>
    <w:p w14:paraId="28ADD3AA"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0"/>
        <w:gridCol w:w="3421"/>
        <w:gridCol w:w="6477"/>
      </w:tblGrid>
      <w:tr w:rsidR="0046798B" w14:paraId="1CAF9D81" w14:textId="77777777">
        <w:trPr>
          <w:trHeight w:val="542"/>
        </w:trPr>
        <w:tc>
          <w:tcPr>
            <w:tcW w:w="1711" w:type="dxa"/>
            <w:tcBorders>
              <w:bottom w:val="dotted" w:sz="6" w:space="0" w:color="BEBEBE"/>
            </w:tcBorders>
          </w:tcPr>
          <w:p w14:paraId="2F9DD848" w14:textId="77777777" w:rsidR="0046798B" w:rsidRDefault="0046798B">
            <w:pPr>
              <w:pStyle w:val="TableParagraph"/>
              <w:rPr>
                <w:sz w:val="20"/>
              </w:rPr>
            </w:pPr>
          </w:p>
        </w:tc>
        <w:tc>
          <w:tcPr>
            <w:tcW w:w="1596" w:type="dxa"/>
            <w:tcBorders>
              <w:bottom w:val="dotted" w:sz="6" w:space="0" w:color="BEBEBE"/>
            </w:tcBorders>
          </w:tcPr>
          <w:p w14:paraId="557F0C7C" w14:textId="77777777" w:rsidR="0046798B" w:rsidRDefault="0046798B">
            <w:pPr>
              <w:pStyle w:val="TableParagraph"/>
              <w:rPr>
                <w:sz w:val="20"/>
              </w:rPr>
            </w:pPr>
          </w:p>
        </w:tc>
        <w:tc>
          <w:tcPr>
            <w:tcW w:w="1280" w:type="dxa"/>
            <w:tcBorders>
              <w:bottom w:val="dotted" w:sz="6" w:space="0" w:color="BEBEBE"/>
            </w:tcBorders>
          </w:tcPr>
          <w:p w14:paraId="060ED215" w14:textId="77777777" w:rsidR="0046798B" w:rsidRDefault="0046798B">
            <w:pPr>
              <w:pStyle w:val="TableParagraph"/>
              <w:rPr>
                <w:sz w:val="20"/>
              </w:rPr>
            </w:pPr>
          </w:p>
        </w:tc>
        <w:tc>
          <w:tcPr>
            <w:tcW w:w="3421" w:type="dxa"/>
            <w:tcBorders>
              <w:bottom w:val="dotted" w:sz="6" w:space="0" w:color="BEBEBE"/>
            </w:tcBorders>
          </w:tcPr>
          <w:p w14:paraId="019E2BBA" w14:textId="77777777" w:rsidR="0046798B" w:rsidRDefault="00903B5C">
            <w:pPr>
              <w:pStyle w:val="TableParagraph"/>
              <w:spacing w:before="43"/>
              <w:ind w:left="114" w:right="137"/>
              <w:rPr>
                <w:sz w:val="20"/>
              </w:rPr>
            </w:pPr>
            <w:r>
              <w:rPr>
                <w:sz w:val="20"/>
              </w:rPr>
              <w:t>these influence decisions specified in gov_midyear_change_b_note. 0 = else.</w:t>
            </w:r>
          </w:p>
        </w:tc>
        <w:tc>
          <w:tcPr>
            <w:tcW w:w="6477" w:type="dxa"/>
            <w:tcBorders>
              <w:bottom w:val="dotted" w:sz="6" w:space="0" w:color="BEBEBE"/>
            </w:tcBorders>
          </w:tcPr>
          <w:p w14:paraId="2C00259C" w14:textId="77777777" w:rsidR="0046798B" w:rsidRDefault="0046798B">
            <w:pPr>
              <w:pStyle w:val="TableParagraph"/>
              <w:rPr>
                <w:sz w:val="20"/>
              </w:rPr>
            </w:pPr>
          </w:p>
        </w:tc>
      </w:tr>
      <w:tr w:rsidR="0046798B" w14:paraId="54DBF1F1" w14:textId="77777777">
        <w:trPr>
          <w:trHeight w:val="1002"/>
        </w:trPr>
        <w:tc>
          <w:tcPr>
            <w:tcW w:w="1711" w:type="dxa"/>
            <w:tcBorders>
              <w:top w:val="dotted" w:sz="6" w:space="0" w:color="BEBEBE"/>
            </w:tcBorders>
          </w:tcPr>
          <w:p w14:paraId="183A15F3" w14:textId="77777777" w:rsidR="0046798B" w:rsidRDefault="0046798B">
            <w:pPr>
              <w:pStyle w:val="TableParagraph"/>
              <w:spacing w:before="6"/>
              <w:rPr>
                <w:sz w:val="23"/>
              </w:rPr>
            </w:pPr>
          </w:p>
          <w:p w14:paraId="0768D054" w14:textId="77777777" w:rsidR="0046798B" w:rsidRDefault="00903B5C">
            <w:pPr>
              <w:pStyle w:val="TableParagraph"/>
              <w:ind w:left="115" w:right="155"/>
              <w:rPr>
                <w:b/>
                <w:sz w:val="20"/>
              </w:rPr>
            </w:pPr>
            <w:r>
              <w:rPr>
                <w:b/>
                <w:sz w:val="20"/>
              </w:rPr>
              <w:t>gov_midyear_ch ange_b_note</w:t>
            </w:r>
          </w:p>
        </w:tc>
        <w:tc>
          <w:tcPr>
            <w:tcW w:w="1596" w:type="dxa"/>
            <w:tcBorders>
              <w:top w:val="dotted" w:sz="6" w:space="0" w:color="BEBEBE"/>
            </w:tcBorders>
          </w:tcPr>
          <w:p w14:paraId="5B0CD575" w14:textId="77777777" w:rsidR="0046798B" w:rsidRDefault="00903B5C">
            <w:pPr>
              <w:pStyle w:val="TableParagraph"/>
              <w:spacing w:before="40"/>
              <w:ind w:left="114" w:right="130"/>
              <w:rPr>
                <w:sz w:val="20"/>
              </w:rPr>
            </w:pPr>
            <w:r>
              <w:rPr>
                <w:sz w:val="20"/>
              </w:rPr>
              <w:t>Gubernatorial mid-year change before election notes</w:t>
            </w:r>
          </w:p>
        </w:tc>
        <w:tc>
          <w:tcPr>
            <w:tcW w:w="1280" w:type="dxa"/>
            <w:tcBorders>
              <w:top w:val="dotted" w:sz="6" w:space="0" w:color="BEBEBE"/>
            </w:tcBorders>
          </w:tcPr>
          <w:p w14:paraId="1665CEC6" w14:textId="77777777" w:rsidR="0046798B" w:rsidRDefault="0046798B">
            <w:pPr>
              <w:pStyle w:val="TableParagraph"/>
            </w:pPr>
          </w:p>
          <w:p w14:paraId="5ABA34E1" w14:textId="77777777" w:rsidR="0046798B" w:rsidRDefault="00903B5C">
            <w:pPr>
              <w:pStyle w:val="TableParagraph"/>
              <w:spacing w:before="133"/>
              <w:ind w:left="114"/>
              <w:rPr>
                <w:sz w:val="20"/>
              </w:rPr>
            </w:pPr>
            <w:r>
              <w:rPr>
                <w:sz w:val="20"/>
              </w:rPr>
              <w:t>1961–2010</w:t>
            </w:r>
          </w:p>
        </w:tc>
        <w:tc>
          <w:tcPr>
            <w:tcW w:w="3421" w:type="dxa"/>
            <w:tcBorders>
              <w:top w:val="dotted" w:sz="6" w:space="0" w:color="BEBEBE"/>
            </w:tcBorders>
          </w:tcPr>
          <w:p w14:paraId="348B895C" w14:textId="77777777" w:rsidR="0046798B" w:rsidRDefault="0046798B">
            <w:pPr>
              <w:pStyle w:val="TableParagraph"/>
            </w:pPr>
          </w:p>
          <w:p w14:paraId="68215E4B" w14:textId="77777777" w:rsidR="0046798B" w:rsidRDefault="00903B5C">
            <w:pPr>
              <w:pStyle w:val="TableParagraph"/>
              <w:spacing w:before="133"/>
              <w:ind w:left="114"/>
              <w:rPr>
                <w:sz w:val="20"/>
              </w:rPr>
            </w:pPr>
            <w:r>
              <w:rPr>
                <w:sz w:val="20"/>
              </w:rPr>
              <w:t>Note about gov_midyear_change_b</w:t>
            </w:r>
          </w:p>
        </w:tc>
        <w:tc>
          <w:tcPr>
            <w:tcW w:w="6477" w:type="dxa"/>
            <w:tcBorders>
              <w:top w:val="dotted" w:sz="6" w:space="0" w:color="BEBEBE"/>
            </w:tcBorders>
          </w:tcPr>
          <w:p w14:paraId="632B5536" w14:textId="77777777" w:rsidR="0046798B" w:rsidRDefault="0046798B">
            <w:pPr>
              <w:pStyle w:val="TableParagraph"/>
              <w:spacing w:before="6"/>
              <w:rPr>
                <w:sz w:val="23"/>
              </w:rPr>
            </w:pPr>
          </w:p>
          <w:p w14:paraId="1070DD06" w14:textId="77777777" w:rsidR="0046798B" w:rsidRDefault="00903B5C">
            <w:pPr>
              <w:pStyle w:val="TableParagraph"/>
              <w:ind w:left="114" w:right="1261"/>
              <w:rPr>
                <w:sz w:val="20"/>
              </w:rPr>
            </w:pPr>
            <w:r>
              <w:rPr>
                <w:sz w:val="20"/>
              </w:rPr>
              <w:t xml:space="preserve">Klarner, Carl, 2013, “Governors Dataset”, </w:t>
            </w:r>
            <w:hyperlink r:id="rId417">
              <w:r>
                <w:rPr>
                  <w:color w:val="0462C1"/>
                  <w:sz w:val="20"/>
                  <w:u w:val="single" w:color="0462C1"/>
                </w:rPr>
                <w:t>https://doi.org/10.7910/DVN/PQ0Y1N</w:t>
              </w:r>
              <w:r>
                <w:rPr>
                  <w:sz w:val="20"/>
                </w:rPr>
                <w:t>,</w:t>
              </w:r>
            </w:hyperlink>
            <w:r>
              <w:rPr>
                <w:sz w:val="20"/>
              </w:rPr>
              <w:t xml:space="preserve"> Harvard Dataverse, V1</w:t>
            </w:r>
          </w:p>
        </w:tc>
      </w:tr>
      <w:tr w:rsidR="0046798B" w14:paraId="10E1ED05" w14:textId="77777777">
        <w:trPr>
          <w:trHeight w:val="3311"/>
        </w:trPr>
        <w:tc>
          <w:tcPr>
            <w:tcW w:w="1711" w:type="dxa"/>
          </w:tcPr>
          <w:p w14:paraId="14DD7E53" w14:textId="77777777" w:rsidR="0046798B" w:rsidRDefault="0046798B">
            <w:pPr>
              <w:pStyle w:val="TableParagraph"/>
            </w:pPr>
          </w:p>
          <w:p w14:paraId="1043EC7B" w14:textId="77777777" w:rsidR="0046798B" w:rsidRDefault="0046798B">
            <w:pPr>
              <w:pStyle w:val="TableParagraph"/>
            </w:pPr>
          </w:p>
          <w:p w14:paraId="18D3D240" w14:textId="77777777" w:rsidR="0046798B" w:rsidRDefault="0046798B">
            <w:pPr>
              <w:pStyle w:val="TableParagraph"/>
            </w:pPr>
          </w:p>
          <w:p w14:paraId="11359122" w14:textId="77777777" w:rsidR="0046798B" w:rsidRDefault="0046798B">
            <w:pPr>
              <w:pStyle w:val="TableParagraph"/>
            </w:pPr>
          </w:p>
          <w:p w14:paraId="4F0D7B73" w14:textId="77777777" w:rsidR="0046798B" w:rsidRDefault="0046798B">
            <w:pPr>
              <w:pStyle w:val="TableParagraph"/>
            </w:pPr>
          </w:p>
          <w:p w14:paraId="5345CA29" w14:textId="77777777" w:rsidR="0046798B" w:rsidRDefault="0046798B">
            <w:pPr>
              <w:pStyle w:val="TableParagraph"/>
              <w:spacing w:before="9"/>
              <w:rPr>
                <w:sz w:val="23"/>
              </w:rPr>
            </w:pPr>
          </w:p>
          <w:p w14:paraId="37696980" w14:textId="77777777" w:rsidR="0046798B" w:rsidRDefault="00903B5C">
            <w:pPr>
              <w:pStyle w:val="TableParagraph"/>
              <w:spacing w:before="1"/>
              <w:ind w:left="115"/>
              <w:rPr>
                <w:b/>
                <w:sz w:val="20"/>
              </w:rPr>
            </w:pPr>
            <w:r>
              <w:rPr>
                <w:b/>
                <w:sz w:val="20"/>
              </w:rPr>
              <w:t>new_gov_b</w:t>
            </w:r>
          </w:p>
        </w:tc>
        <w:tc>
          <w:tcPr>
            <w:tcW w:w="1596" w:type="dxa"/>
          </w:tcPr>
          <w:p w14:paraId="62012ED6" w14:textId="77777777" w:rsidR="0046798B" w:rsidRDefault="0046798B">
            <w:pPr>
              <w:pStyle w:val="TableParagraph"/>
            </w:pPr>
          </w:p>
          <w:p w14:paraId="626EB1B0" w14:textId="77777777" w:rsidR="0046798B" w:rsidRDefault="0046798B">
            <w:pPr>
              <w:pStyle w:val="TableParagraph"/>
            </w:pPr>
          </w:p>
          <w:p w14:paraId="4BA3A6FF" w14:textId="77777777" w:rsidR="0046798B" w:rsidRDefault="0046798B">
            <w:pPr>
              <w:pStyle w:val="TableParagraph"/>
            </w:pPr>
          </w:p>
          <w:p w14:paraId="604A5A5A" w14:textId="77777777" w:rsidR="0046798B" w:rsidRDefault="0046798B">
            <w:pPr>
              <w:pStyle w:val="TableParagraph"/>
            </w:pPr>
          </w:p>
          <w:p w14:paraId="1F79271B" w14:textId="77777777" w:rsidR="0046798B" w:rsidRDefault="0046798B">
            <w:pPr>
              <w:pStyle w:val="TableParagraph"/>
              <w:spacing w:before="9"/>
              <w:rPr>
                <w:sz w:val="25"/>
              </w:rPr>
            </w:pPr>
          </w:p>
          <w:p w14:paraId="05DE0CAE" w14:textId="77777777" w:rsidR="0046798B" w:rsidRDefault="00903B5C">
            <w:pPr>
              <w:pStyle w:val="TableParagraph"/>
              <w:spacing w:before="1"/>
              <w:ind w:left="114" w:right="87"/>
              <w:rPr>
                <w:sz w:val="20"/>
              </w:rPr>
            </w:pPr>
            <w:r>
              <w:rPr>
                <w:sz w:val="20"/>
              </w:rPr>
              <w:t>New governor (non-incumbent) dummy</w:t>
            </w:r>
          </w:p>
        </w:tc>
        <w:tc>
          <w:tcPr>
            <w:tcW w:w="1280" w:type="dxa"/>
          </w:tcPr>
          <w:p w14:paraId="329928D5" w14:textId="77777777" w:rsidR="0046798B" w:rsidRDefault="0046798B">
            <w:pPr>
              <w:pStyle w:val="TableParagraph"/>
            </w:pPr>
          </w:p>
          <w:p w14:paraId="38C04101" w14:textId="77777777" w:rsidR="0046798B" w:rsidRDefault="0046798B">
            <w:pPr>
              <w:pStyle w:val="TableParagraph"/>
            </w:pPr>
          </w:p>
          <w:p w14:paraId="428AA419" w14:textId="77777777" w:rsidR="0046798B" w:rsidRDefault="0046798B">
            <w:pPr>
              <w:pStyle w:val="TableParagraph"/>
            </w:pPr>
          </w:p>
          <w:p w14:paraId="5BC619AA" w14:textId="77777777" w:rsidR="0046798B" w:rsidRDefault="0046798B">
            <w:pPr>
              <w:pStyle w:val="TableParagraph"/>
            </w:pPr>
          </w:p>
          <w:p w14:paraId="59D36CA4" w14:textId="77777777" w:rsidR="0046798B" w:rsidRDefault="0046798B">
            <w:pPr>
              <w:pStyle w:val="TableParagraph"/>
            </w:pPr>
          </w:p>
          <w:p w14:paraId="1EFBC046" w14:textId="77777777" w:rsidR="0046798B" w:rsidRDefault="0046798B">
            <w:pPr>
              <w:pStyle w:val="TableParagraph"/>
              <w:spacing w:before="9"/>
              <w:rPr>
                <w:sz w:val="23"/>
              </w:rPr>
            </w:pPr>
          </w:p>
          <w:p w14:paraId="3B0BF819" w14:textId="77777777" w:rsidR="0046798B" w:rsidRDefault="00903B5C">
            <w:pPr>
              <w:pStyle w:val="TableParagraph"/>
              <w:spacing w:before="1"/>
              <w:ind w:left="114"/>
              <w:rPr>
                <w:sz w:val="20"/>
              </w:rPr>
            </w:pPr>
            <w:r>
              <w:rPr>
                <w:sz w:val="20"/>
              </w:rPr>
              <w:t>1961–2011</w:t>
            </w:r>
          </w:p>
        </w:tc>
        <w:tc>
          <w:tcPr>
            <w:tcW w:w="3421" w:type="dxa"/>
          </w:tcPr>
          <w:p w14:paraId="5539B989" w14:textId="77777777" w:rsidR="0046798B" w:rsidRDefault="00903B5C">
            <w:pPr>
              <w:pStyle w:val="TableParagraph"/>
              <w:spacing w:before="44"/>
              <w:ind w:left="114" w:right="79"/>
              <w:rPr>
                <w:sz w:val="20"/>
              </w:rPr>
            </w:pPr>
            <w:r>
              <w:rPr>
                <w:sz w:val="20"/>
              </w:rPr>
              <w:t>A new governor has come into office starting in the year marked with a one. This is marked “1” in the year after a November election (i.e., if a new governor was elected in 1984, 1985 is coded “1”). If there was a mid-year switch, the year of the switch is coded with a “1,” except if the switch comes after election time (early November), in which case this variable is coded “1” in the next calendar year. If a new governor comes into office that year, they are still coded as new even if they were a past governor.</w:t>
            </w:r>
          </w:p>
        </w:tc>
        <w:tc>
          <w:tcPr>
            <w:tcW w:w="6477" w:type="dxa"/>
          </w:tcPr>
          <w:p w14:paraId="228FB089" w14:textId="77777777" w:rsidR="0046798B" w:rsidRDefault="0046798B">
            <w:pPr>
              <w:pStyle w:val="TableParagraph"/>
            </w:pPr>
          </w:p>
          <w:p w14:paraId="7D744398" w14:textId="77777777" w:rsidR="0046798B" w:rsidRDefault="0046798B">
            <w:pPr>
              <w:pStyle w:val="TableParagraph"/>
            </w:pPr>
          </w:p>
          <w:p w14:paraId="70521786" w14:textId="77777777" w:rsidR="0046798B" w:rsidRDefault="0046798B">
            <w:pPr>
              <w:pStyle w:val="TableParagraph"/>
            </w:pPr>
          </w:p>
          <w:p w14:paraId="185D72E2" w14:textId="77777777" w:rsidR="0046798B" w:rsidRDefault="0046798B">
            <w:pPr>
              <w:pStyle w:val="TableParagraph"/>
            </w:pPr>
          </w:p>
          <w:p w14:paraId="540CFDAD" w14:textId="77777777" w:rsidR="0046798B" w:rsidRDefault="0046798B">
            <w:pPr>
              <w:pStyle w:val="TableParagraph"/>
            </w:pPr>
          </w:p>
          <w:p w14:paraId="116CAAD2" w14:textId="77777777" w:rsidR="0046798B" w:rsidRDefault="00903B5C">
            <w:pPr>
              <w:pStyle w:val="TableParagraph"/>
              <w:spacing w:before="159"/>
              <w:ind w:left="114" w:right="1261"/>
              <w:rPr>
                <w:sz w:val="20"/>
              </w:rPr>
            </w:pPr>
            <w:r>
              <w:rPr>
                <w:sz w:val="20"/>
              </w:rPr>
              <w:t xml:space="preserve">Klarner, Carl, 2013, “Governors Dataset”, </w:t>
            </w:r>
            <w:hyperlink r:id="rId418">
              <w:r>
                <w:rPr>
                  <w:color w:val="0462C1"/>
                  <w:sz w:val="20"/>
                  <w:u w:val="single" w:color="0462C1"/>
                </w:rPr>
                <w:t>https://doi.org/10.7910/DVN/PQ0Y1N</w:t>
              </w:r>
              <w:r>
                <w:rPr>
                  <w:sz w:val="20"/>
                </w:rPr>
                <w:t>,</w:t>
              </w:r>
            </w:hyperlink>
            <w:r>
              <w:rPr>
                <w:sz w:val="20"/>
              </w:rPr>
              <w:t xml:space="preserve"> Harvard Dataverse, V1</w:t>
            </w:r>
          </w:p>
        </w:tc>
      </w:tr>
      <w:tr w:rsidR="0046798B" w14:paraId="4735CD4C" w14:textId="77777777">
        <w:trPr>
          <w:trHeight w:val="2846"/>
        </w:trPr>
        <w:tc>
          <w:tcPr>
            <w:tcW w:w="1711" w:type="dxa"/>
          </w:tcPr>
          <w:p w14:paraId="464E8B2B" w14:textId="77777777" w:rsidR="0046798B" w:rsidRDefault="0046798B">
            <w:pPr>
              <w:pStyle w:val="TableParagraph"/>
            </w:pPr>
          </w:p>
          <w:p w14:paraId="4E3DCCDB" w14:textId="77777777" w:rsidR="0046798B" w:rsidRDefault="0046798B">
            <w:pPr>
              <w:pStyle w:val="TableParagraph"/>
            </w:pPr>
          </w:p>
          <w:p w14:paraId="33E8DE67" w14:textId="77777777" w:rsidR="0046798B" w:rsidRDefault="0046798B">
            <w:pPr>
              <w:pStyle w:val="TableParagraph"/>
            </w:pPr>
          </w:p>
          <w:p w14:paraId="07A8DE07" w14:textId="77777777" w:rsidR="0046798B" w:rsidRDefault="0046798B">
            <w:pPr>
              <w:pStyle w:val="TableParagraph"/>
            </w:pPr>
          </w:p>
          <w:p w14:paraId="745A6664" w14:textId="77777777" w:rsidR="0046798B" w:rsidRDefault="0046798B">
            <w:pPr>
              <w:pStyle w:val="TableParagraph"/>
              <w:spacing w:before="4"/>
              <w:rPr>
                <w:sz w:val="25"/>
              </w:rPr>
            </w:pPr>
          </w:p>
          <w:p w14:paraId="4B16FED7" w14:textId="77777777" w:rsidR="0046798B" w:rsidRDefault="00903B5C">
            <w:pPr>
              <w:pStyle w:val="TableParagraph"/>
              <w:ind w:left="115"/>
              <w:rPr>
                <w:b/>
                <w:sz w:val="20"/>
              </w:rPr>
            </w:pPr>
            <w:r>
              <w:rPr>
                <w:b/>
                <w:sz w:val="20"/>
              </w:rPr>
              <w:t>past_gov</w:t>
            </w:r>
          </w:p>
        </w:tc>
        <w:tc>
          <w:tcPr>
            <w:tcW w:w="1596" w:type="dxa"/>
          </w:tcPr>
          <w:p w14:paraId="4C3B6954" w14:textId="77777777" w:rsidR="0046798B" w:rsidRDefault="0046798B">
            <w:pPr>
              <w:pStyle w:val="TableParagraph"/>
            </w:pPr>
          </w:p>
          <w:p w14:paraId="1E449296" w14:textId="77777777" w:rsidR="0046798B" w:rsidRDefault="0046798B">
            <w:pPr>
              <w:pStyle w:val="TableParagraph"/>
            </w:pPr>
          </w:p>
          <w:p w14:paraId="47B83A84" w14:textId="77777777" w:rsidR="0046798B" w:rsidRDefault="0046798B">
            <w:pPr>
              <w:pStyle w:val="TableParagraph"/>
            </w:pPr>
          </w:p>
          <w:p w14:paraId="01A9B25F" w14:textId="77777777" w:rsidR="0046798B" w:rsidRDefault="0046798B">
            <w:pPr>
              <w:pStyle w:val="TableParagraph"/>
            </w:pPr>
          </w:p>
          <w:p w14:paraId="662CA6E0" w14:textId="77777777" w:rsidR="0046798B" w:rsidRDefault="00903B5C">
            <w:pPr>
              <w:pStyle w:val="TableParagraph"/>
              <w:spacing w:before="177"/>
              <w:ind w:left="114" w:right="346"/>
              <w:rPr>
                <w:sz w:val="20"/>
              </w:rPr>
            </w:pPr>
            <w:r>
              <w:rPr>
                <w:sz w:val="20"/>
              </w:rPr>
              <w:t>Past governor variable</w:t>
            </w:r>
          </w:p>
        </w:tc>
        <w:tc>
          <w:tcPr>
            <w:tcW w:w="1280" w:type="dxa"/>
          </w:tcPr>
          <w:p w14:paraId="5A0ABA56" w14:textId="77777777" w:rsidR="0046798B" w:rsidRDefault="0046798B">
            <w:pPr>
              <w:pStyle w:val="TableParagraph"/>
            </w:pPr>
          </w:p>
          <w:p w14:paraId="689B6E2D" w14:textId="77777777" w:rsidR="0046798B" w:rsidRDefault="0046798B">
            <w:pPr>
              <w:pStyle w:val="TableParagraph"/>
            </w:pPr>
          </w:p>
          <w:p w14:paraId="2DDE94A2" w14:textId="77777777" w:rsidR="0046798B" w:rsidRDefault="0046798B">
            <w:pPr>
              <w:pStyle w:val="TableParagraph"/>
            </w:pPr>
          </w:p>
          <w:p w14:paraId="4EF8CDFD" w14:textId="77777777" w:rsidR="0046798B" w:rsidRDefault="0046798B">
            <w:pPr>
              <w:pStyle w:val="TableParagraph"/>
            </w:pPr>
          </w:p>
          <w:p w14:paraId="3A033329" w14:textId="77777777" w:rsidR="0046798B" w:rsidRDefault="0046798B">
            <w:pPr>
              <w:pStyle w:val="TableParagraph"/>
              <w:spacing w:before="4"/>
              <w:rPr>
                <w:sz w:val="25"/>
              </w:rPr>
            </w:pPr>
          </w:p>
          <w:p w14:paraId="27CE73FA" w14:textId="77777777" w:rsidR="0046798B" w:rsidRDefault="00903B5C">
            <w:pPr>
              <w:pStyle w:val="TableParagraph"/>
              <w:ind w:left="114"/>
              <w:rPr>
                <w:sz w:val="20"/>
              </w:rPr>
            </w:pPr>
            <w:r>
              <w:rPr>
                <w:sz w:val="20"/>
              </w:rPr>
              <w:t>1961–2010</w:t>
            </w:r>
          </w:p>
        </w:tc>
        <w:tc>
          <w:tcPr>
            <w:tcW w:w="3421" w:type="dxa"/>
          </w:tcPr>
          <w:p w14:paraId="36440D9F" w14:textId="77777777" w:rsidR="0046798B" w:rsidRDefault="00903B5C">
            <w:pPr>
              <w:pStyle w:val="TableParagraph"/>
              <w:spacing w:before="38"/>
              <w:ind w:left="114" w:right="116"/>
              <w:rPr>
                <w:sz w:val="20"/>
              </w:rPr>
            </w:pPr>
            <w:r>
              <w:rPr>
                <w:sz w:val="20"/>
              </w:rPr>
              <w:t>Governor has served in the past, with someone serving in between. 1= served once in the past with someone else in between. Only coded for the first year of a gubernatorial administration (i.e., new_gov_b = 1). 2 = served twice in the past with two periods in between. Only coded for the first year of a gubernatorial administration (i.e., new_gov_b = 1). 3 = judgment call, see note in past_gov_note. Blank = either missing, or didn’t serve in the past.</w:t>
            </w:r>
          </w:p>
        </w:tc>
        <w:tc>
          <w:tcPr>
            <w:tcW w:w="6477" w:type="dxa"/>
          </w:tcPr>
          <w:p w14:paraId="6BCB5165" w14:textId="77777777" w:rsidR="0046798B" w:rsidRDefault="0046798B">
            <w:pPr>
              <w:pStyle w:val="TableParagraph"/>
            </w:pPr>
          </w:p>
          <w:p w14:paraId="71FE7837" w14:textId="77777777" w:rsidR="0046798B" w:rsidRDefault="0046798B">
            <w:pPr>
              <w:pStyle w:val="TableParagraph"/>
            </w:pPr>
          </w:p>
          <w:p w14:paraId="4A56BECE" w14:textId="77777777" w:rsidR="0046798B" w:rsidRDefault="0046798B">
            <w:pPr>
              <w:pStyle w:val="TableParagraph"/>
            </w:pPr>
          </w:p>
          <w:p w14:paraId="7CE2C32B" w14:textId="77777777" w:rsidR="0046798B" w:rsidRDefault="0046798B">
            <w:pPr>
              <w:pStyle w:val="TableParagraph"/>
            </w:pPr>
          </w:p>
          <w:p w14:paraId="22663CC3" w14:textId="77777777" w:rsidR="0046798B" w:rsidRDefault="00903B5C">
            <w:pPr>
              <w:pStyle w:val="TableParagraph"/>
              <w:spacing w:before="177"/>
              <w:ind w:left="114" w:right="1261"/>
              <w:rPr>
                <w:sz w:val="20"/>
              </w:rPr>
            </w:pPr>
            <w:r>
              <w:rPr>
                <w:sz w:val="20"/>
              </w:rPr>
              <w:t xml:space="preserve">Klarner, Carl, 2013, “Governors Dataset”, </w:t>
            </w:r>
            <w:hyperlink r:id="rId419">
              <w:r>
                <w:rPr>
                  <w:color w:val="0462C1"/>
                  <w:sz w:val="20"/>
                  <w:u w:val="single" w:color="0462C1"/>
                </w:rPr>
                <w:t>https://doi.org/10.7910/DVN/PQ0Y1N</w:t>
              </w:r>
              <w:r>
                <w:rPr>
                  <w:sz w:val="20"/>
                </w:rPr>
                <w:t>,</w:t>
              </w:r>
            </w:hyperlink>
            <w:r>
              <w:rPr>
                <w:sz w:val="20"/>
              </w:rPr>
              <w:t xml:space="preserve"> Harvard Dataverse, V1</w:t>
            </w:r>
          </w:p>
        </w:tc>
      </w:tr>
      <w:tr w:rsidR="0046798B" w14:paraId="35E753AF" w14:textId="77777777">
        <w:trPr>
          <w:trHeight w:val="545"/>
        </w:trPr>
        <w:tc>
          <w:tcPr>
            <w:tcW w:w="1711" w:type="dxa"/>
          </w:tcPr>
          <w:p w14:paraId="7611A8E2" w14:textId="77777777" w:rsidR="0046798B" w:rsidRDefault="00903B5C">
            <w:pPr>
              <w:pStyle w:val="TableParagraph"/>
              <w:spacing w:before="153"/>
              <w:ind w:left="115"/>
              <w:rPr>
                <w:b/>
                <w:sz w:val="20"/>
              </w:rPr>
            </w:pPr>
            <w:r>
              <w:rPr>
                <w:b/>
                <w:sz w:val="20"/>
              </w:rPr>
              <w:t>past_gov_note</w:t>
            </w:r>
          </w:p>
        </w:tc>
        <w:tc>
          <w:tcPr>
            <w:tcW w:w="1596" w:type="dxa"/>
          </w:tcPr>
          <w:p w14:paraId="1E88E2DC" w14:textId="77777777" w:rsidR="0046798B" w:rsidRDefault="00903B5C">
            <w:pPr>
              <w:pStyle w:val="TableParagraph"/>
              <w:spacing w:before="38"/>
              <w:ind w:left="114" w:right="346"/>
              <w:rPr>
                <w:sz w:val="20"/>
              </w:rPr>
            </w:pPr>
            <w:r>
              <w:rPr>
                <w:sz w:val="20"/>
              </w:rPr>
              <w:t>Past governor notes</w:t>
            </w:r>
          </w:p>
        </w:tc>
        <w:tc>
          <w:tcPr>
            <w:tcW w:w="1280" w:type="dxa"/>
          </w:tcPr>
          <w:p w14:paraId="0473D609" w14:textId="77777777" w:rsidR="0046798B" w:rsidRDefault="00903B5C">
            <w:pPr>
              <w:pStyle w:val="TableParagraph"/>
              <w:spacing w:before="153"/>
              <w:ind w:left="114"/>
              <w:rPr>
                <w:sz w:val="20"/>
              </w:rPr>
            </w:pPr>
            <w:r>
              <w:rPr>
                <w:sz w:val="20"/>
              </w:rPr>
              <w:t>1961–2010</w:t>
            </w:r>
          </w:p>
        </w:tc>
        <w:tc>
          <w:tcPr>
            <w:tcW w:w="3421" w:type="dxa"/>
          </w:tcPr>
          <w:p w14:paraId="6AE6CF04" w14:textId="77777777" w:rsidR="0046798B" w:rsidRDefault="00903B5C">
            <w:pPr>
              <w:pStyle w:val="TableParagraph"/>
              <w:spacing w:before="153"/>
              <w:ind w:left="114"/>
              <w:rPr>
                <w:sz w:val="20"/>
              </w:rPr>
            </w:pPr>
            <w:r>
              <w:rPr>
                <w:sz w:val="20"/>
              </w:rPr>
              <w:t>Note about past_gov.</w:t>
            </w:r>
          </w:p>
        </w:tc>
        <w:tc>
          <w:tcPr>
            <w:tcW w:w="6477" w:type="dxa"/>
          </w:tcPr>
          <w:p w14:paraId="33A0ABB0" w14:textId="77777777" w:rsidR="0046798B" w:rsidRDefault="00903B5C">
            <w:pPr>
              <w:pStyle w:val="TableParagraph"/>
              <w:spacing w:before="38"/>
              <w:ind w:left="114" w:right="1261"/>
              <w:rPr>
                <w:sz w:val="20"/>
              </w:rPr>
            </w:pPr>
            <w:r>
              <w:rPr>
                <w:sz w:val="20"/>
              </w:rPr>
              <w:t xml:space="preserve">Klarner, Carl, 2013, “Governors Dataset”, </w:t>
            </w:r>
            <w:hyperlink r:id="rId420">
              <w:r>
                <w:rPr>
                  <w:color w:val="0462C1"/>
                  <w:sz w:val="20"/>
                  <w:u w:val="single" w:color="0462C1"/>
                </w:rPr>
                <w:t>https://doi.org/10.7910/DVN/PQ0Y1N</w:t>
              </w:r>
              <w:r>
                <w:rPr>
                  <w:sz w:val="20"/>
                </w:rPr>
                <w:t>,</w:t>
              </w:r>
            </w:hyperlink>
            <w:r>
              <w:rPr>
                <w:sz w:val="20"/>
              </w:rPr>
              <w:t xml:space="preserve"> Harvard Dataverse, V1</w:t>
            </w:r>
          </w:p>
        </w:tc>
      </w:tr>
      <w:tr w:rsidR="0046798B" w14:paraId="0B358598" w14:textId="77777777">
        <w:trPr>
          <w:trHeight w:val="1005"/>
        </w:trPr>
        <w:tc>
          <w:tcPr>
            <w:tcW w:w="1711" w:type="dxa"/>
          </w:tcPr>
          <w:p w14:paraId="068224C3" w14:textId="77777777" w:rsidR="0046798B" w:rsidRDefault="0046798B">
            <w:pPr>
              <w:pStyle w:val="TableParagraph"/>
              <w:spacing w:before="3"/>
              <w:rPr>
                <w:sz w:val="23"/>
              </w:rPr>
            </w:pPr>
          </w:p>
          <w:p w14:paraId="49C90B8E" w14:textId="77777777" w:rsidR="0046798B" w:rsidRDefault="00903B5C">
            <w:pPr>
              <w:pStyle w:val="TableParagraph"/>
              <w:spacing w:before="1"/>
              <w:ind w:left="115" w:right="155"/>
              <w:rPr>
                <w:b/>
                <w:sz w:val="20"/>
              </w:rPr>
            </w:pPr>
            <w:r>
              <w:rPr>
                <w:b/>
                <w:sz w:val="20"/>
              </w:rPr>
              <w:t>gov_midyear_ch ange_c</w:t>
            </w:r>
          </w:p>
        </w:tc>
        <w:tc>
          <w:tcPr>
            <w:tcW w:w="1596" w:type="dxa"/>
          </w:tcPr>
          <w:p w14:paraId="40CD21B3" w14:textId="77777777" w:rsidR="0046798B" w:rsidRDefault="00903B5C">
            <w:pPr>
              <w:pStyle w:val="TableParagraph"/>
              <w:spacing w:before="153"/>
              <w:ind w:left="114" w:right="335"/>
              <w:jc w:val="both"/>
              <w:rPr>
                <w:sz w:val="20"/>
              </w:rPr>
            </w:pPr>
            <w:r>
              <w:rPr>
                <w:sz w:val="20"/>
              </w:rPr>
              <w:t>Gubernatorial change before budget passed</w:t>
            </w:r>
          </w:p>
        </w:tc>
        <w:tc>
          <w:tcPr>
            <w:tcW w:w="1280" w:type="dxa"/>
          </w:tcPr>
          <w:p w14:paraId="1892A513" w14:textId="77777777" w:rsidR="0046798B" w:rsidRDefault="0046798B">
            <w:pPr>
              <w:pStyle w:val="TableParagraph"/>
            </w:pPr>
          </w:p>
          <w:p w14:paraId="4CD38399" w14:textId="77777777" w:rsidR="0046798B" w:rsidRDefault="00903B5C">
            <w:pPr>
              <w:pStyle w:val="TableParagraph"/>
              <w:spacing w:before="130"/>
              <w:ind w:left="114"/>
              <w:rPr>
                <w:sz w:val="20"/>
              </w:rPr>
            </w:pPr>
            <w:r>
              <w:rPr>
                <w:sz w:val="20"/>
              </w:rPr>
              <w:t>1961–2010</w:t>
            </w:r>
          </w:p>
        </w:tc>
        <w:tc>
          <w:tcPr>
            <w:tcW w:w="3421" w:type="dxa"/>
          </w:tcPr>
          <w:p w14:paraId="696C592D" w14:textId="77777777" w:rsidR="0046798B" w:rsidRDefault="00903B5C">
            <w:pPr>
              <w:pStyle w:val="TableParagraph"/>
              <w:spacing w:before="38"/>
              <w:ind w:left="114" w:right="287"/>
              <w:rPr>
                <w:sz w:val="20"/>
              </w:rPr>
            </w:pPr>
            <w:r>
              <w:rPr>
                <w:sz w:val="20"/>
              </w:rPr>
              <w:t>1 = governor changes mid-year, from the perspective of the budget. If the new governor comes in before the budget is passed, then this gets a “1,”</w:t>
            </w:r>
          </w:p>
        </w:tc>
        <w:tc>
          <w:tcPr>
            <w:tcW w:w="6477" w:type="dxa"/>
          </w:tcPr>
          <w:p w14:paraId="7CA5EFF5" w14:textId="77777777" w:rsidR="0046798B" w:rsidRDefault="0046798B">
            <w:pPr>
              <w:pStyle w:val="TableParagraph"/>
              <w:spacing w:before="3"/>
              <w:rPr>
                <w:sz w:val="23"/>
              </w:rPr>
            </w:pPr>
          </w:p>
          <w:p w14:paraId="04F37754" w14:textId="77777777" w:rsidR="0046798B" w:rsidRDefault="00903B5C">
            <w:pPr>
              <w:pStyle w:val="TableParagraph"/>
              <w:spacing w:before="1"/>
              <w:ind w:left="114" w:right="1261"/>
              <w:rPr>
                <w:sz w:val="20"/>
              </w:rPr>
            </w:pPr>
            <w:r>
              <w:rPr>
                <w:sz w:val="20"/>
              </w:rPr>
              <w:t xml:space="preserve">Klarner, Carl, 2013, “Governors Dataset”, </w:t>
            </w:r>
            <w:hyperlink r:id="rId421">
              <w:r>
                <w:rPr>
                  <w:color w:val="0462C1"/>
                  <w:sz w:val="20"/>
                  <w:u w:val="single" w:color="0462C1"/>
                </w:rPr>
                <w:t>https://doi.org/10.7910/DVN/PQ0Y1N</w:t>
              </w:r>
              <w:r>
                <w:rPr>
                  <w:sz w:val="20"/>
                </w:rPr>
                <w:t>,</w:t>
              </w:r>
            </w:hyperlink>
            <w:r>
              <w:rPr>
                <w:sz w:val="20"/>
              </w:rPr>
              <w:t xml:space="preserve"> Harvard Dataverse, V1</w:t>
            </w:r>
          </w:p>
        </w:tc>
      </w:tr>
    </w:tbl>
    <w:p w14:paraId="1F52D4EA" w14:textId="77777777" w:rsidR="0046798B" w:rsidRDefault="0046798B">
      <w:pPr>
        <w:rPr>
          <w:sz w:val="20"/>
        </w:rPr>
        <w:sectPr w:rsidR="0046798B">
          <w:pgSz w:w="15840" w:h="12240" w:orient="landscape"/>
          <w:pgMar w:top="1220" w:right="300" w:bottom="980" w:left="820" w:header="730" w:footer="787" w:gutter="0"/>
          <w:cols w:space="720"/>
        </w:sectPr>
      </w:pPr>
    </w:p>
    <w:p w14:paraId="47BECD6E"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0"/>
        <w:gridCol w:w="3421"/>
        <w:gridCol w:w="6477"/>
      </w:tblGrid>
      <w:tr w:rsidR="0046798B" w14:paraId="1A6CA014" w14:textId="77777777">
        <w:trPr>
          <w:trHeight w:val="2846"/>
        </w:trPr>
        <w:tc>
          <w:tcPr>
            <w:tcW w:w="1711" w:type="dxa"/>
          </w:tcPr>
          <w:p w14:paraId="7DDBC62E" w14:textId="77777777" w:rsidR="0046798B" w:rsidRDefault="0046798B">
            <w:pPr>
              <w:pStyle w:val="TableParagraph"/>
              <w:rPr>
                <w:sz w:val="20"/>
              </w:rPr>
            </w:pPr>
          </w:p>
        </w:tc>
        <w:tc>
          <w:tcPr>
            <w:tcW w:w="1596" w:type="dxa"/>
          </w:tcPr>
          <w:p w14:paraId="734ECF04" w14:textId="77777777" w:rsidR="0046798B" w:rsidRDefault="0046798B">
            <w:pPr>
              <w:pStyle w:val="TableParagraph"/>
              <w:rPr>
                <w:sz w:val="20"/>
              </w:rPr>
            </w:pPr>
          </w:p>
        </w:tc>
        <w:tc>
          <w:tcPr>
            <w:tcW w:w="1280" w:type="dxa"/>
          </w:tcPr>
          <w:p w14:paraId="3168B37B" w14:textId="77777777" w:rsidR="0046798B" w:rsidRDefault="0046798B">
            <w:pPr>
              <w:pStyle w:val="TableParagraph"/>
              <w:rPr>
                <w:sz w:val="20"/>
              </w:rPr>
            </w:pPr>
          </w:p>
        </w:tc>
        <w:tc>
          <w:tcPr>
            <w:tcW w:w="3421" w:type="dxa"/>
          </w:tcPr>
          <w:p w14:paraId="18BA463C" w14:textId="77777777" w:rsidR="0046798B" w:rsidRDefault="00903B5C">
            <w:pPr>
              <w:pStyle w:val="TableParagraph"/>
              <w:spacing w:before="43"/>
              <w:ind w:left="114" w:right="133"/>
              <w:rPr>
                <w:sz w:val="20"/>
              </w:rPr>
            </w:pPr>
            <w:r>
              <w:rPr>
                <w:sz w:val="20"/>
              </w:rPr>
              <w:t xml:space="preserve">“0” if after the budget is passed. If the governor comes in very early in the year, before the session starts, or if only a few days were held, this gets a score of “0.” 0 = else. 2 = missing </w:t>
            </w:r>
            <w:r>
              <w:rPr>
                <w:spacing w:val="-3"/>
                <w:sz w:val="20"/>
              </w:rPr>
              <w:t xml:space="preserve">data. </w:t>
            </w:r>
            <w:r>
              <w:rPr>
                <w:sz w:val="20"/>
              </w:rPr>
              <w:t>Note: this variable is identical to gov_midyear_change_b, but altered from 1 to 0 when appropriate because of when the budget</w:t>
            </w:r>
            <w:r>
              <w:rPr>
                <w:spacing w:val="-2"/>
                <w:sz w:val="20"/>
              </w:rPr>
              <w:t xml:space="preserve"> </w:t>
            </w:r>
            <w:r>
              <w:rPr>
                <w:sz w:val="20"/>
              </w:rPr>
              <w:t>passes.</w:t>
            </w:r>
          </w:p>
          <w:p w14:paraId="3D252963" w14:textId="77777777" w:rsidR="0046798B" w:rsidRDefault="00903B5C">
            <w:pPr>
              <w:pStyle w:val="TableParagraph"/>
              <w:spacing w:before="1"/>
              <w:ind w:left="114" w:right="228"/>
              <w:rPr>
                <w:sz w:val="20"/>
              </w:rPr>
            </w:pPr>
            <w:r>
              <w:rPr>
                <w:sz w:val="20"/>
              </w:rPr>
              <w:t>Explanations for these changes can be found in the variable gov_midyear_change_c_note.</w:t>
            </w:r>
          </w:p>
        </w:tc>
        <w:tc>
          <w:tcPr>
            <w:tcW w:w="6477" w:type="dxa"/>
          </w:tcPr>
          <w:p w14:paraId="55B1A0A4" w14:textId="77777777" w:rsidR="0046798B" w:rsidRDefault="0046798B">
            <w:pPr>
              <w:pStyle w:val="TableParagraph"/>
              <w:rPr>
                <w:sz w:val="20"/>
              </w:rPr>
            </w:pPr>
          </w:p>
        </w:tc>
      </w:tr>
      <w:tr w:rsidR="0046798B" w14:paraId="52DF6F54" w14:textId="77777777">
        <w:trPr>
          <w:trHeight w:val="1005"/>
        </w:trPr>
        <w:tc>
          <w:tcPr>
            <w:tcW w:w="1711" w:type="dxa"/>
          </w:tcPr>
          <w:p w14:paraId="5445D357" w14:textId="77777777" w:rsidR="0046798B" w:rsidRDefault="0046798B">
            <w:pPr>
              <w:pStyle w:val="TableParagraph"/>
              <w:spacing w:before="8"/>
              <w:rPr>
                <w:sz w:val="23"/>
              </w:rPr>
            </w:pPr>
          </w:p>
          <w:p w14:paraId="15C993AA" w14:textId="77777777" w:rsidR="0046798B" w:rsidRDefault="00903B5C">
            <w:pPr>
              <w:pStyle w:val="TableParagraph"/>
              <w:spacing w:before="1"/>
              <w:ind w:left="115" w:right="155"/>
              <w:rPr>
                <w:b/>
                <w:sz w:val="20"/>
              </w:rPr>
            </w:pPr>
            <w:r>
              <w:rPr>
                <w:b/>
                <w:sz w:val="20"/>
              </w:rPr>
              <w:t>gov_midyear_ch ange_c_note</w:t>
            </w:r>
          </w:p>
        </w:tc>
        <w:tc>
          <w:tcPr>
            <w:tcW w:w="1596" w:type="dxa"/>
          </w:tcPr>
          <w:p w14:paraId="7132992D" w14:textId="77777777" w:rsidR="0046798B" w:rsidRDefault="00903B5C">
            <w:pPr>
              <w:pStyle w:val="TableParagraph"/>
              <w:spacing w:before="43"/>
              <w:ind w:left="114" w:right="335"/>
              <w:jc w:val="both"/>
              <w:rPr>
                <w:sz w:val="20"/>
              </w:rPr>
            </w:pPr>
            <w:r>
              <w:rPr>
                <w:sz w:val="20"/>
              </w:rPr>
              <w:t>Gubernatorial change before budget passed notes</w:t>
            </w:r>
          </w:p>
        </w:tc>
        <w:tc>
          <w:tcPr>
            <w:tcW w:w="1280" w:type="dxa"/>
          </w:tcPr>
          <w:p w14:paraId="3D2B4AEF" w14:textId="77777777" w:rsidR="0046798B" w:rsidRDefault="0046798B">
            <w:pPr>
              <w:pStyle w:val="TableParagraph"/>
            </w:pPr>
          </w:p>
          <w:p w14:paraId="40E688C4" w14:textId="77777777" w:rsidR="0046798B" w:rsidRDefault="00903B5C">
            <w:pPr>
              <w:pStyle w:val="TableParagraph"/>
              <w:spacing w:before="135"/>
              <w:ind w:left="114"/>
              <w:rPr>
                <w:sz w:val="20"/>
              </w:rPr>
            </w:pPr>
            <w:r>
              <w:rPr>
                <w:sz w:val="20"/>
              </w:rPr>
              <w:t>1961–2010</w:t>
            </w:r>
          </w:p>
        </w:tc>
        <w:tc>
          <w:tcPr>
            <w:tcW w:w="3421" w:type="dxa"/>
          </w:tcPr>
          <w:p w14:paraId="6719AE27" w14:textId="77777777" w:rsidR="0046798B" w:rsidRDefault="0046798B">
            <w:pPr>
              <w:pStyle w:val="TableParagraph"/>
            </w:pPr>
          </w:p>
          <w:p w14:paraId="5F3AFE09" w14:textId="77777777" w:rsidR="0046798B" w:rsidRDefault="00903B5C">
            <w:pPr>
              <w:pStyle w:val="TableParagraph"/>
              <w:spacing w:before="135"/>
              <w:ind w:left="114"/>
              <w:rPr>
                <w:sz w:val="20"/>
              </w:rPr>
            </w:pPr>
            <w:r>
              <w:rPr>
                <w:sz w:val="20"/>
              </w:rPr>
              <w:t>Note about gov_midyear_change_c</w:t>
            </w:r>
          </w:p>
        </w:tc>
        <w:tc>
          <w:tcPr>
            <w:tcW w:w="6477" w:type="dxa"/>
          </w:tcPr>
          <w:p w14:paraId="75308060" w14:textId="77777777" w:rsidR="0046798B" w:rsidRDefault="0046798B">
            <w:pPr>
              <w:pStyle w:val="TableParagraph"/>
              <w:spacing w:before="8"/>
              <w:rPr>
                <w:sz w:val="23"/>
              </w:rPr>
            </w:pPr>
          </w:p>
          <w:p w14:paraId="60B9CC4C" w14:textId="77777777" w:rsidR="0046798B" w:rsidRDefault="00903B5C">
            <w:pPr>
              <w:pStyle w:val="TableParagraph"/>
              <w:spacing w:before="1"/>
              <w:ind w:left="114" w:right="1261"/>
              <w:rPr>
                <w:sz w:val="20"/>
              </w:rPr>
            </w:pPr>
            <w:r>
              <w:rPr>
                <w:sz w:val="20"/>
              </w:rPr>
              <w:t xml:space="preserve">Klarner, Carl, 2013, “Governors Dataset”, </w:t>
            </w:r>
            <w:hyperlink r:id="rId422">
              <w:r>
                <w:rPr>
                  <w:color w:val="0462C1"/>
                  <w:sz w:val="20"/>
                  <w:u w:val="single" w:color="0462C1"/>
                </w:rPr>
                <w:t>https://doi.org/10.7910/DVN/PQ0Y1N</w:t>
              </w:r>
              <w:r>
                <w:rPr>
                  <w:sz w:val="20"/>
                </w:rPr>
                <w:t>,</w:t>
              </w:r>
            </w:hyperlink>
            <w:r>
              <w:rPr>
                <w:sz w:val="20"/>
              </w:rPr>
              <w:t xml:space="preserve"> Harvard Dataverse, V1</w:t>
            </w:r>
          </w:p>
        </w:tc>
      </w:tr>
      <w:tr w:rsidR="0046798B" w14:paraId="7D8DACA7" w14:textId="77777777">
        <w:trPr>
          <w:trHeight w:val="2160"/>
        </w:trPr>
        <w:tc>
          <w:tcPr>
            <w:tcW w:w="1711" w:type="dxa"/>
          </w:tcPr>
          <w:p w14:paraId="60BEBCAF" w14:textId="77777777" w:rsidR="0046798B" w:rsidRDefault="0046798B">
            <w:pPr>
              <w:pStyle w:val="TableParagraph"/>
            </w:pPr>
          </w:p>
          <w:p w14:paraId="1059773E" w14:textId="77777777" w:rsidR="0046798B" w:rsidRDefault="0046798B">
            <w:pPr>
              <w:pStyle w:val="TableParagraph"/>
            </w:pPr>
          </w:p>
          <w:p w14:paraId="53404E0E" w14:textId="77777777" w:rsidR="0046798B" w:rsidRDefault="0046798B">
            <w:pPr>
              <w:pStyle w:val="TableParagraph"/>
            </w:pPr>
          </w:p>
          <w:p w14:paraId="64FF4254" w14:textId="77777777" w:rsidR="0046798B" w:rsidRDefault="0046798B">
            <w:pPr>
              <w:pStyle w:val="TableParagraph"/>
              <w:spacing w:before="9"/>
              <w:rPr>
                <w:sz w:val="17"/>
              </w:rPr>
            </w:pPr>
          </w:p>
          <w:p w14:paraId="2FA08927" w14:textId="77777777" w:rsidR="0046798B" w:rsidRDefault="00903B5C">
            <w:pPr>
              <w:pStyle w:val="TableParagraph"/>
              <w:ind w:left="115"/>
              <w:rPr>
                <w:b/>
                <w:sz w:val="20"/>
              </w:rPr>
            </w:pPr>
            <w:r>
              <w:rPr>
                <w:b/>
                <w:sz w:val="20"/>
              </w:rPr>
              <w:t>new_gov_c</w:t>
            </w:r>
          </w:p>
        </w:tc>
        <w:tc>
          <w:tcPr>
            <w:tcW w:w="1596" w:type="dxa"/>
          </w:tcPr>
          <w:p w14:paraId="3CBA6194" w14:textId="77777777" w:rsidR="0046798B" w:rsidRDefault="0046798B">
            <w:pPr>
              <w:pStyle w:val="TableParagraph"/>
            </w:pPr>
          </w:p>
          <w:p w14:paraId="553E3E62" w14:textId="77777777" w:rsidR="0046798B" w:rsidRDefault="0046798B">
            <w:pPr>
              <w:pStyle w:val="TableParagraph"/>
            </w:pPr>
          </w:p>
          <w:p w14:paraId="4FEC2AB7" w14:textId="77777777" w:rsidR="0046798B" w:rsidRDefault="0046798B">
            <w:pPr>
              <w:pStyle w:val="TableParagraph"/>
              <w:spacing w:before="9"/>
              <w:rPr>
                <w:sz w:val="19"/>
              </w:rPr>
            </w:pPr>
          </w:p>
          <w:p w14:paraId="322F84A6" w14:textId="77777777" w:rsidR="0046798B" w:rsidRDefault="00903B5C">
            <w:pPr>
              <w:pStyle w:val="TableParagraph"/>
              <w:ind w:left="114" w:right="269"/>
              <w:jc w:val="both"/>
              <w:rPr>
                <w:sz w:val="20"/>
              </w:rPr>
            </w:pPr>
            <w:r>
              <w:rPr>
                <w:sz w:val="20"/>
              </w:rPr>
              <w:t>New governor before budget passed dummy</w:t>
            </w:r>
          </w:p>
        </w:tc>
        <w:tc>
          <w:tcPr>
            <w:tcW w:w="1280" w:type="dxa"/>
          </w:tcPr>
          <w:p w14:paraId="6400A9CC" w14:textId="77777777" w:rsidR="0046798B" w:rsidRDefault="0046798B">
            <w:pPr>
              <w:pStyle w:val="TableParagraph"/>
            </w:pPr>
          </w:p>
          <w:p w14:paraId="087EDA9E" w14:textId="77777777" w:rsidR="0046798B" w:rsidRDefault="0046798B">
            <w:pPr>
              <w:pStyle w:val="TableParagraph"/>
            </w:pPr>
          </w:p>
          <w:p w14:paraId="05959B45" w14:textId="77777777" w:rsidR="0046798B" w:rsidRDefault="0046798B">
            <w:pPr>
              <w:pStyle w:val="TableParagraph"/>
            </w:pPr>
          </w:p>
          <w:p w14:paraId="57725E90" w14:textId="77777777" w:rsidR="0046798B" w:rsidRDefault="0046798B">
            <w:pPr>
              <w:pStyle w:val="TableParagraph"/>
              <w:spacing w:before="9"/>
              <w:rPr>
                <w:sz w:val="17"/>
              </w:rPr>
            </w:pPr>
          </w:p>
          <w:p w14:paraId="59A29280" w14:textId="77777777" w:rsidR="0046798B" w:rsidRDefault="00903B5C">
            <w:pPr>
              <w:pStyle w:val="TableParagraph"/>
              <w:ind w:left="114"/>
              <w:rPr>
                <w:sz w:val="20"/>
              </w:rPr>
            </w:pPr>
            <w:r>
              <w:rPr>
                <w:sz w:val="20"/>
              </w:rPr>
              <w:t>1961–2010</w:t>
            </w:r>
          </w:p>
        </w:tc>
        <w:tc>
          <w:tcPr>
            <w:tcW w:w="3421" w:type="dxa"/>
          </w:tcPr>
          <w:p w14:paraId="4CDB30AF" w14:textId="77777777" w:rsidR="0046798B" w:rsidRDefault="00903B5C">
            <w:pPr>
              <w:pStyle w:val="TableParagraph"/>
              <w:spacing w:before="43"/>
              <w:ind w:left="114" w:right="211"/>
              <w:rPr>
                <w:sz w:val="20"/>
              </w:rPr>
            </w:pPr>
            <w:r>
              <w:rPr>
                <w:sz w:val="20"/>
              </w:rPr>
              <w:t>Note: this variable is identical to new_gov_b, but altered from 1 to 0 when appropriate because of mid-year changes in the governor in light of when the budget passes. If a budget didn’t pass in the first year that a governor came in, the case in the next year is coded “1” instead. 2 = missing data</w:t>
            </w:r>
          </w:p>
        </w:tc>
        <w:tc>
          <w:tcPr>
            <w:tcW w:w="6477" w:type="dxa"/>
          </w:tcPr>
          <w:p w14:paraId="0FE790E7" w14:textId="77777777" w:rsidR="0046798B" w:rsidRDefault="0046798B">
            <w:pPr>
              <w:pStyle w:val="TableParagraph"/>
            </w:pPr>
          </w:p>
          <w:p w14:paraId="41AEB3E7" w14:textId="77777777" w:rsidR="0046798B" w:rsidRDefault="0046798B">
            <w:pPr>
              <w:pStyle w:val="TableParagraph"/>
            </w:pPr>
          </w:p>
          <w:p w14:paraId="6638716B" w14:textId="77777777" w:rsidR="0046798B" w:rsidRDefault="0046798B">
            <w:pPr>
              <w:pStyle w:val="TableParagraph"/>
              <w:spacing w:before="9"/>
              <w:rPr>
                <w:sz w:val="29"/>
              </w:rPr>
            </w:pPr>
          </w:p>
          <w:p w14:paraId="1E64012C" w14:textId="77777777" w:rsidR="0046798B" w:rsidRDefault="00903B5C">
            <w:pPr>
              <w:pStyle w:val="TableParagraph"/>
              <w:ind w:left="114" w:right="1261"/>
              <w:rPr>
                <w:sz w:val="20"/>
              </w:rPr>
            </w:pPr>
            <w:r>
              <w:rPr>
                <w:sz w:val="20"/>
              </w:rPr>
              <w:t xml:space="preserve">Klarner, Carl, 2013, “Governors Dataset”, </w:t>
            </w:r>
            <w:hyperlink r:id="rId423">
              <w:r>
                <w:rPr>
                  <w:color w:val="0462C1"/>
                  <w:sz w:val="20"/>
                  <w:u w:val="single" w:color="0462C1"/>
                </w:rPr>
                <w:t>https://doi.org/10.7910/DVN/PQ0Y1N</w:t>
              </w:r>
              <w:r>
                <w:rPr>
                  <w:sz w:val="20"/>
                </w:rPr>
                <w:t>,</w:t>
              </w:r>
            </w:hyperlink>
            <w:r>
              <w:rPr>
                <w:sz w:val="20"/>
              </w:rPr>
              <w:t xml:space="preserve"> Harvard Dataverse, V1</w:t>
            </w:r>
          </w:p>
        </w:tc>
      </w:tr>
      <w:tr w:rsidR="0046798B" w14:paraId="1E9B00AE" w14:textId="77777777">
        <w:trPr>
          <w:trHeight w:val="1925"/>
        </w:trPr>
        <w:tc>
          <w:tcPr>
            <w:tcW w:w="1711" w:type="dxa"/>
          </w:tcPr>
          <w:p w14:paraId="3F25814C" w14:textId="77777777" w:rsidR="0046798B" w:rsidRDefault="0046798B">
            <w:pPr>
              <w:pStyle w:val="TableParagraph"/>
            </w:pPr>
          </w:p>
          <w:p w14:paraId="1CDE198D" w14:textId="77777777" w:rsidR="0046798B" w:rsidRDefault="0046798B">
            <w:pPr>
              <w:pStyle w:val="TableParagraph"/>
            </w:pPr>
          </w:p>
          <w:p w14:paraId="0F870101" w14:textId="77777777" w:rsidR="0046798B" w:rsidRDefault="0046798B">
            <w:pPr>
              <w:pStyle w:val="TableParagraph"/>
              <w:spacing w:before="4"/>
              <w:rPr>
                <w:sz w:val="29"/>
              </w:rPr>
            </w:pPr>
          </w:p>
          <w:p w14:paraId="493E417B" w14:textId="77777777" w:rsidR="0046798B" w:rsidRDefault="00903B5C">
            <w:pPr>
              <w:pStyle w:val="TableParagraph"/>
              <w:ind w:left="115"/>
              <w:rPr>
                <w:b/>
                <w:sz w:val="20"/>
              </w:rPr>
            </w:pPr>
            <w:r>
              <w:rPr>
                <w:b/>
                <w:sz w:val="20"/>
              </w:rPr>
              <w:t>new_gov_d</w:t>
            </w:r>
          </w:p>
        </w:tc>
        <w:tc>
          <w:tcPr>
            <w:tcW w:w="1596" w:type="dxa"/>
          </w:tcPr>
          <w:p w14:paraId="7462D569" w14:textId="77777777" w:rsidR="0046798B" w:rsidRDefault="00903B5C">
            <w:pPr>
              <w:pStyle w:val="TableParagraph"/>
              <w:spacing w:before="153"/>
              <w:ind w:left="114" w:right="102"/>
              <w:rPr>
                <w:sz w:val="20"/>
              </w:rPr>
            </w:pPr>
            <w:r>
              <w:rPr>
                <w:sz w:val="20"/>
              </w:rPr>
              <w:t>New governor (non-incumbent) before budget dummy (modified for past serving governors)</w:t>
            </w:r>
          </w:p>
        </w:tc>
        <w:tc>
          <w:tcPr>
            <w:tcW w:w="1280" w:type="dxa"/>
          </w:tcPr>
          <w:p w14:paraId="0EA21329" w14:textId="77777777" w:rsidR="0046798B" w:rsidRDefault="0046798B">
            <w:pPr>
              <w:pStyle w:val="TableParagraph"/>
            </w:pPr>
          </w:p>
          <w:p w14:paraId="7AC5C2AA" w14:textId="77777777" w:rsidR="0046798B" w:rsidRDefault="0046798B">
            <w:pPr>
              <w:pStyle w:val="TableParagraph"/>
            </w:pPr>
          </w:p>
          <w:p w14:paraId="0FC9EB7F" w14:textId="77777777" w:rsidR="0046798B" w:rsidRDefault="0046798B">
            <w:pPr>
              <w:pStyle w:val="TableParagraph"/>
              <w:spacing w:before="4"/>
              <w:rPr>
                <w:sz w:val="29"/>
              </w:rPr>
            </w:pPr>
          </w:p>
          <w:p w14:paraId="505C24CD" w14:textId="77777777" w:rsidR="0046798B" w:rsidRDefault="00903B5C">
            <w:pPr>
              <w:pStyle w:val="TableParagraph"/>
              <w:ind w:left="114"/>
              <w:rPr>
                <w:sz w:val="20"/>
              </w:rPr>
            </w:pPr>
            <w:r>
              <w:rPr>
                <w:sz w:val="20"/>
              </w:rPr>
              <w:t>1961–2010</w:t>
            </w:r>
          </w:p>
        </w:tc>
        <w:tc>
          <w:tcPr>
            <w:tcW w:w="3421" w:type="dxa"/>
          </w:tcPr>
          <w:p w14:paraId="79FCB91E" w14:textId="77777777" w:rsidR="0046798B" w:rsidRDefault="00903B5C">
            <w:pPr>
              <w:pStyle w:val="TableParagraph"/>
              <w:spacing w:before="38"/>
              <w:ind w:left="114" w:right="100"/>
              <w:rPr>
                <w:sz w:val="20"/>
              </w:rPr>
            </w:pPr>
            <w:r>
              <w:rPr>
                <w:sz w:val="20"/>
              </w:rPr>
              <w:t>Dummy: 1 = new governor this year. Cases where an incoming governor served in the past aren’t included in scores of “1.” 0 = else. Note: this variable is identical to new_gov_c, but altered from 1 to 0 when appropriate because the new governor has served in the past. 2 = missing data</w:t>
            </w:r>
          </w:p>
        </w:tc>
        <w:tc>
          <w:tcPr>
            <w:tcW w:w="6477" w:type="dxa"/>
          </w:tcPr>
          <w:p w14:paraId="6F569C45" w14:textId="77777777" w:rsidR="0046798B" w:rsidRDefault="0046798B">
            <w:pPr>
              <w:pStyle w:val="TableParagraph"/>
            </w:pPr>
          </w:p>
          <w:p w14:paraId="68B60451" w14:textId="77777777" w:rsidR="0046798B" w:rsidRDefault="0046798B">
            <w:pPr>
              <w:pStyle w:val="TableParagraph"/>
            </w:pPr>
          </w:p>
          <w:p w14:paraId="29D07E01" w14:textId="77777777" w:rsidR="0046798B" w:rsidRDefault="0046798B">
            <w:pPr>
              <w:pStyle w:val="TableParagraph"/>
              <w:spacing w:before="4"/>
              <w:rPr>
                <w:sz w:val="19"/>
              </w:rPr>
            </w:pPr>
          </w:p>
          <w:p w14:paraId="3E7EB964" w14:textId="77777777" w:rsidR="0046798B" w:rsidRDefault="00903B5C">
            <w:pPr>
              <w:pStyle w:val="TableParagraph"/>
              <w:ind w:left="114" w:right="1261"/>
              <w:rPr>
                <w:sz w:val="20"/>
              </w:rPr>
            </w:pPr>
            <w:r>
              <w:rPr>
                <w:sz w:val="20"/>
              </w:rPr>
              <w:t xml:space="preserve">Klarner, Carl, 2013, “Governors Dataset”, </w:t>
            </w:r>
            <w:hyperlink r:id="rId424">
              <w:r>
                <w:rPr>
                  <w:color w:val="0462C1"/>
                  <w:sz w:val="20"/>
                  <w:u w:val="single" w:color="0462C1"/>
                </w:rPr>
                <w:t>https://doi.org/10.7910/DVN/PQ0Y1N</w:t>
              </w:r>
              <w:r>
                <w:rPr>
                  <w:sz w:val="20"/>
                </w:rPr>
                <w:t>,</w:t>
              </w:r>
            </w:hyperlink>
            <w:r>
              <w:rPr>
                <w:sz w:val="20"/>
              </w:rPr>
              <w:t xml:space="preserve"> Harvard Dataverse, V1</w:t>
            </w:r>
          </w:p>
        </w:tc>
      </w:tr>
      <w:tr w:rsidR="0046798B" w14:paraId="5346E6ED" w14:textId="77777777">
        <w:trPr>
          <w:trHeight w:val="1005"/>
        </w:trPr>
        <w:tc>
          <w:tcPr>
            <w:tcW w:w="1711" w:type="dxa"/>
          </w:tcPr>
          <w:p w14:paraId="3B75D466" w14:textId="77777777" w:rsidR="0046798B" w:rsidRDefault="0046798B">
            <w:pPr>
              <w:pStyle w:val="TableParagraph"/>
              <w:spacing w:before="3"/>
              <w:rPr>
                <w:sz w:val="23"/>
              </w:rPr>
            </w:pPr>
          </w:p>
          <w:p w14:paraId="326227F2" w14:textId="77777777" w:rsidR="0046798B" w:rsidRDefault="00903B5C">
            <w:pPr>
              <w:pStyle w:val="TableParagraph"/>
              <w:spacing w:before="1"/>
              <w:ind w:left="115" w:right="166"/>
              <w:rPr>
                <w:b/>
                <w:sz w:val="20"/>
              </w:rPr>
            </w:pPr>
            <w:r>
              <w:rPr>
                <w:b/>
                <w:sz w:val="20"/>
              </w:rPr>
              <w:t>fracleg_old_vari able</w:t>
            </w:r>
          </w:p>
        </w:tc>
        <w:tc>
          <w:tcPr>
            <w:tcW w:w="1596" w:type="dxa"/>
          </w:tcPr>
          <w:p w14:paraId="7AA32F0D" w14:textId="77777777" w:rsidR="0046798B" w:rsidRDefault="0046798B">
            <w:pPr>
              <w:pStyle w:val="TableParagraph"/>
              <w:spacing w:before="3"/>
              <w:rPr>
                <w:sz w:val="23"/>
              </w:rPr>
            </w:pPr>
          </w:p>
          <w:p w14:paraId="6150F224" w14:textId="77777777" w:rsidR="0046798B" w:rsidRDefault="00903B5C">
            <w:pPr>
              <w:pStyle w:val="TableParagraph"/>
              <w:spacing w:before="1"/>
              <w:ind w:left="114" w:right="152"/>
              <w:rPr>
                <w:sz w:val="20"/>
              </w:rPr>
            </w:pPr>
            <w:r>
              <w:rPr>
                <w:sz w:val="20"/>
              </w:rPr>
              <w:t>Fraction of days legislature met</w:t>
            </w:r>
          </w:p>
        </w:tc>
        <w:tc>
          <w:tcPr>
            <w:tcW w:w="1280" w:type="dxa"/>
          </w:tcPr>
          <w:p w14:paraId="796648FC" w14:textId="77777777" w:rsidR="0046798B" w:rsidRDefault="0046798B">
            <w:pPr>
              <w:pStyle w:val="TableParagraph"/>
            </w:pPr>
          </w:p>
          <w:p w14:paraId="640AD9B1" w14:textId="77777777" w:rsidR="0046798B" w:rsidRDefault="00903B5C">
            <w:pPr>
              <w:pStyle w:val="TableParagraph"/>
              <w:spacing w:before="130"/>
              <w:ind w:left="114"/>
              <w:rPr>
                <w:sz w:val="20"/>
              </w:rPr>
            </w:pPr>
            <w:r>
              <w:rPr>
                <w:sz w:val="20"/>
              </w:rPr>
              <w:t>Various</w:t>
            </w:r>
          </w:p>
        </w:tc>
        <w:tc>
          <w:tcPr>
            <w:tcW w:w="3421" w:type="dxa"/>
          </w:tcPr>
          <w:p w14:paraId="0F4E35BE" w14:textId="77777777" w:rsidR="0046798B" w:rsidRDefault="00903B5C">
            <w:pPr>
              <w:pStyle w:val="TableParagraph"/>
              <w:spacing w:before="38"/>
              <w:ind w:left="114" w:right="316"/>
              <w:rPr>
                <w:sz w:val="20"/>
              </w:rPr>
            </w:pPr>
            <w:r>
              <w:rPr>
                <w:sz w:val="20"/>
              </w:rPr>
              <w:t>Fraction of days when the legislature was in session that the governor serving in the earlier part of the year was in office. Incomplete variable</w:t>
            </w:r>
          </w:p>
        </w:tc>
        <w:tc>
          <w:tcPr>
            <w:tcW w:w="6477" w:type="dxa"/>
          </w:tcPr>
          <w:p w14:paraId="467076B7" w14:textId="77777777" w:rsidR="0046798B" w:rsidRDefault="0046798B">
            <w:pPr>
              <w:pStyle w:val="TableParagraph"/>
              <w:spacing w:before="3"/>
              <w:rPr>
                <w:sz w:val="23"/>
              </w:rPr>
            </w:pPr>
          </w:p>
          <w:p w14:paraId="63872943" w14:textId="77777777" w:rsidR="0046798B" w:rsidRDefault="00903B5C">
            <w:pPr>
              <w:pStyle w:val="TableParagraph"/>
              <w:spacing w:before="1"/>
              <w:ind w:left="114" w:right="1261"/>
              <w:rPr>
                <w:sz w:val="20"/>
              </w:rPr>
            </w:pPr>
            <w:r>
              <w:rPr>
                <w:sz w:val="20"/>
              </w:rPr>
              <w:t xml:space="preserve">Klarner, Carl, 2013, “Governors Dataset”, </w:t>
            </w:r>
            <w:hyperlink r:id="rId425">
              <w:r>
                <w:rPr>
                  <w:color w:val="0462C1"/>
                  <w:sz w:val="20"/>
                  <w:u w:val="single" w:color="0462C1"/>
                </w:rPr>
                <w:t>https://doi.org/10.7910/DVN/PQ0Y1N</w:t>
              </w:r>
              <w:r>
                <w:rPr>
                  <w:sz w:val="20"/>
                </w:rPr>
                <w:t>,</w:t>
              </w:r>
            </w:hyperlink>
            <w:r>
              <w:rPr>
                <w:sz w:val="20"/>
              </w:rPr>
              <w:t xml:space="preserve"> Harvard Dataverse, V1</w:t>
            </w:r>
          </w:p>
        </w:tc>
      </w:tr>
    </w:tbl>
    <w:p w14:paraId="6215E80A" w14:textId="77777777" w:rsidR="0046798B" w:rsidRDefault="0046798B">
      <w:pPr>
        <w:rPr>
          <w:sz w:val="20"/>
        </w:rPr>
        <w:sectPr w:rsidR="0046798B">
          <w:pgSz w:w="15840" w:h="12240" w:orient="landscape"/>
          <w:pgMar w:top="1220" w:right="300" w:bottom="980" w:left="820" w:header="730" w:footer="787" w:gutter="0"/>
          <w:cols w:space="720"/>
        </w:sectPr>
      </w:pPr>
    </w:p>
    <w:p w14:paraId="7D73AE95"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0"/>
        <w:gridCol w:w="3421"/>
        <w:gridCol w:w="6477"/>
      </w:tblGrid>
      <w:tr w:rsidR="0046798B" w14:paraId="08DE3BC9" w14:textId="77777777">
        <w:trPr>
          <w:trHeight w:val="775"/>
        </w:trPr>
        <w:tc>
          <w:tcPr>
            <w:tcW w:w="1711" w:type="dxa"/>
          </w:tcPr>
          <w:p w14:paraId="59FD79FF" w14:textId="77777777" w:rsidR="0046798B" w:rsidRDefault="00903B5C">
            <w:pPr>
              <w:pStyle w:val="TableParagraph"/>
              <w:spacing w:before="158"/>
              <w:ind w:left="115" w:right="166"/>
              <w:rPr>
                <w:b/>
                <w:sz w:val="20"/>
              </w:rPr>
            </w:pPr>
            <w:r>
              <w:rPr>
                <w:b/>
                <w:sz w:val="20"/>
              </w:rPr>
              <w:t>fracleg_old_vari able_note</w:t>
            </w:r>
          </w:p>
        </w:tc>
        <w:tc>
          <w:tcPr>
            <w:tcW w:w="1596" w:type="dxa"/>
          </w:tcPr>
          <w:p w14:paraId="6C3E0CD1" w14:textId="77777777" w:rsidR="0046798B" w:rsidRDefault="00903B5C">
            <w:pPr>
              <w:pStyle w:val="TableParagraph"/>
              <w:spacing w:before="43"/>
              <w:ind w:left="114" w:right="85"/>
              <w:rPr>
                <w:sz w:val="20"/>
              </w:rPr>
            </w:pPr>
            <w:r>
              <w:rPr>
                <w:sz w:val="20"/>
              </w:rPr>
              <w:t>Note for fraction of days legislature met</w:t>
            </w:r>
          </w:p>
        </w:tc>
        <w:tc>
          <w:tcPr>
            <w:tcW w:w="1280" w:type="dxa"/>
          </w:tcPr>
          <w:p w14:paraId="237E9E52" w14:textId="77777777" w:rsidR="0046798B" w:rsidRDefault="0046798B">
            <w:pPr>
              <w:pStyle w:val="TableParagraph"/>
              <w:spacing w:before="9"/>
              <w:rPr>
                <w:sz w:val="23"/>
              </w:rPr>
            </w:pPr>
          </w:p>
          <w:p w14:paraId="4B8C74F3" w14:textId="77777777" w:rsidR="0046798B" w:rsidRDefault="00903B5C">
            <w:pPr>
              <w:pStyle w:val="TableParagraph"/>
              <w:ind w:left="114"/>
              <w:rPr>
                <w:sz w:val="20"/>
              </w:rPr>
            </w:pPr>
            <w:r>
              <w:rPr>
                <w:sz w:val="20"/>
              </w:rPr>
              <w:t>Various</w:t>
            </w:r>
          </w:p>
        </w:tc>
        <w:tc>
          <w:tcPr>
            <w:tcW w:w="3421" w:type="dxa"/>
          </w:tcPr>
          <w:p w14:paraId="666F5ADA" w14:textId="77777777" w:rsidR="0046798B" w:rsidRDefault="00903B5C">
            <w:pPr>
              <w:pStyle w:val="TableParagraph"/>
              <w:spacing w:before="158"/>
              <w:ind w:left="114" w:right="311"/>
              <w:rPr>
                <w:sz w:val="20"/>
              </w:rPr>
            </w:pPr>
            <w:r>
              <w:rPr>
                <w:sz w:val="20"/>
              </w:rPr>
              <w:t>Note about why fracleg got the value that it did. Incomplete variable</w:t>
            </w:r>
          </w:p>
        </w:tc>
        <w:tc>
          <w:tcPr>
            <w:tcW w:w="6477" w:type="dxa"/>
          </w:tcPr>
          <w:p w14:paraId="58FD4F76" w14:textId="77777777" w:rsidR="0046798B" w:rsidRDefault="00903B5C">
            <w:pPr>
              <w:pStyle w:val="TableParagraph"/>
              <w:spacing w:before="158"/>
              <w:ind w:left="114" w:right="1261"/>
              <w:rPr>
                <w:sz w:val="20"/>
              </w:rPr>
            </w:pPr>
            <w:r>
              <w:rPr>
                <w:sz w:val="20"/>
              </w:rPr>
              <w:t xml:space="preserve">Klarner, Carl, 2013, “Governors Dataset”, </w:t>
            </w:r>
            <w:hyperlink r:id="rId426">
              <w:r>
                <w:rPr>
                  <w:color w:val="0462C1"/>
                  <w:sz w:val="20"/>
                  <w:u w:val="single" w:color="0462C1"/>
                </w:rPr>
                <w:t>https://doi.org/10.7910/DVN/PQ0Y1N</w:t>
              </w:r>
              <w:r>
                <w:rPr>
                  <w:sz w:val="20"/>
                </w:rPr>
                <w:t>,</w:t>
              </w:r>
            </w:hyperlink>
            <w:r>
              <w:rPr>
                <w:sz w:val="20"/>
              </w:rPr>
              <w:t xml:space="preserve"> Harvard Dataverse, V1</w:t>
            </w:r>
          </w:p>
        </w:tc>
      </w:tr>
      <w:tr w:rsidR="0046798B" w14:paraId="2EE1D57D" w14:textId="77777777">
        <w:trPr>
          <w:trHeight w:val="3076"/>
        </w:trPr>
        <w:tc>
          <w:tcPr>
            <w:tcW w:w="1711" w:type="dxa"/>
          </w:tcPr>
          <w:p w14:paraId="50A8404C" w14:textId="77777777" w:rsidR="0046798B" w:rsidRDefault="0046798B">
            <w:pPr>
              <w:pStyle w:val="TableParagraph"/>
            </w:pPr>
          </w:p>
          <w:p w14:paraId="61B778E0" w14:textId="77777777" w:rsidR="0046798B" w:rsidRDefault="0046798B">
            <w:pPr>
              <w:pStyle w:val="TableParagraph"/>
            </w:pPr>
          </w:p>
          <w:p w14:paraId="56A51E56" w14:textId="77777777" w:rsidR="0046798B" w:rsidRDefault="0046798B">
            <w:pPr>
              <w:pStyle w:val="TableParagraph"/>
            </w:pPr>
          </w:p>
          <w:p w14:paraId="1789B7D7" w14:textId="77777777" w:rsidR="0046798B" w:rsidRDefault="0046798B">
            <w:pPr>
              <w:pStyle w:val="TableParagraph"/>
            </w:pPr>
          </w:p>
          <w:p w14:paraId="195E6A7B" w14:textId="77777777" w:rsidR="0046798B" w:rsidRDefault="0046798B">
            <w:pPr>
              <w:pStyle w:val="TableParagraph"/>
            </w:pPr>
          </w:p>
          <w:p w14:paraId="5627AD13" w14:textId="77777777" w:rsidR="0046798B" w:rsidRDefault="00903B5C">
            <w:pPr>
              <w:pStyle w:val="TableParagraph"/>
              <w:spacing w:before="159"/>
              <w:ind w:left="115"/>
              <w:rPr>
                <w:b/>
                <w:sz w:val="20"/>
              </w:rPr>
            </w:pPr>
            <w:r>
              <w:rPr>
                <w:b/>
                <w:sz w:val="20"/>
              </w:rPr>
              <w:t>years_served</w:t>
            </w:r>
          </w:p>
        </w:tc>
        <w:tc>
          <w:tcPr>
            <w:tcW w:w="1596" w:type="dxa"/>
          </w:tcPr>
          <w:p w14:paraId="4B279B2D" w14:textId="77777777" w:rsidR="0046798B" w:rsidRDefault="0046798B">
            <w:pPr>
              <w:pStyle w:val="TableParagraph"/>
            </w:pPr>
          </w:p>
          <w:p w14:paraId="4978EF0E" w14:textId="77777777" w:rsidR="0046798B" w:rsidRDefault="0046798B">
            <w:pPr>
              <w:pStyle w:val="TableParagraph"/>
            </w:pPr>
          </w:p>
          <w:p w14:paraId="3F77C088" w14:textId="77777777" w:rsidR="0046798B" w:rsidRDefault="0046798B">
            <w:pPr>
              <w:pStyle w:val="TableParagraph"/>
            </w:pPr>
          </w:p>
          <w:p w14:paraId="7021F014" w14:textId="77777777" w:rsidR="0046798B" w:rsidRDefault="0046798B">
            <w:pPr>
              <w:pStyle w:val="TableParagraph"/>
            </w:pPr>
          </w:p>
          <w:p w14:paraId="610424D4" w14:textId="77777777" w:rsidR="0046798B" w:rsidRDefault="00903B5C">
            <w:pPr>
              <w:pStyle w:val="TableParagraph"/>
              <w:spacing w:before="182"/>
              <w:ind w:left="114" w:right="108"/>
              <w:rPr>
                <w:sz w:val="20"/>
              </w:rPr>
            </w:pPr>
            <w:r>
              <w:rPr>
                <w:sz w:val="20"/>
              </w:rPr>
              <w:t>Number of years served by governor</w:t>
            </w:r>
          </w:p>
        </w:tc>
        <w:tc>
          <w:tcPr>
            <w:tcW w:w="1280" w:type="dxa"/>
          </w:tcPr>
          <w:p w14:paraId="7705B2B4" w14:textId="77777777" w:rsidR="0046798B" w:rsidRDefault="0046798B">
            <w:pPr>
              <w:pStyle w:val="TableParagraph"/>
            </w:pPr>
          </w:p>
          <w:p w14:paraId="30A58D7E" w14:textId="77777777" w:rsidR="0046798B" w:rsidRDefault="0046798B">
            <w:pPr>
              <w:pStyle w:val="TableParagraph"/>
            </w:pPr>
          </w:p>
          <w:p w14:paraId="5A31D60A" w14:textId="77777777" w:rsidR="0046798B" w:rsidRDefault="0046798B">
            <w:pPr>
              <w:pStyle w:val="TableParagraph"/>
            </w:pPr>
          </w:p>
          <w:p w14:paraId="44ED3179" w14:textId="77777777" w:rsidR="0046798B" w:rsidRDefault="0046798B">
            <w:pPr>
              <w:pStyle w:val="TableParagraph"/>
            </w:pPr>
          </w:p>
          <w:p w14:paraId="5A8FC1C0" w14:textId="77777777" w:rsidR="0046798B" w:rsidRDefault="0046798B">
            <w:pPr>
              <w:pStyle w:val="TableParagraph"/>
            </w:pPr>
          </w:p>
          <w:p w14:paraId="5808D7F0" w14:textId="77777777" w:rsidR="0046798B" w:rsidRDefault="00903B5C">
            <w:pPr>
              <w:pStyle w:val="TableParagraph"/>
              <w:spacing w:before="159"/>
              <w:ind w:left="114"/>
              <w:rPr>
                <w:sz w:val="20"/>
              </w:rPr>
            </w:pPr>
            <w:r>
              <w:rPr>
                <w:sz w:val="20"/>
              </w:rPr>
              <w:t>1959–2010</w:t>
            </w:r>
          </w:p>
        </w:tc>
        <w:tc>
          <w:tcPr>
            <w:tcW w:w="3421" w:type="dxa"/>
          </w:tcPr>
          <w:p w14:paraId="6650EF52" w14:textId="77777777" w:rsidR="0046798B" w:rsidRDefault="00903B5C">
            <w:pPr>
              <w:pStyle w:val="TableParagraph"/>
              <w:spacing w:before="43"/>
              <w:ind w:left="114" w:right="132"/>
              <w:rPr>
                <w:sz w:val="20"/>
              </w:rPr>
            </w:pPr>
            <w:r>
              <w:rPr>
                <w:sz w:val="20"/>
              </w:rPr>
              <w:t xml:space="preserve">Number of years that the governor has served. The variable indicates their experience at the beginning of the </w:t>
            </w:r>
            <w:r>
              <w:rPr>
                <w:spacing w:val="-4"/>
                <w:sz w:val="20"/>
              </w:rPr>
              <w:t xml:space="preserve">year. </w:t>
            </w:r>
            <w:r>
              <w:rPr>
                <w:sz w:val="20"/>
              </w:rPr>
              <w:t>If a governor came back to office, their counter began where it left off before. If someone came in mid-year (not in Jan or Dec) the governor that was in office when the budget passed was used for the figure. If someone came in at some fraction of the year (i.e., July 1</w:t>
            </w:r>
            <w:r>
              <w:rPr>
                <w:sz w:val="13"/>
              </w:rPr>
              <w:t>st</w:t>
            </w:r>
            <w:r>
              <w:rPr>
                <w:sz w:val="20"/>
              </w:rPr>
              <w:t>) they were given the credit of a fraction of their experience (i.e., .5) in the next year they</w:t>
            </w:r>
            <w:r>
              <w:rPr>
                <w:spacing w:val="-2"/>
                <w:sz w:val="20"/>
              </w:rPr>
              <w:t xml:space="preserve"> </w:t>
            </w:r>
            <w:r>
              <w:rPr>
                <w:sz w:val="20"/>
              </w:rPr>
              <w:t>served.</w:t>
            </w:r>
          </w:p>
        </w:tc>
        <w:tc>
          <w:tcPr>
            <w:tcW w:w="6477" w:type="dxa"/>
          </w:tcPr>
          <w:p w14:paraId="49FA1486" w14:textId="77777777" w:rsidR="0046798B" w:rsidRDefault="0046798B">
            <w:pPr>
              <w:pStyle w:val="TableParagraph"/>
            </w:pPr>
          </w:p>
          <w:p w14:paraId="19F23C90" w14:textId="77777777" w:rsidR="0046798B" w:rsidRDefault="0046798B">
            <w:pPr>
              <w:pStyle w:val="TableParagraph"/>
            </w:pPr>
          </w:p>
          <w:p w14:paraId="7D0A18A8" w14:textId="77777777" w:rsidR="0046798B" w:rsidRDefault="0046798B">
            <w:pPr>
              <w:pStyle w:val="TableParagraph"/>
            </w:pPr>
          </w:p>
          <w:p w14:paraId="0760D5A7" w14:textId="77777777" w:rsidR="0046798B" w:rsidRDefault="0046798B">
            <w:pPr>
              <w:pStyle w:val="TableParagraph"/>
            </w:pPr>
          </w:p>
          <w:p w14:paraId="28F11B72" w14:textId="77777777" w:rsidR="0046798B" w:rsidRDefault="0046798B">
            <w:pPr>
              <w:pStyle w:val="TableParagraph"/>
              <w:spacing w:before="9"/>
              <w:rPr>
                <w:sz w:val="25"/>
              </w:rPr>
            </w:pPr>
          </w:p>
          <w:p w14:paraId="44B6AB99" w14:textId="77777777" w:rsidR="0046798B" w:rsidRDefault="00903B5C">
            <w:pPr>
              <w:pStyle w:val="TableParagraph"/>
              <w:ind w:left="114" w:right="1261"/>
              <w:rPr>
                <w:sz w:val="20"/>
              </w:rPr>
            </w:pPr>
            <w:r>
              <w:rPr>
                <w:sz w:val="20"/>
              </w:rPr>
              <w:t xml:space="preserve">Klarner, Carl, 2013, “Governors Dataset”, </w:t>
            </w:r>
            <w:hyperlink r:id="rId427">
              <w:r>
                <w:rPr>
                  <w:color w:val="0462C1"/>
                  <w:sz w:val="20"/>
                  <w:u w:val="single" w:color="0462C1"/>
                </w:rPr>
                <w:t>https://doi.org/10.7910/DVN/PQ0Y1N</w:t>
              </w:r>
              <w:r>
                <w:rPr>
                  <w:sz w:val="20"/>
                </w:rPr>
                <w:t>,</w:t>
              </w:r>
            </w:hyperlink>
            <w:r>
              <w:rPr>
                <w:sz w:val="20"/>
              </w:rPr>
              <w:t xml:space="preserve"> Harvard Dataverse, V1</w:t>
            </w:r>
          </w:p>
        </w:tc>
      </w:tr>
      <w:tr w:rsidR="0046798B" w14:paraId="3C4D8653" w14:textId="77777777">
        <w:trPr>
          <w:trHeight w:val="1470"/>
        </w:trPr>
        <w:tc>
          <w:tcPr>
            <w:tcW w:w="1711" w:type="dxa"/>
          </w:tcPr>
          <w:p w14:paraId="28C7EC23" w14:textId="77777777" w:rsidR="0046798B" w:rsidRDefault="0046798B">
            <w:pPr>
              <w:pStyle w:val="TableParagraph"/>
            </w:pPr>
          </w:p>
          <w:p w14:paraId="18BAB862" w14:textId="77777777" w:rsidR="0046798B" w:rsidRDefault="0046798B">
            <w:pPr>
              <w:pStyle w:val="TableParagraph"/>
              <w:spacing w:before="9"/>
              <w:rPr>
                <w:sz w:val="21"/>
              </w:rPr>
            </w:pPr>
          </w:p>
          <w:p w14:paraId="4E404DE2" w14:textId="77777777" w:rsidR="0046798B" w:rsidRDefault="00903B5C">
            <w:pPr>
              <w:pStyle w:val="TableParagraph"/>
              <w:ind w:left="115" w:right="166"/>
              <w:rPr>
                <w:b/>
                <w:sz w:val="20"/>
              </w:rPr>
            </w:pPr>
            <w:r>
              <w:rPr>
                <w:b/>
                <w:sz w:val="20"/>
              </w:rPr>
              <w:t>budgets_oversee n</w:t>
            </w:r>
          </w:p>
        </w:tc>
        <w:tc>
          <w:tcPr>
            <w:tcW w:w="1596" w:type="dxa"/>
          </w:tcPr>
          <w:p w14:paraId="13F8BF7B" w14:textId="77777777" w:rsidR="0046798B" w:rsidRDefault="0046798B">
            <w:pPr>
              <w:pStyle w:val="TableParagraph"/>
              <w:spacing w:before="9"/>
              <w:rPr>
                <w:sz w:val="23"/>
              </w:rPr>
            </w:pPr>
          </w:p>
          <w:p w14:paraId="48D68622" w14:textId="77777777" w:rsidR="0046798B" w:rsidRDefault="00903B5C">
            <w:pPr>
              <w:pStyle w:val="TableParagraph"/>
              <w:ind w:left="114" w:right="491"/>
              <w:rPr>
                <w:sz w:val="20"/>
              </w:rPr>
            </w:pPr>
            <w:r>
              <w:rPr>
                <w:sz w:val="20"/>
              </w:rPr>
              <w:t>Number of budgets overseen by governor</w:t>
            </w:r>
          </w:p>
        </w:tc>
        <w:tc>
          <w:tcPr>
            <w:tcW w:w="1280" w:type="dxa"/>
          </w:tcPr>
          <w:p w14:paraId="68E4A5E2" w14:textId="77777777" w:rsidR="0046798B" w:rsidRDefault="0046798B">
            <w:pPr>
              <w:pStyle w:val="TableParagraph"/>
            </w:pPr>
          </w:p>
          <w:p w14:paraId="26BCBFA5" w14:textId="77777777" w:rsidR="0046798B" w:rsidRDefault="0046798B">
            <w:pPr>
              <w:pStyle w:val="TableParagraph"/>
              <w:spacing w:before="9"/>
              <w:rPr>
                <w:sz w:val="31"/>
              </w:rPr>
            </w:pPr>
          </w:p>
          <w:p w14:paraId="3210F00A" w14:textId="77777777" w:rsidR="0046798B" w:rsidRDefault="00903B5C">
            <w:pPr>
              <w:pStyle w:val="TableParagraph"/>
              <w:ind w:left="114"/>
              <w:rPr>
                <w:sz w:val="20"/>
              </w:rPr>
            </w:pPr>
            <w:r>
              <w:rPr>
                <w:sz w:val="20"/>
              </w:rPr>
              <w:t>1959–2010</w:t>
            </w:r>
          </w:p>
        </w:tc>
        <w:tc>
          <w:tcPr>
            <w:tcW w:w="3421" w:type="dxa"/>
          </w:tcPr>
          <w:p w14:paraId="4ED573F8" w14:textId="77777777" w:rsidR="0046798B" w:rsidRDefault="00903B5C">
            <w:pPr>
              <w:pStyle w:val="TableParagraph"/>
              <w:spacing w:before="43"/>
              <w:ind w:left="114" w:right="172"/>
              <w:rPr>
                <w:sz w:val="20"/>
              </w:rPr>
            </w:pPr>
            <w:r>
              <w:rPr>
                <w:sz w:val="20"/>
              </w:rPr>
              <w:t>Number of budgets that the governor has overseen. If a governor leaves and comes back, the budgets they oversaw in the past are also counted. In the first year they oversee a budget, they get a code of “0.”</w:t>
            </w:r>
          </w:p>
        </w:tc>
        <w:tc>
          <w:tcPr>
            <w:tcW w:w="6477" w:type="dxa"/>
          </w:tcPr>
          <w:p w14:paraId="6DCEBDBE" w14:textId="77777777" w:rsidR="0046798B" w:rsidRDefault="0046798B">
            <w:pPr>
              <w:pStyle w:val="TableParagraph"/>
            </w:pPr>
          </w:p>
          <w:p w14:paraId="2F521B42" w14:textId="77777777" w:rsidR="0046798B" w:rsidRDefault="0046798B">
            <w:pPr>
              <w:pStyle w:val="TableParagraph"/>
              <w:spacing w:before="9"/>
              <w:rPr>
                <w:sz w:val="21"/>
              </w:rPr>
            </w:pPr>
          </w:p>
          <w:p w14:paraId="7BEC88EA" w14:textId="77777777" w:rsidR="0046798B" w:rsidRDefault="00903B5C">
            <w:pPr>
              <w:pStyle w:val="TableParagraph"/>
              <w:ind w:left="114" w:right="1261"/>
              <w:rPr>
                <w:sz w:val="20"/>
              </w:rPr>
            </w:pPr>
            <w:r>
              <w:rPr>
                <w:sz w:val="20"/>
              </w:rPr>
              <w:t xml:space="preserve">Klarner, Carl, 2013, “Governors Dataset”, </w:t>
            </w:r>
            <w:hyperlink r:id="rId428">
              <w:r>
                <w:rPr>
                  <w:color w:val="0462C1"/>
                  <w:sz w:val="20"/>
                  <w:u w:val="single" w:color="0462C1"/>
                </w:rPr>
                <w:t>https://doi.org/10.7910/DVN/PQ0Y1N</w:t>
              </w:r>
              <w:r>
                <w:rPr>
                  <w:sz w:val="20"/>
                </w:rPr>
                <w:t>,</w:t>
              </w:r>
            </w:hyperlink>
            <w:r>
              <w:rPr>
                <w:sz w:val="20"/>
              </w:rPr>
              <w:t xml:space="preserve"> Harvard Dataverse, V1</w:t>
            </w:r>
          </w:p>
        </w:tc>
      </w:tr>
      <w:tr w:rsidR="0046798B" w14:paraId="348202D7" w14:textId="77777777">
        <w:trPr>
          <w:trHeight w:val="1235"/>
        </w:trPr>
        <w:tc>
          <w:tcPr>
            <w:tcW w:w="1711" w:type="dxa"/>
          </w:tcPr>
          <w:p w14:paraId="0526E7D0" w14:textId="77777777" w:rsidR="0046798B" w:rsidRDefault="0046798B">
            <w:pPr>
              <w:pStyle w:val="TableParagraph"/>
              <w:spacing w:before="3"/>
              <w:rPr>
                <w:sz w:val="23"/>
              </w:rPr>
            </w:pPr>
          </w:p>
          <w:p w14:paraId="4097B8E1" w14:textId="77777777" w:rsidR="0046798B" w:rsidRDefault="00903B5C">
            <w:pPr>
              <w:pStyle w:val="TableParagraph"/>
              <w:spacing w:before="1"/>
              <w:ind w:left="115" w:right="149"/>
              <w:jc w:val="both"/>
              <w:rPr>
                <w:b/>
                <w:sz w:val="20"/>
              </w:rPr>
            </w:pPr>
            <w:r>
              <w:rPr>
                <w:b/>
                <w:sz w:val="20"/>
              </w:rPr>
              <w:t>years_served_bu dgets_overseen_ note</w:t>
            </w:r>
          </w:p>
        </w:tc>
        <w:tc>
          <w:tcPr>
            <w:tcW w:w="1596" w:type="dxa"/>
          </w:tcPr>
          <w:p w14:paraId="179C70EC" w14:textId="77777777" w:rsidR="0046798B" w:rsidRDefault="00903B5C">
            <w:pPr>
              <w:pStyle w:val="TableParagraph"/>
              <w:spacing w:before="38"/>
              <w:ind w:left="114" w:right="491"/>
              <w:rPr>
                <w:sz w:val="20"/>
              </w:rPr>
            </w:pPr>
            <w:r>
              <w:rPr>
                <w:sz w:val="20"/>
              </w:rPr>
              <w:t>Notes about number of budgets overseen by governor</w:t>
            </w:r>
          </w:p>
        </w:tc>
        <w:tc>
          <w:tcPr>
            <w:tcW w:w="1280" w:type="dxa"/>
          </w:tcPr>
          <w:p w14:paraId="67A4D7C3" w14:textId="77777777" w:rsidR="0046798B" w:rsidRDefault="0046798B">
            <w:pPr>
              <w:pStyle w:val="TableParagraph"/>
            </w:pPr>
          </w:p>
          <w:p w14:paraId="39F63F5D" w14:textId="77777777" w:rsidR="0046798B" w:rsidRDefault="0046798B">
            <w:pPr>
              <w:pStyle w:val="TableParagraph"/>
              <w:spacing w:before="3"/>
              <w:rPr>
                <w:sz w:val="21"/>
              </w:rPr>
            </w:pPr>
          </w:p>
          <w:p w14:paraId="36E99F5D" w14:textId="77777777" w:rsidR="0046798B" w:rsidRDefault="00903B5C">
            <w:pPr>
              <w:pStyle w:val="TableParagraph"/>
              <w:spacing w:before="1"/>
              <w:ind w:left="114"/>
              <w:rPr>
                <w:sz w:val="20"/>
              </w:rPr>
            </w:pPr>
            <w:r>
              <w:rPr>
                <w:sz w:val="20"/>
              </w:rPr>
              <w:t>1959–2010</w:t>
            </w:r>
          </w:p>
        </w:tc>
        <w:tc>
          <w:tcPr>
            <w:tcW w:w="3421" w:type="dxa"/>
          </w:tcPr>
          <w:p w14:paraId="3B937EB0" w14:textId="77777777" w:rsidR="0046798B" w:rsidRDefault="0046798B">
            <w:pPr>
              <w:pStyle w:val="TableParagraph"/>
            </w:pPr>
          </w:p>
          <w:p w14:paraId="246FFFDA" w14:textId="77777777" w:rsidR="0046798B" w:rsidRDefault="00903B5C">
            <w:pPr>
              <w:pStyle w:val="TableParagraph"/>
              <w:spacing w:before="130"/>
              <w:ind w:left="114" w:right="100"/>
              <w:rPr>
                <w:sz w:val="20"/>
              </w:rPr>
            </w:pPr>
            <w:r>
              <w:rPr>
                <w:sz w:val="20"/>
              </w:rPr>
              <w:t>Notes about the number of years served and budgets_overseen.</w:t>
            </w:r>
          </w:p>
        </w:tc>
        <w:tc>
          <w:tcPr>
            <w:tcW w:w="6477" w:type="dxa"/>
          </w:tcPr>
          <w:p w14:paraId="77B726D5" w14:textId="77777777" w:rsidR="0046798B" w:rsidRDefault="0046798B">
            <w:pPr>
              <w:pStyle w:val="TableParagraph"/>
            </w:pPr>
          </w:p>
          <w:p w14:paraId="4859B503" w14:textId="77777777" w:rsidR="0046798B" w:rsidRDefault="00903B5C">
            <w:pPr>
              <w:pStyle w:val="TableParagraph"/>
              <w:spacing w:before="130"/>
              <w:ind w:left="114" w:right="1261"/>
              <w:rPr>
                <w:sz w:val="20"/>
              </w:rPr>
            </w:pPr>
            <w:r>
              <w:rPr>
                <w:sz w:val="20"/>
              </w:rPr>
              <w:t xml:space="preserve">Klarner, Carl, 2013, “Governors Dataset”, </w:t>
            </w:r>
            <w:hyperlink r:id="rId429">
              <w:r>
                <w:rPr>
                  <w:color w:val="0462C1"/>
                  <w:sz w:val="20"/>
                  <w:u w:val="single" w:color="0462C1"/>
                </w:rPr>
                <w:t>https://doi.org/10.7910/DVN/PQ0Y1N</w:t>
              </w:r>
              <w:r>
                <w:rPr>
                  <w:sz w:val="20"/>
                </w:rPr>
                <w:t>,</w:t>
              </w:r>
            </w:hyperlink>
            <w:r>
              <w:rPr>
                <w:sz w:val="20"/>
              </w:rPr>
              <w:t xml:space="preserve"> Harvard Dataverse, V1</w:t>
            </w:r>
          </w:p>
        </w:tc>
      </w:tr>
      <w:tr w:rsidR="0046798B" w14:paraId="00586203" w14:textId="77777777">
        <w:trPr>
          <w:trHeight w:val="775"/>
        </w:trPr>
        <w:tc>
          <w:tcPr>
            <w:tcW w:w="1711" w:type="dxa"/>
          </w:tcPr>
          <w:p w14:paraId="7AB3C845" w14:textId="77777777" w:rsidR="0046798B" w:rsidRDefault="0046798B">
            <w:pPr>
              <w:pStyle w:val="TableParagraph"/>
              <w:spacing w:before="3"/>
              <w:rPr>
                <w:sz w:val="23"/>
              </w:rPr>
            </w:pPr>
          </w:p>
          <w:p w14:paraId="5E16FAEC" w14:textId="77777777" w:rsidR="0046798B" w:rsidRDefault="00903B5C">
            <w:pPr>
              <w:pStyle w:val="TableParagraph"/>
              <w:ind w:left="115"/>
              <w:rPr>
                <w:b/>
                <w:sz w:val="20"/>
              </w:rPr>
            </w:pPr>
            <w:r>
              <w:rPr>
                <w:b/>
                <w:sz w:val="20"/>
              </w:rPr>
              <w:t>term_length</w:t>
            </w:r>
          </w:p>
        </w:tc>
        <w:tc>
          <w:tcPr>
            <w:tcW w:w="1596" w:type="dxa"/>
          </w:tcPr>
          <w:p w14:paraId="32A51351" w14:textId="77777777" w:rsidR="0046798B" w:rsidRDefault="0046798B">
            <w:pPr>
              <w:pStyle w:val="TableParagraph"/>
              <w:spacing w:before="3"/>
              <w:rPr>
                <w:sz w:val="23"/>
              </w:rPr>
            </w:pPr>
          </w:p>
          <w:p w14:paraId="01E2CD44" w14:textId="77777777" w:rsidR="0046798B" w:rsidRDefault="00903B5C">
            <w:pPr>
              <w:pStyle w:val="TableParagraph"/>
              <w:ind w:left="114"/>
              <w:rPr>
                <w:sz w:val="20"/>
              </w:rPr>
            </w:pPr>
            <w:r>
              <w:rPr>
                <w:sz w:val="20"/>
              </w:rPr>
              <w:t>Term length</w:t>
            </w:r>
          </w:p>
        </w:tc>
        <w:tc>
          <w:tcPr>
            <w:tcW w:w="1280" w:type="dxa"/>
          </w:tcPr>
          <w:p w14:paraId="74E95E13" w14:textId="77777777" w:rsidR="0046798B" w:rsidRDefault="0046798B">
            <w:pPr>
              <w:pStyle w:val="TableParagraph"/>
              <w:spacing w:before="3"/>
              <w:rPr>
                <w:sz w:val="23"/>
              </w:rPr>
            </w:pPr>
          </w:p>
          <w:p w14:paraId="37CAFDD6" w14:textId="77777777" w:rsidR="0046798B" w:rsidRDefault="00903B5C">
            <w:pPr>
              <w:pStyle w:val="TableParagraph"/>
              <w:ind w:left="114"/>
              <w:rPr>
                <w:sz w:val="20"/>
              </w:rPr>
            </w:pPr>
            <w:r>
              <w:rPr>
                <w:sz w:val="20"/>
              </w:rPr>
              <w:t>1956–2004</w:t>
            </w:r>
          </w:p>
        </w:tc>
        <w:tc>
          <w:tcPr>
            <w:tcW w:w="3421" w:type="dxa"/>
          </w:tcPr>
          <w:p w14:paraId="0178B9C3" w14:textId="77777777" w:rsidR="0046798B" w:rsidRDefault="00903B5C">
            <w:pPr>
              <w:pStyle w:val="TableParagraph"/>
              <w:spacing w:before="38"/>
              <w:ind w:left="114" w:right="150"/>
              <w:rPr>
                <w:sz w:val="20"/>
              </w:rPr>
            </w:pPr>
            <w:r>
              <w:rPr>
                <w:sz w:val="20"/>
              </w:rPr>
              <w:t>Number of years in governor’s term (means that in that year the governor is having that type of term, in length).</w:t>
            </w:r>
          </w:p>
        </w:tc>
        <w:tc>
          <w:tcPr>
            <w:tcW w:w="6477" w:type="dxa"/>
          </w:tcPr>
          <w:p w14:paraId="0F7B181A" w14:textId="77777777" w:rsidR="0046798B" w:rsidRDefault="00903B5C">
            <w:pPr>
              <w:pStyle w:val="TableParagraph"/>
              <w:spacing w:before="153"/>
              <w:ind w:left="114" w:right="1261"/>
              <w:rPr>
                <w:sz w:val="20"/>
              </w:rPr>
            </w:pPr>
            <w:r>
              <w:rPr>
                <w:sz w:val="20"/>
              </w:rPr>
              <w:t xml:space="preserve">Klarner, Carl, 2013, “Governors Dataset”, </w:t>
            </w:r>
            <w:hyperlink r:id="rId430">
              <w:r>
                <w:rPr>
                  <w:color w:val="0462C1"/>
                  <w:sz w:val="20"/>
                  <w:u w:val="single" w:color="0462C1"/>
                </w:rPr>
                <w:t>https://doi.org/10.7910/DVN/PQ0Y1N</w:t>
              </w:r>
              <w:r>
                <w:rPr>
                  <w:sz w:val="20"/>
                </w:rPr>
                <w:t>,</w:t>
              </w:r>
            </w:hyperlink>
            <w:r>
              <w:rPr>
                <w:sz w:val="20"/>
              </w:rPr>
              <w:t xml:space="preserve"> Harvard Dataverse, V1</w:t>
            </w:r>
          </w:p>
        </w:tc>
      </w:tr>
      <w:tr w:rsidR="0046798B" w14:paraId="5030EF7A" w14:textId="77777777">
        <w:trPr>
          <w:trHeight w:val="545"/>
        </w:trPr>
        <w:tc>
          <w:tcPr>
            <w:tcW w:w="1711" w:type="dxa"/>
          </w:tcPr>
          <w:p w14:paraId="59B4AD6C" w14:textId="77777777" w:rsidR="0046798B" w:rsidRDefault="00903B5C">
            <w:pPr>
              <w:pStyle w:val="TableParagraph"/>
              <w:spacing w:before="38"/>
              <w:ind w:left="115" w:right="122"/>
              <w:rPr>
                <w:b/>
                <w:sz w:val="20"/>
              </w:rPr>
            </w:pPr>
            <w:r>
              <w:rPr>
                <w:b/>
                <w:sz w:val="20"/>
              </w:rPr>
              <w:t>years_left_in_ter m</w:t>
            </w:r>
          </w:p>
        </w:tc>
        <w:tc>
          <w:tcPr>
            <w:tcW w:w="1596" w:type="dxa"/>
          </w:tcPr>
          <w:p w14:paraId="036DDD65" w14:textId="77777777" w:rsidR="0046798B" w:rsidRDefault="00903B5C">
            <w:pPr>
              <w:pStyle w:val="TableParagraph"/>
              <w:spacing w:before="38"/>
              <w:ind w:left="114" w:right="169"/>
              <w:rPr>
                <w:sz w:val="20"/>
              </w:rPr>
            </w:pPr>
            <w:r>
              <w:rPr>
                <w:sz w:val="20"/>
              </w:rPr>
              <w:t>Years left in governor’s term</w:t>
            </w:r>
          </w:p>
        </w:tc>
        <w:tc>
          <w:tcPr>
            <w:tcW w:w="1280" w:type="dxa"/>
          </w:tcPr>
          <w:p w14:paraId="28D32B02" w14:textId="77777777" w:rsidR="0046798B" w:rsidRDefault="00903B5C">
            <w:pPr>
              <w:pStyle w:val="TableParagraph"/>
              <w:spacing w:before="153"/>
              <w:ind w:left="114"/>
              <w:rPr>
                <w:sz w:val="20"/>
              </w:rPr>
            </w:pPr>
            <w:r>
              <w:rPr>
                <w:sz w:val="20"/>
              </w:rPr>
              <w:t>1956–2004</w:t>
            </w:r>
          </w:p>
        </w:tc>
        <w:tc>
          <w:tcPr>
            <w:tcW w:w="3421" w:type="dxa"/>
          </w:tcPr>
          <w:p w14:paraId="4825B1DC" w14:textId="77777777" w:rsidR="0046798B" w:rsidRDefault="00903B5C">
            <w:pPr>
              <w:pStyle w:val="TableParagraph"/>
              <w:spacing w:before="38"/>
              <w:ind w:left="114"/>
              <w:rPr>
                <w:sz w:val="20"/>
              </w:rPr>
            </w:pPr>
            <w:r>
              <w:rPr>
                <w:sz w:val="20"/>
              </w:rPr>
              <w:t>Number of years left in the governor’s term.</w:t>
            </w:r>
          </w:p>
        </w:tc>
        <w:tc>
          <w:tcPr>
            <w:tcW w:w="6477" w:type="dxa"/>
          </w:tcPr>
          <w:p w14:paraId="69251F5C" w14:textId="77777777" w:rsidR="0046798B" w:rsidRDefault="00903B5C">
            <w:pPr>
              <w:pStyle w:val="TableParagraph"/>
              <w:spacing w:before="38"/>
              <w:ind w:left="114" w:right="1261"/>
              <w:rPr>
                <w:sz w:val="20"/>
              </w:rPr>
            </w:pPr>
            <w:r>
              <w:rPr>
                <w:sz w:val="20"/>
              </w:rPr>
              <w:t xml:space="preserve">Klarner, Carl, 2013, “Governors Dataset”, </w:t>
            </w:r>
            <w:hyperlink r:id="rId431">
              <w:r>
                <w:rPr>
                  <w:color w:val="0462C1"/>
                  <w:sz w:val="20"/>
                  <w:u w:val="single" w:color="0462C1"/>
                </w:rPr>
                <w:t>https://doi.org/10.7910/DVN/PQ0Y1N</w:t>
              </w:r>
              <w:r>
                <w:rPr>
                  <w:sz w:val="20"/>
                </w:rPr>
                <w:t>,</w:t>
              </w:r>
            </w:hyperlink>
            <w:r>
              <w:rPr>
                <w:sz w:val="20"/>
              </w:rPr>
              <w:t xml:space="preserve"> Harvard Dataverse, V1</w:t>
            </w:r>
          </w:p>
        </w:tc>
      </w:tr>
      <w:tr w:rsidR="0046798B" w14:paraId="308B3AE3" w14:textId="77777777">
        <w:trPr>
          <w:trHeight w:val="1005"/>
        </w:trPr>
        <w:tc>
          <w:tcPr>
            <w:tcW w:w="1711" w:type="dxa"/>
          </w:tcPr>
          <w:p w14:paraId="005FFA1C" w14:textId="77777777" w:rsidR="0046798B" w:rsidRDefault="0046798B">
            <w:pPr>
              <w:pStyle w:val="TableParagraph"/>
            </w:pPr>
          </w:p>
          <w:p w14:paraId="7D0AAF07" w14:textId="77777777" w:rsidR="0046798B" w:rsidRDefault="00903B5C">
            <w:pPr>
              <w:pStyle w:val="TableParagraph"/>
              <w:spacing w:before="135"/>
              <w:ind w:left="115"/>
              <w:rPr>
                <w:b/>
                <w:sz w:val="20"/>
              </w:rPr>
            </w:pPr>
            <w:r>
              <w:rPr>
                <w:b/>
                <w:sz w:val="20"/>
              </w:rPr>
              <w:t>limit_exists</w:t>
            </w:r>
          </w:p>
        </w:tc>
        <w:tc>
          <w:tcPr>
            <w:tcW w:w="1596" w:type="dxa"/>
          </w:tcPr>
          <w:p w14:paraId="1DE99BDA" w14:textId="77777777" w:rsidR="0046798B" w:rsidRDefault="00903B5C">
            <w:pPr>
              <w:pStyle w:val="TableParagraph"/>
              <w:spacing w:before="158"/>
              <w:ind w:left="114" w:right="385"/>
              <w:rPr>
                <w:sz w:val="20"/>
              </w:rPr>
            </w:pPr>
            <w:r>
              <w:rPr>
                <w:sz w:val="20"/>
              </w:rPr>
              <w:t>Dummy for gubernatorial term limit</w:t>
            </w:r>
          </w:p>
        </w:tc>
        <w:tc>
          <w:tcPr>
            <w:tcW w:w="1280" w:type="dxa"/>
          </w:tcPr>
          <w:p w14:paraId="260CC93F" w14:textId="77777777" w:rsidR="0046798B" w:rsidRDefault="0046798B">
            <w:pPr>
              <w:pStyle w:val="TableParagraph"/>
            </w:pPr>
          </w:p>
          <w:p w14:paraId="53914190" w14:textId="77777777" w:rsidR="0046798B" w:rsidRDefault="00903B5C">
            <w:pPr>
              <w:pStyle w:val="TableParagraph"/>
              <w:spacing w:before="135"/>
              <w:ind w:left="114"/>
              <w:rPr>
                <w:sz w:val="20"/>
              </w:rPr>
            </w:pPr>
            <w:r>
              <w:rPr>
                <w:sz w:val="20"/>
              </w:rPr>
              <w:t>1960–2009</w:t>
            </w:r>
          </w:p>
        </w:tc>
        <w:tc>
          <w:tcPr>
            <w:tcW w:w="3421" w:type="dxa"/>
          </w:tcPr>
          <w:p w14:paraId="068D1CB0" w14:textId="77777777" w:rsidR="0046798B" w:rsidRDefault="00903B5C">
            <w:pPr>
              <w:pStyle w:val="TableParagraph"/>
              <w:spacing w:before="43"/>
              <w:ind w:left="114" w:right="200"/>
              <w:rPr>
                <w:sz w:val="20"/>
              </w:rPr>
            </w:pPr>
            <w:r>
              <w:rPr>
                <w:sz w:val="20"/>
              </w:rPr>
              <w:t>A gubernatorial term limit exists by law at this time, no matter how many terms the present governor has served. 1 = yes, 0 = no</w:t>
            </w:r>
          </w:p>
        </w:tc>
        <w:tc>
          <w:tcPr>
            <w:tcW w:w="6477" w:type="dxa"/>
          </w:tcPr>
          <w:p w14:paraId="6E924A93" w14:textId="77777777" w:rsidR="0046798B" w:rsidRDefault="0046798B">
            <w:pPr>
              <w:pStyle w:val="TableParagraph"/>
              <w:spacing w:before="8"/>
              <w:rPr>
                <w:sz w:val="23"/>
              </w:rPr>
            </w:pPr>
          </w:p>
          <w:p w14:paraId="7D43E3E8" w14:textId="77777777" w:rsidR="0046798B" w:rsidRDefault="00903B5C">
            <w:pPr>
              <w:pStyle w:val="TableParagraph"/>
              <w:spacing w:before="1"/>
              <w:ind w:left="114" w:right="1261"/>
              <w:rPr>
                <w:sz w:val="20"/>
              </w:rPr>
            </w:pPr>
            <w:r>
              <w:rPr>
                <w:sz w:val="20"/>
              </w:rPr>
              <w:t xml:space="preserve">Klarner, Carl, 2013, “Governors Dataset”, </w:t>
            </w:r>
            <w:hyperlink r:id="rId432">
              <w:r>
                <w:rPr>
                  <w:color w:val="0462C1"/>
                  <w:sz w:val="20"/>
                  <w:u w:val="single" w:color="0462C1"/>
                </w:rPr>
                <w:t>https://doi.org/10.7910/DVN/PQ0Y1N</w:t>
              </w:r>
              <w:r>
                <w:rPr>
                  <w:sz w:val="20"/>
                </w:rPr>
                <w:t>,</w:t>
              </w:r>
            </w:hyperlink>
            <w:r>
              <w:rPr>
                <w:sz w:val="20"/>
              </w:rPr>
              <w:t xml:space="preserve"> Harvard Dataverse, V1</w:t>
            </w:r>
          </w:p>
        </w:tc>
      </w:tr>
    </w:tbl>
    <w:p w14:paraId="685ED6D3" w14:textId="77777777" w:rsidR="0046798B" w:rsidRDefault="0046798B">
      <w:pPr>
        <w:rPr>
          <w:sz w:val="20"/>
        </w:rPr>
        <w:sectPr w:rsidR="0046798B">
          <w:pgSz w:w="15840" w:h="12240" w:orient="landscape"/>
          <w:pgMar w:top="1220" w:right="300" w:bottom="980" w:left="820" w:header="730" w:footer="787" w:gutter="0"/>
          <w:cols w:space="720"/>
        </w:sectPr>
      </w:pPr>
    </w:p>
    <w:p w14:paraId="19645DFB"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0"/>
        <w:gridCol w:w="3421"/>
        <w:gridCol w:w="6477"/>
      </w:tblGrid>
      <w:tr w:rsidR="0046798B" w14:paraId="67CB15CA" w14:textId="77777777">
        <w:trPr>
          <w:trHeight w:val="1465"/>
        </w:trPr>
        <w:tc>
          <w:tcPr>
            <w:tcW w:w="1711" w:type="dxa"/>
          </w:tcPr>
          <w:p w14:paraId="3A762D4B" w14:textId="77777777" w:rsidR="0046798B" w:rsidRDefault="0046798B">
            <w:pPr>
              <w:pStyle w:val="TableParagraph"/>
            </w:pPr>
          </w:p>
          <w:p w14:paraId="62B4582E" w14:textId="77777777" w:rsidR="0046798B" w:rsidRDefault="0046798B">
            <w:pPr>
              <w:pStyle w:val="TableParagraph"/>
              <w:spacing w:before="9"/>
              <w:rPr>
                <w:sz w:val="31"/>
              </w:rPr>
            </w:pPr>
          </w:p>
          <w:p w14:paraId="3BA7D6EB" w14:textId="77777777" w:rsidR="0046798B" w:rsidRDefault="00903B5C">
            <w:pPr>
              <w:pStyle w:val="TableParagraph"/>
              <w:ind w:left="115"/>
              <w:rPr>
                <w:b/>
                <w:sz w:val="20"/>
              </w:rPr>
            </w:pPr>
            <w:r>
              <w:rPr>
                <w:b/>
                <w:sz w:val="20"/>
              </w:rPr>
              <w:t>limit_type</w:t>
            </w:r>
          </w:p>
        </w:tc>
        <w:tc>
          <w:tcPr>
            <w:tcW w:w="1596" w:type="dxa"/>
          </w:tcPr>
          <w:p w14:paraId="30ECD907" w14:textId="77777777" w:rsidR="0046798B" w:rsidRDefault="0046798B">
            <w:pPr>
              <w:pStyle w:val="TableParagraph"/>
            </w:pPr>
          </w:p>
          <w:p w14:paraId="094EAB5A" w14:textId="77777777" w:rsidR="0046798B" w:rsidRDefault="0046798B">
            <w:pPr>
              <w:pStyle w:val="TableParagraph"/>
              <w:spacing w:before="9"/>
              <w:rPr>
                <w:sz w:val="21"/>
              </w:rPr>
            </w:pPr>
          </w:p>
          <w:p w14:paraId="2A104BF3" w14:textId="77777777" w:rsidR="0046798B" w:rsidRDefault="00903B5C">
            <w:pPr>
              <w:pStyle w:val="TableParagraph"/>
              <w:ind w:left="114" w:right="407"/>
              <w:rPr>
                <w:sz w:val="20"/>
              </w:rPr>
            </w:pPr>
            <w:r>
              <w:rPr>
                <w:sz w:val="20"/>
              </w:rPr>
              <w:t>Type of term limit</w:t>
            </w:r>
          </w:p>
        </w:tc>
        <w:tc>
          <w:tcPr>
            <w:tcW w:w="1280" w:type="dxa"/>
          </w:tcPr>
          <w:p w14:paraId="4E3E8237" w14:textId="77777777" w:rsidR="0046798B" w:rsidRDefault="0046798B">
            <w:pPr>
              <w:pStyle w:val="TableParagraph"/>
            </w:pPr>
          </w:p>
          <w:p w14:paraId="4F16691F" w14:textId="77777777" w:rsidR="0046798B" w:rsidRDefault="0046798B">
            <w:pPr>
              <w:pStyle w:val="TableParagraph"/>
              <w:spacing w:before="9"/>
              <w:rPr>
                <w:sz w:val="31"/>
              </w:rPr>
            </w:pPr>
          </w:p>
          <w:p w14:paraId="29CBAEBE" w14:textId="77777777" w:rsidR="0046798B" w:rsidRDefault="00903B5C">
            <w:pPr>
              <w:pStyle w:val="TableParagraph"/>
              <w:ind w:left="114"/>
              <w:rPr>
                <w:sz w:val="20"/>
              </w:rPr>
            </w:pPr>
            <w:r>
              <w:rPr>
                <w:sz w:val="20"/>
              </w:rPr>
              <w:t>1959–2009</w:t>
            </w:r>
          </w:p>
        </w:tc>
        <w:tc>
          <w:tcPr>
            <w:tcW w:w="3421" w:type="dxa"/>
          </w:tcPr>
          <w:p w14:paraId="05FB78C2" w14:textId="77777777" w:rsidR="0046798B" w:rsidRDefault="00903B5C">
            <w:pPr>
              <w:pStyle w:val="TableParagraph"/>
              <w:spacing w:before="158"/>
              <w:ind w:left="114" w:right="160"/>
              <w:rPr>
                <w:sz w:val="20"/>
              </w:rPr>
            </w:pPr>
            <w:r>
              <w:rPr>
                <w:sz w:val="20"/>
              </w:rPr>
              <w:t>Type of term limit. 0 = there is no term limit. 1 = there is a one-term limit. 2 = there is a two-term limit. 3 = there is a three-term limit. This is from the data file “GovTermLimits.”</w:t>
            </w:r>
          </w:p>
        </w:tc>
        <w:tc>
          <w:tcPr>
            <w:tcW w:w="6477" w:type="dxa"/>
          </w:tcPr>
          <w:p w14:paraId="1B5453C4" w14:textId="77777777" w:rsidR="0046798B" w:rsidRDefault="00903B5C">
            <w:pPr>
              <w:pStyle w:val="TableParagraph"/>
              <w:spacing w:before="43"/>
              <w:ind w:left="114" w:right="1261"/>
              <w:rPr>
                <w:sz w:val="20"/>
              </w:rPr>
            </w:pPr>
            <w:r>
              <w:rPr>
                <w:sz w:val="20"/>
              </w:rPr>
              <w:t xml:space="preserve">Klarner, Carl, 2013, “Governors Dataset”, </w:t>
            </w:r>
            <w:hyperlink r:id="rId433">
              <w:r>
                <w:rPr>
                  <w:color w:val="0462C1"/>
                  <w:sz w:val="20"/>
                  <w:u w:val="single" w:color="0462C1"/>
                </w:rPr>
                <w:t>https://doi.org/10.7910/DVN/PQ0Y1N</w:t>
              </w:r>
              <w:r>
                <w:rPr>
                  <w:sz w:val="20"/>
                </w:rPr>
                <w:t>,</w:t>
              </w:r>
            </w:hyperlink>
            <w:r>
              <w:rPr>
                <w:sz w:val="20"/>
              </w:rPr>
              <w:t xml:space="preserve"> Harvard Dataverse, V1</w:t>
            </w:r>
          </w:p>
          <w:p w14:paraId="0D1E3CE7" w14:textId="77777777" w:rsidR="0046798B" w:rsidRDefault="0046798B">
            <w:pPr>
              <w:pStyle w:val="TableParagraph"/>
              <w:rPr>
                <w:sz w:val="20"/>
              </w:rPr>
            </w:pPr>
          </w:p>
          <w:p w14:paraId="5C133452" w14:textId="77777777" w:rsidR="0046798B" w:rsidRDefault="00903B5C">
            <w:pPr>
              <w:pStyle w:val="TableParagraph"/>
              <w:ind w:left="114"/>
              <w:rPr>
                <w:sz w:val="20"/>
              </w:rPr>
            </w:pPr>
            <w:r>
              <w:rPr>
                <w:sz w:val="20"/>
              </w:rPr>
              <w:t>Sources for 1997 to 2002; Book of the States, used further research (noted in source file file) in the case of ID and MA because they had changes to their laws.</w:t>
            </w:r>
          </w:p>
        </w:tc>
      </w:tr>
      <w:tr w:rsidR="0046798B" w14:paraId="772A34BB" w14:textId="77777777">
        <w:trPr>
          <w:trHeight w:val="2616"/>
        </w:trPr>
        <w:tc>
          <w:tcPr>
            <w:tcW w:w="1711" w:type="dxa"/>
          </w:tcPr>
          <w:p w14:paraId="750FC4B7" w14:textId="77777777" w:rsidR="0046798B" w:rsidRDefault="0046798B">
            <w:pPr>
              <w:pStyle w:val="TableParagraph"/>
            </w:pPr>
          </w:p>
          <w:p w14:paraId="78FA949E" w14:textId="77777777" w:rsidR="0046798B" w:rsidRDefault="0046798B">
            <w:pPr>
              <w:pStyle w:val="TableParagraph"/>
            </w:pPr>
          </w:p>
          <w:p w14:paraId="40246038" w14:textId="77777777" w:rsidR="0046798B" w:rsidRDefault="0046798B">
            <w:pPr>
              <w:pStyle w:val="TableParagraph"/>
            </w:pPr>
          </w:p>
          <w:p w14:paraId="4E8C10B2" w14:textId="77777777" w:rsidR="0046798B" w:rsidRDefault="0046798B">
            <w:pPr>
              <w:pStyle w:val="TableParagraph"/>
              <w:spacing w:before="9"/>
              <w:rPr>
                <w:sz w:val="27"/>
              </w:rPr>
            </w:pPr>
          </w:p>
          <w:p w14:paraId="6E695A06" w14:textId="77777777" w:rsidR="0046798B" w:rsidRDefault="00903B5C">
            <w:pPr>
              <w:pStyle w:val="TableParagraph"/>
              <w:ind w:left="115" w:right="133"/>
              <w:rPr>
                <w:b/>
                <w:sz w:val="20"/>
              </w:rPr>
            </w:pPr>
            <w:r>
              <w:rPr>
                <w:b/>
                <w:sz w:val="20"/>
              </w:rPr>
              <w:t>term_limit_lengt h_uncertainty</w:t>
            </w:r>
          </w:p>
        </w:tc>
        <w:tc>
          <w:tcPr>
            <w:tcW w:w="1596" w:type="dxa"/>
          </w:tcPr>
          <w:p w14:paraId="5AAF7E75" w14:textId="77777777" w:rsidR="0046798B" w:rsidRDefault="0046798B">
            <w:pPr>
              <w:pStyle w:val="TableParagraph"/>
            </w:pPr>
          </w:p>
          <w:p w14:paraId="19932619" w14:textId="77777777" w:rsidR="0046798B" w:rsidRDefault="0046798B">
            <w:pPr>
              <w:pStyle w:val="TableParagraph"/>
            </w:pPr>
          </w:p>
          <w:p w14:paraId="3D294D85" w14:textId="77777777" w:rsidR="0046798B" w:rsidRDefault="0046798B">
            <w:pPr>
              <w:pStyle w:val="TableParagraph"/>
            </w:pPr>
          </w:p>
          <w:p w14:paraId="748FC93F" w14:textId="77777777" w:rsidR="0046798B" w:rsidRDefault="0046798B">
            <w:pPr>
              <w:pStyle w:val="TableParagraph"/>
              <w:spacing w:before="9"/>
              <w:rPr>
                <w:sz w:val="17"/>
              </w:rPr>
            </w:pPr>
          </w:p>
          <w:p w14:paraId="4B285F3C" w14:textId="77777777" w:rsidR="0046798B" w:rsidRDefault="00903B5C">
            <w:pPr>
              <w:pStyle w:val="TableParagraph"/>
              <w:ind w:left="114" w:right="569"/>
              <w:jc w:val="both"/>
              <w:rPr>
                <w:sz w:val="20"/>
              </w:rPr>
            </w:pPr>
            <w:r>
              <w:rPr>
                <w:sz w:val="20"/>
              </w:rPr>
              <w:t>Term limit uncertainty dummy</w:t>
            </w:r>
          </w:p>
        </w:tc>
        <w:tc>
          <w:tcPr>
            <w:tcW w:w="1280" w:type="dxa"/>
          </w:tcPr>
          <w:p w14:paraId="66DA699F" w14:textId="77777777" w:rsidR="0046798B" w:rsidRDefault="0046798B">
            <w:pPr>
              <w:pStyle w:val="TableParagraph"/>
            </w:pPr>
          </w:p>
          <w:p w14:paraId="6412D705" w14:textId="77777777" w:rsidR="0046798B" w:rsidRDefault="0046798B">
            <w:pPr>
              <w:pStyle w:val="TableParagraph"/>
            </w:pPr>
          </w:p>
          <w:p w14:paraId="41CFC7FD" w14:textId="77777777" w:rsidR="0046798B" w:rsidRDefault="0046798B">
            <w:pPr>
              <w:pStyle w:val="TableParagraph"/>
            </w:pPr>
          </w:p>
          <w:p w14:paraId="5B380156" w14:textId="77777777" w:rsidR="0046798B" w:rsidRDefault="0046798B">
            <w:pPr>
              <w:pStyle w:val="TableParagraph"/>
            </w:pPr>
          </w:p>
          <w:p w14:paraId="0E982493" w14:textId="77777777" w:rsidR="0046798B" w:rsidRDefault="00903B5C">
            <w:pPr>
              <w:pStyle w:val="TableParagraph"/>
              <w:spacing w:before="182"/>
              <w:ind w:left="114"/>
              <w:rPr>
                <w:sz w:val="20"/>
              </w:rPr>
            </w:pPr>
            <w:r>
              <w:rPr>
                <w:sz w:val="20"/>
              </w:rPr>
              <w:t>1959–2009</w:t>
            </w:r>
          </w:p>
        </w:tc>
        <w:tc>
          <w:tcPr>
            <w:tcW w:w="3421" w:type="dxa"/>
          </w:tcPr>
          <w:p w14:paraId="7DBFD731" w14:textId="77777777" w:rsidR="0046798B" w:rsidRDefault="00903B5C">
            <w:pPr>
              <w:pStyle w:val="TableParagraph"/>
              <w:spacing w:before="44"/>
              <w:ind w:left="114" w:right="126"/>
              <w:rPr>
                <w:sz w:val="20"/>
              </w:rPr>
            </w:pPr>
            <w:r>
              <w:rPr>
                <w:sz w:val="20"/>
              </w:rPr>
              <w:t>0 = term limit is known because it was looked up from documents, etc. 1 = assumption was made that term limit in an earlier year was the same as the earliest year term limit law was known. Note: I did check to see if there were inconsistencies between the coding of “term_length” and which governors were in office (for example, if there was a two-term governor in a state I coded as having a one-term term limit).</w:t>
            </w:r>
          </w:p>
        </w:tc>
        <w:tc>
          <w:tcPr>
            <w:tcW w:w="6477" w:type="dxa"/>
          </w:tcPr>
          <w:p w14:paraId="43AF710E" w14:textId="77777777" w:rsidR="0046798B" w:rsidRDefault="0046798B">
            <w:pPr>
              <w:pStyle w:val="TableParagraph"/>
            </w:pPr>
          </w:p>
          <w:p w14:paraId="3C910279" w14:textId="77777777" w:rsidR="0046798B" w:rsidRDefault="0046798B">
            <w:pPr>
              <w:pStyle w:val="TableParagraph"/>
            </w:pPr>
          </w:p>
          <w:p w14:paraId="2218B460" w14:textId="77777777" w:rsidR="0046798B" w:rsidRDefault="0046798B">
            <w:pPr>
              <w:pStyle w:val="TableParagraph"/>
            </w:pPr>
          </w:p>
          <w:p w14:paraId="28CC873D" w14:textId="77777777" w:rsidR="0046798B" w:rsidRDefault="0046798B">
            <w:pPr>
              <w:pStyle w:val="TableParagraph"/>
              <w:spacing w:before="9"/>
              <w:rPr>
                <w:sz w:val="27"/>
              </w:rPr>
            </w:pPr>
          </w:p>
          <w:p w14:paraId="496D0A1F" w14:textId="77777777" w:rsidR="0046798B" w:rsidRDefault="00903B5C">
            <w:pPr>
              <w:pStyle w:val="TableParagraph"/>
              <w:ind w:left="114" w:right="1261"/>
              <w:rPr>
                <w:sz w:val="20"/>
              </w:rPr>
            </w:pPr>
            <w:r>
              <w:rPr>
                <w:sz w:val="20"/>
              </w:rPr>
              <w:t xml:space="preserve">Klarner, Carl, 2013, “Governors Dataset”, </w:t>
            </w:r>
            <w:hyperlink r:id="rId434">
              <w:r>
                <w:rPr>
                  <w:color w:val="0462C1"/>
                  <w:sz w:val="20"/>
                  <w:u w:val="single" w:color="0462C1"/>
                </w:rPr>
                <w:t>https://doi.org/10.7910/DVN/PQ0Y1N</w:t>
              </w:r>
              <w:r>
                <w:rPr>
                  <w:sz w:val="20"/>
                </w:rPr>
                <w:t>,</w:t>
              </w:r>
            </w:hyperlink>
            <w:r>
              <w:rPr>
                <w:sz w:val="20"/>
              </w:rPr>
              <w:t xml:space="preserve"> Harvard Dataverse, V1</w:t>
            </w:r>
          </w:p>
        </w:tc>
      </w:tr>
      <w:tr w:rsidR="0046798B" w14:paraId="51522924" w14:textId="77777777">
        <w:trPr>
          <w:trHeight w:val="3536"/>
        </w:trPr>
        <w:tc>
          <w:tcPr>
            <w:tcW w:w="1711" w:type="dxa"/>
          </w:tcPr>
          <w:p w14:paraId="2935D23C" w14:textId="77777777" w:rsidR="0046798B" w:rsidRDefault="0046798B">
            <w:pPr>
              <w:pStyle w:val="TableParagraph"/>
            </w:pPr>
          </w:p>
          <w:p w14:paraId="10CF1BA5" w14:textId="77777777" w:rsidR="0046798B" w:rsidRDefault="0046798B">
            <w:pPr>
              <w:pStyle w:val="TableParagraph"/>
            </w:pPr>
          </w:p>
          <w:p w14:paraId="7464463B" w14:textId="77777777" w:rsidR="0046798B" w:rsidRDefault="0046798B">
            <w:pPr>
              <w:pStyle w:val="TableParagraph"/>
            </w:pPr>
          </w:p>
          <w:p w14:paraId="45E7359A" w14:textId="77777777" w:rsidR="0046798B" w:rsidRDefault="0046798B">
            <w:pPr>
              <w:pStyle w:val="TableParagraph"/>
            </w:pPr>
          </w:p>
          <w:p w14:paraId="52002BA3" w14:textId="77777777" w:rsidR="0046798B" w:rsidRDefault="0046798B">
            <w:pPr>
              <w:pStyle w:val="TableParagraph"/>
            </w:pPr>
          </w:p>
          <w:p w14:paraId="6B96EC1F" w14:textId="77777777" w:rsidR="0046798B" w:rsidRDefault="0046798B">
            <w:pPr>
              <w:pStyle w:val="TableParagraph"/>
              <w:spacing w:before="9"/>
              <w:rPr>
                <w:sz w:val="23"/>
              </w:rPr>
            </w:pPr>
          </w:p>
          <w:p w14:paraId="17ED4E49" w14:textId="77777777" w:rsidR="0046798B" w:rsidRDefault="00903B5C">
            <w:pPr>
              <w:pStyle w:val="TableParagraph"/>
              <w:ind w:left="115"/>
              <w:rPr>
                <w:b/>
                <w:sz w:val="20"/>
              </w:rPr>
            </w:pPr>
            <w:r>
              <w:rPr>
                <w:b/>
                <w:sz w:val="20"/>
              </w:rPr>
              <w:t>years_left_before</w:t>
            </w:r>
          </w:p>
          <w:p w14:paraId="05E10517" w14:textId="77777777" w:rsidR="0046798B" w:rsidRDefault="00903B5C">
            <w:pPr>
              <w:pStyle w:val="TableParagraph"/>
              <w:ind w:left="115"/>
              <w:rPr>
                <w:b/>
                <w:sz w:val="20"/>
              </w:rPr>
            </w:pPr>
            <w:r>
              <w:rPr>
                <w:b/>
                <w:sz w:val="20"/>
              </w:rPr>
              <w:t>_limit</w:t>
            </w:r>
          </w:p>
        </w:tc>
        <w:tc>
          <w:tcPr>
            <w:tcW w:w="1596" w:type="dxa"/>
          </w:tcPr>
          <w:p w14:paraId="248CEA2C" w14:textId="77777777" w:rsidR="0046798B" w:rsidRDefault="0046798B">
            <w:pPr>
              <w:pStyle w:val="TableParagraph"/>
            </w:pPr>
          </w:p>
          <w:p w14:paraId="4D0050E8" w14:textId="77777777" w:rsidR="0046798B" w:rsidRDefault="0046798B">
            <w:pPr>
              <w:pStyle w:val="TableParagraph"/>
            </w:pPr>
          </w:p>
          <w:p w14:paraId="202CB398" w14:textId="77777777" w:rsidR="0046798B" w:rsidRDefault="0046798B">
            <w:pPr>
              <w:pStyle w:val="TableParagraph"/>
            </w:pPr>
          </w:p>
          <w:p w14:paraId="6DF2837E" w14:textId="77777777" w:rsidR="0046798B" w:rsidRDefault="0046798B">
            <w:pPr>
              <w:pStyle w:val="TableParagraph"/>
            </w:pPr>
          </w:p>
          <w:p w14:paraId="0BAB583C" w14:textId="77777777" w:rsidR="0046798B" w:rsidRDefault="0046798B">
            <w:pPr>
              <w:pStyle w:val="TableParagraph"/>
            </w:pPr>
          </w:p>
          <w:p w14:paraId="4764B928" w14:textId="77777777" w:rsidR="0046798B" w:rsidRDefault="00903B5C">
            <w:pPr>
              <w:pStyle w:val="TableParagraph"/>
              <w:spacing w:before="159"/>
              <w:ind w:left="114" w:right="108"/>
              <w:rPr>
                <w:sz w:val="20"/>
              </w:rPr>
            </w:pPr>
            <w:r>
              <w:rPr>
                <w:sz w:val="20"/>
              </w:rPr>
              <w:t>Years left before governor’s term limit</w:t>
            </w:r>
          </w:p>
        </w:tc>
        <w:tc>
          <w:tcPr>
            <w:tcW w:w="1280" w:type="dxa"/>
          </w:tcPr>
          <w:p w14:paraId="7E2018AE" w14:textId="77777777" w:rsidR="0046798B" w:rsidRDefault="0046798B">
            <w:pPr>
              <w:pStyle w:val="TableParagraph"/>
            </w:pPr>
          </w:p>
          <w:p w14:paraId="305FD3A8" w14:textId="77777777" w:rsidR="0046798B" w:rsidRDefault="0046798B">
            <w:pPr>
              <w:pStyle w:val="TableParagraph"/>
            </w:pPr>
          </w:p>
          <w:p w14:paraId="6747A507" w14:textId="77777777" w:rsidR="0046798B" w:rsidRDefault="0046798B">
            <w:pPr>
              <w:pStyle w:val="TableParagraph"/>
            </w:pPr>
          </w:p>
          <w:p w14:paraId="4292E4F2" w14:textId="77777777" w:rsidR="0046798B" w:rsidRDefault="0046798B">
            <w:pPr>
              <w:pStyle w:val="TableParagraph"/>
            </w:pPr>
          </w:p>
          <w:p w14:paraId="1865E4DE" w14:textId="77777777" w:rsidR="0046798B" w:rsidRDefault="0046798B">
            <w:pPr>
              <w:pStyle w:val="TableParagraph"/>
            </w:pPr>
          </w:p>
          <w:p w14:paraId="1809E108" w14:textId="77777777" w:rsidR="0046798B" w:rsidRDefault="0046798B">
            <w:pPr>
              <w:pStyle w:val="TableParagraph"/>
            </w:pPr>
          </w:p>
          <w:p w14:paraId="4E0AB537" w14:textId="77777777" w:rsidR="0046798B" w:rsidRDefault="00903B5C">
            <w:pPr>
              <w:pStyle w:val="TableParagraph"/>
              <w:spacing w:before="136"/>
              <w:ind w:left="114"/>
              <w:rPr>
                <w:sz w:val="20"/>
              </w:rPr>
            </w:pPr>
            <w:r>
              <w:rPr>
                <w:sz w:val="20"/>
              </w:rPr>
              <w:t>1960 –2010</w:t>
            </w:r>
          </w:p>
        </w:tc>
        <w:tc>
          <w:tcPr>
            <w:tcW w:w="3421" w:type="dxa"/>
          </w:tcPr>
          <w:p w14:paraId="0BD6D97F" w14:textId="77777777" w:rsidR="0046798B" w:rsidRDefault="0046798B">
            <w:pPr>
              <w:pStyle w:val="TableParagraph"/>
            </w:pPr>
          </w:p>
          <w:p w14:paraId="4C62A0CC" w14:textId="77777777" w:rsidR="0046798B" w:rsidRDefault="0046798B">
            <w:pPr>
              <w:pStyle w:val="TableParagraph"/>
            </w:pPr>
          </w:p>
          <w:p w14:paraId="7EBF8CC5" w14:textId="77777777" w:rsidR="0046798B" w:rsidRDefault="0046798B">
            <w:pPr>
              <w:pStyle w:val="TableParagraph"/>
              <w:spacing w:before="8"/>
              <w:rPr>
                <w:sz w:val="19"/>
              </w:rPr>
            </w:pPr>
          </w:p>
          <w:p w14:paraId="15885988" w14:textId="77777777" w:rsidR="0046798B" w:rsidRDefault="00903B5C">
            <w:pPr>
              <w:pStyle w:val="TableParagraph"/>
              <w:spacing w:before="1"/>
              <w:ind w:left="114" w:right="108"/>
              <w:rPr>
                <w:sz w:val="20"/>
              </w:rPr>
            </w:pPr>
            <w:r>
              <w:rPr>
                <w:sz w:val="20"/>
              </w:rPr>
              <w:t>Number of years left before the governor’s term limit. This takes into account how states individually deal with partial terms, governors that come back after taking time off, and transition rules. The numerous sources for this information are in the</w:t>
            </w:r>
            <w:r>
              <w:rPr>
                <w:spacing w:val="-9"/>
                <w:sz w:val="20"/>
              </w:rPr>
              <w:t xml:space="preserve"> </w:t>
            </w:r>
            <w:r>
              <w:rPr>
                <w:sz w:val="20"/>
              </w:rPr>
              <w:t>codebook “GovTermLimits-Notes” under variable trli0005.</w:t>
            </w:r>
          </w:p>
        </w:tc>
        <w:tc>
          <w:tcPr>
            <w:tcW w:w="6477" w:type="dxa"/>
          </w:tcPr>
          <w:p w14:paraId="2ADF628A" w14:textId="77777777" w:rsidR="0046798B" w:rsidRDefault="00903B5C">
            <w:pPr>
              <w:pStyle w:val="TableParagraph"/>
              <w:spacing w:before="43"/>
              <w:ind w:left="114" w:right="1261"/>
              <w:rPr>
                <w:sz w:val="20"/>
              </w:rPr>
            </w:pPr>
            <w:r>
              <w:rPr>
                <w:sz w:val="20"/>
              </w:rPr>
              <w:t xml:space="preserve">Klarner, Carl, 2013, “Governors Dataset”, </w:t>
            </w:r>
            <w:hyperlink r:id="rId435">
              <w:r>
                <w:rPr>
                  <w:color w:val="0462C1"/>
                  <w:sz w:val="20"/>
                  <w:u w:val="single" w:color="0462C1"/>
                </w:rPr>
                <w:t>https://doi.org/10.7910/DVN/PQ0Y1N</w:t>
              </w:r>
              <w:r>
                <w:rPr>
                  <w:sz w:val="20"/>
                </w:rPr>
                <w:t>,</w:t>
              </w:r>
            </w:hyperlink>
            <w:r>
              <w:rPr>
                <w:sz w:val="20"/>
              </w:rPr>
              <w:t xml:space="preserve"> Harvard Dataverse, V1</w:t>
            </w:r>
          </w:p>
          <w:p w14:paraId="56D42172" w14:textId="77777777" w:rsidR="0046798B" w:rsidRDefault="0046798B">
            <w:pPr>
              <w:pStyle w:val="TableParagraph"/>
              <w:rPr>
                <w:sz w:val="20"/>
              </w:rPr>
            </w:pPr>
          </w:p>
          <w:p w14:paraId="23140009" w14:textId="77777777" w:rsidR="0046798B" w:rsidRDefault="00903B5C">
            <w:pPr>
              <w:pStyle w:val="TableParagraph"/>
              <w:ind w:left="114" w:right="125"/>
              <w:rPr>
                <w:sz w:val="20"/>
              </w:rPr>
            </w:pPr>
            <w:r>
              <w:rPr>
                <w:sz w:val="20"/>
              </w:rPr>
              <w:t>Note: Could not always find out if a state had transition rules that applied to the sitting governor. In these cases, author merely assumed that a governor who was sitting in a state with a one term term limit when a constitutional amendment passed creating a two term term limit would be eligible for a second term. If a governor was sitting in a state with no term limits, when a constitutional amendment passed that created a two term term limit author assumed that the counter would start when the constitutional amendment passed. Some of the state specific notes for this variable may not appear below, but in the document “GovTermLimits-PrimaryDocuments.” If the term limit in NC in 1997 was an absolute limit, then James B. Hunt could have never served a second time. Therefore, the limit is on consecutive terms, and his clock starts from the</w:t>
            </w:r>
            <w:r>
              <w:rPr>
                <w:spacing w:val="1"/>
                <w:sz w:val="20"/>
              </w:rPr>
              <w:t xml:space="preserve"> </w:t>
            </w:r>
            <w:r>
              <w:rPr>
                <w:sz w:val="20"/>
              </w:rPr>
              <w:t>beginning.</w:t>
            </w:r>
          </w:p>
        </w:tc>
      </w:tr>
      <w:tr w:rsidR="0046798B" w14:paraId="6E5525EC" w14:textId="77777777">
        <w:trPr>
          <w:trHeight w:val="780"/>
        </w:trPr>
        <w:tc>
          <w:tcPr>
            <w:tcW w:w="1711" w:type="dxa"/>
          </w:tcPr>
          <w:p w14:paraId="58013C0B" w14:textId="77777777" w:rsidR="0046798B" w:rsidRDefault="00903B5C">
            <w:pPr>
              <w:pStyle w:val="TableParagraph"/>
              <w:spacing w:before="158"/>
              <w:ind w:left="115"/>
              <w:rPr>
                <w:b/>
                <w:sz w:val="20"/>
              </w:rPr>
            </w:pPr>
            <w:r>
              <w:rPr>
                <w:b/>
                <w:sz w:val="20"/>
              </w:rPr>
              <w:t>years_left_before</w:t>
            </w:r>
          </w:p>
          <w:p w14:paraId="42695666" w14:textId="77777777" w:rsidR="0046798B" w:rsidRDefault="00903B5C">
            <w:pPr>
              <w:pStyle w:val="TableParagraph"/>
              <w:ind w:left="115"/>
              <w:rPr>
                <w:b/>
                <w:sz w:val="20"/>
              </w:rPr>
            </w:pPr>
            <w:r>
              <w:rPr>
                <w:b/>
                <w:sz w:val="20"/>
              </w:rPr>
              <w:t>_limit_note</w:t>
            </w:r>
          </w:p>
        </w:tc>
        <w:tc>
          <w:tcPr>
            <w:tcW w:w="1596" w:type="dxa"/>
          </w:tcPr>
          <w:p w14:paraId="5E24702D" w14:textId="77777777" w:rsidR="0046798B" w:rsidRDefault="00903B5C">
            <w:pPr>
              <w:pStyle w:val="TableParagraph"/>
              <w:spacing w:before="43"/>
              <w:ind w:left="114" w:right="108"/>
              <w:rPr>
                <w:sz w:val="20"/>
              </w:rPr>
            </w:pPr>
            <w:r>
              <w:rPr>
                <w:sz w:val="20"/>
              </w:rPr>
              <w:t>Years left before governor’s term limit notes</w:t>
            </w:r>
          </w:p>
        </w:tc>
        <w:tc>
          <w:tcPr>
            <w:tcW w:w="1280" w:type="dxa"/>
          </w:tcPr>
          <w:p w14:paraId="36F0687B" w14:textId="77777777" w:rsidR="0046798B" w:rsidRDefault="0046798B">
            <w:pPr>
              <w:pStyle w:val="TableParagraph"/>
              <w:spacing w:before="9"/>
              <w:rPr>
                <w:sz w:val="23"/>
              </w:rPr>
            </w:pPr>
          </w:p>
          <w:p w14:paraId="3FE5135F" w14:textId="77777777" w:rsidR="0046798B" w:rsidRDefault="00903B5C">
            <w:pPr>
              <w:pStyle w:val="TableParagraph"/>
              <w:ind w:left="114"/>
              <w:rPr>
                <w:sz w:val="20"/>
              </w:rPr>
            </w:pPr>
            <w:r>
              <w:rPr>
                <w:sz w:val="20"/>
              </w:rPr>
              <w:t>1960–2010</w:t>
            </w:r>
          </w:p>
        </w:tc>
        <w:tc>
          <w:tcPr>
            <w:tcW w:w="3421" w:type="dxa"/>
          </w:tcPr>
          <w:p w14:paraId="5224F170" w14:textId="77777777" w:rsidR="0046798B" w:rsidRDefault="00903B5C">
            <w:pPr>
              <w:pStyle w:val="TableParagraph"/>
              <w:spacing w:before="158"/>
              <w:ind w:left="114"/>
              <w:rPr>
                <w:sz w:val="20"/>
              </w:rPr>
            </w:pPr>
            <w:r>
              <w:rPr>
                <w:sz w:val="20"/>
              </w:rPr>
              <w:t>Notes about term limits. Grandfather clauses and other information.</w:t>
            </w:r>
          </w:p>
        </w:tc>
        <w:tc>
          <w:tcPr>
            <w:tcW w:w="6477" w:type="dxa"/>
          </w:tcPr>
          <w:p w14:paraId="6E4F2BED" w14:textId="77777777" w:rsidR="0046798B" w:rsidRDefault="00903B5C">
            <w:pPr>
              <w:pStyle w:val="TableParagraph"/>
              <w:spacing w:before="158"/>
              <w:ind w:left="114" w:right="1261"/>
              <w:rPr>
                <w:sz w:val="20"/>
              </w:rPr>
            </w:pPr>
            <w:r>
              <w:rPr>
                <w:sz w:val="20"/>
              </w:rPr>
              <w:t xml:space="preserve">Klarner, Carl, 2013, “Governors Dataset”, </w:t>
            </w:r>
            <w:hyperlink r:id="rId436">
              <w:r>
                <w:rPr>
                  <w:color w:val="0462C1"/>
                  <w:sz w:val="20"/>
                  <w:u w:val="single" w:color="0462C1"/>
                </w:rPr>
                <w:t>https://doi.org/10.7910/DVN/PQ0Y1N</w:t>
              </w:r>
              <w:r>
                <w:rPr>
                  <w:sz w:val="20"/>
                </w:rPr>
                <w:t>,</w:t>
              </w:r>
            </w:hyperlink>
            <w:r>
              <w:rPr>
                <w:sz w:val="20"/>
              </w:rPr>
              <w:t xml:space="preserve"> Harvard Dataverse, V1</w:t>
            </w:r>
          </w:p>
        </w:tc>
      </w:tr>
      <w:tr w:rsidR="0046798B" w14:paraId="260B74C7" w14:textId="77777777">
        <w:trPr>
          <w:trHeight w:val="775"/>
        </w:trPr>
        <w:tc>
          <w:tcPr>
            <w:tcW w:w="1711" w:type="dxa"/>
          </w:tcPr>
          <w:p w14:paraId="539CAE44" w14:textId="77777777" w:rsidR="0046798B" w:rsidRDefault="00903B5C">
            <w:pPr>
              <w:pStyle w:val="TableParagraph"/>
              <w:spacing w:before="153"/>
              <w:ind w:left="115"/>
              <w:rPr>
                <w:b/>
                <w:sz w:val="20"/>
              </w:rPr>
            </w:pPr>
            <w:r>
              <w:rPr>
                <w:b/>
                <w:sz w:val="20"/>
              </w:rPr>
              <w:t>years_left_before</w:t>
            </w:r>
          </w:p>
          <w:p w14:paraId="3CD65752" w14:textId="77777777" w:rsidR="0046798B" w:rsidRDefault="00903B5C">
            <w:pPr>
              <w:pStyle w:val="TableParagraph"/>
              <w:spacing w:before="1"/>
              <w:ind w:left="115"/>
              <w:rPr>
                <w:b/>
                <w:sz w:val="20"/>
              </w:rPr>
            </w:pPr>
            <w:r>
              <w:rPr>
                <w:b/>
                <w:sz w:val="20"/>
              </w:rPr>
              <w:t>_limit_uncertain</w:t>
            </w:r>
          </w:p>
        </w:tc>
        <w:tc>
          <w:tcPr>
            <w:tcW w:w="1596" w:type="dxa"/>
          </w:tcPr>
          <w:p w14:paraId="05E0BEDB" w14:textId="77777777" w:rsidR="0046798B" w:rsidRDefault="00903B5C">
            <w:pPr>
              <w:pStyle w:val="TableParagraph"/>
              <w:spacing w:before="38"/>
              <w:ind w:left="114" w:right="108"/>
              <w:rPr>
                <w:sz w:val="20"/>
              </w:rPr>
            </w:pPr>
            <w:r>
              <w:rPr>
                <w:sz w:val="20"/>
              </w:rPr>
              <w:t>Uncertainty around years left before</w:t>
            </w:r>
          </w:p>
        </w:tc>
        <w:tc>
          <w:tcPr>
            <w:tcW w:w="1280" w:type="dxa"/>
          </w:tcPr>
          <w:p w14:paraId="1A0697C6" w14:textId="77777777" w:rsidR="0046798B" w:rsidRDefault="0046798B">
            <w:pPr>
              <w:pStyle w:val="TableParagraph"/>
              <w:spacing w:before="3"/>
              <w:rPr>
                <w:sz w:val="23"/>
              </w:rPr>
            </w:pPr>
          </w:p>
          <w:p w14:paraId="09F953F6" w14:textId="77777777" w:rsidR="0046798B" w:rsidRDefault="00903B5C">
            <w:pPr>
              <w:pStyle w:val="TableParagraph"/>
              <w:spacing w:before="1"/>
              <w:ind w:left="114"/>
              <w:rPr>
                <w:sz w:val="20"/>
              </w:rPr>
            </w:pPr>
            <w:r>
              <w:rPr>
                <w:sz w:val="20"/>
              </w:rPr>
              <w:t>1960 –2010</w:t>
            </w:r>
          </w:p>
        </w:tc>
        <w:tc>
          <w:tcPr>
            <w:tcW w:w="3421" w:type="dxa"/>
          </w:tcPr>
          <w:p w14:paraId="3D16AD5A" w14:textId="77777777" w:rsidR="0046798B" w:rsidRDefault="00903B5C">
            <w:pPr>
              <w:pStyle w:val="TableParagraph"/>
              <w:spacing w:before="153"/>
              <w:ind w:left="114" w:right="95"/>
              <w:rPr>
                <w:sz w:val="20"/>
              </w:rPr>
            </w:pPr>
            <w:r>
              <w:rPr>
                <w:sz w:val="20"/>
              </w:rPr>
              <w:t>1 = some uncertainty about the number of years left before a term limit because</w:t>
            </w:r>
          </w:p>
        </w:tc>
        <w:tc>
          <w:tcPr>
            <w:tcW w:w="6477" w:type="dxa"/>
          </w:tcPr>
          <w:p w14:paraId="2A053D3F" w14:textId="77777777" w:rsidR="0046798B" w:rsidRDefault="00903B5C">
            <w:pPr>
              <w:pStyle w:val="TableParagraph"/>
              <w:spacing w:before="153"/>
              <w:ind w:left="114" w:right="1261"/>
              <w:rPr>
                <w:sz w:val="20"/>
              </w:rPr>
            </w:pPr>
            <w:r>
              <w:rPr>
                <w:sz w:val="20"/>
              </w:rPr>
              <w:t xml:space="preserve">Klarner, Carl, 2013, “Governors Dataset”, </w:t>
            </w:r>
            <w:hyperlink r:id="rId437">
              <w:r>
                <w:rPr>
                  <w:color w:val="0462C1"/>
                  <w:sz w:val="20"/>
                  <w:u w:val="single" w:color="0462C1"/>
                </w:rPr>
                <w:t>https://doi.org/10.7910/DVN/PQ0Y1N</w:t>
              </w:r>
              <w:r>
                <w:rPr>
                  <w:sz w:val="20"/>
                </w:rPr>
                <w:t>,</w:t>
              </w:r>
            </w:hyperlink>
            <w:r>
              <w:rPr>
                <w:sz w:val="20"/>
              </w:rPr>
              <w:t xml:space="preserve"> Harvard Dataverse, V1</w:t>
            </w:r>
          </w:p>
        </w:tc>
      </w:tr>
    </w:tbl>
    <w:p w14:paraId="208BB66F" w14:textId="77777777" w:rsidR="0046798B" w:rsidRDefault="0046798B">
      <w:pPr>
        <w:rPr>
          <w:sz w:val="20"/>
        </w:rPr>
        <w:sectPr w:rsidR="0046798B">
          <w:pgSz w:w="15840" w:h="12240" w:orient="landscape"/>
          <w:pgMar w:top="1220" w:right="300" w:bottom="980" w:left="820" w:header="730" w:footer="787" w:gutter="0"/>
          <w:cols w:space="720"/>
        </w:sectPr>
      </w:pPr>
    </w:p>
    <w:p w14:paraId="2AE28662"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0"/>
        <w:gridCol w:w="3421"/>
        <w:gridCol w:w="6477"/>
      </w:tblGrid>
      <w:tr w:rsidR="0046798B" w14:paraId="1BA20D93" w14:textId="77777777">
        <w:trPr>
          <w:trHeight w:val="542"/>
        </w:trPr>
        <w:tc>
          <w:tcPr>
            <w:tcW w:w="1711" w:type="dxa"/>
            <w:tcBorders>
              <w:bottom w:val="dotted" w:sz="6" w:space="0" w:color="BEBEBE"/>
            </w:tcBorders>
          </w:tcPr>
          <w:p w14:paraId="4F4A3112" w14:textId="77777777" w:rsidR="0046798B" w:rsidRDefault="0046798B">
            <w:pPr>
              <w:pStyle w:val="TableParagraph"/>
              <w:rPr>
                <w:sz w:val="20"/>
              </w:rPr>
            </w:pPr>
          </w:p>
        </w:tc>
        <w:tc>
          <w:tcPr>
            <w:tcW w:w="1596" w:type="dxa"/>
            <w:tcBorders>
              <w:bottom w:val="dotted" w:sz="6" w:space="0" w:color="BEBEBE"/>
            </w:tcBorders>
          </w:tcPr>
          <w:p w14:paraId="6C4966B7" w14:textId="77777777" w:rsidR="0046798B" w:rsidRDefault="00903B5C">
            <w:pPr>
              <w:pStyle w:val="TableParagraph"/>
              <w:spacing w:before="43"/>
              <w:ind w:left="114" w:right="169"/>
              <w:rPr>
                <w:sz w:val="20"/>
              </w:rPr>
            </w:pPr>
            <w:r>
              <w:rPr>
                <w:sz w:val="20"/>
              </w:rPr>
              <w:t>governor’s term limit</w:t>
            </w:r>
          </w:p>
        </w:tc>
        <w:tc>
          <w:tcPr>
            <w:tcW w:w="1280" w:type="dxa"/>
            <w:tcBorders>
              <w:bottom w:val="dotted" w:sz="6" w:space="0" w:color="BEBEBE"/>
            </w:tcBorders>
          </w:tcPr>
          <w:p w14:paraId="56F658E4" w14:textId="77777777" w:rsidR="0046798B" w:rsidRDefault="0046798B">
            <w:pPr>
              <w:pStyle w:val="TableParagraph"/>
              <w:rPr>
                <w:sz w:val="20"/>
              </w:rPr>
            </w:pPr>
          </w:p>
        </w:tc>
        <w:tc>
          <w:tcPr>
            <w:tcW w:w="3421" w:type="dxa"/>
            <w:tcBorders>
              <w:bottom w:val="dotted" w:sz="6" w:space="0" w:color="BEBEBE"/>
            </w:tcBorders>
          </w:tcPr>
          <w:p w14:paraId="43BCF792" w14:textId="77777777" w:rsidR="0046798B" w:rsidRDefault="00903B5C">
            <w:pPr>
              <w:pStyle w:val="TableParagraph"/>
              <w:spacing w:before="43"/>
              <w:ind w:left="114"/>
              <w:rPr>
                <w:sz w:val="20"/>
              </w:rPr>
            </w:pPr>
            <w:r>
              <w:rPr>
                <w:sz w:val="20"/>
              </w:rPr>
              <w:t>I’m unsure of how partial terms count toward the limit.</w:t>
            </w:r>
          </w:p>
        </w:tc>
        <w:tc>
          <w:tcPr>
            <w:tcW w:w="6477" w:type="dxa"/>
            <w:tcBorders>
              <w:bottom w:val="dotted" w:sz="6" w:space="0" w:color="BEBEBE"/>
            </w:tcBorders>
          </w:tcPr>
          <w:p w14:paraId="43728696" w14:textId="77777777" w:rsidR="0046798B" w:rsidRDefault="0046798B">
            <w:pPr>
              <w:pStyle w:val="TableParagraph"/>
              <w:rPr>
                <w:sz w:val="20"/>
              </w:rPr>
            </w:pPr>
          </w:p>
        </w:tc>
      </w:tr>
      <w:tr w:rsidR="0046798B" w14:paraId="564C120E" w14:textId="77777777">
        <w:trPr>
          <w:trHeight w:val="1002"/>
        </w:trPr>
        <w:tc>
          <w:tcPr>
            <w:tcW w:w="1711" w:type="dxa"/>
            <w:tcBorders>
              <w:top w:val="dotted" w:sz="6" w:space="0" w:color="BEBEBE"/>
            </w:tcBorders>
          </w:tcPr>
          <w:p w14:paraId="32EF7527" w14:textId="77777777" w:rsidR="0046798B" w:rsidRDefault="0046798B">
            <w:pPr>
              <w:pStyle w:val="TableParagraph"/>
              <w:spacing w:before="6"/>
              <w:rPr>
                <w:sz w:val="23"/>
              </w:rPr>
            </w:pPr>
          </w:p>
          <w:p w14:paraId="276E2E37" w14:textId="77777777" w:rsidR="0046798B" w:rsidRDefault="00903B5C">
            <w:pPr>
              <w:pStyle w:val="TableParagraph"/>
              <w:ind w:left="115" w:right="132"/>
              <w:rPr>
                <w:b/>
                <w:sz w:val="20"/>
              </w:rPr>
            </w:pPr>
            <w:r>
              <w:rPr>
                <w:b/>
                <w:sz w:val="20"/>
              </w:rPr>
              <w:t>lame_duck_last_ term</w:t>
            </w:r>
          </w:p>
        </w:tc>
        <w:tc>
          <w:tcPr>
            <w:tcW w:w="1596" w:type="dxa"/>
            <w:tcBorders>
              <w:top w:val="dotted" w:sz="6" w:space="0" w:color="BEBEBE"/>
            </w:tcBorders>
          </w:tcPr>
          <w:p w14:paraId="48EFADAD" w14:textId="77777777" w:rsidR="0046798B" w:rsidRDefault="0046798B">
            <w:pPr>
              <w:pStyle w:val="TableParagraph"/>
              <w:spacing w:before="6"/>
              <w:rPr>
                <w:sz w:val="23"/>
              </w:rPr>
            </w:pPr>
          </w:p>
          <w:p w14:paraId="2DE69A71" w14:textId="77777777" w:rsidR="0046798B" w:rsidRDefault="00903B5C">
            <w:pPr>
              <w:pStyle w:val="TableParagraph"/>
              <w:ind w:left="114" w:right="229"/>
              <w:rPr>
                <w:sz w:val="20"/>
              </w:rPr>
            </w:pPr>
            <w:r>
              <w:rPr>
                <w:sz w:val="20"/>
              </w:rPr>
              <w:t>Last term for governor</w:t>
            </w:r>
          </w:p>
        </w:tc>
        <w:tc>
          <w:tcPr>
            <w:tcW w:w="1280" w:type="dxa"/>
            <w:tcBorders>
              <w:top w:val="dotted" w:sz="6" w:space="0" w:color="BEBEBE"/>
            </w:tcBorders>
          </w:tcPr>
          <w:p w14:paraId="02BFBDAB" w14:textId="77777777" w:rsidR="0046798B" w:rsidRDefault="0046798B">
            <w:pPr>
              <w:pStyle w:val="TableParagraph"/>
            </w:pPr>
          </w:p>
          <w:p w14:paraId="10DBE9B8" w14:textId="77777777" w:rsidR="0046798B" w:rsidRDefault="00903B5C">
            <w:pPr>
              <w:pStyle w:val="TableParagraph"/>
              <w:spacing w:before="133"/>
              <w:ind w:left="114"/>
              <w:rPr>
                <w:sz w:val="20"/>
              </w:rPr>
            </w:pPr>
            <w:r>
              <w:rPr>
                <w:sz w:val="20"/>
              </w:rPr>
              <w:t>1960–2010</w:t>
            </w:r>
          </w:p>
        </w:tc>
        <w:tc>
          <w:tcPr>
            <w:tcW w:w="3421" w:type="dxa"/>
            <w:tcBorders>
              <w:top w:val="dotted" w:sz="6" w:space="0" w:color="BEBEBE"/>
            </w:tcBorders>
          </w:tcPr>
          <w:p w14:paraId="5FA1EBD8" w14:textId="77777777" w:rsidR="0046798B" w:rsidRDefault="00903B5C">
            <w:pPr>
              <w:pStyle w:val="TableParagraph"/>
              <w:spacing w:before="40"/>
              <w:ind w:left="114" w:right="191"/>
              <w:rPr>
                <w:sz w:val="20"/>
              </w:rPr>
            </w:pPr>
            <w:r>
              <w:rPr>
                <w:sz w:val="20"/>
              </w:rPr>
              <w:t>Governor is in the last term before his term limit, i.e., he or she is a lame duck. 1 = governor is a lame duck. 0 = governor is not a lame duck.</w:t>
            </w:r>
          </w:p>
        </w:tc>
        <w:tc>
          <w:tcPr>
            <w:tcW w:w="6477" w:type="dxa"/>
            <w:tcBorders>
              <w:top w:val="dotted" w:sz="6" w:space="0" w:color="BEBEBE"/>
            </w:tcBorders>
          </w:tcPr>
          <w:p w14:paraId="61E1B08F" w14:textId="77777777" w:rsidR="0046798B" w:rsidRDefault="0046798B">
            <w:pPr>
              <w:pStyle w:val="TableParagraph"/>
              <w:spacing w:before="6"/>
              <w:rPr>
                <w:sz w:val="23"/>
              </w:rPr>
            </w:pPr>
          </w:p>
          <w:p w14:paraId="2A3F37CA" w14:textId="77777777" w:rsidR="0046798B" w:rsidRDefault="00903B5C">
            <w:pPr>
              <w:pStyle w:val="TableParagraph"/>
              <w:ind w:left="114" w:right="1261"/>
              <w:rPr>
                <w:sz w:val="20"/>
              </w:rPr>
            </w:pPr>
            <w:r>
              <w:rPr>
                <w:sz w:val="20"/>
              </w:rPr>
              <w:t xml:space="preserve">Klarner, Carl, 2013, “Governors Dataset”, </w:t>
            </w:r>
            <w:hyperlink r:id="rId438">
              <w:r>
                <w:rPr>
                  <w:color w:val="0462C1"/>
                  <w:sz w:val="20"/>
                  <w:u w:val="single" w:color="0462C1"/>
                </w:rPr>
                <w:t>https://doi.org/10.7910/DVN/PQ0Y1N</w:t>
              </w:r>
              <w:r>
                <w:rPr>
                  <w:sz w:val="20"/>
                </w:rPr>
                <w:t>,</w:t>
              </w:r>
            </w:hyperlink>
            <w:r>
              <w:rPr>
                <w:sz w:val="20"/>
              </w:rPr>
              <w:t xml:space="preserve"> Harvard Dataverse, V1</w:t>
            </w:r>
          </w:p>
        </w:tc>
      </w:tr>
      <w:tr w:rsidR="0046798B" w14:paraId="1A2E93BD" w14:textId="77777777">
        <w:trPr>
          <w:trHeight w:val="780"/>
        </w:trPr>
        <w:tc>
          <w:tcPr>
            <w:tcW w:w="1711" w:type="dxa"/>
          </w:tcPr>
          <w:p w14:paraId="3F5D7C7A" w14:textId="77777777" w:rsidR="0046798B" w:rsidRDefault="00903B5C">
            <w:pPr>
              <w:pStyle w:val="TableParagraph"/>
              <w:spacing w:before="159"/>
              <w:ind w:left="115" w:right="132"/>
              <w:rPr>
                <w:b/>
                <w:sz w:val="20"/>
              </w:rPr>
            </w:pPr>
            <w:r>
              <w:rPr>
                <w:b/>
                <w:sz w:val="20"/>
              </w:rPr>
              <w:t>lame_duck_last_ year</w:t>
            </w:r>
          </w:p>
        </w:tc>
        <w:tc>
          <w:tcPr>
            <w:tcW w:w="1596" w:type="dxa"/>
          </w:tcPr>
          <w:p w14:paraId="007D228D" w14:textId="77777777" w:rsidR="0046798B" w:rsidRDefault="00903B5C">
            <w:pPr>
              <w:pStyle w:val="TableParagraph"/>
              <w:spacing w:before="44"/>
              <w:ind w:left="114" w:right="496"/>
              <w:rPr>
                <w:sz w:val="20"/>
              </w:rPr>
            </w:pPr>
            <w:r>
              <w:rPr>
                <w:sz w:val="20"/>
              </w:rPr>
              <w:t>Last year of term for governor</w:t>
            </w:r>
          </w:p>
        </w:tc>
        <w:tc>
          <w:tcPr>
            <w:tcW w:w="1280" w:type="dxa"/>
          </w:tcPr>
          <w:p w14:paraId="5BA3209C" w14:textId="77777777" w:rsidR="0046798B" w:rsidRDefault="0046798B">
            <w:pPr>
              <w:pStyle w:val="TableParagraph"/>
              <w:spacing w:before="9"/>
              <w:rPr>
                <w:sz w:val="23"/>
              </w:rPr>
            </w:pPr>
          </w:p>
          <w:p w14:paraId="1C26F304" w14:textId="77777777" w:rsidR="0046798B" w:rsidRDefault="00903B5C">
            <w:pPr>
              <w:pStyle w:val="TableParagraph"/>
              <w:ind w:left="114"/>
              <w:rPr>
                <w:sz w:val="20"/>
              </w:rPr>
            </w:pPr>
            <w:r>
              <w:rPr>
                <w:sz w:val="20"/>
              </w:rPr>
              <w:t>1960–2010</w:t>
            </w:r>
          </w:p>
        </w:tc>
        <w:tc>
          <w:tcPr>
            <w:tcW w:w="3421" w:type="dxa"/>
          </w:tcPr>
          <w:p w14:paraId="1D45A670" w14:textId="77777777" w:rsidR="0046798B" w:rsidRDefault="00903B5C">
            <w:pPr>
              <w:pStyle w:val="TableParagraph"/>
              <w:spacing w:before="159"/>
              <w:ind w:left="114" w:right="347"/>
              <w:rPr>
                <w:sz w:val="20"/>
              </w:rPr>
            </w:pPr>
            <w:r>
              <w:rPr>
                <w:sz w:val="20"/>
              </w:rPr>
              <w:t>Dummy: 1 = governor is in their last year before a term limit. 0 = else.</w:t>
            </w:r>
          </w:p>
        </w:tc>
        <w:tc>
          <w:tcPr>
            <w:tcW w:w="6477" w:type="dxa"/>
          </w:tcPr>
          <w:p w14:paraId="140EE331" w14:textId="77777777" w:rsidR="0046798B" w:rsidRDefault="00903B5C">
            <w:pPr>
              <w:pStyle w:val="TableParagraph"/>
              <w:spacing w:before="159"/>
              <w:ind w:left="114" w:right="1261"/>
              <w:rPr>
                <w:sz w:val="20"/>
              </w:rPr>
            </w:pPr>
            <w:r>
              <w:rPr>
                <w:sz w:val="20"/>
              </w:rPr>
              <w:t xml:space="preserve">Klarner, Carl, 2013, “Governors Dataset”, </w:t>
            </w:r>
            <w:hyperlink r:id="rId439">
              <w:r>
                <w:rPr>
                  <w:color w:val="0462C1"/>
                  <w:sz w:val="20"/>
                  <w:u w:val="single" w:color="0462C1"/>
                </w:rPr>
                <w:t>https://doi.org/10.7910/DVN/PQ0Y1N</w:t>
              </w:r>
              <w:r>
                <w:rPr>
                  <w:sz w:val="20"/>
                </w:rPr>
                <w:t>,</w:t>
              </w:r>
            </w:hyperlink>
            <w:r>
              <w:rPr>
                <w:sz w:val="20"/>
              </w:rPr>
              <w:t xml:space="preserve"> Harvard Dataverse, V1</w:t>
            </w:r>
          </w:p>
        </w:tc>
      </w:tr>
      <w:tr w:rsidR="0046798B" w14:paraId="2DB92951" w14:textId="77777777">
        <w:trPr>
          <w:trHeight w:val="775"/>
        </w:trPr>
        <w:tc>
          <w:tcPr>
            <w:tcW w:w="1711" w:type="dxa"/>
          </w:tcPr>
          <w:p w14:paraId="07E67156" w14:textId="77777777" w:rsidR="0046798B" w:rsidRDefault="00903B5C">
            <w:pPr>
              <w:pStyle w:val="TableParagraph"/>
              <w:spacing w:before="153"/>
              <w:ind w:left="115"/>
              <w:rPr>
                <w:b/>
                <w:sz w:val="20"/>
              </w:rPr>
            </w:pPr>
            <w:r>
              <w:rPr>
                <w:b/>
                <w:sz w:val="20"/>
              </w:rPr>
              <w:t>lame_duck_last_ 2nd_to_last_year</w:t>
            </w:r>
          </w:p>
        </w:tc>
        <w:tc>
          <w:tcPr>
            <w:tcW w:w="1596" w:type="dxa"/>
          </w:tcPr>
          <w:p w14:paraId="2E96A225" w14:textId="77777777" w:rsidR="0046798B" w:rsidRDefault="00903B5C">
            <w:pPr>
              <w:pStyle w:val="TableParagraph"/>
              <w:spacing w:before="38"/>
              <w:ind w:left="114" w:right="135"/>
              <w:rPr>
                <w:sz w:val="20"/>
              </w:rPr>
            </w:pPr>
            <w:r>
              <w:rPr>
                <w:sz w:val="20"/>
              </w:rPr>
              <w:t>Second to last year of term for governor</w:t>
            </w:r>
          </w:p>
        </w:tc>
        <w:tc>
          <w:tcPr>
            <w:tcW w:w="1280" w:type="dxa"/>
          </w:tcPr>
          <w:p w14:paraId="63D73E3B" w14:textId="77777777" w:rsidR="0046798B" w:rsidRDefault="0046798B">
            <w:pPr>
              <w:pStyle w:val="TableParagraph"/>
              <w:spacing w:before="3"/>
              <w:rPr>
                <w:sz w:val="23"/>
              </w:rPr>
            </w:pPr>
          </w:p>
          <w:p w14:paraId="537B40A3" w14:textId="77777777" w:rsidR="0046798B" w:rsidRDefault="00903B5C">
            <w:pPr>
              <w:pStyle w:val="TableParagraph"/>
              <w:spacing w:before="1"/>
              <w:ind w:left="114"/>
              <w:rPr>
                <w:sz w:val="20"/>
              </w:rPr>
            </w:pPr>
            <w:r>
              <w:rPr>
                <w:sz w:val="20"/>
              </w:rPr>
              <w:t>1960–2010</w:t>
            </w:r>
          </w:p>
        </w:tc>
        <w:tc>
          <w:tcPr>
            <w:tcW w:w="3421" w:type="dxa"/>
          </w:tcPr>
          <w:p w14:paraId="3A6B99F0" w14:textId="77777777" w:rsidR="0046798B" w:rsidRDefault="00903B5C">
            <w:pPr>
              <w:pStyle w:val="TableParagraph"/>
              <w:spacing w:before="38"/>
              <w:ind w:left="114" w:right="200"/>
              <w:rPr>
                <w:sz w:val="20"/>
              </w:rPr>
            </w:pPr>
            <w:r>
              <w:rPr>
                <w:sz w:val="20"/>
              </w:rPr>
              <w:t>Dummy: 1 = governor is in their second to last year before a term limit. 0 = else.</w:t>
            </w:r>
          </w:p>
        </w:tc>
        <w:tc>
          <w:tcPr>
            <w:tcW w:w="6477" w:type="dxa"/>
          </w:tcPr>
          <w:p w14:paraId="4CFD552B" w14:textId="77777777" w:rsidR="0046798B" w:rsidRDefault="00903B5C">
            <w:pPr>
              <w:pStyle w:val="TableParagraph"/>
              <w:spacing w:before="153"/>
              <w:ind w:left="114" w:right="1261"/>
              <w:rPr>
                <w:sz w:val="20"/>
              </w:rPr>
            </w:pPr>
            <w:r>
              <w:rPr>
                <w:sz w:val="20"/>
              </w:rPr>
              <w:t xml:space="preserve">Klarner, Carl, 2013, “Governors Dataset”, </w:t>
            </w:r>
            <w:hyperlink r:id="rId440">
              <w:r>
                <w:rPr>
                  <w:color w:val="0462C1"/>
                  <w:sz w:val="20"/>
                  <w:u w:val="single" w:color="0462C1"/>
                </w:rPr>
                <w:t>https://doi.org/10.7910/DVN/PQ0Y1N</w:t>
              </w:r>
              <w:r>
                <w:rPr>
                  <w:sz w:val="20"/>
                </w:rPr>
                <w:t>,</w:t>
              </w:r>
            </w:hyperlink>
            <w:r>
              <w:rPr>
                <w:sz w:val="20"/>
              </w:rPr>
              <w:t xml:space="preserve"> Harvard Dataverse, V1</w:t>
            </w:r>
          </w:p>
        </w:tc>
      </w:tr>
      <w:tr w:rsidR="0046798B" w14:paraId="2CCE7700" w14:textId="77777777">
        <w:trPr>
          <w:trHeight w:val="775"/>
        </w:trPr>
        <w:tc>
          <w:tcPr>
            <w:tcW w:w="1711" w:type="dxa"/>
          </w:tcPr>
          <w:p w14:paraId="3372C1F9" w14:textId="77777777" w:rsidR="0046798B" w:rsidRDefault="0046798B">
            <w:pPr>
              <w:pStyle w:val="TableParagraph"/>
              <w:spacing w:before="3"/>
              <w:rPr>
                <w:sz w:val="23"/>
              </w:rPr>
            </w:pPr>
          </w:p>
          <w:p w14:paraId="5488341D" w14:textId="77777777" w:rsidR="0046798B" w:rsidRDefault="00903B5C">
            <w:pPr>
              <w:pStyle w:val="TableParagraph"/>
              <w:spacing w:before="1"/>
              <w:ind w:left="115"/>
              <w:rPr>
                <w:b/>
                <w:sz w:val="20"/>
              </w:rPr>
            </w:pPr>
            <w:r>
              <w:rPr>
                <w:b/>
                <w:sz w:val="20"/>
              </w:rPr>
              <w:t>lame_duck_notes</w:t>
            </w:r>
          </w:p>
        </w:tc>
        <w:tc>
          <w:tcPr>
            <w:tcW w:w="1596" w:type="dxa"/>
          </w:tcPr>
          <w:p w14:paraId="08442164" w14:textId="77777777" w:rsidR="0046798B" w:rsidRDefault="00903B5C">
            <w:pPr>
              <w:pStyle w:val="TableParagraph"/>
              <w:spacing w:before="153"/>
              <w:ind w:left="114" w:right="491"/>
              <w:rPr>
                <w:sz w:val="20"/>
              </w:rPr>
            </w:pPr>
            <w:r>
              <w:rPr>
                <w:sz w:val="20"/>
              </w:rPr>
              <w:t>Notes about lame duck</w:t>
            </w:r>
          </w:p>
        </w:tc>
        <w:tc>
          <w:tcPr>
            <w:tcW w:w="1280" w:type="dxa"/>
          </w:tcPr>
          <w:p w14:paraId="38C1BF89" w14:textId="77777777" w:rsidR="0046798B" w:rsidRDefault="0046798B">
            <w:pPr>
              <w:pStyle w:val="TableParagraph"/>
              <w:spacing w:before="3"/>
              <w:rPr>
                <w:sz w:val="23"/>
              </w:rPr>
            </w:pPr>
          </w:p>
          <w:p w14:paraId="7BDDCC2C" w14:textId="77777777" w:rsidR="0046798B" w:rsidRDefault="00903B5C">
            <w:pPr>
              <w:pStyle w:val="TableParagraph"/>
              <w:spacing w:before="1"/>
              <w:ind w:left="114"/>
              <w:rPr>
                <w:sz w:val="20"/>
              </w:rPr>
            </w:pPr>
            <w:r>
              <w:rPr>
                <w:sz w:val="20"/>
              </w:rPr>
              <w:t>1960–2010</w:t>
            </w:r>
          </w:p>
        </w:tc>
        <w:tc>
          <w:tcPr>
            <w:tcW w:w="3421" w:type="dxa"/>
          </w:tcPr>
          <w:p w14:paraId="06EEB949" w14:textId="77777777" w:rsidR="0046798B" w:rsidRDefault="00903B5C">
            <w:pPr>
              <w:pStyle w:val="TableParagraph"/>
              <w:spacing w:before="38"/>
              <w:ind w:left="114" w:right="517"/>
              <w:rPr>
                <w:sz w:val="20"/>
              </w:rPr>
            </w:pPr>
            <w:r>
              <w:rPr>
                <w:sz w:val="20"/>
              </w:rPr>
              <w:t>Notes about why the lame_duck variables were coded the way they were.</w:t>
            </w:r>
          </w:p>
        </w:tc>
        <w:tc>
          <w:tcPr>
            <w:tcW w:w="6477" w:type="dxa"/>
          </w:tcPr>
          <w:p w14:paraId="0F46DE65" w14:textId="77777777" w:rsidR="0046798B" w:rsidRDefault="00903B5C">
            <w:pPr>
              <w:pStyle w:val="TableParagraph"/>
              <w:spacing w:before="153"/>
              <w:ind w:left="114" w:right="1261"/>
              <w:rPr>
                <w:sz w:val="20"/>
              </w:rPr>
            </w:pPr>
            <w:r>
              <w:rPr>
                <w:sz w:val="20"/>
              </w:rPr>
              <w:t xml:space="preserve">Klarner, Carl, 2013, “Governors Dataset”, </w:t>
            </w:r>
            <w:hyperlink r:id="rId441">
              <w:r>
                <w:rPr>
                  <w:color w:val="0462C1"/>
                  <w:sz w:val="20"/>
                  <w:u w:val="single" w:color="0462C1"/>
                </w:rPr>
                <w:t>https://doi.org/10.7910/DVN/PQ0Y1N</w:t>
              </w:r>
              <w:r>
                <w:rPr>
                  <w:sz w:val="20"/>
                </w:rPr>
                <w:t>,</w:t>
              </w:r>
            </w:hyperlink>
            <w:r>
              <w:rPr>
                <w:sz w:val="20"/>
              </w:rPr>
              <w:t xml:space="preserve"> Harvard Dataverse, V1</w:t>
            </w:r>
          </w:p>
        </w:tc>
      </w:tr>
      <w:tr w:rsidR="0046798B" w14:paraId="0D03E5BC" w14:textId="77777777">
        <w:trPr>
          <w:trHeight w:val="1695"/>
        </w:trPr>
        <w:tc>
          <w:tcPr>
            <w:tcW w:w="1711" w:type="dxa"/>
          </w:tcPr>
          <w:p w14:paraId="07B7F838" w14:textId="77777777" w:rsidR="0046798B" w:rsidRDefault="0046798B">
            <w:pPr>
              <w:pStyle w:val="TableParagraph"/>
            </w:pPr>
          </w:p>
          <w:p w14:paraId="37BA3F2E" w14:textId="77777777" w:rsidR="0046798B" w:rsidRDefault="0046798B">
            <w:pPr>
              <w:pStyle w:val="TableParagraph"/>
            </w:pPr>
          </w:p>
          <w:p w14:paraId="7F16A272" w14:textId="77777777" w:rsidR="0046798B" w:rsidRDefault="0046798B">
            <w:pPr>
              <w:pStyle w:val="TableParagraph"/>
              <w:spacing w:before="9"/>
              <w:rPr>
                <w:sz w:val="19"/>
              </w:rPr>
            </w:pPr>
          </w:p>
          <w:p w14:paraId="2262EE58" w14:textId="77777777" w:rsidR="0046798B" w:rsidRDefault="00903B5C">
            <w:pPr>
              <w:pStyle w:val="TableParagraph"/>
              <w:ind w:left="115"/>
              <w:rPr>
                <w:b/>
                <w:sz w:val="20"/>
              </w:rPr>
            </w:pPr>
            <w:r>
              <w:rPr>
                <w:b/>
                <w:sz w:val="20"/>
              </w:rPr>
              <w:t>femgov</w:t>
            </w:r>
          </w:p>
        </w:tc>
        <w:tc>
          <w:tcPr>
            <w:tcW w:w="1596" w:type="dxa"/>
          </w:tcPr>
          <w:p w14:paraId="485E746B" w14:textId="77777777" w:rsidR="0046798B" w:rsidRDefault="0046798B">
            <w:pPr>
              <w:pStyle w:val="TableParagraph"/>
            </w:pPr>
          </w:p>
          <w:p w14:paraId="6AA50D87" w14:textId="77777777" w:rsidR="0046798B" w:rsidRDefault="0046798B">
            <w:pPr>
              <w:pStyle w:val="TableParagraph"/>
            </w:pPr>
          </w:p>
          <w:p w14:paraId="5904DA05" w14:textId="77777777" w:rsidR="0046798B" w:rsidRDefault="0046798B">
            <w:pPr>
              <w:pStyle w:val="TableParagraph"/>
              <w:spacing w:before="9"/>
              <w:rPr>
                <w:sz w:val="19"/>
              </w:rPr>
            </w:pPr>
          </w:p>
          <w:p w14:paraId="2A2CD3D3" w14:textId="77777777" w:rsidR="0046798B" w:rsidRDefault="00903B5C">
            <w:pPr>
              <w:pStyle w:val="TableParagraph"/>
              <w:ind w:left="114"/>
              <w:rPr>
                <w:sz w:val="20"/>
              </w:rPr>
            </w:pPr>
            <w:r>
              <w:rPr>
                <w:sz w:val="20"/>
              </w:rPr>
              <w:t>Female governor</w:t>
            </w:r>
          </w:p>
        </w:tc>
        <w:tc>
          <w:tcPr>
            <w:tcW w:w="1280" w:type="dxa"/>
          </w:tcPr>
          <w:p w14:paraId="14C70F9C" w14:textId="77777777" w:rsidR="0046798B" w:rsidRDefault="0046798B">
            <w:pPr>
              <w:pStyle w:val="TableParagraph"/>
            </w:pPr>
          </w:p>
          <w:p w14:paraId="33AE91DD" w14:textId="77777777" w:rsidR="0046798B" w:rsidRDefault="0046798B">
            <w:pPr>
              <w:pStyle w:val="TableParagraph"/>
            </w:pPr>
          </w:p>
          <w:p w14:paraId="4B1E9BFC" w14:textId="77777777" w:rsidR="0046798B" w:rsidRDefault="0046798B">
            <w:pPr>
              <w:pStyle w:val="TableParagraph"/>
              <w:spacing w:before="9"/>
              <w:rPr>
                <w:sz w:val="19"/>
              </w:rPr>
            </w:pPr>
          </w:p>
          <w:p w14:paraId="7052DE12" w14:textId="77777777" w:rsidR="0046798B" w:rsidRDefault="00903B5C">
            <w:pPr>
              <w:pStyle w:val="TableParagraph"/>
              <w:ind w:left="114"/>
              <w:rPr>
                <w:sz w:val="20"/>
              </w:rPr>
            </w:pPr>
            <w:r>
              <w:rPr>
                <w:sz w:val="20"/>
              </w:rPr>
              <w:t>1956–2006</w:t>
            </w:r>
          </w:p>
        </w:tc>
        <w:tc>
          <w:tcPr>
            <w:tcW w:w="3421" w:type="dxa"/>
          </w:tcPr>
          <w:p w14:paraId="361E5C57" w14:textId="77777777" w:rsidR="0046798B" w:rsidRDefault="00903B5C">
            <w:pPr>
              <w:pStyle w:val="TableParagraph"/>
              <w:spacing w:before="43"/>
              <w:ind w:left="114" w:right="166"/>
              <w:rPr>
                <w:sz w:val="20"/>
              </w:rPr>
            </w:pPr>
            <w:r>
              <w:rPr>
                <w:sz w:val="20"/>
              </w:rPr>
              <w:t xml:space="preserve">Dummy: 1 = female, 0 = male. This was coded based on the first name of the governor. If there was doubt, an internet search was done to ascertain their gender. One source: </w:t>
            </w:r>
            <w:hyperlink r:id="rId442">
              <w:r>
                <w:rPr>
                  <w:sz w:val="20"/>
                  <w:u w:val="single"/>
                </w:rPr>
                <w:t>http://www.guide2womenleaders.com/</w:t>
              </w:r>
            </w:hyperlink>
            <w:r>
              <w:rPr>
                <w:sz w:val="20"/>
              </w:rPr>
              <w:t xml:space="preserve"> </w:t>
            </w:r>
            <w:hyperlink r:id="rId443">
              <w:r>
                <w:rPr>
                  <w:sz w:val="20"/>
                  <w:u w:val="single"/>
                </w:rPr>
                <w:t>Governors1920.htm</w:t>
              </w:r>
            </w:hyperlink>
          </w:p>
        </w:tc>
        <w:tc>
          <w:tcPr>
            <w:tcW w:w="6477" w:type="dxa"/>
          </w:tcPr>
          <w:p w14:paraId="45C93C90" w14:textId="77777777" w:rsidR="0046798B" w:rsidRDefault="0046798B">
            <w:pPr>
              <w:pStyle w:val="TableParagraph"/>
            </w:pPr>
          </w:p>
          <w:p w14:paraId="54253AAD" w14:textId="77777777" w:rsidR="0046798B" w:rsidRDefault="0046798B">
            <w:pPr>
              <w:pStyle w:val="TableParagraph"/>
              <w:spacing w:before="9"/>
              <w:rPr>
                <w:sz w:val="31"/>
              </w:rPr>
            </w:pPr>
          </w:p>
          <w:p w14:paraId="3348DAF0" w14:textId="77777777" w:rsidR="0046798B" w:rsidRDefault="00903B5C">
            <w:pPr>
              <w:pStyle w:val="TableParagraph"/>
              <w:ind w:left="114" w:right="1261"/>
              <w:rPr>
                <w:sz w:val="20"/>
              </w:rPr>
            </w:pPr>
            <w:r>
              <w:rPr>
                <w:sz w:val="20"/>
              </w:rPr>
              <w:t xml:space="preserve">Klarner, Carl, 2013, “Governors Dataset”, </w:t>
            </w:r>
            <w:hyperlink r:id="rId444">
              <w:r>
                <w:rPr>
                  <w:color w:val="0462C1"/>
                  <w:sz w:val="20"/>
                  <w:u w:val="single" w:color="0462C1"/>
                </w:rPr>
                <w:t>https://doi.org/10.7910/DVN/PQ0Y1N</w:t>
              </w:r>
              <w:r>
                <w:rPr>
                  <w:sz w:val="20"/>
                </w:rPr>
                <w:t>,</w:t>
              </w:r>
            </w:hyperlink>
            <w:r>
              <w:rPr>
                <w:sz w:val="20"/>
              </w:rPr>
              <w:t xml:space="preserve"> Harvard Dataverse, V1</w:t>
            </w:r>
          </w:p>
        </w:tc>
      </w:tr>
      <w:tr w:rsidR="0046798B" w14:paraId="58A21A5D" w14:textId="77777777">
        <w:trPr>
          <w:trHeight w:val="775"/>
        </w:trPr>
        <w:tc>
          <w:tcPr>
            <w:tcW w:w="1711" w:type="dxa"/>
          </w:tcPr>
          <w:p w14:paraId="699107C7" w14:textId="77777777" w:rsidR="0046798B" w:rsidRDefault="0046798B">
            <w:pPr>
              <w:pStyle w:val="TableParagraph"/>
              <w:spacing w:before="8"/>
              <w:rPr>
                <w:sz w:val="23"/>
              </w:rPr>
            </w:pPr>
          </w:p>
          <w:p w14:paraId="7BE45D1E" w14:textId="77777777" w:rsidR="0046798B" w:rsidRDefault="00903B5C">
            <w:pPr>
              <w:pStyle w:val="TableParagraph"/>
              <w:spacing w:before="1"/>
              <w:ind w:left="115"/>
              <w:rPr>
                <w:b/>
                <w:sz w:val="20"/>
              </w:rPr>
            </w:pPr>
            <w:r>
              <w:rPr>
                <w:b/>
                <w:sz w:val="20"/>
              </w:rPr>
              <w:t>femgov_notes</w:t>
            </w:r>
          </w:p>
        </w:tc>
        <w:tc>
          <w:tcPr>
            <w:tcW w:w="1596" w:type="dxa"/>
          </w:tcPr>
          <w:p w14:paraId="02D54376" w14:textId="77777777" w:rsidR="0046798B" w:rsidRDefault="00903B5C">
            <w:pPr>
              <w:pStyle w:val="TableParagraph"/>
              <w:spacing w:before="43"/>
              <w:ind w:left="114" w:right="97"/>
              <w:rPr>
                <w:sz w:val="20"/>
              </w:rPr>
            </w:pPr>
            <w:r>
              <w:rPr>
                <w:sz w:val="20"/>
              </w:rPr>
              <w:t>Notes about coding of female governor</w:t>
            </w:r>
          </w:p>
        </w:tc>
        <w:tc>
          <w:tcPr>
            <w:tcW w:w="1280" w:type="dxa"/>
          </w:tcPr>
          <w:p w14:paraId="4A89A736" w14:textId="77777777" w:rsidR="0046798B" w:rsidRDefault="0046798B">
            <w:pPr>
              <w:pStyle w:val="TableParagraph"/>
              <w:spacing w:before="8"/>
              <w:rPr>
                <w:sz w:val="23"/>
              </w:rPr>
            </w:pPr>
          </w:p>
          <w:p w14:paraId="1DE095F1" w14:textId="77777777" w:rsidR="0046798B" w:rsidRDefault="00903B5C">
            <w:pPr>
              <w:pStyle w:val="TableParagraph"/>
              <w:spacing w:before="1"/>
              <w:ind w:left="114"/>
              <w:rPr>
                <w:sz w:val="20"/>
              </w:rPr>
            </w:pPr>
            <w:r>
              <w:rPr>
                <w:sz w:val="20"/>
              </w:rPr>
              <w:t>1968–2007</w:t>
            </w:r>
          </w:p>
        </w:tc>
        <w:tc>
          <w:tcPr>
            <w:tcW w:w="3421" w:type="dxa"/>
          </w:tcPr>
          <w:p w14:paraId="4BE5086E" w14:textId="77777777" w:rsidR="0046798B" w:rsidRDefault="0046798B">
            <w:pPr>
              <w:pStyle w:val="TableParagraph"/>
              <w:spacing w:before="8"/>
              <w:rPr>
                <w:sz w:val="23"/>
              </w:rPr>
            </w:pPr>
          </w:p>
          <w:p w14:paraId="2C81418C" w14:textId="77777777" w:rsidR="0046798B" w:rsidRDefault="00903B5C">
            <w:pPr>
              <w:pStyle w:val="TableParagraph"/>
              <w:spacing w:before="1"/>
              <w:ind w:left="114"/>
              <w:rPr>
                <w:sz w:val="20"/>
              </w:rPr>
            </w:pPr>
            <w:r>
              <w:rPr>
                <w:sz w:val="20"/>
              </w:rPr>
              <w:t>Note about the coding of “femgov.”</w:t>
            </w:r>
          </w:p>
        </w:tc>
        <w:tc>
          <w:tcPr>
            <w:tcW w:w="6477" w:type="dxa"/>
          </w:tcPr>
          <w:p w14:paraId="75BC6CAD" w14:textId="77777777" w:rsidR="0046798B" w:rsidRDefault="00903B5C">
            <w:pPr>
              <w:pStyle w:val="TableParagraph"/>
              <w:spacing w:before="158"/>
              <w:ind w:left="114" w:right="1261"/>
              <w:rPr>
                <w:sz w:val="20"/>
              </w:rPr>
            </w:pPr>
            <w:r>
              <w:rPr>
                <w:sz w:val="20"/>
              </w:rPr>
              <w:t xml:space="preserve">Klarner, Carl, 2013, “Governors Dataset”, </w:t>
            </w:r>
            <w:hyperlink r:id="rId445">
              <w:r>
                <w:rPr>
                  <w:color w:val="0462C1"/>
                  <w:sz w:val="20"/>
                  <w:u w:val="single" w:color="0462C1"/>
                </w:rPr>
                <w:t>https://doi.org/10.7910/DVN/PQ0Y1N</w:t>
              </w:r>
              <w:r>
                <w:rPr>
                  <w:sz w:val="20"/>
                </w:rPr>
                <w:t>,</w:t>
              </w:r>
            </w:hyperlink>
            <w:r>
              <w:rPr>
                <w:sz w:val="20"/>
              </w:rPr>
              <w:t xml:space="preserve"> Harvard Dataverse, V1</w:t>
            </w:r>
          </w:p>
        </w:tc>
      </w:tr>
      <w:tr w:rsidR="0046798B" w14:paraId="3ACB9369" w14:textId="77777777">
        <w:trPr>
          <w:trHeight w:val="2846"/>
        </w:trPr>
        <w:tc>
          <w:tcPr>
            <w:tcW w:w="1711" w:type="dxa"/>
          </w:tcPr>
          <w:p w14:paraId="5DDA42D1" w14:textId="77777777" w:rsidR="0046798B" w:rsidRDefault="0046798B">
            <w:pPr>
              <w:pStyle w:val="TableParagraph"/>
            </w:pPr>
          </w:p>
          <w:p w14:paraId="19422E62" w14:textId="77777777" w:rsidR="0046798B" w:rsidRDefault="0046798B">
            <w:pPr>
              <w:pStyle w:val="TableParagraph"/>
            </w:pPr>
          </w:p>
          <w:p w14:paraId="1AFA3301" w14:textId="77777777" w:rsidR="0046798B" w:rsidRDefault="0046798B">
            <w:pPr>
              <w:pStyle w:val="TableParagraph"/>
            </w:pPr>
          </w:p>
          <w:p w14:paraId="0B837932" w14:textId="77777777" w:rsidR="0046798B" w:rsidRDefault="0046798B">
            <w:pPr>
              <w:pStyle w:val="TableParagraph"/>
            </w:pPr>
          </w:p>
          <w:p w14:paraId="4DCD1FBF" w14:textId="77777777" w:rsidR="0046798B" w:rsidRDefault="0046798B">
            <w:pPr>
              <w:pStyle w:val="TableParagraph"/>
              <w:spacing w:before="9"/>
              <w:rPr>
                <w:sz w:val="25"/>
              </w:rPr>
            </w:pPr>
          </w:p>
          <w:p w14:paraId="5147BF26" w14:textId="77777777" w:rsidR="0046798B" w:rsidRDefault="00903B5C">
            <w:pPr>
              <w:pStyle w:val="TableParagraph"/>
              <w:spacing w:before="1"/>
              <w:ind w:left="115"/>
              <w:rPr>
                <w:b/>
                <w:sz w:val="20"/>
              </w:rPr>
            </w:pPr>
            <w:r>
              <w:rPr>
                <w:b/>
                <w:sz w:val="20"/>
              </w:rPr>
              <w:t>stateleg</w:t>
            </w:r>
          </w:p>
        </w:tc>
        <w:tc>
          <w:tcPr>
            <w:tcW w:w="1596" w:type="dxa"/>
          </w:tcPr>
          <w:p w14:paraId="487CE9B3" w14:textId="77777777" w:rsidR="0046798B" w:rsidRDefault="0046798B">
            <w:pPr>
              <w:pStyle w:val="TableParagraph"/>
            </w:pPr>
          </w:p>
          <w:p w14:paraId="7B1E4A25" w14:textId="77777777" w:rsidR="0046798B" w:rsidRDefault="0046798B">
            <w:pPr>
              <w:pStyle w:val="TableParagraph"/>
            </w:pPr>
          </w:p>
          <w:p w14:paraId="540F70A4" w14:textId="77777777" w:rsidR="0046798B" w:rsidRDefault="0046798B">
            <w:pPr>
              <w:pStyle w:val="TableParagraph"/>
            </w:pPr>
          </w:p>
          <w:p w14:paraId="6F611F83" w14:textId="77777777" w:rsidR="0046798B" w:rsidRDefault="0046798B">
            <w:pPr>
              <w:pStyle w:val="TableParagraph"/>
              <w:spacing w:before="9"/>
              <w:rPr>
                <w:sz w:val="27"/>
              </w:rPr>
            </w:pPr>
          </w:p>
          <w:p w14:paraId="7C02DFEB" w14:textId="77777777" w:rsidR="0046798B" w:rsidRDefault="00903B5C">
            <w:pPr>
              <w:pStyle w:val="TableParagraph"/>
              <w:ind w:left="114"/>
              <w:rPr>
                <w:sz w:val="20"/>
              </w:rPr>
            </w:pPr>
            <w:r>
              <w:rPr>
                <w:sz w:val="20"/>
              </w:rPr>
              <w:t>Governor served in legislature dummy</w:t>
            </w:r>
          </w:p>
        </w:tc>
        <w:tc>
          <w:tcPr>
            <w:tcW w:w="1280" w:type="dxa"/>
          </w:tcPr>
          <w:p w14:paraId="155539FA" w14:textId="77777777" w:rsidR="0046798B" w:rsidRDefault="0046798B">
            <w:pPr>
              <w:pStyle w:val="TableParagraph"/>
            </w:pPr>
          </w:p>
          <w:p w14:paraId="019DEC30" w14:textId="77777777" w:rsidR="0046798B" w:rsidRDefault="0046798B">
            <w:pPr>
              <w:pStyle w:val="TableParagraph"/>
            </w:pPr>
          </w:p>
          <w:p w14:paraId="227AA20A" w14:textId="77777777" w:rsidR="0046798B" w:rsidRDefault="0046798B">
            <w:pPr>
              <w:pStyle w:val="TableParagraph"/>
            </w:pPr>
          </w:p>
          <w:p w14:paraId="55A720BD" w14:textId="77777777" w:rsidR="0046798B" w:rsidRDefault="0046798B">
            <w:pPr>
              <w:pStyle w:val="TableParagraph"/>
            </w:pPr>
          </w:p>
          <w:p w14:paraId="079FE677" w14:textId="77777777" w:rsidR="0046798B" w:rsidRDefault="0046798B">
            <w:pPr>
              <w:pStyle w:val="TableParagraph"/>
              <w:spacing w:before="9"/>
              <w:rPr>
                <w:sz w:val="25"/>
              </w:rPr>
            </w:pPr>
          </w:p>
          <w:p w14:paraId="1C591F53" w14:textId="77777777" w:rsidR="0046798B" w:rsidRDefault="00903B5C">
            <w:pPr>
              <w:pStyle w:val="TableParagraph"/>
              <w:spacing w:before="1"/>
              <w:ind w:left="114"/>
              <w:rPr>
                <w:sz w:val="20"/>
              </w:rPr>
            </w:pPr>
            <w:r>
              <w:rPr>
                <w:sz w:val="20"/>
              </w:rPr>
              <w:t>1971–2006</w:t>
            </w:r>
          </w:p>
        </w:tc>
        <w:tc>
          <w:tcPr>
            <w:tcW w:w="3421" w:type="dxa"/>
          </w:tcPr>
          <w:p w14:paraId="2213808E" w14:textId="77777777" w:rsidR="0046798B" w:rsidRDefault="00903B5C">
            <w:pPr>
              <w:pStyle w:val="TableParagraph"/>
              <w:spacing w:before="43"/>
              <w:ind w:left="114" w:right="147"/>
              <w:rPr>
                <w:sz w:val="20"/>
              </w:rPr>
            </w:pPr>
            <w:r>
              <w:rPr>
                <w:sz w:val="20"/>
              </w:rPr>
              <w:t xml:space="preserve">Dummy: Member served in the state legislature. 1 = yes, 0 = no. A search was done through supplement #1 to </w:t>
            </w:r>
            <w:r>
              <w:rPr>
                <w:spacing w:val="-6"/>
                <w:sz w:val="20"/>
              </w:rPr>
              <w:t xml:space="preserve">the </w:t>
            </w:r>
            <w:r>
              <w:rPr>
                <w:sz w:val="20"/>
              </w:rPr>
              <w:t>Book of States 12 years before their arrival to the governor’s office. They may have been in the state legislature before that time, but they would receive a score of “0” if so. For consistency, when governors were found in state legislatures before the twelve-year cutoff, and not after, they did not receive a code of</w:t>
            </w:r>
            <w:r>
              <w:rPr>
                <w:spacing w:val="1"/>
                <w:sz w:val="20"/>
              </w:rPr>
              <w:t xml:space="preserve"> </w:t>
            </w:r>
            <w:r>
              <w:rPr>
                <w:sz w:val="20"/>
              </w:rPr>
              <w:t>“1.”</w:t>
            </w:r>
          </w:p>
        </w:tc>
        <w:tc>
          <w:tcPr>
            <w:tcW w:w="6477" w:type="dxa"/>
          </w:tcPr>
          <w:p w14:paraId="61379369" w14:textId="77777777" w:rsidR="0046798B" w:rsidRDefault="0046798B">
            <w:pPr>
              <w:pStyle w:val="TableParagraph"/>
            </w:pPr>
          </w:p>
          <w:p w14:paraId="2C1F1C74" w14:textId="77777777" w:rsidR="0046798B" w:rsidRDefault="0046798B">
            <w:pPr>
              <w:pStyle w:val="TableParagraph"/>
            </w:pPr>
          </w:p>
          <w:p w14:paraId="40936AE7" w14:textId="77777777" w:rsidR="0046798B" w:rsidRDefault="0046798B">
            <w:pPr>
              <w:pStyle w:val="TableParagraph"/>
            </w:pPr>
          </w:p>
          <w:p w14:paraId="7278F4CF" w14:textId="77777777" w:rsidR="0046798B" w:rsidRDefault="0046798B">
            <w:pPr>
              <w:pStyle w:val="TableParagraph"/>
            </w:pPr>
          </w:p>
          <w:p w14:paraId="2554A1B0" w14:textId="77777777" w:rsidR="0046798B" w:rsidRDefault="00903B5C">
            <w:pPr>
              <w:pStyle w:val="TableParagraph"/>
              <w:spacing w:before="182"/>
              <w:ind w:left="114" w:right="1261"/>
              <w:rPr>
                <w:sz w:val="20"/>
              </w:rPr>
            </w:pPr>
            <w:r>
              <w:rPr>
                <w:sz w:val="20"/>
              </w:rPr>
              <w:t xml:space="preserve">Klarner, Carl, 2013, “Governors Dataset”, </w:t>
            </w:r>
            <w:hyperlink r:id="rId446">
              <w:r>
                <w:rPr>
                  <w:color w:val="0462C1"/>
                  <w:sz w:val="20"/>
                  <w:u w:val="single" w:color="0462C1"/>
                </w:rPr>
                <w:t>https://doi.org/10.7910/DVN/PQ0Y1N</w:t>
              </w:r>
              <w:r>
                <w:rPr>
                  <w:sz w:val="20"/>
                </w:rPr>
                <w:t>,</w:t>
              </w:r>
            </w:hyperlink>
            <w:r>
              <w:rPr>
                <w:sz w:val="20"/>
              </w:rPr>
              <w:t xml:space="preserve"> Harvard Dataverse, V1</w:t>
            </w:r>
          </w:p>
        </w:tc>
      </w:tr>
    </w:tbl>
    <w:p w14:paraId="2EE2FF02" w14:textId="77777777" w:rsidR="0046798B" w:rsidRDefault="0046798B">
      <w:pPr>
        <w:rPr>
          <w:sz w:val="20"/>
        </w:rPr>
        <w:sectPr w:rsidR="0046798B">
          <w:pgSz w:w="15840" w:h="12240" w:orient="landscape"/>
          <w:pgMar w:top="1220" w:right="300" w:bottom="980" w:left="820" w:header="730" w:footer="787" w:gutter="0"/>
          <w:cols w:space="720"/>
        </w:sectPr>
      </w:pPr>
    </w:p>
    <w:p w14:paraId="555DBDBA"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0"/>
        <w:gridCol w:w="3421"/>
        <w:gridCol w:w="6477"/>
      </w:tblGrid>
      <w:tr w:rsidR="0046798B" w14:paraId="09EABC5E" w14:textId="77777777">
        <w:trPr>
          <w:trHeight w:val="775"/>
        </w:trPr>
        <w:tc>
          <w:tcPr>
            <w:tcW w:w="1711" w:type="dxa"/>
          </w:tcPr>
          <w:p w14:paraId="084465C9" w14:textId="77777777" w:rsidR="0046798B" w:rsidRDefault="0046798B">
            <w:pPr>
              <w:pStyle w:val="TableParagraph"/>
              <w:spacing w:before="9"/>
              <w:rPr>
                <w:sz w:val="23"/>
              </w:rPr>
            </w:pPr>
          </w:p>
          <w:p w14:paraId="430181FF" w14:textId="77777777" w:rsidR="0046798B" w:rsidRDefault="00903B5C">
            <w:pPr>
              <w:pStyle w:val="TableParagraph"/>
              <w:ind w:left="115"/>
              <w:rPr>
                <w:b/>
                <w:sz w:val="20"/>
              </w:rPr>
            </w:pPr>
            <w:r>
              <w:rPr>
                <w:b/>
                <w:sz w:val="20"/>
              </w:rPr>
              <w:t>stateleg_sour</w:t>
            </w:r>
          </w:p>
        </w:tc>
        <w:tc>
          <w:tcPr>
            <w:tcW w:w="1596" w:type="dxa"/>
          </w:tcPr>
          <w:p w14:paraId="2BE4F366" w14:textId="77777777" w:rsidR="0046798B" w:rsidRDefault="00903B5C">
            <w:pPr>
              <w:pStyle w:val="TableParagraph"/>
              <w:spacing w:before="43"/>
              <w:ind w:left="114" w:right="235"/>
              <w:rPr>
                <w:sz w:val="20"/>
              </w:rPr>
            </w:pPr>
            <w:r>
              <w:rPr>
                <w:sz w:val="20"/>
              </w:rPr>
              <w:t>Source of legislative info about governor</w:t>
            </w:r>
          </w:p>
        </w:tc>
        <w:tc>
          <w:tcPr>
            <w:tcW w:w="1280" w:type="dxa"/>
          </w:tcPr>
          <w:p w14:paraId="095A48C7" w14:textId="77777777" w:rsidR="0046798B" w:rsidRDefault="0046798B">
            <w:pPr>
              <w:pStyle w:val="TableParagraph"/>
              <w:spacing w:before="9"/>
              <w:rPr>
                <w:sz w:val="23"/>
              </w:rPr>
            </w:pPr>
          </w:p>
          <w:p w14:paraId="67A6C106" w14:textId="77777777" w:rsidR="0046798B" w:rsidRDefault="00903B5C">
            <w:pPr>
              <w:pStyle w:val="TableParagraph"/>
              <w:ind w:left="114"/>
              <w:rPr>
                <w:sz w:val="20"/>
              </w:rPr>
            </w:pPr>
            <w:r>
              <w:rPr>
                <w:sz w:val="20"/>
              </w:rPr>
              <w:t>1971–2006</w:t>
            </w:r>
          </w:p>
        </w:tc>
        <w:tc>
          <w:tcPr>
            <w:tcW w:w="3421" w:type="dxa"/>
          </w:tcPr>
          <w:p w14:paraId="0347EF01" w14:textId="77777777" w:rsidR="0046798B" w:rsidRDefault="0046798B">
            <w:pPr>
              <w:pStyle w:val="TableParagraph"/>
              <w:spacing w:before="9"/>
              <w:rPr>
                <w:sz w:val="23"/>
              </w:rPr>
            </w:pPr>
          </w:p>
          <w:p w14:paraId="79A8BB72" w14:textId="77777777" w:rsidR="0046798B" w:rsidRDefault="00903B5C">
            <w:pPr>
              <w:pStyle w:val="TableParagraph"/>
              <w:ind w:left="114"/>
              <w:rPr>
                <w:sz w:val="20"/>
              </w:rPr>
            </w:pPr>
            <w:r>
              <w:rPr>
                <w:sz w:val="20"/>
              </w:rPr>
              <w:t>Source for stateleg</w:t>
            </w:r>
          </w:p>
        </w:tc>
        <w:tc>
          <w:tcPr>
            <w:tcW w:w="6477" w:type="dxa"/>
          </w:tcPr>
          <w:p w14:paraId="592C0C8F" w14:textId="77777777" w:rsidR="0046798B" w:rsidRDefault="00903B5C">
            <w:pPr>
              <w:pStyle w:val="TableParagraph"/>
              <w:spacing w:before="158"/>
              <w:ind w:left="114" w:right="1261"/>
              <w:rPr>
                <w:sz w:val="20"/>
              </w:rPr>
            </w:pPr>
            <w:r>
              <w:rPr>
                <w:sz w:val="20"/>
              </w:rPr>
              <w:t xml:space="preserve">Klarner, Carl, 2013, “Governors Dataset”, </w:t>
            </w:r>
            <w:hyperlink r:id="rId447">
              <w:r>
                <w:rPr>
                  <w:color w:val="0462C1"/>
                  <w:sz w:val="20"/>
                  <w:u w:val="single" w:color="0462C1"/>
                </w:rPr>
                <w:t>https://doi.org/10.7910/DVN/PQ0Y1N</w:t>
              </w:r>
              <w:r>
                <w:rPr>
                  <w:sz w:val="20"/>
                </w:rPr>
                <w:t>,</w:t>
              </w:r>
            </w:hyperlink>
            <w:r>
              <w:rPr>
                <w:sz w:val="20"/>
              </w:rPr>
              <w:t xml:space="preserve"> Harvard Dataverse, V1</w:t>
            </w:r>
          </w:p>
        </w:tc>
      </w:tr>
      <w:tr w:rsidR="0046798B" w14:paraId="1457CF50" w14:textId="77777777">
        <w:trPr>
          <w:trHeight w:val="1005"/>
        </w:trPr>
        <w:tc>
          <w:tcPr>
            <w:tcW w:w="1711" w:type="dxa"/>
          </w:tcPr>
          <w:p w14:paraId="0D4923A4" w14:textId="77777777" w:rsidR="0046798B" w:rsidRDefault="0046798B">
            <w:pPr>
              <w:pStyle w:val="TableParagraph"/>
            </w:pPr>
          </w:p>
          <w:p w14:paraId="49E8F49D" w14:textId="77777777" w:rsidR="0046798B" w:rsidRDefault="00903B5C">
            <w:pPr>
              <w:pStyle w:val="TableParagraph"/>
              <w:spacing w:before="135"/>
              <w:ind w:left="115"/>
              <w:rPr>
                <w:b/>
                <w:sz w:val="20"/>
              </w:rPr>
            </w:pPr>
            <w:r>
              <w:rPr>
                <w:b/>
                <w:sz w:val="20"/>
              </w:rPr>
              <w:t>congmem</w:t>
            </w:r>
          </w:p>
        </w:tc>
        <w:tc>
          <w:tcPr>
            <w:tcW w:w="1596" w:type="dxa"/>
          </w:tcPr>
          <w:p w14:paraId="08FD010E" w14:textId="77777777" w:rsidR="0046798B" w:rsidRDefault="00903B5C">
            <w:pPr>
              <w:pStyle w:val="TableParagraph"/>
              <w:spacing w:before="158"/>
              <w:ind w:left="114" w:right="128"/>
              <w:jc w:val="both"/>
              <w:rPr>
                <w:sz w:val="20"/>
              </w:rPr>
            </w:pPr>
            <w:r>
              <w:rPr>
                <w:sz w:val="20"/>
              </w:rPr>
              <w:t>Governor served in U.S. House or Senate</w:t>
            </w:r>
          </w:p>
        </w:tc>
        <w:tc>
          <w:tcPr>
            <w:tcW w:w="1280" w:type="dxa"/>
          </w:tcPr>
          <w:p w14:paraId="6D1E3DA4" w14:textId="77777777" w:rsidR="0046798B" w:rsidRDefault="0046798B">
            <w:pPr>
              <w:pStyle w:val="TableParagraph"/>
            </w:pPr>
          </w:p>
          <w:p w14:paraId="3C2FA853" w14:textId="77777777" w:rsidR="0046798B" w:rsidRDefault="00903B5C">
            <w:pPr>
              <w:pStyle w:val="TableParagraph"/>
              <w:spacing w:before="135"/>
              <w:ind w:left="114"/>
              <w:rPr>
                <w:sz w:val="20"/>
              </w:rPr>
            </w:pPr>
            <w:r>
              <w:rPr>
                <w:sz w:val="20"/>
              </w:rPr>
              <w:t>1971–2006</w:t>
            </w:r>
          </w:p>
        </w:tc>
        <w:tc>
          <w:tcPr>
            <w:tcW w:w="3421" w:type="dxa"/>
          </w:tcPr>
          <w:p w14:paraId="0B5959CA" w14:textId="77777777" w:rsidR="0046798B" w:rsidRDefault="00903B5C">
            <w:pPr>
              <w:pStyle w:val="TableParagraph"/>
              <w:spacing w:before="43"/>
              <w:ind w:left="114" w:right="174"/>
              <w:rPr>
                <w:sz w:val="20"/>
              </w:rPr>
            </w:pPr>
            <w:r>
              <w:rPr>
                <w:sz w:val="20"/>
              </w:rPr>
              <w:t>Dummy: Members served in the U.S. House of Representatives or the U.S. Senate. 1 = yes, 0 = no. No time cutoff for this variable.</w:t>
            </w:r>
          </w:p>
        </w:tc>
        <w:tc>
          <w:tcPr>
            <w:tcW w:w="6477" w:type="dxa"/>
          </w:tcPr>
          <w:p w14:paraId="7DD6417E" w14:textId="77777777" w:rsidR="0046798B" w:rsidRDefault="00903B5C">
            <w:pPr>
              <w:pStyle w:val="TableParagraph"/>
              <w:spacing w:before="43"/>
              <w:ind w:left="114" w:right="1261"/>
              <w:rPr>
                <w:sz w:val="20"/>
              </w:rPr>
            </w:pPr>
            <w:r>
              <w:rPr>
                <w:sz w:val="20"/>
              </w:rPr>
              <w:t xml:space="preserve">Klarner, Carl, 2013, “Governors Dataset”, </w:t>
            </w:r>
            <w:hyperlink r:id="rId448">
              <w:r>
                <w:rPr>
                  <w:color w:val="0462C1"/>
                  <w:sz w:val="20"/>
                  <w:u w:val="single" w:color="0462C1"/>
                </w:rPr>
                <w:t>https://doi.org/10.7910/DVN/PQ0Y1N</w:t>
              </w:r>
              <w:r>
                <w:rPr>
                  <w:sz w:val="20"/>
                </w:rPr>
                <w:t>,</w:t>
              </w:r>
            </w:hyperlink>
            <w:r>
              <w:rPr>
                <w:sz w:val="20"/>
              </w:rPr>
              <w:t xml:space="preserve"> Harvard Dataverse, V1</w:t>
            </w:r>
          </w:p>
          <w:p w14:paraId="1F9B77EF" w14:textId="77777777" w:rsidR="0046798B" w:rsidRDefault="0046798B">
            <w:pPr>
              <w:pStyle w:val="TableParagraph"/>
              <w:rPr>
                <w:sz w:val="20"/>
              </w:rPr>
            </w:pPr>
          </w:p>
          <w:p w14:paraId="2A54DABA" w14:textId="77777777" w:rsidR="0046798B" w:rsidRDefault="00903B5C">
            <w:pPr>
              <w:pStyle w:val="TableParagraph"/>
              <w:spacing w:before="1"/>
              <w:ind w:left="114"/>
              <w:rPr>
                <w:sz w:val="20"/>
              </w:rPr>
            </w:pPr>
            <w:r>
              <w:rPr>
                <w:sz w:val="20"/>
              </w:rPr>
              <w:t xml:space="preserve">Source was often </w:t>
            </w:r>
            <w:hyperlink r:id="rId449">
              <w:r>
                <w:rPr>
                  <w:sz w:val="20"/>
                  <w:u w:val="single"/>
                </w:rPr>
                <w:t>http://bioguide.congress.gov/biosearch/biosearch.asp</w:t>
              </w:r>
            </w:hyperlink>
            <w:r>
              <w:rPr>
                <w:sz w:val="20"/>
              </w:rPr>
              <w:t>.</w:t>
            </w:r>
          </w:p>
        </w:tc>
      </w:tr>
      <w:tr w:rsidR="0046798B" w14:paraId="1248229A" w14:textId="77777777">
        <w:trPr>
          <w:trHeight w:val="1010"/>
        </w:trPr>
        <w:tc>
          <w:tcPr>
            <w:tcW w:w="1711" w:type="dxa"/>
          </w:tcPr>
          <w:p w14:paraId="07B8FD51" w14:textId="77777777" w:rsidR="0046798B" w:rsidRDefault="0046798B">
            <w:pPr>
              <w:pStyle w:val="TableParagraph"/>
            </w:pPr>
          </w:p>
          <w:p w14:paraId="5EDACA51" w14:textId="77777777" w:rsidR="0046798B" w:rsidRDefault="00903B5C">
            <w:pPr>
              <w:pStyle w:val="TableParagraph"/>
              <w:spacing w:before="135"/>
              <w:ind w:left="115"/>
              <w:rPr>
                <w:b/>
                <w:sz w:val="20"/>
              </w:rPr>
            </w:pPr>
            <w:r>
              <w:rPr>
                <w:b/>
                <w:sz w:val="20"/>
              </w:rPr>
              <w:t>congmem_sour</w:t>
            </w:r>
          </w:p>
        </w:tc>
        <w:tc>
          <w:tcPr>
            <w:tcW w:w="1596" w:type="dxa"/>
          </w:tcPr>
          <w:p w14:paraId="0A90609E" w14:textId="77777777" w:rsidR="0046798B" w:rsidRDefault="00903B5C">
            <w:pPr>
              <w:pStyle w:val="TableParagraph"/>
              <w:spacing w:before="43"/>
              <w:ind w:left="114" w:right="352"/>
              <w:rPr>
                <w:sz w:val="20"/>
              </w:rPr>
            </w:pPr>
            <w:r>
              <w:rPr>
                <w:sz w:val="20"/>
              </w:rPr>
              <w:t>Source of congressional info about governor</w:t>
            </w:r>
          </w:p>
        </w:tc>
        <w:tc>
          <w:tcPr>
            <w:tcW w:w="1280" w:type="dxa"/>
          </w:tcPr>
          <w:p w14:paraId="5FD7430C" w14:textId="77777777" w:rsidR="0046798B" w:rsidRDefault="0046798B">
            <w:pPr>
              <w:pStyle w:val="TableParagraph"/>
            </w:pPr>
          </w:p>
          <w:p w14:paraId="6033FF4B" w14:textId="77777777" w:rsidR="0046798B" w:rsidRDefault="00903B5C">
            <w:pPr>
              <w:pStyle w:val="TableParagraph"/>
              <w:spacing w:before="135"/>
              <w:ind w:left="114"/>
              <w:rPr>
                <w:sz w:val="20"/>
              </w:rPr>
            </w:pPr>
            <w:r>
              <w:rPr>
                <w:sz w:val="20"/>
              </w:rPr>
              <w:t>1971–2006</w:t>
            </w:r>
          </w:p>
        </w:tc>
        <w:tc>
          <w:tcPr>
            <w:tcW w:w="3421" w:type="dxa"/>
          </w:tcPr>
          <w:p w14:paraId="45D5DB94" w14:textId="77777777" w:rsidR="0046798B" w:rsidRDefault="0046798B">
            <w:pPr>
              <w:pStyle w:val="TableParagraph"/>
            </w:pPr>
          </w:p>
          <w:p w14:paraId="385595DB" w14:textId="77777777" w:rsidR="0046798B" w:rsidRDefault="00903B5C">
            <w:pPr>
              <w:pStyle w:val="TableParagraph"/>
              <w:spacing w:before="135"/>
              <w:ind w:left="114"/>
              <w:rPr>
                <w:sz w:val="20"/>
              </w:rPr>
            </w:pPr>
            <w:r>
              <w:rPr>
                <w:sz w:val="20"/>
              </w:rPr>
              <w:t>Source for “congmem.”</w:t>
            </w:r>
          </w:p>
        </w:tc>
        <w:tc>
          <w:tcPr>
            <w:tcW w:w="6477" w:type="dxa"/>
          </w:tcPr>
          <w:p w14:paraId="4662CB46" w14:textId="77777777" w:rsidR="0046798B" w:rsidRDefault="0046798B">
            <w:pPr>
              <w:pStyle w:val="TableParagraph"/>
              <w:spacing w:before="8"/>
              <w:rPr>
                <w:sz w:val="23"/>
              </w:rPr>
            </w:pPr>
          </w:p>
          <w:p w14:paraId="571D18AA" w14:textId="77777777" w:rsidR="0046798B" w:rsidRDefault="00903B5C">
            <w:pPr>
              <w:pStyle w:val="TableParagraph"/>
              <w:spacing w:before="1"/>
              <w:ind w:left="114" w:right="1261"/>
              <w:rPr>
                <w:sz w:val="20"/>
              </w:rPr>
            </w:pPr>
            <w:r>
              <w:rPr>
                <w:sz w:val="20"/>
              </w:rPr>
              <w:t xml:space="preserve">Klarner, Carl, 2013, “Governors Dataset”, </w:t>
            </w:r>
            <w:hyperlink r:id="rId450">
              <w:r>
                <w:rPr>
                  <w:color w:val="0462C1"/>
                  <w:sz w:val="20"/>
                  <w:u w:val="single" w:color="0462C1"/>
                </w:rPr>
                <w:t>https://doi.org/10.7910/DVN/PQ0Y1N</w:t>
              </w:r>
              <w:r>
                <w:rPr>
                  <w:sz w:val="20"/>
                </w:rPr>
                <w:t>,</w:t>
              </w:r>
            </w:hyperlink>
            <w:r>
              <w:rPr>
                <w:sz w:val="20"/>
              </w:rPr>
              <w:t xml:space="preserve"> Harvard Dataverse, V1</w:t>
            </w:r>
          </w:p>
        </w:tc>
      </w:tr>
      <w:tr w:rsidR="0046798B" w14:paraId="039E048E" w14:textId="77777777">
        <w:trPr>
          <w:trHeight w:val="1005"/>
        </w:trPr>
        <w:tc>
          <w:tcPr>
            <w:tcW w:w="1711" w:type="dxa"/>
          </w:tcPr>
          <w:p w14:paraId="7464368C" w14:textId="77777777" w:rsidR="0046798B" w:rsidRDefault="0046798B">
            <w:pPr>
              <w:pStyle w:val="TableParagraph"/>
              <w:spacing w:before="4"/>
              <w:rPr>
                <w:sz w:val="23"/>
              </w:rPr>
            </w:pPr>
          </w:p>
          <w:p w14:paraId="438D9970" w14:textId="77777777" w:rsidR="0046798B" w:rsidRDefault="00903B5C">
            <w:pPr>
              <w:pStyle w:val="TableParagraph"/>
              <w:ind w:left="115" w:right="166"/>
              <w:rPr>
                <w:b/>
                <w:sz w:val="20"/>
              </w:rPr>
            </w:pPr>
            <w:r>
              <w:rPr>
                <w:b/>
                <w:sz w:val="20"/>
              </w:rPr>
              <w:t>stateleg_congme m_notes</w:t>
            </w:r>
          </w:p>
        </w:tc>
        <w:tc>
          <w:tcPr>
            <w:tcW w:w="1596" w:type="dxa"/>
          </w:tcPr>
          <w:p w14:paraId="2A442BD7" w14:textId="77777777" w:rsidR="0046798B" w:rsidRDefault="00903B5C">
            <w:pPr>
              <w:pStyle w:val="TableParagraph"/>
              <w:spacing w:before="38"/>
              <w:ind w:left="114" w:right="85"/>
              <w:rPr>
                <w:sz w:val="20"/>
              </w:rPr>
            </w:pPr>
            <w:r>
              <w:rPr>
                <w:sz w:val="20"/>
              </w:rPr>
              <w:t>Notes about legislative or congressional info on governor</w:t>
            </w:r>
          </w:p>
        </w:tc>
        <w:tc>
          <w:tcPr>
            <w:tcW w:w="1280" w:type="dxa"/>
          </w:tcPr>
          <w:p w14:paraId="14529BE5" w14:textId="77777777" w:rsidR="0046798B" w:rsidRDefault="0046798B">
            <w:pPr>
              <w:pStyle w:val="TableParagraph"/>
            </w:pPr>
          </w:p>
          <w:p w14:paraId="403349ED" w14:textId="77777777" w:rsidR="0046798B" w:rsidRDefault="00903B5C">
            <w:pPr>
              <w:pStyle w:val="TableParagraph"/>
              <w:spacing w:before="130"/>
              <w:ind w:left="114"/>
              <w:rPr>
                <w:sz w:val="20"/>
              </w:rPr>
            </w:pPr>
            <w:r>
              <w:rPr>
                <w:sz w:val="20"/>
              </w:rPr>
              <w:t>1971–2006</w:t>
            </w:r>
          </w:p>
        </w:tc>
        <w:tc>
          <w:tcPr>
            <w:tcW w:w="3421" w:type="dxa"/>
          </w:tcPr>
          <w:p w14:paraId="0AA7E99C" w14:textId="77777777" w:rsidR="0046798B" w:rsidRDefault="0046798B">
            <w:pPr>
              <w:pStyle w:val="TableParagraph"/>
            </w:pPr>
          </w:p>
          <w:p w14:paraId="66B9B759" w14:textId="77777777" w:rsidR="0046798B" w:rsidRDefault="00903B5C">
            <w:pPr>
              <w:pStyle w:val="TableParagraph"/>
              <w:spacing w:before="130"/>
              <w:ind w:left="114"/>
              <w:rPr>
                <w:sz w:val="20"/>
              </w:rPr>
            </w:pPr>
            <w:r>
              <w:rPr>
                <w:sz w:val="20"/>
              </w:rPr>
              <w:t>Notes about stateleg or congmem</w:t>
            </w:r>
          </w:p>
        </w:tc>
        <w:tc>
          <w:tcPr>
            <w:tcW w:w="6477" w:type="dxa"/>
          </w:tcPr>
          <w:p w14:paraId="7DBBBB94" w14:textId="77777777" w:rsidR="0046798B" w:rsidRDefault="0046798B">
            <w:pPr>
              <w:pStyle w:val="TableParagraph"/>
              <w:spacing w:before="4"/>
              <w:rPr>
                <w:sz w:val="23"/>
              </w:rPr>
            </w:pPr>
          </w:p>
          <w:p w14:paraId="26180C56" w14:textId="77777777" w:rsidR="0046798B" w:rsidRDefault="00903B5C">
            <w:pPr>
              <w:pStyle w:val="TableParagraph"/>
              <w:ind w:left="114" w:right="1261"/>
              <w:rPr>
                <w:sz w:val="20"/>
              </w:rPr>
            </w:pPr>
            <w:r>
              <w:rPr>
                <w:sz w:val="20"/>
              </w:rPr>
              <w:t xml:space="preserve">Klarner, Carl, 2013, “Governors Dataset”, </w:t>
            </w:r>
            <w:hyperlink r:id="rId451">
              <w:r>
                <w:rPr>
                  <w:color w:val="0462C1"/>
                  <w:sz w:val="20"/>
                  <w:u w:val="single" w:color="0462C1"/>
                </w:rPr>
                <w:t>https://doi.org/10.7910/DVN/PQ0Y1N</w:t>
              </w:r>
              <w:r>
                <w:rPr>
                  <w:sz w:val="20"/>
                </w:rPr>
                <w:t>,</w:t>
              </w:r>
            </w:hyperlink>
            <w:r>
              <w:rPr>
                <w:sz w:val="20"/>
              </w:rPr>
              <w:t xml:space="preserve"> Harvard Dataverse, V1</w:t>
            </w:r>
          </w:p>
        </w:tc>
      </w:tr>
      <w:tr w:rsidR="0046798B" w14:paraId="4C195A5D" w14:textId="77777777">
        <w:trPr>
          <w:trHeight w:val="1465"/>
        </w:trPr>
        <w:tc>
          <w:tcPr>
            <w:tcW w:w="1711" w:type="dxa"/>
          </w:tcPr>
          <w:p w14:paraId="60216FBC" w14:textId="77777777" w:rsidR="0046798B" w:rsidRDefault="0046798B">
            <w:pPr>
              <w:pStyle w:val="TableParagraph"/>
            </w:pPr>
          </w:p>
          <w:p w14:paraId="7DC86951" w14:textId="77777777" w:rsidR="0046798B" w:rsidRDefault="0046798B">
            <w:pPr>
              <w:pStyle w:val="TableParagraph"/>
              <w:spacing w:before="4"/>
              <w:rPr>
                <w:sz w:val="31"/>
              </w:rPr>
            </w:pPr>
          </w:p>
          <w:p w14:paraId="0C7D4975" w14:textId="77777777" w:rsidR="0046798B" w:rsidRDefault="00903B5C">
            <w:pPr>
              <w:pStyle w:val="TableParagraph"/>
              <w:ind w:left="115"/>
              <w:rPr>
                <w:b/>
                <w:sz w:val="20"/>
              </w:rPr>
            </w:pPr>
            <w:r>
              <w:rPr>
                <w:b/>
                <w:sz w:val="20"/>
              </w:rPr>
              <w:t>legexper</w:t>
            </w:r>
          </w:p>
        </w:tc>
        <w:tc>
          <w:tcPr>
            <w:tcW w:w="1596" w:type="dxa"/>
          </w:tcPr>
          <w:p w14:paraId="3D77B8E3" w14:textId="77777777" w:rsidR="0046798B" w:rsidRDefault="0046798B">
            <w:pPr>
              <w:pStyle w:val="TableParagraph"/>
              <w:spacing w:before="4"/>
              <w:rPr>
                <w:sz w:val="23"/>
              </w:rPr>
            </w:pPr>
          </w:p>
          <w:p w14:paraId="34FCBCD3" w14:textId="77777777" w:rsidR="0046798B" w:rsidRDefault="00903B5C">
            <w:pPr>
              <w:pStyle w:val="TableParagraph"/>
              <w:ind w:left="114" w:right="91"/>
              <w:rPr>
                <w:sz w:val="20"/>
              </w:rPr>
            </w:pPr>
            <w:r>
              <w:rPr>
                <w:sz w:val="20"/>
              </w:rPr>
              <w:t>Governor served in state legislature or</w:t>
            </w:r>
          </w:p>
          <w:p w14:paraId="5EE4B4C1" w14:textId="77777777" w:rsidR="0046798B" w:rsidRDefault="00903B5C">
            <w:pPr>
              <w:pStyle w:val="TableParagraph"/>
              <w:ind w:left="114"/>
              <w:rPr>
                <w:sz w:val="20"/>
              </w:rPr>
            </w:pPr>
            <w:r>
              <w:rPr>
                <w:sz w:val="20"/>
              </w:rPr>
              <w:t>U.S. Congress</w:t>
            </w:r>
          </w:p>
        </w:tc>
        <w:tc>
          <w:tcPr>
            <w:tcW w:w="1280" w:type="dxa"/>
          </w:tcPr>
          <w:p w14:paraId="06F7429C" w14:textId="77777777" w:rsidR="0046798B" w:rsidRDefault="0046798B">
            <w:pPr>
              <w:pStyle w:val="TableParagraph"/>
            </w:pPr>
          </w:p>
          <w:p w14:paraId="56C2FCC3" w14:textId="77777777" w:rsidR="0046798B" w:rsidRDefault="0046798B">
            <w:pPr>
              <w:pStyle w:val="TableParagraph"/>
              <w:spacing w:before="4"/>
              <w:rPr>
                <w:sz w:val="31"/>
              </w:rPr>
            </w:pPr>
          </w:p>
          <w:p w14:paraId="1167B77C" w14:textId="77777777" w:rsidR="0046798B" w:rsidRDefault="00903B5C">
            <w:pPr>
              <w:pStyle w:val="TableParagraph"/>
              <w:ind w:left="114"/>
              <w:rPr>
                <w:sz w:val="20"/>
              </w:rPr>
            </w:pPr>
            <w:r>
              <w:rPr>
                <w:sz w:val="20"/>
              </w:rPr>
              <w:t>1971–2006</w:t>
            </w:r>
          </w:p>
        </w:tc>
        <w:tc>
          <w:tcPr>
            <w:tcW w:w="3421" w:type="dxa"/>
          </w:tcPr>
          <w:p w14:paraId="52F6C013" w14:textId="77777777" w:rsidR="0046798B" w:rsidRDefault="00903B5C">
            <w:pPr>
              <w:pStyle w:val="TableParagraph"/>
              <w:spacing w:before="38"/>
              <w:ind w:left="114" w:right="116"/>
              <w:rPr>
                <w:sz w:val="20"/>
              </w:rPr>
            </w:pPr>
            <w:r>
              <w:rPr>
                <w:sz w:val="20"/>
              </w:rPr>
              <w:t>Dummy: 1 = members served in either the state legislature or U.S. Congress. 0</w:t>
            </w:r>
          </w:p>
          <w:p w14:paraId="5F33834D" w14:textId="77777777" w:rsidR="0046798B" w:rsidRDefault="00903B5C">
            <w:pPr>
              <w:pStyle w:val="TableParagraph"/>
              <w:ind w:left="114" w:right="266"/>
              <w:rPr>
                <w:sz w:val="20"/>
              </w:rPr>
            </w:pPr>
            <w:r>
              <w:rPr>
                <w:sz w:val="20"/>
              </w:rPr>
              <w:t>= else. Computed from stateleg and congmem. Gives fractions sometimes when there was a mid-year switch in governor.</w:t>
            </w:r>
          </w:p>
        </w:tc>
        <w:tc>
          <w:tcPr>
            <w:tcW w:w="6477" w:type="dxa"/>
          </w:tcPr>
          <w:p w14:paraId="5640F81D" w14:textId="77777777" w:rsidR="0046798B" w:rsidRDefault="0046798B">
            <w:pPr>
              <w:pStyle w:val="TableParagraph"/>
            </w:pPr>
          </w:p>
          <w:p w14:paraId="157B53E5" w14:textId="77777777" w:rsidR="0046798B" w:rsidRDefault="0046798B">
            <w:pPr>
              <w:pStyle w:val="TableParagraph"/>
              <w:spacing w:before="4"/>
              <w:rPr>
                <w:sz w:val="21"/>
              </w:rPr>
            </w:pPr>
          </w:p>
          <w:p w14:paraId="374E2620" w14:textId="77777777" w:rsidR="0046798B" w:rsidRDefault="00903B5C">
            <w:pPr>
              <w:pStyle w:val="TableParagraph"/>
              <w:ind w:left="114" w:right="1261"/>
              <w:rPr>
                <w:sz w:val="20"/>
              </w:rPr>
            </w:pPr>
            <w:r>
              <w:rPr>
                <w:sz w:val="20"/>
              </w:rPr>
              <w:t xml:space="preserve">Klarner, Carl, 2013, “Governors Dataset”, </w:t>
            </w:r>
            <w:hyperlink r:id="rId452">
              <w:r>
                <w:rPr>
                  <w:color w:val="0462C1"/>
                  <w:sz w:val="20"/>
                  <w:u w:val="single" w:color="0462C1"/>
                </w:rPr>
                <w:t>https://doi.org/10.7910/DVN/PQ0Y1N</w:t>
              </w:r>
              <w:r>
                <w:rPr>
                  <w:sz w:val="20"/>
                </w:rPr>
                <w:t>,</w:t>
              </w:r>
            </w:hyperlink>
            <w:r>
              <w:rPr>
                <w:sz w:val="20"/>
              </w:rPr>
              <w:t xml:space="preserve"> Harvard Dataverse, V1</w:t>
            </w:r>
          </w:p>
        </w:tc>
      </w:tr>
      <w:tr w:rsidR="0046798B" w14:paraId="79476485" w14:textId="77777777">
        <w:trPr>
          <w:trHeight w:val="2616"/>
        </w:trPr>
        <w:tc>
          <w:tcPr>
            <w:tcW w:w="1711" w:type="dxa"/>
          </w:tcPr>
          <w:p w14:paraId="03AC793B" w14:textId="77777777" w:rsidR="0046798B" w:rsidRDefault="0046798B">
            <w:pPr>
              <w:pStyle w:val="TableParagraph"/>
            </w:pPr>
          </w:p>
          <w:p w14:paraId="0AB37EF0" w14:textId="77777777" w:rsidR="0046798B" w:rsidRDefault="0046798B">
            <w:pPr>
              <w:pStyle w:val="TableParagraph"/>
            </w:pPr>
          </w:p>
          <w:p w14:paraId="23198100" w14:textId="77777777" w:rsidR="0046798B" w:rsidRDefault="0046798B">
            <w:pPr>
              <w:pStyle w:val="TableParagraph"/>
            </w:pPr>
          </w:p>
          <w:p w14:paraId="24769F3D" w14:textId="77777777" w:rsidR="0046798B" w:rsidRDefault="0046798B">
            <w:pPr>
              <w:pStyle w:val="TableParagraph"/>
              <w:spacing w:before="4"/>
              <w:rPr>
                <w:sz w:val="27"/>
              </w:rPr>
            </w:pPr>
          </w:p>
          <w:p w14:paraId="75C7B083" w14:textId="77777777" w:rsidR="0046798B" w:rsidRDefault="00903B5C">
            <w:pPr>
              <w:pStyle w:val="TableParagraph"/>
              <w:ind w:left="115" w:right="99"/>
              <w:rPr>
                <w:b/>
                <w:sz w:val="20"/>
              </w:rPr>
            </w:pPr>
            <w:r>
              <w:rPr>
                <w:b/>
                <w:sz w:val="20"/>
              </w:rPr>
              <w:t>party_midyear_c hange</w:t>
            </w:r>
          </w:p>
        </w:tc>
        <w:tc>
          <w:tcPr>
            <w:tcW w:w="1596" w:type="dxa"/>
          </w:tcPr>
          <w:p w14:paraId="08CB8B21" w14:textId="77777777" w:rsidR="0046798B" w:rsidRDefault="0046798B">
            <w:pPr>
              <w:pStyle w:val="TableParagraph"/>
            </w:pPr>
          </w:p>
          <w:p w14:paraId="03A51615" w14:textId="77777777" w:rsidR="0046798B" w:rsidRDefault="0046798B">
            <w:pPr>
              <w:pStyle w:val="TableParagraph"/>
            </w:pPr>
          </w:p>
          <w:p w14:paraId="6F4CD3BB" w14:textId="77777777" w:rsidR="0046798B" w:rsidRDefault="0046798B">
            <w:pPr>
              <w:pStyle w:val="TableParagraph"/>
            </w:pPr>
          </w:p>
          <w:p w14:paraId="71639E4C" w14:textId="77777777" w:rsidR="0046798B" w:rsidRDefault="0046798B">
            <w:pPr>
              <w:pStyle w:val="TableParagraph"/>
              <w:spacing w:before="3"/>
              <w:rPr>
                <w:sz w:val="17"/>
              </w:rPr>
            </w:pPr>
          </w:p>
          <w:p w14:paraId="15BCC312" w14:textId="77777777" w:rsidR="0046798B" w:rsidRDefault="00903B5C">
            <w:pPr>
              <w:pStyle w:val="TableParagraph"/>
              <w:spacing w:before="1"/>
              <w:ind w:left="114" w:right="202"/>
              <w:jc w:val="both"/>
              <w:rPr>
                <w:sz w:val="20"/>
              </w:rPr>
            </w:pPr>
            <w:r>
              <w:rPr>
                <w:sz w:val="20"/>
              </w:rPr>
              <w:t>State year with governors from different</w:t>
            </w:r>
            <w:r>
              <w:rPr>
                <w:spacing w:val="-3"/>
                <w:sz w:val="20"/>
              </w:rPr>
              <w:t xml:space="preserve"> parties</w:t>
            </w:r>
          </w:p>
        </w:tc>
        <w:tc>
          <w:tcPr>
            <w:tcW w:w="1280" w:type="dxa"/>
          </w:tcPr>
          <w:p w14:paraId="05944DF4" w14:textId="77777777" w:rsidR="0046798B" w:rsidRDefault="0046798B">
            <w:pPr>
              <w:pStyle w:val="TableParagraph"/>
            </w:pPr>
          </w:p>
          <w:p w14:paraId="257F36E6" w14:textId="77777777" w:rsidR="0046798B" w:rsidRDefault="0046798B">
            <w:pPr>
              <w:pStyle w:val="TableParagraph"/>
            </w:pPr>
          </w:p>
          <w:p w14:paraId="1C69E44F" w14:textId="77777777" w:rsidR="0046798B" w:rsidRDefault="0046798B">
            <w:pPr>
              <w:pStyle w:val="TableParagraph"/>
            </w:pPr>
          </w:p>
          <w:p w14:paraId="25685A81" w14:textId="77777777" w:rsidR="0046798B" w:rsidRDefault="0046798B">
            <w:pPr>
              <w:pStyle w:val="TableParagraph"/>
            </w:pPr>
          </w:p>
          <w:p w14:paraId="2F64DC5C" w14:textId="77777777" w:rsidR="0046798B" w:rsidRDefault="00903B5C">
            <w:pPr>
              <w:pStyle w:val="TableParagraph"/>
              <w:spacing w:before="177"/>
              <w:ind w:left="114"/>
              <w:rPr>
                <w:sz w:val="20"/>
              </w:rPr>
            </w:pPr>
            <w:r>
              <w:rPr>
                <w:sz w:val="20"/>
              </w:rPr>
              <w:t>1961–2010</w:t>
            </w:r>
          </w:p>
        </w:tc>
        <w:tc>
          <w:tcPr>
            <w:tcW w:w="3421" w:type="dxa"/>
          </w:tcPr>
          <w:p w14:paraId="4B667290" w14:textId="77777777" w:rsidR="0046798B" w:rsidRDefault="00903B5C">
            <w:pPr>
              <w:pStyle w:val="TableParagraph"/>
              <w:spacing w:before="43"/>
              <w:ind w:left="114" w:right="101"/>
              <w:rPr>
                <w:sz w:val="20"/>
              </w:rPr>
            </w:pPr>
            <w:r>
              <w:rPr>
                <w:sz w:val="20"/>
              </w:rPr>
              <w:t>Year had governors of two different parties in it. A year doesn’t include normal transitions (that obviously are rarely on January 1</w:t>
            </w:r>
            <w:r>
              <w:rPr>
                <w:sz w:val="13"/>
              </w:rPr>
              <w:t>st</w:t>
            </w:r>
            <w:r>
              <w:rPr>
                <w:sz w:val="20"/>
              </w:rPr>
              <w:t>), or abnormal transition that occur early in the year. If it happened late enough in the year (after a November election would have been), that’s not considered a mid-year change. Dummy variable: 1 = yes, blank = no. This variable appears to be incomplete.</w:t>
            </w:r>
          </w:p>
        </w:tc>
        <w:tc>
          <w:tcPr>
            <w:tcW w:w="6477" w:type="dxa"/>
          </w:tcPr>
          <w:p w14:paraId="3445E08B" w14:textId="77777777" w:rsidR="0046798B" w:rsidRDefault="0046798B">
            <w:pPr>
              <w:pStyle w:val="TableParagraph"/>
            </w:pPr>
          </w:p>
          <w:p w14:paraId="77C4135A" w14:textId="77777777" w:rsidR="0046798B" w:rsidRDefault="0046798B">
            <w:pPr>
              <w:pStyle w:val="TableParagraph"/>
            </w:pPr>
          </w:p>
          <w:p w14:paraId="38276240" w14:textId="77777777" w:rsidR="0046798B" w:rsidRDefault="0046798B">
            <w:pPr>
              <w:pStyle w:val="TableParagraph"/>
            </w:pPr>
          </w:p>
          <w:p w14:paraId="59F10325" w14:textId="77777777" w:rsidR="0046798B" w:rsidRDefault="0046798B">
            <w:pPr>
              <w:pStyle w:val="TableParagraph"/>
              <w:spacing w:before="4"/>
              <w:rPr>
                <w:sz w:val="27"/>
              </w:rPr>
            </w:pPr>
          </w:p>
          <w:p w14:paraId="0E1290BD" w14:textId="77777777" w:rsidR="0046798B" w:rsidRDefault="00903B5C">
            <w:pPr>
              <w:pStyle w:val="TableParagraph"/>
              <w:ind w:left="114" w:right="1261"/>
              <w:rPr>
                <w:sz w:val="20"/>
              </w:rPr>
            </w:pPr>
            <w:r>
              <w:rPr>
                <w:sz w:val="20"/>
              </w:rPr>
              <w:t xml:space="preserve">Klarner, Carl, 2013, “Governors Dataset”, </w:t>
            </w:r>
            <w:hyperlink r:id="rId453">
              <w:r>
                <w:rPr>
                  <w:color w:val="0462C1"/>
                  <w:sz w:val="20"/>
                  <w:u w:val="single" w:color="0462C1"/>
                </w:rPr>
                <w:t>https://doi.org/10.7910/DVN/PQ0Y1N</w:t>
              </w:r>
              <w:r>
                <w:rPr>
                  <w:sz w:val="20"/>
                </w:rPr>
                <w:t>,</w:t>
              </w:r>
            </w:hyperlink>
            <w:r>
              <w:rPr>
                <w:sz w:val="20"/>
              </w:rPr>
              <w:t xml:space="preserve"> Harvard Dataverse, V1</w:t>
            </w:r>
          </w:p>
        </w:tc>
      </w:tr>
      <w:tr w:rsidR="0046798B" w14:paraId="54D7A0A2" w14:textId="77777777">
        <w:trPr>
          <w:trHeight w:val="1005"/>
        </w:trPr>
        <w:tc>
          <w:tcPr>
            <w:tcW w:w="1711" w:type="dxa"/>
          </w:tcPr>
          <w:p w14:paraId="42E8358E" w14:textId="77777777" w:rsidR="0046798B" w:rsidRDefault="0046798B">
            <w:pPr>
              <w:pStyle w:val="TableParagraph"/>
              <w:spacing w:before="8"/>
              <w:rPr>
                <w:sz w:val="23"/>
              </w:rPr>
            </w:pPr>
          </w:p>
          <w:p w14:paraId="615B7083" w14:textId="77777777" w:rsidR="0046798B" w:rsidRDefault="00903B5C">
            <w:pPr>
              <w:pStyle w:val="TableParagraph"/>
              <w:spacing w:before="1"/>
              <w:ind w:left="115" w:right="99"/>
              <w:rPr>
                <w:b/>
                <w:sz w:val="20"/>
              </w:rPr>
            </w:pPr>
            <w:r>
              <w:rPr>
                <w:b/>
                <w:sz w:val="20"/>
              </w:rPr>
              <w:t>party_midyear_c hange_direction</w:t>
            </w:r>
          </w:p>
        </w:tc>
        <w:tc>
          <w:tcPr>
            <w:tcW w:w="1596" w:type="dxa"/>
          </w:tcPr>
          <w:p w14:paraId="0BF828F6" w14:textId="77777777" w:rsidR="0046798B" w:rsidRDefault="00903B5C">
            <w:pPr>
              <w:pStyle w:val="TableParagraph"/>
              <w:spacing w:before="158"/>
              <w:ind w:left="114" w:right="269"/>
              <w:rPr>
                <w:sz w:val="20"/>
              </w:rPr>
            </w:pPr>
            <w:r>
              <w:rPr>
                <w:sz w:val="20"/>
              </w:rPr>
              <w:t>Direction of governor party change</w:t>
            </w:r>
          </w:p>
        </w:tc>
        <w:tc>
          <w:tcPr>
            <w:tcW w:w="1280" w:type="dxa"/>
          </w:tcPr>
          <w:p w14:paraId="4A4810E6" w14:textId="77777777" w:rsidR="0046798B" w:rsidRDefault="0046798B">
            <w:pPr>
              <w:pStyle w:val="TableParagraph"/>
            </w:pPr>
          </w:p>
          <w:p w14:paraId="49BD35D9" w14:textId="77777777" w:rsidR="0046798B" w:rsidRDefault="00903B5C">
            <w:pPr>
              <w:pStyle w:val="TableParagraph"/>
              <w:spacing w:before="135"/>
              <w:ind w:left="114"/>
              <w:rPr>
                <w:sz w:val="20"/>
              </w:rPr>
            </w:pPr>
            <w:r>
              <w:rPr>
                <w:sz w:val="20"/>
              </w:rPr>
              <w:t>1961–2010</w:t>
            </w:r>
          </w:p>
        </w:tc>
        <w:tc>
          <w:tcPr>
            <w:tcW w:w="3421" w:type="dxa"/>
          </w:tcPr>
          <w:p w14:paraId="7AC7AE0E" w14:textId="77777777" w:rsidR="0046798B" w:rsidRDefault="00903B5C">
            <w:pPr>
              <w:pStyle w:val="TableParagraph"/>
              <w:spacing w:before="43"/>
              <w:ind w:left="114" w:right="331"/>
              <w:rPr>
                <w:sz w:val="20"/>
              </w:rPr>
            </w:pPr>
            <w:r>
              <w:rPr>
                <w:sz w:val="20"/>
              </w:rPr>
              <w:t>-1 = change was from Democrat to Republican. 1 = change was from Republican to Democrat. Blank = no change.</w:t>
            </w:r>
          </w:p>
        </w:tc>
        <w:tc>
          <w:tcPr>
            <w:tcW w:w="6477" w:type="dxa"/>
          </w:tcPr>
          <w:p w14:paraId="596D4253" w14:textId="77777777" w:rsidR="0046798B" w:rsidRDefault="0046798B">
            <w:pPr>
              <w:pStyle w:val="TableParagraph"/>
              <w:spacing w:before="8"/>
              <w:rPr>
                <w:sz w:val="23"/>
              </w:rPr>
            </w:pPr>
          </w:p>
          <w:p w14:paraId="4F965214" w14:textId="77777777" w:rsidR="0046798B" w:rsidRDefault="00903B5C">
            <w:pPr>
              <w:pStyle w:val="TableParagraph"/>
              <w:spacing w:before="1"/>
              <w:ind w:left="114" w:right="1261"/>
              <w:rPr>
                <w:sz w:val="20"/>
              </w:rPr>
            </w:pPr>
            <w:r>
              <w:rPr>
                <w:sz w:val="20"/>
              </w:rPr>
              <w:t xml:space="preserve">Klarner, Carl, 2013, “Governors Dataset”, </w:t>
            </w:r>
            <w:hyperlink r:id="rId454">
              <w:r>
                <w:rPr>
                  <w:color w:val="0462C1"/>
                  <w:sz w:val="20"/>
                  <w:u w:val="single" w:color="0462C1"/>
                </w:rPr>
                <w:t>https://doi.org/10.7910/DVN/PQ0Y1N</w:t>
              </w:r>
              <w:r>
                <w:rPr>
                  <w:sz w:val="20"/>
                </w:rPr>
                <w:t>,</w:t>
              </w:r>
            </w:hyperlink>
            <w:r>
              <w:rPr>
                <w:sz w:val="20"/>
              </w:rPr>
              <w:t xml:space="preserve"> Harvard Dataverse, V1</w:t>
            </w:r>
          </w:p>
        </w:tc>
      </w:tr>
    </w:tbl>
    <w:p w14:paraId="6F3A38BF" w14:textId="77777777" w:rsidR="0046798B" w:rsidRDefault="0046798B">
      <w:pPr>
        <w:rPr>
          <w:sz w:val="20"/>
        </w:rPr>
        <w:sectPr w:rsidR="0046798B">
          <w:pgSz w:w="15840" w:h="12240" w:orient="landscape"/>
          <w:pgMar w:top="1220" w:right="300" w:bottom="980" w:left="820" w:header="730" w:footer="787" w:gutter="0"/>
          <w:cols w:space="720"/>
        </w:sectPr>
      </w:pPr>
    </w:p>
    <w:p w14:paraId="279FE5AF"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0"/>
        <w:gridCol w:w="3421"/>
        <w:gridCol w:w="6477"/>
      </w:tblGrid>
      <w:tr w:rsidR="0046798B" w14:paraId="1245234E" w14:textId="77777777">
        <w:trPr>
          <w:trHeight w:val="3306"/>
        </w:trPr>
        <w:tc>
          <w:tcPr>
            <w:tcW w:w="1711" w:type="dxa"/>
          </w:tcPr>
          <w:p w14:paraId="3C3B2C70" w14:textId="77777777" w:rsidR="0046798B" w:rsidRDefault="0046798B">
            <w:pPr>
              <w:pStyle w:val="TableParagraph"/>
            </w:pPr>
          </w:p>
          <w:p w14:paraId="45249190" w14:textId="77777777" w:rsidR="0046798B" w:rsidRDefault="0046798B">
            <w:pPr>
              <w:pStyle w:val="TableParagraph"/>
            </w:pPr>
          </w:p>
          <w:p w14:paraId="26F12917" w14:textId="77777777" w:rsidR="0046798B" w:rsidRDefault="0046798B">
            <w:pPr>
              <w:pStyle w:val="TableParagraph"/>
            </w:pPr>
          </w:p>
          <w:p w14:paraId="0CC220CA" w14:textId="77777777" w:rsidR="0046798B" w:rsidRDefault="0046798B">
            <w:pPr>
              <w:pStyle w:val="TableParagraph"/>
            </w:pPr>
          </w:p>
          <w:p w14:paraId="0E709929" w14:textId="77777777" w:rsidR="0046798B" w:rsidRDefault="0046798B">
            <w:pPr>
              <w:pStyle w:val="TableParagraph"/>
            </w:pPr>
          </w:p>
          <w:p w14:paraId="10B08114" w14:textId="77777777" w:rsidR="0046798B" w:rsidRDefault="0046798B">
            <w:pPr>
              <w:pStyle w:val="TableParagraph"/>
              <w:spacing w:before="9"/>
              <w:rPr>
                <w:sz w:val="23"/>
              </w:rPr>
            </w:pPr>
          </w:p>
          <w:p w14:paraId="5E54A52B" w14:textId="77777777" w:rsidR="0046798B" w:rsidRDefault="00903B5C">
            <w:pPr>
              <w:pStyle w:val="TableParagraph"/>
              <w:spacing w:before="1"/>
              <w:ind w:left="115"/>
              <w:rPr>
                <w:b/>
                <w:sz w:val="20"/>
              </w:rPr>
            </w:pPr>
            <w:r>
              <w:rPr>
                <w:b/>
                <w:sz w:val="20"/>
              </w:rPr>
              <w:t>govparty_a</w:t>
            </w:r>
          </w:p>
        </w:tc>
        <w:tc>
          <w:tcPr>
            <w:tcW w:w="1596" w:type="dxa"/>
          </w:tcPr>
          <w:p w14:paraId="705158B5" w14:textId="77777777" w:rsidR="0046798B" w:rsidRDefault="0046798B">
            <w:pPr>
              <w:pStyle w:val="TableParagraph"/>
            </w:pPr>
          </w:p>
          <w:p w14:paraId="7BC4FBC8" w14:textId="77777777" w:rsidR="0046798B" w:rsidRDefault="0046798B">
            <w:pPr>
              <w:pStyle w:val="TableParagraph"/>
            </w:pPr>
          </w:p>
          <w:p w14:paraId="4EFC1460" w14:textId="77777777" w:rsidR="0046798B" w:rsidRDefault="0046798B">
            <w:pPr>
              <w:pStyle w:val="TableParagraph"/>
            </w:pPr>
          </w:p>
          <w:p w14:paraId="37A6964B" w14:textId="77777777" w:rsidR="0046798B" w:rsidRDefault="0046798B">
            <w:pPr>
              <w:pStyle w:val="TableParagraph"/>
            </w:pPr>
          </w:p>
          <w:p w14:paraId="0CE098E9" w14:textId="77777777" w:rsidR="0046798B" w:rsidRDefault="0046798B">
            <w:pPr>
              <w:pStyle w:val="TableParagraph"/>
            </w:pPr>
          </w:p>
          <w:p w14:paraId="1F56D812" w14:textId="77777777" w:rsidR="0046798B" w:rsidRDefault="00903B5C">
            <w:pPr>
              <w:pStyle w:val="TableParagraph"/>
              <w:spacing w:before="159"/>
              <w:ind w:left="114" w:right="730"/>
              <w:rPr>
                <w:sz w:val="20"/>
              </w:rPr>
            </w:pPr>
            <w:r>
              <w:rPr>
                <w:sz w:val="20"/>
              </w:rPr>
              <w:t>Party of governor</w:t>
            </w:r>
          </w:p>
        </w:tc>
        <w:tc>
          <w:tcPr>
            <w:tcW w:w="1280" w:type="dxa"/>
          </w:tcPr>
          <w:p w14:paraId="61ABF192" w14:textId="77777777" w:rsidR="0046798B" w:rsidRDefault="0046798B">
            <w:pPr>
              <w:pStyle w:val="TableParagraph"/>
            </w:pPr>
          </w:p>
          <w:p w14:paraId="1C5F4F60" w14:textId="77777777" w:rsidR="0046798B" w:rsidRDefault="0046798B">
            <w:pPr>
              <w:pStyle w:val="TableParagraph"/>
            </w:pPr>
          </w:p>
          <w:p w14:paraId="0F74C77B" w14:textId="77777777" w:rsidR="0046798B" w:rsidRDefault="0046798B">
            <w:pPr>
              <w:pStyle w:val="TableParagraph"/>
            </w:pPr>
          </w:p>
          <w:p w14:paraId="0E15769B" w14:textId="77777777" w:rsidR="0046798B" w:rsidRDefault="0046798B">
            <w:pPr>
              <w:pStyle w:val="TableParagraph"/>
            </w:pPr>
          </w:p>
          <w:p w14:paraId="6873BF45" w14:textId="77777777" w:rsidR="0046798B" w:rsidRDefault="0046798B">
            <w:pPr>
              <w:pStyle w:val="TableParagraph"/>
            </w:pPr>
          </w:p>
          <w:p w14:paraId="3B7DA54A" w14:textId="77777777" w:rsidR="0046798B" w:rsidRDefault="0046798B">
            <w:pPr>
              <w:pStyle w:val="TableParagraph"/>
              <w:spacing w:before="9"/>
              <w:rPr>
                <w:sz w:val="23"/>
              </w:rPr>
            </w:pPr>
          </w:p>
          <w:p w14:paraId="5E3ADEF3" w14:textId="77777777" w:rsidR="0046798B" w:rsidRDefault="00903B5C">
            <w:pPr>
              <w:pStyle w:val="TableParagraph"/>
              <w:spacing w:before="1"/>
              <w:ind w:left="114"/>
              <w:rPr>
                <w:sz w:val="20"/>
              </w:rPr>
            </w:pPr>
            <w:r>
              <w:rPr>
                <w:sz w:val="20"/>
              </w:rPr>
              <w:t>1937–2011</w:t>
            </w:r>
          </w:p>
        </w:tc>
        <w:tc>
          <w:tcPr>
            <w:tcW w:w="3421" w:type="dxa"/>
          </w:tcPr>
          <w:p w14:paraId="1387ECAB" w14:textId="77777777" w:rsidR="0046798B" w:rsidRDefault="0046798B">
            <w:pPr>
              <w:pStyle w:val="TableParagraph"/>
            </w:pPr>
          </w:p>
          <w:p w14:paraId="608F0E2C" w14:textId="77777777" w:rsidR="0046798B" w:rsidRDefault="0046798B">
            <w:pPr>
              <w:pStyle w:val="TableParagraph"/>
            </w:pPr>
          </w:p>
          <w:p w14:paraId="6B1F94B5" w14:textId="77777777" w:rsidR="0046798B" w:rsidRDefault="0046798B">
            <w:pPr>
              <w:pStyle w:val="TableParagraph"/>
              <w:spacing w:before="9"/>
              <w:rPr>
                <w:sz w:val="29"/>
              </w:rPr>
            </w:pPr>
          </w:p>
          <w:p w14:paraId="3598E515" w14:textId="77777777" w:rsidR="0046798B" w:rsidRDefault="00903B5C">
            <w:pPr>
              <w:pStyle w:val="TableParagraph"/>
              <w:ind w:left="114" w:right="192"/>
              <w:rPr>
                <w:sz w:val="20"/>
              </w:rPr>
            </w:pPr>
            <w:r>
              <w:rPr>
                <w:sz w:val="20"/>
              </w:rPr>
              <w:t>Party of the governor; 0 = Republican, 1 = Democrat, .5 = non-major party governor. When the party of the governor changes mid-year (eight cases), the fraction of the year with a Democratic governor is put in as a value.</w:t>
            </w:r>
          </w:p>
        </w:tc>
        <w:tc>
          <w:tcPr>
            <w:tcW w:w="6477" w:type="dxa"/>
          </w:tcPr>
          <w:p w14:paraId="45991DE3" w14:textId="77777777" w:rsidR="0046798B" w:rsidRDefault="00903B5C">
            <w:pPr>
              <w:pStyle w:val="TableParagraph"/>
              <w:spacing w:before="43"/>
              <w:ind w:left="114" w:right="1261"/>
              <w:rPr>
                <w:sz w:val="20"/>
              </w:rPr>
            </w:pPr>
            <w:r>
              <w:rPr>
                <w:sz w:val="20"/>
              </w:rPr>
              <w:t xml:space="preserve">Klarner, Carl, 2013, “Governors Dataset”, </w:t>
            </w:r>
            <w:hyperlink r:id="rId455">
              <w:r>
                <w:rPr>
                  <w:color w:val="0462C1"/>
                  <w:sz w:val="20"/>
                  <w:u w:val="single" w:color="0462C1"/>
                </w:rPr>
                <w:t>https://doi.org/10.7910/DVN/PQ0Y1N</w:t>
              </w:r>
              <w:r>
                <w:rPr>
                  <w:sz w:val="20"/>
                </w:rPr>
                <w:t>,</w:t>
              </w:r>
            </w:hyperlink>
            <w:r>
              <w:rPr>
                <w:sz w:val="20"/>
              </w:rPr>
              <w:t xml:space="preserve"> Harvard Dataverse, V1</w:t>
            </w:r>
          </w:p>
          <w:p w14:paraId="1E1C5D57" w14:textId="77777777" w:rsidR="0046798B" w:rsidRDefault="0046798B">
            <w:pPr>
              <w:pStyle w:val="TableParagraph"/>
              <w:rPr>
                <w:sz w:val="20"/>
              </w:rPr>
            </w:pPr>
          </w:p>
          <w:p w14:paraId="41359E35" w14:textId="77777777" w:rsidR="0046798B" w:rsidRDefault="00903B5C">
            <w:pPr>
              <w:pStyle w:val="TableParagraph"/>
              <w:ind w:left="114" w:right="106"/>
              <w:rPr>
                <w:sz w:val="20"/>
              </w:rPr>
            </w:pPr>
            <w:r>
              <w:rPr>
                <w:sz w:val="20"/>
              </w:rPr>
              <w:t>Notes: This is govparty from StateElections_PartisanBalance1937to2011_2011_03_22.xls. However, years are put in “government style.” For example, if a Democrat replaces a Republican in the 1988 election, “R” goes into 1988, and “D” goes into 1989.</w:t>
            </w:r>
          </w:p>
          <w:p w14:paraId="41033BA8" w14:textId="77777777" w:rsidR="0046798B" w:rsidRDefault="0046798B">
            <w:pPr>
              <w:pStyle w:val="TableParagraph"/>
              <w:spacing w:before="1"/>
              <w:rPr>
                <w:sz w:val="20"/>
              </w:rPr>
            </w:pPr>
          </w:p>
          <w:p w14:paraId="34148528" w14:textId="77777777" w:rsidR="0046798B" w:rsidRDefault="00903B5C">
            <w:pPr>
              <w:pStyle w:val="TableParagraph"/>
              <w:ind w:left="114" w:right="120"/>
              <w:rPr>
                <w:sz w:val="20"/>
              </w:rPr>
            </w:pPr>
            <w:r>
              <w:rPr>
                <w:sz w:val="20"/>
              </w:rPr>
              <w:t>Source 1937 to 1958; Congressional Quarterly. 1998. Gubernatorial Elections, 1787-1997. Washington, DC: Congressional Quarterly, Inc.</w:t>
            </w:r>
            <w:r>
              <w:rPr>
                <w:spacing w:val="-16"/>
                <w:sz w:val="20"/>
              </w:rPr>
              <w:t xml:space="preserve"> </w:t>
            </w:r>
            <w:r>
              <w:rPr>
                <w:sz w:val="20"/>
              </w:rPr>
              <w:t xml:space="preserve">Source 1959 to 2009: Klarner, state partisan balance, for_use file. Source 2010: Directory I, 2009. Source 2011: </w:t>
            </w:r>
            <w:hyperlink r:id="rId456">
              <w:r>
                <w:rPr>
                  <w:sz w:val="20"/>
                  <w:u w:val="single"/>
                </w:rPr>
                <w:t>http://www.ballotpedia.org/wiki/index.php/2010_gubernatorial_electoral_res</w:t>
              </w:r>
            </w:hyperlink>
            <w:r>
              <w:rPr>
                <w:sz w:val="20"/>
              </w:rPr>
              <w:t xml:space="preserve"> </w:t>
            </w:r>
            <w:hyperlink r:id="rId457">
              <w:r>
                <w:rPr>
                  <w:sz w:val="20"/>
                  <w:u w:val="single"/>
                </w:rPr>
                <w:t>ults</w:t>
              </w:r>
            </w:hyperlink>
          </w:p>
        </w:tc>
      </w:tr>
      <w:tr w:rsidR="0046798B" w14:paraId="5B0A0E9B" w14:textId="77777777">
        <w:trPr>
          <w:trHeight w:val="775"/>
        </w:trPr>
        <w:tc>
          <w:tcPr>
            <w:tcW w:w="1711" w:type="dxa"/>
          </w:tcPr>
          <w:p w14:paraId="01681DAA" w14:textId="77777777" w:rsidR="0046798B" w:rsidRDefault="00903B5C">
            <w:pPr>
              <w:pStyle w:val="TableParagraph"/>
              <w:spacing w:before="158"/>
              <w:ind w:left="115"/>
              <w:rPr>
                <w:b/>
                <w:sz w:val="20"/>
              </w:rPr>
            </w:pPr>
            <w:r>
              <w:rPr>
                <w:b/>
                <w:sz w:val="20"/>
              </w:rPr>
              <w:t>party_midbienni um_change</w:t>
            </w:r>
          </w:p>
        </w:tc>
        <w:tc>
          <w:tcPr>
            <w:tcW w:w="1596" w:type="dxa"/>
          </w:tcPr>
          <w:p w14:paraId="1246AA53" w14:textId="77777777" w:rsidR="0046798B" w:rsidRDefault="00903B5C">
            <w:pPr>
              <w:pStyle w:val="TableParagraph"/>
              <w:spacing w:before="43"/>
              <w:ind w:left="114" w:right="257"/>
              <w:rPr>
                <w:sz w:val="20"/>
              </w:rPr>
            </w:pPr>
            <w:r>
              <w:rPr>
                <w:sz w:val="20"/>
              </w:rPr>
              <w:t>Biennium with two different parties dummy</w:t>
            </w:r>
          </w:p>
        </w:tc>
        <w:tc>
          <w:tcPr>
            <w:tcW w:w="1280" w:type="dxa"/>
          </w:tcPr>
          <w:p w14:paraId="3C00E209" w14:textId="77777777" w:rsidR="0046798B" w:rsidRDefault="0046798B">
            <w:pPr>
              <w:pStyle w:val="TableParagraph"/>
              <w:spacing w:before="8"/>
              <w:rPr>
                <w:sz w:val="23"/>
              </w:rPr>
            </w:pPr>
          </w:p>
          <w:p w14:paraId="08EC34DF" w14:textId="77777777" w:rsidR="0046798B" w:rsidRDefault="00903B5C">
            <w:pPr>
              <w:pStyle w:val="TableParagraph"/>
              <w:spacing w:before="1"/>
              <w:ind w:left="114"/>
              <w:rPr>
                <w:sz w:val="20"/>
              </w:rPr>
            </w:pPr>
            <w:r>
              <w:rPr>
                <w:sz w:val="20"/>
              </w:rPr>
              <w:t>1925–2011</w:t>
            </w:r>
          </w:p>
        </w:tc>
        <w:tc>
          <w:tcPr>
            <w:tcW w:w="3421" w:type="dxa"/>
          </w:tcPr>
          <w:p w14:paraId="68B516A4" w14:textId="77777777" w:rsidR="0046798B" w:rsidRDefault="00903B5C">
            <w:pPr>
              <w:pStyle w:val="TableParagraph"/>
              <w:spacing w:before="43"/>
              <w:ind w:left="114" w:right="104"/>
              <w:rPr>
                <w:sz w:val="20"/>
              </w:rPr>
            </w:pPr>
            <w:r>
              <w:rPr>
                <w:sz w:val="20"/>
              </w:rPr>
              <w:t>Biennium had governors of two different parties in it. Dummy variable: 1 = yes, blank = no.</w:t>
            </w:r>
          </w:p>
        </w:tc>
        <w:tc>
          <w:tcPr>
            <w:tcW w:w="6477" w:type="dxa"/>
          </w:tcPr>
          <w:p w14:paraId="0632844C" w14:textId="77777777" w:rsidR="0046798B" w:rsidRDefault="00903B5C">
            <w:pPr>
              <w:pStyle w:val="TableParagraph"/>
              <w:spacing w:before="158"/>
              <w:ind w:left="114" w:right="1261"/>
              <w:rPr>
                <w:sz w:val="20"/>
              </w:rPr>
            </w:pPr>
            <w:r>
              <w:rPr>
                <w:sz w:val="20"/>
              </w:rPr>
              <w:t xml:space="preserve">Klarner, Carl, 2013, “Governors Dataset”, </w:t>
            </w:r>
            <w:hyperlink r:id="rId458">
              <w:r>
                <w:rPr>
                  <w:color w:val="0462C1"/>
                  <w:sz w:val="20"/>
                  <w:u w:val="single" w:color="0462C1"/>
                </w:rPr>
                <w:t>https://doi.org/10.7910/DVN/PQ0Y1N</w:t>
              </w:r>
              <w:r>
                <w:rPr>
                  <w:sz w:val="20"/>
                </w:rPr>
                <w:t>,</w:t>
              </w:r>
            </w:hyperlink>
            <w:r>
              <w:rPr>
                <w:sz w:val="20"/>
              </w:rPr>
              <w:t xml:space="preserve"> Harvard Dataverse, V1</w:t>
            </w:r>
          </w:p>
        </w:tc>
      </w:tr>
      <w:tr w:rsidR="0046798B" w14:paraId="45532A57" w14:textId="77777777">
        <w:trPr>
          <w:trHeight w:val="2155"/>
        </w:trPr>
        <w:tc>
          <w:tcPr>
            <w:tcW w:w="1711" w:type="dxa"/>
          </w:tcPr>
          <w:p w14:paraId="2BDF3696" w14:textId="77777777" w:rsidR="0046798B" w:rsidRDefault="0046798B">
            <w:pPr>
              <w:pStyle w:val="TableParagraph"/>
            </w:pPr>
          </w:p>
          <w:p w14:paraId="2D3DF003" w14:textId="77777777" w:rsidR="0046798B" w:rsidRDefault="0046798B">
            <w:pPr>
              <w:pStyle w:val="TableParagraph"/>
            </w:pPr>
          </w:p>
          <w:p w14:paraId="3C2D5C8F" w14:textId="77777777" w:rsidR="0046798B" w:rsidRDefault="0046798B">
            <w:pPr>
              <w:pStyle w:val="TableParagraph"/>
              <w:spacing w:before="8"/>
              <w:rPr>
                <w:sz w:val="19"/>
              </w:rPr>
            </w:pPr>
          </w:p>
          <w:p w14:paraId="3344C001" w14:textId="77777777" w:rsidR="0046798B" w:rsidRDefault="00903B5C">
            <w:pPr>
              <w:pStyle w:val="TableParagraph"/>
              <w:spacing w:before="1"/>
              <w:ind w:left="115" w:right="154"/>
              <w:jc w:val="both"/>
              <w:rPr>
                <w:b/>
                <w:sz w:val="20"/>
              </w:rPr>
            </w:pPr>
            <w:r>
              <w:rPr>
                <w:b/>
                <w:spacing w:val="-1"/>
                <w:sz w:val="20"/>
              </w:rPr>
              <w:t xml:space="preserve">party_midbienni </w:t>
            </w:r>
            <w:r>
              <w:rPr>
                <w:b/>
                <w:sz w:val="20"/>
              </w:rPr>
              <w:t>um_change_dire ction</w:t>
            </w:r>
          </w:p>
        </w:tc>
        <w:tc>
          <w:tcPr>
            <w:tcW w:w="1596" w:type="dxa"/>
          </w:tcPr>
          <w:p w14:paraId="6F86A8F9" w14:textId="77777777" w:rsidR="0046798B" w:rsidRDefault="0046798B">
            <w:pPr>
              <w:pStyle w:val="TableParagraph"/>
            </w:pPr>
          </w:p>
          <w:p w14:paraId="1C0D44A8" w14:textId="77777777" w:rsidR="0046798B" w:rsidRDefault="0046798B">
            <w:pPr>
              <w:pStyle w:val="TableParagraph"/>
            </w:pPr>
          </w:p>
          <w:p w14:paraId="440F9F99" w14:textId="77777777" w:rsidR="0046798B" w:rsidRDefault="0046798B">
            <w:pPr>
              <w:pStyle w:val="TableParagraph"/>
              <w:spacing w:before="8"/>
              <w:rPr>
                <w:sz w:val="19"/>
              </w:rPr>
            </w:pPr>
          </w:p>
          <w:p w14:paraId="266A7DC3" w14:textId="77777777" w:rsidR="0046798B" w:rsidRDefault="00903B5C">
            <w:pPr>
              <w:pStyle w:val="TableParagraph"/>
              <w:spacing w:before="1"/>
              <w:ind w:left="114" w:right="208"/>
              <w:rPr>
                <w:sz w:val="20"/>
              </w:rPr>
            </w:pPr>
            <w:r>
              <w:rPr>
                <w:sz w:val="20"/>
              </w:rPr>
              <w:t>Direction of change of party in biennium</w:t>
            </w:r>
          </w:p>
        </w:tc>
        <w:tc>
          <w:tcPr>
            <w:tcW w:w="1280" w:type="dxa"/>
          </w:tcPr>
          <w:p w14:paraId="5E6758C3" w14:textId="77777777" w:rsidR="0046798B" w:rsidRDefault="0046798B">
            <w:pPr>
              <w:pStyle w:val="TableParagraph"/>
            </w:pPr>
          </w:p>
          <w:p w14:paraId="3DC51026" w14:textId="77777777" w:rsidR="0046798B" w:rsidRDefault="0046798B">
            <w:pPr>
              <w:pStyle w:val="TableParagraph"/>
            </w:pPr>
          </w:p>
          <w:p w14:paraId="4C095D71" w14:textId="77777777" w:rsidR="0046798B" w:rsidRDefault="0046798B">
            <w:pPr>
              <w:pStyle w:val="TableParagraph"/>
            </w:pPr>
          </w:p>
          <w:p w14:paraId="1E529783" w14:textId="77777777" w:rsidR="0046798B" w:rsidRDefault="0046798B">
            <w:pPr>
              <w:pStyle w:val="TableParagraph"/>
              <w:spacing w:before="8"/>
              <w:rPr>
                <w:sz w:val="17"/>
              </w:rPr>
            </w:pPr>
          </w:p>
          <w:p w14:paraId="618B3FCC" w14:textId="77777777" w:rsidR="0046798B" w:rsidRDefault="00903B5C">
            <w:pPr>
              <w:pStyle w:val="TableParagraph"/>
              <w:spacing w:before="1"/>
              <w:ind w:left="114"/>
              <w:rPr>
                <w:sz w:val="20"/>
              </w:rPr>
            </w:pPr>
            <w:r>
              <w:rPr>
                <w:sz w:val="20"/>
              </w:rPr>
              <w:t>1925–2011</w:t>
            </w:r>
          </w:p>
        </w:tc>
        <w:tc>
          <w:tcPr>
            <w:tcW w:w="3421" w:type="dxa"/>
          </w:tcPr>
          <w:p w14:paraId="361B72B1" w14:textId="77777777" w:rsidR="0046798B" w:rsidRDefault="00903B5C">
            <w:pPr>
              <w:pStyle w:val="TableParagraph"/>
              <w:spacing w:before="43"/>
              <w:ind w:left="114" w:right="135"/>
              <w:rPr>
                <w:sz w:val="20"/>
              </w:rPr>
            </w:pPr>
            <w:r>
              <w:rPr>
                <w:sz w:val="20"/>
              </w:rPr>
              <w:t xml:space="preserve">-1 = change was from Democrat to Republican. 1 = change was from Republican to Democrat. Blank = no change. This is put into the year of the biennium that saw the change if this is a mid-year change also. This is put </w:t>
            </w:r>
            <w:r>
              <w:rPr>
                <w:spacing w:val="-5"/>
                <w:sz w:val="20"/>
              </w:rPr>
              <w:t xml:space="preserve">into </w:t>
            </w:r>
            <w:r>
              <w:rPr>
                <w:sz w:val="20"/>
              </w:rPr>
              <w:t xml:space="preserve">both years of the biennium if the change took place from the first year </w:t>
            </w:r>
            <w:r>
              <w:rPr>
                <w:spacing w:val="-7"/>
                <w:sz w:val="20"/>
              </w:rPr>
              <w:t xml:space="preserve">of </w:t>
            </w:r>
            <w:r>
              <w:rPr>
                <w:sz w:val="20"/>
              </w:rPr>
              <w:t>the biennium to the</w:t>
            </w:r>
            <w:r>
              <w:rPr>
                <w:spacing w:val="1"/>
                <w:sz w:val="20"/>
              </w:rPr>
              <w:t xml:space="preserve"> </w:t>
            </w:r>
            <w:r>
              <w:rPr>
                <w:sz w:val="20"/>
              </w:rPr>
              <w:t>second.</w:t>
            </w:r>
          </w:p>
        </w:tc>
        <w:tc>
          <w:tcPr>
            <w:tcW w:w="6477" w:type="dxa"/>
          </w:tcPr>
          <w:p w14:paraId="560BB442" w14:textId="77777777" w:rsidR="0046798B" w:rsidRDefault="0046798B">
            <w:pPr>
              <w:pStyle w:val="TableParagraph"/>
            </w:pPr>
          </w:p>
          <w:p w14:paraId="1A0F3E84" w14:textId="77777777" w:rsidR="0046798B" w:rsidRDefault="0046798B">
            <w:pPr>
              <w:pStyle w:val="TableParagraph"/>
            </w:pPr>
          </w:p>
          <w:p w14:paraId="55DE0F11" w14:textId="77777777" w:rsidR="0046798B" w:rsidRDefault="0046798B">
            <w:pPr>
              <w:pStyle w:val="TableParagraph"/>
              <w:spacing w:before="8"/>
              <w:rPr>
                <w:sz w:val="29"/>
              </w:rPr>
            </w:pPr>
          </w:p>
          <w:p w14:paraId="42F4D318" w14:textId="77777777" w:rsidR="0046798B" w:rsidRDefault="00903B5C">
            <w:pPr>
              <w:pStyle w:val="TableParagraph"/>
              <w:spacing w:before="1"/>
              <w:ind w:left="114" w:right="1261"/>
              <w:rPr>
                <w:sz w:val="20"/>
              </w:rPr>
            </w:pPr>
            <w:r>
              <w:rPr>
                <w:sz w:val="20"/>
              </w:rPr>
              <w:t xml:space="preserve">Klarner, Carl, 2013, “Governors Dataset”, </w:t>
            </w:r>
            <w:hyperlink r:id="rId459">
              <w:r>
                <w:rPr>
                  <w:color w:val="0462C1"/>
                  <w:sz w:val="20"/>
                  <w:u w:val="single" w:color="0462C1"/>
                </w:rPr>
                <w:t>https://doi.org/10.7910/DVN/PQ0Y1N</w:t>
              </w:r>
              <w:r>
                <w:rPr>
                  <w:sz w:val="20"/>
                </w:rPr>
                <w:t>,</w:t>
              </w:r>
            </w:hyperlink>
            <w:r>
              <w:rPr>
                <w:sz w:val="20"/>
              </w:rPr>
              <w:t xml:space="preserve"> Harvard Dataverse, V1</w:t>
            </w:r>
          </w:p>
        </w:tc>
      </w:tr>
      <w:tr w:rsidR="0046798B" w14:paraId="7F175915" w14:textId="77777777">
        <w:trPr>
          <w:trHeight w:val="1240"/>
        </w:trPr>
        <w:tc>
          <w:tcPr>
            <w:tcW w:w="1711" w:type="dxa"/>
          </w:tcPr>
          <w:p w14:paraId="228C37A7" w14:textId="77777777" w:rsidR="0046798B" w:rsidRDefault="0046798B">
            <w:pPr>
              <w:pStyle w:val="TableParagraph"/>
            </w:pPr>
          </w:p>
          <w:p w14:paraId="783FD8A8" w14:textId="77777777" w:rsidR="0046798B" w:rsidRDefault="0046798B">
            <w:pPr>
              <w:pStyle w:val="TableParagraph"/>
              <w:spacing w:before="9"/>
              <w:rPr>
                <w:sz w:val="21"/>
              </w:rPr>
            </w:pPr>
          </w:p>
          <w:p w14:paraId="4467A0D0" w14:textId="77777777" w:rsidR="0046798B" w:rsidRDefault="00903B5C">
            <w:pPr>
              <w:pStyle w:val="TableParagraph"/>
              <w:ind w:left="115"/>
              <w:rPr>
                <w:b/>
                <w:sz w:val="20"/>
              </w:rPr>
            </w:pPr>
            <w:r>
              <w:rPr>
                <w:b/>
                <w:sz w:val="20"/>
              </w:rPr>
              <w:t>govparty_b</w:t>
            </w:r>
          </w:p>
        </w:tc>
        <w:tc>
          <w:tcPr>
            <w:tcW w:w="1596" w:type="dxa"/>
          </w:tcPr>
          <w:p w14:paraId="56912819" w14:textId="77777777" w:rsidR="0046798B" w:rsidRDefault="00903B5C">
            <w:pPr>
              <w:pStyle w:val="TableParagraph"/>
              <w:spacing w:before="158"/>
              <w:ind w:left="114" w:right="130"/>
              <w:rPr>
                <w:sz w:val="20"/>
              </w:rPr>
            </w:pPr>
            <w:r>
              <w:rPr>
                <w:sz w:val="20"/>
              </w:rPr>
              <w:t>Party of governor for governor if mid- year switch</w:t>
            </w:r>
          </w:p>
        </w:tc>
        <w:tc>
          <w:tcPr>
            <w:tcW w:w="1280" w:type="dxa"/>
          </w:tcPr>
          <w:p w14:paraId="19BC2D70" w14:textId="77777777" w:rsidR="0046798B" w:rsidRDefault="0046798B">
            <w:pPr>
              <w:pStyle w:val="TableParagraph"/>
            </w:pPr>
          </w:p>
          <w:p w14:paraId="6327D9CF" w14:textId="77777777" w:rsidR="0046798B" w:rsidRDefault="0046798B">
            <w:pPr>
              <w:pStyle w:val="TableParagraph"/>
              <w:spacing w:before="9"/>
              <w:rPr>
                <w:sz w:val="21"/>
              </w:rPr>
            </w:pPr>
          </w:p>
          <w:p w14:paraId="0ADBB5EA" w14:textId="77777777" w:rsidR="0046798B" w:rsidRDefault="00903B5C">
            <w:pPr>
              <w:pStyle w:val="TableParagraph"/>
              <w:ind w:left="114"/>
              <w:rPr>
                <w:sz w:val="20"/>
              </w:rPr>
            </w:pPr>
            <w:r>
              <w:rPr>
                <w:sz w:val="20"/>
              </w:rPr>
              <w:t>1937–2011</w:t>
            </w:r>
          </w:p>
        </w:tc>
        <w:tc>
          <w:tcPr>
            <w:tcW w:w="3421" w:type="dxa"/>
          </w:tcPr>
          <w:p w14:paraId="29DE9213" w14:textId="77777777" w:rsidR="0046798B" w:rsidRDefault="00903B5C">
            <w:pPr>
              <w:pStyle w:val="TableParagraph"/>
              <w:spacing w:before="43"/>
              <w:ind w:left="114" w:right="172"/>
              <w:rPr>
                <w:sz w:val="20"/>
              </w:rPr>
            </w:pPr>
            <w:r>
              <w:rPr>
                <w:sz w:val="20"/>
              </w:rPr>
              <w:t>This is the same as govparty_a, except that when there is a mid-year switch in the party of the governor, the party of the governor during the November election is used.</w:t>
            </w:r>
          </w:p>
        </w:tc>
        <w:tc>
          <w:tcPr>
            <w:tcW w:w="6477" w:type="dxa"/>
          </w:tcPr>
          <w:p w14:paraId="5A96A1FE" w14:textId="77777777" w:rsidR="0046798B" w:rsidRDefault="0046798B">
            <w:pPr>
              <w:pStyle w:val="TableParagraph"/>
            </w:pPr>
          </w:p>
          <w:p w14:paraId="5FD164DD" w14:textId="77777777" w:rsidR="0046798B" w:rsidRDefault="00903B5C">
            <w:pPr>
              <w:pStyle w:val="TableParagraph"/>
              <w:spacing w:before="136"/>
              <w:ind w:left="114" w:right="1261"/>
              <w:rPr>
                <w:sz w:val="20"/>
              </w:rPr>
            </w:pPr>
            <w:r>
              <w:rPr>
                <w:sz w:val="20"/>
              </w:rPr>
              <w:t xml:space="preserve">Klarner, Carl, 2013, “Governors Dataset”, </w:t>
            </w:r>
            <w:hyperlink r:id="rId460">
              <w:r>
                <w:rPr>
                  <w:color w:val="0462C1"/>
                  <w:sz w:val="20"/>
                  <w:u w:val="single" w:color="0462C1"/>
                </w:rPr>
                <w:t>https://doi.org/10.7910/DVN/PQ0Y1N</w:t>
              </w:r>
              <w:r>
                <w:rPr>
                  <w:sz w:val="20"/>
                </w:rPr>
                <w:t>,</w:t>
              </w:r>
            </w:hyperlink>
            <w:r>
              <w:rPr>
                <w:sz w:val="20"/>
              </w:rPr>
              <w:t xml:space="preserve"> Harvard Dataverse, V1</w:t>
            </w:r>
          </w:p>
        </w:tc>
      </w:tr>
      <w:tr w:rsidR="0046798B" w14:paraId="16B86755" w14:textId="77777777">
        <w:trPr>
          <w:trHeight w:val="1235"/>
        </w:trPr>
        <w:tc>
          <w:tcPr>
            <w:tcW w:w="1711" w:type="dxa"/>
          </w:tcPr>
          <w:p w14:paraId="3DC182ED" w14:textId="77777777" w:rsidR="0046798B" w:rsidRDefault="0046798B">
            <w:pPr>
              <w:pStyle w:val="TableParagraph"/>
            </w:pPr>
          </w:p>
          <w:p w14:paraId="43C88129" w14:textId="77777777" w:rsidR="0046798B" w:rsidRDefault="0046798B">
            <w:pPr>
              <w:pStyle w:val="TableParagraph"/>
              <w:spacing w:before="4"/>
              <w:rPr>
                <w:sz w:val="21"/>
              </w:rPr>
            </w:pPr>
          </w:p>
          <w:p w14:paraId="7E0FCB2C" w14:textId="77777777" w:rsidR="0046798B" w:rsidRDefault="00903B5C">
            <w:pPr>
              <w:pStyle w:val="TableParagraph"/>
              <w:ind w:left="115"/>
              <w:rPr>
                <w:b/>
                <w:sz w:val="20"/>
              </w:rPr>
            </w:pPr>
            <w:r>
              <w:rPr>
                <w:b/>
                <w:sz w:val="20"/>
              </w:rPr>
              <w:t>govparty_b_2</w:t>
            </w:r>
          </w:p>
        </w:tc>
        <w:tc>
          <w:tcPr>
            <w:tcW w:w="1596" w:type="dxa"/>
          </w:tcPr>
          <w:p w14:paraId="3EF2498D" w14:textId="77777777" w:rsidR="0046798B" w:rsidRDefault="00903B5C">
            <w:pPr>
              <w:pStyle w:val="TableParagraph"/>
              <w:spacing w:before="38"/>
              <w:ind w:left="114" w:right="130"/>
              <w:rPr>
                <w:sz w:val="20"/>
              </w:rPr>
            </w:pPr>
            <w:r>
              <w:rPr>
                <w:sz w:val="20"/>
              </w:rPr>
              <w:t>Party of governor for governor if mid- year switch recoded</w:t>
            </w:r>
          </w:p>
        </w:tc>
        <w:tc>
          <w:tcPr>
            <w:tcW w:w="1280" w:type="dxa"/>
          </w:tcPr>
          <w:p w14:paraId="6FFC75B8" w14:textId="77777777" w:rsidR="0046798B" w:rsidRDefault="0046798B">
            <w:pPr>
              <w:pStyle w:val="TableParagraph"/>
            </w:pPr>
          </w:p>
          <w:p w14:paraId="433D0955" w14:textId="77777777" w:rsidR="0046798B" w:rsidRDefault="0046798B">
            <w:pPr>
              <w:pStyle w:val="TableParagraph"/>
              <w:spacing w:before="4"/>
              <w:rPr>
                <w:sz w:val="21"/>
              </w:rPr>
            </w:pPr>
          </w:p>
          <w:p w14:paraId="179BD487" w14:textId="77777777" w:rsidR="0046798B" w:rsidRDefault="00903B5C">
            <w:pPr>
              <w:pStyle w:val="TableParagraph"/>
              <w:ind w:left="114"/>
              <w:rPr>
                <w:sz w:val="20"/>
              </w:rPr>
            </w:pPr>
            <w:r>
              <w:rPr>
                <w:sz w:val="20"/>
              </w:rPr>
              <w:t>1937–2011</w:t>
            </w:r>
          </w:p>
        </w:tc>
        <w:tc>
          <w:tcPr>
            <w:tcW w:w="3421" w:type="dxa"/>
          </w:tcPr>
          <w:p w14:paraId="5034FFEE" w14:textId="77777777" w:rsidR="0046798B" w:rsidRDefault="0046798B">
            <w:pPr>
              <w:pStyle w:val="TableParagraph"/>
              <w:spacing w:before="4"/>
              <w:rPr>
                <w:sz w:val="23"/>
              </w:rPr>
            </w:pPr>
          </w:p>
          <w:p w14:paraId="1C4B32D7" w14:textId="77777777" w:rsidR="0046798B" w:rsidRDefault="00903B5C">
            <w:pPr>
              <w:pStyle w:val="TableParagraph"/>
              <w:ind w:left="114" w:right="316"/>
              <w:jc w:val="both"/>
              <w:rPr>
                <w:sz w:val="20"/>
              </w:rPr>
            </w:pPr>
            <w:r>
              <w:rPr>
                <w:sz w:val="20"/>
              </w:rPr>
              <w:t>Same as govparty_b, except recoded. Democrat = 1, Republican = -1, non- major party governor = 0.</w:t>
            </w:r>
          </w:p>
        </w:tc>
        <w:tc>
          <w:tcPr>
            <w:tcW w:w="6477" w:type="dxa"/>
          </w:tcPr>
          <w:p w14:paraId="0BEA32BB" w14:textId="77777777" w:rsidR="0046798B" w:rsidRDefault="0046798B">
            <w:pPr>
              <w:pStyle w:val="TableParagraph"/>
            </w:pPr>
          </w:p>
          <w:p w14:paraId="32A8F47E" w14:textId="77777777" w:rsidR="0046798B" w:rsidRDefault="00903B5C">
            <w:pPr>
              <w:pStyle w:val="TableParagraph"/>
              <w:spacing w:before="130"/>
              <w:ind w:left="114" w:right="1261"/>
              <w:rPr>
                <w:sz w:val="20"/>
              </w:rPr>
            </w:pPr>
            <w:r>
              <w:rPr>
                <w:sz w:val="20"/>
              </w:rPr>
              <w:t xml:space="preserve">Klarner, Carl, 2013, “Governors Dataset”, </w:t>
            </w:r>
            <w:hyperlink r:id="rId461">
              <w:r>
                <w:rPr>
                  <w:color w:val="0462C1"/>
                  <w:sz w:val="20"/>
                  <w:u w:val="single" w:color="0462C1"/>
                </w:rPr>
                <w:t>https://doi.org/10.7910/DVN/PQ0Y1N</w:t>
              </w:r>
              <w:r>
                <w:rPr>
                  <w:sz w:val="20"/>
                </w:rPr>
                <w:t>,</w:t>
              </w:r>
            </w:hyperlink>
            <w:r>
              <w:rPr>
                <w:sz w:val="20"/>
              </w:rPr>
              <w:t xml:space="preserve"> Harvard Dataverse, V1</w:t>
            </w:r>
          </w:p>
        </w:tc>
      </w:tr>
      <w:tr w:rsidR="0046798B" w14:paraId="7F6E3E7C" w14:textId="77777777">
        <w:trPr>
          <w:trHeight w:val="545"/>
        </w:trPr>
        <w:tc>
          <w:tcPr>
            <w:tcW w:w="1711" w:type="dxa"/>
          </w:tcPr>
          <w:p w14:paraId="3B60EE63" w14:textId="77777777" w:rsidR="0046798B" w:rsidRDefault="00903B5C">
            <w:pPr>
              <w:pStyle w:val="TableParagraph"/>
              <w:spacing w:before="38"/>
              <w:ind w:left="115" w:right="110"/>
              <w:rPr>
                <w:b/>
                <w:sz w:val="20"/>
              </w:rPr>
            </w:pPr>
            <w:r>
              <w:rPr>
                <w:b/>
                <w:sz w:val="20"/>
              </w:rPr>
              <w:t>state_midterm_p enalty</w:t>
            </w:r>
          </w:p>
        </w:tc>
        <w:tc>
          <w:tcPr>
            <w:tcW w:w="1596" w:type="dxa"/>
          </w:tcPr>
          <w:p w14:paraId="10A622E3" w14:textId="77777777" w:rsidR="0046798B" w:rsidRDefault="00903B5C">
            <w:pPr>
              <w:pStyle w:val="TableParagraph"/>
              <w:spacing w:before="153"/>
              <w:ind w:left="114"/>
              <w:rPr>
                <w:sz w:val="20"/>
              </w:rPr>
            </w:pPr>
            <w:r>
              <w:rPr>
                <w:sz w:val="20"/>
              </w:rPr>
              <w:t>Midterm penalty</w:t>
            </w:r>
          </w:p>
        </w:tc>
        <w:tc>
          <w:tcPr>
            <w:tcW w:w="1280" w:type="dxa"/>
          </w:tcPr>
          <w:p w14:paraId="5095068D" w14:textId="77777777" w:rsidR="0046798B" w:rsidRDefault="00903B5C">
            <w:pPr>
              <w:pStyle w:val="TableParagraph"/>
              <w:spacing w:before="153"/>
              <w:ind w:left="114"/>
              <w:rPr>
                <w:sz w:val="20"/>
              </w:rPr>
            </w:pPr>
            <w:r>
              <w:rPr>
                <w:sz w:val="20"/>
              </w:rPr>
              <w:t>1937–2011</w:t>
            </w:r>
          </w:p>
        </w:tc>
        <w:tc>
          <w:tcPr>
            <w:tcW w:w="3421" w:type="dxa"/>
          </w:tcPr>
          <w:p w14:paraId="00292FE2" w14:textId="77777777" w:rsidR="0046798B" w:rsidRDefault="00903B5C">
            <w:pPr>
              <w:pStyle w:val="TableParagraph"/>
              <w:spacing w:before="38"/>
              <w:ind w:left="114" w:right="117"/>
              <w:rPr>
                <w:sz w:val="20"/>
              </w:rPr>
            </w:pPr>
            <w:r>
              <w:rPr>
                <w:sz w:val="20"/>
              </w:rPr>
              <w:t>0 = gubernatorial election in that year, or no gubernatorial election, and a non-</w:t>
            </w:r>
          </w:p>
        </w:tc>
        <w:tc>
          <w:tcPr>
            <w:tcW w:w="6477" w:type="dxa"/>
          </w:tcPr>
          <w:p w14:paraId="471EB0B7" w14:textId="77777777" w:rsidR="0046798B" w:rsidRDefault="00903B5C">
            <w:pPr>
              <w:pStyle w:val="TableParagraph"/>
              <w:spacing w:before="38"/>
              <w:ind w:left="114" w:right="1261"/>
              <w:rPr>
                <w:sz w:val="20"/>
              </w:rPr>
            </w:pPr>
            <w:r>
              <w:rPr>
                <w:sz w:val="20"/>
              </w:rPr>
              <w:t xml:space="preserve">Klarner, Carl, 2013, “Governors Dataset”, </w:t>
            </w:r>
            <w:hyperlink r:id="rId462">
              <w:r>
                <w:rPr>
                  <w:color w:val="0462C1"/>
                  <w:sz w:val="20"/>
                  <w:u w:val="single" w:color="0462C1"/>
                </w:rPr>
                <w:t>https://doi.org/10.7910/DVN/PQ0Y1N</w:t>
              </w:r>
              <w:r>
                <w:rPr>
                  <w:sz w:val="20"/>
                </w:rPr>
                <w:t>,</w:t>
              </w:r>
            </w:hyperlink>
            <w:r>
              <w:rPr>
                <w:sz w:val="20"/>
              </w:rPr>
              <w:t xml:space="preserve"> Harvard Dataverse, V1</w:t>
            </w:r>
          </w:p>
        </w:tc>
      </w:tr>
    </w:tbl>
    <w:p w14:paraId="436019C0" w14:textId="77777777" w:rsidR="0046798B" w:rsidRDefault="0046798B">
      <w:pPr>
        <w:rPr>
          <w:sz w:val="20"/>
        </w:rPr>
        <w:sectPr w:rsidR="0046798B">
          <w:pgSz w:w="15840" w:h="12240" w:orient="landscape"/>
          <w:pgMar w:top="1220" w:right="300" w:bottom="980" w:left="820" w:header="730" w:footer="787" w:gutter="0"/>
          <w:cols w:space="720"/>
        </w:sectPr>
      </w:pPr>
    </w:p>
    <w:p w14:paraId="58C8BA95"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0"/>
        <w:gridCol w:w="3421"/>
        <w:gridCol w:w="6477"/>
      </w:tblGrid>
      <w:tr w:rsidR="0046798B" w14:paraId="07166780" w14:textId="77777777">
        <w:trPr>
          <w:trHeight w:val="1696"/>
        </w:trPr>
        <w:tc>
          <w:tcPr>
            <w:tcW w:w="1711" w:type="dxa"/>
          </w:tcPr>
          <w:p w14:paraId="27AACC2F" w14:textId="77777777" w:rsidR="0046798B" w:rsidRDefault="0046798B">
            <w:pPr>
              <w:pStyle w:val="TableParagraph"/>
              <w:rPr>
                <w:sz w:val="20"/>
              </w:rPr>
            </w:pPr>
          </w:p>
        </w:tc>
        <w:tc>
          <w:tcPr>
            <w:tcW w:w="1596" w:type="dxa"/>
          </w:tcPr>
          <w:p w14:paraId="5E67E9AF" w14:textId="77777777" w:rsidR="0046798B" w:rsidRDefault="0046798B">
            <w:pPr>
              <w:pStyle w:val="TableParagraph"/>
              <w:rPr>
                <w:sz w:val="20"/>
              </w:rPr>
            </w:pPr>
          </w:p>
        </w:tc>
        <w:tc>
          <w:tcPr>
            <w:tcW w:w="1280" w:type="dxa"/>
          </w:tcPr>
          <w:p w14:paraId="537CCAC5" w14:textId="77777777" w:rsidR="0046798B" w:rsidRDefault="0046798B">
            <w:pPr>
              <w:pStyle w:val="TableParagraph"/>
              <w:rPr>
                <w:sz w:val="20"/>
              </w:rPr>
            </w:pPr>
          </w:p>
        </w:tc>
        <w:tc>
          <w:tcPr>
            <w:tcW w:w="3421" w:type="dxa"/>
          </w:tcPr>
          <w:p w14:paraId="757BCC7E" w14:textId="77777777" w:rsidR="0046798B" w:rsidRDefault="00903B5C">
            <w:pPr>
              <w:pStyle w:val="TableParagraph"/>
              <w:spacing w:before="43"/>
              <w:ind w:left="114" w:right="150"/>
              <w:rPr>
                <w:sz w:val="20"/>
              </w:rPr>
            </w:pPr>
            <w:r>
              <w:rPr>
                <w:sz w:val="20"/>
              </w:rPr>
              <w:t>major party governor in office during the election. 1 = no gubernatorial election, and a Democratic governor in office. -1 = no gubernatorial election, and a Republican governor in office. Same as govparty_b_2, except recoded “0” when gub_election=1.</w:t>
            </w:r>
          </w:p>
        </w:tc>
        <w:tc>
          <w:tcPr>
            <w:tcW w:w="6477" w:type="dxa"/>
          </w:tcPr>
          <w:p w14:paraId="2960F151" w14:textId="77777777" w:rsidR="0046798B" w:rsidRDefault="0046798B">
            <w:pPr>
              <w:pStyle w:val="TableParagraph"/>
              <w:rPr>
                <w:sz w:val="20"/>
              </w:rPr>
            </w:pPr>
          </w:p>
        </w:tc>
      </w:tr>
      <w:tr w:rsidR="0046798B" w14:paraId="6C905187" w14:textId="77777777">
        <w:trPr>
          <w:trHeight w:val="2385"/>
        </w:trPr>
        <w:tc>
          <w:tcPr>
            <w:tcW w:w="1711" w:type="dxa"/>
          </w:tcPr>
          <w:p w14:paraId="018D6063" w14:textId="77777777" w:rsidR="0046798B" w:rsidRDefault="0046798B">
            <w:pPr>
              <w:pStyle w:val="TableParagraph"/>
            </w:pPr>
          </w:p>
          <w:p w14:paraId="27B76300" w14:textId="77777777" w:rsidR="0046798B" w:rsidRDefault="0046798B">
            <w:pPr>
              <w:pStyle w:val="TableParagraph"/>
            </w:pPr>
          </w:p>
          <w:p w14:paraId="415DB0D9" w14:textId="77777777" w:rsidR="0046798B" w:rsidRDefault="0046798B">
            <w:pPr>
              <w:pStyle w:val="TableParagraph"/>
            </w:pPr>
          </w:p>
          <w:p w14:paraId="42563C80" w14:textId="77777777" w:rsidR="0046798B" w:rsidRDefault="0046798B">
            <w:pPr>
              <w:pStyle w:val="TableParagraph"/>
              <w:spacing w:before="9"/>
              <w:rPr>
                <w:sz w:val="27"/>
              </w:rPr>
            </w:pPr>
          </w:p>
          <w:p w14:paraId="015BDD8F" w14:textId="77777777" w:rsidR="0046798B" w:rsidRDefault="00903B5C">
            <w:pPr>
              <w:pStyle w:val="TableParagraph"/>
              <w:ind w:left="115"/>
              <w:rPr>
                <w:b/>
                <w:sz w:val="20"/>
              </w:rPr>
            </w:pPr>
            <w:r>
              <w:rPr>
                <w:b/>
                <w:sz w:val="20"/>
              </w:rPr>
              <w:t>govparty_c</w:t>
            </w:r>
          </w:p>
        </w:tc>
        <w:tc>
          <w:tcPr>
            <w:tcW w:w="1596" w:type="dxa"/>
          </w:tcPr>
          <w:p w14:paraId="3C4F6F5F" w14:textId="77777777" w:rsidR="0046798B" w:rsidRDefault="0046798B">
            <w:pPr>
              <w:pStyle w:val="TableParagraph"/>
            </w:pPr>
          </w:p>
          <w:p w14:paraId="4E7060BC" w14:textId="77777777" w:rsidR="0046798B" w:rsidRDefault="0046798B">
            <w:pPr>
              <w:pStyle w:val="TableParagraph"/>
            </w:pPr>
          </w:p>
          <w:p w14:paraId="483BEDB4" w14:textId="77777777" w:rsidR="0046798B" w:rsidRDefault="0046798B">
            <w:pPr>
              <w:pStyle w:val="TableParagraph"/>
              <w:spacing w:before="8"/>
              <w:rPr>
                <w:sz w:val="29"/>
              </w:rPr>
            </w:pPr>
          </w:p>
          <w:p w14:paraId="3E1AF153" w14:textId="77777777" w:rsidR="0046798B" w:rsidRDefault="00903B5C">
            <w:pPr>
              <w:pStyle w:val="TableParagraph"/>
              <w:spacing w:before="1"/>
              <w:ind w:left="114" w:right="246"/>
              <w:rPr>
                <w:sz w:val="20"/>
              </w:rPr>
            </w:pPr>
            <w:r>
              <w:rPr>
                <w:sz w:val="20"/>
              </w:rPr>
              <w:t>Party of governor when budget passed</w:t>
            </w:r>
          </w:p>
        </w:tc>
        <w:tc>
          <w:tcPr>
            <w:tcW w:w="1280" w:type="dxa"/>
          </w:tcPr>
          <w:p w14:paraId="2AA8DC50" w14:textId="77777777" w:rsidR="0046798B" w:rsidRDefault="0046798B">
            <w:pPr>
              <w:pStyle w:val="TableParagraph"/>
            </w:pPr>
          </w:p>
          <w:p w14:paraId="2B18B6C4" w14:textId="77777777" w:rsidR="0046798B" w:rsidRDefault="0046798B">
            <w:pPr>
              <w:pStyle w:val="TableParagraph"/>
            </w:pPr>
          </w:p>
          <w:p w14:paraId="6E283E8A" w14:textId="77777777" w:rsidR="0046798B" w:rsidRDefault="0046798B">
            <w:pPr>
              <w:pStyle w:val="TableParagraph"/>
            </w:pPr>
          </w:p>
          <w:p w14:paraId="18F41CF6" w14:textId="77777777" w:rsidR="0046798B" w:rsidRDefault="0046798B">
            <w:pPr>
              <w:pStyle w:val="TableParagraph"/>
              <w:spacing w:before="9"/>
              <w:rPr>
                <w:sz w:val="27"/>
              </w:rPr>
            </w:pPr>
          </w:p>
          <w:p w14:paraId="6807C156" w14:textId="77777777" w:rsidR="0046798B" w:rsidRDefault="00903B5C">
            <w:pPr>
              <w:pStyle w:val="TableParagraph"/>
              <w:ind w:left="114"/>
              <w:rPr>
                <w:sz w:val="20"/>
              </w:rPr>
            </w:pPr>
            <w:r>
              <w:rPr>
                <w:sz w:val="20"/>
              </w:rPr>
              <w:t>1937–2011</w:t>
            </w:r>
          </w:p>
        </w:tc>
        <w:tc>
          <w:tcPr>
            <w:tcW w:w="3421" w:type="dxa"/>
          </w:tcPr>
          <w:p w14:paraId="0C90F462" w14:textId="77777777" w:rsidR="0046798B" w:rsidRDefault="00903B5C">
            <w:pPr>
              <w:pStyle w:val="TableParagraph"/>
              <w:spacing w:before="43"/>
              <w:ind w:left="114" w:right="101"/>
              <w:rPr>
                <w:sz w:val="20"/>
              </w:rPr>
            </w:pPr>
            <w:r>
              <w:rPr>
                <w:sz w:val="20"/>
              </w:rPr>
              <w:t xml:space="preserve">Party of the governor; 0 = Republican, 1 = Democrat, .5 = non-major party governor. When the party of the governor changes mid-year, the party of the governor when the budget </w:t>
            </w:r>
            <w:r>
              <w:rPr>
                <w:spacing w:val="-3"/>
                <w:sz w:val="20"/>
              </w:rPr>
              <w:t xml:space="preserve">passed </w:t>
            </w:r>
            <w:r>
              <w:rPr>
                <w:sz w:val="20"/>
              </w:rPr>
              <w:t>was used. When there was no budget passed, the party of the</w:t>
            </w:r>
            <w:r>
              <w:rPr>
                <w:spacing w:val="-2"/>
                <w:sz w:val="20"/>
              </w:rPr>
              <w:t xml:space="preserve"> </w:t>
            </w:r>
            <w:r>
              <w:rPr>
                <w:sz w:val="20"/>
              </w:rPr>
              <w:t>governor</w:t>
            </w:r>
          </w:p>
          <w:p w14:paraId="2FFC1BE9" w14:textId="77777777" w:rsidR="0046798B" w:rsidRDefault="00903B5C">
            <w:pPr>
              <w:pStyle w:val="TableParagraph"/>
              <w:spacing w:before="1"/>
              <w:ind w:left="114" w:right="136"/>
              <w:jc w:val="both"/>
              <w:rPr>
                <w:sz w:val="20"/>
              </w:rPr>
            </w:pPr>
            <w:r>
              <w:rPr>
                <w:sz w:val="20"/>
              </w:rPr>
              <w:t>during the November election (or when the election would have been held) was used.</w:t>
            </w:r>
          </w:p>
        </w:tc>
        <w:tc>
          <w:tcPr>
            <w:tcW w:w="6477" w:type="dxa"/>
          </w:tcPr>
          <w:p w14:paraId="75C777FB" w14:textId="77777777" w:rsidR="0046798B" w:rsidRDefault="0046798B">
            <w:pPr>
              <w:pStyle w:val="TableParagraph"/>
            </w:pPr>
          </w:p>
          <w:p w14:paraId="0052DD2F" w14:textId="77777777" w:rsidR="0046798B" w:rsidRDefault="0046798B">
            <w:pPr>
              <w:pStyle w:val="TableParagraph"/>
            </w:pPr>
          </w:p>
          <w:p w14:paraId="05FC1770" w14:textId="77777777" w:rsidR="0046798B" w:rsidRDefault="0046798B">
            <w:pPr>
              <w:pStyle w:val="TableParagraph"/>
            </w:pPr>
          </w:p>
          <w:p w14:paraId="331BE27B" w14:textId="77777777" w:rsidR="0046798B" w:rsidRDefault="0046798B">
            <w:pPr>
              <w:pStyle w:val="TableParagraph"/>
              <w:spacing w:before="9"/>
              <w:rPr>
                <w:sz w:val="17"/>
              </w:rPr>
            </w:pPr>
          </w:p>
          <w:p w14:paraId="4FCC52C6" w14:textId="77777777" w:rsidR="0046798B" w:rsidRDefault="00903B5C">
            <w:pPr>
              <w:pStyle w:val="TableParagraph"/>
              <w:ind w:left="114" w:right="1261"/>
              <w:rPr>
                <w:sz w:val="20"/>
              </w:rPr>
            </w:pPr>
            <w:r>
              <w:rPr>
                <w:sz w:val="20"/>
              </w:rPr>
              <w:t xml:space="preserve">Klarner, Carl, 2013, “Governors Dataset”, </w:t>
            </w:r>
            <w:hyperlink r:id="rId463">
              <w:r>
                <w:rPr>
                  <w:color w:val="0462C1"/>
                  <w:sz w:val="20"/>
                  <w:u w:val="single" w:color="0462C1"/>
                </w:rPr>
                <w:t>https://doi.org/10.7910/DVN/PQ0Y1N</w:t>
              </w:r>
              <w:r>
                <w:rPr>
                  <w:sz w:val="20"/>
                </w:rPr>
                <w:t>,</w:t>
              </w:r>
            </w:hyperlink>
            <w:r>
              <w:rPr>
                <w:sz w:val="20"/>
              </w:rPr>
              <w:t xml:space="preserve"> Harvard Dataverse, V1</w:t>
            </w:r>
          </w:p>
        </w:tc>
      </w:tr>
      <w:tr w:rsidR="0046798B" w14:paraId="7E8D057C" w14:textId="77777777">
        <w:trPr>
          <w:trHeight w:val="780"/>
        </w:trPr>
        <w:tc>
          <w:tcPr>
            <w:tcW w:w="1711" w:type="dxa"/>
          </w:tcPr>
          <w:p w14:paraId="7794973C" w14:textId="77777777" w:rsidR="0046798B" w:rsidRDefault="00903B5C">
            <w:pPr>
              <w:pStyle w:val="TableParagraph"/>
              <w:spacing w:before="158"/>
              <w:ind w:left="115" w:right="132"/>
              <w:rPr>
                <w:b/>
                <w:sz w:val="20"/>
              </w:rPr>
            </w:pPr>
            <w:r>
              <w:rPr>
                <w:b/>
                <w:sz w:val="20"/>
              </w:rPr>
              <w:t>gov_non_maj_pt y</w:t>
            </w:r>
          </w:p>
        </w:tc>
        <w:tc>
          <w:tcPr>
            <w:tcW w:w="1596" w:type="dxa"/>
          </w:tcPr>
          <w:p w14:paraId="1A7AC7EB" w14:textId="77777777" w:rsidR="0046798B" w:rsidRDefault="00903B5C">
            <w:pPr>
              <w:pStyle w:val="TableParagraph"/>
              <w:spacing w:before="158"/>
              <w:ind w:left="114"/>
              <w:rPr>
                <w:sz w:val="20"/>
              </w:rPr>
            </w:pPr>
            <w:r>
              <w:rPr>
                <w:sz w:val="20"/>
              </w:rPr>
              <w:t>Governor isn’t from major party</w:t>
            </w:r>
          </w:p>
        </w:tc>
        <w:tc>
          <w:tcPr>
            <w:tcW w:w="1280" w:type="dxa"/>
          </w:tcPr>
          <w:p w14:paraId="7354443B" w14:textId="77777777" w:rsidR="0046798B" w:rsidRDefault="0046798B">
            <w:pPr>
              <w:pStyle w:val="TableParagraph"/>
              <w:spacing w:before="8"/>
              <w:rPr>
                <w:sz w:val="23"/>
              </w:rPr>
            </w:pPr>
          </w:p>
          <w:p w14:paraId="02CA7EAD" w14:textId="77777777" w:rsidR="0046798B" w:rsidRDefault="00903B5C">
            <w:pPr>
              <w:pStyle w:val="TableParagraph"/>
              <w:spacing w:before="1"/>
              <w:ind w:left="114"/>
              <w:rPr>
                <w:sz w:val="20"/>
              </w:rPr>
            </w:pPr>
            <w:r>
              <w:rPr>
                <w:sz w:val="20"/>
              </w:rPr>
              <w:t>1937–2011</w:t>
            </w:r>
          </w:p>
        </w:tc>
        <w:tc>
          <w:tcPr>
            <w:tcW w:w="3421" w:type="dxa"/>
          </w:tcPr>
          <w:p w14:paraId="2D6A7469" w14:textId="77777777" w:rsidR="0046798B" w:rsidRDefault="00903B5C">
            <w:pPr>
              <w:pStyle w:val="TableParagraph"/>
              <w:spacing w:before="43"/>
              <w:ind w:left="114" w:right="504"/>
              <w:rPr>
                <w:sz w:val="20"/>
              </w:rPr>
            </w:pPr>
            <w:r>
              <w:rPr>
                <w:sz w:val="20"/>
              </w:rPr>
              <w:t>1 = governor isn’t a Democrat or a Republican. 0 = governor is a Democrat or is a Republican.</w:t>
            </w:r>
          </w:p>
        </w:tc>
        <w:tc>
          <w:tcPr>
            <w:tcW w:w="6477" w:type="dxa"/>
          </w:tcPr>
          <w:p w14:paraId="6800B783" w14:textId="77777777" w:rsidR="0046798B" w:rsidRDefault="00903B5C">
            <w:pPr>
              <w:pStyle w:val="TableParagraph"/>
              <w:spacing w:before="158"/>
              <w:ind w:left="114" w:right="1261"/>
              <w:rPr>
                <w:sz w:val="20"/>
              </w:rPr>
            </w:pPr>
            <w:r>
              <w:rPr>
                <w:sz w:val="20"/>
              </w:rPr>
              <w:t xml:space="preserve">Klarner, Carl, 2013, “Governors Dataset”, </w:t>
            </w:r>
            <w:hyperlink r:id="rId464">
              <w:r>
                <w:rPr>
                  <w:color w:val="0462C1"/>
                  <w:sz w:val="20"/>
                  <w:u w:val="single" w:color="0462C1"/>
                </w:rPr>
                <w:t>https://doi.org/10.7910/DVN/PQ0Y1N</w:t>
              </w:r>
              <w:r>
                <w:rPr>
                  <w:sz w:val="20"/>
                </w:rPr>
                <w:t>,</w:t>
              </w:r>
            </w:hyperlink>
            <w:r>
              <w:rPr>
                <w:sz w:val="20"/>
              </w:rPr>
              <w:t xml:space="preserve"> Harvard Dataverse, V1</w:t>
            </w:r>
          </w:p>
        </w:tc>
      </w:tr>
      <w:tr w:rsidR="0046798B" w14:paraId="3CC58D21" w14:textId="77777777">
        <w:trPr>
          <w:trHeight w:val="773"/>
        </w:trPr>
        <w:tc>
          <w:tcPr>
            <w:tcW w:w="1711" w:type="dxa"/>
            <w:tcBorders>
              <w:bottom w:val="dotted" w:sz="6" w:space="0" w:color="BEBEBE"/>
            </w:tcBorders>
          </w:tcPr>
          <w:p w14:paraId="031871A4" w14:textId="77777777" w:rsidR="0046798B" w:rsidRDefault="00903B5C">
            <w:pPr>
              <w:pStyle w:val="TableParagraph"/>
              <w:spacing w:before="153"/>
              <w:ind w:left="115" w:right="121"/>
              <w:rPr>
                <w:b/>
                <w:sz w:val="20"/>
              </w:rPr>
            </w:pPr>
            <w:r>
              <w:rPr>
                <w:b/>
                <w:sz w:val="20"/>
              </w:rPr>
              <w:t>gub_party_chan ge</w:t>
            </w:r>
          </w:p>
        </w:tc>
        <w:tc>
          <w:tcPr>
            <w:tcW w:w="1596" w:type="dxa"/>
            <w:tcBorders>
              <w:bottom w:val="dotted" w:sz="6" w:space="0" w:color="BEBEBE"/>
            </w:tcBorders>
          </w:tcPr>
          <w:p w14:paraId="5BCC6356" w14:textId="77777777" w:rsidR="0046798B" w:rsidRDefault="00903B5C">
            <w:pPr>
              <w:pStyle w:val="TableParagraph"/>
              <w:spacing w:before="153"/>
              <w:ind w:left="114" w:right="196"/>
              <w:rPr>
                <w:sz w:val="20"/>
              </w:rPr>
            </w:pPr>
            <w:r>
              <w:rPr>
                <w:sz w:val="20"/>
              </w:rPr>
              <w:t>Party change of governor</w:t>
            </w:r>
          </w:p>
        </w:tc>
        <w:tc>
          <w:tcPr>
            <w:tcW w:w="1280" w:type="dxa"/>
            <w:tcBorders>
              <w:bottom w:val="dotted" w:sz="6" w:space="0" w:color="BEBEBE"/>
            </w:tcBorders>
          </w:tcPr>
          <w:p w14:paraId="4B0BD461" w14:textId="77777777" w:rsidR="0046798B" w:rsidRDefault="0046798B">
            <w:pPr>
              <w:pStyle w:val="TableParagraph"/>
              <w:spacing w:before="4"/>
              <w:rPr>
                <w:sz w:val="23"/>
              </w:rPr>
            </w:pPr>
          </w:p>
          <w:p w14:paraId="1FDF5A91" w14:textId="77777777" w:rsidR="0046798B" w:rsidRDefault="00903B5C">
            <w:pPr>
              <w:pStyle w:val="TableParagraph"/>
              <w:ind w:left="114"/>
              <w:rPr>
                <w:sz w:val="20"/>
              </w:rPr>
            </w:pPr>
            <w:r>
              <w:rPr>
                <w:sz w:val="20"/>
              </w:rPr>
              <w:t>1937–2011</w:t>
            </w:r>
          </w:p>
        </w:tc>
        <w:tc>
          <w:tcPr>
            <w:tcW w:w="3421" w:type="dxa"/>
            <w:tcBorders>
              <w:bottom w:val="dotted" w:sz="6" w:space="0" w:color="BEBEBE"/>
            </w:tcBorders>
          </w:tcPr>
          <w:p w14:paraId="56A23189" w14:textId="77777777" w:rsidR="0046798B" w:rsidRDefault="00903B5C">
            <w:pPr>
              <w:pStyle w:val="TableParagraph"/>
              <w:spacing w:before="38"/>
              <w:ind w:left="114" w:right="150"/>
              <w:rPr>
                <w:sz w:val="20"/>
              </w:rPr>
            </w:pPr>
            <w:r>
              <w:rPr>
                <w:sz w:val="20"/>
              </w:rPr>
              <w:t>Dummy: 1 = party of the governor has changed since the beginning of last year. 0 = hasn’t.</w:t>
            </w:r>
          </w:p>
        </w:tc>
        <w:tc>
          <w:tcPr>
            <w:tcW w:w="6477" w:type="dxa"/>
            <w:tcBorders>
              <w:bottom w:val="dotted" w:sz="6" w:space="0" w:color="BEBEBE"/>
            </w:tcBorders>
          </w:tcPr>
          <w:p w14:paraId="27532BD7" w14:textId="77777777" w:rsidR="0046798B" w:rsidRDefault="00903B5C">
            <w:pPr>
              <w:pStyle w:val="TableParagraph"/>
              <w:spacing w:before="153"/>
              <w:ind w:left="114" w:right="1261"/>
              <w:rPr>
                <w:sz w:val="20"/>
              </w:rPr>
            </w:pPr>
            <w:r>
              <w:rPr>
                <w:sz w:val="20"/>
              </w:rPr>
              <w:t xml:space="preserve">Klarner, Carl, 2013, “Governors Dataset”, </w:t>
            </w:r>
            <w:hyperlink r:id="rId465">
              <w:r>
                <w:rPr>
                  <w:color w:val="0462C1"/>
                  <w:sz w:val="20"/>
                  <w:u w:val="single" w:color="0462C1"/>
                </w:rPr>
                <w:t>https://doi.org/10.7910/DVN/PQ0Y1N</w:t>
              </w:r>
              <w:r>
                <w:rPr>
                  <w:sz w:val="20"/>
                </w:rPr>
                <w:t>,</w:t>
              </w:r>
            </w:hyperlink>
            <w:r>
              <w:rPr>
                <w:sz w:val="20"/>
              </w:rPr>
              <w:t xml:space="preserve"> Harvard Dataverse, V1</w:t>
            </w:r>
          </w:p>
        </w:tc>
      </w:tr>
      <w:tr w:rsidR="0046798B" w14:paraId="0571E120" w14:textId="77777777">
        <w:trPr>
          <w:trHeight w:val="2613"/>
        </w:trPr>
        <w:tc>
          <w:tcPr>
            <w:tcW w:w="1711" w:type="dxa"/>
            <w:tcBorders>
              <w:top w:val="dotted" w:sz="6" w:space="0" w:color="BEBEBE"/>
            </w:tcBorders>
          </w:tcPr>
          <w:p w14:paraId="01C40368" w14:textId="77777777" w:rsidR="0046798B" w:rsidRDefault="0046798B">
            <w:pPr>
              <w:pStyle w:val="TableParagraph"/>
            </w:pPr>
          </w:p>
          <w:p w14:paraId="57C36D25" w14:textId="77777777" w:rsidR="0046798B" w:rsidRDefault="0046798B">
            <w:pPr>
              <w:pStyle w:val="TableParagraph"/>
            </w:pPr>
          </w:p>
          <w:p w14:paraId="7F3EFF67" w14:textId="77777777" w:rsidR="0046798B" w:rsidRDefault="0046798B">
            <w:pPr>
              <w:pStyle w:val="TableParagraph"/>
            </w:pPr>
          </w:p>
          <w:p w14:paraId="2ED916E4" w14:textId="77777777" w:rsidR="0046798B" w:rsidRDefault="00903B5C">
            <w:pPr>
              <w:pStyle w:val="TableParagraph"/>
              <w:spacing w:before="197"/>
              <w:ind w:left="115" w:right="109"/>
              <w:jc w:val="both"/>
              <w:rPr>
                <w:b/>
                <w:sz w:val="20"/>
              </w:rPr>
            </w:pPr>
            <w:r>
              <w:rPr>
                <w:b/>
                <w:spacing w:val="-1"/>
                <w:sz w:val="20"/>
              </w:rPr>
              <w:t xml:space="preserve">gov_pty_change_ </w:t>
            </w:r>
            <w:r>
              <w:rPr>
                <w:b/>
                <w:sz w:val="20"/>
              </w:rPr>
              <w:t>since_last_budge t</w:t>
            </w:r>
          </w:p>
        </w:tc>
        <w:tc>
          <w:tcPr>
            <w:tcW w:w="1596" w:type="dxa"/>
            <w:tcBorders>
              <w:top w:val="dotted" w:sz="6" w:space="0" w:color="BEBEBE"/>
            </w:tcBorders>
          </w:tcPr>
          <w:p w14:paraId="59500810" w14:textId="77777777" w:rsidR="0046798B" w:rsidRDefault="0046798B">
            <w:pPr>
              <w:pStyle w:val="TableParagraph"/>
            </w:pPr>
          </w:p>
          <w:p w14:paraId="6E52227B" w14:textId="77777777" w:rsidR="0046798B" w:rsidRDefault="0046798B">
            <w:pPr>
              <w:pStyle w:val="TableParagraph"/>
            </w:pPr>
          </w:p>
          <w:p w14:paraId="6001AC43" w14:textId="77777777" w:rsidR="0046798B" w:rsidRDefault="0046798B">
            <w:pPr>
              <w:pStyle w:val="TableParagraph"/>
            </w:pPr>
          </w:p>
          <w:p w14:paraId="3B3A6F9D" w14:textId="77777777" w:rsidR="0046798B" w:rsidRDefault="00903B5C">
            <w:pPr>
              <w:pStyle w:val="TableParagraph"/>
              <w:spacing w:before="197"/>
              <w:ind w:left="114" w:right="196"/>
              <w:rPr>
                <w:sz w:val="20"/>
              </w:rPr>
            </w:pPr>
            <w:r>
              <w:rPr>
                <w:sz w:val="20"/>
              </w:rPr>
              <w:t>Party change of governor since budget passed</w:t>
            </w:r>
          </w:p>
        </w:tc>
        <w:tc>
          <w:tcPr>
            <w:tcW w:w="1280" w:type="dxa"/>
            <w:tcBorders>
              <w:top w:val="dotted" w:sz="6" w:space="0" w:color="BEBEBE"/>
            </w:tcBorders>
          </w:tcPr>
          <w:p w14:paraId="4BD8BBBE" w14:textId="77777777" w:rsidR="0046798B" w:rsidRDefault="0046798B">
            <w:pPr>
              <w:pStyle w:val="TableParagraph"/>
            </w:pPr>
          </w:p>
          <w:p w14:paraId="54A73C77" w14:textId="77777777" w:rsidR="0046798B" w:rsidRDefault="0046798B">
            <w:pPr>
              <w:pStyle w:val="TableParagraph"/>
            </w:pPr>
          </w:p>
          <w:p w14:paraId="2EC79645" w14:textId="77777777" w:rsidR="0046798B" w:rsidRDefault="0046798B">
            <w:pPr>
              <w:pStyle w:val="TableParagraph"/>
            </w:pPr>
          </w:p>
          <w:p w14:paraId="39DCA444" w14:textId="77777777" w:rsidR="0046798B" w:rsidRDefault="0046798B">
            <w:pPr>
              <w:pStyle w:val="TableParagraph"/>
            </w:pPr>
          </w:p>
          <w:p w14:paraId="60969E51" w14:textId="77777777" w:rsidR="0046798B" w:rsidRDefault="00903B5C">
            <w:pPr>
              <w:pStyle w:val="TableParagraph"/>
              <w:spacing w:before="174"/>
              <w:ind w:left="114"/>
              <w:rPr>
                <w:sz w:val="20"/>
              </w:rPr>
            </w:pPr>
            <w:r>
              <w:rPr>
                <w:sz w:val="20"/>
              </w:rPr>
              <w:t>1937–2011</w:t>
            </w:r>
          </w:p>
        </w:tc>
        <w:tc>
          <w:tcPr>
            <w:tcW w:w="3421" w:type="dxa"/>
            <w:tcBorders>
              <w:top w:val="dotted" w:sz="6" w:space="0" w:color="BEBEBE"/>
            </w:tcBorders>
          </w:tcPr>
          <w:p w14:paraId="0D446C8F" w14:textId="77777777" w:rsidR="0046798B" w:rsidRDefault="00903B5C">
            <w:pPr>
              <w:pStyle w:val="TableParagraph"/>
              <w:spacing w:before="35"/>
              <w:ind w:left="114" w:right="188"/>
              <w:rPr>
                <w:sz w:val="20"/>
              </w:rPr>
            </w:pPr>
            <w:r>
              <w:rPr>
                <w:sz w:val="20"/>
              </w:rPr>
              <w:t>1 = governor changed from R to D since last time a budget was passed. -1</w:t>
            </w:r>
          </w:p>
          <w:p w14:paraId="15056957" w14:textId="77777777" w:rsidR="0046798B" w:rsidRDefault="00903B5C">
            <w:pPr>
              <w:pStyle w:val="TableParagraph"/>
              <w:spacing w:before="1"/>
              <w:ind w:left="114" w:right="181"/>
              <w:rPr>
                <w:sz w:val="20"/>
              </w:rPr>
            </w:pPr>
            <w:r>
              <w:rPr>
                <w:sz w:val="20"/>
              </w:rPr>
              <w:t>= governor changed from D to R since last time a budget was passed. 0 = no change. -.5 and .5 = some change to or from a non-major party governor.</w:t>
            </w:r>
          </w:p>
          <w:p w14:paraId="0BA6FBB6" w14:textId="77777777" w:rsidR="0046798B" w:rsidRDefault="00903B5C">
            <w:pPr>
              <w:pStyle w:val="TableParagraph"/>
              <w:ind w:left="114" w:right="132"/>
              <w:rPr>
                <w:sz w:val="20"/>
              </w:rPr>
            </w:pPr>
            <w:r>
              <w:rPr>
                <w:sz w:val="20"/>
              </w:rPr>
              <w:t>Blank = no budget was passed in that year. Computed by: sorted by Budget_Pass2011_04_13, then stateno, then year. Then differenced gov_party_c.</w:t>
            </w:r>
          </w:p>
        </w:tc>
        <w:tc>
          <w:tcPr>
            <w:tcW w:w="6477" w:type="dxa"/>
            <w:tcBorders>
              <w:top w:val="dotted" w:sz="6" w:space="0" w:color="BEBEBE"/>
            </w:tcBorders>
          </w:tcPr>
          <w:p w14:paraId="20132513" w14:textId="77777777" w:rsidR="0046798B" w:rsidRDefault="0046798B">
            <w:pPr>
              <w:pStyle w:val="TableParagraph"/>
            </w:pPr>
          </w:p>
          <w:p w14:paraId="198206F9" w14:textId="77777777" w:rsidR="0046798B" w:rsidRDefault="0046798B">
            <w:pPr>
              <w:pStyle w:val="TableParagraph"/>
            </w:pPr>
          </w:p>
          <w:p w14:paraId="2C52335C" w14:textId="77777777" w:rsidR="0046798B" w:rsidRDefault="0046798B">
            <w:pPr>
              <w:pStyle w:val="TableParagraph"/>
            </w:pPr>
          </w:p>
          <w:p w14:paraId="68890D09" w14:textId="77777777" w:rsidR="0046798B" w:rsidRDefault="0046798B">
            <w:pPr>
              <w:pStyle w:val="TableParagraph"/>
              <w:spacing w:before="1"/>
              <w:rPr>
                <w:sz w:val="27"/>
              </w:rPr>
            </w:pPr>
          </w:p>
          <w:p w14:paraId="6CC61072" w14:textId="77777777" w:rsidR="0046798B" w:rsidRDefault="00903B5C">
            <w:pPr>
              <w:pStyle w:val="TableParagraph"/>
              <w:spacing w:before="1"/>
              <w:ind w:left="114" w:right="1261"/>
              <w:rPr>
                <w:sz w:val="20"/>
              </w:rPr>
            </w:pPr>
            <w:r>
              <w:rPr>
                <w:sz w:val="20"/>
              </w:rPr>
              <w:t xml:space="preserve">Klarner, Carl, 2013, “Governors Dataset”, </w:t>
            </w:r>
            <w:hyperlink r:id="rId466">
              <w:r>
                <w:rPr>
                  <w:color w:val="0462C1"/>
                  <w:sz w:val="20"/>
                  <w:u w:val="single" w:color="0462C1"/>
                </w:rPr>
                <w:t>https://doi.org/10.7910/DVN/PQ0Y1N</w:t>
              </w:r>
              <w:r>
                <w:rPr>
                  <w:sz w:val="20"/>
                </w:rPr>
                <w:t>,</w:t>
              </w:r>
            </w:hyperlink>
            <w:r>
              <w:rPr>
                <w:sz w:val="20"/>
              </w:rPr>
              <w:t xml:space="preserve"> Harvard Dataverse, V1</w:t>
            </w:r>
          </w:p>
        </w:tc>
      </w:tr>
      <w:tr w:rsidR="0046798B" w14:paraId="605DBC8E" w14:textId="77777777">
        <w:trPr>
          <w:trHeight w:val="1005"/>
        </w:trPr>
        <w:tc>
          <w:tcPr>
            <w:tcW w:w="1711" w:type="dxa"/>
          </w:tcPr>
          <w:p w14:paraId="7CD637E7" w14:textId="77777777" w:rsidR="0046798B" w:rsidRDefault="0046798B">
            <w:pPr>
              <w:pStyle w:val="TableParagraph"/>
              <w:spacing w:before="3"/>
              <w:rPr>
                <w:sz w:val="23"/>
              </w:rPr>
            </w:pPr>
          </w:p>
          <w:p w14:paraId="412B8A5C" w14:textId="77777777" w:rsidR="0046798B" w:rsidRDefault="00903B5C">
            <w:pPr>
              <w:pStyle w:val="TableParagraph"/>
              <w:spacing w:before="1"/>
              <w:ind w:left="115" w:right="121"/>
              <w:rPr>
                <w:b/>
                <w:sz w:val="20"/>
              </w:rPr>
            </w:pPr>
            <w:r>
              <w:rPr>
                <w:b/>
                <w:sz w:val="20"/>
              </w:rPr>
              <w:t>years_since_othe r_party</w:t>
            </w:r>
          </w:p>
        </w:tc>
        <w:tc>
          <w:tcPr>
            <w:tcW w:w="1596" w:type="dxa"/>
          </w:tcPr>
          <w:p w14:paraId="3E67C590" w14:textId="77777777" w:rsidR="0046798B" w:rsidRDefault="00903B5C">
            <w:pPr>
              <w:pStyle w:val="TableParagraph"/>
              <w:spacing w:before="153"/>
              <w:ind w:left="114" w:right="374"/>
              <w:rPr>
                <w:sz w:val="20"/>
              </w:rPr>
            </w:pPr>
            <w:r>
              <w:rPr>
                <w:sz w:val="20"/>
              </w:rPr>
              <w:t>Years since other party in governorship</w:t>
            </w:r>
          </w:p>
        </w:tc>
        <w:tc>
          <w:tcPr>
            <w:tcW w:w="1280" w:type="dxa"/>
          </w:tcPr>
          <w:p w14:paraId="2E12EC7F" w14:textId="77777777" w:rsidR="0046798B" w:rsidRDefault="0046798B">
            <w:pPr>
              <w:pStyle w:val="TableParagraph"/>
            </w:pPr>
          </w:p>
          <w:p w14:paraId="27078D0B" w14:textId="77777777" w:rsidR="0046798B" w:rsidRDefault="00903B5C">
            <w:pPr>
              <w:pStyle w:val="TableParagraph"/>
              <w:spacing w:before="130"/>
              <w:ind w:left="114"/>
              <w:rPr>
                <w:sz w:val="20"/>
              </w:rPr>
            </w:pPr>
            <w:r>
              <w:rPr>
                <w:sz w:val="20"/>
              </w:rPr>
              <w:t>1937–2010</w:t>
            </w:r>
          </w:p>
        </w:tc>
        <w:tc>
          <w:tcPr>
            <w:tcW w:w="3421" w:type="dxa"/>
          </w:tcPr>
          <w:p w14:paraId="67BAAEB8" w14:textId="77777777" w:rsidR="0046798B" w:rsidRDefault="00903B5C">
            <w:pPr>
              <w:pStyle w:val="TableParagraph"/>
              <w:spacing w:before="38"/>
              <w:ind w:left="114" w:right="461"/>
              <w:rPr>
                <w:sz w:val="20"/>
              </w:rPr>
            </w:pPr>
            <w:r>
              <w:rPr>
                <w:sz w:val="20"/>
              </w:rPr>
              <w:t>Years since other party variable. A count variable saying 1) how many years the Democrats have been in power (expressed by a positive</w:t>
            </w:r>
          </w:p>
        </w:tc>
        <w:tc>
          <w:tcPr>
            <w:tcW w:w="6477" w:type="dxa"/>
          </w:tcPr>
          <w:p w14:paraId="7FCDACDF" w14:textId="77777777" w:rsidR="0046798B" w:rsidRDefault="0046798B">
            <w:pPr>
              <w:pStyle w:val="TableParagraph"/>
              <w:spacing w:before="3"/>
              <w:rPr>
                <w:sz w:val="23"/>
              </w:rPr>
            </w:pPr>
          </w:p>
          <w:p w14:paraId="106DD3A9" w14:textId="77777777" w:rsidR="0046798B" w:rsidRDefault="00903B5C">
            <w:pPr>
              <w:pStyle w:val="TableParagraph"/>
              <w:spacing w:before="1"/>
              <w:ind w:left="114" w:right="1261"/>
              <w:rPr>
                <w:sz w:val="20"/>
              </w:rPr>
            </w:pPr>
            <w:r>
              <w:rPr>
                <w:sz w:val="20"/>
              </w:rPr>
              <w:t xml:space="preserve">Klarner, Carl, 2013, “Governors Dataset”, </w:t>
            </w:r>
            <w:hyperlink r:id="rId467">
              <w:r>
                <w:rPr>
                  <w:color w:val="0462C1"/>
                  <w:sz w:val="20"/>
                  <w:u w:val="single" w:color="0462C1"/>
                </w:rPr>
                <w:t>https://doi.org/10.7910/DVN/PQ0Y1N</w:t>
              </w:r>
              <w:r>
                <w:rPr>
                  <w:sz w:val="20"/>
                </w:rPr>
                <w:t>,</w:t>
              </w:r>
            </w:hyperlink>
            <w:r>
              <w:rPr>
                <w:sz w:val="20"/>
              </w:rPr>
              <w:t xml:space="preserve"> Harvard Dataverse, V1</w:t>
            </w:r>
          </w:p>
        </w:tc>
      </w:tr>
    </w:tbl>
    <w:p w14:paraId="07177C57" w14:textId="77777777" w:rsidR="0046798B" w:rsidRDefault="0046798B">
      <w:pPr>
        <w:rPr>
          <w:sz w:val="20"/>
        </w:rPr>
        <w:sectPr w:rsidR="0046798B">
          <w:pgSz w:w="15840" w:h="12240" w:orient="landscape"/>
          <w:pgMar w:top="1220" w:right="300" w:bottom="980" w:left="820" w:header="730" w:footer="787" w:gutter="0"/>
          <w:cols w:space="720"/>
        </w:sectPr>
      </w:pPr>
    </w:p>
    <w:p w14:paraId="2B09C689"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0"/>
        <w:gridCol w:w="3421"/>
        <w:gridCol w:w="6477"/>
      </w:tblGrid>
      <w:tr w:rsidR="0046798B" w14:paraId="2E50360C" w14:textId="77777777">
        <w:trPr>
          <w:trHeight w:val="2156"/>
        </w:trPr>
        <w:tc>
          <w:tcPr>
            <w:tcW w:w="1711" w:type="dxa"/>
          </w:tcPr>
          <w:p w14:paraId="311240B3" w14:textId="77777777" w:rsidR="0046798B" w:rsidRDefault="0046798B">
            <w:pPr>
              <w:pStyle w:val="TableParagraph"/>
              <w:rPr>
                <w:sz w:val="20"/>
              </w:rPr>
            </w:pPr>
          </w:p>
        </w:tc>
        <w:tc>
          <w:tcPr>
            <w:tcW w:w="1596" w:type="dxa"/>
          </w:tcPr>
          <w:p w14:paraId="2448DF15" w14:textId="77777777" w:rsidR="0046798B" w:rsidRDefault="0046798B">
            <w:pPr>
              <w:pStyle w:val="TableParagraph"/>
              <w:rPr>
                <w:sz w:val="20"/>
              </w:rPr>
            </w:pPr>
          </w:p>
        </w:tc>
        <w:tc>
          <w:tcPr>
            <w:tcW w:w="1280" w:type="dxa"/>
          </w:tcPr>
          <w:p w14:paraId="1AA2EA1E" w14:textId="77777777" w:rsidR="0046798B" w:rsidRDefault="0046798B">
            <w:pPr>
              <w:pStyle w:val="TableParagraph"/>
              <w:rPr>
                <w:sz w:val="20"/>
              </w:rPr>
            </w:pPr>
          </w:p>
        </w:tc>
        <w:tc>
          <w:tcPr>
            <w:tcW w:w="3421" w:type="dxa"/>
          </w:tcPr>
          <w:p w14:paraId="76FC514B" w14:textId="77777777" w:rsidR="0046798B" w:rsidRDefault="00903B5C">
            <w:pPr>
              <w:pStyle w:val="TableParagraph"/>
              <w:spacing w:before="43"/>
              <w:ind w:left="114" w:right="256"/>
              <w:rPr>
                <w:sz w:val="20"/>
              </w:rPr>
            </w:pPr>
            <w:r>
              <w:rPr>
                <w:sz w:val="20"/>
              </w:rPr>
              <w:t>number) or 2) how many years the Republicans have been in power (multiplied by -1). For years between 1936 and the first time after that year there was a switch in the party of the governor, the count is from the year 1936. When there has been an independent, zeros are entered. Based off of gov_party_c</w:t>
            </w:r>
          </w:p>
        </w:tc>
        <w:tc>
          <w:tcPr>
            <w:tcW w:w="6477" w:type="dxa"/>
          </w:tcPr>
          <w:p w14:paraId="48C7A6A0" w14:textId="77777777" w:rsidR="0046798B" w:rsidRDefault="0046798B">
            <w:pPr>
              <w:pStyle w:val="TableParagraph"/>
              <w:rPr>
                <w:sz w:val="20"/>
              </w:rPr>
            </w:pPr>
          </w:p>
        </w:tc>
      </w:tr>
      <w:tr w:rsidR="0046798B" w14:paraId="7F322496" w14:textId="77777777">
        <w:trPr>
          <w:trHeight w:val="1465"/>
        </w:trPr>
        <w:tc>
          <w:tcPr>
            <w:tcW w:w="1711" w:type="dxa"/>
          </w:tcPr>
          <w:p w14:paraId="56362FBE" w14:textId="77777777" w:rsidR="0046798B" w:rsidRDefault="0046798B">
            <w:pPr>
              <w:pStyle w:val="TableParagraph"/>
            </w:pPr>
          </w:p>
          <w:p w14:paraId="77D26D81" w14:textId="77777777" w:rsidR="0046798B" w:rsidRDefault="0046798B">
            <w:pPr>
              <w:pStyle w:val="TableParagraph"/>
              <w:spacing w:before="9"/>
              <w:rPr>
                <w:sz w:val="21"/>
              </w:rPr>
            </w:pPr>
          </w:p>
          <w:p w14:paraId="5EBFD3C4" w14:textId="77777777" w:rsidR="0046798B" w:rsidRDefault="00903B5C">
            <w:pPr>
              <w:pStyle w:val="TableParagraph"/>
              <w:ind w:left="115" w:right="110"/>
              <w:rPr>
                <w:b/>
                <w:sz w:val="20"/>
              </w:rPr>
            </w:pPr>
            <w:r>
              <w:rPr>
                <w:b/>
                <w:sz w:val="20"/>
              </w:rPr>
              <w:t>open_bcs_term_l imit</w:t>
            </w:r>
          </w:p>
        </w:tc>
        <w:tc>
          <w:tcPr>
            <w:tcW w:w="1596" w:type="dxa"/>
          </w:tcPr>
          <w:p w14:paraId="002BE13F" w14:textId="77777777" w:rsidR="0046798B" w:rsidRDefault="0046798B">
            <w:pPr>
              <w:pStyle w:val="TableParagraph"/>
            </w:pPr>
          </w:p>
          <w:p w14:paraId="2E6CD59A" w14:textId="77777777" w:rsidR="0046798B" w:rsidRDefault="0046798B">
            <w:pPr>
              <w:pStyle w:val="TableParagraph"/>
              <w:spacing w:before="9"/>
              <w:rPr>
                <w:sz w:val="21"/>
              </w:rPr>
            </w:pPr>
          </w:p>
          <w:p w14:paraId="204B32C4" w14:textId="77777777" w:rsidR="0046798B" w:rsidRDefault="00903B5C">
            <w:pPr>
              <w:pStyle w:val="TableParagraph"/>
              <w:ind w:left="114" w:right="113"/>
              <w:rPr>
                <w:sz w:val="20"/>
              </w:rPr>
            </w:pPr>
            <w:r>
              <w:rPr>
                <w:sz w:val="20"/>
              </w:rPr>
              <w:t>Open seat due to term limit</w:t>
            </w:r>
          </w:p>
        </w:tc>
        <w:tc>
          <w:tcPr>
            <w:tcW w:w="1280" w:type="dxa"/>
          </w:tcPr>
          <w:p w14:paraId="7FE74571" w14:textId="77777777" w:rsidR="0046798B" w:rsidRDefault="0046798B">
            <w:pPr>
              <w:pStyle w:val="TableParagraph"/>
            </w:pPr>
          </w:p>
          <w:p w14:paraId="666001C0" w14:textId="77777777" w:rsidR="0046798B" w:rsidRDefault="0046798B">
            <w:pPr>
              <w:pStyle w:val="TableParagraph"/>
              <w:spacing w:before="9"/>
              <w:rPr>
                <w:sz w:val="31"/>
              </w:rPr>
            </w:pPr>
          </w:p>
          <w:p w14:paraId="0C300CC7" w14:textId="77777777" w:rsidR="0046798B" w:rsidRDefault="00903B5C">
            <w:pPr>
              <w:pStyle w:val="TableParagraph"/>
              <w:ind w:left="114"/>
              <w:rPr>
                <w:sz w:val="20"/>
              </w:rPr>
            </w:pPr>
            <w:r>
              <w:rPr>
                <w:sz w:val="20"/>
              </w:rPr>
              <w:t>1937–2010</w:t>
            </w:r>
          </w:p>
        </w:tc>
        <w:tc>
          <w:tcPr>
            <w:tcW w:w="3421" w:type="dxa"/>
          </w:tcPr>
          <w:p w14:paraId="2A66E298" w14:textId="77777777" w:rsidR="0046798B" w:rsidRDefault="00903B5C">
            <w:pPr>
              <w:pStyle w:val="TableParagraph"/>
              <w:spacing w:before="43"/>
              <w:ind w:left="114" w:right="231"/>
              <w:rPr>
                <w:sz w:val="20"/>
              </w:rPr>
            </w:pPr>
            <w:r>
              <w:rPr>
                <w:sz w:val="20"/>
              </w:rPr>
              <w:t>Dummy: 1 = seat is open because of a term limit, and a Democrat was in office immediately beforehand. -1 = seat is open because of a term limit, and a Republican was in office immediately beforehand. 0 = else.</w:t>
            </w:r>
          </w:p>
        </w:tc>
        <w:tc>
          <w:tcPr>
            <w:tcW w:w="6477" w:type="dxa"/>
          </w:tcPr>
          <w:p w14:paraId="480FB2D1" w14:textId="77777777" w:rsidR="0046798B" w:rsidRDefault="0046798B">
            <w:pPr>
              <w:pStyle w:val="TableParagraph"/>
            </w:pPr>
          </w:p>
          <w:p w14:paraId="1D4BCE59" w14:textId="77777777" w:rsidR="0046798B" w:rsidRDefault="0046798B">
            <w:pPr>
              <w:pStyle w:val="TableParagraph"/>
              <w:spacing w:before="9"/>
              <w:rPr>
                <w:sz w:val="21"/>
              </w:rPr>
            </w:pPr>
          </w:p>
          <w:p w14:paraId="0037FEAF" w14:textId="77777777" w:rsidR="0046798B" w:rsidRDefault="00903B5C">
            <w:pPr>
              <w:pStyle w:val="TableParagraph"/>
              <w:ind w:left="114" w:right="1261"/>
              <w:rPr>
                <w:sz w:val="20"/>
              </w:rPr>
            </w:pPr>
            <w:r>
              <w:rPr>
                <w:sz w:val="20"/>
              </w:rPr>
              <w:t xml:space="preserve">Klarner, Carl, 2013, “Governors Dataset”, </w:t>
            </w:r>
            <w:hyperlink r:id="rId468">
              <w:r>
                <w:rPr>
                  <w:color w:val="0462C1"/>
                  <w:sz w:val="20"/>
                  <w:u w:val="single" w:color="0462C1"/>
                </w:rPr>
                <w:t>https://doi.org/10.7910/DVN/PQ0Y1N</w:t>
              </w:r>
              <w:r>
                <w:rPr>
                  <w:sz w:val="20"/>
                </w:rPr>
                <w:t>,</w:t>
              </w:r>
            </w:hyperlink>
            <w:r>
              <w:rPr>
                <w:sz w:val="20"/>
              </w:rPr>
              <w:t xml:space="preserve"> Harvard Dataverse, V1</w:t>
            </w:r>
          </w:p>
        </w:tc>
      </w:tr>
      <w:tr w:rsidR="0046798B" w14:paraId="426F1AF8" w14:textId="77777777">
        <w:trPr>
          <w:trHeight w:val="1240"/>
        </w:trPr>
        <w:tc>
          <w:tcPr>
            <w:tcW w:w="1711" w:type="dxa"/>
          </w:tcPr>
          <w:p w14:paraId="41B2845B" w14:textId="77777777" w:rsidR="0046798B" w:rsidRDefault="0046798B">
            <w:pPr>
              <w:pStyle w:val="TableParagraph"/>
            </w:pPr>
          </w:p>
          <w:p w14:paraId="788C74A4" w14:textId="77777777" w:rsidR="0046798B" w:rsidRDefault="00903B5C">
            <w:pPr>
              <w:pStyle w:val="TableParagraph"/>
              <w:spacing w:before="135"/>
              <w:ind w:left="115" w:right="132"/>
              <w:rPr>
                <w:b/>
                <w:sz w:val="20"/>
              </w:rPr>
            </w:pPr>
            <w:r>
              <w:rPr>
                <w:b/>
                <w:sz w:val="20"/>
              </w:rPr>
              <w:t>gov_motive_achi evement</w:t>
            </w:r>
          </w:p>
        </w:tc>
        <w:tc>
          <w:tcPr>
            <w:tcW w:w="1596" w:type="dxa"/>
          </w:tcPr>
          <w:p w14:paraId="3F63B2C3" w14:textId="77777777" w:rsidR="0046798B" w:rsidRDefault="0046798B">
            <w:pPr>
              <w:pStyle w:val="TableParagraph"/>
              <w:spacing w:before="9"/>
              <w:rPr>
                <w:sz w:val="23"/>
              </w:rPr>
            </w:pPr>
          </w:p>
          <w:p w14:paraId="6ECDADFE" w14:textId="77777777" w:rsidR="0046798B" w:rsidRDefault="00903B5C">
            <w:pPr>
              <w:pStyle w:val="TableParagraph"/>
              <w:ind w:left="114" w:right="424"/>
              <w:rPr>
                <w:sz w:val="20"/>
              </w:rPr>
            </w:pPr>
            <w:r>
              <w:rPr>
                <w:sz w:val="20"/>
              </w:rPr>
              <w:t>Governor achievement motive score</w:t>
            </w:r>
          </w:p>
        </w:tc>
        <w:tc>
          <w:tcPr>
            <w:tcW w:w="1280" w:type="dxa"/>
          </w:tcPr>
          <w:p w14:paraId="6398CA3B" w14:textId="77777777" w:rsidR="0046798B" w:rsidRDefault="0046798B">
            <w:pPr>
              <w:pStyle w:val="TableParagraph"/>
            </w:pPr>
          </w:p>
          <w:p w14:paraId="77931511" w14:textId="77777777" w:rsidR="0046798B" w:rsidRDefault="0046798B">
            <w:pPr>
              <w:pStyle w:val="TableParagraph"/>
              <w:spacing w:before="9"/>
              <w:rPr>
                <w:sz w:val="21"/>
              </w:rPr>
            </w:pPr>
          </w:p>
          <w:p w14:paraId="609C32FF" w14:textId="77777777" w:rsidR="0046798B" w:rsidRDefault="00903B5C">
            <w:pPr>
              <w:pStyle w:val="TableParagraph"/>
              <w:ind w:left="114"/>
              <w:rPr>
                <w:sz w:val="20"/>
              </w:rPr>
            </w:pPr>
            <w:r>
              <w:rPr>
                <w:sz w:val="20"/>
              </w:rPr>
              <w:t>1993</w:t>
            </w:r>
          </w:p>
        </w:tc>
        <w:tc>
          <w:tcPr>
            <w:tcW w:w="3421" w:type="dxa"/>
          </w:tcPr>
          <w:p w14:paraId="635D4A5C" w14:textId="77777777" w:rsidR="0046798B" w:rsidRDefault="00903B5C">
            <w:pPr>
              <w:pStyle w:val="TableParagraph"/>
              <w:spacing w:before="43"/>
              <w:ind w:left="114" w:right="150"/>
              <w:rPr>
                <w:sz w:val="20"/>
              </w:rPr>
            </w:pPr>
            <w:r>
              <w:rPr>
                <w:sz w:val="20"/>
              </w:rPr>
              <w:t>Frequency of motive imagery relating to achievement (“the desire for excellence”) used in inaugural address, expressed in terms of frequency per 1000 words.</w:t>
            </w:r>
          </w:p>
        </w:tc>
        <w:tc>
          <w:tcPr>
            <w:tcW w:w="6477" w:type="dxa"/>
          </w:tcPr>
          <w:p w14:paraId="0CFA9094" w14:textId="77777777" w:rsidR="0046798B" w:rsidRDefault="0046798B">
            <w:pPr>
              <w:pStyle w:val="TableParagraph"/>
              <w:spacing w:before="9"/>
              <w:rPr>
                <w:sz w:val="23"/>
              </w:rPr>
            </w:pPr>
          </w:p>
          <w:p w14:paraId="0389397D" w14:textId="77777777" w:rsidR="0046798B" w:rsidRDefault="00903B5C">
            <w:pPr>
              <w:pStyle w:val="TableParagraph"/>
              <w:ind w:left="114" w:right="256"/>
              <w:rPr>
                <w:sz w:val="20"/>
              </w:rPr>
            </w:pPr>
            <w:r>
              <w:rPr>
                <w:sz w:val="20"/>
              </w:rPr>
              <w:t xml:space="preserve">Ferguson, Margaret R., and Jay Barth. “Governors in the Legislative Arena: The Importance of Personality in Shaping Success.” </w:t>
            </w:r>
            <w:r>
              <w:rPr>
                <w:i/>
                <w:sz w:val="20"/>
              </w:rPr>
              <w:t xml:space="preserve">Political Psychology </w:t>
            </w:r>
            <w:r>
              <w:rPr>
                <w:sz w:val="20"/>
              </w:rPr>
              <w:t>23.4 (2002): 787–808.</w:t>
            </w:r>
          </w:p>
        </w:tc>
      </w:tr>
      <w:tr w:rsidR="0046798B" w14:paraId="6CDDCC53" w14:textId="77777777">
        <w:trPr>
          <w:trHeight w:val="1235"/>
        </w:trPr>
        <w:tc>
          <w:tcPr>
            <w:tcW w:w="1711" w:type="dxa"/>
          </w:tcPr>
          <w:p w14:paraId="3B6A7C87" w14:textId="77777777" w:rsidR="0046798B" w:rsidRDefault="0046798B">
            <w:pPr>
              <w:pStyle w:val="TableParagraph"/>
            </w:pPr>
          </w:p>
          <w:p w14:paraId="7F38181D" w14:textId="77777777" w:rsidR="0046798B" w:rsidRDefault="00903B5C">
            <w:pPr>
              <w:pStyle w:val="TableParagraph"/>
              <w:spacing w:before="131"/>
              <w:ind w:left="115" w:right="132"/>
              <w:rPr>
                <w:b/>
                <w:sz w:val="20"/>
              </w:rPr>
            </w:pPr>
            <w:r>
              <w:rPr>
                <w:b/>
                <w:sz w:val="20"/>
              </w:rPr>
              <w:t>gov_motive_pow er</w:t>
            </w:r>
          </w:p>
        </w:tc>
        <w:tc>
          <w:tcPr>
            <w:tcW w:w="1596" w:type="dxa"/>
          </w:tcPr>
          <w:p w14:paraId="2601FEE8" w14:textId="77777777" w:rsidR="0046798B" w:rsidRDefault="0046798B">
            <w:pPr>
              <w:pStyle w:val="TableParagraph"/>
            </w:pPr>
          </w:p>
          <w:p w14:paraId="359CD330" w14:textId="77777777" w:rsidR="0046798B" w:rsidRDefault="00903B5C">
            <w:pPr>
              <w:pStyle w:val="TableParagraph"/>
              <w:spacing w:before="131"/>
              <w:ind w:left="114"/>
              <w:rPr>
                <w:sz w:val="20"/>
              </w:rPr>
            </w:pPr>
            <w:r>
              <w:rPr>
                <w:sz w:val="20"/>
              </w:rPr>
              <w:t>Governor power motive score</w:t>
            </w:r>
          </w:p>
        </w:tc>
        <w:tc>
          <w:tcPr>
            <w:tcW w:w="1280" w:type="dxa"/>
          </w:tcPr>
          <w:p w14:paraId="5C5EA829" w14:textId="77777777" w:rsidR="0046798B" w:rsidRDefault="0046798B">
            <w:pPr>
              <w:pStyle w:val="TableParagraph"/>
            </w:pPr>
          </w:p>
          <w:p w14:paraId="366610ED" w14:textId="77777777" w:rsidR="0046798B" w:rsidRDefault="0046798B">
            <w:pPr>
              <w:pStyle w:val="TableParagraph"/>
              <w:spacing w:before="4"/>
              <w:rPr>
                <w:sz w:val="21"/>
              </w:rPr>
            </w:pPr>
          </w:p>
          <w:p w14:paraId="04A41A62" w14:textId="77777777" w:rsidR="0046798B" w:rsidRDefault="00903B5C">
            <w:pPr>
              <w:pStyle w:val="TableParagraph"/>
              <w:ind w:left="114"/>
              <w:rPr>
                <w:sz w:val="20"/>
              </w:rPr>
            </w:pPr>
            <w:r>
              <w:rPr>
                <w:sz w:val="20"/>
              </w:rPr>
              <w:t>1993</w:t>
            </w:r>
          </w:p>
        </w:tc>
        <w:tc>
          <w:tcPr>
            <w:tcW w:w="3421" w:type="dxa"/>
          </w:tcPr>
          <w:p w14:paraId="2694E39E" w14:textId="77777777" w:rsidR="0046798B" w:rsidRDefault="00903B5C">
            <w:pPr>
              <w:pStyle w:val="TableParagraph"/>
              <w:spacing w:before="38"/>
              <w:ind w:left="114" w:right="161"/>
              <w:rPr>
                <w:sz w:val="20"/>
              </w:rPr>
            </w:pPr>
            <w:r>
              <w:rPr>
                <w:sz w:val="20"/>
              </w:rPr>
              <w:t>Frequency of motive imagery relating to power (“desire for prestige and influence on others”) used in inaugural address, expressed in terms of frequency per 1000 words.</w:t>
            </w:r>
          </w:p>
        </w:tc>
        <w:tc>
          <w:tcPr>
            <w:tcW w:w="6477" w:type="dxa"/>
          </w:tcPr>
          <w:p w14:paraId="38ECD8D9" w14:textId="77777777" w:rsidR="0046798B" w:rsidRDefault="0046798B">
            <w:pPr>
              <w:pStyle w:val="TableParagraph"/>
              <w:spacing w:before="4"/>
              <w:rPr>
                <w:sz w:val="23"/>
              </w:rPr>
            </w:pPr>
          </w:p>
          <w:p w14:paraId="7147DC5D" w14:textId="77777777" w:rsidR="0046798B" w:rsidRDefault="00903B5C">
            <w:pPr>
              <w:pStyle w:val="TableParagraph"/>
              <w:ind w:left="114" w:right="256"/>
              <w:rPr>
                <w:sz w:val="20"/>
              </w:rPr>
            </w:pPr>
            <w:r>
              <w:rPr>
                <w:sz w:val="20"/>
              </w:rPr>
              <w:t xml:space="preserve">Ferguson, Margaret R., and Jay Barth. “Governors in the Legislative Arena: The Importance of Personality in Shaping Success.” </w:t>
            </w:r>
            <w:r>
              <w:rPr>
                <w:i/>
                <w:sz w:val="20"/>
              </w:rPr>
              <w:t xml:space="preserve">Political Psychology </w:t>
            </w:r>
            <w:r>
              <w:rPr>
                <w:sz w:val="20"/>
              </w:rPr>
              <w:t>23.4 (2002): 787–808.</w:t>
            </w:r>
          </w:p>
        </w:tc>
      </w:tr>
      <w:tr w:rsidR="0046798B" w14:paraId="73D48111" w14:textId="77777777">
        <w:trPr>
          <w:trHeight w:val="1235"/>
        </w:trPr>
        <w:tc>
          <w:tcPr>
            <w:tcW w:w="1711" w:type="dxa"/>
          </w:tcPr>
          <w:p w14:paraId="13F485C4" w14:textId="77777777" w:rsidR="0046798B" w:rsidRDefault="0046798B">
            <w:pPr>
              <w:pStyle w:val="TableParagraph"/>
            </w:pPr>
          </w:p>
          <w:p w14:paraId="26BC5C30" w14:textId="77777777" w:rsidR="0046798B" w:rsidRDefault="00903B5C">
            <w:pPr>
              <w:pStyle w:val="TableParagraph"/>
              <w:spacing w:before="131"/>
              <w:ind w:left="115" w:right="88"/>
              <w:rPr>
                <w:b/>
                <w:sz w:val="20"/>
              </w:rPr>
            </w:pPr>
            <w:r>
              <w:rPr>
                <w:b/>
                <w:sz w:val="20"/>
              </w:rPr>
              <w:t>gov_motive_affili ation_intimacy</w:t>
            </w:r>
          </w:p>
        </w:tc>
        <w:tc>
          <w:tcPr>
            <w:tcW w:w="1596" w:type="dxa"/>
          </w:tcPr>
          <w:p w14:paraId="232968D1" w14:textId="77777777" w:rsidR="0046798B" w:rsidRDefault="00903B5C">
            <w:pPr>
              <w:pStyle w:val="TableParagraph"/>
              <w:spacing w:before="153"/>
              <w:ind w:left="114" w:right="165"/>
              <w:rPr>
                <w:sz w:val="20"/>
              </w:rPr>
            </w:pPr>
            <w:r>
              <w:rPr>
                <w:sz w:val="20"/>
              </w:rPr>
              <w:t>Governor affiliation- intimacy motive score</w:t>
            </w:r>
          </w:p>
        </w:tc>
        <w:tc>
          <w:tcPr>
            <w:tcW w:w="1280" w:type="dxa"/>
          </w:tcPr>
          <w:p w14:paraId="06A6E96E" w14:textId="77777777" w:rsidR="0046798B" w:rsidRDefault="0046798B">
            <w:pPr>
              <w:pStyle w:val="TableParagraph"/>
            </w:pPr>
          </w:p>
          <w:p w14:paraId="4C55C9B9" w14:textId="77777777" w:rsidR="0046798B" w:rsidRDefault="0046798B">
            <w:pPr>
              <w:pStyle w:val="TableParagraph"/>
              <w:spacing w:before="4"/>
              <w:rPr>
                <w:sz w:val="21"/>
              </w:rPr>
            </w:pPr>
          </w:p>
          <w:p w14:paraId="122890DB" w14:textId="77777777" w:rsidR="0046798B" w:rsidRDefault="00903B5C">
            <w:pPr>
              <w:pStyle w:val="TableParagraph"/>
              <w:ind w:left="114"/>
              <w:rPr>
                <w:sz w:val="20"/>
              </w:rPr>
            </w:pPr>
            <w:r>
              <w:rPr>
                <w:sz w:val="20"/>
              </w:rPr>
              <w:t>1993</w:t>
            </w:r>
          </w:p>
        </w:tc>
        <w:tc>
          <w:tcPr>
            <w:tcW w:w="3421" w:type="dxa"/>
          </w:tcPr>
          <w:p w14:paraId="3949E272" w14:textId="77777777" w:rsidR="0046798B" w:rsidRDefault="00903B5C">
            <w:pPr>
              <w:pStyle w:val="TableParagraph"/>
              <w:spacing w:before="38"/>
              <w:ind w:left="114" w:right="107"/>
              <w:rPr>
                <w:sz w:val="20"/>
              </w:rPr>
            </w:pPr>
            <w:r>
              <w:rPr>
                <w:sz w:val="20"/>
              </w:rPr>
              <w:t>Frequency of motive imagery relating to affiliation-intimacy (“desire for close relations with other humans”) used in inaugural address, expressed in terms of frequency per 1000</w:t>
            </w:r>
            <w:r>
              <w:rPr>
                <w:spacing w:val="-4"/>
                <w:sz w:val="20"/>
              </w:rPr>
              <w:t xml:space="preserve"> </w:t>
            </w:r>
            <w:r>
              <w:rPr>
                <w:sz w:val="20"/>
              </w:rPr>
              <w:t>words.</w:t>
            </w:r>
          </w:p>
        </w:tc>
        <w:tc>
          <w:tcPr>
            <w:tcW w:w="6477" w:type="dxa"/>
          </w:tcPr>
          <w:p w14:paraId="628114CA" w14:textId="77777777" w:rsidR="0046798B" w:rsidRDefault="0046798B">
            <w:pPr>
              <w:pStyle w:val="TableParagraph"/>
              <w:spacing w:before="4"/>
              <w:rPr>
                <w:sz w:val="23"/>
              </w:rPr>
            </w:pPr>
          </w:p>
          <w:p w14:paraId="0D07805F" w14:textId="77777777" w:rsidR="0046798B" w:rsidRDefault="00903B5C">
            <w:pPr>
              <w:pStyle w:val="TableParagraph"/>
              <w:ind w:left="114" w:right="256"/>
              <w:rPr>
                <w:sz w:val="20"/>
              </w:rPr>
            </w:pPr>
            <w:r>
              <w:rPr>
                <w:sz w:val="20"/>
              </w:rPr>
              <w:t xml:space="preserve">Ferguson, Margaret R., and Jay Barth. “Governors in the Legislative Arena: The Importance of Personality in Shaping Success.” </w:t>
            </w:r>
            <w:r>
              <w:rPr>
                <w:i/>
                <w:sz w:val="20"/>
              </w:rPr>
              <w:t xml:space="preserve">Political Psychology </w:t>
            </w:r>
            <w:r>
              <w:rPr>
                <w:sz w:val="20"/>
              </w:rPr>
              <w:t>23.4 (2002): 787–808.</w:t>
            </w:r>
          </w:p>
        </w:tc>
      </w:tr>
      <w:tr w:rsidR="0046798B" w14:paraId="572EF884" w14:textId="77777777">
        <w:trPr>
          <w:trHeight w:val="775"/>
        </w:trPr>
        <w:tc>
          <w:tcPr>
            <w:tcW w:w="1711" w:type="dxa"/>
          </w:tcPr>
          <w:p w14:paraId="3A687119" w14:textId="77777777" w:rsidR="0046798B" w:rsidRDefault="00903B5C">
            <w:pPr>
              <w:pStyle w:val="TableParagraph"/>
              <w:spacing w:before="153"/>
              <w:ind w:left="115" w:right="121"/>
              <w:rPr>
                <w:b/>
                <w:sz w:val="20"/>
              </w:rPr>
            </w:pPr>
            <w:r>
              <w:rPr>
                <w:b/>
                <w:sz w:val="20"/>
              </w:rPr>
              <w:t>sen_elections_thi s_year</w:t>
            </w:r>
          </w:p>
        </w:tc>
        <w:tc>
          <w:tcPr>
            <w:tcW w:w="1596" w:type="dxa"/>
          </w:tcPr>
          <w:p w14:paraId="53C792BD" w14:textId="77777777" w:rsidR="0046798B" w:rsidRDefault="00903B5C">
            <w:pPr>
              <w:pStyle w:val="TableParagraph"/>
              <w:spacing w:before="38"/>
              <w:ind w:left="114" w:right="402"/>
              <w:rPr>
                <w:sz w:val="20"/>
              </w:rPr>
            </w:pPr>
            <w:r>
              <w:rPr>
                <w:sz w:val="20"/>
              </w:rPr>
              <w:t>State senate elections this year</w:t>
            </w:r>
          </w:p>
        </w:tc>
        <w:tc>
          <w:tcPr>
            <w:tcW w:w="1280" w:type="dxa"/>
          </w:tcPr>
          <w:p w14:paraId="2A554184" w14:textId="77777777" w:rsidR="0046798B" w:rsidRDefault="0046798B">
            <w:pPr>
              <w:pStyle w:val="TableParagraph"/>
              <w:spacing w:before="4"/>
              <w:rPr>
                <w:sz w:val="23"/>
              </w:rPr>
            </w:pPr>
          </w:p>
          <w:p w14:paraId="23BF2B2A" w14:textId="77777777" w:rsidR="0046798B" w:rsidRDefault="00903B5C">
            <w:pPr>
              <w:pStyle w:val="TableParagraph"/>
              <w:ind w:left="114"/>
              <w:rPr>
                <w:sz w:val="20"/>
              </w:rPr>
            </w:pPr>
            <w:r>
              <w:rPr>
                <w:sz w:val="20"/>
              </w:rPr>
              <w:t>1937–2011</w:t>
            </w:r>
          </w:p>
        </w:tc>
        <w:tc>
          <w:tcPr>
            <w:tcW w:w="3421" w:type="dxa"/>
          </w:tcPr>
          <w:p w14:paraId="77E7A54C" w14:textId="77777777" w:rsidR="0046798B" w:rsidRDefault="00903B5C">
            <w:pPr>
              <w:pStyle w:val="TableParagraph"/>
              <w:spacing w:before="153"/>
              <w:ind w:left="114" w:right="203"/>
              <w:rPr>
                <w:sz w:val="20"/>
              </w:rPr>
            </w:pPr>
            <w:r>
              <w:rPr>
                <w:sz w:val="20"/>
              </w:rPr>
              <w:t>Dummy: 1 = 19% or more of seats up, 0 = Fewer than 19% up</w:t>
            </w:r>
          </w:p>
        </w:tc>
        <w:tc>
          <w:tcPr>
            <w:tcW w:w="6477" w:type="dxa"/>
          </w:tcPr>
          <w:p w14:paraId="0CBD59E9" w14:textId="77777777" w:rsidR="0046798B" w:rsidRDefault="00903B5C">
            <w:pPr>
              <w:pStyle w:val="TableParagraph"/>
              <w:spacing w:before="153"/>
              <w:ind w:left="114" w:right="1195"/>
              <w:rPr>
                <w:sz w:val="20"/>
              </w:rPr>
            </w:pPr>
            <w:r>
              <w:rPr>
                <w:sz w:val="20"/>
              </w:rPr>
              <w:t xml:space="preserve">Klarner, Carl, 2013, “State Partisan Balance Data, 1937–2011”, </w:t>
            </w:r>
            <w:hyperlink r:id="rId469">
              <w:r>
                <w:rPr>
                  <w:color w:val="0462C1"/>
                  <w:sz w:val="20"/>
                  <w:u w:val="single" w:color="0462C1"/>
                </w:rPr>
                <w:t>https://doi.org/10.7910/DVN/LZHMG3</w:t>
              </w:r>
              <w:r>
                <w:rPr>
                  <w:sz w:val="20"/>
                </w:rPr>
                <w:t>,</w:t>
              </w:r>
            </w:hyperlink>
            <w:r>
              <w:rPr>
                <w:sz w:val="20"/>
              </w:rPr>
              <w:t xml:space="preserve"> Harvard Dataverse, V1</w:t>
            </w:r>
          </w:p>
        </w:tc>
      </w:tr>
      <w:tr w:rsidR="0046798B" w14:paraId="03E7C4A5" w14:textId="77777777">
        <w:trPr>
          <w:trHeight w:val="775"/>
        </w:trPr>
        <w:tc>
          <w:tcPr>
            <w:tcW w:w="1711" w:type="dxa"/>
          </w:tcPr>
          <w:p w14:paraId="4000B49F" w14:textId="77777777" w:rsidR="0046798B" w:rsidRDefault="0046798B">
            <w:pPr>
              <w:pStyle w:val="TableParagraph"/>
              <w:spacing w:before="8"/>
              <w:rPr>
                <w:sz w:val="23"/>
              </w:rPr>
            </w:pPr>
          </w:p>
          <w:p w14:paraId="761E1B57" w14:textId="77777777" w:rsidR="0046798B" w:rsidRDefault="00903B5C">
            <w:pPr>
              <w:pStyle w:val="TableParagraph"/>
              <w:spacing w:before="1"/>
              <w:ind w:left="115"/>
              <w:rPr>
                <w:b/>
                <w:sz w:val="20"/>
              </w:rPr>
            </w:pPr>
            <w:r>
              <w:rPr>
                <w:b/>
                <w:sz w:val="20"/>
              </w:rPr>
              <w:t>sen_dem_in_sess</w:t>
            </w:r>
          </w:p>
        </w:tc>
        <w:tc>
          <w:tcPr>
            <w:tcW w:w="1596" w:type="dxa"/>
          </w:tcPr>
          <w:p w14:paraId="7C0BC1CD" w14:textId="77777777" w:rsidR="0046798B" w:rsidRDefault="00903B5C">
            <w:pPr>
              <w:pStyle w:val="TableParagraph"/>
              <w:spacing w:before="43"/>
              <w:ind w:left="114" w:right="102"/>
              <w:rPr>
                <w:sz w:val="20"/>
              </w:rPr>
            </w:pPr>
            <w:r>
              <w:rPr>
                <w:sz w:val="20"/>
              </w:rPr>
              <w:t>Number of Democratic state senators</w:t>
            </w:r>
          </w:p>
        </w:tc>
        <w:tc>
          <w:tcPr>
            <w:tcW w:w="1280" w:type="dxa"/>
          </w:tcPr>
          <w:p w14:paraId="6A16D692" w14:textId="77777777" w:rsidR="0046798B" w:rsidRDefault="0046798B">
            <w:pPr>
              <w:pStyle w:val="TableParagraph"/>
              <w:spacing w:before="8"/>
              <w:rPr>
                <w:sz w:val="23"/>
              </w:rPr>
            </w:pPr>
          </w:p>
          <w:p w14:paraId="09329E0C" w14:textId="77777777" w:rsidR="0046798B" w:rsidRDefault="00903B5C">
            <w:pPr>
              <w:pStyle w:val="TableParagraph"/>
              <w:spacing w:before="1"/>
              <w:ind w:left="114"/>
              <w:rPr>
                <w:sz w:val="20"/>
              </w:rPr>
            </w:pPr>
            <w:r>
              <w:rPr>
                <w:sz w:val="20"/>
              </w:rPr>
              <w:t>1937–2015</w:t>
            </w:r>
          </w:p>
        </w:tc>
        <w:tc>
          <w:tcPr>
            <w:tcW w:w="3421" w:type="dxa"/>
          </w:tcPr>
          <w:p w14:paraId="75E5E143" w14:textId="77777777" w:rsidR="0046798B" w:rsidRDefault="00903B5C">
            <w:pPr>
              <w:pStyle w:val="TableParagraph"/>
              <w:spacing w:before="158"/>
              <w:ind w:left="114" w:right="144"/>
              <w:rPr>
                <w:sz w:val="20"/>
              </w:rPr>
            </w:pPr>
            <w:r>
              <w:rPr>
                <w:sz w:val="20"/>
              </w:rPr>
              <w:t>Total number of Democrats in the state senate this session</w:t>
            </w:r>
          </w:p>
        </w:tc>
        <w:tc>
          <w:tcPr>
            <w:tcW w:w="6477" w:type="dxa"/>
          </w:tcPr>
          <w:p w14:paraId="0EFFBC4E" w14:textId="77777777" w:rsidR="0046798B" w:rsidRDefault="00903B5C">
            <w:pPr>
              <w:pStyle w:val="TableParagraph"/>
              <w:spacing w:before="43"/>
              <w:ind w:left="114" w:right="1195"/>
              <w:rPr>
                <w:sz w:val="20"/>
              </w:rPr>
            </w:pPr>
            <w:r>
              <w:rPr>
                <w:sz w:val="20"/>
              </w:rPr>
              <w:t xml:space="preserve">Klarner, Carl, 2013, “State Partisan Balance Data, 1937–2011”, </w:t>
            </w:r>
            <w:hyperlink r:id="rId470">
              <w:r>
                <w:rPr>
                  <w:color w:val="0462C1"/>
                  <w:sz w:val="20"/>
                  <w:u w:val="single" w:color="0462C1"/>
                </w:rPr>
                <w:t>https://doi.org/10.7910/DVN/LZHMG3</w:t>
              </w:r>
              <w:r>
                <w:rPr>
                  <w:sz w:val="20"/>
                </w:rPr>
                <w:t>,</w:t>
              </w:r>
            </w:hyperlink>
            <w:r>
              <w:rPr>
                <w:sz w:val="20"/>
              </w:rPr>
              <w:t xml:space="preserve"> Harvard Dataverse, V1</w:t>
            </w:r>
          </w:p>
        </w:tc>
      </w:tr>
    </w:tbl>
    <w:p w14:paraId="6D6FAC48" w14:textId="77777777" w:rsidR="0046798B" w:rsidRDefault="0046798B">
      <w:pPr>
        <w:rPr>
          <w:sz w:val="20"/>
        </w:rPr>
        <w:sectPr w:rsidR="0046798B">
          <w:pgSz w:w="15840" w:h="12240" w:orient="landscape"/>
          <w:pgMar w:top="1220" w:right="300" w:bottom="980" w:left="820" w:header="730" w:footer="787" w:gutter="0"/>
          <w:cols w:space="720"/>
        </w:sectPr>
      </w:pPr>
    </w:p>
    <w:p w14:paraId="703124CA"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0"/>
        <w:gridCol w:w="3421"/>
        <w:gridCol w:w="6477"/>
      </w:tblGrid>
      <w:tr w:rsidR="0046798B" w14:paraId="72535C40" w14:textId="77777777">
        <w:trPr>
          <w:trHeight w:val="775"/>
        </w:trPr>
        <w:tc>
          <w:tcPr>
            <w:tcW w:w="1711" w:type="dxa"/>
          </w:tcPr>
          <w:p w14:paraId="285D431C" w14:textId="77777777" w:rsidR="0046798B" w:rsidRDefault="0046798B">
            <w:pPr>
              <w:pStyle w:val="TableParagraph"/>
              <w:rPr>
                <w:sz w:val="20"/>
              </w:rPr>
            </w:pPr>
          </w:p>
        </w:tc>
        <w:tc>
          <w:tcPr>
            <w:tcW w:w="1596" w:type="dxa"/>
          </w:tcPr>
          <w:p w14:paraId="1CE4480A" w14:textId="77777777" w:rsidR="0046798B" w:rsidRDefault="0046798B">
            <w:pPr>
              <w:pStyle w:val="TableParagraph"/>
              <w:rPr>
                <w:sz w:val="20"/>
              </w:rPr>
            </w:pPr>
          </w:p>
        </w:tc>
        <w:tc>
          <w:tcPr>
            <w:tcW w:w="1280" w:type="dxa"/>
          </w:tcPr>
          <w:p w14:paraId="7CAC6A51" w14:textId="77777777" w:rsidR="0046798B" w:rsidRDefault="0046798B">
            <w:pPr>
              <w:pStyle w:val="TableParagraph"/>
              <w:rPr>
                <w:sz w:val="20"/>
              </w:rPr>
            </w:pPr>
          </w:p>
        </w:tc>
        <w:tc>
          <w:tcPr>
            <w:tcW w:w="3421" w:type="dxa"/>
          </w:tcPr>
          <w:p w14:paraId="7D779896" w14:textId="77777777" w:rsidR="0046798B" w:rsidRDefault="0046798B">
            <w:pPr>
              <w:pStyle w:val="TableParagraph"/>
              <w:rPr>
                <w:sz w:val="20"/>
              </w:rPr>
            </w:pPr>
          </w:p>
        </w:tc>
        <w:tc>
          <w:tcPr>
            <w:tcW w:w="6477" w:type="dxa"/>
          </w:tcPr>
          <w:p w14:paraId="7025B9BC" w14:textId="77777777" w:rsidR="0046798B" w:rsidRDefault="00903B5C">
            <w:pPr>
              <w:pStyle w:val="TableParagraph"/>
              <w:spacing w:before="43"/>
              <w:ind w:left="114" w:right="166"/>
              <w:rPr>
                <w:sz w:val="20"/>
              </w:rPr>
            </w:pPr>
            <w:r>
              <w:rPr>
                <w:sz w:val="20"/>
              </w:rPr>
              <w:t xml:space="preserve">Book of the States </w:t>
            </w:r>
            <w:hyperlink r:id="rId471">
              <w:r>
                <w:rPr>
                  <w:sz w:val="20"/>
                </w:rPr>
                <w:t>(</w:t>
              </w:r>
              <w:r>
                <w:rPr>
                  <w:color w:val="0462C1"/>
                  <w:sz w:val="20"/>
                  <w:u w:val="single" w:color="0462C1"/>
                </w:rPr>
                <w:t>https://knowledgecenter.csg.org/kc/category/content-</w:t>
              </w:r>
            </w:hyperlink>
            <w:r>
              <w:rPr>
                <w:color w:val="0462C1"/>
                <w:sz w:val="20"/>
              </w:rPr>
              <w:t xml:space="preserve"> </w:t>
            </w:r>
            <w:hyperlink r:id="rId472">
              <w:r>
                <w:rPr>
                  <w:color w:val="0462C1"/>
                  <w:sz w:val="20"/>
                  <w:u w:val="single" w:color="0462C1"/>
                </w:rPr>
                <w:t>type/content-type/book-states</w:t>
              </w:r>
            </w:hyperlink>
            <w:r>
              <w:rPr>
                <w:sz w:val="20"/>
              </w:rPr>
              <w:t>) See chapter 3, Table 3.3 for information about legislators; 2011 to 2015</w:t>
            </w:r>
          </w:p>
        </w:tc>
      </w:tr>
      <w:tr w:rsidR="0046798B" w14:paraId="23DEF370" w14:textId="77777777">
        <w:trPr>
          <w:trHeight w:val="775"/>
        </w:trPr>
        <w:tc>
          <w:tcPr>
            <w:tcW w:w="1711" w:type="dxa"/>
          </w:tcPr>
          <w:p w14:paraId="0307064E" w14:textId="77777777" w:rsidR="0046798B" w:rsidRDefault="0046798B">
            <w:pPr>
              <w:pStyle w:val="TableParagraph"/>
              <w:spacing w:before="8"/>
              <w:rPr>
                <w:sz w:val="23"/>
              </w:rPr>
            </w:pPr>
          </w:p>
          <w:p w14:paraId="3F8985F9" w14:textId="77777777" w:rsidR="0046798B" w:rsidRDefault="00903B5C">
            <w:pPr>
              <w:pStyle w:val="TableParagraph"/>
              <w:spacing w:before="1"/>
              <w:ind w:left="115"/>
              <w:rPr>
                <w:b/>
                <w:sz w:val="20"/>
              </w:rPr>
            </w:pPr>
            <w:r>
              <w:rPr>
                <w:b/>
                <w:sz w:val="20"/>
              </w:rPr>
              <w:t>sen_rep_in_sess</w:t>
            </w:r>
          </w:p>
        </w:tc>
        <w:tc>
          <w:tcPr>
            <w:tcW w:w="1596" w:type="dxa"/>
          </w:tcPr>
          <w:p w14:paraId="19E57EAC" w14:textId="77777777" w:rsidR="0046798B" w:rsidRDefault="00903B5C">
            <w:pPr>
              <w:pStyle w:val="TableParagraph"/>
              <w:spacing w:before="43"/>
              <w:ind w:left="114" w:right="124"/>
              <w:rPr>
                <w:sz w:val="20"/>
              </w:rPr>
            </w:pPr>
            <w:r>
              <w:rPr>
                <w:sz w:val="20"/>
              </w:rPr>
              <w:t>Number of Republican state senators</w:t>
            </w:r>
          </w:p>
        </w:tc>
        <w:tc>
          <w:tcPr>
            <w:tcW w:w="1280" w:type="dxa"/>
          </w:tcPr>
          <w:p w14:paraId="14395578" w14:textId="77777777" w:rsidR="0046798B" w:rsidRDefault="0046798B">
            <w:pPr>
              <w:pStyle w:val="TableParagraph"/>
              <w:spacing w:before="8"/>
              <w:rPr>
                <w:sz w:val="23"/>
              </w:rPr>
            </w:pPr>
          </w:p>
          <w:p w14:paraId="76908CEB" w14:textId="77777777" w:rsidR="0046798B" w:rsidRDefault="00903B5C">
            <w:pPr>
              <w:pStyle w:val="TableParagraph"/>
              <w:spacing w:before="1"/>
              <w:ind w:left="114"/>
              <w:rPr>
                <w:sz w:val="20"/>
              </w:rPr>
            </w:pPr>
            <w:r>
              <w:rPr>
                <w:sz w:val="20"/>
              </w:rPr>
              <w:t>1937–2011</w:t>
            </w:r>
          </w:p>
        </w:tc>
        <w:tc>
          <w:tcPr>
            <w:tcW w:w="3421" w:type="dxa"/>
          </w:tcPr>
          <w:p w14:paraId="227B19A5" w14:textId="77777777" w:rsidR="0046798B" w:rsidRDefault="00903B5C">
            <w:pPr>
              <w:pStyle w:val="TableParagraph"/>
              <w:spacing w:before="158"/>
              <w:ind w:left="114" w:right="438"/>
              <w:rPr>
                <w:sz w:val="20"/>
              </w:rPr>
            </w:pPr>
            <w:r>
              <w:rPr>
                <w:sz w:val="20"/>
              </w:rPr>
              <w:t>Total number of Republicans in the state senate this session</w:t>
            </w:r>
          </w:p>
        </w:tc>
        <w:tc>
          <w:tcPr>
            <w:tcW w:w="6477" w:type="dxa"/>
          </w:tcPr>
          <w:p w14:paraId="67939599" w14:textId="77777777" w:rsidR="0046798B" w:rsidRDefault="00903B5C">
            <w:pPr>
              <w:pStyle w:val="TableParagraph"/>
              <w:spacing w:before="158"/>
              <w:ind w:left="114" w:right="1195"/>
              <w:rPr>
                <w:sz w:val="20"/>
              </w:rPr>
            </w:pPr>
            <w:r>
              <w:rPr>
                <w:sz w:val="20"/>
              </w:rPr>
              <w:t xml:space="preserve">Klarner, Carl, 2013, “State Partisan Balance Data, 1937–2011”, </w:t>
            </w:r>
            <w:hyperlink r:id="rId473">
              <w:r>
                <w:rPr>
                  <w:color w:val="0462C1"/>
                  <w:sz w:val="20"/>
                  <w:u w:val="single" w:color="0462C1"/>
                </w:rPr>
                <w:t>https://doi.org/10.7910/DVN/LZHMG3</w:t>
              </w:r>
              <w:r>
                <w:rPr>
                  <w:sz w:val="20"/>
                </w:rPr>
                <w:t>,</w:t>
              </w:r>
            </w:hyperlink>
            <w:r>
              <w:rPr>
                <w:sz w:val="20"/>
              </w:rPr>
              <w:t xml:space="preserve"> Harvard Dataverse, V1</w:t>
            </w:r>
          </w:p>
        </w:tc>
      </w:tr>
      <w:tr w:rsidR="0046798B" w14:paraId="703A04A0" w14:textId="77777777">
        <w:trPr>
          <w:trHeight w:val="780"/>
        </w:trPr>
        <w:tc>
          <w:tcPr>
            <w:tcW w:w="1711" w:type="dxa"/>
          </w:tcPr>
          <w:p w14:paraId="3B2DD5E5" w14:textId="77777777" w:rsidR="0046798B" w:rsidRDefault="0046798B">
            <w:pPr>
              <w:pStyle w:val="TableParagraph"/>
              <w:spacing w:before="9"/>
              <w:rPr>
                <w:sz w:val="23"/>
              </w:rPr>
            </w:pPr>
          </w:p>
          <w:p w14:paraId="68739399" w14:textId="77777777" w:rsidR="0046798B" w:rsidRDefault="00903B5C">
            <w:pPr>
              <w:pStyle w:val="TableParagraph"/>
              <w:ind w:left="115"/>
              <w:rPr>
                <w:b/>
                <w:sz w:val="20"/>
              </w:rPr>
            </w:pPr>
            <w:r>
              <w:rPr>
                <w:b/>
                <w:sz w:val="20"/>
              </w:rPr>
              <w:t>sen_ind_in_sess</w:t>
            </w:r>
          </w:p>
        </w:tc>
        <w:tc>
          <w:tcPr>
            <w:tcW w:w="1596" w:type="dxa"/>
          </w:tcPr>
          <w:p w14:paraId="34F23384" w14:textId="77777777" w:rsidR="0046798B" w:rsidRDefault="00903B5C">
            <w:pPr>
              <w:pStyle w:val="TableParagraph"/>
              <w:spacing w:before="44"/>
              <w:ind w:left="114" w:right="110"/>
              <w:rPr>
                <w:sz w:val="20"/>
              </w:rPr>
            </w:pPr>
            <w:r>
              <w:rPr>
                <w:sz w:val="20"/>
              </w:rPr>
              <w:t>Number of non- major-party state senators</w:t>
            </w:r>
          </w:p>
        </w:tc>
        <w:tc>
          <w:tcPr>
            <w:tcW w:w="1280" w:type="dxa"/>
          </w:tcPr>
          <w:p w14:paraId="4AAF2E1D" w14:textId="77777777" w:rsidR="0046798B" w:rsidRDefault="0046798B">
            <w:pPr>
              <w:pStyle w:val="TableParagraph"/>
              <w:spacing w:before="9"/>
              <w:rPr>
                <w:sz w:val="23"/>
              </w:rPr>
            </w:pPr>
          </w:p>
          <w:p w14:paraId="3D88DC3C" w14:textId="77777777" w:rsidR="0046798B" w:rsidRDefault="00903B5C">
            <w:pPr>
              <w:pStyle w:val="TableParagraph"/>
              <w:ind w:left="114"/>
              <w:rPr>
                <w:sz w:val="20"/>
              </w:rPr>
            </w:pPr>
            <w:r>
              <w:rPr>
                <w:sz w:val="20"/>
              </w:rPr>
              <w:t>1937–2011</w:t>
            </w:r>
          </w:p>
        </w:tc>
        <w:tc>
          <w:tcPr>
            <w:tcW w:w="3421" w:type="dxa"/>
          </w:tcPr>
          <w:p w14:paraId="4675D17F" w14:textId="77777777" w:rsidR="0046798B" w:rsidRDefault="00903B5C">
            <w:pPr>
              <w:pStyle w:val="TableParagraph"/>
              <w:spacing w:before="44"/>
              <w:ind w:left="114" w:right="492"/>
              <w:jc w:val="both"/>
              <w:rPr>
                <w:sz w:val="20"/>
              </w:rPr>
            </w:pPr>
            <w:r>
              <w:rPr>
                <w:sz w:val="20"/>
              </w:rPr>
              <w:t>Total number of non-Democrats or Republicans in the state senate this session</w:t>
            </w:r>
          </w:p>
        </w:tc>
        <w:tc>
          <w:tcPr>
            <w:tcW w:w="6477" w:type="dxa"/>
          </w:tcPr>
          <w:p w14:paraId="30F2DDF6" w14:textId="77777777" w:rsidR="0046798B" w:rsidRDefault="00903B5C">
            <w:pPr>
              <w:pStyle w:val="TableParagraph"/>
              <w:spacing w:before="159"/>
              <w:ind w:left="114" w:right="1195"/>
              <w:rPr>
                <w:sz w:val="20"/>
              </w:rPr>
            </w:pPr>
            <w:r>
              <w:rPr>
                <w:sz w:val="20"/>
              </w:rPr>
              <w:t xml:space="preserve">Klarner, Carl, 2013, “State Partisan Balance Data, 1937–2011”, </w:t>
            </w:r>
            <w:hyperlink r:id="rId474">
              <w:r>
                <w:rPr>
                  <w:color w:val="0462C1"/>
                  <w:sz w:val="20"/>
                  <w:u w:val="single" w:color="0462C1"/>
                </w:rPr>
                <w:t>https://doi.org/10.7910/DVN/LZHMG3</w:t>
              </w:r>
              <w:r>
                <w:rPr>
                  <w:sz w:val="20"/>
                </w:rPr>
                <w:t>,</w:t>
              </w:r>
            </w:hyperlink>
            <w:r>
              <w:rPr>
                <w:sz w:val="20"/>
              </w:rPr>
              <w:t xml:space="preserve"> Harvard Dataverse, V1</w:t>
            </w:r>
          </w:p>
        </w:tc>
      </w:tr>
      <w:tr w:rsidR="0046798B" w14:paraId="510296E4" w14:textId="77777777">
        <w:trPr>
          <w:trHeight w:val="775"/>
        </w:trPr>
        <w:tc>
          <w:tcPr>
            <w:tcW w:w="1711" w:type="dxa"/>
          </w:tcPr>
          <w:p w14:paraId="7CD05B4B" w14:textId="77777777" w:rsidR="0046798B" w:rsidRDefault="0046798B">
            <w:pPr>
              <w:pStyle w:val="TableParagraph"/>
              <w:spacing w:before="3"/>
              <w:rPr>
                <w:sz w:val="23"/>
              </w:rPr>
            </w:pPr>
          </w:p>
          <w:p w14:paraId="604B3F1C" w14:textId="77777777" w:rsidR="0046798B" w:rsidRDefault="00903B5C">
            <w:pPr>
              <w:pStyle w:val="TableParagraph"/>
              <w:spacing w:before="1"/>
              <w:ind w:left="115"/>
              <w:rPr>
                <w:b/>
                <w:sz w:val="20"/>
              </w:rPr>
            </w:pPr>
            <w:r>
              <w:rPr>
                <w:b/>
                <w:sz w:val="20"/>
              </w:rPr>
              <w:t>sen_vac_in_sess</w:t>
            </w:r>
          </w:p>
        </w:tc>
        <w:tc>
          <w:tcPr>
            <w:tcW w:w="1596" w:type="dxa"/>
          </w:tcPr>
          <w:p w14:paraId="41C1008B" w14:textId="77777777" w:rsidR="0046798B" w:rsidRDefault="00903B5C">
            <w:pPr>
              <w:pStyle w:val="TableParagraph"/>
              <w:spacing w:before="38"/>
              <w:ind w:left="114" w:right="380"/>
              <w:rPr>
                <w:sz w:val="20"/>
              </w:rPr>
            </w:pPr>
            <w:r>
              <w:rPr>
                <w:sz w:val="20"/>
              </w:rPr>
              <w:t>Number of vacant senate seats</w:t>
            </w:r>
          </w:p>
        </w:tc>
        <w:tc>
          <w:tcPr>
            <w:tcW w:w="1280" w:type="dxa"/>
          </w:tcPr>
          <w:p w14:paraId="243EB980" w14:textId="77777777" w:rsidR="0046798B" w:rsidRDefault="0046798B">
            <w:pPr>
              <w:pStyle w:val="TableParagraph"/>
              <w:spacing w:before="3"/>
              <w:rPr>
                <w:sz w:val="23"/>
              </w:rPr>
            </w:pPr>
          </w:p>
          <w:p w14:paraId="155F37A6" w14:textId="77777777" w:rsidR="0046798B" w:rsidRDefault="00903B5C">
            <w:pPr>
              <w:pStyle w:val="TableParagraph"/>
              <w:spacing w:before="1"/>
              <w:ind w:left="114"/>
              <w:rPr>
                <w:sz w:val="20"/>
              </w:rPr>
            </w:pPr>
            <w:r>
              <w:rPr>
                <w:sz w:val="20"/>
              </w:rPr>
              <w:t>1937–2011</w:t>
            </w:r>
          </w:p>
        </w:tc>
        <w:tc>
          <w:tcPr>
            <w:tcW w:w="3421" w:type="dxa"/>
          </w:tcPr>
          <w:p w14:paraId="00E68E1C" w14:textId="77777777" w:rsidR="0046798B" w:rsidRDefault="00903B5C">
            <w:pPr>
              <w:pStyle w:val="TableParagraph"/>
              <w:spacing w:before="153"/>
              <w:ind w:left="114" w:right="477"/>
              <w:rPr>
                <w:sz w:val="20"/>
              </w:rPr>
            </w:pPr>
            <w:r>
              <w:rPr>
                <w:sz w:val="20"/>
              </w:rPr>
              <w:t>Number of vacant seats in the state senate this session</w:t>
            </w:r>
          </w:p>
        </w:tc>
        <w:tc>
          <w:tcPr>
            <w:tcW w:w="6477" w:type="dxa"/>
          </w:tcPr>
          <w:p w14:paraId="27E6817E" w14:textId="77777777" w:rsidR="0046798B" w:rsidRDefault="00903B5C">
            <w:pPr>
              <w:pStyle w:val="TableParagraph"/>
              <w:spacing w:before="153"/>
              <w:ind w:left="114" w:right="1195"/>
              <w:rPr>
                <w:sz w:val="20"/>
              </w:rPr>
            </w:pPr>
            <w:r>
              <w:rPr>
                <w:sz w:val="20"/>
              </w:rPr>
              <w:t xml:space="preserve">Klarner, Carl, 2013, “State Partisan Balance Data, 1937–2011”, </w:t>
            </w:r>
            <w:hyperlink r:id="rId475">
              <w:r>
                <w:rPr>
                  <w:color w:val="0462C1"/>
                  <w:sz w:val="20"/>
                  <w:u w:val="single" w:color="0462C1"/>
                </w:rPr>
                <w:t>https://doi.org/10.7910/DVN/LZHMG3</w:t>
              </w:r>
              <w:r>
                <w:rPr>
                  <w:sz w:val="20"/>
                </w:rPr>
                <w:t>,</w:t>
              </w:r>
            </w:hyperlink>
            <w:r>
              <w:rPr>
                <w:sz w:val="20"/>
              </w:rPr>
              <w:t xml:space="preserve"> Harvard Dataverse, V1</w:t>
            </w:r>
          </w:p>
        </w:tc>
      </w:tr>
      <w:tr w:rsidR="0046798B" w14:paraId="6317A631" w14:textId="77777777">
        <w:trPr>
          <w:trHeight w:val="1465"/>
        </w:trPr>
        <w:tc>
          <w:tcPr>
            <w:tcW w:w="1711" w:type="dxa"/>
          </w:tcPr>
          <w:p w14:paraId="6B637F2E" w14:textId="77777777" w:rsidR="0046798B" w:rsidRDefault="0046798B">
            <w:pPr>
              <w:pStyle w:val="TableParagraph"/>
            </w:pPr>
          </w:p>
          <w:p w14:paraId="631301D8" w14:textId="77777777" w:rsidR="0046798B" w:rsidRDefault="0046798B">
            <w:pPr>
              <w:pStyle w:val="TableParagraph"/>
              <w:spacing w:before="3"/>
              <w:rPr>
                <w:sz w:val="31"/>
              </w:rPr>
            </w:pPr>
          </w:p>
          <w:p w14:paraId="6B3A984D" w14:textId="77777777" w:rsidR="0046798B" w:rsidRDefault="00903B5C">
            <w:pPr>
              <w:pStyle w:val="TableParagraph"/>
              <w:spacing w:before="1"/>
              <w:ind w:left="115"/>
              <w:rPr>
                <w:b/>
                <w:sz w:val="20"/>
              </w:rPr>
            </w:pPr>
            <w:r>
              <w:rPr>
                <w:b/>
                <w:sz w:val="20"/>
              </w:rPr>
              <w:t>sen_tot_in_sess</w:t>
            </w:r>
          </w:p>
        </w:tc>
        <w:tc>
          <w:tcPr>
            <w:tcW w:w="1596" w:type="dxa"/>
          </w:tcPr>
          <w:p w14:paraId="41F1C433" w14:textId="77777777" w:rsidR="0046798B" w:rsidRDefault="0046798B">
            <w:pPr>
              <w:pStyle w:val="TableParagraph"/>
            </w:pPr>
          </w:p>
          <w:p w14:paraId="7300A6AD" w14:textId="77777777" w:rsidR="0046798B" w:rsidRDefault="0046798B">
            <w:pPr>
              <w:pStyle w:val="TableParagraph"/>
              <w:spacing w:before="3"/>
              <w:rPr>
                <w:sz w:val="21"/>
              </w:rPr>
            </w:pPr>
          </w:p>
          <w:p w14:paraId="7B0725FE" w14:textId="77777777" w:rsidR="0046798B" w:rsidRDefault="00903B5C">
            <w:pPr>
              <w:pStyle w:val="TableParagraph"/>
              <w:spacing w:before="1"/>
              <w:ind w:left="114" w:right="152"/>
              <w:rPr>
                <w:sz w:val="20"/>
              </w:rPr>
            </w:pPr>
            <w:r>
              <w:rPr>
                <w:sz w:val="20"/>
              </w:rPr>
              <w:t>Total number of state senators</w:t>
            </w:r>
          </w:p>
        </w:tc>
        <w:tc>
          <w:tcPr>
            <w:tcW w:w="1280" w:type="dxa"/>
          </w:tcPr>
          <w:p w14:paraId="5C4977E2" w14:textId="77777777" w:rsidR="0046798B" w:rsidRDefault="0046798B">
            <w:pPr>
              <w:pStyle w:val="TableParagraph"/>
            </w:pPr>
          </w:p>
          <w:p w14:paraId="098907A0" w14:textId="77777777" w:rsidR="0046798B" w:rsidRDefault="0046798B">
            <w:pPr>
              <w:pStyle w:val="TableParagraph"/>
              <w:spacing w:before="3"/>
              <w:rPr>
                <w:sz w:val="31"/>
              </w:rPr>
            </w:pPr>
          </w:p>
          <w:p w14:paraId="68F63587" w14:textId="77777777" w:rsidR="0046798B" w:rsidRDefault="00903B5C">
            <w:pPr>
              <w:pStyle w:val="TableParagraph"/>
              <w:spacing w:before="1"/>
              <w:ind w:left="114"/>
              <w:rPr>
                <w:sz w:val="20"/>
              </w:rPr>
            </w:pPr>
            <w:r>
              <w:rPr>
                <w:sz w:val="20"/>
              </w:rPr>
              <w:t>1937–2015</w:t>
            </w:r>
          </w:p>
        </w:tc>
        <w:tc>
          <w:tcPr>
            <w:tcW w:w="3421" w:type="dxa"/>
          </w:tcPr>
          <w:p w14:paraId="487062EB" w14:textId="77777777" w:rsidR="0046798B" w:rsidRDefault="0046798B">
            <w:pPr>
              <w:pStyle w:val="TableParagraph"/>
            </w:pPr>
          </w:p>
          <w:p w14:paraId="1A8FBA46" w14:textId="77777777" w:rsidR="0046798B" w:rsidRDefault="0046798B">
            <w:pPr>
              <w:pStyle w:val="TableParagraph"/>
              <w:spacing w:before="3"/>
              <w:rPr>
                <w:sz w:val="21"/>
              </w:rPr>
            </w:pPr>
          </w:p>
          <w:p w14:paraId="16E9CE4C" w14:textId="77777777" w:rsidR="0046798B" w:rsidRDefault="00903B5C">
            <w:pPr>
              <w:pStyle w:val="TableParagraph"/>
              <w:spacing w:before="1"/>
              <w:ind w:left="114" w:right="516"/>
              <w:rPr>
                <w:sz w:val="20"/>
              </w:rPr>
            </w:pPr>
            <w:r>
              <w:rPr>
                <w:sz w:val="20"/>
              </w:rPr>
              <w:t>Total number of state senators this session</w:t>
            </w:r>
          </w:p>
        </w:tc>
        <w:tc>
          <w:tcPr>
            <w:tcW w:w="6477" w:type="dxa"/>
          </w:tcPr>
          <w:p w14:paraId="229BFC4C" w14:textId="77777777" w:rsidR="0046798B" w:rsidRDefault="00903B5C">
            <w:pPr>
              <w:pStyle w:val="TableParagraph"/>
              <w:spacing w:before="38"/>
              <w:ind w:left="114" w:right="1195"/>
              <w:rPr>
                <w:sz w:val="20"/>
              </w:rPr>
            </w:pPr>
            <w:r>
              <w:rPr>
                <w:sz w:val="20"/>
              </w:rPr>
              <w:t xml:space="preserve">Klarner, Carl, 2013, “State Partisan Balance Data, 1937–2011”, </w:t>
            </w:r>
            <w:hyperlink r:id="rId476">
              <w:r>
                <w:rPr>
                  <w:color w:val="0462C1"/>
                  <w:sz w:val="20"/>
                  <w:u w:val="single" w:color="0462C1"/>
                </w:rPr>
                <w:t>https://doi.org/10.7910/DVN/LZHMG3</w:t>
              </w:r>
              <w:r>
                <w:rPr>
                  <w:sz w:val="20"/>
                </w:rPr>
                <w:t>,</w:t>
              </w:r>
            </w:hyperlink>
            <w:r>
              <w:rPr>
                <w:sz w:val="20"/>
              </w:rPr>
              <w:t xml:space="preserve"> Harvard Dataverse, V1</w:t>
            </w:r>
          </w:p>
          <w:p w14:paraId="552ABC69" w14:textId="77777777" w:rsidR="0046798B" w:rsidRDefault="0046798B">
            <w:pPr>
              <w:pStyle w:val="TableParagraph"/>
              <w:rPr>
                <w:sz w:val="20"/>
              </w:rPr>
            </w:pPr>
          </w:p>
          <w:p w14:paraId="638AE8F3" w14:textId="77777777" w:rsidR="0046798B" w:rsidRDefault="00903B5C">
            <w:pPr>
              <w:pStyle w:val="TableParagraph"/>
              <w:ind w:left="114" w:right="166"/>
              <w:rPr>
                <w:sz w:val="20"/>
              </w:rPr>
            </w:pPr>
            <w:r>
              <w:rPr>
                <w:sz w:val="20"/>
              </w:rPr>
              <w:t xml:space="preserve">Book of the States </w:t>
            </w:r>
            <w:hyperlink r:id="rId477">
              <w:r>
                <w:rPr>
                  <w:sz w:val="20"/>
                </w:rPr>
                <w:t>(</w:t>
              </w:r>
              <w:r>
                <w:rPr>
                  <w:color w:val="0462C1"/>
                  <w:sz w:val="20"/>
                  <w:u w:val="single" w:color="0462C1"/>
                </w:rPr>
                <w:t>https://knowledgecenter.csg.org/kc/category/content-</w:t>
              </w:r>
            </w:hyperlink>
            <w:r>
              <w:rPr>
                <w:color w:val="0462C1"/>
                <w:sz w:val="20"/>
              </w:rPr>
              <w:t xml:space="preserve"> </w:t>
            </w:r>
            <w:hyperlink r:id="rId478">
              <w:r>
                <w:rPr>
                  <w:color w:val="0462C1"/>
                  <w:sz w:val="20"/>
                  <w:u w:val="single" w:color="0462C1"/>
                </w:rPr>
                <w:t>type/content-type/book-states</w:t>
              </w:r>
            </w:hyperlink>
            <w:r>
              <w:rPr>
                <w:sz w:val="20"/>
              </w:rPr>
              <w:t>) See chapter 3, Table 3.3 for information about legislators; 2011 to 2015</w:t>
            </w:r>
          </w:p>
        </w:tc>
      </w:tr>
      <w:tr w:rsidR="0046798B" w14:paraId="7EC34CEC" w14:textId="77777777">
        <w:trPr>
          <w:trHeight w:val="545"/>
        </w:trPr>
        <w:tc>
          <w:tcPr>
            <w:tcW w:w="1711" w:type="dxa"/>
          </w:tcPr>
          <w:p w14:paraId="1D4F7F91" w14:textId="77777777" w:rsidR="0046798B" w:rsidRDefault="00903B5C">
            <w:pPr>
              <w:pStyle w:val="TableParagraph"/>
              <w:spacing w:before="158"/>
              <w:ind w:left="115"/>
              <w:rPr>
                <w:b/>
                <w:sz w:val="20"/>
              </w:rPr>
            </w:pPr>
            <w:r>
              <w:rPr>
                <w:b/>
                <w:sz w:val="20"/>
              </w:rPr>
              <w:t>sen_cont_alt</w:t>
            </w:r>
          </w:p>
        </w:tc>
        <w:tc>
          <w:tcPr>
            <w:tcW w:w="1596" w:type="dxa"/>
          </w:tcPr>
          <w:p w14:paraId="0DDDA862" w14:textId="77777777" w:rsidR="0046798B" w:rsidRDefault="00903B5C">
            <w:pPr>
              <w:pStyle w:val="TableParagraph"/>
              <w:spacing w:before="43"/>
              <w:ind w:left="114" w:right="135"/>
              <w:rPr>
                <w:sz w:val="20"/>
              </w:rPr>
            </w:pPr>
            <w:r>
              <w:rPr>
                <w:sz w:val="20"/>
              </w:rPr>
              <w:t>Party in control of state senate</w:t>
            </w:r>
          </w:p>
        </w:tc>
        <w:tc>
          <w:tcPr>
            <w:tcW w:w="1280" w:type="dxa"/>
          </w:tcPr>
          <w:p w14:paraId="0B916EC1" w14:textId="77777777" w:rsidR="0046798B" w:rsidRDefault="00903B5C">
            <w:pPr>
              <w:pStyle w:val="TableParagraph"/>
              <w:spacing w:before="158"/>
              <w:ind w:left="114"/>
              <w:rPr>
                <w:sz w:val="20"/>
              </w:rPr>
            </w:pPr>
            <w:r>
              <w:rPr>
                <w:sz w:val="20"/>
              </w:rPr>
              <w:t>1937–2011</w:t>
            </w:r>
          </w:p>
        </w:tc>
        <w:tc>
          <w:tcPr>
            <w:tcW w:w="3421" w:type="dxa"/>
          </w:tcPr>
          <w:p w14:paraId="65528999" w14:textId="77777777" w:rsidR="0046798B" w:rsidRDefault="00903B5C">
            <w:pPr>
              <w:pStyle w:val="TableParagraph"/>
              <w:spacing w:before="43"/>
              <w:ind w:left="114" w:right="283"/>
              <w:rPr>
                <w:sz w:val="20"/>
              </w:rPr>
            </w:pPr>
            <w:r>
              <w:rPr>
                <w:sz w:val="20"/>
              </w:rPr>
              <w:t>1 = Democrats, 0 = Republicans, .5 = split</w:t>
            </w:r>
          </w:p>
        </w:tc>
        <w:tc>
          <w:tcPr>
            <w:tcW w:w="6477" w:type="dxa"/>
          </w:tcPr>
          <w:p w14:paraId="2A75A839" w14:textId="77777777" w:rsidR="0046798B" w:rsidRDefault="00903B5C">
            <w:pPr>
              <w:pStyle w:val="TableParagraph"/>
              <w:spacing w:before="43"/>
              <w:ind w:left="114" w:right="1195"/>
              <w:rPr>
                <w:sz w:val="20"/>
              </w:rPr>
            </w:pPr>
            <w:r>
              <w:rPr>
                <w:sz w:val="20"/>
              </w:rPr>
              <w:t xml:space="preserve">Klarner, Carl, 2013, “State Partisan Balance Data, 1937–2011”, </w:t>
            </w:r>
            <w:hyperlink r:id="rId479">
              <w:r>
                <w:rPr>
                  <w:color w:val="0462C1"/>
                  <w:sz w:val="20"/>
                  <w:u w:val="single" w:color="0462C1"/>
                </w:rPr>
                <w:t>https://doi.org/10.7910/DVN/LZHMG3</w:t>
              </w:r>
              <w:r>
                <w:rPr>
                  <w:sz w:val="20"/>
                </w:rPr>
                <w:t>,</w:t>
              </w:r>
            </w:hyperlink>
            <w:r>
              <w:rPr>
                <w:sz w:val="20"/>
              </w:rPr>
              <w:t xml:space="preserve"> Harvard Dataverse, V1</w:t>
            </w:r>
          </w:p>
        </w:tc>
      </w:tr>
      <w:tr w:rsidR="0046798B" w14:paraId="121159CA" w14:textId="77777777">
        <w:trPr>
          <w:trHeight w:val="775"/>
        </w:trPr>
        <w:tc>
          <w:tcPr>
            <w:tcW w:w="1711" w:type="dxa"/>
          </w:tcPr>
          <w:p w14:paraId="256AFF1C" w14:textId="77777777" w:rsidR="0046798B" w:rsidRDefault="00903B5C">
            <w:pPr>
              <w:pStyle w:val="TableParagraph"/>
              <w:spacing w:before="159"/>
              <w:ind w:left="115"/>
              <w:rPr>
                <w:b/>
                <w:sz w:val="20"/>
              </w:rPr>
            </w:pPr>
            <w:r>
              <w:rPr>
                <w:b/>
                <w:sz w:val="20"/>
              </w:rPr>
              <w:t>hs_elections_this</w:t>
            </w:r>
          </w:p>
          <w:p w14:paraId="14C994F0" w14:textId="77777777" w:rsidR="0046798B" w:rsidRDefault="00903B5C">
            <w:pPr>
              <w:pStyle w:val="TableParagraph"/>
              <w:ind w:left="115"/>
              <w:rPr>
                <w:b/>
                <w:sz w:val="20"/>
              </w:rPr>
            </w:pPr>
            <w:r>
              <w:rPr>
                <w:b/>
                <w:sz w:val="20"/>
              </w:rPr>
              <w:t>_year</w:t>
            </w:r>
          </w:p>
        </w:tc>
        <w:tc>
          <w:tcPr>
            <w:tcW w:w="1596" w:type="dxa"/>
          </w:tcPr>
          <w:p w14:paraId="146384C5" w14:textId="77777777" w:rsidR="0046798B" w:rsidRDefault="00903B5C">
            <w:pPr>
              <w:pStyle w:val="TableParagraph"/>
              <w:spacing w:before="44"/>
              <w:ind w:left="114" w:right="402"/>
              <w:rPr>
                <w:sz w:val="20"/>
              </w:rPr>
            </w:pPr>
            <w:r>
              <w:rPr>
                <w:sz w:val="20"/>
              </w:rPr>
              <w:t>State house elections this year</w:t>
            </w:r>
          </w:p>
        </w:tc>
        <w:tc>
          <w:tcPr>
            <w:tcW w:w="1280" w:type="dxa"/>
          </w:tcPr>
          <w:p w14:paraId="48E93B47" w14:textId="77777777" w:rsidR="0046798B" w:rsidRDefault="0046798B">
            <w:pPr>
              <w:pStyle w:val="TableParagraph"/>
              <w:spacing w:before="9"/>
              <w:rPr>
                <w:sz w:val="23"/>
              </w:rPr>
            </w:pPr>
          </w:p>
          <w:p w14:paraId="3693F819" w14:textId="77777777" w:rsidR="0046798B" w:rsidRDefault="00903B5C">
            <w:pPr>
              <w:pStyle w:val="TableParagraph"/>
              <w:ind w:left="114"/>
              <w:rPr>
                <w:sz w:val="20"/>
              </w:rPr>
            </w:pPr>
            <w:r>
              <w:rPr>
                <w:sz w:val="20"/>
              </w:rPr>
              <w:t>1937–2011</w:t>
            </w:r>
          </w:p>
        </w:tc>
        <w:tc>
          <w:tcPr>
            <w:tcW w:w="3421" w:type="dxa"/>
          </w:tcPr>
          <w:p w14:paraId="65A1A0BC" w14:textId="77777777" w:rsidR="0046798B" w:rsidRDefault="00903B5C">
            <w:pPr>
              <w:pStyle w:val="TableParagraph"/>
              <w:spacing w:before="159"/>
              <w:ind w:left="114" w:right="203"/>
              <w:rPr>
                <w:sz w:val="20"/>
              </w:rPr>
            </w:pPr>
            <w:r>
              <w:rPr>
                <w:sz w:val="20"/>
              </w:rPr>
              <w:t>Dummy: 1 = 19% or more of seats up, 0 = fewer than 19% up</w:t>
            </w:r>
          </w:p>
        </w:tc>
        <w:tc>
          <w:tcPr>
            <w:tcW w:w="6477" w:type="dxa"/>
          </w:tcPr>
          <w:p w14:paraId="04A03B58" w14:textId="77777777" w:rsidR="0046798B" w:rsidRDefault="00903B5C">
            <w:pPr>
              <w:pStyle w:val="TableParagraph"/>
              <w:spacing w:before="159"/>
              <w:ind w:left="114" w:right="1195"/>
              <w:rPr>
                <w:sz w:val="20"/>
              </w:rPr>
            </w:pPr>
            <w:r>
              <w:rPr>
                <w:sz w:val="20"/>
              </w:rPr>
              <w:t xml:space="preserve">Klarner, Carl, 2013, “State Partisan Balance Data, 1937–2011”, </w:t>
            </w:r>
            <w:hyperlink r:id="rId480">
              <w:r>
                <w:rPr>
                  <w:color w:val="0462C1"/>
                  <w:sz w:val="20"/>
                  <w:u w:val="single" w:color="0462C1"/>
                </w:rPr>
                <w:t>https://doi.org/10.7910/DVN/LZHMG3</w:t>
              </w:r>
              <w:r>
                <w:rPr>
                  <w:sz w:val="20"/>
                </w:rPr>
                <w:t>,</w:t>
              </w:r>
            </w:hyperlink>
            <w:r>
              <w:rPr>
                <w:sz w:val="20"/>
              </w:rPr>
              <w:t xml:space="preserve"> Harvard Dataverse, V1</w:t>
            </w:r>
          </w:p>
        </w:tc>
      </w:tr>
      <w:tr w:rsidR="0046798B" w14:paraId="31CD9ED2" w14:textId="77777777">
        <w:trPr>
          <w:trHeight w:val="1465"/>
        </w:trPr>
        <w:tc>
          <w:tcPr>
            <w:tcW w:w="1711" w:type="dxa"/>
          </w:tcPr>
          <w:p w14:paraId="3EAE646A" w14:textId="77777777" w:rsidR="0046798B" w:rsidRDefault="0046798B">
            <w:pPr>
              <w:pStyle w:val="TableParagraph"/>
            </w:pPr>
          </w:p>
          <w:p w14:paraId="434EFBAB" w14:textId="77777777" w:rsidR="0046798B" w:rsidRDefault="0046798B">
            <w:pPr>
              <w:pStyle w:val="TableParagraph"/>
              <w:spacing w:before="9"/>
              <w:rPr>
                <w:sz w:val="31"/>
              </w:rPr>
            </w:pPr>
          </w:p>
          <w:p w14:paraId="48199BB3" w14:textId="77777777" w:rsidR="0046798B" w:rsidRDefault="00903B5C">
            <w:pPr>
              <w:pStyle w:val="TableParagraph"/>
              <w:ind w:left="115"/>
              <w:rPr>
                <w:b/>
                <w:sz w:val="20"/>
              </w:rPr>
            </w:pPr>
            <w:r>
              <w:rPr>
                <w:b/>
                <w:sz w:val="20"/>
              </w:rPr>
              <w:t>hs_dem_in_sess</w:t>
            </w:r>
          </w:p>
        </w:tc>
        <w:tc>
          <w:tcPr>
            <w:tcW w:w="1596" w:type="dxa"/>
          </w:tcPr>
          <w:p w14:paraId="1976EDEF" w14:textId="77777777" w:rsidR="0046798B" w:rsidRDefault="0046798B">
            <w:pPr>
              <w:pStyle w:val="TableParagraph"/>
            </w:pPr>
          </w:p>
          <w:p w14:paraId="02929D61" w14:textId="77777777" w:rsidR="0046798B" w:rsidRDefault="00903B5C">
            <w:pPr>
              <w:pStyle w:val="TableParagraph"/>
              <w:spacing w:before="135"/>
              <w:ind w:left="114" w:right="102"/>
              <w:rPr>
                <w:sz w:val="20"/>
              </w:rPr>
            </w:pPr>
            <w:r>
              <w:rPr>
                <w:sz w:val="20"/>
              </w:rPr>
              <w:t>Number of Democratic state representatives</w:t>
            </w:r>
          </w:p>
        </w:tc>
        <w:tc>
          <w:tcPr>
            <w:tcW w:w="1280" w:type="dxa"/>
          </w:tcPr>
          <w:p w14:paraId="4DAC4484" w14:textId="77777777" w:rsidR="0046798B" w:rsidRDefault="0046798B">
            <w:pPr>
              <w:pStyle w:val="TableParagraph"/>
            </w:pPr>
          </w:p>
          <w:p w14:paraId="64CD5139" w14:textId="77777777" w:rsidR="0046798B" w:rsidRDefault="0046798B">
            <w:pPr>
              <w:pStyle w:val="TableParagraph"/>
              <w:spacing w:before="9"/>
              <w:rPr>
                <w:sz w:val="31"/>
              </w:rPr>
            </w:pPr>
          </w:p>
          <w:p w14:paraId="33B1DD50" w14:textId="77777777" w:rsidR="0046798B" w:rsidRDefault="00903B5C">
            <w:pPr>
              <w:pStyle w:val="TableParagraph"/>
              <w:ind w:left="114"/>
              <w:rPr>
                <w:sz w:val="20"/>
              </w:rPr>
            </w:pPr>
            <w:r>
              <w:rPr>
                <w:sz w:val="20"/>
              </w:rPr>
              <w:t>1937–2015</w:t>
            </w:r>
          </w:p>
        </w:tc>
        <w:tc>
          <w:tcPr>
            <w:tcW w:w="3421" w:type="dxa"/>
          </w:tcPr>
          <w:p w14:paraId="4984053A" w14:textId="77777777" w:rsidR="0046798B" w:rsidRDefault="0046798B">
            <w:pPr>
              <w:pStyle w:val="TableParagraph"/>
            </w:pPr>
          </w:p>
          <w:p w14:paraId="68C960A1" w14:textId="77777777" w:rsidR="0046798B" w:rsidRDefault="0046798B">
            <w:pPr>
              <w:pStyle w:val="TableParagraph"/>
              <w:spacing w:before="9"/>
              <w:rPr>
                <w:sz w:val="21"/>
              </w:rPr>
            </w:pPr>
          </w:p>
          <w:p w14:paraId="108CE32C" w14:textId="77777777" w:rsidR="0046798B" w:rsidRDefault="00903B5C">
            <w:pPr>
              <w:pStyle w:val="TableParagraph"/>
              <w:ind w:left="114" w:right="144"/>
              <w:rPr>
                <w:sz w:val="20"/>
              </w:rPr>
            </w:pPr>
            <w:r>
              <w:rPr>
                <w:sz w:val="20"/>
              </w:rPr>
              <w:t>Total number of Democrats in the state house this session</w:t>
            </w:r>
          </w:p>
        </w:tc>
        <w:tc>
          <w:tcPr>
            <w:tcW w:w="6477" w:type="dxa"/>
          </w:tcPr>
          <w:p w14:paraId="07F3CAEE" w14:textId="77777777" w:rsidR="0046798B" w:rsidRDefault="00903B5C">
            <w:pPr>
              <w:pStyle w:val="TableParagraph"/>
              <w:spacing w:before="43"/>
              <w:ind w:left="114" w:right="1195"/>
              <w:rPr>
                <w:sz w:val="20"/>
              </w:rPr>
            </w:pPr>
            <w:r>
              <w:rPr>
                <w:sz w:val="20"/>
              </w:rPr>
              <w:t xml:space="preserve">Klarner, Carl, 2013, “State Partisan Balance Data, 1937–2011”, </w:t>
            </w:r>
            <w:hyperlink r:id="rId481">
              <w:r>
                <w:rPr>
                  <w:color w:val="0462C1"/>
                  <w:sz w:val="20"/>
                  <w:u w:val="single" w:color="0462C1"/>
                </w:rPr>
                <w:t>https://doi.org/10.7910/DVN/LZHMG3</w:t>
              </w:r>
              <w:r>
                <w:rPr>
                  <w:sz w:val="20"/>
                </w:rPr>
                <w:t>,</w:t>
              </w:r>
            </w:hyperlink>
            <w:r>
              <w:rPr>
                <w:sz w:val="20"/>
              </w:rPr>
              <w:t xml:space="preserve"> Harvard Dataverse, V1</w:t>
            </w:r>
          </w:p>
          <w:p w14:paraId="2EBCCBED" w14:textId="77777777" w:rsidR="0046798B" w:rsidRDefault="0046798B">
            <w:pPr>
              <w:pStyle w:val="TableParagraph"/>
              <w:rPr>
                <w:sz w:val="20"/>
              </w:rPr>
            </w:pPr>
          </w:p>
          <w:p w14:paraId="1BE8172B" w14:textId="77777777" w:rsidR="0046798B" w:rsidRDefault="00903B5C">
            <w:pPr>
              <w:pStyle w:val="TableParagraph"/>
              <w:ind w:left="114" w:right="166"/>
              <w:rPr>
                <w:sz w:val="20"/>
              </w:rPr>
            </w:pPr>
            <w:r>
              <w:rPr>
                <w:sz w:val="20"/>
              </w:rPr>
              <w:t xml:space="preserve">Book of the States </w:t>
            </w:r>
            <w:hyperlink r:id="rId482">
              <w:r>
                <w:rPr>
                  <w:sz w:val="20"/>
                </w:rPr>
                <w:t>(</w:t>
              </w:r>
              <w:r>
                <w:rPr>
                  <w:color w:val="0462C1"/>
                  <w:sz w:val="20"/>
                  <w:u w:val="single" w:color="0462C1"/>
                </w:rPr>
                <w:t>https://knowledgecenter.csg.org/kc/category/content-</w:t>
              </w:r>
            </w:hyperlink>
            <w:r>
              <w:rPr>
                <w:color w:val="0462C1"/>
                <w:sz w:val="20"/>
              </w:rPr>
              <w:t xml:space="preserve"> </w:t>
            </w:r>
            <w:hyperlink r:id="rId483">
              <w:r>
                <w:rPr>
                  <w:color w:val="0462C1"/>
                  <w:sz w:val="20"/>
                  <w:u w:val="single" w:color="0462C1"/>
                </w:rPr>
                <w:t>type/content-type/book-states</w:t>
              </w:r>
            </w:hyperlink>
            <w:r>
              <w:rPr>
                <w:sz w:val="20"/>
              </w:rPr>
              <w:t>) See chapter 3, Table 3.3 for information about legislators; 2011 to 2015</w:t>
            </w:r>
          </w:p>
        </w:tc>
      </w:tr>
      <w:tr w:rsidR="0046798B" w14:paraId="38D67542" w14:textId="77777777">
        <w:trPr>
          <w:trHeight w:val="780"/>
        </w:trPr>
        <w:tc>
          <w:tcPr>
            <w:tcW w:w="1711" w:type="dxa"/>
          </w:tcPr>
          <w:p w14:paraId="38529BBB" w14:textId="77777777" w:rsidR="0046798B" w:rsidRDefault="0046798B">
            <w:pPr>
              <w:pStyle w:val="TableParagraph"/>
              <w:spacing w:before="9"/>
              <w:rPr>
                <w:sz w:val="23"/>
              </w:rPr>
            </w:pPr>
          </w:p>
          <w:p w14:paraId="542D2CAC" w14:textId="77777777" w:rsidR="0046798B" w:rsidRDefault="00903B5C">
            <w:pPr>
              <w:pStyle w:val="TableParagraph"/>
              <w:ind w:left="115"/>
              <w:rPr>
                <w:b/>
                <w:sz w:val="20"/>
              </w:rPr>
            </w:pPr>
            <w:r>
              <w:rPr>
                <w:b/>
                <w:sz w:val="20"/>
              </w:rPr>
              <w:t>hs_rep_in_sess</w:t>
            </w:r>
          </w:p>
        </w:tc>
        <w:tc>
          <w:tcPr>
            <w:tcW w:w="1596" w:type="dxa"/>
          </w:tcPr>
          <w:p w14:paraId="6417B739" w14:textId="77777777" w:rsidR="0046798B" w:rsidRDefault="00903B5C">
            <w:pPr>
              <w:pStyle w:val="TableParagraph"/>
              <w:spacing w:before="43"/>
              <w:ind w:left="114" w:right="124"/>
              <w:rPr>
                <w:sz w:val="20"/>
              </w:rPr>
            </w:pPr>
            <w:r>
              <w:rPr>
                <w:sz w:val="20"/>
              </w:rPr>
              <w:t>Number of Republican state representatives</w:t>
            </w:r>
          </w:p>
        </w:tc>
        <w:tc>
          <w:tcPr>
            <w:tcW w:w="1280" w:type="dxa"/>
          </w:tcPr>
          <w:p w14:paraId="7CDCDF65" w14:textId="77777777" w:rsidR="0046798B" w:rsidRDefault="0046798B">
            <w:pPr>
              <w:pStyle w:val="TableParagraph"/>
              <w:spacing w:before="9"/>
              <w:rPr>
                <w:sz w:val="23"/>
              </w:rPr>
            </w:pPr>
          </w:p>
          <w:p w14:paraId="40730FCA" w14:textId="77777777" w:rsidR="0046798B" w:rsidRDefault="00903B5C">
            <w:pPr>
              <w:pStyle w:val="TableParagraph"/>
              <w:ind w:left="114"/>
              <w:rPr>
                <w:sz w:val="20"/>
              </w:rPr>
            </w:pPr>
            <w:r>
              <w:rPr>
                <w:sz w:val="20"/>
              </w:rPr>
              <w:t>1937–2011</w:t>
            </w:r>
          </w:p>
        </w:tc>
        <w:tc>
          <w:tcPr>
            <w:tcW w:w="3421" w:type="dxa"/>
          </w:tcPr>
          <w:p w14:paraId="19319A04" w14:textId="77777777" w:rsidR="0046798B" w:rsidRDefault="00903B5C">
            <w:pPr>
              <w:pStyle w:val="TableParagraph"/>
              <w:spacing w:before="158"/>
              <w:ind w:left="114" w:right="438"/>
              <w:rPr>
                <w:sz w:val="20"/>
              </w:rPr>
            </w:pPr>
            <w:r>
              <w:rPr>
                <w:sz w:val="20"/>
              </w:rPr>
              <w:t>Total number of Republicans in the state house this session</w:t>
            </w:r>
          </w:p>
        </w:tc>
        <w:tc>
          <w:tcPr>
            <w:tcW w:w="6477" w:type="dxa"/>
          </w:tcPr>
          <w:p w14:paraId="1EEE58EE" w14:textId="77777777" w:rsidR="0046798B" w:rsidRDefault="00903B5C">
            <w:pPr>
              <w:pStyle w:val="TableParagraph"/>
              <w:spacing w:before="158"/>
              <w:ind w:left="114" w:right="1195"/>
              <w:rPr>
                <w:sz w:val="20"/>
              </w:rPr>
            </w:pPr>
            <w:r>
              <w:rPr>
                <w:sz w:val="20"/>
              </w:rPr>
              <w:t xml:space="preserve">Klarner, Carl, 2013, “State Partisan Balance Data, 1937–2011”, </w:t>
            </w:r>
            <w:hyperlink r:id="rId484">
              <w:r>
                <w:rPr>
                  <w:color w:val="0462C1"/>
                  <w:sz w:val="20"/>
                  <w:u w:val="single" w:color="0462C1"/>
                </w:rPr>
                <w:t>https://doi.org/10.7910/DVN/LZHMG3</w:t>
              </w:r>
              <w:r>
                <w:rPr>
                  <w:sz w:val="20"/>
                </w:rPr>
                <w:t>,</w:t>
              </w:r>
            </w:hyperlink>
            <w:r>
              <w:rPr>
                <w:sz w:val="20"/>
              </w:rPr>
              <w:t xml:space="preserve"> Harvard Dataverse, V1</w:t>
            </w:r>
          </w:p>
        </w:tc>
      </w:tr>
      <w:tr w:rsidR="0046798B" w14:paraId="3D7B67BA" w14:textId="77777777">
        <w:trPr>
          <w:trHeight w:val="775"/>
        </w:trPr>
        <w:tc>
          <w:tcPr>
            <w:tcW w:w="1711" w:type="dxa"/>
          </w:tcPr>
          <w:p w14:paraId="165D33CE" w14:textId="77777777" w:rsidR="0046798B" w:rsidRDefault="0046798B">
            <w:pPr>
              <w:pStyle w:val="TableParagraph"/>
              <w:spacing w:before="3"/>
              <w:rPr>
                <w:sz w:val="23"/>
              </w:rPr>
            </w:pPr>
          </w:p>
          <w:p w14:paraId="10991C9D" w14:textId="77777777" w:rsidR="0046798B" w:rsidRDefault="00903B5C">
            <w:pPr>
              <w:pStyle w:val="TableParagraph"/>
              <w:spacing w:before="1"/>
              <w:ind w:left="115"/>
              <w:rPr>
                <w:b/>
                <w:sz w:val="20"/>
              </w:rPr>
            </w:pPr>
            <w:r>
              <w:rPr>
                <w:b/>
                <w:sz w:val="20"/>
              </w:rPr>
              <w:t>hs_ind_in_sess</w:t>
            </w:r>
          </w:p>
        </w:tc>
        <w:tc>
          <w:tcPr>
            <w:tcW w:w="1596" w:type="dxa"/>
          </w:tcPr>
          <w:p w14:paraId="5CEB5E0B" w14:textId="77777777" w:rsidR="0046798B" w:rsidRDefault="00903B5C">
            <w:pPr>
              <w:pStyle w:val="TableParagraph"/>
              <w:spacing w:before="38"/>
              <w:ind w:left="114" w:right="110"/>
              <w:rPr>
                <w:sz w:val="20"/>
              </w:rPr>
            </w:pPr>
            <w:r>
              <w:rPr>
                <w:sz w:val="20"/>
              </w:rPr>
              <w:t>Number of non- major-party state representatives</w:t>
            </w:r>
          </w:p>
        </w:tc>
        <w:tc>
          <w:tcPr>
            <w:tcW w:w="1280" w:type="dxa"/>
          </w:tcPr>
          <w:p w14:paraId="4C83AFE0" w14:textId="77777777" w:rsidR="0046798B" w:rsidRDefault="0046798B">
            <w:pPr>
              <w:pStyle w:val="TableParagraph"/>
              <w:spacing w:before="3"/>
              <w:rPr>
                <w:sz w:val="23"/>
              </w:rPr>
            </w:pPr>
          </w:p>
          <w:p w14:paraId="72FF0315" w14:textId="77777777" w:rsidR="0046798B" w:rsidRDefault="00903B5C">
            <w:pPr>
              <w:pStyle w:val="TableParagraph"/>
              <w:spacing w:before="1"/>
              <w:ind w:left="114"/>
              <w:rPr>
                <w:sz w:val="20"/>
              </w:rPr>
            </w:pPr>
            <w:r>
              <w:rPr>
                <w:sz w:val="20"/>
              </w:rPr>
              <w:t>1937–2011</w:t>
            </w:r>
          </w:p>
        </w:tc>
        <w:tc>
          <w:tcPr>
            <w:tcW w:w="3421" w:type="dxa"/>
          </w:tcPr>
          <w:p w14:paraId="3C262D3F" w14:textId="77777777" w:rsidR="0046798B" w:rsidRDefault="00903B5C">
            <w:pPr>
              <w:pStyle w:val="TableParagraph"/>
              <w:spacing w:before="38"/>
              <w:ind w:left="114" w:right="493"/>
              <w:jc w:val="both"/>
              <w:rPr>
                <w:sz w:val="20"/>
              </w:rPr>
            </w:pPr>
            <w:r>
              <w:rPr>
                <w:sz w:val="20"/>
              </w:rPr>
              <w:t>Total number of non-Democrats or Republicans in the state house this session</w:t>
            </w:r>
          </w:p>
        </w:tc>
        <w:tc>
          <w:tcPr>
            <w:tcW w:w="6477" w:type="dxa"/>
          </w:tcPr>
          <w:p w14:paraId="1FA2A407" w14:textId="77777777" w:rsidR="0046798B" w:rsidRDefault="00903B5C">
            <w:pPr>
              <w:pStyle w:val="TableParagraph"/>
              <w:spacing w:before="153"/>
              <w:ind w:left="114" w:right="1195"/>
              <w:rPr>
                <w:sz w:val="20"/>
              </w:rPr>
            </w:pPr>
            <w:r>
              <w:rPr>
                <w:sz w:val="20"/>
              </w:rPr>
              <w:t xml:space="preserve">Klarner, Carl, 2013, “State Partisan Balance Data, 1937–2011”, </w:t>
            </w:r>
            <w:hyperlink r:id="rId485">
              <w:r>
                <w:rPr>
                  <w:color w:val="0462C1"/>
                  <w:sz w:val="20"/>
                  <w:u w:val="single" w:color="0462C1"/>
                </w:rPr>
                <w:t>https://doi.org/10.7910/DVN/LZHMG3</w:t>
              </w:r>
              <w:r>
                <w:rPr>
                  <w:sz w:val="20"/>
                </w:rPr>
                <w:t>,</w:t>
              </w:r>
            </w:hyperlink>
            <w:r>
              <w:rPr>
                <w:sz w:val="20"/>
              </w:rPr>
              <w:t xml:space="preserve"> Harvard Dataverse, V1</w:t>
            </w:r>
          </w:p>
        </w:tc>
      </w:tr>
    </w:tbl>
    <w:p w14:paraId="4247137A" w14:textId="77777777" w:rsidR="0046798B" w:rsidRDefault="0046798B">
      <w:pPr>
        <w:rPr>
          <w:sz w:val="20"/>
        </w:rPr>
        <w:sectPr w:rsidR="0046798B">
          <w:pgSz w:w="15840" w:h="12240" w:orient="landscape"/>
          <w:pgMar w:top="1220" w:right="300" w:bottom="980" w:left="820" w:header="730" w:footer="787" w:gutter="0"/>
          <w:cols w:space="720"/>
        </w:sectPr>
      </w:pPr>
    </w:p>
    <w:p w14:paraId="3BC2FF0B"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0"/>
        <w:gridCol w:w="3421"/>
        <w:gridCol w:w="6477"/>
      </w:tblGrid>
      <w:tr w:rsidR="0046798B" w14:paraId="4EF85A8B" w14:textId="77777777">
        <w:trPr>
          <w:trHeight w:val="775"/>
        </w:trPr>
        <w:tc>
          <w:tcPr>
            <w:tcW w:w="1711" w:type="dxa"/>
          </w:tcPr>
          <w:p w14:paraId="42BF2D07" w14:textId="77777777" w:rsidR="0046798B" w:rsidRDefault="0046798B">
            <w:pPr>
              <w:pStyle w:val="TableParagraph"/>
              <w:spacing w:before="9"/>
              <w:rPr>
                <w:sz w:val="23"/>
              </w:rPr>
            </w:pPr>
          </w:p>
          <w:p w14:paraId="3B2F2BD4" w14:textId="77777777" w:rsidR="0046798B" w:rsidRDefault="00903B5C">
            <w:pPr>
              <w:pStyle w:val="TableParagraph"/>
              <w:ind w:left="115"/>
              <w:rPr>
                <w:b/>
                <w:sz w:val="20"/>
              </w:rPr>
            </w:pPr>
            <w:r>
              <w:rPr>
                <w:b/>
                <w:sz w:val="20"/>
              </w:rPr>
              <w:t>hs_vac_in_sess</w:t>
            </w:r>
          </w:p>
        </w:tc>
        <w:tc>
          <w:tcPr>
            <w:tcW w:w="1596" w:type="dxa"/>
          </w:tcPr>
          <w:p w14:paraId="1BB12608" w14:textId="77777777" w:rsidR="0046798B" w:rsidRDefault="00903B5C">
            <w:pPr>
              <w:pStyle w:val="TableParagraph"/>
              <w:spacing w:before="43"/>
              <w:ind w:left="114" w:right="413"/>
              <w:rPr>
                <w:sz w:val="20"/>
              </w:rPr>
            </w:pPr>
            <w:r>
              <w:rPr>
                <w:sz w:val="20"/>
              </w:rPr>
              <w:t>Number of vacant house seats</w:t>
            </w:r>
          </w:p>
        </w:tc>
        <w:tc>
          <w:tcPr>
            <w:tcW w:w="1280" w:type="dxa"/>
          </w:tcPr>
          <w:p w14:paraId="760CB55A" w14:textId="77777777" w:rsidR="0046798B" w:rsidRDefault="0046798B">
            <w:pPr>
              <w:pStyle w:val="TableParagraph"/>
              <w:spacing w:before="9"/>
              <w:rPr>
                <w:sz w:val="23"/>
              </w:rPr>
            </w:pPr>
          </w:p>
          <w:p w14:paraId="60964397" w14:textId="77777777" w:rsidR="0046798B" w:rsidRDefault="00903B5C">
            <w:pPr>
              <w:pStyle w:val="TableParagraph"/>
              <w:ind w:left="114"/>
              <w:rPr>
                <w:sz w:val="20"/>
              </w:rPr>
            </w:pPr>
            <w:r>
              <w:rPr>
                <w:sz w:val="20"/>
              </w:rPr>
              <w:t>1937–2011</w:t>
            </w:r>
          </w:p>
        </w:tc>
        <w:tc>
          <w:tcPr>
            <w:tcW w:w="3421" w:type="dxa"/>
          </w:tcPr>
          <w:p w14:paraId="7FABE878" w14:textId="77777777" w:rsidR="0046798B" w:rsidRDefault="00903B5C">
            <w:pPr>
              <w:pStyle w:val="TableParagraph"/>
              <w:spacing w:before="158"/>
              <w:ind w:left="114" w:right="477"/>
              <w:rPr>
                <w:sz w:val="20"/>
              </w:rPr>
            </w:pPr>
            <w:r>
              <w:rPr>
                <w:sz w:val="20"/>
              </w:rPr>
              <w:t>Number of vacant seats in the state house this session</w:t>
            </w:r>
          </w:p>
        </w:tc>
        <w:tc>
          <w:tcPr>
            <w:tcW w:w="6477" w:type="dxa"/>
          </w:tcPr>
          <w:p w14:paraId="01024406" w14:textId="77777777" w:rsidR="0046798B" w:rsidRDefault="00903B5C">
            <w:pPr>
              <w:pStyle w:val="TableParagraph"/>
              <w:spacing w:before="158"/>
              <w:ind w:left="114" w:right="1195"/>
              <w:rPr>
                <w:sz w:val="20"/>
              </w:rPr>
            </w:pPr>
            <w:r>
              <w:rPr>
                <w:sz w:val="20"/>
              </w:rPr>
              <w:t xml:space="preserve">Klarner, Carl, 2013, “State Partisan Balance Data, 1937–2011”, </w:t>
            </w:r>
            <w:hyperlink r:id="rId486">
              <w:r>
                <w:rPr>
                  <w:color w:val="0462C1"/>
                  <w:sz w:val="20"/>
                  <w:u w:val="single" w:color="0462C1"/>
                </w:rPr>
                <w:t>https://doi.org/10.7910/DVN/LZHMG3</w:t>
              </w:r>
              <w:r>
                <w:rPr>
                  <w:sz w:val="20"/>
                </w:rPr>
                <w:t>,</w:t>
              </w:r>
            </w:hyperlink>
            <w:r>
              <w:rPr>
                <w:sz w:val="20"/>
              </w:rPr>
              <w:t xml:space="preserve"> Harvard Dataverse, V1</w:t>
            </w:r>
          </w:p>
        </w:tc>
      </w:tr>
      <w:tr w:rsidR="0046798B" w14:paraId="623411F7" w14:textId="77777777">
        <w:trPr>
          <w:trHeight w:val="1465"/>
        </w:trPr>
        <w:tc>
          <w:tcPr>
            <w:tcW w:w="1711" w:type="dxa"/>
          </w:tcPr>
          <w:p w14:paraId="28B66176" w14:textId="77777777" w:rsidR="0046798B" w:rsidRDefault="0046798B">
            <w:pPr>
              <w:pStyle w:val="TableParagraph"/>
            </w:pPr>
          </w:p>
          <w:p w14:paraId="77C5BE6F" w14:textId="77777777" w:rsidR="0046798B" w:rsidRDefault="0046798B">
            <w:pPr>
              <w:pStyle w:val="TableParagraph"/>
              <w:spacing w:before="8"/>
              <w:rPr>
                <w:sz w:val="31"/>
              </w:rPr>
            </w:pPr>
          </w:p>
          <w:p w14:paraId="7827AEF8" w14:textId="77777777" w:rsidR="0046798B" w:rsidRDefault="00903B5C">
            <w:pPr>
              <w:pStyle w:val="TableParagraph"/>
              <w:spacing w:before="1"/>
              <w:ind w:left="115"/>
              <w:rPr>
                <w:b/>
                <w:sz w:val="20"/>
              </w:rPr>
            </w:pPr>
            <w:r>
              <w:rPr>
                <w:b/>
                <w:sz w:val="20"/>
              </w:rPr>
              <w:t>hs_tot_in_sess</w:t>
            </w:r>
          </w:p>
        </w:tc>
        <w:tc>
          <w:tcPr>
            <w:tcW w:w="1596" w:type="dxa"/>
          </w:tcPr>
          <w:p w14:paraId="257049AB" w14:textId="77777777" w:rsidR="0046798B" w:rsidRDefault="0046798B">
            <w:pPr>
              <w:pStyle w:val="TableParagraph"/>
            </w:pPr>
          </w:p>
          <w:p w14:paraId="5FC6FC69" w14:textId="77777777" w:rsidR="0046798B" w:rsidRDefault="00903B5C">
            <w:pPr>
              <w:pStyle w:val="TableParagraph"/>
              <w:spacing w:before="135"/>
              <w:ind w:left="114" w:right="152"/>
              <w:rPr>
                <w:sz w:val="20"/>
              </w:rPr>
            </w:pPr>
            <w:r>
              <w:rPr>
                <w:sz w:val="20"/>
              </w:rPr>
              <w:t>Total number of state representatives</w:t>
            </w:r>
          </w:p>
        </w:tc>
        <w:tc>
          <w:tcPr>
            <w:tcW w:w="1280" w:type="dxa"/>
          </w:tcPr>
          <w:p w14:paraId="6FCE396F" w14:textId="77777777" w:rsidR="0046798B" w:rsidRDefault="0046798B">
            <w:pPr>
              <w:pStyle w:val="TableParagraph"/>
            </w:pPr>
          </w:p>
          <w:p w14:paraId="557E49BD" w14:textId="77777777" w:rsidR="0046798B" w:rsidRDefault="0046798B">
            <w:pPr>
              <w:pStyle w:val="TableParagraph"/>
              <w:spacing w:before="8"/>
              <w:rPr>
                <w:sz w:val="31"/>
              </w:rPr>
            </w:pPr>
          </w:p>
          <w:p w14:paraId="68DFBF95" w14:textId="77777777" w:rsidR="0046798B" w:rsidRDefault="00903B5C">
            <w:pPr>
              <w:pStyle w:val="TableParagraph"/>
              <w:spacing w:before="1"/>
              <w:ind w:left="114"/>
              <w:rPr>
                <w:sz w:val="20"/>
              </w:rPr>
            </w:pPr>
            <w:r>
              <w:rPr>
                <w:sz w:val="20"/>
              </w:rPr>
              <w:t>1937–2015</w:t>
            </w:r>
          </w:p>
        </w:tc>
        <w:tc>
          <w:tcPr>
            <w:tcW w:w="3421" w:type="dxa"/>
          </w:tcPr>
          <w:p w14:paraId="6AC5B4DB" w14:textId="77777777" w:rsidR="0046798B" w:rsidRDefault="0046798B">
            <w:pPr>
              <w:pStyle w:val="TableParagraph"/>
            </w:pPr>
          </w:p>
          <w:p w14:paraId="3DB82DD2" w14:textId="77777777" w:rsidR="0046798B" w:rsidRDefault="0046798B">
            <w:pPr>
              <w:pStyle w:val="TableParagraph"/>
              <w:spacing w:before="8"/>
              <w:rPr>
                <w:sz w:val="21"/>
              </w:rPr>
            </w:pPr>
          </w:p>
          <w:p w14:paraId="5DC2994B" w14:textId="77777777" w:rsidR="0046798B" w:rsidRDefault="00903B5C">
            <w:pPr>
              <w:pStyle w:val="TableParagraph"/>
              <w:spacing w:before="1"/>
              <w:ind w:left="114" w:right="261"/>
              <w:rPr>
                <w:sz w:val="20"/>
              </w:rPr>
            </w:pPr>
            <w:r>
              <w:rPr>
                <w:sz w:val="20"/>
              </w:rPr>
              <w:t>Total number of state house members this session</w:t>
            </w:r>
          </w:p>
        </w:tc>
        <w:tc>
          <w:tcPr>
            <w:tcW w:w="6477" w:type="dxa"/>
          </w:tcPr>
          <w:p w14:paraId="0D7FC171" w14:textId="77777777" w:rsidR="0046798B" w:rsidRDefault="00903B5C">
            <w:pPr>
              <w:pStyle w:val="TableParagraph"/>
              <w:spacing w:before="43"/>
              <w:ind w:left="114" w:right="1195"/>
              <w:rPr>
                <w:sz w:val="20"/>
              </w:rPr>
            </w:pPr>
            <w:r>
              <w:rPr>
                <w:sz w:val="20"/>
              </w:rPr>
              <w:t xml:space="preserve">Klarner, Carl, 2013, “State Partisan Balance Data, 1937–2011”, </w:t>
            </w:r>
            <w:hyperlink r:id="rId487">
              <w:r>
                <w:rPr>
                  <w:color w:val="0462C1"/>
                  <w:sz w:val="20"/>
                  <w:u w:val="single" w:color="0462C1"/>
                </w:rPr>
                <w:t>https://doi.org/10.7910/DVN/LZHMG3</w:t>
              </w:r>
              <w:r>
                <w:rPr>
                  <w:sz w:val="20"/>
                </w:rPr>
                <w:t>,</w:t>
              </w:r>
            </w:hyperlink>
            <w:r>
              <w:rPr>
                <w:sz w:val="20"/>
              </w:rPr>
              <w:t xml:space="preserve"> Harvard Dataverse, V1</w:t>
            </w:r>
          </w:p>
          <w:p w14:paraId="792CD4CE" w14:textId="77777777" w:rsidR="0046798B" w:rsidRDefault="0046798B">
            <w:pPr>
              <w:pStyle w:val="TableParagraph"/>
              <w:rPr>
                <w:sz w:val="20"/>
              </w:rPr>
            </w:pPr>
          </w:p>
          <w:p w14:paraId="47ECCAFC" w14:textId="77777777" w:rsidR="0046798B" w:rsidRDefault="00903B5C">
            <w:pPr>
              <w:pStyle w:val="TableParagraph"/>
              <w:spacing w:before="1"/>
              <w:ind w:left="114" w:right="166"/>
              <w:rPr>
                <w:sz w:val="20"/>
              </w:rPr>
            </w:pPr>
            <w:r>
              <w:rPr>
                <w:sz w:val="20"/>
              </w:rPr>
              <w:t xml:space="preserve">Book of the States </w:t>
            </w:r>
            <w:hyperlink r:id="rId488">
              <w:r>
                <w:rPr>
                  <w:sz w:val="20"/>
                </w:rPr>
                <w:t>(</w:t>
              </w:r>
              <w:r>
                <w:rPr>
                  <w:color w:val="0462C1"/>
                  <w:sz w:val="20"/>
                  <w:u w:val="single" w:color="0462C1"/>
                </w:rPr>
                <w:t>https://knowledgecenter.csg.org/kc/category/content-</w:t>
              </w:r>
            </w:hyperlink>
            <w:r>
              <w:rPr>
                <w:color w:val="0462C1"/>
                <w:sz w:val="20"/>
              </w:rPr>
              <w:t xml:space="preserve"> </w:t>
            </w:r>
            <w:hyperlink r:id="rId489">
              <w:r>
                <w:rPr>
                  <w:color w:val="0462C1"/>
                  <w:sz w:val="20"/>
                  <w:u w:val="single" w:color="0462C1"/>
                </w:rPr>
                <w:t>type/content-type/book-states</w:t>
              </w:r>
            </w:hyperlink>
            <w:r>
              <w:rPr>
                <w:sz w:val="20"/>
              </w:rPr>
              <w:t>) See chapter 3, Table 3.3 for information about legislators; 2011 to 2015</w:t>
            </w:r>
          </w:p>
        </w:tc>
      </w:tr>
      <w:tr w:rsidR="0046798B" w14:paraId="0F618BA8" w14:textId="77777777">
        <w:trPr>
          <w:trHeight w:val="550"/>
        </w:trPr>
        <w:tc>
          <w:tcPr>
            <w:tcW w:w="1711" w:type="dxa"/>
          </w:tcPr>
          <w:p w14:paraId="02A22A91" w14:textId="77777777" w:rsidR="0046798B" w:rsidRDefault="00903B5C">
            <w:pPr>
              <w:pStyle w:val="TableParagraph"/>
              <w:spacing w:before="158"/>
              <w:ind w:left="115"/>
              <w:rPr>
                <w:b/>
                <w:sz w:val="20"/>
              </w:rPr>
            </w:pPr>
            <w:r>
              <w:rPr>
                <w:b/>
                <w:sz w:val="20"/>
              </w:rPr>
              <w:t>hs_cont_alt</w:t>
            </w:r>
          </w:p>
        </w:tc>
        <w:tc>
          <w:tcPr>
            <w:tcW w:w="1596" w:type="dxa"/>
          </w:tcPr>
          <w:p w14:paraId="2247BD7E" w14:textId="77777777" w:rsidR="0046798B" w:rsidRDefault="00903B5C">
            <w:pPr>
              <w:pStyle w:val="TableParagraph"/>
              <w:spacing w:before="43"/>
              <w:ind w:left="114" w:right="135"/>
              <w:rPr>
                <w:sz w:val="20"/>
              </w:rPr>
            </w:pPr>
            <w:r>
              <w:rPr>
                <w:sz w:val="20"/>
              </w:rPr>
              <w:t>Party in control of state senate</w:t>
            </w:r>
          </w:p>
        </w:tc>
        <w:tc>
          <w:tcPr>
            <w:tcW w:w="1280" w:type="dxa"/>
          </w:tcPr>
          <w:p w14:paraId="353D42D3" w14:textId="77777777" w:rsidR="0046798B" w:rsidRDefault="00903B5C">
            <w:pPr>
              <w:pStyle w:val="TableParagraph"/>
              <w:spacing w:before="158"/>
              <w:ind w:left="114"/>
              <w:rPr>
                <w:sz w:val="20"/>
              </w:rPr>
            </w:pPr>
            <w:r>
              <w:rPr>
                <w:sz w:val="20"/>
              </w:rPr>
              <w:t>1937–2011</w:t>
            </w:r>
          </w:p>
        </w:tc>
        <w:tc>
          <w:tcPr>
            <w:tcW w:w="3421" w:type="dxa"/>
          </w:tcPr>
          <w:p w14:paraId="0A395E0A" w14:textId="77777777" w:rsidR="0046798B" w:rsidRDefault="00903B5C">
            <w:pPr>
              <w:pStyle w:val="TableParagraph"/>
              <w:spacing w:before="43"/>
              <w:ind w:left="114" w:right="283"/>
              <w:rPr>
                <w:sz w:val="20"/>
              </w:rPr>
            </w:pPr>
            <w:r>
              <w:rPr>
                <w:sz w:val="20"/>
              </w:rPr>
              <w:t>1 = Democrats, 0 = Republicans, .5 = tie</w:t>
            </w:r>
          </w:p>
        </w:tc>
        <w:tc>
          <w:tcPr>
            <w:tcW w:w="6477" w:type="dxa"/>
          </w:tcPr>
          <w:p w14:paraId="55D960C0" w14:textId="77777777" w:rsidR="0046798B" w:rsidRDefault="00903B5C">
            <w:pPr>
              <w:pStyle w:val="TableParagraph"/>
              <w:spacing w:before="43"/>
              <w:ind w:left="114" w:right="1195"/>
              <w:rPr>
                <w:sz w:val="20"/>
              </w:rPr>
            </w:pPr>
            <w:r>
              <w:rPr>
                <w:sz w:val="20"/>
              </w:rPr>
              <w:t xml:space="preserve">Klarner, Carl, 2013, “State Partisan Balance Data, 1937–2011”, </w:t>
            </w:r>
            <w:hyperlink r:id="rId490">
              <w:r>
                <w:rPr>
                  <w:color w:val="0462C1"/>
                  <w:sz w:val="20"/>
                  <w:u w:val="single" w:color="0462C1"/>
                </w:rPr>
                <w:t>https://doi.org/10.7910/DVN/LZHMG3</w:t>
              </w:r>
              <w:r>
                <w:rPr>
                  <w:sz w:val="20"/>
                </w:rPr>
                <w:t>,</w:t>
              </w:r>
            </w:hyperlink>
            <w:r>
              <w:rPr>
                <w:sz w:val="20"/>
              </w:rPr>
              <w:t xml:space="preserve"> Harvard Dataverse, V1</w:t>
            </w:r>
          </w:p>
        </w:tc>
      </w:tr>
      <w:tr w:rsidR="0046798B" w14:paraId="698306EF" w14:textId="77777777">
        <w:trPr>
          <w:trHeight w:val="545"/>
        </w:trPr>
        <w:tc>
          <w:tcPr>
            <w:tcW w:w="1711" w:type="dxa"/>
          </w:tcPr>
          <w:p w14:paraId="2C3760B5" w14:textId="77777777" w:rsidR="0046798B" w:rsidRDefault="00903B5C">
            <w:pPr>
              <w:pStyle w:val="TableParagraph"/>
              <w:spacing w:before="38"/>
              <w:ind w:left="115" w:right="88"/>
              <w:rPr>
                <w:b/>
                <w:sz w:val="20"/>
              </w:rPr>
            </w:pPr>
            <w:r>
              <w:rPr>
                <w:b/>
                <w:sz w:val="20"/>
              </w:rPr>
              <w:t>veto_override_pr op</w:t>
            </w:r>
          </w:p>
        </w:tc>
        <w:tc>
          <w:tcPr>
            <w:tcW w:w="1596" w:type="dxa"/>
          </w:tcPr>
          <w:p w14:paraId="6385CDD4" w14:textId="77777777" w:rsidR="0046798B" w:rsidRDefault="00903B5C">
            <w:pPr>
              <w:pStyle w:val="TableParagraph"/>
              <w:spacing w:before="38"/>
              <w:ind w:left="114" w:right="219"/>
              <w:rPr>
                <w:sz w:val="20"/>
              </w:rPr>
            </w:pPr>
            <w:r>
              <w:rPr>
                <w:sz w:val="20"/>
              </w:rPr>
              <w:t>Threshold for a veto override</w:t>
            </w:r>
          </w:p>
        </w:tc>
        <w:tc>
          <w:tcPr>
            <w:tcW w:w="1280" w:type="dxa"/>
          </w:tcPr>
          <w:p w14:paraId="1F362232" w14:textId="77777777" w:rsidR="0046798B" w:rsidRDefault="00903B5C">
            <w:pPr>
              <w:pStyle w:val="TableParagraph"/>
              <w:spacing w:before="153"/>
              <w:ind w:left="114"/>
              <w:rPr>
                <w:sz w:val="20"/>
              </w:rPr>
            </w:pPr>
            <w:r>
              <w:rPr>
                <w:sz w:val="20"/>
              </w:rPr>
              <w:t>1937–2011</w:t>
            </w:r>
          </w:p>
        </w:tc>
        <w:tc>
          <w:tcPr>
            <w:tcW w:w="3421" w:type="dxa"/>
          </w:tcPr>
          <w:p w14:paraId="7ACAAC61" w14:textId="77777777" w:rsidR="0046798B" w:rsidRDefault="00903B5C">
            <w:pPr>
              <w:pStyle w:val="TableParagraph"/>
              <w:spacing w:before="38"/>
              <w:ind w:left="114" w:right="510"/>
              <w:rPr>
                <w:sz w:val="20"/>
              </w:rPr>
            </w:pPr>
            <w:r>
              <w:rPr>
                <w:sz w:val="20"/>
              </w:rPr>
              <w:t>Proportion of legislators needed to override governor veto</w:t>
            </w:r>
          </w:p>
        </w:tc>
        <w:tc>
          <w:tcPr>
            <w:tcW w:w="6477" w:type="dxa"/>
          </w:tcPr>
          <w:p w14:paraId="4C440BBC" w14:textId="77777777" w:rsidR="0046798B" w:rsidRDefault="00903B5C">
            <w:pPr>
              <w:pStyle w:val="TableParagraph"/>
              <w:spacing w:before="38"/>
              <w:ind w:left="114" w:right="1195"/>
              <w:rPr>
                <w:sz w:val="20"/>
              </w:rPr>
            </w:pPr>
            <w:r>
              <w:rPr>
                <w:sz w:val="20"/>
              </w:rPr>
              <w:t xml:space="preserve">Klarner, Carl, 2013, “State Partisan Balance Data, 1937–2011”, </w:t>
            </w:r>
            <w:hyperlink r:id="rId491">
              <w:r>
                <w:rPr>
                  <w:color w:val="0462C1"/>
                  <w:sz w:val="20"/>
                  <w:u w:val="single" w:color="0462C1"/>
                </w:rPr>
                <w:t>https://doi.org/10.7910/DVN/LZHMG3</w:t>
              </w:r>
              <w:r>
                <w:rPr>
                  <w:sz w:val="20"/>
                </w:rPr>
                <w:t>,</w:t>
              </w:r>
            </w:hyperlink>
            <w:r>
              <w:rPr>
                <w:sz w:val="20"/>
              </w:rPr>
              <w:t xml:space="preserve"> Harvard Dataverse, V1</w:t>
            </w:r>
          </w:p>
        </w:tc>
      </w:tr>
      <w:tr w:rsidR="0046798B" w14:paraId="1BAE7554" w14:textId="77777777">
        <w:trPr>
          <w:trHeight w:val="1005"/>
        </w:trPr>
        <w:tc>
          <w:tcPr>
            <w:tcW w:w="1711" w:type="dxa"/>
          </w:tcPr>
          <w:p w14:paraId="62ADDE48" w14:textId="77777777" w:rsidR="0046798B" w:rsidRDefault="0046798B">
            <w:pPr>
              <w:pStyle w:val="TableParagraph"/>
              <w:spacing w:before="3"/>
              <w:rPr>
                <w:sz w:val="23"/>
              </w:rPr>
            </w:pPr>
          </w:p>
          <w:p w14:paraId="433559BB" w14:textId="77777777" w:rsidR="0046798B" w:rsidRDefault="00903B5C">
            <w:pPr>
              <w:pStyle w:val="TableParagraph"/>
              <w:spacing w:before="1"/>
              <w:ind w:left="115" w:right="88"/>
              <w:rPr>
                <w:b/>
                <w:sz w:val="20"/>
              </w:rPr>
            </w:pPr>
            <w:r>
              <w:rPr>
                <w:b/>
                <w:sz w:val="20"/>
              </w:rPr>
              <w:t>veto_override_pr op_elected</w:t>
            </w:r>
          </w:p>
        </w:tc>
        <w:tc>
          <w:tcPr>
            <w:tcW w:w="1596" w:type="dxa"/>
          </w:tcPr>
          <w:p w14:paraId="70C03226" w14:textId="77777777" w:rsidR="0046798B" w:rsidRDefault="00903B5C">
            <w:pPr>
              <w:pStyle w:val="TableParagraph"/>
              <w:spacing w:before="38"/>
              <w:ind w:left="114" w:right="602"/>
              <w:rPr>
                <w:sz w:val="20"/>
              </w:rPr>
            </w:pPr>
            <w:r>
              <w:rPr>
                <w:sz w:val="20"/>
              </w:rPr>
              <w:t>Who does override proportion pertain to?</w:t>
            </w:r>
          </w:p>
        </w:tc>
        <w:tc>
          <w:tcPr>
            <w:tcW w:w="1280" w:type="dxa"/>
          </w:tcPr>
          <w:p w14:paraId="1850C621" w14:textId="77777777" w:rsidR="0046798B" w:rsidRDefault="0046798B">
            <w:pPr>
              <w:pStyle w:val="TableParagraph"/>
            </w:pPr>
          </w:p>
          <w:p w14:paraId="6DCDB03C" w14:textId="77777777" w:rsidR="0046798B" w:rsidRDefault="00903B5C">
            <w:pPr>
              <w:pStyle w:val="TableParagraph"/>
              <w:spacing w:before="130"/>
              <w:ind w:left="114"/>
              <w:rPr>
                <w:sz w:val="20"/>
              </w:rPr>
            </w:pPr>
            <w:r>
              <w:rPr>
                <w:sz w:val="20"/>
              </w:rPr>
              <w:t>1937–2011</w:t>
            </w:r>
          </w:p>
        </w:tc>
        <w:tc>
          <w:tcPr>
            <w:tcW w:w="3421" w:type="dxa"/>
          </w:tcPr>
          <w:p w14:paraId="06EEDC3F" w14:textId="77777777" w:rsidR="0046798B" w:rsidRDefault="00903B5C">
            <w:pPr>
              <w:pStyle w:val="TableParagraph"/>
              <w:spacing w:before="153"/>
              <w:ind w:left="114" w:right="273"/>
              <w:jc w:val="both"/>
              <w:rPr>
                <w:sz w:val="20"/>
              </w:rPr>
            </w:pPr>
            <w:r>
              <w:rPr>
                <w:sz w:val="20"/>
              </w:rPr>
              <w:t>Who does override proportion pertain to? Dummy: 1 = elected senators, 0 = present senators</w:t>
            </w:r>
          </w:p>
        </w:tc>
        <w:tc>
          <w:tcPr>
            <w:tcW w:w="6477" w:type="dxa"/>
          </w:tcPr>
          <w:p w14:paraId="1484067A" w14:textId="77777777" w:rsidR="0046798B" w:rsidRDefault="0046798B">
            <w:pPr>
              <w:pStyle w:val="TableParagraph"/>
              <w:spacing w:before="3"/>
              <w:rPr>
                <w:sz w:val="23"/>
              </w:rPr>
            </w:pPr>
          </w:p>
          <w:p w14:paraId="27F92288" w14:textId="77777777" w:rsidR="0046798B" w:rsidRDefault="00903B5C">
            <w:pPr>
              <w:pStyle w:val="TableParagraph"/>
              <w:spacing w:before="1"/>
              <w:ind w:left="114" w:right="1195"/>
              <w:rPr>
                <w:sz w:val="20"/>
              </w:rPr>
            </w:pPr>
            <w:r>
              <w:rPr>
                <w:sz w:val="20"/>
              </w:rPr>
              <w:t xml:space="preserve">Klarner, Carl, 2013, “State Partisan Balance Data, 1937–2011”, </w:t>
            </w:r>
            <w:hyperlink r:id="rId492">
              <w:r>
                <w:rPr>
                  <w:color w:val="0462C1"/>
                  <w:sz w:val="20"/>
                  <w:u w:val="single" w:color="0462C1"/>
                </w:rPr>
                <w:t>https://doi.org/10.7910/DVN/LZHMG3</w:t>
              </w:r>
              <w:r>
                <w:rPr>
                  <w:sz w:val="20"/>
                </w:rPr>
                <w:t>,</w:t>
              </w:r>
            </w:hyperlink>
            <w:r>
              <w:rPr>
                <w:sz w:val="20"/>
              </w:rPr>
              <w:t xml:space="preserve"> Harvard Dataverse, V1</w:t>
            </w:r>
          </w:p>
        </w:tc>
      </w:tr>
      <w:tr w:rsidR="0046798B" w14:paraId="775657E2" w14:textId="77777777">
        <w:trPr>
          <w:trHeight w:val="1695"/>
        </w:trPr>
        <w:tc>
          <w:tcPr>
            <w:tcW w:w="1711" w:type="dxa"/>
          </w:tcPr>
          <w:p w14:paraId="0ED7DAA8" w14:textId="77777777" w:rsidR="0046798B" w:rsidRDefault="0046798B">
            <w:pPr>
              <w:pStyle w:val="TableParagraph"/>
            </w:pPr>
          </w:p>
          <w:p w14:paraId="09EC08EB" w14:textId="77777777" w:rsidR="0046798B" w:rsidRDefault="0046798B">
            <w:pPr>
              <w:pStyle w:val="TableParagraph"/>
            </w:pPr>
          </w:p>
          <w:p w14:paraId="3F1EE774" w14:textId="77777777" w:rsidR="0046798B" w:rsidRDefault="0046798B">
            <w:pPr>
              <w:pStyle w:val="TableParagraph"/>
              <w:spacing w:before="9"/>
              <w:rPr>
                <w:sz w:val="19"/>
              </w:rPr>
            </w:pPr>
          </w:p>
          <w:p w14:paraId="1FA21CF1" w14:textId="77777777" w:rsidR="0046798B" w:rsidRDefault="00903B5C">
            <w:pPr>
              <w:pStyle w:val="TableParagraph"/>
              <w:ind w:left="115"/>
              <w:rPr>
                <w:b/>
                <w:sz w:val="20"/>
              </w:rPr>
            </w:pPr>
            <w:r>
              <w:rPr>
                <w:b/>
                <w:sz w:val="20"/>
              </w:rPr>
              <w:t>leg_cont</w:t>
            </w:r>
          </w:p>
        </w:tc>
        <w:tc>
          <w:tcPr>
            <w:tcW w:w="1596" w:type="dxa"/>
          </w:tcPr>
          <w:p w14:paraId="293D0E30" w14:textId="77777777" w:rsidR="0046798B" w:rsidRDefault="0046798B">
            <w:pPr>
              <w:pStyle w:val="TableParagraph"/>
            </w:pPr>
          </w:p>
          <w:p w14:paraId="2656099A" w14:textId="77777777" w:rsidR="0046798B" w:rsidRDefault="0046798B">
            <w:pPr>
              <w:pStyle w:val="TableParagraph"/>
              <w:spacing w:before="8"/>
              <w:rPr>
                <w:sz w:val="21"/>
              </w:rPr>
            </w:pPr>
          </w:p>
          <w:p w14:paraId="4DBB1B55" w14:textId="77777777" w:rsidR="0046798B" w:rsidRDefault="00903B5C">
            <w:pPr>
              <w:pStyle w:val="TableParagraph"/>
              <w:spacing w:before="1"/>
              <w:ind w:left="114" w:right="441"/>
              <w:rPr>
                <w:sz w:val="20"/>
              </w:rPr>
            </w:pPr>
            <w:r>
              <w:rPr>
                <w:sz w:val="20"/>
              </w:rPr>
              <w:t>Democrats’ power of the legislature</w:t>
            </w:r>
          </w:p>
        </w:tc>
        <w:tc>
          <w:tcPr>
            <w:tcW w:w="1280" w:type="dxa"/>
          </w:tcPr>
          <w:p w14:paraId="1E14632C" w14:textId="77777777" w:rsidR="0046798B" w:rsidRDefault="0046798B">
            <w:pPr>
              <w:pStyle w:val="TableParagraph"/>
            </w:pPr>
          </w:p>
          <w:p w14:paraId="0F2D59EA" w14:textId="77777777" w:rsidR="0046798B" w:rsidRDefault="0046798B">
            <w:pPr>
              <w:pStyle w:val="TableParagraph"/>
            </w:pPr>
          </w:p>
          <w:p w14:paraId="59DF320F" w14:textId="77777777" w:rsidR="0046798B" w:rsidRDefault="0046798B">
            <w:pPr>
              <w:pStyle w:val="TableParagraph"/>
              <w:spacing w:before="9"/>
              <w:rPr>
                <w:sz w:val="19"/>
              </w:rPr>
            </w:pPr>
          </w:p>
          <w:p w14:paraId="6290514C" w14:textId="77777777" w:rsidR="0046798B" w:rsidRDefault="00903B5C">
            <w:pPr>
              <w:pStyle w:val="TableParagraph"/>
              <w:ind w:left="114"/>
              <w:rPr>
                <w:sz w:val="20"/>
              </w:rPr>
            </w:pPr>
            <w:r>
              <w:rPr>
                <w:sz w:val="20"/>
              </w:rPr>
              <w:t>1937–2011</w:t>
            </w:r>
          </w:p>
        </w:tc>
        <w:tc>
          <w:tcPr>
            <w:tcW w:w="3421" w:type="dxa"/>
          </w:tcPr>
          <w:p w14:paraId="558BC75F" w14:textId="77777777" w:rsidR="0046798B" w:rsidRDefault="00903B5C">
            <w:pPr>
              <w:pStyle w:val="TableParagraph"/>
              <w:spacing w:before="43"/>
              <w:ind w:left="114" w:right="152"/>
              <w:rPr>
                <w:sz w:val="20"/>
              </w:rPr>
            </w:pPr>
            <w:r>
              <w:rPr>
                <w:sz w:val="20"/>
              </w:rPr>
              <w:t>1 = Democrats control both chambers; 0 = Democrats control neither chamber; .5 = Democrats control one chamber, .25 = Democrats split control of one chamber, .75 = Democrats control one chamber and split control of the other</w:t>
            </w:r>
          </w:p>
        </w:tc>
        <w:tc>
          <w:tcPr>
            <w:tcW w:w="6477" w:type="dxa"/>
          </w:tcPr>
          <w:p w14:paraId="6E6C5D87" w14:textId="77777777" w:rsidR="0046798B" w:rsidRDefault="0046798B">
            <w:pPr>
              <w:pStyle w:val="TableParagraph"/>
            </w:pPr>
          </w:p>
          <w:p w14:paraId="4E4CF1F6" w14:textId="77777777" w:rsidR="0046798B" w:rsidRDefault="0046798B">
            <w:pPr>
              <w:pStyle w:val="TableParagraph"/>
              <w:spacing w:before="8"/>
              <w:rPr>
                <w:sz w:val="31"/>
              </w:rPr>
            </w:pPr>
          </w:p>
          <w:p w14:paraId="78EB5630" w14:textId="77777777" w:rsidR="0046798B" w:rsidRDefault="00903B5C">
            <w:pPr>
              <w:pStyle w:val="TableParagraph"/>
              <w:spacing w:before="1"/>
              <w:ind w:left="114" w:right="1195"/>
              <w:rPr>
                <w:sz w:val="20"/>
              </w:rPr>
            </w:pPr>
            <w:r>
              <w:rPr>
                <w:sz w:val="20"/>
              </w:rPr>
              <w:t xml:space="preserve">Klarner, Carl, 2013, “State Partisan Balance Data, 1937–2011”, </w:t>
            </w:r>
            <w:hyperlink r:id="rId493">
              <w:r>
                <w:rPr>
                  <w:color w:val="0462C1"/>
                  <w:sz w:val="20"/>
                  <w:u w:val="single" w:color="0462C1"/>
                </w:rPr>
                <w:t>https://doi.org/10.7910/DVN/LZHMG3</w:t>
              </w:r>
              <w:r>
                <w:rPr>
                  <w:sz w:val="20"/>
                </w:rPr>
                <w:t>,</w:t>
              </w:r>
            </w:hyperlink>
            <w:r>
              <w:rPr>
                <w:sz w:val="20"/>
              </w:rPr>
              <w:t xml:space="preserve"> Harvard Dataverse, V1</w:t>
            </w:r>
          </w:p>
        </w:tc>
      </w:tr>
      <w:tr w:rsidR="0046798B" w14:paraId="6CE89B7A" w14:textId="77777777">
        <w:trPr>
          <w:trHeight w:val="545"/>
        </w:trPr>
        <w:tc>
          <w:tcPr>
            <w:tcW w:w="1711" w:type="dxa"/>
          </w:tcPr>
          <w:p w14:paraId="46768165" w14:textId="77777777" w:rsidR="0046798B" w:rsidRDefault="00903B5C">
            <w:pPr>
              <w:pStyle w:val="TableParagraph"/>
              <w:spacing w:before="158"/>
              <w:ind w:left="115"/>
              <w:rPr>
                <w:b/>
                <w:sz w:val="20"/>
              </w:rPr>
            </w:pPr>
            <w:r>
              <w:rPr>
                <w:b/>
                <w:sz w:val="20"/>
              </w:rPr>
              <w:t>split_leg</w:t>
            </w:r>
          </w:p>
        </w:tc>
        <w:tc>
          <w:tcPr>
            <w:tcW w:w="1596" w:type="dxa"/>
          </w:tcPr>
          <w:p w14:paraId="4B4EE91D" w14:textId="77777777" w:rsidR="0046798B" w:rsidRDefault="00903B5C">
            <w:pPr>
              <w:pStyle w:val="TableParagraph"/>
              <w:spacing w:before="43"/>
              <w:ind w:left="114" w:right="324"/>
              <w:rPr>
                <w:sz w:val="20"/>
              </w:rPr>
            </w:pPr>
            <w:r>
              <w:rPr>
                <w:sz w:val="20"/>
              </w:rPr>
              <w:t>Is there a split legislature?</w:t>
            </w:r>
          </w:p>
        </w:tc>
        <w:tc>
          <w:tcPr>
            <w:tcW w:w="1280" w:type="dxa"/>
          </w:tcPr>
          <w:p w14:paraId="2D51ED2E" w14:textId="77777777" w:rsidR="0046798B" w:rsidRDefault="00903B5C">
            <w:pPr>
              <w:pStyle w:val="TableParagraph"/>
              <w:spacing w:before="158"/>
              <w:ind w:left="114"/>
              <w:rPr>
                <w:sz w:val="20"/>
              </w:rPr>
            </w:pPr>
            <w:r>
              <w:rPr>
                <w:sz w:val="20"/>
              </w:rPr>
              <w:t>1937–2011</w:t>
            </w:r>
          </w:p>
        </w:tc>
        <w:tc>
          <w:tcPr>
            <w:tcW w:w="3421" w:type="dxa"/>
          </w:tcPr>
          <w:p w14:paraId="3B04C9EA" w14:textId="77777777" w:rsidR="0046798B" w:rsidRDefault="00903B5C">
            <w:pPr>
              <w:pStyle w:val="TableParagraph"/>
              <w:spacing w:before="43"/>
              <w:ind w:left="114" w:right="570"/>
              <w:rPr>
                <w:sz w:val="20"/>
              </w:rPr>
            </w:pPr>
            <w:r>
              <w:rPr>
                <w:sz w:val="20"/>
              </w:rPr>
              <w:t>Dummy: 1 = chambers are not controlled by same party, 0 = else</w:t>
            </w:r>
          </w:p>
        </w:tc>
        <w:tc>
          <w:tcPr>
            <w:tcW w:w="6477" w:type="dxa"/>
          </w:tcPr>
          <w:p w14:paraId="41C2E56F" w14:textId="77777777" w:rsidR="0046798B" w:rsidRDefault="00903B5C">
            <w:pPr>
              <w:pStyle w:val="TableParagraph"/>
              <w:spacing w:before="43"/>
              <w:ind w:left="114" w:right="1195"/>
              <w:rPr>
                <w:sz w:val="20"/>
              </w:rPr>
            </w:pPr>
            <w:r>
              <w:rPr>
                <w:sz w:val="20"/>
              </w:rPr>
              <w:t xml:space="preserve">Klarner, Carl, 2013, “State Partisan Balance Data, 1937–2011”, </w:t>
            </w:r>
            <w:hyperlink r:id="rId494">
              <w:r>
                <w:rPr>
                  <w:color w:val="0462C1"/>
                  <w:sz w:val="20"/>
                  <w:u w:val="single" w:color="0462C1"/>
                </w:rPr>
                <w:t>https://doi.org/10.7910/DVN/LZHMG3</w:t>
              </w:r>
              <w:r>
                <w:rPr>
                  <w:sz w:val="20"/>
                </w:rPr>
                <w:t>,</w:t>
              </w:r>
            </w:hyperlink>
            <w:r>
              <w:rPr>
                <w:sz w:val="20"/>
              </w:rPr>
              <w:t xml:space="preserve"> Harvard Dataverse, V1</w:t>
            </w:r>
          </w:p>
        </w:tc>
      </w:tr>
      <w:tr w:rsidR="0046798B" w14:paraId="3EEE6D85" w14:textId="77777777">
        <w:trPr>
          <w:trHeight w:val="1005"/>
        </w:trPr>
        <w:tc>
          <w:tcPr>
            <w:tcW w:w="1711" w:type="dxa"/>
          </w:tcPr>
          <w:p w14:paraId="32A19474" w14:textId="77777777" w:rsidR="0046798B" w:rsidRDefault="0046798B">
            <w:pPr>
              <w:pStyle w:val="TableParagraph"/>
            </w:pPr>
          </w:p>
          <w:p w14:paraId="7BC8E6CD" w14:textId="77777777" w:rsidR="0046798B" w:rsidRDefault="00903B5C">
            <w:pPr>
              <w:pStyle w:val="TableParagraph"/>
              <w:spacing w:before="135"/>
              <w:ind w:left="115"/>
              <w:rPr>
                <w:b/>
                <w:sz w:val="20"/>
              </w:rPr>
            </w:pPr>
            <w:r>
              <w:rPr>
                <w:b/>
                <w:sz w:val="20"/>
              </w:rPr>
              <w:t>divided_gov</w:t>
            </w:r>
          </w:p>
        </w:tc>
        <w:tc>
          <w:tcPr>
            <w:tcW w:w="1596" w:type="dxa"/>
          </w:tcPr>
          <w:p w14:paraId="654B3D4F" w14:textId="77777777" w:rsidR="0046798B" w:rsidRDefault="0046798B">
            <w:pPr>
              <w:pStyle w:val="TableParagraph"/>
              <w:spacing w:before="8"/>
              <w:rPr>
                <w:sz w:val="23"/>
              </w:rPr>
            </w:pPr>
          </w:p>
          <w:p w14:paraId="127BDCD7" w14:textId="77777777" w:rsidR="0046798B" w:rsidRDefault="00903B5C">
            <w:pPr>
              <w:pStyle w:val="TableParagraph"/>
              <w:spacing w:before="1"/>
              <w:ind w:left="114" w:right="207"/>
              <w:rPr>
                <w:sz w:val="20"/>
              </w:rPr>
            </w:pPr>
            <w:r>
              <w:rPr>
                <w:sz w:val="20"/>
              </w:rPr>
              <w:t>Is there divided government?</w:t>
            </w:r>
          </w:p>
        </w:tc>
        <w:tc>
          <w:tcPr>
            <w:tcW w:w="1280" w:type="dxa"/>
          </w:tcPr>
          <w:p w14:paraId="34D3CF1E" w14:textId="77777777" w:rsidR="0046798B" w:rsidRDefault="0046798B">
            <w:pPr>
              <w:pStyle w:val="TableParagraph"/>
            </w:pPr>
          </w:p>
          <w:p w14:paraId="3CBD6F6A" w14:textId="77777777" w:rsidR="0046798B" w:rsidRDefault="00903B5C">
            <w:pPr>
              <w:pStyle w:val="TableParagraph"/>
              <w:spacing w:before="135"/>
              <w:ind w:left="114"/>
              <w:rPr>
                <w:sz w:val="20"/>
              </w:rPr>
            </w:pPr>
            <w:r>
              <w:rPr>
                <w:sz w:val="20"/>
              </w:rPr>
              <w:t>1937–2011</w:t>
            </w:r>
          </w:p>
        </w:tc>
        <w:tc>
          <w:tcPr>
            <w:tcW w:w="3421" w:type="dxa"/>
          </w:tcPr>
          <w:p w14:paraId="4A681438" w14:textId="77777777" w:rsidR="0046798B" w:rsidRDefault="00903B5C">
            <w:pPr>
              <w:pStyle w:val="TableParagraph"/>
              <w:spacing w:before="43"/>
              <w:ind w:left="114" w:right="150"/>
              <w:rPr>
                <w:sz w:val="20"/>
              </w:rPr>
            </w:pPr>
            <w:r>
              <w:rPr>
                <w:sz w:val="20"/>
              </w:rPr>
              <w:t>Dummy: 1 = two chambers of legislature and governorship are not all controlled by same party, 0 = same party controls all three institutions</w:t>
            </w:r>
          </w:p>
        </w:tc>
        <w:tc>
          <w:tcPr>
            <w:tcW w:w="6477" w:type="dxa"/>
          </w:tcPr>
          <w:p w14:paraId="15DC729A" w14:textId="77777777" w:rsidR="0046798B" w:rsidRDefault="0046798B">
            <w:pPr>
              <w:pStyle w:val="TableParagraph"/>
              <w:spacing w:before="8"/>
              <w:rPr>
                <w:sz w:val="23"/>
              </w:rPr>
            </w:pPr>
          </w:p>
          <w:p w14:paraId="452531A5" w14:textId="77777777" w:rsidR="0046798B" w:rsidRDefault="00903B5C">
            <w:pPr>
              <w:pStyle w:val="TableParagraph"/>
              <w:spacing w:before="1"/>
              <w:ind w:left="114" w:right="1195"/>
              <w:rPr>
                <w:sz w:val="20"/>
              </w:rPr>
            </w:pPr>
            <w:r>
              <w:rPr>
                <w:sz w:val="20"/>
              </w:rPr>
              <w:t xml:space="preserve">Klarner, Carl, 2013, “State Partisan Balance Data, 1937–2011”, </w:t>
            </w:r>
            <w:hyperlink r:id="rId495">
              <w:r>
                <w:rPr>
                  <w:color w:val="0462C1"/>
                  <w:sz w:val="20"/>
                  <w:u w:val="single" w:color="0462C1"/>
                </w:rPr>
                <w:t>https://doi.org/10.7910/DVN/LZHMG3</w:t>
              </w:r>
              <w:r>
                <w:rPr>
                  <w:sz w:val="20"/>
                </w:rPr>
                <w:t>,</w:t>
              </w:r>
            </w:hyperlink>
            <w:r>
              <w:rPr>
                <w:sz w:val="20"/>
              </w:rPr>
              <w:t xml:space="preserve"> Harvard Dataverse, V1</w:t>
            </w:r>
          </w:p>
        </w:tc>
      </w:tr>
      <w:tr w:rsidR="0046798B" w14:paraId="57C4AABD" w14:textId="77777777">
        <w:trPr>
          <w:trHeight w:val="780"/>
        </w:trPr>
        <w:tc>
          <w:tcPr>
            <w:tcW w:w="1711" w:type="dxa"/>
          </w:tcPr>
          <w:p w14:paraId="5BEC5457" w14:textId="77777777" w:rsidR="0046798B" w:rsidRDefault="00903B5C">
            <w:pPr>
              <w:pStyle w:val="TableParagraph"/>
              <w:spacing w:before="158"/>
              <w:ind w:left="115" w:right="110"/>
              <w:rPr>
                <w:b/>
                <w:sz w:val="20"/>
              </w:rPr>
            </w:pPr>
            <w:r>
              <w:rPr>
                <w:b/>
                <w:sz w:val="20"/>
              </w:rPr>
              <w:t>sen_dem_prop_a ll</w:t>
            </w:r>
          </w:p>
        </w:tc>
        <w:tc>
          <w:tcPr>
            <w:tcW w:w="1596" w:type="dxa"/>
          </w:tcPr>
          <w:p w14:paraId="146C8352" w14:textId="77777777" w:rsidR="0046798B" w:rsidRDefault="00903B5C">
            <w:pPr>
              <w:pStyle w:val="TableParagraph"/>
              <w:spacing w:before="43"/>
              <w:ind w:left="114" w:right="85"/>
              <w:rPr>
                <w:sz w:val="20"/>
              </w:rPr>
            </w:pPr>
            <w:r>
              <w:rPr>
                <w:sz w:val="20"/>
              </w:rPr>
              <w:t>Proportion of Democrats in the senate</w:t>
            </w:r>
          </w:p>
        </w:tc>
        <w:tc>
          <w:tcPr>
            <w:tcW w:w="1280" w:type="dxa"/>
          </w:tcPr>
          <w:p w14:paraId="21F6A1FB" w14:textId="77777777" w:rsidR="0046798B" w:rsidRDefault="0046798B">
            <w:pPr>
              <w:pStyle w:val="TableParagraph"/>
              <w:spacing w:before="9"/>
              <w:rPr>
                <w:sz w:val="23"/>
              </w:rPr>
            </w:pPr>
          </w:p>
          <w:p w14:paraId="0DB0CEB6" w14:textId="77777777" w:rsidR="0046798B" w:rsidRDefault="00903B5C">
            <w:pPr>
              <w:pStyle w:val="TableParagraph"/>
              <w:ind w:left="114"/>
              <w:rPr>
                <w:sz w:val="20"/>
              </w:rPr>
            </w:pPr>
            <w:r>
              <w:rPr>
                <w:sz w:val="20"/>
              </w:rPr>
              <w:t>1937–2011</w:t>
            </w:r>
          </w:p>
        </w:tc>
        <w:tc>
          <w:tcPr>
            <w:tcW w:w="3421" w:type="dxa"/>
          </w:tcPr>
          <w:p w14:paraId="52F6DC41" w14:textId="77777777" w:rsidR="0046798B" w:rsidRDefault="00903B5C">
            <w:pPr>
              <w:pStyle w:val="TableParagraph"/>
              <w:spacing w:before="158"/>
              <w:ind w:left="114" w:right="155"/>
              <w:rPr>
                <w:sz w:val="20"/>
              </w:rPr>
            </w:pPr>
            <w:r>
              <w:rPr>
                <w:sz w:val="20"/>
              </w:rPr>
              <w:t>Proportion of state senate seats held by Democrats</w:t>
            </w:r>
          </w:p>
        </w:tc>
        <w:tc>
          <w:tcPr>
            <w:tcW w:w="6477" w:type="dxa"/>
          </w:tcPr>
          <w:p w14:paraId="636C9608" w14:textId="77777777" w:rsidR="0046798B" w:rsidRDefault="00903B5C">
            <w:pPr>
              <w:pStyle w:val="TableParagraph"/>
              <w:spacing w:before="158"/>
              <w:ind w:left="114" w:right="1195"/>
              <w:rPr>
                <w:sz w:val="20"/>
              </w:rPr>
            </w:pPr>
            <w:r>
              <w:rPr>
                <w:sz w:val="20"/>
              </w:rPr>
              <w:t xml:space="preserve">Klarner, Carl, 2013, “State Partisan Balance Data, 1937–2011”, </w:t>
            </w:r>
            <w:hyperlink r:id="rId496">
              <w:r>
                <w:rPr>
                  <w:color w:val="0462C1"/>
                  <w:sz w:val="20"/>
                  <w:u w:val="single" w:color="0462C1"/>
                </w:rPr>
                <w:t>https://doi.org/10.7910/DVN/LZHMG3</w:t>
              </w:r>
              <w:r>
                <w:rPr>
                  <w:sz w:val="20"/>
                </w:rPr>
                <w:t>,</w:t>
              </w:r>
            </w:hyperlink>
            <w:r>
              <w:rPr>
                <w:sz w:val="20"/>
              </w:rPr>
              <w:t xml:space="preserve"> Harvard Dataverse, V1</w:t>
            </w:r>
          </w:p>
        </w:tc>
      </w:tr>
      <w:tr w:rsidR="0046798B" w14:paraId="5D85EE3D" w14:textId="77777777">
        <w:trPr>
          <w:trHeight w:val="775"/>
        </w:trPr>
        <w:tc>
          <w:tcPr>
            <w:tcW w:w="1711" w:type="dxa"/>
          </w:tcPr>
          <w:p w14:paraId="2ED6FBD6" w14:textId="77777777" w:rsidR="0046798B" w:rsidRDefault="00903B5C">
            <w:pPr>
              <w:pStyle w:val="TableParagraph"/>
              <w:spacing w:before="153"/>
              <w:ind w:left="115" w:right="132"/>
              <w:rPr>
                <w:b/>
                <w:sz w:val="20"/>
              </w:rPr>
            </w:pPr>
            <w:r>
              <w:rPr>
                <w:b/>
                <w:sz w:val="20"/>
              </w:rPr>
              <w:t>sen_rep_prop_al l</w:t>
            </w:r>
          </w:p>
        </w:tc>
        <w:tc>
          <w:tcPr>
            <w:tcW w:w="1596" w:type="dxa"/>
          </w:tcPr>
          <w:p w14:paraId="08881F28" w14:textId="77777777" w:rsidR="0046798B" w:rsidRDefault="00903B5C">
            <w:pPr>
              <w:pStyle w:val="TableParagraph"/>
              <w:spacing w:before="38"/>
              <w:ind w:left="114" w:right="257"/>
              <w:rPr>
                <w:sz w:val="20"/>
              </w:rPr>
            </w:pPr>
            <w:r>
              <w:rPr>
                <w:sz w:val="20"/>
              </w:rPr>
              <w:t>Proportion of Republicans in the senate</w:t>
            </w:r>
          </w:p>
        </w:tc>
        <w:tc>
          <w:tcPr>
            <w:tcW w:w="1280" w:type="dxa"/>
          </w:tcPr>
          <w:p w14:paraId="691FEFE9" w14:textId="77777777" w:rsidR="0046798B" w:rsidRDefault="0046798B">
            <w:pPr>
              <w:pStyle w:val="TableParagraph"/>
              <w:spacing w:before="3"/>
              <w:rPr>
                <w:sz w:val="23"/>
              </w:rPr>
            </w:pPr>
          </w:p>
          <w:p w14:paraId="0943A832" w14:textId="77777777" w:rsidR="0046798B" w:rsidRDefault="00903B5C">
            <w:pPr>
              <w:pStyle w:val="TableParagraph"/>
              <w:spacing w:before="1"/>
              <w:ind w:left="114"/>
              <w:rPr>
                <w:sz w:val="20"/>
              </w:rPr>
            </w:pPr>
            <w:r>
              <w:rPr>
                <w:sz w:val="20"/>
              </w:rPr>
              <w:t>1937–2011</w:t>
            </w:r>
          </w:p>
        </w:tc>
        <w:tc>
          <w:tcPr>
            <w:tcW w:w="3421" w:type="dxa"/>
          </w:tcPr>
          <w:p w14:paraId="039844E2" w14:textId="77777777" w:rsidR="0046798B" w:rsidRDefault="00903B5C">
            <w:pPr>
              <w:pStyle w:val="TableParagraph"/>
              <w:spacing w:before="153"/>
              <w:ind w:left="114" w:right="155"/>
              <w:rPr>
                <w:sz w:val="20"/>
              </w:rPr>
            </w:pPr>
            <w:r>
              <w:rPr>
                <w:sz w:val="20"/>
              </w:rPr>
              <w:t>Proportion of state senate seats held by Republicans</w:t>
            </w:r>
          </w:p>
        </w:tc>
        <w:tc>
          <w:tcPr>
            <w:tcW w:w="6477" w:type="dxa"/>
          </w:tcPr>
          <w:p w14:paraId="039746DB" w14:textId="77777777" w:rsidR="0046798B" w:rsidRDefault="00903B5C">
            <w:pPr>
              <w:pStyle w:val="TableParagraph"/>
              <w:spacing w:before="153"/>
              <w:ind w:left="114" w:right="1195"/>
              <w:rPr>
                <w:sz w:val="20"/>
              </w:rPr>
            </w:pPr>
            <w:r>
              <w:rPr>
                <w:sz w:val="20"/>
              </w:rPr>
              <w:t xml:space="preserve">Klarner, Carl, 2013, “State Partisan Balance Data, 1937–2011”, </w:t>
            </w:r>
            <w:hyperlink r:id="rId497">
              <w:r>
                <w:rPr>
                  <w:color w:val="0462C1"/>
                  <w:sz w:val="20"/>
                  <w:u w:val="single" w:color="0462C1"/>
                </w:rPr>
                <w:t>https://doi.org/10.7910/DVN/LZHMG3</w:t>
              </w:r>
              <w:r>
                <w:rPr>
                  <w:sz w:val="20"/>
                </w:rPr>
                <w:t>,</w:t>
              </w:r>
            </w:hyperlink>
            <w:r>
              <w:rPr>
                <w:sz w:val="20"/>
              </w:rPr>
              <w:t xml:space="preserve"> Harvard Dataverse, V1</w:t>
            </w:r>
          </w:p>
        </w:tc>
      </w:tr>
    </w:tbl>
    <w:p w14:paraId="76117A37" w14:textId="77777777" w:rsidR="0046798B" w:rsidRDefault="0046798B">
      <w:pPr>
        <w:rPr>
          <w:sz w:val="20"/>
        </w:rPr>
        <w:sectPr w:rsidR="0046798B">
          <w:pgSz w:w="15840" w:h="12240" w:orient="landscape"/>
          <w:pgMar w:top="1220" w:right="300" w:bottom="980" w:left="820" w:header="730" w:footer="787" w:gutter="0"/>
          <w:cols w:space="720"/>
        </w:sectPr>
      </w:pPr>
    </w:p>
    <w:p w14:paraId="178A8AF1"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0"/>
        <w:gridCol w:w="3421"/>
        <w:gridCol w:w="6477"/>
      </w:tblGrid>
      <w:tr w:rsidR="0046798B" w14:paraId="1F77C86E" w14:textId="77777777">
        <w:trPr>
          <w:trHeight w:val="775"/>
        </w:trPr>
        <w:tc>
          <w:tcPr>
            <w:tcW w:w="1711" w:type="dxa"/>
          </w:tcPr>
          <w:p w14:paraId="3900F5E0" w14:textId="77777777" w:rsidR="0046798B" w:rsidRDefault="0046798B">
            <w:pPr>
              <w:pStyle w:val="TableParagraph"/>
              <w:spacing w:before="9"/>
              <w:rPr>
                <w:sz w:val="23"/>
              </w:rPr>
            </w:pPr>
          </w:p>
          <w:p w14:paraId="74E5604C" w14:textId="77777777" w:rsidR="0046798B" w:rsidRDefault="00903B5C">
            <w:pPr>
              <w:pStyle w:val="TableParagraph"/>
              <w:ind w:left="115"/>
              <w:rPr>
                <w:b/>
                <w:sz w:val="20"/>
              </w:rPr>
            </w:pPr>
            <w:r>
              <w:rPr>
                <w:b/>
                <w:sz w:val="20"/>
              </w:rPr>
              <w:t>hs_dem_prop_all</w:t>
            </w:r>
          </w:p>
        </w:tc>
        <w:tc>
          <w:tcPr>
            <w:tcW w:w="1596" w:type="dxa"/>
          </w:tcPr>
          <w:p w14:paraId="1EAC4038" w14:textId="77777777" w:rsidR="0046798B" w:rsidRDefault="00903B5C">
            <w:pPr>
              <w:pStyle w:val="TableParagraph"/>
              <w:spacing w:before="43"/>
              <w:ind w:left="114" w:right="85"/>
              <w:rPr>
                <w:sz w:val="20"/>
              </w:rPr>
            </w:pPr>
            <w:r>
              <w:rPr>
                <w:sz w:val="20"/>
              </w:rPr>
              <w:t>Proportion of Democrats in the house</w:t>
            </w:r>
          </w:p>
        </w:tc>
        <w:tc>
          <w:tcPr>
            <w:tcW w:w="1280" w:type="dxa"/>
          </w:tcPr>
          <w:p w14:paraId="51285A84" w14:textId="77777777" w:rsidR="0046798B" w:rsidRDefault="0046798B">
            <w:pPr>
              <w:pStyle w:val="TableParagraph"/>
              <w:spacing w:before="9"/>
              <w:rPr>
                <w:sz w:val="23"/>
              </w:rPr>
            </w:pPr>
          </w:p>
          <w:p w14:paraId="1425604F" w14:textId="77777777" w:rsidR="0046798B" w:rsidRDefault="00903B5C">
            <w:pPr>
              <w:pStyle w:val="TableParagraph"/>
              <w:ind w:left="114"/>
              <w:rPr>
                <w:sz w:val="20"/>
              </w:rPr>
            </w:pPr>
            <w:r>
              <w:rPr>
                <w:sz w:val="20"/>
              </w:rPr>
              <w:t>1937–2011</w:t>
            </w:r>
          </w:p>
        </w:tc>
        <w:tc>
          <w:tcPr>
            <w:tcW w:w="3421" w:type="dxa"/>
          </w:tcPr>
          <w:p w14:paraId="78EC6ED1" w14:textId="77777777" w:rsidR="0046798B" w:rsidRDefault="00903B5C">
            <w:pPr>
              <w:pStyle w:val="TableParagraph"/>
              <w:spacing w:before="158"/>
              <w:ind w:left="114" w:right="188"/>
              <w:rPr>
                <w:sz w:val="20"/>
              </w:rPr>
            </w:pPr>
            <w:r>
              <w:rPr>
                <w:sz w:val="20"/>
              </w:rPr>
              <w:t>Proportion of state house seats held by Democrats</w:t>
            </w:r>
          </w:p>
        </w:tc>
        <w:tc>
          <w:tcPr>
            <w:tcW w:w="6477" w:type="dxa"/>
          </w:tcPr>
          <w:p w14:paraId="21644A01" w14:textId="77777777" w:rsidR="0046798B" w:rsidRDefault="00903B5C">
            <w:pPr>
              <w:pStyle w:val="TableParagraph"/>
              <w:spacing w:before="158"/>
              <w:ind w:left="114" w:right="1195"/>
              <w:rPr>
                <w:sz w:val="20"/>
              </w:rPr>
            </w:pPr>
            <w:r>
              <w:rPr>
                <w:sz w:val="20"/>
              </w:rPr>
              <w:t xml:space="preserve">Klarner, Carl, 2013, “State Partisan Balance Data, 1937–2011”, </w:t>
            </w:r>
            <w:hyperlink r:id="rId498">
              <w:r>
                <w:rPr>
                  <w:color w:val="0462C1"/>
                  <w:sz w:val="20"/>
                  <w:u w:val="single" w:color="0462C1"/>
                </w:rPr>
                <w:t>https://doi.org/10.7910/DVN/LZHMG3</w:t>
              </w:r>
              <w:r>
                <w:rPr>
                  <w:sz w:val="20"/>
                </w:rPr>
                <w:t>,</w:t>
              </w:r>
            </w:hyperlink>
            <w:r>
              <w:rPr>
                <w:sz w:val="20"/>
              </w:rPr>
              <w:t xml:space="preserve"> Harvard Dataverse, V1</w:t>
            </w:r>
          </w:p>
        </w:tc>
      </w:tr>
      <w:tr w:rsidR="0046798B" w14:paraId="128B1CAD" w14:textId="77777777">
        <w:trPr>
          <w:trHeight w:val="775"/>
        </w:trPr>
        <w:tc>
          <w:tcPr>
            <w:tcW w:w="1711" w:type="dxa"/>
          </w:tcPr>
          <w:p w14:paraId="5150E30D" w14:textId="77777777" w:rsidR="0046798B" w:rsidRDefault="0046798B">
            <w:pPr>
              <w:pStyle w:val="TableParagraph"/>
              <w:spacing w:before="8"/>
              <w:rPr>
                <w:sz w:val="23"/>
              </w:rPr>
            </w:pPr>
          </w:p>
          <w:p w14:paraId="27234151" w14:textId="77777777" w:rsidR="0046798B" w:rsidRDefault="00903B5C">
            <w:pPr>
              <w:pStyle w:val="TableParagraph"/>
              <w:spacing w:before="1"/>
              <w:ind w:left="115"/>
              <w:rPr>
                <w:b/>
                <w:sz w:val="20"/>
              </w:rPr>
            </w:pPr>
            <w:r>
              <w:rPr>
                <w:b/>
                <w:sz w:val="20"/>
              </w:rPr>
              <w:t>hs_rep_prop_all</w:t>
            </w:r>
          </w:p>
        </w:tc>
        <w:tc>
          <w:tcPr>
            <w:tcW w:w="1596" w:type="dxa"/>
          </w:tcPr>
          <w:p w14:paraId="0E8D80DE" w14:textId="77777777" w:rsidR="0046798B" w:rsidRDefault="00903B5C">
            <w:pPr>
              <w:pStyle w:val="TableParagraph"/>
              <w:spacing w:before="43"/>
              <w:ind w:left="114" w:right="257"/>
              <w:rPr>
                <w:sz w:val="20"/>
              </w:rPr>
            </w:pPr>
            <w:r>
              <w:rPr>
                <w:sz w:val="20"/>
              </w:rPr>
              <w:t>Proportion of Republicans in the house</w:t>
            </w:r>
          </w:p>
        </w:tc>
        <w:tc>
          <w:tcPr>
            <w:tcW w:w="1280" w:type="dxa"/>
          </w:tcPr>
          <w:p w14:paraId="65958037" w14:textId="77777777" w:rsidR="0046798B" w:rsidRDefault="0046798B">
            <w:pPr>
              <w:pStyle w:val="TableParagraph"/>
              <w:spacing w:before="8"/>
              <w:rPr>
                <w:sz w:val="23"/>
              </w:rPr>
            </w:pPr>
          </w:p>
          <w:p w14:paraId="3364A755" w14:textId="77777777" w:rsidR="0046798B" w:rsidRDefault="00903B5C">
            <w:pPr>
              <w:pStyle w:val="TableParagraph"/>
              <w:spacing w:before="1"/>
              <w:ind w:left="114"/>
              <w:rPr>
                <w:sz w:val="20"/>
              </w:rPr>
            </w:pPr>
            <w:r>
              <w:rPr>
                <w:sz w:val="20"/>
              </w:rPr>
              <w:t>1937–2011</w:t>
            </w:r>
          </w:p>
        </w:tc>
        <w:tc>
          <w:tcPr>
            <w:tcW w:w="3421" w:type="dxa"/>
          </w:tcPr>
          <w:p w14:paraId="37742A31" w14:textId="77777777" w:rsidR="0046798B" w:rsidRDefault="00903B5C">
            <w:pPr>
              <w:pStyle w:val="TableParagraph"/>
              <w:spacing w:before="158"/>
              <w:ind w:left="114" w:right="188"/>
              <w:rPr>
                <w:sz w:val="20"/>
              </w:rPr>
            </w:pPr>
            <w:r>
              <w:rPr>
                <w:sz w:val="20"/>
              </w:rPr>
              <w:t>Proportion of state house seats held by Republicans</w:t>
            </w:r>
          </w:p>
        </w:tc>
        <w:tc>
          <w:tcPr>
            <w:tcW w:w="6477" w:type="dxa"/>
          </w:tcPr>
          <w:p w14:paraId="7E836A1F" w14:textId="77777777" w:rsidR="0046798B" w:rsidRDefault="00903B5C">
            <w:pPr>
              <w:pStyle w:val="TableParagraph"/>
              <w:spacing w:before="158"/>
              <w:ind w:left="114" w:right="1195"/>
              <w:rPr>
                <w:sz w:val="20"/>
              </w:rPr>
            </w:pPr>
            <w:r>
              <w:rPr>
                <w:sz w:val="20"/>
              </w:rPr>
              <w:t xml:space="preserve">Klarner, Carl, 2013, “State Partisan Balance Data, 1937–2011”, </w:t>
            </w:r>
            <w:hyperlink r:id="rId499">
              <w:r>
                <w:rPr>
                  <w:color w:val="0462C1"/>
                  <w:sz w:val="20"/>
                  <w:u w:val="single" w:color="0462C1"/>
                </w:rPr>
                <w:t>https://doi.org/10.7910/DVN/LZHMG3</w:t>
              </w:r>
              <w:r>
                <w:rPr>
                  <w:sz w:val="20"/>
                </w:rPr>
                <w:t>,</w:t>
              </w:r>
            </w:hyperlink>
            <w:r>
              <w:rPr>
                <w:sz w:val="20"/>
              </w:rPr>
              <w:t xml:space="preserve"> Harvard Dataverse, V1</w:t>
            </w:r>
          </w:p>
        </w:tc>
      </w:tr>
      <w:tr w:rsidR="0046798B" w14:paraId="6A8D4D21" w14:textId="77777777">
        <w:trPr>
          <w:trHeight w:val="780"/>
        </w:trPr>
        <w:tc>
          <w:tcPr>
            <w:tcW w:w="1711" w:type="dxa"/>
          </w:tcPr>
          <w:p w14:paraId="7DD7E499" w14:textId="77777777" w:rsidR="0046798B" w:rsidRDefault="00903B5C">
            <w:pPr>
              <w:pStyle w:val="TableParagraph"/>
              <w:spacing w:before="159"/>
              <w:ind w:left="115" w:right="88"/>
              <w:rPr>
                <w:b/>
                <w:sz w:val="20"/>
              </w:rPr>
            </w:pPr>
            <w:r>
              <w:rPr>
                <w:b/>
                <w:sz w:val="20"/>
              </w:rPr>
              <w:t>per_leg_of_govs_ pty</w:t>
            </w:r>
          </w:p>
        </w:tc>
        <w:tc>
          <w:tcPr>
            <w:tcW w:w="1596" w:type="dxa"/>
          </w:tcPr>
          <w:p w14:paraId="5E69B3EC" w14:textId="77777777" w:rsidR="0046798B" w:rsidRDefault="00903B5C">
            <w:pPr>
              <w:pStyle w:val="TableParagraph"/>
              <w:spacing w:before="44"/>
              <w:ind w:left="114" w:right="124"/>
              <w:rPr>
                <w:sz w:val="20"/>
              </w:rPr>
            </w:pPr>
            <w:r>
              <w:rPr>
                <w:sz w:val="20"/>
              </w:rPr>
              <w:t>Percent of legislature from governor’s party</w:t>
            </w:r>
          </w:p>
        </w:tc>
        <w:tc>
          <w:tcPr>
            <w:tcW w:w="1280" w:type="dxa"/>
          </w:tcPr>
          <w:p w14:paraId="182845C5" w14:textId="77777777" w:rsidR="0046798B" w:rsidRDefault="0046798B">
            <w:pPr>
              <w:pStyle w:val="TableParagraph"/>
              <w:spacing w:before="9"/>
              <w:rPr>
                <w:sz w:val="23"/>
              </w:rPr>
            </w:pPr>
          </w:p>
          <w:p w14:paraId="5C0952A8" w14:textId="77777777" w:rsidR="0046798B" w:rsidRDefault="00903B5C">
            <w:pPr>
              <w:pStyle w:val="TableParagraph"/>
              <w:ind w:left="114"/>
              <w:rPr>
                <w:sz w:val="20"/>
              </w:rPr>
            </w:pPr>
            <w:r>
              <w:rPr>
                <w:sz w:val="20"/>
              </w:rPr>
              <w:t>1937–2011</w:t>
            </w:r>
          </w:p>
        </w:tc>
        <w:tc>
          <w:tcPr>
            <w:tcW w:w="3421" w:type="dxa"/>
          </w:tcPr>
          <w:p w14:paraId="6CB4EACB" w14:textId="77777777" w:rsidR="0046798B" w:rsidRDefault="00903B5C">
            <w:pPr>
              <w:pStyle w:val="TableParagraph"/>
              <w:spacing w:before="44"/>
              <w:ind w:left="114" w:right="217"/>
              <w:rPr>
                <w:sz w:val="20"/>
              </w:rPr>
            </w:pPr>
            <w:r>
              <w:rPr>
                <w:sz w:val="20"/>
              </w:rPr>
              <w:t>Percent of legislature across the two chambers that are of the same party as the governor</w:t>
            </w:r>
          </w:p>
        </w:tc>
        <w:tc>
          <w:tcPr>
            <w:tcW w:w="6477" w:type="dxa"/>
          </w:tcPr>
          <w:p w14:paraId="73A05FEF" w14:textId="77777777" w:rsidR="0046798B" w:rsidRDefault="00903B5C">
            <w:pPr>
              <w:pStyle w:val="TableParagraph"/>
              <w:spacing w:before="159"/>
              <w:ind w:left="114" w:right="1195"/>
              <w:rPr>
                <w:sz w:val="20"/>
              </w:rPr>
            </w:pPr>
            <w:r>
              <w:rPr>
                <w:sz w:val="20"/>
              </w:rPr>
              <w:t xml:space="preserve">Klarner, Carl, 2013, “State Partisan Balance Data, 1937–2011”, </w:t>
            </w:r>
            <w:hyperlink r:id="rId500">
              <w:r>
                <w:rPr>
                  <w:color w:val="0462C1"/>
                  <w:sz w:val="20"/>
                  <w:u w:val="single" w:color="0462C1"/>
                </w:rPr>
                <w:t>https://doi.org/10.7910/DVN/LZHMG3</w:t>
              </w:r>
              <w:r>
                <w:rPr>
                  <w:sz w:val="20"/>
                </w:rPr>
                <w:t>,</w:t>
              </w:r>
            </w:hyperlink>
            <w:r>
              <w:rPr>
                <w:sz w:val="20"/>
              </w:rPr>
              <w:t xml:space="preserve"> Harvard Dataverse, V1</w:t>
            </w:r>
          </w:p>
        </w:tc>
      </w:tr>
      <w:tr w:rsidR="0046798B" w14:paraId="03CED34A" w14:textId="77777777">
        <w:trPr>
          <w:trHeight w:val="1465"/>
        </w:trPr>
        <w:tc>
          <w:tcPr>
            <w:tcW w:w="1711" w:type="dxa"/>
          </w:tcPr>
          <w:p w14:paraId="49D4EE30" w14:textId="77777777" w:rsidR="0046798B" w:rsidRDefault="0046798B">
            <w:pPr>
              <w:pStyle w:val="TableParagraph"/>
            </w:pPr>
          </w:p>
          <w:p w14:paraId="08C2834E" w14:textId="77777777" w:rsidR="0046798B" w:rsidRDefault="0046798B">
            <w:pPr>
              <w:pStyle w:val="TableParagraph"/>
              <w:spacing w:before="4"/>
              <w:rPr>
                <w:sz w:val="31"/>
              </w:rPr>
            </w:pPr>
          </w:p>
          <w:p w14:paraId="2933EEFA" w14:textId="77777777" w:rsidR="0046798B" w:rsidRDefault="00903B5C">
            <w:pPr>
              <w:pStyle w:val="TableParagraph"/>
              <w:ind w:left="115"/>
              <w:rPr>
                <w:b/>
                <w:sz w:val="20"/>
              </w:rPr>
            </w:pPr>
            <w:r>
              <w:rPr>
                <w:b/>
                <w:sz w:val="20"/>
              </w:rPr>
              <w:t>dem_veto_proof</w:t>
            </w:r>
          </w:p>
        </w:tc>
        <w:tc>
          <w:tcPr>
            <w:tcW w:w="1596" w:type="dxa"/>
          </w:tcPr>
          <w:p w14:paraId="4863A3AB" w14:textId="77777777" w:rsidR="0046798B" w:rsidRDefault="00903B5C">
            <w:pPr>
              <w:pStyle w:val="TableParagraph"/>
              <w:spacing w:before="38"/>
              <w:ind w:left="114" w:right="102"/>
              <w:rPr>
                <w:sz w:val="20"/>
              </w:rPr>
            </w:pPr>
            <w:r>
              <w:rPr>
                <w:sz w:val="20"/>
              </w:rPr>
              <w:t>Do Democrats have enough members in both chambers to override a governor’s veto?</w:t>
            </w:r>
          </w:p>
        </w:tc>
        <w:tc>
          <w:tcPr>
            <w:tcW w:w="1280" w:type="dxa"/>
          </w:tcPr>
          <w:p w14:paraId="318AAF76" w14:textId="77777777" w:rsidR="0046798B" w:rsidRDefault="0046798B">
            <w:pPr>
              <w:pStyle w:val="TableParagraph"/>
            </w:pPr>
          </w:p>
          <w:p w14:paraId="307A21A0" w14:textId="77777777" w:rsidR="0046798B" w:rsidRDefault="0046798B">
            <w:pPr>
              <w:pStyle w:val="TableParagraph"/>
              <w:spacing w:before="4"/>
              <w:rPr>
                <w:sz w:val="31"/>
              </w:rPr>
            </w:pPr>
          </w:p>
          <w:p w14:paraId="5868D635" w14:textId="77777777" w:rsidR="0046798B" w:rsidRDefault="00903B5C">
            <w:pPr>
              <w:pStyle w:val="TableParagraph"/>
              <w:ind w:left="114"/>
              <w:rPr>
                <w:sz w:val="20"/>
              </w:rPr>
            </w:pPr>
            <w:r>
              <w:rPr>
                <w:sz w:val="20"/>
              </w:rPr>
              <w:t>1937–2011</w:t>
            </w:r>
          </w:p>
        </w:tc>
        <w:tc>
          <w:tcPr>
            <w:tcW w:w="3421" w:type="dxa"/>
          </w:tcPr>
          <w:p w14:paraId="48EE9C59" w14:textId="77777777" w:rsidR="0046798B" w:rsidRDefault="0046798B">
            <w:pPr>
              <w:pStyle w:val="TableParagraph"/>
            </w:pPr>
          </w:p>
          <w:p w14:paraId="04F0EE28" w14:textId="77777777" w:rsidR="0046798B" w:rsidRDefault="0046798B">
            <w:pPr>
              <w:pStyle w:val="TableParagraph"/>
              <w:spacing w:before="4"/>
              <w:rPr>
                <w:sz w:val="31"/>
              </w:rPr>
            </w:pPr>
          </w:p>
          <w:p w14:paraId="29ED369F" w14:textId="77777777" w:rsidR="0046798B" w:rsidRDefault="00903B5C">
            <w:pPr>
              <w:pStyle w:val="TableParagraph"/>
              <w:ind w:left="114"/>
              <w:rPr>
                <w:sz w:val="20"/>
              </w:rPr>
            </w:pPr>
            <w:r>
              <w:rPr>
                <w:sz w:val="20"/>
              </w:rPr>
              <w:t>Dummy: 1 = yes, 0 = no</w:t>
            </w:r>
          </w:p>
        </w:tc>
        <w:tc>
          <w:tcPr>
            <w:tcW w:w="6477" w:type="dxa"/>
          </w:tcPr>
          <w:p w14:paraId="0C552D2F" w14:textId="77777777" w:rsidR="0046798B" w:rsidRDefault="0046798B">
            <w:pPr>
              <w:pStyle w:val="TableParagraph"/>
            </w:pPr>
          </w:p>
          <w:p w14:paraId="3AB31920" w14:textId="77777777" w:rsidR="0046798B" w:rsidRDefault="0046798B">
            <w:pPr>
              <w:pStyle w:val="TableParagraph"/>
              <w:spacing w:before="4"/>
              <w:rPr>
                <w:sz w:val="21"/>
              </w:rPr>
            </w:pPr>
          </w:p>
          <w:p w14:paraId="03D7AB2F" w14:textId="77777777" w:rsidR="0046798B" w:rsidRDefault="00903B5C">
            <w:pPr>
              <w:pStyle w:val="TableParagraph"/>
              <w:ind w:left="114" w:right="1195"/>
              <w:rPr>
                <w:sz w:val="20"/>
              </w:rPr>
            </w:pPr>
            <w:r>
              <w:rPr>
                <w:sz w:val="20"/>
              </w:rPr>
              <w:t xml:space="preserve">Klarner, Carl, 2013, “State Partisan Balance Data, 1937–2011”, </w:t>
            </w:r>
            <w:hyperlink r:id="rId501">
              <w:r>
                <w:rPr>
                  <w:color w:val="0462C1"/>
                  <w:sz w:val="20"/>
                  <w:u w:val="single" w:color="0462C1"/>
                </w:rPr>
                <w:t>https://doi.org/10.7910/DVN/LZHMG3</w:t>
              </w:r>
              <w:r>
                <w:rPr>
                  <w:sz w:val="20"/>
                </w:rPr>
                <w:t>,</w:t>
              </w:r>
            </w:hyperlink>
            <w:r>
              <w:rPr>
                <w:sz w:val="20"/>
              </w:rPr>
              <w:t xml:space="preserve"> Harvard Dataverse, V1</w:t>
            </w:r>
          </w:p>
        </w:tc>
      </w:tr>
      <w:tr w:rsidR="0046798B" w14:paraId="34FCDC17" w14:textId="77777777">
        <w:trPr>
          <w:trHeight w:val="1465"/>
        </w:trPr>
        <w:tc>
          <w:tcPr>
            <w:tcW w:w="1711" w:type="dxa"/>
          </w:tcPr>
          <w:p w14:paraId="308C6D9D" w14:textId="77777777" w:rsidR="0046798B" w:rsidRDefault="0046798B">
            <w:pPr>
              <w:pStyle w:val="TableParagraph"/>
            </w:pPr>
          </w:p>
          <w:p w14:paraId="1655EE90" w14:textId="77777777" w:rsidR="0046798B" w:rsidRDefault="0046798B">
            <w:pPr>
              <w:pStyle w:val="TableParagraph"/>
              <w:spacing w:before="4"/>
              <w:rPr>
                <w:sz w:val="31"/>
              </w:rPr>
            </w:pPr>
          </w:p>
          <w:p w14:paraId="79ADCB92" w14:textId="77777777" w:rsidR="0046798B" w:rsidRDefault="00903B5C">
            <w:pPr>
              <w:pStyle w:val="TableParagraph"/>
              <w:ind w:left="115"/>
              <w:rPr>
                <w:b/>
                <w:sz w:val="20"/>
              </w:rPr>
            </w:pPr>
            <w:r>
              <w:rPr>
                <w:b/>
                <w:sz w:val="20"/>
              </w:rPr>
              <w:t>rep_veto_proof</w:t>
            </w:r>
          </w:p>
        </w:tc>
        <w:tc>
          <w:tcPr>
            <w:tcW w:w="1596" w:type="dxa"/>
          </w:tcPr>
          <w:p w14:paraId="1B67A843" w14:textId="77777777" w:rsidR="0046798B" w:rsidRDefault="00903B5C">
            <w:pPr>
              <w:pStyle w:val="TableParagraph"/>
              <w:spacing w:before="38"/>
              <w:ind w:left="114" w:right="102"/>
              <w:rPr>
                <w:sz w:val="20"/>
              </w:rPr>
            </w:pPr>
            <w:r>
              <w:rPr>
                <w:sz w:val="20"/>
              </w:rPr>
              <w:t>Do Republicans have enough members in both chambers to override a governor’s veto?</w:t>
            </w:r>
          </w:p>
        </w:tc>
        <w:tc>
          <w:tcPr>
            <w:tcW w:w="1280" w:type="dxa"/>
          </w:tcPr>
          <w:p w14:paraId="72AECE81" w14:textId="77777777" w:rsidR="0046798B" w:rsidRDefault="0046798B">
            <w:pPr>
              <w:pStyle w:val="TableParagraph"/>
            </w:pPr>
          </w:p>
          <w:p w14:paraId="37352599" w14:textId="77777777" w:rsidR="0046798B" w:rsidRDefault="0046798B">
            <w:pPr>
              <w:pStyle w:val="TableParagraph"/>
              <w:spacing w:before="4"/>
              <w:rPr>
                <w:sz w:val="31"/>
              </w:rPr>
            </w:pPr>
          </w:p>
          <w:p w14:paraId="0CF02671" w14:textId="77777777" w:rsidR="0046798B" w:rsidRDefault="00903B5C">
            <w:pPr>
              <w:pStyle w:val="TableParagraph"/>
              <w:ind w:left="114"/>
              <w:rPr>
                <w:sz w:val="20"/>
              </w:rPr>
            </w:pPr>
            <w:r>
              <w:rPr>
                <w:sz w:val="20"/>
              </w:rPr>
              <w:t>1937–2011</w:t>
            </w:r>
          </w:p>
        </w:tc>
        <w:tc>
          <w:tcPr>
            <w:tcW w:w="3421" w:type="dxa"/>
          </w:tcPr>
          <w:p w14:paraId="73FF77F1" w14:textId="77777777" w:rsidR="0046798B" w:rsidRDefault="0046798B">
            <w:pPr>
              <w:pStyle w:val="TableParagraph"/>
            </w:pPr>
          </w:p>
          <w:p w14:paraId="2AA94FEA" w14:textId="77777777" w:rsidR="0046798B" w:rsidRDefault="0046798B">
            <w:pPr>
              <w:pStyle w:val="TableParagraph"/>
              <w:spacing w:before="4"/>
              <w:rPr>
                <w:sz w:val="31"/>
              </w:rPr>
            </w:pPr>
          </w:p>
          <w:p w14:paraId="3C6B851F" w14:textId="77777777" w:rsidR="0046798B" w:rsidRDefault="00903B5C">
            <w:pPr>
              <w:pStyle w:val="TableParagraph"/>
              <w:ind w:left="114"/>
              <w:rPr>
                <w:sz w:val="20"/>
              </w:rPr>
            </w:pPr>
            <w:r>
              <w:rPr>
                <w:sz w:val="20"/>
              </w:rPr>
              <w:t>Dummy: 1 = yes, 0 = no</w:t>
            </w:r>
          </w:p>
        </w:tc>
        <w:tc>
          <w:tcPr>
            <w:tcW w:w="6477" w:type="dxa"/>
          </w:tcPr>
          <w:p w14:paraId="03DECA2F" w14:textId="77777777" w:rsidR="0046798B" w:rsidRDefault="0046798B">
            <w:pPr>
              <w:pStyle w:val="TableParagraph"/>
            </w:pPr>
          </w:p>
          <w:p w14:paraId="14FF3156" w14:textId="77777777" w:rsidR="0046798B" w:rsidRDefault="0046798B">
            <w:pPr>
              <w:pStyle w:val="TableParagraph"/>
              <w:spacing w:before="4"/>
              <w:rPr>
                <w:sz w:val="21"/>
              </w:rPr>
            </w:pPr>
          </w:p>
          <w:p w14:paraId="1D1475EE" w14:textId="77777777" w:rsidR="0046798B" w:rsidRDefault="00903B5C">
            <w:pPr>
              <w:pStyle w:val="TableParagraph"/>
              <w:ind w:left="114" w:right="1195"/>
              <w:rPr>
                <w:sz w:val="20"/>
              </w:rPr>
            </w:pPr>
            <w:r>
              <w:rPr>
                <w:sz w:val="20"/>
              </w:rPr>
              <w:t xml:space="preserve">Klarner, Carl, 2013, “State Partisan Balance Data, 1937–2011”, </w:t>
            </w:r>
            <w:hyperlink r:id="rId502">
              <w:r>
                <w:rPr>
                  <w:color w:val="0462C1"/>
                  <w:sz w:val="20"/>
                  <w:u w:val="single" w:color="0462C1"/>
                </w:rPr>
                <w:t>https://doi.org/10.7910/DVN/LZHMG3</w:t>
              </w:r>
              <w:r>
                <w:rPr>
                  <w:sz w:val="20"/>
                </w:rPr>
                <w:t>,</w:t>
              </w:r>
            </w:hyperlink>
            <w:r>
              <w:rPr>
                <w:sz w:val="20"/>
              </w:rPr>
              <w:t xml:space="preserve"> Harvard Dataverse, V1</w:t>
            </w:r>
          </w:p>
        </w:tc>
      </w:tr>
      <w:tr w:rsidR="0046798B" w14:paraId="02661724" w14:textId="77777777">
        <w:trPr>
          <w:trHeight w:val="775"/>
        </w:trPr>
        <w:tc>
          <w:tcPr>
            <w:tcW w:w="1711" w:type="dxa"/>
          </w:tcPr>
          <w:p w14:paraId="639433C6" w14:textId="77777777" w:rsidR="0046798B" w:rsidRDefault="0046798B">
            <w:pPr>
              <w:pStyle w:val="TableParagraph"/>
              <w:spacing w:before="8"/>
              <w:rPr>
                <w:sz w:val="23"/>
              </w:rPr>
            </w:pPr>
          </w:p>
          <w:p w14:paraId="47930F77" w14:textId="77777777" w:rsidR="0046798B" w:rsidRDefault="00903B5C">
            <w:pPr>
              <w:pStyle w:val="TableParagraph"/>
              <w:spacing w:before="1"/>
              <w:ind w:left="115"/>
              <w:rPr>
                <w:b/>
                <w:sz w:val="20"/>
              </w:rPr>
            </w:pPr>
            <w:r>
              <w:rPr>
                <w:b/>
                <w:sz w:val="20"/>
              </w:rPr>
              <w:t>dem_unified</w:t>
            </w:r>
          </w:p>
        </w:tc>
        <w:tc>
          <w:tcPr>
            <w:tcW w:w="1596" w:type="dxa"/>
          </w:tcPr>
          <w:p w14:paraId="6FC52E94" w14:textId="77777777" w:rsidR="0046798B" w:rsidRDefault="00903B5C">
            <w:pPr>
              <w:pStyle w:val="TableParagraph"/>
              <w:spacing w:before="43"/>
              <w:ind w:left="114" w:right="102"/>
              <w:rPr>
                <w:sz w:val="20"/>
              </w:rPr>
            </w:pPr>
            <w:r>
              <w:rPr>
                <w:sz w:val="20"/>
              </w:rPr>
              <w:t>Is there a unified Democratic government?</w:t>
            </w:r>
          </w:p>
        </w:tc>
        <w:tc>
          <w:tcPr>
            <w:tcW w:w="1280" w:type="dxa"/>
          </w:tcPr>
          <w:p w14:paraId="7A98E89C" w14:textId="77777777" w:rsidR="0046798B" w:rsidRDefault="0046798B">
            <w:pPr>
              <w:pStyle w:val="TableParagraph"/>
              <w:spacing w:before="8"/>
              <w:rPr>
                <w:sz w:val="23"/>
              </w:rPr>
            </w:pPr>
          </w:p>
          <w:p w14:paraId="5720AAD2" w14:textId="77777777" w:rsidR="0046798B" w:rsidRDefault="00903B5C">
            <w:pPr>
              <w:pStyle w:val="TableParagraph"/>
              <w:spacing w:before="1"/>
              <w:ind w:left="114"/>
              <w:rPr>
                <w:sz w:val="20"/>
              </w:rPr>
            </w:pPr>
            <w:r>
              <w:rPr>
                <w:sz w:val="20"/>
              </w:rPr>
              <w:t>1937–2011</w:t>
            </w:r>
          </w:p>
        </w:tc>
        <w:tc>
          <w:tcPr>
            <w:tcW w:w="3421" w:type="dxa"/>
          </w:tcPr>
          <w:p w14:paraId="1B4627C3" w14:textId="77777777" w:rsidR="0046798B" w:rsidRDefault="00903B5C">
            <w:pPr>
              <w:pStyle w:val="TableParagraph"/>
              <w:spacing w:before="43"/>
              <w:ind w:left="114" w:right="144"/>
              <w:rPr>
                <w:sz w:val="20"/>
              </w:rPr>
            </w:pPr>
            <w:r>
              <w:rPr>
                <w:sz w:val="20"/>
              </w:rPr>
              <w:t>Dummy: 1 = Democrats control both legislative chambers and governorship, 0 = else</w:t>
            </w:r>
          </w:p>
        </w:tc>
        <w:tc>
          <w:tcPr>
            <w:tcW w:w="6477" w:type="dxa"/>
          </w:tcPr>
          <w:p w14:paraId="6D7025C6" w14:textId="77777777" w:rsidR="0046798B" w:rsidRDefault="00903B5C">
            <w:pPr>
              <w:pStyle w:val="TableParagraph"/>
              <w:spacing w:before="158"/>
              <w:ind w:left="114" w:right="1195"/>
              <w:rPr>
                <w:sz w:val="20"/>
              </w:rPr>
            </w:pPr>
            <w:r>
              <w:rPr>
                <w:sz w:val="20"/>
              </w:rPr>
              <w:t xml:space="preserve">Klarner, Carl, 2013, “State Partisan Balance Data, 1937–2011”, </w:t>
            </w:r>
            <w:hyperlink r:id="rId503">
              <w:r>
                <w:rPr>
                  <w:color w:val="0462C1"/>
                  <w:sz w:val="20"/>
                  <w:u w:val="single" w:color="0462C1"/>
                </w:rPr>
                <w:t>https://doi.org/10.7910/DVN/LZHMG3</w:t>
              </w:r>
              <w:r>
                <w:rPr>
                  <w:sz w:val="20"/>
                </w:rPr>
                <w:t>,</w:t>
              </w:r>
            </w:hyperlink>
            <w:r>
              <w:rPr>
                <w:sz w:val="20"/>
              </w:rPr>
              <w:t xml:space="preserve"> Harvard Dataverse, V1</w:t>
            </w:r>
          </w:p>
        </w:tc>
      </w:tr>
      <w:tr w:rsidR="0046798B" w14:paraId="5853E02E" w14:textId="77777777">
        <w:trPr>
          <w:trHeight w:val="775"/>
        </w:trPr>
        <w:tc>
          <w:tcPr>
            <w:tcW w:w="1711" w:type="dxa"/>
          </w:tcPr>
          <w:p w14:paraId="21927D72" w14:textId="77777777" w:rsidR="0046798B" w:rsidRDefault="0046798B">
            <w:pPr>
              <w:pStyle w:val="TableParagraph"/>
              <w:spacing w:before="9"/>
              <w:rPr>
                <w:sz w:val="23"/>
              </w:rPr>
            </w:pPr>
          </w:p>
          <w:p w14:paraId="0BE34F31" w14:textId="77777777" w:rsidR="0046798B" w:rsidRDefault="00903B5C">
            <w:pPr>
              <w:pStyle w:val="TableParagraph"/>
              <w:ind w:left="115"/>
              <w:rPr>
                <w:b/>
                <w:sz w:val="20"/>
              </w:rPr>
            </w:pPr>
            <w:r>
              <w:rPr>
                <w:b/>
                <w:sz w:val="20"/>
              </w:rPr>
              <w:t>rep_unified</w:t>
            </w:r>
          </w:p>
        </w:tc>
        <w:tc>
          <w:tcPr>
            <w:tcW w:w="1596" w:type="dxa"/>
          </w:tcPr>
          <w:p w14:paraId="2A61CDF0" w14:textId="77777777" w:rsidR="0046798B" w:rsidRDefault="00903B5C">
            <w:pPr>
              <w:pStyle w:val="TableParagraph"/>
              <w:spacing w:before="43"/>
              <w:ind w:left="114" w:right="102"/>
              <w:rPr>
                <w:sz w:val="20"/>
              </w:rPr>
            </w:pPr>
            <w:r>
              <w:rPr>
                <w:sz w:val="20"/>
              </w:rPr>
              <w:t>Is there a unified Republican government?</w:t>
            </w:r>
          </w:p>
        </w:tc>
        <w:tc>
          <w:tcPr>
            <w:tcW w:w="1280" w:type="dxa"/>
          </w:tcPr>
          <w:p w14:paraId="05264071" w14:textId="77777777" w:rsidR="0046798B" w:rsidRDefault="0046798B">
            <w:pPr>
              <w:pStyle w:val="TableParagraph"/>
              <w:spacing w:before="9"/>
              <w:rPr>
                <w:sz w:val="23"/>
              </w:rPr>
            </w:pPr>
          </w:p>
          <w:p w14:paraId="2782D0C5" w14:textId="77777777" w:rsidR="0046798B" w:rsidRDefault="00903B5C">
            <w:pPr>
              <w:pStyle w:val="TableParagraph"/>
              <w:ind w:left="114"/>
              <w:rPr>
                <w:sz w:val="20"/>
              </w:rPr>
            </w:pPr>
            <w:r>
              <w:rPr>
                <w:sz w:val="20"/>
              </w:rPr>
              <w:t>1937–2011</w:t>
            </w:r>
          </w:p>
        </w:tc>
        <w:tc>
          <w:tcPr>
            <w:tcW w:w="3421" w:type="dxa"/>
          </w:tcPr>
          <w:p w14:paraId="608FE55D" w14:textId="77777777" w:rsidR="0046798B" w:rsidRDefault="00903B5C">
            <w:pPr>
              <w:pStyle w:val="TableParagraph"/>
              <w:spacing w:before="43"/>
              <w:ind w:left="114" w:right="159"/>
              <w:jc w:val="both"/>
              <w:rPr>
                <w:sz w:val="20"/>
              </w:rPr>
            </w:pPr>
            <w:r>
              <w:rPr>
                <w:sz w:val="20"/>
              </w:rPr>
              <w:t>Dummy: 1 = Republicans control both legislative chambers and governorship, 0 = else</w:t>
            </w:r>
          </w:p>
        </w:tc>
        <w:tc>
          <w:tcPr>
            <w:tcW w:w="6477" w:type="dxa"/>
          </w:tcPr>
          <w:p w14:paraId="0B5F0BC9" w14:textId="77777777" w:rsidR="0046798B" w:rsidRDefault="00903B5C">
            <w:pPr>
              <w:pStyle w:val="TableParagraph"/>
              <w:spacing w:before="158"/>
              <w:ind w:left="114" w:right="1195"/>
              <w:rPr>
                <w:sz w:val="20"/>
              </w:rPr>
            </w:pPr>
            <w:r>
              <w:rPr>
                <w:sz w:val="20"/>
              </w:rPr>
              <w:t xml:space="preserve">Klarner, Carl, 2013, “State Partisan Balance Data, 1937–2011”, </w:t>
            </w:r>
            <w:hyperlink r:id="rId504">
              <w:r>
                <w:rPr>
                  <w:color w:val="0462C1"/>
                  <w:sz w:val="20"/>
                  <w:u w:val="single" w:color="0462C1"/>
                </w:rPr>
                <w:t>https://doi.org/10.7910/DVN/LZHMG3</w:t>
              </w:r>
              <w:r>
                <w:rPr>
                  <w:sz w:val="20"/>
                </w:rPr>
                <w:t>,</w:t>
              </w:r>
            </w:hyperlink>
            <w:r>
              <w:rPr>
                <w:sz w:val="20"/>
              </w:rPr>
              <w:t xml:space="preserve"> Harvard Dataverse, V1</w:t>
            </w:r>
          </w:p>
        </w:tc>
      </w:tr>
      <w:tr w:rsidR="0046798B" w14:paraId="6E6C94DE" w14:textId="77777777">
        <w:trPr>
          <w:trHeight w:val="775"/>
        </w:trPr>
        <w:tc>
          <w:tcPr>
            <w:tcW w:w="1711" w:type="dxa"/>
          </w:tcPr>
          <w:p w14:paraId="24CC2D76" w14:textId="77777777" w:rsidR="0046798B" w:rsidRDefault="0046798B">
            <w:pPr>
              <w:pStyle w:val="TableParagraph"/>
              <w:spacing w:before="8"/>
              <w:rPr>
                <w:sz w:val="23"/>
              </w:rPr>
            </w:pPr>
          </w:p>
          <w:p w14:paraId="47F8DF29" w14:textId="77777777" w:rsidR="0046798B" w:rsidRDefault="00903B5C">
            <w:pPr>
              <w:pStyle w:val="TableParagraph"/>
              <w:spacing w:before="1"/>
              <w:ind w:left="115"/>
              <w:rPr>
                <w:b/>
                <w:sz w:val="20"/>
              </w:rPr>
            </w:pPr>
            <w:r>
              <w:rPr>
                <w:b/>
                <w:sz w:val="20"/>
              </w:rPr>
              <w:t>hou_chamber</w:t>
            </w:r>
          </w:p>
        </w:tc>
        <w:tc>
          <w:tcPr>
            <w:tcW w:w="1596" w:type="dxa"/>
          </w:tcPr>
          <w:p w14:paraId="3195F2D3" w14:textId="77777777" w:rsidR="0046798B" w:rsidRDefault="00903B5C">
            <w:pPr>
              <w:pStyle w:val="TableParagraph"/>
              <w:spacing w:before="43"/>
              <w:ind w:left="114" w:right="550"/>
              <w:jc w:val="both"/>
              <w:rPr>
                <w:sz w:val="20"/>
              </w:rPr>
            </w:pPr>
            <w:r>
              <w:rPr>
                <w:sz w:val="20"/>
              </w:rPr>
              <w:t>State house ideological median</w:t>
            </w:r>
          </w:p>
        </w:tc>
        <w:tc>
          <w:tcPr>
            <w:tcW w:w="1280" w:type="dxa"/>
          </w:tcPr>
          <w:p w14:paraId="609154B4" w14:textId="77777777" w:rsidR="0046798B" w:rsidRDefault="0046798B">
            <w:pPr>
              <w:pStyle w:val="TableParagraph"/>
              <w:spacing w:before="8"/>
              <w:rPr>
                <w:sz w:val="23"/>
              </w:rPr>
            </w:pPr>
          </w:p>
          <w:p w14:paraId="426B653E" w14:textId="77777777" w:rsidR="0046798B" w:rsidRDefault="00903B5C">
            <w:pPr>
              <w:pStyle w:val="TableParagraph"/>
              <w:spacing w:before="1"/>
              <w:ind w:left="114"/>
              <w:rPr>
                <w:sz w:val="20"/>
              </w:rPr>
            </w:pPr>
            <w:r>
              <w:rPr>
                <w:sz w:val="20"/>
              </w:rPr>
              <w:t>1993–2016</w:t>
            </w:r>
          </w:p>
        </w:tc>
        <w:tc>
          <w:tcPr>
            <w:tcW w:w="3421" w:type="dxa"/>
          </w:tcPr>
          <w:p w14:paraId="2D17CBEC" w14:textId="77777777" w:rsidR="0046798B" w:rsidRDefault="00903B5C">
            <w:pPr>
              <w:pStyle w:val="TableParagraph"/>
              <w:spacing w:before="158"/>
              <w:ind w:left="114" w:right="250"/>
              <w:rPr>
                <w:sz w:val="20"/>
              </w:rPr>
            </w:pPr>
            <w:r>
              <w:rPr>
                <w:sz w:val="20"/>
              </w:rPr>
              <w:t>State house ideological median. Scale is -1 (liberal) to +1 (conservative).</w:t>
            </w:r>
          </w:p>
        </w:tc>
        <w:tc>
          <w:tcPr>
            <w:tcW w:w="6477" w:type="dxa"/>
          </w:tcPr>
          <w:p w14:paraId="04F6F2C2" w14:textId="77777777" w:rsidR="0046798B" w:rsidRDefault="00903B5C">
            <w:pPr>
              <w:pStyle w:val="TableParagraph"/>
              <w:spacing w:before="43"/>
              <w:ind w:left="114" w:right="423"/>
              <w:rPr>
                <w:sz w:val="20"/>
              </w:rPr>
            </w:pPr>
            <w:r>
              <w:rPr>
                <w:sz w:val="20"/>
              </w:rPr>
              <w:t xml:space="preserve">Shor, Boris and Nolan McCarty. “The Ideological Mapping of American Legislatures.” </w:t>
            </w:r>
            <w:r>
              <w:rPr>
                <w:i/>
                <w:sz w:val="20"/>
              </w:rPr>
              <w:t xml:space="preserve">The American Political Science Review </w:t>
            </w:r>
            <w:r>
              <w:rPr>
                <w:sz w:val="20"/>
              </w:rPr>
              <w:t>105.3 (2011): 530–</w:t>
            </w:r>
          </w:p>
          <w:p w14:paraId="10CB9DAC" w14:textId="77777777" w:rsidR="0046798B" w:rsidRDefault="00903B5C">
            <w:pPr>
              <w:pStyle w:val="TableParagraph"/>
              <w:ind w:left="114"/>
              <w:rPr>
                <w:sz w:val="20"/>
              </w:rPr>
            </w:pPr>
            <w:r>
              <w:rPr>
                <w:sz w:val="20"/>
              </w:rPr>
              <w:t xml:space="preserve">551. </w:t>
            </w:r>
            <w:hyperlink r:id="rId505">
              <w:r>
                <w:rPr>
                  <w:sz w:val="20"/>
                  <w:u w:val="single"/>
                </w:rPr>
                <w:t>http://americanlegislatures.com/data/</w:t>
              </w:r>
            </w:hyperlink>
          </w:p>
        </w:tc>
      </w:tr>
      <w:tr w:rsidR="0046798B" w14:paraId="71CA89BE" w14:textId="77777777">
        <w:trPr>
          <w:trHeight w:val="780"/>
        </w:trPr>
        <w:tc>
          <w:tcPr>
            <w:tcW w:w="1711" w:type="dxa"/>
          </w:tcPr>
          <w:p w14:paraId="5697EA21" w14:textId="77777777" w:rsidR="0046798B" w:rsidRDefault="0046798B">
            <w:pPr>
              <w:pStyle w:val="TableParagraph"/>
              <w:spacing w:before="9"/>
              <w:rPr>
                <w:sz w:val="23"/>
              </w:rPr>
            </w:pPr>
          </w:p>
          <w:p w14:paraId="1CFDD9F8" w14:textId="77777777" w:rsidR="0046798B" w:rsidRDefault="00903B5C">
            <w:pPr>
              <w:pStyle w:val="TableParagraph"/>
              <w:ind w:left="115"/>
              <w:rPr>
                <w:b/>
                <w:sz w:val="20"/>
              </w:rPr>
            </w:pPr>
            <w:r>
              <w:rPr>
                <w:b/>
                <w:sz w:val="20"/>
              </w:rPr>
              <w:t>sen_chamber</w:t>
            </w:r>
          </w:p>
        </w:tc>
        <w:tc>
          <w:tcPr>
            <w:tcW w:w="1596" w:type="dxa"/>
          </w:tcPr>
          <w:p w14:paraId="519FBABC" w14:textId="77777777" w:rsidR="0046798B" w:rsidRDefault="00903B5C">
            <w:pPr>
              <w:pStyle w:val="TableParagraph"/>
              <w:spacing w:before="43"/>
              <w:ind w:left="114" w:right="502"/>
              <w:rPr>
                <w:sz w:val="20"/>
              </w:rPr>
            </w:pPr>
            <w:r>
              <w:rPr>
                <w:sz w:val="20"/>
              </w:rPr>
              <w:t>State senate ideological median</w:t>
            </w:r>
          </w:p>
        </w:tc>
        <w:tc>
          <w:tcPr>
            <w:tcW w:w="1280" w:type="dxa"/>
          </w:tcPr>
          <w:p w14:paraId="77CBAE9C" w14:textId="77777777" w:rsidR="0046798B" w:rsidRDefault="0046798B">
            <w:pPr>
              <w:pStyle w:val="TableParagraph"/>
              <w:spacing w:before="9"/>
              <w:rPr>
                <w:sz w:val="23"/>
              </w:rPr>
            </w:pPr>
          </w:p>
          <w:p w14:paraId="5BF6A196" w14:textId="77777777" w:rsidR="0046798B" w:rsidRDefault="00903B5C">
            <w:pPr>
              <w:pStyle w:val="TableParagraph"/>
              <w:ind w:left="114"/>
              <w:rPr>
                <w:sz w:val="20"/>
              </w:rPr>
            </w:pPr>
            <w:r>
              <w:rPr>
                <w:sz w:val="20"/>
              </w:rPr>
              <w:t>1993–2016</w:t>
            </w:r>
          </w:p>
        </w:tc>
        <w:tc>
          <w:tcPr>
            <w:tcW w:w="3421" w:type="dxa"/>
          </w:tcPr>
          <w:p w14:paraId="1FA1EEB5" w14:textId="77777777" w:rsidR="0046798B" w:rsidRDefault="00903B5C">
            <w:pPr>
              <w:pStyle w:val="TableParagraph"/>
              <w:spacing w:before="158"/>
              <w:ind w:left="114" w:right="217"/>
              <w:rPr>
                <w:sz w:val="20"/>
              </w:rPr>
            </w:pPr>
            <w:r>
              <w:rPr>
                <w:sz w:val="20"/>
              </w:rPr>
              <w:t>State senate ideological median. Scale is -1 (liberal) to +1 (conservative).</w:t>
            </w:r>
          </w:p>
        </w:tc>
        <w:tc>
          <w:tcPr>
            <w:tcW w:w="6477" w:type="dxa"/>
          </w:tcPr>
          <w:p w14:paraId="224F48DB" w14:textId="77777777" w:rsidR="0046798B" w:rsidRDefault="00903B5C">
            <w:pPr>
              <w:pStyle w:val="TableParagraph"/>
              <w:spacing w:before="43"/>
              <w:ind w:left="114" w:right="423"/>
              <w:rPr>
                <w:sz w:val="20"/>
              </w:rPr>
            </w:pPr>
            <w:r>
              <w:rPr>
                <w:sz w:val="20"/>
              </w:rPr>
              <w:t xml:space="preserve">Shor, Boris and Nolan McCarty. “The Ideological Mapping of American Legislatures.” </w:t>
            </w:r>
            <w:r>
              <w:rPr>
                <w:i/>
                <w:sz w:val="20"/>
              </w:rPr>
              <w:t xml:space="preserve">The American Political Science Review </w:t>
            </w:r>
            <w:r>
              <w:rPr>
                <w:sz w:val="20"/>
              </w:rPr>
              <w:t>105.3 (2011): 530–</w:t>
            </w:r>
          </w:p>
          <w:p w14:paraId="56AACEC0" w14:textId="77777777" w:rsidR="0046798B" w:rsidRDefault="00903B5C">
            <w:pPr>
              <w:pStyle w:val="TableParagraph"/>
              <w:ind w:left="114"/>
              <w:rPr>
                <w:sz w:val="20"/>
              </w:rPr>
            </w:pPr>
            <w:r>
              <w:rPr>
                <w:sz w:val="20"/>
              </w:rPr>
              <w:t xml:space="preserve">551. </w:t>
            </w:r>
            <w:hyperlink r:id="rId506">
              <w:r>
                <w:rPr>
                  <w:sz w:val="20"/>
                  <w:u w:val="single"/>
                </w:rPr>
                <w:t>http://americanlegislatures.com/data/</w:t>
              </w:r>
            </w:hyperlink>
          </w:p>
        </w:tc>
      </w:tr>
      <w:tr w:rsidR="0046798B" w14:paraId="1D302C7F" w14:textId="77777777">
        <w:trPr>
          <w:trHeight w:val="775"/>
        </w:trPr>
        <w:tc>
          <w:tcPr>
            <w:tcW w:w="1711" w:type="dxa"/>
          </w:tcPr>
          <w:p w14:paraId="021330BE" w14:textId="77777777" w:rsidR="0046798B" w:rsidRDefault="0046798B">
            <w:pPr>
              <w:pStyle w:val="TableParagraph"/>
              <w:spacing w:before="3"/>
              <w:rPr>
                <w:sz w:val="23"/>
              </w:rPr>
            </w:pPr>
          </w:p>
          <w:p w14:paraId="3541A019" w14:textId="77777777" w:rsidR="0046798B" w:rsidRDefault="00903B5C">
            <w:pPr>
              <w:pStyle w:val="TableParagraph"/>
              <w:spacing w:before="1"/>
              <w:ind w:left="115"/>
              <w:rPr>
                <w:b/>
                <w:sz w:val="20"/>
              </w:rPr>
            </w:pPr>
            <w:r>
              <w:rPr>
                <w:b/>
                <w:sz w:val="20"/>
              </w:rPr>
              <w:t>hou_dem</w:t>
            </w:r>
          </w:p>
        </w:tc>
        <w:tc>
          <w:tcPr>
            <w:tcW w:w="1596" w:type="dxa"/>
          </w:tcPr>
          <w:p w14:paraId="31A7A5F8" w14:textId="77777777" w:rsidR="0046798B" w:rsidRDefault="00903B5C">
            <w:pPr>
              <w:pStyle w:val="TableParagraph"/>
              <w:spacing w:before="153"/>
              <w:ind w:left="114" w:right="519"/>
              <w:rPr>
                <w:sz w:val="20"/>
              </w:rPr>
            </w:pPr>
            <w:r>
              <w:rPr>
                <w:sz w:val="20"/>
              </w:rPr>
              <w:t>State house Democratic</w:t>
            </w:r>
          </w:p>
        </w:tc>
        <w:tc>
          <w:tcPr>
            <w:tcW w:w="1280" w:type="dxa"/>
          </w:tcPr>
          <w:p w14:paraId="0796DF22" w14:textId="77777777" w:rsidR="0046798B" w:rsidRDefault="0046798B">
            <w:pPr>
              <w:pStyle w:val="TableParagraph"/>
              <w:spacing w:before="3"/>
              <w:rPr>
                <w:sz w:val="23"/>
              </w:rPr>
            </w:pPr>
          </w:p>
          <w:p w14:paraId="41FACC21" w14:textId="77777777" w:rsidR="0046798B" w:rsidRDefault="00903B5C">
            <w:pPr>
              <w:pStyle w:val="TableParagraph"/>
              <w:spacing w:before="1"/>
              <w:ind w:left="114"/>
              <w:rPr>
                <w:sz w:val="20"/>
              </w:rPr>
            </w:pPr>
            <w:r>
              <w:rPr>
                <w:sz w:val="20"/>
              </w:rPr>
              <w:t>1993–2016</w:t>
            </w:r>
          </w:p>
        </w:tc>
        <w:tc>
          <w:tcPr>
            <w:tcW w:w="3421" w:type="dxa"/>
          </w:tcPr>
          <w:p w14:paraId="4D75F158" w14:textId="77777777" w:rsidR="0046798B" w:rsidRDefault="00903B5C">
            <w:pPr>
              <w:pStyle w:val="TableParagraph"/>
              <w:spacing w:before="38"/>
              <w:ind w:left="114" w:right="122"/>
              <w:rPr>
                <w:sz w:val="20"/>
              </w:rPr>
            </w:pPr>
            <w:r>
              <w:rPr>
                <w:sz w:val="20"/>
              </w:rPr>
              <w:t>State house Democratic party ideological median. Scale is -1 (liberal) to +1 (conservative).</w:t>
            </w:r>
          </w:p>
        </w:tc>
        <w:tc>
          <w:tcPr>
            <w:tcW w:w="6477" w:type="dxa"/>
          </w:tcPr>
          <w:p w14:paraId="40B89143" w14:textId="77777777" w:rsidR="0046798B" w:rsidRDefault="00903B5C">
            <w:pPr>
              <w:pStyle w:val="TableParagraph"/>
              <w:spacing w:before="38"/>
              <w:ind w:left="114" w:right="423"/>
              <w:rPr>
                <w:sz w:val="20"/>
              </w:rPr>
            </w:pPr>
            <w:r>
              <w:rPr>
                <w:sz w:val="20"/>
              </w:rPr>
              <w:t xml:space="preserve">Shor, Boris and Nolan McCarty. “The Ideological Mapping of American Legislatures.” </w:t>
            </w:r>
            <w:r>
              <w:rPr>
                <w:i/>
                <w:sz w:val="20"/>
              </w:rPr>
              <w:t xml:space="preserve">The American Political Science Review </w:t>
            </w:r>
            <w:r>
              <w:rPr>
                <w:sz w:val="20"/>
              </w:rPr>
              <w:t>105.3 (2011): 530–</w:t>
            </w:r>
          </w:p>
          <w:p w14:paraId="03A99E72" w14:textId="77777777" w:rsidR="0046798B" w:rsidRDefault="00903B5C">
            <w:pPr>
              <w:pStyle w:val="TableParagraph"/>
              <w:spacing w:before="1"/>
              <w:ind w:left="114"/>
              <w:rPr>
                <w:sz w:val="20"/>
              </w:rPr>
            </w:pPr>
            <w:r>
              <w:rPr>
                <w:sz w:val="20"/>
              </w:rPr>
              <w:t xml:space="preserve">551. </w:t>
            </w:r>
            <w:hyperlink r:id="rId507">
              <w:r>
                <w:rPr>
                  <w:sz w:val="20"/>
                  <w:u w:val="single"/>
                </w:rPr>
                <w:t>http://americanlegislatures.com/data/</w:t>
              </w:r>
            </w:hyperlink>
          </w:p>
        </w:tc>
      </w:tr>
    </w:tbl>
    <w:p w14:paraId="5C27B6A3" w14:textId="77777777" w:rsidR="0046798B" w:rsidRDefault="0046798B">
      <w:pPr>
        <w:rPr>
          <w:sz w:val="20"/>
        </w:rPr>
        <w:sectPr w:rsidR="0046798B">
          <w:pgSz w:w="15840" w:h="12240" w:orient="landscape"/>
          <w:pgMar w:top="1220" w:right="300" w:bottom="980" w:left="820" w:header="730" w:footer="787" w:gutter="0"/>
          <w:cols w:space="720"/>
        </w:sectPr>
      </w:pPr>
    </w:p>
    <w:p w14:paraId="7A967563"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0"/>
        <w:gridCol w:w="3421"/>
        <w:gridCol w:w="6477"/>
      </w:tblGrid>
      <w:tr w:rsidR="0046798B" w14:paraId="51E1F83A" w14:textId="77777777">
        <w:trPr>
          <w:trHeight w:val="542"/>
        </w:trPr>
        <w:tc>
          <w:tcPr>
            <w:tcW w:w="1711" w:type="dxa"/>
            <w:tcBorders>
              <w:bottom w:val="dotted" w:sz="6" w:space="0" w:color="BEBEBE"/>
            </w:tcBorders>
          </w:tcPr>
          <w:p w14:paraId="79223F90" w14:textId="77777777" w:rsidR="0046798B" w:rsidRDefault="0046798B">
            <w:pPr>
              <w:pStyle w:val="TableParagraph"/>
              <w:rPr>
                <w:sz w:val="20"/>
              </w:rPr>
            </w:pPr>
          </w:p>
        </w:tc>
        <w:tc>
          <w:tcPr>
            <w:tcW w:w="1596" w:type="dxa"/>
            <w:tcBorders>
              <w:bottom w:val="dotted" w:sz="6" w:space="0" w:color="BEBEBE"/>
            </w:tcBorders>
          </w:tcPr>
          <w:p w14:paraId="31ED6708" w14:textId="77777777" w:rsidR="0046798B" w:rsidRDefault="00903B5C">
            <w:pPr>
              <w:pStyle w:val="TableParagraph"/>
              <w:spacing w:before="43"/>
              <w:ind w:left="114" w:right="102"/>
              <w:rPr>
                <w:sz w:val="20"/>
              </w:rPr>
            </w:pPr>
            <w:r>
              <w:rPr>
                <w:sz w:val="20"/>
              </w:rPr>
              <w:t>party ideological median</w:t>
            </w:r>
          </w:p>
        </w:tc>
        <w:tc>
          <w:tcPr>
            <w:tcW w:w="1280" w:type="dxa"/>
            <w:tcBorders>
              <w:bottom w:val="dotted" w:sz="6" w:space="0" w:color="BEBEBE"/>
            </w:tcBorders>
          </w:tcPr>
          <w:p w14:paraId="7B967126" w14:textId="77777777" w:rsidR="0046798B" w:rsidRDefault="0046798B">
            <w:pPr>
              <w:pStyle w:val="TableParagraph"/>
              <w:rPr>
                <w:sz w:val="20"/>
              </w:rPr>
            </w:pPr>
          </w:p>
        </w:tc>
        <w:tc>
          <w:tcPr>
            <w:tcW w:w="3421" w:type="dxa"/>
            <w:tcBorders>
              <w:bottom w:val="dotted" w:sz="6" w:space="0" w:color="BEBEBE"/>
            </w:tcBorders>
          </w:tcPr>
          <w:p w14:paraId="557FB770" w14:textId="77777777" w:rsidR="0046798B" w:rsidRDefault="0046798B">
            <w:pPr>
              <w:pStyle w:val="TableParagraph"/>
              <w:rPr>
                <w:sz w:val="20"/>
              </w:rPr>
            </w:pPr>
          </w:p>
        </w:tc>
        <w:tc>
          <w:tcPr>
            <w:tcW w:w="6477" w:type="dxa"/>
            <w:tcBorders>
              <w:bottom w:val="dotted" w:sz="6" w:space="0" w:color="BEBEBE"/>
            </w:tcBorders>
          </w:tcPr>
          <w:p w14:paraId="1FAD2E9D" w14:textId="77777777" w:rsidR="0046798B" w:rsidRDefault="0046798B">
            <w:pPr>
              <w:pStyle w:val="TableParagraph"/>
              <w:rPr>
                <w:sz w:val="20"/>
              </w:rPr>
            </w:pPr>
          </w:p>
        </w:tc>
      </w:tr>
      <w:tr w:rsidR="0046798B" w14:paraId="208ED19C" w14:textId="77777777">
        <w:trPr>
          <w:trHeight w:val="1002"/>
        </w:trPr>
        <w:tc>
          <w:tcPr>
            <w:tcW w:w="1711" w:type="dxa"/>
            <w:tcBorders>
              <w:top w:val="dotted" w:sz="6" w:space="0" w:color="BEBEBE"/>
            </w:tcBorders>
          </w:tcPr>
          <w:p w14:paraId="64FCB5F0" w14:textId="77777777" w:rsidR="0046798B" w:rsidRDefault="0046798B">
            <w:pPr>
              <w:pStyle w:val="TableParagraph"/>
            </w:pPr>
          </w:p>
          <w:p w14:paraId="4DDCB578" w14:textId="77777777" w:rsidR="0046798B" w:rsidRDefault="00903B5C">
            <w:pPr>
              <w:pStyle w:val="TableParagraph"/>
              <w:spacing w:before="133"/>
              <w:ind w:left="115"/>
              <w:rPr>
                <w:b/>
                <w:sz w:val="20"/>
              </w:rPr>
            </w:pPr>
            <w:r>
              <w:rPr>
                <w:b/>
                <w:sz w:val="20"/>
              </w:rPr>
              <w:t>hou_rep</w:t>
            </w:r>
          </w:p>
        </w:tc>
        <w:tc>
          <w:tcPr>
            <w:tcW w:w="1596" w:type="dxa"/>
            <w:tcBorders>
              <w:top w:val="dotted" w:sz="6" w:space="0" w:color="BEBEBE"/>
            </w:tcBorders>
          </w:tcPr>
          <w:p w14:paraId="272A8B0C" w14:textId="77777777" w:rsidR="0046798B" w:rsidRDefault="00903B5C">
            <w:pPr>
              <w:pStyle w:val="TableParagraph"/>
              <w:spacing w:before="40"/>
              <w:ind w:left="114" w:right="130"/>
              <w:rPr>
                <w:sz w:val="20"/>
              </w:rPr>
            </w:pPr>
            <w:r>
              <w:rPr>
                <w:sz w:val="20"/>
              </w:rPr>
              <w:t xml:space="preserve">State house Republican party </w:t>
            </w:r>
            <w:r>
              <w:rPr>
                <w:spacing w:val="-3"/>
                <w:sz w:val="20"/>
              </w:rPr>
              <w:t xml:space="preserve">ideological </w:t>
            </w:r>
            <w:r>
              <w:rPr>
                <w:sz w:val="20"/>
              </w:rPr>
              <w:t>median</w:t>
            </w:r>
          </w:p>
        </w:tc>
        <w:tc>
          <w:tcPr>
            <w:tcW w:w="1280" w:type="dxa"/>
            <w:tcBorders>
              <w:top w:val="dotted" w:sz="6" w:space="0" w:color="BEBEBE"/>
            </w:tcBorders>
          </w:tcPr>
          <w:p w14:paraId="262505A8" w14:textId="77777777" w:rsidR="0046798B" w:rsidRDefault="0046798B">
            <w:pPr>
              <w:pStyle w:val="TableParagraph"/>
            </w:pPr>
          </w:p>
          <w:p w14:paraId="7556BDA4" w14:textId="77777777" w:rsidR="0046798B" w:rsidRDefault="00903B5C">
            <w:pPr>
              <w:pStyle w:val="TableParagraph"/>
              <w:spacing w:before="133"/>
              <w:ind w:left="114"/>
              <w:rPr>
                <w:sz w:val="20"/>
              </w:rPr>
            </w:pPr>
            <w:r>
              <w:rPr>
                <w:sz w:val="20"/>
              </w:rPr>
              <w:t>1993–2016</w:t>
            </w:r>
          </w:p>
        </w:tc>
        <w:tc>
          <w:tcPr>
            <w:tcW w:w="3421" w:type="dxa"/>
            <w:tcBorders>
              <w:top w:val="dotted" w:sz="6" w:space="0" w:color="BEBEBE"/>
            </w:tcBorders>
          </w:tcPr>
          <w:p w14:paraId="1BB644F3" w14:textId="77777777" w:rsidR="0046798B" w:rsidRDefault="00903B5C">
            <w:pPr>
              <w:pStyle w:val="TableParagraph"/>
              <w:spacing w:before="155"/>
              <w:ind w:left="114" w:right="122"/>
              <w:rPr>
                <w:sz w:val="20"/>
              </w:rPr>
            </w:pPr>
            <w:r>
              <w:rPr>
                <w:sz w:val="20"/>
              </w:rPr>
              <w:t>State house Republican party ideological median. Scale is -1 (liberal) to +1 (conservative).</w:t>
            </w:r>
          </w:p>
        </w:tc>
        <w:tc>
          <w:tcPr>
            <w:tcW w:w="6477" w:type="dxa"/>
            <w:tcBorders>
              <w:top w:val="dotted" w:sz="6" w:space="0" w:color="BEBEBE"/>
            </w:tcBorders>
          </w:tcPr>
          <w:p w14:paraId="3A7FE83B" w14:textId="77777777" w:rsidR="0046798B" w:rsidRDefault="00903B5C">
            <w:pPr>
              <w:pStyle w:val="TableParagraph"/>
              <w:spacing w:before="155"/>
              <w:ind w:left="114" w:right="423"/>
              <w:rPr>
                <w:sz w:val="20"/>
              </w:rPr>
            </w:pPr>
            <w:r>
              <w:rPr>
                <w:sz w:val="20"/>
              </w:rPr>
              <w:t xml:space="preserve">Shor, Boris and Nolan McCarty. “The Ideological Mapping of American Legislatures.” </w:t>
            </w:r>
            <w:r>
              <w:rPr>
                <w:i/>
                <w:sz w:val="20"/>
              </w:rPr>
              <w:t xml:space="preserve">The American Political Science Review </w:t>
            </w:r>
            <w:r>
              <w:rPr>
                <w:sz w:val="20"/>
              </w:rPr>
              <w:t>105.3 (2011): 530–</w:t>
            </w:r>
          </w:p>
          <w:p w14:paraId="57FD03FC" w14:textId="77777777" w:rsidR="0046798B" w:rsidRDefault="00903B5C">
            <w:pPr>
              <w:pStyle w:val="TableParagraph"/>
              <w:spacing w:before="1"/>
              <w:ind w:left="114"/>
              <w:rPr>
                <w:sz w:val="20"/>
              </w:rPr>
            </w:pPr>
            <w:r>
              <w:rPr>
                <w:sz w:val="20"/>
              </w:rPr>
              <w:t xml:space="preserve">551. </w:t>
            </w:r>
            <w:hyperlink r:id="rId508">
              <w:r>
                <w:rPr>
                  <w:sz w:val="20"/>
                  <w:u w:val="single"/>
                </w:rPr>
                <w:t>http://americanlegislatures.com/data/</w:t>
              </w:r>
            </w:hyperlink>
          </w:p>
        </w:tc>
      </w:tr>
      <w:tr w:rsidR="0046798B" w14:paraId="0541B281" w14:textId="77777777">
        <w:trPr>
          <w:trHeight w:val="1010"/>
        </w:trPr>
        <w:tc>
          <w:tcPr>
            <w:tcW w:w="1711" w:type="dxa"/>
          </w:tcPr>
          <w:p w14:paraId="220C1934" w14:textId="77777777" w:rsidR="0046798B" w:rsidRDefault="0046798B">
            <w:pPr>
              <w:pStyle w:val="TableParagraph"/>
            </w:pPr>
          </w:p>
          <w:p w14:paraId="452F96F7" w14:textId="77777777" w:rsidR="0046798B" w:rsidRDefault="00903B5C">
            <w:pPr>
              <w:pStyle w:val="TableParagraph"/>
              <w:spacing w:before="136"/>
              <w:ind w:left="115"/>
              <w:rPr>
                <w:b/>
                <w:sz w:val="20"/>
              </w:rPr>
            </w:pPr>
            <w:r>
              <w:rPr>
                <w:b/>
                <w:sz w:val="20"/>
              </w:rPr>
              <w:t>hou_majority</w:t>
            </w:r>
          </w:p>
        </w:tc>
        <w:tc>
          <w:tcPr>
            <w:tcW w:w="1596" w:type="dxa"/>
          </w:tcPr>
          <w:p w14:paraId="4DBF489D" w14:textId="77777777" w:rsidR="0046798B" w:rsidRDefault="00903B5C">
            <w:pPr>
              <w:pStyle w:val="TableParagraph"/>
              <w:spacing w:before="44"/>
              <w:ind w:left="114" w:right="229"/>
              <w:rPr>
                <w:sz w:val="20"/>
              </w:rPr>
            </w:pPr>
            <w:r>
              <w:rPr>
                <w:sz w:val="20"/>
              </w:rPr>
              <w:t>State house majority party ideological median</w:t>
            </w:r>
          </w:p>
        </w:tc>
        <w:tc>
          <w:tcPr>
            <w:tcW w:w="1280" w:type="dxa"/>
          </w:tcPr>
          <w:p w14:paraId="3E51826E" w14:textId="77777777" w:rsidR="0046798B" w:rsidRDefault="0046798B">
            <w:pPr>
              <w:pStyle w:val="TableParagraph"/>
            </w:pPr>
          </w:p>
          <w:p w14:paraId="5805962B" w14:textId="77777777" w:rsidR="0046798B" w:rsidRDefault="00903B5C">
            <w:pPr>
              <w:pStyle w:val="TableParagraph"/>
              <w:spacing w:before="136"/>
              <w:ind w:left="114"/>
              <w:rPr>
                <w:sz w:val="20"/>
              </w:rPr>
            </w:pPr>
            <w:r>
              <w:rPr>
                <w:sz w:val="20"/>
              </w:rPr>
              <w:t>1993–2016</w:t>
            </w:r>
          </w:p>
        </w:tc>
        <w:tc>
          <w:tcPr>
            <w:tcW w:w="3421" w:type="dxa"/>
          </w:tcPr>
          <w:p w14:paraId="695ED226" w14:textId="77777777" w:rsidR="0046798B" w:rsidRDefault="00903B5C">
            <w:pPr>
              <w:pStyle w:val="TableParagraph"/>
              <w:spacing w:before="159"/>
              <w:ind w:left="114" w:right="233"/>
              <w:rPr>
                <w:sz w:val="20"/>
              </w:rPr>
            </w:pPr>
            <w:r>
              <w:rPr>
                <w:sz w:val="20"/>
              </w:rPr>
              <w:t>State house majority party ideological median. Scale is -1 (liberal) to +1 (conservative).</w:t>
            </w:r>
          </w:p>
        </w:tc>
        <w:tc>
          <w:tcPr>
            <w:tcW w:w="6477" w:type="dxa"/>
          </w:tcPr>
          <w:p w14:paraId="75B0F689" w14:textId="77777777" w:rsidR="0046798B" w:rsidRDefault="00903B5C">
            <w:pPr>
              <w:pStyle w:val="TableParagraph"/>
              <w:spacing w:before="159"/>
              <w:ind w:left="114" w:right="423"/>
              <w:rPr>
                <w:sz w:val="20"/>
              </w:rPr>
            </w:pPr>
            <w:r>
              <w:rPr>
                <w:sz w:val="20"/>
              </w:rPr>
              <w:t xml:space="preserve">Shor, Boris and Nolan McCarty. “The Ideological Mapping of American Legislatures.” </w:t>
            </w:r>
            <w:r>
              <w:rPr>
                <w:i/>
                <w:sz w:val="20"/>
              </w:rPr>
              <w:t xml:space="preserve">The American Political Science Review </w:t>
            </w:r>
            <w:r>
              <w:rPr>
                <w:sz w:val="20"/>
              </w:rPr>
              <w:t>105.3 (2011): 530–</w:t>
            </w:r>
          </w:p>
          <w:p w14:paraId="20EED3D7" w14:textId="77777777" w:rsidR="0046798B" w:rsidRDefault="00903B5C">
            <w:pPr>
              <w:pStyle w:val="TableParagraph"/>
              <w:ind w:left="114"/>
              <w:rPr>
                <w:sz w:val="20"/>
              </w:rPr>
            </w:pPr>
            <w:r>
              <w:rPr>
                <w:sz w:val="20"/>
              </w:rPr>
              <w:t xml:space="preserve">551. </w:t>
            </w:r>
            <w:hyperlink r:id="rId509">
              <w:r>
                <w:rPr>
                  <w:sz w:val="20"/>
                  <w:u w:val="single"/>
                </w:rPr>
                <w:t>http://americanlegislatures.com/data/</w:t>
              </w:r>
            </w:hyperlink>
          </w:p>
        </w:tc>
      </w:tr>
      <w:tr w:rsidR="0046798B" w14:paraId="49B57953" w14:textId="77777777">
        <w:trPr>
          <w:trHeight w:val="1005"/>
        </w:trPr>
        <w:tc>
          <w:tcPr>
            <w:tcW w:w="1711" w:type="dxa"/>
          </w:tcPr>
          <w:p w14:paraId="4469B8B5" w14:textId="77777777" w:rsidR="0046798B" w:rsidRDefault="0046798B">
            <w:pPr>
              <w:pStyle w:val="TableParagraph"/>
            </w:pPr>
          </w:p>
          <w:p w14:paraId="26DFDA49" w14:textId="77777777" w:rsidR="0046798B" w:rsidRDefault="00903B5C">
            <w:pPr>
              <w:pStyle w:val="TableParagraph"/>
              <w:spacing w:before="130"/>
              <w:ind w:left="115"/>
              <w:rPr>
                <w:b/>
                <w:sz w:val="20"/>
              </w:rPr>
            </w:pPr>
            <w:r>
              <w:rPr>
                <w:b/>
                <w:sz w:val="20"/>
              </w:rPr>
              <w:t>sen_dem</w:t>
            </w:r>
          </w:p>
        </w:tc>
        <w:tc>
          <w:tcPr>
            <w:tcW w:w="1596" w:type="dxa"/>
          </w:tcPr>
          <w:p w14:paraId="74C5F6E3" w14:textId="77777777" w:rsidR="0046798B" w:rsidRDefault="00903B5C">
            <w:pPr>
              <w:pStyle w:val="TableParagraph"/>
              <w:spacing w:before="38"/>
              <w:ind w:left="114" w:right="119"/>
              <w:rPr>
                <w:sz w:val="20"/>
              </w:rPr>
            </w:pPr>
            <w:r>
              <w:rPr>
                <w:sz w:val="20"/>
              </w:rPr>
              <w:t xml:space="preserve">State senate Democratic party </w:t>
            </w:r>
            <w:r>
              <w:rPr>
                <w:spacing w:val="-3"/>
                <w:sz w:val="20"/>
              </w:rPr>
              <w:t xml:space="preserve">ideological </w:t>
            </w:r>
            <w:r>
              <w:rPr>
                <w:sz w:val="20"/>
              </w:rPr>
              <w:t>median</w:t>
            </w:r>
          </w:p>
        </w:tc>
        <w:tc>
          <w:tcPr>
            <w:tcW w:w="1280" w:type="dxa"/>
          </w:tcPr>
          <w:p w14:paraId="699D5088" w14:textId="77777777" w:rsidR="0046798B" w:rsidRDefault="0046798B">
            <w:pPr>
              <w:pStyle w:val="TableParagraph"/>
            </w:pPr>
          </w:p>
          <w:p w14:paraId="53276B2A" w14:textId="77777777" w:rsidR="0046798B" w:rsidRDefault="00903B5C">
            <w:pPr>
              <w:pStyle w:val="TableParagraph"/>
              <w:spacing w:before="130"/>
              <w:ind w:left="114"/>
              <w:rPr>
                <w:sz w:val="20"/>
              </w:rPr>
            </w:pPr>
            <w:r>
              <w:rPr>
                <w:sz w:val="20"/>
              </w:rPr>
              <w:t>1993–2016</w:t>
            </w:r>
          </w:p>
        </w:tc>
        <w:tc>
          <w:tcPr>
            <w:tcW w:w="3421" w:type="dxa"/>
          </w:tcPr>
          <w:p w14:paraId="2A470A78" w14:textId="77777777" w:rsidR="0046798B" w:rsidRDefault="00903B5C">
            <w:pPr>
              <w:pStyle w:val="TableParagraph"/>
              <w:spacing w:before="153"/>
              <w:ind w:left="114" w:right="122"/>
              <w:rPr>
                <w:sz w:val="20"/>
              </w:rPr>
            </w:pPr>
            <w:r>
              <w:rPr>
                <w:sz w:val="20"/>
              </w:rPr>
              <w:t>State senate Democratic party ideological median. Scale is -1 (liberal) to +1 (conservative).</w:t>
            </w:r>
          </w:p>
        </w:tc>
        <w:tc>
          <w:tcPr>
            <w:tcW w:w="6477" w:type="dxa"/>
          </w:tcPr>
          <w:p w14:paraId="026959C4" w14:textId="77777777" w:rsidR="0046798B" w:rsidRDefault="00903B5C">
            <w:pPr>
              <w:pStyle w:val="TableParagraph"/>
              <w:spacing w:before="153"/>
              <w:ind w:left="114" w:right="423"/>
              <w:rPr>
                <w:sz w:val="20"/>
              </w:rPr>
            </w:pPr>
            <w:r>
              <w:rPr>
                <w:sz w:val="20"/>
              </w:rPr>
              <w:t xml:space="preserve">Shor, Boris and Nolan McCarty. “The Ideological Mapping of American Legislatures.” </w:t>
            </w:r>
            <w:r>
              <w:rPr>
                <w:i/>
                <w:sz w:val="20"/>
              </w:rPr>
              <w:t xml:space="preserve">The American Political Science Review </w:t>
            </w:r>
            <w:r>
              <w:rPr>
                <w:sz w:val="20"/>
              </w:rPr>
              <w:t>105.3 (2011): 530–</w:t>
            </w:r>
          </w:p>
          <w:p w14:paraId="1EA56236" w14:textId="77777777" w:rsidR="0046798B" w:rsidRDefault="00903B5C">
            <w:pPr>
              <w:pStyle w:val="TableParagraph"/>
              <w:ind w:left="114"/>
              <w:rPr>
                <w:sz w:val="20"/>
              </w:rPr>
            </w:pPr>
            <w:r>
              <w:rPr>
                <w:sz w:val="20"/>
              </w:rPr>
              <w:t xml:space="preserve">551. </w:t>
            </w:r>
            <w:hyperlink r:id="rId510">
              <w:r>
                <w:rPr>
                  <w:sz w:val="20"/>
                  <w:u w:val="single"/>
                </w:rPr>
                <w:t>http://americanlegislatures.com/data/</w:t>
              </w:r>
            </w:hyperlink>
          </w:p>
        </w:tc>
      </w:tr>
      <w:tr w:rsidR="0046798B" w14:paraId="47850178" w14:textId="77777777">
        <w:trPr>
          <w:trHeight w:val="1005"/>
        </w:trPr>
        <w:tc>
          <w:tcPr>
            <w:tcW w:w="1711" w:type="dxa"/>
          </w:tcPr>
          <w:p w14:paraId="51FC4F7A" w14:textId="77777777" w:rsidR="0046798B" w:rsidRDefault="0046798B">
            <w:pPr>
              <w:pStyle w:val="TableParagraph"/>
            </w:pPr>
          </w:p>
          <w:p w14:paraId="5781CB7E" w14:textId="77777777" w:rsidR="0046798B" w:rsidRDefault="00903B5C">
            <w:pPr>
              <w:pStyle w:val="TableParagraph"/>
              <w:spacing w:before="130"/>
              <w:ind w:left="115"/>
              <w:rPr>
                <w:b/>
                <w:sz w:val="20"/>
              </w:rPr>
            </w:pPr>
            <w:r>
              <w:rPr>
                <w:b/>
                <w:sz w:val="20"/>
              </w:rPr>
              <w:t>sen_rep</w:t>
            </w:r>
          </w:p>
        </w:tc>
        <w:tc>
          <w:tcPr>
            <w:tcW w:w="1596" w:type="dxa"/>
          </w:tcPr>
          <w:p w14:paraId="29688840" w14:textId="77777777" w:rsidR="0046798B" w:rsidRDefault="00903B5C">
            <w:pPr>
              <w:pStyle w:val="TableParagraph"/>
              <w:spacing w:before="38"/>
              <w:ind w:left="114" w:right="130"/>
              <w:rPr>
                <w:sz w:val="20"/>
              </w:rPr>
            </w:pPr>
            <w:r>
              <w:rPr>
                <w:sz w:val="20"/>
              </w:rPr>
              <w:t xml:space="preserve">State senate Republican party </w:t>
            </w:r>
            <w:r>
              <w:rPr>
                <w:spacing w:val="-3"/>
                <w:sz w:val="20"/>
              </w:rPr>
              <w:t xml:space="preserve">ideological </w:t>
            </w:r>
            <w:r>
              <w:rPr>
                <w:sz w:val="20"/>
              </w:rPr>
              <w:t>median</w:t>
            </w:r>
          </w:p>
        </w:tc>
        <w:tc>
          <w:tcPr>
            <w:tcW w:w="1280" w:type="dxa"/>
          </w:tcPr>
          <w:p w14:paraId="2A3FD32C" w14:textId="77777777" w:rsidR="0046798B" w:rsidRDefault="0046798B">
            <w:pPr>
              <w:pStyle w:val="TableParagraph"/>
            </w:pPr>
          </w:p>
          <w:p w14:paraId="6D95033E" w14:textId="77777777" w:rsidR="0046798B" w:rsidRDefault="00903B5C">
            <w:pPr>
              <w:pStyle w:val="TableParagraph"/>
              <w:spacing w:before="130"/>
              <w:ind w:left="114"/>
              <w:rPr>
                <w:sz w:val="20"/>
              </w:rPr>
            </w:pPr>
            <w:r>
              <w:rPr>
                <w:sz w:val="20"/>
              </w:rPr>
              <w:t>1993–2016</w:t>
            </w:r>
          </w:p>
        </w:tc>
        <w:tc>
          <w:tcPr>
            <w:tcW w:w="3421" w:type="dxa"/>
          </w:tcPr>
          <w:p w14:paraId="08AA4D93" w14:textId="77777777" w:rsidR="0046798B" w:rsidRDefault="00903B5C">
            <w:pPr>
              <w:pStyle w:val="TableParagraph"/>
              <w:spacing w:before="153"/>
              <w:ind w:left="114" w:right="122"/>
              <w:rPr>
                <w:sz w:val="20"/>
              </w:rPr>
            </w:pPr>
            <w:r>
              <w:rPr>
                <w:sz w:val="20"/>
              </w:rPr>
              <w:t>State senate Republican party ideological median. Scale is -1 (liberal) to +1 (conservative).</w:t>
            </w:r>
          </w:p>
        </w:tc>
        <w:tc>
          <w:tcPr>
            <w:tcW w:w="6477" w:type="dxa"/>
          </w:tcPr>
          <w:p w14:paraId="086EB12F" w14:textId="77777777" w:rsidR="0046798B" w:rsidRDefault="00903B5C">
            <w:pPr>
              <w:pStyle w:val="TableParagraph"/>
              <w:spacing w:before="153"/>
              <w:ind w:left="114" w:right="423"/>
              <w:rPr>
                <w:sz w:val="20"/>
              </w:rPr>
            </w:pPr>
            <w:r>
              <w:rPr>
                <w:sz w:val="20"/>
              </w:rPr>
              <w:t xml:space="preserve">Shor, Boris and Nolan McCarty. “The Ideological Mapping of American Legislatures.” </w:t>
            </w:r>
            <w:r>
              <w:rPr>
                <w:i/>
                <w:sz w:val="20"/>
              </w:rPr>
              <w:t xml:space="preserve">The American Political Science Review </w:t>
            </w:r>
            <w:r>
              <w:rPr>
                <w:sz w:val="20"/>
              </w:rPr>
              <w:t>105.3 (2011): 530–</w:t>
            </w:r>
          </w:p>
          <w:p w14:paraId="19901512" w14:textId="77777777" w:rsidR="0046798B" w:rsidRDefault="00903B5C">
            <w:pPr>
              <w:pStyle w:val="TableParagraph"/>
              <w:ind w:left="114"/>
              <w:rPr>
                <w:sz w:val="20"/>
              </w:rPr>
            </w:pPr>
            <w:r>
              <w:rPr>
                <w:sz w:val="20"/>
              </w:rPr>
              <w:t xml:space="preserve">551. </w:t>
            </w:r>
            <w:hyperlink r:id="rId511">
              <w:r>
                <w:rPr>
                  <w:sz w:val="20"/>
                  <w:u w:val="single"/>
                </w:rPr>
                <w:t>http://americanlegislatures.com/data/</w:t>
              </w:r>
            </w:hyperlink>
          </w:p>
        </w:tc>
      </w:tr>
      <w:tr w:rsidR="0046798B" w14:paraId="2CE5C631" w14:textId="77777777">
        <w:trPr>
          <w:trHeight w:val="1005"/>
        </w:trPr>
        <w:tc>
          <w:tcPr>
            <w:tcW w:w="1711" w:type="dxa"/>
          </w:tcPr>
          <w:p w14:paraId="54963FB2" w14:textId="77777777" w:rsidR="0046798B" w:rsidRDefault="0046798B">
            <w:pPr>
              <w:pStyle w:val="TableParagraph"/>
            </w:pPr>
          </w:p>
          <w:p w14:paraId="2316671C" w14:textId="77777777" w:rsidR="0046798B" w:rsidRDefault="00903B5C">
            <w:pPr>
              <w:pStyle w:val="TableParagraph"/>
              <w:spacing w:before="135"/>
              <w:ind w:left="115"/>
              <w:rPr>
                <w:b/>
                <w:sz w:val="20"/>
              </w:rPr>
            </w:pPr>
            <w:r>
              <w:rPr>
                <w:b/>
                <w:sz w:val="20"/>
              </w:rPr>
              <w:t>sen_majority</w:t>
            </w:r>
          </w:p>
        </w:tc>
        <w:tc>
          <w:tcPr>
            <w:tcW w:w="1596" w:type="dxa"/>
          </w:tcPr>
          <w:p w14:paraId="2D7E4FAD" w14:textId="77777777" w:rsidR="0046798B" w:rsidRDefault="00903B5C">
            <w:pPr>
              <w:pStyle w:val="TableParagraph"/>
              <w:spacing w:before="43"/>
              <w:ind w:left="114" w:right="229"/>
              <w:rPr>
                <w:sz w:val="20"/>
              </w:rPr>
            </w:pPr>
            <w:r>
              <w:rPr>
                <w:sz w:val="20"/>
              </w:rPr>
              <w:t>State senate majority party ideological median</w:t>
            </w:r>
          </w:p>
        </w:tc>
        <w:tc>
          <w:tcPr>
            <w:tcW w:w="1280" w:type="dxa"/>
          </w:tcPr>
          <w:p w14:paraId="61C363A8" w14:textId="77777777" w:rsidR="0046798B" w:rsidRDefault="0046798B">
            <w:pPr>
              <w:pStyle w:val="TableParagraph"/>
            </w:pPr>
          </w:p>
          <w:p w14:paraId="1FD30CA2" w14:textId="77777777" w:rsidR="0046798B" w:rsidRDefault="00903B5C">
            <w:pPr>
              <w:pStyle w:val="TableParagraph"/>
              <w:spacing w:before="135"/>
              <w:ind w:left="114"/>
              <w:rPr>
                <w:sz w:val="20"/>
              </w:rPr>
            </w:pPr>
            <w:r>
              <w:rPr>
                <w:sz w:val="20"/>
              </w:rPr>
              <w:t>1993–2016</w:t>
            </w:r>
          </w:p>
        </w:tc>
        <w:tc>
          <w:tcPr>
            <w:tcW w:w="3421" w:type="dxa"/>
          </w:tcPr>
          <w:p w14:paraId="7E986C34" w14:textId="77777777" w:rsidR="0046798B" w:rsidRDefault="00903B5C">
            <w:pPr>
              <w:pStyle w:val="TableParagraph"/>
              <w:spacing w:before="158"/>
              <w:ind w:left="114" w:right="200"/>
              <w:rPr>
                <w:sz w:val="20"/>
              </w:rPr>
            </w:pPr>
            <w:r>
              <w:rPr>
                <w:sz w:val="20"/>
              </w:rPr>
              <w:t>State senate majority party ideological median. Scale is -1 (liberal) to +1 (conservative).</w:t>
            </w:r>
          </w:p>
        </w:tc>
        <w:tc>
          <w:tcPr>
            <w:tcW w:w="6477" w:type="dxa"/>
          </w:tcPr>
          <w:p w14:paraId="387C006D" w14:textId="77777777" w:rsidR="0046798B" w:rsidRDefault="00903B5C">
            <w:pPr>
              <w:pStyle w:val="TableParagraph"/>
              <w:spacing w:before="158"/>
              <w:ind w:left="114" w:right="423"/>
              <w:rPr>
                <w:sz w:val="20"/>
              </w:rPr>
            </w:pPr>
            <w:r>
              <w:rPr>
                <w:sz w:val="20"/>
              </w:rPr>
              <w:t xml:space="preserve">Shor, Boris and Nolan McCarty. “The Ideological Mapping of American Legislatures.” </w:t>
            </w:r>
            <w:r>
              <w:rPr>
                <w:i/>
                <w:sz w:val="20"/>
              </w:rPr>
              <w:t xml:space="preserve">The American Political Science Review </w:t>
            </w:r>
            <w:r>
              <w:rPr>
                <w:sz w:val="20"/>
              </w:rPr>
              <w:t>105.3 (2011): 530–</w:t>
            </w:r>
          </w:p>
          <w:p w14:paraId="0829210E" w14:textId="77777777" w:rsidR="0046798B" w:rsidRDefault="00903B5C">
            <w:pPr>
              <w:pStyle w:val="TableParagraph"/>
              <w:spacing w:before="1"/>
              <w:ind w:left="114"/>
              <w:rPr>
                <w:sz w:val="20"/>
              </w:rPr>
            </w:pPr>
            <w:r>
              <w:rPr>
                <w:sz w:val="20"/>
              </w:rPr>
              <w:t xml:space="preserve">551. </w:t>
            </w:r>
            <w:hyperlink r:id="rId512">
              <w:r>
                <w:rPr>
                  <w:sz w:val="20"/>
                  <w:u w:val="single"/>
                </w:rPr>
                <w:t>http://americanlegislatures.com/data/</w:t>
              </w:r>
            </w:hyperlink>
          </w:p>
        </w:tc>
      </w:tr>
      <w:tr w:rsidR="0046798B" w14:paraId="218C4E99" w14:textId="77777777">
        <w:trPr>
          <w:trHeight w:val="1005"/>
        </w:trPr>
        <w:tc>
          <w:tcPr>
            <w:tcW w:w="1711" w:type="dxa"/>
          </w:tcPr>
          <w:p w14:paraId="05F110CF" w14:textId="77777777" w:rsidR="0046798B" w:rsidRDefault="0046798B">
            <w:pPr>
              <w:pStyle w:val="TableParagraph"/>
            </w:pPr>
          </w:p>
          <w:p w14:paraId="0C1E81DC" w14:textId="77777777" w:rsidR="0046798B" w:rsidRDefault="00903B5C">
            <w:pPr>
              <w:pStyle w:val="TableParagraph"/>
              <w:spacing w:before="135"/>
              <w:ind w:left="115"/>
              <w:rPr>
                <w:b/>
                <w:sz w:val="20"/>
              </w:rPr>
            </w:pPr>
            <w:r>
              <w:rPr>
                <w:b/>
                <w:sz w:val="20"/>
              </w:rPr>
              <w:t>h_diffs</w:t>
            </w:r>
          </w:p>
        </w:tc>
        <w:tc>
          <w:tcPr>
            <w:tcW w:w="1596" w:type="dxa"/>
          </w:tcPr>
          <w:p w14:paraId="0968924B" w14:textId="77777777" w:rsidR="0046798B" w:rsidRDefault="00903B5C">
            <w:pPr>
              <w:pStyle w:val="TableParagraph"/>
              <w:spacing w:before="43"/>
              <w:ind w:left="114" w:right="163"/>
              <w:rPr>
                <w:sz w:val="20"/>
              </w:rPr>
            </w:pPr>
            <w:r>
              <w:rPr>
                <w:sz w:val="20"/>
              </w:rPr>
              <w:t>Distance between party medians in state house</w:t>
            </w:r>
          </w:p>
        </w:tc>
        <w:tc>
          <w:tcPr>
            <w:tcW w:w="1280" w:type="dxa"/>
          </w:tcPr>
          <w:p w14:paraId="0BC0F1A9" w14:textId="77777777" w:rsidR="0046798B" w:rsidRDefault="0046798B">
            <w:pPr>
              <w:pStyle w:val="TableParagraph"/>
            </w:pPr>
          </w:p>
          <w:p w14:paraId="04038C88" w14:textId="77777777" w:rsidR="0046798B" w:rsidRDefault="00903B5C">
            <w:pPr>
              <w:pStyle w:val="TableParagraph"/>
              <w:spacing w:before="135"/>
              <w:ind w:left="114"/>
              <w:rPr>
                <w:sz w:val="20"/>
              </w:rPr>
            </w:pPr>
            <w:r>
              <w:rPr>
                <w:sz w:val="20"/>
              </w:rPr>
              <w:t>1993–2016</w:t>
            </w:r>
          </w:p>
        </w:tc>
        <w:tc>
          <w:tcPr>
            <w:tcW w:w="3421" w:type="dxa"/>
          </w:tcPr>
          <w:p w14:paraId="1732F05C" w14:textId="77777777" w:rsidR="0046798B" w:rsidRDefault="00903B5C">
            <w:pPr>
              <w:pStyle w:val="TableParagraph"/>
              <w:spacing w:before="158"/>
              <w:ind w:left="114" w:right="477"/>
              <w:rPr>
                <w:sz w:val="20"/>
              </w:rPr>
            </w:pPr>
            <w:r>
              <w:rPr>
                <w:sz w:val="20"/>
              </w:rPr>
              <w:t>Distance between party medians in state house (the authors’ preferred measure of polarization).</w:t>
            </w:r>
          </w:p>
        </w:tc>
        <w:tc>
          <w:tcPr>
            <w:tcW w:w="6477" w:type="dxa"/>
          </w:tcPr>
          <w:p w14:paraId="183BC0AE" w14:textId="77777777" w:rsidR="0046798B" w:rsidRDefault="00903B5C">
            <w:pPr>
              <w:pStyle w:val="TableParagraph"/>
              <w:spacing w:before="158"/>
              <w:ind w:left="114" w:right="423"/>
              <w:rPr>
                <w:sz w:val="20"/>
              </w:rPr>
            </w:pPr>
            <w:r>
              <w:rPr>
                <w:sz w:val="20"/>
              </w:rPr>
              <w:t xml:space="preserve">Shor, Boris and Nolan McCarty. “The Ideological Mapping of American Legislatures.” </w:t>
            </w:r>
            <w:r>
              <w:rPr>
                <w:i/>
                <w:sz w:val="20"/>
              </w:rPr>
              <w:t xml:space="preserve">The American Political Science Review </w:t>
            </w:r>
            <w:r>
              <w:rPr>
                <w:sz w:val="20"/>
              </w:rPr>
              <w:t>105.3 (2011): 530–</w:t>
            </w:r>
          </w:p>
          <w:p w14:paraId="475BA316" w14:textId="77777777" w:rsidR="0046798B" w:rsidRDefault="00903B5C">
            <w:pPr>
              <w:pStyle w:val="TableParagraph"/>
              <w:ind w:left="114"/>
              <w:rPr>
                <w:sz w:val="20"/>
              </w:rPr>
            </w:pPr>
            <w:r>
              <w:rPr>
                <w:sz w:val="20"/>
              </w:rPr>
              <w:t xml:space="preserve">551. </w:t>
            </w:r>
            <w:hyperlink r:id="rId513">
              <w:r>
                <w:rPr>
                  <w:sz w:val="20"/>
                  <w:u w:val="single"/>
                </w:rPr>
                <w:t>http://americanlegislatures.com/data/</w:t>
              </w:r>
            </w:hyperlink>
          </w:p>
        </w:tc>
      </w:tr>
      <w:tr w:rsidR="0046798B" w14:paraId="41D1C83E" w14:textId="77777777">
        <w:trPr>
          <w:trHeight w:val="1005"/>
        </w:trPr>
        <w:tc>
          <w:tcPr>
            <w:tcW w:w="1711" w:type="dxa"/>
          </w:tcPr>
          <w:p w14:paraId="1EB001A0" w14:textId="77777777" w:rsidR="0046798B" w:rsidRDefault="0046798B">
            <w:pPr>
              <w:pStyle w:val="TableParagraph"/>
            </w:pPr>
          </w:p>
          <w:p w14:paraId="613B19E2" w14:textId="77777777" w:rsidR="0046798B" w:rsidRDefault="00903B5C">
            <w:pPr>
              <w:pStyle w:val="TableParagraph"/>
              <w:spacing w:before="135"/>
              <w:ind w:left="115"/>
              <w:rPr>
                <w:b/>
                <w:sz w:val="20"/>
              </w:rPr>
            </w:pPr>
            <w:r>
              <w:rPr>
                <w:b/>
                <w:sz w:val="20"/>
              </w:rPr>
              <w:t>s_diffs</w:t>
            </w:r>
          </w:p>
        </w:tc>
        <w:tc>
          <w:tcPr>
            <w:tcW w:w="1596" w:type="dxa"/>
          </w:tcPr>
          <w:p w14:paraId="335CED3C" w14:textId="77777777" w:rsidR="0046798B" w:rsidRDefault="00903B5C">
            <w:pPr>
              <w:pStyle w:val="TableParagraph"/>
              <w:spacing w:before="43"/>
              <w:ind w:left="114" w:right="163"/>
              <w:rPr>
                <w:sz w:val="20"/>
              </w:rPr>
            </w:pPr>
            <w:r>
              <w:rPr>
                <w:sz w:val="20"/>
              </w:rPr>
              <w:t>Distance between party medians in state senate</w:t>
            </w:r>
          </w:p>
        </w:tc>
        <w:tc>
          <w:tcPr>
            <w:tcW w:w="1280" w:type="dxa"/>
          </w:tcPr>
          <w:p w14:paraId="0F05F37D" w14:textId="77777777" w:rsidR="0046798B" w:rsidRDefault="0046798B">
            <w:pPr>
              <w:pStyle w:val="TableParagraph"/>
            </w:pPr>
          </w:p>
          <w:p w14:paraId="725AA9F8" w14:textId="77777777" w:rsidR="0046798B" w:rsidRDefault="00903B5C">
            <w:pPr>
              <w:pStyle w:val="TableParagraph"/>
              <w:spacing w:before="135"/>
              <w:ind w:left="114"/>
              <w:rPr>
                <w:sz w:val="20"/>
              </w:rPr>
            </w:pPr>
            <w:r>
              <w:rPr>
                <w:sz w:val="20"/>
              </w:rPr>
              <w:t>1993–2016</w:t>
            </w:r>
          </w:p>
        </w:tc>
        <w:tc>
          <w:tcPr>
            <w:tcW w:w="3421" w:type="dxa"/>
          </w:tcPr>
          <w:p w14:paraId="1B378BB4" w14:textId="77777777" w:rsidR="0046798B" w:rsidRDefault="00903B5C">
            <w:pPr>
              <w:pStyle w:val="TableParagraph"/>
              <w:spacing w:before="158"/>
              <w:ind w:left="114" w:right="489"/>
              <w:jc w:val="both"/>
              <w:rPr>
                <w:sz w:val="20"/>
              </w:rPr>
            </w:pPr>
            <w:r>
              <w:rPr>
                <w:sz w:val="20"/>
              </w:rPr>
              <w:t>Distance between party medians in state senate (the authors’ preferred measure of polarization).</w:t>
            </w:r>
          </w:p>
        </w:tc>
        <w:tc>
          <w:tcPr>
            <w:tcW w:w="6477" w:type="dxa"/>
          </w:tcPr>
          <w:p w14:paraId="3CF72E90" w14:textId="77777777" w:rsidR="0046798B" w:rsidRDefault="00903B5C">
            <w:pPr>
              <w:pStyle w:val="TableParagraph"/>
              <w:spacing w:before="158"/>
              <w:ind w:left="114" w:right="423"/>
              <w:rPr>
                <w:sz w:val="20"/>
              </w:rPr>
            </w:pPr>
            <w:r>
              <w:rPr>
                <w:sz w:val="20"/>
              </w:rPr>
              <w:t xml:space="preserve">Shor, Boris and Nolan McCarty. “The Ideological Mapping of American Legislatures.” </w:t>
            </w:r>
            <w:r>
              <w:rPr>
                <w:i/>
                <w:sz w:val="20"/>
              </w:rPr>
              <w:t xml:space="preserve">The American Political Science Review </w:t>
            </w:r>
            <w:r>
              <w:rPr>
                <w:sz w:val="20"/>
              </w:rPr>
              <w:t>105.3 (2011): 530–</w:t>
            </w:r>
          </w:p>
          <w:p w14:paraId="71C230A9" w14:textId="77777777" w:rsidR="0046798B" w:rsidRDefault="00903B5C">
            <w:pPr>
              <w:pStyle w:val="TableParagraph"/>
              <w:ind w:left="114"/>
              <w:rPr>
                <w:sz w:val="20"/>
              </w:rPr>
            </w:pPr>
            <w:r>
              <w:rPr>
                <w:sz w:val="20"/>
              </w:rPr>
              <w:t xml:space="preserve">551. </w:t>
            </w:r>
            <w:hyperlink r:id="rId514">
              <w:r>
                <w:rPr>
                  <w:sz w:val="20"/>
                  <w:u w:val="single"/>
                </w:rPr>
                <w:t>http://americanlegislatures.com/data/</w:t>
              </w:r>
            </w:hyperlink>
          </w:p>
        </w:tc>
      </w:tr>
      <w:tr w:rsidR="0046798B" w14:paraId="2FE65EC7" w14:textId="77777777">
        <w:trPr>
          <w:trHeight w:val="1470"/>
        </w:trPr>
        <w:tc>
          <w:tcPr>
            <w:tcW w:w="1711" w:type="dxa"/>
          </w:tcPr>
          <w:p w14:paraId="27FBCE50" w14:textId="77777777" w:rsidR="0046798B" w:rsidRDefault="0046798B">
            <w:pPr>
              <w:pStyle w:val="TableParagraph"/>
            </w:pPr>
          </w:p>
          <w:p w14:paraId="02269A19" w14:textId="77777777" w:rsidR="0046798B" w:rsidRDefault="0046798B">
            <w:pPr>
              <w:pStyle w:val="TableParagraph"/>
              <w:spacing w:before="9"/>
              <w:rPr>
                <w:sz w:val="31"/>
              </w:rPr>
            </w:pPr>
          </w:p>
          <w:p w14:paraId="1DF26C0E" w14:textId="77777777" w:rsidR="0046798B" w:rsidRDefault="00903B5C">
            <w:pPr>
              <w:pStyle w:val="TableParagraph"/>
              <w:ind w:left="115"/>
              <w:rPr>
                <w:b/>
                <w:sz w:val="20"/>
              </w:rPr>
            </w:pPr>
            <w:r>
              <w:rPr>
                <w:b/>
                <w:sz w:val="20"/>
              </w:rPr>
              <w:t>h_distance</w:t>
            </w:r>
          </w:p>
        </w:tc>
        <w:tc>
          <w:tcPr>
            <w:tcW w:w="1596" w:type="dxa"/>
          </w:tcPr>
          <w:p w14:paraId="782806B0" w14:textId="77777777" w:rsidR="0046798B" w:rsidRDefault="00903B5C">
            <w:pPr>
              <w:pStyle w:val="TableParagraph"/>
              <w:spacing w:before="43"/>
              <w:ind w:left="114" w:right="109"/>
              <w:rPr>
                <w:sz w:val="20"/>
              </w:rPr>
            </w:pPr>
            <w:r>
              <w:rPr>
                <w:sz w:val="20"/>
              </w:rPr>
              <w:t xml:space="preserve">Average ideological distance between any </w:t>
            </w:r>
            <w:r>
              <w:rPr>
                <w:spacing w:val="-7"/>
                <w:sz w:val="20"/>
              </w:rPr>
              <w:t xml:space="preserve">two </w:t>
            </w:r>
            <w:r>
              <w:rPr>
                <w:sz w:val="20"/>
              </w:rPr>
              <w:t xml:space="preserve">members in </w:t>
            </w:r>
            <w:r>
              <w:rPr>
                <w:spacing w:val="-3"/>
                <w:sz w:val="20"/>
              </w:rPr>
              <w:t xml:space="preserve">state </w:t>
            </w:r>
            <w:r>
              <w:rPr>
                <w:sz w:val="20"/>
              </w:rPr>
              <w:t>house</w:t>
            </w:r>
          </w:p>
        </w:tc>
        <w:tc>
          <w:tcPr>
            <w:tcW w:w="1280" w:type="dxa"/>
          </w:tcPr>
          <w:p w14:paraId="32958839" w14:textId="77777777" w:rsidR="0046798B" w:rsidRDefault="0046798B">
            <w:pPr>
              <w:pStyle w:val="TableParagraph"/>
            </w:pPr>
          </w:p>
          <w:p w14:paraId="2D97B6F8" w14:textId="77777777" w:rsidR="0046798B" w:rsidRDefault="0046798B">
            <w:pPr>
              <w:pStyle w:val="TableParagraph"/>
              <w:spacing w:before="9"/>
              <w:rPr>
                <w:sz w:val="31"/>
              </w:rPr>
            </w:pPr>
          </w:p>
          <w:p w14:paraId="30530DC7" w14:textId="77777777" w:rsidR="0046798B" w:rsidRDefault="00903B5C">
            <w:pPr>
              <w:pStyle w:val="TableParagraph"/>
              <w:ind w:left="114"/>
              <w:rPr>
                <w:sz w:val="20"/>
              </w:rPr>
            </w:pPr>
            <w:r>
              <w:rPr>
                <w:sz w:val="20"/>
              </w:rPr>
              <w:t>1993–2016</w:t>
            </w:r>
          </w:p>
        </w:tc>
        <w:tc>
          <w:tcPr>
            <w:tcW w:w="3421" w:type="dxa"/>
          </w:tcPr>
          <w:p w14:paraId="7D446248" w14:textId="77777777" w:rsidR="0046798B" w:rsidRDefault="0046798B">
            <w:pPr>
              <w:pStyle w:val="TableParagraph"/>
              <w:spacing w:before="9"/>
              <w:rPr>
                <w:sz w:val="23"/>
              </w:rPr>
            </w:pPr>
          </w:p>
          <w:p w14:paraId="437B5FF0" w14:textId="77777777" w:rsidR="0046798B" w:rsidRDefault="00903B5C">
            <w:pPr>
              <w:pStyle w:val="TableParagraph"/>
              <w:ind w:left="114" w:right="147"/>
              <w:rPr>
                <w:sz w:val="20"/>
              </w:rPr>
            </w:pPr>
            <w:r>
              <w:rPr>
                <w:sz w:val="20"/>
              </w:rPr>
              <w:t>Average ideological distance between any two members in state house. This is an alternative, party-free, measure of polarization.</w:t>
            </w:r>
          </w:p>
        </w:tc>
        <w:tc>
          <w:tcPr>
            <w:tcW w:w="6477" w:type="dxa"/>
          </w:tcPr>
          <w:p w14:paraId="6F1C56B9" w14:textId="77777777" w:rsidR="0046798B" w:rsidRDefault="0046798B">
            <w:pPr>
              <w:pStyle w:val="TableParagraph"/>
            </w:pPr>
          </w:p>
          <w:p w14:paraId="2D37DD90" w14:textId="77777777" w:rsidR="0046798B" w:rsidRDefault="00903B5C">
            <w:pPr>
              <w:pStyle w:val="TableParagraph"/>
              <w:spacing w:before="135"/>
              <w:ind w:left="114" w:right="423"/>
              <w:rPr>
                <w:sz w:val="20"/>
              </w:rPr>
            </w:pPr>
            <w:r>
              <w:rPr>
                <w:sz w:val="20"/>
              </w:rPr>
              <w:t xml:space="preserve">Shor, Boris and Nolan McCarty. “The Ideological Mapping of American Legislatures.” </w:t>
            </w:r>
            <w:r>
              <w:rPr>
                <w:i/>
                <w:sz w:val="20"/>
              </w:rPr>
              <w:t xml:space="preserve">The American Political Science Review </w:t>
            </w:r>
            <w:r>
              <w:rPr>
                <w:sz w:val="20"/>
              </w:rPr>
              <w:t>105.3 (2011): 530–</w:t>
            </w:r>
          </w:p>
          <w:p w14:paraId="533B9595" w14:textId="77777777" w:rsidR="0046798B" w:rsidRDefault="00903B5C">
            <w:pPr>
              <w:pStyle w:val="TableParagraph"/>
              <w:ind w:left="114"/>
              <w:rPr>
                <w:sz w:val="20"/>
              </w:rPr>
            </w:pPr>
            <w:r>
              <w:rPr>
                <w:sz w:val="20"/>
              </w:rPr>
              <w:t xml:space="preserve">551. </w:t>
            </w:r>
            <w:hyperlink r:id="rId515">
              <w:r>
                <w:rPr>
                  <w:sz w:val="20"/>
                  <w:u w:val="single"/>
                </w:rPr>
                <w:t>http://americanlegislatures.com/data/</w:t>
              </w:r>
            </w:hyperlink>
          </w:p>
        </w:tc>
      </w:tr>
    </w:tbl>
    <w:p w14:paraId="33CED67B" w14:textId="77777777" w:rsidR="0046798B" w:rsidRDefault="0046798B">
      <w:pPr>
        <w:rPr>
          <w:sz w:val="20"/>
        </w:rPr>
        <w:sectPr w:rsidR="0046798B">
          <w:pgSz w:w="15840" w:h="12240" w:orient="landscape"/>
          <w:pgMar w:top="1220" w:right="300" w:bottom="980" w:left="820" w:header="730" w:footer="787" w:gutter="0"/>
          <w:cols w:space="720"/>
        </w:sectPr>
      </w:pPr>
    </w:p>
    <w:p w14:paraId="2106EC86"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0"/>
        <w:gridCol w:w="3421"/>
        <w:gridCol w:w="6477"/>
      </w:tblGrid>
      <w:tr w:rsidR="0046798B" w14:paraId="2B17E17D" w14:textId="77777777">
        <w:trPr>
          <w:trHeight w:val="1465"/>
        </w:trPr>
        <w:tc>
          <w:tcPr>
            <w:tcW w:w="1711" w:type="dxa"/>
          </w:tcPr>
          <w:p w14:paraId="21ACA13B" w14:textId="77777777" w:rsidR="0046798B" w:rsidRDefault="0046798B">
            <w:pPr>
              <w:pStyle w:val="TableParagraph"/>
            </w:pPr>
          </w:p>
          <w:p w14:paraId="76B21206" w14:textId="77777777" w:rsidR="0046798B" w:rsidRDefault="0046798B">
            <w:pPr>
              <w:pStyle w:val="TableParagraph"/>
              <w:spacing w:before="9"/>
              <w:rPr>
                <w:sz w:val="31"/>
              </w:rPr>
            </w:pPr>
          </w:p>
          <w:p w14:paraId="286A55DC" w14:textId="77777777" w:rsidR="0046798B" w:rsidRDefault="00903B5C">
            <w:pPr>
              <w:pStyle w:val="TableParagraph"/>
              <w:ind w:left="115"/>
              <w:rPr>
                <w:b/>
                <w:sz w:val="20"/>
              </w:rPr>
            </w:pPr>
            <w:r>
              <w:rPr>
                <w:b/>
                <w:sz w:val="20"/>
              </w:rPr>
              <w:t>s_distance</w:t>
            </w:r>
          </w:p>
        </w:tc>
        <w:tc>
          <w:tcPr>
            <w:tcW w:w="1596" w:type="dxa"/>
          </w:tcPr>
          <w:p w14:paraId="126C9F22" w14:textId="77777777" w:rsidR="0046798B" w:rsidRDefault="00903B5C">
            <w:pPr>
              <w:pStyle w:val="TableParagraph"/>
              <w:spacing w:before="43"/>
              <w:ind w:left="114" w:right="109"/>
              <w:rPr>
                <w:sz w:val="20"/>
              </w:rPr>
            </w:pPr>
            <w:r>
              <w:rPr>
                <w:sz w:val="20"/>
              </w:rPr>
              <w:t xml:space="preserve">Average ideological distance between any </w:t>
            </w:r>
            <w:r>
              <w:rPr>
                <w:spacing w:val="-7"/>
                <w:sz w:val="20"/>
              </w:rPr>
              <w:t xml:space="preserve">two </w:t>
            </w:r>
            <w:r>
              <w:rPr>
                <w:sz w:val="20"/>
              </w:rPr>
              <w:t xml:space="preserve">members in </w:t>
            </w:r>
            <w:r>
              <w:rPr>
                <w:spacing w:val="-3"/>
                <w:sz w:val="20"/>
              </w:rPr>
              <w:t xml:space="preserve">state </w:t>
            </w:r>
            <w:r>
              <w:rPr>
                <w:sz w:val="20"/>
              </w:rPr>
              <w:t>senate</w:t>
            </w:r>
          </w:p>
        </w:tc>
        <w:tc>
          <w:tcPr>
            <w:tcW w:w="1280" w:type="dxa"/>
          </w:tcPr>
          <w:p w14:paraId="6C219665" w14:textId="77777777" w:rsidR="0046798B" w:rsidRDefault="0046798B">
            <w:pPr>
              <w:pStyle w:val="TableParagraph"/>
            </w:pPr>
          </w:p>
          <w:p w14:paraId="5F937FA0" w14:textId="77777777" w:rsidR="0046798B" w:rsidRDefault="0046798B">
            <w:pPr>
              <w:pStyle w:val="TableParagraph"/>
              <w:spacing w:before="9"/>
              <w:rPr>
                <w:sz w:val="31"/>
              </w:rPr>
            </w:pPr>
          </w:p>
          <w:p w14:paraId="3893FC5C" w14:textId="77777777" w:rsidR="0046798B" w:rsidRDefault="00903B5C">
            <w:pPr>
              <w:pStyle w:val="TableParagraph"/>
              <w:ind w:left="114"/>
              <w:rPr>
                <w:sz w:val="20"/>
              </w:rPr>
            </w:pPr>
            <w:r>
              <w:rPr>
                <w:sz w:val="20"/>
              </w:rPr>
              <w:t>1993–2016</w:t>
            </w:r>
          </w:p>
        </w:tc>
        <w:tc>
          <w:tcPr>
            <w:tcW w:w="3421" w:type="dxa"/>
          </w:tcPr>
          <w:p w14:paraId="20452A18" w14:textId="77777777" w:rsidR="0046798B" w:rsidRDefault="0046798B">
            <w:pPr>
              <w:pStyle w:val="TableParagraph"/>
              <w:spacing w:before="9"/>
              <w:rPr>
                <w:sz w:val="23"/>
              </w:rPr>
            </w:pPr>
          </w:p>
          <w:p w14:paraId="186C97F0" w14:textId="77777777" w:rsidR="0046798B" w:rsidRDefault="00903B5C">
            <w:pPr>
              <w:pStyle w:val="TableParagraph"/>
              <w:ind w:left="114" w:right="139"/>
              <w:rPr>
                <w:sz w:val="20"/>
              </w:rPr>
            </w:pPr>
            <w:r>
              <w:rPr>
                <w:sz w:val="20"/>
              </w:rPr>
              <w:t>Average ideological distance between any two members in state senate. This is an alternative, party-free, measure of polarization.</w:t>
            </w:r>
          </w:p>
        </w:tc>
        <w:tc>
          <w:tcPr>
            <w:tcW w:w="6477" w:type="dxa"/>
          </w:tcPr>
          <w:p w14:paraId="190D9507" w14:textId="77777777" w:rsidR="0046798B" w:rsidRDefault="0046798B">
            <w:pPr>
              <w:pStyle w:val="TableParagraph"/>
            </w:pPr>
          </w:p>
          <w:p w14:paraId="391AE1EB" w14:textId="77777777" w:rsidR="0046798B" w:rsidRDefault="00903B5C">
            <w:pPr>
              <w:pStyle w:val="TableParagraph"/>
              <w:spacing w:before="135"/>
              <w:ind w:left="114" w:right="423"/>
              <w:rPr>
                <w:sz w:val="20"/>
              </w:rPr>
            </w:pPr>
            <w:r>
              <w:rPr>
                <w:sz w:val="20"/>
              </w:rPr>
              <w:t xml:space="preserve">Shor, Boris and Nolan McCarty. “The Ideological Mapping of American Legislatures.” </w:t>
            </w:r>
            <w:r>
              <w:rPr>
                <w:i/>
                <w:sz w:val="20"/>
              </w:rPr>
              <w:t xml:space="preserve">The American Political Science Review </w:t>
            </w:r>
            <w:r>
              <w:rPr>
                <w:sz w:val="20"/>
              </w:rPr>
              <w:t>105.3 (2011): 530–</w:t>
            </w:r>
          </w:p>
          <w:p w14:paraId="5759CCEF" w14:textId="77777777" w:rsidR="0046798B" w:rsidRDefault="00903B5C">
            <w:pPr>
              <w:pStyle w:val="TableParagraph"/>
              <w:ind w:left="114"/>
              <w:rPr>
                <w:sz w:val="20"/>
              </w:rPr>
            </w:pPr>
            <w:r>
              <w:rPr>
                <w:sz w:val="20"/>
              </w:rPr>
              <w:t xml:space="preserve">551. </w:t>
            </w:r>
            <w:hyperlink r:id="rId516">
              <w:r>
                <w:rPr>
                  <w:sz w:val="20"/>
                  <w:u w:val="single"/>
                </w:rPr>
                <w:t>http://americanlegislatures.com/data/</w:t>
              </w:r>
            </w:hyperlink>
          </w:p>
        </w:tc>
      </w:tr>
      <w:tr w:rsidR="0046798B" w14:paraId="5DDF1D12" w14:textId="77777777">
        <w:trPr>
          <w:trHeight w:val="1005"/>
        </w:trPr>
        <w:tc>
          <w:tcPr>
            <w:tcW w:w="1711" w:type="dxa"/>
          </w:tcPr>
          <w:p w14:paraId="4E324B21" w14:textId="77777777" w:rsidR="0046798B" w:rsidRDefault="0046798B">
            <w:pPr>
              <w:pStyle w:val="TableParagraph"/>
            </w:pPr>
          </w:p>
          <w:p w14:paraId="7A791F34" w14:textId="77777777" w:rsidR="0046798B" w:rsidRDefault="00903B5C">
            <w:pPr>
              <w:pStyle w:val="TableParagraph"/>
              <w:spacing w:before="136"/>
              <w:ind w:left="115"/>
              <w:rPr>
                <w:b/>
                <w:sz w:val="20"/>
              </w:rPr>
            </w:pPr>
            <w:r>
              <w:rPr>
                <w:b/>
                <w:sz w:val="20"/>
              </w:rPr>
              <w:t>h_dem_sd</w:t>
            </w:r>
          </w:p>
        </w:tc>
        <w:tc>
          <w:tcPr>
            <w:tcW w:w="1596" w:type="dxa"/>
          </w:tcPr>
          <w:p w14:paraId="13AF1584" w14:textId="77777777" w:rsidR="0046798B" w:rsidRDefault="00903B5C">
            <w:pPr>
              <w:pStyle w:val="TableParagraph"/>
              <w:spacing w:before="44"/>
              <w:ind w:left="114" w:right="158"/>
              <w:rPr>
                <w:sz w:val="20"/>
              </w:rPr>
            </w:pPr>
            <w:r>
              <w:rPr>
                <w:sz w:val="20"/>
              </w:rPr>
              <w:t>Democratic party heterogeneity in state house</w:t>
            </w:r>
          </w:p>
        </w:tc>
        <w:tc>
          <w:tcPr>
            <w:tcW w:w="1280" w:type="dxa"/>
          </w:tcPr>
          <w:p w14:paraId="3ED913BD" w14:textId="77777777" w:rsidR="0046798B" w:rsidRDefault="0046798B">
            <w:pPr>
              <w:pStyle w:val="TableParagraph"/>
            </w:pPr>
          </w:p>
          <w:p w14:paraId="28D708A3" w14:textId="77777777" w:rsidR="0046798B" w:rsidRDefault="00903B5C">
            <w:pPr>
              <w:pStyle w:val="TableParagraph"/>
              <w:spacing w:before="136"/>
              <w:ind w:left="114"/>
              <w:rPr>
                <w:sz w:val="20"/>
              </w:rPr>
            </w:pPr>
            <w:r>
              <w:rPr>
                <w:sz w:val="20"/>
              </w:rPr>
              <w:t>1993–2016</w:t>
            </w:r>
          </w:p>
        </w:tc>
        <w:tc>
          <w:tcPr>
            <w:tcW w:w="3421" w:type="dxa"/>
          </w:tcPr>
          <w:p w14:paraId="5C7319EC" w14:textId="77777777" w:rsidR="0046798B" w:rsidRDefault="0046798B">
            <w:pPr>
              <w:pStyle w:val="TableParagraph"/>
              <w:spacing w:before="9"/>
              <w:rPr>
                <w:sz w:val="23"/>
              </w:rPr>
            </w:pPr>
          </w:p>
          <w:p w14:paraId="46B6623A" w14:textId="77777777" w:rsidR="0046798B" w:rsidRDefault="00903B5C">
            <w:pPr>
              <w:pStyle w:val="TableParagraph"/>
              <w:ind w:left="114" w:right="122"/>
              <w:rPr>
                <w:sz w:val="20"/>
              </w:rPr>
            </w:pPr>
            <w:r>
              <w:rPr>
                <w:sz w:val="20"/>
              </w:rPr>
              <w:t>Democratic party heterogeneity in state house</w:t>
            </w:r>
          </w:p>
        </w:tc>
        <w:tc>
          <w:tcPr>
            <w:tcW w:w="6477" w:type="dxa"/>
          </w:tcPr>
          <w:p w14:paraId="5DE32FB3" w14:textId="77777777" w:rsidR="0046798B" w:rsidRDefault="00903B5C">
            <w:pPr>
              <w:pStyle w:val="TableParagraph"/>
              <w:spacing w:before="159"/>
              <w:ind w:left="114" w:right="423"/>
              <w:rPr>
                <w:sz w:val="20"/>
              </w:rPr>
            </w:pPr>
            <w:r>
              <w:rPr>
                <w:sz w:val="20"/>
              </w:rPr>
              <w:t xml:space="preserve">Shor, Boris and Nolan McCarty. “The Ideological Mapping of American Legislatures.” </w:t>
            </w:r>
            <w:r>
              <w:rPr>
                <w:i/>
                <w:sz w:val="20"/>
              </w:rPr>
              <w:t xml:space="preserve">The American Political Science Review </w:t>
            </w:r>
            <w:r>
              <w:rPr>
                <w:sz w:val="20"/>
              </w:rPr>
              <w:t>105.3 (2011): 530–</w:t>
            </w:r>
          </w:p>
          <w:p w14:paraId="6FA9BDB1" w14:textId="77777777" w:rsidR="0046798B" w:rsidRDefault="00903B5C">
            <w:pPr>
              <w:pStyle w:val="TableParagraph"/>
              <w:ind w:left="114"/>
              <w:rPr>
                <w:sz w:val="20"/>
              </w:rPr>
            </w:pPr>
            <w:r>
              <w:rPr>
                <w:sz w:val="20"/>
              </w:rPr>
              <w:t xml:space="preserve">551. </w:t>
            </w:r>
            <w:hyperlink r:id="rId517">
              <w:r>
                <w:rPr>
                  <w:sz w:val="20"/>
                  <w:u w:val="single"/>
                </w:rPr>
                <w:t>http://americanlegislatures.com/data/</w:t>
              </w:r>
            </w:hyperlink>
          </w:p>
        </w:tc>
      </w:tr>
      <w:tr w:rsidR="0046798B" w14:paraId="32CEDBE5" w14:textId="77777777">
        <w:trPr>
          <w:trHeight w:val="1010"/>
        </w:trPr>
        <w:tc>
          <w:tcPr>
            <w:tcW w:w="1711" w:type="dxa"/>
          </w:tcPr>
          <w:p w14:paraId="536B196C" w14:textId="77777777" w:rsidR="0046798B" w:rsidRDefault="0046798B">
            <w:pPr>
              <w:pStyle w:val="TableParagraph"/>
            </w:pPr>
          </w:p>
          <w:p w14:paraId="4EBB34ED" w14:textId="77777777" w:rsidR="0046798B" w:rsidRDefault="00903B5C">
            <w:pPr>
              <w:pStyle w:val="TableParagraph"/>
              <w:spacing w:before="135"/>
              <w:ind w:left="115"/>
              <w:rPr>
                <w:b/>
                <w:sz w:val="20"/>
              </w:rPr>
            </w:pPr>
            <w:r>
              <w:rPr>
                <w:b/>
                <w:sz w:val="20"/>
              </w:rPr>
              <w:t>s_dem_sd</w:t>
            </w:r>
          </w:p>
        </w:tc>
        <w:tc>
          <w:tcPr>
            <w:tcW w:w="1596" w:type="dxa"/>
          </w:tcPr>
          <w:p w14:paraId="7EEA4920" w14:textId="77777777" w:rsidR="0046798B" w:rsidRDefault="00903B5C">
            <w:pPr>
              <w:pStyle w:val="TableParagraph"/>
              <w:spacing w:before="43"/>
              <w:ind w:left="114" w:right="158"/>
              <w:rPr>
                <w:sz w:val="20"/>
              </w:rPr>
            </w:pPr>
            <w:r>
              <w:rPr>
                <w:sz w:val="20"/>
              </w:rPr>
              <w:t>Democratic party heterogeneity in state senate</w:t>
            </w:r>
          </w:p>
        </w:tc>
        <w:tc>
          <w:tcPr>
            <w:tcW w:w="1280" w:type="dxa"/>
          </w:tcPr>
          <w:p w14:paraId="7D045971" w14:textId="77777777" w:rsidR="0046798B" w:rsidRDefault="0046798B">
            <w:pPr>
              <w:pStyle w:val="TableParagraph"/>
            </w:pPr>
          </w:p>
          <w:p w14:paraId="2AE837F7" w14:textId="77777777" w:rsidR="0046798B" w:rsidRDefault="00903B5C">
            <w:pPr>
              <w:pStyle w:val="TableParagraph"/>
              <w:spacing w:before="135"/>
              <w:ind w:left="114"/>
              <w:rPr>
                <w:sz w:val="20"/>
              </w:rPr>
            </w:pPr>
            <w:r>
              <w:rPr>
                <w:sz w:val="20"/>
              </w:rPr>
              <w:t>1993–2016</w:t>
            </w:r>
          </w:p>
        </w:tc>
        <w:tc>
          <w:tcPr>
            <w:tcW w:w="3421" w:type="dxa"/>
          </w:tcPr>
          <w:p w14:paraId="29B7D892" w14:textId="77777777" w:rsidR="0046798B" w:rsidRDefault="0046798B">
            <w:pPr>
              <w:pStyle w:val="TableParagraph"/>
              <w:spacing w:before="9"/>
              <w:rPr>
                <w:sz w:val="23"/>
              </w:rPr>
            </w:pPr>
          </w:p>
          <w:p w14:paraId="0CFC2AB7" w14:textId="77777777" w:rsidR="0046798B" w:rsidRDefault="00903B5C">
            <w:pPr>
              <w:pStyle w:val="TableParagraph"/>
              <w:ind w:left="114" w:right="122"/>
              <w:rPr>
                <w:sz w:val="20"/>
              </w:rPr>
            </w:pPr>
            <w:r>
              <w:rPr>
                <w:sz w:val="20"/>
              </w:rPr>
              <w:t>Democratic party heterogeneity in state senate</w:t>
            </w:r>
          </w:p>
        </w:tc>
        <w:tc>
          <w:tcPr>
            <w:tcW w:w="6477" w:type="dxa"/>
          </w:tcPr>
          <w:p w14:paraId="40FF6182" w14:textId="77777777" w:rsidR="0046798B" w:rsidRDefault="00903B5C">
            <w:pPr>
              <w:pStyle w:val="TableParagraph"/>
              <w:spacing w:before="158"/>
              <w:ind w:left="114" w:right="423"/>
              <w:rPr>
                <w:sz w:val="20"/>
              </w:rPr>
            </w:pPr>
            <w:r>
              <w:rPr>
                <w:sz w:val="20"/>
              </w:rPr>
              <w:t xml:space="preserve">Shor, Boris and Nolan McCarty. “The Ideological Mapping of American Legislatures.” </w:t>
            </w:r>
            <w:r>
              <w:rPr>
                <w:i/>
                <w:sz w:val="20"/>
              </w:rPr>
              <w:t xml:space="preserve">The American Political Science Review </w:t>
            </w:r>
            <w:r>
              <w:rPr>
                <w:sz w:val="20"/>
              </w:rPr>
              <w:t>105.3 (2011): 530–</w:t>
            </w:r>
          </w:p>
          <w:p w14:paraId="204C8674" w14:textId="77777777" w:rsidR="0046798B" w:rsidRDefault="00903B5C">
            <w:pPr>
              <w:pStyle w:val="TableParagraph"/>
              <w:ind w:left="114"/>
              <w:rPr>
                <w:sz w:val="20"/>
              </w:rPr>
            </w:pPr>
            <w:r>
              <w:rPr>
                <w:sz w:val="20"/>
              </w:rPr>
              <w:t xml:space="preserve">551. </w:t>
            </w:r>
            <w:hyperlink r:id="rId518">
              <w:r>
                <w:rPr>
                  <w:sz w:val="20"/>
                  <w:u w:val="single"/>
                </w:rPr>
                <w:t>http://americanlegislatures.com/data/</w:t>
              </w:r>
            </w:hyperlink>
          </w:p>
        </w:tc>
      </w:tr>
      <w:tr w:rsidR="0046798B" w14:paraId="1D82C099" w14:textId="77777777">
        <w:trPr>
          <w:trHeight w:val="1005"/>
        </w:trPr>
        <w:tc>
          <w:tcPr>
            <w:tcW w:w="1711" w:type="dxa"/>
          </w:tcPr>
          <w:p w14:paraId="44D6AC2B" w14:textId="77777777" w:rsidR="0046798B" w:rsidRDefault="0046798B">
            <w:pPr>
              <w:pStyle w:val="TableParagraph"/>
            </w:pPr>
          </w:p>
          <w:p w14:paraId="7A97CE80" w14:textId="77777777" w:rsidR="0046798B" w:rsidRDefault="00903B5C">
            <w:pPr>
              <w:pStyle w:val="TableParagraph"/>
              <w:spacing w:before="130"/>
              <w:ind w:left="115"/>
              <w:rPr>
                <w:b/>
                <w:sz w:val="20"/>
              </w:rPr>
            </w:pPr>
            <w:r>
              <w:rPr>
                <w:b/>
                <w:sz w:val="20"/>
              </w:rPr>
              <w:t>h_rep_sd</w:t>
            </w:r>
          </w:p>
        </w:tc>
        <w:tc>
          <w:tcPr>
            <w:tcW w:w="1596" w:type="dxa"/>
          </w:tcPr>
          <w:p w14:paraId="2CD9FF62" w14:textId="77777777" w:rsidR="0046798B" w:rsidRDefault="00903B5C">
            <w:pPr>
              <w:pStyle w:val="TableParagraph"/>
              <w:spacing w:before="38"/>
              <w:ind w:left="114" w:right="158"/>
              <w:rPr>
                <w:sz w:val="20"/>
              </w:rPr>
            </w:pPr>
            <w:r>
              <w:rPr>
                <w:sz w:val="20"/>
              </w:rPr>
              <w:t>Republican party heterogeneity in state house</w:t>
            </w:r>
          </w:p>
        </w:tc>
        <w:tc>
          <w:tcPr>
            <w:tcW w:w="1280" w:type="dxa"/>
          </w:tcPr>
          <w:p w14:paraId="4227283F" w14:textId="77777777" w:rsidR="0046798B" w:rsidRDefault="0046798B">
            <w:pPr>
              <w:pStyle w:val="TableParagraph"/>
            </w:pPr>
          </w:p>
          <w:p w14:paraId="733FC3F6" w14:textId="77777777" w:rsidR="0046798B" w:rsidRDefault="00903B5C">
            <w:pPr>
              <w:pStyle w:val="TableParagraph"/>
              <w:spacing w:before="130"/>
              <w:ind w:left="114"/>
              <w:rPr>
                <w:sz w:val="20"/>
              </w:rPr>
            </w:pPr>
            <w:r>
              <w:rPr>
                <w:sz w:val="20"/>
              </w:rPr>
              <w:t>1993–2016</w:t>
            </w:r>
          </w:p>
        </w:tc>
        <w:tc>
          <w:tcPr>
            <w:tcW w:w="3421" w:type="dxa"/>
          </w:tcPr>
          <w:p w14:paraId="704DB4B7" w14:textId="77777777" w:rsidR="0046798B" w:rsidRDefault="0046798B">
            <w:pPr>
              <w:pStyle w:val="TableParagraph"/>
              <w:spacing w:before="3"/>
              <w:rPr>
                <w:sz w:val="23"/>
              </w:rPr>
            </w:pPr>
          </w:p>
          <w:p w14:paraId="701AD686" w14:textId="77777777" w:rsidR="0046798B" w:rsidRDefault="00903B5C">
            <w:pPr>
              <w:pStyle w:val="TableParagraph"/>
              <w:spacing w:before="1"/>
              <w:ind w:left="114" w:right="144"/>
              <w:rPr>
                <w:sz w:val="20"/>
              </w:rPr>
            </w:pPr>
            <w:r>
              <w:rPr>
                <w:sz w:val="20"/>
              </w:rPr>
              <w:t>Republican party heterogeneity in state house</w:t>
            </w:r>
          </w:p>
        </w:tc>
        <w:tc>
          <w:tcPr>
            <w:tcW w:w="6477" w:type="dxa"/>
          </w:tcPr>
          <w:p w14:paraId="50A4D13C" w14:textId="77777777" w:rsidR="0046798B" w:rsidRDefault="00903B5C">
            <w:pPr>
              <w:pStyle w:val="TableParagraph"/>
              <w:spacing w:before="153"/>
              <w:ind w:left="114" w:right="423"/>
              <w:rPr>
                <w:sz w:val="20"/>
              </w:rPr>
            </w:pPr>
            <w:r>
              <w:rPr>
                <w:sz w:val="20"/>
              </w:rPr>
              <w:t xml:space="preserve">Shor, Boris and Nolan McCarty. “The Ideological Mapping of American Legislatures.” </w:t>
            </w:r>
            <w:r>
              <w:rPr>
                <w:i/>
                <w:sz w:val="20"/>
              </w:rPr>
              <w:t xml:space="preserve">The American Political Science Review </w:t>
            </w:r>
            <w:r>
              <w:rPr>
                <w:sz w:val="20"/>
              </w:rPr>
              <w:t>105.3 (2011): 530–</w:t>
            </w:r>
          </w:p>
          <w:p w14:paraId="5DFBBCB1" w14:textId="77777777" w:rsidR="0046798B" w:rsidRDefault="00903B5C">
            <w:pPr>
              <w:pStyle w:val="TableParagraph"/>
              <w:ind w:left="114"/>
              <w:rPr>
                <w:sz w:val="20"/>
              </w:rPr>
            </w:pPr>
            <w:r>
              <w:rPr>
                <w:sz w:val="20"/>
              </w:rPr>
              <w:t xml:space="preserve">551. </w:t>
            </w:r>
            <w:hyperlink r:id="rId519">
              <w:r>
                <w:rPr>
                  <w:sz w:val="20"/>
                  <w:u w:val="single"/>
                </w:rPr>
                <w:t>http://americanlegislatures.com/data/</w:t>
              </w:r>
            </w:hyperlink>
          </w:p>
        </w:tc>
      </w:tr>
      <w:tr w:rsidR="0046798B" w14:paraId="46625C80" w14:textId="77777777">
        <w:trPr>
          <w:trHeight w:val="1005"/>
        </w:trPr>
        <w:tc>
          <w:tcPr>
            <w:tcW w:w="1711" w:type="dxa"/>
          </w:tcPr>
          <w:p w14:paraId="3C236F72" w14:textId="77777777" w:rsidR="0046798B" w:rsidRDefault="0046798B">
            <w:pPr>
              <w:pStyle w:val="TableParagraph"/>
            </w:pPr>
          </w:p>
          <w:p w14:paraId="3677354B" w14:textId="77777777" w:rsidR="0046798B" w:rsidRDefault="00903B5C">
            <w:pPr>
              <w:pStyle w:val="TableParagraph"/>
              <w:spacing w:before="130"/>
              <w:ind w:left="115"/>
              <w:rPr>
                <w:b/>
                <w:sz w:val="20"/>
              </w:rPr>
            </w:pPr>
            <w:r>
              <w:rPr>
                <w:b/>
                <w:sz w:val="20"/>
              </w:rPr>
              <w:t>s_rep_sd</w:t>
            </w:r>
          </w:p>
        </w:tc>
        <w:tc>
          <w:tcPr>
            <w:tcW w:w="1596" w:type="dxa"/>
          </w:tcPr>
          <w:p w14:paraId="16443FA9" w14:textId="77777777" w:rsidR="0046798B" w:rsidRDefault="00903B5C">
            <w:pPr>
              <w:pStyle w:val="TableParagraph"/>
              <w:spacing w:before="38"/>
              <w:ind w:left="114" w:right="158"/>
              <w:rPr>
                <w:sz w:val="20"/>
              </w:rPr>
            </w:pPr>
            <w:r>
              <w:rPr>
                <w:sz w:val="20"/>
              </w:rPr>
              <w:t>Republican party heterogeneity in state senate</w:t>
            </w:r>
          </w:p>
        </w:tc>
        <w:tc>
          <w:tcPr>
            <w:tcW w:w="1280" w:type="dxa"/>
          </w:tcPr>
          <w:p w14:paraId="534AFFD3" w14:textId="77777777" w:rsidR="0046798B" w:rsidRDefault="0046798B">
            <w:pPr>
              <w:pStyle w:val="TableParagraph"/>
            </w:pPr>
          </w:p>
          <w:p w14:paraId="7F451BCA" w14:textId="77777777" w:rsidR="0046798B" w:rsidRDefault="00903B5C">
            <w:pPr>
              <w:pStyle w:val="TableParagraph"/>
              <w:spacing w:before="130"/>
              <w:ind w:left="114"/>
              <w:rPr>
                <w:sz w:val="20"/>
              </w:rPr>
            </w:pPr>
            <w:r>
              <w:rPr>
                <w:sz w:val="20"/>
              </w:rPr>
              <w:t>1993–2016</w:t>
            </w:r>
          </w:p>
        </w:tc>
        <w:tc>
          <w:tcPr>
            <w:tcW w:w="3421" w:type="dxa"/>
          </w:tcPr>
          <w:p w14:paraId="194801EE" w14:textId="77777777" w:rsidR="0046798B" w:rsidRDefault="0046798B">
            <w:pPr>
              <w:pStyle w:val="TableParagraph"/>
              <w:spacing w:before="3"/>
              <w:rPr>
                <w:sz w:val="23"/>
              </w:rPr>
            </w:pPr>
          </w:p>
          <w:p w14:paraId="7A7ED083" w14:textId="77777777" w:rsidR="0046798B" w:rsidRDefault="00903B5C">
            <w:pPr>
              <w:pStyle w:val="TableParagraph"/>
              <w:spacing w:before="1"/>
              <w:ind w:left="114" w:right="144"/>
              <w:rPr>
                <w:sz w:val="20"/>
              </w:rPr>
            </w:pPr>
            <w:r>
              <w:rPr>
                <w:sz w:val="20"/>
              </w:rPr>
              <w:t>Republican party heterogeneity in state senate</w:t>
            </w:r>
          </w:p>
        </w:tc>
        <w:tc>
          <w:tcPr>
            <w:tcW w:w="6477" w:type="dxa"/>
          </w:tcPr>
          <w:p w14:paraId="6E12359C" w14:textId="77777777" w:rsidR="0046798B" w:rsidRDefault="00903B5C">
            <w:pPr>
              <w:pStyle w:val="TableParagraph"/>
              <w:spacing w:before="153"/>
              <w:ind w:left="114" w:right="423"/>
              <w:rPr>
                <w:sz w:val="20"/>
              </w:rPr>
            </w:pPr>
            <w:r>
              <w:rPr>
                <w:sz w:val="20"/>
              </w:rPr>
              <w:t xml:space="preserve">Shor, Boris and Nolan McCarty. “The Ideological Mapping of American Legislatures.” </w:t>
            </w:r>
            <w:r>
              <w:rPr>
                <w:i/>
                <w:sz w:val="20"/>
              </w:rPr>
              <w:t xml:space="preserve">The American Political Science Review </w:t>
            </w:r>
            <w:r>
              <w:rPr>
                <w:sz w:val="20"/>
              </w:rPr>
              <w:t>105.3 (2011): 530–</w:t>
            </w:r>
          </w:p>
          <w:p w14:paraId="4B9FA3F9" w14:textId="77777777" w:rsidR="0046798B" w:rsidRDefault="00903B5C">
            <w:pPr>
              <w:pStyle w:val="TableParagraph"/>
              <w:spacing w:before="1"/>
              <w:ind w:left="114"/>
              <w:rPr>
                <w:sz w:val="20"/>
              </w:rPr>
            </w:pPr>
            <w:r>
              <w:rPr>
                <w:sz w:val="20"/>
              </w:rPr>
              <w:t xml:space="preserve">551. </w:t>
            </w:r>
            <w:hyperlink r:id="rId520">
              <w:r>
                <w:rPr>
                  <w:sz w:val="20"/>
                  <w:u w:val="single"/>
                </w:rPr>
                <w:t>http://americanlegislatures.com/data/</w:t>
              </w:r>
            </w:hyperlink>
          </w:p>
        </w:tc>
      </w:tr>
      <w:tr w:rsidR="0046798B" w14:paraId="6663A570" w14:textId="77777777">
        <w:trPr>
          <w:trHeight w:val="775"/>
        </w:trPr>
        <w:tc>
          <w:tcPr>
            <w:tcW w:w="1711" w:type="dxa"/>
          </w:tcPr>
          <w:p w14:paraId="46837A8F" w14:textId="77777777" w:rsidR="0046798B" w:rsidRDefault="0046798B">
            <w:pPr>
              <w:pStyle w:val="TableParagraph"/>
              <w:spacing w:before="8"/>
              <w:rPr>
                <w:sz w:val="23"/>
              </w:rPr>
            </w:pPr>
          </w:p>
          <w:p w14:paraId="3D01948B" w14:textId="77777777" w:rsidR="0046798B" w:rsidRDefault="00903B5C">
            <w:pPr>
              <w:pStyle w:val="TableParagraph"/>
              <w:spacing w:before="1"/>
              <w:ind w:left="115"/>
              <w:rPr>
                <w:b/>
                <w:sz w:val="20"/>
              </w:rPr>
            </w:pPr>
            <w:r>
              <w:rPr>
                <w:b/>
                <w:sz w:val="20"/>
              </w:rPr>
              <w:t>h_chamber_sd</w:t>
            </w:r>
          </w:p>
        </w:tc>
        <w:tc>
          <w:tcPr>
            <w:tcW w:w="1596" w:type="dxa"/>
          </w:tcPr>
          <w:p w14:paraId="00AC751D" w14:textId="77777777" w:rsidR="0046798B" w:rsidRDefault="00903B5C">
            <w:pPr>
              <w:pStyle w:val="TableParagraph"/>
              <w:spacing w:before="45" w:line="237" w:lineRule="auto"/>
              <w:ind w:left="114" w:right="363"/>
              <w:rPr>
                <w:sz w:val="20"/>
              </w:rPr>
            </w:pPr>
            <w:r>
              <w:rPr>
                <w:sz w:val="20"/>
              </w:rPr>
              <w:t>State house ideological heterogeneity</w:t>
            </w:r>
          </w:p>
        </w:tc>
        <w:tc>
          <w:tcPr>
            <w:tcW w:w="1280" w:type="dxa"/>
          </w:tcPr>
          <w:p w14:paraId="73157A20" w14:textId="77777777" w:rsidR="0046798B" w:rsidRDefault="0046798B">
            <w:pPr>
              <w:pStyle w:val="TableParagraph"/>
              <w:spacing w:before="8"/>
              <w:rPr>
                <w:sz w:val="23"/>
              </w:rPr>
            </w:pPr>
          </w:p>
          <w:p w14:paraId="19FB1E5B" w14:textId="77777777" w:rsidR="0046798B" w:rsidRDefault="00903B5C">
            <w:pPr>
              <w:pStyle w:val="TableParagraph"/>
              <w:spacing w:before="1"/>
              <w:ind w:left="114"/>
              <w:rPr>
                <w:sz w:val="20"/>
              </w:rPr>
            </w:pPr>
            <w:r>
              <w:rPr>
                <w:sz w:val="20"/>
              </w:rPr>
              <w:t>1993–2016</w:t>
            </w:r>
          </w:p>
        </w:tc>
        <w:tc>
          <w:tcPr>
            <w:tcW w:w="3421" w:type="dxa"/>
          </w:tcPr>
          <w:p w14:paraId="51C84A52" w14:textId="77777777" w:rsidR="0046798B" w:rsidRDefault="0046798B">
            <w:pPr>
              <w:pStyle w:val="TableParagraph"/>
              <w:spacing w:before="8"/>
              <w:rPr>
                <w:sz w:val="23"/>
              </w:rPr>
            </w:pPr>
          </w:p>
          <w:p w14:paraId="0BD80DA6" w14:textId="77777777" w:rsidR="0046798B" w:rsidRDefault="00903B5C">
            <w:pPr>
              <w:pStyle w:val="TableParagraph"/>
              <w:spacing w:before="1"/>
              <w:ind w:left="114"/>
              <w:rPr>
                <w:sz w:val="20"/>
              </w:rPr>
            </w:pPr>
            <w:r>
              <w:rPr>
                <w:sz w:val="20"/>
              </w:rPr>
              <w:t>State house ideological heterogeneity</w:t>
            </w:r>
          </w:p>
        </w:tc>
        <w:tc>
          <w:tcPr>
            <w:tcW w:w="6477" w:type="dxa"/>
          </w:tcPr>
          <w:p w14:paraId="7A905552" w14:textId="77777777" w:rsidR="0046798B" w:rsidRDefault="00903B5C">
            <w:pPr>
              <w:pStyle w:val="TableParagraph"/>
              <w:spacing w:before="43"/>
              <w:ind w:left="114" w:right="423"/>
              <w:rPr>
                <w:sz w:val="20"/>
              </w:rPr>
            </w:pPr>
            <w:r>
              <w:rPr>
                <w:sz w:val="20"/>
              </w:rPr>
              <w:t xml:space="preserve">Shor, Boris and Nolan McCarty. “The Ideological Mapping of American Legislatures.” </w:t>
            </w:r>
            <w:r>
              <w:rPr>
                <w:i/>
                <w:sz w:val="20"/>
              </w:rPr>
              <w:t xml:space="preserve">The American Political Science Review </w:t>
            </w:r>
            <w:r>
              <w:rPr>
                <w:sz w:val="20"/>
              </w:rPr>
              <w:t>105.3 (2011): 530–</w:t>
            </w:r>
          </w:p>
          <w:p w14:paraId="0E261797" w14:textId="77777777" w:rsidR="0046798B" w:rsidRDefault="00903B5C">
            <w:pPr>
              <w:pStyle w:val="TableParagraph"/>
              <w:spacing w:line="225" w:lineRule="exact"/>
              <w:ind w:left="114"/>
              <w:rPr>
                <w:sz w:val="20"/>
              </w:rPr>
            </w:pPr>
            <w:r>
              <w:rPr>
                <w:sz w:val="20"/>
              </w:rPr>
              <w:t xml:space="preserve">551. </w:t>
            </w:r>
            <w:hyperlink r:id="rId521">
              <w:r>
                <w:rPr>
                  <w:sz w:val="20"/>
                  <w:u w:val="single"/>
                </w:rPr>
                <w:t>http://americanlegislatures.com/data/</w:t>
              </w:r>
            </w:hyperlink>
          </w:p>
        </w:tc>
      </w:tr>
      <w:tr w:rsidR="0046798B" w14:paraId="1B751C8B" w14:textId="77777777">
        <w:trPr>
          <w:trHeight w:val="775"/>
        </w:trPr>
        <w:tc>
          <w:tcPr>
            <w:tcW w:w="1711" w:type="dxa"/>
          </w:tcPr>
          <w:p w14:paraId="17CEB2A0" w14:textId="77777777" w:rsidR="0046798B" w:rsidRDefault="0046798B">
            <w:pPr>
              <w:pStyle w:val="TableParagraph"/>
              <w:spacing w:before="9"/>
              <w:rPr>
                <w:sz w:val="23"/>
              </w:rPr>
            </w:pPr>
          </w:p>
          <w:p w14:paraId="6FA75E0B" w14:textId="77777777" w:rsidR="0046798B" w:rsidRDefault="00903B5C">
            <w:pPr>
              <w:pStyle w:val="TableParagraph"/>
              <w:ind w:left="115"/>
              <w:rPr>
                <w:b/>
                <w:sz w:val="20"/>
              </w:rPr>
            </w:pPr>
            <w:r>
              <w:rPr>
                <w:b/>
                <w:sz w:val="20"/>
              </w:rPr>
              <w:t>s_chamber_sd</w:t>
            </w:r>
          </w:p>
        </w:tc>
        <w:tc>
          <w:tcPr>
            <w:tcW w:w="1596" w:type="dxa"/>
          </w:tcPr>
          <w:p w14:paraId="02CFB580" w14:textId="77777777" w:rsidR="0046798B" w:rsidRDefault="00903B5C">
            <w:pPr>
              <w:pStyle w:val="TableParagraph"/>
              <w:spacing w:before="43"/>
              <w:ind w:left="114" w:right="363"/>
              <w:rPr>
                <w:sz w:val="20"/>
              </w:rPr>
            </w:pPr>
            <w:r>
              <w:rPr>
                <w:sz w:val="20"/>
              </w:rPr>
              <w:t>State senate ideological heterogeneity</w:t>
            </w:r>
          </w:p>
        </w:tc>
        <w:tc>
          <w:tcPr>
            <w:tcW w:w="1280" w:type="dxa"/>
          </w:tcPr>
          <w:p w14:paraId="75729962" w14:textId="77777777" w:rsidR="0046798B" w:rsidRDefault="0046798B">
            <w:pPr>
              <w:pStyle w:val="TableParagraph"/>
              <w:spacing w:before="9"/>
              <w:rPr>
                <w:sz w:val="23"/>
              </w:rPr>
            </w:pPr>
          </w:p>
          <w:p w14:paraId="4873330C" w14:textId="77777777" w:rsidR="0046798B" w:rsidRDefault="00903B5C">
            <w:pPr>
              <w:pStyle w:val="TableParagraph"/>
              <w:ind w:left="114"/>
              <w:rPr>
                <w:sz w:val="20"/>
              </w:rPr>
            </w:pPr>
            <w:r>
              <w:rPr>
                <w:sz w:val="20"/>
              </w:rPr>
              <w:t>1993–2016</w:t>
            </w:r>
          </w:p>
        </w:tc>
        <w:tc>
          <w:tcPr>
            <w:tcW w:w="3421" w:type="dxa"/>
          </w:tcPr>
          <w:p w14:paraId="067A3A3D" w14:textId="77777777" w:rsidR="0046798B" w:rsidRDefault="0046798B">
            <w:pPr>
              <w:pStyle w:val="TableParagraph"/>
              <w:spacing w:before="9"/>
              <w:rPr>
                <w:sz w:val="23"/>
              </w:rPr>
            </w:pPr>
          </w:p>
          <w:p w14:paraId="1A18F8B3" w14:textId="77777777" w:rsidR="0046798B" w:rsidRDefault="00903B5C">
            <w:pPr>
              <w:pStyle w:val="TableParagraph"/>
              <w:ind w:left="114"/>
              <w:rPr>
                <w:sz w:val="20"/>
              </w:rPr>
            </w:pPr>
            <w:r>
              <w:rPr>
                <w:sz w:val="20"/>
              </w:rPr>
              <w:t>State senate ideological heterogeneity</w:t>
            </w:r>
          </w:p>
        </w:tc>
        <w:tc>
          <w:tcPr>
            <w:tcW w:w="6477" w:type="dxa"/>
          </w:tcPr>
          <w:p w14:paraId="4B09A9E4" w14:textId="77777777" w:rsidR="0046798B" w:rsidRDefault="00903B5C">
            <w:pPr>
              <w:pStyle w:val="TableParagraph"/>
              <w:spacing w:before="43"/>
              <w:ind w:left="114" w:right="423"/>
              <w:rPr>
                <w:sz w:val="20"/>
              </w:rPr>
            </w:pPr>
            <w:r>
              <w:rPr>
                <w:sz w:val="20"/>
              </w:rPr>
              <w:t xml:space="preserve">Shor, Boris and Nolan McCarty. “The Ideological Mapping of American Legislatures.” </w:t>
            </w:r>
            <w:r>
              <w:rPr>
                <w:i/>
                <w:sz w:val="20"/>
              </w:rPr>
              <w:t xml:space="preserve">The American Political Science Review </w:t>
            </w:r>
            <w:r>
              <w:rPr>
                <w:sz w:val="20"/>
              </w:rPr>
              <w:t>105.3 (2011): 530–</w:t>
            </w:r>
          </w:p>
          <w:p w14:paraId="4CC778E1" w14:textId="77777777" w:rsidR="0046798B" w:rsidRDefault="00903B5C">
            <w:pPr>
              <w:pStyle w:val="TableParagraph"/>
              <w:ind w:left="114"/>
              <w:rPr>
                <w:sz w:val="20"/>
              </w:rPr>
            </w:pPr>
            <w:r>
              <w:rPr>
                <w:sz w:val="20"/>
              </w:rPr>
              <w:t xml:space="preserve">551. </w:t>
            </w:r>
            <w:hyperlink r:id="rId522">
              <w:r>
                <w:rPr>
                  <w:sz w:val="20"/>
                  <w:u w:val="single"/>
                </w:rPr>
                <w:t>http://americanlegislatures.com/data/</w:t>
              </w:r>
            </w:hyperlink>
          </w:p>
        </w:tc>
      </w:tr>
      <w:tr w:rsidR="0046798B" w14:paraId="133F5EB0" w14:textId="77777777">
        <w:trPr>
          <w:trHeight w:val="1235"/>
        </w:trPr>
        <w:tc>
          <w:tcPr>
            <w:tcW w:w="1711" w:type="dxa"/>
          </w:tcPr>
          <w:p w14:paraId="76D4BAF0" w14:textId="77777777" w:rsidR="0046798B" w:rsidRDefault="0046798B">
            <w:pPr>
              <w:pStyle w:val="TableParagraph"/>
            </w:pPr>
          </w:p>
          <w:p w14:paraId="5A147D1A" w14:textId="77777777" w:rsidR="0046798B" w:rsidRDefault="0046798B">
            <w:pPr>
              <w:pStyle w:val="TableParagraph"/>
              <w:spacing w:before="9"/>
              <w:rPr>
                <w:sz w:val="21"/>
              </w:rPr>
            </w:pPr>
          </w:p>
          <w:p w14:paraId="5F102848" w14:textId="77777777" w:rsidR="0046798B" w:rsidRDefault="00903B5C">
            <w:pPr>
              <w:pStyle w:val="TableParagraph"/>
              <w:ind w:left="115"/>
              <w:rPr>
                <w:b/>
                <w:sz w:val="20"/>
              </w:rPr>
            </w:pPr>
            <w:r>
              <w:rPr>
                <w:b/>
                <w:sz w:val="20"/>
              </w:rPr>
              <w:t>hou_dem_error</w:t>
            </w:r>
          </w:p>
        </w:tc>
        <w:tc>
          <w:tcPr>
            <w:tcW w:w="1596" w:type="dxa"/>
          </w:tcPr>
          <w:p w14:paraId="09E64A32" w14:textId="77777777" w:rsidR="0046798B" w:rsidRDefault="00903B5C">
            <w:pPr>
              <w:pStyle w:val="TableParagraph"/>
              <w:spacing w:before="43"/>
              <w:ind w:left="114" w:right="120"/>
              <w:rPr>
                <w:sz w:val="20"/>
              </w:rPr>
            </w:pPr>
            <w:r>
              <w:rPr>
                <w:sz w:val="20"/>
              </w:rPr>
              <w:t xml:space="preserve">Democratic party state </w:t>
            </w:r>
            <w:r>
              <w:rPr>
                <w:spacing w:val="-4"/>
                <w:sz w:val="20"/>
              </w:rPr>
              <w:t xml:space="preserve">house </w:t>
            </w:r>
            <w:r>
              <w:rPr>
                <w:sz w:val="20"/>
              </w:rPr>
              <w:t>ideological median error estimate</w:t>
            </w:r>
          </w:p>
        </w:tc>
        <w:tc>
          <w:tcPr>
            <w:tcW w:w="1280" w:type="dxa"/>
          </w:tcPr>
          <w:p w14:paraId="62B91330" w14:textId="77777777" w:rsidR="0046798B" w:rsidRDefault="0046798B">
            <w:pPr>
              <w:pStyle w:val="TableParagraph"/>
            </w:pPr>
          </w:p>
          <w:p w14:paraId="71220D06" w14:textId="77777777" w:rsidR="0046798B" w:rsidRDefault="0046798B">
            <w:pPr>
              <w:pStyle w:val="TableParagraph"/>
              <w:spacing w:before="9"/>
              <w:rPr>
                <w:sz w:val="21"/>
              </w:rPr>
            </w:pPr>
          </w:p>
          <w:p w14:paraId="425A914C" w14:textId="77777777" w:rsidR="0046798B" w:rsidRDefault="00903B5C">
            <w:pPr>
              <w:pStyle w:val="TableParagraph"/>
              <w:ind w:left="114"/>
              <w:rPr>
                <w:sz w:val="20"/>
              </w:rPr>
            </w:pPr>
            <w:r>
              <w:rPr>
                <w:sz w:val="20"/>
              </w:rPr>
              <w:t>1993–2016</w:t>
            </w:r>
          </w:p>
        </w:tc>
        <w:tc>
          <w:tcPr>
            <w:tcW w:w="3421" w:type="dxa"/>
          </w:tcPr>
          <w:p w14:paraId="2784DCAA" w14:textId="77777777" w:rsidR="0046798B" w:rsidRDefault="0046798B">
            <w:pPr>
              <w:pStyle w:val="TableParagraph"/>
            </w:pPr>
          </w:p>
          <w:p w14:paraId="2F12273F" w14:textId="77777777" w:rsidR="0046798B" w:rsidRDefault="00903B5C">
            <w:pPr>
              <w:pStyle w:val="TableParagraph"/>
              <w:spacing w:before="135"/>
              <w:ind w:left="114" w:right="594"/>
              <w:rPr>
                <w:sz w:val="20"/>
              </w:rPr>
            </w:pPr>
            <w:r>
              <w:rPr>
                <w:sz w:val="20"/>
              </w:rPr>
              <w:t>Democratic party state house ideological median error estimate</w:t>
            </w:r>
          </w:p>
        </w:tc>
        <w:tc>
          <w:tcPr>
            <w:tcW w:w="6477" w:type="dxa"/>
          </w:tcPr>
          <w:p w14:paraId="66786C48" w14:textId="77777777" w:rsidR="0046798B" w:rsidRDefault="0046798B">
            <w:pPr>
              <w:pStyle w:val="TableParagraph"/>
              <w:spacing w:before="8"/>
              <w:rPr>
                <w:sz w:val="23"/>
              </w:rPr>
            </w:pPr>
          </w:p>
          <w:p w14:paraId="34DF028A" w14:textId="77777777" w:rsidR="0046798B" w:rsidRDefault="00903B5C">
            <w:pPr>
              <w:pStyle w:val="TableParagraph"/>
              <w:ind w:left="114" w:right="423"/>
              <w:rPr>
                <w:sz w:val="20"/>
              </w:rPr>
            </w:pPr>
            <w:r>
              <w:rPr>
                <w:sz w:val="20"/>
              </w:rPr>
              <w:t xml:space="preserve">Shor, Boris and Nolan McCarty. “The Ideological Mapping of American Legislatures.” </w:t>
            </w:r>
            <w:r>
              <w:rPr>
                <w:i/>
                <w:sz w:val="20"/>
              </w:rPr>
              <w:t xml:space="preserve">The American Political Science Review </w:t>
            </w:r>
            <w:r>
              <w:rPr>
                <w:sz w:val="20"/>
              </w:rPr>
              <w:t>105.3 (2011): 530–</w:t>
            </w:r>
          </w:p>
          <w:p w14:paraId="6A712FB0" w14:textId="77777777" w:rsidR="0046798B" w:rsidRDefault="00903B5C">
            <w:pPr>
              <w:pStyle w:val="TableParagraph"/>
              <w:spacing w:before="1"/>
              <w:ind w:left="114"/>
              <w:rPr>
                <w:sz w:val="20"/>
              </w:rPr>
            </w:pPr>
            <w:r>
              <w:rPr>
                <w:sz w:val="20"/>
              </w:rPr>
              <w:t xml:space="preserve">551. </w:t>
            </w:r>
            <w:hyperlink r:id="rId523">
              <w:r>
                <w:rPr>
                  <w:sz w:val="20"/>
                  <w:u w:val="single"/>
                </w:rPr>
                <w:t>http://americanlegislatures.com/data/</w:t>
              </w:r>
            </w:hyperlink>
          </w:p>
        </w:tc>
      </w:tr>
      <w:tr w:rsidR="0046798B" w14:paraId="70AF1695" w14:textId="77777777">
        <w:trPr>
          <w:trHeight w:val="780"/>
        </w:trPr>
        <w:tc>
          <w:tcPr>
            <w:tcW w:w="1711" w:type="dxa"/>
          </w:tcPr>
          <w:p w14:paraId="0120410F" w14:textId="77777777" w:rsidR="0046798B" w:rsidRDefault="00903B5C">
            <w:pPr>
              <w:pStyle w:val="TableParagraph"/>
              <w:spacing w:before="158"/>
              <w:ind w:left="115" w:right="110"/>
              <w:rPr>
                <w:b/>
                <w:sz w:val="20"/>
              </w:rPr>
            </w:pPr>
            <w:r>
              <w:rPr>
                <w:b/>
                <w:sz w:val="20"/>
              </w:rPr>
              <w:t>hou_chamber_er ror</w:t>
            </w:r>
          </w:p>
        </w:tc>
        <w:tc>
          <w:tcPr>
            <w:tcW w:w="1596" w:type="dxa"/>
          </w:tcPr>
          <w:p w14:paraId="4D6C9BFD" w14:textId="77777777" w:rsidR="0046798B" w:rsidRDefault="00903B5C">
            <w:pPr>
              <w:pStyle w:val="TableParagraph"/>
              <w:spacing w:before="43"/>
              <w:ind w:left="114" w:right="535"/>
              <w:rPr>
                <w:sz w:val="20"/>
              </w:rPr>
            </w:pPr>
            <w:r>
              <w:rPr>
                <w:sz w:val="20"/>
              </w:rPr>
              <w:t>State house chamber ideological</w:t>
            </w:r>
          </w:p>
        </w:tc>
        <w:tc>
          <w:tcPr>
            <w:tcW w:w="1280" w:type="dxa"/>
          </w:tcPr>
          <w:p w14:paraId="5AA913F3" w14:textId="77777777" w:rsidR="0046798B" w:rsidRDefault="0046798B">
            <w:pPr>
              <w:pStyle w:val="TableParagraph"/>
              <w:spacing w:before="8"/>
              <w:rPr>
                <w:sz w:val="23"/>
              </w:rPr>
            </w:pPr>
          </w:p>
          <w:p w14:paraId="236F2AD2" w14:textId="77777777" w:rsidR="0046798B" w:rsidRDefault="00903B5C">
            <w:pPr>
              <w:pStyle w:val="TableParagraph"/>
              <w:spacing w:before="1"/>
              <w:ind w:left="114"/>
              <w:rPr>
                <w:sz w:val="20"/>
              </w:rPr>
            </w:pPr>
            <w:r>
              <w:rPr>
                <w:sz w:val="20"/>
              </w:rPr>
              <w:t>1993–2016</w:t>
            </w:r>
          </w:p>
        </w:tc>
        <w:tc>
          <w:tcPr>
            <w:tcW w:w="3421" w:type="dxa"/>
          </w:tcPr>
          <w:p w14:paraId="7ACA7016" w14:textId="77777777" w:rsidR="0046798B" w:rsidRDefault="00903B5C">
            <w:pPr>
              <w:pStyle w:val="TableParagraph"/>
              <w:spacing w:before="158"/>
              <w:ind w:left="114" w:right="683"/>
              <w:rPr>
                <w:sz w:val="20"/>
              </w:rPr>
            </w:pPr>
            <w:r>
              <w:rPr>
                <w:sz w:val="20"/>
              </w:rPr>
              <w:t>State house chamber ideological median error estimate</w:t>
            </w:r>
          </w:p>
        </w:tc>
        <w:tc>
          <w:tcPr>
            <w:tcW w:w="6477" w:type="dxa"/>
          </w:tcPr>
          <w:p w14:paraId="433AE5DE" w14:textId="77777777" w:rsidR="0046798B" w:rsidRDefault="00903B5C">
            <w:pPr>
              <w:pStyle w:val="TableParagraph"/>
              <w:spacing w:before="43"/>
              <w:ind w:left="114" w:right="423"/>
              <w:rPr>
                <w:sz w:val="20"/>
              </w:rPr>
            </w:pPr>
            <w:r>
              <w:rPr>
                <w:sz w:val="20"/>
              </w:rPr>
              <w:t xml:space="preserve">Shor, Boris and Nolan McCarty. “The Ideological Mapping of American Legislatures.” </w:t>
            </w:r>
            <w:r>
              <w:rPr>
                <w:i/>
                <w:sz w:val="20"/>
              </w:rPr>
              <w:t xml:space="preserve">The American Political Science Review </w:t>
            </w:r>
            <w:r>
              <w:rPr>
                <w:sz w:val="20"/>
              </w:rPr>
              <w:t>105.3 (2011): 530–</w:t>
            </w:r>
          </w:p>
          <w:p w14:paraId="45914273" w14:textId="77777777" w:rsidR="0046798B" w:rsidRDefault="00903B5C">
            <w:pPr>
              <w:pStyle w:val="TableParagraph"/>
              <w:spacing w:before="1"/>
              <w:ind w:left="114"/>
              <w:rPr>
                <w:sz w:val="20"/>
              </w:rPr>
            </w:pPr>
            <w:r>
              <w:rPr>
                <w:sz w:val="20"/>
              </w:rPr>
              <w:t xml:space="preserve">551. </w:t>
            </w:r>
            <w:hyperlink r:id="rId524">
              <w:r>
                <w:rPr>
                  <w:sz w:val="20"/>
                  <w:u w:val="single"/>
                </w:rPr>
                <w:t>http://americanlegislatures.com/data/</w:t>
              </w:r>
            </w:hyperlink>
          </w:p>
        </w:tc>
      </w:tr>
    </w:tbl>
    <w:p w14:paraId="0802460C" w14:textId="77777777" w:rsidR="0046798B" w:rsidRDefault="0046798B">
      <w:pPr>
        <w:rPr>
          <w:sz w:val="20"/>
        </w:rPr>
        <w:sectPr w:rsidR="0046798B">
          <w:pgSz w:w="15840" w:h="12240" w:orient="landscape"/>
          <w:pgMar w:top="1220" w:right="300" w:bottom="980" w:left="820" w:header="730" w:footer="787" w:gutter="0"/>
          <w:cols w:space="720"/>
        </w:sectPr>
      </w:pPr>
    </w:p>
    <w:p w14:paraId="5A45EDD5"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0"/>
        <w:gridCol w:w="3421"/>
        <w:gridCol w:w="6477"/>
      </w:tblGrid>
      <w:tr w:rsidR="0046798B" w14:paraId="66132224" w14:textId="77777777">
        <w:trPr>
          <w:trHeight w:val="542"/>
        </w:trPr>
        <w:tc>
          <w:tcPr>
            <w:tcW w:w="1711" w:type="dxa"/>
            <w:tcBorders>
              <w:bottom w:val="dotted" w:sz="6" w:space="0" w:color="BEBEBE"/>
            </w:tcBorders>
          </w:tcPr>
          <w:p w14:paraId="47C1FC6A" w14:textId="77777777" w:rsidR="0046798B" w:rsidRDefault="0046798B">
            <w:pPr>
              <w:pStyle w:val="TableParagraph"/>
              <w:rPr>
                <w:sz w:val="20"/>
              </w:rPr>
            </w:pPr>
          </w:p>
        </w:tc>
        <w:tc>
          <w:tcPr>
            <w:tcW w:w="1596" w:type="dxa"/>
            <w:tcBorders>
              <w:bottom w:val="dotted" w:sz="6" w:space="0" w:color="BEBEBE"/>
            </w:tcBorders>
          </w:tcPr>
          <w:p w14:paraId="77FD47E5" w14:textId="77777777" w:rsidR="0046798B" w:rsidRDefault="00903B5C">
            <w:pPr>
              <w:pStyle w:val="TableParagraph"/>
              <w:spacing w:before="43"/>
              <w:ind w:left="114" w:right="424"/>
              <w:rPr>
                <w:sz w:val="20"/>
              </w:rPr>
            </w:pPr>
            <w:r>
              <w:rPr>
                <w:sz w:val="20"/>
              </w:rPr>
              <w:t>median error estimate</w:t>
            </w:r>
          </w:p>
        </w:tc>
        <w:tc>
          <w:tcPr>
            <w:tcW w:w="1280" w:type="dxa"/>
            <w:tcBorders>
              <w:bottom w:val="dotted" w:sz="6" w:space="0" w:color="BEBEBE"/>
            </w:tcBorders>
          </w:tcPr>
          <w:p w14:paraId="4ABC10C8" w14:textId="77777777" w:rsidR="0046798B" w:rsidRDefault="0046798B">
            <w:pPr>
              <w:pStyle w:val="TableParagraph"/>
              <w:rPr>
                <w:sz w:val="20"/>
              </w:rPr>
            </w:pPr>
          </w:p>
        </w:tc>
        <w:tc>
          <w:tcPr>
            <w:tcW w:w="3421" w:type="dxa"/>
            <w:tcBorders>
              <w:bottom w:val="dotted" w:sz="6" w:space="0" w:color="BEBEBE"/>
            </w:tcBorders>
          </w:tcPr>
          <w:p w14:paraId="2BDC9469" w14:textId="77777777" w:rsidR="0046798B" w:rsidRDefault="0046798B">
            <w:pPr>
              <w:pStyle w:val="TableParagraph"/>
              <w:rPr>
                <w:sz w:val="20"/>
              </w:rPr>
            </w:pPr>
          </w:p>
        </w:tc>
        <w:tc>
          <w:tcPr>
            <w:tcW w:w="6477" w:type="dxa"/>
            <w:tcBorders>
              <w:bottom w:val="dotted" w:sz="6" w:space="0" w:color="BEBEBE"/>
            </w:tcBorders>
          </w:tcPr>
          <w:p w14:paraId="48364C1F" w14:textId="77777777" w:rsidR="0046798B" w:rsidRDefault="0046798B">
            <w:pPr>
              <w:pStyle w:val="TableParagraph"/>
              <w:rPr>
                <w:sz w:val="20"/>
              </w:rPr>
            </w:pPr>
          </w:p>
        </w:tc>
      </w:tr>
      <w:tr w:rsidR="0046798B" w14:paraId="67C8FA47" w14:textId="77777777">
        <w:trPr>
          <w:trHeight w:val="1233"/>
        </w:trPr>
        <w:tc>
          <w:tcPr>
            <w:tcW w:w="1711" w:type="dxa"/>
            <w:tcBorders>
              <w:top w:val="dotted" w:sz="6" w:space="0" w:color="BEBEBE"/>
            </w:tcBorders>
          </w:tcPr>
          <w:p w14:paraId="0711B9F7" w14:textId="77777777" w:rsidR="0046798B" w:rsidRDefault="0046798B">
            <w:pPr>
              <w:pStyle w:val="TableParagraph"/>
            </w:pPr>
          </w:p>
          <w:p w14:paraId="4E17E802" w14:textId="77777777" w:rsidR="0046798B" w:rsidRDefault="0046798B">
            <w:pPr>
              <w:pStyle w:val="TableParagraph"/>
              <w:spacing w:before="6"/>
              <w:rPr>
                <w:sz w:val="21"/>
              </w:rPr>
            </w:pPr>
          </w:p>
          <w:p w14:paraId="062C862C" w14:textId="77777777" w:rsidR="0046798B" w:rsidRDefault="00903B5C">
            <w:pPr>
              <w:pStyle w:val="TableParagraph"/>
              <w:ind w:left="115"/>
              <w:rPr>
                <w:b/>
                <w:sz w:val="20"/>
              </w:rPr>
            </w:pPr>
            <w:r>
              <w:rPr>
                <w:b/>
                <w:sz w:val="20"/>
              </w:rPr>
              <w:t>hou_rep_error</w:t>
            </w:r>
          </w:p>
        </w:tc>
        <w:tc>
          <w:tcPr>
            <w:tcW w:w="1596" w:type="dxa"/>
            <w:tcBorders>
              <w:top w:val="dotted" w:sz="6" w:space="0" w:color="BEBEBE"/>
            </w:tcBorders>
          </w:tcPr>
          <w:p w14:paraId="7523F99B" w14:textId="77777777" w:rsidR="0046798B" w:rsidRDefault="00903B5C">
            <w:pPr>
              <w:pStyle w:val="TableParagraph"/>
              <w:spacing w:before="40"/>
              <w:ind w:left="114" w:right="120"/>
              <w:rPr>
                <w:sz w:val="20"/>
              </w:rPr>
            </w:pPr>
            <w:r>
              <w:rPr>
                <w:sz w:val="20"/>
              </w:rPr>
              <w:t xml:space="preserve">Republican party state </w:t>
            </w:r>
            <w:r>
              <w:rPr>
                <w:spacing w:val="-4"/>
                <w:sz w:val="20"/>
              </w:rPr>
              <w:t xml:space="preserve">house </w:t>
            </w:r>
            <w:r>
              <w:rPr>
                <w:sz w:val="20"/>
              </w:rPr>
              <w:t>ideological median error estimate</w:t>
            </w:r>
          </w:p>
        </w:tc>
        <w:tc>
          <w:tcPr>
            <w:tcW w:w="1280" w:type="dxa"/>
            <w:tcBorders>
              <w:top w:val="dotted" w:sz="6" w:space="0" w:color="BEBEBE"/>
            </w:tcBorders>
          </w:tcPr>
          <w:p w14:paraId="002BB549" w14:textId="77777777" w:rsidR="0046798B" w:rsidRDefault="0046798B">
            <w:pPr>
              <w:pStyle w:val="TableParagraph"/>
            </w:pPr>
          </w:p>
          <w:p w14:paraId="27D65C4E" w14:textId="77777777" w:rsidR="0046798B" w:rsidRDefault="0046798B">
            <w:pPr>
              <w:pStyle w:val="TableParagraph"/>
              <w:spacing w:before="6"/>
              <w:rPr>
                <w:sz w:val="21"/>
              </w:rPr>
            </w:pPr>
          </w:p>
          <w:p w14:paraId="659FEB4F" w14:textId="77777777" w:rsidR="0046798B" w:rsidRDefault="00903B5C">
            <w:pPr>
              <w:pStyle w:val="TableParagraph"/>
              <w:ind w:left="114"/>
              <w:rPr>
                <w:sz w:val="20"/>
              </w:rPr>
            </w:pPr>
            <w:r>
              <w:rPr>
                <w:sz w:val="20"/>
              </w:rPr>
              <w:t>1993–2016</w:t>
            </w:r>
          </w:p>
        </w:tc>
        <w:tc>
          <w:tcPr>
            <w:tcW w:w="3421" w:type="dxa"/>
            <w:tcBorders>
              <w:top w:val="dotted" w:sz="6" w:space="0" w:color="BEBEBE"/>
            </w:tcBorders>
          </w:tcPr>
          <w:p w14:paraId="43132F28" w14:textId="77777777" w:rsidR="0046798B" w:rsidRDefault="0046798B">
            <w:pPr>
              <w:pStyle w:val="TableParagraph"/>
            </w:pPr>
          </w:p>
          <w:p w14:paraId="5204FC3A" w14:textId="77777777" w:rsidR="0046798B" w:rsidRDefault="00903B5C">
            <w:pPr>
              <w:pStyle w:val="TableParagraph"/>
              <w:spacing w:before="133"/>
              <w:ind w:left="114" w:right="594"/>
              <w:rPr>
                <w:sz w:val="20"/>
              </w:rPr>
            </w:pPr>
            <w:r>
              <w:rPr>
                <w:sz w:val="20"/>
              </w:rPr>
              <w:t>Republican party state house ideological median error estimate</w:t>
            </w:r>
          </w:p>
        </w:tc>
        <w:tc>
          <w:tcPr>
            <w:tcW w:w="6477" w:type="dxa"/>
            <w:tcBorders>
              <w:top w:val="dotted" w:sz="6" w:space="0" w:color="BEBEBE"/>
            </w:tcBorders>
          </w:tcPr>
          <w:p w14:paraId="244D3016" w14:textId="77777777" w:rsidR="0046798B" w:rsidRDefault="0046798B">
            <w:pPr>
              <w:pStyle w:val="TableParagraph"/>
              <w:spacing w:before="6"/>
              <w:rPr>
                <w:sz w:val="23"/>
              </w:rPr>
            </w:pPr>
          </w:p>
          <w:p w14:paraId="403A8EDD" w14:textId="77777777" w:rsidR="0046798B" w:rsidRDefault="00903B5C">
            <w:pPr>
              <w:pStyle w:val="TableParagraph"/>
              <w:ind w:left="114" w:right="423"/>
              <w:rPr>
                <w:sz w:val="20"/>
              </w:rPr>
            </w:pPr>
            <w:r>
              <w:rPr>
                <w:sz w:val="20"/>
              </w:rPr>
              <w:t xml:space="preserve">Shor, Boris and Nolan McCarty. “The Ideological Mapping of American Legislatures.” </w:t>
            </w:r>
            <w:r>
              <w:rPr>
                <w:i/>
                <w:sz w:val="20"/>
              </w:rPr>
              <w:t xml:space="preserve">The American Political Science Review </w:t>
            </w:r>
            <w:r>
              <w:rPr>
                <w:sz w:val="20"/>
              </w:rPr>
              <w:t>105.3 (2011): 530–</w:t>
            </w:r>
          </w:p>
          <w:p w14:paraId="21878A15" w14:textId="77777777" w:rsidR="0046798B" w:rsidRDefault="00903B5C">
            <w:pPr>
              <w:pStyle w:val="TableParagraph"/>
              <w:ind w:left="114"/>
              <w:rPr>
                <w:sz w:val="20"/>
              </w:rPr>
            </w:pPr>
            <w:r>
              <w:rPr>
                <w:sz w:val="20"/>
              </w:rPr>
              <w:t xml:space="preserve">551. </w:t>
            </w:r>
            <w:hyperlink r:id="rId525">
              <w:r>
                <w:rPr>
                  <w:sz w:val="20"/>
                  <w:u w:val="single"/>
                </w:rPr>
                <w:t>http://americanlegislatures.com/data/</w:t>
              </w:r>
            </w:hyperlink>
          </w:p>
        </w:tc>
      </w:tr>
      <w:tr w:rsidR="0046798B" w14:paraId="675D15D4" w14:textId="77777777">
        <w:trPr>
          <w:trHeight w:val="1240"/>
        </w:trPr>
        <w:tc>
          <w:tcPr>
            <w:tcW w:w="1711" w:type="dxa"/>
          </w:tcPr>
          <w:p w14:paraId="24366DE8" w14:textId="77777777" w:rsidR="0046798B" w:rsidRDefault="0046798B">
            <w:pPr>
              <w:pStyle w:val="TableParagraph"/>
            </w:pPr>
          </w:p>
          <w:p w14:paraId="57231746" w14:textId="77777777" w:rsidR="0046798B" w:rsidRDefault="00903B5C">
            <w:pPr>
              <w:pStyle w:val="TableParagraph"/>
              <w:spacing w:before="135"/>
              <w:ind w:left="115" w:right="121"/>
              <w:rPr>
                <w:b/>
                <w:sz w:val="20"/>
              </w:rPr>
            </w:pPr>
            <w:r>
              <w:rPr>
                <w:b/>
                <w:sz w:val="20"/>
              </w:rPr>
              <w:t>hou_majority_er ror</w:t>
            </w:r>
          </w:p>
        </w:tc>
        <w:tc>
          <w:tcPr>
            <w:tcW w:w="1596" w:type="dxa"/>
          </w:tcPr>
          <w:p w14:paraId="7840C8E5" w14:textId="77777777" w:rsidR="0046798B" w:rsidRDefault="00903B5C">
            <w:pPr>
              <w:pStyle w:val="TableParagraph"/>
              <w:spacing w:before="43"/>
              <w:ind w:left="114" w:right="229"/>
              <w:rPr>
                <w:sz w:val="20"/>
              </w:rPr>
            </w:pPr>
            <w:r>
              <w:rPr>
                <w:sz w:val="20"/>
              </w:rPr>
              <w:t>State house majority party ideological median error estimate</w:t>
            </w:r>
          </w:p>
        </w:tc>
        <w:tc>
          <w:tcPr>
            <w:tcW w:w="1280" w:type="dxa"/>
          </w:tcPr>
          <w:p w14:paraId="6867EBAE" w14:textId="77777777" w:rsidR="0046798B" w:rsidRDefault="0046798B">
            <w:pPr>
              <w:pStyle w:val="TableParagraph"/>
            </w:pPr>
          </w:p>
          <w:p w14:paraId="75C96107" w14:textId="77777777" w:rsidR="0046798B" w:rsidRDefault="0046798B">
            <w:pPr>
              <w:pStyle w:val="TableParagraph"/>
              <w:spacing w:before="8"/>
              <w:rPr>
                <w:sz w:val="21"/>
              </w:rPr>
            </w:pPr>
          </w:p>
          <w:p w14:paraId="499C3C2F" w14:textId="77777777" w:rsidR="0046798B" w:rsidRDefault="00903B5C">
            <w:pPr>
              <w:pStyle w:val="TableParagraph"/>
              <w:spacing w:before="1"/>
              <w:ind w:left="114"/>
              <w:rPr>
                <w:sz w:val="20"/>
              </w:rPr>
            </w:pPr>
            <w:r>
              <w:rPr>
                <w:sz w:val="20"/>
              </w:rPr>
              <w:t>1993–2016</w:t>
            </w:r>
          </w:p>
        </w:tc>
        <w:tc>
          <w:tcPr>
            <w:tcW w:w="3421" w:type="dxa"/>
          </w:tcPr>
          <w:p w14:paraId="09BDAD9F" w14:textId="77777777" w:rsidR="0046798B" w:rsidRDefault="0046798B">
            <w:pPr>
              <w:pStyle w:val="TableParagraph"/>
            </w:pPr>
          </w:p>
          <w:p w14:paraId="4CBA585F" w14:textId="77777777" w:rsidR="0046798B" w:rsidRDefault="00903B5C">
            <w:pPr>
              <w:pStyle w:val="TableParagraph"/>
              <w:spacing w:before="135"/>
              <w:ind w:left="114" w:right="233"/>
              <w:rPr>
                <w:sz w:val="20"/>
              </w:rPr>
            </w:pPr>
            <w:r>
              <w:rPr>
                <w:sz w:val="20"/>
              </w:rPr>
              <w:t>State house majority party ideological median error estimate</w:t>
            </w:r>
          </w:p>
        </w:tc>
        <w:tc>
          <w:tcPr>
            <w:tcW w:w="6477" w:type="dxa"/>
          </w:tcPr>
          <w:p w14:paraId="23DD036A" w14:textId="77777777" w:rsidR="0046798B" w:rsidRDefault="0046798B">
            <w:pPr>
              <w:pStyle w:val="TableParagraph"/>
              <w:spacing w:before="8"/>
              <w:rPr>
                <w:sz w:val="23"/>
              </w:rPr>
            </w:pPr>
          </w:p>
          <w:p w14:paraId="70D8B73F" w14:textId="77777777" w:rsidR="0046798B" w:rsidRDefault="00903B5C">
            <w:pPr>
              <w:pStyle w:val="TableParagraph"/>
              <w:spacing w:before="1"/>
              <w:ind w:left="114" w:right="423"/>
              <w:rPr>
                <w:sz w:val="20"/>
              </w:rPr>
            </w:pPr>
            <w:r>
              <w:rPr>
                <w:sz w:val="20"/>
              </w:rPr>
              <w:t xml:space="preserve">Shor, Boris and Nolan McCarty. “The Ideological Mapping of American Legislatures.” </w:t>
            </w:r>
            <w:r>
              <w:rPr>
                <w:i/>
                <w:sz w:val="20"/>
              </w:rPr>
              <w:t xml:space="preserve">The American Political Science Review </w:t>
            </w:r>
            <w:r>
              <w:rPr>
                <w:sz w:val="20"/>
              </w:rPr>
              <w:t>105.3 (2011): 530–</w:t>
            </w:r>
          </w:p>
          <w:p w14:paraId="44FADF80" w14:textId="77777777" w:rsidR="0046798B" w:rsidRDefault="00903B5C">
            <w:pPr>
              <w:pStyle w:val="TableParagraph"/>
              <w:ind w:left="114"/>
              <w:rPr>
                <w:sz w:val="20"/>
              </w:rPr>
            </w:pPr>
            <w:r>
              <w:rPr>
                <w:sz w:val="20"/>
              </w:rPr>
              <w:t xml:space="preserve">551. </w:t>
            </w:r>
            <w:hyperlink r:id="rId526">
              <w:r>
                <w:rPr>
                  <w:sz w:val="20"/>
                  <w:u w:val="single"/>
                </w:rPr>
                <w:t>http://americanlegislatures.com/data/</w:t>
              </w:r>
            </w:hyperlink>
          </w:p>
        </w:tc>
      </w:tr>
      <w:tr w:rsidR="0046798B" w14:paraId="1BD9EB17" w14:textId="77777777">
        <w:trPr>
          <w:trHeight w:val="1465"/>
        </w:trPr>
        <w:tc>
          <w:tcPr>
            <w:tcW w:w="1711" w:type="dxa"/>
          </w:tcPr>
          <w:p w14:paraId="791B482B" w14:textId="77777777" w:rsidR="0046798B" w:rsidRDefault="0046798B">
            <w:pPr>
              <w:pStyle w:val="TableParagraph"/>
            </w:pPr>
          </w:p>
          <w:p w14:paraId="26AC97E1" w14:textId="77777777" w:rsidR="0046798B" w:rsidRDefault="0046798B">
            <w:pPr>
              <w:pStyle w:val="TableParagraph"/>
              <w:spacing w:before="3"/>
              <w:rPr>
                <w:sz w:val="31"/>
              </w:rPr>
            </w:pPr>
          </w:p>
          <w:p w14:paraId="464B48C3" w14:textId="77777777" w:rsidR="0046798B" w:rsidRDefault="00903B5C">
            <w:pPr>
              <w:pStyle w:val="TableParagraph"/>
              <w:spacing w:before="1"/>
              <w:ind w:left="115"/>
              <w:rPr>
                <w:b/>
                <w:sz w:val="20"/>
              </w:rPr>
            </w:pPr>
            <w:r>
              <w:rPr>
                <w:b/>
                <w:sz w:val="20"/>
              </w:rPr>
              <w:t>sen_dem_error</w:t>
            </w:r>
          </w:p>
        </w:tc>
        <w:tc>
          <w:tcPr>
            <w:tcW w:w="1596" w:type="dxa"/>
          </w:tcPr>
          <w:p w14:paraId="51333941" w14:textId="77777777" w:rsidR="0046798B" w:rsidRDefault="00903B5C">
            <w:pPr>
              <w:pStyle w:val="TableParagraph"/>
              <w:spacing w:before="38"/>
              <w:ind w:left="114" w:right="424"/>
              <w:rPr>
                <w:sz w:val="20"/>
              </w:rPr>
            </w:pPr>
            <w:r>
              <w:rPr>
                <w:sz w:val="20"/>
              </w:rPr>
              <w:t>Democratic party state senate ideological median error estimate</w:t>
            </w:r>
          </w:p>
        </w:tc>
        <w:tc>
          <w:tcPr>
            <w:tcW w:w="1280" w:type="dxa"/>
          </w:tcPr>
          <w:p w14:paraId="35285957" w14:textId="77777777" w:rsidR="0046798B" w:rsidRDefault="0046798B">
            <w:pPr>
              <w:pStyle w:val="TableParagraph"/>
            </w:pPr>
          </w:p>
          <w:p w14:paraId="67F83991" w14:textId="77777777" w:rsidR="0046798B" w:rsidRDefault="0046798B">
            <w:pPr>
              <w:pStyle w:val="TableParagraph"/>
              <w:spacing w:before="3"/>
              <w:rPr>
                <w:sz w:val="31"/>
              </w:rPr>
            </w:pPr>
          </w:p>
          <w:p w14:paraId="38C55D26" w14:textId="77777777" w:rsidR="0046798B" w:rsidRDefault="00903B5C">
            <w:pPr>
              <w:pStyle w:val="TableParagraph"/>
              <w:spacing w:before="1"/>
              <w:ind w:left="114"/>
              <w:rPr>
                <w:sz w:val="20"/>
              </w:rPr>
            </w:pPr>
            <w:r>
              <w:rPr>
                <w:sz w:val="20"/>
              </w:rPr>
              <w:t>1993–2016</w:t>
            </w:r>
          </w:p>
        </w:tc>
        <w:tc>
          <w:tcPr>
            <w:tcW w:w="3421" w:type="dxa"/>
          </w:tcPr>
          <w:p w14:paraId="06933CBF" w14:textId="77777777" w:rsidR="0046798B" w:rsidRDefault="0046798B">
            <w:pPr>
              <w:pStyle w:val="TableParagraph"/>
            </w:pPr>
          </w:p>
          <w:p w14:paraId="598E18DE" w14:textId="77777777" w:rsidR="0046798B" w:rsidRDefault="0046798B">
            <w:pPr>
              <w:pStyle w:val="TableParagraph"/>
              <w:spacing w:before="3"/>
              <w:rPr>
                <w:sz w:val="21"/>
              </w:rPr>
            </w:pPr>
          </w:p>
          <w:p w14:paraId="3B5CE04E" w14:textId="77777777" w:rsidR="0046798B" w:rsidRDefault="00903B5C">
            <w:pPr>
              <w:pStyle w:val="TableParagraph"/>
              <w:spacing w:before="1"/>
              <w:ind w:left="114" w:right="594"/>
              <w:rPr>
                <w:sz w:val="20"/>
              </w:rPr>
            </w:pPr>
            <w:r>
              <w:rPr>
                <w:sz w:val="20"/>
              </w:rPr>
              <w:t>Democratic party state senate ideological median error estimate</w:t>
            </w:r>
          </w:p>
        </w:tc>
        <w:tc>
          <w:tcPr>
            <w:tcW w:w="6477" w:type="dxa"/>
          </w:tcPr>
          <w:p w14:paraId="7515DA23" w14:textId="77777777" w:rsidR="0046798B" w:rsidRDefault="0046798B">
            <w:pPr>
              <w:pStyle w:val="TableParagraph"/>
            </w:pPr>
          </w:p>
          <w:p w14:paraId="625E6DB2" w14:textId="77777777" w:rsidR="0046798B" w:rsidRDefault="00903B5C">
            <w:pPr>
              <w:pStyle w:val="TableParagraph"/>
              <w:spacing w:before="130"/>
              <w:ind w:left="114" w:right="423"/>
              <w:rPr>
                <w:sz w:val="20"/>
              </w:rPr>
            </w:pPr>
            <w:r>
              <w:rPr>
                <w:sz w:val="20"/>
              </w:rPr>
              <w:t xml:space="preserve">Shor, Boris and Nolan McCarty. “The Ideological Mapping of American Legislatures.” </w:t>
            </w:r>
            <w:r>
              <w:rPr>
                <w:i/>
                <w:sz w:val="20"/>
              </w:rPr>
              <w:t xml:space="preserve">The American Political Science Review </w:t>
            </w:r>
            <w:r>
              <w:rPr>
                <w:sz w:val="20"/>
              </w:rPr>
              <w:t>105.3 (2011): 530–</w:t>
            </w:r>
          </w:p>
          <w:p w14:paraId="5BA31E9A" w14:textId="77777777" w:rsidR="0046798B" w:rsidRDefault="00903B5C">
            <w:pPr>
              <w:pStyle w:val="TableParagraph"/>
              <w:ind w:left="114"/>
              <w:rPr>
                <w:sz w:val="20"/>
              </w:rPr>
            </w:pPr>
            <w:r>
              <w:rPr>
                <w:sz w:val="20"/>
              </w:rPr>
              <w:t xml:space="preserve">551. </w:t>
            </w:r>
            <w:hyperlink r:id="rId527">
              <w:r>
                <w:rPr>
                  <w:sz w:val="20"/>
                  <w:u w:val="single"/>
                </w:rPr>
                <w:t>http://americanlegislatures.com/data/</w:t>
              </w:r>
            </w:hyperlink>
          </w:p>
        </w:tc>
      </w:tr>
      <w:tr w:rsidR="0046798B" w14:paraId="488605FC" w14:textId="77777777">
        <w:trPr>
          <w:trHeight w:val="1235"/>
        </w:trPr>
        <w:tc>
          <w:tcPr>
            <w:tcW w:w="1711" w:type="dxa"/>
          </w:tcPr>
          <w:p w14:paraId="121C8F79" w14:textId="77777777" w:rsidR="0046798B" w:rsidRDefault="0046798B">
            <w:pPr>
              <w:pStyle w:val="TableParagraph"/>
            </w:pPr>
          </w:p>
          <w:p w14:paraId="6CB8DEAF" w14:textId="77777777" w:rsidR="0046798B" w:rsidRDefault="00903B5C">
            <w:pPr>
              <w:pStyle w:val="TableParagraph"/>
              <w:spacing w:before="130"/>
              <w:ind w:left="115" w:right="155"/>
              <w:rPr>
                <w:b/>
                <w:sz w:val="20"/>
              </w:rPr>
            </w:pPr>
            <w:r>
              <w:rPr>
                <w:b/>
                <w:sz w:val="20"/>
              </w:rPr>
              <w:t>sen_chamber_er ror</w:t>
            </w:r>
          </w:p>
        </w:tc>
        <w:tc>
          <w:tcPr>
            <w:tcW w:w="1596" w:type="dxa"/>
          </w:tcPr>
          <w:p w14:paraId="0B43D597" w14:textId="77777777" w:rsidR="0046798B" w:rsidRDefault="00903B5C">
            <w:pPr>
              <w:pStyle w:val="TableParagraph"/>
              <w:spacing w:before="38"/>
              <w:ind w:left="114" w:right="424"/>
              <w:rPr>
                <w:sz w:val="20"/>
              </w:rPr>
            </w:pPr>
            <w:r>
              <w:rPr>
                <w:sz w:val="20"/>
              </w:rPr>
              <w:t>State senate chamber ideological median error estimate</w:t>
            </w:r>
          </w:p>
        </w:tc>
        <w:tc>
          <w:tcPr>
            <w:tcW w:w="1280" w:type="dxa"/>
          </w:tcPr>
          <w:p w14:paraId="4465B8A1" w14:textId="77777777" w:rsidR="0046798B" w:rsidRDefault="0046798B">
            <w:pPr>
              <w:pStyle w:val="TableParagraph"/>
            </w:pPr>
          </w:p>
          <w:p w14:paraId="0D68C9DD" w14:textId="77777777" w:rsidR="0046798B" w:rsidRDefault="0046798B">
            <w:pPr>
              <w:pStyle w:val="TableParagraph"/>
              <w:spacing w:before="3"/>
              <w:rPr>
                <w:sz w:val="21"/>
              </w:rPr>
            </w:pPr>
          </w:p>
          <w:p w14:paraId="0814E0CE" w14:textId="77777777" w:rsidR="0046798B" w:rsidRDefault="00903B5C">
            <w:pPr>
              <w:pStyle w:val="TableParagraph"/>
              <w:spacing w:before="1"/>
              <w:ind w:left="114"/>
              <w:rPr>
                <w:sz w:val="20"/>
              </w:rPr>
            </w:pPr>
            <w:r>
              <w:rPr>
                <w:sz w:val="20"/>
              </w:rPr>
              <w:t>1993–2016</w:t>
            </w:r>
          </w:p>
        </w:tc>
        <w:tc>
          <w:tcPr>
            <w:tcW w:w="3421" w:type="dxa"/>
          </w:tcPr>
          <w:p w14:paraId="2400F72F" w14:textId="77777777" w:rsidR="0046798B" w:rsidRDefault="0046798B">
            <w:pPr>
              <w:pStyle w:val="TableParagraph"/>
            </w:pPr>
          </w:p>
          <w:p w14:paraId="54179054" w14:textId="77777777" w:rsidR="0046798B" w:rsidRDefault="00903B5C">
            <w:pPr>
              <w:pStyle w:val="TableParagraph"/>
              <w:spacing w:before="130"/>
              <w:ind w:left="114" w:right="650"/>
              <w:rPr>
                <w:sz w:val="20"/>
              </w:rPr>
            </w:pPr>
            <w:r>
              <w:rPr>
                <w:sz w:val="20"/>
              </w:rPr>
              <w:t>State senate chamber ideological median error estimate</w:t>
            </w:r>
          </w:p>
        </w:tc>
        <w:tc>
          <w:tcPr>
            <w:tcW w:w="6477" w:type="dxa"/>
          </w:tcPr>
          <w:p w14:paraId="2708C095" w14:textId="77777777" w:rsidR="0046798B" w:rsidRDefault="0046798B">
            <w:pPr>
              <w:pStyle w:val="TableParagraph"/>
              <w:spacing w:before="3"/>
              <w:rPr>
                <w:sz w:val="23"/>
              </w:rPr>
            </w:pPr>
          </w:p>
          <w:p w14:paraId="15D0D458" w14:textId="77777777" w:rsidR="0046798B" w:rsidRDefault="00903B5C">
            <w:pPr>
              <w:pStyle w:val="TableParagraph"/>
              <w:spacing w:before="1"/>
              <w:ind w:left="114" w:right="423"/>
              <w:rPr>
                <w:sz w:val="20"/>
              </w:rPr>
            </w:pPr>
            <w:r>
              <w:rPr>
                <w:sz w:val="20"/>
              </w:rPr>
              <w:t xml:space="preserve">Shor, Boris and Nolan McCarty. “The Ideological Mapping of American Legislatures.” </w:t>
            </w:r>
            <w:r>
              <w:rPr>
                <w:i/>
                <w:sz w:val="20"/>
              </w:rPr>
              <w:t xml:space="preserve">The American Political Science Review </w:t>
            </w:r>
            <w:r>
              <w:rPr>
                <w:sz w:val="20"/>
              </w:rPr>
              <w:t>105.3 (2011): 530–</w:t>
            </w:r>
          </w:p>
          <w:p w14:paraId="076F0100" w14:textId="77777777" w:rsidR="0046798B" w:rsidRDefault="00903B5C">
            <w:pPr>
              <w:pStyle w:val="TableParagraph"/>
              <w:ind w:left="114"/>
              <w:rPr>
                <w:sz w:val="20"/>
              </w:rPr>
            </w:pPr>
            <w:r>
              <w:rPr>
                <w:sz w:val="20"/>
              </w:rPr>
              <w:t xml:space="preserve">551. </w:t>
            </w:r>
            <w:hyperlink r:id="rId528">
              <w:r>
                <w:rPr>
                  <w:sz w:val="20"/>
                  <w:u w:val="single"/>
                </w:rPr>
                <w:t>http://americanlegislatures.com/data/</w:t>
              </w:r>
            </w:hyperlink>
          </w:p>
        </w:tc>
      </w:tr>
      <w:tr w:rsidR="0046798B" w14:paraId="6EB7C1FC" w14:textId="77777777">
        <w:trPr>
          <w:trHeight w:val="1465"/>
        </w:trPr>
        <w:tc>
          <w:tcPr>
            <w:tcW w:w="1711" w:type="dxa"/>
          </w:tcPr>
          <w:p w14:paraId="58A07C19" w14:textId="77777777" w:rsidR="0046798B" w:rsidRDefault="0046798B">
            <w:pPr>
              <w:pStyle w:val="TableParagraph"/>
            </w:pPr>
          </w:p>
          <w:p w14:paraId="1FC5A5F9" w14:textId="77777777" w:rsidR="0046798B" w:rsidRDefault="0046798B">
            <w:pPr>
              <w:pStyle w:val="TableParagraph"/>
              <w:spacing w:before="4"/>
              <w:rPr>
                <w:sz w:val="31"/>
              </w:rPr>
            </w:pPr>
          </w:p>
          <w:p w14:paraId="7C7D0198" w14:textId="77777777" w:rsidR="0046798B" w:rsidRDefault="00903B5C">
            <w:pPr>
              <w:pStyle w:val="TableParagraph"/>
              <w:ind w:left="115"/>
              <w:rPr>
                <w:b/>
                <w:sz w:val="20"/>
              </w:rPr>
            </w:pPr>
            <w:r>
              <w:rPr>
                <w:b/>
                <w:sz w:val="20"/>
              </w:rPr>
              <w:t>sen_rep_error</w:t>
            </w:r>
          </w:p>
        </w:tc>
        <w:tc>
          <w:tcPr>
            <w:tcW w:w="1596" w:type="dxa"/>
          </w:tcPr>
          <w:p w14:paraId="62B310A3" w14:textId="77777777" w:rsidR="0046798B" w:rsidRDefault="00903B5C">
            <w:pPr>
              <w:pStyle w:val="TableParagraph"/>
              <w:spacing w:before="43"/>
              <w:ind w:left="114" w:right="424"/>
              <w:rPr>
                <w:sz w:val="20"/>
              </w:rPr>
            </w:pPr>
            <w:r>
              <w:rPr>
                <w:sz w:val="20"/>
              </w:rPr>
              <w:t>Republican party state senate ideological median error estimate</w:t>
            </w:r>
          </w:p>
        </w:tc>
        <w:tc>
          <w:tcPr>
            <w:tcW w:w="1280" w:type="dxa"/>
          </w:tcPr>
          <w:p w14:paraId="0A923720" w14:textId="77777777" w:rsidR="0046798B" w:rsidRDefault="0046798B">
            <w:pPr>
              <w:pStyle w:val="TableParagraph"/>
            </w:pPr>
          </w:p>
          <w:p w14:paraId="26598E68" w14:textId="77777777" w:rsidR="0046798B" w:rsidRDefault="0046798B">
            <w:pPr>
              <w:pStyle w:val="TableParagraph"/>
              <w:spacing w:before="4"/>
              <w:rPr>
                <w:sz w:val="31"/>
              </w:rPr>
            </w:pPr>
          </w:p>
          <w:p w14:paraId="54B90612" w14:textId="77777777" w:rsidR="0046798B" w:rsidRDefault="00903B5C">
            <w:pPr>
              <w:pStyle w:val="TableParagraph"/>
              <w:ind w:left="114"/>
              <w:rPr>
                <w:sz w:val="20"/>
              </w:rPr>
            </w:pPr>
            <w:r>
              <w:rPr>
                <w:sz w:val="20"/>
              </w:rPr>
              <w:t>1993–2016</w:t>
            </w:r>
          </w:p>
        </w:tc>
        <w:tc>
          <w:tcPr>
            <w:tcW w:w="3421" w:type="dxa"/>
          </w:tcPr>
          <w:p w14:paraId="592AB5A8" w14:textId="77777777" w:rsidR="0046798B" w:rsidRDefault="0046798B">
            <w:pPr>
              <w:pStyle w:val="TableParagraph"/>
            </w:pPr>
          </w:p>
          <w:p w14:paraId="5687D50E" w14:textId="77777777" w:rsidR="0046798B" w:rsidRDefault="0046798B">
            <w:pPr>
              <w:pStyle w:val="TableParagraph"/>
              <w:spacing w:before="3"/>
              <w:rPr>
                <w:sz w:val="21"/>
              </w:rPr>
            </w:pPr>
          </w:p>
          <w:p w14:paraId="340570EC" w14:textId="77777777" w:rsidR="0046798B" w:rsidRDefault="00903B5C">
            <w:pPr>
              <w:pStyle w:val="TableParagraph"/>
              <w:spacing w:before="1"/>
              <w:ind w:left="114" w:right="594"/>
              <w:rPr>
                <w:sz w:val="20"/>
              </w:rPr>
            </w:pPr>
            <w:r>
              <w:rPr>
                <w:sz w:val="20"/>
              </w:rPr>
              <w:t>Republican party state senate ideological median error estimate</w:t>
            </w:r>
          </w:p>
        </w:tc>
        <w:tc>
          <w:tcPr>
            <w:tcW w:w="6477" w:type="dxa"/>
          </w:tcPr>
          <w:p w14:paraId="4FC9EAB8" w14:textId="77777777" w:rsidR="0046798B" w:rsidRDefault="0046798B">
            <w:pPr>
              <w:pStyle w:val="TableParagraph"/>
            </w:pPr>
          </w:p>
          <w:p w14:paraId="103E7EA5" w14:textId="77777777" w:rsidR="0046798B" w:rsidRDefault="00903B5C">
            <w:pPr>
              <w:pStyle w:val="TableParagraph"/>
              <w:spacing w:before="130"/>
              <w:ind w:left="114" w:right="423"/>
              <w:rPr>
                <w:sz w:val="20"/>
              </w:rPr>
            </w:pPr>
            <w:r>
              <w:rPr>
                <w:sz w:val="20"/>
              </w:rPr>
              <w:t xml:space="preserve">Shor, Boris and Nolan McCarty. “The Ideological Mapping of American Legislatures.” </w:t>
            </w:r>
            <w:r>
              <w:rPr>
                <w:i/>
                <w:sz w:val="20"/>
              </w:rPr>
              <w:t xml:space="preserve">The American Political Science Review </w:t>
            </w:r>
            <w:r>
              <w:rPr>
                <w:sz w:val="20"/>
              </w:rPr>
              <w:t>105.3 (2011): 530–</w:t>
            </w:r>
          </w:p>
          <w:p w14:paraId="488D45B3" w14:textId="77777777" w:rsidR="0046798B" w:rsidRDefault="00903B5C">
            <w:pPr>
              <w:pStyle w:val="TableParagraph"/>
              <w:spacing w:before="1"/>
              <w:ind w:left="114"/>
              <w:rPr>
                <w:sz w:val="20"/>
              </w:rPr>
            </w:pPr>
            <w:r>
              <w:rPr>
                <w:sz w:val="20"/>
              </w:rPr>
              <w:t xml:space="preserve">551. </w:t>
            </w:r>
            <w:hyperlink r:id="rId529">
              <w:r>
                <w:rPr>
                  <w:sz w:val="20"/>
                  <w:u w:val="single"/>
                </w:rPr>
                <w:t>http://americanlegislatures.com/data/</w:t>
              </w:r>
            </w:hyperlink>
          </w:p>
        </w:tc>
      </w:tr>
      <w:tr w:rsidR="0046798B" w14:paraId="376331F0" w14:textId="77777777">
        <w:trPr>
          <w:trHeight w:val="1235"/>
        </w:trPr>
        <w:tc>
          <w:tcPr>
            <w:tcW w:w="1711" w:type="dxa"/>
          </w:tcPr>
          <w:p w14:paraId="1A99D836" w14:textId="77777777" w:rsidR="0046798B" w:rsidRDefault="0046798B">
            <w:pPr>
              <w:pStyle w:val="TableParagraph"/>
            </w:pPr>
          </w:p>
          <w:p w14:paraId="1B08463E" w14:textId="77777777" w:rsidR="0046798B" w:rsidRDefault="00903B5C">
            <w:pPr>
              <w:pStyle w:val="TableParagraph"/>
              <w:spacing w:before="135"/>
              <w:ind w:left="115" w:right="166"/>
              <w:rPr>
                <w:b/>
                <w:sz w:val="20"/>
              </w:rPr>
            </w:pPr>
            <w:r>
              <w:rPr>
                <w:b/>
                <w:sz w:val="20"/>
              </w:rPr>
              <w:t>sen_majority_er ror</w:t>
            </w:r>
          </w:p>
        </w:tc>
        <w:tc>
          <w:tcPr>
            <w:tcW w:w="1596" w:type="dxa"/>
          </w:tcPr>
          <w:p w14:paraId="277B7BF6" w14:textId="77777777" w:rsidR="0046798B" w:rsidRDefault="00903B5C">
            <w:pPr>
              <w:pStyle w:val="TableParagraph"/>
              <w:spacing w:before="43"/>
              <w:ind w:left="114" w:right="229"/>
              <w:rPr>
                <w:sz w:val="20"/>
              </w:rPr>
            </w:pPr>
            <w:r>
              <w:rPr>
                <w:sz w:val="20"/>
              </w:rPr>
              <w:t>State senate majority party ideological median error estimate</w:t>
            </w:r>
          </w:p>
        </w:tc>
        <w:tc>
          <w:tcPr>
            <w:tcW w:w="1280" w:type="dxa"/>
          </w:tcPr>
          <w:p w14:paraId="474F5220" w14:textId="77777777" w:rsidR="0046798B" w:rsidRDefault="0046798B">
            <w:pPr>
              <w:pStyle w:val="TableParagraph"/>
            </w:pPr>
          </w:p>
          <w:p w14:paraId="490E7396" w14:textId="77777777" w:rsidR="0046798B" w:rsidRDefault="0046798B">
            <w:pPr>
              <w:pStyle w:val="TableParagraph"/>
              <w:spacing w:before="9"/>
              <w:rPr>
                <w:sz w:val="21"/>
              </w:rPr>
            </w:pPr>
          </w:p>
          <w:p w14:paraId="4A7512CA" w14:textId="77777777" w:rsidR="0046798B" w:rsidRDefault="00903B5C">
            <w:pPr>
              <w:pStyle w:val="TableParagraph"/>
              <w:ind w:left="114"/>
              <w:rPr>
                <w:sz w:val="20"/>
              </w:rPr>
            </w:pPr>
            <w:r>
              <w:rPr>
                <w:sz w:val="20"/>
              </w:rPr>
              <w:t>1993–2016</w:t>
            </w:r>
          </w:p>
        </w:tc>
        <w:tc>
          <w:tcPr>
            <w:tcW w:w="3421" w:type="dxa"/>
          </w:tcPr>
          <w:p w14:paraId="085EAC4C" w14:textId="77777777" w:rsidR="0046798B" w:rsidRDefault="0046798B">
            <w:pPr>
              <w:pStyle w:val="TableParagraph"/>
            </w:pPr>
          </w:p>
          <w:p w14:paraId="33049C14" w14:textId="77777777" w:rsidR="0046798B" w:rsidRDefault="00903B5C">
            <w:pPr>
              <w:pStyle w:val="TableParagraph"/>
              <w:spacing w:before="135"/>
              <w:ind w:left="114" w:right="200"/>
              <w:rPr>
                <w:sz w:val="20"/>
              </w:rPr>
            </w:pPr>
            <w:r>
              <w:rPr>
                <w:sz w:val="20"/>
              </w:rPr>
              <w:t>State senate majority party ideological median error estimate</w:t>
            </w:r>
          </w:p>
        </w:tc>
        <w:tc>
          <w:tcPr>
            <w:tcW w:w="6477" w:type="dxa"/>
          </w:tcPr>
          <w:p w14:paraId="52E47525" w14:textId="77777777" w:rsidR="0046798B" w:rsidRDefault="0046798B">
            <w:pPr>
              <w:pStyle w:val="TableParagraph"/>
              <w:spacing w:before="8"/>
              <w:rPr>
                <w:sz w:val="23"/>
              </w:rPr>
            </w:pPr>
          </w:p>
          <w:p w14:paraId="216EEA07" w14:textId="77777777" w:rsidR="0046798B" w:rsidRDefault="00903B5C">
            <w:pPr>
              <w:pStyle w:val="TableParagraph"/>
              <w:ind w:left="114" w:right="423"/>
              <w:rPr>
                <w:sz w:val="20"/>
              </w:rPr>
            </w:pPr>
            <w:r>
              <w:rPr>
                <w:sz w:val="20"/>
              </w:rPr>
              <w:t xml:space="preserve">Shor, Boris and Nolan McCarty. “The Ideological Mapping of American Legislatures.” </w:t>
            </w:r>
            <w:r>
              <w:rPr>
                <w:i/>
                <w:sz w:val="20"/>
              </w:rPr>
              <w:t xml:space="preserve">The American Political Science Review </w:t>
            </w:r>
            <w:r>
              <w:rPr>
                <w:sz w:val="20"/>
              </w:rPr>
              <w:t>105.3 (2011): 530–</w:t>
            </w:r>
          </w:p>
          <w:p w14:paraId="3714E35D" w14:textId="77777777" w:rsidR="0046798B" w:rsidRDefault="00903B5C">
            <w:pPr>
              <w:pStyle w:val="TableParagraph"/>
              <w:spacing w:before="1"/>
              <w:ind w:left="114"/>
              <w:rPr>
                <w:sz w:val="20"/>
              </w:rPr>
            </w:pPr>
            <w:r>
              <w:rPr>
                <w:sz w:val="20"/>
              </w:rPr>
              <w:t xml:space="preserve">551. </w:t>
            </w:r>
            <w:hyperlink r:id="rId530">
              <w:r>
                <w:rPr>
                  <w:sz w:val="20"/>
                  <w:u w:val="single"/>
                </w:rPr>
                <w:t>http://americanlegislatures.com/data/</w:t>
              </w:r>
            </w:hyperlink>
          </w:p>
        </w:tc>
      </w:tr>
      <w:tr w:rsidR="0046798B" w14:paraId="6F67E9D4" w14:textId="77777777">
        <w:trPr>
          <w:trHeight w:val="775"/>
        </w:trPr>
        <w:tc>
          <w:tcPr>
            <w:tcW w:w="1711" w:type="dxa"/>
          </w:tcPr>
          <w:p w14:paraId="737FA524" w14:textId="77777777" w:rsidR="0046798B" w:rsidRDefault="00903B5C">
            <w:pPr>
              <w:pStyle w:val="TableParagraph"/>
              <w:spacing w:before="158"/>
              <w:ind w:left="115" w:right="143"/>
              <w:rPr>
                <w:b/>
                <w:sz w:val="20"/>
              </w:rPr>
            </w:pPr>
            <w:r>
              <w:rPr>
                <w:b/>
                <w:sz w:val="20"/>
              </w:rPr>
              <w:t>inst6013_adacop e</w:t>
            </w:r>
          </w:p>
        </w:tc>
        <w:tc>
          <w:tcPr>
            <w:tcW w:w="1596" w:type="dxa"/>
          </w:tcPr>
          <w:p w14:paraId="02EF57EF" w14:textId="77777777" w:rsidR="0046798B" w:rsidRDefault="00903B5C">
            <w:pPr>
              <w:pStyle w:val="TableParagraph"/>
              <w:spacing w:before="158"/>
              <w:ind w:left="114"/>
              <w:rPr>
                <w:sz w:val="20"/>
              </w:rPr>
            </w:pPr>
            <w:r>
              <w:rPr>
                <w:sz w:val="20"/>
              </w:rPr>
              <w:t>ADA/COPE</w:t>
            </w:r>
          </w:p>
          <w:p w14:paraId="330D170F" w14:textId="77777777" w:rsidR="0046798B" w:rsidRDefault="00903B5C">
            <w:pPr>
              <w:pStyle w:val="TableParagraph"/>
              <w:spacing w:before="1"/>
              <w:ind w:left="114"/>
              <w:rPr>
                <w:sz w:val="20"/>
              </w:rPr>
            </w:pPr>
            <w:r>
              <w:rPr>
                <w:sz w:val="20"/>
              </w:rPr>
              <w:t>measure of state</w:t>
            </w:r>
          </w:p>
        </w:tc>
        <w:tc>
          <w:tcPr>
            <w:tcW w:w="1280" w:type="dxa"/>
          </w:tcPr>
          <w:p w14:paraId="183A6CE0" w14:textId="77777777" w:rsidR="0046798B" w:rsidRDefault="0046798B">
            <w:pPr>
              <w:pStyle w:val="TableParagraph"/>
              <w:spacing w:before="8"/>
              <w:rPr>
                <w:sz w:val="23"/>
              </w:rPr>
            </w:pPr>
          </w:p>
          <w:p w14:paraId="146F905D" w14:textId="77777777" w:rsidR="0046798B" w:rsidRDefault="00903B5C">
            <w:pPr>
              <w:pStyle w:val="TableParagraph"/>
              <w:spacing w:before="1"/>
              <w:ind w:left="114"/>
              <w:rPr>
                <w:sz w:val="20"/>
              </w:rPr>
            </w:pPr>
            <w:r>
              <w:rPr>
                <w:sz w:val="20"/>
              </w:rPr>
              <w:t>1960–2013</w:t>
            </w:r>
          </w:p>
        </w:tc>
        <w:tc>
          <w:tcPr>
            <w:tcW w:w="3421" w:type="dxa"/>
          </w:tcPr>
          <w:p w14:paraId="17020219" w14:textId="77777777" w:rsidR="0046798B" w:rsidRDefault="00903B5C">
            <w:pPr>
              <w:pStyle w:val="TableParagraph"/>
              <w:spacing w:before="43"/>
              <w:ind w:left="114" w:right="172"/>
              <w:rPr>
                <w:sz w:val="20"/>
              </w:rPr>
            </w:pPr>
            <w:r>
              <w:rPr>
                <w:sz w:val="20"/>
              </w:rPr>
              <w:t>This was the authors’ original measure of state government ideology. The construction of this indicator was</w:t>
            </w:r>
          </w:p>
        </w:tc>
        <w:tc>
          <w:tcPr>
            <w:tcW w:w="6477" w:type="dxa"/>
          </w:tcPr>
          <w:p w14:paraId="43174968" w14:textId="77777777" w:rsidR="0046798B" w:rsidRDefault="00903B5C">
            <w:pPr>
              <w:pStyle w:val="TableParagraph"/>
              <w:spacing w:before="158"/>
              <w:ind w:left="114" w:right="461"/>
              <w:rPr>
                <w:sz w:val="20"/>
              </w:rPr>
            </w:pPr>
            <w:r>
              <w:rPr>
                <w:sz w:val="20"/>
              </w:rPr>
              <w:t>Berry, William D., Evan J. Ringquist, Richard C. Fording, and Russell L. Hanson. “Measuring Citizen and Government Ideology in the American</w:t>
            </w:r>
          </w:p>
        </w:tc>
      </w:tr>
    </w:tbl>
    <w:p w14:paraId="00825C10" w14:textId="77777777" w:rsidR="0046798B" w:rsidRDefault="0046798B">
      <w:pPr>
        <w:rPr>
          <w:sz w:val="20"/>
        </w:rPr>
        <w:sectPr w:rsidR="0046798B">
          <w:pgSz w:w="15840" w:h="12240" w:orient="landscape"/>
          <w:pgMar w:top="1220" w:right="300" w:bottom="980" w:left="820" w:header="730" w:footer="787" w:gutter="0"/>
          <w:cols w:space="720"/>
        </w:sectPr>
      </w:pPr>
    </w:p>
    <w:p w14:paraId="2412709C"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0"/>
        <w:gridCol w:w="3421"/>
        <w:gridCol w:w="6477"/>
      </w:tblGrid>
      <w:tr w:rsidR="0046798B" w14:paraId="0BF2E4E5" w14:textId="77777777">
        <w:trPr>
          <w:trHeight w:val="775"/>
        </w:trPr>
        <w:tc>
          <w:tcPr>
            <w:tcW w:w="1711" w:type="dxa"/>
          </w:tcPr>
          <w:p w14:paraId="7276DD3F" w14:textId="77777777" w:rsidR="0046798B" w:rsidRDefault="0046798B">
            <w:pPr>
              <w:pStyle w:val="TableParagraph"/>
              <w:rPr>
                <w:sz w:val="20"/>
              </w:rPr>
            </w:pPr>
          </w:p>
        </w:tc>
        <w:tc>
          <w:tcPr>
            <w:tcW w:w="1596" w:type="dxa"/>
          </w:tcPr>
          <w:p w14:paraId="5512B7A7" w14:textId="77777777" w:rsidR="0046798B" w:rsidRDefault="00903B5C">
            <w:pPr>
              <w:pStyle w:val="TableParagraph"/>
              <w:spacing w:before="43"/>
              <w:ind w:left="114" w:right="496"/>
              <w:rPr>
                <w:sz w:val="20"/>
              </w:rPr>
            </w:pPr>
            <w:r>
              <w:rPr>
                <w:sz w:val="20"/>
              </w:rPr>
              <w:t>government ideology</w:t>
            </w:r>
          </w:p>
        </w:tc>
        <w:tc>
          <w:tcPr>
            <w:tcW w:w="1280" w:type="dxa"/>
          </w:tcPr>
          <w:p w14:paraId="4A1C6A58" w14:textId="77777777" w:rsidR="0046798B" w:rsidRDefault="0046798B">
            <w:pPr>
              <w:pStyle w:val="TableParagraph"/>
              <w:rPr>
                <w:sz w:val="20"/>
              </w:rPr>
            </w:pPr>
          </w:p>
        </w:tc>
        <w:tc>
          <w:tcPr>
            <w:tcW w:w="3421" w:type="dxa"/>
          </w:tcPr>
          <w:p w14:paraId="3F28824B" w14:textId="77777777" w:rsidR="0046798B" w:rsidRDefault="00903B5C">
            <w:pPr>
              <w:pStyle w:val="TableParagraph"/>
              <w:spacing w:before="43"/>
              <w:ind w:left="114" w:right="143"/>
              <w:rPr>
                <w:sz w:val="20"/>
              </w:rPr>
            </w:pPr>
            <w:r>
              <w:rPr>
                <w:sz w:val="20"/>
              </w:rPr>
              <w:t xml:space="preserve">described in their 1998 </w:t>
            </w:r>
            <w:r>
              <w:rPr>
                <w:i/>
                <w:sz w:val="20"/>
              </w:rPr>
              <w:t xml:space="preserve">AJPS </w:t>
            </w:r>
            <w:r>
              <w:rPr>
                <w:sz w:val="20"/>
              </w:rPr>
              <w:t>article (Berry, Ringquist, Fording and Hanson 1998).</w:t>
            </w:r>
          </w:p>
        </w:tc>
        <w:tc>
          <w:tcPr>
            <w:tcW w:w="6477" w:type="dxa"/>
          </w:tcPr>
          <w:p w14:paraId="101B464C" w14:textId="77777777" w:rsidR="0046798B" w:rsidRDefault="00903B5C">
            <w:pPr>
              <w:pStyle w:val="TableParagraph"/>
              <w:spacing w:before="43"/>
              <w:ind w:left="114"/>
              <w:rPr>
                <w:sz w:val="20"/>
              </w:rPr>
            </w:pPr>
            <w:r>
              <w:rPr>
                <w:sz w:val="20"/>
              </w:rPr>
              <w:t xml:space="preserve">States, 1960-93.” </w:t>
            </w:r>
            <w:r>
              <w:rPr>
                <w:i/>
                <w:sz w:val="20"/>
              </w:rPr>
              <w:t xml:space="preserve">American Journal of Political Science </w:t>
            </w:r>
            <w:r>
              <w:rPr>
                <w:sz w:val="20"/>
              </w:rPr>
              <w:t>42.1 (1998): 327–</w:t>
            </w:r>
          </w:p>
          <w:p w14:paraId="01649D4B" w14:textId="77777777" w:rsidR="0046798B" w:rsidRDefault="00903B5C">
            <w:pPr>
              <w:pStyle w:val="TableParagraph"/>
              <w:ind w:left="114"/>
              <w:rPr>
                <w:sz w:val="20"/>
              </w:rPr>
            </w:pPr>
            <w:r>
              <w:rPr>
                <w:sz w:val="20"/>
              </w:rPr>
              <w:t>348.</w:t>
            </w:r>
          </w:p>
        </w:tc>
      </w:tr>
      <w:tr w:rsidR="0046798B" w14:paraId="023449C5" w14:textId="77777777">
        <w:trPr>
          <w:trHeight w:val="2156"/>
        </w:trPr>
        <w:tc>
          <w:tcPr>
            <w:tcW w:w="1711" w:type="dxa"/>
          </w:tcPr>
          <w:p w14:paraId="0043E3D6" w14:textId="77777777" w:rsidR="0046798B" w:rsidRDefault="0046798B">
            <w:pPr>
              <w:pStyle w:val="TableParagraph"/>
            </w:pPr>
          </w:p>
          <w:p w14:paraId="47884206" w14:textId="77777777" w:rsidR="0046798B" w:rsidRDefault="0046798B">
            <w:pPr>
              <w:pStyle w:val="TableParagraph"/>
            </w:pPr>
          </w:p>
          <w:p w14:paraId="5159C7FE" w14:textId="77777777" w:rsidR="0046798B" w:rsidRDefault="0046798B">
            <w:pPr>
              <w:pStyle w:val="TableParagraph"/>
            </w:pPr>
          </w:p>
          <w:p w14:paraId="7C5A49B7" w14:textId="77777777" w:rsidR="0046798B" w:rsidRDefault="0046798B">
            <w:pPr>
              <w:pStyle w:val="TableParagraph"/>
              <w:spacing w:before="9"/>
              <w:rPr>
                <w:sz w:val="17"/>
              </w:rPr>
            </w:pPr>
          </w:p>
          <w:p w14:paraId="2ECAE7A5" w14:textId="77777777" w:rsidR="0046798B" w:rsidRDefault="00903B5C">
            <w:pPr>
              <w:pStyle w:val="TableParagraph"/>
              <w:ind w:left="115"/>
              <w:rPr>
                <w:b/>
                <w:sz w:val="20"/>
              </w:rPr>
            </w:pPr>
            <w:r>
              <w:rPr>
                <w:b/>
                <w:sz w:val="20"/>
              </w:rPr>
              <w:t>inst6014_nom</w:t>
            </w:r>
          </w:p>
        </w:tc>
        <w:tc>
          <w:tcPr>
            <w:tcW w:w="1596" w:type="dxa"/>
          </w:tcPr>
          <w:p w14:paraId="392569A7" w14:textId="77777777" w:rsidR="0046798B" w:rsidRDefault="0046798B">
            <w:pPr>
              <w:pStyle w:val="TableParagraph"/>
            </w:pPr>
          </w:p>
          <w:p w14:paraId="6B52F4CC" w14:textId="77777777" w:rsidR="0046798B" w:rsidRDefault="0046798B">
            <w:pPr>
              <w:pStyle w:val="TableParagraph"/>
              <w:spacing w:before="8"/>
              <w:rPr>
                <w:sz w:val="31"/>
              </w:rPr>
            </w:pPr>
          </w:p>
          <w:p w14:paraId="68861ABC" w14:textId="77777777" w:rsidR="0046798B" w:rsidRDefault="00903B5C">
            <w:pPr>
              <w:pStyle w:val="TableParagraph"/>
              <w:spacing w:before="1"/>
              <w:ind w:left="114"/>
              <w:rPr>
                <w:sz w:val="20"/>
              </w:rPr>
            </w:pPr>
            <w:r>
              <w:rPr>
                <w:sz w:val="20"/>
              </w:rPr>
              <w:t>NOMINATE</w:t>
            </w:r>
          </w:p>
          <w:p w14:paraId="7BBC9C66" w14:textId="77777777" w:rsidR="0046798B" w:rsidRDefault="00903B5C">
            <w:pPr>
              <w:pStyle w:val="TableParagraph"/>
              <w:ind w:left="114" w:right="152"/>
              <w:rPr>
                <w:sz w:val="20"/>
              </w:rPr>
            </w:pPr>
            <w:r>
              <w:rPr>
                <w:sz w:val="20"/>
              </w:rPr>
              <w:t>measure of state government ideology</w:t>
            </w:r>
          </w:p>
        </w:tc>
        <w:tc>
          <w:tcPr>
            <w:tcW w:w="1280" w:type="dxa"/>
          </w:tcPr>
          <w:p w14:paraId="0DC8E9CC" w14:textId="77777777" w:rsidR="0046798B" w:rsidRDefault="0046798B">
            <w:pPr>
              <w:pStyle w:val="TableParagraph"/>
            </w:pPr>
          </w:p>
          <w:p w14:paraId="6FBDEA95" w14:textId="77777777" w:rsidR="0046798B" w:rsidRDefault="0046798B">
            <w:pPr>
              <w:pStyle w:val="TableParagraph"/>
            </w:pPr>
          </w:p>
          <w:p w14:paraId="63DD4E2A" w14:textId="77777777" w:rsidR="0046798B" w:rsidRDefault="0046798B">
            <w:pPr>
              <w:pStyle w:val="TableParagraph"/>
            </w:pPr>
          </w:p>
          <w:p w14:paraId="3C0C7ACC" w14:textId="77777777" w:rsidR="0046798B" w:rsidRDefault="0046798B">
            <w:pPr>
              <w:pStyle w:val="TableParagraph"/>
              <w:spacing w:before="9"/>
              <w:rPr>
                <w:sz w:val="17"/>
              </w:rPr>
            </w:pPr>
          </w:p>
          <w:p w14:paraId="45CFC045" w14:textId="77777777" w:rsidR="0046798B" w:rsidRDefault="00903B5C">
            <w:pPr>
              <w:pStyle w:val="TableParagraph"/>
              <w:ind w:left="114"/>
              <w:rPr>
                <w:sz w:val="20"/>
              </w:rPr>
            </w:pPr>
            <w:r>
              <w:rPr>
                <w:sz w:val="20"/>
              </w:rPr>
              <w:t>1960–2014</w:t>
            </w:r>
          </w:p>
        </w:tc>
        <w:tc>
          <w:tcPr>
            <w:tcW w:w="3421" w:type="dxa"/>
          </w:tcPr>
          <w:p w14:paraId="4E1000F1" w14:textId="77777777" w:rsidR="0046798B" w:rsidRDefault="00903B5C">
            <w:pPr>
              <w:pStyle w:val="TableParagraph"/>
              <w:spacing w:before="43"/>
              <w:ind w:left="114" w:right="112"/>
              <w:rPr>
                <w:sz w:val="20"/>
              </w:rPr>
            </w:pPr>
            <w:r>
              <w:rPr>
                <w:sz w:val="20"/>
              </w:rPr>
              <w:t xml:space="preserve">This was the authors’ second measure of state government ideology. Instead of relying on ADA and COPE scores to construct a measure, the authors rely </w:t>
            </w:r>
            <w:r>
              <w:rPr>
                <w:spacing w:val="-7"/>
                <w:sz w:val="20"/>
              </w:rPr>
              <w:t xml:space="preserve">on </w:t>
            </w:r>
            <w:r>
              <w:rPr>
                <w:sz w:val="20"/>
              </w:rPr>
              <w:t xml:space="preserve">“Common-Space” congressional ideology scores to construct their measure of state party ideology (available at: </w:t>
            </w:r>
            <w:hyperlink r:id="rId531">
              <w:r>
                <w:rPr>
                  <w:color w:val="0462C1"/>
                  <w:sz w:val="20"/>
                  <w:u w:val="single" w:color="0462C1"/>
                </w:rPr>
                <w:t>http://voteview.com/basic.htm</w:t>
              </w:r>
            </w:hyperlink>
            <w:r>
              <w:rPr>
                <w:sz w:val="20"/>
              </w:rPr>
              <w:t>).</w:t>
            </w:r>
          </w:p>
        </w:tc>
        <w:tc>
          <w:tcPr>
            <w:tcW w:w="6477" w:type="dxa"/>
          </w:tcPr>
          <w:p w14:paraId="5700EA47" w14:textId="77777777" w:rsidR="0046798B" w:rsidRDefault="00903B5C">
            <w:pPr>
              <w:pStyle w:val="TableParagraph"/>
              <w:spacing w:before="43"/>
              <w:ind w:left="114" w:right="356"/>
              <w:rPr>
                <w:sz w:val="20"/>
              </w:rPr>
            </w:pPr>
            <w:r>
              <w:rPr>
                <w:sz w:val="20"/>
              </w:rPr>
              <w:t xml:space="preserve">Berry, William D., Evan J. Ringquist, Richard C. Fording, and Russell L. Hanson. “Measuring Citizen and Government Ideology in the American States, 1960-93.” </w:t>
            </w:r>
            <w:r>
              <w:rPr>
                <w:i/>
                <w:sz w:val="20"/>
              </w:rPr>
              <w:t xml:space="preserve">American Journal of Political Science </w:t>
            </w:r>
            <w:r>
              <w:rPr>
                <w:sz w:val="20"/>
              </w:rPr>
              <w:t>42.1 (1998): 327–</w:t>
            </w:r>
          </w:p>
          <w:p w14:paraId="59287FA1" w14:textId="77777777" w:rsidR="0046798B" w:rsidRDefault="00903B5C">
            <w:pPr>
              <w:pStyle w:val="TableParagraph"/>
              <w:spacing w:before="1"/>
              <w:ind w:left="114"/>
              <w:rPr>
                <w:sz w:val="20"/>
              </w:rPr>
            </w:pPr>
            <w:r>
              <w:rPr>
                <w:sz w:val="20"/>
              </w:rPr>
              <w:t>348.</w:t>
            </w:r>
          </w:p>
          <w:p w14:paraId="01B53B87" w14:textId="77777777" w:rsidR="0046798B" w:rsidRDefault="0046798B">
            <w:pPr>
              <w:pStyle w:val="TableParagraph"/>
              <w:spacing w:before="11"/>
              <w:rPr>
                <w:sz w:val="19"/>
              </w:rPr>
            </w:pPr>
          </w:p>
          <w:p w14:paraId="20B95D12" w14:textId="77777777" w:rsidR="0046798B" w:rsidRDefault="00903B5C">
            <w:pPr>
              <w:pStyle w:val="TableParagraph"/>
              <w:ind w:left="114" w:right="89"/>
              <w:rPr>
                <w:sz w:val="20"/>
              </w:rPr>
            </w:pPr>
            <w:r>
              <w:rPr>
                <w:sz w:val="20"/>
              </w:rPr>
              <w:t xml:space="preserve">Berry, William D., Richard C. Fording, Evan J. Ringquist, Russell L. Hanson, and Carl Klarner. “Measuring Citizen and Government Ideology in the American States: A Re-appraisal.” </w:t>
            </w:r>
            <w:r>
              <w:rPr>
                <w:i/>
                <w:sz w:val="20"/>
              </w:rPr>
              <w:t xml:space="preserve">State Politics and Policy Quarterly </w:t>
            </w:r>
            <w:r>
              <w:rPr>
                <w:sz w:val="20"/>
              </w:rPr>
              <w:t>10.2 (2010): 117–135.</w:t>
            </w:r>
          </w:p>
        </w:tc>
      </w:tr>
      <w:tr w:rsidR="0046798B" w14:paraId="34A2A281" w14:textId="77777777">
        <w:trPr>
          <w:trHeight w:val="3080"/>
        </w:trPr>
        <w:tc>
          <w:tcPr>
            <w:tcW w:w="1711" w:type="dxa"/>
          </w:tcPr>
          <w:p w14:paraId="2AFEC6F6" w14:textId="77777777" w:rsidR="0046798B" w:rsidRDefault="0046798B">
            <w:pPr>
              <w:pStyle w:val="TableParagraph"/>
            </w:pPr>
          </w:p>
          <w:p w14:paraId="0B238E49" w14:textId="77777777" w:rsidR="0046798B" w:rsidRDefault="0046798B">
            <w:pPr>
              <w:pStyle w:val="TableParagraph"/>
            </w:pPr>
          </w:p>
          <w:p w14:paraId="6E163280" w14:textId="77777777" w:rsidR="0046798B" w:rsidRDefault="0046798B">
            <w:pPr>
              <w:pStyle w:val="TableParagraph"/>
            </w:pPr>
          </w:p>
          <w:p w14:paraId="649C4A3D" w14:textId="77777777" w:rsidR="0046798B" w:rsidRDefault="0046798B">
            <w:pPr>
              <w:pStyle w:val="TableParagraph"/>
            </w:pPr>
          </w:p>
          <w:p w14:paraId="5AD8FC2C" w14:textId="77777777" w:rsidR="0046798B" w:rsidRDefault="0046798B">
            <w:pPr>
              <w:pStyle w:val="TableParagraph"/>
            </w:pPr>
          </w:p>
          <w:p w14:paraId="514F010B" w14:textId="77777777" w:rsidR="0046798B" w:rsidRDefault="00903B5C">
            <w:pPr>
              <w:pStyle w:val="TableParagraph"/>
              <w:spacing w:before="158"/>
              <w:ind w:left="115"/>
              <w:rPr>
                <w:b/>
                <w:sz w:val="20"/>
              </w:rPr>
            </w:pPr>
            <w:r>
              <w:rPr>
                <w:b/>
                <w:sz w:val="20"/>
              </w:rPr>
              <w:t>legprofscore</w:t>
            </w:r>
          </w:p>
        </w:tc>
        <w:tc>
          <w:tcPr>
            <w:tcW w:w="1596" w:type="dxa"/>
          </w:tcPr>
          <w:p w14:paraId="5EE7F3C3" w14:textId="77777777" w:rsidR="0046798B" w:rsidRDefault="0046798B">
            <w:pPr>
              <w:pStyle w:val="TableParagraph"/>
            </w:pPr>
          </w:p>
          <w:p w14:paraId="037F67D8" w14:textId="77777777" w:rsidR="0046798B" w:rsidRDefault="0046798B">
            <w:pPr>
              <w:pStyle w:val="TableParagraph"/>
            </w:pPr>
          </w:p>
          <w:p w14:paraId="49BF8171" w14:textId="77777777" w:rsidR="0046798B" w:rsidRDefault="0046798B">
            <w:pPr>
              <w:pStyle w:val="TableParagraph"/>
            </w:pPr>
          </w:p>
          <w:p w14:paraId="52D599D3" w14:textId="77777777" w:rsidR="0046798B" w:rsidRDefault="0046798B">
            <w:pPr>
              <w:pStyle w:val="TableParagraph"/>
            </w:pPr>
          </w:p>
          <w:p w14:paraId="677B2252" w14:textId="77777777" w:rsidR="0046798B" w:rsidRDefault="0046798B">
            <w:pPr>
              <w:pStyle w:val="TableParagraph"/>
              <w:spacing w:before="9"/>
              <w:rPr>
                <w:sz w:val="25"/>
              </w:rPr>
            </w:pPr>
          </w:p>
          <w:p w14:paraId="79E0887D" w14:textId="77777777" w:rsidR="0046798B" w:rsidRDefault="00903B5C">
            <w:pPr>
              <w:pStyle w:val="TableParagraph"/>
              <w:ind w:left="114" w:right="180"/>
              <w:rPr>
                <w:sz w:val="20"/>
              </w:rPr>
            </w:pPr>
            <w:r>
              <w:rPr>
                <w:sz w:val="20"/>
              </w:rPr>
              <w:t>State legislative professionalism</w:t>
            </w:r>
          </w:p>
        </w:tc>
        <w:tc>
          <w:tcPr>
            <w:tcW w:w="1280" w:type="dxa"/>
          </w:tcPr>
          <w:p w14:paraId="35E12869" w14:textId="77777777" w:rsidR="0046798B" w:rsidRDefault="0046798B">
            <w:pPr>
              <w:pStyle w:val="TableParagraph"/>
            </w:pPr>
          </w:p>
          <w:p w14:paraId="19D80782" w14:textId="77777777" w:rsidR="0046798B" w:rsidRDefault="0046798B">
            <w:pPr>
              <w:pStyle w:val="TableParagraph"/>
            </w:pPr>
          </w:p>
          <w:p w14:paraId="0FA4C505" w14:textId="77777777" w:rsidR="0046798B" w:rsidRDefault="0046798B">
            <w:pPr>
              <w:pStyle w:val="TableParagraph"/>
            </w:pPr>
          </w:p>
          <w:p w14:paraId="3F270C89" w14:textId="77777777" w:rsidR="0046798B" w:rsidRDefault="0046798B">
            <w:pPr>
              <w:pStyle w:val="TableParagraph"/>
            </w:pPr>
          </w:p>
          <w:p w14:paraId="5818B4B1" w14:textId="77777777" w:rsidR="0046798B" w:rsidRDefault="0046798B">
            <w:pPr>
              <w:pStyle w:val="TableParagraph"/>
              <w:spacing w:before="9"/>
              <w:rPr>
                <w:sz w:val="25"/>
              </w:rPr>
            </w:pPr>
          </w:p>
          <w:p w14:paraId="46D8CABC" w14:textId="77777777" w:rsidR="0046798B" w:rsidRDefault="00903B5C">
            <w:pPr>
              <w:pStyle w:val="TableParagraph"/>
              <w:ind w:left="114"/>
              <w:rPr>
                <w:sz w:val="20"/>
              </w:rPr>
            </w:pPr>
            <w:r>
              <w:rPr>
                <w:sz w:val="20"/>
              </w:rPr>
              <w:t>1979, 1996,</w:t>
            </w:r>
          </w:p>
          <w:p w14:paraId="05E65F60" w14:textId="77777777" w:rsidR="0046798B" w:rsidRDefault="00903B5C">
            <w:pPr>
              <w:pStyle w:val="TableParagraph"/>
              <w:ind w:left="114"/>
              <w:rPr>
                <w:sz w:val="20"/>
              </w:rPr>
            </w:pPr>
            <w:r>
              <w:rPr>
                <w:sz w:val="20"/>
              </w:rPr>
              <w:t>2003</w:t>
            </w:r>
          </w:p>
        </w:tc>
        <w:tc>
          <w:tcPr>
            <w:tcW w:w="3421" w:type="dxa"/>
          </w:tcPr>
          <w:p w14:paraId="71E58784" w14:textId="77777777" w:rsidR="0046798B" w:rsidRDefault="0046798B">
            <w:pPr>
              <w:pStyle w:val="TableParagraph"/>
            </w:pPr>
          </w:p>
          <w:p w14:paraId="0D8CC226" w14:textId="77777777" w:rsidR="0046798B" w:rsidRDefault="0046798B">
            <w:pPr>
              <w:pStyle w:val="TableParagraph"/>
            </w:pPr>
          </w:p>
          <w:p w14:paraId="6C00F48F" w14:textId="77777777" w:rsidR="0046798B" w:rsidRDefault="0046798B">
            <w:pPr>
              <w:pStyle w:val="TableParagraph"/>
            </w:pPr>
          </w:p>
          <w:p w14:paraId="7BB2FA19" w14:textId="77777777" w:rsidR="0046798B" w:rsidRDefault="0046798B">
            <w:pPr>
              <w:pStyle w:val="TableParagraph"/>
              <w:spacing w:before="9"/>
              <w:rPr>
                <w:sz w:val="27"/>
              </w:rPr>
            </w:pPr>
          </w:p>
          <w:p w14:paraId="1C317D81" w14:textId="77777777" w:rsidR="0046798B" w:rsidRDefault="00903B5C">
            <w:pPr>
              <w:pStyle w:val="TableParagraph"/>
              <w:ind w:left="114" w:right="409"/>
              <w:jc w:val="both"/>
              <w:rPr>
                <w:sz w:val="20"/>
              </w:rPr>
            </w:pPr>
            <w:r>
              <w:rPr>
                <w:sz w:val="20"/>
              </w:rPr>
              <w:t>State legislative professionalization score (member pay, days in session, and staff per legislator compared to Congress)</w:t>
            </w:r>
          </w:p>
        </w:tc>
        <w:tc>
          <w:tcPr>
            <w:tcW w:w="6477" w:type="dxa"/>
          </w:tcPr>
          <w:p w14:paraId="31A89169" w14:textId="77777777" w:rsidR="0046798B" w:rsidRDefault="00903B5C">
            <w:pPr>
              <w:pStyle w:val="TableParagraph"/>
              <w:spacing w:before="43"/>
              <w:ind w:left="114" w:right="234"/>
              <w:rPr>
                <w:sz w:val="20"/>
              </w:rPr>
            </w:pPr>
            <w:r>
              <w:rPr>
                <w:sz w:val="20"/>
              </w:rPr>
              <w:t xml:space="preserve">Squire, Peverill. “Legislative Professionalization and Membership Diversity in State Legislatures.” </w:t>
            </w:r>
            <w:r>
              <w:rPr>
                <w:i/>
                <w:sz w:val="20"/>
              </w:rPr>
              <w:t xml:space="preserve">Legislative Studies Quarterly </w:t>
            </w:r>
            <w:r>
              <w:rPr>
                <w:sz w:val="20"/>
              </w:rPr>
              <w:t>17.1 (1992): 69–79.</w:t>
            </w:r>
          </w:p>
          <w:p w14:paraId="2ADF30ED" w14:textId="77777777" w:rsidR="0046798B" w:rsidRDefault="0046798B">
            <w:pPr>
              <w:pStyle w:val="TableParagraph"/>
              <w:rPr>
                <w:sz w:val="20"/>
              </w:rPr>
            </w:pPr>
          </w:p>
          <w:p w14:paraId="4F64CE63" w14:textId="77777777" w:rsidR="0046798B" w:rsidRDefault="00903B5C">
            <w:pPr>
              <w:pStyle w:val="TableParagraph"/>
              <w:ind w:left="114"/>
              <w:rPr>
                <w:sz w:val="20"/>
              </w:rPr>
            </w:pPr>
            <w:r>
              <w:rPr>
                <w:sz w:val="20"/>
              </w:rPr>
              <w:t xml:space="preserve">Squire, Peverill. “Measuring Legislative Professionalism: The Squire Index Revisited.” </w:t>
            </w:r>
            <w:r>
              <w:rPr>
                <w:i/>
                <w:sz w:val="20"/>
              </w:rPr>
              <w:t xml:space="preserve">State Politics and Policy Quarterly </w:t>
            </w:r>
            <w:r>
              <w:rPr>
                <w:sz w:val="20"/>
              </w:rPr>
              <w:t>7.2 (2007): 211–227.</w:t>
            </w:r>
          </w:p>
          <w:p w14:paraId="694E8115" w14:textId="77777777" w:rsidR="0046798B" w:rsidRDefault="0046798B">
            <w:pPr>
              <w:pStyle w:val="TableParagraph"/>
              <w:rPr>
                <w:sz w:val="20"/>
              </w:rPr>
            </w:pPr>
          </w:p>
          <w:p w14:paraId="03BAE9A9" w14:textId="77777777" w:rsidR="0046798B" w:rsidRDefault="00903B5C">
            <w:pPr>
              <w:pStyle w:val="TableParagraph"/>
              <w:ind w:left="114" w:right="162"/>
              <w:rPr>
                <w:sz w:val="20"/>
              </w:rPr>
            </w:pPr>
            <w:r>
              <w:rPr>
                <w:sz w:val="20"/>
              </w:rPr>
              <w:t>Notes: The measure for 1996 (with a slight revision for Nevada) is from Squire (2000). The member pay and days in session data for the 1979 and 2003 measures are calculated from the appropriate volumes of the Book of the States. The staff data for state legislators is from the National Conference of State Legislatures, “Size of State Legislative Staff: 1979, 1988, 1996, and 2003,” May 6, 2004. Congressional data are taken from Dwyer (2004), Congressional Quarterly (1993), and Ornstein, Mann, and Malbin (2000).</w:t>
            </w:r>
          </w:p>
        </w:tc>
      </w:tr>
      <w:tr w:rsidR="0046798B" w14:paraId="105AEAB6" w14:textId="77777777">
        <w:trPr>
          <w:trHeight w:val="1005"/>
        </w:trPr>
        <w:tc>
          <w:tcPr>
            <w:tcW w:w="1711" w:type="dxa"/>
          </w:tcPr>
          <w:p w14:paraId="5E410BD9" w14:textId="77777777" w:rsidR="0046798B" w:rsidRDefault="0046798B">
            <w:pPr>
              <w:pStyle w:val="TableParagraph"/>
            </w:pPr>
          </w:p>
          <w:p w14:paraId="00706DA3" w14:textId="77777777" w:rsidR="0046798B" w:rsidRDefault="00903B5C">
            <w:pPr>
              <w:pStyle w:val="TableParagraph"/>
              <w:spacing w:before="130"/>
              <w:ind w:left="115"/>
              <w:rPr>
                <w:b/>
                <w:sz w:val="20"/>
              </w:rPr>
            </w:pPr>
            <w:r>
              <w:rPr>
                <w:b/>
                <w:sz w:val="20"/>
              </w:rPr>
              <w:t>sess_length</w:t>
            </w:r>
          </w:p>
        </w:tc>
        <w:tc>
          <w:tcPr>
            <w:tcW w:w="1596" w:type="dxa"/>
          </w:tcPr>
          <w:p w14:paraId="742AA59B" w14:textId="77777777" w:rsidR="0046798B" w:rsidRDefault="0046798B">
            <w:pPr>
              <w:pStyle w:val="TableParagraph"/>
            </w:pPr>
          </w:p>
          <w:p w14:paraId="23202FA3" w14:textId="77777777" w:rsidR="0046798B" w:rsidRDefault="00903B5C">
            <w:pPr>
              <w:pStyle w:val="TableParagraph"/>
              <w:spacing w:before="130"/>
              <w:ind w:left="114"/>
              <w:rPr>
                <w:sz w:val="20"/>
              </w:rPr>
            </w:pPr>
            <w:r>
              <w:rPr>
                <w:sz w:val="20"/>
              </w:rPr>
              <w:t>Session length</w:t>
            </w:r>
          </w:p>
        </w:tc>
        <w:tc>
          <w:tcPr>
            <w:tcW w:w="1280" w:type="dxa"/>
          </w:tcPr>
          <w:p w14:paraId="24D036B1" w14:textId="77777777" w:rsidR="0046798B" w:rsidRDefault="0046798B">
            <w:pPr>
              <w:pStyle w:val="TableParagraph"/>
            </w:pPr>
          </w:p>
          <w:p w14:paraId="62CED9CC" w14:textId="77777777" w:rsidR="0046798B" w:rsidRDefault="00903B5C">
            <w:pPr>
              <w:pStyle w:val="TableParagraph"/>
              <w:spacing w:before="130"/>
              <w:ind w:left="114"/>
              <w:rPr>
                <w:sz w:val="20"/>
              </w:rPr>
            </w:pPr>
            <w:r>
              <w:rPr>
                <w:sz w:val="20"/>
              </w:rPr>
              <w:t>1973–2014</w:t>
            </w:r>
          </w:p>
        </w:tc>
        <w:tc>
          <w:tcPr>
            <w:tcW w:w="3421" w:type="dxa"/>
          </w:tcPr>
          <w:p w14:paraId="34865B79" w14:textId="77777777" w:rsidR="0046798B" w:rsidRDefault="00903B5C">
            <w:pPr>
              <w:pStyle w:val="TableParagraph"/>
              <w:spacing w:before="38"/>
              <w:ind w:left="114"/>
              <w:rPr>
                <w:sz w:val="20"/>
              </w:rPr>
            </w:pPr>
            <w:r>
              <w:rPr>
                <w:sz w:val="20"/>
              </w:rPr>
              <w:t>Length of regular session of Congress.</w:t>
            </w:r>
          </w:p>
          <w:p w14:paraId="21700E2C" w14:textId="77777777" w:rsidR="0046798B" w:rsidRDefault="0046798B">
            <w:pPr>
              <w:pStyle w:val="TableParagraph"/>
              <w:rPr>
                <w:sz w:val="20"/>
              </w:rPr>
            </w:pPr>
          </w:p>
          <w:p w14:paraId="62DC5FF6" w14:textId="77777777" w:rsidR="0046798B" w:rsidRDefault="00903B5C">
            <w:pPr>
              <w:pStyle w:val="TableParagraph"/>
              <w:ind w:left="114" w:right="372"/>
              <w:rPr>
                <w:sz w:val="20"/>
              </w:rPr>
            </w:pPr>
            <w:r>
              <w:rPr>
                <w:sz w:val="20"/>
              </w:rPr>
              <w:t>Note: Year coded as the first year of the biennium session.</w:t>
            </w:r>
          </w:p>
        </w:tc>
        <w:tc>
          <w:tcPr>
            <w:tcW w:w="6477" w:type="dxa"/>
          </w:tcPr>
          <w:p w14:paraId="3B5A4020" w14:textId="77777777" w:rsidR="0046798B" w:rsidRDefault="00903B5C">
            <w:pPr>
              <w:pStyle w:val="TableParagraph"/>
              <w:spacing w:before="38"/>
              <w:ind w:left="114" w:right="478"/>
              <w:rPr>
                <w:sz w:val="20"/>
              </w:rPr>
            </w:pPr>
            <w:r>
              <w:rPr>
                <w:sz w:val="20"/>
              </w:rPr>
              <w:t xml:space="preserve">Bowen, Daniel C. and Zachary Greene. “Should We Measure Professionalism with an Index? A Note on Theory and Practice in State Legislative Professionalism Research.” </w:t>
            </w:r>
            <w:r>
              <w:rPr>
                <w:i/>
                <w:sz w:val="20"/>
              </w:rPr>
              <w:t xml:space="preserve">State Politics &amp; Policy Quarterly </w:t>
            </w:r>
            <w:r>
              <w:rPr>
                <w:sz w:val="20"/>
              </w:rPr>
              <w:t>14.3 (2014): 277–296.</w:t>
            </w:r>
          </w:p>
        </w:tc>
      </w:tr>
      <w:tr w:rsidR="0046798B" w14:paraId="6F8DFE7D" w14:textId="77777777">
        <w:trPr>
          <w:trHeight w:val="1005"/>
        </w:trPr>
        <w:tc>
          <w:tcPr>
            <w:tcW w:w="1711" w:type="dxa"/>
          </w:tcPr>
          <w:p w14:paraId="0AEB0EDA" w14:textId="77777777" w:rsidR="0046798B" w:rsidRDefault="0046798B">
            <w:pPr>
              <w:pStyle w:val="TableParagraph"/>
            </w:pPr>
          </w:p>
          <w:p w14:paraId="76A586A7" w14:textId="77777777" w:rsidR="0046798B" w:rsidRDefault="00903B5C">
            <w:pPr>
              <w:pStyle w:val="TableParagraph"/>
              <w:spacing w:before="130"/>
              <w:ind w:left="115"/>
              <w:rPr>
                <w:b/>
                <w:sz w:val="20"/>
              </w:rPr>
            </w:pPr>
            <w:r>
              <w:rPr>
                <w:b/>
                <w:sz w:val="20"/>
              </w:rPr>
              <w:t>leg_realsalary</w:t>
            </w:r>
          </w:p>
        </w:tc>
        <w:tc>
          <w:tcPr>
            <w:tcW w:w="1596" w:type="dxa"/>
          </w:tcPr>
          <w:p w14:paraId="472B9D1E" w14:textId="77777777" w:rsidR="0046798B" w:rsidRDefault="0046798B">
            <w:pPr>
              <w:pStyle w:val="TableParagraph"/>
            </w:pPr>
          </w:p>
          <w:p w14:paraId="6F3769D4" w14:textId="77777777" w:rsidR="0046798B" w:rsidRDefault="00903B5C">
            <w:pPr>
              <w:pStyle w:val="TableParagraph"/>
              <w:spacing w:before="130"/>
              <w:ind w:left="114"/>
              <w:rPr>
                <w:sz w:val="20"/>
              </w:rPr>
            </w:pPr>
            <w:r>
              <w:rPr>
                <w:sz w:val="20"/>
              </w:rPr>
              <w:t>Legislator salary</w:t>
            </w:r>
          </w:p>
        </w:tc>
        <w:tc>
          <w:tcPr>
            <w:tcW w:w="1280" w:type="dxa"/>
          </w:tcPr>
          <w:p w14:paraId="3BE3D35E" w14:textId="77777777" w:rsidR="0046798B" w:rsidRDefault="0046798B">
            <w:pPr>
              <w:pStyle w:val="TableParagraph"/>
            </w:pPr>
          </w:p>
          <w:p w14:paraId="2E307F9C" w14:textId="77777777" w:rsidR="0046798B" w:rsidRDefault="00903B5C">
            <w:pPr>
              <w:pStyle w:val="TableParagraph"/>
              <w:spacing w:before="130"/>
              <w:ind w:left="114"/>
              <w:rPr>
                <w:sz w:val="20"/>
              </w:rPr>
            </w:pPr>
            <w:r>
              <w:rPr>
                <w:sz w:val="20"/>
              </w:rPr>
              <w:t>1973–2014</w:t>
            </w:r>
          </w:p>
        </w:tc>
        <w:tc>
          <w:tcPr>
            <w:tcW w:w="3421" w:type="dxa"/>
          </w:tcPr>
          <w:p w14:paraId="159C61EF" w14:textId="77777777" w:rsidR="0046798B" w:rsidRDefault="00903B5C">
            <w:pPr>
              <w:pStyle w:val="TableParagraph"/>
              <w:spacing w:before="38"/>
              <w:ind w:left="114"/>
              <w:rPr>
                <w:sz w:val="20"/>
              </w:rPr>
            </w:pPr>
            <w:r>
              <w:rPr>
                <w:sz w:val="20"/>
              </w:rPr>
              <w:t>Real legislator salary in 2010 dollars.</w:t>
            </w:r>
          </w:p>
          <w:p w14:paraId="2B65D4A2" w14:textId="77777777" w:rsidR="0046798B" w:rsidRDefault="0046798B">
            <w:pPr>
              <w:pStyle w:val="TableParagraph"/>
              <w:rPr>
                <w:sz w:val="20"/>
              </w:rPr>
            </w:pPr>
          </w:p>
          <w:p w14:paraId="7C9B1746" w14:textId="77777777" w:rsidR="0046798B" w:rsidRDefault="00903B5C">
            <w:pPr>
              <w:pStyle w:val="TableParagraph"/>
              <w:ind w:left="114" w:right="372"/>
              <w:rPr>
                <w:sz w:val="20"/>
              </w:rPr>
            </w:pPr>
            <w:r>
              <w:rPr>
                <w:sz w:val="20"/>
              </w:rPr>
              <w:t>Note: Year coded as the first year of the biennium session.</w:t>
            </w:r>
          </w:p>
        </w:tc>
        <w:tc>
          <w:tcPr>
            <w:tcW w:w="6477" w:type="dxa"/>
          </w:tcPr>
          <w:p w14:paraId="64D8E31F" w14:textId="77777777" w:rsidR="0046798B" w:rsidRDefault="00903B5C">
            <w:pPr>
              <w:pStyle w:val="TableParagraph"/>
              <w:spacing w:before="38"/>
              <w:ind w:left="114" w:right="478"/>
              <w:rPr>
                <w:sz w:val="20"/>
              </w:rPr>
            </w:pPr>
            <w:r>
              <w:rPr>
                <w:sz w:val="20"/>
              </w:rPr>
              <w:t xml:space="preserve">Bowen, Daniel C. and Zachary Greene. “Should We Measure Professionalism with an Index? A Note on Theory and Practice in State Legislative Professionalism Research.” </w:t>
            </w:r>
            <w:r>
              <w:rPr>
                <w:i/>
                <w:sz w:val="20"/>
              </w:rPr>
              <w:t xml:space="preserve">State Politics &amp; Policy Quarterly </w:t>
            </w:r>
            <w:r>
              <w:rPr>
                <w:sz w:val="20"/>
              </w:rPr>
              <w:t>14.3 (2014): 277–296.</w:t>
            </w:r>
          </w:p>
        </w:tc>
      </w:tr>
      <w:tr w:rsidR="0046798B" w14:paraId="4881D163" w14:textId="77777777">
        <w:trPr>
          <w:trHeight w:val="1235"/>
        </w:trPr>
        <w:tc>
          <w:tcPr>
            <w:tcW w:w="1711" w:type="dxa"/>
          </w:tcPr>
          <w:p w14:paraId="356906A2" w14:textId="77777777" w:rsidR="0046798B" w:rsidRDefault="0046798B">
            <w:pPr>
              <w:pStyle w:val="TableParagraph"/>
            </w:pPr>
          </w:p>
          <w:p w14:paraId="19304D32" w14:textId="77777777" w:rsidR="0046798B" w:rsidRDefault="0046798B">
            <w:pPr>
              <w:pStyle w:val="TableParagraph"/>
              <w:spacing w:before="3"/>
              <w:rPr>
                <w:sz w:val="21"/>
              </w:rPr>
            </w:pPr>
          </w:p>
          <w:p w14:paraId="6D0E308F" w14:textId="77777777" w:rsidR="0046798B" w:rsidRDefault="00903B5C">
            <w:pPr>
              <w:pStyle w:val="TableParagraph"/>
              <w:spacing w:before="1"/>
              <w:ind w:left="115"/>
              <w:rPr>
                <w:b/>
                <w:sz w:val="20"/>
              </w:rPr>
            </w:pPr>
            <w:r>
              <w:rPr>
                <w:b/>
                <w:sz w:val="20"/>
              </w:rPr>
              <w:t>leg_expend</w:t>
            </w:r>
          </w:p>
        </w:tc>
        <w:tc>
          <w:tcPr>
            <w:tcW w:w="1596" w:type="dxa"/>
          </w:tcPr>
          <w:p w14:paraId="5469BD08" w14:textId="77777777" w:rsidR="0046798B" w:rsidRDefault="0046798B">
            <w:pPr>
              <w:pStyle w:val="TableParagraph"/>
            </w:pPr>
          </w:p>
          <w:p w14:paraId="7785C913" w14:textId="77777777" w:rsidR="0046798B" w:rsidRDefault="00903B5C">
            <w:pPr>
              <w:pStyle w:val="TableParagraph"/>
              <w:spacing w:before="130"/>
              <w:ind w:left="114" w:right="430"/>
              <w:rPr>
                <w:sz w:val="20"/>
              </w:rPr>
            </w:pPr>
            <w:r>
              <w:rPr>
                <w:sz w:val="20"/>
              </w:rPr>
              <w:t>Legislator expenditures</w:t>
            </w:r>
          </w:p>
        </w:tc>
        <w:tc>
          <w:tcPr>
            <w:tcW w:w="1280" w:type="dxa"/>
          </w:tcPr>
          <w:p w14:paraId="627FD0B1" w14:textId="77777777" w:rsidR="0046798B" w:rsidRDefault="0046798B">
            <w:pPr>
              <w:pStyle w:val="TableParagraph"/>
            </w:pPr>
          </w:p>
          <w:p w14:paraId="5C75FAA1" w14:textId="77777777" w:rsidR="0046798B" w:rsidRDefault="0046798B">
            <w:pPr>
              <w:pStyle w:val="TableParagraph"/>
              <w:spacing w:before="3"/>
              <w:rPr>
                <w:sz w:val="21"/>
              </w:rPr>
            </w:pPr>
          </w:p>
          <w:p w14:paraId="351CD4A5" w14:textId="77777777" w:rsidR="0046798B" w:rsidRDefault="00903B5C">
            <w:pPr>
              <w:pStyle w:val="TableParagraph"/>
              <w:spacing w:before="1"/>
              <w:ind w:left="114"/>
              <w:rPr>
                <w:sz w:val="20"/>
              </w:rPr>
            </w:pPr>
            <w:r>
              <w:rPr>
                <w:sz w:val="20"/>
              </w:rPr>
              <w:t>1973–2014</w:t>
            </w:r>
          </w:p>
        </w:tc>
        <w:tc>
          <w:tcPr>
            <w:tcW w:w="3421" w:type="dxa"/>
          </w:tcPr>
          <w:p w14:paraId="2E1695D5" w14:textId="77777777" w:rsidR="0046798B" w:rsidRDefault="00903B5C">
            <w:pPr>
              <w:pStyle w:val="TableParagraph"/>
              <w:spacing w:before="38"/>
              <w:ind w:left="114" w:right="533"/>
              <w:rPr>
                <w:sz w:val="20"/>
              </w:rPr>
            </w:pPr>
            <w:r>
              <w:rPr>
                <w:sz w:val="20"/>
              </w:rPr>
              <w:t>Real expenditures per legislator in thousands of 2010 dollars.</w:t>
            </w:r>
          </w:p>
          <w:p w14:paraId="337EE8B1" w14:textId="77777777" w:rsidR="0046798B" w:rsidRDefault="0046798B">
            <w:pPr>
              <w:pStyle w:val="TableParagraph"/>
              <w:rPr>
                <w:sz w:val="20"/>
              </w:rPr>
            </w:pPr>
          </w:p>
          <w:p w14:paraId="26B19FC0" w14:textId="77777777" w:rsidR="0046798B" w:rsidRDefault="00903B5C">
            <w:pPr>
              <w:pStyle w:val="TableParagraph"/>
              <w:ind w:left="114" w:right="372"/>
              <w:rPr>
                <w:sz w:val="20"/>
              </w:rPr>
            </w:pPr>
            <w:r>
              <w:rPr>
                <w:sz w:val="20"/>
              </w:rPr>
              <w:t>Note: Year coded as the first year of the biennium session.</w:t>
            </w:r>
          </w:p>
        </w:tc>
        <w:tc>
          <w:tcPr>
            <w:tcW w:w="6477" w:type="dxa"/>
          </w:tcPr>
          <w:p w14:paraId="074A4D3D" w14:textId="77777777" w:rsidR="0046798B" w:rsidRDefault="00903B5C">
            <w:pPr>
              <w:pStyle w:val="TableParagraph"/>
              <w:spacing w:before="153"/>
              <w:ind w:left="114" w:right="478"/>
              <w:rPr>
                <w:sz w:val="20"/>
              </w:rPr>
            </w:pPr>
            <w:r>
              <w:rPr>
                <w:sz w:val="20"/>
              </w:rPr>
              <w:t xml:space="preserve">Bowen, Daniel C. and Zachary Greene. “Should We Measure Professionalism with an Index? A Note on Theory and Practice in State Legislative Professionalism Research.” </w:t>
            </w:r>
            <w:r>
              <w:rPr>
                <w:i/>
                <w:sz w:val="20"/>
              </w:rPr>
              <w:t xml:space="preserve">State Politics &amp; Policy Quarterly </w:t>
            </w:r>
            <w:r>
              <w:rPr>
                <w:sz w:val="20"/>
              </w:rPr>
              <w:t>14.3 (2014): 277–296.</w:t>
            </w:r>
          </w:p>
        </w:tc>
      </w:tr>
    </w:tbl>
    <w:p w14:paraId="374A8D98" w14:textId="77777777" w:rsidR="0046798B" w:rsidRDefault="0046798B">
      <w:pPr>
        <w:rPr>
          <w:sz w:val="20"/>
        </w:rPr>
        <w:sectPr w:rsidR="0046798B">
          <w:pgSz w:w="15840" w:h="12240" w:orient="landscape"/>
          <w:pgMar w:top="1220" w:right="300" w:bottom="980" w:left="820" w:header="730" w:footer="787" w:gutter="0"/>
          <w:cols w:space="720"/>
        </w:sectPr>
      </w:pPr>
    </w:p>
    <w:p w14:paraId="4226D6C3"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0"/>
        <w:gridCol w:w="3421"/>
        <w:gridCol w:w="6477"/>
      </w:tblGrid>
      <w:tr w:rsidR="0046798B" w14:paraId="5D0FFAFA" w14:textId="77777777">
        <w:trPr>
          <w:trHeight w:val="1465"/>
        </w:trPr>
        <w:tc>
          <w:tcPr>
            <w:tcW w:w="1711" w:type="dxa"/>
          </w:tcPr>
          <w:p w14:paraId="6709C8CF" w14:textId="77777777" w:rsidR="0046798B" w:rsidRDefault="0046798B">
            <w:pPr>
              <w:pStyle w:val="TableParagraph"/>
            </w:pPr>
          </w:p>
          <w:p w14:paraId="7D69A275" w14:textId="77777777" w:rsidR="0046798B" w:rsidRDefault="0046798B">
            <w:pPr>
              <w:pStyle w:val="TableParagraph"/>
              <w:spacing w:before="9"/>
              <w:rPr>
                <w:sz w:val="21"/>
              </w:rPr>
            </w:pPr>
          </w:p>
          <w:p w14:paraId="588A6CF8" w14:textId="77777777" w:rsidR="0046798B" w:rsidRDefault="00903B5C">
            <w:pPr>
              <w:pStyle w:val="TableParagraph"/>
              <w:ind w:left="115" w:right="132"/>
              <w:rPr>
                <w:b/>
                <w:sz w:val="20"/>
              </w:rPr>
            </w:pPr>
            <w:r>
              <w:rPr>
                <w:b/>
                <w:sz w:val="20"/>
              </w:rPr>
              <w:t>bowen_legprof_f irstdim</w:t>
            </w:r>
          </w:p>
        </w:tc>
        <w:tc>
          <w:tcPr>
            <w:tcW w:w="1596" w:type="dxa"/>
          </w:tcPr>
          <w:p w14:paraId="518359B5" w14:textId="77777777" w:rsidR="0046798B" w:rsidRDefault="0046798B">
            <w:pPr>
              <w:pStyle w:val="TableParagraph"/>
            </w:pPr>
          </w:p>
          <w:p w14:paraId="37155902" w14:textId="77777777" w:rsidR="0046798B" w:rsidRDefault="00903B5C">
            <w:pPr>
              <w:pStyle w:val="TableParagraph"/>
              <w:spacing w:before="135"/>
              <w:ind w:left="114" w:right="200"/>
              <w:jc w:val="both"/>
              <w:rPr>
                <w:sz w:val="20"/>
              </w:rPr>
            </w:pPr>
            <w:r>
              <w:rPr>
                <w:sz w:val="20"/>
              </w:rPr>
              <w:t>First dimension professionalism score</w:t>
            </w:r>
          </w:p>
        </w:tc>
        <w:tc>
          <w:tcPr>
            <w:tcW w:w="1280" w:type="dxa"/>
          </w:tcPr>
          <w:p w14:paraId="49047CEA" w14:textId="77777777" w:rsidR="0046798B" w:rsidRDefault="0046798B">
            <w:pPr>
              <w:pStyle w:val="TableParagraph"/>
            </w:pPr>
          </w:p>
          <w:p w14:paraId="4C38F905" w14:textId="77777777" w:rsidR="0046798B" w:rsidRDefault="0046798B">
            <w:pPr>
              <w:pStyle w:val="TableParagraph"/>
              <w:spacing w:before="9"/>
              <w:rPr>
                <w:sz w:val="31"/>
              </w:rPr>
            </w:pPr>
          </w:p>
          <w:p w14:paraId="40B610C1" w14:textId="77777777" w:rsidR="0046798B" w:rsidRDefault="00903B5C">
            <w:pPr>
              <w:pStyle w:val="TableParagraph"/>
              <w:ind w:left="114"/>
              <w:rPr>
                <w:sz w:val="20"/>
              </w:rPr>
            </w:pPr>
            <w:r>
              <w:rPr>
                <w:sz w:val="20"/>
              </w:rPr>
              <w:t>1973–2014</w:t>
            </w:r>
          </w:p>
        </w:tc>
        <w:tc>
          <w:tcPr>
            <w:tcW w:w="3421" w:type="dxa"/>
          </w:tcPr>
          <w:p w14:paraId="23AD9116" w14:textId="77777777" w:rsidR="0046798B" w:rsidRDefault="00903B5C">
            <w:pPr>
              <w:pStyle w:val="TableParagraph"/>
              <w:spacing w:before="43"/>
              <w:ind w:left="114" w:right="272"/>
              <w:rPr>
                <w:sz w:val="20"/>
              </w:rPr>
            </w:pPr>
            <w:r>
              <w:rPr>
                <w:sz w:val="20"/>
              </w:rPr>
              <w:t>Predicted value of the first dimension multidimensional scaling legislative professionalism score.</w:t>
            </w:r>
          </w:p>
          <w:p w14:paraId="54A3ABB8" w14:textId="77777777" w:rsidR="0046798B" w:rsidRDefault="0046798B">
            <w:pPr>
              <w:pStyle w:val="TableParagraph"/>
              <w:rPr>
                <w:sz w:val="20"/>
              </w:rPr>
            </w:pPr>
          </w:p>
          <w:p w14:paraId="25FF8A90" w14:textId="77777777" w:rsidR="0046798B" w:rsidRDefault="00903B5C">
            <w:pPr>
              <w:pStyle w:val="TableParagraph"/>
              <w:ind w:left="114" w:right="372"/>
              <w:rPr>
                <w:sz w:val="20"/>
              </w:rPr>
            </w:pPr>
            <w:r>
              <w:rPr>
                <w:sz w:val="20"/>
              </w:rPr>
              <w:t>Note: Year coded as the first year of the biennium session.</w:t>
            </w:r>
          </w:p>
        </w:tc>
        <w:tc>
          <w:tcPr>
            <w:tcW w:w="6477" w:type="dxa"/>
          </w:tcPr>
          <w:p w14:paraId="57736C2F" w14:textId="77777777" w:rsidR="0046798B" w:rsidRDefault="0046798B">
            <w:pPr>
              <w:pStyle w:val="TableParagraph"/>
              <w:spacing w:before="9"/>
              <w:rPr>
                <w:sz w:val="23"/>
              </w:rPr>
            </w:pPr>
          </w:p>
          <w:p w14:paraId="020A37EC" w14:textId="77777777" w:rsidR="0046798B" w:rsidRDefault="00903B5C">
            <w:pPr>
              <w:pStyle w:val="TableParagraph"/>
              <w:ind w:left="114" w:right="478"/>
              <w:rPr>
                <w:sz w:val="20"/>
              </w:rPr>
            </w:pPr>
            <w:r>
              <w:rPr>
                <w:sz w:val="20"/>
              </w:rPr>
              <w:t xml:space="preserve">Bowen, Daniel C. and Zachary Greene. “Should We Measure Professionalism with an Index? A Note on Theory and Practice in State Legislative Professionalism Research.” </w:t>
            </w:r>
            <w:r>
              <w:rPr>
                <w:i/>
                <w:sz w:val="20"/>
              </w:rPr>
              <w:t xml:space="preserve">State Politics &amp; Policy Quarterly </w:t>
            </w:r>
            <w:r>
              <w:rPr>
                <w:sz w:val="20"/>
              </w:rPr>
              <w:t>14.3 (2014): 277–296.</w:t>
            </w:r>
          </w:p>
        </w:tc>
      </w:tr>
      <w:tr w:rsidR="0046798B" w14:paraId="4241C95E" w14:textId="77777777">
        <w:trPr>
          <w:trHeight w:val="1466"/>
        </w:trPr>
        <w:tc>
          <w:tcPr>
            <w:tcW w:w="1711" w:type="dxa"/>
          </w:tcPr>
          <w:p w14:paraId="491C2309" w14:textId="77777777" w:rsidR="0046798B" w:rsidRDefault="0046798B">
            <w:pPr>
              <w:pStyle w:val="TableParagraph"/>
            </w:pPr>
          </w:p>
          <w:p w14:paraId="5778F56C" w14:textId="77777777" w:rsidR="0046798B" w:rsidRDefault="0046798B">
            <w:pPr>
              <w:pStyle w:val="TableParagraph"/>
              <w:spacing w:before="9"/>
              <w:rPr>
                <w:sz w:val="21"/>
              </w:rPr>
            </w:pPr>
          </w:p>
          <w:p w14:paraId="566C1251" w14:textId="77777777" w:rsidR="0046798B" w:rsidRDefault="00903B5C">
            <w:pPr>
              <w:pStyle w:val="TableParagraph"/>
              <w:ind w:left="115" w:right="121"/>
              <w:rPr>
                <w:b/>
                <w:sz w:val="20"/>
              </w:rPr>
            </w:pPr>
            <w:r>
              <w:rPr>
                <w:b/>
                <w:sz w:val="20"/>
              </w:rPr>
              <w:t>bowen_legprof_s econddim</w:t>
            </w:r>
          </w:p>
        </w:tc>
        <w:tc>
          <w:tcPr>
            <w:tcW w:w="1596" w:type="dxa"/>
          </w:tcPr>
          <w:p w14:paraId="0B077E5A" w14:textId="77777777" w:rsidR="0046798B" w:rsidRDefault="0046798B">
            <w:pPr>
              <w:pStyle w:val="TableParagraph"/>
              <w:spacing w:before="9"/>
              <w:rPr>
                <w:sz w:val="23"/>
              </w:rPr>
            </w:pPr>
          </w:p>
          <w:p w14:paraId="3986FCC4" w14:textId="77777777" w:rsidR="0046798B" w:rsidRDefault="00903B5C">
            <w:pPr>
              <w:pStyle w:val="TableParagraph"/>
              <w:ind w:left="114" w:right="185"/>
              <w:rPr>
                <w:sz w:val="20"/>
              </w:rPr>
            </w:pPr>
            <w:r>
              <w:rPr>
                <w:sz w:val="20"/>
              </w:rPr>
              <w:t>Second dimension professionalism score</w:t>
            </w:r>
          </w:p>
        </w:tc>
        <w:tc>
          <w:tcPr>
            <w:tcW w:w="1280" w:type="dxa"/>
          </w:tcPr>
          <w:p w14:paraId="0A9BBC47" w14:textId="77777777" w:rsidR="0046798B" w:rsidRDefault="0046798B">
            <w:pPr>
              <w:pStyle w:val="TableParagraph"/>
            </w:pPr>
          </w:p>
          <w:p w14:paraId="1392B7CD" w14:textId="77777777" w:rsidR="0046798B" w:rsidRDefault="0046798B">
            <w:pPr>
              <w:pStyle w:val="TableParagraph"/>
              <w:spacing w:before="9"/>
              <w:rPr>
                <w:sz w:val="31"/>
              </w:rPr>
            </w:pPr>
          </w:p>
          <w:p w14:paraId="7EA1FC4D" w14:textId="77777777" w:rsidR="0046798B" w:rsidRDefault="00903B5C">
            <w:pPr>
              <w:pStyle w:val="TableParagraph"/>
              <w:ind w:left="114"/>
              <w:rPr>
                <w:sz w:val="20"/>
              </w:rPr>
            </w:pPr>
            <w:r>
              <w:rPr>
                <w:sz w:val="20"/>
              </w:rPr>
              <w:t>1973–2014</w:t>
            </w:r>
          </w:p>
        </w:tc>
        <w:tc>
          <w:tcPr>
            <w:tcW w:w="3421" w:type="dxa"/>
          </w:tcPr>
          <w:p w14:paraId="27590518" w14:textId="77777777" w:rsidR="0046798B" w:rsidRDefault="00903B5C">
            <w:pPr>
              <w:pStyle w:val="TableParagraph"/>
              <w:spacing w:before="44"/>
              <w:ind w:left="114" w:right="377"/>
              <w:rPr>
                <w:sz w:val="20"/>
              </w:rPr>
            </w:pPr>
            <w:r>
              <w:rPr>
                <w:sz w:val="20"/>
              </w:rPr>
              <w:t>Predicted value of the second dimension multidimensional scaling legislative professionalism score.</w:t>
            </w:r>
          </w:p>
          <w:p w14:paraId="1D252B95" w14:textId="77777777" w:rsidR="0046798B" w:rsidRDefault="0046798B">
            <w:pPr>
              <w:pStyle w:val="TableParagraph"/>
              <w:spacing w:before="11"/>
              <w:rPr>
                <w:sz w:val="19"/>
              </w:rPr>
            </w:pPr>
          </w:p>
          <w:p w14:paraId="3605C002" w14:textId="77777777" w:rsidR="0046798B" w:rsidRDefault="00903B5C">
            <w:pPr>
              <w:pStyle w:val="TableParagraph"/>
              <w:ind w:left="114" w:right="372"/>
              <w:rPr>
                <w:sz w:val="20"/>
              </w:rPr>
            </w:pPr>
            <w:r>
              <w:rPr>
                <w:sz w:val="20"/>
              </w:rPr>
              <w:t>Note: Year coded as the first year of the biennium session.</w:t>
            </w:r>
          </w:p>
        </w:tc>
        <w:tc>
          <w:tcPr>
            <w:tcW w:w="6477" w:type="dxa"/>
          </w:tcPr>
          <w:p w14:paraId="15A3CE24" w14:textId="77777777" w:rsidR="0046798B" w:rsidRDefault="0046798B">
            <w:pPr>
              <w:pStyle w:val="TableParagraph"/>
              <w:spacing w:before="9"/>
              <w:rPr>
                <w:sz w:val="23"/>
              </w:rPr>
            </w:pPr>
          </w:p>
          <w:p w14:paraId="48280482" w14:textId="77777777" w:rsidR="0046798B" w:rsidRDefault="00903B5C">
            <w:pPr>
              <w:pStyle w:val="TableParagraph"/>
              <w:ind w:left="114" w:right="478"/>
              <w:rPr>
                <w:sz w:val="20"/>
              </w:rPr>
            </w:pPr>
            <w:r>
              <w:rPr>
                <w:sz w:val="20"/>
              </w:rPr>
              <w:t xml:space="preserve">Bowen, Daniel C. and Zachary Greene. “Should We Measure Professionalism with an Index? A Note on Theory and Practice in State Legislative Professionalism Research.” </w:t>
            </w:r>
            <w:r>
              <w:rPr>
                <w:i/>
                <w:sz w:val="20"/>
              </w:rPr>
              <w:t xml:space="preserve">State Politics &amp; Policy Quarterly </w:t>
            </w:r>
            <w:r>
              <w:rPr>
                <w:sz w:val="20"/>
              </w:rPr>
              <w:t>14.3 (2014): 277–296.</w:t>
            </w:r>
          </w:p>
        </w:tc>
      </w:tr>
      <w:tr w:rsidR="0046798B" w14:paraId="54125466" w14:textId="77777777">
        <w:trPr>
          <w:trHeight w:val="1930"/>
        </w:trPr>
        <w:tc>
          <w:tcPr>
            <w:tcW w:w="1711" w:type="dxa"/>
          </w:tcPr>
          <w:p w14:paraId="70D6E254" w14:textId="77777777" w:rsidR="0046798B" w:rsidRDefault="0046798B">
            <w:pPr>
              <w:pStyle w:val="TableParagraph"/>
            </w:pPr>
          </w:p>
          <w:p w14:paraId="7EB59FC8" w14:textId="77777777" w:rsidR="0046798B" w:rsidRDefault="0046798B">
            <w:pPr>
              <w:pStyle w:val="TableParagraph"/>
            </w:pPr>
          </w:p>
          <w:p w14:paraId="18BFB1D2" w14:textId="77777777" w:rsidR="0046798B" w:rsidRDefault="0046798B">
            <w:pPr>
              <w:pStyle w:val="TableParagraph"/>
              <w:spacing w:before="8"/>
              <w:rPr>
                <w:sz w:val="29"/>
              </w:rPr>
            </w:pPr>
          </w:p>
          <w:p w14:paraId="0D158A00" w14:textId="77777777" w:rsidR="0046798B" w:rsidRDefault="00903B5C">
            <w:pPr>
              <w:pStyle w:val="TableParagraph"/>
              <w:spacing w:before="1"/>
              <w:ind w:left="115"/>
              <w:rPr>
                <w:b/>
                <w:sz w:val="20"/>
              </w:rPr>
            </w:pPr>
            <w:r>
              <w:rPr>
                <w:b/>
                <w:sz w:val="20"/>
              </w:rPr>
              <w:t>speaker_power</w:t>
            </w:r>
          </w:p>
        </w:tc>
        <w:tc>
          <w:tcPr>
            <w:tcW w:w="1596" w:type="dxa"/>
          </w:tcPr>
          <w:p w14:paraId="0E5BEB22" w14:textId="77777777" w:rsidR="0046798B" w:rsidRDefault="0046798B">
            <w:pPr>
              <w:pStyle w:val="TableParagraph"/>
            </w:pPr>
          </w:p>
          <w:p w14:paraId="7758359D" w14:textId="77777777" w:rsidR="0046798B" w:rsidRDefault="0046798B">
            <w:pPr>
              <w:pStyle w:val="TableParagraph"/>
            </w:pPr>
          </w:p>
          <w:p w14:paraId="0E0DC611" w14:textId="77777777" w:rsidR="0046798B" w:rsidRDefault="0046798B">
            <w:pPr>
              <w:pStyle w:val="TableParagraph"/>
              <w:spacing w:before="8"/>
              <w:rPr>
                <w:sz w:val="19"/>
              </w:rPr>
            </w:pPr>
          </w:p>
          <w:p w14:paraId="417441BC" w14:textId="77777777" w:rsidR="0046798B" w:rsidRDefault="00903B5C">
            <w:pPr>
              <w:pStyle w:val="TableParagraph"/>
              <w:spacing w:before="1"/>
              <w:ind w:left="114" w:right="96"/>
              <w:rPr>
                <w:sz w:val="20"/>
              </w:rPr>
            </w:pPr>
            <w:r>
              <w:rPr>
                <w:sz w:val="20"/>
              </w:rPr>
              <w:t>State Speaker of the House power</w:t>
            </w:r>
          </w:p>
        </w:tc>
        <w:tc>
          <w:tcPr>
            <w:tcW w:w="1280" w:type="dxa"/>
          </w:tcPr>
          <w:p w14:paraId="240A8EAF" w14:textId="77777777" w:rsidR="0046798B" w:rsidRDefault="0046798B">
            <w:pPr>
              <w:pStyle w:val="TableParagraph"/>
            </w:pPr>
          </w:p>
          <w:p w14:paraId="44108AB1" w14:textId="77777777" w:rsidR="0046798B" w:rsidRDefault="0046798B">
            <w:pPr>
              <w:pStyle w:val="TableParagraph"/>
            </w:pPr>
          </w:p>
          <w:p w14:paraId="49A58E34" w14:textId="77777777" w:rsidR="0046798B" w:rsidRDefault="0046798B">
            <w:pPr>
              <w:pStyle w:val="TableParagraph"/>
              <w:spacing w:before="8"/>
              <w:rPr>
                <w:sz w:val="29"/>
              </w:rPr>
            </w:pPr>
          </w:p>
          <w:p w14:paraId="6F4D3BED" w14:textId="77777777" w:rsidR="0046798B" w:rsidRDefault="00903B5C">
            <w:pPr>
              <w:pStyle w:val="TableParagraph"/>
              <w:spacing w:before="1"/>
              <w:ind w:left="114"/>
              <w:rPr>
                <w:sz w:val="20"/>
              </w:rPr>
            </w:pPr>
            <w:r>
              <w:rPr>
                <w:sz w:val="20"/>
              </w:rPr>
              <w:t>1981–2009</w:t>
            </w:r>
          </w:p>
        </w:tc>
        <w:tc>
          <w:tcPr>
            <w:tcW w:w="3421" w:type="dxa"/>
          </w:tcPr>
          <w:p w14:paraId="0100E78A" w14:textId="77777777" w:rsidR="0046798B" w:rsidRDefault="00903B5C">
            <w:pPr>
              <w:pStyle w:val="TableParagraph"/>
              <w:spacing w:before="43"/>
              <w:ind w:left="114" w:right="150"/>
              <w:rPr>
                <w:sz w:val="20"/>
              </w:rPr>
            </w:pPr>
            <w:r>
              <w:rPr>
                <w:sz w:val="20"/>
              </w:rPr>
              <w:t>Index of state Speaker of the House power. Year is coded for the beginning of the legislative term.</w:t>
            </w:r>
          </w:p>
          <w:p w14:paraId="1ABF571A" w14:textId="77777777" w:rsidR="0046798B" w:rsidRDefault="0046798B">
            <w:pPr>
              <w:pStyle w:val="TableParagraph"/>
              <w:rPr>
                <w:sz w:val="20"/>
              </w:rPr>
            </w:pPr>
          </w:p>
          <w:p w14:paraId="397D3C3D" w14:textId="77777777" w:rsidR="0046798B" w:rsidRDefault="00903B5C">
            <w:pPr>
              <w:pStyle w:val="TableParagraph"/>
              <w:ind w:left="114" w:right="144"/>
              <w:rPr>
                <w:sz w:val="20"/>
              </w:rPr>
            </w:pPr>
            <w:r>
              <w:rPr>
                <w:sz w:val="20"/>
              </w:rPr>
              <w:t>Note: All sessions begin in odd-years except for Mississippi, Louisiana, New Jersey, Virginia, and Kentucky (until 1982), who have even-year start dates.</w:t>
            </w:r>
          </w:p>
        </w:tc>
        <w:tc>
          <w:tcPr>
            <w:tcW w:w="6477" w:type="dxa"/>
          </w:tcPr>
          <w:p w14:paraId="147CD38E" w14:textId="77777777" w:rsidR="0046798B" w:rsidRDefault="0046798B">
            <w:pPr>
              <w:pStyle w:val="TableParagraph"/>
            </w:pPr>
          </w:p>
          <w:p w14:paraId="13CCB339" w14:textId="77777777" w:rsidR="0046798B" w:rsidRDefault="0046798B">
            <w:pPr>
              <w:pStyle w:val="TableParagraph"/>
              <w:spacing w:before="8"/>
              <w:rPr>
                <w:sz w:val="31"/>
              </w:rPr>
            </w:pPr>
          </w:p>
          <w:p w14:paraId="2F0453DF" w14:textId="77777777" w:rsidR="0046798B" w:rsidRDefault="00903B5C">
            <w:pPr>
              <w:pStyle w:val="TableParagraph"/>
              <w:spacing w:before="1"/>
              <w:ind w:left="114" w:right="239"/>
              <w:rPr>
                <w:sz w:val="20"/>
              </w:rPr>
            </w:pPr>
            <w:r>
              <w:rPr>
                <w:sz w:val="20"/>
              </w:rPr>
              <w:t xml:space="preserve">Mooney, Christopher Z. “Measuring State House Speakers’ Formal Powers, 1981–2010.” </w:t>
            </w:r>
            <w:r>
              <w:rPr>
                <w:i/>
                <w:sz w:val="20"/>
              </w:rPr>
              <w:t xml:space="preserve">State Politics &amp; Policy Quarterly </w:t>
            </w:r>
            <w:r>
              <w:rPr>
                <w:sz w:val="20"/>
              </w:rPr>
              <w:t>13.2 (2013): 262–273.</w:t>
            </w:r>
          </w:p>
        </w:tc>
      </w:tr>
      <w:tr w:rsidR="0046798B" w14:paraId="36FBE22F" w14:textId="77777777">
        <w:trPr>
          <w:trHeight w:val="1235"/>
        </w:trPr>
        <w:tc>
          <w:tcPr>
            <w:tcW w:w="1711" w:type="dxa"/>
          </w:tcPr>
          <w:p w14:paraId="5E3CA458" w14:textId="77777777" w:rsidR="0046798B" w:rsidRDefault="0046798B">
            <w:pPr>
              <w:pStyle w:val="TableParagraph"/>
            </w:pPr>
          </w:p>
          <w:p w14:paraId="5779B542" w14:textId="77777777" w:rsidR="0046798B" w:rsidRDefault="0046798B">
            <w:pPr>
              <w:pStyle w:val="TableParagraph"/>
              <w:spacing w:before="4"/>
              <w:rPr>
                <w:sz w:val="21"/>
              </w:rPr>
            </w:pPr>
          </w:p>
          <w:p w14:paraId="732B9764" w14:textId="77777777" w:rsidR="0046798B" w:rsidRDefault="00903B5C">
            <w:pPr>
              <w:pStyle w:val="TableParagraph"/>
              <w:ind w:left="115"/>
              <w:rPr>
                <w:b/>
                <w:sz w:val="20"/>
              </w:rPr>
            </w:pPr>
            <w:r>
              <w:rPr>
                <w:b/>
                <w:sz w:val="20"/>
              </w:rPr>
              <w:t>pctlatinoleg</w:t>
            </w:r>
          </w:p>
        </w:tc>
        <w:tc>
          <w:tcPr>
            <w:tcW w:w="1596" w:type="dxa"/>
          </w:tcPr>
          <w:p w14:paraId="6A5BBF2D" w14:textId="77777777" w:rsidR="0046798B" w:rsidRDefault="0046798B">
            <w:pPr>
              <w:pStyle w:val="TableParagraph"/>
              <w:spacing w:before="4"/>
              <w:rPr>
                <w:sz w:val="23"/>
              </w:rPr>
            </w:pPr>
          </w:p>
          <w:p w14:paraId="5CC21842" w14:textId="77777777" w:rsidR="0046798B" w:rsidRDefault="00903B5C">
            <w:pPr>
              <w:pStyle w:val="TableParagraph"/>
              <w:ind w:left="114" w:right="358"/>
              <w:rPr>
                <w:sz w:val="20"/>
              </w:rPr>
            </w:pPr>
            <w:r>
              <w:rPr>
                <w:sz w:val="20"/>
              </w:rPr>
              <w:t>Percentage of Latino legislators</w:t>
            </w:r>
          </w:p>
        </w:tc>
        <w:tc>
          <w:tcPr>
            <w:tcW w:w="1280" w:type="dxa"/>
          </w:tcPr>
          <w:p w14:paraId="1D297FEF" w14:textId="77777777" w:rsidR="0046798B" w:rsidRDefault="0046798B">
            <w:pPr>
              <w:pStyle w:val="TableParagraph"/>
            </w:pPr>
          </w:p>
          <w:p w14:paraId="5C1DB323" w14:textId="77777777" w:rsidR="0046798B" w:rsidRDefault="0046798B">
            <w:pPr>
              <w:pStyle w:val="TableParagraph"/>
              <w:spacing w:before="4"/>
              <w:rPr>
                <w:sz w:val="21"/>
              </w:rPr>
            </w:pPr>
          </w:p>
          <w:p w14:paraId="7A6E3235" w14:textId="77777777" w:rsidR="0046798B" w:rsidRDefault="00903B5C">
            <w:pPr>
              <w:pStyle w:val="TableParagraph"/>
              <w:ind w:left="114"/>
              <w:rPr>
                <w:sz w:val="20"/>
              </w:rPr>
            </w:pPr>
            <w:r>
              <w:rPr>
                <w:sz w:val="20"/>
              </w:rPr>
              <w:t>2005–2014</w:t>
            </w:r>
          </w:p>
        </w:tc>
        <w:tc>
          <w:tcPr>
            <w:tcW w:w="3421" w:type="dxa"/>
          </w:tcPr>
          <w:p w14:paraId="70891C0E" w14:textId="77777777" w:rsidR="0046798B" w:rsidRDefault="0046798B">
            <w:pPr>
              <w:pStyle w:val="TableParagraph"/>
            </w:pPr>
          </w:p>
          <w:p w14:paraId="57062837" w14:textId="77777777" w:rsidR="0046798B" w:rsidRDefault="00903B5C">
            <w:pPr>
              <w:pStyle w:val="TableParagraph"/>
              <w:spacing w:before="131"/>
              <w:ind w:left="114" w:right="216"/>
              <w:rPr>
                <w:sz w:val="20"/>
              </w:rPr>
            </w:pPr>
            <w:r>
              <w:rPr>
                <w:sz w:val="20"/>
              </w:rPr>
              <w:t>Percentage of state legislators (in both chambers) who are Latino</w:t>
            </w:r>
          </w:p>
        </w:tc>
        <w:tc>
          <w:tcPr>
            <w:tcW w:w="6477" w:type="dxa"/>
          </w:tcPr>
          <w:p w14:paraId="2241ABCF" w14:textId="77777777" w:rsidR="0046798B" w:rsidRDefault="00903B5C">
            <w:pPr>
              <w:pStyle w:val="TableParagraph"/>
              <w:spacing w:before="38"/>
              <w:ind w:left="114"/>
              <w:rPr>
                <w:sz w:val="20"/>
              </w:rPr>
            </w:pPr>
            <w:r>
              <w:rPr>
                <w:sz w:val="20"/>
              </w:rPr>
              <w:t>National Council of State Legislatures:</w:t>
            </w:r>
          </w:p>
          <w:p w14:paraId="4C68F845" w14:textId="77777777" w:rsidR="0046798B" w:rsidRDefault="00797354">
            <w:pPr>
              <w:pStyle w:val="TableParagraph"/>
              <w:spacing w:before="1"/>
              <w:ind w:left="114"/>
              <w:rPr>
                <w:sz w:val="20"/>
              </w:rPr>
            </w:pPr>
            <w:hyperlink r:id="rId532">
              <w:r w:rsidR="00903B5C">
                <w:rPr>
                  <w:color w:val="0462C1"/>
                  <w:sz w:val="20"/>
                  <w:u w:val="single" w:color="0462C1"/>
                </w:rPr>
                <w:t>http://www.ncsl.org/research/about-state-legislatures/latino-legislators.aspx</w:t>
              </w:r>
            </w:hyperlink>
          </w:p>
          <w:p w14:paraId="72094143" w14:textId="77777777" w:rsidR="0046798B" w:rsidRDefault="0046798B">
            <w:pPr>
              <w:pStyle w:val="TableParagraph"/>
              <w:spacing w:before="11"/>
              <w:rPr>
                <w:sz w:val="19"/>
              </w:rPr>
            </w:pPr>
          </w:p>
          <w:p w14:paraId="68198B24" w14:textId="77777777" w:rsidR="0046798B" w:rsidRDefault="00903B5C">
            <w:pPr>
              <w:pStyle w:val="TableParagraph"/>
              <w:ind w:left="114" w:right="517"/>
              <w:rPr>
                <w:sz w:val="20"/>
              </w:rPr>
            </w:pPr>
            <w:r>
              <w:rPr>
                <w:sz w:val="20"/>
              </w:rPr>
              <w:t xml:space="preserve">Provided by: Reich, Gary. “Immigrant legislation, across and within the United States.” </w:t>
            </w:r>
            <w:r>
              <w:rPr>
                <w:i/>
                <w:sz w:val="20"/>
              </w:rPr>
              <w:t xml:space="preserve">Research &amp; Politics </w:t>
            </w:r>
            <w:r>
              <w:rPr>
                <w:sz w:val="20"/>
              </w:rPr>
              <w:t>4.4 (2017): 1–11.</w:t>
            </w:r>
          </w:p>
        </w:tc>
      </w:tr>
      <w:tr w:rsidR="0046798B" w14:paraId="0931B21F" w14:textId="77777777">
        <w:trPr>
          <w:trHeight w:val="1235"/>
        </w:trPr>
        <w:tc>
          <w:tcPr>
            <w:tcW w:w="1711" w:type="dxa"/>
          </w:tcPr>
          <w:p w14:paraId="7820F372" w14:textId="77777777" w:rsidR="0046798B" w:rsidRDefault="0046798B">
            <w:pPr>
              <w:pStyle w:val="TableParagraph"/>
            </w:pPr>
          </w:p>
          <w:p w14:paraId="23285C78" w14:textId="77777777" w:rsidR="0046798B" w:rsidRDefault="0046798B">
            <w:pPr>
              <w:pStyle w:val="TableParagraph"/>
              <w:spacing w:before="4"/>
              <w:rPr>
                <w:sz w:val="21"/>
              </w:rPr>
            </w:pPr>
          </w:p>
          <w:p w14:paraId="5E702B67" w14:textId="77777777" w:rsidR="0046798B" w:rsidRDefault="00903B5C">
            <w:pPr>
              <w:pStyle w:val="TableParagraph"/>
              <w:ind w:left="115"/>
              <w:rPr>
                <w:b/>
                <w:sz w:val="20"/>
              </w:rPr>
            </w:pPr>
            <w:r>
              <w:rPr>
                <w:b/>
                <w:sz w:val="20"/>
              </w:rPr>
              <w:t>pctfemaleleg</w:t>
            </w:r>
          </w:p>
        </w:tc>
        <w:tc>
          <w:tcPr>
            <w:tcW w:w="1596" w:type="dxa"/>
          </w:tcPr>
          <w:p w14:paraId="103DF705" w14:textId="77777777" w:rsidR="0046798B" w:rsidRDefault="0046798B">
            <w:pPr>
              <w:pStyle w:val="TableParagraph"/>
              <w:spacing w:before="4"/>
              <w:rPr>
                <w:sz w:val="23"/>
              </w:rPr>
            </w:pPr>
          </w:p>
          <w:p w14:paraId="343A442C" w14:textId="77777777" w:rsidR="0046798B" w:rsidRDefault="00903B5C">
            <w:pPr>
              <w:pStyle w:val="TableParagraph"/>
              <w:ind w:left="114" w:right="219"/>
              <w:rPr>
                <w:sz w:val="20"/>
              </w:rPr>
            </w:pPr>
            <w:r>
              <w:rPr>
                <w:sz w:val="20"/>
              </w:rPr>
              <w:t>Percent of state legislators that are female</w:t>
            </w:r>
          </w:p>
        </w:tc>
        <w:tc>
          <w:tcPr>
            <w:tcW w:w="1280" w:type="dxa"/>
          </w:tcPr>
          <w:p w14:paraId="3A561F28" w14:textId="77777777" w:rsidR="0046798B" w:rsidRDefault="0046798B">
            <w:pPr>
              <w:pStyle w:val="TableParagraph"/>
            </w:pPr>
          </w:p>
          <w:p w14:paraId="14F60CD6" w14:textId="77777777" w:rsidR="0046798B" w:rsidRDefault="0046798B">
            <w:pPr>
              <w:pStyle w:val="TableParagraph"/>
              <w:spacing w:before="4"/>
              <w:rPr>
                <w:sz w:val="21"/>
              </w:rPr>
            </w:pPr>
          </w:p>
          <w:p w14:paraId="3E573646" w14:textId="77777777" w:rsidR="0046798B" w:rsidRDefault="00903B5C">
            <w:pPr>
              <w:pStyle w:val="TableParagraph"/>
              <w:ind w:left="114"/>
              <w:rPr>
                <w:sz w:val="20"/>
              </w:rPr>
            </w:pPr>
            <w:r>
              <w:rPr>
                <w:sz w:val="20"/>
              </w:rPr>
              <w:t>1975–2019</w:t>
            </w:r>
          </w:p>
        </w:tc>
        <w:tc>
          <w:tcPr>
            <w:tcW w:w="3421" w:type="dxa"/>
          </w:tcPr>
          <w:p w14:paraId="32C9EEAD" w14:textId="77777777" w:rsidR="0046798B" w:rsidRDefault="0046798B">
            <w:pPr>
              <w:pStyle w:val="TableParagraph"/>
            </w:pPr>
          </w:p>
          <w:p w14:paraId="07D6351F" w14:textId="77777777" w:rsidR="0046798B" w:rsidRDefault="00903B5C">
            <w:pPr>
              <w:pStyle w:val="TableParagraph"/>
              <w:spacing w:before="131"/>
              <w:ind w:left="114" w:right="206"/>
              <w:rPr>
                <w:sz w:val="20"/>
              </w:rPr>
            </w:pPr>
            <w:r>
              <w:rPr>
                <w:sz w:val="20"/>
              </w:rPr>
              <w:t>Percentage of state legislators who are women</w:t>
            </w:r>
          </w:p>
        </w:tc>
        <w:tc>
          <w:tcPr>
            <w:tcW w:w="6477" w:type="dxa"/>
          </w:tcPr>
          <w:p w14:paraId="3FC0AAAC" w14:textId="77777777" w:rsidR="0046798B" w:rsidRDefault="00903B5C">
            <w:pPr>
              <w:pStyle w:val="TableParagraph"/>
              <w:spacing w:before="38"/>
              <w:ind w:left="114" w:right="534"/>
              <w:rPr>
                <w:sz w:val="20"/>
              </w:rPr>
            </w:pPr>
            <w:r>
              <w:rPr>
                <w:sz w:val="20"/>
              </w:rPr>
              <w:t xml:space="preserve">Center for American Women and Politics. Women in State Legislatures: 2019. </w:t>
            </w:r>
            <w:hyperlink r:id="rId533">
              <w:r>
                <w:rPr>
                  <w:color w:val="0462C1"/>
                  <w:sz w:val="20"/>
                  <w:u w:val="single" w:color="0462C1"/>
                </w:rPr>
                <w:t>https://cawp.rutgers.edu/facts/levels_of_office/state_legislature</w:t>
              </w:r>
            </w:hyperlink>
          </w:p>
          <w:p w14:paraId="5D605C1A" w14:textId="77777777" w:rsidR="0046798B" w:rsidRDefault="0046798B">
            <w:pPr>
              <w:pStyle w:val="TableParagraph"/>
              <w:rPr>
                <w:sz w:val="20"/>
              </w:rPr>
            </w:pPr>
          </w:p>
          <w:p w14:paraId="54BA468F" w14:textId="77777777" w:rsidR="0046798B" w:rsidRDefault="00903B5C">
            <w:pPr>
              <w:pStyle w:val="TableParagraph"/>
              <w:ind w:left="114" w:right="262"/>
              <w:rPr>
                <w:sz w:val="20"/>
              </w:rPr>
            </w:pPr>
            <w:r>
              <w:rPr>
                <w:sz w:val="20"/>
              </w:rPr>
              <w:t xml:space="preserve">Originally provided by Stateminder: A data visualization project from Georgetown University. </w:t>
            </w:r>
            <w:hyperlink r:id="rId534">
              <w:r>
                <w:rPr>
                  <w:sz w:val="20"/>
                </w:rPr>
                <w:t>www.stateminder.org</w:t>
              </w:r>
            </w:hyperlink>
            <w:r>
              <w:rPr>
                <w:sz w:val="20"/>
              </w:rPr>
              <w:t xml:space="preserve"> (no longer accessible online)</w:t>
            </w:r>
          </w:p>
        </w:tc>
      </w:tr>
      <w:tr w:rsidR="0046798B" w14:paraId="505B217A" w14:textId="77777777">
        <w:trPr>
          <w:trHeight w:val="545"/>
        </w:trPr>
        <w:tc>
          <w:tcPr>
            <w:tcW w:w="1711" w:type="dxa"/>
          </w:tcPr>
          <w:p w14:paraId="528AFE64" w14:textId="77777777" w:rsidR="0046798B" w:rsidRDefault="00903B5C">
            <w:pPr>
              <w:pStyle w:val="TableParagraph"/>
              <w:spacing w:before="153"/>
              <w:ind w:left="115"/>
              <w:rPr>
                <w:b/>
                <w:sz w:val="20"/>
              </w:rPr>
            </w:pPr>
            <w:r>
              <w:rPr>
                <w:b/>
                <w:sz w:val="20"/>
              </w:rPr>
              <w:t>fem_gov</w:t>
            </w:r>
          </w:p>
        </w:tc>
        <w:tc>
          <w:tcPr>
            <w:tcW w:w="1596" w:type="dxa"/>
          </w:tcPr>
          <w:p w14:paraId="394E25D5" w14:textId="77777777" w:rsidR="0046798B" w:rsidRDefault="00903B5C">
            <w:pPr>
              <w:pStyle w:val="TableParagraph"/>
              <w:spacing w:before="153"/>
              <w:ind w:left="114"/>
              <w:rPr>
                <w:sz w:val="20"/>
              </w:rPr>
            </w:pPr>
            <w:r>
              <w:rPr>
                <w:sz w:val="20"/>
              </w:rPr>
              <w:t>Female governor</w:t>
            </w:r>
          </w:p>
        </w:tc>
        <w:tc>
          <w:tcPr>
            <w:tcW w:w="1280" w:type="dxa"/>
          </w:tcPr>
          <w:p w14:paraId="060E3E9D" w14:textId="77777777" w:rsidR="0046798B" w:rsidRDefault="00903B5C">
            <w:pPr>
              <w:pStyle w:val="TableParagraph"/>
              <w:spacing w:before="153"/>
              <w:ind w:left="114"/>
              <w:rPr>
                <w:sz w:val="20"/>
              </w:rPr>
            </w:pPr>
            <w:r>
              <w:rPr>
                <w:sz w:val="20"/>
              </w:rPr>
              <w:t>1964–2014</w:t>
            </w:r>
          </w:p>
        </w:tc>
        <w:tc>
          <w:tcPr>
            <w:tcW w:w="3421" w:type="dxa"/>
          </w:tcPr>
          <w:p w14:paraId="6B84C587" w14:textId="77777777" w:rsidR="0046798B" w:rsidRDefault="00903B5C">
            <w:pPr>
              <w:pStyle w:val="TableParagraph"/>
              <w:spacing w:before="153"/>
              <w:ind w:left="114"/>
              <w:rPr>
                <w:sz w:val="20"/>
              </w:rPr>
            </w:pPr>
            <w:r>
              <w:rPr>
                <w:sz w:val="20"/>
              </w:rPr>
              <w:t>Is governor a female? (0 = no, 1 = yes)</w:t>
            </w:r>
          </w:p>
        </w:tc>
        <w:tc>
          <w:tcPr>
            <w:tcW w:w="6477" w:type="dxa"/>
          </w:tcPr>
          <w:p w14:paraId="5F9ACA98" w14:textId="77777777" w:rsidR="0046798B" w:rsidRDefault="00903B5C">
            <w:pPr>
              <w:pStyle w:val="TableParagraph"/>
              <w:spacing w:before="38"/>
              <w:ind w:left="114" w:right="534"/>
              <w:rPr>
                <w:sz w:val="20"/>
              </w:rPr>
            </w:pPr>
            <w:r>
              <w:rPr>
                <w:sz w:val="20"/>
              </w:rPr>
              <w:t xml:space="preserve">Center for American Women and Politics. Women in State Legislatures: 2016. </w:t>
            </w:r>
            <w:hyperlink r:id="rId535">
              <w:r>
                <w:rPr>
                  <w:sz w:val="20"/>
                  <w:u w:val="single"/>
                </w:rPr>
                <w:t>http://www.cawp.rutgers.edu/</w:t>
              </w:r>
            </w:hyperlink>
          </w:p>
        </w:tc>
      </w:tr>
      <w:tr w:rsidR="0046798B" w14:paraId="49B41AFB" w14:textId="77777777">
        <w:trPr>
          <w:trHeight w:val="775"/>
        </w:trPr>
        <w:tc>
          <w:tcPr>
            <w:tcW w:w="1711" w:type="dxa"/>
          </w:tcPr>
          <w:p w14:paraId="5320339D" w14:textId="77777777" w:rsidR="0046798B" w:rsidRDefault="0046798B">
            <w:pPr>
              <w:pStyle w:val="TableParagraph"/>
              <w:spacing w:before="8"/>
              <w:rPr>
                <w:sz w:val="23"/>
              </w:rPr>
            </w:pPr>
          </w:p>
          <w:p w14:paraId="1568F643" w14:textId="77777777" w:rsidR="0046798B" w:rsidRDefault="00903B5C">
            <w:pPr>
              <w:pStyle w:val="TableParagraph"/>
              <w:spacing w:before="1"/>
              <w:ind w:left="115"/>
              <w:rPr>
                <w:b/>
                <w:sz w:val="20"/>
              </w:rPr>
            </w:pPr>
            <w:r>
              <w:rPr>
                <w:b/>
                <w:sz w:val="20"/>
              </w:rPr>
              <w:t>fem_ltgov</w:t>
            </w:r>
          </w:p>
        </w:tc>
        <w:tc>
          <w:tcPr>
            <w:tcW w:w="1596" w:type="dxa"/>
          </w:tcPr>
          <w:p w14:paraId="76BC3537" w14:textId="77777777" w:rsidR="0046798B" w:rsidRDefault="00903B5C">
            <w:pPr>
              <w:pStyle w:val="TableParagraph"/>
              <w:spacing w:before="43"/>
              <w:ind w:left="114" w:right="663"/>
              <w:rPr>
                <w:sz w:val="20"/>
              </w:rPr>
            </w:pPr>
            <w:r>
              <w:rPr>
                <w:sz w:val="20"/>
              </w:rPr>
              <w:t>Female lieutenant governor</w:t>
            </w:r>
          </w:p>
        </w:tc>
        <w:tc>
          <w:tcPr>
            <w:tcW w:w="1280" w:type="dxa"/>
          </w:tcPr>
          <w:p w14:paraId="2D5266C2" w14:textId="77777777" w:rsidR="0046798B" w:rsidRDefault="0046798B">
            <w:pPr>
              <w:pStyle w:val="TableParagraph"/>
              <w:spacing w:before="8"/>
              <w:rPr>
                <w:sz w:val="23"/>
              </w:rPr>
            </w:pPr>
          </w:p>
          <w:p w14:paraId="4D3CE9FB" w14:textId="77777777" w:rsidR="0046798B" w:rsidRDefault="00903B5C">
            <w:pPr>
              <w:pStyle w:val="TableParagraph"/>
              <w:spacing w:before="1"/>
              <w:ind w:left="114"/>
              <w:rPr>
                <w:sz w:val="20"/>
              </w:rPr>
            </w:pPr>
            <w:r>
              <w:rPr>
                <w:sz w:val="20"/>
              </w:rPr>
              <w:t>1964–2014</w:t>
            </w:r>
          </w:p>
        </w:tc>
        <w:tc>
          <w:tcPr>
            <w:tcW w:w="3421" w:type="dxa"/>
          </w:tcPr>
          <w:p w14:paraId="34E9234B" w14:textId="77777777" w:rsidR="0046798B" w:rsidRDefault="00903B5C">
            <w:pPr>
              <w:pStyle w:val="TableParagraph"/>
              <w:spacing w:before="158"/>
              <w:ind w:left="114" w:right="321"/>
              <w:rPr>
                <w:sz w:val="20"/>
              </w:rPr>
            </w:pPr>
            <w:r>
              <w:rPr>
                <w:sz w:val="20"/>
              </w:rPr>
              <w:t>Is lieutenant governor a female? (0 = no, 1 = yes)</w:t>
            </w:r>
          </w:p>
        </w:tc>
        <w:tc>
          <w:tcPr>
            <w:tcW w:w="6477" w:type="dxa"/>
          </w:tcPr>
          <w:p w14:paraId="6EFBB74E" w14:textId="77777777" w:rsidR="0046798B" w:rsidRDefault="00903B5C">
            <w:pPr>
              <w:pStyle w:val="TableParagraph"/>
              <w:spacing w:before="158"/>
              <w:ind w:left="114" w:right="534"/>
              <w:rPr>
                <w:sz w:val="20"/>
              </w:rPr>
            </w:pPr>
            <w:r>
              <w:rPr>
                <w:sz w:val="20"/>
              </w:rPr>
              <w:t xml:space="preserve">Center for American Women and Politics. Women in State Legislatures: 2016. </w:t>
            </w:r>
            <w:hyperlink r:id="rId536">
              <w:r>
                <w:rPr>
                  <w:sz w:val="20"/>
                  <w:u w:val="single"/>
                </w:rPr>
                <w:t>http://www.cawp.rutgers.edu/</w:t>
              </w:r>
            </w:hyperlink>
          </w:p>
        </w:tc>
      </w:tr>
      <w:tr w:rsidR="0046798B" w14:paraId="28600C67" w14:textId="77777777">
        <w:trPr>
          <w:trHeight w:val="545"/>
        </w:trPr>
        <w:tc>
          <w:tcPr>
            <w:tcW w:w="1711" w:type="dxa"/>
          </w:tcPr>
          <w:p w14:paraId="1D7BDB8A" w14:textId="77777777" w:rsidR="0046798B" w:rsidRDefault="00903B5C">
            <w:pPr>
              <w:pStyle w:val="TableParagraph"/>
              <w:spacing w:before="158"/>
              <w:ind w:left="115"/>
              <w:rPr>
                <w:b/>
                <w:sz w:val="20"/>
              </w:rPr>
            </w:pPr>
            <w:r>
              <w:rPr>
                <w:b/>
                <w:sz w:val="20"/>
              </w:rPr>
              <w:t>fem_secstate</w:t>
            </w:r>
          </w:p>
        </w:tc>
        <w:tc>
          <w:tcPr>
            <w:tcW w:w="1596" w:type="dxa"/>
          </w:tcPr>
          <w:p w14:paraId="33A1F422" w14:textId="77777777" w:rsidR="0046798B" w:rsidRDefault="00903B5C">
            <w:pPr>
              <w:pStyle w:val="TableParagraph"/>
              <w:spacing w:before="43"/>
              <w:ind w:left="114" w:right="91"/>
              <w:rPr>
                <w:sz w:val="20"/>
              </w:rPr>
            </w:pPr>
            <w:r>
              <w:rPr>
                <w:sz w:val="20"/>
              </w:rPr>
              <w:t>Female secretary of state</w:t>
            </w:r>
          </w:p>
        </w:tc>
        <w:tc>
          <w:tcPr>
            <w:tcW w:w="1280" w:type="dxa"/>
          </w:tcPr>
          <w:p w14:paraId="671F7C43" w14:textId="77777777" w:rsidR="0046798B" w:rsidRDefault="00903B5C">
            <w:pPr>
              <w:pStyle w:val="TableParagraph"/>
              <w:spacing w:before="158"/>
              <w:ind w:left="114"/>
              <w:rPr>
                <w:sz w:val="20"/>
              </w:rPr>
            </w:pPr>
            <w:r>
              <w:rPr>
                <w:sz w:val="20"/>
              </w:rPr>
              <w:t>1964–2014</w:t>
            </w:r>
          </w:p>
        </w:tc>
        <w:tc>
          <w:tcPr>
            <w:tcW w:w="3421" w:type="dxa"/>
          </w:tcPr>
          <w:p w14:paraId="3DEF1438" w14:textId="77777777" w:rsidR="0046798B" w:rsidRDefault="00903B5C">
            <w:pPr>
              <w:pStyle w:val="TableParagraph"/>
              <w:spacing w:before="43"/>
              <w:ind w:left="114" w:right="226"/>
              <w:rPr>
                <w:sz w:val="20"/>
              </w:rPr>
            </w:pPr>
            <w:r>
              <w:rPr>
                <w:sz w:val="20"/>
              </w:rPr>
              <w:t>Is secretary of state a female? (0 = no, 1 = yes)</w:t>
            </w:r>
          </w:p>
        </w:tc>
        <w:tc>
          <w:tcPr>
            <w:tcW w:w="6477" w:type="dxa"/>
          </w:tcPr>
          <w:p w14:paraId="17E7882E" w14:textId="77777777" w:rsidR="0046798B" w:rsidRDefault="00903B5C">
            <w:pPr>
              <w:pStyle w:val="TableParagraph"/>
              <w:spacing w:before="43"/>
              <w:ind w:left="114" w:right="534"/>
              <w:rPr>
                <w:sz w:val="20"/>
              </w:rPr>
            </w:pPr>
            <w:r>
              <w:rPr>
                <w:sz w:val="20"/>
              </w:rPr>
              <w:t xml:space="preserve">Center for American Women and Politics. Women in State Legislatures: 2016. </w:t>
            </w:r>
            <w:hyperlink r:id="rId537">
              <w:r>
                <w:rPr>
                  <w:sz w:val="20"/>
                  <w:u w:val="single"/>
                </w:rPr>
                <w:t>http://www.cawp.rutgers.edu/</w:t>
              </w:r>
            </w:hyperlink>
          </w:p>
        </w:tc>
      </w:tr>
    </w:tbl>
    <w:p w14:paraId="07C88E08" w14:textId="77777777" w:rsidR="0046798B" w:rsidRDefault="0046798B">
      <w:pPr>
        <w:rPr>
          <w:sz w:val="20"/>
        </w:rPr>
        <w:sectPr w:rsidR="0046798B">
          <w:pgSz w:w="15840" w:h="12240" w:orient="landscape"/>
          <w:pgMar w:top="1220" w:right="300" w:bottom="980" w:left="820" w:header="730" w:footer="787" w:gutter="0"/>
          <w:cols w:space="720"/>
        </w:sectPr>
      </w:pPr>
    </w:p>
    <w:p w14:paraId="33FD8EBE"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0"/>
        <w:gridCol w:w="3421"/>
        <w:gridCol w:w="6477"/>
      </w:tblGrid>
      <w:tr w:rsidR="0046798B" w14:paraId="101E1D9C" w14:textId="77777777">
        <w:trPr>
          <w:trHeight w:val="542"/>
        </w:trPr>
        <w:tc>
          <w:tcPr>
            <w:tcW w:w="1711" w:type="dxa"/>
            <w:tcBorders>
              <w:bottom w:val="dotted" w:sz="6" w:space="0" w:color="BEBEBE"/>
            </w:tcBorders>
          </w:tcPr>
          <w:p w14:paraId="2159CD97" w14:textId="77777777" w:rsidR="0046798B" w:rsidRDefault="00903B5C">
            <w:pPr>
              <w:pStyle w:val="TableParagraph"/>
              <w:spacing w:before="158"/>
              <w:ind w:left="115"/>
              <w:rPr>
                <w:b/>
                <w:sz w:val="20"/>
              </w:rPr>
            </w:pPr>
            <w:r>
              <w:rPr>
                <w:b/>
                <w:sz w:val="20"/>
              </w:rPr>
              <w:t>fem_ag</w:t>
            </w:r>
          </w:p>
        </w:tc>
        <w:tc>
          <w:tcPr>
            <w:tcW w:w="1596" w:type="dxa"/>
            <w:tcBorders>
              <w:bottom w:val="dotted" w:sz="6" w:space="0" w:color="BEBEBE"/>
            </w:tcBorders>
          </w:tcPr>
          <w:p w14:paraId="0D30E709" w14:textId="77777777" w:rsidR="0046798B" w:rsidRDefault="00903B5C">
            <w:pPr>
              <w:pStyle w:val="TableParagraph"/>
              <w:spacing w:before="43"/>
              <w:ind w:left="114" w:right="158"/>
              <w:rPr>
                <w:sz w:val="20"/>
              </w:rPr>
            </w:pPr>
            <w:r>
              <w:rPr>
                <w:sz w:val="20"/>
              </w:rPr>
              <w:t>Female attorney general</w:t>
            </w:r>
          </w:p>
        </w:tc>
        <w:tc>
          <w:tcPr>
            <w:tcW w:w="1280" w:type="dxa"/>
            <w:tcBorders>
              <w:bottom w:val="dotted" w:sz="6" w:space="0" w:color="BEBEBE"/>
            </w:tcBorders>
          </w:tcPr>
          <w:p w14:paraId="281BFB32" w14:textId="77777777" w:rsidR="0046798B" w:rsidRDefault="00903B5C">
            <w:pPr>
              <w:pStyle w:val="TableParagraph"/>
              <w:spacing w:before="158"/>
              <w:ind w:left="114"/>
              <w:rPr>
                <w:sz w:val="20"/>
              </w:rPr>
            </w:pPr>
            <w:r>
              <w:rPr>
                <w:sz w:val="20"/>
              </w:rPr>
              <w:t>1964–2014</w:t>
            </w:r>
          </w:p>
        </w:tc>
        <w:tc>
          <w:tcPr>
            <w:tcW w:w="3421" w:type="dxa"/>
            <w:tcBorders>
              <w:bottom w:val="dotted" w:sz="6" w:space="0" w:color="BEBEBE"/>
            </w:tcBorders>
          </w:tcPr>
          <w:p w14:paraId="5480661C" w14:textId="77777777" w:rsidR="0046798B" w:rsidRDefault="00903B5C">
            <w:pPr>
              <w:pStyle w:val="TableParagraph"/>
              <w:spacing w:before="43"/>
              <w:ind w:left="114"/>
              <w:rPr>
                <w:sz w:val="20"/>
              </w:rPr>
            </w:pPr>
            <w:r>
              <w:rPr>
                <w:sz w:val="20"/>
              </w:rPr>
              <w:t>Is attorney general a female? (0 = no, 1</w:t>
            </w:r>
          </w:p>
          <w:p w14:paraId="5CDA1BCF" w14:textId="77777777" w:rsidR="0046798B" w:rsidRDefault="00903B5C">
            <w:pPr>
              <w:pStyle w:val="TableParagraph"/>
              <w:ind w:left="114"/>
              <w:rPr>
                <w:sz w:val="20"/>
              </w:rPr>
            </w:pPr>
            <w:r>
              <w:rPr>
                <w:sz w:val="20"/>
              </w:rPr>
              <w:t>= yes)</w:t>
            </w:r>
          </w:p>
        </w:tc>
        <w:tc>
          <w:tcPr>
            <w:tcW w:w="6477" w:type="dxa"/>
            <w:tcBorders>
              <w:bottom w:val="dotted" w:sz="6" w:space="0" w:color="BEBEBE"/>
            </w:tcBorders>
          </w:tcPr>
          <w:p w14:paraId="3669B3A9" w14:textId="77777777" w:rsidR="0046798B" w:rsidRDefault="00903B5C">
            <w:pPr>
              <w:pStyle w:val="TableParagraph"/>
              <w:spacing w:before="43"/>
              <w:ind w:left="114" w:right="534"/>
              <w:rPr>
                <w:sz w:val="20"/>
              </w:rPr>
            </w:pPr>
            <w:r>
              <w:rPr>
                <w:sz w:val="20"/>
              </w:rPr>
              <w:t xml:space="preserve">Center for American Women and Politics. Women in State Legislatures: 2016. </w:t>
            </w:r>
            <w:hyperlink r:id="rId538">
              <w:r>
                <w:rPr>
                  <w:sz w:val="20"/>
                  <w:u w:val="single"/>
                </w:rPr>
                <w:t>http://www.cawp.rutgers.edu/</w:t>
              </w:r>
            </w:hyperlink>
          </w:p>
        </w:tc>
      </w:tr>
      <w:tr w:rsidR="0046798B" w14:paraId="04C76A20" w14:textId="77777777">
        <w:trPr>
          <w:trHeight w:val="772"/>
        </w:trPr>
        <w:tc>
          <w:tcPr>
            <w:tcW w:w="1711" w:type="dxa"/>
            <w:tcBorders>
              <w:top w:val="dotted" w:sz="6" w:space="0" w:color="BEBEBE"/>
            </w:tcBorders>
          </w:tcPr>
          <w:p w14:paraId="6E629A86" w14:textId="77777777" w:rsidR="0046798B" w:rsidRDefault="0046798B">
            <w:pPr>
              <w:pStyle w:val="TableParagraph"/>
              <w:spacing w:before="6"/>
              <w:rPr>
                <w:sz w:val="23"/>
              </w:rPr>
            </w:pPr>
          </w:p>
          <w:p w14:paraId="57CEF100" w14:textId="77777777" w:rsidR="0046798B" w:rsidRDefault="00903B5C">
            <w:pPr>
              <w:pStyle w:val="TableParagraph"/>
              <w:ind w:left="115"/>
              <w:rPr>
                <w:b/>
                <w:sz w:val="20"/>
              </w:rPr>
            </w:pPr>
            <w:r>
              <w:rPr>
                <w:b/>
                <w:sz w:val="20"/>
              </w:rPr>
              <w:t>stctprof_rank</w:t>
            </w:r>
          </w:p>
        </w:tc>
        <w:tc>
          <w:tcPr>
            <w:tcW w:w="1596" w:type="dxa"/>
            <w:tcBorders>
              <w:top w:val="dotted" w:sz="6" w:space="0" w:color="BEBEBE"/>
            </w:tcBorders>
          </w:tcPr>
          <w:p w14:paraId="3900839D" w14:textId="77777777" w:rsidR="0046798B" w:rsidRDefault="00903B5C">
            <w:pPr>
              <w:pStyle w:val="TableParagraph"/>
              <w:spacing w:before="40"/>
              <w:ind w:left="114" w:right="185"/>
              <w:rPr>
                <w:sz w:val="20"/>
              </w:rPr>
            </w:pPr>
            <w:r>
              <w:rPr>
                <w:sz w:val="20"/>
              </w:rPr>
              <w:t>State court professionalism rank</w:t>
            </w:r>
          </w:p>
        </w:tc>
        <w:tc>
          <w:tcPr>
            <w:tcW w:w="1280" w:type="dxa"/>
            <w:tcBorders>
              <w:top w:val="dotted" w:sz="6" w:space="0" w:color="BEBEBE"/>
            </w:tcBorders>
          </w:tcPr>
          <w:p w14:paraId="63C5E61D" w14:textId="77777777" w:rsidR="0046798B" w:rsidRDefault="0046798B">
            <w:pPr>
              <w:pStyle w:val="TableParagraph"/>
              <w:spacing w:before="6"/>
              <w:rPr>
                <w:sz w:val="23"/>
              </w:rPr>
            </w:pPr>
          </w:p>
          <w:p w14:paraId="3A19DCB3" w14:textId="77777777" w:rsidR="0046798B" w:rsidRDefault="00903B5C">
            <w:pPr>
              <w:pStyle w:val="TableParagraph"/>
              <w:ind w:left="114"/>
              <w:rPr>
                <w:sz w:val="20"/>
              </w:rPr>
            </w:pPr>
            <w:r>
              <w:rPr>
                <w:sz w:val="20"/>
              </w:rPr>
              <w:t>2004</w:t>
            </w:r>
          </w:p>
        </w:tc>
        <w:tc>
          <w:tcPr>
            <w:tcW w:w="3421" w:type="dxa"/>
            <w:tcBorders>
              <w:top w:val="dotted" w:sz="6" w:space="0" w:color="BEBEBE"/>
            </w:tcBorders>
          </w:tcPr>
          <w:p w14:paraId="0D3483AA" w14:textId="77777777" w:rsidR="0046798B" w:rsidRDefault="00903B5C">
            <w:pPr>
              <w:pStyle w:val="TableParagraph"/>
              <w:spacing w:before="155"/>
              <w:ind w:left="114" w:right="255"/>
              <w:rPr>
                <w:sz w:val="20"/>
              </w:rPr>
            </w:pPr>
            <w:r>
              <w:rPr>
                <w:sz w:val="20"/>
              </w:rPr>
              <w:t>State court professionalism rank from salary, docket score, and staff</w:t>
            </w:r>
          </w:p>
        </w:tc>
        <w:tc>
          <w:tcPr>
            <w:tcW w:w="6477" w:type="dxa"/>
            <w:tcBorders>
              <w:top w:val="dotted" w:sz="6" w:space="0" w:color="BEBEBE"/>
            </w:tcBorders>
          </w:tcPr>
          <w:p w14:paraId="32ABD2EC" w14:textId="77777777" w:rsidR="0046798B" w:rsidRDefault="00903B5C">
            <w:pPr>
              <w:pStyle w:val="TableParagraph"/>
              <w:spacing w:before="155"/>
              <w:ind w:left="114" w:right="295"/>
              <w:rPr>
                <w:sz w:val="20"/>
              </w:rPr>
            </w:pPr>
            <w:r>
              <w:rPr>
                <w:sz w:val="20"/>
              </w:rPr>
              <w:t xml:space="preserve">Squire, Peverill. “Measuring the Professionalization of U.S. State Courts of Last Resort.” </w:t>
            </w:r>
            <w:r>
              <w:rPr>
                <w:i/>
                <w:sz w:val="20"/>
              </w:rPr>
              <w:t xml:space="preserve">State Politics &amp; Policy Quarterly </w:t>
            </w:r>
            <w:r>
              <w:rPr>
                <w:sz w:val="20"/>
              </w:rPr>
              <w:t>8.3 (2008): 223–238.</w:t>
            </w:r>
          </w:p>
        </w:tc>
      </w:tr>
      <w:tr w:rsidR="0046798B" w14:paraId="493C5D73" w14:textId="77777777">
        <w:trPr>
          <w:trHeight w:val="780"/>
        </w:trPr>
        <w:tc>
          <w:tcPr>
            <w:tcW w:w="1711" w:type="dxa"/>
          </w:tcPr>
          <w:p w14:paraId="713EFE8D" w14:textId="77777777" w:rsidR="0046798B" w:rsidRDefault="0046798B">
            <w:pPr>
              <w:pStyle w:val="TableParagraph"/>
              <w:spacing w:before="9"/>
              <w:rPr>
                <w:sz w:val="23"/>
              </w:rPr>
            </w:pPr>
          </w:p>
          <w:p w14:paraId="18B85884" w14:textId="77777777" w:rsidR="0046798B" w:rsidRDefault="00903B5C">
            <w:pPr>
              <w:pStyle w:val="TableParagraph"/>
              <w:ind w:left="115"/>
              <w:rPr>
                <w:b/>
                <w:sz w:val="20"/>
              </w:rPr>
            </w:pPr>
            <w:r>
              <w:rPr>
                <w:b/>
                <w:sz w:val="20"/>
              </w:rPr>
              <w:t>stctprof_score</w:t>
            </w:r>
          </w:p>
        </w:tc>
        <w:tc>
          <w:tcPr>
            <w:tcW w:w="1596" w:type="dxa"/>
          </w:tcPr>
          <w:p w14:paraId="73288C01" w14:textId="77777777" w:rsidR="0046798B" w:rsidRDefault="00903B5C">
            <w:pPr>
              <w:pStyle w:val="TableParagraph"/>
              <w:spacing w:before="43"/>
              <w:ind w:left="114" w:right="185"/>
              <w:rPr>
                <w:sz w:val="20"/>
              </w:rPr>
            </w:pPr>
            <w:r>
              <w:rPr>
                <w:sz w:val="20"/>
              </w:rPr>
              <w:t>State court professionalism score</w:t>
            </w:r>
          </w:p>
        </w:tc>
        <w:tc>
          <w:tcPr>
            <w:tcW w:w="1280" w:type="dxa"/>
          </w:tcPr>
          <w:p w14:paraId="758FEA36" w14:textId="77777777" w:rsidR="0046798B" w:rsidRDefault="0046798B">
            <w:pPr>
              <w:pStyle w:val="TableParagraph"/>
              <w:spacing w:before="9"/>
              <w:rPr>
                <w:sz w:val="23"/>
              </w:rPr>
            </w:pPr>
          </w:p>
          <w:p w14:paraId="2D191088" w14:textId="77777777" w:rsidR="0046798B" w:rsidRDefault="00903B5C">
            <w:pPr>
              <w:pStyle w:val="TableParagraph"/>
              <w:ind w:left="114"/>
              <w:rPr>
                <w:sz w:val="20"/>
              </w:rPr>
            </w:pPr>
            <w:r>
              <w:rPr>
                <w:sz w:val="20"/>
              </w:rPr>
              <w:t>2004</w:t>
            </w:r>
          </w:p>
        </w:tc>
        <w:tc>
          <w:tcPr>
            <w:tcW w:w="3421" w:type="dxa"/>
          </w:tcPr>
          <w:p w14:paraId="359BEF13" w14:textId="77777777" w:rsidR="0046798B" w:rsidRDefault="00903B5C">
            <w:pPr>
              <w:pStyle w:val="TableParagraph"/>
              <w:spacing w:before="159"/>
              <w:ind w:left="114" w:right="188"/>
              <w:rPr>
                <w:sz w:val="20"/>
              </w:rPr>
            </w:pPr>
            <w:r>
              <w:rPr>
                <w:sz w:val="20"/>
              </w:rPr>
              <w:t>State court professionalism score from salary, docket score, and staff</w:t>
            </w:r>
          </w:p>
        </w:tc>
        <w:tc>
          <w:tcPr>
            <w:tcW w:w="6477" w:type="dxa"/>
          </w:tcPr>
          <w:p w14:paraId="3A2F7230" w14:textId="77777777" w:rsidR="0046798B" w:rsidRDefault="00903B5C">
            <w:pPr>
              <w:pStyle w:val="TableParagraph"/>
              <w:spacing w:before="159"/>
              <w:ind w:left="114" w:right="295"/>
              <w:rPr>
                <w:sz w:val="20"/>
              </w:rPr>
            </w:pPr>
            <w:r>
              <w:rPr>
                <w:sz w:val="20"/>
              </w:rPr>
              <w:t xml:space="preserve">Squire, Peverill. “Measuring the Professionalization of U.S. State Courts of Last Resort.” </w:t>
            </w:r>
            <w:r>
              <w:rPr>
                <w:i/>
                <w:sz w:val="20"/>
              </w:rPr>
              <w:t xml:space="preserve">State Politics &amp; Policy Quarterly </w:t>
            </w:r>
            <w:r>
              <w:rPr>
                <w:sz w:val="20"/>
              </w:rPr>
              <w:t>8.3 (2008): 223–238.</w:t>
            </w:r>
          </w:p>
        </w:tc>
      </w:tr>
      <w:tr w:rsidR="0046798B" w14:paraId="7B213A00" w14:textId="77777777">
        <w:trPr>
          <w:trHeight w:val="1005"/>
        </w:trPr>
        <w:tc>
          <w:tcPr>
            <w:tcW w:w="1711" w:type="dxa"/>
          </w:tcPr>
          <w:p w14:paraId="2BD9DF98" w14:textId="77777777" w:rsidR="0046798B" w:rsidRDefault="0046798B">
            <w:pPr>
              <w:pStyle w:val="TableParagraph"/>
              <w:spacing w:before="3"/>
              <w:rPr>
                <w:sz w:val="23"/>
              </w:rPr>
            </w:pPr>
          </w:p>
          <w:p w14:paraId="60638363" w14:textId="77777777" w:rsidR="0046798B" w:rsidRDefault="00903B5C">
            <w:pPr>
              <w:pStyle w:val="TableParagraph"/>
              <w:spacing w:before="1"/>
              <w:ind w:left="115" w:right="155"/>
              <w:rPr>
                <w:b/>
                <w:sz w:val="20"/>
              </w:rPr>
            </w:pPr>
            <w:r>
              <w:rPr>
                <w:b/>
                <w:sz w:val="20"/>
              </w:rPr>
              <w:t>stctprofprem_ra nk</w:t>
            </w:r>
          </w:p>
        </w:tc>
        <w:tc>
          <w:tcPr>
            <w:tcW w:w="1596" w:type="dxa"/>
          </w:tcPr>
          <w:p w14:paraId="64B45D81" w14:textId="77777777" w:rsidR="0046798B" w:rsidRDefault="00903B5C">
            <w:pPr>
              <w:pStyle w:val="TableParagraph"/>
              <w:spacing w:before="38"/>
              <w:ind w:left="114" w:right="85"/>
              <w:rPr>
                <w:sz w:val="20"/>
              </w:rPr>
            </w:pPr>
            <w:r>
              <w:rPr>
                <w:sz w:val="20"/>
              </w:rPr>
              <w:t>State court professionalism rank using salary premium</w:t>
            </w:r>
          </w:p>
        </w:tc>
        <w:tc>
          <w:tcPr>
            <w:tcW w:w="1280" w:type="dxa"/>
          </w:tcPr>
          <w:p w14:paraId="76741752" w14:textId="77777777" w:rsidR="0046798B" w:rsidRDefault="0046798B">
            <w:pPr>
              <w:pStyle w:val="TableParagraph"/>
            </w:pPr>
          </w:p>
          <w:p w14:paraId="5EAF8F7C" w14:textId="77777777" w:rsidR="0046798B" w:rsidRDefault="00903B5C">
            <w:pPr>
              <w:pStyle w:val="TableParagraph"/>
              <w:spacing w:before="130"/>
              <w:ind w:left="114"/>
              <w:rPr>
                <w:sz w:val="20"/>
              </w:rPr>
            </w:pPr>
            <w:r>
              <w:rPr>
                <w:sz w:val="20"/>
              </w:rPr>
              <w:t>2004</w:t>
            </w:r>
          </w:p>
        </w:tc>
        <w:tc>
          <w:tcPr>
            <w:tcW w:w="3421" w:type="dxa"/>
          </w:tcPr>
          <w:p w14:paraId="10207B11" w14:textId="77777777" w:rsidR="0046798B" w:rsidRDefault="0046798B">
            <w:pPr>
              <w:pStyle w:val="TableParagraph"/>
              <w:spacing w:before="3"/>
              <w:rPr>
                <w:sz w:val="23"/>
              </w:rPr>
            </w:pPr>
          </w:p>
          <w:p w14:paraId="491DE7AF" w14:textId="77777777" w:rsidR="0046798B" w:rsidRDefault="00903B5C">
            <w:pPr>
              <w:pStyle w:val="TableParagraph"/>
              <w:spacing w:before="1"/>
              <w:ind w:left="114" w:right="128"/>
              <w:rPr>
                <w:sz w:val="20"/>
              </w:rPr>
            </w:pPr>
            <w:r>
              <w:rPr>
                <w:sz w:val="20"/>
              </w:rPr>
              <w:t>State court professionalism rank from premium salary, docket score, and staff</w:t>
            </w:r>
          </w:p>
        </w:tc>
        <w:tc>
          <w:tcPr>
            <w:tcW w:w="6477" w:type="dxa"/>
          </w:tcPr>
          <w:p w14:paraId="1B4DFA5F" w14:textId="77777777" w:rsidR="0046798B" w:rsidRDefault="0046798B">
            <w:pPr>
              <w:pStyle w:val="TableParagraph"/>
              <w:spacing w:before="3"/>
              <w:rPr>
                <w:sz w:val="23"/>
              </w:rPr>
            </w:pPr>
          </w:p>
          <w:p w14:paraId="198AC12A" w14:textId="77777777" w:rsidR="0046798B" w:rsidRDefault="00903B5C">
            <w:pPr>
              <w:pStyle w:val="TableParagraph"/>
              <w:spacing w:before="1"/>
              <w:ind w:left="114" w:right="295"/>
              <w:rPr>
                <w:sz w:val="20"/>
              </w:rPr>
            </w:pPr>
            <w:r>
              <w:rPr>
                <w:sz w:val="20"/>
              </w:rPr>
              <w:t xml:space="preserve">Squire, Peverill. “Measuring the Professionalization of U.S. State Courts of Last Resort.” </w:t>
            </w:r>
            <w:r>
              <w:rPr>
                <w:i/>
                <w:sz w:val="20"/>
              </w:rPr>
              <w:t xml:space="preserve">State Politics &amp; Policy Quarterly </w:t>
            </w:r>
            <w:r>
              <w:rPr>
                <w:sz w:val="20"/>
              </w:rPr>
              <w:t>8.3 (2008): 223–238.</w:t>
            </w:r>
          </w:p>
        </w:tc>
      </w:tr>
      <w:tr w:rsidR="0046798B" w14:paraId="7C53A3ED" w14:textId="77777777">
        <w:trPr>
          <w:trHeight w:val="1005"/>
        </w:trPr>
        <w:tc>
          <w:tcPr>
            <w:tcW w:w="1711" w:type="dxa"/>
          </w:tcPr>
          <w:p w14:paraId="44BB18B9" w14:textId="77777777" w:rsidR="0046798B" w:rsidRDefault="0046798B">
            <w:pPr>
              <w:pStyle w:val="TableParagraph"/>
              <w:spacing w:before="3"/>
              <w:rPr>
                <w:sz w:val="23"/>
              </w:rPr>
            </w:pPr>
          </w:p>
          <w:p w14:paraId="58B03B76" w14:textId="77777777" w:rsidR="0046798B" w:rsidRDefault="00903B5C">
            <w:pPr>
              <w:pStyle w:val="TableParagraph"/>
              <w:spacing w:before="1"/>
              <w:ind w:left="115" w:right="177"/>
              <w:rPr>
                <w:b/>
                <w:sz w:val="20"/>
              </w:rPr>
            </w:pPr>
            <w:r>
              <w:rPr>
                <w:b/>
                <w:sz w:val="20"/>
              </w:rPr>
              <w:t>stctprofprem_sc ore</w:t>
            </w:r>
          </w:p>
        </w:tc>
        <w:tc>
          <w:tcPr>
            <w:tcW w:w="1596" w:type="dxa"/>
          </w:tcPr>
          <w:p w14:paraId="7BE5F7ED" w14:textId="77777777" w:rsidR="0046798B" w:rsidRDefault="00903B5C">
            <w:pPr>
              <w:pStyle w:val="TableParagraph"/>
              <w:spacing w:before="38"/>
              <w:ind w:left="114" w:right="185"/>
              <w:rPr>
                <w:sz w:val="20"/>
              </w:rPr>
            </w:pPr>
            <w:r>
              <w:rPr>
                <w:sz w:val="20"/>
              </w:rPr>
              <w:t>State court professionalism score using salary premium</w:t>
            </w:r>
          </w:p>
        </w:tc>
        <w:tc>
          <w:tcPr>
            <w:tcW w:w="1280" w:type="dxa"/>
          </w:tcPr>
          <w:p w14:paraId="40654C0A" w14:textId="77777777" w:rsidR="0046798B" w:rsidRDefault="0046798B">
            <w:pPr>
              <w:pStyle w:val="TableParagraph"/>
            </w:pPr>
          </w:p>
          <w:p w14:paraId="0922E8BD" w14:textId="77777777" w:rsidR="0046798B" w:rsidRDefault="00903B5C">
            <w:pPr>
              <w:pStyle w:val="TableParagraph"/>
              <w:spacing w:before="130"/>
              <w:ind w:left="114"/>
              <w:rPr>
                <w:sz w:val="20"/>
              </w:rPr>
            </w:pPr>
            <w:r>
              <w:rPr>
                <w:sz w:val="20"/>
              </w:rPr>
              <w:t>2004</w:t>
            </w:r>
          </w:p>
        </w:tc>
        <w:tc>
          <w:tcPr>
            <w:tcW w:w="3421" w:type="dxa"/>
          </w:tcPr>
          <w:p w14:paraId="1B474A9E" w14:textId="77777777" w:rsidR="0046798B" w:rsidRDefault="0046798B">
            <w:pPr>
              <w:pStyle w:val="TableParagraph"/>
              <w:spacing w:before="3"/>
              <w:rPr>
                <w:sz w:val="23"/>
              </w:rPr>
            </w:pPr>
          </w:p>
          <w:p w14:paraId="19064C78" w14:textId="77777777" w:rsidR="0046798B" w:rsidRDefault="00903B5C">
            <w:pPr>
              <w:pStyle w:val="TableParagraph"/>
              <w:spacing w:before="1"/>
              <w:ind w:left="114" w:right="128"/>
              <w:rPr>
                <w:sz w:val="20"/>
              </w:rPr>
            </w:pPr>
            <w:r>
              <w:rPr>
                <w:sz w:val="20"/>
              </w:rPr>
              <w:t>State court professionalism score from premium salary, docket score, and staff</w:t>
            </w:r>
          </w:p>
        </w:tc>
        <w:tc>
          <w:tcPr>
            <w:tcW w:w="6477" w:type="dxa"/>
          </w:tcPr>
          <w:p w14:paraId="21B04C7F" w14:textId="77777777" w:rsidR="0046798B" w:rsidRDefault="0046798B">
            <w:pPr>
              <w:pStyle w:val="TableParagraph"/>
              <w:spacing w:before="3"/>
              <w:rPr>
                <w:sz w:val="23"/>
              </w:rPr>
            </w:pPr>
          </w:p>
          <w:p w14:paraId="037360C2" w14:textId="77777777" w:rsidR="0046798B" w:rsidRDefault="00903B5C">
            <w:pPr>
              <w:pStyle w:val="TableParagraph"/>
              <w:spacing w:before="1"/>
              <w:ind w:left="114" w:right="295"/>
              <w:rPr>
                <w:sz w:val="20"/>
              </w:rPr>
            </w:pPr>
            <w:r>
              <w:rPr>
                <w:sz w:val="20"/>
              </w:rPr>
              <w:t xml:space="preserve">Squire, Peverill. “Measuring the Professionalization of U.S. State Courts of Last Resort.” </w:t>
            </w:r>
            <w:r>
              <w:rPr>
                <w:i/>
                <w:sz w:val="20"/>
              </w:rPr>
              <w:t xml:space="preserve">State Politics &amp; Policy Quarterly </w:t>
            </w:r>
            <w:r>
              <w:rPr>
                <w:sz w:val="20"/>
              </w:rPr>
              <w:t>8.3 (2008): 223–238.</w:t>
            </w:r>
          </w:p>
        </w:tc>
      </w:tr>
      <w:tr w:rsidR="0046798B" w14:paraId="650A34E1" w14:textId="77777777">
        <w:trPr>
          <w:trHeight w:val="1235"/>
        </w:trPr>
        <w:tc>
          <w:tcPr>
            <w:tcW w:w="1711" w:type="dxa"/>
          </w:tcPr>
          <w:p w14:paraId="2FC4B6CE" w14:textId="77777777" w:rsidR="0046798B" w:rsidRDefault="0046798B">
            <w:pPr>
              <w:pStyle w:val="TableParagraph"/>
            </w:pPr>
          </w:p>
          <w:p w14:paraId="28A5D27B" w14:textId="77777777" w:rsidR="0046798B" w:rsidRDefault="00903B5C">
            <w:pPr>
              <w:pStyle w:val="TableParagraph"/>
              <w:spacing w:before="135"/>
              <w:ind w:left="115" w:right="166"/>
              <w:rPr>
                <w:b/>
                <w:sz w:val="20"/>
              </w:rPr>
            </w:pPr>
            <w:r>
              <w:rPr>
                <w:b/>
                <w:sz w:val="20"/>
              </w:rPr>
              <w:t>stctprofdisc_ran k</w:t>
            </w:r>
          </w:p>
        </w:tc>
        <w:tc>
          <w:tcPr>
            <w:tcW w:w="1596" w:type="dxa"/>
          </w:tcPr>
          <w:p w14:paraId="7C8883C2" w14:textId="77777777" w:rsidR="0046798B" w:rsidRDefault="00903B5C">
            <w:pPr>
              <w:pStyle w:val="TableParagraph"/>
              <w:spacing w:before="43"/>
              <w:ind w:left="114" w:right="185"/>
              <w:rPr>
                <w:sz w:val="20"/>
              </w:rPr>
            </w:pPr>
            <w:r>
              <w:rPr>
                <w:sz w:val="20"/>
              </w:rPr>
              <w:t>State court professionalism using discretionary rank</w:t>
            </w:r>
          </w:p>
        </w:tc>
        <w:tc>
          <w:tcPr>
            <w:tcW w:w="1280" w:type="dxa"/>
          </w:tcPr>
          <w:p w14:paraId="1C33A9D5" w14:textId="77777777" w:rsidR="0046798B" w:rsidRDefault="0046798B">
            <w:pPr>
              <w:pStyle w:val="TableParagraph"/>
            </w:pPr>
          </w:p>
          <w:p w14:paraId="050709B4" w14:textId="77777777" w:rsidR="0046798B" w:rsidRDefault="0046798B">
            <w:pPr>
              <w:pStyle w:val="TableParagraph"/>
              <w:spacing w:before="8"/>
              <w:rPr>
                <w:sz w:val="21"/>
              </w:rPr>
            </w:pPr>
          </w:p>
          <w:p w14:paraId="7A0BF024" w14:textId="77777777" w:rsidR="0046798B" w:rsidRDefault="00903B5C">
            <w:pPr>
              <w:pStyle w:val="TableParagraph"/>
              <w:spacing w:before="1"/>
              <w:ind w:left="114"/>
              <w:rPr>
                <w:sz w:val="20"/>
              </w:rPr>
            </w:pPr>
            <w:r>
              <w:rPr>
                <w:sz w:val="20"/>
              </w:rPr>
              <w:t>2004</w:t>
            </w:r>
          </w:p>
        </w:tc>
        <w:tc>
          <w:tcPr>
            <w:tcW w:w="3421" w:type="dxa"/>
          </w:tcPr>
          <w:p w14:paraId="3708864C" w14:textId="77777777" w:rsidR="0046798B" w:rsidRDefault="0046798B">
            <w:pPr>
              <w:pStyle w:val="TableParagraph"/>
            </w:pPr>
          </w:p>
          <w:p w14:paraId="5D14D6C4" w14:textId="77777777" w:rsidR="0046798B" w:rsidRDefault="00903B5C">
            <w:pPr>
              <w:pStyle w:val="TableParagraph"/>
              <w:spacing w:before="135"/>
              <w:ind w:left="114" w:right="255"/>
              <w:rPr>
                <w:sz w:val="20"/>
              </w:rPr>
            </w:pPr>
            <w:r>
              <w:rPr>
                <w:sz w:val="20"/>
              </w:rPr>
              <w:t>State court professionalism rank from salary, discretionary score, and staff</w:t>
            </w:r>
          </w:p>
        </w:tc>
        <w:tc>
          <w:tcPr>
            <w:tcW w:w="6477" w:type="dxa"/>
          </w:tcPr>
          <w:p w14:paraId="03801026" w14:textId="77777777" w:rsidR="0046798B" w:rsidRDefault="0046798B">
            <w:pPr>
              <w:pStyle w:val="TableParagraph"/>
            </w:pPr>
          </w:p>
          <w:p w14:paraId="62F82758" w14:textId="77777777" w:rsidR="0046798B" w:rsidRDefault="00903B5C">
            <w:pPr>
              <w:pStyle w:val="TableParagraph"/>
              <w:spacing w:before="135"/>
              <w:ind w:left="114" w:right="295"/>
              <w:rPr>
                <w:sz w:val="20"/>
              </w:rPr>
            </w:pPr>
            <w:r>
              <w:rPr>
                <w:sz w:val="20"/>
              </w:rPr>
              <w:t xml:space="preserve">Squire, Peverill. “Measuring the Professionalization of U.S. State Courts of Last Resort.” </w:t>
            </w:r>
            <w:r>
              <w:rPr>
                <w:i/>
                <w:sz w:val="20"/>
              </w:rPr>
              <w:t xml:space="preserve">State Politics &amp; Policy Quarterly </w:t>
            </w:r>
            <w:r>
              <w:rPr>
                <w:sz w:val="20"/>
              </w:rPr>
              <w:t>8.3 (2008): 223–238.</w:t>
            </w:r>
          </w:p>
        </w:tc>
      </w:tr>
      <w:tr w:rsidR="0046798B" w14:paraId="475E7396" w14:textId="77777777">
        <w:trPr>
          <w:trHeight w:val="1235"/>
        </w:trPr>
        <w:tc>
          <w:tcPr>
            <w:tcW w:w="1711" w:type="dxa"/>
          </w:tcPr>
          <w:p w14:paraId="539B9ABE" w14:textId="77777777" w:rsidR="0046798B" w:rsidRDefault="0046798B">
            <w:pPr>
              <w:pStyle w:val="TableParagraph"/>
            </w:pPr>
          </w:p>
          <w:p w14:paraId="138C404B" w14:textId="77777777" w:rsidR="0046798B" w:rsidRDefault="00903B5C">
            <w:pPr>
              <w:pStyle w:val="TableParagraph"/>
              <w:spacing w:before="135"/>
              <w:ind w:left="115" w:right="110"/>
              <w:rPr>
                <w:b/>
                <w:sz w:val="20"/>
              </w:rPr>
            </w:pPr>
            <w:r>
              <w:rPr>
                <w:b/>
                <w:sz w:val="20"/>
              </w:rPr>
              <w:t>stctprofdisc_scor e</w:t>
            </w:r>
          </w:p>
        </w:tc>
        <w:tc>
          <w:tcPr>
            <w:tcW w:w="1596" w:type="dxa"/>
          </w:tcPr>
          <w:p w14:paraId="068B4BDA" w14:textId="77777777" w:rsidR="0046798B" w:rsidRDefault="00903B5C">
            <w:pPr>
              <w:pStyle w:val="TableParagraph"/>
              <w:spacing w:before="43"/>
              <w:ind w:left="114" w:right="185"/>
              <w:rPr>
                <w:sz w:val="20"/>
              </w:rPr>
            </w:pPr>
            <w:r>
              <w:rPr>
                <w:sz w:val="20"/>
              </w:rPr>
              <w:t>State Court professionalism using discretionary score</w:t>
            </w:r>
          </w:p>
        </w:tc>
        <w:tc>
          <w:tcPr>
            <w:tcW w:w="1280" w:type="dxa"/>
          </w:tcPr>
          <w:p w14:paraId="28E98C11" w14:textId="77777777" w:rsidR="0046798B" w:rsidRDefault="0046798B">
            <w:pPr>
              <w:pStyle w:val="TableParagraph"/>
            </w:pPr>
          </w:p>
          <w:p w14:paraId="22AF1F8D" w14:textId="77777777" w:rsidR="0046798B" w:rsidRDefault="0046798B">
            <w:pPr>
              <w:pStyle w:val="TableParagraph"/>
              <w:spacing w:before="8"/>
              <w:rPr>
                <w:sz w:val="21"/>
              </w:rPr>
            </w:pPr>
          </w:p>
          <w:p w14:paraId="335A209E" w14:textId="77777777" w:rsidR="0046798B" w:rsidRDefault="00903B5C">
            <w:pPr>
              <w:pStyle w:val="TableParagraph"/>
              <w:spacing w:before="1"/>
              <w:ind w:left="114"/>
              <w:rPr>
                <w:sz w:val="20"/>
              </w:rPr>
            </w:pPr>
            <w:r>
              <w:rPr>
                <w:sz w:val="20"/>
              </w:rPr>
              <w:t>2004</w:t>
            </w:r>
          </w:p>
        </w:tc>
        <w:tc>
          <w:tcPr>
            <w:tcW w:w="3421" w:type="dxa"/>
          </w:tcPr>
          <w:p w14:paraId="23A21050" w14:textId="77777777" w:rsidR="0046798B" w:rsidRDefault="0046798B">
            <w:pPr>
              <w:pStyle w:val="TableParagraph"/>
            </w:pPr>
          </w:p>
          <w:p w14:paraId="1B588869" w14:textId="77777777" w:rsidR="0046798B" w:rsidRDefault="00903B5C">
            <w:pPr>
              <w:pStyle w:val="TableParagraph"/>
              <w:spacing w:before="135"/>
              <w:ind w:left="114" w:right="188"/>
              <w:rPr>
                <w:sz w:val="20"/>
              </w:rPr>
            </w:pPr>
            <w:r>
              <w:rPr>
                <w:sz w:val="20"/>
              </w:rPr>
              <w:t>State court professionalism score from salary, discretionary score, and staff</w:t>
            </w:r>
          </w:p>
        </w:tc>
        <w:tc>
          <w:tcPr>
            <w:tcW w:w="6477" w:type="dxa"/>
          </w:tcPr>
          <w:p w14:paraId="2E75D23A" w14:textId="77777777" w:rsidR="0046798B" w:rsidRDefault="0046798B">
            <w:pPr>
              <w:pStyle w:val="TableParagraph"/>
            </w:pPr>
          </w:p>
          <w:p w14:paraId="790EC9BE" w14:textId="77777777" w:rsidR="0046798B" w:rsidRDefault="00903B5C">
            <w:pPr>
              <w:pStyle w:val="TableParagraph"/>
              <w:spacing w:before="135"/>
              <w:ind w:left="114" w:right="295"/>
              <w:rPr>
                <w:sz w:val="20"/>
              </w:rPr>
            </w:pPr>
            <w:r>
              <w:rPr>
                <w:sz w:val="20"/>
              </w:rPr>
              <w:t xml:space="preserve">Squire, Peverill. “Measuring the Professionalization of U.S. State Courts of Last Resort.” </w:t>
            </w:r>
            <w:r>
              <w:rPr>
                <w:i/>
                <w:sz w:val="20"/>
              </w:rPr>
              <w:t xml:space="preserve">State Politics &amp; Policy Quarterly </w:t>
            </w:r>
            <w:r>
              <w:rPr>
                <w:sz w:val="20"/>
              </w:rPr>
              <w:t>8.3 (2008): 223–238.</w:t>
            </w:r>
          </w:p>
        </w:tc>
      </w:tr>
      <w:tr w:rsidR="0046798B" w14:paraId="707B4388" w14:textId="77777777">
        <w:trPr>
          <w:trHeight w:val="1465"/>
        </w:trPr>
        <w:tc>
          <w:tcPr>
            <w:tcW w:w="1711" w:type="dxa"/>
          </w:tcPr>
          <w:p w14:paraId="0D851B2F" w14:textId="77777777" w:rsidR="0046798B" w:rsidRDefault="0046798B">
            <w:pPr>
              <w:pStyle w:val="TableParagraph"/>
            </w:pPr>
          </w:p>
          <w:p w14:paraId="46709DCF" w14:textId="77777777" w:rsidR="0046798B" w:rsidRDefault="0046798B">
            <w:pPr>
              <w:pStyle w:val="TableParagraph"/>
              <w:spacing w:before="8"/>
              <w:rPr>
                <w:sz w:val="21"/>
              </w:rPr>
            </w:pPr>
          </w:p>
          <w:p w14:paraId="6962EFD4" w14:textId="77777777" w:rsidR="0046798B" w:rsidRDefault="00903B5C">
            <w:pPr>
              <w:pStyle w:val="TableParagraph"/>
              <w:spacing w:before="1"/>
              <w:ind w:left="115"/>
              <w:rPr>
                <w:b/>
                <w:sz w:val="20"/>
              </w:rPr>
            </w:pPr>
            <w:r>
              <w:rPr>
                <w:b/>
                <w:sz w:val="20"/>
              </w:rPr>
              <w:t>stctprofpremdisc</w:t>
            </w:r>
          </w:p>
          <w:p w14:paraId="13978BDC" w14:textId="77777777" w:rsidR="0046798B" w:rsidRDefault="00903B5C">
            <w:pPr>
              <w:pStyle w:val="TableParagraph"/>
              <w:ind w:left="115"/>
              <w:rPr>
                <w:b/>
                <w:sz w:val="20"/>
              </w:rPr>
            </w:pPr>
            <w:r>
              <w:rPr>
                <w:b/>
                <w:sz w:val="20"/>
              </w:rPr>
              <w:t>_rank</w:t>
            </w:r>
          </w:p>
        </w:tc>
        <w:tc>
          <w:tcPr>
            <w:tcW w:w="1596" w:type="dxa"/>
          </w:tcPr>
          <w:p w14:paraId="37DD235B" w14:textId="77777777" w:rsidR="0046798B" w:rsidRDefault="00903B5C">
            <w:pPr>
              <w:pStyle w:val="TableParagraph"/>
              <w:spacing w:before="43"/>
              <w:ind w:left="114" w:right="185"/>
              <w:rPr>
                <w:sz w:val="20"/>
              </w:rPr>
            </w:pPr>
            <w:r>
              <w:rPr>
                <w:sz w:val="20"/>
              </w:rPr>
              <w:t>State court professionalism using salary premium and discretionary score rank</w:t>
            </w:r>
          </w:p>
        </w:tc>
        <w:tc>
          <w:tcPr>
            <w:tcW w:w="1280" w:type="dxa"/>
          </w:tcPr>
          <w:p w14:paraId="39A228E2" w14:textId="77777777" w:rsidR="0046798B" w:rsidRDefault="0046798B">
            <w:pPr>
              <w:pStyle w:val="TableParagraph"/>
            </w:pPr>
          </w:p>
          <w:p w14:paraId="1D07433D" w14:textId="77777777" w:rsidR="0046798B" w:rsidRDefault="0046798B">
            <w:pPr>
              <w:pStyle w:val="TableParagraph"/>
              <w:spacing w:before="8"/>
              <w:rPr>
                <w:sz w:val="31"/>
              </w:rPr>
            </w:pPr>
          </w:p>
          <w:p w14:paraId="3AAB4C88" w14:textId="77777777" w:rsidR="0046798B" w:rsidRDefault="00903B5C">
            <w:pPr>
              <w:pStyle w:val="TableParagraph"/>
              <w:ind w:left="114"/>
              <w:rPr>
                <w:sz w:val="20"/>
              </w:rPr>
            </w:pPr>
            <w:r>
              <w:rPr>
                <w:sz w:val="20"/>
              </w:rPr>
              <w:t>2004</w:t>
            </w:r>
          </w:p>
        </w:tc>
        <w:tc>
          <w:tcPr>
            <w:tcW w:w="3421" w:type="dxa"/>
          </w:tcPr>
          <w:p w14:paraId="58A3E149" w14:textId="77777777" w:rsidR="0046798B" w:rsidRDefault="0046798B">
            <w:pPr>
              <w:pStyle w:val="TableParagraph"/>
            </w:pPr>
          </w:p>
          <w:p w14:paraId="22068C3B" w14:textId="77777777" w:rsidR="0046798B" w:rsidRDefault="00903B5C">
            <w:pPr>
              <w:pStyle w:val="TableParagraph"/>
              <w:spacing w:before="135"/>
              <w:ind w:left="114" w:right="255"/>
              <w:rPr>
                <w:sz w:val="20"/>
              </w:rPr>
            </w:pPr>
            <w:r>
              <w:rPr>
                <w:sz w:val="20"/>
              </w:rPr>
              <w:t>State court professionalism rank from premium salary, discretionary score, and staff</w:t>
            </w:r>
          </w:p>
        </w:tc>
        <w:tc>
          <w:tcPr>
            <w:tcW w:w="6477" w:type="dxa"/>
          </w:tcPr>
          <w:p w14:paraId="703E7DAF" w14:textId="77777777" w:rsidR="0046798B" w:rsidRDefault="0046798B">
            <w:pPr>
              <w:pStyle w:val="TableParagraph"/>
            </w:pPr>
          </w:p>
          <w:p w14:paraId="2868A301" w14:textId="77777777" w:rsidR="0046798B" w:rsidRDefault="0046798B">
            <w:pPr>
              <w:pStyle w:val="TableParagraph"/>
              <w:spacing w:before="8"/>
              <w:rPr>
                <w:sz w:val="21"/>
              </w:rPr>
            </w:pPr>
          </w:p>
          <w:p w14:paraId="51421DBA" w14:textId="77777777" w:rsidR="0046798B" w:rsidRDefault="00903B5C">
            <w:pPr>
              <w:pStyle w:val="TableParagraph"/>
              <w:spacing w:before="1"/>
              <w:ind w:left="114" w:right="295"/>
              <w:rPr>
                <w:sz w:val="20"/>
              </w:rPr>
            </w:pPr>
            <w:r>
              <w:rPr>
                <w:sz w:val="20"/>
              </w:rPr>
              <w:t xml:space="preserve">Squire, Peverill. “Measuring the Professionalization of U.S. State Courts of Last Resort.” </w:t>
            </w:r>
            <w:r>
              <w:rPr>
                <w:i/>
                <w:sz w:val="20"/>
              </w:rPr>
              <w:t xml:space="preserve">State Politics &amp; Policy Quarterly </w:t>
            </w:r>
            <w:r>
              <w:rPr>
                <w:sz w:val="20"/>
              </w:rPr>
              <w:t>8.3 (2008): 223–238.</w:t>
            </w:r>
          </w:p>
        </w:tc>
      </w:tr>
      <w:tr w:rsidR="0046798B" w14:paraId="60F24FCB" w14:textId="77777777">
        <w:trPr>
          <w:trHeight w:val="1010"/>
        </w:trPr>
        <w:tc>
          <w:tcPr>
            <w:tcW w:w="1711" w:type="dxa"/>
          </w:tcPr>
          <w:p w14:paraId="43DAA5E0" w14:textId="77777777" w:rsidR="0046798B" w:rsidRDefault="0046798B">
            <w:pPr>
              <w:pStyle w:val="TableParagraph"/>
              <w:spacing w:before="8"/>
              <w:rPr>
                <w:sz w:val="23"/>
              </w:rPr>
            </w:pPr>
          </w:p>
          <w:p w14:paraId="361A6AC0" w14:textId="77777777" w:rsidR="0046798B" w:rsidRDefault="00903B5C">
            <w:pPr>
              <w:pStyle w:val="TableParagraph"/>
              <w:spacing w:before="1"/>
              <w:ind w:left="115"/>
              <w:rPr>
                <w:b/>
                <w:sz w:val="20"/>
              </w:rPr>
            </w:pPr>
            <w:r>
              <w:rPr>
                <w:b/>
                <w:sz w:val="20"/>
              </w:rPr>
              <w:t>stctprofpremdisc</w:t>
            </w:r>
          </w:p>
          <w:p w14:paraId="2E7E2291" w14:textId="77777777" w:rsidR="0046798B" w:rsidRDefault="00903B5C">
            <w:pPr>
              <w:pStyle w:val="TableParagraph"/>
              <w:ind w:left="115"/>
              <w:rPr>
                <w:b/>
                <w:sz w:val="20"/>
              </w:rPr>
            </w:pPr>
            <w:r>
              <w:rPr>
                <w:b/>
                <w:sz w:val="20"/>
              </w:rPr>
              <w:t>_score</w:t>
            </w:r>
          </w:p>
        </w:tc>
        <w:tc>
          <w:tcPr>
            <w:tcW w:w="1596" w:type="dxa"/>
          </w:tcPr>
          <w:p w14:paraId="3800CDD9" w14:textId="77777777" w:rsidR="0046798B" w:rsidRDefault="00903B5C">
            <w:pPr>
              <w:pStyle w:val="TableParagraph"/>
              <w:spacing w:before="43"/>
              <w:ind w:left="114" w:right="185"/>
              <w:rPr>
                <w:sz w:val="20"/>
              </w:rPr>
            </w:pPr>
            <w:r>
              <w:rPr>
                <w:sz w:val="20"/>
              </w:rPr>
              <w:t>State court professionalism using salary premium and</w:t>
            </w:r>
          </w:p>
        </w:tc>
        <w:tc>
          <w:tcPr>
            <w:tcW w:w="1280" w:type="dxa"/>
          </w:tcPr>
          <w:p w14:paraId="11E5C804" w14:textId="77777777" w:rsidR="0046798B" w:rsidRDefault="0046798B">
            <w:pPr>
              <w:pStyle w:val="TableParagraph"/>
            </w:pPr>
          </w:p>
          <w:p w14:paraId="3736EE30" w14:textId="77777777" w:rsidR="0046798B" w:rsidRDefault="00903B5C">
            <w:pPr>
              <w:pStyle w:val="TableParagraph"/>
              <w:spacing w:before="135"/>
              <w:ind w:left="114"/>
              <w:rPr>
                <w:sz w:val="20"/>
              </w:rPr>
            </w:pPr>
            <w:r>
              <w:rPr>
                <w:sz w:val="20"/>
              </w:rPr>
              <w:t>2004</w:t>
            </w:r>
          </w:p>
        </w:tc>
        <w:tc>
          <w:tcPr>
            <w:tcW w:w="3421" w:type="dxa"/>
          </w:tcPr>
          <w:p w14:paraId="515C6BC5" w14:textId="77777777" w:rsidR="0046798B" w:rsidRDefault="00903B5C">
            <w:pPr>
              <w:pStyle w:val="TableParagraph"/>
              <w:spacing w:before="158"/>
              <w:ind w:left="114" w:right="188"/>
              <w:rPr>
                <w:sz w:val="20"/>
              </w:rPr>
            </w:pPr>
            <w:r>
              <w:rPr>
                <w:sz w:val="20"/>
              </w:rPr>
              <w:t>State court professionalism score from premium salary, discretionary score, and staff</w:t>
            </w:r>
          </w:p>
        </w:tc>
        <w:tc>
          <w:tcPr>
            <w:tcW w:w="6477" w:type="dxa"/>
          </w:tcPr>
          <w:p w14:paraId="619F5794" w14:textId="77777777" w:rsidR="0046798B" w:rsidRDefault="0046798B">
            <w:pPr>
              <w:pStyle w:val="TableParagraph"/>
              <w:spacing w:before="8"/>
              <w:rPr>
                <w:sz w:val="23"/>
              </w:rPr>
            </w:pPr>
          </w:p>
          <w:p w14:paraId="38EFC200" w14:textId="77777777" w:rsidR="0046798B" w:rsidRDefault="00903B5C">
            <w:pPr>
              <w:pStyle w:val="TableParagraph"/>
              <w:spacing w:before="1"/>
              <w:ind w:left="114" w:right="295"/>
              <w:rPr>
                <w:sz w:val="20"/>
              </w:rPr>
            </w:pPr>
            <w:r>
              <w:rPr>
                <w:sz w:val="20"/>
              </w:rPr>
              <w:t xml:space="preserve">Squire, Peverill. “Measuring the Professionalization of U.S. State Courts of Last Resort.” </w:t>
            </w:r>
            <w:r>
              <w:rPr>
                <w:i/>
                <w:sz w:val="20"/>
              </w:rPr>
              <w:t xml:space="preserve">State Politics &amp; Policy Quarterly </w:t>
            </w:r>
            <w:r>
              <w:rPr>
                <w:sz w:val="20"/>
              </w:rPr>
              <w:t>8.3 (2008): 223–238.</w:t>
            </w:r>
          </w:p>
        </w:tc>
      </w:tr>
    </w:tbl>
    <w:p w14:paraId="4AEBF7C3" w14:textId="77777777" w:rsidR="0046798B" w:rsidRDefault="0046798B">
      <w:pPr>
        <w:rPr>
          <w:sz w:val="20"/>
        </w:rPr>
        <w:sectPr w:rsidR="0046798B">
          <w:pgSz w:w="15840" w:h="12240" w:orient="landscape"/>
          <w:pgMar w:top="1220" w:right="300" w:bottom="980" w:left="820" w:header="730" w:footer="787" w:gutter="0"/>
          <w:cols w:space="720"/>
        </w:sectPr>
      </w:pPr>
    </w:p>
    <w:p w14:paraId="598CC596"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0"/>
        <w:gridCol w:w="3421"/>
        <w:gridCol w:w="6477"/>
      </w:tblGrid>
      <w:tr w:rsidR="0046798B" w14:paraId="68556DB4" w14:textId="77777777">
        <w:trPr>
          <w:trHeight w:val="542"/>
        </w:trPr>
        <w:tc>
          <w:tcPr>
            <w:tcW w:w="1711" w:type="dxa"/>
            <w:tcBorders>
              <w:bottom w:val="dotted" w:sz="6" w:space="0" w:color="BEBEBE"/>
            </w:tcBorders>
          </w:tcPr>
          <w:p w14:paraId="0884EBDB" w14:textId="77777777" w:rsidR="0046798B" w:rsidRDefault="0046798B">
            <w:pPr>
              <w:pStyle w:val="TableParagraph"/>
              <w:rPr>
                <w:sz w:val="20"/>
              </w:rPr>
            </w:pPr>
          </w:p>
        </w:tc>
        <w:tc>
          <w:tcPr>
            <w:tcW w:w="1596" w:type="dxa"/>
            <w:tcBorders>
              <w:bottom w:val="dotted" w:sz="6" w:space="0" w:color="BEBEBE"/>
            </w:tcBorders>
          </w:tcPr>
          <w:p w14:paraId="6E58D44C" w14:textId="77777777" w:rsidR="0046798B" w:rsidRDefault="00903B5C">
            <w:pPr>
              <w:pStyle w:val="TableParagraph"/>
              <w:spacing w:before="43"/>
              <w:ind w:left="114" w:right="407"/>
              <w:rPr>
                <w:sz w:val="20"/>
              </w:rPr>
            </w:pPr>
            <w:r>
              <w:rPr>
                <w:sz w:val="20"/>
              </w:rPr>
              <w:t>discretionary score</w:t>
            </w:r>
          </w:p>
        </w:tc>
        <w:tc>
          <w:tcPr>
            <w:tcW w:w="1280" w:type="dxa"/>
            <w:tcBorders>
              <w:bottom w:val="dotted" w:sz="6" w:space="0" w:color="BEBEBE"/>
            </w:tcBorders>
          </w:tcPr>
          <w:p w14:paraId="60D55A19" w14:textId="77777777" w:rsidR="0046798B" w:rsidRDefault="0046798B">
            <w:pPr>
              <w:pStyle w:val="TableParagraph"/>
              <w:rPr>
                <w:sz w:val="20"/>
              </w:rPr>
            </w:pPr>
          </w:p>
        </w:tc>
        <w:tc>
          <w:tcPr>
            <w:tcW w:w="3421" w:type="dxa"/>
            <w:tcBorders>
              <w:bottom w:val="dotted" w:sz="6" w:space="0" w:color="BEBEBE"/>
            </w:tcBorders>
          </w:tcPr>
          <w:p w14:paraId="73EE5FE6" w14:textId="77777777" w:rsidR="0046798B" w:rsidRDefault="0046798B">
            <w:pPr>
              <w:pStyle w:val="TableParagraph"/>
              <w:rPr>
                <w:sz w:val="20"/>
              </w:rPr>
            </w:pPr>
          </w:p>
        </w:tc>
        <w:tc>
          <w:tcPr>
            <w:tcW w:w="6477" w:type="dxa"/>
            <w:tcBorders>
              <w:bottom w:val="dotted" w:sz="6" w:space="0" w:color="BEBEBE"/>
            </w:tcBorders>
          </w:tcPr>
          <w:p w14:paraId="1AE1ED33" w14:textId="77777777" w:rsidR="0046798B" w:rsidRDefault="0046798B">
            <w:pPr>
              <w:pStyle w:val="TableParagraph"/>
              <w:rPr>
                <w:sz w:val="20"/>
              </w:rPr>
            </w:pPr>
          </w:p>
        </w:tc>
      </w:tr>
      <w:tr w:rsidR="0046798B" w14:paraId="09A008E0" w14:textId="77777777">
        <w:trPr>
          <w:trHeight w:val="772"/>
        </w:trPr>
        <w:tc>
          <w:tcPr>
            <w:tcW w:w="1711" w:type="dxa"/>
            <w:tcBorders>
              <w:top w:val="dotted" w:sz="6" w:space="0" w:color="BEBEBE"/>
            </w:tcBorders>
          </w:tcPr>
          <w:p w14:paraId="305E8ABA" w14:textId="77777777" w:rsidR="0046798B" w:rsidRDefault="00903B5C">
            <w:pPr>
              <w:pStyle w:val="TableParagraph"/>
              <w:spacing w:before="155"/>
              <w:ind w:left="115"/>
              <w:rPr>
                <w:b/>
                <w:sz w:val="20"/>
              </w:rPr>
            </w:pPr>
            <w:r>
              <w:rPr>
                <w:b/>
                <w:sz w:val="20"/>
              </w:rPr>
              <w:t>corruption_convi ct</w:t>
            </w:r>
          </w:p>
        </w:tc>
        <w:tc>
          <w:tcPr>
            <w:tcW w:w="1596" w:type="dxa"/>
            <w:tcBorders>
              <w:top w:val="dotted" w:sz="6" w:space="0" w:color="BEBEBE"/>
            </w:tcBorders>
          </w:tcPr>
          <w:p w14:paraId="35FCD079" w14:textId="77777777" w:rsidR="0046798B" w:rsidRDefault="00903B5C">
            <w:pPr>
              <w:pStyle w:val="TableParagraph"/>
              <w:spacing w:before="155"/>
              <w:ind w:left="114" w:right="529"/>
              <w:rPr>
                <w:sz w:val="20"/>
              </w:rPr>
            </w:pPr>
            <w:r>
              <w:rPr>
                <w:sz w:val="20"/>
              </w:rPr>
              <w:t>Corruption convictions</w:t>
            </w:r>
          </w:p>
        </w:tc>
        <w:tc>
          <w:tcPr>
            <w:tcW w:w="1280" w:type="dxa"/>
            <w:tcBorders>
              <w:top w:val="dotted" w:sz="6" w:space="0" w:color="BEBEBE"/>
            </w:tcBorders>
          </w:tcPr>
          <w:p w14:paraId="3ED66FB3" w14:textId="77777777" w:rsidR="0046798B" w:rsidRDefault="0046798B">
            <w:pPr>
              <w:pStyle w:val="TableParagraph"/>
              <w:spacing w:before="6"/>
              <w:rPr>
                <w:sz w:val="23"/>
              </w:rPr>
            </w:pPr>
          </w:p>
          <w:p w14:paraId="4387F347" w14:textId="77777777" w:rsidR="0046798B" w:rsidRDefault="00903B5C">
            <w:pPr>
              <w:pStyle w:val="TableParagraph"/>
              <w:ind w:left="114"/>
              <w:rPr>
                <w:sz w:val="20"/>
              </w:rPr>
            </w:pPr>
            <w:r>
              <w:rPr>
                <w:sz w:val="20"/>
              </w:rPr>
              <w:t>1976–2011</w:t>
            </w:r>
          </w:p>
        </w:tc>
        <w:tc>
          <w:tcPr>
            <w:tcW w:w="3421" w:type="dxa"/>
            <w:tcBorders>
              <w:top w:val="dotted" w:sz="6" w:space="0" w:color="BEBEBE"/>
            </w:tcBorders>
          </w:tcPr>
          <w:p w14:paraId="518CCF0C" w14:textId="77777777" w:rsidR="0046798B" w:rsidRDefault="00903B5C">
            <w:pPr>
              <w:pStyle w:val="TableParagraph"/>
              <w:spacing w:before="40"/>
              <w:ind w:left="114" w:right="449"/>
              <w:rPr>
                <w:sz w:val="20"/>
              </w:rPr>
            </w:pPr>
            <w:r>
              <w:rPr>
                <w:sz w:val="20"/>
              </w:rPr>
              <w:t>Convictions relating to corruption (“criminal abuses of public trust by government officials”)</w:t>
            </w:r>
          </w:p>
        </w:tc>
        <w:tc>
          <w:tcPr>
            <w:tcW w:w="6477" w:type="dxa"/>
            <w:tcBorders>
              <w:top w:val="dotted" w:sz="6" w:space="0" w:color="BEBEBE"/>
            </w:tcBorders>
          </w:tcPr>
          <w:p w14:paraId="21EFDA8D" w14:textId="77777777" w:rsidR="0046798B" w:rsidRDefault="00903B5C">
            <w:pPr>
              <w:pStyle w:val="TableParagraph"/>
              <w:spacing w:before="155"/>
              <w:ind w:left="114" w:right="256"/>
              <w:rPr>
                <w:i/>
                <w:sz w:val="20"/>
              </w:rPr>
            </w:pPr>
            <w:r>
              <w:rPr>
                <w:sz w:val="20"/>
              </w:rPr>
              <w:t xml:space="preserve">Melki, Mickael, and Andrew Pickering. 2016. “Polarization and Corruption in America.” </w:t>
            </w:r>
            <w:r>
              <w:rPr>
                <w:i/>
                <w:sz w:val="20"/>
              </w:rPr>
              <w:t>University of York Discussion Papers</w:t>
            </w:r>
          </w:p>
        </w:tc>
      </w:tr>
      <w:tr w:rsidR="0046798B" w14:paraId="54B9ECC8" w14:textId="77777777">
        <w:trPr>
          <w:trHeight w:val="1931"/>
        </w:trPr>
        <w:tc>
          <w:tcPr>
            <w:tcW w:w="1711" w:type="dxa"/>
          </w:tcPr>
          <w:p w14:paraId="5B812EF3" w14:textId="77777777" w:rsidR="0046798B" w:rsidRDefault="0046798B">
            <w:pPr>
              <w:pStyle w:val="TableParagraph"/>
            </w:pPr>
          </w:p>
          <w:p w14:paraId="05F2F540" w14:textId="77777777" w:rsidR="0046798B" w:rsidRDefault="0046798B">
            <w:pPr>
              <w:pStyle w:val="TableParagraph"/>
            </w:pPr>
          </w:p>
          <w:p w14:paraId="54B74AFA" w14:textId="77777777" w:rsidR="0046798B" w:rsidRDefault="0046798B">
            <w:pPr>
              <w:pStyle w:val="TableParagraph"/>
              <w:spacing w:before="9"/>
              <w:rPr>
                <w:sz w:val="29"/>
              </w:rPr>
            </w:pPr>
          </w:p>
          <w:p w14:paraId="16C4318A" w14:textId="77777777" w:rsidR="0046798B" w:rsidRDefault="00903B5C">
            <w:pPr>
              <w:pStyle w:val="TableParagraph"/>
              <w:ind w:left="115"/>
              <w:rPr>
                <w:b/>
                <w:sz w:val="20"/>
              </w:rPr>
            </w:pPr>
            <w:r>
              <w:rPr>
                <w:b/>
                <w:sz w:val="20"/>
              </w:rPr>
              <w:t>alcfree</w:t>
            </w:r>
          </w:p>
        </w:tc>
        <w:tc>
          <w:tcPr>
            <w:tcW w:w="1596" w:type="dxa"/>
          </w:tcPr>
          <w:p w14:paraId="7FAD3101" w14:textId="77777777" w:rsidR="0046798B" w:rsidRDefault="0046798B">
            <w:pPr>
              <w:pStyle w:val="TableParagraph"/>
            </w:pPr>
          </w:p>
          <w:p w14:paraId="323DE435" w14:textId="77777777" w:rsidR="0046798B" w:rsidRDefault="0046798B">
            <w:pPr>
              <w:pStyle w:val="TableParagraph"/>
            </w:pPr>
          </w:p>
          <w:p w14:paraId="0B688E03" w14:textId="77777777" w:rsidR="0046798B" w:rsidRDefault="0046798B">
            <w:pPr>
              <w:pStyle w:val="TableParagraph"/>
              <w:spacing w:before="9"/>
              <w:rPr>
                <w:sz w:val="29"/>
              </w:rPr>
            </w:pPr>
          </w:p>
          <w:p w14:paraId="451CCAE0" w14:textId="77777777" w:rsidR="0046798B" w:rsidRDefault="00903B5C">
            <w:pPr>
              <w:pStyle w:val="TableParagraph"/>
              <w:ind w:left="114"/>
              <w:rPr>
                <w:sz w:val="20"/>
              </w:rPr>
            </w:pPr>
            <w:r>
              <w:rPr>
                <w:sz w:val="20"/>
              </w:rPr>
              <w:t>Alcohol freedom</w:t>
            </w:r>
          </w:p>
        </w:tc>
        <w:tc>
          <w:tcPr>
            <w:tcW w:w="1280" w:type="dxa"/>
          </w:tcPr>
          <w:p w14:paraId="7C9FDFA5" w14:textId="77777777" w:rsidR="0046798B" w:rsidRDefault="0046798B">
            <w:pPr>
              <w:pStyle w:val="TableParagraph"/>
            </w:pPr>
          </w:p>
          <w:p w14:paraId="1C53A8D7" w14:textId="77777777" w:rsidR="0046798B" w:rsidRDefault="0046798B">
            <w:pPr>
              <w:pStyle w:val="TableParagraph"/>
            </w:pPr>
          </w:p>
          <w:p w14:paraId="50810929" w14:textId="77777777" w:rsidR="0046798B" w:rsidRDefault="0046798B">
            <w:pPr>
              <w:pStyle w:val="TableParagraph"/>
              <w:spacing w:before="9"/>
              <w:rPr>
                <w:sz w:val="29"/>
              </w:rPr>
            </w:pPr>
          </w:p>
          <w:p w14:paraId="0149478F" w14:textId="77777777" w:rsidR="0046798B" w:rsidRDefault="00903B5C">
            <w:pPr>
              <w:pStyle w:val="TableParagraph"/>
              <w:ind w:left="114"/>
              <w:rPr>
                <w:sz w:val="20"/>
              </w:rPr>
            </w:pPr>
            <w:r>
              <w:rPr>
                <w:sz w:val="20"/>
              </w:rPr>
              <w:t>2001–2011</w:t>
            </w:r>
          </w:p>
        </w:tc>
        <w:tc>
          <w:tcPr>
            <w:tcW w:w="3421" w:type="dxa"/>
          </w:tcPr>
          <w:p w14:paraId="734AEE5F" w14:textId="77777777" w:rsidR="0046798B" w:rsidRDefault="00903B5C">
            <w:pPr>
              <w:pStyle w:val="TableParagraph"/>
              <w:spacing w:before="43"/>
              <w:ind w:left="114" w:right="110"/>
              <w:rPr>
                <w:sz w:val="20"/>
              </w:rPr>
            </w:pPr>
            <w:r>
              <w:rPr>
                <w:sz w:val="20"/>
              </w:rPr>
              <w:t>The category contains the following variables to capture Alcohol Freedom: Alcohol distribution, beer taxes, blue laws, happy hour laws, keg regulations, spirit taxes, mandatory server training, and wine taxes. Alcohol distribution system makes up 1.2 percent of the whole index on its own.</w:t>
            </w:r>
          </w:p>
        </w:tc>
        <w:tc>
          <w:tcPr>
            <w:tcW w:w="6477" w:type="dxa"/>
          </w:tcPr>
          <w:p w14:paraId="1CA79FE9" w14:textId="77777777" w:rsidR="0046798B" w:rsidRDefault="0046798B">
            <w:pPr>
              <w:pStyle w:val="TableParagraph"/>
            </w:pPr>
          </w:p>
          <w:p w14:paraId="65AE7426" w14:textId="77777777" w:rsidR="0046798B" w:rsidRDefault="0046798B">
            <w:pPr>
              <w:pStyle w:val="TableParagraph"/>
            </w:pPr>
          </w:p>
          <w:p w14:paraId="70AAD315" w14:textId="77777777" w:rsidR="0046798B" w:rsidRDefault="0046798B">
            <w:pPr>
              <w:pStyle w:val="TableParagraph"/>
              <w:spacing w:before="9"/>
              <w:rPr>
                <w:sz w:val="19"/>
              </w:rPr>
            </w:pPr>
          </w:p>
          <w:p w14:paraId="6470C171" w14:textId="77777777" w:rsidR="0046798B" w:rsidRDefault="00903B5C">
            <w:pPr>
              <w:pStyle w:val="TableParagraph"/>
              <w:ind w:left="114"/>
              <w:rPr>
                <w:sz w:val="20"/>
              </w:rPr>
            </w:pPr>
            <w:r>
              <w:rPr>
                <w:sz w:val="20"/>
              </w:rPr>
              <w:t xml:space="preserve">Mercatus Center. 2016. “Freedom in the 50 States.” Arlington, VA: George Mason University. </w:t>
            </w:r>
            <w:hyperlink r:id="rId539">
              <w:r>
                <w:rPr>
                  <w:color w:val="0462C1"/>
                  <w:sz w:val="20"/>
                  <w:u w:val="single" w:color="0462C1"/>
                </w:rPr>
                <w:t>http://freedominthe50states.org/about</w:t>
              </w:r>
              <w:r>
                <w:rPr>
                  <w:sz w:val="20"/>
                </w:rPr>
                <w:t>.</w:t>
              </w:r>
            </w:hyperlink>
          </w:p>
        </w:tc>
      </w:tr>
      <w:tr w:rsidR="0046798B" w14:paraId="7B9E3DB1" w14:textId="77777777">
        <w:trPr>
          <w:trHeight w:val="2845"/>
        </w:trPr>
        <w:tc>
          <w:tcPr>
            <w:tcW w:w="1711" w:type="dxa"/>
          </w:tcPr>
          <w:p w14:paraId="7BBDA199" w14:textId="77777777" w:rsidR="0046798B" w:rsidRDefault="0046798B">
            <w:pPr>
              <w:pStyle w:val="TableParagraph"/>
            </w:pPr>
          </w:p>
          <w:p w14:paraId="34ED6ED5" w14:textId="77777777" w:rsidR="0046798B" w:rsidRDefault="0046798B">
            <w:pPr>
              <w:pStyle w:val="TableParagraph"/>
            </w:pPr>
          </w:p>
          <w:p w14:paraId="13C1ABC9" w14:textId="77777777" w:rsidR="0046798B" w:rsidRDefault="0046798B">
            <w:pPr>
              <w:pStyle w:val="TableParagraph"/>
            </w:pPr>
          </w:p>
          <w:p w14:paraId="07E7FFA9" w14:textId="77777777" w:rsidR="0046798B" w:rsidRDefault="0046798B">
            <w:pPr>
              <w:pStyle w:val="TableParagraph"/>
            </w:pPr>
          </w:p>
          <w:p w14:paraId="6A47AE5D" w14:textId="77777777" w:rsidR="0046798B" w:rsidRDefault="0046798B">
            <w:pPr>
              <w:pStyle w:val="TableParagraph"/>
              <w:spacing w:before="4"/>
              <w:rPr>
                <w:sz w:val="25"/>
              </w:rPr>
            </w:pPr>
          </w:p>
          <w:p w14:paraId="5AF919EC" w14:textId="77777777" w:rsidR="0046798B" w:rsidRDefault="00903B5C">
            <w:pPr>
              <w:pStyle w:val="TableParagraph"/>
              <w:ind w:left="115"/>
              <w:rPr>
                <w:b/>
                <w:sz w:val="20"/>
              </w:rPr>
            </w:pPr>
            <w:r>
              <w:rPr>
                <w:b/>
                <w:sz w:val="20"/>
              </w:rPr>
              <w:t>autofree</w:t>
            </w:r>
          </w:p>
        </w:tc>
        <w:tc>
          <w:tcPr>
            <w:tcW w:w="1596" w:type="dxa"/>
          </w:tcPr>
          <w:p w14:paraId="21646168" w14:textId="77777777" w:rsidR="0046798B" w:rsidRDefault="0046798B">
            <w:pPr>
              <w:pStyle w:val="TableParagraph"/>
            </w:pPr>
          </w:p>
          <w:p w14:paraId="22F99120" w14:textId="77777777" w:rsidR="0046798B" w:rsidRDefault="0046798B">
            <w:pPr>
              <w:pStyle w:val="TableParagraph"/>
            </w:pPr>
          </w:p>
          <w:p w14:paraId="5B4130E5" w14:textId="77777777" w:rsidR="0046798B" w:rsidRDefault="0046798B">
            <w:pPr>
              <w:pStyle w:val="TableParagraph"/>
            </w:pPr>
          </w:p>
          <w:p w14:paraId="6EFDAAD6" w14:textId="77777777" w:rsidR="0046798B" w:rsidRDefault="0046798B">
            <w:pPr>
              <w:pStyle w:val="TableParagraph"/>
            </w:pPr>
          </w:p>
          <w:p w14:paraId="148FD84B" w14:textId="77777777" w:rsidR="0046798B" w:rsidRDefault="0046798B">
            <w:pPr>
              <w:pStyle w:val="TableParagraph"/>
              <w:spacing w:before="4"/>
              <w:rPr>
                <w:sz w:val="25"/>
              </w:rPr>
            </w:pPr>
          </w:p>
          <w:p w14:paraId="6D697528" w14:textId="77777777" w:rsidR="0046798B" w:rsidRDefault="00903B5C">
            <w:pPr>
              <w:pStyle w:val="TableParagraph"/>
              <w:ind w:left="114"/>
              <w:rPr>
                <w:sz w:val="20"/>
              </w:rPr>
            </w:pPr>
            <w:r>
              <w:rPr>
                <w:sz w:val="20"/>
              </w:rPr>
              <w:t>Travel freedom</w:t>
            </w:r>
          </w:p>
        </w:tc>
        <w:tc>
          <w:tcPr>
            <w:tcW w:w="1280" w:type="dxa"/>
          </w:tcPr>
          <w:p w14:paraId="01C07D6A" w14:textId="77777777" w:rsidR="0046798B" w:rsidRDefault="0046798B">
            <w:pPr>
              <w:pStyle w:val="TableParagraph"/>
            </w:pPr>
          </w:p>
          <w:p w14:paraId="509804FA" w14:textId="77777777" w:rsidR="0046798B" w:rsidRDefault="0046798B">
            <w:pPr>
              <w:pStyle w:val="TableParagraph"/>
            </w:pPr>
          </w:p>
          <w:p w14:paraId="7303D0DF" w14:textId="77777777" w:rsidR="0046798B" w:rsidRDefault="0046798B">
            <w:pPr>
              <w:pStyle w:val="TableParagraph"/>
            </w:pPr>
          </w:p>
          <w:p w14:paraId="7470FAFD" w14:textId="77777777" w:rsidR="0046798B" w:rsidRDefault="0046798B">
            <w:pPr>
              <w:pStyle w:val="TableParagraph"/>
            </w:pPr>
          </w:p>
          <w:p w14:paraId="2D599F0B" w14:textId="77777777" w:rsidR="0046798B" w:rsidRDefault="0046798B">
            <w:pPr>
              <w:pStyle w:val="TableParagraph"/>
              <w:spacing w:before="4"/>
              <w:rPr>
                <w:sz w:val="25"/>
              </w:rPr>
            </w:pPr>
          </w:p>
          <w:p w14:paraId="62372875" w14:textId="77777777" w:rsidR="0046798B" w:rsidRDefault="00903B5C">
            <w:pPr>
              <w:pStyle w:val="TableParagraph"/>
              <w:ind w:left="114"/>
              <w:rPr>
                <w:sz w:val="20"/>
              </w:rPr>
            </w:pPr>
            <w:r>
              <w:rPr>
                <w:sz w:val="20"/>
              </w:rPr>
              <w:t>2001–2011</w:t>
            </w:r>
          </w:p>
        </w:tc>
        <w:tc>
          <w:tcPr>
            <w:tcW w:w="3421" w:type="dxa"/>
          </w:tcPr>
          <w:p w14:paraId="79180AEF" w14:textId="77777777" w:rsidR="0046798B" w:rsidRDefault="00903B5C">
            <w:pPr>
              <w:pStyle w:val="TableParagraph"/>
              <w:spacing w:before="38"/>
              <w:ind w:left="114" w:right="103"/>
              <w:rPr>
                <w:sz w:val="20"/>
              </w:rPr>
            </w:pPr>
            <w:r>
              <w:rPr>
                <w:sz w:val="20"/>
              </w:rPr>
              <w:t>Seat belt laws and mandatory uninsured/underinsured motorist coverage are the two most important variables in the travel category, based on estimated costs in terms of tickets and uncompensated premiums to drivers who do not prefer to perform such activities. After that come motorcycle helmet laws, bicycle helmet laws, bans on driving while using a cell phone, open container laws, and sobriety checkpoints, in that order.</w:t>
            </w:r>
          </w:p>
        </w:tc>
        <w:tc>
          <w:tcPr>
            <w:tcW w:w="6477" w:type="dxa"/>
          </w:tcPr>
          <w:p w14:paraId="2A686B63" w14:textId="77777777" w:rsidR="0046798B" w:rsidRDefault="0046798B">
            <w:pPr>
              <w:pStyle w:val="TableParagraph"/>
            </w:pPr>
          </w:p>
          <w:p w14:paraId="02EC727C" w14:textId="77777777" w:rsidR="0046798B" w:rsidRDefault="0046798B">
            <w:pPr>
              <w:pStyle w:val="TableParagraph"/>
            </w:pPr>
          </w:p>
          <w:p w14:paraId="43F0B765" w14:textId="77777777" w:rsidR="0046798B" w:rsidRDefault="0046798B">
            <w:pPr>
              <w:pStyle w:val="TableParagraph"/>
            </w:pPr>
          </w:p>
          <w:p w14:paraId="04B867F4" w14:textId="77777777" w:rsidR="0046798B" w:rsidRDefault="0046798B">
            <w:pPr>
              <w:pStyle w:val="TableParagraph"/>
            </w:pPr>
          </w:p>
          <w:p w14:paraId="31789FFB" w14:textId="77777777" w:rsidR="0046798B" w:rsidRDefault="00903B5C">
            <w:pPr>
              <w:pStyle w:val="TableParagraph"/>
              <w:spacing w:before="176"/>
              <w:ind w:left="114"/>
              <w:rPr>
                <w:sz w:val="20"/>
              </w:rPr>
            </w:pPr>
            <w:r>
              <w:rPr>
                <w:sz w:val="20"/>
              </w:rPr>
              <w:t xml:space="preserve">Mercatus Center. 2016. “Freedom in the 50 States.” Arlington, VA: George Mason University. </w:t>
            </w:r>
            <w:hyperlink r:id="rId540">
              <w:r>
                <w:rPr>
                  <w:color w:val="0462C1"/>
                  <w:sz w:val="20"/>
                  <w:u w:val="single" w:color="0462C1"/>
                </w:rPr>
                <w:t>http://freedominthe50states.org/about</w:t>
              </w:r>
              <w:r>
                <w:rPr>
                  <w:sz w:val="20"/>
                </w:rPr>
                <w:t>.</w:t>
              </w:r>
            </w:hyperlink>
          </w:p>
        </w:tc>
      </w:tr>
      <w:tr w:rsidR="0046798B" w14:paraId="2E95C5E7" w14:textId="77777777">
        <w:trPr>
          <w:trHeight w:val="775"/>
        </w:trPr>
        <w:tc>
          <w:tcPr>
            <w:tcW w:w="1711" w:type="dxa"/>
          </w:tcPr>
          <w:p w14:paraId="00B1A385" w14:textId="77777777" w:rsidR="0046798B" w:rsidRDefault="0046798B">
            <w:pPr>
              <w:pStyle w:val="TableParagraph"/>
              <w:spacing w:before="4"/>
              <w:rPr>
                <w:sz w:val="23"/>
              </w:rPr>
            </w:pPr>
          </w:p>
          <w:p w14:paraId="39DACE4E" w14:textId="77777777" w:rsidR="0046798B" w:rsidRDefault="00903B5C">
            <w:pPr>
              <w:pStyle w:val="TableParagraph"/>
              <w:ind w:left="115"/>
              <w:rPr>
                <w:b/>
                <w:sz w:val="20"/>
              </w:rPr>
            </w:pPr>
            <w:r>
              <w:rPr>
                <w:b/>
                <w:sz w:val="20"/>
              </w:rPr>
              <w:t>econfree</w:t>
            </w:r>
          </w:p>
        </w:tc>
        <w:tc>
          <w:tcPr>
            <w:tcW w:w="1596" w:type="dxa"/>
          </w:tcPr>
          <w:p w14:paraId="1A294787" w14:textId="77777777" w:rsidR="0046798B" w:rsidRDefault="00903B5C">
            <w:pPr>
              <w:pStyle w:val="TableParagraph"/>
              <w:spacing w:before="153"/>
              <w:ind w:left="114" w:right="641"/>
              <w:rPr>
                <w:sz w:val="20"/>
              </w:rPr>
            </w:pPr>
            <w:r>
              <w:rPr>
                <w:sz w:val="20"/>
              </w:rPr>
              <w:t>Economic freedom</w:t>
            </w:r>
          </w:p>
        </w:tc>
        <w:tc>
          <w:tcPr>
            <w:tcW w:w="1280" w:type="dxa"/>
          </w:tcPr>
          <w:p w14:paraId="3CA9C608" w14:textId="77777777" w:rsidR="0046798B" w:rsidRDefault="0046798B">
            <w:pPr>
              <w:pStyle w:val="TableParagraph"/>
              <w:spacing w:before="4"/>
              <w:rPr>
                <w:sz w:val="23"/>
              </w:rPr>
            </w:pPr>
          </w:p>
          <w:p w14:paraId="581EFF64" w14:textId="77777777" w:rsidR="0046798B" w:rsidRDefault="00903B5C">
            <w:pPr>
              <w:pStyle w:val="TableParagraph"/>
              <w:ind w:left="114"/>
              <w:rPr>
                <w:sz w:val="20"/>
              </w:rPr>
            </w:pPr>
            <w:r>
              <w:rPr>
                <w:sz w:val="20"/>
              </w:rPr>
              <w:t>2001–2011</w:t>
            </w:r>
          </w:p>
        </w:tc>
        <w:tc>
          <w:tcPr>
            <w:tcW w:w="3421" w:type="dxa"/>
          </w:tcPr>
          <w:p w14:paraId="38387B0B" w14:textId="77777777" w:rsidR="0046798B" w:rsidRDefault="00903B5C">
            <w:pPr>
              <w:pStyle w:val="TableParagraph"/>
              <w:spacing w:before="38"/>
              <w:ind w:left="114" w:right="206"/>
              <w:jc w:val="both"/>
              <w:rPr>
                <w:sz w:val="20"/>
              </w:rPr>
            </w:pPr>
            <w:r>
              <w:rPr>
                <w:sz w:val="20"/>
              </w:rPr>
              <w:t>Economic freedom is calculated as the sum of the fiscal and regulatory policy indices.</w:t>
            </w:r>
          </w:p>
        </w:tc>
        <w:tc>
          <w:tcPr>
            <w:tcW w:w="6477" w:type="dxa"/>
          </w:tcPr>
          <w:p w14:paraId="69D5150F" w14:textId="77777777" w:rsidR="0046798B" w:rsidRDefault="00903B5C">
            <w:pPr>
              <w:pStyle w:val="TableParagraph"/>
              <w:spacing w:before="153"/>
              <w:ind w:left="114"/>
              <w:rPr>
                <w:sz w:val="20"/>
              </w:rPr>
            </w:pPr>
            <w:r>
              <w:rPr>
                <w:sz w:val="20"/>
              </w:rPr>
              <w:t xml:space="preserve">Mercatus Center. 2016. “Freedom in the 50 States.” Arlington, VA: George Mason University. </w:t>
            </w:r>
            <w:hyperlink r:id="rId541">
              <w:r>
                <w:rPr>
                  <w:color w:val="0462C1"/>
                  <w:sz w:val="20"/>
                  <w:u w:val="single" w:color="0462C1"/>
                </w:rPr>
                <w:t>http://freedominthe50states.org/about</w:t>
              </w:r>
              <w:r>
                <w:rPr>
                  <w:sz w:val="20"/>
                </w:rPr>
                <w:t>.</w:t>
              </w:r>
            </w:hyperlink>
          </w:p>
        </w:tc>
      </w:tr>
      <w:tr w:rsidR="0046798B" w14:paraId="095C7FA1" w14:textId="77777777">
        <w:trPr>
          <w:trHeight w:val="775"/>
        </w:trPr>
        <w:tc>
          <w:tcPr>
            <w:tcW w:w="1711" w:type="dxa"/>
          </w:tcPr>
          <w:p w14:paraId="42D60682" w14:textId="77777777" w:rsidR="0046798B" w:rsidRDefault="0046798B">
            <w:pPr>
              <w:pStyle w:val="TableParagraph"/>
              <w:spacing w:before="3"/>
              <w:rPr>
                <w:sz w:val="23"/>
              </w:rPr>
            </w:pPr>
          </w:p>
          <w:p w14:paraId="27C49008" w14:textId="77777777" w:rsidR="0046798B" w:rsidRDefault="00903B5C">
            <w:pPr>
              <w:pStyle w:val="TableParagraph"/>
              <w:ind w:left="115"/>
              <w:rPr>
                <w:b/>
                <w:sz w:val="20"/>
              </w:rPr>
            </w:pPr>
            <w:r>
              <w:rPr>
                <w:b/>
                <w:sz w:val="20"/>
              </w:rPr>
              <w:t>econrank</w:t>
            </w:r>
          </w:p>
        </w:tc>
        <w:tc>
          <w:tcPr>
            <w:tcW w:w="1596" w:type="dxa"/>
          </w:tcPr>
          <w:p w14:paraId="3AD63E7A" w14:textId="77777777" w:rsidR="0046798B" w:rsidRDefault="00903B5C">
            <w:pPr>
              <w:pStyle w:val="TableParagraph"/>
              <w:spacing w:before="38"/>
              <w:ind w:left="114" w:right="369"/>
              <w:rPr>
                <w:sz w:val="20"/>
              </w:rPr>
            </w:pPr>
            <w:r>
              <w:rPr>
                <w:sz w:val="20"/>
              </w:rPr>
              <w:t>Economic freedom state ranking</w:t>
            </w:r>
          </w:p>
        </w:tc>
        <w:tc>
          <w:tcPr>
            <w:tcW w:w="1280" w:type="dxa"/>
          </w:tcPr>
          <w:p w14:paraId="4827914E" w14:textId="77777777" w:rsidR="0046798B" w:rsidRDefault="0046798B">
            <w:pPr>
              <w:pStyle w:val="TableParagraph"/>
              <w:spacing w:before="3"/>
              <w:rPr>
                <w:sz w:val="23"/>
              </w:rPr>
            </w:pPr>
          </w:p>
          <w:p w14:paraId="30FE4603" w14:textId="77777777" w:rsidR="0046798B" w:rsidRDefault="00903B5C">
            <w:pPr>
              <w:pStyle w:val="TableParagraph"/>
              <w:ind w:left="114"/>
              <w:rPr>
                <w:sz w:val="20"/>
              </w:rPr>
            </w:pPr>
            <w:r>
              <w:rPr>
                <w:sz w:val="20"/>
              </w:rPr>
              <w:t>2001–2011</w:t>
            </w:r>
          </w:p>
        </w:tc>
        <w:tc>
          <w:tcPr>
            <w:tcW w:w="3421" w:type="dxa"/>
          </w:tcPr>
          <w:p w14:paraId="25D0B16A" w14:textId="77777777" w:rsidR="0046798B" w:rsidRDefault="00903B5C">
            <w:pPr>
              <w:pStyle w:val="TableParagraph"/>
              <w:spacing w:before="153"/>
              <w:ind w:left="114" w:right="377"/>
              <w:rPr>
                <w:sz w:val="20"/>
              </w:rPr>
            </w:pPr>
            <w:r>
              <w:rPr>
                <w:sz w:val="20"/>
              </w:rPr>
              <w:t>State rankings of economic freedom scores</w:t>
            </w:r>
          </w:p>
        </w:tc>
        <w:tc>
          <w:tcPr>
            <w:tcW w:w="6477" w:type="dxa"/>
          </w:tcPr>
          <w:p w14:paraId="5232FE8E" w14:textId="77777777" w:rsidR="0046798B" w:rsidRDefault="00903B5C">
            <w:pPr>
              <w:pStyle w:val="TableParagraph"/>
              <w:spacing w:before="153"/>
              <w:ind w:left="114"/>
              <w:rPr>
                <w:sz w:val="20"/>
              </w:rPr>
            </w:pPr>
            <w:r>
              <w:rPr>
                <w:sz w:val="20"/>
              </w:rPr>
              <w:t xml:space="preserve">Mercatus Center. 2016. “Freedom in the 50 States.” Arlington, VA: George Mason University. </w:t>
            </w:r>
            <w:hyperlink r:id="rId542">
              <w:r>
                <w:rPr>
                  <w:color w:val="0462C1"/>
                  <w:sz w:val="20"/>
                  <w:u w:val="single" w:color="0462C1"/>
                </w:rPr>
                <w:t>http://freedominthe50states.org/about</w:t>
              </w:r>
              <w:r>
                <w:rPr>
                  <w:sz w:val="20"/>
                </w:rPr>
                <w:t>.</w:t>
              </w:r>
            </w:hyperlink>
          </w:p>
        </w:tc>
      </w:tr>
      <w:tr w:rsidR="0046798B" w14:paraId="4C7DB35B" w14:textId="77777777">
        <w:trPr>
          <w:trHeight w:val="1465"/>
        </w:trPr>
        <w:tc>
          <w:tcPr>
            <w:tcW w:w="1711" w:type="dxa"/>
          </w:tcPr>
          <w:p w14:paraId="3C99087F" w14:textId="77777777" w:rsidR="0046798B" w:rsidRDefault="0046798B">
            <w:pPr>
              <w:pStyle w:val="TableParagraph"/>
            </w:pPr>
          </w:p>
          <w:p w14:paraId="55E7D524" w14:textId="77777777" w:rsidR="0046798B" w:rsidRDefault="0046798B">
            <w:pPr>
              <w:pStyle w:val="TableParagraph"/>
              <w:spacing w:before="9"/>
              <w:rPr>
                <w:sz w:val="31"/>
              </w:rPr>
            </w:pPr>
          </w:p>
          <w:p w14:paraId="39E89A39" w14:textId="77777777" w:rsidR="0046798B" w:rsidRDefault="00903B5C">
            <w:pPr>
              <w:pStyle w:val="TableParagraph"/>
              <w:ind w:left="115"/>
              <w:rPr>
                <w:b/>
                <w:sz w:val="20"/>
              </w:rPr>
            </w:pPr>
            <w:r>
              <w:rPr>
                <w:b/>
                <w:sz w:val="20"/>
              </w:rPr>
              <w:t>edufree</w:t>
            </w:r>
          </w:p>
        </w:tc>
        <w:tc>
          <w:tcPr>
            <w:tcW w:w="1596" w:type="dxa"/>
          </w:tcPr>
          <w:p w14:paraId="2B7155E0" w14:textId="77777777" w:rsidR="0046798B" w:rsidRDefault="0046798B">
            <w:pPr>
              <w:pStyle w:val="TableParagraph"/>
            </w:pPr>
          </w:p>
          <w:p w14:paraId="35F82BB2" w14:textId="77777777" w:rsidR="0046798B" w:rsidRDefault="0046798B">
            <w:pPr>
              <w:pStyle w:val="TableParagraph"/>
              <w:spacing w:before="9"/>
              <w:rPr>
                <w:sz w:val="21"/>
              </w:rPr>
            </w:pPr>
          </w:p>
          <w:p w14:paraId="0CB123C8" w14:textId="77777777" w:rsidR="0046798B" w:rsidRDefault="00903B5C">
            <w:pPr>
              <w:pStyle w:val="TableParagraph"/>
              <w:ind w:left="114" w:right="641"/>
              <w:rPr>
                <w:sz w:val="20"/>
              </w:rPr>
            </w:pPr>
            <w:r>
              <w:rPr>
                <w:sz w:val="20"/>
              </w:rPr>
              <w:t>Education freedom</w:t>
            </w:r>
          </w:p>
        </w:tc>
        <w:tc>
          <w:tcPr>
            <w:tcW w:w="1280" w:type="dxa"/>
          </w:tcPr>
          <w:p w14:paraId="02B67A84" w14:textId="77777777" w:rsidR="0046798B" w:rsidRDefault="0046798B">
            <w:pPr>
              <w:pStyle w:val="TableParagraph"/>
            </w:pPr>
          </w:p>
          <w:p w14:paraId="2D86B8AD" w14:textId="77777777" w:rsidR="0046798B" w:rsidRDefault="0046798B">
            <w:pPr>
              <w:pStyle w:val="TableParagraph"/>
              <w:spacing w:before="9"/>
              <w:rPr>
                <w:sz w:val="31"/>
              </w:rPr>
            </w:pPr>
          </w:p>
          <w:p w14:paraId="24678A76" w14:textId="77777777" w:rsidR="0046798B" w:rsidRDefault="00903B5C">
            <w:pPr>
              <w:pStyle w:val="TableParagraph"/>
              <w:ind w:left="114"/>
              <w:rPr>
                <w:sz w:val="20"/>
              </w:rPr>
            </w:pPr>
            <w:r>
              <w:rPr>
                <w:sz w:val="20"/>
              </w:rPr>
              <w:t>2001–2011</w:t>
            </w:r>
          </w:p>
        </w:tc>
        <w:tc>
          <w:tcPr>
            <w:tcW w:w="3421" w:type="dxa"/>
          </w:tcPr>
          <w:p w14:paraId="33379188" w14:textId="77777777" w:rsidR="0046798B" w:rsidRDefault="00903B5C">
            <w:pPr>
              <w:pStyle w:val="TableParagraph"/>
              <w:spacing w:before="43"/>
              <w:ind w:left="114"/>
              <w:rPr>
                <w:sz w:val="20"/>
              </w:rPr>
            </w:pPr>
            <w:r>
              <w:rPr>
                <w:sz w:val="20"/>
              </w:rPr>
              <w:t>Within education policy, mandatory licensure of private school teachers appears to be the most destructive regulation, and it alone constitutes slightly more than half of the overall educational freedom weight. Other</w:t>
            </w:r>
          </w:p>
        </w:tc>
        <w:tc>
          <w:tcPr>
            <w:tcW w:w="6477" w:type="dxa"/>
          </w:tcPr>
          <w:p w14:paraId="75D6DEE0" w14:textId="77777777" w:rsidR="0046798B" w:rsidRDefault="0046798B">
            <w:pPr>
              <w:pStyle w:val="TableParagraph"/>
            </w:pPr>
          </w:p>
          <w:p w14:paraId="4F313AB9" w14:textId="77777777" w:rsidR="0046798B" w:rsidRDefault="0046798B">
            <w:pPr>
              <w:pStyle w:val="TableParagraph"/>
              <w:spacing w:before="9"/>
              <w:rPr>
                <w:sz w:val="21"/>
              </w:rPr>
            </w:pPr>
          </w:p>
          <w:p w14:paraId="2EA6B515" w14:textId="77777777" w:rsidR="0046798B" w:rsidRDefault="00903B5C">
            <w:pPr>
              <w:pStyle w:val="TableParagraph"/>
              <w:ind w:left="114"/>
              <w:rPr>
                <w:sz w:val="20"/>
              </w:rPr>
            </w:pPr>
            <w:r>
              <w:rPr>
                <w:sz w:val="20"/>
              </w:rPr>
              <w:t xml:space="preserve">Mercatus Center. 2016. “Freedom in the 50 States.” Arlington, VA: George Mason University. </w:t>
            </w:r>
            <w:hyperlink r:id="rId543">
              <w:r>
                <w:rPr>
                  <w:color w:val="0462C1"/>
                  <w:sz w:val="20"/>
                  <w:u w:val="single" w:color="0462C1"/>
                </w:rPr>
                <w:t>http://freedominthe50states.org/about</w:t>
              </w:r>
              <w:r>
                <w:rPr>
                  <w:sz w:val="20"/>
                </w:rPr>
                <w:t>.</w:t>
              </w:r>
            </w:hyperlink>
          </w:p>
        </w:tc>
      </w:tr>
    </w:tbl>
    <w:p w14:paraId="0D5683E7" w14:textId="77777777" w:rsidR="0046798B" w:rsidRDefault="0046798B">
      <w:pPr>
        <w:rPr>
          <w:sz w:val="20"/>
        </w:rPr>
        <w:sectPr w:rsidR="0046798B">
          <w:pgSz w:w="15840" w:h="12240" w:orient="landscape"/>
          <w:pgMar w:top="1220" w:right="300" w:bottom="980" w:left="820" w:header="730" w:footer="787" w:gutter="0"/>
          <w:cols w:space="720"/>
        </w:sectPr>
      </w:pPr>
    </w:p>
    <w:p w14:paraId="4B0EE03A"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0"/>
        <w:gridCol w:w="3421"/>
        <w:gridCol w:w="6477"/>
      </w:tblGrid>
      <w:tr w:rsidR="0046798B" w14:paraId="6DBCF945" w14:textId="77777777">
        <w:trPr>
          <w:trHeight w:val="4456"/>
        </w:trPr>
        <w:tc>
          <w:tcPr>
            <w:tcW w:w="1711" w:type="dxa"/>
          </w:tcPr>
          <w:p w14:paraId="14BCEA76" w14:textId="77777777" w:rsidR="0046798B" w:rsidRDefault="0046798B">
            <w:pPr>
              <w:pStyle w:val="TableParagraph"/>
              <w:rPr>
                <w:sz w:val="20"/>
              </w:rPr>
            </w:pPr>
          </w:p>
        </w:tc>
        <w:tc>
          <w:tcPr>
            <w:tcW w:w="1596" w:type="dxa"/>
          </w:tcPr>
          <w:p w14:paraId="2E7B7F18" w14:textId="77777777" w:rsidR="0046798B" w:rsidRDefault="0046798B">
            <w:pPr>
              <w:pStyle w:val="TableParagraph"/>
              <w:rPr>
                <w:sz w:val="20"/>
              </w:rPr>
            </w:pPr>
          </w:p>
        </w:tc>
        <w:tc>
          <w:tcPr>
            <w:tcW w:w="1280" w:type="dxa"/>
          </w:tcPr>
          <w:p w14:paraId="52C78778" w14:textId="77777777" w:rsidR="0046798B" w:rsidRDefault="0046798B">
            <w:pPr>
              <w:pStyle w:val="TableParagraph"/>
              <w:rPr>
                <w:sz w:val="20"/>
              </w:rPr>
            </w:pPr>
          </w:p>
        </w:tc>
        <w:tc>
          <w:tcPr>
            <w:tcW w:w="3421" w:type="dxa"/>
          </w:tcPr>
          <w:p w14:paraId="4BA4F8EF" w14:textId="77777777" w:rsidR="0046798B" w:rsidRDefault="00903B5C">
            <w:pPr>
              <w:pStyle w:val="TableParagraph"/>
              <w:spacing w:before="43"/>
              <w:ind w:left="114" w:right="161"/>
              <w:rPr>
                <w:sz w:val="20"/>
              </w:rPr>
            </w:pPr>
            <w:r>
              <w:rPr>
                <w:sz w:val="20"/>
              </w:rPr>
              <w:t>variables are years of mandatory schooling, extent of private school curriculum control, tax credits and deductions for private or home schools (for parents or as contributions to scholarship funds), mandatory government approval of new private schools, home school curriculum control, standardized testing or other evaluation requirements for home schools, extent of home school recordkeeping requirements, teacher qualifications for home schools, an index of home school notification requirements, mandatory kindergarten attendance, the existence of a statute explicitly permitting homeschooling, and mandatory registration of private schools.</w:t>
            </w:r>
          </w:p>
        </w:tc>
        <w:tc>
          <w:tcPr>
            <w:tcW w:w="6477" w:type="dxa"/>
          </w:tcPr>
          <w:p w14:paraId="12EEC9B6" w14:textId="77777777" w:rsidR="0046798B" w:rsidRDefault="0046798B">
            <w:pPr>
              <w:pStyle w:val="TableParagraph"/>
              <w:rPr>
                <w:sz w:val="20"/>
              </w:rPr>
            </w:pPr>
          </w:p>
        </w:tc>
      </w:tr>
      <w:tr w:rsidR="0046798B" w14:paraId="6E9F3160" w14:textId="77777777">
        <w:trPr>
          <w:trHeight w:val="4456"/>
        </w:trPr>
        <w:tc>
          <w:tcPr>
            <w:tcW w:w="1711" w:type="dxa"/>
          </w:tcPr>
          <w:p w14:paraId="05B3C814" w14:textId="77777777" w:rsidR="0046798B" w:rsidRDefault="0046798B">
            <w:pPr>
              <w:pStyle w:val="TableParagraph"/>
            </w:pPr>
          </w:p>
          <w:p w14:paraId="5D0F4C0E" w14:textId="77777777" w:rsidR="0046798B" w:rsidRDefault="0046798B">
            <w:pPr>
              <w:pStyle w:val="TableParagraph"/>
            </w:pPr>
          </w:p>
          <w:p w14:paraId="2EE5960B" w14:textId="77777777" w:rsidR="0046798B" w:rsidRDefault="0046798B">
            <w:pPr>
              <w:pStyle w:val="TableParagraph"/>
            </w:pPr>
          </w:p>
          <w:p w14:paraId="38B9FF7C" w14:textId="77777777" w:rsidR="0046798B" w:rsidRDefault="0046798B">
            <w:pPr>
              <w:pStyle w:val="TableParagraph"/>
            </w:pPr>
          </w:p>
          <w:p w14:paraId="528B0991" w14:textId="77777777" w:rsidR="0046798B" w:rsidRDefault="0046798B">
            <w:pPr>
              <w:pStyle w:val="TableParagraph"/>
            </w:pPr>
          </w:p>
          <w:p w14:paraId="3AFAF17E" w14:textId="77777777" w:rsidR="0046798B" w:rsidRDefault="0046798B">
            <w:pPr>
              <w:pStyle w:val="TableParagraph"/>
            </w:pPr>
          </w:p>
          <w:p w14:paraId="480F453E" w14:textId="77777777" w:rsidR="0046798B" w:rsidRDefault="0046798B">
            <w:pPr>
              <w:pStyle w:val="TableParagraph"/>
            </w:pPr>
          </w:p>
          <w:p w14:paraId="0CE02688" w14:textId="77777777" w:rsidR="0046798B" w:rsidRDefault="0046798B">
            <w:pPr>
              <w:pStyle w:val="TableParagraph"/>
              <w:spacing w:before="9"/>
              <w:rPr>
                <w:sz w:val="29"/>
              </w:rPr>
            </w:pPr>
          </w:p>
          <w:p w14:paraId="0E32DC11" w14:textId="77777777" w:rsidR="0046798B" w:rsidRDefault="00903B5C">
            <w:pPr>
              <w:pStyle w:val="TableParagraph"/>
              <w:spacing w:before="1"/>
              <w:ind w:left="115"/>
              <w:rPr>
                <w:b/>
                <w:sz w:val="20"/>
              </w:rPr>
            </w:pPr>
            <w:r>
              <w:rPr>
                <w:b/>
                <w:sz w:val="20"/>
              </w:rPr>
              <w:t>elecfree</w:t>
            </w:r>
          </w:p>
        </w:tc>
        <w:tc>
          <w:tcPr>
            <w:tcW w:w="1596" w:type="dxa"/>
          </w:tcPr>
          <w:p w14:paraId="5031358B" w14:textId="77777777" w:rsidR="0046798B" w:rsidRDefault="0046798B">
            <w:pPr>
              <w:pStyle w:val="TableParagraph"/>
            </w:pPr>
          </w:p>
          <w:p w14:paraId="0ADFE646" w14:textId="77777777" w:rsidR="0046798B" w:rsidRDefault="0046798B">
            <w:pPr>
              <w:pStyle w:val="TableParagraph"/>
            </w:pPr>
          </w:p>
          <w:p w14:paraId="4A91B790" w14:textId="77777777" w:rsidR="0046798B" w:rsidRDefault="0046798B">
            <w:pPr>
              <w:pStyle w:val="TableParagraph"/>
            </w:pPr>
          </w:p>
          <w:p w14:paraId="533BE8A0" w14:textId="77777777" w:rsidR="0046798B" w:rsidRDefault="0046798B">
            <w:pPr>
              <w:pStyle w:val="TableParagraph"/>
            </w:pPr>
          </w:p>
          <w:p w14:paraId="3C582FBF" w14:textId="77777777" w:rsidR="0046798B" w:rsidRDefault="0046798B">
            <w:pPr>
              <w:pStyle w:val="TableParagraph"/>
            </w:pPr>
          </w:p>
          <w:p w14:paraId="1E2C8243" w14:textId="77777777" w:rsidR="0046798B" w:rsidRDefault="0046798B">
            <w:pPr>
              <w:pStyle w:val="TableParagraph"/>
            </w:pPr>
          </w:p>
          <w:p w14:paraId="2C8E0FF2" w14:textId="77777777" w:rsidR="0046798B" w:rsidRDefault="0046798B">
            <w:pPr>
              <w:pStyle w:val="TableParagraph"/>
            </w:pPr>
          </w:p>
          <w:p w14:paraId="610674F4" w14:textId="77777777" w:rsidR="0046798B" w:rsidRDefault="0046798B">
            <w:pPr>
              <w:pStyle w:val="TableParagraph"/>
              <w:spacing w:before="9"/>
              <w:rPr>
                <w:sz w:val="19"/>
              </w:rPr>
            </w:pPr>
          </w:p>
          <w:p w14:paraId="4FC19DC4" w14:textId="77777777" w:rsidR="0046798B" w:rsidRDefault="00903B5C">
            <w:pPr>
              <w:pStyle w:val="TableParagraph"/>
              <w:spacing w:before="1"/>
              <w:ind w:left="114" w:right="147"/>
              <w:rPr>
                <w:sz w:val="20"/>
              </w:rPr>
            </w:pPr>
            <w:r>
              <w:rPr>
                <w:sz w:val="20"/>
              </w:rPr>
              <w:t>Campaign finance freedom</w:t>
            </w:r>
          </w:p>
        </w:tc>
        <w:tc>
          <w:tcPr>
            <w:tcW w:w="1280" w:type="dxa"/>
          </w:tcPr>
          <w:p w14:paraId="51CE3BF9" w14:textId="77777777" w:rsidR="0046798B" w:rsidRDefault="0046798B">
            <w:pPr>
              <w:pStyle w:val="TableParagraph"/>
            </w:pPr>
          </w:p>
          <w:p w14:paraId="6FDF9C24" w14:textId="77777777" w:rsidR="0046798B" w:rsidRDefault="0046798B">
            <w:pPr>
              <w:pStyle w:val="TableParagraph"/>
            </w:pPr>
          </w:p>
          <w:p w14:paraId="7076055D" w14:textId="77777777" w:rsidR="0046798B" w:rsidRDefault="0046798B">
            <w:pPr>
              <w:pStyle w:val="TableParagraph"/>
            </w:pPr>
          </w:p>
          <w:p w14:paraId="7AB8BD63" w14:textId="77777777" w:rsidR="0046798B" w:rsidRDefault="0046798B">
            <w:pPr>
              <w:pStyle w:val="TableParagraph"/>
            </w:pPr>
          </w:p>
          <w:p w14:paraId="1C4681DE" w14:textId="77777777" w:rsidR="0046798B" w:rsidRDefault="0046798B">
            <w:pPr>
              <w:pStyle w:val="TableParagraph"/>
            </w:pPr>
          </w:p>
          <w:p w14:paraId="57F0E1B6" w14:textId="77777777" w:rsidR="0046798B" w:rsidRDefault="0046798B">
            <w:pPr>
              <w:pStyle w:val="TableParagraph"/>
            </w:pPr>
          </w:p>
          <w:p w14:paraId="4F0FE892" w14:textId="77777777" w:rsidR="0046798B" w:rsidRDefault="0046798B">
            <w:pPr>
              <w:pStyle w:val="TableParagraph"/>
            </w:pPr>
          </w:p>
          <w:p w14:paraId="305A00A2" w14:textId="77777777" w:rsidR="0046798B" w:rsidRDefault="0046798B">
            <w:pPr>
              <w:pStyle w:val="TableParagraph"/>
              <w:spacing w:before="9"/>
              <w:rPr>
                <w:sz w:val="29"/>
              </w:rPr>
            </w:pPr>
          </w:p>
          <w:p w14:paraId="07D7074B" w14:textId="77777777" w:rsidR="0046798B" w:rsidRDefault="00903B5C">
            <w:pPr>
              <w:pStyle w:val="TableParagraph"/>
              <w:spacing w:before="1"/>
              <w:ind w:left="114"/>
              <w:rPr>
                <w:sz w:val="20"/>
              </w:rPr>
            </w:pPr>
            <w:r>
              <w:rPr>
                <w:sz w:val="20"/>
              </w:rPr>
              <w:t>2001–2011</w:t>
            </w:r>
          </w:p>
        </w:tc>
        <w:tc>
          <w:tcPr>
            <w:tcW w:w="3421" w:type="dxa"/>
          </w:tcPr>
          <w:p w14:paraId="5F3F83D0" w14:textId="77777777" w:rsidR="0046798B" w:rsidRDefault="00903B5C">
            <w:pPr>
              <w:pStyle w:val="TableParagraph"/>
              <w:spacing w:before="43"/>
              <w:ind w:left="114" w:right="102"/>
              <w:rPr>
                <w:sz w:val="20"/>
              </w:rPr>
            </w:pPr>
            <w:r>
              <w:rPr>
                <w:sz w:val="20"/>
              </w:rPr>
              <w:t>The campaign finance policy category covers public financing of campaigns and contribution limits (individuals to candidates, individuals to parties, an index of individuals to PACs and PACs to candidates, and an index of individuals to PACs and PACs to parties). While these policies receive “constitutional weights” boosting them by a factor of 10 because of their First Amendment implications, they receive low weights even so because there is not much evidence that contribution limits reduce private actors’ involvement in politics, unless the limits are extremely low (and Vermont’s extremely low limits were struck down by the US Supreme Court in 2006).</w:t>
            </w:r>
          </w:p>
        </w:tc>
        <w:tc>
          <w:tcPr>
            <w:tcW w:w="6477" w:type="dxa"/>
          </w:tcPr>
          <w:p w14:paraId="22B0ABEA" w14:textId="77777777" w:rsidR="0046798B" w:rsidRDefault="0046798B">
            <w:pPr>
              <w:pStyle w:val="TableParagraph"/>
            </w:pPr>
          </w:p>
          <w:p w14:paraId="6EBFF251" w14:textId="77777777" w:rsidR="0046798B" w:rsidRDefault="0046798B">
            <w:pPr>
              <w:pStyle w:val="TableParagraph"/>
            </w:pPr>
          </w:p>
          <w:p w14:paraId="54C0041C" w14:textId="77777777" w:rsidR="0046798B" w:rsidRDefault="0046798B">
            <w:pPr>
              <w:pStyle w:val="TableParagraph"/>
            </w:pPr>
          </w:p>
          <w:p w14:paraId="656A9B95" w14:textId="77777777" w:rsidR="0046798B" w:rsidRDefault="0046798B">
            <w:pPr>
              <w:pStyle w:val="TableParagraph"/>
            </w:pPr>
          </w:p>
          <w:p w14:paraId="45DF952B" w14:textId="77777777" w:rsidR="0046798B" w:rsidRDefault="0046798B">
            <w:pPr>
              <w:pStyle w:val="TableParagraph"/>
            </w:pPr>
          </w:p>
          <w:p w14:paraId="2D6A7DFF" w14:textId="77777777" w:rsidR="0046798B" w:rsidRDefault="0046798B">
            <w:pPr>
              <w:pStyle w:val="TableParagraph"/>
            </w:pPr>
          </w:p>
          <w:p w14:paraId="69705E46" w14:textId="77777777" w:rsidR="0046798B" w:rsidRDefault="0046798B">
            <w:pPr>
              <w:pStyle w:val="TableParagraph"/>
            </w:pPr>
          </w:p>
          <w:p w14:paraId="16DD9DF1" w14:textId="77777777" w:rsidR="0046798B" w:rsidRDefault="0046798B">
            <w:pPr>
              <w:pStyle w:val="TableParagraph"/>
              <w:spacing w:before="9"/>
              <w:rPr>
                <w:sz w:val="19"/>
              </w:rPr>
            </w:pPr>
          </w:p>
          <w:p w14:paraId="4F00D95A" w14:textId="77777777" w:rsidR="0046798B" w:rsidRDefault="00903B5C">
            <w:pPr>
              <w:pStyle w:val="TableParagraph"/>
              <w:spacing w:before="1"/>
              <w:ind w:left="114"/>
              <w:rPr>
                <w:sz w:val="20"/>
              </w:rPr>
            </w:pPr>
            <w:r>
              <w:rPr>
                <w:sz w:val="20"/>
              </w:rPr>
              <w:t xml:space="preserve">Mercatus Center. 2016. “Freedom in the 50 States.” Arlington, VA: George Mason University. </w:t>
            </w:r>
            <w:hyperlink r:id="rId544">
              <w:r>
                <w:rPr>
                  <w:color w:val="0462C1"/>
                  <w:sz w:val="20"/>
                  <w:u w:val="single" w:color="0462C1"/>
                </w:rPr>
                <w:t>http://freedominthe50states.org/about</w:t>
              </w:r>
              <w:r>
                <w:rPr>
                  <w:sz w:val="20"/>
                </w:rPr>
                <w:t>.</w:t>
              </w:r>
            </w:hyperlink>
          </w:p>
        </w:tc>
      </w:tr>
    </w:tbl>
    <w:p w14:paraId="6C362E5A" w14:textId="77777777" w:rsidR="0046798B" w:rsidRDefault="0046798B">
      <w:pPr>
        <w:rPr>
          <w:sz w:val="20"/>
        </w:rPr>
        <w:sectPr w:rsidR="0046798B">
          <w:pgSz w:w="15840" w:h="12240" w:orient="landscape"/>
          <w:pgMar w:top="1220" w:right="300" w:bottom="980" w:left="820" w:header="730" w:footer="787" w:gutter="0"/>
          <w:cols w:space="720"/>
        </w:sectPr>
      </w:pPr>
    </w:p>
    <w:p w14:paraId="759D23E9"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0"/>
        <w:gridCol w:w="3421"/>
        <w:gridCol w:w="6477"/>
      </w:tblGrid>
      <w:tr w:rsidR="0046798B" w14:paraId="2E272470" w14:textId="77777777">
        <w:trPr>
          <w:trHeight w:val="1465"/>
        </w:trPr>
        <w:tc>
          <w:tcPr>
            <w:tcW w:w="1711" w:type="dxa"/>
          </w:tcPr>
          <w:p w14:paraId="28778D2B" w14:textId="77777777" w:rsidR="0046798B" w:rsidRDefault="0046798B">
            <w:pPr>
              <w:pStyle w:val="TableParagraph"/>
            </w:pPr>
          </w:p>
          <w:p w14:paraId="0D6F7747" w14:textId="77777777" w:rsidR="0046798B" w:rsidRDefault="0046798B">
            <w:pPr>
              <w:pStyle w:val="TableParagraph"/>
              <w:spacing w:before="9"/>
              <w:rPr>
                <w:sz w:val="31"/>
              </w:rPr>
            </w:pPr>
          </w:p>
          <w:p w14:paraId="083F8B4E" w14:textId="77777777" w:rsidR="0046798B" w:rsidRDefault="00903B5C">
            <w:pPr>
              <w:pStyle w:val="TableParagraph"/>
              <w:ind w:left="115"/>
              <w:rPr>
                <w:b/>
                <w:sz w:val="20"/>
              </w:rPr>
            </w:pPr>
            <w:r>
              <w:rPr>
                <w:b/>
                <w:sz w:val="20"/>
              </w:rPr>
              <w:t>fiscfree</w:t>
            </w:r>
          </w:p>
        </w:tc>
        <w:tc>
          <w:tcPr>
            <w:tcW w:w="1596" w:type="dxa"/>
          </w:tcPr>
          <w:p w14:paraId="08CFDEC5" w14:textId="77777777" w:rsidR="0046798B" w:rsidRDefault="0046798B">
            <w:pPr>
              <w:pStyle w:val="TableParagraph"/>
            </w:pPr>
          </w:p>
          <w:p w14:paraId="29A1DE38" w14:textId="77777777" w:rsidR="0046798B" w:rsidRDefault="0046798B">
            <w:pPr>
              <w:pStyle w:val="TableParagraph"/>
              <w:spacing w:before="9"/>
              <w:rPr>
                <w:sz w:val="31"/>
              </w:rPr>
            </w:pPr>
          </w:p>
          <w:p w14:paraId="41D6DC17" w14:textId="77777777" w:rsidR="0046798B" w:rsidRDefault="00903B5C">
            <w:pPr>
              <w:pStyle w:val="TableParagraph"/>
              <w:ind w:left="114"/>
              <w:rPr>
                <w:sz w:val="20"/>
              </w:rPr>
            </w:pPr>
            <w:r>
              <w:rPr>
                <w:sz w:val="20"/>
              </w:rPr>
              <w:t>Fiscal freedom</w:t>
            </w:r>
          </w:p>
        </w:tc>
        <w:tc>
          <w:tcPr>
            <w:tcW w:w="1280" w:type="dxa"/>
          </w:tcPr>
          <w:p w14:paraId="6AC63EB6" w14:textId="77777777" w:rsidR="0046798B" w:rsidRDefault="0046798B">
            <w:pPr>
              <w:pStyle w:val="TableParagraph"/>
            </w:pPr>
          </w:p>
          <w:p w14:paraId="5260BC95" w14:textId="77777777" w:rsidR="0046798B" w:rsidRDefault="0046798B">
            <w:pPr>
              <w:pStyle w:val="TableParagraph"/>
              <w:spacing w:before="9"/>
              <w:rPr>
                <w:sz w:val="31"/>
              </w:rPr>
            </w:pPr>
          </w:p>
          <w:p w14:paraId="642F92B1" w14:textId="77777777" w:rsidR="0046798B" w:rsidRDefault="00903B5C">
            <w:pPr>
              <w:pStyle w:val="TableParagraph"/>
              <w:ind w:left="114"/>
              <w:rPr>
                <w:sz w:val="20"/>
              </w:rPr>
            </w:pPr>
            <w:r>
              <w:rPr>
                <w:sz w:val="20"/>
              </w:rPr>
              <w:t>2001–2011</w:t>
            </w:r>
          </w:p>
        </w:tc>
        <w:tc>
          <w:tcPr>
            <w:tcW w:w="3421" w:type="dxa"/>
          </w:tcPr>
          <w:p w14:paraId="101B8617" w14:textId="77777777" w:rsidR="0046798B" w:rsidRDefault="00903B5C">
            <w:pPr>
              <w:pStyle w:val="TableParagraph"/>
              <w:spacing w:before="43"/>
              <w:ind w:left="114" w:right="149"/>
              <w:rPr>
                <w:sz w:val="20"/>
              </w:rPr>
            </w:pPr>
            <w:r>
              <w:rPr>
                <w:sz w:val="20"/>
              </w:rPr>
              <w:t>The fiscal policy dimension consists of the following categories: Tax burden (28.6%), government employment</w:t>
            </w:r>
          </w:p>
          <w:p w14:paraId="0AF3E884" w14:textId="77777777" w:rsidR="0046798B" w:rsidRDefault="00903B5C">
            <w:pPr>
              <w:pStyle w:val="TableParagraph"/>
              <w:ind w:left="114"/>
              <w:rPr>
                <w:sz w:val="20"/>
              </w:rPr>
            </w:pPr>
            <w:r>
              <w:rPr>
                <w:sz w:val="20"/>
              </w:rPr>
              <w:t>(2.8%), government spending (1.9%), government debt (1.2%), and fiscal decentralization (0.9%).</w:t>
            </w:r>
          </w:p>
        </w:tc>
        <w:tc>
          <w:tcPr>
            <w:tcW w:w="6477" w:type="dxa"/>
          </w:tcPr>
          <w:p w14:paraId="4A2BC05B" w14:textId="77777777" w:rsidR="0046798B" w:rsidRDefault="0046798B">
            <w:pPr>
              <w:pStyle w:val="TableParagraph"/>
            </w:pPr>
          </w:p>
          <w:p w14:paraId="0B7F49F0" w14:textId="77777777" w:rsidR="0046798B" w:rsidRDefault="0046798B">
            <w:pPr>
              <w:pStyle w:val="TableParagraph"/>
              <w:spacing w:before="9"/>
              <w:rPr>
                <w:sz w:val="21"/>
              </w:rPr>
            </w:pPr>
          </w:p>
          <w:p w14:paraId="2D443EBA" w14:textId="77777777" w:rsidR="0046798B" w:rsidRDefault="00903B5C">
            <w:pPr>
              <w:pStyle w:val="TableParagraph"/>
              <w:ind w:left="114"/>
              <w:rPr>
                <w:sz w:val="20"/>
              </w:rPr>
            </w:pPr>
            <w:r>
              <w:rPr>
                <w:sz w:val="20"/>
              </w:rPr>
              <w:t xml:space="preserve">Mercatus Center. 2016. “Freedom in the 50 States.” Arlington, VA: George Mason University. </w:t>
            </w:r>
            <w:hyperlink r:id="rId545">
              <w:r>
                <w:rPr>
                  <w:color w:val="0462C1"/>
                  <w:sz w:val="20"/>
                  <w:u w:val="single" w:color="0462C1"/>
                </w:rPr>
                <w:t>http://freedominthe50states.org/about</w:t>
              </w:r>
              <w:r>
                <w:rPr>
                  <w:sz w:val="20"/>
                </w:rPr>
                <w:t>.</w:t>
              </w:r>
            </w:hyperlink>
          </w:p>
        </w:tc>
      </w:tr>
      <w:tr w:rsidR="0046798B" w14:paraId="198F31C5" w14:textId="77777777">
        <w:trPr>
          <w:trHeight w:val="545"/>
        </w:trPr>
        <w:tc>
          <w:tcPr>
            <w:tcW w:w="1711" w:type="dxa"/>
          </w:tcPr>
          <w:p w14:paraId="2EAD9F60" w14:textId="77777777" w:rsidR="0046798B" w:rsidRDefault="00903B5C">
            <w:pPr>
              <w:pStyle w:val="TableParagraph"/>
              <w:spacing w:before="159"/>
              <w:ind w:left="115"/>
              <w:rPr>
                <w:b/>
                <w:sz w:val="20"/>
              </w:rPr>
            </w:pPr>
            <w:r>
              <w:rPr>
                <w:b/>
                <w:sz w:val="20"/>
              </w:rPr>
              <w:t>fiscrank</w:t>
            </w:r>
          </w:p>
        </w:tc>
        <w:tc>
          <w:tcPr>
            <w:tcW w:w="1596" w:type="dxa"/>
          </w:tcPr>
          <w:p w14:paraId="55C7F2AD" w14:textId="77777777" w:rsidR="0046798B" w:rsidRDefault="00903B5C">
            <w:pPr>
              <w:pStyle w:val="TableParagraph"/>
              <w:spacing w:before="44"/>
              <w:ind w:left="114" w:right="257"/>
              <w:rPr>
                <w:sz w:val="20"/>
              </w:rPr>
            </w:pPr>
            <w:r>
              <w:rPr>
                <w:sz w:val="20"/>
              </w:rPr>
              <w:t>Fiscal freedom state ranking</w:t>
            </w:r>
          </w:p>
        </w:tc>
        <w:tc>
          <w:tcPr>
            <w:tcW w:w="1280" w:type="dxa"/>
          </w:tcPr>
          <w:p w14:paraId="72B5B7A7" w14:textId="77777777" w:rsidR="0046798B" w:rsidRDefault="00903B5C">
            <w:pPr>
              <w:pStyle w:val="TableParagraph"/>
              <w:spacing w:before="159"/>
              <w:ind w:left="114"/>
              <w:rPr>
                <w:sz w:val="20"/>
              </w:rPr>
            </w:pPr>
            <w:r>
              <w:rPr>
                <w:sz w:val="20"/>
              </w:rPr>
              <w:t>2001–2011</w:t>
            </w:r>
          </w:p>
        </w:tc>
        <w:tc>
          <w:tcPr>
            <w:tcW w:w="3421" w:type="dxa"/>
          </w:tcPr>
          <w:p w14:paraId="40537595" w14:textId="77777777" w:rsidR="0046798B" w:rsidRDefault="00903B5C">
            <w:pPr>
              <w:pStyle w:val="TableParagraph"/>
              <w:spacing w:before="159"/>
              <w:ind w:left="114"/>
              <w:rPr>
                <w:sz w:val="20"/>
              </w:rPr>
            </w:pPr>
            <w:r>
              <w:rPr>
                <w:sz w:val="20"/>
              </w:rPr>
              <w:t>State rankings of fiscal freedom scores</w:t>
            </w:r>
          </w:p>
        </w:tc>
        <w:tc>
          <w:tcPr>
            <w:tcW w:w="6477" w:type="dxa"/>
          </w:tcPr>
          <w:p w14:paraId="5CD2AEF7" w14:textId="77777777" w:rsidR="0046798B" w:rsidRDefault="00903B5C">
            <w:pPr>
              <w:pStyle w:val="TableParagraph"/>
              <w:spacing w:before="44"/>
              <w:ind w:left="114"/>
              <w:rPr>
                <w:sz w:val="20"/>
              </w:rPr>
            </w:pPr>
            <w:r>
              <w:rPr>
                <w:sz w:val="20"/>
              </w:rPr>
              <w:t xml:space="preserve">Mercatus Center. 2016. “Freedom in the 50 States.” Arlington, VA: George Mason University. </w:t>
            </w:r>
            <w:hyperlink r:id="rId546">
              <w:r>
                <w:rPr>
                  <w:color w:val="0462C1"/>
                  <w:sz w:val="20"/>
                  <w:u w:val="single" w:color="0462C1"/>
                </w:rPr>
                <w:t>http://freedominthe50states.org/about</w:t>
              </w:r>
              <w:r>
                <w:rPr>
                  <w:sz w:val="20"/>
                </w:rPr>
                <w:t>.</w:t>
              </w:r>
            </w:hyperlink>
          </w:p>
        </w:tc>
      </w:tr>
      <w:tr w:rsidR="0046798B" w14:paraId="480A0253" w14:textId="77777777">
        <w:trPr>
          <w:trHeight w:val="4456"/>
        </w:trPr>
        <w:tc>
          <w:tcPr>
            <w:tcW w:w="1711" w:type="dxa"/>
          </w:tcPr>
          <w:p w14:paraId="25750598" w14:textId="77777777" w:rsidR="0046798B" w:rsidRDefault="0046798B">
            <w:pPr>
              <w:pStyle w:val="TableParagraph"/>
            </w:pPr>
          </w:p>
          <w:p w14:paraId="15646672" w14:textId="77777777" w:rsidR="0046798B" w:rsidRDefault="0046798B">
            <w:pPr>
              <w:pStyle w:val="TableParagraph"/>
            </w:pPr>
          </w:p>
          <w:p w14:paraId="47BAEF2B" w14:textId="77777777" w:rsidR="0046798B" w:rsidRDefault="0046798B">
            <w:pPr>
              <w:pStyle w:val="TableParagraph"/>
            </w:pPr>
          </w:p>
          <w:p w14:paraId="69761099" w14:textId="77777777" w:rsidR="0046798B" w:rsidRDefault="0046798B">
            <w:pPr>
              <w:pStyle w:val="TableParagraph"/>
            </w:pPr>
          </w:p>
          <w:p w14:paraId="71679E76" w14:textId="77777777" w:rsidR="0046798B" w:rsidRDefault="0046798B">
            <w:pPr>
              <w:pStyle w:val="TableParagraph"/>
            </w:pPr>
          </w:p>
          <w:p w14:paraId="2F370FC0" w14:textId="77777777" w:rsidR="0046798B" w:rsidRDefault="0046798B">
            <w:pPr>
              <w:pStyle w:val="TableParagraph"/>
            </w:pPr>
          </w:p>
          <w:p w14:paraId="6E640E64" w14:textId="77777777" w:rsidR="0046798B" w:rsidRDefault="0046798B">
            <w:pPr>
              <w:pStyle w:val="TableParagraph"/>
            </w:pPr>
          </w:p>
          <w:p w14:paraId="0F8903C6" w14:textId="77777777" w:rsidR="0046798B" w:rsidRDefault="0046798B">
            <w:pPr>
              <w:pStyle w:val="TableParagraph"/>
              <w:spacing w:before="9"/>
              <w:rPr>
                <w:sz w:val="29"/>
              </w:rPr>
            </w:pPr>
          </w:p>
          <w:p w14:paraId="166276B5" w14:textId="77777777" w:rsidR="0046798B" w:rsidRDefault="00903B5C">
            <w:pPr>
              <w:pStyle w:val="TableParagraph"/>
              <w:ind w:left="115"/>
              <w:rPr>
                <w:b/>
                <w:sz w:val="20"/>
              </w:rPr>
            </w:pPr>
            <w:r>
              <w:rPr>
                <w:b/>
                <w:sz w:val="20"/>
              </w:rPr>
              <w:t>forfree</w:t>
            </w:r>
          </w:p>
        </w:tc>
        <w:tc>
          <w:tcPr>
            <w:tcW w:w="1596" w:type="dxa"/>
          </w:tcPr>
          <w:p w14:paraId="5A70C4EF" w14:textId="77777777" w:rsidR="0046798B" w:rsidRDefault="0046798B">
            <w:pPr>
              <w:pStyle w:val="TableParagraph"/>
            </w:pPr>
          </w:p>
          <w:p w14:paraId="333FF418" w14:textId="77777777" w:rsidR="0046798B" w:rsidRDefault="0046798B">
            <w:pPr>
              <w:pStyle w:val="TableParagraph"/>
            </w:pPr>
          </w:p>
          <w:p w14:paraId="37840C71" w14:textId="77777777" w:rsidR="0046798B" w:rsidRDefault="0046798B">
            <w:pPr>
              <w:pStyle w:val="TableParagraph"/>
            </w:pPr>
          </w:p>
          <w:p w14:paraId="5FDE2F14" w14:textId="77777777" w:rsidR="0046798B" w:rsidRDefault="0046798B">
            <w:pPr>
              <w:pStyle w:val="TableParagraph"/>
            </w:pPr>
          </w:p>
          <w:p w14:paraId="69C0FEE9" w14:textId="77777777" w:rsidR="0046798B" w:rsidRDefault="0046798B">
            <w:pPr>
              <w:pStyle w:val="TableParagraph"/>
            </w:pPr>
          </w:p>
          <w:p w14:paraId="2C001905" w14:textId="77777777" w:rsidR="0046798B" w:rsidRDefault="0046798B">
            <w:pPr>
              <w:pStyle w:val="TableParagraph"/>
            </w:pPr>
          </w:p>
          <w:p w14:paraId="1ACCAFA2" w14:textId="77777777" w:rsidR="0046798B" w:rsidRDefault="0046798B">
            <w:pPr>
              <w:pStyle w:val="TableParagraph"/>
            </w:pPr>
          </w:p>
          <w:p w14:paraId="397A9306" w14:textId="77777777" w:rsidR="0046798B" w:rsidRDefault="0046798B">
            <w:pPr>
              <w:pStyle w:val="TableParagraph"/>
              <w:spacing w:before="9"/>
              <w:rPr>
                <w:sz w:val="19"/>
              </w:rPr>
            </w:pPr>
          </w:p>
          <w:p w14:paraId="2E67175C" w14:textId="77777777" w:rsidR="0046798B" w:rsidRDefault="00903B5C">
            <w:pPr>
              <w:pStyle w:val="TableParagraph"/>
              <w:ind w:left="114" w:right="202"/>
              <w:rPr>
                <w:sz w:val="20"/>
              </w:rPr>
            </w:pPr>
            <w:r>
              <w:rPr>
                <w:sz w:val="20"/>
              </w:rPr>
              <w:t>Asset forfeiture freedom</w:t>
            </w:r>
          </w:p>
        </w:tc>
        <w:tc>
          <w:tcPr>
            <w:tcW w:w="1280" w:type="dxa"/>
          </w:tcPr>
          <w:p w14:paraId="43F7F784" w14:textId="77777777" w:rsidR="0046798B" w:rsidRDefault="0046798B">
            <w:pPr>
              <w:pStyle w:val="TableParagraph"/>
            </w:pPr>
          </w:p>
          <w:p w14:paraId="1ADF6DA7" w14:textId="77777777" w:rsidR="0046798B" w:rsidRDefault="0046798B">
            <w:pPr>
              <w:pStyle w:val="TableParagraph"/>
            </w:pPr>
          </w:p>
          <w:p w14:paraId="087E6C53" w14:textId="77777777" w:rsidR="0046798B" w:rsidRDefault="0046798B">
            <w:pPr>
              <w:pStyle w:val="TableParagraph"/>
            </w:pPr>
          </w:p>
          <w:p w14:paraId="750E58A8" w14:textId="77777777" w:rsidR="0046798B" w:rsidRDefault="0046798B">
            <w:pPr>
              <w:pStyle w:val="TableParagraph"/>
            </w:pPr>
          </w:p>
          <w:p w14:paraId="426C2130" w14:textId="77777777" w:rsidR="0046798B" w:rsidRDefault="0046798B">
            <w:pPr>
              <w:pStyle w:val="TableParagraph"/>
            </w:pPr>
          </w:p>
          <w:p w14:paraId="49420787" w14:textId="77777777" w:rsidR="0046798B" w:rsidRDefault="0046798B">
            <w:pPr>
              <w:pStyle w:val="TableParagraph"/>
            </w:pPr>
          </w:p>
          <w:p w14:paraId="05279EC3" w14:textId="77777777" w:rsidR="0046798B" w:rsidRDefault="0046798B">
            <w:pPr>
              <w:pStyle w:val="TableParagraph"/>
            </w:pPr>
          </w:p>
          <w:p w14:paraId="5C0254B6" w14:textId="77777777" w:rsidR="0046798B" w:rsidRDefault="0046798B">
            <w:pPr>
              <w:pStyle w:val="TableParagraph"/>
              <w:spacing w:before="9"/>
              <w:rPr>
                <w:sz w:val="29"/>
              </w:rPr>
            </w:pPr>
          </w:p>
          <w:p w14:paraId="6078BAF5" w14:textId="77777777" w:rsidR="0046798B" w:rsidRDefault="00903B5C">
            <w:pPr>
              <w:pStyle w:val="TableParagraph"/>
              <w:ind w:left="114"/>
              <w:rPr>
                <w:sz w:val="20"/>
              </w:rPr>
            </w:pPr>
            <w:r>
              <w:rPr>
                <w:sz w:val="20"/>
              </w:rPr>
              <w:t>2001–2011</w:t>
            </w:r>
          </w:p>
        </w:tc>
        <w:tc>
          <w:tcPr>
            <w:tcW w:w="3421" w:type="dxa"/>
          </w:tcPr>
          <w:p w14:paraId="12A937FA" w14:textId="77777777" w:rsidR="0046798B" w:rsidRDefault="00903B5C">
            <w:pPr>
              <w:pStyle w:val="TableParagraph"/>
              <w:spacing w:before="43"/>
              <w:ind w:left="114" w:right="146"/>
              <w:rPr>
                <w:sz w:val="20"/>
              </w:rPr>
            </w:pPr>
            <w:r>
              <w:rPr>
                <w:sz w:val="20"/>
              </w:rPr>
              <w:t xml:space="preserve">The calculation for the ease of civil asset forfeiture is based on results reported in the Institute for Justice study Policing for Profit. This index basically reflects the extent to which a state’s tight asset forfeiture rules encourage revenue-sharing with the Department of Justice. Tight rules are indeed better, since the government should not take private property </w:t>
            </w:r>
            <w:r>
              <w:rPr>
                <w:spacing w:val="-4"/>
                <w:sz w:val="20"/>
              </w:rPr>
              <w:t xml:space="preserve">simply </w:t>
            </w:r>
            <w:r>
              <w:rPr>
                <w:sz w:val="20"/>
              </w:rPr>
              <w:t xml:space="preserve">because it was allegedly used in a crime or allegedly constitutes proceeds of a crime, unless the owner of the property is found culpable in a court of law and the seizure </w:t>
            </w:r>
            <w:r>
              <w:rPr>
                <w:spacing w:val="-3"/>
                <w:sz w:val="20"/>
              </w:rPr>
              <w:t xml:space="preserve">is </w:t>
            </w:r>
            <w:r>
              <w:rPr>
                <w:sz w:val="20"/>
              </w:rPr>
              <w:t>used to compensate victims. But as the Institute for Justice study found, tight rules simply encourage forfeiture by the federal</w:t>
            </w:r>
            <w:r>
              <w:rPr>
                <w:spacing w:val="-1"/>
                <w:sz w:val="20"/>
              </w:rPr>
              <w:t xml:space="preserve"> </w:t>
            </w:r>
            <w:r>
              <w:rPr>
                <w:sz w:val="20"/>
              </w:rPr>
              <w:t>government.</w:t>
            </w:r>
          </w:p>
        </w:tc>
        <w:tc>
          <w:tcPr>
            <w:tcW w:w="6477" w:type="dxa"/>
          </w:tcPr>
          <w:p w14:paraId="00D525AD" w14:textId="77777777" w:rsidR="0046798B" w:rsidRDefault="0046798B">
            <w:pPr>
              <w:pStyle w:val="TableParagraph"/>
            </w:pPr>
          </w:p>
          <w:p w14:paraId="0C1305A3" w14:textId="77777777" w:rsidR="0046798B" w:rsidRDefault="0046798B">
            <w:pPr>
              <w:pStyle w:val="TableParagraph"/>
            </w:pPr>
          </w:p>
          <w:p w14:paraId="50CC0300" w14:textId="77777777" w:rsidR="0046798B" w:rsidRDefault="0046798B">
            <w:pPr>
              <w:pStyle w:val="TableParagraph"/>
            </w:pPr>
          </w:p>
          <w:p w14:paraId="3D9BF29A" w14:textId="77777777" w:rsidR="0046798B" w:rsidRDefault="0046798B">
            <w:pPr>
              <w:pStyle w:val="TableParagraph"/>
            </w:pPr>
          </w:p>
          <w:p w14:paraId="22B6C6C7" w14:textId="77777777" w:rsidR="0046798B" w:rsidRDefault="0046798B">
            <w:pPr>
              <w:pStyle w:val="TableParagraph"/>
            </w:pPr>
          </w:p>
          <w:p w14:paraId="58F4890C" w14:textId="77777777" w:rsidR="0046798B" w:rsidRDefault="0046798B">
            <w:pPr>
              <w:pStyle w:val="TableParagraph"/>
            </w:pPr>
          </w:p>
          <w:p w14:paraId="383A7983" w14:textId="77777777" w:rsidR="0046798B" w:rsidRDefault="0046798B">
            <w:pPr>
              <w:pStyle w:val="TableParagraph"/>
            </w:pPr>
          </w:p>
          <w:p w14:paraId="36545C80" w14:textId="77777777" w:rsidR="0046798B" w:rsidRDefault="0046798B">
            <w:pPr>
              <w:pStyle w:val="TableParagraph"/>
              <w:spacing w:before="9"/>
              <w:rPr>
                <w:sz w:val="19"/>
              </w:rPr>
            </w:pPr>
          </w:p>
          <w:p w14:paraId="5D6D6008" w14:textId="77777777" w:rsidR="0046798B" w:rsidRDefault="00903B5C">
            <w:pPr>
              <w:pStyle w:val="TableParagraph"/>
              <w:ind w:left="114"/>
              <w:rPr>
                <w:sz w:val="20"/>
              </w:rPr>
            </w:pPr>
            <w:r>
              <w:rPr>
                <w:sz w:val="20"/>
              </w:rPr>
              <w:t xml:space="preserve">Mercatus Center. 2016. “Freedom in the 50 States.” Arlington, VA: George Mason University. </w:t>
            </w:r>
            <w:hyperlink r:id="rId547">
              <w:r>
                <w:rPr>
                  <w:color w:val="0462C1"/>
                  <w:sz w:val="20"/>
                  <w:u w:val="single" w:color="0462C1"/>
                </w:rPr>
                <w:t>http://freedominthe50states.org/about</w:t>
              </w:r>
              <w:r>
                <w:rPr>
                  <w:sz w:val="20"/>
                </w:rPr>
                <w:t>.</w:t>
              </w:r>
            </w:hyperlink>
          </w:p>
        </w:tc>
      </w:tr>
      <w:tr w:rsidR="0046798B" w14:paraId="59435EDB" w14:textId="77777777">
        <w:trPr>
          <w:trHeight w:val="1010"/>
        </w:trPr>
        <w:tc>
          <w:tcPr>
            <w:tcW w:w="1711" w:type="dxa"/>
          </w:tcPr>
          <w:p w14:paraId="430807D0" w14:textId="77777777" w:rsidR="0046798B" w:rsidRDefault="0046798B">
            <w:pPr>
              <w:pStyle w:val="TableParagraph"/>
            </w:pPr>
          </w:p>
          <w:p w14:paraId="2620925A" w14:textId="77777777" w:rsidR="0046798B" w:rsidRDefault="00903B5C">
            <w:pPr>
              <w:pStyle w:val="TableParagraph"/>
              <w:spacing w:before="136"/>
              <w:ind w:left="115"/>
              <w:rPr>
                <w:b/>
                <w:sz w:val="20"/>
              </w:rPr>
            </w:pPr>
            <w:r>
              <w:rPr>
                <w:b/>
                <w:sz w:val="20"/>
              </w:rPr>
              <w:t>freedom</w:t>
            </w:r>
          </w:p>
        </w:tc>
        <w:tc>
          <w:tcPr>
            <w:tcW w:w="1596" w:type="dxa"/>
          </w:tcPr>
          <w:p w14:paraId="4A9B4DBA" w14:textId="77777777" w:rsidR="0046798B" w:rsidRDefault="00903B5C">
            <w:pPr>
              <w:pStyle w:val="TableParagraph"/>
              <w:spacing w:before="159"/>
              <w:ind w:left="114" w:right="135"/>
              <w:rPr>
                <w:sz w:val="20"/>
              </w:rPr>
            </w:pPr>
            <w:r>
              <w:rPr>
                <w:sz w:val="20"/>
              </w:rPr>
              <w:t>Overall freedom (aggregate measure)</w:t>
            </w:r>
          </w:p>
        </w:tc>
        <w:tc>
          <w:tcPr>
            <w:tcW w:w="1280" w:type="dxa"/>
          </w:tcPr>
          <w:p w14:paraId="4301B9E7" w14:textId="77777777" w:rsidR="0046798B" w:rsidRDefault="0046798B">
            <w:pPr>
              <w:pStyle w:val="TableParagraph"/>
            </w:pPr>
          </w:p>
          <w:p w14:paraId="3445AAE3" w14:textId="77777777" w:rsidR="0046798B" w:rsidRDefault="00903B5C">
            <w:pPr>
              <w:pStyle w:val="TableParagraph"/>
              <w:spacing w:before="136"/>
              <w:ind w:left="114"/>
              <w:rPr>
                <w:sz w:val="20"/>
              </w:rPr>
            </w:pPr>
            <w:r>
              <w:rPr>
                <w:sz w:val="20"/>
              </w:rPr>
              <w:t>2001–2011</w:t>
            </w:r>
          </w:p>
        </w:tc>
        <w:tc>
          <w:tcPr>
            <w:tcW w:w="3421" w:type="dxa"/>
          </w:tcPr>
          <w:p w14:paraId="6FB98361" w14:textId="77777777" w:rsidR="0046798B" w:rsidRDefault="00903B5C">
            <w:pPr>
              <w:pStyle w:val="TableParagraph"/>
              <w:spacing w:before="43"/>
              <w:ind w:left="114" w:right="388"/>
              <w:rPr>
                <w:sz w:val="20"/>
              </w:rPr>
            </w:pPr>
            <w:r>
              <w:rPr>
                <w:sz w:val="20"/>
              </w:rPr>
              <w:t>The overall freedom ranking is determined by combining scores for fiscal, regulatory, and personal freedom.</w:t>
            </w:r>
          </w:p>
        </w:tc>
        <w:tc>
          <w:tcPr>
            <w:tcW w:w="6477" w:type="dxa"/>
          </w:tcPr>
          <w:p w14:paraId="3AF213EE" w14:textId="77777777" w:rsidR="0046798B" w:rsidRDefault="0046798B">
            <w:pPr>
              <w:pStyle w:val="TableParagraph"/>
              <w:spacing w:before="9"/>
              <w:rPr>
                <w:sz w:val="23"/>
              </w:rPr>
            </w:pPr>
          </w:p>
          <w:p w14:paraId="73F35651" w14:textId="77777777" w:rsidR="0046798B" w:rsidRDefault="00903B5C">
            <w:pPr>
              <w:pStyle w:val="TableParagraph"/>
              <w:ind w:left="114"/>
              <w:rPr>
                <w:sz w:val="20"/>
              </w:rPr>
            </w:pPr>
            <w:r>
              <w:rPr>
                <w:sz w:val="20"/>
              </w:rPr>
              <w:t xml:space="preserve">Mercatus Center. 2016. “Freedom in the 50 States.” Arlington, VA: George Mason University. </w:t>
            </w:r>
            <w:hyperlink r:id="rId548">
              <w:r>
                <w:rPr>
                  <w:color w:val="0462C1"/>
                  <w:sz w:val="20"/>
                  <w:u w:val="single" w:color="0462C1"/>
                </w:rPr>
                <w:t>http://freedominthe50states.org/about</w:t>
              </w:r>
              <w:r>
                <w:rPr>
                  <w:sz w:val="20"/>
                </w:rPr>
                <w:t>.</w:t>
              </w:r>
            </w:hyperlink>
          </w:p>
        </w:tc>
      </w:tr>
      <w:tr w:rsidR="0046798B" w14:paraId="6268FD2A" w14:textId="77777777">
        <w:trPr>
          <w:trHeight w:val="1695"/>
        </w:trPr>
        <w:tc>
          <w:tcPr>
            <w:tcW w:w="1711" w:type="dxa"/>
          </w:tcPr>
          <w:p w14:paraId="089AD419" w14:textId="77777777" w:rsidR="0046798B" w:rsidRDefault="0046798B">
            <w:pPr>
              <w:pStyle w:val="TableParagraph"/>
            </w:pPr>
          </w:p>
          <w:p w14:paraId="36C78312" w14:textId="77777777" w:rsidR="0046798B" w:rsidRDefault="0046798B">
            <w:pPr>
              <w:pStyle w:val="TableParagraph"/>
            </w:pPr>
          </w:p>
          <w:p w14:paraId="1EFC2807" w14:textId="77777777" w:rsidR="0046798B" w:rsidRDefault="0046798B">
            <w:pPr>
              <w:pStyle w:val="TableParagraph"/>
              <w:spacing w:before="4"/>
              <w:rPr>
                <w:sz w:val="19"/>
              </w:rPr>
            </w:pPr>
          </w:p>
          <w:p w14:paraId="4A9849E4" w14:textId="77777777" w:rsidR="0046798B" w:rsidRDefault="00903B5C">
            <w:pPr>
              <w:pStyle w:val="TableParagraph"/>
              <w:ind w:left="115"/>
              <w:rPr>
                <w:b/>
                <w:sz w:val="20"/>
              </w:rPr>
            </w:pPr>
            <w:r>
              <w:rPr>
                <w:b/>
                <w:sz w:val="20"/>
              </w:rPr>
              <w:t>gamfree</w:t>
            </w:r>
          </w:p>
        </w:tc>
        <w:tc>
          <w:tcPr>
            <w:tcW w:w="1596" w:type="dxa"/>
          </w:tcPr>
          <w:p w14:paraId="4F579641" w14:textId="77777777" w:rsidR="0046798B" w:rsidRDefault="0046798B">
            <w:pPr>
              <w:pStyle w:val="TableParagraph"/>
            </w:pPr>
          </w:p>
          <w:p w14:paraId="6E2C2110" w14:textId="77777777" w:rsidR="0046798B" w:rsidRDefault="0046798B">
            <w:pPr>
              <w:pStyle w:val="TableParagraph"/>
              <w:spacing w:before="4"/>
              <w:rPr>
                <w:sz w:val="31"/>
              </w:rPr>
            </w:pPr>
          </w:p>
          <w:p w14:paraId="2DFD60C5" w14:textId="77777777" w:rsidR="0046798B" w:rsidRDefault="00903B5C">
            <w:pPr>
              <w:pStyle w:val="TableParagraph"/>
              <w:ind w:left="114" w:right="229"/>
              <w:rPr>
                <w:sz w:val="20"/>
              </w:rPr>
            </w:pPr>
            <w:r>
              <w:rPr>
                <w:sz w:val="20"/>
              </w:rPr>
              <w:t>Gambling freedom</w:t>
            </w:r>
          </w:p>
        </w:tc>
        <w:tc>
          <w:tcPr>
            <w:tcW w:w="1280" w:type="dxa"/>
          </w:tcPr>
          <w:p w14:paraId="6C762614" w14:textId="77777777" w:rsidR="0046798B" w:rsidRDefault="0046798B">
            <w:pPr>
              <w:pStyle w:val="TableParagraph"/>
            </w:pPr>
          </w:p>
          <w:p w14:paraId="0B9FB62B" w14:textId="77777777" w:rsidR="0046798B" w:rsidRDefault="0046798B">
            <w:pPr>
              <w:pStyle w:val="TableParagraph"/>
            </w:pPr>
          </w:p>
          <w:p w14:paraId="091C4E7D" w14:textId="77777777" w:rsidR="0046798B" w:rsidRDefault="0046798B">
            <w:pPr>
              <w:pStyle w:val="TableParagraph"/>
              <w:spacing w:before="4"/>
              <w:rPr>
                <w:sz w:val="19"/>
              </w:rPr>
            </w:pPr>
          </w:p>
          <w:p w14:paraId="1DFBD419" w14:textId="77777777" w:rsidR="0046798B" w:rsidRDefault="00903B5C">
            <w:pPr>
              <w:pStyle w:val="TableParagraph"/>
              <w:ind w:left="114"/>
              <w:rPr>
                <w:sz w:val="20"/>
              </w:rPr>
            </w:pPr>
            <w:r>
              <w:rPr>
                <w:sz w:val="20"/>
              </w:rPr>
              <w:t>2001–2011</w:t>
            </w:r>
          </w:p>
        </w:tc>
        <w:tc>
          <w:tcPr>
            <w:tcW w:w="3421" w:type="dxa"/>
          </w:tcPr>
          <w:p w14:paraId="61048FE2" w14:textId="77777777" w:rsidR="0046798B" w:rsidRDefault="00903B5C">
            <w:pPr>
              <w:pStyle w:val="TableParagraph"/>
              <w:spacing w:before="38"/>
              <w:ind w:left="114" w:right="100"/>
              <w:rPr>
                <w:sz w:val="20"/>
              </w:rPr>
            </w:pPr>
            <w:r>
              <w:rPr>
                <w:sz w:val="20"/>
              </w:rPr>
              <w:t>This category is dominated by an estimate of the loss to consumers because of gambling restrictions. The category also includes measures for whether social gaming is legal, whether “aggravated gambling” is a felony or misdemeanor, and whether there is an</w:t>
            </w:r>
          </w:p>
        </w:tc>
        <w:tc>
          <w:tcPr>
            <w:tcW w:w="6477" w:type="dxa"/>
          </w:tcPr>
          <w:p w14:paraId="0710B1EA" w14:textId="77777777" w:rsidR="0046798B" w:rsidRDefault="0046798B">
            <w:pPr>
              <w:pStyle w:val="TableParagraph"/>
            </w:pPr>
          </w:p>
          <w:p w14:paraId="26860532" w14:textId="77777777" w:rsidR="0046798B" w:rsidRDefault="0046798B">
            <w:pPr>
              <w:pStyle w:val="TableParagraph"/>
              <w:spacing w:before="4"/>
              <w:rPr>
                <w:sz w:val="31"/>
              </w:rPr>
            </w:pPr>
          </w:p>
          <w:p w14:paraId="7E8228ED" w14:textId="77777777" w:rsidR="0046798B" w:rsidRDefault="00903B5C">
            <w:pPr>
              <w:pStyle w:val="TableParagraph"/>
              <w:ind w:left="114"/>
              <w:rPr>
                <w:sz w:val="20"/>
              </w:rPr>
            </w:pPr>
            <w:r>
              <w:rPr>
                <w:sz w:val="20"/>
              </w:rPr>
              <w:t xml:space="preserve">Mercatus Center. 2016. “Freedom in the 50 States.” Arlington, VA: George Mason University. </w:t>
            </w:r>
            <w:hyperlink r:id="rId549">
              <w:r>
                <w:rPr>
                  <w:color w:val="0462C1"/>
                  <w:sz w:val="20"/>
                  <w:u w:val="single" w:color="0462C1"/>
                </w:rPr>
                <w:t>http://freedominthe50states.org/about</w:t>
              </w:r>
              <w:r>
                <w:rPr>
                  <w:sz w:val="20"/>
                </w:rPr>
                <w:t>.</w:t>
              </w:r>
            </w:hyperlink>
          </w:p>
        </w:tc>
      </w:tr>
    </w:tbl>
    <w:p w14:paraId="70C511D7" w14:textId="77777777" w:rsidR="0046798B" w:rsidRDefault="0046798B">
      <w:pPr>
        <w:rPr>
          <w:sz w:val="20"/>
        </w:rPr>
        <w:sectPr w:rsidR="0046798B">
          <w:pgSz w:w="15840" w:h="12240" w:orient="landscape"/>
          <w:pgMar w:top="1220" w:right="300" w:bottom="980" w:left="820" w:header="730" w:footer="787" w:gutter="0"/>
          <w:cols w:space="720"/>
        </w:sectPr>
      </w:pPr>
    </w:p>
    <w:p w14:paraId="534A6049"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0"/>
        <w:gridCol w:w="3421"/>
        <w:gridCol w:w="6477"/>
      </w:tblGrid>
      <w:tr w:rsidR="0046798B" w14:paraId="0E4D1C60" w14:textId="77777777">
        <w:trPr>
          <w:trHeight w:val="1235"/>
        </w:trPr>
        <w:tc>
          <w:tcPr>
            <w:tcW w:w="1711" w:type="dxa"/>
          </w:tcPr>
          <w:p w14:paraId="675CC209" w14:textId="77777777" w:rsidR="0046798B" w:rsidRDefault="0046798B">
            <w:pPr>
              <w:pStyle w:val="TableParagraph"/>
              <w:rPr>
                <w:sz w:val="20"/>
              </w:rPr>
            </w:pPr>
          </w:p>
        </w:tc>
        <w:tc>
          <w:tcPr>
            <w:tcW w:w="1596" w:type="dxa"/>
          </w:tcPr>
          <w:p w14:paraId="6C8CB439" w14:textId="77777777" w:rsidR="0046798B" w:rsidRDefault="0046798B">
            <w:pPr>
              <w:pStyle w:val="TableParagraph"/>
              <w:rPr>
                <w:sz w:val="20"/>
              </w:rPr>
            </w:pPr>
          </w:p>
        </w:tc>
        <w:tc>
          <w:tcPr>
            <w:tcW w:w="1280" w:type="dxa"/>
          </w:tcPr>
          <w:p w14:paraId="6CEAF08E" w14:textId="77777777" w:rsidR="0046798B" w:rsidRDefault="0046798B">
            <w:pPr>
              <w:pStyle w:val="TableParagraph"/>
              <w:rPr>
                <w:sz w:val="20"/>
              </w:rPr>
            </w:pPr>
          </w:p>
        </w:tc>
        <w:tc>
          <w:tcPr>
            <w:tcW w:w="3421" w:type="dxa"/>
          </w:tcPr>
          <w:p w14:paraId="0C1B6F8D" w14:textId="77777777" w:rsidR="0046798B" w:rsidRDefault="00903B5C">
            <w:pPr>
              <w:pStyle w:val="TableParagraph"/>
              <w:spacing w:before="43"/>
              <w:ind w:left="114" w:right="216"/>
              <w:rPr>
                <w:sz w:val="20"/>
              </w:rPr>
            </w:pPr>
            <w:r>
              <w:rPr>
                <w:sz w:val="20"/>
              </w:rPr>
              <w:t>express ban on online gaming. The category contains the following variables: Gambling felony, gaming revenues, internet gaming prohibition, social gaming exception</w:t>
            </w:r>
          </w:p>
        </w:tc>
        <w:tc>
          <w:tcPr>
            <w:tcW w:w="6477" w:type="dxa"/>
          </w:tcPr>
          <w:p w14:paraId="1393205C" w14:textId="77777777" w:rsidR="0046798B" w:rsidRDefault="0046798B">
            <w:pPr>
              <w:pStyle w:val="TableParagraph"/>
              <w:rPr>
                <w:sz w:val="20"/>
              </w:rPr>
            </w:pPr>
          </w:p>
        </w:tc>
      </w:tr>
      <w:tr w:rsidR="0046798B" w14:paraId="28691643" w14:textId="77777777">
        <w:trPr>
          <w:trHeight w:val="1926"/>
        </w:trPr>
        <w:tc>
          <w:tcPr>
            <w:tcW w:w="1711" w:type="dxa"/>
          </w:tcPr>
          <w:p w14:paraId="3F465622" w14:textId="77777777" w:rsidR="0046798B" w:rsidRDefault="0046798B">
            <w:pPr>
              <w:pStyle w:val="TableParagraph"/>
            </w:pPr>
          </w:p>
          <w:p w14:paraId="0863263B" w14:textId="77777777" w:rsidR="0046798B" w:rsidRDefault="0046798B">
            <w:pPr>
              <w:pStyle w:val="TableParagraph"/>
            </w:pPr>
          </w:p>
          <w:p w14:paraId="5EBE4AAC" w14:textId="77777777" w:rsidR="0046798B" w:rsidRDefault="0046798B">
            <w:pPr>
              <w:pStyle w:val="TableParagraph"/>
              <w:spacing w:before="9"/>
              <w:rPr>
                <w:sz w:val="29"/>
              </w:rPr>
            </w:pPr>
          </w:p>
          <w:p w14:paraId="45438CE3" w14:textId="77777777" w:rsidR="0046798B" w:rsidRDefault="00903B5C">
            <w:pPr>
              <w:pStyle w:val="TableParagraph"/>
              <w:ind w:left="115"/>
              <w:rPr>
                <w:b/>
                <w:sz w:val="20"/>
              </w:rPr>
            </w:pPr>
            <w:r>
              <w:rPr>
                <w:b/>
                <w:sz w:val="20"/>
              </w:rPr>
              <w:t>gunfree</w:t>
            </w:r>
          </w:p>
        </w:tc>
        <w:tc>
          <w:tcPr>
            <w:tcW w:w="1596" w:type="dxa"/>
          </w:tcPr>
          <w:p w14:paraId="4B80C997" w14:textId="77777777" w:rsidR="0046798B" w:rsidRDefault="0046798B">
            <w:pPr>
              <w:pStyle w:val="TableParagraph"/>
            </w:pPr>
          </w:p>
          <w:p w14:paraId="26C279A1" w14:textId="77777777" w:rsidR="0046798B" w:rsidRDefault="0046798B">
            <w:pPr>
              <w:pStyle w:val="TableParagraph"/>
            </w:pPr>
          </w:p>
          <w:p w14:paraId="0DC0CBD1" w14:textId="77777777" w:rsidR="0046798B" w:rsidRDefault="0046798B">
            <w:pPr>
              <w:pStyle w:val="TableParagraph"/>
              <w:spacing w:before="9"/>
              <w:rPr>
                <w:sz w:val="19"/>
              </w:rPr>
            </w:pPr>
          </w:p>
          <w:p w14:paraId="3857B87D" w14:textId="77777777" w:rsidR="0046798B" w:rsidRDefault="00903B5C">
            <w:pPr>
              <w:pStyle w:val="TableParagraph"/>
              <w:ind w:left="114" w:right="229"/>
              <w:rPr>
                <w:sz w:val="20"/>
              </w:rPr>
            </w:pPr>
            <w:r>
              <w:rPr>
                <w:sz w:val="20"/>
              </w:rPr>
              <w:t>Gun control freedom</w:t>
            </w:r>
          </w:p>
        </w:tc>
        <w:tc>
          <w:tcPr>
            <w:tcW w:w="1280" w:type="dxa"/>
          </w:tcPr>
          <w:p w14:paraId="184D69A8" w14:textId="77777777" w:rsidR="0046798B" w:rsidRDefault="0046798B">
            <w:pPr>
              <w:pStyle w:val="TableParagraph"/>
            </w:pPr>
          </w:p>
          <w:p w14:paraId="6CDB0821" w14:textId="77777777" w:rsidR="0046798B" w:rsidRDefault="0046798B">
            <w:pPr>
              <w:pStyle w:val="TableParagraph"/>
            </w:pPr>
          </w:p>
          <w:p w14:paraId="29D3B960" w14:textId="77777777" w:rsidR="0046798B" w:rsidRDefault="0046798B">
            <w:pPr>
              <w:pStyle w:val="TableParagraph"/>
              <w:spacing w:before="9"/>
              <w:rPr>
                <w:sz w:val="29"/>
              </w:rPr>
            </w:pPr>
          </w:p>
          <w:p w14:paraId="3A7B5431" w14:textId="77777777" w:rsidR="0046798B" w:rsidRDefault="00903B5C">
            <w:pPr>
              <w:pStyle w:val="TableParagraph"/>
              <w:ind w:left="114"/>
              <w:rPr>
                <w:sz w:val="20"/>
              </w:rPr>
            </w:pPr>
            <w:r>
              <w:rPr>
                <w:sz w:val="20"/>
              </w:rPr>
              <w:t>2001–2011</w:t>
            </w:r>
          </w:p>
        </w:tc>
        <w:tc>
          <w:tcPr>
            <w:tcW w:w="3421" w:type="dxa"/>
          </w:tcPr>
          <w:p w14:paraId="2859BE1C" w14:textId="77777777" w:rsidR="0046798B" w:rsidRDefault="00903B5C">
            <w:pPr>
              <w:pStyle w:val="TableParagraph"/>
              <w:spacing w:before="43"/>
              <w:ind w:left="114" w:right="205"/>
              <w:rPr>
                <w:sz w:val="20"/>
              </w:rPr>
            </w:pPr>
            <w:r>
              <w:rPr>
                <w:sz w:val="20"/>
              </w:rPr>
              <w:t>Gun control measures the direct costs of gun laws to gun owners and dealers as evidenced in sales, price, and ownership figures, as well as original analysis about how concealed-carry restrictions and costs are associated with the number of people who seek permits in each state.</w:t>
            </w:r>
          </w:p>
        </w:tc>
        <w:tc>
          <w:tcPr>
            <w:tcW w:w="6477" w:type="dxa"/>
          </w:tcPr>
          <w:p w14:paraId="15DEF7A4" w14:textId="77777777" w:rsidR="0046798B" w:rsidRDefault="0046798B">
            <w:pPr>
              <w:pStyle w:val="TableParagraph"/>
            </w:pPr>
          </w:p>
          <w:p w14:paraId="25CEFC49" w14:textId="77777777" w:rsidR="0046798B" w:rsidRDefault="0046798B">
            <w:pPr>
              <w:pStyle w:val="TableParagraph"/>
            </w:pPr>
          </w:p>
          <w:p w14:paraId="10B14EB8" w14:textId="77777777" w:rsidR="0046798B" w:rsidRDefault="0046798B">
            <w:pPr>
              <w:pStyle w:val="TableParagraph"/>
              <w:spacing w:before="9"/>
              <w:rPr>
                <w:sz w:val="19"/>
              </w:rPr>
            </w:pPr>
          </w:p>
          <w:p w14:paraId="7D25A648" w14:textId="77777777" w:rsidR="0046798B" w:rsidRDefault="00903B5C">
            <w:pPr>
              <w:pStyle w:val="TableParagraph"/>
              <w:ind w:left="114"/>
              <w:rPr>
                <w:sz w:val="20"/>
              </w:rPr>
            </w:pPr>
            <w:r>
              <w:rPr>
                <w:sz w:val="20"/>
              </w:rPr>
              <w:t xml:space="preserve">Mercatus Center. 2016. “Freedom in the 50 States.” Arlington, VA: George Mason University. </w:t>
            </w:r>
            <w:hyperlink r:id="rId550">
              <w:r>
                <w:rPr>
                  <w:color w:val="0462C1"/>
                  <w:sz w:val="20"/>
                  <w:u w:val="single" w:color="0462C1"/>
                </w:rPr>
                <w:t>http://freedominthe50states.org/about</w:t>
              </w:r>
              <w:r>
                <w:rPr>
                  <w:sz w:val="20"/>
                </w:rPr>
                <w:t>.</w:t>
              </w:r>
            </w:hyperlink>
          </w:p>
        </w:tc>
      </w:tr>
      <w:tr w:rsidR="0046798B" w14:paraId="75A7D38A" w14:textId="77777777">
        <w:trPr>
          <w:trHeight w:val="3305"/>
        </w:trPr>
        <w:tc>
          <w:tcPr>
            <w:tcW w:w="1711" w:type="dxa"/>
          </w:tcPr>
          <w:p w14:paraId="6287D6CA" w14:textId="77777777" w:rsidR="0046798B" w:rsidRDefault="0046798B">
            <w:pPr>
              <w:pStyle w:val="TableParagraph"/>
            </w:pPr>
          </w:p>
          <w:p w14:paraId="1047E40B" w14:textId="77777777" w:rsidR="0046798B" w:rsidRDefault="0046798B">
            <w:pPr>
              <w:pStyle w:val="TableParagraph"/>
            </w:pPr>
          </w:p>
          <w:p w14:paraId="3104399D" w14:textId="77777777" w:rsidR="0046798B" w:rsidRDefault="0046798B">
            <w:pPr>
              <w:pStyle w:val="TableParagraph"/>
            </w:pPr>
          </w:p>
          <w:p w14:paraId="0A22F7AF" w14:textId="77777777" w:rsidR="0046798B" w:rsidRDefault="0046798B">
            <w:pPr>
              <w:pStyle w:val="TableParagraph"/>
            </w:pPr>
          </w:p>
          <w:p w14:paraId="7A849829" w14:textId="77777777" w:rsidR="0046798B" w:rsidRDefault="0046798B">
            <w:pPr>
              <w:pStyle w:val="TableParagraph"/>
            </w:pPr>
          </w:p>
          <w:p w14:paraId="4BCE67D0" w14:textId="77777777" w:rsidR="0046798B" w:rsidRDefault="0046798B">
            <w:pPr>
              <w:pStyle w:val="TableParagraph"/>
              <w:spacing w:before="9"/>
              <w:rPr>
                <w:sz w:val="23"/>
              </w:rPr>
            </w:pPr>
          </w:p>
          <w:p w14:paraId="48716769" w14:textId="77777777" w:rsidR="0046798B" w:rsidRDefault="00903B5C">
            <w:pPr>
              <w:pStyle w:val="TableParagraph"/>
              <w:ind w:left="115"/>
              <w:rPr>
                <w:b/>
                <w:sz w:val="20"/>
              </w:rPr>
            </w:pPr>
            <w:r>
              <w:rPr>
                <w:b/>
                <w:sz w:val="20"/>
              </w:rPr>
              <w:t>healthfree</w:t>
            </w:r>
          </w:p>
        </w:tc>
        <w:tc>
          <w:tcPr>
            <w:tcW w:w="1596" w:type="dxa"/>
          </w:tcPr>
          <w:p w14:paraId="4199009C" w14:textId="77777777" w:rsidR="0046798B" w:rsidRDefault="0046798B">
            <w:pPr>
              <w:pStyle w:val="TableParagraph"/>
            </w:pPr>
          </w:p>
          <w:p w14:paraId="25B935DE" w14:textId="77777777" w:rsidR="0046798B" w:rsidRDefault="0046798B">
            <w:pPr>
              <w:pStyle w:val="TableParagraph"/>
            </w:pPr>
          </w:p>
          <w:p w14:paraId="4D544D48" w14:textId="77777777" w:rsidR="0046798B" w:rsidRDefault="0046798B">
            <w:pPr>
              <w:pStyle w:val="TableParagraph"/>
            </w:pPr>
          </w:p>
          <w:p w14:paraId="36258F82" w14:textId="77777777" w:rsidR="0046798B" w:rsidRDefault="0046798B">
            <w:pPr>
              <w:pStyle w:val="TableParagraph"/>
            </w:pPr>
          </w:p>
          <w:p w14:paraId="59FF4B96" w14:textId="77777777" w:rsidR="0046798B" w:rsidRDefault="0046798B">
            <w:pPr>
              <w:pStyle w:val="TableParagraph"/>
            </w:pPr>
          </w:p>
          <w:p w14:paraId="32039FC5" w14:textId="77777777" w:rsidR="0046798B" w:rsidRDefault="00903B5C">
            <w:pPr>
              <w:pStyle w:val="TableParagraph"/>
              <w:spacing w:before="158"/>
              <w:ind w:left="114" w:right="102"/>
              <w:rPr>
                <w:sz w:val="20"/>
              </w:rPr>
            </w:pPr>
            <w:r>
              <w:rPr>
                <w:sz w:val="20"/>
              </w:rPr>
              <w:t>Health insurance freedom</w:t>
            </w:r>
          </w:p>
        </w:tc>
        <w:tc>
          <w:tcPr>
            <w:tcW w:w="1280" w:type="dxa"/>
          </w:tcPr>
          <w:p w14:paraId="50152015" w14:textId="77777777" w:rsidR="0046798B" w:rsidRDefault="0046798B">
            <w:pPr>
              <w:pStyle w:val="TableParagraph"/>
            </w:pPr>
          </w:p>
          <w:p w14:paraId="557CA576" w14:textId="77777777" w:rsidR="0046798B" w:rsidRDefault="0046798B">
            <w:pPr>
              <w:pStyle w:val="TableParagraph"/>
            </w:pPr>
          </w:p>
          <w:p w14:paraId="29E485EC" w14:textId="77777777" w:rsidR="0046798B" w:rsidRDefault="0046798B">
            <w:pPr>
              <w:pStyle w:val="TableParagraph"/>
            </w:pPr>
          </w:p>
          <w:p w14:paraId="3EF27159" w14:textId="77777777" w:rsidR="0046798B" w:rsidRDefault="0046798B">
            <w:pPr>
              <w:pStyle w:val="TableParagraph"/>
            </w:pPr>
          </w:p>
          <w:p w14:paraId="75F3292A" w14:textId="77777777" w:rsidR="0046798B" w:rsidRDefault="0046798B">
            <w:pPr>
              <w:pStyle w:val="TableParagraph"/>
            </w:pPr>
          </w:p>
          <w:p w14:paraId="0C7F1531" w14:textId="77777777" w:rsidR="0046798B" w:rsidRDefault="0046798B">
            <w:pPr>
              <w:pStyle w:val="TableParagraph"/>
              <w:spacing w:before="9"/>
              <w:rPr>
                <w:sz w:val="23"/>
              </w:rPr>
            </w:pPr>
          </w:p>
          <w:p w14:paraId="025C9FB1" w14:textId="77777777" w:rsidR="0046798B" w:rsidRDefault="00903B5C">
            <w:pPr>
              <w:pStyle w:val="TableParagraph"/>
              <w:ind w:left="114"/>
              <w:rPr>
                <w:sz w:val="20"/>
              </w:rPr>
            </w:pPr>
            <w:r>
              <w:rPr>
                <w:sz w:val="20"/>
              </w:rPr>
              <w:t>2001–2011</w:t>
            </w:r>
          </w:p>
        </w:tc>
        <w:tc>
          <w:tcPr>
            <w:tcW w:w="3421" w:type="dxa"/>
          </w:tcPr>
          <w:p w14:paraId="36670731" w14:textId="77777777" w:rsidR="0046798B" w:rsidRDefault="00903B5C">
            <w:pPr>
              <w:pStyle w:val="TableParagraph"/>
              <w:spacing w:before="43"/>
              <w:ind w:left="114" w:right="110"/>
              <w:rPr>
                <w:sz w:val="20"/>
              </w:rPr>
            </w:pPr>
            <w:r>
              <w:rPr>
                <w:sz w:val="20"/>
              </w:rPr>
              <w:t>Health insurance includes state-level health insurance mandates, small group rate review, guaranteed issue regulations, individual market community rating, mandated direct access to providers, individual market rate review, and a host of lower-impact regulations on managed care organizations (HMOs). State-level health insurance mandates, the second most significant variable in this category at 1.7 percent of the freedom index, impose direct costs of nearly $9 billion a year.</w:t>
            </w:r>
          </w:p>
        </w:tc>
        <w:tc>
          <w:tcPr>
            <w:tcW w:w="6477" w:type="dxa"/>
          </w:tcPr>
          <w:p w14:paraId="298BBDFE" w14:textId="77777777" w:rsidR="0046798B" w:rsidRDefault="0046798B">
            <w:pPr>
              <w:pStyle w:val="TableParagraph"/>
            </w:pPr>
          </w:p>
          <w:p w14:paraId="710485EC" w14:textId="77777777" w:rsidR="0046798B" w:rsidRDefault="0046798B">
            <w:pPr>
              <w:pStyle w:val="TableParagraph"/>
            </w:pPr>
          </w:p>
          <w:p w14:paraId="5592A7F8" w14:textId="77777777" w:rsidR="0046798B" w:rsidRDefault="0046798B">
            <w:pPr>
              <w:pStyle w:val="TableParagraph"/>
            </w:pPr>
          </w:p>
          <w:p w14:paraId="7642AB09" w14:textId="77777777" w:rsidR="0046798B" w:rsidRDefault="0046798B">
            <w:pPr>
              <w:pStyle w:val="TableParagraph"/>
            </w:pPr>
          </w:p>
          <w:p w14:paraId="76A85F38" w14:textId="77777777" w:rsidR="0046798B" w:rsidRDefault="0046798B">
            <w:pPr>
              <w:pStyle w:val="TableParagraph"/>
            </w:pPr>
          </w:p>
          <w:p w14:paraId="3459D75D" w14:textId="77777777" w:rsidR="0046798B" w:rsidRDefault="00903B5C">
            <w:pPr>
              <w:pStyle w:val="TableParagraph"/>
              <w:spacing w:before="158"/>
              <w:ind w:left="114"/>
              <w:rPr>
                <w:sz w:val="20"/>
              </w:rPr>
            </w:pPr>
            <w:r>
              <w:rPr>
                <w:sz w:val="20"/>
              </w:rPr>
              <w:t xml:space="preserve">Mercatus Center. 2016. “Freedom in the 50 States.” Arlington, VA: George Mason University. </w:t>
            </w:r>
            <w:hyperlink r:id="rId551">
              <w:r>
                <w:rPr>
                  <w:color w:val="0462C1"/>
                  <w:sz w:val="20"/>
                  <w:u w:val="single" w:color="0462C1"/>
                </w:rPr>
                <w:t>http://freedominthe50states.org/about</w:t>
              </w:r>
              <w:r>
                <w:rPr>
                  <w:sz w:val="20"/>
                </w:rPr>
                <w:t>.</w:t>
              </w:r>
            </w:hyperlink>
          </w:p>
        </w:tc>
      </w:tr>
      <w:tr w:rsidR="0046798B" w14:paraId="173397CD" w14:textId="77777777">
        <w:trPr>
          <w:trHeight w:val="2621"/>
        </w:trPr>
        <w:tc>
          <w:tcPr>
            <w:tcW w:w="1711" w:type="dxa"/>
          </w:tcPr>
          <w:p w14:paraId="426B3D49" w14:textId="77777777" w:rsidR="0046798B" w:rsidRDefault="0046798B">
            <w:pPr>
              <w:pStyle w:val="TableParagraph"/>
            </w:pPr>
          </w:p>
          <w:p w14:paraId="271ADF94" w14:textId="77777777" w:rsidR="0046798B" w:rsidRDefault="0046798B">
            <w:pPr>
              <w:pStyle w:val="TableParagraph"/>
            </w:pPr>
          </w:p>
          <w:p w14:paraId="4D00043C" w14:textId="77777777" w:rsidR="0046798B" w:rsidRDefault="0046798B">
            <w:pPr>
              <w:pStyle w:val="TableParagraph"/>
            </w:pPr>
          </w:p>
          <w:p w14:paraId="14AF58FA" w14:textId="77777777" w:rsidR="0046798B" w:rsidRDefault="0046798B">
            <w:pPr>
              <w:pStyle w:val="TableParagraph"/>
            </w:pPr>
          </w:p>
          <w:p w14:paraId="25F526DE" w14:textId="77777777" w:rsidR="0046798B" w:rsidRDefault="00903B5C">
            <w:pPr>
              <w:pStyle w:val="TableParagraph"/>
              <w:spacing w:before="182"/>
              <w:ind w:left="115"/>
              <w:rPr>
                <w:b/>
                <w:sz w:val="20"/>
              </w:rPr>
            </w:pPr>
            <w:r>
              <w:rPr>
                <w:b/>
                <w:sz w:val="20"/>
              </w:rPr>
              <w:t>labfree</w:t>
            </w:r>
          </w:p>
        </w:tc>
        <w:tc>
          <w:tcPr>
            <w:tcW w:w="1596" w:type="dxa"/>
          </w:tcPr>
          <w:p w14:paraId="48E0E764" w14:textId="77777777" w:rsidR="0046798B" w:rsidRDefault="0046798B">
            <w:pPr>
              <w:pStyle w:val="TableParagraph"/>
            </w:pPr>
          </w:p>
          <w:p w14:paraId="7719D1E0" w14:textId="77777777" w:rsidR="0046798B" w:rsidRDefault="0046798B">
            <w:pPr>
              <w:pStyle w:val="TableParagraph"/>
            </w:pPr>
          </w:p>
          <w:p w14:paraId="34956374" w14:textId="77777777" w:rsidR="0046798B" w:rsidRDefault="0046798B">
            <w:pPr>
              <w:pStyle w:val="TableParagraph"/>
            </w:pPr>
          </w:p>
          <w:p w14:paraId="62153454" w14:textId="77777777" w:rsidR="0046798B" w:rsidRDefault="0046798B">
            <w:pPr>
              <w:pStyle w:val="TableParagraph"/>
              <w:spacing w:before="9"/>
              <w:rPr>
                <w:sz w:val="27"/>
              </w:rPr>
            </w:pPr>
          </w:p>
          <w:p w14:paraId="62855687" w14:textId="77777777" w:rsidR="0046798B" w:rsidRDefault="00903B5C">
            <w:pPr>
              <w:pStyle w:val="TableParagraph"/>
              <w:ind w:left="114" w:right="369"/>
              <w:rPr>
                <w:sz w:val="20"/>
              </w:rPr>
            </w:pPr>
            <w:r>
              <w:rPr>
                <w:sz w:val="20"/>
              </w:rPr>
              <w:t>Labor market freedom</w:t>
            </w:r>
          </w:p>
        </w:tc>
        <w:tc>
          <w:tcPr>
            <w:tcW w:w="1280" w:type="dxa"/>
          </w:tcPr>
          <w:p w14:paraId="305554FB" w14:textId="77777777" w:rsidR="0046798B" w:rsidRDefault="0046798B">
            <w:pPr>
              <w:pStyle w:val="TableParagraph"/>
            </w:pPr>
          </w:p>
          <w:p w14:paraId="54A9F627" w14:textId="77777777" w:rsidR="0046798B" w:rsidRDefault="0046798B">
            <w:pPr>
              <w:pStyle w:val="TableParagraph"/>
            </w:pPr>
          </w:p>
          <w:p w14:paraId="17550F43" w14:textId="77777777" w:rsidR="0046798B" w:rsidRDefault="0046798B">
            <w:pPr>
              <w:pStyle w:val="TableParagraph"/>
            </w:pPr>
          </w:p>
          <w:p w14:paraId="35372FB1" w14:textId="77777777" w:rsidR="0046798B" w:rsidRDefault="0046798B">
            <w:pPr>
              <w:pStyle w:val="TableParagraph"/>
            </w:pPr>
          </w:p>
          <w:p w14:paraId="212D758A" w14:textId="77777777" w:rsidR="0046798B" w:rsidRDefault="00903B5C">
            <w:pPr>
              <w:pStyle w:val="TableParagraph"/>
              <w:spacing w:before="182"/>
              <w:ind w:left="114"/>
              <w:rPr>
                <w:sz w:val="20"/>
              </w:rPr>
            </w:pPr>
            <w:r>
              <w:rPr>
                <w:sz w:val="20"/>
              </w:rPr>
              <w:t>2001–2011</w:t>
            </w:r>
          </w:p>
        </w:tc>
        <w:tc>
          <w:tcPr>
            <w:tcW w:w="3421" w:type="dxa"/>
          </w:tcPr>
          <w:p w14:paraId="6802F99C" w14:textId="77777777" w:rsidR="0046798B" w:rsidRDefault="00903B5C">
            <w:pPr>
              <w:pStyle w:val="TableParagraph"/>
              <w:spacing w:before="43"/>
              <w:ind w:left="114" w:right="127"/>
              <w:rPr>
                <w:sz w:val="20"/>
              </w:rPr>
            </w:pPr>
            <w:r>
              <w:rPr>
                <w:sz w:val="20"/>
              </w:rPr>
              <w:t>Right-to-work laws make up more than half of the labor regulation category and nearly 2 percent of the entire freedom index. They are valued at over</w:t>
            </w:r>
          </w:p>
          <w:p w14:paraId="552EC4A4" w14:textId="77777777" w:rsidR="0046798B" w:rsidRDefault="00903B5C">
            <w:pPr>
              <w:pStyle w:val="TableParagraph"/>
              <w:ind w:left="114" w:right="270"/>
              <w:rPr>
                <w:sz w:val="20"/>
              </w:rPr>
            </w:pPr>
            <w:r>
              <w:rPr>
                <w:sz w:val="20"/>
              </w:rPr>
              <w:t>$10 billion a year. Other policy variables in this category, in descending order of importance, are short-term disability insurance requirements (costs being lower labor productivity and administrative expenses for businesses), policies</w:t>
            </w:r>
          </w:p>
        </w:tc>
        <w:tc>
          <w:tcPr>
            <w:tcW w:w="6477" w:type="dxa"/>
          </w:tcPr>
          <w:p w14:paraId="7E3AA1CA" w14:textId="77777777" w:rsidR="0046798B" w:rsidRDefault="0046798B">
            <w:pPr>
              <w:pStyle w:val="TableParagraph"/>
            </w:pPr>
          </w:p>
          <w:p w14:paraId="2A5DB6E6" w14:textId="77777777" w:rsidR="0046798B" w:rsidRDefault="0046798B">
            <w:pPr>
              <w:pStyle w:val="TableParagraph"/>
            </w:pPr>
          </w:p>
          <w:p w14:paraId="683E5A69" w14:textId="77777777" w:rsidR="0046798B" w:rsidRDefault="0046798B">
            <w:pPr>
              <w:pStyle w:val="TableParagraph"/>
            </w:pPr>
          </w:p>
          <w:p w14:paraId="3B1F6B93" w14:textId="77777777" w:rsidR="0046798B" w:rsidRDefault="0046798B">
            <w:pPr>
              <w:pStyle w:val="TableParagraph"/>
              <w:spacing w:before="9"/>
              <w:rPr>
                <w:sz w:val="27"/>
              </w:rPr>
            </w:pPr>
          </w:p>
          <w:p w14:paraId="3F6EC2CA" w14:textId="77777777" w:rsidR="0046798B" w:rsidRDefault="00903B5C">
            <w:pPr>
              <w:pStyle w:val="TableParagraph"/>
              <w:ind w:left="114"/>
              <w:rPr>
                <w:sz w:val="20"/>
              </w:rPr>
            </w:pPr>
            <w:r>
              <w:rPr>
                <w:sz w:val="20"/>
              </w:rPr>
              <w:t xml:space="preserve">Mercatus Center. 2016. “Freedom in the 50 States.” Arlington, VA: George Mason University. </w:t>
            </w:r>
            <w:hyperlink r:id="rId552">
              <w:r>
                <w:rPr>
                  <w:color w:val="0462C1"/>
                  <w:sz w:val="20"/>
                  <w:u w:val="single" w:color="0462C1"/>
                </w:rPr>
                <w:t>http://freedominthe50states.org/about</w:t>
              </w:r>
              <w:r>
                <w:rPr>
                  <w:sz w:val="20"/>
                </w:rPr>
                <w:t>.</w:t>
              </w:r>
            </w:hyperlink>
          </w:p>
        </w:tc>
      </w:tr>
    </w:tbl>
    <w:p w14:paraId="315353D6" w14:textId="77777777" w:rsidR="0046798B" w:rsidRDefault="0046798B">
      <w:pPr>
        <w:rPr>
          <w:sz w:val="20"/>
        </w:rPr>
        <w:sectPr w:rsidR="0046798B">
          <w:pgSz w:w="15840" w:h="12240" w:orient="landscape"/>
          <w:pgMar w:top="1220" w:right="300" w:bottom="980" w:left="820" w:header="730" w:footer="787" w:gutter="0"/>
          <w:cols w:space="720"/>
        </w:sectPr>
      </w:pPr>
    </w:p>
    <w:p w14:paraId="64C413B4"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0"/>
        <w:gridCol w:w="3421"/>
        <w:gridCol w:w="6477"/>
      </w:tblGrid>
      <w:tr w:rsidR="0046798B" w14:paraId="59FB74E0" w14:textId="77777777">
        <w:trPr>
          <w:trHeight w:val="2616"/>
        </w:trPr>
        <w:tc>
          <w:tcPr>
            <w:tcW w:w="1711" w:type="dxa"/>
          </w:tcPr>
          <w:p w14:paraId="5134CDDC" w14:textId="77777777" w:rsidR="0046798B" w:rsidRDefault="0046798B">
            <w:pPr>
              <w:pStyle w:val="TableParagraph"/>
              <w:rPr>
                <w:sz w:val="20"/>
              </w:rPr>
            </w:pPr>
          </w:p>
        </w:tc>
        <w:tc>
          <w:tcPr>
            <w:tcW w:w="1596" w:type="dxa"/>
          </w:tcPr>
          <w:p w14:paraId="71CA5938" w14:textId="77777777" w:rsidR="0046798B" w:rsidRDefault="0046798B">
            <w:pPr>
              <w:pStyle w:val="TableParagraph"/>
              <w:rPr>
                <w:sz w:val="20"/>
              </w:rPr>
            </w:pPr>
          </w:p>
        </w:tc>
        <w:tc>
          <w:tcPr>
            <w:tcW w:w="1280" w:type="dxa"/>
          </w:tcPr>
          <w:p w14:paraId="7ACDB38C" w14:textId="77777777" w:rsidR="0046798B" w:rsidRDefault="0046798B">
            <w:pPr>
              <w:pStyle w:val="TableParagraph"/>
              <w:rPr>
                <w:sz w:val="20"/>
              </w:rPr>
            </w:pPr>
          </w:p>
        </w:tc>
        <w:tc>
          <w:tcPr>
            <w:tcW w:w="3421" w:type="dxa"/>
          </w:tcPr>
          <w:p w14:paraId="406E0BF4" w14:textId="77777777" w:rsidR="0046798B" w:rsidRDefault="00903B5C">
            <w:pPr>
              <w:pStyle w:val="TableParagraph"/>
              <w:spacing w:before="43"/>
              <w:ind w:left="114" w:right="205"/>
              <w:rPr>
                <w:sz w:val="20"/>
              </w:rPr>
            </w:pPr>
            <w:r>
              <w:rPr>
                <w:sz w:val="20"/>
              </w:rPr>
              <w:t>dealing with workers’ compensation (funding mechanisms and mandated coverages), state minimum wage laws (figures adjusted for median private wages), requirements for employer verification of legal resident status, mandated paid family leave, and regulations prohibiting discrimination in employment (or employer-provided insurance) between smokers and non- smokers.</w:t>
            </w:r>
          </w:p>
        </w:tc>
        <w:tc>
          <w:tcPr>
            <w:tcW w:w="6477" w:type="dxa"/>
          </w:tcPr>
          <w:p w14:paraId="58CD607D" w14:textId="77777777" w:rsidR="0046798B" w:rsidRDefault="0046798B">
            <w:pPr>
              <w:pStyle w:val="TableParagraph"/>
              <w:rPr>
                <w:sz w:val="20"/>
              </w:rPr>
            </w:pPr>
          </w:p>
        </w:tc>
      </w:tr>
      <w:tr w:rsidR="0046798B" w14:paraId="51B7AB95" w14:textId="77777777">
        <w:trPr>
          <w:trHeight w:val="4227"/>
        </w:trPr>
        <w:tc>
          <w:tcPr>
            <w:tcW w:w="1711" w:type="dxa"/>
          </w:tcPr>
          <w:p w14:paraId="1EBF8A92" w14:textId="77777777" w:rsidR="0046798B" w:rsidRDefault="0046798B">
            <w:pPr>
              <w:pStyle w:val="TableParagraph"/>
            </w:pPr>
          </w:p>
          <w:p w14:paraId="3533CAAC" w14:textId="77777777" w:rsidR="0046798B" w:rsidRDefault="0046798B">
            <w:pPr>
              <w:pStyle w:val="TableParagraph"/>
            </w:pPr>
          </w:p>
          <w:p w14:paraId="1EF2F4D7" w14:textId="77777777" w:rsidR="0046798B" w:rsidRDefault="0046798B">
            <w:pPr>
              <w:pStyle w:val="TableParagraph"/>
            </w:pPr>
          </w:p>
          <w:p w14:paraId="69A7931A" w14:textId="77777777" w:rsidR="0046798B" w:rsidRDefault="0046798B">
            <w:pPr>
              <w:pStyle w:val="TableParagraph"/>
            </w:pPr>
          </w:p>
          <w:p w14:paraId="5CC332B9" w14:textId="77777777" w:rsidR="0046798B" w:rsidRDefault="0046798B">
            <w:pPr>
              <w:pStyle w:val="TableParagraph"/>
            </w:pPr>
          </w:p>
          <w:p w14:paraId="477DBAB9" w14:textId="77777777" w:rsidR="0046798B" w:rsidRDefault="0046798B">
            <w:pPr>
              <w:pStyle w:val="TableParagraph"/>
            </w:pPr>
          </w:p>
          <w:p w14:paraId="3D712B0A" w14:textId="77777777" w:rsidR="0046798B" w:rsidRDefault="0046798B">
            <w:pPr>
              <w:pStyle w:val="TableParagraph"/>
            </w:pPr>
          </w:p>
          <w:p w14:paraId="398D04B0" w14:textId="77777777" w:rsidR="0046798B" w:rsidRDefault="0046798B">
            <w:pPr>
              <w:pStyle w:val="TableParagraph"/>
              <w:spacing w:before="9"/>
              <w:rPr>
                <w:sz w:val="19"/>
              </w:rPr>
            </w:pPr>
          </w:p>
          <w:p w14:paraId="71F9968C" w14:textId="77777777" w:rsidR="0046798B" w:rsidRDefault="00903B5C">
            <w:pPr>
              <w:pStyle w:val="TableParagraph"/>
              <w:ind w:left="115"/>
              <w:rPr>
                <w:b/>
                <w:sz w:val="20"/>
              </w:rPr>
            </w:pPr>
            <w:r>
              <w:rPr>
                <w:b/>
                <w:sz w:val="20"/>
              </w:rPr>
              <w:t>landfree</w:t>
            </w:r>
          </w:p>
        </w:tc>
        <w:tc>
          <w:tcPr>
            <w:tcW w:w="1596" w:type="dxa"/>
          </w:tcPr>
          <w:p w14:paraId="0F11650F" w14:textId="77777777" w:rsidR="0046798B" w:rsidRDefault="0046798B">
            <w:pPr>
              <w:pStyle w:val="TableParagraph"/>
            </w:pPr>
          </w:p>
          <w:p w14:paraId="295EAF04" w14:textId="77777777" w:rsidR="0046798B" w:rsidRDefault="0046798B">
            <w:pPr>
              <w:pStyle w:val="TableParagraph"/>
            </w:pPr>
          </w:p>
          <w:p w14:paraId="306CF9A1" w14:textId="77777777" w:rsidR="0046798B" w:rsidRDefault="0046798B">
            <w:pPr>
              <w:pStyle w:val="TableParagraph"/>
            </w:pPr>
          </w:p>
          <w:p w14:paraId="5FB172C6" w14:textId="77777777" w:rsidR="0046798B" w:rsidRDefault="0046798B">
            <w:pPr>
              <w:pStyle w:val="TableParagraph"/>
            </w:pPr>
          </w:p>
          <w:p w14:paraId="358CF53D" w14:textId="77777777" w:rsidR="0046798B" w:rsidRDefault="0046798B">
            <w:pPr>
              <w:pStyle w:val="TableParagraph"/>
            </w:pPr>
          </w:p>
          <w:p w14:paraId="7BA900CB" w14:textId="77777777" w:rsidR="0046798B" w:rsidRDefault="0046798B">
            <w:pPr>
              <w:pStyle w:val="TableParagraph"/>
            </w:pPr>
          </w:p>
          <w:p w14:paraId="1D907192" w14:textId="77777777" w:rsidR="0046798B" w:rsidRDefault="0046798B">
            <w:pPr>
              <w:pStyle w:val="TableParagraph"/>
              <w:spacing w:before="9"/>
              <w:rPr>
                <w:sz w:val="31"/>
              </w:rPr>
            </w:pPr>
          </w:p>
          <w:p w14:paraId="4961B166" w14:textId="77777777" w:rsidR="0046798B" w:rsidRDefault="00903B5C">
            <w:pPr>
              <w:pStyle w:val="TableParagraph"/>
              <w:ind w:left="114" w:right="707"/>
              <w:rPr>
                <w:sz w:val="20"/>
              </w:rPr>
            </w:pPr>
            <w:r>
              <w:rPr>
                <w:sz w:val="20"/>
              </w:rPr>
              <w:t>Land-use freedom</w:t>
            </w:r>
          </w:p>
        </w:tc>
        <w:tc>
          <w:tcPr>
            <w:tcW w:w="1280" w:type="dxa"/>
          </w:tcPr>
          <w:p w14:paraId="43DF7B35" w14:textId="77777777" w:rsidR="0046798B" w:rsidRDefault="0046798B">
            <w:pPr>
              <w:pStyle w:val="TableParagraph"/>
            </w:pPr>
          </w:p>
          <w:p w14:paraId="6F868255" w14:textId="77777777" w:rsidR="0046798B" w:rsidRDefault="0046798B">
            <w:pPr>
              <w:pStyle w:val="TableParagraph"/>
            </w:pPr>
          </w:p>
          <w:p w14:paraId="1642EE2B" w14:textId="77777777" w:rsidR="0046798B" w:rsidRDefault="0046798B">
            <w:pPr>
              <w:pStyle w:val="TableParagraph"/>
            </w:pPr>
          </w:p>
          <w:p w14:paraId="20B7A1B1" w14:textId="77777777" w:rsidR="0046798B" w:rsidRDefault="0046798B">
            <w:pPr>
              <w:pStyle w:val="TableParagraph"/>
            </w:pPr>
          </w:p>
          <w:p w14:paraId="3FC2D460" w14:textId="77777777" w:rsidR="0046798B" w:rsidRDefault="0046798B">
            <w:pPr>
              <w:pStyle w:val="TableParagraph"/>
            </w:pPr>
          </w:p>
          <w:p w14:paraId="305A2EE2" w14:textId="77777777" w:rsidR="0046798B" w:rsidRDefault="0046798B">
            <w:pPr>
              <w:pStyle w:val="TableParagraph"/>
            </w:pPr>
          </w:p>
          <w:p w14:paraId="0EC55CEF" w14:textId="77777777" w:rsidR="0046798B" w:rsidRDefault="0046798B">
            <w:pPr>
              <w:pStyle w:val="TableParagraph"/>
            </w:pPr>
          </w:p>
          <w:p w14:paraId="448B0594" w14:textId="77777777" w:rsidR="0046798B" w:rsidRDefault="0046798B">
            <w:pPr>
              <w:pStyle w:val="TableParagraph"/>
              <w:spacing w:before="9"/>
              <w:rPr>
                <w:sz w:val="19"/>
              </w:rPr>
            </w:pPr>
          </w:p>
          <w:p w14:paraId="2461E6EB" w14:textId="77777777" w:rsidR="0046798B" w:rsidRDefault="00903B5C">
            <w:pPr>
              <w:pStyle w:val="TableParagraph"/>
              <w:ind w:left="114"/>
              <w:rPr>
                <w:sz w:val="20"/>
              </w:rPr>
            </w:pPr>
            <w:r>
              <w:rPr>
                <w:sz w:val="20"/>
              </w:rPr>
              <w:t>2001–2011</w:t>
            </w:r>
          </w:p>
        </w:tc>
        <w:tc>
          <w:tcPr>
            <w:tcW w:w="3421" w:type="dxa"/>
          </w:tcPr>
          <w:p w14:paraId="5AE48B47" w14:textId="77777777" w:rsidR="0046798B" w:rsidRDefault="00903B5C">
            <w:pPr>
              <w:pStyle w:val="TableParagraph"/>
              <w:spacing w:before="43"/>
              <w:ind w:left="114" w:right="106"/>
              <w:rPr>
                <w:sz w:val="20"/>
              </w:rPr>
            </w:pPr>
            <w:r>
              <w:rPr>
                <w:sz w:val="20"/>
              </w:rPr>
              <w:t xml:space="preserve">The property rights category includes eminent domain reform and land-use regulations. Almost all its weight comes from two variables: local rent control laws and an index of residential land-use regulations. The remainder takes into account whether compensation or an economic assessment </w:t>
            </w:r>
            <w:r>
              <w:rPr>
                <w:spacing w:val="-3"/>
                <w:sz w:val="20"/>
              </w:rPr>
              <w:t xml:space="preserve">is </w:t>
            </w:r>
            <w:r>
              <w:rPr>
                <w:sz w:val="20"/>
              </w:rPr>
              <w:t xml:space="preserve">required before a regulatory taking, an index of eminent domain reform, and whether free speech is mandated on private </w:t>
            </w:r>
            <w:r>
              <w:rPr>
                <w:spacing w:val="-3"/>
                <w:sz w:val="20"/>
              </w:rPr>
              <w:t xml:space="preserve">property. </w:t>
            </w:r>
            <w:r>
              <w:rPr>
                <w:sz w:val="20"/>
              </w:rPr>
              <w:t>The category contains the following variables: Local rent control, regulatory taking restrictions, mandated free speech on private property, Wharton residential land use, and eminent domain</w:t>
            </w:r>
            <w:r>
              <w:rPr>
                <w:spacing w:val="-1"/>
                <w:sz w:val="20"/>
              </w:rPr>
              <w:t xml:space="preserve"> </w:t>
            </w:r>
            <w:r>
              <w:rPr>
                <w:sz w:val="20"/>
              </w:rPr>
              <w:t>index.</w:t>
            </w:r>
          </w:p>
        </w:tc>
        <w:tc>
          <w:tcPr>
            <w:tcW w:w="6477" w:type="dxa"/>
          </w:tcPr>
          <w:p w14:paraId="0CC00EB1" w14:textId="77777777" w:rsidR="0046798B" w:rsidRDefault="0046798B">
            <w:pPr>
              <w:pStyle w:val="TableParagraph"/>
            </w:pPr>
          </w:p>
          <w:p w14:paraId="3F00655B" w14:textId="77777777" w:rsidR="0046798B" w:rsidRDefault="0046798B">
            <w:pPr>
              <w:pStyle w:val="TableParagraph"/>
            </w:pPr>
          </w:p>
          <w:p w14:paraId="0D3D31B9" w14:textId="77777777" w:rsidR="0046798B" w:rsidRDefault="0046798B">
            <w:pPr>
              <w:pStyle w:val="TableParagraph"/>
            </w:pPr>
          </w:p>
          <w:p w14:paraId="7FA93BA1" w14:textId="77777777" w:rsidR="0046798B" w:rsidRDefault="0046798B">
            <w:pPr>
              <w:pStyle w:val="TableParagraph"/>
            </w:pPr>
          </w:p>
          <w:p w14:paraId="1A617CE3" w14:textId="77777777" w:rsidR="0046798B" w:rsidRDefault="0046798B">
            <w:pPr>
              <w:pStyle w:val="TableParagraph"/>
            </w:pPr>
          </w:p>
          <w:p w14:paraId="2900CB6F" w14:textId="77777777" w:rsidR="0046798B" w:rsidRDefault="0046798B">
            <w:pPr>
              <w:pStyle w:val="TableParagraph"/>
            </w:pPr>
          </w:p>
          <w:p w14:paraId="1E89394B" w14:textId="77777777" w:rsidR="0046798B" w:rsidRDefault="0046798B">
            <w:pPr>
              <w:pStyle w:val="TableParagraph"/>
              <w:spacing w:before="9"/>
              <w:rPr>
                <w:sz w:val="31"/>
              </w:rPr>
            </w:pPr>
          </w:p>
          <w:p w14:paraId="1167AF2A" w14:textId="77777777" w:rsidR="0046798B" w:rsidRDefault="00903B5C">
            <w:pPr>
              <w:pStyle w:val="TableParagraph"/>
              <w:ind w:left="114"/>
              <w:rPr>
                <w:sz w:val="20"/>
              </w:rPr>
            </w:pPr>
            <w:r>
              <w:rPr>
                <w:sz w:val="20"/>
              </w:rPr>
              <w:t xml:space="preserve">Mercatus Center. 2016. “Freedom in the 50 States.” Arlington, VA: George Mason University. </w:t>
            </w:r>
            <w:hyperlink r:id="rId553">
              <w:r>
                <w:rPr>
                  <w:color w:val="0462C1"/>
                  <w:sz w:val="20"/>
                  <w:u w:val="single" w:color="0462C1"/>
                </w:rPr>
                <w:t>http://freedominthe50states.org/about</w:t>
              </w:r>
              <w:r>
                <w:rPr>
                  <w:sz w:val="20"/>
                </w:rPr>
                <w:t>.</w:t>
              </w:r>
            </w:hyperlink>
          </w:p>
        </w:tc>
      </w:tr>
      <w:tr w:rsidR="0046798B" w14:paraId="418EF64B" w14:textId="77777777">
        <w:trPr>
          <w:trHeight w:val="2385"/>
        </w:trPr>
        <w:tc>
          <w:tcPr>
            <w:tcW w:w="1711" w:type="dxa"/>
          </w:tcPr>
          <w:p w14:paraId="0E3E5E5B" w14:textId="77777777" w:rsidR="0046798B" w:rsidRDefault="0046798B">
            <w:pPr>
              <w:pStyle w:val="TableParagraph"/>
            </w:pPr>
          </w:p>
          <w:p w14:paraId="09B679C4" w14:textId="77777777" w:rsidR="0046798B" w:rsidRDefault="0046798B">
            <w:pPr>
              <w:pStyle w:val="TableParagraph"/>
            </w:pPr>
          </w:p>
          <w:p w14:paraId="386A0A3A" w14:textId="77777777" w:rsidR="0046798B" w:rsidRDefault="0046798B">
            <w:pPr>
              <w:pStyle w:val="TableParagraph"/>
            </w:pPr>
          </w:p>
          <w:p w14:paraId="57172B7C" w14:textId="77777777" w:rsidR="0046798B" w:rsidRDefault="0046798B">
            <w:pPr>
              <w:pStyle w:val="TableParagraph"/>
              <w:spacing w:before="9"/>
              <w:rPr>
                <w:sz w:val="27"/>
              </w:rPr>
            </w:pPr>
          </w:p>
          <w:p w14:paraId="2EEC1AC6" w14:textId="77777777" w:rsidR="0046798B" w:rsidRDefault="00903B5C">
            <w:pPr>
              <w:pStyle w:val="TableParagraph"/>
              <w:ind w:left="115"/>
              <w:rPr>
                <w:b/>
                <w:sz w:val="20"/>
              </w:rPr>
            </w:pPr>
            <w:r>
              <w:rPr>
                <w:b/>
                <w:sz w:val="20"/>
              </w:rPr>
              <w:t>malafree</w:t>
            </w:r>
          </w:p>
        </w:tc>
        <w:tc>
          <w:tcPr>
            <w:tcW w:w="1596" w:type="dxa"/>
          </w:tcPr>
          <w:p w14:paraId="32CBF8E5" w14:textId="77777777" w:rsidR="0046798B" w:rsidRDefault="0046798B">
            <w:pPr>
              <w:pStyle w:val="TableParagraph"/>
            </w:pPr>
          </w:p>
          <w:p w14:paraId="5618304C" w14:textId="77777777" w:rsidR="0046798B" w:rsidRDefault="0046798B">
            <w:pPr>
              <w:pStyle w:val="TableParagraph"/>
            </w:pPr>
          </w:p>
          <w:p w14:paraId="7901BBE8" w14:textId="77777777" w:rsidR="0046798B" w:rsidRDefault="0046798B">
            <w:pPr>
              <w:pStyle w:val="TableParagraph"/>
              <w:spacing w:before="9"/>
              <w:rPr>
                <w:sz w:val="29"/>
              </w:rPr>
            </w:pPr>
          </w:p>
          <w:p w14:paraId="5292AD7D" w14:textId="77777777" w:rsidR="0046798B" w:rsidRDefault="00903B5C">
            <w:pPr>
              <w:pStyle w:val="TableParagraph"/>
              <w:ind w:left="114" w:right="109"/>
              <w:rPr>
                <w:sz w:val="20"/>
              </w:rPr>
            </w:pPr>
            <w:r>
              <w:rPr>
                <w:sz w:val="20"/>
              </w:rPr>
              <w:t>Mala prohibita and civil liberties</w:t>
            </w:r>
            <w:r>
              <w:rPr>
                <w:spacing w:val="3"/>
                <w:sz w:val="20"/>
              </w:rPr>
              <w:t xml:space="preserve"> </w:t>
            </w:r>
            <w:r>
              <w:rPr>
                <w:spacing w:val="-3"/>
                <w:sz w:val="20"/>
              </w:rPr>
              <w:t>freedom</w:t>
            </w:r>
          </w:p>
        </w:tc>
        <w:tc>
          <w:tcPr>
            <w:tcW w:w="1280" w:type="dxa"/>
          </w:tcPr>
          <w:p w14:paraId="60167823" w14:textId="77777777" w:rsidR="0046798B" w:rsidRDefault="0046798B">
            <w:pPr>
              <w:pStyle w:val="TableParagraph"/>
            </w:pPr>
          </w:p>
          <w:p w14:paraId="590BCDDA" w14:textId="77777777" w:rsidR="0046798B" w:rsidRDefault="0046798B">
            <w:pPr>
              <w:pStyle w:val="TableParagraph"/>
            </w:pPr>
          </w:p>
          <w:p w14:paraId="34E4F6B1" w14:textId="77777777" w:rsidR="0046798B" w:rsidRDefault="0046798B">
            <w:pPr>
              <w:pStyle w:val="TableParagraph"/>
            </w:pPr>
          </w:p>
          <w:p w14:paraId="4ED8BD9D" w14:textId="77777777" w:rsidR="0046798B" w:rsidRDefault="0046798B">
            <w:pPr>
              <w:pStyle w:val="TableParagraph"/>
              <w:spacing w:before="9"/>
              <w:rPr>
                <w:sz w:val="27"/>
              </w:rPr>
            </w:pPr>
          </w:p>
          <w:p w14:paraId="6BEF1DA7" w14:textId="77777777" w:rsidR="0046798B" w:rsidRDefault="00903B5C">
            <w:pPr>
              <w:pStyle w:val="TableParagraph"/>
              <w:ind w:left="114"/>
              <w:rPr>
                <w:sz w:val="20"/>
              </w:rPr>
            </w:pPr>
            <w:r>
              <w:rPr>
                <w:sz w:val="20"/>
              </w:rPr>
              <w:t>2001–2011</w:t>
            </w:r>
          </w:p>
        </w:tc>
        <w:tc>
          <w:tcPr>
            <w:tcW w:w="3421" w:type="dxa"/>
          </w:tcPr>
          <w:p w14:paraId="4F5185E7" w14:textId="77777777" w:rsidR="0046798B" w:rsidRDefault="00903B5C">
            <w:pPr>
              <w:pStyle w:val="TableParagraph"/>
              <w:spacing w:before="43"/>
              <w:ind w:left="114" w:right="121"/>
              <w:rPr>
                <w:sz w:val="20"/>
              </w:rPr>
            </w:pPr>
            <w:r>
              <w:rPr>
                <w:sz w:val="20"/>
              </w:rPr>
              <w:t xml:space="preserve">The civil liberties category is a grab bag of mostly unrelated policies, including raw milk laws, fireworks laws, prostitution laws, physician- assisted suicide laws, religious </w:t>
            </w:r>
            <w:r>
              <w:rPr>
                <w:spacing w:val="-3"/>
                <w:sz w:val="20"/>
              </w:rPr>
              <w:t xml:space="preserve">freedom </w:t>
            </w:r>
            <w:r>
              <w:rPr>
                <w:sz w:val="20"/>
              </w:rPr>
              <w:t>restoration acts, rules on taking DNA samples from criminal suspects, trans- fat bans, and laws that can be used to prosecute people who audiorecord public officials in the performance</w:t>
            </w:r>
            <w:r>
              <w:rPr>
                <w:spacing w:val="-4"/>
                <w:sz w:val="20"/>
              </w:rPr>
              <w:t xml:space="preserve"> </w:t>
            </w:r>
            <w:r>
              <w:rPr>
                <w:sz w:val="20"/>
              </w:rPr>
              <w:t>of</w:t>
            </w:r>
          </w:p>
        </w:tc>
        <w:tc>
          <w:tcPr>
            <w:tcW w:w="6477" w:type="dxa"/>
          </w:tcPr>
          <w:p w14:paraId="058AE10A" w14:textId="77777777" w:rsidR="0046798B" w:rsidRDefault="0046798B">
            <w:pPr>
              <w:pStyle w:val="TableParagraph"/>
            </w:pPr>
          </w:p>
          <w:p w14:paraId="3BE7E23F" w14:textId="77777777" w:rsidR="0046798B" w:rsidRDefault="0046798B">
            <w:pPr>
              <w:pStyle w:val="TableParagraph"/>
            </w:pPr>
          </w:p>
          <w:p w14:paraId="49DF6BC5" w14:textId="77777777" w:rsidR="0046798B" w:rsidRDefault="0046798B">
            <w:pPr>
              <w:pStyle w:val="TableParagraph"/>
            </w:pPr>
          </w:p>
          <w:p w14:paraId="1B363917" w14:textId="77777777" w:rsidR="0046798B" w:rsidRDefault="0046798B">
            <w:pPr>
              <w:pStyle w:val="TableParagraph"/>
              <w:spacing w:before="9"/>
              <w:rPr>
                <w:sz w:val="17"/>
              </w:rPr>
            </w:pPr>
          </w:p>
          <w:p w14:paraId="0A38D6A4" w14:textId="77777777" w:rsidR="0046798B" w:rsidRDefault="00903B5C">
            <w:pPr>
              <w:pStyle w:val="TableParagraph"/>
              <w:ind w:left="114"/>
              <w:rPr>
                <w:sz w:val="20"/>
              </w:rPr>
            </w:pPr>
            <w:r>
              <w:rPr>
                <w:sz w:val="20"/>
              </w:rPr>
              <w:t xml:space="preserve">Mercatus Center. 2016. “Freedom in the 50 States.” Arlington, VA: George Mason University. </w:t>
            </w:r>
            <w:hyperlink r:id="rId554">
              <w:r>
                <w:rPr>
                  <w:color w:val="0462C1"/>
                  <w:sz w:val="20"/>
                  <w:u w:val="single" w:color="0462C1"/>
                </w:rPr>
                <w:t>http://freedominthe50states.org/about</w:t>
              </w:r>
              <w:r>
                <w:rPr>
                  <w:sz w:val="20"/>
                </w:rPr>
                <w:t>.</w:t>
              </w:r>
            </w:hyperlink>
          </w:p>
        </w:tc>
      </w:tr>
    </w:tbl>
    <w:p w14:paraId="248B753D" w14:textId="77777777" w:rsidR="0046798B" w:rsidRDefault="0046798B">
      <w:pPr>
        <w:rPr>
          <w:sz w:val="20"/>
        </w:rPr>
        <w:sectPr w:rsidR="0046798B">
          <w:pgSz w:w="15840" w:h="12240" w:orient="landscape"/>
          <w:pgMar w:top="1220" w:right="300" w:bottom="980" w:left="820" w:header="730" w:footer="787" w:gutter="0"/>
          <w:cols w:space="720"/>
        </w:sectPr>
      </w:pPr>
    </w:p>
    <w:p w14:paraId="151D5E69"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0"/>
        <w:gridCol w:w="3421"/>
        <w:gridCol w:w="6477"/>
      </w:tblGrid>
      <w:tr w:rsidR="0046798B" w14:paraId="09A1EC0F" w14:textId="77777777">
        <w:trPr>
          <w:trHeight w:val="1926"/>
        </w:trPr>
        <w:tc>
          <w:tcPr>
            <w:tcW w:w="1711" w:type="dxa"/>
          </w:tcPr>
          <w:p w14:paraId="22BB8CEE" w14:textId="77777777" w:rsidR="0046798B" w:rsidRDefault="0046798B">
            <w:pPr>
              <w:pStyle w:val="TableParagraph"/>
              <w:rPr>
                <w:sz w:val="20"/>
              </w:rPr>
            </w:pPr>
          </w:p>
        </w:tc>
        <w:tc>
          <w:tcPr>
            <w:tcW w:w="1596" w:type="dxa"/>
          </w:tcPr>
          <w:p w14:paraId="101A5570" w14:textId="77777777" w:rsidR="0046798B" w:rsidRDefault="0046798B">
            <w:pPr>
              <w:pStyle w:val="TableParagraph"/>
              <w:rPr>
                <w:sz w:val="20"/>
              </w:rPr>
            </w:pPr>
          </w:p>
        </w:tc>
        <w:tc>
          <w:tcPr>
            <w:tcW w:w="1280" w:type="dxa"/>
          </w:tcPr>
          <w:p w14:paraId="5D4C6E65" w14:textId="77777777" w:rsidR="0046798B" w:rsidRDefault="0046798B">
            <w:pPr>
              <w:pStyle w:val="TableParagraph"/>
              <w:rPr>
                <w:sz w:val="20"/>
              </w:rPr>
            </w:pPr>
          </w:p>
        </w:tc>
        <w:tc>
          <w:tcPr>
            <w:tcW w:w="3421" w:type="dxa"/>
          </w:tcPr>
          <w:p w14:paraId="5834082F" w14:textId="77777777" w:rsidR="0046798B" w:rsidRDefault="00903B5C">
            <w:pPr>
              <w:pStyle w:val="TableParagraph"/>
              <w:spacing w:before="43"/>
              <w:ind w:left="114" w:right="158"/>
              <w:rPr>
                <w:sz w:val="20"/>
              </w:rPr>
            </w:pPr>
            <w:r>
              <w:rPr>
                <w:sz w:val="20"/>
              </w:rPr>
              <w:t>their duties. The category contains the following variables: DNA taken from arrestees, fireworks laws, physician- assisted suicide legal, prostitution legal, raw milk sales legal, two-party consent for recording, Religious Freedom Restoration Act, and trans-fat bans.</w:t>
            </w:r>
          </w:p>
        </w:tc>
        <w:tc>
          <w:tcPr>
            <w:tcW w:w="6477" w:type="dxa"/>
          </w:tcPr>
          <w:p w14:paraId="5F2AD7B4" w14:textId="77777777" w:rsidR="0046798B" w:rsidRDefault="0046798B">
            <w:pPr>
              <w:pStyle w:val="TableParagraph"/>
              <w:rPr>
                <w:sz w:val="20"/>
              </w:rPr>
            </w:pPr>
          </w:p>
        </w:tc>
      </w:tr>
      <w:tr w:rsidR="0046798B" w14:paraId="5AE528C7" w14:textId="77777777">
        <w:trPr>
          <w:trHeight w:val="3536"/>
        </w:trPr>
        <w:tc>
          <w:tcPr>
            <w:tcW w:w="1711" w:type="dxa"/>
          </w:tcPr>
          <w:p w14:paraId="23E9C2DC" w14:textId="77777777" w:rsidR="0046798B" w:rsidRDefault="0046798B">
            <w:pPr>
              <w:pStyle w:val="TableParagraph"/>
            </w:pPr>
          </w:p>
          <w:p w14:paraId="59E5295E" w14:textId="77777777" w:rsidR="0046798B" w:rsidRDefault="0046798B">
            <w:pPr>
              <w:pStyle w:val="TableParagraph"/>
            </w:pPr>
          </w:p>
          <w:p w14:paraId="4770E4DF" w14:textId="77777777" w:rsidR="0046798B" w:rsidRDefault="0046798B">
            <w:pPr>
              <w:pStyle w:val="TableParagraph"/>
            </w:pPr>
          </w:p>
          <w:p w14:paraId="5109242A" w14:textId="77777777" w:rsidR="0046798B" w:rsidRDefault="0046798B">
            <w:pPr>
              <w:pStyle w:val="TableParagraph"/>
            </w:pPr>
          </w:p>
          <w:p w14:paraId="66BD4156" w14:textId="77777777" w:rsidR="0046798B" w:rsidRDefault="0046798B">
            <w:pPr>
              <w:pStyle w:val="TableParagraph"/>
            </w:pPr>
          </w:p>
          <w:p w14:paraId="05807788" w14:textId="77777777" w:rsidR="0046798B" w:rsidRDefault="0046798B">
            <w:pPr>
              <w:pStyle w:val="TableParagraph"/>
            </w:pPr>
          </w:p>
          <w:p w14:paraId="2C76567A" w14:textId="77777777" w:rsidR="0046798B" w:rsidRDefault="00903B5C">
            <w:pPr>
              <w:pStyle w:val="TableParagraph"/>
              <w:spacing w:before="136"/>
              <w:ind w:left="115"/>
              <w:rPr>
                <w:b/>
                <w:sz w:val="20"/>
              </w:rPr>
            </w:pPr>
            <w:r>
              <w:rPr>
                <w:b/>
                <w:sz w:val="20"/>
              </w:rPr>
              <w:t>marrfree</w:t>
            </w:r>
          </w:p>
        </w:tc>
        <w:tc>
          <w:tcPr>
            <w:tcW w:w="1596" w:type="dxa"/>
          </w:tcPr>
          <w:p w14:paraId="52E05764" w14:textId="77777777" w:rsidR="0046798B" w:rsidRDefault="0046798B">
            <w:pPr>
              <w:pStyle w:val="TableParagraph"/>
            </w:pPr>
          </w:p>
          <w:p w14:paraId="038585B4" w14:textId="77777777" w:rsidR="0046798B" w:rsidRDefault="0046798B">
            <w:pPr>
              <w:pStyle w:val="TableParagraph"/>
            </w:pPr>
          </w:p>
          <w:p w14:paraId="3466ECDC" w14:textId="77777777" w:rsidR="0046798B" w:rsidRDefault="0046798B">
            <w:pPr>
              <w:pStyle w:val="TableParagraph"/>
            </w:pPr>
          </w:p>
          <w:p w14:paraId="6B997CAD" w14:textId="77777777" w:rsidR="0046798B" w:rsidRDefault="0046798B">
            <w:pPr>
              <w:pStyle w:val="TableParagraph"/>
            </w:pPr>
          </w:p>
          <w:p w14:paraId="7A50E0FF" w14:textId="77777777" w:rsidR="0046798B" w:rsidRDefault="0046798B">
            <w:pPr>
              <w:pStyle w:val="TableParagraph"/>
            </w:pPr>
          </w:p>
          <w:p w14:paraId="0BD48310" w14:textId="77777777" w:rsidR="0046798B" w:rsidRDefault="0046798B">
            <w:pPr>
              <w:pStyle w:val="TableParagraph"/>
              <w:spacing w:before="9"/>
              <w:rPr>
                <w:sz w:val="23"/>
              </w:rPr>
            </w:pPr>
          </w:p>
          <w:p w14:paraId="72B4A9FE" w14:textId="77777777" w:rsidR="0046798B" w:rsidRDefault="00903B5C">
            <w:pPr>
              <w:pStyle w:val="TableParagraph"/>
              <w:ind w:left="114" w:right="719"/>
              <w:rPr>
                <w:sz w:val="20"/>
              </w:rPr>
            </w:pPr>
            <w:r>
              <w:rPr>
                <w:sz w:val="20"/>
              </w:rPr>
              <w:t>Marriage freedom</w:t>
            </w:r>
          </w:p>
        </w:tc>
        <w:tc>
          <w:tcPr>
            <w:tcW w:w="1280" w:type="dxa"/>
          </w:tcPr>
          <w:p w14:paraId="17EA636C" w14:textId="77777777" w:rsidR="0046798B" w:rsidRDefault="0046798B">
            <w:pPr>
              <w:pStyle w:val="TableParagraph"/>
            </w:pPr>
          </w:p>
          <w:p w14:paraId="15F4DA50" w14:textId="77777777" w:rsidR="0046798B" w:rsidRDefault="0046798B">
            <w:pPr>
              <w:pStyle w:val="TableParagraph"/>
            </w:pPr>
          </w:p>
          <w:p w14:paraId="6D67EBC1" w14:textId="77777777" w:rsidR="0046798B" w:rsidRDefault="0046798B">
            <w:pPr>
              <w:pStyle w:val="TableParagraph"/>
            </w:pPr>
          </w:p>
          <w:p w14:paraId="46CC29E6" w14:textId="77777777" w:rsidR="0046798B" w:rsidRDefault="0046798B">
            <w:pPr>
              <w:pStyle w:val="TableParagraph"/>
            </w:pPr>
          </w:p>
          <w:p w14:paraId="21702DDB" w14:textId="77777777" w:rsidR="0046798B" w:rsidRDefault="0046798B">
            <w:pPr>
              <w:pStyle w:val="TableParagraph"/>
            </w:pPr>
          </w:p>
          <w:p w14:paraId="679BE11B" w14:textId="77777777" w:rsidR="0046798B" w:rsidRDefault="0046798B">
            <w:pPr>
              <w:pStyle w:val="TableParagraph"/>
            </w:pPr>
          </w:p>
          <w:p w14:paraId="6217ABA3" w14:textId="77777777" w:rsidR="0046798B" w:rsidRDefault="00903B5C">
            <w:pPr>
              <w:pStyle w:val="TableParagraph"/>
              <w:spacing w:before="136"/>
              <w:ind w:left="114"/>
              <w:rPr>
                <w:sz w:val="20"/>
              </w:rPr>
            </w:pPr>
            <w:r>
              <w:rPr>
                <w:sz w:val="20"/>
              </w:rPr>
              <w:t>2001–2011</w:t>
            </w:r>
          </w:p>
        </w:tc>
        <w:tc>
          <w:tcPr>
            <w:tcW w:w="3421" w:type="dxa"/>
          </w:tcPr>
          <w:p w14:paraId="41207C75" w14:textId="77777777" w:rsidR="0046798B" w:rsidRDefault="00903B5C">
            <w:pPr>
              <w:pStyle w:val="TableParagraph"/>
              <w:spacing w:before="43"/>
              <w:ind w:left="114" w:right="116"/>
              <w:rPr>
                <w:sz w:val="20"/>
              </w:rPr>
            </w:pPr>
            <w:r>
              <w:rPr>
                <w:sz w:val="20"/>
              </w:rPr>
              <w:t xml:space="preserve">Almost all the weight of the marriage freedom category is tied to the availability of same-sex partnerships, both civil unions and marriage. The remainder is tied to waiting periods </w:t>
            </w:r>
            <w:r>
              <w:rPr>
                <w:spacing w:val="-4"/>
                <w:sz w:val="20"/>
              </w:rPr>
              <w:t xml:space="preserve">and </w:t>
            </w:r>
            <w:r>
              <w:rPr>
                <w:sz w:val="20"/>
              </w:rPr>
              <w:t>blood test requirements. States that prohibit same-sex couples from entering private contracts that provide the benefits of marriage (whether termed “marriages” or “civil unions”) take away an important contract right from these couples. The category contains the following variables: Blood test requirement, same-sex partnerships, and total waiting</w:t>
            </w:r>
            <w:r>
              <w:rPr>
                <w:spacing w:val="-4"/>
                <w:sz w:val="20"/>
              </w:rPr>
              <w:t xml:space="preserve"> </w:t>
            </w:r>
            <w:r>
              <w:rPr>
                <w:sz w:val="20"/>
              </w:rPr>
              <w:t>period.</w:t>
            </w:r>
          </w:p>
        </w:tc>
        <w:tc>
          <w:tcPr>
            <w:tcW w:w="6477" w:type="dxa"/>
          </w:tcPr>
          <w:p w14:paraId="16537218" w14:textId="77777777" w:rsidR="0046798B" w:rsidRDefault="0046798B">
            <w:pPr>
              <w:pStyle w:val="TableParagraph"/>
            </w:pPr>
          </w:p>
          <w:p w14:paraId="1A4CB12D" w14:textId="77777777" w:rsidR="0046798B" w:rsidRDefault="0046798B">
            <w:pPr>
              <w:pStyle w:val="TableParagraph"/>
            </w:pPr>
          </w:p>
          <w:p w14:paraId="0B35D681" w14:textId="77777777" w:rsidR="0046798B" w:rsidRDefault="0046798B">
            <w:pPr>
              <w:pStyle w:val="TableParagraph"/>
            </w:pPr>
          </w:p>
          <w:p w14:paraId="2B72CD75" w14:textId="77777777" w:rsidR="0046798B" w:rsidRDefault="0046798B">
            <w:pPr>
              <w:pStyle w:val="TableParagraph"/>
            </w:pPr>
          </w:p>
          <w:p w14:paraId="6E40DCFD" w14:textId="77777777" w:rsidR="0046798B" w:rsidRDefault="0046798B">
            <w:pPr>
              <w:pStyle w:val="TableParagraph"/>
            </w:pPr>
          </w:p>
          <w:p w14:paraId="496ACDCC" w14:textId="77777777" w:rsidR="0046798B" w:rsidRDefault="0046798B">
            <w:pPr>
              <w:pStyle w:val="TableParagraph"/>
              <w:spacing w:before="9"/>
              <w:rPr>
                <w:sz w:val="23"/>
              </w:rPr>
            </w:pPr>
          </w:p>
          <w:p w14:paraId="2165D690" w14:textId="77777777" w:rsidR="0046798B" w:rsidRDefault="00903B5C">
            <w:pPr>
              <w:pStyle w:val="TableParagraph"/>
              <w:ind w:left="114"/>
              <w:rPr>
                <w:sz w:val="20"/>
              </w:rPr>
            </w:pPr>
            <w:r>
              <w:rPr>
                <w:sz w:val="20"/>
              </w:rPr>
              <w:t xml:space="preserve">Mercatus Center. 2016. “Freedom in the 50 States.” Arlington, VA: George Mason University. </w:t>
            </w:r>
            <w:hyperlink r:id="rId555">
              <w:r>
                <w:rPr>
                  <w:color w:val="0462C1"/>
                  <w:sz w:val="20"/>
                  <w:u w:val="single" w:color="0462C1"/>
                </w:rPr>
                <w:t>http://freedominthe50states.org/about</w:t>
              </w:r>
              <w:r>
                <w:rPr>
                  <w:sz w:val="20"/>
                </w:rPr>
                <w:t>.</w:t>
              </w:r>
            </w:hyperlink>
          </w:p>
        </w:tc>
      </w:tr>
      <w:tr w:rsidR="0046798B" w14:paraId="470A27E9" w14:textId="77777777">
        <w:trPr>
          <w:trHeight w:val="3766"/>
        </w:trPr>
        <w:tc>
          <w:tcPr>
            <w:tcW w:w="1711" w:type="dxa"/>
          </w:tcPr>
          <w:p w14:paraId="245A4BA9" w14:textId="77777777" w:rsidR="0046798B" w:rsidRDefault="0046798B">
            <w:pPr>
              <w:pStyle w:val="TableParagraph"/>
            </w:pPr>
          </w:p>
          <w:p w14:paraId="3715656A" w14:textId="77777777" w:rsidR="0046798B" w:rsidRDefault="0046798B">
            <w:pPr>
              <w:pStyle w:val="TableParagraph"/>
            </w:pPr>
          </w:p>
          <w:p w14:paraId="4AE0773D" w14:textId="77777777" w:rsidR="0046798B" w:rsidRDefault="0046798B">
            <w:pPr>
              <w:pStyle w:val="TableParagraph"/>
            </w:pPr>
          </w:p>
          <w:p w14:paraId="204B2FEF" w14:textId="77777777" w:rsidR="0046798B" w:rsidRDefault="0046798B">
            <w:pPr>
              <w:pStyle w:val="TableParagraph"/>
            </w:pPr>
          </w:p>
          <w:p w14:paraId="7F7AB651" w14:textId="77777777" w:rsidR="0046798B" w:rsidRDefault="0046798B">
            <w:pPr>
              <w:pStyle w:val="TableParagraph"/>
            </w:pPr>
          </w:p>
          <w:p w14:paraId="21B1411B" w14:textId="77777777" w:rsidR="0046798B" w:rsidRDefault="0046798B">
            <w:pPr>
              <w:pStyle w:val="TableParagraph"/>
            </w:pPr>
          </w:p>
          <w:p w14:paraId="281B7011" w14:textId="77777777" w:rsidR="0046798B" w:rsidRDefault="0046798B">
            <w:pPr>
              <w:pStyle w:val="TableParagraph"/>
              <w:spacing w:before="9"/>
              <w:rPr>
                <w:sz w:val="21"/>
              </w:rPr>
            </w:pPr>
          </w:p>
          <w:p w14:paraId="3FA70C0D" w14:textId="77777777" w:rsidR="0046798B" w:rsidRDefault="00903B5C">
            <w:pPr>
              <w:pStyle w:val="TableParagraph"/>
              <w:ind w:left="115"/>
              <w:rPr>
                <w:b/>
                <w:sz w:val="20"/>
              </w:rPr>
            </w:pPr>
            <w:r>
              <w:rPr>
                <w:b/>
                <w:sz w:val="20"/>
              </w:rPr>
              <w:t>miscregfree</w:t>
            </w:r>
          </w:p>
        </w:tc>
        <w:tc>
          <w:tcPr>
            <w:tcW w:w="1596" w:type="dxa"/>
          </w:tcPr>
          <w:p w14:paraId="06861A54" w14:textId="77777777" w:rsidR="0046798B" w:rsidRDefault="0046798B">
            <w:pPr>
              <w:pStyle w:val="TableParagraph"/>
            </w:pPr>
          </w:p>
          <w:p w14:paraId="61ACC68E" w14:textId="77777777" w:rsidR="0046798B" w:rsidRDefault="0046798B">
            <w:pPr>
              <w:pStyle w:val="TableParagraph"/>
            </w:pPr>
          </w:p>
          <w:p w14:paraId="3C4A1EB6" w14:textId="77777777" w:rsidR="0046798B" w:rsidRDefault="0046798B">
            <w:pPr>
              <w:pStyle w:val="TableParagraph"/>
            </w:pPr>
          </w:p>
          <w:p w14:paraId="0288FFE4" w14:textId="77777777" w:rsidR="0046798B" w:rsidRDefault="0046798B">
            <w:pPr>
              <w:pStyle w:val="TableParagraph"/>
            </w:pPr>
          </w:p>
          <w:p w14:paraId="5CCD8426" w14:textId="77777777" w:rsidR="0046798B" w:rsidRDefault="0046798B">
            <w:pPr>
              <w:pStyle w:val="TableParagraph"/>
            </w:pPr>
          </w:p>
          <w:p w14:paraId="53539A18" w14:textId="77777777" w:rsidR="0046798B" w:rsidRDefault="0046798B">
            <w:pPr>
              <w:pStyle w:val="TableParagraph"/>
              <w:spacing w:before="9"/>
              <w:rPr>
                <w:sz w:val="23"/>
              </w:rPr>
            </w:pPr>
          </w:p>
          <w:p w14:paraId="494B77F7" w14:textId="77777777" w:rsidR="0046798B" w:rsidRDefault="00903B5C">
            <w:pPr>
              <w:pStyle w:val="TableParagraph"/>
              <w:ind w:left="114" w:right="296"/>
              <w:rPr>
                <w:sz w:val="20"/>
              </w:rPr>
            </w:pPr>
            <w:r>
              <w:rPr>
                <w:sz w:val="20"/>
              </w:rPr>
              <w:t>Miscellaneous regulation freedom</w:t>
            </w:r>
          </w:p>
        </w:tc>
        <w:tc>
          <w:tcPr>
            <w:tcW w:w="1280" w:type="dxa"/>
          </w:tcPr>
          <w:p w14:paraId="6F461220" w14:textId="77777777" w:rsidR="0046798B" w:rsidRDefault="0046798B">
            <w:pPr>
              <w:pStyle w:val="TableParagraph"/>
            </w:pPr>
          </w:p>
          <w:p w14:paraId="6E3235D5" w14:textId="77777777" w:rsidR="0046798B" w:rsidRDefault="0046798B">
            <w:pPr>
              <w:pStyle w:val="TableParagraph"/>
            </w:pPr>
          </w:p>
          <w:p w14:paraId="17480EEA" w14:textId="77777777" w:rsidR="0046798B" w:rsidRDefault="0046798B">
            <w:pPr>
              <w:pStyle w:val="TableParagraph"/>
            </w:pPr>
          </w:p>
          <w:p w14:paraId="4270D517" w14:textId="77777777" w:rsidR="0046798B" w:rsidRDefault="0046798B">
            <w:pPr>
              <w:pStyle w:val="TableParagraph"/>
            </w:pPr>
          </w:p>
          <w:p w14:paraId="7DABA207" w14:textId="77777777" w:rsidR="0046798B" w:rsidRDefault="0046798B">
            <w:pPr>
              <w:pStyle w:val="TableParagraph"/>
            </w:pPr>
          </w:p>
          <w:p w14:paraId="3C73DC1B" w14:textId="77777777" w:rsidR="0046798B" w:rsidRDefault="0046798B">
            <w:pPr>
              <w:pStyle w:val="TableParagraph"/>
            </w:pPr>
          </w:p>
          <w:p w14:paraId="43CFD17F" w14:textId="77777777" w:rsidR="0046798B" w:rsidRDefault="0046798B">
            <w:pPr>
              <w:pStyle w:val="TableParagraph"/>
              <w:spacing w:before="9"/>
              <w:rPr>
                <w:sz w:val="21"/>
              </w:rPr>
            </w:pPr>
          </w:p>
          <w:p w14:paraId="16A4DF3D" w14:textId="77777777" w:rsidR="0046798B" w:rsidRDefault="00903B5C">
            <w:pPr>
              <w:pStyle w:val="TableParagraph"/>
              <w:ind w:left="114"/>
              <w:rPr>
                <w:sz w:val="20"/>
              </w:rPr>
            </w:pPr>
            <w:r>
              <w:rPr>
                <w:sz w:val="20"/>
              </w:rPr>
              <w:t>2001–2011</w:t>
            </w:r>
          </w:p>
        </w:tc>
        <w:tc>
          <w:tcPr>
            <w:tcW w:w="3421" w:type="dxa"/>
          </w:tcPr>
          <w:p w14:paraId="4E14E26E" w14:textId="77777777" w:rsidR="0046798B" w:rsidRDefault="00903B5C">
            <w:pPr>
              <w:pStyle w:val="TableParagraph"/>
              <w:spacing w:before="43"/>
              <w:ind w:left="114" w:right="100"/>
              <w:rPr>
                <w:sz w:val="20"/>
              </w:rPr>
            </w:pPr>
            <w:r>
              <w:rPr>
                <w:sz w:val="20"/>
              </w:rPr>
              <w:t>Miscellaneous regulations include certificate of need (CON) requirements for hospitals, state auto insurance rate filing requirements, state homeowners’ insurance rate filing requirements, membership in the Interstate Insurance Product Regulation Compact, and state rate classification prohibitions for some classes of insurance. CON regulations land their first-place slot based on the over $3 billion in extra costs they impose on hospitals, customers, and potential market entrants. The category contains the following variables: Certificate of need for hospitals, rate filing requirements: homeowners’</w:t>
            </w:r>
          </w:p>
        </w:tc>
        <w:tc>
          <w:tcPr>
            <w:tcW w:w="6477" w:type="dxa"/>
          </w:tcPr>
          <w:p w14:paraId="123F6371" w14:textId="77777777" w:rsidR="0046798B" w:rsidRDefault="0046798B">
            <w:pPr>
              <w:pStyle w:val="TableParagraph"/>
            </w:pPr>
          </w:p>
          <w:p w14:paraId="24D6927C" w14:textId="77777777" w:rsidR="0046798B" w:rsidRDefault="0046798B">
            <w:pPr>
              <w:pStyle w:val="TableParagraph"/>
            </w:pPr>
          </w:p>
          <w:p w14:paraId="56BE6DDF" w14:textId="77777777" w:rsidR="0046798B" w:rsidRDefault="0046798B">
            <w:pPr>
              <w:pStyle w:val="TableParagraph"/>
            </w:pPr>
          </w:p>
          <w:p w14:paraId="6289E125" w14:textId="77777777" w:rsidR="0046798B" w:rsidRDefault="0046798B">
            <w:pPr>
              <w:pStyle w:val="TableParagraph"/>
            </w:pPr>
          </w:p>
          <w:p w14:paraId="5E8F402D" w14:textId="77777777" w:rsidR="0046798B" w:rsidRDefault="0046798B">
            <w:pPr>
              <w:pStyle w:val="TableParagraph"/>
            </w:pPr>
          </w:p>
          <w:p w14:paraId="389DE23A" w14:textId="77777777" w:rsidR="0046798B" w:rsidRDefault="0046798B">
            <w:pPr>
              <w:pStyle w:val="TableParagraph"/>
            </w:pPr>
          </w:p>
          <w:p w14:paraId="1BFCA9C8" w14:textId="77777777" w:rsidR="0046798B" w:rsidRDefault="00903B5C">
            <w:pPr>
              <w:pStyle w:val="TableParagraph"/>
              <w:spacing w:before="136"/>
              <w:ind w:left="114"/>
              <w:rPr>
                <w:sz w:val="20"/>
              </w:rPr>
            </w:pPr>
            <w:r>
              <w:rPr>
                <w:sz w:val="20"/>
              </w:rPr>
              <w:t xml:space="preserve">Mercatus Center. 2016. “Freedom in the 50 States.” Arlington, VA: George Mason University. </w:t>
            </w:r>
            <w:hyperlink r:id="rId556">
              <w:r>
                <w:rPr>
                  <w:color w:val="0462C1"/>
                  <w:sz w:val="20"/>
                  <w:u w:val="single" w:color="0462C1"/>
                </w:rPr>
                <w:t>http://freedominthe50states.org/about</w:t>
              </w:r>
              <w:r>
                <w:rPr>
                  <w:sz w:val="20"/>
                </w:rPr>
                <w:t>.</w:t>
              </w:r>
            </w:hyperlink>
          </w:p>
        </w:tc>
      </w:tr>
    </w:tbl>
    <w:p w14:paraId="6BA9EFB5" w14:textId="77777777" w:rsidR="0046798B" w:rsidRDefault="0046798B">
      <w:pPr>
        <w:rPr>
          <w:sz w:val="20"/>
        </w:rPr>
        <w:sectPr w:rsidR="0046798B">
          <w:pgSz w:w="15840" w:h="12240" w:orient="landscape"/>
          <w:pgMar w:top="1220" w:right="300" w:bottom="980" w:left="820" w:header="730" w:footer="787" w:gutter="0"/>
          <w:cols w:space="720"/>
        </w:sectPr>
      </w:pPr>
    </w:p>
    <w:p w14:paraId="715DD954"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0"/>
        <w:gridCol w:w="3421"/>
        <w:gridCol w:w="6477"/>
      </w:tblGrid>
      <w:tr w:rsidR="0046798B" w14:paraId="69FE379F" w14:textId="77777777">
        <w:trPr>
          <w:trHeight w:val="1005"/>
        </w:trPr>
        <w:tc>
          <w:tcPr>
            <w:tcW w:w="1711" w:type="dxa"/>
          </w:tcPr>
          <w:p w14:paraId="38675EFB" w14:textId="77777777" w:rsidR="0046798B" w:rsidRDefault="0046798B">
            <w:pPr>
              <w:pStyle w:val="TableParagraph"/>
              <w:rPr>
                <w:sz w:val="20"/>
              </w:rPr>
            </w:pPr>
          </w:p>
        </w:tc>
        <w:tc>
          <w:tcPr>
            <w:tcW w:w="1596" w:type="dxa"/>
          </w:tcPr>
          <w:p w14:paraId="70B39993" w14:textId="77777777" w:rsidR="0046798B" w:rsidRDefault="0046798B">
            <w:pPr>
              <w:pStyle w:val="TableParagraph"/>
              <w:rPr>
                <w:sz w:val="20"/>
              </w:rPr>
            </w:pPr>
          </w:p>
        </w:tc>
        <w:tc>
          <w:tcPr>
            <w:tcW w:w="1280" w:type="dxa"/>
          </w:tcPr>
          <w:p w14:paraId="351786CD" w14:textId="77777777" w:rsidR="0046798B" w:rsidRDefault="0046798B">
            <w:pPr>
              <w:pStyle w:val="TableParagraph"/>
              <w:rPr>
                <w:sz w:val="20"/>
              </w:rPr>
            </w:pPr>
          </w:p>
        </w:tc>
        <w:tc>
          <w:tcPr>
            <w:tcW w:w="3421" w:type="dxa"/>
          </w:tcPr>
          <w:p w14:paraId="629B3D9D" w14:textId="77777777" w:rsidR="0046798B" w:rsidRDefault="00903B5C">
            <w:pPr>
              <w:pStyle w:val="TableParagraph"/>
              <w:spacing w:before="43"/>
              <w:ind w:left="114" w:right="189"/>
              <w:rPr>
                <w:sz w:val="20"/>
              </w:rPr>
            </w:pPr>
            <w:r>
              <w:rPr>
                <w:sz w:val="20"/>
              </w:rPr>
              <w:t>insurance, interstate insurance product regulations compact, rate filing requirements: personal auto insurance, and rate classification prohibitions.</w:t>
            </w:r>
          </w:p>
        </w:tc>
        <w:tc>
          <w:tcPr>
            <w:tcW w:w="6477" w:type="dxa"/>
          </w:tcPr>
          <w:p w14:paraId="78979363" w14:textId="77777777" w:rsidR="0046798B" w:rsidRDefault="0046798B">
            <w:pPr>
              <w:pStyle w:val="TableParagraph"/>
              <w:rPr>
                <w:sz w:val="20"/>
              </w:rPr>
            </w:pPr>
          </w:p>
        </w:tc>
      </w:tr>
      <w:tr w:rsidR="0046798B" w14:paraId="0CC0B351" w14:textId="77777777">
        <w:trPr>
          <w:trHeight w:val="3306"/>
        </w:trPr>
        <w:tc>
          <w:tcPr>
            <w:tcW w:w="1711" w:type="dxa"/>
          </w:tcPr>
          <w:p w14:paraId="58A8B5F0" w14:textId="77777777" w:rsidR="0046798B" w:rsidRDefault="0046798B">
            <w:pPr>
              <w:pStyle w:val="TableParagraph"/>
            </w:pPr>
          </w:p>
          <w:p w14:paraId="5B589699" w14:textId="77777777" w:rsidR="0046798B" w:rsidRDefault="0046798B">
            <w:pPr>
              <w:pStyle w:val="TableParagraph"/>
            </w:pPr>
          </w:p>
          <w:p w14:paraId="70964053" w14:textId="77777777" w:rsidR="0046798B" w:rsidRDefault="0046798B">
            <w:pPr>
              <w:pStyle w:val="TableParagraph"/>
            </w:pPr>
          </w:p>
          <w:p w14:paraId="4F2E9AB3" w14:textId="77777777" w:rsidR="0046798B" w:rsidRDefault="0046798B">
            <w:pPr>
              <w:pStyle w:val="TableParagraph"/>
            </w:pPr>
          </w:p>
          <w:p w14:paraId="49F1AA41" w14:textId="77777777" w:rsidR="0046798B" w:rsidRDefault="0046798B">
            <w:pPr>
              <w:pStyle w:val="TableParagraph"/>
            </w:pPr>
          </w:p>
          <w:p w14:paraId="571D68A9" w14:textId="77777777" w:rsidR="0046798B" w:rsidRDefault="0046798B">
            <w:pPr>
              <w:pStyle w:val="TableParagraph"/>
              <w:spacing w:before="9"/>
              <w:rPr>
                <w:sz w:val="23"/>
              </w:rPr>
            </w:pPr>
          </w:p>
          <w:p w14:paraId="1E450E90" w14:textId="77777777" w:rsidR="0046798B" w:rsidRDefault="00903B5C">
            <w:pPr>
              <w:pStyle w:val="TableParagraph"/>
              <w:ind w:left="115"/>
              <w:rPr>
                <w:b/>
                <w:sz w:val="20"/>
              </w:rPr>
            </w:pPr>
            <w:r>
              <w:rPr>
                <w:b/>
                <w:sz w:val="20"/>
              </w:rPr>
              <w:t>mjfree</w:t>
            </w:r>
          </w:p>
        </w:tc>
        <w:tc>
          <w:tcPr>
            <w:tcW w:w="1596" w:type="dxa"/>
          </w:tcPr>
          <w:p w14:paraId="5A4C64C1" w14:textId="77777777" w:rsidR="0046798B" w:rsidRDefault="0046798B">
            <w:pPr>
              <w:pStyle w:val="TableParagraph"/>
            </w:pPr>
          </w:p>
          <w:p w14:paraId="3FC23407" w14:textId="77777777" w:rsidR="0046798B" w:rsidRDefault="0046798B">
            <w:pPr>
              <w:pStyle w:val="TableParagraph"/>
            </w:pPr>
          </w:p>
          <w:p w14:paraId="1852CA4F" w14:textId="77777777" w:rsidR="0046798B" w:rsidRDefault="0046798B">
            <w:pPr>
              <w:pStyle w:val="TableParagraph"/>
            </w:pPr>
          </w:p>
          <w:p w14:paraId="3B280367" w14:textId="77777777" w:rsidR="0046798B" w:rsidRDefault="0046798B">
            <w:pPr>
              <w:pStyle w:val="TableParagraph"/>
            </w:pPr>
          </w:p>
          <w:p w14:paraId="091763EF" w14:textId="77777777" w:rsidR="0046798B" w:rsidRDefault="0046798B">
            <w:pPr>
              <w:pStyle w:val="TableParagraph"/>
            </w:pPr>
          </w:p>
          <w:p w14:paraId="61616F4F" w14:textId="77777777" w:rsidR="0046798B" w:rsidRDefault="00903B5C">
            <w:pPr>
              <w:pStyle w:val="TableParagraph"/>
              <w:spacing w:before="159"/>
              <w:ind w:left="114" w:right="269"/>
              <w:rPr>
                <w:sz w:val="20"/>
              </w:rPr>
            </w:pPr>
            <w:r>
              <w:rPr>
                <w:sz w:val="20"/>
              </w:rPr>
              <w:t>Marijuana and salvia freedom</w:t>
            </w:r>
          </w:p>
        </w:tc>
        <w:tc>
          <w:tcPr>
            <w:tcW w:w="1280" w:type="dxa"/>
          </w:tcPr>
          <w:p w14:paraId="71F81F55" w14:textId="77777777" w:rsidR="0046798B" w:rsidRDefault="0046798B">
            <w:pPr>
              <w:pStyle w:val="TableParagraph"/>
            </w:pPr>
          </w:p>
          <w:p w14:paraId="56D706D3" w14:textId="77777777" w:rsidR="0046798B" w:rsidRDefault="0046798B">
            <w:pPr>
              <w:pStyle w:val="TableParagraph"/>
            </w:pPr>
          </w:p>
          <w:p w14:paraId="122DABBD" w14:textId="77777777" w:rsidR="0046798B" w:rsidRDefault="0046798B">
            <w:pPr>
              <w:pStyle w:val="TableParagraph"/>
            </w:pPr>
          </w:p>
          <w:p w14:paraId="7D223864" w14:textId="77777777" w:rsidR="0046798B" w:rsidRDefault="0046798B">
            <w:pPr>
              <w:pStyle w:val="TableParagraph"/>
            </w:pPr>
          </w:p>
          <w:p w14:paraId="24DA4027" w14:textId="77777777" w:rsidR="0046798B" w:rsidRDefault="0046798B">
            <w:pPr>
              <w:pStyle w:val="TableParagraph"/>
            </w:pPr>
          </w:p>
          <w:p w14:paraId="63DBDA54" w14:textId="77777777" w:rsidR="0046798B" w:rsidRDefault="0046798B">
            <w:pPr>
              <w:pStyle w:val="TableParagraph"/>
              <w:spacing w:before="9"/>
              <w:rPr>
                <w:sz w:val="23"/>
              </w:rPr>
            </w:pPr>
          </w:p>
          <w:p w14:paraId="0453B145" w14:textId="77777777" w:rsidR="0046798B" w:rsidRDefault="00903B5C">
            <w:pPr>
              <w:pStyle w:val="TableParagraph"/>
              <w:ind w:left="114"/>
              <w:rPr>
                <w:sz w:val="20"/>
              </w:rPr>
            </w:pPr>
            <w:r>
              <w:rPr>
                <w:sz w:val="20"/>
              </w:rPr>
              <w:t>2001–2011</w:t>
            </w:r>
          </w:p>
        </w:tc>
        <w:tc>
          <w:tcPr>
            <w:tcW w:w="3421" w:type="dxa"/>
          </w:tcPr>
          <w:p w14:paraId="19C454FF" w14:textId="77777777" w:rsidR="0046798B" w:rsidRDefault="00903B5C">
            <w:pPr>
              <w:pStyle w:val="TableParagraph"/>
              <w:spacing w:before="43"/>
              <w:ind w:left="114" w:right="355"/>
              <w:rPr>
                <w:sz w:val="20"/>
              </w:rPr>
            </w:pPr>
            <w:r>
              <w:rPr>
                <w:sz w:val="20"/>
              </w:rPr>
              <w:t>These scores combine multiple marijuana policy variables— decriminalization and legalization of the first offense of “low-level” marijuana possession, misdemeanor status for “high-level” possession or “low-level” cultivation or sale, mandatory minimum sentences for “low-level” cultivation or sale, the logarithm of the maximum possible prison term for a single marijuana offense. Using principal component analysis yields a sensible index of marijuana policies.</w:t>
            </w:r>
          </w:p>
        </w:tc>
        <w:tc>
          <w:tcPr>
            <w:tcW w:w="6477" w:type="dxa"/>
          </w:tcPr>
          <w:p w14:paraId="1BFD8591" w14:textId="77777777" w:rsidR="0046798B" w:rsidRDefault="0046798B">
            <w:pPr>
              <w:pStyle w:val="TableParagraph"/>
            </w:pPr>
          </w:p>
          <w:p w14:paraId="67F9D7BA" w14:textId="77777777" w:rsidR="0046798B" w:rsidRDefault="0046798B">
            <w:pPr>
              <w:pStyle w:val="TableParagraph"/>
            </w:pPr>
          </w:p>
          <w:p w14:paraId="76D5E26B" w14:textId="77777777" w:rsidR="0046798B" w:rsidRDefault="0046798B">
            <w:pPr>
              <w:pStyle w:val="TableParagraph"/>
            </w:pPr>
          </w:p>
          <w:p w14:paraId="065C19A3" w14:textId="77777777" w:rsidR="0046798B" w:rsidRDefault="0046798B">
            <w:pPr>
              <w:pStyle w:val="TableParagraph"/>
            </w:pPr>
          </w:p>
          <w:p w14:paraId="165031F2" w14:textId="77777777" w:rsidR="0046798B" w:rsidRDefault="0046798B">
            <w:pPr>
              <w:pStyle w:val="TableParagraph"/>
            </w:pPr>
          </w:p>
          <w:p w14:paraId="1D98DF71" w14:textId="77777777" w:rsidR="0046798B" w:rsidRDefault="00903B5C">
            <w:pPr>
              <w:pStyle w:val="TableParagraph"/>
              <w:spacing w:before="159"/>
              <w:ind w:left="114"/>
              <w:rPr>
                <w:sz w:val="20"/>
              </w:rPr>
            </w:pPr>
            <w:r>
              <w:rPr>
                <w:sz w:val="20"/>
              </w:rPr>
              <w:t xml:space="preserve">Mercatus Center. 2016. “Freedom in the 50 States.” Arlington, VA: George Mason University. </w:t>
            </w:r>
            <w:hyperlink r:id="rId557">
              <w:r>
                <w:rPr>
                  <w:color w:val="0462C1"/>
                  <w:sz w:val="20"/>
                  <w:u w:val="single" w:color="0462C1"/>
                </w:rPr>
                <w:t>http://freedominthe50states.org/about</w:t>
              </w:r>
              <w:r>
                <w:rPr>
                  <w:sz w:val="20"/>
                </w:rPr>
                <w:t>.</w:t>
              </w:r>
            </w:hyperlink>
          </w:p>
        </w:tc>
      </w:tr>
      <w:tr w:rsidR="0046798B" w14:paraId="5B62E02A" w14:textId="77777777">
        <w:trPr>
          <w:trHeight w:val="4687"/>
        </w:trPr>
        <w:tc>
          <w:tcPr>
            <w:tcW w:w="1711" w:type="dxa"/>
          </w:tcPr>
          <w:p w14:paraId="57ABE5EB" w14:textId="77777777" w:rsidR="0046798B" w:rsidRDefault="0046798B">
            <w:pPr>
              <w:pStyle w:val="TableParagraph"/>
            </w:pPr>
          </w:p>
          <w:p w14:paraId="78A04AC0" w14:textId="77777777" w:rsidR="0046798B" w:rsidRDefault="0046798B">
            <w:pPr>
              <w:pStyle w:val="TableParagraph"/>
            </w:pPr>
          </w:p>
          <w:p w14:paraId="3860948C" w14:textId="77777777" w:rsidR="0046798B" w:rsidRDefault="0046798B">
            <w:pPr>
              <w:pStyle w:val="TableParagraph"/>
            </w:pPr>
          </w:p>
          <w:p w14:paraId="6C2F8ECE" w14:textId="77777777" w:rsidR="0046798B" w:rsidRDefault="0046798B">
            <w:pPr>
              <w:pStyle w:val="TableParagraph"/>
            </w:pPr>
          </w:p>
          <w:p w14:paraId="77866DC4" w14:textId="77777777" w:rsidR="0046798B" w:rsidRDefault="0046798B">
            <w:pPr>
              <w:pStyle w:val="TableParagraph"/>
            </w:pPr>
          </w:p>
          <w:p w14:paraId="7B2DFEFF" w14:textId="77777777" w:rsidR="0046798B" w:rsidRDefault="0046798B">
            <w:pPr>
              <w:pStyle w:val="TableParagraph"/>
            </w:pPr>
          </w:p>
          <w:p w14:paraId="2E9C7426" w14:textId="77777777" w:rsidR="0046798B" w:rsidRDefault="0046798B">
            <w:pPr>
              <w:pStyle w:val="TableParagraph"/>
            </w:pPr>
          </w:p>
          <w:p w14:paraId="4320A4DB" w14:textId="77777777" w:rsidR="0046798B" w:rsidRDefault="0046798B">
            <w:pPr>
              <w:pStyle w:val="TableParagraph"/>
            </w:pPr>
          </w:p>
          <w:p w14:paraId="5661313C" w14:textId="77777777" w:rsidR="0046798B" w:rsidRDefault="0046798B">
            <w:pPr>
              <w:pStyle w:val="TableParagraph"/>
              <w:spacing w:before="9"/>
              <w:rPr>
                <w:sz w:val="17"/>
              </w:rPr>
            </w:pPr>
          </w:p>
          <w:p w14:paraId="69AAB62B" w14:textId="77777777" w:rsidR="0046798B" w:rsidRDefault="00903B5C">
            <w:pPr>
              <w:pStyle w:val="TableParagraph"/>
              <w:spacing w:before="1"/>
              <w:ind w:left="115"/>
              <w:rPr>
                <w:b/>
                <w:sz w:val="20"/>
              </w:rPr>
            </w:pPr>
            <w:r>
              <w:rPr>
                <w:b/>
                <w:sz w:val="20"/>
              </w:rPr>
              <w:t>occfree</w:t>
            </w:r>
          </w:p>
        </w:tc>
        <w:tc>
          <w:tcPr>
            <w:tcW w:w="1596" w:type="dxa"/>
          </w:tcPr>
          <w:p w14:paraId="551B74A0" w14:textId="77777777" w:rsidR="0046798B" w:rsidRDefault="0046798B">
            <w:pPr>
              <w:pStyle w:val="TableParagraph"/>
            </w:pPr>
          </w:p>
          <w:p w14:paraId="1955F246" w14:textId="77777777" w:rsidR="0046798B" w:rsidRDefault="0046798B">
            <w:pPr>
              <w:pStyle w:val="TableParagraph"/>
            </w:pPr>
          </w:p>
          <w:p w14:paraId="113C1A3C" w14:textId="77777777" w:rsidR="0046798B" w:rsidRDefault="0046798B">
            <w:pPr>
              <w:pStyle w:val="TableParagraph"/>
            </w:pPr>
          </w:p>
          <w:p w14:paraId="49C7291E" w14:textId="77777777" w:rsidR="0046798B" w:rsidRDefault="0046798B">
            <w:pPr>
              <w:pStyle w:val="TableParagraph"/>
            </w:pPr>
          </w:p>
          <w:p w14:paraId="78813C03" w14:textId="77777777" w:rsidR="0046798B" w:rsidRDefault="0046798B">
            <w:pPr>
              <w:pStyle w:val="TableParagraph"/>
            </w:pPr>
          </w:p>
          <w:p w14:paraId="10E8304F" w14:textId="77777777" w:rsidR="0046798B" w:rsidRDefault="0046798B">
            <w:pPr>
              <w:pStyle w:val="TableParagraph"/>
            </w:pPr>
          </w:p>
          <w:p w14:paraId="36920BDC" w14:textId="77777777" w:rsidR="0046798B" w:rsidRDefault="0046798B">
            <w:pPr>
              <w:pStyle w:val="TableParagraph"/>
            </w:pPr>
          </w:p>
          <w:p w14:paraId="1BDDC380" w14:textId="77777777" w:rsidR="0046798B" w:rsidRDefault="0046798B">
            <w:pPr>
              <w:pStyle w:val="TableParagraph"/>
              <w:spacing w:before="9"/>
              <w:rPr>
                <w:sz w:val="19"/>
              </w:rPr>
            </w:pPr>
          </w:p>
          <w:p w14:paraId="25A1D167" w14:textId="77777777" w:rsidR="0046798B" w:rsidRDefault="00903B5C">
            <w:pPr>
              <w:pStyle w:val="TableParagraph"/>
              <w:ind w:left="114" w:right="385"/>
              <w:rPr>
                <w:sz w:val="20"/>
              </w:rPr>
            </w:pPr>
            <w:r>
              <w:rPr>
                <w:sz w:val="20"/>
              </w:rPr>
              <w:t>Occupational licensing freedom</w:t>
            </w:r>
          </w:p>
        </w:tc>
        <w:tc>
          <w:tcPr>
            <w:tcW w:w="1280" w:type="dxa"/>
          </w:tcPr>
          <w:p w14:paraId="4BEB3655" w14:textId="77777777" w:rsidR="0046798B" w:rsidRDefault="0046798B">
            <w:pPr>
              <w:pStyle w:val="TableParagraph"/>
            </w:pPr>
          </w:p>
          <w:p w14:paraId="19903386" w14:textId="77777777" w:rsidR="0046798B" w:rsidRDefault="0046798B">
            <w:pPr>
              <w:pStyle w:val="TableParagraph"/>
            </w:pPr>
          </w:p>
          <w:p w14:paraId="4C154A96" w14:textId="77777777" w:rsidR="0046798B" w:rsidRDefault="0046798B">
            <w:pPr>
              <w:pStyle w:val="TableParagraph"/>
            </w:pPr>
          </w:p>
          <w:p w14:paraId="67DB2B17" w14:textId="77777777" w:rsidR="0046798B" w:rsidRDefault="0046798B">
            <w:pPr>
              <w:pStyle w:val="TableParagraph"/>
            </w:pPr>
          </w:p>
          <w:p w14:paraId="5E10FFF3" w14:textId="77777777" w:rsidR="0046798B" w:rsidRDefault="0046798B">
            <w:pPr>
              <w:pStyle w:val="TableParagraph"/>
            </w:pPr>
          </w:p>
          <w:p w14:paraId="4D37EB03" w14:textId="77777777" w:rsidR="0046798B" w:rsidRDefault="0046798B">
            <w:pPr>
              <w:pStyle w:val="TableParagraph"/>
            </w:pPr>
          </w:p>
          <w:p w14:paraId="753FB4D8" w14:textId="77777777" w:rsidR="0046798B" w:rsidRDefault="0046798B">
            <w:pPr>
              <w:pStyle w:val="TableParagraph"/>
            </w:pPr>
          </w:p>
          <w:p w14:paraId="2809ABBF" w14:textId="77777777" w:rsidR="0046798B" w:rsidRDefault="0046798B">
            <w:pPr>
              <w:pStyle w:val="TableParagraph"/>
            </w:pPr>
          </w:p>
          <w:p w14:paraId="160E79CF" w14:textId="77777777" w:rsidR="0046798B" w:rsidRDefault="0046798B">
            <w:pPr>
              <w:pStyle w:val="TableParagraph"/>
              <w:spacing w:before="9"/>
              <w:rPr>
                <w:sz w:val="17"/>
              </w:rPr>
            </w:pPr>
          </w:p>
          <w:p w14:paraId="4463AF40" w14:textId="77777777" w:rsidR="0046798B" w:rsidRDefault="00903B5C">
            <w:pPr>
              <w:pStyle w:val="TableParagraph"/>
              <w:spacing w:before="1"/>
              <w:ind w:left="114"/>
              <w:rPr>
                <w:sz w:val="20"/>
              </w:rPr>
            </w:pPr>
            <w:r>
              <w:rPr>
                <w:sz w:val="20"/>
              </w:rPr>
              <w:t>2001–2011</w:t>
            </w:r>
          </w:p>
        </w:tc>
        <w:tc>
          <w:tcPr>
            <w:tcW w:w="3421" w:type="dxa"/>
          </w:tcPr>
          <w:p w14:paraId="3F46F4CE" w14:textId="77777777" w:rsidR="0046798B" w:rsidRDefault="00903B5C">
            <w:pPr>
              <w:pStyle w:val="TableParagraph"/>
              <w:spacing w:before="43"/>
              <w:ind w:left="114" w:right="97"/>
              <w:rPr>
                <w:sz w:val="20"/>
              </w:rPr>
            </w:pPr>
            <w:r>
              <w:rPr>
                <w:sz w:val="20"/>
              </w:rPr>
              <w:t>Almost two-thirds of the occupational freedom category’s weight is made up of two variables: a measure of occupational licensing extent and the sum total of education and experience requirements for all included occupations. Rounding out the category are regulations that limit the practice of nurses and nurse practitioners, physician assistants, and dental hygienists. The category contains the following variables: Dental hygienist independent practice, education and experience requirements, employment- weighted licensure, exam requirements, fees for licensed occupations, nurse licensure compact membership, nurse practitioner independent practice, and physician assistant prescribing authority.</w:t>
            </w:r>
          </w:p>
        </w:tc>
        <w:tc>
          <w:tcPr>
            <w:tcW w:w="6477" w:type="dxa"/>
          </w:tcPr>
          <w:p w14:paraId="202A5269" w14:textId="77777777" w:rsidR="0046798B" w:rsidRDefault="0046798B">
            <w:pPr>
              <w:pStyle w:val="TableParagraph"/>
            </w:pPr>
          </w:p>
          <w:p w14:paraId="12A85C3D" w14:textId="77777777" w:rsidR="0046798B" w:rsidRDefault="0046798B">
            <w:pPr>
              <w:pStyle w:val="TableParagraph"/>
            </w:pPr>
          </w:p>
          <w:p w14:paraId="5FE75EAF" w14:textId="77777777" w:rsidR="0046798B" w:rsidRDefault="0046798B">
            <w:pPr>
              <w:pStyle w:val="TableParagraph"/>
            </w:pPr>
          </w:p>
          <w:p w14:paraId="4A284733" w14:textId="77777777" w:rsidR="0046798B" w:rsidRDefault="0046798B">
            <w:pPr>
              <w:pStyle w:val="TableParagraph"/>
            </w:pPr>
          </w:p>
          <w:p w14:paraId="06405163" w14:textId="77777777" w:rsidR="0046798B" w:rsidRDefault="0046798B">
            <w:pPr>
              <w:pStyle w:val="TableParagraph"/>
            </w:pPr>
          </w:p>
          <w:p w14:paraId="6C7EFEFB" w14:textId="77777777" w:rsidR="0046798B" w:rsidRDefault="0046798B">
            <w:pPr>
              <w:pStyle w:val="TableParagraph"/>
            </w:pPr>
          </w:p>
          <w:p w14:paraId="5F08CFFA" w14:textId="77777777" w:rsidR="0046798B" w:rsidRDefault="0046798B">
            <w:pPr>
              <w:pStyle w:val="TableParagraph"/>
            </w:pPr>
          </w:p>
          <w:p w14:paraId="701FA021" w14:textId="77777777" w:rsidR="0046798B" w:rsidRDefault="0046798B">
            <w:pPr>
              <w:pStyle w:val="TableParagraph"/>
              <w:spacing w:before="9"/>
              <w:rPr>
                <w:sz w:val="29"/>
              </w:rPr>
            </w:pPr>
          </w:p>
          <w:p w14:paraId="084F0AED" w14:textId="77777777" w:rsidR="0046798B" w:rsidRDefault="00903B5C">
            <w:pPr>
              <w:pStyle w:val="TableParagraph"/>
              <w:spacing w:before="1"/>
              <w:ind w:left="114"/>
              <w:rPr>
                <w:sz w:val="20"/>
              </w:rPr>
            </w:pPr>
            <w:r>
              <w:rPr>
                <w:sz w:val="20"/>
              </w:rPr>
              <w:t xml:space="preserve">Mercatus Center. 2016. “Freedom in the 50 States.” Arlington, VA: George Mason University. </w:t>
            </w:r>
            <w:hyperlink r:id="rId558">
              <w:r>
                <w:rPr>
                  <w:color w:val="0462C1"/>
                  <w:sz w:val="20"/>
                  <w:u w:val="single" w:color="0462C1"/>
                </w:rPr>
                <w:t>http://freedominthe50states.org/about</w:t>
              </w:r>
              <w:r>
                <w:rPr>
                  <w:sz w:val="20"/>
                </w:rPr>
                <w:t>.</w:t>
              </w:r>
            </w:hyperlink>
          </w:p>
        </w:tc>
      </w:tr>
    </w:tbl>
    <w:p w14:paraId="7B3EA2B1" w14:textId="77777777" w:rsidR="0046798B" w:rsidRDefault="0046798B">
      <w:pPr>
        <w:rPr>
          <w:sz w:val="20"/>
        </w:rPr>
        <w:sectPr w:rsidR="0046798B">
          <w:pgSz w:w="15840" w:h="12240" w:orient="landscape"/>
          <w:pgMar w:top="1220" w:right="300" w:bottom="980" w:left="820" w:header="730" w:footer="787" w:gutter="0"/>
          <w:cols w:space="720"/>
        </w:sectPr>
      </w:pPr>
    </w:p>
    <w:p w14:paraId="2CF44EAC"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0"/>
        <w:gridCol w:w="3421"/>
        <w:gridCol w:w="6477"/>
      </w:tblGrid>
      <w:tr w:rsidR="0046798B" w14:paraId="2F100A5B" w14:textId="77777777">
        <w:trPr>
          <w:trHeight w:val="2846"/>
        </w:trPr>
        <w:tc>
          <w:tcPr>
            <w:tcW w:w="1711" w:type="dxa"/>
          </w:tcPr>
          <w:p w14:paraId="337AE564" w14:textId="77777777" w:rsidR="0046798B" w:rsidRDefault="0046798B">
            <w:pPr>
              <w:pStyle w:val="TableParagraph"/>
            </w:pPr>
          </w:p>
          <w:p w14:paraId="0CBEFD0E" w14:textId="77777777" w:rsidR="0046798B" w:rsidRDefault="0046798B">
            <w:pPr>
              <w:pStyle w:val="TableParagraph"/>
            </w:pPr>
          </w:p>
          <w:p w14:paraId="15FEBFC1" w14:textId="77777777" w:rsidR="0046798B" w:rsidRDefault="0046798B">
            <w:pPr>
              <w:pStyle w:val="TableParagraph"/>
            </w:pPr>
          </w:p>
          <w:p w14:paraId="690F1565" w14:textId="77777777" w:rsidR="0046798B" w:rsidRDefault="0046798B">
            <w:pPr>
              <w:pStyle w:val="TableParagraph"/>
            </w:pPr>
          </w:p>
          <w:p w14:paraId="02B4AC12" w14:textId="77777777" w:rsidR="0046798B" w:rsidRDefault="0046798B">
            <w:pPr>
              <w:pStyle w:val="TableParagraph"/>
              <w:spacing w:before="9"/>
              <w:rPr>
                <w:sz w:val="25"/>
              </w:rPr>
            </w:pPr>
          </w:p>
          <w:p w14:paraId="6839E2FD" w14:textId="77777777" w:rsidR="0046798B" w:rsidRDefault="00903B5C">
            <w:pPr>
              <w:pStyle w:val="TableParagraph"/>
              <w:ind w:left="115"/>
              <w:rPr>
                <w:b/>
                <w:sz w:val="20"/>
              </w:rPr>
            </w:pPr>
            <w:r>
              <w:rPr>
                <w:b/>
                <w:sz w:val="20"/>
              </w:rPr>
              <w:t>persfree</w:t>
            </w:r>
          </w:p>
        </w:tc>
        <w:tc>
          <w:tcPr>
            <w:tcW w:w="1596" w:type="dxa"/>
          </w:tcPr>
          <w:p w14:paraId="0FC5E373" w14:textId="77777777" w:rsidR="0046798B" w:rsidRDefault="0046798B">
            <w:pPr>
              <w:pStyle w:val="TableParagraph"/>
            </w:pPr>
          </w:p>
          <w:p w14:paraId="35B36D99" w14:textId="77777777" w:rsidR="0046798B" w:rsidRDefault="0046798B">
            <w:pPr>
              <w:pStyle w:val="TableParagraph"/>
            </w:pPr>
          </w:p>
          <w:p w14:paraId="3F80509D" w14:textId="77777777" w:rsidR="0046798B" w:rsidRDefault="0046798B">
            <w:pPr>
              <w:pStyle w:val="TableParagraph"/>
            </w:pPr>
          </w:p>
          <w:p w14:paraId="38A15C32" w14:textId="77777777" w:rsidR="0046798B" w:rsidRDefault="0046798B">
            <w:pPr>
              <w:pStyle w:val="TableParagraph"/>
            </w:pPr>
          </w:p>
          <w:p w14:paraId="215AB6BE" w14:textId="77777777" w:rsidR="0046798B" w:rsidRDefault="00903B5C">
            <w:pPr>
              <w:pStyle w:val="TableParagraph"/>
              <w:spacing w:before="181"/>
              <w:ind w:left="114" w:right="763"/>
              <w:rPr>
                <w:sz w:val="20"/>
              </w:rPr>
            </w:pPr>
            <w:r>
              <w:rPr>
                <w:sz w:val="20"/>
              </w:rPr>
              <w:t>Personal freedom</w:t>
            </w:r>
          </w:p>
        </w:tc>
        <w:tc>
          <w:tcPr>
            <w:tcW w:w="1280" w:type="dxa"/>
          </w:tcPr>
          <w:p w14:paraId="302162ED" w14:textId="77777777" w:rsidR="0046798B" w:rsidRDefault="0046798B">
            <w:pPr>
              <w:pStyle w:val="TableParagraph"/>
            </w:pPr>
          </w:p>
          <w:p w14:paraId="0BDCF804" w14:textId="77777777" w:rsidR="0046798B" w:rsidRDefault="0046798B">
            <w:pPr>
              <w:pStyle w:val="TableParagraph"/>
            </w:pPr>
          </w:p>
          <w:p w14:paraId="372363BB" w14:textId="77777777" w:rsidR="0046798B" w:rsidRDefault="0046798B">
            <w:pPr>
              <w:pStyle w:val="TableParagraph"/>
            </w:pPr>
          </w:p>
          <w:p w14:paraId="63B5D233" w14:textId="77777777" w:rsidR="0046798B" w:rsidRDefault="0046798B">
            <w:pPr>
              <w:pStyle w:val="TableParagraph"/>
            </w:pPr>
          </w:p>
          <w:p w14:paraId="514DE37D" w14:textId="77777777" w:rsidR="0046798B" w:rsidRDefault="0046798B">
            <w:pPr>
              <w:pStyle w:val="TableParagraph"/>
              <w:spacing w:before="9"/>
              <w:rPr>
                <w:sz w:val="25"/>
              </w:rPr>
            </w:pPr>
          </w:p>
          <w:p w14:paraId="341D2101" w14:textId="77777777" w:rsidR="0046798B" w:rsidRDefault="00903B5C">
            <w:pPr>
              <w:pStyle w:val="TableParagraph"/>
              <w:ind w:left="114"/>
              <w:rPr>
                <w:sz w:val="20"/>
              </w:rPr>
            </w:pPr>
            <w:r>
              <w:rPr>
                <w:sz w:val="20"/>
              </w:rPr>
              <w:t>2001–2011</w:t>
            </w:r>
          </w:p>
        </w:tc>
        <w:tc>
          <w:tcPr>
            <w:tcW w:w="3421" w:type="dxa"/>
          </w:tcPr>
          <w:p w14:paraId="5C880119" w14:textId="77777777" w:rsidR="0046798B" w:rsidRDefault="00903B5C">
            <w:pPr>
              <w:pStyle w:val="TableParagraph"/>
              <w:spacing w:before="43"/>
              <w:ind w:left="114" w:right="158"/>
              <w:rPr>
                <w:sz w:val="20"/>
              </w:rPr>
            </w:pPr>
            <w:r>
              <w:rPr>
                <w:sz w:val="20"/>
              </w:rPr>
              <w:t>Personal freedom dimension consists of the following categories: victimless crime freedom (9.8%), gun control freedom (6.6%), tobacco freedom (4.1%), alcohol freedom (2.8%), marriage freedom (2.1%), marijuana and salvia freedom (2.1%), gambling freedom (2.0%), education policy (1.9%), civil liberties (0.6%), travel freedom (0.5%), asset forfeiture freedom (0.1%), and campaign finance freedom (0.02%).</w:t>
            </w:r>
          </w:p>
        </w:tc>
        <w:tc>
          <w:tcPr>
            <w:tcW w:w="6477" w:type="dxa"/>
          </w:tcPr>
          <w:p w14:paraId="689EFED6" w14:textId="77777777" w:rsidR="0046798B" w:rsidRDefault="0046798B">
            <w:pPr>
              <w:pStyle w:val="TableParagraph"/>
            </w:pPr>
          </w:p>
          <w:p w14:paraId="36A34104" w14:textId="77777777" w:rsidR="0046798B" w:rsidRDefault="0046798B">
            <w:pPr>
              <w:pStyle w:val="TableParagraph"/>
            </w:pPr>
          </w:p>
          <w:p w14:paraId="30021829" w14:textId="77777777" w:rsidR="0046798B" w:rsidRDefault="0046798B">
            <w:pPr>
              <w:pStyle w:val="TableParagraph"/>
            </w:pPr>
          </w:p>
          <w:p w14:paraId="5B65B156" w14:textId="77777777" w:rsidR="0046798B" w:rsidRDefault="0046798B">
            <w:pPr>
              <w:pStyle w:val="TableParagraph"/>
            </w:pPr>
          </w:p>
          <w:p w14:paraId="67512547" w14:textId="77777777" w:rsidR="0046798B" w:rsidRDefault="00903B5C">
            <w:pPr>
              <w:pStyle w:val="TableParagraph"/>
              <w:spacing w:before="181"/>
              <w:ind w:left="114"/>
              <w:rPr>
                <w:sz w:val="20"/>
              </w:rPr>
            </w:pPr>
            <w:r>
              <w:rPr>
                <w:sz w:val="20"/>
              </w:rPr>
              <w:t xml:space="preserve">Mercatus Center. 2016. “Freedom in the 50 States.” Arlington, VA: George Mason University. </w:t>
            </w:r>
            <w:hyperlink r:id="rId559">
              <w:r>
                <w:rPr>
                  <w:color w:val="0462C1"/>
                  <w:sz w:val="20"/>
                  <w:u w:val="single" w:color="0462C1"/>
                </w:rPr>
                <w:t>http://freedominthe50states.org/about</w:t>
              </w:r>
              <w:r>
                <w:rPr>
                  <w:sz w:val="20"/>
                </w:rPr>
                <w:t>.</w:t>
              </w:r>
            </w:hyperlink>
          </w:p>
        </w:tc>
      </w:tr>
      <w:tr w:rsidR="0046798B" w14:paraId="42FEA981" w14:textId="77777777">
        <w:trPr>
          <w:trHeight w:val="775"/>
        </w:trPr>
        <w:tc>
          <w:tcPr>
            <w:tcW w:w="1711" w:type="dxa"/>
          </w:tcPr>
          <w:p w14:paraId="156A1EAD" w14:textId="77777777" w:rsidR="0046798B" w:rsidRDefault="0046798B">
            <w:pPr>
              <w:pStyle w:val="TableParagraph"/>
              <w:spacing w:before="8"/>
              <w:rPr>
                <w:sz w:val="23"/>
              </w:rPr>
            </w:pPr>
          </w:p>
          <w:p w14:paraId="23278F9E" w14:textId="77777777" w:rsidR="0046798B" w:rsidRDefault="00903B5C">
            <w:pPr>
              <w:pStyle w:val="TableParagraph"/>
              <w:spacing w:before="1"/>
              <w:ind w:left="115"/>
              <w:rPr>
                <w:b/>
                <w:sz w:val="20"/>
              </w:rPr>
            </w:pPr>
            <w:r>
              <w:rPr>
                <w:b/>
                <w:sz w:val="20"/>
              </w:rPr>
              <w:t>persrank</w:t>
            </w:r>
          </w:p>
        </w:tc>
        <w:tc>
          <w:tcPr>
            <w:tcW w:w="1596" w:type="dxa"/>
          </w:tcPr>
          <w:p w14:paraId="3FBD5FCA" w14:textId="77777777" w:rsidR="0046798B" w:rsidRDefault="00903B5C">
            <w:pPr>
              <w:pStyle w:val="TableParagraph"/>
              <w:spacing w:before="43"/>
              <w:ind w:left="114" w:right="369"/>
              <w:rPr>
                <w:sz w:val="20"/>
              </w:rPr>
            </w:pPr>
            <w:r>
              <w:rPr>
                <w:sz w:val="20"/>
              </w:rPr>
              <w:t>Personal freedom state ranking</w:t>
            </w:r>
          </w:p>
        </w:tc>
        <w:tc>
          <w:tcPr>
            <w:tcW w:w="1280" w:type="dxa"/>
          </w:tcPr>
          <w:p w14:paraId="5F10957C" w14:textId="77777777" w:rsidR="0046798B" w:rsidRDefault="0046798B">
            <w:pPr>
              <w:pStyle w:val="TableParagraph"/>
              <w:spacing w:before="8"/>
              <w:rPr>
                <w:sz w:val="23"/>
              </w:rPr>
            </w:pPr>
          </w:p>
          <w:p w14:paraId="1A438C5E" w14:textId="77777777" w:rsidR="0046798B" w:rsidRDefault="00903B5C">
            <w:pPr>
              <w:pStyle w:val="TableParagraph"/>
              <w:spacing w:before="1"/>
              <w:ind w:left="114"/>
              <w:rPr>
                <w:sz w:val="20"/>
              </w:rPr>
            </w:pPr>
            <w:r>
              <w:rPr>
                <w:sz w:val="20"/>
              </w:rPr>
              <w:t>2001–2011</w:t>
            </w:r>
          </w:p>
        </w:tc>
        <w:tc>
          <w:tcPr>
            <w:tcW w:w="3421" w:type="dxa"/>
          </w:tcPr>
          <w:p w14:paraId="2C6CAF37" w14:textId="77777777" w:rsidR="0046798B" w:rsidRDefault="00903B5C">
            <w:pPr>
              <w:pStyle w:val="TableParagraph"/>
              <w:spacing w:before="158"/>
              <w:ind w:left="114" w:right="477"/>
              <w:rPr>
                <w:sz w:val="20"/>
              </w:rPr>
            </w:pPr>
            <w:r>
              <w:rPr>
                <w:sz w:val="20"/>
              </w:rPr>
              <w:t>State rankings of personal freedom scores</w:t>
            </w:r>
          </w:p>
        </w:tc>
        <w:tc>
          <w:tcPr>
            <w:tcW w:w="6477" w:type="dxa"/>
          </w:tcPr>
          <w:p w14:paraId="608AAC3E" w14:textId="77777777" w:rsidR="0046798B" w:rsidRDefault="00903B5C">
            <w:pPr>
              <w:pStyle w:val="TableParagraph"/>
              <w:spacing w:before="158"/>
              <w:ind w:left="114"/>
              <w:rPr>
                <w:sz w:val="20"/>
              </w:rPr>
            </w:pPr>
            <w:r>
              <w:rPr>
                <w:sz w:val="20"/>
              </w:rPr>
              <w:t xml:space="preserve">Mercatus Center. 2016. “Freedom in the 50 States.” Arlington, VA: George Mason University. </w:t>
            </w:r>
            <w:hyperlink r:id="rId560">
              <w:r>
                <w:rPr>
                  <w:color w:val="0462C1"/>
                  <w:sz w:val="20"/>
                  <w:u w:val="single" w:color="0462C1"/>
                </w:rPr>
                <w:t>http://freedominthe50states.org/about</w:t>
              </w:r>
              <w:r>
                <w:rPr>
                  <w:sz w:val="20"/>
                </w:rPr>
                <w:t>.</w:t>
              </w:r>
            </w:hyperlink>
          </w:p>
        </w:tc>
      </w:tr>
      <w:tr w:rsidR="0046798B" w14:paraId="6371933D" w14:textId="77777777">
        <w:trPr>
          <w:trHeight w:val="1010"/>
        </w:trPr>
        <w:tc>
          <w:tcPr>
            <w:tcW w:w="1711" w:type="dxa"/>
          </w:tcPr>
          <w:p w14:paraId="3EB991AE" w14:textId="77777777" w:rsidR="0046798B" w:rsidRDefault="0046798B">
            <w:pPr>
              <w:pStyle w:val="TableParagraph"/>
            </w:pPr>
          </w:p>
          <w:p w14:paraId="7016958D" w14:textId="77777777" w:rsidR="0046798B" w:rsidRDefault="00903B5C">
            <w:pPr>
              <w:pStyle w:val="TableParagraph"/>
              <w:spacing w:before="135"/>
              <w:ind w:left="115"/>
              <w:rPr>
                <w:b/>
                <w:sz w:val="20"/>
              </w:rPr>
            </w:pPr>
            <w:r>
              <w:rPr>
                <w:b/>
                <w:sz w:val="20"/>
              </w:rPr>
              <w:t>ranking</w:t>
            </w:r>
          </w:p>
        </w:tc>
        <w:tc>
          <w:tcPr>
            <w:tcW w:w="1596" w:type="dxa"/>
          </w:tcPr>
          <w:p w14:paraId="2D743E28" w14:textId="77777777" w:rsidR="0046798B" w:rsidRDefault="00903B5C">
            <w:pPr>
              <w:pStyle w:val="TableParagraph"/>
              <w:spacing w:before="43"/>
              <w:ind w:left="114" w:right="135"/>
              <w:rPr>
                <w:sz w:val="20"/>
              </w:rPr>
            </w:pPr>
            <w:r>
              <w:rPr>
                <w:sz w:val="20"/>
              </w:rPr>
              <w:t>Overall freedom state ranking (aggregate ranking)</w:t>
            </w:r>
          </w:p>
        </w:tc>
        <w:tc>
          <w:tcPr>
            <w:tcW w:w="1280" w:type="dxa"/>
          </w:tcPr>
          <w:p w14:paraId="5F8148CA" w14:textId="77777777" w:rsidR="0046798B" w:rsidRDefault="0046798B">
            <w:pPr>
              <w:pStyle w:val="TableParagraph"/>
            </w:pPr>
          </w:p>
          <w:p w14:paraId="7DD2596D" w14:textId="77777777" w:rsidR="0046798B" w:rsidRDefault="00903B5C">
            <w:pPr>
              <w:pStyle w:val="TableParagraph"/>
              <w:spacing w:before="135"/>
              <w:ind w:left="114"/>
              <w:rPr>
                <w:sz w:val="20"/>
              </w:rPr>
            </w:pPr>
            <w:r>
              <w:rPr>
                <w:sz w:val="20"/>
              </w:rPr>
              <w:t>2001–2011</w:t>
            </w:r>
          </w:p>
        </w:tc>
        <w:tc>
          <w:tcPr>
            <w:tcW w:w="3421" w:type="dxa"/>
          </w:tcPr>
          <w:p w14:paraId="09BDA7F5" w14:textId="77777777" w:rsidR="0046798B" w:rsidRDefault="0046798B">
            <w:pPr>
              <w:pStyle w:val="TableParagraph"/>
              <w:spacing w:before="9"/>
              <w:rPr>
                <w:sz w:val="23"/>
              </w:rPr>
            </w:pPr>
          </w:p>
          <w:p w14:paraId="4BE11122" w14:textId="77777777" w:rsidR="0046798B" w:rsidRDefault="00903B5C">
            <w:pPr>
              <w:pStyle w:val="TableParagraph"/>
              <w:ind w:left="114" w:right="600"/>
              <w:rPr>
                <w:sz w:val="20"/>
              </w:rPr>
            </w:pPr>
            <w:r>
              <w:rPr>
                <w:sz w:val="20"/>
              </w:rPr>
              <w:t>State rankings of overall freedom scores</w:t>
            </w:r>
          </w:p>
        </w:tc>
        <w:tc>
          <w:tcPr>
            <w:tcW w:w="6477" w:type="dxa"/>
          </w:tcPr>
          <w:p w14:paraId="145B28DC" w14:textId="77777777" w:rsidR="0046798B" w:rsidRDefault="0046798B">
            <w:pPr>
              <w:pStyle w:val="TableParagraph"/>
              <w:spacing w:before="9"/>
              <w:rPr>
                <w:sz w:val="23"/>
              </w:rPr>
            </w:pPr>
          </w:p>
          <w:p w14:paraId="083B3BCB" w14:textId="77777777" w:rsidR="0046798B" w:rsidRDefault="00903B5C">
            <w:pPr>
              <w:pStyle w:val="TableParagraph"/>
              <w:ind w:left="114"/>
              <w:rPr>
                <w:sz w:val="20"/>
              </w:rPr>
            </w:pPr>
            <w:r>
              <w:rPr>
                <w:sz w:val="20"/>
              </w:rPr>
              <w:t xml:space="preserve">Mercatus Center. 2016. “Freedom in the 50 States.” Arlington, VA: George Mason University. </w:t>
            </w:r>
            <w:hyperlink r:id="rId561">
              <w:r>
                <w:rPr>
                  <w:color w:val="0462C1"/>
                  <w:sz w:val="20"/>
                  <w:u w:val="single" w:color="0462C1"/>
                </w:rPr>
                <w:t>http://freedominthe50states.org/about</w:t>
              </w:r>
              <w:r>
                <w:rPr>
                  <w:sz w:val="20"/>
                </w:rPr>
                <w:t>.</w:t>
              </w:r>
            </w:hyperlink>
          </w:p>
        </w:tc>
      </w:tr>
      <w:tr w:rsidR="0046798B" w14:paraId="3F3401C4" w14:textId="77777777">
        <w:trPr>
          <w:trHeight w:val="2386"/>
        </w:trPr>
        <w:tc>
          <w:tcPr>
            <w:tcW w:w="1711" w:type="dxa"/>
          </w:tcPr>
          <w:p w14:paraId="172A89B8" w14:textId="77777777" w:rsidR="0046798B" w:rsidRDefault="0046798B">
            <w:pPr>
              <w:pStyle w:val="TableParagraph"/>
            </w:pPr>
          </w:p>
          <w:p w14:paraId="55F2034D" w14:textId="77777777" w:rsidR="0046798B" w:rsidRDefault="0046798B">
            <w:pPr>
              <w:pStyle w:val="TableParagraph"/>
            </w:pPr>
          </w:p>
          <w:p w14:paraId="4075884D" w14:textId="77777777" w:rsidR="0046798B" w:rsidRDefault="0046798B">
            <w:pPr>
              <w:pStyle w:val="TableParagraph"/>
            </w:pPr>
          </w:p>
          <w:p w14:paraId="77FAB7F4" w14:textId="77777777" w:rsidR="0046798B" w:rsidRDefault="0046798B">
            <w:pPr>
              <w:pStyle w:val="TableParagraph"/>
              <w:spacing w:before="4"/>
              <w:rPr>
                <w:sz w:val="27"/>
              </w:rPr>
            </w:pPr>
          </w:p>
          <w:p w14:paraId="686FFE81" w14:textId="77777777" w:rsidR="0046798B" w:rsidRDefault="00903B5C">
            <w:pPr>
              <w:pStyle w:val="TableParagraph"/>
              <w:ind w:left="115"/>
              <w:rPr>
                <w:b/>
                <w:sz w:val="20"/>
              </w:rPr>
            </w:pPr>
            <w:r>
              <w:rPr>
                <w:b/>
                <w:sz w:val="20"/>
              </w:rPr>
              <w:t>regfree</w:t>
            </w:r>
          </w:p>
        </w:tc>
        <w:tc>
          <w:tcPr>
            <w:tcW w:w="1596" w:type="dxa"/>
          </w:tcPr>
          <w:p w14:paraId="2B83863D" w14:textId="77777777" w:rsidR="0046798B" w:rsidRDefault="0046798B">
            <w:pPr>
              <w:pStyle w:val="TableParagraph"/>
            </w:pPr>
          </w:p>
          <w:p w14:paraId="6FC190CC" w14:textId="77777777" w:rsidR="0046798B" w:rsidRDefault="0046798B">
            <w:pPr>
              <w:pStyle w:val="TableParagraph"/>
            </w:pPr>
          </w:p>
          <w:p w14:paraId="6FDCDC9D" w14:textId="77777777" w:rsidR="0046798B" w:rsidRDefault="0046798B">
            <w:pPr>
              <w:pStyle w:val="TableParagraph"/>
            </w:pPr>
          </w:p>
          <w:p w14:paraId="070872A4" w14:textId="77777777" w:rsidR="0046798B" w:rsidRDefault="0046798B">
            <w:pPr>
              <w:pStyle w:val="TableParagraph"/>
              <w:spacing w:before="4"/>
              <w:rPr>
                <w:sz w:val="17"/>
              </w:rPr>
            </w:pPr>
          </w:p>
          <w:p w14:paraId="6A22BDF0" w14:textId="77777777" w:rsidR="0046798B" w:rsidRDefault="00903B5C">
            <w:pPr>
              <w:pStyle w:val="TableParagraph"/>
              <w:ind w:left="114" w:right="563"/>
              <w:rPr>
                <w:sz w:val="20"/>
              </w:rPr>
            </w:pPr>
            <w:r>
              <w:rPr>
                <w:sz w:val="20"/>
              </w:rPr>
              <w:t>Regulatory freedom</w:t>
            </w:r>
          </w:p>
        </w:tc>
        <w:tc>
          <w:tcPr>
            <w:tcW w:w="1280" w:type="dxa"/>
          </w:tcPr>
          <w:p w14:paraId="51DDA183" w14:textId="77777777" w:rsidR="0046798B" w:rsidRDefault="0046798B">
            <w:pPr>
              <w:pStyle w:val="TableParagraph"/>
            </w:pPr>
          </w:p>
          <w:p w14:paraId="3E8A0C0F" w14:textId="77777777" w:rsidR="0046798B" w:rsidRDefault="0046798B">
            <w:pPr>
              <w:pStyle w:val="TableParagraph"/>
            </w:pPr>
          </w:p>
          <w:p w14:paraId="50FD83C0" w14:textId="77777777" w:rsidR="0046798B" w:rsidRDefault="0046798B">
            <w:pPr>
              <w:pStyle w:val="TableParagraph"/>
            </w:pPr>
          </w:p>
          <w:p w14:paraId="28B43099" w14:textId="77777777" w:rsidR="0046798B" w:rsidRDefault="0046798B">
            <w:pPr>
              <w:pStyle w:val="TableParagraph"/>
              <w:spacing w:before="4"/>
              <w:rPr>
                <w:sz w:val="27"/>
              </w:rPr>
            </w:pPr>
          </w:p>
          <w:p w14:paraId="23B91AE0" w14:textId="77777777" w:rsidR="0046798B" w:rsidRDefault="00903B5C">
            <w:pPr>
              <w:pStyle w:val="TableParagraph"/>
              <w:ind w:left="114"/>
              <w:rPr>
                <w:sz w:val="20"/>
              </w:rPr>
            </w:pPr>
            <w:r>
              <w:rPr>
                <w:sz w:val="20"/>
              </w:rPr>
              <w:t>2001–2011</w:t>
            </w:r>
          </w:p>
        </w:tc>
        <w:tc>
          <w:tcPr>
            <w:tcW w:w="3421" w:type="dxa"/>
          </w:tcPr>
          <w:p w14:paraId="0F48CD2F" w14:textId="77777777" w:rsidR="0046798B" w:rsidRDefault="00903B5C">
            <w:pPr>
              <w:pStyle w:val="TableParagraph"/>
              <w:spacing w:before="38"/>
              <w:ind w:left="114" w:right="143"/>
              <w:rPr>
                <w:sz w:val="20"/>
              </w:rPr>
            </w:pPr>
            <w:r>
              <w:rPr>
                <w:sz w:val="20"/>
              </w:rPr>
              <w:t>The regulatory policy dimension consists of the following categories: freedom from tort abuse (11.5%), property right protection (7.6%),</w:t>
            </w:r>
            <w:r>
              <w:rPr>
                <w:spacing w:val="-12"/>
                <w:sz w:val="20"/>
              </w:rPr>
              <w:t xml:space="preserve"> </w:t>
            </w:r>
            <w:r>
              <w:rPr>
                <w:sz w:val="20"/>
              </w:rPr>
              <w:t xml:space="preserve">health insurance freedom (5.4%), labor market freedom (3.8%), occupational licensing freedom (1.7%), miscellaneous regulatory freedom (1.3%), and cable and telecom </w:t>
            </w:r>
            <w:r>
              <w:rPr>
                <w:spacing w:val="-3"/>
                <w:sz w:val="20"/>
              </w:rPr>
              <w:t xml:space="preserve">freedom </w:t>
            </w:r>
            <w:r>
              <w:rPr>
                <w:sz w:val="20"/>
              </w:rPr>
              <w:t>(0.8%).</w:t>
            </w:r>
          </w:p>
        </w:tc>
        <w:tc>
          <w:tcPr>
            <w:tcW w:w="6477" w:type="dxa"/>
          </w:tcPr>
          <w:p w14:paraId="76F43453" w14:textId="77777777" w:rsidR="0046798B" w:rsidRDefault="0046798B">
            <w:pPr>
              <w:pStyle w:val="TableParagraph"/>
            </w:pPr>
          </w:p>
          <w:p w14:paraId="11885375" w14:textId="77777777" w:rsidR="0046798B" w:rsidRDefault="0046798B">
            <w:pPr>
              <w:pStyle w:val="TableParagraph"/>
            </w:pPr>
          </w:p>
          <w:p w14:paraId="35F67A5C" w14:textId="77777777" w:rsidR="0046798B" w:rsidRDefault="0046798B">
            <w:pPr>
              <w:pStyle w:val="TableParagraph"/>
            </w:pPr>
          </w:p>
          <w:p w14:paraId="4BC0E081" w14:textId="77777777" w:rsidR="0046798B" w:rsidRDefault="0046798B">
            <w:pPr>
              <w:pStyle w:val="TableParagraph"/>
              <w:spacing w:before="4"/>
              <w:rPr>
                <w:sz w:val="17"/>
              </w:rPr>
            </w:pPr>
          </w:p>
          <w:p w14:paraId="4171A0D6" w14:textId="77777777" w:rsidR="0046798B" w:rsidRDefault="00903B5C">
            <w:pPr>
              <w:pStyle w:val="TableParagraph"/>
              <w:ind w:left="114"/>
              <w:rPr>
                <w:sz w:val="20"/>
              </w:rPr>
            </w:pPr>
            <w:r>
              <w:rPr>
                <w:sz w:val="20"/>
              </w:rPr>
              <w:t xml:space="preserve">Mercatus Center. 2016. “Freedom in the 50 States.” Arlington, VA: George Mason University. </w:t>
            </w:r>
            <w:hyperlink r:id="rId562">
              <w:r>
                <w:rPr>
                  <w:color w:val="0462C1"/>
                  <w:sz w:val="20"/>
                  <w:u w:val="single" w:color="0462C1"/>
                </w:rPr>
                <w:t>http://freedominthe50states.org/about</w:t>
              </w:r>
              <w:r>
                <w:rPr>
                  <w:sz w:val="20"/>
                </w:rPr>
                <w:t>.</w:t>
              </w:r>
            </w:hyperlink>
          </w:p>
        </w:tc>
      </w:tr>
      <w:tr w:rsidR="0046798B" w14:paraId="117AE394" w14:textId="77777777">
        <w:trPr>
          <w:trHeight w:val="775"/>
        </w:trPr>
        <w:tc>
          <w:tcPr>
            <w:tcW w:w="1711" w:type="dxa"/>
          </w:tcPr>
          <w:p w14:paraId="493495BE" w14:textId="77777777" w:rsidR="0046798B" w:rsidRDefault="0046798B">
            <w:pPr>
              <w:pStyle w:val="TableParagraph"/>
              <w:spacing w:before="3"/>
              <w:rPr>
                <w:sz w:val="23"/>
              </w:rPr>
            </w:pPr>
          </w:p>
          <w:p w14:paraId="01617630" w14:textId="77777777" w:rsidR="0046798B" w:rsidRDefault="00903B5C">
            <w:pPr>
              <w:pStyle w:val="TableParagraph"/>
              <w:ind w:left="115"/>
              <w:rPr>
                <w:b/>
                <w:sz w:val="20"/>
              </w:rPr>
            </w:pPr>
            <w:r>
              <w:rPr>
                <w:b/>
                <w:sz w:val="20"/>
              </w:rPr>
              <w:t>regrank</w:t>
            </w:r>
          </w:p>
        </w:tc>
        <w:tc>
          <w:tcPr>
            <w:tcW w:w="1596" w:type="dxa"/>
          </w:tcPr>
          <w:p w14:paraId="12FFD2F3" w14:textId="77777777" w:rsidR="0046798B" w:rsidRDefault="00903B5C">
            <w:pPr>
              <w:pStyle w:val="TableParagraph"/>
              <w:spacing w:before="38"/>
              <w:ind w:left="114" w:right="369"/>
              <w:rPr>
                <w:sz w:val="20"/>
              </w:rPr>
            </w:pPr>
            <w:r>
              <w:rPr>
                <w:sz w:val="20"/>
              </w:rPr>
              <w:t>Regulatory freedom state ranking</w:t>
            </w:r>
          </w:p>
        </w:tc>
        <w:tc>
          <w:tcPr>
            <w:tcW w:w="1280" w:type="dxa"/>
          </w:tcPr>
          <w:p w14:paraId="7B4C8100" w14:textId="77777777" w:rsidR="0046798B" w:rsidRDefault="0046798B">
            <w:pPr>
              <w:pStyle w:val="TableParagraph"/>
              <w:spacing w:before="3"/>
              <w:rPr>
                <w:sz w:val="23"/>
              </w:rPr>
            </w:pPr>
          </w:p>
          <w:p w14:paraId="40FDE8B4" w14:textId="77777777" w:rsidR="0046798B" w:rsidRDefault="00903B5C">
            <w:pPr>
              <w:pStyle w:val="TableParagraph"/>
              <w:ind w:left="114"/>
              <w:rPr>
                <w:sz w:val="20"/>
              </w:rPr>
            </w:pPr>
            <w:r>
              <w:rPr>
                <w:sz w:val="20"/>
              </w:rPr>
              <w:t>2001–2011</w:t>
            </w:r>
          </w:p>
        </w:tc>
        <w:tc>
          <w:tcPr>
            <w:tcW w:w="3421" w:type="dxa"/>
          </w:tcPr>
          <w:p w14:paraId="67D521D2" w14:textId="77777777" w:rsidR="0046798B" w:rsidRDefault="00903B5C">
            <w:pPr>
              <w:pStyle w:val="TableParagraph"/>
              <w:spacing w:before="153"/>
              <w:ind w:left="114" w:right="333"/>
              <w:rPr>
                <w:sz w:val="20"/>
              </w:rPr>
            </w:pPr>
            <w:r>
              <w:rPr>
                <w:sz w:val="20"/>
              </w:rPr>
              <w:t>State rankings of regulatory freedom scores</w:t>
            </w:r>
          </w:p>
        </w:tc>
        <w:tc>
          <w:tcPr>
            <w:tcW w:w="6477" w:type="dxa"/>
          </w:tcPr>
          <w:p w14:paraId="767F6CB9" w14:textId="77777777" w:rsidR="0046798B" w:rsidRDefault="00903B5C">
            <w:pPr>
              <w:pStyle w:val="TableParagraph"/>
              <w:spacing w:before="153"/>
              <w:ind w:left="114"/>
              <w:rPr>
                <w:sz w:val="20"/>
              </w:rPr>
            </w:pPr>
            <w:r>
              <w:rPr>
                <w:sz w:val="20"/>
              </w:rPr>
              <w:t xml:space="preserve">Mercatus Center. 2016. “Freedom in the 50 States.” Arlington, VA: George Mason University. </w:t>
            </w:r>
            <w:hyperlink r:id="rId563">
              <w:r>
                <w:rPr>
                  <w:color w:val="0462C1"/>
                  <w:sz w:val="20"/>
                  <w:u w:val="single" w:color="0462C1"/>
                </w:rPr>
                <w:t>http://freedominthe50states.org/about</w:t>
              </w:r>
              <w:r>
                <w:rPr>
                  <w:sz w:val="20"/>
                </w:rPr>
                <w:t>.</w:t>
              </w:r>
            </w:hyperlink>
          </w:p>
        </w:tc>
      </w:tr>
      <w:tr w:rsidR="0046798B" w14:paraId="7B49CF79" w14:textId="77777777">
        <w:trPr>
          <w:trHeight w:val="1465"/>
        </w:trPr>
        <w:tc>
          <w:tcPr>
            <w:tcW w:w="1711" w:type="dxa"/>
          </w:tcPr>
          <w:p w14:paraId="32796DAC" w14:textId="77777777" w:rsidR="0046798B" w:rsidRDefault="0046798B">
            <w:pPr>
              <w:pStyle w:val="TableParagraph"/>
            </w:pPr>
          </w:p>
          <w:p w14:paraId="77712F34" w14:textId="77777777" w:rsidR="0046798B" w:rsidRDefault="0046798B">
            <w:pPr>
              <w:pStyle w:val="TableParagraph"/>
              <w:spacing w:before="3"/>
              <w:rPr>
                <w:sz w:val="31"/>
              </w:rPr>
            </w:pPr>
          </w:p>
          <w:p w14:paraId="4C2CE848" w14:textId="77777777" w:rsidR="0046798B" w:rsidRDefault="00903B5C">
            <w:pPr>
              <w:pStyle w:val="TableParagraph"/>
              <w:spacing w:before="1"/>
              <w:ind w:left="115"/>
              <w:rPr>
                <w:b/>
                <w:sz w:val="20"/>
              </w:rPr>
            </w:pPr>
            <w:r>
              <w:rPr>
                <w:b/>
                <w:sz w:val="20"/>
              </w:rPr>
              <w:t>tobfree</w:t>
            </w:r>
          </w:p>
        </w:tc>
        <w:tc>
          <w:tcPr>
            <w:tcW w:w="1596" w:type="dxa"/>
          </w:tcPr>
          <w:p w14:paraId="71D7FEE0" w14:textId="77777777" w:rsidR="0046798B" w:rsidRDefault="0046798B">
            <w:pPr>
              <w:pStyle w:val="TableParagraph"/>
            </w:pPr>
          </w:p>
          <w:p w14:paraId="0659C6B9" w14:textId="77777777" w:rsidR="0046798B" w:rsidRDefault="0046798B">
            <w:pPr>
              <w:pStyle w:val="TableParagraph"/>
              <w:spacing w:before="3"/>
              <w:rPr>
                <w:sz w:val="21"/>
              </w:rPr>
            </w:pPr>
          </w:p>
          <w:p w14:paraId="3D2957B0" w14:textId="77777777" w:rsidR="0046798B" w:rsidRDefault="00903B5C">
            <w:pPr>
              <w:pStyle w:val="TableParagraph"/>
              <w:spacing w:before="1"/>
              <w:ind w:left="114" w:right="763"/>
              <w:rPr>
                <w:sz w:val="20"/>
              </w:rPr>
            </w:pPr>
            <w:r>
              <w:rPr>
                <w:sz w:val="20"/>
              </w:rPr>
              <w:t>Tobacco freedom</w:t>
            </w:r>
          </w:p>
        </w:tc>
        <w:tc>
          <w:tcPr>
            <w:tcW w:w="1280" w:type="dxa"/>
          </w:tcPr>
          <w:p w14:paraId="7615C26B" w14:textId="77777777" w:rsidR="0046798B" w:rsidRDefault="0046798B">
            <w:pPr>
              <w:pStyle w:val="TableParagraph"/>
            </w:pPr>
          </w:p>
          <w:p w14:paraId="3BD067A6" w14:textId="77777777" w:rsidR="0046798B" w:rsidRDefault="0046798B">
            <w:pPr>
              <w:pStyle w:val="TableParagraph"/>
              <w:spacing w:before="3"/>
              <w:rPr>
                <w:sz w:val="31"/>
              </w:rPr>
            </w:pPr>
          </w:p>
          <w:p w14:paraId="452530FB" w14:textId="77777777" w:rsidR="0046798B" w:rsidRDefault="00903B5C">
            <w:pPr>
              <w:pStyle w:val="TableParagraph"/>
              <w:spacing w:before="1"/>
              <w:ind w:left="114"/>
              <w:rPr>
                <w:sz w:val="20"/>
              </w:rPr>
            </w:pPr>
            <w:r>
              <w:rPr>
                <w:sz w:val="20"/>
              </w:rPr>
              <w:t>2001–2011</w:t>
            </w:r>
          </w:p>
        </w:tc>
        <w:tc>
          <w:tcPr>
            <w:tcW w:w="3421" w:type="dxa"/>
          </w:tcPr>
          <w:p w14:paraId="3ED4F9AE" w14:textId="77777777" w:rsidR="0046798B" w:rsidRDefault="00903B5C">
            <w:pPr>
              <w:pStyle w:val="TableParagraph"/>
              <w:spacing w:before="38"/>
              <w:ind w:left="114" w:right="95"/>
              <w:rPr>
                <w:sz w:val="20"/>
              </w:rPr>
            </w:pPr>
            <w:r>
              <w:rPr>
                <w:sz w:val="20"/>
              </w:rPr>
              <w:t>Tobacco freedom includes taxes on tobacco, smoking bans, internet sales bans, and vending machine regulations. The freedom index also takes into account taxes paid by smokers, which are excluded from the taxation category</w:t>
            </w:r>
          </w:p>
        </w:tc>
        <w:tc>
          <w:tcPr>
            <w:tcW w:w="6477" w:type="dxa"/>
          </w:tcPr>
          <w:p w14:paraId="0B7B62A7" w14:textId="77777777" w:rsidR="0046798B" w:rsidRDefault="0046798B">
            <w:pPr>
              <w:pStyle w:val="TableParagraph"/>
            </w:pPr>
          </w:p>
          <w:p w14:paraId="17845D5D" w14:textId="77777777" w:rsidR="0046798B" w:rsidRDefault="0046798B">
            <w:pPr>
              <w:pStyle w:val="TableParagraph"/>
              <w:spacing w:before="3"/>
              <w:rPr>
                <w:sz w:val="21"/>
              </w:rPr>
            </w:pPr>
          </w:p>
          <w:p w14:paraId="4BFE7135" w14:textId="77777777" w:rsidR="0046798B" w:rsidRDefault="00903B5C">
            <w:pPr>
              <w:pStyle w:val="TableParagraph"/>
              <w:spacing w:before="1"/>
              <w:ind w:left="114"/>
              <w:rPr>
                <w:sz w:val="20"/>
              </w:rPr>
            </w:pPr>
            <w:r>
              <w:rPr>
                <w:sz w:val="20"/>
              </w:rPr>
              <w:t xml:space="preserve">Mercatus Center. 2016. “Freedom in the 50 States.” Arlington, VA: George Mason University. </w:t>
            </w:r>
            <w:hyperlink r:id="rId564">
              <w:r>
                <w:rPr>
                  <w:color w:val="0462C1"/>
                  <w:sz w:val="20"/>
                  <w:u w:val="single" w:color="0462C1"/>
                </w:rPr>
                <w:t>http://freedominthe50states.org/about</w:t>
              </w:r>
              <w:r>
                <w:rPr>
                  <w:sz w:val="20"/>
                </w:rPr>
                <w:t>.</w:t>
              </w:r>
            </w:hyperlink>
          </w:p>
        </w:tc>
      </w:tr>
    </w:tbl>
    <w:p w14:paraId="59A95143" w14:textId="77777777" w:rsidR="0046798B" w:rsidRDefault="0046798B">
      <w:pPr>
        <w:rPr>
          <w:sz w:val="20"/>
        </w:rPr>
        <w:sectPr w:rsidR="0046798B">
          <w:pgSz w:w="15840" w:h="12240" w:orient="landscape"/>
          <w:pgMar w:top="1220" w:right="300" w:bottom="980" w:left="820" w:header="730" w:footer="787" w:gutter="0"/>
          <w:cols w:space="720"/>
        </w:sectPr>
      </w:pPr>
    </w:p>
    <w:p w14:paraId="4F9F5E5E"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0"/>
        <w:gridCol w:w="3421"/>
        <w:gridCol w:w="6477"/>
      </w:tblGrid>
      <w:tr w:rsidR="0046798B" w14:paraId="578170EC" w14:textId="77777777">
        <w:trPr>
          <w:trHeight w:val="775"/>
        </w:trPr>
        <w:tc>
          <w:tcPr>
            <w:tcW w:w="1711" w:type="dxa"/>
          </w:tcPr>
          <w:p w14:paraId="2FF40C9F" w14:textId="77777777" w:rsidR="0046798B" w:rsidRDefault="0046798B">
            <w:pPr>
              <w:pStyle w:val="TableParagraph"/>
              <w:rPr>
                <w:sz w:val="20"/>
              </w:rPr>
            </w:pPr>
          </w:p>
        </w:tc>
        <w:tc>
          <w:tcPr>
            <w:tcW w:w="1596" w:type="dxa"/>
          </w:tcPr>
          <w:p w14:paraId="40950CBF" w14:textId="77777777" w:rsidR="0046798B" w:rsidRDefault="0046798B">
            <w:pPr>
              <w:pStyle w:val="TableParagraph"/>
              <w:rPr>
                <w:sz w:val="20"/>
              </w:rPr>
            </w:pPr>
          </w:p>
        </w:tc>
        <w:tc>
          <w:tcPr>
            <w:tcW w:w="1280" w:type="dxa"/>
          </w:tcPr>
          <w:p w14:paraId="3116E530" w14:textId="77777777" w:rsidR="0046798B" w:rsidRDefault="0046798B">
            <w:pPr>
              <w:pStyle w:val="TableParagraph"/>
              <w:rPr>
                <w:sz w:val="20"/>
              </w:rPr>
            </w:pPr>
          </w:p>
        </w:tc>
        <w:tc>
          <w:tcPr>
            <w:tcW w:w="3421" w:type="dxa"/>
          </w:tcPr>
          <w:p w14:paraId="56632832" w14:textId="77777777" w:rsidR="0046798B" w:rsidRDefault="00903B5C">
            <w:pPr>
              <w:pStyle w:val="TableParagraph"/>
              <w:spacing w:before="43"/>
              <w:ind w:left="114" w:right="227"/>
              <w:rPr>
                <w:sz w:val="20"/>
              </w:rPr>
            </w:pPr>
            <w:r>
              <w:rPr>
                <w:sz w:val="20"/>
              </w:rPr>
              <w:t>used in the fiscal policy dimension, as well as the deadweight costs of the taxes.</w:t>
            </w:r>
          </w:p>
        </w:tc>
        <w:tc>
          <w:tcPr>
            <w:tcW w:w="6477" w:type="dxa"/>
          </w:tcPr>
          <w:p w14:paraId="3509E420" w14:textId="77777777" w:rsidR="0046798B" w:rsidRDefault="0046798B">
            <w:pPr>
              <w:pStyle w:val="TableParagraph"/>
              <w:rPr>
                <w:sz w:val="20"/>
              </w:rPr>
            </w:pPr>
          </w:p>
        </w:tc>
      </w:tr>
      <w:tr w:rsidR="0046798B" w14:paraId="616287C5" w14:textId="77777777">
        <w:trPr>
          <w:trHeight w:val="1925"/>
        </w:trPr>
        <w:tc>
          <w:tcPr>
            <w:tcW w:w="1711" w:type="dxa"/>
          </w:tcPr>
          <w:p w14:paraId="1BD5EAA6" w14:textId="77777777" w:rsidR="0046798B" w:rsidRDefault="0046798B">
            <w:pPr>
              <w:pStyle w:val="TableParagraph"/>
            </w:pPr>
          </w:p>
          <w:p w14:paraId="78979EC5" w14:textId="77777777" w:rsidR="0046798B" w:rsidRDefault="0046798B">
            <w:pPr>
              <w:pStyle w:val="TableParagraph"/>
            </w:pPr>
          </w:p>
          <w:p w14:paraId="6BB2DBCF" w14:textId="77777777" w:rsidR="0046798B" w:rsidRDefault="0046798B">
            <w:pPr>
              <w:pStyle w:val="TableParagraph"/>
              <w:spacing w:before="9"/>
              <w:rPr>
                <w:sz w:val="29"/>
              </w:rPr>
            </w:pPr>
          </w:p>
          <w:p w14:paraId="47A771EF" w14:textId="77777777" w:rsidR="0046798B" w:rsidRDefault="00903B5C">
            <w:pPr>
              <w:pStyle w:val="TableParagraph"/>
              <w:ind w:left="115"/>
              <w:rPr>
                <w:b/>
                <w:sz w:val="20"/>
              </w:rPr>
            </w:pPr>
            <w:r>
              <w:rPr>
                <w:b/>
                <w:sz w:val="20"/>
              </w:rPr>
              <w:t>tortfree</w:t>
            </w:r>
          </w:p>
        </w:tc>
        <w:tc>
          <w:tcPr>
            <w:tcW w:w="1596" w:type="dxa"/>
          </w:tcPr>
          <w:p w14:paraId="7DCAC0A7" w14:textId="77777777" w:rsidR="0046798B" w:rsidRDefault="0046798B">
            <w:pPr>
              <w:pStyle w:val="TableParagraph"/>
            </w:pPr>
          </w:p>
          <w:p w14:paraId="664DB6E9" w14:textId="77777777" w:rsidR="0046798B" w:rsidRDefault="0046798B">
            <w:pPr>
              <w:pStyle w:val="TableParagraph"/>
            </w:pPr>
          </w:p>
          <w:p w14:paraId="4E6EE661" w14:textId="77777777" w:rsidR="0046798B" w:rsidRDefault="0046798B">
            <w:pPr>
              <w:pStyle w:val="TableParagraph"/>
              <w:spacing w:before="9"/>
              <w:rPr>
                <w:sz w:val="29"/>
              </w:rPr>
            </w:pPr>
          </w:p>
          <w:p w14:paraId="0F88F9FF" w14:textId="77777777" w:rsidR="0046798B" w:rsidRDefault="00903B5C">
            <w:pPr>
              <w:pStyle w:val="TableParagraph"/>
              <w:ind w:left="114"/>
              <w:rPr>
                <w:sz w:val="20"/>
              </w:rPr>
            </w:pPr>
            <w:r>
              <w:rPr>
                <w:sz w:val="20"/>
              </w:rPr>
              <w:t>Tort freedom</w:t>
            </w:r>
          </w:p>
        </w:tc>
        <w:tc>
          <w:tcPr>
            <w:tcW w:w="1280" w:type="dxa"/>
          </w:tcPr>
          <w:p w14:paraId="14EB6E8D" w14:textId="77777777" w:rsidR="0046798B" w:rsidRDefault="0046798B">
            <w:pPr>
              <w:pStyle w:val="TableParagraph"/>
            </w:pPr>
          </w:p>
          <w:p w14:paraId="26FCD291" w14:textId="77777777" w:rsidR="0046798B" w:rsidRDefault="0046798B">
            <w:pPr>
              <w:pStyle w:val="TableParagraph"/>
            </w:pPr>
          </w:p>
          <w:p w14:paraId="4C26D91F" w14:textId="77777777" w:rsidR="0046798B" w:rsidRDefault="0046798B">
            <w:pPr>
              <w:pStyle w:val="TableParagraph"/>
              <w:spacing w:before="9"/>
              <w:rPr>
                <w:sz w:val="29"/>
              </w:rPr>
            </w:pPr>
          </w:p>
          <w:p w14:paraId="096448F1" w14:textId="77777777" w:rsidR="0046798B" w:rsidRDefault="00903B5C">
            <w:pPr>
              <w:pStyle w:val="TableParagraph"/>
              <w:ind w:left="114"/>
              <w:rPr>
                <w:sz w:val="20"/>
              </w:rPr>
            </w:pPr>
            <w:r>
              <w:rPr>
                <w:sz w:val="20"/>
              </w:rPr>
              <w:t>2001–2011</w:t>
            </w:r>
          </w:p>
        </w:tc>
        <w:tc>
          <w:tcPr>
            <w:tcW w:w="3421" w:type="dxa"/>
          </w:tcPr>
          <w:p w14:paraId="674EEE62" w14:textId="77777777" w:rsidR="0046798B" w:rsidRDefault="00903B5C">
            <w:pPr>
              <w:pStyle w:val="TableParagraph"/>
              <w:spacing w:before="43"/>
              <w:ind w:left="114" w:right="149"/>
              <w:rPr>
                <w:sz w:val="20"/>
              </w:rPr>
            </w:pPr>
            <w:r>
              <w:rPr>
                <w:sz w:val="20"/>
              </w:rPr>
              <w:t>The liability system is a ranking of state tort systems based on a survey of business owners and managers. This is what the US Chamber of Commerce calls a state’s “lawsuit climate.” It captures risks and costs that businesses must pass on to consumers as higher prices.</w:t>
            </w:r>
          </w:p>
        </w:tc>
        <w:tc>
          <w:tcPr>
            <w:tcW w:w="6477" w:type="dxa"/>
          </w:tcPr>
          <w:p w14:paraId="5A1C2594" w14:textId="77777777" w:rsidR="0046798B" w:rsidRDefault="0046798B">
            <w:pPr>
              <w:pStyle w:val="TableParagraph"/>
            </w:pPr>
          </w:p>
          <w:p w14:paraId="04DA81E6" w14:textId="77777777" w:rsidR="0046798B" w:rsidRDefault="0046798B">
            <w:pPr>
              <w:pStyle w:val="TableParagraph"/>
            </w:pPr>
          </w:p>
          <w:p w14:paraId="4DB613F2" w14:textId="77777777" w:rsidR="0046798B" w:rsidRDefault="0046798B">
            <w:pPr>
              <w:pStyle w:val="TableParagraph"/>
              <w:spacing w:before="9"/>
              <w:rPr>
                <w:sz w:val="19"/>
              </w:rPr>
            </w:pPr>
          </w:p>
          <w:p w14:paraId="5D27F804" w14:textId="77777777" w:rsidR="0046798B" w:rsidRDefault="00903B5C">
            <w:pPr>
              <w:pStyle w:val="TableParagraph"/>
              <w:ind w:left="114"/>
              <w:rPr>
                <w:sz w:val="20"/>
              </w:rPr>
            </w:pPr>
            <w:r>
              <w:rPr>
                <w:sz w:val="20"/>
              </w:rPr>
              <w:t xml:space="preserve">Mercatus Center. 2016. “Freedom in the 50 States.” Arlington, VA: George Mason University. </w:t>
            </w:r>
            <w:hyperlink r:id="rId565">
              <w:r>
                <w:rPr>
                  <w:color w:val="0462C1"/>
                  <w:sz w:val="20"/>
                  <w:u w:val="single" w:color="0462C1"/>
                </w:rPr>
                <w:t>http://freedominthe50states.org/about</w:t>
              </w:r>
              <w:r>
                <w:rPr>
                  <w:sz w:val="20"/>
                </w:rPr>
                <w:t>.</w:t>
              </w:r>
            </w:hyperlink>
          </w:p>
        </w:tc>
      </w:tr>
      <w:tr w:rsidR="0046798B" w14:paraId="769763F7" w14:textId="77777777">
        <w:trPr>
          <w:trHeight w:val="1700"/>
        </w:trPr>
        <w:tc>
          <w:tcPr>
            <w:tcW w:w="1711" w:type="dxa"/>
          </w:tcPr>
          <w:p w14:paraId="1BFF7400" w14:textId="77777777" w:rsidR="0046798B" w:rsidRDefault="0046798B">
            <w:pPr>
              <w:pStyle w:val="TableParagraph"/>
            </w:pPr>
          </w:p>
          <w:p w14:paraId="3211D8E7" w14:textId="77777777" w:rsidR="0046798B" w:rsidRDefault="0046798B">
            <w:pPr>
              <w:pStyle w:val="TableParagraph"/>
            </w:pPr>
          </w:p>
          <w:p w14:paraId="71BAD288" w14:textId="77777777" w:rsidR="0046798B" w:rsidRDefault="0046798B">
            <w:pPr>
              <w:pStyle w:val="TableParagraph"/>
              <w:spacing w:before="9"/>
              <w:rPr>
                <w:sz w:val="19"/>
              </w:rPr>
            </w:pPr>
          </w:p>
          <w:p w14:paraId="272BA996" w14:textId="77777777" w:rsidR="0046798B" w:rsidRDefault="00903B5C">
            <w:pPr>
              <w:pStyle w:val="TableParagraph"/>
              <w:ind w:left="115"/>
              <w:rPr>
                <w:b/>
                <w:sz w:val="20"/>
              </w:rPr>
            </w:pPr>
            <w:r>
              <w:rPr>
                <w:b/>
                <w:sz w:val="20"/>
              </w:rPr>
              <w:t>utilfree</w:t>
            </w:r>
          </w:p>
        </w:tc>
        <w:tc>
          <w:tcPr>
            <w:tcW w:w="1596" w:type="dxa"/>
          </w:tcPr>
          <w:p w14:paraId="5115B4D6" w14:textId="77777777" w:rsidR="0046798B" w:rsidRDefault="0046798B">
            <w:pPr>
              <w:pStyle w:val="TableParagraph"/>
            </w:pPr>
          </w:p>
          <w:p w14:paraId="48C74B4F" w14:textId="77777777" w:rsidR="0046798B" w:rsidRDefault="0046798B">
            <w:pPr>
              <w:pStyle w:val="TableParagraph"/>
              <w:spacing w:before="9"/>
              <w:rPr>
                <w:sz w:val="31"/>
              </w:rPr>
            </w:pPr>
          </w:p>
          <w:p w14:paraId="20A1002D" w14:textId="77777777" w:rsidR="0046798B" w:rsidRDefault="00903B5C">
            <w:pPr>
              <w:pStyle w:val="TableParagraph"/>
              <w:ind w:left="114" w:right="102"/>
              <w:rPr>
                <w:sz w:val="20"/>
              </w:rPr>
            </w:pPr>
            <w:r>
              <w:rPr>
                <w:sz w:val="20"/>
              </w:rPr>
              <w:t>Cable and telecom freedom</w:t>
            </w:r>
          </w:p>
        </w:tc>
        <w:tc>
          <w:tcPr>
            <w:tcW w:w="1280" w:type="dxa"/>
          </w:tcPr>
          <w:p w14:paraId="5B907618" w14:textId="77777777" w:rsidR="0046798B" w:rsidRDefault="0046798B">
            <w:pPr>
              <w:pStyle w:val="TableParagraph"/>
            </w:pPr>
          </w:p>
          <w:p w14:paraId="500F55F4" w14:textId="77777777" w:rsidR="0046798B" w:rsidRDefault="0046798B">
            <w:pPr>
              <w:pStyle w:val="TableParagraph"/>
            </w:pPr>
          </w:p>
          <w:p w14:paraId="7761464E" w14:textId="77777777" w:rsidR="0046798B" w:rsidRDefault="0046798B">
            <w:pPr>
              <w:pStyle w:val="TableParagraph"/>
              <w:spacing w:before="9"/>
              <w:rPr>
                <w:sz w:val="19"/>
              </w:rPr>
            </w:pPr>
          </w:p>
          <w:p w14:paraId="69D32847" w14:textId="77777777" w:rsidR="0046798B" w:rsidRDefault="00903B5C">
            <w:pPr>
              <w:pStyle w:val="TableParagraph"/>
              <w:ind w:left="114"/>
              <w:rPr>
                <w:sz w:val="20"/>
              </w:rPr>
            </w:pPr>
            <w:r>
              <w:rPr>
                <w:sz w:val="20"/>
              </w:rPr>
              <w:t>2001–2011</w:t>
            </w:r>
          </w:p>
        </w:tc>
        <w:tc>
          <w:tcPr>
            <w:tcW w:w="3421" w:type="dxa"/>
          </w:tcPr>
          <w:p w14:paraId="64BD1511" w14:textId="77777777" w:rsidR="0046798B" w:rsidRDefault="00903B5C">
            <w:pPr>
              <w:pStyle w:val="TableParagraph"/>
              <w:spacing w:before="43"/>
              <w:ind w:left="114" w:right="205"/>
              <w:rPr>
                <w:sz w:val="20"/>
              </w:rPr>
            </w:pPr>
            <w:r>
              <w:rPr>
                <w:sz w:val="20"/>
              </w:rPr>
              <w:t>Telecommunications deregulation accounts for roughly two-thirds of the weight for this category, and the remainder is accounted for by statewide cable franchising, which eases the entry of telecom firms into the video cable market.</w:t>
            </w:r>
          </w:p>
        </w:tc>
        <w:tc>
          <w:tcPr>
            <w:tcW w:w="6477" w:type="dxa"/>
          </w:tcPr>
          <w:p w14:paraId="44DE0EE2" w14:textId="77777777" w:rsidR="0046798B" w:rsidRDefault="0046798B">
            <w:pPr>
              <w:pStyle w:val="TableParagraph"/>
            </w:pPr>
          </w:p>
          <w:p w14:paraId="15EDC88C" w14:textId="77777777" w:rsidR="0046798B" w:rsidRDefault="0046798B">
            <w:pPr>
              <w:pStyle w:val="TableParagraph"/>
              <w:spacing w:before="9"/>
              <w:rPr>
                <w:sz w:val="31"/>
              </w:rPr>
            </w:pPr>
          </w:p>
          <w:p w14:paraId="5E337188" w14:textId="77777777" w:rsidR="0046798B" w:rsidRDefault="00903B5C">
            <w:pPr>
              <w:pStyle w:val="TableParagraph"/>
              <w:ind w:left="114"/>
              <w:rPr>
                <w:sz w:val="20"/>
              </w:rPr>
            </w:pPr>
            <w:r>
              <w:rPr>
                <w:sz w:val="20"/>
              </w:rPr>
              <w:t xml:space="preserve">Mercatus Center. 2016. “Freedom in the 50 States.” Arlington, VA: George Mason University. </w:t>
            </w:r>
            <w:hyperlink r:id="rId566">
              <w:r>
                <w:rPr>
                  <w:color w:val="0462C1"/>
                  <w:sz w:val="20"/>
                  <w:u w:val="single" w:color="0462C1"/>
                </w:rPr>
                <w:t>http://freedominthe50states.org/about</w:t>
              </w:r>
              <w:r>
                <w:rPr>
                  <w:sz w:val="20"/>
                </w:rPr>
                <w:t>.</w:t>
              </w:r>
            </w:hyperlink>
          </w:p>
        </w:tc>
      </w:tr>
      <w:tr w:rsidR="0046798B" w14:paraId="61EA2143" w14:textId="77777777">
        <w:trPr>
          <w:trHeight w:val="2846"/>
        </w:trPr>
        <w:tc>
          <w:tcPr>
            <w:tcW w:w="1711" w:type="dxa"/>
          </w:tcPr>
          <w:p w14:paraId="28E2FAB6" w14:textId="77777777" w:rsidR="0046798B" w:rsidRDefault="0046798B">
            <w:pPr>
              <w:pStyle w:val="TableParagraph"/>
            </w:pPr>
          </w:p>
          <w:p w14:paraId="26B8D4E3" w14:textId="77777777" w:rsidR="0046798B" w:rsidRDefault="0046798B">
            <w:pPr>
              <w:pStyle w:val="TableParagraph"/>
            </w:pPr>
          </w:p>
          <w:p w14:paraId="1BCBC7DB" w14:textId="77777777" w:rsidR="0046798B" w:rsidRDefault="0046798B">
            <w:pPr>
              <w:pStyle w:val="TableParagraph"/>
            </w:pPr>
          </w:p>
          <w:p w14:paraId="73BEE9A8" w14:textId="77777777" w:rsidR="0046798B" w:rsidRDefault="0046798B">
            <w:pPr>
              <w:pStyle w:val="TableParagraph"/>
            </w:pPr>
          </w:p>
          <w:p w14:paraId="7E16CEB5" w14:textId="77777777" w:rsidR="0046798B" w:rsidRDefault="0046798B">
            <w:pPr>
              <w:pStyle w:val="TableParagraph"/>
              <w:spacing w:before="4"/>
              <w:rPr>
                <w:sz w:val="25"/>
              </w:rPr>
            </w:pPr>
          </w:p>
          <w:p w14:paraId="4C04FF8C" w14:textId="77777777" w:rsidR="0046798B" w:rsidRDefault="00903B5C">
            <w:pPr>
              <w:pStyle w:val="TableParagraph"/>
              <w:ind w:left="115"/>
              <w:rPr>
                <w:b/>
                <w:sz w:val="20"/>
              </w:rPr>
            </w:pPr>
            <w:r>
              <w:rPr>
                <w:b/>
                <w:sz w:val="20"/>
              </w:rPr>
              <w:t>vcfree</w:t>
            </w:r>
          </w:p>
        </w:tc>
        <w:tc>
          <w:tcPr>
            <w:tcW w:w="1596" w:type="dxa"/>
          </w:tcPr>
          <w:p w14:paraId="76CC7932" w14:textId="77777777" w:rsidR="0046798B" w:rsidRDefault="0046798B">
            <w:pPr>
              <w:pStyle w:val="TableParagraph"/>
            </w:pPr>
          </w:p>
          <w:p w14:paraId="1D525D1D" w14:textId="77777777" w:rsidR="0046798B" w:rsidRDefault="0046798B">
            <w:pPr>
              <w:pStyle w:val="TableParagraph"/>
            </w:pPr>
          </w:p>
          <w:p w14:paraId="7BCAF560" w14:textId="77777777" w:rsidR="0046798B" w:rsidRDefault="0046798B">
            <w:pPr>
              <w:pStyle w:val="TableParagraph"/>
            </w:pPr>
          </w:p>
          <w:p w14:paraId="34346DE5" w14:textId="77777777" w:rsidR="0046798B" w:rsidRDefault="0046798B">
            <w:pPr>
              <w:pStyle w:val="TableParagraph"/>
            </w:pPr>
          </w:p>
          <w:p w14:paraId="5A68B425" w14:textId="77777777" w:rsidR="0046798B" w:rsidRDefault="00903B5C">
            <w:pPr>
              <w:pStyle w:val="TableParagraph"/>
              <w:spacing w:before="177"/>
              <w:ind w:left="114" w:right="91"/>
              <w:rPr>
                <w:sz w:val="20"/>
              </w:rPr>
            </w:pPr>
            <w:r>
              <w:rPr>
                <w:sz w:val="20"/>
              </w:rPr>
              <w:t>Victimless crime freedom</w:t>
            </w:r>
          </w:p>
        </w:tc>
        <w:tc>
          <w:tcPr>
            <w:tcW w:w="1280" w:type="dxa"/>
          </w:tcPr>
          <w:p w14:paraId="7DD3D3FE" w14:textId="77777777" w:rsidR="0046798B" w:rsidRDefault="0046798B">
            <w:pPr>
              <w:pStyle w:val="TableParagraph"/>
            </w:pPr>
          </w:p>
          <w:p w14:paraId="4278AE56" w14:textId="77777777" w:rsidR="0046798B" w:rsidRDefault="0046798B">
            <w:pPr>
              <w:pStyle w:val="TableParagraph"/>
            </w:pPr>
          </w:p>
          <w:p w14:paraId="2AC4E4D9" w14:textId="77777777" w:rsidR="0046798B" w:rsidRDefault="0046798B">
            <w:pPr>
              <w:pStyle w:val="TableParagraph"/>
            </w:pPr>
          </w:p>
          <w:p w14:paraId="5E8C16DF" w14:textId="77777777" w:rsidR="0046798B" w:rsidRDefault="0046798B">
            <w:pPr>
              <w:pStyle w:val="TableParagraph"/>
            </w:pPr>
          </w:p>
          <w:p w14:paraId="3F565223" w14:textId="77777777" w:rsidR="0046798B" w:rsidRDefault="0046798B">
            <w:pPr>
              <w:pStyle w:val="TableParagraph"/>
              <w:spacing w:before="4"/>
              <w:rPr>
                <w:sz w:val="25"/>
              </w:rPr>
            </w:pPr>
          </w:p>
          <w:p w14:paraId="6D99DC7B" w14:textId="77777777" w:rsidR="0046798B" w:rsidRDefault="00903B5C">
            <w:pPr>
              <w:pStyle w:val="TableParagraph"/>
              <w:ind w:left="114"/>
              <w:rPr>
                <w:sz w:val="20"/>
              </w:rPr>
            </w:pPr>
            <w:r>
              <w:rPr>
                <w:sz w:val="20"/>
              </w:rPr>
              <w:t>2001–2011</w:t>
            </w:r>
          </w:p>
        </w:tc>
        <w:tc>
          <w:tcPr>
            <w:tcW w:w="3421" w:type="dxa"/>
          </w:tcPr>
          <w:p w14:paraId="42AC5DBC" w14:textId="77777777" w:rsidR="0046798B" w:rsidRDefault="00903B5C">
            <w:pPr>
              <w:pStyle w:val="TableParagraph"/>
              <w:spacing w:before="38"/>
              <w:ind w:left="114" w:right="95"/>
              <w:rPr>
                <w:sz w:val="20"/>
              </w:rPr>
            </w:pPr>
            <w:r>
              <w:rPr>
                <w:sz w:val="20"/>
              </w:rPr>
              <w:t>The most heavily weighted category in the personal freedom dimension—after direct victim costs have been calculated and constitutional factors taken into account—is the law enforcement statistics category, which consists of data on incarceration rates adjusted for violent and property crime rates, non- drug victimless crimes arrests, and the drug enforcement rate. This category is worth over one-quarter of the personal freedom index.</w:t>
            </w:r>
          </w:p>
        </w:tc>
        <w:tc>
          <w:tcPr>
            <w:tcW w:w="6477" w:type="dxa"/>
          </w:tcPr>
          <w:p w14:paraId="6994C34C" w14:textId="77777777" w:rsidR="0046798B" w:rsidRDefault="0046798B">
            <w:pPr>
              <w:pStyle w:val="TableParagraph"/>
            </w:pPr>
          </w:p>
          <w:p w14:paraId="0B1517D3" w14:textId="77777777" w:rsidR="0046798B" w:rsidRDefault="0046798B">
            <w:pPr>
              <w:pStyle w:val="TableParagraph"/>
            </w:pPr>
          </w:p>
          <w:p w14:paraId="433FABA1" w14:textId="77777777" w:rsidR="0046798B" w:rsidRDefault="0046798B">
            <w:pPr>
              <w:pStyle w:val="TableParagraph"/>
            </w:pPr>
          </w:p>
          <w:p w14:paraId="7CA81F3E" w14:textId="77777777" w:rsidR="0046798B" w:rsidRDefault="0046798B">
            <w:pPr>
              <w:pStyle w:val="TableParagraph"/>
            </w:pPr>
          </w:p>
          <w:p w14:paraId="58C392F8" w14:textId="77777777" w:rsidR="0046798B" w:rsidRDefault="00903B5C">
            <w:pPr>
              <w:pStyle w:val="TableParagraph"/>
              <w:spacing w:before="177"/>
              <w:ind w:left="114"/>
              <w:rPr>
                <w:sz w:val="20"/>
              </w:rPr>
            </w:pPr>
            <w:r>
              <w:rPr>
                <w:sz w:val="20"/>
              </w:rPr>
              <w:t xml:space="preserve">Mercatus Center. 2016. “Freedom in the 50 States.” Arlington, VA: George Mason University. </w:t>
            </w:r>
            <w:hyperlink r:id="rId567">
              <w:r>
                <w:rPr>
                  <w:color w:val="0462C1"/>
                  <w:sz w:val="20"/>
                  <w:u w:val="single" w:color="0462C1"/>
                </w:rPr>
                <w:t>http://freedominthe50states.org/about</w:t>
              </w:r>
              <w:r>
                <w:rPr>
                  <w:sz w:val="20"/>
                </w:rPr>
                <w:t>.</w:t>
              </w:r>
            </w:hyperlink>
          </w:p>
        </w:tc>
      </w:tr>
      <w:tr w:rsidR="0046798B" w14:paraId="5DBEBC20" w14:textId="77777777">
        <w:trPr>
          <w:trHeight w:val="1235"/>
        </w:trPr>
        <w:tc>
          <w:tcPr>
            <w:tcW w:w="1711" w:type="dxa"/>
          </w:tcPr>
          <w:p w14:paraId="6E0AFA21" w14:textId="77777777" w:rsidR="0046798B" w:rsidRDefault="0046798B">
            <w:pPr>
              <w:pStyle w:val="TableParagraph"/>
            </w:pPr>
          </w:p>
          <w:p w14:paraId="362AA851" w14:textId="77777777" w:rsidR="0046798B" w:rsidRDefault="0046798B">
            <w:pPr>
              <w:pStyle w:val="TableParagraph"/>
              <w:spacing w:before="4"/>
              <w:rPr>
                <w:sz w:val="21"/>
              </w:rPr>
            </w:pPr>
          </w:p>
          <w:p w14:paraId="1D880DA9" w14:textId="77777777" w:rsidR="0046798B" w:rsidRDefault="00903B5C">
            <w:pPr>
              <w:pStyle w:val="TableParagraph"/>
              <w:ind w:left="115"/>
              <w:rPr>
                <w:b/>
                <w:sz w:val="20"/>
              </w:rPr>
            </w:pPr>
            <w:r>
              <w:rPr>
                <w:b/>
                <w:sz w:val="20"/>
              </w:rPr>
              <w:t>efna_index</w:t>
            </w:r>
          </w:p>
        </w:tc>
        <w:tc>
          <w:tcPr>
            <w:tcW w:w="1596" w:type="dxa"/>
          </w:tcPr>
          <w:p w14:paraId="0780C4E5" w14:textId="77777777" w:rsidR="0046798B" w:rsidRDefault="0046798B">
            <w:pPr>
              <w:pStyle w:val="TableParagraph"/>
            </w:pPr>
          </w:p>
          <w:p w14:paraId="720E3704" w14:textId="77777777" w:rsidR="0046798B" w:rsidRDefault="00903B5C">
            <w:pPr>
              <w:pStyle w:val="TableParagraph"/>
              <w:spacing w:before="130"/>
              <w:ind w:left="114" w:right="291"/>
              <w:rPr>
                <w:sz w:val="20"/>
              </w:rPr>
            </w:pPr>
            <w:r>
              <w:rPr>
                <w:sz w:val="20"/>
              </w:rPr>
              <w:t>Economic freedom index</w:t>
            </w:r>
          </w:p>
        </w:tc>
        <w:tc>
          <w:tcPr>
            <w:tcW w:w="1280" w:type="dxa"/>
          </w:tcPr>
          <w:p w14:paraId="26618CA4" w14:textId="77777777" w:rsidR="0046798B" w:rsidRDefault="0046798B">
            <w:pPr>
              <w:pStyle w:val="TableParagraph"/>
            </w:pPr>
          </w:p>
          <w:p w14:paraId="075D308B" w14:textId="77777777" w:rsidR="0046798B" w:rsidRDefault="0046798B">
            <w:pPr>
              <w:pStyle w:val="TableParagraph"/>
              <w:spacing w:before="4"/>
              <w:rPr>
                <w:sz w:val="21"/>
              </w:rPr>
            </w:pPr>
          </w:p>
          <w:p w14:paraId="1D1C0A7B" w14:textId="77777777" w:rsidR="0046798B" w:rsidRDefault="00903B5C">
            <w:pPr>
              <w:pStyle w:val="TableParagraph"/>
              <w:ind w:left="114"/>
              <w:rPr>
                <w:sz w:val="20"/>
              </w:rPr>
            </w:pPr>
            <w:r>
              <w:rPr>
                <w:sz w:val="20"/>
              </w:rPr>
              <w:t>1981–2013</w:t>
            </w:r>
          </w:p>
        </w:tc>
        <w:tc>
          <w:tcPr>
            <w:tcW w:w="3421" w:type="dxa"/>
          </w:tcPr>
          <w:p w14:paraId="57CADD2F" w14:textId="77777777" w:rsidR="0046798B" w:rsidRDefault="00903B5C">
            <w:pPr>
              <w:pStyle w:val="TableParagraph"/>
              <w:spacing w:before="38"/>
              <w:ind w:left="114" w:right="89"/>
              <w:rPr>
                <w:sz w:val="20"/>
              </w:rPr>
            </w:pPr>
            <w:r>
              <w:rPr>
                <w:sz w:val="20"/>
              </w:rPr>
              <w:t>This economic freedom index measures overall level of economic freedom based on government spending, taxes, and labor market freedom</w:t>
            </w:r>
          </w:p>
        </w:tc>
        <w:tc>
          <w:tcPr>
            <w:tcW w:w="6477" w:type="dxa"/>
          </w:tcPr>
          <w:p w14:paraId="1C943F60" w14:textId="77777777" w:rsidR="0046798B" w:rsidRDefault="0046798B">
            <w:pPr>
              <w:pStyle w:val="TableParagraph"/>
              <w:spacing w:before="3"/>
              <w:rPr>
                <w:sz w:val="23"/>
              </w:rPr>
            </w:pPr>
          </w:p>
          <w:p w14:paraId="7E4FFD8B" w14:textId="77777777" w:rsidR="0046798B" w:rsidRDefault="00903B5C">
            <w:pPr>
              <w:pStyle w:val="TableParagraph"/>
              <w:spacing w:before="1"/>
              <w:ind w:left="114"/>
              <w:rPr>
                <w:sz w:val="20"/>
              </w:rPr>
            </w:pPr>
            <w:r>
              <w:rPr>
                <w:sz w:val="20"/>
              </w:rPr>
              <w:t>Stansel, Dean, José Torra, and Fred McMahon. 2015. “Economic Freedom of North America.” Vancouver, BC: Fraiser Institute.</w:t>
            </w:r>
          </w:p>
        </w:tc>
      </w:tr>
      <w:tr w:rsidR="0046798B" w14:paraId="1A971FFB" w14:textId="77777777">
        <w:trPr>
          <w:trHeight w:val="775"/>
        </w:trPr>
        <w:tc>
          <w:tcPr>
            <w:tcW w:w="1711" w:type="dxa"/>
          </w:tcPr>
          <w:p w14:paraId="7943F090" w14:textId="77777777" w:rsidR="0046798B" w:rsidRDefault="0046798B">
            <w:pPr>
              <w:pStyle w:val="TableParagraph"/>
              <w:spacing w:before="3"/>
              <w:rPr>
                <w:sz w:val="23"/>
              </w:rPr>
            </w:pPr>
          </w:p>
          <w:p w14:paraId="3E70B574" w14:textId="77777777" w:rsidR="0046798B" w:rsidRDefault="00903B5C">
            <w:pPr>
              <w:pStyle w:val="TableParagraph"/>
              <w:spacing w:before="1"/>
              <w:ind w:left="115"/>
              <w:rPr>
                <w:b/>
                <w:sz w:val="20"/>
              </w:rPr>
            </w:pPr>
            <w:r>
              <w:rPr>
                <w:b/>
                <w:sz w:val="20"/>
              </w:rPr>
              <w:t>integrity</w:t>
            </w:r>
          </w:p>
        </w:tc>
        <w:tc>
          <w:tcPr>
            <w:tcW w:w="1596" w:type="dxa"/>
          </w:tcPr>
          <w:p w14:paraId="04EE07C6" w14:textId="77777777" w:rsidR="0046798B" w:rsidRDefault="00903B5C">
            <w:pPr>
              <w:pStyle w:val="TableParagraph"/>
              <w:spacing w:before="38"/>
              <w:ind w:left="114" w:right="496"/>
              <w:rPr>
                <w:sz w:val="20"/>
              </w:rPr>
            </w:pPr>
            <w:r>
              <w:rPr>
                <w:sz w:val="20"/>
              </w:rPr>
              <w:t>State government integrity</w:t>
            </w:r>
          </w:p>
        </w:tc>
        <w:tc>
          <w:tcPr>
            <w:tcW w:w="1280" w:type="dxa"/>
          </w:tcPr>
          <w:p w14:paraId="3AACE83C" w14:textId="77777777" w:rsidR="0046798B" w:rsidRDefault="0046798B">
            <w:pPr>
              <w:pStyle w:val="TableParagraph"/>
              <w:spacing w:before="3"/>
              <w:rPr>
                <w:sz w:val="23"/>
              </w:rPr>
            </w:pPr>
          </w:p>
          <w:p w14:paraId="16560D35" w14:textId="77777777" w:rsidR="0046798B" w:rsidRDefault="00903B5C">
            <w:pPr>
              <w:pStyle w:val="TableParagraph"/>
              <w:spacing w:before="1"/>
              <w:ind w:left="114"/>
              <w:rPr>
                <w:sz w:val="20"/>
              </w:rPr>
            </w:pPr>
            <w:r>
              <w:rPr>
                <w:sz w:val="20"/>
              </w:rPr>
              <w:t>2015</w:t>
            </w:r>
          </w:p>
        </w:tc>
        <w:tc>
          <w:tcPr>
            <w:tcW w:w="3421" w:type="dxa"/>
          </w:tcPr>
          <w:p w14:paraId="7E4561B3" w14:textId="77777777" w:rsidR="0046798B" w:rsidRDefault="00903B5C">
            <w:pPr>
              <w:pStyle w:val="TableParagraph"/>
              <w:spacing w:before="153"/>
              <w:ind w:left="114"/>
              <w:rPr>
                <w:sz w:val="20"/>
              </w:rPr>
            </w:pPr>
            <w:r>
              <w:rPr>
                <w:sz w:val="20"/>
              </w:rPr>
              <w:t>Letter grade for state government integrity, an overall index of thirteen</w:t>
            </w:r>
          </w:p>
        </w:tc>
        <w:tc>
          <w:tcPr>
            <w:tcW w:w="6477" w:type="dxa"/>
          </w:tcPr>
          <w:p w14:paraId="46C1F9C0" w14:textId="77777777" w:rsidR="0046798B" w:rsidRDefault="00903B5C">
            <w:pPr>
              <w:pStyle w:val="TableParagraph"/>
              <w:spacing w:before="38"/>
              <w:ind w:left="114" w:right="1342"/>
              <w:rPr>
                <w:sz w:val="20"/>
              </w:rPr>
            </w:pPr>
            <w:r>
              <w:rPr>
                <w:sz w:val="20"/>
              </w:rPr>
              <w:t xml:space="preserve">The Center for Public Integrity, 2015. “State Integrity 2015.” </w:t>
            </w:r>
            <w:hyperlink r:id="rId568">
              <w:r>
                <w:rPr>
                  <w:color w:val="0462C1"/>
                  <w:sz w:val="20"/>
                  <w:u w:val="single" w:color="0462C1"/>
                </w:rPr>
                <w:t>https://publicintegrity.org/politics/state-politics/state-integrity-</w:t>
              </w:r>
            </w:hyperlink>
            <w:r>
              <w:rPr>
                <w:color w:val="0462C1"/>
                <w:sz w:val="20"/>
              </w:rPr>
              <w:t xml:space="preserve"> </w:t>
            </w:r>
            <w:hyperlink r:id="rId569">
              <w:r>
                <w:rPr>
                  <w:color w:val="0462C1"/>
                  <w:sz w:val="20"/>
                  <w:u w:val="single" w:color="0462C1"/>
                </w:rPr>
                <w:t>investigation/how-does-your-state-rank-for-integrity/</w:t>
              </w:r>
            </w:hyperlink>
          </w:p>
        </w:tc>
      </w:tr>
    </w:tbl>
    <w:p w14:paraId="32B2A2DF" w14:textId="77777777" w:rsidR="0046798B" w:rsidRDefault="0046798B">
      <w:pPr>
        <w:rPr>
          <w:sz w:val="20"/>
        </w:rPr>
        <w:sectPr w:rsidR="0046798B">
          <w:pgSz w:w="15840" w:h="12240" w:orient="landscape"/>
          <w:pgMar w:top="1220" w:right="300" w:bottom="980" w:left="820" w:header="730" w:footer="787" w:gutter="0"/>
          <w:cols w:space="720"/>
        </w:sectPr>
      </w:pPr>
    </w:p>
    <w:p w14:paraId="0A1F11D1"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0"/>
        <w:gridCol w:w="3421"/>
        <w:gridCol w:w="6477"/>
      </w:tblGrid>
      <w:tr w:rsidR="0046798B" w14:paraId="091590AA" w14:textId="77777777">
        <w:trPr>
          <w:trHeight w:val="542"/>
        </w:trPr>
        <w:tc>
          <w:tcPr>
            <w:tcW w:w="1711" w:type="dxa"/>
            <w:tcBorders>
              <w:bottom w:val="dotted" w:sz="6" w:space="0" w:color="BEBEBE"/>
            </w:tcBorders>
          </w:tcPr>
          <w:p w14:paraId="64FB395E" w14:textId="77777777" w:rsidR="0046798B" w:rsidRDefault="0046798B">
            <w:pPr>
              <w:pStyle w:val="TableParagraph"/>
              <w:rPr>
                <w:sz w:val="20"/>
              </w:rPr>
            </w:pPr>
          </w:p>
        </w:tc>
        <w:tc>
          <w:tcPr>
            <w:tcW w:w="1596" w:type="dxa"/>
            <w:tcBorders>
              <w:bottom w:val="dotted" w:sz="6" w:space="0" w:color="BEBEBE"/>
            </w:tcBorders>
          </w:tcPr>
          <w:p w14:paraId="14D4BF11" w14:textId="77777777" w:rsidR="0046798B" w:rsidRDefault="0046798B">
            <w:pPr>
              <w:pStyle w:val="TableParagraph"/>
              <w:rPr>
                <w:sz w:val="20"/>
              </w:rPr>
            </w:pPr>
          </w:p>
        </w:tc>
        <w:tc>
          <w:tcPr>
            <w:tcW w:w="1280" w:type="dxa"/>
            <w:tcBorders>
              <w:bottom w:val="dotted" w:sz="6" w:space="0" w:color="BEBEBE"/>
            </w:tcBorders>
          </w:tcPr>
          <w:p w14:paraId="40B2A294" w14:textId="77777777" w:rsidR="0046798B" w:rsidRDefault="0046798B">
            <w:pPr>
              <w:pStyle w:val="TableParagraph"/>
              <w:rPr>
                <w:sz w:val="20"/>
              </w:rPr>
            </w:pPr>
          </w:p>
        </w:tc>
        <w:tc>
          <w:tcPr>
            <w:tcW w:w="3421" w:type="dxa"/>
            <w:tcBorders>
              <w:bottom w:val="dotted" w:sz="6" w:space="0" w:color="BEBEBE"/>
            </w:tcBorders>
          </w:tcPr>
          <w:p w14:paraId="2013D279" w14:textId="77777777" w:rsidR="0046798B" w:rsidRDefault="00903B5C">
            <w:pPr>
              <w:pStyle w:val="TableParagraph"/>
              <w:spacing w:before="43"/>
              <w:ind w:left="114" w:right="794"/>
              <w:rPr>
                <w:sz w:val="20"/>
              </w:rPr>
            </w:pPr>
            <w:r>
              <w:rPr>
                <w:sz w:val="20"/>
              </w:rPr>
              <w:t>measures of accountability and transparency.</w:t>
            </w:r>
          </w:p>
        </w:tc>
        <w:tc>
          <w:tcPr>
            <w:tcW w:w="6477" w:type="dxa"/>
            <w:tcBorders>
              <w:bottom w:val="dotted" w:sz="6" w:space="0" w:color="BEBEBE"/>
            </w:tcBorders>
          </w:tcPr>
          <w:p w14:paraId="337E231B" w14:textId="77777777" w:rsidR="0046798B" w:rsidRDefault="0046798B">
            <w:pPr>
              <w:pStyle w:val="TableParagraph"/>
              <w:rPr>
                <w:sz w:val="20"/>
              </w:rPr>
            </w:pPr>
          </w:p>
        </w:tc>
      </w:tr>
      <w:tr w:rsidR="0046798B" w14:paraId="0920AE1A" w14:textId="77777777">
        <w:trPr>
          <w:trHeight w:val="2153"/>
        </w:trPr>
        <w:tc>
          <w:tcPr>
            <w:tcW w:w="1711" w:type="dxa"/>
            <w:tcBorders>
              <w:top w:val="dotted" w:sz="6" w:space="0" w:color="BEBEBE"/>
            </w:tcBorders>
          </w:tcPr>
          <w:p w14:paraId="1B5B72AC" w14:textId="77777777" w:rsidR="0046798B" w:rsidRDefault="0046798B">
            <w:pPr>
              <w:pStyle w:val="TableParagraph"/>
            </w:pPr>
          </w:p>
          <w:p w14:paraId="1E4AEAB5" w14:textId="77777777" w:rsidR="0046798B" w:rsidRDefault="0046798B">
            <w:pPr>
              <w:pStyle w:val="TableParagraph"/>
            </w:pPr>
          </w:p>
          <w:p w14:paraId="3B1ADA66" w14:textId="77777777" w:rsidR="0046798B" w:rsidRDefault="0046798B">
            <w:pPr>
              <w:pStyle w:val="TableParagraph"/>
              <w:spacing w:before="6"/>
              <w:rPr>
                <w:sz w:val="29"/>
              </w:rPr>
            </w:pPr>
          </w:p>
          <w:p w14:paraId="1039612F" w14:textId="77777777" w:rsidR="0046798B" w:rsidRDefault="00903B5C">
            <w:pPr>
              <w:pStyle w:val="TableParagraph"/>
              <w:ind w:left="115" w:right="99"/>
              <w:rPr>
                <w:b/>
                <w:sz w:val="20"/>
              </w:rPr>
            </w:pPr>
            <w:r>
              <w:rPr>
                <w:b/>
                <w:sz w:val="20"/>
              </w:rPr>
              <w:t>wallstreet_best_r un</w:t>
            </w:r>
          </w:p>
        </w:tc>
        <w:tc>
          <w:tcPr>
            <w:tcW w:w="1596" w:type="dxa"/>
            <w:tcBorders>
              <w:top w:val="dotted" w:sz="6" w:space="0" w:color="BEBEBE"/>
            </w:tcBorders>
          </w:tcPr>
          <w:p w14:paraId="045211A8" w14:textId="77777777" w:rsidR="0046798B" w:rsidRDefault="0046798B">
            <w:pPr>
              <w:pStyle w:val="TableParagraph"/>
            </w:pPr>
          </w:p>
          <w:p w14:paraId="5B7C1BBE" w14:textId="77777777" w:rsidR="0046798B" w:rsidRDefault="0046798B">
            <w:pPr>
              <w:pStyle w:val="TableParagraph"/>
            </w:pPr>
          </w:p>
          <w:p w14:paraId="43412D54" w14:textId="77777777" w:rsidR="0046798B" w:rsidRDefault="0046798B">
            <w:pPr>
              <w:pStyle w:val="TableParagraph"/>
              <w:spacing w:before="6"/>
              <w:rPr>
                <w:sz w:val="19"/>
              </w:rPr>
            </w:pPr>
          </w:p>
          <w:p w14:paraId="3674B92C" w14:textId="77777777" w:rsidR="0046798B" w:rsidRDefault="00903B5C">
            <w:pPr>
              <w:pStyle w:val="TableParagraph"/>
              <w:ind w:left="114" w:right="281"/>
              <w:jc w:val="both"/>
              <w:rPr>
                <w:sz w:val="20"/>
              </w:rPr>
            </w:pPr>
            <w:r>
              <w:rPr>
                <w:sz w:val="20"/>
              </w:rPr>
              <w:t>Ranking of the best and worst run states</w:t>
            </w:r>
          </w:p>
        </w:tc>
        <w:tc>
          <w:tcPr>
            <w:tcW w:w="1280" w:type="dxa"/>
            <w:tcBorders>
              <w:top w:val="dotted" w:sz="6" w:space="0" w:color="BEBEBE"/>
            </w:tcBorders>
          </w:tcPr>
          <w:p w14:paraId="36F095AA" w14:textId="77777777" w:rsidR="0046798B" w:rsidRDefault="0046798B">
            <w:pPr>
              <w:pStyle w:val="TableParagraph"/>
            </w:pPr>
          </w:p>
          <w:p w14:paraId="46AA7BF1" w14:textId="77777777" w:rsidR="0046798B" w:rsidRDefault="0046798B">
            <w:pPr>
              <w:pStyle w:val="TableParagraph"/>
            </w:pPr>
          </w:p>
          <w:p w14:paraId="15619695" w14:textId="77777777" w:rsidR="0046798B" w:rsidRDefault="0046798B">
            <w:pPr>
              <w:pStyle w:val="TableParagraph"/>
            </w:pPr>
          </w:p>
          <w:p w14:paraId="5BDA9749" w14:textId="77777777" w:rsidR="0046798B" w:rsidRDefault="0046798B">
            <w:pPr>
              <w:pStyle w:val="TableParagraph"/>
              <w:spacing w:before="6"/>
              <w:rPr>
                <w:sz w:val="17"/>
              </w:rPr>
            </w:pPr>
          </w:p>
          <w:p w14:paraId="6BEABE75" w14:textId="77777777" w:rsidR="0046798B" w:rsidRDefault="00903B5C">
            <w:pPr>
              <w:pStyle w:val="TableParagraph"/>
              <w:spacing w:before="1"/>
              <w:ind w:left="114"/>
              <w:rPr>
                <w:sz w:val="20"/>
              </w:rPr>
            </w:pPr>
            <w:r>
              <w:rPr>
                <w:sz w:val="20"/>
              </w:rPr>
              <w:t>2010–2012</w:t>
            </w:r>
          </w:p>
        </w:tc>
        <w:tc>
          <w:tcPr>
            <w:tcW w:w="3421" w:type="dxa"/>
            <w:tcBorders>
              <w:top w:val="dotted" w:sz="6" w:space="0" w:color="BEBEBE"/>
            </w:tcBorders>
          </w:tcPr>
          <w:p w14:paraId="279980C5" w14:textId="77777777" w:rsidR="0046798B" w:rsidRDefault="00903B5C">
            <w:pPr>
              <w:pStyle w:val="TableParagraph"/>
              <w:spacing w:before="40"/>
              <w:ind w:left="114" w:right="189"/>
              <w:rPr>
                <w:sz w:val="20"/>
              </w:rPr>
            </w:pPr>
            <w:r>
              <w:rPr>
                <w:sz w:val="20"/>
              </w:rPr>
              <w:t>Wallstreet 24/7 ranking of the best run states (based on: S&amp;P credit rankings, unemployment, GDP per capita, high school completion for population over 25, violent crime rate, poverty rate, median household income, debt per capita, percent of population without health insurance, change in home values)</w:t>
            </w:r>
          </w:p>
        </w:tc>
        <w:tc>
          <w:tcPr>
            <w:tcW w:w="6477" w:type="dxa"/>
            <w:tcBorders>
              <w:top w:val="dotted" w:sz="6" w:space="0" w:color="BEBEBE"/>
            </w:tcBorders>
          </w:tcPr>
          <w:p w14:paraId="46EDDF8E" w14:textId="77777777" w:rsidR="0046798B" w:rsidRDefault="0046798B">
            <w:pPr>
              <w:pStyle w:val="TableParagraph"/>
            </w:pPr>
          </w:p>
          <w:p w14:paraId="2EA62A32" w14:textId="77777777" w:rsidR="0046798B" w:rsidRDefault="0046798B">
            <w:pPr>
              <w:pStyle w:val="TableParagraph"/>
              <w:spacing w:before="6"/>
              <w:rPr>
                <w:sz w:val="31"/>
              </w:rPr>
            </w:pPr>
          </w:p>
          <w:p w14:paraId="37AD9150" w14:textId="77777777" w:rsidR="0046798B" w:rsidRDefault="00903B5C">
            <w:pPr>
              <w:pStyle w:val="TableParagraph"/>
              <w:ind w:left="114" w:right="256"/>
              <w:rPr>
                <w:sz w:val="20"/>
              </w:rPr>
            </w:pPr>
            <w:r>
              <w:rPr>
                <w:sz w:val="20"/>
              </w:rPr>
              <w:t>24/7 Wallstreet. “The Best and Worst Run States in America: A Survey of All 50.”</w:t>
            </w:r>
          </w:p>
          <w:p w14:paraId="18AC790A" w14:textId="77777777" w:rsidR="0046798B" w:rsidRDefault="0046798B">
            <w:pPr>
              <w:pStyle w:val="TableParagraph"/>
              <w:spacing w:before="1"/>
              <w:rPr>
                <w:sz w:val="20"/>
              </w:rPr>
            </w:pPr>
          </w:p>
          <w:p w14:paraId="2BAC3958" w14:textId="77777777" w:rsidR="0046798B" w:rsidRDefault="00903B5C">
            <w:pPr>
              <w:pStyle w:val="TableParagraph"/>
              <w:ind w:left="114"/>
              <w:rPr>
                <w:sz w:val="20"/>
              </w:rPr>
            </w:pPr>
            <w:r>
              <w:rPr>
                <w:sz w:val="20"/>
              </w:rPr>
              <w:t>Provided by: Pallay, Geoff. 2012. Ballotpedia and The Lucy Burns Institute.</w:t>
            </w:r>
          </w:p>
        </w:tc>
      </w:tr>
    </w:tbl>
    <w:p w14:paraId="45C3D9B6" w14:textId="77777777" w:rsidR="0046798B" w:rsidRDefault="0046798B">
      <w:pPr>
        <w:pStyle w:val="BodyText"/>
        <w:spacing w:before="7"/>
        <w:rPr>
          <w:sz w:val="16"/>
        </w:rPr>
      </w:pPr>
    </w:p>
    <w:p w14:paraId="0583F2CA" w14:textId="77777777" w:rsidR="0046798B" w:rsidRDefault="00903B5C">
      <w:pPr>
        <w:pStyle w:val="ListParagraph"/>
        <w:numPr>
          <w:ilvl w:val="0"/>
          <w:numId w:val="9"/>
        </w:numPr>
        <w:tabs>
          <w:tab w:val="left" w:pos="916"/>
        </w:tabs>
        <w:spacing w:before="90"/>
        <w:rPr>
          <w:b/>
          <w:sz w:val="24"/>
        </w:rPr>
      </w:pPr>
      <w:r>
        <w:rPr>
          <w:b/>
          <w:sz w:val="24"/>
          <w:u w:val="single"/>
        </w:rPr>
        <w:t>Interstate</w:t>
      </w:r>
      <w:r>
        <w:rPr>
          <w:b/>
          <w:spacing w:val="-2"/>
          <w:sz w:val="24"/>
          <w:u w:val="single"/>
        </w:rPr>
        <w:t xml:space="preserve"> </w:t>
      </w:r>
      <w:r>
        <w:rPr>
          <w:b/>
          <w:sz w:val="24"/>
          <w:u w:val="single"/>
        </w:rPr>
        <w:t>Compacts</w:t>
      </w:r>
    </w:p>
    <w:p w14:paraId="3205D06D" w14:textId="77777777" w:rsidR="0046798B" w:rsidRDefault="0046798B">
      <w:pPr>
        <w:pStyle w:val="BodyText"/>
        <w:spacing w:before="8" w:after="1"/>
        <w:rPr>
          <w:b/>
          <w:sz w:val="23"/>
        </w:rPr>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E5D8272" w14:textId="77777777">
        <w:trPr>
          <w:trHeight w:val="590"/>
        </w:trPr>
        <w:tc>
          <w:tcPr>
            <w:tcW w:w="1711" w:type="dxa"/>
          </w:tcPr>
          <w:p w14:paraId="2419C369" w14:textId="77777777" w:rsidR="0046798B" w:rsidRDefault="00903B5C">
            <w:pPr>
              <w:pStyle w:val="TableParagraph"/>
              <w:spacing w:before="164"/>
              <w:ind w:left="140"/>
              <w:rPr>
                <w:b/>
              </w:rPr>
            </w:pPr>
            <w:r>
              <w:rPr>
                <w:b/>
              </w:rPr>
              <w:t>Variable Name</w:t>
            </w:r>
          </w:p>
        </w:tc>
        <w:tc>
          <w:tcPr>
            <w:tcW w:w="1596" w:type="dxa"/>
          </w:tcPr>
          <w:p w14:paraId="0B6A5682" w14:textId="77777777" w:rsidR="0046798B" w:rsidRDefault="00903B5C">
            <w:pPr>
              <w:pStyle w:val="TableParagraph"/>
              <w:spacing w:before="39" w:line="242" w:lineRule="auto"/>
              <w:ind w:left="249" w:right="229" w:firstLine="280"/>
              <w:rPr>
                <w:b/>
              </w:rPr>
            </w:pPr>
            <w:r>
              <w:rPr>
                <w:b/>
              </w:rPr>
              <w:t>Short Description</w:t>
            </w:r>
          </w:p>
        </w:tc>
        <w:tc>
          <w:tcPr>
            <w:tcW w:w="1285" w:type="dxa"/>
          </w:tcPr>
          <w:p w14:paraId="09857805" w14:textId="77777777" w:rsidR="0046798B" w:rsidRDefault="00903B5C">
            <w:pPr>
              <w:pStyle w:val="TableParagraph"/>
              <w:spacing w:before="164"/>
              <w:ind w:left="364"/>
              <w:rPr>
                <w:b/>
              </w:rPr>
            </w:pPr>
            <w:r>
              <w:rPr>
                <w:b/>
              </w:rPr>
              <w:t>Years</w:t>
            </w:r>
          </w:p>
        </w:tc>
        <w:tc>
          <w:tcPr>
            <w:tcW w:w="3421" w:type="dxa"/>
          </w:tcPr>
          <w:p w14:paraId="605A1388" w14:textId="77777777" w:rsidR="0046798B" w:rsidRDefault="00903B5C">
            <w:pPr>
              <w:pStyle w:val="TableParagraph"/>
              <w:spacing w:before="39"/>
              <w:ind w:left="159" w:right="146"/>
              <w:jc w:val="center"/>
              <w:rPr>
                <w:b/>
              </w:rPr>
            </w:pPr>
            <w:r>
              <w:rPr>
                <w:b/>
              </w:rPr>
              <w:t>Coding /</w:t>
            </w:r>
          </w:p>
          <w:p w14:paraId="7AAC3FB0" w14:textId="77777777" w:rsidR="0046798B" w:rsidRDefault="00903B5C">
            <w:pPr>
              <w:pStyle w:val="TableParagraph"/>
              <w:spacing w:before="2"/>
              <w:ind w:left="159" w:right="150"/>
              <w:jc w:val="center"/>
              <w:rPr>
                <w:b/>
              </w:rPr>
            </w:pPr>
            <w:r>
              <w:rPr>
                <w:b/>
              </w:rPr>
              <w:t>Longer Description (if available)</w:t>
            </w:r>
          </w:p>
        </w:tc>
        <w:tc>
          <w:tcPr>
            <w:tcW w:w="6482" w:type="dxa"/>
          </w:tcPr>
          <w:p w14:paraId="3D1449BC" w14:textId="77777777" w:rsidR="0046798B" w:rsidRDefault="00903B5C">
            <w:pPr>
              <w:pStyle w:val="TableParagraph"/>
              <w:spacing w:before="164"/>
              <w:ind w:left="2852" w:right="2845"/>
              <w:jc w:val="center"/>
              <w:rPr>
                <w:b/>
              </w:rPr>
            </w:pPr>
            <w:r>
              <w:rPr>
                <w:b/>
              </w:rPr>
              <w:t>Sources</w:t>
            </w:r>
          </w:p>
        </w:tc>
      </w:tr>
      <w:tr w:rsidR="0046798B" w14:paraId="32ECAE7C" w14:textId="77777777">
        <w:trPr>
          <w:trHeight w:val="1930"/>
        </w:trPr>
        <w:tc>
          <w:tcPr>
            <w:tcW w:w="1711" w:type="dxa"/>
          </w:tcPr>
          <w:p w14:paraId="74621E63" w14:textId="77777777" w:rsidR="0046798B" w:rsidRDefault="0046798B">
            <w:pPr>
              <w:pStyle w:val="TableParagraph"/>
              <w:rPr>
                <w:b/>
              </w:rPr>
            </w:pPr>
          </w:p>
          <w:p w14:paraId="7334A709" w14:textId="77777777" w:rsidR="0046798B" w:rsidRDefault="0046798B">
            <w:pPr>
              <w:pStyle w:val="TableParagraph"/>
              <w:spacing w:before="8"/>
              <w:rPr>
                <w:b/>
                <w:sz w:val="31"/>
              </w:rPr>
            </w:pPr>
          </w:p>
          <w:p w14:paraId="45F8F3D6" w14:textId="77777777" w:rsidR="0046798B" w:rsidRDefault="00903B5C">
            <w:pPr>
              <w:pStyle w:val="TableParagraph"/>
              <w:spacing w:before="1"/>
              <w:ind w:left="115" w:right="134"/>
              <w:jc w:val="both"/>
              <w:rPr>
                <w:b/>
                <w:sz w:val="20"/>
              </w:rPr>
            </w:pPr>
            <w:r>
              <w:rPr>
                <w:b/>
                <w:sz w:val="20"/>
              </w:rPr>
              <w:t>civil_defense_an d_disaster_comp a</w:t>
            </w:r>
          </w:p>
        </w:tc>
        <w:tc>
          <w:tcPr>
            <w:tcW w:w="1596" w:type="dxa"/>
          </w:tcPr>
          <w:p w14:paraId="7AAF4469" w14:textId="77777777" w:rsidR="0046798B" w:rsidRDefault="0046798B">
            <w:pPr>
              <w:pStyle w:val="TableParagraph"/>
              <w:rPr>
                <w:b/>
              </w:rPr>
            </w:pPr>
          </w:p>
          <w:p w14:paraId="30E07106" w14:textId="77777777" w:rsidR="0046798B" w:rsidRDefault="0046798B">
            <w:pPr>
              <w:pStyle w:val="TableParagraph"/>
              <w:rPr>
                <w:b/>
              </w:rPr>
            </w:pPr>
          </w:p>
          <w:p w14:paraId="2D5CB6D7" w14:textId="77777777" w:rsidR="0046798B" w:rsidRDefault="0046798B">
            <w:pPr>
              <w:pStyle w:val="TableParagraph"/>
              <w:spacing w:before="8"/>
              <w:rPr>
                <w:b/>
                <w:sz w:val="19"/>
              </w:rPr>
            </w:pPr>
          </w:p>
          <w:p w14:paraId="58DF30C4" w14:textId="77777777" w:rsidR="0046798B" w:rsidRDefault="00903B5C">
            <w:pPr>
              <w:pStyle w:val="TableParagraph"/>
              <w:spacing w:before="1"/>
              <w:ind w:left="114" w:right="152"/>
              <w:rPr>
                <w:sz w:val="20"/>
              </w:rPr>
            </w:pPr>
            <w:r>
              <w:rPr>
                <w:sz w:val="20"/>
              </w:rPr>
              <w:t>Bilateral/mutual aid for disasters</w:t>
            </w:r>
          </w:p>
        </w:tc>
        <w:tc>
          <w:tcPr>
            <w:tcW w:w="1285" w:type="dxa"/>
          </w:tcPr>
          <w:p w14:paraId="055EC72B" w14:textId="77777777" w:rsidR="0046798B" w:rsidRDefault="0046798B">
            <w:pPr>
              <w:pStyle w:val="TableParagraph"/>
              <w:rPr>
                <w:b/>
              </w:rPr>
            </w:pPr>
          </w:p>
          <w:p w14:paraId="200B68AE" w14:textId="77777777" w:rsidR="0046798B" w:rsidRDefault="0046798B">
            <w:pPr>
              <w:pStyle w:val="TableParagraph"/>
              <w:rPr>
                <w:b/>
              </w:rPr>
            </w:pPr>
          </w:p>
          <w:p w14:paraId="70BBAD8E" w14:textId="77777777" w:rsidR="0046798B" w:rsidRDefault="0046798B">
            <w:pPr>
              <w:pStyle w:val="TableParagraph"/>
              <w:spacing w:before="8"/>
              <w:rPr>
                <w:b/>
                <w:sz w:val="29"/>
              </w:rPr>
            </w:pPr>
          </w:p>
          <w:p w14:paraId="6AFE1253" w14:textId="77777777" w:rsidR="0046798B" w:rsidRDefault="00903B5C">
            <w:pPr>
              <w:pStyle w:val="TableParagraph"/>
              <w:spacing w:before="1"/>
              <w:ind w:left="114"/>
              <w:rPr>
                <w:sz w:val="20"/>
              </w:rPr>
            </w:pPr>
            <w:r>
              <w:rPr>
                <w:sz w:val="20"/>
              </w:rPr>
              <w:t>1951–1978</w:t>
            </w:r>
          </w:p>
        </w:tc>
        <w:tc>
          <w:tcPr>
            <w:tcW w:w="3421" w:type="dxa"/>
          </w:tcPr>
          <w:p w14:paraId="3011F02A" w14:textId="77777777" w:rsidR="0046798B" w:rsidRDefault="0046798B">
            <w:pPr>
              <w:pStyle w:val="TableParagraph"/>
              <w:rPr>
                <w:b/>
              </w:rPr>
            </w:pPr>
          </w:p>
          <w:p w14:paraId="3B375865" w14:textId="77777777" w:rsidR="0046798B" w:rsidRDefault="0046798B">
            <w:pPr>
              <w:pStyle w:val="TableParagraph"/>
              <w:rPr>
                <w:b/>
              </w:rPr>
            </w:pPr>
          </w:p>
          <w:p w14:paraId="5546EC10" w14:textId="77777777" w:rsidR="0046798B" w:rsidRDefault="0046798B">
            <w:pPr>
              <w:pStyle w:val="TableParagraph"/>
              <w:spacing w:before="8"/>
              <w:rPr>
                <w:b/>
                <w:sz w:val="19"/>
              </w:rPr>
            </w:pPr>
          </w:p>
          <w:p w14:paraId="1CDB05B2"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19763603" w14:textId="77777777" w:rsidR="0046798B" w:rsidRDefault="00903B5C">
            <w:pPr>
              <w:pStyle w:val="TableParagraph"/>
              <w:spacing w:before="43"/>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p w14:paraId="6702DB57" w14:textId="77777777" w:rsidR="0046798B" w:rsidRDefault="0046798B">
            <w:pPr>
              <w:pStyle w:val="TableParagraph"/>
              <w:rPr>
                <w:b/>
                <w:sz w:val="20"/>
              </w:rPr>
            </w:pPr>
          </w:p>
          <w:p w14:paraId="73A59908"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79F02230" w14:textId="77777777">
        <w:trPr>
          <w:trHeight w:val="1925"/>
        </w:trPr>
        <w:tc>
          <w:tcPr>
            <w:tcW w:w="1711" w:type="dxa"/>
          </w:tcPr>
          <w:p w14:paraId="3CEE9826" w14:textId="77777777" w:rsidR="0046798B" w:rsidRDefault="0046798B">
            <w:pPr>
              <w:pStyle w:val="TableParagraph"/>
              <w:rPr>
                <w:b/>
              </w:rPr>
            </w:pPr>
          </w:p>
          <w:p w14:paraId="284FC020" w14:textId="77777777" w:rsidR="0046798B" w:rsidRDefault="0046798B">
            <w:pPr>
              <w:pStyle w:val="TableParagraph"/>
              <w:rPr>
                <w:b/>
              </w:rPr>
            </w:pPr>
          </w:p>
          <w:p w14:paraId="168A48B2" w14:textId="77777777" w:rsidR="0046798B" w:rsidRDefault="0046798B">
            <w:pPr>
              <w:pStyle w:val="TableParagraph"/>
              <w:spacing w:before="4"/>
              <w:rPr>
                <w:b/>
                <w:sz w:val="19"/>
              </w:rPr>
            </w:pPr>
          </w:p>
          <w:p w14:paraId="52138990" w14:textId="77777777" w:rsidR="0046798B" w:rsidRDefault="00903B5C">
            <w:pPr>
              <w:pStyle w:val="TableParagraph"/>
              <w:ind w:left="115"/>
              <w:rPr>
                <w:b/>
                <w:sz w:val="20"/>
              </w:rPr>
            </w:pPr>
            <w:r>
              <w:rPr>
                <w:b/>
                <w:sz w:val="20"/>
              </w:rPr>
              <w:t>compact_for_a_ balanced_budget</w:t>
            </w:r>
          </w:p>
        </w:tc>
        <w:tc>
          <w:tcPr>
            <w:tcW w:w="1596" w:type="dxa"/>
          </w:tcPr>
          <w:p w14:paraId="52913C4B" w14:textId="77777777" w:rsidR="0046798B" w:rsidRDefault="0046798B">
            <w:pPr>
              <w:pStyle w:val="TableParagraph"/>
              <w:rPr>
                <w:b/>
              </w:rPr>
            </w:pPr>
          </w:p>
          <w:p w14:paraId="28C2E110" w14:textId="77777777" w:rsidR="0046798B" w:rsidRDefault="00903B5C">
            <w:pPr>
              <w:pStyle w:val="TableParagraph"/>
              <w:spacing w:before="130"/>
              <w:ind w:left="114" w:right="147"/>
              <w:rPr>
                <w:sz w:val="20"/>
              </w:rPr>
            </w:pPr>
            <w:r>
              <w:rPr>
                <w:sz w:val="20"/>
              </w:rPr>
              <w:t>Seek passage of balanced budget amendment to the U.S. constitution</w:t>
            </w:r>
          </w:p>
        </w:tc>
        <w:tc>
          <w:tcPr>
            <w:tcW w:w="1285" w:type="dxa"/>
          </w:tcPr>
          <w:p w14:paraId="5740F828" w14:textId="77777777" w:rsidR="0046798B" w:rsidRDefault="0046798B">
            <w:pPr>
              <w:pStyle w:val="TableParagraph"/>
              <w:rPr>
                <w:b/>
              </w:rPr>
            </w:pPr>
          </w:p>
          <w:p w14:paraId="727CEC19" w14:textId="77777777" w:rsidR="0046798B" w:rsidRDefault="0046798B">
            <w:pPr>
              <w:pStyle w:val="TableParagraph"/>
              <w:rPr>
                <w:b/>
              </w:rPr>
            </w:pPr>
          </w:p>
          <w:p w14:paraId="3D7A658E" w14:textId="77777777" w:rsidR="0046798B" w:rsidRDefault="0046798B">
            <w:pPr>
              <w:pStyle w:val="TableParagraph"/>
              <w:spacing w:before="4"/>
              <w:rPr>
                <w:b/>
                <w:sz w:val="29"/>
              </w:rPr>
            </w:pPr>
          </w:p>
          <w:p w14:paraId="1B96D6C6" w14:textId="77777777" w:rsidR="0046798B" w:rsidRDefault="00903B5C">
            <w:pPr>
              <w:pStyle w:val="TableParagraph"/>
              <w:ind w:left="114"/>
              <w:rPr>
                <w:sz w:val="20"/>
              </w:rPr>
            </w:pPr>
            <w:r>
              <w:rPr>
                <w:sz w:val="20"/>
              </w:rPr>
              <w:t>2014–2015</w:t>
            </w:r>
          </w:p>
        </w:tc>
        <w:tc>
          <w:tcPr>
            <w:tcW w:w="3421" w:type="dxa"/>
          </w:tcPr>
          <w:p w14:paraId="04BA29C6" w14:textId="77777777" w:rsidR="0046798B" w:rsidRDefault="0046798B">
            <w:pPr>
              <w:pStyle w:val="TableParagraph"/>
              <w:rPr>
                <w:b/>
              </w:rPr>
            </w:pPr>
          </w:p>
          <w:p w14:paraId="74E13B1D" w14:textId="77777777" w:rsidR="0046798B" w:rsidRDefault="0046798B">
            <w:pPr>
              <w:pStyle w:val="TableParagraph"/>
              <w:rPr>
                <w:b/>
              </w:rPr>
            </w:pPr>
          </w:p>
          <w:p w14:paraId="7FA5AB7C" w14:textId="77777777" w:rsidR="0046798B" w:rsidRDefault="0046798B">
            <w:pPr>
              <w:pStyle w:val="TableParagraph"/>
              <w:spacing w:before="4"/>
              <w:rPr>
                <w:b/>
                <w:sz w:val="19"/>
              </w:rPr>
            </w:pPr>
          </w:p>
          <w:p w14:paraId="11B0C03E" w14:textId="77777777" w:rsidR="0046798B" w:rsidRDefault="00903B5C">
            <w:pPr>
              <w:pStyle w:val="TableParagraph"/>
              <w:ind w:left="114" w:right="1475"/>
              <w:rPr>
                <w:sz w:val="20"/>
              </w:rPr>
            </w:pPr>
            <w:r>
              <w:rPr>
                <w:sz w:val="20"/>
              </w:rPr>
              <w:t>0 = policy not adopted 1 = policy adopted</w:t>
            </w:r>
          </w:p>
        </w:tc>
        <w:tc>
          <w:tcPr>
            <w:tcW w:w="6482" w:type="dxa"/>
          </w:tcPr>
          <w:p w14:paraId="44CBB84E" w14:textId="77777777" w:rsidR="0046798B" w:rsidRDefault="00903B5C">
            <w:pPr>
              <w:pStyle w:val="TableParagraph"/>
              <w:spacing w:before="38"/>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p w14:paraId="566A6180" w14:textId="77777777" w:rsidR="0046798B" w:rsidRDefault="0046798B">
            <w:pPr>
              <w:pStyle w:val="TableParagraph"/>
              <w:rPr>
                <w:b/>
                <w:sz w:val="20"/>
              </w:rPr>
            </w:pPr>
          </w:p>
          <w:p w14:paraId="4A2B4B2F"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5977C543" w14:textId="77777777">
        <w:trPr>
          <w:trHeight w:val="1005"/>
        </w:trPr>
        <w:tc>
          <w:tcPr>
            <w:tcW w:w="1711" w:type="dxa"/>
          </w:tcPr>
          <w:p w14:paraId="0C5C7CA8" w14:textId="77777777" w:rsidR="0046798B" w:rsidRDefault="00903B5C">
            <w:pPr>
              <w:pStyle w:val="TableParagraph"/>
              <w:spacing w:before="153"/>
              <w:ind w:left="115" w:right="99"/>
              <w:rPr>
                <w:b/>
                <w:sz w:val="20"/>
              </w:rPr>
            </w:pPr>
            <w:r>
              <w:rPr>
                <w:b/>
                <w:sz w:val="20"/>
              </w:rPr>
              <w:t>bus_taxation_pr oration_and_reci p</w:t>
            </w:r>
          </w:p>
        </w:tc>
        <w:tc>
          <w:tcPr>
            <w:tcW w:w="1596" w:type="dxa"/>
          </w:tcPr>
          <w:p w14:paraId="5326FE30" w14:textId="77777777" w:rsidR="0046798B" w:rsidRDefault="00903B5C">
            <w:pPr>
              <w:pStyle w:val="TableParagraph"/>
              <w:spacing w:before="38"/>
              <w:ind w:left="114" w:right="85"/>
              <w:rPr>
                <w:sz w:val="20"/>
              </w:rPr>
            </w:pPr>
            <w:r>
              <w:rPr>
                <w:sz w:val="20"/>
              </w:rPr>
              <w:t>System for bus fleet owners to prorate mileage in multiple states</w:t>
            </w:r>
          </w:p>
        </w:tc>
        <w:tc>
          <w:tcPr>
            <w:tcW w:w="1285" w:type="dxa"/>
          </w:tcPr>
          <w:p w14:paraId="19F26A61" w14:textId="77777777" w:rsidR="0046798B" w:rsidRDefault="0046798B">
            <w:pPr>
              <w:pStyle w:val="TableParagraph"/>
              <w:rPr>
                <w:b/>
              </w:rPr>
            </w:pPr>
          </w:p>
          <w:p w14:paraId="03E7D725" w14:textId="77777777" w:rsidR="0046798B" w:rsidRDefault="00903B5C">
            <w:pPr>
              <w:pStyle w:val="TableParagraph"/>
              <w:spacing w:before="130"/>
              <w:ind w:left="114"/>
              <w:rPr>
                <w:sz w:val="20"/>
              </w:rPr>
            </w:pPr>
            <w:r>
              <w:rPr>
                <w:sz w:val="20"/>
              </w:rPr>
              <w:t>1965–1983</w:t>
            </w:r>
          </w:p>
        </w:tc>
        <w:tc>
          <w:tcPr>
            <w:tcW w:w="3421" w:type="dxa"/>
          </w:tcPr>
          <w:p w14:paraId="703559FD" w14:textId="77777777" w:rsidR="0046798B" w:rsidRDefault="0046798B">
            <w:pPr>
              <w:pStyle w:val="TableParagraph"/>
              <w:spacing w:before="3"/>
              <w:rPr>
                <w:b/>
                <w:sz w:val="23"/>
              </w:rPr>
            </w:pPr>
          </w:p>
          <w:p w14:paraId="49CA3DEA"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6EB60F59" w14:textId="77777777" w:rsidR="0046798B" w:rsidRDefault="00903B5C">
            <w:pPr>
              <w:pStyle w:val="TableParagraph"/>
              <w:spacing w:before="38"/>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tc>
      </w:tr>
    </w:tbl>
    <w:p w14:paraId="62D785F6" w14:textId="77777777" w:rsidR="0046798B" w:rsidRDefault="0046798B">
      <w:pPr>
        <w:rPr>
          <w:sz w:val="20"/>
        </w:rPr>
        <w:sectPr w:rsidR="0046798B">
          <w:pgSz w:w="15840" w:h="12240" w:orient="landscape"/>
          <w:pgMar w:top="1220" w:right="300" w:bottom="980" w:left="820" w:header="730" w:footer="787" w:gutter="0"/>
          <w:cols w:space="720"/>
        </w:sectPr>
      </w:pPr>
    </w:p>
    <w:p w14:paraId="013B1A6B"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0E1939FB" w14:textId="77777777">
        <w:trPr>
          <w:trHeight w:val="1005"/>
        </w:trPr>
        <w:tc>
          <w:tcPr>
            <w:tcW w:w="1711" w:type="dxa"/>
          </w:tcPr>
          <w:p w14:paraId="53712B80" w14:textId="77777777" w:rsidR="0046798B" w:rsidRDefault="0046798B">
            <w:pPr>
              <w:pStyle w:val="TableParagraph"/>
              <w:rPr>
                <w:sz w:val="20"/>
              </w:rPr>
            </w:pPr>
          </w:p>
        </w:tc>
        <w:tc>
          <w:tcPr>
            <w:tcW w:w="1596" w:type="dxa"/>
          </w:tcPr>
          <w:p w14:paraId="379EA2EC" w14:textId="77777777" w:rsidR="0046798B" w:rsidRDefault="0046798B">
            <w:pPr>
              <w:pStyle w:val="TableParagraph"/>
              <w:rPr>
                <w:sz w:val="20"/>
              </w:rPr>
            </w:pPr>
          </w:p>
        </w:tc>
        <w:tc>
          <w:tcPr>
            <w:tcW w:w="1285" w:type="dxa"/>
          </w:tcPr>
          <w:p w14:paraId="5BDCF95F" w14:textId="77777777" w:rsidR="0046798B" w:rsidRDefault="0046798B">
            <w:pPr>
              <w:pStyle w:val="TableParagraph"/>
              <w:rPr>
                <w:sz w:val="20"/>
              </w:rPr>
            </w:pPr>
          </w:p>
        </w:tc>
        <w:tc>
          <w:tcPr>
            <w:tcW w:w="3421" w:type="dxa"/>
          </w:tcPr>
          <w:p w14:paraId="47578FD9" w14:textId="77777777" w:rsidR="0046798B" w:rsidRDefault="0046798B">
            <w:pPr>
              <w:pStyle w:val="TableParagraph"/>
              <w:rPr>
                <w:sz w:val="20"/>
              </w:rPr>
            </w:pPr>
          </w:p>
        </w:tc>
        <w:tc>
          <w:tcPr>
            <w:tcW w:w="6482" w:type="dxa"/>
          </w:tcPr>
          <w:p w14:paraId="0536459D" w14:textId="77777777" w:rsidR="0046798B" w:rsidRDefault="00903B5C">
            <w:pPr>
              <w:pStyle w:val="TableParagraph"/>
              <w:spacing w:before="43"/>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409939DD" w14:textId="77777777">
        <w:trPr>
          <w:trHeight w:val="1926"/>
        </w:trPr>
        <w:tc>
          <w:tcPr>
            <w:tcW w:w="1711" w:type="dxa"/>
          </w:tcPr>
          <w:p w14:paraId="78D21085" w14:textId="77777777" w:rsidR="0046798B" w:rsidRDefault="0046798B">
            <w:pPr>
              <w:pStyle w:val="TableParagraph"/>
            </w:pPr>
          </w:p>
          <w:p w14:paraId="2DD0C351" w14:textId="77777777" w:rsidR="0046798B" w:rsidRDefault="0046798B">
            <w:pPr>
              <w:pStyle w:val="TableParagraph"/>
              <w:spacing w:before="9"/>
              <w:rPr>
                <w:sz w:val="31"/>
              </w:rPr>
            </w:pPr>
          </w:p>
          <w:p w14:paraId="3CE1BDC9" w14:textId="77777777" w:rsidR="0046798B" w:rsidRDefault="00903B5C">
            <w:pPr>
              <w:pStyle w:val="TableParagraph"/>
              <w:ind w:left="115" w:right="159"/>
              <w:jc w:val="both"/>
              <w:rPr>
                <w:b/>
                <w:sz w:val="20"/>
              </w:rPr>
            </w:pPr>
            <w:r>
              <w:rPr>
                <w:b/>
                <w:sz w:val="20"/>
              </w:rPr>
              <w:t>compact_on_tax ation_of_motor_ fuels</w:t>
            </w:r>
          </w:p>
        </w:tc>
        <w:tc>
          <w:tcPr>
            <w:tcW w:w="1596" w:type="dxa"/>
          </w:tcPr>
          <w:p w14:paraId="3B3AAD2C" w14:textId="77777777" w:rsidR="0046798B" w:rsidRDefault="0046798B">
            <w:pPr>
              <w:pStyle w:val="TableParagraph"/>
              <w:spacing w:before="8"/>
              <w:rPr>
                <w:sz w:val="23"/>
              </w:rPr>
            </w:pPr>
          </w:p>
          <w:p w14:paraId="55125311" w14:textId="77777777" w:rsidR="0046798B" w:rsidRDefault="00903B5C">
            <w:pPr>
              <w:pStyle w:val="TableParagraph"/>
              <w:spacing w:before="1"/>
              <w:ind w:left="114" w:right="121"/>
              <w:rPr>
                <w:sz w:val="20"/>
              </w:rPr>
            </w:pPr>
            <w:r>
              <w:rPr>
                <w:sz w:val="20"/>
              </w:rPr>
              <w:t xml:space="preserve">Establish </w:t>
            </w:r>
            <w:r>
              <w:rPr>
                <w:spacing w:val="-3"/>
                <w:sz w:val="20"/>
              </w:rPr>
              <w:t xml:space="preserve">criteria </w:t>
            </w:r>
            <w:r>
              <w:rPr>
                <w:sz w:val="20"/>
              </w:rPr>
              <w:t>to avoid double taxation of motor fuels consumed by interstate</w:t>
            </w:r>
            <w:r>
              <w:rPr>
                <w:spacing w:val="-1"/>
                <w:sz w:val="20"/>
              </w:rPr>
              <w:t xml:space="preserve"> </w:t>
            </w:r>
            <w:r>
              <w:rPr>
                <w:sz w:val="20"/>
              </w:rPr>
              <w:t>buses</w:t>
            </w:r>
          </w:p>
        </w:tc>
        <w:tc>
          <w:tcPr>
            <w:tcW w:w="1285" w:type="dxa"/>
          </w:tcPr>
          <w:p w14:paraId="3B098419" w14:textId="77777777" w:rsidR="0046798B" w:rsidRDefault="0046798B">
            <w:pPr>
              <w:pStyle w:val="TableParagraph"/>
            </w:pPr>
          </w:p>
          <w:p w14:paraId="771D9383" w14:textId="77777777" w:rsidR="0046798B" w:rsidRDefault="0046798B">
            <w:pPr>
              <w:pStyle w:val="TableParagraph"/>
            </w:pPr>
          </w:p>
          <w:p w14:paraId="44B10007" w14:textId="77777777" w:rsidR="0046798B" w:rsidRDefault="0046798B">
            <w:pPr>
              <w:pStyle w:val="TableParagraph"/>
              <w:spacing w:before="9"/>
              <w:rPr>
                <w:sz w:val="29"/>
              </w:rPr>
            </w:pPr>
          </w:p>
          <w:p w14:paraId="555AD4B3" w14:textId="77777777" w:rsidR="0046798B" w:rsidRDefault="00903B5C">
            <w:pPr>
              <w:pStyle w:val="TableParagraph"/>
              <w:ind w:left="114"/>
              <w:rPr>
                <w:sz w:val="20"/>
              </w:rPr>
            </w:pPr>
            <w:r>
              <w:rPr>
                <w:sz w:val="20"/>
              </w:rPr>
              <w:t>1963</w:t>
            </w:r>
          </w:p>
        </w:tc>
        <w:tc>
          <w:tcPr>
            <w:tcW w:w="3421" w:type="dxa"/>
          </w:tcPr>
          <w:p w14:paraId="189EADCC" w14:textId="77777777" w:rsidR="0046798B" w:rsidRDefault="0046798B">
            <w:pPr>
              <w:pStyle w:val="TableParagraph"/>
            </w:pPr>
          </w:p>
          <w:p w14:paraId="1A7E2BA0" w14:textId="77777777" w:rsidR="0046798B" w:rsidRDefault="0046798B">
            <w:pPr>
              <w:pStyle w:val="TableParagraph"/>
            </w:pPr>
          </w:p>
          <w:p w14:paraId="755C5BA9" w14:textId="77777777" w:rsidR="0046798B" w:rsidRDefault="0046798B">
            <w:pPr>
              <w:pStyle w:val="TableParagraph"/>
              <w:spacing w:before="9"/>
              <w:rPr>
                <w:sz w:val="19"/>
              </w:rPr>
            </w:pPr>
          </w:p>
          <w:p w14:paraId="7335479F" w14:textId="77777777" w:rsidR="0046798B" w:rsidRDefault="00903B5C">
            <w:pPr>
              <w:pStyle w:val="TableParagraph"/>
              <w:ind w:left="114" w:right="1475"/>
              <w:rPr>
                <w:sz w:val="20"/>
              </w:rPr>
            </w:pPr>
            <w:r>
              <w:rPr>
                <w:sz w:val="20"/>
              </w:rPr>
              <w:t>0 = policy not adopted 1 = policy adopted</w:t>
            </w:r>
          </w:p>
        </w:tc>
        <w:tc>
          <w:tcPr>
            <w:tcW w:w="6482" w:type="dxa"/>
          </w:tcPr>
          <w:p w14:paraId="5E0987E2" w14:textId="77777777" w:rsidR="0046798B" w:rsidRDefault="00903B5C">
            <w:pPr>
              <w:pStyle w:val="TableParagraph"/>
              <w:spacing w:before="43"/>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p w14:paraId="2EAEE350" w14:textId="77777777" w:rsidR="0046798B" w:rsidRDefault="0046798B">
            <w:pPr>
              <w:pStyle w:val="TableParagraph"/>
              <w:rPr>
                <w:sz w:val="20"/>
              </w:rPr>
            </w:pPr>
          </w:p>
          <w:p w14:paraId="0653315C"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41982512" w14:textId="77777777">
        <w:trPr>
          <w:trHeight w:val="1930"/>
        </w:trPr>
        <w:tc>
          <w:tcPr>
            <w:tcW w:w="1711" w:type="dxa"/>
          </w:tcPr>
          <w:p w14:paraId="514DA9E7" w14:textId="77777777" w:rsidR="0046798B" w:rsidRDefault="0046798B">
            <w:pPr>
              <w:pStyle w:val="TableParagraph"/>
            </w:pPr>
          </w:p>
          <w:p w14:paraId="2B7BDBDC" w14:textId="77777777" w:rsidR="0046798B" w:rsidRDefault="0046798B">
            <w:pPr>
              <w:pStyle w:val="TableParagraph"/>
            </w:pPr>
          </w:p>
          <w:p w14:paraId="49AE51B3" w14:textId="77777777" w:rsidR="0046798B" w:rsidRDefault="0046798B">
            <w:pPr>
              <w:pStyle w:val="TableParagraph"/>
              <w:spacing w:before="8"/>
              <w:rPr>
                <w:sz w:val="19"/>
              </w:rPr>
            </w:pPr>
          </w:p>
          <w:p w14:paraId="3F812482" w14:textId="77777777" w:rsidR="0046798B" w:rsidRDefault="00903B5C">
            <w:pPr>
              <w:pStyle w:val="TableParagraph"/>
              <w:spacing w:before="1"/>
              <w:ind w:left="115" w:right="177"/>
              <w:rPr>
                <w:b/>
                <w:sz w:val="20"/>
              </w:rPr>
            </w:pPr>
            <w:r>
              <w:rPr>
                <w:b/>
                <w:sz w:val="20"/>
              </w:rPr>
              <w:t>driver_license_c ompact</w:t>
            </w:r>
          </w:p>
        </w:tc>
        <w:tc>
          <w:tcPr>
            <w:tcW w:w="1596" w:type="dxa"/>
          </w:tcPr>
          <w:p w14:paraId="586258F4" w14:textId="77777777" w:rsidR="0046798B" w:rsidRDefault="0046798B">
            <w:pPr>
              <w:pStyle w:val="TableParagraph"/>
              <w:spacing w:before="8"/>
              <w:rPr>
                <w:sz w:val="23"/>
              </w:rPr>
            </w:pPr>
          </w:p>
          <w:p w14:paraId="4FFB7EA7" w14:textId="77777777" w:rsidR="0046798B" w:rsidRDefault="00903B5C">
            <w:pPr>
              <w:pStyle w:val="TableParagraph"/>
              <w:spacing w:before="1"/>
              <w:ind w:left="114" w:right="85"/>
              <w:rPr>
                <w:sz w:val="20"/>
              </w:rPr>
            </w:pPr>
            <w:r>
              <w:rPr>
                <w:sz w:val="20"/>
              </w:rPr>
              <w:t>System for states to exchange license suspension/viola tion between states</w:t>
            </w:r>
          </w:p>
        </w:tc>
        <w:tc>
          <w:tcPr>
            <w:tcW w:w="1285" w:type="dxa"/>
          </w:tcPr>
          <w:p w14:paraId="7E36A9BA" w14:textId="77777777" w:rsidR="0046798B" w:rsidRDefault="0046798B">
            <w:pPr>
              <w:pStyle w:val="TableParagraph"/>
            </w:pPr>
          </w:p>
          <w:p w14:paraId="121A3557" w14:textId="77777777" w:rsidR="0046798B" w:rsidRDefault="0046798B">
            <w:pPr>
              <w:pStyle w:val="TableParagraph"/>
            </w:pPr>
          </w:p>
          <w:p w14:paraId="127D0C52" w14:textId="77777777" w:rsidR="0046798B" w:rsidRDefault="0046798B">
            <w:pPr>
              <w:pStyle w:val="TableParagraph"/>
              <w:spacing w:before="8"/>
              <w:rPr>
                <w:sz w:val="29"/>
              </w:rPr>
            </w:pPr>
          </w:p>
          <w:p w14:paraId="624E64BA" w14:textId="77777777" w:rsidR="0046798B" w:rsidRDefault="00903B5C">
            <w:pPr>
              <w:pStyle w:val="TableParagraph"/>
              <w:spacing w:before="1"/>
              <w:ind w:left="114"/>
              <w:rPr>
                <w:sz w:val="20"/>
              </w:rPr>
            </w:pPr>
            <w:r>
              <w:rPr>
                <w:sz w:val="20"/>
              </w:rPr>
              <w:t>1961–1996</w:t>
            </w:r>
          </w:p>
        </w:tc>
        <w:tc>
          <w:tcPr>
            <w:tcW w:w="3421" w:type="dxa"/>
          </w:tcPr>
          <w:p w14:paraId="747B2396" w14:textId="77777777" w:rsidR="0046798B" w:rsidRDefault="0046798B">
            <w:pPr>
              <w:pStyle w:val="TableParagraph"/>
            </w:pPr>
          </w:p>
          <w:p w14:paraId="33112089" w14:textId="77777777" w:rsidR="0046798B" w:rsidRDefault="0046798B">
            <w:pPr>
              <w:pStyle w:val="TableParagraph"/>
            </w:pPr>
          </w:p>
          <w:p w14:paraId="331A091A" w14:textId="77777777" w:rsidR="0046798B" w:rsidRDefault="0046798B">
            <w:pPr>
              <w:pStyle w:val="TableParagraph"/>
              <w:spacing w:before="8"/>
              <w:rPr>
                <w:sz w:val="19"/>
              </w:rPr>
            </w:pPr>
          </w:p>
          <w:p w14:paraId="08DC026A"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7B55596C" w14:textId="77777777" w:rsidR="0046798B" w:rsidRDefault="00903B5C">
            <w:pPr>
              <w:pStyle w:val="TableParagraph"/>
              <w:spacing w:before="43"/>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p w14:paraId="145477ED" w14:textId="77777777" w:rsidR="0046798B" w:rsidRDefault="0046798B">
            <w:pPr>
              <w:pStyle w:val="TableParagraph"/>
              <w:rPr>
                <w:sz w:val="20"/>
              </w:rPr>
            </w:pPr>
          </w:p>
          <w:p w14:paraId="078983F6"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6DECA5A2" w14:textId="77777777">
        <w:trPr>
          <w:trHeight w:val="1926"/>
        </w:trPr>
        <w:tc>
          <w:tcPr>
            <w:tcW w:w="1711" w:type="dxa"/>
          </w:tcPr>
          <w:p w14:paraId="04D2FFEE" w14:textId="77777777" w:rsidR="0046798B" w:rsidRDefault="0046798B">
            <w:pPr>
              <w:pStyle w:val="TableParagraph"/>
            </w:pPr>
          </w:p>
          <w:p w14:paraId="2DB0FF84" w14:textId="77777777" w:rsidR="0046798B" w:rsidRDefault="0046798B">
            <w:pPr>
              <w:pStyle w:val="TableParagraph"/>
            </w:pPr>
          </w:p>
          <w:p w14:paraId="7A472B50" w14:textId="77777777" w:rsidR="0046798B" w:rsidRDefault="0046798B">
            <w:pPr>
              <w:pStyle w:val="TableParagraph"/>
              <w:spacing w:before="4"/>
              <w:rPr>
                <w:sz w:val="19"/>
              </w:rPr>
            </w:pPr>
          </w:p>
          <w:p w14:paraId="17559D64" w14:textId="77777777" w:rsidR="0046798B" w:rsidRDefault="00903B5C">
            <w:pPr>
              <w:pStyle w:val="TableParagraph"/>
              <w:ind w:left="115"/>
              <w:rPr>
                <w:b/>
                <w:sz w:val="20"/>
              </w:rPr>
            </w:pPr>
            <w:r>
              <w:rPr>
                <w:b/>
                <w:sz w:val="20"/>
              </w:rPr>
              <w:t>interstate_high_s peed_rail_netwo</w:t>
            </w:r>
          </w:p>
        </w:tc>
        <w:tc>
          <w:tcPr>
            <w:tcW w:w="1596" w:type="dxa"/>
          </w:tcPr>
          <w:p w14:paraId="4A83CC96" w14:textId="77777777" w:rsidR="0046798B" w:rsidRDefault="0046798B">
            <w:pPr>
              <w:pStyle w:val="TableParagraph"/>
            </w:pPr>
          </w:p>
          <w:p w14:paraId="3D4C665E" w14:textId="77777777" w:rsidR="0046798B" w:rsidRDefault="00903B5C">
            <w:pPr>
              <w:pStyle w:val="TableParagraph"/>
              <w:spacing w:before="131"/>
              <w:ind w:left="114" w:right="274"/>
              <w:rPr>
                <w:sz w:val="20"/>
              </w:rPr>
            </w:pPr>
            <w:r>
              <w:rPr>
                <w:sz w:val="20"/>
              </w:rPr>
              <w:t>Compact for administering high speed rail commuter network</w:t>
            </w:r>
          </w:p>
        </w:tc>
        <w:tc>
          <w:tcPr>
            <w:tcW w:w="1285" w:type="dxa"/>
          </w:tcPr>
          <w:p w14:paraId="36FFEFC1" w14:textId="77777777" w:rsidR="0046798B" w:rsidRDefault="0046798B">
            <w:pPr>
              <w:pStyle w:val="TableParagraph"/>
            </w:pPr>
          </w:p>
          <w:p w14:paraId="139D7D28" w14:textId="77777777" w:rsidR="0046798B" w:rsidRDefault="0046798B">
            <w:pPr>
              <w:pStyle w:val="TableParagraph"/>
            </w:pPr>
          </w:p>
          <w:p w14:paraId="1BD72A4B" w14:textId="77777777" w:rsidR="0046798B" w:rsidRDefault="0046798B">
            <w:pPr>
              <w:pStyle w:val="TableParagraph"/>
              <w:spacing w:before="4"/>
              <w:rPr>
                <w:sz w:val="29"/>
              </w:rPr>
            </w:pPr>
          </w:p>
          <w:p w14:paraId="287E5305" w14:textId="77777777" w:rsidR="0046798B" w:rsidRDefault="00903B5C">
            <w:pPr>
              <w:pStyle w:val="TableParagraph"/>
              <w:ind w:left="114"/>
              <w:rPr>
                <w:sz w:val="20"/>
              </w:rPr>
            </w:pPr>
            <w:r>
              <w:rPr>
                <w:sz w:val="20"/>
              </w:rPr>
              <w:t>1980–1991</w:t>
            </w:r>
          </w:p>
        </w:tc>
        <w:tc>
          <w:tcPr>
            <w:tcW w:w="3421" w:type="dxa"/>
          </w:tcPr>
          <w:p w14:paraId="11439D25" w14:textId="77777777" w:rsidR="0046798B" w:rsidRDefault="0046798B">
            <w:pPr>
              <w:pStyle w:val="TableParagraph"/>
            </w:pPr>
          </w:p>
          <w:p w14:paraId="69F03C00" w14:textId="77777777" w:rsidR="0046798B" w:rsidRDefault="0046798B">
            <w:pPr>
              <w:pStyle w:val="TableParagraph"/>
            </w:pPr>
          </w:p>
          <w:p w14:paraId="403AC89B" w14:textId="77777777" w:rsidR="0046798B" w:rsidRDefault="0046798B">
            <w:pPr>
              <w:pStyle w:val="TableParagraph"/>
              <w:spacing w:before="4"/>
              <w:rPr>
                <w:sz w:val="19"/>
              </w:rPr>
            </w:pPr>
          </w:p>
          <w:p w14:paraId="2A2EBEC6" w14:textId="77777777" w:rsidR="0046798B" w:rsidRDefault="00903B5C">
            <w:pPr>
              <w:pStyle w:val="TableParagraph"/>
              <w:ind w:left="114" w:right="1475"/>
              <w:rPr>
                <w:sz w:val="20"/>
              </w:rPr>
            </w:pPr>
            <w:r>
              <w:rPr>
                <w:sz w:val="20"/>
              </w:rPr>
              <w:t>0 = policy not adopted 1 = policy adopted</w:t>
            </w:r>
          </w:p>
        </w:tc>
        <w:tc>
          <w:tcPr>
            <w:tcW w:w="6482" w:type="dxa"/>
          </w:tcPr>
          <w:p w14:paraId="5E596AF3" w14:textId="77777777" w:rsidR="0046798B" w:rsidRDefault="00903B5C">
            <w:pPr>
              <w:pStyle w:val="TableParagraph"/>
              <w:spacing w:before="38"/>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p w14:paraId="2768CEE3" w14:textId="77777777" w:rsidR="0046798B" w:rsidRDefault="0046798B">
            <w:pPr>
              <w:pStyle w:val="TableParagraph"/>
              <w:rPr>
                <w:sz w:val="20"/>
              </w:rPr>
            </w:pPr>
          </w:p>
          <w:p w14:paraId="7AD58F70"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30A038C2" w14:textId="77777777">
        <w:trPr>
          <w:trHeight w:val="1925"/>
        </w:trPr>
        <w:tc>
          <w:tcPr>
            <w:tcW w:w="1711" w:type="dxa"/>
          </w:tcPr>
          <w:p w14:paraId="2A9B3210" w14:textId="77777777" w:rsidR="0046798B" w:rsidRDefault="0046798B">
            <w:pPr>
              <w:pStyle w:val="TableParagraph"/>
            </w:pPr>
          </w:p>
          <w:p w14:paraId="1EDC4D2E" w14:textId="77777777" w:rsidR="0046798B" w:rsidRDefault="0046798B">
            <w:pPr>
              <w:pStyle w:val="TableParagraph"/>
            </w:pPr>
          </w:p>
          <w:p w14:paraId="0489AE7D" w14:textId="77777777" w:rsidR="0046798B" w:rsidRDefault="0046798B">
            <w:pPr>
              <w:pStyle w:val="TableParagraph"/>
              <w:spacing w:before="3"/>
              <w:rPr>
                <w:sz w:val="19"/>
              </w:rPr>
            </w:pPr>
          </w:p>
          <w:p w14:paraId="30F79D8B" w14:textId="77777777" w:rsidR="0046798B" w:rsidRDefault="00903B5C">
            <w:pPr>
              <w:pStyle w:val="TableParagraph"/>
              <w:spacing w:before="1"/>
              <w:ind w:left="115" w:right="133"/>
              <w:rPr>
                <w:b/>
                <w:sz w:val="20"/>
              </w:rPr>
            </w:pPr>
            <w:r>
              <w:rPr>
                <w:b/>
                <w:sz w:val="20"/>
              </w:rPr>
              <w:t>interstate_rail_p assenger_networ</w:t>
            </w:r>
          </w:p>
        </w:tc>
        <w:tc>
          <w:tcPr>
            <w:tcW w:w="1596" w:type="dxa"/>
          </w:tcPr>
          <w:p w14:paraId="2663B6D0" w14:textId="77777777" w:rsidR="0046798B" w:rsidRDefault="0046798B">
            <w:pPr>
              <w:pStyle w:val="TableParagraph"/>
            </w:pPr>
          </w:p>
          <w:p w14:paraId="5A6910D1" w14:textId="77777777" w:rsidR="0046798B" w:rsidRDefault="0046798B">
            <w:pPr>
              <w:pStyle w:val="TableParagraph"/>
              <w:spacing w:before="3"/>
              <w:rPr>
                <w:sz w:val="21"/>
              </w:rPr>
            </w:pPr>
          </w:p>
          <w:p w14:paraId="0BB7182B" w14:textId="77777777" w:rsidR="0046798B" w:rsidRDefault="00903B5C">
            <w:pPr>
              <w:pStyle w:val="TableParagraph"/>
              <w:ind w:left="114" w:right="152"/>
              <w:rPr>
                <w:sz w:val="20"/>
              </w:rPr>
            </w:pPr>
            <w:r>
              <w:rPr>
                <w:sz w:val="20"/>
              </w:rPr>
              <w:t>Agreement to coordinate a rail passenger network</w:t>
            </w:r>
          </w:p>
        </w:tc>
        <w:tc>
          <w:tcPr>
            <w:tcW w:w="1285" w:type="dxa"/>
          </w:tcPr>
          <w:p w14:paraId="0A26CEDD" w14:textId="77777777" w:rsidR="0046798B" w:rsidRDefault="0046798B">
            <w:pPr>
              <w:pStyle w:val="TableParagraph"/>
            </w:pPr>
          </w:p>
          <w:p w14:paraId="0DDAB254" w14:textId="77777777" w:rsidR="0046798B" w:rsidRDefault="0046798B">
            <w:pPr>
              <w:pStyle w:val="TableParagraph"/>
            </w:pPr>
          </w:p>
          <w:p w14:paraId="19F80348" w14:textId="77777777" w:rsidR="0046798B" w:rsidRDefault="0046798B">
            <w:pPr>
              <w:pStyle w:val="TableParagraph"/>
              <w:spacing w:before="4"/>
              <w:rPr>
                <w:sz w:val="29"/>
              </w:rPr>
            </w:pPr>
          </w:p>
          <w:p w14:paraId="5AA28E90" w14:textId="77777777" w:rsidR="0046798B" w:rsidRDefault="00903B5C">
            <w:pPr>
              <w:pStyle w:val="TableParagraph"/>
              <w:ind w:left="114"/>
              <w:rPr>
                <w:sz w:val="20"/>
              </w:rPr>
            </w:pPr>
            <w:r>
              <w:rPr>
                <w:sz w:val="20"/>
              </w:rPr>
              <w:t>1979–1993</w:t>
            </w:r>
          </w:p>
        </w:tc>
        <w:tc>
          <w:tcPr>
            <w:tcW w:w="3421" w:type="dxa"/>
          </w:tcPr>
          <w:p w14:paraId="29440700" w14:textId="77777777" w:rsidR="0046798B" w:rsidRDefault="0046798B">
            <w:pPr>
              <w:pStyle w:val="TableParagraph"/>
            </w:pPr>
          </w:p>
          <w:p w14:paraId="31CD58ED" w14:textId="77777777" w:rsidR="0046798B" w:rsidRDefault="0046798B">
            <w:pPr>
              <w:pStyle w:val="TableParagraph"/>
            </w:pPr>
          </w:p>
          <w:p w14:paraId="2DD95257" w14:textId="77777777" w:rsidR="0046798B" w:rsidRDefault="0046798B">
            <w:pPr>
              <w:pStyle w:val="TableParagraph"/>
              <w:spacing w:before="3"/>
              <w:rPr>
                <w:sz w:val="19"/>
              </w:rPr>
            </w:pPr>
          </w:p>
          <w:p w14:paraId="0538B012"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6AC75B8F" w14:textId="77777777" w:rsidR="0046798B" w:rsidRDefault="00903B5C">
            <w:pPr>
              <w:pStyle w:val="TableParagraph"/>
              <w:spacing w:before="38"/>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p w14:paraId="7D105F8D" w14:textId="77777777" w:rsidR="0046798B" w:rsidRDefault="0046798B">
            <w:pPr>
              <w:pStyle w:val="TableParagraph"/>
              <w:rPr>
                <w:sz w:val="20"/>
              </w:rPr>
            </w:pPr>
          </w:p>
          <w:p w14:paraId="782EA5EC"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bl>
    <w:p w14:paraId="0DAE4538" w14:textId="77777777" w:rsidR="0046798B" w:rsidRDefault="0046798B">
      <w:pPr>
        <w:rPr>
          <w:sz w:val="20"/>
        </w:rPr>
        <w:sectPr w:rsidR="0046798B">
          <w:pgSz w:w="15840" w:h="12240" w:orient="landscape"/>
          <w:pgMar w:top="1220" w:right="300" w:bottom="980" w:left="820" w:header="730" w:footer="787" w:gutter="0"/>
          <w:cols w:space="720"/>
        </w:sectPr>
      </w:pPr>
    </w:p>
    <w:p w14:paraId="71A2278B"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9F7AA79" w14:textId="77777777">
        <w:trPr>
          <w:trHeight w:val="1926"/>
        </w:trPr>
        <w:tc>
          <w:tcPr>
            <w:tcW w:w="1711" w:type="dxa"/>
          </w:tcPr>
          <w:p w14:paraId="74D3F428" w14:textId="77777777" w:rsidR="0046798B" w:rsidRDefault="0046798B">
            <w:pPr>
              <w:pStyle w:val="TableParagraph"/>
            </w:pPr>
          </w:p>
          <w:p w14:paraId="024A9BB2" w14:textId="77777777" w:rsidR="0046798B" w:rsidRDefault="0046798B">
            <w:pPr>
              <w:pStyle w:val="TableParagraph"/>
              <w:spacing w:before="9"/>
              <w:rPr>
                <w:sz w:val="31"/>
              </w:rPr>
            </w:pPr>
          </w:p>
          <w:p w14:paraId="0343A434" w14:textId="77777777" w:rsidR="0046798B" w:rsidRDefault="00903B5C">
            <w:pPr>
              <w:pStyle w:val="TableParagraph"/>
              <w:ind w:left="115" w:right="110"/>
              <w:jc w:val="both"/>
              <w:rPr>
                <w:b/>
                <w:sz w:val="20"/>
              </w:rPr>
            </w:pPr>
            <w:r>
              <w:rPr>
                <w:b/>
                <w:spacing w:val="-1"/>
                <w:sz w:val="20"/>
              </w:rPr>
              <w:t xml:space="preserve">multistate_highw </w:t>
            </w:r>
            <w:r>
              <w:rPr>
                <w:b/>
                <w:sz w:val="20"/>
              </w:rPr>
              <w:t>ay_transportatio n</w:t>
            </w:r>
          </w:p>
        </w:tc>
        <w:tc>
          <w:tcPr>
            <w:tcW w:w="1596" w:type="dxa"/>
          </w:tcPr>
          <w:p w14:paraId="54FF1CA2" w14:textId="77777777" w:rsidR="0046798B" w:rsidRDefault="0046798B">
            <w:pPr>
              <w:pStyle w:val="TableParagraph"/>
            </w:pPr>
          </w:p>
          <w:p w14:paraId="59FA571A" w14:textId="77777777" w:rsidR="0046798B" w:rsidRDefault="00903B5C">
            <w:pPr>
              <w:pStyle w:val="TableParagraph"/>
              <w:spacing w:before="135"/>
              <w:ind w:left="114" w:right="174"/>
              <w:rPr>
                <w:sz w:val="20"/>
              </w:rPr>
            </w:pPr>
            <w:r>
              <w:rPr>
                <w:sz w:val="20"/>
              </w:rPr>
              <w:t>Agreement for establishing vehicle size and loads across states</w:t>
            </w:r>
          </w:p>
        </w:tc>
        <w:tc>
          <w:tcPr>
            <w:tcW w:w="1285" w:type="dxa"/>
          </w:tcPr>
          <w:p w14:paraId="73EC53FD" w14:textId="77777777" w:rsidR="0046798B" w:rsidRDefault="0046798B">
            <w:pPr>
              <w:pStyle w:val="TableParagraph"/>
            </w:pPr>
          </w:p>
          <w:p w14:paraId="4C5EFF0E" w14:textId="77777777" w:rsidR="0046798B" w:rsidRDefault="0046798B">
            <w:pPr>
              <w:pStyle w:val="TableParagraph"/>
            </w:pPr>
          </w:p>
          <w:p w14:paraId="736B9686" w14:textId="77777777" w:rsidR="0046798B" w:rsidRDefault="0046798B">
            <w:pPr>
              <w:pStyle w:val="TableParagraph"/>
              <w:spacing w:before="9"/>
              <w:rPr>
                <w:sz w:val="29"/>
              </w:rPr>
            </w:pPr>
          </w:p>
          <w:p w14:paraId="017A75BD" w14:textId="77777777" w:rsidR="0046798B" w:rsidRDefault="00903B5C">
            <w:pPr>
              <w:pStyle w:val="TableParagraph"/>
              <w:ind w:left="114"/>
              <w:rPr>
                <w:sz w:val="20"/>
              </w:rPr>
            </w:pPr>
            <w:r>
              <w:rPr>
                <w:sz w:val="20"/>
              </w:rPr>
              <w:t>1975–1997</w:t>
            </w:r>
          </w:p>
        </w:tc>
        <w:tc>
          <w:tcPr>
            <w:tcW w:w="3421" w:type="dxa"/>
          </w:tcPr>
          <w:p w14:paraId="52038C3B" w14:textId="77777777" w:rsidR="0046798B" w:rsidRDefault="0046798B">
            <w:pPr>
              <w:pStyle w:val="TableParagraph"/>
            </w:pPr>
          </w:p>
          <w:p w14:paraId="6D279297" w14:textId="77777777" w:rsidR="0046798B" w:rsidRDefault="0046798B">
            <w:pPr>
              <w:pStyle w:val="TableParagraph"/>
            </w:pPr>
          </w:p>
          <w:p w14:paraId="222FAA63" w14:textId="77777777" w:rsidR="0046798B" w:rsidRDefault="0046798B">
            <w:pPr>
              <w:pStyle w:val="TableParagraph"/>
              <w:spacing w:before="9"/>
              <w:rPr>
                <w:sz w:val="19"/>
              </w:rPr>
            </w:pPr>
          </w:p>
          <w:p w14:paraId="19A85170" w14:textId="77777777" w:rsidR="0046798B" w:rsidRDefault="00903B5C">
            <w:pPr>
              <w:pStyle w:val="TableParagraph"/>
              <w:ind w:left="114" w:right="1475"/>
              <w:rPr>
                <w:sz w:val="20"/>
              </w:rPr>
            </w:pPr>
            <w:r>
              <w:rPr>
                <w:sz w:val="20"/>
              </w:rPr>
              <w:t>0 = policy not adopted 1 = policy adopted</w:t>
            </w:r>
          </w:p>
        </w:tc>
        <w:tc>
          <w:tcPr>
            <w:tcW w:w="6482" w:type="dxa"/>
          </w:tcPr>
          <w:p w14:paraId="6948F560" w14:textId="77777777" w:rsidR="0046798B" w:rsidRDefault="00903B5C">
            <w:pPr>
              <w:pStyle w:val="TableParagraph"/>
              <w:spacing w:before="43"/>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p w14:paraId="2EFA4CDA" w14:textId="77777777" w:rsidR="0046798B" w:rsidRDefault="0046798B">
            <w:pPr>
              <w:pStyle w:val="TableParagraph"/>
              <w:rPr>
                <w:sz w:val="20"/>
              </w:rPr>
            </w:pPr>
          </w:p>
          <w:p w14:paraId="53630D07"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3AE918CF" w14:textId="77777777">
        <w:trPr>
          <w:trHeight w:val="1925"/>
        </w:trPr>
        <w:tc>
          <w:tcPr>
            <w:tcW w:w="1711" w:type="dxa"/>
          </w:tcPr>
          <w:p w14:paraId="4D53B122" w14:textId="77777777" w:rsidR="0046798B" w:rsidRDefault="0046798B">
            <w:pPr>
              <w:pStyle w:val="TableParagraph"/>
            </w:pPr>
          </w:p>
          <w:p w14:paraId="1EBF42A4" w14:textId="77777777" w:rsidR="0046798B" w:rsidRDefault="0046798B">
            <w:pPr>
              <w:pStyle w:val="TableParagraph"/>
              <w:spacing w:before="8"/>
              <w:rPr>
                <w:sz w:val="31"/>
              </w:rPr>
            </w:pPr>
          </w:p>
          <w:p w14:paraId="2A6C4686" w14:textId="77777777" w:rsidR="0046798B" w:rsidRDefault="00903B5C">
            <w:pPr>
              <w:pStyle w:val="TableParagraph"/>
              <w:spacing w:before="1"/>
              <w:ind w:left="115" w:right="179"/>
              <w:jc w:val="both"/>
              <w:rPr>
                <w:b/>
                <w:sz w:val="20"/>
              </w:rPr>
            </w:pPr>
            <w:r>
              <w:rPr>
                <w:b/>
                <w:sz w:val="20"/>
              </w:rPr>
              <w:t>emergency_man agement_assista nce</w:t>
            </w:r>
          </w:p>
        </w:tc>
        <w:tc>
          <w:tcPr>
            <w:tcW w:w="1596" w:type="dxa"/>
          </w:tcPr>
          <w:p w14:paraId="16DA5E52" w14:textId="77777777" w:rsidR="0046798B" w:rsidRDefault="0046798B">
            <w:pPr>
              <w:pStyle w:val="TableParagraph"/>
              <w:spacing w:before="8"/>
              <w:rPr>
                <w:sz w:val="23"/>
              </w:rPr>
            </w:pPr>
          </w:p>
          <w:p w14:paraId="526128E2" w14:textId="77777777" w:rsidR="0046798B" w:rsidRDefault="00903B5C">
            <w:pPr>
              <w:pStyle w:val="TableParagraph"/>
              <w:spacing w:before="1"/>
              <w:ind w:left="114" w:right="94"/>
              <w:rPr>
                <w:sz w:val="20"/>
              </w:rPr>
            </w:pPr>
            <w:r>
              <w:rPr>
                <w:sz w:val="20"/>
              </w:rPr>
              <w:t>Mutual assistance between states in emergency or disaster situations</w:t>
            </w:r>
          </w:p>
        </w:tc>
        <w:tc>
          <w:tcPr>
            <w:tcW w:w="1285" w:type="dxa"/>
          </w:tcPr>
          <w:p w14:paraId="746A4FAC" w14:textId="77777777" w:rsidR="0046798B" w:rsidRDefault="0046798B">
            <w:pPr>
              <w:pStyle w:val="TableParagraph"/>
            </w:pPr>
          </w:p>
          <w:p w14:paraId="2D7F7711" w14:textId="77777777" w:rsidR="0046798B" w:rsidRDefault="0046798B">
            <w:pPr>
              <w:pStyle w:val="TableParagraph"/>
            </w:pPr>
          </w:p>
          <w:p w14:paraId="0E078B24" w14:textId="77777777" w:rsidR="0046798B" w:rsidRDefault="0046798B">
            <w:pPr>
              <w:pStyle w:val="TableParagraph"/>
              <w:spacing w:before="9"/>
              <w:rPr>
                <w:sz w:val="29"/>
              </w:rPr>
            </w:pPr>
          </w:p>
          <w:p w14:paraId="52718DE3" w14:textId="77777777" w:rsidR="0046798B" w:rsidRDefault="00903B5C">
            <w:pPr>
              <w:pStyle w:val="TableParagraph"/>
              <w:ind w:left="114"/>
              <w:rPr>
                <w:sz w:val="20"/>
              </w:rPr>
            </w:pPr>
            <w:r>
              <w:rPr>
                <w:sz w:val="20"/>
              </w:rPr>
              <w:t>1995–2014</w:t>
            </w:r>
          </w:p>
        </w:tc>
        <w:tc>
          <w:tcPr>
            <w:tcW w:w="3421" w:type="dxa"/>
          </w:tcPr>
          <w:p w14:paraId="695D24F0" w14:textId="77777777" w:rsidR="0046798B" w:rsidRDefault="0046798B">
            <w:pPr>
              <w:pStyle w:val="TableParagraph"/>
            </w:pPr>
          </w:p>
          <w:p w14:paraId="355F0579" w14:textId="77777777" w:rsidR="0046798B" w:rsidRDefault="0046798B">
            <w:pPr>
              <w:pStyle w:val="TableParagraph"/>
            </w:pPr>
          </w:p>
          <w:p w14:paraId="1961B738" w14:textId="77777777" w:rsidR="0046798B" w:rsidRDefault="0046798B">
            <w:pPr>
              <w:pStyle w:val="TableParagraph"/>
              <w:spacing w:before="9"/>
              <w:rPr>
                <w:sz w:val="19"/>
              </w:rPr>
            </w:pPr>
          </w:p>
          <w:p w14:paraId="54BEA507" w14:textId="77777777" w:rsidR="0046798B" w:rsidRDefault="00903B5C">
            <w:pPr>
              <w:pStyle w:val="TableParagraph"/>
              <w:ind w:left="114" w:right="1475"/>
              <w:rPr>
                <w:sz w:val="20"/>
              </w:rPr>
            </w:pPr>
            <w:r>
              <w:rPr>
                <w:sz w:val="20"/>
              </w:rPr>
              <w:t>0 = policy not adopted 1 = policy adopted</w:t>
            </w:r>
          </w:p>
        </w:tc>
        <w:tc>
          <w:tcPr>
            <w:tcW w:w="6482" w:type="dxa"/>
          </w:tcPr>
          <w:p w14:paraId="30CDD489" w14:textId="77777777" w:rsidR="0046798B" w:rsidRDefault="00903B5C">
            <w:pPr>
              <w:pStyle w:val="TableParagraph"/>
              <w:spacing w:before="43"/>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p w14:paraId="635F6130" w14:textId="77777777" w:rsidR="0046798B" w:rsidRDefault="0046798B">
            <w:pPr>
              <w:pStyle w:val="TableParagraph"/>
              <w:rPr>
                <w:sz w:val="20"/>
              </w:rPr>
            </w:pPr>
          </w:p>
          <w:p w14:paraId="5D204AF9"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6821BA20" w14:textId="77777777">
        <w:trPr>
          <w:trHeight w:val="1930"/>
        </w:trPr>
        <w:tc>
          <w:tcPr>
            <w:tcW w:w="1711" w:type="dxa"/>
          </w:tcPr>
          <w:p w14:paraId="1B699BB0" w14:textId="77777777" w:rsidR="0046798B" w:rsidRDefault="0046798B">
            <w:pPr>
              <w:pStyle w:val="TableParagraph"/>
            </w:pPr>
          </w:p>
          <w:p w14:paraId="3D866449" w14:textId="77777777" w:rsidR="0046798B" w:rsidRDefault="0046798B">
            <w:pPr>
              <w:pStyle w:val="TableParagraph"/>
            </w:pPr>
          </w:p>
          <w:p w14:paraId="67C22AF2" w14:textId="77777777" w:rsidR="0046798B" w:rsidRDefault="0046798B">
            <w:pPr>
              <w:pStyle w:val="TableParagraph"/>
              <w:spacing w:before="9"/>
              <w:rPr>
                <w:sz w:val="19"/>
              </w:rPr>
            </w:pPr>
          </w:p>
          <w:p w14:paraId="1EF66B5F" w14:textId="77777777" w:rsidR="0046798B" w:rsidRDefault="00903B5C">
            <w:pPr>
              <w:pStyle w:val="TableParagraph"/>
              <w:ind w:left="115" w:right="221"/>
              <w:rPr>
                <w:b/>
                <w:sz w:val="20"/>
              </w:rPr>
            </w:pPr>
            <w:r>
              <w:rPr>
                <w:b/>
                <w:sz w:val="20"/>
              </w:rPr>
              <w:t>interpleader_co mpact</w:t>
            </w:r>
          </w:p>
        </w:tc>
        <w:tc>
          <w:tcPr>
            <w:tcW w:w="1596" w:type="dxa"/>
          </w:tcPr>
          <w:p w14:paraId="6E81CCBD" w14:textId="77777777" w:rsidR="0046798B" w:rsidRDefault="00903B5C">
            <w:pPr>
              <w:pStyle w:val="TableParagraph"/>
              <w:spacing w:before="158"/>
              <w:ind w:left="114" w:right="135"/>
              <w:rPr>
                <w:sz w:val="20"/>
              </w:rPr>
            </w:pPr>
            <w:r>
              <w:rPr>
                <w:sz w:val="20"/>
              </w:rPr>
              <w:t>Allows states to acquire jurisdiction over claimants to property located within compact states</w:t>
            </w:r>
          </w:p>
        </w:tc>
        <w:tc>
          <w:tcPr>
            <w:tcW w:w="1285" w:type="dxa"/>
          </w:tcPr>
          <w:p w14:paraId="04985577" w14:textId="77777777" w:rsidR="0046798B" w:rsidRDefault="0046798B">
            <w:pPr>
              <w:pStyle w:val="TableParagraph"/>
            </w:pPr>
          </w:p>
          <w:p w14:paraId="631371CC" w14:textId="77777777" w:rsidR="0046798B" w:rsidRDefault="0046798B">
            <w:pPr>
              <w:pStyle w:val="TableParagraph"/>
            </w:pPr>
          </w:p>
          <w:p w14:paraId="7C018875" w14:textId="77777777" w:rsidR="0046798B" w:rsidRDefault="0046798B">
            <w:pPr>
              <w:pStyle w:val="TableParagraph"/>
              <w:spacing w:before="9"/>
              <w:rPr>
                <w:sz w:val="29"/>
              </w:rPr>
            </w:pPr>
          </w:p>
          <w:p w14:paraId="61DCD92D" w14:textId="77777777" w:rsidR="0046798B" w:rsidRDefault="00903B5C">
            <w:pPr>
              <w:pStyle w:val="TableParagraph"/>
              <w:ind w:left="114"/>
              <w:rPr>
                <w:sz w:val="20"/>
              </w:rPr>
            </w:pPr>
            <w:r>
              <w:rPr>
                <w:sz w:val="20"/>
              </w:rPr>
              <w:t>1954–1978</w:t>
            </w:r>
          </w:p>
        </w:tc>
        <w:tc>
          <w:tcPr>
            <w:tcW w:w="3421" w:type="dxa"/>
          </w:tcPr>
          <w:p w14:paraId="70848A1B" w14:textId="77777777" w:rsidR="0046798B" w:rsidRDefault="0046798B">
            <w:pPr>
              <w:pStyle w:val="TableParagraph"/>
            </w:pPr>
          </w:p>
          <w:p w14:paraId="27B32A31" w14:textId="77777777" w:rsidR="0046798B" w:rsidRDefault="0046798B">
            <w:pPr>
              <w:pStyle w:val="TableParagraph"/>
            </w:pPr>
          </w:p>
          <w:p w14:paraId="1F66615C" w14:textId="77777777" w:rsidR="0046798B" w:rsidRDefault="0046798B">
            <w:pPr>
              <w:pStyle w:val="TableParagraph"/>
              <w:spacing w:before="9"/>
              <w:rPr>
                <w:sz w:val="19"/>
              </w:rPr>
            </w:pPr>
          </w:p>
          <w:p w14:paraId="35B1CBCE" w14:textId="77777777" w:rsidR="0046798B" w:rsidRDefault="00903B5C">
            <w:pPr>
              <w:pStyle w:val="TableParagraph"/>
              <w:ind w:left="114" w:right="1475"/>
              <w:rPr>
                <w:sz w:val="20"/>
              </w:rPr>
            </w:pPr>
            <w:r>
              <w:rPr>
                <w:sz w:val="20"/>
              </w:rPr>
              <w:t>0 = policy not adopted 1 = policy adopted</w:t>
            </w:r>
          </w:p>
        </w:tc>
        <w:tc>
          <w:tcPr>
            <w:tcW w:w="6482" w:type="dxa"/>
          </w:tcPr>
          <w:p w14:paraId="00E47F52" w14:textId="77777777" w:rsidR="0046798B" w:rsidRDefault="00903B5C">
            <w:pPr>
              <w:pStyle w:val="TableParagraph"/>
              <w:spacing w:before="43"/>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p w14:paraId="58F52C54" w14:textId="77777777" w:rsidR="0046798B" w:rsidRDefault="0046798B">
            <w:pPr>
              <w:pStyle w:val="TableParagraph"/>
              <w:rPr>
                <w:sz w:val="20"/>
              </w:rPr>
            </w:pPr>
          </w:p>
          <w:p w14:paraId="50B26D8E"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5DB41F4F" w14:textId="77777777">
        <w:trPr>
          <w:trHeight w:val="1925"/>
        </w:trPr>
        <w:tc>
          <w:tcPr>
            <w:tcW w:w="1711" w:type="dxa"/>
          </w:tcPr>
          <w:p w14:paraId="70EE39C9" w14:textId="77777777" w:rsidR="0046798B" w:rsidRDefault="0046798B">
            <w:pPr>
              <w:pStyle w:val="TableParagraph"/>
            </w:pPr>
          </w:p>
          <w:p w14:paraId="7E2BBDE4" w14:textId="77777777" w:rsidR="0046798B" w:rsidRDefault="0046798B">
            <w:pPr>
              <w:pStyle w:val="TableParagraph"/>
            </w:pPr>
          </w:p>
          <w:p w14:paraId="6F20C6FE" w14:textId="77777777" w:rsidR="0046798B" w:rsidRDefault="0046798B">
            <w:pPr>
              <w:pStyle w:val="TableParagraph"/>
              <w:spacing w:before="4"/>
              <w:rPr>
                <w:sz w:val="19"/>
              </w:rPr>
            </w:pPr>
          </w:p>
          <w:p w14:paraId="577EDF28" w14:textId="77777777" w:rsidR="0046798B" w:rsidRDefault="00903B5C">
            <w:pPr>
              <w:pStyle w:val="TableParagraph"/>
              <w:ind w:left="115" w:right="88"/>
              <w:rPr>
                <w:b/>
                <w:sz w:val="20"/>
              </w:rPr>
            </w:pPr>
            <w:r>
              <w:rPr>
                <w:b/>
                <w:sz w:val="20"/>
              </w:rPr>
              <w:t>interstate_compa ct_for_adult_off</w:t>
            </w:r>
          </w:p>
        </w:tc>
        <w:tc>
          <w:tcPr>
            <w:tcW w:w="1596" w:type="dxa"/>
          </w:tcPr>
          <w:p w14:paraId="3943D620" w14:textId="77777777" w:rsidR="0046798B" w:rsidRDefault="0046798B">
            <w:pPr>
              <w:pStyle w:val="TableParagraph"/>
              <w:spacing w:before="3"/>
              <w:rPr>
                <w:sz w:val="23"/>
              </w:rPr>
            </w:pPr>
          </w:p>
          <w:p w14:paraId="7A7A663C" w14:textId="77777777" w:rsidR="0046798B" w:rsidRDefault="00903B5C">
            <w:pPr>
              <w:pStyle w:val="TableParagraph"/>
              <w:spacing w:before="1"/>
              <w:ind w:left="114" w:right="191"/>
              <w:rPr>
                <w:sz w:val="20"/>
              </w:rPr>
            </w:pPr>
            <w:r>
              <w:rPr>
                <w:sz w:val="20"/>
              </w:rPr>
              <w:t>Regulates movement and supervision of offenders under community supervision</w:t>
            </w:r>
          </w:p>
        </w:tc>
        <w:tc>
          <w:tcPr>
            <w:tcW w:w="1285" w:type="dxa"/>
          </w:tcPr>
          <w:p w14:paraId="44B0F91E" w14:textId="77777777" w:rsidR="0046798B" w:rsidRDefault="0046798B">
            <w:pPr>
              <w:pStyle w:val="TableParagraph"/>
            </w:pPr>
          </w:p>
          <w:p w14:paraId="5451CE56" w14:textId="77777777" w:rsidR="0046798B" w:rsidRDefault="0046798B">
            <w:pPr>
              <w:pStyle w:val="TableParagraph"/>
            </w:pPr>
          </w:p>
          <w:p w14:paraId="61659C4C" w14:textId="77777777" w:rsidR="0046798B" w:rsidRDefault="0046798B">
            <w:pPr>
              <w:pStyle w:val="TableParagraph"/>
              <w:spacing w:before="4"/>
              <w:rPr>
                <w:sz w:val="29"/>
              </w:rPr>
            </w:pPr>
          </w:p>
          <w:p w14:paraId="1229EE66" w14:textId="77777777" w:rsidR="0046798B" w:rsidRDefault="00903B5C">
            <w:pPr>
              <w:pStyle w:val="TableParagraph"/>
              <w:ind w:left="114"/>
              <w:rPr>
                <w:sz w:val="20"/>
              </w:rPr>
            </w:pPr>
            <w:r>
              <w:rPr>
                <w:sz w:val="20"/>
              </w:rPr>
              <w:t>1951–2008</w:t>
            </w:r>
          </w:p>
        </w:tc>
        <w:tc>
          <w:tcPr>
            <w:tcW w:w="3421" w:type="dxa"/>
          </w:tcPr>
          <w:p w14:paraId="6DAB69E9" w14:textId="77777777" w:rsidR="0046798B" w:rsidRDefault="0046798B">
            <w:pPr>
              <w:pStyle w:val="TableParagraph"/>
            </w:pPr>
          </w:p>
          <w:p w14:paraId="640B0BF3" w14:textId="77777777" w:rsidR="0046798B" w:rsidRDefault="0046798B">
            <w:pPr>
              <w:pStyle w:val="TableParagraph"/>
            </w:pPr>
          </w:p>
          <w:p w14:paraId="16D6504E" w14:textId="77777777" w:rsidR="0046798B" w:rsidRDefault="0046798B">
            <w:pPr>
              <w:pStyle w:val="TableParagraph"/>
              <w:spacing w:before="4"/>
              <w:rPr>
                <w:sz w:val="19"/>
              </w:rPr>
            </w:pPr>
          </w:p>
          <w:p w14:paraId="36D390CF" w14:textId="77777777" w:rsidR="0046798B" w:rsidRDefault="00903B5C">
            <w:pPr>
              <w:pStyle w:val="TableParagraph"/>
              <w:ind w:left="114" w:right="1475"/>
              <w:rPr>
                <w:sz w:val="20"/>
              </w:rPr>
            </w:pPr>
            <w:r>
              <w:rPr>
                <w:sz w:val="20"/>
              </w:rPr>
              <w:t>0 = policy not adopted 1 = policy adopted</w:t>
            </w:r>
          </w:p>
        </w:tc>
        <w:tc>
          <w:tcPr>
            <w:tcW w:w="6482" w:type="dxa"/>
          </w:tcPr>
          <w:p w14:paraId="6D67322F" w14:textId="77777777" w:rsidR="0046798B" w:rsidRDefault="00903B5C">
            <w:pPr>
              <w:pStyle w:val="TableParagraph"/>
              <w:spacing w:before="38"/>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p w14:paraId="2AFD1EE0" w14:textId="77777777" w:rsidR="0046798B" w:rsidRDefault="0046798B">
            <w:pPr>
              <w:pStyle w:val="TableParagraph"/>
              <w:rPr>
                <w:sz w:val="20"/>
              </w:rPr>
            </w:pPr>
          </w:p>
          <w:p w14:paraId="4B963D22"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3D41DC63" w14:textId="77777777">
        <w:trPr>
          <w:trHeight w:val="1465"/>
        </w:trPr>
        <w:tc>
          <w:tcPr>
            <w:tcW w:w="1711" w:type="dxa"/>
          </w:tcPr>
          <w:p w14:paraId="6222115C" w14:textId="77777777" w:rsidR="0046798B" w:rsidRDefault="0046798B">
            <w:pPr>
              <w:pStyle w:val="TableParagraph"/>
            </w:pPr>
          </w:p>
          <w:p w14:paraId="5000D355" w14:textId="77777777" w:rsidR="0046798B" w:rsidRDefault="0046798B">
            <w:pPr>
              <w:pStyle w:val="TableParagraph"/>
              <w:spacing w:before="4"/>
              <w:rPr>
                <w:sz w:val="21"/>
              </w:rPr>
            </w:pPr>
          </w:p>
          <w:p w14:paraId="4AB846B6" w14:textId="77777777" w:rsidR="0046798B" w:rsidRDefault="00903B5C">
            <w:pPr>
              <w:pStyle w:val="TableParagraph"/>
              <w:ind w:left="115" w:right="88"/>
              <w:rPr>
                <w:b/>
                <w:sz w:val="20"/>
              </w:rPr>
            </w:pPr>
            <w:r>
              <w:rPr>
                <w:b/>
                <w:sz w:val="20"/>
              </w:rPr>
              <w:t>interstate_compa ct_for_juveniles</w:t>
            </w:r>
          </w:p>
        </w:tc>
        <w:tc>
          <w:tcPr>
            <w:tcW w:w="1596" w:type="dxa"/>
          </w:tcPr>
          <w:p w14:paraId="1A7D7E00" w14:textId="77777777" w:rsidR="0046798B" w:rsidRDefault="00903B5C">
            <w:pPr>
              <w:pStyle w:val="TableParagraph"/>
              <w:spacing w:before="153"/>
              <w:ind w:left="114" w:right="313"/>
              <w:rPr>
                <w:sz w:val="20"/>
              </w:rPr>
            </w:pPr>
            <w:r>
              <w:rPr>
                <w:sz w:val="20"/>
              </w:rPr>
              <w:t>Establishes procedure for out of state supervision of juveniles and</w:t>
            </w:r>
          </w:p>
        </w:tc>
        <w:tc>
          <w:tcPr>
            <w:tcW w:w="1285" w:type="dxa"/>
          </w:tcPr>
          <w:p w14:paraId="5B577D39" w14:textId="77777777" w:rsidR="0046798B" w:rsidRDefault="0046798B">
            <w:pPr>
              <w:pStyle w:val="TableParagraph"/>
            </w:pPr>
          </w:p>
          <w:p w14:paraId="466BC887" w14:textId="77777777" w:rsidR="0046798B" w:rsidRDefault="0046798B">
            <w:pPr>
              <w:pStyle w:val="TableParagraph"/>
              <w:spacing w:before="4"/>
              <w:rPr>
                <w:sz w:val="31"/>
              </w:rPr>
            </w:pPr>
          </w:p>
          <w:p w14:paraId="2FF8AE33" w14:textId="77777777" w:rsidR="0046798B" w:rsidRDefault="00903B5C">
            <w:pPr>
              <w:pStyle w:val="TableParagraph"/>
              <w:ind w:left="114"/>
              <w:rPr>
                <w:sz w:val="20"/>
              </w:rPr>
            </w:pPr>
            <w:r>
              <w:rPr>
                <w:sz w:val="20"/>
              </w:rPr>
              <w:t>1955–1986</w:t>
            </w:r>
          </w:p>
        </w:tc>
        <w:tc>
          <w:tcPr>
            <w:tcW w:w="3421" w:type="dxa"/>
          </w:tcPr>
          <w:p w14:paraId="723F951E" w14:textId="77777777" w:rsidR="0046798B" w:rsidRDefault="0046798B">
            <w:pPr>
              <w:pStyle w:val="TableParagraph"/>
            </w:pPr>
          </w:p>
          <w:p w14:paraId="0C48A1C1" w14:textId="77777777" w:rsidR="0046798B" w:rsidRDefault="0046798B">
            <w:pPr>
              <w:pStyle w:val="TableParagraph"/>
              <w:spacing w:before="4"/>
              <w:rPr>
                <w:sz w:val="21"/>
              </w:rPr>
            </w:pPr>
          </w:p>
          <w:p w14:paraId="59721458" w14:textId="77777777" w:rsidR="0046798B" w:rsidRDefault="00903B5C">
            <w:pPr>
              <w:pStyle w:val="TableParagraph"/>
              <w:ind w:left="114" w:right="1475"/>
              <w:rPr>
                <w:sz w:val="20"/>
              </w:rPr>
            </w:pPr>
            <w:r>
              <w:rPr>
                <w:sz w:val="20"/>
              </w:rPr>
              <w:t>0 = policy not adopted 1 = policy adopted</w:t>
            </w:r>
          </w:p>
        </w:tc>
        <w:tc>
          <w:tcPr>
            <w:tcW w:w="6482" w:type="dxa"/>
          </w:tcPr>
          <w:p w14:paraId="08836CC2" w14:textId="77777777" w:rsidR="0046798B" w:rsidRDefault="00903B5C">
            <w:pPr>
              <w:pStyle w:val="TableParagraph"/>
              <w:spacing w:before="38"/>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p w14:paraId="34EFFA76" w14:textId="77777777" w:rsidR="0046798B" w:rsidRDefault="0046798B">
            <w:pPr>
              <w:pStyle w:val="TableParagraph"/>
              <w:rPr>
                <w:sz w:val="20"/>
              </w:rPr>
            </w:pPr>
          </w:p>
          <w:p w14:paraId="75684C3E"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w:t>
            </w:r>
          </w:p>
        </w:tc>
      </w:tr>
    </w:tbl>
    <w:p w14:paraId="22B0912B" w14:textId="77777777" w:rsidR="0046798B" w:rsidRDefault="0046798B">
      <w:pPr>
        <w:rPr>
          <w:sz w:val="20"/>
        </w:rPr>
        <w:sectPr w:rsidR="0046798B">
          <w:pgSz w:w="15840" w:h="12240" w:orient="landscape"/>
          <w:pgMar w:top="1220" w:right="300" w:bottom="980" w:left="820" w:header="730" w:footer="787" w:gutter="0"/>
          <w:cols w:space="720"/>
        </w:sectPr>
      </w:pPr>
    </w:p>
    <w:p w14:paraId="6ABDD1DF"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74CF9C38" w14:textId="77777777">
        <w:trPr>
          <w:trHeight w:val="542"/>
        </w:trPr>
        <w:tc>
          <w:tcPr>
            <w:tcW w:w="1711" w:type="dxa"/>
            <w:tcBorders>
              <w:bottom w:val="dotted" w:sz="6" w:space="0" w:color="BEBEBE"/>
            </w:tcBorders>
          </w:tcPr>
          <w:p w14:paraId="0F293B25" w14:textId="77777777" w:rsidR="0046798B" w:rsidRDefault="0046798B">
            <w:pPr>
              <w:pStyle w:val="TableParagraph"/>
              <w:rPr>
                <w:sz w:val="20"/>
              </w:rPr>
            </w:pPr>
          </w:p>
        </w:tc>
        <w:tc>
          <w:tcPr>
            <w:tcW w:w="1596" w:type="dxa"/>
            <w:tcBorders>
              <w:bottom w:val="dotted" w:sz="6" w:space="0" w:color="BEBEBE"/>
            </w:tcBorders>
          </w:tcPr>
          <w:p w14:paraId="3BCEB9D5" w14:textId="77777777" w:rsidR="0046798B" w:rsidRDefault="00903B5C">
            <w:pPr>
              <w:pStyle w:val="TableParagraph"/>
              <w:spacing w:before="43"/>
              <w:ind w:left="114" w:right="291"/>
              <w:rPr>
                <w:sz w:val="20"/>
              </w:rPr>
            </w:pPr>
            <w:r>
              <w:rPr>
                <w:sz w:val="20"/>
              </w:rPr>
              <w:t>procedures for their return</w:t>
            </w:r>
          </w:p>
        </w:tc>
        <w:tc>
          <w:tcPr>
            <w:tcW w:w="1285" w:type="dxa"/>
            <w:tcBorders>
              <w:bottom w:val="dotted" w:sz="6" w:space="0" w:color="BEBEBE"/>
            </w:tcBorders>
          </w:tcPr>
          <w:p w14:paraId="04BBED7C" w14:textId="77777777" w:rsidR="0046798B" w:rsidRDefault="0046798B">
            <w:pPr>
              <w:pStyle w:val="TableParagraph"/>
              <w:rPr>
                <w:sz w:val="20"/>
              </w:rPr>
            </w:pPr>
          </w:p>
        </w:tc>
        <w:tc>
          <w:tcPr>
            <w:tcW w:w="3421" w:type="dxa"/>
            <w:tcBorders>
              <w:bottom w:val="dotted" w:sz="6" w:space="0" w:color="BEBEBE"/>
            </w:tcBorders>
          </w:tcPr>
          <w:p w14:paraId="38925E00" w14:textId="77777777" w:rsidR="0046798B" w:rsidRDefault="0046798B">
            <w:pPr>
              <w:pStyle w:val="TableParagraph"/>
              <w:rPr>
                <w:sz w:val="20"/>
              </w:rPr>
            </w:pPr>
          </w:p>
        </w:tc>
        <w:tc>
          <w:tcPr>
            <w:tcW w:w="6482" w:type="dxa"/>
            <w:tcBorders>
              <w:bottom w:val="dotted" w:sz="6" w:space="0" w:color="BEBEBE"/>
            </w:tcBorders>
          </w:tcPr>
          <w:p w14:paraId="622D096E" w14:textId="77777777" w:rsidR="0046798B" w:rsidRDefault="00903B5C">
            <w:pPr>
              <w:pStyle w:val="TableParagraph"/>
              <w:spacing w:before="43"/>
              <w:ind w:left="114" w:right="2377"/>
              <w:rPr>
                <w:sz w:val="20"/>
              </w:rPr>
            </w:pPr>
            <w:r>
              <w:rPr>
                <w:sz w:val="20"/>
              </w:rPr>
              <w:t>Innovation and Diffusion (SPID) Database v1.0”, https://doi.org/10.7910/DVN/CVYSR7</w:t>
            </w:r>
          </w:p>
        </w:tc>
      </w:tr>
      <w:tr w:rsidR="0046798B" w14:paraId="31CC4FCA" w14:textId="77777777">
        <w:trPr>
          <w:trHeight w:val="1923"/>
        </w:trPr>
        <w:tc>
          <w:tcPr>
            <w:tcW w:w="1711" w:type="dxa"/>
            <w:tcBorders>
              <w:top w:val="dotted" w:sz="6" w:space="0" w:color="BEBEBE"/>
            </w:tcBorders>
          </w:tcPr>
          <w:p w14:paraId="5BA919B0" w14:textId="77777777" w:rsidR="0046798B" w:rsidRDefault="0046798B">
            <w:pPr>
              <w:pStyle w:val="TableParagraph"/>
            </w:pPr>
          </w:p>
          <w:p w14:paraId="014B4CD5" w14:textId="77777777" w:rsidR="0046798B" w:rsidRDefault="0046798B">
            <w:pPr>
              <w:pStyle w:val="TableParagraph"/>
              <w:spacing w:before="6"/>
              <w:rPr>
                <w:sz w:val="31"/>
              </w:rPr>
            </w:pPr>
          </w:p>
          <w:p w14:paraId="40CF3D54" w14:textId="77777777" w:rsidR="0046798B" w:rsidRDefault="00903B5C">
            <w:pPr>
              <w:pStyle w:val="TableParagraph"/>
              <w:ind w:left="115" w:right="88"/>
              <w:rPr>
                <w:b/>
                <w:sz w:val="20"/>
              </w:rPr>
            </w:pPr>
            <w:r>
              <w:rPr>
                <w:b/>
                <w:sz w:val="20"/>
              </w:rPr>
              <w:t>interstate_compa ct_for_mutual_ mi</w:t>
            </w:r>
          </w:p>
        </w:tc>
        <w:tc>
          <w:tcPr>
            <w:tcW w:w="1596" w:type="dxa"/>
            <w:tcBorders>
              <w:top w:val="dotted" w:sz="6" w:space="0" w:color="BEBEBE"/>
            </w:tcBorders>
          </w:tcPr>
          <w:p w14:paraId="697090F6" w14:textId="77777777" w:rsidR="0046798B" w:rsidRDefault="0046798B">
            <w:pPr>
              <w:pStyle w:val="TableParagraph"/>
            </w:pPr>
          </w:p>
          <w:p w14:paraId="1E7623AE" w14:textId="77777777" w:rsidR="0046798B" w:rsidRDefault="0046798B">
            <w:pPr>
              <w:pStyle w:val="TableParagraph"/>
              <w:spacing w:before="6"/>
              <w:rPr>
                <w:sz w:val="21"/>
              </w:rPr>
            </w:pPr>
          </w:p>
          <w:p w14:paraId="35439CC8" w14:textId="77777777" w:rsidR="0046798B" w:rsidRDefault="00903B5C">
            <w:pPr>
              <w:pStyle w:val="TableParagraph"/>
              <w:ind w:left="114" w:right="85"/>
              <w:rPr>
                <w:sz w:val="20"/>
              </w:rPr>
            </w:pPr>
            <w:r>
              <w:rPr>
                <w:sz w:val="20"/>
              </w:rPr>
              <w:t>Provides mutual military aid between states in an emergency</w:t>
            </w:r>
          </w:p>
        </w:tc>
        <w:tc>
          <w:tcPr>
            <w:tcW w:w="1285" w:type="dxa"/>
            <w:tcBorders>
              <w:top w:val="dotted" w:sz="6" w:space="0" w:color="BEBEBE"/>
            </w:tcBorders>
          </w:tcPr>
          <w:p w14:paraId="7DE284F0" w14:textId="77777777" w:rsidR="0046798B" w:rsidRDefault="0046798B">
            <w:pPr>
              <w:pStyle w:val="TableParagraph"/>
            </w:pPr>
          </w:p>
          <w:p w14:paraId="7612D4AF" w14:textId="77777777" w:rsidR="0046798B" w:rsidRDefault="0046798B">
            <w:pPr>
              <w:pStyle w:val="TableParagraph"/>
            </w:pPr>
          </w:p>
          <w:p w14:paraId="4B76342F" w14:textId="77777777" w:rsidR="0046798B" w:rsidRDefault="0046798B">
            <w:pPr>
              <w:pStyle w:val="TableParagraph"/>
              <w:spacing w:before="6"/>
              <w:rPr>
                <w:sz w:val="29"/>
              </w:rPr>
            </w:pPr>
          </w:p>
          <w:p w14:paraId="10BCDD99" w14:textId="77777777" w:rsidR="0046798B" w:rsidRDefault="00903B5C">
            <w:pPr>
              <w:pStyle w:val="TableParagraph"/>
              <w:ind w:left="114"/>
              <w:rPr>
                <w:sz w:val="20"/>
              </w:rPr>
            </w:pPr>
            <w:r>
              <w:rPr>
                <w:sz w:val="20"/>
              </w:rPr>
              <w:t>1951–1976</w:t>
            </w:r>
          </w:p>
        </w:tc>
        <w:tc>
          <w:tcPr>
            <w:tcW w:w="3421" w:type="dxa"/>
            <w:tcBorders>
              <w:top w:val="dotted" w:sz="6" w:space="0" w:color="BEBEBE"/>
            </w:tcBorders>
          </w:tcPr>
          <w:p w14:paraId="388DE6FD" w14:textId="77777777" w:rsidR="0046798B" w:rsidRDefault="0046798B">
            <w:pPr>
              <w:pStyle w:val="TableParagraph"/>
            </w:pPr>
          </w:p>
          <w:p w14:paraId="36E3386D" w14:textId="77777777" w:rsidR="0046798B" w:rsidRDefault="0046798B">
            <w:pPr>
              <w:pStyle w:val="TableParagraph"/>
            </w:pPr>
          </w:p>
          <w:p w14:paraId="45F87022" w14:textId="77777777" w:rsidR="0046798B" w:rsidRDefault="0046798B">
            <w:pPr>
              <w:pStyle w:val="TableParagraph"/>
              <w:spacing w:before="6"/>
              <w:rPr>
                <w:sz w:val="19"/>
              </w:rPr>
            </w:pPr>
          </w:p>
          <w:p w14:paraId="66F2AD94" w14:textId="77777777" w:rsidR="0046798B" w:rsidRDefault="00903B5C">
            <w:pPr>
              <w:pStyle w:val="TableParagraph"/>
              <w:ind w:left="114" w:right="1475"/>
              <w:rPr>
                <w:sz w:val="20"/>
              </w:rPr>
            </w:pPr>
            <w:r>
              <w:rPr>
                <w:sz w:val="20"/>
              </w:rPr>
              <w:t>0 = policy not adopted 1 = policy adopted</w:t>
            </w:r>
          </w:p>
        </w:tc>
        <w:tc>
          <w:tcPr>
            <w:tcW w:w="6482" w:type="dxa"/>
            <w:tcBorders>
              <w:top w:val="dotted" w:sz="6" w:space="0" w:color="BEBEBE"/>
            </w:tcBorders>
          </w:tcPr>
          <w:p w14:paraId="06F9EFD2" w14:textId="77777777" w:rsidR="0046798B" w:rsidRDefault="00903B5C">
            <w:pPr>
              <w:pStyle w:val="TableParagraph"/>
              <w:spacing w:before="40"/>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p w14:paraId="3D71F1BA" w14:textId="77777777" w:rsidR="0046798B" w:rsidRDefault="0046798B">
            <w:pPr>
              <w:pStyle w:val="TableParagraph"/>
              <w:spacing w:before="1"/>
              <w:rPr>
                <w:sz w:val="20"/>
              </w:rPr>
            </w:pPr>
          </w:p>
          <w:p w14:paraId="57534D60"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33C879AD" w14:textId="77777777">
        <w:trPr>
          <w:trHeight w:val="2390"/>
        </w:trPr>
        <w:tc>
          <w:tcPr>
            <w:tcW w:w="1711" w:type="dxa"/>
          </w:tcPr>
          <w:p w14:paraId="061DD227" w14:textId="77777777" w:rsidR="0046798B" w:rsidRDefault="0046798B">
            <w:pPr>
              <w:pStyle w:val="TableParagraph"/>
            </w:pPr>
          </w:p>
          <w:p w14:paraId="4113C682" w14:textId="77777777" w:rsidR="0046798B" w:rsidRDefault="0046798B">
            <w:pPr>
              <w:pStyle w:val="TableParagraph"/>
            </w:pPr>
          </w:p>
          <w:p w14:paraId="2EB346BD" w14:textId="77777777" w:rsidR="0046798B" w:rsidRDefault="0046798B">
            <w:pPr>
              <w:pStyle w:val="TableParagraph"/>
              <w:spacing w:before="9"/>
              <w:rPr>
                <w:sz w:val="29"/>
              </w:rPr>
            </w:pPr>
          </w:p>
          <w:p w14:paraId="2EAD8E83" w14:textId="77777777" w:rsidR="0046798B" w:rsidRDefault="00903B5C">
            <w:pPr>
              <w:pStyle w:val="TableParagraph"/>
              <w:ind w:left="115" w:right="88"/>
              <w:rPr>
                <w:b/>
                <w:sz w:val="20"/>
              </w:rPr>
            </w:pPr>
            <w:r>
              <w:rPr>
                <w:b/>
                <w:sz w:val="20"/>
              </w:rPr>
              <w:t>interstate_compa ct_on_adoption_ a</w:t>
            </w:r>
          </w:p>
        </w:tc>
        <w:tc>
          <w:tcPr>
            <w:tcW w:w="1596" w:type="dxa"/>
          </w:tcPr>
          <w:p w14:paraId="534106DD" w14:textId="77777777" w:rsidR="0046798B" w:rsidRDefault="00903B5C">
            <w:pPr>
              <w:pStyle w:val="TableParagraph"/>
              <w:spacing w:before="43"/>
              <w:ind w:left="114" w:right="111"/>
              <w:rPr>
                <w:sz w:val="20"/>
              </w:rPr>
            </w:pPr>
            <w:r>
              <w:rPr>
                <w:sz w:val="20"/>
              </w:rPr>
              <w:t xml:space="preserve">Assures continued provision of all benefits of an adoption </w:t>
            </w:r>
            <w:r>
              <w:rPr>
                <w:spacing w:val="-3"/>
                <w:sz w:val="20"/>
              </w:rPr>
              <w:t xml:space="preserve">subsidy </w:t>
            </w:r>
            <w:r>
              <w:rPr>
                <w:sz w:val="20"/>
              </w:rPr>
              <w:t>agreement, regardless of state of residence of the child</w:t>
            </w:r>
          </w:p>
        </w:tc>
        <w:tc>
          <w:tcPr>
            <w:tcW w:w="1285" w:type="dxa"/>
          </w:tcPr>
          <w:p w14:paraId="00B12CDF" w14:textId="77777777" w:rsidR="0046798B" w:rsidRDefault="0046798B">
            <w:pPr>
              <w:pStyle w:val="TableParagraph"/>
            </w:pPr>
          </w:p>
          <w:p w14:paraId="28131FA9" w14:textId="77777777" w:rsidR="0046798B" w:rsidRDefault="0046798B">
            <w:pPr>
              <w:pStyle w:val="TableParagraph"/>
            </w:pPr>
          </w:p>
          <w:p w14:paraId="00B2562A" w14:textId="77777777" w:rsidR="0046798B" w:rsidRDefault="0046798B">
            <w:pPr>
              <w:pStyle w:val="TableParagraph"/>
            </w:pPr>
          </w:p>
          <w:p w14:paraId="54A037FA" w14:textId="77777777" w:rsidR="0046798B" w:rsidRDefault="0046798B">
            <w:pPr>
              <w:pStyle w:val="TableParagraph"/>
              <w:spacing w:before="9"/>
              <w:rPr>
                <w:sz w:val="27"/>
              </w:rPr>
            </w:pPr>
          </w:p>
          <w:p w14:paraId="2190422F" w14:textId="77777777" w:rsidR="0046798B" w:rsidRDefault="00903B5C">
            <w:pPr>
              <w:pStyle w:val="TableParagraph"/>
              <w:ind w:left="114"/>
              <w:rPr>
                <w:sz w:val="20"/>
              </w:rPr>
            </w:pPr>
            <w:r>
              <w:rPr>
                <w:sz w:val="20"/>
              </w:rPr>
              <w:t>1984–1991</w:t>
            </w:r>
          </w:p>
        </w:tc>
        <w:tc>
          <w:tcPr>
            <w:tcW w:w="3421" w:type="dxa"/>
          </w:tcPr>
          <w:p w14:paraId="3647CFEE" w14:textId="77777777" w:rsidR="0046798B" w:rsidRDefault="0046798B">
            <w:pPr>
              <w:pStyle w:val="TableParagraph"/>
            </w:pPr>
          </w:p>
          <w:p w14:paraId="7C00A28B" w14:textId="77777777" w:rsidR="0046798B" w:rsidRDefault="0046798B">
            <w:pPr>
              <w:pStyle w:val="TableParagraph"/>
            </w:pPr>
          </w:p>
          <w:p w14:paraId="3F689A78" w14:textId="77777777" w:rsidR="0046798B" w:rsidRDefault="0046798B">
            <w:pPr>
              <w:pStyle w:val="TableParagraph"/>
            </w:pPr>
          </w:p>
          <w:p w14:paraId="2AFABDB2" w14:textId="77777777" w:rsidR="0046798B" w:rsidRDefault="0046798B">
            <w:pPr>
              <w:pStyle w:val="TableParagraph"/>
              <w:spacing w:before="9"/>
              <w:rPr>
                <w:sz w:val="17"/>
              </w:rPr>
            </w:pPr>
          </w:p>
          <w:p w14:paraId="704C0FCE" w14:textId="77777777" w:rsidR="0046798B" w:rsidRDefault="00903B5C">
            <w:pPr>
              <w:pStyle w:val="TableParagraph"/>
              <w:ind w:left="114" w:right="1475"/>
              <w:rPr>
                <w:sz w:val="20"/>
              </w:rPr>
            </w:pPr>
            <w:r>
              <w:rPr>
                <w:sz w:val="20"/>
              </w:rPr>
              <w:t>0 = policy not adopted 1 = policy adopted</w:t>
            </w:r>
          </w:p>
        </w:tc>
        <w:tc>
          <w:tcPr>
            <w:tcW w:w="6482" w:type="dxa"/>
          </w:tcPr>
          <w:p w14:paraId="3107503E" w14:textId="77777777" w:rsidR="0046798B" w:rsidRDefault="0046798B">
            <w:pPr>
              <w:pStyle w:val="TableParagraph"/>
              <w:spacing w:before="9"/>
              <w:rPr>
                <w:sz w:val="23"/>
              </w:rPr>
            </w:pPr>
          </w:p>
          <w:p w14:paraId="009E1E7D" w14:textId="77777777" w:rsidR="0046798B" w:rsidRDefault="00903B5C">
            <w:pPr>
              <w:pStyle w:val="TableParagraph"/>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p w14:paraId="4D044B38" w14:textId="77777777" w:rsidR="0046798B" w:rsidRDefault="0046798B">
            <w:pPr>
              <w:pStyle w:val="TableParagraph"/>
              <w:rPr>
                <w:sz w:val="20"/>
              </w:rPr>
            </w:pPr>
          </w:p>
          <w:p w14:paraId="38C68AD2"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0EF76A91" w14:textId="77777777">
        <w:trPr>
          <w:trHeight w:val="1926"/>
        </w:trPr>
        <w:tc>
          <w:tcPr>
            <w:tcW w:w="1711" w:type="dxa"/>
          </w:tcPr>
          <w:p w14:paraId="2CF09E17" w14:textId="77777777" w:rsidR="0046798B" w:rsidRDefault="0046798B">
            <w:pPr>
              <w:pStyle w:val="TableParagraph"/>
            </w:pPr>
          </w:p>
          <w:p w14:paraId="25EDB3B2" w14:textId="77777777" w:rsidR="0046798B" w:rsidRDefault="0046798B">
            <w:pPr>
              <w:pStyle w:val="TableParagraph"/>
            </w:pPr>
          </w:p>
          <w:p w14:paraId="2B137740" w14:textId="77777777" w:rsidR="0046798B" w:rsidRDefault="0046798B">
            <w:pPr>
              <w:pStyle w:val="TableParagraph"/>
              <w:spacing w:before="4"/>
              <w:rPr>
                <w:sz w:val="19"/>
              </w:rPr>
            </w:pPr>
          </w:p>
          <w:p w14:paraId="24D2A5F2" w14:textId="77777777" w:rsidR="0046798B" w:rsidRDefault="00903B5C">
            <w:pPr>
              <w:pStyle w:val="TableParagraph"/>
              <w:ind w:left="115" w:right="88"/>
              <w:rPr>
                <w:b/>
                <w:sz w:val="20"/>
              </w:rPr>
            </w:pPr>
            <w:r>
              <w:rPr>
                <w:b/>
                <w:sz w:val="20"/>
              </w:rPr>
              <w:t>interstate_compa ct_on_agricultur</w:t>
            </w:r>
          </w:p>
        </w:tc>
        <w:tc>
          <w:tcPr>
            <w:tcW w:w="1596" w:type="dxa"/>
          </w:tcPr>
          <w:p w14:paraId="40350AA2" w14:textId="77777777" w:rsidR="0046798B" w:rsidRDefault="0046798B">
            <w:pPr>
              <w:pStyle w:val="TableParagraph"/>
            </w:pPr>
          </w:p>
          <w:p w14:paraId="4DE5BAE6" w14:textId="77777777" w:rsidR="0046798B" w:rsidRDefault="00903B5C">
            <w:pPr>
              <w:pStyle w:val="TableParagraph"/>
              <w:spacing w:before="131"/>
              <w:ind w:left="114" w:right="202"/>
              <w:rPr>
                <w:sz w:val="20"/>
              </w:rPr>
            </w:pPr>
            <w:r>
              <w:rPr>
                <w:sz w:val="20"/>
              </w:rPr>
              <w:t>Creates commission to promote exporting American grain</w:t>
            </w:r>
          </w:p>
        </w:tc>
        <w:tc>
          <w:tcPr>
            <w:tcW w:w="1285" w:type="dxa"/>
          </w:tcPr>
          <w:p w14:paraId="013FDF6D" w14:textId="77777777" w:rsidR="0046798B" w:rsidRDefault="0046798B">
            <w:pPr>
              <w:pStyle w:val="TableParagraph"/>
            </w:pPr>
          </w:p>
          <w:p w14:paraId="0A6B1239" w14:textId="77777777" w:rsidR="0046798B" w:rsidRDefault="0046798B">
            <w:pPr>
              <w:pStyle w:val="TableParagraph"/>
            </w:pPr>
          </w:p>
          <w:p w14:paraId="48A6BBF8" w14:textId="77777777" w:rsidR="0046798B" w:rsidRDefault="0046798B">
            <w:pPr>
              <w:pStyle w:val="TableParagraph"/>
              <w:spacing w:before="4"/>
              <w:rPr>
                <w:sz w:val="29"/>
              </w:rPr>
            </w:pPr>
          </w:p>
          <w:p w14:paraId="3F860554" w14:textId="77777777" w:rsidR="0046798B" w:rsidRDefault="00903B5C">
            <w:pPr>
              <w:pStyle w:val="TableParagraph"/>
              <w:ind w:left="114"/>
              <w:rPr>
                <w:sz w:val="20"/>
              </w:rPr>
            </w:pPr>
            <w:r>
              <w:rPr>
                <w:sz w:val="20"/>
              </w:rPr>
              <w:t>1979</w:t>
            </w:r>
          </w:p>
        </w:tc>
        <w:tc>
          <w:tcPr>
            <w:tcW w:w="3421" w:type="dxa"/>
          </w:tcPr>
          <w:p w14:paraId="13873CC9" w14:textId="77777777" w:rsidR="0046798B" w:rsidRDefault="0046798B">
            <w:pPr>
              <w:pStyle w:val="TableParagraph"/>
            </w:pPr>
          </w:p>
          <w:p w14:paraId="4633B99F" w14:textId="77777777" w:rsidR="0046798B" w:rsidRDefault="0046798B">
            <w:pPr>
              <w:pStyle w:val="TableParagraph"/>
            </w:pPr>
          </w:p>
          <w:p w14:paraId="4964D0FE" w14:textId="77777777" w:rsidR="0046798B" w:rsidRDefault="0046798B">
            <w:pPr>
              <w:pStyle w:val="TableParagraph"/>
              <w:spacing w:before="4"/>
              <w:rPr>
                <w:sz w:val="19"/>
              </w:rPr>
            </w:pPr>
          </w:p>
          <w:p w14:paraId="3BB27E02" w14:textId="77777777" w:rsidR="0046798B" w:rsidRDefault="00903B5C">
            <w:pPr>
              <w:pStyle w:val="TableParagraph"/>
              <w:ind w:left="114" w:right="1475"/>
              <w:rPr>
                <w:sz w:val="20"/>
              </w:rPr>
            </w:pPr>
            <w:r>
              <w:rPr>
                <w:sz w:val="20"/>
              </w:rPr>
              <w:t>0 = policy not adopted 1 = policy adopted</w:t>
            </w:r>
          </w:p>
        </w:tc>
        <w:tc>
          <w:tcPr>
            <w:tcW w:w="6482" w:type="dxa"/>
          </w:tcPr>
          <w:p w14:paraId="4998F57B" w14:textId="77777777" w:rsidR="0046798B" w:rsidRDefault="00903B5C">
            <w:pPr>
              <w:pStyle w:val="TableParagraph"/>
              <w:spacing w:before="38"/>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p w14:paraId="0C0E58F6" w14:textId="77777777" w:rsidR="0046798B" w:rsidRDefault="0046798B">
            <w:pPr>
              <w:pStyle w:val="TableParagraph"/>
              <w:rPr>
                <w:sz w:val="20"/>
              </w:rPr>
            </w:pPr>
          </w:p>
          <w:p w14:paraId="1D7790B6"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21DE8991" w14:textId="77777777">
        <w:trPr>
          <w:trHeight w:val="1925"/>
        </w:trPr>
        <w:tc>
          <w:tcPr>
            <w:tcW w:w="1711" w:type="dxa"/>
          </w:tcPr>
          <w:p w14:paraId="44BFE4FD" w14:textId="77777777" w:rsidR="0046798B" w:rsidRDefault="0046798B">
            <w:pPr>
              <w:pStyle w:val="TableParagraph"/>
            </w:pPr>
          </w:p>
          <w:p w14:paraId="10C08D1D" w14:textId="77777777" w:rsidR="0046798B" w:rsidRDefault="0046798B">
            <w:pPr>
              <w:pStyle w:val="TableParagraph"/>
              <w:spacing w:before="3"/>
              <w:rPr>
                <w:sz w:val="31"/>
              </w:rPr>
            </w:pPr>
          </w:p>
          <w:p w14:paraId="45F244C9" w14:textId="77777777" w:rsidR="0046798B" w:rsidRDefault="00903B5C">
            <w:pPr>
              <w:pStyle w:val="TableParagraph"/>
              <w:ind w:left="115" w:right="88"/>
              <w:rPr>
                <w:b/>
                <w:sz w:val="20"/>
              </w:rPr>
            </w:pPr>
            <w:r>
              <w:rPr>
                <w:b/>
                <w:sz w:val="20"/>
              </w:rPr>
              <w:t>interstate_compa ct_on_education a</w:t>
            </w:r>
          </w:p>
        </w:tc>
        <w:tc>
          <w:tcPr>
            <w:tcW w:w="1596" w:type="dxa"/>
          </w:tcPr>
          <w:p w14:paraId="7A45B625" w14:textId="77777777" w:rsidR="0046798B" w:rsidRDefault="0046798B">
            <w:pPr>
              <w:pStyle w:val="TableParagraph"/>
            </w:pPr>
          </w:p>
          <w:p w14:paraId="5F69B58E" w14:textId="77777777" w:rsidR="0046798B" w:rsidRDefault="00903B5C">
            <w:pPr>
              <w:pStyle w:val="TableParagraph"/>
              <w:spacing w:before="130"/>
              <w:ind w:left="114" w:right="113"/>
              <w:rPr>
                <w:sz w:val="20"/>
              </w:rPr>
            </w:pPr>
            <w:r>
              <w:rPr>
                <w:sz w:val="20"/>
              </w:rPr>
              <w:t>Helps military children transfer academic credits between institutions</w:t>
            </w:r>
          </w:p>
        </w:tc>
        <w:tc>
          <w:tcPr>
            <w:tcW w:w="1285" w:type="dxa"/>
          </w:tcPr>
          <w:p w14:paraId="7566FC33" w14:textId="77777777" w:rsidR="0046798B" w:rsidRDefault="0046798B">
            <w:pPr>
              <w:pStyle w:val="TableParagraph"/>
            </w:pPr>
          </w:p>
          <w:p w14:paraId="0AE614C9" w14:textId="77777777" w:rsidR="0046798B" w:rsidRDefault="0046798B">
            <w:pPr>
              <w:pStyle w:val="TableParagraph"/>
            </w:pPr>
          </w:p>
          <w:p w14:paraId="37B817FF" w14:textId="77777777" w:rsidR="0046798B" w:rsidRDefault="0046798B">
            <w:pPr>
              <w:pStyle w:val="TableParagraph"/>
              <w:spacing w:before="4"/>
              <w:rPr>
                <w:sz w:val="29"/>
              </w:rPr>
            </w:pPr>
          </w:p>
          <w:p w14:paraId="2C7D5539" w14:textId="77777777" w:rsidR="0046798B" w:rsidRDefault="00903B5C">
            <w:pPr>
              <w:pStyle w:val="TableParagraph"/>
              <w:ind w:left="114"/>
              <w:rPr>
                <w:sz w:val="20"/>
              </w:rPr>
            </w:pPr>
            <w:r>
              <w:rPr>
                <w:sz w:val="20"/>
              </w:rPr>
              <w:t>2008–2014</w:t>
            </w:r>
          </w:p>
        </w:tc>
        <w:tc>
          <w:tcPr>
            <w:tcW w:w="3421" w:type="dxa"/>
          </w:tcPr>
          <w:p w14:paraId="5F3B3F66" w14:textId="77777777" w:rsidR="0046798B" w:rsidRDefault="0046798B">
            <w:pPr>
              <w:pStyle w:val="TableParagraph"/>
            </w:pPr>
          </w:p>
          <w:p w14:paraId="7EFC2822" w14:textId="77777777" w:rsidR="0046798B" w:rsidRDefault="0046798B">
            <w:pPr>
              <w:pStyle w:val="TableParagraph"/>
            </w:pPr>
          </w:p>
          <w:p w14:paraId="2A9C98C3" w14:textId="77777777" w:rsidR="0046798B" w:rsidRDefault="0046798B">
            <w:pPr>
              <w:pStyle w:val="TableParagraph"/>
              <w:spacing w:before="3"/>
              <w:rPr>
                <w:sz w:val="19"/>
              </w:rPr>
            </w:pPr>
          </w:p>
          <w:p w14:paraId="549D46C8"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30B14D9C" w14:textId="77777777" w:rsidR="0046798B" w:rsidRDefault="00903B5C">
            <w:pPr>
              <w:pStyle w:val="TableParagraph"/>
              <w:spacing w:before="38"/>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p w14:paraId="1CFB232E" w14:textId="77777777" w:rsidR="0046798B" w:rsidRDefault="0046798B">
            <w:pPr>
              <w:pStyle w:val="TableParagraph"/>
              <w:rPr>
                <w:sz w:val="20"/>
              </w:rPr>
            </w:pPr>
          </w:p>
          <w:p w14:paraId="69815674"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bl>
    <w:p w14:paraId="715048F4" w14:textId="77777777" w:rsidR="0046798B" w:rsidRDefault="0046798B">
      <w:pPr>
        <w:rPr>
          <w:sz w:val="20"/>
        </w:rPr>
        <w:sectPr w:rsidR="0046798B">
          <w:pgSz w:w="15840" w:h="12240" w:orient="landscape"/>
          <w:pgMar w:top="1220" w:right="300" w:bottom="980" w:left="820" w:header="730" w:footer="787" w:gutter="0"/>
          <w:cols w:space="720"/>
        </w:sectPr>
      </w:pPr>
    </w:p>
    <w:p w14:paraId="300BAB35"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582ADCC0" w14:textId="77777777">
        <w:trPr>
          <w:trHeight w:val="2386"/>
        </w:trPr>
        <w:tc>
          <w:tcPr>
            <w:tcW w:w="1711" w:type="dxa"/>
          </w:tcPr>
          <w:p w14:paraId="4AB3DFC1" w14:textId="77777777" w:rsidR="0046798B" w:rsidRDefault="0046798B">
            <w:pPr>
              <w:pStyle w:val="TableParagraph"/>
            </w:pPr>
          </w:p>
          <w:p w14:paraId="719BBE3C" w14:textId="77777777" w:rsidR="0046798B" w:rsidRDefault="0046798B">
            <w:pPr>
              <w:pStyle w:val="TableParagraph"/>
            </w:pPr>
          </w:p>
          <w:p w14:paraId="7EDDFCCD" w14:textId="77777777" w:rsidR="0046798B" w:rsidRDefault="0046798B">
            <w:pPr>
              <w:pStyle w:val="TableParagraph"/>
            </w:pPr>
          </w:p>
          <w:p w14:paraId="2538522A" w14:textId="77777777" w:rsidR="0046798B" w:rsidRDefault="0046798B">
            <w:pPr>
              <w:pStyle w:val="TableParagraph"/>
              <w:spacing w:before="9"/>
              <w:rPr>
                <w:sz w:val="17"/>
              </w:rPr>
            </w:pPr>
          </w:p>
          <w:p w14:paraId="7CB4DB50" w14:textId="77777777" w:rsidR="0046798B" w:rsidRDefault="00903B5C">
            <w:pPr>
              <w:pStyle w:val="TableParagraph"/>
              <w:ind w:left="115" w:right="88"/>
              <w:rPr>
                <w:b/>
                <w:sz w:val="20"/>
              </w:rPr>
            </w:pPr>
            <w:r>
              <w:rPr>
                <w:b/>
                <w:sz w:val="20"/>
              </w:rPr>
              <w:t>interstate_compa ct_on_industrial</w:t>
            </w:r>
          </w:p>
        </w:tc>
        <w:tc>
          <w:tcPr>
            <w:tcW w:w="1596" w:type="dxa"/>
          </w:tcPr>
          <w:p w14:paraId="414E85E5" w14:textId="77777777" w:rsidR="0046798B" w:rsidRDefault="00903B5C">
            <w:pPr>
              <w:pStyle w:val="TableParagraph"/>
              <w:spacing w:before="43"/>
              <w:ind w:left="114" w:right="146"/>
              <w:rPr>
                <w:sz w:val="20"/>
              </w:rPr>
            </w:pPr>
            <w:r>
              <w:rPr>
                <w:sz w:val="20"/>
              </w:rPr>
              <w:t>Creates commission to create uniform rules and regulations governing the design and construction of industrialized/m odular buildings</w:t>
            </w:r>
          </w:p>
        </w:tc>
        <w:tc>
          <w:tcPr>
            <w:tcW w:w="1285" w:type="dxa"/>
          </w:tcPr>
          <w:p w14:paraId="7C738984" w14:textId="77777777" w:rsidR="0046798B" w:rsidRDefault="0046798B">
            <w:pPr>
              <w:pStyle w:val="TableParagraph"/>
            </w:pPr>
          </w:p>
          <w:p w14:paraId="776F794C" w14:textId="77777777" w:rsidR="0046798B" w:rsidRDefault="0046798B">
            <w:pPr>
              <w:pStyle w:val="TableParagraph"/>
            </w:pPr>
          </w:p>
          <w:p w14:paraId="0A8D4BA1" w14:textId="77777777" w:rsidR="0046798B" w:rsidRDefault="0046798B">
            <w:pPr>
              <w:pStyle w:val="TableParagraph"/>
            </w:pPr>
          </w:p>
          <w:p w14:paraId="699B0C12" w14:textId="77777777" w:rsidR="0046798B" w:rsidRDefault="0046798B">
            <w:pPr>
              <w:pStyle w:val="TableParagraph"/>
              <w:spacing w:before="9"/>
              <w:rPr>
                <w:sz w:val="27"/>
              </w:rPr>
            </w:pPr>
          </w:p>
          <w:p w14:paraId="7C2AEB4C" w14:textId="77777777" w:rsidR="0046798B" w:rsidRDefault="00903B5C">
            <w:pPr>
              <w:pStyle w:val="TableParagraph"/>
              <w:ind w:left="114"/>
              <w:rPr>
                <w:sz w:val="20"/>
              </w:rPr>
            </w:pPr>
            <w:r>
              <w:rPr>
                <w:sz w:val="20"/>
              </w:rPr>
              <w:t>1990–2011</w:t>
            </w:r>
          </w:p>
        </w:tc>
        <w:tc>
          <w:tcPr>
            <w:tcW w:w="3421" w:type="dxa"/>
          </w:tcPr>
          <w:p w14:paraId="1591BDDF" w14:textId="77777777" w:rsidR="0046798B" w:rsidRDefault="0046798B">
            <w:pPr>
              <w:pStyle w:val="TableParagraph"/>
            </w:pPr>
          </w:p>
          <w:p w14:paraId="132DBFD9" w14:textId="77777777" w:rsidR="0046798B" w:rsidRDefault="0046798B">
            <w:pPr>
              <w:pStyle w:val="TableParagraph"/>
            </w:pPr>
          </w:p>
          <w:p w14:paraId="5D25A546" w14:textId="77777777" w:rsidR="0046798B" w:rsidRDefault="0046798B">
            <w:pPr>
              <w:pStyle w:val="TableParagraph"/>
            </w:pPr>
          </w:p>
          <w:p w14:paraId="0842462D" w14:textId="77777777" w:rsidR="0046798B" w:rsidRDefault="0046798B">
            <w:pPr>
              <w:pStyle w:val="TableParagraph"/>
              <w:spacing w:before="9"/>
              <w:rPr>
                <w:sz w:val="17"/>
              </w:rPr>
            </w:pPr>
          </w:p>
          <w:p w14:paraId="718AD45B" w14:textId="77777777" w:rsidR="0046798B" w:rsidRDefault="00903B5C">
            <w:pPr>
              <w:pStyle w:val="TableParagraph"/>
              <w:ind w:left="114" w:right="1475"/>
              <w:rPr>
                <w:sz w:val="20"/>
              </w:rPr>
            </w:pPr>
            <w:r>
              <w:rPr>
                <w:sz w:val="20"/>
              </w:rPr>
              <w:t>0 = policy not adopted 1 = policy adopted</w:t>
            </w:r>
          </w:p>
        </w:tc>
        <w:tc>
          <w:tcPr>
            <w:tcW w:w="6482" w:type="dxa"/>
          </w:tcPr>
          <w:p w14:paraId="7601A71C" w14:textId="77777777" w:rsidR="0046798B" w:rsidRDefault="0046798B">
            <w:pPr>
              <w:pStyle w:val="TableParagraph"/>
              <w:spacing w:before="9"/>
              <w:rPr>
                <w:sz w:val="23"/>
              </w:rPr>
            </w:pPr>
          </w:p>
          <w:p w14:paraId="3874C759" w14:textId="77777777" w:rsidR="0046798B" w:rsidRDefault="00903B5C">
            <w:pPr>
              <w:pStyle w:val="TableParagraph"/>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p w14:paraId="731063A4" w14:textId="77777777" w:rsidR="0046798B" w:rsidRDefault="0046798B">
            <w:pPr>
              <w:pStyle w:val="TableParagraph"/>
              <w:rPr>
                <w:sz w:val="20"/>
              </w:rPr>
            </w:pPr>
          </w:p>
          <w:p w14:paraId="56CB8143"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53AB4157" w14:textId="77777777">
        <w:trPr>
          <w:trHeight w:val="1925"/>
        </w:trPr>
        <w:tc>
          <w:tcPr>
            <w:tcW w:w="1711" w:type="dxa"/>
          </w:tcPr>
          <w:p w14:paraId="7F63A3CA" w14:textId="77777777" w:rsidR="0046798B" w:rsidRDefault="0046798B">
            <w:pPr>
              <w:pStyle w:val="TableParagraph"/>
            </w:pPr>
          </w:p>
          <w:p w14:paraId="2C8F67C2" w14:textId="77777777" w:rsidR="0046798B" w:rsidRDefault="0046798B">
            <w:pPr>
              <w:pStyle w:val="TableParagraph"/>
            </w:pPr>
          </w:p>
          <w:p w14:paraId="148C3C32" w14:textId="77777777" w:rsidR="0046798B" w:rsidRDefault="0046798B">
            <w:pPr>
              <w:pStyle w:val="TableParagraph"/>
              <w:spacing w:before="9"/>
              <w:rPr>
                <w:sz w:val="19"/>
              </w:rPr>
            </w:pPr>
          </w:p>
          <w:p w14:paraId="62EDFEE9" w14:textId="77777777" w:rsidR="0046798B" w:rsidRDefault="00903B5C">
            <w:pPr>
              <w:pStyle w:val="TableParagraph"/>
              <w:ind w:left="115" w:right="88"/>
              <w:rPr>
                <w:b/>
                <w:sz w:val="20"/>
              </w:rPr>
            </w:pPr>
            <w:r>
              <w:rPr>
                <w:b/>
                <w:sz w:val="20"/>
              </w:rPr>
              <w:t>interstate_compa ct_on_licensure</w:t>
            </w:r>
          </w:p>
        </w:tc>
        <w:tc>
          <w:tcPr>
            <w:tcW w:w="1596" w:type="dxa"/>
          </w:tcPr>
          <w:p w14:paraId="5F592C0D" w14:textId="77777777" w:rsidR="0046798B" w:rsidRDefault="00903B5C">
            <w:pPr>
              <w:pStyle w:val="TableParagraph"/>
              <w:spacing w:before="43"/>
              <w:ind w:left="114" w:right="143"/>
              <w:rPr>
                <w:sz w:val="20"/>
              </w:rPr>
            </w:pPr>
            <w:r>
              <w:rPr>
                <w:sz w:val="20"/>
              </w:rPr>
              <w:t>Establishes uniform requirements for licensing of participants in live racing with pari-mutuel wagering</w:t>
            </w:r>
          </w:p>
        </w:tc>
        <w:tc>
          <w:tcPr>
            <w:tcW w:w="1285" w:type="dxa"/>
          </w:tcPr>
          <w:p w14:paraId="7AFBCEC7" w14:textId="77777777" w:rsidR="0046798B" w:rsidRDefault="0046798B">
            <w:pPr>
              <w:pStyle w:val="TableParagraph"/>
            </w:pPr>
          </w:p>
          <w:p w14:paraId="2938A341" w14:textId="77777777" w:rsidR="0046798B" w:rsidRDefault="0046798B">
            <w:pPr>
              <w:pStyle w:val="TableParagraph"/>
            </w:pPr>
          </w:p>
          <w:p w14:paraId="7CDBAAEF" w14:textId="77777777" w:rsidR="0046798B" w:rsidRDefault="0046798B">
            <w:pPr>
              <w:pStyle w:val="TableParagraph"/>
              <w:spacing w:before="9"/>
              <w:rPr>
                <w:sz w:val="29"/>
              </w:rPr>
            </w:pPr>
          </w:p>
          <w:p w14:paraId="1239871E" w14:textId="77777777" w:rsidR="0046798B" w:rsidRDefault="00903B5C">
            <w:pPr>
              <w:pStyle w:val="TableParagraph"/>
              <w:ind w:left="114"/>
              <w:rPr>
                <w:sz w:val="20"/>
              </w:rPr>
            </w:pPr>
            <w:r>
              <w:rPr>
                <w:sz w:val="20"/>
              </w:rPr>
              <w:t>2000–2007</w:t>
            </w:r>
          </w:p>
        </w:tc>
        <w:tc>
          <w:tcPr>
            <w:tcW w:w="3421" w:type="dxa"/>
          </w:tcPr>
          <w:p w14:paraId="440139C7" w14:textId="77777777" w:rsidR="0046798B" w:rsidRDefault="0046798B">
            <w:pPr>
              <w:pStyle w:val="TableParagraph"/>
            </w:pPr>
          </w:p>
          <w:p w14:paraId="7E1263C0" w14:textId="77777777" w:rsidR="0046798B" w:rsidRDefault="0046798B">
            <w:pPr>
              <w:pStyle w:val="TableParagraph"/>
            </w:pPr>
          </w:p>
          <w:p w14:paraId="2289C280" w14:textId="77777777" w:rsidR="0046798B" w:rsidRDefault="0046798B">
            <w:pPr>
              <w:pStyle w:val="TableParagraph"/>
              <w:spacing w:before="9"/>
              <w:rPr>
                <w:sz w:val="19"/>
              </w:rPr>
            </w:pPr>
          </w:p>
          <w:p w14:paraId="19F764D2" w14:textId="77777777" w:rsidR="0046798B" w:rsidRDefault="00903B5C">
            <w:pPr>
              <w:pStyle w:val="TableParagraph"/>
              <w:ind w:left="114" w:right="1475"/>
              <w:rPr>
                <w:sz w:val="20"/>
              </w:rPr>
            </w:pPr>
            <w:r>
              <w:rPr>
                <w:sz w:val="20"/>
              </w:rPr>
              <w:t>0 = policy not adopted 1 = policy adopted</w:t>
            </w:r>
          </w:p>
        </w:tc>
        <w:tc>
          <w:tcPr>
            <w:tcW w:w="6482" w:type="dxa"/>
          </w:tcPr>
          <w:p w14:paraId="42E3883B" w14:textId="77777777" w:rsidR="0046798B" w:rsidRDefault="00903B5C">
            <w:pPr>
              <w:pStyle w:val="TableParagraph"/>
              <w:spacing w:before="43"/>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p w14:paraId="2DEE2543" w14:textId="77777777" w:rsidR="0046798B" w:rsidRDefault="0046798B">
            <w:pPr>
              <w:pStyle w:val="TableParagraph"/>
              <w:rPr>
                <w:sz w:val="20"/>
              </w:rPr>
            </w:pPr>
          </w:p>
          <w:p w14:paraId="24184F69"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0600E519" w14:textId="77777777">
        <w:trPr>
          <w:trHeight w:val="1925"/>
        </w:trPr>
        <w:tc>
          <w:tcPr>
            <w:tcW w:w="1711" w:type="dxa"/>
          </w:tcPr>
          <w:p w14:paraId="6BF68A68" w14:textId="77777777" w:rsidR="0046798B" w:rsidRDefault="0046798B">
            <w:pPr>
              <w:pStyle w:val="TableParagraph"/>
            </w:pPr>
          </w:p>
          <w:p w14:paraId="6C28B5E2" w14:textId="77777777" w:rsidR="0046798B" w:rsidRDefault="0046798B">
            <w:pPr>
              <w:pStyle w:val="TableParagraph"/>
              <w:spacing w:before="8"/>
              <w:rPr>
                <w:sz w:val="31"/>
              </w:rPr>
            </w:pPr>
          </w:p>
          <w:p w14:paraId="70D693EA" w14:textId="77777777" w:rsidR="0046798B" w:rsidRDefault="00903B5C">
            <w:pPr>
              <w:pStyle w:val="TableParagraph"/>
              <w:spacing w:before="1"/>
              <w:ind w:left="115" w:right="88"/>
              <w:rPr>
                <w:b/>
                <w:sz w:val="20"/>
              </w:rPr>
            </w:pPr>
            <w:r>
              <w:rPr>
                <w:b/>
                <w:sz w:val="20"/>
              </w:rPr>
              <w:t>interstate_compa ct_on_mentally_ d</w:t>
            </w:r>
          </w:p>
        </w:tc>
        <w:tc>
          <w:tcPr>
            <w:tcW w:w="1596" w:type="dxa"/>
          </w:tcPr>
          <w:p w14:paraId="72F558BD" w14:textId="77777777" w:rsidR="0046798B" w:rsidRDefault="0046798B">
            <w:pPr>
              <w:pStyle w:val="TableParagraph"/>
              <w:spacing w:before="8"/>
              <w:rPr>
                <w:sz w:val="23"/>
              </w:rPr>
            </w:pPr>
          </w:p>
          <w:p w14:paraId="495A37AE" w14:textId="77777777" w:rsidR="0046798B" w:rsidRDefault="00903B5C">
            <w:pPr>
              <w:pStyle w:val="TableParagraph"/>
              <w:spacing w:before="1"/>
              <w:ind w:left="114" w:right="113"/>
              <w:rPr>
                <w:sz w:val="20"/>
              </w:rPr>
            </w:pPr>
            <w:r>
              <w:rPr>
                <w:sz w:val="20"/>
              </w:rPr>
              <w:t>Commitment for better treatment and care for mentally disordered offenders</w:t>
            </w:r>
          </w:p>
        </w:tc>
        <w:tc>
          <w:tcPr>
            <w:tcW w:w="1285" w:type="dxa"/>
          </w:tcPr>
          <w:p w14:paraId="2516F324" w14:textId="77777777" w:rsidR="0046798B" w:rsidRDefault="0046798B">
            <w:pPr>
              <w:pStyle w:val="TableParagraph"/>
            </w:pPr>
          </w:p>
          <w:p w14:paraId="7C7A7940" w14:textId="77777777" w:rsidR="0046798B" w:rsidRDefault="0046798B">
            <w:pPr>
              <w:pStyle w:val="TableParagraph"/>
            </w:pPr>
          </w:p>
          <w:p w14:paraId="018A8FE7" w14:textId="77777777" w:rsidR="0046798B" w:rsidRDefault="0046798B">
            <w:pPr>
              <w:pStyle w:val="TableParagraph"/>
              <w:spacing w:before="9"/>
              <w:rPr>
                <w:sz w:val="29"/>
              </w:rPr>
            </w:pPr>
          </w:p>
          <w:p w14:paraId="3BBF49F0" w14:textId="77777777" w:rsidR="0046798B" w:rsidRDefault="00903B5C">
            <w:pPr>
              <w:pStyle w:val="TableParagraph"/>
              <w:ind w:left="114"/>
              <w:rPr>
                <w:sz w:val="20"/>
              </w:rPr>
            </w:pPr>
            <w:r>
              <w:rPr>
                <w:sz w:val="20"/>
              </w:rPr>
              <w:t>1967–1980</w:t>
            </w:r>
          </w:p>
        </w:tc>
        <w:tc>
          <w:tcPr>
            <w:tcW w:w="3421" w:type="dxa"/>
          </w:tcPr>
          <w:p w14:paraId="34845ECC" w14:textId="77777777" w:rsidR="0046798B" w:rsidRDefault="0046798B">
            <w:pPr>
              <w:pStyle w:val="TableParagraph"/>
            </w:pPr>
          </w:p>
          <w:p w14:paraId="5535788C" w14:textId="77777777" w:rsidR="0046798B" w:rsidRDefault="0046798B">
            <w:pPr>
              <w:pStyle w:val="TableParagraph"/>
            </w:pPr>
          </w:p>
          <w:p w14:paraId="7F5E74CA" w14:textId="77777777" w:rsidR="0046798B" w:rsidRDefault="0046798B">
            <w:pPr>
              <w:pStyle w:val="TableParagraph"/>
              <w:spacing w:before="8"/>
              <w:rPr>
                <w:sz w:val="19"/>
              </w:rPr>
            </w:pPr>
          </w:p>
          <w:p w14:paraId="65B352BB"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2B79B8C3" w14:textId="77777777" w:rsidR="0046798B" w:rsidRDefault="00903B5C">
            <w:pPr>
              <w:pStyle w:val="TableParagraph"/>
              <w:spacing w:before="43"/>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p w14:paraId="77B1C8BC" w14:textId="77777777" w:rsidR="0046798B" w:rsidRDefault="0046798B">
            <w:pPr>
              <w:pStyle w:val="TableParagraph"/>
              <w:rPr>
                <w:sz w:val="20"/>
              </w:rPr>
            </w:pPr>
          </w:p>
          <w:p w14:paraId="7A6EC177"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3B2EEA6C" w14:textId="77777777">
        <w:trPr>
          <w:trHeight w:val="1930"/>
        </w:trPr>
        <w:tc>
          <w:tcPr>
            <w:tcW w:w="1711" w:type="dxa"/>
          </w:tcPr>
          <w:p w14:paraId="6B61B517" w14:textId="77777777" w:rsidR="0046798B" w:rsidRDefault="0046798B">
            <w:pPr>
              <w:pStyle w:val="TableParagraph"/>
            </w:pPr>
          </w:p>
          <w:p w14:paraId="1E6D185C" w14:textId="77777777" w:rsidR="0046798B" w:rsidRDefault="0046798B">
            <w:pPr>
              <w:pStyle w:val="TableParagraph"/>
              <w:spacing w:before="9"/>
              <w:rPr>
                <w:sz w:val="31"/>
              </w:rPr>
            </w:pPr>
          </w:p>
          <w:p w14:paraId="5A4C5591" w14:textId="77777777" w:rsidR="0046798B" w:rsidRDefault="00903B5C">
            <w:pPr>
              <w:pStyle w:val="TableParagraph"/>
              <w:ind w:left="115" w:right="88"/>
              <w:rPr>
                <w:b/>
                <w:sz w:val="20"/>
              </w:rPr>
            </w:pPr>
            <w:r>
              <w:rPr>
                <w:b/>
                <w:sz w:val="20"/>
              </w:rPr>
              <w:t>interstate_compa ct_on_the_place m</w:t>
            </w:r>
          </w:p>
        </w:tc>
        <w:tc>
          <w:tcPr>
            <w:tcW w:w="1596" w:type="dxa"/>
          </w:tcPr>
          <w:p w14:paraId="3D7B74D7" w14:textId="77777777" w:rsidR="0046798B" w:rsidRDefault="0046798B">
            <w:pPr>
              <w:pStyle w:val="TableParagraph"/>
            </w:pPr>
          </w:p>
          <w:p w14:paraId="443E3BCA" w14:textId="77777777" w:rsidR="0046798B" w:rsidRDefault="0046798B">
            <w:pPr>
              <w:pStyle w:val="TableParagraph"/>
              <w:spacing w:before="9"/>
              <w:rPr>
                <w:sz w:val="21"/>
              </w:rPr>
            </w:pPr>
          </w:p>
          <w:p w14:paraId="22888C80" w14:textId="77777777" w:rsidR="0046798B" w:rsidRDefault="00903B5C">
            <w:pPr>
              <w:pStyle w:val="TableParagraph"/>
              <w:ind w:left="114" w:right="246"/>
              <w:rPr>
                <w:sz w:val="20"/>
              </w:rPr>
            </w:pPr>
            <w:r>
              <w:rPr>
                <w:sz w:val="20"/>
              </w:rPr>
              <w:t>Assists with placement of children across state lines</w:t>
            </w:r>
          </w:p>
        </w:tc>
        <w:tc>
          <w:tcPr>
            <w:tcW w:w="1285" w:type="dxa"/>
          </w:tcPr>
          <w:p w14:paraId="6B82D55A" w14:textId="77777777" w:rsidR="0046798B" w:rsidRDefault="0046798B">
            <w:pPr>
              <w:pStyle w:val="TableParagraph"/>
            </w:pPr>
          </w:p>
          <w:p w14:paraId="153FC925" w14:textId="77777777" w:rsidR="0046798B" w:rsidRDefault="0046798B">
            <w:pPr>
              <w:pStyle w:val="TableParagraph"/>
            </w:pPr>
          </w:p>
          <w:p w14:paraId="4B145633" w14:textId="77777777" w:rsidR="0046798B" w:rsidRDefault="0046798B">
            <w:pPr>
              <w:pStyle w:val="TableParagraph"/>
              <w:spacing w:before="9"/>
              <w:rPr>
                <w:sz w:val="29"/>
              </w:rPr>
            </w:pPr>
          </w:p>
          <w:p w14:paraId="663BC07C" w14:textId="77777777" w:rsidR="0046798B" w:rsidRDefault="00903B5C">
            <w:pPr>
              <w:pStyle w:val="TableParagraph"/>
              <w:ind w:left="114"/>
              <w:rPr>
                <w:sz w:val="20"/>
              </w:rPr>
            </w:pPr>
            <w:r>
              <w:rPr>
                <w:sz w:val="20"/>
              </w:rPr>
              <w:t>1976</w:t>
            </w:r>
          </w:p>
        </w:tc>
        <w:tc>
          <w:tcPr>
            <w:tcW w:w="3421" w:type="dxa"/>
          </w:tcPr>
          <w:p w14:paraId="1D544CB6" w14:textId="77777777" w:rsidR="0046798B" w:rsidRDefault="0046798B">
            <w:pPr>
              <w:pStyle w:val="TableParagraph"/>
            </w:pPr>
          </w:p>
          <w:p w14:paraId="460F98AA" w14:textId="77777777" w:rsidR="0046798B" w:rsidRDefault="0046798B">
            <w:pPr>
              <w:pStyle w:val="TableParagraph"/>
            </w:pPr>
          </w:p>
          <w:p w14:paraId="5F609496" w14:textId="77777777" w:rsidR="0046798B" w:rsidRDefault="0046798B">
            <w:pPr>
              <w:pStyle w:val="TableParagraph"/>
              <w:spacing w:before="9"/>
              <w:rPr>
                <w:sz w:val="19"/>
              </w:rPr>
            </w:pPr>
          </w:p>
          <w:p w14:paraId="17312EBD" w14:textId="77777777" w:rsidR="0046798B" w:rsidRDefault="00903B5C">
            <w:pPr>
              <w:pStyle w:val="TableParagraph"/>
              <w:ind w:left="114" w:right="1475"/>
              <w:rPr>
                <w:sz w:val="20"/>
              </w:rPr>
            </w:pPr>
            <w:r>
              <w:rPr>
                <w:sz w:val="20"/>
              </w:rPr>
              <w:t>0 = policy not adopted 1 = policy adopted</w:t>
            </w:r>
          </w:p>
        </w:tc>
        <w:tc>
          <w:tcPr>
            <w:tcW w:w="6482" w:type="dxa"/>
          </w:tcPr>
          <w:p w14:paraId="54DABFE2" w14:textId="77777777" w:rsidR="0046798B" w:rsidRDefault="00903B5C">
            <w:pPr>
              <w:pStyle w:val="TableParagraph"/>
              <w:spacing w:before="43"/>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p w14:paraId="670015EB" w14:textId="77777777" w:rsidR="0046798B" w:rsidRDefault="0046798B">
            <w:pPr>
              <w:pStyle w:val="TableParagraph"/>
              <w:rPr>
                <w:sz w:val="20"/>
              </w:rPr>
            </w:pPr>
          </w:p>
          <w:p w14:paraId="0955C9E4"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3F89A6A4" w14:textId="77777777">
        <w:trPr>
          <w:trHeight w:val="1005"/>
        </w:trPr>
        <w:tc>
          <w:tcPr>
            <w:tcW w:w="1711" w:type="dxa"/>
          </w:tcPr>
          <w:p w14:paraId="11E40CBA" w14:textId="77777777" w:rsidR="0046798B" w:rsidRDefault="00903B5C">
            <w:pPr>
              <w:pStyle w:val="TableParagraph"/>
              <w:spacing w:before="153"/>
              <w:ind w:left="115" w:right="184"/>
              <w:jc w:val="both"/>
              <w:rPr>
                <w:b/>
                <w:sz w:val="20"/>
              </w:rPr>
            </w:pPr>
            <w:r>
              <w:rPr>
                <w:b/>
                <w:sz w:val="20"/>
              </w:rPr>
              <w:t>compact_on_pla cement_of_child ren</w:t>
            </w:r>
          </w:p>
        </w:tc>
        <w:tc>
          <w:tcPr>
            <w:tcW w:w="1596" w:type="dxa"/>
          </w:tcPr>
          <w:p w14:paraId="74C8E6BA" w14:textId="77777777" w:rsidR="0046798B" w:rsidRDefault="00903B5C">
            <w:pPr>
              <w:pStyle w:val="TableParagraph"/>
              <w:spacing w:before="153"/>
              <w:ind w:left="114" w:right="302"/>
              <w:rPr>
                <w:sz w:val="20"/>
              </w:rPr>
            </w:pPr>
            <w:r>
              <w:rPr>
                <w:sz w:val="20"/>
              </w:rPr>
              <w:t>Ensures protection and services to</w:t>
            </w:r>
          </w:p>
        </w:tc>
        <w:tc>
          <w:tcPr>
            <w:tcW w:w="1285" w:type="dxa"/>
          </w:tcPr>
          <w:p w14:paraId="5A485F63" w14:textId="77777777" w:rsidR="0046798B" w:rsidRDefault="0046798B">
            <w:pPr>
              <w:pStyle w:val="TableParagraph"/>
            </w:pPr>
          </w:p>
          <w:p w14:paraId="25802F82" w14:textId="77777777" w:rsidR="0046798B" w:rsidRDefault="00903B5C">
            <w:pPr>
              <w:pStyle w:val="TableParagraph"/>
              <w:spacing w:before="130"/>
              <w:ind w:left="114"/>
              <w:rPr>
                <w:sz w:val="20"/>
              </w:rPr>
            </w:pPr>
            <w:r>
              <w:rPr>
                <w:sz w:val="20"/>
              </w:rPr>
              <w:t>1960–1990</w:t>
            </w:r>
          </w:p>
        </w:tc>
        <w:tc>
          <w:tcPr>
            <w:tcW w:w="3421" w:type="dxa"/>
          </w:tcPr>
          <w:p w14:paraId="41AB6033" w14:textId="77777777" w:rsidR="0046798B" w:rsidRDefault="0046798B">
            <w:pPr>
              <w:pStyle w:val="TableParagraph"/>
              <w:spacing w:before="3"/>
              <w:rPr>
                <w:sz w:val="23"/>
              </w:rPr>
            </w:pPr>
          </w:p>
          <w:p w14:paraId="6696536D"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300B60B4" w14:textId="77777777" w:rsidR="0046798B" w:rsidRDefault="00903B5C">
            <w:pPr>
              <w:pStyle w:val="TableParagraph"/>
              <w:spacing w:before="38"/>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tc>
      </w:tr>
    </w:tbl>
    <w:p w14:paraId="1ECAC5D6" w14:textId="77777777" w:rsidR="0046798B" w:rsidRDefault="0046798B">
      <w:pPr>
        <w:rPr>
          <w:sz w:val="20"/>
        </w:rPr>
        <w:sectPr w:rsidR="0046798B">
          <w:pgSz w:w="15840" w:h="12240" w:orient="landscape"/>
          <w:pgMar w:top="1220" w:right="300" w:bottom="980" w:left="820" w:header="730" w:footer="787" w:gutter="0"/>
          <w:cols w:space="720"/>
        </w:sectPr>
      </w:pPr>
    </w:p>
    <w:p w14:paraId="64145791"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0DB6C6B3" w14:textId="77777777">
        <w:trPr>
          <w:trHeight w:val="1005"/>
        </w:trPr>
        <w:tc>
          <w:tcPr>
            <w:tcW w:w="1711" w:type="dxa"/>
          </w:tcPr>
          <w:p w14:paraId="7B7031AF" w14:textId="77777777" w:rsidR="0046798B" w:rsidRDefault="0046798B">
            <w:pPr>
              <w:pStyle w:val="TableParagraph"/>
              <w:rPr>
                <w:sz w:val="20"/>
              </w:rPr>
            </w:pPr>
          </w:p>
        </w:tc>
        <w:tc>
          <w:tcPr>
            <w:tcW w:w="1596" w:type="dxa"/>
          </w:tcPr>
          <w:p w14:paraId="1A2F08E1" w14:textId="77777777" w:rsidR="0046798B" w:rsidRDefault="00903B5C">
            <w:pPr>
              <w:pStyle w:val="TableParagraph"/>
              <w:spacing w:before="43"/>
              <w:ind w:left="114" w:right="224"/>
              <w:rPr>
                <w:sz w:val="20"/>
              </w:rPr>
            </w:pPr>
            <w:r>
              <w:rPr>
                <w:sz w:val="20"/>
              </w:rPr>
              <w:t>children placed across states</w:t>
            </w:r>
          </w:p>
        </w:tc>
        <w:tc>
          <w:tcPr>
            <w:tcW w:w="1285" w:type="dxa"/>
          </w:tcPr>
          <w:p w14:paraId="19744E6C" w14:textId="77777777" w:rsidR="0046798B" w:rsidRDefault="0046798B">
            <w:pPr>
              <w:pStyle w:val="TableParagraph"/>
              <w:rPr>
                <w:sz w:val="20"/>
              </w:rPr>
            </w:pPr>
          </w:p>
        </w:tc>
        <w:tc>
          <w:tcPr>
            <w:tcW w:w="3421" w:type="dxa"/>
          </w:tcPr>
          <w:p w14:paraId="1DF13EEE" w14:textId="77777777" w:rsidR="0046798B" w:rsidRDefault="0046798B">
            <w:pPr>
              <w:pStyle w:val="TableParagraph"/>
              <w:rPr>
                <w:sz w:val="20"/>
              </w:rPr>
            </w:pPr>
          </w:p>
        </w:tc>
        <w:tc>
          <w:tcPr>
            <w:tcW w:w="6482" w:type="dxa"/>
          </w:tcPr>
          <w:p w14:paraId="4B08050E" w14:textId="77777777" w:rsidR="0046798B" w:rsidRDefault="00903B5C">
            <w:pPr>
              <w:pStyle w:val="TableParagraph"/>
              <w:spacing w:before="43"/>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0C9E15DD" w14:textId="77777777">
        <w:trPr>
          <w:trHeight w:val="1926"/>
        </w:trPr>
        <w:tc>
          <w:tcPr>
            <w:tcW w:w="1711" w:type="dxa"/>
          </w:tcPr>
          <w:p w14:paraId="37F187FC" w14:textId="77777777" w:rsidR="0046798B" w:rsidRDefault="0046798B">
            <w:pPr>
              <w:pStyle w:val="TableParagraph"/>
            </w:pPr>
          </w:p>
          <w:p w14:paraId="47FAA8E9" w14:textId="77777777" w:rsidR="0046798B" w:rsidRDefault="0046798B">
            <w:pPr>
              <w:pStyle w:val="TableParagraph"/>
            </w:pPr>
          </w:p>
          <w:p w14:paraId="762ECEBA" w14:textId="77777777" w:rsidR="0046798B" w:rsidRDefault="0046798B">
            <w:pPr>
              <w:pStyle w:val="TableParagraph"/>
              <w:spacing w:before="9"/>
              <w:rPr>
                <w:sz w:val="19"/>
              </w:rPr>
            </w:pPr>
          </w:p>
          <w:p w14:paraId="7CBDBED6" w14:textId="77777777" w:rsidR="0046798B" w:rsidRDefault="00903B5C">
            <w:pPr>
              <w:pStyle w:val="TableParagraph"/>
              <w:ind w:left="115"/>
              <w:rPr>
                <w:b/>
                <w:sz w:val="20"/>
              </w:rPr>
            </w:pPr>
            <w:r>
              <w:rPr>
                <w:b/>
                <w:sz w:val="20"/>
              </w:rPr>
              <w:t>compact_for_pe nsion_portability</w:t>
            </w:r>
          </w:p>
        </w:tc>
        <w:tc>
          <w:tcPr>
            <w:tcW w:w="1596" w:type="dxa"/>
          </w:tcPr>
          <w:p w14:paraId="164F0EF5" w14:textId="77777777" w:rsidR="0046798B" w:rsidRDefault="0046798B">
            <w:pPr>
              <w:pStyle w:val="TableParagraph"/>
              <w:spacing w:before="8"/>
              <w:rPr>
                <w:sz w:val="23"/>
              </w:rPr>
            </w:pPr>
          </w:p>
          <w:p w14:paraId="71FD802D" w14:textId="77777777" w:rsidR="0046798B" w:rsidRDefault="00903B5C">
            <w:pPr>
              <w:pStyle w:val="TableParagraph"/>
              <w:spacing w:before="1"/>
              <w:ind w:left="114" w:right="474"/>
              <w:rPr>
                <w:sz w:val="20"/>
              </w:rPr>
            </w:pPr>
            <w:r>
              <w:rPr>
                <w:sz w:val="20"/>
              </w:rPr>
              <w:t>System for transferring professional education employees’ pension</w:t>
            </w:r>
          </w:p>
        </w:tc>
        <w:tc>
          <w:tcPr>
            <w:tcW w:w="1285" w:type="dxa"/>
          </w:tcPr>
          <w:p w14:paraId="252B40E0" w14:textId="77777777" w:rsidR="0046798B" w:rsidRDefault="0046798B">
            <w:pPr>
              <w:pStyle w:val="TableParagraph"/>
            </w:pPr>
          </w:p>
          <w:p w14:paraId="0764950A" w14:textId="77777777" w:rsidR="0046798B" w:rsidRDefault="0046798B">
            <w:pPr>
              <w:pStyle w:val="TableParagraph"/>
            </w:pPr>
          </w:p>
          <w:p w14:paraId="38B654EF" w14:textId="77777777" w:rsidR="0046798B" w:rsidRDefault="0046798B">
            <w:pPr>
              <w:pStyle w:val="TableParagraph"/>
              <w:spacing w:before="9"/>
              <w:rPr>
                <w:sz w:val="29"/>
              </w:rPr>
            </w:pPr>
          </w:p>
          <w:p w14:paraId="45E5266C" w14:textId="77777777" w:rsidR="0046798B" w:rsidRDefault="00903B5C">
            <w:pPr>
              <w:pStyle w:val="TableParagraph"/>
              <w:ind w:left="114"/>
              <w:rPr>
                <w:sz w:val="20"/>
              </w:rPr>
            </w:pPr>
            <w:r>
              <w:rPr>
                <w:sz w:val="20"/>
              </w:rPr>
              <w:t>1989–1991</w:t>
            </w:r>
          </w:p>
        </w:tc>
        <w:tc>
          <w:tcPr>
            <w:tcW w:w="3421" w:type="dxa"/>
          </w:tcPr>
          <w:p w14:paraId="02FFCFA9" w14:textId="77777777" w:rsidR="0046798B" w:rsidRDefault="0046798B">
            <w:pPr>
              <w:pStyle w:val="TableParagraph"/>
            </w:pPr>
          </w:p>
          <w:p w14:paraId="2ACE3261" w14:textId="77777777" w:rsidR="0046798B" w:rsidRDefault="0046798B">
            <w:pPr>
              <w:pStyle w:val="TableParagraph"/>
            </w:pPr>
          </w:p>
          <w:p w14:paraId="436F7E9E" w14:textId="77777777" w:rsidR="0046798B" w:rsidRDefault="0046798B">
            <w:pPr>
              <w:pStyle w:val="TableParagraph"/>
              <w:spacing w:before="9"/>
              <w:rPr>
                <w:sz w:val="19"/>
              </w:rPr>
            </w:pPr>
          </w:p>
          <w:p w14:paraId="275959E7" w14:textId="77777777" w:rsidR="0046798B" w:rsidRDefault="00903B5C">
            <w:pPr>
              <w:pStyle w:val="TableParagraph"/>
              <w:ind w:left="114" w:right="1475"/>
              <w:rPr>
                <w:sz w:val="20"/>
              </w:rPr>
            </w:pPr>
            <w:r>
              <w:rPr>
                <w:sz w:val="20"/>
              </w:rPr>
              <w:t>0 = policy not adopted 1 = policy adopted</w:t>
            </w:r>
          </w:p>
        </w:tc>
        <w:tc>
          <w:tcPr>
            <w:tcW w:w="6482" w:type="dxa"/>
          </w:tcPr>
          <w:p w14:paraId="29DAB8FA" w14:textId="77777777" w:rsidR="0046798B" w:rsidRDefault="00903B5C">
            <w:pPr>
              <w:pStyle w:val="TableParagraph"/>
              <w:spacing w:before="43"/>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p w14:paraId="46F7224A" w14:textId="77777777" w:rsidR="0046798B" w:rsidRDefault="0046798B">
            <w:pPr>
              <w:pStyle w:val="TableParagraph"/>
              <w:rPr>
                <w:sz w:val="20"/>
              </w:rPr>
            </w:pPr>
          </w:p>
          <w:p w14:paraId="11EB5810"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6D879931" w14:textId="77777777">
        <w:trPr>
          <w:trHeight w:val="1930"/>
        </w:trPr>
        <w:tc>
          <w:tcPr>
            <w:tcW w:w="1711" w:type="dxa"/>
          </w:tcPr>
          <w:p w14:paraId="27B96DAB" w14:textId="77777777" w:rsidR="0046798B" w:rsidRDefault="0046798B">
            <w:pPr>
              <w:pStyle w:val="TableParagraph"/>
            </w:pPr>
          </w:p>
          <w:p w14:paraId="0FB0FD4F" w14:textId="77777777" w:rsidR="0046798B" w:rsidRDefault="0046798B">
            <w:pPr>
              <w:pStyle w:val="TableParagraph"/>
              <w:spacing w:before="8"/>
              <w:rPr>
                <w:sz w:val="31"/>
              </w:rPr>
            </w:pPr>
          </w:p>
          <w:p w14:paraId="13F27E6B" w14:textId="77777777" w:rsidR="0046798B" w:rsidRDefault="00903B5C">
            <w:pPr>
              <w:pStyle w:val="TableParagraph"/>
              <w:spacing w:before="1"/>
              <w:ind w:left="115" w:right="110"/>
              <w:jc w:val="both"/>
              <w:rPr>
                <w:b/>
                <w:sz w:val="20"/>
              </w:rPr>
            </w:pPr>
            <w:r>
              <w:rPr>
                <w:b/>
                <w:sz w:val="20"/>
              </w:rPr>
              <w:t xml:space="preserve">compact_on_ado </w:t>
            </w:r>
            <w:r>
              <w:rPr>
                <w:b/>
                <w:spacing w:val="-1"/>
                <w:sz w:val="20"/>
              </w:rPr>
              <w:t xml:space="preserve">ption_and_medic </w:t>
            </w:r>
            <w:r>
              <w:rPr>
                <w:b/>
                <w:sz w:val="20"/>
              </w:rPr>
              <w:t>al</w:t>
            </w:r>
          </w:p>
        </w:tc>
        <w:tc>
          <w:tcPr>
            <w:tcW w:w="1596" w:type="dxa"/>
          </w:tcPr>
          <w:p w14:paraId="58E8839F" w14:textId="77777777" w:rsidR="0046798B" w:rsidRDefault="0046798B">
            <w:pPr>
              <w:pStyle w:val="TableParagraph"/>
              <w:spacing w:before="8"/>
              <w:rPr>
                <w:sz w:val="23"/>
              </w:rPr>
            </w:pPr>
          </w:p>
          <w:p w14:paraId="6B0E3FCE" w14:textId="77777777" w:rsidR="0046798B" w:rsidRDefault="00903B5C">
            <w:pPr>
              <w:pStyle w:val="TableParagraph"/>
              <w:spacing w:before="1"/>
              <w:ind w:left="114" w:right="90"/>
              <w:rPr>
                <w:sz w:val="20"/>
              </w:rPr>
            </w:pPr>
            <w:r>
              <w:rPr>
                <w:sz w:val="20"/>
              </w:rPr>
              <w:t>Provides all the benefit of adoption subsidy agreement, regardless of state</w:t>
            </w:r>
          </w:p>
        </w:tc>
        <w:tc>
          <w:tcPr>
            <w:tcW w:w="1285" w:type="dxa"/>
          </w:tcPr>
          <w:p w14:paraId="1CB2A1E6" w14:textId="77777777" w:rsidR="0046798B" w:rsidRDefault="0046798B">
            <w:pPr>
              <w:pStyle w:val="TableParagraph"/>
            </w:pPr>
          </w:p>
          <w:p w14:paraId="0BF9A2F0" w14:textId="77777777" w:rsidR="0046798B" w:rsidRDefault="0046798B">
            <w:pPr>
              <w:pStyle w:val="TableParagraph"/>
            </w:pPr>
          </w:p>
          <w:p w14:paraId="02EC9560" w14:textId="77777777" w:rsidR="0046798B" w:rsidRDefault="0046798B">
            <w:pPr>
              <w:pStyle w:val="TableParagraph"/>
              <w:spacing w:before="8"/>
              <w:rPr>
                <w:sz w:val="29"/>
              </w:rPr>
            </w:pPr>
          </w:p>
          <w:p w14:paraId="492B4297" w14:textId="77777777" w:rsidR="0046798B" w:rsidRDefault="00903B5C">
            <w:pPr>
              <w:pStyle w:val="TableParagraph"/>
              <w:spacing w:before="1"/>
              <w:ind w:left="114"/>
              <w:rPr>
                <w:sz w:val="20"/>
              </w:rPr>
            </w:pPr>
            <w:r>
              <w:rPr>
                <w:sz w:val="20"/>
              </w:rPr>
              <w:t>1984–2002</w:t>
            </w:r>
          </w:p>
        </w:tc>
        <w:tc>
          <w:tcPr>
            <w:tcW w:w="3421" w:type="dxa"/>
          </w:tcPr>
          <w:p w14:paraId="1BA675F9" w14:textId="77777777" w:rsidR="0046798B" w:rsidRDefault="0046798B">
            <w:pPr>
              <w:pStyle w:val="TableParagraph"/>
            </w:pPr>
          </w:p>
          <w:p w14:paraId="5C089724" w14:textId="77777777" w:rsidR="0046798B" w:rsidRDefault="0046798B">
            <w:pPr>
              <w:pStyle w:val="TableParagraph"/>
            </w:pPr>
          </w:p>
          <w:p w14:paraId="509B1712" w14:textId="77777777" w:rsidR="0046798B" w:rsidRDefault="0046798B">
            <w:pPr>
              <w:pStyle w:val="TableParagraph"/>
              <w:spacing w:before="8"/>
              <w:rPr>
                <w:sz w:val="19"/>
              </w:rPr>
            </w:pPr>
          </w:p>
          <w:p w14:paraId="68D0E2F5"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309FAD8B" w14:textId="77777777" w:rsidR="0046798B" w:rsidRDefault="00903B5C">
            <w:pPr>
              <w:pStyle w:val="TableParagraph"/>
              <w:spacing w:before="43"/>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p w14:paraId="78D16D7B" w14:textId="77777777" w:rsidR="0046798B" w:rsidRDefault="0046798B">
            <w:pPr>
              <w:pStyle w:val="TableParagraph"/>
              <w:rPr>
                <w:sz w:val="20"/>
              </w:rPr>
            </w:pPr>
          </w:p>
          <w:p w14:paraId="15620C89"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74E87752" w14:textId="77777777">
        <w:trPr>
          <w:trHeight w:val="1926"/>
        </w:trPr>
        <w:tc>
          <w:tcPr>
            <w:tcW w:w="1711" w:type="dxa"/>
          </w:tcPr>
          <w:p w14:paraId="060CDA33" w14:textId="77777777" w:rsidR="0046798B" w:rsidRDefault="0046798B">
            <w:pPr>
              <w:pStyle w:val="TableParagraph"/>
            </w:pPr>
          </w:p>
          <w:p w14:paraId="361B917F" w14:textId="77777777" w:rsidR="0046798B" w:rsidRDefault="0046798B">
            <w:pPr>
              <w:pStyle w:val="TableParagraph"/>
              <w:spacing w:before="4"/>
              <w:rPr>
                <w:sz w:val="31"/>
              </w:rPr>
            </w:pPr>
          </w:p>
          <w:p w14:paraId="5AA98D1A" w14:textId="77777777" w:rsidR="0046798B" w:rsidRDefault="00903B5C">
            <w:pPr>
              <w:pStyle w:val="TableParagraph"/>
              <w:ind w:left="115" w:right="163"/>
              <w:jc w:val="both"/>
              <w:rPr>
                <w:b/>
                <w:sz w:val="20"/>
              </w:rPr>
            </w:pPr>
            <w:r>
              <w:rPr>
                <w:b/>
                <w:sz w:val="20"/>
              </w:rPr>
              <w:t>agreement_on_q ualifications_of_ e</w:t>
            </w:r>
          </w:p>
        </w:tc>
        <w:tc>
          <w:tcPr>
            <w:tcW w:w="1596" w:type="dxa"/>
          </w:tcPr>
          <w:p w14:paraId="359701BA" w14:textId="77777777" w:rsidR="0046798B" w:rsidRDefault="0046798B">
            <w:pPr>
              <w:pStyle w:val="TableParagraph"/>
            </w:pPr>
          </w:p>
          <w:p w14:paraId="7D2A09E5" w14:textId="77777777" w:rsidR="0046798B" w:rsidRDefault="00903B5C">
            <w:pPr>
              <w:pStyle w:val="TableParagraph"/>
              <w:spacing w:before="131"/>
              <w:ind w:left="114" w:right="391"/>
              <w:rPr>
                <w:sz w:val="20"/>
              </w:rPr>
            </w:pPr>
            <w:r>
              <w:rPr>
                <w:sz w:val="20"/>
              </w:rPr>
              <w:t>Facilitates movement of education professionals across states</w:t>
            </w:r>
          </w:p>
        </w:tc>
        <w:tc>
          <w:tcPr>
            <w:tcW w:w="1285" w:type="dxa"/>
          </w:tcPr>
          <w:p w14:paraId="50CA816A" w14:textId="77777777" w:rsidR="0046798B" w:rsidRDefault="0046798B">
            <w:pPr>
              <w:pStyle w:val="TableParagraph"/>
            </w:pPr>
          </w:p>
          <w:p w14:paraId="03D396A7" w14:textId="77777777" w:rsidR="0046798B" w:rsidRDefault="0046798B">
            <w:pPr>
              <w:pStyle w:val="TableParagraph"/>
            </w:pPr>
          </w:p>
          <w:p w14:paraId="674741A8" w14:textId="77777777" w:rsidR="0046798B" w:rsidRDefault="0046798B">
            <w:pPr>
              <w:pStyle w:val="TableParagraph"/>
              <w:spacing w:before="4"/>
              <w:rPr>
                <w:sz w:val="29"/>
              </w:rPr>
            </w:pPr>
          </w:p>
          <w:p w14:paraId="33AEC4B1" w14:textId="77777777" w:rsidR="0046798B" w:rsidRDefault="00903B5C">
            <w:pPr>
              <w:pStyle w:val="TableParagraph"/>
              <w:ind w:left="114"/>
              <w:rPr>
                <w:sz w:val="20"/>
              </w:rPr>
            </w:pPr>
            <w:r>
              <w:rPr>
                <w:sz w:val="20"/>
              </w:rPr>
              <w:t>1962–1988</w:t>
            </w:r>
          </w:p>
        </w:tc>
        <w:tc>
          <w:tcPr>
            <w:tcW w:w="3421" w:type="dxa"/>
          </w:tcPr>
          <w:p w14:paraId="52BC7B0A" w14:textId="77777777" w:rsidR="0046798B" w:rsidRDefault="0046798B">
            <w:pPr>
              <w:pStyle w:val="TableParagraph"/>
            </w:pPr>
          </w:p>
          <w:p w14:paraId="23C90614" w14:textId="77777777" w:rsidR="0046798B" w:rsidRDefault="0046798B">
            <w:pPr>
              <w:pStyle w:val="TableParagraph"/>
            </w:pPr>
          </w:p>
          <w:p w14:paraId="71FADFC4" w14:textId="77777777" w:rsidR="0046798B" w:rsidRDefault="0046798B">
            <w:pPr>
              <w:pStyle w:val="TableParagraph"/>
              <w:spacing w:before="4"/>
              <w:rPr>
                <w:sz w:val="19"/>
              </w:rPr>
            </w:pPr>
          </w:p>
          <w:p w14:paraId="40674C60" w14:textId="77777777" w:rsidR="0046798B" w:rsidRDefault="00903B5C">
            <w:pPr>
              <w:pStyle w:val="TableParagraph"/>
              <w:ind w:left="114" w:right="1475"/>
              <w:rPr>
                <w:sz w:val="20"/>
              </w:rPr>
            </w:pPr>
            <w:r>
              <w:rPr>
                <w:sz w:val="20"/>
              </w:rPr>
              <w:t>0 = policy not adopted 1 = policy adopted</w:t>
            </w:r>
          </w:p>
        </w:tc>
        <w:tc>
          <w:tcPr>
            <w:tcW w:w="6482" w:type="dxa"/>
          </w:tcPr>
          <w:p w14:paraId="55E9E78C" w14:textId="77777777" w:rsidR="0046798B" w:rsidRDefault="00903B5C">
            <w:pPr>
              <w:pStyle w:val="TableParagraph"/>
              <w:spacing w:before="38"/>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p w14:paraId="0964DC8D" w14:textId="77777777" w:rsidR="0046798B" w:rsidRDefault="0046798B">
            <w:pPr>
              <w:pStyle w:val="TableParagraph"/>
              <w:rPr>
                <w:sz w:val="20"/>
              </w:rPr>
            </w:pPr>
          </w:p>
          <w:p w14:paraId="7D6DB5E8"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7F74481F" w14:textId="77777777">
        <w:trPr>
          <w:trHeight w:val="1925"/>
        </w:trPr>
        <w:tc>
          <w:tcPr>
            <w:tcW w:w="1711" w:type="dxa"/>
          </w:tcPr>
          <w:p w14:paraId="15367050" w14:textId="77777777" w:rsidR="0046798B" w:rsidRDefault="0046798B">
            <w:pPr>
              <w:pStyle w:val="TableParagraph"/>
            </w:pPr>
          </w:p>
          <w:p w14:paraId="647F79B6" w14:textId="77777777" w:rsidR="0046798B" w:rsidRDefault="0046798B">
            <w:pPr>
              <w:pStyle w:val="TableParagraph"/>
            </w:pPr>
          </w:p>
          <w:p w14:paraId="096D345B" w14:textId="77777777" w:rsidR="0046798B" w:rsidRDefault="0046798B">
            <w:pPr>
              <w:pStyle w:val="TableParagraph"/>
              <w:spacing w:before="3"/>
              <w:rPr>
                <w:sz w:val="19"/>
              </w:rPr>
            </w:pPr>
          </w:p>
          <w:p w14:paraId="3D7E367D" w14:textId="77777777" w:rsidR="0046798B" w:rsidRDefault="00903B5C">
            <w:pPr>
              <w:pStyle w:val="TableParagraph"/>
              <w:spacing w:before="1"/>
              <w:ind w:left="115" w:right="188"/>
              <w:rPr>
                <w:b/>
                <w:sz w:val="20"/>
              </w:rPr>
            </w:pPr>
            <w:r>
              <w:rPr>
                <w:b/>
                <w:sz w:val="20"/>
              </w:rPr>
              <w:t>compact_for_ed ucation</w:t>
            </w:r>
          </w:p>
        </w:tc>
        <w:tc>
          <w:tcPr>
            <w:tcW w:w="1596" w:type="dxa"/>
          </w:tcPr>
          <w:p w14:paraId="2DFD326D" w14:textId="77777777" w:rsidR="0046798B" w:rsidRDefault="0046798B">
            <w:pPr>
              <w:pStyle w:val="TableParagraph"/>
            </w:pPr>
          </w:p>
          <w:p w14:paraId="65845158" w14:textId="77777777" w:rsidR="0046798B" w:rsidRDefault="0046798B">
            <w:pPr>
              <w:pStyle w:val="TableParagraph"/>
              <w:spacing w:before="3"/>
              <w:rPr>
                <w:sz w:val="21"/>
              </w:rPr>
            </w:pPr>
          </w:p>
          <w:p w14:paraId="20317D54" w14:textId="77777777" w:rsidR="0046798B" w:rsidRDefault="00903B5C">
            <w:pPr>
              <w:pStyle w:val="TableParagraph"/>
              <w:ind w:left="114" w:right="229"/>
              <w:rPr>
                <w:sz w:val="20"/>
              </w:rPr>
            </w:pPr>
            <w:r>
              <w:rPr>
                <w:sz w:val="20"/>
              </w:rPr>
              <w:t>Information center on education matters</w:t>
            </w:r>
          </w:p>
        </w:tc>
        <w:tc>
          <w:tcPr>
            <w:tcW w:w="1285" w:type="dxa"/>
          </w:tcPr>
          <w:p w14:paraId="25A1C99F" w14:textId="77777777" w:rsidR="0046798B" w:rsidRDefault="0046798B">
            <w:pPr>
              <w:pStyle w:val="TableParagraph"/>
            </w:pPr>
          </w:p>
          <w:p w14:paraId="4AC0A4E3" w14:textId="77777777" w:rsidR="0046798B" w:rsidRDefault="0046798B">
            <w:pPr>
              <w:pStyle w:val="TableParagraph"/>
            </w:pPr>
          </w:p>
          <w:p w14:paraId="5B828748" w14:textId="77777777" w:rsidR="0046798B" w:rsidRDefault="0046798B">
            <w:pPr>
              <w:pStyle w:val="TableParagraph"/>
              <w:spacing w:before="4"/>
              <w:rPr>
                <w:sz w:val="29"/>
              </w:rPr>
            </w:pPr>
          </w:p>
          <w:p w14:paraId="398CC7CC" w14:textId="77777777" w:rsidR="0046798B" w:rsidRDefault="00903B5C">
            <w:pPr>
              <w:pStyle w:val="TableParagraph"/>
              <w:ind w:left="114"/>
              <w:rPr>
                <w:sz w:val="20"/>
              </w:rPr>
            </w:pPr>
            <w:r>
              <w:rPr>
                <w:sz w:val="20"/>
              </w:rPr>
              <w:t>1965–2001</w:t>
            </w:r>
          </w:p>
        </w:tc>
        <w:tc>
          <w:tcPr>
            <w:tcW w:w="3421" w:type="dxa"/>
          </w:tcPr>
          <w:p w14:paraId="68D9B380" w14:textId="77777777" w:rsidR="0046798B" w:rsidRDefault="0046798B">
            <w:pPr>
              <w:pStyle w:val="TableParagraph"/>
            </w:pPr>
          </w:p>
          <w:p w14:paraId="02C81FE7" w14:textId="77777777" w:rsidR="0046798B" w:rsidRDefault="0046798B">
            <w:pPr>
              <w:pStyle w:val="TableParagraph"/>
            </w:pPr>
          </w:p>
          <w:p w14:paraId="527C91B2" w14:textId="77777777" w:rsidR="0046798B" w:rsidRDefault="0046798B">
            <w:pPr>
              <w:pStyle w:val="TableParagraph"/>
              <w:spacing w:before="3"/>
              <w:rPr>
                <w:sz w:val="19"/>
              </w:rPr>
            </w:pPr>
          </w:p>
          <w:p w14:paraId="0FEE3D06"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41A7D41D" w14:textId="77777777" w:rsidR="0046798B" w:rsidRDefault="00903B5C">
            <w:pPr>
              <w:pStyle w:val="TableParagraph"/>
              <w:spacing w:before="38"/>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p w14:paraId="5E813A92" w14:textId="77777777" w:rsidR="0046798B" w:rsidRDefault="0046798B">
            <w:pPr>
              <w:pStyle w:val="TableParagraph"/>
              <w:rPr>
                <w:sz w:val="20"/>
              </w:rPr>
            </w:pPr>
          </w:p>
          <w:p w14:paraId="1EB0CB4F"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bl>
    <w:p w14:paraId="2AFFD6D5" w14:textId="77777777" w:rsidR="0046798B" w:rsidRDefault="0046798B">
      <w:pPr>
        <w:rPr>
          <w:sz w:val="20"/>
        </w:rPr>
        <w:sectPr w:rsidR="0046798B">
          <w:pgSz w:w="15840" w:h="12240" w:orient="landscape"/>
          <w:pgMar w:top="1220" w:right="300" w:bottom="980" w:left="820" w:header="730" w:footer="787" w:gutter="0"/>
          <w:cols w:space="720"/>
        </w:sectPr>
      </w:pPr>
    </w:p>
    <w:p w14:paraId="33E16FBD"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3ECAF84F" w14:textId="77777777">
        <w:trPr>
          <w:trHeight w:val="1926"/>
        </w:trPr>
        <w:tc>
          <w:tcPr>
            <w:tcW w:w="1711" w:type="dxa"/>
          </w:tcPr>
          <w:p w14:paraId="6A886EA3" w14:textId="77777777" w:rsidR="0046798B" w:rsidRDefault="0046798B">
            <w:pPr>
              <w:pStyle w:val="TableParagraph"/>
            </w:pPr>
          </w:p>
          <w:p w14:paraId="0F096046" w14:textId="77777777" w:rsidR="0046798B" w:rsidRDefault="0046798B">
            <w:pPr>
              <w:pStyle w:val="TableParagraph"/>
            </w:pPr>
          </w:p>
          <w:p w14:paraId="75BF16F9" w14:textId="77777777" w:rsidR="0046798B" w:rsidRDefault="0046798B">
            <w:pPr>
              <w:pStyle w:val="TableParagraph"/>
              <w:spacing w:before="9"/>
              <w:rPr>
                <w:sz w:val="19"/>
              </w:rPr>
            </w:pPr>
          </w:p>
          <w:p w14:paraId="3EE13B7A" w14:textId="77777777" w:rsidR="0046798B" w:rsidRDefault="00903B5C">
            <w:pPr>
              <w:pStyle w:val="TableParagraph"/>
              <w:ind w:left="115"/>
              <w:rPr>
                <w:b/>
                <w:sz w:val="20"/>
              </w:rPr>
            </w:pPr>
            <w:r>
              <w:rPr>
                <w:b/>
                <w:sz w:val="20"/>
              </w:rPr>
              <w:t>interstate_librar y_compact</w:t>
            </w:r>
          </w:p>
        </w:tc>
        <w:tc>
          <w:tcPr>
            <w:tcW w:w="1596" w:type="dxa"/>
          </w:tcPr>
          <w:p w14:paraId="61B39C3F" w14:textId="77777777" w:rsidR="0046798B" w:rsidRDefault="0046798B">
            <w:pPr>
              <w:pStyle w:val="TableParagraph"/>
            </w:pPr>
          </w:p>
          <w:p w14:paraId="427E106D" w14:textId="77777777" w:rsidR="0046798B" w:rsidRDefault="0046798B">
            <w:pPr>
              <w:pStyle w:val="TableParagraph"/>
              <w:spacing w:before="9"/>
              <w:rPr>
                <w:sz w:val="21"/>
              </w:rPr>
            </w:pPr>
          </w:p>
          <w:p w14:paraId="794902E1" w14:textId="77777777" w:rsidR="0046798B" w:rsidRDefault="00903B5C">
            <w:pPr>
              <w:pStyle w:val="TableParagraph"/>
              <w:ind w:left="114" w:right="245"/>
              <w:jc w:val="both"/>
              <w:rPr>
                <w:sz w:val="20"/>
              </w:rPr>
            </w:pPr>
            <w:r>
              <w:rPr>
                <w:sz w:val="20"/>
              </w:rPr>
              <w:t>Agreement for using libraries on an interstate basis</w:t>
            </w:r>
          </w:p>
        </w:tc>
        <w:tc>
          <w:tcPr>
            <w:tcW w:w="1285" w:type="dxa"/>
          </w:tcPr>
          <w:p w14:paraId="0100776A" w14:textId="77777777" w:rsidR="0046798B" w:rsidRDefault="0046798B">
            <w:pPr>
              <w:pStyle w:val="TableParagraph"/>
            </w:pPr>
          </w:p>
          <w:p w14:paraId="09F1D2C9" w14:textId="77777777" w:rsidR="0046798B" w:rsidRDefault="0046798B">
            <w:pPr>
              <w:pStyle w:val="TableParagraph"/>
            </w:pPr>
          </w:p>
          <w:p w14:paraId="1D30221E" w14:textId="77777777" w:rsidR="0046798B" w:rsidRDefault="0046798B">
            <w:pPr>
              <w:pStyle w:val="TableParagraph"/>
              <w:spacing w:before="9"/>
              <w:rPr>
                <w:sz w:val="29"/>
              </w:rPr>
            </w:pPr>
          </w:p>
          <w:p w14:paraId="5A99A79C" w14:textId="77777777" w:rsidR="0046798B" w:rsidRDefault="00903B5C">
            <w:pPr>
              <w:pStyle w:val="TableParagraph"/>
              <w:ind w:left="114"/>
              <w:rPr>
                <w:sz w:val="20"/>
              </w:rPr>
            </w:pPr>
            <w:r>
              <w:rPr>
                <w:sz w:val="20"/>
              </w:rPr>
              <w:t>1957–1976</w:t>
            </w:r>
          </w:p>
        </w:tc>
        <w:tc>
          <w:tcPr>
            <w:tcW w:w="3421" w:type="dxa"/>
          </w:tcPr>
          <w:p w14:paraId="53BFF189" w14:textId="77777777" w:rsidR="0046798B" w:rsidRDefault="0046798B">
            <w:pPr>
              <w:pStyle w:val="TableParagraph"/>
            </w:pPr>
          </w:p>
          <w:p w14:paraId="05A1FF79" w14:textId="77777777" w:rsidR="0046798B" w:rsidRDefault="0046798B">
            <w:pPr>
              <w:pStyle w:val="TableParagraph"/>
            </w:pPr>
          </w:p>
          <w:p w14:paraId="32D26B3F" w14:textId="77777777" w:rsidR="0046798B" w:rsidRDefault="0046798B">
            <w:pPr>
              <w:pStyle w:val="TableParagraph"/>
              <w:spacing w:before="9"/>
              <w:rPr>
                <w:sz w:val="19"/>
              </w:rPr>
            </w:pPr>
          </w:p>
          <w:p w14:paraId="4D6922C2" w14:textId="77777777" w:rsidR="0046798B" w:rsidRDefault="00903B5C">
            <w:pPr>
              <w:pStyle w:val="TableParagraph"/>
              <w:ind w:left="114" w:right="1475"/>
              <w:rPr>
                <w:sz w:val="20"/>
              </w:rPr>
            </w:pPr>
            <w:r>
              <w:rPr>
                <w:sz w:val="20"/>
              </w:rPr>
              <w:t>0 = policy not adopted 1 = policy adopted</w:t>
            </w:r>
          </w:p>
        </w:tc>
        <w:tc>
          <w:tcPr>
            <w:tcW w:w="6482" w:type="dxa"/>
          </w:tcPr>
          <w:p w14:paraId="55674245" w14:textId="77777777" w:rsidR="0046798B" w:rsidRDefault="00903B5C">
            <w:pPr>
              <w:pStyle w:val="TableParagraph"/>
              <w:spacing w:before="43"/>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p w14:paraId="75662A14" w14:textId="77777777" w:rsidR="0046798B" w:rsidRDefault="0046798B">
            <w:pPr>
              <w:pStyle w:val="TableParagraph"/>
              <w:rPr>
                <w:sz w:val="20"/>
              </w:rPr>
            </w:pPr>
          </w:p>
          <w:p w14:paraId="6B693960"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4A392FD1" w14:textId="77777777">
        <w:trPr>
          <w:trHeight w:val="1925"/>
        </w:trPr>
        <w:tc>
          <w:tcPr>
            <w:tcW w:w="1711" w:type="dxa"/>
          </w:tcPr>
          <w:p w14:paraId="0BA4BFDA" w14:textId="77777777" w:rsidR="0046798B" w:rsidRDefault="0046798B">
            <w:pPr>
              <w:pStyle w:val="TableParagraph"/>
            </w:pPr>
          </w:p>
          <w:p w14:paraId="4A60B6CE" w14:textId="77777777" w:rsidR="0046798B" w:rsidRDefault="0046798B">
            <w:pPr>
              <w:pStyle w:val="TableParagraph"/>
            </w:pPr>
          </w:p>
          <w:p w14:paraId="7B51E7E8" w14:textId="77777777" w:rsidR="0046798B" w:rsidRDefault="0046798B">
            <w:pPr>
              <w:pStyle w:val="TableParagraph"/>
              <w:spacing w:before="9"/>
              <w:rPr>
                <w:sz w:val="19"/>
              </w:rPr>
            </w:pPr>
          </w:p>
          <w:p w14:paraId="103A9EC7" w14:textId="77777777" w:rsidR="0046798B" w:rsidRDefault="00903B5C">
            <w:pPr>
              <w:pStyle w:val="TableParagraph"/>
              <w:ind w:left="115" w:right="88"/>
              <w:rPr>
                <w:b/>
                <w:sz w:val="20"/>
              </w:rPr>
            </w:pPr>
            <w:r>
              <w:rPr>
                <w:b/>
                <w:sz w:val="20"/>
              </w:rPr>
              <w:t>interstate_compa ct_to_conserve_o</w:t>
            </w:r>
          </w:p>
        </w:tc>
        <w:tc>
          <w:tcPr>
            <w:tcW w:w="1596" w:type="dxa"/>
          </w:tcPr>
          <w:p w14:paraId="33E9F68F" w14:textId="77777777" w:rsidR="0046798B" w:rsidRDefault="0046798B">
            <w:pPr>
              <w:pStyle w:val="TableParagraph"/>
            </w:pPr>
          </w:p>
          <w:p w14:paraId="31A4A39E" w14:textId="77777777" w:rsidR="0046798B" w:rsidRDefault="0046798B">
            <w:pPr>
              <w:pStyle w:val="TableParagraph"/>
              <w:spacing w:before="8"/>
              <w:rPr>
                <w:sz w:val="31"/>
              </w:rPr>
            </w:pPr>
          </w:p>
          <w:p w14:paraId="1425ABCF" w14:textId="77777777" w:rsidR="0046798B" w:rsidRDefault="00903B5C">
            <w:pPr>
              <w:pStyle w:val="TableParagraph"/>
              <w:spacing w:before="1"/>
              <w:ind w:left="114" w:right="246"/>
              <w:rPr>
                <w:sz w:val="20"/>
              </w:rPr>
            </w:pPr>
            <w:r>
              <w:rPr>
                <w:sz w:val="20"/>
              </w:rPr>
              <w:t>Compact on reducing waste of oil and gas</w:t>
            </w:r>
          </w:p>
        </w:tc>
        <w:tc>
          <w:tcPr>
            <w:tcW w:w="1285" w:type="dxa"/>
          </w:tcPr>
          <w:p w14:paraId="043CDBA6" w14:textId="77777777" w:rsidR="0046798B" w:rsidRDefault="0046798B">
            <w:pPr>
              <w:pStyle w:val="TableParagraph"/>
            </w:pPr>
          </w:p>
          <w:p w14:paraId="2DC332AB" w14:textId="77777777" w:rsidR="0046798B" w:rsidRDefault="0046798B">
            <w:pPr>
              <w:pStyle w:val="TableParagraph"/>
            </w:pPr>
          </w:p>
          <w:p w14:paraId="347B88E9" w14:textId="77777777" w:rsidR="0046798B" w:rsidRDefault="0046798B">
            <w:pPr>
              <w:pStyle w:val="TableParagraph"/>
              <w:spacing w:before="9"/>
              <w:rPr>
                <w:sz w:val="29"/>
              </w:rPr>
            </w:pPr>
          </w:p>
          <w:p w14:paraId="024034BB" w14:textId="77777777" w:rsidR="0046798B" w:rsidRDefault="00903B5C">
            <w:pPr>
              <w:pStyle w:val="TableParagraph"/>
              <w:ind w:left="114"/>
              <w:rPr>
                <w:sz w:val="20"/>
              </w:rPr>
            </w:pPr>
            <w:r>
              <w:rPr>
                <w:sz w:val="20"/>
              </w:rPr>
              <w:t>1935–1982</w:t>
            </w:r>
          </w:p>
        </w:tc>
        <w:tc>
          <w:tcPr>
            <w:tcW w:w="3421" w:type="dxa"/>
          </w:tcPr>
          <w:p w14:paraId="7433947D" w14:textId="77777777" w:rsidR="0046798B" w:rsidRDefault="0046798B">
            <w:pPr>
              <w:pStyle w:val="TableParagraph"/>
            </w:pPr>
          </w:p>
          <w:p w14:paraId="79D48635" w14:textId="77777777" w:rsidR="0046798B" w:rsidRDefault="0046798B">
            <w:pPr>
              <w:pStyle w:val="TableParagraph"/>
            </w:pPr>
          </w:p>
          <w:p w14:paraId="692D8754" w14:textId="77777777" w:rsidR="0046798B" w:rsidRDefault="0046798B">
            <w:pPr>
              <w:pStyle w:val="TableParagraph"/>
              <w:spacing w:before="9"/>
              <w:rPr>
                <w:sz w:val="19"/>
              </w:rPr>
            </w:pPr>
          </w:p>
          <w:p w14:paraId="12AD86E6" w14:textId="77777777" w:rsidR="0046798B" w:rsidRDefault="00903B5C">
            <w:pPr>
              <w:pStyle w:val="TableParagraph"/>
              <w:ind w:left="114" w:right="1475"/>
              <w:rPr>
                <w:sz w:val="20"/>
              </w:rPr>
            </w:pPr>
            <w:r>
              <w:rPr>
                <w:sz w:val="20"/>
              </w:rPr>
              <w:t>0 = policy not adopted 1 = policy adopted</w:t>
            </w:r>
          </w:p>
        </w:tc>
        <w:tc>
          <w:tcPr>
            <w:tcW w:w="6482" w:type="dxa"/>
          </w:tcPr>
          <w:p w14:paraId="261CCFD1" w14:textId="77777777" w:rsidR="0046798B" w:rsidRDefault="00903B5C">
            <w:pPr>
              <w:pStyle w:val="TableParagraph"/>
              <w:spacing w:before="43"/>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p w14:paraId="3A5D497C" w14:textId="77777777" w:rsidR="0046798B" w:rsidRDefault="0046798B">
            <w:pPr>
              <w:pStyle w:val="TableParagraph"/>
              <w:rPr>
                <w:sz w:val="20"/>
              </w:rPr>
            </w:pPr>
          </w:p>
          <w:p w14:paraId="27D8FB9B"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32C3E2AA" w14:textId="77777777">
        <w:trPr>
          <w:trHeight w:val="1930"/>
        </w:trPr>
        <w:tc>
          <w:tcPr>
            <w:tcW w:w="1711" w:type="dxa"/>
          </w:tcPr>
          <w:p w14:paraId="0EEC3BD9" w14:textId="77777777" w:rsidR="0046798B" w:rsidRDefault="0046798B">
            <w:pPr>
              <w:pStyle w:val="TableParagraph"/>
            </w:pPr>
          </w:p>
          <w:p w14:paraId="17C09BEC" w14:textId="77777777" w:rsidR="0046798B" w:rsidRDefault="0046798B">
            <w:pPr>
              <w:pStyle w:val="TableParagraph"/>
            </w:pPr>
          </w:p>
          <w:p w14:paraId="532A6707" w14:textId="77777777" w:rsidR="0046798B" w:rsidRDefault="0046798B">
            <w:pPr>
              <w:pStyle w:val="TableParagraph"/>
              <w:spacing w:before="9"/>
              <w:rPr>
                <w:sz w:val="19"/>
              </w:rPr>
            </w:pPr>
          </w:p>
          <w:p w14:paraId="1CBF5D86" w14:textId="77777777" w:rsidR="0046798B" w:rsidRDefault="00903B5C">
            <w:pPr>
              <w:pStyle w:val="TableParagraph"/>
              <w:ind w:left="115"/>
              <w:rPr>
                <w:b/>
                <w:sz w:val="20"/>
              </w:rPr>
            </w:pPr>
            <w:r>
              <w:rPr>
                <w:b/>
                <w:sz w:val="20"/>
              </w:rPr>
              <w:t>interstate_forest</w:t>
            </w:r>
          </w:p>
          <w:p w14:paraId="74739952" w14:textId="77777777" w:rsidR="0046798B" w:rsidRDefault="00903B5C">
            <w:pPr>
              <w:pStyle w:val="TableParagraph"/>
              <w:ind w:left="115"/>
              <w:rPr>
                <w:b/>
                <w:sz w:val="20"/>
              </w:rPr>
            </w:pPr>
            <w:r>
              <w:rPr>
                <w:b/>
                <w:sz w:val="20"/>
              </w:rPr>
              <w:t>_fire_suppressi</w:t>
            </w:r>
          </w:p>
        </w:tc>
        <w:tc>
          <w:tcPr>
            <w:tcW w:w="1596" w:type="dxa"/>
          </w:tcPr>
          <w:p w14:paraId="11CDCF1C" w14:textId="77777777" w:rsidR="0046798B" w:rsidRDefault="0046798B">
            <w:pPr>
              <w:pStyle w:val="TableParagraph"/>
            </w:pPr>
          </w:p>
          <w:p w14:paraId="1F8F2371" w14:textId="77777777" w:rsidR="0046798B" w:rsidRDefault="00903B5C">
            <w:pPr>
              <w:pStyle w:val="TableParagraph"/>
              <w:spacing w:before="135"/>
              <w:ind w:left="114" w:right="229"/>
              <w:rPr>
                <w:sz w:val="20"/>
              </w:rPr>
            </w:pPr>
            <w:r>
              <w:rPr>
                <w:sz w:val="20"/>
              </w:rPr>
              <w:t>Compact for coordinating forest fire resources in event of a fire</w:t>
            </w:r>
          </w:p>
        </w:tc>
        <w:tc>
          <w:tcPr>
            <w:tcW w:w="1285" w:type="dxa"/>
          </w:tcPr>
          <w:p w14:paraId="514F575A" w14:textId="77777777" w:rsidR="0046798B" w:rsidRDefault="0046798B">
            <w:pPr>
              <w:pStyle w:val="TableParagraph"/>
            </w:pPr>
          </w:p>
          <w:p w14:paraId="6BD70577" w14:textId="77777777" w:rsidR="0046798B" w:rsidRDefault="0046798B">
            <w:pPr>
              <w:pStyle w:val="TableParagraph"/>
            </w:pPr>
          </w:p>
          <w:p w14:paraId="32F9840B" w14:textId="77777777" w:rsidR="0046798B" w:rsidRDefault="0046798B">
            <w:pPr>
              <w:pStyle w:val="TableParagraph"/>
              <w:spacing w:before="9"/>
              <w:rPr>
                <w:sz w:val="29"/>
              </w:rPr>
            </w:pPr>
          </w:p>
          <w:p w14:paraId="294B5D5C" w14:textId="77777777" w:rsidR="0046798B" w:rsidRDefault="00903B5C">
            <w:pPr>
              <w:pStyle w:val="TableParagraph"/>
              <w:ind w:left="114"/>
              <w:rPr>
                <w:sz w:val="20"/>
              </w:rPr>
            </w:pPr>
            <w:r>
              <w:rPr>
                <w:sz w:val="20"/>
              </w:rPr>
              <w:t>1991–1993</w:t>
            </w:r>
          </w:p>
        </w:tc>
        <w:tc>
          <w:tcPr>
            <w:tcW w:w="3421" w:type="dxa"/>
          </w:tcPr>
          <w:p w14:paraId="4B495136" w14:textId="77777777" w:rsidR="0046798B" w:rsidRDefault="0046798B">
            <w:pPr>
              <w:pStyle w:val="TableParagraph"/>
            </w:pPr>
          </w:p>
          <w:p w14:paraId="56BD66B2" w14:textId="77777777" w:rsidR="0046798B" w:rsidRDefault="0046798B">
            <w:pPr>
              <w:pStyle w:val="TableParagraph"/>
            </w:pPr>
          </w:p>
          <w:p w14:paraId="3B19B1F3" w14:textId="77777777" w:rsidR="0046798B" w:rsidRDefault="0046798B">
            <w:pPr>
              <w:pStyle w:val="TableParagraph"/>
              <w:spacing w:before="9"/>
              <w:rPr>
                <w:sz w:val="19"/>
              </w:rPr>
            </w:pPr>
          </w:p>
          <w:p w14:paraId="63CC97B5" w14:textId="77777777" w:rsidR="0046798B" w:rsidRDefault="00903B5C">
            <w:pPr>
              <w:pStyle w:val="TableParagraph"/>
              <w:ind w:left="114" w:right="1475"/>
              <w:rPr>
                <w:sz w:val="20"/>
              </w:rPr>
            </w:pPr>
            <w:r>
              <w:rPr>
                <w:sz w:val="20"/>
              </w:rPr>
              <w:t>0 = policy not adopted 1 = policy adopted</w:t>
            </w:r>
          </w:p>
        </w:tc>
        <w:tc>
          <w:tcPr>
            <w:tcW w:w="6482" w:type="dxa"/>
          </w:tcPr>
          <w:p w14:paraId="3AE4F231" w14:textId="77777777" w:rsidR="0046798B" w:rsidRDefault="00903B5C">
            <w:pPr>
              <w:pStyle w:val="TableParagraph"/>
              <w:spacing w:before="43"/>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p w14:paraId="7C2C09CE" w14:textId="77777777" w:rsidR="0046798B" w:rsidRDefault="0046798B">
            <w:pPr>
              <w:pStyle w:val="TableParagraph"/>
              <w:rPr>
                <w:sz w:val="20"/>
              </w:rPr>
            </w:pPr>
          </w:p>
          <w:p w14:paraId="40811308"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02D6B86F" w14:textId="77777777">
        <w:trPr>
          <w:trHeight w:val="1925"/>
        </w:trPr>
        <w:tc>
          <w:tcPr>
            <w:tcW w:w="1711" w:type="dxa"/>
          </w:tcPr>
          <w:p w14:paraId="1FDB558C" w14:textId="77777777" w:rsidR="0046798B" w:rsidRDefault="0046798B">
            <w:pPr>
              <w:pStyle w:val="TableParagraph"/>
            </w:pPr>
          </w:p>
          <w:p w14:paraId="3C6DA1C5" w14:textId="77777777" w:rsidR="0046798B" w:rsidRDefault="0046798B">
            <w:pPr>
              <w:pStyle w:val="TableParagraph"/>
            </w:pPr>
          </w:p>
          <w:p w14:paraId="54E3C819" w14:textId="77777777" w:rsidR="0046798B" w:rsidRDefault="0046798B">
            <w:pPr>
              <w:pStyle w:val="TableParagraph"/>
              <w:spacing w:before="4"/>
              <w:rPr>
                <w:sz w:val="19"/>
              </w:rPr>
            </w:pPr>
          </w:p>
          <w:p w14:paraId="41805680" w14:textId="77777777" w:rsidR="0046798B" w:rsidRDefault="00903B5C">
            <w:pPr>
              <w:pStyle w:val="TableParagraph"/>
              <w:ind w:left="115" w:right="155"/>
              <w:rPr>
                <w:b/>
                <w:sz w:val="20"/>
              </w:rPr>
            </w:pPr>
            <w:r>
              <w:rPr>
                <w:b/>
                <w:sz w:val="20"/>
              </w:rPr>
              <w:t>interstate_minin g_compact</w:t>
            </w:r>
          </w:p>
        </w:tc>
        <w:tc>
          <w:tcPr>
            <w:tcW w:w="1596" w:type="dxa"/>
          </w:tcPr>
          <w:p w14:paraId="73834A28" w14:textId="77777777" w:rsidR="0046798B" w:rsidRDefault="0046798B">
            <w:pPr>
              <w:pStyle w:val="TableParagraph"/>
            </w:pPr>
          </w:p>
          <w:p w14:paraId="0EC0E2AF" w14:textId="77777777" w:rsidR="0046798B" w:rsidRDefault="00903B5C">
            <w:pPr>
              <w:pStyle w:val="TableParagraph"/>
              <w:spacing w:before="130"/>
              <w:ind w:left="114" w:right="298"/>
              <w:rPr>
                <w:sz w:val="20"/>
              </w:rPr>
            </w:pPr>
            <w:r>
              <w:rPr>
                <w:sz w:val="20"/>
              </w:rPr>
              <w:t>Agreement for cross-state regulation of mining and conservation</w:t>
            </w:r>
          </w:p>
        </w:tc>
        <w:tc>
          <w:tcPr>
            <w:tcW w:w="1285" w:type="dxa"/>
          </w:tcPr>
          <w:p w14:paraId="18C51AAF" w14:textId="77777777" w:rsidR="0046798B" w:rsidRDefault="0046798B">
            <w:pPr>
              <w:pStyle w:val="TableParagraph"/>
            </w:pPr>
          </w:p>
          <w:p w14:paraId="5C9D6D82" w14:textId="77777777" w:rsidR="0046798B" w:rsidRDefault="0046798B">
            <w:pPr>
              <w:pStyle w:val="TableParagraph"/>
            </w:pPr>
          </w:p>
          <w:p w14:paraId="1E7F0E70" w14:textId="77777777" w:rsidR="0046798B" w:rsidRDefault="0046798B">
            <w:pPr>
              <w:pStyle w:val="TableParagraph"/>
              <w:spacing w:before="4"/>
              <w:rPr>
                <w:sz w:val="29"/>
              </w:rPr>
            </w:pPr>
          </w:p>
          <w:p w14:paraId="0B599BFB" w14:textId="77777777" w:rsidR="0046798B" w:rsidRDefault="00903B5C">
            <w:pPr>
              <w:pStyle w:val="TableParagraph"/>
              <w:ind w:left="114"/>
              <w:rPr>
                <w:sz w:val="20"/>
              </w:rPr>
            </w:pPr>
            <w:r>
              <w:rPr>
                <w:sz w:val="20"/>
              </w:rPr>
              <w:t>1966–1991</w:t>
            </w:r>
          </w:p>
        </w:tc>
        <w:tc>
          <w:tcPr>
            <w:tcW w:w="3421" w:type="dxa"/>
          </w:tcPr>
          <w:p w14:paraId="07C1B5FE" w14:textId="77777777" w:rsidR="0046798B" w:rsidRDefault="0046798B">
            <w:pPr>
              <w:pStyle w:val="TableParagraph"/>
            </w:pPr>
          </w:p>
          <w:p w14:paraId="2D6F8187" w14:textId="77777777" w:rsidR="0046798B" w:rsidRDefault="0046798B">
            <w:pPr>
              <w:pStyle w:val="TableParagraph"/>
            </w:pPr>
          </w:p>
          <w:p w14:paraId="29C8F0FC" w14:textId="77777777" w:rsidR="0046798B" w:rsidRDefault="0046798B">
            <w:pPr>
              <w:pStyle w:val="TableParagraph"/>
              <w:spacing w:before="4"/>
              <w:rPr>
                <w:sz w:val="19"/>
              </w:rPr>
            </w:pPr>
          </w:p>
          <w:p w14:paraId="1CD1BE54" w14:textId="77777777" w:rsidR="0046798B" w:rsidRDefault="00903B5C">
            <w:pPr>
              <w:pStyle w:val="TableParagraph"/>
              <w:ind w:left="114" w:right="1475"/>
              <w:rPr>
                <w:sz w:val="20"/>
              </w:rPr>
            </w:pPr>
            <w:r>
              <w:rPr>
                <w:sz w:val="20"/>
              </w:rPr>
              <w:t>0 = policy not adopted 1 = policy adopted</w:t>
            </w:r>
          </w:p>
        </w:tc>
        <w:tc>
          <w:tcPr>
            <w:tcW w:w="6482" w:type="dxa"/>
          </w:tcPr>
          <w:p w14:paraId="357F5AA2" w14:textId="77777777" w:rsidR="0046798B" w:rsidRDefault="00903B5C">
            <w:pPr>
              <w:pStyle w:val="TableParagraph"/>
              <w:spacing w:before="38"/>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p w14:paraId="71C4C294" w14:textId="77777777" w:rsidR="0046798B" w:rsidRDefault="0046798B">
            <w:pPr>
              <w:pStyle w:val="TableParagraph"/>
              <w:rPr>
                <w:sz w:val="20"/>
              </w:rPr>
            </w:pPr>
          </w:p>
          <w:p w14:paraId="24699DC8"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7BAF06DE" w14:textId="77777777">
        <w:trPr>
          <w:trHeight w:val="1465"/>
        </w:trPr>
        <w:tc>
          <w:tcPr>
            <w:tcW w:w="1711" w:type="dxa"/>
          </w:tcPr>
          <w:p w14:paraId="026E2556" w14:textId="77777777" w:rsidR="0046798B" w:rsidRDefault="0046798B">
            <w:pPr>
              <w:pStyle w:val="TableParagraph"/>
            </w:pPr>
          </w:p>
          <w:p w14:paraId="569B11C2" w14:textId="77777777" w:rsidR="0046798B" w:rsidRDefault="0046798B">
            <w:pPr>
              <w:pStyle w:val="TableParagraph"/>
              <w:spacing w:before="4"/>
              <w:rPr>
                <w:sz w:val="21"/>
              </w:rPr>
            </w:pPr>
          </w:p>
          <w:p w14:paraId="16053530" w14:textId="77777777" w:rsidR="0046798B" w:rsidRDefault="00903B5C">
            <w:pPr>
              <w:pStyle w:val="TableParagraph"/>
              <w:ind w:left="115"/>
              <w:rPr>
                <w:b/>
                <w:sz w:val="20"/>
              </w:rPr>
            </w:pPr>
            <w:r>
              <w:rPr>
                <w:b/>
                <w:sz w:val="20"/>
              </w:rPr>
              <w:t>wildlife_violator</w:t>
            </w:r>
          </w:p>
          <w:p w14:paraId="60D62BFB" w14:textId="77777777" w:rsidR="0046798B" w:rsidRDefault="00903B5C">
            <w:pPr>
              <w:pStyle w:val="TableParagraph"/>
              <w:ind w:left="115"/>
              <w:rPr>
                <w:b/>
                <w:sz w:val="20"/>
              </w:rPr>
            </w:pPr>
            <w:r>
              <w:rPr>
                <w:b/>
                <w:sz w:val="20"/>
              </w:rPr>
              <w:t>_compact</w:t>
            </w:r>
          </w:p>
        </w:tc>
        <w:tc>
          <w:tcPr>
            <w:tcW w:w="1596" w:type="dxa"/>
          </w:tcPr>
          <w:p w14:paraId="13622935" w14:textId="77777777" w:rsidR="0046798B" w:rsidRDefault="00903B5C">
            <w:pPr>
              <w:pStyle w:val="TableParagraph"/>
              <w:spacing w:before="38"/>
              <w:ind w:left="114" w:right="141"/>
              <w:rPr>
                <w:sz w:val="20"/>
              </w:rPr>
            </w:pPr>
            <w:r>
              <w:rPr>
                <w:sz w:val="20"/>
              </w:rPr>
              <w:t>Provides a means through which states can participate in a reciprocal program to</w:t>
            </w:r>
          </w:p>
        </w:tc>
        <w:tc>
          <w:tcPr>
            <w:tcW w:w="1285" w:type="dxa"/>
          </w:tcPr>
          <w:p w14:paraId="37D394BF" w14:textId="77777777" w:rsidR="0046798B" w:rsidRDefault="0046798B">
            <w:pPr>
              <w:pStyle w:val="TableParagraph"/>
            </w:pPr>
          </w:p>
          <w:p w14:paraId="4AFE2998" w14:textId="77777777" w:rsidR="0046798B" w:rsidRDefault="0046798B">
            <w:pPr>
              <w:pStyle w:val="TableParagraph"/>
              <w:spacing w:before="4"/>
              <w:rPr>
                <w:sz w:val="31"/>
              </w:rPr>
            </w:pPr>
          </w:p>
          <w:p w14:paraId="138E8DA1" w14:textId="77777777" w:rsidR="0046798B" w:rsidRDefault="00903B5C">
            <w:pPr>
              <w:pStyle w:val="TableParagraph"/>
              <w:ind w:left="114"/>
              <w:rPr>
                <w:sz w:val="20"/>
              </w:rPr>
            </w:pPr>
            <w:r>
              <w:rPr>
                <w:sz w:val="20"/>
              </w:rPr>
              <w:t>1989–2014</w:t>
            </w:r>
          </w:p>
        </w:tc>
        <w:tc>
          <w:tcPr>
            <w:tcW w:w="3421" w:type="dxa"/>
          </w:tcPr>
          <w:p w14:paraId="5EDC120F" w14:textId="77777777" w:rsidR="0046798B" w:rsidRDefault="0046798B">
            <w:pPr>
              <w:pStyle w:val="TableParagraph"/>
            </w:pPr>
          </w:p>
          <w:p w14:paraId="3BADA89C" w14:textId="77777777" w:rsidR="0046798B" w:rsidRDefault="0046798B">
            <w:pPr>
              <w:pStyle w:val="TableParagraph"/>
              <w:spacing w:before="4"/>
              <w:rPr>
                <w:sz w:val="21"/>
              </w:rPr>
            </w:pPr>
          </w:p>
          <w:p w14:paraId="102A3660" w14:textId="77777777" w:rsidR="0046798B" w:rsidRDefault="00903B5C">
            <w:pPr>
              <w:pStyle w:val="TableParagraph"/>
              <w:ind w:left="114" w:right="1475"/>
              <w:rPr>
                <w:sz w:val="20"/>
              </w:rPr>
            </w:pPr>
            <w:r>
              <w:rPr>
                <w:sz w:val="20"/>
              </w:rPr>
              <w:t>0 = policy not adopted 1 = policy adopted</w:t>
            </w:r>
          </w:p>
        </w:tc>
        <w:tc>
          <w:tcPr>
            <w:tcW w:w="6482" w:type="dxa"/>
          </w:tcPr>
          <w:p w14:paraId="3E74C237" w14:textId="77777777" w:rsidR="0046798B" w:rsidRDefault="00903B5C">
            <w:pPr>
              <w:pStyle w:val="TableParagraph"/>
              <w:spacing w:before="38"/>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p w14:paraId="204B7A72" w14:textId="77777777" w:rsidR="0046798B" w:rsidRDefault="0046798B">
            <w:pPr>
              <w:pStyle w:val="TableParagraph"/>
              <w:rPr>
                <w:sz w:val="20"/>
              </w:rPr>
            </w:pPr>
          </w:p>
          <w:p w14:paraId="0AA51F50"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w:t>
            </w:r>
          </w:p>
        </w:tc>
      </w:tr>
    </w:tbl>
    <w:p w14:paraId="04A76571" w14:textId="77777777" w:rsidR="0046798B" w:rsidRDefault="0046798B">
      <w:pPr>
        <w:rPr>
          <w:sz w:val="20"/>
        </w:rPr>
        <w:sectPr w:rsidR="0046798B">
          <w:pgSz w:w="15840" w:h="12240" w:orient="landscape"/>
          <w:pgMar w:top="1220" w:right="300" w:bottom="980" w:left="820" w:header="730" w:footer="787" w:gutter="0"/>
          <w:cols w:space="720"/>
        </w:sectPr>
      </w:pPr>
    </w:p>
    <w:p w14:paraId="24EB5E05"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6744655" w14:textId="77777777">
        <w:trPr>
          <w:trHeight w:val="542"/>
        </w:trPr>
        <w:tc>
          <w:tcPr>
            <w:tcW w:w="1711" w:type="dxa"/>
            <w:tcBorders>
              <w:bottom w:val="dotted" w:sz="6" w:space="0" w:color="BEBEBE"/>
            </w:tcBorders>
          </w:tcPr>
          <w:p w14:paraId="7482A19B" w14:textId="77777777" w:rsidR="0046798B" w:rsidRDefault="0046798B">
            <w:pPr>
              <w:pStyle w:val="TableParagraph"/>
              <w:rPr>
                <w:sz w:val="20"/>
              </w:rPr>
            </w:pPr>
          </w:p>
        </w:tc>
        <w:tc>
          <w:tcPr>
            <w:tcW w:w="1596" w:type="dxa"/>
            <w:tcBorders>
              <w:bottom w:val="dotted" w:sz="6" w:space="0" w:color="BEBEBE"/>
            </w:tcBorders>
          </w:tcPr>
          <w:p w14:paraId="527EB590" w14:textId="77777777" w:rsidR="0046798B" w:rsidRDefault="00903B5C">
            <w:pPr>
              <w:pStyle w:val="TableParagraph"/>
              <w:spacing w:before="43"/>
              <w:ind w:left="114"/>
              <w:rPr>
                <w:sz w:val="20"/>
              </w:rPr>
            </w:pPr>
            <w:r>
              <w:rPr>
                <w:sz w:val="20"/>
              </w:rPr>
              <w:t>enforce wildlife citations</w:t>
            </w:r>
          </w:p>
        </w:tc>
        <w:tc>
          <w:tcPr>
            <w:tcW w:w="1285" w:type="dxa"/>
            <w:tcBorders>
              <w:bottom w:val="dotted" w:sz="6" w:space="0" w:color="BEBEBE"/>
            </w:tcBorders>
          </w:tcPr>
          <w:p w14:paraId="620831B3" w14:textId="77777777" w:rsidR="0046798B" w:rsidRDefault="0046798B">
            <w:pPr>
              <w:pStyle w:val="TableParagraph"/>
              <w:rPr>
                <w:sz w:val="20"/>
              </w:rPr>
            </w:pPr>
          </w:p>
        </w:tc>
        <w:tc>
          <w:tcPr>
            <w:tcW w:w="3421" w:type="dxa"/>
            <w:tcBorders>
              <w:bottom w:val="dotted" w:sz="6" w:space="0" w:color="BEBEBE"/>
            </w:tcBorders>
          </w:tcPr>
          <w:p w14:paraId="6F677871" w14:textId="77777777" w:rsidR="0046798B" w:rsidRDefault="0046798B">
            <w:pPr>
              <w:pStyle w:val="TableParagraph"/>
              <w:rPr>
                <w:sz w:val="20"/>
              </w:rPr>
            </w:pPr>
          </w:p>
        </w:tc>
        <w:tc>
          <w:tcPr>
            <w:tcW w:w="6482" w:type="dxa"/>
            <w:tcBorders>
              <w:bottom w:val="dotted" w:sz="6" w:space="0" w:color="BEBEBE"/>
            </w:tcBorders>
          </w:tcPr>
          <w:p w14:paraId="6F846DC6" w14:textId="77777777" w:rsidR="0046798B" w:rsidRDefault="00903B5C">
            <w:pPr>
              <w:pStyle w:val="TableParagraph"/>
              <w:spacing w:before="43"/>
              <w:ind w:left="114" w:right="2377"/>
              <w:rPr>
                <w:sz w:val="20"/>
              </w:rPr>
            </w:pPr>
            <w:r>
              <w:rPr>
                <w:sz w:val="20"/>
              </w:rPr>
              <w:t>Innovation and Diffusion (SPID) Database v1.0”, https://doi.org/10.7910/DVN/CVYSR7</w:t>
            </w:r>
          </w:p>
        </w:tc>
      </w:tr>
      <w:tr w:rsidR="0046798B" w14:paraId="7447067E" w14:textId="77777777">
        <w:trPr>
          <w:trHeight w:val="1923"/>
        </w:trPr>
        <w:tc>
          <w:tcPr>
            <w:tcW w:w="1711" w:type="dxa"/>
            <w:tcBorders>
              <w:top w:val="dotted" w:sz="6" w:space="0" w:color="BEBEBE"/>
            </w:tcBorders>
          </w:tcPr>
          <w:p w14:paraId="75BAF907" w14:textId="77777777" w:rsidR="0046798B" w:rsidRDefault="0046798B">
            <w:pPr>
              <w:pStyle w:val="TableParagraph"/>
            </w:pPr>
          </w:p>
          <w:p w14:paraId="20F06CB1" w14:textId="77777777" w:rsidR="0046798B" w:rsidRDefault="0046798B">
            <w:pPr>
              <w:pStyle w:val="TableParagraph"/>
            </w:pPr>
          </w:p>
          <w:p w14:paraId="4286928D" w14:textId="77777777" w:rsidR="0046798B" w:rsidRDefault="0046798B">
            <w:pPr>
              <w:pStyle w:val="TableParagraph"/>
              <w:spacing w:before="6"/>
              <w:rPr>
                <w:sz w:val="19"/>
              </w:rPr>
            </w:pPr>
          </w:p>
          <w:p w14:paraId="3FB0F34E" w14:textId="77777777" w:rsidR="0046798B" w:rsidRDefault="00903B5C">
            <w:pPr>
              <w:pStyle w:val="TableParagraph"/>
              <w:ind w:left="115"/>
              <w:rPr>
                <w:b/>
                <w:sz w:val="20"/>
              </w:rPr>
            </w:pPr>
            <w:r>
              <w:rPr>
                <w:b/>
                <w:sz w:val="20"/>
              </w:rPr>
              <w:t>multistate_lotter y_agreement</w:t>
            </w:r>
          </w:p>
        </w:tc>
        <w:tc>
          <w:tcPr>
            <w:tcW w:w="1596" w:type="dxa"/>
            <w:tcBorders>
              <w:top w:val="dotted" w:sz="6" w:space="0" w:color="BEBEBE"/>
            </w:tcBorders>
          </w:tcPr>
          <w:p w14:paraId="0272C723" w14:textId="77777777" w:rsidR="0046798B" w:rsidRDefault="0046798B">
            <w:pPr>
              <w:pStyle w:val="TableParagraph"/>
            </w:pPr>
          </w:p>
          <w:p w14:paraId="084E4E5A" w14:textId="77777777" w:rsidR="0046798B" w:rsidRDefault="0046798B">
            <w:pPr>
              <w:pStyle w:val="TableParagraph"/>
              <w:spacing w:before="6"/>
              <w:rPr>
                <w:sz w:val="31"/>
              </w:rPr>
            </w:pPr>
          </w:p>
          <w:p w14:paraId="3F2094DC" w14:textId="77777777" w:rsidR="0046798B" w:rsidRDefault="00903B5C">
            <w:pPr>
              <w:pStyle w:val="TableParagraph"/>
              <w:ind w:left="114" w:right="567"/>
              <w:jc w:val="both"/>
              <w:rPr>
                <w:sz w:val="20"/>
              </w:rPr>
            </w:pPr>
            <w:r>
              <w:rPr>
                <w:sz w:val="20"/>
              </w:rPr>
              <w:t>Establishes multi-state lottery</w:t>
            </w:r>
          </w:p>
        </w:tc>
        <w:tc>
          <w:tcPr>
            <w:tcW w:w="1285" w:type="dxa"/>
            <w:tcBorders>
              <w:top w:val="dotted" w:sz="6" w:space="0" w:color="BEBEBE"/>
            </w:tcBorders>
          </w:tcPr>
          <w:p w14:paraId="5FFB954D" w14:textId="77777777" w:rsidR="0046798B" w:rsidRDefault="0046798B">
            <w:pPr>
              <w:pStyle w:val="TableParagraph"/>
            </w:pPr>
          </w:p>
          <w:p w14:paraId="519B9046" w14:textId="77777777" w:rsidR="0046798B" w:rsidRDefault="0046798B">
            <w:pPr>
              <w:pStyle w:val="TableParagraph"/>
            </w:pPr>
          </w:p>
          <w:p w14:paraId="57FABD72" w14:textId="77777777" w:rsidR="0046798B" w:rsidRDefault="0046798B">
            <w:pPr>
              <w:pStyle w:val="TableParagraph"/>
              <w:spacing w:before="6"/>
              <w:rPr>
                <w:sz w:val="29"/>
              </w:rPr>
            </w:pPr>
          </w:p>
          <w:p w14:paraId="4942AD75" w14:textId="77777777" w:rsidR="0046798B" w:rsidRDefault="00903B5C">
            <w:pPr>
              <w:pStyle w:val="TableParagraph"/>
              <w:ind w:left="114"/>
              <w:rPr>
                <w:sz w:val="20"/>
              </w:rPr>
            </w:pPr>
            <w:r>
              <w:rPr>
                <w:sz w:val="20"/>
              </w:rPr>
              <w:t>1988–2009</w:t>
            </w:r>
          </w:p>
        </w:tc>
        <w:tc>
          <w:tcPr>
            <w:tcW w:w="3421" w:type="dxa"/>
            <w:tcBorders>
              <w:top w:val="dotted" w:sz="6" w:space="0" w:color="BEBEBE"/>
            </w:tcBorders>
          </w:tcPr>
          <w:p w14:paraId="1E0542B0" w14:textId="77777777" w:rsidR="0046798B" w:rsidRDefault="0046798B">
            <w:pPr>
              <w:pStyle w:val="TableParagraph"/>
            </w:pPr>
          </w:p>
          <w:p w14:paraId="4ADC23F7" w14:textId="77777777" w:rsidR="0046798B" w:rsidRDefault="0046798B">
            <w:pPr>
              <w:pStyle w:val="TableParagraph"/>
            </w:pPr>
          </w:p>
          <w:p w14:paraId="7A5CA640" w14:textId="77777777" w:rsidR="0046798B" w:rsidRDefault="0046798B">
            <w:pPr>
              <w:pStyle w:val="TableParagraph"/>
              <w:spacing w:before="6"/>
              <w:rPr>
                <w:sz w:val="19"/>
              </w:rPr>
            </w:pPr>
          </w:p>
          <w:p w14:paraId="4F62D830" w14:textId="77777777" w:rsidR="0046798B" w:rsidRDefault="00903B5C">
            <w:pPr>
              <w:pStyle w:val="TableParagraph"/>
              <w:ind w:left="114" w:right="1475"/>
              <w:rPr>
                <w:sz w:val="20"/>
              </w:rPr>
            </w:pPr>
            <w:r>
              <w:rPr>
                <w:sz w:val="20"/>
              </w:rPr>
              <w:t>0 = policy not adopted 1 = policy adopted</w:t>
            </w:r>
          </w:p>
        </w:tc>
        <w:tc>
          <w:tcPr>
            <w:tcW w:w="6482" w:type="dxa"/>
            <w:tcBorders>
              <w:top w:val="dotted" w:sz="6" w:space="0" w:color="BEBEBE"/>
            </w:tcBorders>
          </w:tcPr>
          <w:p w14:paraId="1E0C9BDB" w14:textId="77777777" w:rsidR="0046798B" w:rsidRDefault="00903B5C">
            <w:pPr>
              <w:pStyle w:val="TableParagraph"/>
              <w:spacing w:before="40"/>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p w14:paraId="64C3E20B" w14:textId="77777777" w:rsidR="0046798B" w:rsidRDefault="0046798B">
            <w:pPr>
              <w:pStyle w:val="TableParagraph"/>
              <w:spacing w:before="1"/>
              <w:rPr>
                <w:sz w:val="20"/>
              </w:rPr>
            </w:pPr>
          </w:p>
          <w:p w14:paraId="49C3B6C2"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038395DE" w14:textId="77777777">
        <w:trPr>
          <w:trHeight w:val="1930"/>
        </w:trPr>
        <w:tc>
          <w:tcPr>
            <w:tcW w:w="1711" w:type="dxa"/>
          </w:tcPr>
          <w:p w14:paraId="63D0FDB1" w14:textId="77777777" w:rsidR="0046798B" w:rsidRDefault="0046798B">
            <w:pPr>
              <w:pStyle w:val="TableParagraph"/>
            </w:pPr>
          </w:p>
          <w:p w14:paraId="63A15B1F" w14:textId="77777777" w:rsidR="0046798B" w:rsidRDefault="0046798B">
            <w:pPr>
              <w:pStyle w:val="TableParagraph"/>
            </w:pPr>
          </w:p>
          <w:p w14:paraId="40319CB6" w14:textId="77777777" w:rsidR="0046798B" w:rsidRDefault="0046798B">
            <w:pPr>
              <w:pStyle w:val="TableParagraph"/>
              <w:spacing w:before="9"/>
              <w:rPr>
                <w:sz w:val="19"/>
              </w:rPr>
            </w:pPr>
          </w:p>
          <w:p w14:paraId="4A55D3E6" w14:textId="77777777" w:rsidR="0046798B" w:rsidRDefault="00903B5C">
            <w:pPr>
              <w:pStyle w:val="TableParagraph"/>
              <w:ind w:left="115" w:right="111"/>
              <w:rPr>
                <w:b/>
                <w:sz w:val="20"/>
              </w:rPr>
            </w:pPr>
            <w:r>
              <w:rPr>
                <w:b/>
                <w:sz w:val="20"/>
              </w:rPr>
              <w:t>interstate_correc tions_compact</w:t>
            </w:r>
          </w:p>
        </w:tc>
        <w:tc>
          <w:tcPr>
            <w:tcW w:w="1596" w:type="dxa"/>
          </w:tcPr>
          <w:p w14:paraId="59AEF9F7" w14:textId="77777777" w:rsidR="0046798B" w:rsidRDefault="0046798B">
            <w:pPr>
              <w:pStyle w:val="TableParagraph"/>
              <w:spacing w:before="9"/>
              <w:rPr>
                <w:sz w:val="23"/>
              </w:rPr>
            </w:pPr>
          </w:p>
          <w:p w14:paraId="28B869A6" w14:textId="77777777" w:rsidR="0046798B" w:rsidRDefault="00903B5C">
            <w:pPr>
              <w:pStyle w:val="TableParagraph"/>
              <w:ind w:left="114" w:right="91"/>
              <w:rPr>
                <w:sz w:val="20"/>
              </w:rPr>
            </w:pPr>
            <w:r>
              <w:rPr>
                <w:sz w:val="20"/>
              </w:rPr>
              <w:t>Compact on improving management and treatment in corrections system</w:t>
            </w:r>
          </w:p>
        </w:tc>
        <w:tc>
          <w:tcPr>
            <w:tcW w:w="1285" w:type="dxa"/>
          </w:tcPr>
          <w:p w14:paraId="45B9D4E1" w14:textId="77777777" w:rsidR="0046798B" w:rsidRDefault="0046798B">
            <w:pPr>
              <w:pStyle w:val="TableParagraph"/>
            </w:pPr>
          </w:p>
          <w:p w14:paraId="052891D6" w14:textId="77777777" w:rsidR="0046798B" w:rsidRDefault="0046798B">
            <w:pPr>
              <w:pStyle w:val="TableParagraph"/>
            </w:pPr>
          </w:p>
          <w:p w14:paraId="006F66E8" w14:textId="77777777" w:rsidR="0046798B" w:rsidRDefault="0046798B">
            <w:pPr>
              <w:pStyle w:val="TableParagraph"/>
              <w:spacing w:before="9"/>
              <w:rPr>
                <w:sz w:val="29"/>
              </w:rPr>
            </w:pPr>
          </w:p>
          <w:p w14:paraId="4CCB938B" w14:textId="77777777" w:rsidR="0046798B" w:rsidRDefault="00903B5C">
            <w:pPr>
              <w:pStyle w:val="TableParagraph"/>
              <w:ind w:left="114"/>
              <w:rPr>
                <w:sz w:val="20"/>
              </w:rPr>
            </w:pPr>
            <w:r>
              <w:rPr>
                <w:sz w:val="20"/>
              </w:rPr>
              <w:t>1959–1994</w:t>
            </w:r>
          </w:p>
        </w:tc>
        <w:tc>
          <w:tcPr>
            <w:tcW w:w="3421" w:type="dxa"/>
          </w:tcPr>
          <w:p w14:paraId="38E81D5B" w14:textId="77777777" w:rsidR="0046798B" w:rsidRDefault="0046798B">
            <w:pPr>
              <w:pStyle w:val="TableParagraph"/>
            </w:pPr>
          </w:p>
          <w:p w14:paraId="3BBAF38A" w14:textId="77777777" w:rsidR="0046798B" w:rsidRDefault="0046798B">
            <w:pPr>
              <w:pStyle w:val="TableParagraph"/>
            </w:pPr>
          </w:p>
          <w:p w14:paraId="0E1DD9EA" w14:textId="77777777" w:rsidR="0046798B" w:rsidRDefault="0046798B">
            <w:pPr>
              <w:pStyle w:val="TableParagraph"/>
              <w:spacing w:before="9"/>
              <w:rPr>
                <w:sz w:val="19"/>
              </w:rPr>
            </w:pPr>
          </w:p>
          <w:p w14:paraId="2A3DA540" w14:textId="77777777" w:rsidR="0046798B" w:rsidRDefault="00903B5C">
            <w:pPr>
              <w:pStyle w:val="TableParagraph"/>
              <w:ind w:left="114" w:right="1475"/>
              <w:rPr>
                <w:sz w:val="20"/>
              </w:rPr>
            </w:pPr>
            <w:r>
              <w:rPr>
                <w:sz w:val="20"/>
              </w:rPr>
              <w:t>0 = policy not adopted 1 = policy adopted</w:t>
            </w:r>
          </w:p>
        </w:tc>
        <w:tc>
          <w:tcPr>
            <w:tcW w:w="6482" w:type="dxa"/>
          </w:tcPr>
          <w:p w14:paraId="19F9476B" w14:textId="77777777" w:rsidR="0046798B" w:rsidRDefault="00903B5C">
            <w:pPr>
              <w:pStyle w:val="TableParagraph"/>
              <w:spacing w:before="43"/>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p w14:paraId="0B358C12" w14:textId="77777777" w:rsidR="0046798B" w:rsidRDefault="0046798B">
            <w:pPr>
              <w:pStyle w:val="TableParagraph"/>
              <w:rPr>
                <w:sz w:val="20"/>
              </w:rPr>
            </w:pPr>
          </w:p>
          <w:p w14:paraId="204B4ADC"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52CA95C0" w14:textId="77777777">
        <w:trPr>
          <w:trHeight w:val="1925"/>
        </w:trPr>
        <w:tc>
          <w:tcPr>
            <w:tcW w:w="1711" w:type="dxa"/>
          </w:tcPr>
          <w:p w14:paraId="6A19251C" w14:textId="77777777" w:rsidR="0046798B" w:rsidRDefault="0046798B">
            <w:pPr>
              <w:pStyle w:val="TableParagraph"/>
            </w:pPr>
          </w:p>
          <w:p w14:paraId="61B19D9A" w14:textId="77777777" w:rsidR="0046798B" w:rsidRDefault="0046798B">
            <w:pPr>
              <w:pStyle w:val="TableParagraph"/>
            </w:pPr>
          </w:p>
          <w:p w14:paraId="75F81581" w14:textId="77777777" w:rsidR="0046798B" w:rsidRDefault="0046798B">
            <w:pPr>
              <w:pStyle w:val="TableParagraph"/>
              <w:spacing w:before="4"/>
              <w:rPr>
                <w:sz w:val="19"/>
              </w:rPr>
            </w:pPr>
          </w:p>
          <w:p w14:paraId="495DD9AB" w14:textId="77777777" w:rsidR="0046798B" w:rsidRDefault="00903B5C">
            <w:pPr>
              <w:pStyle w:val="TableParagraph"/>
              <w:ind w:left="115" w:right="110"/>
              <w:rPr>
                <w:b/>
                <w:sz w:val="20"/>
              </w:rPr>
            </w:pPr>
            <w:r>
              <w:rPr>
                <w:b/>
                <w:sz w:val="20"/>
              </w:rPr>
              <w:t>health_care_com pact</w:t>
            </w:r>
          </w:p>
        </w:tc>
        <w:tc>
          <w:tcPr>
            <w:tcW w:w="1596" w:type="dxa"/>
          </w:tcPr>
          <w:p w14:paraId="30744CDD" w14:textId="77777777" w:rsidR="0046798B" w:rsidRDefault="0046798B">
            <w:pPr>
              <w:pStyle w:val="TableParagraph"/>
            </w:pPr>
          </w:p>
          <w:p w14:paraId="78B588A8" w14:textId="77777777" w:rsidR="0046798B" w:rsidRDefault="00903B5C">
            <w:pPr>
              <w:pStyle w:val="TableParagraph"/>
              <w:spacing w:before="130"/>
              <w:ind w:left="114" w:right="141"/>
              <w:rPr>
                <w:sz w:val="20"/>
              </w:rPr>
            </w:pPr>
            <w:r>
              <w:rPr>
                <w:sz w:val="20"/>
              </w:rPr>
              <w:t>Restores authority for health care regulation to the states</w:t>
            </w:r>
          </w:p>
        </w:tc>
        <w:tc>
          <w:tcPr>
            <w:tcW w:w="1285" w:type="dxa"/>
          </w:tcPr>
          <w:p w14:paraId="67489515" w14:textId="77777777" w:rsidR="0046798B" w:rsidRDefault="0046798B">
            <w:pPr>
              <w:pStyle w:val="TableParagraph"/>
            </w:pPr>
          </w:p>
          <w:p w14:paraId="668C30CD" w14:textId="77777777" w:rsidR="0046798B" w:rsidRDefault="0046798B">
            <w:pPr>
              <w:pStyle w:val="TableParagraph"/>
            </w:pPr>
          </w:p>
          <w:p w14:paraId="2B391113" w14:textId="77777777" w:rsidR="0046798B" w:rsidRDefault="0046798B">
            <w:pPr>
              <w:pStyle w:val="TableParagraph"/>
              <w:spacing w:before="4"/>
              <w:rPr>
                <w:sz w:val="29"/>
              </w:rPr>
            </w:pPr>
          </w:p>
          <w:p w14:paraId="4750CF42" w14:textId="77777777" w:rsidR="0046798B" w:rsidRDefault="00903B5C">
            <w:pPr>
              <w:pStyle w:val="TableParagraph"/>
              <w:ind w:left="114"/>
              <w:rPr>
                <w:sz w:val="20"/>
              </w:rPr>
            </w:pPr>
            <w:r>
              <w:rPr>
                <w:sz w:val="20"/>
              </w:rPr>
              <w:t>2011–2014</w:t>
            </w:r>
          </w:p>
        </w:tc>
        <w:tc>
          <w:tcPr>
            <w:tcW w:w="3421" w:type="dxa"/>
          </w:tcPr>
          <w:p w14:paraId="022BEA27" w14:textId="77777777" w:rsidR="0046798B" w:rsidRDefault="0046798B">
            <w:pPr>
              <w:pStyle w:val="TableParagraph"/>
            </w:pPr>
          </w:p>
          <w:p w14:paraId="69C27F1B" w14:textId="77777777" w:rsidR="0046798B" w:rsidRDefault="0046798B">
            <w:pPr>
              <w:pStyle w:val="TableParagraph"/>
            </w:pPr>
          </w:p>
          <w:p w14:paraId="65931DB4" w14:textId="77777777" w:rsidR="0046798B" w:rsidRDefault="0046798B">
            <w:pPr>
              <w:pStyle w:val="TableParagraph"/>
              <w:spacing w:before="4"/>
              <w:rPr>
                <w:sz w:val="19"/>
              </w:rPr>
            </w:pPr>
          </w:p>
          <w:p w14:paraId="57E76CA3" w14:textId="77777777" w:rsidR="0046798B" w:rsidRDefault="00903B5C">
            <w:pPr>
              <w:pStyle w:val="TableParagraph"/>
              <w:ind w:left="114" w:right="1475"/>
              <w:rPr>
                <w:sz w:val="20"/>
              </w:rPr>
            </w:pPr>
            <w:r>
              <w:rPr>
                <w:sz w:val="20"/>
              </w:rPr>
              <w:t>0 = policy not adopted 1 = policy adopted</w:t>
            </w:r>
          </w:p>
        </w:tc>
        <w:tc>
          <w:tcPr>
            <w:tcW w:w="6482" w:type="dxa"/>
          </w:tcPr>
          <w:p w14:paraId="643F98C8" w14:textId="77777777" w:rsidR="0046798B" w:rsidRDefault="00903B5C">
            <w:pPr>
              <w:pStyle w:val="TableParagraph"/>
              <w:spacing w:before="38"/>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p w14:paraId="76D51C40" w14:textId="77777777" w:rsidR="0046798B" w:rsidRDefault="0046798B">
            <w:pPr>
              <w:pStyle w:val="TableParagraph"/>
              <w:rPr>
                <w:sz w:val="20"/>
              </w:rPr>
            </w:pPr>
          </w:p>
          <w:p w14:paraId="68A9BD28"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2AEBAD3A" w14:textId="77777777">
        <w:trPr>
          <w:trHeight w:val="1926"/>
        </w:trPr>
        <w:tc>
          <w:tcPr>
            <w:tcW w:w="1711" w:type="dxa"/>
          </w:tcPr>
          <w:p w14:paraId="40DFC802" w14:textId="77777777" w:rsidR="0046798B" w:rsidRDefault="0046798B">
            <w:pPr>
              <w:pStyle w:val="TableParagraph"/>
            </w:pPr>
          </w:p>
          <w:p w14:paraId="6408C5B9" w14:textId="77777777" w:rsidR="0046798B" w:rsidRDefault="0046798B">
            <w:pPr>
              <w:pStyle w:val="TableParagraph"/>
            </w:pPr>
          </w:p>
          <w:p w14:paraId="3F96319C" w14:textId="77777777" w:rsidR="0046798B" w:rsidRDefault="0046798B">
            <w:pPr>
              <w:pStyle w:val="TableParagraph"/>
              <w:spacing w:before="4"/>
              <w:rPr>
                <w:sz w:val="19"/>
              </w:rPr>
            </w:pPr>
          </w:p>
          <w:p w14:paraId="7FF9FA9F" w14:textId="77777777" w:rsidR="0046798B" w:rsidRDefault="00903B5C">
            <w:pPr>
              <w:pStyle w:val="TableParagraph"/>
              <w:ind w:left="115" w:right="88"/>
              <w:rPr>
                <w:b/>
                <w:sz w:val="20"/>
              </w:rPr>
            </w:pPr>
            <w:r>
              <w:rPr>
                <w:b/>
                <w:sz w:val="20"/>
              </w:rPr>
              <w:t>interstate_medic al_licensure_com</w:t>
            </w:r>
          </w:p>
        </w:tc>
        <w:tc>
          <w:tcPr>
            <w:tcW w:w="1596" w:type="dxa"/>
          </w:tcPr>
          <w:p w14:paraId="34109482" w14:textId="77777777" w:rsidR="0046798B" w:rsidRDefault="0046798B">
            <w:pPr>
              <w:pStyle w:val="TableParagraph"/>
            </w:pPr>
          </w:p>
          <w:p w14:paraId="7B1E04AF" w14:textId="77777777" w:rsidR="0046798B" w:rsidRDefault="0046798B">
            <w:pPr>
              <w:pStyle w:val="TableParagraph"/>
              <w:spacing w:before="4"/>
              <w:rPr>
                <w:sz w:val="21"/>
              </w:rPr>
            </w:pPr>
          </w:p>
          <w:p w14:paraId="49A69606" w14:textId="77777777" w:rsidR="0046798B" w:rsidRDefault="00903B5C">
            <w:pPr>
              <w:pStyle w:val="TableParagraph"/>
              <w:ind w:left="114" w:right="123"/>
              <w:rPr>
                <w:sz w:val="20"/>
              </w:rPr>
            </w:pPr>
            <w:r>
              <w:rPr>
                <w:sz w:val="20"/>
              </w:rPr>
              <w:t>Agreement for licensing of physicians across state</w:t>
            </w:r>
            <w:r>
              <w:rPr>
                <w:spacing w:val="2"/>
                <w:sz w:val="20"/>
              </w:rPr>
              <w:t xml:space="preserve"> </w:t>
            </w:r>
            <w:r>
              <w:rPr>
                <w:spacing w:val="-4"/>
                <w:sz w:val="20"/>
              </w:rPr>
              <w:t>lines</w:t>
            </w:r>
          </w:p>
        </w:tc>
        <w:tc>
          <w:tcPr>
            <w:tcW w:w="1285" w:type="dxa"/>
          </w:tcPr>
          <w:p w14:paraId="16D6461D" w14:textId="77777777" w:rsidR="0046798B" w:rsidRDefault="0046798B">
            <w:pPr>
              <w:pStyle w:val="TableParagraph"/>
            </w:pPr>
          </w:p>
          <w:p w14:paraId="354C8986" w14:textId="77777777" w:rsidR="0046798B" w:rsidRDefault="0046798B">
            <w:pPr>
              <w:pStyle w:val="TableParagraph"/>
            </w:pPr>
          </w:p>
          <w:p w14:paraId="54449BFE" w14:textId="77777777" w:rsidR="0046798B" w:rsidRDefault="0046798B">
            <w:pPr>
              <w:pStyle w:val="TableParagraph"/>
              <w:spacing w:before="4"/>
              <w:rPr>
                <w:sz w:val="29"/>
              </w:rPr>
            </w:pPr>
          </w:p>
          <w:p w14:paraId="67212F98" w14:textId="77777777" w:rsidR="0046798B" w:rsidRDefault="00903B5C">
            <w:pPr>
              <w:pStyle w:val="TableParagraph"/>
              <w:ind w:left="114"/>
              <w:rPr>
                <w:sz w:val="20"/>
              </w:rPr>
            </w:pPr>
            <w:r>
              <w:rPr>
                <w:sz w:val="20"/>
              </w:rPr>
              <w:t>2015–2016</w:t>
            </w:r>
          </w:p>
        </w:tc>
        <w:tc>
          <w:tcPr>
            <w:tcW w:w="3421" w:type="dxa"/>
          </w:tcPr>
          <w:p w14:paraId="7F2BCFA1" w14:textId="77777777" w:rsidR="0046798B" w:rsidRDefault="0046798B">
            <w:pPr>
              <w:pStyle w:val="TableParagraph"/>
            </w:pPr>
          </w:p>
          <w:p w14:paraId="4EC94587" w14:textId="77777777" w:rsidR="0046798B" w:rsidRDefault="0046798B">
            <w:pPr>
              <w:pStyle w:val="TableParagraph"/>
            </w:pPr>
          </w:p>
          <w:p w14:paraId="1A7D3791" w14:textId="77777777" w:rsidR="0046798B" w:rsidRDefault="0046798B">
            <w:pPr>
              <w:pStyle w:val="TableParagraph"/>
              <w:spacing w:before="4"/>
              <w:rPr>
                <w:sz w:val="19"/>
              </w:rPr>
            </w:pPr>
          </w:p>
          <w:p w14:paraId="50C98240" w14:textId="77777777" w:rsidR="0046798B" w:rsidRDefault="00903B5C">
            <w:pPr>
              <w:pStyle w:val="TableParagraph"/>
              <w:ind w:left="114" w:right="1475"/>
              <w:rPr>
                <w:sz w:val="20"/>
              </w:rPr>
            </w:pPr>
            <w:r>
              <w:rPr>
                <w:sz w:val="20"/>
              </w:rPr>
              <w:t>0 = policy not adopted 1 = policy adopted</w:t>
            </w:r>
          </w:p>
        </w:tc>
        <w:tc>
          <w:tcPr>
            <w:tcW w:w="6482" w:type="dxa"/>
          </w:tcPr>
          <w:p w14:paraId="5D96C384" w14:textId="77777777" w:rsidR="0046798B" w:rsidRDefault="00903B5C">
            <w:pPr>
              <w:pStyle w:val="TableParagraph"/>
              <w:spacing w:before="38"/>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p w14:paraId="7BD778DD" w14:textId="77777777" w:rsidR="0046798B" w:rsidRDefault="0046798B">
            <w:pPr>
              <w:pStyle w:val="TableParagraph"/>
              <w:rPr>
                <w:sz w:val="20"/>
              </w:rPr>
            </w:pPr>
          </w:p>
          <w:p w14:paraId="1444B54B"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3A2F7160" w14:textId="77777777">
        <w:trPr>
          <w:trHeight w:val="1005"/>
        </w:trPr>
        <w:tc>
          <w:tcPr>
            <w:tcW w:w="1711" w:type="dxa"/>
          </w:tcPr>
          <w:p w14:paraId="2E615FA4" w14:textId="77777777" w:rsidR="0046798B" w:rsidRDefault="0046798B">
            <w:pPr>
              <w:pStyle w:val="TableParagraph"/>
              <w:spacing w:before="3"/>
              <w:rPr>
                <w:sz w:val="23"/>
              </w:rPr>
            </w:pPr>
          </w:p>
          <w:p w14:paraId="689EDAB0" w14:textId="77777777" w:rsidR="0046798B" w:rsidRDefault="00903B5C">
            <w:pPr>
              <w:pStyle w:val="TableParagraph"/>
              <w:spacing w:before="1"/>
              <w:ind w:left="115" w:right="121"/>
              <w:rPr>
                <w:b/>
                <w:sz w:val="20"/>
              </w:rPr>
            </w:pPr>
            <w:r>
              <w:rPr>
                <w:b/>
                <w:sz w:val="20"/>
              </w:rPr>
              <w:t>nurse_licensure_ compact</w:t>
            </w:r>
          </w:p>
        </w:tc>
        <w:tc>
          <w:tcPr>
            <w:tcW w:w="1596" w:type="dxa"/>
          </w:tcPr>
          <w:p w14:paraId="3138700C" w14:textId="77777777" w:rsidR="0046798B" w:rsidRDefault="00903B5C">
            <w:pPr>
              <w:pStyle w:val="TableParagraph"/>
              <w:spacing w:before="153"/>
              <w:ind w:left="114" w:right="191"/>
              <w:rPr>
                <w:sz w:val="20"/>
              </w:rPr>
            </w:pPr>
            <w:r>
              <w:rPr>
                <w:sz w:val="20"/>
              </w:rPr>
              <w:t>Interstate coordination on nurse licensing</w:t>
            </w:r>
          </w:p>
        </w:tc>
        <w:tc>
          <w:tcPr>
            <w:tcW w:w="1285" w:type="dxa"/>
          </w:tcPr>
          <w:p w14:paraId="5D2F5B97" w14:textId="77777777" w:rsidR="0046798B" w:rsidRDefault="0046798B">
            <w:pPr>
              <w:pStyle w:val="TableParagraph"/>
            </w:pPr>
          </w:p>
          <w:p w14:paraId="7CD9AAE2" w14:textId="77777777" w:rsidR="0046798B" w:rsidRDefault="00903B5C">
            <w:pPr>
              <w:pStyle w:val="TableParagraph"/>
              <w:spacing w:before="130"/>
              <w:ind w:left="114"/>
              <w:rPr>
                <w:sz w:val="20"/>
              </w:rPr>
            </w:pPr>
            <w:r>
              <w:rPr>
                <w:sz w:val="20"/>
              </w:rPr>
              <w:t>1998–2004</w:t>
            </w:r>
          </w:p>
        </w:tc>
        <w:tc>
          <w:tcPr>
            <w:tcW w:w="3421" w:type="dxa"/>
          </w:tcPr>
          <w:p w14:paraId="457DAA0B" w14:textId="77777777" w:rsidR="0046798B" w:rsidRDefault="0046798B">
            <w:pPr>
              <w:pStyle w:val="TableParagraph"/>
              <w:spacing w:before="3"/>
              <w:rPr>
                <w:sz w:val="23"/>
              </w:rPr>
            </w:pPr>
          </w:p>
          <w:p w14:paraId="00F15146"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44C7A5C6" w14:textId="77777777" w:rsidR="0046798B" w:rsidRDefault="00903B5C">
            <w:pPr>
              <w:pStyle w:val="TableParagraph"/>
              <w:spacing w:before="38"/>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tc>
      </w:tr>
    </w:tbl>
    <w:p w14:paraId="491D4A03" w14:textId="77777777" w:rsidR="0046798B" w:rsidRDefault="0046798B">
      <w:pPr>
        <w:rPr>
          <w:sz w:val="20"/>
        </w:rPr>
        <w:sectPr w:rsidR="0046798B">
          <w:pgSz w:w="15840" w:h="12240" w:orient="landscape"/>
          <w:pgMar w:top="1220" w:right="300" w:bottom="980" w:left="820" w:header="730" w:footer="787" w:gutter="0"/>
          <w:cols w:space="720"/>
        </w:sectPr>
      </w:pPr>
    </w:p>
    <w:p w14:paraId="03AD42A4"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39DB25DA" w14:textId="77777777">
        <w:trPr>
          <w:trHeight w:val="1005"/>
        </w:trPr>
        <w:tc>
          <w:tcPr>
            <w:tcW w:w="1711" w:type="dxa"/>
          </w:tcPr>
          <w:p w14:paraId="28E2301F" w14:textId="77777777" w:rsidR="0046798B" w:rsidRDefault="0046798B">
            <w:pPr>
              <w:pStyle w:val="TableParagraph"/>
              <w:rPr>
                <w:sz w:val="20"/>
              </w:rPr>
            </w:pPr>
          </w:p>
        </w:tc>
        <w:tc>
          <w:tcPr>
            <w:tcW w:w="1596" w:type="dxa"/>
          </w:tcPr>
          <w:p w14:paraId="085CE4FD" w14:textId="77777777" w:rsidR="0046798B" w:rsidRDefault="0046798B">
            <w:pPr>
              <w:pStyle w:val="TableParagraph"/>
              <w:rPr>
                <w:sz w:val="20"/>
              </w:rPr>
            </w:pPr>
          </w:p>
        </w:tc>
        <w:tc>
          <w:tcPr>
            <w:tcW w:w="1285" w:type="dxa"/>
          </w:tcPr>
          <w:p w14:paraId="6EC97B93" w14:textId="77777777" w:rsidR="0046798B" w:rsidRDefault="0046798B">
            <w:pPr>
              <w:pStyle w:val="TableParagraph"/>
              <w:rPr>
                <w:sz w:val="20"/>
              </w:rPr>
            </w:pPr>
          </w:p>
        </w:tc>
        <w:tc>
          <w:tcPr>
            <w:tcW w:w="3421" w:type="dxa"/>
          </w:tcPr>
          <w:p w14:paraId="4296A30C" w14:textId="77777777" w:rsidR="0046798B" w:rsidRDefault="0046798B">
            <w:pPr>
              <w:pStyle w:val="TableParagraph"/>
              <w:rPr>
                <w:sz w:val="20"/>
              </w:rPr>
            </w:pPr>
          </w:p>
        </w:tc>
        <w:tc>
          <w:tcPr>
            <w:tcW w:w="6482" w:type="dxa"/>
          </w:tcPr>
          <w:p w14:paraId="27F9EBE3" w14:textId="77777777" w:rsidR="0046798B" w:rsidRDefault="00903B5C">
            <w:pPr>
              <w:pStyle w:val="TableParagraph"/>
              <w:spacing w:before="43"/>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5651639" w14:textId="77777777">
        <w:trPr>
          <w:trHeight w:val="1926"/>
        </w:trPr>
        <w:tc>
          <w:tcPr>
            <w:tcW w:w="1711" w:type="dxa"/>
          </w:tcPr>
          <w:p w14:paraId="2747F37D" w14:textId="77777777" w:rsidR="0046798B" w:rsidRDefault="0046798B">
            <w:pPr>
              <w:pStyle w:val="TableParagraph"/>
            </w:pPr>
          </w:p>
          <w:p w14:paraId="0E54CD58" w14:textId="77777777" w:rsidR="0046798B" w:rsidRDefault="0046798B">
            <w:pPr>
              <w:pStyle w:val="TableParagraph"/>
              <w:spacing w:before="9"/>
              <w:rPr>
                <w:sz w:val="31"/>
              </w:rPr>
            </w:pPr>
          </w:p>
          <w:p w14:paraId="66564EA8" w14:textId="77777777" w:rsidR="0046798B" w:rsidRDefault="00903B5C">
            <w:pPr>
              <w:pStyle w:val="TableParagraph"/>
              <w:ind w:left="115" w:right="107"/>
              <w:jc w:val="both"/>
              <w:rPr>
                <w:b/>
                <w:sz w:val="20"/>
              </w:rPr>
            </w:pPr>
            <w:r>
              <w:rPr>
                <w:b/>
                <w:sz w:val="20"/>
              </w:rPr>
              <w:t>emergency_medi cal_services_pers</w:t>
            </w:r>
            <w:r>
              <w:rPr>
                <w:b/>
                <w:w w:val="99"/>
                <w:sz w:val="20"/>
              </w:rPr>
              <w:t xml:space="preserve"> </w:t>
            </w:r>
            <w:r>
              <w:rPr>
                <w:b/>
                <w:sz w:val="20"/>
              </w:rPr>
              <w:t>o</w:t>
            </w:r>
          </w:p>
        </w:tc>
        <w:tc>
          <w:tcPr>
            <w:tcW w:w="1596" w:type="dxa"/>
          </w:tcPr>
          <w:p w14:paraId="18146AE2" w14:textId="77777777" w:rsidR="0046798B" w:rsidRDefault="0046798B">
            <w:pPr>
              <w:pStyle w:val="TableParagraph"/>
            </w:pPr>
          </w:p>
          <w:p w14:paraId="6255307F" w14:textId="77777777" w:rsidR="0046798B" w:rsidRDefault="00903B5C">
            <w:pPr>
              <w:pStyle w:val="TableParagraph"/>
              <w:spacing w:before="135"/>
              <w:ind w:left="114" w:right="552"/>
              <w:rPr>
                <w:sz w:val="20"/>
              </w:rPr>
            </w:pPr>
            <w:r>
              <w:rPr>
                <w:sz w:val="20"/>
              </w:rPr>
              <w:t>Establishes system for licensing emergency personnel</w:t>
            </w:r>
          </w:p>
        </w:tc>
        <w:tc>
          <w:tcPr>
            <w:tcW w:w="1285" w:type="dxa"/>
          </w:tcPr>
          <w:p w14:paraId="79327484" w14:textId="77777777" w:rsidR="0046798B" w:rsidRDefault="0046798B">
            <w:pPr>
              <w:pStyle w:val="TableParagraph"/>
            </w:pPr>
          </w:p>
          <w:p w14:paraId="1FACD9E0" w14:textId="77777777" w:rsidR="0046798B" w:rsidRDefault="0046798B">
            <w:pPr>
              <w:pStyle w:val="TableParagraph"/>
            </w:pPr>
          </w:p>
          <w:p w14:paraId="452F2BD5" w14:textId="77777777" w:rsidR="0046798B" w:rsidRDefault="0046798B">
            <w:pPr>
              <w:pStyle w:val="TableParagraph"/>
              <w:spacing w:before="9"/>
              <w:rPr>
                <w:sz w:val="29"/>
              </w:rPr>
            </w:pPr>
          </w:p>
          <w:p w14:paraId="3DB172D4" w14:textId="77777777" w:rsidR="0046798B" w:rsidRDefault="00903B5C">
            <w:pPr>
              <w:pStyle w:val="TableParagraph"/>
              <w:ind w:left="114"/>
              <w:rPr>
                <w:sz w:val="20"/>
              </w:rPr>
            </w:pPr>
            <w:r>
              <w:rPr>
                <w:sz w:val="20"/>
              </w:rPr>
              <w:t>2013</w:t>
            </w:r>
          </w:p>
        </w:tc>
        <w:tc>
          <w:tcPr>
            <w:tcW w:w="3421" w:type="dxa"/>
          </w:tcPr>
          <w:p w14:paraId="5B8F10CC" w14:textId="77777777" w:rsidR="0046798B" w:rsidRDefault="0046798B">
            <w:pPr>
              <w:pStyle w:val="TableParagraph"/>
            </w:pPr>
          </w:p>
          <w:p w14:paraId="1A843D86" w14:textId="77777777" w:rsidR="0046798B" w:rsidRDefault="0046798B">
            <w:pPr>
              <w:pStyle w:val="TableParagraph"/>
            </w:pPr>
          </w:p>
          <w:p w14:paraId="5E39083B" w14:textId="77777777" w:rsidR="0046798B" w:rsidRDefault="0046798B">
            <w:pPr>
              <w:pStyle w:val="TableParagraph"/>
              <w:spacing w:before="9"/>
              <w:rPr>
                <w:sz w:val="19"/>
              </w:rPr>
            </w:pPr>
          </w:p>
          <w:p w14:paraId="4CFDB55F" w14:textId="77777777" w:rsidR="0046798B" w:rsidRDefault="00903B5C">
            <w:pPr>
              <w:pStyle w:val="TableParagraph"/>
              <w:ind w:left="114" w:right="1475"/>
              <w:rPr>
                <w:sz w:val="20"/>
              </w:rPr>
            </w:pPr>
            <w:r>
              <w:rPr>
                <w:sz w:val="20"/>
              </w:rPr>
              <w:t>0 = policy not adopted 1 = policy adopted</w:t>
            </w:r>
          </w:p>
        </w:tc>
        <w:tc>
          <w:tcPr>
            <w:tcW w:w="6482" w:type="dxa"/>
          </w:tcPr>
          <w:p w14:paraId="3C23D39B" w14:textId="77777777" w:rsidR="0046798B" w:rsidRDefault="00903B5C">
            <w:pPr>
              <w:pStyle w:val="TableParagraph"/>
              <w:spacing w:before="43"/>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p w14:paraId="4579AFD5" w14:textId="77777777" w:rsidR="0046798B" w:rsidRDefault="0046798B">
            <w:pPr>
              <w:pStyle w:val="TableParagraph"/>
              <w:rPr>
                <w:sz w:val="20"/>
              </w:rPr>
            </w:pPr>
          </w:p>
          <w:p w14:paraId="685B6601"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5F9EBC1E" w14:textId="77777777">
        <w:trPr>
          <w:trHeight w:val="1930"/>
        </w:trPr>
        <w:tc>
          <w:tcPr>
            <w:tcW w:w="1711" w:type="dxa"/>
          </w:tcPr>
          <w:p w14:paraId="621244B9" w14:textId="77777777" w:rsidR="0046798B" w:rsidRDefault="0046798B">
            <w:pPr>
              <w:pStyle w:val="TableParagraph"/>
            </w:pPr>
          </w:p>
          <w:p w14:paraId="71E35A00" w14:textId="77777777" w:rsidR="0046798B" w:rsidRDefault="0046798B">
            <w:pPr>
              <w:pStyle w:val="TableParagraph"/>
            </w:pPr>
          </w:p>
          <w:p w14:paraId="3A00A850" w14:textId="77777777" w:rsidR="0046798B" w:rsidRDefault="0046798B">
            <w:pPr>
              <w:pStyle w:val="TableParagraph"/>
              <w:spacing w:before="8"/>
              <w:rPr>
                <w:sz w:val="19"/>
              </w:rPr>
            </w:pPr>
          </w:p>
          <w:p w14:paraId="4645D7B5" w14:textId="77777777" w:rsidR="0046798B" w:rsidRDefault="00903B5C">
            <w:pPr>
              <w:pStyle w:val="TableParagraph"/>
              <w:spacing w:before="1"/>
              <w:ind w:left="115" w:right="88"/>
              <w:rPr>
                <w:b/>
                <w:sz w:val="20"/>
              </w:rPr>
            </w:pPr>
            <w:r>
              <w:rPr>
                <w:b/>
                <w:sz w:val="20"/>
              </w:rPr>
              <w:t>multistate_recipr ocity_agreement</w:t>
            </w:r>
          </w:p>
        </w:tc>
        <w:tc>
          <w:tcPr>
            <w:tcW w:w="1596" w:type="dxa"/>
          </w:tcPr>
          <w:p w14:paraId="00712202" w14:textId="77777777" w:rsidR="0046798B" w:rsidRDefault="0046798B">
            <w:pPr>
              <w:pStyle w:val="TableParagraph"/>
              <w:spacing w:before="8"/>
              <w:rPr>
                <w:sz w:val="23"/>
              </w:rPr>
            </w:pPr>
          </w:p>
          <w:p w14:paraId="0F3265BF" w14:textId="77777777" w:rsidR="0046798B" w:rsidRDefault="00903B5C">
            <w:pPr>
              <w:pStyle w:val="TableParagraph"/>
              <w:spacing w:before="1"/>
              <w:ind w:left="114" w:right="185"/>
              <w:rPr>
                <w:sz w:val="20"/>
              </w:rPr>
            </w:pPr>
            <w:r>
              <w:rPr>
                <w:sz w:val="20"/>
              </w:rPr>
              <w:t>System so that interstate buses can avoid being required to register in multiple states</w:t>
            </w:r>
          </w:p>
        </w:tc>
        <w:tc>
          <w:tcPr>
            <w:tcW w:w="1285" w:type="dxa"/>
          </w:tcPr>
          <w:p w14:paraId="1B75FAA6" w14:textId="77777777" w:rsidR="0046798B" w:rsidRDefault="0046798B">
            <w:pPr>
              <w:pStyle w:val="TableParagraph"/>
            </w:pPr>
          </w:p>
          <w:p w14:paraId="181D825E" w14:textId="77777777" w:rsidR="0046798B" w:rsidRDefault="0046798B">
            <w:pPr>
              <w:pStyle w:val="TableParagraph"/>
            </w:pPr>
          </w:p>
          <w:p w14:paraId="3F1F19FE" w14:textId="77777777" w:rsidR="0046798B" w:rsidRDefault="0046798B">
            <w:pPr>
              <w:pStyle w:val="TableParagraph"/>
              <w:spacing w:before="8"/>
              <w:rPr>
                <w:sz w:val="29"/>
              </w:rPr>
            </w:pPr>
          </w:p>
          <w:p w14:paraId="2734EC32" w14:textId="77777777" w:rsidR="0046798B" w:rsidRDefault="00903B5C">
            <w:pPr>
              <w:pStyle w:val="TableParagraph"/>
              <w:spacing w:before="1"/>
              <w:ind w:left="114"/>
              <w:rPr>
                <w:sz w:val="20"/>
              </w:rPr>
            </w:pPr>
            <w:r>
              <w:rPr>
                <w:sz w:val="20"/>
              </w:rPr>
              <w:t>1962</w:t>
            </w:r>
          </w:p>
        </w:tc>
        <w:tc>
          <w:tcPr>
            <w:tcW w:w="3421" w:type="dxa"/>
          </w:tcPr>
          <w:p w14:paraId="3455FDE6" w14:textId="77777777" w:rsidR="0046798B" w:rsidRDefault="0046798B">
            <w:pPr>
              <w:pStyle w:val="TableParagraph"/>
            </w:pPr>
          </w:p>
          <w:p w14:paraId="61FA422F" w14:textId="77777777" w:rsidR="0046798B" w:rsidRDefault="0046798B">
            <w:pPr>
              <w:pStyle w:val="TableParagraph"/>
            </w:pPr>
          </w:p>
          <w:p w14:paraId="58C9F8EA" w14:textId="77777777" w:rsidR="0046798B" w:rsidRDefault="0046798B">
            <w:pPr>
              <w:pStyle w:val="TableParagraph"/>
              <w:spacing w:before="8"/>
              <w:rPr>
                <w:sz w:val="19"/>
              </w:rPr>
            </w:pPr>
          </w:p>
          <w:p w14:paraId="575EFBCD"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71EEDCA8" w14:textId="77777777" w:rsidR="0046798B" w:rsidRDefault="00903B5C">
            <w:pPr>
              <w:pStyle w:val="TableParagraph"/>
              <w:spacing w:before="43"/>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p w14:paraId="73941C87" w14:textId="77777777" w:rsidR="0046798B" w:rsidRDefault="0046798B">
            <w:pPr>
              <w:pStyle w:val="TableParagraph"/>
              <w:rPr>
                <w:sz w:val="20"/>
              </w:rPr>
            </w:pPr>
          </w:p>
          <w:p w14:paraId="14175EDB"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74DDE36" w14:textId="77777777">
        <w:trPr>
          <w:trHeight w:val="1926"/>
        </w:trPr>
        <w:tc>
          <w:tcPr>
            <w:tcW w:w="1711" w:type="dxa"/>
          </w:tcPr>
          <w:p w14:paraId="67A3AC74" w14:textId="77777777" w:rsidR="0046798B" w:rsidRDefault="0046798B">
            <w:pPr>
              <w:pStyle w:val="TableParagraph"/>
            </w:pPr>
          </w:p>
          <w:p w14:paraId="0D1BCB04" w14:textId="77777777" w:rsidR="0046798B" w:rsidRDefault="0046798B">
            <w:pPr>
              <w:pStyle w:val="TableParagraph"/>
              <w:spacing w:before="4"/>
              <w:rPr>
                <w:sz w:val="31"/>
              </w:rPr>
            </w:pPr>
          </w:p>
          <w:p w14:paraId="7E480901" w14:textId="77777777" w:rsidR="0046798B" w:rsidRDefault="00903B5C">
            <w:pPr>
              <w:pStyle w:val="TableParagraph"/>
              <w:ind w:left="115" w:right="155"/>
              <w:rPr>
                <w:b/>
                <w:sz w:val="20"/>
              </w:rPr>
            </w:pPr>
            <w:r>
              <w:rPr>
                <w:b/>
                <w:sz w:val="20"/>
              </w:rPr>
              <w:t>multistate_tax_c ompact</w:t>
            </w:r>
          </w:p>
        </w:tc>
        <w:tc>
          <w:tcPr>
            <w:tcW w:w="1596" w:type="dxa"/>
          </w:tcPr>
          <w:p w14:paraId="2C8E602E" w14:textId="77777777" w:rsidR="0046798B" w:rsidRDefault="0046798B">
            <w:pPr>
              <w:pStyle w:val="TableParagraph"/>
            </w:pPr>
          </w:p>
          <w:p w14:paraId="6D0C7F14" w14:textId="77777777" w:rsidR="0046798B" w:rsidRDefault="0046798B">
            <w:pPr>
              <w:pStyle w:val="TableParagraph"/>
              <w:spacing w:before="4"/>
              <w:rPr>
                <w:sz w:val="21"/>
              </w:rPr>
            </w:pPr>
          </w:p>
          <w:p w14:paraId="13740F37" w14:textId="77777777" w:rsidR="0046798B" w:rsidRDefault="00903B5C">
            <w:pPr>
              <w:pStyle w:val="TableParagraph"/>
              <w:ind w:left="114" w:right="246"/>
              <w:rPr>
                <w:sz w:val="20"/>
              </w:rPr>
            </w:pPr>
            <w:r>
              <w:rPr>
                <w:sz w:val="20"/>
              </w:rPr>
              <w:t>Creates system for taxing multistate taxpayers</w:t>
            </w:r>
          </w:p>
        </w:tc>
        <w:tc>
          <w:tcPr>
            <w:tcW w:w="1285" w:type="dxa"/>
          </w:tcPr>
          <w:p w14:paraId="667868A6" w14:textId="77777777" w:rsidR="0046798B" w:rsidRDefault="0046798B">
            <w:pPr>
              <w:pStyle w:val="TableParagraph"/>
            </w:pPr>
          </w:p>
          <w:p w14:paraId="3453A6EF" w14:textId="77777777" w:rsidR="0046798B" w:rsidRDefault="0046798B">
            <w:pPr>
              <w:pStyle w:val="TableParagraph"/>
            </w:pPr>
          </w:p>
          <w:p w14:paraId="0837F79E" w14:textId="77777777" w:rsidR="0046798B" w:rsidRDefault="0046798B">
            <w:pPr>
              <w:pStyle w:val="TableParagraph"/>
              <w:spacing w:before="4"/>
              <w:rPr>
                <w:sz w:val="29"/>
              </w:rPr>
            </w:pPr>
          </w:p>
          <w:p w14:paraId="6623253D" w14:textId="77777777" w:rsidR="0046798B" w:rsidRDefault="00903B5C">
            <w:pPr>
              <w:pStyle w:val="TableParagraph"/>
              <w:ind w:left="114"/>
              <w:rPr>
                <w:sz w:val="20"/>
              </w:rPr>
            </w:pPr>
            <w:r>
              <w:rPr>
                <w:sz w:val="20"/>
              </w:rPr>
              <w:t>1967–2014</w:t>
            </w:r>
          </w:p>
        </w:tc>
        <w:tc>
          <w:tcPr>
            <w:tcW w:w="3421" w:type="dxa"/>
          </w:tcPr>
          <w:p w14:paraId="6D5881E1" w14:textId="77777777" w:rsidR="0046798B" w:rsidRDefault="0046798B">
            <w:pPr>
              <w:pStyle w:val="TableParagraph"/>
            </w:pPr>
          </w:p>
          <w:p w14:paraId="777B8414" w14:textId="77777777" w:rsidR="0046798B" w:rsidRDefault="0046798B">
            <w:pPr>
              <w:pStyle w:val="TableParagraph"/>
            </w:pPr>
          </w:p>
          <w:p w14:paraId="5886F078" w14:textId="77777777" w:rsidR="0046798B" w:rsidRDefault="0046798B">
            <w:pPr>
              <w:pStyle w:val="TableParagraph"/>
              <w:spacing w:before="4"/>
              <w:rPr>
                <w:sz w:val="19"/>
              </w:rPr>
            </w:pPr>
          </w:p>
          <w:p w14:paraId="4BC41983" w14:textId="77777777" w:rsidR="0046798B" w:rsidRDefault="00903B5C">
            <w:pPr>
              <w:pStyle w:val="TableParagraph"/>
              <w:ind w:left="114" w:right="1475"/>
              <w:rPr>
                <w:sz w:val="20"/>
              </w:rPr>
            </w:pPr>
            <w:r>
              <w:rPr>
                <w:sz w:val="20"/>
              </w:rPr>
              <w:t>0 = policy not adopted 1 = policy adopted</w:t>
            </w:r>
          </w:p>
        </w:tc>
        <w:tc>
          <w:tcPr>
            <w:tcW w:w="6482" w:type="dxa"/>
          </w:tcPr>
          <w:p w14:paraId="3D13A256" w14:textId="77777777" w:rsidR="0046798B" w:rsidRDefault="00903B5C">
            <w:pPr>
              <w:pStyle w:val="TableParagraph"/>
              <w:spacing w:before="38"/>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p w14:paraId="35479EBA" w14:textId="77777777" w:rsidR="0046798B" w:rsidRDefault="0046798B">
            <w:pPr>
              <w:pStyle w:val="TableParagraph"/>
              <w:rPr>
                <w:sz w:val="20"/>
              </w:rPr>
            </w:pPr>
          </w:p>
          <w:p w14:paraId="17A1051D"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06AFA748" w14:textId="77777777">
        <w:trPr>
          <w:trHeight w:val="1925"/>
        </w:trPr>
        <w:tc>
          <w:tcPr>
            <w:tcW w:w="1711" w:type="dxa"/>
          </w:tcPr>
          <w:p w14:paraId="21528BB2" w14:textId="77777777" w:rsidR="0046798B" w:rsidRDefault="0046798B">
            <w:pPr>
              <w:pStyle w:val="TableParagraph"/>
            </w:pPr>
          </w:p>
          <w:p w14:paraId="76C5E97A" w14:textId="77777777" w:rsidR="0046798B" w:rsidRDefault="0046798B">
            <w:pPr>
              <w:pStyle w:val="TableParagraph"/>
            </w:pPr>
          </w:p>
          <w:p w14:paraId="219AE7E8" w14:textId="77777777" w:rsidR="0046798B" w:rsidRDefault="0046798B">
            <w:pPr>
              <w:pStyle w:val="TableParagraph"/>
              <w:spacing w:before="3"/>
              <w:rPr>
                <w:sz w:val="19"/>
              </w:rPr>
            </w:pPr>
          </w:p>
          <w:p w14:paraId="4EBF690D" w14:textId="77777777" w:rsidR="0046798B" w:rsidRDefault="00903B5C">
            <w:pPr>
              <w:pStyle w:val="TableParagraph"/>
              <w:spacing w:before="1"/>
              <w:ind w:left="115"/>
              <w:rPr>
                <w:b/>
                <w:sz w:val="20"/>
              </w:rPr>
            </w:pPr>
            <w:r>
              <w:rPr>
                <w:b/>
                <w:sz w:val="20"/>
              </w:rPr>
              <w:t>interstate_earthq uake_emergency</w:t>
            </w:r>
          </w:p>
        </w:tc>
        <w:tc>
          <w:tcPr>
            <w:tcW w:w="1596" w:type="dxa"/>
          </w:tcPr>
          <w:p w14:paraId="202DF34A" w14:textId="77777777" w:rsidR="0046798B" w:rsidRDefault="0046798B">
            <w:pPr>
              <w:pStyle w:val="TableParagraph"/>
            </w:pPr>
          </w:p>
          <w:p w14:paraId="1DDB1003" w14:textId="77777777" w:rsidR="0046798B" w:rsidRDefault="0046798B">
            <w:pPr>
              <w:pStyle w:val="TableParagraph"/>
              <w:spacing w:before="3"/>
              <w:rPr>
                <w:sz w:val="21"/>
              </w:rPr>
            </w:pPr>
          </w:p>
          <w:p w14:paraId="78020A6B" w14:textId="77777777" w:rsidR="0046798B" w:rsidRDefault="00903B5C">
            <w:pPr>
              <w:pStyle w:val="TableParagraph"/>
              <w:ind w:left="114" w:right="446"/>
              <w:rPr>
                <w:sz w:val="20"/>
              </w:rPr>
            </w:pPr>
            <w:r>
              <w:rPr>
                <w:sz w:val="20"/>
              </w:rPr>
              <w:t>Compact for assistance in event of earthquake</w:t>
            </w:r>
          </w:p>
        </w:tc>
        <w:tc>
          <w:tcPr>
            <w:tcW w:w="1285" w:type="dxa"/>
          </w:tcPr>
          <w:p w14:paraId="0156A815" w14:textId="77777777" w:rsidR="0046798B" w:rsidRDefault="0046798B">
            <w:pPr>
              <w:pStyle w:val="TableParagraph"/>
            </w:pPr>
          </w:p>
          <w:p w14:paraId="747ACED2" w14:textId="77777777" w:rsidR="0046798B" w:rsidRDefault="0046798B">
            <w:pPr>
              <w:pStyle w:val="TableParagraph"/>
            </w:pPr>
          </w:p>
          <w:p w14:paraId="265D3A0A" w14:textId="77777777" w:rsidR="0046798B" w:rsidRDefault="0046798B">
            <w:pPr>
              <w:pStyle w:val="TableParagraph"/>
              <w:spacing w:before="4"/>
              <w:rPr>
                <w:sz w:val="29"/>
              </w:rPr>
            </w:pPr>
          </w:p>
          <w:p w14:paraId="6188584A" w14:textId="77777777" w:rsidR="0046798B" w:rsidRDefault="00903B5C">
            <w:pPr>
              <w:pStyle w:val="TableParagraph"/>
              <w:ind w:left="114"/>
              <w:rPr>
                <w:sz w:val="20"/>
              </w:rPr>
            </w:pPr>
            <w:r>
              <w:rPr>
                <w:sz w:val="20"/>
              </w:rPr>
              <w:t>1988–1990</w:t>
            </w:r>
          </w:p>
        </w:tc>
        <w:tc>
          <w:tcPr>
            <w:tcW w:w="3421" w:type="dxa"/>
          </w:tcPr>
          <w:p w14:paraId="46AFF3BC" w14:textId="77777777" w:rsidR="0046798B" w:rsidRDefault="0046798B">
            <w:pPr>
              <w:pStyle w:val="TableParagraph"/>
            </w:pPr>
          </w:p>
          <w:p w14:paraId="67265FDE" w14:textId="77777777" w:rsidR="0046798B" w:rsidRDefault="0046798B">
            <w:pPr>
              <w:pStyle w:val="TableParagraph"/>
            </w:pPr>
          </w:p>
          <w:p w14:paraId="4638A90E" w14:textId="77777777" w:rsidR="0046798B" w:rsidRDefault="0046798B">
            <w:pPr>
              <w:pStyle w:val="TableParagraph"/>
              <w:spacing w:before="3"/>
              <w:rPr>
                <w:sz w:val="19"/>
              </w:rPr>
            </w:pPr>
          </w:p>
          <w:p w14:paraId="06BA5D06"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368F67FA" w14:textId="77777777" w:rsidR="0046798B" w:rsidRDefault="00903B5C">
            <w:pPr>
              <w:pStyle w:val="TableParagraph"/>
              <w:spacing w:before="38"/>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p w14:paraId="3694AF86" w14:textId="77777777" w:rsidR="0046798B" w:rsidRDefault="0046798B">
            <w:pPr>
              <w:pStyle w:val="TableParagraph"/>
              <w:rPr>
                <w:sz w:val="20"/>
              </w:rPr>
            </w:pPr>
          </w:p>
          <w:p w14:paraId="011E6905"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bl>
    <w:p w14:paraId="1BB12D0E" w14:textId="77777777" w:rsidR="0046798B" w:rsidRDefault="0046798B">
      <w:pPr>
        <w:rPr>
          <w:sz w:val="20"/>
        </w:rPr>
        <w:sectPr w:rsidR="0046798B">
          <w:pgSz w:w="15840" w:h="12240" w:orient="landscape"/>
          <w:pgMar w:top="1220" w:right="300" w:bottom="980" w:left="820" w:header="730" w:footer="787" w:gutter="0"/>
          <w:cols w:space="720"/>
        </w:sectPr>
      </w:pPr>
    </w:p>
    <w:p w14:paraId="771A4464"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5B416FB9" w14:textId="77777777">
        <w:trPr>
          <w:trHeight w:val="1926"/>
        </w:trPr>
        <w:tc>
          <w:tcPr>
            <w:tcW w:w="1711" w:type="dxa"/>
          </w:tcPr>
          <w:p w14:paraId="45BEB1C4" w14:textId="77777777" w:rsidR="0046798B" w:rsidRDefault="0046798B">
            <w:pPr>
              <w:pStyle w:val="TableParagraph"/>
            </w:pPr>
          </w:p>
          <w:p w14:paraId="3FB690FB" w14:textId="77777777" w:rsidR="0046798B" w:rsidRDefault="0046798B">
            <w:pPr>
              <w:pStyle w:val="TableParagraph"/>
            </w:pPr>
          </w:p>
          <w:p w14:paraId="59E4D2C9" w14:textId="77777777" w:rsidR="0046798B" w:rsidRDefault="0046798B">
            <w:pPr>
              <w:pStyle w:val="TableParagraph"/>
              <w:spacing w:before="9"/>
              <w:rPr>
                <w:sz w:val="19"/>
              </w:rPr>
            </w:pPr>
          </w:p>
          <w:p w14:paraId="3A774E8C" w14:textId="77777777" w:rsidR="0046798B" w:rsidRDefault="00903B5C">
            <w:pPr>
              <w:pStyle w:val="TableParagraph"/>
              <w:ind w:left="115" w:right="110"/>
              <w:rPr>
                <w:b/>
                <w:sz w:val="20"/>
              </w:rPr>
            </w:pPr>
            <w:r>
              <w:rPr>
                <w:b/>
                <w:sz w:val="20"/>
              </w:rPr>
              <w:t>interstate_insura nce_product_reg</w:t>
            </w:r>
          </w:p>
        </w:tc>
        <w:tc>
          <w:tcPr>
            <w:tcW w:w="1596" w:type="dxa"/>
          </w:tcPr>
          <w:p w14:paraId="0E0D2F6C" w14:textId="77777777" w:rsidR="0046798B" w:rsidRDefault="0046798B">
            <w:pPr>
              <w:pStyle w:val="TableParagraph"/>
            </w:pPr>
          </w:p>
          <w:p w14:paraId="2AE0FE8E" w14:textId="77777777" w:rsidR="0046798B" w:rsidRDefault="0046798B">
            <w:pPr>
              <w:pStyle w:val="TableParagraph"/>
              <w:spacing w:before="9"/>
              <w:rPr>
                <w:sz w:val="21"/>
              </w:rPr>
            </w:pPr>
          </w:p>
          <w:p w14:paraId="14924988" w14:textId="77777777" w:rsidR="0046798B" w:rsidRDefault="00903B5C">
            <w:pPr>
              <w:pStyle w:val="TableParagraph"/>
              <w:ind w:left="114" w:right="641"/>
              <w:rPr>
                <w:sz w:val="20"/>
              </w:rPr>
            </w:pPr>
            <w:r>
              <w:rPr>
                <w:sz w:val="20"/>
              </w:rPr>
              <w:t>Compact regulating insurance policies</w:t>
            </w:r>
          </w:p>
        </w:tc>
        <w:tc>
          <w:tcPr>
            <w:tcW w:w="1285" w:type="dxa"/>
          </w:tcPr>
          <w:p w14:paraId="4B1BA5DF" w14:textId="77777777" w:rsidR="0046798B" w:rsidRDefault="0046798B">
            <w:pPr>
              <w:pStyle w:val="TableParagraph"/>
            </w:pPr>
          </w:p>
          <w:p w14:paraId="7EB73014" w14:textId="77777777" w:rsidR="0046798B" w:rsidRDefault="0046798B">
            <w:pPr>
              <w:pStyle w:val="TableParagraph"/>
            </w:pPr>
          </w:p>
          <w:p w14:paraId="54BC67D3" w14:textId="77777777" w:rsidR="0046798B" w:rsidRDefault="0046798B">
            <w:pPr>
              <w:pStyle w:val="TableParagraph"/>
              <w:spacing w:before="9"/>
              <w:rPr>
                <w:sz w:val="29"/>
              </w:rPr>
            </w:pPr>
          </w:p>
          <w:p w14:paraId="5AE7ED88" w14:textId="77777777" w:rsidR="0046798B" w:rsidRDefault="00903B5C">
            <w:pPr>
              <w:pStyle w:val="TableParagraph"/>
              <w:ind w:left="114"/>
              <w:rPr>
                <w:sz w:val="20"/>
              </w:rPr>
            </w:pPr>
            <w:r>
              <w:rPr>
                <w:sz w:val="20"/>
              </w:rPr>
              <w:t>2003–2014</w:t>
            </w:r>
          </w:p>
        </w:tc>
        <w:tc>
          <w:tcPr>
            <w:tcW w:w="3421" w:type="dxa"/>
          </w:tcPr>
          <w:p w14:paraId="0E90591E" w14:textId="77777777" w:rsidR="0046798B" w:rsidRDefault="0046798B">
            <w:pPr>
              <w:pStyle w:val="TableParagraph"/>
            </w:pPr>
          </w:p>
          <w:p w14:paraId="52B79E27" w14:textId="77777777" w:rsidR="0046798B" w:rsidRDefault="0046798B">
            <w:pPr>
              <w:pStyle w:val="TableParagraph"/>
            </w:pPr>
          </w:p>
          <w:p w14:paraId="693B183B" w14:textId="77777777" w:rsidR="0046798B" w:rsidRDefault="0046798B">
            <w:pPr>
              <w:pStyle w:val="TableParagraph"/>
              <w:spacing w:before="9"/>
              <w:rPr>
                <w:sz w:val="19"/>
              </w:rPr>
            </w:pPr>
          </w:p>
          <w:p w14:paraId="1B1D7603" w14:textId="77777777" w:rsidR="0046798B" w:rsidRDefault="00903B5C">
            <w:pPr>
              <w:pStyle w:val="TableParagraph"/>
              <w:ind w:left="114" w:right="1475"/>
              <w:rPr>
                <w:sz w:val="20"/>
              </w:rPr>
            </w:pPr>
            <w:r>
              <w:rPr>
                <w:sz w:val="20"/>
              </w:rPr>
              <w:t>0 = policy not adopted 1 = policy adopted</w:t>
            </w:r>
          </w:p>
        </w:tc>
        <w:tc>
          <w:tcPr>
            <w:tcW w:w="6482" w:type="dxa"/>
          </w:tcPr>
          <w:p w14:paraId="54451E1D" w14:textId="77777777" w:rsidR="0046798B" w:rsidRDefault="00903B5C">
            <w:pPr>
              <w:pStyle w:val="TableParagraph"/>
              <w:spacing w:before="43"/>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p w14:paraId="7AA1343F" w14:textId="77777777" w:rsidR="0046798B" w:rsidRDefault="0046798B">
            <w:pPr>
              <w:pStyle w:val="TableParagraph"/>
              <w:rPr>
                <w:sz w:val="20"/>
              </w:rPr>
            </w:pPr>
          </w:p>
          <w:p w14:paraId="155E3C71"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4D01999A" w14:textId="77777777">
        <w:trPr>
          <w:trHeight w:val="1925"/>
        </w:trPr>
        <w:tc>
          <w:tcPr>
            <w:tcW w:w="1711" w:type="dxa"/>
          </w:tcPr>
          <w:p w14:paraId="786800A4" w14:textId="77777777" w:rsidR="0046798B" w:rsidRDefault="0046798B">
            <w:pPr>
              <w:pStyle w:val="TableParagraph"/>
            </w:pPr>
          </w:p>
          <w:p w14:paraId="48ED9E1F" w14:textId="77777777" w:rsidR="0046798B" w:rsidRDefault="0046798B">
            <w:pPr>
              <w:pStyle w:val="TableParagraph"/>
            </w:pPr>
          </w:p>
          <w:p w14:paraId="5ED7DF8E" w14:textId="77777777" w:rsidR="0046798B" w:rsidRDefault="0046798B">
            <w:pPr>
              <w:pStyle w:val="TableParagraph"/>
              <w:spacing w:before="9"/>
              <w:rPr>
                <w:sz w:val="19"/>
              </w:rPr>
            </w:pPr>
          </w:p>
          <w:p w14:paraId="1AA831B1" w14:textId="77777777" w:rsidR="0046798B" w:rsidRDefault="00903B5C">
            <w:pPr>
              <w:pStyle w:val="TableParagraph"/>
              <w:ind w:left="115" w:right="110"/>
              <w:rPr>
                <w:b/>
                <w:sz w:val="20"/>
              </w:rPr>
            </w:pPr>
            <w:r>
              <w:rPr>
                <w:b/>
                <w:sz w:val="20"/>
              </w:rPr>
              <w:t>interstate_insura nce_receivership</w:t>
            </w:r>
          </w:p>
        </w:tc>
        <w:tc>
          <w:tcPr>
            <w:tcW w:w="1596" w:type="dxa"/>
          </w:tcPr>
          <w:p w14:paraId="41870461" w14:textId="77777777" w:rsidR="0046798B" w:rsidRDefault="0046798B">
            <w:pPr>
              <w:pStyle w:val="TableParagraph"/>
            </w:pPr>
          </w:p>
          <w:p w14:paraId="73BFD61A" w14:textId="77777777" w:rsidR="0046798B" w:rsidRDefault="00903B5C">
            <w:pPr>
              <w:pStyle w:val="TableParagraph"/>
              <w:spacing w:before="135"/>
              <w:ind w:left="114" w:right="596"/>
              <w:rPr>
                <w:sz w:val="20"/>
              </w:rPr>
            </w:pPr>
            <w:r>
              <w:rPr>
                <w:sz w:val="20"/>
              </w:rPr>
              <w:t>Managing insolvent interstate insurance companies</w:t>
            </w:r>
          </w:p>
        </w:tc>
        <w:tc>
          <w:tcPr>
            <w:tcW w:w="1285" w:type="dxa"/>
          </w:tcPr>
          <w:p w14:paraId="21858D9F" w14:textId="77777777" w:rsidR="0046798B" w:rsidRDefault="0046798B">
            <w:pPr>
              <w:pStyle w:val="TableParagraph"/>
            </w:pPr>
          </w:p>
          <w:p w14:paraId="1B96CF13" w14:textId="77777777" w:rsidR="0046798B" w:rsidRDefault="0046798B">
            <w:pPr>
              <w:pStyle w:val="TableParagraph"/>
            </w:pPr>
          </w:p>
          <w:p w14:paraId="0392DC3B" w14:textId="77777777" w:rsidR="0046798B" w:rsidRDefault="0046798B">
            <w:pPr>
              <w:pStyle w:val="TableParagraph"/>
              <w:spacing w:before="9"/>
              <w:rPr>
                <w:sz w:val="29"/>
              </w:rPr>
            </w:pPr>
          </w:p>
          <w:p w14:paraId="34176C1F" w14:textId="77777777" w:rsidR="0046798B" w:rsidRDefault="00903B5C">
            <w:pPr>
              <w:pStyle w:val="TableParagraph"/>
              <w:ind w:left="114"/>
              <w:rPr>
                <w:sz w:val="20"/>
              </w:rPr>
            </w:pPr>
            <w:r>
              <w:rPr>
                <w:sz w:val="20"/>
              </w:rPr>
              <w:t>1995–1996</w:t>
            </w:r>
          </w:p>
        </w:tc>
        <w:tc>
          <w:tcPr>
            <w:tcW w:w="3421" w:type="dxa"/>
          </w:tcPr>
          <w:p w14:paraId="019BACF2" w14:textId="77777777" w:rsidR="0046798B" w:rsidRDefault="0046798B">
            <w:pPr>
              <w:pStyle w:val="TableParagraph"/>
            </w:pPr>
          </w:p>
          <w:p w14:paraId="4C465E8F" w14:textId="77777777" w:rsidR="0046798B" w:rsidRDefault="0046798B">
            <w:pPr>
              <w:pStyle w:val="TableParagraph"/>
            </w:pPr>
          </w:p>
          <w:p w14:paraId="42A678F4" w14:textId="77777777" w:rsidR="0046798B" w:rsidRDefault="0046798B">
            <w:pPr>
              <w:pStyle w:val="TableParagraph"/>
              <w:spacing w:before="9"/>
              <w:rPr>
                <w:sz w:val="19"/>
              </w:rPr>
            </w:pPr>
          </w:p>
          <w:p w14:paraId="077B0841" w14:textId="77777777" w:rsidR="0046798B" w:rsidRDefault="00903B5C">
            <w:pPr>
              <w:pStyle w:val="TableParagraph"/>
              <w:ind w:left="114" w:right="1475"/>
              <w:rPr>
                <w:sz w:val="20"/>
              </w:rPr>
            </w:pPr>
            <w:r>
              <w:rPr>
                <w:sz w:val="20"/>
              </w:rPr>
              <w:t>0 = policy not adopted 1 = policy adopted</w:t>
            </w:r>
          </w:p>
        </w:tc>
        <w:tc>
          <w:tcPr>
            <w:tcW w:w="6482" w:type="dxa"/>
          </w:tcPr>
          <w:p w14:paraId="15F85066" w14:textId="77777777" w:rsidR="0046798B" w:rsidRDefault="00903B5C">
            <w:pPr>
              <w:pStyle w:val="TableParagraph"/>
              <w:spacing w:before="43"/>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p w14:paraId="72312807" w14:textId="77777777" w:rsidR="0046798B" w:rsidRDefault="0046798B">
            <w:pPr>
              <w:pStyle w:val="TableParagraph"/>
              <w:rPr>
                <w:sz w:val="20"/>
              </w:rPr>
            </w:pPr>
          </w:p>
          <w:p w14:paraId="62D97F9D"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708C80EE" w14:textId="77777777">
        <w:trPr>
          <w:trHeight w:val="1930"/>
        </w:trPr>
        <w:tc>
          <w:tcPr>
            <w:tcW w:w="1711" w:type="dxa"/>
          </w:tcPr>
          <w:p w14:paraId="516E948B" w14:textId="77777777" w:rsidR="0046798B" w:rsidRDefault="0046798B">
            <w:pPr>
              <w:pStyle w:val="TableParagraph"/>
            </w:pPr>
          </w:p>
          <w:p w14:paraId="1A456C0B" w14:textId="77777777" w:rsidR="0046798B" w:rsidRDefault="0046798B">
            <w:pPr>
              <w:pStyle w:val="TableParagraph"/>
            </w:pPr>
          </w:p>
          <w:p w14:paraId="744EA9C6" w14:textId="77777777" w:rsidR="0046798B" w:rsidRDefault="0046798B">
            <w:pPr>
              <w:pStyle w:val="TableParagraph"/>
              <w:spacing w:before="9"/>
              <w:rPr>
                <w:sz w:val="19"/>
              </w:rPr>
            </w:pPr>
          </w:p>
          <w:p w14:paraId="08D41196" w14:textId="77777777" w:rsidR="0046798B" w:rsidRDefault="00903B5C">
            <w:pPr>
              <w:pStyle w:val="TableParagraph"/>
              <w:ind w:left="115"/>
              <w:rPr>
                <w:b/>
                <w:sz w:val="20"/>
              </w:rPr>
            </w:pPr>
            <w:r>
              <w:rPr>
                <w:b/>
                <w:sz w:val="20"/>
              </w:rPr>
              <w:t>interstate_mutua l_aid_compact</w:t>
            </w:r>
          </w:p>
        </w:tc>
        <w:tc>
          <w:tcPr>
            <w:tcW w:w="1596" w:type="dxa"/>
          </w:tcPr>
          <w:p w14:paraId="4AB35652" w14:textId="77777777" w:rsidR="0046798B" w:rsidRDefault="0046798B">
            <w:pPr>
              <w:pStyle w:val="TableParagraph"/>
            </w:pPr>
          </w:p>
          <w:p w14:paraId="5D0375C8" w14:textId="77777777" w:rsidR="0046798B" w:rsidRDefault="00903B5C">
            <w:pPr>
              <w:pStyle w:val="TableParagraph"/>
              <w:spacing w:before="135"/>
              <w:ind w:left="114" w:right="97"/>
              <w:rPr>
                <w:sz w:val="20"/>
              </w:rPr>
            </w:pPr>
            <w:r>
              <w:rPr>
                <w:sz w:val="20"/>
              </w:rPr>
              <w:t>Agreement for aid across states in event of disaster/emergen cy</w:t>
            </w:r>
          </w:p>
        </w:tc>
        <w:tc>
          <w:tcPr>
            <w:tcW w:w="1285" w:type="dxa"/>
          </w:tcPr>
          <w:p w14:paraId="68CA6C5F" w14:textId="77777777" w:rsidR="0046798B" w:rsidRDefault="0046798B">
            <w:pPr>
              <w:pStyle w:val="TableParagraph"/>
            </w:pPr>
          </w:p>
          <w:p w14:paraId="38AC55E0" w14:textId="77777777" w:rsidR="0046798B" w:rsidRDefault="0046798B">
            <w:pPr>
              <w:pStyle w:val="TableParagraph"/>
            </w:pPr>
          </w:p>
          <w:p w14:paraId="4667324A" w14:textId="77777777" w:rsidR="0046798B" w:rsidRDefault="0046798B">
            <w:pPr>
              <w:pStyle w:val="TableParagraph"/>
              <w:spacing w:before="9"/>
              <w:rPr>
                <w:sz w:val="29"/>
              </w:rPr>
            </w:pPr>
          </w:p>
          <w:p w14:paraId="00011867" w14:textId="77777777" w:rsidR="0046798B" w:rsidRDefault="00903B5C">
            <w:pPr>
              <w:pStyle w:val="TableParagraph"/>
              <w:ind w:left="114"/>
              <w:rPr>
                <w:sz w:val="20"/>
              </w:rPr>
            </w:pPr>
            <w:r>
              <w:rPr>
                <w:sz w:val="20"/>
              </w:rPr>
              <w:t>1985–1986</w:t>
            </w:r>
          </w:p>
        </w:tc>
        <w:tc>
          <w:tcPr>
            <w:tcW w:w="3421" w:type="dxa"/>
          </w:tcPr>
          <w:p w14:paraId="4511E0E3" w14:textId="77777777" w:rsidR="0046798B" w:rsidRDefault="0046798B">
            <w:pPr>
              <w:pStyle w:val="TableParagraph"/>
            </w:pPr>
          </w:p>
          <w:p w14:paraId="59ED4A84" w14:textId="77777777" w:rsidR="0046798B" w:rsidRDefault="0046798B">
            <w:pPr>
              <w:pStyle w:val="TableParagraph"/>
            </w:pPr>
          </w:p>
          <w:p w14:paraId="7F50A0C9" w14:textId="77777777" w:rsidR="0046798B" w:rsidRDefault="0046798B">
            <w:pPr>
              <w:pStyle w:val="TableParagraph"/>
              <w:spacing w:before="9"/>
              <w:rPr>
                <w:sz w:val="19"/>
              </w:rPr>
            </w:pPr>
          </w:p>
          <w:p w14:paraId="5335425E" w14:textId="77777777" w:rsidR="0046798B" w:rsidRDefault="00903B5C">
            <w:pPr>
              <w:pStyle w:val="TableParagraph"/>
              <w:ind w:left="114" w:right="1475"/>
              <w:rPr>
                <w:sz w:val="20"/>
              </w:rPr>
            </w:pPr>
            <w:r>
              <w:rPr>
                <w:sz w:val="20"/>
              </w:rPr>
              <w:t>0 = policy not adopted 1 = policy adopted</w:t>
            </w:r>
          </w:p>
        </w:tc>
        <w:tc>
          <w:tcPr>
            <w:tcW w:w="6482" w:type="dxa"/>
          </w:tcPr>
          <w:p w14:paraId="3D3FFA06" w14:textId="77777777" w:rsidR="0046798B" w:rsidRDefault="00903B5C">
            <w:pPr>
              <w:pStyle w:val="TableParagraph"/>
              <w:spacing w:before="43"/>
              <w:ind w:left="114" w:right="228"/>
              <w:rPr>
                <w:sz w:val="20"/>
              </w:rPr>
            </w:pPr>
            <w:r>
              <w:rPr>
                <w:sz w:val="20"/>
              </w:rPr>
              <w:t xml:space="preserve">Karch, Andrew, Sean C. Nicholson-Crotty, Neal D. Woods, and Ann O’M. Bowman. “Policy diffusion and the pro-innovation bias.” </w:t>
            </w:r>
            <w:r>
              <w:rPr>
                <w:i/>
                <w:sz w:val="20"/>
              </w:rPr>
              <w:t xml:space="preserve">Political Research Quarterly </w:t>
            </w:r>
            <w:r>
              <w:rPr>
                <w:sz w:val="20"/>
              </w:rPr>
              <w:t>69.1 (2016): 83–95.</w:t>
            </w:r>
          </w:p>
          <w:p w14:paraId="5A6784E8" w14:textId="77777777" w:rsidR="0046798B" w:rsidRDefault="0046798B">
            <w:pPr>
              <w:pStyle w:val="TableParagraph"/>
              <w:rPr>
                <w:sz w:val="20"/>
              </w:rPr>
            </w:pPr>
          </w:p>
          <w:p w14:paraId="5062921F"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bl>
    <w:p w14:paraId="593B2A36" w14:textId="77777777" w:rsidR="0046798B" w:rsidRDefault="0046798B">
      <w:pPr>
        <w:rPr>
          <w:sz w:val="20"/>
        </w:rPr>
        <w:sectPr w:rsidR="0046798B">
          <w:pgSz w:w="15840" w:h="12240" w:orient="landscape"/>
          <w:pgMar w:top="1220" w:right="300" w:bottom="980" w:left="820" w:header="730" w:footer="787" w:gutter="0"/>
          <w:cols w:space="720"/>
        </w:sectPr>
      </w:pPr>
    </w:p>
    <w:p w14:paraId="4DCF4E48" w14:textId="77777777" w:rsidR="0046798B" w:rsidRDefault="0046798B">
      <w:pPr>
        <w:pStyle w:val="BodyText"/>
        <w:spacing w:before="1"/>
        <w:rPr>
          <w:sz w:val="11"/>
        </w:rPr>
      </w:pPr>
    </w:p>
    <w:p w14:paraId="24FAF2E1" w14:textId="77777777" w:rsidR="0046798B" w:rsidRDefault="00903B5C">
      <w:pPr>
        <w:pStyle w:val="ListParagraph"/>
        <w:numPr>
          <w:ilvl w:val="0"/>
          <w:numId w:val="12"/>
        </w:numPr>
        <w:tabs>
          <w:tab w:val="left" w:pos="6788"/>
        </w:tabs>
        <w:spacing w:before="88"/>
        <w:ind w:left="6787" w:right="509" w:hanging="455"/>
        <w:jc w:val="left"/>
        <w:rPr>
          <w:b/>
          <w:sz w:val="28"/>
        </w:rPr>
      </w:pPr>
      <w:bookmarkStart w:id="6" w:name="IV._Elections"/>
      <w:bookmarkStart w:id="7" w:name="_bookmark3"/>
      <w:bookmarkEnd w:id="6"/>
      <w:bookmarkEnd w:id="7"/>
      <w:r>
        <w:rPr>
          <w:b/>
          <w:sz w:val="28"/>
        </w:rPr>
        <w:t>Elections</w:t>
      </w:r>
    </w:p>
    <w:p w14:paraId="4A446998" w14:textId="77777777" w:rsidR="0046798B" w:rsidRDefault="0046798B">
      <w:pPr>
        <w:pStyle w:val="BodyText"/>
        <w:spacing w:before="5"/>
        <w:rPr>
          <w:b/>
          <w:sz w:val="24"/>
        </w:rPr>
      </w:pPr>
    </w:p>
    <w:p w14:paraId="3D93CD7A" w14:textId="77777777" w:rsidR="0046798B" w:rsidRDefault="00903B5C">
      <w:pPr>
        <w:pStyle w:val="ListParagraph"/>
        <w:numPr>
          <w:ilvl w:val="0"/>
          <w:numId w:val="8"/>
        </w:numPr>
        <w:tabs>
          <w:tab w:val="left" w:pos="916"/>
        </w:tabs>
        <w:rPr>
          <w:b/>
          <w:sz w:val="24"/>
        </w:rPr>
      </w:pPr>
      <w:r>
        <w:rPr>
          <w:b/>
          <w:sz w:val="24"/>
          <w:u w:val="single"/>
        </w:rPr>
        <w:t>Voting, Partisan Competition, and Campaign</w:t>
      </w:r>
      <w:r>
        <w:rPr>
          <w:b/>
          <w:spacing w:val="-3"/>
          <w:sz w:val="24"/>
          <w:u w:val="single"/>
        </w:rPr>
        <w:t xml:space="preserve"> </w:t>
      </w:r>
      <w:r>
        <w:rPr>
          <w:b/>
          <w:sz w:val="24"/>
          <w:u w:val="single"/>
        </w:rPr>
        <w:t>Finance</w:t>
      </w:r>
    </w:p>
    <w:p w14:paraId="6A3E9251" w14:textId="77777777" w:rsidR="0046798B" w:rsidRDefault="0046798B">
      <w:pPr>
        <w:pStyle w:val="BodyText"/>
        <w:spacing w:before="8" w:after="1"/>
        <w:rPr>
          <w:b/>
          <w:sz w:val="23"/>
        </w:rPr>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75DBB135" w14:textId="77777777">
        <w:trPr>
          <w:trHeight w:val="590"/>
        </w:trPr>
        <w:tc>
          <w:tcPr>
            <w:tcW w:w="1711" w:type="dxa"/>
          </w:tcPr>
          <w:p w14:paraId="7D8014D3" w14:textId="77777777" w:rsidR="0046798B" w:rsidRDefault="00903B5C">
            <w:pPr>
              <w:pStyle w:val="TableParagraph"/>
              <w:spacing w:before="164"/>
              <w:ind w:left="140"/>
              <w:rPr>
                <w:b/>
              </w:rPr>
            </w:pPr>
            <w:r>
              <w:rPr>
                <w:b/>
              </w:rPr>
              <w:t>Variable Name</w:t>
            </w:r>
          </w:p>
        </w:tc>
        <w:tc>
          <w:tcPr>
            <w:tcW w:w="1596" w:type="dxa"/>
          </w:tcPr>
          <w:p w14:paraId="35ABD5F8" w14:textId="77777777" w:rsidR="0046798B" w:rsidRDefault="00903B5C">
            <w:pPr>
              <w:pStyle w:val="TableParagraph"/>
              <w:spacing w:before="39" w:line="242" w:lineRule="auto"/>
              <w:ind w:left="249" w:right="229" w:firstLine="280"/>
              <w:rPr>
                <w:b/>
              </w:rPr>
            </w:pPr>
            <w:r>
              <w:rPr>
                <w:b/>
              </w:rPr>
              <w:t>Short Description</w:t>
            </w:r>
          </w:p>
        </w:tc>
        <w:tc>
          <w:tcPr>
            <w:tcW w:w="1285" w:type="dxa"/>
          </w:tcPr>
          <w:p w14:paraId="1C3C538D" w14:textId="77777777" w:rsidR="0046798B" w:rsidRDefault="00903B5C">
            <w:pPr>
              <w:pStyle w:val="TableParagraph"/>
              <w:spacing w:before="164"/>
              <w:ind w:left="364"/>
              <w:rPr>
                <w:b/>
              </w:rPr>
            </w:pPr>
            <w:r>
              <w:rPr>
                <w:b/>
              </w:rPr>
              <w:t>Years</w:t>
            </w:r>
          </w:p>
        </w:tc>
        <w:tc>
          <w:tcPr>
            <w:tcW w:w="3421" w:type="dxa"/>
          </w:tcPr>
          <w:p w14:paraId="515E1480" w14:textId="77777777" w:rsidR="0046798B" w:rsidRDefault="00903B5C">
            <w:pPr>
              <w:pStyle w:val="TableParagraph"/>
              <w:spacing w:before="39"/>
              <w:ind w:left="159" w:right="146"/>
              <w:jc w:val="center"/>
              <w:rPr>
                <w:b/>
              </w:rPr>
            </w:pPr>
            <w:r>
              <w:rPr>
                <w:b/>
              </w:rPr>
              <w:t>Coding /</w:t>
            </w:r>
          </w:p>
          <w:p w14:paraId="214548E5" w14:textId="77777777" w:rsidR="0046798B" w:rsidRDefault="00903B5C">
            <w:pPr>
              <w:pStyle w:val="TableParagraph"/>
              <w:spacing w:before="3"/>
              <w:ind w:left="159" w:right="150"/>
              <w:jc w:val="center"/>
              <w:rPr>
                <w:b/>
              </w:rPr>
            </w:pPr>
            <w:r>
              <w:rPr>
                <w:b/>
              </w:rPr>
              <w:t>Longer Description (if available)</w:t>
            </w:r>
          </w:p>
        </w:tc>
        <w:tc>
          <w:tcPr>
            <w:tcW w:w="6482" w:type="dxa"/>
          </w:tcPr>
          <w:p w14:paraId="7A0A3D39" w14:textId="77777777" w:rsidR="0046798B" w:rsidRDefault="00903B5C">
            <w:pPr>
              <w:pStyle w:val="TableParagraph"/>
              <w:spacing w:before="164"/>
              <w:ind w:left="2852" w:right="2845"/>
              <w:jc w:val="center"/>
              <w:rPr>
                <w:b/>
              </w:rPr>
            </w:pPr>
            <w:r>
              <w:rPr>
                <w:b/>
              </w:rPr>
              <w:t>Sources</w:t>
            </w:r>
          </w:p>
        </w:tc>
      </w:tr>
      <w:tr w:rsidR="0046798B" w14:paraId="2EC81282" w14:textId="77777777">
        <w:trPr>
          <w:trHeight w:val="1930"/>
        </w:trPr>
        <w:tc>
          <w:tcPr>
            <w:tcW w:w="1711" w:type="dxa"/>
          </w:tcPr>
          <w:p w14:paraId="082A480D" w14:textId="77777777" w:rsidR="0046798B" w:rsidRDefault="0046798B">
            <w:pPr>
              <w:pStyle w:val="TableParagraph"/>
              <w:rPr>
                <w:b/>
              </w:rPr>
            </w:pPr>
          </w:p>
          <w:p w14:paraId="591ACFB2" w14:textId="77777777" w:rsidR="0046798B" w:rsidRDefault="0046798B">
            <w:pPr>
              <w:pStyle w:val="TableParagraph"/>
              <w:rPr>
                <w:b/>
              </w:rPr>
            </w:pPr>
          </w:p>
          <w:p w14:paraId="749EC99C" w14:textId="77777777" w:rsidR="0046798B" w:rsidRDefault="0046798B">
            <w:pPr>
              <w:pStyle w:val="TableParagraph"/>
              <w:spacing w:before="8"/>
              <w:rPr>
                <w:b/>
                <w:sz w:val="29"/>
              </w:rPr>
            </w:pPr>
          </w:p>
          <w:p w14:paraId="0AA95FBC" w14:textId="77777777" w:rsidR="0046798B" w:rsidRDefault="00903B5C">
            <w:pPr>
              <w:pStyle w:val="TableParagraph"/>
              <w:spacing w:before="1"/>
              <w:ind w:left="115"/>
              <w:rPr>
                <w:b/>
                <w:sz w:val="20"/>
              </w:rPr>
            </w:pPr>
            <w:r>
              <w:rPr>
                <w:b/>
                <w:sz w:val="20"/>
              </w:rPr>
              <w:t>anyid2</w:t>
            </w:r>
          </w:p>
        </w:tc>
        <w:tc>
          <w:tcPr>
            <w:tcW w:w="1596" w:type="dxa"/>
          </w:tcPr>
          <w:p w14:paraId="1ECA5EBB" w14:textId="77777777" w:rsidR="0046798B" w:rsidRDefault="0046798B">
            <w:pPr>
              <w:pStyle w:val="TableParagraph"/>
              <w:rPr>
                <w:b/>
              </w:rPr>
            </w:pPr>
          </w:p>
          <w:p w14:paraId="54A0DE96" w14:textId="77777777" w:rsidR="0046798B" w:rsidRDefault="0046798B">
            <w:pPr>
              <w:pStyle w:val="TableParagraph"/>
              <w:rPr>
                <w:b/>
              </w:rPr>
            </w:pPr>
          </w:p>
          <w:p w14:paraId="3A87F23D" w14:textId="77777777" w:rsidR="0046798B" w:rsidRDefault="0046798B">
            <w:pPr>
              <w:pStyle w:val="TableParagraph"/>
              <w:spacing w:before="8"/>
              <w:rPr>
                <w:b/>
                <w:sz w:val="19"/>
              </w:rPr>
            </w:pPr>
          </w:p>
          <w:p w14:paraId="0C64EE85" w14:textId="77777777" w:rsidR="0046798B" w:rsidRDefault="00903B5C">
            <w:pPr>
              <w:pStyle w:val="TableParagraph"/>
              <w:spacing w:before="1"/>
              <w:ind w:left="114" w:right="207"/>
              <w:rPr>
                <w:sz w:val="20"/>
              </w:rPr>
            </w:pPr>
            <w:r>
              <w:rPr>
                <w:sz w:val="20"/>
              </w:rPr>
              <w:t>Request any ID for voting</w:t>
            </w:r>
          </w:p>
        </w:tc>
        <w:tc>
          <w:tcPr>
            <w:tcW w:w="1285" w:type="dxa"/>
          </w:tcPr>
          <w:p w14:paraId="171F2E6C" w14:textId="77777777" w:rsidR="0046798B" w:rsidRDefault="0046798B">
            <w:pPr>
              <w:pStyle w:val="TableParagraph"/>
              <w:rPr>
                <w:b/>
              </w:rPr>
            </w:pPr>
          </w:p>
          <w:p w14:paraId="2244B15D" w14:textId="77777777" w:rsidR="0046798B" w:rsidRDefault="0046798B">
            <w:pPr>
              <w:pStyle w:val="TableParagraph"/>
              <w:rPr>
                <w:b/>
              </w:rPr>
            </w:pPr>
          </w:p>
          <w:p w14:paraId="4055053E" w14:textId="77777777" w:rsidR="0046798B" w:rsidRDefault="0046798B">
            <w:pPr>
              <w:pStyle w:val="TableParagraph"/>
              <w:spacing w:before="8"/>
              <w:rPr>
                <w:b/>
                <w:sz w:val="29"/>
              </w:rPr>
            </w:pPr>
          </w:p>
          <w:p w14:paraId="18B6E7CE" w14:textId="77777777" w:rsidR="0046798B" w:rsidRDefault="00903B5C">
            <w:pPr>
              <w:pStyle w:val="TableParagraph"/>
              <w:spacing w:before="1"/>
              <w:ind w:left="114"/>
              <w:rPr>
                <w:sz w:val="20"/>
              </w:rPr>
            </w:pPr>
            <w:r>
              <w:rPr>
                <w:sz w:val="20"/>
              </w:rPr>
              <w:t>1972–2013</w:t>
            </w:r>
          </w:p>
        </w:tc>
        <w:tc>
          <w:tcPr>
            <w:tcW w:w="3421" w:type="dxa"/>
          </w:tcPr>
          <w:p w14:paraId="3BE779DE" w14:textId="77777777" w:rsidR="0046798B" w:rsidRDefault="0046798B">
            <w:pPr>
              <w:pStyle w:val="TableParagraph"/>
              <w:rPr>
                <w:b/>
              </w:rPr>
            </w:pPr>
          </w:p>
          <w:p w14:paraId="3A3AFDAF" w14:textId="77777777" w:rsidR="0046798B" w:rsidRDefault="0046798B">
            <w:pPr>
              <w:pStyle w:val="TableParagraph"/>
              <w:rPr>
                <w:b/>
              </w:rPr>
            </w:pPr>
          </w:p>
          <w:p w14:paraId="0422F9B8" w14:textId="77777777" w:rsidR="0046798B" w:rsidRDefault="0046798B">
            <w:pPr>
              <w:pStyle w:val="TableParagraph"/>
              <w:spacing w:before="8"/>
              <w:rPr>
                <w:b/>
                <w:sz w:val="19"/>
              </w:rPr>
            </w:pPr>
          </w:p>
          <w:p w14:paraId="4CD2C4D6"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4CD61A09" w14:textId="77777777" w:rsidR="0046798B" w:rsidRDefault="00903B5C">
            <w:pPr>
              <w:pStyle w:val="TableParagraph"/>
              <w:spacing w:before="43"/>
              <w:ind w:left="114" w:right="139"/>
              <w:rPr>
                <w:sz w:val="20"/>
              </w:rPr>
            </w:pPr>
            <w:r>
              <w:rPr>
                <w:sz w:val="20"/>
              </w:rPr>
              <w:t xml:space="preserve">Biggers, Daniel R., and Michael J. Hanmer. “Understanding the adoption of voter identification laws in the American states.” </w:t>
            </w:r>
            <w:r>
              <w:rPr>
                <w:i/>
                <w:sz w:val="20"/>
              </w:rPr>
              <w:t xml:space="preserve">American Politics Research </w:t>
            </w:r>
            <w:r>
              <w:rPr>
                <w:sz w:val="20"/>
              </w:rPr>
              <w:t>45.4 (2017): 560-588.</w:t>
            </w:r>
          </w:p>
          <w:p w14:paraId="4CB1B25F" w14:textId="77777777" w:rsidR="0046798B" w:rsidRDefault="0046798B">
            <w:pPr>
              <w:pStyle w:val="TableParagraph"/>
              <w:rPr>
                <w:b/>
                <w:sz w:val="20"/>
              </w:rPr>
            </w:pPr>
          </w:p>
          <w:p w14:paraId="5814BDF4"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402AFF7F" w14:textId="77777777">
        <w:trPr>
          <w:trHeight w:val="1925"/>
        </w:trPr>
        <w:tc>
          <w:tcPr>
            <w:tcW w:w="1711" w:type="dxa"/>
          </w:tcPr>
          <w:p w14:paraId="4C7AC909" w14:textId="77777777" w:rsidR="0046798B" w:rsidRDefault="0046798B">
            <w:pPr>
              <w:pStyle w:val="TableParagraph"/>
              <w:rPr>
                <w:b/>
              </w:rPr>
            </w:pPr>
          </w:p>
          <w:p w14:paraId="1D7F46DF" w14:textId="77777777" w:rsidR="0046798B" w:rsidRDefault="0046798B">
            <w:pPr>
              <w:pStyle w:val="TableParagraph"/>
              <w:rPr>
                <w:b/>
              </w:rPr>
            </w:pPr>
          </w:p>
          <w:p w14:paraId="36CEA25E" w14:textId="77777777" w:rsidR="0046798B" w:rsidRDefault="0046798B">
            <w:pPr>
              <w:pStyle w:val="TableParagraph"/>
              <w:spacing w:before="4"/>
              <w:rPr>
                <w:b/>
                <w:sz w:val="29"/>
              </w:rPr>
            </w:pPr>
          </w:p>
          <w:p w14:paraId="3037C352" w14:textId="77777777" w:rsidR="0046798B" w:rsidRDefault="00903B5C">
            <w:pPr>
              <w:pStyle w:val="TableParagraph"/>
              <w:ind w:left="115"/>
              <w:rPr>
                <w:b/>
                <w:sz w:val="20"/>
              </w:rPr>
            </w:pPr>
            <w:r>
              <w:rPr>
                <w:b/>
                <w:sz w:val="20"/>
              </w:rPr>
              <w:t>anyphotoid2</w:t>
            </w:r>
          </w:p>
        </w:tc>
        <w:tc>
          <w:tcPr>
            <w:tcW w:w="1596" w:type="dxa"/>
          </w:tcPr>
          <w:p w14:paraId="664CEC17" w14:textId="77777777" w:rsidR="0046798B" w:rsidRDefault="0046798B">
            <w:pPr>
              <w:pStyle w:val="TableParagraph"/>
              <w:rPr>
                <w:b/>
              </w:rPr>
            </w:pPr>
          </w:p>
          <w:p w14:paraId="300A1D40" w14:textId="77777777" w:rsidR="0046798B" w:rsidRDefault="0046798B">
            <w:pPr>
              <w:pStyle w:val="TableParagraph"/>
              <w:rPr>
                <w:b/>
              </w:rPr>
            </w:pPr>
          </w:p>
          <w:p w14:paraId="0F10F380" w14:textId="77777777" w:rsidR="0046798B" w:rsidRDefault="0046798B">
            <w:pPr>
              <w:pStyle w:val="TableParagraph"/>
              <w:spacing w:before="4"/>
              <w:rPr>
                <w:b/>
                <w:sz w:val="19"/>
              </w:rPr>
            </w:pPr>
          </w:p>
          <w:p w14:paraId="185A2169" w14:textId="77777777" w:rsidR="0046798B" w:rsidRDefault="00903B5C">
            <w:pPr>
              <w:pStyle w:val="TableParagraph"/>
              <w:ind w:left="114"/>
              <w:rPr>
                <w:sz w:val="20"/>
              </w:rPr>
            </w:pPr>
            <w:r>
              <w:rPr>
                <w:sz w:val="20"/>
              </w:rPr>
              <w:t>Photo ID voting requirement</w:t>
            </w:r>
          </w:p>
        </w:tc>
        <w:tc>
          <w:tcPr>
            <w:tcW w:w="1285" w:type="dxa"/>
          </w:tcPr>
          <w:p w14:paraId="54C07D8E" w14:textId="77777777" w:rsidR="0046798B" w:rsidRDefault="0046798B">
            <w:pPr>
              <w:pStyle w:val="TableParagraph"/>
              <w:rPr>
                <w:b/>
              </w:rPr>
            </w:pPr>
          </w:p>
          <w:p w14:paraId="779D8434" w14:textId="77777777" w:rsidR="0046798B" w:rsidRDefault="0046798B">
            <w:pPr>
              <w:pStyle w:val="TableParagraph"/>
              <w:rPr>
                <w:b/>
              </w:rPr>
            </w:pPr>
          </w:p>
          <w:p w14:paraId="70E5B400" w14:textId="77777777" w:rsidR="0046798B" w:rsidRDefault="0046798B">
            <w:pPr>
              <w:pStyle w:val="TableParagraph"/>
              <w:spacing w:before="4"/>
              <w:rPr>
                <w:b/>
                <w:sz w:val="29"/>
              </w:rPr>
            </w:pPr>
          </w:p>
          <w:p w14:paraId="3737609B" w14:textId="77777777" w:rsidR="0046798B" w:rsidRDefault="00903B5C">
            <w:pPr>
              <w:pStyle w:val="TableParagraph"/>
              <w:ind w:left="114"/>
              <w:rPr>
                <w:sz w:val="20"/>
              </w:rPr>
            </w:pPr>
            <w:r>
              <w:rPr>
                <w:sz w:val="20"/>
              </w:rPr>
              <w:t>1972–2013</w:t>
            </w:r>
          </w:p>
        </w:tc>
        <w:tc>
          <w:tcPr>
            <w:tcW w:w="3421" w:type="dxa"/>
          </w:tcPr>
          <w:p w14:paraId="6281F6D8" w14:textId="77777777" w:rsidR="0046798B" w:rsidRDefault="0046798B">
            <w:pPr>
              <w:pStyle w:val="TableParagraph"/>
              <w:rPr>
                <w:b/>
              </w:rPr>
            </w:pPr>
          </w:p>
          <w:p w14:paraId="2EE7A2D2" w14:textId="77777777" w:rsidR="0046798B" w:rsidRDefault="0046798B">
            <w:pPr>
              <w:pStyle w:val="TableParagraph"/>
              <w:rPr>
                <w:b/>
              </w:rPr>
            </w:pPr>
          </w:p>
          <w:p w14:paraId="075E30C7" w14:textId="77777777" w:rsidR="0046798B" w:rsidRDefault="0046798B">
            <w:pPr>
              <w:pStyle w:val="TableParagraph"/>
              <w:spacing w:before="4"/>
              <w:rPr>
                <w:b/>
                <w:sz w:val="19"/>
              </w:rPr>
            </w:pPr>
          </w:p>
          <w:p w14:paraId="4381F7A4" w14:textId="77777777" w:rsidR="0046798B" w:rsidRDefault="00903B5C">
            <w:pPr>
              <w:pStyle w:val="TableParagraph"/>
              <w:ind w:left="114" w:right="1475"/>
              <w:rPr>
                <w:sz w:val="20"/>
              </w:rPr>
            </w:pPr>
            <w:r>
              <w:rPr>
                <w:sz w:val="20"/>
              </w:rPr>
              <w:t>0 = policy not adopted 1 = policy adopted</w:t>
            </w:r>
          </w:p>
        </w:tc>
        <w:tc>
          <w:tcPr>
            <w:tcW w:w="6482" w:type="dxa"/>
          </w:tcPr>
          <w:p w14:paraId="6C063501" w14:textId="77777777" w:rsidR="0046798B" w:rsidRDefault="00903B5C">
            <w:pPr>
              <w:pStyle w:val="TableParagraph"/>
              <w:spacing w:before="38"/>
              <w:ind w:left="114" w:right="139"/>
              <w:rPr>
                <w:sz w:val="20"/>
              </w:rPr>
            </w:pPr>
            <w:r>
              <w:rPr>
                <w:sz w:val="20"/>
              </w:rPr>
              <w:t xml:space="preserve">Biggers, Daniel R., and Michael J. Hanmer. “Understanding the adoption of voter identification laws in the American states.” </w:t>
            </w:r>
            <w:r>
              <w:rPr>
                <w:i/>
                <w:sz w:val="20"/>
              </w:rPr>
              <w:t xml:space="preserve">American Politics Research </w:t>
            </w:r>
            <w:r>
              <w:rPr>
                <w:sz w:val="20"/>
              </w:rPr>
              <w:t>45.4 (2017): 560-588.</w:t>
            </w:r>
          </w:p>
          <w:p w14:paraId="452C4CD1" w14:textId="77777777" w:rsidR="0046798B" w:rsidRDefault="0046798B">
            <w:pPr>
              <w:pStyle w:val="TableParagraph"/>
              <w:rPr>
                <w:b/>
                <w:sz w:val="20"/>
              </w:rPr>
            </w:pPr>
          </w:p>
          <w:p w14:paraId="4F8BC5AB"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35622A4" w14:textId="77777777">
        <w:trPr>
          <w:trHeight w:val="545"/>
        </w:trPr>
        <w:tc>
          <w:tcPr>
            <w:tcW w:w="1711" w:type="dxa"/>
          </w:tcPr>
          <w:p w14:paraId="4C9884D3" w14:textId="77777777" w:rsidR="0046798B" w:rsidRDefault="00903B5C">
            <w:pPr>
              <w:pStyle w:val="TableParagraph"/>
              <w:spacing w:before="153"/>
              <w:ind w:left="115"/>
              <w:rPr>
                <w:b/>
                <w:sz w:val="20"/>
              </w:rPr>
            </w:pPr>
            <w:r>
              <w:rPr>
                <w:b/>
                <w:sz w:val="20"/>
              </w:rPr>
              <w:t>absvot</w:t>
            </w:r>
          </w:p>
        </w:tc>
        <w:tc>
          <w:tcPr>
            <w:tcW w:w="1596" w:type="dxa"/>
          </w:tcPr>
          <w:p w14:paraId="122C7CC1" w14:textId="77777777" w:rsidR="0046798B" w:rsidRDefault="00903B5C">
            <w:pPr>
              <w:pStyle w:val="TableParagraph"/>
              <w:spacing w:before="38"/>
              <w:ind w:left="114" w:right="202"/>
              <w:rPr>
                <w:sz w:val="20"/>
              </w:rPr>
            </w:pPr>
            <w:r>
              <w:rPr>
                <w:sz w:val="20"/>
              </w:rPr>
              <w:t>Unrestricted absentee voting</w:t>
            </w:r>
          </w:p>
        </w:tc>
        <w:tc>
          <w:tcPr>
            <w:tcW w:w="1285" w:type="dxa"/>
          </w:tcPr>
          <w:p w14:paraId="4FBAB362" w14:textId="77777777" w:rsidR="0046798B" w:rsidRDefault="00903B5C">
            <w:pPr>
              <w:pStyle w:val="TableParagraph"/>
              <w:spacing w:before="153"/>
              <w:ind w:left="114"/>
              <w:rPr>
                <w:sz w:val="20"/>
              </w:rPr>
            </w:pPr>
            <w:r>
              <w:rPr>
                <w:sz w:val="20"/>
              </w:rPr>
              <w:t>1960–2003</w:t>
            </w:r>
          </w:p>
        </w:tc>
        <w:tc>
          <w:tcPr>
            <w:tcW w:w="3421" w:type="dxa"/>
          </w:tcPr>
          <w:p w14:paraId="48808414" w14:textId="77777777" w:rsidR="0046798B" w:rsidRDefault="00903B5C">
            <w:pPr>
              <w:pStyle w:val="TableParagraph"/>
              <w:spacing w:before="38"/>
              <w:ind w:left="114" w:right="333"/>
              <w:rPr>
                <w:sz w:val="20"/>
              </w:rPr>
            </w:pPr>
            <w:r>
              <w:rPr>
                <w:sz w:val="20"/>
              </w:rPr>
              <w:t>Did state adopt unrestricted absentee voting? (0 = no, 1 = yes)</w:t>
            </w:r>
          </w:p>
        </w:tc>
        <w:tc>
          <w:tcPr>
            <w:tcW w:w="6482" w:type="dxa"/>
          </w:tcPr>
          <w:p w14:paraId="0557C611" w14:textId="77777777" w:rsidR="0046798B" w:rsidRDefault="00903B5C">
            <w:pPr>
              <w:pStyle w:val="TableParagraph"/>
              <w:spacing w:before="3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332DD6ED" w14:textId="77777777">
        <w:trPr>
          <w:trHeight w:val="545"/>
        </w:trPr>
        <w:tc>
          <w:tcPr>
            <w:tcW w:w="1711" w:type="dxa"/>
          </w:tcPr>
          <w:p w14:paraId="6A7BA459" w14:textId="77777777" w:rsidR="0046798B" w:rsidRDefault="00903B5C">
            <w:pPr>
              <w:pStyle w:val="TableParagraph"/>
              <w:spacing w:before="153"/>
              <w:ind w:left="115"/>
              <w:rPr>
                <w:b/>
                <w:sz w:val="20"/>
              </w:rPr>
            </w:pPr>
            <w:r>
              <w:rPr>
                <w:b/>
                <w:sz w:val="20"/>
              </w:rPr>
              <w:t>earlvot</w:t>
            </w:r>
          </w:p>
        </w:tc>
        <w:tc>
          <w:tcPr>
            <w:tcW w:w="1596" w:type="dxa"/>
          </w:tcPr>
          <w:p w14:paraId="245CE212" w14:textId="77777777" w:rsidR="0046798B" w:rsidRDefault="00903B5C">
            <w:pPr>
              <w:pStyle w:val="TableParagraph"/>
              <w:spacing w:before="38"/>
              <w:ind w:left="114" w:right="235"/>
              <w:rPr>
                <w:sz w:val="20"/>
              </w:rPr>
            </w:pPr>
            <w:r>
              <w:rPr>
                <w:sz w:val="20"/>
              </w:rPr>
              <w:t>In-person early voting</w:t>
            </w:r>
          </w:p>
        </w:tc>
        <w:tc>
          <w:tcPr>
            <w:tcW w:w="1285" w:type="dxa"/>
          </w:tcPr>
          <w:p w14:paraId="1A598A0F" w14:textId="77777777" w:rsidR="0046798B" w:rsidRDefault="00903B5C">
            <w:pPr>
              <w:pStyle w:val="TableParagraph"/>
              <w:spacing w:before="153"/>
              <w:ind w:left="114"/>
              <w:rPr>
                <w:sz w:val="20"/>
              </w:rPr>
            </w:pPr>
            <w:r>
              <w:rPr>
                <w:sz w:val="20"/>
              </w:rPr>
              <w:t>1970–2002</w:t>
            </w:r>
          </w:p>
        </w:tc>
        <w:tc>
          <w:tcPr>
            <w:tcW w:w="3421" w:type="dxa"/>
          </w:tcPr>
          <w:p w14:paraId="781219CB" w14:textId="77777777" w:rsidR="0046798B" w:rsidRDefault="00903B5C">
            <w:pPr>
              <w:pStyle w:val="TableParagraph"/>
              <w:spacing w:before="38"/>
              <w:ind w:left="114" w:right="161"/>
              <w:rPr>
                <w:sz w:val="20"/>
              </w:rPr>
            </w:pPr>
            <w:r>
              <w:rPr>
                <w:sz w:val="20"/>
              </w:rPr>
              <w:t>Did state adopt in-person early voting? (0 = no, 1 = yes)</w:t>
            </w:r>
          </w:p>
        </w:tc>
        <w:tc>
          <w:tcPr>
            <w:tcW w:w="6482" w:type="dxa"/>
          </w:tcPr>
          <w:p w14:paraId="6974715C" w14:textId="77777777" w:rsidR="0046798B" w:rsidRDefault="00903B5C">
            <w:pPr>
              <w:pStyle w:val="TableParagraph"/>
              <w:spacing w:before="3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3F3747C3" w14:textId="77777777">
        <w:trPr>
          <w:trHeight w:val="545"/>
        </w:trPr>
        <w:tc>
          <w:tcPr>
            <w:tcW w:w="1711" w:type="dxa"/>
          </w:tcPr>
          <w:p w14:paraId="009B0949" w14:textId="77777777" w:rsidR="0046798B" w:rsidRDefault="00903B5C">
            <w:pPr>
              <w:pStyle w:val="TableParagraph"/>
              <w:spacing w:before="158"/>
              <w:ind w:left="115"/>
              <w:rPr>
                <w:b/>
                <w:sz w:val="20"/>
              </w:rPr>
            </w:pPr>
            <w:r>
              <w:rPr>
                <w:b/>
                <w:sz w:val="20"/>
              </w:rPr>
              <w:t>elecdayreg</w:t>
            </w:r>
          </w:p>
        </w:tc>
        <w:tc>
          <w:tcPr>
            <w:tcW w:w="1596" w:type="dxa"/>
          </w:tcPr>
          <w:p w14:paraId="56BFD80F" w14:textId="77777777" w:rsidR="0046798B" w:rsidRDefault="00903B5C">
            <w:pPr>
              <w:pStyle w:val="TableParagraph"/>
              <w:spacing w:before="43"/>
              <w:ind w:left="114" w:right="402"/>
              <w:rPr>
                <w:sz w:val="20"/>
              </w:rPr>
            </w:pPr>
            <w:r>
              <w:rPr>
                <w:sz w:val="20"/>
              </w:rPr>
              <w:t>Election Day registration</w:t>
            </w:r>
          </w:p>
        </w:tc>
        <w:tc>
          <w:tcPr>
            <w:tcW w:w="1285" w:type="dxa"/>
          </w:tcPr>
          <w:p w14:paraId="18D0AD8A" w14:textId="77777777" w:rsidR="0046798B" w:rsidRDefault="00903B5C">
            <w:pPr>
              <w:pStyle w:val="TableParagraph"/>
              <w:spacing w:before="158"/>
              <w:ind w:left="114"/>
              <w:rPr>
                <w:sz w:val="20"/>
              </w:rPr>
            </w:pPr>
            <w:r>
              <w:rPr>
                <w:sz w:val="20"/>
              </w:rPr>
              <w:t>1974–1994</w:t>
            </w:r>
          </w:p>
        </w:tc>
        <w:tc>
          <w:tcPr>
            <w:tcW w:w="3421" w:type="dxa"/>
          </w:tcPr>
          <w:p w14:paraId="189E5044" w14:textId="77777777" w:rsidR="0046798B" w:rsidRDefault="00903B5C">
            <w:pPr>
              <w:pStyle w:val="TableParagraph"/>
              <w:spacing w:before="43"/>
              <w:ind w:left="114" w:right="1475"/>
              <w:rPr>
                <w:sz w:val="20"/>
              </w:rPr>
            </w:pPr>
            <w:r>
              <w:rPr>
                <w:sz w:val="20"/>
              </w:rPr>
              <w:t>0 = policy not adopted 1 = policy adopted</w:t>
            </w:r>
          </w:p>
        </w:tc>
        <w:tc>
          <w:tcPr>
            <w:tcW w:w="6482" w:type="dxa"/>
          </w:tcPr>
          <w:p w14:paraId="0C79FEF9" w14:textId="77777777" w:rsidR="0046798B" w:rsidRDefault="00903B5C">
            <w:pPr>
              <w:pStyle w:val="TableParagraph"/>
              <w:spacing w:before="4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38C2E399" w14:textId="77777777">
        <w:trPr>
          <w:trHeight w:val="775"/>
        </w:trPr>
        <w:tc>
          <w:tcPr>
            <w:tcW w:w="1711" w:type="dxa"/>
          </w:tcPr>
          <w:p w14:paraId="46C8CB3F" w14:textId="77777777" w:rsidR="0046798B" w:rsidRDefault="0046798B">
            <w:pPr>
              <w:pStyle w:val="TableParagraph"/>
              <w:spacing w:before="8"/>
              <w:rPr>
                <w:b/>
                <w:sz w:val="23"/>
              </w:rPr>
            </w:pPr>
          </w:p>
          <w:p w14:paraId="202A0DB3" w14:textId="77777777" w:rsidR="0046798B" w:rsidRDefault="00903B5C">
            <w:pPr>
              <w:pStyle w:val="TableParagraph"/>
              <w:ind w:left="115"/>
              <w:rPr>
                <w:b/>
                <w:sz w:val="20"/>
              </w:rPr>
            </w:pPr>
            <w:r>
              <w:rPr>
                <w:b/>
                <w:sz w:val="20"/>
              </w:rPr>
              <w:t>mailreg</w:t>
            </w:r>
          </w:p>
        </w:tc>
        <w:tc>
          <w:tcPr>
            <w:tcW w:w="1596" w:type="dxa"/>
          </w:tcPr>
          <w:p w14:paraId="085C4F64" w14:textId="77777777" w:rsidR="0046798B" w:rsidRDefault="00903B5C">
            <w:pPr>
              <w:pStyle w:val="TableParagraph"/>
              <w:spacing w:before="43"/>
              <w:ind w:left="114" w:right="291"/>
              <w:rPr>
                <w:sz w:val="20"/>
              </w:rPr>
            </w:pPr>
            <w:r>
              <w:rPr>
                <w:sz w:val="20"/>
              </w:rPr>
              <w:t>Voter registration by mail</w:t>
            </w:r>
          </w:p>
        </w:tc>
        <w:tc>
          <w:tcPr>
            <w:tcW w:w="1285" w:type="dxa"/>
          </w:tcPr>
          <w:p w14:paraId="585E6E1E" w14:textId="77777777" w:rsidR="0046798B" w:rsidRDefault="0046798B">
            <w:pPr>
              <w:pStyle w:val="TableParagraph"/>
              <w:spacing w:before="8"/>
              <w:rPr>
                <w:b/>
                <w:sz w:val="23"/>
              </w:rPr>
            </w:pPr>
          </w:p>
          <w:p w14:paraId="39B356FB" w14:textId="77777777" w:rsidR="0046798B" w:rsidRDefault="00903B5C">
            <w:pPr>
              <w:pStyle w:val="TableParagraph"/>
              <w:ind w:left="114"/>
              <w:rPr>
                <w:sz w:val="20"/>
              </w:rPr>
            </w:pPr>
            <w:r>
              <w:rPr>
                <w:sz w:val="20"/>
              </w:rPr>
              <w:t>1972–1995</w:t>
            </w:r>
          </w:p>
        </w:tc>
        <w:tc>
          <w:tcPr>
            <w:tcW w:w="3421" w:type="dxa"/>
          </w:tcPr>
          <w:p w14:paraId="301CAC1C" w14:textId="77777777" w:rsidR="0046798B" w:rsidRDefault="00903B5C">
            <w:pPr>
              <w:pStyle w:val="TableParagraph"/>
              <w:spacing w:before="158"/>
              <w:ind w:left="114" w:right="394"/>
              <w:rPr>
                <w:sz w:val="20"/>
              </w:rPr>
            </w:pPr>
            <w:r>
              <w:rPr>
                <w:sz w:val="20"/>
              </w:rPr>
              <w:t>Did state adopt voter registration by mail? (0 = no, 1 = yes)</w:t>
            </w:r>
          </w:p>
        </w:tc>
        <w:tc>
          <w:tcPr>
            <w:tcW w:w="6482" w:type="dxa"/>
          </w:tcPr>
          <w:p w14:paraId="5703683D" w14:textId="77777777" w:rsidR="0046798B" w:rsidRDefault="00903B5C">
            <w:pPr>
              <w:pStyle w:val="TableParagraph"/>
              <w:spacing w:before="15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60ED829C" w14:textId="77777777">
        <w:trPr>
          <w:trHeight w:val="1010"/>
        </w:trPr>
        <w:tc>
          <w:tcPr>
            <w:tcW w:w="1711" w:type="dxa"/>
          </w:tcPr>
          <w:p w14:paraId="27A22C97" w14:textId="77777777" w:rsidR="0046798B" w:rsidRDefault="0046798B">
            <w:pPr>
              <w:pStyle w:val="TableParagraph"/>
              <w:rPr>
                <w:b/>
              </w:rPr>
            </w:pPr>
          </w:p>
          <w:p w14:paraId="139565B0" w14:textId="77777777" w:rsidR="0046798B" w:rsidRDefault="00903B5C">
            <w:pPr>
              <w:pStyle w:val="TableParagraph"/>
              <w:spacing w:before="135"/>
              <w:ind w:left="115"/>
              <w:rPr>
                <w:b/>
                <w:sz w:val="20"/>
              </w:rPr>
            </w:pPr>
            <w:r>
              <w:rPr>
                <w:b/>
                <w:sz w:val="20"/>
              </w:rPr>
              <w:t>motorvoter</w:t>
            </w:r>
          </w:p>
        </w:tc>
        <w:tc>
          <w:tcPr>
            <w:tcW w:w="1596" w:type="dxa"/>
          </w:tcPr>
          <w:p w14:paraId="656AD9B1" w14:textId="77777777" w:rsidR="0046798B" w:rsidRDefault="00903B5C">
            <w:pPr>
              <w:pStyle w:val="TableParagraph"/>
              <w:spacing w:before="43"/>
              <w:ind w:left="114" w:right="135"/>
              <w:rPr>
                <w:sz w:val="20"/>
              </w:rPr>
            </w:pPr>
            <w:r>
              <w:rPr>
                <w:sz w:val="20"/>
              </w:rPr>
              <w:t>Voter registration with driver’s license renewal</w:t>
            </w:r>
          </w:p>
        </w:tc>
        <w:tc>
          <w:tcPr>
            <w:tcW w:w="1285" w:type="dxa"/>
          </w:tcPr>
          <w:p w14:paraId="4F2E4373" w14:textId="77777777" w:rsidR="0046798B" w:rsidRDefault="0046798B">
            <w:pPr>
              <w:pStyle w:val="TableParagraph"/>
              <w:rPr>
                <w:b/>
              </w:rPr>
            </w:pPr>
          </w:p>
          <w:p w14:paraId="3CDE7F0D" w14:textId="77777777" w:rsidR="0046798B" w:rsidRDefault="00903B5C">
            <w:pPr>
              <w:pStyle w:val="TableParagraph"/>
              <w:spacing w:before="135"/>
              <w:ind w:left="114"/>
              <w:rPr>
                <w:sz w:val="20"/>
              </w:rPr>
            </w:pPr>
            <w:r>
              <w:rPr>
                <w:sz w:val="20"/>
              </w:rPr>
              <w:t>1976–1995</w:t>
            </w:r>
          </w:p>
        </w:tc>
        <w:tc>
          <w:tcPr>
            <w:tcW w:w="3421" w:type="dxa"/>
          </w:tcPr>
          <w:p w14:paraId="3EBCDB42" w14:textId="77777777" w:rsidR="0046798B" w:rsidRDefault="00903B5C">
            <w:pPr>
              <w:pStyle w:val="TableParagraph"/>
              <w:spacing w:before="158"/>
              <w:ind w:left="114" w:right="254"/>
              <w:jc w:val="both"/>
              <w:rPr>
                <w:sz w:val="20"/>
              </w:rPr>
            </w:pPr>
            <w:r>
              <w:rPr>
                <w:sz w:val="20"/>
              </w:rPr>
              <w:t>Did state adopt voter registration with driver’s license renewal? (0 = no, 1 = yes)</w:t>
            </w:r>
          </w:p>
        </w:tc>
        <w:tc>
          <w:tcPr>
            <w:tcW w:w="6482" w:type="dxa"/>
          </w:tcPr>
          <w:p w14:paraId="6E343C07" w14:textId="77777777" w:rsidR="0046798B" w:rsidRDefault="0046798B">
            <w:pPr>
              <w:pStyle w:val="TableParagraph"/>
              <w:spacing w:before="8"/>
              <w:rPr>
                <w:b/>
                <w:sz w:val="23"/>
              </w:rPr>
            </w:pPr>
          </w:p>
          <w:p w14:paraId="64EFDC91" w14:textId="77777777" w:rsidR="0046798B" w:rsidRDefault="00903B5C">
            <w:pPr>
              <w:pStyle w:val="TableParagraph"/>
              <w:spacing w:before="1"/>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bl>
    <w:p w14:paraId="12B89602" w14:textId="77777777" w:rsidR="0046798B" w:rsidRDefault="0046798B">
      <w:pPr>
        <w:rPr>
          <w:sz w:val="20"/>
        </w:rPr>
        <w:sectPr w:rsidR="0046798B">
          <w:pgSz w:w="15840" w:h="12240" w:orient="landscape"/>
          <w:pgMar w:top="1220" w:right="300" w:bottom="980" w:left="820" w:header="730" w:footer="787" w:gutter="0"/>
          <w:cols w:space="720"/>
        </w:sectPr>
      </w:pPr>
    </w:p>
    <w:p w14:paraId="4E5F7D74"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BE519C8" w14:textId="77777777">
        <w:trPr>
          <w:trHeight w:val="542"/>
        </w:trPr>
        <w:tc>
          <w:tcPr>
            <w:tcW w:w="1711" w:type="dxa"/>
            <w:tcBorders>
              <w:bottom w:val="dotted" w:sz="6" w:space="0" w:color="BEBEBE"/>
            </w:tcBorders>
          </w:tcPr>
          <w:p w14:paraId="405CA3DB" w14:textId="77777777" w:rsidR="0046798B" w:rsidRDefault="00903B5C">
            <w:pPr>
              <w:pStyle w:val="TableParagraph"/>
              <w:spacing w:before="158"/>
              <w:ind w:left="115"/>
              <w:rPr>
                <w:b/>
                <w:sz w:val="20"/>
              </w:rPr>
            </w:pPr>
            <w:r>
              <w:rPr>
                <w:b/>
                <w:sz w:val="20"/>
              </w:rPr>
              <w:t>pubcamfun</w:t>
            </w:r>
          </w:p>
        </w:tc>
        <w:tc>
          <w:tcPr>
            <w:tcW w:w="1596" w:type="dxa"/>
            <w:tcBorders>
              <w:bottom w:val="dotted" w:sz="6" w:space="0" w:color="BEBEBE"/>
            </w:tcBorders>
          </w:tcPr>
          <w:p w14:paraId="3D06E4CC" w14:textId="77777777" w:rsidR="0046798B" w:rsidRDefault="00903B5C">
            <w:pPr>
              <w:pStyle w:val="TableParagraph"/>
              <w:spacing w:before="43"/>
              <w:ind w:left="114" w:right="113"/>
              <w:rPr>
                <w:sz w:val="20"/>
              </w:rPr>
            </w:pPr>
            <w:r>
              <w:rPr>
                <w:sz w:val="20"/>
              </w:rPr>
              <w:t>Public campaign funding</w:t>
            </w:r>
          </w:p>
        </w:tc>
        <w:tc>
          <w:tcPr>
            <w:tcW w:w="1285" w:type="dxa"/>
            <w:tcBorders>
              <w:bottom w:val="dotted" w:sz="6" w:space="0" w:color="BEBEBE"/>
            </w:tcBorders>
          </w:tcPr>
          <w:p w14:paraId="4C843096" w14:textId="77777777" w:rsidR="0046798B" w:rsidRDefault="00903B5C">
            <w:pPr>
              <w:pStyle w:val="TableParagraph"/>
              <w:spacing w:before="158"/>
              <w:ind w:left="114"/>
              <w:rPr>
                <w:sz w:val="20"/>
              </w:rPr>
            </w:pPr>
            <w:r>
              <w:rPr>
                <w:sz w:val="20"/>
              </w:rPr>
              <w:t>1973–1987</w:t>
            </w:r>
          </w:p>
        </w:tc>
        <w:tc>
          <w:tcPr>
            <w:tcW w:w="3421" w:type="dxa"/>
            <w:tcBorders>
              <w:bottom w:val="dotted" w:sz="6" w:space="0" w:color="BEBEBE"/>
            </w:tcBorders>
          </w:tcPr>
          <w:p w14:paraId="0648D977" w14:textId="77777777" w:rsidR="0046798B" w:rsidRDefault="00903B5C">
            <w:pPr>
              <w:pStyle w:val="TableParagraph"/>
              <w:spacing w:before="43"/>
              <w:ind w:left="114" w:right="688"/>
              <w:rPr>
                <w:sz w:val="20"/>
              </w:rPr>
            </w:pPr>
            <w:r>
              <w:rPr>
                <w:sz w:val="20"/>
              </w:rPr>
              <w:t>Did state adopt public campaign funding? (0 = no, 1 = yes)</w:t>
            </w:r>
          </w:p>
        </w:tc>
        <w:tc>
          <w:tcPr>
            <w:tcW w:w="6482" w:type="dxa"/>
            <w:tcBorders>
              <w:bottom w:val="dotted" w:sz="6" w:space="0" w:color="BEBEBE"/>
            </w:tcBorders>
          </w:tcPr>
          <w:p w14:paraId="33CB5E15" w14:textId="77777777" w:rsidR="0046798B" w:rsidRDefault="00903B5C">
            <w:pPr>
              <w:pStyle w:val="TableParagraph"/>
              <w:spacing w:before="4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62E815E2" w14:textId="77777777">
        <w:trPr>
          <w:trHeight w:val="4914"/>
        </w:trPr>
        <w:tc>
          <w:tcPr>
            <w:tcW w:w="1711" w:type="dxa"/>
            <w:tcBorders>
              <w:top w:val="dotted" w:sz="6" w:space="0" w:color="BEBEBE"/>
            </w:tcBorders>
          </w:tcPr>
          <w:p w14:paraId="3F1AD271" w14:textId="77777777" w:rsidR="0046798B" w:rsidRDefault="0046798B">
            <w:pPr>
              <w:pStyle w:val="TableParagraph"/>
            </w:pPr>
          </w:p>
          <w:p w14:paraId="03080927" w14:textId="77777777" w:rsidR="0046798B" w:rsidRDefault="0046798B">
            <w:pPr>
              <w:pStyle w:val="TableParagraph"/>
            </w:pPr>
          </w:p>
          <w:p w14:paraId="6653D74F" w14:textId="77777777" w:rsidR="0046798B" w:rsidRDefault="0046798B">
            <w:pPr>
              <w:pStyle w:val="TableParagraph"/>
            </w:pPr>
          </w:p>
          <w:p w14:paraId="3977F01B" w14:textId="77777777" w:rsidR="0046798B" w:rsidRDefault="0046798B">
            <w:pPr>
              <w:pStyle w:val="TableParagraph"/>
            </w:pPr>
          </w:p>
          <w:p w14:paraId="494316B2" w14:textId="77777777" w:rsidR="0046798B" w:rsidRDefault="0046798B">
            <w:pPr>
              <w:pStyle w:val="TableParagraph"/>
            </w:pPr>
          </w:p>
          <w:p w14:paraId="2DCA912B" w14:textId="77777777" w:rsidR="0046798B" w:rsidRDefault="0046798B">
            <w:pPr>
              <w:pStyle w:val="TableParagraph"/>
            </w:pPr>
          </w:p>
          <w:p w14:paraId="4F2FE4AE" w14:textId="77777777" w:rsidR="0046798B" w:rsidRDefault="0046798B">
            <w:pPr>
              <w:pStyle w:val="TableParagraph"/>
            </w:pPr>
          </w:p>
          <w:p w14:paraId="7B64BAAE" w14:textId="77777777" w:rsidR="0046798B" w:rsidRDefault="0046798B">
            <w:pPr>
              <w:pStyle w:val="TableParagraph"/>
            </w:pPr>
          </w:p>
          <w:p w14:paraId="625A8C63" w14:textId="77777777" w:rsidR="0046798B" w:rsidRDefault="0046798B">
            <w:pPr>
              <w:pStyle w:val="TableParagraph"/>
              <w:spacing w:before="7"/>
              <w:rPr>
                <w:sz w:val="27"/>
              </w:rPr>
            </w:pPr>
          </w:p>
          <w:p w14:paraId="46C89073" w14:textId="77777777" w:rsidR="0046798B" w:rsidRDefault="00903B5C">
            <w:pPr>
              <w:pStyle w:val="TableParagraph"/>
              <w:ind w:left="115"/>
              <w:rPr>
                <w:b/>
                <w:sz w:val="20"/>
              </w:rPr>
            </w:pPr>
            <w:r>
              <w:rPr>
                <w:b/>
                <w:sz w:val="20"/>
              </w:rPr>
              <w:t>nofelons</w:t>
            </w:r>
          </w:p>
        </w:tc>
        <w:tc>
          <w:tcPr>
            <w:tcW w:w="1596" w:type="dxa"/>
            <w:tcBorders>
              <w:top w:val="dotted" w:sz="6" w:space="0" w:color="BEBEBE"/>
            </w:tcBorders>
          </w:tcPr>
          <w:p w14:paraId="175A677E" w14:textId="77777777" w:rsidR="0046798B" w:rsidRDefault="0046798B">
            <w:pPr>
              <w:pStyle w:val="TableParagraph"/>
            </w:pPr>
          </w:p>
          <w:p w14:paraId="02410CD7" w14:textId="77777777" w:rsidR="0046798B" w:rsidRDefault="0046798B">
            <w:pPr>
              <w:pStyle w:val="TableParagraph"/>
            </w:pPr>
          </w:p>
          <w:p w14:paraId="14965333" w14:textId="77777777" w:rsidR="0046798B" w:rsidRDefault="0046798B">
            <w:pPr>
              <w:pStyle w:val="TableParagraph"/>
            </w:pPr>
          </w:p>
          <w:p w14:paraId="66027CC1" w14:textId="77777777" w:rsidR="0046798B" w:rsidRDefault="0046798B">
            <w:pPr>
              <w:pStyle w:val="TableParagraph"/>
            </w:pPr>
          </w:p>
          <w:p w14:paraId="0878F5EC" w14:textId="77777777" w:rsidR="0046798B" w:rsidRDefault="0046798B">
            <w:pPr>
              <w:pStyle w:val="TableParagraph"/>
            </w:pPr>
          </w:p>
          <w:p w14:paraId="237F113D" w14:textId="77777777" w:rsidR="0046798B" w:rsidRDefault="0046798B">
            <w:pPr>
              <w:pStyle w:val="TableParagraph"/>
            </w:pPr>
          </w:p>
          <w:p w14:paraId="5CC514F8" w14:textId="77777777" w:rsidR="0046798B" w:rsidRDefault="0046798B">
            <w:pPr>
              <w:pStyle w:val="TableParagraph"/>
            </w:pPr>
          </w:p>
          <w:p w14:paraId="0FC256B2" w14:textId="77777777" w:rsidR="0046798B" w:rsidRDefault="0046798B">
            <w:pPr>
              <w:pStyle w:val="TableParagraph"/>
              <w:spacing w:before="7"/>
              <w:rPr>
                <w:sz w:val="29"/>
              </w:rPr>
            </w:pPr>
          </w:p>
          <w:p w14:paraId="2D84B405" w14:textId="77777777" w:rsidR="0046798B" w:rsidRDefault="00903B5C">
            <w:pPr>
              <w:pStyle w:val="TableParagraph"/>
              <w:ind w:left="114" w:right="157"/>
              <w:rPr>
                <w:sz w:val="20"/>
              </w:rPr>
            </w:pPr>
            <w:r>
              <w:rPr>
                <w:sz w:val="20"/>
              </w:rPr>
              <w:t>Number of felons ineligible to vote</w:t>
            </w:r>
          </w:p>
        </w:tc>
        <w:tc>
          <w:tcPr>
            <w:tcW w:w="1285" w:type="dxa"/>
            <w:tcBorders>
              <w:top w:val="dotted" w:sz="6" w:space="0" w:color="BEBEBE"/>
            </w:tcBorders>
          </w:tcPr>
          <w:p w14:paraId="56FAF6FC" w14:textId="77777777" w:rsidR="0046798B" w:rsidRDefault="0046798B">
            <w:pPr>
              <w:pStyle w:val="TableParagraph"/>
            </w:pPr>
          </w:p>
          <w:p w14:paraId="74E21336" w14:textId="77777777" w:rsidR="0046798B" w:rsidRDefault="0046798B">
            <w:pPr>
              <w:pStyle w:val="TableParagraph"/>
            </w:pPr>
          </w:p>
          <w:p w14:paraId="2007ED83" w14:textId="77777777" w:rsidR="0046798B" w:rsidRDefault="0046798B">
            <w:pPr>
              <w:pStyle w:val="TableParagraph"/>
            </w:pPr>
          </w:p>
          <w:p w14:paraId="6B2F8DD5" w14:textId="77777777" w:rsidR="0046798B" w:rsidRDefault="0046798B">
            <w:pPr>
              <w:pStyle w:val="TableParagraph"/>
            </w:pPr>
          </w:p>
          <w:p w14:paraId="1A611D04" w14:textId="77777777" w:rsidR="0046798B" w:rsidRDefault="0046798B">
            <w:pPr>
              <w:pStyle w:val="TableParagraph"/>
            </w:pPr>
          </w:p>
          <w:p w14:paraId="1AA2E704" w14:textId="77777777" w:rsidR="0046798B" w:rsidRDefault="0046798B">
            <w:pPr>
              <w:pStyle w:val="TableParagraph"/>
            </w:pPr>
          </w:p>
          <w:p w14:paraId="76853FA5" w14:textId="77777777" w:rsidR="0046798B" w:rsidRDefault="0046798B">
            <w:pPr>
              <w:pStyle w:val="TableParagraph"/>
            </w:pPr>
          </w:p>
          <w:p w14:paraId="70E789CF" w14:textId="77777777" w:rsidR="0046798B" w:rsidRDefault="0046798B">
            <w:pPr>
              <w:pStyle w:val="TableParagraph"/>
            </w:pPr>
          </w:p>
          <w:p w14:paraId="7D9EC78D" w14:textId="77777777" w:rsidR="0046798B" w:rsidRDefault="0046798B">
            <w:pPr>
              <w:pStyle w:val="TableParagraph"/>
              <w:spacing w:before="7"/>
              <w:rPr>
                <w:sz w:val="27"/>
              </w:rPr>
            </w:pPr>
          </w:p>
          <w:p w14:paraId="4F5A6814" w14:textId="77777777" w:rsidR="0046798B" w:rsidRDefault="00903B5C">
            <w:pPr>
              <w:pStyle w:val="TableParagraph"/>
              <w:ind w:left="114"/>
              <w:rPr>
                <w:sz w:val="20"/>
              </w:rPr>
            </w:pPr>
            <w:r>
              <w:rPr>
                <w:sz w:val="20"/>
              </w:rPr>
              <w:t>1980–2018</w:t>
            </w:r>
          </w:p>
        </w:tc>
        <w:tc>
          <w:tcPr>
            <w:tcW w:w="3421" w:type="dxa"/>
            <w:tcBorders>
              <w:top w:val="dotted" w:sz="6" w:space="0" w:color="BEBEBE"/>
            </w:tcBorders>
          </w:tcPr>
          <w:p w14:paraId="5A57AAD8" w14:textId="77777777" w:rsidR="0046798B" w:rsidRDefault="0046798B">
            <w:pPr>
              <w:pStyle w:val="TableParagraph"/>
            </w:pPr>
          </w:p>
          <w:p w14:paraId="704209AA" w14:textId="77777777" w:rsidR="0046798B" w:rsidRDefault="0046798B">
            <w:pPr>
              <w:pStyle w:val="TableParagraph"/>
            </w:pPr>
          </w:p>
          <w:p w14:paraId="3079BFDC" w14:textId="77777777" w:rsidR="0046798B" w:rsidRDefault="0046798B">
            <w:pPr>
              <w:pStyle w:val="TableParagraph"/>
            </w:pPr>
          </w:p>
          <w:p w14:paraId="49C23390" w14:textId="77777777" w:rsidR="0046798B" w:rsidRDefault="0046798B">
            <w:pPr>
              <w:pStyle w:val="TableParagraph"/>
            </w:pPr>
          </w:p>
          <w:p w14:paraId="3A40F095" w14:textId="77777777" w:rsidR="0046798B" w:rsidRDefault="0046798B">
            <w:pPr>
              <w:pStyle w:val="TableParagraph"/>
            </w:pPr>
          </w:p>
          <w:p w14:paraId="685A52BA" w14:textId="77777777" w:rsidR="0046798B" w:rsidRDefault="0046798B">
            <w:pPr>
              <w:pStyle w:val="TableParagraph"/>
            </w:pPr>
          </w:p>
          <w:p w14:paraId="6C249829" w14:textId="77777777" w:rsidR="0046798B" w:rsidRDefault="0046798B">
            <w:pPr>
              <w:pStyle w:val="TableParagraph"/>
            </w:pPr>
          </w:p>
          <w:p w14:paraId="52EE60FE" w14:textId="77777777" w:rsidR="0046798B" w:rsidRDefault="0046798B">
            <w:pPr>
              <w:pStyle w:val="TableParagraph"/>
            </w:pPr>
          </w:p>
          <w:p w14:paraId="1E0BD31B" w14:textId="77777777" w:rsidR="0046798B" w:rsidRDefault="0046798B">
            <w:pPr>
              <w:pStyle w:val="TableParagraph"/>
              <w:spacing w:before="7"/>
              <w:rPr>
                <w:sz w:val="17"/>
              </w:rPr>
            </w:pPr>
          </w:p>
          <w:p w14:paraId="46AE7CB0" w14:textId="77777777" w:rsidR="0046798B" w:rsidRDefault="00903B5C">
            <w:pPr>
              <w:pStyle w:val="TableParagraph"/>
              <w:ind w:left="114" w:right="455"/>
              <w:rPr>
                <w:sz w:val="20"/>
              </w:rPr>
            </w:pPr>
            <w:r>
              <w:rPr>
                <w:sz w:val="20"/>
              </w:rPr>
              <w:t>The total number of felons who are ineligible to vote.</w:t>
            </w:r>
          </w:p>
        </w:tc>
        <w:tc>
          <w:tcPr>
            <w:tcW w:w="6482" w:type="dxa"/>
            <w:tcBorders>
              <w:top w:val="dotted" w:sz="6" w:space="0" w:color="BEBEBE"/>
            </w:tcBorders>
          </w:tcPr>
          <w:p w14:paraId="2EF24986" w14:textId="77777777" w:rsidR="0046798B" w:rsidRDefault="00903B5C">
            <w:pPr>
              <w:pStyle w:val="TableParagraph"/>
              <w:spacing w:before="40"/>
              <w:ind w:left="114" w:right="316"/>
              <w:rPr>
                <w:sz w:val="20"/>
              </w:rPr>
            </w:pPr>
            <w:r>
              <w:rPr>
                <w:sz w:val="20"/>
              </w:rPr>
              <w:t xml:space="preserve">McDonald, Michael P. United States Election Project. Turnout 1980–2012. </w:t>
            </w:r>
            <w:hyperlink r:id="rId570">
              <w:r>
                <w:rPr>
                  <w:sz w:val="20"/>
                  <w:u w:val="single"/>
                </w:rPr>
                <w:t>http://www.electproject.org/</w:t>
              </w:r>
            </w:hyperlink>
          </w:p>
          <w:p w14:paraId="1FFB6E80" w14:textId="77777777" w:rsidR="0046798B" w:rsidRDefault="0046798B">
            <w:pPr>
              <w:pStyle w:val="TableParagraph"/>
              <w:rPr>
                <w:sz w:val="20"/>
              </w:rPr>
            </w:pPr>
          </w:p>
          <w:p w14:paraId="0BCAEFA8" w14:textId="77777777" w:rsidR="0046798B" w:rsidRDefault="00903B5C">
            <w:pPr>
              <w:pStyle w:val="TableParagraph"/>
              <w:spacing w:before="1"/>
              <w:ind w:left="114" w:right="267"/>
              <w:rPr>
                <w:sz w:val="20"/>
              </w:rPr>
            </w:pPr>
            <w:r>
              <w:rPr>
                <w:sz w:val="20"/>
              </w:rPr>
              <w:t xml:space="preserve">Originally provided by Stateminder: A data visualization project from Georgetown University. </w:t>
            </w:r>
            <w:hyperlink r:id="rId571">
              <w:r>
                <w:rPr>
                  <w:sz w:val="20"/>
                </w:rPr>
                <w:t>www.stateminder.org</w:t>
              </w:r>
            </w:hyperlink>
            <w:r>
              <w:rPr>
                <w:sz w:val="20"/>
              </w:rPr>
              <w:t xml:space="preserve"> (no longer accessible online)</w:t>
            </w:r>
          </w:p>
          <w:p w14:paraId="0358BAA1" w14:textId="77777777" w:rsidR="0046798B" w:rsidRDefault="0046798B">
            <w:pPr>
              <w:pStyle w:val="TableParagraph"/>
              <w:rPr>
                <w:sz w:val="20"/>
              </w:rPr>
            </w:pPr>
          </w:p>
          <w:p w14:paraId="7DFC679C" w14:textId="77777777" w:rsidR="0046798B" w:rsidRDefault="00903B5C">
            <w:pPr>
              <w:pStyle w:val="TableParagraph"/>
              <w:ind w:left="114" w:right="206"/>
              <w:rPr>
                <w:sz w:val="20"/>
              </w:rPr>
            </w:pPr>
            <w:r>
              <w:rPr>
                <w:sz w:val="20"/>
              </w:rPr>
              <w:t>Notes: The number of ineligible felons depends on state law. Some states permanently disfranchise felons and a few let even prisoners vote. Statistics drawn from various Department of Justice reports which detail the prison, probation, and parole population of the United States are matched with these state laws to estimate the number of ineligible felons.</w:t>
            </w:r>
          </w:p>
          <w:p w14:paraId="571FC38E" w14:textId="77777777" w:rsidR="0046798B" w:rsidRDefault="0046798B">
            <w:pPr>
              <w:pStyle w:val="TableParagraph"/>
              <w:spacing w:before="1"/>
              <w:rPr>
                <w:sz w:val="20"/>
              </w:rPr>
            </w:pPr>
          </w:p>
          <w:p w14:paraId="789E1066" w14:textId="77777777" w:rsidR="0046798B" w:rsidRDefault="00903B5C">
            <w:pPr>
              <w:pStyle w:val="TableParagraph"/>
              <w:ind w:left="114" w:right="115"/>
              <w:rPr>
                <w:sz w:val="20"/>
              </w:rPr>
            </w:pPr>
            <w:r>
              <w:rPr>
                <w:sz w:val="20"/>
              </w:rPr>
              <w:t>The Department of Justice Bureau, Office of Justice Statistics releases numbers from Jan. 1 through Dec. 31 for a given year. Author uses the most approximate Jan. 1 values, where available, since these include revised Dec. 31 data from the previous year. Author assumes all Prisoners and Parolees are felons, and half of Probationers are felons (this estimate is drawn from DOJ reports; starting in 2011, DOJ reports the number of persons on probation who are felons). A blank or zero indicates the category of felons is allowed to vote in that state. For the United States totals, author includes persons in the federal corrections system.</w:t>
            </w:r>
          </w:p>
        </w:tc>
      </w:tr>
      <w:tr w:rsidR="0046798B" w14:paraId="18C56E99" w14:textId="77777777">
        <w:trPr>
          <w:trHeight w:val="1695"/>
        </w:trPr>
        <w:tc>
          <w:tcPr>
            <w:tcW w:w="1711" w:type="dxa"/>
          </w:tcPr>
          <w:p w14:paraId="7C9C709D" w14:textId="77777777" w:rsidR="0046798B" w:rsidRDefault="0046798B">
            <w:pPr>
              <w:pStyle w:val="TableParagraph"/>
            </w:pPr>
          </w:p>
          <w:p w14:paraId="18993E5C" w14:textId="77777777" w:rsidR="0046798B" w:rsidRDefault="0046798B">
            <w:pPr>
              <w:pStyle w:val="TableParagraph"/>
            </w:pPr>
          </w:p>
          <w:p w14:paraId="49FA04B2" w14:textId="77777777" w:rsidR="0046798B" w:rsidRDefault="0046798B">
            <w:pPr>
              <w:pStyle w:val="TableParagraph"/>
              <w:spacing w:before="8"/>
              <w:rPr>
                <w:sz w:val="19"/>
              </w:rPr>
            </w:pPr>
          </w:p>
          <w:p w14:paraId="17930020" w14:textId="77777777" w:rsidR="0046798B" w:rsidRDefault="00903B5C">
            <w:pPr>
              <w:pStyle w:val="TableParagraph"/>
              <w:spacing w:before="1"/>
              <w:ind w:left="115"/>
              <w:rPr>
                <w:b/>
                <w:sz w:val="20"/>
              </w:rPr>
            </w:pPr>
            <w:r>
              <w:rPr>
                <w:b/>
                <w:sz w:val="20"/>
              </w:rPr>
              <w:t>noofvotes</w:t>
            </w:r>
          </w:p>
        </w:tc>
        <w:tc>
          <w:tcPr>
            <w:tcW w:w="1596" w:type="dxa"/>
          </w:tcPr>
          <w:p w14:paraId="7D788ED5" w14:textId="77777777" w:rsidR="0046798B" w:rsidRDefault="0046798B">
            <w:pPr>
              <w:pStyle w:val="TableParagraph"/>
            </w:pPr>
          </w:p>
          <w:p w14:paraId="150C7EF6" w14:textId="77777777" w:rsidR="0046798B" w:rsidRDefault="0046798B">
            <w:pPr>
              <w:pStyle w:val="TableParagraph"/>
              <w:spacing w:before="8"/>
              <w:rPr>
                <w:sz w:val="21"/>
              </w:rPr>
            </w:pPr>
          </w:p>
          <w:p w14:paraId="1B6F6754" w14:textId="77777777" w:rsidR="0046798B" w:rsidRDefault="00903B5C">
            <w:pPr>
              <w:pStyle w:val="TableParagraph"/>
              <w:spacing w:before="1"/>
              <w:ind w:left="114" w:right="107"/>
              <w:rPr>
                <w:sz w:val="20"/>
              </w:rPr>
            </w:pPr>
            <w:r>
              <w:rPr>
                <w:sz w:val="20"/>
              </w:rPr>
              <w:t>Number of votes in general election</w:t>
            </w:r>
          </w:p>
        </w:tc>
        <w:tc>
          <w:tcPr>
            <w:tcW w:w="1285" w:type="dxa"/>
          </w:tcPr>
          <w:p w14:paraId="1BDBD1B1" w14:textId="77777777" w:rsidR="0046798B" w:rsidRDefault="0046798B">
            <w:pPr>
              <w:pStyle w:val="TableParagraph"/>
            </w:pPr>
          </w:p>
          <w:p w14:paraId="5B08346A" w14:textId="77777777" w:rsidR="0046798B" w:rsidRDefault="0046798B">
            <w:pPr>
              <w:pStyle w:val="TableParagraph"/>
            </w:pPr>
          </w:p>
          <w:p w14:paraId="64CF9A6D" w14:textId="77777777" w:rsidR="0046798B" w:rsidRDefault="0046798B">
            <w:pPr>
              <w:pStyle w:val="TableParagraph"/>
              <w:spacing w:before="8"/>
              <w:rPr>
                <w:sz w:val="19"/>
              </w:rPr>
            </w:pPr>
          </w:p>
          <w:p w14:paraId="0B643239" w14:textId="77777777" w:rsidR="0046798B" w:rsidRDefault="00903B5C">
            <w:pPr>
              <w:pStyle w:val="TableParagraph"/>
              <w:spacing w:before="1"/>
              <w:ind w:left="114"/>
              <w:rPr>
                <w:sz w:val="20"/>
              </w:rPr>
            </w:pPr>
            <w:r>
              <w:rPr>
                <w:sz w:val="20"/>
              </w:rPr>
              <w:t>1980–2018</w:t>
            </w:r>
          </w:p>
        </w:tc>
        <w:tc>
          <w:tcPr>
            <w:tcW w:w="3421" w:type="dxa"/>
          </w:tcPr>
          <w:p w14:paraId="1DE77A65" w14:textId="77777777" w:rsidR="0046798B" w:rsidRDefault="0046798B">
            <w:pPr>
              <w:pStyle w:val="TableParagraph"/>
            </w:pPr>
          </w:p>
          <w:p w14:paraId="544F2552" w14:textId="77777777" w:rsidR="0046798B" w:rsidRDefault="00903B5C">
            <w:pPr>
              <w:pStyle w:val="TableParagraph"/>
              <w:spacing w:before="135"/>
              <w:ind w:left="114" w:right="171"/>
              <w:jc w:val="both"/>
              <w:rPr>
                <w:sz w:val="20"/>
              </w:rPr>
            </w:pPr>
            <w:r>
              <w:rPr>
                <w:sz w:val="20"/>
              </w:rPr>
              <w:t xml:space="preserve">Traditional reported number of people who voted in a given general election. Note: No data available for votes cast in Louisiana for highest office in </w:t>
            </w:r>
            <w:r>
              <w:rPr>
                <w:spacing w:val="-3"/>
                <w:sz w:val="20"/>
              </w:rPr>
              <w:t>1982.</w:t>
            </w:r>
          </w:p>
        </w:tc>
        <w:tc>
          <w:tcPr>
            <w:tcW w:w="6482" w:type="dxa"/>
          </w:tcPr>
          <w:p w14:paraId="7B579034" w14:textId="77777777" w:rsidR="0046798B" w:rsidRDefault="00903B5C">
            <w:pPr>
              <w:pStyle w:val="TableParagraph"/>
              <w:spacing w:before="43"/>
              <w:ind w:left="114" w:right="316"/>
              <w:rPr>
                <w:sz w:val="20"/>
              </w:rPr>
            </w:pPr>
            <w:r>
              <w:rPr>
                <w:sz w:val="20"/>
              </w:rPr>
              <w:t xml:space="preserve">McDonald, Michael P. United States Election Project. Turnout 1980–2012. </w:t>
            </w:r>
            <w:hyperlink r:id="rId572">
              <w:r>
                <w:rPr>
                  <w:sz w:val="20"/>
                  <w:u w:val="single"/>
                </w:rPr>
                <w:t>http://www.electproject.org/</w:t>
              </w:r>
            </w:hyperlink>
          </w:p>
          <w:p w14:paraId="69441DCA" w14:textId="77777777" w:rsidR="0046798B" w:rsidRDefault="0046798B">
            <w:pPr>
              <w:pStyle w:val="TableParagraph"/>
              <w:rPr>
                <w:sz w:val="20"/>
              </w:rPr>
            </w:pPr>
          </w:p>
          <w:p w14:paraId="7537B4CF" w14:textId="77777777" w:rsidR="0046798B" w:rsidRDefault="00903B5C">
            <w:pPr>
              <w:pStyle w:val="TableParagraph"/>
              <w:ind w:left="114" w:right="267"/>
              <w:rPr>
                <w:sz w:val="20"/>
              </w:rPr>
            </w:pPr>
            <w:r>
              <w:rPr>
                <w:sz w:val="20"/>
              </w:rPr>
              <w:t xml:space="preserve">Originally provided by Stateminder: A data visualization project from Georgetown University. </w:t>
            </w:r>
            <w:hyperlink r:id="rId573">
              <w:r>
                <w:rPr>
                  <w:sz w:val="20"/>
                </w:rPr>
                <w:t>www.stateminder.org</w:t>
              </w:r>
            </w:hyperlink>
            <w:r>
              <w:rPr>
                <w:sz w:val="20"/>
              </w:rPr>
              <w:t xml:space="preserve"> (no longer accessible online)</w:t>
            </w:r>
          </w:p>
          <w:p w14:paraId="75204EA6" w14:textId="77777777" w:rsidR="0046798B" w:rsidRDefault="0046798B">
            <w:pPr>
              <w:pStyle w:val="TableParagraph"/>
              <w:spacing w:before="1"/>
              <w:rPr>
                <w:sz w:val="20"/>
              </w:rPr>
            </w:pPr>
          </w:p>
          <w:p w14:paraId="73763468" w14:textId="77777777" w:rsidR="0046798B" w:rsidRDefault="00903B5C">
            <w:pPr>
              <w:pStyle w:val="TableParagraph"/>
              <w:ind w:left="114"/>
              <w:rPr>
                <w:sz w:val="13"/>
              </w:rPr>
            </w:pPr>
            <w:r>
              <w:rPr>
                <w:sz w:val="20"/>
              </w:rPr>
              <w:t>Notes:</w:t>
            </w:r>
            <w:r>
              <w:rPr>
                <w:sz w:val="13"/>
              </w:rPr>
              <w:t>iv</w:t>
            </w:r>
          </w:p>
        </w:tc>
      </w:tr>
      <w:tr w:rsidR="0046798B" w14:paraId="5B893BC4" w14:textId="77777777">
        <w:trPr>
          <w:trHeight w:val="1240"/>
        </w:trPr>
        <w:tc>
          <w:tcPr>
            <w:tcW w:w="1711" w:type="dxa"/>
          </w:tcPr>
          <w:p w14:paraId="69309DF3" w14:textId="77777777" w:rsidR="0046798B" w:rsidRDefault="0046798B">
            <w:pPr>
              <w:pStyle w:val="TableParagraph"/>
            </w:pPr>
          </w:p>
          <w:p w14:paraId="0928603A" w14:textId="77777777" w:rsidR="0046798B" w:rsidRDefault="0046798B">
            <w:pPr>
              <w:pStyle w:val="TableParagraph"/>
              <w:spacing w:before="9"/>
              <w:rPr>
                <w:sz w:val="21"/>
              </w:rPr>
            </w:pPr>
          </w:p>
          <w:p w14:paraId="6D004897" w14:textId="77777777" w:rsidR="0046798B" w:rsidRDefault="00903B5C">
            <w:pPr>
              <w:pStyle w:val="TableParagraph"/>
              <w:ind w:left="115"/>
              <w:rPr>
                <w:b/>
                <w:sz w:val="20"/>
              </w:rPr>
            </w:pPr>
            <w:r>
              <w:rPr>
                <w:b/>
                <w:sz w:val="20"/>
              </w:rPr>
              <w:t>vep</w:t>
            </w:r>
          </w:p>
        </w:tc>
        <w:tc>
          <w:tcPr>
            <w:tcW w:w="1596" w:type="dxa"/>
          </w:tcPr>
          <w:p w14:paraId="3EEDB98C" w14:textId="77777777" w:rsidR="0046798B" w:rsidRDefault="0046798B">
            <w:pPr>
              <w:pStyle w:val="TableParagraph"/>
            </w:pPr>
          </w:p>
          <w:p w14:paraId="40F410E4" w14:textId="77777777" w:rsidR="0046798B" w:rsidRDefault="00903B5C">
            <w:pPr>
              <w:pStyle w:val="TableParagraph"/>
              <w:spacing w:before="135"/>
              <w:ind w:left="114" w:right="230"/>
              <w:rPr>
                <w:sz w:val="20"/>
              </w:rPr>
            </w:pPr>
            <w:r>
              <w:rPr>
                <w:sz w:val="20"/>
              </w:rPr>
              <w:t>Voting-eligible population</w:t>
            </w:r>
          </w:p>
        </w:tc>
        <w:tc>
          <w:tcPr>
            <w:tcW w:w="1285" w:type="dxa"/>
          </w:tcPr>
          <w:p w14:paraId="6E38DD48" w14:textId="77777777" w:rsidR="0046798B" w:rsidRDefault="0046798B">
            <w:pPr>
              <w:pStyle w:val="TableParagraph"/>
            </w:pPr>
          </w:p>
          <w:p w14:paraId="168E06EC" w14:textId="77777777" w:rsidR="0046798B" w:rsidRDefault="0046798B">
            <w:pPr>
              <w:pStyle w:val="TableParagraph"/>
              <w:spacing w:before="9"/>
              <w:rPr>
                <w:sz w:val="21"/>
              </w:rPr>
            </w:pPr>
          </w:p>
          <w:p w14:paraId="61AC57A3" w14:textId="77777777" w:rsidR="0046798B" w:rsidRDefault="00903B5C">
            <w:pPr>
              <w:pStyle w:val="TableParagraph"/>
              <w:ind w:left="114"/>
              <w:rPr>
                <w:sz w:val="20"/>
              </w:rPr>
            </w:pPr>
            <w:r>
              <w:rPr>
                <w:sz w:val="20"/>
              </w:rPr>
              <w:t>1980–2018</w:t>
            </w:r>
          </w:p>
        </w:tc>
        <w:tc>
          <w:tcPr>
            <w:tcW w:w="3421" w:type="dxa"/>
          </w:tcPr>
          <w:p w14:paraId="2BAAE221" w14:textId="77777777" w:rsidR="0046798B" w:rsidRDefault="0046798B">
            <w:pPr>
              <w:pStyle w:val="TableParagraph"/>
            </w:pPr>
          </w:p>
          <w:p w14:paraId="55B1E4A1" w14:textId="77777777" w:rsidR="0046798B" w:rsidRDefault="0046798B">
            <w:pPr>
              <w:pStyle w:val="TableParagraph"/>
              <w:spacing w:before="9"/>
              <w:rPr>
                <w:sz w:val="21"/>
              </w:rPr>
            </w:pPr>
          </w:p>
          <w:p w14:paraId="249CC9C2" w14:textId="77777777" w:rsidR="0046798B" w:rsidRDefault="00903B5C">
            <w:pPr>
              <w:pStyle w:val="TableParagraph"/>
              <w:ind w:left="114"/>
              <w:rPr>
                <w:sz w:val="20"/>
              </w:rPr>
            </w:pPr>
            <w:r>
              <w:rPr>
                <w:sz w:val="20"/>
              </w:rPr>
              <w:t>Total population that is eligible to vote.</w:t>
            </w:r>
          </w:p>
        </w:tc>
        <w:tc>
          <w:tcPr>
            <w:tcW w:w="6482" w:type="dxa"/>
          </w:tcPr>
          <w:p w14:paraId="2DF4E614" w14:textId="77777777" w:rsidR="0046798B" w:rsidRDefault="00903B5C">
            <w:pPr>
              <w:pStyle w:val="TableParagraph"/>
              <w:spacing w:before="43"/>
              <w:ind w:left="114" w:right="316"/>
              <w:rPr>
                <w:sz w:val="20"/>
              </w:rPr>
            </w:pPr>
            <w:r>
              <w:rPr>
                <w:sz w:val="20"/>
              </w:rPr>
              <w:t xml:space="preserve">McDonald, Michael P. United States Election Project. Turnout 1980–2012. </w:t>
            </w:r>
            <w:hyperlink r:id="rId574">
              <w:r>
                <w:rPr>
                  <w:sz w:val="20"/>
                  <w:u w:val="single"/>
                </w:rPr>
                <w:t>http://www.electproject.org/</w:t>
              </w:r>
            </w:hyperlink>
          </w:p>
          <w:p w14:paraId="272B5580" w14:textId="77777777" w:rsidR="0046798B" w:rsidRDefault="0046798B">
            <w:pPr>
              <w:pStyle w:val="TableParagraph"/>
              <w:rPr>
                <w:sz w:val="20"/>
              </w:rPr>
            </w:pPr>
          </w:p>
          <w:p w14:paraId="447BC6DF" w14:textId="77777777" w:rsidR="0046798B" w:rsidRDefault="00903B5C">
            <w:pPr>
              <w:pStyle w:val="TableParagraph"/>
              <w:ind w:left="114" w:right="267"/>
              <w:rPr>
                <w:sz w:val="20"/>
              </w:rPr>
            </w:pPr>
            <w:r>
              <w:rPr>
                <w:sz w:val="20"/>
              </w:rPr>
              <w:t xml:space="preserve">Originally provided by Stateminder: A data visualization project from Georgetown University. </w:t>
            </w:r>
            <w:hyperlink r:id="rId575">
              <w:r>
                <w:rPr>
                  <w:sz w:val="20"/>
                </w:rPr>
                <w:t>www.stateminder.org</w:t>
              </w:r>
            </w:hyperlink>
            <w:r>
              <w:rPr>
                <w:sz w:val="20"/>
              </w:rPr>
              <w:t xml:space="preserve"> (no longer accessible online)</w:t>
            </w:r>
          </w:p>
        </w:tc>
      </w:tr>
      <w:tr w:rsidR="0046798B" w14:paraId="332768C8" w14:textId="77777777">
        <w:trPr>
          <w:trHeight w:val="775"/>
        </w:trPr>
        <w:tc>
          <w:tcPr>
            <w:tcW w:w="1711" w:type="dxa"/>
          </w:tcPr>
          <w:p w14:paraId="3AC6B77A" w14:textId="77777777" w:rsidR="0046798B" w:rsidRDefault="0046798B">
            <w:pPr>
              <w:pStyle w:val="TableParagraph"/>
              <w:spacing w:before="3"/>
              <w:rPr>
                <w:sz w:val="23"/>
              </w:rPr>
            </w:pPr>
          </w:p>
          <w:p w14:paraId="7479A506" w14:textId="77777777" w:rsidR="0046798B" w:rsidRDefault="00903B5C">
            <w:pPr>
              <w:pStyle w:val="TableParagraph"/>
              <w:spacing w:before="1"/>
              <w:ind w:left="115"/>
              <w:rPr>
                <w:b/>
                <w:sz w:val="20"/>
              </w:rPr>
            </w:pPr>
            <w:r>
              <w:rPr>
                <w:b/>
                <w:sz w:val="20"/>
              </w:rPr>
              <w:t>vepvotingrate</w:t>
            </w:r>
          </w:p>
        </w:tc>
        <w:tc>
          <w:tcPr>
            <w:tcW w:w="1596" w:type="dxa"/>
          </w:tcPr>
          <w:p w14:paraId="79BCD1FC" w14:textId="77777777" w:rsidR="0046798B" w:rsidRDefault="00903B5C">
            <w:pPr>
              <w:pStyle w:val="TableParagraph"/>
              <w:spacing w:before="38"/>
              <w:ind w:left="114" w:right="444"/>
              <w:jc w:val="both"/>
              <w:rPr>
                <w:sz w:val="20"/>
              </w:rPr>
            </w:pPr>
            <w:r>
              <w:rPr>
                <w:sz w:val="20"/>
              </w:rPr>
              <w:t>VEP highest office voting turnout rate</w:t>
            </w:r>
          </w:p>
        </w:tc>
        <w:tc>
          <w:tcPr>
            <w:tcW w:w="1285" w:type="dxa"/>
          </w:tcPr>
          <w:p w14:paraId="5BD0A5A9" w14:textId="77777777" w:rsidR="0046798B" w:rsidRDefault="0046798B">
            <w:pPr>
              <w:pStyle w:val="TableParagraph"/>
              <w:spacing w:before="3"/>
              <w:rPr>
                <w:sz w:val="23"/>
              </w:rPr>
            </w:pPr>
          </w:p>
          <w:p w14:paraId="6E701AA2" w14:textId="77777777" w:rsidR="0046798B" w:rsidRDefault="00903B5C">
            <w:pPr>
              <w:pStyle w:val="TableParagraph"/>
              <w:spacing w:before="1"/>
              <w:ind w:left="114"/>
              <w:rPr>
                <w:sz w:val="20"/>
              </w:rPr>
            </w:pPr>
            <w:r>
              <w:rPr>
                <w:sz w:val="20"/>
              </w:rPr>
              <w:t>1980–2018</w:t>
            </w:r>
          </w:p>
        </w:tc>
        <w:tc>
          <w:tcPr>
            <w:tcW w:w="3421" w:type="dxa"/>
          </w:tcPr>
          <w:p w14:paraId="5DBABBAD" w14:textId="77777777" w:rsidR="0046798B" w:rsidRDefault="00903B5C">
            <w:pPr>
              <w:pStyle w:val="TableParagraph"/>
              <w:spacing w:before="38"/>
              <w:ind w:left="114" w:right="150"/>
              <w:rPr>
                <w:sz w:val="20"/>
              </w:rPr>
            </w:pPr>
            <w:r>
              <w:rPr>
                <w:sz w:val="20"/>
              </w:rPr>
              <w:t>Voting-eligible population turnout rate for highest office elections; or proportion of the votes cast for the</w:t>
            </w:r>
          </w:p>
        </w:tc>
        <w:tc>
          <w:tcPr>
            <w:tcW w:w="6482" w:type="dxa"/>
          </w:tcPr>
          <w:p w14:paraId="5FBEBB61" w14:textId="77777777" w:rsidR="0046798B" w:rsidRDefault="00903B5C">
            <w:pPr>
              <w:pStyle w:val="TableParagraph"/>
              <w:spacing w:before="38"/>
              <w:ind w:left="114" w:right="316"/>
              <w:rPr>
                <w:sz w:val="20"/>
              </w:rPr>
            </w:pPr>
            <w:r>
              <w:rPr>
                <w:sz w:val="20"/>
              </w:rPr>
              <w:t xml:space="preserve">McDonald, Michael P. United States Election Project. Turnout 1980–2012. </w:t>
            </w:r>
            <w:hyperlink r:id="rId576">
              <w:r>
                <w:rPr>
                  <w:sz w:val="20"/>
                  <w:u w:val="single"/>
                </w:rPr>
                <w:t>http://www.electproject.org/</w:t>
              </w:r>
            </w:hyperlink>
          </w:p>
        </w:tc>
      </w:tr>
    </w:tbl>
    <w:p w14:paraId="09EB93C1" w14:textId="77777777" w:rsidR="0046798B" w:rsidRDefault="0046798B">
      <w:pPr>
        <w:rPr>
          <w:sz w:val="20"/>
        </w:rPr>
        <w:sectPr w:rsidR="0046798B">
          <w:pgSz w:w="15840" w:h="12240" w:orient="landscape"/>
          <w:pgMar w:top="1220" w:right="300" w:bottom="980" w:left="820" w:header="730" w:footer="787" w:gutter="0"/>
          <w:cols w:space="720"/>
        </w:sectPr>
      </w:pPr>
    </w:p>
    <w:p w14:paraId="2D901773"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1C08E28" w14:textId="77777777">
        <w:trPr>
          <w:trHeight w:val="3306"/>
        </w:trPr>
        <w:tc>
          <w:tcPr>
            <w:tcW w:w="1711" w:type="dxa"/>
          </w:tcPr>
          <w:p w14:paraId="0BE0636F" w14:textId="77777777" w:rsidR="0046798B" w:rsidRDefault="0046798B">
            <w:pPr>
              <w:pStyle w:val="TableParagraph"/>
              <w:rPr>
                <w:sz w:val="20"/>
              </w:rPr>
            </w:pPr>
          </w:p>
        </w:tc>
        <w:tc>
          <w:tcPr>
            <w:tcW w:w="1596" w:type="dxa"/>
          </w:tcPr>
          <w:p w14:paraId="3A5345D5" w14:textId="77777777" w:rsidR="0046798B" w:rsidRDefault="0046798B">
            <w:pPr>
              <w:pStyle w:val="TableParagraph"/>
              <w:rPr>
                <w:sz w:val="20"/>
              </w:rPr>
            </w:pPr>
          </w:p>
        </w:tc>
        <w:tc>
          <w:tcPr>
            <w:tcW w:w="1285" w:type="dxa"/>
          </w:tcPr>
          <w:p w14:paraId="27AAD22C" w14:textId="77777777" w:rsidR="0046798B" w:rsidRDefault="0046798B">
            <w:pPr>
              <w:pStyle w:val="TableParagraph"/>
              <w:rPr>
                <w:sz w:val="20"/>
              </w:rPr>
            </w:pPr>
          </w:p>
        </w:tc>
        <w:tc>
          <w:tcPr>
            <w:tcW w:w="3421" w:type="dxa"/>
          </w:tcPr>
          <w:p w14:paraId="5F4DBAFF" w14:textId="77777777" w:rsidR="0046798B" w:rsidRDefault="00903B5C">
            <w:pPr>
              <w:pStyle w:val="TableParagraph"/>
              <w:spacing w:before="43"/>
              <w:ind w:left="114" w:right="168"/>
              <w:rPr>
                <w:sz w:val="20"/>
              </w:rPr>
            </w:pPr>
            <w:r>
              <w:rPr>
                <w:sz w:val="20"/>
              </w:rPr>
              <w:t>highest office on the ballot (of the total voting-eligible population).</w:t>
            </w:r>
          </w:p>
        </w:tc>
        <w:tc>
          <w:tcPr>
            <w:tcW w:w="6482" w:type="dxa"/>
          </w:tcPr>
          <w:p w14:paraId="440BC0BF" w14:textId="77777777" w:rsidR="0046798B" w:rsidRDefault="00903B5C">
            <w:pPr>
              <w:pStyle w:val="TableParagraph"/>
              <w:spacing w:before="43"/>
              <w:ind w:left="114" w:right="267"/>
              <w:rPr>
                <w:sz w:val="20"/>
              </w:rPr>
            </w:pPr>
            <w:r>
              <w:rPr>
                <w:sz w:val="20"/>
              </w:rPr>
              <w:t xml:space="preserve">Originally provided by Stateminder: A data visualization project from Georgetown University. </w:t>
            </w:r>
            <w:hyperlink r:id="rId577">
              <w:r>
                <w:rPr>
                  <w:sz w:val="20"/>
                </w:rPr>
                <w:t>www.stateminder.org</w:t>
              </w:r>
            </w:hyperlink>
            <w:r>
              <w:rPr>
                <w:sz w:val="20"/>
              </w:rPr>
              <w:t xml:space="preserve"> (no longer accessible online)</w:t>
            </w:r>
          </w:p>
          <w:p w14:paraId="11EE3FBF" w14:textId="77777777" w:rsidR="0046798B" w:rsidRDefault="0046798B">
            <w:pPr>
              <w:pStyle w:val="TableParagraph"/>
              <w:rPr>
                <w:sz w:val="20"/>
              </w:rPr>
            </w:pPr>
          </w:p>
          <w:p w14:paraId="7C104C7D" w14:textId="77777777" w:rsidR="0046798B" w:rsidRDefault="00903B5C">
            <w:pPr>
              <w:pStyle w:val="TableParagraph"/>
              <w:ind w:left="114" w:right="567"/>
              <w:rPr>
                <w:sz w:val="20"/>
              </w:rPr>
            </w:pPr>
            <w:r>
              <w:rPr>
                <w:sz w:val="20"/>
                <w:u w:val="single"/>
              </w:rPr>
              <w:t>Notes: VEP Highest Office Turnout Rate = (Voted for Highest Office) /</w:t>
            </w:r>
            <w:r>
              <w:rPr>
                <w:sz w:val="20"/>
              </w:rPr>
              <w:t xml:space="preserve"> </w:t>
            </w:r>
            <w:r>
              <w:rPr>
                <w:sz w:val="20"/>
                <w:u w:val="single"/>
              </w:rPr>
              <w:t>(Voting-Eligible Population Total) (recommended statistic).</w:t>
            </w:r>
          </w:p>
          <w:p w14:paraId="185349E7" w14:textId="77777777" w:rsidR="0046798B" w:rsidRDefault="0046798B">
            <w:pPr>
              <w:pStyle w:val="TableParagraph"/>
              <w:spacing w:before="1"/>
              <w:rPr>
                <w:sz w:val="20"/>
              </w:rPr>
            </w:pPr>
          </w:p>
          <w:p w14:paraId="4E46EB60" w14:textId="77777777" w:rsidR="0046798B" w:rsidRDefault="00903B5C">
            <w:pPr>
              <w:pStyle w:val="TableParagraph"/>
              <w:ind w:left="114" w:right="106"/>
              <w:rPr>
                <w:sz w:val="20"/>
              </w:rPr>
            </w:pPr>
            <w:r>
              <w:rPr>
                <w:sz w:val="20"/>
              </w:rPr>
              <w:t>The Vote for Highest Office is the traditional reported number of people who voted in a given election. In presidential election years, the vote for highest office is simply the presidential vote. In a non-presidential election year, the vote for highest office is the largest vote total for a statewide office such as governor or US Senator. When no statewide office is on the ballot, the sum of the congressional races is used instead. In 2006, the methodology was changed slightly to use the sum of the congressional races if they exceeded a statewide office, as occurred with Indiana’s uncompetitive US Senate race.</w:t>
            </w:r>
          </w:p>
        </w:tc>
      </w:tr>
      <w:tr w:rsidR="0046798B" w14:paraId="06CBEFCA" w14:textId="77777777">
        <w:trPr>
          <w:trHeight w:val="1005"/>
        </w:trPr>
        <w:tc>
          <w:tcPr>
            <w:tcW w:w="1711" w:type="dxa"/>
          </w:tcPr>
          <w:p w14:paraId="231A4490" w14:textId="77777777" w:rsidR="0046798B" w:rsidRDefault="0046798B">
            <w:pPr>
              <w:pStyle w:val="TableParagraph"/>
            </w:pPr>
          </w:p>
          <w:p w14:paraId="41C50C59" w14:textId="77777777" w:rsidR="0046798B" w:rsidRDefault="00903B5C">
            <w:pPr>
              <w:pStyle w:val="TableParagraph"/>
              <w:spacing w:before="135"/>
              <w:ind w:left="115"/>
              <w:rPr>
                <w:b/>
                <w:sz w:val="20"/>
              </w:rPr>
            </w:pPr>
            <w:r>
              <w:rPr>
                <w:b/>
                <w:sz w:val="20"/>
              </w:rPr>
              <w:t>elect_year</w:t>
            </w:r>
          </w:p>
        </w:tc>
        <w:tc>
          <w:tcPr>
            <w:tcW w:w="1596" w:type="dxa"/>
          </w:tcPr>
          <w:p w14:paraId="3F778979" w14:textId="77777777" w:rsidR="0046798B" w:rsidRDefault="0046798B">
            <w:pPr>
              <w:pStyle w:val="TableParagraph"/>
            </w:pPr>
          </w:p>
          <w:p w14:paraId="67E1CA4F" w14:textId="77777777" w:rsidR="0046798B" w:rsidRDefault="00903B5C">
            <w:pPr>
              <w:pStyle w:val="TableParagraph"/>
              <w:spacing w:before="135"/>
              <w:ind w:left="114"/>
              <w:rPr>
                <w:sz w:val="20"/>
              </w:rPr>
            </w:pPr>
            <w:r>
              <w:rPr>
                <w:sz w:val="20"/>
              </w:rPr>
              <w:t>Election year</w:t>
            </w:r>
          </w:p>
        </w:tc>
        <w:tc>
          <w:tcPr>
            <w:tcW w:w="1285" w:type="dxa"/>
          </w:tcPr>
          <w:p w14:paraId="5C1B335B" w14:textId="77777777" w:rsidR="0046798B" w:rsidRDefault="0046798B">
            <w:pPr>
              <w:pStyle w:val="TableParagraph"/>
            </w:pPr>
          </w:p>
          <w:p w14:paraId="1A8E112A" w14:textId="77777777" w:rsidR="0046798B" w:rsidRDefault="00903B5C">
            <w:pPr>
              <w:pStyle w:val="TableParagraph"/>
              <w:spacing w:before="135"/>
              <w:ind w:left="114"/>
              <w:rPr>
                <w:sz w:val="20"/>
              </w:rPr>
            </w:pPr>
            <w:r>
              <w:rPr>
                <w:sz w:val="20"/>
              </w:rPr>
              <w:t>1938–2010</w:t>
            </w:r>
          </w:p>
        </w:tc>
        <w:tc>
          <w:tcPr>
            <w:tcW w:w="3421" w:type="dxa"/>
          </w:tcPr>
          <w:p w14:paraId="57352956" w14:textId="77777777" w:rsidR="0046798B" w:rsidRDefault="00903B5C">
            <w:pPr>
              <w:pStyle w:val="TableParagraph"/>
              <w:spacing w:before="43"/>
              <w:ind w:left="114" w:right="217"/>
              <w:rPr>
                <w:sz w:val="20"/>
              </w:rPr>
            </w:pPr>
            <w:r>
              <w:rPr>
                <w:sz w:val="20"/>
              </w:rPr>
              <w:t>Calendar year that the election was in, or years after the election year but before the calendar year of the next election.</w:t>
            </w:r>
          </w:p>
        </w:tc>
        <w:tc>
          <w:tcPr>
            <w:tcW w:w="6482" w:type="dxa"/>
          </w:tcPr>
          <w:p w14:paraId="2D7FA11C" w14:textId="77777777" w:rsidR="0046798B" w:rsidRDefault="0046798B">
            <w:pPr>
              <w:pStyle w:val="TableParagraph"/>
              <w:spacing w:before="8"/>
              <w:rPr>
                <w:sz w:val="23"/>
              </w:rPr>
            </w:pPr>
          </w:p>
          <w:p w14:paraId="145472FC" w14:textId="77777777" w:rsidR="0046798B" w:rsidRDefault="00903B5C">
            <w:pPr>
              <w:pStyle w:val="TableParagraph"/>
              <w:spacing w:before="1"/>
              <w:ind w:left="114" w:right="995"/>
              <w:rPr>
                <w:sz w:val="20"/>
              </w:rPr>
            </w:pPr>
            <w:r>
              <w:rPr>
                <w:sz w:val="20"/>
              </w:rPr>
              <w:t xml:space="preserve">Klarner, Carl, 2013, “Other Scholars’ Competitiveness Measures”, </w:t>
            </w:r>
            <w:hyperlink r:id="rId578">
              <w:r>
                <w:rPr>
                  <w:color w:val="0462C1"/>
                  <w:sz w:val="20"/>
                  <w:u w:val="single" w:color="0462C1"/>
                </w:rPr>
                <w:t>https://doi.org/10.7910/DVN/QSDYLH</w:t>
              </w:r>
              <w:r>
                <w:rPr>
                  <w:sz w:val="20"/>
                </w:rPr>
                <w:t>,</w:t>
              </w:r>
            </w:hyperlink>
            <w:r>
              <w:rPr>
                <w:sz w:val="20"/>
              </w:rPr>
              <w:t xml:space="preserve"> Harvard Dataverse, V1</w:t>
            </w:r>
          </w:p>
        </w:tc>
      </w:tr>
      <w:tr w:rsidR="0046798B" w14:paraId="7225A7AA" w14:textId="77777777">
        <w:trPr>
          <w:trHeight w:val="780"/>
        </w:trPr>
        <w:tc>
          <w:tcPr>
            <w:tcW w:w="1711" w:type="dxa"/>
          </w:tcPr>
          <w:p w14:paraId="58BABB60" w14:textId="77777777" w:rsidR="0046798B" w:rsidRDefault="0046798B">
            <w:pPr>
              <w:pStyle w:val="TableParagraph"/>
              <w:spacing w:before="8"/>
              <w:rPr>
                <w:sz w:val="23"/>
              </w:rPr>
            </w:pPr>
          </w:p>
          <w:p w14:paraId="0EB3250C" w14:textId="77777777" w:rsidR="0046798B" w:rsidRDefault="00903B5C">
            <w:pPr>
              <w:pStyle w:val="TableParagraph"/>
              <w:spacing w:before="1"/>
              <w:ind w:left="115"/>
              <w:rPr>
                <w:b/>
                <w:sz w:val="20"/>
              </w:rPr>
            </w:pPr>
            <w:r>
              <w:rPr>
                <w:b/>
                <w:sz w:val="20"/>
              </w:rPr>
              <w:t>sen_prop_up</w:t>
            </w:r>
          </w:p>
        </w:tc>
        <w:tc>
          <w:tcPr>
            <w:tcW w:w="1596" w:type="dxa"/>
          </w:tcPr>
          <w:p w14:paraId="09A108AA" w14:textId="77777777" w:rsidR="0046798B" w:rsidRDefault="00903B5C">
            <w:pPr>
              <w:pStyle w:val="TableParagraph"/>
              <w:spacing w:before="43"/>
              <w:ind w:left="114" w:right="97"/>
              <w:rPr>
                <w:sz w:val="20"/>
              </w:rPr>
            </w:pPr>
            <w:r>
              <w:rPr>
                <w:sz w:val="20"/>
              </w:rPr>
              <w:t>Proportion of state senate seats up for election</w:t>
            </w:r>
          </w:p>
        </w:tc>
        <w:tc>
          <w:tcPr>
            <w:tcW w:w="1285" w:type="dxa"/>
          </w:tcPr>
          <w:p w14:paraId="01D62A4B" w14:textId="77777777" w:rsidR="0046798B" w:rsidRDefault="0046798B">
            <w:pPr>
              <w:pStyle w:val="TableParagraph"/>
              <w:spacing w:before="8"/>
              <w:rPr>
                <w:sz w:val="23"/>
              </w:rPr>
            </w:pPr>
          </w:p>
          <w:p w14:paraId="10212C22" w14:textId="77777777" w:rsidR="0046798B" w:rsidRDefault="00903B5C">
            <w:pPr>
              <w:pStyle w:val="TableParagraph"/>
              <w:spacing w:before="1"/>
              <w:ind w:left="114"/>
              <w:rPr>
                <w:sz w:val="20"/>
              </w:rPr>
            </w:pPr>
            <w:r>
              <w:rPr>
                <w:sz w:val="20"/>
              </w:rPr>
              <w:t>1938–2010</w:t>
            </w:r>
          </w:p>
        </w:tc>
        <w:tc>
          <w:tcPr>
            <w:tcW w:w="3421" w:type="dxa"/>
          </w:tcPr>
          <w:p w14:paraId="63A6C043" w14:textId="77777777" w:rsidR="0046798B" w:rsidRDefault="00903B5C">
            <w:pPr>
              <w:pStyle w:val="TableParagraph"/>
              <w:spacing w:before="158"/>
              <w:ind w:left="114" w:right="344"/>
              <w:rPr>
                <w:sz w:val="20"/>
              </w:rPr>
            </w:pPr>
            <w:r>
              <w:rPr>
                <w:sz w:val="20"/>
              </w:rPr>
              <w:t>Proportion of state senate seats up in this year.</w:t>
            </w:r>
          </w:p>
        </w:tc>
        <w:tc>
          <w:tcPr>
            <w:tcW w:w="6482" w:type="dxa"/>
          </w:tcPr>
          <w:p w14:paraId="0F2AA5C1" w14:textId="77777777" w:rsidR="0046798B" w:rsidRDefault="00903B5C">
            <w:pPr>
              <w:pStyle w:val="TableParagraph"/>
              <w:spacing w:before="158"/>
              <w:ind w:left="114" w:right="995"/>
              <w:rPr>
                <w:sz w:val="20"/>
              </w:rPr>
            </w:pPr>
            <w:r>
              <w:rPr>
                <w:sz w:val="20"/>
              </w:rPr>
              <w:t xml:space="preserve">Klarner, Carl, 2013, “Other Scholars’ Competitiveness Measures”, </w:t>
            </w:r>
            <w:hyperlink r:id="rId579">
              <w:r>
                <w:rPr>
                  <w:color w:val="0462C1"/>
                  <w:sz w:val="20"/>
                  <w:u w:val="single" w:color="0462C1"/>
                </w:rPr>
                <w:t>https://doi.org/10.7910/DVN/QSDYLH</w:t>
              </w:r>
              <w:r>
                <w:rPr>
                  <w:sz w:val="20"/>
                </w:rPr>
                <w:t>,</w:t>
              </w:r>
            </w:hyperlink>
            <w:r>
              <w:rPr>
                <w:sz w:val="20"/>
              </w:rPr>
              <w:t xml:space="preserve"> Harvard Dataverse, V1</w:t>
            </w:r>
          </w:p>
        </w:tc>
      </w:tr>
      <w:tr w:rsidR="0046798B" w14:paraId="3D171594" w14:textId="77777777">
        <w:trPr>
          <w:trHeight w:val="775"/>
        </w:trPr>
        <w:tc>
          <w:tcPr>
            <w:tcW w:w="1711" w:type="dxa"/>
          </w:tcPr>
          <w:p w14:paraId="299E1AB2" w14:textId="77777777" w:rsidR="0046798B" w:rsidRDefault="0046798B">
            <w:pPr>
              <w:pStyle w:val="TableParagraph"/>
              <w:spacing w:before="4"/>
              <w:rPr>
                <w:sz w:val="23"/>
              </w:rPr>
            </w:pPr>
          </w:p>
          <w:p w14:paraId="3172F4E8" w14:textId="77777777" w:rsidR="0046798B" w:rsidRDefault="00903B5C">
            <w:pPr>
              <w:pStyle w:val="TableParagraph"/>
              <w:ind w:left="115"/>
              <w:rPr>
                <w:b/>
                <w:sz w:val="20"/>
              </w:rPr>
            </w:pPr>
            <w:r>
              <w:rPr>
                <w:b/>
                <w:sz w:val="20"/>
              </w:rPr>
              <w:t>hs_prop_up</w:t>
            </w:r>
          </w:p>
        </w:tc>
        <w:tc>
          <w:tcPr>
            <w:tcW w:w="1596" w:type="dxa"/>
          </w:tcPr>
          <w:p w14:paraId="222A44BF" w14:textId="77777777" w:rsidR="0046798B" w:rsidRDefault="00903B5C">
            <w:pPr>
              <w:pStyle w:val="TableParagraph"/>
              <w:spacing w:before="39"/>
              <w:ind w:left="114" w:right="130"/>
              <w:rPr>
                <w:sz w:val="20"/>
              </w:rPr>
            </w:pPr>
            <w:r>
              <w:rPr>
                <w:sz w:val="20"/>
              </w:rPr>
              <w:t>Proportion of state house seats up for election</w:t>
            </w:r>
          </w:p>
        </w:tc>
        <w:tc>
          <w:tcPr>
            <w:tcW w:w="1285" w:type="dxa"/>
          </w:tcPr>
          <w:p w14:paraId="4A9C0C68" w14:textId="77777777" w:rsidR="0046798B" w:rsidRDefault="0046798B">
            <w:pPr>
              <w:pStyle w:val="TableParagraph"/>
              <w:spacing w:before="4"/>
              <w:rPr>
                <w:sz w:val="23"/>
              </w:rPr>
            </w:pPr>
          </w:p>
          <w:p w14:paraId="5F94D463" w14:textId="77777777" w:rsidR="0046798B" w:rsidRDefault="00903B5C">
            <w:pPr>
              <w:pStyle w:val="TableParagraph"/>
              <w:ind w:left="114"/>
              <w:rPr>
                <w:sz w:val="20"/>
              </w:rPr>
            </w:pPr>
            <w:r>
              <w:rPr>
                <w:sz w:val="20"/>
              </w:rPr>
              <w:t>1938–2010</w:t>
            </w:r>
          </w:p>
        </w:tc>
        <w:tc>
          <w:tcPr>
            <w:tcW w:w="3421" w:type="dxa"/>
          </w:tcPr>
          <w:p w14:paraId="6BA4B54D" w14:textId="77777777" w:rsidR="0046798B" w:rsidRDefault="00903B5C">
            <w:pPr>
              <w:pStyle w:val="TableParagraph"/>
              <w:spacing w:before="154"/>
              <w:ind w:left="114" w:right="377"/>
              <w:rPr>
                <w:sz w:val="20"/>
              </w:rPr>
            </w:pPr>
            <w:r>
              <w:rPr>
                <w:sz w:val="20"/>
              </w:rPr>
              <w:t>Proportion of state house seats up in this year.</w:t>
            </w:r>
          </w:p>
        </w:tc>
        <w:tc>
          <w:tcPr>
            <w:tcW w:w="6482" w:type="dxa"/>
          </w:tcPr>
          <w:p w14:paraId="28CC34EC" w14:textId="77777777" w:rsidR="0046798B" w:rsidRDefault="00903B5C">
            <w:pPr>
              <w:pStyle w:val="TableParagraph"/>
              <w:spacing w:before="154"/>
              <w:ind w:left="114" w:right="995"/>
              <w:rPr>
                <w:sz w:val="20"/>
              </w:rPr>
            </w:pPr>
            <w:r>
              <w:rPr>
                <w:sz w:val="20"/>
              </w:rPr>
              <w:t xml:space="preserve">Klarner, Carl, 2013, “Other Scholars’ Competitiveness Measures”, </w:t>
            </w:r>
            <w:hyperlink r:id="rId580">
              <w:r>
                <w:rPr>
                  <w:color w:val="0462C1"/>
                  <w:sz w:val="20"/>
                  <w:u w:val="single" w:color="0462C1"/>
                </w:rPr>
                <w:t>https://doi.org/10.7910/DVN/QSDYLH</w:t>
              </w:r>
              <w:r>
                <w:rPr>
                  <w:sz w:val="20"/>
                </w:rPr>
                <w:t>,</w:t>
              </w:r>
            </w:hyperlink>
            <w:r>
              <w:rPr>
                <w:sz w:val="20"/>
              </w:rPr>
              <w:t xml:space="preserve"> Harvard Dataverse, V1</w:t>
            </w:r>
          </w:p>
        </w:tc>
      </w:tr>
      <w:tr w:rsidR="0046798B" w14:paraId="4BF2B732" w14:textId="77777777">
        <w:trPr>
          <w:trHeight w:val="1465"/>
        </w:trPr>
        <w:tc>
          <w:tcPr>
            <w:tcW w:w="1711" w:type="dxa"/>
          </w:tcPr>
          <w:p w14:paraId="39A3B26C" w14:textId="77777777" w:rsidR="0046798B" w:rsidRDefault="0046798B">
            <w:pPr>
              <w:pStyle w:val="TableParagraph"/>
            </w:pPr>
          </w:p>
          <w:p w14:paraId="5800A30A" w14:textId="77777777" w:rsidR="0046798B" w:rsidRDefault="0046798B">
            <w:pPr>
              <w:pStyle w:val="TableParagraph"/>
              <w:spacing w:before="4"/>
              <w:rPr>
                <w:sz w:val="21"/>
              </w:rPr>
            </w:pPr>
          </w:p>
          <w:p w14:paraId="2B7B8D40" w14:textId="77777777" w:rsidR="0046798B" w:rsidRDefault="00903B5C">
            <w:pPr>
              <w:pStyle w:val="TableParagraph"/>
              <w:ind w:left="115" w:right="188"/>
              <w:rPr>
                <w:b/>
                <w:sz w:val="20"/>
              </w:rPr>
            </w:pPr>
            <w:r>
              <w:rPr>
                <w:b/>
                <w:sz w:val="20"/>
              </w:rPr>
              <w:t>ranney1_sen_de m_prop</w:t>
            </w:r>
          </w:p>
        </w:tc>
        <w:tc>
          <w:tcPr>
            <w:tcW w:w="1596" w:type="dxa"/>
          </w:tcPr>
          <w:p w14:paraId="3DE6A931" w14:textId="77777777" w:rsidR="0046798B" w:rsidRDefault="0046798B">
            <w:pPr>
              <w:pStyle w:val="TableParagraph"/>
            </w:pPr>
          </w:p>
          <w:p w14:paraId="54F58794" w14:textId="77777777" w:rsidR="0046798B" w:rsidRDefault="00903B5C">
            <w:pPr>
              <w:pStyle w:val="TableParagraph"/>
              <w:spacing w:before="130"/>
              <w:ind w:left="114" w:right="102"/>
              <w:rPr>
                <w:sz w:val="20"/>
              </w:rPr>
            </w:pPr>
            <w:r>
              <w:rPr>
                <w:sz w:val="20"/>
              </w:rPr>
              <w:t>Proportion of Democratic state senators</w:t>
            </w:r>
          </w:p>
        </w:tc>
        <w:tc>
          <w:tcPr>
            <w:tcW w:w="1285" w:type="dxa"/>
          </w:tcPr>
          <w:p w14:paraId="6A5F1D3E" w14:textId="77777777" w:rsidR="0046798B" w:rsidRDefault="0046798B">
            <w:pPr>
              <w:pStyle w:val="TableParagraph"/>
            </w:pPr>
          </w:p>
          <w:p w14:paraId="5DF1C39D" w14:textId="77777777" w:rsidR="0046798B" w:rsidRDefault="0046798B">
            <w:pPr>
              <w:pStyle w:val="TableParagraph"/>
              <w:spacing w:before="4"/>
              <w:rPr>
                <w:sz w:val="31"/>
              </w:rPr>
            </w:pPr>
          </w:p>
          <w:p w14:paraId="1EEA540D" w14:textId="77777777" w:rsidR="0046798B" w:rsidRDefault="00903B5C">
            <w:pPr>
              <w:pStyle w:val="TableParagraph"/>
              <w:ind w:left="114"/>
              <w:rPr>
                <w:sz w:val="20"/>
              </w:rPr>
            </w:pPr>
            <w:r>
              <w:rPr>
                <w:sz w:val="20"/>
              </w:rPr>
              <w:t>1938–2016</w:t>
            </w:r>
          </w:p>
        </w:tc>
        <w:tc>
          <w:tcPr>
            <w:tcW w:w="3421" w:type="dxa"/>
          </w:tcPr>
          <w:p w14:paraId="1EA72D6C" w14:textId="77777777" w:rsidR="0046798B" w:rsidRDefault="0046798B">
            <w:pPr>
              <w:pStyle w:val="TableParagraph"/>
              <w:spacing w:before="3"/>
              <w:rPr>
                <w:sz w:val="23"/>
              </w:rPr>
            </w:pPr>
          </w:p>
          <w:p w14:paraId="0E8652A4" w14:textId="77777777" w:rsidR="0046798B" w:rsidRDefault="00903B5C">
            <w:pPr>
              <w:pStyle w:val="TableParagraph"/>
              <w:spacing w:before="1"/>
              <w:ind w:left="114" w:right="394"/>
              <w:rPr>
                <w:sz w:val="20"/>
              </w:rPr>
            </w:pPr>
            <w:r>
              <w:rPr>
                <w:sz w:val="20"/>
              </w:rPr>
              <w:t>Proportion of state senators who are Democrats. Note: this is the annual measure the moving averages were computed from.</w:t>
            </w:r>
          </w:p>
        </w:tc>
        <w:tc>
          <w:tcPr>
            <w:tcW w:w="6482" w:type="dxa"/>
          </w:tcPr>
          <w:p w14:paraId="521D1F37" w14:textId="77777777" w:rsidR="0046798B" w:rsidRDefault="00903B5C">
            <w:pPr>
              <w:pStyle w:val="TableParagraph"/>
              <w:spacing w:before="38"/>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42435F51" w14:textId="77777777" w:rsidR="0046798B" w:rsidRDefault="0046798B">
            <w:pPr>
              <w:pStyle w:val="TableParagraph"/>
              <w:rPr>
                <w:sz w:val="20"/>
              </w:rPr>
            </w:pPr>
          </w:p>
          <w:p w14:paraId="2DAC7434" w14:textId="77777777" w:rsidR="0046798B" w:rsidRDefault="00903B5C">
            <w:pPr>
              <w:pStyle w:val="TableParagraph"/>
              <w:ind w:left="114" w:right="995"/>
              <w:rPr>
                <w:sz w:val="20"/>
              </w:rPr>
            </w:pPr>
            <w:r>
              <w:rPr>
                <w:sz w:val="20"/>
              </w:rPr>
              <w:t xml:space="preserve">Klarner, Carl, 2013, “Other Scholars’ Competitiveness Measures”, </w:t>
            </w:r>
            <w:hyperlink r:id="rId581">
              <w:r>
                <w:rPr>
                  <w:color w:val="0462C1"/>
                  <w:sz w:val="20"/>
                  <w:u w:val="single" w:color="0462C1"/>
                </w:rPr>
                <w:t>https://doi.org/10.7910/DVN/QSDYLH</w:t>
              </w:r>
              <w:r>
                <w:rPr>
                  <w:sz w:val="20"/>
                </w:rPr>
                <w:t>,</w:t>
              </w:r>
            </w:hyperlink>
            <w:r>
              <w:rPr>
                <w:sz w:val="20"/>
              </w:rPr>
              <w:t xml:space="preserve"> Harvard Dataverse, V1</w:t>
            </w:r>
          </w:p>
        </w:tc>
      </w:tr>
      <w:tr w:rsidR="0046798B" w14:paraId="15641E68" w14:textId="77777777">
        <w:trPr>
          <w:trHeight w:val="1465"/>
        </w:trPr>
        <w:tc>
          <w:tcPr>
            <w:tcW w:w="1711" w:type="dxa"/>
          </w:tcPr>
          <w:p w14:paraId="396ADDDE" w14:textId="77777777" w:rsidR="0046798B" w:rsidRDefault="0046798B">
            <w:pPr>
              <w:pStyle w:val="TableParagraph"/>
            </w:pPr>
          </w:p>
          <w:p w14:paraId="53CE6C48" w14:textId="77777777" w:rsidR="0046798B" w:rsidRDefault="0046798B">
            <w:pPr>
              <w:pStyle w:val="TableParagraph"/>
              <w:spacing w:before="4"/>
              <w:rPr>
                <w:sz w:val="21"/>
              </w:rPr>
            </w:pPr>
          </w:p>
          <w:p w14:paraId="311CEFCE" w14:textId="77777777" w:rsidR="0046798B" w:rsidRDefault="00903B5C">
            <w:pPr>
              <w:pStyle w:val="TableParagraph"/>
              <w:ind w:left="115"/>
              <w:rPr>
                <w:b/>
                <w:sz w:val="20"/>
              </w:rPr>
            </w:pPr>
            <w:r>
              <w:rPr>
                <w:b/>
                <w:sz w:val="20"/>
              </w:rPr>
              <w:t>ranney2_hs_dem</w:t>
            </w:r>
          </w:p>
          <w:p w14:paraId="3E289005" w14:textId="77777777" w:rsidR="0046798B" w:rsidRDefault="00903B5C">
            <w:pPr>
              <w:pStyle w:val="TableParagraph"/>
              <w:ind w:left="115"/>
              <w:rPr>
                <w:b/>
                <w:sz w:val="20"/>
              </w:rPr>
            </w:pPr>
            <w:r>
              <w:rPr>
                <w:b/>
                <w:sz w:val="20"/>
              </w:rPr>
              <w:t>_prop</w:t>
            </w:r>
          </w:p>
        </w:tc>
        <w:tc>
          <w:tcPr>
            <w:tcW w:w="1596" w:type="dxa"/>
          </w:tcPr>
          <w:p w14:paraId="3529F605" w14:textId="77777777" w:rsidR="0046798B" w:rsidRDefault="0046798B">
            <w:pPr>
              <w:pStyle w:val="TableParagraph"/>
            </w:pPr>
          </w:p>
          <w:p w14:paraId="25CFEE5E" w14:textId="77777777" w:rsidR="0046798B" w:rsidRDefault="00903B5C">
            <w:pPr>
              <w:pStyle w:val="TableParagraph"/>
              <w:spacing w:before="130"/>
              <w:ind w:left="114" w:right="102"/>
              <w:rPr>
                <w:sz w:val="20"/>
              </w:rPr>
            </w:pPr>
            <w:r>
              <w:rPr>
                <w:sz w:val="20"/>
              </w:rPr>
              <w:t>Proportion of Democratic state house members</w:t>
            </w:r>
          </w:p>
        </w:tc>
        <w:tc>
          <w:tcPr>
            <w:tcW w:w="1285" w:type="dxa"/>
          </w:tcPr>
          <w:p w14:paraId="34F849BE" w14:textId="77777777" w:rsidR="0046798B" w:rsidRDefault="0046798B">
            <w:pPr>
              <w:pStyle w:val="TableParagraph"/>
            </w:pPr>
          </w:p>
          <w:p w14:paraId="3431BD57" w14:textId="77777777" w:rsidR="0046798B" w:rsidRDefault="0046798B">
            <w:pPr>
              <w:pStyle w:val="TableParagraph"/>
              <w:spacing w:before="4"/>
              <w:rPr>
                <w:sz w:val="31"/>
              </w:rPr>
            </w:pPr>
          </w:p>
          <w:p w14:paraId="733978BC" w14:textId="77777777" w:rsidR="0046798B" w:rsidRDefault="00903B5C">
            <w:pPr>
              <w:pStyle w:val="TableParagraph"/>
              <w:ind w:left="114"/>
              <w:rPr>
                <w:sz w:val="20"/>
              </w:rPr>
            </w:pPr>
            <w:r>
              <w:rPr>
                <w:sz w:val="20"/>
              </w:rPr>
              <w:t>1938–2016</w:t>
            </w:r>
          </w:p>
        </w:tc>
        <w:tc>
          <w:tcPr>
            <w:tcW w:w="3421" w:type="dxa"/>
          </w:tcPr>
          <w:p w14:paraId="7ED9C518" w14:textId="77777777" w:rsidR="0046798B" w:rsidRDefault="0046798B">
            <w:pPr>
              <w:pStyle w:val="TableParagraph"/>
              <w:spacing w:before="4"/>
              <w:rPr>
                <w:sz w:val="23"/>
              </w:rPr>
            </w:pPr>
          </w:p>
          <w:p w14:paraId="036B3337" w14:textId="77777777" w:rsidR="0046798B" w:rsidRDefault="00903B5C">
            <w:pPr>
              <w:pStyle w:val="TableParagraph"/>
              <w:ind w:left="114" w:right="94"/>
              <w:rPr>
                <w:sz w:val="20"/>
              </w:rPr>
            </w:pPr>
            <w:r>
              <w:rPr>
                <w:sz w:val="20"/>
              </w:rPr>
              <w:t>Proportion of state house members who are Democrats. Note: this is the annual measure the moving averages were computed from.</w:t>
            </w:r>
          </w:p>
        </w:tc>
        <w:tc>
          <w:tcPr>
            <w:tcW w:w="6482" w:type="dxa"/>
          </w:tcPr>
          <w:p w14:paraId="42988472" w14:textId="77777777" w:rsidR="0046798B" w:rsidRDefault="00903B5C">
            <w:pPr>
              <w:pStyle w:val="TableParagraph"/>
              <w:spacing w:before="38"/>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701DDD7B" w14:textId="77777777" w:rsidR="0046798B" w:rsidRDefault="0046798B">
            <w:pPr>
              <w:pStyle w:val="TableParagraph"/>
              <w:rPr>
                <w:sz w:val="20"/>
              </w:rPr>
            </w:pPr>
          </w:p>
          <w:p w14:paraId="44C6B03E" w14:textId="77777777" w:rsidR="0046798B" w:rsidRDefault="00903B5C">
            <w:pPr>
              <w:pStyle w:val="TableParagraph"/>
              <w:ind w:left="114" w:right="995"/>
              <w:rPr>
                <w:sz w:val="20"/>
              </w:rPr>
            </w:pPr>
            <w:r>
              <w:rPr>
                <w:sz w:val="20"/>
              </w:rPr>
              <w:t xml:space="preserve">Klarner, Carl, 2013, “Other Scholars’ Competitiveness Measures”, </w:t>
            </w:r>
            <w:hyperlink r:id="rId582">
              <w:r>
                <w:rPr>
                  <w:color w:val="0462C1"/>
                  <w:sz w:val="20"/>
                  <w:u w:val="single" w:color="0462C1"/>
                </w:rPr>
                <w:t>https://doi.org/10.7910/DVN/QSDYLH</w:t>
              </w:r>
              <w:r>
                <w:rPr>
                  <w:sz w:val="20"/>
                </w:rPr>
                <w:t>,</w:t>
              </w:r>
            </w:hyperlink>
            <w:r>
              <w:rPr>
                <w:sz w:val="20"/>
              </w:rPr>
              <w:t xml:space="preserve"> Harvard Dataverse, V1</w:t>
            </w:r>
          </w:p>
        </w:tc>
      </w:tr>
    </w:tbl>
    <w:p w14:paraId="3CEF3421" w14:textId="77777777" w:rsidR="0046798B" w:rsidRDefault="0046798B">
      <w:pPr>
        <w:rPr>
          <w:sz w:val="20"/>
        </w:rPr>
        <w:sectPr w:rsidR="0046798B">
          <w:pgSz w:w="15840" w:h="12240" w:orient="landscape"/>
          <w:pgMar w:top="1220" w:right="300" w:bottom="980" w:left="820" w:header="730" w:footer="787" w:gutter="0"/>
          <w:cols w:space="720"/>
        </w:sectPr>
      </w:pPr>
    </w:p>
    <w:p w14:paraId="3FAFA03E"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9237FBF" w14:textId="77777777">
        <w:trPr>
          <w:trHeight w:val="1465"/>
        </w:trPr>
        <w:tc>
          <w:tcPr>
            <w:tcW w:w="1711" w:type="dxa"/>
          </w:tcPr>
          <w:p w14:paraId="4FA34496" w14:textId="77777777" w:rsidR="0046798B" w:rsidRDefault="0046798B">
            <w:pPr>
              <w:pStyle w:val="TableParagraph"/>
            </w:pPr>
          </w:p>
          <w:p w14:paraId="458B1512" w14:textId="77777777" w:rsidR="0046798B" w:rsidRDefault="0046798B">
            <w:pPr>
              <w:pStyle w:val="TableParagraph"/>
              <w:spacing w:before="9"/>
              <w:rPr>
                <w:sz w:val="21"/>
              </w:rPr>
            </w:pPr>
          </w:p>
          <w:p w14:paraId="03B42092" w14:textId="77777777" w:rsidR="0046798B" w:rsidRDefault="00903B5C">
            <w:pPr>
              <w:pStyle w:val="TableParagraph"/>
              <w:ind w:left="115"/>
              <w:rPr>
                <w:b/>
                <w:sz w:val="20"/>
              </w:rPr>
            </w:pPr>
            <w:r>
              <w:rPr>
                <w:b/>
                <w:sz w:val="20"/>
              </w:rPr>
              <w:t>ranney3_gub_pr op</w:t>
            </w:r>
          </w:p>
        </w:tc>
        <w:tc>
          <w:tcPr>
            <w:tcW w:w="1596" w:type="dxa"/>
          </w:tcPr>
          <w:p w14:paraId="30522A07" w14:textId="77777777" w:rsidR="0046798B" w:rsidRDefault="00903B5C">
            <w:pPr>
              <w:pStyle w:val="TableParagraph"/>
              <w:spacing w:before="158"/>
              <w:ind w:left="114" w:right="300"/>
              <w:rPr>
                <w:sz w:val="20"/>
              </w:rPr>
            </w:pPr>
            <w:r>
              <w:rPr>
                <w:sz w:val="20"/>
              </w:rPr>
              <w:t>Proportion of two-party vote for democratic gubernatorial candidate</w:t>
            </w:r>
          </w:p>
        </w:tc>
        <w:tc>
          <w:tcPr>
            <w:tcW w:w="1285" w:type="dxa"/>
          </w:tcPr>
          <w:p w14:paraId="5B230FBB" w14:textId="77777777" w:rsidR="0046798B" w:rsidRDefault="0046798B">
            <w:pPr>
              <w:pStyle w:val="TableParagraph"/>
            </w:pPr>
          </w:p>
          <w:p w14:paraId="6B1F53D2" w14:textId="77777777" w:rsidR="0046798B" w:rsidRDefault="0046798B">
            <w:pPr>
              <w:pStyle w:val="TableParagraph"/>
              <w:spacing w:before="9"/>
              <w:rPr>
                <w:sz w:val="31"/>
              </w:rPr>
            </w:pPr>
          </w:p>
          <w:p w14:paraId="2BDF85CB" w14:textId="77777777" w:rsidR="0046798B" w:rsidRDefault="00903B5C">
            <w:pPr>
              <w:pStyle w:val="TableParagraph"/>
              <w:ind w:left="114"/>
              <w:rPr>
                <w:sz w:val="20"/>
              </w:rPr>
            </w:pPr>
            <w:r>
              <w:rPr>
                <w:sz w:val="20"/>
              </w:rPr>
              <w:t>1938–2010</w:t>
            </w:r>
          </w:p>
        </w:tc>
        <w:tc>
          <w:tcPr>
            <w:tcW w:w="3421" w:type="dxa"/>
          </w:tcPr>
          <w:p w14:paraId="391C82CE" w14:textId="77777777" w:rsidR="0046798B" w:rsidRDefault="00903B5C">
            <w:pPr>
              <w:pStyle w:val="TableParagraph"/>
              <w:spacing w:before="158"/>
              <w:ind w:left="114" w:right="117"/>
              <w:rPr>
                <w:sz w:val="20"/>
              </w:rPr>
            </w:pPr>
            <w:r>
              <w:rPr>
                <w:sz w:val="20"/>
              </w:rPr>
              <w:t>Proportion of the two-party vote that the Democratic gubernatorial candidate got in the last election. Note: this is the annual measure the moving averages were computed from.</w:t>
            </w:r>
          </w:p>
        </w:tc>
        <w:tc>
          <w:tcPr>
            <w:tcW w:w="6482" w:type="dxa"/>
          </w:tcPr>
          <w:p w14:paraId="15D2EC4F" w14:textId="77777777" w:rsidR="0046798B" w:rsidRDefault="00903B5C">
            <w:pPr>
              <w:pStyle w:val="TableParagraph"/>
              <w:spacing w:before="43"/>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57C05383" w14:textId="77777777" w:rsidR="0046798B" w:rsidRDefault="0046798B">
            <w:pPr>
              <w:pStyle w:val="TableParagraph"/>
              <w:rPr>
                <w:sz w:val="20"/>
              </w:rPr>
            </w:pPr>
          </w:p>
          <w:p w14:paraId="0850A701" w14:textId="77777777" w:rsidR="0046798B" w:rsidRDefault="00903B5C">
            <w:pPr>
              <w:pStyle w:val="TableParagraph"/>
              <w:ind w:left="114" w:right="995"/>
              <w:rPr>
                <w:sz w:val="20"/>
              </w:rPr>
            </w:pPr>
            <w:r>
              <w:rPr>
                <w:sz w:val="20"/>
              </w:rPr>
              <w:t xml:space="preserve">Klarner, Carl, 2013, “Other Scholars’ Competitiveness Measures”, </w:t>
            </w:r>
            <w:hyperlink r:id="rId583">
              <w:r>
                <w:rPr>
                  <w:color w:val="0462C1"/>
                  <w:sz w:val="20"/>
                  <w:u w:val="single" w:color="0462C1"/>
                </w:rPr>
                <w:t>https://doi.org/10.7910/DVN/QSDYLH</w:t>
              </w:r>
              <w:r>
                <w:rPr>
                  <w:sz w:val="20"/>
                </w:rPr>
                <w:t>,</w:t>
              </w:r>
            </w:hyperlink>
            <w:r>
              <w:rPr>
                <w:sz w:val="20"/>
              </w:rPr>
              <w:t xml:space="preserve"> Harvard Dataverse, V1</w:t>
            </w:r>
          </w:p>
        </w:tc>
      </w:tr>
      <w:tr w:rsidR="0046798B" w14:paraId="1CFAFA90" w14:textId="77777777">
        <w:trPr>
          <w:trHeight w:val="1466"/>
        </w:trPr>
        <w:tc>
          <w:tcPr>
            <w:tcW w:w="1711" w:type="dxa"/>
          </w:tcPr>
          <w:p w14:paraId="01E88693" w14:textId="77777777" w:rsidR="0046798B" w:rsidRDefault="0046798B">
            <w:pPr>
              <w:pStyle w:val="TableParagraph"/>
            </w:pPr>
          </w:p>
          <w:p w14:paraId="507F741E" w14:textId="77777777" w:rsidR="0046798B" w:rsidRDefault="0046798B">
            <w:pPr>
              <w:pStyle w:val="TableParagraph"/>
              <w:spacing w:before="9"/>
              <w:rPr>
                <w:sz w:val="31"/>
              </w:rPr>
            </w:pPr>
          </w:p>
          <w:p w14:paraId="44967E03" w14:textId="77777777" w:rsidR="0046798B" w:rsidRDefault="00903B5C">
            <w:pPr>
              <w:pStyle w:val="TableParagraph"/>
              <w:ind w:left="115"/>
              <w:rPr>
                <w:b/>
                <w:sz w:val="20"/>
              </w:rPr>
            </w:pPr>
            <w:r>
              <w:rPr>
                <w:b/>
                <w:sz w:val="20"/>
              </w:rPr>
              <w:t>ranney4_control</w:t>
            </w:r>
          </w:p>
        </w:tc>
        <w:tc>
          <w:tcPr>
            <w:tcW w:w="1596" w:type="dxa"/>
          </w:tcPr>
          <w:p w14:paraId="5C6D2523" w14:textId="77777777" w:rsidR="0046798B" w:rsidRDefault="0046798B">
            <w:pPr>
              <w:pStyle w:val="TableParagraph"/>
            </w:pPr>
          </w:p>
          <w:p w14:paraId="623686B4" w14:textId="77777777" w:rsidR="0046798B" w:rsidRDefault="00903B5C">
            <w:pPr>
              <w:pStyle w:val="TableParagraph"/>
              <w:spacing w:before="136"/>
              <w:ind w:left="114" w:right="179"/>
              <w:rPr>
                <w:sz w:val="20"/>
              </w:rPr>
            </w:pPr>
            <w:r>
              <w:rPr>
                <w:sz w:val="20"/>
              </w:rPr>
              <w:t>Party control of state government</w:t>
            </w:r>
          </w:p>
        </w:tc>
        <w:tc>
          <w:tcPr>
            <w:tcW w:w="1285" w:type="dxa"/>
          </w:tcPr>
          <w:p w14:paraId="60DAA32C" w14:textId="77777777" w:rsidR="0046798B" w:rsidRDefault="0046798B">
            <w:pPr>
              <w:pStyle w:val="TableParagraph"/>
            </w:pPr>
          </w:p>
          <w:p w14:paraId="3EB2AB85" w14:textId="77777777" w:rsidR="0046798B" w:rsidRDefault="0046798B">
            <w:pPr>
              <w:pStyle w:val="TableParagraph"/>
              <w:spacing w:before="9"/>
              <w:rPr>
                <w:sz w:val="31"/>
              </w:rPr>
            </w:pPr>
          </w:p>
          <w:p w14:paraId="676AF3AB" w14:textId="77777777" w:rsidR="0046798B" w:rsidRDefault="00903B5C">
            <w:pPr>
              <w:pStyle w:val="TableParagraph"/>
              <w:ind w:left="114"/>
              <w:rPr>
                <w:sz w:val="20"/>
              </w:rPr>
            </w:pPr>
            <w:r>
              <w:rPr>
                <w:sz w:val="20"/>
              </w:rPr>
              <w:t>1938–2016</w:t>
            </w:r>
          </w:p>
        </w:tc>
        <w:tc>
          <w:tcPr>
            <w:tcW w:w="3421" w:type="dxa"/>
          </w:tcPr>
          <w:p w14:paraId="0D12C59C" w14:textId="77777777" w:rsidR="0046798B" w:rsidRDefault="00903B5C">
            <w:pPr>
              <w:pStyle w:val="TableParagraph"/>
              <w:spacing w:before="159"/>
              <w:ind w:left="114" w:right="457"/>
              <w:rPr>
                <w:sz w:val="20"/>
              </w:rPr>
            </w:pPr>
            <w:r>
              <w:rPr>
                <w:sz w:val="20"/>
              </w:rPr>
              <w:t>0 = unified Republican control, 1 = unified Democratic control, .5 = neither. Note: this is the annual measure the moving averages were computed from.</w:t>
            </w:r>
          </w:p>
        </w:tc>
        <w:tc>
          <w:tcPr>
            <w:tcW w:w="6482" w:type="dxa"/>
          </w:tcPr>
          <w:p w14:paraId="2433A706" w14:textId="77777777" w:rsidR="0046798B" w:rsidRDefault="00903B5C">
            <w:pPr>
              <w:pStyle w:val="TableParagraph"/>
              <w:spacing w:before="44"/>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6C9B513E" w14:textId="77777777" w:rsidR="0046798B" w:rsidRDefault="0046798B">
            <w:pPr>
              <w:pStyle w:val="TableParagraph"/>
              <w:spacing w:before="11"/>
              <w:rPr>
                <w:sz w:val="19"/>
              </w:rPr>
            </w:pPr>
          </w:p>
          <w:p w14:paraId="1D889CFB" w14:textId="77777777" w:rsidR="0046798B" w:rsidRDefault="00903B5C">
            <w:pPr>
              <w:pStyle w:val="TableParagraph"/>
              <w:ind w:left="114" w:right="995"/>
              <w:rPr>
                <w:sz w:val="20"/>
              </w:rPr>
            </w:pPr>
            <w:r>
              <w:rPr>
                <w:sz w:val="20"/>
              </w:rPr>
              <w:t xml:space="preserve">Klarner, Carl, 2013, “Other Scholars’ Competitiveness Measures”, </w:t>
            </w:r>
            <w:hyperlink r:id="rId584">
              <w:r>
                <w:rPr>
                  <w:color w:val="0462C1"/>
                  <w:sz w:val="20"/>
                  <w:u w:val="single" w:color="0462C1"/>
                </w:rPr>
                <w:t>https://doi.org/10.7910/DVN/QSDYLH</w:t>
              </w:r>
              <w:r>
                <w:rPr>
                  <w:sz w:val="20"/>
                </w:rPr>
                <w:t>,</w:t>
              </w:r>
            </w:hyperlink>
            <w:r>
              <w:rPr>
                <w:sz w:val="20"/>
              </w:rPr>
              <w:t xml:space="preserve"> Harvard Dataverse, V1</w:t>
            </w:r>
          </w:p>
        </w:tc>
      </w:tr>
      <w:tr w:rsidR="0046798B" w14:paraId="300A9116" w14:textId="77777777">
        <w:trPr>
          <w:trHeight w:val="3080"/>
        </w:trPr>
        <w:tc>
          <w:tcPr>
            <w:tcW w:w="1711" w:type="dxa"/>
          </w:tcPr>
          <w:p w14:paraId="636B34B0" w14:textId="77777777" w:rsidR="0046798B" w:rsidRDefault="0046798B">
            <w:pPr>
              <w:pStyle w:val="TableParagraph"/>
            </w:pPr>
          </w:p>
          <w:p w14:paraId="22D11DA1" w14:textId="77777777" w:rsidR="0046798B" w:rsidRDefault="0046798B">
            <w:pPr>
              <w:pStyle w:val="TableParagraph"/>
            </w:pPr>
          </w:p>
          <w:p w14:paraId="4B6A6D39" w14:textId="77777777" w:rsidR="0046798B" w:rsidRDefault="0046798B">
            <w:pPr>
              <w:pStyle w:val="TableParagraph"/>
            </w:pPr>
          </w:p>
          <w:p w14:paraId="4CED0557" w14:textId="77777777" w:rsidR="0046798B" w:rsidRDefault="0046798B">
            <w:pPr>
              <w:pStyle w:val="TableParagraph"/>
            </w:pPr>
          </w:p>
          <w:p w14:paraId="3BF2A815" w14:textId="77777777" w:rsidR="0046798B" w:rsidRDefault="0046798B">
            <w:pPr>
              <w:pStyle w:val="TableParagraph"/>
              <w:spacing w:before="9"/>
              <w:rPr>
                <w:sz w:val="25"/>
              </w:rPr>
            </w:pPr>
          </w:p>
          <w:p w14:paraId="6727006C" w14:textId="77777777" w:rsidR="0046798B" w:rsidRDefault="00903B5C">
            <w:pPr>
              <w:pStyle w:val="TableParagraph"/>
              <w:ind w:left="115"/>
              <w:rPr>
                <w:b/>
                <w:sz w:val="20"/>
              </w:rPr>
            </w:pPr>
            <w:r>
              <w:rPr>
                <w:b/>
                <w:sz w:val="20"/>
              </w:rPr>
              <w:t>ranney4_control</w:t>
            </w:r>
          </w:p>
          <w:p w14:paraId="5E48246C" w14:textId="77777777" w:rsidR="0046798B" w:rsidRDefault="00903B5C">
            <w:pPr>
              <w:pStyle w:val="TableParagraph"/>
              <w:ind w:left="115"/>
              <w:rPr>
                <w:b/>
                <w:sz w:val="20"/>
              </w:rPr>
            </w:pPr>
            <w:r>
              <w:rPr>
                <w:b/>
                <w:sz w:val="20"/>
              </w:rPr>
              <w:t>_alt</w:t>
            </w:r>
          </w:p>
        </w:tc>
        <w:tc>
          <w:tcPr>
            <w:tcW w:w="1596" w:type="dxa"/>
          </w:tcPr>
          <w:p w14:paraId="10AA2060" w14:textId="77777777" w:rsidR="0046798B" w:rsidRDefault="0046798B">
            <w:pPr>
              <w:pStyle w:val="TableParagraph"/>
            </w:pPr>
          </w:p>
          <w:p w14:paraId="69A8ADE2" w14:textId="77777777" w:rsidR="0046798B" w:rsidRDefault="0046798B">
            <w:pPr>
              <w:pStyle w:val="TableParagraph"/>
            </w:pPr>
          </w:p>
          <w:p w14:paraId="07239AFC" w14:textId="77777777" w:rsidR="0046798B" w:rsidRDefault="0046798B">
            <w:pPr>
              <w:pStyle w:val="TableParagraph"/>
            </w:pPr>
          </w:p>
          <w:p w14:paraId="7BFD6DE4" w14:textId="77777777" w:rsidR="0046798B" w:rsidRDefault="0046798B">
            <w:pPr>
              <w:pStyle w:val="TableParagraph"/>
            </w:pPr>
          </w:p>
          <w:p w14:paraId="446DB472" w14:textId="77777777" w:rsidR="0046798B" w:rsidRDefault="00903B5C">
            <w:pPr>
              <w:pStyle w:val="TableParagraph"/>
              <w:spacing w:before="181"/>
              <w:ind w:left="114" w:right="252"/>
              <w:rPr>
                <w:sz w:val="20"/>
              </w:rPr>
            </w:pPr>
            <w:r>
              <w:rPr>
                <w:sz w:val="20"/>
              </w:rPr>
              <w:t>Democratic control of state government</w:t>
            </w:r>
          </w:p>
        </w:tc>
        <w:tc>
          <w:tcPr>
            <w:tcW w:w="1285" w:type="dxa"/>
          </w:tcPr>
          <w:p w14:paraId="3FB0538E" w14:textId="77777777" w:rsidR="0046798B" w:rsidRDefault="0046798B">
            <w:pPr>
              <w:pStyle w:val="TableParagraph"/>
            </w:pPr>
          </w:p>
          <w:p w14:paraId="6A8235C4" w14:textId="77777777" w:rsidR="0046798B" w:rsidRDefault="0046798B">
            <w:pPr>
              <w:pStyle w:val="TableParagraph"/>
            </w:pPr>
          </w:p>
          <w:p w14:paraId="20558F79" w14:textId="77777777" w:rsidR="0046798B" w:rsidRDefault="0046798B">
            <w:pPr>
              <w:pStyle w:val="TableParagraph"/>
            </w:pPr>
          </w:p>
          <w:p w14:paraId="0D6DE4AF" w14:textId="77777777" w:rsidR="0046798B" w:rsidRDefault="0046798B">
            <w:pPr>
              <w:pStyle w:val="TableParagraph"/>
            </w:pPr>
          </w:p>
          <w:p w14:paraId="4BEACB3D" w14:textId="77777777" w:rsidR="0046798B" w:rsidRDefault="0046798B">
            <w:pPr>
              <w:pStyle w:val="TableParagraph"/>
            </w:pPr>
          </w:p>
          <w:p w14:paraId="0983CFCF" w14:textId="77777777" w:rsidR="0046798B" w:rsidRDefault="00903B5C">
            <w:pPr>
              <w:pStyle w:val="TableParagraph"/>
              <w:spacing w:before="158"/>
              <w:ind w:left="114"/>
              <w:rPr>
                <w:sz w:val="20"/>
              </w:rPr>
            </w:pPr>
            <w:r>
              <w:rPr>
                <w:sz w:val="20"/>
              </w:rPr>
              <w:t>1938–2016</w:t>
            </w:r>
          </w:p>
        </w:tc>
        <w:tc>
          <w:tcPr>
            <w:tcW w:w="3421" w:type="dxa"/>
          </w:tcPr>
          <w:p w14:paraId="20C7FA37" w14:textId="77777777" w:rsidR="0046798B" w:rsidRDefault="00903B5C">
            <w:pPr>
              <w:pStyle w:val="TableParagraph"/>
              <w:spacing w:before="43"/>
              <w:ind w:left="114" w:right="129"/>
              <w:rPr>
                <w:sz w:val="20"/>
              </w:rPr>
            </w:pPr>
            <w:r>
              <w:rPr>
                <w:sz w:val="20"/>
              </w:rPr>
              <w:t xml:space="preserve">Dummy variable: 1 = unified Democratic control, 0 = else. Note: this is the annual measure the moving averages were computed from. Also, this is the way dimension #4 of the Ranney index has been measured in </w:t>
            </w:r>
            <w:r>
              <w:rPr>
                <w:spacing w:val="-7"/>
                <w:sz w:val="20"/>
              </w:rPr>
              <w:t xml:space="preserve">the </w:t>
            </w:r>
            <w:r>
              <w:rPr>
                <w:sz w:val="20"/>
              </w:rPr>
              <w:t>past. This method could be very problematic. The underlying assumption of this method is that unified Democratic control is important, but that the difference between unified Republican control and split control</w:t>
            </w:r>
            <w:r>
              <w:rPr>
                <w:spacing w:val="-4"/>
                <w:sz w:val="20"/>
              </w:rPr>
              <w:t xml:space="preserve"> </w:t>
            </w:r>
            <w:r>
              <w:rPr>
                <w:sz w:val="20"/>
              </w:rPr>
              <w:t>isn’t.</w:t>
            </w:r>
          </w:p>
        </w:tc>
        <w:tc>
          <w:tcPr>
            <w:tcW w:w="6482" w:type="dxa"/>
          </w:tcPr>
          <w:p w14:paraId="32D6C46E" w14:textId="77777777" w:rsidR="0046798B" w:rsidRDefault="0046798B">
            <w:pPr>
              <w:pStyle w:val="TableParagraph"/>
            </w:pPr>
          </w:p>
          <w:p w14:paraId="743A8F7E" w14:textId="77777777" w:rsidR="0046798B" w:rsidRDefault="0046798B">
            <w:pPr>
              <w:pStyle w:val="TableParagraph"/>
            </w:pPr>
          </w:p>
          <w:p w14:paraId="059FC552" w14:textId="77777777" w:rsidR="0046798B" w:rsidRDefault="0046798B">
            <w:pPr>
              <w:pStyle w:val="TableParagraph"/>
              <w:spacing w:before="8"/>
              <w:rPr>
                <w:sz w:val="29"/>
              </w:rPr>
            </w:pPr>
          </w:p>
          <w:p w14:paraId="5D6187AB" w14:textId="77777777" w:rsidR="0046798B" w:rsidRDefault="00903B5C">
            <w:pPr>
              <w:pStyle w:val="TableParagraph"/>
              <w:spacing w:before="1"/>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019EA3C3" w14:textId="77777777" w:rsidR="0046798B" w:rsidRDefault="0046798B">
            <w:pPr>
              <w:pStyle w:val="TableParagraph"/>
              <w:rPr>
                <w:sz w:val="20"/>
              </w:rPr>
            </w:pPr>
          </w:p>
          <w:p w14:paraId="3DFD0DE3" w14:textId="77777777" w:rsidR="0046798B" w:rsidRDefault="00903B5C">
            <w:pPr>
              <w:pStyle w:val="TableParagraph"/>
              <w:ind w:left="114" w:right="995"/>
              <w:rPr>
                <w:sz w:val="20"/>
              </w:rPr>
            </w:pPr>
            <w:r>
              <w:rPr>
                <w:sz w:val="20"/>
              </w:rPr>
              <w:t xml:space="preserve">Klarner, Carl, 2013, “Other Scholars’ Competitiveness Measures”, </w:t>
            </w:r>
            <w:hyperlink r:id="rId585">
              <w:r>
                <w:rPr>
                  <w:color w:val="0462C1"/>
                  <w:sz w:val="20"/>
                  <w:u w:val="single" w:color="0462C1"/>
                </w:rPr>
                <w:t>https://doi.org/10.7910/DVN/QSDYLH</w:t>
              </w:r>
              <w:r>
                <w:rPr>
                  <w:sz w:val="20"/>
                </w:rPr>
                <w:t>,</w:t>
              </w:r>
            </w:hyperlink>
            <w:r>
              <w:rPr>
                <w:sz w:val="20"/>
              </w:rPr>
              <w:t xml:space="preserve"> Harvard Dataverse, V1</w:t>
            </w:r>
          </w:p>
        </w:tc>
      </w:tr>
      <w:tr w:rsidR="0046798B" w14:paraId="5F93038A" w14:textId="77777777">
        <w:trPr>
          <w:trHeight w:val="1465"/>
        </w:trPr>
        <w:tc>
          <w:tcPr>
            <w:tcW w:w="1711" w:type="dxa"/>
          </w:tcPr>
          <w:p w14:paraId="206CD335" w14:textId="77777777" w:rsidR="0046798B" w:rsidRDefault="0046798B">
            <w:pPr>
              <w:pStyle w:val="TableParagraph"/>
            </w:pPr>
          </w:p>
          <w:p w14:paraId="09EF6668" w14:textId="77777777" w:rsidR="0046798B" w:rsidRDefault="0046798B">
            <w:pPr>
              <w:pStyle w:val="TableParagraph"/>
              <w:spacing w:before="4"/>
              <w:rPr>
                <w:sz w:val="21"/>
              </w:rPr>
            </w:pPr>
          </w:p>
          <w:p w14:paraId="40386891" w14:textId="77777777" w:rsidR="0046798B" w:rsidRDefault="00903B5C">
            <w:pPr>
              <w:pStyle w:val="TableParagraph"/>
              <w:ind w:left="115" w:right="188"/>
              <w:rPr>
                <w:b/>
                <w:sz w:val="20"/>
              </w:rPr>
            </w:pPr>
            <w:r>
              <w:rPr>
                <w:b/>
                <w:sz w:val="20"/>
              </w:rPr>
              <w:t>ranney1_sen_de m_prop_4yr</w:t>
            </w:r>
          </w:p>
        </w:tc>
        <w:tc>
          <w:tcPr>
            <w:tcW w:w="1596" w:type="dxa"/>
          </w:tcPr>
          <w:p w14:paraId="4F1052C6" w14:textId="77777777" w:rsidR="0046798B" w:rsidRDefault="0046798B">
            <w:pPr>
              <w:pStyle w:val="TableParagraph"/>
              <w:spacing w:before="3"/>
              <w:rPr>
                <w:sz w:val="23"/>
              </w:rPr>
            </w:pPr>
          </w:p>
          <w:p w14:paraId="40445670" w14:textId="77777777" w:rsidR="0046798B" w:rsidRDefault="00903B5C">
            <w:pPr>
              <w:pStyle w:val="TableParagraph"/>
              <w:spacing w:before="1"/>
              <w:ind w:left="114" w:right="102"/>
              <w:rPr>
                <w:sz w:val="20"/>
              </w:rPr>
            </w:pPr>
            <w:r>
              <w:rPr>
                <w:sz w:val="20"/>
              </w:rPr>
              <w:t>Proportion of Democratic state senators: 4-yr. moving average</w:t>
            </w:r>
          </w:p>
        </w:tc>
        <w:tc>
          <w:tcPr>
            <w:tcW w:w="1285" w:type="dxa"/>
          </w:tcPr>
          <w:p w14:paraId="18B4DEBB" w14:textId="77777777" w:rsidR="0046798B" w:rsidRDefault="0046798B">
            <w:pPr>
              <w:pStyle w:val="TableParagraph"/>
            </w:pPr>
          </w:p>
          <w:p w14:paraId="6DD16FD1" w14:textId="77777777" w:rsidR="0046798B" w:rsidRDefault="0046798B">
            <w:pPr>
              <w:pStyle w:val="TableParagraph"/>
              <w:spacing w:before="4"/>
              <w:rPr>
                <w:sz w:val="31"/>
              </w:rPr>
            </w:pPr>
          </w:p>
          <w:p w14:paraId="16BB947F" w14:textId="77777777" w:rsidR="0046798B" w:rsidRDefault="00903B5C">
            <w:pPr>
              <w:pStyle w:val="TableParagraph"/>
              <w:ind w:left="114"/>
              <w:rPr>
                <w:sz w:val="20"/>
              </w:rPr>
            </w:pPr>
            <w:r>
              <w:rPr>
                <w:sz w:val="20"/>
              </w:rPr>
              <w:t>1941–2010</w:t>
            </w:r>
          </w:p>
        </w:tc>
        <w:tc>
          <w:tcPr>
            <w:tcW w:w="3421" w:type="dxa"/>
          </w:tcPr>
          <w:p w14:paraId="353C9172" w14:textId="77777777" w:rsidR="0046798B" w:rsidRDefault="0046798B">
            <w:pPr>
              <w:pStyle w:val="TableParagraph"/>
            </w:pPr>
          </w:p>
          <w:p w14:paraId="6FA49CED" w14:textId="77777777" w:rsidR="0046798B" w:rsidRDefault="0046798B">
            <w:pPr>
              <w:pStyle w:val="TableParagraph"/>
              <w:spacing w:before="4"/>
              <w:rPr>
                <w:sz w:val="21"/>
              </w:rPr>
            </w:pPr>
          </w:p>
          <w:p w14:paraId="19251A20" w14:textId="77777777" w:rsidR="0046798B" w:rsidRDefault="00903B5C">
            <w:pPr>
              <w:pStyle w:val="TableParagraph"/>
              <w:ind w:left="114" w:right="333"/>
              <w:rPr>
                <w:sz w:val="20"/>
              </w:rPr>
            </w:pPr>
            <w:r>
              <w:rPr>
                <w:sz w:val="20"/>
              </w:rPr>
              <w:t>Proportion of state senators who are Democrats (4-year moving average).</w:t>
            </w:r>
          </w:p>
        </w:tc>
        <w:tc>
          <w:tcPr>
            <w:tcW w:w="6482" w:type="dxa"/>
          </w:tcPr>
          <w:p w14:paraId="3F67F200" w14:textId="77777777" w:rsidR="0046798B" w:rsidRDefault="00903B5C">
            <w:pPr>
              <w:pStyle w:val="TableParagraph"/>
              <w:spacing w:before="38"/>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11BBC292" w14:textId="77777777" w:rsidR="0046798B" w:rsidRDefault="0046798B">
            <w:pPr>
              <w:pStyle w:val="TableParagraph"/>
              <w:rPr>
                <w:sz w:val="20"/>
              </w:rPr>
            </w:pPr>
          </w:p>
          <w:p w14:paraId="6B2402F9" w14:textId="77777777" w:rsidR="0046798B" w:rsidRDefault="00903B5C">
            <w:pPr>
              <w:pStyle w:val="TableParagraph"/>
              <w:ind w:left="114" w:right="995"/>
              <w:rPr>
                <w:sz w:val="20"/>
              </w:rPr>
            </w:pPr>
            <w:r>
              <w:rPr>
                <w:sz w:val="20"/>
              </w:rPr>
              <w:t xml:space="preserve">Klarner, Carl, 2013, “Other Scholars’ Competitiveness Measures”, </w:t>
            </w:r>
            <w:hyperlink r:id="rId586">
              <w:r>
                <w:rPr>
                  <w:color w:val="0462C1"/>
                  <w:sz w:val="20"/>
                  <w:u w:val="single" w:color="0462C1"/>
                </w:rPr>
                <w:t>https://doi.org/10.7910/DVN/QSDYLH</w:t>
              </w:r>
              <w:r>
                <w:rPr>
                  <w:sz w:val="20"/>
                </w:rPr>
                <w:t>,</w:t>
              </w:r>
            </w:hyperlink>
            <w:r>
              <w:rPr>
                <w:sz w:val="20"/>
              </w:rPr>
              <w:t xml:space="preserve"> Harvard Dataverse, V1</w:t>
            </w:r>
          </w:p>
        </w:tc>
      </w:tr>
      <w:tr w:rsidR="0046798B" w14:paraId="65025D2B" w14:textId="77777777">
        <w:trPr>
          <w:trHeight w:val="1465"/>
        </w:trPr>
        <w:tc>
          <w:tcPr>
            <w:tcW w:w="1711" w:type="dxa"/>
          </w:tcPr>
          <w:p w14:paraId="25FBB35B" w14:textId="77777777" w:rsidR="0046798B" w:rsidRDefault="0046798B">
            <w:pPr>
              <w:pStyle w:val="TableParagraph"/>
            </w:pPr>
          </w:p>
          <w:p w14:paraId="441C64F4" w14:textId="77777777" w:rsidR="0046798B" w:rsidRDefault="0046798B">
            <w:pPr>
              <w:pStyle w:val="TableParagraph"/>
              <w:spacing w:before="4"/>
              <w:rPr>
                <w:sz w:val="21"/>
              </w:rPr>
            </w:pPr>
          </w:p>
          <w:p w14:paraId="1059B5A4" w14:textId="77777777" w:rsidR="0046798B" w:rsidRDefault="00903B5C">
            <w:pPr>
              <w:pStyle w:val="TableParagraph"/>
              <w:ind w:left="115"/>
              <w:rPr>
                <w:b/>
                <w:sz w:val="20"/>
              </w:rPr>
            </w:pPr>
            <w:r>
              <w:rPr>
                <w:b/>
                <w:sz w:val="20"/>
              </w:rPr>
              <w:t>ranney2_hs_dem</w:t>
            </w:r>
          </w:p>
          <w:p w14:paraId="5C9A159D" w14:textId="77777777" w:rsidR="0046798B" w:rsidRDefault="00903B5C">
            <w:pPr>
              <w:pStyle w:val="TableParagraph"/>
              <w:ind w:left="115"/>
              <w:rPr>
                <w:b/>
                <w:sz w:val="20"/>
              </w:rPr>
            </w:pPr>
            <w:r>
              <w:rPr>
                <w:b/>
                <w:sz w:val="20"/>
              </w:rPr>
              <w:t>_prop_4yr</w:t>
            </w:r>
          </w:p>
        </w:tc>
        <w:tc>
          <w:tcPr>
            <w:tcW w:w="1596" w:type="dxa"/>
          </w:tcPr>
          <w:p w14:paraId="1E3C1B5A" w14:textId="77777777" w:rsidR="0046798B" w:rsidRDefault="00903B5C">
            <w:pPr>
              <w:pStyle w:val="TableParagraph"/>
              <w:spacing w:before="153"/>
              <w:ind w:left="114" w:right="115"/>
              <w:rPr>
                <w:sz w:val="20"/>
              </w:rPr>
            </w:pPr>
            <w:r>
              <w:rPr>
                <w:sz w:val="20"/>
              </w:rPr>
              <w:t>Proportion of Democratic state house members: 4-yr. moving average</w:t>
            </w:r>
          </w:p>
        </w:tc>
        <w:tc>
          <w:tcPr>
            <w:tcW w:w="1285" w:type="dxa"/>
          </w:tcPr>
          <w:p w14:paraId="02F21415" w14:textId="77777777" w:rsidR="0046798B" w:rsidRDefault="0046798B">
            <w:pPr>
              <w:pStyle w:val="TableParagraph"/>
            </w:pPr>
          </w:p>
          <w:p w14:paraId="1BF90894" w14:textId="77777777" w:rsidR="0046798B" w:rsidRDefault="0046798B">
            <w:pPr>
              <w:pStyle w:val="TableParagraph"/>
              <w:spacing w:before="4"/>
              <w:rPr>
                <w:sz w:val="31"/>
              </w:rPr>
            </w:pPr>
          </w:p>
          <w:p w14:paraId="3BCAC9EB" w14:textId="77777777" w:rsidR="0046798B" w:rsidRDefault="00903B5C">
            <w:pPr>
              <w:pStyle w:val="TableParagraph"/>
              <w:ind w:left="114"/>
              <w:rPr>
                <w:sz w:val="20"/>
              </w:rPr>
            </w:pPr>
            <w:r>
              <w:rPr>
                <w:sz w:val="20"/>
              </w:rPr>
              <w:t>1941–2010</w:t>
            </w:r>
          </w:p>
        </w:tc>
        <w:tc>
          <w:tcPr>
            <w:tcW w:w="3421" w:type="dxa"/>
          </w:tcPr>
          <w:p w14:paraId="6DB11708" w14:textId="77777777" w:rsidR="0046798B" w:rsidRDefault="0046798B">
            <w:pPr>
              <w:pStyle w:val="TableParagraph"/>
            </w:pPr>
          </w:p>
          <w:p w14:paraId="3DCD85DE" w14:textId="77777777" w:rsidR="0046798B" w:rsidRDefault="00903B5C">
            <w:pPr>
              <w:pStyle w:val="TableParagraph"/>
              <w:spacing w:before="130"/>
              <w:ind w:left="114" w:right="109"/>
              <w:rPr>
                <w:sz w:val="20"/>
              </w:rPr>
            </w:pPr>
            <w:r>
              <w:rPr>
                <w:sz w:val="20"/>
              </w:rPr>
              <w:t>Proportion of state house members who are Democrats (4-year moving average).</w:t>
            </w:r>
          </w:p>
        </w:tc>
        <w:tc>
          <w:tcPr>
            <w:tcW w:w="6482" w:type="dxa"/>
          </w:tcPr>
          <w:p w14:paraId="10956826" w14:textId="77777777" w:rsidR="0046798B" w:rsidRDefault="00903B5C">
            <w:pPr>
              <w:pStyle w:val="TableParagraph"/>
              <w:spacing w:before="38"/>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4EC92CC1" w14:textId="77777777" w:rsidR="0046798B" w:rsidRDefault="0046798B">
            <w:pPr>
              <w:pStyle w:val="TableParagraph"/>
              <w:rPr>
                <w:sz w:val="20"/>
              </w:rPr>
            </w:pPr>
          </w:p>
          <w:p w14:paraId="16C6D5BC" w14:textId="77777777" w:rsidR="0046798B" w:rsidRDefault="00903B5C">
            <w:pPr>
              <w:pStyle w:val="TableParagraph"/>
              <w:ind w:left="114" w:right="995"/>
              <w:rPr>
                <w:sz w:val="20"/>
              </w:rPr>
            </w:pPr>
            <w:r>
              <w:rPr>
                <w:sz w:val="20"/>
              </w:rPr>
              <w:t xml:space="preserve">Klarner, Carl, 2013, “Other Scholars’ Competitiveness Measures”, </w:t>
            </w:r>
            <w:hyperlink r:id="rId587">
              <w:r>
                <w:rPr>
                  <w:color w:val="0462C1"/>
                  <w:sz w:val="20"/>
                  <w:u w:val="single" w:color="0462C1"/>
                </w:rPr>
                <w:t>https://doi.org/10.7910/DVN/QSDYLH</w:t>
              </w:r>
              <w:r>
                <w:rPr>
                  <w:sz w:val="20"/>
                </w:rPr>
                <w:t>,</w:t>
              </w:r>
            </w:hyperlink>
            <w:r>
              <w:rPr>
                <w:sz w:val="20"/>
              </w:rPr>
              <w:t xml:space="preserve"> Harvard Dataverse, V1</w:t>
            </w:r>
          </w:p>
        </w:tc>
      </w:tr>
    </w:tbl>
    <w:p w14:paraId="26BD2C97" w14:textId="77777777" w:rsidR="0046798B" w:rsidRDefault="0046798B">
      <w:pPr>
        <w:rPr>
          <w:sz w:val="20"/>
        </w:rPr>
        <w:sectPr w:rsidR="0046798B">
          <w:pgSz w:w="15840" w:h="12240" w:orient="landscape"/>
          <w:pgMar w:top="1220" w:right="300" w:bottom="980" w:left="820" w:header="730" w:footer="787" w:gutter="0"/>
          <w:cols w:space="720"/>
        </w:sectPr>
      </w:pPr>
    </w:p>
    <w:p w14:paraId="42645AE5"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6F1AE63" w14:textId="77777777">
        <w:trPr>
          <w:trHeight w:val="1465"/>
        </w:trPr>
        <w:tc>
          <w:tcPr>
            <w:tcW w:w="1711" w:type="dxa"/>
          </w:tcPr>
          <w:p w14:paraId="1EFFEC51" w14:textId="77777777" w:rsidR="0046798B" w:rsidRDefault="0046798B">
            <w:pPr>
              <w:pStyle w:val="TableParagraph"/>
            </w:pPr>
          </w:p>
          <w:p w14:paraId="5B19B332" w14:textId="77777777" w:rsidR="0046798B" w:rsidRDefault="0046798B">
            <w:pPr>
              <w:pStyle w:val="TableParagraph"/>
              <w:spacing w:before="9"/>
              <w:rPr>
                <w:sz w:val="21"/>
              </w:rPr>
            </w:pPr>
          </w:p>
          <w:p w14:paraId="03FC61DB" w14:textId="77777777" w:rsidR="0046798B" w:rsidRDefault="00903B5C">
            <w:pPr>
              <w:pStyle w:val="TableParagraph"/>
              <w:ind w:left="115"/>
              <w:rPr>
                <w:b/>
                <w:sz w:val="20"/>
              </w:rPr>
            </w:pPr>
            <w:r>
              <w:rPr>
                <w:b/>
                <w:sz w:val="20"/>
              </w:rPr>
              <w:t>ranney3_gub_pr op_4yr</w:t>
            </w:r>
          </w:p>
        </w:tc>
        <w:tc>
          <w:tcPr>
            <w:tcW w:w="1596" w:type="dxa"/>
          </w:tcPr>
          <w:p w14:paraId="0442B620" w14:textId="77777777" w:rsidR="0046798B" w:rsidRDefault="00903B5C">
            <w:pPr>
              <w:pStyle w:val="TableParagraph"/>
              <w:spacing w:before="43"/>
              <w:ind w:left="114" w:right="186"/>
              <w:rPr>
                <w:sz w:val="20"/>
              </w:rPr>
            </w:pPr>
            <w:r>
              <w:rPr>
                <w:sz w:val="20"/>
              </w:rPr>
              <w:t>Proportion of two-party vote for Democratic gubernatorial candidate: 4-yr. moving average</w:t>
            </w:r>
          </w:p>
        </w:tc>
        <w:tc>
          <w:tcPr>
            <w:tcW w:w="1285" w:type="dxa"/>
          </w:tcPr>
          <w:p w14:paraId="0E519982" w14:textId="77777777" w:rsidR="0046798B" w:rsidRDefault="0046798B">
            <w:pPr>
              <w:pStyle w:val="TableParagraph"/>
            </w:pPr>
          </w:p>
          <w:p w14:paraId="6B7AC653" w14:textId="77777777" w:rsidR="0046798B" w:rsidRDefault="0046798B">
            <w:pPr>
              <w:pStyle w:val="TableParagraph"/>
              <w:spacing w:before="9"/>
              <w:rPr>
                <w:sz w:val="31"/>
              </w:rPr>
            </w:pPr>
          </w:p>
          <w:p w14:paraId="60173D89" w14:textId="77777777" w:rsidR="0046798B" w:rsidRDefault="00903B5C">
            <w:pPr>
              <w:pStyle w:val="TableParagraph"/>
              <w:ind w:left="114"/>
              <w:rPr>
                <w:sz w:val="20"/>
              </w:rPr>
            </w:pPr>
            <w:r>
              <w:rPr>
                <w:sz w:val="20"/>
              </w:rPr>
              <w:t>1941–2010</w:t>
            </w:r>
          </w:p>
        </w:tc>
        <w:tc>
          <w:tcPr>
            <w:tcW w:w="3421" w:type="dxa"/>
          </w:tcPr>
          <w:p w14:paraId="76A09372" w14:textId="77777777" w:rsidR="0046798B" w:rsidRDefault="0046798B">
            <w:pPr>
              <w:pStyle w:val="TableParagraph"/>
              <w:spacing w:before="9"/>
              <w:rPr>
                <w:sz w:val="23"/>
              </w:rPr>
            </w:pPr>
          </w:p>
          <w:p w14:paraId="09458516" w14:textId="77777777" w:rsidR="0046798B" w:rsidRDefault="00903B5C">
            <w:pPr>
              <w:pStyle w:val="TableParagraph"/>
              <w:ind w:left="114" w:right="117"/>
              <w:rPr>
                <w:sz w:val="20"/>
              </w:rPr>
            </w:pPr>
            <w:r>
              <w:rPr>
                <w:sz w:val="20"/>
              </w:rPr>
              <w:t>Proportion of the two-party vote that the Democratic gubernatorial candidate got in the last election (f4-year moving average).</w:t>
            </w:r>
          </w:p>
        </w:tc>
        <w:tc>
          <w:tcPr>
            <w:tcW w:w="6482" w:type="dxa"/>
          </w:tcPr>
          <w:p w14:paraId="4B0F5C75" w14:textId="77777777" w:rsidR="0046798B" w:rsidRDefault="00903B5C">
            <w:pPr>
              <w:pStyle w:val="TableParagraph"/>
              <w:spacing w:before="43"/>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275AC893" w14:textId="77777777" w:rsidR="0046798B" w:rsidRDefault="0046798B">
            <w:pPr>
              <w:pStyle w:val="TableParagraph"/>
              <w:rPr>
                <w:sz w:val="20"/>
              </w:rPr>
            </w:pPr>
          </w:p>
          <w:p w14:paraId="60CD8199" w14:textId="77777777" w:rsidR="0046798B" w:rsidRDefault="00903B5C">
            <w:pPr>
              <w:pStyle w:val="TableParagraph"/>
              <w:ind w:left="114" w:right="995"/>
              <w:rPr>
                <w:sz w:val="20"/>
              </w:rPr>
            </w:pPr>
            <w:r>
              <w:rPr>
                <w:sz w:val="20"/>
              </w:rPr>
              <w:t xml:space="preserve">Klarner, Carl, 2013, “Other Scholars’ Competitiveness Measures”, </w:t>
            </w:r>
            <w:hyperlink r:id="rId588">
              <w:r>
                <w:rPr>
                  <w:color w:val="0462C1"/>
                  <w:sz w:val="20"/>
                  <w:u w:val="single" w:color="0462C1"/>
                </w:rPr>
                <w:t>https://doi.org/10.7910/DVN/QSDYLH</w:t>
              </w:r>
              <w:r>
                <w:rPr>
                  <w:sz w:val="20"/>
                </w:rPr>
                <w:t>,</w:t>
              </w:r>
            </w:hyperlink>
            <w:r>
              <w:rPr>
                <w:sz w:val="20"/>
              </w:rPr>
              <w:t xml:space="preserve"> Harvard Dataverse, V1</w:t>
            </w:r>
          </w:p>
        </w:tc>
      </w:tr>
      <w:tr w:rsidR="0046798B" w14:paraId="7E1BB036" w14:textId="77777777">
        <w:trPr>
          <w:trHeight w:val="1466"/>
        </w:trPr>
        <w:tc>
          <w:tcPr>
            <w:tcW w:w="1711" w:type="dxa"/>
          </w:tcPr>
          <w:p w14:paraId="40BBE3B5" w14:textId="77777777" w:rsidR="0046798B" w:rsidRDefault="0046798B">
            <w:pPr>
              <w:pStyle w:val="TableParagraph"/>
            </w:pPr>
          </w:p>
          <w:p w14:paraId="031B6522" w14:textId="77777777" w:rsidR="0046798B" w:rsidRDefault="0046798B">
            <w:pPr>
              <w:pStyle w:val="TableParagraph"/>
              <w:spacing w:before="9"/>
              <w:rPr>
                <w:sz w:val="21"/>
              </w:rPr>
            </w:pPr>
          </w:p>
          <w:p w14:paraId="4D037CAD" w14:textId="77777777" w:rsidR="0046798B" w:rsidRDefault="00903B5C">
            <w:pPr>
              <w:pStyle w:val="TableParagraph"/>
              <w:ind w:left="115"/>
              <w:rPr>
                <w:b/>
                <w:sz w:val="20"/>
              </w:rPr>
            </w:pPr>
            <w:r>
              <w:rPr>
                <w:b/>
                <w:sz w:val="20"/>
              </w:rPr>
              <w:t>ranney4_control</w:t>
            </w:r>
          </w:p>
          <w:p w14:paraId="19D2E2F3" w14:textId="77777777" w:rsidR="0046798B" w:rsidRDefault="00903B5C">
            <w:pPr>
              <w:pStyle w:val="TableParagraph"/>
              <w:ind w:left="115"/>
              <w:rPr>
                <w:b/>
                <w:sz w:val="20"/>
              </w:rPr>
            </w:pPr>
            <w:r>
              <w:rPr>
                <w:b/>
                <w:sz w:val="20"/>
              </w:rPr>
              <w:t>_4yr</w:t>
            </w:r>
          </w:p>
        </w:tc>
        <w:tc>
          <w:tcPr>
            <w:tcW w:w="1596" w:type="dxa"/>
          </w:tcPr>
          <w:p w14:paraId="4A59568C" w14:textId="77777777" w:rsidR="0046798B" w:rsidRDefault="00903B5C">
            <w:pPr>
              <w:pStyle w:val="TableParagraph"/>
              <w:spacing w:before="159"/>
              <w:ind w:left="114" w:right="135"/>
              <w:rPr>
                <w:sz w:val="20"/>
              </w:rPr>
            </w:pPr>
            <w:r>
              <w:rPr>
                <w:sz w:val="20"/>
              </w:rPr>
              <w:t>Party control of state government: 4- yr. moving average</w:t>
            </w:r>
          </w:p>
        </w:tc>
        <w:tc>
          <w:tcPr>
            <w:tcW w:w="1285" w:type="dxa"/>
          </w:tcPr>
          <w:p w14:paraId="605A23A1" w14:textId="77777777" w:rsidR="0046798B" w:rsidRDefault="0046798B">
            <w:pPr>
              <w:pStyle w:val="TableParagraph"/>
            </w:pPr>
          </w:p>
          <w:p w14:paraId="7D15D178" w14:textId="77777777" w:rsidR="0046798B" w:rsidRDefault="0046798B">
            <w:pPr>
              <w:pStyle w:val="TableParagraph"/>
              <w:spacing w:before="9"/>
              <w:rPr>
                <w:sz w:val="31"/>
              </w:rPr>
            </w:pPr>
          </w:p>
          <w:p w14:paraId="4911DDB5" w14:textId="77777777" w:rsidR="0046798B" w:rsidRDefault="00903B5C">
            <w:pPr>
              <w:pStyle w:val="TableParagraph"/>
              <w:ind w:left="114"/>
              <w:rPr>
                <w:sz w:val="20"/>
              </w:rPr>
            </w:pPr>
            <w:r>
              <w:rPr>
                <w:sz w:val="20"/>
              </w:rPr>
              <w:t>1941–2010</w:t>
            </w:r>
          </w:p>
        </w:tc>
        <w:tc>
          <w:tcPr>
            <w:tcW w:w="3421" w:type="dxa"/>
          </w:tcPr>
          <w:p w14:paraId="4D733EFF" w14:textId="77777777" w:rsidR="0046798B" w:rsidRDefault="0046798B">
            <w:pPr>
              <w:pStyle w:val="TableParagraph"/>
            </w:pPr>
          </w:p>
          <w:p w14:paraId="59449919" w14:textId="77777777" w:rsidR="0046798B" w:rsidRDefault="00903B5C">
            <w:pPr>
              <w:pStyle w:val="TableParagraph"/>
              <w:spacing w:before="136"/>
              <w:ind w:left="114" w:right="450"/>
              <w:rPr>
                <w:sz w:val="20"/>
              </w:rPr>
            </w:pPr>
            <w:r>
              <w:rPr>
                <w:sz w:val="20"/>
              </w:rPr>
              <w:t>0 = unified Republican control, 1 = unified Democratic control, .5 = neither. Four-year moving average.</w:t>
            </w:r>
          </w:p>
        </w:tc>
        <w:tc>
          <w:tcPr>
            <w:tcW w:w="6482" w:type="dxa"/>
          </w:tcPr>
          <w:p w14:paraId="37B23377" w14:textId="77777777" w:rsidR="0046798B" w:rsidRDefault="00903B5C">
            <w:pPr>
              <w:pStyle w:val="TableParagraph"/>
              <w:spacing w:before="44"/>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4A6D3ED6" w14:textId="77777777" w:rsidR="0046798B" w:rsidRDefault="0046798B">
            <w:pPr>
              <w:pStyle w:val="TableParagraph"/>
              <w:spacing w:before="11"/>
              <w:rPr>
                <w:sz w:val="19"/>
              </w:rPr>
            </w:pPr>
          </w:p>
          <w:p w14:paraId="5C107314" w14:textId="77777777" w:rsidR="0046798B" w:rsidRDefault="00903B5C">
            <w:pPr>
              <w:pStyle w:val="TableParagraph"/>
              <w:ind w:left="114" w:right="995"/>
              <w:rPr>
                <w:sz w:val="20"/>
              </w:rPr>
            </w:pPr>
            <w:r>
              <w:rPr>
                <w:sz w:val="20"/>
              </w:rPr>
              <w:t xml:space="preserve">Klarner, Carl, 2013, “Other Scholars’ Competitiveness Measures”, </w:t>
            </w:r>
            <w:hyperlink r:id="rId589">
              <w:r>
                <w:rPr>
                  <w:color w:val="0462C1"/>
                  <w:sz w:val="20"/>
                  <w:u w:val="single" w:color="0462C1"/>
                </w:rPr>
                <w:t>https://doi.org/10.7910/DVN/QSDYLH</w:t>
              </w:r>
              <w:r>
                <w:rPr>
                  <w:sz w:val="20"/>
                </w:rPr>
                <w:t>,</w:t>
              </w:r>
            </w:hyperlink>
            <w:r>
              <w:rPr>
                <w:sz w:val="20"/>
              </w:rPr>
              <w:t xml:space="preserve"> Harvard Dataverse, V1</w:t>
            </w:r>
          </w:p>
        </w:tc>
      </w:tr>
      <w:tr w:rsidR="0046798B" w14:paraId="3578E26F" w14:textId="77777777">
        <w:trPr>
          <w:trHeight w:val="2620"/>
        </w:trPr>
        <w:tc>
          <w:tcPr>
            <w:tcW w:w="1711" w:type="dxa"/>
          </w:tcPr>
          <w:p w14:paraId="074401AE" w14:textId="77777777" w:rsidR="0046798B" w:rsidRDefault="0046798B">
            <w:pPr>
              <w:pStyle w:val="TableParagraph"/>
            </w:pPr>
          </w:p>
          <w:p w14:paraId="57011FA4" w14:textId="77777777" w:rsidR="0046798B" w:rsidRDefault="0046798B">
            <w:pPr>
              <w:pStyle w:val="TableParagraph"/>
            </w:pPr>
          </w:p>
          <w:p w14:paraId="6127AF97" w14:textId="77777777" w:rsidR="0046798B" w:rsidRDefault="0046798B">
            <w:pPr>
              <w:pStyle w:val="TableParagraph"/>
            </w:pPr>
          </w:p>
          <w:p w14:paraId="4A882BF7" w14:textId="77777777" w:rsidR="0046798B" w:rsidRDefault="0046798B">
            <w:pPr>
              <w:pStyle w:val="TableParagraph"/>
              <w:spacing w:before="9"/>
              <w:rPr>
                <w:sz w:val="27"/>
              </w:rPr>
            </w:pPr>
          </w:p>
          <w:p w14:paraId="650B8316" w14:textId="77777777" w:rsidR="0046798B" w:rsidRDefault="00903B5C">
            <w:pPr>
              <w:pStyle w:val="TableParagraph"/>
              <w:ind w:left="115"/>
              <w:rPr>
                <w:b/>
                <w:sz w:val="20"/>
              </w:rPr>
            </w:pPr>
            <w:r>
              <w:rPr>
                <w:b/>
                <w:sz w:val="20"/>
              </w:rPr>
              <w:t>ranney4_control</w:t>
            </w:r>
          </w:p>
          <w:p w14:paraId="05B0D377" w14:textId="77777777" w:rsidR="0046798B" w:rsidRDefault="00903B5C">
            <w:pPr>
              <w:pStyle w:val="TableParagraph"/>
              <w:ind w:left="115"/>
              <w:rPr>
                <w:b/>
                <w:sz w:val="20"/>
              </w:rPr>
            </w:pPr>
            <w:r>
              <w:rPr>
                <w:b/>
                <w:sz w:val="20"/>
              </w:rPr>
              <w:t>_alt_4yr</w:t>
            </w:r>
          </w:p>
        </w:tc>
        <w:tc>
          <w:tcPr>
            <w:tcW w:w="1596" w:type="dxa"/>
          </w:tcPr>
          <w:p w14:paraId="6BAD21FE" w14:textId="77777777" w:rsidR="0046798B" w:rsidRDefault="0046798B">
            <w:pPr>
              <w:pStyle w:val="TableParagraph"/>
            </w:pPr>
          </w:p>
          <w:p w14:paraId="6BFDFC17" w14:textId="77777777" w:rsidR="0046798B" w:rsidRDefault="0046798B">
            <w:pPr>
              <w:pStyle w:val="TableParagraph"/>
            </w:pPr>
          </w:p>
          <w:p w14:paraId="09BCF113" w14:textId="77777777" w:rsidR="0046798B" w:rsidRDefault="0046798B">
            <w:pPr>
              <w:pStyle w:val="TableParagraph"/>
              <w:spacing w:before="8"/>
              <w:rPr>
                <w:sz w:val="19"/>
              </w:rPr>
            </w:pPr>
          </w:p>
          <w:p w14:paraId="30791CFA" w14:textId="77777777" w:rsidR="0046798B" w:rsidRDefault="00903B5C">
            <w:pPr>
              <w:pStyle w:val="TableParagraph"/>
              <w:spacing w:before="1"/>
              <w:ind w:left="114" w:right="224"/>
              <w:rPr>
                <w:sz w:val="20"/>
              </w:rPr>
            </w:pPr>
            <w:r>
              <w:rPr>
                <w:sz w:val="20"/>
              </w:rPr>
              <w:t>Democratic control of state government: 4- yr. moving average</w:t>
            </w:r>
          </w:p>
        </w:tc>
        <w:tc>
          <w:tcPr>
            <w:tcW w:w="1285" w:type="dxa"/>
          </w:tcPr>
          <w:p w14:paraId="315969B4" w14:textId="77777777" w:rsidR="0046798B" w:rsidRDefault="0046798B">
            <w:pPr>
              <w:pStyle w:val="TableParagraph"/>
            </w:pPr>
          </w:p>
          <w:p w14:paraId="4E38F1C9" w14:textId="77777777" w:rsidR="0046798B" w:rsidRDefault="0046798B">
            <w:pPr>
              <w:pStyle w:val="TableParagraph"/>
            </w:pPr>
          </w:p>
          <w:p w14:paraId="79A08C39" w14:textId="77777777" w:rsidR="0046798B" w:rsidRDefault="0046798B">
            <w:pPr>
              <w:pStyle w:val="TableParagraph"/>
            </w:pPr>
          </w:p>
          <w:p w14:paraId="1F306F9A" w14:textId="77777777" w:rsidR="0046798B" w:rsidRDefault="0046798B">
            <w:pPr>
              <w:pStyle w:val="TableParagraph"/>
            </w:pPr>
          </w:p>
          <w:p w14:paraId="20363B64" w14:textId="77777777" w:rsidR="0046798B" w:rsidRDefault="00903B5C">
            <w:pPr>
              <w:pStyle w:val="TableParagraph"/>
              <w:spacing w:before="181"/>
              <w:ind w:left="114"/>
              <w:rPr>
                <w:sz w:val="20"/>
              </w:rPr>
            </w:pPr>
            <w:r>
              <w:rPr>
                <w:sz w:val="20"/>
              </w:rPr>
              <w:t>1941–2010</w:t>
            </w:r>
          </w:p>
        </w:tc>
        <w:tc>
          <w:tcPr>
            <w:tcW w:w="3421" w:type="dxa"/>
          </w:tcPr>
          <w:p w14:paraId="5B913A00" w14:textId="77777777" w:rsidR="0046798B" w:rsidRDefault="00903B5C">
            <w:pPr>
              <w:pStyle w:val="TableParagraph"/>
              <w:spacing w:before="43"/>
              <w:ind w:left="114" w:right="128"/>
              <w:rPr>
                <w:sz w:val="20"/>
              </w:rPr>
            </w:pPr>
            <w:r>
              <w:rPr>
                <w:sz w:val="20"/>
              </w:rPr>
              <w:t xml:space="preserve">Dummy: 1 = unified Democratic control, 0 = else. Four-year moving average. Note: this is the way dimension #4 of the Ranney index has been measured in the past. This </w:t>
            </w:r>
            <w:r>
              <w:rPr>
                <w:spacing w:val="-4"/>
                <w:sz w:val="20"/>
              </w:rPr>
              <w:t xml:space="preserve">method </w:t>
            </w:r>
            <w:r>
              <w:rPr>
                <w:sz w:val="20"/>
              </w:rPr>
              <w:t>could be very problematic. The underlying assumption of this method is that unified Democratic control is important, but that the difference between unified Republican control and split control</w:t>
            </w:r>
            <w:r>
              <w:rPr>
                <w:spacing w:val="-4"/>
                <w:sz w:val="20"/>
              </w:rPr>
              <w:t xml:space="preserve"> </w:t>
            </w:r>
            <w:r>
              <w:rPr>
                <w:sz w:val="20"/>
              </w:rPr>
              <w:t>isn’t.</w:t>
            </w:r>
          </w:p>
        </w:tc>
        <w:tc>
          <w:tcPr>
            <w:tcW w:w="6482" w:type="dxa"/>
          </w:tcPr>
          <w:p w14:paraId="6D6B078F" w14:textId="77777777" w:rsidR="0046798B" w:rsidRDefault="0046798B">
            <w:pPr>
              <w:pStyle w:val="TableParagraph"/>
            </w:pPr>
          </w:p>
          <w:p w14:paraId="3E0DF8ED" w14:textId="77777777" w:rsidR="0046798B" w:rsidRDefault="0046798B">
            <w:pPr>
              <w:pStyle w:val="TableParagraph"/>
              <w:spacing w:before="8"/>
              <w:rPr>
                <w:sz w:val="31"/>
              </w:rPr>
            </w:pPr>
          </w:p>
          <w:p w14:paraId="39137F3B" w14:textId="77777777" w:rsidR="0046798B" w:rsidRDefault="00903B5C">
            <w:pPr>
              <w:pStyle w:val="TableParagraph"/>
              <w:spacing w:before="1"/>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3C04B9D3" w14:textId="77777777" w:rsidR="0046798B" w:rsidRDefault="0046798B">
            <w:pPr>
              <w:pStyle w:val="TableParagraph"/>
              <w:rPr>
                <w:sz w:val="20"/>
              </w:rPr>
            </w:pPr>
          </w:p>
          <w:p w14:paraId="1C59A0C2" w14:textId="77777777" w:rsidR="0046798B" w:rsidRDefault="00903B5C">
            <w:pPr>
              <w:pStyle w:val="TableParagraph"/>
              <w:ind w:left="114" w:right="995"/>
              <w:rPr>
                <w:sz w:val="20"/>
              </w:rPr>
            </w:pPr>
            <w:r>
              <w:rPr>
                <w:sz w:val="20"/>
              </w:rPr>
              <w:t xml:space="preserve">Klarner, Carl, 2013, “Other Scholars’ Competitiveness Measures”, </w:t>
            </w:r>
            <w:hyperlink r:id="rId590">
              <w:r>
                <w:rPr>
                  <w:color w:val="0462C1"/>
                  <w:sz w:val="20"/>
                  <w:u w:val="single" w:color="0462C1"/>
                </w:rPr>
                <w:t>https://doi.org/10.7910/DVN/QSDYLH</w:t>
              </w:r>
              <w:r>
                <w:rPr>
                  <w:sz w:val="20"/>
                </w:rPr>
                <w:t>,</w:t>
              </w:r>
            </w:hyperlink>
            <w:r>
              <w:rPr>
                <w:sz w:val="20"/>
              </w:rPr>
              <w:t xml:space="preserve"> Harvard Dataverse, V1</w:t>
            </w:r>
          </w:p>
        </w:tc>
      </w:tr>
      <w:tr w:rsidR="0046798B" w14:paraId="464998C5" w14:textId="77777777">
        <w:trPr>
          <w:trHeight w:val="1465"/>
        </w:trPr>
        <w:tc>
          <w:tcPr>
            <w:tcW w:w="1711" w:type="dxa"/>
          </w:tcPr>
          <w:p w14:paraId="79937963" w14:textId="77777777" w:rsidR="0046798B" w:rsidRDefault="0046798B">
            <w:pPr>
              <w:pStyle w:val="TableParagraph"/>
            </w:pPr>
          </w:p>
          <w:p w14:paraId="29A4CC98" w14:textId="77777777" w:rsidR="0046798B" w:rsidRDefault="0046798B">
            <w:pPr>
              <w:pStyle w:val="TableParagraph"/>
              <w:spacing w:before="3"/>
              <w:rPr>
                <w:sz w:val="21"/>
              </w:rPr>
            </w:pPr>
          </w:p>
          <w:p w14:paraId="32499FFD" w14:textId="77777777" w:rsidR="0046798B" w:rsidRDefault="00903B5C">
            <w:pPr>
              <w:pStyle w:val="TableParagraph"/>
              <w:spacing w:before="1"/>
              <w:ind w:left="115" w:right="188"/>
              <w:rPr>
                <w:b/>
                <w:sz w:val="20"/>
              </w:rPr>
            </w:pPr>
            <w:r>
              <w:rPr>
                <w:b/>
                <w:sz w:val="20"/>
              </w:rPr>
              <w:t>ranney1_sen_de m_prop_6yr</w:t>
            </w:r>
          </w:p>
        </w:tc>
        <w:tc>
          <w:tcPr>
            <w:tcW w:w="1596" w:type="dxa"/>
          </w:tcPr>
          <w:p w14:paraId="4D8B6C4D" w14:textId="77777777" w:rsidR="0046798B" w:rsidRDefault="0046798B">
            <w:pPr>
              <w:pStyle w:val="TableParagraph"/>
              <w:spacing w:before="3"/>
              <w:rPr>
                <w:sz w:val="23"/>
              </w:rPr>
            </w:pPr>
          </w:p>
          <w:p w14:paraId="78C69312" w14:textId="77777777" w:rsidR="0046798B" w:rsidRDefault="00903B5C">
            <w:pPr>
              <w:pStyle w:val="TableParagraph"/>
              <w:spacing w:before="1"/>
              <w:ind w:left="114" w:right="102"/>
              <w:rPr>
                <w:sz w:val="20"/>
              </w:rPr>
            </w:pPr>
            <w:r>
              <w:rPr>
                <w:sz w:val="20"/>
              </w:rPr>
              <w:t>Proportion of Democratic state senators: 6-yr. moving average</w:t>
            </w:r>
          </w:p>
        </w:tc>
        <w:tc>
          <w:tcPr>
            <w:tcW w:w="1285" w:type="dxa"/>
          </w:tcPr>
          <w:p w14:paraId="75051638" w14:textId="77777777" w:rsidR="0046798B" w:rsidRDefault="0046798B">
            <w:pPr>
              <w:pStyle w:val="TableParagraph"/>
            </w:pPr>
          </w:p>
          <w:p w14:paraId="5F3245C6" w14:textId="77777777" w:rsidR="0046798B" w:rsidRDefault="0046798B">
            <w:pPr>
              <w:pStyle w:val="TableParagraph"/>
              <w:spacing w:before="3"/>
              <w:rPr>
                <w:sz w:val="31"/>
              </w:rPr>
            </w:pPr>
          </w:p>
          <w:p w14:paraId="26AB9845" w14:textId="77777777" w:rsidR="0046798B" w:rsidRDefault="00903B5C">
            <w:pPr>
              <w:pStyle w:val="TableParagraph"/>
              <w:spacing w:before="1"/>
              <w:ind w:left="114"/>
              <w:rPr>
                <w:sz w:val="20"/>
              </w:rPr>
            </w:pPr>
            <w:r>
              <w:rPr>
                <w:sz w:val="20"/>
              </w:rPr>
              <w:t>1943–2010</w:t>
            </w:r>
          </w:p>
        </w:tc>
        <w:tc>
          <w:tcPr>
            <w:tcW w:w="3421" w:type="dxa"/>
          </w:tcPr>
          <w:p w14:paraId="1FFD52A7" w14:textId="77777777" w:rsidR="0046798B" w:rsidRDefault="0046798B">
            <w:pPr>
              <w:pStyle w:val="TableParagraph"/>
            </w:pPr>
          </w:p>
          <w:p w14:paraId="5458A45D" w14:textId="77777777" w:rsidR="0046798B" w:rsidRDefault="0046798B">
            <w:pPr>
              <w:pStyle w:val="TableParagraph"/>
              <w:spacing w:before="3"/>
              <w:rPr>
                <w:sz w:val="21"/>
              </w:rPr>
            </w:pPr>
          </w:p>
          <w:p w14:paraId="67A65980" w14:textId="77777777" w:rsidR="0046798B" w:rsidRDefault="00903B5C">
            <w:pPr>
              <w:pStyle w:val="TableParagraph"/>
              <w:spacing w:before="1"/>
              <w:ind w:left="114" w:right="333"/>
              <w:rPr>
                <w:sz w:val="20"/>
              </w:rPr>
            </w:pPr>
            <w:r>
              <w:rPr>
                <w:sz w:val="20"/>
              </w:rPr>
              <w:t>Proportion of state senators who are Democrats (6-year moving average).</w:t>
            </w:r>
          </w:p>
        </w:tc>
        <w:tc>
          <w:tcPr>
            <w:tcW w:w="6482" w:type="dxa"/>
          </w:tcPr>
          <w:p w14:paraId="73C47BE8" w14:textId="77777777" w:rsidR="0046798B" w:rsidRDefault="00903B5C">
            <w:pPr>
              <w:pStyle w:val="TableParagraph"/>
              <w:spacing w:before="38"/>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53D26F83" w14:textId="77777777" w:rsidR="0046798B" w:rsidRDefault="0046798B">
            <w:pPr>
              <w:pStyle w:val="TableParagraph"/>
              <w:rPr>
                <w:sz w:val="20"/>
              </w:rPr>
            </w:pPr>
          </w:p>
          <w:p w14:paraId="4B0CD4B9" w14:textId="77777777" w:rsidR="0046798B" w:rsidRDefault="00903B5C">
            <w:pPr>
              <w:pStyle w:val="TableParagraph"/>
              <w:ind w:left="114" w:right="995"/>
              <w:rPr>
                <w:sz w:val="20"/>
              </w:rPr>
            </w:pPr>
            <w:r>
              <w:rPr>
                <w:sz w:val="20"/>
              </w:rPr>
              <w:t xml:space="preserve">Klarner, Carl, 2013, “Other Scholars’ Competitiveness Measures”, </w:t>
            </w:r>
            <w:hyperlink r:id="rId591">
              <w:r>
                <w:rPr>
                  <w:color w:val="0462C1"/>
                  <w:sz w:val="20"/>
                  <w:u w:val="single" w:color="0462C1"/>
                </w:rPr>
                <w:t>https://doi.org/10.7910/DVN/QSDYLH</w:t>
              </w:r>
              <w:r>
                <w:rPr>
                  <w:sz w:val="20"/>
                </w:rPr>
                <w:t>,</w:t>
              </w:r>
            </w:hyperlink>
            <w:r>
              <w:rPr>
                <w:sz w:val="20"/>
              </w:rPr>
              <w:t xml:space="preserve"> Harvard Dataverse, V1</w:t>
            </w:r>
          </w:p>
        </w:tc>
      </w:tr>
      <w:tr w:rsidR="0046798B" w14:paraId="43200C52" w14:textId="77777777">
        <w:trPr>
          <w:trHeight w:val="1465"/>
        </w:trPr>
        <w:tc>
          <w:tcPr>
            <w:tcW w:w="1711" w:type="dxa"/>
          </w:tcPr>
          <w:p w14:paraId="1076960F" w14:textId="77777777" w:rsidR="0046798B" w:rsidRDefault="0046798B">
            <w:pPr>
              <w:pStyle w:val="TableParagraph"/>
            </w:pPr>
          </w:p>
          <w:p w14:paraId="306784C8" w14:textId="77777777" w:rsidR="0046798B" w:rsidRDefault="0046798B">
            <w:pPr>
              <w:pStyle w:val="TableParagraph"/>
              <w:spacing w:before="3"/>
              <w:rPr>
                <w:sz w:val="21"/>
              </w:rPr>
            </w:pPr>
          </w:p>
          <w:p w14:paraId="0E5DC380" w14:textId="77777777" w:rsidR="0046798B" w:rsidRDefault="00903B5C">
            <w:pPr>
              <w:pStyle w:val="TableParagraph"/>
              <w:spacing w:before="1"/>
              <w:ind w:left="115"/>
              <w:rPr>
                <w:b/>
                <w:sz w:val="20"/>
              </w:rPr>
            </w:pPr>
            <w:r>
              <w:rPr>
                <w:b/>
                <w:sz w:val="20"/>
              </w:rPr>
              <w:t>ranney2_hs_dem</w:t>
            </w:r>
          </w:p>
          <w:p w14:paraId="3E21CCFB" w14:textId="77777777" w:rsidR="0046798B" w:rsidRDefault="00903B5C">
            <w:pPr>
              <w:pStyle w:val="TableParagraph"/>
              <w:ind w:left="115"/>
              <w:rPr>
                <w:b/>
                <w:sz w:val="20"/>
              </w:rPr>
            </w:pPr>
            <w:r>
              <w:rPr>
                <w:b/>
                <w:sz w:val="20"/>
              </w:rPr>
              <w:t>_prop_6yr</w:t>
            </w:r>
          </w:p>
        </w:tc>
        <w:tc>
          <w:tcPr>
            <w:tcW w:w="1596" w:type="dxa"/>
          </w:tcPr>
          <w:p w14:paraId="31C19DF7" w14:textId="77777777" w:rsidR="0046798B" w:rsidRDefault="00903B5C">
            <w:pPr>
              <w:pStyle w:val="TableParagraph"/>
              <w:spacing w:before="153"/>
              <w:ind w:left="114" w:right="115"/>
              <w:rPr>
                <w:sz w:val="20"/>
              </w:rPr>
            </w:pPr>
            <w:r>
              <w:rPr>
                <w:sz w:val="20"/>
              </w:rPr>
              <w:t>Proportion of Democratic state house members: 6-yr. moving average</w:t>
            </w:r>
          </w:p>
        </w:tc>
        <w:tc>
          <w:tcPr>
            <w:tcW w:w="1285" w:type="dxa"/>
          </w:tcPr>
          <w:p w14:paraId="6BD5CBF8" w14:textId="77777777" w:rsidR="0046798B" w:rsidRDefault="0046798B">
            <w:pPr>
              <w:pStyle w:val="TableParagraph"/>
            </w:pPr>
          </w:p>
          <w:p w14:paraId="03FECEA0" w14:textId="77777777" w:rsidR="0046798B" w:rsidRDefault="0046798B">
            <w:pPr>
              <w:pStyle w:val="TableParagraph"/>
              <w:spacing w:before="4"/>
              <w:rPr>
                <w:sz w:val="31"/>
              </w:rPr>
            </w:pPr>
          </w:p>
          <w:p w14:paraId="61498865" w14:textId="77777777" w:rsidR="0046798B" w:rsidRDefault="00903B5C">
            <w:pPr>
              <w:pStyle w:val="TableParagraph"/>
              <w:ind w:left="114"/>
              <w:rPr>
                <w:sz w:val="20"/>
              </w:rPr>
            </w:pPr>
            <w:r>
              <w:rPr>
                <w:sz w:val="20"/>
              </w:rPr>
              <w:t>1943–2010</w:t>
            </w:r>
          </w:p>
        </w:tc>
        <w:tc>
          <w:tcPr>
            <w:tcW w:w="3421" w:type="dxa"/>
          </w:tcPr>
          <w:p w14:paraId="5D027457" w14:textId="77777777" w:rsidR="0046798B" w:rsidRDefault="0046798B">
            <w:pPr>
              <w:pStyle w:val="TableParagraph"/>
            </w:pPr>
          </w:p>
          <w:p w14:paraId="42360BCA" w14:textId="77777777" w:rsidR="0046798B" w:rsidRDefault="00903B5C">
            <w:pPr>
              <w:pStyle w:val="TableParagraph"/>
              <w:spacing w:before="130"/>
              <w:ind w:left="114" w:right="109"/>
              <w:rPr>
                <w:sz w:val="20"/>
              </w:rPr>
            </w:pPr>
            <w:r>
              <w:rPr>
                <w:sz w:val="20"/>
              </w:rPr>
              <w:t>Proportion of state house members who are Democrats (6-year moving average).</w:t>
            </w:r>
          </w:p>
        </w:tc>
        <w:tc>
          <w:tcPr>
            <w:tcW w:w="6482" w:type="dxa"/>
          </w:tcPr>
          <w:p w14:paraId="2E6F2A96" w14:textId="77777777" w:rsidR="0046798B" w:rsidRDefault="00903B5C">
            <w:pPr>
              <w:pStyle w:val="TableParagraph"/>
              <w:spacing w:before="38"/>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79C18D09" w14:textId="77777777" w:rsidR="0046798B" w:rsidRDefault="0046798B">
            <w:pPr>
              <w:pStyle w:val="TableParagraph"/>
              <w:rPr>
                <w:sz w:val="20"/>
              </w:rPr>
            </w:pPr>
          </w:p>
          <w:p w14:paraId="114C9C97" w14:textId="77777777" w:rsidR="0046798B" w:rsidRDefault="00903B5C">
            <w:pPr>
              <w:pStyle w:val="TableParagraph"/>
              <w:ind w:left="114" w:right="995"/>
              <w:rPr>
                <w:sz w:val="20"/>
              </w:rPr>
            </w:pPr>
            <w:r>
              <w:rPr>
                <w:sz w:val="20"/>
              </w:rPr>
              <w:t xml:space="preserve">Klarner, Carl, 2013, “Other Scholars’ Competitiveness Measures”, </w:t>
            </w:r>
            <w:hyperlink r:id="rId592">
              <w:r>
                <w:rPr>
                  <w:color w:val="0462C1"/>
                  <w:sz w:val="20"/>
                  <w:u w:val="single" w:color="0462C1"/>
                </w:rPr>
                <w:t>https://doi.org/10.7910/DVN/QSDYLH</w:t>
              </w:r>
              <w:r>
                <w:rPr>
                  <w:sz w:val="20"/>
                </w:rPr>
                <w:t>,</w:t>
              </w:r>
            </w:hyperlink>
            <w:r>
              <w:rPr>
                <w:sz w:val="20"/>
              </w:rPr>
              <w:t xml:space="preserve"> Harvard Dataverse, V1</w:t>
            </w:r>
          </w:p>
        </w:tc>
      </w:tr>
      <w:tr w:rsidR="0046798B" w14:paraId="5B3CECF7" w14:textId="77777777">
        <w:trPr>
          <w:trHeight w:val="775"/>
        </w:trPr>
        <w:tc>
          <w:tcPr>
            <w:tcW w:w="1711" w:type="dxa"/>
          </w:tcPr>
          <w:p w14:paraId="3F8579DC" w14:textId="77777777" w:rsidR="0046798B" w:rsidRDefault="00903B5C">
            <w:pPr>
              <w:pStyle w:val="TableParagraph"/>
              <w:spacing w:before="153"/>
              <w:ind w:left="115"/>
              <w:rPr>
                <w:b/>
                <w:sz w:val="20"/>
              </w:rPr>
            </w:pPr>
            <w:r>
              <w:rPr>
                <w:b/>
                <w:sz w:val="20"/>
              </w:rPr>
              <w:t>ranney3_gub_pr op_6yr</w:t>
            </w:r>
          </w:p>
        </w:tc>
        <w:tc>
          <w:tcPr>
            <w:tcW w:w="1596" w:type="dxa"/>
          </w:tcPr>
          <w:p w14:paraId="7EA0BF1D" w14:textId="77777777" w:rsidR="0046798B" w:rsidRDefault="00903B5C">
            <w:pPr>
              <w:pStyle w:val="TableParagraph"/>
              <w:spacing w:before="38"/>
              <w:ind w:left="114" w:right="255"/>
              <w:rPr>
                <w:sz w:val="20"/>
              </w:rPr>
            </w:pPr>
            <w:r>
              <w:rPr>
                <w:sz w:val="20"/>
              </w:rPr>
              <w:t>Proportion of two-party vote for Democratic</w:t>
            </w:r>
          </w:p>
        </w:tc>
        <w:tc>
          <w:tcPr>
            <w:tcW w:w="1285" w:type="dxa"/>
          </w:tcPr>
          <w:p w14:paraId="77D0C5B3" w14:textId="77777777" w:rsidR="0046798B" w:rsidRDefault="0046798B">
            <w:pPr>
              <w:pStyle w:val="TableParagraph"/>
              <w:spacing w:before="3"/>
              <w:rPr>
                <w:sz w:val="23"/>
              </w:rPr>
            </w:pPr>
          </w:p>
          <w:p w14:paraId="1F3D6222" w14:textId="77777777" w:rsidR="0046798B" w:rsidRDefault="00903B5C">
            <w:pPr>
              <w:pStyle w:val="TableParagraph"/>
              <w:spacing w:before="1"/>
              <w:ind w:left="114"/>
              <w:rPr>
                <w:sz w:val="20"/>
              </w:rPr>
            </w:pPr>
            <w:r>
              <w:rPr>
                <w:sz w:val="20"/>
              </w:rPr>
              <w:t>1943–2010</w:t>
            </w:r>
          </w:p>
        </w:tc>
        <w:tc>
          <w:tcPr>
            <w:tcW w:w="3421" w:type="dxa"/>
          </w:tcPr>
          <w:p w14:paraId="10EA80CE" w14:textId="77777777" w:rsidR="0046798B" w:rsidRDefault="00903B5C">
            <w:pPr>
              <w:pStyle w:val="TableParagraph"/>
              <w:spacing w:before="153"/>
              <w:ind w:left="114" w:right="117"/>
              <w:rPr>
                <w:sz w:val="20"/>
              </w:rPr>
            </w:pPr>
            <w:r>
              <w:rPr>
                <w:sz w:val="20"/>
              </w:rPr>
              <w:t>Proportion of the two-party vote that the Democratic gubernatorial candidate</w:t>
            </w:r>
          </w:p>
        </w:tc>
        <w:tc>
          <w:tcPr>
            <w:tcW w:w="6482" w:type="dxa"/>
          </w:tcPr>
          <w:p w14:paraId="0F5C1922" w14:textId="77777777" w:rsidR="0046798B" w:rsidRDefault="00903B5C">
            <w:pPr>
              <w:pStyle w:val="TableParagraph"/>
              <w:spacing w:before="38"/>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tc>
      </w:tr>
    </w:tbl>
    <w:p w14:paraId="4B5BA1BC" w14:textId="77777777" w:rsidR="0046798B" w:rsidRDefault="0046798B">
      <w:pPr>
        <w:rPr>
          <w:sz w:val="20"/>
        </w:rPr>
        <w:sectPr w:rsidR="0046798B">
          <w:pgSz w:w="15840" w:h="12240" w:orient="landscape"/>
          <w:pgMar w:top="1220" w:right="300" w:bottom="980" w:left="820" w:header="730" w:footer="787" w:gutter="0"/>
          <w:cols w:space="720"/>
        </w:sectPr>
      </w:pPr>
    </w:p>
    <w:p w14:paraId="1558999E"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5E9A633D" w14:textId="77777777">
        <w:trPr>
          <w:trHeight w:val="775"/>
        </w:trPr>
        <w:tc>
          <w:tcPr>
            <w:tcW w:w="1711" w:type="dxa"/>
          </w:tcPr>
          <w:p w14:paraId="030A0098" w14:textId="77777777" w:rsidR="0046798B" w:rsidRDefault="0046798B">
            <w:pPr>
              <w:pStyle w:val="TableParagraph"/>
              <w:rPr>
                <w:sz w:val="20"/>
              </w:rPr>
            </w:pPr>
          </w:p>
        </w:tc>
        <w:tc>
          <w:tcPr>
            <w:tcW w:w="1596" w:type="dxa"/>
          </w:tcPr>
          <w:p w14:paraId="31C5718E" w14:textId="77777777" w:rsidR="0046798B" w:rsidRDefault="00903B5C">
            <w:pPr>
              <w:pStyle w:val="TableParagraph"/>
              <w:spacing w:before="43"/>
              <w:ind w:left="114" w:right="169"/>
              <w:rPr>
                <w:sz w:val="20"/>
              </w:rPr>
            </w:pPr>
            <w:r>
              <w:rPr>
                <w:sz w:val="20"/>
              </w:rPr>
              <w:t>gubernatorial candidate: 6-yr. moving average</w:t>
            </w:r>
          </w:p>
        </w:tc>
        <w:tc>
          <w:tcPr>
            <w:tcW w:w="1285" w:type="dxa"/>
          </w:tcPr>
          <w:p w14:paraId="7EA2201D" w14:textId="77777777" w:rsidR="0046798B" w:rsidRDefault="0046798B">
            <w:pPr>
              <w:pStyle w:val="TableParagraph"/>
              <w:rPr>
                <w:sz w:val="20"/>
              </w:rPr>
            </w:pPr>
          </w:p>
        </w:tc>
        <w:tc>
          <w:tcPr>
            <w:tcW w:w="3421" w:type="dxa"/>
          </w:tcPr>
          <w:p w14:paraId="2CB6ECFA" w14:textId="77777777" w:rsidR="0046798B" w:rsidRDefault="00903B5C">
            <w:pPr>
              <w:pStyle w:val="TableParagraph"/>
              <w:spacing w:before="43"/>
              <w:ind w:left="114" w:right="222"/>
              <w:rPr>
                <w:sz w:val="20"/>
              </w:rPr>
            </w:pPr>
            <w:r>
              <w:rPr>
                <w:sz w:val="20"/>
              </w:rPr>
              <w:t>got in the last election (6-year moving average).</w:t>
            </w:r>
          </w:p>
        </w:tc>
        <w:tc>
          <w:tcPr>
            <w:tcW w:w="6482" w:type="dxa"/>
          </w:tcPr>
          <w:p w14:paraId="00ADF0CA" w14:textId="77777777" w:rsidR="0046798B" w:rsidRDefault="0046798B">
            <w:pPr>
              <w:pStyle w:val="TableParagraph"/>
              <w:spacing w:before="9"/>
              <w:rPr>
                <w:sz w:val="23"/>
              </w:rPr>
            </w:pPr>
          </w:p>
          <w:p w14:paraId="2BFB312D" w14:textId="77777777" w:rsidR="0046798B" w:rsidRDefault="00903B5C">
            <w:pPr>
              <w:pStyle w:val="TableParagraph"/>
              <w:ind w:left="114" w:right="995"/>
              <w:rPr>
                <w:sz w:val="20"/>
              </w:rPr>
            </w:pPr>
            <w:r>
              <w:rPr>
                <w:sz w:val="20"/>
              </w:rPr>
              <w:t xml:space="preserve">Klarner, Carl, 2013, “Other Scholars’ Competitiveness Measures”, </w:t>
            </w:r>
            <w:hyperlink r:id="rId593">
              <w:r>
                <w:rPr>
                  <w:color w:val="0462C1"/>
                  <w:sz w:val="20"/>
                  <w:u w:val="single" w:color="0462C1"/>
                </w:rPr>
                <w:t>https://doi.org/10.7910/DVN/QSDYLH</w:t>
              </w:r>
              <w:r>
                <w:rPr>
                  <w:sz w:val="20"/>
                </w:rPr>
                <w:t>,</w:t>
              </w:r>
            </w:hyperlink>
            <w:r>
              <w:rPr>
                <w:sz w:val="20"/>
              </w:rPr>
              <w:t xml:space="preserve"> Harvard Dataverse, V1</w:t>
            </w:r>
          </w:p>
        </w:tc>
      </w:tr>
      <w:tr w:rsidR="0046798B" w14:paraId="3107247C" w14:textId="77777777">
        <w:trPr>
          <w:trHeight w:val="1465"/>
        </w:trPr>
        <w:tc>
          <w:tcPr>
            <w:tcW w:w="1711" w:type="dxa"/>
          </w:tcPr>
          <w:p w14:paraId="63DE02F9" w14:textId="77777777" w:rsidR="0046798B" w:rsidRDefault="0046798B">
            <w:pPr>
              <w:pStyle w:val="TableParagraph"/>
            </w:pPr>
          </w:p>
          <w:p w14:paraId="5724EA84" w14:textId="77777777" w:rsidR="0046798B" w:rsidRDefault="0046798B">
            <w:pPr>
              <w:pStyle w:val="TableParagraph"/>
              <w:spacing w:before="8"/>
              <w:rPr>
                <w:sz w:val="21"/>
              </w:rPr>
            </w:pPr>
          </w:p>
          <w:p w14:paraId="3E459E8C" w14:textId="77777777" w:rsidR="0046798B" w:rsidRDefault="00903B5C">
            <w:pPr>
              <w:pStyle w:val="TableParagraph"/>
              <w:spacing w:before="1"/>
              <w:ind w:left="115"/>
              <w:rPr>
                <w:b/>
                <w:sz w:val="20"/>
              </w:rPr>
            </w:pPr>
            <w:r>
              <w:rPr>
                <w:b/>
                <w:sz w:val="20"/>
              </w:rPr>
              <w:t>ranney4_control</w:t>
            </w:r>
          </w:p>
          <w:p w14:paraId="0FE03D79" w14:textId="77777777" w:rsidR="0046798B" w:rsidRDefault="00903B5C">
            <w:pPr>
              <w:pStyle w:val="TableParagraph"/>
              <w:ind w:left="115"/>
              <w:rPr>
                <w:b/>
                <w:sz w:val="20"/>
              </w:rPr>
            </w:pPr>
            <w:r>
              <w:rPr>
                <w:b/>
                <w:sz w:val="20"/>
              </w:rPr>
              <w:t>_6yr</w:t>
            </w:r>
          </w:p>
        </w:tc>
        <w:tc>
          <w:tcPr>
            <w:tcW w:w="1596" w:type="dxa"/>
          </w:tcPr>
          <w:p w14:paraId="28A311EA" w14:textId="77777777" w:rsidR="0046798B" w:rsidRDefault="00903B5C">
            <w:pPr>
              <w:pStyle w:val="TableParagraph"/>
              <w:spacing w:before="158"/>
              <w:ind w:left="114" w:right="135"/>
              <w:rPr>
                <w:sz w:val="20"/>
              </w:rPr>
            </w:pPr>
            <w:r>
              <w:rPr>
                <w:sz w:val="20"/>
              </w:rPr>
              <w:t>Party control of state government: 6- yr. moving average</w:t>
            </w:r>
          </w:p>
        </w:tc>
        <w:tc>
          <w:tcPr>
            <w:tcW w:w="1285" w:type="dxa"/>
          </w:tcPr>
          <w:p w14:paraId="12F31860" w14:textId="77777777" w:rsidR="0046798B" w:rsidRDefault="0046798B">
            <w:pPr>
              <w:pStyle w:val="TableParagraph"/>
            </w:pPr>
          </w:p>
          <w:p w14:paraId="12FAD09A" w14:textId="77777777" w:rsidR="0046798B" w:rsidRDefault="0046798B">
            <w:pPr>
              <w:pStyle w:val="TableParagraph"/>
              <w:spacing w:before="8"/>
              <w:rPr>
                <w:sz w:val="31"/>
              </w:rPr>
            </w:pPr>
          </w:p>
          <w:p w14:paraId="3B21607D" w14:textId="77777777" w:rsidR="0046798B" w:rsidRDefault="00903B5C">
            <w:pPr>
              <w:pStyle w:val="TableParagraph"/>
              <w:spacing w:before="1"/>
              <w:ind w:left="114"/>
              <w:rPr>
                <w:sz w:val="20"/>
              </w:rPr>
            </w:pPr>
            <w:r>
              <w:rPr>
                <w:sz w:val="20"/>
              </w:rPr>
              <w:t>1943–2010</w:t>
            </w:r>
          </w:p>
        </w:tc>
        <w:tc>
          <w:tcPr>
            <w:tcW w:w="3421" w:type="dxa"/>
          </w:tcPr>
          <w:p w14:paraId="0A7F6C43" w14:textId="77777777" w:rsidR="0046798B" w:rsidRDefault="0046798B">
            <w:pPr>
              <w:pStyle w:val="TableParagraph"/>
            </w:pPr>
          </w:p>
          <w:p w14:paraId="5568F971" w14:textId="77777777" w:rsidR="0046798B" w:rsidRDefault="00903B5C">
            <w:pPr>
              <w:pStyle w:val="TableParagraph"/>
              <w:spacing w:before="135"/>
              <w:ind w:left="114" w:right="457"/>
              <w:rPr>
                <w:sz w:val="20"/>
              </w:rPr>
            </w:pPr>
            <w:r>
              <w:rPr>
                <w:sz w:val="20"/>
              </w:rPr>
              <w:t>0 = unified Republican control, 1 = unified Democratic control, .5 = neither. Six-year moving average.</w:t>
            </w:r>
          </w:p>
        </w:tc>
        <w:tc>
          <w:tcPr>
            <w:tcW w:w="6482" w:type="dxa"/>
          </w:tcPr>
          <w:p w14:paraId="3736393F" w14:textId="77777777" w:rsidR="0046798B" w:rsidRDefault="00903B5C">
            <w:pPr>
              <w:pStyle w:val="TableParagraph"/>
              <w:spacing w:before="43"/>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363EED85" w14:textId="77777777" w:rsidR="0046798B" w:rsidRDefault="0046798B">
            <w:pPr>
              <w:pStyle w:val="TableParagraph"/>
              <w:rPr>
                <w:sz w:val="20"/>
              </w:rPr>
            </w:pPr>
          </w:p>
          <w:p w14:paraId="272AD3AC" w14:textId="77777777" w:rsidR="0046798B" w:rsidRDefault="00903B5C">
            <w:pPr>
              <w:pStyle w:val="TableParagraph"/>
              <w:spacing w:before="1"/>
              <w:ind w:left="114" w:right="995"/>
              <w:rPr>
                <w:sz w:val="20"/>
              </w:rPr>
            </w:pPr>
            <w:r>
              <w:rPr>
                <w:sz w:val="20"/>
              </w:rPr>
              <w:t xml:space="preserve">Klarner, Carl, 2013, “Other Scholars’ Competitiveness Measures”, </w:t>
            </w:r>
            <w:hyperlink r:id="rId594">
              <w:r>
                <w:rPr>
                  <w:color w:val="0462C1"/>
                  <w:sz w:val="20"/>
                  <w:u w:val="single" w:color="0462C1"/>
                </w:rPr>
                <w:t>https://doi.org/10.7910/DVN/QSDYLH</w:t>
              </w:r>
              <w:r>
                <w:rPr>
                  <w:sz w:val="20"/>
                </w:rPr>
                <w:t>,</w:t>
              </w:r>
            </w:hyperlink>
            <w:r>
              <w:rPr>
                <w:sz w:val="20"/>
              </w:rPr>
              <w:t xml:space="preserve"> Harvard Dataverse, V1</w:t>
            </w:r>
          </w:p>
        </w:tc>
      </w:tr>
      <w:tr w:rsidR="0046798B" w14:paraId="1AF4C9DF" w14:textId="77777777">
        <w:trPr>
          <w:trHeight w:val="2620"/>
        </w:trPr>
        <w:tc>
          <w:tcPr>
            <w:tcW w:w="1711" w:type="dxa"/>
          </w:tcPr>
          <w:p w14:paraId="7A0F68F5" w14:textId="77777777" w:rsidR="0046798B" w:rsidRDefault="0046798B">
            <w:pPr>
              <w:pStyle w:val="TableParagraph"/>
            </w:pPr>
          </w:p>
          <w:p w14:paraId="3C3A7CE2" w14:textId="77777777" w:rsidR="0046798B" w:rsidRDefault="0046798B">
            <w:pPr>
              <w:pStyle w:val="TableParagraph"/>
            </w:pPr>
          </w:p>
          <w:p w14:paraId="2AD5C9F0" w14:textId="77777777" w:rsidR="0046798B" w:rsidRDefault="0046798B">
            <w:pPr>
              <w:pStyle w:val="TableParagraph"/>
            </w:pPr>
          </w:p>
          <w:p w14:paraId="66B0BBE0" w14:textId="77777777" w:rsidR="0046798B" w:rsidRDefault="0046798B">
            <w:pPr>
              <w:pStyle w:val="TableParagraph"/>
              <w:spacing w:before="9"/>
              <w:rPr>
                <w:sz w:val="27"/>
              </w:rPr>
            </w:pPr>
          </w:p>
          <w:p w14:paraId="2524695A" w14:textId="77777777" w:rsidR="0046798B" w:rsidRDefault="00903B5C">
            <w:pPr>
              <w:pStyle w:val="TableParagraph"/>
              <w:ind w:left="115"/>
              <w:rPr>
                <w:b/>
                <w:sz w:val="20"/>
              </w:rPr>
            </w:pPr>
            <w:r>
              <w:rPr>
                <w:b/>
                <w:sz w:val="20"/>
              </w:rPr>
              <w:t>ranney4_control</w:t>
            </w:r>
          </w:p>
          <w:p w14:paraId="00EA6788" w14:textId="77777777" w:rsidR="0046798B" w:rsidRDefault="00903B5C">
            <w:pPr>
              <w:pStyle w:val="TableParagraph"/>
              <w:ind w:left="115"/>
              <w:rPr>
                <w:b/>
                <w:sz w:val="20"/>
              </w:rPr>
            </w:pPr>
            <w:r>
              <w:rPr>
                <w:b/>
                <w:sz w:val="20"/>
              </w:rPr>
              <w:t>_alt_6yr</w:t>
            </w:r>
          </w:p>
        </w:tc>
        <w:tc>
          <w:tcPr>
            <w:tcW w:w="1596" w:type="dxa"/>
          </w:tcPr>
          <w:p w14:paraId="3B928AF9" w14:textId="77777777" w:rsidR="0046798B" w:rsidRDefault="0046798B">
            <w:pPr>
              <w:pStyle w:val="TableParagraph"/>
            </w:pPr>
          </w:p>
          <w:p w14:paraId="7FEA3FA1" w14:textId="77777777" w:rsidR="0046798B" w:rsidRDefault="0046798B">
            <w:pPr>
              <w:pStyle w:val="TableParagraph"/>
            </w:pPr>
          </w:p>
          <w:p w14:paraId="5898129A" w14:textId="77777777" w:rsidR="0046798B" w:rsidRDefault="0046798B">
            <w:pPr>
              <w:pStyle w:val="TableParagraph"/>
              <w:spacing w:before="9"/>
              <w:rPr>
                <w:sz w:val="19"/>
              </w:rPr>
            </w:pPr>
          </w:p>
          <w:p w14:paraId="5D0E7563" w14:textId="77777777" w:rsidR="0046798B" w:rsidRDefault="00903B5C">
            <w:pPr>
              <w:pStyle w:val="TableParagraph"/>
              <w:ind w:left="114" w:right="224"/>
              <w:rPr>
                <w:sz w:val="20"/>
              </w:rPr>
            </w:pPr>
            <w:r>
              <w:rPr>
                <w:sz w:val="20"/>
              </w:rPr>
              <w:t>Democratic control of state government: 6- yr. moving average</w:t>
            </w:r>
          </w:p>
        </w:tc>
        <w:tc>
          <w:tcPr>
            <w:tcW w:w="1285" w:type="dxa"/>
          </w:tcPr>
          <w:p w14:paraId="0EBA2FD5" w14:textId="77777777" w:rsidR="0046798B" w:rsidRDefault="0046798B">
            <w:pPr>
              <w:pStyle w:val="TableParagraph"/>
            </w:pPr>
          </w:p>
          <w:p w14:paraId="17C9C231" w14:textId="77777777" w:rsidR="0046798B" w:rsidRDefault="0046798B">
            <w:pPr>
              <w:pStyle w:val="TableParagraph"/>
            </w:pPr>
          </w:p>
          <w:p w14:paraId="322B940A" w14:textId="77777777" w:rsidR="0046798B" w:rsidRDefault="0046798B">
            <w:pPr>
              <w:pStyle w:val="TableParagraph"/>
            </w:pPr>
          </w:p>
          <w:p w14:paraId="4CDB0CFD" w14:textId="77777777" w:rsidR="0046798B" w:rsidRDefault="0046798B">
            <w:pPr>
              <w:pStyle w:val="TableParagraph"/>
            </w:pPr>
          </w:p>
          <w:p w14:paraId="0A8E1916" w14:textId="77777777" w:rsidR="0046798B" w:rsidRDefault="00903B5C">
            <w:pPr>
              <w:pStyle w:val="TableParagraph"/>
              <w:spacing w:before="181"/>
              <w:ind w:left="114"/>
              <w:rPr>
                <w:sz w:val="20"/>
              </w:rPr>
            </w:pPr>
            <w:r>
              <w:rPr>
                <w:sz w:val="20"/>
              </w:rPr>
              <w:t>1943–2010</w:t>
            </w:r>
          </w:p>
        </w:tc>
        <w:tc>
          <w:tcPr>
            <w:tcW w:w="3421" w:type="dxa"/>
          </w:tcPr>
          <w:p w14:paraId="086505F0" w14:textId="77777777" w:rsidR="0046798B" w:rsidRDefault="00903B5C">
            <w:pPr>
              <w:pStyle w:val="TableParagraph"/>
              <w:spacing w:before="43"/>
              <w:ind w:left="114" w:right="128"/>
              <w:rPr>
                <w:sz w:val="20"/>
              </w:rPr>
            </w:pPr>
            <w:r>
              <w:rPr>
                <w:sz w:val="20"/>
              </w:rPr>
              <w:t xml:space="preserve">Dummy: 1 = unified Democratic control, 0 = else. Six-year moving average. Note: this is the way dimension #4 of the Ranney index has been measured in the past. This </w:t>
            </w:r>
            <w:r>
              <w:rPr>
                <w:spacing w:val="-4"/>
                <w:sz w:val="20"/>
              </w:rPr>
              <w:t xml:space="preserve">method </w:t>
            </w:r>
            <w:r>
              <w:rPr>
                <w:sz w:val="20"/>
              </w:rPr>
              <w:t>could be very problematic. The underlying assumption of this method is that unified Democratic control is important, but that the difference between unified Republican control and split control</w:t>
            </w:r>
            <w:r>
              <w:rPr>
                <w:spacing w:val="-4"/>
                <w:sz w:val="20"/>
              </w:rPr>
              <w:t xml:space="preserve"> </w:t>
            </w:r>
            <w:r>
              <w:rPr>
                <w:sz w:val="20"/>
              </w:rPr>
              <w:t>isn’t.</w:t>
            </w:r>
          </w:p>
        </w:tc>
        <w:tc>
          <w:tcPr>
            <w:tcW w:w="6482" w:type="dxa"/>
          </w:tcPr>
          <w:p w14:paraId="26A16A5B" w14:textId="77777777" w:rsidR="0046798B" w:rsidRDefault="0046798B">
            <w:pPr>
              <w:pStyle w:val="TableParagraph"/>
            </w:pPr>
          </w:p>
          <w:p w14:paraId="1979F84E" w14:textId="77777777" w:rsidR="0046798B" w:rsidRDefault="0046798B">
            <w:pPr>
              <w:pStyle w:val="TableParagraph"/>
              <w:spacing w:before="9"/>
              <w:rPr>
                <w:sz w:val="31"/>
              </w:rPr>
            </w:pPr>
          </w:p>
          <w:p w14:paraId="77379A9B" w14:textId="77777777" w:rsidR="0046798B" w:rsidRDefault="00903B5C">
            <w:pPr>
              <w:pStyle w:val="TableParagraph"/>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2B331715" w14:textId="77777777" w:rsidR="0046798B" w:rsidRDefault="0046798B">
            <w:pPr>
              <w:pStyle w:val="TableParagraph"/>
              <w:rPr>
                <w:sz w:val="20"/>
              </w:rPr>
            </w:pPr>
          </w:p>
          <w:p w14:paraId="62095452" w14:textId="77777777" w:rsidR="0046798B" w:rsidRDefault="00903B5C">
            <w:pPr>
              <w:pStyle w:val="TableParagraph"/>
              <w:ind w:left="114" w:right="995"/>
              <w:rPr>
                <w:sz w:val="20"/>
              </w:rPr>
            </w:pPr>
            <w:r>
              <w:rPr>
                <w:sz w:val="20"/>
              </w:rPr>
              <w:t xml:space="preserve">Klarner, Carl, 2013, “Other Scholars’ Competitiveness Measures”, </w:t>
            </w:r>
            <w:hyperlink r:id="rId595">
              <w:r>
                <w:rPr>
                  <w:color w:val="0462C1"/>
                  <w:sz w:val="20"/>
                  <w:u w:val="single" w:color="0462C1"/>
                </w:rPr>
                <w:t>https://doi.org/10.7910/DVN/QSDYLH</w:t>
              </w:r>
              <w:r>
                <w:rPr>
                  <w:sz w:val="20"/>
                </w:rPr>
                <w:t>,</w:t>
              </w:r>
            </w:hyperlink>
            <w:r>
              <w:rPr>
                <w:sz w:val="20"/>
              </w:rPr>
              <w:t xml:space="preserve"> Harvard Dataverse, V1</w:t>
            </w:r>
          </w:p>
        </w:tc>
      </w:tr>
      <w:tr w:rsidR="0046798B" w14:paraId="6EBDE3ED" w14:textId="77777777">
        <w:trPr>
          <w:trHeight w:val="1465"/>
        </w:trPr>
        <w:tc>
          <w:tcPr>
            <w:tcW w:w="1711" w:type="dxa"/>
          </w:tcPr>
          <w:p w14:paraId="3BF1420F" w14:textId="77777777" w:rsidR="0046798B" w:rsidRDefault="0046798B">
            <w:pPr>
              <w:pStyle w:val="TableParagraph"/>
            </w:pPr>
          </w:p>
          <w:p w14:paraId="31800F51" w14:textId="77777777" w:rsidR="0046798B" w:rsidRDefault="0046798B">
            <w:pPr>
              <w:pStyle w:val="TableParagraph"/>
              <w:spacing w:before="4"/>
              <w:rPr>
                <w:sz w:val="21"/>
              </w:rPr>
            </w:pPr>
          </w:p>
          <w:p w14:paraId="18D87669" w14:textId="77777777" w:rsidR="0046798B" w:rsidRDefault="00903B5C">
            <w:pPr>
              <w:pStyle w:val="TableParagraph"/>
              <w:ind w:left="115" w:right="188"/>
              <w:rPr>
                <w:b/>
                <w:sz w:val="20"/>
              </w:rPr>
            </w:pPr>
            <w:r>
              <w:rPr>
                <w:b/>
                <w:sz w:val="20"/>
              </w:rPr>
              <w:t>ranney1_sen_de m_prop_8yr</w:t>
            </w:r>
          </w:p>
        </w:tc>
        <w:tc>
          <w:tcPr>
            <w:tcW w:w="1596" w:type="dxa"/>
          </w:tcPr>
          <w:p w14:paraId="434367C5" w14:textId="77777777" w:rsidR="0046798B" w:rsidRDefault="0046798B">
            <w:pPr>
              <w:pStyle w:val="TableParagraph"/>
              <w:spacing w:before="4"/>
              <w:rPr>
                <w:sz w:val="23"/>
              </w:rPr>
            </w:pPr>
          </w:p>
          <w:p w14:paraId="0BF0D14D" w14:textId="77777777" w:rsidR="0046798B" w:rsidRDefault="00903B5C">
            <w:pPr>
              <w:pStyle w:val="TableParagraph"/>
              <w:ind w:left="114" w:right="102"/>
              <w:rPr>
                <w:sz w:val="20"/>
              </w:rPr>
            </w:pPr>
            <w:r>
              <w:rPr>
                <w:sz w:val="20"/>
              </w:rPr>
              <w:t>Proportion of Democratic state senators: 8-yr. moving average</w:t>
            </w:r>
          </w:p>
        </w:tc>
        <w:tc>
          <w:tcPr>
            <w:tcW w:w="1285" w:type="dxa"/>
          </w:tcPr>
          <w:p w14:paraId="309A3D8E" w14:textId="77777777" w:rsidR="0046798B" w:rsidRDefault="0046798B">
            <w:pPr>
              <w:pStyle w:val="TableParagraph"/>
            </w:pPr>
          </w:p>
          <w:p w14:paraId="28384E79" w14:textId="77777777" w:rsidR="0046798B" w:rsidRDefault="0046798B">
            <w:pPr>
              <w:pStyle w:val="TableParagraph"/>
              <w:spacing w:before="4"/>
              <w:rPr>
                <w:sz w:val="31"/>
              </w:rPr>
            </w:pPr>
          </w:p>
          <w:p w14:paraId="1327424A" w14:textId="77777777" w:rsidR="0046798B" w:rsidRDefault="00903B5C">
            <w:pPr>
              <w:pStyle w:val="TableParagraph"/>
              <w:ind w:left="114"/>
              <w:rPr>
                <w:sz w:val="20"/>
              </w:rPr>
            </w:pPr>
            <w:r>
              <w:rPr>
                <w:sz w:val="20"/>
              </w:rPr>
              <w:t>1945–2010</w:t>
            </w:r>
          </w:p>
        </w:tc>
        <w:tc>
          <w:tcPr>
            <w:tcW w:w="3421" w:type="dxa"/>
          </w:tcPr>
          <w:p w14:paraId="6426CB8D" w14:textId="77777777" w:rsidR="0046798B" w:rsidRDefault="0046798B">
            <w:pPr>
              <w:pStyle w:val="TableParagraph"/>
            </w:pPr>
          </w:p>
          <w:p w14:paraId="3F5BC2AE" w14:textId="77777777" w:rsidR="0046798B" w:rsidRDefault="0046798B">
            <w:pPr>
              <w:pStyle w:val="TableParagraph"/>
              <w:spacing w:before="4"/>
              <w:rPr>
                <w:sz w:val="21"/>
              </w:rPr>
            </w:pPr>
          </w:p>
          <w:p w14:paraId="3E485A9D" w14:textId="77777777" w:rsidR="0046798B" w:rsidRDefault="00903B5C">
            <w:pPr>
              <w:pStyle w:val="TableParagraph"/>
              <w:ind w:left="114" w:right="333"/>
              <w:rPr>
                <w:sz w:val="20"/>
              </w:rPr>
            </w:pPr>
            <w:r>
              <w:rPr>
                <w:sz w:val="20"/>
              </w:rPr>
              <w:t>Proportion of state senators who are Democrats (8-year moving average).</w:t>
            </w:r>
          </w:p>
        </w:tc>
        <w:tc>
          <w:tcPr>
            <w:tcW w:w="6482" w:type="dxa"/>
          </w:tcPr>
          <w:p w14:paraId="78C904DC" w14:textId="77777777" w:rsidR="0046798B" w:rsidRDefault="00903B5C">
            <w:pPr>
              <w:pStyle w:val="TableParagraph"/>
              <w:spacing w:before="38"/>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52CC653B" w14:textId="77777777" w:rsidR="0046798B" w:rsidRDefault="0046798B">
            <w:pPr>
              <w:pStyle w:val="TableParagraph"/>
              <w:rPr>
                <w:sz w:val="20"/>
              </w:rPr>
            </w:pPr>
          </w:p>
          <w:p w14:paraId="06546546" w14:textId="77777777" w:rsidR="0046798B" w:rsidRDefault="00903B5C">
            <w:pPr>
              <w:pStyle w:val="TableParagraph"/>
              <w:spacing w:before="1"/>
              <w:ind w:left="114" w:right="995"/>
              <w:rPr>
                <w:sz w:val="20"/>
              </w:rPr>
            </w:pPr>
            <w:r>
              <w:rPr>
                <w:sz w:val="20"/>
              </w:rPr>
              <w:t xml:space="preserve">Klarner, Carl, 2013, “Other Scholars’ Competitiveness Measures”, </w:t>
            </w:r>
            <w:hyperlink r:id="rId596">
              <w:r>
                <w:rPr>
                  <w:color w:val="0462C1"/>
                  <w:sz w:val="20"/>
                  <w:u w:val="single" w:color="0462C1"/>
                </w:rPr>
                <w:t>https://doi.org/10.7910/DVN/QSDYLH</w:t>
              </w:r>
              <w:r>
                <w:rPr>
                  <w:sz w:val="20"/>
                </w:rPr>
                <w:t>,</w:t>
              </w:r>
            </w:hyperlink>
            <w:r>
              <w:rPr>
                <w:sz w:val="20"/>
              </w:rPr>
              <w:t xml:space="preserve"> Harvard Dataverse, V1</w:t>
            </w:r>
          </w:p>
        </w:tc>
      </w:tr>
      <w:tr w:rsidR="0046798B" w14:paraId="23F9C21B" w14:textId="77777777">
        <w:trPr>
          <w:trHeight w:val="1465"/>
        </w:trPr>
        <w:tc>
          <w:tcPr>
            <w:tcW w:w="1711" w:type="dxa"/>
          </w:tcPr>
          <w:p w14:paraId="05DDEF77" w14:textId="77777777" w:rsidR="0046798B" w:rsidRDefault="0046798B">
            <w:pPr>
              <w:pStyle w:val="TableParagraph"/>
            </w:pPr>
          </w:p>
          <w:p w14:paraId="2E385F28" w14:textId="77777777" w:rsidR="0046798B" w:rsidRDefault="0046798B">
            <w:pPr>
              <w:pStyle w:val="TableParagraph"/>
              <w:spacing w:before="4"/>
              <w:rPr>
                <w:sz w:val="21"/>
              </w:rPr>
            </w:pPr>
          </w:p>
          <w:p w14:paraId="43A73A7A" w14:textId="77777777" w:rsidR="0046798B" w:rsidRDefault="00903B5C">
            <w:pPr>
              <w:pStyle w:val="TableParagraph"/>
              <w:ind w:left="115"/>
              <w:rPr>
                <w:b/>
                <w:sz w:val="20"/>
              </w:rPr>
            </w:pPr>
            <w:r>
              <w:rPr>
                <w:b/>
                <w:sz w:val="20"/>
              </w:rPr>
              <w:t>ranney2_hs_dem</w:t>
            </w:r>
          </w:p>
          <w:p w14:paraId="017B35F6" w14:textId="77777777" w:rsidR="0046798B" w:rsidRDefault="00903B5C">
            <w:pPr>
              <w:pStyle w:val="TableParagraph"/>
              <w:ind w:left="115"/>
              <w:rPr>
                <w:b/>
                <w:sz w:val="20"/>
              </w:rPr>
            </w:pPr>
            <w:r>
              <w:rPr>
                <w:b/>
                <w:sz w:val="20"/>
              </w:rPr>
              <w:t>_prop_8yr</w:t>
            </w:r>
          </w:p>
        </w:tc>
        <w:tc>
          <w:tcPr>
            <w:tcW w:w="1596" w:type="dxa"/>
          </w:tcPr>
          <w:p w14:paraId="6ED1D776" w14:textId="77777777" w:rsidR="0046798B" w:rsidRDefault="00903B5C">
            <w:pPr>
              <w:pStyle w:val="TableParagraph"/>
              <w:spacing w:before="154"/>
              <w:ind w:left="114" w:right="115"/>
              <w:rPr>
                <w:sz w:val="20"/>
              </w:rPr>
            </w:pPr>
            <w:r>
              <w:rPr>
                <w:sz w:val="20"/>
              </w:rPr>
              <w:t>Proportion of Democratic state house members: 8-yr. moving average</w:t>
            </w:r>
          </w:p>
        </w:tc>
        <w:tc>
          <w:tcPr>
            <w:tcW w:w="1285" w:type="dxa"/>
          </w:tcPr>
          <w:p w14:paraId="0343B372" w14:textId="77777777" w:rsidR="0046798B" w:rsidRDefault="0046798B">
            <w:pPr>
              <w:pStyle w:val="TableParagraph"/>
            </w:pPr>
          </w:p>
          <w:p w14:paraId="5747D8E1" w14:textId="77777777" w:rsidR="0046798B" w:rsidRDefault="0046798B">
            <w:pPr>
              <w:pStyle w:val="TableParagraph"/>
              <w:spacing w:before="4"/>
              <w:rPr>
                <w:sz w:val="31"/>
              </w:rPr>
            </w:pPr>
          </w:p>
          <w:p w14:paraId="7A581FFB" w14:textId="77777777" w:rsidR="0046798B" w:rsidRDefault="00903B5C">
            <w:pPr>
              <w:pStyle w:val="TableParagraph"/>
              <w:ind w:left="114"/>
              <w:rPr>
                <w:sz w:val="20"/>
              </w:rPr>
            </w:pPr>
            <w:r>
              <w:rPr>
                <w:sz w:val="20"/>
              </w:rPr>
              <w:t>1945–2010</w:t>
            </w:r>
          </w:p>
        </w:tc>
        <w:tc>
          <w:tcPr>
            <w:tcW w:w="3421" w:type="dxa"/>
          </w:tcPr>
          <w:p w14:paraId="21CFD4C6" w14:textId="77777777" w:rsidR="0046798B" w:rsidRDefault="0046798B">
            <w:pPr>
              <w:pStyle w:val="TableParagraph"/>
            </w:pPr>
          </w:p>
          <w:p w14:paraId="3D227BAF" w14:textId="77777777" w:rsidR="0046798B" w:rsidRDefault="00903B5C">
            <w:pPr>
              <w:pStyle w:val="TableParagraph"/>
              <w:spacing w:before="131"/>
              <w:ind w:left="114" w:right="109"/>
              <w:rPr>
                <w:sz w:val="20"/>
              </w:rPr>
            </w:pPr>
            <w:r>
              <w:rPr>
                <w:sz w:val="20"/>
              </w:rPr>
              <w:t>Proportion of state house members who are Democrats (8-year moving average).</w:t>
            </w:r>
          </w:p>
        </w:tc>
        <w:tc>
          <w:tcPr>
            <w:tcW w:w="6482" w:type="dxa"/>
          </w:tcPr>
          <w:p w14:paraId="6EEFB48D" w14:textId="77777777" w:rsidR="0046798B" w:rsidRDefault="00903B5C">
            <w:pPr>
              <w:pStyle w:val="TableParagraph"/>
              <w:spacing w:before="38"/>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7CEE661A" w14:textId="77777777" w:rsidR="0046798B" w:rsidRDefault="0046798B">
            <w:pPr>
              <w:pStyle w:val="TableParagraph"/>
              <w:rPr>
                <w:sz w:val="20"/>
              </w:rPr>
            </w:pPr>
          </w:p>
          <w:p w14:paraId="60CFEE67" w14:textId="77777777" w:rsidR="0046798B" w:rsidRDefault="00903B5C">
            <w:pPr>
              <w:pStyle w:val="TableParagraph"/>
              <w:ind w:left="114" w:right="995"/>
              <w:rPr>
                <w:sz w:val="20"/>
              </w:rPr>
            </w:pPr>
            <w:r>
              <w:rPr>
                <w:sz w:val="20"/>
              </w:rPr>
              <w:t xml:space="preserve">Klarner, Carl, 2013, “Other Scholars’ Competitiveness Measures”, </w:t>
            </w:r>
            <w:hyperlink r:id="rId597">
              <w:r>
                <w:rPr>
                  <w:color w:val="0462C1"/>
                  <w:sz w:val="20"/>
                  <w:u w:val="single" w:color="0462C1"/>
                </w:rPr>
                <w:t>https://doi.org/10.7910/DVN/QSDYLH</w:t>
              </w:r>
              <w:r>
                <w:rPr>
                  <w:sz w:val="20"/>
                </w:rPr>
                <w:t>,</w:t>
              </w:r>
            </w:hyperlink>
            <w:r>
              <w:rPr>
                <w:sz w:val="20"/>
              </w:rPr>
              <w:t xml:space="preserve"> Harvard Dataverse, V1</w:t>
            </w:r>
          </w:p>
        </w:tc>
      </w:tr>
      <w:tr w:rsidR="0046798B" w14:paraId="3108832E" w14:textId="77777777">
        <w:trPr>
          <w:trHeight w:val="1465"/>
        </w:trPr>
        <w:tc>
          <w:tcPr>
            <w:tcW w:w="1711" w:type="dxa"/>
          </w:tcPr>
          <w:p w14:paraId="3F9853BC" w14:textId="77777777" w:rsidR="0046798B" w:rsidRDefault="0046798B">
            <w:pPr>
              <w:pStyle w:val="TableParagraph"/>
            </w:pPr>
          </w:p>
          <w:p w14:paraId="51D1298A" w14:textId="77777777" w:rsidR="0046798B" w:rsidRDefault="0046798B">
            <w:pPr>
              <w:pStyle w:val="TableParagraph"/>
              <w:spacing w:before="3"/>
              <w:rPr>
                <w:sz w:val="21"/>
              </w:rPr>
            </w:pPr>
          </w:p>
          <w:p w14:paraId="60336F98" w14:textId="77777777" w:rsidR="0046798B" w:rsidRDefault="00903B5C">
            <w:pPr>
              <w:pStyle w:val="TableParagraph"/>
              <w:spacing w:before="1"/>
              <w:ind w:left="115"/>
              <w:rPr>
                <w:b/>
                <w:sz w:val="20"/>
              </w:rPr>
            </w:pPr>
            <w:r>
              <w:rPr>
                <w:b/>
                <w:sz w:val="20"/>
              </w:rPr>
              <w:t>ranney3_gub_pr op_8yr</w:t>
            </w:r>
          </w:p>
        </w:tc>
        <w:tc>
          <w:tcPr>
            <w:tcW w:w="1596" w:type="dxa"/>
          </w:tcPr>
          <w:p w14:paraId="304CF99B" w14:textId="77777777" w:rsidR="0046798B" w:rsidRDefault="00903B5C">
            <w:pPr>
              <w:pStyle w:val="TableParagraph"/>
              <w:spacing w:before="38"/>
              <w:ind w:left="114" w:right="186"/>
              <w:rPr>
                <w:sz w:val="20"/>
              </w:rPr>
            </w:pPr>
            <w:r>
              <w:rPr>
                <w:sz w:val="20"/>
              </w:rPr>
              <w:t>Proportion of two-party vote for Democratic gubernatorial candidate: 8-yr. moving average</w:t>
            </w:r>
          </w:p>
        </w:tc>
        <w:tc>
          <w:tcPr>
            <w:tcW w:w="1285" w:type="dxa"/>
          </w:tcPr>
          <w:p w14:paraId="14106B8E" w14:textId="77777777" w:rsidR="0046798B" w:rsidRDefault="0046798B">
            <w:pPr>
              <w:pStyle w:val="TableParagraph"/>
            </w:pPr>
          </w:p>
          <w:p w14:paraId="54FADB8F" w14:textId="77777777" w:rsidR="0046798B" w:rsidRDefault="0046798B">
            <w:pPr>
              <w:pStyle w:val="TableParagraph"/>
              <w:spacing w:before="3"/>
              <w:rPr>
                <w:sz w:val="31"/>
              </w:rPr>
            </w:pPr>
          </w:p>
          <w:p w14:paraId="36C5E6E6" w14:textId="77777777" w:rsidR="0046798B" w:rsidRDefault="00903B5C">
            <w:pPr>
              <w:pStyle w:val="TableParagraph"/>
              <w:spacing w:before="1"/>
              <w:ind w:left="114"/>
              <w:rPr>
                <w:sz w:val="20"/>
              </w:rPr>
            </w:pPr>
            <w:r>
              <w:rPr>
                <w:sz w:val="20"/>
              </w:rPr>
              <w:t>1945–2010</w:t>
            </w:r>
          </w:p>
        </w:tc>
        <w:tc>
          <w:tcPr>
            <w:tcW w:w="3421" w:type="dxa"/>
          </w:tcPr>
          <w:p w14:paraId="6137D93F" w14:textId="77777777" w:rsidR="0046798B" w:rsidRDefault="0046798B">
            <w:pPr>
              <w:pStyle w:val="TableParagraph"/>
              <w:spacing w:before="3"/>
              <w:rPr>
                <w:sz w:val="23"/>
              </w:rPr>
            </w:pPr>
          </w:p>
          <w:p w14:paraId="369641F8" w14:textId="77777777" w:rsidR="0046798B" w:rsidRDefault="00903B5C">
            <w:pPr>
              <w:pStyle w:val="TableParagraph"/>
              <w:spacing w:before="1"/>
              <w:ind w:left="114" w:right="117"/>
              <w:rPr>
                <w:sz w:val="20"/>
              </w:rPr>
            </w:pPr>
            <w:r>
              <w:rPr>
                <w:sz w:val="20"/>
              </w:rPr>
              <w:t>Proportion of the two-party vote that the Democratic gubernatorial candidate got in the last election (8-year moving average).</w:t>
            </w:r>
          </w:p>
        </w:tc>
        <w:tc>
          <w:tcPr>
            <w:tcW w:w="6482" w:type="dxa"/>
          </w:tcPr>
          <w:p w14:paraId="3D6D9924" w14:textId="77777777" w:rsidR="0046798B" w:rsidRDefault="00903B5C">
            <w:pPr>
              <w:pStyle w:val="TableParagraph"/>
              <w:spacing w:before="38"/>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3098CFF2" w14:textId="77777777" w:rsidR="0046798B" w:rsidRDefault="0046798B">
            <w:pPr>
              <w:pStyle w:val="TableParagraph"/>
              <w:rPr>
                <w:sz w:val="20"/>
              </w:rPr>
            </w:pPr>
          </w:p>
          <w:p w14:paraId="716E56E5" w14:textId="77777777" w:rsidR="0046798B" w:rsidRDefault="00903B5C">
            <w:pPr>
              <w:pStyle w:val="TableParagraph"/>
              <w:ind w:left="114" w:right="995"/>
              <w:rPr>
                <w:sz w:val="20"/>
              </w:rPr>
            </w:pPr>
            <w:r>
              <w:rPr>
                <w:sz w:val="20"/>
              </w:rPr>
              <w:t xml:space="preserve">Klarner, Carl, 2013, “Other Scholars’ Competitiveness Measures”, </w:t>
            </w:r>
            <w:hyperlink r:id="rId598">
              <w:r>
                <w:rPr>
                  <w:color w:val="0462C1"/>
                  <w:sz w:val="20"/>
                  <w:u w:val="single" w:color="0462C1"/>
                </w:rPr>
                <w:t>https://doi.org/10.7910/DVN/QSDYLH</w:t>
              </w:r>
              <w:r>
                <w:rPr>
                  <w:sz w:val="20"/>
                </w:rPr>
                <w:t>,</w:t>
              </w:r>
            </w:hyperlink>
            <w:r>
              <w:rPr>
                <w:sz w:val="20"/>
              </w:rPr>
              <w:t xml:space="preserve"> Harvard Dataverse, V1</w:t>
            </w:r>
          </w:p>
        </w:tc>
      </w:tr>
    </w:tbl>
    <w:p w14:paraId="2E9D5C72" w14:textId="77777777" w:rsidR="0046798B" w:rsidRDefault="0046798B">
      <w:pPr>
        <w:rPr>
          <w:sz w:val="20"/>
        </w:rPr>
        <w:sectPr w:rsidR="0046798B">
          <w:pgSz w:w="15840" w:h="12240" w:orient="landscape"/>
          <w:pgMar w:top="1220" w:right="300" w:bottom="980" w:left="820" w:header="730" w:footer="787" w:gutter="0"/>
          <w:cols w:space="720"/>
        </w:sectPr>
      </w:pPr>
    </w:p>
    <w:p w14:paraId="65F047FF"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089DA1CC" w14:textId="77777777">
        <w:trPr>
          <w:trHeight w:val="1465"/>
        </w:trPr>
        <w:tc>
          <w:tcPr>
            <w:tcW w:w="1711" w:type="dxa"/>
          </w:tcPr>
          <w:p w14:paraId="4E06DF85" w14:textId="77777777" w:rsidR="0046798B" w:rsidRDefault="0046798B">
            <w:pPr>
              <w:pStyle w:val="TableParagraph"/>
            </w:pPr>
          </w:p>
          <w:p w14:paraId="78B9E201" w14:textId="77777777" w:rsidR="0046798B" w:rsidRDefault="0046798B">
            <w:pPr>
              <w:pStyle w:val="TableParagraph"/>
              <w:spacing w:before="9"/>
              <w:rPr>
                <w:sz w:val="21"/>
              </w:rPr>
            </w:pPr>
          </w:p>
          <w:p w14:paraId="0E2047C3" w14:textId="77777777" w:rsidR="0046798B" w:rsidRDefault="00903B5C">
            <w:pPr>
              <w:pStyle w:val="TableParagraph"/>
              <w:ind w:left="115"/>
              <w:rPr>
                <w:b/>
                <w:sz w:val="20"/>
              </w:rPr>
            </w:pPr>
            <w:r>
              <w:rPr>
                <w:b/>
                <w:sz w:val="20"/>
              </w:rPr>
              <w:t>ranney4_control</w:t>
            </w:r>
          </w:p>
          <w:p w14:paraId="076DC003" w14:textId="77777777" w:rsidR="0046798B" w:rsidRDefault="00903B5C">
            <w:pPr>
              <w:pStyle w:val="TableParagraph"/>
              <w:ind w:left="115"/>
              <w:rPr>
                <w:b/>
                <w:sz w:val="20"/>
              </w:rPr>
            </w:pPr>
            <w:r>
              <w:rPr>
                <w:b/>
                <w:sz w:val="20"/>
              </w:rPr>
              <w:t>_8yr</w:t>
            </w:r>
          </w:p>
        </w:tc>
        <w:tc>
          <w:tcPr>
            <w:tcW w:w="1596" w:type="dxa"/>
          </w:tcPr>
          <w:p w14:paraId="186BE119" w14:textId="77777777" w:rsidR="0046798B" w:rsidRDefault="00903B5C">
            <w:pPr>
              <w:pStyle w:val="TableParagraph"/>
              <w:spacing w:before="158"/>
              <w:ind w:left="114" w:right="135"/>
              <w:rPr>
                <w:sz w:val="20"/>
              </w:rPr>
            </w:pPr>
            <w:r>
              <w:rPr>
                <w:sz w:val="20"/>
              </w:rPr>
              <w:t>Party control of state government: 8- yr. moving average</w:t>
            </w:r>
          </w:p>
        </w:tc>
        <w:tc>
          <w:tcPr>
            <w:tcW w:w="1285" w:type="dxa"/>
          </w:tcPr>
          <w:p w14:paraId="7DA743C9" w14:textId="77777777" w:rsidR="0046798B" w:rsidRDefault="0046798B">
            <w:pPr>
              <w:pStyle w:val="TableParagraph"/>
            </w:pPr>
          </w:p>
          <w:p w14:paraId="14E06FB5" w14:textId="77777777" w:rsidR="0046798B" w:rsidRDefault="0046798B">
            <w:pPr>
              <w:pStyle w:val="TableParagraph"/>
              <w:spacing w:before="9"/>
              <w:rPr>
                <w:sz w:val="31"/>
              </w:rPr>
            </w:pPr>
          </w:p>
          <w:p w14:paraId="012A25A2" w14:textId="77777777" w:rsidR="0046798B" w:rsidRDefault="00903B5C">
            <w:pPr>
              <w:pStyle w:val="TableParagraph"/>
              <w:ind w:left="114"/>
              <w:rPr>
                <w:sz w:val="20"/>
              </w:rPr>
            </w:pPr>
            <w:r>
              <w:rPr>
                <w:sz w:val="20"/>
              </w:rPr>
              <w:t>1945–2010</w:t>
            </w:r>
          </w:p>
        </w:tc>
        <w:tc>
          <w:tcPr>
            <w:tcW w:w="3421" w:type="dxa"/>
          </w:tcPr>
          <w:p w14:paraId="48F27824" w14:textId="77777777" w:rsidR="0046798B" w:rsidRDefault="0046798B">
            <w:pPr>
              <w:pStyle w:val="TableParagraph"/>
            </w:pPr>
          </w:p>
          <w:p w14:paraId="18F7D114" w14:textId="77777777" w:rsidR="0046798B" w:rsidRDefault="00903B5C">
            <w:pPr>
              <w:pStyle w:val="TableParagraph"/>
              <w:spacing w:before="135"/>
              <w:ind w:left="114" w:right="394"/>
              <w:rPr>
                <w:sz w:val="20"/>
              </w:rPr>
            </w:pPr>
            <w:r>
              <w:rPr>
                <w:sz w:val="20"/>
              </w:rPr>
              <w:t>0 = unified Republican control, 1 = unified Democratic control, .5 = neither. Eight-year moving average.</w:t>
            </w:r>
          </w:p>
        </w:tc>
        <w:tc>
          <w:tcPr>
            <w:tcW w:w="6482" w:type="dxa"/>
          </w:tcPr>
          <w:p w14:paraId="761C9C97" w14:textId="77777777" w:rsidR="0046798B" w:rsidRDefault="00903B5C">
            <w:pPr>
              <w:pStyle w:val="TableParagraph"/>
              <w:spacing w:before="43"/>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42B05321" w14:textId="77777777" w:rsidR="0046798B" w:rsidRDefault="0046798B">
            <w:pPr>
              <w:pStyle w:val="TableParagraph"/>
              <w:rPr>
                <w:sz w:val="20"/>
              </w:rPr>
            </w:pPr>
          </w:p>
          <w:p w14:paraId="0171DFA6" w14:textId="77777777" w:rsidR="0046798B" w:rsidRDefault="00903B5C">
            <w:pPr>
              <w:pStyle w:val="TableParagraph"/>
              <w:ind w:left="114" w:right="995"/>
              <w:rPr>
                <w:sz w:val="20"/>
              </w:rPr>
            </w:pPr>
            <w:r>
              <w:rPr>
                <w:sz w:val="20"/>
              </w:rPr>
              <w:t xml:space="preserve">Klarner, Carl, 2013, “Other Scholars’ Competitiveness Measures”, </w:t>
            </w:r>
            <w:hyperlink r:id="rId599">
              <w:r>
                <w:rPr>
                  <w:color w:val="0462C1"/>
                  <w:sz w:val="20"/>
                  <w:u w:val="single" w:color="0462C1"/>
                </w:rPr>
                <w:t>https://doi.org/10.7910/DVN/QSDYLH</w:t>
              </w:r>
              <w:r>
                <w:rPr>
                  <w:sz w:val="20"/>
                </w:rPr>
                <w:t>,</w:t>
              </w:r>
            </w:hyperlink>
            <w:r>
              <w:rPr>
                <w:sz w:val="20"/>
              </w:rPr>
              <w:t xml:space="preserve"> Harvard Dataverse, V1</w:t>
            </w:r>
          </w:p>
        </w:tc>
      </w:tr>
      <w:tr w:rsidR="0046798B" w14:paraId="5A4A0342" w14:textId="77777777">
        <w:trPr>
          <w:trHeight w:val="2616"/>
        </w:trPr>
        <w:tc>
          <w:tcPr>
            <w:tcW w:w="1711" w:type="dxa"/>
          </w:tcPr>
          <w:p w14:paraId="2254D552" w14:textId="77777777" w:rsidR="0046798B" w:rsidRDefault="0046798B">
            <w:pPr>
              <w:pStyle w:val="TableParagraph"/>
            </w:pPr>
          </w:p>
          <w:p w14:paraId="2B887156" w14:textId="77777777" w:rsidR="0046798B" w:rsidRDefault="0046798B">
            <w:pPr>
              <w:pStyle w:val="TableParagraph"/>
            </w:pPr>
          </w:p>
          <w:p w14:paraId="2C70B777" w14:textId="77777777" w:rsidR="0046798B" w:rsidRDefault="0046798B">
            <w:pPr>
              <w:pStyle w:val="TableParagraph"/>
            </w:pPr>
          </w:p>
          <w:p w14:paraId="7B3B096F" w14:textId="77777777" w:rsidR="0046798B" w:rsidRDefault="0046798B">
            <w:pPr>
              <w:pStyle w:val="TableParagraph"/>
              <w:spacing w:before="9"/>
              <w:rPr>
                <w:sz w:val="27"/>
              </w:rPr>
            </w:pPr>
          </w:p>
          <w:p w14:paraId="22E5EE89" w14:textId="77777777" w:rsidR="0046798B" w:rsidRDefault="00903B5C">
            <w:pPr>
              <w:pStyle w:val="TableParagraph"/>
              <w:ind w:left="115"/>
              <w:rPr>
                <w:b/>
                <w:sz w:val="20"/>
              </w:rPr>
            </w:pPr>
            <w:r>
              <w:rPr>
                <w:b/>
                <w:sz w:val="20"/>
              </w:rPr>
              <w:t>ranney4_control</w:t>
            </w:r>
          </w:p>
          <w:p w14:paraId="69FCBBBC" w14:textId="77777777" w:rsidR="0046798B" w:rsidRDefault="00903B5C">
            <w:pPr>
              <w:pStyle w:val="TableParagraph"/>
              <w:spacing w:before="1"/>
              <w:ind w:left="115"/>
              <w:rPr>
                <w:b/>
                <w:sz w:val="20"/>
              </w:rPr>
            </w:pPr>
            <w:r>
              <w:rPr>
                <w:b/>
                <w:sz w:val="20"/>
              </w:rPr>
              <w:t>_alt_8yr</w:t>
            </w:r>
          </w:p>
        </w:tc>
        <w:tc>
          <w:tcPr>
            <w:tcW w:w="1596" w:type="dxa"/>
          </w:tcPr>
          <w:p w14:paraId="1FBAFD75" w14:textId="77777777" w:rsidR="0046798B" w:rsidRDefault="0046798B">
            <w:pPr>
              <w:pStyle w:val="TableParagraph"/>
            </w:pPr>
          </w:p>
          <w:p w14:paraId="639A2308" w14:textId="77777777" w:rsidR="0046798B" w:rsidRDefault="0046798B">
            <w:pPr>
              <w:pStyle w:val="TableParagraph"/>
            </w:pPr>
          </w:p>
          <w:p w14:paraId="2B3EC638" w14:textId="77777777" w:rsidR="0046798B" w:rsidRDefault="0046798B">
            <w:pPr>
              <w:pStyle w:val="TableParagraph"/>
              <w:spacing w:before="9"/>
              <w:rPr>
                <w:sz w:val="19"/>
              </w:rPr>
            </w:pPr>
          </w:p>
          <w:p w14:paraId="224723CB" w14:textId="77777777" w:rsidR="0046798B" w:rsidRDefault="00903B5C">
            <w:pPr>
              <w:pStyle w:val="TableParagraph"/>
              <w:ind w:left="114" w:right="224"/>
              <w:rPr>
                <w:sz w:val="20"/>
              </w:rPr>
            </w:pPr>
            <w:r>
              <w:rPr>
                <w:sz w:val="20"/>
              </w:rPr>
              <w:t>Democratic control of state government: 8- yr. moving average</w:t>
            </w:r>
          </w:p>
        </w:tc>
        <w:tc>
          <w:tcPr>
            <w:tcW w:w="1285" w:type="dxa"/>
          </w:tcPr>
          <w:p w14:paraId="1E34E73C" w14:textId="77777777" w:rsidR="0046798B" w:rsidRDefault="0046798B">
            <w:pPr>
              <w:pStyle w:val="TableParagraph"/>
            </w:pPr>
          </w:p>
          <w:p w14:paraId="6E979D05" w14:textId="77777777" w:rsidR="0046798B" w:rsidRDefault="0046798B">
            <w:pPr>
              <w:pStyle w:val="TableParagraph"/>
            </w:pPr>
          </w:p>
          <w:p w14:paraId="496FB9CF" w14:textId="77777777" w:rsidR="0046798B" w:rsidRDefault="0046798B">
            <w:pPr>
              <w:pStyle w:val="TableParagraph"/>
            </w:pPr>
          </w:p>
          <w:p w14:paraId="5E3810BD" w14:textId="77777777" w:rsidR="0046798B" w:rsidRDefault="0046798B">
            <w:pPr>
              <w:pStyle w:val="TableParagraph"/>
            </w:pPr>
          </w:p>
          <w:p w14:paraId="27E71AFF" w14:textId="77777777" w:rsidR="0046798B" w:rsidRDefault="00903B5C">
            <w:pPr>
              <w:pStyle w:val="TableParagraph"/>
              <w:spacing w:before="182"/>
              <w:ind w:left="114"/>
              <w:rPr>
                <w:sz w:val="20"/>
              </w:rPr>
            </w:pPr>
            <w:r>
              <w:rPr>
                <w:sz w:val="20"/>
              </w:rPr>
              <w:t>1945–2010</w:t>
            </w:r>
          </w:p>
        </w:tc>
        <w:tc>
          <w:tcPr>
            <w:tcW w:w="3421" w:type="dxa"/>
          </w:tcPr>
          <w:p w14:paraId="68037789" w14:textId="77777777" w:rsidR="0046798B" w:rsidRDefault="00903B5C">
            <w:pPr>
              <w:pStyle w:val="TableParagraph"/>
              <w:spacing w:before="44"/>
              <w:ind w:left="114" w:right="128"/>
              <w:rPr>
                <w:sz w:val="20"/>
              </w:rPr>
            </w:pPr>
            <w:r>
              <w:rPr>
                <w:sz w:val="20"/>
              </w:rPr>
              <w:t xml:space="preserve">Dummy: 1 = unified Democratic control, 0 = else. Eight-year moving average. Note: this is the way dimension #4 of the Ranney index has been measured in the past. This </w:t>
            </w:r>
            <w:r>
              <w:rPr>
                <w:spacing w:val="-4"/>
                <w:sz w:val="20"/>
              </w:rPr>
              <w:t xml:space="preserve">method </w:t>
            </w:r>
            <w:r>
              <w:rPr>
                <w:sz w:val="20"/>
              </w:rPr>
              <w:t>could be very problematic. The underlying assumption of this method is that unified Democratic control is important, but that the difference between unified Republican control and split control</w:t>
            </w:r>
            <w:r>
              <w:rPr>
                <w:spacing w:val="-4"/>
                <w:sz w:val="20"/>
              </w:rPr>
              <w:t xml:space="preserve"> </w:t>
            </w:r>
            <w:r>
              <w:rPr>
                <w:sz w:val="20"/>
              </w:rPr>
              <w:t>isn’t.</w:t>
            </w:r>
          </w:p>
        </w:tc>
        <w:tc>
          <w:tcPr>
            <w:tcW w:w="6482" w:type="dxa"/>
          </w:tcPr>
          <w:p w14:paraId="680DA6DF" w14:textId="77777777" w:rsidR="0046798B" w:rsidRDefault="0046798B">
            <w:pPr>
              <w:pStyle w:val="TableParagraph"/>
            </w:pPr>
          </w:p>
          <w:p w14:paraId="6EC7ACA0" w14:textId="77777777" w:rsidR="0046798B" w:rsidRDefault="0046798B">
            <w:pPr>
              <w:pStyle w:val="TableParagraph"/>
              <w:spacing w:before="9"/>
              <w:rPr>
                <w:sz w:val="31"/>
              </w:rPr>
            </w:pPr>
          </w:p>
          <w:p w14:paraId="7D365A60" w14:textId="77777777" w:rsidR="0046798B" w:rsidRDefault="00903B5C">
            <w:pPr>
              <w:pStyle w:val="TableParagraph"/>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29361694" w14:textId="77777777" w:rsidR="0046798B" w:rsidRDefault="0046798B">
            <w:pPr>
              <w:pStyle w:val="TableParagraph"/>
              <w:rPr>
                <w:sz w:val="20"/>
              </w:rPr>
            </w:pPr>
          </w:p>
          <w:p w14:paraId="1B0CEF6E" w14:textId="77777777" w:rsidR="0046798B" w:rsidRDefault="00903B5C">
            <w:pPr>
              <w:pStyle w:val="TableParagraph"/>
              <w:spacing w:before="1"/>
              <w:ind w:left="114" w:right="995"/>
              <w:rPr>
                <w:sz w:val="20"/>
              </w:rPr>
            </w:pPr>
            <w:r>
              <w:rPr>
                <w:sz w:val="20"/>
              </w:rPr>
              <w:t xml:space="preserve">Klarner, Carl, 2013, “Other Scholars’ Competitiveness Measures”, </w:t>
            </w:r>
            <w:hyperlink r:id="rId600">
              <w:r>
                <w:rPr>
                  <w:color w:val="0462C1"/>
                  <w:sz w:val="20"/>
                  <w:u w:val="single" w:color="0462C1"/>
                </w:rPr>
                <w:t>https://doi.org/10.7910/DVN/QSDYLH</w:t>
              </w:r>
              <w:r>
                <w:rPr>
                  <w:sz w:val="20"/>
                </w:rPr>
                <w:t>,</w:t>
              </w:r>
            </w:hyperlink>
            <w:r>
              <w:rPr>
                <w:sz w:val="20"/>
              </w:rPr>
              <w:t xml:space="preserve"> Harvard Dataverse, V1</w:t>
            </w:r>
          </w:p>
        </w:tc>
      </w:tr>
      <w:tr w:rsidR="0046798B" w14:paraId="56DCA558" w14:textId="77777777">
        <w:trPr>
          <w:trHeight w:val="1470"/>
        </w:trPr>
        <w:tc>
          <w:tcPr>
            <w:tcW w:w="1711" w:type="dxa"/>
          </w:tcPr>
          <w:p w14:paraId="646BF2EF" w14:textId="77777777" w:rsidR="0046798B" w:rsidRDefault="0046798B">
            <w:pPr>
              <w:pStyle w:val="TableParagraph"/>
            </w:pPr>
          </w:p>
          <w:p w14:paraId="1C53B39C" w14:textId="77777777" w:rsidR="0046798B" w:rsidRDefault="0046798B">
            <w:pPr>
              <w:pStyle w:val="TableParagraph"/>
              <w:spacing w:before="8"/>
              <w:rPr>
                <w:sz w:val="21"/>
              </w:rPr>
            </w:pPr>
          </w:p>
          <w:p w14:paraId="521E3A04" w14:textId="77777777" w:rsidR="0046798B" w:rsidRDefault="00903B5C">
            <w:pPr>
              <w:pStyle w:val="TableParagraph"/>
              <w:spacing w:before="1"/>
              <w:ind w:left="115" w:right="188"/>
              <w:rPr>
                <w:b/>
                <w:sz w:val="20"/>
              </w:rPr>
            </w:pPr>
            <w:r>
              <w:rPr>
                <w:b/>
                <w:sz w:val="20"/>
              </w:rPr>
              <w:t>ranney1_sen_de m_prop_10yr</w:t>
            </w:r>
          </w:p>
        </w:tc>
        <w:tc>
          <w:tcPr>
            <w:tcW w:w="1596" w:type="dxa"/>
          </w:tcPr>
          <w:p w14:paraId="6CA49D31" w14:textId="77777777" w:rsidR="0046798B" w:rsidRDefault="0046798B">
            <w:pPr>
              <w:pStyle w:val="TableParagraph"/>
              <w:spacing w:before="8"/>
              <w:rPr>
                <w:sz w:val="23"/>
              </w:rPr>
            </w:pPr>
          </w:p>
          <w:p w14:paraId="022F56AB" w14:textId="77777777" w:rsidR="0046798B" w:rsidRDefault="00903B5C">
            <w:pPr>
              <w:pStyle w:val="TableParagraph"/>
              <w:spacing w:before="1"/>
              <w:ind w:left="114" w:right="102"/>
              <w:rPr>
                <w:sz w:val="20"/>
              </w:rPr>
            </w:pPr>
            <w:r>
              <w:rPr>
                <w:sz w:val="20"/>
              </w:rPr>
              <w:t>Proportion of Democratic state senators: 10-yr. moving average</w:t>
            </w:r>
          </w:p>
        </w:tc>
        <w:tc>
          <w:tcPr>
            <w:tcW w:w="1285" w:type="dxa"/>
          </w:tcPr>
          <w:p w14:paraId="6D1C86F4" w14:textId="77777777" w:rsidR="0046798B" w:rsidRDefault="0046798B">
            <w:pPr>
              <w:pStyle w:val="TableParagraph"/>
            </w:pPr>
          </w:p>
          <w:p w14:paraId="7A723E9E" w14:textId="77777777" w:rsidR="0046798B" w:rsidRDefault="0046798B">
            <w:pPr>
              <w:pStyle w:val="TableParagraph"/>
              <w:spacing w:before="8"/>
              <w:rPr>
                <w:sz w:val="31"/>
              </w:rPr>
            </w:pPr>
          </w:p>
          <w:p w14:paraId="0BD92D9C" w14:textId="77777777" w:rsidR="0046798B" w:rsidRDefault="00903B5C">
            <w:pPr>
              <w:pStyle w:val="TableParagraph"/>
              <w:spacing w:before="1"/>
              <w:ind w:left="114"/>
              <w:rPr>
                <w:sz w:val="20"/>
              </w:rPr>
            </w:pPr>
            <w:r>
              <w:rPr>
                <w:sz w:val="20"/>
              </w:rPr>
              <w:t>1947–2010</w:t>
            </w:r>
          </w:p>
        </w:tc>
        <w:tc>
          <w:tcPr>
            <w:tcW w:w="3421" w:type="dxa"/>
          </w:tcPr>
          <w:p w14:paraId="25B7770A" w14:textId="77777777" w:rsidR="0046798B" w:rsidRDefault="0046798B">
            <w:pPr>
              <w:pStyle w:val="TableParagraph"/>
            </w:pPr>
          </w:p>
          <w:p w14:paraId="0A5E8B69" w14:textId="77777777" w:rsidR="0046798B" w:rsidRDefault="0046798B">
            <w:pPr>
              <w:pStyle w:val="TableParagraph"/>
              <w:spacing w:before="8"/>
              <w:rPr>
                <w:sz w:val="21"/>
              </w:rPr>
            </w:pPr>
          </w:p>
          <w:p w14:paraId="6816E746" w14:textId="77777777" w:rsidR="0046798B" w:rsidRDefault="00903B5C">
            <w:pPr>
              <w:pStyle w:val="TableParagraph"/>
              <w:spacing w:before="1"/>
              <w:ind w:left="114" w:right="233"/>
              <w:rPr>
                <w:sz w:val="20"/>
              </w:rPr>
            </w:pPr>
            <w:r>
              <w:rPr>
                <w:sz w:val="20"/>
              </w:rPr>
              <w:t>Proportion of state senators who are Democrats (10-year moving average).</w:t>
            </w:r>
          </w:p>
        </w:tc>
        <w:tc>
          <w:tcPr>
            <w:tcW w:w="6482" w:type="dxa"/>
          </w:tcPr>
          <w:p w14:paraId="51B3681B" w14:textId="77777777" w:rsidR="0046798B" w:rsidRDefault="00903B5C">
            <w:pPr>
              <w:pStyle w:val="TableParagraph"/>
              <w:spacing w:before="43"/>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6AADC16D" w14:textId="77777777" w:rsidR="0046798B" w:rsidRDefault="0046798B">
            <w:pPr>
              <w:pStyle w:val="TableParagraph"/>
              <w:rPr>
                <w:sz w:val="20"/>
              </w:rPr>
            </w:pPr>
          </w:p>
          <w:p w14:paraId="26E268D6" w14:textId="77777777" w:rsidR="0046798B" w:rsidRDefault="00903B5C">
            <w:pPr>
              <w:pStyle w:val="TableParagraph"/>
              <w:ind w:left="114" w:right="995"/>
              <w:rPr>
                <w:sz w:val="20"/>
              </w:rPr>
            </w:pPr>
            <w:r>
              <w:rPr>
                <w:sz w:val="20"/>
              </w:rPr>
              <w:t xml:space="preserve">Klarner, Carl, 2013, “Other Scholars’ Competitiveness Measures”, </w:t>
            </w:r>
            <w:hyperlink r:id="rId601">
              <w:r>
                <w:rPr>
                  <w:color w:val="0462C1"/>
                  <w:sz w:val="20"/>
                  <w:u w:val="single" w:color="0462C1"/>
                </w:rPr>
                <w:t>https://doi.org/10.7910/DVN/QSDYLH</w:t>
              </w:r>
              <w:r>
                <w:rPr>
                  <w:sz w:val="20"/>
                </w:rPr>
                <w:t>,</w:t>
              </w:r>
            </w:hyperlink>
            <w:r>
              <w:rPr>
                <w:sz w:val="20"/>
              </w:rPr>
              <w:t xml:space="preserve"> Harvard Dataverse, V1</w:t>
            </w:r>
          </w:p>
        </w:tc>
      </w:tr>
      <w:tr w:rsidR="0046798B" w14:paraId="4114DB80" w14:textId="77777777">
        <w:trPr>
          <w:trHeight w:val="1465"/>
        </w:trPr>
        <w:tc>
          <w:tcPr>
            <w:tcW w:w="1711" w:type="dxa"/>
          </w:tcPr>
          <w:p w14:paraId="69C0055F" w14:textId="77777777" w:rsidR="0046798B" w:rsidRDefault="0046798B">
            <w:pPr>
              <w:pStyle w:val="TableParagraph"/>
            </w:pPr>
          </w:p>
          <w:p w14:paraId="069AF6A4" w14:textId="77777777" w:rsidR="0046798B" w:rsidRDefault="0046798B">
            <w:pPr>
              <w:pStyle w:val="TableParagraph"/>
              <w:spacing w:before="3"/>
              <w:rPr>
                <w:sz w:val="21"/>
              </w:rPr>
            </w:pPr>
          </w:p>
          <w:p w14:paraId="01F49EFD" w14:textId="77777777" w:rsidR="0046798B" w:rsidRDefault="00903B5C">
            <w:pPr>
              <w:pStyle w:val="TableParagraph"/>
              <w:spacing w:before="1"/>
              <w:ind w:left="115"/>
              <w:rPr>
                <w:b/>
                <w:sz w:val="20"/>
              </w:rPr>
            </w:pPr>
            <w:r>
              <w:rPr>
                <w:b/>
                <w:sz w:val="20"/>
              </w:rPr>
              <w:t>ranney2_hs_dem</w:t>
            </w:r>
          </w:p>
          <w:p w14:paraId="2084063C" w14:textId="77777777" w:rsidR="0046798B" w:rsidRDefault="00903B5C">
            <w:pPr>
              <w:pStyle w:val="TableParagraph"/>
              <w:ind w:left="115"/>
              <w:rPr>
                <w:b/>
                <w:sz w:val="20"/>
              </w:rPr>
            </w:pPr>
            <w:r>
              <w:rPr>
                <w:b/>
                <w:sz w:val="20"/>
              </w:rPr>
              <w:t>_prop_10yr</w:t>
            </w:r>
          </w:p>
        </w:tc>
        <w:tc>
          <w:tcPr>
            <w:tcW w:w="1596" w:type="dxa"/>
          </w:tcPr>
          <w:p w14:paraId="03EFF9BB" w14:textId="77777777" w:rsidR="0046798B" w:rsidRDefault="00903B5C">
            <w:pPr>
              <w:pStyle w:val="TableParagraph"/>
              <w:spacing w:before="153"/>
              <w:ind w:left="114" w:right="115"/>
              <w:rPr>
                <w:sz w:val="20"/>
              </w:rPr>
            </w:pPr>
            <w:r>
              <w:rPr>
                <w:sz w:val="20"/>
              </w:rPr>
              <w:t>Proportion of Democratic state house members: 10-yr. moving average</w:t>
            </w:r>
          </w:p>
        </w:tc>
        <w:tc>
          <w:tcPr>
            <w:tcW w:w="1285" w:type="dxa"/>
          </w:tcPr>
          <w:p w14:paraId="284C1B74" w14:textId="77777777" w:rsidR="0046798B" w:rsidRDefault="0046798B">
            <w:pPr>
              <w:pStyle w:val="TableParagraph"/>
            </w:pPr>
          </w:p>
          <w:p w14:paraId="0AC6048A" w14:textId="77777777" w:rsidR="0046798B" w:rsidRDefault="0046798B">
            <w:pPr>
              <w:pStyle w:val="TableParagraph"/>
              <w:spacing w:before="3"/>
              <w:rPr>
                <w:sz w:val="31"/>
              </w:rPr>
            </w:pPr>
          </w:p>
          <w:p w14:paraId="69A8DBFA" w14:textId="77777777" w:rsidR="0046798B" w:rsidRDefault="00903B5C">
            <w:pPr>
              <w:pStyle w:val="TableParagraph"/>
              <w:spacing w:before="1"/>
              <w:ind w:left="114"/>
              <w:rPr>
                <w:sz w:val="20"/>
              </w:rPr>
            </w:pPr>
            <w:r>
              <w:rPr>
                <w:sz w:val="20"/>
              </w:rPr>
              <w:t>1947–2010</w:t>
            </w:r>
          </w:p>
        </w:tc>
        <w:tc>
          <w:tcPr>
            <w:tcW w:w="3421" w:type="dxa"/>
          </w:tcPr>
          <w:p w14:paraId="0E0BE85B" w14:textId="77777777" w:rsidR="0046798B" w:rsidRDefault="0046798B">
            <w:pPr>
              <w:pStyle w:val="TableParagraph"/>
            </w:pPr>
          </w:p>
          <w:p w14:paraId="79DD9910" w14:textId="77777777" w:rsidR="0046798B" w:rsidRDefault="00903B5C">
            <w:pPr>
              <w:pStyle w:val="TableParagraph"/>
              <w:spacing w:before="130"/>
              <w:ind w:left="114" w:right="94"/>
              <w:rPr>
                <w:sz w:val="20"/>
              </w:rPr>
            </w:pPr>
            <w:r>
              <w:rPr>
                <w:sz w:val="20"/>
              </w:rPr>
              <w:t>Proportion of state house members who are Democrats (10-year moving average).</w:t>
            </w:r>
          </w:p>
        </w:tc>
        <w:tc>
          <w:tcPr>
            <w:tcW w:w="6482" w:type="dxa"/>
          </w:tcPr>
          <w:p w14:paraId="4545E8E2" w14:textId="77777777" w:rsidR="0046798B" w:rsidRDefault="00903B5C">
            <w:pPr>
              <w:pStyle w:val="TableParagraph"/>
              <w:spacing w:before="38"/>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2603F980" w14:textId="77777777" w:rsidR="0046798B" w:rsidRDefault="0046798B">
            <w:pPr>
              <w:pStyle w:val="TableParagraph"/>
              <w:rPr>
                <w:sz w:val="20"/>
              </w:rPr>
            </w:pPr>
          </w:p>
          <w:p w14:paraId="01875D59" w14:textId="77777777" w:rsidR="0046798B" w:rsidRDefault="00903B5C">
            <w:pPr>
              <w:pStyle w:val="TableParagraph"/>
              <w:ind w:left="114" w:right="995"/>
              <w:rPr>
                <w:sz w:val="20"/>
              </w:rPr>
            </w:pPr>
            <w:r>
              <w:rPr>
                <w:sz w:val="20"/>
              </w:rPr>
              <w:t xml:space="preserve">Klarner, Carl, 2013, “Other Scholars’ Competitiveness Measures”, </w:t>
            </w:r>
            <w:hyperlink r:id="rId602">
              <w:r>
                <w:rPr>
                  <w:color w:val="0462C1"/>
                  <w:sz w:val="20"/>
                  <w:u w:val="single" w:color="0462C1"/>
                </w:rPr>
                <w:t>https://doi.org/10.7910/DVN/QSDYLH</w:t>
              </w:r>
              <w:r>
                <w:rPr>
                  <w:sz w:val="20"/>
                </w:rPr>
                <w:t>,</w:t>
              </w:r>
            </w:hyperlink>
            <w:r>
              <w:rPr>
                <w:sz w:val="20"/>
              </w:rPr>
              <w:t xml:space="preserve"> Harvard Dataverse, V1</w:t>
            </w:r>
          </w:p>
        </w:tc>
      </w:tr>
      <w:tr w:rsidR="0046798B" w14:paraId="01ECD0A0" w14:textId="77777777">
        <w:trPr>
          <w:trHeight w:val="1465"/>
        </w:trPr>
        <w:tc>
          <w:tcPr>
            <w:tcW w:w="1711" w:type="dxa"/>
          </w:tcPr>
          <w:p w14:paraId="583591DF" w14:textId="77777777" w:rsidR="0046798B" w:rsidRDefault="0046798B">
            <w:pPr>
              <w:pStyle w:val="TableParagraph"/>
            </w:pPr>
          </w:p>
          <w:p w14:paraId="1A29EB2F" w14:textId="77777777" w:rsidR="0046798B" w:rsidRDefault="0046798B">
            <w:pPr>
              <w:pStyle w:val="TableParagraph"/>
              <w:spacing w:before="3"/>
              <w:rPr>
                <w:sz w:val="21"/>
              </w:rPr>
            </w:pPr>
          </w:p>
          <w:p w14:paraId="55303560" w14:textId="77777777" w:rsidR="0046798B" w:rsidRDefault="00903B5C">
            <w:pPr>
              <w:pStyle w:val="TableParagraph"/>
              <w:spacing w:before="1"/>
              <w:ind w:left="115"/>
              <w:rPr>
                <w:b/>
                <w:sz w:val="20"/>
              </w:rPr>
            </w:pPr>
            <w:r>
              <w:rPr>
                <w:b/>
                <w:sz w:val="20"/>
              </w:rPr>
              <w:t>ranney3_gub_pr op_10yr</w:t>
            </w:r>
          </w:p>
        </w:tc>
        <w:tc>
          <w:tcPr>
            <w:tcW w:w="1596" w:type="dxa"/>
          </w:tcPr>
          <w:p w14:paraId="357C92C5" w14:textId="77777777" w:rsidR="0046798B" w:rsidRDefault="00903B5C">
            <w:pPr>
              <w:pStyle w:val="TableParagraph"/>
              <w:spacing w:before="38"/>
              <w:ind w:left="114" w:right="114"/>
              <w:rPr>
                <w:sz w:val="20"/>
              </w:rPr>
            </w:pPr>
            <w:r>
              <w:rPr>
                <w:sz w:val="20"/>
              </w:rPr>
              <w:t>Proportion of two-party vote for Democratic gubernatorial candidate: 10-yr. moving average</w:t>
            </w:r>
          </w:p>
        </w:tc>
        <w:tc>
          <w:tcPr>
            <w:tcW w:w="1285" w:type="dxa"/>
          </w:tcPr>
          <w:p w14:paraId="071762D1" w14:textId="77777777" w:rsidR="0046798B" w:rsidRDefault="0046798B">
            <w:pPr>
              <w:pStyle w:val="TableParagraph"/>
            </w:pPr>
          </w:p>
          <w:p w14:paraId="273697D6" w14:textId="77777777" w:rsidR="0046798B" w:rsidRDefault="0046798B">
            <w:pPr>
              <w:pStyle w:val="TableParagraph"/>
              <w:spacing w:before="4"/>
              <w:rPr>
                <w:sz w:val="31"/>
              </w:rPr>
            </w:pPr>
          </w:p>
          <w:p w14:paraId="746BB126" w14:textId="77777777" w:rsidR="0046798B" w:rsidRDefault="00903B5C">
            <w:pPr>
              <w:pStyle w:val="TableParagraph"/>
              <w:ind w:left="114"/>
              <w:rPr>
                <w:sz w:val="20"/>
              </w:rPr>
            </w:pPr>
            <w:r>
              <w:rPr>
                <w:sz w:val="20"/>
              </w:rPr>
              <w:t>1947–2010</w:t>
            </w:r>
          </w:p>
        </w:tc>
        <w:tc>
          <w:tcPr>
            <w:tcW w:w="3421" w:type="dxa"/>
          </w:tcPr>
          <w:p w14:paraId="6277F8C9" w14:textId="77777777" w:rsidR="0046798B" w:rsidRDefault="0046798B">
            <w:pPr>
              <w:pStyle w:val="TableParagraph"/>
              <w:spacing w:before="3"/>
              <w:rPr>
                <w:sz w:val="23"/>
              </w:rPr>
            </w:pPr>
          </w:p>
          <w:p w14:paraId="2F902C22" w14:textId="77777777" w:rsidR="0046798B" w:rsidRDefault="00903B5C">
            <w:pPr>
              <w:pStyle w:val="TableParagraph"/>
              <w:ind w:left="114" w:right="117"/>
              <w:rPr>
                <w:sz w:val="20"/>
              </w:rPr>
            </w:pPr>
            <w:r>
              <w:rPr>
                <w:sz w:val="20"/>
              </w:rPr>
              <w:t>Proportion of the two-party vote that the Democratic gubernatorial candidate got in the last election (10-year moving average).</w:t>
            </w:r>
          </w:p>
        </w:tc>
        <w:tc>
          <w:tcPr>
            <w:tcW w:w="6482" w:type="dxa"/>
          </w:tcPr>
          <w:p w14:paraId="48F9EA85" w14:textId="77777777" w:rsidR="0046798B" w:rsidRDefault="00903B5C">
            <w:pPr>
              <w:pStyle w:val="TableParagraph"/>
              <w:spacing w:before="38"/>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36A6C5CF" w14:textId="77777777" w:rsidR="0046798B" w:rsidRDefault="0046798B">
            <w:pPr>
              <w:pStyle w:val="TableParagraph"/>
              <w:rPr>
                <w:sz w:val="20"/>
              </w:rPr>
            </w:pPr>
          </w:p>
          <w:p w14:paraId="36FF79B4" w14:textId="77777777" w:rsidR="0046798B" w:rsidRDefault="00903B5C">
            <w:pPr>
              <w:pStyle w:val="TableParagraph"/>
              <w:ind w:left="114" w:right="995"/>
              <w:rPr>
                <w:sz w:val="20"/>
              </w:rPr>
            </w:pPr>
            <w:r>
              <w:rPr>
                <w:sz w:val="20"/>
              </w:rPr>
              <w:t xml:space="preserve">Klarner, Carl, 2013, “Other Scholars’ Competitiveness Measures”, </w:t>
            </w:r>
            <w:hyperlink r:id="rId603">
              <w:r>
                <w:rPr>
                  <w:color w:val="0462C1"/>
                  <w:sz w:val="20"/>
                  <w:u w:val="single" w:color="0462C1"/>
                </w:rPr>
                <w:t>https://doi.org/10.7910/DVN/QSDYLH</w:t>
              </w:r>
              <w:r>
                <w:rPr>
                  <w:sz w:val="20"/>
                </w:rPr>
                <w:t>,</w:t>
              </w:r>
            </w:hyperlink>
            <w:r>
              <w:rPr>
                <w:sz w:val="20"/>
              </w:rPr>
              <w:t xml:space="preserve"> Harvard Dataverse, V1</w:t>
            </w:r>
          </w:p>
        </w:tc>
      </w:tr>
      <w:tr w:rsidR="0046798B" w14:paraId="30511689" w14:textId="77777777">
        <w:trPr>
          <w:trHeight w:val="775"/>
        </w:trPr>
        <w:tc>
          <w:tcPr>
            <w:tcW w:w="1711" w:type="dxa"/>
          </w:tcPr>
          <w:p w14:paraId="750C429E" w14:textId="77777777" w:rsidR="0046798B" w:rsidRDefault="00903B5C">
            <w:pPr>
              <w:pStyle w:val="TableParagraph"/>
              <w:spacing w:before="153"/>
              <w:ind w:left="115"/>
              <w:rPr>
                <w:b/>
                <w:sz w:val="20"/>
              </w:rPr>
            </w:pPr>
            <w:r>
              <w:rPr>
                <w:b/>
                <w:sz w:val="20"/>
              </w:rPr>
              <w:t>ranney4_control</w:t>
            </w:r>
          </w:p>
          <w:p w14:paraId="7264A5F4" w14:textId="77777777" w:rsidR="0046798B" w:rsidRDefault="00903B5C">
            <w:pPr>
              <w:pStyle w:val="TableParagraph"/>
              <w:spacing w:before="1"/>
              <w:ind w:left="115"/>
              <w:rPr>
                <w:b/>
                <w:sz w:val="20"/>
              </w:rPr>
            </w:pPr>
            <w:r>
              <w:rPr>
                <w:b/>
                <w:sz w:val="20"/>
              </w:rPr>
              <w:t>_10yr</w:t>
            </w:r>
          </w:p>
        </w:tc>
        <w:tc>
          <w:tcPr>
            <w:tcW w:w="1596" w:type="dxa"/>
          </w:tcPr>
          <w:p w14:paraId="1A3F6A78" w14:textId="77777777" w:rsidR="0046798B" w:rsidRDefault="00903B5C">
            <w:pPr>
              <w:pStyle w:val="TableParagraph"/>
              <w:spacing w:before="38"/>
              <w:ind w:left="114" w:right="124"/>
              <w:rPr>
                <w:sz w:val="20"/>
              </w:rPr>
            </w:pPr>
            <w:r>
              <w:rPr>
                <w:sz w:val="20"/>
              </w:rPr>
              <w:t>Party control of state government: 10-</w:t>
            </w:r>
          </w:p>
        </w:tc>
        <w:tc>
          <w:tcPr>
            <w:tcW w:w="1285" w:type="dxa"/>
          </w:tcPr>
          <w:p w14:paraId="0DE43592" w14:textId="77777777" w:rsidR="0046798B" w:rsidRDefault="0046798B">
            <w:pPr>
              <w:pStyle w:val="TableParagraph"/>
              <w:spacing w:before="3"/>
              <w:rPr>
                <w:sz w:val="23"/>
              </w:rPr>
            </w:pPr>
          </w:p>
          <w:p w14:paraId="06E7C975" w14:textId="77777777" w:rsidR="0046798B" w:rsidRDefault="00903B5C">
            <w:pPr>
              <w:pStyle w:val="TableParagraph"/>
              <w:spacing w:before="1"/>
              <w:ind w:left="114"/>
              <w:rPr>
                <w:sz w:val="20"/>
              </w:rPr>
            </w:pPr>
            <w:r>
              <w:rPr>
                <w:sz w:val="20"/>
              </w:rPr>
              <w:t>1947–2010</w:t>
            </w:r>
          </w:p>
        </w:tc>
        <w:tc>
          <w:tcPr>
            <w:tcW w:w="3421" w:type="dxa"/>
          </w:tcPr>
          <w:p w14:paraId="05282F73" w14:textId="77777777" w:rsidR="0046798B" w:rsidRDefault="00903B5C">
            <w:pPr>
              <w:pStyle w:val="TableParagraph"/>
              <w:spacing w:before="38"/>
              <w:ind w:left="114" w:right="457"/>
              <w:rPr>
                <w:sz w:val="20"/>
              </w:rPr>
            </w:pPr>
            <w:r>
              <w:rPr>
                <w:sz w:val="20"/>
              </w:rPr>
              <w:t>0 = unified Republican control, 1 = unified Democratic control, .5 = neither. Ten-year moving average.</w:t>
            </w:r>
          </w:p>
        </w:tc>
        <w:tc>
          <w:tcPr>
            <w:tcW w:w="6482" w:type="dxa"/>
          </w:tcPr>
          <w:p w14:paraId="71B10D1D" w14:textId="77777777" w:rsidR="0046798B" w:rsidRDefault="00903B5C">
            <w:pPr>
              <w:pStyle w:val="TableParagraph"/>
              <w:spacing w:before="38"/>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tc>
      </w:tr>
    </w:tbl>
    <w:p w14:paraId="31DA4922" w14:textId="77777777" w:rsidR="0046798B" w:rsidRDefault="0046798B">
      <w:pPr>
        <w:rPr>
          <w:sz w:val="20"/>
        </w:rPr>
        <w:sectPr w:rsidR="0046798B">
          <w:pgSz w:w="15840" w:h="12240" w:orient="landscape"/>
          <w:pgMar w:top="1220" w:right="300" w:bottom="980" w:left="820" w:header="730" w:footer="787" w:gutter="0"/>
          <w:cols w:space="720"/>
        </w:sectPr>
      </w:pPr>
    </w:p>
    <w:p w14:paraId="1E345C25"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D6B3A30" w14:textId="77777777">
        <w:trPr>
          <w:trHeight w:val="775"/>
        </w:trPr>
        <w:tc>
          <w:tcPr>
            <w:tcW w:w="1711" w:type="dxa"/>
          </w:tcPr>
          <w:p w14:paraId="59BFB328" w14:textId="77777777" w:rsidR="0046798B" w:rsidRDefault="0046798B">
            <w:pPr>
              <w:pStyle w:val="TableParagraph"/>
              <w:rPr>
                <w:sz w:val="20"/>
              </w:rPr>
            </w:pPr>
          </w:p>
        </w:tc>
        <w:tc>
          <w:tcPr>
            <w:tcW w:w="1596" w:type="dxa"/>
          </w:tcPr>
          <w:p w14:paraId="2A48FCD2" w14:textId="77777777" w:rsidR="0046798B" w:rsidRDefault="00903B5C">
            <w:pPr>
              <w:pStyle w:val="TableParagraph"/>
              <w:spacing w:before="43"/>
              <w:ind w:left="114" w:right="574"/>
              <w:rPr>
                <w:sz w:val="20"/>
              </w:rPr>
            </w:pPr>
            <w:r>
              <w:rPr>
                <w:sz w:val="20"/>
              </w:rPr>
              <w:t>yr. moving average</w:t>
            </w:r>
          </w:p>
        </w:tc>
        <w:tc>
          <w:tcPr>
            <w:tcW w:w="1285" w:type="dxa"/>
          </w:tcPr>
          <w:p w14:paraId="4D17BE5C" w14:textId="77777777" w:rsidR="0046798B" w:rsidRDefault="0046798B">
            <w:pPr>
              <w:pStyle w:val="TableParagraph"/>
              <w:rPr>
                <w:sz w:val="20"/>
              </w:rPr>
            </w:pPr>
          </w:p>
        </w:tc>
        <w:tc>
          <w:tcPr>
            <w:tcW w:w="3421" w:type="dxa"/>
          </w:tcPr>
          <w:p w14:paraId="22EEA07F" w14:textId="77777777" w:rsidR="0046798B" w:rsidRDefault="0046798B">
            <w:pPr>
              <w:pStyle w:val="TableParagraph"/>
              <w:rPr>
                <w:sz w:val="20"/>
              </w:rPr>
            </w:pPr>
          </w:p>
        </w:tc>
        <w:tc>
          <w:tcPr>
            <w:tcW w:w="6482" w:type="dxa"/>
          </w:tcPr>
          <w:p w14:paraId="378FF025" w14:textId="77777777" w:rsidR="0046798B" w:rsidRDefault="0046798B">
            <w:pPr>
              <w:pStyle w:val="TableParagraph"/>
              <w:spacing w:before="9"/>
              <w:rPr>
                <w:sz w:val="23"/>
              </w:rPr>
            </w:pPr>
          </w:p>
          <w:p w14:paraId="27FC8446" w14:textId="77777777" w:rsidR="0046798B" w:rsidRDefault="00903B5C">
            <w:pPr>
              <w:pStyle w:val="TableParagraph"/>
              <w:ind w:left="114" w:right="995"/>
              <w:rPr>
                <w:sz w:val="20"/>
              </w:rPr>
            </w:pPr>
            <w:r>
              <w:rPr>
                <w:sz w:val="20"/>
              </w:rPr>
              <w:t xml:space="preserve">Klarner, Carl, 2013, “Other Scholars’ Competitiveness Measures”, </w:t>
            </w:r>
            <w:hyperlink r:id="rId604">
              <w:r>
                <w:rPr>
                  <w:color w:val="0462C1"/>
                  <w:sz w:val="20"/>
                  <w:u w:val="single" w:color="0462C1"/>
                </w:rPr>
                <w:t>https://doi.org/10.7910/DVN/QSDYLH</w:t>
              </w:r>
              <w:r>
                <w:rPr>
                  <w:sz w:val="20"/>
                </w:rPr>
                <w:t>,</w:t>
              </w:r>
            </w:hyperlink>
            <w:r>
              <w:rPr>
                <w:sz w:val="20"/>
              </w:rPr>
              <w:t xml:space="preserve"> Harvard Dataverse, V1</w:t>
            </w:r>
          </w:p>
        </w:tc>
      </w:tr>
      <w:tr w:rsidR="0046798B" w14:paraId="0A7E8441" w14:textId="77777777">
        <w:trPr>
          <w:trHeight w:val="2616"/>
        </w:trPr>
        <w:tc>
          <w:tcPr>
            <w:tcW w:w="1711" w:type="dxa"/>
          </w:tcPr>
          <w:p w14:paraId="35A4053A" w14:textId="77777777" w:rsidR="0046798B" w:rsidRDefault="0046798B">
            <w:pPr>
              <w:pStyle w:val="TableParagraph"/>
            </w:pPr>
          </w:p>
          <w:p w14:paraId="706947FA" w14:textId="77777777" w:rsidR="0046798B" w:rsidRDefault="0046798B">
            <w:pPr>
              <w:pStyle w:val="TableParagraph"/>
            </w:pPr>
          </w:p>
          <w:p w14:paraId="11FB2DB8" w14:textId="77777777" w:rsidR="0046798B" w:rsidRDefault="0046798B">
            <w:pPr>
              <w:pStyle w:val="TableParagraph"/>
            </w:pPr>
          </w:p>
          <w:p w14:paraId="6C15B4E5" w14:textId="77777777" w:rsidR="0046798B" w:rsidRDefault="0046798B">
            <w:pPr>
              <w:pStyle w:val="TableParagraph"/>
              <w:spacing w:before="9"/>
              <w:rPr>
                <w:sz w:val="27"/>
              </w:rPr>
            </w:pPr>
          </w:p>
          <w:p w14:paraId="17C9B938" w14:textId="77777777" w:rsidR="0046798B" w:rsidRDefault="00903B5C">
            <w:pPr>
              <w:pStyle w:val="TableParagraph"/>
              <w:ind w:left="115"/>
              <w:rPr>
                <w:b/>
                <w:sz w:val="20"/>
              </w:rPr>
            </w:pPr>
            <w:r>
              <w:rPr>
                <w:b/>
                <w:sz w:val="20"/>
              </w:rPr>
              <w:t>ranney4_control</w:t>
            </w:r>
          </w:p>
          <w:p w14:paraId="30D34EEB" w14:textId="77777777" w:rsidR="0046798B" w:rsidRDefault="00903B5C">
            <w:pPr>
              <w:pStyle w:val="TableParagraph"/>
              <w:ind w:left="115"/>
              <w:rPr>
                <w:b/>
                <w:sz w:val="20"/>
              </w:rPr>
            </w:pPr>
            <w:r>
              <w:rPr>
                <w:b/>
                <w:sz w:val="20"/>
              </w:rPr>
              <w:t>_alt_10yr</w:t>
            </w:r>
          </w:p>
        </w:tc>
        <w:tc>
          <w:tcPr>
            <w:tcW w:w="1596" w:type="dxa"/>
          </w:tcPr>
          <w:p w14:paraId="35876257" w14:textId="77777777" w:rsidR="0046798B" w:rsidRDefault="0046798B">
            <w:pPr>
              <w:pStyle w:val="TableParagraph"/>
            </w:pPr>
          </w:p>
          <w:p w14:paraId="25D47CB2" w14:textId="77777777" w:rsidR="0046798B" w:rsidRDefault="0046798B">
            <w:pPr>
              <w:pStyle w:val="TableParagraph"/>
            </w:pPr>
          </w:p>
          <w:p w14:paraId="63C09161" w14:textId="77777777" w:rsidR="0046798B" w:rsidRDefault="0046798B">
            <w:pPr>
              <w:pStyle w:val="TableParagraph"/>
              <w:spacing w:before="9"/>
              <w:rPr>
                <w:sz w:val="19"/>
              </w:rPr>
            </w:pPr>
          </w:p>
          <w:p w14:paraId="6D961279" w14:textId="77777777" w:rsidR="0046798B" w:rsidRDefault="00903B5C">
            <w:pPr>
              <w:pStyle w:val="TableParagraph"/>
              <w:ind w:left="114" w:right="124"/>
              <w:rPr>
                <w:sz w:val="20"/>
              </w:rPr>
            </w:pPr>
            <w:r>
              <w:rPr>
                <w:sz w:val="20"/>
              </w:rPr>
              <w:t>Democratic control of state government: 10- yr. moving average</w:t>
            </w:r>
          </w:p>
        </w:tc>
        <w:tc>
          <w:tcPr>
            <w:tcW w:w="1285" w:type="dxa"/>
          </w:tcPr>
          <w:p w14:paraId="314F9CCD" w14:textId="77777777" w:rsidR="0046798B" w:rsidRDefault="0046798B">
            <w:pPr>
              <w:pStyle w:val="TableParagraph"/>
            </w:pPr>
          </w:p>
          <w:p w14:paraId="563F2D3A" w14:textId="77777777" w:rsidR="0046798B" w:rsidRDefault="0046798B">
            <w:pPr>
              <w:pStyle w:val="TableParagraph"/>
            </w:pPr>
          </w:p>
          <w:p w14:paraId="50B6F238" w14:textId="77777777" w:rsidR="0046798B" w:rsidRDefault="0046798B">
            <w:pPr>
              <w:pStyle w:val="TableParagraph"/>
            </w:pPr>
          </w:p>
          <w:p w14:paraId="15773A9E" w14:textId="77777777" w:rsidR="0046798B" w:rsidRDefault="0046798B">
            <w:pPr>
              <w:pStyle w:val="TableParagraph"/>
            </w:pPr>
          </w:p>
          <w:p w14:paraId="1A1084EF" w14:textId="77777777" w:rsidR="0046798B" w:rsidRDefault="00903B5C">
            <w:pPr>
              <w:pStyle w:val="TableParagraph"/>
              <w:spacing w:before="182"/>
              <w:ind w:left="114"/>
              <w:rPr>
                <w:sz w:val="20"/>
              </w:rPr>
            </w:pPr>
            <w:r>
              <w:rPr>
                <w:sz w:val="20"/>
              </w:rPr>
              <w:t>1947–2010</w:t>
            </w:r>
          </w:p>
        </w:tc>
        <w:tc>
          <w:tcPr>
            <w:tcW w:w="3421" w:type="dxa"/>
          </w:tcPr>
          <w:p w14:paraId="06C88DE2" w14:textId="77777777" w:rsidR="0046798B" w:rsidRDefault="00903B5C">
            <w:pPr>
              <w:pStyle w:val="TableParagraph"/>
              <w:spacing w:before="43"/>
              <w:ind w:left="114" w:right="128"/>
              <w:rPr>
                <w:sz w:val="20"/>
              </w:rPr>
            </w:pPr>
            <w:r>
              <w:rPr>
                <w:sz w:val="20"/>
              </w:rPr>
              <w:t xml:space="preserve">Dummy: 1 = unified Democratic control, 0 = else. Ten-year moving average. Note: this is the way dimension #4 of the Ranney index has been measured in the past. This </w:t>
            </w:r>
            <w:r>
              <w:rPr>
                <w:spacing w:val="-4"/>
                <w:sz w:val="20"/>
              </w:rPr>
              <w:t xml:space="preserve">method </w:t>
            </w:r>
            <w:r>
              <w:rPr>
                <w:sz w:val="20"/>
              </w:rPr>
              <w:t>could be very problematic. The underlying assumption of this method is that unified Democratic control is important, but that the difference between unified Republican control and split control</w:t>
            </w:r>
            <w:r>
              <w:rPr>
                <w:spacing w:val="-4"/>
                <w:sz w:val="20"/>
              </w:rPr>
              <w:t xml:space="preserve"> </w:t>
            </w:r>
            <w:r>
              <w:rPr>
                <w:sz w:val="20"/>
              </w:rPr>
              <w:t>isn’t.</w:t>
            </w:r>
          </w:p>
        </w:tc>
        <w:tc>
          <w:tcPr>
            <w:tcW w:w="6482" w:type="dxa"/>
          </w:tcPr>
          <w:p w14:paraId="56F7CE66" w14:textId="77777777" w:rsidR="0046798B" w:rsidRDefault="0046798B">
            <w:pPr>
              <w:pStyle w:val="TableParagraph"/>
            </w:pPr>
          </w:p>
          <w:p w14:paraId="7BB5FAD7" w14:textId="77777777" w:rsidR="0046798B" w:rsidRDefault="0046798B">
            <w:pPr>
              <w:pStyle w:val="TableParagraph"/>
              <w:spacing w:before="8"/>
              <w:rPr>
                <w:sz w:val="31"/>
              </w:rPr>
            </w:pPr>
          </w:p>
          <w:p w14:paraId="0F64F781" w14:textId="77777777" w:rsidR="0046798B" w:rsidRDefault="00903B5C">
            <w:pPr>
              <w:pStyle w:val="TableParagraph"/>
              <w:spacing w:before="1"/>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2F77CAD5" w14:textId="77777777" w:rsidR="0046798B" w:rsidRDefault="0046798B">
            <w:pPr>
              <w:pStyle w:val="TableParagraph"/>
              <w:rPr>
                <w:sz w:val="20"/>
              </w:rPr>
            </w:pPr>
          </w:p>
          <w:p w14:paraId="21AD2559" w14:textId="77777777" w:rsidR="0046798B" w:rsidRDefault="00903B5C">
            <w:pPr>
              <w:pStyle w:val="TableParagraph"/>
              <w:ind w:left="114" w:right="995"/>
              <w:rPr>
                <w:sz w:val="20"/>
              </w:rPr>
            </w:pPr>
            <w:r>
              <w:rPr>
                <w:sz w:val="20"/>
              </w:rPr>
              <w:t xml:space="preserve">Klarner, Carl, 2013, “Other Scholars’ Competitiveness Measures”, </w:t>
            </w:r>
            <w:hyperlink r:id="rId605">
              <w:r>
                <w:rPr>
                  <w:color w:val="0462C1"/>
                  <w:sz w:val="20"/>
                  <w:u w:val="single" w:color="0462C1"/>
                </w:rPr>
                <w:t>https://doi.org/10.7910/DVN/QSDYLH</w:t>
              </w:r>
              <w:r>
                <w:rPr>
                  <w:sz w:val="20"/>
                </w:rPr>
                <w:t>,</w:t>
              </w:r>
            </w:hyperlink>
            <w:r>
              <w:rPr>
                <w:sz w:val="20"/>
              </w:rPr>
              <w:t xml:space="preserve"> Harvard Dataverse, V1</w:t>
            </w:r>
          </w:p>
        </w:tc>
      </w:tr>
      <w:tr w:rsidR="0046798B" w14:paraId="0A3D34DB" w14:textId="77777777">
        <w:trPr>
          <w:trHeight w:val="1930"/>
        </w:trPr>
        <w:tc>
          <w:tcPr>
            <w:tcW w:w="1711" w:type="dxa"/>
          </w:tcPr>
          <w:p w14:paraId="32A45894" w14:textId="77777777" w:rsidR="0046798B" w:rsidRDefault="0046798B">
            <w:pPr>
              <w:pStyle w:val="TableParagraph"/>
            </w:pPr>
          </w:p>
          <w:p w14:paraId="65E6EA9F" w14:textId="77777777" w:rsidR="0046798B" w:rsidRDefault="0046798B">
            <w:pPr>
              <w:pStyle w:val="TableParagraph"/>
            </w:pPr>
          </w:p>
          <w:p w14:paraId="66C3D331" w14:textId="77777777" w:rsidR="0046798B" w:rsidRDefault="0046798B">
            <w:pPr>
              <w:pStyle w:val="TableParagraph"/>
              <w:spacing w:before="9"/>
              <w:rPr>
                <w:sz w:val="29"/>
              </w:rPr>
            </w:pPr>
          </w:p>
          <w:p w14:paraId="0189DB31" w14:textId="77777777" w:rsidR="0046798B" w:rsidRDefault="00903B5C">
            <w:pPr>
              <w:pStyle w:val="TableParagraph"/>
              <w:ind w:left="115"/>
              <w:rPr>
                <w:b/>
                <w:sz w:val="20"/>
              </w:rPr>
            </w:pPr>
            <w:r>
              <w:rPr>
                <w:b/>
                <w:sz w:val="20"/>
              </w:rPr>
              <w:t>ranney_4yrs</w:t>
            </w:r>
          </w:p>
        </w:tc>
        <w:tc>
          <w:tcPr>
            <w:tcW w:w="1596" w:type="dxa"/>
          </w:tcPr>
          <w:p w14:paraId="20AA98DB" w14:textId="77777777" w:rsidR="0046798B" w:rsidRDefault="00903B5C">
            <w:pPr>
              <w:pStyle w:val="TableParagraph"/>
              <w:spacing w:before="43"/>
              <w:ind w:left="114" w:right="169"/>
              <w:rPr>
                <w:sz w:val="20"/>
              </w:rPr>
            </w:pPr>
            <w:r>
              <w:rPr>
                <w:sz w:val="20"/>
              </w:rPr>
              <w:t>Four-year moving average of proportion of Democratic control in state senate, house, governor, and government</w:t>
            </w:r>
          </w:p>
        </w:tc>
        <w:tc>
          <w:tcPr>
            <w:tcW w:w="1285" w:type="dxa"/>
          </w:tcPr>
          <w:p w14:paraId="4BB6C9EC" w14:textId="77777777" w:rsidR="0046798B" w:rsidRDefault="0046798B">
            <w:pPr>
              <w:pStyle w:val="TableParagraph"/>
            </w:pPr>
          </w:p>
          <w:p w14:paraId="3E6D4933" w14:textId="77777777" w:rsidR="0046798B" w:rsidRDefault="0046798B">
            <w:pPr>
              <w:pStyle w:val="TableParagraph"/>
            </w:pPr>
          </w:p>
          <w:p w14:paraId="019DFF40" w14:textId="77777777" w:rsidR="0046798B" w:rsidRDefault="0046798B">
            <w:pPr>
              <w:pStyle w:val="TableParagraph"/>
              <w:spacing w:before="9"/>
              <w:rPr>
                <w:sz w:val="29"/>
              </w:rPr>
            </w:pPr>
          </w:p>
          <w:p w14:paraId="2555E5EF" w14:textId="77777777" w:rsidR="0046798B" w:rsidRDefault="00903B5C">
            <w:pPr>
              <w:pStyle w:val="TableParagraph"/>
              <w:ind w:left="114"/>
              <w:rPr>
                <w:sz w:val="20"/>
              </w:rPr>
            </w:pPr>
            <w:r>
              <w:rPr>
                <w:sz w:val="20"/>
              </w:rPr>
              <w:t>1941–2010</w:t>
            </w:r>
          </w:p>
        </w:tc>
        <w:tc>
          <w:tcPr>
            <w:tcW w:w="3421" w:type="dxa"/>
          </w:tcPr>
          <w:p w14:paraId="6B62D7B1" w14:textId="77777777" w:rsidR="0046798B" w:rsidRDefault="0046798B">
            <w:pPr>
              <w:pStyle w:val="TableParagraph"/>
            </w:pPr>
          </w:p>
          <w:p w14:paraId="49F98CC9" w14:textId="77777777" w:rsidR="0046798B" w:rsidRDefault="00903B5C">
            <w:pPr>
              <w:pStyle w:val="TableParagraph"/>
              <w:spacing w:before="135"/>
              <w:ind w:left="114" w:right="104"/>
              <w:rPr>
                <w:sz w:val="20"/>
              </w:rPr>
            </w:pPr>
            <w:r>
              <w:rPr>
                <w:sz w:val="20"/>
              </w:rPr>
              <w:t>Four-year moving average of variables for proportion of Democratic control in state senate, house, governor’s office, and overall government (not the alternative measure).</w:t>
            </w:r>
          </w:p>
        </w:tc>
        <w:tc>
          <w:tcPr>
            <w:tcW w:w="6482" w:type="dxa"/>
          </w:tcPr>
          <w:p w14:paraId="059AD769" w14:textId="77777777" w:rsidR="0046798B" w:rsidRDefault="0046798B">
            <w:pPr>
              <w:pStyle w:val="TableParagraph"/>
              <w:spacing w:before="8"/>
              <w:rPr>
                <w:sz w:val="23"/>
              </w:rPr>
            </w:pPr>
          </w:p>
          <w:p w14:paraId="20468933" w14:textId="77777777" w:rsidR="0046798B" w:rsidRDefault="00903B5C">
            <w:pPr>
              <w:pStyle w:val="TableParagraph"/>
              <w:spacing w:before="1"/>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4D0A29E4" w14:textId="77777777" w:rsidR="0046798B" w:rsidRDefault="0046798B">
            <w:pPr>
              <w:pStyle w:val="TableParagraph"/>
              <w:rPr>
                <w:sz w:val="20"/>
              </w:rPr>
            </w:pPr>
          </w:p>
          <w:p w14:paraId="19F5EACB" w14:textId="77777777" w:rsidR="0046798B" w:rsidRDefault="00903B5C">
            <w:pPr>
              <w:pStyle w:val="TableParagraph"/>
              <w:ind w:left="114" w:right="995"/>
              <w:rPr>
                <w:sz w:val="20"/>
              </w:rPr>
            </w:pPr>
            <w:r>
              <w:rPr>
                <w:sz w:val="20"/>
              </w:rPr>
              <w:t xml:space="preserve">Klarner, Carl, 2013, “Other Scholars’ Competitiveness Measures”, </w:t>
            </w:r>
            <w:hyperlink r:id="rId606">
              <w:r>
                <w:rPr>
                  <w:color w:val="0462C1"/>
                  <w:sz w:val="20"/>
                  <w:u w:val="single" w:color="0462C1"/>
                </w:rPr>
                <w:t>https://doi.org/10.7910/DVN/QSDYLH</w:t>
              </w:r>
              <w:r>
                <w:rPr>
                  <w:sz w:val="20"/>
                </w:rPr>
                <w:t>,</w:t>
              </w:r>
            </w:hyperlink>
            <w:r>
              <w:rPr>
                <w:sz w:val="20"/>
              </w:rPr>
              <w:t xml:space="preserve"> Harvard Dataverse, V1</w:t>
            </w:r>
          </w:p>
        </w:tc>
      </w:tr>
      <w:tr w:rsidR="0046798B" w14:paraId="4928C719" w14:textId="77777777">
        <w:trPr>
          <w:trHeight w:val="1925"/>
        </w:trPr>
        <w:tc>
          <w:tcPr>
            <w:tcW w:w="1711" w:type="dxa"/>
          </w:tcPr>
          <w:p w14:paraId="6921777E" w14:textId="77777777" w:rsidR="0046798B" w:rsidRDefault="0046798B">
            <w:pPr>
              <w:pStyle w:val="TableParagraph"/>
            </w:pPr>
          </w:p>
          <w:p w14:paraId="43F216FB" w14:textId="77777777" w:rsidR="0046798B" w:rsidRDefault="0046798B">
            <w:pPr>
              <w:pStyle w:val="TableParagraph"/>
            </w:pPr>
          </w:p>
          <w:p w14:paraId="39687ED7" w14:textId="77777777" w:rsidR="0046798B" w:rsidRDefault="0046798B">
            <w:pPr>
              <w:pStyle w:val="TableParagraph"/>
              <w:spacing w:before="3"/>
              <w:rPr>
                <w:sz w:val="29"/>
              </w:rPr>
            </w:pPr>
          </w:p>
          <w:p w14:paraId="78D6C7E8" w14:textId="77777777" w:rsidR="0046798B" w:rsidRDefault="00903B5C">
            <w:pPr>
              <w:pStyle w:val="TableParagraph"/>
              <w:spacing w:before="1"/>
              <w:ind w:left="115"/>
              <w:rPr>
                <w:b/>
                <w:sz w:val="20"/>
              </w:rPr>
            </w:pPr>
            <w:r>
              <w:rPr>
                <w:b/>
                <w:sz w:val="20"/>
              </w:rPr>
              <w:t>ranney_6yrs</w:t>
            </w:r>
          </w:p>
        </w:tc>
        <w:tc>
          <w:tcPr>
            <w:tcW w:w="1596" w:type="dxa"/>
          </w:tcPr>
          <w:p w14:paraId="62C00C43" w14:textId="77777777" w:rsidR="0046798B" w:rsidRDefault="00903B5C">
            <w:pPr>
              <w:pStyle w:val="TableParagraph"/>
              <w:spacing w:before="38"/>
              <w:ind w:left="114"/>
              <w:rPr>
                <w:sz w:val="20"/>
              </w:rPr>
            </w:pPr>
            <w:r>
              <w:rPr>
                <w:sz w:val="20"/>
              </w:rPr>
              <w:t>Six-year moving average of proportion of Democratic control in state senate, house, governor, and government</w:t>
            </w:r>
          </w:p>
        </w:tc>
        <w:tc>
          <w:tcPr>
            <w:tcW w:w="1285" w:type="dxa"/>
          </w:tcPr>
          <w:p w14:paraId="7CA33F47" w14:textId="77777777" w:rsidR="0046798B" w:rsidRDefault="0046798B">
            <w:pPr>
              <w:pStyle w:val="TableParagraph"/>
            </w:pPr>
          </w:p>
          <w:p w14:paraId="1DBF77F0" w14:textId="77777777" w:rsidR="0046798B" w:rsidRDefault="0046798B">
            <w:pPr>
              <w:pStyle w:val="TableParagraph"/>
            </w:pPr>
          </w:p>
          <w:p w14:paraId="5568F074" w14:textId="77777777" w:rsidR="0046798B" w:rsidRDefault="0046798B">
            <w:pPr>
              <w:pStyle w:val="TableParagraph"/>
              <w:spacing w:before="3"/>
              <w:rPr>
                <w:sz w:val="29"/>
              </w:rPr>
            </w:pPr>
          </w:p>
          <w:p w14:paraId="35DD69CF" w14:textId="77777777" w:rsidR="0046798B" w:rsidRDefault="00903B5C">
            <w:pPr>
              <w:pStyle w:val="TableParagraph"/>
              <w:spacing w:before="1"/>
              <w:ind w:left="114"/>
              <w:rPr>
                <w:sz w:val="20"/>
              </w:rPr>
            </w:pPr>
            <w:r>
              <w:rPr>
                <w:sz w:val="20"/>
              </w:rPr>
              <w:t>1943–2010</w:t>
            </w:r>
          </w:p>
        </w:tc>
        <w:tc>
          <w:tcPr>
            <w:tcW w:w="3421" w:type="dxa"/>
          </w:tcPr>
          <w:p w14:paraId="0A30F19C" w14:textId="77777777" w:rsidR="0046798B" w:rsidRDefault="0046798B">
            <w:pPr>
              <w:pStyle w:val="TableParagraph"/>
            </w:pPr>
          </w:p>
          <w:p w14:paraId="12B1A51F" w14:textId="77777777" w:rsidR="0046798B" w:rsidRDefault="00903B5C">
            <w:pPr>
              <w:pStyle w:val="TableParagraph"/>
              <w:spacing w:before="130"/>
              <w:ind w:left="114" w:right="104"/>
              <w:rPr>
                <w:sz w:val="20"/>
              </w:rPr>
            </w:pPr>
            <w:r>
              <w:rPr>
                <w:sz w:val="20"/>
              </w:rPr>
              <w:t>Six-year moving average of variables for proportion of Democratic control in state senate, house, governor’s office, and overall government (not the alternative measure).</w:t>
            </w:r>
          </w:p>
        </w:tc>
        <w:tc>
          <w:tcPr>
            <w:tcW w:w="6482" w:type="dxa"/>
          </w:tcPr>
          <w:p w14:paraId="4418599F" w14:textId="77777777" w:rsidR="0046798B" w:rsidRDefault="0046798B">
            <w:pPr>
              <w:pStyle w:val="TableParagraph"/>
              <w:spacing w:before="3"/>
              <w:rPr>
                <w:sz w:val="23"/>
              </w:rPr>
            </w:pPr>
          </w:p>
          <w:p w14:paraId="75330DE9" w14:textId="77777777" w:rsidR="0046798B" w:rsidRDefault="00903B5C">
            <w:pPr>
              <w:pStyle w:val="TableParagraph"/>
              <w:spacing w:before="1"/>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42A9AC17" w14:textId="77777777" w:rsidR="0046798B" w:rsidRDefault="0046798B">
            <w:pPr>
              <w:pStyle w:val="TableParagraph"/>
              <w:rPr>
                <w:sz w:val="20"/>
              </w:rPr>
            </w:pPr>
          </w:p>
          <w:p w14:paraId="023BBF5B" w14:textId="77777777" w:rsidR="0046798B" w:rsidRDefault="00903B5C">
            <w:pPr>
              <w:pStyle w:val="TableParagraph"/>
              <w:ind w:left="114" w:right="995"/>
              <w:rPr>
                <w:sz w:val="20"/>
              </w:rPr>
            </w:pPr>
            <w:r>
              <w:rPr>
                <w:sz w:val="20"/>
              </w:rPr>
              <w:t xml:space="preserve">Klarner, Carl, 2013, “Other Scholars’ Competitiveness Measures”, </w:t>
            </w:r>
            <w:hyperlink r:id="rId607">
              <w:r>
                <w:rPr>
                  <w:color w:val="0462C1"/>
                  <w:sz w:val="20"/>
                  <w:u w:val="single" w:color="0462C1"/>
                </w:rPr>
                <w:t>https://doi.org/10.7910/DVN/QSDYLH</w:t>
              </w:r>
              <w:r>
                <w:rPr>
                  <w:sz w:val="20"/>
                </w:rPr>
                <w:t>,</w:t>
              </w:r>
            </w:hyperlink>
            <w:r>
              <w:rPr>
                <w:sz w:val="20"/>
              </w:rPr>
              <w:t xml:space="preserve"> Harvard Dataverse, V1</w:t>
            </w:r>
          </w:p>
        </w:tc>
      </w:tr>
      <w:tr w:rsidR="0046798B" w14:paraId="2DD063C3" w14:textId="77777777">
        <w:trPr>
          <w:trHeight w:val="1925"/>
        </w:trPr>
        <w:tc>
          <w:tcPr>
            <w:tcW w:w="1711" w:type="dxa"/>
          </w:tcPr>
          <w:p w14:paraId="3C6AD709" w14:textId="77777777" w:rsidR="0046798B" w:rsidRDefault="0046798B">
            <w:pPr>
              <w:pStyle w:val="TableParagraph"/>
            </w:pPr>
          </w:p>
          <w:p w14:paraId="69C853A7" w14:textId="77777777" w:rsidR="0046798B" w:rsidRDefault="0046798B">
            <w:pPr>
              <w:pStyle w:val="TableParagraph"/>
            </w:pPr>
          </w:p>
          <w:p w14:paraId="453E1046" w14:textId="77777777" w:rsidR="0046798B" w:rsidRDefault="0046798B">
            <w:pPr>
              <w:pStyle w:val="TableParagraph"/>
              <w:spacing w:before="4"/>
              <w:rPr>
                <w:sz w:val="29"/>
              </w:rPr>
            </w:pPr>
          </w:p>
          <w:p w14:paraId="790328C4" w14:textId="77777777" w:rsidR="0046798B" w:rsidRDefault="00903B5C">
            <w:pPr>
              <w:pStyle w:val="TableParagraph"/>
              <w:ind w:left="115"/>
              <w:rPr>
                <w:b/>
                <w:sz w:val="20"/>
              </w:rPr>
            </w:pPr>
            <w:r>
              <w:rPr>
                <w:b/>
                <w:sz w:val="20"/>
              </w:rPr>
              <w:t>ranney_8yrs</w:t>
            </w:r>
          </w:p>
        </w:tc>
        <w:tc>
          <w:tcPr>
            <w:tcW w:w="1596" w:type="dxa"/>
          </w:tcPr>
          <w:p w14:paraId="093FD128" w14:textId="77777777" w:rsidR="0046798B" w:rsidRDefault="00903B5C">
            <w:pPr>
              <w:pStyle w:val="TableParagraph"/>
              <w:spacing w:before="38"/>
              <w:ind w:left="114" w:right="169"/>
              <w:rPr>
                <w:sz w:val="20"/>
              </w:rPr>
            </w:pPr>
            <w:r>
              <w:rPr>
                <w:sz w:val="20"/>
              </w:rPr>
              <w:t>Eight-year moving average of proportion of Democratic control in state senate, house, governor, and government</w:t>
            </w:r>
          </w:p>
        </w:tc>
        <w:tc>
          <w:tcPr>
            <w:tcW w:w="1285" w:type="dxa"/>
          </w:tcPr>
          <w:p w14:paraId="70479903" w14:textId="77777777" w:rsidR="0046798B" w:rsidRDefault="0046798B">
            <w:pPr>
              <w:pStyle w:val="TableParagraph"/>
            </w:pPr>
          </w:p>
          <w:p w14:paraId="05C5EBC0" w14:textId="77777777" w:rsidR="0046798B" w:rsidRDefault="0046798B">
            <w:pPr>
              <w:pStyle w:val="TableParagraph"/>
            </w:pPr>
          </w:p>
          <w:p w14:paraId="14F1C858" w14:textId="77777777" w:rsidR="0046798B" w:rsidRDefault="0046798B">
            <w:pPr>
              <w:pStyle w:val="TableParagraph"/>
              <w:spacing w:before="4"/>
              <w:rPr>
                <w:sz w:val="29"/>
              </w:rPr>
            </w:pPr>
          </w:p>
          <w:p w14:paraId="1A9F9629" w14:textId="77777777" w:rsidR="0046798B" w:rsidRDefault="00903B5C">
            <w:pPr>
              <w:pStyle w:val="TableParagraph"/>
              <w:ind w:left="114"/>
              <w:rPr>
                <w:sz w:val="20"/>
              </w:rPr>
            </w:pPr>
            <w:r>
              <w:rPr>
                <w:sz w:val="20"/>
              </w:rPr>
              <w:t>1945–2010</w:t>
            </w:r>
          </w:p>
        </w:tc>
        <w:tc>
          <w:tcPr>
            <w:tcW w:w="3421" w:type="dxa"/>
          </w:tcPr>
          <w:p w14:paraId="77507397" w14:textId="77777777" w:rsidR="0046798B" w:rsidRDefault="0046798B">
            <w:pPr>
              <w:pStyle w:val="TableParagraph"/>
            </w:pPr>
          </w:p>
          <w:p w14:paraId="646F59BF" w14:textId="77777777" w:rsidR="0046798B" w:rsidRDefault="00903B5C">
            <w:pPr>
              <w:pStyle w:val="TableParagraph"/>
              <w:spacing w:before="130"/>
              <w:ind w:left="114" w:right="87"/>
              <w:rPr>
                <w:sz w:val="20"/>
              </w:rPr>
            </w:pPr>
            <w:r>
              <w:rPr>
                <w:sz w:val="20"/>
              </w:rPr>
              <w:t>Eight-year moving average of variables for proportion of Democratic control in state senate, house, governor’s office, and overall government (not the alternative measure).</w:t>
            </w:r>
          </w:p>
        </w:tc>
        <w:tc>
          <w:tcPr>
            <w:tcW w:w="6482" w:type="dxa"/>
          </w:tcPr>
          <w:p w14:paraId="1ED2D1D3" w14:textId="77777777" w:rsidR="0046798B" w:rsidRDefault="0046798B">
            <w:pPr>
              <w:pStyle w:val="TableParagraph"/>
              <w:spacing w:before="3"/>
              <w:rPr>
                <w:sz w:val="23"/>
              </w:rPr>
            </w:pPr>
          </w:p>
          <w:p w14:paraId="18C8528A" w14:textId="77777777" w:rsidR="0046798B" w:rsidRDefault="00903B5C">
            <w:pPr>
              <w:pStyle w:val="TableParagraph"/>
              <w:spacing w:before="1"/>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5813252A" w14:textId="77777777" w:rsidR="0046798B" w:rsidRDefault="0046798B">
            <w:pPr>
              <w:pStyle w:val="TableParagraph"/>
              <w:rPr>
                <w:sz w:val="20"/>
              </w:rPr>
            </w:pPr>
          </w:p>
          <w:p w14:paraId="71859C77" w14:textId="77777777" w:rsidR="0046798B" w:rsidRDefault="00903B5C">
            <w:pPr>
              <w:pStyle w:val="TableParagraph"/>
              <w:ind w:left="114" w:right="995"/>
              <w:rPr>
                <w:sz w:val="20"/>
              </w:rPr>
            </w:pPr>
            <w:r>
              <w:rPr>
                <w:sz w:val="20"/>
              </w:rPr>
              <w:t xml:space="preserve">Klarner, Carl, 2013, “Other Scholars’ Competitiveness Measures”, </w:t>
            </w:r>
            <w:hyperlink r:id="rId608">
              <w:r>
                <w:rPr>
                  <w:color w:val="0462C1"/>
                  <w:sz w:val="20"/>
                  <w:u w:val="single" w:color="0462C1"/>
                </w:rPr>
                <w:t>https://doi.org/10.7910/DVN/QSDYLH</w:t>
              </w:r>
              <w:r>
                <w:rPr>
                  <w:sz w:val="20"/>
                </w:rPr>
                <w:t>,</w:t>
              </w:r>
            </w:hyperlink>
            <w:r>
              <w:rPr>
                <w:sz w:val="20"/>
              </w:rPr>
              <w:t xml:space="preserve"> Harvard Dataverse, V1</w:t>
            </w:r>
          </w:p>
        </w:tc>
      </w:tr>
    </w:tbl>
    <w:p w14:paraId="2E900449" w14:textId="77777777" w:rsidR="0046798B" w:rsidRDefault="0046798B">
      <w:pPr>
        <w:rPr>
          <w:sz w:val="20"/>
        </w:rPr>
        <w:sectPr w:rsidR="0046798B">
          <w:pgSz w:w="15840" w:h="12240" w:orient="landscape"/>
          <w:pgMar w:top="1220" w:right="300" w:bottom="980" w:left="820" w:header="730" w:footer="787" w:gutter="0"/>
          <w:cols w:space="720"/>
        </w:sectPr>
      </w:pPr>
    </w:p>
    <w:p w14:paraId="66013331"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98403F6" w14:textId="77777777">
        <w:trPr>
          <w:trHeight w:val="1926"/>
        </w:trPr>
        <w:tc>
          <w:tcPr>
            <w:tcW w:w="1711" w:type="dxa"/>
          </w:tcPr>
          <w:p w14:paraId="5715D45D" w14:textId="77777777" w:rsidR="0046798B" w:rsidRDefault="0046798B">
            <w:pPr>
              <w:pStyle w:val="TableParagraph"/>
            </w:pPr>
          </w:p>
          <w:p w14:paraId="7B80CD65" w14:textId="77777777" w:rsidR="0046798B" w:rsidRDefault="0046798B">
            <w:pPr>
              <w:pStyle w:val="TableParagraph"/>
            </w:pPr>
          </w:p>
          <w:p w14:paraId="1754A530" w14:textId="77777777" w:rsidR="0046798B" w:rsidRDefault="0046798B">
            <w:pPr>
              <w:pStyle w:val="TableParagraph"/>
              <w:spacing w:before="9"/>
              <w:rPr>
                <w:sz w:val="29"/>
              </w:rPr>
            </w:pPr>
          </w:p>
          <w:p w14:paraId="2551E1E7" w14:textId="77777777" w:rsidR="0046798B" w:rsidRDefault="00903B5C">
            <w:pPr>
              <w:pStyle w:val="TableParagraph"/>
              <w:ind w:left="115"/>
              <w:rPr>
                <w:b/>
                <w:sz w:val="20"/>
              </w:rPr>
            </w:pPr>
            <w:r>
              <w:rPr>
                <w:b/>
                <w:sz w:val="20"/>
              </w:rPr>
              <w:t>ranney_10yrs</w:t>
            </w:r>
          </w:p>
        </w:tc>
        <w:tc>
          <w:tcPr>
            <w:tcW w:w="1596" w:type="dxa"/>
          </w:tcPr>
          <w:p w14:paraId="51542EFD" w14:textId="77777777" w:rsidR="0046798B" w:rsidRDefault="00903B5C">
            <w:pPr>
              <w:pStyle w:val="TableParagraph"/>
              <w:spacing w:before="43"/>
              <w:ind w:left="114" w:right="169"/>
              <w:rPr>
                <w:sz w:val="20"/>
              </w:rPr>
            </w:pPr>
            <w:r>
              <w:rPr>
                <w:sz w:val="20"/>
              </w:rPr>
              <w:t>Ten-year moving average of proportion of Democratic control in state senate, house, governor, and government</w:t>
            </w:r>
          </w:p>
        </w:tc>
        <w:tc>
          <w:tcPr>
            <w:tcW w:w="1285" w:type="dxa"/>
          </w:tcPr>
          <w:p w14:paraId="259B721C" w14:textId="77777777" w:rsidR="0046798B" w:rsidRDefault="0046798B">
            <w:pPr>
              <w:pStyle w:val="TableParagraph"/>
            </w:pPr>
          </w:p>
          <w:p w14:paraId="5775599D" w14:textId="77777777" w:rsidR="0046798B" w:rsidRDefault="0046798B">
            <w:pPr>
              <w:pStyle w:val="TableParagraph"/>
            </w:pPr>
          </w:p>
          <w:p w14:paraId="4BFBB3C7" w14:textId="77777777" w:rsidR="0046798B" w:rsidRDefault="0046798B">
            <w:pPr>
              <w:pStyle w:val="TableParagraph"/>
              <w:spacing w:before="9"/>
              <w:rPr>
                <w:sz w:val="29"/>
              </w:rPr>
            </w:pPr>
          </w:p>
          <w:p w14:paraId="122CA7AC" w14:textId="77777777" w:rsidR="0046798B" w:rsidRDefault="00903B5C">
            <w:pPr>
              <w:pStyle w:val="TableParagraph"/>
              <w:ind w:left="114"/>
              <w:rPr>
                <w:sz w:val="20"/>
              </w:rPr>
            </w:pPr>
            <w:r>
              <w:rPr>
                <w:sz w:val="20"/>
              </w:rPr>
              <w:t>1947–2010</w:t>
            </w:r>
          </w:p>
        </w:tc>
        <w:tc>
          <w:tcPr>
            <w:tcW w:w="3421" w:type="dxa"/>
          </w:tcPr>
          <w:p w14:paraId="562924CF" w14:textId="77777777" w:rsidR="0046798B" w:rsidRDefault="0046798B">
            <w:pPr>
              <w:pStyle w:val="TableParagraph"/>
            </w:pPr>
          </w:p>
          <w:p w14:paraId="0376034D" w14:textId="77777777" w:rsidR="0046798B" w:rsidRDefault="00903B5C">
            <w:pPr>
              <w:pStyle w:val="TableParagraph"/>
              <w:spacing w:before="135"/>
              <w:ind w:left="114" w:right="104"/>
              <w:rPr>
                <w:sz w:val="20"/>
              </w:rPr>
            </w:pPr>
            <w:r>
              <w:rPr>
                <w:sz w:val="20"/>
              </w:rPr>
              <w:t>Ten-year moving average of variables for proportion of Democratic control in state senate, house, governor’s office, and overall government (not the alternative measure).</w:t>
            </w:r>
          </w:p>
        </w:tc>
        <w:tc>
          <w:tcPr>
            <w:tcW w:w="6482" w:type="dxa"/>
          </w:tcPr>
          <w:p w14:paraId="61695C3D" w14:textId="77777777" w:rsidR="0046798B" w:rsidRDefault="0046798B">
            <w:pPr>
              <w:pStyle w:val="TableParagraph"/>
              <w:spacing w:before="9"/>
              <w:rPr>
                <w:sz w:val="23"/>
              </w:rPr>
            </w:pPr>
          </w:p>
          <w:p w14:paraId="22048400" w14:textId="77777777" w:rsidR="0046798B" w:rsidRDefault="00903B5C">
            <w:pPr>
              <w:pStyle w:val="TableParagraph"/>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2248C6CC" w14:textId="77777777" w:rsidR="0046798B" w:rsidRDefault="0046798B">
            <w:pPr>
              <w:pStyle w:val="TableParagraph"/>
              <w:rPr>
                <w:sz w:val="20"/>
              </w:rPr>
            </w:pPr>
          </w:p>
          <w:p w14:paraId="5CFF4EEF" w14:textId="77777777" w:rsidR="0046798B" w:rsidRDefault="00903B5C">
            <w:pPr>
              <w:pStyle w:val="TableParagraph"/>
              <w:ind w:left="114" w:right="995"/>
              <w:rPr>
                <w:sz w:val="20"/>
              </w:rPr>
            </w:pPr>
            <w:r>
              <w:rPr>
                <w:sz w:val="20"/>
              </w:rPr>
              <w:t xml:space="preserve">Klarner, Carl, 2013, “Other Scholars’ Competitiveness Measures”, </w:t>
            </w:r>
            <w:hyperlink r:id="rId609">
              <w:r>
                <w:rPr>
                  <w:color w:val="0462C1"/>
                  <w:sz w:val="20"/>
                  <w:u w:val="single" w:color="0462C1"/>
                </w:rPr>
                <w:t>https://doi.org/10.7910/DVN/QSDYLH</w:t>
              </w:r>
              <w:r>
                <w:rPr>
                  <w:sz w:val="20"/>
                </w:rPr>
                <w:t>,</w:t>
              </w:r>
            </w:hyperlink>
            <w:r>
              <w:rPr>
                <w:sz w:val="20"/>
              </w:rPr>
              <w:t xml:space="preserve"> Harvard Dataverse, V1</w:t>
            </w:r>
          </w:p>
        </w:tc>
      </w:tr>
      <w:tr w:rsidR="0046798B" w14:paraId="03B91CBA" w14:textId="77777777">
        <w:trPr>
          <w:trHeight w:val="2155"/>
        </w:trPr>
        <w:tc>
          <w:tcPr>
            <w:tcW w:w="1711" w:type="dxa"/>
          </w:tcPr>
          <w:p w14:paraId="6898C5BD" w14:textId="77777777" w:rsidR="0046798B" w:rsidRDefault="0046798B">
            <w:pPr>
              <w:pStyle w:val="TableParagraph"/>
            </w:pPr>
          </w:p>
          <w:p w14:paraId="47E6C78A" w14:textId="77777777" w:rsidR="0046798B" w:rsidRDefault="0046798B">
            <w:pPr>
              <w:pStyle w:val="TableParagraph"/>
            </w:pPr>
          </w:p>
          <w:p w14:paraId="7B81D7D7" w14:textId="77777777" w:rsidR="0046798B" w:rsidRDefault="0046798B">
            <w:pPr>
              <w:pStyle w:val="TableParagraph"/>
            </w:pPr>
          </w:p>
          <w:p w14:paraId="3F4243B9" w14:textId="77777777" w:rsidR="0046798B" w:rsidRDefault="0046798B">
            <w:pPr>
              <w:pStyle w:val="TableParagraph"/>
              <w:spacing w:before="9"/>
              <w:rPr>
                <w:sz w:val="17"/>
              </w:rPr>
            </w:pPr>
          </w:p>
          <w:p w14:paraId="6C2CEA58" w14:textId="77777777" w:rsidR="0046798B" w:rsidRDefault="00903B5C">
            <w:pPr>
              <w:pStyle w:val="TableParagraph"/>
              <w:ind w:left="115"/>
              <w:rPr>
                <w:b/>
                <w:sz w:val="20"/>
              </w:rPr>
            </w:pPr>
            <w:r>
              <w:rPr>
                <w:b/>
                <w:sz w:val="20"/>
              </w:rPr>
              <w:t>ranney_alt_4yrs</w:t>
            </w:r>
          </w:p>
        </w:tc>
        <w:tc>
          <w:tcPr>
            <w:tcW w:w="1596" w:type="dxa"/>
          </w:tcPr>
          <w:p w14:paraId="12271F84" w14:textId="77777777" w:rsidR="0046798B" w:rsidRDefault="00903B5C">
            <w:pPr>
              <w:pStyle w:val="TableParagraph"/>
              <w:spacing w:before="43"/>
              <w:ind w:left="114" w:right="169"/>
              <w:rPr>
                <w:sz w:val="20"/>
              </w:rPr>
            </w:pPr>
            <w:r>
              <w:rPr>
                <w:sz w:val="20"/>
              </w:rPr>
              <w:t>Four-year moving average of proportion of Democratic control in state senate, house, governor, and government (alt.)</w:t>
            </w:r>
          </w:p>
        </w:tc>
        <w:tc>
          <w:tcPr>
            <w:tcW w:w="1285" w:type="dxa"/>
          </w:tcPr>
          <w:p w14:paraId="01F0D403" w14:textId="77777777" w:rsidR="0046798B" w:rsidRDefault="0046798B">
            <w:pPr>
              <w:pStyle w:val="TableParagraph"/>
            </w:pPr>
          </w:p>
          <w:p w14:paraId="0F022E64" w14:textId="77777777" w:rsidR="0046798B" w:rsidRDefault="0046798B">
            <w:pPr>
              <w:pStyle w:val="TableParagraph"/>
            </w:pPr>
          </w:p>
          <w:p w14:paraId="61BA67C1" w14:textId="77777777" w:rsidR="0046798B" w:rsidRDefault="0046798B">
            <w:pPr>
              <w:pStyle w:val="TableParagraph"/>
            </w:pPr>
          </w:p>
          <w:p w14:paraId="472B3526" w14:textId="77777777" w:rsidR="0046798B" w:rsidRDefault="0046798B">
            <w:pPr>
              <w:pStyle w:val="TableParagraph"/>
              <w:spacing w:before="9"/>
              <w:rPr>
                <w:sz w:val="17"/>
              </w:rPr>
            </w:pPr>
          </w:p>
          <w:p w14:paraId="5FA2CB12" w14:textId="77777777" w:rsidR="0046798B" w:rsidRDefault="00903B5C">
            <w:pPr>
              <w:pStyle w:val="TableParagraph"/>
              <w:ind w:left="114"/>
              <w:rPr>
                <w:sz w:val="20"/>
              </w:rPr>
            </w:pPr>
            <w:r>
              <w:rPr>
                <w:sz w:val="20"/>
              </w:rPr>
              <w:t>1941–2010</w:t>
            </w:r>
          </w:p>
        </w:tc>
        <w:tc>
          <w:tcPr>
            <w:tcW w:w="3421" w:type="dxa"/>
          </w:tcPr>
          <w:p w14:paraId="03554A55" w14:textId="77777777" w:rsidR="0046798B" w:rsidRDefault="0046798B">
            <w:pPr>
              <w:pStyle w:val="TableParagraph"/>
            </w:pPr>
          </w:p>
          <w:p w14:paraId="7A115BB8" w14:textId="77777777" w:rsidR="0046798B" w:rsidRDefault="0046798B">
            <w:pPr>
              <w:pStyle w:val="TableParagraph"/>
              <w:spacing w:before="8"/>
              <w:rPr>
                <w:sz w:val="21"/>
              </w:rPr>
            </w:pPr>
          </w:p>
          <w:p w14:paraId="06F88E92" w14:textId="77777777" w:rsidR="0046798B" w:rsidRDefault="00903B5C">
            <w:pPr>
              <w:pStyle w:val="TableParagraph"/>
              <w:spacing w:before="1"/>
              <w:ind w:left="114" w:right="104"/>
              <w:rPr>
                <w:sz w:val="20"/>
              </w:rPr>
            </w:pPr>
            <w:r>
              <w:rPr>
                <w:sz w:val="20"/>
              </w:rPr>
              <w:t>Four-year moving average of variables for proportion of Democratic control in state senate, house, governor’s office, and overall government (using the alternative measure).</w:t>
            </w:r>
          </w:p>
        </w:tc>
        <w:tc>
          <w:tcPr>
            <w:tcW w:w="6482" w:type="dxa"/>
          </w:tcPr>
          <w:p w14:paraId="088230AA" w14:textId="77777777" w:rsidR="0046798B" w:rsidRDefault="0046798B">
            <w:pPr>
              <w:pStyle w:val="TableParagraph"/>
            </w:pPr>
          </w:p>
          <w:p w14:paraId="05919106" w14:textId="77777777" w:rsidR="0046798B" w:rsidRDefault="00903B5C">
            <w:pPr>
              <w:pStyle w:val="TableParagraph"/>
              <w:spacing w:before="135"/>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3C754D8D" w14:textId="77777777" w:rsidR="0046798B" w:rsidRDefault="0046798B">
            <w:pPr>
              <w:pStyle w:val="TableParagraph"/>
              <w:rPr>
                <w:sz w:val="20"/>
              </w:rPr>
            </w:pPr>
          </w:p>
          <w:p w14:paraId="7B2CE0CD" w14:textId="77777777" w:rsidR="0046798B" w:rsidRDefault="00903B5C">
            <w:pPr>
              <w:pStyle w:val="TableParagraph"/>
              <w:ind w:left="114" w:right="995"/>
              <w:rPr>
                <w:sz w:val="20"/>
              </w:rPr>
            </w:pPr>
            <w:r>
              <w:rPr>
                <w:sz w:val="20"/>
              </w:rPr>
              <w:t xml:space="preserve">Klarner, Carl, 2013, “Other Scholars’ Competitiveness Measures”, </w:t>
            </w:r>
            <w:hyperlink r:id="rId610">
              <w:r>
                <w:rPr>
                  <w:color w:val="0462C1"/>
                  <w:sz w:val="20"/>
                  <w:u w:val="single" w:color="0462C1"/>
                </w:rPr>
                <w:t>https://doi.org/10.7910/DVN/QSDYLH</w:t>
              </w:r>
              <w:r>
                <w:rPr>
                  <w:sz w:val="20"/>
                </w:rPr>
                <w:t>,</w:t>
              </w:r>
            </w:hyperlink>
            <w:r>
              <w:rPr>
                <w:sz w:val="20"/>
              </w:rPr>
              <w:t xml:space="preserve"> Harvard Dataverse, V1</w:t>
            </w:r>
          </w:p>
        </w:tc>
      </w:tr>
      <w:tr w:rsidR="0046798B" w14:paraId="529D9FB1" w14:textId="77777777">
        <w:trPr>
          <w:trHeight w:val="2155"/>
        </w:trPr>
        <w:tc>
          <w:tcPr>
            <w:tcW w:w="1711" w:type="dxa"/>
          </w:tcPr>
          <w:p w14:paraId="6F8FAF9C" w14:textId="77777777" w:rsidR="0046798B" w:rsidRDefault="0046798B">
            <w:pPr>
              <w:pStyle w:val="TableParagraph"/>
            </w:pPr>
          </w:p>
          <w:p w14:paraId="7650DBAB" w14:textId="77777777" w:rsidR="0046798B" w:rsidRDefault="0046798B">
            <w:pPr>
              <w:pStyle w:val="TableParagraph"/>
            </w:pPr>
          </w:p>
          <w:p w14:paraId="170833D2" w14:textId="77777777" w:rsidR="0046798B" w:rsidRDefault="0046798B">
            <w:pPr>
              <w:pStyle w:val="TableParagraph"/>
            </w:pPr>
          </w:p>
          <w:p w14:paraId="30B8CD24" w14:textId="77777777" w:rsidR="0046798B" w:rsidRDefault="0046798B">
            <w:pPr>
              <w:pStyle w:val="TableParagraph"/>
              <w:spacing w:before="8"/>
              <w:rPr>
                <w:sz w:val="17"/>
              </w:rPr>
            </w:pPr>
          </w:p>
          <w:p w14:paraId="3CA2AD5A" w14:textId="77777777" w:rsidR="0046798B" w:rsidRDefault="00903B5C">
            <w:pPr>
              <w:pStyle w:val="TableParagraph"/>
              <w:spacing w:before="1"/>
              <w:ind w:left="115"/>
              <w:rPr>
                <w:b/>
                <w:sz w:val="20"/>
              </w:rPr>
            </w:pPr>
            <w:r>
              <w:rPr>
                <w:b/>
                <w:sz w:val="20"/>
              </w:rPr>
              <w:t>ranney_alt_6yrs</w:t>
            </w:r>
          </w:p>
        </w:tc>
        <w:tc>
          <w:tcPr>
            <w:tcW w:w="1596" w:type="dxa"/>
          </w:tcPr>
          <w:p w14:paraId="47E13647" w14:textId="77777777" w:rsidR="0046798B" w:rsidRDefault="00903B5C">
            <w:pPr>
              <w:pStyle w:val="TableParagraph"/>
              <w:spacing w:before="43"/>
              <w:ind w:left="114" w:right="134"/>
              <w:rPr>
                <w:sz w:val="20"/>
              </w:rPr>
            </w:pPr>
            <w:r>
              <w:rPr>
                <w:sz w:val="20"/>
              </w:rPr>
              <w:t xml:space="preserve">Six-year </w:t>
            </w:r>
            <w:r>
              <w:rPr>
                <w:spacing w:val="-4"/>
                <w:sz w:val="20"/>
              </w:rPr>
              <w:t xml:space="preserve">moving </w:t>
            </w:r>
            <w:r>
              <w:rPr>
                <w:sz w:val="20"/>
              </w:rPr>
              <w:t>average of proportion of Democratic control in state senate, house, governor, and government (alt.)</w:t>
            </w:r>
          </w:p>
        </w:tc>
        <w:tc>
          <w:tcPr>
            <w:tcW w:w="1285" w:type="dxa"/>
          </w:tcPr>
          <w:p w14:paraId="25EC20CE" w14:textId="77777777" w:rsidR="0046798B" w:rsidRDefault="0046798B">
            <w:pPr>
              <w:pStyle w:val="TableParagraph"/>
            </w:pPr>
          </w:p>
          <w:p w14:paraId="6EB33E99" w14:textId="77777777" w:rsidR="0046798B" w:rsidRDefault="0046798B">
            <w:pPr>
              <w:pStyle w:val="TableParagraph"/>
            </w:pPr>
          </w:p>
          <w:p w14:paraId="6D756386" w14:textId="77777777" w:rsidR="0046798B" w:rsidRDefault="0046798B">
            <w:pPr>
              <w:pStyle w:val="TableParagraph"/>
            </w:pPr>
          </w:p>
          <w:p w14:paraId="4B77F3E8" w14:textId="77777777" w:rsidR="0046798B" w:rsidRDefault="0046798B">
            <w:pPr>
              <w:pStyle w:val="TableParagraph"/>
              <w:spacing w:before="8"/>
              <w:rPr>
                <w:sz w:val="17"/>
              </w:rPr>
            </w:pPr>
          </w:p>
          <w:p w14:paraId="53D4D83B" w14:textId="77777777" w:rsidR="0046798B" w:rsidRDefault="00903B5C">
            <w:pPr>
              <w:pStyle w:val="TableParagraph"/>
              <w:spacing w:before="1"/>
              <w:ind w:left="114"/>
              <w:rPr>
                <w:sz w:val="20"/>
              </w:rPr>
            </w:pPr>
            <w:r>
              <w:rPr>
                <w:sz w:val="20"/>
              </w:rPr>
              <w:t>1943–2010</w:t>
            </w:r>
          </w:p>
        </w:tc>
        <w:tc>
          <w:tcPr>
            <w:tcW w:w="3421" w:type="dxa"/>
          </w:tcPr>
          <w:p w14:paraId="27783E2E" w14:textId="77777777" w:rsidR="0046798B" w:rsidRDefault="0046798B">
            <w:pPr>
              <w:pStyle w:val="TableParagraph"/>
            </w:pPr>
          </w:p>
          <w:p w14:paraId="4AF63005" w14:textId="77777777" w:rsidR="0046798B" w:rsidRDefault="0046798B">
            <w:pPr>
              <w:pStyle w:val="TableParagraph"/>
              <w:spacing w:before="8"/>
              <w:rPr>
                <w:sz w:val="21"/>
              </w:rPr>
            </w:pPr>
          </w:p>
          <w:p w14:paraId="619D0A54" w14:textId="77777777" w:rsidR="0046798B" w:rsidRDefault="00903B5C">
            <w:pPr>
              <w:pStyle w:val="TableParagraph"/>
              <w:spacing w:before="1"/>
              <w:ind w:left="114" w:right="104"/>
              <w:rPr>
                <w:sz w:val="20"/>
              </w:rPr>
            </w:pPr>
            <w:r>
              <w:rPr>
                <w:sz w:val="20"/>
              </w:rPr>
              <w:t>Six-year moving average of variables for proportion of Democratic control in state senate, house, governor’s office, and overall government (using the alternative measure).</w:t>
            </w:r>
          </w:p>
        </w:tc>
        <w:tc>
          <w:tcPr>
            <w:tcW w:w="6482" w:type="dxa"/>
          </w:tcPr>
          <w:p w14:paraId="60A2228A" w14:textId="77777777" w:rsidR="0046798B" w:rsidRDefault="0046798B">
            <w:pPr>
              <w:pStyle w:val="TableParagraph"/>
            </w:pPr>
          </w:p>
          <w:p w14:paraId="4713E2CC" w14:textId="77777777" w:rsidR="0046798B" w:rsidRDefault="00903B5C">
            <w:pPr>
              <w:pStyle w:val="TableParagraph"/>
              <w:spacing w:before="135"/>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60F07DB4" w14:textId="77777777" w:rsidR="0046798B" w:rsidRDefault="0046798B">
            <w:pPr>
              <w:pStyle w:val="TableParagraph"/>
              <w:rPr>
                <w:sz w:val="20"/>
              </w:rPr>
            </w:pPr>
          </w:p>
          <w:p w14:paraId="05135B2E" w14:textId="77777777" w:rsidR="0046798B" w:rsidRDefault="00903B5C">
            <w:pPr>
              <w:pStyle w:val="TableParagraph"/>
              <w:spacing w:before="1"/>
              <w:ind w:left="114" w:right="995"/>
              <w:rPr>
                <w:sz w:val="20"/>
              </w:rPr>
            </w:pPr>
            <w:r>
              <w:rPr>
                <w:sz w:val="20"/>
              </w:rPr>
              <w:t xml:space="preserve">Klarner, Carl, 2013, “Other Scholars’ Competitiveness Measures”, </w:t>
            </w:r>
            <w:hyperlink r:id="rId611">
              <w:r>
                <w:rPr>
                  <w:color w:val="0462C1"/>
                  <w:sz w:val="20"/>
                  <w:u w:val="single" w:color="0462C1"/>
                </w:rPr>
                <w:t>https://doi.org/10.7910/DVN/QSDYLH</w:t>
              </w:r>
              <w:r>
                <w:rPr>
                  <w:sz w:val="20"/>
                </w:rPr>
                <w:t>,</w:t>
              </w:r>
            </w:hyperlink>
            <w:r>
              <w:rPr>
                <w:sz w:val="20"/>
              </w:rPr>
              <w:t xml:space="preserve"> Harvard Dataverse, V1</w:t>
            </w:r>
          </w:p>
        </w:tc>
      </w:tr>
      <w:tr w:rsidR="0046798B" w14:paraId="5038B388" w14:textId="77777777">
        <w:trPr>
          <w:trHeight w:val="2161"/>
        </w:trPr>
        <w:tc>
          <w:tcPr>
            <w:tcW w:w="1711" w:type="dxa"/>
          </w:tcPr>
          <w:p w14:paraId="04043B0C" w14:textId="77777777" w:rsidR="0046798B" w:rsidRDefault="0046798B">
            <w:pPr>
              <w:pStyle w:val="TableParagraph"/>
            </w:pPr>
          </w:p>
          <w:p w14:paraId="3159E47F" w14:textId="77777777" w:rsidR="0046798B" w:rsidRDefault="0046798B">
            <w:pPr>
              <w:pStyle w:val="TableParagraph"/>
            </w:pPr>
          </w:p>
          <w:p w14:paraId="609FAB42" w14:textId="77777777" w:rsidR="0046798B" w:rsidRDefault="0046798B">
            <w:pPr>
              <w:pStyle w:val="TableParagraph"/>
            </w:pPr>
          </w:p>
          <w:p w14:paraId="6879FBFC" w14:textId="77777777" w:rsidR="0046798B" w:rsidRDefault="0046798B">
            <w:pPr>
              <w:pStyle w:val="TableParagraph"/>
              <w:spacing w:before="9"/>
              <w:rPr>
                <w:sz w:val="17"/>
              </w:rPr>
            </w:pPr>
          </w:p>
          <w:p w14:paraId="2AC4D9CD" w14:textId="77777777" w:rsidR="0046798B" w:rsidRDefault="00903B5C">
            <w:pPr>
              <w:pStyle w:val="TableParagraph"/>
              <w:ind w:left="115"/>
              <w:rPr>
                <w:b/>
                <w:sz w:val="20"/>
              </w:rPr>
            </w:pPr>
            <w:r>
              <w:rPr>
                <w:b/>
                <w:sz w:val="20"/>
              </w:rPr>
              <w:t>ranney_alt_8yrs</w:t>
            </w:r>
          </w:p>
        </w:tc>
        <w:tc>
          <w:tcPr>
            <w:tcW w:w="1596" w:type="dxa"/>
          </w:tcPr>
          <w:p w14:paraId="5CE44C7C" w14:textId="77777777" w:rsidR="0046798B" w:rsidRDefault="00903B5C">
            <w:pPr>
              <w:pStyle w:val="TableParagraph"/>
              <w:spacing w:before="43"/>
              <w:ind w:left="114" w:right="169"/>
              <w:rPr>
                <w:sz w:val="20"/>
              </w:rPr>
            </w:pPr>
            <w:r>
              <w:rPr>
                <w:sz w:val="20"/>
              </w:rPr>
              <w:t>Eight-year moving average of proportion of Democratic control in state senate, house, governor, and government (alt.)</w:t>
            </w:r>
          </w:p>
        </w:tc>
        <w:tc>
          <w:tcPr>
            <w:tcW w:w="1285" w:type="dxa"/>
          </w:tcPr>
          <w:p w14:paraId="3D572809" w14:textId="77777777" w:rsidR="0046798B" w:rsidRDefault="0046798B">
            <w:pPr>
              <w:pStyle w:val="TableParagraph"/>
            </w:pPr>
          </w:p>
          <w:p w14:paraId="53A7A5D4" w14:textId="77777777" w:rsidR="0046798B" w:rsidRDefault="0046798B">
            <w:pPr>
              <w:pStyle w:val="TableParagraph"/>
            </w:pPr>
          </w:p>
          <w:p w14:paraId="61919792" w14:textId="77777777" w:rsidR="0046798B" w:rsidRDefault="0046798B">
            <w:pPr>
              <w:pStyle w:val="TableParagraph"/>
            </w:pPr>
          </w:p>
          <w:p w14:paraId="2970A8E9" w14:textId="77777777" w:rsidR="0046798B" w:rsidRDefault="0046798B">
            <w:pPr>
              <w:pStyle w:val="TableParagraph"/>
              <w:spacing w:before="9"/>
              <w:rPr>
                <w:sz w:val="17"/>
              </w:rPr>
            </w:pPr>
          </w:p>
          <w:p w14:paraId="620CC98F" w14:textId="77777777" w:rsidR="0046798B" w:rsidRDefault="00903B5C">
            <w:pPr>
              <w:pStyle w:val="TableParagraph"/>
              <w:ind w:left="114"/>
              <w:rPr>
                <w:sz w:val="20"/>
              </w:rPr>
            </w:pPr>
            <w:r>
              <w:rPr>
                <w:sz w:val="20"/>
              </w:rPr>
              <w:t>1945–2010</w:t>
            </w:r>
          </w:p>
        </w:tc>
        <w:tc>
          <w:tcPr>
            <w:tcW w:w="3421" w:type="dxa"/>
          </w:tcPr>
          <w:p w14:paraId="1F9D67C4" w14:textId="77777777" w:rsidR="0046798B" w:rsidRDefault="0046798B">
            <w:pPr>
              <w:pStyle w:val="TableParagraph"/>
            </w:pPr>
          </w:p>
          <w:p w14:paraId="74A2847F" w14:textId="77777777" w:rsidR="0046798B" w:rsidRDefault="0046798B">
            <w:pPr>
              <w:pStyle w:val="TableParagraph"/>
              <w:spacing w:before="9"/>
              <w:rPr>
                <w:sz w:val="21"/>
              </w:rPr>
            </w:pPr>
          </w:p>
          <w:p w14:paraId="19C1E21E" w14:textId="77777777" w:rsidR="0046798B" w:rsidRDefault="00903B5C">
            <w:pPr>
              <w:pStyle w:val="TableParagraph"/>
              <w:ind w:left="114" w:right="87"/>
              <w:rPr>
                <w:sz w:val="20"/>
              </w:rPr>
            </w:pPr>
            <w:r>
              <w:rPr>
                <w:sz w:val="20"/>
              </w:rPr>
              <w:t>Eight-year moving average of variables for proportion of Democratic control in state senate, house, governor’s office, and overall government (using the alternative measure).</w:t>
            </w:r>
          </w:p>
        </w:tc>
        <w:tc>
          <w:tcPr>
            <w:tcW w:w="6482" w:type="dxa"/>
          </w:tcPr>
          <w:p w14:paraId="3E0C549E" w14:textId="77777777" w:rsidR="0046798B" w:rsidRDefault="0046798B">
            <w:pPr>
              <w:pStyle w:val="TableParagraph"/>
            </w:pPr>
          </w:p>
          <w:p w14:paraId="7A170251" w14:textId="77777777" w:rsidR="0046798B" w:rsidRDefault="00903B5C">
            <w:pPr>
              <w:pStyle w:val="TableParagraph"/>
              <w:spacing w:before="136"/>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5FC0E438" w14:textId="77777777" w:rsidR="0046798B" w:rsidRDefault="0046798B">
            <w:pPr>
              <w:pStyle w:val="TableParagraph"/>
              <w:spacing w:before="11"/>
              <w:rPr>
                <w:sz w:val="19"/>
              </w:rPr>
            </w:pPr>
          </w:p>
          <w:p w14:paraId="06002FDC" w14:textId="77777777" w:rsidR="0046798B" w:rsidRDefault="00903B5C">
            <w:pPr>
              <w:pStyle w:val="TableParagraph"/>
              <w:ind w:left="114" w:right="995"/>
              <w:rPr>
                <w:sz w:val="20"/>
              </w:rPr>
            </w:pPr>
            <w:r>
              <w:rPr>
                <w:sz w:val="20"/>
              </w:rPr>
              <w:t xml:space="preserve">Klarner, Carl, 2013, “Other Scholars’ Competitiveness Measures”, </w:t>
            </w:r>
            <w:hyperlink r:id="rId612">
              <w:r>
                <w:rPr>
                  <w:color w:val="0462C1"/>
                  <w:sz w:val="20"/>
                  <w:u w:val="single" w:color="0462C1"/>
                </w:rPr>
                <w:t>https://doi.org/10.7910/DVN/QSDYLH</w:t>
              </w:r>
              <w:r>
                <w:rPr>
                  <w:sz w:val="20"/>
                </w:rPr>
                <w:t>,</w:t>
              </w:r>
            </w:hyperlink>
            <w:r>
              <w:rPr>
                <w:sz w:val="20"/>
              </w:rPr>
              <w:t xml:space="preserve"> Harvard Dataverse, V1</w:t>
            </w:r>
          </w:p>
        </w:tc>
      </w:tr>
      <w:tr w:rsidR="0046798B" w14:paraId="767853EC" w14:textId="77777777">
        <w:trPr>
          <w:trHeight w:val="775"/>
        </w:trPr>
        <w:tc>
          <w:tcPr>
            <w:tcW w:w="1711" w:type="dxa"/>
          </w:tcPr>
          <w:p w14:paraId="2A4C537B" w14:textId="77777777" w:rsidR="0046798B" w:rsidRDefault="00903B5C">
            <w:pPr>
              <w:pStyle w:val="TableParagraph"/>
              <w:spacing w:before="153"/>
              <w:ind w:left="115" w:right="155"/>
              <w:rPr>
                <w:b/>
                <w:sz w:val="20"/>
              </w:rPr>
            </w:pPr>
            <w:r>
              <w:rPr>
                <w:b/>
                <w:sz w:val="20"/>
              </w:rPr>
              <w:t>ranney_alt_10yr s</w:t>
            </w:r>
          </w:p>
        </w:tc>
        <w:tc>
          <w:tcPr>
            <w:tcW w:w="1596" w:type="dxa"/>
          </w:tcPr>
          <w:p w14:paraId="4D2B5ED0" w14:textId="77777777" w:rsidR="0046798B" w:rsidRDefault="00903B5C">
            <w:pPr>
              <w:pStyle w:val="TableParagraph"/>
              <w:spacing w:before="38"/>
              <w:ind w:left="114" w:right="169"/>
              <w:rPr>
                <w:sz w:val="20"/>
              </w:rPr>
            </w:pPr>
            <w:r>
              <w:rPr>
                <w:sz w:val="20"/>
              </w:rPr>
              <w:t>Ten-year moving average of proportion of</w:t>
            </w:r>
          </w:p>
        </w:tc>
        <w:tc>
          <w:tcPr>
            <w:tcW w:w="1285" w:type="dxa"/>
          </w:tcPr>
          <w:p w14:paraId="13E13632" w14:textId="77777777" w:rsidR="0046798B" w:rsidRDefault="0046798B">
            <w:pPr>
              <w:pStyle w:val="TableParagraph"/>
              <w:spacing w:before="3"/>
              <w:rPr>
                <w:sz w:val="23"/>
              </w:rPr>
            </w:pPr>
          </w:p>
          <w:p w14:paraId="41E8CD78" w14:textId="77777777" w:rsidR="0046798B" w:rsidRDefault="00903B5C">
            <w:pPr>
              <w:pStyle w:val="TableParagraph"/>
              <w:spacing w:before="1"/>
              <w:ind w:left="114"/>
              <w:rPr>
                <w:sz w:val="20"/>
              </w:rPr>
            </w:pPr>
            <w:r>
              <w:rPr>
                <w:sz w:val="20"/>
              </w:rPr>
              <w:t>1947–2010</w:t>
            </w:r>
          </w:p>
        </w:tc>
        <w:tc>
          <w:tcPr>
            <w:tcW w:w="3421" w:type="dxa"/>
          </w:tcPr>
          <w:p w14:paraId="1B1F3C01" w14:textId="77777777" w:rsidR="0046798B" w:rsidRDefault="00903B5C">
            <w:pPr>
              <w:pStyle w:val="TableParagraph"/>
              <w:spacing w:before="38"/>
              <w:ind w:left="114" w:right="104"/>
              <w:rPr>
                <w:sz w:val="20"/>
              </w:rPr>
            </w:pPr>
            <w:r>
              <w:rPr>
                <w:sz w:val="20"/>
              </w:rPr>
              <w:t>Ten-year moving average of variables for proportion of Democratic control in state senate, house, governor’s office,</w:t>
            </w:r>
          </w:p>
        </w:tc>
        <w:tc>
          <w:tcPr>
            <w:tcW w:w="6482" w:type="dxa"/>
          </w:tcPr>
          <w:p w14:paraId="184DA9D0" w14:textId="77777777" w:rsidR="0046798B" w:rsidRDefault="00903B5C">
            <w:pPr>
              <w:pStyle w:val="TableParagraph"/>
              <w:spacing w:before="38"/>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tc>
      </w:tr>
    </w:tbl>
    <w:p w14:paraId="013869E4" w14:textId="77777777" w:rsidR="0046798B" w:rsidRDefault="0046798B">
      <w:pPr>
        <w:rPr>
          <w:sz w:val="20"/>
        </w:rPr>
        <w:sectPr w:rsidR="0046798B">
          <w:pgSz w:w="15840" w:h="12240" w:orient="landscape"/>
          <w:pgMar w:top="1220" w:right="300" w:bottom="980" w:left="820" w:header="730" w:footer="787" w:gutter="0"/>
          <w:cols w:space="720"/>
        </w:sectPr>
      </w:pPr>
    </w:p>
    <w:p w14:paraId="6C430BB2"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66695AFC" w14:textId="77777777">
        <w:trPr>
          <w:trHeight w:val="272"/>
        </w:trPr>
        <w:tc>
          <w:tcPr>
            <w:tcW w:w="1711" w:type="dxa"/>
            <w:vMerge w:val="restart"/>
          </w:tcPr>
          <w:p w14:paraId="63248A86" w14:textId="77777777" w:rsidR="0046798B" w:rsidRDefault="0046798B">
            <w:pPr>
              <w:pStyle w:val="TableParagraph"/>
              <w:rPr>
                <w:sz w:val="20"/>
              </w:rPr>
            </w:pPr>
          </w:p>
        </w:tc>
        <w:tc>
          <w:tcPr>
            <w:tcW w:w="1596" w:type="dxa"/>
            <w:tcBorders>
              <w:bottom w:val="nil"/>
            </w:tcBorders>
          </w:tcPr>
          <w:p w14:paraId="0BE31A6A" w14:textId="77777777" w:rsidR="0046798B" w:rsidRDefault="00903B5C">
            <w:pPr>
              <w:pStyle w:val="TableParagraph"/>
              <w:spacing w:before="43" w:line="209" w:lineRule="exact"/>
              <w:ind w:left="114"/>
              <w:rPr>
                <w:sz w:val="20"/>
              </w:rPr>
            </w:pPr>
            <w:r>
              <w:rPr>
                <w:sz w:val="20"/>
              </w:rPr>
              <w:t>Democratic</w:t>
            </w:r>
          </w:p>
        </w:tc>
        <w:tc>
          <w:tcPr>
            <w:tcW w:w="1285" w:type="dxa"/>
            <w:vMerge w:val="restart"/>
          </w:tcPr>
          <w:p w14:paraId="2278FEEB" w14:textId="77777777" w:rsidR="0046798B" w:rsidRDefault="0046798B">
            <w:pPr>
              <w:pStyle w:val="TableParagraph"/>
              <w:rPr>
                <w:sz w:val="20"/>
              </w:rPr>
            </w:pPr>
          </w:p>
        </w:tc>
        <w:tc>
          <w:tcPr>
            <w:tcW w:w="3421" w:type="dxa"/>
            <w:tcBorders>
              <w:bottom w:val="nil"/>
            </w:tcBorders>
          </w:tcPr>
          <w:p w14:paraId="16D84FDF" w14:textId="77777777" w:rsidR="0046798B" w:rsidRDefault="00903B5C">
            <w:pPr>
              <w:pStyle w:val="TableParagraph"/>
              <w:spacing w:before="43" w:line="209" w:lineRule="exact"/>
              <w:ind w:left="114"/>
              <w:rPr>
                <w:sz w:val="20"/>
              </w:rPr>
            </w:pPr>
            <w:r>
              <w:rPr>
                <w:sz w:val="20"/>
              </w:rPr>
              <w:t>and overall government (using the</w:t>
            </w:r>
          </w:p>
        </w:tc>
        <w:tc>
          <w:tcPr>
            <w:tcW w:w="6482" w:type="dxa"/>
            <w:tcBorders>
              <w:bottom w:val="nil"/>
            </w:tcBorders>
          </w:tcPr>
          <w:p w14:paraId="037CD0F8" w14:textId="77777777" w:rsidR="0046798B" w:rsidRDefault="0046798B">
            <w:pPr>
              <w:pStyle w:val="TableParagraph"/>
              <w:rPr>
                <w:sz w:val="20"/>
              </w:rPr>
            </w:pPr>
          </w:p>
        </w:tc>
      </w:tr>
      <w:tr w:rsidR="0046798B" w14:paraId="61318566" w14:textId="77777777">
        <w:trPr>
          <w:trHeight w:val="220"/>
        </w:trPr>
        <w:tc>
          <w:tcPr>
            <w:tcW w:w="1711" w:type="dxa"/>
            <w:vMerge/>
            <w:tcBorders>
              <w:top w:val="nil"/>
            </w:tcBorders>
          </w:tcPr>
          <w:p w14:paraId="72D46BC8" w14:textId="77777777" w:rsidR="0046798B" w:rsidRDefault="0046798B">
            <w:pPr>
              <w:rPr>
                <w:sz w:val="2"/>
                <w:szCs w:val="2"/>
              </w:rPr>
            </w:pPr>
          </w:p>
        </w:tc>
        <w:tc>
          <w:tcPr>
            <w:tcW w:w="1596" w:type="dxa"/>
            <w:tcBorders>
              <w:top w:val="nil"/>
              <w:bottom w:val="nil"/>
            </w:tcBorders>
          </w:tcPr>
          <w:p w14:paraId="5A37C99F" w14:textId="77777777" w:rsidR="0046798B" w:rsidRDefault="00903B5C">
            <w:pPr>
              <w:pStyle w:val="TableParagraph"/>
              <w:spacing w:line="200" w:lineRule="exact"/>
              <w:ind w:left="114"/>
              <w:rPr>
                <w:sz w:val="20"/>
              </w:rPr>
            </w:pPr>
            <w:r>
              <w:rPr>
                <w:sz w:val="20"/>
              </w:rPr>
              <w:t>control in state</w:t>
            </w:r>
          </w:p>
        </w:tc>
        <w:tc>
          <w:tcPr>
            <w:tcW w:w="1285" w:type="dxa"/>
            <w:vMerge/>
            <w:tcBorders>
              <w:top w:val="nil"/>
            </w:tcBorders>
          </w:tcPr>
          <w:p w14:paraId="293EBD3E" w14:textId="77777777" w:rsidR="0046798B" w:rsidRDefault="0046798B">
            <w:pPr>
              <w:rPr>
                <w:sz w:val="2"/>
                <w:szCs w:val="2"/>
              </w:rPr>
            </w:pPr>
          </w:p>
        </w:tc>
        <w:tc>
          <w:tcPr>
            <w:tcW w:w="3421" w:type="dxa"/>
            <w:tcBorders>
              <w:top w:val="nil"/>
              <w:bottom w:val="nil"/>
            </w:tcBorders>
          </w:tcPr>
          <w:p w14:paraId="66EEBD40" w14:textId="77777777" w:rsidR="0046798B" w:rsidRDefault="00903B5C">
            <w:pPr>
              <w:pStyle w:val="TableParagraph"/>
              <w:spacing w:line="200" w:lineRule="exact"/>
              <w:ind w:left="114"/>
              <w:rPr>
                <w:sz w:val="20"/>
              </w:rPr>
            </w:pPr>
            <w:r>
              <w:rPr>
                <w:sz w:val="20"/>
              </w:rPr>
              <w:t>alternative measure).</w:t>
            </w:r>
          </w:p>
        </w:tc>
        <w:tc>
          <w:tcPr>
            <w:tcW w:w="6482" w:type="dxa"/>
            <w:tcBorders>
              <w:top w:val="nil"/>
              <w:bottom w:val="nil"/>
            </w:tcBorders>
          </w:tcPr>
          <w:p w14:paraId="6FDF3642" w14:textId="77777777" w:rsidR="0046798B" w:rsidRDefault="00903B5C">
            <w:pPr>
              <w:pStyle w:val="TableParagraph"/>
              <w:spacing w:line="200" w:lineRule="exact"/>
              <w:ind w:left="114"/>
              <w:rPr>
                <w:sz w:val="20"/>
              </w:rPr>
            </w:pPr>
            <w:r>
              <w:rPr>
                <w:sz w:val="20"/>
              </w:rPr>
              <w:t>Klarner, Carl, 2013, “Other Scholars’ Competitiveness Measures”,</w:t>
            </w:r>
          </w:p>
        </w:tc>
      </w:tr>
      <w:tr w:rsidR="0046798B" w14:paraId="6A9CEB31" w14:textId="77777777">
        <w:trPr>
          <w:trHeight w:val="220"/>
        </w:trPr>
        <w:tc>
          <w:tcPr>
            <w:tcW w:w="1711" w:type="dxa"/>
            <w:vMerge/>
            <w:tcBorders>
              <w:top w:val="nil"/>
            </w:tcBorders>
          </w:tcPr>
          <w:p w14:paraId="43D78AF9" w14:textId="77777777" w:rsidR="0046798B" w:rsidRDefault="0046798B">
            <w:pPr>
              <w:rPr>
                <w:sz w:val="2"/>
                <w:szCs w:val="2"/>
              </w:rPr>
            </w:pPr>
          </w:p>
        </w:tc>
        <w:tc>
          <w:tcPr>
            <w:tcW w:w="1596" w:type="dxa"/>
            <w:tcBorders>
              <w:top w:val="nil"/>
              <w:bottom w:val="nil"/>
            </w:tcBorders>
          </w:tcPr>
          <w:p w14:paraId="3EFB4208" w14:textId="77777777" w:rsidR="0046798B" w:rsidRDefault="00903B5C">
            <w:pPr>
              <w:pStyle w:val="TableParagraph"/>
              <w:spacing w:line="200" w:lineRule="exact"/>
              <w:ind w:left="114"/>
              <w:rPr>
                <w:sz w:val="20"/>
              </w:rPr>
            </w:pPr>
            <w:r>
              <w:rPr>
                <w:sz w:val="20"/>
              </w:rPr>
              <w:t>senate, house,</w:t>
            </w:r>
          </w:p>
        </w:tc>
        <w:tc>
          <w:tcPr>
            <w:tcW w:w="1285" w:type="dxa"/>
            <w:vMerge/>
            <w:tcBorders>
              <w:top w:val="nil"/>
            </w:tcBorders>
          </w:tcPr>
          <w:p w14:paraId="48210300" w14:textId="77777777" w:rsidR="0046798B" w:rsidRDefault="0046798B">
            <w:pPr>
              <w:rPr>
                <w:sz w:val="2"/>
                <w:szCs w:val="2"/>
              </w:rPr>
            </w:pPr>
          </w:p>
        </w:tc>
        <w:tc>
          <w:tcPr>
            <w:tcW w:w="3421" w:type="dxa"/>
            <w:tcBorders>
              <w:top w:val="nil"/>
              <w:bottom w:val="nil"/>
            </w:tcBorders>
          </w:tcPr>
          <w:p w14:paraId="357CE587" w14:textId="77777777" w:rsidR="0046798B" w:rsidRDefault="0046798B">
            <w:pPr>
              <w:pStyle w:val="TableParagraph"/>
              <w:rPr>
                <w:sz w:val="14"/>
              </w:rPr>
            </w:pPr>
          </w:p>
        </w:tc>
        <w:tc>
          <w:tcPr>
            <w:tcW w:w="6482" w:type="dxa"/>
            <w:tcBorders>
              <w:top w:val="nil"/>
              <w:bottom w:val="nil"/>
            </w:tcBorders>
          </w:tcPr>
          <w:p w14:paraId="137E2D4F" w14:textId="77777777" w:rsidR="0046798B" w:rsidRDefault="00797354">
            <w:pPr>
              <w:pStyle w:val="TableParagraph"/>
              <w:spacing w:line="200" w:lineRule="exact"/>
              <w:ind w:left="114"/>
              <w:rPr>
                <w:sz w:val="20"/>
              </w:rPr>
            </w:pPr>
            <w:hyperlink r:id="rId613">
              <w:r w:rsidR="00903B5C">
                <w:rPr>
                  <w:color w:val="0462C1"/>
                  <w:sz w:val="20"/>
                  <w:u w:val="single" w:color="0462C1"/>
                </w:rPr>
                <w:t>https://doi.org/10.7910/DVN/QSDYLH</w:t>
              </w:r>
              <w:r w:rsidR="00903B5C">
                <w:rPr>
                  <w:sz w:val="20"/>
                </w:rPr>
                <w:t>,</w:t>
              </w:r>
            </w:hyperlink>
            <w:r w:rsidR="00903B5C">
              <w:rPr>
                <w:sz w:val="20"/>
              </w:rPr>
              <w:t xml:space="preserve"> Harvard Dataverse, V1</w:t>
            </w:r>
          </w:p>
        </w:tc>
      </w:tr>
      <w:tr w:rsidR="0046798B" w14:paraId="61C7182A" w14:textId="77777777">
        <w:trPr>
          <w:trHeight w:val="220"/>
        </w:trPr>
        <w:tc>
          <w:tcPr>
            <w:tcW w:w="1711" w:type="dxa"/>
            <w:vMerge/>
            <w:tcBorders>
              <w:top w:val="nil"/>
            </w:tcBorders>
          </w:tcPr>
          <w:p w14:paraId="20F7992F" w14:textId="77777777" w:rsidR="0046798B" w:rsidRDefault="0046798B">
            <w:pPr>
              <w:rPr>
                <w:sz w:val="2"/>
                <w:szCs w:val="2"/>
              </w:rPr>
            </w:pPr>
          </w:p>
        </w:tc>
        <w:tc>
          <w:tcPr>
            <w:tcW w:w="1596" w:type="dxa"/>
            <w:tcBorders>
              <w:top w:val="nil"/>
              <w:bottom w:val="nil"/>
            </w:tcBorders>
          </w:tcPr>
          <w:p w14:paraId="55BC6681" w14:textId="77777777" w:rsidR="0046798B" w:rsidRDefault="00903B5C">
            <w:pPr>
              <w:pStyle w:val="TableParagraph"/>
              <w:spacing w:line="200" w:lineRule="exact"/>
              <w:ind w:left="114"/>
              <w:rPr>
                <w:sz w:val="20"/>
              </w:rPr>
            </w:pPr>
            <w:r>
              <w:rPr>
                <w:sz w:val="20"/>
              </w:rPr>
              <w:t>governor, and</w:t>
            </w:r>
          </w:p>
        </w:tc>
        <w:tc>
          <w:tcPr>
            <w:tcW w:w="1285" w:type="dxa"/>
            <w:vMerge/>
            <w:tcBorders>
              <w:top w:val="nil"/>
            </w:tcBorders>
          </w:tcPr>
          <w:p w14:paraId="37B5592D" w14:textId="77777777" w:rsidR="0046798B" w:rsidRDefault="0046798B">
            <w:pPr>
              <w:rPr>
                <w:sz w:val="2"/>
                <w:szCs w:val="2"/>
              </w:rPr>
            </w:pPr>
          </w:p>
        </w:tc>
        <w:tc>
          <w:tcPr>
            <w:tcW w:w="3421" w:type="dxa"/>
            <w:tcBorders>
              <w:top w:val="nil"/>
              <w:bottom w:val="nil"/>
            </w:tcBorders>
          </w:tcPr>
          <w:p w14:paraId="432AE5EB" w14:textId="77777777" w:rsidR="0046798B" w:rsidRDefault="0046798B">
            <w:pPr>
              <w:pStyle w:val="TableParagraph"/>
              <w:rPr>
                <w:sz w:val="14"/>
              </w:rPr>
            </w:pPr>
          </w:p>
        </w:tc>
        <w:tc>
          <w:tcPr>
            <w:tcW w:w="6482" w:type="dxa"/>
            <w:tcBorders>
              <w:top w:val="nil"/>
              <w:bottom w:val="nil"/>
            </w:tcBorders>
          </w:tcPr>
          <w:p w14:paraId="5FC348A7" w14:textId="77777777" w:rsidR="0046798B" w:rsidRDefault="0046798B">
            <w:pPr>
              <w:pStyle w:val="TableParagraph"/>
              <w:rPr>
                <w:sz w:val="14"/>
              </w:rPr>
            </w:pPr>
          </w:p>
        </w:tc>
      </w:tr>
      <w:tr w:rsidR="0046798B" w14:paraId="5CEDC71D" w14:textId="77777777">
        <w:trPr>
          <w:trHeight w:val="220"/>
        </w:trPr>
        <w:tc>
          <w:tcPr>
            <w:tcW w:w="1711" w:type="dxa"/>
            <w:vMerge/>
            <w:tcBorders>
              <w:top w:val="nil"/>
            </w:tcBorders>
          </w:tcPr>
          <w:p w14:paraId="2DF6F9DF" w14:textId="77777777" w:rsidR="0046798B" w:rsidRDefault="0046798B">
            <w:pPr>
              <w:rPr>
                <w:sz w:val="2"/>
                <w:szCs w:val="2"/>
              </w:rPr>
            </w:pPr>
          </w:p>
        </w:tc>
        <w:tc>
          <w:tcPr>
            <w:tcW w:w="1596" w:type="dxa"/>
            <w:tcBorders>
              <w:top w:val="nil"/>
              <w:bottom w:val="nil"/>
            </w:tcBorders>
          </w:tcPr>
          <w:p w14:paraId="76DCA817" w14:textId="77777777" w:rsidR="0046798B" w:rsidRDefault="00903B5C">
            <w:pPr>
              <w:pStyle w:val="TableParagraph"/>
              <w:spacing w:line="200" w:lineRule="exact"/>
              <w:ind w:left="114"/>
              <w:rPr>
                <w:sz w:val="20"/>
              </w:rPr>
            </w:pPr>
            <w:r>
              <w:rPr>
                <w:sz w:val="20"/>
              </w:rPr>
              <w:t>government</w:t>
            </w:r>
          </w:p>
        </w:tc>
        <w:tc>
          <w:tcPr>
            <w:tcW w:w="1285" w:type="dxa"/>
            <w:vMerge/>
            <w:tcBorders>
              <w:top w:val="nil"/>
            </w:tcBorders>
          </w:tcPr>
          <w:p w14:paraId="0A297085" w14:textId="77777777" w:rsidR="0046798B" w:rsidRDefault="0046798B">
            <w:pPr>
              <w:rPr>
                <w:sz w:val="2"/>
                <w:szCs w:val="2"/>
              </w:rPr>
            </w:pPr>
          </w:p>
        </w:tc>
        <w:tc>
          <w:tcPr>
            <w:tcW w:w="3421" w:type="dxa"/>
            <w:tcBorders>
              <w:top w:val="nil"/>
              <w:bottom w:val="nil"/>
            </w:tcBorders>
          </w:tcPr>
          <w:p w14:paraId="72CE6306" w14:textId="77777777" w:rsidR="0046798B" w:rsidRDefault="0046798B">
            <w:pPr>
              <w:pStyle w:val="TableParagraph"/>
              <w:rPr>
                <w:sz w:val="14"/>
              </w:rPr>
            </w:pPr>
          </w:p>
        </w:tc>
        <w:tc>
          <w:tcPr>
            <w:tcW w:w="6482" w:type="dxa"/>
            <w:tcBorders>
              <w:top w:val="nil"/>
              <w:bottom w:val="nil"/>
            </w:tcBorders>
          </w:tcPr>
          <w:p w14:paraId="72B9CCAC" w14:textId="77777777" w:rsidR="0046798B" w:rsidRDefault="0046798B">
            <w:pPr>
              <w:pStyle w:val="TableParagraph"/>
              <w:rPr>
                <w:sz w:val="14"/>
              </w:rPr>
            </w:pPr>
          </w:p>
        </w:tc>
      </w:tr>
      <w:tr w:rsidR="0046798B" w14:paraId="55859F64" w14:textId="77777777">
        <w:trPr>
          <w:trHeight w:val="262"/>
        </w:trPr>
        <w:tc>
          <w:tcPr>
            <w:tcW w:w="1711" w:type="dxa"/>
            <w:vMerge/>
            <w:tcBorders>
              <w:top w:val="nil"/>
            </w:tcBorders>
          </w:tcPr>
          <w:p w14:paraId="28FC7B47" w14:textId="77777777" w:rsidR="0046798B" w:rsidRDefault="0046798B">
            <w:pPr>
              <w:rPr>
                <w:sz w:val="2"/>
                <w:szCs w:val="2"/>
              </w:rPr>
            </w:pPr>
          </w:p>
        </w:tc>
        <w:tc>
          <w:tcPr>
            <w:tcW w:w="1596" w:type="dxa"/>
            <w:tcBorders>
              <w:top w:val="nil"/>
            </w:tcBorders>
          </w:tcPr>
          <w:p w14:paraId="7912212A" w14:textId="77777777" w:rsidR="0046798B" w:rsidRDefault="00903B5C">
            <w:pPr>
              <w:pStyle w:val="TableParagraph"/>
              <w:spacing w:line="221" w:lineRule="exact"/>
              <w:ind w:left="114"/>
              <w:rPr>
                <w:sz w:val="20"/>
              </w:rPr>
            </w:pPr>
            <w:r>
              <w:rPr>
                <w:sz w:val="20"/>
              </w:rPr>
              <w:t>(alt.)</w:t>
            </w:r>
          </w:p>
        </w:tc>
        <w:tc>
          <w:tcPr>
            <w:tcW w:w="1285" w:type="dxa"/>
            <w:vMerge/>
            <w:tcBorders>
              <w:top w:val="nil"/>
            </w:tcBorders>
          </w:tcPr>
          <w:p w14:paraId="478F484F" w14:textId="77777777" w:rsidR="0046798B" w:rsidRDefault="0046798B">
            <w:pPr>
              <w:rPr>
                <w:sz w:val="2"/>
                <w:szCs w:val="2"/>
              </w:rPr>
            </w:pPr>
          </w:p>
        </w:tc>
        <w:tc>
          <w:tcPr>
            <w:tcW w:w="3421" w:type="dxa"/>
            <w:tcBorders>
              <w:top w:val="nil"/>
            </w:tcBorders>
          </w:tcPr>
          <w:p w14:paraId="5ED5E8DF" w14:textId="77777777" w:rsidR="0046798B" w:rsidRDefault="0046798B">
            <w:pPr>
              <w:pStyle w:val="TableParagraph"/>
              <w:rPr>
                <w:sz w:val="18"/>
              </w:rPr>
            </w:pPr>
          </w:p>
        </w:tc>
        <w:tc>
          <w:tcPr>
            <w:tcW w:w="6482" w:type="dxa"/>
            <w:tcBorders>
              <w:top w:val="nil"/>
            </w:tcBorders>
          </w:tcPr>
          <w:p w14:paraId="4F539B9C" w14:textId="77777777" w:rsidR="0046798B" w:rsidRDefault="0046798B">
            <w:pPr>
              <w:pStyle w:val="TableParagraph"/>
              <w:rPr>
                <w:sz w:val="18"/>
              </w:rPr>
            </w:pPr>
          </w:p>
        </w:tc>
      </w:tr>
      <w:tr w:rsidR="0046798B" w14:paraId="1E8E6687" w14:textId="77777777">
        <w:trPr>
          <w:trHeight w:val="1466"/>
        </w:trPr>
        <w:tc>
          <w:tcPr>
            <w:tcW w:w="1711" w:type="dxa"/>
          </w:tcPr>
          <w:p w14:paraId="02409281" w14:textId="77777777" w:rsidR="0046798B" w:rsidRDefault="0046798B">
            <w:pPr>
              <w:pStyle w:val="TableParagraph"/>
            </w:pPr>
          </w:p>
          <w:p w14:paraId="024103CF" w14:textId="77777777" w:rsidR="0046798B" w:rsidRDefault="0046798B">
            <w:pPr>
              <w:pStyle w:val="TableParagraph"/>
              <w:spacing w:before="9"/>
              <w:rPr>
                <w:sz w:val="21"/>
              </w:rPr>
            </w:pPr>
          </w:p>
          <w:p w14:paraId="133BBE5F" w14:textId="77777777" w:rsidR="0046798B" w:rsidRDefault="00903B5C">
            <w:pPr>
              <w:pStyle w:val="TableParagraph"/>
              <w:ind w:left="115" w:right="132"/>
              <w:rPr>
                <w:b/>
                <w:sz w:val="20"/>
              </w:rPr>
            </w:pPr>
            <w:r>
              <w:rPr>
                <w:b/>
                <w:sz w:val="20"/>
              </w:rPr>
              <w:t>folded_ranney_4 yrs</w:t>
            </w:r>
          </w:p>
        </w:tc>
        <w:tc>
          <w:tcPr>
            <w:tcW w:w="1596" w:type="dxa"/>
          </w:tcPr>
          <w:p w14:paraId="76030664" w14:textId="77777777" w:rsidR="0046798B" w:rsidRDefault="00903B5C">
            <w:pPr>
              <w:pStyle w:val="TableParagraph"/>
              <w:spacing w:before="159"/>
              <w:ind w:left="114" w:right="120"/>
              <w:rPr>
                <w:sz w:val="20"/>
              </w:rPr>
            </w:pPr>
            <w:r>
              <w:rPr>
                <w:sz w:val="20"/>
              </w:rPr>
              <w:t>Ranney measure of electoral competitiveness: 4-yr. moving average</w:t>
            </w:r>
          </w:p>
        </w:tc>
        <w:tc>
          <w:tcPr>
            <w:tcW w:w="1285" w:type="dxa"/>
          </w:tcPr>
          <w:p w14:paraId="6D191245" w14:textId="77777777" w:rsidR="0046798B" w:rsidRDefault="0046798B">
            <w:pPr>
              <w:pStyle w:val="TableParagraph"/>
            </w:pPr>
          </w:p>
          <w:p w14:paraId="75DED713" w14:textId="77777777" w:rsidR="0046798B" w:rsidRDefault="0046798B">
            <w:pPr>
              <w:pStyle w:val="TableParagraph"/>
              <w:spacing w:before="9"/>
              <w:rPr>
                <w:sz w:val="31"/>
              </w:rPr>
            </w:pPr>
          </w:p>
          <w:p w14:paraId="00EDF768" w14:textId="77777777" w:rsidR="0046798B" w:rsidRDefault="00903B5C">
            <w:pPr>
              <w:pStyle w:val="TableParagraph"/>
              <w:ind w:left="114"/>
              <w:rPr>
                <w:sz w:val="20"/>
              </w:rPr>
            </w:pPr>
            <w:r>
              <w:rPr>
                <w:sz w:val="20"/>
              </w:rPr>
              <w:t>1941–2010</w:t>
            </w:r>
          </w:p>
        </w:tc>
        <w:tc>
          <w:tcPr>
            <w:tcW w:w="3421" w:type="dxa"/>
          </w:tcPr>
          <w:p w14:paraId="4438FBDD" w14:textId="77777777" w:rsidR="0046798B" w:rsidRDefault="00903B5C">
            <w:pPr>
              <w:pStyle w:val="TableParagraph"/>
              <w:spacing w:before="159"/>
              <w:ind w:left="114" w:right="282"/>
              <w:rPr>
                <w:sz w:val="20"/>
              </w:rPr>
            </w:pPr>
            <w:r>
              <w:rPr>
                <w:sz w:val="20"/>
              </w:rPr>
              <w:t>Ranney measures of competitiveness. Four-year moving average. Varies between .5 and 1, with higher values representing higher levels of competitiveness.</w:t>
            </w:r>
          </w:p>
        </w:tc>
        <w:tc>
          <w:tcPr>
            <w:tcW w:w="6482" w:type="dxa"/>
          </w:tcPr>
          <w:p w14:paraId="59233822" w14:textId="77777777" w:rsidR="0046798B" w:rsidRDefault="00903B5C">
            <w:pPr>
              <w:pStyle w:val="TableParagraph"/>
              <w:spacing w:before="44"/>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372D5668" w14:textId="77777777" w:rsidR="0046798B" w:rsidRDefault="0046798B">
            <w:pPr>
              <w:pStyle w:val="TableParagraph"/>
              <w:spacing w:before="11"/>
              <w:rPr>
                <w:sz w:val="19"/>
              </w:rPr>
            </w:pPr>
          </w:p>
          <w:p w14:paraId="61589664" w14:textId="77777777" w:rsidR="0046798B" w:rsidRDefault="00903B5C">
            <w:pPr>
              <w:pStyle w:val="TableParagraph"/>
              <w:ind w:left="114" w:right="995"/>
              <w:rPr>
                <w:sz w:val="20"/>
              </w:rPr>
            </w:pPr>
            <w:r>
              <w:rPr>
                <w:sz w:val="20"/>
              </w:rPr>
              <w:t xml:space="preserve">Klarner, Carl, 2013, “Other Scholars’ Competitiveness Measures”, </w:t>
            </w:r>
            <w:hyperlink r:id="rId614">
              <w:r>
                <w:rPr>
                  <w:color w:val="0462C1"/>
                  <w:sz w:val="20"/>
                  <w:u w:val="single" w:color="0462C1"/>
                </w:rPr>
                <w:t>https://doi.org/10.7910/DVN/QSDYLH</w:t>
              </w:r>
              <w:r>
                <w:rPr>
                  <w:sz w:val="20"/>
                </w:rPr>
                <w:t>,</w:t>
              </w:r>
            </w:hyperlink>
            <w:r>
              <w:rPr>
                <w:sz w:val="20"/>
              </w:rPr>
              <w:t xml:space="preserve"> Harvard Dataverse, V1</w:t>
            </w:r>
          </w:p>
        </w:tc>
      </w:tr>
      <w:tr w:rsidR="0046798B" w14:paraId="7A01E487" w14:textId="77777777">
        <w:trPr>
          <w:trHeight w:val="1470"/>
        </w:trPr>
        <w:tc>
          <w:tcPr>
            <w:tcW w:w="1711" w:type="dxa"/>
          </w:tcPr>
          <w:p w14:paraId="5800079B" w14:textId="77777777" w:rsidR="0046798B" w:rsidRDefault="0046798B">
            <w:pPr>
              <w:pStyle w:val="TableParagraph"/>
            </w:pPr>
          </w:p>
          <w:p w14:paraId="1430B8DA" w14:textId="77777777" w:rsidR="0046798B" w:rsidRDefault="0046798B">
            <w:pPr>
              <w:pStyle w:val="TableParagraph"/>
              <w:spacing w:before="8"/>
              <w:rPr>
                <w:sz w:val="21"/>
              </w:rPr>
            </w:pPr>
          </w:p>
          <w:p w14:paraId="2C303A1F" w14:textId="77777777" w:rsidR="0046798B" w:rsidRDefault="00903B5C">
            <w:pPr>
              <w:pStyle w:val="TableParagraph"/>
              <w:spacing w:before="1"/>
              <w:ind w:left="115" w:right="132"/>
              <w:rPr>
                <w:b/>
                <w:sz w:val="20"/>
              </w:rPr>
            </w:pPr>
            <w:r>
              <w:rPr>
                <w:b/>
                <w:sz w:val="20"/>
              </w:rPr>
              <w:t>folded_ranney_6 yrs</w:t>
            </w:r>
          </w:p>
        </w:tc>
        <w:tc>
          <w:tcPr>
            <w:tcW w:w="1596" w:type="dxa"/>
          </w:tcPr>
          <w:p w14:paraId="51327035" w14:textId="77777777" w:rsidR="0046798B" w:rsidRDefault="00903B5C">
            <w:pPr>
              <w:pStyle w:val="TableParagraph"/>
              <w:spacing w:before="158"/>
              <w:ind w:left="114" w:right="120"/>
              <w:rPr>
                <w:sz w:val="20"/>
              </w:rPr>
            </w:pPr>
            <w:r>
              <w:rPr>
                <w:sz w:val="20"/>
              </w:rPr>
              <w:t>Ranney measure of electoral competitiveness: 6-yr. moving average</w:t>
            </w:r>
          </w:p>
        </w:tc>
        <w:tc>
          <w:tcPr>
            <w:tcW w:w="1285" w:type="dxa"/>
          </w:tcPr>
          <w:p w14:paraId="17077CE5" w14:textId="77777777" w:rsidR="0046798B" w:rsidRDefault="0046798B">
            <w:pPr>
              <w:pStyle w:val="TableParagraph"/>
            </w:pPr>
          </w:p>
          <w:p w14:paraId="154F164A" w14:textId="77777777" w:rsidR="0046798B" w:rsidRDefault="0046798B">
            <w:pPr>
              <w:pStyle w:val="TableParagraph"/>
              <w:spacing w:before="8"/>
              <w:rPr>
                <w:sz w:val="31"/>
              </w:rPr>
            </w:pPr>
          </w:p>
          <w:p w14:paraId="1616D819" w14:textId="77777777" w:rsidR="0046798B" w:rsidRDefault="00903B5C">
            <w:pPr>
              <w:pStyle w:val="TableParagraph"/>
              <w:spacing w:before="1"/>
              <w:ind w:left="114"/>
              <w:rPr>
                <w:sz w:val="20"/>
              </w:rPr>
            </w:pPr>
            <w:r>
              <w:rPr>
                <w:sz w:val="20"/>
              </w:rPr>
              <w:t>1943–2010</w:t>
            </w:r>
          </w:p>
        </w:tc>
        <w:tc>
          <w:tcPr>
            <w:tcW w:w="3421" w:type="dxa"/>
          </w:tcPr>
          <w:p w14:paraId="056CE7F0" w14:textId="77777777" w:rsidR="0046798B" w:rsidRDefault="00903B5C">
            <w:pPr>
              <w:pStyle w:val="TableParagraph"/>
              <w:spacing w:before="158"/>
              <w:ind w:left="114" w:right="282"/>
              <w:rPr>
                <w:sz w:val="20"/>
              </w:rPr>
            </w:pPr>
            <w:r>
              <w:rPr>
                <w:sz w:val="20"/>
              </w:rPr>
              <w:t>Ranney measures of competitiveness. Six-year moving average. Varies between .5 and 1, with higher values representing higher levels of competitiveness.</w:t>
            </w:r>
          </w:p>
        </w:tc>
        <w:tc>
          <w:tcPr>
            <w:tcW w:w="6482" w:type="dxa"/>
          </w:tcPr>
          <w:p w14:paraId="3E0AA626" w14:textId="77777777" w:rsidR="0046798B" w:rsidRDefault="00903B5C">
            <w:pPr>
              <w:pStyle w:val="TableParagraph"/>
              <w:spacing w:before="43"/>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3994CFFB" w14:textId="77777777" w:rsidR="0046798B" w:rsidRDefault="0046798B">
            <w:pPr>
              <w:pStyle w:val="TableParagraph"/>
              <w:rPr>
                <w:sz w:val="20"/>
              </w:rPr>
            </w:pPr>
          </w:p>
          <w:p w14:paraId="1CFB914C" w14:textId="77777777" w:rsidR="0046798B" w:rsidRDefault="00903B5C">
            <w:pPr>
              <w:pStyle w:val="TableParagraph"/>
              <w:ind w:left="114" w:right="995"/>
              <w:rPr>
                <w:sz w:val="20"/>
              </w:rPr>
            </w:pPr>
            <w:r>
              <w:rPr>
                <w:sz w:val="20"/>
              </w:rPr>
              <w:t xml:space="preserve">Klarner, Carl, 2013, “Other Scholars’ Competitiveness Measures”, </w:t>
            </w:r>
            <w:hyperlink r:id="rId615">
              <w:r>
                <w:rPr>
                  <w:color w:val="0462C1"/>
                  <w:sz w:val="20"/>
                  <w:u w:val="single" w:color="0462C1"/>
                </w:rPr>
                <w:t>https://doi.org/10.7910/DVN/QSDYLH</w:t>
              </w:r>
              <w:r>
                <w:rPr>
                  <w:sz w:val="20"/>
                </w:rPr>
                <w:t>,</w:t>
              </w:r>
            </w:hyperlink>
            <w:r>
              <w:rPr>
                <w:sz w:val="20"/>
              </w:rPr>
              <w:t xml:space="preserve"> Harvard Dataverse, V1</w:t>
            </w:r>
          </w:p>
        </w:tc>
      </w:tr>
      <w:tr w:rsidR="0046798B" w14:paraId="663BE4FE" w14:textId="77777777">
        <w:trPr>
          <w:trHeight w:val="1465"/>
        </w:trPr>
        <w:tc>
          <w:tcPr>
            <w:tcW w:w="1711" w:type="dxa"/>
          </w:tcPr>
          <w:p w14:paraId="35A8F9AB" w14:textId="77777777" w:rsidR="0046798B" w:rsidRDefault="0046798B">
            <w:pPr>
              <w:pStyle w:val="TableParagraph"/>
            </w:pPr>
          </w:p>
          <w:p w14:paraId="2E7EDAE1" w14:textId="77777777" w:rsidR="0046798B" w:rsidRDefault="0046798B">
            <w:pPr>
              <w:pStyle w:val="TableParagraph"/>
              <w:spacing w:before="3"/>
              <w:rPr>
                <w:sz w:val="21"/>
              </w:rPr>
            </w:pPr>
          </w:p>
          <w:p w14:paraId="539FC7B3" w14:textId="77777777" w:rsidR="0046798B" w:rsidRDefault="00903B5C">
            <w:pPr>
              <w:pStyle w:val="TableParagraph"/>
              <w:spacing w:before="1"/>
              <w:ind w:left="115" w:right="132"/>
              <w:rPr>
                <w:b/>
                <w:sz w:val="20"/>
              </w:rPr>
            </w:pPr>
            <w:r>
              <w:rPr>
                <w:b/>
                <w:sz w:val="20"/>
              </w:rPr>
              <w:t>folded_ranney_8 yrs</w:t>
            </w:r>
          </w:p>
        </w:tc>
        <w:tc>
          <w:tcPr>
            <w:tcW w:w="1596" w:type="dxa"/>
          </w:tcPr>
          <w:p w14:paraId="33BCEF53" w14:textId="77777777" w:rsidR="0046798B" w:rsidRDefault="00903B5C">
            <w:pPr>
              <w:pStyle w:val="TableParagraph"/>
              <w:spacing w:before="153"/>
              <w:ind w:left="114" w:right="120"/>
              <w:rPr>
                <w:sz w:val="20"/>
              </w:rPr>
            </w:pPr>
            <w:r>
              <w:rPr>
                <w:sz w:val="20"/>
              </w:rPr>
              <w:t>Ranney measure of electoral competitiveness: 8-yr. moving average</w:t>
            </w:r>
          </w:p>
        </w:tc>
        <w:tc>
          <w:tcPr>
            <w:tcW w:w="1285" w:type="dxa"/>
          </w:tcPr>
          <w:p w14:paraId="72362010" w14:textId="77777777" w:rsidR="0046798B" w:rsidRDefault="0046798B">
            <w:pPr>
              <w:pStyle w:val="TableParagraph"/>
            </w:pPr>
          </w:p>
          <w:p w14:paraId="2178E8A5" w14:textId="77777777" w:rsidR="0046798B" w:rsidRDefault="0046798B">
            <w:pPr>
              <w:pStyle w:val="TableParagraph"/>
              <w:spacing w:before="3"/>
              <w:rPr>
                <w:sz w:val="31"/>
              </w:rPr>
            </w:pPr>
          </w:p>
          <w:p w14:paraId="3681CBE6" w14:textId="77777777" w:rsidR="0046798B" w:rsidRDefault="00903B5C">
            <w:pPr>
              <w:pStyle w:val="TableParagraph"/>
              <w:spacing w:before="1"/>
              <w:ind w:left="114"/>
              <w:rPr>
                <w:sz w:val="20"/>
              </w:rPr>
            </w:pPr>
            <w:r>
              <w:rPr>
                <w:sz w:val="20"/>
              </w:rPr>
              <w:t>1945–2010</w:t>
            </w:r>
          </w:p>
        </w:tc>
        <w:tc>
          <w:tcPr>
            <w:tcW w:w="3421" w:type="dxa"/>
          </w:tcPr>
          <w:p w14:paraId="2C77F4BF" w14:textId="77777777" w:rsidR="0046798B" w:rsidRDefault="00903B5C">
            <w:pPr>
              <w:pStyle w:val="TableParagraph"/>
              <w:spacing w:before="153"/>
              <w:ind w:left="114" w:right="282"/>
              <w:rPr>
                <w:sz w:val="20"/>
              </w:rPr>
            </w:pPr>
            <w:r>
              <w:rPr>
                <w:sz w:val="20"/>
              </w:rPr>
              <w:t>Ranney measures of competitiveness. Eight-year moving average. Varies between .5 and 1, with higher values representing higher levels of competitiveness.</w:t>
            </w:r>
          </w:p>
        </w:tc>
        <w:tc>
          <w:tcPr>
            <w:tcW w:w="6482" w:type="dxa"/>
          </w:tcPr>
          <w:p w14:paraId="10F51416" w14:textId="77777777" w:rsidR="0046798B" w:rsidRDefault="00903B5C">
            <w:pPr>
              <w:pStyle w:val="TableParagraph"/>
              <w:spacing w:before="38"/>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25105B86" w14:textId="77777777" w:rsidR="0046798B" w:rsidRDefault="0046798B">
            <w:pPr>
              <w:pStyle w:val="TableParagraph"/>
              <w:rPr>
                <w:sz w:val="20"/>
              </w:rPr>
            </w:pPr>
          </w:p>
          <w:p w14:paraId="7F93DAC0" w14:textId="77777777" w:rsidR="0046798B" w:rsidRDefault="00903B5C">
            <w:pPr>
              <w:pStyle w:val="TableParagraph"/>
              <w:spacing w:before="1"/>
              <w:ind w:left="114" w:right="995"/>
              <w:rPr>
                <w:sz w:val="20"/>
              </w:rPr>
            </w:pPr>
            <w:r>
              <w:rPr>
                <w:sz w:val="20"/>
              </w:rPr>
              <w:t xml:space="preserve">Klarner, Carl, 2013, “Other Scholars’ Competitiveness Measures”, </w:t>
            </w:r>
            <w:hyperlink r:id="rId616">
              <w:r>
                <w:rPr>
                  <w:color w:val="0462C1"/>
                  <w:sz w:val="20"/>
                  <w:u w:val="single" w:color="0462C1"/>
                </w:rPr>
                <w:t>https://doi.org/10.7910/DVN/QSDYLH</w:t>
              </w:r>
              <w:r>
                <w:rPr>
                  <w:sz w:val="20"/>
                </w:rPr>
                <w:t>,</w:t>
              </w:r>
            </w:hyperlink>
            <w:r>
              <w:rPr>
                <w:sz w:val="20"/>
              </w:rPr>
              <w:t xml:space="preserve"> Harvard Dataverse, V1</w:t>
            </w:r>
          </w:p>
        </w:tc>
      </w:tr>
      <w:tr w:rsidR="0046798B" w14:paraId="47BA0791" w14:textId="77777777">
        <w:trPr>
          <w:trHeight w:val="1595"/>
        </w:trPr>
        <w:tc>
          <w:tcPr>
            <w:tcW w:w="1711" w:type="dxa"/>
            <w:tcBorders>
              <w:bottom w:val="nil"/>
            </w:tcBorders>
          </w:tcPr>
          <w:p w14:paraId="22CCDE2F" w14:textId="77777777" w:rsidR="0046798B" w:rsidRDefault="0046798B">
            <w:pPr>
              <w:pStyle w:val="TableParagraph"/>
            </w:pPr>
          </w:p>
          <w:p w14:paraId="287478DB" w14:textId="77777777" w:rsidR="0046798B" w:rsidRDefault="0046798B">
            <w:pPr>
              <w:pStyle w:val="TableParagraph"/>
            </w:pPr>
          </w:p>
          <w:p w14:paraId="174D43DA" w14:textId="77777777" w:rsidR="0046798B" w:rsidRDefault="0046798B">
            <w:pPr>
              <w:pStyle w:val="TableParagraph"/>
              <w:spacing w:before="4"/>
              <w:rPr>
                <w:sz w:val="19"/>
              </w:rPr>
            </w:pPr>
          </w:p>
          <w:p w14:paraId="0A30B0F4" w14:textId="77777777" w:rsidR="0046798B" w:rsidRDefault="00903B5C">
            <w:pPr>
              <w:pStyle w:val="TableParagraph"/>
              <w:ind w:left="115" w:right="132"/>
              <w:rPr>
                <w:b/>
                <w:sz w:val="20"/>
              </w:rPr>
            </w:pPr>
            <w:r>
              <w:rPr>
                <w:b/>
                <w:sz w:val="20"/>
              </w:rPr>
              <w:t>folded_ranney_1 0yrs</w:t>
            </w:r>
          </w:p>
        </w:tc>
        <w:tc>
          <w:tcPr>
            <w:tcW w:w="1596" w:type="dxa"/>
            <w:tcBorders>
              <w:bottom w:val="nil"/>
            </w:tcBorders>
          </w:tcPr>
          <w:p w14:paraId="0901414F" w14:textId="77777777" w:rsidR="0046798B" w:rsidRDefault="0046798B">
            <w:pPr>
              <w:pStyle w:val="TableParagraph"/>
            </w:pPr>
          </w:p>
          <w:p w14:paraId="10331DD0" w14:textId="77777777" w:rsidR="0046798B" w:rsidRDefault="00903B5C">
            <w:pPr>
              <w:pStyle w:val="TableParagraph"/>
              <w:spacing w:before="130"/>
              <w:ind w:left="114" w:right="120"/>
              <w:rPr>
                <w:sz w:val="20"/>
              </w:rPr>
            </w:pPr>
            <w:r>
              <w:rPr>
                <w:sz w:val="20"/>
              </w:rPr>
              <w:t>Ranney measure of electoral competitiveness: 10-yr. moving average</w:t>
            </w:r>
          </w:p>
        </w:tc>
        <w:tc>
          <w:tcPr>
            <w:tcW w:w="1285" w:type="dxa"/>
            <w:tcBorders>
              <w:bottom w:val="nil"/>
            </w:tcBorders>
          </w:tcPr>
          <w:p w14:paraId="140B6B30" w14:textId="77777777" w:rsidR="0046798B" w:rsidRDefault="0046798B">
            <w:pPr>
              <w:pStyle w:val="TableParagraph"/>
            </w:pPr>
          </w:p>
          <w:p w14:paraId="151BD3E0" w14:textId="77777777" w:rsidR="0046798B" w:rsidRDefault="0046798B">
            <w:pPr>
              <w:pStyle w:val="TableParagraph"/>
            </w:pPr>
          </w:p>
          <w:p w14:paraId="679BFE22" w14:textId="77777777" w:rsidR="0046798B" w:rsidRDefault="0046798B">
            <w:pPr>
              <w:pStyle w:val="TableParagraph"/>
              <w:spacing w:before="4"/>
              <w:rPr>
                <w:sz w:val="29"/>
              </w:rPr>
            </w:pPr>
          </w:p>
          <w:p w14:paraId="66713C4F" w14:textId="77777777" w:rsidR="0046798B" w:rsidRDefault="00903B5C">
            <w:pPr>
              <w:pStyle w:val="TableParagraph"/>
              <w:ind w:left="114"/>
              <w:rPr>
                <w:sz w:val="20"/>
              </w:rPr>
            </w:pPr>
            <w:r>
              <w:rPr>
                <w:sz w:val="20"/>
              </w:rPr>
              <w:t>1947–2010</w:t>
            </w:r>
          </w:p>
        </w:tc>
        <w:tc>
          <w:tcPr>
            <w:tcW w:w="3421" w:type="dxa"/>
            <w:tcBorders>
              <w:bottom w:val="nil"/>
            </w:tcBorders>
          </w:tcPr>
          <w:p w14:paraId="21239A5D" w14:textId="77777777" w:rsidR="0046798B" w:rsidRDefault="0046798B">
            <w:pPr>
              <w:pStyle w:val="TableParagraph"/>
            </w:pPr>
          </w:p>
          <w:p w14:paraId="6DE59855" w14:textId="77777777" w:rsidR="0046798B" w:rsidRDefault="00903B5C">
            <w:pPr>
              <w:pStyle w:val="TableParagraph"/>
              <w:spacing w:before="130"/>
              <w:ind w:left="114" w:right="282"/>
              <w:rPr>
                <w:sz w:val="20"/>
              </w:rPr>
            </w:pPr>
            <w:r>
              <w:rPr>
                <w:sz w:val="20"/>
              </w:rPr>
              <w:t>Ranney measures of competitiveness. Ten-year moving average. Varies between .5 and 1, with higher values representing higher levels of competitiveness.</w:t>
            </w:r>
          </w:p>
        </w:tc>
        <w:tc>
          <w:tcPr>
            <w:tcW w:w="6482" w:type="dxa"/>
            <w:tcBorders>
              <w:bottom w:val="nil"/>
            </w:tcBorders>
          </w:tcPr>
          <w:p w14:paraId="1C11D7B6" w14:textId="77777777" w:rsidR="0046798B" w:rsidRDefault="00903B5C">
            <w:pPr>
              <w:pStyle w:val="TableParagraph"/>
              <w:spacing w:before="38"/>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738D2B12" w14:textId="77777777" w:rsidR="0046798B" w:rsidRDefault="0046798B">
            <w:pPr>
              <w:pStyle w:val="TableParagraph"/>
              <w:rPr>
                <w:sz w:val="20"/>
              </w:rPr>
            </w:pPr>
          </w:p>
          <w:p w14:paraId="09BA3619" w14:textId="77777777" w:rsidR="0046798B" w:rsidRDefault="00903B5C">
            <w:pPr>
              <w:pStyle w:val="TableParagraph"/>
              <w:ind w:left="114" w:right="995"/>
              <w:rPr>
                <w:sz w:val="20"/>
              </w:rPr>
            </w:pPr>
            <w:r>
              <w:rPr>
                <w:sz w:val="20"/>
              </w:rPr>
              <w:t xml:space="preserve">Klarner, Carl, 2013, “Other Scholars’ Competitiveness Measures”, </w:t>
            </w:r>
            <w:hyperlink r:id="rId617">
              <w:r>
                <w:rPr>
                  <w:color w:val="0462C1"/>
                  <w:sz w:val="20"/>
                  <w:u w:val="single" w:color="0462C1"/>
                </w:rPr>
                <w:t>https://doi.org/10.7910/DVN/QSDYLH</w:t>
              </w:r>
              <w:r>
                <w:rPr>
                  <w:sz w:val="20"/>
                </w:rPr>
                <w:t>,</w:t>
              </w:r>
            </w:hyperlink>
            <w:r>
              <w:rPr>
                <w:sz w:val="20"/>
              </w:rPr>
              <w:t xml:space="preserve"> Harvard Dataverse, V1</w:t>
            </w:r>
          </w:p>
        </w:tc>
      </w:tr>
      <w:tr w:rsidR="0046798B" w14:paraId="3703C3AD" w14:textId="77777777">
        <w:trPr>
          <w:trHeight w:val="330"/>
        </w:trPr>
        <w:tc>
          <w:tcPr>
            <w:tcW w:w="1711" w:type="dxa"/>
            <w:tcBorders>
              <w:top w:val="nil"/>
            </w:tcBorders>
          </w:tcPr>
          <w:p w14:paraId="46C11F24" w14:textId="77777777" w:rsidR="0046798B" w:rsidRDefault="0046798B">
            <w:pPr>
              <w:pStyle w:val="TableParagraph"/>
              <w:rPr>
                <w:sz w:val="20"/>
              </w:rPr>
            </w:pPr>
          </w:p>
        </w:tc>
        <w:tc>
          <w:tcPr>
            <w:tcW w:w="1596" w:type="dxa"/>
            <w:tcBorders>
              <w:top w:val="nil"/>
            </w:tcBorders>
          </w:tcPr>
          <w:p w14:paraId="79D47D45" w14:textId="77777777" w:rsidR="0046798B" w:rsidRDefault="0046798B">
            <w:pPr>
              <w:pStyle w:val="TableParagraph"/>
              <w:rPr>
                <w:sz w:val="20"/>
              </w:rPr>
            </w:pPr>
          </w:p>
        </w:tc>
        <w:tc>
          <w:tcPr>
            <w:tcW w:w="1285" w:type="dxa"/>
            <w:tcBorders>
              <w:top w:val="nil"/>
            </w:tcBorders>
          </w:tcPr>
          <w:p w14:paraId="67D6AE0F" w14:textId="77777777" w:rsidR="0046798B" w:rsidRDefault="0046798B">
            <w:pPr>
              <w:pStyle w:val="TableParagraph"/>
              <w:rPr>
                <w:sz w:val="20"/>
              </w:rPr>
            </w:pPr>
          </w:p>
        </w:tc>
        <w:tc>
          <w:tcPr>
            <w:tcW w:w="3421" w:type="dxa"/>
            <w:tcBorders>
              <w:top w:val="nil"/>
            </w:tcBorders>
          </w:tcPr>
          <w:p w14:paraId="31E0682A" w14:textId="77777777" w:rsidR="0046798B" w:rsidRDefault="0046798B">
            <w:pPr>
              <w:pStyle w:val="TableParagraph"/>
              <w:rPr>
                <w:sz w:val="20"/>
              </w:rPr>
            </w:pPr>
          </w:p>
        </w:tc>
        <w:tc>
          <w:tcPr>
            <w:tcW w:w="6482" w:type="dxa"/>
            <w:tcBorders>
              <w:top w:val="nil"/>
            </w:tcBorders>
          </w:tcPr>
          <w:p w14:paraId="0908F09F" w14:textId="77777777" w:rsidR="0046798B" w:rsidRDefault="00903B5C">
            <w:pPr>
              <w:pStyle w:val="TableParagraph"/>
              <w:spacing w:before="53"/>
              <w:ind w:left="114"/>
              <w:rPr>
                <w:sz w:val="20"/>
              </w:rPr>
            </w:pPr>
            <w:r>
              <w:rPr>
                <w:sz w:val="20"/>
              </w:rPr>
              <w:t>Stata Code: gen folded_ranney_10yrs=1-(abs(ranney_10yrs-.5))</w:t>
            </w:r>
          </w:p>
        </w:tc>
      </w:tr>
      <w:tr w:rsidR="0046798B" w14:paraId="7176A807" w14:textId="77777777">
        <w:trPr>
          <w:trHeight w:val="1465"/>
        </w:trPr>
        <w:tc>
          <w:tcPr>
            <w:tcW w:w="1711" w:type="dxa"/>
          </w:tcPr>
          <w:p w14:paraId="26769B5E" w14:textId="77777777" w:rsidR="0046798B" w:rsidRDefault="0046798B">
            <w:pPr>
              <w:pStyle w:val="TableParagraph"/>
            </w:pPr>
          </w:p>
          <w:p w14:paraId="2F331E9F" w14:textId="77777777" w:rsidR="0046798B" w:rsidRDefault="0046798B">
            <w:pPr>
              <w:pStyle w:val="TableParagraph"/>
              <w:spacing w:before="3"/>
              <w:rPr>
                <w:sz w:val="21"/>
              </w:rPr>
            </w:pPr>
          </w:p>
          <w:p w14:paraId="572A7973" w14:textId="77777777" w:rsidR="0046798B" w:rsidRDefault="00903B5C">
            <w:pPr>
              <w:pStyle w:val="TableParagraph"/>
              <w:spacing w:before="1"/>
              <w:ind w:left="115" w:right="132"/>
              <w:rPr>
                <w:b/>
                <w:sz w:val="20"/>
              </w:rPr>
            </w:pPr>
            <w:r>
              <w:rPr>
                <w:b/>
                <w:sz w:val="20"/>
              </w:rPr>
              <w:t>folded_ranney_a lt_4yrs</w:t>
            </w:r>
          </w:p>
        </w:tc>
        <w:tc>
          <w:tcPr>
            <w:tcW w:w="1596" w:type="dxa"/>
          </w:tcPr>
          <w:p w14:paraId="138219C1" w14:textId="77777777" w:rsidR="0046798B" w:rsidRDefault="00903B5C">
            <w:pPr>
              <w:pStyle w:val="TableParagraph"/>
              <w:spacing w:before="153"/>
              <w:ind w:left="114" w:right="118"/>
              <w:rPr>
                <w:sz w:val="20"/>
              </w:rPr>
            </w:pPr>
            <w:r>
              <w:rPr>
                <w:sz w:val="20"/>
              </w:rPr>
              <w:t>Ranney measure of electoral competitiveness: 4-yr. moving average using</w:t>
            </w:r>
          </w:p>
        </w:tc>
        <w:tc>
          <w:tcPr>
            <w:tcW w:w="1285" w:type="dxa"/>
          </w:tcPr>
          <w:p w14:paraId="0122C6F3" w14:textId="77777777" w:rsidR="0046798B" w:rsidRDefault="0046798B">
            <w:pPr>
              <w:pStyle w:val="TableParagraph"/>
            </w:pPr>
          </w:p>
          <w:p w14:paraId="2E3716D8" w14:textId="77777777" w:rsidR="0046798B" w:rsidRDefault="0046798B">
            <w:pPr>
              <w:pStyle w:val="TableParagraph"/>
              <w:spacing w:before="3"/>
              <w:rPr>
                <w:sz w:val="31"/>
              </w:rPr>
            </w:pPr>
          </w:p>
          <w:p w14:paraId="127429A6" w14:textId="77777777" w:rsidR="0046798B" w:rsidRDefault="00903B5C">
            <w:pPr>
              <w:pStyle w:val="TableParagraph"/>
              <w:spacing w:before="1"/>
              <w:ind w:left="114"/>
              <w:rPr>
                <w:sz w:val="20"/>
              </w:rPr>
            </w:pPr>
            <w:r>
              <w:rPr>
                <w:sz w:val="20"/>
              </w:rPr>
              <w:t>1941–2010</w:t>
            </w:r>
          </w:p>
        </w:tc>
        <w:tc>
          <w:tcPr>
            <w:tcW w:w="3421" w:type="dxa"/>
          </w:tcPr>
          <w:p w14:paraId="0D6E87BB" w14:textId="77777777" w:rsidR="0046798B" w:rsidRDefault="00903B5C">
            <w:pPr>
              <w:pStyle w:val="TableParagraph"/>
              <w:spacing w:before="38"/>
              <w:ind w:left="114" w:right="258"/>
              <w:rPr>
                <w:sz w:val="20"/>
              </w:rPr>
            </w:pPr>
            <w:r>
              <w:rPr>
                <w:sz w:val="20"/>
              </w:rPr>
              <w:t>Ranney measures of competitiveness. Four-year moving average using the alternative state government measure. Varies between .5 and 1, with higher values representing higher levels of competitiveness.</w:t>
            </w:r>
          </w:p>
        </w:tc>
        <w:tc>
          <w:tcPr>
            <w:tcW w:w="6482" w:type="dxa"/>
          </w:tcPr>
          <w:p w14:paraId="6459D887" w14:textId="77777777" w:rsidR="0046798B" w:rsidRDefault="00903B5C">
            <w:pPr>
              <w:pStyle w:val="TableParagraph"/>
              <w:spacing w:before="38"/>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65D48F17" w14:textId="77777777" w:rsidR="0046798B" w:rsidRDefault="0046798B">
            <w:pPr>
              <w:pStyle w:val="TableParagraph"/>
              <w:rPr>
                <w:sz w:val="20"/>
              </w:rPr>
            </w:pPr>
          </w:p>
          <w:p w14:paraId="268257FF" w14:textId="77777777" w:rsidR="0046798B" w:rsidRDefault="00903B5C">
            <w:pPr>
              <w:pStyle w:val="TableParagraph"/>
              <w:ind w:left="114" w:right="995"/>
              <w:rPr>
                <w:sz w:val="20"/>
              </w:rPr>
            </w:pPr>
            <w:r>
              <w:rPr>
                <w:sz w:val="20"/>
              </w:rPr>
              <w:t xml:space="preserve">Klarner, Carl, 2013, “Other Scholars’ Competitiveness Measures”, </w:t>
            </w:r>
            <w:hyperlink r:id="rId618">
              <w:r>
                <w:rPr>
                  <w:color w:val="0462C1"/>
                  <w:sz w:val="20"/>
                  <w:u w:val="single" w:color="0462C1"/>
                </w:rPr>
                <w:t>https://doi.org/10.7910/DVN/QSDYLH</w:t>
              </w:r>
              <w:r>
                <w:rPr>
                  <w:sz w:val="20"/>
                </w:rPr>
                <w:t>,</w:t>
              </w:r>
            </w:hyperlink>
            <w:r>
              <w:rPr>
                <w:sz w:val="20"/>
              </w:rPr>
              <w:t xml:space="preserve"> Harvard Dataverse, V1</w:t>
            </w:r>
          </w:p>
        </w:tc>
      </w:tr>
    </w:tbl>
    <w:p w14:paraId="7018FEF0" w14:textId="77777777" w:rsidR="0046798B" w:rsidRDefault="0046798B">
      <w:pPr>
        <w:rPr>
          <w:sz w:val="20"/>
        </w:rPr>
        <w:sectPr w:rsidR="0046798B">
          <w:pgSz w:w="15840" w:h="12240" w:orient="landscape"/>
          <w:pgMar w:top="1220" w:right="300" w:bottom="980" w:left="820" w:header="730" w:footer="787" w:gutter="0"/>
          <w:cols w:space="720"/>
        </w:sectPr>
      </w:pPr>
    </w:p>
    <w:p w14:paraId="09F93AB2"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3D389DF3" w14:textId="77777777">
        <w:trPr>
          <w:trHeight w:val="542"/>
        </w:trPr>
        <w:tc>
          <w:tcPr>
            <w:tcW w:w="1711" w:type="dxa"/>
            <w:tcBorders>
              <w:bottom w:val="dotted" w:sz="6" w:space="0" w:color="BEBEBE"/>
            </w:tcBorders>
          </w:tcPr>
          <w:p w14:paraId="394D7BBB" w14:textId="77777777" w:rsidR="0046798B" w:rsidRDefault="0046798B">
            <w:pPr>
              <w:pStyle w:val="TableParagraph"/>
              <w:rPr>
                <w:sz w:val="20"/>
              </w:rPr>
            </w:pPr>
          </w:p>
        </w:tc>
        <w:tc>
          <w:tcPr>
            <w:tcW w:w="1596" w:type="dxa"/>
            <w:tcBorders>
              <w:bottom w:val="dotted" w:sz="6" w:space="0" w:color="BEBEBE"/>
            </w:tcBorders>
          </w:tcPr>
          <w:p w14:paraId="6C909032" w14:textId="77777777" w:rsidR="0046798B" w:rsidRDefault="00903B5C">
            <w:pPr>
              <w:pStyle w:val="TableParagraph"/>
              <w:spacing w:before="43"/>
              <w:ind w:left="114" w:right="263"/>
              <w:rPr>
                <w:sz w:val="20"/>
              </w:rPr>
            </w:pPr>
            <w:r>
              <w:rPr>
                <w:sz w:val="20"/>
              </w:rPr>
              <w:t>alt. state gov’t. measure</w:t>
            </w:r>
          </w:p>
        </w:tc>
        <w:tc>
          <w:tcPr>
            <w:tcW w:w="1285" w:type="dxa"/>
            <w:tcBorders>
              <w:bottom w:val="dotted" w:sz="6" w:space="0" w:color="BEBEBE"/>
            </w:tcBorders>
          </w:tcPr>
          <w:p w14:paraId="00F8B126" w14:textId="77777777" w:rsidR="0046798B" w:rsidRDefault="0046798B">
            <w:pPr>
              <w:pStyle w:val="TableParagraph"/>
              <w:rPr>
                <w:sz w:val="20"/>
              </w:rPr>
            </w:pPr>
          </w:p>
        </w:tc>
        <w:tc>
          <w:tcPr>
            <w:tcW w:w="3421" w:type="dxa"/>
            <w:tcBorders>
              <w:bottom w:val="dotted" w:sz="6" w:space="0" w:color="BEBEBE"/>
            </w:tcBorders>
          </w:tcPr>
          <w:p w14:paraId="5FB0B055" w14:textId="77777777" w:rsidR="0046798B" w:rsidRDefault="0046798B">
            <w:pPr>
              <w:pStyle w:val="TableParagraph"/>
              <w:rPr>
                <w:sz w:val="20"/>
              </w:rPr>
            </w:pPr>
          </w:p>
        </w:tc>
        <w:tc>
          <w:tcPr>
            <w:tcW w:w="6482" w:type="dxa"/>
            <w:tcBorders>
              <w:bottom w:val="dotted" w:sz="6" w:space="0" w:color="BEBEBE"/>
            </w:tcBorders>
          </w:tcPr>
          <w:p w14:paraId="18698932" w14:textId="77777777" w:rsidR="0046798B" w:rsidRDefault="0046798B">
            <w:pPr>
              <w:pStyle w:val="TableParagraph"/>
              <w:spacing w:before="9"/>
              <w:rPr>
                <w:sz w:val="23"/>
              </w:rPr>
            </w:pPr>
          </w:p>
          <w:p w14:paraId="23C0F9B7" w14:textId="77777777" w:rsidR="0046798B" w:rsidRDefault="00903B5C">
            <w:pPr>
              <w:pStyle w:val="TableParagraph"/>
              <w:ind w:left="114"/>
              <w:rPr>
                <w:sz w:val="20"/>
              </w:rPr>
            </w:pPr>
            <w:r>
              <w:rPr>
                <w:sz w:val="20"/>
              </w:rPr>
              <w:t>Stata Code: gen folded_ranney_alt_4yrs=1-(abs(ranney_4yrs_alt-.5))</w:t>
            </w:r>
          </w:p>
        </w:tc>
      </w:tr>
      <w:tr w:rsidR="0046798B" w14:paraId="7BD137DE" w14:textId="77777777">
        <w:trPr>
          <w:trHeight w:val="1923"/>
        </w:trPr>
        <w:tc>
          <w:tcPr>
            <w:tcW w:w="1711" w:type="dxa"/>
            <w:tcBorders>
              <w:top w:val="dotted" w:sz="6" w:space="0" w:color="BEBEBE"/>
            </w:tcBorders>
          </w:tcPr>
          <w:p w14:paraId="40103D28" w14:textId="77777777" w:rsidR="0046798B" w:rsidRDefault="0046798B">
            <w:pPr>
              <w:pStyle w:val="TableParagraph"/>
            </w:pPr>
          </w:p>
          <w:p w14:paraId="4A07051E" w14:textId="77777777" w:rsidR="0046798B" w:rsidRDefault="0046798B">
            <w:pPr>
              <w:pStyle w:val="TableParagraph"/>
            </w:pPr>
          </w:p>
          <w:p w14:paraId="0A5C24B9" w14:textId="77777777" w:rsidR="0046798B" w:rsidRDefault="0046798B">
            <w:pPr>
              <w:pStyle w:val="TableParagraph"/>
              <w:spacing w:before="6"/>
              <w:rPr>
                <w:sz w:val="19"/>
              </w:rPr>
            </w:pPr>
          </w:p>
          <w:p w14:paraId="0BF97200" w14:textId="77777777" w:rsidR="0046798B" w:rsidRDefault="00903B5C">
            <w:pPr>
              <w:pStyle w:val="TableParagraph"/>
              <w:ind w:left="115" w:right="132"/>
              <w:rPr>
                <w:b/>
                <w:sz w:val="20"/>
              </w:rPr>
            </w:pPr>
            <w:r>
              <w:rPr>
                <w:b/>
                <w:sz w:val="20"/>
              </w:rPr>
              <w:t>folded_ranney_a lt_6yrs</w:t>
            </w:r>
          </w:p>
        </w:tc>
        <w:tc>
          <w:tcPr>
            <w:tcW w:w="1596" w:type="dxa"/>
            <w:tcBorders>
              <w:top w:val="dotted" w:sz="6" w:space="0" w:color="BEBEBE"/>
            </w:tcBorders>
          </w:tcPr>
          <w:p w14:paraId="7B972497" w14:textId="77777777" w:rsidR="0046798B" w:rsidRDefault="00903B5C">
            <w:pPr>
              <w:pStyle w:val="TableParagraph"/>
              <w:spacing w:before="155"/>
              <w:ind w:left="114" w:right="118"/>
              <w:rPr>
                <w:sz w:val="20"/>
              </w:rPr>
            </w:pPr>
            <w:r>
              <w:rPr>
                <w:sz w:val="20"/>
              </w:rPr>
              <w:t>Ranney measure of electoral competitiveness: 6-yr. moving average using alt. state gov’t. measure</w:t>
            </w:r>
          </w:p>
        </w:tc>
        <w:tc>
          <w:tcPr>
            <w:tcW w:w="1285" w:type="dxa"/>
            <w:tcBorders>
              <w:top w:val="dotted" w:sz="6" w:space="0" w:color="BEBEBE"/>
            </w:tcBorders>
          </w:tcPr>
          <w:p w14:paraId="7063B6B4" w14:textId="77777777" w:rsidR="0046798B" w:rsidRDefault="0046798B">
            <w:pPr>
              <w:pStyle w:val="TableParagraph"/>
            </w:pPr>
          </w:p>
          <w:p w14:paraId="3C650F5A" w14:textId="77777777" w:rsidR="0046798B" w:rsidRDefault="0046798B">
            <w:pPr>
              <w:pStyle w:val="TableParagraph"/>
            </w:pPr>
          </w:p>
          <w:p w14:paraId="0C0AC232" w14:textId="77777777" w:rsidR="0046798B" w:rsidRDefault="0046798B">
            <w:pPr>
              <w:pStyle w:val="TableParagraph"/>
              <w:spacing w:before="6"/>
              <w:rPr>
                <w:sz w:val="29"/>
              </w:rPr>
            </w:pPr>
          </w:p>
          <w:p w14:paraId="13C8AB1E" w14:textId="77777777" w:rsidR="0046798B" w:rsidRDefault="00903B5C">
            <w:pPr>
              <w:pStyle w:val="TableParagraph"/>
              <w:ind w:left="114"/>
              <w:rPr>
                <w:sz w:val="20"/>
              </w:rPr>
            </w:pPr>
            <w:r>
              <w:rPr>
                <w:sz w:val="20"/>
              </w:rPr>
              <w:t>1943–2010</w:t>
            </w:r>
          </w:p>
        </w:tc>
        <w:tc>
          <w:tcPr>
            <w:tcW w:w="3421" w:type="dxa"/>
            <w:tcBorders>
              <w:top w:val="dotted" w:sz="6" w:space="0" w:color="BEBEBE"/>
            </w:tcBorders>
          </w:tcPr>
          <w:p w14:paraId="14596529" w14:textId="77777777" w:rsidR="0046798B" w:rsidRDefault="0046798B">
            <w:pPr>
              <w:pStyle w:val="TableParagraph"/>
              <w:spacing w:before="6"/>
              <w:rPr>
                <w:sz w:val="23"/>
              </w:rPr>
            </w:pPr>
          </w:p>
          <w:p w14:paraId="448A7F68" w14:textId="77777777" w:rsidR="0046798B" w:rsidRDefault="00903B5C">
            <w:pPr>
              <w:pStyle w:val="TableParagraph"/>
              <w:ind w:left="114" w:right="258"/>
              <w:rPr>
                <w:sz w:val="20"/>
              </w:rPr>
            </w:pPr>
            <w:r>
              <w:rPr>
                <w:sz w:val="20"/>
              </w:rPr>
              <w:t>Ranney measures of competitiveness. Six-year moving average using the alternative state government measure. Varies between .5 and 1, with higher values representing higher levels of competitiveness.</w:t>
            </w:r>
          </w:p>
        </w:tc>
        <w:tc>
          <w:tcPr>
            <w:tcW w:w="6482" w:type="dxa"/>
            <w:tcBorders>
              <w:top w:val="dotted" w:sz="6" w:space="0" w:color="BEBEBE"/>
            </w:tcBorders>
          </w:tcPr>
          <w:p w14:paraId="10468463" w14:textId="77777777" w:rsidR="0046798B" w:rsidRDefault="00903B5C">
            <w:pPr>
              <w:pStyle w:val="TableParagraph"/>
              <w:spacing w:before="40"/>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7C518801" w14:textId="77777777" w:rsidR="0046798B" w:rsidRDefault="0046798B">
            <w:pPr>
              <w:pStyle w:val="TableParagraph"/>
              <w:spacing w:before="1"/>
              <w:rPr>
                <w:sz w:val="20"/>
              </w:rPr>
            </w:pPr>
          </w:p>
          <w:p w14:paraId="5EDB777C" w14:textId="77777777" w:rsidR="0046798B" w:rsidRDefault="00903B5C">
            <w:pPr>
              <w:pStyle w:val="TableParagraph"/>
              <w:ind w:left="114" w:right="995"/>
              <w:rPr>
                <w:sz w:val="20"/>
              </w:rPr>
            </w:pPr>
            <w:r>
              <w:rPr>
                <w:sz w:val="20"/>
              </w:rPr>
              <w:t xml:space="preserve">Klarner, Carl, 2013, “Other Scholars’ Competitiveness Measures”, </w:t>
            </w:r>
            <w:hyperlink r:id="rId619">
              <w:r>
                <w:rPr>
                  <w:color w:val="0462C1"/>
                  <w:sz w:val="20"/>
                  <w:u w:val="single" w:color="0462C1"/>
                </w:rPr>
                <w:t>https://doi.org/10.7910/DVN/QSDYLH</w:t>
              </w:r>
              <w:r>
                <w:rPr>
                  <w:sz w:val="20"/>
                </w:rPr>
                <w:t>,</w:t>
              </w:r>
            </w:hyperlink>
            <w:r>
              <w:rPr>
                <w:sz w:val="20"/>
              </w:rPr>
              <w:t xml:space="preserve"> Harvard Dataverse, V1</w:t>
            </w:r>
          </w:p>
          <w:p w14:paraId="2483CA42" w14:textId="77777777" w:rsidR="0046798B" w:rsidRDefault="0046798B">
            <w:pPr>
              <w:pStyle w:val="TableParagraph"/>
              <w:rPr>
                <w:sz w:val="20"/>
              </w:rPr>
            </w:pPr>
          </w:p>
          <w:p w14:paraId="6EF30344" w14:textId="77777777" w:rsidR="0046798B" w:rsidRDefault="00903B5C">
            <w:pPr>
              <w:pStyle w:val="TableParagraph"/>
              <w:ind w:left="114"/>
              <w:rPr>
                <w:sz w:val="20"/>
              </w:rPr>
            </w:pPr>
            <w:r>
              <w:rPr>
                <w:sz w:val="20"/>
              </w:rPr>
              <w:t>Stata Code: gen folded_ranney_alt_6yrs=1-(abs(ranney_6yrs_alt-.5))</w:t>
            </w:r>
          </w:p>
        </w:tc>
      </w:tr>
      <w:tr w:rsidR="0046798B" w14:paraId="6FD6B1BB" w14:textId="77777777">
        <w:trPr>
          <w:trHeight w:val="1930"/>
        </w:trPr>
        <w:tc>
          <w:tcPr>
            <w:tcW w:w="1711" w:type="dxa"/>
          </w:tcPr>
          <w:p w14:paraId="24593CB5" w14:textId="77777777" w:rsidR="0046798B" w:rsidRDefault="0046798B">
            <w:pPr>
              <w:pStyle w:val="TableParagraph"/>
            </w:pPr>
          </w:p>
          <w:p w14:paraId="0E7AA561" w14:textId="77777777" w:rsidR="0046798B" w:rsidRDefault="0046798B">
            <w:pPr>
              <w:pStyle w:val="TableParagraph"/>
            </w:pPr>
          </w:p>
          <w:p w14:paraId="12272181" w14:textId="77777777" w:rsidR="0046798B" w:rsidRDefault="0046798B">
            <w:pPr>
              <w:pStyle w:val="TableParagraph"/>
              <w:spacing w:before="9"/>
              <w:rPr>
                <w:sz w:val="19"/>
              </w:rPr>
            </w:pPr>
          </w:p>
          <w:p w14:paraId="023D0C3D" w14:textId="77777777" w:rsidR="0046798B" w:rsidRDefault="00903B5C">
            <w:pPr>
              <w:pStyle w:val="TableParagraph"/>
              <w:ind w:left="115" w:right="132"/>
              <w:rPr>
                <w:b/>
                <w:sz w:val="20"/>
              </w:rPr>
            </w:pPr>
            <w:r>
              <w:rPr>
                <w:b/>
                <w:sz w:val="20"/>
              </w:rPr>
              <w:t>folded_ranney_a lt_8yrs</w:t>
            </w:r>
          </w:p>
        </w:tc>
        <w:tc>
          <w:tcPr>
            <w:tcW w:w="1596" w:type="dxa"/>
          </w:tcPr>
          <w:p w14:paraId="7B0B2060" w14:textId="77777777" w:rsidR="0046798B" w:rsidRDefault="00903B5C">
            <w:pPr>
              <w:pStyle w:val="TableParagraph"/>
              <w:spacing w:before="158"/>
              <w:ind w:left="114" w:right="118"/>
              <w:rPr>
                <w:sz w:val="20"/>
              </w:rPr>
            </w:pPr>
            <w:r>
              <w:rPr>
                <w:sz w:val="20"/>
              </w:rPr>
              <w:t>Ranney measure of electoral competitiveness: 8-yr. moving average using alt. state gov’t. measure</w:t>
            </w:r>
          </w:p>
        </w:tc>
        <w:tc>
          <w:tcPr>
            <w:tcW w:w="1285" w:type="dxa"/>
          </w:tcPr>
          <w:p w14:paraId="74E6071F" w14:textId="77777777" w:rsidR="0046798B" w:rsidRDefault="0046798B">
            <w:pPr>
              <w:pStyle w:val="TableParagraph"/>
            </w:pPr>
          </w:p>
          <w:p w14:paraId="37AC37F5" w14:textId="77777777" w:rsidR="0046798B" w:rsidRDefault="0046798B">
            <w:pPr>
              <w:pStyle w:val="TableParagraph"/>
            </w:pPr>
          </w:p>
          <w:p w14:paraId="64EB8A0B" w14:textId="77777777" w:rsidR="0046798B" w:rsidRDefault="0046798B">
            <w:pPr>
              <w:pStyle w:val="TableParagraph"/>
              <w:spacing w:before="9"/>
              <w:rPr>
                <w:sz w:val="29"/>
              </w:rPr>
            </w:pPr>
          </w:p>
          <w:p w14:paraId="3B1BB23F" w14:textId="77777777" w:rsidR="0046798B" w:rsidRDefault="00903B5C">
            <w:pPr>
              <w:pStyle w:val="TableParagraph"/>
              <w:ind w:left="114"/>
              <w:rPr>
                <w:sz w:val="20"/>
              </w:rPr>
            </w:pPr>
            <w:r>
              <w:rPr>
                <w:sz w:val="20"/>
              </w:rPr>
              <w:t>1945–2010</w:t>
            </w:r>
          </w:p>
        </w:tc>
        <w:tc>
          <w:tcPr>
            <w:tcW w:w="3421" w:type="dxa"/>
          </w:tcPr>
          <w:p w14:paraId="3091E418" w14:textId="77777777" w:rsidR="0046798B" w:rsidRDefault="0046798B">
            <w:pPr>
              <w:pStyle w:val="TableParagraph"/>
              <w:spacing w:before="9"/>
              <w:rPr>
                <w:sz w:val="23"/>
              </w:rPr>
            </w:pPr>
          </w:p>
          <w:p w14:paraId="67E831F3" w14:textId="77777777" w:rsidR="0046798B" w:rsidRDefault="00903B5C">
            <w:pPr>
              <w:pStyle w:val="TableParagraph"/>
              <w:ind w:left="114" w:right="258"/>
              <w:rPr>
                <w:sz w:val="20"/>
              </w:rPr>
            </w:pPr>
            <w:r>
              <w:rPr>
                <w:sz w:val="20"/>
              </w:rPr>
              <w:t>Ranney measures of competitiveness. Eight-year moving average using the alternative state government measure. Varies between .5 and 1, with higher values representing higher levels of competitiveness.</w:t>
            </w:r>
          </w:p>
        </w:tc>
        <w:tc>
          <w:tcPr>
            <w:tcW w:w="6482" w:type="dxa"/>
          </w:tcPr>
          <w:p w14:paraId="51D1312F" w14:textId="77777777" w:rsidR="0046798B" w:rsidRDefault="00903B5C">
            <w:pPr>
              <w:pStyle w:val="TableParagraph"/>
              <w:spacing w:before="43"/>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6158C638" w14:textId="77777777" w:rsidR="0046798B" w:rsidRDefault="0046798B">
            <w:pPr>
              <w:pStyle w:val="TableParagraph"/>
              <w:rPr>
                <w:sz w:val="20"/>
              </w:rPr>
            </w:pPr>
          </w:p>
          <w:p w14:paraId="25B92CA2" w14:textId="77777777" w:rsidR="0046798B" w:rsidRDefault="00903B5C">
            <w:pPr>
              <w:pStyle w:val="TableParagraph"/>
              <w:ind w:left="114" w:right="995"/>
              <w:rPr>
                <w:sz w:val="20"/>
              </w:rPr>
            </w:pPr>
            <w:r>
              <w:rPr>
                <w:sz w:val="20"/>
              </w:rPr>
              <w:t xml:space="preserve">Klarner, Carl, 2013, “Other Scholars’ Competitiveness Measures”, </w:t>
            </w:r>
            <w:hyperlink r:id="rId620">
              <w:r>
                <w:rPr>
                  <w:color w:val="0462C1"/>
                  <w:sz w:val="20"/>
                  <w:u w:val="single" w:color="0462C1"/>
                </w:rPr>
                <w:t>https://doi.org/10.7910/DVN/QSDYLH</w:t>
              </w:r>
              <w:r>
                <w:rPr>
                  <w:sz w:val="20"/>
                </w:rPr>
                <w:t>,</w:t>
              </w:r>
            </w:hyperlink>
            <w:r>
              <w:rPr>
                <w:sz w:val="20"/>
              </w:rPr>
              <w:t xml:space="preserve"> Harvard Dataverse, V1</w:t>
            </w:r>
          </w:p>
          <w:p w14:paraId="4BF217F8" w14:textId="77777777" w:rsidR="0046798B" w:rsidRDefault="0046798B">
            <w:pPr>
              <w:pStyle w:val="TableParagraph"/>
              <w:spacing w:before="1"/>
              <w:rPr>
                <w:sz w:val="20"/>
              </w:rPr>
            </w:pPr>
          </w:p>
          <w:p w14:paraId="218E6C1F" w14:textId="77777777" w:rsidR="0046798B" w:rsidRDefault="00903B5C">
            <w:pPr>
              <w:pStyle w:val="TableParagraph"/>
              <w:ind w:left="114"/>
              <w:rPr>
                <w:sz w:val="20"/>
              </w:rPr>
            </w:pPr>
            <w:r>
              <w:rPr>
                <w:sz w:val="20"/>
              </w:rPr>
              <w:t>Stata Code: gen folded_ranney_alt_8yrs=1-(abs(ranney_8yrs_alt-.5))</w:t>
            </w:r>
          </w:p>
        </w:tc>
      </w:tr>
      <w:tr w:rsidR="0046798B" w14:paraId="595EABCD" w14:textId="77777777">
        <w:trPr>
          <w:trHeight w:val="1925"/>
        </w:trPr>
        <w:tc>
          <w:tcPr>
            <w:tcW w:w="1711" w:type="dxa"/>
          </w:tcPr>
          <w:p w14:paraId="1A6D5649" w14:textId="77777777" w:rsidR="0046798B" w:rsidRDefault="0046798B">
            <w:pPr>
              <w:pStyle w:val="TableParagraph"/>
            </w:pPr>
          </w:p>
          <w:p w14:paraId="6F93F207" w14:textId="77777777" w:rsidR="0046798B" w:rsidRDefault="0046798B">
            <w:pPr>
              <w:pStyle w:val="TableParagraph"/>
            </w:pPr>
          </w:p>
          <w:p w14:paraId="19B8E9A3" w14:textId="77777777" w:rsidR="0046798B" w:rsidRDefault="0046798B">
            <w:pPr>
              <w:pStyle w:val="TableParagraph"/>
              <w:spacing w:before="4"/>
              <w:rPr>
                <w:sz w:val="19"/>
              </w:rPr>
            </w:pPr>
          </w:p>
          <w:p w14:paraId="65E7C5B0" w14:textId="77777777" w:rsidR="0046798B" w:rsidRDefault="00903B5C">
            <w:pPr>
              <w:pStyle w:val="TableParagraph"/>
              <w:ind w:left="115" w:right="132"/>
              <w:rPr>
                <w:b/>
                <w:sz w:val="20"/>
              </w:rPr>
            </w:pPr>
            <w:r>
              <w:rPr>
                <w:b/>
                <w:sz w:val="20"/>
              </w:rPr>
              <w:t>folded_ranney_a lt_10yrs</w:t>
            </w:r>
          </w:p>
        </w:tc>
        <w:tc>
          <w:tcPr>
            <w:tcW w:w="1596" w:type="dxa"/>
          </w:tcPr>
          <w:p w14:paraId="0797E8FA" w14:textId="77777777" w:rsidR="0046798B" w:rsidRDefault="00903B5C">
            <w:pPr>
              <w:pStyle w:val="TableParagraph"/>
              <w:spacing w:before="153"/>
              <w:ind w:left="114" w:right="118"/>
              <w:rPr>
                <w:sz w:val="20"/>
              </w:rPr>
            </w:pPr>
            <w:r>
              <w:rPr>
                <w:sz w:val="20"/>
              </w:rPr>
              <w:t>Ranney measure of electoral competitiveness: 10-yr. moving average using alt. state gov’t. measure</w:t>
            </w:r>
          </w:p>
        </w:tc>
        <w:tc>
          <w:tcPr>
            <w:tcW w:w="1285" w:type="dxa"/>
          </w:tcPr>
          <w:p w14:paraId="69D171D8" w14:textId="77777777" w:rsidR="0046798B" w:rsidRDefault="0046798B">
            <w:pPr>
              <w:pStyle w:val="TableParagraph"/>
            </w:pPr>
          </w:p>
          <w:p w14:paraId="2309600F" w14:textId="77777777" w:rsidR="0046798B" w:rsidRDefault="0046798B">
            <w:pPr>
              <w:pStyle w:val="TableParagraph"/>
            </w:pPr>
          </w:p>
          <w:p w14:paraId="39B6EB34" w14:textId="77777777" w:rsidR="0046798B" w:rsidRDefault="0046798B">
            <w:pPr>
              <w:pStyle w:val="TableParagraph"/>
              <w:spacing w:before="4"/>
              <w:rPr>
                <w:sz w:val="29"/>
              </w:rPr>
            </w:pPr>
          </w:p>
          <w:p w14:paraId="3969F5DE" w14:textId="77777777" w:rsidR="0046798B" w:rsidRDefault="00903B5C">
            <w:pPr>
              <w:pStyle w:val="TableParagraph"/>
              <w:ind w:left="114"/>
              <w:rPr>
                <w:sz w:val="20"/>
              </w:rPr>
            </w:pPr>
            <w:r>
              <w:rPr>
                <w:sz w:val="20"/>
              </w:rPr>
              <w:t>1947–2010</w:t>
            </w:r>
          </w:p>
        </w:tc>
        <w:tc>
          <w:tcPr>
            <w:tcW w:w="3421" w:type="dxa"/>
          </w:tcPr>
          <w:p w14:paraId="310A2688" w14:textId="77777777" w:rsidR="0046798B" w:rsidRDefault="0046798B">
            <w:pPr>
              <w:pStyle w:val="TableParagraph"/>
              <w:spacing w:before="3"/>
              <w:rPr>
                <w:sz w:val="23"/>
              </w:rPr>
            </w:pPr>
          </w:p>
          <w:p w14:paraId="6D7503EC" w14:textId="77777777" w:rsidR="0046798B" w:rsidRDefault="00903B5C">
            <w:pPr>
              <w:pStyle w:val="TableParagraph"/>
              <w:spacing w:before="1"/>
              <w:ind w:left="114" w:right="258"/>
              <w:rPr>
                <w:sz w:val="20"/>
              </w:rPr>
            </w:pPr>
            <w:r>
              <w:rPr>
                <w:sz w:val="20"/>
              </w:rPr>
              <w:t>Ranney measures of competitiveness. Ten-year moving average using the alternative state government measure. Varies between .5 and 1, with higher values representing higher levels of competitiveness.</w:t>
            </w:r>
          </w:p>
        </w:tc>
        <w:tc>
          <w:tcPr>
            <w:tcW w:w="6482" w:type="dxa"/>
          </w:tcPr>
          <w:p w14:paraId="3D2470BE" w14:textId="77777777" w:rsidR="0046798B" w:rsidRDefault="00903B5C">
            <w:pPr>
              <w:pStyle w:val="TableParagraph"/>
              <w:spacing w:before="38"/>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3A05F42D" w14:textId="77777777" w:rsidR="0046798B" w:rsidRDefault="0046798B">
            <w:pPr>
              <w:pStyle w:val="TableParagraph"/>
              <w:rPr>
                <w:sz w:val="20"/>
              </w:rPr>
            </w:pPr>
          </w:p>
          <w:p w14:paraId="1175434F" w14:textId="77777777" w:rsidR="0046798B" w:rsidRDefault="00903B5C">
            <w:pPr>
              <w:pStyle w:val="TableParagraph"/>
              <w:spacing w:before="1"/>
              <w:ind w:left="114" w:right="995"/>
              <w:rPr>
                <w:sz w:val="20"/>
              </w:rPr>
            </w:pPr>
            <w:r>
              <w:rPr>
                <w:sz w:val="20"/>
              </w:rPr>
              <w:t xml:space="preserve">Klarner, Carl, 2013, “Other Scholars’ Competitiveness Measures”, </w:t>
            </w:r>
            <w:hyperlink r:id="rId621">
              <w:r>
                <w:rPr>
                  <w:color w:val="0462C1"/>
                  <w:sz w:val="20"/>
                  <w:u w:val="single" w:color="0462C1"/>
                </w:rPr>
                <w:t>https://doi.org/10.7910/DVN/QSDYLH</w:t>
              </w:r>
              <w:r>
                <w:rPr>
                  <w:sz w:val="20"/>
                </w:rPr>
                <w:t>,</w:t>
              </w:r>
            </w:hyperlink>
            <w:r>
              <w:rPr>
                <w:sz w:val="20"/>
              </w:rPr>
              <w:t xml:space="preserve"> Harvard Dataverse, V1</w:t>
            </w:r>
          </w:p>
          <w:p w14:paraId="5AA3E2D2" w14:textId="77777777" w:rsidR="0046798B" w:rsidRDefault="0046798B">
            <w:pPr>
              <w:pStyle w:val="TableParagraph"/>
              <w:rPr>
                <w:sz w:val="20"/>
              </w:rPr>
            </w:pPr>
          </w:p>
          <w:p w14:paraId="5C418A2C" w14:textId="77777777" w:rsidR="0046798B" w:rsidRDefault="00903B5C">
            <w:pPr>
              <w:pStyle w:val="TableParagraph"/>
              <w:ind w:left="114"/>
              <w:rPr>
                <w:sz w:val="20"/>
              </w:rPr>
            </w:pPr>
            <w:r>
              <w:rPr>
                <w:sz w:val="20"/>
              </w:rPr>
              <w:t>Stata Code: gen folded_ranney_alt_10yrs=1-(abs(ranney_10yrs_alt-.5))</w:t>
            </w:r>
          </w:p>
        </w:tc>
      </w:tr>
      <w:tr w:rsidR="0046798B" w14:paraId="38D56149" w14:textId="77777777">
        <w:trPr>
          <w:trHeight w:val="2846"/>
        </w:trPr>
        <w:tc>
          <w:tcPr>
            <w:tcW w:w="1711" w:type="dxa"/>
          </w:tcPr>
          <w:p w14:paraId="1FF1ADF1" w14:textId="77777777" w:rsidR="0046798B" w:rsidRDefault="0046798B">
            <w:pPr>
              <w:pStyle w:val="TableParagraph"/>
            </w:pPr>
          </w:p>
          <w:p w14:paraId="15AAC18F" w14:textId="77777777" w:rsidR="0046798B" w:rsidRDefault="0046798B">
            <w:pPr>
              <w:pStyle w:val="TableParagraph"/>
            </w:pPr>
          </w:p>
          <w:p w14:paraId="52D0379B" w14:textId="77777777" w:rsidR="0046798B" w:rsidRDefault="0046798B">
            <w:pPr>
              <w:pStyle w:val="TableParagraph"/>
            </w:pPr>
          </w:p>
          <w:p w14:paraId="18F2190A" w14:textId="77777777" w:rsidR="0046798B" w:rsidRDefault="0046798B">
            <w:pPr>
              <w:pStyle w:val="TableParagraph"/>
            </w:pPr>
          </w:p>
          <w:p w14:paraId="1AB76568" w14:textId="77777777" w:rsidR="0046798B" w:rsidRDefault="00903B5C">
            <w:pPr>
              <w:pStyle w:val="TableParagraph"/>
              <w:spacing w:before="177"/>
              <w:ind w:left="115" w:right="121"/>
              <w:rPr>
                <w:b/>
                <w:sz w:val="20"/>
              </w:rPr>
            </w:pPr>
            <w:r>
              <w:rPr>
                <w:b/>
                <w:sz w:val="20"/>
              </w:rPr>
              <w:t>hvd1_winper_4y r</w:t>
            </w:r>
          </w:p>
        </w:tc>
        <w:tc>
          <w:tcPr>
            <w:tcW w:w="1596" w:type="dxa"/>
          </w:tcPr>
          <w:p w14:paraId="08BA1948" w14:textId="77777777" w:rsidR="0046798B" w:rsidRDefault="0046798B">
            <w:pPr>
              <w:pStyle w:val="TableParagraph"/>
            </w:pPr>
          </w:p>
          <w:p w14:paraId="6668921B" w14:textId="77777777" w:rsidR="0046798B" w:rsidRDefault="0046798B">
            <w:pPr>
              <w:pStyle w:val="TableParagraph"/>
            </w:pPr>
          </w:p>
          <w:p w14:paraId="54BA036E" w14:textId="77777777" w:rsidR="0046798B" w:rsidRDefault="0046798B">
            <w:pPr>
              <w:pStyle w:val="TableParagraph"/>
              <w:spacing w:before="4"/>
              <w:rPr>
                <w:sz w:val="19"/>
              </w:rPr>
            </w:pPr>
          </w:p>
          <w:p w14:paraId="7F2262D5" w14:textId="77777777" w:rsidR="0046798B" w:rsidRDefault="00903B5C">
            <w:pPr>
              <w:pStyle w:val="TableParagraph"/>
              <w:ind w:left="114" w:right="169"/>
              <w:rPr>
                <w:sz w:val="20"/>
              </w:rPr>
            </w:pPr>
            <w:r>
              <w:rPr>
                <w:sz w:val="20"/>
              </w:rPr>
              <w:t>Average pct. winning candidates received in election: 4-yr. moving average</w:t>
            </w:r>
          </w:p>
        </w:tc>
        <w:tc>
          <w:tcPr>
            <w:tcW w:w="1285" w:type="dxa"/>
          </w:tcPr>
          <w:p w14:paraId="65367758" w14:textId="77777777" w:rsidR="0046798B" w:rsidRDefault="0046798B">
            <w:pPr>
              <w:pStyle w:val="TableParagraph"/>
            </w:pPr>
          </w:p>
          <w:p w14:paraId="758D4F72" w14:textId="77777777" w:rsidR="0046798B" w:rsidRDefault="0046798B">
            <w:pPr>
              <w:pStyle w:val="TableParagraph"/>
            </w:pPr>
          </w:p>
          <w:p w14:paraId="492DB882" w14:textId="77777777" w:rsidR="0046798B" w:rsidRDefault="0046798B">
            <w:pPr>
              <w:pStyle w:val="TableParagraph"/>
            </w:pPr>
          </w:p>
          <w:p w14:paraId="7A0C22DF" w14:textId="77777777" w:rsidR="0046798B" w:rsidRDefault="0046798B">
            <w:pPr>
              <w:pStyle w:val="TableParagraph"/>
            </w:pPr>
          </w:p>
          <w:p w14:paraId="3EA2C870" w14:textId="77777777" w:rsidR="0046798B" w:rsidRDefault="0046798B">
            <w:pPr>
              <w:pStyle w:val="TableParagraph"/>
              <w:spacing w:before="4"/>
              <w:rPr>
                <w:sz w:val="25"/>
              </w:rPr>
            </w:pPr>
          </w:p>
          <w:p w14:paraId="05F03B3F" w14:textId="77777777" w:rsidR="0046798B" w:rsidRDefault="00903B5C">
            <w:pPr>
              <w:pStyle w:val="TableParagraph"/>
              <w:spacing w:before="1"/>
              <w:ind w:left="114"/>
              <w:rPr>
                <w:sz w:val="20"/>
              </w:rPr>
            </w:pPr>
            <w:r>
              <w:rPr>
                <w:sz w:val="20"/>
              </w:rPr>
              <w:t>1973–2010</w:t>
            </w:r>
          </w:p>
        </w:tc>
        <w:tc>
          <w:tcPr>
            <w:tcW w:w="3421" w:type="dxa"/>
          </w:tcPr>
          <w:p w14:paraId="6C1D8918" w14:textId="77777777" w:rsidR="0046798B" w:rsidRDefault="0046798B">
            <w:pPr>
              <w:pStyle w:val="TableParagraph"/>
            </w:pPr>
          </w:p>
          <w:p w14:paraId="44215A2D" w14:textId="77777777" w:rsidR="0046798B" w:rsidRDefault="0046798B">
            <w:pPr>
              <w:pStyle w:val="TableParagraph"/>
              <w:spacing w:before="4"/>
              <w:rPr>
                <w:sz w:val="21"/>
              </w:rPr>
            </w:pPr>
          </w:p>
          <w:p w14:paraId="4E8D3EF2" w14:textId="77777777" w:rsidR="0046798B" w:rsidRDefault="00903B5C">
            <w:pPr>
              <w:pStyle w:val="TableParagraph"/>
              <w:ind w:left="114" w:right="227"/>
              <w:rPr>
                <w:sz w:val="20"/>
              </w:rPr>
            </w:pPr>
            <w:r>
              <w:rPr>
                <w:sz w:val="20"/>
              </w:rPr>
              <w:t>Average percent that winning candidates got in this year’s election (of the total vote), and in the elections whose values were put in the three calendar years prior to that. Average weighted by the number of seats up in each election in the chamber-year.</w:t>
            </w:r>
          </w:p>
          <w:p w14:paraId="1BB4B883" w14:textId="77777777" w:rsidR="0046798B" w:rsidRDefault="00903B5C">
            <w:pPr>
              <w:pStyle w:val="TableParagraph"/>
              <w:spacing w:before="1"/>
              <w:ind w:left="114"/>
              <w:rPr>
                <w:sz w:val="20"/>
              </w:rPr>
            </w:pPr>
            <w:r>
              <w:rPr>
                <w:sz w:val="20"/>
              </w:rPr>
              <w:t>Four-year moving average.</w:t>
            </w:r>
          </w:p>
        </w:tc>
        <w:tc>
          <w:tcPr>
            <w:tcW w:w="6482" w:type="dxa"/>
          </w:tcPr>
          <w:p w14:paraId="7F1730F5" w14:textId="77777777" w:rsidR="0046798B" w:rsidRDefault="00903B5C">
            <w:pPr>
              <w:pStyle w:val="TableParagraph"/>
              <w:spacing w:before="38"/>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37BE3020" w14:textId="77777777" w:rsidR="0046798B" w:rsidRDefault="0046798B">
            <w:pPr>
              <w:pStyle w:val="TableParagraph"/>
              <w:rPr>
                <w:sz w:val="20"/>
              </w:rPr>
            </w:pPr>
          </w:p>
          <w:p w14:paraId="1648FEB0" w14:textId="77777777" w:rsidR="0046798B" w:rsidRDefault="00903B5C">
            <w:pPr>
              <w:pStyle w:val="TableParagraph"/>
              <w:ind w:left="114" w:right="995"/>
              <w:rPr>
                <w:sz w:val="20"/>
              </w:rPr>
            </w:pPr>
            <w:r>
              <w:rPr>
                <w:sz w:val="20"/>
              </w:rPr>
              <w:t xml:space="preserve">Klarner, Carl, 2013, “Other Scholars’ Competitiveness Measures”, </w:t>
            </w:r>
            <w:hyperlink r:id="rId622">
              <w:r>
                <w:rPr>
                  <w:color w:val="0462C1"/>
                  <w:sz w:val="20"/>
                  <w:u w:val="single" w:color="0462C1"/>
                </w:rPr>
                <w:t>https://doi.org/10.7910/DVN/QSDYLH</w:t>
              </w:r>
              <w:r>
                <w:rPr>
                  <w:sz w:val="20"/>
                </w:rPr>
                <w:t>,</w:t>
              </w:r>
            </w:hyperlink>
            <w:r>
              <w:rPr>
                <w:sz w:val="20"/>
              </w:rPr>
              <w:t xml:space="preserve"> Harvard Dataverse, V1</w:t>
            </w:r>
          </w:p>
          <w:p w14:paraId="095F6F39" w14:textId="77777777" w:rsidR="0046798B" w:rsidRDefault="0046798B">
            <w:pPr>
              <w:pStyle w:val="TableParagraph"/>
              <w:spacing w:before="1"/>
              <w:rPr>
                <w:sz w:val="20"/>
              </w:rPr>
            </w:pPr>
          </w:p>
          <w:p w14:paraId="2D3A838C" w14:textId="77777777" w:rsidR="0046798B" w:rsidRDefault="00903B5C">
            <w:pPr>
              <w:pStyle w:val="TableParagraph"/>
              <w:ind w:left="114" w:right="129"/>
              <w:rPr>
                <w:sz w:val="20"/>
              </w:rPr>
            </w:pPr>
            <w:r>
              <w:rPr>
                <w:sz w:val="20"/>
              </w:rPr>
              <w:t>Notes: for an even-year, in an even-year election state with all of a chamber’s seats up, this would give one-fourth weight to the current election, one-half weight to the last election, and one-fourth weight to the second to last election. For an odd year in such a state, half weight would be given to the election held last year, and half weight would be given to the election before</w:t>
            </w:r>
          </w:p>
        </w:tc>
      </w:tr>
    </w:tbl>
    <w:p w14:paraId="6D01F5AC" w14:textId="77777777" w:rsidR="0046798B" w:rsidRDefault="0046798B">
      <w:pPr>
        <w:rPr>
          <w:sz w:val="20"/>
        </w:rPr>
        <w:sectPr w:rsidR="0046798B">
          <w:pgSz w:w="15840" w:h="12240" w:orient="landscape"/>
          <w:pgMar w:top="1220" w:right="300" w:bottom="980" w:left="820" w:header="730" w:footer="787" w:gutter="0"/>
          <w:cols w:space="720"/>
        </w:sectPr>
      </w:pPr>
    </w:p>
    <w:p w14:paraId="7F3AC49C"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2E6EF036" w14:textId="77777777">
        <w:trPr>
          <w:trHeight w:val="1696"/>
        </w:trPr>
        <w:tc>
          <w:tcPr>
            <w:tcW w:w="1711" w:type="dxa"/>
          </w:tcPr>
          <w:p w14:paraId="0C95A211" w14:textId="77777777" w:rsidR="0046798B" w:rsidRDefault="0046798B">
            <w:pPr>
              <w:pStyle w:val="TableParagraph"/>
              <w:rPr>
                <w:sz w:val="20"/>
              </w:rPr>
            </w:pPr>
          </w:p>
        </w:tc>
        <w:tc>
          <w:tcPr>
            <w:tcW w:w="1596" w:type="dxa"/>
          </w:tcPr>
          <w:p w14:paraId="6377105C" w14:textId="77777777" w:rsidR="0046798B" w:rsidRDefault="0046798B">
            <w:pPr>
              <w:pStyle w:val="TableParagraph"/>
              <w:rPr>
                <w:sz w:val="20"/>
              </w:rPr>
            </w:pPr>
          </w:p>
        </w:tc>
        <w:tc>
          <w:tcPr>
            <w:tcW w:w="1285" w:type="dxa"/>
          </w:tcPr>
          <w:p w14:paraId="69BB7D60" w14:textId="77777777" w:rsidR="0046798B" w:rsidRDefault="0046798B">
            <w:pPr>
              <w:pStyle w:val="TableParagraph"/>
              <w:rPr>
                <w:sz w:val="20"/>
              </w:rPr>
            </w:pPr>
          </w:p>
        </w:tc>
        <w:tc>
          <w:tcPr>
            <w:tcW w:w="3421" w:type="dxa"/>
          </w:tcPr>
          <w:p w14:paraId="58C5B18D" w14:textId="77777777" w:rsidR="0046798B" w:rsidRDefault="0046798B">
            <w:pPr>
              <w:pStyle w:val="TableParagraph"/>
              <w:rPr>
                <w:sz w:val="20"/>
              </w:rPr>
            </w:pPr>
          </w:p>
        </w:tc>
        <w:tc>
          <w:tcPr>
            <w:tcW w:w="6482" w:type="dxa"/>
          </w:tcPr>
          <w:p w14:paraId="33395AB8" w14:textId="77777777" w:rsidR="0046798B" w:rsidRDefault="00903B5C">
            <w:pPr>
              <w:pStyle w:val="TableParagraph"/>
              <w:spacing w:before="43"/>
              <w:ind w:left="114" w:right="112"/>
              <w:rPr>
                <w:sz w:val="20"/>
              </w:rPr>
            </w:pPr>
            <w:r>
              <w:rPr>
                <w:sz w:val="20"/>
              </w:rPr>
              <w:t>that. WARNING: users can drop the even years in even year states if they don’t like the one-fourth/one-half/one-fourth weighting referred to above. For states with four-year election cycles, like Alabama, users might consider only keeping the values from three years after the calendar year of the election.</w:t>
            </w:r>
          </w:p>
          <w:p w14:paraId="3A5A1F48" w14:textId="77777777" w:rsidR="0046798B" w:rsidRDefault="00903B5C">
            <w:pPr>
              <w:pStyle w:val="TableParagraph"/>
              <w:ind w:left="114" w:right="183"/>
              <w:rPr>
                <w:sz w:val="20"/>
              </w:rPr>
            </w:pPr>
            <w:r>
              <w:rPr>
                <w:sz w:val="20"/>
              </w:rPr>
              <w:t>Candidates in FFA-MMDs have their % multiplied by the number of seats in the FFA-MMD. After computing this quantity for both chambers, those two quantities are averaged.</w:t>
            </w:r>
          </w:p>
        </w:tc>
      </w:tr>
      <w:tr w:rsidR="0046798B" w14:paraId="27078644" w14:textId="77777777">
        <w:trPr>
          <w:trHeight w:val="2615"/>
        </w:trPr>
        <w:tc>
          <w:tcPr>
            <w:tcW w:w="1711" w:type="dxa"/>
          </w:tcPr>
          <w:p w14:paraId="71022666" w14:textId="77777777" w:rsidR="0046798B" w:rsidRDefault="0046798B">
            <w:pPr>
              <w:pStyle w:val="TableParagraph"/>
            </w:pPr>
          </w:p>
          <w:p w14:paraId="7A880EA3" w14:textId="77777777" w:rsidR="0046798B" w:rsidRDefault="0046798B">
            <w:pPr>
              <w:pStyle w:val="TableParagraph"/>
            </w:pPr>
          </w:p>
          <w:p w14:paraId="50A67F85" w14:textId="77777777" w:rsidR="0046798B" w:rsidRDefault="0046798B">
            <w:pPr>
              <w:pStyle w:val="TableParagraph"/>
            </w:pPr>
          </w:p>
          <w:p w14:paraId="1E76F858" w14:textId="77777777" w:rsidR="0046798B" w:rsidRDefault="0046798B">
            <w:pPr>
              <w:pStyle w:val="TableParagraph"/>
              <w:spacing w:before="9"/>
              <w:rPr>
                <w:sz w:val="27"/>
              </w:rPr>
            </w:pPr>
          </w:p>
          <w:p w14:paraId="55221871" w14:textId="77777777" w:rsidR="0046798B" w:rsidRDefault="00903B5C">
            <w:pPr>
              <w:pStyle w:val="TableParagraph"/>
              <w:ind w:left="115"/>
              <w:rPr>
                <w:b/>
                <w:sz w:val="20"/>
              </w:rPr>
            </w:pPr>
            <w:r>
              <w:rPr>
                <w:b/>
                <w:sz w:val="20"/>
              </w:rPr>
              <w:t>hvd2_winmargin</w:t>
            </w:r>
          </w:p>
          <w:p w14:paraId="1810840A" w14:textId="77777777" w:rsidR="0046798B" w:rsidRDefault="00903B5C">
            <w:pPr>
              <w:pStyle w:val="TableParagraph"/>
              <w:ind w:left="115"/>
              <w:rPr>
                <w:b/>
                <w:sz w:val="20"/>
              </w:rPr>
            </w:pPr>
            <w:r>
              <w:rPr>
                <w:b/>
                <w:sz w:val="20"/>
              </w:rPr>
              <w:t>_4yr</w:t>
            </w:r>
          </w:p>
        </w:tc>
        <w:tc>
          <w:tcPr>
            <w:tcW w:w="1596" w:type="dxa"/>
          </w:tcPr>
          <w:p w14:paraId="4CA63711" w14:textId="77777777" w:rsidR="0046798B" w:rsidRDefault="0046798B">
            <w:pPr>
              <w:pStyle w:val="TableParagraph"/>
            </w:pPr>
          </w:p>
          <w:p w14:paraId="1F9B734D" w14:textId="77777777" w:rsidR="0046798B" w:rsidRDefault="0046798B">
            <w:pPr>
              <w:pStyle w:val="TableParagraph"/>
              <w:spacing w:before="8"/>
              <w:rPr>
                <w:sz w:val="31"/>
              </w:rPr>
            </w:pPr>
          </w:p>
          <w:p w14:paraId="29A30892" w14:textId="77777777" w:rsidR="0046798B" w:rsidRDefault="00903B5C">
            <w:pPr>
              <w:pStyle w:val="TableParagraph"/>
              <w:spacing w:before="1"/>
              <w:ind w:left="114" w:right="169"/>
              <w:rPr>
                <w:sz w:val="20"/>
              </w:rPr>
            </w:pPr>
            <w:r>
              <w:rPr>
                <w:sz w:val="20"/>
              </w:rPr>
              <w:t>Average winning margin by which candidates won election: 4-yr. moving average</w:t>
            </w:r>
          </w:p>
        </w:tc>
        <w:tc>
          <w:tcPr>
            <w:tcW w:w="1285" w:type="dxa"/>
          </w:tcPr>
          <w:p w14:paraId="6E8C9A55" w14:textId="77777777" w:rsidR="0046798B" w:rsidRDefault="0046798B">
            <w:pPr>
              <w:pStyle w:val="TableParagraph"/>
            </w:pPr>
          </w:p>
          <w:p w14:paraId="2309B228" w14:textId="77777777" w:rsidR="0046798B" w:rsidRDefault="0046798B">
            <w:pPr>
              <w:pStyle w:val="TableParagraph"/>
            </w:pPr>
          </w:p>
          <w:p w14:paraId="46046500" w14:textId="77777777" w:rsidR="0046798B" w:rsidRDefault="0046798B">
            <w:pPr>
              <w:pStyle w:val="TableParagraph"/>
            </w:pPr>
          </w:p>
          <w:p w14:paraId="31A37AE1" w14:textId="77777777" w:rsidR="0046798B" w:rsidRDefault="0046798B">
            <w:pPr>
              <w:pStyle w:val="TableParagraph"/>
            </w:pPr>
          </w:p>
          <w:p w14:paraId="67ADE752" w14:textId="77777777" w:rsidR="0046798B" w:rsidRDefault="00903B5C">
            <w:pPr>
              <w:pStyle w:val="TableParagraph"/>
              <w:spacing w:before="181"/>
              <w:ind w:left="114"/>
              <w:rPr>
                <w:sz w:val="20"/>
              </w:rPr>
            </w:pPr>
            <w:r>
              <w:rPr>
                <w:sz w:val="20"/>
              </w:rPr>
              <w:t>1973–2010</w:t>
            </w:r>
          </w:p>
        </w:tc>
        <w:tc>
          <w:tcPr>
            <w:tcW w:w="3421" w:type="dxa"/>
          </w:tcPr>
          <w:p w14:paraId="15902FF9" w14:textId="77777777" w:rsidR="0046798B" w:rsidRDefault="0046798B">
            <w:pPr>
              <w:pStyle w:val="TableParagraph"/>
            </w:pPr>
          </w:p>
          <w:p w14:paraId="578D2E9C" w14:textId="77777777" w:rsidR="0046798B" w:rsidRDefault="00903B5C">
            <w:pPr>
              <w:pStyle w:val="TableParagraph"/>
              <w:spacing w:before="135"/>
              <w:ind w:left="114" w:right="127"/>
              <w:rPr>
                <w:sz w:val="20"/>
              </w:rPr>
            </w:pPr>
            <w:r>
              <w:rPr>
                <w:sz w:val="20"/>
              </w:rPr>
              <w:t>Average percent margin (of the total vote) by which winning candidates win (in this election or the elections that were put into the last three calendar years). Average weighted by the number of seats up in each election in the chamber-year. Four-year moving average.</w:t>
            </w:r>
          </w:p>
        </w:tc>
        <w:tc>
          <w:tcPr>
            <w:tcW w:w="6482" w:type="dxa"/>
          </w:tcPr>
          <w:p w14:paraId="5E41F7A1" w14:textId="77777777" w:rsidR="0046798B" w:rsidRDefault="00903B5C">
            <w:pPr>
              <w:pStyle w:val="TableParagraph"/>
              <w:spacing w:before="43"/>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23C5B6FA" w14:textId="77777777" w:rsidR="0046798B" w:rsidRDefault="0046798B">
            <w:pPr>
              <w:pStyle w:val="TableParagraph"/>
              <w:rPr>
                <w:sz w:val="20"/>
              </w:rPr>
            </w:pPr>
          </w:p>
          <w:p w14:paraId="73096657" w14:textId="77777777" w:rsidR="0046798B" w:rsidRDefault="00903B5C">
            <w:pPr>
              <w:pStyle w:val="TableParagraph"/>
              <w:ind w:left="114" w:right="995"/>
              <w:rPr>
                <w:sz w:val="20"/>
              </w:rPr>
            </w:pPr>
            <w:r>
              <w:rPr>
                <w:sz w:val="20"/>
              </w:rPr>
              <w:t xml:space="preserve">Klarner, Carl, 2013, “Other Scholars’ Competitiveness Measures”, </w:t>
            </w:r>
            <w:hyperlink r:id="rId623">
              <w:r>
                <w:rPr>
                  <w:color w:val="0462C1"/>
                  <w:sz w:val="20"/>
                  <w:u w:val="single" w:color="0462C1"/>
                </w:rPr>
                <w:t>https://doi.org/10.7910/DVN/QSDYLH</w:t>
              </w:r>
              <w:r>
                <w:rPr>
                  <w:sz w:val="20"/>
                </w:rPr>
                <w:t>,</w:t>
              </w:r>
            </w:hyperlink>
            <w:r>
              <w:rPr>
                <w:sz w:val="20"/>
              </w:rPr>
              <w:t xml:space="preserve"> Harvard Dataverse, V1</w:t>
            </w:r>
          </w:p>
          <w:p w14:paraId="4AA8096C" w14:textId="77777777" w:rsidR="0046798B" w:rsidRDefault="0046798B">
            <w:pPr>
              <w:pStyle w:val="TableParagraph"/>
              <w:rPr>
                <w:sz w:val="20"/>
              </w:rPr>
            </w:pPr>
          </w:p>
          <w:p w14:paraId="2B7E4AC7" w14:textId="77777777" w:rsidR="0046798B" w:rsidRDefault="00903B5C">
            <w:pPr>
              <w:pStyle w:val="TableParagraph"/>
              <w:spacing w:before="1"/>
              <w:ind w:left="114" w:right="244"/>
              <w:rPr>
                <w:sz w:val="20"/>
              </w:rPr>
            </w:pPr>
            <w:r>
              <w:rPr>
                <w:sz w:val="20"/>
              </w:rPr>
              <w:t>Notes: For FFA-MMDs, this is compared to the loser with the largest % of the vote. In FFA-MMDs, this margin is multiplied by the number of seats in the FFA-MMD. After computing this quantity for both chambers, those two quantities are averaged.</w:t>
            </w:r>
          </w:p>
        </w:tc>
      </w:tr>
      <w:tr w:rsidR="0046798B" w14:paraId="535123FE" w14:textId="77777777">
        <w:trPr>
          <w:trHeight w:val="2846"/>
        </w:trPr>
        <w:tc>
          <w:tcPr>
            <w:tcW w:w="1711" w:type="dxa"/>
          </w:tcPr>
          <w:p w14:paraId="66B6AD9A" w14:textId="77777777" w:rsidR="0046798B" w:rsidRDefault="0046798B">
            <w:pPr>
              <w:pStyle w:val="TableParagraph"/>
            </w:pPr>
          </w:p>
          <w:p w14:paraId="092ED10E" w14:textId="77777777" w:rsidR="0046798B" w:rsidRDefault="0046798B">
            <w:pPr>
              <w:pStyle w:val="TableParagraph"/>
            </w:pPr>
          </w:p>
          <w:p w14:paraId="6416ACF9" w14:textId="77777777" w:rsidR="0046798B" w:rsidRDefault="0046798B">
            <w:pPr>
              <w:pStyle w:val="TableParagraph"/>
            </w:pPr>
          </w:p>
          <w:p w14:paraId="54F6B0B6" w14:textId="77777777" w:rsidR="0046798B" w:rsidRDefault="0046798B">
            <w:pPr>
              <w:pStyle w:val="TableParagraph"/>
            </w:pPr>
          </w:p>
          <w:p w14:paraId="16E6114F" w14:textId="77777777" w:rsidR="0046798B" w:rsidRDefault="00903B5C">
            <w:pPr>
              <w:pStyle w:val="TableParagraph"/>
              <w:spacing w:before="182"/>
              <w:ind w:left="115" w:right="121"/>
              <w:rPr>
                <w:b/>
                <w:sz w:val="20"/>
              </w:rPr>
            </w:pPr>
            <w:r>
              <w:rPr>
                <w:b/>
                <w:sz w:val="20"/>
              </w:rPr>
              <w:t>hvd3_uncont_4y r</w:t>
            </w:r>
          </w:p>
        </w:tc>
        <w:tc>
          <w:tcPr>
            <w:tcW w:w="1596" w:type="dxa"/>
          </w:tcPr>
          <w:p w14:paraId="1332B95A" w14:textId="77777777" w:rsidR="0046798B" w:rsidRDefault="0046798B">
            <w:pPr>
              <w:pStyle w:val="TableParagraph"/>
            </w:pPr>
          </w:p>
          <w:p w14:paraId="1BFD6746" w14:textId="77777777" w:rsidR="0046798B" w:rsidRDefault="0046798B">
            <w:pPr>
              <w:pStyle w:val="TableParagraph"/>
            </w:pPr>
          </w:p>
          <w:p w14:paraId="636F9709" w14:textId="77777777" w:rsidR="0046798B" w:rsidRDefault="0046798B">
            <w:pPr>
              <w:pStyle w:val="TableParagraph"/>
              <w:spacing w:before="9"/>
              <w:rPr>
                <w:sz w:val="29"/>
              </w:rPr>
            </w:pPr>
          </w:p>
          <w:p w14:paraId="4B020D5C" w14:textId="77777777" w:rsidR="0046798B" w:rsidRDefault="00903B5C">
            <w:pPr>
              <w:pStyle w:val="TableParagraph"/>
              <w:ind w:left="114" w:right="169"/>
              <w:rPr>
                <w:sz w:val="20"/>
              </w:rPr>
            </w:pPr>
            <w:r>
              <w:rPr>
                <w:sz w:val="20"/>
              </w:rPr>
              <w:t>Percent uncontested seats in an election: 4-yr. moving average</w:t>
            </w:r>
          </w:p>
        </w:tc>
        <w:tc>
          <w:tcPr>
            <w:tcW w:w="1285" w:type="dxa"/>
          </w:tcPr>
          <w:p w14:paraId="28C75B24" w14:textId="77777777" w:rsidR="0046798B" w:rsidRDefault="0046798B">
            <w:pPr>
              <w:pStyle w:val="TableParagraph"/>
            </w:pPr>
          </w:p>
          <w:p w14:paraId="030029F5" w14:textId="77777777" w:rsidR="0046798B" w:rsidRDefault="0046798B">
            <w:pPr>
              <w:pStyle w:val="TableParagraph"/>
            </w:pPr>
          </w:p>
          <w:p w14:paraId="3856401F" w14:textId="77777777" w:rsidR="0046798B" w:rsidRDefault="0046798B">
            <w:pPr>
              <w:pStyle w:val="TableParagraph"/>
            </w:pPr>
          </w:p>
          <w:p w14:paraId="5FE6ADDE" w14:textId="77777777" w:rsidR="0046798B" w:rsidRDefault="0046798B">
            <w:pPr>
              <w:pStyle w:val="TableParagraph"/>
            </w:pPr>
          </w:p>
          <w:p w14:paraId="2FA90EDE" w14:textId="77777777" w:rsidR="0046798B" w:rsidRDefault="0046798B">
            <w:pPr>
              <w:pStyle w:val="TableParagraph"/>
              <w:spacing w:before="9"/>
              <w:rPr>
                <w:sz w:val="25"/>
              </w:rPr>
            </w:pPr>
          </w:p>
          <w:p w14:paraId="03AC1FBD" w14:textId="77777777" w:rsidR="0046798B" w:rsidRDefault="00903B5C">
            <w:pPr>
              <w:pStyle w:val="TableParagraph"/>
              <w:ind w:left="114"/>
              <w:rPr>
                <w:sz w:val="20"/>
              </w:rPr>
            </w:pPr>
            <w:r>
              <w:rPr>
                <w:sz w:val="20"/>
              </w:rPr>
              <w:t>1973–2010</w:t>
            </w:r>
          </w:p>
        </w:tc>
        <w:tc>
          <w:tcPr>
            <w:tcW w:w="3421" w:type="dxa"/>
          </w:tcPr>
          <w:p w14:paraId="7D4A34E7" w14:textId="77777777" w:rsidR="0046798B" w:rsidRDefault="0046798B">
            <w:pPr>
              <w:pStyle w:val="TableParagraph"/>
            </w:pPr>
          </w:p>
          <w:p w14:paraId="22DC784F" w14:textId="77777777" w:rsidR="0046798B" w:rsidRDefault="0046798B">
            <w:pPr>
              <w:pStyle w:val="TableParagraph"/>
            </w:pPr>
          </w:p>
          <w:p w14:paraId="7F0021DF" w14:textId="77777777" w:rsidR="0046798B" w:rsidRDefault="0046798B">
            <w:pPr>
              <w:pStyle w:val="TableParagraph"/>
            </w:pPr>
          </w:p>
          <w:p w14:paraId="43206A89" w14:textId="77777777" w:rsidR="0046798B" w:rsidRDefault="0046798B">
            <w:pPr>
              <w:pStyle w:val="TableParagraph"/>
              <w:spacing w:before="9"/>
              <w:rPr>
                <w:sz w:val="17"/>
              </w:rPr>
            </w:pPr>
          </w:p>
          <w:p w14:paraId="4DA3F3CB" w14:textId="77777777" w:rsidR="0046798B" w:rsidRDefault="00903B5C">
            <w:pPr>
              <w:pStyle w:val="TableParagraph"/>
              <w:ind w:left="114" w:right="118"/>
              <w:rPr>
                <w:sz w:val="20"/>
              </w:rPr>
            </w:pPr>
            <w:r>
              <w:rPr>
                <w:sz w:val="20"/>
              </w:rPr>
              <w:t>Percent of seats that are uncontested (in this election or the elections that were put into the last three calendar years). Four-year moving average.</w:t>
            </w:r>
          </w:p>
        </w:tc>
        <w:tc>
          <w:tcPr>
            <w:tcW w:w="6482" w:type="dxa"/>
          </w:tcPr>
          <w:p w14:paraId="25CC8D69" w14:textId="77777777" w:rsidR="0046798B" w:rsidRDefault="00903B5C">
            <w:pPr>
              <w:pStyle w:val="TableParagraph"/>
              <w:spacing w:before="43"/>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3359C6BE" w14:textId="77777777" w:rsidR="0046798B" w:rsidRDefault="0046798B">
            <w:pPr>
              <w:pStyle w:val="TableParagraph"/>
              <w:rPr>
                <w:sz w:val="20"/>
              </w:rPr>
            </w:pPr>
          </w:p>
          <w:p w14:paraId="162A3973" w14:textId="77777777" w:rsidR="0046798B" w:rsidRDefault="00903B5C">
            <w:pPr>
              <w:pStyle w:val="TableParagraph"/>
              <w:spacing w:before="1"/>
              <w:ind w:left="114" w:right="995"/>
              <w:rPr>
                <w:sz w:val="20"/>
              </w:rPr>
            </w:pPr>
            <w:r>
              <w:rPr>
                <w:sz w:val="20"/>
              </w:rPr>
              <w:t xml:space="preserve">Klarner, Carl, 2013, “Other Scholars’ Competitiveness Measures”, </w:t>
            </w:r>
            <w:hyperlink r:id="rId624">
              <w:r>
                <w:rPr>
                  <w:color w:val="0462C1"/>
                  <w:sz w:val="20"/>
                  <w:u w:val="single" w:color="0462C1"/>
                </w:rPr>
                <w:t>https://doi.org/10.7910/DVN/QSDYLH</w:t>
              </w:r>
              <w:r>
                <w:rPr>
                  <w:sz w:val="20"/>
                </w:rPr>
                <w:t>,</w:t>
              </w:r>
            </w:hyperlink>
            <w:r>
              <w:rPr>
                <w:sz w:val="20"/>
              </w:rPr>
              <w:t xml:space="preserve"> Harvard Dataverse, V1</w:t>
            </w:r>
          </w:p>
          <w:p w14:paraId="6CEA9CC2" w14:textId="77777777" w:rsidR="0046798B" w:rsidRDefault="0046798B">
            <w:pPr>
              <w:pStyle w:val="TableParagraph"/>
              <w:rPr>
                <w:sz w:val="20"/>
              </w:rPr>
            </w:pPr>
          </w:p>
          <w:p w14:paraId="7F8CB037" w14:textId="77777777" w:rsidR="0046798B" w:rsidRDefault="00903B5C">
            <w:pPr>
              <w:pStyle w:val="TableParagraph"/>
              <w:ind w:left="114" w:right="119"/>
              <w:rPr>
                <w:sz w:val="20"/>
              </w:rPr>
            </w:pPr>
            <w:r>
              <w:rPr>
                <w:sz w:val="20"/>
              </w:rPr>
              <w:t>Notes: This takes under-contested seats in FFA-MMDs into account. For example, a three seat FFA-MMD with two Democrats and three Republicans would contribute “3” to the denominator, and “1” to the numerator of this variable. After computing this quantity for both chambers, those two quantities are averaged.</w:t>
            </w:r>
          </w:p>
        </w:tc>
      </w:tr>
      <w:tr w:rsidR="0046798B" w14:paraId="224974BE" w14:textId="77777777">
        <w:trPr>
          <w:trHeight w:val="1700"/>
        </w:trPr>
        <w:tc>
          <w:tcPr>
            <w:tcW w:w="1711" w:type="dxa"/>
          </w:tcPr>
          <w:p w14:paraId="6ADEA468" w14:textId="77777777" w:rsidR="0046798B" w:rsidRDefault="0046798B">
            <w:pPr>
              <w:pStyle w:val="TableParagraph"/>
            </w:pPr>
          </w:p>
          <w:p w14:paraId="7A562183" w14:textId="77777777" w:rsidR="0046798B" w:rsidRDefault="0046798B">
            <w:pPr>
              <w:pStyle w:val="TableParagraph"/>
              <w:spacing w:before="9"/>
              <w:rPr>
                <w:sz w:val="31"/>
              </w:rPr>
            </w:pPr>
          </w:p>
          <w:p w14:paraId="5550A8FB" w14:textId="77777777" w:rsidR="0046798B" w:rsidRDefault="00903B5C">
            <w:pPr>
              <w:pStyle w:val="TableParagraph"/>
              <w:ind w:left="115" w:right="177"/>
              <w:rPr>
                <w:b/>
                <w:sz w:val="20"/>
              </w:rPr>
            </w:pPr>
            <w:r>
              <w:rPr>
                <w:b/>
                <w:sz w:val="20"/>
              </w:rPr>
              <w:t>hvd4_safeseat_4 yr</w:t>
            </w:r>
          </w:p>
        </w:tc>
        <w:tc>
          <w:tcPr>
            <w:tcW w:w="1596" w:type="dxa"/>
          </w:tcPr>
          <w:p w14:paraId="126F91E8" w14:textId="77777777" w:rsidR="0046798B" w:rsidRDefault="0046798B">
            <w:pPr>
              <w:pStyle w:val="TableParagraph"/>
            </w:pPr>
          </w:p>
          <w:p w14:paraId="5D3D3A43" w14:textId="77777777" w:rsidR="0046798B" w:rsidRDefault="0046798B">
            <w:pPr>
              <w:pStyle w:val="TableParagraph"/>
              <w:spacing w:before="9"/>
              <w:rPr>
                <w:sz w:val="21"/>
              </w:rPr>
            </w:pPr>
          </w:p>
          <w:p w14:paraId="10F0F309" w14:textId="77777777" w:rsidR="0046798B" w:rsidRDefault="00903B5C">
            <w:pPr>
              <w:pStyle w:val="TableParagraph"/>
              <w:ind w:left="114" w:right="169"/>
              <w:rPr>
                <w:sz w:val="20"/>
              </w:rPr>
            </w:pPr>
            <w:r>
              <w:rPr>
                <w:sz w:val="20"/>
              </w:rPr>
              <w:t>Pct. of “safe” seats: 4-yr. moving average</w:t>
            </w:r>
          </w:p>
        </w:tc>
        <w:tc>
          <w:tcPr>
            <w:tcW w:w="1285" w:type="dxa"/>
          </w:tcPr>
          <w:p w14:paraId="06A859D1" w14:textId="77777777" w:rsidR="0046798B" w:rsidRDefault="0046798B">
            <w:pPr>
              <w:pStyle w:val="TableParagraph"/>
            </w:pPr>
          </w:p>
          <w:p w14:paraId="038A6D96" w14:textId="77777777" w:rsidR="0046798B" w:rsidRDefault="0046798B">
            <w:pPr>
              <w:pStyle w:val="TableParagraph"/>
            </w:pPr>
          </w:p>
          <w:p w14:paraId="709AD1FB" w14:textId="77777777" w:rsidR="0046798B" w:rsidRDefault="0046798B">
            <w:pPr>
              <w:pStyle w:val="TableParagraph"/>
              <w:spacing w:before="9"/>
              <w:rPr>
                <w:sz w:val="19"/>
              </w:rPr>
            </w:pPr>
          </w:p>
          <w:p w14:paraId="7E7676C0" w14:textId="77777777" w:rsidR="0046798B" w:rsidRDefault="00903B5C">
            <w:pPr>
              <w:pStyle w:val="TableParagraph"/>
              <w:ind w:left="114"/>
              <w:rPr>
                <w:sz w:val="20"/>
              </w:rPr>
            </w:pPr>
            <w:r>
              <w:rPr>
                <w:sz w:val="20"/>
              </w:rPr>
              <w:t>1973–2010</w:t>
            </w:r>
          </w:p>
        </w:tc>
        <w:tc>
          <w:tcPr>
            <w:tcW w:w="3421" w:type="dxa"/>
          </w:tcPr>
          <w:p w14:paraId="21B6AB99" w14:textId="77777777" w:rsidR="0046798B" w:rsidRDefault="00903B5C">
            <w:pPr>
              <w:pStyle w:val="TableParagraph"/>
              <w:spacing w:before="158"/>
              <w:ind w:left="114" w:right="183"/>
              <w:rPr>
                <w:sz w:val="20"/>
              </w:rPr>
            </w:pPr>
            <w:r>
              <w:rPr>
                <w:sz w:val="20"/>
              </w:rPr>
              <w:t>Percent of seats that are “safe” (in this election or the elections that were put into the last three calendar years). “Safe” is considered a winning margin of 10% or more. Four-year moving average.</w:t>
            </w:r>
          </w:p>
        </w:tc>
        <w:tc>
          <w:tcPr>
            <w:tcW w:w="6482" w:type="dxa"/>
          </w:tcPr>
          <w:p w14:paraId="77E1CC31" w14:textId="77777777" w:rsidR="0046798B" w:rsidRDefault="00903B5C">
            <w:pPr>
              <w:pStyle w:val="TableParagraph"/>
              <w:spacing w:before="43"/>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2C637C2C" w14:textId="77777777" w:rsidR="0046798B" w:rsidRDefault="0046798B">
            <w:pPr>
              <w:pStyle w:val="TableParagraph"/>
              <w:rPr>
                <w:sz w:val="20"/>
              </w:rPr>
            </w:pPr>
          </w:p>
          <w:p w14:paraId="7F9F6DEF" w14:textId="77777777" w:rsidR="0046798B" w:rsidRDefault="00903B5C">
            <w:pPr>
              <w:pStyle w:val="TableParagraph"/>
              <w:ind w:left="114" w:right="995"/>
              <w:rPr>
                <w:sz w:val="20"/>
              </w:rPr>
            </w:pPr>
            <w:r>
              <w:rPr>
                <w:sz w:val="20"/>
              </w:rPr>
              <w:t xml:space="preserve">Klarner, Carl, 2013, “Other Scholars’ Competitiveness Measures”, </w:t>
            </w:r>
            <w:hyperlink r:id="rId625">
              <w:r>
                <w:rPr>
                  <w:color w:val="0462C1"/>
                  <w:sz w:val="20"/>
                  <w:u w:val="single" w:color="0462C1"/>
                </w:rPr>
                <w:t>https://doi.org/10.7910/DVN/QSDYLH</w:t>
              </w:r>
              <w:r>
                <w:rPr>
                  <w:sz w:val="20"/>
                </w:rPr>
                <w:t>,</w:t>
              </w:r>
            </w:hyperlink>
            <w:r>
              <w:rPr>
                <w:sz w:val="20"/>
              </w:rPr>
              <w:t xml:space="preserve"> Harvard Dataverse, V1</w:t>
            </w:r>
          </w:p>
        </w:tc>
      </w:tr>
    </w:tbl>
    <w:p w14:paraId="77106DDE" w14:textId="77777777" w:rsidR="0046798B" w:rsidRDefault="0046798B">
      <w:pPr>
        <w:rPr>
          <w:sz w:val="20"/>
        </w:rPr>
        <w:sectPr w:rsidR="0046798B">
          <w:pgSz w:w="15840" w:h="12240" w:orient="landscape"/>
          <w:pgMar w:top="1220" w:right="300" w:bottom="980" w:left="820" w:header="730" w:footer="787" w:gutter="0"/>
          <w:cols w:space="720"/>
        </w:sectPr>
      </w:pPr>
    </w:p>
    <w:p w14:paraId="4C53DD7A"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67EB9793" w14:textId="77777777">
        <w:trPr>
          <w:trHeight w:val="1005"/>
        </w:trPr>
        <w:tc>
          <w:tcPr>
            <w:tcW w:w="1711" w:type="dxa"/>
          </w:tcPr>
          <w:p w14:paraId="486466AA" w14:textId="77777777" w:rsidR="0046798B" w:rsidRDefault="0046798B">
            <w:pPr>
              <w:pStyle w:val="TableParagraph"/>
              <w:rPr>
                <w:sz w:val="20"/>
              </w:rPr>
            </w:pPr>
          </w:p>
        </w:tc>
        <w:tc>
          <w:tcPr>
            <w:tcW w:w="1596" w:type="dxa"/>
          </w:tcPr>
          <w:p w14:paraId="4EC35D53" w14:textId="77777777" w:rsidR="0046798B" w:rsidRDefault="0046798B">
            <w:pPr>
              <w:pStyle w:val="TableParagraph"/>
              <w:rPr>
                <w:sz w:val="20"/>
              </w:rPr>
            </w:pPr>
          </w:p>
        </w:tc>
        <w:tc>
          <w:tcPr>
            <w:tcW w:w="1285" w:type="dxa"/>
          </w:tcPr>
          <w:p w14:paraId="37E023A0" w14:textId="77777777" w:rsidR="0046798B" w:rsidRDefault="0046798B">
            <w:pPr>
              <w:pStyle w:val="TableParagraph"/>
              <w:rPr>
                <w:sz w:val="20"/>
              </w:rPr>
            </w:pPr>
          </w:p>
        </w:tc>
        <w:tc>
          <w:tcPr>
            <w:tcW w:w="3421" w:type="dxa"/>
          </w:tcPr>
          <w:p w14:paraId="2CC38F3D" w14:textId="77777777" w:rsidR="0046798B" w:rsidRDefault="0046798B">
            <w:pPr>
              <w:pStyle w:val="TableParagraph"/>
              <w:rPr>
                <w:sz w:val="20"/>
              </w:rPr>
            </w:pPr>
          </w:p>
        </w:tc>
        <w:tc>
          <w:tcPr>
            <w:tcW w:w="6482" w:type="dxa"/>
          </w:tcPr>
          <w:p w14:paraId="655AD007" w14:textId="77777777" w:rsidR="0046798B" w:rsidRDefault="00903B5C">
            <w:pPr>
              <w:pStyle w:val="TableParagraph"/>
              <w:spacing w:before="43"/>
              <w:ind w:left="114" w:right="306"/>
              <w:rPr>
                <w:sz w:val="20"/>
              </w:rPr>
            </w:pPr>
            <w:r>
              <w:rPr>
                <w:sz w:val="20"/>
              </w:rPr>
              <w:t>Notes: For FFA-MMDs, a winner is considered “safe” when their margin times the number of seats is greater than 10%. For FFA-MMDs, margin is computed as above. After computing this quantity for both chambers, those two quantities are averaged.</w:t>
            </w:r>
          </w:p>
        </w:tc>
      </w:tr>
      <w:tr w:rsidR="0046798B" w14:paraId="418E246A" w14:textId="77777777">
        <w:trPr>
          <w:trHeight w:val="2846"/>
        </w:trPr>
        <w:tc>
          <w:tcPr>
            <w:tcW w:w="1711" w:type="dxa"/>
          </w:tcPr>
          <w:p w14:paraId="5422C5FB" w14:textId="77777777" w:rsidR="0046798B" w:rsidRDefault="0046798B">
            <w:pPr>
              <w:pStyle w:val="TableParagraph"/>
            </w:pPr>
          </w:p>
          <w:p w14:paraId="55121762" w14:textId="77777777" w:rsidR="0046798B" w:rsidRDefault="0046798B">
            <w:pPr>
              <w:pStyle w:val="TableParagraph"/>
            </w:pPr>
          </w:p>
          <w:p w14:paraId="3217E557" w14:textId="77777777" w:rsidR="0046798B" w:rsidRDefault="0046798B">
            <w:pPr>
              <w:pStyle w:val="TableParagraph"/>
            </w:pPr>
          </w:p>
          <w:p w14:paraId="59C6132B" w14:textId="77777777" w:rsidR="0046798B" w:rsidRDefault="0046798B">
            <w:pPr>
              <w:pStyle w:val="TableParagraph"/>
            </w:pPr>
          </w:p>
          <w:p w14:paraId="1EDA4D49" w14:textId="77777777" w:rsidR="0046798B" w:rsidRDefault="00903B5C">
            <w:pPr>
              <w:pStyle w:val="TableParagraph"/>
              <w:spacing w:before="182"/>
              <w:ind w:left="115" w:right="87"/>
              <w:rPr>
                <w:b/>
                <w:sz w:val="20"/>
              </w:rPr>
            </w:pPr>
            <w:r>
              <w:rPr>
                <w:b/>
                <w:sz w:val="20"/>
              </w:rPr>
              <w:t>unusable_seats_4 yr_per</w:t>
            </w:r>
          </w:p>
        </w:tc>
        <w:tc>
          <w:tcPr>
            <w:tcW w:w="1596" w:type="dxa"/>
          </w:tcPr>
          <w:p w14:paraId="37D3BC3E" w14:textId="77777777" w:rsidR="0046798B" w:rsidRDefault="0046798B">
            <w:pPr>
              <w:pStyle w:val="TableParagraph"/>
            </w:pPr>
          </w:p>
          <w:p w14:paraId="50E95E61" w14:textId="77777777" w:rsidR="0046798B" w:rsidRDefault="0046798B">
            <w:pPr>
              <w:pStyle w:val="TableParagraph"/>
            </w:pPr>
          </w:p>
          <w:p w14:paraId="23D6907F" w14:textId="77777777" w:rsidR="0046798B" w:rsidRDefault="0046798B">
            <w:pPr>
              <w:pStyle w:val="TableParagraph"/>
              <w:spacing w:before="9"/>
              <w:rPr>
                <w:sz w:val="29"/>
              </w:rPr>
            </w:pPr>
          </w:p>
          <w:p w14:paraId="79722922" w14:textId="77777777" w:rsidR="0046798B" w:rsidRDefault="00903B5C">
            <w:pPr>
              <w:pStyle w:val="TableParagraph"/>
              <w:ind w:left="114" w:right="203"/>
              <w:rPr>
                <w:sz w:val="20"/>
              </w:rPr>
            </w:pPr>
            <w:r>
              <w:rPr>
                <w:sz w:val="20"/>
              </w:rPr>
              <w:t>Pct. of seats unusable for other measures: 4-yr. moving average</w:t>
            </w:r>
          </w:p>
        </w:tc>
        <w:tc>
          <w:tcPr>
            <w:tcW w:w="1285" w:type="dxa"/>
          </w:tcPr>
          <w:p w14:paraId="2BA0E4C1" w14:textId="77777777" w:rsidR="0046798B" w:rsidRDefault="0046798B">
            <w:pPr>
              <w:pStyle w:val="TableParagraph"/>
            </w:pPr>
          </w:p>
          <w:p w14:paraId="56748D10" w14:textId="77777777" w:rsidR="0046798B" w:rsidRDefault="0046798B">
            <w:pPr>
              <w:pStyle w:val="TableParagraph"/>
            </w:pPr>
          </w:p>
          <w:p w14:paraId="50548D8E" w14:textId="77777777" w:rsidR="0046798B" w:rsidRDefault="0046798B">
            <w:pPr>
              <w:pStyle w:val="TableParagraph"/>
            </w:pPr>
          </w:p>
          <w:p w14:paraId="56C76C42" w14:textId="77777777" w:rsidR="0046798B" w:rsidRDefault="0046798B">
            <w:pPr>
              <w:pStyle w:val="TableParagraph"/>
            </w:pPr>
          </w:p>
          <w:p w14:paraId="3B90FA7E" w14:textId="77777777" w:rsidR="0046798B" w:rsidRDefault="0046798B">
            <w:pPr>
              <w:pStyle w:val="TableParagraph"/>
              <w:spacing w:before="9"/>
              <w:rPr>
                <w:sz w:val="25"/>
              </w:rPr>
            </w:pPr>
          </w:p>
          <w:p w14:paraId="43E6776F" w14:textId="77777777" w:rsidR="0046798B" w:rsidRDefault="00903B5C">
            <w:pPr>
              <w:pStyle w:val="TableParagraph"/>
              <w:ind w:left="114"/>
              <w:rPr>
                <w:sz w:val="20"/>
              </w:rPr>
            </w:pPr>
            <w:r>
              <w:rPr>
                <w:sz w:val="20"/>
              </w:rPr>
              <w:t>1973–2010</w:t>
            </w:r>
          </w:p>
        </w:tc>
        <w:tc>
          <w:tcPr>
            <w:tcW w:w="3421" w:type="dxa"/>
          </w:tcPr>
          <w:p w14:paraId="7B80B7FC" w14:textId="77777777" w:rsidR="0046798B" w:rsidRDefault="00903B5C">
            <w:pPr>
              <w:pStyle w:val="TableParagraph"/>
              <w:spacing w:before="43"/>
              <w:ind w:left="114" w:right="105"/>
              <w:rPr>
                <w:sz w:val="20"/>
              </w:rPr>
            </w:pPr>
            <w:r>
              <w:rPr>
                <w:sz w:val="20"/>
              </w:rPr>
              <w:t>Percent of seats in this year and the three years prior to that are “unuseable” for the Holbrook and Van Dunk measure. Four-year moving average. “Not useable” includes such things as missing vote returns (but not in uncontested elections in states that don’t put such elections on the ballot), missing party codes, or elections that only report the winner and information about the existence of other candidates is</w:t>
            </w:r>
            <w:r>
              <w:rPr>
                <w:spacing w:val="1"/>
                <w:sz w:val="20"/>
              </w:rPr>
              <w:t xml:space="preserve"> </w:t>
            </w:r>
            <w:r>
              <w:rPr>
                <w:sz w:val="20"/>
              </w:rPr>
              <w:t>unknown.</w:t>
            </w:r>
          </w:p>
        </w:tc>
        <w:tc>
          <w:tcPr>
            <w:tcW w:w="6482" w:type="dxa"/>
          </w:tcPr>
          <w:p w14:paraId="141F3683" w14:textId="77777777" w:rsidR="0046798B" w:rsidRDefault="00903B5C">
            <w:pPr>
              <w:pStyle w:val="TableParagraph"/>
              <w:spacing w:before="43"/>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0C7AEBBA" w14:textId="77777777" w:rsidR="0046798B" w:rsidRDefault="0046798B">
            <w:pPr>
              <w:pStyle w:val="TableParagraph"/>
              <w:rPr>
                <w:sz w:val="20"/>
              </w:rPr>
            </w:pPr>
          </w:p>
          <w:p w14:paraId="62B1F185" w14:textId="77777777" w:rsidR="0046798B" w:rsidRDefault="00903B5C">
            <w:pPr>
              <w:pStyle w:val="TableParagraph"/>
              <w:spacing w:before="1"/>
              <w:ind w:left="114" w:right="995"/>
              <w:rPr>
                <w:sz w:val="20"/>
              </w:rPr>
            </w:pPr>
            <w:r>
              <w:rPr>
                <w:sz w:val="20"/>
              </w:rPr>
              <w:t xml:space="preserve">Klarner, Carl, 2013, “Other Scholars’ Competitiveness Measures”, </w:t>
            </w:r>
            <w:hyperlink r:id="rId626">
              <w:r>
                <w:rPr>
                  <w:color w:val="0462C1"/>
                  <w:sz w:val="20"/>
                  <w:u w:val="single" w:color="0462C1"/>
                </w:rPr>
                <w:t>https://doi.org/10.7910/DVN/QSDYLH</w:t>
              </w:r>
              <w:r>
                <w:rPr>
                  <w:sz w:val="20"/>
                </w:rPr>
                <w:t>,</w:t>
              </w:r>
            </w:hyperlink>
            <w:r>
              <w:rPr>
                <w:sz w:val="20"/>
              </w:rPr>
              <w:t xml:space="preserve"> Harvard Dataverse, V1</w:t>
            </w:r>
          </w:p>
          <w:p w14:paraId="5F8B68EF" w14:textId="77777777" w:rsidR="0046798B" w:rsidRDefault="0046798B">
            <w:pPr>
              <w:pStyle w:val="TableParagraph"/>
              <w:rPr>
                <w:sz w:val="20"/>
              </w:rPr>
            </w:pPr>
          </w:p>
          <w:p w14:paraId="02458F11" w14:textId="77777777" w:rsidR="0046798B" w:rsidRDefault="00903B5C">
            <w:pPr>
              <w:pStyle w:val="TableParagraph"/>
              <w:ind w:left="114" w:right="223"/>
              <w:rPr>
                <w:sz w:val="20"/>
              </w:rPr>
            </w:pPr>
            <w:r>
              <w:rPr>
                <w:sz w:val="20"/>
              </w:rPr>
              <w:t>Notes: Descriptive statistics for variable: 89.0% of state-years have 0% unusable seats, 98.7% have 5% or less unusable seats, 99.2% of state-years have 10% or less unusable seats, eight state-years have between 10 and 20% unusable seats, and eight more state-years have more than 20% unusable seats. The worst state-year has 49.8% of its seats with missing information.</w:t>
            </w:r>
          </w:p>
        </w:tc>
      </w:tr>
      <w:tr w:rsidR="0046798B" w14:paraId="6D4C5421" w14:textId="77777777">
        <w:trPr>
          <w:trHeight w:val="4456"/>
        </w:trPr>
        <w:tc>
          <w:tcPr>
            <w:tcW w:w="1711" w:type="dxa"/>
          </w:tcPr>
          <w:p w14:paraId="0517DAEB" w14:textId="77777777" w:rsidR="0046798B" w:rsidRDefault="0046798B">
            <w:pPr>
              <w:pStyle w:val="TableParagraph"/>
            </w:pPr>
          </w:p>
          <w:p w14:paraId="7F361CC5" w14:textId="77777777" w:rsidR="0046798B" w:rsidRDefault="0046798B">
            <w:pPr>
              <w:pStyle w:val="TableParagraph"/>
            </w:pPr>
          </w:p>
          <w:p w14:paraId="59FAA2A2" w14:textId="77777777" w:rsidR="0046798B" w:rsidRDefault="0046798B">
            <w:pPr>
              <w:pStyle w:val="TableParagraph"/>
            </w:pPr>
          </w:p>
          <w:p w14:paraId="7F3DFE6F" w14:textId="77777777" w:rsidR="0046798B" w:rsidRDefault="0046798B">
            <w:pPr>
              <w:pStyle w:val="TableParagraph"/>
            </w:pPr>
          </w:p>
          <w:p w14:paraId="0856E383" w14:textId="77777777" w:rsidR="0046798B" w:rsidRDefault="0046798B">
            <w:pPr>
              <w:pStyle w:val="TableParagraph"/>
            </w:pPr>
          </w:p>
          <w:p w14:paraId="0862BD62" w14:textId="77777777" w:rsidR="0046798B" w:rsidRDefault="0046798B">
            <w:pPr>
              <w:pStyle w:val="TableParagraph"/>
            </w:pPr>
          </w:p>
          <w:p w14:paraId="4F081332" w14:textId="77777777" w:rsidR="0046798B" w:rsidRDefault="0046798B">
            <w:pPr>
              <w:pStyle w:val="TableParagraph"/>
            </w:pPr>
          </w:p>
          <w:p w14:paraId="03D540A8" w14:textId="77777777" w:rsidR="0046798B" w:rsidRDefault="0046798B">
            <w:pPr>
              <w:pStyle w:val="TableParagraph"/>
              <w:spacing w:before="9"/>
              <w:rPr>
                <w:sz w:val="19"/>
              </w:rPr>
            </w:pPr>
          </w:p>
          <w:p w14:paraId="271E1831" w14:textId="77777777" w:rsidR="0046798B" w:rsidRDefault="00903B5C">
            <w:pPr>
              <w:pStyle w:val="TableParagraph"/>
              <w:spacing w:before="1"/>
              <w:ind w:left="115" w:right="121"/>
              <w:rPr>
                <w:b/>
                <w:sz w:val="20"/>
              </w:rPr>
            </w:pPr>
            <w:r>
              <w:rPr>
                <w:b/>
                <w:sz w:val="20"/>
              </w:rPr>
              <w:t>hvd1_winper_6y r</w:t>
            </w:r>
          </w:p>
        </w:tc>
        <w:tc>
          <w:tcPr>
            <w:tcW w:w="1596" w:type="dxa"/>
          </w:tcPr>
          <w:p w14:paraId="4892DB41" w14:textId="77777777" w:rsidR="0046798B" w:rsidRDefault="0046798B">
            <w:pPr>
              <w:pStyle w:val="TableParagraph"/>
            </w:pPr>
          </w:p>
          <w:p w14:paraId="44F22315" w14:textId="77777777" w:rsidR="0046798B" w:rsidRDefault="0046798B">
            <w:pPr>
              <w:pStyle w:val="TableParagraph"/>
            </w:pPr>
          </w:p>
          <w:p w14:paraId="1838A7A3" w14:textId="77777777" w:rsidR="0046798B" w:rsidRDefault="0046798B">
            <w:pPr>
              <w:pStyle w:val="TableParagraph"/>
            </w:pPr>
          </w:p>
          <w:p w14:paraId="5083C4DF" w14:textId="77777777" w:rsidR="0046798B" w:rsidRDefault="0046798B">
            <w:pPr>
              <w:pStyle w:val="TableParagraph"/>
            </w:pPr>
          </w:p>
          <w:p w14:paraId="6A2482BD" w14:textId="77777777" w:rsidR="0046798B" w:rsidRDefault="0046798B">
            <w:pPr>
              <w:pStyle w:val="TableParagraph"/>
            </w:pPr>
          </w:p>
          <w:p w14:paraId="15B883CD" w14:textId="77777777" w:rsidR="0046798B" w:rsidRDefault="0046798B">
            <w:pPr>
              <w:pStyle w:val="TableParagraph"/>
              <w:spacing w:before="9"/>
              <w:rPr>
                <w:sz w:val="23"/>
              </w:rPr>
            </w:pPr>
          </w:p>
          <w:p w14:paraId="62A4FB9B" w14:textId="77777777" w:rsidR="0046798B" w:rsidRDefault="00903B5C">
            <w:pPr>
              <w:pStyle w:val="TableParagraph"/>
              <w:spacing w:before="1"/>
              <w:ind w:left="114" w:right="169"/>
              <w:rPr>
                <w:sz w:val="20"/>
              </w:rPr>
            </w:pPr>
            <w:r>
              <w:rPr>
                <w:sz w:val="20"/>
              </w:rPr>
              <w:t>Average pct. winning candidates received in election: 6-yr. moving average</w:t>
            </w:r>
          </w:p>
        </w:tc>
        <w:tc>
          <w:tcPr>
            <w:tcW w:w="1285" w:type="dxa"/>
          </w:tcPr>
          <w:p w14:paraId="6E55429F" w14:textId="77777777" w:rsidR="0046798B" w:rsidRDefault="0046798B">
            <w:pPr>
              <w:pStyle w:val="TableParagraph"/>
            </w:pPr>
          </w:p>
          <w:p w14:paraId="57E9BB61" w14:textId="77777777" w:rsidR="0046798B" w:rsidRDefault="0046798B">
            <w:pPr>
              <w:pStyle w:val="TableParagraph"/>
            </w:pPr>
          </w:p>
          <w:p w14:paraId="3CC66E8D" w14:textId="77777777" w:rsidR="0046798B" w:rsidRDefault="0046798B">
            <w:pPr>
              <w:pStyle w:val="TableParagraph"/>
            </w:pPr>
          </w:p>
          <w:p w14:paraId="238BE9CC" w14:textId="77777777" w:rsidR="0046798B" w:rsidRDefault="0046798B">
            <w:pPr>
              <w:pStyle w:val="TableParagraph"/>
            </w:pPr>
          </w:p>
          <w:p w14:paraId="4994F107" w14:textId="77777777" w:rsidR="0046798B" w:rsidRDefault="0046798B">
            <w:pPr>
              <w:pStyle w:val="TableParagraph"/>
            </w:pPr>
          </w:p>
          <w:p w14:paraId="71EF830A" w14:textId="77777777" w:rsidR="0046798B" w:rsidRDefault="0046798B">
            <w:pPr>
              <w:pStyle w:val="TableParagraph"/>
            </w:pPr>
          </w:p>
          <w:p w14:paraId="0C830D3F" w14:textId="77777777" w:rsidR="0046798B" w:rsidRDefault="0046798B">
            <w:pPr>
              <w:pStyle w:val="TableParagraph"/>
            </w:pPr>
          </w:p>
          <w:p w14:paraId="1A9FF20C" w14:textId="77777777" w:rsidR="0046798B" w:rsidRDefault="0046798B">
            <w:pPr>
              <w:pStyle w:val="TableParagraph"/>
              <w:spacing w:before="9"/>
              <w:rPr>
                <w:sz w:val="29"/>
              </w:rPr>
            </w:pPr>
          </w:p>
          <w:p w14:paraId="051566C4" w14:textId="77777777" w:rsidR="0046798B" w:rsidRDefault="00903B5C">
            <w:pPr>
              <w:pStyle w:val="TableParagraph"/>
              <w:spacing w:before="1"/>
              <w:ind w:left="114"/>
              <w:rPr>
                <w:sz w:val="20"/>
              </w:rPr>
            </w:pPr>
            <w:r>
              <w:rPr>
                <w:sz w:val="20"/>
              </w:rPr>
              <w:t>1975–2010</w:t>
            </w:r>
          </w:p>
        </w:tc>
        <w:tc>
          <w:tcPr>
            <w:tcW w:w="3421" w:type="dxa"/>
          </w:tcPr>
          <w:p w14:paraId="21142DB8" w14:textId="77777777" w:rsidR="0046798B" w:rsidRDefault="0046798B">
            <w:pPr>
              <w:pStyle w:val="TableParagraph"/>
            </w:pPr>
          </w:p>
          <w:p w14:paraId="1E2AAE62" w14:textId="77777777" w:rsidR="0046798B" w:rsidRDefault="0046798B">
            <w:pPr>
              <w:pStyle w:val="TableParagraph"/>
            </w:pPr>
          </w:p>
          <w:p w14:paraId="6670A477" w14:textId="77777777" w:rsidR="0046798B" w:rsidRDefault="0046798B">
            <w:pPr>
              <w:pStyle w:val="TableParagraph"/>
            </w:pPr>
          </w:p>
          <w:p w14:paraId="0A625249" w14:textId="77777777" w:rsidR="0046798B" w:rsidRDefault="0046798B">
            <w:pPr>
              <w:pStyle w:val="TableParagraph"/>
            </w:pPr>
          </w:p>
          <w:p w14:paraId="78FB60F4" w14:textId="77777777" w:rsidR="0046798B" w:rsidRDefault="0046798B">
            <w:pPr>
              <w:pStyle w:val="TableParagraph"/>
              <w:spacing w:before="9"/>
              <w:rPr>
                <w:sz w:val="25"/>
              </w:rPr>
            </w:pPr>
          </w:p>
          <w:p w14:paraId="5EC377CF" w14:textId="77777777" w:rsidR="0046798B" w:rsidRDefault="00903B5C">
            <w:pPr>
              <w:pStyle w:val="TableParagraph"/>
              <w:spacing w:before="1"/>
              <w:ind w:left="114" w:right="148"/>
              <w:rPr>
                <w:sz w:val="20"/>
              </w:rPr>
            </w:pPr>
            <w:r>
              <w:rPr>
                <w:sz w:val="20"/>
              </w:rPr>
              <w:t>Average percent that winning candidates got in this year’s election (of the total vote), and in the elections whose values were put in the three calendar years prior to that. Average weighted by the number of seats up in each election in the chamber-year. Six- year moving average.</w:t>
            </w:r>
          </w:p>
        </w:tc>
        <w:tc>
          <w:tcPr>
            <w:tcW w:w="6482" w:type="dxa"/>
          </w:tcPr>
          <w:p w14:paraId="0BD8341E" w14:textId="77777777" w:rsidR="0046798B" w:rsidRDefault="00903B5C">
            <w:pPr>
              <w:pStyle w:val="TableParagraph"/>
              <w:spacing w:before="43"/>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0054164E" w14:textId="77777777" w:rsidR="0046798B" w:rsidRDefault="0046798B">
            <w:pPr>
              <w:pStyle w:val="TableParagraph"/>
              <w:rPr>
                <w:sz w:val="20"/>
              </w:rPr>
            </w:pPr>
          </w:p>
          <w:p w14:paraId="34E852AD" w14:textId="77777777" w:rsidR="0046798B" w:rsidRDefault="00903B5C">
            <w:pPr>
              <w:pStyle w:val="TableParagraph"/>
              <w:ind w:left="114" w:right="995"/>
              <w:rPr>
                <w:sz w:val="20"/>
              </w:rPr>
            </w:pPr>
            <w:r>
              <w:rPr>
                <w:sz w:val="20"/>
              </w:rPr>
              <w:t xml:space="preserve">Klarner, Carl, 2013, “Other Scholars’ Competitiveness Measures”, </w:t>
            </w:r>
            <w:hyperlink r:id="rId627">
              <w:r>
                <w:rPr>
                  <w:color w:val="0462C1"/>
                  <w:sz w:val="20"/>
                  <w:u w:val="single" w:color="0462C1"/>
                </w:rPr>
                <w:t>https://doi.org/10.7910/DVN/QSDYLH</w:t>
              </w:r>
              <w:r>
                <w:rPr>
                  <w:sz w:val="20"/>
                </w:rPr>
                <w:t>,</w:t>
              </w:r>
            </w:hyperlink>
            <w:r>
              <w:rPr>
                <w:sz w:val="20"/>
              </w:rPr>
              <w:t xml:space="preserve"> Harvard Dataverse, V1</w:t>
            </w:r>
          </w:p>
          <w:p w14:paraId="4FB8945C" w14:textId="77777777" w:rsidR="0046798B" w:rsidRDefault="0046798B">
            <w:pPr>
              <w:pStyle w:val="TableParagraph"/>
              <w:spacing w:before="1"/>
              <w:rPr>
                <w:sz w:val="20"/>
              </w:rPr>
            </w:pPr>
          </w:p>
          <w:p w14:paraId="772069A8" w14:textId="77777777" w:rsidR="0046798B" w:rsidRDefault="00903B5C">
            <w:pPr>
              <w:pStyle w:val="TableParagraph"/>
              <w:ind w:left="114" w:right="112"/>
              <w:rPr>
                <w:sz w:val="20"/>
              </w:rPr>
            </w:pPr>
            <w:r>
              <w:rPr>
                <w:sz w:val="20"/>
              </w:rPr>
              <w:t>Notes: for an even-year, in an even-year election state with all of a chamber’s seats up, this would give one-fourth weight to the current election, one-half weight to the last election, and one-fourth weight to the second to last election. For an odd year in such a state, half weight would be given to the election held last year, and half weight would be given to the election before that. WARNING: users can drop the even years in even year states if they don’t like the one-fourth/one-half/one-fourth weighting referred to above. For states with four-year election cycles, like Alabama, users might consider only keeping the values from three years after the calendar year of the election.</w:t>
            </w:r>
          </w:p>
          <w:p w14:paraId="318242E0" w14:textId="77777777" w:rsidR="0046798B" w:rsidRDefault="00903B5C">
            <w:pPr>
              <w:pStyle w:val="TableParagraph"/>
              <w:spacing w:before="1"/>
              <w:ind w:left="114" w:right="183"/>
              <w:rPr>
                <w:sz w:val="20"/>
              </w:rPr>
            </w:pPr>
            <w:r>
              <w:rPr>
                <w:sz w:val="20"/>
              </w:rPr>
              <w:t>Candidates in FFA-MMDs have their % multiplied by the number of seats in the FFA-MMD. After computing this quantity for both chambers, those two quantities are averaged.</w:t>
            </w:r>
          </w:p>
        </w:tc>
      </w:tr>
      <w:tr w:rsidR="0046798B" w14:paraId="26DA0CCF" w14:textId="77777777">
        <w:trPr>
          <w:trHeight w:val="780"/>
        </w:trPr>
        <w:tc>
          <w:tcPr>
            <w:tcW w:w="1711" w:type="dxa"/>
          </w:tcPr>
          <w:p w14:paraId="24445E24" w14:textId="77777777" w:rsidR="0046798B" w:rsidRDefault="00903B5C">
            <w:pPr>
              <w:pStyle w:val="TableParagraph"/>
              <w:spacing w:before="158"/>
              <w:ind w:left="115"/>
              <w:rPr>
                <w:b/>
                <w:sz w:val="20"/>
              </w:rPr>
            </w:pPr>
            <w:r>
              <w:rPr>
                <w:b/>
                <w:sz w:val="20"/>
              </w:rPr>
              <w:t>hvd2_winmargin</w:t>
            </w:r>
          </w:p>
          <w:p w14:paraId="6DDC5122" w14:textId="77777777" w:rsidR="0046798B" w:rsidRDefault="00903B5C">
            <w:pPr>
              <w:pStyle w:val="TableParagraph"/>
              <w:ind w:left="115"/>
              <w:rPr>
                <w:b/>
                <w:sz w:val="20"/>
              </w:rPr>
            </w:pPr>
            <w:r>
              <w:rPr>
                <w:b/>
                <w:sz w:val="20"/>
              </w:rPr>
              <w:t>_6yr</w:t>
            </w:r>
          </w:p>
        </w:tc>
        <w:tc>
          <w:tcPr>
            <w:tcW w:w="1596" w:type="dxa"/>
          </w:tcPr>
          <w:p w14:paraId="38217F30" w14:textId="77777777" w:rsidR="0046798B" w:rsidRDefault="00903B5C">
            <w:pPr>
              <w:pStyle w:val="TableParagraph"/>
              <w:spacing w:before="43"/>
              <w:ind w:left="114" w:right="179"/>
              <w:rPr>
                <w:sz w:val="20"/>
              </w:rPr>
            </w:pPr>
            <w:r>
              <w:rPr>
                <w:sz w:val="20"/>
              </w:rPr>
              <w:t>Average winning margin by which</w:t>
            </w:r>
          </w:p>
        </w:tc>
        <w:tc>
          <w:tcPr>
            <w:tcW w:w="1285" w:type="dxa"/>
          </w:tcPr>
          <w:p w14:paraId="78191566" w14:textId="77777777" w:rsidR="0046798B" w:rsidRDefault="0046798B">
            <w:pPr>
              <w:pStyle w:val="TableParagraph"/>
              <w:spacing w:before="8"/>
              <w:rPr>
                <w:sz w:val="23"/>
              </w:rPr>
            </w:pPr>
          </w:p>
          <w:p w14:paraId="7556D666" w14:textId="77777777" w:rsidR="0046798B" w:rsidRDefault="00903B5C">
            <w:pPr>
              <w:pStyle w:val="TableParagraph"/>
              <w:spacing w:before="1"/>
              <w:ind w:left="114"/>
              <w:rPr>
                <w:sz w:val="20"/>
              </w:rPr>
            </w:pPr>
            <w:r>
              <w:rPr>
                <w:sz w:val="20"/>
              </w:rPr>
              <w:t>1975–2010</w:t>
            </w:r>
          </w:p>
        </w:tc>
        <w:tc>
          <w:tcPr>
            <w:tcW w:w="3421" w:type="dxa"/>
          </w:tcPr>
          <w:p w14:paraId="1F6BFA12" w14:textId="77777777" w:rsidR="0046798B" w:rsidRDefault="00903B5C">
            <w:pPr>
              <w:pStyle w:val="TableParagraph"/>
              <w:spacing w:before="43"/>
              <w:ind w:left="114" w:right="127"/>
              <w:rPr>
                <w:sz w:val="20"/>
              </w:rPr>
            </w:pPr>
            <w:r>
              <w:rPr>
                <w:sz w:val="20"/>
              </w:rPr>
              <w:t>Average percent margin (of the total vote) by which winning candidates win (in this election or the elections that</w:t>
            </w:r>
          </w:p>
        </w:tc>
        <w:tc>
          <w:tcPr>
            <w:tcW w:w="6482" w:type="dxa"/>
          </w:tcPr>
          <w:p w14:paraId="0C65577D" w14:textId="77777777" w:rsidR="0046798B" w:rsidRDefault="00903B5C">
            <w:pPr>
              <w:pStyle w:val="TableParagraph"/>
              <w:spacing w:before="43"/>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tc>
      </w:tr>
    </w:tbl>
    <w:p w14:paraId="162A3619" w14:textId="77777777" w:rsidR="0046798B" w:rsidRDefault="0046798B">
      <w:pPr>
        <w:rPr>
          <w:sz w:val="20"/>
        </w:rPr>
        <w:sectPr w:rsidR="0046798B">
          <w:pgSz w:w="15840" w:h="12240" w:orient="landscape"/>
          <w:pgMar w:top="1220" w:right="300" w:bottom="980" w:left="820" w:header="730" w:footer="787" w:gutter="0"/>
          <w:cols w:space="720"/>
        </w:sectPr>
      </w:pPr>
    </w:p>
    <w:p w14:paraId="6C6A08D6"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6DC87A32" w14:textId="77777777">
        <w:trPr>
          <w:trHeight w:val="1926"/>
        </w:trPr>
        <w:tc>
          <w:tcPr>
            <w:tcW w:w="1711" w:type="dxa"/>
          </w:tcPr>
          <w:p w14:paraId="3AE1FCF1" w14:textId="77777777" w:rsidR="0046798B" w:rsidRDefault="0046798B">
            <w:pPr>
              <w:pStyle w:val="TableParagraph"/>
              <w:rPr>
                <w:sz w:val="20"/>
              </w:rPr>
            </w:pPr>
          </w:p>
        </w:tc>
        <w:tc>
          <w:tcPr>
            <w:tcW w:w="1596" w:type="dxa"/>
          </w:tcPr>
          <w:p w14:paraId="0AB1857E" w14:textId="77777777" w:rsidR="0046798B" w:rsidRDefault="00903B5C">
            <w:pPr>
              <w:pStyle w:val="TableParagraph"/>
              <w:spacing w:before="43"/>
              <w:ind w:left="114" w:right="169"/>
              <w:rPr>
                <w:sz w:val="20"/>
              </w:rPr>
            </w:pPr>
            <w:r>
              <w:rPr>
                <w:sz w:val="20"/>
              </w:rPr>
              <w:t>candidates won election: 6-yr. moving average</w:t>
            </w:r>
          </w:p>
        </w:tc>
        <w:tc>
          <w:tcPr>
            <w:tcW w:w="1285" w:type="dxa"/>
          </w:tcPr>
          <w:p w14:paraId="575AE161" w14:textId="77777777" w:rsidR="0046798B" w:rsidRDefault="0046798B">
            <w:pPr>
              <w:pStyle w:val="TableParagraph"/>
              <w:rPr>
                <w:sz w:val="20"/>
              </w:rPr>
            </w:pPr>
          </w:p>
        </w:tc>
        <w:tc>
          <w:tcPr>
            <w:tcW w:w="3421" w:type="dxa"/>
          </w:tcPr>
          <w:p w14:paraId="54851F54" w14:textId="77777777" w:rsidR="0046798B" w:rsidRDefault="00903B5C">
            <w:pPr>
              <w:pStyle w:val="TableParagraph"/>
              <w:spacing w:before="43"/>
              <w:ind w:left="114" w:right="250"/>
              <w:rPr>
                <w:sz w:val="20"/>
              </w:rPr>
            </w:pPr>
            <w:r>
              <w:rPr>
                <w:sz w:val="20"/>
              </w:rPr>
              <w:t>were put into the last three calendar years). Average weighted by the number of seats up in each election in the chamber-year. Six-year moving average.</w:t>
            </w:r>
          </w:p>
        </w:tc>
        <w:tc>
          <w:tcPr>
            <w:tcW w:w="6482" w:type="dxa"/>
          </w:tcPr>
          <w:p w14:paraId="120FB23C" w14:textId="77777777" w:rsidR="0046798B" w:rsidRDefault="0046798B">
            <w:pPr>
              <w:pStyle w:val="TableParagraph"/>
              <w:spacing w:before="9"/>
              <w:rPr>
                <w:sz w:val="23"/>
              </w:rPr>
            </w:pPr>
          </w:p>
          <w:p w14:paraId="7F355DAB" w14:textId="77777777" w:rsidR="0046798B" w:rsidRDefault="00903B5C">
            <w:pPr>
              <w:pStyle w:val="TableParagraph"/>
              <w:ind w:left="114" w:right="995"/>
              <w:rPr>
                <w:sz w:val="20"/>
              </w:rPr>
            </w:pPr>
            <w:r>
              <w:rPr>
                <w:sz w:val="20"/>
              </w:rPr>
              <w:t xml:space="preserve">Klarner, Carl, 2013, “Other Scholars’ Competitiveness Measures”, </w:t>
            </w:r>
            <w:hyperlink r:id="rId628">
              <w:r>
                <w:rPr>
                  <w:color w:val="0462C1"/>
                  <w:sz w:val="20"/>
                  <w:u w:val="single" w:color="0462C1"/>
                </w:rPr>
                <w:t>https://doi.org/10.7910/DVN/QSDYLH</w:t>
              </w:r>
              <w:r>
                <w:rPr>
                  <w:sz w:val="20"/>
                </w:rPr>
                <w:t>,</w:t>
              </w:r>
            </w:hyperlink>
            <w:r>
              <w:rPr>
                <w:sz w:val="20"/>
              </w:rPr>
              <w:t xml:space="preserve"> Harvard Dataverse, V1</w:t>
            </w:r>
          </w:p>
          <w:p w14:paraId="3D5759F7" w14:textId="77777777" w:rsidR="0046798B" w:rsidRDefault="0046798B">
            <w:pPr>
              <w:pStyle w:val="TableParagraph"/>
              <w:rPr>
                <w:sz w:val="20"/>
              </w:rPr>
            </w:pPr>
          </w:p>
          <w:p w14:paraId="5B23217C" w14:textId="77777777" w:rsidR="0046798B" w:rsidRDefault="00903B5C">
            <w:pPr>
              <w:pStyle w:val="TableParagraph"/>
              <w:ind w:left="114" w:right="244"/>
              <w:rPr>
                <w:sz w:val="20"/>
              </w:rPr>
            </w:pPr>
            <w:r>
              <w:rPr>
                <w:sz w:val="20"/>
              </w:rPr>
              <w:t>Notes: For FFA-MMDs, this is compared to the loser with the largest % of the vote. In FFA-MMDs, this margin is multiplied by the number of seats in the FFA-MMD. After computing this quantity for both chambers, those two quantities are averaged.</w:t>
            </w:r>
          </w:p>
        </w:tc>
      </w:tr>
      <w:tr w:rsidR="0046798B" w14:paraId="4FBE4FD6" w14:textId="77777777">
        <w:trPr>
          <w:trHeight w:val="2845"/>
        </w:trPr>
        <w:tc>
          <w:tcPr>
            <w:tcW w:w="1711" w:type="dxa"/>
          </w:tcPr>
          <w:p w14:paraId="3F04BC70" w14:textId="77777777" w:rsidR="0046798B" w:rsidRDefault="0046798B">
            <w:pPr>
              <w:pStyle w:val="TableParagraph"/>
            </w:pPr>
          </w:p>
          <w:p w14:paraId="33BDDA4C" w14:textId="77777777" w:rsidR="0046798B" w:rsidRDefault="0046798B">
            <w:pPr>
              <w:pStyle w:val="TableParagraph"/>
            </w:pPr>
          </w:p>
          <w:p w14:paraId="156C65A3" w14:textId="77777777" w:rsidR="0046798B" w:rsidRDefault="0046798B">
            <w:pPr>
              <w:pStyle w:val="TableParagraph"/>
            </w:pPr>
          </w:p>
          <w:p w14:paraId="7A83D163" w14:textId="77777777" w:rsidR="0046798B" w:rsidRDefault="0046798B">
            <w:pPr>
              <w:pStyle w:val="TableParagraph"/>
            </w:pPr>
          </w:p>
          <w:p w14:paraId="2E04C57E" w14:textId="77777777" w:rsidR="0046798B" w:rsidRDefault="00903B5C">
            <w:pPr>
              <w:pStyle w:val="TableParagraph"/>
              <w:spacing w:before="181"/>
              <w:ind w:left="115" w:right="121"/>
              <w:rPr>
                <w:b/>
                <w:sz w:val="20"/>
              </w:rPr>
            </w:pPr>
            <w:r>
              <w:rPr>
                <w:b/>
                <w:sz w:val="20"/>
              </w:rPr>
              <w:t>hvd3_uncont_6y r</w:t>
            </w:r>
          </w:p>
        </w:tc>
        <w:tc>
          <w:tcPr>
            <w:tcW w:w="1596" w:type="dxa"/>
          </w:tcPr>
          <w:p w14:paraId="08193670" w14:textId="77777777" w:rsidR="0046798B" w:rsidRDefault="0046798B">
            <w:pPr>
              <w:pStyle w:val="TableParagraph"/>
            </w:pPr>
          </w:p>
          <w:p w14:paraId="4A4A1AFD" w14:textId="77777777" w:rsidR="0046798B" w:rsidRDefault="0046798B">
            <w:pPr>
              <w:pStyle w:val="TableParagraph"/>
            </w:pPr>
          </w:p>
          <w:p w14:paraId="17FA2D83" w14:textId="77777777" w:rsidR="0046798B" w:rsidRDefault="0046798B">
            <w:pPr>
              <w:pStyle w:val="TableParagraph"/>
              <w:spacing w:before="9"/>
              <w:rPr>
                <w:sz w:val="29"/>
              </w:rPr>
            </w:pPr>
          </w:p>
          <w:p w14:paraId="73B0A6A5" w14:textId="77777777" w:rsidR="0046798B" w:rsidRDefault="00903B5C">
            <w:pPr>
              <w:pStyle w:val="TableParagraph"/>
              <w:ind w:left="114" w:right="169"/>
              <w:rPr>
                <w:sz w:val="20"/>
              </w:rPr>
            </w:pPr>
            <w:r>
              <w:rPr>
                <w:sz w:val="20"/>
              </w:rPr>
              <w:t>Percent uncontested seats in an election: 6-yr. moving average</w:t>
            </w:r>
          </w:p>
        </w:tc>
        <w:tc>
          <w:tcPr>
            <w:tcW w:w="1285" w:type="dxa"/>
          </w:tcPr>
          <w:p w14:paraId="5AF600A6" w14:textId="77777777" w:rsidR="0046798B" w:rsidRDefault="0046798B">
            <w:pPr>
              <w:pStyle w:val="TableParagraph"/>
            </w:pPr>
          </w:p>
          <w:p w14:paraId="2A83D21F" w14:textId="77777777" w:rsidR="0046798B" w:rsidRDefault="0046798B">
            <w:pPr>
              <w:pStyle w:val="TableParagraph"/>
            </w:pPr>
          </w:p>
          <w:p w14:paraId="1E20C5BB" w14:textId="77777777" w:rsidR="0046798B" w:rsidRDefault="0046798B">
            <w:pPr>
              <w:pStyle w:val="TableParagraph"/>
            </w:pPr>
          </w:p>
          <w:p w14:paraId="6A4E61EF" w14:textId="77777777" w:rsidR="0046798B" w:rsidRDefault="0046798B">
            <w:pPr>
              <w:pStyle w:val="TableParagraph"/>
            </w:pPr>
          </w:p>
          <w:p w14:paraId="5C100735" w14:textId="77777777" w:rsidR="0046798B" w:rsidRDefault="0046798B">
            <w:pPr>
              <w:pStyle w:val="TableParagraph"/>
              <w:spacing w:before="9"/>
              <w:rPr>
                <w:sz w:val="25"/>
              </w:rPr>
            </w:pPr>
          </w:p>
          <w:p w14:paraId="6DF15FFB" w14:textId="77777777" w:rsidR="0046798B" w:rsidRDefault="00903B5C">
            <w:pPr>
              <w:pStyle w:val="TableParagraph"/>
              <w:ind w:left="114"/>
              <w:rPr>
                <w:sz w:val="20"/>
              </w:rPr>
            </w:pPr>
            <w:r>
              <w:rPr>
                <w:sz w:val="20"/>
              </w:rPr>
              <w:t>1975–2010</w:t>
            </w:r>
          </w:p>
        </w:tc>
        <w:tc>
          <w:tcPr>
            <w:tcW w:w="3421" w:type="dxa"/>
          </w:tcPr>
          <w:p w14:paraId="5FFC1751" w14:textId="77777777" w:rsidR="0046798B" w:rsidRDefault="0046798B">
            <w:pPr>
              <w:pStyle w:val="TableParagraph"/>
            </w:pPr>
          </w:p>
          <w:p w14:paraId="6517776F" w14:textId="77777777" w:rsidR="0046798B" w:rsidRDefault="0046798B">
            <w:pPr>
              <w:pStyle w:val="TableParagraph"/>
            </w:pPr>
          </w:p>
          <w:p w14:paraId="504DC493" w14:textId="77777777" w:rsidR="0046798B" w:rsidRDefault="0046798B">
            <w:pPr>
              <w:pStyle w:val="TableParagraph"/>
            </w:pPr>
          </w:p>
          <w:p w14:paraId="527B20C8" w14:textId="77777777" w:rsidR="0046798B" w:rsidRDefault="0046798B">
            <w:pPr>
              <w:pStyle w:val="TableParagraph"/>
              <w:spacing w:before="9"/>
              <w:rPr>
                <w:sz w:val="17"/>
              </w:rPr>
            </w:pPr>
          </w:p>
          <w:p w14:paraId="58A56947" w14:textId="77777777" w:rsidR="0046798B" w:rsidRDefault="00903B5C">
            <w:pPr>
              <w:pStyle w:val="TableParagraph"/>
              <w:ind w:left="114" w:right="118"/>
              <w:rPr>
                <w:sz w:val="20"/>
              </w:rPr>
            </w:pPr>
            <w:r>
              <w:rPr>
                <w:sz w:val="20"/>
              </w:rPr>
              <w:t>Percent of seats that are uncontested (in this election or the elections that were put into the last three calendar years). Six-year moving average.</w:t>
            </w:r>
          </w:p>
        </w:tc>
        <w:tc>
          <w:tcPr>
            <w:tcW w:w="6482" w:type="dxa"/>
          </w:tcPr>
          <w:p w14:paraId="5CC4B3B7" w14:textId="77777777" w:rsidR="0046798B" w:rsidRDefault="00903B5C">
            <w:pPr>
              <w:pStyle w:val="TableParagraph"/>
              <w:spacing w:before="43"/>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012F550B" w14:textId="77777777" w:rsidR="0046798B" w:rsidRDefault="0046798B">
            <w:pPr>
              <w:pStyle w:val="TableParagraph"/>
              <w:rPr>
                <w:sz w:val="20"/>
              </w:rPr>
            </w:pPr>
          </w:p>
          <w:p w14:paraId="0FDE2725" w14:textId="77777777" w:rsidR="0046798B" w:rsidRDefault="00903B5C">
            <w:pPr>
              <w:pStyle w:val="TableParagraph"/>
              <w:ind w:left="114" w:right="995"/>
              <w:rPr>
                <w:sz w:val="20"/>
              </w:rPr>
            </w:pPr>
            <w:r>
              <w:rPr>
                <w:sz w:val="20"/>
              </w:rPr>
              <w:t xml:space="preserve">Klarner, Carl, 2013, “Other Scholars’ Competitiveness Measures”, </w:t>
            </w:r>
            <w:hyperlink r:id="rId629">
              <w:r>
                <w:rPr>
                  <w:color w:val="0462C1"/>
                  <w:sz w:val="20"/>
                  <w:u w:val="single" w:color="0462C1"/>
                </w:rPr>
                <w:t>https://doi.org/10.7910/DVN/QSDYLH</w:t>
              </w:r>
              <w:r>
                <w:rPr>
                  <w:sz w:val="20"/>
                </w:rPr>
                <w:t>,</w:t>
              </w:r>
            </w:hyperlink>
            <w:r>
              <w:rPr>
                <w:sz w:val="20"/>
              </w:rPr>
              <w:t xml:space="preserve"> Harvard Dataverse, V1</w:t>
            </w:r>
          </w:p>
          <w:p w14:paraId="589066FF" w14:textId="77777777" w:rsidR="0046798B" w:rsidRDefault="0046798B">
            <w:pPr>
              <w:pStyle w:val="TableParagraph"/>
              <w:rPr>
                <w:sz w:val="20"/>
              </w:rPr>
            </w:pPr>
          </w:p>
          <w:p w14:paraId="36CC1E97" w14:textId="77777777" w:rsidR="0046798B" w:rsidRDefault="00903B5C">
            <w:pPr>
              <w:pStyle w:val="TableParagraph"/>
              <w:spacing w:before="1"/>
              <w:ind w:left="114" w:right="119"/>
              <w:rPr>
                <w:sz w:val="20"/>
              </w:rPr>
            </w:pPr>
            <w:r>
              <w:rPr>
                <w:sz w:val="20"/>
              </w:rPr>
              <w:t>Notes: This takes under-contested seats in FFA-MMDs into account. For example, a three seat FFA-MMD with two Democrats and three Republicans would contribute “3” to the denominator, and “1” to the numerator of this variable. After computing this quantity for both chambers, those two quantities are averaged.</w:t>
            </w:r>
          </w:p>
        </w:tc>
      </w:tr>
      <w:tr w:rsidR="0046798B" w14:paraId="5DA569C7" w14:textId="77777777">
        <w:trPr>
          <w:trHeight w:val="2616"/>
        </w:trPr>
        <w:tc>
          <w:tcPr>
            <w:tcW w:w="1711" w:type="dxa"/>
          </w:tcPr>
          <w:p w14:paraId="53099B6F" w14:textId="77777777" w:rsidR="0046798B" w:rsidRDefault="0046798B">
            <w:pPr>
              <w:pStyle w:val="TableParagraph"/>
            </w:pPr>
          </w:p>
          <w:p w14:paraId="329CD13C" w14:textId="77777777" w:rsidR="0046798B" w:rsidRDefault="0046798B">
            <w:pPr>
              <w:pStyle w:val="TableParagraph"/>
            </w:pPr>
          </w:p>
          <w:p w14:paraId="4513B174" w14:textId="77777777" w:rsidR="0046798B" w:rsidRDefault="0046798B">
            <w:pPr>
              <w:pStyle w:val="TableParagraph"/>
            </w:pPr>
          </w:p>
          <w:p w14:paraId="1F8B93FF" w14:textId="77777777" w:rsidR="0046798B" w:rsidRDefault="0046798B">
            <w:pPr>
              <w:pStyle w:val="TableParagraph"/>
              <w:spacing w:before="9"/>
              <w:rPr>
                <w:sz w:val="27"/>
              </w:rPr>
            </w:pPr>
          </w:p>
          <w:p w14:paraId="48B963D8" w14:textId="77777777" w:rsidR="0046798B" w:rsidRDefault="00903B5C">
            <w:pPr>
              <w:pStyle w:val="TableParagraph"/>
              <w:ind w:left="115" w:right="177"/>
              <w:rPr>
                <w:b/>
                <w:sz w:val="20"/>
              </w:rPr>
            </w:pPr>
            <w:r>
              <w:rPr>
                <w:b/>
                <w:sz w:val="20"/>
              </w:rPr>
              <w:t>hvd4_safeseat_6 yr</w:t>
            </w:r>
          </w:p>
        </w:tc>
        <w:tc>
          <w:tcPr>
            <w:tcW w:w="1596" w:type="dxa"/>
          </w:tcPr>
          <w:p w14:paraId="0B3836E1" w14:textId="77777777" w:rsidR="0046798B" w:rsidRDefault="0046798B">
            <w:pPr>
              <w:pStyle w:val="TableParagraph"/>
            </w:pPr>
          </w:p>
          <w:p w14:paraId="069E0E50" w14:textId="77777777" w:rsidR="0046798B" w:rsidRDefault="0046798B">
            <w:pPr>
              <w:pStyle w:val="TableParagraph"/>
            </w:pPr>
          </w:p>
          <w:p w14:paraId="7897CBDB" w14:textId="77777777" w:rsidR="0046798B" w:rsidRDefault="0046798B">
            <w:pPr>
              <w:pStyle w:val="TableParagraph"/>
            </w:pPr>
          </w:p>
          <w:p w14:paraId="7274849F" w14:textId="77777777" w:rsidR="0046798B" w:rsidRDefault="0046798B">
            <w:pPr>
              <w:pStyle w:val="TableParagraph"/>
              <w:spacing w:before="9"/>
              <w:rPr>
                <w:sz w:val="17"/>
              </w:rPr>
            </w:pPr>
          </w:p>
          <w:p w14:paraId="7B10AF89" w14:textId="77777777" w:rsidR="0046798B" w:rsidRDefault="00903B5C">
            <w:pPr>
              <w:pStyle w:val="TableParagraph"/>
              <w:ind w:left="114" w:right="169"/>
              <w:rPr>
                <w:sz w:val="20"/>
              </w:rPr>
            </w:pPr>
            <w:r>
              <w:rPr>
                <w:sz w:val="20"/>
              </w:rPr>
              <w:t>Pct. of “safe” seats: 6-yr. moving average</w:t>
            </w:r>
          </w:p>
        </w:tc>
        <w:tc>
          <w:tcPr>
            <w:tcW w:w="1285" w:type="dxa"/>
          </w:tcPr>
          <w:p w14:paraId="4A2B0AA3" w14:textId="77777777" w:rsidR="0046798B" w:rsidRDefault="0046798B">
            <w:pPr>
              <w:pStyle w:val="TableParagraph"/>
            </w:pPr>
          </w:p>
          <w:p w14:paraId="7043F065" w14:textId="77777777" w:rsidR="0046798B" w:rsidRDefault="0046798B">
            <w:pPr>
              <w:pStyle w:val="TableParagraph"/>
            </w:pPr>
          </w:p>
          <w:p w14:paraId="796A4315" w14:textId="77777777" w:rsidR="0046798B" w:rsidRDefault="0046798B">
            <w:pPr>
              <w:pStyle w:val="TableParagraph"/>
            </w:pPr>
          </w:p>
          <w:p w14:paraId="7C9C6826" w14:textId="77777777" w:rsidR="0046798B" w:rsidRDefault="0046798B">
            <w:pPr>
              <w:pStyle w:val="TableParagraph"/>
            </w:pPr>
          </w:p>
          <w:p w14:paraId="17546CD3" w14:textId="77777777" w:rsidR="0046798B" w:rsidRDefault="00903B5C">
            <w:pPr>
              <w:pStyle w:val="TableParagraph"/>
              <w:spacing w:before="182"/>
              <w:ind w:left="114"/>
              <w:rPr>
                <w:sz w:val="20"/>
              </w:rPr>
            </w:pPr>
            <w:r>
              <w:rPr>
                <w:sz w:val="20"/>
              </w:rPr>
              <w:t>1975–2010</w:t>
            </w:r>
          </w:p>
        </w:tc>
        <w:tc>
          <w:tcPr>
            <w:tcW w:w="3421" w:type="dxa"/>
          </w:tcPr>
          <w:p w14:paraId="1CDF873D" w14:textId="77777777" w:rsidR="0046798B" w:rsidRDefault="0046798B">
            <w:pPr>
              <w:pStyle w:val="TableParagraph"/>
            </w:pPr>
          </w:p>
          <w:p w14:paraId="4653E58F" w14:textId="77777777" w:rsidR="0046798B" w:rsidRDefault="0046798B">
            <w:pPr>
              <w:pStyle w:val="TableParagraph"/>
              <w:spacing w:before="9"/>
              <w:rPr>
                <w:sz w:val="31"/>
              </w:rPr>
            </w:pPr>
          </w:p>
          <w:p w14:paraId="1B9A73D8" w14:textId="77777777" w:rsidR="0046798B" w:rsidRDefault="00903B5C">
            <w:pPr>
              <w:pStyle w:val="TableParagraph"/>
              <w:ind w:left="114" w:right="183"/>
              <w:rPr>
                <w:sz w:val="20"/>
              </w:rPr>
            </w:pPr>
            <w:r>
              <w:rPr>
                <w:sz w:val="20"/>
              </w:rPr>
              <w:t>Percent of seats that are “safe” (in this election or the elections that were put into the last three calendar years). “Safe” is considered a winning margin of 10% or more. Six-year moving average.</w:t>
            </w:r>
          </w:p>
        </w:tc>
        <w:tc>
          <w:tcPr>
            <w:tcW w:w="6482" w:type="dxa"/>
          </w:tcPr>
          <w:p w14:paraId="0F5AF798" w14:textId="77777777" w:rsidR="0046798B" w:rsidRDefault="00903B5C">
            <w:pPr>
              <w:pStyle w:val="TableParagraph"/>
              <w:spacing w:before="43"/>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2FD938B1" w14:textId="77777777" w:rsidR="0046798B" w:rsidRDefault="0046798B">
            <w:pPr>
              <w:pStyle w:val="TableParagraph"/>
              <w:rPr>
                <w:sz w:val="20"/>
              </w:rPr>
            </w:pPr>
          </w:p>
          <w:p w14:paraId="3B60BA2A" w14:textId="77777777" w:rsidR="0046798B" w:rsidRDefault="00903B5C">
            <w:pPr>
              <w:pStyle w:val="TableParagraph"/>
              <w:spacing w:before="1"/>
              <w:ind w:left="114" w:right="995"/>
              <w:rPr>
                <w:sz w:val="20"/>
              </w:rPr>
            </w:pPr>
            <w:r>
              <w:rPr>
                <w:sz w:val="20"/>
              </w:rPr>
              <w:t xml:space="preserve">Klarner, Carl, 2013, “Other Scholars’ Competitiveness Measures”, </w:t>
            </w:r>
            <w:hyperlink r:id="rId630">
              <w:r>
                <w:rPr>
                  <w:color w:val="0462C1"/>
                  <w:sz w:val="20"/>
                  <w:u w:val="single" w:color="0462C1"/>
                </w:rPr>
                <w:t>https://doi.org/10.7910/DVN/QSDYLH</w:t>
              </w:r>
              <w:r>
                <w:rPr>
                  <w:sz w:val="20"/>
                </w:rPr>
                <w:t>,</w:t>
              </w:r>
            </w:hyperlink>
            <w:r>
              <w:rPr>
                <w:sz w:val="20"/>
              </w:rPr>
              <w:t xml:space="preserve"> Harvard Dataverse, V1</w:t>
            </w:r>
          </w:p>
          <w:p w14:paraId="08D2AB43" w14:textId="77777777" w:rsidR="0046798B" w:rsidRDefault="0046798B">
            <w:pPr>
              <w:pStyle w:val="TableParagraph"/>
              <w:rPr>
                <w:sz w:val="20"/>
              </w:rPr>
            </w:pPr>
          </w:p>
          <w:p w14:paraId="1500E031" w14:textId="77777777" w:rsidR="0046798B" w:rsidRDefault="00903B5C">
            <w:pPr>
              <w:pStyle w:val="TableParagraph"/>
              <w:ind w:left="114" w:right="306"/>
              <w:rPr>
                <w:sz w:val="20"/>
              </w:rPr>
            </w:pPr>
            <w:r>
              <w:rPr>
                <w:sz w:val="20"/>
              </w:rPr>
              <w:t>Notes: For FFA-MMDs, a winner is considered “safe” when their margin times the number of seats is greater than 10%. For FFA-MMDs, margin is computed as above. After computing this quantity for both chambers, those two quantities are averaged.</w:t>
            </w:r>
          </w:p>
        </w:tc>
      </w:tr>
      <w:tr w:rsidR="0046798B" w14:paraId="074099E5" w14:textId="77777777">
        <w:trPr>
          <w:trHeight w:val="1700"/>
        </w:trPr>
        <w:tc>
          <w:tcPr>
            <w:tcW w:w="1711" w:type="dxa"/>
          </w:tcPr>
          <w:p w14:paraId="2DD7D70E" w14:textId="77777777" w:rsidR="0046798B" w:rsidRDefault="0046798B">
            <w:pPr>
              <w:pStyle w:val="TableParagraph"/>
            </w:pPr>
          </w:p>
          <w:p w14:paraId="4C61ECCE" w14:textId="77777777" w:rsidR="0046798B" w:rsidRDefault="0046798B">
            <w:pPr>
              <w:pStyle w:val="TableParagraph"/>
              <w:spacing w:before="9"/>
              <w:rPr>
                <w:sz w:val="31"/>
              </w:rPr>
            </w:pPr>
          </w:p>
          <w:p w14:paraId="63C687EE" w14:textId="77777777" w:rsidR="0046798B" w:rsidRDefault="00903B5C">
            <w:pPr>
              <w:pStyle w:val="TableParagraph"/>
              <w:ind w:left="115" w:right="87"/>
              <w:rPr>
                <w:b/>
                <w:sz w:val="20"/>
              </w:rPr>
            </w:pPr>
            <w:r>
              <w:rPr>
                <w:b/>
                <w:sz w:val="20"/>
              </w:rPr>
              <w:t>unusable_seats_6 yr_per</w:t>
            </w:r>
          </w:p>
        </w:tc>
        <w:tc>
          <w:tcPr>
            <w:tcW w:w="1596" w:type="dxa"/>
          </w:tcPr>
          <w:p w14:paraId="5259A148" w14:textId="77777777" w:rsidR="0046798B" w:rsidRDefault="0046798B">
            <w:pPr>
              <w:pStyle w:val="TableParagraph"/>
              <w:spacing w:before="9"/>
              <w:rPr>
                <w:sz w:val="23"/>
              </w:rPr>
            </w:pPr>
          </w:p>
          <w:p w14:paraId="538D2F9B" w14:textId="77777777" w:rsidR="0046798B" w:rsidRDefault="00903B5C">
            <w:pPr>
              <w:pStyle w:val="TableParagraph"/>
              <w:ind w:left="114" w:right="203"/>
              <w:rPr>
                <w:sz w:val="20"/>
              </w:rPr>
            </w:pPr>
            <w:r>
              <w:rPr>
                <w:sz w:val="20"/>
              </w:rPr>
              <w:t>Pct. of seats unusable for other measures: 6-yr. moving average</w:t>
            </w:r>
          </w:p>
        </w:tc>
        <w:tc>
          <w:tcPr>
            <w:tcW w:w="1285" w:type="dxa"/>
          </w:tcPr>
          <w:p w14:paraId="6A682F16" w14:textId="77777777" w:rsidR="0046798B" w:rsidRDefault="0046798B">
            <w:pPr>
              <w:pStyle w:val="TableParagraph"/>
            </w:pPr>
          </w:p>
          <w:p w14:paraId="39E360C5" w14:textId="77777777" w:rsidR="0046798B" w:rsidRDefault="0046798B">
            <w:pPr>
              <w:pStyle w:val="TableParagraph"/>
            </w:pPr>
          </w:p>
          <w:p w14:paraId="6304301E" w14:textId="77777777" w:rsidR="0046798B" w:rsidRDefault="0046798B">
            <w:pPr>
              <w:pStyle w:val="TableParagraph"/>
              <w:spacing w:before="9"/>
              <w:rPr>
                <w:sz w:val="19"/>
              </w:rPr>
            </w:pPr>
          </w:p>
          <w:p w14:paraId="32B6E4D6" w14:textId="77777777" w:rsidR="0046798B" w:rsidRDefault="00903B5C">
            <w:pPr>
              <w:pStyle w:val="TableParagraph"/>
              <w:ind w:left="114"/>
              <w:rPr>
                <w:sz w:val="20"/>
              </w:rPr>
            </w:pPr>
            <w:r>
              <w:rPr>
                <w:sz w:val="20"/>
              </w:rPr>
              <w:t>1975–2010</w:t>
            </w:r>
          </w:p>
        </w:tc>
        <w:tc>
          <w:tcPr>
            <w:tcW w:w="3421" w:type="dxa"/>
          </w:tcPr>
          <w:p w14:paraId="2D75BBD6" w14:textId="77777777" w:rsidR="0046798B" w:rsidRDefault="00903B5C">
            <w:pPr>
              <w:pStyle w:val="TableParagraph"/>
              <w:spacing w:before="43"/>
              <w:ind w:left="114" w:right="89"/>
              <w:rPr>
                <w:sz w:val="20"/>
              </w:rPr>
            </w:pPr>
            <w:r>
              <w:rPr>
                <w:sz w:val="20"/>
              </w:rPr>
              <w:t>Percent of seats in this year and the three years prior to that are “unuseable” for the Holbrook and Van Dunk measure. Six-year moving average. “Not useable” includes such things as missing vote returns (but not in uncontested elections in states that</w:t>
            </w:r>
          </w:p>
        </w:tc>
        <w:tc>
          <w:tcPr>
            <w:tcW w:w="6482" w:type="dxa"/>
          </w:tcPr>
          <w:p w14:paraId="18B3CF45" w14:textId="77777777" w:rsidR="0046798B" w:rsidRDefault="00903B5C">
            <w:pPr>
              <w:pStyle w:val="TableParagraph"/>
              <w:spacing w:before="43"/>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45234B54" w14:textId="77777777" w:rsidR="0046798B" w:rsidRDefault="0046798B">
            <w:pPr>
              <w:pStyle w:val="TableParagraph"/>
              <w:rPr>
                <w:sz w:val="20"/>
              </w:rPr>
            </w:pPr>
          </w:p>
          <w:p w14:paraId="760DB75E" w14:textId="77777777" w:rsidR="0046798B" w:rsidRDefault="00903B5C">
            <w:pPr>
              <w:pStyle w:val="TableParagraph"/>
              <w:ind w:left="114" w:right="995"/>
              <w:rPr>
                <w:sz w:val="20"/>
              </w:rPr>
            </w:pPr>
            <w:r>
              <w:rPr>
                <w:sz w:val="20"/>
              </w:rPr>
              <w:t xml:space="preserve">Klarner, Carl, 2013, “Other Scholars’ Competitiveness Measures”, </w:t>
            </w:r>
            <w:hyperlink r:id="rId631">
              <w:r>
                <w:rPr>
                  <w:color w:val="0462C1"/>
                  <w:sz w:val="20"/>
                  <w:u w:val="single" w:color="0462C1"/>
                </w:rPr>
                <w:t>https://doi.org/10.7910/DVN/QSDYLH</w:t>
              </w:r>
              <w:r>
                <w:rPr>
                  <w:sz w:val="20"/>
                </w:rPr>
                <w:t>,</w:t>
              </w:r>
            </w:hyperlink>
            <w:r>
              <w:rPr>
                <w:sz w:val="20"/>
              </w:rPr>
              <w:t xml:space="preserve"> Harvard Dataverse, V1</w:t>
            </w:r>
          </w:p>
        </w:tc>
      </w:tr>
    </w:tbl>
    <w:p w14:paraId="545CACB3" w14:textId="77777777" w:rsidR="0046798B" w:rsidRDefault="0046798B">
      <w:pPr>
        <w:rPr>
          <w:sz w:val="20"/>
        </w:rPr>
        <w:sectPr w:rsidR="0046798B">
          <w:pgSz w:w="15840" w:h="12240" w:orient="landscape"/>
          <w:pgMar w:top="1220" w:right="300" w:bottom="980" w:left="820" w:header="730" w:footer="787" w:gutter="0"/>
          <w:cols w:space="720"/>
        </w:sectPr>
      </w:pPr>
    </w:p>
    <w:p w14:paraId="025A25F3"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7F864E26" w14:textId="77777777">
        <w:trPr>
          <w:trHeight w:val="1235"/>
        </w:trPr>
        <w:tc>
          <w:tcPr>
            <w:tcW w:w="1711" w:type="dxa"/>
          </w:tcPr>
          <w:p w14:paraId="576E835D" w14:textId="77777777" w:rsidR="0046798B" w:rsidRDefault="0046798B">
            <w:pPr>
              <w:pStyle w:val="TableParagraph"/>
              <w:rPr>
                <w:sz w:val="20"/>
              </w:rPr>
            </w:pPr>
          </w:p>
        </w:tc>
        <w:tc>
          <w:tcPr>
            <w:tcW w:w="1596" w:type="dxa"/>
          </w:tcPr>
          <w:p w14:paraId="45B26772" w14:textId="77777777" w:rsidR="0046798B" w:rsidRDefault="0046798B">
            <w:pPr>
              <w:pStyle w:val="TableParagraph"/>
              <w:rPr>
                <w:sz w:val="20"/>
              </w:rPr>
            </w:pPr>
          </w:p>
        </w:tc>
        <w:tc>
          <w:tcPr>
            <w:tcW w:w="1285" w:type="dxa"/>
          </w:tcPr>
          <w:p w14:paraId="68375707" w14:textId="77777777" w:rsidR="0046798B" w:rsidRDefault="0046798B">
            <w:pPr>
              <w:pStyle w:val="TableParagraph"/>
              <w:rPr>
                <w:sz w:val="20"/>
              </w:rPr>
            </w:pPr>
          </w:p>
        </w:tc>
        <w:tc>
          <w:tcPr>
            <w:tcW w:w="3421" w:type="dxa"/>
          </w:tcPr>
          <w:p w14:paraId="2E12A6D9" w14:textId="77777777" w:rsidR="0046798B" w:rsidRDefault="00903B5C">
            <w:pPr>
              <w:pStyle w:val="TableParagraph"/>
              <w:spacing w:before="43"/>
              <w:ind w:left="114" w:right="117"/>
              <w:rPr>
                <w:sz w:val="20"/>
              </w:rPr>
            </w:pPr>
            <w:r>
              <w:rPr>
                <w:sz w:val="20"/>
              </w:rPr>
              <w:t>don’t put such elections on the ballot), missing party codes, or elections that only report the winner and information about the existence of other candidates is unknown.</w:t>
            </w:r>
          </w:p>
        </w:tc>
        <w:tc>
          <w:tcPr>
            <w:tcW w:w="6482" w:type="dxa"/>
          </w:tcPr>
          <w:p w14:paraId="1C979D9D" w14:textId="77777777" w:rsidR="0046798B" w:rsidRDefault="00903B5C">
            <w:pPr>
              <w:pStyle w:val="TableParagraph"/>
              <w:spacing w:before="43"/>
              <w:ind w:left="114" w:right="223"/>
              <w:rPr>
                <w:sz w:val="20"/>
              </w:rPr>
            </w:pPr>
            <w:r>
              <w:rPr>
                <w:sz w:val="20"/>
              </w:rPr>
              <w:t>Notes: Descriptive statistics for variable: 89.0% of state-years have 0% unusable seats, 98.7% have 5% or less unusable seats, 99.2% of state-years have 10% or less unusable seats, eight state-years have between 10 and 20% unusable seats, and eight more state-years have more than 20% unusable seats. The worst state-year has 49.8% of its seats with missing information.</w:t>
            </w:r>
          </w:p>
        </w:tc>
      </w:tr>
      <w:tr w:rsidR="0046798B" w14:paraId="7B66568B" w14:textId="77777777">
        <w:trPr>
          <w:trHeight w:val="4457"/>
        </w:trPr>
        <w:tc>
          <w:tcPr>
            <w:tcW w:w="1711" w:type="dxa"/>
          </w:tcPr>
          <w:p w14:paraId="5E70F7E5" w14:textId="77777777" w:rsidR="0046798B" w:rsidRDefault="0046798B">
            <w:pPr>
              <w:pStyle w:val="TableParagraph"/>
            </w:pPr>
          </w:p>
          <w:p w14:paraId="2EE30234" w14:textId="77777777" w:rsidR="0046798B" w:rsidRDefault="0046798B">
            <w:pPr>
              <w:pStyle w:val="TableParagraph"/>
            </w:pPr>
          </w:p>
          <w:p w14:paraId="55D861F3" w14:textId="77777777" w:rsidR="0046798B" w:rsidRDefault="0046798B">
            <w:pPr>
              <w:pStyle w:val="TableParagraph"/>
            </w:pPr>
          </w:p>
          <w:p w14:paraId="6932980B" w14:textId="77777777" w:rsidR="0046798B" w:rsidRDefault="0046798B">
            <w:pPr>
              <w:pStyle w:val="TableParagraph"/>
            </w:pPr>
          </w:p>
          <w:p w14:paraId="54FFC5FF" w14:textId="77777777" w:rsidR="0046798B" w:rsidRDefault="0046798B">
            <w:pPr>
              <w:pStyle w:val="TableParagraph"/>
            </w:pPr>
          </w:p>
          <w:p w14:paraId="735BA5F8" w14:textId="77777777" w:rsidR="0046798B" w:rsidRDefault="0046798B">
            <w:pPr>
              <w:pStyle w:val="TableParagraph"/>
            </w:pPr>
          </w:p>
          <w:p w14:paraId="1DFB0F3C" w14:textId="77777777" w:rsidR="0046798B" w:rsidRDefault="0046798B">
            <w:pPr>
              <w:pStyle w:val="TableParagraph"/>
            </w:pPr>
          </w:p>
          <w:p w14:paraId="43843941" w14:textId="77777777" w:rsidR="0046798B" w:rsidRDefault="0046798B">
            <w:pPr>
              <w:pStyle w:val="TableParagraph"/>
              <w:spacing w:before="9"/>
              <w:rPr>
                <w:sz w:val="19"/>
              </w:rPr>
            </w:pPr>
          </w:p>
          <w:p w14:paraId="42953EE4" w14:textId="77777777" w:rsidR="0046798B" w:rsidRDefault="00903B5C">
            <w:pPr>
              <w:pStyle w:val="TableParagraph"/>
              <w:spacing w:before="1"/>
              <w:ind w:left="115" w:right="121"/>
              <w:rPr>
                <w:b/>
                <w:sz w:val="20"/>
              </w:rPr>
            </w:pPr>
            <w:r>
              <w:rPr>
                <w:b/>
                <w:sz w:val="20"/>
              </w:rPr>
              <w:t>hvd1_winper_8y r</w:t>
            </w:r>
          </w:p>
        </w:tc>
        <w:tc>
          <w:tcPr>
            <w:tcW w:w="1596" w:type="dxa"/>
          </w:tcPr>
          <w:p w14:paraId="729A8738" w14:textId="77777777" w:rsidR="0046798B" w:rsidRDefault="0046798B">
            <w:pPr>
              <w:pStyle w:val="TableParagraph"/>
            </w:pPr>
          </w:p>
          <w:p w14:paraId="2D4259BE" w14:textId="77777777" w:rsidR="0046798B" w:rsidRDefault="0046798B">
            <w:pPr>
              <w:pStyle w:val="TableParagraph"/>
            </w:pPr>
          </w:p>
          <w:p w14:paraId="6579A52A" w14:textId="77777777" w:rsidR="0046798B" w:rsidRDefault="0046798B">
            <w:pPr>
              <w:pStyle w:val="TableParagraph"/>
            </w:pPr>
          </w:p>
          <w:p w14:paraId="06C21F9E" w14:textId="77777777" w:rsidR="0046798B" w:rsidRDefault="0046798B">
            <w:pPr>
              <w:pStyle w:val="TableParagraph"/>
            </w:pPr>
          </w:p>
          <w:p w14:paraId="60439E54" w14:textId="77777777" w:rsidR="0046798B" w:rsidRDefault="0046798B">
            <w:pPr>
              <w:pStyle w:val="TableParagraph"/>
            </w:pPr>
          </w:p>
          <w:p w14:paraId="1D1DE39F" w14:textId="77777777" w:rsidR="0046798B" w:rsidRDefault="0046798B">
            <w:pPr>
              <w:pStyle w:val="TableParagraph"/>
              <w:spacing w:before="9"/>
              <w:rPr>
                <w:sz w:val="23"/>
              </w:rPr>
            </w:pPr>
          </w:p>
          <w:p w14:paraId="1EB1FBD8" w14:textId="77777777" w:rsidR="0046798B" w:rsidRDefault="00903B5C">
            <w:pPr>
              <w:pStyle w:val="TableParagraph"/>
              <w:spacing w:before="1"/>
              <w:ind w:left="114" w:right="169"/>
              <w:rPr>
                <w:sz w:val="20"/>
              </w:rPr>
            </w:pPr>
            <w:r>
              <w:rPr>
                <w:sz w:val="20"/>
              </w:rPr>
              <w:t>Average pct. winning candidates received in election: 8-yr. moving average</w:t>
            </w:r>
          </w:p>
        </w:tc>
        <w:tc>
          <w:tcPr>
            <w:tcW w:w="1285" w:type="dxa"/>
          </w:tcPr>
          <w:p w14:paraId="2D173FF9" w14:textId="77777777" w:rsidR="0046798B" w:rsidRDefault="0046798B">
            <w:pPr>
              <w:pStyle w:val="TableParagraph"/>
            </w:pPr>
          </w:p>
          <w:p w14:paraId="6FFDF744" w14:textId="77777777" w:rsidR="0046798B" w:rsidRDefault="0046798B">
            <w:pPr>
              <w:pStyle w:val="TableParagraph"/>
            </w:pPr>
          </w:p>
          <w:p w14:paraId="7D03D44D" w14:textId="77777777" w:rsidR="0046798B" w:rsidRDefault="0046798B">
            <w:pPr>
              <w:pStyle w:val="TableParagraph"/>
            </w:pPr>
          </w:p>
          <w:p w14:paraId="16F47DB2" w14:textId="77777777" w:rsidR="0046798B" w:rsidRDefault="0046798B">
            <w:pPr>
              <w:pStyle w:val="TableParagraph"/>
            </w:pPr>
          </w:p>
          <w:p w14:paraId="3C86C28C" w14:textId="77777777" w:rsidR="0046798B" w:rsidRDefault="0046798B">
            <w:pPr>
              <w:pStyle w:val="TableParagraph"/>
            </w:pPr>
          </w:p>
          <w:p w14:paraId="18E24722" w14:textId="77777777" w:rsidR="0046798B" w:rsidRDefault="0046798B">
            <w:pPr>
              <w:pStyle w:val="TableParagraph"/>
            </w:pPr>
          </w:p>
          <w:p w14:paraId="3BCFA7C3" w14:textId="77777777" w:rsidR="0046798B" w:rsidRDefault="0046798B">
            <w:pPr>
              <w:pStyle w:val="TableParagraph"/>
            </w:pPr>
          </w:p>
          <w:p w14:paraId="2863B776" w14:textId="77777777" w:rsidR="0046798B" w:rsidRDefault="0046798B">
            <w:pPr>
              <w:pStyle w:val="TableParagraph"/>
              <w:spacing w:before="9"/>
              <w:rPr>
                <w:sz w:val="29"/>
              </w:rPr>
            </w:pPr>
          </w:p>
          <w:p w14:paraId="1481F89F" w14:textId="77777777" w:rsidR="0046798B" w:rsidRDefault="00903B5C">
            <w:pPr>
              <w:pStyle w:val="TableParagraph"/>
              <w:spacing w:before="1"/>
              <w:ind w:left="114"/>
              <w:rPr>
                <w:sz w:val="20"/>
              </w:rPr>
            </w:pPr>
            <w:r>
              <w:rPr>
                <w:sz w:val="20"/>
              </w:rPr>
              <w:t>1977–2010</w:t>
            </w:r>
          </w:p>
        </w:tc>
        <w:tc>
          <w:tcPr>
            <w:tcW w:w="3421" w:type="dxa"/>
          </w:tcPr>
          <w:p w14:paraId="592B9B91" w14:textId="77777777" w:rsidR="0046798B" w:rsidRDefault="0046798B">
            <w:pPr>
              <w:pStyle w:val="TableParagraph"/>
            </w:pPr>
          </w:p>
          <w:p w14:paraId="78FBDF2A" w14:textId="77777777" w:rsidR="0046798B" w:rsidRDefault="0046798B">
            <w:pPr>
              <w:pStyle w:val="TableParagraph"/>
            </w:pPr>
          </w:p>
          <w:p w14:paraId="71AD5820" w14:textId="77777777" w:rsidR="0046798B" w:rsidRDefault="0046798B">
            <w:pPr>
              <w:pStyle w:val="TableParagraph"/>
            </w:pPr>
          </w:p>
          <w:p w14:paraId="221AA5DC" w14:textId="77777777" w:rsidR="0046798B" w:rsidRDefault="0046798B">
            <w:pPr>
              <w:pStyle w:val="TableParagraph"/>
            </w:pPr>
          </w:p>
          <w:p w14:paraId="7359A17D" w14:textId="77777777" w:rsidR="0046798B" w:rsidRDefault="0046798B">
            <w:pPr>
              <w:pStyle w:val="TableParagraph"/>
              <w:spacing w:before="9"/>
              <w:rPr>
                <w:sz w:val="25"/>
              </w:rPr>
            </w:pPr>
          </w:p>
          <w:p w14:paraId="50953DEF" w14:textId="77777777" w:rsidR="0046798B" w:rsidRDefault="00903B5C">
            <w:pPr>
              <w:pStyle w:val="TableParagraph"/>
              <w:ind w:left="114" w:right="227"/>
              <w:rPr>
                <w:sz w:val="20"/>
              </w:rPr>
            </w:pPr>
            <w:r>
              <w:rPr>
                <w:sz w:val="20"/>
              </w:rPr>
              <w:t>Average percent that winning candidates got in this year’s election (of the total vote), and in the elections whose values were put in the three calendar years prior to that. Average weighted by the number of seats up in each election in the chamber-year.</w:t>
            </w:r>
          </w:p>
          <w:p w14:paraId="0875C7AE" w14:textId="77777777" w:rsidR="0046798B" w:rsidRDefault="00903B5C">
            <w:pPr>
              <w:pStyle w:val="TableParagraph"/>
              <w:spacing w:before="1"/>
              <w:ind w:left="114"/>
              <w:rPr>
                <w:sz w:val="20"/>
              </w:rPr>
            </w:pPr>
            <w:r>
              <w:rPr>
                <w:sz w:val="20"/>
              </w:rPr>
              <w:t>Eight-year moving average.</w:t>
            </w:r>
          </w:p>
        </w:tc>
        <w:tc>
          <w:tcPr>
            <w:tcW w:w="6482" w:type="dxa"/>
          </w:tcPr>
          <w:p w14:paraId="297A0720" w14:textId="77777777" w:rsidR="0046798B" w:rsidRDefault="00903B5C">
            <w:pPr>
              <w:pStyle w:val="TableParagraph"/>
              <w:spacing w:before="43"/>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497010D8" w14:textId="77777777" w:rsidR="0046798B" w:rsidRDefault="0046798B">
            <w:pPr>
              <w:pStyle w:val="TableParagraph"/>
              <w:rPr>
                <w:sz w:val="20"/>
              </w:rPr>
            </w:pPr>
          </w:p>
          <w:p w14:paraId="6B430D7A" w14:textId="77777777" w:rsidR="0046798B" w:rsidRDefault="00903B5C">
            <w:pPr>
              <w:pStyle w:val="TableParagraph"/>
              <w:spacing w:before="1"/>
              <w:ind w:left="114" w:right="995"/>
              <w:rPr>
                <w:sz w:val="20"/>
              </w:rPr>
            </w:pPr>
            <w:r>
              <w:rPr>
                <w:sz w:val="20"/>
              </w:rPr>
              <w:t xml:space="preserve">Klarner, Carl, 2013, “Other Scholars’ Competitiveness Measures”, </w:t>
            </w:r>
            <w:hyperlink r:id="rId632">
              <w:r>
                <w:rPr>
                  <w:color w:val="0462C1"/>
                  <w:sz w:val="20"/>
                  <w:u w:val="single" w:color="0462C1"/>
                </w:rPr>
                <w:t>https://doi.org/10.7910/DVN/QSDYLH</w:t>
              </w:r>
              <w:r>
                <w:rPr>
                  <w:sz w:val="20"/>
                </w:rPr>
                <w:t>,</w:t>
              </w:r>
            </w:hyperlink>
            <w:r>
              <w:rPr>
                <w:sz w:val="20"/>
              </w:rPr>
              <w:t xml:space="preserve"> Harvard Dataverse, V1</w:t>
            </w:r>
          </w:p>
          <w:p w14:paraId="0668E774" w14:textId="77777777" w:rsidR="0046798B" w:rsidRDefault="0046798B">
            <w:pPr>
              <w:pStyle w:val="TableParagraph"/>
              <w:rPr>
                <w:sz w:val="20"/>
              </w:rPr>
            </w:pPr>
          </w:p>
          <w:p w14:paraId="0183F070" w14:textId="77777777" w:rsidR="0046798B" w:rsidRDefault="00903B5C">
            <w:pPr>
              <w:pStyle w:val="TableParagraph"/>
              <w:ind w:left="114" w:right="112"/>
              <w:rPr>
                <w:sz w:val="20"/>
              </w:rPr>
            </w:pPr>
            <w:r>
              <w:rPr>
                <w:sz w:val="20"/>
              </w:rPr>
              <w:t>Notes: for an even-year, in an even-year election state with all of a chamber’s seats up, this would give one-fourth weight to the current election, one-half weight to the last election, and one-fourth weight to the second to last election. For an odd year in such a state, half weight would be given to the election held last year, and half weight would be given to the election before that. WARNING: users can drop the even years in even year states if they don’t like the one-fourth/one-half/one-fourth weighting referred to above. For states with four-year election cycles, like Alabama, users might consider only keeping the values from three years after the calendar year of the election.</w:t>
            </w:r>
          </w:p>
          <w:p w14:paraId="3DAB9B01" w14:textId="77777777" w:rsidR="0046798B" w:rsidRDefault="00903B5C">
            <w:pPr>
              <w:pStyle w:val="TableParagraph"/>
              <w:spacing w:before="1"/>
              <w:ind w:left="114" w:right="183"/>
              <w:rPr>
                <w:sz w:val="20"/>
              </w:rPr>
            </w:pPr>
            <w:r>
              <w:rPr>
                <w:sz w:val="20"/>
              </w:rPr>
              <w:t>Candidates in FFA-MMDs have their % multiplied by the number of seats in the FFA-MMD. After computing this quantity for both chambers, those two quantities are averaged.</w:t>
            </w:r>
          </w:p>
        </w:tc>
      </w:tr>
      <w:tr w:rsidR="0046798B" w14:paraId="554C5FE1" w14:textId="77777777">
        <w:trPr>
          <w:trHeight w:val="2616"/>
        </w:trPr>
        <w:tc>
          <w:tcPr>
            <w:tcW w:w="1711" w:type="dxa"/>
          </w:tcPr>
          <w:p w14:paraId="20130E5B" w14:textId="77777777" w:rsidR="0046798B" w:rsidRDefault="0046798B">
            <w:pPr>
              <w:pStyle w:val="TableParagraph"/>
            </w:pPr>
          </w:p>
          <w:p w14:paraId="161A7647" w14:textId="77777777" w:rsidR="0046798B" w:rsidRDefault="0046798B">
            <w:pPr>
              <w:pStyle w:val="TableParagraph"/>
            </w:pPr>
          </w:p>
          <w:p w14:paraId="103844A2" w14:textId="77777777" w:rsidR="0046798B" w:rsidRDefault="0046798B">
            <w:pPr>
              <w:pStyle w:val="TableParagraph"/>
            </w:pPr>
          </w:p>
          <w:p w14:paraId="59ADAF3A" w14:textId="77777777" w:rsidR="0046798B" w:rsidRDefault="0046798B">
            <w:pPr>
              <w:pStyle w:val="TableParagraph"/>
              <w:spacing w:before="9"/>
              <w:rPr>
                <w:sz w:val="27"/>
              </w:rPr>
            </w:pPr>
          </w:p>
          <w:p w14:paraId="77281CA2" w14:textId="77777777" w:rsidR="0046798B" w:rsidRDefault="00903B5C">
            <w:pPr>
              <w:pStyle w:val="TableParagraph"/>
              <w:ind w:left="115"/>
              <w:rPr>
                <w:b/>
                <w:sz w:val="20"/>
              </w:rPr>
            </w:pPr>
            <w:r>
              <w:rPr>
                <w:b/>
                <w:sz w:val="20"/>
              </w:rPr>
              <w:t>hvd2_winmargin</w:t>
            </w:r>
          </w:p>
          <w:p w14:paraId="58DF6784" w14:textId="77777777" w:rsidR="0046798B" w:rsidRDefault="00903B5C">
            <w:pPr>
              <w:pStyle w:val="TableParagraph"/>
              <w:ind w:left="115"/>
              <w:rPr>
                <w:b/>
                <w:sz w:val="20"/>
              </w:rPr>
            </w:pPr>
            <w:r>
              <w:rPr>
                <w:b/>
                <w:sz w:val="20"/>
              </w:rPr>
              <w:t>_8yr</w:t>
            </w:r>
          </w:p>
        </w:tc>
        <w:tc>
          <w:tcPr>
            <w:tcW w:w="1596" w:type="dxa"/>
          </w:tcPr>
          <w:p w14:paraId="0D9305C1" w14:textId="77777777" w:rsidR="0046798B" w:rsidRDefault="0046798B">
            <w:pPr>
              <w:pStyle w:val="TableParagraph"/>
            </w:pPr>
          </w:p>
          <w:p w14:paraId="5C506593" w14:textId="77777777" w:rsidR="0046798B" w:rsidRDefault="0046798B">
            <w:pPr>
              <w:pStyle w:val="TableParagraph"/>
              <w:spacing w:before="8"/>
              <w:rPr>
                <w:sz w:val="31"/>
              </w:rPr>
            </w:pPr>
          </w:p>
          <w:p w14:paraId="1355958B" w14:textId="77777777" w:rsidR="0046798B" w:rsidRDefault="00903B5C">
            <w:pPr>
              <w:pStyle w:val="TableParagraph"/>
              <w:spacing w:before="1"/>
              <w:ind w:left="114" w:right="169"/>
              <w:rPr>
                <w:sz w:val="20"/>
              </w:rPr>
            </w:pPr>
            <w:r>
              <w:rPr>
                <w:sz w:val="20"/>
              </w:rPr>
              <w:t>Average winning margin by which candidates won election: 8-yr. moving average</w:t>
            </w:r>
          </w:p>
        </w:tc>
        <w:tc>
          <w:tcPr>
            <w:tcW w:w="1285" w:type="dxa"/>
          </w:tcPr>
          <w:p w14:paraId="5556A081" w14:textId="77777777" w:rsidR="0046798B" w:rsidRDefault="0046798B">
            <w:pPr>
              <w:pStyle w:val="TableParagraph"/>
            </w:pPr>
          </w:p>
          <w:p w14:paraId="775858BD" w14:textId="77777777" w:rsidR="0046798B" w:rsidRDefault="0046798B">
            <w:pPr>
              <w:pStyle w:val="TableParagraph"/>
            </w:pPr>
          </w:p>
          <w:p w14:paraId="13514FBC" w14:textId="77777777" w:rsidR="0046798B" w:rsidRDefault="0046798B">
            <w:pPr>
              <w:pStyle w:val="TableParagraph"/>
            </w:pPr>
          </w:p>
          <w:p w14:paraId="316CA98D" w14:textId="77777777" w:rsidR="0046798B" w:rsidRDefault="0046798B">
            <w:pPr>
              <w:pStyle w:val="TableParagraph"/>
            </w:pPr>
          </w:p>
          <w:p w14:paraId="30B1604A" w14:textId="77777777" w:rsidR="0046798B" w:rsidRDefault="00903B5C">
            <w:pPr>
              <w:pStyle w:val="TableParagraph"/>
              <w:spacing w:before="182"/>
              <w:ind w:left="114"/>
              <w:rPr>
                <w:sz w:val="20"/>
              </w:rPr>
            </w:pPr>
            <w:r>
              <w:rPr>
                <w:sz w:val="20"/>
              </w:rPr>
              <w:t>1977–2010</w:t>
            </w:r>
          </w:p>
        </w:tc>
        <w:tc>
          <w:tcPr>
            <w:tcW w:w="3421" w:type="dxa"/>
          </w:tcPr>
          <w:p w14:paraId="1FC7B719" w14:textId="77777777" w:rsidR="0046798B" w:rsidRDefault="0046798B">
            <w:pPr>
              <w:pStyle w:val="TableParagraph"/>
            </w:pPr>
          </w:p>
          <w:p w14:paraId="4BC8071C" w14:textId="77777777" w:rsidR="0046798B" w:rsidRDefault="00903B5C">
            <w:pPr>
              <w:pStyle w:val="TableParagraph"/>
              <w:spacing w:before="135"/>
              <w:ind w:left="114" w:right="127"/>
              <w:rPr>
                <w:sz w:val="20"/>
              </w:rPr>
            </w:pPr>
            <w:r>
              <w:rPr>
                <w:sz w:val="20"/>
              </w:rPr>
              <w:t>Average percent margin (of the total vote) by which winning candidates win (in this election or the elections that were put into the last three calendar years). Average weighted by the number of seats up in each election in the chamber-year. Eight-year moving average.</w:t>
            </w:r>
          </w:p>
        </w:tc>
        <w:tc>
          <w:tcPr>
            <w:tcW w:w="6482" w:type="dxa"/>
          </w:tcPr>
          <w:p w14:paraId="53C58C85" w14:textId="77777777" w:rsidR="0046798B" w:rsidRDefault="00903B5C">
            <w:pPr>
              <w:pStyle w:val="TableParagraph"/>
              <w:spacing w:before="43"/>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5CACB1DE" w14:textId="77777777" w:rsidR="0046798B" w:rsidRDefault="0046798B">
            <w:pPr>
              <w:pStyle w:val="TableParagraph"/>
              <w:rPr>
                <w:sz w:val="20"/>
              </w:rPr>
            </w:pPr>
          </w:p>
          <w:p w14:paraId="68306C89" w14:textId="77777777" w:rsidR="0046798B" w:rsidRDefault="00903B5C">
            <w:pPr>
              <w:pStyle w:val="TableParagraph"/>
              <w:ind w:left="114" w:right="995"/>
              <w:rPr>
                <w:sz w:val="20"/>
              </w:rPr>
            </w:pPr>
            <w:r>
              <w:rPr>
                <w:sz w:val="20"/>
              </w:rPr>
              <w:t xml:space="preserve">Klarner, Carl, 2013, “Other Scholars’ Competitiveness Measures”, </w:t>
            </w:r>
            <w:hyperlink r:id="rId633">
              <w:r>
                <w:rPr>
                  <w:color w:val="0462C1"/>
                  <w:sz w:val="20"/>
                  <w:u w:val="single" w:color="0462C1"/>
                </w:rPr>
                <w:t>https://doi.org/10.7910/DVN/QSDYLH</w:t>
              </w:r>
              <w:r>
                <w:rPr>
                  <w:sz w:val="20"/>
                </w:rPr>
                <w:t>,</w:t>
              </w:r>
            </w:hyperlink>
            <w:r>
              <w:rPr>
                <w:sz w:val="20"/>
              </w:rPr>
              <w:t xml:space="preserve"> Harvard Dataverse, V1</w:t>
            </w:r>
          </w:p>
          <w:p w14:paraId="24C0AA46" w14:textId="77777777" w:rsidR="0046798B" w:rsidRDefault="0046798B">
            <w:pPr>
              <w:pStyle w:val="TableParagraph"/>
              <w:rPr>
                <w:sz w:val="20"/>
              </w:rPr>
            </w:pPr>
          </w:p>
          <w:p w14:paraId="0E51057E" w14:textId="77777777" w:rsidR="0046798B" w:rsidRDefault="00903B5C">
            <w:pPr>
              <w:pStyle w:val="TableParagraph"/>
              <w:spacing w:before="1"/>
              <w:ind w:left="114" w:right="244"/>
              <w:rPr>
                <w:sz w:val="20"/>
              </w:rPr>
            </w:pPr>
            <w:r>
              <w:rPr>
                <w:sz w:val="20"/>
              </w:rPr>
              <w:t>Notes: For FFA-MMDs, this is compared to the loser with the largest % of the vote. In FFA-MMDs, this margin is multiplied by the number of seats in the FFA-MMD. After computing this quantity for both chambers, those two quantities are averaged.</w:t>
            </w:r>
          </w:p>
        </w:tc>
      </w:tr>
      <w:tr w:rsidR="0046798B" w14:paraId="608DE631" w14:textId="77777777">
        <w:trPr>
          <w:trHeight w:val="780"/>
        </w:trPr>
        <w:tc>
          <w:tcPr>
            <w:tcW w:w="1711" w:type="dxa"/>
          </w:tcPr>
          <w:p w14:paraId="6E0721E9" w14:textId="77777777" w:rsidR="0046798B" w:rsidRDefault="00903B5C">
            <w:pPr>
              <w:pStyle w:val="TableParagraph"/>
              <w:spacing w:before="158"/>
              <w:ind w:left="115" w:right="121"/>
              <w:rPr>
                <w:b/>
                <w:sz w:val="20"/>
              </w:rPr>
            </w:pPr>
            <w:r>
              <w:rPr>
                <w:b/>
                <w:sz w:val="20"/>
              </w:rPr>
              <w:t>hvd3_uncont_8y r</w:t>
            </w:r>
          </w:p>
        </w:tc>
        <w:tc>
          <w:tcPr>
            <w:tcW w:w="1596" w:type="dxa"/>
          </w:tcPr>
          <w:p w14:paraId="22ACEC6B" w14:textId="77777777" w:rsidR="0046798B" w:rsidRDefault="00903B5C">
            <w:pPr>
              <w:pStyle w:val="TableParagraph"/>
              <w:spacing w:before="43"/>
              <w:ind w:left="114" w:right="496"/>
              <w:rPr>
                <w:sz w:val="20"/>
              </w:rPr>
            </w:pPr>
            <w:r>
              <w:rPr>
                <w:sz w:val="20"/>
              </w:rPr>
              <w:t>Percent uncontested seats in an</w:t>
            </w:r>
          </w:p>
        </w:tc>
        <w:tc>
          <w:tcPr>
            <w:tcW w:w="1285" w:type="dxa"/>
          </w:tcPr>
          <w:p w14:paraId="5EF6999D" w14:textId="77777777" w:rsidR="0046798B" w:rsidRDefault="0046798B">
            <w:pPr>
              <w:pStyle w:val="TableParagraph"/>
              <w:spacing w:before="8"/>
              <w:rPr>
                <w:sz w:val="23"/>
              </w:rPr>
            </w:pPr>
          </w:p>
          <w:p w14:paraId="35700696" w14:textId="77777777" w:rsidR="0046798B" w:rsidRDefault="00903B5C">
            <w:pPr>
              <w:pStyle w:val="TableParagraph"/>
              <w:spacing w:before="1"/>
              <w:ind w:left="114"/>
              <w:rPr>
                <w:sz w:val="20"/>
              </w:rPr>
            </w:pPr>
            <w:r>
              <w:rPr>
                <w:sz w:val="20"/>
              </w:rPr>
              <w:t>1977–2010</w:t>
            </w:r>
          </w:p>
        </w:tc>
        <w:tc>
          <w:tcPr>
            <w:tcW w:w="3421" w:type="dxa"/>
          </w:tcPr>
          <w:p w14:paraId="25B96736" w14:textId="77777777" w:rsidR="0046798B" w:rsidRDefault="00903B5C">
            <w:pPr>
              <w:pStyle w:val="TableParagraph"/>
              <w:spacing w:before="158"/>
              <w:ind w:left="114" w:right="100"/>
              <w:rPr>
                <w:sz w:val="20"/>
              </w:rPr>
            </w:pPr>
            <w:r>
              <w:rPr>
                <w:sz w:val="20"/>
              </w:rPr>
              <w:t>Percent of seats that are uncontested (in this election or the elections that were</w:t>
            </w:r>
          </w:p>
        </w:tc>
        <w:tc>
          <w:tcPr>
            <w:tcW w:w="6482" w:type="dxa"/>
          </w:tcPr>
          <w:p w14:paraId="54B9375E" w14:textId="77777777" w:rsidR="0046798B" w:rsidRDefault="00903B5C">
            <w:pPr>
              <w:pStyle w:val="TableParagraph"/>
              <w:spacing w:before="43"/>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tc>
      </w:tr>
    </w:tbl>
    <w:p w14:paraId="3EC4C5DC" w14:textId="77777777" w:rsidR="0046798B" w:rsidRDefault="0046798B">
      <w:pPr>
        <w:rPr>
          <w:sz w:val="20"/>
        </w:rPr>
        <w:sectPr w:rsidR="0046798B">
          <w:pgSz w:w="15840" w:h="12240" w:orient="landscape"/>
          <w:pgMar w:top="1220" w:right="300" w:bottom="980" w:left="820" w:header="730" w:footer="787" w:gutter="0"/>
          <w:cols w:space="720"/>
        </w:sectPr>
      </w:pPr>
    </w:p>
    <w:p w14:paraId="1DE75D85"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2910F26D" w14:textId="77777777">
        <w:trPr>
          <w:trHeight w:val="2156"/>
        </w:trPr>
        <w:tc>
          <w:tcPr>
            <w:tcW w:w="1711" w:type="dxa"/>
          </w:tcPr>
          <w:p w14:paraId="4FFB6D90" w14:textId="77777777" w:rsidR="0046798B" w:rsidRDefault="0046798B">
            <w:pPr>
              <w:pStyle w:val="TableParagraph"/>
              <w:rPr>
                <w:sz w:val="20"/>
              </w:rPr>
            </w:pPr>
          </w:p>
        </w:tc>
        <w:tc>
          <w:tcPr>
            <w:tcW w:w="1596" w:type="dxa"/>
          </w:tcPr>
          <w:p w14:paraId="7BA71AA1" w14:textId="77777777" w:rsidR="0046798B" w:rsidRDefault="00903B5C">
            <w:pPr>
              <w:pStyle w:val="TableParagraph"/>
              <w:spacing w:before="43"/>
              <w:ind w:left="114" w:right="169"/>
              <w:rPr>
                <w:sz w:val="20"/>
              </w:rPr>
            </w:pPr>
            <w:r>
              <w:rPr>
                <w:sz w:val="20"/>
              </w:rPr>
              <w:t>election: 8-yr. moving average</w:t>
            </w:r>
          </w:p>
        </w:tc>
        <w:tc>
          <w:tcPr>
            <w:tcW w:w="1285" w:type="dxa"/>
          </w:tcPr>
          <w:p w14:paraId="54B59337" w14:textId="77777777" w:rsidR="0046798B" w:rsidRDefault="0046798B">
            <w:pPr>
              <w:pStyle w:val="TableParagraph"/>
              <w:rPr>
                <w:sz w:val="20"/>
              </w:rPr>
            </w:pPr>
          </w:p>
        </w:tc>
        <w:tc>
          <w:tcPr>
            <w:tcW w:w="3421" w:type="dxa"/>
          </w:tcPr>
          <w:p w14:paraId="54DD8137" w14:textId="77777777" w:rsidR="0046798B" w:rsidRDefault="00903B5C">
            <w:pPr>
              <w:pStyle w:val="TableParagraph"/>
              <w:spacing w:before="43"/>
              <w:ind w:left="114" w:right="287"/>
              <w:rPr>
                <w:sz w:val="20"/>
              </w:rPr>
            </w:pPr>
            <w:r>
              <w:rPr>
                <w:sz w:val="20"/>
              </w:rPr>
              <w:t>put into the last three calendar years). Eight-year moving average.</w:t>
            </w:r>
          </w:p>
        </w:tc>
        <w:tc>
          <w:tcPr>
            <w:tcW w:w="6482" w:type="dxa"/>
          </w:tcPr>
          <w:p w14:paraId="50B30BD2" w14:textId="77777777" w:rsidR="0046798B" w:rsidRDefault="0046798B">
            <w:pPr>
              <w:pStyle w:val="TableParagraph"/>
              <w:spacing w:before="9"/>
              <w:rPr>
                <w:sz w:val="23"/>
              </w:rPr>
            </w:pPr>
          </w:p>
          <w:p w14:paraId="7FD96641" w14:textId="77777777" w:rsidR="0046798B" w:rsidRDefault="00903B5C">
            <w:pPr>
              <w:pStyle w:val="TableParagraph"/>
              <w:ind w:left="114" w:right="995"/>
              <w:rPr>
                <w:sz w:val="20"/>
              </w:rPr>
            </w:pPr>
            <w:r>
              <w:rPr>
                <w:sz w:val="20"/>
              </w:rPr>
              <w:t xml:space="preserve">Klarner, Carl, 2013, “Other Scholars’ Competitiveness Measures”, </w:t>
            </w:r>
            <w:hyperlink r:id="rId634">
              <w:r>
                <w:rPr>
                  <w:color w:val="0462C1"/>
                  <w:sz w:val="20"/>
                  <w:u w:val="single" w:color="0462C1"/>
                </w:rPr>
                <w:t>https://doi.org/10.7910/DVN/QSDYLH</w:t>
              </w:r>
              <w:r>
                <w:rPr>
                  <w:sz w:val="20"/>
                </w:rPr>
                <w:t>,</w:t>
              </w:r>
            </w:hyperlink>
            <w:r>
              <w:rPr>
                <w:sz w:val="20"/>
              </w:rPr>
              <w:t xml:space="preserve"> Harvard Dataverse, V1</w:t>
            </w:r>
          </w:p>
          <w:p w14:paraId="5234CC30" w14:textId="77777777" w:rsidR="0046798B" w:rsidRDefault="0046798B">
            <w:pPr>
              <w:pStyle w:val="TableParagraph"/>
              <w:rPr>
                <w:sz w:val="20"/>
              </w:rPr>
            </w:pPr>
          </w:p>
          <w:p w14:paraId="4E8A41F3" w14:textId="77777777" w:rsidR="0046798B" w:rsidRDefault="00903B5C">
            <w:pPr>
              <w:pStyle w:val="TableParagraph"/>
              <w:ind w:left="114" w:right="119"/>
              <w:rPr>
                <w:sz w:val="20"/>
              </w:rPr>
            </w:pPr>
            <w:r>
              <w:rPr>
                <w:sz w:val="20"/>
              </w:rPr>
              <w:t>Notes: This takes under-contested seats in FFA-MMDs into account. For example, a three seat FFA-MMD with two Democrats and three Republicans would contribute “3” to the denominator, and “1” to the numerator of this variable. After computing this quantity for both chambers, those two quantities are averaged.</w:t>
            </w:r>
          </w:p>
        </w:tc>
      </w:tr>
      <w:tr w:rsidR="0046798B" w14:paraId="08596A79" w14:textId="77777777">
        <w:trPr>
          <w:trHeight w:val="2615"/>
        </w:trPr>
        <w:tc>
          <w:tcPr>
            <w:tcW w:w="1711" w:type="dxa"/>
          </w:tcPr>
          <w:p w14:paraId="0A310FB3" w14:textId="77777777" w:rsidR="0046798B" w:rsidRDefault="0046798B">
            <w:pPr>
              <w:pStyle w:val="TableParagraph"/>
            </w:pPr>
          </w:p>
          <w:p w14:paraId="1734002D" w14:textId="77777777" w:rsidR="0046798B" w:rsidRDefault="0046798B">
            <w:pPr>
              <w:pStyle w:val="TableParagraph"/>
            </w:pPr>
          </w:p>
          <w:p w14:paraId="40F77006" w14:textId="77777777" w:rsidR="0046798B" w:rsidRDefault="0046798B">
            <w:pPr>
              <w:pStyle w:val="TableParagraph"/>
            </w:pPr>
          </w:p>
          <w:p w14:paraId="6F91806D" w14:textId="77777777" w:rsidR="0046798B" w:rsidRDefault="0046798B">
            <w:pPr>
              <w:pStyle w:val="TableParagraph"/>
              <w:spacing w:before="9"/>
              <w:rPr>
                <w:sz w:val="27"/>
              </w:rPr>
            </w:pPr>
          </w:p>
          <w:p w14:paraId="3BF8C52B" w14:textId="77777777" w:rsidR="0046798B" w:rsidRDefault="00903B5C">
            <w:pPr>
              <w:pStyle w:val="TableParagraph"/>
              <w:ind w:left="115" w:right="177"/>
              <w:rPr>
                <w:b/>
                <w:sz w:val="20"/>
              </w:rPr>
            </w:pPr>
            <w:r>
              <w:rPr>
                <w:b/>
                <w:sz w:val="20"/>
              </w:rPr>
              <w:t>hvd4_safeseat_8 yr</w:t>
            </w:r>
          </w:p>
        </w:tc>
        <w:tc>
          <w:tcPr>
            <w:tcW w:w="1596" w:type="dxa"/>
          </w:tcPr>
          <w:p w14:paraId="51B0C7EE" w14:textId="77777777" w:rsidR="0046798B" w:rsidRDefault="0046798B">
            <w:pPr>
              <w:pStyle w:val="TableParagraph"/>
            </w:pPr>
          </w:p>
          <w:p w14:paraId="05F2CFFA" w14:textId="77777777" w:rsidR="0046798B" w:rsidRDefault="0046798B">
            <w:pPr>
              <w:pStyle w:val="TableParagraph"/>
            </w:pPr>
          </w:p>
          <w:p w14:paraId="4F216D7B" w14:textId="77777777" w:rsidR="0046798B" w:rsidRDefault="0046798B">
            <w:pPr>
              <w:pStyle w:val="TableParagraph"/>
            </w:pPr>
          </w:p>
          <w:p w14:paraId="5071E259" w14:textId="77777777" w:rsidR="0046798B" w:rsidRDefault="0046798B">
            <w:pPr>
              <w:pStyle w:val="TableParagraph"/>
              <w:spacing w:before="9"/>
              <w:rPr>
                <w:sz w:val="17"/>
              </w:rPr>
            </w:pPr>
          </w:p>
          <w:p w14:paraId="3C0541EE" w14:textId="77777777" w:rsidR="0046798B" w:rsidRDefault="00903B5C">
            <w:pPr>
              <w:pStyle w:val="TableParagraph"/>
              <w:ind w:left="114" w:right="169"/>
              <w:rPr>
                <w:sz w:val="20"/>
              </w:rPr>
            </w:pPr>
            <w:r>
              <w:rPr>
                <w:sz w:val="20"/>
              </w:rPr>
              <w:t>Pct. of “safe” seats: 8-yr. moving average</w:t>
            </w:r>
          </w:p>
        </w:tc>
        <w:tc>
          <w:tcPr>
            <w:tcW w:w="1285" w:type="dxa"/>
          </w:tcPr>
          <w:p w14:paraId="30BF19E2" w14:textId="77777777" w:rsidR="0046798B" w:rsidRDefault="0046798B">
            <w:pPr>
              <w:pStyle w:val="TableParagraph"/>
            </w:pPr>
          </w:p>
          <w:p w14:paraId="2E50C573" w14:textId="77777777" w:rsidR="0046798B" w:rsidRDefault="0046798B">
            <w:pPr>
              <w:pStyle w:val="TableParagraph"/>
            </w:pPr>
          </w:p>
          <w:p w14:paraId="6BB39827" w14:textId="77777777" w:rsidR="0046798B" w:rsidRDefault="0046798B">
            <w:pPr>
              <w:pStyle w:val="TableParagraph"/>
            </w:pPr>
          </w:p>
          <w:p w14:paraId="63E10607" w14:textId="77777777" w:rsidR="0046798B" w:rsidRDefault="0046798B">
            <w:pPr>
              <w:pStyle w:val="TableParagraph"/>
            </w:pPr>
          </w:p>
          <w:p w14:paraId="4AB1301B" w14:textId="77777777" w:rsidR="0046798B" w:rsidRDefault="00903B5C">
            <w:pPr>
              <w:pStyle w:val="TableParagraph"/>
              <w:spacing w:before="181"/>
              <w:ind w:left="114"/>
              <w:rPr>
                <w:sz w:val="20"/>
              </w:rPr>
            </w:pPr>
            <w:r>
              <w:rPr>
                <w:sz w:val="20"/>
              </w:rPr>
              <w:t>1977–2010</w:t>
            </w:r>
          </w:p>
        </w:tc>
        <w:tc>
          <w:tcPr>
            <w:tcW w:w="3421" w:type="dxa"/>
          </w:tcPr>
          <w:p w14:paraId="0A8F556D" w14:textId="77777777" w:rsidR="0046798B" w:rsidRDefault="0046798B">
            <w:pPr>
              <w:pStyle w:val="TableParagraph"/>
            </w:pPr>
          </w:p>
          <w:p w14:paraId="37CCF35E" w14:textId="77777777" w:rsidR="0046798B" w:rsidRDefault="0046798B">
            <w:pPr>
              <w:pStyle w:val="TableParagraph"/>
              <w:spacing w:before="9"/>
              <w:rPr>
                <w:sz w:val="31"/>
              </w:rPr>
            </w:pPr>
          </w:p>
          <w:p w14:paraId="4CA11C8A" w14:textId="77777777" w:rsidR="0046798B" w:rsidRDefault="00903B5C">
            <w:pPr>
              <w:pStyle w:val="TableParagraph"/>
              <w:ind w:left="114" w:right="183"/>
              <w:rPr>
                <w:sz w:val="20"/>
              </w:rPr>
            </w:pPr>
            <w:r>
              <w:rPr>
                <w:sz w:val="20"/>
              </w:rPr>
              <w:t>Percent of seats that are “safe” (in this election or the elections that were put into the last three calendar years). “Safe” is considered a winning margin of 10% or more. Eight-year moving average.</w:t>
            </w:r>
          </w:p>
        </w:tc>
        <w:tc>
          <w:tcPr>
            <w:tcW w:w="6482" w:type="dxa"/>
          </w:tcPr>
          <w:p w14:paraId="5BD0A73C" w14:textId="77777777" w:rsidR="0046798B" w:rsidRDefault="00903B5C">
            <w:pPr>
              <w:pStyle w:val="TableParagraph"/>
              <w:spacing w:before="43"/>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6EAC7F1D" w14:textId="77777777" w:rsidR="0046798B" w:rsidRDefault="0046798B">
            <w:pPr>
              <w:pStyle w:val="TableParagraph"/>
              <w:rPr>
                <w:sz w:val="20"/>
              </w:rPr>
            </w:pPr>
          </w:p>
          <w:p w14:paraId="6A955EF6" w14:textId="77777777" w:rsidR="0046798B" w:rsidRDefault="00903B5C">
            <w:pPr>
              <w:pStyle w:val="TableParagraph"/>
              <w:ind w:left="114" w:right="995"/>
              <w:rPr>
                <w:sz w:val="20"/>
              </w:rPr>
            </w:pPr>
            <w:r>
              <w:rPr>
                <w:sz w:val="20"/>
              </w:rPr>
              <w:t xml:space="preserve">Klarner, Carl, 2013, “Other Scholars’ Competitiveness Measures”, </w:t>
            </w:r>
            <w:hyperlink r:id="rId635">
              <w:r>
                <w:rPr>
                  <w:color w:val="0462C1"/>
                  <w:sz w:val="20"/>
                  <w:u w:val="single" w:color="0462C1"/>
                </w:rPr>
                <w:t>https://doi.org/10.7910/DVN/QSDYLH</w:t>
              </w:r>
              <w:r>
                <w:rPr>
                  <w:sz w:val="20"/>
                </w:rPr>
                <w:t>,</w:t>
              </w:r>
            </w:hyperlink>
            <w:r>
              <w:rPr>
                <w:sz w:val="20"/>
              </w:rPr>
              <w:t xml:space="preserve"> Harvard Dataverse, V1</w:t>
            </w:r>
          </w:p>
          <w:p w14:paraId="7F690511" w14:textId="77777777" w:rsidR="0046798B" w:rsidRDefault="0046798B">
            <w:pPr>
              <w:pStyle w:val="TableParagraph"/>
              <w:rPr>
                <w:sz w:val="20"/>
              </w:rPr>
            </w:pPr>
          </w:p>
          <w:p w14:paraId="7AF4471F" w14:textId="77777777" w:rsidR="0046798B" w:rsidRDefault="00903B5C">
            <w:pPr>
              <w:pStyle w:val="TableParagraph"/>
              <w:spacing w:before="1"/>
              <w:ind w:left="114" w:right="306"/>
              <w:rPr>
                <w:sz w:val="20"/>
              </w:rPr>
            </w:pPr>
            <w:r>
              <w:rPr>
                <w:sz w:val="20"/>
              </w:rPr>
              <w:t>Notes: For FFA-MMDs, a winner is considered “safe” when their margin times the number of seats is greater than 10%. For FFA-MMDs, margin is computed as above. After computing this quantity for both chambers, those two quantities are averaged.</w:t>
            </w:r>
          </w:p>
        </w:tc>
      </w:tr>
      <w:tr w:rsidR="0046798B" w14:paraId="09825107" w14:textId="77777777">
        <w:trPr>
          <w:trHeight w:val="2846"/>
        </w:trPr>
        <w:tc>
          <w:tcPr>
            <w:tcW w:w="1711" w:type="dxa"/>
          </w:tcPr>
          <w:p w14:paraId="69566152" w14:textId="77777777" w:rsidR="0046798B" w:rsidRDefault="0046798B">
            <w:pPr>
              <w:pStyle w:val="TableParagraph"/>
            </w:pPr>
          </w:p>
          <w:p w14:paraId="31E07DED" w14:textId="77777777" w:rsidR="0046798B" w:rsidRDefault="0046798B">
            <w:pPr>
              <w:pStyle w:val="TableParagraph"/>
            </w:pPr>
          </w:p>
          <w:p w14:paraId="0C4BBF99" w14:textId="77777777" w:rsidR="0046798B" w:rsidRDefault="0046798B">
            <w:pPr>
              <w:pStyle w:val="TableParagraph"/>
            </w:pPr>
          </w:p>
          <w:p w14:paraId="51020388" w14:textId="77777777" w:rsidR="0046798B" w:rsidRDefault="0046798B">
            <w:pPr>
              <w:pStyle w:val="TableParagraph"/>
            </w:pPr>
          </w:p>
          <w:p w14:paraId="554E6606" w14:textId="77777777" w:rsidR="0046798B" w:rsidRDefault="00903B5C">
            <w:pPr>
              <w:pStyle w:val="TableParagraph"/>
              <w:spacing w:before="182"/>
              <w:ind w:left="115" w:right="87"/>
              <w:rPr>
                <w:b/>
                <w:sz w:val="20"/>
              </w:rPr>
            </w:pPr>
            <w:r>
              <w:rPr>
                <w:b/>
                <w:sz w:val="20"/>
              </w:rPr>
              <w:t>unusable_seats_8 yr_per</w:t>
            </w:r>
          </w:p>
        </w:tc>
        <w:tc>
          <w:tcPr>
            <w:tcW w:w="1596" w:type="dxa"/>
          </w:tcPr>
          <w:p w14:paraId="3BACEA6B" w14:textId="77777777" w:rsidR="0046798B" w:rsidRDefault="0046798B">
            <w:pPr>
              <w:pStyle w:val="TableParagraph"/>
            </w:pPr>
          </w:p>
          <w:p w14:paraId="73A9D679" w14:textId="77777777" w:rsidR="0046798B" w:rsidRDefault="0046798B">
            <w:pPr>
              <w:pStyle w:val="TableParagraph"/>
            </w:pPr>
          </w:p>
          <w:p w14:paraId="5595C45C" w14:textId="77777777" w:rsidR="0046798B" w:rsidRDefault="0046798B">
            <w:pPr>
              <w:pStyle w:val="TableParagraph"/>
              <w:spacing w:before="9"/>
              <w:rPr>
                <w:sz w:val="29"/>
              </w:rPr>
            </w:pPr>
          </w:p>
          <w:p w14:paraId="6D9AE68B" w14:textId="77777777" w:rsidR="0046798B" w:rsidRDefault="00903B5C">
            <w:pPr>
              <w:pStyle w:val="TableParagraph"/>
              <w:ind w:left="114" w:right="203"/>
              <w:rPr>
                <w:sz w:val="20"/>
              </w:rPr>
            </w:pPr>
            <w:r>
              <w:rPr>
                <w:sz w:val="20"/>
              </w:rPr>
              <w:t>Pct. of seats unusable for other measures: 8-yr. moving average</w:t>
            </w:r>
          </w:p>
        </w:tc>
        <w:tc>
          <w:tcPr>
            <w:tcW w:w="1285" w:type="dxa"/>
          </w:tcPr>
          <w:p w14:paraId="6A8B5CA0" w14:textId="77777777" w:rsidR="0046798B" w:rsidRDefault="0046798B">
            <w:pPr>
              <w:pStyle w:val="TableParagraph"/>
            </w:pPr>
          </w:p>
          <w:p w14:paraId="7F6D6952" w14:textId="77777777" w:rsidR="0046798B" w:rsidRDefault="0046798B">
            <w:pPr>
              <w:pStyle w:val="TableParagraph"/>
            </w:pPr>
          </w:p>
          <w:p w14:paraId="236E7104" w14:textId="77777777" w:rsidR="0046798B" w:rsidRDefault="0046798B">
            <w:pPr>
              <w:pStyle w:val="TableParagraph"/>
            </w:pPr>
          </w:p>
          <w:p w14:paraId="5EF2749A" w14:textId="77777777" w:rsidR="0046798B" w:rsidRDefault="0046798B">
            <w:pPr>
              <w:pStyle w:val="TableParagraph"/>
            </w:pPr>
          </w:p>
          <w:p w14:paraId="16702318" w14:textId="77777777" w:rsidR="0046798B" w:rsidRDefault="0046798B">
            <w:pPr>
              <w:pStyle w:val="TableParagraph"/>
              <w:spacing w:before="9"/>
              <w:rPr>
                <w:sz w:val="25"/>
              </w:rPr>
            </w:pPr>
          </w:p>
          <w:p w14:paraId="66FF1FD1" w14:textId="77777777" w:rsidR="0046798B" w:rsidRDefault="00903B5C">
            <w:pPr>
              <w:pStyle w:val="TableParagraph"/>
              <w:ind w:left="114"/>
              <w:rPr>
                <w:sz w:val="20"/>
              </w:rPr>
            </w:pPr>
            <w:r>
              <w:rPr>
                <w:sz w:val="20"/>
              </w:rPr>
              <w:t>1977–2010</w:t>
            </w:r>
          </w:p>
        </w:tc>
        <w:tc>
          <w:tcPr>
            <w:tcW w:w="3421" w:type="dxa"/>
          </w:tcPr>
          <w:p w14:paraId="6474756E" w14:textId="77777777" w:rsidR="0046798B" w:rsidRDefault="00903B5C">
            <w:pPr>
              <w:pStyle w:val="TableParagraph"/>
              <w:spacing w:before="43"/>
              <w:ind w:left="114" w:right="105"/>
              <w:rPr>
                <w:sz w:val="20"/>
              </w:rPr>
            </w:pPr>
            <w:r>
              <w:rPr>
                <w:sz w:val="20"/>
              </w:rPr>
              <w:t>Percent of seats in this year and the three years prior to that are “unuseable” for the Holbrook and Van Dunk measure. Eight-year moving average. “Not useable” includes such things as missing vote returns (but not in uncontested elections in states that don’t put such elections on the ballot), missing party codes, or elections that only report the winner and information about the existence of other candidates is</w:t>
            </w:r>
            <w:r>
              <w:rPr>
                <w:spacing w:val="1"/>
                <w:sz w:val="20"/>
              </w:rPr>
              <w:t xml:space="preserve"> </w:t>
            </w:r>
            <w:r>
              <w:rPr>
                <w:sz w:val="20"/>
              </w:rPr>
              <w:t>unknown.</w:t>
            </w:r>
          </w:p>
        </w:tc>
        <w:tc>
          <w:tcPr>
            <w:tcW w:w="6482" w:type="dxa"/>
          </w:tcPr>
          <w:p w14:paraId="62C9FB5D" w14:textId="77777777" w:rsidR="0046798B" w:rsidRDefault="00903B5C">
            <w:pPr>
              <w:pStyle w:val="TableParagraph"/>
              <w:spacing w:before="43"/>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79BD0908" w14:textId="77777777" w:rsidR="0046798B" w:rsidRDefault="0046798B">
            <w:pPr>
              <w:pStyle w:val="TableParagraph"/>
              <w:rPr>
                <w:sz w:val="20"/>
              </w:rPr>
            </w:pPr>
          </w:p>
          <w:p w14:paraId="64106779" w14:textId="77777777" w:rsidR="0046798B" w:rsidRDefault="00903B5C">
            <w:pPr>
              <w:pStyle w:val="TableParagraph"/>
              <w:spacing w:before="1"/>
              <w:ind w:left="114" w:right="995"/>
              <w:rPr>
                <w:sz w:val="20"/>
              </w:rPr>
            </w:pPr>
            <w:r>
              <w:rPr>
                <w:sz w:val="20"/>
              </w:rPr>
              <w:t xml:space="preserve">Klarner, Carl, 2013, “Other Scholars’ Competitiveness Measures”, </w:t>
            </w:r>
            <w:hyperlink r:id="rId636">
              <w:r>
                <w:rPr>
                  <w:color w:val="0462C1"/>
                  <w:sz w:val="20"/>
                  <w:u w:val="single" w:color="0462C1"/>
                </w:rPr>
                <w:t>https://doi.org/10.7910/DVN/QSDYLH</w:t>
              </w:r>
              <w:r>
                <w:rPr>
                  <w:sz w:val="20"/>
                </w:rPr>
                <w:t>,</w:t>
              </w:r>
            </w:hyperlink>
            <w:r>
              <w:rPr>
                <w:sz w:val="20"/>
              </w:rPr>
              <w:t xml:space="preserve"> Harvard Dataverse, V1</w:t>
            </w:r>
          </w:p>
          <w:p w14:paraId="645E78A1" w14:textId="77777777" w:rsidR="0046798B" w:rsidRDefault="0046798B">
            <w:pPr>
              <w:pStyle w:val="TableParagraph"/>
              <w:rPr>
                <w:sz w:val="20"/>
              </w:rPr>
            </w:pPr>
          </w:p>
          <w:p w14:paraId="17469301" w14:textId="77777777" w:rsidR="0046798B" w:rsidRDefault="00903B5C">
            <w:pPr>
              <w:pStyle w:val="TableParagraph"/>
              <w:ind w:left="114" w:right="223"/>
              <w:rPr>
                <w:sz w:val="20"/>
              </w:rPr>
            </w:pPr>
            <w:r>
              <w:rPr>
                <w:sz w:val="20"/>
              </w:rPr>
              <w:t>Notes: Descriptive statistics for variable: 89.0% of state-years have 0% unusable seats, 98.7% have 5% or less unusable seats, 99.2% of state-years have 10% or less unusable seats, eight state-years have between 10 and 20% unusable seats, and eight more state-years have more than 20% unusable seats. The worst state-year has 49.8% of its seats with missing information.</w:t>
            </w:r>
          </w:p>
        </w:tc>
      </w:tr>
      <w:tr w:rsidR="0046798B" w14:paraId="590B7658" w14:textId="77777777">
        <w:trPr>
          <w:trHeight w:val="1470"/>
        </w:trPr>
        <w:tc>
          <w:tcPr>
            <w:tcW w:w="1711" w:type="dxa"/>
          </w:tcPr>
          <w:p w14:paraId="676B2DD7" w14:textId="77777777" w:rsidR="0046798B" w:rsidRDefault="0046798B">
            <w:pPr>
              <w:pStyle w:val="TableParagraph"/>
            </w:pPr>
          </w:p>
          <w:p w14:paraId="15CA8912" w14:textId="77777777" w:rsidR="0046798B" w:rsidRDefault="0046798B">
            <w:pPr>
              <w:pStyle w:val="TableParagraph"/>
              <w:spacing w:before="9"/>
              <w:rPr>
                <w:sz w:val="21"/>
              </w:rPr>
            </w:pPr>
          </w:p>
          <w:p w14:paraId="15F9239A" w14:textId="77777777" w:rsidR="0046798B" w:rsidRDefault="00903B5C">
            <w:pPr>
              <w:pStyle w:val="TableParagraph"/>
              <w:ind w:left="115"/>
              <w:rPr>
                <w:b/>
                <w:sz w:val="20"/>
              </w:rPr>
            </w:pPr>
            <w:r>
              <w:rPr>
                <w:b/>
                <w:sz w:val="20"/>
              </w:rPr>
              <w:t>hvd1_winper_10 yr</w:t>
            </w:r>
          </w:p>
        </w:tc>
        <w:tc>
          <w:tcPr>
            <w:tcW w:w="1596" w:type="dxa"/>
          </w:tcPr>
          <w:p w14:paraId="11D776EE" w14:textId="77777777" w:rsidR="0046798B" w:rsidRDefault="00903B5C">
            <w:pPr>
              <w:pStyle w:val="TableParagraph"/>
              <w:spacing w:before="43"/>
              <w:ind w:left="114" w:right="169"/>
              <w:rPr>
                <w:sz w:val="20"/>
              </w:rPr>
            </w:pPr>
            <w:r>
              <w:rPr>
                <w:sz w:val="20"/>
              </w:rPr>
              <w:t>Average pct. winning candidates received in election: 10-yr. moving average</w:t>
            </w:r>
          </w:p>
        </w:tc>
        <w:tc>
          <w:tcPr>
            <w:tcW w:w="1285" w:type="dxa"/>
          </w:tcPr>
          <w:p w14:paraId="11FA53D8" w14:textId="77777777" w:rsidR="0046798B" w:rsidRDefault="0046798B">
            <w:pPr>
              <w:pStyle w:val="TableParagraph"/>
            </w:pPr>
          </w:p>
          <w:p w14:paraId="4B6F2E9B" w14:textId="77777777" w:rsidR="0046798B" w:rsidRDefault="0046798B">
            <w:pPr>
              <w:pStyle w:val="TableParagraph"/>
              <w:spacing w:before="9"/>
              <w:rPr>
                <w:sz w:val="31"/>
              </w:rPr>
            </w:pPr>
          </w:p>
          <w:p w14:paraId="035BBF70" w14:textId="77777777" w:rsidR="0046798B" w:rsidRDefault="00903B5C">
            <w:pPr>
              <w:pStyle w:val="TableParagraph"/>
              <w:ind w:left="114"/>
              <w:rPr>
                <w:sz w:val="20"/>
              </w:rPr>
            </w:pPr>
            <w:r>
              <w:rPr>
                <w:sz w:val="20"/>
              </w:rPr>
              <w:t>1979–2010</w:t>
            </w:r>
          </w:p>
        </w:tc>
        <w:tc>
          <w:tcPr>
            <w:tcW w:w="3421" w:type="dxa"/>
          </w:tcPr>
          <w:p w14:paraId="71CBD7F8" w14:textId="77777777" w:rsidR="0046798B" w:rsidRDefault="00903B5C">
            <w:pPr>
              <w:pStyle w:val="TableParagraph"/>
              <w:spacing w:before="43"/>
              <w:ind w:left="114" w:right="227"/>
              <w:rPr>
                <w:sz w:val="20"/>
              </w:rPr>
            </w:pPr>
            <w:r>
              <w:rPr>
                <w:sz w:val="20"/>
              </w:rPr>
              <w:t>Average percent that winning candidates got in this year’s election (of the total vote), and in the elections whose values were put in the three calendar years prior to that. Average weighted by the number of seats up in</w:t>
            </w:r>
          </w:p>
        </w:tc>
        <w:tc>
          <w:tcPr>
            <w:tcW w:w="6482" w:type="dxa"/>
          </w:tcPr>
          <w:p w14:paraId="34292C59" w14:textId="77777777" w:rsidR="0046798B" w:rsidRDefault="00903B5C">
            <w:pPr>
              <w:pStyle w:val="TableParagraph"/>
              <w:spacing w:before="43"/>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2A971180" w14:textId="77777777" w:rsidR="0046798B" w:rsidRDefault="0046798B">
            <w:pPr>
              <w:pStyle w:val="TableParagraph"/>
              <w:rPr>
                <w:sz w:val="20"/>
              </w:rPr>
            </w:pPr>
          </w:p>
          <w:p w14:paraId="008713B3" w14:textId="77777777" w:rsidR="0046798B" w:rsidRDefault="00903B5C">
            <w:pPr>
              <w:pStyle w:val="TableParagraph"/>
              <w:ind w:left="114" w:right="995"/>
              <w:rPr>
                <w:sz w:val="20"/>
              </w:rPr>
            </w:pPr>
            <w:r>
              <w:rPr>
                <w:sz w:val="20"/>
              </w:rPr>
              <w:t xml:space="preserve">Klarner, Carl, 2013, “Other Scholars’ Competitiveness Measures”, </w:t>
            </w:r>
            <w:hyperlink r:id="rId637">
              <w:r>
                <w:rPr>
                  <w:color w:val="0462C1"/>
                  <w:sz w:val="20"/>
                  <w:u w:val="single" w:color="0462C1"/>
                </w:rPr>
                <w:t>https://doi.org/10.7910/DVN/QSDYLH</w:t>
              </w:r>
              <w:r>
                <w:rPr>
                  <w:sz w:val="20"/>
                </w:rPr>
                <w:t>,</w:t>
              </w:r>
            </w:hyperlink>
            <w:r>
              <w:rPr>
                <w:sz w:val="20"/>
              </w:rPr>
              <w:t xml:space="preserve"> Harvard Dataverse, V1</w:t>
            </w:r>
          </w:p>
        </w:tc>
      </w:tr>
    </w:tbl>
    <w:p w14:paraId="27C7F047" w14:textId="77777777" w:rsidR="0046798B" w:rsidRDefault="0046798B">
      <w:pPr>
        <w:rPr>
          <w:sz w:val="20"/>
        </w:rPr>
        <w:sectPr w:rsidR="0046798B">
          <w:pgSz w:w="15840" w:h="12240" w:orient="landscape"/>
          <w:pgMar w:top="1220" w:right="300" w:bottom="980" w:left="820" w:header="730" w:footer="787" w:gutter="0"/>
          <w:cols w:space="720"/>
        </w:sectPr>
      </w:pPr>
    </w:p>
    <w:p w14:paraId="3C599EB9"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812C549" w14:textId="77777777">
        <w:trPr>
          <w:trHeight w:val="3076"/>
        </w:trPr>
        <w:tc>
          <w:tcPr>
            <w:tcW w:w="1711" w:type="dxa"/>
          </w:tcPr>
          <w:p w14:paraId="552AEB42" w14:textId="77777777" w:rsidR="0046798B" w:rsidRDefault="0046798B">
            <w:pPr>
              <w:pStyle w:val="TableParagraph"/>
              <w:rPr>
                <w:sz w:val="20"/>
              </w:rPr>
            </w:pPr>
          </w:p>
        </w:tc>
        <w:tc>
          <w:tcPr>
            <w:tcW w:w="1596" w:type="dxa"/>
          </w:tcPr>
          <w:p w14:paraId="6A902AD3" w14:textId="77777777" w:rsidR="0046798B" w:rsidRDefault="0046798B">
            <w:pPr>
              <w:pStyle w:val="TableParagraph"/>
              <w:rPr>
                <w:sz w:val="20"/>
              </w:rPr>
            </w:pPr>
          </w:p>
        </w:tc>
        <w:tc>
          <w:tcPr>
            <w:tcW w:w="1285" w:type="dxa"/>
          </w:tcPr>
          <w:p w14:paraId="37C7D76A" w14:textId="77777777" w:rsidR="0046798B" w:rsidRDefault="0046798B">
            <w:pPr>
              <w:pStyle w:val="TableParagraph"/>
              <w:rPr>
                <w:sz w:val="20"/>
              </w:rPr>
            </w:pPr>
          </w:p>
        </w:tc>
        <w:tc>
          <w:tcPr>
            <w:tcW w:w="3421" w:type="dxa"/>
          </w:tcPr>
          <w:p w14:paraId="089FD387" w14:textId="77777777" w:rsidR="0046798B" w:rsidRDefault="00903B5C">
            <w:pPr>
              <w:pStyle w:val="TableParagraph"/>
              <w:spacing w:before="43"/>
              <w:ind w:left="114" w:right="101"/>
              <w:rPr>
                <w:sz w:val="20"/>
              </w:rPr>
            </w:pPr>
            <w:r>
              <w:rPr>
                <w:sz w:val="20"/>
              </w:rPr>
              <w:t>each election in the chamber-year. Ten- year moving average.</w:t>
            </w:r>
          </w:p>
        </w:tc>
        <w:tc>
          <w:tcPr>
            <w:tcW w:w="6482" w:type="dxa"/>
          </w:tcPr>
          <w:p w14:paraId="7682A999" w14:textId="77777777" w:rsidR="0046798B" w:rsidRDefault="0046798B">
            <w:pPr>
              <w:pStyle w:val="TableParagraph"/>
              <w:spacing w:before="9"/>
              <w:rPr>
                <w:sz w:val="23"/>
              </w:rPr>
            </w:pPr>
          </w:p>
          <w:p w14:paraId="0DB13E55" w14:textId="77777777" w:rsidR="0046798B" w:rsidRDefault="00903B5C">
            <w:pPr>
              <w:pStyle w:val="TableParagraph"/>
              <w:ind w:left="114" w:right="112"/>
              <w:rPr>
                <w:sz w:val="20"/>
              </w:rPr>
            </w:pPr>
            <w:r>
              <w:rPr>
                <w:sz w:val="20"/>
              </w:rPr>
              <w:t>Notes: for an even-year, in an even-year election state with all of a chamber’s seats up, this would give one-fourth weight to the current election, one-half weight to the last election, and one-fourth weight to the second to last election. For an odd year in such a state, half weight would be given to the election held last year, and half weight would be given to the election before that. WARNING: users can drop the even years in even year states if they don’t like the one-fourth/one-half/one-fourth weighting referred to above. For states with four-year election cycles, like Alabama, users might consider only keeping the values from three years after the calendar year of the election.</w:t>
            </w:r>
          </w:p>
          <w:p w14:paraId="63B0FE25" w14:textId="77777777" w:rsidR="0046798B" w:rsidRDefault="00903B5C">
            <w:pPr>
              <w:pStyle w:val="TableParagraph"/>
              <w:spacing w:before="1"/>
              <w:ind w:left="114" w:right="183"/>
              <w:rPr>
                <w:sz w:val="20"/>
              </w:rPr>
            </w:pPr>
            <w:r>
              <w:rPr>
                <w:sz w:val="20"/>
              </w:rPr>
              <w:t>Candidates in FFA-MMDs have their % multiplied by the number of seats in the FFA-MMD. After computing this quantity for both chambers, those two quantities are averaged.</w:t>
            </w:r>
          </w:p>
        </w:tc>
      </w:tr>
      <w:tr w:rsidR="0046798B" w14:paraId="4538FE82" w14:textId="77777777">
        <w:trPr>
          <w:trHeight w:val="2615"/>
        </w:trPr>
        <w:tc>
          <w:tcPr>
            <w:tcW w:w="1711" w:type="dxa"/>
          </w:tcPr>
          <w:p w14:paraId="23272DF4" w14:textId="77777777" w:rsidR="0046798B" w:rsidRDefault="0046798B">
            <w:pPr>
              <w:pStyle w:val="TableParagraph"/>
            </w:pPr>
          </w:p>
          <w:p w14:paraId="311AB877" w14:textId="77777777" w:rsidR="0046798B" w:rsidRDefault="0046798B">
            <w:pPr>
              <w:pStyle w:val="TableParagraph"/>
            </w:pPr>
          </w:p>
          <w:p w14:paraId="69238A5D" w14:textId="77777777" w:rsidR="0046798B" w:rsidRDefault="0046798B">
            <w:pPr>
              <w:pStyle w:val="TableParagraph"/>
            </w:pPr>
          </w:p>
          <w:p w14:paraId="13800986" w14:textId="77777777" w:rsidR="0046798B" w:rsidRDefault="0046798B">
            <w:pPr>
              <w:pStyle w:val="TableParagraph"/>
              <w:spacing w:before="9"/>
              <w:rPr>
                <w:sz w:val="27"/>
              </w:rPr>
            </w:pPr>
          </w:p>
          <w:p w14:paraId="31FA1732" w14:textId="77777777" w:rsidR="0046798B" w:rsidRDefault="00903B5C">
            <w:pPr>
              <w:pStyle w:val="TableParagraph"/>
              <w:ind w:left="115"/>
              <w:rPr>
                <w:b/>
                <w:sz w:val="20"/>
              </w:rPr>
            </w:pPr>
            <w:r>
              <w:rPr>
                <w:b/>
                <w:sz w:val="20"/>
              </w:rPr>
              <w:t>hvd2_winmargin</w:t>
            </w:r>
          </w:p>
          <w:p w14:paraId="6258B7DF" w14:textId="77777777" w:rsidR="0046798B" w:rsidRDefault="00903B5C">
            <w:pPr>
              <w:pStyle w:val="TableParagraph"/>
              <w:ind w:left="115"/>
              <w:rPr>
                <w:b/>
                <w:sz w:val="20"/>
              </w:rPr>
            </w:pPr>
            <w:r>
              <w:rPr>
                <w:b/>
                <w:sz w:val="20"/>
              </w:rPr>
              <w:t>_10yr</w:t>
            </w:r>
          </w:p>
        </w:tc>
        <w:tc>
          <w:tcPr>
            <w:tcW w:w="1596" w:type="dxa"/>
          </w:tcPr>
          <w:p w14:paraId="0092D6A2" w14:textId="77777777" w:rsidR="0046798B" w:rsidRDefault="0046798B">
            <w:pPr>
              <w:pStyle w:val="TableParagraph"/>
            </w:pPr>
          </w:p>
          <w:p w14:paraId="1C40B88E" w14:textId="77777777" w:rsidR="0046798B" w:rsidRDefault="0046798B">
            <w:pPr>
              <w:pStyle w:val="TableParagraph"/>
              <w:spacing w:before="8"/>
              <w:rPr>
                <w:sz w:val="31"/>
              </w:rPr>
            </w:pPr>
          </w:p>
          <w:p w14:paraId="79F4DFCC" w14:textId="77777777" w:rsidR="0046798B" w:rsidRDefault="00903B5C">
            <w:pPr>
              <w:pStyle w:val="TableParagraph"/>
              <w:spacing w:before="1"/>
              <w:ind w:left="114" w:right="169"/>
              <w:rPr>
                <w:sz w:val="20"/>
              </w:rPr>
            </w:pPr>
            <w:r>
              <w:rPr>
                <w:sz w:val="20"/>
              </w:rPr>
              <w:t>Average winning margin by which candidates won election: 10-yr. moving average</w:t>
            </w:r>
          </w:p>
        </w:tc>
        <w:tc>
          <w:tcPr>
            <w:tcW w:w="1285" w:type="dxa"/>
          </w:tcPr>
          <w:p w14:paraId="423A9400" w14:textId="77777777" w:rsidR="0046798B" w:rsidRDefault="0046798B">
            <w:pPr>
              <w:pStyle w:val="TableParagraph"/>
            </w:pPr>
          </w:p>
          <w:p w14:paraId="5C4CA209" w14:textId="77777777" w:rsidR="0046798B" w:rsidRDefault="0046798B">
            <w:pPr>
              <w:pStyle w:val="TableParagraph"/>
            </w:pPr>
          </w:p>
          <w:p w14:paraId="02F10B8A" w14:textId="77777777" w:rsidR="0046798B" w:rsidRDefault="0046798B">
            <w:pPr>
              <w:pStyle w:val="TableParagraph"/>
            </w:pPr>
          </w:p>
          <w:p w14:paraId="74545F8F" w14:textId="77777777" w:rsidR="0046798B" w:rsidRDefault="0046798B">
            <w:pPr>
              <w:pStyle w:val="TableParagraph"/>
            </w:pPr>
          </w:p>
          <w:p w14:paraId="63E2D428" w14:textId="77777777" w:rsidR="0046798B" w:rsidRDefault="00903B5C">
            <w:pPr>
              <w:pStyle w:val="TableParagraph"/>
              <w:spacing w:before="181"/>
              <w:ind w:left="114"/>
              <w:rPr>
                <w:sz w:val="20"/>
              </w:rPr>
            </w:pPr>
            <w:r>
              <w:rPr>
                <w:sz w:val="20"/>
              </w:rPr>
              <w:t>1979–2010</w:t>
            </w:r>
          </w:p>
        </w:tc>
        <w:tc>
          <w:tcPr>
            <w:tcW w:w="3421" w:type="dxa"/>
          </w:tcPr>
          <w:p w14:paraId="0FF1DFF8" w14:textId="77777777" w:rsidR="0046798B" w:rsidRDefault="0046798B">
            <w:pPr>
              <w:pStyle w:val="TableParagraph"/>
            </w:pPr>
          </w:p>
          <w:p w14:paraId="4D29F3FA" w14:textId="77777777" w:rsidR="0046798B" w:rsidRDefault="00903B5C">
            <w:pPr>
              <w:pStyle w:val="TableParagraph"/>
              <w:spacing w:before="135"/>
              <w:ind w:left="114" w:right="127"/>
              <w:rPr>
                <w:sz w:val="20"/>
              </w:rPr>
            </w:pPr>
            <w:r>
              <w:rPr>
                <w:sz w:val="20"/>
              </w:rPr>
              <w:t>Average percent margin (of the total vote) by which winning candidates win (in this election or the elections that were put into the last three calendar years). Average weighted by the number of seats up in each election in the chamber-year. Ten-year moving average.</w:t>
            </w:r>
          </w:p>
        </w:tc>
        <w:tc>
          <w:tcPr>
            <w:tcW w:w="6482" w:type="dxa"/>
          </w:tcPr>
          <w:p w14:paraId="5D819137" w14:textId="77777777" w:rsidR="0046798B" w:rsidRDefault="00903B5C">
            <w:pPr>
              <w:pStyle w:val="TableParagraph"/>
              <w:spacing w:before="43"/>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4EACCB30" w14:textId="77777777" w:rsidR="0046798B" w:rsidRDefault="0046798B">
            <w:pPr>
              <w:pStyle w:val="TableParagraph"/>
              <w:rPr>
                <w:sz w:val="20"/>
              </w:rPr>
            </w:pPr>
          </w:p>
          <w:p w14:paraId="55FBD2F8" w14:textId="77777777" w:rsidR="0046798B" w:rsidRDefault="00903B5C">
            <w:pPr>
              <w:pStyle w:val="TableParagraph"/>
              <w:ind w:left="114" w:right="995"/>
              <w:rPr>
                <w:sz w:val="20"/>
              </w:rPr>
            </w:pPr>
            <w:r>
              <w:rPr>
                <w:sz w:val="20"/>
              </w:rPr>
              <w:t xml:space="preserve">Klarner, Carl, 2013, “Other Scholars’ Competitiveness Measures”, </w:t>
            </w:r>
            <w:hyperlink r:id="rId638">
              <w:r>
                <w:rPr>
                  <w:color w:val="0462C1"/>
                  <w:sz w:val="20"/>
                  <w:u w:val="single" w:color="0462C1"/>
                </w:rPr>
                <w:t>https://doi.org/10.7910/DVN/QSDYLH</w:t>
              </w:r>
              <w:r>
                <w:rPr>
                  <w:sz w:val="20"/>
                </w:rPr>
                <w:t>,</w:t>
              </w:r>
            </w:hyperlink>
            <w:r>
              <w:rPr>
                <w:sz w:val="20"/>
              </w:rPr>
              <w:t xml:space="preserve"> Harvard Dataverse, V1</w:t>
            </w:r>
          </w:p>
          <w:p w14:paraId="38D94877" w14:textId="77777777" w:rsidR="0046798B" w:rsidRDefault="0046798B">
            <w:pPr>
              <w:pStyle w:val="TableParagraph"/>
              <w:rPr>
                <w:sz w:val="20"/>
              </w:rPr>
            </w:pPr>
          </w:p>
          <w:p w14:paraId="02BDC4F1" w14:textId="77777777" w:rsidR="0046798B" w:rsidRDefault="00903B5C">
            <w:pPr>
              <w:pStyle w:val="TableParagraph"/>
              <w:spacing w:before="1"/>
              <w:ind w:left="114" w:right="244"/>
              <w:rPr>
                <w:sz w:val="20"/>
              </w:rPr>
            </w:pPr>
            <w:r>
              <w:rPr>
                <w:sz w:val="20"/>
              </w:rPr>
              <w:t>Notes: For FFA-MMDs, this is compared to the loser with the largest % of the vote. In FFA-MMDs, this margin is multiplied by the number of seats in the FFA-MMD. After computing this quantity for both chambers, those two quantities are averaged.</w:t>
            </w:r>
          </w:p>
        </w:tc>
      </w:tr>
      <w:tr w:rsidR="0046798B" w14:paraId="59DF8DE2" w14:textId="77777777">
        <w:trPr>
          <w:trHeight w:val="2846"/>
        </w:trPr>
        <w:tc>
          <w:tcPr>
            <w:tcW w:w="1711" w:type="dxa"/>
          </w:tcPr>
          <w:p w14:paraId="36889A78" w14:textId="77777777" w:rsidR="0046798B" w:rsidRDefault="0046798B">
            <w:pPr>
              <w:pStyle w:val="TableParagraph"/>
            </w:pPr>
          </w:p>
          <w:p w14:paraId="319AC4E3" w14:textId="77777777" w:rsidR="0046798B" w:rsidRDefault="0046798B">
            <w:pPr>
              <w:pStyle w:val="TableParagraph"/>
            </w:pPr>
          </w:p>
          <w:p w14:paraId="19800365" w14:textId="77777777" w:rsidR="0046798B" w:rsidRDefault="0046798B">
            <w:pPr>
              <w:pStyle w:val="TableParagraph"/>
            </w:pPr>
          </w:p>
          <w:p w14:paraId="5F0F05BE" w14:textId="77777777" w:rsidR="0046798B" w:rsidRDefault="0046798B">
            <w:pPr>
              <w:pStyle w:val="TableParagraph"/>
            </w:pPr>
          </w:p>
          <w:p w14:paraId="5E5C31DF" w14:textId="77777777" w:rsidR="0046798B" w:rsidRDefault="00903B5C">
            <w:pPr>
              <w:pStyle w:val="TableParagraph"/>
              <w:spacing w:before="182"/>
              <w:ind w:left="115" w:right="121"/>
              <w:rPr>
                <w:b/>
                <w:sz w:val="20"/>
              </w:rPr>
            </w:pPr>
            <w:r>
              <w:rPr>
                <w:b/>
                <w:sz w:val="20"/>
              </w:rPr>
              <w:t>hvd3_uncont_10 yr</w:t>
            </w:r>
          </w:p>
        </w:tc>
        <w:tc>
          <w:tcPr>
            <w:tcW w:w="1596" w:type="dxa"/>
          </w:tcPr>
          <w:p w14:paraId="11F22EC7" w14:textId="77777777" w:rsidR="0046798B" w:rsidRDefault="0046798B">
            <w:pPr>
              <w:pStyle w:val="TableParagraph"/>
            </w:pPr>
          </w:p>
          <w:p w14:paraId="12F937F3" w14:textId="77777777" w:rsidR="0046798B" w:rsidRDefault="0046798B">
            <w:pPr>
              <w:pStyle w:val="TableParagraph"/>
            </w:pPr>
          </w:p>
          <w:p w14:paraId="7DE42CD5" w14:textId="77777777" w:rsidR="0046798B" w:rsidRDefault="0046798B">
            <w:pPr>
              <w:pStyle w:val="TableParagraph"/>
              <w:spacing w:before="9"/>
              <w:rPr>
                <w:sz w:val="29"/>
              </w:rPr>
            </w:pPr>
          </w:p>
          <w:p w14:paraId="3598D320" w14:textId="77777777" w:rsidR="0046798B" w:rsidRDefault="00903B5C">
            <w:pPr>
              <w:pStyle w:val="TableParagraph"/>
              <w:ind w:left="114" w:right="169"/>
              <w:rPr>
                <w:sz w:val="20"/>
              </w:rPr>
            </w:pPr>
            <w:r>
              <w:rPr>
                <w:sz w:val="20"/>
              </w:rPr>
              <w:t>Percent uncontested seats in an election: 10-yr. moving average</w:t>
            </w:r>
          </w:p>
        </w:tc>
        <w:tc>
          <w:tcPr>
            <w:tcW w:w="1285" w:type="dxa"/>
          </w:tcPr>
          <w:p w14:paraId="42E85442" w14:textId="77777777" w:rsidR="0046798B" w:rsidRDefault="0046798B">
            <w:pPr>
              <w:pStyle w:val="TableParagraph"/>
            </w:pPr>
          </w:p>
          <w:p w14:paraId="65F53573" w14:textId="77777777" w:rsidR="0046798B" w:rsidRDefault="0046798B">
            <w:pPr>
              <w:pStyle w:val="TableParagraph"/>
            </w:pPr>
          </w:p>
          <w:p w14:paraId="0B1075F1" w14:textId="77777777" w:rsidR="0046798B" w:rsidRDefault="0046798B">
            <w:pPr>
              <w:pStyle w:val="TableParagraph"/>
            </w:pPr>
          </w:p>
          <w:p w14:paraId="11894704" w14:textId="77777777" w:rsidR="0046798B" w:rsidRDefault="0046798B">
            <w:pPr>
              <w:pStyle w:val="TableParagraph"/>
            </w:pPr>
          </w:p>
          <w:p w14:paraId="5A761B39" w14:textId="77777777" w:rsidR="0046798B" w:rsidRDefault="0046798B">
            <w:pPr>
              <w:pStyle w:val="TableParagraph"/>
              <w:spacing w:before="9"/>
              <w:rPr>
                <w:sz w:val="25"/>
              </w:rPr>
            </w:pPr>
          </w:p>
          <w:p w14:paraId="7FFF5170" w14:textId="77777777" w:rsidR="0046798B" w:rsidRDefault="00903B5C">
            <w:pPr>
              <w:pStyle w:val="TableParagraph"/>
              <w:ind w:left="114"/>
              <w:rPr>
                <w:sz w:val="20"/>
              </w:rPr>
            </w:pPr>
            <w:r>
              <w:rPr>
                <w:sz w:val="20"/>
              </w:rPr>
              <w:t>1979–2010</w:t>
            </w:r>
          </w:p>
        </w:tc>
        <w:tc>
          <w:tcPr>
            <w:tcW w:w="3421" w:type="dxa"/>
          </w:tcPr>
          <w:p w14:paraId="00E43FEF" w14:textId="77777777" w:rsidR="0046798B" w:rsidRDefault="0046798B">
            <w:pPr>
              <w:pStyle w:val="TableParagraph"/>
            </w:pPr>
          </w:p>
          <w:p w14:paraId="4F756C3F" w14:textId="77777777" w:rsidR="0046798B" w:rsidRDefault="0046798B">
            <w:pPr>
              <w:pStyle w:val="TableParagraph"/>
            </w:pPr>
          </w:p>
          <w:p w14:paraId="66C67E1C" w14:textId="77777777" w:rsidR="0046798B" w:rsidRDefault="0046798B">
            <w:pPr>
              <w:pStyle w:val="TableParagraph"/>
            </w:pPr>
          </w:p>
          <w:p w14:paraId="67E0D994" w14:textId="77777777" w:rsidR="0046798B" w:rsidRDefault="0046798B">
            <w:pPr>
              <w:pStyle w:val="TableParagraph"/>
              <w:spacing w:before="9"/>
              <w:rPr>
                <w:sz w:val="17"/>
              </w:rPr>
            </w:pPr>
          </w:p>
          <w:p w14:paraId="3807E1B3" w14:textId="77777777" w:rsidR="0046798B" w:rsidRDefault="00903B5C">
            <w:pPr>
              <w:pStyle w:val="TableParagraph"/>
              <w:ind w:left="114" w:right="118"/>
              <w:rPr>
                <w:sz w:val="20"/>
              </w:rPr>
            </w:pPr>
            <w:r>
              <w:rPr>
                <w:sz w:val="20"/>
              </w:rPr>
              <w:t>Percent of seats that are uncontested (in this election or the elections that were put into the last three calendar years). Ten-year moving average.</w:t>
            </w:r>
          </w:p>
        </w:tc>
        <w:tc>
          <w:tcPr>
            <w:tcW w:w="6482" w:type="dxa"/>
          </w:tcPr>
          <w:p w14:paraId="216A6F30" w14:textId="77777777" w:rsidR="0046798B" w:rsidRDefault="00903B5C">
            <w:pPr>
              <w:pStyle w:val="TableParagraph"/>
              <w:spacing w:before="43"/>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0B385224" w14:textId="77777777" w:rsidR="0046798B" w:rsidRDefault="0046798B">
            <w:pPr>
              <w:pStyle w:val="TableParagraph"/>
              <w:rPr>
                <w:sz w:val="20"/>
              </w:rPr>
            </w:pPr>
          </w:p>
          <w:p w14:paraId="0AB3F06B" w14:textId="77777777" w:rsidR="0046798B" w:rsidRDefault="00903B5C">
            <w:pPr>
              <w:pStyle w:val="TableParagraph"/>
              <w:ind w:left="114" w:right="995"/>
              <w:rPr>
                <w:sz w:val="20"/>
              </w:rPr>
            </w:pPr>
            <w:r>
              <w:rPr>
                <w:sz w:val="20"/>
              </w:rPr>
              <w:t xml:space="preserve">Klarner, Carl, 2013, “Other Scholars’ Competitiveness Measures”, </w:t>
            </w:r>
            <w:hyperlink r:id="rId639">
              <w:r>
                <w:rPr>
                  <w:color w:val="0462C1"/>
                  <w:sz w:val="20"/>
                  <w:u w:val="single" w:color="0462C1"/>
                </w:rPr>
                <w:t>https://doi.org/10.7910/DVN/QSDYLH</w:t>
              </w:r>
              <w:r>
                <w:rPr>
                  <w:sz w:val="20"/>
                </w:rPr>
                <w:t>,</w:t>
              </w:r>
            </w:hyperlink>
            <w:r>
              <w:rPr>
                <w:sz w:val="20"/>
              </w:rPr>
              <w:t xml:space="preserve"> Harvard Dataverse, V1</w:t>
            </w:r>
          </w:p>
          <w:p w14:paraId="341AFB55" w14:textId="77777777" w:rsidR="0046798B" w:rsidRDefault="0046798B">
            <w:pPr>
              <w:pStyle w:val="TableParagraph"/>
              <w:rPr>
                <w:sz w:val="20"/>
              </w:rPr>
            </w:pPr>
          </w:p>
          <w:p w14:paraId="0A28CA24" w14:textId="77777777" w:rsidR="0046798B" w:rsidRDefault="00903B5C">
            <w:pPr>
              <w:pStyle w:val="TableParagraph"/>
              <w:spacing w:before="1"/>
              <w:ind w:left="114" w:right="119"/>
              <w:rPr>
                <w:sz w:val="20"/>
              </w:rPr>
            </w:pPr>
            <w:r>
              <w:rPr>
                <w:sz w:val="20"/>
              </w:rPr>
              <w:t>Notes: This takes under-contested seats in FFA-MMDs into account. For example, a three seat FFA-MMD with two Democrats and three Republicans would contribute “3” to the denominator, and “1” to the numerator of this variable. After computing this quantity for both chambers, those two quantities are averaged.</w:t>
            </w:r>
          </w:p>
        </w:tc>
      </w:tr>
    </w:tbl>
    <w:p w14:paraId="705309E4" w14:textId="77777777" w:rsidR="0046798B" w:rsidRDefault="0046798B">
      <w:pPr>
        <w:rPr>
          <w:sz w:val="20"/>
        </w:rPr>
        <w:sectPr w:rsidR="0046798B">
          <w:pgSz w:w="15840" w:h="12240" w:orient="landscape"/>
          <w:pgMar w:top="1220" w:right="300" w:bottom="980" w:left="820" w:header="730" w:footer="787" w:gutter="0"/>
          <w:cols w:space="720"/>
        </w:sectPr>
      </w:pPr>
    </w:p>
    <w:p w14:paraId="3CAF5428"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66CDED2D" w14:textId="77777777">
        <w:trPr>
          <w:trHeight w:val="2616"/>
        </w:trPr>
        <w:tc>
          <w:tcPr>
            <w:tcW w:w="1711" w:type="dxa"/>
          </w:tcPr>
          <w:p w14:paraId="2D3C64C4" w14:textId="77777777" w:rsidR="0046798B" w:rsidRDefault="0046798B">
            <w:pPr>
              <w:pStyle w:val="TableParagraph"/>
            </w:pPr>
          </w:p>
          <w:p w14:paraId="00F26BB4" w14:textId="77777777" w:rsidR="0046798B" w:rsidRDefault="0046798B">
            <w:pPr>
              <w:pStyle w:val="TableParagraph"/>
            </w:pPr>
          </w:p>
          <w:p w14:paraId="6F1A8A37" w14:textId="77777777" w:rsidR="0046798B" w:rsidRDefault="0046798B">
            <w:pPr>
              <w:pStyle w:val="TableParagraph"/>
            </w:pPr>
          </w:p>
          <w:p w14:paraId="6835582A" w14:textId="77777777" w:rsidR="0046798B" w:rsidRDefault="0046798B">
            <w:pPr>
              <w:pStyle w:val="TableParagraph"/>
              <w:spacing w:before="9"/>
              <w:rPr>
                <w:sz w:val="27"/>
              </w:rPr>
            </w:pPr>
          </w:p>
          <w:p w14:paraId="6184361F" w14:textId="77777777" w:rsidR="0046798B" w:rsidRDefault="00903B5C">
            <w:pPr>
              <w:pStyle w:val="TableParagraph"/>
              <w:ind w:left="115" w:right="177"/>
              <w:rPr>
                <w:b/>
                <w:sz w:val="20"/>
              </w:rPr>
            </w:pPr>
            <w:r>
              <w:rPr>
                <w:b/>
                <w:sz w:val="20"/>
              </w:rPr>
              <w:t>hvd4_safeseat_1 0yr</w:t>
            </w:r>
          </w:p>
        </w:tc>
        <w:tc>
          <w:tcPr>
            <w:tcW w:w="1596" w:type="dxa"/>
          </w:tcPr>
          <w:p w14:paraId="281D2E90" w14:textId="77777777" w:rsidR="0046798B" w:rsidRDefault="0046798B">
            <w:pPr>
              <w:pStyle w:val="TableParagraph"/>
            </w:pPr>
          </w:p>
          <w:p w14:paraId="029001FD" w14:textId="77777777" w:rsidR="0046798B" w:rsidRDefault="0046798B">
            <w:pPr>
              <w:pStyle w:val="TableParagraph"/>
            </w:pPr>
          </w:p>
          <w:p w14:paraId="69A8F8CF" w14:textId="77777777" w:rsidR="0046798B" w:rsidRDefault="0046798B">
            <w:pPr>
              <w:pStyle w:val="TableParagraph"/>
            </w:pPr>
          </w:p>
          <w:p w14:paraId="125E1C5C" w14:textId="77777777" w:rsidR="0046798B" w:rsidRDefault="0046798B">
            <w:pPr>
              <w:pStyle w:val="TableParagraph"/>
              <w:spacing w:before="9"/>
              <w:rPr>
                <w:sz w:val="17"/>
              </w:rPr>
            </w:pPr>
          </w:p>
          <w:p w14:paraId="3F72A2E7" w14:textId="77777777" w:rsidR="0046798B" w:rsidRDefault="00903B5C">
            <w:pPr>
              <w:pStyle w:val="TableParagraph"/>
              <w:ind w:left="114" w:right="169"/>
              <w:rPr>
                <w:sz w:val="20"/>
              </w:rPr>
            </w:pPr>
            <w:r>
              <w:rPr>
                <w:sz w:val="20"/>
              </w:rPr>
              <w:t>Pct. of “safe” seats: 10-yr. moving average</w:t>
            </w:r>
          </w:p>
        </w:tc>
        <w:tc>
          <w:tcPr>
            <w:tcW w:w="1285" w:type="dxa"/>
          </w:tcPr>
          <w:p w14:paraId="2BE05B93" w14:textId="77777777" w:rsidR="0046798B" w:rsidRDefault="0046798B">
            <w:pPr>
              <w:pStyle w:val="TableParagraph"/>
            </w:pPr>
          </w:p>
          <w:p w14:paraId="5925E035" w14:textId="77777777" w:rsidR="0046798B" w:rsidRDefault="0046798B">
            <w:pPr>
              <w:pStyle w:val="TableParagraph"/>
            </w:pPr>
          </w:p>
          <w:p w14:paraId="1D1727E0" w14:textId="77777777" w:rsidR="0046798B" w:rsidRDefault="0046798B">
            <w:pPr>
              <w:pStyle w:val="TableParagraph"/>
            </w:pPr>
          </w:p>
          <w:p w14:paraId="1C616EF4" w14:textId="77777777" w:rsidR="0046798B" w:rsidRDefault="0046798B">
            <w:pPr>
              <w:pStyle w:val="TableParagraph"/>
            </w:pPr>
          </w:p>
          <w:p w14:paraId="60EA516B" w14:textId="77777777" w:rsidR="0046798B" w:rsidRDefault="00903B5C">
            <w:pPr>
              <w:pStyle w:val="TableParagraph"/>
              <w:spacing w:before="181"/>
              <w:ind w:left="114"/>
              <w:rPr>
                <w:sz w:val="20"/>
              </w:rPr>
            </w:pPr>
            <w:r>
              <w:rPr>
                <w:sz w:val="20"/>
              </w:rPr>
              <w:t>1979–2010</w:t>
            </w:r>
          </w:p>
        </w:tc>
        <w:tc>
          <w:tcPr>
            <w:tcW w:w="3421" w:type="dxa"/>
          </w:tcPr>
          <w:p w14:paraId="18425A5A" w14:textId="77777777" w:rsidR="0046798B" w:rsidRDefault="0046798B">
            <w:pPr>
              <w:pStyle w:val="TableParagraph"/>
            </w:pPr>
          </w:p>
          <w:p w14:paraId="4490F86D" w14:textId="77777777" w:rsidR="0046798B" w:rsidRDefault="0046798B">
            <w:pPr>
              <w:pStyle w:val="TableParagraph"/>
              <w:spacing w:before="9"/>
              <w:rPr>
                <w:sz w:val="31"/>
              </w:rPr>
            </w:pPr>
          </w:p>
          <w:p w14:paraId="08973D40" w14:textId="77777777" w:rsidR="0046798B" w:rsidRDefault="00903B5C">
            <w:pPr>
              <w:pStyle w:val="TableParagraph"/>
              <w:ind w:left="114" w:right="183"/>
              <w:rPr>
                <w:sz w:val="20"/>
              </w:rPr>
            </w:pPr>
            <w:r>
              <w:rPr>
                <w:sz w:val="20"/>
              </w:rPr>
              <w:t>Percent of seats that are “safe” (in this election or the elections that were put into the last three calendar years). “Safe” is considered a winning margin of 10% or more. Ten-year moving average.</w:t>
            </w:r>
          </w:p>
        </w:tc>
        <w:tc>
          <w:tcPr>
            <w:tcW w:w="6482" w:type="dxa"/>
          </w:tcPr>
          <w:p w14:paraId="2D1576F3" w14:textId="77777777" w:rsidR="0046798B" w:rsidRDefault="00903B5C">
            <w:pPr>
              <w:pStyle w:val="TableParagraph"/>
              <w:spacing w:before="43"/>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2B8112AF" w14:textId="77777777" w:rsidR="0046798B" w:rsidRDefault="0046798B">
            <w:pPr>
              <w:pStyle w:val="TableParagraph"/>
              <w:rPr>
                <w:sz w:val="20"/>
              </w:rPr>
            </w:pPr>
          </w:p>
          <w:p w14:paraId="11B68537" w14:textId="77777777" w:rsidR="0046798B" w:rsidRDefault="00903B5C">
            <w:pPr>
              <w:pStyle w:val="TableParagraph"/>
              <w:ind w:left="114" w:right="995"/>
              <w:rPr>
                <w:sz w:val="20"/>
              </w:rPr>
            </w:pPr>
            <w:r>
              <w:rPr>
                <w:sz w:val="20"/>
              </w:rPr>
              <w:t xml:space="preserve">Klarner, Carl, 2013, “Other Scholars’ Competitiveness Measures”, </w:t>
            </w:r>
            <w:hyperlink r:id="rId640">
              <w:r>
                <w:rPr>
                  <w:color w:val="0462C1"/>
                  <w:sz w:val="20"/>
                  <w:u w:val="single" w:color="0462C1"/>
                </w:rPr>
                <w:t>https://doi.org/10.7910/DVN/QSDYLH</w:t>
              </w:r>
              <w:r>
                <w:rPr>
                  <w:sz w:val="20"/>
                </w:rPr>
                <w:t>,</w:t>
              </w:r>
            </w:hyperlink>
            <w:r>
              <w:rPr>
                <w:sz w:val="20"/>
              </w:rPr>
              <w:t xml:space="preserve"> Harvard Dataverse, V1</w:t>
            </w:r>
          </w:p>
          <w:p w14:paraId="222146F4" w14:textId="77777777" w:rsidR="0046798B" w:rsidRDefault="0046798B">
            <w:pPr>
              <w:pStyle w:val="TableParagraph"/>
              <w:spacing w:before="1"/>
              <w:rPr>
                <w:sz w:val="20"/>
              </w:rPr>
            </w:pPr>
          </w:p>
          <w:p w14:paraId="71ABCC6A" w14:textId="77777777" w:rsidR="0046798B" w:rsidRDefault="00903B5C">
            <w:pPr>
              <w:pStyle w:val="TableParagraph"/>
              <w:ind w:left="114" w:right="306"/>
              <w:rPr>
                <w:sz w:val="20"/>
              </w:rPr>
            </w:pPr>
            <w:r>
              <w:rPr>
                <w:sz w:val="20"/>
              </w:rPr>
              <w:t>Notes: For FFA-MMDs, a winner is considered “safe” when their margin times the number of seats is greater than 10%. For FFA-MMDs, margin is computed as above. After computing this quantity for both chambers, those two quantities are averaged.</w:t>
            </w:r>
          </w:p>
        </w:tc>
      </w:tr>
      <w:tr w:rsidR="0046798B" w14:paraId="220A43C1" w14:textId="77777777">
        <w:trPr>
          <w:trHeight w:val="2846"/>
        </w:trPr>
        <w:tc>
          <w:tcPr>
            <w:tcW w:w="1711" w:type="dxa"/>
          </w:tcPr>
          <w:p w14:paraId="0510BC21" w14:textId="77777777" w:rsidR="0046798B" w:rsidRDefault="0046798B">
            <w:pPr>
              <w:pStyle w:val="TableParagraph"/>
            </w:pPr>
          </w:p>
          <w:p w14:paraId="6E0DFD3A" w14:textId="77777777" w:rsidR="0046798B" w:rsidRDefault="0046798B">
            <w:pPr>
              <w:pStyle w:val="TableParagraph"/>
            </w:pPr>
          </w:p>
          <w:p w14:paraId="29B87F9A" w14:textId="77777777" w:rsidR="0046798B" w:rsidRDefault="0046798B">
            <w:pPr>
              <w:pStyle w:val="TableParagraph"/>
            </w:pPr>
          </w:p>
          <w:p w14:paraId="2603EF38" w14:textId="77777777" w:rsidR="0046798B" w:rsidRDefault="0046798B">
            <w:pPr>
              <w:pStyle w:val="TableParagraph"/>
            </w:pPr>
          </w:p>
          <w:p w14:paraId="7FFCFAA0" w14:textId="77777777" w:rsidR="0046798B" w:rsidRDefault="00903B5C">
            <w:pPr>
              <w:pStyle w:val="TableParagraph"/>
              <w:spacing w:before="181"/>
              <w:ind w:left="115" w:right="87"/>
              <w:rPr>
                <w:b/>
                <w:sz w:val="20"/>
              </w:rPr>
            </w:pPr>
            <w:r>
              <w:rPr>
                <w:b/>
                <w:sz w:val="20"/>
              </w:rPr>
              <w:t>unusable_seats_1 0yr_per</w:t>
            </w:r>
          </w:p>
        </w:tc>
        <w:tc>
          <w:tcPr>
            <w:tcW w:w="1596" w:type="dxa"/>
          </w:tcPr>
          <w:p w14:paraId="2727D0AD" w14:textId="77777777" w:rsidR="0046798B" w:rsidRDefault="0046798B">
            <w:pPr>
              <w:pStyle w:val="TableParagraph"/>
            </w:pPr>
          </w:p>
          <w:p w14:paraId="3D7D3CC3" w14:textId="77777777" w:rsidR="0046798B" w:rsidRDefault="0046798B">
            <w:pPr>
              <w:pStyle w:val="TableParagraph"/>
            </w:pPr>
          </w:p>
          <w:p w14:paraId="0890DC5C" w14:textId="77777777" w:rsidR="0046798B" w:rsidRDefault="0046798B">
            <w:pPr>
              <w:pStyle w:val="TableParagraph"/>
              <w:spacing w:before="9"/>
              <w:rPr>
                <w:sz w:val="29"/>
              </w:rPr>
            </w:pPr>
          </w:p>
          <w:p w14:paraId="38626EE5" w14:textId="77777777" w:rsidR="0046798B" w:rsidRDefault="00903B5C">
            <w:pPr>
              <w:pStyle w:val="TableParagraph"/>
              <w:ind w:left="114" w:right="203"/>
              <w:rPr>
                <w:sz w:val="20"/>
              </w:rPr>
            </w:pPr>
            <w:r>
              <w:rPr>
                <w:sz w:val="20"/>
              </w:rPr>
              <w:t>Pct. of seats unusable for other measures: 10-yr. moving average</w:t>
            </w:r>
          </w:p>
        </w:tc>
        <w:tc>
          <w:tcPr>
            <w:tcW w:w="1285" w:type="dxa"/>
          </w:tcPr>
          <w:p w14:paraId="334506E2" w14:textId="77777777" w:rsidR="0046798B" w:rsidRDefault="0046798B">
            <w:pPr>
              <w:pStyle w:val="TableParagraph"/>
            </w:pPr>
          </w:p>
          <w:p w14:paraId="7A25CEB6" w14:textId="77777777" w:rsidR="0046798B" w:rsidRDefault="0046798B">
            <w:pPr>
              <w:pStyle w:val="TableParagraph"/>
            </w:pPr>
          </w:p>
          <w:p w14:paraId="17780851" w14:textId="77777777" w:rsidR="0046798B" w:rsidRDefault="0046798B">
            <w:pPr>
              <w:pStyle w:val="TableParagraph"/>
            </w:pPr>
          </w:p>
          <w:p w14:paraId="72E3C9FD" w14:textId="77777777" w:rsidR="0046798B" w:rsidRDefault="0046798B">
            <w:pPr>
              <w:pStyle w:val="TableParagraph"/>
            </w:pPr>
          </w:p>
          <w:p w14:paraId="27C8E274" w14:textId="77777777" w:rsidR="0046798B" w:rsidRDefault="0046798B">
            <w:pPr>
              <w:pStyle w:val="TableParagraph"/>
              <w:spacing w:before="9"/>
              <w:rPr>
                <w:sz w:val="25"/>
              </w:rPr>
            </w:pPr>
          </w:p>
          <w:p w14:paraId="60A43336" w14:textId="77777777" w:rsidR="0046798B" w:rsidRDefault="00903B5C">
            <w:pPr>
              <w:pStyle w:val="TableParagraph"/>
              <w:ind w:left="114"/>
              <w:rPr>
                <w:sz w:val="20"/>
              </w:rPr>
            </w:pPr>
            <w:r>
              <w:rPr>
                <w:sz w:val="20"/>
              </w:rPr>
              <w:t>1979–2010</w:t>
            </w:r>
          </w:p>
        </w:tc>
        <w:tc>
          <w:tcPr>
            <w:tcW w:w="3421" w:type="dxa"/>
          </w:tcPr>
          <w:p w14:paraId="164D8BDE" w14:textId="77777777" w:rsidR="0046798B" w:rsidRDefault="00903B5C">
            <w:pPr>
              <w:pStyle w:val="TableParagraph"/>
              <w:spacing w:before="43"/>
              <w:ind w:left="114" w:right="105"/>
              <w:rPr>
                <w:sz w:val="20"/>
              </w:rPr>
            </w:pPr>
            <w:r>
              <w:rPr>
                <w:sz w:val="20"/>
              </w:rPr>
              <w:t>Percent of seats in this year and the three years prior to that are “unuseable” for the Holbrook and Van Dunk measure. Ten-year moving average. “Not useable” includes such things as missing vote returns (but not in uncontested elections in states that don’t put such elections on the ballot), missing party codes, or elections that only report the winner and information about the existence of other candidates is</w:t>
            </w:r>
            <w:r>
              <w:rPr>
                <w:spacing w:val="1"/>
                <w:sz w:val="20"/>
              </w:rPr>
              <w:t xml:space="preserve"> </w:t>
            </w:r>
            <w:r>
              <w:rPr>
                <w:sz w:val="20"/>
              </w:rPr>
              <w:t>unknown.</w:t>
            </w:r>
          </w:p>
        </w:tc>
        <w:tc>
          <w:tcPr>
            <w:tcW w:w="6482" w:type="dxa"/>
          </w:tcPr>
          <w:p w14:paraId="37FB70AE" w14:textId="77777777" w:rsidR="0046798B" w:rsidRDefault="00903B5C">
            <w:pPr>
              <w:pStyle w:val="TableParagraph"/>
              <w:spacing w:before="43"/>
              <w:ind w:left="114" w:right="211"/>
              <w:rPr>
                <w:sz w:val="20"/>
              </w:rPr>
            </w:pPr>
            <w:r>
              <w:rPr>
                <w:sz w:val="20"/>
              </w:rPr>
              <w:t xml:space="preserve">Ranney, Austin. 1976. “Parties in State Politics.” In </w:t>
            </w:r>
            <w:r>
              <w:rPr>
                <w:i/>
                <w:sz w:val="20"/>
              </w:rPr>
              <w:t>Politics in the American States, 3rd ed.</w:t>
            </w:r>
            <w:r>
              <w:rPr>
                <w:sz w:val="20"/>
              </w:rPr>
              <w:t>, edited by Herbert Jacob and Kenneth Vines. Boston, MA: Little, Brown &amp; Co.</w:t>
            </w:r>
          </w:p>
          <w:p w14:paraId="441EA36B" w14:textId="77777777" w:rsidR="0046798B" w:rsidRDefault="0046798B">
            <w:pPr>
              <w:pStyle w:val="TableParagraph"/>
              <w:rPr>
                <w:sz w:val="20"/>
              </w:rPr>
            </w:pPr>
          </w:p>
          <w:p w14:paraId="66702266" w14:textId="77777777" w:rsidR="0046798B" w:rsidRDefault="00903B5C">
            <w:pPr>
              <w:pStyle w:val="TableParagraph"/>
              <w:ind w:left="114" w:right="995"/>
              <w:rPr>
                <w:sz w:val="20"/>
              </w:rPr>
            </w:pPr>
            <w:r>
              <w:rPr>
                <w:sz w:val="20"/>
              </w:rPr>
              <w:t xml:space="preserve">Klarner, Carl, 2013, “Other Scholars’ Competitiveness Measures”, </w:t>
            </w:r>
            <w:hyperlink r:id="rId641">
              <w:r>
                <w:rPr>
                  <w:color w:val="0462C1"/>
                  <w:sz w:val="20"/>
                  <w:u w:val="single" w:color="0462C1"/>
                </w:rPr>
                <w:t>https://doi.org/10.7910/DVN/QSDYLH</w:t>
              </w:r>
              <w:r>
                <w:rPr>
                  <w:sz w:val="20"/>
                </w:rPr>
                <w:t>,</w:t>
              </w:r>
            </w:hyperlink>
            <w:r>
              <w:rPr>
                <w:sz w:val="20"/>
              </w:rPr>
              <w:t xml:space="preserve"> Harvard Dataverse, V1</w:t>
            </w:r>
          </w:p>
          <w:p w14:paraId="76E49DC9" w14:textId="77777777" w:rsidR="0046798B" w:rsidRDefault="0046798B">
            <w:pPr>
              <w:pStyle w:val="TableParagraph"/>
              <w:spacing w:before="1"/>
              <w:rPr>
                <w:sz w:val="20"/>
              </w:rPr>
            </w:pPr>
          </w:p>
          <w:p w14:paraId="3B861617" w14:textId="77777777" w:rsidR="0046798B" w:rsidRDefault="00903B5C">
            <w:pPr>
              <w:pStyle w:val="TableParagraph"/>
              <w:ind w:left="114" w:right="223"/>
              <w:rPr>
                <w:sz w:val="20"/>
              </w:rPr>
            </w:pPr>
            <w:r>
              <w:rPr>
                <w:sz w:val="20"/>
              </w:rPr>
              <w:t>Notes: Descriptive statistics for variable: 89.0% of state-years have 0% unusable seats, 98.7% have 5% or less unusable seats, 99.2% of state-years have 10% or less unusable seats, eight state-years have between 10 and 20% unusable seats, and eight more state-years have more than 20% unusable seats. The worst state-year has 49.8% of its seats with missing information.</w:t>
            </w:r>
          </w:p>
        </w:tc>
      </w:tr>
      <w:tr w:rsidR="0046798B" w14:paraId="7E4F7486" w14:textId="77777777">
        <w:trPr>
          <w:trHeight w:val="3306"/>
        </w:trPr>
        <w:tc>
          <w:tcPr>
            <w:tcW w:w="1711" w:type="dxa"/>
          </w:tcPr>
          <w:p w14:paraId="7ED5FCF4" w14:textId="77777777" w:rsidR="0046798B" w:rsidRDefault="0046798B">
            <w:pPr>
              <w:pStyle w:val="TableParagraph"/>
            </w:pPr>
          </w:p>
          <w:p w14:paraId="72562588" w14:textId="77777777" w:rsidR="0046798B" w:rsidRDefault="0046798B">
            <w:pPr>
              <w:pStyle w:val="TableParagraph"/>
            </w:pPr>
          </w:p>
          <w:p w14:paraId="6DEACD36" w14:textId="77777777" w:rsidR="0046798B" w:rsidRDefault="0046798B">
            <w:pPr>
              <w:pStyle w:val="TableParagraph"/>
            </w:pPr>
          </w:p>
          <w:p w14:paraId="63CF85BA" w14:textId="77777777" w:rsidR="0046798B" w:rsidRDefault="0046798B">
            <w:pPr>
              <w:pStyle w:val="TableParagraph"/>
            </w:pPr>
          </w:p>
          <w:p w14:paraId="2B4A2D2D" w14:textId="77777777" w:rsidR="0046798B" w:rsidRDefault="0046798B">
            <w:pPr>
              <w:pStyle w:val="TableParagraph"/>
            </w:pPr>
          </w:p>
          <w:p w14:paraId="57B3F3CF" w14:textId="77777777" w:rsidR="0046798B" w:rsidRDefault="0046798B">
            <w:pPr>
              <w:pStyle w:val="TableParagraph"/>
              <w:spacing w:before="9"/>
              <w:rPr>
                <w:sz w:val="23"/>
              </w:rPr>
            </w:pPr>
          </w:p>
          <w:p w14:paraId="2D9D2B96" w14:textId="77777777" w:rsidR="0046798B" w:rsidRDefault="00903B5C">
            <w:pPr>
              <w:pStyle w:val="TableParagraph"/>
              <w:ind w:left="115"/>
              <w:rPr>
                <w:b/>
                <w:sz w:val="20"/>
              </w:rPr>
            </w:pPr>
            <w:r>
              <w:rPr>
                <w:b/>
                <w:sz w:val="20"/>
              </w:rPr>
              <w:t>hvd_4yr</w:t>
            </w:r>
          </w:p>
        </w:tc>
        <w:tc>
          <w:tcPr>
            <w:tcW w:w="1596" w:type="dxa"/>
          </w:tcPr>
          <w:p w14:paraId="019DD5BD" w14:textId="77777777" w:rsidR="0046798B" w:rsidRDefault="0046798B">
            <w:pPr>
              <w:pStyle w:val="TableParagraph"/>
            </w:pPr>
          </w:p>
          <w:p w14:paraId="1F1D68A3" w14:textId="77777777" w:rsidR="0046798B" w:rsidRDefault="0046798B">
            <w:pPr>
              <w:pStyle w:val="TableParagraph"/>
            </w:pPr>
          </w:p>
          <w:p w14:paraId="4643F8CD" w14:textId="77777777" w:rsidR="0046798B" w:rsidRDefault="0046798B">
            <w:pPr>
              <w:pStyle w:val="TableParagraph"/>
            </w:pPr>
          </w:p>
          <w:p w14:paraId="38ACAFAB" w14:textId="77777777" w:rsidR="0046798B" w:rsidRDefault="0046798B">
            <w:pPr>
              <w:pStyle w:val="TableParagraph"/>
              <w:spacing w:before="9"/>
              <w:rPr>
                <w:sz w:val="27"/>
              </w:rPr>
            </w:pPr>
          </w:p>
          <w:p w14:paraId="53DC1786" w14:textId="77777777" w:rsidR="0046798B" w:rsidRDefault="00903B5C">
            <w:pPr>
              <w:pStyle w:val="TableParagraph"/>
              <w:ind w:left="114" w:right="163"/>
              <w:rPr>
                <w:sz w:val="20"/>
              </w:rPr>
            </w:pPr>
            <w:r>
              <w:rPr>
                <w:sz w:val="20"/>
              </w:rPr>
              <w:t>Holbrook and Van Dunk competitiveness measure: 4-yr. moving average</w:t>
            </w:r>
          </w:p>
        </w:tc>
        <w:tc>
          <w:tcPr>
            <w:tcW w:w="1285" w:type="dxa"/>
          </w:tcPr>
          <w:p w14:paraId="3D7F58CE" w14:textId="77777777" w:rsidR="0046798B" w:rsidRDefault="0046798B">
            <w:pPr>
              <w:pStyle w:val="TableParagraph"/>
            </w:pPr>
          </w:p>
          <w:p w14:paraId="597EAA9B" w14:textId="77777777" w:rsidR="0046798B" w:rsidRDefault="0046798B">
            <w:pPr>
              <w:pStyle w:val="TableParagraph"/>
            </w:pPr>
          </w:p>
          <w:p w14:paraId="6B63D8FE" w14:textId="77777777" w:rsidR="0046798B" w:rsidRDefault="0046798B">
            <w:pPr>
              <w:pStyle w:val="TableParagraph"/>
            </w:pPr>
          </w:p>
          <w:p w14:paraId="70887C8F" w14:textId="77777777" w:rsidR="0046798B" w:rsidRDefault="0046798B">
            <w:pPr>
              <w:pStyle w:val="TableParagraph"/>
            </w:pPr>
          </w:p>
          <w:p w14:paraId="3F1F768E" w14:textId="77777777" w:rsidR="0046798B" w:rsidRDefault="0046798B">
            <w:pPr>
              <w:pStyle w:val="TableParagraph"/>
            </w:pPr>
          </w:p>
          <w:p w14:paraId="35140220" w14:textId="77777777" w:rsidR="0046798B" w:rsidRDefault="0046798B">
            <w:pPr>
              <w:pStyle w:val="TableParagraph"/>
              <w:spacing w:before="9"/>
              <w:rPr>
                <w:sz w:val="23"/>
              </w:rPr>
            </w:pPr>
          </w:p>
          <w:p w14:paraId="5BA2459D" w14:textId="77777777" w:rsidR="0046798B" w:rsidRDefault="00903B5C">
            <w:pPr>
              <w:pStyle w:val="TableParagraph"/>
              <w:ind w:left="114"/>
              <w:rPr>
                <w:sz w:val="20"/>
              </w:rPr>
            </w:pPr>
            <w:r>
              <w:rPr>
                <w:sz w:val="20"/>
              </w:rPr>
              <w:t>1973–2010</w:t>
            </w:r>
          </w:p>
        </w:tc>
        <w:tc>
          <w:tcPr>
            <w:tcW w:w="3421" w:type="dxa"/>
          </w:tcPr>
          <w:p w14:paraId="7B557684" w14:textId="77777777" w:rsidR="0046798B" w:rsidRDefault="0046798B">
            <w:pPr>
              <w:pStyle w:val="TableParagraph"/>
            </w:pPr>
          </w:p>
          <w:p w14:paraId="18B0A808" w14:textId="77777777" w:rsidR="0046798B" w:rsidRDefault="0046798B">
            <w:pPr>
              <w:pStyle w:val="TableParagraph"/>
            </w:pPr>
          </w:p>
          <w:p w14:paraId="4C2AFAF8" w14:textId="77777777" w:rsidR="0046798B" w:rsidRDefault="0046798B">
            <w:pPr>
              <w:pStyle w:val="TableParagraph"/>
              <w:spacing w:before="8"/>
              <w:rPr>
                <w:sz w:val="29"/>
              </w:rPr>
            </w:pPr>
          </w:p>
          <w:p w14:paraId="27EAE18C" w14:textId="77777777" w:rsidR="0046798B" w:rsidRDefault="00903B5C">
            <w:pPr>
              <w:pStyle w:val="TableParagraph"/>
              <w:spacing w:before="1"/>
              <w:ind w:left="114" w:right="150"/>
              <w:rPr>
                <w:sz w:val="20"/>
              </w:rPr>
            </w:pPr>
            <w:r>
              <w:rPr>
                <w:sz w:val="20"/>
              </w:rPr>
              <w:t>Measure of electoral competitiveness by Holbrook and Van Dunk that is 100 minus average pct. of votes winning candidate received, average winning margin, average pct. uncontested seats, and average pct. safe seats over 4-year moving average.</w:t>
            </w:r>
          </w:p>
        </w:tc>
        <w:tc>
          <w:tcPr>
            <w:tcW w:w="6482" w:type="dxa"/>
          </w:tcPr>
          <w:p w14:paraId="78DB8F73" w14:textId="77777777" w:rsidR="0046798B" w:rsidRDefault="00903B5C">
            <w:pPr>
              <w:pStyle w:val="TableParagraph"/>
              <w:spacing w:before="43"/>
              <w:ind w:left="114" w:right="189"/>
              <w:rPr>
                <w:sz w:val="20"/>
              </w:rPr>
            </w:pPr>
            <w:r>
              <w:rPr>
                <w:sz w:val="20"/>
              </w:rPr>
              <w:t xml:space="preserve">Holbrook, Thomas M., and Emily Van Dunk. “Electoral Competition in the American States.” </w:t>
            </w:r>
            <w:r>
              <w:rPr>
                <w:i/>
                <w:sz w:val="20"/>
              </w:rPr>
              <w:t xml:space="preserve">The American Political Science Review </w:t>
            </w:r>
            <w:r>
              <w:rPr>
                <w:sz w:val="20"/>
              </w:rPr>
              <w:t>87.4 (1993): 955– 62.</w:t>
            </w:r>
          </w:p>
          <w:p w14:paraId="1A1B1595" w14:textId="77777777" w:rsidR="0046798B" w:rsidRDefault="0046798B">
            <w:pPr>
              <w:pStyle w:val="TableParagraph"/>
              <w:rPr>
                <w:sz w:val="20"/>
              </w:rPr>
            </w:pPr>
          </w:p>
          <w:p w14:paraId="1C17B0B3" w14:textId="77777777" w:rsidR="0046798B" w:rsidRDefault="00903B5C">
            <w:pPr>
              <w:pStyle w:val="TableParagraph"/>
              <w:ind w:left="114" w:right="995"/>
              <w:rPr>
                <w:sz w:val="20"/>
              </w:rPr>
            </w:pPr>
            <w:r>
              <w:rPr>
                <w:sz w:val="20"/>
              </w:rPr>
              <w:t xml:space="preserve">Klarner, Carl, 2013, “Other Scholars’ Competitiveness Measures”, </w:t>
            </w:r>
            <w:hyperlink r:id="rId642">
              <w:r>
                <w:rPr>
                  <w:color w:val="0462C1"/>
                  <w:sz w:val="20"/>
                  <w:u w:val="single" w:color="0462C1"/>
                </w:rPr>
                <w:t>https://doi.org/10.7910/DVN/QSDYLH</w:t>
              </w:r>
              <w:r>
                <w:rPr>
                  <w:sz w:val="20"/>
                </w:rPr>
                <w:t>,</w:t>
              </w:r>
            </w:hyperlink>
            <w:r>
              <w:rPr>
                <w:sz w:val="20"/>
              </w:rPr>
              <w:t xml:space="preserve"> Harvard Dataverse, V1</w:t>
            </w:r>
          </w:p>
          <w:p w14:paraId="53E28603" w14:textId="77777777" w:rsidR="0046798B" w:rsidRDefault="0046798B">
            <w:pPr>
              <w:pStyle w:val="TableParagraph"/>
              <w:rPr>
                <w:sz w:val="20"/>
              </w:rPr>
            </w:pPr>
          </w:p>
          <w:p w14:paraId="343C09C4" w14:textId="77777777" w:rsidR="0046798B" w:rsidRDefault="00903B5C">
            <w:pPr>
              <w:pStyle w:val="TableParagraph"/>
              <w:spacing w:before="1"/>
              <w:ind w:left="114" w:right="90"/>
              <w:rPr>
                <w:sz w:val="20"/>
              </w:rPr>
            </w:pPr>
            <w:r>
              <w:rPr>
                <w:sz w:val="20"/>
              </w:rPr>
              <w:t>Notes: For the Holbrook and Van Dunk data, the data were first worked on with the state-chamber-year as the unit of analysis. Running averages of the four dimensions were created that were weighted by the number of seats up in each chamber (running averages of four, six, eight and ten years). The four dimensions were then averaged (and subtracted from “100”) to make the Holbrook and Van Dunk indicator for a chamber-year. The values from the two chambers were then averaged.</w:t>
            </w:r>
          </w:p>
        </w:tc>
      </w:tr>
    </w:tbl>
    <w:p w14:paraId="49362E18" w14:textId="77777777" w:rsidR="0046798B" w:rsidRDefault="0046798B">
      <w:pPr>
        <w:rPr>
          <w:sz w:val="20"/>
        </w:rPr>
        <w:sectPr w:rsidR="0046798B">
          <w:pgSz w:w="15840" w:h="12240" w:orient="landscape"/>
          <w:pgMar w:top="1220" w:right="300" w:bottom="980" w:left="820" w:header="730" w:footer="787" w:gutter="0"/>
          <w:cols w:space="720"/>
        </w:sectPr>
      </w:pPr>
    </w:p>
    <w:p w14:paraId="3E931A79"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019280C3" w14:textId="77777777">
        <w:trPr>
          <w:trHeight w:val="3306"/>
        </w:trPr>
        <w:tc>
          <w:tcPr>
            <w:tcW w:w="1711" w:type="dxa"/>
          </w:tcPr>
          <w:p w14:paraId="2C6B5FF0" w14:textId="77777777" w:rsidR="0046798B" w:rsidRDefault="0046798B">
            <w:pPr>
              <w:pStyle w:val="TableParagraph"/>
            </w:pPr>
          </w:p>
          <w:p w14:paraId="2E4C34B5" w14:textId="77777777" w:rsidR="0046798B" w:rsidRDefault="0046798B">
            <w:pPr>
              <w:pStyle w:val="TableParagraph"/>
            </w:pPr>
          </w:p>
          <w:p w14:paraId="3C8ED846" w14:textId="77777777" w:rsidR="0046798B" w:rsidRDefault="0046798B">
            <w:pPr>
              <w:pStyle w:val="TableParagraph"/>
            </w:pPr>
          </w:p>
          <w:p w14:paraId="4F0BCB12" w14:textId="77777777" w:rsidR="0046798B" w:rsidRDefault="0046798B">
            <w:pPr>
              <w:pStyle w:val="TableParagraph"/>
            </w:pPr>
          </w:p>
          <w:p w14:paraId="127A62FC" w14:textId="77777777" w:rsidR="0046798B" w:rsidRDefault="0046798B">
            <w:pPr>
              <w:pStyle w:val="TableParagraph"/>
            </w:pPr>
          </w:p>
          <w:p w14:paraId="7C34112B" w14:textId="77777777" w:rsidR="0046798B" w:rsidRDefault="0046798B">
            <w:pPr>
              <w:pStyle w:val="TableParagraph"/>
              <w:spacing w:before="9"/>
              <w:rPr>
                <w:sz w:val="23"/>
              </w:rPr>
            </w:pPr>
          </w:p>
          <w:p w14:paraId="7483A497" w14:textId="77777777" w:rsidR="0046798B" w:rsidRDefault="00903B5C">
            <w:pPr>
              <w:pStyle w:val="TableParagraph"/>
              <w:spacing w:before="1"/>
              <w:ind w:left="115"/>
              <w:rPr>
                <w:b/>
                <w:sz w:val="20"/>
              </w:rPr>
            </w:pPr>
            <w:r>
              <w:rPr>
                <w:b/>
                <w:sz w:val="20"/>
              </w:rPr>
              <w:t>hvd_6yr</w:t>
            </w:r>
          </w:p>
        </w:tc>
        <w:tc>
          <w:tcPr>
            <w:tcW w:w="1596" w:type="dxa"/>
          </w:tcPr>
          <w:p w14:paraId="794E2C5D" w14:textId="77777777" w:rsidR="0046798B" w:rsidRDefault="0046798B">
            <w:pPr>
              <w:pStyle w:val="TableParagraph"/>
            </w:pPr>
          </w:p>
          <w:p w14:paraId="4708E133" w14:textId="77777777" w:rsidR="0046798B" w:rsidRDefault="0046798B">
            <w:pPr>
              <w:pStyle w:val="TableParagraph"/>
            </w:pPr>
          </w:p>
          <w:p w14:paraId="3AB42D48" w14:textId="77777777" w:rsidR="0046798B" w:rsidRDefault="0046798B">
            <w:pPr>
              <w:pStyle w:val="TableParagraph"/>
            </w:pPr>
          </w:p>
          <w:p w14:paraId="2D39EF23" w14:textId="77777777" w:rsidR="0046798B" w:rsidRDefault="0046798B">
            <w:pPr>
              <w:pStyle w:val="TableParagraph"/>
              <w:spacing w:before="9"/>
              <w:rPr>
                <w:sz w:val="27"/>
              </w:rPr>
            </w:pPr>
          </w:p>
          <w:p w14:paraId="2297CC3C" w14:textId="77777777" w:rsidR="0046798B" w:rsidRDefault="00903B5C">
            <w:pPr>
              <w:pStyle w:val="TableParagraph"/>
              <w:ind w:left="114" w:right="163"/>
              <w:rPr>
                <w:sz w:val="20"/>
              </w:rPr>
            </w:pPr>
            <w:r>
              <w:rPr>
                <w:sz w:val="20"/>
              </w:rPr>
              <w:t>Holbrook and Van Dunk competitiveness measure: 6-yr. moving average</w:t>
            </w:r>
          </w:p>
        </w:tc>
        <w:tc>
          <w:tcPr>
            <w:tcW w:w="1285" w:type="dxa"/>
          </w:tcPr>
          <w:p w14:paraId="3482EE51" w14:textId="77777777" w:rsidR="0046798B" w:rsidRDefault="0046798B">
            <w:pPr>
              <w:pStyle w:val="TableParagraph"/>
            </w:pPr>
          </w:p>
          <w:p w14:paraId="1DFD6F12" w14:textId="77777777" w:rsidR="0046798B" w:rsidRDefault="0046798B">
            <w:pPr>
              <w:pStyle w:val="TableParagraph"/>
            </w:pPr>
          </w:p>
          <w:p w14:paraId="1E9AD09F" w14:textId="77777777" w:rsidR="0046798B" w:rsidRDefault="0046798B">
            <w:pPr>
              <w:pStyle w:val="TableParagraph"/>
            </w:pPr>
          </w:p>
          <w:p w14:paraId="34421763" w14:textId="77777777" w:rsidR="0046798B" w:rsidRDefault="0046798B">
            <w:pPr>
              <w:pStyle w:val="TableParagraph"/>
            </w:pPr>
          </w:p>
          <w:p w14:paraId="66881092" w14:textId="77777777" w:rsidR="0046798B" w:rsidRDefault="0046798B">
            <w:pPr>
              <w:pStyle w:val="TableParagraph"/>
            </w:pPr>
          </w:p>
          <w:p w14:paraId="0CF0A88E" w14:textId="77777777" w:rsidR="0046798B" w:rsidRDefault="0046798B">
            <w:pPr>
              <w:pStyle w:val="TableParagraph"/>
              <w:spacing w:before="9"/>
              <w:rPr>
                <w:sz w:val="23"/>
              </w:rPr>
            </w:pPr>
          </w:p>
          <w:p w14:paraId="077EF833" w14:textId="77777777" w:rsidR="0046798B" w:rsidRDefault="00903B5C">
            <w:pPr>
              <w:pStyle w:val="TableParagraph"/>
              <w:spacing w:before="1"/>
              <w:ind w:left="114"/>
              <w:rPr>
                <w:sz w:val="20"/>
              </w:rPr>
            </w:pPr>
            <w:r>
              <w:rPr>
                <w:sz w:val="20"/>
              </w:rPr>
              <w:t>1975–2010</w:t>
            </w:r>
          </w:p>
        </w:tc>
        <w:tc>
          <w:tcPr>
            <w:tcW w:w="3421" w:type="dxa"/>
          </w:tcPr>
          <w:p w14:paraId="2D04813D" w14:textId="77777777" w:rsidR="0046798B" w:rsidRDefault="0046798B">
            <w:pPr>
              <w:pStyle w:val="TableParagraph"/>
            </w:pPr>
          </w:p>
          <w:p w14:paraId="20DECA4B" w14:textId="77777777" w:rsidR="0046798B" w:rsidRDefault="0046798B">
            <w:pPr>
              <w:pStyle w:val="TableParagraph"/>
            </w:pPr>
          </w:p>
          <w:p w14:paraId="1E035D84" w14:textId="77777777" w:rsidR="0046798B" w:rsidRDefault="0046798B">
            <w:pPr>
              <w:pStyle w:val="TableParagraph"/>
              <w:spacing w:before="9"/>
              <w:rPr>
                <w:sz w:val="29"/>
              </w:rPr>
            </w:pPr>
          </w:p>
          <w:p w14:paraId="02274243" w14:textId="77777777" w:rsidR="0046798B" w:rsidRDefault="00903B5C">
            <w:pPr>
              <w:pStyle w:val="TableParagraph"/>
              <w:ind w:left="114" w:right="150"/>
              <w:rPr>
                <w:sz w:val="20"/>
              </w:rPr>
            </w:pPr>
            <w:r>
              <w:rPr>
                <w:sz w:val="20"/>
              </w:rPr>
              <w:t>Measure of electoral competitiveness by Holbrook and Van Dunk that is 100 minus average pct. of votes winning candidate received, average winning margin, average pct. uncontested seats, and average pct. safe seats over 6-year moving average.</w:t>
            </w:r>
          </w:p>
        </w:tc>
        <w:tc>
          <w:tcPr>
            <w:tcW w:w="6482" w:type="dxa"/>
          </w:tcPr>
          <w:p w14:paraId="3725A562" w14:textId="77777777" w:rsidR="0046798B" w:rsidRDefault="00903B5C">
            <w:pPr>
              <w:pStyle w:val="TableParagraph"/>
              <w:spacing w:before="43"/>
              <w:ind w:left="114" w:right="189"/>
              <w:rPr>
                <w:sz w:val="20"/>
              </w:rPr>
            </w:pPr>
            <w:r>
              <w:rPr>
                <w:sz w:val="20"/>
              </w:rPr>
              <w:t xml:space="preserve">Holbrook, Thomas M., and Emily Van Dunk. “Electoral Competition in the American States.” </w:t>
            </w:r>
            <w:r>
              <w:rPr>
                <w:i/>
                <w:sz w:val="20"/>
              </w:rPr>
              <w:t xml:space="preserve">The American Political Science Review </w:t>
            </w:r>
            <w:r>
              <w:rPr>
                <w:sz w:val="20"/>
              </w:rPr>
              <w:t>87.4 (1993): 955– 62.</w:t>
            </w:r>
          </w:p>
          <w:p w14:paraId="3A467E6A" w14:textId="77777777" w:rsidR="0046798B" w:rsidRDefault="0046798B">
            <w:pPr>
              <w:pStyle w:val="TableParagraph"/>
              <w:rPr>
                <w:sz w:val="20"/>
              </w:rPr>
            </w:pPr>
          </w:p>
          <w:p w14:paraId="3D6C82DF" w14:textId="77777777" w:rsidR="0046798B" w:rsidRDefault="00903B5C">
            <w:pPr>
              <w:pStyle w:val="TableParagraph"/>
              <w:ind w:left="114" w:right="995"/>
              <w:rPr>
                <w:sz w:val="20"/>
              </w:rPr>
            </w:pPr>
            <w:r>
              <w:rPr>
                <w:sz w:val="20"/>
              </w:rPr>
              <w:t xml:space="preserve">Klarner, Carl, 2013, “Other Scholars’ Competitiveness Measures”, </w:t>
            </w:r>
            <w:hyperlink r:id="rId643">
              <w:r>
                <w:rPr>
                  <w:color w:val="0462C1"/>
                  <w:sz w:val="20"/>
                  <w:u w:val="single" w:color="0462C1"/>
                </w:rPr>
                <w:t>https://doi.org/10.7910/DVN/QSDYLH</w:t>
              </w:r>
              <w:r>
                <w:rPr>
                  <w:sz w:val="20"/>
                </w:rPr>
                <w:t>,</w:t>
              </w:r>
            </w:hyperlink>
            <w:r>
              <w:rPr>
                <w:sz w:val="20"/>
              </w:rPr>
              <w:t xml:space="preserve"> Harvard Dataverse, V1</w:t>
            </w:r>
          </w:p>
          <w:p w14:paraId="06E5811A" w14:textId="77777777" w:rsidR="0046798B" w:rsidRDefault="0046798B">
            <w:pPr>
              <w:pStyle w:val="TableParagraph"/>
              <w:spacing w:before="1"/>
              <w:rPr>
                <w:sz w:val="20"/>
              </w:rPr>
            </w:pPr>
          </w:p>
          <w:p w14:paraId="2D967EFD" w14:textId="77777777" w:rsidR="0046798B" w:rsidRDefault="00903B5C">
            <w:pPr>
              <w:pStyle w:val="TableParagraph"/>
              <w:ind w:left="114" w:right="90"/>
              <w:rPr>
                <w:sz w:val="20"/>
              </w:rPr>
            </w:pPr>
            <w:r>
              <w:rPr>
                <w:sz w:val="20"/>
              </w:rPr>
              <w:t>Notes: For the Holbrook and Van Dunk data, the data were first worked on with the state-chamber-year as the unit of analysis. Running averages of the four dimensions were created that were weighted by the number of seats up in each chamber (running averages of four, six, eight and ten years). The four dimensions were then averaged (and subtracted from “100”) to make the Holbrook and Van Dunk indicator for a chamber-year. The values from the two chambers were then averaged.</w:t>
            </w:r>
          </w:p>
        </w:tc>
      </w:tr>
      <w:tr w:rsidR="0046798B" w14:paraId="59F7FF3B" w14:textId="77777777">
        <w:trPr>
          <w:trHeight w:val="3306"/>
        </w:trPr>
        <w:tc>
          <w:tcPr>
            <w:tcW w:w="1711" w:type="dxa"/>
          </w:tcPr>
          <w:p w14:paraId="6C626BF0" w14:textId="77777777" w:rsidR="0046798B" w:rsidRDefault="0046798B">
            <w:pPr>
              <w:pStyle w:val="TableParagraph"/>
            </w:pPr>
          </w:p>
          <w:p w14:paraId="16D3D1C0" w14:textId="77777777" w:rsidR="0046798B" w:rsidRDefault="0046798B">
            <w:pPr>
              <w:pStyle w:val="TableParagraph"/>
            </w:pPr>
          </w:p>
          <w:p w14:paraId="57225FA2" w14:textId="77777777" w:rsidR="0046798B" w:rsidRDefault="0046798B">
            <w:pPr>
              <w:pStyle w:val="TableParagraph"/>
            </w:pPr>
          </w:p>
          <w:p w14:paraId="5CBB9C1F" w14:textId="77777777" w:rsidR="0046798B" w:rsidRDefault="0046798B">
            <w:pPr>
              <w:pStyle w:val="TableParagraph"/>
            </w:pPr>
          </w:p>
          <w:p w14:paraId="24613C09" w14:textId="77777777" w:rsidR="0046798B" w:rsidRDefault="0046798B">
            <w:pPr>
              <w:pStyle w:val="TableParagraph"/>
            </w:pPr>
          </w:p>
          <w:p w14:paraId="4148F8E4" w14:textId="77777777" w:rsidR="0046798B" w:rsidRDefault="0046798B">
            <w:pPr>
              <w:pStyle w:val="TableParagraph"/>
              <w:spacing w:before="9"/>
              <w:rPr>
                <w:sz w:val="23"/>
              </w:rPr>
            </w:pPr>
          </w:p>
          <w:p w14:paraId="27811194" w14:textId="77777777" w:rsidR="0046798B" w:rsidRDefault="00903B5C">
            <w:pPr>
              <w:pStyle w:val="TableParagraph"/>
              <w:ind w:left="115"/>
              <w:rPr>
                <w:b/>
                <w:sz w:val="20"/>
              </w:rPr>
            </w:pPr>
            <w:r>
              <w:rPr>
                <w:b/>
                <w:sz w:val="20"/>
              </w:rPr>
              <w:t>hvd_8yr</w:t>
            </w:r>
          </w:p>
        </w:tc>
        <w:tc>
          <w:tcPr>
            <w:tcW w:w="1596" w:type="dxa"/>
          </w:tcPr>
          <w:p w14:paraId="1D8C30F0" w14:textId="77777777" w:rsidR="0046798B" w:rsidRDefault="0046798B">
            <w:pPr>
              <w:pStyle w:val="TableParagraph"/>
            </w:pPr>
          </w:p>
          <w:p w14:paraId="263E1652" w14:textId="77777777" w:rsidR="0046798B" w:rsidRDefault="0046798B">
            <w:pPr>
              <w:pStyle w:val="TableParagraph"/>
            </w:pPr>
          </w:p>
          <w:p w14:paraId="36EB04EE" w14:textId="77777777" w:rsidR="0046798B" w:rsidRDefault="0046798B">
            <w:pPr>
              <w:pStyle w:val="TableParagraph"/>
            </w:pPr>
          </w:p>
          <w:p w14:paraId="712900B0" w14:textId="77777777" w:rsidR="0046798B" w:rsidRDefault="0046798B">
            <w:pPr>
              <w:pStyle w:val="TableParagraph"/>
              <w:spacing w:before="9"/>
              <w:rPr>
                <w:sz w:val="27"/>
              </w:rPr>
            </w:pPr>
          </w:p>
          <w:p w14:paraId="4D0C6529" w14:textId="77777777" w:rsidR="0046798B" w:rsidRDefault="00903B5C">
            <w:pPr>
              <w:pStyle w:val="TableParagraph"/>
              <w:ind w:left="114" w:right="163"/>
              <w:rPr>
                <w:sz w:val="20"/>
              </w:rPr>
            </w:pPr>
            <w:r>
              <w:rPr>
                <w:sz w:val="20"/>
              </w:rPr>
              <w:t>Holbrook and Van Dunk competitiveness measure: 8-yr. moving average</w:t>
            </w:r>
          </w:p>
        </w:tc>
        <w:tc>
          <w:tcPr>
            <w:tcW w:w="1285" w:type="dxa"/>
          </w:tcPr>
          <w:p w14:paraId="6F91AE3B" w14:textId="77777777" w:rsidR="0046798B" w:rsidRDefault="0046798B">
            <w:pPr>
              <w:pStyle w:val="TableParagraph"/>
            </w:pPr>
          </w:p>
          <w:p w14:paraId="42D6138E" w14:textId="77777777" w:rsidR="0046798B" w:rsidRDefault="0046798B">
            <w:pPr>
              <w:pStyle w:val="TableParagraph"/>
            </w:pPr>
          </w:p>
          <w:p w14:paraId="29B90DD2" w14:textId="77777777" w:rsidR="0046798B" w:rsidRDefault="0046798B">
            <w:pPr>
              <w:pStyle w:val="TableParagraph"/>
            </w:pPr>
          </w:p>
          <w:p w14:paraId="3B5405F5" w14:textId="77777777" w:rsidR="0046798B" w:rsidRDefault="0046798B">
            <w:pPr>
              <w:pStyle w:val="TableParagraph"/>
            </w:pPr>
          </w:p>
          <w:p w14:paraId="21756B96" w14:textId="77777777" w:rsidR="0046798B" w:rsidRDefault="0046798B">
            <w:pPr>
              <w:pStyle w:val="TableParagraph"/>
            </w:pPr>
          </w:p>
          <w:p w14:paraId="30AD1C54" w14:textId="77777777" w:rsidR="0046798B" w:rsidRDefault="0046798B">
            <w:pPr>
              <w:pStyle w:val="TableParagraph"/>
              <w:spacing w:before="9"/>
              <w:rPr>
                <w:sz w:val="23"/>
              </w:rPr>
            </w:pPr>
          </w:p>
          <w:p w14:paraId="7C249D40" w14:textId="77777777" w:rsidR="0046798B" w:rsidRDefault="00903B5C">
            <w:pPr>
              <w:pStyle w:val="TableParagraph"/>
              <w:ind w:left="114"/>
              <w:rPr>
                <w:sz w:val="20"/>
              </w:rPr>
            </w:pPr>
            <w:r>
              <w:rPr>
                <w:sz w:val="20"/>
              </w:rPr>
              <w:t>1977–2010</w:t>
            </w:r>
          </w:p>
        </w:tc>
        <w:tc>
          <w:tcPr>
            <w:tcW w:w="3421" w:type="dxa"/>
          </w:tcPr>
          <w:p w14:paraId="23B19F2E" w14:textId="77777777" w:rsidR="0046798B" w:rsidRDefault="0046798B">
            <w:pPr>
              <w:pStyle w:val="TableParagraph"/>
            </w:pPr>
          </w:p>
          <w:p w14:paraId="70347629" w14:textId="77777777" w:rsidR="0046798B" w:rsidRDefault="0046798B">
            <w:pPr>
              <w:pStyle w:val="TableParagraph"/>
            </w:pPr>
          </w:p>
          <w:p w14:paraId="27A5E38E" w14:textId="77777777" w:rsidR="0046798B" w:rsidRDefault="0046798B">
            <w:pPr>
              <w:pStyle w:val="TableParagraph"/>
              <w:spacing w:before="9"/>
              <w:rPr>
                <w:sz w:val="29"/>
              </w:rPr>
            </w:pPr>
          </w:p>
          <w:p w14:paraId="22177E5A" w14:textId="77777777" w:rsidR="0046798B" w:rsidRDefault="00903B5C">
            <w:pPr>
              <w:pStyle w:val="TableParagraph"/>
              <w:ind w:left="114" w:right="150"/>
              <w:rPr>
                <w:sz w:val="20"/>
              </w:rPr>
            </w:pPr>
            <w:r>
              <w:rPr>
                <w:sz w:val="20"/>
              </w:rPr>
              <w:t>Measure of electoral competitiveness by Holbrook and Van Dunk that is 100 minus average pct. of votes winning candidate received, average winning margin, average pct. uncontested seats, and average pct. safe seats over 8-year moving average.</w:t>
            </w:r>
          </w:p>
        </w:tc>
        <w:tc>
          <w:tcPr>
            <w:tcW w:w="6482" w:type="dxa"/>
          </w:tcPr>
          <w:p w14:paraId="7A570C46" w14:textId="77777777" w:rsidR="0046798B" w:rsidRDefault="00903B5C">
            <w:pPr>
              <w:pStyle w:val="TableParagraph"/>
              <w:spacing w:before="43"/>
              <w:ind w:left="114" w:right="189"/>
              <w:rPr>
                <w:sz w:val="20"/>
              </w:rPr>
            </w:pPr>
            <w:r>
              <w:rPr>
                <w:sz w:val="20"/>
              </w:rPr>
              <w:t xml:space="preserve">Holbrook, Thomas M., and Emily Van Dunk. “Electoral Competition in the American States.” </w:t>
            </w:r>
            <w:r>
              <w:rPr>
                <w:i/>
                <w:sz w:val="20"/>
              </w:rPr>
              <w:t xml:space="preserve">The American Political Science Review </w:t>
            </w:r>
            <w:r>
              <w:rPr>
                <w:sz w:val="20"/>
              </w:rPr>
              <w:t>87.4 (1993): 955– 62.</w:t>
            </w:r>
          </w:p>
          <w:p w14:paraId="787EC181" w14:textId="77777777" w:rsidR="0046798B" w:rsidRDefault="0046798B">
            <w:pPr>
              <w:pStyle w:val="TableParagraph"/>
              <w:rPr>
                <w:sz w:val="20"/>
              </w:rPr>
            </w:pPr>
          </w:p>
          <w:p w14:paraId="31D2573E" w14:textId="77777777" w:rsidR="0046798B" w:rsidRDefault="00903B5C">
            <w:pPr>
              <w:pStyle w:val="TableParagraph"/>
              <w:ind w:left="114" w:right="995"/>
              <w:rPr>
                <w:sz w:val="20"/>
              </w:rPr>
            </w:pPr>
            <w:r>
              <w:rPr>
                <w:sz w:val="20"/>
              </w:rPr>
              <w:t xml:space="preserve">Klarner, Carl, 2013, “Other Scholars’ Competitiveness Measures”, </w:t>
            </w:r>
            <w:hyperlink r:id="rId644">
              <w:r>
                <w:rPr>
                  <w:color w:val="0462C1"/>
                  <w:sz w:val="20"/>
                  <w:u w:val="single" w:color="0462C1"/>
                </w:rPr>
                <w:t>https://doi.org/10.7910/DVN/QSDYLH</w:t>
              </w:r>
              <w:r>
                <w:rPr>
                  <w:sz w:val="20"/>
                </w:rPr>
                <w:t>,</w:t>
              </w:r>
            </w:hyperlink>
            <w:r>
              <w:rPr>
                <w:sz w:val="20"/>
              </w:rPr>
              <w:t xml:space="preserve"> Harvard Dataverse, V1</w:t>
            </w:r>
          </w:p>
          <w:p w14:paraId="6D69B638" w14:textId="77777777" w:rsidR="0046798B" w:rsidRDefault="0046798B">
            <w:pPr>
              <w:pStyle w:val="TableParagraph"/>
              <w:rPr>
                <w:sz w:val="20"/>
              </w:rPr>
            </w:pPr>
          </w:p>
          <w:p w14:paraId="0B80743D" w14:textId="77777777" w:rsidR="0046798B" w:rsidRDefault="00903B5C">
            <w:pPr>
              <w:pStyle w:val="TableParagraph"/>
              <w:spacing w:before="1"/>
              <w:ind w:left="114" w:right="90"/>
              <w:rPr>
                <w:sz w:val="20"/>
              </w:rPr>
            </w:pPr>
            <w:r>
              <w:rPr>
                <w:sz w:val="20"/>
              </w:rPr>
              <w:t>Notes: For the Holbrook and Van Dunk data, the data were first worked on with the state-chamber-year as the unit of analysis. Running averages of the four dimensions were created that were weighted by the number of seats up in each chamber (running averages of four, six, eight and ten years). The four dimensions were then averaged (and subtracted from “100”) to make the Holbrook and Van Dunk indicator for a chamber-year. The values from the two chambers were then averaged.</w:t>
            </w:r>
          </w:p>
        </w:tc>
      </w:tr>
      <w:tr w:rsidR="0046798B" w14:paraId="47A8567B" w14:textId="77777777">
        <w:trPr>
          <w:trHeight w:val="2615"/>
        </w:trPr>
        <w:tc>
          <w:tcPr>
            <w:tcW w:w="1711" w:type="dxa"/>
          </w:tcPr>
          <w:p w14:paraId="1A0767AF" w14:textId="77777777" w:rsidR="0046798B" w:rsidRDefault="0046798B">
            <w:pPr>
              <w:pStyle w:val="TableParagraph"/>
            </w:pPr>
          </w:p>
          <w:p w14:paraId="2921519C" w14:textId="77777777" w:rsidR="0046798B" w:rsidRDefault="0046798B">
            <w:pPr>
              <w:pStyle w:val="TableParagraph"/>
            </w:pPr>
          </w:p>
          <w:p w14:paraId="7E448783" w14:textId="77777777" w:rsidR="0046798B" w:rsidRDefault="0046798B">
            <w:pPr>
              <w:pStyle w:val="TableParagraph"/>
            </w:pPr>
          </w:p>
          <w:p w14:paraId="260FB57C" w14:textId="77777777" w:rsidR="0046798B" w:rsidRDefault="0046798B">
            <w:pPr>
              <w:pStyle w:val="TableParagraph"/>
            </w:pPr>
          </w:p>
          <w:p w14:paraId="43B22A7E" w14:textId="77777777" w:rsidR="0046798B" w:rsidRDefault="00903B5C">
            <w:pPr>
              <w:pStyle w:val="TableParagraph"/>
              <w:spacing w:before="181"/>
              <w:ind w:left="115"/>
              <w:rPr>
                <w:b/>
                <w:sz w:val="20"/>
              </w:rPr>
            </w:pPr>
            <w:r>
              <w:rPr>
                <w:b/>
                <w:sz w:val="20"/>
              </w:rPr>
              <w:t>hvd_10yr</w:t>
            </w:r>
          </w:p>
        </w:tc>
        <w:tc>
          <w:tcPr>
            <w:tcW w:w="1596" w:type="dxa"/>
          </w:tcPr>
          <w:p w14:paraId="2514F273" w14:textId="77777777" w:rsidR="0046798B" w:rsidRDefault="0046798B">
            <w:pPr>
              <w:pStyle w:val="TableParagraph"/>
            </w:pPr>
          </w:p>
          <w:p w14:paraId="2FA5F4FA" w14:textId="77777777" w:rsidR="0046798B" w:rsidRDefault="0046798B">
            <w:pPr>
              <w:pStyle w:val="TableParagraph"/>
            </w:pPr>
          </w:p>
          <w:p w14:paraId="0CB3F470" w14:textId="77777777" w:rsidR="0046798B" w:rsidRDefault="0046798B">
            <w:pPr>
              <w:pStyle w:val="TableParagraph"/>
              <w:spacing w:before="8"/>
              <w:rPr>
                <w:sz w:val="19"/>
              </w:rPr>
            </w:pPr>
          </w:p>
          <w:p w14:paraId="6EB52974" w14:textId="77777777" w:rsidR="0046798B" w:rsidRDefault="00903B5C">
            <w:pPr>
              <w:pStyle w:val="TableParagraph"/>
              <w:ind w:left="114" w:right="163"/>
              <w:rPr>
                <w:sz w:val="20"/>
              </w:rPr>
            </w:pPr>
            <w:r>
              <w:rPr>
                <w:sz w:val="20"/>
              </w:rPr>
              <w:t>Holbrook and Van Dunk competitiveness measure: 10-yr. moving average</w:t>
            </w:r>
          </w:p>
        </w:tc>
        <w:tc>
          <w:tcPr>
            <w:tcW w:w="1285" w:type="dxa"/>
          </w:tcPr>
          <w:p w14:paraId="37042CE5" w14:textId="77777777" w:rsidR="0046798B" w:rsidRDefault="0046798B">
            <w:pPr>
              <w:pStyle w:val="TableParagraph"/>
            </w:pPr>
          </w:p>
          <w:p w14:paraId="363B1A72" w14:textId="77777777" w:rsidR="0046798B" w:rsidRDefault="0046798B">
            <w:pPr>
              <w:pStyle w:val="TableParagraph"/>
            </w:pPr>
          </w:p>
          <w:p w14:paraId="1472454F" w14:textId="77777777" w:rsidR="0046798B" w:rsidRDefault="0046798B">
            <w:pPr>
              <w:pStyle w:val="TableParagraph"/>
            </w:pPr>
          </w:p>
          <w:p w14:paraId="7ED99C85" w14:textId="77777777" w:rsidR="0046798B" w:rsidRDefault="0046798B">
            <w:pPr>
              <w:pStyle w:val="TableParagraph"/>
            </w:pPr>
          </w:p>
          <w:p w14:paraId="7D569CB0" w14:textId="77777777" w:rsidR="0046798B" w:rsidRDefault="00903B5C">
            <w:pPr>
              <w:pStyle w:val="TableParagraph"/>
              <w:spacing w:before="181"/>
              <w:ind w:left="114"/>
              <w:rPr>
                <w:sz w:val="20"/>
              </w:rPr>
            </w:pPr>
            <w:r>
              <w:rPr>
                <w:sz w:val="20"/>
              </w:rPr>
              <w:t>1979–2010</w:t>
            </w:r>
          </w:p>
        </w:tc>
        <w:tc>
          <w:tcPr>
            <w:tcW w:w="3421" w:type="dxa"/>
          </w:tcPr>
          <w:p w14:paraId="7EC60E3C" w14:textId="77777777" w:rsidR="0046798B" w:rsidRDefault="0046798B">
            <w:pPr>
              <w:pStyle w:val="TableParagraph"/>
            </w:pPr>
          </w:p>
          <w:p w14:paraId="0F1D0F35" w14:textId="77777777" w:rsidR="0046798B" w:rsidRDefault="0046798B">
            <w:pPr>
              <w:pStyle w:val="TableParagraph"/>
              <w:spacing w:before="8"/>
              <w:rPr>
                <w:sz w:val="21"/>
              </w:rPr>
            </w:pPr>
          </w:p>
          <w:p w14:paraId="68DD1E05" w14:textId="77777777" w:rsidR="0046798B" w:rsidRDefault="00903B5C">
            <w:pPr>
              <w:pStyle w:val="TableParagraph"/>
              <w:ind w:left="114" w:right="107"/>
              <w:rPr>
                <w:sz w:val="20"/>
              </w:rPr>
            </w:pPr>
            <w:r>
              <w:rPr>
                <w:sz w:val="20"/>
              </w:rPr>
              <w:t xml:space="preserve">Measure of electoral competitiveness by Holbrook and Van Dunk that is 100 minus average pct. of votes winning candidate received, average winning margin, average pct. uncontested seats, and average pct. safe seats over </w:t>
            </w:r>
            <w:r>
              <w:rPr>
                <w:spacing w:val="-3"/>
                <w:sz w:val="20"/>
              </w:rPr>
              <w:t xml:space="preserve">10-year </w:t>
            </w:r>
            <w:r>
              <w:rPr>
                <w:sz w:val="20"/>
              </w:rPr>
              <w:t>moving average.</w:t>
            </w:r>
          </w:p>
        </w:tc>
        <w:tc>
          <w:tcPr>
            <w:tcW w:w="6482" w:type="dxa"/>
          </w:tcPr>
          <w:p w14:paraId="05D5A7BF" w14:textId="77777777" w:rsidR="0046798B" w:rsidRDefault="00903B5C">
            <w:pPr>
              <w:pStyle w:val="TableParagraph"/>
              <w:spacing w:before="43"/>
              <w:ind w:left="114" w:right="189"/>
              <w:rPr>
                <w:sz w:val="20"/>
              </w:rPr>
            </w:pPr>
            <w:r>
              <w:rPr>
                <w:sz w:val="20"/>
              </w:rPr>
              <w:t xml:space="preserve">Holbrook, Thomas M., and Emily Van Dunk. “Electoral Competition in the American States.” </w:t>
            </w:r>
            <w:r>
              <w:rPr>
                <w:i/>
                <w:sz w:val="20"/>
              </w:rPr>
              <w:t xml:space="preserve">The American Political Science Review </w:t>
            </w:r>
            <w:r>
              <w:rPr>
                <w:sz w:val="20"/>
              </w:rPr>
              <w:t>87.4 (1993): 955– 62.</w:t>
            </w:r>
          </w:p>
          <w:p w14:paraId="7090FC83" w14:textId="77777777" w:rsidR="0046798B" w:rsidRDefault="0046798B">
            <w:pPr>
              <w:pStyle w:val="TableParagraph"/>
              <w:rPr>
                <w:sz w:val="20"/>
              </w:rPr>
            </w:pPr>
          </w:p>
          <w:p w14:paraId="05341B4A" w14:textId="77777777" w:rsidR="0046798B" w:rsidRDefault="00903B5C">
            <w:pPr>
              <w:pStyle w:val="TableParagraph"/>
              <w:ind w:left="114" w:right="995"/>
              <w:rPr>
                <w:sz w:val="20"/>
              </w:rPr>
            </w:pPr>
            <w:r>
              <w:rPr>
                <w:sz w:val="20"/>
              </w:rPr>
              <w:t xml:space="preserve">Klarner, Carl, 2013, “Other Scholars’ Competitiveness Measures”, </w:t>
            </w:r>
            <w:hyperlink r:id="rId645">
              <w:r>
                <w:rPr>
                  <w:color w:val="0462C1"/>
                  <w:sz w:val="20"/>
                  <w:u w:val="single" w:color="0462C1"/>
                </w:rPr>
                <w:t>https://doi.org/10.7910/DVN/QSDYLH</w:t>
              </w:r>
              <w:r>
                <w:rPr>
                  <w:sz w:val="20"/>
                </w:rPr>
                <w:t>,</w:t>
              </w:r>
            </w:hyperlink>
            <w:r>
              <w:rPr>
                <w:sz w:val="20"/>
              </w:rPr>
              <w:t xml:space="preserve"> Harvard Dataverse, V1</w:t>
            </w:r>
          </w:p>
          <w:p w14:paraId="3B07965D" w14:textId="77777777" w:rsidR="0046798B" w:rsidRDefault="0046798B">
            <w:pPr>
              <w:pStyle w:val="TableParagraph"/>
              <w:rPr>
                <w:sz w:val="20"/>
              </w:rPr>
            </w:pPr>
          </w:p>
          <w:p w14:paraId="2D203545" w14:textId="77777777" w:rsidR="0046798B" w:rsidRDefault="00903B5C">
            <w:pPr>
              <w:pStyle w:val="TableParagraph"/>
              <w:spacing w:before="1"/>
              <w:ind w:left="114" w:right="90"/>
              <w:rPr>
                <w:sz w:val="20"/>
              </w:rPr>
            </w:pPr>
            <w:r>
              <w:rPr>
                <w:sz w:val="20"/>
              </w:rPr>
              <w:t>Notes: For the Holbrook and Van Dunk data, the data were first worked on with the state-chamber-year as the unit of analysis. Running averages of the four dimensions were created that were weighted by the number of seats up in each chamber (running averages of four, six, eight and ten years). The four</w:t>
            </w:r>
          </w:p>
        </w:tc>
      </w:tr>
    </w:tbl>
    <w:p w14:paraId="200A924A" w14:textId="77777777" w:rsidR="0046798B" w:rsidRDefault="0046798B">
      <w:pPr>
        <w:rPr>
          <w:sz w:val="20"/>
        </w:rPr>
        <w:sectPr w:rsidR="0046798B">
          <w:pgSz w:w="15840" w:h="12240" w:orient="landscape"/>
          <w:pgMar w:top="1220" w:right="300" w:bottom="980" w:left="820" w:header="730" w:footer="787" w:gutter="0"/>
          <w:cols w:space="720"/>
        </w:sectPr>
      </w:pPr>
    </w:p>
    <w:p w14:paraId="509AE00C"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7BED9D52" w14:textId="77777777">
        <w:trPr>
          <w:trHeight w:val="775"/>
        </w:trPr>
        <w:tc>
          <w:tcPr>
            <w:tcW w:w="1711" w:type="dxa"/>
          </w:tcPr>
          <w:p w14:paraId="60920AEB" w14:textId="77777777" w:rsidR="0046798B" w:rsidRDefault="0046798B">
            <w:pPr>
              <w:pStyle w:val="TableParagraph"/>
              <w:rPr>
                <w:sz w:val="20"/>
              </w:rPr>
            </w:pPr>
          </w:p>
        </w:tc>
        <w:tc>
          <w:tcPr>
            <w:tcW w:w="1596" w:type="dxa"/>
          </w:tcPr>
          <w:p w14:paraId="5DB9BC0D" w14:textId="77777777" w:rsidR="0046798B" w:rsidRDefault="0046798B">
            <w:pPr>
              <w:pStyle w:val="TableParagraph"/>
              <w:rPr>
                <w:sz w:val="20"/>
              </w:rPr>
            </w:pPr>
          </w:p>
        </w:tc>
        <w:tc>
          <w:tcPr>
            <w:tcW w:w="1285" w:type="dxa"/>
          </w:tcPr>
          <w:p w14:paraId="39702108" w14:textId="77777777" w:rsidR="0046798B" w:rsidRDefault="0046798B">
            <w:pPr>
              <w:pStyle w:val="TableParagraph"/>
              <w:rPr>
                <w:sz w:val="20"/>
              </w:rPr>
            </w:pPr>
          </w:p>
        </w:tc>
        <w:tc>
          <w:tcPr>
            <w:tcW w:w="3421" w:type="dxa"/>
          </w:tcPr>
          <w:p w14:paraId="1DAFEF5F" w14:textId="77777777" w:rsidR="0046798B" w:rsidRDefault="0046798B">
            <w:pPr>
              <w:pStyle w:val="TableParagraph"/>
              <w:rPr>
                <w:sz w:val="20"/>
              </w:rPr>
            </w:pPr>
          </w:p>
        </w:tc>
        <w:tc>
          <w:tcPr>
            <w:tcW w:w="6482" w:type="dxa"/>
          </w:tcPr>
          <w:p w14:paraId="017EE396" w14:textId="77777777" w:rsidR="0046798B" w:rsidRDefault="00903B5C">
            <w:pPr>
              <w:pStyle w:val="TableParagraph"/>
              <w:spacing w:before="43"/>
              <w:ind w:left="114" w:right="317"/>
              <w:rPr>
                <w:sz w:val="20"/>
              </w:rPr>
            </w:pPr>
            <w:r>
              <w:rPr>
                <w:sz w:val="20"/>
              </w:rPr>
              <w:t>dimensions were then averaged (and subtracted from “100”) to make the Holbrook and Van Dunk indicator for a chamber-year. The values from the two chambers were then averaged.</w:t>
            </w:r>
          </w:p>
        </w:tc>
      </w:tr>
      <w:tr w:rsidR="0046798B" w14:paraId="7EBDC663" w14:textId="77777777">
        <w:trPr>
          <w:trHeight w:val="1465"/>
        </w:trPr>
        <w:tc>
          <w:tcPr>
            <w:tcW w:w="1711" w:type="dxa"/>
          </w:tcPr>
          <w:p w14:paraId="65B95CF5" w14:textId="77777777" w:rsidR="0046798B" w:rsidRDefault="0046798B">
            <w:pPr>
              <w:pStyle w:val="TableParagraph"/>
            </w:pPr>
          </w:p>
          <w:p w14:paraId="13300649" w14:textId="77777777" w:rsidR="0046798B" w:rsidRDefault="0046798B">
            <w:pPr>
              <w:pStyle w:val="TableParagraph"/>
              <w:spacing w:before="8"/>
              <w:rPr>
                <w:sz w:val="31"/>
              </w:rPr>
            </w:pPr>
          </w:p>
          <w:p w14:paraId="346DEBD9" w14:textId="77777777" w:rsidR="0046798B" w:rsidRDefault="00903B5C">
            <w:pPr>
              <w:pStyle w:val="TableParagraph"/>
              <w:spacing w:before="1"/>
              <w:ind w:left="115"/>
              <w:rPr>
                <w:b/>
                <w:sz w:val="20"/>
              </w:rPr>
            </w:pPr>
            <w:r>
              <w:rPr>
                <w:b/>
                <w:sz w:val="20"/>
              </w:rPr>
              <w:t>sf_hvd_4yr</w:t>
            </w:r>
          </w:p>
        </w:tc>
        <w:tc>
          <w:tcPr>
            <w:tcW w:w="1596" w:type="dxa"/>
          </w:tcPr>
          <w:p w14:paraId="77FDA8B0" w14:textId="77777777" w:rsidR="0046798B" w:rsidRDefault="00903B5C">
            <w:pPr>
              <w:pStyle w:val="TableParagraph"/>
              <w:spacing w:before="43"/>
              <w:ind w:left="114" w:right="157"/>
              <w:rPr>
                <w:sz w:val="20"/>
              </w:rPr>
            </w:pPr>
            <w:r>
              <w:rPr>
                <w:sz w:val="20"/>
              </w:rPr>
              <w:t>Shufeldt and Flavin’s H&amp;VD electoral competitiveness measure: 4-yr. moving average</w:t>
            </w:r>
          </w:p>
        </w:tc>
        <w:tc>
          <w:tcPr>
            <w:tcW w:w="1285" w:type="dxa"/>
          </w:tcPr>
          <w:p w14:paraId="593D655E" w14:textId="77777777" w:rsidR="0046798B" w:rsidRDefault="0046798B">
            <w:pPr>
              <w:pStyle w:val="TableParagraph"/>
            </w:pPr>
          </w:p>
          <w:p w14:paraId="2366A3B0" w14:textId="77777777" w:rsidR="0046798B" w:rsidRDefault="0046798B">
            <w:pPr>
              <w:pStyle w:val="TableParagraph"/>
              <w:spacing w:before="8"/>
              <w:rPr>
                <w:sz w:val="31"/>
              </w:rPr>
            </w:pPr>
          </w:p>
          <w:p w14:paraId="33A256ED" w14:textId="77777777" w:rsidR="0046798B" w:rsidRDefault="00903B5C">
            <w:pPr>
              <w:pStyle w:val="TableParagraph"/>
              <w:spacing w:before="1"/>
              <w:ind w:left="114"/>
              <w:rPr>
                <w:sz w:val="20"/>
              </w:rPr>
            </w:pPr>
            <w:r>
              <w:rPr>
                <w:sz w:val="20"/>
              </w:rPr>
              <w:t>1973–2010</w:t>
            </w:r>
          </w:p>
        </w:tc>
        <w:tc>
          <w:tcPr>
            <w:tcW w:w="3421" w:type="dxa"/>
          </w:tcPr>
          <w:p w14:paraId="75EDA094" w14:textId="77777777" w:rsidR="0046798B" w:rsidRDefault="0046798B">
            <w:pPr>
              <w:pStyle w:val="TableParagraph"/>
            </w:pPr>
          </w:p>
          <w:p w14:paraId="38364FD8" w14:textId="77777777" w:rsidR="0046798B" w:rsidRDefault="00903B5C">
            <w:pPr>
              <w:pStyle w:val="TableParagraph"/>
              <w:spacing w:before="135"/>
              <w:ind w:left="114" w:right="527"/>
              <w:rPr>
                <w:sz w:val="20"/>
              </w:rPr>
            </w:pPr>
            <w:r>
              <w:rPr>
                <w:sz w:val="20"/>
              </w:rPr>
              <w:t>Shufeldt and Flavin’s four-year Holbrook and Van Dunk measure. Observed for 391 cases.</w:t>
            </w:r>
          </w:p>
        </w:tc>
        <w:tc>
          <w:tcPr>
            <w:tcW w:w="6482" w:type="dxa"/>
          </w:tcPr>
          <w:p w14:paraId="16A1D189" w14:textId="77777777" w:rsidR="0046798B" w:rsidRDefault="00903B5C">
            <w:pPr>
              <w:pStyle w:val="TableParagraph"/>
              <w:spacing w:before="43"/>
              <w:ind w:left="114" w:right="217"/>
              <w:rPr>
                <w:sz w:val="20"/>
              </w:rPr>
            </w:pPr>
            <w:r>
              <w:rPr>
                <w:sz w:val="20"/>
              </w:rPr>
              <w:t xml:space="preserve">Shufeldt, Gregory, and Patrick Flavin. “Two Distinct Concepts: Party Competition in Government and Electoral Competition in the American States.” </w:t>
            </w:r>
            <w:r>
              <w:rPr>
                <w:i/>
                <w:sz w:val="20"/>
              </w:rPr>
              <w:t xml:space="preserve">State Politics and Policy Quarterly </w:t>
            </w:r>
            <w:r>
              <w:rPr>
                <w:sz w:val="20"/>
              </w:rPr>
              <w:t>12.3. (2012):330-342.</w:t>
            </w:r>
          </w:p>
          <w:p w14:paraId="58F033DC" w14:textId="77777777" w:rsidR="0046798B" w:rsidRDefault="0046798B">
            <w:pPr>
              <w:pStyle w:val="TableParagraph"/>
              <w:rPr>
                <w:sz w:val="20"/>
              </w:rPr>
            </w:pPr>
          </w:p>
          <w:p w14:paraId="12025684" w14:textId="77777777" w:rsidR="0046798B" w:rsidRDefault="00903B5C">
            <w:pPr>
              <w:pStyle w:val="TableParagraph"/>
              <w:spacing w:before="1"/>
              <w:ind w:left="114" w:right="995"/>
              <w:rPr>
                <w:sz w:val="20"/>
              </w:rPr>
            </w:pPr>
            <w:r>
              <w:rPr>
                <w:sz w:val="20"/>
              </w:rPr>
              <w:t xml:space="preserve">Klarner, Carl, 2013, “Other Scholars’ Competitiveness Measures”, </w:t>
            </w:r>
            <w:hyperlink r:id="rId646">
              <w:r>
                <w:rPr>
                  <w:color w:val="0462C1"/>
                  <w:sz w:val="20"/>
                  <w:u w:val="single" w:color="0462C1"/>
                </w:rPr>
                <w:t>https://doi.org/10.7910/DVN/QSDYLH</w:t>
              </w:r>
              <w:r>
                <w:rPr>
                  <w:sz w:val="20"/>
                </w:rPr>
                <w:t>,</w:t>
              </w:r>
            </w:hyperlink>
            <w:r>
              <w:rPr>
                <w:sz w:val="20"/>
              </w:rPr>
              <w:t xml:space="preserve"> Harvard Dataverse, V1</w:t>
            </w:r>
          </w:p>
        </w:tc>
      </w:tr>
      <w:tr w:rsidR="0046798B" w14:paraId="3E6E1BB7" w14:textId="77777777">
        <w:trPr>
          <w:trHeight w:val="1470"/>
        </w:trPr>
        <w:tc>
          <w:tcPr>
            <w:tcW w:w="1711" w:type="dxa"/>
          </w:tcPr>
          <w:p w14:paraId="5170CC42" w14:textId="77777777" w:rsidR="0046798B" w:rsidRDefault="0046798B">
            <w:pPr>
              <w:pStyle w:val="TableParagraph"/>
            </w:pPr>
          </w:p>
          <w:p w14:paraId="6F58E966" w14:textId="77777777" w:rsidR="0046798B" w:rsidRDefault="0046798B">
            <w:pPr>
              <w:pStyle w:val="TableParagraph"/>
              <w:spacing w:before="9"/>
              <w:rPr>
                <w:sz w:val="31"/>
              </w:rPr>
            </w:pPr>
          </w:p>
          <w:p w14:paraId="40FEDDB3" w14:textId="77777777" w:rsidR="0046798B" w:rsidRDefault="00903B5C">
            <w:pPr>
              <w:pStyle w:val="TableParagraph"/>
              <w:ind w:left="115"/>
              <w:rPr>
                <w:b/>
                <w:sz w:val="20"/>
              </w:rPr>
            </w:pPr>
            <w:r>
              <w:rPr>
                <w:b/>
                <w:sz w:val="20"/>
              </w:rPr>
              <w:t>sf_ranney_4yr</w:t>
            </w:r>
          </w:p>
        </w:tc>
        <w:tc>
          <w:tcPr>
            <w:tcW w:w="1596" w:type="dxa"/>
          </w:tcPr>
          <w:p w14:paraId="0C8BE862" w14:textId="77777777" w:rsidR="0046798B" w:rsidRDefault="00903B5C">
            <w:pPr>
              <w:pStyle w:val="TableParagraph"/>
              <w:spacing w:before="43"/>
              <w:ind w:left="114" w:right="135"/>
              <w:rPr>
                <w:sz w:val="20"/>
              </w:rPr>
            </w:pPr>
            <w:r>
              <w:rPr>
                <w:sz w:val="20"/>
              </w:rPr>
              <w:t>Shufeldt and Flavin’s Ranney electoral competitiveness measure: 4-yr. moving average</w:t>
            </w:r>
          </w:p>
        </w:tc>
        <w:tc>
          <w:tcPr>
            <w:tcW w:w="1285" w:type="dxa"/>
          </w:tcPr>
          <w:p w14:paraId="6E5EAE99" w14:textId="77777777" w:rsidR="0046798B" w:rsidRDefault="0046798B">
            <w:pPr>
              <w:pStyle w:val="TableParagraph"/>
            </w:pPr>
          </w:p>
          <w:p w14:paraId="415D09DC" w14:textId="77777777" w:rsidR="0046798B" w:rsidRDefault="0046798B">
            <w:pPr>
              <w:pStyle w:val="TableParagraph"/>
              <w:spacing w:before="9"/>
              <w:rPr>
                <w:sz w:val="31"/>
              </w:rPr>
            </w:pPr>
          </w:p>
          <w:p w14:paraId="29501484" w14:textId="77777777" w:rsidR="0046798B" w:rsidRDefault="00903B5C">
            <w:pPr>
              <w:pStyle w:val="TableParagraph"/>
              <w:ind w:left="114"/>
              <w:rPr>
                <w:sz w:val="20"/>
              </w:rPr>
            </w:pPr>
            <w:r>
              <w:rPr>
                <w:sz w:val="20"/>
              </w:rPr>
              <w:t>1973–2010</w:t>
            </w:r>
          </w:p>
        </w:tc>
        <w:tc>
          <w:tcPr>
            <w:tcW w:w="3421" w:type="dxa"/>
          </w:tcPr>
          <w:p w14:paraId="002FCC65" w14:textId="77777777" w:rsidR="0046798B" w:rsidRDefault="0046798B">
            <w:pPr>
              <w:pStyle w:val="TableParagraph"/>
            </w:pPr>
          </w:p>
          <w:p w14:paraId="44C0FA42" w14:textId="77777777" w:rsidR="0046798B" w:rsidRDefault="0046798B">
            <w:pPr>
              <w:pStyle w:val="TableParagraph"/>
              <w:spacing w:before="9"/>
              <w:rPr>
                <w:sz w:val="21"/>
              </w:rPr>
            </w:pPr>
          </w:p>
          <w:p w14:paraId="3A4D9F54" w14:textId="77777777" w:rsidR="0046798B" w:rsidRDefault="00903B5C">
            <w:pPr>
              <w:pStyle w:val="TableParagraph"/>
              <w:ind w:left="114" w:right="139"/>
              <w:rPr>
                <w:sz w:val="20"/>
              </w:rPr>
            </w:pPr>
            <w:r>
              <w:rPr>
                <w:sz w:val="20"/>
              </w:rPr>
              <w:t>Shufeld and Flavin’s four-year folded Ranney Index. Observed for 400 cases.</w:t>
            </w:r>
          </w:p>
        </w:tc>
        <w:tc>
          <w:tcPr>
            <w:tcW w:w="6482" w:type="dxa"/>
          </w:tcPr>
          <w:p w14:paraId="4EE62A36" w14:textId="77777777" w:rsidR="0046798B" w:rsidRDefault="00903B5C">
            <w:pPr>
              <w:pStyle w:val="TableParagraph"/>
              <w:spacing w:before="43"/>
              <w:ind w:left="114" w:right="217"/>
              <w:rPr>
                <w:sz w:val="20"/>
              </w:rPr>
            </w:pPr>
            <w:r>
              <w:rPr>
                <w:sz w:val="20"/>
              </w:rPr>
              <w:t xml:space="preserve">Shufeldt, Gregory, and Patrick Flavin. “Two Distinct Concepts: Party Competition in Government and Electoral Competition in the American States.” </w:t>
            </w:r>
            <w:r>
              <w:rPr>
                <w:i/>
                <w:sz w:val="20"/>
              </w:rPr>
              <w:t xml:space="preserve">State Politics and Policy Quarterly </w:t>
            </w:r>
            <w:r>
              <w:rPr>
                <w:sz w:val="20"/>
              </w:rPr>
              <w:t>12.3. (2012):330-342.</w:t>
            </w:r>
          </w:p>
          <w:p w14:paraId="6EEE4B81" w14:textId="77777777" w:rsidR="0046798B" w:rsidRDefault="0046798B">
            <w:pPr>
              <w:pStyle w:val="TableParagraph"/>
              <w:rPr>
                <w:sz w:val="20"/>
              </w:rPr>
            </w:pPr>
          </w:p>
          <w:p w14:paraId="46D397A9" w14:textId="77777777" w:rsidR="0046798B" w:rsidRDefault="00903B5C">
            <w:pPr>
              <w:pStyle w:val="TableParagraph"/>
              <w:ind w:left="114" w:right="995"/>
              <w:rPr>
                <w:sz w:val="20"/>
              </w:rPr>
            </w:pPr>
            <w:r>
              <w:rPr>
                <w:sz w:val="20"/>
              </w:rPr>
              <w:t xml:space="preserve">Klarner, Carl, 2013, “Other Scholars’ Competitiveness Measures”, </w:t>
            </w:r>
            <w:hyperlink r:id="rId647">
              <w:r>
                <w:rPr>
                  <w:color w:val="0462C1"/>
                  <w:sz w:val="20"/>
                  <w:u w:val="single" w:color="0462C1"/>
                </w:rPr>
                <w:t>https://doi.org/10.7910/DVN/QSDYLH</w:t>
              </w:r>
              <w:r>
                <w:rPr>
                  <w:sz w:val="20"/>
                </w:rPr>
                <w:t>,</w:t>
              </w:r>
            </w:hyperlink>
            <w:r>
              <w:rPr>
                <w:sz w:val="20"/>
              </w:rPr>
              <w:t xml:space="preserve"> Harvard Dataverse, V1</w:t>
            </w:r>
          </w:p>
        </w:tc>
      </w:tr>
      <w:tr w:rsidR="0046798B" w14:paraId="1ECC1616" w14:textId="77777777">
        <w:trPr>
          <w:trHeight w:val="1465"/>
        </w:trPr>
        <w:tc>
          <w:tcPr>
            <w:tcW w:w="1711" w:type="dxa"/>
          </w:tcPr>
          <w:p w14:paraId="212A15D9" w14:textId="77777777" w:rsidR="0046798B" w:rsidRDefault="0046798B">
            <w:pPr>
              <w:pStyle w:val="TableParagraph"/>
            </w:pPr>
          </w:p>
          <w:p w14:paraId="6694DB8E" w14:textId="77777777" w:rsidR="0046798B" w:rsidRDefault="0046798B">
            <w:pPr>
              <w:pStyle w:val="TableParagraph"/>
              <w:spacing w:before="4"/>
              <w:rPr>
                <w:sz w:val="31"/>
              </w:rPr>
            </w:pPr>
          </w:p>
          <w:p w14:paraId="77B7B97D" w14:textId="77777777" w:rsidR="0046798B" w:rsidRDefault="00903B5C">
            <w:pPr>
              <w:pStyle w:val="TableParagraph"/>
              <w:ind w:left="115"/>
              <w:rPr>
                <w:b/>
                <w:sz w:val="20"/>
              </w:rPr>
            </w:pPr>
            <w:r>
              <w:rPr>
                <w:b/>
                <w:sz w:val="20"/>
              </w:rPr>
              <w:t>sf_hvd_8yr</w:t>
            </w:r>
          </w:p>
        </w:tc>
        <w:tc>
          <w:tcPr>
            <w:tcW w:w="1596" w:type="dxa"/>
          </w:tcPr>
          <w:p w14:paraId="5E53E79F" w14:textId="77777777" w:rsidR="0046798B" w:rsidRDefault="00903B5C">
            <w:pPr>
              <w:pStyle w:val="TableParagraph"/>
              <w:spacing w:before="38"/>
              <w:ind w:left="114" w:right="157"/>
              <w:rPr>
                <w:sz w:val="20"/>
              </w:rPr>
            </w:pPr>
            <w:r>
              <w:rPr>
                <w:sz w:val="20"/>
              </w:rPr>
              <w:t>Shufeldt and Flavin’s H&amp;VD electoral competitiveness measure: 8-yr. moving average</w:t>
            </w:r>
          </w:p>
        </w:tc>
        <w:tc>
          <w:tcPr>
            <w:tcW w:w="1285" w:type="dxa"/>
          </w:tcPr>
          <w:p w14:paraId="53E9984D" w14:textId="77777777" w:rsidR="0046798B" w:rsidRDefault="0046798B">
            <w:pPr>
              <w:pStyle w:val="TableParagraph"/>
            </w:pPr>
          </w:p>
          <w:p w14:paraId="43849E22" w14:textId="77777777" w:rsidR="0046798B" w:rsidRDefault="0046798B">
            <w:pPr>
              <w:pStyle w:val="TableParagraph"/>
              <w:spacing w:before="4"/>
              <w:rPr>
                <w:sz w:val="31"/>
              </w:rPr>
            </w:pPr>
          </w:p>
          <w:p w14:paraId="51B36839" w14:textId="77777777" w:rsidR="0046798B" w:rsidRDefault="00903B5C">
            <w:pPr>
              <w:pStyle w:val="TableParagraph"/>
              <w:ind w:left="114"/>
              <w:rPr>
                <w:sz w:val="20"/>
              </w:rPr>
            </w:pPr>
            <w:r>
              <w:rPr>
                <w:sz w:val="20"/>
              </w:rPr>
              <w:t>1979–2010</w:t>
            </w:r>
          </w:p>
        </w:tc>
        <w:tc>
          <w:tcPr>
            <w:tcW w:w="3421" w:type="dxa"/>
          </w:tcPr>
          <w:p w14:paraId="6AB245CB" w14:textId="77777777" w:rsidR="0046798B" w:rsidRDefault="0046798B">
            <w:pPr>
              <w:pStyle w:val="TableParagraph"/>
            </w:pPr>
          </w:p>
          <w:p w14:paraId="542C7CF3" w14:textId="77777777" w:rsidR="0046798B" w:rsidRDefault="00903B5C">
            <w:pPr>
              <w:pStyle w:val="TableParagraph"/>
              <w:spacing w:before="130"/>
              <w:ind w:left="114" w:right="527"/>
              <w:rPr>
                <w:sz w:val="20"/>
              </w:rPr>
            </w:pPr>
            <w:r>
              <w:rPr>
                <w:sz w:val="20"/>
              </w:rPr>
              <w:t>Shufeldt and Flavin’s eight-year Holbrook and Van Dunk measure. Observed for 247 cases.</w:t>
            </w:r>
          </w:p>
        </w:tc>
        <w:tc>
          <w:tcPr>
            <w:tcW w:w="6482" w:type="dxa"/>
          </w:tcPr>
          <w:p w14:paraId="49C247F3" w14:textId="77777777" w:rsidR="0046798B" w:rsidRDefault="00903B5C">
            <w:pPr>
              <w:pStyle w:val="TableParagraph"/>
              <w:spacing w:before="38"/>
              <w:ind w:left="114" w:right="583"/>
              <w:rPr>
                <w:sz w:val="20"/>
              </w:rPr>
            </w:pPr>
            <w:r>
              <w:rPr>
                <w:sz w:val="20"/>
              </w:rPr>
              <w:t xml:space="preserve">Shufeldt, Gregory, and Patrick Flavin. “Two Distinct Concepts: Party Competition in Government and Electoral Competition in the American States.” </w:t>
            </w:r>
            <w:r>
              <w:rPr>
                <w:i/>
                <w:sz w:val="20"/>
              </w:rPr>
              <w:t xml:space="preserve">State Politics and Policy Quarterly </w:t>
            </w:r>
            <w:r>
              <w:rPr>
                <w:sz w:val="20"/>
              </w:rPr>
              <w:t>12.3. (2012):330-342.</w:t>
            </w:r>
          </w:p>
          <w:p w14:paraId="3D4F0EAB" w14:textId="77777777" w:rsidR="0046798B" w:rsidRDefault="0046798B">
            <w:pPr>
              <w:pStyle w:val="TableParagraph"/>
              <w:rPr>
                <w:sz w:val="20"/>
              </w:rPr>
            </w:pPr>
          </w:p>
          <w:p w14:paraId="1CF28459" w14:textId="77777777" w:rsidR="0046798B" w:rsidRDefault="00903B5C">
            <w:pPr>
              <w:pStyle w:val="TableParagraph"/>
              <w:ind w:left="114" w:right="995"/>
              <w:rPr>
                <w:sz w:val="20"/>
              </w:rPr>
            </w:pPr>
            <w:r>
              <w:rPr>
                <w:sz w:val="20"/>
              </w:rPr>
              <w:t xml:space="preserve">Klarner, Carl, 2013, “Other Scholars’ Competitiveness Measures”, </w:t>
            </w:r>
            <w:hyperlink r:id="rId648">
              <w:r>
                <w:rPr>
                  <w:color w:val="0462C1"/>
                  <w:sz w:val="20"/>
                  <w:u w:val="single" w:color="0462C1"/>
                </w:rPr>
                <w:t>https://doi.org/10.7910/DVN/QSDYLH</w:t>
              </w:r>
              <w:r>
                <w:rPr>
                  <w:sz w:val="20"/>
                </w:rPr>
                <w:t>,</w:t>
              </w:r>
            </w:hyperlink>
            <w:r>
              <w:rPr>
                <w:sz w:val="20"/>
              </w:rPr>
              <w:t xml:space="preserve"> Harvard Dataverse, V1</w:t>
            </w:r>
          </w:p>
        </w:tc>
      </w:tr>
      <w:tr w:rsidR="0046798B" w14:paraId="60AA4A6B" w14:textId="77777777">
        <w:trPr>
          <w:trHeight w:val="1466"/>
        </w:trPr>
        <w:tc>
          <w:tcPr>
            <w:tcW w:w="1711" w:type="dxa"/>
          </w:tcPr>
          <w:p w14:paraId="167815F9" w14:textId="77777777" w:rsidR="0046798B" w:rsidRDefault="0046798B">
            <w:pPr>
              <w:pStyle w:val="TableParagraph"/>
            </w:pPr>
          </w:p>
          <w:p w14:paraId="17EFABFB" w14:textId="77777777" w:rsidR="0046798B" w:rsidRDefault="0046798B">
            <w:pPr>
              <w:pStyle w:val="TableParagraph"/>
              <w:spacing w:before="4"/>
              <w:rPr>
                <w:sz w:val="31"/>
              </w:rPr>
            </w:pPr>
          </w:p>
          <w:p w14:paraId="60A56A56" w14:textId="77777777" w:rsidR="0046798B" w:rsidRDefault="00903B5C">
            <w:pPr>
              <w:pStyle w:val="TableParagraph"/>
              <w:ind w:left="115"/>
              <w:rPr>
                <w:b/>
                <w:sz w:val="20"/>
              </w:rPr>
            </w:pPr>
            <w:r>
              <w:rPr>
                <w:b/>
                <w:sz w:val="20"/>
              </w:rPr>
              <w:t>sf_ranney_8yr</w:t>
            </w:r>
          </w:p>
        </w:tc>
        <w:tc>
          <w:tcPr>
            <w:tcW w:w="1596" w:type="dxa"/>
          </w:tcPr>
          <w:p w14:paraId="44ED6140" w14:textId="77777777" w:rsidR="0046798B" w:rsidRDefault="00903B5C">
            <w:pPr>
              <w:pStyle w:val="TableParagraph"/>
              <w:spacing w:before="39"/>
              <w:ind w:left="114" w:right="135"/>
              <w:rPr>
                <w:sz w:val="20"/>
              </w:rPr>
            </w:pPr>
            <w:r>
              <w:rPr>
                <w:sz w:val="20"/>
              </w:rPr>
              <w:t>Shufeldt and Flavin’s Ranney electoral competitiveness measure: 8-yr. moving average</w:t>
            </w:r>
          </w:p>
        </w:tc>
        <w:tc>
          <w:tcPr>
            <w:tcW w:w="1285" w:type="dxa"/>
          </w:tcPr>
          <w:p w14:paraId="61B89F54" w14:textId="77777777" w:rsidR="0046798B" w:rsidRDefault="0046798B">
            <w:pPr>
              <w:pStyle w:val="TableParagraph"/>
            </w:pPr>
          </w:p>
          <w:p w14:paraId="02C53382" w14:textId="77777777" w:rsidR="0046798B" w:rsidRDefault="0046798B">
            <w:pPr>
              <w:pStyle w:val="TableParagraph"/>
              <w:spacing w:before="4"/>
              <w:rPr>
                <w:sz w:val="31"/>
              </w:rPr>
            </w:pPr>
          </w:p>
          <w:p w14:paraId="6255BB78" w14:textId="77777777" w:rsidR="0046798B" w:rsidRDefault="00903B5C">
            <w:pPr>
              <w:pStyle w:val="TableParagraph"/>
              <w:ind w:left="114"/>
              <w:rPr>
                <w:sz w:val="20"/>
              </w:rPr>
            </w:pPr>
            <w:r>
              <w:rPr>
                <w:sz w:val="20"/>
              </w:rPr>
              <w:t>1979–2010</w:t>
            </w:r>
          </w:p>
        </w:tc>
        <w:tc>
          <w:tcPr>
            <w:tcW w:w="3421" w:type="dxa"/>
          </w:tcPr>
          <w:p w14:paraId="0E05E21C" w14:textId="77777777" w:rsidR="0046798B" w:rsidRDefault="0046798B">
            <w:pPr>
              <w:pStyle w:val="TableParagraph"/>
            </w:pPr>
          </w:p>
          <w:p w14:paraId="12C00BCA" w14:textId="77777777" w:rsidR="0046798B" w:rsidRDefault="0046798B">
            <w:pPr>
              <w:pStyle w:val="TableParagraph"/>
              <w:spacing w:before="4"/>
              <w:rPr>
                <w:sz w:val="21"/>
              </w:rPr>
            </w:pPr>
          </w:p>
          <w:p w14:paraId="6C910006" w14:textId="77777777" w:rsidR="0046798B" w:rsidRDefault="00903B5C">
            <w:pPr>
              <w:pStyle w:val="TableParagraph"/>
              <w:ind w:left="114" w:right="139"/>
              <w:rPr>
                <w:sz w:val="20"/>
              </w:rPr>
            </w:pPr>
            <w:r>
              <w:rPr>
                <w:sz w:val="20"/>
              </w:rPr>
              <w:t>Shufeld and Flavin’s eight-year folded Ranney Index. Observed for 200 cases.</w:t>
            </w:r>
          </w:p>
        </w:tc>
        <w:tc>
          <w:tcPr>
            <w:tcW w:w="6482" w:type="dxa"/>
          </w:tcPr>
          <w:p w14:paraId="11BAD680" w14:textId="77777777" w:rsidR="0046798B" w:rsidRDefault="00903B5C">
            <w:pPr>
              <w:pStyle w:val="TableParagraph"/>
              <w:spacing w:before="39"/>
              <w:ind w:left="114" w:right="217"/>
              <w:rPr>
                <w:sz w:val="20"/>
              </w:rPr>
            </w:pPr>
            <w:r>
              <w:rPr>
                <w:sz w:val="20"/>
              </w:rPr>
              <w:t xml:space="preserve">Shufeldt, Gregory, and Patrick Flavin. “Two Distinct Concepts: Party Competition in Government and Electoral Competition in the American States.” </w:t>
            </w:r>
            <w:r>
              <w:rPr>
                <w:i/>
                <w:sz w:val="20"/>
              </w:rPr>
              <w:t xml:space="preserve">State Politics and Policy Quarterly </w:t>
            </w:r>
            <w:r>
              <w:rPr>
                <w:sz w:val="20"/>
              </w:rPr>
              <w:t>12.3. (2012):330-342.</w:t>
            </w:r>
          </w:p>
          <w:p w14:paraId="47C3AAC4" w14:textId="77777777" w:rsidR="0046798B" w:rsidRDefault="0046798B">
            <w:pPr>
              <w:pStyle w:val="TableParagraph"/>
              <w:spacing w:before="11"/>
              <w:rPr>
                <w:sz w:val="19"/>
              </w:rPr>
            </w:pPr>
          </w:p>
          <w:p w14:paraId="387AF8DF" w14:textId="77777777" w:rsidR="0046798B" w:rsidRDefault="00903B5C">
            <w:pPr>
              <w:pStyle w:val="TableParagraph"/>
              <w:ind w:left="114" w:right="995"/>
              <w:rPr>
                <w:sz w:val="20"/>
              </w:rPr>
            </w:pPr>
            <w:r>
              <w:rPr>
                <w:sz w:val="20"/>
              </w:rPr>
              <w:t xml:space="preserve">Klarner, Carl, 2013, “Other Scholars’ Competitiveness Measures”, </w:t>
            </w:r>
            <w:hyperlink r:id="rId649">
              <w:r>
                <w:rPr>
                  <w:color w:val="0462C1"/>
                  <w:sz w:val="20"/>
                  <w:u w:val="single" w:color="0462C1"/>
                </w:rPr>
                <w:t>https://doi.org/10.7910/DVN/QSDYLH</w:t>
              </w:r>
              <w:r>
                <w:rPr>
                  <w:sz w:val="20"/>
                </w:rPr>
                <w:t>,</w:t>
              </w:r>
            </w:hyperlink>
            <w:r>
              <w:rPr>
                <w:sz w:val="20"/>
              </w:rPr>
              <w:t xml:space="preserve"> Harvard Dataverse, V1</w:t>
            </w:r>
          </w:p>
        </w:tc>
      </w:tr>
      <w:tr w:rsidR="0046798B" w14:paraId="04A93580" w14:textId="77777777">
        <w:trPr>
          <w:trHeight w:val="1465"/>
        </w:trPr>
        <w:tc>
          <w:tcPr>
            <w:tcW w:w="1711" w:type="dxa"/>
          </w:tcPr>
          <w:p w14:paraId="7FF5C8AE" w14:textId="77777777" w:rsidR="0046798B" w:rsidRDefault="0046798B">
            <w:pPr>
              <w:pStyle w:val="TableParagraph"/>
            </w:pPr>
          </w:p>
          <w:p w14:paraId="1320A4F0" w14:textId="77777777" w:rsidR="0046798B" w:rsidRDefault="0046798B">
            <w:pPr>
              <w:pStyle w:val="TableParagraph"/>
              <w:spacing w:before="3"/>
              <w:rPr>
                <w:sz w:val="31"/>
              </w:rPr>
            </w:pPr>
          </w:p>
          <w:p w14:paraId="66644A0D" w14:textId="77777777" w:rsidR="0046798B" w:rsidRDefault="00903B5C">
            <w:pPr>
              <w:pStyle w:val="TableParagraph"/>
              <w:ind w:left="115"/>
              <w:rPr>
                <w:b/>
                <w:sz w:val="20"/>
              </w:rPr>
            </w:pPr>
            <w:r>
              <w:rPr>
                <w:b/>
                <w:sz w:val="20"/>
              </w:rPr>
              <w:t>sf_hvd_10yr</w:t>
            </w:r>
          </w:p>
        </w:tc>
        <w:tc>
          <w:tcPr>
            <w:tcW w:w="1596" w:type="dxa"/>
          </w:tcPr>
          <w:p w14:paraId="3079BDC6" w14:textId="77777777" w:rsidR="0046798B" w:rsidRDefault="00903B5C">
            <w:pPr>
              <w:pStyle w:val="TableParagraph"/>
              <w:spacing w:before="38"/>
              <w:ind w:left="114" w:right="157"/>
              <w:rPr>
                <w:sz w:val="20"/>
              </w:rPr>
            </w:pPr>
            <w:r>
              <w:rPr>
                <w:sz w:val="20"/>
              </w:rPr>
              <w:t>Shufeldt and Flavin’s H&amp;VD electoral competitiveness measure: 10-yr. moving average</w:t>
            </w:r>
          </w:p>
        </w:tc>
        <w:tc>
          <w:tcPr>
            <w:tcW w:w="1285" w:type="dxa"/>
          </w:tcPr>
          <w:p w14:paraId="497221BB" w14:textId="77777777" w:rsidR="0046798B" w:rsidRDefault="0046798B">
            <w:pPr>
              <w:pStyle w:val="TableParagraph"/>
            </w:pPr>
          </w:p>
          <w:p w14:paraId="3A84E3BE" w14:textId="77777777" w:rsidR="0046798B" w:rsidRDefault="0046798B">
            <w:pPr>
              <w:pStyle w:val="TableParagraph"/>
              <w:spacing w:before="3"/>
              <w:rPr>
                <w:sz w:val="31"/>
              </w:rPr>
            </w:pPr>
          </w:p>
          <w:p w14:paraId="1721BD94" w14:textId="77777777" w:rsidR="0046798B" w:rsidRDefault="00903B5C">
            <w:pPr>
              <w:pStyle w:val="TableParagraph"/>
              <w:ind w:left="114"/>
              <w:rPr>
                <w:sz w:val="20"/>
              </w:rPr>
            </w:pPr>
            <w:r>
              <w:rPr>
                <w:sz w:val="20"/>
              </w:rPr>
              <w:t>1979–2010</w:t>
            </w:r>
          </w:p>
        </w:tc>
        <w:tc>
          <w:tcPr>
            <w:tcW w:w="3421" w:type="dxa"/>
          </w:tcPr>
          <w:p w14:paraId="04728A2C" w14:textId="77777777" w:rsidR="0046798B" w:rsidRDefault="0046798B">
            <w:pPr>
              <w:pStyle w:val="TableParagraph"/>
            </w:pPr>
          </w:p>
          <w:p w14:paraId="392B5E53" w14:textId="77777777" w:rsidR="0046798B" w:rsidRDefault="00903B5C">
            <w:pPr>
              <w:pStyle w:val="TableParagraph"/>
              <w:spacing w:before="130"/>
              <w:ind w:left="114" w:right="527"/>
              <w:rPr>
                <w:sz w:val="20"/>
              </w:rPr>
            </w:pPr>
            <w:r>
              <w:rPr>
                <w:sz w:val="20"/>
              </w:rPr>
              <w:t>Shufeldt and Flavin’s ten-year Holbrook and Van Dunk measure. Observed for 148 cases.</w:t>
            </w:r>
          </w:p>
        </w:tc>
        <w:tc>
          <w:tcPr>
            <w:tcW w:w="6482" w:type="dxa"/>
          </w:tcPr>
          <w:p w14:paraId="4FCE73AA" w14:textId="77777777" w:rsidR="0046798B" w:rsidRDefault="00903B5C">
            <w:pPr>
              <w:pStyle w:val="TableParagraph"/>
              <w:spacing w:before="38"/>
              <w:ind w:left="114" w:right="217"/>
              <w:rPr>
                <w:sz w:val="20"/>
              </w:rPr>
            </w:pPr>
            <w:r>
              <w:rPr>
                <w:sz w:val="20"/>
              </w:rPr>
              <w:t xml:space="preserve">Shufeldt, Gregory, and Patrick Flavin. “Two Distinct Concepts: Party Competition in Government and Electoral Competition in the American States.” </w:t>
            </w:r>
            <w:r>
              <w:rPr>
                <w:i/>
                <w:sz w:val="20"/>
              </w:rPr>
              <w:t xml:space="preserve">State Politics and Policy Quarterly </w:t>
            </w:r>
            <w:r>
              <w:rPr>
                <w:sz w:val="20"/>
              </w:rPr>
              <w:t>12.3. (2012):330-342.</w:t>
            </w:r>
          </w:p>
          <w:p w14:paraId="3E380E9C" w14:textId="77777777" w:rsidR="0046798B" w:rsidRDefault="0046798B">
            <w:pPr>
              <w:pStyle w:val="TableParagraph"/>
              <w:rPr>
                <w:sz w:val="20"/>
              </w:rPr>
            </w:pPr>
          </w:p>
          <w:p w14:paraId="079545F3" w14:textId="77777777" w:rsidR="0046798B" w:rsidRDefault="00903B5C">
            <w:pPr>
              <w:pStyle w:val="TableParagraph"/>
              <w:ind w:left="114" w:right="995"/>
              <w:rPr>
                <w:sz w:val="20"/>
              </w:rPr>
            </w:pPr>
            <w:r>
              <w:rPr>
                <w:sz w:val="20"/>
              </w:rPr>
              <w:t xml:space="preserve">Klarner, Carl, 2013, “Other Scholars’ Competitiveness Measures”, </w:t>
            </w:r>
            <w:hyperlink r:id="rId650">
              <w:r>
                <w:rPr>
                  <w:color w:val="0462C1"/>
                  <w:sz w:val="20"/>
                  <w:u w:val="single" w:color="0462C1"/>
                </w:rPr>
                <w:t>https://doi.org/10.7910/DVN/QSDYLH</w:t>
              </w:r>
              <w:r>
                <w:rPr>
                  <w:sz w:val="20"/>
                </w:rPr>
                <w:t>,</w:t>
              </w:r>
            </w:hyperlink>
            <w:r>
              <w:rPr>
                <w:sz w:val="20"/>
              </w:rPr>
              <w:t xml:space="preserve"> Harvard Dataverse, V1</w:t>
            </w:r>
          </w:p>
        </w:tc>
      </w:tr>
      <w:tr w:rsidR="0046798B" w14:paraId="0FD36372" w14:textId="77777777">
        <w:trPr>
          <w:trHeight w:val="1005"/>
        </w:trPr>
        <w:tc>
          <w:tcPr>
            <w:tcW w:w="1711" w:type="dxa"/>
          </w:tcPr>
          <w:p w14:paraId="6A762825" w14:textId="77777777" w:rsidR="0046798B" w:rsidRDefault="0046798B">
            <w:pPr>
              <w:pStyle w:val="TableParagraph"/>
            </w:pPr>
          </w:p>
          <w:p w14:paraId="51EEF991" w14:textId="77777777" w:rsidR="0046798B" w:rsidRDefault="00903B5C">
            <w:pPr>
              <w:pStyle w:val="TableParagraph"/>
              <w:spacing w:before="135"/>
              <w:ind w:left="115"/>
              <w:rPr>
                <w:b/>
                <w:sz w:val="20"/>
              </w:rPr>
            </w:pPr>
            <w:r>
              <w:rPr>
                <w:b/>
                <w:sz w:val="20"/>
              </w:rPr>
              <w:t>sf_ranney_10yr</w:t>
            </w:r>
          </w:p>
        </w:tc>
        <w:tc>
          <w:tcPr>
            <w:tcW w:w="1596" w:type="dxa"/>
          </w:tcPr>
          <w:p w14:paraId="57E91F9E" w14:textId="77777777" w:rsidR="0046798B" w:rsidRDefault="00903B5C">
            <w:pPr>
              <w:pStyle w:val="TableParagraph"/>
              <w:spacing w:before="43"/>
              <w:ind w:left="114" w:right="135"/>
              <w:rPr>
                <w:sz w:val="20"/>
              </w:rPr>
            </w:pPr>
            <w:r>
              <w:rPr>
                <w:sz w:val="20"/>
              </w:rPr>
              <w:t>Shufeldt and Flavin’s Ranney electoral competitiveness</w:t>
            </w:r>
          </w:p>
        </w:tc>
        <w:tc>
          <w:tcPr>
            <w:tcW w:w="1285" w:type="dxa"/>
          </w:tcPr>
          <w:p w14:paraId="256ED87A" w14:textId="77777777" w:rsidR="0046798B" w:rsidRDefault="0046798B">
            <w:pPr>
              <w:pStyle w:val="TableParagraph"/>
            </w:pPr>
          </w:p>
          <w:p w14:paraId="28737F43" w14:textId="77777777" w:rsidR="0046798B" w:rsidRDefault="00903B5C">
            <w:pPr>
              <w:pStyle w:val="TableParagraph"/>
              <w:spacing w:before="135"/>
              <w:ind w:left="114"/>
              <w:rPr>
                <w:sz w:val="20"/>
              </w:rPr>
            </w:pPr>
            <w:r>
              <w:rPr>
                <w:sz w:val="20"/>
              </w:rPr>
              <w:t>1979–2010</w:t>
            </w:r>
          </w:p>
        </w:tc>
        <w:tc>
          <w:tcPr>
            <w:tcW w:w="3421" w:type="dxa"/>
          </w:tcPr>
          <w:p w14:paraId="71E5F6FE" w14:textId="77777777" w:rsidR="0046798B" w:rsidRDefault="0046798B">
            <w:pPr>
              <w:pStyle w:val="TableParagraph"/>
              <w:spacing w:before="8"/>
              <w:rPr>
                <w:sz w:val="23"/>
              </w:rPr>
            </w:pPr>
          </w:p>
          <w:p w14:paraId="1E415D52" w14:textId="77777777" w:rsidR="0046798B" w:rsidRDefault="00903B5C">
            <w:pPr>
              <w:pStyle w:val="TableParagraph"/>
              <w:spacing w:before="1"/>
              <w:ind w:left="114" w:right="139"/>
              <w:rPr>
                <w:sz w:val="20"/>
              </w:rPr>
            </w:pPr>
            <w:r>
              <w:rPr>
                <w:sz w:val="20"/>
              </w:rPr>
              <w:t>Shufeld and Flavin’s ten-year folded Ranney Index. Observed for 150 cases.</w:t>
            </w:r>
          </w:p>
        </w:tc>
        <w:tc>
          <w:tcPr>
            <w:tcW w:w="6482" w:type="dxa"/>
          </w:tcPr>
          <w:p w14:paraId="4CA5CDC2" w14:textId="77777777" w:rsidR="0046798B" w:rsidRDefault="00903B5C">
            <w:pPr>
              <w:pStyle w:val="TableParagraph"/>
              <w:spacing w:before="43"/>
              <w:ind w:left="114" w:right="217"/>
              <w:rPr>
                <w:sz w:val="20"/>
              </w:rPr>
            </w:pPr>
            <w:r>
              <w:rPr>
                <w:sz w:val="20"/>
              </w:rPr>
              <w:t xml:space="preserve">Shufeldt, Gregory, and Patrick Flavin. “Two Distinct Concepts: Party Competition in Government and Electoral Competition in the American States.” </w:t>
            </w:r>
            <w:r>
              <w:rPr>
                <w:i/>
                <w:sz w:val="20"/>
              </w:rPr>
              <w:t xml:space="preserve">State Politics and Policy Quarterly </w:t>
            </w:r>
            <w:r>
              <w:rPr>
                <w:sz w:val="20"/>
              </w:rPr>
              <w:t>12.3. (2012):330-342.</w:t>
            </w:r>
          </w:p>
        </w:tc>
      </w:tr>
    </w:tbl>
    <w:p w14:paraId="3B9AC955" w14:textId="77777777" w:rsidR="0046798B" w:rsidRDefault="0046798B">
      <w:pPr>
        <w:rPr>
          <w:sz w:val="20"/>
        </w:rPr>
        <w:sectPr w:rsidR="0046798B">
          <w:pgSz w:w="15840" w:h="12240" w:orient="landscape"/>
          <w:pgMar w:top="1220" w:right="300" w:bottom="980" w:left="820" w:header="730" w:footer="787" w:gutter="0"/>
          <w:cols w:space="720"/>
        </w:sectPr>
      </w:pPr>
    </w:p>
    <w:p w14:paraId="3C2A8F35"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6690636B" w14:textId="77777777">
        <w:trPr>
          <w:trHeight w:val="542"/>
        </w:trPr>
        <w:tc>
          <w:tcPr>
            <w:tcW w:w="1711" w:type="dxa"/>
            <w:tcBorders>
              <w:bottom w:val="dotted" w:sz="6" w:space="0" w:color="BEBEBE"/>
            </w:tcBorders>
          </w:tcPr>
          <w:p w14:paraId="47C4A91D" w14:textId="77777777" w:rsidR="0046798B" w:rsidRDefault="0046798B">
            <w:pPr>
              <w:pStyle w:val="TableParagraph"/>
              <w:rPr>
                <w:sz w:val="20"/>
              </w:rPr>
            </w:pPr>
          </w:p>
        </w:tc>
        <w:tc>
          <w:tcPr>
            <w:tcW w:w="1596" w:type="dxa"/>
            <w:tcBorders>
              <w:bottom w:val="dotted" w:sz="6" w:space="0" w:color="BEBEBE"/>
            </w:tcBorders>
          </w:tcPr>
          <w:p w14:paraId="5E98949A" w14:textId="77777777" w:rsidR="0046798B" w:rsidRDefault="00903B5C">
            <w:pPr>
              <w:pStyle w:val="TableParagraph"/>
              <w:spacing w:before="43"/>
              <w:ind w:left="114" w:right="169"/>
              <w:rPr>
                <w:sz w:val="20"/>
              </w:rPr>
            </w:pPr>
            <w:r>
              <w:rPr>
                <w:sz w:val="20"/>
              </w:rPr>
              <w:t>measure: 10-yr. moving average</w:t>
            </w:r>
          </w:p>
        </w:tc>
        <w:tc>
          <w:tcPr>
            <w:tcW w:w="1285" w:type="dxa"/>
            <w:tcBorders>
              <w:bottom w:val="dotted" w:sz="6" w:space="0" w:color="BEBEBE"/>
            </w:tcBorders>
          </w:tcPr>
          <w:p w14:paraId="1E89B456" w14:textId="77777777" w:rsidR="0046798B" w:rsidRDefault="0046798B">
            <w:pPr>
              <w:pStyle w:val="TableParagraph"/>
              <w:rPr>
                <w:sz w:val="20"/>
              </w:rPr>
            </w:pPr>
          </w:p>
        </w:tc>
        <w:tc>
          <w:tcPr>
            <w:tcW w:w="3421" w:type="dxa"/>
            <w:tcBorders>
              <w:bottom w:val="dotted" w:sz="6" w:space="0" w:color="BEBEBE"/>
            </w:tcBorders>
          </w:tcPr>
          <w:p w14:paraId="23D7F94C" w14:textId="77777777" w:rsidR="0046798B" w:rsidRDefault="0046798B">
            <w:pPr>
              <w:pStyle w:val="TableParagraph"/>
              <w:rPr>
                <w:sz w:val="20"/>
              </w:rPr>
            </w:pPr>
          </w:p>
        </w:tc>
        <w:tc>
          <w:tcPr>
            <w:tcW w:w="6482" w:type="dxa"/>
            <w:tcBorders>
              <w:bottom w:val="dotted" w:sz="6" w:space="0" w:color="BEBEBE"/>
            </w:tcBorders>
          </w:tcPr>
          <w:p w14:paraId="2F8398F9" w14:textId="77777777" w:rsidR="0046798B" w:rsidRDefault="00903B5C">
            <w:pPr>
              <w:pStyle w:val="TableParagraph"/>
              <w:spacing w:before="43"/>
              <w:ind w:left="114" w:right="995"/>
              <w:rPr>
                <w:sz w:val="20"/>
              </w:rPr>
            </w:pPr>
            <w:r>
              <w:rPr>
                <w:sz w:val="20"/>
              </w:rPr>
              <w:t xml:space="preserve">Klarner, Carl, 2013, “Other Scholars’ Competitiveness Measures”, </w:t>
            </w:r>
            <w:hyperlink r:id="rId651">
              <w:r>
                <w:rPr>
                  <w:color w:val="0462C1"/>
                  <w:sz w:val="20"/>
                  <w:u w:val="single" w:color="0462C1"/>
                </w:rPr>
                <w:t>https://doi.org/10.7910/DVN/QSDYLH</w:t>
              </w:r>
              <w:r>
                <w:rPr>
                  <w:sz w:val="20"/>
                </w:rPr>
                <w:t>,</w:t>
              </w:r>
            </w:hyperlink>
            <w:r>
              <w:rPr>
                <w:sz w:val="20"/>
              </w:rPr>
              <w:t xml:space="preserve"> Harvard Dataverse, V1</w:t>
            </w:r>
          </w:p>
        </w:tc>
      </w:tr>
      <w:tr w:rsidR="0046798B" w14:paraId="0FA62D31" w14:textId="77777777">
        <w:trPr>
          <w:trHeight w:val="1002"/>
        </w:trPr>
        <w:tc>
          <w:tcPr>
            <w:tcW w:w="1711" w:type="dxa"/>
            <w:tcBorders>
              <w:top w:val="dotted" w:sz="6" w:space="0" w:color="BEBEBE"/>
            </w:tcBorders>
          </w:tcPr>
          <w:p w14:paraId="4C42ED57" w14:textId="77777777" w:rsidR="0046798B" w:rsidRDefault="0046798B">
            <w:pPr>
              <w:pStyle w:val="TableParagraph"/>
            </w:pPr>
          </w:p>
          <w:p w14:paraId="3E980AE8" w14:textId="77777777" w:rsidR="0046798B" w:rsidRDefault="00903B5C">
            <w:pPr>
              <w:pStyle w:val="TableParagraph"/>
              <w:spacing w:before="133"/>
              <w:ind w:left="115"/>
              <w:rPr>
                <w:b/>
                <w:sz w:val="20"/>
              </w:rPr>
            </w:pPr>
            <w:r>
              <w:rPr>
                <w:b/>
                <w:sz w:val="20"/>
              </w:rPr>
              <w:t>overall_fin_reg</w:t>
            </w:r>
          </w:p>
        </w:tc>
        <w:tc>
          <w:tcPr>
            <w:tcW w:w="1596" w:type="dxa"/>
            <w:tcBorders>
              <w:top w:val="dotted" w:sz="6" w:space="0" w:color="BEBEBE"/>
            </w:tcBorders>
          </w:tcPr>
          <w:p w14:paraId="69E73A20" w14:textId="77777777" w:rsidR="0046798B" w:rsidRDefault="00903B5C">
            <w:pPr>
              <w:pStyle w:val="TableParagraph"/>
              <w:spacing w:before="40"/>
              <w:ind w:left="114" w:right="618"/>
              <w:rPr>
                <w:sz w:val="20"/>
              </w:rPr>
            </w:pPr>
            <w:r>
              <w:rPr>
                <w:sz w:val="20"/>
              </w:rPr>
              <w:t>Overall campaign finance stringency</w:t>
            </w:r>
          </w:p>
        </w:tc>
        <w:tc>
          <w:tcPr>
            <w:tcW w:w="1285" w:type="dxa"/>
            <w:tcBorders>
              <w:top w:val="dotted" w:sz="6" w:space="0" w:color="BEBEBE"/>
            </w:tcBorders>
          </w:tcPr>
          <w:p w14:paraId="66ADC147" w14:textId="77777777" w:rsidR="0046798B" w:rsidRDefault="0046798B">
            <w:pPr>
              <w:pStyle w:val="TableParagraph"/>
            </w:pPr>
          </w:p>
          <w:p w14:paraId="32DCB0F6" w14:textId="77777777" w:rsidR="0046798B" w:rsidRDefault="00903B5C">
            <w:pPr>
              <w:pStyle w:val="TableParagraph"/>
              <w:spacing w:before="133"/>
              <w:ind w:left="114"/>
              <w:rPr>
                <w:sz w:val="20"/>
              </w:rPr>
            </w:pPr>
            <w:r>
              <w:rPr>
                <w:sz w:val="20"/>
              </w:rPr>
              <w:t>1992–2012</w:t>
            </w:r>
          </w:p>
        </w:tc>
        <w:tc>
          <w:tcPr>
            <w:tcW w:w="3421" w:type="dxa"/>
            <w:tcBorders>
              <w:top w:val="dotted" w:sz="6" w:space="0" w:color="BEBEBE"/>
            </w:tcBorders>
          </w:tcPr>
          <w:p w14:paraId="577DA3FC" w14:textId="77777777" w:rsidR="0046798B" w:rsidRDefault="00903B5C">
            <w:pPr>
              <w:pStyle w:val="TableParagraph"/>
              <w:spacing w:before="155"/>
              <w:ind w:left="114" w:right="394"/>
              <w:rPr>
                <w:sz w:val="20"/>
              </w:rPr>
            </w:pPr>
            <w:r>
              <w:rPr>
                <w:sz w:val="20"/>
              </w:rPr>
              <w:t>An overall index measuring level of stringency in campaign finance regulations</w:t>
            </w:r>
          </w:p>
        </w:tc>
        <w:tc>
          <w:tcPr>
            <w:tcW w:w="6482" w:type="dxa"/>
            <w:tcBorders>
              <w:top w:val="dotted" w:sz="6" w:space="0" w:color="BEBEBE"/>
            </w:tcBorders>
          </w:tcPr>
          <w:p w14:paraId="0A08D37E" w14:textId="77777777" w:rsidR="0046798B" w:rsidRDefault="00903B5C">
            <w:pPr>
              <w:pStyle w:val="TableParagraph"/>
              <w:spacing w:before="155"/>
              <w:ind w:left="114" w:right="428"/>
              <w:rPr>
                <w:sz w:val="20"/>
              </w:rPr>
            </w:pPr>
            <w:r>
              <w:rPr>
                <w:sz w:val="20"/>
              </w:rPr>
              <w:t xml:space="preserve">Kulesza, Christopher; Witko, Christopher; Waltenburg, Eric, 2015, “State Campaign Finance Regulatory Stringency Index, 1992-2012”, </w:t>
            </w:r>
            <w:hyperlink r:id="rId652">
              <w:r>
                <w:rPr>
                  <w:color w:val="0462C1"/>
                  <w:sz w:val="20"/>
                  <w:u w:val="single" w:color="0462C1"/>
                </w:rPr>
                <w:t>https://doi.org/10.7910/DVN/NLDUOY</w:t>
              </w:r>
              <w:r>
                <w:rPr>
                  <w:sz w:val="20"/>
                </w:rPr>
                <w:t>,</w:t>
              </w:r>
            </w:hyperlink>
            <w:r>
              <w:rPr>
                <w:sz w:val="20"/>
              </w:rPr>
              <w:t xml:space="preserve"> Harvard Dataverse, V1.</w:t>
            </w:r>
          </w:p>
        </w:tc>
      </w:tr>
      <w:tr w:rsidR="0046798B" w14:paraId="10725D4C" w14:textId="77777777">
        <w:trPr>
          <w:trHeight w:val="3541"/>
        </w:trPr>
        <w:tc>
          <w:tcPr>
            <w:tcW w:w="1711" w:type="dxa"/>
          </w:tcPr>
          <w:p w14:paraId="75206EEA" w14:textId="77777777" w:rsidR="0046798B" w:rsidRDefault="0046798B">
            <w:pPr>
              <w:pStyle w:val="TableParagraph"/>
            </w:pPr>
          </w:p>
          <w:p w14:paraId="784BF719" w14:textId="77777777" w:rsidR="0046798B" w:rsidRDefault="0046798B">
            <w:pPr>
              <w:pStyle w:val="TableParagraph"/>
            </w:pPr>
          </w:p>
          <w:p w14:paraId="15537019" w14:textId="77777777" w:rsidR="0046798B" w:rsidRDefault="0046798B">
            <w:pPr>
              <w:pStyle w:val="TableParagraph"/>
            </w:pPr>
          </w:p>
          <w:p w14:paraId="3D0025DB" w14:textId="77777777" w:rsidR="0046798B" w:rsidRDefault="0046798B">
            <w:pPr>
              <w:pStyle w:val="TableParagraph"/>
            </w:pPr>
          </w:p>
          <w:p w14:paraId="49B913EE" w14:textId="77777777" w:rsidR="0046798B" w:rsidRDefault="0046798B">
            <w:pPr>
              <w:pStyle w:val="TableParagraph"/>
            </w:pPr>
          </w:p>
          <w:p w14:paraId="5C3E7557" w14:textId="77777777" w:rsidR="0046798B" w:rsidRDefault="0046798B">
            <w:pPr>
              <w:pStyle w:val="TableParagraph"/>
              <w:spacing w:before="9"/>
              <w:rPr>
                <w:sz w:val="23"/>
              </w:rPr>
            </w:pPr>
          </w:p>
          <w:p w14:paraId="63286950" w14:textId="77777777" w:rsidR="0046798B" w:rsidRDefault="00903B5C">
            <w:pPr>
              <w:pStyle w:val="TableParagraph"/>
              <w:spacing w:before="1"/>
              <w:ind w:left="115" w:right="99"/>
              <w:rPr>
                <w:b/>
                <w:sz w:val="20"/>
              </w:rPr>
            </w:pPr>
            <w:r>
              <w:rPr>
                <w:b/>
                <w:sz w:val="20"/>
              </w:rPr>
              <w:t>disclosure_fin_re g</w:t>
            </w:r>
          </w:p>
        </w:tc>
        <w:tc>
          <w:tcPr>
            <w:tcW w:w="1596" w:type="dxa"/>
          </w:tcPr>
          <w:p w14:paraId="205D12AF" w14:textId="77777777" w:rsidR="0046798B" w:rsidRDefault="0046798B">
            <w:pPr>
              <w:pStyle w:val="TableParagraph"/>
            </w:pPr>
          </w:p>
          <w:p w14:paraId="2DA27747" w14:textId="77777777" w:rsidR="0046798B" w:rsidRDefault="0046798B">
            <w:pPr>
              <w:pStyle w:val="TableParagraph"/>
            </w:pPr>
          </w:p>
          <w:p w14:paraId="4CC69F02" w14:textId="77777777" w:rsidR="0046798B" w:rsidRDefault="0046798B">
            <w:pPr>
              <w:pStyle w:val="TableParagraph"/>
            </w:pPr>
          </w:p>
          <w:p w14:paraId="7ACEDCC0" w14:textId="77777777" w:rsidR="0046798B" w:rsidRDefault="0046798B">
            <w:pPr>
              <w:pStyle w:val="TableParagraph"/>
            </w:pPr>
          </w:p>
          <w:p w14:paraId="6CF7A776" w14:textId="77777777" w:rsidR="0046798B" w:rsidRDefault="0046798B">
            <w:pPr>
              <w:pStyle w:val="TableParagraph"/>
              <w:spacing w:before="9"/>
              <w:rPr>
                <w:sz w:val="25"/>
              </w:rPr>
            </w:pPr>
          </w:p>
          <w:p w14:paraId="73E0417D" w14:textId="77777777" w:rsidR="0046798B" w:rsidRDefault="00903B5C">
            <w:pPr>
              <w:pStyle w:val="TableParagraph"/>
              <w:spacing w:before="1"/>
              <w:ind w:left="114" w:right="618"/>
              <w:rPr>
                <w:sz w:val="20"/>
              </w:rPr>
            </w:pPr>
            <w:r>
              <w:rPr>
                <w:sz w:val="20"/>
              </w:rPr>
              <w:t>Campaign finance disclosure stringency</w:t>
            </w:r>
          </w:p>
        </w:tc>
        <w:tc>
          <w:tcPr>
            <w:tcW w:w="1285" w:type="dxa"/>
          </w:tcPr>
          <w:p w14:paraId="7D3D60B4" w14:textId="77777777" w:rsidR="0046798B" w:rsidRDefault="0046798B">
            <w:pPr>
              <w:pStyle w:val="TableParagraph"/>
            </w:pPr>
          </w:p>
          <w:p w14:paraId="36B3C2D1" w14:textId="77777777" w:rsidR="0046798B" w:rsidRDefault="0046798B">
            <w:pPr>
              <w:pStyle w:val="TableParagraph"/>
            </w:pPr>
          </w:p>
          <w:p w14:paraId="29459548" w14:textId="77777777" w:rsidR="0046798B" w:rsidRDefault="0046798B">
            <w:pPr>
              <w:pStyle w:val="TableParagraph"/>
            </w:pPr>
          </w:p>
          <w:p w14:paraId="6D7CBE53" w14:textId="77777777" w:rsidR="0046798B" w:rsidRDefault="0046798B">
            <w:pPr>
              <w:pStyle w:val="TableParagraph"/>
            </w:pPr>
          </w:p>
          <w:p w14:paraId="659E67D1" w14:textId="77777777" w:rsidR="0046798B" w:rsidRDefault="0046798B">
            <w:pPr>
              <w:pStyle w:val="TableParagraph"/>
            </w:pPr>
          </w:p>
          <w:p w14:paraId="0901ABE6" w14:textId="77777777" w:rsidR="0046798B" w:rsidRDefault="0046798B">
            <w:pPr>
              <w:pStyle w:val="TableParagraph"/>
            </w:pPr>
          </w:p>
          <w:p w14:paraId="202C4A68" w14:textId="77777777" w:rsidR="0046798B" w:rsidRDefault="00903B5C">
            <w:pPr>
              <w:pStyle w:val="TableParagraph"/>
              <w:spacing w:before="136"/>
              <w:ind w:left="114"/>
              <w:rPr>
                <w:sz w:val="20"/>
              </w:rPr>
            </w:pPr>
            <w:r>
              <w:rPr>
                <w:sz w:val="20"/>
              </w:rPr>
              <w:t>1992–2012</w:t>
            </w:r>
          </w:p>
        </w:tc>
        <w:tc>
          <w:tcPr>
            <w:tcW w:w="3421" w:type="dxa"/>
          </w:tcPr>
          <w:p w14:paraId="5E2F45EE" w14:textId="77777777" w:rsidR="0046798B" w:rsidRDefault="00903B5C">
            <w:pPr>
              <w:pStyle w:val="TableParagraph"/>
              <w:spacing w:before="44"/>
              <w:ind w:left="114" w:right="120"/>
              <w:rPr>
                <w:sz w:val="20"/>
              </w:rPr>
            </w:pPr>
            <w:r>
              <w:rPr>
                <w:sz w:val="20"/>
              </w:rPr>
              <w:t>An index measuring level of stringency in campaign finance disclosure regulation. Coded as the total number of the following provisions enacted: 1) Aggregate expenditure reporting; 2) Aggregate contributions reporting; 3) Itemization of some categories of expenditures; 4) Itemization of some categories of contributions; 5) Itemization of expenditures over $50;</w:t>
            </w:r>
          </w:p>
          <w:p w14:paraId="569AA69B" w14:textId="77777777" w:rsidR="0046798B" w:rsidRDefault="00903B5C">
            <w:pPr>
              <w:pStyle w:val="TableParagraph"/>
              <w:spacing w:before="1"/>
              <w:ind w:left="114"/>
              <w:rPr>
                <w:sz w:val="20"/>
              </w:rPr>
            </w:pPr>
            <w:r>
              <w:rPr>
                <w:sz w:val="20"/>
              </w:rPr>
              <w:t>6) Itemization of contributions over</w:t>
            </w:r>
          </w:p>
          <w:p w14:paraId="05F67EC6" w14:textId="77777777" w:rsidR="0046798B" w:rsidRDefault="00903B5C">
            <w:pPr>
              <w:pStyle w:val="TableParagraph"/>
              <w:ind w:left="114" w:right="116"/>
              <w:rPr>
                <w:sz w:val="20"/>
              </w:rPr>
            </w:pPr>
            <w:r>
              <w:rPr>
                <w:sz w:val="20"/>
              </w:rPr>
              <w:t>$50; 7) Requirement of final report within one month of an election; and 8) Requirement of reports on at least a quarterly basis.</w:t>
            </w:r>
          </w:p>
        </w:tc>
        <w:tc>
          <w:tcPr>
            <w:tcW w:w="6482" w:type="dxa"/>
          </w:tcPr>
          <w:p w14:paraId="5C6A2C13" w14:textId="77777777" w:rsidR="0046798B" w:rsidRDefault="0046798B">
            <w:pPr>
              <w:pStyle w:val="TableParagraph"/>
            </w:pPr>
          </w:p>
          <w:p w14:paraId="7029ACF1" w14:textId="77777777" w:rsidR="0046798B" w:rsidRDefault="0046798B">
            <w:pPr>
              <w:pStyle w:val="TableParagraph"/>
            </w:pPr>
          </w:p>
          <w:p w14:paraId="09DC83CE" w14:textId="77777777" w:rsidR="0046798B" w:rsidRDefault="0046798B">
            <w:pPr>
              <w:pStyle w:val="TableParagraph"/>
            </w:pPr>
          </w:p>
          <w:p w14:paraId="6BB918D3" w14:textId="77777777" w:rsidR="0046798B" w:rsidRDefault="0046798B">
            <w:pPr>
              <w:pStyle w:val="TableParagraph"/>
            </w:pPr>
          </w:p>
          <w:p w14:paraId="36FA5030" w14:textId="77777777" w:rsidR="0046798B" w:rsidRDefault="0046798B">
            <w:pPr>
              <w:pStyle w:val="TableParagraph"/>
            </w:pPr>
          </w:p>
          <w:p w14:paraId="3BE30CE4" w14:textId="77777777" w:rsidR="0046798B" w:rsidRDefault="00903B5C">
            <w:pPr>
              <w:pStyle w:val="TableParagraph"/>
              <w:spacing w:before="159"/>
              <w:ind w:left="114" w:right="428"/>
              <w:rPr>
                <w:sz w:val="20"/>
              </w:rPr>
            </w:pPr>
            <w:r>
              <w:rPr>
                <w:sz w:val="20"/>
              </w:rPr>
              <w:t xml:space="preserve">Kulesza, Christopher; Witko, Christopher; Waltenburg, Eric, 2015, “State Campaign Finance Regulatory Stringency Index, 1992-2012”, </w:t>
            </w:r>
            <w:hyperlink r:id="rId653">
              <w:r>
                <w:rPr>
                  <w:color w:val="0462C1"/>
                  <w:sz w:val="20"/>
                  <w:u w:val="single" w:color="0462C1"/>
                </w:rPr>
                <w:t>https://doi.org/10.7910/DVN/NLDUOY</w:t>
              </w:r>
              <w:r>
                <w:rPr>
                  <w:sz w:val="20"/>
                </w:rPr>
                <w:t>,</w:t>
              </w:r>
            </w:hyperlink>
            <w:r>
              <w:rPr>
                <w:sz w:val="20"/>
              </w:rPr>
              <w:t xml:space="preserve"> Harvard Dataverse, V1.</w:t>
            </w:r>
          </w:p>
        </w:tc>
      </w:tr>
      <w:tr w:rsidR="0046798B" w14:paraId="4986C96D" w14:textId="77777777">
        <w:trPr>
          <w:trHeight w:val="3536"/>
        </w:trPr>
        <w:tc>
          <w:tcPr>
            <w:tcW w:w="1711" w:type="dxa"/>
          </w:tcPr>
          <w:p w14:paraId="0E71F79E" w14:textId="77777777" w:rsidR="0046798B" w:rsidRDefault="0046798B">
            <w:pPr>
              <w:pStyle w:val="TableParagraph"/>
            </w:pPr>
          </w:p>
          <w:p w14:paraId="4535150E" w14:textId="77777777" w:rsidR="0046798B" w:rsidRDefault="0046798B">
            <w:pPr>
              <w:pStyle w:val="TableParagraph"/>
            </w:pPr>
          </w:p>
          <w:p w14:paraId="20759DD1" w14:textId="77777777" w:rsidR="0046798B" w:rsidRDefault="0046798B">
            <w:pPr>
              <w:pStyle w:val="TableParagraph"/>
            </w:pPr>
          </w:p>
          <w:p w14:paraId="5B342BB2" w14:textId="77777777" w:rsidR="0046798B" w:rsidRDefault="0046798B">
            <w:pPr>
              <w:pStyle w:val="TableParagraph"/>
            </w:pPr>
          </w:p>
          <w:p w14:paraId="7B7D4485" w14:textId="77777777" w:rsidR="0046798B" w:rsidRDefault="0046798B">
            <w:pPr>
              <w:pStyle w:val="TableParagraph"/>
            </w:pPr>
          </w:p>
          <w:p w14:paraId="0FBAA1FF" w14:textId="77777777" w:rsidR="0046798B" w:rsidRDefault="0046798B">
            <w:pPr>
              <w:pStyle w:val="TableParagraph"/>
            </w:pPr>
          </w:p>
          <w:p w14:paraId="05E57AE6" w14:textId="77777777" w:rsidR="0046798B" w:rsidRDefault="00903B5C">
            <w:pPr>
              <w:pStyle w:val="TableParagraph"/>
              <w:spacing w:before="131"/>
              <w:ind w:left="115"/>
              <w:rPr>
                <w:b/>
                <w:sz w:val="20"/>
              </w:rPr>
            </w:pPr>
            <w:r>
              <w:rPr>
                <w:b/>
                <w:sz w:val="20"/>
              </w:rPr>
              <w:t>public_fin_reg</w:t>
            </w:r>
          </w:p>
        </w:tc>
        <w:tc>
          <w:tcPr>
            <w:tcW w:w="1596" w:type="dxa"/>
          </w:tcPr>
          <w:p w14:paraId="4FA87310" w14:textId="77777777" w:rsidR="0046798B" w:rsidRDefault="0046798B">
            <w:pPr>
              <w:pStyle w:val="TableParagraph"/>
            </w:pPr>
          </w:p>
          <w:p w14:paraId="0C531EC8" w14:textId="77777777" w:rsidR="0046798B" w:rsidRDefault="0046798B">
            <w:pPr>
              <w:pStyle w:val="TableParagraph"/>
            </w:pPr>
          </w:p>
          <w:p w14:paraId="6BD09CB2" w14:textId="77777777" w:rsidR="0046798B" w:rsidRDefault="0046798B">
            <w:pPr>
              <w:pStyle w:val="TableParagraph"/>
            </w:pPr>
          </w:p>
          <w:p w14:paraId="3D1841CA" w14:textId="77777777" w:rsidR="0046798B" w:rsidRDefault="0046798B">
            <w:pPr>
              <w:pStyle w:val="TableParagraph"/>
            </w:pPr>
          </w:p>
          <w:p w14:paraId="66A0B63A" w14:textId="77777777" w:rsidR="0046798B" w:rsidRDefault="0046798B">
            <w:pPr>
              <w:pStyle w:val="TableParagraph"/>
            </w:pPr>
          </w:p>
          <w:p w14:paraId="3E7BB2BA" w14:textId="77777777" w:rsidR="0046798B" w:rsidRDefault="00903B5C">
            <w:pPr>
              <w:pStyle w:val="TableParagraph"/>
              <w:spacing w:before="154"/>
              <w:ind w:left="114" w:right="113"/>
              <w:rPr>
                <w:sz w:val="20"/>
              </w:rPr>
            </w:pPr>
            <w:r>
              <w:rPr>
                <w:sz w:val="20"/>
              </w:rPr>
              <w:t>Public campaign finance stringency</w:t>
            </w:r>
          </w:p>
        </w:tc>
        <w:tc>
          <w:tcPr>
            <w:tcW w:w="1285" w:type="dxa"/>
          </w:tcPr>
          <w:p w14:paraId="2A845360" w14:textId="77777777" w:rsidR="0046798B" w:rsidRDefault="0046798B">
            <w:pPr>
              <w:pStyle w:val="TableParagraph"/>
            </w:pPr>
          </w:p>
          <w:p w14:paraId="317F607E" w14:textId="77777777" w:rsidR="0046798B" w:rsidRDefault="0046798B">
            <w:pPr>
              <w:pStyle w:val="TableParagraph"/>
            </w:pPr>
          </w:p>
          <w:p w14:paraId="7EA59AB6" w14:textId="77777777" w:rsidR="0046798B" w:rsidRDefault="0046798B">
            <w:pPr>
              <w:pStyle w:val="TableParagraph"/>
            </w:pPr>
          </w:p>
          <w:p w14:paraId="322D2943" w14:textId="77777777" w:rsidR="0046798B" w:rsidRDefault="0046798B">
            <w:pPr>
              <w:pStyle w:val="TableParagraph"/>
            </w:pPr>
          </w:p>
          <w:p w14:paraId="0994AD9C" w14:textId="77777777" w:rsidR="0046798B" w:rsidRDefault="0046798B">
            <w:pPr>
              <w:pStyle w:val="TableParagraph"/>
            </w:pPr>
          </w:p>
          <w:p w14:paraId="27D4EAFA" w14:textId="77777777" w:rsidR="0046798B" w:rsidRDefault="0046798B">
            <w:pPr>
              <w:pStyle w:val="TableParagraph"/>
            </w:pPr>
          </w:p>
          <w:p w14:paraId="2E47403A" w14:textId="77777777" w:rsidR="0046798B" w:rsidRDefault="00903B5C">
            <w:pPr>
              <w:pStyle w:val="TableParagraph"/>
              <w:spacing w:before="131"/>
              <w:ind w:left="114"/>
              <w:rPr>
                <w:sz w:val="20"/>
              </w:rPr>
            </w:pPr>
            <w:r>
              <w:rPr>
                <w:sz w:val="20"/>
              </w:rPr>
              <w:t>1992–2012</w:t>
            </w:r>
          </w:p>
        </w:tc>
        <w:tc>
          <w:tcPr>
            <w:tcW w:w="3421" w:type="dxa"/>
          </w:tcPr>
          <w:p w14:paraId="7E77CEE1" w14:textId="77777777" w:rsidR="0046798B" w:rsidRDefault="00903B5C">
            <w:pPr>
              <w:pStyle w:val="TableParagraph"/>
              <w:spacing w:before="39"/>
              <w:ind w:left="114" w:right="127"/>
              <w:rPr>
                <w:sz w:val="20"/>
              </w:rPr>
            </w:pPr>
            <w:r>
              <w:rPr>
                <w:sz w:val="20"/>
              </w:rPr>
              <w:t>An index measuring level of public campaign financing and stringency of expenditure limit regulations. Coded as the total number of the following provisions enacted: 1) Total expenditure limit; 2) Check-off on tax return form for contribution to public financing; 3) Independent revenue source for public financing; 4) Public financing of statewide campaigns; 5) Public financing of state legislative campaigns; 6) Public financing of political parties; and 7) Equal distribution of public funds between candidates and parties.</w:t>
            </w:r>
          </w:p>
        </w:tc>
        <w:tc>
          <w:tcPr>
            <w:tcW w:w="6482" w:type="dxa"/>
          </w:tcPr>
          <w:p w14:paraId="55487776" w14:textId="77777777" w:rsidR="0046798B" w:rsidRDefault="0046798B">
            <w:pPr>
              <w:pStyle w:val="TableParagraph"/>
            </w:pPr>
          </w:p>
          <w:p w14:paraId="581BCF18" w14:textId="77777777" w:rsidR="0046798B" w:rsidRDefault="0046798B">
            <w:pPr>
              <w:pStyle w:val="TableParagraph"/>
            </w:pPr>
          </w:p>
          <w:p w14:paraId="3DE4B4C5" w14:textId="77777777" w:rsidR="0046798B" w:rsidRDefault="0046798B">
            <w:pPr>
              <w:pStyle w:val="TableParagraph"/>
            </w:pPr>
          </w:p>
          <w:p w14:paraId="09F7B65F" w14:textId="77777777" w:rsidR="0046798B" w:rsidRDefault="0046798B">
            <w:pPr>
              <w:pStyle w:val="TableParagraph"/>
            </w:pPr>
          </w:p>
          <w:p w14:paraId="7F1C14F4" w14:textId="77777777" w:rsidR="0046798B" w:rsidRDefault="0046798B">
            <w:pPr>
              <w:pStyle w:val="TableParagraph"/>
            </w:pPr>
          </w:p>
          <w:p w14:paraId="735CC88D" w14:textId="77777777" w:rsidR="0046798B" w:rsidRDefault="00903B5C">
            <w:pPr>
              <w:pStyle w:val="TableParagraph"/>
              <w:spacing w:before="154"/>
              <w:ind w:left="114" w:right="428"/>
              <w:rPr>
                <w:sz w:val="20"/>
              </w:rPr>
            </w:pPr>
            <w:r>
              <w:rPr>
                <w:sz w:val="20"/>
              </w:rPr>
              <w:t xml:space="preserve">Kulesza, Christopher; Witko, Christopher; Waltenburg, Eric, 2015, “State Campaign Finance Regulatory Stringency Index, 1992-2012”, </w:t>
            </w:r>
            <w:hyperlink r:id="rId654">
              <w:r>
                <w:rPr>
                  <w:color w:val="0462C1"/>
                  <w:sz w:val="20"/>
                  <w:u w:val="single" w:color="0462C1"/>
                </w:rPr>
                <w:t>https://doi.org/10.7910/DVN/NLDUOY</w:t>
              </w:r>
              <w:r>
                <w:rPr>
                  <w:sz w:val="20"/>
                </w:rPr>
                <w:t>,</w:t>
              </w:r>
            </w:hyperlink>
            <w:r>
              <w:rPr>
                <w:sz w:val="20"/>
              </w:rPr>
              <w:t xml:space="preserve"> Harvard Dataverse, V1.</w:t>
            </w:r>
          </w:p>
        </w:tc>
      </w:tr>
    </w:tbl>
    <w:p w14:paraId="52EA2C58" w14:textId="77777777" w:rsidR="0046798B" w:rsidRDefault="0046798B">
      <w:pPr>
        <w:rPr>
          <w:sz w:val="20"/>
        </w:rPr>
        <w:sectPr w:rsidR="0046798B">
          <w:pgSz w:w="15840" w:h="12240" w:orient="landscape"/>
          <w:pgMar w:top="1220" w:right="300" w:bottom="980" w:left="820" w:header="730" w:footer="787" w:gutter="0"/>
          <w:cols w:space="720"/>
        </w:sectPr>
      </w:pPr>
    </w:p>
    <w:p w14:paraId="7CB40C53"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086AFB26" w14:textId="77777777">
        <w:trPr>
          <w:trHeight w:val="3306"/>
        </w:trPr>
        <w:tc>
          <w:tcPr>
            <w:tcW w:w="1711" w:type="dxa"/>
          </w:tcPr>
          <w:p w14:paraId="2249BC9F" w14:textId="77777777" w:rsidR="0046798B" w:rsidRDefault="0046798B">
            <w:pPr>
              <w:pStyle w:val="TableParagraph"/>
            </w:pPr>
          </w:p>
          <w:p w14:paraId="01D5EBF8" w14:textId="77777777" w:rsidR="0046798B" w:rsidRDefault="0046798B">
            <w:pPr>
              <w:pStyle w:val="TableParagraph"/>
            </w:pPr>
          </w:p>
          <w:p w14:paraId="06CA3229" w14:textId="77777777" w:rsidR="0046798B" w:rsidRDefault="0046798B">
            <w:pPr>
              <w:pStyle w:val="TableParagraph"/>
            </w:pPr>
          </w:p>
          <w:p w14:paraId="15F2F0B1" w14:textId="77777777" w:rsidR="0046798B" w:rsidRDefault="0046798B">
            <w:pPr>
              <w:pStyle w:val="TableParagraph"/>
            </w:pPr>
          </w:p>
          <w:p w14:paraId="24087DB3" w14:textId="77777777" w:rsidR="0046798B" w:rsidRDefault="0046798B">
            <w:pPr>
              <w:pStyle w:val="TableParagraph"/>
            </w:pPr>
          </w:p>
          <w:p w14:paraId="74CB0A96" w14:textId="77777777" w:rsidR="0046798B" w:rsidRDefault="0046798B">
            <w:pPr>
              <w:pStyle w:val="TableParagraph"/>
              <w:spacing w:before="9"/>
              <w:rPr>
                <w:sz w:val="23"/>
              </w:rPr>
            </w:pPr>
          </w:p>
          <w:p w14:paraId="2C621AC9" w14:textId="77777777" w:rsidR="0046798B" w:rsidRDefault="00903B5C">
            <w:pPr>
              <w:pStyle w:val="TableParagraph"/>
              <w:spacing w:before="1"/>
              <w:ind w:left="115"/>
              <w:rPr>
                <w:b/>
                <w:sz w:val="20"/>
              </w:rPr>
            </w:pPr>
            <w:r>
              <w:rPr>
                <w:b/>
                <w:sz w:val="20"/>
              </w:rPr>
              <w:t>contrib_fin_reg</w:t>
            </w:r>
          </w:p>
        </w:tc>
        <w:tc>
          <w:tcPr>
            <w:tcW w:w="1596" w:type="dxa"/>
          </w:tcPr>
          <w:p w14:paraId="4AAA5DAC" w14:textId="77777777" w:rsidR="0046798B" w:rsidRDefault="0046798B">
            <w:pPr>
              <w:pStyle w:val="TableParagraph"/>
            </w:pPr>
          </w:p>
          <w:p w14:paraId="04D8625C" w14:textId="77777777" w:rsidR="0046798B" w:rsidRDefault="0046798B">
            <w:pPr>
              <w:pStyle w:val="TableParagraph"/>
            </w:pPr>
          </w:p>
          <w:p w14:paraId="7C4212D9" w14:textId="77777777" w:rsidR="0046798B" w:rsidRDefault="0046798B">
            <w:pPr>
              <w:pStyle w:val="TableParagraph"/>
            </w:pPr>
          </w:p>
          <w:p w14:paraId="0DDA0E37" w14:textId="77777777" w:rsidR="0046798B" w:rsidRDefault="0046798B">
            <w:pPr>
              <w:pStyle w:val="TableParagraph"/>
            </w:pPr>
          </w:p>
          <w:p w14:paraId="015FFF5E" w14:textId="77777777" w:rsidR="0046798B" w:rsidRDefault="0046798B">
            <w:pPr>
              <w:pStyle w:val="TableParagraph"/>
              <w:spacing w:before="9"/>
              <w:rPr>
                <w:sz w:val="25"/>
              </w:rPr>
            </w:pPr>
          </w:p>
          <w:p w14:paraId="5AD47324" w14:textId="77777777" w:rsidR="0046798B" w:rsidRDefault="00903B5C">
            <w:pPr>
              <w:pStyle w:val="TableParagraph"/>
              <w:ind w:left="114" w:right="474"/>
              <w:rPr>
                <w:sz w:val="20"/>
              </w:rPr>
            </w:pPr>
            <w:r>
              <w:rPr>
                <w:sz w:val="20"/>
              </w:rPr>
              <w:t>Campaign contribution stringency</w:t>
            </w:r>
          </w:p>
        </w:tc>
        <w:tc>
          <w:tcPr>
            <w:tcW w:w="1285" w:type="dxa"/>
          </w:tcPr>
          <w:p w14:paraId="23521C8C" w14:textId="77777777" w:rsidR="0046798B" w:rsidRDefault="0046798B">
            <w:pPr>
              <w:pStyle w:val="TableParagraph"/>
            </w:pPr>
          </w:p>
          <w:p w14:paraId="201DFE74" w14:textId="77777777" w:rsidR="0046798B" w:rsidRDefault="0046798B">
            <w:pPr>
              <w:pStyle w:val="TableParagraph"/>
            </w:pPr>
          </w:p>
          <w:p w14:paraId="39B76894" w14:textId="77777777" w:rsidR="0046798B" w:rsidRDefault="0046798B">
            <w:pPr>
              <w:pStyle w:val="TableParagraph"/>
            </w:pPr>
          </w:p>
          <w:p w14:paraId="4C33D7B2" w14:textId="77777777" w:rsidR="0046798B" w:rsidRDefault="0046798B">
            <w:pPr>
              <w:pStyle w:val="TableParagraph"/>
            </w:pPr>
          </w:p>
          <w:p w14:paraId="7BE6B103" w14:textId="77777777" w:rsidR="0046798B" w:rsidRDefault="0046798B">
            <w:pPr>
              <w:pStyle w:val="TableParagraph"/>
            </w:pPr>
          </w:p>
          <w:p w14:paraId="5C21A8C3" w14:textId="77777777" w:rsidR="0046798B" w:rsidRDefault="0046798B">
            <w:pPr>
              <w:pStyle w:val="TableParagraph"/>
              <w:spacing w:before="9"/>
              <w:rPr>
                <w:sz w:val="23"/>
              </w:rPr>
            </w:pPr>
          </w:p>
          <w:p w14:paraId="1254379B" w14:textId="77777777" w:rsidR="0046798B" w:rsidRDefault="00903B5C">
            <w:pPr>
              <w:pStyle w:val="TableParagraph"/>
              <w:spacing w:before="1"/>
              <w:ind w:left="114"/>
              <w:rPr>
                <w:sz w:val="20"/>
              </w:rPr>
            </w:pPr>
            <w:r>
              <w:rPr>
                <w:sz w:val="20"/>
              </w:rPr>
              <w:t>1992–2012</w:t>
            </w:r>
          </w:p>
        </w:tc>
        <w:tc>
          <w:tcPr>
            <w:tcW w:w="3421" w:type="dxa"/>
          </w:tcPr>
          <w:p w14:paraId="43E5E4F7" w14:textId="77777777" w:rsidR="0046798B" w:rsidRDefault="00903B5C">
            <w:pPr>
              <w:pStyle w:val="TableParagraph"/>
              <w:spacing w:before="43"/>
              <w:ind w:left="114" w:right="133"/>
              <w:rPr>
                <w:sz w:val="20"/>
              </w:rPr>
            </w:pPr>
            <w:r>
              <w:rPr>
                <w:sz w:val="20"/>
              </w:rPr>
              <w:t>An index measuring stringency of campaign contribution regulations. Coded as the total number of the following provisions enacted: 1) Contribution limits on individuals; 2) Prohibition of direct corporate contributions; 3) Prohibition of direct labor union contributions; 4) Limits on corporate contributions (direct or PACs); 5) Limits on labor union contributions (direct or PACs); 6) Limits on candidate self-financing; and</w:t>
            </w:r>
          </w:p>
          <w:p w14:paraId="658D9F49" w14:textId="77777777" w:rsidR="0046798B" w:rsidRDefault="00903B5C">
            <w:pPr>
              <w:pStyle w:val="TableParagraph"/>
              <w:spacing w:before="2"/>
              <w:ind w:left="114"/>
              <w:rPr>
                <w:sz w:val="20"/>
              </w:rPr>
            </w:pPr>
            <w:r>
              <w:rPr>
                <w:sz w:val="20"/>
              </w:rPr>
              <w:t>7) Limits on candidate family contributions.</w:t>
            </w:r>
          </w:p>
        </w:tc>
        <w:tc>
          <w:tcPr>
            <w:tcW w:w="6482" w:type="dxa"/>
          </w:tcPr>
          <w:p w14:paraId="05249F45" w14:textId="77777777" w:rsidR="0046798B" w:rsidRDefault="0046798B">
            <w:pPr>
              <w:pStyle w:val="TableParagraph"/>
            </w:pPr>
          </w:p>
          <w:p w14:paraId="68FED52F" w14:textId="77777777" w:rsidR="0046798B" w:rsidRDefault="0046798B">
            <w:pPr>
              <w:pStyle w:val="TableParagraph"/>
            </w:pPr>
          </w:p>
          <w:p w14:paraId="134551FB" w14:textId="77777777" w:rsidR="0046798B" w:rsidRDefault="0046798B">
            <w:pPr>
              <w:pStyle w:val="TableParagraph"/>
            </w:pPr>
          </w:p>
          <w:p w14:paraId="6566BEDB" w14:textId="77777777" w:rsidR="0046798B" w:rsidRDefault="0046798B">
            <w:pPr>
              <w:pStyle w:val="TableParagraph"/>
            </w:pPr>
          </w:p>
          <w:p w14:paraId="31B4CC00" w14:textId="77777777" w:rsidR="0046798B" w:rsidRDefault="0046798B">
            <w:pPr>
              <w:pStyle w:val="TableParagraph"/>
              <w:spacing w:before="9"/>
              <w:rPr>
                <w:sz w:val="25"/>
              </w:rPr>
            </w:pPr>
          </w:p>
          <w:p w14:paraId="0002D9D2" w14:textId="77777777" w:rsidR="0046798B" w:rsidRDefault="00903B5C">
            <w:pPr>
              <w:pStyle w:val="TableParagraph"/>
              <w:ind w:left="114" w:right="428"/>
              <w:rPr>
                <w:sz w:val="20"/>
              </w:rPr>
            </w:pPr>
            <w:r>
              <w:rPr>
                <w:sz w:val="20"/>
              </w:rPr>
              <w:t xml:space="preserve">Kulesza, Christopher; Witko, Christopher; Waltenburg, Eric, 2015, “State Campaign Finance Regulatory Stringency Index, 1992-2012”, </w:t>
            </w:r>
            <w:hyperlink r:id="rId655">
              <w:r>
                <w:rPr>
                  <w:color w:val="0462C1"/>
                  <w:sz w:val="20"/>
                  <w:u w:val="single" w:color="0462C1"/>
                </w:rPr>
                <w:t>https://doi.org/10.7910/DVN/NLDUOY</w:t>
              </w:r>
              <w:r>
                <w:rPr>
                  <w:sz w:val="20"/>
                </w:rPr>
                <w:t>,</w:t>
              </w:r>
            </w:hyperlink>
            <w:r>
              <w:rPr>
                <w:sz w:val="20"/>
              </w:rPr>
              <w:t xml:space="preserve"> Harvard Dataverse, V1.</w:t>
            </w:r>
          </w:p>
        </w:tc>
      </w:tr>
      <w:tr w:rsidR="0046798B" w14:paraId="0C204F4E" w14:textId="77777777">
        <w:trPr>
          <w:trHeight w:val="1005"/>
        </w:trPr>
        <w:tc>
          <w:tcPr>
            <w:tcW w:w="1711" w:type="dxa"/>
          </w:tcPr>
          <w:p w14:paraId="0B319A94" w14:textId="77777777" w:rsidR="0046798B" w:rsidRDefault="0046798B">
            <w:pPr>
              <w:pStyle w:val="TableParagraph"/>
            </w:pPr>
          </w:p>
          <w:p w14:paraId="0903E2CD" w14:textId="77777777" w:rsidR="0046798B" w:rsidRDefault="00903B5C">
            <w:pPr>
              <w:pStyle w:val="TableParagraph"/>
              <w:spacing w:before="135"/>
              <w:ind w:left="115"/>
              <w:rPr>
                <w:b/>
                <w:sz w:val="20"/>
              </w:rPr>
            </w:pPr>
            <w:r>
              <w:rPr>
                <w:b/>
                <w:sz w:val="20"/>
              </w:rPr>
              <w:t>indlimit</w:t>
            </w:r>
          </w:p>
        </w:tc>
        <w:tc>
          <w:tcPr>
            <w:tcW w:w="1596" w:type="dxa"/>
          </w:tcPr>
          <w:p w14:paraId="75209457" w14:textId="77777777" w:rsidR="0046798B" w:rsidRDefault="00903B5C">
            <w:pPr>
              <w:pStyle w:val="TableParagraph"/>
              <w:spacing w:before="43"/>
              <w:ind w:left="114" w:right="396"/>
              <w:rPr>
                <w:sz w:val="20"/>
              </w:rPr>
            </w:pPr>
            <w:r>
              <w:rPr>
                <w:sz w:val="20"/>
              </w:rPr>
              <w:t>Limit on individual campaign contributions</w:t>
            </w:r>
          </w:p>
        </w:tc>
        <w:tc>
          <w:tcPr>
            <w:tcW w:w="1285" w:type="dxa"/>
          </w:tcPr>
          <w:p w14:paraId="7DE7D019" w14:textId="77777777" w:rsidR="0046798B" w:rsidRDefault="0046798B">
            <w:pPr>
              <w:pStyle w:val="TableParagraph"/>
            </w:pPr>
          </w:p>
          <w:p w14:paraId="412757FA" w14:textId="77777777" w:rsidR="0046798B" w:rsidRDefault="00903B5C">
            <w:pPr>
              <w:pStyle w:val="TableParagraph"/>
              <w:spacing w:before="135"/>
              <w:ind w:left="114"/>
              <w:rPr>
                <w:sz w:val="20"/>
              </w:rPr>
            </w:pPr>
            <w:r>
              <w:rPr>
                <w:sz w:val="20"/>
              </w:rPr>
              <w:t>1992–2010</w:t>
            </w:r>
          </w:p>
        </w:tc>
        <w:tc>
          <w:tcPr>
            <w:tcW w:w="3421" w:type="dxa"/>
          </w:tcPr>
          <w:p w14:paraId="1D66E644" w14:textId="77777777" w:rsidR="0046798B" w:rsidRDefault="0046798B">
            <w:pPr>
              <w:pStyle w:val="TableParagraph"/>
              <w:spacing w:before="8"/>
              <w:rPr>
                <w:sz w:val="23"/>
              </w:rPr>
            </w:pPr>
          </w:p>
          <w:p w14:paraId="0F9C8D62" w14:textId="77777777" w:rsidR="0046798B" w:rsidRDefault="00903B5C">
            <w:pPr>
              <w:pStyle w:val="TableParagraph"/>
              <w:spacing w:before="1"/>
              <w:ind w:left="114" w:right="360"/>
              <w:rPr>
                <w:sz w:val="20"/>
              </w:rPr>
            </w:pPr>
            <w:r>
              <w:rPr>
                <w:sz w:val="20"/>
              </w:rPr>
              <w:t>Does a limit on individual campaign contributions exist? 0 = no, 1 = yes</w:t>
            </w:r>
          </w:p>
        </w:tc>
        <w:tc>
          <w:tcPr>
            <w:tcW w:w="6482" w:type="dxa"/>
          </w:tcPr>
          <w:p w14:paraId="03E89171" w14:textId="77777777" w:rsidR="0046798B" w:rsidRDefault="00903B5C">
            <w:pPr>
              <w:pStyle w:val="TableParagraph"/>
              <w:spacing w:before="158"/>
              <w:ind w:left="114" w:right="428"/>
              <w:rPr>
                <w:sz w:val="20"/>
              </w:rPr>
            </w:pPr>
            <w:r>
              <w:rPr>
                <w:sz w:val="20"/>
              </w:rPr>
              <w:t xml:space="preserve">Kulesza, Christopher; Witko, Christopher; Waltenburg, Eric, 2015, “State Campaign Finance Regulatory Stringency Index, 1992-2012”, </w:t>
            </w:r>
            <w:hyperlink r:id="rId656">
              <w:r>
                <w:rPr>
                  <w:color w:val="0462C1"/>
                  <w:sz w:val="20"/>
                  <w:u w:val="single" w:color="0462C1"/>
                </w:rPr>
                <w:t>https://doi.org/10.7910/DVN/NLDUOY</w:t>
              </w:r>
              <w:r>
                <w:rPr>
                  <w:sz w:val="20"/>
                </w:rPr>
                <w:t>,</w:t>
              </w:r>
            </w:hyperlink>
            <w:r>
              <w:rPr>
                <w:sz w:val="20"/>
              </w:rPr>
              <w:t xml:space="preserve"> Harvard Dataverse, V1.</w:t>
            </w:r>
          </w:p>
        </w:tc>
      </w:tr>
      <w:tr w:rsidR="0046798B" w14:paraId="074EFEF0" w14:textId="77777777">
        <w:trPr>
          <w:trHeight w:val="780"/>
        </w:trPr>
        <w:tc>
          <w:tcPr>
            <w:tcW w:w="1711" w:type="dxa"/>
          </w:tcPr>
          <w:p w14:paraId="4E8F201A" w14:textId="77777777" w:rsidR="0046798B" w:rsidRDefault="0046798B">
            <w:pPr>
              <w:pStyle w:val="TableParagraph"/>
              <w:spacing w:before="8"/>
              <w:rPr>
                <w:sz w:val="23"/>
              </w:rPr>
            </w:pPr>
          </w:p>
          <w:p w14:paraId="63CF6B32" w14:textId="77777777" w:rsidR="0046798B" w:rsidRDefault="00903B5C">
            <w:pPr>
              <w:pStyle w:val="TableParagraph"/>
              <w:spacing w:before="1"/>
              <w:ind w:left="115"/>
              <w:rPr>
                <w:b/>
                <w:sz w:val="20"/>
              </w:rPr>
            </w:pPr>
            <w:r>
              <w:rPr>
                <w:b/>
                <w:sz w:val="20"/>
              </w:rPr>
              <w:t>famlimit</w:t>
            </w:r>
          </w:p>
        </w:tc>
        <w:tc>
          <w:tcPr>
            <w:tcW w:w="1596" w:type="dxa"/>
          </w:tcPr>
          <w:p w14:paraId="275050A1" w14:textId="77777777" w:rsidR="0046798B" w:rsidRDefault="00903B5C">
            <w:pPr>
              <w:pStyle w:val="TableParagraph"/>
              <w:spacing w:before="43"/>
              <w:ind w:left="114"/>
              <w:rPr>
                <w:sz w:val="20"/>
              </w:rPr>
            </w:pPr>
            <w:r>
              <w:rPr>
                <w:sz w:val="20"/>
              </w:rPr>
              <w:t>Limit on family campaign contributions</w:t>
            </w:r>
          </w:p>
        </w:tc>
        <w:tc>
          <w:tcPr>
            <w:tcW w:w="1285" w:type="dxa"/>
          </w:tcPr>
          <w:p w14:paraId="4F3206CE" w14:textId="77777777" w:rsidR="0046798B" w:rsidRDefault="0046798B">
            <w:pPr>
              <w:pStyle w:val="TableParagraph"/>
              <w:spacing w:before="8"/>
              <w:rPr>
                <w:sz w:val="23"/>
              </w:rPr>
            </w:pPr>
          </w:p>
          <w:p w14:paraId="4D3BF044" w14:textId="77777777" w:rsidR="0046798B" w:rsidRDefault="00903B5C">
            <w:pPr>
              <w:pStyle w:val="TableParagraph"/>
              <w:spacing w:before="1"/>
              <w:ind w:left="114"/>
              <w:rPr>
                <w:sz w:val="20"/>
              </w:rPr>
            </w:pPr>
            <w:r>
              <w:rPr>
                <w:sz w:val="20"/>
              </w:rPr>
              <w:t>1992–2010</w:t>
            </w:r>
          </w:p>
        </w:tc>
        <w:tc>
          <w:tcPr>
            <w:tcW w:w="3421" w:type="dxa"/>
          </w:tcPr>
          <w:p w14:paraId="0F7D3BF8" w14:textId="77777777" w:rsidR="0046798B" w:rsidRDefault="00903B5C">
            <w:pPr>
              <w:pStyle w:val="TableParagraph"/>
              <w:spacing w:before="158"/>
              <w:ind w:left="114" w:right="462"/>
              <w:rPr>
                <w:sz w:val="20"/>
              </w:rPr>
            </w:pPr>
            <w:r>
              <w:rPr>
                <w:sz w:val="20"/>
              </w:rPr>
              <w:t>Does a limit on family campaign contributions exist? 0 = no, 1 = yes</w:t>
            </w:r>
          </w:p>
        </w:tc>
        <w:tc>
          <w:tcPr>
            <w:tcW w:w="6482" w:type="dxa"/>
          </w:tcPr>
          <w:p w14:paraId="527255B6" w14:textId="77777777" w:rsidR="0046798B" w:rsidRDefault="00903B5C">
            <w:pPr>
              <w:pStyle w:val="TableParagraph"/>
              <w:spacing w:before="43"/>
              <w:ind w:left="114" w:right="428"/>
              <w:rPr>
                <w:sz w:val="20"/>
              </w:rPr>
            </w:pPr>
            <w:r>
              <w:rPr>
                <w:sz w:val="20"/>
              </w:rPr>
              <w:t xml:space="preserve">Kulesza, Christopher; Witko, Christopher; Waltenburg, Eric, 2015, “State Campaign Finance Regulatory Stringency Index, 1992-2012”, </w:t>
            </w:r>
            <w:hyperlink r:id="rId657">
              <w:r>
                <w:rPr>
                  <w:color w:val="0462C1"/>
                  <w:sz w:val="20"/>
                  <w:u w:val="single" w:color="0462C1"/>
                </w:rPr>
                <w:t>https://doi.org/10.7910/DVN/NLDUOY</w:t>
              </w:r>
              <w:r>
                <w:rPr>
                  <w:sz w:val="20"/>
                </w:rPr>
                <w:t>,</w:t>
              </w:r>
            </w:hyperlink>
            <w:r>
              <w:rPr>
                <w:sz w:val="20"/>
              </w:rPr>
              <w:t xml:space="preserve"> Harvard Dataverse, V1.</w:t>
            </w:r>
          </w:p>
        </w:tc>
      </w:tr>
      <w:tr w:rsidR="0046798B" w14:paraId="2EB65FC7" w14:textId="77777777">
        <w:trPr>
          <w:trHeight w:val="775"/>
        </w:trPr>
        <w:tc>
          <w:tcPr>
            <w:tcW w:w="1711" w:type="dxa"/>
          </w:tcPr>
          <w:p w14:paraId="7C96EC2A" w14:textId="77777777" w:rsidR="0046798B" w:rsidRDefault="0046798B">
            <w:pPr>
              <w:pStyle w:val="TableParagraph"/>
              <w:spacing w:before="4"/>
              <w:rPr>
                <w:sz w:val="23"/>
              </w:rPr>
            </w:pPr>
          </w:p>
          <w:p w14:paraId="44EF0330" w14:textId="77777777" w:rsidR="0046798B" w:rsidRDefault="00903B5C">
            <w:pPr>
              <w:pStyle w:val="TableParagraph"/>
              <w:ind w:left="115"/>
              <w:rPr>
                <w:b/>
                <w:sz w:val="20"/>
              </w:rPr>
            </w:pPr>
            <w:r>
              <w:rPr>
                <w:b/>
                <w:sz w:val="20"/>
              </w:rPr>
              <w:t>candlimit</w:t>
            </w:r>
          </w:p>
        </w:tc>
        <w:tc>
          <w:tcPr>
            <w:tcW w:w="1596" w:type="dxa"/>
          </w:tcPr>
          <w:p w14:paraId="205A3310" w14:textId="77777777" w:rsidR="0046798B" w:rsidRDefault="00903B5C">
            <w:pPr>
              <w:pStyle w:val="TableParagraph"/>
              <w:spacing w:before="39"/>
              <w:ind w:left="114" w:right="280"/>
              <w:rPr>
                <w:sz w:val="20"/>
              </w:rPr>
            </w:pPr>
            <w:r>
              <w:rPr>
                <w:sz w:val="20"/>
              </w:rPr>
              <w:t>Limit on candidate self- contributions</w:t>
            </w:r>
          </w:p>
        </w:tc>
        <w:tc>
          <w:tcPr>
            <w:tcW w:w="1285" w:type="dxa"/>
          </w:tcPr>
          <w:p w14:paraId="3F65B27F" w14:textId="77777777" w:rsidR="0046798B" w:rsidRDefault="0046798B">
            <w:pPr>
              <w:pStyle w:val="TableParagraph"/>
              <w:spacing w:before="4"/>
              <w:rPr>
                <w:sz w:val="23"/>
              </w:rPr>
            </w:pPr>
          </w:p>
          <w:p w14:paraId="3B7D8921" w14:textId="77777777" w:rsidR="0046798B" w:rsidRDefault="00903B5C">
            <w:pPr>
              <w:pStyle w:val="TableParagraph"/>
              <w:ind w:left="114"/>
              <w:rPr>
                <w:sz w:val="20"/>
              </w:rPr>
            </w:pPr>
            <w:r>
              <w:rPr>
                <w:sz w:val="20"/>
              </w:rPr>
              <w:t>1992–2010</w:t>
            </w:r>
          </w:p>
        </w:tc>
        <w:tc>
          <w:tcPr>
            <w:tcW w:w="3421" w:type="dxa"/>
          </w:tcPr>
          <w:p w14:paraId="5A028C68" w14:textId="77777777" w:rsidR="0046798B" w:rsidRDefault="00903B5C">
            <w:pPr>
              <w:pStyle w:val="TableParagraph"/>
              <w:spacing w:before="154"/>
              <w:ind w:left="114" w:right="462"/>
              <w:rPr>
                <w:sz w:val="20"/>
              </w:rPr>
            </w:pPr>
            <w:r>
              <w:rPr>
                <w:sz w:val="20"/>
              </w:rPr>
              <w:t>Does a limit on self-campaign contributions exist? 0 = no, 1 = yes</w:t>
            </w:r>
          </w:p>
        </w:tc>
        <w:tc>
          <w:tcPr>
            <w:tcW w:w="6482" w:type="dxa"/>
          </w:tcPr>
          <w:p w14:paraId="2ED14E52" w14:textId="77777777" w:rsidR="0046798B" w:rsidRDefault="00903B5C">
            <w:pPr>
              <w:pStyle w:val="TableParagraph"/>
              <w:spacing w:before="39"/>
              <w:ind w:left="114" w:right="428"/>
              <w:rPr>
                <w:sz w:val="20"/>
              </w:rPr>
            </w:pPr>
            <w:r>
              <w:rPr>
                <w:sz w:val="20"/>
              </w:rPr>
              <w:t xml:space="preserve">Kulesza, Christopher; Witko, Christopher; Waltenburg, Eric, 2015, “State Campaign Finance Regulatory Stringency Index, 1992-2012”, </w:t>
            </w:r>
            <w:hyperlink r:id="rId658">
              <w:r>
                <w:rPr>
                  <w:color w:val="0462C1"/>
                  <w:sz w:val="20"/>
                  <w:u w:val="single" w:color="0462C1"/>
                </w:rPr>
                <w:t>https://doi.org/10.7910/DVN/NLDUOY</w:t>
              </w:r>
              <w:r>
                <w:rPr>
                  <w:sz w:val="20"/>
                </w:rPr>
                <w:t>,</w:t>
              </w:r>
            </w:hyperlink>
            <w:r>
              <w:rPr>
                <w:sz w:val="20"/>
              </w:rPr>
              <w:t xml:space="preserve"> Harvard Dataverse, V1.</w:t>
            </w:r>
          </w:p>
        </w:tc>
      </w:tr>
      <w:tr w:rsidR="0046798B" w14:paraId="40C6068E" w14:textId="77777777">
        <w:trPr>
          <w:trHeight w:val="1005"/>
        </w:trPr>
        <w:tc>
          <w:tcPr>
            <w:tcW w:w="1711" w:type="dxa"/>
          </w:tcPr>
          <w:p w14:paraId="258533C8" w14:textId="77777777" w:rsidR="0046798B" w:rsidRDefault="0046798B">
            <w:pPr>
              <w:pStyle w:val="TableParagraph"/>
            </w:pPr>
          </w:p>
          <w:p w14:paraId="02203502" w14:textId="77777777" w:rsidR="0046798B" w:rsidRDefault="00903B5C">
            <w:pPr>
              <w:pStyle w:val="TableParagraph"/>
              <w:spacing w:before="130"/>
              <w:ind w:left="115"/>
              <w:rPr>
                <w:b/>
                <w:sz w:val="20"/>
              </w:rPr>
            </w:pPr>
            <w:r>
              <w:rPr>
                <w:b/>
                <w:sz w:val="20"/>
              </w:rPr>
              <w:t>corplimits</w:t>
            </w:r>
          </w:p>
        </w:tc>
        <w:tc>
          <w:tcPr>
            <w:tcW w:w="1596" w:type="dxa"/>
          </w:tcPr>
          <w:p w14:paraId="289E4DCB" w14:textId="77777777" w:rsidR="0046798B" w:rsidRDefault="00903B5C">
            <w:pPr>
              <w:pStyle w:val="TableParagraph"/>
              <w:spacing w:before="38"/>
              <w:ind w:left="114" w:right="396"/>
              <w:rPr>
                <w:sz w:val="20"/>
              </w:rPr>
            </w:pPr>
            <w:r>
              <w:rPr>
                <w:sz w:val="20"/>
              </w:rPr>
              <w:t>Limit on corporate campaign contributions</w:t>
            </w:r>
          </w:p>
        </w:tc>
        <w:tc>
          <w:tcPr>
            <w:tcW w:w="1285" w:type="dxa"/>
          </w:tcPr>
          <w:p w14:paraId="5C1B23D6" w14:textId="77777777" w:rsidR="0046798B" w:rsidRDefault="0046798B">
            <w:pPr>
              <w:pStyle w:val="TableParagraph"/>
            </w:pPr>
          </w:p>
          <w:p w14:paraId="183AB757" w14:textId="77777777" w:rsidR="0046798B" w:rsidRDefault="00903B5C">
            <w:pPr>
              <w:pStyle w:val="TableParagraph"/>
              <w:spacing w:before="130"/>
              <w:ind w:left="114"/>
              <w:rPr>
                <w:sz w:val="20"/>
              </w:rPr>
            </w:pPr>
            <w:r>
              <w:rPr>
                <w:sz w:val="20"/>
              </w:rPr>
              <w:t>1992–2010</w:t>
            </w:r>
          </w:p>
        </w:tc>
        <w:tc>
          <w:tcPr>
            <w:tcW w:w="3421" w:type="dxa"/>
          </w:tcPr>
          <w:p w14:paraId="1F983BFB" w14:textId="77777777" w:rsidR="0046798B" w:rsidRDefault="0046798B">
            <w:pPr>
              <w:pStyle w:val="TableParagraph"/>
              <w:spacing w:before="3"/>
              <w:rPr>
                <w:sz w:val="23"/>
              </w:rPr>
            </w:pPr>
          </w:p>
          <w:p w14:paraId="2E41C894" w14:textId="77777777" w:rsidR="0046798B" w:rsidRDefault="00903B5C">
            <w:pPr>
              <w:pStyle w:val="TableParagraph"/>
              <w:spacing w:before="1"/>
              <w:ind w:left="114" w:right="416"/>
              <w:rPr>
                <w:sz w:val="20"/>
              </w:rPr>
            </w:pPr>
            <w:r>
              <w:rPr>
                <w:sz w:val="20"/>
              </w:rPr>
              <w:t>Does a limit on corporate campaign contributions exist? 0 = no, 1 = yes</w:t>
            </w:r>
          </w:p>
        </w:tc>
        <w:tc>
          <w:tcPr>
            <w:tcW w:w="6482" w:type="dxa"/>
          </w:tcPr>
          <w:p w14:paraId="2CB898AE" w14:textId="77777777" w:rsidR="0046798B" w:rsidRDefault="00903B5C">
            <w:pPr>
              <w:pStyle w:val="TableParagraph"/>
              <w:spacing w:before="153"/>
              <w:ind w:left="114" w:right="428"/>
              <w:rPr>
                <w:sz w:val="20"/>
              </w:rPr>
            </w:pPr>
            <w:r>
              <w:rPr>
                <w:sz w:val="20"/>
              </w:rPr>
              <w:t xml:space="preserve">Kulesza, Christopher; Witko, Christopher; Waltenburg, Eric, 2015, “State Campaign Finance Regulatory Stringency Index, 1992-2012”, </w:t>
            </w:r>
            <w:hyperlink r:id="rId659">
              <w:r>
                <w:rPr>
                  <w:color w:val="0462C1"/>
                  <w:sz w:val="20"/>
                  <w:u w:val="single" w:color="0462C1"/>
                </w:rPr>
                <w:t>https://doi.org/10.7910/DVN/NLDUOY</w:t>
              </w:r>
              <w:r>
                <w:rPr>
                  <w:sz w:val="20"/>
                </w:rPr>
                <w:t>,</w:t>
              </w:r>
            </w:hyperlink>
            <w:r>
              <w:rPr>
                <w:sz w:val="20"/>
              </w:rPr>
              <w:t xml:space="preserve"> Harvard Dataverse, V1.</w:t>
            </w:r>
          </w:p>
        </w:tc>
      </w:tr>
      <w:tr w:rsidR="0046798B" w14:paraId="12BEB1F6" w14:textId="77777777">
        <w:trPr>
          <w:trHeight w:val="775"/>
        </w:trPr>
        <w:tc>
          <w:tcPr>
            <w:tcW w:w="1711" w:type="dxa"/>
          </w:tcPr>
          <w:p w14:paraId="07F64A09" w14:textId="77777777" w:rsidR="0046798B" w:rsidRDefault="0046798B">
            <w:pPr>
              <w:pStyle w:val="TableParagraph"/>
              <w:spacing w:before="3"/>
              <w:rPr>
                <w:sz w:val="23"/>
              </w:rPr>
            </w:pPr>
          </w:p>
          <w:p w14:paraId="0E82E396" w14:textId="77777777" w:rsidR="0046798B" w:rsidRDefault="00903B5C">
            <w:pPr>
              <w:pStyle w:val="TableParagraph"/>
              <w:ind w:left="115"/>
              <w:rPr>
                <w:b/>
                <w:sz w:val="20"/>
              </w:rPr>
            </w:pPr>
            <w:r>
              <w:rPr>
                <w:b/>
                <w:sz w:val="20"/>
              </w:rPr>
              <w:t>unionlimits</w:t>
            </w:r>
          </w:p>
        </w:tc>
        <w:tc>
          <w:tcPr>
            <w:tcW w:w="1596" w:type="dxa"/>
          </w:tcPr>
          <w:p w14:paraId="4E619A54" w14:textId="77777777" w:rsidR="0046798B" w:rsidRDefault="00903B5C">
            <w:pPr>
              <w:pStyle w:val="TableParagraph"/>
              <w:spacing w:before="38"/>
              <w:ind w:left="114" w:right="229"/>
              <w:rPr>
                <w:sz w:val="20"/>
              </w:rPr>
            </w:pPr>
            <w:r>
              <w:rPr>
                <w:sz w:val="20"/>
              </w:rPr>
              <w:t>Limit on union campaign contributions</w:t>
            </w:r>
          </w:p>
        </w:tc>
        <w:tc>
          <w:tcPr>
            <w:tcW w:w="1285" w:type="dxa"/>
          </w:tcPr>
          <w:p w14:paraId="116A6222" w14:textId="77777777" w:rsidR="0046798B" w:rsidRDefault="0046798B">
            <w:pPr>
              <w:pStyle w:val="TableParagraph"/>
              <w:spacing w:before="3"/>
              <w:rPr>
                <w:sz w:val="23"/>
              </w:rPr>
            </w:pPr>
          </w:p>
          <w:p w14:paraId="39436F1F" w14:textId="77777777" w:rsidR="0046798B" w:rsidRDefault="00903B5C">
            <w:pPr>
              <w:pStyle w:val="TableParagraph"/>
              <w:ind w:left="114"/>
              <w:rPr>
                <w:sz w:val="20"/>
              </w:rPr>
            </w:pPr>
            <w:r>
              <w:rPr>
                <w:sz w:val="20"/>
              </w:rPr>
              <w:t>1992–2010</w:t>
            </w:r>
          </w:p>
        </w:tc>
        <w:tc>
          <w:tcPr>
            <w:tcW w:w="3421" w:type="dxa"/>
          </w:tcPr>
          <w:p w14:paraId="6B0AB7A6" w14:textId="77777777" w:rsidR="0046798B" w:rsidRDefault="00903B5C">
            <w:pPr>
              <w:pStyle w:val="TableParagraph"/>
              <w:spacing w:before="153"/>
              <w:ind w:left="114" w:right="462"/>
              <w:rPr>
                <w:sz w:val="20"/>
              </w:rPr>
            </w:pPr>
            <w:r>
              <w:rPr>
                <w:sz w:val="20"/>
              </w:rPr>
              <w:t>Does a limit on union campaign contributions exist? 0 = no, 1 = yes</w:t>
            </w:r>
          </w:p>
        </w:tc>
        <w:tc>
          <w:tcPr>
            <w:tcW w:w="6482" w:type="dxa"/>
          </w:tcPr>
          <w:p w14:paraId="15344EC6" w14:textId="77777777" w:rsidR="0046798B" w:rsidRDefault="00903B5C">
            <w:pPr>
              <w:pStyle w:val="TableParagraph"/>
              <w:spacing w:before="38"/>
              <w:ind w:left="114" w:right="428"/>
              <w:rPr>
                <w:sz w:val="20"/>
              </w:rPr>
            </w:pPr>
            <w:r>
              <w:rPr>
                <w:sz w:val="20"/>
              </w:rPr>
              <w:t xml:space="preserve">Kulesza, Christopher; Witko, Christopher; Waltenburg, Eric, 2015, “State Campaign Finance Regulatory Stringency Index, 1992-2012”, </w:t>
            </w:r>
            <w:hyperlink r:id="rId660">
              <w:r>
                <w:rPr>
                  <w:color w:val="0462C1"/>
                  <w:sz w:val="20"/>
                  <w:u w:val="single" w:color="0462C1"/>
                </w:rPr>
                <w:t>https://doi.org/10.7910/DVN/NLDUOY</w:t>
              </w:r>
              <w:r>
                <w:rPr>
                  <w:sz w:val="20"/>
                </w:rPr>
                <w:t>,</w:t>
              </w:r>
            </w:hyperlink>
            <w:r>
              <w:rPr>
                <w:sz w:val="20"/>
              </w:rPr>
              <w:t xml:space="preserve"> Harvard Dataverse, V1.</w:t>
            </w:r>
          </w:p>
        </w:tc>
      </w:tr>
      <w:tr w:rsidR="0046798B" w14:paraId="6CCDA068" w14:textId="77777777">
        <w:trPr>
          <w:trHeight w:val="1005"/>
        </w:trPr>
        <w:tc>
          <w:tcPr>
            <w:tcW w:w="1711" w:type="dxa"/>
          </w:tcPr>
          <w:p w14:paraId="38BDEE67" w14:textId="77777777" w:rsidR="0046798B" w:rsidRDefault="0046798B">
            <w:pPr>
              <w:pStyle w:val="TableParagraph"/>
            </w:pPr>
          </w:p>
          <w:p w14:paraId="696FBC8F" w14:textId="77777777" w:rsidR="0046798B" w:rsidRDefault="00903B5C">
            <w:pPr>
              <w:pStyle w:val="TableParagraph"/>
              <w:spacing w:before="135"/>
              <w:ind w:left="115"/>
              <w:rPr>
                <w:b/>
                <w:sz w:val="20"/>
              </w:rPr>
            </w:pPr>
            <w:r>
              <w:rPr>
                <w:b/>
                <w:sz w:val="20"/>
              </w:rPr>
              <w:t>oelecsc</w:t>
            </w:r>
          </w:p>
        </w:tc>
        <w:tc>
          <w:tcPr>
            <w:tcW w:w="1596" w:type="dxa"/>
          </w:tcPr>
          <w:p w14:paraId="7EA19D4D" w14:textId="77777777" w:rsidR="0046798B" w:rsidRDefault="00903B5C">
            <w:pPr>
              <w:pStyle w:val="TableParagraph"/>
              <w:spacing w:before="43"/>
              <w:ind w:left="114" w:right="313"/>
              <w:rPr>
                <w:sz w:val="20"/>
              </w:rPr>
            </w:pPr>
            <w:r>
              <w:rPr>
                <w:sz w:val="20"/>
              </w:rPr>
              <w:t>State has nonpartisan elections for supreme court</w:t>
            </w:r>
          </w:p>
        </w:tc>
        <w:tc>
          <w:tcPr>
            <w:tcW w:w="1285" w:type="dxa"/>
          </w:tcPr>
          <w:p w14:paraId="191C8DA2" w14:textId="77777777" w:rsidR="0046798B" w:rsidRDefault="0046798B">
            <w:pPr>
              <w:pStyle w:val="TableParagraph"/>
            </w:pPr>
          </w:p>
          <w:p w14:paraId="777240A9" w14:textId="77777777" w:rsidR="0046798B" w:rsidRDefault="00903B5C">
            <w:pPr>
              <w:pStyle w:val="TableParagraph"/>
              <w:spacing w:before="135"/>
              <w:ind w:left="114"/>
              <w:rPr>
                <w:sz w:val="20"/>
              </w:rPr>
            </w:pPr>
            <w:r>
              <w:rPr>
                <w:sz w:val="20"/>
              </w:rPr>
              <w:t>2001–2017</w:t>
            </w:r>
          </w:p>
        </w:tc>
        <w:tc>
          <w:tcPr>
            <w:tcW w:w="3421" w:type="dxa"/>
          </w:tcPr>
          <w:p w14:paraId="7527982A" w14:textId="77777777" w:rsidR="0046798B" w:rsidRDefault="00903B5C">
            <w:pPr>
              <w:pStyle w:val="TableParagraph"/>
              <w:spacing w:before="158"/>
              <w:ind w:left="114" w:right="146"/>
              <w:rPr>
                <w:sz w:val="20"/>
              </w:rPr>
            </w:pPr>
            <w:r>
              <w:rPr>
                <w:sz w:val="20"/>
              </w:rPr>
              <w:t>State has nonpartisan elections for supreme court? (0 = no, 0.1 = retention only, 1 = yes)</w:t>
            </w:r>
          </w:p>
        </w:tc>
        <w:tc>
          <w:tcPr>
            <w:tcW w:w="6482" w:type="dxa"/>
          </w:tcPr>
          <w:p w14:paraId="0B057E5E"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278FA1D4" w14:textId="77777777" w:rsidR="0046798B" w:rsidRDefault="0046798B">
      <w:pPr>
        <w:rPr>
          <w:sz w:val="20"/>
        </w:rPr>
        <w:sectPr w:rsidR="0046798B">
          <w:pgSz w:w="15840" w:h="12240" w:orient="landscape"/>
          <w:pgMar w:top="1220" w:right="300" w:bottom="980" w:left="820" w:header="730" w:footer="787" w:gutter="0"/>
          <w:cols w:space="720"/>
        </w:sectPr>
      </w:pPr>
    </w:p>
    <w:p w14:paraId="4C401928"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653F3D36" w14:textId="77777777">
        <w:trPr>
          <w:trHeight w:val="1465"/>
        </w:trPr>
        <w:tc>
          <w:tcPr>
            <w:tcW w:w="1711" w:type="dxa"/>
          </w:tcPr>
          <w:p w14:paraId="5211F6E3" w14:textId="77777777" w:rsidR="0046798B" w:rsidRDefault="0046798B">
            <w:pPr>
              <w:pStyle w:val="TableParagraph"/>
            </w:pPr>
          </w:p>
          <w:p w14:paraId="163936C3" w14:textId="77777777" w:rsidR="0046798B" w:rsidRDefault="0046798B">
            <w:pPr>
              <w:pStyle w:val="TableParagraph"/>
              <w:spacing w:before="9"/>
              <w:rPr>
                <w:sz w:val="31"/>
              </w:rPr>
            </w:pPr>
          </w:p>
          <w:p w14:paraId="2BF69794" w14:textId="77777777" w:rsidR="0046798B" w:rsidRDefault="00903B5C">
            <w:pPr>
              <w:pStyle w:val="TableParagraph"/>
              <w:ind w:left="115"/>
              <w:rPr>
                <w:b/>
                <w:sz w:val="20"/>
              </w:rPr>
            </w:pPr>
            <w:r>
              <w:rPr>
                <w:b/>
                <w:sz w:val="20"/>
              </w:rPr>
              <w:t>oelectrial</w:t>
            </w:r>
          </w:p>
        </w:tc>
        <w:tc>
          <w:tcPr>
            <w:tcW w:w="1596" w:type="dxa"/>
          </w:tcPr>
          <w:p w14:paraId="2E21E035" w14:textId="77777777" w:rsidR="0046798B" w:rsidRDefault="0046798B">
            <w:pPr>
              <w:pStyle w:val="TableParagraph"/>
              <w:spacing w:before="9"/>
              <w:rPr>
                <w:sz w:val="23"/>
              </w:rPr>
            </w:pPr>
          </w:p>
          <w:p w14:paraId="64A32A1E" w14:textId="77777777" w:rsidR="0046798B" w:rsidRDefault="00903B5C">
            <w:pPr>
              <w:pStyle w:val="TableParagraph"/>
              <w:ind w:left="114" w:right="85"/>
              <w:rPr>
                <w:sz w:val="20"/>
              </w:rPr>
            </w:pPr>
            <w:r>
              <w:rPr>
                <w:sz w:val="20"/>
              </w:rPr>
              <w:t>State has nonpartisan elections for trial courts</w:t>
            </w:r>
          </w:p>
        </w:tc>
        <w:tc>
          <w:tcPr>
            <w:tcW w:w="1285" w:type="dxa"/>
          </w:tcPr>
          <w:p w14:paraId="6293AB12" w14:textId="77777777" w:rsidR="0046798B" w:rsidRDefault="0046798B">
            <w:pPr>
              <w:pStyle w:val="TableParagraph"/>
            </w:pPr>
          </w:p>
          <w:p w14:paraId="5616BA23" w14:textId="77777777" w:rsidR="0046798B" w:rsidRDefault="0046798B">
            <w:pPr>
              <w:pStyle w:val="TableParagraph"/>
              <w:spacing w:before="9"/>
              <w:rPr>
                <w:sz w:val="31"/>
              </w:rPr>
            </w:pPr>
          </w:p>
          <w:p w14:paraId="40EFC06F" w14:textId="77777777" w:rsidR="0046798B" w:rsidRDefault="00903B5C">
            <w:pPr>
              <w:pStyle w:val="TableParagraph"/>
              <w:ind w:left="114"/>
              <w:rPr>
                <w:sz w:val="20"/>
              </w:rPr>
            </w:pPr>
            <w:r>
              <w:rPr>
                <w:sz w:val="20"/>
              </w:rPr>
              <w:t>2001–2017</w:t>
            </w:r>
          </w:p>
        </w:tc>
        <w:tc>
          <w:tcPr>
            <w:tcW w:w="3421" w:type="dxa"/>
          </w:tcPr>
          <w:p w14:paraId="48B6357F" w14:textId="77777777" w:rsidR="0046798B" w:rsidRDefault="00903B5C">
            <w:pPr>
              <w:pStyle w:val="TableParagraph"/>
              <w:spacing w:before="43"/>
              <w:ind w:left="114" w:right="161"/>
              <w:rPr>
                <w:sz w:val="20"/>
              </w:rPr>
            </w:pPr>
            <w:r>
              <w:rPr>
                <w:sz w:val="20"/>
              </w:rPr>
              <w:t>State has nonpartisan elections for trial courts?</w:t>
            </w:r>
          </w:p>
          <w:p w14:paraId="112F1471" w14:textId="77777777" w:rsidR="0046798B" w:rsidRDefault="0046798B">
            <w:pPr>
              <w:pStyle w:val="TableParagraph"/>
              <w:rPr>
                <w:sz w:val="20"/>
              </w:rPr>
            </w:pPr>
          </w:p>
          <w:p w14:paraId="562FFB95" w14:textId="77777777" w:rsidR="0046798B" w:rsidRDefault="00903B5C">
            <w:pPr>
              <w:pStyle w:val="TableParagraph"/>
              <w:ind w:left="114" w:right="635"/>
              <w:rPr>
                <w:sz w:val="20"/>
              </w:rPr>
            </w:pPr>
            <w:r>
              <w:rPr>
                <w:sz w:val="20"/>
              </w:rPr>
              <w:t>0 = none, 0.1 = retention only (at minimum), 0.5 = some (some appointed), 1 = all)</w:t>
            </w:r>
          </w:p>
        </w:tc>
        <w:tc>
          <w:tcPr>
            <w:tcW w:w="6482" w:type="dxa"/>
          </w:tcPr>
          <w:p w14:paraId="09D35661" w14:textId="77777777" w:rsidR="0046798B" w:rsidRDefault="0046798B">
            <w:pPr>
              <w:pStyle w:val="TableParagraph"/>
            </w:pPr>
          </w:p>
          <w:p w14:paraId="0BA57326" w14:textId="77777777" w:rsidR="0046798B" w:rsidRDefault="00903B5C">
            <w:pPr>
              <w:pStyle w:val="TableParagraph"/>
              <w:spacing w:before="135"/>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7515ED8" w14:textId="77777777">
        <w:trPr>
          <w:trHeight w:val="1005"/>
        </w:trPr>
        <w:tc>
          <w:tcPr>
            <w:tcW w:w="1711" w:type="dxa"/>
          </w:tcPr>
          <w:p w14:paraId="461C3A9A" w14:textId="77777777" w:rsidR="0046798B" w:rsidRDefault="0046798B">
            <w:pPr>
              <w:pStyle w:val="TableParagraph"/>
            </w:pPr>
          </w:p>
          <w:p w14:paraId="4400F4B2" w14:textId="77777777" w:rsidR="0046798B" w:rsidRDefault="00903B5C">
            <w:pPr>
              <w:pStyle w:val="TableParagraph"/>
              <w:spacing w:before="136"/>
              <w:ind w:left="115"/>
              <w:rPr>
                <w:b/>
                <w:sz w:val="20"/>
              </w:rPr>
            </w:pPr>
            <w:r>
              <w:rPr>
                <w:b/>
                <w:sz w:val="20"/>
              </w:rPr>
              <w:t>opartrial</w:t>
            </w:r>
          </w:p>
        </w:tc>
        <w:tc>
          <w:tcPr>
            <w:tcW w:w="1596" w:type="dxa"/>
          </w:tcPr>
          <w:p w14:paraId="73B826D4" w14:textId="77777777" w:rsidR="0046798B" w:rsidRDefault="00903B5C">
            <w:pPr>
              <w:pStyle w:val="TableParagraph"/>
              <w:spacing w:before="44"/>
              <w:ind w:left="114" w:right="105"/>
              <w:rPr>
                <w:sz w:val="20"/>
              </w:rPr>
            </w:pPr>
            <w:r>
              <w:rPr>
                <w:sz w:val="20"/>
              </w:rPr>
              <w:t xml:space="preserve">State has partisan elections for </w:t>
            </w:r>
            <w:r>
              <w:rPr>
                <w:spacing w:val="-4"/>
                <w:sz w:val="20"/>
              </w:rPr>
              <w:t xml:space="preserve">trial </w:t>
            </w:r>
            <w:r>
              <w:rPr>
                <w:sz w:val="20"/>
              </w:rPr>
              <w:t>courts</w:t>
            </w:r>
          </w:p>
        </w:tc>
        <w:tc>
          <w:tcPr>
            <w:tcW w:w="1285" w:type="dxa"/>
          </w:tcPr>
          <w:p w14:paraId="7AB68EDE" w14:textId="77777777" w:rsidR="0046798B" w:rsidRDefault="0046798B">
            <w:pPr>
              <w:pStyle w:val="TableParagraph"/>
            </w:pPr>
          </w:p>
          <w:p w14:paraId="4893E497" w14:textId="77777777" w:rsidR="0046798B" w:rsidRDefault="00903B5C">
            <w:pPr>
              <w:pStyle w:val="TableParagraph"/>
              <w:spacing w:before="136"/>
              <w:ind w:left="114"/>
              <w:rPr>
                <w:sz w:val="20"/>
              </w:rPr>
            </w:pPr>
            <w:r>
              <w:rPr>
                <w:sz w:val="20"/>
              </w:rPr>
              <w:t>2001–2017</w:t>
            </w:r>
          </w:p>
        </w:tc>
        <w:tc>
          <w:tcPr>
            <w:tcW w:w="3421" w:type="dxa"/>
          </w:tcPr>
          <w:p w14:paraId="6CB55E21" w14:textId="77777777" w:rsidR="0046798B" w:rsidRDefault="0046798B">
            <w:pPr>
              <w:pStyle w:val="TableParagraph"/>
              <w:spacing w:before="9"/>
              <w:rPr>
                <w:sz w:val="23"/>
              </w:rPr>
            </w:pPr>
          </w:p>
          <w:p w14:paraId="04E8F9B3" w14:textId="77777777" w:rsidR="0046798B" w:rsidRDefault="00903B5C">
            <w:pPr>
              <w:pStyle w:val="TableParagraph"/>
              <w:ind w:left="114" w:right="217"/>
              <w:rPr>
                <w:sz w:val="20"/>
              </w:rPr>
            </w:pPr>
            <w:r>
              <w:rPr>
                <w:sz w:val="20"/>
              </w:rPr>
              <w:t>State has partisan elections for trial courts? (0 = none, 0.5 = some, 1 = all)</w:t>
            </w:r>
          </w:p>
        </w:tc>
        <w:tc>
          <w:tcPr>
            <w:tcW w:w="6482" w:type="dxa"/>
          </w:tcPr>
          <w:p w14:paraId="78BFF61B" w14:textId="77777777" w:rsidR="0046798B" w:rsidRDefault="00903B5C">
            <w:pPr>
              <w:pStyle w:val="TableParagraph"/>
              <w:spacing w:before="159"/>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0F8660E" w14:textId="77777777">
        <w:trPr>
          <w:trHeight w:val="2390"/>
        </w:trPr>
        <w:tc>
          <w:tcPr>
            <w:tcW w:w="1711" w:type="dxa"/>
          </w:tcPr>
          <w:p w14:paraId="07B07A2F" w14:textId="77777777" w:rsidR="0046798B" w:rsidRDefault="0046798B">
            <w:pPr>
              <w:pStyle w:val="TableParagraph"/>
            </w:pPr>
          </w:p>
          <w:p w14:paraId="184C1E57" w14:textId="77777777" w:rsidR="0046798B" w:rsidRDefault="0046798B">
            <w:pPr>
              <w:pStyle w:val="TableParagraph"/>
            </w:pPr>
          </w:p>
          <w:p w14:paraId="3B34AB19" w14:textId="77777777" w:rsidR="0046798B" w:rsidRDefault="0046798B">
            <w:pPr>
              <w:pStyle w:val="TableParagraph"/>
            </w:pPr>
          </w:p>
          <w:p w14:paraId="6E94C076" w14:textId="77777777" w:rsidR="0046798B" w:rsidRDefault="0046798B">
            <w:pPr>
              <w:pStyle w:val="TableParagraph"/>
              <w:spacing w:before="9"/>
              <w:rPr>
                <w:sz w:val="27"/>
              </w:rPr>
            </w:pPr>
          </w:p>
          <w:p w14:paraId="5BA85BA9" w14:textId="77777777" w:rsidR="0046798B" w:rsidRDefault="00903B5C">
            <w:pPr>
              <w:pStyle w:val="TableParagraph"/>
              <w:ind w:left="115"/>
              <w:rPr>
                <w:b/>
                <w:sz w:val="20"/>
              </w:rPr>
            </w:pPr>
            <w:r>
              <w:rPr>
                <w:b/>
                <w:sz w:val="20"/>
              </w:rPr>
              <w:t>opartsc</w:t>
            </w:r>
          </w:p>
        </w:tc>
        <w:tc>
          <w:tcPr>
            <w:tcW w:w="1596" w:type="dxa"/>
          </w:tcPr>
          <w:p w14:paraId="64D158B4" w14:textId="77777777" w:rsidR="0046798B" w:rsidRDefault="00903B5C">
            <w:pPr>
              <w:pStyle w:val="TableParagraph"/>
              <w:spacing w:before="43"/>
              <w:ind w:left="114" w:right="263"/>
              <w:rPr>
                <w:sz w:val="20"/>
              </w:rPr>
            </w:pPr>
            <w:r>
              <w:rPr>
                <w:sz w:val="20"/>
              </w:rPr>
              <w:t>State has partisan elections for supreme court, including partisan nominating process if no party label on ballot</w:t>
            </w:r>
          </w:p>
        </w:tc>
        <w:tc>
          <w:tcPr>
            <w:tcW w:w="1285" w:type="dxa"/>
          </w:tcPr>
          <w:p w14:paraId="4E44EA53" w14:textId="77777777" w:rsidR="0046798B" w:rsidRDefault="0046798B">
            <w:pPr>
              <w:pStyle w:val="TableParagraph"/>
            </w:pPr>
          </w:p>
          <w:p w14:paraId="44DE526F" w14:textId="77777777" w:rsidR="0046798B" w:rsidRDefault="0046798B">
            <w:pPr>
              <w:pStyle w:val="TableParagraph"/>
            </w:pPr>
          </w:p>
          <w:p w14:paraId="200D55D3" w14:textId="77777777" w:rsidR="0046798B" w:rsidRDefault="0046798B">
            <w:pPr>
              <w:pStyle w:val="TableParagraph"/>
            </w:pPr>
          </w:p>
          <w:p w14:paraId="3AA24FE7" w14:textId="77777777" w:rsidR="0046798B" w:rsidRDefault="0046798B">
            <w:pPr>
              <w:pStyle w:val="TableParagraph"/>
              <w:spacing w:before="9"/>
              <w:rPr>
                <w:sz w:val="27"/>
              </w:rPr>
            </w:pPr>
          </w:p>
          <w:p w14:paraId="7FE018FF" w14:textId="77777777" w:rsidR="0046798B" w:rsidRDefault="00903B5C">
            <w:pPr>
              <w:pStyle w:val="TableParagraph"/>
              <w:ind w:left="114"/>
              <w:rPr>
                <w:sz w:val="20"/>
              </w:rPr>
            </w:pPr>
            <w:r>
              <w:rPr>
                <w:sz w:val="20"/>
              </w:rPr>
              <w:t>2001–2017</w:t>
            </w:r>
          </w:p>
        </w:tc>
        <w:tc>
          <w:tcPr>
            <w:tcW w:w="3421" w:type="dxa"/>
          </w:tcPr>
          <w:p w14:paraId="532BE4CC" w14:textId="77777777" w:rsidR="0046798B" w:rsidRDefault="0046798B">
            <w:pPr>
              <w:pStyle w:val="TableParagraph"/>
            </w:pPr>
          </w:p>
          <w:p w14:paraId="55F5512E" w14:textId="77777777" w:rsidR="0046798B" w:rsidRDefault="0046798B">
            <w:pPr>
              <w:pStyle w:val="TableParagraph"/>
            </w:pPr>
          </w:p>
          <w:p w14:paraId="3F384134" w14:textId="77777777" w:rsidR="0046798B" w:rsidRDefault="0046798B">
            <w:pPr>
              <w:pStyle w:val="TableParagraph"/>
              <w:spacing w:before="9"/>
              <w:rPr>
                <w:sz w:val="19"/>
              </w:rPr>
            </w:pPr>
          </w:p>
          <w:p w14:paraId="6C2A4C84" w14:textId="77777777" w:rsidR="0046798B" w:rsidRDefault="00903B5C">
            <w:pPr>
              <w:pStyle w:val="TableParagraph"/>
              <w:ind w:left="114" w:right="105"/>
              <w:rPr>
                <w:sz w:val="20"/>
              </w:rPr>
            </w:pPr>
            <w:r>
              <w:rPr>
                <w:sz w:val="20"/>
              </w:rPr>
              <w:t>State has partisan elections for supreme court, including partisan nominating process if no party label on ballot? (0 = no, 1 = yes)</w:t>
            </w:r>
          </w:p>
        </w:tc>
        <w:tc>
          <w:tcPr>
            <w:tcW w:w="6482" w:type="dxa"/>
          </w:tcPr>
          <w:p w14:paraId="2DC661FC" w14:textId="77777777" w:rsidR="0046798B" w:rsidRDefault="0046798B">
            <w:pPr>
              <w:pStyle w:val="TableParagraph"/>
            </w:pPr>
          </w:p>
          <w:p w14:paraId="2EA9C81B" w14:textId="77777777" w:rsidR="0046798B" w:rsidRDefault="0046798B">
            <w:pPr>
              <w:pStyle w:val="TableParagraph"/>
            </w:pPr>
          </w:p>
          <w:p w14:paraId="426E7931" w14:textId="77777777" w:rsidR="0046798B" w:rsidRDefault="0046798B">
            <w:pPr>
              <w:pStyle w:val="TableParagraph"/>
              <w:spacing w:before="9"/>
              <w:rPr>
                <w:sz w:val="29"/>
              </w:rPr>
            </w:pPr>
          </w:p>
          <w:p w14:paraId="232C2E49"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818402F" w14:textId="77777777">
        <w:trPr>
          <w:trHeight w:val="1465"/>
        </w:trPr>
        <w:tc>
          <w:tcPr>
            <w:tcW w:w="1711" w:type="dxa"/>
          </w:tcPr>
          <w:p w14:paraId="0470287E" w14:textId="77777777" w:rsidR="0046798B" w:rsidRDefault="0046798B">
            <w:pPr>
              <w:pStyle w:val="TableParagraph"/>
            </w:pPr>
          </w:p>
          <w:p w14:paraId="5DCE118F" w14:textId="77777777" w:rsidR="0046798B" w:rsidRDefault="0046798B">
            <w:pPr>
              <w:pStyle w:val="TableParagraph"/>
              <w:spacing w:before="4"/>
              <w:rPr>
                <w:sz w:val="31"/>
              </w:rPr>
            </w:pPr>
          </w:p>
          <w:p w14:paraId="45848619" w14:textId="77777777" w:rsidR="0046798B" w:rsidRDefault="00903B5C">
            <w:pPr>
              <w:pStyle w:val="TableParagraph"/>
              <w:ind w:left="115"/>
              <w:rPr>
                <w:b/>
                <w:sz w:val="20"/>
              </w:rPr>
            </w:pPr>
            <w:r>
              <w:rPr>
                <w:b/>
                <w:sz w:val="20"/>
              </w:rPr>
              <w:t>tcorconcraw</w:t>
            </w:r>
          </w:p>
        </w:tc>
        <w:tc>
          <w:tcPr>
            <w:tcW w:w="1596" w:type="dxa"/>
          </w:tcPr>
          <w:p w14:paraId="08193D2F" w14:textId="77777777" w:rsidR="0046798B" w:rsidRDefault="00903B5C">
            <w:pPr>
              <w:pStyle w:val="TableParagraph"/>
              <w:spacing w:before="38"/>
              <w:ind w:left="114" w:right="135"/>
              <w:rPr>
                <w:sz w:val="20"/>
              </w:rPr>
            </w:pPr>
            <w:r>
              <w:rPr>
                <w:sz w:val="20"/>
              </w:rPr>
              <w:t>Limits on corporate contributions to house candidates, per election cycle</w:t>
            </w:r>
          </w:p>
        </w:tc>
        <w:tc>
          <w:tcPr>
            <w:tcW w:w="1285" w:type="dxa"/>
          </w:tcPr>
          <w:p w14:paraId="4B4CEE38" w14:textId="77777777" w:rsidR="0046798B" w:rsidRDefault="0046798B">
            <w:pPr>
              <w:pStyle w:val="TableParagraph"/>
            </w:pPr>
          </w:p>
          <w:p w14:paraId="615BB262" w14:textId="77777777" w:rsidR="0046798B" w:rsidRDefault="0046798B">
            <w:pPr>
              <w:pStyle w:val="TableParagraph"/>
              <w:spacing w:before="4"/>
              <w:rPr>
                <w:sz w:val="31"/>
              </w:rPr>
            </w:pPr>
          </w:p>
          <w:p w14:paraId="15D743DA" w14:textId="77777777" w:rsidR="0046798B" w:rsidRDefault="00903B5C">
            <w:pPr>
              <w:pStyle w:val="TableParagraph"/>
              <w:ind w:left="114"/>
              <w:rPr>
                <w:sz w:val="20"/>
              </w:rPr>
            </w:pPr>
            <w:r>
              <w:rPr>
                <w:sz w:val="20"/>
              </w:rPr>
              <w:t>2002–2016</w:t>
            </w:r>
          </w:p>
        </w:tc>
        <w:tc>
          <w:tcPr>
            <w:tcW w:w="3421" w:type="dxa"/>
          </w:tcPr>
          <w:p w14:paraId="7E52CB66" w14:textId="77777777" w:rsidR="0046798B" w:rsidRDefault="0046798B">
            <w:pPr>
              <w:pStyle w:val="TableParagraph"/>
            </w:pPr>
          </w:p>
          <w:p w14:paraId="4951F3A7" w14:textId="77777777" w:rsidR="0046798B" w:rsidRDefault="00903B5C">
            <w:pPr>
              <w:pStyle w:val="TableParagraph"/>
              <w:spacing w:before="131"/>
              <w:ind w:left="114" w:right="189"/>
              <w:rPr>
                <w:sz w:val="20"/>
              </w:rPr>
            </w:pPr>
            <w:r>
              <w:rPr>
                <w:sz w:val="20"/>
              </w:rPr>
              <w:t>Limits on corporate contributions to house candidates, per election cycle (0</w:t>
            </w:r>
          </w:p>
          <w:p w14:paraId="67FD2136" w14:textId="77777777" w:rsidR="0046798B" w:rsidRDefault="00903B5C">
            <w:pPr>
              <w:pStyle w:val="TableParagraph"/>
              <w:ind w:left="114"/>
              <w:rPr>
                <w:sz w:val="20"/>
              </w:rPr>
            </w:pPr>
            <w:r>
              <w:rPr>
                <w:sz w:val="20"/>
              </w:rPr>
              <w:t>= prohibited, “none” = unlimited)</w:t>
            </w:r>
          </w:p>
        </w:tc>
        <w:tc>
          <w:tcPr>
            <w:tcW w:w="6482" w:type="dxa"/>
          </w:tcPr>
          <w:p w14:paraId="74F002C2" w14:textId="77777777" w:rsidR="0046798B" w:rsidRDefault="0046798B">
            <w:pPr>
              <w:pStyle w:val="TableParagraph"/>
            </w:pPr>
          </w:p>
          <w:p w14:paraId="36A6CD21" w14:textId="77777777" w:rsidR="0046798B" w:rsidRDefault="00903B5C">
            <w:pPr>
              <w:pStyle w:val="TableParagraph"/>
              <w:spacing w:before="13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0A0F714" w14:textId="77777777">
        <w:trPr>
          <w:trHeight w:val="1465"/>
        </w:trPr>
        <w:tc>
          <w:tcPr>
            <w:tcW w:w="1711" w:type="dxa"/>
          </w:tcPr>
          <w:p w14:paraId="156312B5" w14:textId="77777777" w:rsidR="0046798B" w:rsidRDefault="0046798B">
            <w:pPr>
              <w:pStyle w:val="TableParagraph"/>
            </w:pPr>
          </w:p>
          <w:p w14:paraId="14D1761C" w14:textId="77777777" w:rsidR="0046798B" w:rsidRDefault="0046798B">
            <w:pPr>
              <w:pStyle w:val="TableParagraph"/>
              <w:spacing w:before="4"/>
              <w:rPr>
                <w:sz w:val="31"/>
              </w:rPr>
            </w:pPr>
          </w:p>
          <w:p w14:paraId="42ACC72B" w14:textId="77777777" w:rsidR="0046798B" w:rsidRDefault="00903B5C">
            <w:pPr>
              <w:pStyle w:val="TableParagraph"/>
              <w:ind w:left="115"/>
              <w:rPr>
                <w:b/>
                <w:sz w:val="20"/>
              </w:rPr>
            </w:pPr>
            <w:r>
              <w:rPr>
                <w:b/>
                <w:sz w:val="20"/>
              </w:rPr>
              <w:t>tcorconpraw</w:t>
            </w:r>
          </w:p>
        </w:tc>
        <w:tc>
          <w:tcPr>
            <w:tcW w:w="1596" w:type="dxa"/>
          </w:tcPr>
          <w:p w14:paraId="7961A2E5" w14:textId="77777777" w:rsidR="0046798B" w:rsidRDefault="00903B5C">
            <w:pPr>
              <w:pStyle w:val="TableParagraph"/>
              <w:spacing w:before="38"/>
              <w:ind w:left="114" w:right="163"/>
              <w:rPr>
                <w:sz w:val="20"/>
              </w:rPr>
            </w:pPr>
            <w:r>
              <w:rPr>
                <w:sz w:val="20"/>
              </w:rPr>
              <w:t>Limits on corporate contributions to political parties, per election cycle</w:t>
            </w:r>
          </w:p>
        </w:tc>
        <w:tc>
          <w:tcPr>
            <w:tcW w:w="1285" w:type="dxa"/>
          </w:tcPr>
          <w:p w14:paraId="31B32912" w14:textId="77777777" w:rsidR="0046798B" w:rsidRDefault="0046798B">
            <w:pPr>
              <w:pStyle w:val="TableParagraph"/>
            </w:pPr>
          </w:p>
          <w:p w14:paraId="413B775F" w14:textId="77777777" w:rsidR="0046798B" w:rsidRDefault="0046798B">
            <w:pPr>
              <w:pStyle w:val="TableParagraph"/>
              <w:spacing w:before="4"/>
              <w:rPr>
                <w:sz w:val="31"/>
              </w:rPr>
            </w:pPr>
          </w:p>
          <w:p w14:paraId="215F5D91" w14:textId="77777777" w:rsidR="0046798B" w:rsidRDefault="00903B5C">
            <w:pPr>
              <w:pStyle w:val="TableParagraph"/>
              <w:ind w:left="114"/>
              <w:rPr>
                <w:sz w:val="20"/>
              </w:rPr>
            </w:pPr>
            <w:r>
              <w:rPr>
                <w:sz w:val="20"/>
              </w:rPr>
              <w:t>2002–2016</w:t>
            </w:r>
          </w:p>
        </w:tc>
        <w:tc>
          <w:tcPr>
            <w:tcW w:w="3421" w:type="dxa"/>
          </w:tcPr>
          <w:p w14:paraId="62954649" w14:textId="77777777" w:rsidR="0046798B" w:rsidRDefault="0046798B">
            <w:pPr>
              <w:pStyle w:val="TableParagraph"/>
            </w:pPr>
          </w:p>
          <w:p w14:paraId="13B64AB8" w14:textId="77777777" w:rsidR="0046798B" w:rsidRDefault="00903B5C">
            <w:pPr>
              <w:pStyle w:val="TableParagraph"/>
              <w:spacing w:before="131"/>
              <w:ind w:left="114" w:right="148"/>
              <w:rPr>
                <w:sz w:val="20"/>
              </w:rPr>
            </w:pPr>
            <w:r>
              <w:rPr>
                <w:sz w:val="20"/>
              </w:rPr>
              <w:t>Limits on corporate contributions to political parties, per election cycle (0 = prohibited, “none” = unlimited)</w:t>
            </w:r>
          </w:p>
        </w:tc>
        <w:tc>
          <w:tcPr>
            <w:tcW w:w="6482" w:type="dxa"/>
          </w:tcPr>
          <w:p w14:paraId="535D3368" w14:textId="77777777" w:rsidR="0046798B" w:rsidRDefault="0046798B">
            <w:pPr>
              <w:pStyle w:val="TableParagraph"/>
            </w:pPr>
          </w:p>
          <w:p w14:paraId="398A1052" w14:textId="77777777" w:rsidR="0046798B" w:rsidRDefault="00903B5C">
            <w:pPr>
              <w:pStyle w:val="TableParagraph"/>
              <w:spacing w:before="13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9EF4EDD" w14:textId="77777777">
        <w:trPr>
          <w:trHeight w:val="1235"/>
        </w:trPr>
        <w:tc>
          <w:tcPr>
            <w:tcW w:w="1711" w:type="dxa"/>
          </w:tcPr>
          <w:p w14:paraId="3A337336" w14:textId="77777777" w:rsidR="0046798B" w:rsidRDefault="0046798B">
            <w:pPr>
              <w:pStyle w:val="TableParagraph"/>
            </w:pPr>
          </w:p>
          <w:p w14:paraId="62D7BA41" w14:textId="77777777" w:rsidR="0046798B" w:rsidRDefault="0046798B">
            <w:pPr>
              <w:pStyle w:val="TableParagraph"/>
              <w:spacing w:before="3"/>
              <w:rPr>
                <w:sz w:val="21"/>
              </w:rPr>
            </w:pPr>
          </w:p>
          <w:p w14:paraId="09113A8A" w14:textId="77777777" w:rsidR="0046798B" w:rsidRDefault="00903B5C">
            <w:pPr>
              <w:pStyle w:val="TableParagraph"/>
              <w:spacing w:before="1"/>
              <w:ind w:left="115"/>
              <w:rPr>
                <w:b/>
                <w:sz w:val="20"/>
              </w:rPr>
            </w:pPr>
            <w:r>
              <w:rPr>
                <w:b/>
                <w:sz w:val="20"/>
              </w:rPr>
              <w:t>tcorpacraw</w:t>
            </w:r>
          </w:p>
        </w:tc>
        <w:tc>
          <w:tcPr>
            <w:tcW w:w="1596" w:type="dxa"/>
          </w:tcPr>
          <w:p w14:paraId="74FF7B53" w14:textId="77777777" w:rsidR="0046798B" w:rsidRDefault="00903B5C">
            <w:pPr>
              <w:pStyle w:val="TableParagraph"/>
              <w:spacing w:before="38"/>
              <w:ind w:left="114" w:right="135"/>
              <w:rPr>
                <w:sz w:val="20"/>
              </w:rPr>
            </w:pPr>
            <w:r>
              <w:rPr>
                <w:sz w:val="20"/>
              </w:rPr>
              <w:t>Limits on corporate contributions to PACs, per election cycle</w:t>
            </w:r>
          </w:p>
        </w:tc>
        <w:tc>
          <w:tcPr>
            <w:tcW w:w="1285" w:type="dxa"/>
          </w:tcPr>
          <w:p w14:paraId="082B0C07" w14:textId="77777777" w:rsidR="0046798B" w:rsidRDefault="0046798B">
            <w:pPr>
              <w:pStyle w:val="TableParagraph"/>
            </w:pPr>
          </w:p>
          <w:p w14:paraId="7679192B" w14:textId="77777777" w:rsidR="0046798B" w:rsidRDefault="0046798B">
            <w:pPr>
              <w:pStyle w:val="TableParagraph"/>
              <w:spacing w:before="3"/>
              <w:rPr>
                <w:sz w:val="21"/>
              </w:rPr>
            </w:pPr>
          </w:p>
          <w:p w14:paraId="1EC78268" w14:textId="77777777" w:rsidR="0046798B" w:rsidRDefault="00903B5C">
            <w:pPr>
              <w:pStyle w:val="TableParagraph"/>
              <w:spacing w:before="1"/>
              <w:ind w:left="114"/>
              <w:rPr>
                <w:sz w:val="20"/>
              </w:rPr>
            </w:pPr>
            <w:r>
              <w:rPr>
                <w:sz w:val="20"/>
              </w:rPr>
              <w:t>2002–2016</w:t>
            </w:r>
          </w:p>
        </w:tc>
        <w:tc>
          <w:tcPr>
            <w:tcW w:w="3421" w:type="dxa"/>
          </w:tcPr>
          <w:p w14:paraId="66E285F4" w14:textId="77777777" w:rsidR="0046798B" w:rsidRDefault="0046798B">
            <w:pPr>
              <w:pStyle w:val="TableParagraph"/>
              <w:spacing w:before="3"/>
              <w:rPr>
                <w:sz w:val="23"/>
              </w:rPr>
            </w:pPr>
          </w:p>
          <w:p w14:paraId="1B39C7FF" w14:textId="77777777" w:rsidR="0046798B" w:rsidRDefault="00903B5C">
            <w:pPr>
              <w:pStyle w:val="TableParagraph"/>
              <w:spacing w:before="1"/>
              <w:ind w:left="114" w:right="205"/>
              <w:rPr>
                <w:sz w:val="20"/>
              </w:rPr>
            </w:pPr>
            <w:r>
              <w:rPr>
                <w:sz w:val="20"/>
              </w:rPr>
              <w:t>Limits on corporate contributions to PACs, per election cycle (0 = prohibited, “none” = unlimited)</w:t>
            </w:r>
          </w:p>
        </w:tc>
        <w:tc>
          <w:tcPr>
            <w:tcW w:w="6482" w:type="dxa"/>
          </w:tcPr>
          <w:p w14:paraId="12BA39C3" w14:textId="77777777" w:rsidR="0046798B" w:rsidRDefault="0046798B">
            <w:pPr>
              <w:pStyle w:val="TableParagraph"/>
              <w:spacing w:before="3"/>
              <w:rPr>
                <w:sz w:val="23"/>
              </w:rPr>
            </w:pPr>
          </w:p>
          <w:p w14:paraId="0D46A331"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1CB159BE" w14:textId="77777777" w:rsidR="0046798B" w:rsidRDefault="0046798B">
      <w:pPr>
        <w:rPr>
          <w:sz w:val="20"/>
        </w:rPr>
        <w:sectPr w:rsidR="0046798B">
          <w:pgSz w:w="15840" w:h="12240" w:orient="landscape"/>
          <w:pgMar w:top="1220" w:right="300" w:bottom="980" w:left="820" w:header="730" w:footer="787" w:gutter="0"/>
          <w:cols w:space="720"/>
        </w:sectPr>
      </w:pPr>
    </w:p>
    <w:p w14:paraId="5ACC7F40"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5F3E921" w14:textId="77777777">
        <w:trPr>
          <w:trHeight w:val="1235"/>
        </w:trPr>
        <w:tc>
          <w:tcPr>
            <w:tcW w:w="1711" w:type="dxa"/>
          </w:tcPr>
          <w:p w14:paraId="723AA10D" w14:textId="77777777" w:rsidR="0046798B" w:rsidRDefault="0046798B">
            <w:pPr>
              <w:pStyle w:val="TableParagraph"/>
            </w:pPr>
          </w:p>
          <w:p w14:paraId="4E4151A7" w14:textId="77777777" w:rsidR="0046798B" w:rsidRDefault="0046798B">
            <w:pPr>
              <w:pStyle w:val="TableParagraph"/>
              <w:spacing w:before="9"/>
              <w:rPr>
                <w:sz w:val="21"/>
              </w:rPr>
            </w:pPr>
          </w:p>
          <w:p w14:paraId="3AE65D18" w14:textId="77777777" w:rsidR="0046798B" w:rsidRDefault="00903B5C">
            <w:pPr>
              <w:pStyle w:val="TableParagraph"/>
              <w:ind w:left="115"/>
              <w:rPr>
                <w:b/>
                <w:sz w:val="20"/>
              </w:rPr>
            </w:pPr>
            <w:r>
              <w:rPr>
                <w:b/>
                <w:sz w:val="20"/>
              </w:rPr>
              <w:t>tfullpub</w:t>
            </w:r>
          </w:p>
        </w:tc>
        <w:tc>
          <w:tcPr>
            <w:tcW w:w="1596" w:type="dxa"/>
          </w:tcPr>
          <w:p w14:paraId="328E2B00" w14:textId="77777777" w:rsidR="0046798B" w:rsidRDefault="00903B5C">
            <w:pPr>
              <w:pStyle w:val="TableParagraph"/>
              <w:spacing w:before="43"/>
              <w:ind w:left="114" w:right="402"/>
              <w:rPr>
                <w:sz w:val="20"/>
              </w:rPr>
            </w:pPr>
            <w:r>
              <w:rPr>
                <w:sz w:val="20"/>
              </w:rPr>
              <w:t>Full public financing for state election campaigns available</w:t>
            </w:r>
          </w:p>
        </w:tc>
        <w:tc>
          <w:tcPr>
            <w:tcW w:w="1285" w:type="dxa"/>
          </w:tcPr>
          <w:p w14:paraId="13146B35" w14:textId="77777777" w:rsidR="0046798B" w:rsidRDefault="0046798B">
            <w:pPr>
              <w:pStyle w:val="TableParagraph"/>
            </w:pPr>
          </w:p>
          <w:p w14:paraId="11617951" w14:textId="77777777" w:rsidR="0046798B" w:rsidRDefault="0046798B">
            <w:pPr>
              <w:pStyle w:val="TableParagraph"/>
              <w:spacing w:before="9"/>
              <w:rPr>
                <w:sz w:val="21"/>
              </w:rPr>
            </w:pPr>
          </w:p>
          <w:p w14:paraId="6377E094" w14:textId="77777777" w:rsidR="0046798B" w:rsidRDefault="00903B5C">
            <w:pPr>
              <w:pStyle w:val="TableParagraph"/>
              <w:ind w:left="114"/>
              <w:rPr>
                <w:sz w:val="20"/>
              </w:rPr>
            </w:pPr>
            <w:r>
              <w:rPr>
                <w:sz w:val="20"/>
              </w:rPr>
              <w:t>2002–2016</w:t>
            </w:r>
          </w:p>
        </w:tc>
        <w:tc>
          <w:tcPr>
            <w:tcW w:w="3421" w:type="dxa"/>
          </w:tcPr>
          <w:p w14:paraId="08EF8AE6" w14:textId="77777777" w:rsidR="0046798B" w:rsidRDefault="00903B5C">
            <w:pPr>
              <w:pStyle w:val="TableParagraph"/>
              <w:spacing w:before="158"/>
              <w:ind w:left="114" w:right="187"/>
              <w:jc w:val="both"/>
              <w:rPr>
                <w:sz w:val="20"/>
              </w:rPr>
            </w:pPr>
            <w:r>
              <w:rPr>
                <w:sz w:val="20"/>
              </w:rPr>
              <w:t>Full public financing for state election campaigns available? (0 = none, 0.1 = trial basis or a few state offices, 1 = all or most state elections)</w:t>
            </w:r>
          </w:p>
        </w:tc>
        <w:tc>
          <w:tcPr>
            <w:tcW w:w="6482" w:type="dxa"/>
          </w:tcPr>
          <w:p w14:paraId="68B05A11" w14:textId="77777777" w:rsidR="0046798B" w:rsidRDefault="0046798B">
            <w:pPr>
              <w:pStyle w:val="TableParagraph"/>
              <w:spacing w:before="9"/>
              <w:rPr>
                <w:sz w:val="23"/>
              </w:rPr>
            </w:pPr>
          </w:p>
          <w:p w14:paraId="507C2713"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EEEE7B5" w14:textId="77777777">
        <w:trPr>
          <w:trHeight w:val="1465"/>
        </w:trPr>
        <w:tc>
          <w:tcPr>
            <w:tcW w:w="1711" w:type="dxa"/>
          </w:tcPr>
          <w:p w14:paraId="3943800A" w14:textId="77777777" w:rsidR="0046798B" w:rsidRDefault="0046798B">
            <w:pPr>
              <w:pStyle w:val="TableParagraph"/>
            </w:pPr>
          </w:p>
          <w:p w14:paraId="6D93CC6F" w14:textId="77777777" w:rsidR="0046798B" w:rsidRDefault="0046798B">
            <w:pPr>
              <w:pStyle w:val="TableParagraph"/>
              <w:spacing w:before="9"/>
              <w:rPr>
                <w:sz w:val="31"/>
              </w:rPr>
            </w:pPr>
          </w:p>
          <w:p w14:paraId="5A169F21" w14:textId="77777777" w:rsidR="0046798B" w:rsidRDefault="00903B5C">
            <w:pPr>
              <w:pStyle w:val="TableParagraph"/>
              <w:ind w:left="115"/>
              <w:rPr>
                <w:b/>
                <w:sz w:val="20"/>
              </w:rPr>
            </w:pPr>
            <w:r>
              <w:rPr>
                <w:b/>
                <w:sz w:val="20"/>
              </w:rPr>
              <w:t>tindconcraw</w:t>
            </w:r>
          </w:p>
        </w:tc>
        <w:tc>
          <w:tcPr>
            <w:tcW w:w="1596" w:type="dxa"/>
          </w:tcPr>
          <w:p w14:paraId="30E3A8E7" w14:textId="77777777" w:rsidR="0046798B" w:rsidRDefault="00903B5C">
            <w:pPr>
              <w:pStyle w:val="TableParagraph"/>
              <w:spacing w:before="43"/>
              <w:ind w:left="114" w:right="135"/>
              <w:rPr>
                <w:sz w:val="20"/>
              </w:rPr>
            </w:pPr>
            <w:r>
              <w:rPr>
                <w:sz w:val="20"/>
              </w:rPr>
              <w:t>Limits on individual contributions to house candidates, per election cycle</w:t>
            </w:r>
          </w:p>
        </w:tc>
        <w:tc>
          <w:tcPr>
            <w:tcW w:w="1285" w:type="dxa"/>
          </w:tcPr>
          <w:p w14:paraId="28D37FAF" w14:textId="77777777" w:rsidR="0046798B" w:rsidRDefault="0046798B">
            <w:pPr>
              <w:pStyle w:val="TableParagraph"/>
            </w:pPr>
          </w:p>
          <w:p w14:paraId="54D62747" w14:textId="77777777" w:rsidR="0046798B" w:rsidRDefault="0046798B">
            <w:pPr>
              <w:pStyle w:val="TableParagraph"/>
              <w:spacing w:before="9"/>
              <w:rPr>
                <w:sz w:val="31"/>
              </w:rPr>
            </w:pPr>
          </w:p>
          <w:p w14:paraId="36ADAC4E" w14:textId="77777777" w:rsidR="0046798B" w:rsidRDefault="00903B5C">
            <w:pPr>
              <w:pStyle w:val="TableParagraph"/>
              <w:ind w:left="114"/>
              <w:rPr>
                <w:sz w:val="20"/>
              </w:rPr>
            </w:pPr>
            <w:r>
              <w:rPr>
                <w:sz w:val="20"/>
              </w:rPr>
              <w:t>2002–2016</w:t>
            </w:r>
          </w:p>
        </w:tc>
        <w:tc>
          <w:tcPr>
            <w:tcW w:w="3421" w:type="dxa"/>
          </w:tcPr>
          <w:p w14:paraId="3FB7FA30" w14:textId="77777777" w:rsidR="0046798B" w:rsidRDefault="0046798B">
            <w:pPr>
              <w:pStyle w:val="TableParagraph"/>
            </w:pPr>
          </w:p>
          <w:p w14:paraId="1005D2B7" w14:textId="77777777" w:rsidR="0046798B" w:rsidRDefault="00903B5C">
            <w:pPr>
              <w:pStyle w:val="TableParagraph"/>
              <w:spacing w:before="136"/>
              <w:ind w:left="114" w:right="189"/>
              <w:rPr>
                <w:sz w:val="20"/>
              </w:rPr>
            </w:pPr>
            <w:r>
              <w:rPr>
                <w:sz w:val="20"/>
              </w:rPr>
              <w:t>Limits on individual contributions to house candidates, per election cycle (0</w:t>
            </w:r>
          </w:p>
          <w:p w14:paraId="4A7170B3" w14:textId="77777777" w:rsidR="0046798B" w:rsidRDefault="00903B5C">
            <w:pPr>
              <w:pStyle w:val="TableParagraph"/>
              <w:ind w:left="114"/>
              <w:rPr>
                <w:sz w:val="20"/>
              </w:rPr>
            </w:pPr>
            <w:r>
              <w:rPr>
                <w:sz w:val="20"/>
              </w:rPr>
              <w:t>= prohibited, “none” = unlimited)</w:t>
            </w:r>
          </w:p>
        </w:tc>
        <w:tc>
          <w:tcPr>
            <w:tcW w:w="6482" w:type="dxa"/>
          </w:tcPr>
          <w:p w14:paraId="7CFD6208" w14:textId="77777777" w:rsidR="0046798B" w:rsidRDefault="0046798B">
            <w:pPr>
              <w:pStyle w:val="TableParagraph"/>
            </w:pPr>
          </w:p>
          <w:p w14:paraId="1FA6D966" w14:textId="77777777" w:rsidR="0046798B" w:rsidRDefault="00903B5C">
            <w:pPr>
              <w:pStyle w:val="TableParagraph"/>
              <w:spacing w:before="136"/>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C704A1B" w14:textId="77777777">
        <w:trPr>
          <w:trHeight w:val="1470"/>
        </w:trPr>
        <w:tc>
          <w:tcPr>
            <w:tcW w:w="1711" w:type="dxa"/>
          </w:tcPr>
          <w:p w14:paraId="0E3BF9CD" w14:textId="77777777" w:rsidR="0046798B" w:rsidRDefault="0046798B">
            <w:pPr>
              <w:pStyle w:val="TableParagraph"/>
            </w:pPr>
          </w:p>
          <w:p w14:paraId="2DEAE84B" w14:textId="77777777" w:rsidR="0046798B" w:rsidRDefault="0046798B">
            <w:pPr>
              <w:pStyle w:val="TableParagraph"/>
              <w:spacing w:before="9"/>
              <w:rPr>
                <w:sz w:val="31"/>
              </w:rPr>
            </w:pPr>
          </w:p>
          <w:p w14:paraId="27DE4F47" w14:textId="77777777" w:rsidR="0046798B" w:rsidRDefault="00903B5C">
            <w:pPr>
              <w:pStyle w:val="TableParagraph"/>
              <w:ind w:left="115"/>
              <w:rPr>
                <w:b/>
                <w:sz w:val="20"/>
              </w:rPr>
            </w:pPr>
            <w:r>
              <w:rPr>
                <w:b/>
                <w:sz w:val="20"/>
              </w:rPr>
              <w:t>tindconpraw</w:t>
            </w:r>
          </w:p>
        </w:tc>
        <w:tc>
          <w:tcPr>
            <w:tcW w:w="1596" w:type="dxa"/>
          </w:tcPr>
          <w:p w14:paraId="16941BF4" w14:textId="77777777" w:rsidR="0046798B" w:rsidRDefault="00903B5C">
            <w:pPr>
              <w:pStyle w:val="TableParagraph"/>
              <w:spacing w:before="43"/>
              <w:ind w:left="114" w:right="163"/>
              <w:rPr>
                <w:sz w:val="20"/>
              </w:rPr>
            </w:pPr>
            <w:r>
              <w:rPr>
                <w:sz w:val="20"/>
              </w:rPr>
              <w:t>Limits on individual contributions to political parties, per election cycle</w:t>
            </w:r>
          </w:p>
        </w:tc>
        <w:tc>
          <w:tcPr>
            <w:tcW w:w="1285" w:type="dxa"/>
          </w:tcPr>
          <w:p w14:paraId="4B012C38" w14:textId="77777777" w:rsidR="0046798B" w:rsidRDefault="0046798B">
            <w:pPr>
              <w:pStyle w:val="TableParagraph"/>
            </w:pPr>
          </w:p>
          <w:p w14:paraId="070A2C40" w14:textId="77777777" w:rsidR="0046798B" w:rsidRDefault="0046798B">
            <w:pPr>
              <w:pStyle w:val="TableParagraph"/>
              <w:spacing w:before="9"/>
              <w:rPr>
                <w:sz w:val="31"/>
              </w:rPr>
            </w:pPr>
          </w:p>
          <w:p w14:paraId="2C5046CD" w14:textId="77777777" w:rsidR="0046798B" w:rsidRDefault="00903B5C">
            <w:pPr>
              <w:pStyle w:val="TableParagraph"/>
              <w:ind w:left="114"/>
              <w:rPr>
                <w:sz w:val="20"/>
              </w:rPr>
            </w:pPr>
            <w:r>
              <w:rPr>
                <w:sz w:val="20"/>
              </w:rPr>
              <w:t>2002–2016</w:t>
            </w:r>
          </w:p>
        </w:tc>
        <w:tc>
          <w:tcPr>
            <w:tcW w:w="3421" w:type="dxa"/>
          </w:tcPr>
          <w:p w14:paraId="1EB8FF1D" w14:textId="77777777" w:rsidR="0046798B" w:rsidRDefault="0046798B">
            <w:pPr>
              <w:pStyle w:val="TableParagraph"/>
            </w:pPr>
          </w:p>
          <w:p w14:paraId="3A1FD0CE" w14:textId="77777777" w:rsidR="0046798B" w:rsidRDefault="00903B5C">
            <w:pPr>
              <w:pStyle w:val="TableParagraph"/>
              <w:spacing w:before="135"/>
              <w:ind w:left="114" w:right="148"/>
              <w:rPr>
                <w:sz w:val="20"/>
              </w:rPr>
            </w:pPr>
            <w:r>
              <w:rPr>
                <w:sz w:val="20"/>
              </w:rPr>
              <w:t>Limits on individual contributions to political parties, per election cycle (0 = prohibited, “none” = unlimited)</w:t>
            </w:r>
          </w:p>
        </w:tc>
        <w:tc>
          <w:tcPr>
            <w:tcW w:w="6482" w:type="dxa"/>
          </w:tcPr>
          <w:p w14:paraId="719A3D6F" w14:textId="77777777" w:rsidR="0046798B" w:rsidRDefault="0046798B">
            <w:pPr>
              <w:pStyle w:val="TableParagraph"/>
            </w:pPr>
          </w:p>
          <w:p w14:paraId="4533B9EB" w14:textId="77777777" w:rsidR="0046798B" w:rsidRDefault="00903B5C">
            <w:pPr>
              <w:pStyle w:val="TableParagraph"/>
              <w:spacing w:before="135"/>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A1F2F51" w14:textId="77777777">
        <w:trPr>
          <w:trHeight w:val="1235"/>
        </w:trPr>
        <w:tc>
          <w:tcPr>
            <w:tcW w:w="1711" w:type="dxa"/>
          </w:tcPr>
          <w:p w14:paraId="2AD7D091" w14:textId="77777777" w:rsidR="0046798B" w:rsidRDefault="0046798B">
            <w:pPr>
              <w:pStyle w:val="TableParagraph"/>
            </w:pPr>
          </w:p>
          <w:p w14:paraId="34690DBD" w14:textId="77777777" w:rsidR="0046798B" w:rsidRDefault="0046798B">
            <w:pPr>
              <w:pStyle w:val="TableParagraph"/>
              <w:spacing w:before="3"/>
              <w:rPr>
                <w:sz w:val="21"/>
              </w:rPr>
            </w:pPr>
          </w:p>
          <w:p w14:paraId="3D40D4F1" w14:textId="77777777" w:rsidR="0046798B" w:rsidRDefault="00903B5C">
            <w:pPr>
              <w:pStyle w:val="TableParagraph"/>
              <w:spacing w:before="1"/>
              <w:ind w:left="115"/>
              <w:rPr>
                <w:b/>
                <w:sz w:val="20"/>
              </w:rPr>
            </w:pPr>
            <w:r>
              <w:rPr>
                <w:b/>
                <w:sz w:val="20"/>
              </w:rPr>
              <w:t>tindpacraw</w:t>
            </w:r>
          </w:p>
        </w:tc>
        <w:tc>
          <w:tcPr>
            <w:tcW w:w="1596" w:type="dxa"/>
          </w:tcPr>
          <w:p w14:paraId="7B35EDC0" w14:textId="77777777" w:rsidR="0046798B" w:rsidRDefault="00903B5C">
            <w:pPr>
              <w:pStyle w:val="TableParagraph"/>
              <w:spacing w:before="38"/>
              <w:ind w:left="114" w:right="135"/>
              <w:rPr>
                <w:sz w:val="20"/>
              </w:rPr>
            </w:pPr>
            <w:r>
              <w:rPr>
                <w:sz w:val="20"/>
              </w:rPr>
              <w:t>Limits on individual contributions to PACs, per election cycle</w:t>
            </w:r>
          </w:p>
        </w:tc>
        <w:tc>
          <w:tcPr>
            <w:tcW w:w="1285" w:type="dxa"/>
          </w:tcPr>
          <w:p w14:paraId="5EEED489" w14:textId="77777777" w:rsidR="0046798B" w:rsidRDefault="0046798B">
            <w:pPr>
              <w:pStyle w:val="TableParagraph"/>
            </w:pPr>
          </w:p>
          <w:p w14:paraId="0B5C7A4B" w14:textId="77777777" w:rsidR="0046798B" w:rsidRDefault="0046798B">
            <w:pPr>
              <w:pStyle w:val="TableParagraph"/>
              <w:spacing w:before="3"/>
              <w:rPr>
                <w:sz w:val="21"/>
              </w:rPr>
            </w:pPr>
          </w:p>
          <w:p w14:paraId="75CC3FA6" w14:textId="77777777" w:rsidR="0046798B" w:rsidRDefault="00903B5C">
            <w:pPr>
              <w:pStyle w:val="TableParagraph"/>
              <w:spacing w:before="1"/>
              <w:ind w:left="114"/>
              <w:rPr>
                <w:sz w:val="20"/>
              </w:rPr>
            </w:pPr>
            <w:r>
              <w:rPr>
                <w:sz w:val="20"/>
              </w:rPr>
              <w:t>2002–2016</w:t>
            </w:r>
          </w:p>
        </w:tc>
        <w:tc>
          <w:tcPr>
            <w:tcW w:w="3421" w:type="dxa"/>
          </w:tcPr>
          <w:p w14:paraId="37B2AA2F" w14:textId="77777777" w:rsidR="0046798B" w:rsidRDefault="0046798B">
            <w:pPr>
              <w:pStyle w:val="TableParagraph"/>
              <w:spacing w:before="3"/>
              <w:rPr>
                <w:sz w:val="23"/>
              </w:rPr>
            </w:pPr>
          </w:p>
          <w:p w14:paraId="5C378FAF" w14:textId="77777777" w:rsidR="0046798B" w:rsidRDefault="00903B5C">
            <w:pPr>
              <w:pStyle w:val="TableParagraph"/>
              <w:spacing w:before="1"/>
              <w:ind w:left="114" w:right="205"/>
              <w:rPr>
                <w:sz w:val="20"/>
              </w:rPr>
            </w:pPr>
            <w:r>
              <w:rPr>
                <w:sz w:val="20"/>
              </w:rPr>
              <w:t>Limits on individual contributions to PACs, per election cycle (0 = prohibited, “none” = unlimited)</w:t>
            </w:r>
          </w:p>
        </w:tc>
        <w:tc>
          <w:tcPr>
            <w:tcW w:w="6482" w:type="dxa"/>
          </w:tcPr>
          <w:p w14:paraId="5A9018C5" w14:textId="77777777" w:rsidR="0046798B" w:rsidRDefault="0046798B">
            <w:pPr>
              <w:pStyle w:val="TableParagraph"/>
              <w:spacing w:before="3"/>
              <w:rPr>
                <w:sz w:val="23"/>
              </w:rPr>
            </w:pPr>
          </w:p>
          <w:p w14:paraId="6513227E" w14:textId="77777777" w:rsidR="0046798B" w:rsidRDefault="00903B5C">
            <w:pPr>
              <w:pStyle w:val="TableParagraph"/>
              <w:spacing w:before="1"/>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99EDD37" w14:textId="77777777">
        <w:trPr>
          <w:trHeight w:val="2155"/>
        </w:trPr>
        <w:tc>
          <w:tcPr>
            <w:tcW w:w="1711" w:type="dxa"/>
          </w:tcPr>
          <w:p w14:paraId="0966ED5A" w14:textId="77777777" w:rsidR="0046798B" w:rsidRDefault="0046798B">
            <w:pPr>
              <w:pStyle w:val="TableParagraph"/>
            </w:pPr>
          </w:p>
          <w:p w14:paraId="4CAC4EA4" w14:textId="77777777" w:rsidR="0046798B" w:rsidRDefault="0046798B">
            <w:pPr>
              <w:pStyle w:val="TableParagraph"/>
            </w:pPr>
          </w:p>
          <w:p w14:paraId="0951C538" w14:textId="77777777" w:rsidR="0046798B" w:rsidRDefault="0046798B">
            <w:pPr>
              <w:pStyle w:val="TableParagraph"/>
            </w:pPr>
          </w:p>
          <w:p w14:paraId="2107AE71" w14:textId="77777777" w:rsidR="0046798B" w:rsidRDefault="0046798B">
            <w:pPr>
              <w:pStyle w:val="TableParagraph"/>
              <w:spacing w:before="4"/>
              <w:rPr>
                <w:sz w:val="17"/>
              </w:rPr>
            </w:pPr>
          </w:p>
          <w:p w14:paraId="3EBBE843" w14:textId="77777777" w:rsidR="0046798B" w:rsidRDefault="00903B5C">
            <w:pPr>
              <w:pStyle w:val="TableParagraph"/>
              <w:ind w:left="115"/>
              <w:rPr>
                <w:b/>
                <w:sz w:val="20"/>
              </w:rPr>
            </w:pPr>
            <w:r>
              <w:rPr>
                <w:b/>
                <w:sz w:val="20"/>
              </w:rPr>
              <w:t>tpacconcraw</w:t>
            </w:r>
          </w:p>
        </w:tc>
        <w:tc>
          <w:tcPr>
            <w:tcW w:w="1596" w:type="dxa"/>
          </w:tcPr>
          <w:p w14:paraId="49CA298E" w14:textId="77777777" w:rsidR="0046798B" w:rsidRDefault="00903B5C">
            <w:pPr>
              <w:pStyle w:val="TableParagraph"/>
              <w:spacing w:before="38"/>
              <w:ind w:left="114" w:right="146"/>
              <w:rPr>
                <w:sz w:val="20"/>
              </w:rPr>
            </w:pPr>
            <w:r>
              <w:rPr>
                <w:sz w:val="20"/>
              </w:rPr>
              <w:t>Maximum available limits on PAC (including super PAC)</w:t>
            </w:r>
          </w:p>
          <w:p w14:paraId="6BA916E8" w14:textId="77777777" w:rsidR="0046798B" w:rsidRDefault="00903B5C">
            <w:pPr>
              <w:pStyle w:val="TableParagraph"/>
              <w:spacing w:before="1"/>
              <w:ind w:left="114" w:right="135"/>
              <w:rPr>
                <w:sz w:val="20"/>
              </w:rPr>
            </w:pPr>
            <w:r>
              <w:rPr>
                <w:sz w:val="20"/>
              </w:rPr>
              <w:t>contributions to house candidates, per election cycle</w:t>
            </w:r>
          </w:p>
        </w:tc>
        <w:tc>
          <w:tcPr>
            <w:tcW w:w="1285" w:type="dxa"/>
          </w:tcPr>
          <w:p w14:paraId="50E0B8D1" w14:textId="77777777" w:rsidR="0046798B" w:rsidRDefault="0046798B">
            <w:pPr>
              <w:pStyle w:val="TableParagraph"/>
            </w:pPr>
          </w:p>
          <w:p w14:paraId="581F118D" w14:textId="77777777" w:rsidR="0046798B" w:rsidRDefault="0046798B">
            <w:pPr>
              <w:pStyle w:val="TableParagraph"/>
            </w:pPr>
          </w:p>
          <w:p w14:paraId="3AF13014" w14:textId="77777777" w:rsidR="0046798B" w:rsidRDefault="0046798B">
            <w:pPr>
              <w:pStyle w:val="TableParagraph"/>
            </w:pPr>
          </w:p>
          <w:p w14:paraId="51CE51A5" w14:textId="77777777" w:rsidR="0046798B" w:rsidRDefault="0046798B">
            <w:pPr>
              <w:pStyle w:val="TableParagraph"/>
              <w:spacing w:before="4"/>
              <w:rPr>
                <w:sz w:val="17"/>
              </w:rPr>
            </w:pPr>
          </w:p>
          <w:p w14:paraId="731F13BC" w14:textId="77777777" w:rsidR="0046798B" w:rsidRDefault="00903B5C">
            <w:pPr>
              <w:pStyle w:val="TableParagraph"/>
              <w:ind w:left="114"/>
              <w:rPr>
                <w:sz w:val="20"/>
              </w:rPr>
            </w:pPr>
            <w:r>
              <w:rPr>
                <w:sz w:val="20"/>
              </w:rPr>
              <w:t>2002–2016</w:t>
            </w:r>
          </w:p>
        </w:tc>
        <w:tc>
          <w:tcPr>
            <w:tcW w:w="3421" w:type="dxa"/>
          </w:tcPr>
          <w:p w14:paraId="0A45099D" w14:textId="77777777" w:rsidR="0046798B" w:rsidRDefault="0046798B">
            <w:pPr>
              <w:pStyle w:val="TableParagraph"/>
            </w:pPr>
          </w:p>
          <w:p w14:paraId="158E7852" w14:textId="77777777" w:rsidR="0046798B" w:rsidRDefault="0046798B">
            <w:pPr>
              <w:pStyle w:val="TableParagraph"/>
              <w:spacing w:before="3"/>
              <w:rPr>
                <w:sz w:val="21"/>
              </w:rPr>
            </w:pPr>
          </w:p>
          <w:p w14:paraId="15AAA2AE" w14:textId="77777777" w:rsidR="0046798B" w:rsidRDefault="00903B5C">
            <w:pPr>
              <w:pStyle w:val="TableParagraph"/>
              <w:spacing w:before="1"/>
              <w:ind w:left="114" w:right="155"/>
              <w:rPr>
                <w:sz w:val="20"/>
              </w:rPr>
            </w:pPr>
            <w:r>
              <w:rPr>
                <w:sz w:val="20"/>
              </w:rPr>
              <w:t>Maximum available limits on PAC (including super PAC) contributions to house candidates, per election cycle (ignoring expenditure limits) (0 = prohibited, “none” = unlimited)</w:t>
            </w:r>
          </w:p>
        </w:tc>
        <w:tc>
          <w:tcPr>
            <w:tcW w:w="6482" w:type="dxa"/>
          </w:tcPr>
          <w:p w14:paraId="4E2FAC3A" w14:textId="77777777" w:rsidR="0046798B" w:rsidRDefault="0046798B">
            <w:pPr>
              <w:pStyle w:val="TableParagraph"/>
            </w:pPr>
          </w:p>
          <w:p w14:paraId="15EEFDB2" w14:textId="77777777" w:rsidR="0046798B" w:rsidRDefault="0046798B">
            <w:pPr>
              <w:pStyle w:val="TableParagraph"/>
            </w:pPr>
          </w:p>
          <w:p w14:paraId="0C875A3A" w14:textId="77777777" w:rsidR="0046798B" w:rsidRDefault="0046798B">
            <w:pPr>
              <w:pStyle w:val="TableParagraph"/>
              <w:spacing w:before="3"/>
              <w:rPr>
                <w:sz w:val="19"/>
              </w:rPr>
            </w:pPr>
          </w:p>
          <w:p w14:paraId="3F9D1E44" w14:textId="77777777" w:rsidR="0046798B" w:rsidRDefault="00903B5C">
            <w:pPr>
              <w:pStyle w:val="TableParagraph"/>
              <w:spacing w:before="1"/>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E923B7C" w14:textId="77777777">
        <w:trPr>
          <w:trHeight w:val="1695"/>
        </w:trPr>
        <w:tc>
          <w:tcPr>
            <w:tcW w:w="1711" w:type="dxa"/>
          </w:tcPr>
          <w:p w14:paraId="2E993789" w14:textId="77777777" w:rsidR="0046798B" w:rsidRDefault="0046798B">
            <w:pPr>
              <w:pStyle w:val="TableParagraph"/>
            </w:pPr>
          </w:p>
          <w:p w14:paraId="46F45138" w14:textId="77777777" w:rsidR="0046798B" w:rsidRDefault="0046798B">
            <w:pPr>
              <w:pStyle w:val="TableParagraph"/>
            </w:pPr>
          </w:p>
          <w:p w14:paraId="25DCB201" w14:textId="77777777" w:rsidR="0046798B" w:rsidRDefault="0046798B">
            <w:pPr>
              <w:pStyle w:val="TableParagraph"/>
              <w:spacing w:before="4"/>
              <w:rPr>
                <w:sz w:val="19"/>
              </w:rPr>
            </w:pPr>
          </w:p>
          <w:p w14:paraId="1EA58FFB" w14:textId="77777777" w:rsidR="0046798B" w:rsidRDefault="00903B5C">
            <w:pPr>
              <w:pStyle w:val="TableParagraph"/>
              <w:ind w:left="115"/>
              <w:rPr>
                <w:b/>
                <w:sz w:val="20"/>
              </w:rPr>
            </w:pPr>
            <w:r>
              <w:rPr>
                <w:b/>
                <w:sz w:val="20"/>
              </w:rPr>
              <w:t>tpacconpraw</w:t>
            </w:r>
          </w:p>
        </w:tc>
        <w:tc>
          <w:tcPr>
            <w:tcW w:w="1596" w:type="dxa"/>
          </w:tcPr>
          <w:p w14:paraId="50914BD3" w14:textId="77777777" w:rsidR="0046798B" w:rsidRDefault="00903B5C">
            <w:pPr>
              <w:pStyle w:val="TableParagraph"/>
              <w:spacing w:before="38"/>
              <w:ind w:left="114" w:right="163"/>
              <w:rPr>
                <w:sz w:val="20"/>
              </w:rPr>
            </w:pPr>
            <w:r>
              <w:rPr>
                <w:sz w:val="20"/>
              </w:rPr>
              <w:t>Maximum available limits on PAC contributions to political parties, per election cycle</w:t>
            </w:r>
          </w:p>
        </w:tc>
        <w:tc>
          <w:tcPr>
            <w:tcW w:w="1285" w:type="dxa"/>
          </w:tcPr>
          <w:p w14:paraId="7116CDF8" w14:textId="77777777" w:rsidR="0046798B" w:rsidRDefault="0046798B">
            <w:pPr>
              <w:pStyle w:val="TableParagraph"/>
            </w:pPr>
          </w:p>
          <w:p w14:paraId="12E887A7" w14:textId="77777777" w:rsidR="0046798B" w:rsidRDefault="0046798B">
            <w:pPr>
              <w:pStyle w:val="TableParagraph"/>
            </w:pPr>
          </w:p>
          <w:p w14:paraId="7DA8BC26" w14:textId="77777777" w:rsidR="0046798B" w:rsidRDefault="0046798B">
            <w:pPr>
              <w:pStyle w:val="TableParagraph"/>
              <w:spacing w:before="4"/>
              <w:rPr>
                <w:sz w:val="19"/>
              </w:rPr>
            </w:pPr>
          </w:p>
          <w:p w14:paraId="4D46FDA2" w14:textId="77777777" w:rsidR="0046798B" w:rsidRDefault="00903B5C">
            <w:pPr>
              <w:pStyle w:val="TableParagraph"/>
              <w:ind w:left="114"/>
              <w:rPr>
                <w:sz w:val="20"/>
              </w:rPr>
            </w:pPr>
            <w:r>
              <w:rPr>
                <w:sz w:val="20"/>
              </w:rPr>
              <w:t>2002–2016</w:t>
            </w:r>
          </w:p>
        </w:tc>
        <w:tc>
          <w:tcPr>
            <w:tcW w:w="3421" w:type="dxa"/>
          </w:tcPr>
          <w:p w14:paraId="377D0532" w14:textId="77777777" w:rsidR="0046798B" w:rsidRDefault="0046798B">
            <w:pPr>
              <w:pStyle w:val="TableParagraph"/>
            </w:pPr>
          </w:p>
          <w:p w14:paraId="523D24BB" w14:textId="77777777" w:rsidR="0046798B" w:rsidRDefault="00903B5C">
            <w:pPr>
              <w:pStyle w:val="TableParagraph"/>
              <w:spacing w:before="130"/>
              <w:ind w:left="114" w:right="91"/>
              <w:rPr>
                <w:sz w:val="20"/>
              </w:rPr>
            </w:pPr>
            <w:r>
              <w:rPr>
                <w:sz w:val="20"/>
              </w:rPr>
              <w:t>Maximum available limits on PAC contributions to political parties, per election cycle (0 = prohibited, “none” = unlimited)</w:t>
            </w:r>
          </w:p>
        </w:tc>
        <w:tc>
          <w:tcPr>
            <w:tcW w:w="6482" w:type="dxa"/>
          </w:tcPr>
          <w:p w14:paraId="0EB70469" w14:textId="77777777" w:rsidR="0046798B" w:rsidRDefault="0046798B">
            <w:pPr>
              <w:pStyle w:val="TableParagraph"/>
            </w:pPr>
          </w:p>
          <w:p w14:paraId="1E30E7E5" w14:textId="77777777" w:rsidR="0046798B" w:rsidRDefault="0046798B">
            <w:pPr>
              <w:pStyle w:val="TableParagraph"/>
              <w:spacing w:before="4"/>
              <w:rPr>
                <w:sz w:val="21"/>
              </w:rPr>
            </w:pPr>
          </w:p>
          <w:p w14:paraId="553CF510"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6B00C143" w14:textId="77777777" w:rsidR="0046798B" w:rsidRDefault="0046798B">
      <w:pPr>
        <w:rPr>
          <w:sz w:val="20"/>
        </w:rPr>
        <w:sectPr w:rsidR="0046798B">
          <w:pgSz w:w="15840" w:h="12240" w:orient="landscape"/>
          <w:pgMar w:top="1220" w:right="300" w:bottom="980" w:left="820" w:header="730" w:footer="787" w:gutter="0"/>
          <w:cols w:space="720"/>
        </w:sectPr>
      </w:pPr>
    </w:p>
    <w:p w14:paraId="1703108B"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587CB548" w14:textId="77777777">
        <w:trPr>
          <w:trHeight w:val="1235"/>
        </w:trPr>
        <w:tc>
          <w:tcPr>
            <w:tcW w:w="1711" w:type="dxa"/>
          </w:tcPr>
          <w:p w14:paraId="6B9E58DE" w14:textId="77777777" w:rsidR="0046798B" w:rsidRDefault="0046798B">
            <w:pPr>
              <w:pStyle w:val="TableParagraph"/>
            </w:pPr>
          </w:p>
          <w:p w14:paraId="34C43B94" w14:textId="77777777" w:rsidR="0046798B" w:rsidRDefault="0046798B">
            <w:pPr>
              <w:pStyle w:val="TableParagraph"/>
              <w:spacing w:before="9"/>
              <w:rPr>
                <w:sz w:val="21"/>
              </w:rPr>
            </w:pPr>
          </w:p>
          <w:p w14:paraId="672E6B37" w14:textId="77777777" w:rsidR="0046798B" w:rsidRDefault="00903B5C">
            <w:pPr>
              <w:pStyle w:val="TableParagraph"/>
              <w:ind w:left="115"/>
              <w:rPr>
                <w:b/>
                <w:sz w:val="20"/>
              </w:rPr>
            </w:pPr>
            <w:r>
              <w:rPr>
                <w:b/>
                <w:sz w:val="20"/>
              </w:rPr>
              <w:t>tpartpub</w:t>
            </w:r>
          </w:p>
        </w:tc>
        <w:tc>
          <w:tcPr>
            <w:tcW w:w="1596" w:type="dxa"/>
          </w:tcPr>
          <w:p w14:paraId="7AD3FDA2" w14:textId="77777777" w:rsidR="0046798B" w:rsidRDefault="00903B5C">
            <w:pPr>
              <w:pStyle w:val="TableParagraph"/>
              <w:spacing w:before="43"/>
              <w:ind w:left="114" w:right="402"/>
              <w:rPr>
                <w:sz w:val="20"/>
              </w:rPr>
            </w:pPr>
            <w:r>
              <w:rPr>
                <w:sz w:val="20"/>
              </w:rPr>
              <w:t>Some public financing for state election campaigns available</w:t>
            </w:r>
          </w:p>
        </w:tc>
        <w:tc>
          <w:tcPr>
            <w:tcW w:w="1285" w:type="dxa"/>
          </w:tcPr>
          <w:p w14:paraId="31B63C32" w14:textId="77777777" w:rsidR="0046798B" w:rsidRDefault="0046798B">
            <w:pPr>
              <w:pStyle w:val="TableParagraph"/>
            </w:pPr>
          </w:p>
          <w:p w14:paraId="373005E2" w14:textId="77777777" w:rsidR="0046798B" w:rsidRDefault="0046798B">
            <w:pPr>
              <w:pStyle w:val="TableParagraph"/>
              <w:spacing w:before="9"/>
              <w:rPr>
                <w:sz w:val="21"/>
              </w:rPr>
            </w:pPr>
          </w:p>
          <w:p w14:paraId="485E8006" w14:textId="77777777" w:rsidR="0046798B" w:rsidRDefault="00903B5C">
            <w:pPr>
              <w:pStyle w:val="TableParagraph"/>
              <w:ind w:left="114"/>
              <w:rPr>
                <w:sz w:val="20"/>
              </w:rPr>
            </w:pPr>
            <w:r>
              <w:rPr>
                <w:sz w:val="20"/>
              </w:rPr>
              <w:t>2002–2016</w:t>
            </w:r>
          </w:p>
        </w:tc>
        <w:tc>
          <w:tcPr>
            <w:tcW w:w="3421" w:type="dxa"/>
          </w:tcPr>
          <w:p w14:paraId="6C62469C" w14:textId="77777777" w:rsidR="0046798B" w:rsidRDefault="00903B5C">
            <w:pPr>
              <w:pStyle w:val="TableParagraph"/>
              <w:spacing w:before="158"/>
              <w:ind w:left="114" w:right="220"/>
              <w:rPr>
                <w:sz w:val="20"/>
              </w:rPr>
            </w:pPr>
            <w:r>
              <w:rPr>
                <w:sz w:val="20"/>
              </w:rPr>
              <w:t>Some public financing for state election campaigns available? (0 = none, 0.1 = trial basis or a few state offices, 1 = all or most state elections)</w:t>
            </w:r>
          </w:p>
        </w:tc>
        <w:tc>
          <w:tcPr>
            <w:tcW w:w="6482" w:type="dxa"/>
          </w:tcPr>
          <w:p w14:paraId="113BC61C" w14:textId="77777777" w:rsidR="0046798B" w:rsidRDefault="0046798B">
            <w:pPr>
              <w:pStyle w:val="TableParagraph"/>
              <w:spacing w:before="9"/>
              <w:rPr>
                <w:sz w:val="23"/>
              </w:rPr>
            </w:pPr>
          </w:p>
          <w:p w14:paraId="3D2BE854" w14:textId="77777777" w:rsidR="0046798B" w:rsidRDefault="00903B5C">
            <w:pPr>
              <w:pStyle w:val="TableParagraph"/>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5C9AFF3" w14:textId="77777777">
        <w:trPr>
          <w:trHeight w:val="1005"/>
        </w:trPr>
        <w:tc>
          <w:tcPr>
            <w:tcW w:w="1711" w:type="dxa"/>
          </w:tcPr>
          <w:p w14:paraId="43437208" w14:textId="77777777" w:rsidR="0046798B" w:rsidRDefault="0046798B">
            <w:pPr>
              <w:pStyle w:val="TableParagraph"/>
            </w:pPr>
          </w:p>
          <w:p w14:paraId="0D7A85CF" w14:textId="77777777" w:rsidR="0046798B" w:rsidRDefault="00903B5C">
            <w:pPr>
              <w:pStyle w:val="TableParagraph"/>
              <w:spacing w:before="136"/>
              <w:ind w:left="115"/>
              <w:rPr>
                <w:b/>
                <w:sz w:val="20"/>
              </w:rPr>
            </w:pPr>
            <w:r>
              <w:rPr>
                <w:b/>
                <w:sz w:val="20"/>
              </w:rPr>
              <w:t>tpfpps</w:t>
            </w:r>
          </w:p>
        </w:tc>
        <w:tc>
          <w:tcPr>
            <w:tcW w:w="1596" w:type="dxa"/>
          </w:tcPr>
          <w:p w14:paraId="306C1511" w14:textId="77777777" w:rsidR="0046798B" w:rsidRDefault="00903B5C">
            <w:pPr>
              <w:pStyle w:val="TableParagraph"/>
              <w:spacing w:before="43"/>
              <w:ind w:left="114" w:right="213"/>
              <w:rPr>
                <w:sz w:val="20"/>
              </w:rPr>
            </w:pPr>
            <w:r>
              <w:rPr>
                <w:sz w:val="20"/>
              </w:rPr>
              <w:t>Some public financing for political parties available</w:t>
            </w:r>
          </w:p>
        </w:tc>
        <w:tc>
          <w:tcPr>
            <w:tcW w:w="1285" w:type="dxa"/>
          </w:tcPr>
          <w:p w14:paraId="3D70EFDD" w14:textId="77777777" w:rsidR="0046798B" w:rsidRDefault="0046798B">
            <w:pPr>
              <w:pStyle w:val="TableParagraph"/>
            </w:pPr>
          </w:p>
          <w:p w14:paraId="30AEBE17" w14:textId="77777777" w:rsidR="0046798B" w:rsidRDefault="00903B5C">
            <w:pPr>
              <w:pStyle w:val="TableParagraph"/>
              <w:spacing w:before="136"/>
              <w:ind w:left="114"/>
              <w:rPr>
                <w:sz w:val="20"/>
              </w:rPr>
            </w:pPr>
            <w:r>
              <w:rPr>
                <w:sz w:val="20"/>
              </w:rPr>
              <w:t>2002–2016</w:t>
            </w:r>
          </w:p>
        </w:tc>
        <w:tc>
          <w:tcPr>
            <w:tcW w:w="3421" w:type="dxa"/>
          </w:tcPr>
          <w:p w14:paraId="3ABF32CD" w14:textId="77777777" w:rsidR="0046798B" w:rsidRDefault="00903B5C">
            <w:pPr>
              <w:pStyle w:val="TableParagraph"/>
              <w:spacing w:before="158"/>
              <w:ind w:left="114" w:right="243"/>
              <w:rPr>
                <w:sz w:val="20"/>
              </w:rPr>
            </w:pPr>
            <w:r>
              <w:rPr>
                <w:sz w:val="20"/>
              </w:rPr>
              <w:t>Some public financing for political parties available? (no tax credits) (0 = no, 1 = yes)</w:t>
            </w:r>
          </w:p>
        </w:tc>
        <w:tc>
          <w:tcPr>
            <w:tcW w:w="6482" w:type="dxa"/>
          </w:tcPr>
          <w:p w14:paraId="540CB006"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1101388" w14:textId="77777777">
        <w:trPr>
          <w:trHeight w:val="1010"/>
        </w:trPr>
        <w:tc>
          <w:tcPr>
            <w:tcW w:w="1711" w:type="dxa"/>
          </w:tcPr>
          <w:p w14:paraId="256FA19F" w14:textId="77777777" w:rsidR="0046798B" w:rsidRDefault="0046798B">
            <w:pPr>
              <w:pStyle w:val="TableParagraph"/>
            </w:pPr>
          </w:p>
          <w:p w14:paraId="469807E9" w14:textId="77777777" w:rsidR="0046798B" w:rsidRDefault="00903B5C">
            <w:pPr>
              <w:pStyle w:val="TableParagraph"/>
              <w:spacing w:before="135"/>
              <w:ind w:left="115"/>
              <w:rPr>
                <w:b/>
                <w:sz w:val="20"/>
              </w:rPr>
            </w:pPr>
            <w:r>
              <w:rPr>
                <w:b/>
                <w:sz w:val="20"/>
              </w:rPr>
              <w:t>ttaxadd</w:t>
            </w:r>
          </w:p>
        </w:tc>
        <w:tc>
          <w:tcPr>
            <w:tcW w:w="1596" w:type="dxa"/>
          </w:tcPr>
          <w:p w14:paraId="5174437F" w14:textId="77777777" w:rsidR="0046798B" w:rsidRDefault="00903B5C">
            <w:pPr>
              <w:pStyle w:val="TableParagraph"/>
              <w:spacing w:before="43"/>
              <w:ind w:left="114" w:right="136"/>
              <w:rPr>
                <w:sz w:val="20"/>
              </w:rPr>
            </w:pPr>
            <w:r>
              <w:rPr>
                <w:sz w:val="20"/>
              </w:rPr>
              <w:t>Source of public funds a voluntary tax add-on only</w:t>
            </w:r>
          </w:p>
        </w:tc>
        <w:tc>
          <w:tcPr>
            <w:tcW w:w="1285" w:type="dxa"/>
          </w:tcPr>
          <w:p w14:paraId="744E2E68" w14:textId="77777777" w:rsidR="0046798B" w:rsidRDefault="0046798B">
            <w:pPr>
              <w:pStyle w:val="TableParagraph"/>
            </w:pPr>
          </w:p>
          <w:p w14:paraId="765752B9" w14:textId="77777777" w:rsidR="0046798B" w:rsidRDefault="00903B5C">
            <w:pPr>
              <w:pStyle w:val="TableParagraph"/>
              <w:spacing w:before="135"/>
              <w:ind w:left="114"/>
              <w:rPr>
                <w:sz w:val="20"/>
              </w:rPr>
            </w:pPr>
            <w:r>
              <w:rPr>
                <w:sz w:val="20"/>
              </w:rPr>
              <w:t>2002–2016</w:t>
            </w:r>
          </w:p>
        </w:tc>
        <w:tc>
          <w:tcPr>
            <w:tcW w:w="3421" w:type="dxa"/>
          </w:tcPr>
          <w:p w14:paraId="0F0D88A8" w14:textId="77777777" w:rsidR="0046798B" w:rsidRDefault="00903B5C">
            <w:pPr>
              <w:pStyle w:val="TableParagraph"/>
              <w:spacing w:before="43"/>
              <w:ind w:left="114" w:right="327"/>
              <w:rPr>
                <w:sz w:val="20"/>
              </w:rPr>
            </w:pPr>
            <w:r>
              <w:rPr>
                <w:sz w:val="20"/>
              </w:rPr>
              <w:t>Is the source of public funds a voluntary tax add-on only? (does not count check-off states) (0 = no, 1 = yes)</w:t>
            </w:r>
          </w:p>
        </w:tc>
        <w:tc>
          <w:tcPr>
            <w:tcW w:w="6482" w:type="dxa"/>
          </w:tcPr>
          <w:p w14:paraId="15405BD7" w14:textId="77777777" w:rsidR="0046798B" w:rsidRDefault="00903B5C">
            <w:pPr>
              <w:pStyle w:val="TableParagraph"/>
              <w:spacing w:before="158"/>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2AA8812" w14:textId="77777777">
        <w:trPr>
          <w:trHeight w:val="1465"/>
        </w:trPr>
        <w:tc>
          <w:tcPr>
            <w:tcW w:w="1711" w:type="dxa"/>
          </w:tcPr>
          <w:p w14:paraId="40CA2CBC" w14:textId="77777777" w:rsidR="0046798B" w:rsidRDefault="0046798B">
            <w:pPr>
              <w:pStyle w:val="TableParagraph"/>
            </w:pPr>
          </w:p>
          <w:p w14:paraId="27230A74" w14:textId="77777777" w:rsidR="0046798B" w:rsidRDefault="0046798B">
            <w:pPr>
              <w:pStyle w:val="TableParagraph"/>
              <w:spacing w:before="4"/>
              <w:rPr>
                <w:sz w:val="31"/>
              </w:rPr>
            </w:pPr>
          </w:p>
          <w:p w14:paraId="0654DC09" w14:textId="77777777" w:rsidR="0046798B" w:rsidRDefault="00903B5C">
            <w:pPr>
              <w:pStyle w:val="TableParagraph"/>
              <w:ind w:left="115"/>
              <w:rPr>
                <w:b/>
                <w:sz w:val="20"/>
              </w:rPr>
            </w:pPr>
            <w:r>
              <w:rPr>
                <w:b/>
                <w:sz w:val="20"/>
              </w:rPr>
              <w:t>tlegses</w:t>
            </w:r>
          </w:p>
        </w:tc>
        <w:tc>
          <w:tcPr>
            <w:tcW w:w="1596" w:type="dxa"/>
          </w:tcPr>
          <w:p w14:paraId="0089FB39" w14:textId="77777777" w:rsidR="0046798B" w:rsidRDefault="00903B5C">
            <w:pPr>
              <w:pStyle w:val="TableParagraph"/>
              <w:spacing w:before="153"/>
              <w:ind w:left="114" w:right="396"/>
              <w:rPr>
                <w:sz w:val="20"/>
              </w:rPr>
            </w:pPr>
            <w:r>
              <w:rPr>
                <w:sz w:val="20"/>
              </w:rPr>
              <w:t>Bans on contributions during legislative session</w:t>
            </w:r>
          </w:p>
        </w:tc>
        <w:tc>
          <w:tcPr>
            <w:tcW w:w="1285" w:type="dxa"/>
          </w:tcPr>
          <w:p w14:paraId="487764CA" w14:textId="77777777" w:rsidR="0046798B" w:rsidRDefault="0046798B">
            <w:pPr>
              <w:pStyle w:val="TableParagraph"/>
            </w:pPr>
          </w:p>
          <w:p w14:paraId="2762843C" w14:textId="77777777" w:rsidR="0046798B" w:rsidRDefault="0046798B">
            <w:pPr>
              <w:pStyle w:val="TableParagraph"/>
              <w:spacing w:before="4"/>
              <w:rPr>
                <w:sz w:val="31"/>
              </w:rPr>
            </w:pPr>
          </w:p>
          <w:p w14:paraId="0977B17D" w14:textId="77777777" w:rsidR="0046798B" w:rsidRDefault="00903B5C">
            <w:pPr>
              <w:pStyle w:val="TableParagraph"/>
              <w:ind w:left="114"/>
              <w:rPr>
                <w:sz w:val="20"/>
              </w:rPr>
            </w:pPr>
            <w:r>
              <w:rPr>
                <w:sz w:val="20"/>
              </w:rPr>
              <w:t>2002–2014</w:t>
            </w:r>
          </w:p>
        </w:tc>
        <w:tc>
          <w:tcPr>
            <w:tcW w:w="3421" w:type="dxa"/>
          </w:tcPr>
          <w:p w14:paraId="4FE0CB05" w14:textId="77777777" w:rsidR="0046798B" w:rsidRDefault="00903B5C">
            <w:pPr>
              <w:pStyle w:val="TableParagraph"/>
              <w:spacing w:before="38"/>
              <w:ind w:left="114" w:right="148"/>
              <w:rPr>
                <w:sz w:val="20"/>
              </w:rPr>
            </w:pPr>
            <w:r>
              <w:rPr>
                <w:sz w:val="20"/>
              </w:rPr>
              <w:t>Bans on contributions during legislative session (0 = none, 0.5 = all donors for certain fundraisers only, 1 = lobbyists only, 1.5 = lobbyists and all donors for certain fundraisers, 2 = all donors)</w:t>
            </w:r>
          </w:p>
        </w:tc>
        <w:tc>
          <w:tcPr>
            <w:tcW w:w="6482" w:type="dxa"/>
          </w:tcPr>
          <w:p w14:paraId="7DD96B02" w14:textId="77777777" w:rsidR="0046798B" w:rsidRDefault="0046798B">
            <w:pPr>
              <w:pStyle w:val="TableParagraph"/>
            </w:pPr>
          </w:p>
          <w:p w14:paraId="18EB3705" w14:textId="77777777" w:rsidR="0046798B" w:rsidRDefault="00903B5C">
            <w:pPr>
              <w:pStyle w:val="TableParagraph"/>
              <w:spacing w:before="130"/>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D9A0810" w14:textId="77777777">
        <w:trPr>
          <w:trHeight w:val="1235"/>
        </w:trPr>
        <w:tc>
          <w:tcPr>
            <w:tcW w:w="1711" w:type="dxa"/>
          </w:tcPr>
          <w:p w14:paraId="3332D86E" w14:textId="77777777" w:rsidR="0046798B" w:rsidRDefault="0046798B">
            <w:pPr>
              <w:pStyle w:val="TableParagraph"/>
            </w:pPr>
          </w:p>
          <w:p w14:paraId="40A5CF26" w14:textId="77777777" w:rsidR="0046798B" w:rsidRDefault="0046798B">
            <w:pPr>
              <w:pStyle w:val="TableParagraph"/>
              <w:spacing w:before="4"/>
              <w:rPr>
                <w:sz w:val="21"/>
              </w:rPr>
            </w:pPr>
          </w:p>
          <w:p w14:paraId="3408C0D1" w14:textId="77777777" w:rsidR="0046798B" w:rsidRDefault="00903B5C">
            <w:pPr>
              <w:pStyle w:val="TableParagraph"/>
              <w:ind w:left="115"/>
              <w:rPr>
                <w:b/>
                <w:sz w:val="20"/>
              </w:rPr>
            </w:pPr>
            <w:r>
              <w:rPr>
                <w:b/>
                <w:sz w:val="20"/>
              </w:rPr>
              <w:t>tcprc</w:t>
            </w:r>
          </w:p>
        </w:tc>
        <w:tc>
          <w:tcPr>
            <w:tcW w:w="1596" w:type="dxa"/>
          </w:tcPr>
          <w:p w14:paraId="4ED9EDDD" w14:textId="77777777" w:rsidR="0046798B" w:rsidRDefault="00903B5C">
            <w:pPr>
              <w:pStyle w:val="TableParagraph"/>
              <w:spacing w:before="38"/>
              <w:ind w:left="114" w:right="257"/>
              <w:rPr>
                <w:sz w:val="20"/>
              </w:rPr>
            </w:pPr>
            <w:r>
              <w:rPr>
                <w:sz w:val="20"/>
              </w:rPr>
              <w:t>Index of corporate PAC regulation, candidate contributions</w:t>
            </w:r>
          </w:p>
        </w:tc>
        <w:tc>
          <w:tcPr>
            <w:tcW w:w="1285" w:type="dxa"/>
          </w:tcPr>
          <w:p w14:paraId="19870C42" w14:textId="77777777" w:rsidR="0046798B" w:rsidRDefault="0046798B">
            <w:pPr>
              <w:pStyle w:val="TableParagraph"/>
            </w:pPr>
          </w:p>
          <w:p w14:paraId="6CEDF2B3" w14:textId="77777777" w:rsidR="0046798B" w:rsidRDefault="0046798B">
            <w:pPr>
              <w:pStyle w:val="TableParagraph"/>
              <w:spacing w:before="4"/>
              <w:rPr>
                <w:sz w:val="21"/>
              </w:rPr>
            </w:pPr>
          </w:p>
          <w:p w14:paraId="7F84BC1A" w14:textId="77777777" w:rsidR="0046798B" w:rsidRDefault="00903B5C">
            <w:pPr>
              <w:pStyle w:val="TableParagraph"/>
              <w:ind w:left="114"/>
              <w:rPr>
                <w:sz w:val="20"/>
              </w:rPr>
            </w:pPr>
            <w:r>
              <w:rPr>
                <w:sz w:val="20"/>
              </w:rPr>
              <w:t>2002–2016</w:t>
            </w:r>
          </w:p>
        </w:tc>
        <w:tc>
          <w:tcPr>
            <w:tcW w:w="3421" w:type="dxa"/>
          </w:tcPr>
          <w:p w14:paraId="2231340C" w14:textId="77777777" w:rsidR="0046798B" w:rsidRDefault="0046798B">
            <w:pPr>
              <w:pStyle w:val="TableParagraph"/>
              <w:spacing w:before="3"/>
              <w:rPr>
                <w:sz w:val="23"/>
              </w:rPr>
            </w:pPr>
          </w:p>
          <w:p w14:paraId="54A67AE9" w14:textId="77777777" w:rsidR="0046798B" w:rsidRDefault="00903B5C">
            <w:pPr>
              <w:pStyle w:val="TableParagraph"/>
              <w:spacing w:before="1"/>
              <w:ind w:left="114"/>
              <w:rPr>
                <w:sz w:val="20"/>
              </w:rPr>
            </w:pPr>
            <w:r>
              <w:rPr>
                <w:sz w:val="20"/>
              </w:rPr>
              <w:t>Index of corporate PAC regulation, candidate contributions</w:t>
            </w:r>
          </w:p>
          <w:p w14:paraId="11C63296" w14:textId="77777777" w:rsidR="0046798B" w:rsidRDefault="00903B5C">
            <w:pPr>
              <w:pStyle w:val="TableParagraph"/>
              <w:ind w:left="114"/>
              <w:rPr>
                <w:sz w:val="20"/>
              </w:rPr>
            </w:pPr>
            <w:r>
              <w:rPr>
                <w:sz w:val="20"/>
              </w:rPr>
              <w:t>tcorpac * tpacconc</w:t>
            </w:r>
          </w:p>
        </w:tc>
        <w:tc>
          <w:tcPr>
            <w:tcW w:w="6482" w:type="dxa"/>
          </w:tcPr>
          <w:p w14:paraId="7B8F5438" w14:textId="77777777" w:rsidR="0046798B" w:rsidRDefault="0046798B">
            <w:pPr>
              <w:pStyle w:val="TableParagraph"/>
              <w:spacing w:before="3"/>
              <w:rPr>
                <w:sz w:val="23"/>
              </w:rPr>
            </w:pPr>
          </w:p>
          <w:p w14:paraId="449EDD3B"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702707A" w14:textId="77777777">
        <w:trPr>
          <w:trHeight w:val="1005"/>
        </w:trPr>
        <w:tc>
          <w:tcPr>
            <w:tcW w:w="1711" w:type="dxa"/>
          </w:tcPr>
          <w:p w14:paraId="3934094E" w14:textId="77777777" w:rsidR="0046798B" w:rsidRDefault="0046798B">
            <w:pPr>
              <w:pStyle w:val="TableParagraph"/>
            </w:pPr>
          </w:p>
          <w:p w14:paraId="1C55D7B8" w14:textId="77777777" w:rsidR="0046798B" w:rsidRDefault="00903B5C">
            <w:pPr>
              <w:pStyle w:val="TableParagraph"/>
              <w:spacing w:before="131"/>
              <w:ind w:left="115"/>
              <w:rPr>
                <w:b/>
                <w:sz w:val="20"/>
              </w:rPr>
            </w:pPr>
            <w:r>
              <w:rPr>
                <w:b/>
                <w:sz w:val="20"/>
              </w:rPr>
              <w:t>tcprp</w:t>
            </w:r>
          </w:p>
        </w:tc>
        <w:tc>
          <w:tcPr>
            <w:tcW w:w="1596" w:type="dxa"/>
          </w:tcPr>
          <w:p w14:paraId="24417447" w14:textId="77777777" w:rsidR="0046798B" w:rsidRDefault="00903B5C">
            <w:pPr>
              <w:pStyle w:val="TableParagraph"/>
              <w:spacing w:before="38"/>
              <w:ind w:left="114" w:right="130"/>
              <w:rPr>
                <w:sz w:val="20"/>
              </w:rPr>
            </w:pPr>
            <w:r>
              <w:rPr>
                <w:sz w:val="20"/>
              </w:rPr>
              <w:t>Index of corporate PAC regulation, party contributions</w:t>
            </w:r>
          </w:p>
        </w:tc>
        <w:tc>
          <w:tcPr>
            <w:tcW w:w="1285" w:type="dxa"/>
          </w:tcPr>
          <w:p w14:paraId="7E1697BD" w14:textId="77777777" w:rsidR="0046798B" w:rsidRDefault="0046798B">
            <w:pPr>
              <w:pStyle w:val="TableParagraph"/>
            </w:pPr>
          </w:p>
          <w:p w14:paraId="43C82698" w14:textId="77777777" w:rsidR="0046798B" w:rsidRDefault="00903B5C">
            <w:pPr>
              <w:pStyle w:val="TableParagraph"/>
              <w:spacing w:before="131"/>
              <w:ind w:left="114"/>
              <w:rPr>
                <w:sz w:val="20"/>
              </w:rPr>
            </w:pPr>
            <w:r>
              <w:rPr>
                <w:sz w:val="20"/>
              </w:rPr>
              <w:t>2002–2016</w:t>
            </w:r>
          </w:p>
        </w:tc>
        <w:tc>
          <w:tcPr>
            <w:tcW w:w="3421" w:type="dxa"/>
          </w:tcPr>
          <w:p w14:paraId="707D75A6" w14:textId="77777777" w:rsidR="0046798B" w:rsidRDefault="00903B5C">
            <w:pPr>
              <w:pStyle w:val="TableParagraph"/>
              <w:spacing w:before="153"/>
              <w:ind w:left="114" w:right="205"/>
              <w:rPr>
                <w:sz w:val="20"/>
              </w:rPr>
            </w:pPr>
            <w:r>
              <w:rPr>
                <w:sz w:val="20"/>
              </w:rPr>
              <w:t>Index of corporate PAC regulation, party contributions</w:t>
            </w:r>
          </w:p>
          <w:p w14:paraId="181758BE" w14:textId="77777777" w:rsidR="0046798B" w:rsidRDefault="00903B5C">
            <w:pPr>
              <w:pStyle w:val="TableParagraph"/>
              <w:spacing w:before="1"/>
              <w:ind w:left="114"/>
              <w:rPr>
                <w:sz w:val="20"/>
              </w:rPr>
            </w:pPr>
            <w:r>
              <w:rPr>
                <w:sz w:val="20"/>
              </w:rPr>
              <w:t>tcorpac * tpacconp / 20</w:t>
            </w:r>
          </w:p>
        </w:tc>
        <w:tc>
          <w:tcPr>
            <w:tcW w:w="6482" w:type="dxa"/>
          </w:tcPr>
          <w:p w14:paraId="52B4392E" w14:textId="77777777" w:rsidR="0046798B" w:rsidRDefault="00903B5C">
            <w:pPr>
              <w:pStyle w:val="TableParagraph"/>
              <w:spacing w:before="15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EAE1644" w14:textId="77777777">
        <w:trPr>
          <w:trHeight w:val="1235"/>
        </w:trPr>
        <w:tc>
          <w:tcPr>
            <w:tcW w:w="1711" w:type="dxa"/>
          </w:tcPr>
          <w:p w14:paraId="63A1DF32" w14:textId="77777777" w:rsidR="0046798B" w:rsidRDefault="0046798B">
            <w:pPr>
              <w:pStyle w:val="TableParagraph"/>
            </w:pPr>
          </w:p>
          <w:p w14:paraId="53FC6A10" w14:textId="77777777" w:rsidR="0046798B" w:rsidRDefault="0046798B">
            <w:pPr>
              <w:pStyle w:val="TableParagraph"/>
              <w:spacing w:before="8"/>
              <w:rPr>
                <w:sz w:val="21"/>
              </w:rPr>
            </w:pPr>
          </w:p>
          <w:p w14:paraId="157DCD0B" w14:textId="77777777" w:rsidR="0046798B" w:rsidRDefault="00903B5C">
            <w:pPr>
              <w:pStyle w:val="TableParagraph"/>
              <w:ind w:left="115"/>
              <w:rPr>
                <w:b/>
                <w:sz w:val="20"/>
              </w:rPr>
            </w:pPr>
            <w:r>
              <w:rPr>
                <w:b/>
                <w:sz w:val="20"/>
              </w:rPr>
              <w:t>tgprc</w:t>
            </w:r>
          </w:p>
        </w:tc>
        <w:tc>
          <w:tcPr>
            <w:tcW w:w="1596" w:type="dxa"/>
          </w:tcPr>
          <w:p w14:paraId="162FE1AF" w14:textId="77777777" w:rsidR="0046798B" w:rsidRDefault="00903B5C">
            <w:pPr>
              <w:pStyle w:val="TableParagraph"/>
              <w:spacing w:before="43"/>
              <w:ind w:left="114" w:right="201"/>
              <w:rPr>
                <w:sz w:val="20"/>
              </w:rPr>
            </w:pPr>
            <w:r>
              <w:rPr>
                <w:sz w:val="20"/>
              </w:rPr>
              <w:t>Index of grassroots PAC regulation, candidate contributions</w:t>
            </w:r>
          </w:p>
        </w:tc>
        <w:tc>
          <w:tcPr>
            <w:tcW w:w="1285" w:type="dxa"/>
          </w:tcPr>
          <w:p w14:paraId="45F1C360" w14:textId="77777777" w:rsidR="0046798B" w:rsidRDefault="0046798B">
            <w:pPr>
              <w:pStyle w:val="TableParagraph"/>
            </w:pPr>
          </w:p>
          <w:p w14:paraId="66E11AAE" w14:textId="77777777" w:rsidR="0046798B" w:rsidRDefault="0046798B">
            <w:pPr>
              <w:pStyle w:val="TableParagraph"/>
              <w:spacing w:before="8"/>
              <w:rPr>
                <w:sz w:val="21"/>
              </w:rPr>
            </w:pPr>
          </w:p>
          <w:p w14:paraId="64C97920" w14:textId="77777777" w:rsidR="0046798B" w:rsidRDefault="00903B5C">
            <w:pPr>
              <w:pStyle w:val="TableParagraph"/>
              <w:ind w:left="114"/>
              <w:rPr>
                <w:sz w:val="20"/>
              </w:rPr>
            </w:pPr>
            <w:r>
              <w:rPr>
                <w:sz w:val="20"/>
              </w:rPr>
              <w:t>2002–2016</w:t>
            </w:r>
          </w:p>
        </w:tc>
        <w:tc>
          <w:tcPr>
            <w:tcW w:w="3421" w:type="dxa"/>
          </w:tcPr>
          <w:p w14:paraId="20389A64" w14:textId="77777777" w:rsidR="0046798B" w:rsidRDefault="0046798B">
            <w:pPr>
              <w:pStyle w:val="TableParagraph"/>
              <w:spacing w:before="8"/>
              <w:rPr>
                <w:sz w:val="23"/>
              </w:rPr>
            </w:pPr>
          </w:p>
          <w:p w14:paraId="3687B908" w14:textId="77777777" w:rsidR="0046798B" w:rsidRDefault="00903B5C">
            <w:pPr>
              <w:pStyle w:val="TableParagraph"/>
              <w:spacing w:before="1"/>
              <w:ind w:left="114" w:right="394"/>
              <w:rPr>
                <w:sz w:val="20"/>
              </w:rPr>
            </w:pPr>
            <w:r>
              <w:rPr>
                <w:sz w:val="20"/>
              </w:rPr>
              <w:t>Index of grassroots PAC regulation, candidate contributions</w:t>
            </w:r>
          </w:p>
          <w:p w14:paraId="0FD2456C" w14:textId="77777777" w:rsidR="0046798B" w:rsidRDefault="00903B5C">
            <w:pPr>
              <w:pStyle w:val="TableParagraph"/>
              <w:ind w:left="114"/>
              <w:rPr>
                <w:sz w:val="20"/>
              </w:rPr>
            </w:pPr>
            <w:r>
              <w:rPr>
                <w:sz w:val="20"/>
              </w:rPr>
              <w:t>tindpac * tpacconc</w:t>
            </w:r>
          </w:p>
        </w:tc>
        <w:tc>
          <w:tcPr>
            <w:tcW w:w="6482" w:type="dxa"/>
          </w:tcPr>
          <w:p w14:paraId="10BDE7BA" w14:textId="77777777" w:rsidR="0046798B" w:rsidRDefault="0046798B">
            <w:pPr>
              <w:pStyle w:val="TableParagraph"/>
              <w:spacing w:before="8"/>
              <w:rPr>
                <w:sz w:val="23"/>
              </w:rPr>
            </w:pPr>
          </w:p>
          <w:p w14:paraId="606F737B" w14:textId="77777777" w:rsidR="0046798B" w:rsidRDefault="00903B5C">
            <w:pPr>
              <w:pStyle w:val="TableParagraph"/>
              <w:spacing w:before="1"/>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6D58D02" w14:textId="77777777">
        <w:trPr>
          <w:trHeight w:val="1005"/>
        </w:trPr>
        <w:tc>
          <w:tcPr>
            <w:tcW w:w="1711" w:type="dxa"/>
          </w:tcPr>
          <w:p w14:paraId="67990DB6" w14:textId="77777777" w:rsidR="0046798B" w:rsidRDefault="0046798B">
            <w:pPr>
              <w:pStyle w:val="TableParagraph"/>
            </w:pPr>
          </w:p>
          <w:p w14:paraId="75AFE53E" w14:textId="77777777" w:rsidR="0046798B" w:rsidRDefault="00903B5C">
            <w:pPr>
              <w:pStyle w:val="TableParagraph"/>
              <w:spacing w:before="135"/>
              <w:ind w:left="115"/>
              <w:rPr>
                <w:b/>
                <w:sz w:val="20"/>
              </w:rPr>
            </w:pPr>
            <w:r>
              <w:rPr>
                <w:b/>
                <w:sz w:val="20"/>
              </w:rPr>
              <w:t>tgprp</w:t>
            </w:r>
          </w:p>
        </w:tc>
        <w:tc>
          <w:tcPr>
            <w:tcW w:w="1596" w:type="dxa"/>
          </w:tcPr>
          <w:p w14:paraId="77FA6B77" w14:textId="77777777" w:rsidR="0046798B" w:rsidRDefault="00903B5C">
            <w:pPr>
              <w:pStyle w:val="TableParagraph"/>
              <w:spacing w:before="43"/>
              <w:ind w:left="114" w:right="130"/>
              <w:rPr>
                <w:sz w:val="20"/>
              </w:rPr>
            </w:pPr>
            <w:r>
              <w:rPr>
                <w:sz w:val="20"/>
              </w:rPr>
              <w:t>Index of grassroots PAC regulation, party contributions</w:t>
            </w:r>
          </w:p>
        </w:tc>
        <w:tc>
          <w:tcPr>
            <w:tcW w:w="1285" w:type="dxa"/>
          </w:tcPr>
          <w:p w14:paraId="5CF99C74" w14:textId="77777777" w:rsidR="0046798B" w:rsidRDefault="0046798B">
            <w:pPr>
              <w:pStyle w:val="TableParagraph"/>
            </w:pPr>
          </w:p>
          <w:p w14:paraId="6EF40174" w14:textId="77777777" w:rsidR="0046798B" w:rsidRDefault="00903B5C">
            <w:pPr>
              <w:pStyle w:val="TableParagraph"/>
              <w:spacing w:before="135"/>
              <w:ind w:left="114"/>
              <w:rPr>
                <w:sz w:val="20"/>
              </w:rPr>
            </w:pPr>
            <w:r>
              <w:rPr>
                <w:sz w:val="20"/>
              </w:rPr>
              <w:t>2002–2016</w:t>
            </w:r>
          </w:p>
        </w:tc>
        <w:tc>
          <w:tcPr>
            <w:tcW w:w="3421" w:type="dxa"/>
          </w:tcPr>
          <w:p w14:paraId="21E8ADE3" w14:textId="77777777" w:rsidR="0046798B" w:rsidRDefault="00903B5C">
            <w:pPr>
              <w:pStyle w:val="TableParagraph"/>
              <w:spacing w:before="158"/>
              <w:ind w:left="114" w:right="394"/>
              <w:rPr>
                <w:sz w:val="20"/>
              </w:rPr>
            </w:pPr>
            <w:r>
              <w:rPr>
                <w:sz w:val="20"/>
              </w:rPr>
              <w:t>Index of grassroots PAC regulation, party contributions</w:t>
            </w:r>
          </w:p>
          <w:p w14:paraId="7663A2EC" w14:textId="77777777" w:rsidR="0046798B" w:rsidRDefault="00903B5C">
            <w:pPr>
              <w:pStyle w:val="TableParagraph"/>
              <w:spacing w:before="1"/>
              <w:ind w:left="114"/>
              <w:rPr>
                <w:sz w:val="20"/>
              </w:rPr>
            </w:pPr>
            <w:r>
              <w:rPr>
                <w:sz w:val="20"/>
              </w:rPr>
              <w:t>tindpac * tpacconp / 20</w:t>
            </w:r>
          </w:p>
        </w:tc>
        <w:tc>
          <w:tcPr>
            <w:tcW w:w="6482" w:type="dxa"/>
          </w:tcPr>
          <w:p w14:paraId="676E202F"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498F48B6" w14:textId="77777777" w:rsidR="0046798B" w:rsidRDefault="0046798B">
      <w:pPr>
        <w:rPr>
          <w:sz w:val="20"/>
        </w:rPr>
        <w:sectPr w:rsidR="0046798B">
          <w:pgSz w:w="15840" w:h="12240" w:orient="landscape"/>
          <w:pgMar w:top="1220" w:right="300" w:bottom="980" w:left="820" w:header="730" w:footer="787" w:gutter="0"/>
          <w:cols w:space="720"/>
        </w:sectPr>
      </w:pPr>
    </w:p>
    <w:p w14:paraId="18E556CB"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5A5694B8" w14:textId="77777777">
        <w:trPr>
          <w:trHeight w:val="1005"/>
        </w:trPr>
        <w:tc>
          <w:tcPr>
            <w:tcW w:w="1711" w:type="dxa"/>
          </w:tcPr>
          <w:p w14:paraId="313F7A12" w14:textId="77777777" w:rsidR="0046798B" w:rsidRDefault="0046798B">
            <w:pPr>
              <w:pStyle w:val="TableParagraph"/>
            </w:pPr>
          </w:p>
          <w:p w14:paraId="6B3AD396" w14:textId="77777777" w:rsidR="0046798B" w:rsidRDefault="00903B5C">
            <w:pPr>
              <w:pStyle w:val="TableParagraph"/>
              <w:spacing w:before="135"/>
              <w:ind w:left="115"/>
              <w:rPr>
                <w:b/>
                <w:sz w:val="20"/>
              </w:rPr>
            </w:pPr>
            <w:r>
              <w:rPr>
                <w:b/>
                <w:sz w:val="20"/>
              </w:rPr>
              <w:t>tindconc</w:t>
            </w:r>
          </w:p>
        </w:tc>
        <w:tc>
          <w:tcPr>
            <w:tcW w:w="1596" w:type="dxa"/>
          </w:tcPr>
          <w:p w14:paraId="4AD41388" w14:textId="77777777" w:rsidR="0046798B" w:rsidRDefault="00903B5C">
            <w:pPr>
              <w:pStyle w:val="TableParagraph"/>
              <w:spacing w:before="43"/>
              <w:ind w:left="114" w:right="135"/>
              <w:rPr>
                <w:sz w:val="20"/>
              </w:rPr>
            </w:pPr>
            <w:r>
              <w:rPr>
                <w:sz w:val="20"/>
              </w:rPr>
              <w:t>Index of individual contributions to candidates</w:t>
            </w:r>
          </w:p>
        </w:tc>
        <w:tc>
          <w:tcPr>
            <w:tcW w:w="1285" w:type="dxa"/>
          </w:tcPr>
          <w:p w14:paraId="44FE33EE" w14:textId="77777777" w:rsidR="0046798B" w:rsidRDefault="0046798B">
            <w:pPr>
              <w:pStyle w:val="TableParagraph"/>
            </w:pPr>
          </w:p>
          <w:p w14:paraId="671AFE09" w14:textId="77777777" w:rsidR="0046798B" w:rsidRDefault="00903B5C">
            <w:pPr>
              <w:pStyle w:val="TableParagraph"/>
              <w:spacing w:before="135"/>
              <w:ind w:left="114"/>
              <w:rPr>
                <w:sz w:val="20"/>
              </w:rPr>
            </w:pPr>
            <w:r>
              <w:rPr>
                <w:sz w:val="20"/>
              </w:rPr>
              <w:t>2002–2016</w:t>
            </w:r>
          </w:p>
        </w:tc>
        <w:tc>
          <w:tcPr>
            <w:tcW w:w="3421" w:type="dxa"/>
          </w:tcPr>
          <w:p w14:paraId="1190918A" w14:textId="77777777" w:rsidR="0046798B" w:rsidRDefault="00903B5C">
            <w:pPr>
              <w:pStyle w:val="TableParagraph"/>
              <w:spacing w:before="43"/>
              <w:ind w:left="114"/>
              <w:rPr>
                <w:sz w:val="20"/>
              </w:rPr>
            </w:pPr>
            <w:r>
              <w:rPr>
                <w:sz w:val="20"/>
              </w:rPr>
              <w:t>Index of individual contributions to candidates</w:t>
            </w:r>
          </w:p>
          <w:p w14:paraId="722C0EAE" w14:textId="77777777" w:rsidR="0046798B" w:rsidRDefault="00903B5C">
            <w:pPr>
              <w:pStyle w:val="TableParagraph"/>
              <w:ind w:left="114"/>
              <w:rPr>
                <w:sz w:val="20"/>
              </w:rPr>
            </w:pPr>
            <w:r>
              <w:rPr>
                <w:sz w:val="20"/>
              </w:rPr>
              <w:t>tindconcraw / tpphd * 2005 price level</w:t>
            </w:r>
          </w:p>
          <w:p w14:paraId="1F3C2837" w14:textId="77777777" w:rsidR="0046798B" w:rsidRDefault="00903B5C">
            <w:pPr>
              <w:pStyle w:val="TableParagraph"/>
              <w:ind w:left="114"/>
              <w:rPr>
                <w:sz w:val="20"/>
              </w:rPr>
            </w:pPr>
            <w:r>
              <w:rPr>
                <w:sz w:val="20"/>
              </w:rPr>
              <w:t>/ current price level (2 = no limit)</w:t>
            </w:r>
          </w:p>
        </w:tc>
        <w:tc>
          <w:tcPr>
            <w:tcW w:w="6482" w:type="dxa"/>
          </w:tcPr>
          <w:p w14:paraId="61DF9B52" w14:textId="77777777" w:rsidR="0046798B" w:rsidRDefault="00903B5C">
            <w:pPr>
              <w:pStyle w:val="TableParagraph"/>
              <w:spacing w:before="158"/>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1E28E7C" w14:textId="77777777">
        <w:trPr>
          <w:trHeight w:val="1235"/>
        </w:trPr>
        <w:tc>
          <w:tcPr>
            <w:tcW w:w="1711" w:type="dxa"/>
          </w:tcPr>
          <w:p w14:paraId="46944151" w14:textId="77777777" w:rsidR="0046798B" w:rsidRDefault="0046798B">
            <w:pPr>
              <w:pStyle w:val="TableParagraph"/>
            </w:pPr>
          </w:p>
          <w:p w14:paraId="409A9E89" w14:textId="77777777" w:rsidR="0046798B" w:rsidRDefault="0046798B">
            <w:pPr>
              <w:pStyle w:val="TableParagraph"/>
              <w:spacing w:before="9"/>
              <w:rPr>
                <w:sz w:val="21"/>
              </w:rPr>
            </w:pPr>
          </w:p>
          <w:p w14:paraId="06C0CD02" w14:textId="77777777" w:rsidR="0046798B" w:rsidRDefault="00903B5C">
            <w:pPr>
              <w:pStyle w:val="TableParagraph"/>
              <w:ind w:left="115"/>
              <w:rPr>
                <w:b/>
                <w:sz w:val="20"/>
              </w:rPr>
            </w:pPr>
            <w:r>
              <w:rPr>
                <w:b/>
                <w:sz w:val="20"/>
              </w:rPr>
              <w:t>tindconp</w:t>
            </w:r>
          </w:p>
        </w:tc>
        <w:tc>
          <w:tcPr>
            <w:tcW w:w="1596" w:type="dxa"/>
          </w:tcPr>
          <w:p w14:paraId="2D857409" w14:textId="77777777" w:rsidR="0046798B" w:rsidRDefault="00903B5C">
            <w:pPr>
              <w:pStyle w:val="TableParagraph"/>
              <w:spacing w:before="158"/>
              <w:ind w:left="114" w:right="135"/>
              <w:rPr>
                <w:sz w:val="20"/>
              </w:rPr>
            </w:pPr>
            <w:r>
              <w:rPr>
                <w:sz w:val="20"/>
              </w:rPr>
              <w:t>Index of individual contributions to parties</w:t>
            </w:r>
          </w:p>
        </w:tc>
        <w:tc>
          <w:tcPr>
            <w:tcW w:w="1285" w:type="dxa"/>
          </w:tcPr>
          <w:p w14:paraId="73C13A7C" w14:textId="77777777" w:rsidR="0046798B" w:rsidRDefault="0046798B">
            <w:pPr>
              <w:pStyle w:val="TableParagraph"/>
            </w:pPr>
          </w:p>
          <w:p w14:paraId="56ED903F" w14:textId="77777777" w:rsidR="0046798B" w:rsidRDefault="0046798B">
            <w:pPr>
              <w:pStyle w:val="TableParagraph"/>
              <w:spacing w:before="9"/>
              <w:rPr>
                <w:sz w:val="21"/>
              </w:rPr>
            </w:pPr>
          </w:p>
          <w:p w14:paraId="72C39B9F" w14:textId="77777777" w:rsidR="0046798B" w:rsidRDefault="00903B5C">
            <w:pPr>
              <w:pStyle w:val="TableParagraph"/>
              <w:ind w:left="114"/>
              <w:rPr>
                <w:sz w:val="20"/>
              </w:rPr>
            </w:pPr>
            <w:r>
              <w:rPr>
                <w:sz w:val="20"/>
              </w:rPr>
              <w:t>2002–2016</w:t>
            </w:r>
          </w:p>
        </w:tc>
        <w:tc>
          <w:tcPr>
            <w:tcW w:w="3421" w:type="dxa"/>
          </w:tcPr>
          <w:p w14:paraId="553621B0" w14:textId="77777777" w:rsidR="0046798B" w:rsidRDefault="00903B5C">
            <w:pPr>
              <w:pStyle w:val="TableParagraph"/>
              <w:spacing w:before="43"/>
              <w:ind w:left="114"/>
              <w:rPr>
                <w:sz w:val="20"/>
              </w:rPr>
            </w:pPr>
            <w:r>
              <w:rPr>
                <w:sz w:val="20"/>
              </w:rPr>
              <w:t>Index of individual contributions to parties</w:t>
            </w:r>
          </w:p>
          <w:p w14:paraId="18B751C1" w14:textId="77777777" w:rsidR="0046798B" w:rsidRDefault="00903B5C">
            <w:pPr>
              <w:pStyle w:val="TableParagraph"/>
              <w:spacing w:before="1"/>
              <w:ind w:left="114" w:right="114"/>
              <w:rPr>
                <w:sz w:val="20"/>
              </w:rPr>
            </w:pPr>
            <w:r>
              <w:rPr>
                <w:sz w:val="20"/>
              </w:rPr>
              <w:t xml:space="preserve">tindconpraw / apop * 1000 * 2005 price level / current price level (40 = </w:t>
            </w:r>
            <w:r>
              <w:rPr>
                <w:spacing w:val="-7"/>
                <w:sz w:val="20"/>
              </w:rPr>
              <w:t xml:space="preserve">no </w:t>
            </w:r>
            <w:r>
              <w:rPr>
                <w:sz w:val="20"/>
              </w:rPr>
              <w:t>limit)</w:t>
            </w:r>
          </w:p>
        </w:tc>
        <w:tc>
          <w:tcPr>
            <w:tcW w:w="6482" w:type="dxa"/>
          </w:tcPr>
          <w:p w14:paraId="4BC81368" w14:textId="77777777" w:rsidR="0046798B" w:rsidRDefault="0046798B">
            <w:pPr>
              <w:pStyle w:val="TableParagraph"/>
              <w:spacing w:before="8"/>
              <w:rPr>
                <w:sz w:val="23"/>
              </w:rPr>
            </w:pPr>
          </w:p>
          <w:p w14:paraId="559D62C2"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D555FB7" w14:textId="77777777">
        <w:trPr>
          <w:trHeight w:val="1240"/>
        </w:trPr>
        <w:tc>
          <w:tcPr>
            <w:tcW w:w="1711" w:type="dxa"/>
          </w:tcPr>
          <w:p w14:paraId="3B80F500" w14:textId="77777777" w:rsidR="0046798B" w:rsidRDefault="0046798B">
            <w:pPr>
              <w:pStyle w:val="TableParagraph"/>
            </w:pPr>
          </w:p>
          <w:p w14:paraId="5D43E58D" w14:textId="77777777" w:rsidR="0046798B" w:rsidRDefault="0046798B">
            <w:pPr>
              <w:pStyle w:val="TableParagraph"/>
              <w:spacing w:before="9"/>
              <w:rPr>
                <w:sz w:val="21"/>
              </w:rPr>
            </w:pPr>
          </w:p>
          <w:p w14:paraId="10CA4949" w14:textId="77777777" w:rsidR="0046798B" w:rsidRDefault="00903B5C">
            <w:pPr>
              <w:pStyle w:val="TableParagraph"/>
              <w:ind w:left="115"/>
              <w:rPr>
                <w:b/>
                <w:sz w:val="20"/>
              </w:rPr>
            </w:pPr>
            <w:r>
              <w:rPr>
                <w:b/>
                <w:sz w:val="20"/>
              </w:rPr>
              <w:t>tindpac</w:t>
            </w:r>
          </w:p>
        </w:tc>
        <w:tc>
          <w:tcPr>
            <w:tcW w:w="1596" w:type="dxa"/>
          </w:tcPr>
          <w:p w14:paraId="3B6A410C" w14:textId="77777777" w:rsidR="0046798B" w:rsidRDefault="00903B5C">
            <w:pPr>
              <w:pStyle w:val="TableParagraph"/>
              <w:spacing w:before="158"/>
              <w:ind w:left="114" w:right="135"/>
              <w:rPr>
                <w:sz w:val="20"/>
              </w:rPr>
            </w:pPr>
            <w:r>
              <w:rPr>
                <w:sz w:val="20"/>
              </w:rPr>
              <w:t>Index of individual contributions to PACs</w:t>
            </w:r>
          </w:p>
        </w:tc>
        <w:tc>
          <w:tcPr>
            <w:tcW w:w="1285" w:type="dxa"/>
          </w:tcPr>
          <w:p w14:paraId="764E46CB" w14:textId="77777777" w:rsidR="0046798B" w:rsidRDefault="0046798B">
            <w:pPr>
              <w:pStyle w:val="TableParagraph"/>
            </w:pPr>
          </w:p>
          <w:p w14:paraId="33FEC6FE" w14:textId="77777777" w:rsidR="0046798B" w:rsidRDefault="0046798B">
            <w:pPr>
              <w:pStyle w:val="TableParagraph"/>
              <w:spacing w:before="9"/>
              <w:rPr>
                <w:sz w:val="21"/>
              </w:rPr>
            </w:pPr>
          </w:p>
          <w:p w14:paraId="5024D1D1" w14:textId="77777777" w:rsidR="0046798B" w:rsidRDefault="00903B5C">
            <w:pPr>
              <w:pStyle w:val="TableParagraph"/>
              <w:ind w:left="114"/>
              <w:rPr>
                <w:sz w:val="20"/>
              </w:rPr>
            </w:pPr>
            <w:r>
              <w:rPr>
                <w:sz w:val="20"/>
              </w:rPr>
              <w:t>2002–2016</w:t>
            </w:r>
          </w:p>
        </w:tc>
        <w:tc>
          <w:tcPr>
            <w:tcW w:w="3421" w:type="dxa"/>
          </w:tcPr>
          <w:p w14:paraId="2F922D12" w14:textId="77777777" w:rsidR="0046798B" w:rsidRDefault="00903B5C">
            <w:pPr>
              <w:pStyle w:val="TableParagraph"/>
              <w:spacing w:before="43"/>
              <w:ind w:left="114" w:right="452"/>
              <w:rPr>
                <w:sz w:val="20"/>
              </w:rPr>
            </w:pPr>
            <w:r>
              <w:rPr>
                <w:sz w:val="20"/>
              </w:rPr>
              <w:t xml:space="preserve">Index of individual contributions </w:t>
            </w:r>
            <w:r>
              <w:rPr>
                <w:spacing w:val="-10"/>
                <w:sz w:val="20"/>
              </w:rPr>
              <w:t xml:space="preserve">to </w:t>
            </w:r>
            <w:r>
              <w:rPr>
                <w:sz w:val="20"/>
              </w:rPr>
              <w:t>PACs</w:t>
            </w:r>
          </w:p>
          <w:p w14:paraId="15D7E5D5" w14:textId="77777777" w:rsidR="0046798B" w:rsidRDefault="00903B5C">
            <w:pPr>
              <w:pStyle w:val="TableParagraph"/>
              <w:ind w:left="114" w:right="205"/>
              <w:rPr>
                <w:sz w:val="20"/>
              </w:rPr>
            </w:pPr>
            <w:r>
              <w:rPr>
                <w:sz w:val="20"/>
              </w:rPr>
              <w:t xml:space="preserve">tindpacraw / apop * 1000 * 2005 </w:t>
            </w:r>
            <w:r>
              <w:rPr>
                <w:spacing w:val="-4"/>
                <w:sz w:val="20"/>
              </w:rPr>
              <w:t xml:space="preserve">price </w:t>
            </w:r>
            <w:r>
              <w:rPr>
                <w:sz w:val="20"/>
              </w:rPr>
              <w:t>level / current price level (40 = no limit)</w:t>
            </w:r>
          </w:p>
        </w:tc>
        <w:tc>
          <w:tcPr>
            <w:tcW w:w="6482" w:type="dxa"/>
          </w:tcPr>
          <w:p w14:paraId="1698CB23" w14:textId="77777777" w:rsidR="0046798B" w:rsidRDefault="0046798B">
            <w:pPr>
              <w:pStyle w:val="TableParagraph"/>
              <w:spacing w:before="8"/>
              <w:rPr>
                <w:sz w:val="23"/>
              </w:rPr>
            </w:pPr>
          </w:p>
          <w:p w14:paraId="7EB5BE60" w14:textId="77777777" w:rsidR="0046798B" w:rsidRDefault="00903B5C">
            <w:pPr>
              <w:pStyle w:val="TableParagraph"/>
              <w:spacing w:before="1"/>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58C81DF" w14:textId="77777777">
        <w:trPr>
          <w:trHeight w:val="1925"/>
        </w:trPr>
        <w:tc>
          <w:tcPr>
            <w:tcW w:w="1711" w:type="dxa"/>
          </w:tcPr>
          <w:p w14:paraId="6F45A640" w14:textId="77777777" w:rsidR="0046798B" w:rsidRDefault="0046798B">
            <w:pPr>
              <w:pStyle w:val="TableParagraph"/>
            </w:pPr>
          </w:p>
          <w:p w14:paraId="5E07DCFC" w14:textId="77777777" w:rsidR="0046798B" w:rsidRDefault="0046798B">
            <w:pPr>
              <w:pStyle w:val="TableParagraph"/>
            </w:pPr>
          </w:p>
          <w:p w14:paraId="6EB59393" w14:textId="77777777" w:rsidR="0046798B" w:rsidRDefault="0046798B">
            <w:pPr>
              <w:pStyle w:val="TableParagraph"/>
              <w:spacing w:before="4"/>
              <w:rPr>
                <w:sz w:val="29"/>
              </w:rPr>
            </w:pPr>
          </w:p>
          <w:p w14:paraId="46EB5B0C" w14:textId="77777777" w:rsidR="0046798B" w:rsidRDefault="00903B5C">
            <w:pPr>
              <w:pStyle w:val="TableParagraph"/>
              <w:ind w:left="115"/>
              <w:rPr>
                <w:b/>
                <w:sz w:val="20"/>
              </w:rPr>
            </w:pPr>
            <w:r>
              <w:rPr>
                <w:b/>
                <w:sz w:val="20"/>
              </w:rPr>
              <w:t>tpacconc</w:t>
            </w:r>
          </w:p>
        </w:tc>
        <w:tc>
          <w:tcPr>
            <w:tcW w:w="1596" w:type="dxa"/>
          </w:tcPr>
          <w:p w14:paraId="4E10C3E2" w14:textId="77777777" w:rsidR="0046798B" w:rsidRDefault="0046798B">
            <w:pPr>
              <w:pStyle w:val="TableParagraph"/>
              <w:spacing w:before="3"/>
              <w:rPr>
                <w:sz w:val="23"/>
              </w:rPr>
            </w:pPr>
          </w:p>
          <w:p w14:paraId="74379DD9" w14:textId="77777777" w:rsidR="0046798B" w:rsidRDefault="00903B5C">
            <w:pPr>
              <w:pStyle w:val="TableParagraph"/>
              <w:spacing w:before="1"/>
              <w:ind w:left="114" w:right="91"/>
              <w:rPr>
                <w:sz w:val="20"/>
              </w:rPr>
            </w:pPr>
            <w:r>
              <w:rPr>
                <w:sz w:val="20"/>
              </w:rPr>
              <w:t>Index of maximum available limits on PAC contributions to house candidates</w:t>
            </w:r>
          </w:p>
        </w:tc>
        <w:tc>
          <w:tcPr>
            <w:tcW w:w="1285" w:type="dxa"/>
          </w:tcPr>
          <w:p w14:paraId="14AF8B7D" w14:textId="77777777" w:rsidR="0046798B" w:rsidRDefault="0046798B">
            <w:pPr>
              <w:pStyle w:val="TableParagraph"/>
            </w:pPr>
          </w:p>
          <w:p w14:paraId="2D87056A" w14:textId="77777777" w:rsidR="0046798B" w:rsidRDefault="0046798B">
            <w:pPr>
              <w:pStyle w:val="TableParagraph"/>
            </w:pPr>
          </w:p>
          <w:p w14:paraId="2FE78688" w14:textId="77777777" w:rsidR="0046798B" w:rsidRDefault="0046798B">
            <w:pPr>
              <w:pStyle w:val="TableParagraph"/>
              <w:spacing w:before="4"/>
              <w:rPr>
                <w:sz w:val="29"/>
              </w:rPr>
            </w:pPr>
          </w:p>
          <w:p w14:paraId="6020CCC5" w14:textId="77777777" w:rsidR="0046798B" w:rsidRDefault="00903B5C">
            <w:pPr>
              <w:pStyle w:val="TableParagraph"/>
              <w:ind w:left="114"/>
              <w:rPr>
                <w:sz w:val="20"/>
              </w:rPr>
            </w:pPr>
            <w:r>
              <w:rPr>
                <w:sz w:val="20"/>
              </w:rPr>
              <w:t>2002–2016</w:t>
            </w:r>
          </w:p>
        </w:tc>
        <w:tc>
          <w:tcPr>
            <w:tcW w:w="3421" w:type="dxa"/>
          </w:tcPr>
          <w:p w14:paraId="655C98B3" w14:textId="77777777" w:rsidR="0046798B" w:rsidRDefault="00903B5C">
            <w:pPr>
              <w:pStyle w:val="TableParagraph"/>
              <w:spacing w:before="38"/>
              <w:ind w:left="114" w:right="200"/>
              <w:rPr>
                <w:sz w:val="20"/>
              </w:rPr>
            </w:pPr>
            <w:r>
              <w:rPr>
                <w:sz w:val="20"/>
              </w:rPr>
              <w:t>Maximum available limits on PAC (including Super PACS) contributions to house candidates, per election cycle (ignoring expenditure limits) (0 = prohibited, “none” = unlimited)</w:t>
            </w:r>
          </w:p>
          <w:p w14:paraId="2C5B03E3" w14:textId="77777777" w:rsidR="0046798B" w:rsidRDefault="0046798B">
            <w:pPr>
              <w:pStyle w:val="TableParagraph"/>
              <w:rPr>
                <w:sz w:val="20"/>
              </w:rPr>
            </w:pPr>
          </w:p>
          <w:p w14:paraId="3AB0F4C8" w14:textId="77777777" w:rsidR="0046798B" w:rsidRDefault="00903B5C">
            <w:pPr>
              <w:pStyle w:val="TableParagraph"/>
              <w:ind w:left="114"/>
              <w:rPr>
                <w:sz w:val="20"/>
              </w:rPr>
            </w:pPr>
            <w:r>
              <w:rPr>
                <w:sz w:val="20"/>
              </w:rPr>
              <w:t>tpacconcraw / tpphd * 2005 price level</w:t>
            </w:r>
          </w:p>
          <w:p w14:paraId="31AB63EA" w14:textId="77777777" w:rsidR="0046798B" w:rsidRDefault="00903B5C">
            <w:pPr>
              <w:pStyle w:val="TableParagraph"/>
              <w:spacing w:before="1"/>
              <w:ind w:left="114"/>
              <w:rPr>
                <w:sz w:val="20"/>
              </w:rPr>
            </w:pPr>
            <w:r>
              <w:rPr>
                <w:sz w:val="20"/>
              </w:rPr>
              <w:t>/ current price level (2 = no limit)</w:t>
            </w:r>
          </w:p>
        </w:tc>
        <w:tc>
          <w:tcPr>
            <w:tcW w:w="6482" w:type="dxa"/>
          </w:tcPr>
          <w:p w14:paraId="1724D7E2" w14:textId="77777777" w:rsidR="0046798B" w:rsidRDefault="0046798B">
            <w:pPr>
              <w:pStyle w:val="TableParagraph"/>
            </w:pPr>
          </w:p>
          <w:p w14:paraId="7B7AC4B3" w14:textId="77777777" w:rsidR="0046798B" w:rsidRDefault="0046798B">
            <w:pPr>
              <w:pStyle w:val="TableParagraph"/>
              <w:spacing w:before="4"/>
              <w:rPr>
                <w:sz w:val="31"/>
              </w:rPr>
            </w:pPr>
          </w:p>
          <w:p w14:paraId="2FD911CC"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01ACA77" w14:textId="77777777">
        <w:trPr>
          <w:trHeight w:val="1925"/>
        </w:trPr>
        <w:tc>
          <w:tcPr>
            <w:tcW w:w="1711" w:type="dxa"/>
          </w:tcPr>
          <w:p w14:paraId="6A5F1BC7" w14:textId="77777777" w:rsidR="0046798B" w:rsidRDefault="0046798B">
            <w:pPr>
              <w:pStyle w:val="TableParagraph"/>
            </w:pPr>
          </w:p>
          <w:p w14:paraId="5DB9A457" w14:textId="77777777" w:rsidR="0046798B" w:rsidRDefault="0046798B">
            <w:pPr>
              <w:pStyle w:val="TableParagraph"/>
            </w:pPr>
          </w:p>
          <w:p w14:paraId="35E291E5" w14:textId="77777777" w:rsidR="0046798B" w:rsidRDefault="0046798B">
            <w:pPr>
              <w:pStyle w:val="TableParagraph"/>
              <w:spacing w:before="3"/>
              <w:rPr>
                <w:sz w:val="29"/>
              </w:rPr>
            </w:pPr>
          </w:p>
          <w:p w14:paraId="5003D46F" w14:textId="77777777" w:rsidR="0046798B" w:rsidRDefault="00903B5C">
            <w:pPr>
              <w:pStyle w:val="TableParagraph"/>
              <w:spacing w:before="1"/>
              <w:ind w:left="115"/>
              <w:rPr>
                <w:b/>
                <w:sz w:val="20"/>
              </w:rPr>
            </w:pPr>
            <w:r>
              <w:rPr>
                <w:b/>
                <w:sz w:val="20"/>
              </w:rPr>
              <w:t>tpacconp</w:t>
            </w:r>
          </w:p>
        </w:tc>
        <w:tc>
          <w:tcPr>
            <w:tcW w:w="1596" w:type="dxa"/>
          </w:tcPr>
          <w:p w14:paraId="3DF982C9" w14:textId="77777777" w:rsidR="0046798B" w:rsidRDefault="0046798B">
            <w:pPr>
              <w:pStyle w:val="TableParagraph"/>
              <w:spacing w:before="3"/>
              <w:rPr>
                <w:sz w:val="23"/>
              </w:rPr>
            </w:pPr>
          </w:p>
          <w:p w14:paraId="281B3868" w14:textId="77777777" w:rsidR="0046798B" w:rsidRDefault="00903B5C">
            <w:pPr>
              <w:pStyle w:val="TableParagraph"/>
              <w:spacing w:before="1"/>
              <w:ind w:left="114" w:right="135"/>
              <w:rPr>
                <w:sz w:val="20"/>
              </w:rPr>
            </w:pPr>
            <w:r>
              <w:rPr>
                <w:sz w:val="20"/>
              </w:rPr>
              <w:t>Index of maximum available limits on PAC contributions to political parties</w:t>
            </w:r>
          </w:p>
        </w:tc>
        <w:tc>
          <w:tcPr>
            <w:tcW w:w="1285" w:type="dxa"/>
          </w:tcPr>
          <w:p w14:paraId="374FAA06" w14:textId="77777777" w:rsidR="0046798B" w:rsidRDefault="0046798B">
            <w:pPr>
              <w:pStyle w:val="TableParagraph"/>
            </w:pPr>
          </w:p>
          <w:p w14:paraId="063A8385" w14:textId="77777777" w:rsidR="0046798B" w:rsidRDefault="0046798B">
            <w:pPr>
              <w:pStyle w:val="TableParagraph"/>
            </w:pPr>
          </w:p>
          <w:p w14:paraId="0DD448E8" w14:textId="77777777" w:rsidR="0046798B" w:rsidRDefault="0046798B">
            <w:pPr>
              <w:pStyle w:val="TableParagraph"/>
              <w:spacing w:before="3"/>
              <w:rPr>
                <w:sz w:val="29"/>
              </w:rPr>
            </w:pPr>
          </w:p>
          <w:p w14:paraId="23FD999D" w14:textId="77777777" w:rsidR="0046798B" w:rsidRDefault="00903B5C">
            <w:pPr>
              <w:pStyle w:val="TableParagraph"/>
              <w:spacing w:before="1"/>
              <w:ind w:left="114"/>
              <w:rPr>
                <w:sz w:val="20"/>
              </w:rPr>
            </w:pPr>
            <w:r>
              <w:rPr>
                <w:sz w:val="20"/>
              </w:rPr>
              <w:t>2002–2016</w:t>
            </w:r>
          </w:p>
        </w:tc>
        <w:tc>
          <w:tcPr>
            <w:tcW w:w="3421" w:type="dxa"/>
          </w:tcPr>
          <w:p w14:paraId="52FAF1C1" w14:textId="77777777" w:rsidR="0046798B" w:rsidRDefault="00903B5C">
            <w:pPr>
              <w:pStyle w:val="TableParagraph"/>
              <w:spacing w:before="38"/>
              <w:ind w:left="114" w:right="91"/>
              <w:rPr>
                <w:sz w:val="20"/>
              </w:rPr>
            </w:pPr>
            <w:r>
              <w:rPr>
                <w:sz w:val="20"/>
              </w:rPr>
              <w:t>Maximum available limits on PAC contributions to political parties, per election cycle (0 = prohibited, “none” = unlimited)</w:t>
            </w:r>
          </w:p>
          <w:p w14:paraId="00194B2A" w14:textId="77777777" w:rsidR="0046798B" w:rsidRDefault="0046798B">
            <w:pPr>
              <w:pStyle w:val="TableParagraph"/>
              <w:rPr>
                <w:sz w:val="20"/>
              </w:rPr>
            </w:pPr>
          </w:p>
          <w:p w14:paraId="656539C3" w14:textId="77777777" w:rsidR="0046798B" w:rsidRDefault="00903B5C">
            <w:pPr>
              <w:pStyle w:val="TableParagraph"/>
              <w:spacing w:before="1"/>
              <w:ind w:left="114" w:right="114"/>
              <w:rPr>
                <w:sz w:val="20"/>
              </w:rPr>
            </w:pPr>
            <w:r>
              <w:rPr>
                <w:sz w:val="20"/>
              </w:rPr>
              <w:t xml:space="preserve">tpacconpraw / apop * 1000 * 2005 price level / current price level (40 = </w:t>
            </w:r>
            <w:r>
              <w:rPr>
                <w:spacing w:val="-7"/>
                <w:sz w:val="20"/>
              </w:rPr>
              <w:t xml:space="preserve">no </w:t>
            </w:r>
            <w:r>
              <w:rPr>
                <w:sz w:val="20"/>
              </w:rPr>
              <w:t>limit)</w:t>
            </w:r>
          </w:p>
        </w:tc>
        <w:tc>
          <w:tcPr>
            <w:tcW w:w="6482" w:type="dxa"/>
          </w:tcPr>
          <w:p w14:paraId="7765CDD2" w14:textId="77777777" w:rsidR="0046798B" w:rsidRDefault="0046798B">
            <w:pPr>
              <w:pStyle w:val="TableParagraph"/>
            </w:pPr>
          </w:p>
          <w:p w14:paraId="1795F2EB" w14:textId="77777777" w:rsidR="0046798B" w:rsidRDefault="0046798B">
            <w:pPr>
              <w:pStyle w:val="TableParagraph"/>
              <w:spacing w:before="3"/>
              <w:rPr>
                <w:sz w:val="31"/>
              </w:rPr>
            </w:pPr>
          </w:p>
          <w:p w14:paraId="6E94DE23" w14:textId="77777777" w:rsidR="0046798B" w:rsidRDefault="00903B5C">
            <w:pPr>
              <w:pStyle w:val="TableParagraph"/>
              <w:spacing w:before="1"/>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1E70A1A" w14:textId="77777777">
        <w:trPr>
          <w:trHeight w:val="1465"/>
        </w:trPr>
        <w:tc>
          <w:tcPr>
            <w:tcW w:w="1711" w:type="dxa"/>
          </w:tcPr>
          <w:p w14:paraId="7ED62AD7" w14:textId="77777777" w:rsidR="0046798B" w:rsidRDefault="0046798B">
            <w:pPr>
              <w:pStyle w:val="TableParagraph"/>
            </w:pPr>
          </w:p>
          <w:p w14:paraId="793684B8" w14:textId="77777777" w:rsidR="0046798B" w:rsidRDefault="0046798B">
            <w:pPr>
              <w:pStyle w:val="TableParagraph"/>
              <w:spacing w:before="4"/>
              <w:rPr>
                <w:sz w:val="31"/>
              </w:rPr>
            </w:pPr>
          </w:p>
          <w:p w14:paraId="3B8E888C" w14:textId="77777777" w:rsidR="0046798B" w:rsidRDefault="00903B5C">
            <w:pPr>
              <w:pStyle w:val="TableParagraph"/>
              <w:ind w:left="115"/>
              <w:rPr>
                <w:b/>
                <w:sz w:val="20"/>
              </w:rPr>
            </w:pPr>
            <w:r>
              <w:rPr>
                <w:b/>
                <w:sz w:val="20"/>
              </w:rPr>
              <w:t>tcorconc</w:t>
            </w:r>
          </w:p>
        </w:tc>
        <w:tc>
          <w:tcPr>
            <w:tcW w:w="1596" w:type="dxa"/>
          </w:tcPr>
          <w:p w14:paraId="66192685" w14:textId="77777777" w:rsidR="0046798B" w:rsidRDefault="0046798B">
            <w:pPr>
              <w:pStyle w:val="TableParagraph"/>
              <w:spacing w:before="4"/>
              <w:rPr>
                <w:sz w:val="23"/>
              </w:rPr>
            </w:pPr>
          </w:p>
          <w:p w14:paraId="6DE796FA" w14:textId="77777777" w:rsidR="0046798B" w:rsidRDefault="00903B5C">
            <w:pPr>
              <w:pStyle w:val="TableParagraph"/>
              <w:ind w:left="114" w:right="94"/>
              <w:rPr>
                <w:sz w:val="20"/>
              </w:rPr>
            </w:pPr>
            <w:r>
              <w:rPr>
                <w:sz w:val="20"/>
              </w:rPr>
              <w:t>Index of limits on corporate contributions to house candidates</w:t>
            </w:r>
          </w:p>
        </w:tc>
        <w:tc>
          <w:tcPr>
            <w:tcW w:w="1285" w:type="dxa"/>
          </w:tcPr>
          <w:p w14:paraId="6897ECC7" w14:textId="77777777" w:rsidR="0046798B" w:rsidRDefault="0046798B">
            <w:pPr>
              <w:pStyle w:val="TableParagraph"/>
            </w:pPr>
          </w:p>
          <w:p w14:paraId="27638727" w14:textId="77777777" w:rsidR="0046798B" w:rsidRDefault="0046798B">
            <w:pPr>
              <w:pStyle w:val="TableParagraph"/>
              <w:spacing w:before="4"/>
              <w:rPr>
                <w:sz w:val="31"/>
              </w:rPr>
            </w:pPr>
          </w:p>
          <w:p w14:paraId="3044BC7C" w14:textId="77777777" w:rsidR="0046798B" w:rsidRDefault="00903B5C">
            <w:pPr>
              <w:pStyle w:val="TableParagraph"/>
              <w:ind w:left="114"/>
              <w:rPr>
                <w:sz w:val="20"/>
              </w:rPr>
            </w:pPr>
            <w:r>
              <w:rPr>
                <w:sz w:val="20"/>
              </w:rPr>
              <w:t>2002–2016</w:t>
            </w:r>
          </w:p>
        </w:tc>
        <w:tc>
          <w:tcPr>
            <w:tcW w:w="3421" w:type="dxa"/>
          </w:tcPr>
          <w:p w14:paraId="57FFA84D" w14:textId="77777777" w:rsidR="0046798B" w:rsidRDefault="00903B5C">
            <w:pPr>
              <w:pStyle w:val="TableParagraph"/>
              <w:spacing w:before="38"/>
              <w:ind w:left="114" w:right="189"/>
              <w:rPr>
                <w:sz w:val="20"/>
              </w:rPr>
            </w:pPr>
            <w:r>
              <w:rPr>
                <w:sz w:val="20"/>
              </w:rPr>
              <w:t>Limits on corporate contributions to house candidates, per election cycle (0</w:t>
            </w:r>
          </w:p>
          <w:p w14:paraId="05E88837" w14:textId="77777777" w:rsidR="0046798B" w:rsidRDefault="00903B5C">
            <w:pPr>
              <w:pStyle w:val="TableParagraph"/>
              <w:ind w:left="114"/>
              <w:rPr>
                <w:sz w:val="20"/>
              </w:rPr>
            </w:pPr>
            <w:r>
              <w:rPr>
                <w:sz w:val="20"/>
              </w:rPr>
              <w:t>= prohibited, “none” = unlimited)</w:t>
            </w:r>
          </w:p>
          <w:p w14:paraId="44BE4B38" w14:textId="77777777" w:rsidR="0046798B" w:rsidRDefault="0046798B">
            <w:pPr>
              <w:pStyle w:val="TableParagraph"/>
              <w:rPr>
                <w:sz w:val="20"/>
              </w:rPr>
            </w:pPr>
          </w:p>
          <w:p w14:paraId="535887BF" w14:textId="77777777" w:rsidR="0046798B" w:rsidRDefault="00903B5C">
            <w:pPr>
              <w:pStyle w:val="TableParagraph"/>
              <w:ind w:left="114"/>
              <w:rPr>
                <w:sz w:val="20"/>
              </w:rPr>
            </w:pPr>
            <w:r>
              <w:rPr>
                <w:sz w:val="20"/>
              </w:rPr>
              <w:t>tcorconcraw / tpphd * 2005 price level</w:t>
            </w:r>
          </w:p>
          <w:p w14:paraId="065C9384" w14:textId="77777777" w:rsidR="0046798B" w:rsidRDefault="00903B5C">
            <w:pPr>
              <w:pStyle w:val="TableParagraph"/>
              <w:ind w:left="114"/>
              <w:rPr>
                <w:sz w:val="20"/>
              </w:rPr>
            </w:pPr>
            <w:r>
              <w:rPr>
                <w:sz w:val="20"/>
              </w:rPr>
              <w:t>/ current price level (2 = no limit)</w:t>
            </w:r>
          </w:p>
        </w:tc>
        <w:tc>
          <w:tcPr>
            <w:tcW w:w="6482" w:type="dxa"/>
          </w:tcPr>
          <w:p w14:paraId="2893DC5D" w14:textId="77777777" w:rsidR="0046798B" w:rsidRDefault="0046798B">
            <w:pPr>
              <w:pStyle w:val="TableParagraph"/>
            </w:pPr>
          </w:p>
          <w:p w14:paraId="4B79921C" w14:textId="77777777" w:rsidR="0046798B" w:rsidRDefault="00903B5C">
            <w:pPr>
              <w:pStyle w:val="TableParagraph"/>
              <w:spacing w:before="130"/>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677B3753" w14:textId="77777777" w:rsidR="0046798B" w:rsidRDefault="0046798B">
      <w:pPr>
        <w:rPr>
          <w:sz w:val="20"/>
        </w:rPr>
        <w:sectPr w:rsidR="0046798B">
          <w:pgSz w:w="15840" w:h="12240" w:orient="landscape"/>
          <w:pgMar w:top="1220" w:right="300" w:bottom="980" w:left="820" w:header="730" w:footer="787" w:gutter="0"/>
          <w:cols w:space="720"/>
        </w:sectPr>
      </w:pPr>
    </w:p>
    <w:p w14:paraId="7D06479C"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37910A16" w14:textId="77777777">
        <w:trPr>
          <w:trHeight w:val="1696"/>
        </w:trPr>
        <w:tc>
          <w:tcPr>
            <w:tcW w:w="1711" w:type="dxa"/>
          </w:tcPr>
          <w:p w14:paraId="74F6316A" w14:textId="77777777" w:rsidR="0046798B" w:rsidRDefault="0046798B">
            <w:pPr>
              <w:pStyle w:val="TableParagraph"/>
            </w:pPr>
          </w:p>
          <w:p w14:paraId="23D2B88E" w14:textId="77777777" w:rsidR="0046798B" w:rsidRDefault="0046798B">
            <w:pPr>
              <w:pStyle w:val="TableParagraph"/>
            </w:pPr>
          </w:p>
          <w:p w14:paraId="65FEDB9A" w14:textId="77777777" w:rsidR="0046798B" w:rsidRDefault="0046798B">
            <w:pPr>
              <w:pStyle w:val="TableParagraph"/>
              <w:spacing w:before="9"/>
              <w:rPr>
                <w:sz w:val="19"/>
              </w:rPr>
            </w:pPr>
          </w:p>
          <w:p w14:paraId="7D3B8FBD" w14:textId="77777777" w:rsidR="0046798B" w:rsidRDefault="00903B5C">
            <w:pPr>
              <w:pStyle w:val="TableParagraph"/>
              <w:ind w:left="115"/>
              <w:rPr>
                <w:b/>
                <w:sz w:val="20"/>
              </w:rPr>
            </w:pPr>
            <w:r>
              <w:rPr>
                <w:b/>
                <w:sz w:val="20"/>
              </w:rPr>
              <w:t>tcorconp</w:t>
            </w:r>
          </w:p>
        </w:tc>
        <w:tc>
          <w:tcPr>
            <w:tcW w:w="1596" w:type="dxa"/>
          </w:tcPr>
          <w:p w14:paraId="71063BF8" w14:textId="77777777" w:rsidR="0046798B" w:rsidRDefault="0046798B">
            <w:pPr>
              <w:pStyle w:val="TableParagraph"/>
            </w:pPr>
          </w:p>
          <w:p w14:paraId="1737921B" w14:textId="77777777" w:rsidR="0046798B" w:rsidRDefault="00903B5C">
            <w:pPr>
              <w:pStyle w:val="TableParagraph"/>
              <w:spacing w:before="135"/>
              <w:ind w:left="114" w:right="135"/>
              <w:rPr>
                <w:sz w:val="20"/>
              </w:rPr>
            </w:pPr>
            <w:r>
              <w:rPr>
                <w:sz w:val="20"/>
              </w:rPr>
              <w:t>Index of limits on corporate contributions to political parties</w:t>
            </w:r>
          </w:p>
        </w:tc>
        <w:tc>
          <w:tcPr>
            <w:tcW w:w="1285" w:type="dxa"/>
          </w:tcPr>
          <w:p w14:paraId="49ECD6C5" w14:textId="77777777" w:rsidR="0046798B" w:rsidRDefault="0046798B">
            <w:pPr>
              <w:pStyle w:val="TableParagraph"/>
            </w:pPr>
          </w:p>
          <w:p w14:paraId="1DF82FEA" w14:textId="77777777" w:rsidR="0046798B" w:rsidRDefault="0046798B">
            <w:pPr>
              <w:pStyle w:val="TableParagraph"/>
            </w:pPr>
          </w:p>
          <w:p w14:paraId="5552F082" w14:textId="77777777" w:rsidR="0046798B" w:rsidRDefault="0046798B">
            <w:pPr>
              <w:pStyle w:val="TableParagraph"/>
              <w:spacing w:before="9"/>
              <w:rPr>
                <w:sz w:val="19"/>
              </w:rPr>
            </w:pPr>
          </w:p>
          <w:p w14:paraId="69E19686" w14:textId="77777777" w:rsidR="0046798B" w:rsidRDefault="00903B5C">
            <w:pPr>
              <w:pStyle w:val="TableParagraph"/>
              <w:ind w:left="114"/>
              <w:rPr>
                <w:sz w:val="20"/>
              </w:rPr>
            </w:pPr>
            <w:r>
              <w:rPr>
                <w:sz w:val="20"/>
              </w:rPr>
              <w:t>2002–2016</w:t>
            </w:r>
          </w:p>
        </w:tc>
        <w:tc>
          <w:tcPr>
            <w:tcW w:w="3421" w:type="dxa"/>
          </w:tcPr>
          <w:p w14:paraId="0E5870B8" w14:textId="77777777" w:rsidR="0046798B" w:rsidRDefault="00903B5C">
            <w:pPr>
              <w:pStyle w:val="TableParagraph"/>
              <w:spacing w:before="43"/>
              <w:ind w:left="114" w:right="148"/>
              <w:rPr>
                <w:sz w:val="20"/>
              </w:rPr>
            </w:pPr>
            <w:r>
              <w:rPr>
                <w:sz w:val="20"/>
              </w:rPr>
              <w:t>Limits on corporate contributions to political parties, per election cycle (0 = prohibited, “none” = unlimited)</w:t>
            </w:r>
          </w:p>
          <w:p w14:paraId="71E8F4BE" w14:textId="77777777" w:rsidR="0046798B" w:rsidRDefault="0046798B">
            <w:pPr>
              <w:pStyle w:val="TableParagraph"/>
              <w:rPr>
                <w:sz w:val="20"/>
              </w:rPr>
            </w:pPr>
          </w:p>
          <w:p w14:paraId="11021C2E" w14:textId="77777777" w:rsidR="0046798B" w:rsidRDefault="00903B5C">
            <w:pPr>
              <w:pStyle w:val="TableParagraph"/>
              <w:ind w:left="114" w:right="114"/>
              <w:rPr>
                <w:sz w:val="20"/>
              </w:rPr>
            </w:pPr>
            <w:r>
              <w:rPr>
                <w:sz w:val="20"/>
              </w:rPr>
              <w:t xml:space="preserve">tcorconpraw / apop * 1000 * 2005 price level / current price level (40 = </w:t>
            </w:r>
            <w:r>
              <w:rPr>
                <w:spacing w:val="-7"/>
                <w:sz w:val="20"/>
              </w:rPr>
              <w:t xml:space="preserve">no </w:t>
            </w:r>
            <w:r>
              <w:rPr>
                <w:sz w:val="20"/>
              </w:rPr>
              <w:t>limit)</w:t>
            </w:r>
          </w:p>
        </w:tc>
        <w:tc>
          <w:tcPr>
            <w:tcW w:w="6482" w:type="dxa"/>
          </w:tcPr>
          <w:p w14:paraId="18FFCDA1" w14:textId="77777777" w:rsidR="0046798B" w:rsidRDefault="0046798B">
            <w:pPr>
              <w:pStyle w:val="TableParagraph"/>
            </w:pPr>
          </w:p>
          <w:p w14:paraId="288066D1" w14:textId="77777777" w:rsidR="0046798B" w:rsidRDefault="0046798B">
            <w:pPr>
              <w:pStyle w:val="TableParagraph"/>
              <w:spacing w:before="9"/>
              <w:rPr>
                <w:sz w:val="21"/>
              </w:rPr>
            </w:pPr>
          </w:p>
          <w:p w14:paraId="60F524C8" w14:textId="77777777" w:rsidR="0046798B" w:rsidRDefault="00903B5C">
            <w:pPr>
              <w:pStyle w:val="TableParagraph"/>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33002A4" w14:textId="77777777">
        <w:trPr>
          <w:trHeight w:val="1695"/>
        </w:trPr>
        <w:tc>
          <w:tcPr>
            <w:tcW w:w="1711" w:type="dxa"/>
          </w:tcPr>
          <w:p w14:paraId="523CCA61" w14:textId="77777777" w:rsidR="0046798B" w:rsidRDefault="0046798B">
            <w:pPr>
              <w:pStyle w:val="TableParagraph"/>
            </w:pPr>
          </w:p>
          <w:p w14:paraId="012CC3A8" w14:textId="77777777" w:rsidR="0046798B" w:rsidRDefault="0046798B">
            <w:pPr>
              <w:pStyle w:val="TableParagraph"/>
            </w:pPr>
          </w:p>
          <w:p w14:paraId="2D5AC465" w14:textId="77777777" w:rsidR="0046798B" w:rsidRDefault="0046798B">
            <w:pPr>
              <w:pStyle w:val="TableParagraph"/>
              <w:spacing w:before="8"/>
              <w:rPr>
                <w:sz w:val="19"/>
              </w:rPr>
            </w:pPr>
          </w:p>
          <w:p w14:paraId="0E2D31A9" w14:textId="77777777" w:rsidR="0046798B" w:rsidRDefault="00903B5C">
            <w:pPr>
              <w:pStyle w:val="TableParagraph"/>
              <w:spacing w:before="1"/>
              <w:ind w:left="115"/>
              <w:rPr>
                <w:b/>
                <w:sz w:val="20"/>
              </w:rPr>
            </w:pPr>
            <w:r>
              <w:rPr>
                <w:b/>
                <w:sz w:val="20"/>
              </w:rPr>
              <w:t>tcorpac</w:t>
            </w:r>
          </w:p>
        </w:tc>
        <w:tc>
          <w:tcPr>
            <w:tcW w:w="1596" w:type="dxa"/>
          </w:tcPr>
          <w:p w14:paraId="76D6CCA3" w14:textId="77777777" w:rsidR="0046798B" w:rsidRDefault="0046798B">
            <w:pPr>
              <w:pStyle w:val="TableParagraph"/>
            </w:pPr>
          </w:p>
          <w:p w14:paraId="2975802A" w14:textId="77777777" w:rsidR="0046798B" w:rsidRDefault="00903B5C">
            <w:pPr>
              <w:pStyle w:val="TableParagraph"/>
              <w:spacing w:before="135"/>
              <w:ind w:left="114" w:right="135"/>
              <w:rPr>
                <w:sz w:val="20"/>
              </w:rPr>
            </w:pPr>
            <w:r>
              <w:rPr>
                <w:sz w:val="20"/>
              </w:rPr>
              <w:t>Index of limits on corporate contributions to PACs</w:t>
            </w:r>
          </w:p>
        </w:tc>
        <w:tc>
          <w:tcPr>
            <w:tcW w:w="1285" w:type="dxa"/>
          </w:tcPr>
          <w:p w14:paraId="1BC29F8E" w14:textId="77777777" w:rsidR="0046798B" w:rsidRDefault="0046798B">
            <w:pPr>
              <w:pStyle w:val="TableParagraph"/>
            </w:pPr>
          </w:p>
          <w:p w14:paraId="146FCB54" w14:textId="77777777" w:rsidR="0046798B" w:rsidRDefault="0046798B">
            <w:pPr>
              <w:pStyle w:val="TableParagraph"/>
            </w:pPr>
          </w:p>
          <w:p w14:paraId="1FD80699" w14:textId="77777777" w:rsidR="0046798B" w:rsidRDefault="0046798B">
            <w:pPr>
              <w:pStyle w:val="TableParagraph"/>
              <w:spacing w:before="8"/>
              <w:rPr>
                <w:sz w:val="19"/>
              </w:rPr>
            </w:pPr>
          </w:p>
          <w:p w14:paraId="3D81CE16" w14:textId="77777777" w:rsidR="0046798B" w:rsidRDefault="00903B5C">
            <w:pPr>
              <w:pStyle w:val="TableParagraph"/>
              <w:spacing w:before="1"/>
              <w:ind w:left="114"/>
              <w:rPr>
                <w:sz w:val="20"/>
              </w:rPr>
            </w:pPr>
            <w:r>
              <w:rPr>
                <w:sz w:val="20"/>
              </w:rPr>
              <w:t>2002–2016</w:t>
            </w:r>
          </w:p>
        </w:tc>
        <w:tc>
          <w:tcPr>
            <w:tcW w:w="3421" w:type="dxa"/>
          </w:tcPr>
          <w:p w14:paraId="37CBE5CE" w14:textId="77777777" w:rsidR="0046798B" w:rsidRDefault="00903B5C">
            <w:pPr>
              <w:pStyle w:val="TableParagraph"/>
              <w:spacing w:before="43"/>
              <w:ind w:left="114" w:right="205"/>
              <w:rPr>
                <w:sz w:val="20"/>
              </w:rPr>
            </w:pPr>
            <w:r>
              <w:rPr>
                <w:sz w:val="20"/>
              </w:rPr>
              <w:t>Limits on corporate contributions to PACs, per election cycle (0 = prohibited, “none” = unlimited)</w:t>
            </w:r>
          </w:p>
          <w:p w14:paraId="243BD213" w14:textId="77777777" w:rsidR="0046798B" w:rsidRDefault="0046798B">
            <w:pPr>
              <w:pStyle w:val="TableParagraph"/>
              <w:rPr>
                <w:sz w:val="20"/>
              </w:rPr>
            </w:pPr>
          </w:p>
          <w:p w14:paraId="25F6EC42" w14:textId="77777777" w:rsidR="0046798B" w:rsidRDefault="00903B5C">
            <w:pPr>
              <w:pStyle w:val="TableParagraph"/>
              <w:ind w:left="114" w:right="194"/>
              <w:rPr>
                <w:sz w:val="20"/>
              </w:rPr>
            </w:pPr>
            <w:r>
              <w:rPr>
                <w:sz w:val="20"/>
              </w:rPr>
              <w:t>tcorpacraw / apop * 1000 * 2005 price level / current price level (40 = no limit)</w:t>
            </w:r>
          </w:p>
        </w:tc>
        <w:tc>
          <w:tcPr>
            <w:tcW w:w="6482" w:type="dxa"/>
          </w:tcPr>
          <w:p w14:paraId="0CD27327" w14:textId="77777777" w:rsidR="0046798B" w:rsidRDefault="0046798B">
            <w:pPr>
              <w:pStyle w:val="TableParagraph"/>
            </w:pPr>
          </w:p>
          <w:p w14:paraId="0098441D" w14:textId="77777777" w:rsidR="0046798B" w:rsidRDefault="0046798B">
            <w:pPr>
              <w:pStyle w:val="TableParagraph"/>
              <w:spacing w:before="8"/>
              <w:rPr>
                <w:sz w:val="21"/>
              </w:rPr>
            </w:pPr>
          </w:p>
          <w:p w14:paraId="6C79AEB3"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9A86ED7" w14:textId="77777777">
        <w:trPr>
          <w:trHeight w:val="780"/>
        </w:trPr>
        <w:tc>
          <w:tcPr>
            <w:tcW w:w="1711" w:type="dxa"/>
          </w:tcPr>
          <w:p w14:paraId="33E2051A" w14:textId="77777777" w:rsidR="0046798B" w:rsidRDefault="0046798B">
            <w:pPr>
              <w:pStyle w:val="TableParagraph"/>
              <w:spacing w:before="8"/>
              <w:rPr>
                <w:sz w:val="23"/>
              </w:rPr>
            </w:pPr>
          </w:p>
          <w:p w14:paraId="00EA80C7" w14:textId="77777777" w:rsidR="0046798B" w:rsidRDefault="00903B5C">
            <w:pPr>
              <w:pStyle w:val="TableParagraph"/>
              <w:spacing w:before="1"/>
              <w:ind w:left="115"/>
              <w:rPr>
                <w:b/>
                <w:sz w:val="20"/>
              </w:rPr>
            </w:pPr>
            <w:r>
              <w:rPr>
                <w:b/>
                <w:sz w:val="20"/>
              </w:rPr>
              <w:t>thd</w:t>
            </w:r>
          </w:p>
        </w:tc>
        <w:tc>
          <w:tcPr>
            <w:tcW w:w="1596" w:type="dxa"/>
          </w:tcPr>
          <w:p w14:paraId="3F5B0CF6" w14:textId="77777777" w:rsidR="0046798B" w:rsidRDefault="00903B5C">
            <w:pPr>
              <w:pStyle w:val="TableParagraph"/>
              <w:spacing w:before="158"/>
              <w:ind w:left="114" w:right="163"/>
              <w:rPr>
                <w:sz w:val="20"/>
              </w:rPr>
            </w:pPr>
            <w:r>
              <w:rPr>
                <w:sz w:val="20"/>
              </w:rPr>
              <w:t>Number of state house districts</w:t>
            </w:r>
          </w:p>
        </w:tc>
        <w:tc>
          <w:tcPr>
            <w:tcW w:w="1285" w:type="dxa"/>
          </w:tcPr>
          <w:p w14:paraId="230D1BD4" w14:textId="77777777" w:rsidR="0046798B" w:rsidRDefault="0046798B">
            <w:pPr>
              <w:pStyle w:val="TableParagraph"/>
              <w:spacing w:before="8"/>
              <w:rPr>
                <w:sz w:val="23"/>
              </w:rPr>
            </w:pPr>
          </w:p>
          <w:p w14:paraId="48F14684" w14:textId="77777777" w:rsidR="0046798B" w:rsidRDefault="00903B5C">
            <w:pPr>
              <w:pStyle w:val="TableParagraph"/>
              <w:spacing w:before="1"/>
              <w:ind w:left="114"/>
              <w:rPr>
                <w:sz w:val="20"/>
              </w:rPr>
            </w:pPr>
            <w:r>
              <w:rPr>
                <w:sz w:val="20"/>
              </w:rPr>
              <w:t>2000–2016</w:t>
            </w:r>
          </w:p>
        </w:tc>
        <w:tc>
          <w:tcPr>
            <w:tcW w:w="3421" w:type="dxa"/>
          </w:tcPr>
          <w:p w14:paraId="6B2B2020" w14:textId="77777777" w:rsidR="0046798B" w:rsidRDefault="0046798B">
            <w:pPr>
              <w:pStyle w:val="TableParagraph"/>
              <w:spacing w:before="8"/>
              <w:rPr>
                <w:sz w:val="23"/>
              </w:rPr>
            </w:pPr>
          </w:p>
          <w:p w14:paraId="707C5439" w14:textId="77777777" w:rsidR="0046798B" w:rsidRDefault="00903B5C">
            <w:pPr>
              <w:pStyle w:val="TableParagraph"/>
              <w:spacing w:before="1"/>
              <w:ind w:left="114"/>
              <w:rPr>
                <w:sz w:val="20"/>
              </w:rPr>
            </w:pPr>
            <w:r>
              <w:rPr>
                <w:sz w:val="20"/>
              </w:rPr>
              <w:t>Number of state house districts</w:t>
            </w:r>
          </w:p>
        </w:tc>
        <w:tc>
          <w:tcPr>
            <w:tcW w:w="6482" w:type="dxa"/>
          </w:tcPr>
          <w:p w14:paraId="6CB7FE6C" w14:textId="77777777" w:rsidR="0046798B" w:rsidRDefault="00903B5C">
            <w:pPr>
              <w:pStyle w:val="TableParagraph"/>
              <w:spacing w:before="4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3F05463" w14:textId="77777777">
        <w:trPr>
          <w:trHeight w:val="1005"/>
        </w:trPr>
        <w:tc>
          <w:tcPr>
            <w:tcW w:w="1711" w:type="dxa"/>
          </w:tcPr>
          <w:p w14:paraId="7DB126D0" w14:textId="77777777" w:rsidR="0046798B" w:rsidRDefault="0046798B">
            <w:pPr>
              <w:pStyle w:val="TableParagraph"/>
            </w:pPr>
          </w:p>
          <w:p w14:paraId="102AEB4F" w14:textId="77777777" w:rsidR="0046798B" w:rsidRDefault="00903B5C">
            <w:pPr>
              <w:pStyle w:val="TableParagraph"/>
              <w:spacing w:before="130"/>
              <w:ind w:left="115"/>
              <w:rPr>
                <w:b/>
                <w:sz w:val="20"/>
              </w:rPr>
            </w:pPr>
            <w:r>
              <w:rPr>
                <w:b/>
                <w:sz w:val="20"/>
              </w:rPr>
              <w:t>tpphd</w:t>
            </w:r>
          </w:p>
        </w:tc>
        <w:tc>
          <w:tcPr>
            <w:tcW w:w="1596" w:type="dxa"/>
          </w:tcPr>
          <w:p w14:paraId="5991DEFC" w14:textId="77777777" w:rsidR="0046798B" w:rsidRDefault="00903B5C">
            <w:pPr>
              <w:pStyle w:val="TableParagraph"/>
              <w:spacing w:before="38"/>
              <w:ind w:left="114" w:right="207"/>
              <w:rPr>
                <w:sz w:val="20"/>
              </w:rPr>
            </w:pPr>
            <w:r>
              <w:rPr>
                <w:sz w:val="20"/>
              </w:rPr>
              <w:t>Population divided by number of state house districts</w:t>
            </w:r>
          </w:p>
        </w:tc>
        <w:tc>
          <w:tcPr>
            <w:tcW w:w="1285" w:type="dxa"/>
          </w:tcPr>
          <w:p w14:paraId="4C24469B" w14:textId="77777777" w:rsidR="0046798B" w:rsidRDefault="0046798B">
            <w:pPr>
              <w:pStyle w:val="TableParagraph"/>
            </w:pPr>
          </w:p>
          <w:p w14:paraId="26B59914" w14:textId="77777777" w:rsidR="0046798B" w:rsidRDefault="00903B5C">
            <w:pPr>
              <w:pStyle w:val="TableParagraph"/>
              <w:spacing w:before="130"/>
              <w:ind w:left="114"/>
              <w:rPr>
                <w:sz w:val="20"/>
              </w:rPr>
            </w:pPr>
            <w:r>
              <w:rPr>
                <w:sz w:val="20"/>
              </w:rPr>
              <w:t>2000–2016</w:t>
            </w:r>
          </w:p>
        </w:tc>
        <w:tc>
          <w:tcPr>
            <w:tcW w:w="3421" w:type="dxa"/>
          </w:tcPr>
          <w:p w14:paraId="1FBE55E8" w14:textId="77777777" w:rsidR="0046798B" w:rsidRDefault="00903B5C">
            <w:pPr>
              <w:pStyle w:val="TableParagraph"/>
              <w:spacing w:before="153"/>
              <w:ind w:left="114" w:right="671"/>
              <w:rPr>
                <w:sz w:val="20"/>
              </w:rPr>
            </w:pPr>
            <w:r>
              <w:rPr>
                <w:sz w:val="20"/>
              </w:rPr>
              <w:t>Estimated population divided by number of state house districts apop / thd</w:t>
            </w:r>
          </w:p>
        </w:tc>
        <w:tc>
          <w:tcPr>
            <w:tcW w:w="6482" w:type="dxa"/>
          </w:tcPr>
          <w:p w14:paraId="63F25D40" w14:textId="77777777" w:rsidR="0046798B" w:rsidRDefault="00903B5C">
            <w:pPr>
              <w:pStyle w:val="TableParagraph"/>
              <w:spacing w:before="15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710B3B8" w14:textId="77777777">
        <w:trPr>
          <w:trHeight w:val="775"/>
        </w:trPr>
        <w:tc>
          <w:tcPr>
            <w:tcW w:w="1711" w:type="dxa"/>
          </w:tcPr>
          <w:p w14:paraId="15E248A3" w14:textId="77777777" w:rsidR="0046798B" w:rsidRDefault="0046798B">
            <w:pPr>
              <w:pStyle w:val="TableParagraph"/>
              <w:spacing w:before="4"/>
              <w:rPr>
                <w:sz w:val="23"/>
              </w:rPr>
            </w:pPr>
          </w:p>
          <w:p w14:paraId="2509538F" w14:textId="77777777" w:rsidR="0046798B" w:rsidRDefault="00903B5C">
            <w:pPr>
              <w:pStyle w:val="TableParagraph"/>
              <w:ind w:left="115"/>
              <w:rPr>
                <w:b/>
                <w:sz w:val="20"/>
              </w:rPr>
            </w:pPr>
            <w:r>
              <w:rPr>
                <w:b/>
                <w:sz w:val="20"/>
              </w:rPr>
              <w:t>tpubfin</w:t>
            </w:r>
          </w:p>
        </w:tc>
        <w:tc>
          <w:tcPr>
            <w:tcW w:w="1596" w:type="dxa"/>
          </w:tcPr>
          <w:p w14:paraId="71D74D38" w14:textId="77777777" w:rsidR="0046798B" w:rsidRDefault="00903B5C">
            <w:pPr>
              <w:pStyle w:val="TableParagraph"/>
              <w:spacing w:before="154"/>
              <w:ind w:left="114" w:right="135"/>
              <w:rPr>
                <w:sz w:val="20"/>
              </w:rPr>
            </w:pPr>
            <w:r>
              <w:rPr>
                <w:sz w:val="20"/>
              </w:rPr>
              <w:t>Public financing index</w:t>
            </w:r>
          </w:p>
        </w:tc>
        <w:tc>
          <w:tcPr>
            <w:tcW w:w="1285" w:type="dxa"/>
          </w:tcPr>
          <w:p w14:paraId="6BBA46FE" w14:textId="77777777" w:rsidR="0046798B" w:rsidRDefault="0046798B">
            <w:pPr>
              <w:pStyle w:val="TableParagraph"/>
              <w:spacing w:before="4"/>
              <w:rPr>
                <w:sz w:val="23"/>
              </w:rPr>
            </w:pPr>
          </w:p>
          <w:p w14:paraId="64425C9B" w14:textId="77777777" w:rsidR="0046798B" w:rsidRDefault="00903B5C">
            <w:pPr>
              <w:pStyle w:val="TableParagraph"/>
              <w:ind w:left="114"/>
              <w:rPr>
                <w:sz w:val="20"/>
              </w:rPr>
            </w:pPr>
            <w:r>
              <w:rPr>
                <w:sz w:val="20"/>
              </w:rPr>
              <w:t>2002–2016</w:t>
            </w:r>
          </w:p>
        </w:tc>
        <w:tc>
          <w:tcPr>
            <w:tcW w:w="3421" w:type="dxa"/>
          </w:tcPr>
          <w:p w14:paraId="60E79A85" w14:textId="77777777" w:rsidR="0046798B" w:rsidRDefault="00903B5C">
            <w:pPr>
              <w:pStyle w:val="TableParagraph"/>
              <w:spacing w:before="39"/>
              <w:ind w:left="114"/>
              <w:rPr>
                <w:sz w:val="20"/>
              </w:rPr>
            </w:pPr>
            <w:r>
              <w:rPr>
                <w:sz w:val="20"/>
              </w:rPr>
              <w:t>Public financing</w:t>
            </w:r>
            <w:r>
              <w:rPr>
                <w:spacing w:val="-6"/>
                <w:sz w:val="20"/>
              </w:rPr>
              <w:t xml:space="preserve"> </w:t>
            </w:r>
            <w:r>
              <w:rPr>
                <w:sz w:val="20"/>
              </w:rPr>
              <w:t>index</w:t>
            </w:r>
          </w:p>
          <w:p w14:paraId="301FD5F5" w14:textId="77777777" w:rsidR="0046798B" w:rsidRDefault="00903B5C">
            <w:pPr>
              <w:pStyle w:val="TableParagraph"/>
              <w:ind w:left="114" w:right="447"/>
              <w:rPr>
                <w:sz w:val="20"/>
              </w:rPr>
            </w:pPr>
            <w:r>
              <w:rPr>
                <w:sz w:val="20"/>
              </w:rPr>
              <w:t xml:space="preserve">(tfullpub + (0.5 * tpartpub) + (0.5 </w:t>
            </w:r>
            <w:r>
              <w:rPr>
                <w:spacing w:val="-12"/>
                <w:sz w:val="20"/>
              </w:rPr>
              <w:t xml:space="preserve">* </w:t>
            </w:r>
            <w:r>
              <w:rPr>
                <w:sz w:val="20"/>
              </w:rPr>
              <w:t>tpfpps)) / (1 +</w:t>
            </w:r>
            <w:r>
              <w:rPr>
                <w:spacing w:val="-2"/>
                <w:sz w:val="20"/>
              </w:rPr>
              <w:t xml:space="preserve"> </w:t>
            </w:r>
            <w:r>
              <w:rPr>
                <w:sz w:val="20"/>
              </w:rPr>
              <w:t>ttaxadd)</w:t>
            </w:r>
          </w:p>
        </w:tc>
        <w:tc>
          <w:tcPr>
            <w:tcW w:w="6482" w:type="dxa"/>
          </w:tcPr>
          <w:p w14:paraId="505FD239" w14:textId="77777777" w:rsidR="0046798B" w:rsidRDefault="00903B5C">
            <w:pPr>
              <w:pStyle w:val="TableParagraph"/>
              <w:spacing w:before="39"/>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5999E93" w14:textId="77777777">
        <w:trPr>
          <w:trHeight w:val="545"/>
        </w:trPr>
        <w:tc>
          <w:tcPr>
            <w:tcW w:w="1711" w:type="dxa"/>
          </w:tcPr>
          <w:p w14:paraId="26CB599C" w14:textId="77777777" w:rsidR="0046798B" w:rsidRDefault="00903B5C">
            <w:pPr>
              <w:pStyle w:val="TableParagraph"/>
              <w:spacing w:before="153"/>
              <w:ind w:left="115"/>
              <w:rPr>
                <w:b/>
                <w:sz w:val="20"/>
              </w:rPr>
            </w:pPr>
            <w:r>
              <w:rPr>
                <w:b/>
                <w:sz w:val="20"/>
              </w:rPr>
              <w:t>gov_contrib</w:t>
            </w:r>
          </w:p>
        </w:tc>
        <w:tc>
          <w:tcPr>
            <w:tcW w:w="1596" w:type="dxa"/>
          </w:tcPr>
          <w:p w14:paraId="62397F40" w14:textId="77777777" w:rsidR="0046798B" w:rsidRDefault="00903B5C">
            <w:pPr>
              <w:pStyle w:val="TableParagraph"/>
              <w:spacing w:before="38"/>
              <w:ind w:left="114" w:right="146"/>
              <w:rPr>
                <w:sz w:val="20"/>
              </w:rPr>
            </w:pPr>
            <w:r>
              <w:rPr>
                <w:sz w:val="20"/>
              </w:rPr>
              <w:t>Contributions to governor’s race</w:t>
            </w:r>
          </w:p>
        </w:tc>
        <w:tc>
          <w:tcPr>
            <w:tcW w:w="1285" w:type="dxa"/>
          </w:tcPr>
          <w:p w14:paraId="52D3A253" w14:textId="77777777" w:rsidR="0046798B" w:rsidRDefault="00903B5C">
            <w:pPr>
              <w:pStyle w:val="TableParagraph"/>
              <w:spacing w:before="153"/>
              <w:ind w:left="114"/>
              <w:rPr>
                <w:sz w:val="20"/>
              </w:rPr>
            </w:pPr>
            <w:r>
              <w:rPr>
                <w:sz w:val="20"/>
              </w:rPr>
              <w:t>1990–2016</w:t>
            </w:r>
          </w:p>
        </w:tc>
        <w:tc>
          <w:tcPr>
            <w:tcW w:w="3421" w:type="dxa"/>
          </w:tcPr>
          <w:p w14:paraId="1C072F75" w14:textId="77777777" w:rsidR="0046798B" w:rsidRDefault="00903B5C">
            <w:pPr>
              <w:pStyle w:val="TableParagraph"/>
              <w:spacing w:before="38"/>
              <w:ind w:left="114" w:right="366"/>
              <w:rPr>
                <w:sz w:val="20"/>
              </w:rPr>
            </w:pPr>
            <w:r>
              <w:rPr>
                <w:sz w:val="20"/>
              </w:rPr>
              <w:t>Total contributions for candidates in the state gubernatorial election</w:t>
            </w:r>
          </w:p>
        </w:tc>
        <w:tc>
          <w:tcPr>
            <w:tcW w:w="6482" w:type="dxa"/>
          </w:tcPr>
          <w:p w14:paraId="5AB46528" w14:textId="77777777" w:rsidR="0046798B" w:rsidRDefault="00903B5C">
            <w:pPr>
              <w:pStyle w:val="TableParagraph"/>
              <w:spacing w:before="38"/>
              <w:ind w:left="114" w:right="1194"/>
              <w:rPr>
                <w:sz w:val="20"/>
              </w:rPr>
            </w:pPr>
            <w:r>
              <w:rPr>
                <w:sz w:val="20"/>
              </w:rPr>
              <w:t xml:space="preserve">National Institute on Money in Politics. 2016. Helena, Montana. </w:t>
            </w:r>
            <w:hyperlink r:id="rId661">
              <w:r>
                <w:rPr>
                  <w:color w:val="0462C1"/>
                  <w:sz w:val="20"/>
                  <w:u w:val="single" w:color="0462C1"/>
                </w:rPr>
                <w:t>www.followthemoney.org</w:t>
              </w:r>
            </w:hyperlink>
          </w:p>
        </w:tc>
      </w:tr>
      <w:tr w:rsidR="0046798B" w14:paraId="2DEB4ACC" w14:textId="77777777">
        <w:trPr>
          <w:trHeight w:val="1005"/>
        </w:trPr>
        <w:tc>
          <w:tcPr>
            <w:tcW w:w="1711" w:type="dxa"/>
          </w:tcPr>
          <w:p w14:paraId="01654E97" w14:textId="77777777" w:rsidR="0046798B" w:rsidRDefault="0046798B">
            <w:pPr>
              <w:pStyle w:val="TableParagraph"/>
            </w:pPr>
          </w:p>
          <w:p w14:paraId="26849A86" w14:textId="77777777" w:rsidR="0046798B" w:rsidRDefault="00903B5C">
            <w:pPr>
              <w:pStyle w:val="TableParagraph"/>
              <w:spacing w:before="135"/>
              <w:ind w:left="115"/>
              <w:rPr>
                <w:b/>
                <w:sz w:val="20"/>
              </w:rPr>
            </w:pPr>
            <w:r>
              <w:rPr>
                <w:b/>
                <w:sz w:val="20"/>
              </w:rPr>
              <w:t>house_contrib</w:t>
            </w:r>
          </w:p>
        </w:tc>
        <w:tc>
          <w:tcPr>
            <w:tcW w:w="1596" w:type="dxa"/>
          </w:tcPr>
          <w:p w14:paraId="4828CBD7" w14:textId="77777777" w:rsidR="0046798B" w:rsidRDefault="00903B5C">
            <w:pPr>
              <w:pStyle w:val="TableParagraph"/>
              <w:spacing w:before="43"/>
              <w:ind w:left="114" w:right="146"/>
              <w:rPr>
                <w:sz w:val="20"/>
              </w:rPr>
            </w:pPr>
            <w:r>
              <w:rPr>
                <w:sz w:val="20"/>
              </w:rPr>
              <w:t>Contributions to state house/assembly races</w:t>
            </w:r>
          </w:p>
        </w:tc>
        <w:tc>
          <w:tcPr>
            <w:tcW w:w="1285" w:type="dxa"/>
          </w:tcPr>
          <w:p w14:paraId="6020CF2F" w14:textId="77777777" w:rsidR="0046798B" w:rsidRDefault="0046798B">
            <w:pPr>
              <w:pStyle w:val="TableParagraph"/>
            </w:pPr>
          </w:p>
          <w:p w14:paraId="65B91896" w14:textId="77777777" w:rsidR="0046798B" w:rsidRDefault="00903B5C">
            <w:pPr>
              <w:pStyle w:val="TableParagraph"/>
              <w:spacing w:before="135"/>
              <w:ind w:left="114"/>
              <w:rPr>
                <w:sz w:val="20"/>
              </w:rPr>
            </w:pPr>
            <w:r>
              <w:rPr>
                <w:sz w:val="20"/>
              </w:rPr>
              <w:t>1990–2016</w:t>
            </w:r>
          </w:p>
        </w:tc>
        <w:tc>
          <w:tcPr>
            <w:tcW w:w="3421" w:type="dxa"/>
          </w:tcPr>
          <w:p w14:paraId="08F11C85" w14:textId="77777777" w:rsidR="0046798B" w:rsidRDefault="0046798B">
            <w:pPr>
              <w:pStyle w:val="TableParagraph"/>
              <w:spacing w:before="8"/>
              <w:rPr>
                <w:sz w:val="23"/>
              </w:rPr>
            </w:pPr>
          </w:p>
          <w:p w14:paraId="24DFCE9E" w14:textId="77777777" w:rsidR="0046798B" w:rsidRDefault="00903B5C">
            <w:pPr>
              <w:pStyle w:val="TableParagraph"/>
              <w:ind w:left="114" w:right="227"/>
              <w:rPr>
                <w:sz w:val="20"/>
              </w:rPr>
            </w:pPr>
            <w:r>
              <w:rPr>
                <w:sz w:val="20"/>
              </w:rPr>
              <w:t>Total contributions for candidates in the state House or Assembly elections</w:t>
            </w:r>
          </w:p>
        </w:tc>
        <w:tc>
          <w:tcPr>
            <w:tcW w:w="6482" w:type="dxa"/>
          </w:tcPr>
          <w:p w14:paraId="390654FF" w14:textId="77777777" w:rsidR="0046798B" w:rsidRDefault="0046798B">
            <w:pPr>
              <w:pStyle w:val="TableParagraph"/>
              <w:spacing w:before="8"/>
              <w:rPr>
                <w:sz w:val="23"/>
              </w:rPr>
            </w:pPr>
          </w:p>
          <w:p w14:paraId="42F78D0F" w14:textId="77777777" w:rsidR="0046798B" w:rsidRDefault="00903B5C">
            <w:pPr>
              <w:pStyle w:val="TableParagraph"/>
              <w:ind w:left="114" w:right="1194"/>
              <w:rPr>
                <w:sz w:val="20"/>
              </w:rPr>
            </w:pPr>
            <w:r>
              <w:rPr>
                <w:sz w:val="20"/>
              </w:rPr>
              <w:t xml:space="preserve">National Institute on Money in Politics. 2016. Helena, Montana. </w:t>
            </w:r>
            <w:hyperlink r:id="rId662">
              <w:r>
                <w:rPr>
                  <w:color w:val="0462C1"/>
                  <w:sz w:val="20"/>
                  <w:u w:val="single" w:color="0462C1"/>
                </w:rPr>
                <w:t>www.followthemoney.org</w:t>
              </w:r>
            </w:hyperlink>
          </w:p>
        </w:tc>
      </w:tr>
      <w:tr w:rsidR="0046798B" w14:paraId="69E8312E" w14:textId="77777777">
        <w:trPr>
          <w:trHeight w:val="775"/>
        </w:trPr>
        <w:tc>
          <w:tcPr>
            <w:tcW w:w="1711" w:type="dxa"/>
          </w:tcPr>
          <w:p w14:paraId="36A13F7D" w14:textId="77777777" w:rsidR="0046798B" w:rsidRDefault="0046798B">
            <w:pPr>
              <w:pStyle w:val="TableParagraph"/>
              <w:spacing w:before="9"/>
              <w:rPr>
                <w:sz w:val="23"/>
              </w:rPr>
            </w:pPr>
          </w:p>
          <w:p w14:paraId="630D6DE8" w14:textId="77777777" w:rsidR="0046798B" w:rsidRDefault="00903B5C">
            <w:pPr>
              <w:pStyle w:val="TableParagraph"/>
              <w:ind w:left="115"/>
              <w:rPr>
                <w:b/>
                <w:sz w:val="20"/>
              </w:rPr>
            </w:pPr>
            <w:r>
              <w:rPr>
                <w:b/>
                <w:sz w:val="20"/>
              </w:rPr>
              <w:t>senate_contrib</w:t>
            </w:r>
          </w:p>
        </w:tc>
        <w:tc>
          <w:tcPr>
            <w:tcW w:w="1596" w:type="dxa"/>
          </w:tcPr>
          <w:p w14:paraId="153E52C6" w14:textId="77777777" w:rsidR="0046798B" w:rsidRDefault="00903B5C">
            <w:pPr>
              <w:pStyle w:val="TableParagraph"/>
              <w:spacing w:before="43"/>
              <w:ind w:left="114" w:right="146"/>
              <w:rPr>
                <w:sz w:val="20"/>
              </w:rPr>
            </w:pPr>
            <w:r>
              <w:rPr>
                <w:sz w:val="20"/>
              </w:rPr>
              <w:t>Contributions to state senate races</w:t>
            </w:r>
          </w:p>
        </w:tc>
        <w:tc>
          <w:tcPr>
            <w:tcW w:w="1285" w:type="dxa"/>
          </w:tcPr>
          <w:p w14:paraId="12FA2237" w14:textId="77777777" w:rsidR="0046798B" w:rsidRDefault="0046798B">
            <w:pPr>
              <w:pStyle w:val="TableParagraph"/>
              <w:spacing w:before="9"/>
              <w:rPr>
                <w:sz w:val="23"/>
              </w:rPr>
            </w:pPr>
          </w:p>
          <w:p w14:paraId="20FF58DF" w14:textId="77777777" w:rsidR="0046798B" w:rsidRDefault="00903B5C">
            <w:pPr>
              <w:pStyle w:val="TableParagraph"/>
              <w:ind w:left="114"/>
              <w:rPr>
                <w:sz w:val="20"/>
              </w:rPr>
            </w:pPr>
            <w:r>
              <w:rPr>
                <w:sz w:val="20"/>
              </w:rPr>
              <w:t>1990–2016</w:t>
            </w:r>
          </w:p>
        </w:tc>
        <w:tc>
          <w:tcPr>
            <w:tcW w:w="3421" w:type="dxa"/>
          </w:tcPr>
          <w:p w14:paraId="7F012206" w14:textId="77777777" w:rsidR="0046798B" w:rsidRDefault="00903B5C">
            <w:pPr>
              <w:pStyle w:val="TableParagraph"/>
              <w:spacing w:before="158"/>
              <w:ind w:left="114" w:right="366"/>
              <w:rPr>
                <w:sz w:val="20"/>
              </w:rPr>
            </w:pPr>
            <w:r>
              <w:rPr>
                <w:sz w:val="20"/>
              </w:rPr>
              <w:t>Total contributions for candidates in the state Senate elections</w:t>
            </w:r>
          </w:p>
        </w:tc>
        <w:tc>
          <w:tcPr>
            <w:tcW w:w="6482" w:type="dxa"/>
          </w:tcPr>
          <w:p w14:paraId="6983372A" w14:textId="77777777" w:rsidR="0046798B" w:rsidRDefault="00903B5C">
            <w:pPr>
              <w:pStyle w:val="TableParagraph"/>
              <w:spacing w:before="158"/>
              <w:ind w:left="114" w:right="1194"/>
              <w:rPr>
                <w:sz w:val="20"/>
              </w:rPr>
            </w:pPr>
            <w:r>
              <w:rPr>
                <w:sz w:val="20"/>
              </w:rPr>
              <w:t xml:space="preserve">National Institute on Money in Politics. 2016. Helena, Montana. </w:t>
            </w:r>
            <w:hyperlink r:id="rId663">
              <w:r>
                <w:rPr>
                  <w:color w:val="0462C1"/>
                  <w:sz w:val="20"/>
                  <w:u w:val="single" w:color="0462C1"/>
                </w:rPr>
                <w:t>www.followthemoney.org</w:t>
              </w:r>
            </w:hyperlink>
          </w:p>
        </w:tc>
      </w:tr>
      <w:tr w:rsidR="0046798B" w14:paraId="3B0DE44D" w14:textId="77777777">
        <w:trPr>
          <w:trHeight w:val="780"/>
        </w:trPr>
        <w:tc>
          <w:tcPr>
            <w:tcW w:w="1711" w:type="dxa"/>
          </w:tcPr>
          <w:p w14:paraId="0BB39345" w14:textId="77777777" w:rsidR="0046798B" w:rsidRDefault="0046798B">
            <w:pPr>
              <w:pStyle w:val="TableParagraph"/>
              <w:spacing w:before="8"/>
              <w:rPr>
                <w:sz w:val="23"/>
              </w:rPr>
            </w:pPr>
          </w:p>
          <w:p w14:paraId="03258494" w14:textId="77777777" w:rsidR="0046798B" w:rsidRDefault="00903B5C">
            <w:pPr>
              <w:pStyle w:val="TableParagraph"/>
              <w:spacing w:before="1"/>
              <w:ind w:left="115"/>
              <w:rPr>
                <w:b/>
                <w:sz w:val="20"/>
              </w:rPr>
            </w:pPr>
            <w:r>
              <w:rPr>
                <w:b/>
                <w:sz w:val="20"/>
              </w:rPr>
              <w:t>court_contrib</w:t>
            </w:r>
          </w:p>
        </w:tc>
        <w:tc>
          <w:tcPr>
            <w:tcW w:w="1596" w:type="dxa"/>
          </w:tcPr>
          <w:p w14:paraId="515BD252" w14:textId="77777777" w:rsidR="0046798B" w:rsidRDefault="00903B5C">
            <w:pPr>
              <w:pStyle w:val="TableParagraph"/>
              <w:spacing w:before="43"/>
              <w:ind w:left="114" w:right="146"/>
              <w:rPr>
                <w:sz w:val="20"/>
              </w:rPr>
            </w:pPr>
            <w:r>
              <w:rPr>
                <w:sz w:val="20"/>
              </w:rPr>
              <w:t>Contributions to state supreme court races</w:t>
            </w:r>
          </w:p>
        </w:tc>
        <w:tc>
          <w:tcPr>
            <w:tcW w:w="1285" w:type="dxa"/>
          </w:tcPr>
          <w:p w14:paraId="4AA0623E" w14:textId="77777777" w:rsidR="0046798B" w:rsidRDefault="0046798B">
            <w:pPr>
              <w:pStyle w:val="TableParagraph"/>
              <w:spacing w:before="8"/>
              <w:rPr>
                <w:sz w:val="23"/>
              </w:rPr>
            </w:pPr>
          </w:p>
          <w:p w14:paraId="05E5B5D3" w14:textId="77777777" w:rsidR="0046798B" w:rsidRDefault="00903B5C">
            <w:pPr>
              <w:pStyle w:val="TableParagraph"/>
              <w:spacing w:before="1"/>
              <w:ind w:left="114"/>
              <w:rPr>
                <w:sz w:val="20"/>
              </w:rPr>
            </w:pPr>
            <w:r>
              <w:rPr>
                <w:sz w:val="20"/>
              </w:rPr>
              <w:t>1988–2016</w:t>
            </w:r>
          </w:p>
        </w:tc>
        <w:tc>
          <w:tcPr>
            <w:tcW w:w="3421" w:type="dxa"/>
          </w:tcPr>
          <w:p w14:paraId="587D1633" w14:textId="77777777" w:rsidR="0046798B" w:rsidRDefault="00903B5C">
            <w:pPr>
              <w:pStyle w:val="TableParagraph"/>
              <w:spacing w:before="158"/>
              <w:ind w:left="114" w:right="366"/>
              <w:rPr>
                <w:sz w:val="20"/>
              </w:rPr>
            </w:pPr>
            <w:r>
              <w:rPr>
                <w:sz w:val="20"/>
              </w:rPr>
              <w:t>Total contributions for candidates in the state Supreme Court elections</w:t>
            </w:r>
          </w:p>
        </w:tc>
        <w:tc>
          <w:tcPr>
            <w:tcW w:w="6482" w:type="dxa"/>
          </w:tcPr>
          <w:p w14:paraId="51C9855B" w14:textId="77777777" w:rsidR="0046798B" w:rsidRDefault="00903B5C">
            <w:pPr>
              <w:pStyle w:val="TableParagraph"/>
              <w:spacing w:before="158"/>
              <w:ind w:left="114" w:right="1194"/>
              <w:rPr>
                <w:sz w:val="20"/>
              </w:rPr>
            </w:pPr>
            <w:r>
              <w:rPr>
                <w:sz w:val="20"/>
              </w:rPr>
              <w:t xml:space="preserve">National Institute on Money in Politics. 2016. Helena, Montana. </w:t>
            </w:r>
            <w:hyperlink r:id="rId664">
              <w:r>
                <w:rPr>
                  <w:color w:val="0462C1"/>
                  <w:sz w:val="20"/>
                  <w:u w:val="single" w:color="0462C1"/>
                </w:rPr>
                <w:t>www.followthemoney.org</w:t>
              </w:r>
            </w:hyperlink>
          </w:p>
        </w:tc>
      </w:tr>
    </w:tbl>
    <w:p w14:paraId="1EFC3B8F" w14:textId="77777777" w:rsidR="0046798B" w:rsidRDefault="0046798B">
      <w:pPr>
        <w:rPr>
          <w:sz w:val="20"/>
        </w:rPr>
        <w:sectPr w:rsidR="0046798B">
          <w:pgSz w:w="15840" w:h="12240" w:orient="landscape"/>
          <w:pgMar w:top="1220" w:right="300" w:bottom="980" w:left="820" w:header="730" w:footer="787" w:gutter="0"/>
          <w:cols w:space="720"/>
        </w:sectPr>
      </w:pPr>
    </w:p>
    <w:p w14:paraId="4D85B1C4"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23470503" w14:textId="77777777">
        <w:trPr>
          <w:trHeight w:val="775"/>
        </w:trPr>
        <w:tc>
          <w:tcPr>
            <w:tcW w:w="1711" w:type="dxa"/>
          </w:tcPr>
          <w:p w14:paraId="1D019DB9" w14:textId="77777777" w:rsidR="0046798B" w:rsidRDefault="0046798B">
            <w:pPr>
              <w:pStyle w:val="TableParagraph"/>
              <w:spacing w:before="9"/>
              <w:rPr>
                <w:sz w:val="23"/>
              </w:rPr>
            </w:pPr>
          </w:p>
          <w:p w14:paraId="620C7CCD" w14:textId="77777777" w:rsidR="0046798B" w:rsidRDefault="00903B5C">
            <w:pPr>
              <w:pStyle w:val="TableParagraph"/>
              <w:ind w:left="115"/>
              <w:rPr>
                <w:b/>
                <w:sz w:val="20"/>
              </w:rPr>
            </w:pPr>
            <w:r>
              <w:rPr>
                <w:b/>
                <w:sz w:val="20"/>
              </w:rPr>
              <w:t>ballot_contrib</w:t>
            </w:r>
          </w:p>
        </w:tc>
        <w:tc>
          <w:tcPr>
            <w:tcW w:w="1596" w:type="dxa"/>
          </w:tcPr>
          <w:p w14:paraId="141C9FF7" w14:textId="77777777" w:rsidR="0046798B" w:rsidRDefault="00903B5C">
            <w:pPr>
              <w:pStyle w:val="TableParagraph"/>
              <w:spacing w:before="43"/>
              <w:ind w:left="114" w:right="244"/>
              <w:jc w:val="both"/>
              <w:rPr>
                <w:sz w:val="20"/>
              </w:rPr>
            </w:pPr>
            <w:r>
              <w:rPr>
                <w:sz w:val="20"/>
              </w:rPr>
              <w:t>Contribution to ballot measure committees</w:t>
            </w:r>
          </w:p>
        </w:tc>
        <w:tc>
          <w:tcPr>
            <w:tcW w:w="1285" w:type="dxa"/>
          </w:tcPr>
          <w:p w14:paraId="293171E4" w14:textId="77777777" w:rsidR="0046798B" w:rsidRDefault="0046798B">
            <w:pPr>
              <w:pStyle w:val="TableParagraph"/>
              <w:spacing w:before="9"/>
              <w:rPr>
                <w:sz w:val="23"/>
              </w:rPr>
            </w:pPr>
          </w:p>
          <w:p w14:paraId="68EB0347" w14:textId="77777777" w:rsidR="0046798B" w:rsidRDefault="00903B5C">
            <w:pPr>
              <w:pStyle w:val="TableParagraph"/>
              <w:ind w:left="114"/>
              <w:rPr>
                <w:sz w:val="20"/>
              </w:rPr>
            </w:pPr>
            <w:r>
              <w:rPr>
                <w:sz w:val="20"/>
              </w:rPr>
              <w:t>2002–2016</w:t>
            </w:r>
          </w:p>
        </w:tc>
        <w:tc>
          <w:tcPr>
            <w:tcW w:w="3421" w:type="dxa"/>
          </w:tcPr>
          <w:p w14:paraId="1AE9B7A0" w14:textId="77777777" w:rsidR="0046798B" w:rsidRDefault="00903B5C">
            <w:pPr>
              <w:pStyle w:val="TableParagraph"/>
              <w:spacing w:before="158"/>
              <w:ind w:left="114" w:right="710"/>
              <w:rPr>
                <w:sz w:val="20"/>
              </w:rPr>
            </w:pPr>
            <w:r>
              <w:rPr>
                <w:sz w:val="20"/>
              </w:rPr>
              <w:t>Total contributions for all ballot measure committees in the state</w:t>
            </w:r>
          </w:p>
        </w:tc>
        <w:tc>
          <w:tcPr>
            <w:tcW w:w="6482" w:type="dxa"/>
          </w:tcPr>
          <w:p w14:paraId="13364022" w14:textId="77777777" w:rsidR="0046798B" w:rsidRDefault="00903B5C">
            <w:pPr>
              <w:pStyle w:val="TableParagraph"/>
              <w:spacing w:before="158"/>
              <w:ind w:left="114" w:right="1194"/>
              <w:rPr>
                <w:sz w:val="20"/>
              </w:rPr>
            </w:pPr>
            <w:r>
              <w:rPr>
                <w:sz w:val="20"/>
              </w:rPr>
              <w:t xml:space="preserve">National Institute on Money in Politics. 2016. Helena, Montana. </w:t>
            </w:r>
            <w:hyperlink r:id="rId665">
              <w:r>
                <w:rPr>
                  <w:color w:val="0462C1"/>
                  <w:sz w:val="20"/>
                  <w:u w:val="single" w:color="0462C1"/>
                </w:rPr>
                <w:t>www.followthemoney.org</w:t>
              </w:r>
            </w:hyperlink>
          </w:p>
        </w:tc>
      </w:tr>
      <w:tr w:rsidR="0046798B" w14:paraId="0460EE73" w14:textId="77777777">
        <w:trPr>
          <w:trHeight w:val="1005"/>
        </w:trPr>
        <w:tc>
          <w:tcPr>
            <w:tcW w:w="1711" w:type="dxa"/>
          </w:tcPr>
          <w:p w14:paraId="76980174" w14:textId="77777777" w:rsidR="0046798B" w:rsidRDefault="0046798B">
            <w:pPr>
              <w:pStyle w:val="TableParagraph"/>
            </w:pPr>
          </w:p>
          <w:p w14:paraId="407CB647" w14:textId="77777777" w:rsidR="0046798B" w:rsidRDefault="00903B5C">
            <w:pPr>
              <w:pStyle w:val="TableParagraph"/>
              <w:spacing w:before="135"/>
              <w:ind w:left="115"/>
              <w:rPr>
                <w:b/>
                <w:sz w:val="20"/>
              </w:rPr>
            </w:pPr>
            <w:r>
              <w:rPr>
                <w:b/>
                <w:sz w:val="20"/>
              </w:rPr>
              <w:t>dem_contrib</w:t>
            </w:r>
          </w:p>
        </w:tc>
        <w:tc>
          <w:tcPr>
            <w:tcW w:w="1596" w:type="dxa"/>
          </w:tcPr>
          <w:p w14:paraId="0B699471" w14:textId="77777777" w:rsidR="0046798B" w:rsidRDefault="00903B5C">
            <w:pPr>
              <w:pStyle w:val="TableParagraph"/>
              <w:spacing w:before="43"/>
              <w:ind w:left="114" w:right="146"/>
              <w:rPr>
                <w:sz w:val="20"/>
              </w:rPr>
            </w:pPr>
            <w:r>
              <w:rPr>
                <w:sz w:val="20"/>
              </w:rPr>
              <w:t>Contributions to the state Democratic Party</w:t>
            </w:r>
          </w:p>
        </w:tc>
        <w:tc>
          <w:tcPr>
            <w:tcW w:w="1285" w:type="dxa"/>
          </w:tcPr>
          <w:p w14:paraId="6C7073F0" w14:textId="77777777" w:rsidR="0046798B" w:rsidRDefault="0046798B">
            <w:pPr>
              <w:pStyle w:val="TableParagraph"/>
            </w:pPr>
          </w:p>
          <w:p w14:paraId="311CA391" w14:textId="77777777" w:rsidR="0046798B" w:rsidRDefault="00903B5C">
            <w:pPr>
              <w:pStyle w:val="TableParagraph"/>
              <w:spacing w:before="135"/>
              <w:ind w:left="114"/>
              <w:rPr>
                <w:sz w:val="20"/>
              </w:rPr>
            </w:pPr>
            <w:r>
              <w:rPr>
                <w:sz w:val="20"/>
              </w:rPr>
              <w:t>1996–2016</w:t>
            </w:r>
          </w:p>
        </w:tc>
        <w:tc>
          <w:tcPr>
            <w:tcW w:w="3421" w:type="dxa"/>
          </w:tcPr>
          <w:p w14:paraId="32BBC260" w14:textId="77777777" w:rsidR="0046798B" w:rsidRDefault="0046798B">
            <w:pPr>
              <w:pStyle w:val="TableParagraph"/>
              <w:spacing w:before="8"/>
              <w:rPr>
                <w:sz w:val="23"/>
              </w:rPr>
            </w:pPr>
          </w:p>
          <w:p w14:paraId="681CA867" w14:textId="77777777" w:rsidR="0046798B" w:rsidRDefault="00903B5C">
            <w:pPr>
              <w:pStyle w:val="TableParagraph"/>
              <w:spacing w:before="1"/>
              <w:ind w:left="114" w:right="755"/>
              <w:rPr>
                <w:sz w:val="20"/>
              </w:rPr>
            </w:pPr>
            <w:r>
              <w:rPr>
                <w:sz w:val="20"/>
              </w:rPr>
              <w:t>Total contributions for the state Democratic party</w:t>
            </w:r>
          </w:p>
        </w:tc>
        <w:tc>
          <w:tcPr>
            <w:tcW w:w="6482" w:type="dxa"/>
          </w:tcPr>
          <w:p w14:paraId="2E7554DB" w14:textId="77777777" w:rsidR="0046798B" w:rsidRDefault="0046798B">
            <w:pPr>
              <w:pStyle w:val="TableParagraph"/>
              <w:spacing w:before="8"/>
              <w:rPr>
                <w:sz w:val="23"/>
              </w:rPr>
            </w:pPr>
          </w:p>
          <w:p w14:paraId="66451C70" w14:textId="77777777" w:rsidR="0046798B" w:rsidRDefault="00903B5C">
            <w:pPr>
              <w:pStyle w:val="TableParagraph"/>
              <w:spacing w:before="1"/>
              <w:ind w:left="114" w:right="1194"/>
              <w:rPr>
                <w:sz w:val="20"/>
              </w:rPr>
            </w:pPr>
            <w:r>
              <w:rPr>
                <w:sz w:val="20"/>
              </w:rPr>
              <w:t xml:space="preserve">National Institute on Money in Politics. 2016. Helena, Montana. </w:t>
            </w:r>
            <w:hyperlink r:id="rId666">
              <w:r>
                <w:rPr>
                  <w:color w:val="0462C1"/>
                  <w:sz w:val="20"/>
                  <w:u w:val="single" w:color="0462C1"/>
                </w:rPr>
                <w:t>www.followthemoney.org</w:t>
              </w:r>
            </w:hyperlink>
          </w:p>
        </w:tc>
      </w:tr>
      <w:tr w:rsidR="0046798B" w14:paraId="5F25C222" w14:textId="77777777">
        <w:trPr>
          <w:trHeight w:val="1010"/>
        </w:trPr>
        <w:tc>
          <w:tcPr>
            <w:tcW w:w="1711" w:type="dxa"/>
          </w:tcPr>
          <w:p w14:paraId="15A86BA0" w14:textId="77777777" w:rsidR="0046798B" w:rsidRDefault="0046798B">
            <w:pPr>
              <w:pStyle w:val="TableParagraph"/>
            </w:pPr>
          </w:p>
          <w:p w14:paraId="7935954A" w14:textId="77777777" w:rsidR="0046798B" w:rsidRDefault="00903B5C">
            <w:pPr>
              <w:pStyle w:val="TableParagraph"/>
              <w:spacing w:before="135"/>
              <w:ind w:left="115"/>
              <w:rPr>
                <w:b/>
                <w:sz w:val="20"/>
              </w:rPr>
            </w:pPr>
            <w:r>
              <w:rPr>
                <w:b/>
                <w:sz w:val="20"/>
              </w:rPr>
              <w:t>rep_contrib</w:t>
            </w:r>
          </w:p>
        </w:tc>
        <w:tc>
          <w:tcPr>
            <w:tcW w:w="1596" w:type="dxa"/>
          </w:tcPr>
          <w:p w14:paraId="17AD329E" w14:textId="77777777" w:rsidR="0046798B" w:rsidRDefault="00903B5C">
            <w:pPr>
              <w:pStyle w:val="TableParagraph"/>
              <w:spacing w:before="43"/>
              <w:ind w:left="114" w:right="146"/>
              <w:rPr>
                <w:sz w:val="20"/>
              </w:rPr>
            </w:pPr>
            <w:r>
              <w:rPr>
                <w:sz w:val="20"/>
              </w:rPr>
              <w:t>Contributions to the state Republican Party</w:t>
            </w:r>
          </w:p>
        </w:tc>
        <w:tc>
          <w:tcPr>
            <w:tcW w:w="1285" w:type="dxa"/>
          </w:tcPr>
          <w:p w14:paraId="6A7B9F41" w14:textId="77777777" w:rsidR="0046798B" w:rsidRDefault="0046798B">
            <w:pPr>
              <w:pStyle w:val="TableParagraph"/>
            </w:pPr>
          </w:p>
          <w:p w14:paraId="239961DF" w14:textId="77777777" w:rsidR="0046798B" w:rsidRDefault="00903B5C">
            <w:pPr>
              <w:pStyle w:val="TableParagraph"/>
              <w:spacing w:before="135"/>
              <w:ind w:left="114"/>
              <w:rPr>
                <w:sz w:val="20"/>
              </w:rPr>
            </w:pPr>
            <w:r>
              <w:rPr>
                <w:sz w:val="20"/>
              </w:rPr>
              <w:t>1996–2016</w:t>
            </w:r>
          </w:p>
        </w:tc>
        <w:tc>
          <w:tcPr>
            <w:tcW w:w="3421" w:type="dxa"/>
          </w:tcPr>
          <w:p w14:paraId="4E4C7902" w14:textId="77777777" w:rsidR="0046798B" w:rsidRDefault="0046798B">
            <w:pPr>
              <w:pStyle w:val="TableParagraph"/>
              <w:spacing w:before="8"/>
              <w:rPr>
                <w:sz w:val="23"/>
              </w:rPr>
            </w:pPr>
          </w:p>
          <w:p w14:paraId="66CB2920" w14:textId="77777777" w:rsidR="0046798B" w:rsidRDefault="00903B5C">
            <w:pPr>
              <w:pStyle w:val="TableParagraph"/>
              <w:spacing w:before="1"/>
              <w:ind w:left="114" w:right="755"/>
              <w:rPr>
                <w:sz w:val="20"/>
              </w:rPr>
            </w:pPr>
            <w:r>
              <w:rPr>
                <w:sz w:val="20"/>
              </w:rPr>
              <w:t>Total contributions for the state Republican party</w:t>
            </w:r>
          </w:p>
        </w:tc>
        <w:tc>
          <w:tcPr>
            <w:tcW w:w="6482" w:type="dxa"/>
          </w:tcPr>
          <w:p w14:paraId="1AF5A3F1" w14:textId="77777777" w:rsidR="0046798B" w:rsidRDefault="0046798B">
            <w:pPr>
              <w:pStyle w:val="TableParagraph"/>
              <w:spacing w:before="8"/>
              <w:rPr>
                <w:sz w:val="23"/>
              </w:rPr>
            </w:pPr>
          </w:p>
          <w:p w14:paraId="5C9F1CEE" w14:textId="77777777" w:rsidR="0046798B" w:rsidRDefault="00903B5C">
            <w:pPr>
              <w:pStyle w:val="TableParagraph"/>
              <w:spacing w:before="1"/>
              <w:ind w:left="114" w:right="1194"/>
              <w:rPr>
                <w:sz w:val="20"/>
              </w:rPr>
            </w:pPr>
            <w:r>
              <w:rPr>
                <w:sz w:val="20"/>
              </w:rPr>
              <w:t xml:space="preserve">National Institute on Money in Politics. 2016. Helena, Montana. </w:t>
            </w:r>
            <w:hyperlink r:id="rId667">
              <w:r>
                <w:rPr>
                  <w:color w:val="0462C1"/>
                  <w:sz w:val="20"/>
                  <w:u w:val="single" w:color="0462C1"/>
                </w:rPr>
                <w:t>www.followthemoney.org</w:t>
              </w:r>
            </w:hyperlink>
          </w:p>
        </w:tc>
      </w:tr>
      <w:tr w:rsidR="0046798B" w14:paraId="5D66C13C" w14:textId="77777777">
        <w:trPr>
          <w:trHeight w:val="1005"/>
        </w:trPr>
        <w:tc>
          <w:tcPr>
            <w:tcW w:w="1711" w:type="dxa"/>
          </w:tcPr>
          <w:p w14:paraId="46956CDD" w14:textId="77777777" w:rsidR="0046798B" w:rsidRDefault="0046798B">
            <w:pPr>
              <w:pStyle w:val="TableParagraph"/>
            </w:pPr>
          </w:p>
          <w:p w14:paraId="6D7E444E" w14:textId="77777777" w:rsidR="0046798B" w:rsidRDefault="00903B5C">
            <w:pPr>
              <w:pStyle w:val="TableParagraph"/>
              <w:spacing w:before="130"/>
              <w:ind w:left="115"/>
              <w:rPr>
                <w:b/>
                <w:sz w:val="20"/>
              </w:rPr>
            </w:pPr>
            <w:r>
              <w:rPr>
                <w:b/>
                <w:sz w:val="20"/>
              </w:rPr>
              <w:t>nonindiv_contrib</w:t>
            </w:r>
          </w:p>
        </w:tc>
        <w:tc>
          <w:tcPr>
            <w:tcW w:w="1596" w:type="dxa"/>
          </w:tcPr>
          <w:p w14:paraId="200F655D" w14:textId="77777777" w:rsidR="0046798B" w:rsidRDefault="00903B5C">
            <w:pPr>
              <w:pStyle w:val="TableParagraph"/>
              <w:spacing w:before="153"/>
              <w:ind w:left="114" w:right="351"/>
              <w:rPr>
                <w:sz w:val="20"/>
              </w:rPr>
            </w:pPr>
            <w:r>
              <w:rPr>
                <w:sz w:val="20"/>
              </w:rPr>
              <w:t>Contributions from non- individuals</w:t>
            </w:r>
          </w:p>
        </w:tc>
        <w:tc>
          <w:tcPr>
            <w:tcW w:w="1285" w:type="dxa"/>
          </w:tcPr>
          <w:p w14:paraId="09B07289" w14:textId="77777777" w:rsidR="0046798B" w:rsidRDefault="0046798B">
            <w:pPr>
              <w:pStyle w:val="TableParagraph"/>
            </w:pPr>
          </w:p>
          <w:p w14:paraId="5126ABC3" w14:textId="77777777" w:rsidR="0046798B" w:rsidRDefault="00903B5C">
            <w:pPr>
              <w:pStyle w:val="TableParagraph"/>
              <w:spacing w:before="130"/>
              <w:ind w:left="114"/>
              <w:rPr>
                <w:sz w:val="20"/>
              </w:rPr>
            </w:pPr>
            <w:r>
              <w:rPr>
                <w:sz w:val="20"/>
              </w:rPr>
              <w:t>1989–2016</w:t>
            </w:r>
          </w:p>
        </w:tc>
        <w:tc>
          <w:tcPr>
            <w:tcW w:w="3421" w:type="dxa"/>
          </w:tcPr>
          <w:p w14:paraId="5398484E" w14:textId="77777777" w:rsidR="0046798B" w:rsidRDefault="00903B5C">
            <w:pPr>
              <w:pStyle w:val="TableParagraph"/>
              <w:spacing w:before="38"/>
              <w:ind w:left="114" w:right="233"/>
              <w:rPr>
                <w:sz w:val="20"/>
              </w:rPr>
            </w:pPr>
            <w:r>
              <w:rPr>
                <w:sz w:val="20"/>
              </w:rPr>
              <w:t>Total contributions to state candidates from non-individuals (e.g., labor unions, parties and candidates, business, PACs, etc.)</w:t>
            </w:r>
          </w:p>
        </w:tc>
        <w:tc>
          <w:tcPr>
            <w:tcW w:w="6482" w:type="dxa"/>
          </w:tcPr>
          <w:p w14:paraId="141ACAD4" w14:textId="77777777" w:rsidR="0046798B" w:rsidRDefault="0046798B">
            <w:pPr>
              <w:pStyle w:val="TableParagraph"/>
              <w:spacing w:before="4"/>
              <w:rPr>
                <w:sz w:val="23"/>
              </w:rPr>
            </w:pPr>
          </w:p>
          <w:p w14:paraId="62E3EF78" w14:textId="77777777" w:rsidR="0046798B" w:rsidRDefault="00903B5C">
            <w:pPr>
              <w:pStyle w:val="TableParagraph"/>
              <w:ind w:left="114" w:right="1194"/>
              <w:rPr>
                <w:sz w:val="20"/>
              </w:rPr>
            </w:pPr>
            <w:r>
              <w:rPr>
                <w:sz w:val="20"/>
              </w:rPr>
              <w:t xml:space="preserve">National Institute on Money in Politics. 2016. Helena, Montana. </w:t>
            </w:r>
            <w:hyperlink r:id="rId668">
              <w:r>
                <w:rPr>
                  <w:color w:val="0462C1"/>
                  <w:sz w:val="20"/>
                  <w:u w:val="single" w:color="0462C1"/>
                </w:rPr>
                <w:t>www.followthemoney.org</w:t>
              </w:r>
            </w:hyperlink>
          </w:p>
        </w:tc>
      </w:tr>
      <w:tr w:rsidR="0046798B" w14:paraId="4D331E49" w14:textId="77777777">
        <w:trPr>
          <w:trHeight w:val="545"/>
        </w:trPr>
        <w:tc>
          <w:tcPr>
            <w:tcW w:w="1711" w:type="dxa"/>
          </w:tcPr>
          <w:p w14:paraId="4A0FF130" w14:textId="77777777" w:rsidR="0046798B" w:rsidRDefault="00903B5C">
            <w:pPr>
              <w:pStyle w:val="TableParagraph"/>
              <w:spacing w:before="38"/>
              <w:ind w:left="115"/>
              <w:rPr>
                <w:b/>
                <w:sz w:val="20"/>
              </w:rPr>
            </w:pPr>
            <w:r>
              <w:rPr>
                <w:b/>
                <w:sz w:val="20"/>
              </w:rPr>
              <w:t>contrib_to_incu mbs</w:t>
            </w:r>
          </w:p>
        </w:tc>
        <w:tc>
          <w:tcPr>
            <w:tcW w:w="1596" w:type="dxa"/>
          </w:tcPr>
          <w:p w14:paraId="60A4A8D6" w14:textId="77777777" w:rsidR="0046798B" w:rsidRDefault="00903B5C">
            <w:pPr>
              <w:pStyle w:val="TableParagraph"/>
              <w:spacing w:before="38"/>
              <w:ind w:left="114" w:right="113"/>
              <w:rPr>
                <w:sz w:val="20"/>
              </w:rPr>
            </w:pPr>
            <w:r>
              <w:rPr>
                <w:sz w:val="20"/>
              </w:rPr>
              <w:t>Contributions to state incumbents</w:t>
            </w:r>
          </w:p>
        </w:tc>
        <w:tc>
          <w:tcPr>
            <w:tcW w:w="1285" w:type="dxa"/>
          </w:tcPr>
          <w:p w14:paraId="27EDF0E3" w14:textId="77777777" w:rsidR="0046798B" w:rsidRDefault="00903B5C">
            <w:pPr>
              <w:pStyle w:val="TableParagraph"/>
              <w:spacing w:before="153"/>
              <w:ind w:left="114"/>
              <w:rPr>
                <w:sz w:val="20"/>
              </w:rPr>
            </w:pPr>
            <w:r>
              <w:rPr>
                <w:sz w:val="20"/>
              </w:rPr>
              <w:t>1986–2016</w:t>
            </w:r>
          </w:p>
        </w:tc>
        <w:tc>
          <w:tcPr>
            <w:tcW w:w="3421" w:type="dxa"/>
          </w:tcPr>
          <w:p w14:paraId="6E3EF174" w14:textId="77777777" w:rsidR="0046798B" w:rsidRDefault="00903B5C">
            <w:pPr>
              <w:pStyle w:val="TableParagraph"/>
              <w:spacing w:before="38"/>
              <w:ind w:left="114" w:right="399"/>
              <w:rPr>
                <w:sz w:val="20"/>
              </w:rPr>
            </w:pPr>
            <w:r>
              <w:rPr>
                <w:sz w:val="20"/>
              </w:rPr>
              <w:t>Total contributions to all incumbent candidates running for state offices</w:t>
            </w:r>
          </w:p>
        </w:tc>
        <w:tc>
          <w:tcPr>
            <w:tcW w:w="6482" w:type="dxa"/>
          </w:tcPr>
          <w:p w14:paraId="7FC1E9CB" w14:textId="77777777" w:rsidR="0046798B" w:rsidRDefault="00903B5C">
            <w:pPr>
              <w:pStyle w:val="TableParagraph"/>
              <w:spacing w:before="38"/>
              <w:ind w:left="114" w:right="1194"/>
              <w:rPr>
                <w:sz w:val="20"/>
              </w:rPr>
            </w:pPr>
            <w:r>
              <w:rPr>
                <w:sz w:val="20"/>
              </w:rPr>
              <w:t xml:space="preserve">National Institute on Money in Politics. 2016. Helena, Montana. </w:t>
            </w:r>
            <w:hyperlink r:id="rId669">
              <w:r>
                <w:rPr>
                  <w:color w:val="0462C1"/>
                  <w:sz w:val="20"/>
                  <w:u w:val="single" w:color="0462C1"/>
                </w:rPr>
                <w:t>www.followthemoney.org</w:t>
              </w:r>
            </w:hyperlink>
          </w:p>
        </w:tc>
      </w:tr>
      <w:tr w:rsidR="0046798B" w14:paraId="1E97EA31" w14:textId="77777777">
        <w:trPr>
          <w:trHeight w:val="775"/>
        </w:trPr>
        <w:tc>
          <w:tcPr>
            <w:tcW w:w="1711" w:type="dxa"/>
          </w:tcPr>
          <w:p w14:paraId="3D1DB501" w14:textId="77777777" w:rsidR="0046798B" w:rsidRDefault="0046798B">
            <w:pPr>
              <w:pStyle w:val="TableParagraph"/>
              <w:spacing w:before="8"/>
              <w:rPr>
                <w:sz w:val="23"/>
              </w:rPr>
            </w:pPr>
          </w:p>
          <w:p w14:paraId="37B5C314" w14:textId="77777777" w:rsidR="0046798B" w:rsidRDefault="00903B5C">
            <w:pPr>
              <w:pStyle w:val="TableParagraph"/>
              <w:spacing w:before="1"/>
              <w:ind w:left="115"/>
              <w:rPr>
                <w:b/>
                <w:sz w:val="20"/>
              </w:rPr>
            </w:pPr>
            <w:r>
              <w:rPr>
                <w:b/>
                <w:sz w:val="20"/>
              </w:rPr>
              <w:t>contrib_to_dems</w:t>
            </w:r>
          </w:p>
        </w:tc>
        <w:tc>
          <w:tcPr>
            <w:tcW w:w="1596" w:type="dxa"/>
          </w:tcPr>
          <w:p w14:paraId="53099654" w14:textId="77777777" w:rsidR="0046798B" w:rsidRDefault="00903B5C">
            <w:pPr>
              <w:pStyle w:val="TableParagraph"/>
              <w:spacing w:before="43"/>
              <w:ind w:left="114" w:right="116"/>
              <w:jc w:val="both"/>
              <w:rPr>
                <w:sz w:val="20"/>
              </w:rPr>
            </w:pPr>
            <w:r>
              <w:rPr>
                <w:sz w:val="20"/>
              </w:rPr>
              <w:t>Contributions to state Democratic candidates</w:t>
            </w:r>
          </w:p>
        </w:tc>
        <w:tc>
          <w:tcPr>
            <w:tcW w:w="1285" w:type="dxa"/>
          </w:tcPr>
          <w:p w14:paraId="31D8F9F8" w14:textId="77777777" w:rsidR="0046798B" w:rsidRDefault="0046798B">
            <w:pPr>
              <w:pStyle w:val="TableParagraph"/>
              <w:spacing w:before="8"/>
              <w:rPr>
                <w:sz w:val="23"/>
              </w:rPr>
            </w:pPr>
          </w:p>
          <w:p w14:paraId="6BFA76AF" w14:textId="77777777" w:rsidR="0046798B" w:rsidRDefault="00903B5C">
            <w:pPr>
              <w:pStyle w:val="TableParagraph"/>
              <w:spacing w:before="1"/>
              <w:ind w:left="114"/>
              <w:rPr>
                <w:sz w:val="20"/>
              </w:rPr>
            </w:pPr>
            <w:r>
              <w:rPr>
                <w:sz w:val="20"/>
              </w:rPr>
              <w:t>1988–2016</w:t>
            </w:r>
          </w:p>
        </w:tc>
        <w:tc>
          <w:tcPr>
            <w:tcW w:w="3421" w:type="dxa"/>
          </w:tcPr>
          <w:p w14:paraId="02A7FE61" w14:textId="77777777" w:rsidR="0046798B" w:rsidRDefault="00903B5C">
            <w:pPr>
              <w:pStyle w:val="TableParagraph"/>
              <w:spacing w:before="158"/>
              <w:ind w:left="114" w:right="311"/>
              <w:rPr>
                <w:sz w:val="20"/>
              </w:rPr>
            </w:pPr>
            <w:r>
              <w:rPr>
                <w:sz w:val="20"/>
              </w:rPr>
              <w:t>Total contributions to all Democratic candidates running for state offices</w:t>
            </w:r>
          </w:p>
        </w:tc>
        <w:tc>
          <w:tcPr>
            <w:tcW w:w="6482" w:type="dxa"/>
          </w:tcPr>
          <w:p w14:paraId="01D68ACF" w14:textId="77777777" w:rsidR="0046798B" w:rsidRDefault="00903B5C">
            <w:pPr>
              <w:pStyle w:val="TableParagraph"/>
              <w:spacing w:before="158"/>
              <w:ind w:left="114" w:right="1194"/>
              <w:rPr>
                <w:sz w:val="20"/>
              </w:rPr>
            </w:pPr>
            <w:r>
              <w:rPr>
                <w:sz w:val="20"/>
              </w:rPr>
              <w:t xml:space="preserve">National Institute on Money in Politics. 2016. Helena, Montana. </w:t>
            </w:r>
            <w:hyperlink r:id="rId670">
              <w:r>
                <w:rPr>
                  <w:color w:val="0462C1"/>
                  <w:sz w:val="20"/>
                  <w:u w:val="single" w:color="0462C1"/>
                </w:rPr>
                <w:t>www.followthemoney.org</w:t>
              </w:r>
            </w:hyperlink>
          </w:p>
        </w:tc>
      </w:tr>
      <w:tr w:rsidR="0046798B" w14:paraId="24E467DD" w14:textId="77777777">
        <w:trPr>
          <w:trHeight w:val="775"/>
        </w:trPr>
        <w:tc>
          <w:tcPr>
            <w:tcW w:w="1711" w:type="dxa"/>
          </w:tcPr>
          <w:p w14:paraId="45000CBF" w14:textId="77777777" w:rsidR="0046798B" w:rsidRDefault="0046798B">
            <w:pPr>
              <w:pStyle w:val="TableParagraph"/>
              <w:spacing w:before="9"/>
              <w:rPr>
                <w:sz w:val="23"/>
              </w:rPr>
            </w:pPr>
          </w:p>
          <w:p w14:paraId="2DF5E15E" w14:textId="77777777" w:rsidR="0046798B" w:rsidRDefault="00903B5C">
            <w:pPr>
              <w:pStyle w:val="TableParagraph"/>
              <w:ind w:left="115"/>
              <w:rPr>
                <w:b/>
                <w:sz w:val="20"/>
              </w:rPr>
            </w:pPr>
            <w:r>
              <w:rPr>
                <w:b/>
                <w:sz w:val="20"/>
              </w:rPr>
              <w:t>contrib_to_reps</w:t>
            </w:r>
          </w:p>
        </w:tc>
        <w:tc>
          <w:tcPr>
            <w:tcW w:w="1596" w:type="dxa"/>
          </w:tcPr>
          <w:p w14:paraId="4CD38ECA" w14:textId="77777777" w:rsidR="0046798B" w:rsidRDefault="00903B5C">
            <w:pPr>
              <w:pStyle w:val="TableParagraph"/>
              <w:spacing w:before="44"/>
              <w:ind w:left="114" w:right="140"/>
              <w:jc w:val="both"/>
              <w:rPr>
                <w:sz w:val="20"/>
              </w:rPr>
            </w:pPr>
            <w:r>
              <w:rPr>
                <w:sz w:val="20"/>
              </w:rPr>
              <w:t>Contributions to state Republican candidates</w:t>
            </w:r>
          </w:p>
        </w:tc>
        <w:tc>
          <w:tcPr>
            <w:tcW w:w="1285" w:type="dxa"/>
          </w:tcPr>
          <w:p w14:paraId="6B19CBB3" w14:textId="77777777" w:rsidR="0046798B" w:rsidRDefault="0046798B">
            <w:pPr>
              <w:pStyle w:val="TableParagraph"/>
              <w:spacing w:before="9"/>
              <w:rPr>
                <w:sz w:val="23"/>
              </w:rPr>
            </w:pPr>
          </w:p>
          <w:p w14:paraId="57A87694" w14:textId="77777777" w:rsidR="0046798B" w:rsidRDefault="00903B5C">
            <w:pPr>
              <w:pStyle w:val="TableParagraph"/>
              <w:ind w:left="114"/>
              <w:rPr>
                <w:sz w:val="20"/>
              </w:rPr>
            </w:pPr>
            <w:r>
              <w:rPr>
                <w:sz w:val="20"/>
              </w:rPr>
              <w:t>1988–2016</w:t>
            </w:r>
          </w:p>
        </w:tc>
        <w:tc>
          <w:tcPr>
            <w:tcW w:w="3421" w:type="dxa"/>
          </w:tcPr>
          <w:p w14:paraId="74DA02F9" w14:textId="77777777" w:rsidR="0046798B" w:rsidRDefault="00903B5C">
            <w:pPr>
              <w:pStyle w:val="TableParagraph"/>
              <w:spacing w:before="159"/>
              <w:ind w:left="114" w:right="333"/>
              <w:rPr>
                <w:sz w:val="20"/>
              </w:rPr>
            </w:pPr>
            <w:r>
              <w:rPr>
                <w:sz w:val="20"/>
              </w:rPr>
              <w:t>Total contributions to all Republican candidates running for state offices</w:t>
            </w:r>
          </w:p>
        </w:tc>
        <w:tc>
          <w:tcPr>
            <w:tcW w:w="6482" w:type="dxa"/>
          </w:tcPr>
          <w:p w14:paraId="6AB10A48" w14:textId="77777777" w:rsidR="0046798B" w:rsidRDefault="00903B5C">
            <w:pPr>
              <w:pStyle w:val="TableParagraph"/>
              <w:spacing w:before="159"/>
              <w:ind w:left="114" w:right="1194"/>
              <w:rPr>
                <w:sz w:val="20"/>
              </w:rPr>
            </w:pPr>
            <w:r>
              <w:rPr>
                <w:sz w:val="20"/>
              </w:rPr>
              <w:t xml:space="preserve">National Institute on Money in Politics. 2016. Helena, Montana. </w:t>
            </w:r>
            <w:hyperlink r:id="rId671">
              <w:r>
                <w:rPr>
                  <w:color w:val="0462C1"/>
                  <w:sz w:val="20"/>
                  <w:u w:val="single" w:color="0462C1"/>
                </w:rPr>
                <w:t>www.followthemoney.org</w:t>
              </w:r>
            </w:hyperlink>
          </w:p>
        </w:tc>
      </w:tr>
      <w:tr w:rsidR="0046798B" w14:paraId="3076AD4F" w14:textId="77777777">
        <w:trPr>
          <w:trHeight w:val="775"/>
        </w:trPr>
        <w:tc>
          <w:tcPr>
            <w:tcW w:w="1711" w:type="dxa"/>
          </w:tcPr>
          <w:p w14:paraId="69715EDA" w14:textId="77777777" w:rsidR="0046798B" w:rsidRDefault="00903B5C">
            <w:pPr>
              <w:pStyle w:val="TableParagraph"/>
              <w:spacing w:before="158"/>
              <w:ind w:left="115"/>
              <w:rPr>
                <w:b/>
                <w:sz w:val="20"/>
              </w:rPr>
            </w:pPr>
            <w:r>
              <w:rPr>
                <w:b/>
                <w:sz w:val="20"/>
              </w:rPr>
              <w:t>contrib_to_third party</w:t>
            </w:r>
          </w:p>
        </w:tc>
        <w:tc>
          <w:tcPr>
            <w:tcW w:w="1596" w:type="dxa"/>
          </w:tcPr>
          <w:p w14:paraId="3D50BBAB" w14:textId="77777777" w:rsidR="0046798B" w:rsidRDefault="00903B5C">
            <w:pPr>
              <w:pStyle w:val="TableParagraph"/>
              <w:spacing w:before="43"/>
              <w:ind w:left="114" w:right="164"/>
              <w:jc w:val="both"/>
              <w:rPr>
                <w:sz w:val="20"/>
              </w:rPr>
            </w:pPr>
            <w:r>
              <w:rPr>
                <w:sz w:val="20"/>
              </w:rPr>
              <w:t>Contributions to state third-party candidates</w:t>
            </w:r>
          </w:p>
        </w:tc>
        <w:tc>
          <w:tcPr>
            <w:tcW w:w="1285" w:type="dxa"/>
          </w:tcPr>
          <w:p w14:paraId="5D3C6D3B" w14:textId="77777777" w:rsidR="0046798B" w:rsidRDefault="0046798B">
            <w:pPr>
              <w:pStyle w:val="TableParagraph"/>
              <w:spacing w:before="8"/>
              <w:rPr>
                <w:sz w:val="23"/>
              </w:rPr>
            </w:pPr>
          </w:p>
          <w:p w14:paraId="72374FAA" w14:textId="77777777" w:rsidR="0046798B" w:rsidRDefault="00903B5C">
            <w:pPr>
              <w:pStyle w:val="TableParagraph"/>
              <w:spacing w:before="1"/>
              <w:ind w:left="114"/>
              <w:rPr>
                <w:sz w:val="20"/>
              </w:rPr>
            </w:pPr>
            <w:r>
              <w:rPr>
                <w:sz w:val="20"/>
              </w:rPr>
              <w:t>1990–2016</w:t>
            </w:r>
          </w:p>
        </w:tc>
        <w:tc>
          <w:tcPr>
            <w:tcW w:w="3421" w:type="dxa"/>
          </w:tcPr>
          <w:p w14:paraId="4EF827CA" w14:textId="77777777" w:rsidR="0046798B" w:rsidRDefault="00903B5C">
            <w:pPr>
              <w:pStyle w:val="TableParagraph"/>
              <w:spacing w:before="158"/>
              <w:ind w:left="114" w:right="388"/>
              <w:rPr>
                <w:sz w:val="20"/>
              </w:rPr>
            </w:pPr>
            <w:r>
              <w:rPr>
                <w:sz w:val="20"/>
              </w:rPr>
              <w:t>Total contributions to all third-party candidates running for state offices</w:t>
            </w:r>
          </w:p>
        </w:tc>
        <w:tc>
          <w:tcPr>
            <w:tcW w:w="6482" w:type="dxa"/>
          </w:tcPr>
          <w:p w14:paraId="211B541D" w14:textId="77777777" w:rsidR="0046798B" w:rsidRDefault="00903B5C">
            <w:pPr>
              <w:pStyle w:val="TableParagraph"/>
              <w:spacing w:before="158"/>
              <w:ind w:left="114" w:right="1194"/>
              <w:rPr>
                <w:sz w:val="20"/>
              </w:rPr>
            </w:pPr>
            <w:r>
              <w:rPr>
                <w:sz w:val="20"/>
              </w:rPr>
              <w:t xml:space="preserve">National Institute on Money in Politics. 2016. Helena, Montana. </w:t>
            </w:r>
            <w:hyperlink r:id="rId672">
              <w:r>
                <w:rPr>
                  <w:color w:val="0462C1"/>
                  <w:sz w:val="20"/>
                  <w:u w:val="single" w:color="0462C1"/>
                </w:rPr>
                <w:t>www.followthemoney.org</w:t>
              </w:r>
            </w:hyperlink>
          </w:p>
        </w:tc>
      </w:tr>
      <w:tr w:rsidR="0046798B" w14:paraId="5F9D9BE5" w14:textId="77777777">
        <w:trPr>
          <w:trHeight w:val="1010"/>
        </w:trPr>
        <w:tc>
          <w:tcPr>
            <w:tcW w:w="1711" w:type="dxa"/>
          </w:tcPr>
          <w:p w14:paraId="53E38232" w14:textId="77777777" w:rsidR="0046798B" w:rsidRDefault="0046798B">
            <w:pPr>
              <w:pStyle w:val="TableParagraph"/>
            </w:pPr>
          </w:p>
          <w:p w14:paraId="5A06917A" w14:textId="77777777" w:rsidR="0046798B" w:rsidRDefault="00903B5C">
            <w:pPr>
              <w:pStyle w:val="TableParagraph"/>
              <w:spacing w:before="135"/>
              <w:ind w:left="115"/>
              <w:rPr>
                <w:b/>
                <w:sz w:val="20"/>
              </w:rPr>
            </w:pPr>
            <w:r>
              <w:rPr>
                <w:b/>
                <w:sz w:val="20"/>
              </w:rPr>
              <w:t>contrib_agri</w:t>
            </w:r>
          </w:p>
        </w:tc>
        <w:tc>
          <w:tcPr>
            <w:tcW w:w="1596" w:type="dxa"/>
          </w:tcPr>
          <w:p w14:paraId="4907E2F1" w14:textId="77777777" w:rsidR="0046798B" w:rsidRDefault="00903B5C">
            <w:pPr>
              <w:pStyle w:val="TableParagraph"/>
              <w:spacing w:before="43"/>
              <w:ind w:left="114" w:right="351"/>
              <w:rPr>
                <w:sz w:val="20"/>
              </w:rPr>
            </w:pPr>
            <w:r>
              <w:rPr>
                <w:sz w:val="20"/>
              </w:rPr>
              <w:t>Contributions from the agricultural sector</w:t>
            </w:r>
          </w:p>
        </w:tc>
        <w:tc>
          <w:tcPr>
            <w:tcW w:w="1285" w:type="dxa"/>
          </w:tcPr>
          <w:p w14:paraId="4E9A076C" w14:textId="77777777" w:rsidR="0046798B" w:rsidRDefault="0046798B">
            <w:pPr>
              <w:pStyle w:val="TableParagraph"/>
            </w:pPr>
          </w:p>
          <w:p w14:paraId="061BAC34" w14:textId="77777777" w:rsidR="0046798B" w:rsidRDefault="00903B5C">
            <w:pPr>
              <w:pStyle w:val="TableParagraph"/>
              <w:spacing w:before="135"/>
              <w:ind w:left="114"/>
              <w:rPr>
                <w:sz w:val="20"/>
              </w:rPr>
            </w:pPr>
            <w:r>
              <w:rPr>
                <w:sz w:val="20"/>
              </w:rPr>
              <w:t>1989–2016</w:t>
            </w:r>
          </w:p>
        </w:tc>
        <w:tc>
          <w:tcPr>
            <w:tcW w:w="3421" w:type="dxa"/>
          </w:tcPr>
          <w:p w14:paraId="6EAA04EE" w14:textId="77777777" w:rsidR="0046798B" w:rsidRDefault="00903B5C">
            <w:pPr>
              <w:pStyle w:val="TableParagraph"/>
              <w:spacing w:before="158"/>
              <w:ind w:left="114" w:right="477"/>
              <w:rPr>
                <w:sz w:val="20"/>
              </w:rPr>
            </w:pPr>
            <w:r>
              <w:rPr>
                <w:sz w:val="20"/>
              </w:rPr>
              <w:t>Total contributions to state office candidates from contributors in the agricultural sector</w:t>
            </w:r>
          </w:p>
        </w:tc>
        <w:tc>
          <w:tcPr>
            <w:tcW w:w="6482" w:type="dxa"/>
          </w:tcPr>
          <w:p w14:paraId="0B8C0797" w14:textId="77777777" w:rsidR="0046798B" w:rsidRDefault="0046798B">
            <w:pPr>
              <w:pStyle w:val="TableParagraph"/>
              <w:spacing w:before="8"/>
              <w:rPr>
                <w:sz w:val="23"/>
              </w:rPr>
            </w:pPr>
          </w:p>
          <w:p w14:paraId="160BD957" w14:textId="77777777" w:rsidR="0046798B" w:rsidRDefault="00903B5C">
            <w:pPr>
              <w:pStyle w:val="TableParagraph"/>
              <w:spacing w:before="1"/>
              <w:ind w:left="114" w:right="1194"/>
              <w:rPr>
                <w:sz w:val="20"/>
              </w:rPr>
            </w:pPr>
            <w:r>
              <w:rPr>
                <w:sz w:val="20"/>
              </w:rPr>
              <w:t xml:space="preserve">National Institute on Money in Politics. 2016. Helena, Montana. </w:t>
            </w:r>
            <w:hyperlink r:id="rId673">
              <w:r>
                <w:rPr>
                  <w:color w:val="0462C1"/>
                  <w:sz w:val="20"/>
                  <w:u w:val="single" w:color="0462C1"/>
                </w:rPr>
                <w:t>www.followthemoney.org</w:t>
              </w:r>
            </w:hyperlink>
          </w:p>
        </w:tc>
      </w:tr>
      <w:tr w:rsidR="0046798B" w14:paraId="74ACB040" w14:textId="77777777">
        <w:trPr>
          <w:trHeight w:val="1005"/>
        </w:trPr>
        <w:tc>
          <w:tcPr>
            <w:tcW w:w="1711" w:type="dxa"/>
          </w:tcPr>
          <w:p w14:paraId="3C72905C" w14:textId="77777777" w:rsidR="0046798B" w:rsidRDefault="0046798B">
            <w:pPr>
              <w:pStyle w:val="TableParagraph"/>
              <w:spacing w:before="4"/>
              <w:rPr>
                <w:sz w:val="23"/>
              </w:rPr>
            </w:pPr>
          </w:p>
          <w:p w14:paraId="1218F00B" w14:textId="77777777" w:rsidR="0046798B" w:rsidRDefault="00903B5C">
            <w:pPr>
              <w:pStyle w:val="TableParagraph"/>
              <w:ind w:left="115"/>
              <w:rPr>
                <w:b/>
                <w:sz w:val="20"/>
              </w:rPr>
            </w:pPr>
            <w:r>
              <w:rPr>
                <w:b/>
                <w:sz w:val="20"/>
              </w:rPr>
              <w:t>contrib_candidat es</w:t>
            </w:r>
          </w:p>
        </w:tc>
        <w:tc>
          <w:tcPr>
            <w:tcW w:w="1596" w:type="dxa"/>
          </w:tcPr>
          <w:p w14:paraId="61BD8892" w14:textId="77777777" w:rsidR="0046798B" w:rsidRDefault="00903B5C">
            <w:pPr>
              <w:pStyle w:val="TableParagraph"/>
              <w:spacing w:before="38"/>
              <w:ind w:left="114" w:right="351"/>
              <w:rPr>
                <w:sz w:val="20"/>
              </w:rPr>
            </w:pPr>
            <w:r>
              <w:rPr>
                <w:sz w:val="20"/>
              </w:rPr>
              <w:t>Contributions from other political candidates</w:t>
            </w:r>
          </w:p>
        </w:tc>
        <w:tc>
          <w:tcPr>
            <w:tcW w:w="1285" w:type="dxa"/>
          </w:tcPr>
          <w:p w14:paraId="3F2D3A2E" w14:textId="77777777" w:rsidR="0046798B" w:rsidRDefault="0046798B">
            <w:pPr>
              <w:pStyle w:val="TableParagraph"/>
            </w:pPr>
          </w:p>
          <w:p w14:paraId="451DDB31" w14:textId="77777777" w:rsidR="0046798B" w:rsidRDefault="00903B5C">
            <w:pPr>
              <w:pStyle w:val="TableParagraph"/>
              <w:spacing w:before="130"/>
              <w:ind w:left="114"/>
              <w:rPr>
                <w:sz w:val="20"/>
              </w:rPr>
            </w:pPr>
            <w:r>
              <w:rPr>
                <w:sz w:val="20"/>
              </w:rPr>
              <w:t>1989–2016</w:t>
            </w:r>
          </w:p>
        </w:tc>
        <w:tc>
          <w:tcPr>
            <w:tcW w:w="3421" w:type="dxa"/>
          </w:tcPr>
          <w:p w14:paraId="256EB088" w14:textId="77777777" w:rsidR="0046798B" w:rsidRDefault="0046798B">
            <w:pPr>
              <w:pStyle w:val="TableParagraph"/>
              <w:spacing w:before="4"/>
              <w:rPr>
                <w:sz w:val="23"/>
              </w:rPr>
            </w:pPr>
          </w:p>
          <w:p w14:paraId="2277210F" w14:textId="77777777" w:rsidR="0046798B" w:rsidRDefault="00903B5C">
            <w:pPr>
              <w:pStyle w:val="TableParagraph"/>
              <w:ind w:left="114" w:right="611"/>
              <w:rPr>
                <w:sz w:val="20"/>
              </w:rPr>
            </w:pPr>
            <w:r>
              <w:rPr>
                <w:sz w:val="20"/>
              </w:rPr>
              <w:t>Total contributions to state office candidates from other candidates</w:t>
            </w:r>
          </w:p>
        </w:tc>
        <w:tc>
          <w:tcPr>
            <w:tcW w:w="6482" w:type="dxa"/>
          </w:tcPr>
          <w:p w14:paraId="4F3BF325" w14:textId="77777777" w:rsidR="0046798B" w:rsidRDefault="0046798B">
            <w:pPr>
              <w:pStyle w:val="TableParagraph"/>
              <w:spacing w:before="4"/>
              <w:rPr>
                <w:sz w:val="23"/>
              </w:rPr>
            </w:pPr>
          </w:p>
          <w:p w14:paraId="49EBC335" w14:textId="77777777" w:rsidR="0046798B" w:rsidRDefault="00903B5C">
            <w:pPr>
              <w:pStyle w:val="TableParagraph"/>
              <w:ind w:left="114" w:right="1194"/>
              <w:rPr>
                <w:sz w:val="20"/>
              </w:rPr>
            </w:pPr>
            <w:r>
              <w:rPr>
                <w:sz w:val="20"/>
              </w:rPr>
              <w:t xml:space="preserve">National Institute on Money in Politics. 2016. Helena, Montana. </w:t>
            </w:r>
            <w:hyperlink r:id="rId674">
              <w:r>
                <w:rPr>
                  <w:color w:val="0462C1"/>
                  <w:sz w:val="20"/>
                  <w:u w:val="single" w:color="0462C1"/>
                </w:rPr>
                <w:t>www.followthemoney.org</w:t>
              </w:r>
            </w:hyperlink>
          </w:p>
        </w:tc>
      </w:tr>
    </w:tbl>
    <w:p w14:paraId="1FF28BF3" w14:textId="77777777" w:rsidR="0046798B" w:rsidRDefault="0046798B">
      <w:pPr>
        <w:rPr>
          <w:sz w:val="20"/>
        </w:rPr>
        <w:sectPr w:rsidR="0046798B">
          <w:pgSz w:w="15840" w:h="12240" w:orient="landscape"/>
          <w:pgMar w:top="1220" w:right="300" w:bottom="980" w:left="820" w:header="730" w:footer="787" w:gutter="0"/>
          <w:cols w:space="720"/>
        </w:sectPr>
      </w:pPr>
    </w:p>
    <w:p w14:paraId="36EFB721"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53CC8DEC" w14:textId="77777777">
        <w:trPr>
          <w:trHeight w:val="1235"/>
        </w:trPr>
        <w:tc>
          <w:tcPr>
            <w:tcW w:w="1711" w:type="dxa"/>
          </w:tcPr>
          <w:p w14:paraId="25513C44" w14:textId="77777777" w:rsidR="0046798B" w:rsidRDefault="0046798B">
            <w:pPr>
              <w:pStyle w:val="TableParagraph"/>
            </w:pPr>
          </w:p>
          <w:p w14:paraId="3881B6EC" w14:textId="77777777" w:rsidR="0046798B" w:rsidRDefault="00903B5C">
            <w:pPr>
              <w:pStyle w:val="TableParagraph"/>
              <w:spacing w:before="135"/>
              <w:ind w:left="115" w:right="133"/>
              <w:rPr>
                <w:b/>
                <w:sz w:val="20"/>
              </w:rPr>
            </w:pPr>
            <w:r>
              <w:rPr>
                <w:b/>
                <w:sz w:val="20"/>
              </w:rPr>
              <w:t>contrib_comm_e lec</w:t>
            </w:r>
          </w:p>
        </w:tc>
        <w:tc>
          <w:tcPr>
            <w:tcW w:w="1596" w:type="dxa"/>
          </w:tcPr>
          <w:p w14:paraId="63535ABE" w14:textId="77777777" w:rsidR="0046798B" w:rsidRDefault="00903B5C">
            <w:pPr>
              <w:pStyle w:val="TableParagraph"/>
              <w:spacing w:before="43"/>
              <w:ind w:left="114" w:right="130"/>
              <w:rPr>
                <w:sz w:val="20"/>
              </w:rPr>
            </w:pPr>
            <w:r>
              <w:rPr>
                <w:sz w:val="20"/>
              </w:rPr>
              <w:t>Contributions from the communications and electronics sector</w:t>
            </w:r>
          </w:p>
        </w:tc>
        <w:tc>
          <w:tcPr>
            <w:tcW w:w="1285" w:type="dxa"/>
          </w:tcPr>
          <w:p w14:paraId="0FCD1127" w14:textId="77777777" w:rsidR="0046798B" w:rsidRDefault="0046798B">
            <w:pPr>
              <w:pStyle w:val="TableParagraph"/>
            </w:pPr>
          </w:p>
          <w:p w14:paraId="4917CEBF" w14:textId="77777777" w:rsidR="0046798B" w:rsidRDefault="0046798B">
            <w:pPr>
              <w:pStyle w:val="TableParagraph"/>
              <w:spacing w:before="9"/>
              <w:rPr>
                <w:sz w:val="21"/>
              </w:rPr>
            </w:pPr>
          </w:p>
          <w:p w14:paraId="31635D77" w14:textId="77777777" w:rsidR="0046798B" w:rsidRDefault="00903B5C">
            <w:pPr>
              <w:pStyle w:val="TableParagraph"/>
              <w:ind w:left="114"/>
              <w:rPr>
                <w:sz w:val="20"/>
              </w:rPr>
            </w:pPr>
            <w:r>
              <w:rPr>
                <w:sz w:val="20"/>
              </w:rPr>
              <w:t>1989–2016</w:t>
            </w:r>
          </w:p>
        </w:tc>
        <w:tc>
          <w:tcPr>
            <w:tcW w:w="3421" w:type="dxa"/>
          </w:tcPr>
          <w:p w14:paraId="4C055D2B" w14:textId="77777777" w:rsidR="0046798B" w:rsidRDefault="0046798B">
            <w:pPr>
              <w:pStyle w:val="TableParagraph"/>
              <w:spacing w:before="9"/>
              <w:rPr>
                <w:sz w:val="23"/>
              </w:rPr>
            </w:pPr>
          </w:p>
          <w:p w14:paraId="04D42AA5" w14:textId="77777777" w:rsidR="0046798B" w:rsidRDefault="00903B5C">
            <w:pPr>
              <w:pStyle w:val="TableParagraph"/>
              <w:ind w:left="114" w:right="172"/>
              <w:rPr>
                <w:sz w:val="20"/>
              </w:rPr>
            </w:pPr>
            <w:r>
              <w:rPr>
                <w:sz w:val="20"/>
              </w:rPr>
              <w:t>Total contributions to state office candidates from contributors in the communications and electronics sector</w:t>
            </w:r>
          </w:p>
        </w:tc>
        <w:tc>
          <w:tcPr>
            <w:tcW w:w="6482" w:type="dxa"/>
          </w:tcPr>
          <w:p w14:paraId="5A749E42" w14:textId="77777777" w:rsidR="0046798B" w:rsidRDefault="0046798B">
            <w:pPr>
              <w:pStyle w:val="TableParagraph"/>
            </w:pPr>
          </w:p>
          <w:p w14:paraId="46E82B29" w14:textId="77777777" w:rsidR="0046798B" w:rsidRDefault="00903B5C">
            <w:pPr>
              <w:pStyle w:val="TableParagraph"/>
              <w:spacing w:before="135"/>
              <w:ind w:left="114" w:right="1194"/>
              <w:rPr>
                <w:sz w:val="20"/>
              </w:rPr>
            </w:pPr>
            <w:r>
              <w:rPr>
                <w:sz w:val="20"/>
              </w:rPr>
              <w:t xml:space="preserve">National Institute on Money in Politics. 2016. Helena, Montana. </w:t>
            </w:r>
            <w:hyperlink r:id="rId675">
              <w:r>
                <w:rPr>
                  <w:color w:val="0462C1"/>
                  <w:sz w:val="20"/>
                  <w:u w:val="single" w:color="0462C1"/>
                </w:rPr>
                <w:t>www.followthemoney.org</w:t>
              </w:r>
            </w:hyperlink>
          </w:p>
        </w:tc>
      </w:tr>
      <w:tr w:rsidR="0046798B" w14:paraId="552924E3" w14:textId="77777777">
        <w:trPr>
          <w:trHeight w:val="1005"/>
        </w:trPr>
        <w:tc>
          <w:tcPr>
            <w:tcW w:w="1711" w:type="dxa"/>
          </w:tcPr>
          <w:p w14:paraId="696D8241" w14:textId="77777777" w:rsidR="0046798B" w:rsidRDefault="0046798B">
            <w:pPr>
              <w:pStyle w:val="TableParagraph"/>
              <w:spacing w:before="9"/>
              <w:rPr>
                <w:sz w:val="23"/>
              </w:rPr>
            </w:pPr>
          </w:p>
          <w:p w14:paraId="292AEA8E" w14:textId="77777777" w:rsidR="0046798B" w:rsidRDefault="00903B5C">
            <w:pPr>
              <w:pStyle w:val="TableParagraph"/>
              <w:ind w:left="115"/>
              <w:rPr>
                <w:b/>
                <w:sz w:val="20"/>
              </w:rPr>
            </w:pPr>
            <w:r>
              <w:rPr>
                <w:b/>
                <w:sz w:val="20"/>
              </w:rPr>
              <w:t>contrib_construc tion</w:t>
            </w:r>
          </w:p>
        </w:tc>
        <w:tc>
          <w:tcPr>
            <w:tcW w:w="1596" w:type="dxa"/>
          </w:tcPr>
          <w:p w14:paraId="6E75157C" w14:textId="77777777" w:rsidR="0046798B" w:rsidRDefault="00903B5C">
            <w:pPr>
              <w:pStyle w:val="TableParagraph"/>
              <w:spacing w:before="43"/>
              <w:ind w:left="114" w:right="351"/>
              <w:rPr>
                <w:sz w:val="20"/>
              </w:rPr>
            </w:pPr>
            <w:r>
              <w:rPr>
                <w:sz w:val="20"/>
              </w:rPr>
              <w:t>Contributions from the construction sector</w:t>
            </w:r>
          </w:p>
        </w:tc>
        <w:tc>
          <w:tcPr>
            <w:tcW w:w="1285" w:type="dxa"/>
          </w:tcPr>
          <w:p w14:paraId="1CC63654" w14:textId="77777777" w:rsidR="0046798B" w:rsidRDefault="0046798B">
            <w:pPr>
              <w:pStyle w:val="TableParagraph"/>
            </w:pPr>
          </w:p>
          <w:p w14:paraId="7B1EE6CA" w14:textId="77777777" w:rsidR="0046798B" w:rsidRDefault="00903B5C">
            <w:pPr>
              <w:pStyle w:val="TableParagraph"/>
              <w:spacing w:before="136"/>
              <w:ind w:left="114"/>
              <w:rPr>
                <w:sz w:val="20"/>
              </w:rPr>
            </w:pPr>
            <w:r>
              <w:rPr>
                <w:sz w:val="20"/>
              </w:rPr>
              <w:t>1989–2016</w:t>
            </w:r>
          </w:p>
        </w:tc>
        <w:tc>
          <w:tcPr>
            <w:tcW w:w="3421" w:type="dxa"/>
          </w:tcPr>
          <w:p w14:paraId="6B88CF03" w14:textId="77777777" w:rsidR="0046798B" w:rsidRDefault="00903B5C">
            <w:pPr>
              <w:pStyle w:val="TableParagraph"/>
              <w:spacing w:before="158"/>
              <w:ind w:left="114" w:right="477"/>
              <w:rPr>
                <w:sz w:val="20"/>
              </w:rPr>
            </w:pPr>
            <w:r>
              <w:rPr>
                <w:sz w:val="20"/>
              </w:rPr>
              <w:t>Total contributions to state office candidates from contributors in the construction sector</w:t>
            </w:r>
          </w:p>
        </w:tc>
        <w:tc>
          <w:tcPr>
            <w:tcW w:w="6482" w:type="dxa"/>
          </w:tcPr>
          <w:p w14:paraId="7A7A9B33" w14:textId="77777777" w:rsidR="0046798B" w:rsidRDefault="0046798B">
            <w:pPr>
              <w:pStyle w:val="TableParagraph"/>
              <w:spacing w:before="9"/>
              <w:rPr>
                <w:sz w:val="23"/>
              </w:rPr>
            </w:pPr>
          </w:p>
          <w:p w14:paraId="4CA0F022" w14:textId="77777777" w:rsidR="0046798B" w:rsidRDefault="00903B5C">
            <w:pPr>
              <w:pStyle w:val="TableParagraph"/>
              <w:ind w:left="114" w:right="1194"/>
              <w:rPr>
                <w:sz w:val="20"/>
              </w:rPr>
            </w:pPr>
            <w:r>
              <w:rPr>
                <w:sz w:val="20"/>
              </w:rPr>
              <w:t xml:space="preserve">National Institute on Money in Politics. 2016. Helena, Montana. </w:t>
            </w:r>
            <w:hyperlink r:id="rId676">
              <w:r>
                <w:rPr>
                  <w:color w:val="0462C1"/>
                  <w:sz w:val="20"/>
                  <w:u w:val="single" w:color="0462C1"/>
                </w:rPr>
                <w:t>www.followthemoney.org</w:t>
              </w:r>
            </w:hyperlink>
          </w:p>
        </w:tc>
      </w:tr>
      <w:tr w:rsidR="0046798B" w14:paraId="70DBEDF6" w14:textId="77777777">
        <w:trPr>
          <w:trHeight w:val="780"/>
        </w:trPr>
        <w:tc>
          <w:tcPr>
            <w:tcW w:w="1711" w:type="dxa"/>
          </w:tcPr>
          <w:p w14:paraId="2678FED2" w14:textId="77777777" w:rsidR="0046798B" w:rsidRDefault="0046798B">
            <w:pPr>
              <w:pStyle w:val="TableParagraph"/>
              <w:spacing w:before="8"/>
              <w:rPr>
                <w:sz w:val="23"/>
              </w:rPr>
            </w:pPr>
          </w:p>
          <w:p w14:paraId="0AD4766A" w14:textId="77777777" w:rsidR="0046798B" w:rsidRDefault="00903B5C">
            <w:pPr>
              <w:pStyle w:val="TableParagraph"/>
              <w:spacing w:before="1"/>
              <w:ind w:left="115"/>
              <w:rPr>
                <w:b/>
                <w:sz w:val="20"/>
              </w:rPr>
            </w:pPr>
            <w:r>
              <w:rPr>
                <w:b/>
                <w:sz w:val="20"/>
              </w:rPr>
              <w:t>contrib_defense</w:t>
            </w:r>
          </w:p>
        </w:tc>
        <w:tc>
          <w:tcPr>
            <w:tcW w:w="1596" w:type="dxa"/>
          </w:tcPr>
          <w:p w14:paraId="13CF75DC" w14:textId="77777777" w:rsidR="0046798B" w:rsidRDefault="00903B5C">
            <w:pPr>
              <w:pStyle w:val="TableParagraph"/>
              <w:spacing w:before="43"/>
              <w:ind w:left="114" w:right="108"/>
              <w:rPr>
                <w:sz w:val="20"/>
              </w:rPr>
            </w:pPr>
            <w:r>
              <w:rPr>
                <w:sz w:val="20"/>
              </w:rPr>
              <w:t>Contributions from the defense sector</w:t>
            </w:r>
          </w:p>
        </w:tc>
        <w:tc>
          <w:tcPr>
            <w:tcW w:w="1285" w:type="dxa"/>
          </w:tcPr>
          <w:p w14:paraId="18E938FD" w14:textId="77777777" w:rsidR="0046798B" w:rsidRDefault="0046798B">
            <w:pPr>
              <w:pStyle w:val="TableParagraph"/>
              <w:spacing w:before="8"/>
              <w:rPr>
                <w:sz w:val="23"/>
              </w:rPr>
            </w:pPr>
          </w:p>
          <w:p w14:paraId="463C0100" w14:textId="77777777" w:rsidR="0046798B" w:rsidRDefault="00903B5C">
            <w:pPr>
              <w:pStyle w:val="TableParagraph"/>
              <w:spacing w:before="1"/>
              <w:ind w:left="114"/>
              <w:rPr>
                <w:sz w:val="20"/>
              </w:rPr>
            </w:pPr>
            <w:r>
              <w:rPr>
                <w:sz w:val="20"/>
              </w:rPr>
              <w:t>1990–2016</w:t>
            </w:r>
          </w:p>
        </w:tc>
        <w:tc>
          <w:tcPr>
            <w:tcW w:w="3421" w:type="dxa"/>
          </w:tcPr>
          <w:p w14:paraId="06FF3498" w14:textId="77777777" w:rsidR="0046798B" w:rsidRDefault="00903B5C">
            <w:pPr>
              <w:pStyle w:val="TableParagraph"/>
              <w:spacing w:before="43"/>
              <w:ind w:left="114" w:right="477"/>
              <w:rPr>
                <w:sz w:val="20"/>
              </w:rPr>
            </w:pPr>
            <w:r>
              <w:rPr>
                <w:sz w:val="20"/>
              </w:rPr>
              <w:t>Total contributions to state office candidates from contributors in the defense sector</w:t>
            </w:r>
          </w:p>
        </w:tc>
        <w:tc>
          <w:tcPr>
            <w:tcW w:w="6482" w:type="dxa"/>
          </w:tcPr>
          <w:p w14:paraId="07916BA9" w14:textId="77777777" w:rsidR="0046798B" w:rsidRDefault="00903B5C">
            <w:pPr>
              <w:pStyle w:val="TableParagraph"/>
              <w:spacing w:before="158"/>
              <w:ind w:left="114" w:right="1194"/>
              <w:rPr>
                <w:sz w:val="20"/>
              </w:rPr>
            </w:pPr>
            <w:r>
              <w:rPr>
                <w:sz w:val="20"/>
              </w:rPr>
              <w:t xml:space="preserve">National Institute on Money in Politics. 2016. Helena, Montana. </w:t>
            </w:r>
            <w:hyperlink r:id="rId677">
              <w:r>
                <w:rPr>
                  <w:color w:val="0462C1"/>
                  <w:sz w:val="20"/>
                  <w:u w:val="single" w:color="0462C1"/>
                </w:rPr>
                <w:t>www.followthemoney.org</w:t>
              </w:r>
            </w:hyperlink>
          </w:p>
        </w:tc>
      </w:tr>
      <w:tr w:rsidR="0046798B" w14:paraId="7FAE577E" w14:textId="77777777">
        <w:trPr>
          <w:trHeight w:val="1005"/>
        </w:trPr>
        <w:tc>
          <w:tcPr>
            <w:tcW w:w="1711" w:type="dxa"/>
          </w:tcPr>
          <w:p w14:paraId="4044DFB7" w14:textId="77777777" w:rsidR="0046798B" w:rsidRDefault="0046798B">
            <w:pPr>
              <w:pStyle w:val="TableParagraph"/>
              <w:spacing w:before="3"/>
              <w:rPr>
                <w:sz w:val="23"/>
              </w:rPr>
            </w:pPr>
          </w:p>
          <w:p w14:paraId="2D47584E" w14:textId="77777777" w:rsidR="0046798B" w:rsidRDefault="00903B5C">
            <w:pPr>
              <w:pStyle w:val="TableParagraph"/>
              <w:spacing w:before="1"/>
              <w:ind w:left="115" w:right="166"/>
              <w:rPr>
                <w:b/>
                <w:sz w:val="20"/>
              </w:rPr>
            </w:pPr>
            <w:r>
              <w:rPr>
                <w:b/>
                <w:sz w:val="20"/>
              </w:rPr>
              <w:t>contrib_energy_ natres</w:t>
            </w:r>
          </w:p>
        </w:tc>
        <w:tc>
          <w:tcPr>
            <w:tcW w:w="1596" w:type="dxa"/>
          </w:tcPr>
          <w:p w14:paraId="25138699" w14:textId="77777777" w:rsidR="0046798B" w:rsidRDefault="00903B5C">
            <w:pPr>
              <w:pStyle w:val="TableParagraph"/>
              <w:spacing w:before="38"/>
              <w:ind w:left="114" w:right="169"/>
              <w:rPr>
                <w:sz w:val="20"/>
              </w:rPr>
            </w:pPr>
            <w:r>
              <w:rPr>
                <w:sz w:val="20"/>
              </w:rPr>
              <w:t>Contributions from the energy and natural resources sector</w:t>
            </w:r>
          </w:p>
        </w:tc>
        <w:tc>
          <w:tcPr>
            <w:tcW w:w="1285" w:type="dxa"/>
          </w:tcPr>
          <w:p w14:paraId="791F6263" w14:textId="77777777" w:rsidR="0046798B" w:rsidRDefault="0046798B">
            <w:pPr>
              <w:pStyle w:val="TableParagraph"/>
            </w:pPr>
          </w:p>
          <w:p w14:paraId="440E62C1" w14:textId="77777777" w:rsidR="0046798B" w:rsidRDefault="00903B5C">
            <w:pPr>
              <w:pStyle w:val="TableParagraph"/>
              <w:spacing w:before="130"/>
              <w:ind w:left="114"/>
              <w:rPr>
                <w:sz w:val="20"/>
              </w:rPr>
            </w:pPr>
            <w:r>
              <w:rPr>
                <w:sz w:val="20"/>
              </w:rPr>
              <w:t>1989–2016</w:t>
            </w:r>
          </w:p>
        </w:tc>
        <w:tc>
          <w:tcPr>
            <w:tcW w:w="3421" w:type="dxa"/>
          </w:tcPr>
          <w:p w14:paraId="76EF6A70" w14:textId="77777777" w:rsidR="0046798B" w:rsidRDefault="00903B5C">
            <w:pPr>
              <w:pStyle w:val="TableParagraph"/>
              <w:spacing w:before="153"/>
              <w:ind w:left="114" w:right="456"/>
              <w:rPr>
                <w:sz w:val="20"/>
              </w:rPr>
            </w:pPr>
            <w:r>
              <w:rPr>
                <w:sz w:val="20"/>
              </w:rPr>
              <w:t>Total contributions to state office candidates from contributors in the energy and natural resources sector</w:t>
            </w:r>
          </w:p>
        </w:tc>
        <w:tc>
          <w:tcPr>
            <w:tcW w:w="6482" w:type="dxa"/>
          </w:tcPr>
          <w:p w14:paraId="59D35335" w14:textId="77777777" w:rsidR="0046798B" w:rsidRDefault="0046798B">
            <w:pPr>
              <w:pStyle w:val="TableParagraph"/>
              <w:spacing w:before="3"/>
              <w:rPr>
                <w:sz w:val="23"/>
              </w:rPr>
            </w:pPr>
          </w:p>
          <w:p w14:paraId="1B2BF04C" w14:textId="77777777" w:rsidR="0046798B" w:rsidRDefault="00903B5C">
            <w:pPr>
              <w:pStyle w:val="TableParagraph"/>
              <w:spacing w:before="1"/>
              <w:ind w:left="114" w:right="1194"/>
              <w:rPr>
                <w:sz w:val="20"/>
              </w:rPr>
            </w:pPr>
            <w:r>
              <w:rPr>
                <w:sz w:val="20"/>
              </w:rPr>
              <w:t xml:space="preserve">National Institute on Money in Politics. 2016. Helena, Montana. </w:t>
            </w:r>
            <w:hyperlink r:id="rId678">
              <w:r>
                <w:rPr>
                  <w:color w:val="0462C1"/>
                  <w:sz w:val="20"/>
                  <w:u w:val="single" w:color="0462C1"/>
                </w:rPr>
                <w:t>www.followthemoney.org</w:t>
              </w:r>
            </w:hyperlink>
          </w:p>
        </w:tc>
      </w:tr>
      <w:tr w:rsidR="0046798B" w14:paraId="1D440FCE" w14:textId="77777777">
        <w:trPr>
          <w:trHeight w:val="1465"/>
        </w:trPr>
        <w:tc>
          <w:tcPr>
            <w:tcW w:w="1711" w:type="dxa"/>
          </w:tcPr>
          <w:p w14:paraId="5E5F6C57" w14:textId="77777777" w:rsidR="0046798B" w:rsidRDefault="0046798B">
            <w:pPr>
              <w:pStyle w:val="TableParagraph"/>
            </w:pPr>
          </w:p>
          <w:p w14:paraId="0DCC3148" w14:textId="77777777" w:rsidR="0046798B" w:rsidRDefault="0046798B">
            <w:pPr>
              <w:pStyle w:val="TableParagraph"/>
              <w:spacing w:before="4"/>
              <w:rPr>
                <w:sz w:val="21"/>
              </w:rPr>
            </w:pPr>
          </w:p>
          <w:p w14:paraId="6D8B4B4E" w14:textId="77777777" w:rsidR="0046798B" w:rsidRDefault="00903B5C">
            <w:pPr>
              <w:pStyle w:val="TableParagraph"/>
              <w:ind w:left="115"/>
              <w:rPr>
                <w:b/>
                <w:sz w:val="20"/>
              </w:rPr>
            </w:pPr>
            <w:r>
              <w:rPr>
                <w:b/>
                <w:sz w:val="20"/>
              </w:rPr>
              <w:t>contrib_gov_ed_ other</w:t>
            </w:r>
          </w:p>
        </w:tc>
        <w:tc>
          <w:tcPr>
            <w:tcW w:w="1596" w:type="dxa"/>
          </w:tcPr>
          <w:p w14:paraId="13D4D95D" w14:textId="77777777" w:rsidR="0046798B" w:rsidRDefault="00903B5C">
            <w:pPr>
              <w:pStyle w:val="TableParagraph"/>
              <w:spacing w:before="38"/>
              <w:ind w:left="114" w:right="285"/>
              <w:rPr>
                <w:sz w:val="20"/>
              </w:rPr>
            </w:pPr>
            <w:r>
              <w:rPr>
                <w:sz w:val="20"/>
              </w:rPr>
              <w:t>Contributions from government agencies, education, and other sectors</w:t>
            </w:r>
          </w:p>
        </w:tc>
        <w:tc>
          <w:tcPr>
            <w:tcW w:w="1285" w:type="dxa"/>
          </w:tcPr>
          <w:p w14:paraId="67A37928" w14:textId="77777777" w:rsidR="0046798B" w:rsidRDefault="0046798B">
            <w:pPr>
              <w:pStyle w:val="TableParagraph"/>
            </w:pPr>
          </w:p>
          <w:p w14:paraId="056BF277" w14:textId="77777777" w:rsidR="0046798B" w:rsidRDefault="0046798B">
            <w:pPr>
              <w:pStyle w:val="TableParagraph"/>
              <w:spacing w:before="4"/>
              <w:rPr>
                <w:sz w:val="31"/>
              </w:rPr>
            </w:pPr>
          </w:p>
          <w:p w14:paraId="1941672C" w14:textId="77777777" w:rsidR="0046798B" w:rsidRDefault="00903B5C">
            <w:pPr>
              <w:pStyle w:val="TableParagraph"/>
              <w:ind w:left="114"/>
              <w:rPr>
                <w:sz w:val="20"/>
              </w:rPr>
            </w:pPr>
            <w:r>
              <w:rPr>
                <w:sz w:val="20"/>
              </w:rPr>
              <w:t>1989–2016</w:t>
            </w:r>
          </w:p>
        </w:tc>
        <w:tc>
          <w:tcPr>
            <w:tcW w:w="3421" w:type="dxa"/>
          </w:tcPr>
          <w:p w14:paraId="7D1FAF57" w14:textId="77777777" w:rsidR="0046798B" w:rsidRDefault="0046798B">
            <w:pPr>
              <w:pStyle w:val="TableParagraph"/>
              <w:spacing w:before="4"/>
              <w:rPr>
                <w:sz w:val="23"/>
              </w:rPr>
            </w:pPr>
          </w:p>
          <w:p w14:paraId="43968AD3" w14:textId="77777777" w:rsidR="0046798B" w:rsidRDefault="00903B5C">
            <w:pPr>
              <w:pStyle w:val="TableParagraph"/>
              <w:ind w:left="114" w:right="317"/>
              <w:rPr>
                <w:sz w:val="20"/>
              </w:rPr>
            </w:pPr>
            <w:r>
              <w:rPr>
                <w:sz w:val="20"/>
              </w:rPr>
              <w:t>Total contributions to state office candidates from contributors in government agencies, education, and other sectors</w:t>
            </w:r>
          </w:p>
        </w:tc>
        <w:tc>
          <w:tcPr>
            <w:tcW w:w="6482" w:type="dxa"/>
          </w:tcPr>
          <w:p w14:paraId="0158A1FD" w14:textId="77777777" w:rsidR="0046798B" w:rsidRDefault="0046798B">
            <w:pPr>
              <w:pStyle w:val="TableParagraph"/>
            </w:pPr>
          </w:p>
          <w:p w14:paraId="404B1883" w14:textId="77777777" w:rsidR="0046798B" w:rsidRDefault="0046798B">
            <w:pPr>
              <w:pStyle w:val="TableParagraph"/>
              <w:spacing w:before="4"/>
              <w:rPr>
                <w:sz w:val="21"/>
              </w:rPr>
            </w:pPr>
          </w:p>
          <w:p w14:paraId="1BF83CE0" w14:textId="77777777" w:rsidR="0046798B" w:rsidRDefault="00903B5C">
            <w:pPr>
              <w:pStyle w:val="TableParagraph"/>
              <w:ind w:left="114" w:right="1194"/>
              <w:rPr>
                <w:sz w:val="20"/>
              </w:rPr>
            </w:pPr>
            <w:r>
              <w:rPr>
                <w:sz w:val="20"/>
              </w:rPr>
              <w:t xml:space="preserve">National Institute on Money in Politics. 2016. Helena, Montana. </w:t>
            </w:r>
            <w:hyperlink r:id="rId679">
              <w:r>
                <w:rPr>
                  <w:color w:val="0462C1"/>
                  <w:sz w:val="20"/>
                  <w:u w:val="single" w:color="0462C1"/>
                </w:rPr>
                <w:t>www.followthemoney.org</w:t>
              </w:r>
            </w:hyperlink>
          </w:p>
        </w:tc>
      </w:tr>
      <w:tr w:rsidR="0046798B" w14:paraId="6852C832" w14:textId="77777777">
        <w:trPr>
          <w:trHeight w:val="775"/>
        </w:trPr>
        <w:tc>
          <w:tcPr>
            <w:tcW w:w="1711" w:type="dxa"/>
          </w:tcPr>
          <w:p w14:paraId="571F0EAD" w14:textId="77777777" w:rsidR="0046798B" w:rsidRDefault="0046798B">
            <w:pPr>
              <w:pStyle w:val="TableParagraph"/>
              <w:spacing w:before="8"/>
              <w:rPr>
                <w:sz w:val="23"/>
              </w:rPr>
            </w:pPr>
          </w:p>
          <w:p w14:paraId="5D82EF91" w14:textId="77777777" w:rsidR="0046798B" w:rsidRDefault="00903B5C">
            <w:pPr>
              <w:pStyle w:val="TableParagraph"/>
              <w:spacing w:before="1"/>
              <w:ind w:left="115"/>
              <w:rPr>
                <w:b/>
                <w:sz w:val="20"/>
              </w:rPr>
            </w:pPr>
            <w:r>
              <w:rPr>
                <w:b/>
                <w:sz w:val="20"/>
              </w:rPr>
              <w:t>contrib_health</w:t>
            </w:r>
          </w:p>
        </w:tc>
        <w:tc>
          <w:tcPr>
            <w:tcW w:w="1596" w:type="dxa"/>
          </w:tcPr>
          <w:p w14:paraId="032D7D06" w14:textId="77777777" w:rsidR="0046798B" w:rsidRDefault="00903B5C">
            <w:pPr>
              <w:pStyle w:val="TableParagraph"/>
              <w:spacing w:before="45" w:line="237" w:lineRule="auto"/>
              <w:ind w:left="114" w:right="230"/>
              <w:rPr>
                <w:sz w:val="20"/>
              </w:rPr>
            </w:pPr>
            <w:r>
              <w:rPr>
                <w:sz w:val="20"/>
              </w:rPr>
              <w:t>Contributions from the health sector</w:t>
            </w:r>
          </w:p>
        </w:tc>
        <w:tc>
          <w:tcPr>
            <w:tcW w:w="1285" w:type="dxa"/>
          </w:tcPr>
          <w:p w14:paraId="0321FF83" w14:textId="77777777" w:rsidR="0046798B" w:rsidRDefault="0046798B">
            <w:pPr>
              <w:pStyle w:val="TableParagraph"/>
              <w:spacing w:before="8"/>
              <w:rPr>
                <w:sz w:val="23"/>
              </w:rPr>
            </w:pPr>
          </w:p>
          <w:p w14:paraId="4A53FE23" w14:textId="77777777" w:rsidR="0046798B" w:rsidRDefault="00903B5C">
            <w:pPr>
              <w:pStyle w:val="TableParagraph"/>
              <w:spacing w:before="1"/>
              <w:ind w:left="114"/>
              <w:rPr>
                <w:sz w:val="20"/>
              </w:rPr>
            </w:pPr>
            <w:r>
              <w:rPr>
                <w:sz w:val="20"/>
              </w:rPr>
              <w:t>1989–2016</w:t>
            </w:r>
          </w:p>
        </w:tc>
        <w:tc>
          <w:tcPr>
            <w:tcW w:w="3421" w:type="dxa"/>
          </w:tcPr>
          <w:p w14:paraId="13496260" w14:textId="77777777" w:rsidR="0046798B" w:rsidRDefault="00903B5C">
            <w:pPr>
              <w:pStyle w:val="TableParagraph"/>
              <w:spacing w:before="45" w:line="237" w:lineRule="auto"/>
              <w:ind w:left="114" w:right="477"/>
              <w:rPr>
                <w:sz w:val="20"/>
              </w:rPr>
            </w:pPr>
            <w:r>
              <w:rPr>
                <w:sz w:val="20"/>
              </w:rPr>
              <w:t>Total contributions to state office candidates from contributors in the health sector</w:t>
            </w:r>
          </w:p>
        </w:tc>
        <w:tc>
          <w:tcPr>
            <w:tcW w:w="6482" w:type="dxa"/>
          </w:tcPr>
          <w:p w14:paraId="014FAAA9" w14:textId="77777777" w:rsidR="0046798B" w:rsidRDefault="00903B5C">
            <w:pPr>
              <w:pStyle w:val="TableParagraph"/>
              <w:spacing w:before="158"/>
              <w:ind w:left="114" w:right="1194"/>
              <w:rPr>
                <w:sz w:val="20"/>
              </w:rPr>
            </w:pPr>
            <w:r>
              <w:rPr>
                <w:sz w:val="20"/>
              </w:rPr>
              <w:t xml:space="preserve">National Institute on Money in Politics. 2016. Helena, Montana. </w:t>
            </w:r>
            <w:hyperlink r:id="rId680">
              <w:r>
                <w:rPr>
                  <w:color w:val="0462C1"/>
                  <w:sz w:val="20"/>
                  <w:u w:val="single" w:color="0462C1"/>
                </w:rPr>
                <w:t>www.followthemoney.org</w:t>
              </w:r>
            </w:hyperlink>
          </w:p>
        </w:tc>
      </w:tr>
      <w:tr w:rsidR="0046798B" w14:paraId="55E8D1E3" w14:textId="77777777">
        <w:trPr>
          <w:trHeight w:val="1005"/>
        </w:trPr>
        <w:tc>
          <w:tcPr>
            <w:tcW w:w="1711" w:type="dxa"/>
          </w:tcPr>
          <w:p w14:paraId="4AD705D9" w14:textId="77777777" w:rsidR="0046798B" w:rsidRDefault="0046798B">
            <w:pPr>
              <w:pStyle w:val="TableParagraph"/>
              <w:spacing w:before="9"/>
              <w:rPr>
                <w:sz w:val="23"/>
              </w:rPr>
            </w:pPr>
          </w:p>
          <w:p w14:paraId="3608396A" w14:textId="77777777" w:rsidR="0046798B" w:rsidRDefault="00903B5C">
            <w:pPr>
              <w:pStyle w:val="TableParagraph"/>
              <w:ind w:left="115" w:right="143"/>
              <w:rPr>
                <w:b/>
                <w:sz w:val="20"/>
              </w:rPr>
            </w:pPr>
            <w:r>
              <w:rPr>
                <w:b/>
                <w:sz w:val="20"/>
              </w:rPr>
              <w:t>contrib_ideo_sin giss</w:t>
            </w:r>
          </w:p>
        </w:tc>
        <w:tc>
          <w:tcPr>
            <w:tcW w:w="1596" w:type="dxa"/>
          </w:tcPr>
          <w:p w14:paraId="748F5A57" w14:textId="77777777" w:rsidR="0046798B" w:rsidRDefault="00903B5C">
            <w:pPr>
              <w:pStyle w:val="TableParagraph"/>
              <w:spacing w:before="43"/>
              <w:ind w:left="114" w:right="167"/>
              <w:rPr>
                <w:sz w:val="20"/>
              </w:rPr>
            </w:pPr>
            <w:r>
              <w:rPr>
                <w:sz w:val="20"/>
              </w:rPr>
              <w:t>Contributions from the ideology/single- issue sector</w:t>
            </w:r>
          </w:p>
        </w:tc>
        <w:tc>
          <w:tcPr>
            <w:tcW w:w="1285" w:type="dxa"/>
          </w:tcPr>
          <w:p w14:paraId="3A89BCB5" w14:textId="77777777" w:rsidR="0046798B" w:rsidRDefault="0046798B">
            <w:pPr>
              <w:pStyle w:val="TableParagraph"/>
            </w:pPr>
          </w:p>
          <w:p w14:paraId="51194465" w14:textId="77777777" w:rsidR="0046798B" w:rsidRDefault="00903B5C">
            <w:pPr>
              <w:pStyle w:val="TableParagraph"/>
              <w:spacing w:before="135"/>
              <w:ind w:left="114"/>
              <w:rPr>
                <w:sz w:val="20"/>
              </w:rPr>
            </w:pPr>
            <w:r>
              <w:rPr>
                <w:sz w:val="20"/>
              </w:rPr>
              <w:t>1989–2016</w:t>
            </w:r>
          </w:p>
        </w:tc>
        <w:tc>
          <w:tcPr>
            <w:tcW w:w="3421" w:type="dxa"/>
          </w:tcPr>
          <w:p w14:paraId="5161ABF6" w14:textId="77777777" w:rsidR="0046798B" w:rsidRDefault="00903B5C">
            <w:pPr>
              <w:pStyle w:val="TableParagraph"/>
              <w:spacing w:before="158"/>
              <w:ind w:left="114" w:right="449"/>
              <w:rPr>
                <w:sz w:val="20"/>
              </w:rPr>
            </w:pPr>
            <w:r>
              <w:rPr>
                <w:sz w:val="20"/>
              </w:rPr>
              <w:t>Total contributions to state office candidates from contributors in the ideological and single-issue sectors</w:t>
            </w:r>
          </w:p>
        </w:tc>
        <w:tc>
          <w:tcPr>
            <w:tcW w:w="6482" w:type="dxa"/>
          </w:tcPr>
          <w:p w14:paraId="2B0ECAF8" w14:textId="77777777" w:rsidR="0046798B" w:rsidRDefault="0046798B">
            <w:pPr>
              <w:pStyle w:val="TableParagraph"/>
              <w:spacing w:before="9"/>
              <w:rPr>
                <w:sz w:val="23"/>
              </w:rPr>
            </w:pPr>
          </w:p>
          <w:p w14:paraId="718D5452" w14:textId="77777777" w:rsidR="0046798B" w:rsidRDefault="00903B5C">
            <w:pPr>
              <w:pStyle w:val="TableParagraph"/>
              <w:ind w:left="114" w:right="1194"/>
              <w:rPr>
                <w:sz w:val="20"/>
              </w:rPr>
            </w:pPr>
            <w:r>
              <w:rPr>
                <w:sz w:val="20"/>
              </w:rPr>
              <w:t xml:space="preserve">National Institute on Money in Politics. 2016. Helena, Montana. </w:t>
            </w:r>
            <w:hyperlink r:id="rId681">
              <w:r>
                <w:rPr>
                  <w:color w:val="0462C1"/>
                  <w:sz w:val="20"/>
                  <w:u w:val="single" w:color="0462C1"/>
                </w:rPr>
                <w:t>www.followthemoney.org</w:t>
              </w:r>
            </w:hyperlink>
          </w:p>
        </w:tc>
      </w:tr>
      <w:tr w:rsidR="0046798B" w14:paraId="007EFBA8" w14:textId="77777777">
        <w:trPr>
          <w:trHeight w:val="775"/>
        </w:trPr>
        <w:tc>
          <w:tcPr>
            <w:tcW w:w="1711" w:type="dxa"/>
          </w:tcPr>
          <w:p w14:paraId="5FC8D44B" w14:textId="77777777" w:rsidR="0046798B" w:rsidRDefault="0046798B">
            <w:pPr>
              <w:pStyle w:val="TableParagraph"/>
              <w:spacing w:before="9"/>
              <w:rPr>
                <w:sz w:val="23"/>
              </w:rPr>
            </w:pPr>
          </w:p>
          <w:p w14:paraId="3685317D" w14:textId="77777777" w:rsidR="0046798B" w:rsidRDefault="00903B5C">
            <w:pPr>
              <w:pStyle w:val="TableParagraph"/>
              <w:ind w:left="115"/>
              <w:rPr>
                <w:b/>
                <w:sz w:val="20"/>
              </w:rPr>
            </w:pPr>
            <w:r>
              <w:rPr>
                <w:b/>
                <w:sz w:val="20"/>
              </w:rPr>
              <w:t>contrib_labor</w:t>
            </w:r>
          </w:p>
        </w:tc>
        <w:tc>
          <w:tcPr>
            <w:tcW w:w="1596" w:type="dxa"/>
          </w:tcPr>
          <w:p w14:paraId="2EC865FF" w14:textId="77777777" w:rsidR="0046798B" w:rsidRDefault="00903B5C">
            <w:pPr>
              <w:pStyle w:val="TableParagraph"/>
              <w:spacing w:before="43"/>
              <w:ind w:left="114" w:right="328"/>
              <w:jc w:val="both"/>
              <w:rPr>
                <w:sz w:val="20"/>
              </w:rPr>
            </w:pPr>
            <w:r>
              <w:rPr>
                <w:sz w:val="20"/>
              </w:rPr>
              <w:t xml:space="preserve">Contributions from the </w:t>
            </w:r>
            <w:r>
              <w:rPr>
                <w:spacing w:val="-3"/>
                <w:sz w:val="20"/>
              </w:rPr>
              <w:t xml:space="preserve">labor </w:t>
            </w:r>
            <w:r>
              <w:rPr>
                <w:sz w:val="20"/>
              </w:rPr>
              <w:t>sector</w:t>
            </w:r>
          </w:p>
        </w:tc>
        <w:tc>
          <w:tcPr>
            <w:tcW w:w="1285" w:type="dxa"/>
          </w:tcPr>
          <w:p w14:paraId="58FDBC74" w14:textId="77777777" w:rsidR="0046798B" w:rsidRDefault="0046798B">
            <w:pPr>
              <w:pStyle w:val="TableParagraph"/>
              <w:spacing w:before="9"/>
              <w:rPr>
                <w:sz w:val="23"/>
              </w:rPr>
            </w:pPr>
          </w:p>
          <w:p w14:paraId="19339FA9" w14:textId="77777777" w:rsidR="0046798B" w:rsidRDefault="00903B5C">
            <w:pPr>
              <w:pStyle w:val="TableParagraph"/>
              <w:ind w:left="114"/>
              <w:rPr>
                <w:sz w:val="20"/>
              </w:rPr>
            </w:pPr>
            <w:r>
              <w:rPr>
                <w:sz w:val="20"/>
              </w:rPr>
              <w:t>1989–2016</w:t>
            </w:r>
          </w:p>
        </w:tc>
        <w:tc>
          <w:tcPr>
            <w:tcW w:w="3421" w:type="dxa"/>
          </w:tcPr>
          <w:p w14:paraId="6C80D0FC" w14:textId="77777777" w:rsidR="0046798B" w:rsidRDefault="00903B5C">
            <w:pPr>
              <w:pStyle w:val="TableParagraph"/>
              <w:spacing w:before="43"/>
              <w:ind w:left="114" w:right="477"/>
              <w:rPr>
                <w:sz w:val="20"/>
              </w:rPr>
            </w:pPr>
            <w:r>
              <w:rPr>
                <w:sz w:val="20"/>
              </w:rPr>
              <w:t>Total contributions to state office candidates from contributors in the labor sector</w:t>
            </w:r>
          </w:p>
        </w:tc>
        <w:tc>
          <w:tcPr>
            <w:tcW w:w="6482" w:type="dxa"/>
          </w:tcPr>
          <w:p w14:paraId="24DE5566" w14:textId="77777777" w:rsidR="0046798B" w:rsidRDefault="00903B5C">
            <w:pPr>
              <w:pStyle w:val="TableParagraph"/>
              <w:spacing w:before="158"/>
              <w:ind w:left="114" w:right="1194"/>
              <w:rPr>
                <w:sz w:val="20"/>
              </w:rPr>
            </w:pPr>
            <w:r>
              <w:rPr>
                <w:sz w:val="20"/>
              </w:rPr>
              <w:t xml:space="preserve">National Institute on Money in Politics. 2016. Helena, Montana. </w:t>
            </w:r>
            <w:hyperlink r:id="rId682">
              <w:r>
                <w:rPr>
                  <w:color w:val="0462C1"/>
                  <w:sz w:val="20"/>
                  <w:u w:val="single" w:color="0462C1"/>
                </w:rPr>
                <w:t>www.followthemoney.org</w:t>
              </w:r>
            </w:hyperlink>
          </w:p>
        </w:tc>
      </w:tr>
      <w:tr w:rsidR="0046798B" w14:paraId="72C27019" w14:textId="77777777">
        <w:trPr>
          <w:trHeight w:val="1010"/>
        </w:trPr>
        <w:tc>
          <w:tcPr>
            <w:tcW w:w="1711" w:type="dxa"/>
          </w:tcPr>
          <w:p w14:paraId="22890817" w14:textId="77777777" w:rsidR="0046798B" w:rsidRDefault="0046798B">
            <w:pPr>
              <w:pStyle w:val="TableParagraph"/>
              <w:spacing w:before="8"/>
              <w:rPr>
                <w:sz w:val="23"/>
              </w:rPr>
            </w:pPr>
          </w:p>
          <w:p w14:paraId="7E082CB3" w14:textId="77777777" w:rsidR="0046798B" w:rsidRDefault="00903B5C">
            <w:pPr>
              <w:pStyle w:val="TableParagraph"/>
              <w:spacing w:before="1"/>
              <w:ind w:left="115" w:right="110"/>
              <w:rPr>
                <w:b/>
                <w:sz w:val="20"/>
              </w:rPr>
            </w:pPr>
            <w:r>
              <w:rPr>
                <w:b/>
                <w:sz w:val="20"/>
              </w:rPr>
              <w:t>contrib_lawyer_l obby</w:t>
            </w:r>
          </w:p>
        </w:tc>
        <w:tc>
          <w:tcPr>
            <w:tcW w:w="1596" w:type="dxa"/>
          </w:tcPr>
          <w:p w14:paraId="1AA7CC46" w14:textId="77777777" w:rsidR="0046798B" w:rsidRDefault="00903B5C">
            <w:pPr>
              <w:pStyle w:val="TableParagraph"/>
              <w:spacing w:before="43"/>
              <w:ind w:left="114" w:right="174"/>
              <w:rPr>
                <w:sz w:val="20"/>
              </w:rPr>
            </w:pPr>
            <w:r>
              <w:rPr>
                <w:sz w:val="20"/>
              </w:rPr>
              <w:t>Contributions from the lawyer and lobbyist sector</w:t>
            </w:r>
          </w:p>
        </w:tc>
        <w:tc>
          <w:tcPr>
            <w:tcW w:w="1285" w:type="dxa"/>
          </w:tcPr>
          <w:p w14:paraId="32545141" w14:textId="77777777" w:rsidR="0046798B" w:rsidRDefault="0046798B">
            <w:pPr>
              <w:pStyle w:val="TableParagraph"/>
            </w:pPr>
          </w:p>
          <w:p w14:paraId="67BDEA73" w14:textId="77777777" w:rsidR="0046798B" w:rsidRDefault="00903B5C">
            <w:pPr>
              <w:pStyle w:val="TableParagraph"/>
              <w:spacing w:before="135"/>
              <w:ind w:left="114"/>
              <w:rPr>
                <w:sz w:val="20"/>
              </w:rPr>
            </w:pPr>
            <w:r>
              <w:rPr>
                <w:sz w:val="20"/>
              </w:rPr>
              <w:t>1989–2016</w:t>
            </w:r>
          </w:p>
        </w:tc>
        <w:tc>
          <w:tcPr>
            <w:tcW w:w="3421" w:type="dxa"/>
          </w:tcPr>
          <w:p w14:paraId="7BD834AF" w14:textId="77777777" w:rsidR="0046798B" w:rsidRDefault="00903B5C">
            <w:pPr>
              <w:pStyle w:val="TableParagraph"/>
              <w:spacing w:before="158"/>
              <w:ind w:left="114" w:right="477"/>
              <w:rPr>
                <w:sz w:val="20"/>
              </w:rPr>
            </w:pPr>
            <w:r>
              <w:rPr>
                <w:sz w:val="20"/>
              </w:rPr>
              <w:t>Total contributions to state office candidates from contributors in the lawyer and lobbyist sector</w:t>
            </w:r>
          </w:p>
        </w:tc>
        <w:tc>
          <w:tcPr>
            <w:tcW w:w="6482" w:type="dxa"/>
          </w:tcPr>
          <w:p w14:paraId="306A27E5" w14:textId="77777777" w:rsidR="0046798B" w:rsidRDefault="0046798B">
            <w:pPr>
              <w:pStyle w:val="TableParagraph"/>
              <w:spacing w:before="8"/>
              <w:rPr>
                <w:sz w:val="23"/>
              </w:rPr>
            </w:pPr>
          </w:p>
          <w:p w14:paraId="73893BA7" w14:textId="77777777" w:rsidR="0046798B" w:rsidRDefault="00903B5C">
            <w:pPr>
              <w:pStyle w:val="TableParagraph"/>
              <w:spacing w:before="1"/>
              <w:ind w:left="114" w:right="1194"/>
              <w:rPr>
                <w:sz w:val="20"/>
              </w:rPr>
            </w:pPr>
            <w:r>
              <w:rPr>
                <w:sz w:val="20"/>
              </w:rPr>
              <w:t xml:space="preserve">National Institute on Money in Politics. 2016. Helena, Montana. </w:t>
            </w:r>
            <w:hyperlink r:id="rId683">
              <w:r>
                <w:rPr>
                  <w:color w:val="0462C1"/>
                  <w:sz w:val="20"/>
                  <w:u w:val="single" w:color="0462C1"/>
                </w:rPr>
                <w:t>www.followthemoney.org</w:t>
              </w:r>
            </w:hyperlink>
          </w:p>
        </w:tc>
      </w:tr>
    </w:tbl>
    <w:p w14:paraId="285367CB" w14:textId="77777777" w:rsidR="0046798B" w:rsidRDefault="0046798B">
      <w:pPr>
        <w:rPr>
          <w:sz w:val="20"/>
        </w:rPr>
        <w:sectPr w:rsidR="0046798B">
          <w:pgSz w:w="15840" w:h="12240" w:orient="landscape"/>
          <w:pgMar w:top="1220" w:right="300" w:bottom="980" w:left="820" w:header="730" w:footer="787" w:gutter="0"/>
          <w:cols w:space="720"/>
        </w:sectPr>
      </w:pPr>
    </w:p>
    <w:p w14:paraId="22C1A233"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2AB802CC" w14:textId="77777777">
        <w:trPr>
          <w:trHeight w:val="1005"/>
        </w:trPr>
        <w:tc>
          <w:tcPr>
            <w:tcW w:w="1711" w:type="dxa"/>
          </w:tcPr>
          <w:p w14:paraId="797854FE" w14:textId="77777777" w:rsidR="0046798B" w:rsidRDefault="0046798B">
            <w:pPr>
              <w:pStyle w:val="TableParagraph"/>
            </w:pPr>
          </w:p>
          <w:p w14:paraId="186185A5" w14:textId="77777777" w:rsidR="0046798B" w:rsidRDefault="00903B5C">
            <w:pPr>
              <w:pStyle w:val="TableParagraph"/>
              <w:spacing w:before="135"/>
              <w:ind w:left="115"/>
              <w:rPr>
                <w:b/>
                <w:sz w:val="20"/>
              </w:rPr>
            </w:pPr>
            <w:r>
              <w:rPr>
                <w:b/>
                <w:sz w:val="20"/>
              </w:rPr>
              <w:t>contrib_transp</w:t>
            </w:r>
          </w:p>
        </w:tc>
        <w:tc>
          <w:tcPr>
            <w:tcW w:w="1596" w:type="dxa"/>
          </w:tcPr>
          <w:p w14:paraId="7050B7AC" w14:textId="77777777" w:rsidR="0046798B" w:rsidRDefault="00903B5C">
            <w:pPr>
              <w:pStyle w:val="TableParagraph"/>
              <w:spacing w:before="43"/>
              <w:ind w:left="114" w:right="341"/>
              <w:rPr>
                <w:sz w:val="20"/>
              </w:rPr>
            </w:pPr>
            <w:r>
              <w:rPr>
                <w:sz w:val="20"/>
              </w:rPr>
              <w:t>Contributions from the transportation sector</w:t>
            </w:r>
          </w:p>
        </w:tc>
        <w:tc>
          <w:tcPr>
            <w:tcW w:w="1285" w:type="dxa"/>
          </w:tcPr>
          <w:p w14:paraId="63A32C2E" w14:textId="77777777" w:rsidR="0046798B" w:rsidRDefault="0046798B">
            <w:pPr>
              <w:pStyle w:val="TableParagraph"/>
            </w:pPr>
          </w:p>
          <w:p w14:paraId="05E2D3BB" w14:textId="77777777" w:rsidR="0046798B" w:rsidRDefault="00903B5C">
            <w:pPr>
              <w:pStyle w:val="TableParagraph"/>
              <w:spacing w:before="135"/>
              <w:ind w:left="114"/>
              <w:rPr>
                <w:sz w:val="20"/>
              </w:rPr>
            </w:pPr>
            <w:r>
              <w:rPr>
                <w:sz w:val="20"/>
              </w:rPr>
              <w:t>1989–2016</w:t>
            </w:r>
          </w:p>
        </w:tc>
        <w:tc>
          <w:tcPr>
            <w:tcW w:w="3421" w:type="dxa"/>
          </w:tcPr>
          <w:p w14:paraId="69E15970" w14:textId="77777777" w:rsidR="0046798B" w:rsidRDefault="00903B5C">
            <w:pPr>
              <w:pStyle w:val="TableParagraph"/>
              <w:spacing w:before="158"/>
              <w:ind w:left="114" w:right="477"/>
              <w:rPr>
                <w:sz w:val="20"/>
              </w:rPr>
            </w:pPr>
            <w:r>
              <w:rPr>
                <w:sz w:val="20"/>
              </w:rPr>
              <w:t>Total contributions to state office candidates from contributors in the transportation sector</w:t>
            </w:r>
          </w:p>
        </w:tc>
        <w:tc>
          <w:tcPr>
            <w:tcW w:w="6482" w:type="dxa"/>
          </w:tcPr>
          <w:p w14:paraId="053119D9" w14:textId="77777777" w:rsidR="0046798B" w:rsidRDefault="0046798B">
            <w:pPr>
              <w:pStyle w:val="TableParagraph"/>
              <w:spacing w:before="9"/>
              <w:rPr>
                <w:sz w:val="23"/>
              </w:rPr>
            </w:pPr>
          </w:p>
          <w:p w14:paraId="47B94C7C" w14:textId="77777777" w:rsidR="0046798B" w:rsidRDefault="00903B5C">
            <w:pPr>
              <w:pStyle w:val="TableParagraph"/>
              <w:ind w:left="114" w:right="1194"/>
              <w:rPr>
                <w:sz w:val="20"/>
              </w:rPr>
            </w:pPr>
            <w:r>
              <w:rPr>
                <w:sz w:val="20"/>
              </w:rPr>
              <w:t xml:space="preserve">National Institute on Money in Politics. 2016. Helena, Montana. </w:t>
            </w:r>
            <w:hyperlink r:id="rId684">
              <w:r>
                <w:rPr>
                  <w:color w:val="0462C1"/>
                  <w:sz w:val="20"/>
                  <w:u w:val="single" w:color="0462C1"/>
                </w:rPr>
                <w:t>www.followthemoney.org</w:t>
              </w:r>
            </w:hyperlink>
          </w:p>
        </w:tc>
      </w:tr>
      <w:tr w:rsidR="0046798B" w14:paraId="345AD51C" w14:textId="77777777">
        <w:trPr>
          <w:trHeight w:val="1005"/>
        </w:trPr>
        <w:tc>
          <w:tcPr>
            <w:tcW w:w="1711" w:type="dxa"/>
          </w:tcPr>
          <w:p w14:paraId="7050061A" w14:textId="77777777" w:rsidR="0046798B" w:rsidRDefault="0046798B">
            <w:pPr>
              <w:pStyle w:val="TableParagraph"/>
              <w:spacing w:before="8"/>
              <w:rPr>
                <w:sz w:val="23"/>
              </w:rPr>
            </w:pPr>
          </w:p>
          <w:p w14:paraId="490703EA" w14:textId="77777777" w:rsidR="0046798B" w:rsidRDefault="00903B5C">
            <w:pPr>
              <w:pStyle w:val="TableParagraph"/>
              <w:spacing w:before="1"/>
              <w:ind w:left="115"/>
              <w:rPr>
                <w:b/>
                <w:sz w:val="20"/>
              </w:rPr>
            </w:pPr>
            <w:r>
              <w:rPr>
                <w:b/>
                <w:sz w:val="20"/>
              </w:rPr>
              <w:t>contrib_unitemiz ed</w:t>
            </w:r>
          </w:p>
        </w:tc>
        <w:tc>
          <w:tcPr>
            <w:tcW w:w="1596" w:type="dxa"/>
          </w:tcPr>
          <w:p w14:paraId="2D2DF436" w14:textId="77777777" w:rsidR="0046798B" w:rsidRDefault="00903B5C">
            <w:pPr>
              <w:pStyle w:val="TableParagraph"/>
              <w:spacing w:before="43"/>
              <w:ind w:left="114" w:right="351"/>
              <w:rPr>
                <w:sz w:val="20"/>
              </w:rPr>
            </w:pPr>
            <w:r>
              <w:rPr>
                <w:sz w:val="20"/>
              </w:rPr>
              <w:t>Contributions from un- itemized contributors</w:t>
            </w:r>
          </w:p>
        </w:tc>
        <w:tc>
          <w:tcPr>
            <w:tcW w:w="1285" w:type="dxa"/>
          </w:tcPr>
          <w:p w14:paraId="56FE8B0A" w14:textId="77777777" w:rsidR="0046798B" w:rsidRDefault="0046798B">
            <w:pPr>
              <w:pStyle w:val="TableParagraph"/>
            </w:pPr>
          </w:p>
          <w:p w14:paraId="7E28ED26" w14:textId="77777777" w:rsidR="0046798B" w:rsidRDefault="00903B5C">
            <w:pPr>
              <w:pStyle w:val="TableParagraph"/>
              <w:spacing w:before="135"/>
              <w:ind w:left="114"/>
              <w:rPr>
                <w:sz w:val="20"/>
              </w:rPr>
            </w:pPr>
            <w:r>
              <w:rPr>
                <w:sz w:val="20"/>
              </w:rPr>
              <w:t>1989–2016</w:t>
            </w:r>
          </w:p>
        </w:tc>
        <w:tc>
          <w:tcPr>
            <w:tcW w:w="3421" w:type="dxa"/>
          </w:tcPr>
          <w:p w14:paraId="031EC7F0" w14:textId="77777777" w:rsidR="0046798B" w:rsidRDefault="00903B5C">
            <w:pPr>
              <w:pStyle w:val="TableParagraph"/>
              <w:spacing w:before="158"/>
              <w:ind w:left="114" w:right="611"/>
              <w:rPr>
                <w:sz w:val="20"/>
              </w:rPr>
            </w:pPr>
            <w:r>
              <w:rPr>
                <w:sz w:val="20"/>
              </w:rPr>
              <w:t>Total contributions to state office candidates from un-itemized contributors</w:t>
            </w:r>
          </w:p>
        </w:tc>
        <w:tc>
          <w:tcPr>
            <w:tcW w:w="6482" w:type="dxa"/>
          </w:tcPr>
          <w:p w14:paraId="4EE902DA" w14:textId="77777777" w:rsidR="0046798B" w:rsidRDefault="0046798B">
            <w:pPr>
              <w:pStyle w:val="TableParagraph"/>
              <w:spacing w:before="8"/>
              <w:rPr>
                <w:sz w:val="23"/>
              </w:rPr>
            </w:pPr>
          </w:p>
          <w:p w14:paraId="5C1F35AB" w14:textId="77777777" w:rsidR="0046798B" w:rsidRDefault="00903B5C">
            <w:pPr>
              <w:pStyle w:val="TableParagraph"/>
              <w:spacing w:before="1"/>
              <w:ind w:left="114" w:right="1194"/>
              <w:rPr>
                <w:sz w:val="20"/>
              </w:rPr>
            </w:pPr>
            <w:r>
              <w:rPr>
                <w:sz w:val="20"/>
              </w:rPr>
              <w:t xml:space="preserve">National Institute on Money in Politics. 2016. Helena, Montana. </w:t>
            </w:r>
            <w:hyperlink r:id="rId685">
              <w:r>
                <w:rPr>
                  <w:color w:val="0462C1"/>
                  <w:sz w:val="20"/>
                  <w:u w:val="single" w:color="0462C1"/>
                </w:rPr>
                <w:t>www.followthemoney.org</w:t>
              </w:r>
            </w:hyperlink>
          </w:p>
        </w:tc>
      </w:tr>
      <w:tr w:rsidR="0046798B" w14:paraId="413026D6" w14:textId="77777777">
        <w:trPr>
          <w:trHeight w:val="1240"/>
        </w:trPr>
        <w:tc>
          <w:tcPr>
            <w:tcW w:w="1711" w:type="dxa"/>
          </w:tcPr>
          <w:p w14:paraId="1BAE73E8" w14:textId="77777777" w:rsidR="0046798B" w:rsidRDefault="0046798B">
            <w:pPr>
              <w:pStyle w:val="TableParagraph"/>
            </w:pPr>
          </w:p>
          <w:p w14:paraId="0EA151DE" w14:textId="77777777" w:rsidR="0046798B" w:rsidRDefault="00903B5C">
            <w:pPr>
              <w:pStyle w:val="TableParagraph"/>
              <w:spacing w:before="135"/>
              <w:ind w:left="115" w:right="165"/>
              <w:rPr>
                <w:b/>
                <w:sz w:val="20"/>
              </w:rPr>
            </w:pPr>
            <w:r>
              <w:rPr>
                <w:b/>
                <w:sz w:val="20"/>
              </w:rPr>
              <w:t>contrib_fin_ins_ realestate</w:t>
            </w:r>
          </w:p>
        </w:tc>
        <w:tc>
          <w:tcPr>
            <w:tcW w:w="1596" w:type="dxa"/>
          </w:tcPr>
          <w:p w14:paraId="5DCE692B" w14:textId="77777777" w:rsidR="0046798B" w:rsidRDefault="00903B5C">
            <w:pPr>
              <w:pStyle w:val="TableParagraph"/>
              <w:spacing w:before="43"/>
              <w:ind w:left="114" w:right="133"/>
              <w:rPr>
                <w:sz w:val="20"/>
              </w:rPr>
            </w:pPr>
            <w:r>
              <w:rPr>
                <w:sz w:val="20"/>
              </w:rPr>
              <w:t>Contributions from the finance, insurance, and real estate</w:t>
            </w:r>
            <w:r>
              <w:rPr>
                <w:spacing w:val="6"/>
                <w:sz w:val="20"/>
              </w:rPr>
              <w:t xml:space="preserve"> </w:t>
            </w:r>
            <w:r>
              <w:rPr>
                <w:spacing w:val="-4"/>
                <w:sz w:val="20"/>
              </w:rPr>
              <w:t>sector</w:t>
            </w:r>
          </w:p>
        </w:tc>
        <w:tc>
          <w:tcPr>
            <w:tcW w:w="1285" w:type="dxa"/>
          </w:tcPr>
          <w:p w14:paraId="52A58750" w14:textId="77777777" w:rsidR="0046798B" w:rsidRDefault="0046798B">
            <w:pPr>
              <w:pStyle w:val="TableParagraph"/>
            </w:pPr>
          </w:p>
          <w:p w14:paraId="3344E919" w14:textId="77777777" w:rsidR="0046798B" w:rsidRDefault="0046798B">
            <w:pPr>
              <w:pStyle w:val="TableParagraph"/>
              <w:spacing w:before="8"/>
              <w:rPr>
                <w:sz w:val="21"/>
              </w:rPr>
            </w:pPr>
          </w:p>
          <w:p w14:paraId="75AF202C" w14:textId="77777777" w:rsidR="0046798B" w:rsidRDefault="00903B5C">
            <w:pPr>
              <w:pStyle w:val="TableParagraph"/>
              <w:spacing w:before="1"/>
              <w:ind w:left="114"/>
              <w:rPr>
                <w:sz w:val="20"/>
              </w:rPr>
            </w:pPr>
            <w:r>
              <w:rPr>
                <w:sz w:val="20"/>
              </w:rPr>
              <w:t>1989–2016</w:t>
            </w:r>
          </w:p>
        </w:tc>
        <w:tc>
          <w:tcPr>
            <w:tcW w:w="3421" w:type="dxa"/>
          </w:tcPr>
          <w:p w14:paraId="5A722BBF" w14:textId="77777777" w:rsidR="0046798B" w:rsidRDefault="0046798B">
            <w:pPr>
              <w:pStyle w:val="TableParagraph"/>
              <w:spacing w:before="8"/>
              <w:rPr>
                <w:sz w:val="23"/>
              </w:rPr>
            </w:pPr>
          </w:p>
          <w:p w14:paraId="690530A6" w14:textId="77777777" w:rsidR="0046798B" w:rsidRDefault="00903B5C">
            <w:pPr>
              <w:pStyle w:val="TableParagraph"/>
              <w:spacing w:before="1"/>
              <w:ind w:left="114" w:right="389"/>
              <w:rPr>
                <w:sz w:val="20"/>
              </w:rPr>
            </w:pPr>
            <w:r>
              <w:rPr>
                <w:sz w:val="20"/>
              </w:rPr>
              <w:t>Total contributions to state office candidates from contributors in the finance, insurance, real estate sector</w:t>
            </w:r>
          </w:p>
        </w:tc>
        <w:tc>
          <w:tcPr>
            <w:tcW w:w="6482" w:type="dxa"/>
          </w:tcPr>
          <w:p w14:paraId="07285096" w14:textId="77777777" w:rsidR="0046798B" w:rsidRDefault="0046798B">
            <w:pPr>
              <w:pStyle w:val="TableParagraph"/>
            </w:pPr>
          </w:p>
          <w:p w14:paraId="30A83CC5" w14:textId="77777777" w:rsidR="0046798B" w:rsidRDefault="00903B5C">
            <w:pPr>
              <w:pStyle w:val="TableParagraph"/>
              <w:spacing w:before="135"/>
              <w:ind w:left="114" w:right="1194"/>
              <w:rPr>
                <w:sz w:val="20"/>
              </w:rPr>
            </w:pPr>
            <w:r>
              <w:rPr>
                <w:sz w:val="20"/>
              </w:rPr>
              <w:t xml:space="preserve">National Institute on Money in Politics. 2016. Helena, Montana. </w:t>
            </w:r>
            <w:hyperlink r:id="rId686">
              <w:r>
                <w:rPr>
                  <w:color w:val="0462C1"/>
                  <w:sz w:val="20"/>
                  <w:u w:val="single" w:color="0462C1"/>
                </w:rPr>
                <w:t>www.followthemoney.org</w:t>
              </w:r>
            </w:hyperlink>
          </w:p>
        </w:tc>
      </w:tr>
      <w:tr w:rsidR="0046798B" w14:paraId="098CA0A2" w14:textId="77777777">
        <w:trPr>
          <w:trHeight w:val="775"/>
        </w:trPr>
        <w:tc>
          <w:tcPr>
            <w:tcW w:w="1711" w:type="dxa"/>
          </w:tcPr>
          <w:p w14:paraId="6F4EAE57" w14:textId="77777777" w:rsidR="0046798B" w:rsidRDefault="00903B5C">
            <w:pPr>
              <w:pStyle w:val="TableParagraph"/>
              <w:spacing w:before="153"/>
              <w:ind w:left="115"/>
              <w:rPr>
                <w:b/>
                <w:sz w:val="20"/>
              </w:rPr>
            </w:pPr>
            <w:r>
              <w:rPr>
                <w:b/>
                <w:sz w:val="20"/>
              </w:rPr>
              <w:t>contrib_public_s ubsidy</w:t>
            </w:r>
          </w:p>
        </w:tc>
        <w:tc>
          <w:tcPr>
            <w:tcW w:w="1596" w:type="dxa"/>
          </w:tcPr>
          <w:p w14:paraId="38832E33" w14:textId="77777777" w:rsidR="0046798B" w:rsidRDefault="00903B5C">
            <w:pPr>
              <w:pStyle w:val="TableParagraph"/>
              <w:spacing w:before="38"/>
              <w:ind w:left="114" w:right="351"/>
              <w:rPr>
                <w:sz w:val="20"/>
              </w:rPr>
            </w:pPr>
            <w:r>
              <w:rPr>
                <w:sz w:val="20"/>
              </w:rPr>
              <w:t>Contributions from public subsidies</w:t>
            </w:r>
          </w:p>
        </w:tc>
        <w:tc>
          <w:tcPr>
            <w:tcW w:w="1285" w:type="dxa"/>
          </w:tcPr>
          <w:p w14:paraId="1B903844" w14:textId="77777777" w:rsidR="0046798B" w:rsidRDefault="0046798B">
            <w:pPr>
              <w:pStyle w:val="TableParagraph"/>
              <w:spacing w:before="3"/>
              <w:rPr>
                <w:sz w:val="23"/>
              </w:rPr>
            </w:pPr>
          </w:p>
          <w:p w14:paraId="06CB4519" w14:textId="77777777" w:rsidR="0046798B" w:rsidRDefault="00903B5C">
            <w:pPr>
              <w:pStyle w:val="TableParagraph"/>
              <w:spacing w:before="1"/>
              <w:ind w:left="114"/>
              <w:rPr>
                <w:sz w:val="20"/>
              </w:rPr>
            </w:pPr>
            <w:r>
              <w:rPr>
                <w:sz w:val="20"/>
              </w:rPr>
              <w:t>1989–2016</w:t>
            </w:r>
          </w:p>
        </w:tc>
        <w:tc>
          <w:tcPr>
            <w:tcW w:w="3421" w:type="dxa"/>
          </w:tcPr>
          <w:p w14:paraId="3F2692FE" w14:textId="77777777" w:rsidR="0046798B" w:rsidRDefault="00903B5C">
            <w:pPr>
              <w:pStyle w:val="TableParagraph"/>
              <w:spacing w:before="153"/>
              <w:ind w:left="114" w:right="611"/>
              <w:rPr>
                <w:sz w:val="20"/>
              </w:rPr>
            </w:pPr>
            <w:r>
              <w:rPr>
                <w:sz w:val="20"/>
              </w:rPr>
              <w:t>Total contributions to state office candidates from public subsidies</w:t>
            </w:r>
          </w:p>
        </w:tc>
        <w:tc>
          <w:tcPr>
            <w:tcW w:w="6482" w:type="dxa"/>
          </w:tcPr>
          <w:p w14:paraId="45E1FBFB" w14:textId="77777777" w:rsidR="0046798B" w:rsidRDefault="00903B5C">
            <w:pPr>
              <w:pStyle w:val="TableParagraph"/>
              <w:spacing w:before="153"/>
              <w:ind w:left="114" w:right="1194"/>
              <w:rPr>
                <w:sz w:val="20"/>
              </w:rPr>
            </w:pPr>
            <w:r>
              <w:rPr>
                <w:sz w:val="20"/>
              </w:rPr>
              <w:t xml:space="preserve">National Institute on Money in Politics. 2016. Helena, Montana. </w:t>
            </w:r>
            <w:hyperlink r:id="rId687">
              <w:r>
                <w:rPr>
                  <w:color w:val="0462C1"/>
                  <w:sz w:val="20"/>
                  <w:u w:val="single" w:color="0462C1"/>
                </w:rPr>
                <w:t>www.followthemoney.org</w:t>
              </w:r>
            </w:hyperlink>
          </w:p>
        </w:tc>
      </w:tr>
      <w:tr w:rsidR="0046798B" w14:paraId="6A39296B" w14:textId="77777777">
        <w:trPr>
          <w:trHeight w:val="775"/>
        </w:trPr>
        <w:tc>
          <w:tcPr>
            <w:tcW w:w="1711" w:type="dxa"/>
          </w:tcPr>
          <w:p w14:paraId="72FB0F29" w14:textId="77777777" w:rsidR="0046798B" w:rsidRDefault="0046798B">
            <w:pPr>
              <w:pStyle w:val="TableParagraph"/>
              <w:spacing w:before="4"/>
              <w:rPr>
                <w:sz w:val="23"/>
              </w:rPr>
            </w:pPr>
          </w:p>
          <w:p w14:paraId="24818D76" w14:textId="77777777" w:rsidR="0046798B" w:rsidRDefault="00903B5C">
            <w:pPr>
              <w:pStyle w:val="TableParagraph"/>
              <w:ind w:left="115"/>
              <w:rPr>
                <w:b/>
                <w:sz w:val="20"/>
              </w:rPr>
            </w:pPr>
            <w:r>
              <w:rPr>
                <w:b/>
                <w:sz w:val="20"/>
              </w:rPr>
              <w:t>contrib_business</w:t>
            </w:r>
          </w:p>
        </w:tc>
        <w:tc>
          <w:tcPr>
            <w:tcW w:w="1596" w:type="dxa"/>
          </w:tcPr>
          <w:p w14:paraId="191C9B32" w14:textId="77777777" w:rsidR="0046798B" w:rsidRDefault="00903B5C">
            <w:pPr>
              <w:pStyle w:val="TableParagraph"/>
              <w:spacing w:before="38"/>
              <w:ind w:left="114" w:right="130"/>
              <w:rPr>
                <w:sz w:val="20"/>
              </w:rPr>
            </w:pPr>
            <w:r>
              <w:rPr>
                <w:sz w:val="20"/>
              </w:rPr>
              <w:t>Contributions from the general business sector</w:t>
            </w:r>
          </w:p>
        </w:tc>
        <w:tc>
          <w:tcPr>
            <w:tcW w:w="1285" w:type="dxa"/>
          </w:tcPr>
          <w:p w14:paraId="797A90E5" w14:textId="77777777" w:rsidR="0046798B" w:rsidRDefault="0046798B">
            <w:pPr>
              <w:pStyle w:val="TableParagraph"/>
              <w:spacing w:before="4"/>
              <w:rPr>
                <w:sz w:val="23"/>
              </w:rPr>
            </w:pPr>
          </w:p>
          <w:p w14:paraId="6E15A92F" w14:textId="77777777" w:rsidR="0046798B" w:rsidRDefault="00903B5C">
            <w:pPr>
              <w:pStyle w:val="TableParagraph"/>
              <w:ind w:left="114"/>
              <w:rPr>
                <w:sz w:val="20"/>
              </w:rPr>
            </w:pPr>
            <w:r>
              <w:rPr>
                <w:sz w:val="20"/>
              </w:rPr>
              <w:t>1989–2016</w:t>
            </w:r>
          </w:p>
        </w:tc>
        <w:tc>
          <w:tcPr>
            <w:tcW w:w="3421" w:type="dxa"/>
          </w:tcPr>
          <w:p w14:paraId="500863FD" w14:textId="77777777" w:rsidR="0046798B" w:rsidRDefault="00903B5C">
            <w:pPr>
              <w:pStyle w:val="TableParagraph"/>
              <w:spacing w:before="38"/>
              <w:ind w:left="114" w:right="477"/>
              <w:rPr>
                <w:sz w:val="20"/>
              </w:rPr>
            </w:pPr>
            <w:r>
              <w:rPr>
                <w:sz w:val="20"/>
              </w:rPr>
              <w:t>Total contributions to state office candidates from contributors in the general business sector</w:t>
            </w:r>
          </w:p>
        </w:tc>
        <w:tc>
          <w:tcPr>
            <w:tcW w:w="6482" w:type="dxa"/>
          </w:tcPr>
          <w:p w14:paraId="6CF0BABF" w14:textId="77777777" w:rsidR="0046798B" w:rsidRDefault="00903B5C">
            <w:pPr>
              <w:pStyle w:val="TableParagraph"/>
              <w:spacing w:before="153"/>
              <w:ind w:left="114" w:right="1194"/>
              <w:rPr>
                <w:sz w:val="20"/>
              </w:rPr>
            </w:pPr>
            <w:r>
              <w:rPr>
                <w:sz w:val="20"/>
              </w:rPr>
              <w:t xml:space="preserve">National Institute on Money in Politics. 2016. Helena, Montana. </w:t>
            </w:r>
            <w:hyperlink r:id="rId688">
              <w:r>
                <w:rPr>
                  <w:color w:val="0462C1"/>
                  <w:sz w:val="20"/>
                  <w:u w:val="single" w:color="0462C1"/>
                </w:rPr>
                <w:t>www.followthemoney.org</w:t>
              </w:r>
            </w:hyperlink>
          </w:p>
        </w:tc>
      </w:tr>
      <w:tr w:rsidR="0046798B" w14:paraId="3263BA53" w14:textId="77777777">
        <w:trPr>
          <w:trHeight w:val="545"/>
        </w:trPr>
        <w:tc>
          <w:tcPr>
            <w:tcW w:w="1711" w:type="dxa"/>
          </w:tcPr>
          <w:p w14:paraId="2DF6EDC6" w14:textId="77777777" w:rsidR="0046798B" w:rsidRDefault="00903B5C">
            <w:pPr>
              <w:pStyle w:val="TableParagraph"/>
              <w:spacing w:before="158"/>
              <w:ind w:left="115"/>
              <w:rPr>
                <w:b/>
                <w:sz w:val="20"/>
              </w:rPr>
            </w:pPr>
            <w:r>
              <w:rPr>
                <w:b/>
                <w:sz w:val="20"/>
              </w:rPr>
              <w:t>contrib_party</w:t>
            </w:r>
          </w:p>
        </w:tc>
        <w:tc>
          <w:tcPr>
            <w:tcW w:w="1596" w:type="dxa"/>
          </w:tcPr>
          <w:p w14:paraId="750CA117" w14:textId="77777777" w:rsidR="0046798B" w:rsidRDefault="00903B5C">
            <w:pPr>
              <w:pStyle w:val="TableParagraph"/>
              <w:spacing w:before="43"/>
              <w:ind w:left="114" w:right="229"/>
              <w:rPr>
                <w:sz w:val="20"/>
              </w:rPr>
            </w:pPr>
            <w:r>
              <w:rPr>
                <w:sz w:val="20"/>
              </w:rPr>
              <w:t>Contributions from the party</w:t>
            </w:r>
          </w:p>
        </w:tc>
        <w:tc>
          <w:tcPr>
            <w:tcW w:w="1285" w:type="dxa"/>
          </w:tcPr>
          <w:p w14:paraId="008CD93C" w14:textId="77777777" w:rsidR="0046798B" w:rsidRDefault="00903B5C">
            <w:pPr>
              <w:pStyle w:val="TableParagraph"/>
              <w:spacing w:before="158"/>
              <w:ind w:left="114"/>
              <w:rPr>
                <w:sz w:val="20"/>
              </w:rPr>
            </w:pPr>
            <w:r>
              <w:rPr>
                <w:sz w:val="20"/>
              </w:rPr>
              <w:t>1989–2016</w:t>
            </w:r>
          </w:p>
        </w:tc>
        <w:tc>
          <w:tcPr>
            <w:tcW w:w="3421" w:type="dxa"/>
          </w:tcPr>
          <w:p w14:paraId="3676793C" w14:textId="77777777" w:rsidR="0046798B" w:rsidRDefault="00903B5C">
            <w:pPr>
              <w:pStyle w:val="TableParagraph"/>
              <w:spacing w:before="43"/>
              <w:ind w:left="114" w:right="611"/>
              <w:rPr>
                <w:sz w:val="20"/>
              </w:rPr>
            </w:pPr>
            <w:r>
              <w:rPr>
                <w:sz w:val="20"/>
              </w:rPr>
              <w:t>Total contributions to state office candidates from political parties</w:t>
            </w:r>
          </w:p>
        </w:tc>
        <w:tc>
          <w:tcPr>
            <w:tcW w:w="6482" w:type="dxa"/>
          </w:tcPr>
          <w:p w14:paraId="7A15D39A" w14:textId="77777777" w:rsidR="0046798B" w:rsidRDefault="00903B5C">
            <w:pPr>
              <w:pStyle w:val="TableParagraph"/>
              <w:spacing w:before="43"/>
              <w:ind w:left="114" w:right="1194"/>
              <w:rPr>
                <w:sz w:val="20"/>
              </w:rPr>
            </w:pPr>
            <w:r>
              <w:rPr>
                <w:sz w:val="20"/>
              </w:rPr>
              <w:t xml:space="preserve">National Institute on Money in Politics. 2016. Helena, Montana. </w:t>
            </w:r>
            <w:hyperlink r:id="rId689">
              <w:r>
                <w:rPr>
                  <w:color w:val="0462C1"/>
                  <w:sz w:val="20"/>
                  <w:u w:val="single" w:color="0462C1"/>
                </w:rPr>
                <w:t>www.followthemoney.org</w:t>
              </w:r>
            </w:hyperlink>
          </w:p>
        </w:tc>
      </w:tr>
    </w:tbl>
    <w:p w14:paraId="36EFD3E6" w14:textId="77777777" w:rsidR="0046798B" w:rsidRDefault="0046798B">
      <w:pPr>
        <w:pStyle w:val="BodyText"/>
        <w:spacing w:before="8"/>
        <w:rPr>
          <w:sz w:val="15"/>
        </w:rPr>
      </w:pPr>
    </w:p>
    <w:p w14:paraId="29A0FEEA" w14:textId="77777777" w:rsidR="0046798B" w:rsidRDefault="00903B5C">
      <w:pPr>
        <w:pStyle w:val="ListParagraph"/>
        <w:numPr>
          <w:ilvl w:val="0"/>
          <w:numId w:val="8"/>
        </w:numPr>
        <w:tabs>
          <w:tab w:val="left" w:pos="901"/>
        </w:tabs>
        <w:spacing w:before="90"/>
        <w:ind w:left="900" w:hanging="280"/>
        <w:rPr>
          <w:b/>
          <w:sz w:val="24"/>
        </w:rPr>
      </w:pPr>
      <w:r>
        <w:rPr>
          <w:b/>
          <w:sz w:val="24"/>
          <w:u w:val="single"/>
        </w:rPr>
        <w:t>Interest</w:t>
      </w:r>
      <w:r>
        <w:rPr>
          <w:b/>
          <w:spacing w:val="-1"/>
          <w:sz w:val="24"/>
          <w:u w:val="single"/>
        </w:rPr>
        <w:t xml:space="preserve"> </w:t>
      </w:r>
      <w:r>
        <w:rPr>
          <w:b/>
          <w:sz w:val="24"/>
          <w:u w:val="single"/>
        </w:rPr>
        <w:t>Groups</w:t>
      </w:r>
    </w:p>
    <w:p w14:paraId="2060211D" w14:textId="77777777" w:rsidR="0046798B" w:rsidRDefault="0046798B">
      <w:pPr>
        <w:pStyle w:val="BodyText"/>
        <w:spacing w:before="2"/>
        <w:rPr>
          <w:b/>
          <w:sz w:val="24"/>
        </w:rPr>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5223ECC2" w14:textId="77777777">
        <w:trPr>
          <w:trHeight w:val="590"/>
        </w:trPr>
        <w:tc>
          <w:tcPr>
            <w:tcW w:w="1711" w:type="dxa"/>
          </w:tcPr>
          <w:p w14:paraId="22E321AA" w14:textId="77777777" w:rsidR="0046798B" w:rsidRDefault="00903B5C">
            <w:pPr>
              <w:pStyle w:val="TableParagraph"/>
              <w:spacing w:before="165"/>
              <w:ind w:left="140"/>
              <w:rPr>
                <w:b/>
              </w:rPr>
            </w:pPr>
            <w:r>
              <w:rPr>
                <w:b/>
              </w:rPr>
              <w:t>Variable Name</w:t>
            </w:r>
          </w:p>
        </w:tc>
        <w:tc>
          <w:tcPr>
            <w:tcW w:w="1596" w:type="dxa"/>
          </w:tcPr>
          <w:p w14:paraId="7E8F3F36" w14:textId="77777777" w:rsidR="0046798B" w:rsidRDefault="00903B5C">
            <w:pPr>
              <w:pStyle w:val="TableParagraph"/>
              <w:spacing w:before="41" w:line="237" w:lineRule="auto"/>
              <w:ind w:left="249" w:right="229" w:firstLine="280"/>
              <w:rPr>
                <w:b/>
              </w:rPr>
            </w:pPr>
            <w:r>
              <w:rPr>
                <w:b/>
              </w:rPr>
              <w:t>Short Description</w:t>
            </w:r>
          </w:p>
        </w:tc>
        <w:tc>
          <w:tcPr>
            <w:tcW w:w="1285" w:type="dxa"/>
          </w:tcPr>
          <w:p w14:paraId="5878ED42" w14:textId="77777777" w:rsidR="0046798B" w:rsidRDefault="00903B5C">
            <w:pPr>
              <w:pStyle w:val="TableParagraph"/>
              <w:spacing w:before="165"/>
              <w:ind w:left="364"/>
              <w:rPr>
                <w:b/>
              </w:rPr>
            </w:pPr>
            <w:r>
              <w:rPr>
                <w:b/>
              </w:rPr>
              <w:t>Years</w:t>
            </w:r>
          </w:p>
        </w:tc>
        <w:tc>
          <w:tcPr>
            <w:tcW w:w="3421" w:type="dxa"/>
          </w:tcPr>
          <w:p w14:paraId="3232D385" w14:textId="77777777" w:rsidR="0046798B" w:rsidRDefault="00903B5C">
            <w:pPr>
              <w:pStyle w:val="TableParagraph"/>
              <w:spacing w:before="39" w:line="252" w:lineRule="exact"/>
              <w:ind w:left="159" w:right="146"/>
              <w:jc w:val="center"/>
              <w:rPr>
                <w:b/>
              </w:rPr>
            </w:pPr>
            <w:r>
              <w:rPr>
                <w:b/>
              </w:rPr>
              <w:t>Coding /</w:t>
            </w:r>
          </w:p>
          <w:p w14:paraId="62E96749" w14:textId="77777777" w:rsidR="0046798B" w:rsidRDefault="00903B5C">
            <w:pPr>
              <w:pStyle w:val="TableParagraph"/>
              <w:spacing w:line="252" w:lineRule="exact"/>
              <w:ind w:left="159" w:right="150"/>
              <w:jc w:val="center"/>
              <w:rPr>
                <w:b/>
              </w:rPr>
            </w:pPr>
            <w:r>
              <w:rPr>
                <w:b/>
              </w:rPr>
              <w:t>Longer Description (if available)</w:t>
            </w:r>
          </w:p>
        </w:tc>
        <w:tc>
          <w:tcPr>
            <w:tcW w:w="6482" w:type="dxa"/>
          </w:tcPr>
          <w:p w14:paraId="2F2C50C9" w14:textId="77777777" w:rsidR="0046798B" w:rsidRDefault="00903B5C">
            <w:pPr>
              <w:pStyle w:val="TableParagraph"/>
              <w:spacing w:before="165"/>
              <w:ind w:left="2852" w:right="2845"/>
              <w:jc w:val="center"/>
              <w:rPr>
                <w:b/>
              </w:rPr>
            </w:pPr>
            <w:r>
              <w:rPr>
                <w:b/>
              </w:rPr>
              <w:t>Sources</w:t>
            </w:r>
          </w:p>
        </w:tc>
      </w:tr>
      <w:tr w:rsidR="0046798B" w14:paraId="5E10C288" w14:textId="77777777">
        <w:trPr>
          <w:trHeight w:val="1695"/>
        </w:trPr>
        <w:tc>
          <w:tcPr>
            <w:tcW w:w="1711" w:type="dxa"/>
          </w:tcPr>
          <w:p w14:paraId="473EC217" w14:textId="77777777" w:rsidR="0046798B" w:rsidRDefault="0046798B">
            <w:pPr>
              <w:pStyle w:val="TableParagraph"/>
              <w:rPr>
                <w:b/>
              </w:rPr>
            </w:pPr>
          </w:p>
          <w:p w14:paraId="4DA8D09C" w14:textId="77777777" w:rsidR="0046798B" w:rsidRDefault="0046798B">
            <w:pPr>
              <w:pStyle w:val="TableParagraph"/>
              <w:rPr>
                <w:b/>
              </w:rPr>
            </w:pPr>
          </w:p>
          <w:p w14:paraId="6057CBDC" w14:textId="77777777" w:rsidR="0046798B" w:rsidRDefault="0046798B">
            <w:pPr>
              <w:pStyle w:val="TableParagraph"/>
              <w:spacing w:before="3"/>
              <w:rPr>
                <w:b/>
                <w:sz w:val="19"/>
              </w:rPr>
            </w:pPr>
          </w:p>
          <w:p w14:paraId="233492F0" w14:textId="77777777" w:rsidR="0046798B" w:rsidRDefault="00903B5C">
            <w:pPr>
              <w:pStyle w:val="TableParagraph"/>
              <w:ind w:left="115"/>
              <w:rPr>
                <w:b/>
                <w:sz w:val="20"/>
              </w:rPr>
            </w:pPr>
            <w:r>
              <w:rPr>
                <w:b/>
                <w:sz w:val="20"/>
              </w:rPr>
              <w:t>igdensity</w:t>
            </w:r>
          </w:p>
        </w:tc>
        <w:tc>
          <w:tcPr>
            <w:tcW w:w="1596" w:type="dxa"/>
          </w:tcPr>
          <w:p w14:paraId="32F5B6C3" w14:textId="77777777" w:rsidR="0046798B" w:rsidRDefault="0046798B">
            <w:pPr>
              <w:pStyle w:val="TableParagraph"/>
              <w:rPr>
                <w:b/>
              </w:rPr>
            </w:pPr>
          </w:p>
          <w:p w14:paraId="17712BD0" w14:textId="77777777" w:rsidR="0046798B" w:rsidRDefault="0046798B">
            <w:pPr>
              <w:pStyle w:val="TableParagraph"/>
              <w:spacing w:before="3"/>
              <w:rPr>
                <w:b/>
                <w:sz w:val="31"/>
              </w:rPr>
            </w:pPr>
          </w:p>
          <w:p w14:paraId="6BAA7D49" w14:textId="77777777" w:rsidR="0046798B" w:rsidRDefault="00903B5C">
            <w:pPr>
              <w:pStyle w:val="TableParagraph"/>
              <w:ind w:left="114" w:right="357"/>
              <w:rPr>
                <w:sz w:val="20"/>
              </w:rPr>
            </w:pPr>
            <w:r>
              <w:rPr>
                <w:sz w:val="20"/>
              </w:rPr>
              <w:t>State interest group density</w:t>
            </w:r>
          </w:p>
        </w:tc>
        <w:tc>
          <w:tcPr>
            <w:tcW w:w="1285" w:type="dxa"/>
          </w:tcPr>
          <w:p w14:paraId="0695589A" w14:textId="77777777" w:rsidR="0046798B" w:rsidRDefault="0046798B">
            <w:pPr>
              <w:pStyle w:val="TableParagraph"/>
              <w:rPr>
                <w:b/>
              </w:rPr>
            </w:pPr>
          </w:p>
          <w:p w14:paraId="2A74C1D2" w14:textId="77777777" w:rsidR="0046798B" w:rsidRDefault="0046798B">
            <w:pPr>
              <w:pStyle w:val="TableParagraph"/>
              <w:spacing w:before="3"/>
              <w:rPr>
                <w:b/>
                <w:sz w:val="21"/>
              </w:rPr>
            </w:pPr>
          </w:p>
          <w:p w14:paraId="5C3C5FC4" w14:textId="77777777" w:rsidR="0046798B" w:rsidRDefault="00903B5C">
            <w:pPr>
              <w:pStyle w:val="TableParagraph"/>
              <w:ind w:left="114"/>
              <w:rPr>
                <w:sz w:val="20"/>
              </w:rPr>
            </w:pPr>
            <w:r>
              <w:rPr>
                <w:sz w:val="20"/>
              </w:rPr>
              <w:t>1980, 1990,</w:t>
            </w:r>
          </w:p>
          <w:p w14:paraId="1332D12D" w14:textId="77777777" w:rsidR="0046798B" w:rsidRDefault="00903B5C">
            <w:pPr>
              <w:pStyle w:val="TableParagraph"/>
              <w:ind w:left="114"/>
              <w:rPr>
                <w:sz w:val="20"/>
              </w:rPr>
            </w:pPr>
            <w:r>
              <w:rPr>
                <w:sz w:val="20"/>
              </w:rPr>
              <w:t>1997, 1998,</w:t>
            </w:r>
          </w:p>
          <w:p w14:paraId="1F8F5F33" w14:textId="77777777" w:rsidR="0046798B" w:rsidRDefault="00903B5C">
            <w:pPr>
              <w:pStyle w:val="TableParagraph"/>
              <w:spacing w:before="1"/>
              <w:ind w:left="114"/>
              <w:rPr>
                <w:sz w:val="20"/>
              </w:rPr>
            </w:pPr>
            <w:r>
              <w:rPr>
                <w:sz w:val="20"/>
              </w:rPr>
              <w:t>1999, 2007</w:t>
            </w:r>
          </w:p>
        </w:tc>
        <w:tc>
          <w:tcPr>
            <w:tcW w:w="3421" w:type="dxa"/>
          </w:tcPr>
          <w:p w14:paraId="5A43F5AD" w14:textId="77777777" w:rsidR="0046798B" w:rsidRDefault="0046798B">
            <w:pPr>
              <w:pStyle w:val="TableParagraph"/>
              <w:rPr>
                <w:b/>
              </w:rPr>
            </w:pPr>
          </w:p>
          <w:p w14:paraId="7C34D8FE" w14:textId="77777777" w:rsidR="0046798B" w:rsidRDefault="0046798B">
            <w:pPr>
              <w:pStyle w:val="TableParagraph"/>
              <w:spacing w:before="3"/>
              <w:rPr>
                <w:b/>
                <w:sz w:val="31"/>
              </w:rPr>
            </w:pPr>
          </w:p>
          <w:p w14:paraId="12757EBD" w14:textId="77777777" w:rsidR="0046798B" w:rsidRDefault="00903B5C">
            <w:pPr>
              <w:pStyle w:val="TableParagraph"/>
              <w:ind w:left="114" w:right="494"/>
              <w:rPr>
                <w:sz w:val="20"/>
              </w:rPr>
            </w:pPr>
            <w:r>
              <w:rPr>
                <w:sz w:val="20"/>
              </w:rPr>
              <w:t>Measure for the number of interest groups registered within a state.</w:t>
            </w:r>
          </w:p>
        </w:tc>
        <w:tc>
          <w:tcPr>
            <w:tcW w:w="6482" w:type="dxa"/>
          </w:tcPr>
          <w:p w14:paraId="408BD2E1" w14:textId="77777777" w:rsidR="0046798B" w:rsidRDefault="00903B5C">
            <w:pPr>
              <w:pStyle w:val="TableParagraph"/>
              <w:spacing w:before="38"/>
              <w:ind w:left="114" w:right="217"/>
              <w:rPr>
                <w:sz w:val="20"/>
              </w:rPr>
            </w:pPr>
            <w:r>
              <w:rPr>
                <w:sz w:val="20"/>
              </w:rPr>
              <w:t xml:space="preserve">Gray, Virginia, and David Lowery. “Interest Group Politics and Economic Growth in the U.S. States.” </w:t>
            </w:r>
            <w:r>
              <w:rPr>
                <w:i/>
                <w:sz w:val="20"/>
              </w:rPr>
              <w:t xml:space="preserve">The American Political Science Review </w:t>
            </w:r>
            <w:r>
              <w:rPr>
                <w:sz w:val="20"/>
              </w:rPr>
              <w:t>82.1 (1988): 109–131.</w:t>
            </w:r>
          </w:p>
          <w:p w14:paraId="4F25E0BF" w14:textId="77777777" w:rsidR="0046798B" w:rsidRDefault="0046798B">
            <w:pPr>
              <w:pStyle w:val="TableParagraph"/>
              <w:rPr>
                <w:b/>
                <w:sz w:val="20"/>
              </w:rPr>
            </w:pPr>
          </w:p>
          <w:p w14:paraId="7B2BE583" w14:textId="77777777" w:rsidR="0046798B" w:rsidRDefault="00903B5C">
            <w:pPr>
              <w:pStyle w:val="TableParagraph"/>
              <w:ind w:left="114" w:right="155"/>
              <w:jc w:val="both"/>
              <w:rPr>
                <w:sz w:val="20"/>
              </w:rPr>
            </w:pPr>
            <w:r>
              <w:rPr>
                <w:sz w:val="20"/>
              </w:rPr>
              <w:t xml:space="preserve">Lowery, David, Virginia Gray, and John Cluverius. “Temporal Change in the Density of State Interest Communities 1980 to 2007.” </w:t>
            </w:r>
            <w:r>
              <w:rPr>
                <w:i/>
                <w:sz w:val="20"/>
              </w:rPr>
              <w:t xml:space="preserve">State Politics &amp; Policy Quarterly </w:t>
            </w:r>
            <w:r>
              <w:rPr>
                <w:sz w:val="20"/>
              </w:rPr>
              <w:t>15.2 (2015): 263–286.</w:t>
            </w:r>
          </w:p>
        </w:tc>
      </w:tr>
      <w:tr w:rsidR="0046798B" w14:paraId="3EE0423B" w14:textId="77777777">
        <w:trPr>
          <w:trHeight w:val="775"/>
        </w:trPr>
        <w:tc>
          <w:tcPr>
            <w:tcW w:w="1711" w:type="dxa"/>
          </w:tcPr>
          <w:p w14:paraId="4403C3A2" w14:textId="77777777" w:rsidR="0046798B" w:rsidRDefault="0046798B">
            <w:pPr>
              <w:pStyle w:val="TableParagraph"/>
              <w:spacing w:before="9"/>
              <w:rPr>
                <w:b/>
                <w:sz w:val="23"/>
              </w:rPr>
            </w:pPr>
          </w:p>
          <w:p w14:paraId="5F74EABA" w14:textId="77777777" w:rsidR="0046798B" w:rsidRDefault="00903B5C">
            <w:pPr>
              <w:pStyle w:val="TableParagraph"/>
              <w:ind w:left="115"/>
              <w:rPr>
                <w:b/>
                <w:sz w:val="20"/>
              </w:rPr>
            </w:pPr>
            <w:r>
              <w:rPr>
                <w:b/>
                <w:sz w:val="20"/>
              </w:rPr>
              <w:t>ig_ed</w:t>
            </w:r>
          </w:p>
        </w:tc>
        <w:tc>
          <w:tcPr>
            <w:tcW w:w="1596" w:type="dxa"/>
          </w:tcPr>
          <w:p w14:paraId="235DC959" w14:textId="77777777" w:rsidR="0046798B" w:rsidRDefault="00903B5C">
            <w:pPr>
              <w:pStyle w:val="TableParagraph"/>
              <w:spacing w:before="158"/>
              <w:ind w:left="114" w:right="224"/>
              <w:rPr>
                <w:sz w:val="20"/>
              </w:rPr>
            </w:pPr>
            <w:r>
              <w:rPr>
                <w:sz w:val="20"/>
              </w:rPr>
              <w:t>Education state interest groups</w:t>
            </w:r>
          </w:p>
        </w:tc>
        <w:tc>
          <w:tcPr>
            <w:tcW w:w="1285" w:type="dxa"/>
          </w:tcPr>
          <w:p w14:paraId="600224C3" w14:textId="77777777" w:rsidR="0046798B" w:rsidRDefault="00903B5C">
            <w:pPr>
              <w:pStyle w:val="TableParagraph"/>
              <w:spacing w:before="43"/>
              <w:ind w:left="114"/>
              <w:rPr>
                <w:sz w:val="20"/>
              </w:rPr>
            </w:pPr>
            <w:r>
              <w:rPr>
                <w:sz w:val="20"/>
              </w:rPr>
              <w:t>1980, 1990,</w:t>
            </w:r>
          </w:p>
          <w:p w14:paraId="4D4926FA" w14:textId="77777777" w:rsidR="0046798B" w:rsidRDefault="00903B5C">
            <w:pPr>
              <w:pStyle w:val="TableParagraph"/>
              <w:spacing w:before="1"/>
              <w:ind w:left="114"/>
              <w:rPr>
                <w:sz w:val="20"/>
              </w:rPr>
            </w:pPr>
            <w:r>
              <w:rPr>
                <w:sz w:val="20"/>
              </w:rPr>
              <w:t>1997, 1998,</w:t>
            </w:r>
          </w:p>
          <w:p w14:paraId="0A69325E" w14:textId="77777777" w:rsidR="0046798B" w:rsidRDefault="00903B5C">
            <w:pPr>
              <w:pStyle w:val="TableParagraph"/>
              <w:ind w:left="114"/>
              <w:rPr>
                <w:sz w:val="20"/>
              </w:rPr>
            </w:pPr>
            <w:r>
              <w:rPr>
                <w:sz w:val="20"/>
              </w:rPr>
              <w:t>1999, 2007</w:t>
            </w:r>
          </w:p>
        </w:tc>
        <w:tc>
          <w:tcPr>
            <w:tcW w:w="3421" w:type="dxa"/>
          </w:tcPr>
          <w:p w14:paraId="00BE090F" w14:textId="77777777" w:rsidR="0046798B" w:rsidRDefault="00903B5C">
            <w:pPr>
              <w:pStyle w:val="TableParagraph"/>
              <w:spacing w:before="43"/>
              <w:ind w:left="114" w:right="200"/>
              <w:rPr>
                <w:sz w:val="20"/>
              </w:rPr>
            </w:pPr>
            <w:r>
              <w:rPr>
                <w:sz w:val="20"/>
              </w:rPr>
              <w:t>Number of education interest groups registered in the state. Includes groups such as: school districts, principals</w:t>
            </w:r>
          </w:p>
        </w:tc>
        <w:tc>
          <w:tcPr>
            <w:tcW w:w="6482" w:type="dxa"/>
          </w:tcPr>
          <w:p w14:paraId="156E2DD0" w14:textId="77777777" w:rsidR="0046798B" w:rsidRDefault="00903B5C">
            <w:pPr>
              <w:pStyle w:val="TableParagraph"/>
              <w:spacing w:before="43"/>
              <w:ind w:left="114" w:right="217"/>
              <w:rPr>
                <w:sz w:val="20"/>
              </w:rPr>
            </w:pPr>
            <w:r>
              <w:rPr>
                <w:sz w:val="20"/>
              </w:rPr>
              <w:t xml:space="preserve">Gray, Virginia, and David Lowery. “Interest Group Politics and Economic Growth in the U.S. States.” </w:t>
            </w:r>
            <w:r>
              <w:rPr>
                <w:i/>
                <w:sz w:val="20"/>
              </w:rPr>
              <w:t xml:space="preserve">The American Political Science Review </w:t>
            </w:r>
            <w:r>
              <w:rPr>
                <w:sz w:val="20"/>
              </w:rPr>
              <w:t>82.1 (1988): 109–131.</w:t>
            </w:r>
          </w:p>
        </w:tc>
      </w:tr>
    </w:tbl>
    <w:p w14:paraId="3C59A338" w14:textId="77777777" w:rsidR="0046798B" w:rsidRDefault="0046798B">
      <w:pPr>
        <w:rPr>
          <w:sz w:val="20"/>
        </w:rPr>
        <w:sectPr w:rsidR="0046798B">
          <w:pgSz w:w="15840" w:h="12240" w:orient="landscape"/>
          <w:pgMar w:top="1220" w:right="300" w:bottom="980" w:left="820" w:header="730" w:footer="787" w:gutter="0"/>
          <w:cols w:space="720"/>
        </w:sectPr>
      </w:pPr>
    </w:p>
    <w:p w14:paraId="55D76BF7"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6FBE35B8" w14:textId="77777777">
        <w:trPr>
          <w:trHeight w:val="1005"/>
        </w:trPr>
        <w:tc>
          <w:tcPr>
            <w:tcW w:w="1711" w:type="dxa"/>
          </w:tcPr>
          <w:p w14:paraId="4455CDA7" w14:textId="77777777" w:rsidR="0046798B" w:rsidRDefault="0046798B">
            <w:pPr>
              <w:pStyle w:val="TableParagraph"/>
              <w:rPr>
                <w:sz w:val="20"/>
              </w:rPr>
            </w:pPr>
          </w:p>
        </w:tc>
        <w:tc>
          <w:tcPr>
            <w:tcW w:w="1596" w:type="dxa"/>
          </w:tcPr>
          <w:p w14:paraId="2ABF613A" w14:textId="77777777" w:rsidR="0046798B" w:rsidRDefault="0046798B">
            <w:pPr>
              <w:pStyle w:val="TableParagraph"/>
              <w:rPr>
                <w:sz w:val="20"/>
              </w:rPr>
            </w:pPr>
          </w:p>
        </w:tc>
        <w:tc>
          <w:tcPr>
            <w:tcW w:w="1285" w:type="dxa"/>
          </w:tcPr>
          <w:p w14:paraId="0B01B495" w14:textId="77777777" w:rsidR="0046798B" w:rsidRDefault="0046798B">
            <w:pPr>
              <w:pStyle w:val="TableParagraph"/>
              <w:rPr>
                <w:sz w:val="20"/>
              </w:rPr>
            </w:pPr>
          </w:p>
        </w:tc>
        <w:tc>
          <w:tcPr>
            <w:tcW w:w="3421" w:type="dxa"/>
          </w:tcPr>
          <w:p w14:paraId="5B7968AE" w14:textId="77777777" w:rsidR="0046798B" w:rsidRDefault="00903B5C">
            <w:pPr>
              <w:pStyle w:val="TableParagraph"/>
              <w:spacing w:before="43"/>
              <w:ind w:left="114" w:right="871"/>
              <w:rPr>
                <w:sz w:val="20"/>
              </w:rPr>
            </w:pPr>
            <w:r>
              <w:rPr>
                <w:sz w:val="20"/>
              </w:rPr>
              <w:t>associations, unions, libraries, museums</w:t>
            </w:r>
          </w:p>
        </w:tc>
        <w:tc>
          <w:tcPr>
            <w:tcW w:w="6482" w:type="dxa"/>
          </w:tcPr>
          <w:p w14:paraId="5BB1D006" w14:textId="77777777" w:rsidR="0046798B" w:rsidRDefault="0046798B">
            <w:pPr>
              <w:pStyle w:val="TableParagraph"/>
              <w:spacing w:before="9"/>
              <w:rPr>
                <w:sz w:val="23"/>
              </w:rPr>
            </w:pPr>
          </w:p>
          <w:p w14:paraId="4F8656D6" w14:textId="77777777" w:rsidR="0046798B" w:rsidRDefault="00903B5C">
            <w:pPr>
              <w:pStyle w:val="TableParagraph"/>
              <w:ind w:left="114" w:right="155"/>
              <w:jc w:val="both"/>
              <w:rPr>
                <w:sz w:val="20"/>
              </w:rPr>
            </w:pPr>
            <w:r>
              <w:rPr>
                <w:sz w:val="20"/>
              </w:rPr>
              <w:t xml:space="preserve">Lowery, David, Virginia Gray, and John Cluverius. “Temporal Change in the Density of State Interest Communities 1980 to 2007.” </w:t>
            </w:r>
            <w:r>
              <w:rPr>
                <w:i/>
                <w:sz w:val="20"/>
              </w:rPr>
              <w:t xml:space="preserve">State Politics &amp; Policy Quarterly </w:t>
            </w:r>
            <w:r>
              <w:rPr>
                <w:sz w:val="20"/>
              </w:rPr>
              <w:t>15.2 (2015): 263–286.</w:t>
            </w:r>
          </w:p>
        </w:tc>
      </w:tr>
      <w:tr w:rsidR="0046798B" w14:paraId="6E6884B3" w14:textId="77777777">
        <w:trPr>
          <w:trHeight w:val="1695"/>
        </w:trPr>
        <w:tc>
          <w:tcPr>
            <w:tcW w:w="1711" w:type="dxa"/>
          </w:tcPr>
          <w:p w14:paraId="6F1FB5D9" w14:textId="77777777" w:rsidR="0046798B" w:rsidRDefault="0046798B">
            <w:pPr>
              <w:pStyle w:val="TableParagraph"/>
            </w:pPr>
          </w:p>
          <w:p w14:paraId="2E903627" w14:textId="77777777" w:rsidR="0046798B" w:rsidRDefault="0046798B">
            <w:pPr>
              <w:pStyle w:val="TableParagraph"/>
            </w:pPr>
          </w:p>
          <w:p w14:paraId="6D7A346E" w14:textId="77777777" w:rsidR="0046798B" w:rsidRDefault="0046798B">
            <w:pPr>
              <w:pStyle w:val="TableParagraph"/>
              <w:spacing w:before="9"/>
              <w:rPr>
                <w:sz w:val="19"/>
              </w:rPr>
            </w:pPr>
          </w:p>
          <w:p w14:paraId="043A5DFF" w14:textId="77777777" w:rsidR="0046798B" w:rsidRDefault="00903B5C">
            <w:pPr>
              <w:pStyle w:val="TableParagraph"/>
              <w:ind w:left="115"/>
              <w:rPr>
                <w:b/>
                <w:sz w:val="20"/>
              </w:rPr>
            </w:pPr>
            <w:r>
              <w:rPr>
                <w:b/>
                <w:sz w:val="20"/>
              </w:rPr>
              <w:t>ig_ag</w:t>
            </w:r>
          </w:p>
        </w:tc>
        <w:tc>
          <w:tcPr>
            <w:tcW w:w="1596" w:type="dxa"/>
          </w:tcPr>
          <w:p w14:paraId="4E34A0D4" w14:textId="77777777" w:rsidR="0046798B" w:rsidRDefault="0046798B">
            <w:pPr>
              <w:pStyle w:val="TableParagraph"/>
            </w:pPr>
          </w:p>
          <w:p w14:paraId="540AD0C3" w14:textId="77777777" w:rsidR="0046798B" w:rsidRDefault="0046798B">
            <w:pPr>
              <w:pStyle w:val="TableParagraph"/>
              <w:spacing w:before="9"/>
              <w:rPr>
                <w:sz w:val="21"/>
              </w:rPr>
            </w:pPr>
          </w:p>
          <w:p w14:paraId="3DF7AA52" w14:textId="77777777" w:rsidR="0046798B" w:rsidRDefault="00903B5C">
            <w:pPr>
              <w:pStyle w:val="TableParagraph"/>
              <w:ind w:left="114" w:right="191"/>
              <w:rPr>
                <w:sz w:val="20"/>
              </w:rPr>
            </w:pPr>
            <w:r>
              <w:rPr>
                <w:sz w:val="20"/>
              </w:rPr>
              <w:t>Agriculture and fisheries state interest groups</w:t>
            </w:r>
          </w:p>
        </w:tc>
        <w:tc>
          <w:tcPr>
            <w:tcW w:w="1285" w:type="dxa"/>
          </w:tcPr>
          <w:p w14:paraId="614DF1B1" w14:textId="77777777" w:rsidR="0046798B" w:rsidRDefault="0046798B">
            <w:pPr>
              <w:pStyle w:val="TableParagraph"/>
            </w:pPr>
          </w:p>
          <w:p w14:paraId="063DEE58" w14:textId="77777777" w:rsidR="0046798B" w:rsidRDefault="0046798B">
            <w:pPr>
              <w:pStyle w:val="TableParagraph"/>
              <w:spacing w:before="9"/>
              <w:rPr>
                <w:sz w:val="21"/>
              </w:rPr>
            </w:pPr>
          </w:p>
          <w:p w14:paraId="10ED4DAF" w14:textId="77777777" w:rsidR="0046798B" w:rsidRDefault="00903B5C">
            <w:pPr>
              <w:pStyle w:val="TableParagraph"/>
              <w:ind w:left="114"/>
              <w:rPr>
                <w:sz w:val="20"/>
              </w:rPr>
            </w:pPr>
            <w:r>
              <w:rPr>
                <w:sz w:val="20"/>
              </w:rPr>
              <w:t>1980, 1990,</w:t>
            </w:r>
          </w:p>
          <w:p w14:paraId="7AC9F063" w14:textId="77777777" w:rsidR="0046798B" w:rsidRDefault="00903B5C">
            <w:pPr>
              <w:pStyle w:val="TableParagraph"/>
              <w:ind w:left="114"/>
              <w:rPr>
                <w:sz w:val="20"/>
              </w:rPr>
            </w:pPr>
            <w:r>
              <w:rPr>
                <w:sz w:val="20"/>
              </w:rPr>
              <w:t>1997, 1998,</w:t>
            </w:r>
          </w:p>
          <w:p w14:paraId="3018008C" w14:textId="77777777" w:rsidR="0046798B" w:rsidRDefault="00903B5C">
            <w:pPr>
              <w:pStyle w:val="TableParagraph"/>
              <w:ind w:left="114"/>
              <w:rPr>
                <w:sz w:val="20"/>
              </w:rPr>
            </w:pPr>
            <w:r>
              <w:rPr>
                <w:sz w:val="20"/>
              </w:rPr>
              <w:t>1999, 2007</w:t>
            </w:r>
          </w:p>
        </w:tc>
        <w:tc>
          <w:tcPr>
            <w:tcW w:w="3421" w:type="dxa"/>
          </w:tcPr>
          <w:p w14:paraId="23D9DAFF" w14:textId="77777777" w:rsidR="0046798B" w:rsidRDefault="00903B5C">
            <w:pPr>
              <w:pStyle w:val="TableParagraph"/>
              <w:spacing w:before="158"/>
              <w:ind w:left="114" w:right="289"/>
              <w:rPr>
                <w:sz w:val="20"/>
              </w:rPr>
            </w:pPr>
            <w:r>
              <w:rPr>
                <w:sz w:val="20"/>
              </w:rPr>
              <w:t>Number of agriculture and fisheries interest groups registered in the state. Includes groups such as: farm organizations, food processors, corp farms, seafood/fishing industry</w:t>
            </w:r>
          </w:p>
        </w:tc>
        <w:tc>
          <w:tcPr>
            <w:tcW w:w="6482" w:type="dxa"/>
          </w:tcPr>
          <w:p w14:paraId="77B31DD5" w14:textId="77777777" w:rsidR="0046798B" w:rsidRDefault="00903B5C">
            <w:pPr>
              <w:pStyle w:val="TableParagraph"/>
              <w:spacing w:before="43"/>
              <w:ind w:left="114" w:right="217"/>
              <w:rPr>
                <w:sz w:val="20"/>
              </w:rPr>
            </w:pPr>
            <w:r>
              <w:rPr>
                <w:sz w:val="20"/>
              </w:rPr>
              <w:t xml:space="preserve">Gray, Virginia, and David Lowery. “Interest Group Politics and Economic Growth in the U.S. States.” </w:t>
            </w:r>
            <w:r>
              <w:rPr>
                <w:i/>
                <w:sz w:val="20"/>
              </w:rPr>
              <w:t xml:space="preserve">The American Political Science Review </w:t>
            </w:r>
            <w:r>
              <w:rPr>
                <w:sz w:val="20"/>
              </w:rPr>
              <w:t>82.1 (1988): 109–131.</w:t>
            </w:r>
          </w:p>
          <w:p w14:paraId="2D8C733C" w14:textId="77777777" w:rsidR="0046798B" w:rsidRDefault="0046798B">
            <w:pPr>
              <w:pStyle w:val="TableParagraph"/>
              <w:rPr>
                <w:sz w:val="20"/>
              </w:rPr>
            </w:pPr>
          </w:p>
          <w:p w14:paraId="002D8C35" w14:textId="77777777" w:rsidR="0046798B" w:rsidRDefault="00903B5C">
            <w:pPr>
              <w:pStyle w:val="TableParagraph"/>
              <w:spacing w:before="1"/>
              <w:ind w:left="114" w:right="155"/>
              <w:jc w:val="both"/>
              <w:rPr>
                <w:sz w:val="20"/>
              </w:rPr>
            </w:pPr>
            <w:r>
              <w:rPr>
                <w:sz w:val="20"/>
              </w:rPr>
              <w:t xml:space="preserve">Lowery, David, Virginia Gray, and John Cluverius. “Temporal Change in the Density of State Interest Communities 1980 to 2007.” </w:t>
            </w:r>
            <w:r>
              <w:rPr>
                <w:i/>
                <w:sz w:val="20"/>
              </w:rPr>
              <w:t xml:space="preserve">State Politics &amp; Policy Quarterly </w:t>
            </w:r>
            <w:r>
              <w:rPr>
                <w:sz w:val="20"/>
              </w:rPr>
              <w:t>15.2 (2015): 263–286.</w:t>
            </w:r>
          </w:p>
        </w:tc>
      </w:tr>
      <w:tr w:rsidR="0046798B" w14:paraId="620DC97A" w14:textId="77777777">
        <w:trPr>
          <w:trHeight w:val="1700"/>
        </w:trPr>
        <w:tc>
          <w:tcPr>
            <w:tcW w:w="1711" w:type="dxa"/>
          </w:tcPr>
          <w:p w14:paraId="3AB7B0C1" w14:textId="77777777" w:rsidR="0046798B" w:rsidRDefault="0046798B">
            <w:pPr>
              <w:pStyle w:val="TableParagraph"/>
            </w:pPr>
          </w:p>
          <w:p w14:paraId="3404A95E" w14:textId="77777777" w:rsidR="0046798B" w:rsidRDefault="0046798B">
            <w:pPr>
              <w:pStyle w:val="TableParagraph"/>
            </w:pPr>
          </w:p>
          <w:p w14:paraId="31E2390A" w14:textId="77777777" w:rsidR="0046798B" w:rsidRDefault="0046798B">
            <w:pPr>
              <w:pStyle w:val="TableParagraph"/>
              <w:spacing w:before="9"/>
              <w:rPr>
                <w:sz w:val="19"/>
              </w:rPr>
            </w:pPr>
          </w:p>
          <w:p w14:paraId="4EB30FD2" w14:textId="77777777" w:rsidR="0046798B" w:rsidRDefault="00903B5C">
            <w:pPr>
              <w:pStyle w:val="TableParagraph"/>
              <w:ind w:left="115"/>
              <w:rPr>
                <w:b/>
                <w:sz w:val="20"/>
              </w:rPr>
            </w:pPr>
            <w:r>
              <w:rPr>
                <w:b/>
                <w:sz w:val="20"/>
              </w:rPr>
              <w:t>ig_bk</w:t>
            </w:r>
          </w:p>
        </w:tc>
        <w:tc>
          <w:tcPr>
            <w:tcW w:w="1596" w:type="dxa"/>
          </w:tcPr>
          <w:p w14:paraId="4672C74D" w14:textId="77777777" w:rsidR="0046798B" w:rsidRDefault="0046798B">
            <w:pPr>
              <w:pStyle w:val="TableParagraph"/>
            </w:pPr>
          </w:p>
          <w:p w14:paraId="3C54B0E9" w14:textId="77777777" w:rsidR="0046798B" w:rsidRDefault="00903B5C">
            <w:pPr>
              <w:pStyle w:val="TableParagraph"/>
              <w:spacing w:before="135"/>
              <w:ind w:left="114" w:right="125"/>
              <w:rPr>
                <w:sz w:val="20"/>
              </w:rPr>
            </w:pPr>
            <w:r>
              <w:rPr>
                <w:sz w:val="20"/>
              </w:rPr>
              <w:t>Banking, finance, and real estate state interest groups</w:t>
            </w:r>
          </w:p>
        </w:tc>
        <w:tc>
          <w:tcPr>
            <w:tcW w:w="1285" w:type="dxa"/>
          </w:tcPr>
          <w:p w14:paraId="1813AF9E" w14:textId="77777777" w:rsidR="0046798B" w:rsidRDefault="0046798B">
            <w:pPr>
              <w:pStyle w:val="TableParagraph"/>
            </w:pPr>
          </w:p>
          <w:p w14:paraId="4644F320" w14:textId="77777777" w:rsidR="0046798B" w:rsidRDefault="0046798B">
            <w:pPr>
              <w:pStyle w:val="TableParagraph"/>
              <w:spacing w:before="9"/>
              <w:rPr>
                <w:sz w:val="21"/>
              </w:rPr>
            </w:pPr>
          </w:p>
          <w:p w14:paraId="5E2FEB57" w14:textId="77777777" w:rsidR="0046798B" w:rsidRDefault="00903B5C">
            <w:pPr>
              <w:pStyle w:val="TableParagraph"/>
              <w:ind w:left="114"/>
              <w:rPr>
                <w:sz w:val="20"/>
              </w:rPr>
            </w:pPr>
            <w:r>
              <w:rPr>
                <w:sz w:val="20"/>
              </w:rPr>
              <w:t>1980, 1990,</w:t>
            </w:r>
          </w:p>
          <w:p w14:paraId="6F6444D7" w14:textId="77777777" w:rsidR="0046798B" w:rsidRDefault="00903B5C">
            <w:pPr>
              <w:pStyle w:val="TableParagraph"/>
              <w:ind w:left="114"/>
              <w:rPr>
                <w:sz w:val="20"/>
              </w:rPr>
            </w:pPr>
            <w:r>
              <w:rPr>
                <w:sz w:val="20"/>
              </w:rPr>
              <w:t>1997, 1998,</w:t>
            </w:r>
          </w:p>
          <w:p w14:paraId="74B1DCF2" w14:textId="77777777" w:rsidR="0046798B" w:rsidRDefault="00903B5C">
            <w:pPr>
              <w:pStyle w:val="TableParagraph"/>
              <w:ind w:left="114"/>
              <w:rPr>
                <w:sz w:val="20"/>
              </w:rPr>
            </w:pPr>
            <w:r>
              <w:rPr>
                <w:sz w:val="20"/>
              </w:rPr>
              <w:t>1999, 2007</w:t>
            </w:r>
          </w:p>
        </w:tc>
        <w:tc>
          <w:tcPr>
            <w:tcW w:w="3421" w:type="dxa"/>
          </w:tcPr>
          <w:p w14:paraId="66761F08" w14:textId="77777777" w:rsidR="0046798B" w:rsidRDefault="0046798B">
            <w:pPr>
              <w:pStyle w:val="TableParagraph"/>
              <w:spacing w:before="9"/>
              <w:rPr>
                <w:sz w:val="23"/>
              </w:rPr>
            </w:pPr>
          </w:p>
          <w:p w14:paraId="5C915E21" w14:textId="77777777" w:rsidR="0046798B" w:rsidRDefault="00903B5C">
            <w:pPr>
              <w:pStyle w:val="TableParagraph"/>
              <w:ind w:left="114" w:right="266"/>
              <w:jc w:val="both"/>
              <w:rPr>
                <w:sz w:val="20"/>
              </w:rPr>
            </w:pPr>
            <w:r>
              <w:rPr>
                <w:sz w:val="20"/>
              </w:rPr>
              <w:t>Number of banking, finance, and real estate interest groups registered in the state. Includes groups such as: banks, credit unions, investment companies, securities, stocks</w:t>
            </w:r>
          </w:p>
        </w:tc>
        <w:tc>
          <w:tcPr>
            <w:tcW w:w="6482" w:type="dxa"/>
          </w:tcPr>
          <w:p w14:paraId="4FD50B3A" w14:textId="77777777" w:rsidR="0046798B" w:rsidRDefault="00903B5C">
            <w:pPr>
              <w:pStyle w:val="TableParagraph"/>
              <w:spacing w:before="43"/>
              <w:ind w:left="114" w:right="217"/>
              <w:rPr>
                <w:sz w:val="20"/>
              </w:rPr>
            </w:pPr>
            <w:r>
              <w:rPr>
                <w:sz w:val="20"/>
              </w:rPr>
              <w:t xml:space="preserve">Gray, Virginia, and David Lowery. “Interest Group Politics and Economic Growth in the U.S. States.” </w:t>
            </w:r>
            <w:r>
              <w:rPr>
                <w:i/>
                <w:sz w:val="20"/>
              </w:rPr>
              <w:t xml:space="preserve">The American Political Science Review </w:t>
            </w:r>
            <w:r>
              <w:rPr>
                <w:sz w:val="20"/>
              </w:rPr>
              <w:t>82.1 (1988): 109–131.</w:t>
            </w:r>
          </w:p>
          <w:p w14:paraId="3B1C97D9" w14:textId="77777777" w:rsidR="0046798B" w:rsidRDefault="0046798B">
            <w:pPr>
              <w:pStyle w:val="TableParagraph"/>
              <w:rPr>
                <w:sz w:val="20"/>
              </w:rPr>
            </w:pPr>
          </w:p>
          <w:p w14:paraId="52FA2943" w14:textId="77777777" w:rsidR="0046798B" w:rsidRDefault="00903B5C">
            <w:pPr>
              <w:pStyle w:val="TableParagraph"/>
              <w:ind w:left="114" w:right="155"/>
              <w:jc w:val="both"/>
              <w:rPr>
                <w:sz w:val="20"/>
              </w:rPr>
            </w:pPr>
            <w:r>
              <w:rPr>
                <w:sz w:val="20"/>
              </w:rPr>
              <w:t xml:space="preserve">Lowery, David, Virginia Gray, and John Cluverius. “Temporal Change in the Density of State Interest Communities 1980 to 2007.” </w:t>
            </w:r>
            <w:r>
              <w:rPr>
                <w:i/>
                <w:sz w:val="20"/>
              </w:rPr>
              <w:t xml:space="preserve">State Politics &amp; Policy Quarterly </w:t>
            </w:r>
            <w:r>
              <w:rPr>
                <w:sz w:val="20"/>
              </w:rPr>
              <w:t>15.2 (2015): 263–286.</w:t>
            </w:r>
          </w:p>
        </w:tc>
      </w:tr>
      <w:tr w:rsidR="0046798B" w14:paraId="50153BFE" w14:textId="77777777">
        <w:trPr>
          <w:trHeight w:val="1695"/>
        </w:trPr>
        <w:tc>
          <w:tcPr>
            <w:tcW w:w="1711" w:type="dxa"/>
          </w:tcPr>
          <w:p w14:paraId="45F73ADE" w14:textId="77777777" w:rsidR="0046798B" w:rsidRDefault="0046798B">
            <w:pPr>
              <w:pStyle w:val="TableParagraph"/>
            </w:pPr>
          </w:p>
          <w:p w14:paraId="389A1F8E" w14:textId="77777777" w:rsidR="0046798B" w:rsidRDefault="0046798B">
            <w:pPr>
              <w:pStyle w:val="TableParagraph"/>
            </w:pPr>
          </w:p>
          <w:p w14:paraId="0BB95A50" w14:textId="77777777" w:rsidR="0046798B" w:rsidRDefault="0046798B">
            <w:pPr>
              <w:pStyle w:val="TableParagraph"/>
              <w:spacing w:before="4"/>
              <w:rPr>
                <w:sz w:val="19"/>
              </w:rPr>
            </w:pPr>
          </w:p>
          <w:p w14:paraId="60CA6CBA" w14:textId="77777777" w:rsidR="0046798B" w:rsidRDefault="00903B5C">
            <w:pPr>
              <w:pStyle w:val="TableParagraph"/>
              <w:ind w:left="115"/>
              <w:rPr>
                <w:b/>
                <w:sz w:val="20"/>
              </w:rPr>
            </w:pPr>
            <w:r>
              <w:rPr>
                <w:b/>
                <w:sz w:val="20"/>
              </w:rPr>
              <w:t>ig_in</w:t>
            </w:r>
          </w:p>
        </w:tc>
        <w:tc>
          <w:tcPr>
            <w:tcW w:w="1596" w:type="dxa"/>
          </w:tcPr>
          <w:p w14:paraId="50BA0837" w14:textId="77777777" w:rsidR="0046798B" w:rsidRDefault="0046798B">
            <w:pPr>
              <w:pStyle w:val="TableParagraph"/>
            </w:pPr>
          </w:p>
          <w:p w14:paraId="0BDA0E5C" w14:textId="77777777" w:rsidR="0046798B" w:rsidRDefault="0046798B">
            <w:pPr>
              <w:pStyle w:val="TableParagraph"/>
              <w:spacing w:before="3"/>
              <w:rPr>
                <w:sz w:val="31"/>
              </w:rPr>
            </w:pPr>
          </w:p>
          <w:p w14:paraId="476593DF" w14:textId="77777777" w:rsidR="0046798B" w:rsidRDefault="00903B5C">
            <w:pPr>
              <w:pStyle w:val="TableParagraph"/>
              <w:spacing w:before="1"/>
              <w:ind w:left="114" w:right="258"/>
              <w:rPr>
                <w:sz w:val="20"/>
              </w:rPr>
            </w:pPr>
            <w:r>
              <w:rPr>
                <w:sz w:val="20"/>
              </w:rPr>
              <w:t>Insurance state interest groups</w:t>
            </w:r>
          </w:p>
        </w:tc>
        <w:tc>
          <w:tcPr>
            <w:tcW w:w="1285" w:type="dxa"/>
          </w:tcPr>
          <w:p w14:paraId="1EE6B18C" w14:textId="77777777" w:rsidR="0046798B" w:rsidRDefault="0046798B">
            <w:pPr>
              <w:pStyle w:val="TableParagraph"/>
            </w:pPr>
          </w:p>
          <w:p w14:paraId="1336120B" w14:textId="77777777" w:rsidR="0046798B" w:rsidRDefault="0046798B">
            <w:pPr>
              <w:pStyle w:val="TableParagraph"/>
              <w:spacing w:before="3"/>
              <w:rPr>
                <w:sz w:val="21"/>
              </w:rPr>
            </w:pPr>
          </w:p>
          <w:p w14:paraId="1C5EDCBB" w14:textId="77777777" w:rsidR="0046798B" w:rsidRDefault="00903B5C">
            <w:pPr>
              <w:pStyle w:val="TableParagraph"/>
              <w:spacing w:before="1"/>
              <w:ind w:left="114"/>
              <w:rPr>
                <w:sz w:val="20"/>
              </w:rPr>
            </w:pPr>
            <w:r>
              <w:rPr>
                <w:sz w:val="20"/>
              </w:rPr>
              <w:t>1980, 1990,</w:t>
            </w:r>
          </w:p>
          <w:p w14:paraId="7E46B644" w14:textId="77777777" w:rsidR="0046798B" w:rsidRDefault="00903B5C">
            <w:pPr>
              <w:pStyle w:val="TableParagraph"/>
              <w:ind w:left="114"/>
              <w:rPr>
                <w:sz w:val="20"/>
              </w:rPr>
            </w:pPr>
            <w:r>
              <w:rPr>
                <w:sz w:val="20"/>
              </w:rPr>
              <w:t>1997, 1998,</w:t>
            </w:r>
          </w:p>
          <w:p w14:paraId="79CB41B7" w14:textId="77777777" w:rsidR="0046798B" w:rsidRDefault="00903B5C">
            <w:pPr>
              <w:pStyle w:val="TableParagraph"/>
              <w:ind w:left="114"/>
              <w:rPr>
                <w:sz w:val="20"/>
              </w:rPr>
            </w:pPr>
            <w:r>
              <w:rPr>
                <w:sz w:val="20"/>
              </w:rPr>
              <w:t>1999, 2007</w:t>
            </w:r>
          </w:p>
        </w:tc>
        <w:tc>
          <w:tcPr>
            <w:tcW w:w="3421" w:type="dxa"/>
          </w:tcPr>
          <w:p w14:paraId="05A502CB" w14:textId="77777777" w:rsidR="0046798B" w:rsidRDefault="0046798B">
            <w:pPr>
              <w:pStyle w:val="TableParagraph"/>
              <w:spacing w:before="3"/>
              <w:rPr>
                <w:sz w:val="23"/>
              </w:rPr>
            </w:pPr>
          </w:p>
          <w:p w14:paraId="2668DC39" w14:textId="77777777" w:rsidR="0046798B" w:rsidRDefault="00903B5C">
            <w:pPr>
              <w:pStyle w:val="TableParagraph"/>
              <w:spacing w:before="1"/>
              <w:ind w:left="114" w:right="139"/>
              <w:rPr>
                <w:sz w:val="20"/>
              </w:rPr>
            </w:pPr>
            <w:r>
              <w:rPr>
                <w:sz w:val="20"/>
              </w:rPr>
              <w:t>Number of insurance interest groups registered in the state. Includes groups such as: insurance companies (car, life, and home), brokers, associations, underwriters</w:t>
            </w:r>
          </w:p>
        </w:tc>
        <w:tc>
          <w:tcPr>
            <w:tcW w:w="6482" w:type="dxa"/>
          </w:tcPr>
          <w:p w14:paraId="1FD52C35" w14:textId="77777777" w:rsidR="0046798B" w:rsidRDefault="00903B5C">
            <w:pPr>
              <w:pStyle w:val="TableParagraph"/>
              <w:spacing w:before="38"/>
              <w:ind w:left="114" w:right="217"/>
              <w:rPr>
                <w:sz w:val="20"/>
              </w:rPr>
            </w:pPr>
            <w:r>
              <w:rPr>
                <w:sz w:val="20"/>
              </w:rPr>
              <w:t xml:space="preserve">Gray, Virginia, and David Lowery. “Interest Group Politics and Economic Growth in the U.S. States.” </w:t>
            </w:r>
            <w:r>
              <w:rPr>
                <w:i/>
                <w:sz w:val="20"/>
              </w:rPr>
              <w:t xml:space="preserve">The American Political Science Review </w:t>
            </w:r>
            <w:r>
              <w:rPr>
                <w:sz w:val="20"/>
              </w:rPr>
              <w:t>82.1 (1988): 109–131.</w:t>
            </w:r>
          </w:p>
          <w:p w14:paraId="500DBB41" w14:textId="77777777" w:rsidR="0046798B" w:rsidRDefault="0046798B">
            <w:pPr>
              <w:pStyle w:val="TableParagraph"/>
              <w:rPr>
                <w:sz w:val="20"/>
              </w:rPr>
            </w:pPr>
          </w:p>
          <w:p w14:paraId="39D589D3" w14:textId="77777777" w:rsidR="0046798B" w:rsidRDefault="00903B5C">
            <w:pPr>
              <w:pStyle w:val="TableParagraph"/>
              <w:spacing w:before="1"/>
              <w:ind w:left="114" w:right="155"/>
              <w:jc w:val="both"/>
              <w:rPr>
                <w:sz w:val="20"/>
              </w:rPr>
            </w:pPr>
            <w:r>
              <w:rPr>
                <w:sz w:val="20"/>
              </w:rPr>
              <w:t xml:space="preserve">Lowery, David, Virginia Gray, and John Cluverius. “Temporal Change in the Density of State Interest Communities 1980 to 2007.” </w:t>
            </w:r>
            <w:r>
              <w:rPr>
                <w:i/>
                <w:sz w:val="20"/>
              </w:rPr>
              <w:t xml:space="preserve">State Politics &amp; Policy Quarterly </w:t>
            </w:r>
            <w:r>
              <w:rPr>
                <w:sz w:val="20"/>
              </w:rPr>
              <w:t>15.2 (2015): 263–286.</w:t>
            </w:r>
          </w:p>
        </w:tc>
      </w:tr>
      <w:tr w:rsidR="0046798B" w14:paraId="52F61F1F" w14:textId="77777777">
        <w:trPr>
          <w:trHeight w:val="1695"/>
        </w:trPr>
        <w:tc>
          <w:tcPr>
            <w:tcW w:w="1711" w:type="dxa"/>
          </w:tcPr>
          <w:p w14:paraId="59AB5F08" w14:textId="77777777" w:rsidR="0046798B" w:rsidRDefault="0046798B">
            <w:pPr>
              <w:pStyle w:val="TableParagraph"/>
            </w:pPr>
          </w:p>
          <w:p w14:paraId="1E6994FE" w14:textId="77777777" w:rsidR="0046798B" w:rsidRDefault="0046798B">
            <w:pPr>
              <w:pStyle w:val="TableParagraph"/>
            </w:pPr>
          </w:p>
          <w:p w14:paraId="53859B01" w14:textId="77777777" w:rsidR="0046798B" w:rsidRDefault="0046798B">
            <w:pPr>
              <w:pStyle w:val="TableParagraph"/>
              <w:spacing w:before="4"/>
              <w:rPr>
                <w:sz w:val="19"/>
              </w:rPr>
            </w:pPr>
          </w:p>
          <w:p w14:paraId="4798612F" w14:textId="77777777" w:rsidR="0046798B" w:rsidRDefault="00903B5C">
            <w:pPr>
              <w:pStyle w:val="TableParagraph"/>
              <w:ind w:left="115"/>
              <w:rPr>
                <w:b/>
                <w:sz w:val="20"/>
              </w:rPr>
            </w:pPr>
            <w:r>
              <w:rPr>
                <w:b/>
                <w:sz w:val="20"/>
              </w:rPr>
              <w:t>ig_mf</w:t>
            </w:r>
          </w:p>
        </w:tc>
        <w:tc>
          <w:tcPr>
            <w:tcW w:w="1596" w:type="dxa"/>
          </w:tcPr>
          <w:p w14:paraId="3BD53086" w14:textId="77777777" w:rsidR="0046798B" w:rsidRDefault="0046798B">
            <w:pPr>
              <w:pStyle w:val="TableParagraph"/>
            </w:pPr>
          </w:p>
          <w:p w14:paraId="7CB36675" w14:textId="77777777" w:rsidR="0046798B" w:rsidRDefault="0046798B">
            <w:pPr>
              <w:pStyle w:val="TableParagraph"/>
              <w:spacing w:before="4"/>
              <w:rPr>
                <w:sz w:val="31"/>
              </w:rPr>
            </w:pPr>
          </w:p>
          <w:p w14:paraId="096E9849" w14:textId="77777777" w:rsidR="0046798B" w:rsidRDefault="00903B5C">
            <w:pPr>
              <w:pStyle w:val="TableParagraph"/>
              <w:ind w:left="114" w:right="263"/>
              <w:rPr>
                <w:sz w:val="20"/>
              </w:rPr>
            </w:pPr>
            <w:r>
              <w:rPr>
                <w:sz w:val="20"/>
              </w:rPr>
              <w:t>Manufacturing interest groups</w:t>
            </w:r>
          </w:p>
        </w:tc>
        <w:tc>
          <w:tcPr>
            <w:tcW w:w="1285" w:type="dxa"/>
          </w:tcPr>
          <w:p w14:paraId="72D4CCB5" w14:textId="77777777" w:rsidR="0046798B" w:rsidRDefault="0046798B">
            <w:pPr>
              <w:pStyle w:val="TableParagraph"/>
            </w:pPr>
          </w:p>
          <w:p w14:paraId="68BE31B0" w14:textId="77777777" w:rsidR="0046798B" w:rsidRDefault="0046798B">
            <w:pPr>
              <w:pStyle w:val="TableParagraph"/>
              <w:spacing w:before="4"/>
              <w:rPr>
                <w:sz w:val="21"/>
              </w:rPr>
            </w:pPr>
          </w:p>
          <w:p w14:paraId="6385298B" w14:textId="77777777" w:rsidR="0046798B" w:rsidRDefault="00903B5C">
            <w:pPr>
              <w:pStyle w:val="TableParagraph"/>
              <w:ind w:left="114"/>
              <w:rPr>
                <w:sz w:val="20"/>
              </w:rPr>
            </w:pPr>
            <w:r>
              <w:rPr>
                <w:sz w:val="20"/>
              </w:rPr>
              <w:t>1980, 1990,</w:t>
            </w:r>
          </w:p>
          <w:p w14:paraId="069795F6" w14:textId="77777777" w:rsidR="0046798B" w:rsidRDefault="00903B5C">
            <w:pPr>
              <w:pStyle w:val="TableParagraph"/>
              <w:ind w:left="114"/>
              <w:rPr>
                <w:sz w:val="20"/>
              </w:rPr>
            </w:pPr>
            <w:r>
              <w:rPr>
                <w:sz w:val="20"/>
              </w:rPr>
              <w:t>1997, 1998,</w:t>
            </w:r>
          </w:p>
          <w:p w14:paraId="0060B764" w14:textId="77777777" w:rsidR="0046798B" w:rsidRDefault="00903B5C">
            <w:pPr>
              <w:pStyle w:val="TableParagraph"/>
              <w:ind w:left="114"/>
              <w:rPr>
                <w:sz w:val="20"/>
              </w:rPr>
            </w:pPr>
            <w:r>
              <w:rPr>
                <w:sz w:val="20"/>
              </w:rPr>
              <w:t>1999, 2007</w:t>
            </w:r>
          </w:p>
        </w:tc>
        <w:tc>
          <w:tcPr>
            <w:tcW w:w="3421" w:type="dxa"/>
          </w:tcPr>
          <w:p w14:paraId="19683393" w14:textId="77777777" w:rsidR="0046798B" w:rsidRDefault="0046798B">
            <w:pPr>
              <w:pStyle w:val="TableParagraph"/>
              <w:spacing w:before="4"/>
              <w:rPr>
                <w:sz w:val="23"/>
              </w:rPr>
            </w:pPr>
          </w:p>
          <w:p w14:paraId="4D8F4361" w14:textId="77777777" w:rsidR="0046798B" w:rsidRDefault="00903B5C">
            <w:pPr>
              <w:pStyle w:val="TableParagraph"/>
              <w:ind w:left="114" w:right="161"/>
              <w:rPr>
                <w:sz w:val="20"/>
              </w:rPr>
            </w:pPr>
            <w:r>
              <w:rPr>
                <w:sz w:val="20"/>
              </w:rPr>
              <w:t>Number of manufacturing interest groups registered in the state. Includes groups such as: producers, manufacturing associations, paper mills, chemical companies, technology</w:t>
            </w:r>
          </w:p>
        </w:tc>
        <w:tc>
          <w:tcPr>
            <w:tcW w:w="6482" w:type="dxa"/>
          </w:tcPr>
          <w:p w14:paraId="0C18B232" w14:textId="77777777" w:rsidR="0046798B" w:rsidRDefault="00903B5C">
            <w:pPr>
              <w:pStyle w:val="TableParagraph"/>
              <w:spacing w:before="38"/>
              <w:ind w:left="114" w:right="217"/>
              <w:rPr>
                <w:sz w:val="20"/>
              </w:rPr>
            </w:pPr>
            <w:r>
              <w:rPr>
                <w:sz w:val="20"/>
              </w:rPr>
              <w:t xml:space="preserve">Gray, Virginia, and David Lowery. “Interest Group Politics and Economic Growth in the U.S. States.” </w:t>
            </w:r>
            <w:r>
              <w:rPr>
                <w:i/>
                <w:sz w:val="20"/>
              </w:rPr>
              <w:t xml:space="preserve">The American Political Science Review </w:t>
            </w:r>
            <w:r>
              <w:rPr>
                <w:sz w:val="20"/>
              </w:rPr>
              <w:t>82.1 (1988): 109–131.</w:t>
            </w:r>
          </w:p>
          <w:p w14:paraId="2A78D892" w14:textId="77777777" w:rsidR="0046798B" w:rsidRDefault="0046798B">
            <w:pPr>
              <w:pStyle w:val="TableParagraph"/>
              <w:rPr>
                <w:sz w:val="20"/>
              </w:rPr>
            </w:pPr>
          </w:p>
          <w:p w14:paraId="7919198D" w14:textId="77777777" w:rsidR="0046798B" w:rsidRDefault="00903B5C">
            <w:pPr>
              <w:pStyle w:val="TableParagraph"/>
              <w:ind w:left="114" w:right="155"/>
              <w:jc w:val="both"/>
              <w:rPr>
                <w:sz w:val="20"/>
              </w:rPr>
            </w:pPr>
            <w:r>
              <w:rPr>
                <w:sz w:val="20"/>
              </w:rPr>
              <w:t xml:space="preserve">Lowery, David, Virginia Gray, and John Cluverius. “Temporal Change in the Density of State Interest Communities 1980 to 2007.” </w:t>
            </w:r>
            <w:r>
              <w:rPr>
                <w:i/>
                <w:sz w:val="20"/>
              </w:rPr>
              <w:t xml:space="preserve">State Politics &amp; Policy Quarterly </w:t>
            </w:r>
            <w:r>
              <w:rPr>
                <w:sz w:val="20"/>
              </w:rPr>
              <w:t>15.2 (2015): 263–286.</w:t>
            </w:r>
          </w:p>
        </w:tc>
      </w:tr>
      <w:tr w:rsidR="0046798B" w14:paraId="00044EB5" w14:textId="77777777">
        <w:trPr>
          <w:trHeight w:val="1235"/>
        </w:trPr>
        <w:tc>
          <w:tcPr>
            <w:tcW w:w="1711" w:type="dxa"/>
          </w:tcPr>
          <w:p w14:paraId="4714CD7D" w14:textId="77777777" w:rsidR="0046798B" w:rsidRDefault="0046798B">
            <w:pPr>
              <w:pStyle w:val="TableParagraph"/>
            </w:pPr>
          </w:p>
          <w:p w14:paraId="041C1D77" w14:textId="77777777" w:rsidR="0046798B" w:rsidRDefault="0046798B">
            <w:pPr>
              <w:pStyle w:val="TableParagraph"/>
              <w:spacing w:before="3"/>
              <w:rPr>
                <w:sz w:val="21"/>
              </w:rPr>
            </w:pPr>
          </w:p>
          <w:p w14:paraId="45A304AB" w14:textId="77777777" w:rsidR="0046798B" w:rsidRDefault="00903B5C">
            <w:pPr>
              <w:pStyle w:val="TableParagraph"/>
              <w:spacing w:before="1"/>
              <w:ind w:left="115"/>
              <w:rPr>
                <w:b/>
                <w:sz w:val="20"/>
              </w:rPr>
            </w:pPr>
            <w:r>
              <w:rPr>
                <w:b/>
                <w:sz w:val="20"/>
              </w:rPr>
              <w:t>ig_cons</w:t>
            </w:r>
          </w:p>
        </w:tc>
        <w:tc>
          <w:tcPr>
            <w:tcW w:w="1596" w:type="dxa"/>
          </w:tcPr>
          <w:p w14:paraId="19F6F4EE" w14:textId="77777777" w:rsidR="0046798B" w:rsidRDefault="0046798B">
            <w:pPr>
              <w:pStyle w:val="TableParagraph"/>
              <w:spacing w:before="3"/>
              <w:rPr>
                <w:sz w:val="23"/>
              </w:rPr>
            </w:pPr>
          </w:p>
          <w:p w14:paraId="321F1C03" w14:textId="77777777" w:rsidR="0046798B" w:rsidRDefault="00903B5C">
            <w:pPr>
              <w:pStyle w:val="TableParagraph"/>
              <w:spacing w:before="1"/>
              <w:ind w:left="114" w:right="268"/>
              <w:rPr>
                <w:sz w:val="20"/>
              </w:rPr>
            </w:pPr>
            <w:r>
              <w:rPr>
                <w:sz w:val="20"/>
              </w:rPr>
              <w:t>Construction and housing interest groups</w:t>
            </w:r>
          </w:p>
        </w:tc>
        <w:tc>
          <w:tcPr>
            <w:tcW w:w="1285" w:type="dxa"/>
          </w:tcPr>
          <w:p w14:paraId="6E8278DA" w14:textId="77777777" w:rsidR="0046798B" w:rsidRDefault="0046798B">
            <w:pPr>
              <w:pStyle w:val="TableParagraph"/>
              <w:spacing w:before="3"/>
              <w:rPr>
                <w:sz w:val="23"/>
              </w:rPr>
            </w:pPr>
          </w:p>
          <w:p w14:paraId="1E633444" w14:textId="77777777" w:rsidR="0046798B" w:rsidRDefault="00903B5C">
            <w:pPr>
              <w:pStyle w:val="TableParagraph"/>
              <w:spacing w:before="1"/>
              <w:ind w:left="114"/>
              <w:rPr>
                <w:sz w:val="20"/>
              </w:rPr>
            </w:pPr>
            <w:r>
              <w:rPr>
                <w:sz w:val="20"/>
              </w:rPr>
              <w:t>1980, 1990,</w:t>
            </w:r>
          </w:p>
          <w:p w14:paraId="5ED8CBEC" w14:textId="77777777" w:rsidR="0046798B" w:rsidRDefault="00903B5C">
            <w:pPr>
              <w:pStyle w:val="TableParagraph"/>
              <w:ind w:left="114"/>
              <w:rPr>
                <w:sz w:val="20"/>
              </w:rPr>
            </w:pPr>
            <w:r>
              <w:rPr>
                <w:sz w:val="20"/>
              </w:rPr>
              <w:t>1997, 1998,</w:t>
            </w:r>
          </w:p>
          <w:p w14:paraId="3E1417EB" w14:textId="77777777" w:rsidR="0046798B" w:rsidRDefault="00903B5C">
            <w:pPr>
              <w:pStyle w:val="TableParagraph"/>
              <w:ind w:left="114"/>
              <w:rPr>
                <w:sz w:val="20"/>
              </w:rPr>
            </w:pPr>
            <w:r>
              <w:rPr>
                <w:sz w:val="20"/>
              </w:rPr>
              <w:t>1999, 2007</w:t>
            </w:r>
          </w:p>
        </w:tc>
        <w:tc>
          <w:tcPr>
            <w:tcW w:w="3421" w:type="dxa"/>
          </w:tcPr>
          <w:p w14:paraId="23E65D87" w14:textId="77777777" w:rsidR="0046798B" w:rsidRDefault="00903B5C">
            <w:pPr>
              <w:pStyle w:val="TableParagraph"/>
              <w:spacing w:before="38"/>
              <w:ind w:left="114" w:right="277"/>
              <w:rPr>
                <w:sz w:val="20"/>
              </w:rPr>
            </w:pPr>
            <w:r>
              <w:rPr>
                <w:sz w:val="20"/>
              </w:rPr>
              <w:t>Number of construction and housing interest groups registered in the state. Includes groups such as: construction associations, construction firms, landlord associations, tenant unions</w:t>
            </w:r>
          </w:p>
        </w:tc>
        <w:tc>
          <w:tcPr>
            <w:tcW w:w="6482" w:type="dxa"/>
          </w:tcPr>
          <w:p w14:paraId="579EBEA3" w14:textId="77777777" w:rsidR="0046798B" w:rsidRDefault="00903B5C">
            <w:pPr>
              <w:pStyle w:val="TableParagraph"/>
              <w:spacing w:before="153"/>
              <w:ind w:left="114" w:right="217"/>
              <w:rPr>
                <w:sz w:val="20"/>
              </w:rPr>
            </w:pPr>
            <w:r>
              <w:rPr>
                <w:sz w:val="20"/>
              </w:rPr>
              <w:t xml:space="preserve">Gray, Virginia, and David Lowery. “Interest Group Politics and Economic Growth in the U.S. States.” </w:t>
            </w:r>
            <w:r>
              <w:rPr>
                <w:i/>
                <w:sz w:val="20"/>
              </w:rPr>
              <w:t xml:space="preserve">The American Political Science Review </w:t>
            </w:r>
            <w:r>
              <w:rPr>
                <w:sz w:val="20"/>
              </w:rPr>
              <w:t>82.1 (1988): 109–131.</w:t>
            </w:r>
          </w:p>
        </w:tc>
      </w:tr>
    </w:tbl>
    <w:p w14:paraId="404C20EA" w14:textId="77777777" w:rsidR="0046798B" w:rsidRDefault="0046798B">
      <w:pPr>
        <w:rPr>
          <w:sz w:val="20"/>
        </w:rPr>
        <w:sectPr w:rsidR="0046798B">
          <w:pgSz w:w="15840" w:h="12240" w:orient="landscape"/>
          <w:pgMar w:top="1220" w:right="300" w:bottom="980" w:left="820" w:header="730" w:footer="787" w:gutter="0"/>
          <w:cols w:space="720"/>
        </w:sectPr>
      </w:pPr>
    </w:p>
    <w:p w14:paraId="43977C76"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65C98D5D" w14:textId="77777777">
        <w:trPr>
          <w:trHeight w:val="775"/>
        </w:trPr>
        <w:tc>
          <w:tcPr>
            <w:tcW w:w="1711" w:type="dxa"/>
          </w:tcPr>
          <w:p w14:paraId="258E9F33" w14:textId="77777777" w:rsidR="0046798B" w:rsidRDefault="0046798B">
            <w:pPr>
              <w:pStyle w:val="TableParagraph"/>
              <w:rPr>
                <w:sz w:val="20"/>
              </w:rPr>
            </w:pPr>
          </w:p>
        </w:tc>
        <w:tc>
          <w:tcPr>
            <w:tcW w:w="1596" w:type="dxa"/>
          </w:tcPr>
          <w:p w14:paraId="6B7E2351" w14:textId="77777777" w:rsidR="0046798B" w:rsidRDefault="0046798B">
            <w:pPr>
              <w:pStyle w:val="TableParagraph"/>
              <w:rPr>
                <w:sz w:val="20"/>
              </w:rPr>
            </w:pPr>
          </w:p>
        </w:tc>
        <w:tc>
          <w:tcPr>
            <w:tcW w:w="1285" w:type="dxa"/>
          </w:tcPr>
          <w:p w14:paraId="611DD8AE" w14:textId="77777777" w:rsidR="0046798B" w:rsidRDefault="0046798B">
            <w:pPr>
              <w:pStyle w:val="TableParagraph"/>
              <w:rPr>
                <w:sz w:val="20"/>
              </w:rPr>
            </w:pPr>
          </w:p>
        </w:tc>
        <w:tc>
          <w:tcPr>
            <w:tcW w:w="3421" w:type="dxa"/>
          </w:tcPr>
          <w:p w14:paraId="510E6799" w14:textId="77777777" w:rsidR="0046798B" w:rsidRDefault="0046798B">
            <w:pPr>
              <w:pStyle w:val="TableParagraph"/>
              <w:rPr>
                <w:sz w:val="20"/>
              </w:rPr>
            </w:pPr>
          </w:p>
        </w:tc>
        <w:tc>
          <w:tcPr>
            <w:tcW w:w="6482" w:type="dxa"/>
          </w:tcPr>
          <w:p w14:paraId="30A93100" w14:textId="77777777" w:rsidR="0046798B" w:rsidRDefault="00903B5C">
            <w:pPr>
              <w:pStyle w:val="TableParagraph"/>
              <w:spacing w:before="43"/>
              <w:ind w:left="114" w:right="151"/>
              <w:jc w:val="both"/>
              <w:rPr>
                <w:sz w:val="20"/>
              </w:rPr>
            </w:pPr>
            <w:r>
              <w:rPr>
                <w:sz w:val="20"/>
              </w:rPr>
              <w:t xml:space="preserve">Lowery, David, Virginia Gray, and John Cluverius. “Temporal Change in the Density of State Interest Communities 1980 to 2007.” </w:t>
            </w:r>
            <w:r>
              <w:rPr>
                <w:i/>
                <w:sz w:val="20"/>
              </w:rPr>
              <w:t xml:space="preserve">State Politics &amp; Policy Quarterly </w:t>
            </w:r>
            <w:r>
              <w:rPr>
                <w:sz w:val="20"/>
              </w:rPr>
              <w:t>15.2 (2015): 263–286.</w:t>
            </w:r>
          </w:p>
        </w:tc>
      </w:tr>
      <w:tr w:rsidR="0046798B" w14:paraId="603BA9E9" w14:textId="77777777">
        <w:trPr>
          <w:trHeight w:val="1695"/>
        </w:trPr>
        <w:tc>
          <w:tcPr>
            <w:tcW w:w="1711" w:type="dxa"/>
          </w:tcPr>
          <w:p w14:paraId="004103C1" w14:textId="77777777" w:rsidR="0046798B" w:rsidRDefault="0046798B">
            <w:pPr>
              <w:pStyle w:val="TableParagraph"/>
            </w:pPr>
          </w:p>
          <w:p w14:paraId="5939A3DB" w14:textId="77777777" w:rsidR="0046798B" w:rsidRDefault="0046798B">
            <w:pPr>
              <w:pStyle w:val="TableParagraph"/>
            </w:pPr>
          </w:p>
          <w:p w14:paraId="134FF0DD" w14:textId="77777777" w:rsidR="0046798B" w:rsidRDefault="0046798B">
            <w:pPr>
              <w:pStyle w:val="TableParagraph"/>
              <w:spacing w:before="9"/>
              <w:rPr>
                <w:sz w:val="19"/>
              </w:rPr>
            </w:pPr>
          </w:p>
          <w:p w14:paraId="7CD80A26" w14:textId="77777777" w:rsidR="0046798B" w:rsidRDefault="00903B5C">
            <w:pPr>
              <w:pStyle w:val="TableParagraph"/>
              <w:ind w:left="115"/>
              <w:rPr>
                <w:b/>
                <w:sz w:val="20"/>
              </w:rPr>
            </w:pPr>
            <w:r>
              <w:rPr>
                <w:b/>
                <w:sz w:val="20"/>
              </w:rPr>
              <w:t>ig_legal</w:t>
            </w:r>
          </w:p>
        </w:tc>
        <w:tc>
          <w:tcPr>
            <w:tcW w:w="1596" w:type="dxa"/>
          </w:tcPr>
          <w:p w14:paraId="070A5908" w14:textId="77777777" w:rsidR="0046798B" w:rsidRDefault="0046798B">
            <w:pPr>
              <w:pStyle w:val="TableParagraph"/>
            </w:pPr>
          </w:p>
          <w:p w14:paraId="330639E2" w14:textId="77777777" w:rsidR="0046798B" w:rsidRDefault="0046798B">
            <w:pPr>
              <w:pStyle w:val="TableParagraph"/>
              <w:spacing w:before="8"/>
              <w:rPr>
                <w:sz w:val="21"/>
              </w:rPr>
            </w:pPr>
          </w:p>
          <w:p w14:paraId="10E772DD" w14:textId="77777777" w:rsidR="0046798B" w:rsidRDefault="00903B5C">
            <w:pPr>
              <w:pStyle w:val="TableParagraph"/>
              <w:spacing w:before="1"/>
              <w:ind w:left="114" w:right="236"/>
              <w:rPr>
                <w:sz w:val="20"/>
              </w:rPr>
            </w:pPr>
            <w:r>
              <w:rPr>
                <w:sz w:val="20"/>
              </w:rPr>
              <w:t>Legal practices and courts interest groups</w:t>
            </w:r>
          </w:p>
        </w:tc>
        <w:tc>
          <w:tcPr>
            <w:tcW w:w="1285" w:type="dxa"/>
          </w:tcPr>
          <w:p w14:paraId="1A2E4102" w14:textId="77777777" w:rsidR="0046798B" w:rsidRDefault="0046798B">
            <w:pPr>
              <w:pStyle w:val="TableParagraph"/>
            </w:pPr>
          </w:p>
          <w:p w14:paraId="7B80B075" w14:textId="77777777" w:rsidR="0046798B" w:rsidRDefault="0046798B">
            <w:pPr>
              <w:pStyle w:val="TableParagraph"/>
              <w:spacing w:before="8"/>
              <w:rPr>
                <w:sz w:val="21"/>
              </w:rPr>
            </w:pPr>
          </w:p>
          <w:p w14:paraId="12FE6454" w14:textId="77777777" w:rsidR="0046798B" w:rsidRDefault="00903B5C">
            <w:pPr>
              <w:pStyle w:val="TableParagraph"/>
              <w:spacing w:before="1"/>
              <w:ind w:left="114"/>
              <w:rPr>
                <w:sz w:val="20"/>
              </w:rPr>
            </w:pPr>
            <w:r>
              <w:rPr>
                <w:sz w:val="20"/>
              </w:rPr>
              <w:t>1980, 1990,</w:t>
            </w:r>
          </w:p>
          <w:p w14:paraId="445BACAD" w14:textId="77777777" w:rsidR="0046798B" w:rsidRDefault="00903B5C">
            <w:pPr>
              <w:pStyle w:val="TableParagraph"/>
              <w:ind w:left="114"/>
              <w:rPr>
                <w:sz w:val="20"/>
              </w:rPr>
            </w:pPr>
            <w:r>
              <w:rPr>
                <w:sz w:val="20"/>
              </w:rPr>
              <w:t>1997, 1998,</w:t>
            </w:r>
          </w:p>
          <w:p w14:paraId="0BFC519A" w14:textId="77777777" w:rsidR="0046798B" w:rsidRDefault="00903B5C">
            <w:pPr>
              <w:pStyle w:val="TableParagraph"/>
              <w:ind w:left="114"/>
              <w:rPr>
                <w:sz w:val="20"/>
              </w:rPr>
            </w:pPr>
            <w:r>
              <w:rPr>
                <w:sz w:val="20"/>
              </w:rPr>
              <w:t>1999, 2007</w:t>
            </w:r>
          </w:p>
        </w:tc>
        <w:tc>
          <w:tcPr>
            <w:tcW w:w="3421" w:type="dxa"/>
          </w:tcPr>
          <w:p w14:paraId="69D331DF" w14:textId="77777777" w:rsidR="0046798B" w:rsidRDefault="0046798B">
            <w:pPr>
              <w:pStyle w:val="TableParagraph"/>
              <w:spacing w:before="8"/>
              <w:rPr>
                <w:sz w:val="23"/>
              </w:rPr>
            </w:pPr>
          </w:p>
          <w:p w14:paraId="662D294D" w14:textId="77777777" w:rsidR="0046798B" w:rsidRDefault="00903B5C">
            <w:pPr>
              <w:pStyle w:val="TableParagraph"/>
              <w:spacing w:before="1"/>
              <w:ind w:left="114" w:right="289"/>
              <w:rPr>
                <w:sz w:val="20"/>
              </w:rPr>
            </w:pPr>
            <w:r>
              <w:rPr>
                <w:sz w:val="20"/>
              </w:rPr>
              <w:t>Number of legal practices and courts interest groups registered in the state. Includes groups such as: bar associations, court employees, court services, law firms</w:t>
            </w:r>
          </w:p>
        </w:tc>
        <w:tc>
          <w:tcPr>
            <w:tcW w:w="6482" w:type="dxa"/>
          </w:tcPr>
          <w:p w14:paraId="6D966163" w14:textId="77777777" w:rsidR="0046798B" w:rsidRDefault="00903B5C">
            <w:pPr>
              <w:pStyle w:val="TableParagraph"/>
              <w:spacing w:before="43"/>
              <w:ind w:left="114" w:right="217"/>
              <w:rPr>
                <w:sz w:val="20"/>
              </w:rPr>
            </w:pPr>
            <w:r>
              <w:rPr>
                <w:sz w:val="20"/>
              </w:rPr>
              <w:t xml:space="preserve">Gray, Virginia, and David Lowery. “Interest Group Politics and Economic Growth in the U.S. States.” </w:t>
            </w:r>
            <w:r>
              <w:rPr>
                <w:i/>
                <w:sz w:val="20"/>
              </w:rPr>
              <w:t xml:space="preserve">The American Political Science Review </w:t>
            </w:r>
            <w:r>
              <w:rPr>
                <w:sz w:val="20"/>
              </w:rPr>
              <w:t>82.1 (1988): 109–131.</w:t>
            </w:r>
          </w:p>
          <w:p w14:paraId="3D22FAD1" w14:textId="77777777" w:rsidR="0046798B" w:rsidRDefault="0046798B">
            <w:pPr>
              <w:pStyle w:val="TableParagraph"/>
              <w:rPr>
                <w:sz w:val="20"/>
              </w:rPr>
            </w:pPr>
          </w:p>
          <w:p w14:paraId="01FCF47A" w14:textId="77777777" w:rsidR="0046798B" w:rsidRDefault="00903B5C">
            <w:pPr>
              <w:pStyle w:val="TableParagraph"/>
              <w:spacing w:before="1"/>
              <w:ind w:left="114" w:right="155"/>
              <w:jc w:val="both"/>
              <w:rPr>
                <w:sz w:val="20"/>
              </w:rPr>
            </w:pPr>
            <w:r>
              <w:rPr>
                <w:sz w:val="20"/>
              </w:rPr>
              <w:t xml:space="preserve">Lowery, David, Virginia Gray, and John Cluverius. “Temporal Change in the Density of State Interest Communities 1980 to 2007.” </w:t>
            </w:r>
            <w:r>
              <w:rPr>
                <w:i/>
                <w:sz w:val="20"/>
              </w:rPr>
              <w:t xml:space="preserve">State Politics &amp; Policy Quarterly </w:t>
            </w:r>
            <w:r>
              <w:rPr>
                <w:sz w:val="20"/>
              </w:rPr>
              <w:t>15.2 (2015): 263–286.</w:t>
            </w:r>
          </w:p>
        </w:tc>
      </w:tr>
      <w:tr w:rsidR="0046798B" w14:paraId="35DDD9B6" w14:textId="77777777">
        <w:trPr>
          <w:trHeight w:val="1700"/>
        </w:trPr>
        <w:tc>
          <w:tcPr>
            <w:tcW w:w="1711" w:type="dxa"/>
          </w:tcPr>
          <w:p w14:paraId="6BF23552" w14:textId="77777777" w:rsidR="0046798B" w:rsidRDefault="0046798B">
            <w:pPr>
              <w:pStyle w:val="TableParagraph"/>
            </w:pPr>
          </w:p>
          <w:p w14:paraId="45F48E4A" w14:textId="77777777" w:rsidR="0046798B" w:rsidRDefault="0046798B">
            <w:pPr>
              <w:pStyle w:val="TableParagraph"/>
            </w:pPr>
          </w:p>
          <w:p w14:paraId="52037E54" w14:textId="77777777" w:rsidR="0046798B" w:rsidRDefault="0046798B">
            <w:pPr>
              <w:pStyle w:val="TableParagraph"/>
              <w:spacing w:before="9"/>
              <w:rPr>
                <w:sz w:val="19"/>
              </w:rPr>
            </w:pPr>
          </w:p>
          <w:p w14:paraId="6B12475C" w14:textId="77777777" w:rsidR="0046798B" w:rsidRDefault="00903B5C">
            <w:pPr>
              <w:pStyle w:val="TableParagraph"/>
              <w:ind w:left="115"/>
              <w:rPr>
                <w:b/>
                <w:sz w:val="20"/>
              </w:rPr>
            </w:pPr>
            <w:r>
              <w:rPr>
                <w:b/>
                <w:sz w:val="20"/>
              </w:rPr>
              <w:t>ig_sb</w:t>
            </w:r>
          </w:p>
        </w:tc>
        <w:tc>
          <w:tcPr>
            <w:tcW w:w="1596" w:type="dxa"/>
          </w:tcPr>
          <w:p w14:paraId="37489560" w14:textId="77777777" w:rsidR="0046798B" w:rsidRDefault="0046798B">
            <w:pPr>
              <w:pStyle w:val="TableParagraph"/>
            </w:pPr>
          </w:p>
          <w:p w14:paraId="76974E93" w14:textId="77777777" w:rsidR="0046798B" w:rsidRDefault="00903B5C">
            <w:pPr>
              <w:pStyle w:val="TableParagraph"/>
              <w:spacing w:before="135"/>
              <w:ind w:left="114" w:right="146"/>
              <w:rPr>
                <w:sz w:val="20"/>
              </w:rPr>
            </w:pPr>
            <w:r>
              <w:rPr>
                <w:sz w:val="20"/>
              </w:rPr>
              <w:t>Small business concerns and retailing interest groups</w:t>
            </w:r>
          </w:p>
        </w:tc>
        <w:tc>
          <w:tcPr>
            <w:tcW w:w="1285" w:type="dxa"/>
          </w:tcPr>
          <w:p w14:paraId="25AE6147" w14:textId="77777777" w:rsidR="0046798B" w:rsidRDefault="0046798B">
            <w:pPr>
              <w:pStyle w:val="TableParagraph"/>
            </w:pPr>
          </w:p>
          <w:p w14:paraId="2DD6AEA5" w14:textId="77777777" w:rsidR="0046798B" w:rsidRDefault="0046798B">
            <w:pPr>
              <w:pStyle w:val="TableParagraph"/>
              <w:spacing w:before="9"/>
              <w:rPr>
                <w:sz w:val="21"/>
              </w:rPr>
            </w:pPr>
          </w:p>
          <w:p w14:paraId="1FF6BF38" w14:textId="77777777" w:rsidR="0046798B" w:rsidRDefault="00903B5C">
            <w:pPr>
              <w:pStyle w:val="TableParagraph"/>
              <w:ind w:left="114"/>
              <w:rPr>
                <w:sz w:val="20"/>
              </w:rPr>
            </w:pPr>
            <w:r>
              <w:rPr>
                <w:sz w:val="20"/>
              </w:rPr>
              <w:t>1980, 1990,</w:t>
            </w:r>
          </w:p>
          <w:p w14:paraId="58128190" w14:textId="77777777" w:rsidR="0046798B" w:rsidRDefault="00903B5C">
            <w:pPr>
              <w:pStyle w:val="TableParagraph"/>
              <w:ind w:left="114"/>
              <w:rPr>
                <w:sz w:val="20"/>
              </w:rPr>
            </w:pPr>
            <w:r>
              <w:rPr>
                <w:sz w:val="20"/>
              </w:rPr>
              <w:t>1997, 1998,</w:t>
            </w:r>
          </w:p>
          <w:p w14:paraId="59015052" w14:textId="77777777" w:rsidR="0046798B" w:rsidRDefault="00903B5C">
            <w:pPr>
              <w:pStyle w:val="TableParagraph"/>
              <w:ind w:left="114"/>
              <w:rPr>
                <w:sz w:val="20"/>
              </w:rPr>
            </w:pPr>
            <w:r>
              <w:rPr>
                <w:sz w:val="20"/>
              </w:rPr>
              <w:t>1999, 2007</w:t>
            </w:r>
          </w:p>
        </w:tc>
        <w:tc>
          <w:tcPr>
            <w:tcW w:w="3421" w:type="dxa"/>
          </w:tcPr>
          <w:p w14:paraId="22733FEB" w14:textId="77777777" w:rsidR="0046798B" w:rsidRDefault="0046798B">
            <w:pPr>
              <w:pStyle w:val="TableParagraph"/>
              <w:spacing w:before="9"/>
              <w:rPr>
                <w:sz w:val="23"/>
              </w:rPr>
            </w:pPr>
          </w:p>
          <w:p w14:paraId="3A67E3F4" w14:textId="77777777" w:rsidR="0046798B" w:rsidRDefault="00903B5C">
            <w:pPr>
              <w:pStyle w:val="TableParagraph"/>
              <w:ind w:left="114" w:right="289"/>
              <w:rPr>
                <w:sz w:val="20"/>
              </w:rPr>
            </w:pPr>
            <w:r>
              <w:rPr>
                <w:sz w:val="20"/>
              </w:rPr>
              <w:t>Number of small business and retail interest groups registered in the state. Includes groups such as: retail stores and chains, chamber of commerce, retail associations, distributors</w:t>
            </w:r>
          </w:p>
        </w:tc>
        <w:tc>
          <w:tcPr>
            <w:tcW w:w="6482" w:type="dxa"/>
          </w:tcPr>
          <w:p w14:paraId="3EA0C95A" w14:textId="77777777" w:rsidR="0046798B" w:rsidRDefault="00903B5C">
            <w:pPr>
              <w:pStyle w:val="TableParagraph"/>
              <w:spacing w:before="43"/>
              <w:ind w:left="114" w:right="217"/>
              <w:rPr>
                <w:sz w:val="20"/>
              </w:rPr>
            </w:pPr>
            <w:r>
              <w:rPr>
                <w:sz w:val="20"/>
              </w:rPr>
              <w:t xml:space="preserve">Gray, Virginia, and David Lowery. “Interest Group Politics and Economic Growth in the U.S. States.” </w:t>
            </w:r>
            <w:r>
              <w:rPr>
                <w:i/>
                <w:sz w:val="20"/>
              </w:rPr>
              <w:t xml:space="preserve">The American Political Science Review </w:t>
            </w:r>
            <w:r>
              <w:rPr>
                <w:sz w:val="20"/>
              </w:rPr>
              <w:t>82.1 (1988): 109–131.</w:t>
            </w:r>
          </w:p>
          <w:p w14:paraId="39596700" w14:textId="77777777" w:rsidR="0046798B" w:rsidRDefault="0046798B">
            <w:pPr>
              <w:pStyle w:val="TableParagraph"/>
              <w:rPr>
                <w:sz w:val="20"/>
              </w:rPr>
            </w:pPr>
          </w:p>
          <w:p w14:paraId="35D134A8" w14:textId="77777777" w:rsidR="0046798B" w:rsidRDefault="00903B5C">
            <w:pPr>
              <w:pStyle w:val="TableParagraph"/>
              <w:ind w:left="114" w:right="155"/>
              <w:jc w:val="both"/>
              <w:rPr>
                <w:sz w:val="20"/>
              </w:rPr>
            </w:pPr>
            <w:r>
              <w:rPr>
                <w:sz w:val="20"/>
              </w:rPr>
              <w:t xml:space="preserve">Lowery, David, Virginia Gray, and John Cluverius. “Temporal Change in the Density of State Interest Communities 1980 to 2007.” </w:t>
            </w:r>
            <w:r>
              <w:rPr>
                <w:i/>
                <w:sz w:val="20"/>
              </w:rPr>
              <w:t xml:space="preserve">State Politics &amp; Policy Quarterly </w:t>
            </w:r>
            <w:r>
              <w:rPr>
                <w:sz w:val="20"/>
              </w:rPr>
              <w:t>15.2 (2015): 263–286.</w:t>
            </w:r>
          </w:p>
        </w:tc>
      </w:tr>
      <w:tr w:rsidR="0046798B" w14:paraId="22C0A0B2" w14:textId="77777777">
        <w:trPr>
          <w:trHeight w:val="1695"/>
        </w:trPr>
        <w:tc>
          <w:tcPr>
            <w:tcW w:w="1711" w:type="dxa"/>
          </w:tcPr>
          <w:p w14:paraId="1AF5FC4D" w14:textId="77777777" w:rsidR="0046798B" w:rsidRDefault="0046798B">
            <w:pPr>
              <w:pStyle w:val="TableParagraph"/>
            </w:pPr>
          </w:p>
          <w:p w14:paraId="69DCE000" w14:textId="77777777" w:rsidR="0046798B" w:rsidRDefault="0046798B">
            <w:pPr>
              <w:pStyle w:val="TableParagraph"/>
            </w:pPr>
          </w:p>
          <w:p w14:paraId="598A4B85" w14:textId="77777777" w:rsidR="0046798B" w:rsidRDefault="0046798B">
            <w:pPr>
              <w:pStyle w:val="TableParagraph"/>
              <w:spacing w:before="3"/>
              <w:rPr>
                <w:sz w:val="19"/>
              </w:rPr>
            </w:pPr>
          </w:p>
          <w:p w14:paraId="29802042" w14:textId="77777777" w:rsidR="0046798B" w:rsidRDefault="00903B5C">
            <w:pPr>
              <w:pStyle w:val="TableParagraph"/>
              <w:spacing w:before="1"/>
              <w:ind w:left="115"/>
              <w:rPr>
                <w:b/>
                <w:sz w:val="20"/>
              </w:rPr>
            </w:pPr>
            <w:r>
              <w:rPr>
                <w:b/>
                <w:sz w:val="20"/>
              </w:rPr>
              <w:t>ig_health</w:t>
            </w:r>
          </w:p>
        </w:tc>
        <w:tc>
          <w:tcPr>
            <w:tcW w:w="1596" w:type="dxa"/>
          </w:tcPr>
          <w:p w14:paraId="33624FE1" w14:textId="77777777" w:rsidR="0046798B" w:rsidRDefault="0046798B">
            <w:pPr>
              <w:pStyle w:val="TableParagraph"/>
              <w:spacing w:before="3"/>
              <w:rPr>
                <w:sz w:val="23"/>
              </w:rPr>
            </w:pPr>
          </w:p>
          <w:p w14:paraId="5D9F44A7" w14:textId="77777777" w:rsidR="0046798B" w:rsidRDefault="00903B5C">
            <w:pPr>
              <w:pStyle w:val="TableParagraph"/>
              <w:spacing w:before="1"/>
              <w:ind w:left="114" w:right="235"/>
              <w:rPr>
                <w:sz w:val="20"/>
              </w:rPr>
            </w:pPr>
            <w:r>
              <w:rPr>
                <w:sz w:val="20"/>
              </w:rPr>
              <w:t>Health care practice, delivery, and disease interest groups</w:t>
            </w:r>
          </w:p>
        </w:tc>
        <w:tc>
          <w:tcPr>
            <w:tcW w:w="1285" w:type="dxa"/>
          </w:tcPr>
          <w:p w14:paraId="4219934F" w14:textId="77777777" w:rsidR="0046798B" w:rsidRDefault="0046798B">
            <w:pPr>
              <w:pStyle w:val="TableParagraph"/>
            </w:pPr>
          </w:p>
          <w:p w14:paraId="6A3512F7" w14:textId="77777777" w:rsidR="0046798B" w:rsidRDefault="0046798B">
            <w:pPr>
              <w:pStyle w:val="TableParagraph"/>
              <w:spacing w:before="3"/>
              <w:rPr>
                <w:sz w:val="21"/>
              </w:rPr>
            </w:pPr>
          </w:p>
          <w:p w14:paraId="112582B2" w14:textId="77777777" w:rsidR="0046798B" w:rsidRDefault="00903B5C">
            <w:pPr>
              <w:pStyle w:val="TableParagraph"/>
              <w:spacing w:before="1"/>
              <w:ind w:left="114"/>
              <w:rPr>
                <w:sz w:val="20"/>
              </w:rPr>
            </w:pPr>
            <w:r>
              <w:rPr>
                <w:sz w:val="20"/>
              </w:rPr>
              <w:t>1980, 1990,</w:t>
            </w:r>
          </w:p>
          <w:p w14:paraId="6713AEE5" w14:textId="77777777" w:rsidR="0046798B" w:rsidRDefault="00903B5C">
            <w:pPr>
              <w:pStyle w:val="TableParagraph"/>
              <w:ind w:left="114"/>
              <w:rPr>
                <w:sz w:val="20"/>
              </w:rPr>
            </w:pPr>
            <w:r>
              <w:rPr>
                <w:sz w:val="20"/>
              </w:rPr>
              <w:t>1997, 1998,</w:t>
            </w:r>
          </w:p>
          <w:p w14:paraId="792964EC" w14:textId="77777777" w:rsidR="0046798B" w:rsidRDefault="00903B5C">
            <w:pPr>
              <w:pStyle w:val="TableParagraph"/>
              <w:ind w:left="114"/>
              <w:rPr>
                <w:sz w:val="20"/>
              </w:rPr>
            </w:pPr>
            <w:r>
              <w:rPr>
                <w:sz w:val="20"/>
              </w:rPr>
              <w:t>1999, 2007</w:t>
            </w:r>
          </w:p>
        </w:tc>
        <w:tc>
          <w:tcPr>
            <w:tcW w:w="3421" w:type="dxa"/>
          </w:tcPr>
          <w:p w14:paraId="4411BADA" w14:textId="77777777" w:rsidR="0046798B" w:rsidRDefault="00903B5C">
            <w:pPr>
              <w:pStyle w:val="TableParagraph"/>
              <w:spacing w:before="153"/>
              <w:ind w:left="114" w:right="200"/>
              <w:rPr>
                <w:sz w:val="20"/>
              </w:rPr>
            </w:pPr>
            <w:r>
              <w:rPr>
                <w:sz w:val="20"/>
              </w:rPr>
              <w:t>Number of health care interest groups registered in the state. Includes groups such as: health professionals associations, hospitals and health systems, health insurers and HMOs, mental health, veterinary, pharmacists</w:t>
            </w:r>
          </w:p>
        </w:tc>
        <w:tc>
          <w:tcPr>
            <w:tcW w:w="6482" w:type="dxa"/>
          </w:tcPr>
          <w:p w14:paraId="773A269E" w14:textId="77777777" w:rsidR="0046798B" w:rsidRDefault="00903B5C">
            <w:pPr>
              <w:pStyle w:val="TableParagraph"/>
              <w:spacing w:before="38"/>
              <w:ind w:left="114" w:right="217"/>
              <w:rPr>
                <w:sz w:val="20"/>
              </w:rPr>
            </w:pPr>
            <w:r>
              <w:rPr>
                <w:sz w:val="20"/>
              </w:rPr>
              <w:t xml:space="preserve">Gray, Virginia, and David Lowery. “Interest Group Politics and Economic Growth in the U.S. States.” </w:t>
            </w:r>
            <w:r>
              <w:rPr>
                <w:i/>
                <w:sz w:val="20"/>
              </w:rPr>
              <w:t xml:space="preserve">The American Political Science Review </w:t>
            </w:r>
            <w:r>
              <w:rPr>
                <w:sz w:val="20"/>
              </w:rPr>
              <w:t>82.1 (1988): 109–131.</w:t>
            </w:r>
          </w:p>
          <w:p w14:paraId="0CE86B0C" w14:textId="77777777" w:rsidR="0046798B" w:rsidRDefault="0046798B">
            <w:pPr>
              <w:pStyle w:val="TableParagraph"/>
              <w:rPr>
                <w:sz w:val="20"/>
              </w:rPr>
            </w:pPr>
          </w:p>
          <w:p w14:paraId="4B5F5159" w14:textId="77777777" w:rsidR="0046798B" w:rsidRDefault="00903B5C">
            <w:pPr>
              <w:pStyle w:val="TableParagraph"/>
              <w:spacing w:before="1"/>
              <w:ind w:left="114" w:right="155"/>
              <w:jc w:val="both"/>
              <w:rPr>
                <w:sz w:val="20"/>
              </w:rPr>
            </w:pPr>
            <w:r>
              <w:rPr>
                <w:sz w:val="20"/>
              </w:rPr>
              <w:t xml:space="preserve">Lowery, David, Virginia Gray, and John Cluverius. “Temporal Change in the Density of State Interest Communities 1980 to 2007.” </w:t>
            </w:r>
            <w:r>
              <w:rPr>
                <w:i/>
                <w:sz w:val="20"/>
              </w:rPr>
              <w:t xml:space="preserve">State Politics &amp; Policy Quarterly </w:t>
            </w:r>
            <w:r>
              <w:rPr>
                <w:sz w:val="20"/>
              </w:rPr>
              <w:t>15.2 (2015): 263–286.</w:t>
            </w:r>
          </w:p>
        </w:tc>
      </w:tr>
      <w:tr w:rsidR="0046798B" w14:paraId="3BB99406" w14:textId="77777777">
        <w:trPr>
          <w:trHeight w:val="1695"/>
        </w:trPr>
        <w:tc>
          <w:tcPr>
            <w:tcW w:w="1711" w:type="dxa"/>
          </w:tcPr>
          <w:p w14:paraId="52E18C94" w14:textId="77777777" w:rsidR="0046798B" w:rsidRDefault="0046798B">
            <w:pPr>
              <w:pStyle w:val="TableParagraph"/>
            </w:pPr>
          </w:p>
          <w:p w14:paraId="31DAE148" w14:textId="77777777" w:rsidR="0046798B" w:rsidRDefault="0046798B">
            <w:pPr>
              <w:pStyle w:val="TableParagraph"/>
            </w:pPr>
          </w:p>
          <w:p w14:paraId="350166FE" w14:textId="77777777" w:rsidR="0046798B" w:rsidRDefault="0046798B">
            <w:pPr>
              <w:pStyle w:val="TableParagraph"/>
              <w:spacing w:before="4"/>
              <w:rPr>
                <w:sz w:val="19"/>
              </w:rPr>
            </w:pPr>
          </w:p>
          <w:p w14:paraId="11D8DDF7" w14:textId="77777777" w:rsidR="0046798B" w:rsidRDefault="00903B5C">
            <w:pPr>
              <w:pStyle w:val="TableParagraph"/>
              <w:ind w:left="115"/>
              <w:rPr>
                <w:b/>
                <w:sz w:val="20"/>
              </w:rPr>
            </w:pPr>
            <w:r>
              <w:rPr>
                <w:b/>
                <w:sz w:val="20"/>
              </w:rPr>
              <w:t>ig_cir</w:t>
            </w:r>
          </w:p>
        </w:tc>
        <w:tc>
          <w:tcPr>
            <w:tcW w:w="1596" w:type="dxa"/>
          </w:tcPr>
          <w:p w14:paraId="47C80F57" w14:textId="77777777" w:rsidR="0046798B" w:rsidRDefault="0046798B">
            <w:pPr>
              <w:pStyle w:val="TableParagraph"/>
            </w:pPr>
          </w:p>
          <w:p w14:paraId="610168CD" w14:textId="77777777" w:rsidR="0046798B" w:rsidRDefault="0046798B">
            <w:pPr>
              <w:pStyle w:val="TableParagraph"/>
              <w:spacing w:before="4"/>
              <w:rPr>
                <w:sz w:val="21"/>
              </w:rPr>
            </w:pPr>
          </w:p>
          <w:p w14:paraId="0E1E6568" w14:textId="77777777" w:rsidR="0046798B" w:rsidRDefault="00903B5C">
            <w:pPr>
              <w:pStyle w:val="TableParagraph"/>
              <w:ind w:left="114" w:right="286"/>
              <w:rPr>
                <w:sz w:val="20"/>
              </w:rPr>
            </w:pPr>
            <w:r>
              <w:rPr>
                <w:sz w:val="20"/>
              </w:rPr>
              <w:t>Civil rights, minority-issue interest groups</w:t>
            </w:r>
          </w:p>
        </w:tc>
        <w:tc>
          <w:tcPr>
            <w:tcW w:w="1285" w:type="dxa"/>
          </w:tcPr>
          <w:p w14:paraId="3F24ED98" w14:textId="77777777" w:rsidR="0046798B" w:rsidRDefault="0046798B">
            <w:pPr>
              <w:pStyle w:val="TableParagraph"/>
            </w:pPr>
          </w:p>
          <w:p w14:paraId="06BBBD82" w14:textId="77777777" w:rsidR="0046798B" w:rsidRDefault="0046798B">
            <w:pPr>
              <w:pStyle w:val="TableParagraph"/>
              <w:spacing w:before="4"/>
              <w:rPr>
                <w:sz w:val="21"/>
              </w:rPr>
            </w:pPr>
          </w:p>
          <w:p w14:paraId="6B61DD2B" w14:textId="77777777" w:rsidR="0046798B" w:rsidRDefault="00903B5C">
            <w:pPr>
              <w:pStyle w:val="TableParagraph"/>
              <w:ind w:left="114"/>
              <w:rPr>
                <w:sz w:val="20"/>
              </w:rPr>
            </w:pPr>
            <w:r>
              <w:rPr>
                <w:sz w:val="20"/>
              </w:rPr>
              <w:t>1980, 1990,</w:t>
            </w:r>
          </w:p>
          <w:p w14:paraId="246EBCA0" w14:textId="77777777" w:rsidR="0046798B" w:rsidRDefault="00903B5C">
            <w:pPr>
              <w:pStyle w:val="TableParagraph"/>
              <w:ind w:left="114"/>
              <w:rPr>
                <w:sz w:val="20"/>
              </w:rPr>
            </w:pPr>
            <w:r>
              <w:rPr>
                <w:sz w:val="20"/>
              </w:rPr>
              <w:t>1997, 1998,</w:t>
            </w:r>
          </w:p>
          <w:p w14:paraId="4746FF4C" w14:textId="77777777" w:rsidR="0046798B" w:rsidRDefault="00903B5C">
            <w:pPr>
              <w:pStyle w:val="TableParagraph"/>
              <w:ind w:left="114"/>
              <w:rPr>
                <w:sz w:val="20"/>
              </w:rPr>
            </w:pPr>
            <w:r>
              <w:rPr>
                <w:sz w:val="20"/>
              </w:rPr>
              <w:t>1999, 2007</w:t>
            </w:r>
          </w:p>
        </w:tc>
        <w:tc>
          <w:tcPr>
            <w:tcW w:w="3421" w:type="dxa"/>
          </w:tcPr>
          <w:p w14:paraId="09BCD0CB" w14:textId="77777777" w:rsidR="0046798B" w:rsidRDefault="0046798B">
            <w:pPr>
              <w:pStyle w:val="TableParagraph"/>
              <w:spacing w:before="3"/>
              <w:rPr>
                <w:sz w:val="23"/>
              </w:rPr>
            </w:pPr>
          </w:p>
          <w:p w14:paraId="2BA2A87B" w14:textId="77777777" w:rsidR="0046798B" w:rsidRDefault="00903B5C">
            <w:pPr>
              <w:pStyle w:val="TableParagraph"/>
              <w:spacing w:before="1"/>
              <w:ind w:left="114" w:right="110"/>
              <w:rPr>
                <w:sz w:val="20"/>
              </w:rPr>
            </w:pPr>
            <w:r>
              <w:rPr>
                <w:sz w:val="20"/>
              </w:rPr>
              <w:t>Number of civil rights and minority- issues interest groups registered in the state. Includes groups such as: minority groups, gay and lesbian issues, American Indian tribes.</w:t>
            </w:r>
          </w:p>
        </w:tc>
        <w:tc>
          <w:tcPr>
            <w:tcW w:w="6482" w:type="dxa"/>
          </w:tcPr>
          <w:p w14:paraId="1A263B05" w14:textId="77777777" w:rsidR="0046798B" w:rsidRDefault="00903B5C">
            <w:pPr>
              <w:pStyle w:val="TableParagraph"/>
              <w:spacing w:before="38"/>
              <w:ind w:left="114" w:right="217"/>
              <w:rPr>
                <w:sz w:val="20"/>
              </w:rPr>
            </w:pPr>
            <w:r>
              <w:rPr>
                <w:sz w:val="20"/>
              </w:rPr>
              <w:t xml:space="preserve">Gray, Virginia, and David Lowery. “Interest Group Politics and Economic Growth in the U.S. States.” </w:t>
            </w:r>
            <w:r>
              <w:rPr>
                <w:i/>
                <w:sz w:val="20"/>
              </w:rPr>
              <w:t xml:space="preserve">The American Political Science Review </w:t>
            </w:r>
            <w:r>
              <w:rPr>
                <w:sz w:val="20"/>
              </w:rPr>
              <w:t>82.1 (1988): 109–131.</w:t>
            </w:r>
          </w:p>
          <w:p w14:paraId="47B2FB78" w14:textId="77777777" w:rsidR="0046798B" w:rsidRDefault="0046798B">
            <w:pPr>
              <w:pStyle w:val="TableParagraph"/>
              <w:rPr>
                <w:sz w:val="20"/>
              </w:rPr>
            </w:pPr>
          </w:p>
          <w:p w14:paraId="3865FD77" w14:textId="77777777" w:rsidR="0046798B" w:rsidRDefault="00903B5C">
            <w:pPr>
              <w:pStyle w:val="TableParagraph"/>
              <w:ind w:left="114" w:right="155"/>
              <w:jc w:val="both"/>
              <w:rPr>
                <w:sz w:val="20"/>
              </w:rPr>
            </w:pPr>
            <w:r>
              <w:rPr>
                <w:sz w:val="20"/>
              </w:rPr>
              <w:t xml:space="preserve">Lowery, David, Virginia Gray, and John Cluverius. “Temporal Change in the Density of State Interest Communities 1980 to 2007.” </w:t>
            </w:r>
            <w:r>
              <w:rPr>
                <w:i/>
                <w:sz w:val="20"/>
              </w:rPr>
              <w:t xml:space="preserve">State Politics &amp; Policy Quarterly </w:t>
            </w:r>
            <w:r>
              <w:rPr>
                <w:sz w:val="20"/>
              </w:rPr>
              <w:t>15.2 (2015): 263–286.</w:t>
            </w:r>
          </w:p>
        </w:tc>
      </w:tr>
      <w:tr w:rsidR="0046798B" w14:paraId="432C70A0" w14:textId="77777777">
        <w:trPr>
          <w:trHeight w:val="1695"/>
        </w:trPr>
        <w:tc>
          <w:tcPr>
            <w:tcW w:w="1711" w:type="dxa"/>
          </w:tcPr>
          <w:p w14:paraId="59708331" w14:textId="77777777" w:rsidR="0046798B" w:rsidRDefault="0046798B">
            <w:pPr>
              <w:pStyle w:val="TableParagraph"/>
            </w:pPr>
          </w:p>
          <w:p w14:paraId="4C65E6E9" w14:textId="77777777" w:rsidR="0046798B" w:rsidRDefault="0046798B">
            <w:pPr>
              <w:pStyle w:val="TableParagraph"/>
            </w:pPr>
          </w:p>
          <w:p w14:paraId="7C585900" w14:textId="77777777" w:rsidR="0046798B" w:rsidRDefault="0046798B">
            <w:pPr>
              <w:pStyle w:val="TableParagraph"/>
              <w:spacing w:before="4"/>
              <w:rPr>
                <w:sz w:val="19"/>
              </w:rPr>
            </w:pPr>
          </w:p>
          <w:p w14:paraId="645B4577" w14:textId="77777777" w:rsidR="0046798B" w:rsidRDefault="00903B5C">
            <w:pPr>
              <w:pStyle w:val="TableParagraph"/>
              <w:ind w:left="115"/>
              <w:rPr>
                <w:b/>
                <w:sz w:val="20"/>
              </w:rPr>
            </w:pPr>
            <w:r>
              <w:rPr>
                <w:b/>
                <w:sz w:val="20"/>
              </w:rPr>
              <w:t>ig_hotel</w:t>
            </w:r>
          </w:p>
        </w:tc>
        <w:tc>
          <w:tcPr>
            <w:tcW w:w="1596" w:type="dxa"/>
          </w:tcPr>
          <w:p w14:paraId="1C84D8CC" w14:textId="77777777" w:rsidR="0046798B" w:rsidRDefault="0046798B">
            <w:pPr>
              <w:pStyle w:val="TableParagraph"/>
            </w:pPr>
          </w:p>
          <w:p w14:paraId="2F7DD989" w14:textId="77777777" w:rsidR="0046798B" w:rsidRDefault="00903B5C">
            <w:pPr>
              <w:pStyle w:val="TableParagraph"/>
              <w:spacing w:before="130"/>
              <w:ind w:left="114" w:right="274"/>
              <w:rPr>
                <w:sz w:val="20"/>
              </w:rPr>
            </w:pPr>
            <w:r>
              <w:rPr>
                <w:sz w:val="20"/>
              </w:rPr>
              <w:t>Hotel, restaurant, and liquor interest groups</w:t>
            </w:r>
          </w:p>
        </w:tc>
        <w:tc>
          <w:tcPr>
            <w:tcW w:w="1285" w:type="dxa"/>
          </w:tcPr>
          <w:p w14:paraId="0A0F24EE" w14:textId="77777777" w:rsidR="0046798B" w:rsidRDefault="0046798B">
            <w:pPr>
              <w:pStyle w:val="TableParagraph"/>
            </w:pPr>
          </w:p>
          <w:p w14:paraId="02086EDE" w14:textId="77777777" w:rsidR="0046798B" w:rsidRDefault="0046798B">
            <w:pPr>
              <w:pStyle w:val="TableParagraph"/>
              <w:spacing w:before="4"/>
              <w:rPr>
                <w:sz w:val="21"/>
              </w:rPr>
            </w:pPr>
          </w:p>
          <w:p w14:paraId="1891FB2A" w14:textId="77777777" w:rsidR="0046798B" w:rsidRDefault="00903B5C">
            <w:pPr>
              <w:pStyle w:val="TableParagraph"/>
              <w:ind w:left="114"/>
              <w:rPr>
                <w:sz w:val="20"/>
              </w:rPr>
            </w:pPr>
            <w:r>
              <w:rPr>
                <w:sz w:val="20"/>
              </w:rPr>
              <w:t>1980, 1990,</w:t>
            </w:r>
          </w:p>
          <w:p w14:paraId="335D3CCC" w14:textId="77777777" w:rsidR="0046798B" w:rsidRDefault="00903B5C">
            <w:pPr>
              <w:pStyle w:val="TableParagraph"/>
              <w:ind w:left="114"/>
              <w:rPr>
                <w:sz w:val="20"/>
              </w:rPr>
            </w:pPr>
            <w:r>
              <w:rPr>
                <w:sz w:val="20"/>
              </w:rPr>
              <w:t>1997, 1998,</w:t>
            </w:r>
          </w:p>
          <w:p w14:paraId="1AF233FB" w14:textId="77777777" w:rsidR="0046798B" w:rsidRDefault="00903B5C">
            <w:pPr>
              <w:pStyle w:val="TableParagraph"/>
              <w:ind w:left="114"/>
              <w:rPr>
                <w:sz w:val="20"/>
              </w:rPr>
            </w:pPr>
            <w:r>
              <w:rPr>
                <w:sz w:val="20"/>
              </w:rPr>
              <w:t>1999, 2007</w:t>
            </w:r>
          </w:p>
        </w:tc>
        <w:tc>
          <w:tcPr>
            <w:tcW w:w="3421" w:type="dxa"/>
          </w:tcPr>
          <w:p w14:paraId="58C0DDCD" w14:textId="77777777" w:rsidR="0046798B" w:rsidRDefault="0046798B">
            <w:pPr>
              <w:pStyle w:val="TableParagraph"/>
              <w:spacing w:before="4"/>
              <w:rPr>
                <w:sz w:val="23"/>
              </w:rPr>
            </w:pPr>
          </w:p>
          <w:p w14:paraId="7A09F575" w14:textId="77777777" w:rsidR="0046798B" w:rsidRDefault="00903B5C">
            <w:pPr>
              <w:pStyle w:val="TableParagraph"/>
              <w:ind w:left="114" w:right="133"/>
              <w:rPr>
                <w:sz w:val="20"/>
              </w:rPr>
            </w:pPr>
            <w:r>
              <w:rPr>
                <w:sz w:val="20"/>
              </w:rPr>
              <w:t>Number of hotel, restaurant, and liquor interest groups registered in the state. Includes groups such as: hotel associations, restaurant, tourism, liquor distribution</w:t>
            </w:r>
          </w:p>
        </w:tc>
        <w:tc>
          <w:tcPr>
            <w:tcW w:w="6482" w:type="dxa"/>
          </w:tcPr>
          <w:p w14:paraId="6B1A9099" w14:textId="77777777" w:rsidR="0046798B" w:rsidRDefault="00903B5C">
            <w:pPr>
              <w:pStyle w:val="TableParagraph"/>
              <w:spacing w:before="38"/>
              <w:ind w:left="114" w:right="217"/>
              <w:rPr>
                <w:sz w:val="20"/>
              </w:rPr>
            </w:pPr>
            <w:r>
              <w:rPr>
                <w:sz w:val="20"/>
              </w:rPr>
              <w:t xml:space="preserve">Gray, Virginia, and David Lowery. “Interest Group Politics and Economic Growth in the U.S. States.” </w:t>
            </w:r>
            <w:r>
              <w:rPr>
                <w:i/>
                <w:sz w:val="20"/>
              </w:rPr>
              <w:t xml:space="preserve">The American Political Science Review </w:t>
            </w:r>
            <w:r>
              <w:rPr>
                <w:sz w:val="20"/>
              </w:rPr>
              <w:t>82.1 (1988): 109–131.</w:t>
            </w:r>
          </w:p>
          <w:p w14:paraId="752A2A9A" w14:textId="77777777" w:rsidR="0046798B" w:rsidRDefault="0046798B">
            <w:pPr>
              <w:pStyle w:val="TableParagraph"/>
              <w:rPr>
                <w:sz w:val="20"/>
              </w:rPr>
            </w:pPr>
          </w:p>
          <w:p w14:paraId="6DB13ADF" w14:textId="77777777" w:rsidR="0046798B" w:rsidRDefault="00903B5C">
            <w:pPr>
              <w:pStyle w:val="TableParagraph"/>
              <w:ind w:left="114" w:right="155"/>
              <w:jc w:val="both"/>
              <w:rPr>
                <w:sz w:val="20"/>
              </w:rPr>
            </w:pPr>
            <w:r>
              <w:rPr>
                <w:sz w:val="20"/>
              </w:rPr>
              <w:t xml:space="preserve">Lowery, David, Virginia Gray, and John Cluverius. “Temporal Change in the Density of State Interest Communities 1980 to 2007.” </w:t>
            </w:r>
            <w:r>
              <w:rPr>
                <w:i/>
                <w:sz w:val="20"/>
              </w:rPr>
              <w:t xml:space="preserve">State Politics &amp; Policy Quarterly </w:t>
            </w:r>
            <w:r>
              <w:rPr>
                <w:sz w:val="20"/>
              </w:rPr>
              <w:t>15.2 (2015): 263–286.</w:t>
            </w:r>
          </w:p>
        </w:tc>
      </w:tr>
    </w:tbl>
    <w:p w14:paraId="1AE98E75" w14:textId="77777777" w:rsidR="0046798B" w:rsidRDefault="0046798B">
      <w:pPr>
        <w:jc w:val="both"/>
        <w:rPr>
          <w:sz w:val="20"/>
        </w:rPr>
        <w:sectPr w:rsidR="0046798B">
          <w:pgSz w:w="15840" w:h="12240" w:orient="landscape"/>
          <w:pgMar w:top="1220" w:right="300" w:bottom="980" w:left="820" w:header="730" w:footer="787" w:gutter="0"/>
          <w:cols w:space="720"/>
        </w:sectPr>
      </w:pPr>
    </w:p>
    <w:p w14:paraId="0D0ADA4D"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0B2F8BAB" w14:textId="77777777">
        <w:trPr>
          <w:trHeight w:val="1696"/>
        </w:trPr>
        <w:tc>
          <w:tcPr>
            <w:tcW w:w="1711" w:type="dxa"/>
          </w:tcPr>
          <w:p w14:paraId="74656D7F" w14:textId="77777777" w:rsidR="0046798B" w:rsidRDefault="0046798B">
            <w:pPr>
              <w:pStyle w:val="TableParagraph"/>
            </w:pPr>
          </w:p>
          <w:p w14:paraId="7226A3CF" w14:textId="77777777" w:rsidR="0046798B" w:rsidRDefault="0046798B">
            <w:pPr>
              <w:pStyle w:val="TableParagraph"/>
            </w:pPr>
          </w:p>
          <w:p w14:paraId="4F673402" w14:textId="77777777" w:rsidR="0046798B" w:rsidRDefault="0046798B">
            <w:pPr>
              <w:pStyle w:val="TableParagraph"/>
              <w:spacing w:before="9"/>
              <w:rPr>
                <w:sz w:val="19"/>
              </w:rPr>
            </w:pPr>
          </w:p>
          <w:p w14:paraId="45431BA6" w14:textId="77777777" w:rsidR="0046798B" w:rsidRDefault="00903B5C">
            <w:pPr>
              <w:pStyle w:val="TableParagraph"/>
              <w:ind w:left="115"/>
              <w:rPr>
                <w:b/>
                <w:sz w:val="20"/>
              </w:rPr>
            </w:pPr>
            <w:r>
              <w:rPr>
                <w:b/>
                <w:sz w:val="20"/>
              </w:rPr>
              <w:t>ig_env</w:t>
            </w:r>
          </w:p>
        </w:tc>
        <w:tc>
          <w:tcPr>
            <w:tcW w:w="1596" w:type="dxa"/>
          </w:tcPr>
          <w:p w14:paraId="3A8890DD" w14:textId="77777777" w:rsidR="0046798B" w:rsidRDefault="0046798B">
            <w:pPr>
              <w:pStyle w:val="TableParagraph"/>
            </w:pPr>
          </w:p>
          <w:p w14:paraId="242A34CB" w14:textId="77777777" w:rsidR="0046798B" w:rsidRDefault="00903B5C">
            <w:pPr>
              <w:pStyle w:val="TableParagraph"/>
              <w:spacing w:before="135"/>
              <w:ind w:left="114" w:right="124"/>
              <w:rPr>
                <w:sz w:val="20"/>
              </w:rPr>
            </w:pPr>
            <w:r>
              <w:rPr>
                <w:sz w:val="20"/>
              </w:rPr>
              <w:t>Environmental preservation and conservation interest groups</w:t>
            </w:r>
          </w:p>
        </w:tc>
        <w:tc>
          <w:tcPr>
            <w:tcW w:w="1285" w:type="dxa"/>
          </w:tcPr>
          <w:p w14:paraId="023826AB" w14:textId="77777777" w:rsidR="0046798B" w:rsidRDefault="0046798B">
            <w:pPr>
              <w:pStyle w:val="TableParagraph"/>
            </w:pPr>
          </w:p>
          <w:p w14:paraId="3F301635" w14:textId="77777777" w:rsidR="0046798B" w:rsidRDefault="0046798B">
            <w:pPr>
              <w:pStyle w:val="TableParagraph"/>
              <w:spacing w:before="9"/>
              <w:rPr>
                <w:sz w:val="21"/>
              </w:rPr>
            </w:pPr>
          </w:p>
          <w:p w14:paraId="32D0CFEA" w14:textId="77777777" w:rsidR="0046798B" w:rsidRDefault="00903B5C">
            <w:pPr>
              <w:pStyle w:val="TableParagraph"/>
              <w:ind w:left="114"/>
              <w:rPr>
                <w:sz w:val="20"/>
              </w:rPr>
            </w:pPr>
            <w:r>
              <w:rPr>
                <w:sz w:val="20"/>
              </w:rPr>
              <w:t>1980, 1990,</w:t>
            </w:r>
          </w:p>
          <w:p w14:paraId="0FC51AA1" w14:textId="77777777" w:rsidR="0046798B" w:rsidRDefault="00903B5C">
            <w:pPr>
              <w:pStyle w:val="TableParagraph"/>
              <w:ind w:left="114"/>
              <w:rPr>
                <w:sz w:val="20"/>
              </w:rPr>
            </w:pPr>
            <w:r>
              <w:rPr>
                <w:sz w:val="20"/>
              </w:rPr>
              <w:t>1997, 1998,</w:t>
            </w:r>
          </w:p>
          <w:p w14:paraId="179B4511" w14:textId="77777777" w:rsidR="0046798B" w:rsidRDefault="00903B5C">
            <w:pPr>
              <w:pStyle w:val="TableParagraph"/>
              <w:ind w:left="114"/>
              <w:rPr>
                <w:sz w:val="20"/>
              </w:rPr>
            </w:pPr>
            <w:r>
              <w:rPr>
                <w:sz w:val="20"/>
              </w:rPr>
              <w:t>1999, 2007</w:t>
            </w:r>
          </w:p>
        </w:tc>
        <w:tc>
          <w:tcPr>
            <w:tcW w:w="3421" w:type="dxa"/>
          </w:tcPr>
          <w:p w14:paraId="3AB567F4" w14:textId="77777777" w:rsidR="0046798B" w:rsidRDefault="0046798B">
            <w:pPr>
              <w:pStyle w:val="TableParagraph"/>
              <w:spacing w:before="9"/>
              <w:rPr>
                <w:sz w:val="23"/>
              </w:rPr>
            </w:pPr>
          </w:p>
          <w:p w14:paraId="5C61E01E" w14:textId="77777777" w:rsidR="0046798B" w:rsidRDefault="00903B5C">
            <w:pPr>
              <w:pStyle w:val="TableParagraph"/>
              <w:ind w:left="114" w:right="183"/>
              <w:rPr>
                <w:sz w:val="20"/>
              </w:rPr>
            </w:pPr>
            <w:r>
              <w:rPr>
                <w:sz w:val="20"/>
              </w:rPr>
              <w:t>Number of environmental and conservation interest groups registered in the state. Includes groups such as: environmental groups, air and water pollution, solid and water districts</w:t>
            </w:r>
          </w:p>
        </w:tc>
        <w:tc>
          <w:tcPr>
            <w:tcW w:w="6482" w:type="dxa"/>
          </w:tcPr>
          <w:p w14:paraId="31DFCEFE" w14:textId="77777777" w:rsidR="0046798B" w:rsidRDefault="00903B5C">
            <w:pPr>
              <w:pStyle w:val="TableParagraph"/>
              <w:spacing w:before="43"/>
              <w:ind w:left="114" w:right="217"/>
              <w:rPr>
                <w:sz w:val="20"/>
              </w:rPr>
            </w:pPr>
            <w:r>
              <w:rPr>
                <w:sz w:val="20"/>
              </w:rPr>
              <w:t xml:space="preserve">Gray, Virginia, and David Lowery. “Interest Group Politics and Economic Growth in the U.S. States.” </w:t>
            </w:r>
            <w:r>
              <w:rPr>
                <w:i/>
                <w:sz w:val="20"/>
              </w:rPr>
              <w:t xml:space="preserve">The American Political Science Review </w:t>
            </w:r>
            <w:r>
              <w:rPr>
                <w:sz w:val="20"/>
              </w:rPr>
              <w:t>82.1 (1988): 109–131.</w:t>
            </w:r>
          </w:p>
          <w:p w14:paraId="7214B5EB" w14:textId="77777777" w:rsidR="0046798B" w:rsidRDefault="0046798B">
            <w:pPr>
              <w:pStyle w:val="TableParagraph"/>
              <w:rPr>
                <w:sz w:val="20"/>
              </w:rPr>
            </w:pPr>
          </w:p>
          <w:p w14:paraId="1F93FBCC" w14:textId="77777777" w:rsidR="0046798B" w:rsidRDefault="00903B5C">
            <w:pPr>
              <w:pStyle w:val="TableParagraph"/>
              <w:ind w:left="114" w:right="151"/>
              <w:jc w:val="both"/>
              <w:rPr>
                <w:sz w:val="20"/>
              </w:rPr>
            </w:pPr>
            <w:r>
              <w:rPr>
                <w:sz w:val="20"/>
              </w:rPr>
              <w:t xml:space="preserve">Lowery, David, Virginia Gray, and John Cluverius. “Temporal Change in the Density of State Interest Communities 1980 to 2007.” </w:t>
            </w:r>
            <w:r>
              <w:rPr>
                <w:i/>
                <w:sz w:val="20"/>
              </w:rPr>
              <w:t xml:space="preserve">State Politics &amp; Policy Quarterly </w:t>
            </w:r>
            <w:r>
              <w:rPr>
                <w:sz w:val="20"/>
              </w:rPr>
              <w:t>15.2 (2015): 263–286.</w:t>
            </w:r>
          </w:p>
        </w:tc>
      </w:tr>
      <w:tr w:rsidR="0046798B" w14:paraId="18332305" w14:textId="77777777">
        <w:trPr>
          <w:trHeight w:val="1695"/>
        </w:trPr>
        <w:tc>
          <w:tcPr>
            <w:tcW w:w="1711" w:type="dxa"/>
          </w:tcPr>
          <w:p w14:paraId="3A0DC855" w14:textId="77777777" w:rsidR="0046798B" w:rsidRDefault="0046798B">
            <w:pPr>
              <w:pStyle w:val="TableParagraph"/>
            </w:pPr>
          </w:p>
          <w:p w14:paraId="3DCB3AF9" w14:textId="77777777" w:rsidR="0046798B" w:rsidRDefault="0046798B">
            <w:pPr>
              <w:pStyle w:val="TableParagraph"/>
            </w:pPr>
          </w:p>
          <w:p w14:paraId="38A230FC" w14:textId="77777777" w:rsidR="0046798B" w:rsidRDefault="0046798B">
            <w:pPr>
              <w:pStyle w:val="TableParagraph"/>
              <w:spacing w:before="8"/>
              <w:rPr>
                <w:sz w:val="19"/>
              </w:rPr>
            </w:pPr>
          </w:p>
          <w:p w14:paraId="413DF4CF" w14:textId="77777777" w:rsidR="0046798B" w:rsidRDefault="00903B5C">
            <w:pPr>
              <w:pStyle w:val="TableParagraph"/>
              <w:spacing w:before="1"/>
              <w:ind w:left="115"/>
              <w:rPr>
                <w:b/>
                <w:sz w:val="20"/>
              </w:rPr>
            </w:pPr>
            <w:r>
              <w:rPr>
                <w:b/>
                <w:sz w:val="20"/>
              </w:rPr>
              <w:t>ig_rel</w:t>
            </w:r>
          </w:p>
        </w:tc>
        <w:tc>
          <w:tcPr>
            <w:tcW w:w="1596" w:type="dxa"/>
          </w:tcPr>
          <w:p w14:paraId="00E58B0F" w14:textId="77777777" w:rsidR="0046798B" w:rsidRDefault="0046798B">
            <w:pPr>
              <w:pStyle w:val="TableParagraph"/>
            </w:pPr>
          </w:p>
          <w:p w14:paraId="01147A79" w14:textId="77777777" w:rsidR="0046798B" w:rsidRDefault="00903B5C">
            <w:pPr>
              <w:pStyle w:val="TableParagraph"/>
              <w:spacing w:before="135"/>
              <w:ind w:left="114" w:right="268"/>
              <w:rPr>
                <w:sz w:val="20"/>
              </w:rPr>
            </w:pPr>
            <w:r>
              <w:rPr>
                <w:sz w:val="20"/>
              </w:rPr>
              <w:t>Churches and religious organizations interest groups</w:t>
            </w:r>
          </w:p>
        </w:tc>
        <w:tc>
          <w:tcPr>
            <w:tcW w:w="1285" w:type="dxa"/>
          </w:tcPr>
          <w:p w14:paraId="09AB1408" w14:textId="77777777" w:rsidR="0046798B" w:rsidRDefault="0046798B">
            <w:pPr>
              <w:pStyle w:val="TableParagraph"/>
            </w:pPr>
          </w:p>
          <w:p w14:paraId="032C2BFF" w14:textId="77777777" w:rsidR="0046798B" w:rsidRDefault="0046798B">
            <w:pPr>
              <w:pStyle w:val="TableParagraph"/>
              <w:spacing w:before="8"/>
              <w:rPr>
                <w:sz w:val="21"/>
              </w:rPr>
            </w:pPr>
          </w:p>
          <w:p w14:paraId="50A07980" w14:textId="77777777" w:rsidR="0046798B" w:rsidRDefault="00903B5C">
            <w:pPr>
              <w:pStyle w:val="TableParagraph"/>
              <w:spacing w:before="1"/>
              <w:ind w:left="114"/>
              <w:rPr>
                <w:sz w:val="20"/>
              </w:rPr>
            </w:pPr>
            <w:r>
              <w:rPr>
                <w:sz w:val="20"/>
              </w:rPr>
              <w:t>1980, 1990,</w:t>
            </w:r>
          </w:p>
          <w:p w14:paraId="3761F629" w14:textId="77777777" w:rsidR="0046798B" w:rsidRDefault="00903B5C">
            <w:pPr>
              <w:pStyle w:val="TableParagraph"/>
              <w:ind w:left="114"/>
              <w:rPr>
                <w:sz w:val="20"/>
              </w:rPr>
            </w:pPr>
            <w:r>
              <w:rPr>
                <w:sz w:val="20"/>
              </w:rPr>
              <w:t>1997, 1998,</w:t>
            </w:r>
          </w:p>
          <w:p w14:paraId="442D43B5" w14:textId="77777777" w:rsidR="0046798B" w:rsidRDefault="00903B5C">
            <w:pPr>
              <w:pStyle w:val="TableParagraph"/>
              <w:ind w:left="114"/>
              <w:rPr>
                <w:sz w:val="20"/>
              </w:rPr>
            </w:pPr>
            <w:r>
              <w:rPr>
                <w:sz w:val="20"/>
              </w:rPr>
              <w:t>1999, 2007</w:t>
            </w:r>
          </w:p>
        </w:tc>
        <w:tc>
          <w:tcPr>
            <w:tcW w:w="3421" w:type="dxa"/>
          </w:tcPr>
          <w:p w14:paraId="178B552B" w14:textId="77777777" w:rsidR="0046798B" w:rsidRDefault="0046798B">
            <w:pPr>
              <w:pStyle w:val="TableParagraph"/>
              <w:spacing w:before="8"/>
              <w:rPr>
                <w:sz w:val="23"/>
              </w:rPr>
            </w:pPr>
          </w:p>
          <w:p w14:paraId="574F0100" w14:textId="77777777" w:rsidR="0046798B" w:rsidRDefault="00903B5C">
            <w:pPr>
              <w:pStyle w:val="TableParagraph"/>
              <w:spacing w:before="1"/>
              <w:ind w:left="114" w:right="122"/>
              <w:rPr>
                <w:sz w:val="20"/>
              </w:rPr>
            </w:pPr>
            <w:r>
              <w:rPr>
                <w:sz w:val="20"/>
              </w:rPr>
              <w:t>Number of religious interest groups registered in the state. Includes groups such as: churches, Catholic conference, denominations, religious-based organizations</w:t>
            </w:r>
          </w:p>
        </w:tc>
        <w:tc>
          <w:tcPr>
            <w:tcW w:w="6482" w:type="dxa"/>
          </w:tcPr>
          <w:p w14:paraId="0CE6478D" w14:textId="77777777" w:rsidR="0046798B" w:rsidRDefault="00903B5C">
            <w:pPr>
              <w:pStyle w:val="TableParagraph"/>
              <w:spacing w:before="43"/>
              <w:ind w:left="114" w:right="217"/>
              <w:rPr>
                <w:sz w:val="20"/>
              </w:rPr>
            </w:pPr>
            <w:r>
              <w:rPr>
                <w:sz w:val="20"/>
              </w:rPr>
              <w:t xml:space="preserve">Gray, Virginia, and David Lowery. “Interest Group Politics and Economic Growth in the U.S. States.” </w:t>
            </w:r>
            <w:r>
              <w:rPr>
                <w:i/>
                <w:sz w:val="20"/>
              </w:rPr>
              <w:t xml:space="preserve">The American Political Science Review </w:t>
            </w:r>
            <w:r>
              <w:rPr>
                <w:sz w:val="20"/>
              </w:rPr>
              <w:t>82.1 (1988): 109–131.</w:t>
            </w:r>
          </w:p>
          <w:p w14:paraId="7953AAEF" w14:textId="77777777" w:rsidR="0046798B" w:rsidRDefault="0046798B">
            <w:pPr>
              <w:pStyle w:val="TableParagraph"/>
              <w:rPr>
                <w:sz w:val="20"/>
              </w:rPr>
            </w:pPr>
          </w:p>
          <w:p w14:paraId="19D1944E" w14:textId="77777777" w:rsidR="0046798B" w:rsidRDefault="00903B5C">
            <w:pPr>
              <w:pStyle w:val="TableParagraph"/>
              <w:ind w:left="114" w:right="151"/>
              <w:jc w:val="both"/>
              <w:rPr>
                <w:sz w:val="20"/>
              </w:rPr>
            </w:pPr>
            <w:r>
              <w:rPr>
                <w:sz w:val="20"/>
              </w:rPr>
              <w:t xml:space="preserve">Lowery, David, Virginia Gray, and John Cluverius. “Temporal Change in the Density of State Interest Communities 1980 to 2007.” </w:t>
            </w:r>
            <w:r>
              <w:rPr>
                <w:i/>
                <w:sz w:val="20"/>
              </w:rPr>
              <w:t xml:space="preserve">State Politics &amp; Policy Quarterly </w:t>
            </w:r>
            <w:r>
              <w:rPr>
                <w:sz w:val="20"/>
              </w:rPr>
              <w:t>15.2 (2015): 263–286.</w:t>
            </w:r>
          </w:p>
        </w:tc>
      </w:tr>
      <w:tr w:rsidR="0046798B" w14:paraId="59DD8AB6" w14:textId="77777777">
        <w:trPr>
          <w:trHeight w:val="1700"/>
        </w:trPr>
        <w:tc>
          <w:tcPr>
            <w:tcW w:w="1711" w:type="dxa"/>
          </w:tcPr>
          <w:p w14:paraId="7CD33082" w14:textId="77777777" w:rsidR="0046798B" w:rsidRDefault="0046798B">
            <w:pPr>
              <w:pStyle w:val="TableParagraph"/>
            </w:pPr>
          </w:p>
          <w:p w14:paraId="4CF8E62F" w14:textId="77777777" w:rsidR="0046798B" w:rsidRDefault="0046798B">
            <w:pPr>
              <w:pStyle w:val="TableParagraph"/>
            </w:pPr>
          </w:p>
          <w:p w14:paraId="03A375C4" w14:textId="77777777" w:rsidR="0046798B" w:rsidRDefault="0046798B">
            <w:pPr>
              <w:pStyle w:val="TableParagraph"/>
              <w:spacing w:before="9"/>
              <w:rPr>
                <w:sz w:val="19"/>
              </w:rPr>
            </w:pPr>
          </w:p>
          <w:p w14:paraId="30E987C4" w14:textId="77777777" w:rsidR="0046798B" w:rsidRDefault="00903B5C">
            <w:pPr>
              <w:pStyle w:val="TableParagraph"/>
              <w:ind w:left="115"/>
              <w:rPr>
                <w:b/>
                <w:sz w:val="20"/>
              </w:rPr>
            </w:pPr>
            <w:r>
              <w:rPr>
                <w:b/>
                <w:sz w:val="20"/>
              </w:rPr>
              <w:t>ig_welf</w:t>
            </w:r>
          </w:p>
        </w:tc>
        <w:tc>
          <w:tcPr>
            <w:tcW w:w="1596" w:type="dxa"/>
          </w:tcPr>
          <w:p w14:paraId="0A0A4073" w14:textId="77777777" w:rsidR="0046798B" w:rsidRDefault="0046798B">
            <w:pPr>
              <w:pStyle w:val="TableParagraph"/>
            </w:pPr>
          </w:p>
          <w:p w14:paraId="465731E0" w14:textId="77777777" w:rsidR="0046798B" w:rsidRDefault="00903B5C">
            <w:pPr>
              <w:pStyle w:val="TableParagraph"/>
              <w:spacing w:before="135"/>
              <w:ind w:left="114" w:right="135"/>
              <w:rPr>
                <w:sz w:val="20"/>
              </w:rPr>
            </w:pPr>
            <w:r>
              <w:rPr>
                <w:sz w:val="20"/>
              </w:rPr>
              <w:t>Human resource issues, welfare services interest groups</w:t>
            </w:r>
          </w:p>
        </w:tc>
        <w:tc>
          <w:tcPr>
            <w:tcW w:w="1285" w:type="dxa"/>
          </w:tcPr>
          <w:p w14:paraId="1A213DC3" w14:textId="77777777" w:rsidR="0046798B" w:rsidRDefault="0046798B">
            <w:pPr>
              <w:pStyle w:val="TableParagraph"/>
            </w:pPr>
          </w:p>
          <w:p w14:paraId="084B1E16" w14:textId="77777777" w:rsidR="0046798B" w:rsidRDefault="0046798B">
            <w:pPr>
              <w:pStyle w:val="TableParagraph"/>
              <w:spacing w:before="9"/>
              <w:rPr>
                <w:sz w:val="21"/>
              </w:rPr>
            </w:pPr>
          </w:p>
          <w:p w14:paraId="44CDE6F7" w14:textId="77777777" w:rsidR="0046798B" w:rsidRDefault="00903B5C">
            <w:pPr>
              <w:pStyle w:val="TableParagraph"/>
              <w:ind w:left="114"/>
              <w:rPr>
                <w:sz w:val="20"/>
              </w:rPr>
            </w:pPr>
            <w:r>
              <w:rPr>
                <w:sz w:val="20"/>
              </w:rPr>
              <w:t>1980, 1990,</w:t>
            </w:r>
          </w:p>
          <w:p w14:paraId="2A227BAE" w14:textId="77777777" w:rsidR="0046798B" w:rsidRDefault="00903B5C">
            <w:pPr>
              <w:pStyle w:val="TableParagraph"/>
              <w:ind w:left="114"/>
              <w:rPr>
                <w:sz w:val="20"/>
              </w:rPr>
            </w:pPr>
            <w:r>
              <w:rPr>
                <w:sz w:val="20"/>
              </w:rPr>
              <w:t>1997, 1998,</w:t>
            </w:r>
          </w:p>
          <w:p w14:paraId="07EF95E9" w14:textId="77777777" w:rsidR="0046798B" w:rsidRDefault="00903B5C">
            <w:pPr>
              <w:pStyle w:val="TableParagraph"/>
              <w:ind w:left="114"/>
              <w:rPr>
                <w:sz w:val="20"/>
              </w:rPr>
            </w:pPr>
            <w:r>
              <w:rPr>
                <w:sz w:val="20"/>
              </w:rPr>
              <w:t>1999, 2007</w:t>
            </w:r>
          </w:p>
        </w:tc>
        <w:tc>
          <w:tcPr>
            <w:tcW w:w="3421" w:type="dxa"/>
          </w:tcPr>
          <w:p w14:paraId="0D56BB01" w14:textId="77777777" w:rsidR="0046798B" w:rsidRDefault="00903B5C">
            <w:pPr>
              <w:pStyle w:val="TableParagraph"/>
              <w:spacing w:before="158"/>
              <w:ind w:left="114" w:right="177"/>
              <w:rPr>
                <w:sz w:val="20"/>
              </w:rPr>
            </w:pPr>
            <w:r>
              <w:rPr>
                <w:sz w:val="20"/>
              </w:rPr>
              <w:t>Number of social welfare interest groups registered in the state. Includes groups such as: social workers, non- health charities, welfare services, legal aid societies, consumer groups, animal rights, children’s services</w:t>
            </w:r>
          </w:p>
        </w:tc>
        <w:tc>
          <w:tcPr>
            <w:tcW w:w="6482" w:type="dxa"/>
          </w:tcPr>
          <w:p w14:paraId="5350C10C" w14:textId="77777777" w:rsidR="0046798B" w:rsidRDefault="00903B5C">
            <w:pPr>
              <w:pStyle w:val="TableParagraph"/>
              <w:spacing w:before="43"/>
              <w:ind w:left="114" w:right="372"/>
              <w:rPr>
                <w:sz w:val="20"/>
              </w:rPr>
            </w:pPr>
            <w:r>
              <w:rPr>
                <w:sz w:val="20"/>
              </w:rPr>
              <w:t xml:space="preserve">Gray, Virginia, and David Lowery. “Interest Group Politics and Economic Growth in the U.S. States.” </w:t>
            </w:r>
            <w:r>
              <w:rPr>
                <w:i/>
                <w:sz w:val="20"/>
              </w:rPr>
              <w:t xml:space="preserve">The American Political Science Review </w:t>
            </w:r>
            <w:r>
              <w:rPr>
                <w:sz w:val="20"/>
              </w:rPr>
              <w:t>82.1 (1988): 109–131.</w:t>
            </w:r>
          </w:p>
          <w:p w14:paraId="5C0ABF3A" w14:textId="77777777" w:rsidR="0046798B" w:rsidRDefault="0046798B">
            <w:pPr>
              <w:pStyle w:val="TableParagraph"/>
              <w:rPr>
                <w:sz w:val="20"/>
              </w:rPr>
            </w:pPr>
          </w:p>
          <w:p w14:paraId="2356F40E" w14:textId="77777777" w:rsidR="0046798B" w:rsidRDefault="00903B5C">
            <w:pPr>
              <w:pStyle w:val="TableParagraph"/>
              <w:ind w:left="114" w:right="151"/>
              <w:jc w:val="both"/>
              <w:rPr>
                <w:sz w:val="20"/>
              </w:rPr>
            </w:pPr>
            <w:r>
              <w:rPr>
                <w:sz w:val="20"/>
              </w:rPr>
              <w:t xml:space="preserve">Lowery, David, Virginia Gray, and John Cluverius. “Temporal Change in the Density of State Interest Communities 1980 to 2007.” </w:t>
            </w:r>
            <w:r>
              <w:rPr>
                <w:i/>
                <w:sz w:val="20"/>
              </w:rPr>
              <w:t xml:space="preserve">State Politics &amp; Policy Quarterly </w:t>
            </w:r>
            <w:r>
              <w:rPr>
                <w:sz w:val="20"/>
              </w:rPr>
              <w:t>15.2 (2015): 263–286.</w:t>
            </w:r>
          </w:p>
        </w:tc>
      </w:tr>
      <w:tr w:rsidR="0046798B" w14:paraId="0C317C3E" w14:textId="77777777">
        <w:trPr>
          <w:trHeight w:val="1696"/>
        </w:trPr>
        <w:tc>
          <w:tcPr>
            <w:tcW w:w="1711" w:type="dxa"/>
          </w:tcPr>
          <w:p w14:paraId="231F48DA" w14:textId="77777777" w:rsidR="0046798B" w:rsidRDefault="0046798B">
            <w:pPr>
              <w:pStyle w:val="TableParagraph"/>
            </w:pPr>
          </w:p>
          <w:p w14:paraId="023A99C8" w14:textId="77777777" w:rsidR="0046798B" w:rsidRDefault="0046798B">
            <w:pPr>
              <w:pStyle w:val="TableParagraph"/>
            </w:pPr>
          </w:p>
          <w:p w14:paraId="1D2A452E" w14:textId="77777777" w:rsidR="0046798B" w:rsidRDefault="0046798B">
            <w:pPr>
              <w:pStyle w:val="TableParagraph"/>
              <w:spacing w:before="4"/>
              <w:rPr>
                <w:sz w:val="19"/>
              </w:rPr>
            </w:pPr>
          </w:p>
          <w:p w14:paraId="79ACC00A" w14:textId="77777777" w:rsidR="0046798B" w:rsidRDefault="00903B5C">
            <w:pPr>
              <w:pStyle w:val="TableParagraph"/>
              <w:ind w:left="115"/>
              <w:rPr>
                <w:b/>
                <w:sz w:val="20"/>
              </w:rPr>
            </w:pPr>
            <w:r>
              <w:rPr>
                <w:b/>
                <w:sz w:val="20"/>
              </w:rPr>
              <w:t>ig_resou</w:t>
            </w:r>
          </w:p>
        </w:tc>
        <w:tc>
          <w:tcPr>
            <w:tcW w:w="1596" w:type="dxa"/>
          </w:tcPr>
          <w:p w14:paraId="735037AA" w14:textId="77777777" w:rsidR="0046798B" w:rsidRDefault="0046798B">
            <w:pPr>
              <w:pStyle w:val="TableParagraph"/>
            </w:pPr>
          </w:p>
          <w:p w14:paraId="677474A9" w14:textId="77777777" w:rsidR="0046798B" w:rsidRDefault="00903B5C">
            <w:pPr>
              <w:pStyle w:val="TableParagraph"/>
              <w:spacing w:before="131"/>
              <w:ind w:left="114" w:right="268"/>
              <w:rPr>
                <w:sz w:val="20"/>
              </w:rPr>
            </w:pPr>
            <w:r>
              <w:rPr>
                <w:sz w:val="20"/>
              </w:rPr>
              <w:t>Commercial resource development interest groups</w:t>
            </w:r>
          </w:p>
        </w:tc>
        <w:tc>
          <w:tcPr>
            <w:tcW w:w="1285" w:type="dxa"/>
          </w:tcPr>
          <w:p w14:paraId="79AC53A1" w14:textId="77777777" w:rsidR="0046798B" w:rsidRDefault="0046798B">
            <w:pPr>
              <w:pStyle w:val="TableParagraph"/>
            </w:pPr>
          </w:p>
          <w:p w14:paraId="63113854" w14:textId="77777777" w:rsidR="0046798B" w:rsidRDefault="0046798B">
            <w:pPr>
              <w:pStyle w:val="TableParagraph"/>
              <w:spacing w:before="4"/>
              <w:rPr>
                <w:sz w:val="21"/>
              </w:rPr>
            </w:pPr>
          </w:p>
          <w:p w14:paraId="26AADDA3" w14:textId="77777777" w:rsidR="0046798B" w:rsidRDefault="00903B5C">
            <w:pPr>
              <w:pStyle w:val="TableParagraph"/>
              <w:ind w:left="114"/>
              <w:rPr>
                <w:sz w:val="20"/>
              </w:rPr>
            </w:pPr>
            <w:r>
              <w:rPr>
                <w:sz w:val="20"/>
              </w:rPr>
              <w:t>1980, 1990,</w:t>
            </w:r>
          </w:p>
          <w:p w14:paraId="04057802" w14:textId="77777777" w:rsidR="0046798B" w:rsidRDefault="00903B5C">
            <w:pPr>
              <w:pStyle w:val="TableParagraph"/>
              <w:ind w:left="114"/>
              <w:rPr>
                <w:sz w:val="20"/>
              </w:rPr>
            </w:pPr>
            <w:r>
              <w:rPr>
                <w:sz w:val="20"/>
              </w:rPr>
              <w:t>1997, 1998,</w:t>
            </w:r>
          </w:p>
          <w:p w14:paraId="60D98445" w14:textId="77777777" w:rsidR="0046798B" w:rsidRDefault="00903B5C">
            <w:pPr>
              <w:pStyle w:val="TableParagraph"/>
              <w:ind w:left="114"/>
              <w:rPr>
                <w:sz w:val="20"/>
              </w:rPr>
            </w:pPr>
            <w:r>
              <w:rPr>
                <w:sz w:val="20"/>
              </w:rPr>
              <w:t>1999, 2007</w:t>
            </w:r>
          </w:p>
        </w:tc>
        <w:tc>
          <w:tcPr>
            <w:tcW w:w="3421" w:type="dxa"/>
          </w:tcPr>
          <w:p w14:paraId="13B436F7" w14:textId="77777777" w:rsidR="0046798B" w:rsidRDefault="0046798B">
            <w:pPr>
              <w:pStyle w:val="TableParagraph"/>
            </w:pPr>
          </w:p>
          <w:p w14:paraId="03AD6ACA" w14:textId="77777777" w:rsidR="0046798B" w:rsidRDefault="00903B5C">
            <w:pPr>
              <w:pStyle w:val="TableParagraph"/>
              <w:spacing w:before="131"/>
              <w:ind w:left="114" w:right="172"/>
              <w:rPr>
                <w:sz w:val="20"/>
              </w:rPr>
            </w:pPr>
            <w:r>
              <w:rPr>
                <w:sz w:val="20"/>
              </w:rPr>
              <w:t>Number of commercial resource development interest groups registered in the state. Includes groups dedicated to: oil, timber, mining, gold, drilling</w:t>
            </w:r>
          </w:p>
        </w:tc>
        <w:tc>
          <w:tcPr>
            <w:tcW w:w="6482" w:type="dxa"/>
          </w:tcPr>
          <w:p w14:paraId="2EE67EAE" w14:textId="77777777" w:rsidR="0046798B" w:rsidRDefault="00903B5C">
            <w:pPr>
              <w:pStyle w:val="TableParagraph"/>
              <w:spacing w:before="39"/>
              <w:ind w:left="114" w:right="217"/>
              <w:rPr>
                <w:sz w:val="20"/>
              </w:rPr>
            </w:pPr>
            <w:r>
              <w:rPr>
                <w:sz w:val="20"/>
              </w:rPr>
              <w:t xml:space="preserve">Gray, Virginia, and David Lowery. “Interest Group Politics and Economic Growth in the U.S. States.” </w:t>
            </w:r>
            <w:r>
              <w:rPr>
                <w:i/>
                <w:sz w:val="20"/>
              </w:rPr>
              <w:t xml:space="preserve">The American Political Science Review </w:t>
            </w:r>
            <w:r>
              <w:rPr>
                <w:sz w:val="20"/>
              </w:rPr>
              <w:t>82.1 (1988): 109–131.</w:t>
            </w:r>
          </w:p>
          <w:p w14:paraId="5B96B4FF" w14:textId="77777777" w:rsidR="0046798B" w:rsidRDefault="0046798B">
            <w:pPr>
              <w:pStyle w:val="TableParagraph"/>
              <w:spacing w:before="11"/>
              <w:rPr>
                <w:sz w:val="19"/>
              </w:rPr>
            </w:pPr>
          </w:p>
          <w:p w14:paraId="3FAA8808" w14:textId="77777777" w:rsidR="0046798B" w:rsidRDefault="00903B5C">
            <w:pPr>
              <w:pStyle w:val="TableParagraph"/>
              <w:ind w:left="114" w:right="155"/>
              <w:jc w:val="both"/>
              <w:rPr>
                <w:sz w:val="20"/>
              </w:rPr>
            </w:pPr>
            <w:r>
              <w:rPr>
                <w:sz w:val="20"/>
              </w:rPr>
              <w:t xml:space="preserve">Lowery, David, Virginia Gray, and John Cluverius. “Temporal Change in the Density of State Interest Communities 1980 to 2007.” </w:t>
            </w:r>
            <w:r>
              <w:rPr>
                <w:i/>
                <w:sz w:val="20"/>
              </w:rPr>
              <w:t xml:space="preserve">State Politics &amp; Policy Quarterly </w:t>
            </w:r>
            <w:r>
              <w:rPr>
                <w:sz w:val="20"/>
              </w:rPr>
              <w:t>15.2 (2015): 263–286.</w:t>
            </w:r>
          </w:p>
        </w:tc>
      </w:tr>
      <w:tr w:rsidR="0046798B" w14:paraId="7DB9BDB7" w14:textId="77777777">
        <w:trPr>
          <w:trHeight w:val="1695"/>
        </w:trPr>
        <w:tc>
          <w:tcPr>
            <w:tcW w:w="1711" w:type="dxa"/>
          </w:tcPr>
          <w:p w14:paraId="61780820" w14:textId="77777777" w:rsidR="0046798B" w:rsidRDefault="0046798B">
            <w:pPr>
              <w:pStyle w:val="TableParagraph"/>
            </w:pPr>
          </w:p>
          <w:p w14:paraId="54DC96E7" w14:textId="77777777" w:rsidR="0046798B" w:rsidRDefault="0046798B">
            <w:pPr>
              <w:pStyle w:val="TableParagraph"/>
            </w:pPr>
          </w:p>
          <w:p w14:paraId="2D960F9C" w14:textId="77777777" w:rsidR="0046798B" w:rsidRDefault="0046798B">
            <w:pPr>
              <w:pStyle w:val="TableParagraph"/>
              <w:spacing w:before="3"/>
              <w:rPr>
                <w:sz w:val="19"/>
              </w:rPr>
            </w:pPr>
          </w:p>
          <w:p w14:paraId="70E19887" w14:textId="77777777" w:rsidR="0046798B" w:rsidRDefault="00903B5C">
            <w:pPr>
              <w:pStyle w:val="TableParagraph"/>
              <w:spacing w:before="1"/>
              <w:ind w:left="115"/>
              <w:rPr>
                <w:b/>
                <w:sz w:val="20"/>
              </w:rPr>
            </w:pPr>
            <w:r>
              <w:rPr>
                <w:b/>
                <w:sz w:val="20"/>
              </w:rPr>
              <w:t>ig_gg</w:t>
            </w:r>
          </w:p>
        </w:tc>
        <w:tc>
          <w:tcPr>
            <w:tcW w:w="1596" w:type="dxa"/>
          </w:tcPr>
          <w:p w14:paraId="19A5707A" w14:textId="77777777" w:rsidR="0046798B" w:rsidRDefault="0046798B">
            <w:pPr>
              <w:pStyle w:val="TableParagraph"/>
            </w:pPr>
          </w:p>
          <w:p w14:paraId="7AD8AE7D" w14:textId="77777777" w:rsidR="0046798B" w:rsidRDefault="00903B5C">
            <w:pPr>
              <w:pStyle w:val="TableParagraph"/>
              <w:spacing w:before="130"/>
              <w:ind w:left="114" w:right="147"/>
              <w:rPr>
                <w:sz w:val="20"/>
              </w:rPr>
            </w:pPr>
            <w:r>
              <w:rPr>
                <w:sz w:val="20"/>
              </w:rPr>
              <w:t>Good government and policy advocacy interest groups</w:t>
            </w:r>
          </w:p>
        </w:tc>
        <w:tc>
          <w:tcPr>
            <w:tcW w:w="1285" w:type="dxa"/>
          </w:tcPr>
          <w:p w14:paraId="65AAFE20" w14:textId="77777777" w:rsidR="0046798B" w:rsidRDefault="0046798B">
            <w:pPr>
              <w:pStyle w:val="TableParagraph"/>
            </w:pPr>
          </w:p>
          <w:p w14:paraId="6BE3F042" w14:textId="77777777" w:rsidR="0046798B" w:rsidRDefault="0046798B">
            <w:pPr>
              <w:pStyle w:val="TableParagraph"/>
              <w:spacing w:before="3"/>
              <w:rPr>
                <w:sz w:val="21"/>
              </w:rPr>
            </w:pPr>
          </w:p>
          <w:p w14:paraId="2284FDA1" w14:textId="77777777" w:rsidR="0046798B" w:rsidRDefault="00903B5C">
            <w:pPr>
              <w:pStyle w:val="TableParagraph"/>
              <w:ind w:left="114"/>
              <w:rPr>
                <w:sz w:val="20"/>
              </w:rPr>
            </w:pPr>
            <w:r>
              <w:rPr>
                <w:sz w:val="20"/>
              </w:rPr>
              <w:t>1980, 1990,</w:t>
            </w:r>
          </w:p>
          <w:p w14:paraId="6302C175" w14:textId="77777777" w:rsidR="0046798B" w:rsidRDefault="00903B5C">
            <w:pPr>
              <w:pStyle w:val="TableParagraph"/>
              <w:spacing w:before="1"/>
              <w:ind w:left="114"/>
              <w:rPr>
                <w:sz w:val="20"/>
              </w:rPr>
            </w:pPr>
            <w:r>
              <w:rPr>
                <w:sz w:val="20"/>
              </w:rPr>
              <w:t>1997, 1998,</w:t>
            </w:r>
          </w:p>
          <w:p w14:paraId="7BC499A4" w14:textId="77777777" w:rsidR="0046798B" w:rsidRDefault="00903B5C">
            <w:pPr>
              <w:pStyle w:val="TableParagraph"/>
              <w:ind w:left="114"/>
              <w:rPr>
                <w:sz w:val="20"/>
              </w:rPr>
            </w:pPr>
            <w:r>
              <w:rPr>
                <w:sz w:val="20"/>
              </w:rPr>
              <w:t>1999, 2007</w:t>
            </w:r>
          </w:p>
        </w:tc>
        <w:tc>
          <w:tcPr>
            <w:tcW w:w="3421" w:type="dxa"/>
          </w:tcPr>
          <w:p w14:paraId="4047173F" w14:textId="77777777" w:rsidR="0046798B" w:rsidRDefault="0046798B">
            <w:pPr>
              <w:pStyle w:val="TableParagraph"/>
              <w:spacing w:before="3"/>
              <w:rPr>
                <w:sz w:val="23"/>
              </w:rPr>
            </w:pPr>
          </w:p>
          <w:p w14:paraId="0253B0AB" w14:textId="77777777" w:rsidR="0046798B" w:rsidRDefault="00903B5C">
            <w:pPr>
              <w:pStyle w:val="TableParagraph"/>
              <w:ind w:left="114" w:right="200"/>
              <w:rPr>
                <w:sz w:val="20"/>
              </w:rPr>
            </w:pPr>
            <w:r>
              <w:rPr>
                <w:sz w:val="20"/>
              </w:rPr>
              <w:t>Number of good governance interest groups registered in the state. Includes groups such as: good government citizen groups, political parties, government reform.</w:t>
            </w:r>
          </w:p>
        </w:tc>
        <w:tc>
          <w:tcPr>
            <w:tcW w:w="6482" w:type="dxa"/>
          </w:tcPr>
          <w:p w14:paraId="5FAD4F5C" w14:textId="77777777" w:rsidR="0046798B" w:rsidRDefault="00903B5C">
            <w:pPr>
              <w:pStyle w:val="TableParagraph"/>
              <w:spacing w:before="38"/>
              <w:ind w:left="114" w:right="217"/>
              <w:rPr>
                <w:sz w:val="20"/>
              </w:rPr>
            </w:pPr>
            <w:r>
              <w:rPr>
                <w:sz w:val="20"/>
              </w:rPr>
              <w:t xml:space="preserve">Gray, Virginia, and David Lowery. “Interest Group Politics and Economic Growth in the U.S. States.” </w:t>
            </w:r>
            <w:r>
              <w:rPr>
                <w:i/>
                <w:sz w:val="20"/>
              </w:rPr>
              <w:t xml:space="preserve">The American Political Science Review </w:t>
            </w:r>
            <w:r>
              <w:rPr>
                <w:sz w:val="20"/>
              </w:rPr>
              <w:t>82.1 (1988): 109–131.</w:t>
            </w:r>
          </w:p>
          <w:p w14:paraId="16CA61F4" w14:textId="77777777" w:rsidR="0046798B" w:rsidRDefault="0046798B">
            <w:pPr>
              <w:pStyle w:val="TableParagraph"/>
              <w:rPr>
                <w:sz w:val="20"/>
              </w:rPr>
            </w:pPr>
          </w:p>
          <w:p w14:paraId="6D1C9CD6" w14:textId="77777777" w:rsidR="0046798B" w:rsidRDefault="00903B5C">
            <w:pPr>
              <w:pStyle w:val="TableParagraph"/>
              <w:ind w:left="114" w:right="155"/>
              <w:jc w:val="both"/>
              <w:rPr>
                <w:sz w:val="20"/>
              </w:rPr>
            </w:pPr>
            <w:r>
              <w:rPr>
                <w:sz w:val="20"/>
              </w:rPr>
              <w:t xml:space="preserve">Lowery, David, Virginia Gray, and John Cluverius. “Temporal Change in the Density of State Interest Communities 1980 to 2007.” </w:t>
            </w:r>
            <w:r>
              <w:rPr>
                <w:i/>
                <w:sz w:val="20"/>
              </w:rPr>
              <w:t xml:space="preserve">State Politics &amp; Policy Quarterly </w:t>
            </w:r>
            <w:r>
              <w:rPr>
                <w:sz w:val="20"/>
              </w:rPr>
              <w:t>15.2 (2015): 263–286.</w:t>
            </w:r>
          </w:p>
        </w:tc>
      </w:tr>
      <w:tr w:rsidR="0046798B" w14:paraId="3AFFCB14" w14:textId="77777777">
        <w:trPr>
          <w:trHeight w:val="775"/>
        </w:trPr>
        <w:tc>
          <w:tcPr>
            <w:tcW w:w="1711" w:type="dxa"/>
          </w:tcPr>
          <w:p w14:paraId="59B01EF9" w14:textId="77777777" w:rsidR="0046798B" w:rsidRDefault="0046798B">
            <w:pPr>
              <w:pStyle w:val="TableParagraph"/>
              <w:spacing w:before="3"/>
              <w:rPr>
                <w:sz w:val="23"/>
              </w:rPr>
            </w:pPr>
          </w:p>
          <w:p w14:paraId="54A11C49" w14:textId="77777777" w:rsidR="0046798B" w:rsidRDefault="00903B5C">
            <w:pPr>
              <w:pStyle w:val="TableParagraph"/>
              <w:spacing w:before="1"/>
              <w:ind w:left="115"/>
              <w:rPr>
                <w:b/>
                <w:sz w:val="20"/>
              </w:rPr>
            </w:pPr>
            <w:r>
              <w:rPr>
                <w:b/>
                <w:sz w:val="20"/>
              </w:rPr>
              <w:t>ig_women</w:t>
            </w:r>
          </w:p>
        </w:tc>
        <w:tc>
          <w:tcPr>
            <w:tcW w:w="1596" w:type="dxa"/>
          </w:tcPr>
          <w:p w14:paraId="43C6F097" w14:textId="77777777" w:rsidR="0046798B" w:rsidRDefault="00903B5C">
            <w:pPr>
              <w:pStyle w:val="TableParagraph"/>
              <w:spacing w:before="153"/>
              <w:ind w:left="114" w:right="146"/>
              <w:rPr>
                <w:sz w:val="20"/>
              </w:rPr>
            </w:pPr>
            <w:r>
              <w:rPr>
                <w:sz w:val="20"/>
              </w:rPr>
              <w:t>Women’s issues interest groups</w:t>
            </w:r>
          </w:p>
        </w:tc>
        <w:tc>
          <w:tcPr>
            <w:tcW w:w="1285" w:type="dxa"/>
          </w:tcPr>
          <w:p w14:paraId="4208A30D" w14:textId="77777777" w:rsidR="0046798B" w:rsidRDefault="00903B5C">
            <w:pPr>
              <w:pStyle w:val="TableParagraph"/>
              <w:spacing w:before="38"/>
              <w:ind w:left="114"/>
              <w:rPr>
                <w:sz w:val="20"/>
              </w:rPr>
            </w:pPr>
            <w:r>
              <w:rPr>
                <w:sz w:val="20"/>
              </w:rPr>
              <w:t>1980, 1990,</w:t>
            </w:r>
          </w:p>
          <w:p w14:paraId="60640D87" w14:textId="77777777" w:rsidR="0046798B" w:rsidRDefault="00903B5C">
            <w:pPr>
              <w:pStyle w:val="TableParagraph"/>
              <w:ind w:left="114"/>
              <w:rPr>
                <w:sz w:val="20"/>
              </w:rPr>
            </w:pPr>
            <w:r>
              <w:rPr>
                <w:sz w:val="20"/>
              </w:rPr>
              <w:t>1997, 1998,</w:t>
            </w:r>
          </w:p>
          <w:p w14:paraId="7967CBC8" w14:textId="77777777" w:rsidR="0046798B" w:rsidRDefault="00903B5C">
            <w:pPr>
              <w:pStyle w:val="TableParagraph"/>
              <w:spacing w:before="1"/>
              <w:ind w:left="114"/>
              <w:rPr>
                <w:sz w:val="20"/>
              </w:rPr>
            </w:pPr>
            <w:r>
              <w:rPr>
                <w:sz w:val="20"/>
              </w:rPr>
              <w:t>1999, 2007</w:t>
            </w:r>
          </w:p>
        </w:tc>
        <w:tc>
          <w:tcPr>
            <w:tcW w:w="3421" w:type="dxa"/>
          </w:tcPr>
          <w:p w14:paraId="1E01AC66" w14:textId="77777777" w:rsidR="0046798B" w:rsidRDefault="00903B5C">
            <w:pPr>
              <w:pStyle w:val="TableParagraph"/>
              <w:spacing w:before="153"/>
              <w:ind w:left="114" w:right="200"/>
              <w:rPr>
                <w:sz w:val="20"/>
              </w:rPr>
            </w:pPr>
            <w:r>
              <w:rPr>
                <w:sz w:val="20"/>
              </w:rPr>
              <w:t>Number of women’s issues interest groups registered in the state. Includes</w:t>
            </w:r>
          </w:p>
        </w:tc>
        <w:tc>
          <w:tcPr>
            <w:tcW w:w="6482" w:type="dxa"/>
          </w:tcPr>
          <w:p w14:paraId="413F7888" w14:textId="77777777" w:rsidR="0046798B" w:rsidRDefault="00903B5C">
            <w:pPr>
              <w:pStyle w:val="TableParagraph"/>
              <w:spacing w:before="38"/>
              <w:ind w:left="114" w:right="372"/>
              <w:rPr>
                <w:sz w:val="20"/>
              </w:rPr>
            </w:pPr>
            <w:r>
              <w:rPr>
                <w:sz w:val="20"/>
              </w:rPr>
              <w:t xml:space="preserve">Gray, Virginia, and David Lowery. “Interest Group Politics and Economic Growth in the U.S. States.” </w:t>
            </w:r>
            <w:r>
              <w:rPr>
                <w:i/>
                <w:sz w:val="20"/>
              </w:rPr>
              <w:t xml:space="preserve">The American Political Science Review </w:t>
            </w:r>
            <w:r>
              <w:rPr>
                <w:sz w:val="20"/>
              </w:rPr>
              <w:t>82.1 (1988): 109–131.</w:t>
            </w:r>
          </w:p>
        </w:tc>
      </w:tr>
    </w:tbl>
    <w:p w14:paraId="021E97A9" w14:textId="77777777" w:rsidR="0046798B" w:rsidRDefault="0046798B">
      <w:pPr>
        <w:rPr>
          <w:sz w:val="20"/>
        </w:rPr>
        <w:sectPr w:rsidR="0046798B">
          <w:pgSz w:w="15840" w:h="12240" w:orient="landscape"/>
          <w:pgMar w:top="1220" w:right="300" w:bottom="980" w:left="820" w:header="730" w:footer="787" w:gutter="0"/>
          <w:cols w:space="720"/>
        </w:sectPr>
      </w:pPr>
    </w:p>
    <w:p w14:paraId="6AACD641"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7A770EE4" w14:textId="77777777">
        <w:trPr>
          <w:trHeight w:val="1005"/>
        </w:trPr>
        <w:tc>
          <w:tcPr>
            <w:tcW w:w="1711" w:type="dxa"/>
          </w:tcPr>
          <w:p w14:paraId="03A46DBC" w14:textId="77777777" w:rsidR="0046798B" w:rsidRDefault="0046798B">
            <w:pPr>
              <w:pStyle w:val="TableParagraph"/>
              <w:rPr>
                <w:sz w:val="20"/>
              </w:rPr>
            </w:pPr>
          </w:p>
        </w:tc>
        <w:tc>
          <w:tcPr>
            <w:tcW w:w="1596" w:type="dxa"/>
          </w:tcPr>
          <w:p w14:paraId="561281EA" w14:textId="77777777" w:rsidR="0046798B" w:rsidRDefault="0046798B">
            <w:pPr>
              <w:pStyle w:val="TableParagraph"/>
              <w:rPr>
                <w:sz w:val="20"/>
              </w:rPr>
            </w:pPr>
          </w:p>
        </w:tc>
        <w:tc>
          <w:tcPr>
            <w:tcW w:w="1285" w:type="dxa"/>
          </w:tcPr>
          <w:p w14:paraId="1F0EC5D3" w14:textId="77777777" w:rsidR="0046798B" w:rsidRDefault="0046798B">
            <w:pPr>
              <w:pStyle w:val="TableParagraph"/>
              <w:rPr>
                <w:sz w:val="20"/>
              </w:rPr>
            </w:pPr>
          </w:p>
        </w:tc>
        <w:tc>
          <w:tcPr>
            <w:tcW w:w="3421" w:type="dxa"/>
          </w:tcPr>
          <w:p w14:paraId="14C80500" w14:textId="77777777" w:rsidR="0046798B" w:rsidRDefault="00903B5C">
            <w:pPr>
              <w:pStyle w:val="TableParagraph"/>
              <w:spacing w:before="43"/>
              <w:ind w:left="114" w:right="244"/>
              <w:rPr>
                <w:sz w:val="20"/>
              </w:rPr>
            </w:pPr>
            <w:r>
              <w:rPr>
                <w:sz w:val="20"/>
              </w:rPr>
              <w:t>groups focusing on issues such as: abortion, equal rights, domestic abuse</w:t>
            </w:r>
          </w:p>
        </w:tc>
        <w:tc>
          <w:tcPr>
            <w:tcW w:w="6482" w:type="dxa"/>
          </w:tcPr>
          <w:p w14:paraId="58748034" w14:textId="77777777" w:rsidR="0046798B" w:rsidRDefault="0046798B">
            <w:pPr>
              <w:pStyle w:val="TableParagraph"/>
              <w:spacing w:before="9"/>
              <w:rPr>
                <w:sz w:val="23"/>
              </w:rPr>
            </w:pPr>
          </w:p>
          <w:p w14:paraId="0867355E" w14:textId="77777777" w:rsidR="0046798B" w:rsidRDefault="00903B5C">
            <w:pPr>
              <w:pStyle w:val="TableParagraph"/>
              <w:ind w:left="114" w:right="151"/>
              <w:jc w:val="both"/>
              <w:rPr>
                <w:sz w:val="20"/>
              </w:rPr>
            </w:pPr>
            <w:r>
              <w:rPr>
                <w:sz w:val="20"/>
              </w:rPr>
              <w:t xml:space="preserve">Lowery, David, Virginia Gray, and John Cluverius. “Temporal Change in the Density of State Interest Communities 1980 to 2007.” </w:t>
            </w:r>
            <w:r>
              <w:rPr>
                <w:i/>
                <w:sz w:val="20"/>
              </w:rPr>
              <w:t xml:space="preserve">State Politics &amp; Policy Quarterly </w:t>
            </w:r>
            <w:r>
              <w:rPr>
                <w:sz w:val="20"/>
              </w:rPr>
              <w:t>15.2 (2015): 263–286.</w:t>
            </w:r>
          </w:p>
        </w:tc>
      </w:tr>
      <w:tr w:rsidR="0046798B" w14:paraId="554416F0" w14:textId="77777777">
        <w:trPr>
          <w:trHeight w:val="1695"/>
        </w:trPr>
        <w:tc>
          <w:tcPr>
            <w:tcW w:w="1711" w:type="dxa"/>
          </w:tcPr>
          <w:p w14:paraId="4483466D" w14:textId="77777777" w:rsidR="0046798B" w:rsidRDefault="0046798B">
            <w:pPr>
              <w:pStyle w:val="TableParagraph"/>
            </w:pPr>
          </w:p>
          <w:p w14:paraId="7B319857" w14:textId="77777777" w:rsidR="0046798B" w:rsidRDefault="0046798B">
            <w:pPr>
              <w:pStyle w:val="TableParagraph"/>
            </w:pPr>
          </w:p>
          <w:p w14:paraId="38AE2C27" w14:textId="77777777" w:rsidR="0046798B" w:rsidRDefault="0046798B">
            <w:pPr>
              <w:pStyle w:val="TableParagraph"/>
              <w:spacing w:before="9"/>
              <w:rPr>
                <w:sz w:val="19"/>
              </w:rPr>
            </w:pPr>
          </w:p>
          <w:p w14:paraId="0CE0B966" w14:textId="77777777" w:rsidR="0046798B" w:rsidRDefault="00903B5C">
            <w:pPr>
              <w:pStyle w:val="TableParagraph"/>
              <w:ind w:left="115"/>
              <w:rPr>
                <w:b/>
                <w:sz w:val="20"/>
              </w:rPr>
            </w:pPr>
            <w:r>
              <w:rPr>
                <w:b/>
                <w:sz w:val="20"/>
              </w:rPr>
              <w:t>ig_util</w:t>
            </w:r>
          </w:p>
        </w:tc>
        <w:tc>
          <w:tcPr>
            <w:tcW w:w="1596" w:type="dxa"/>
          </w:tcPr>
          <w:p w14:paraId="243540BE" w14:textId="77777777" w:rsidR="0046798B" w:rsidRDefault="0046798B">
            <w:pPr>
              <w:pStyle w:val="TableParagraph"/>
            </w:pPr>
          </w:p>
          <w:p w14:paraId="2A0185D4" w14:textId="77777777" w:rsidR="0046798B" w:rsidRDefault="0046798B">
            <w:pPr>
              <w:pStyle w:val="TableParagraph"/>
              <w:spacing w:before="9"/>
              <w:rPr>
                <w:sz w:val="21"/>
              </w:rPr>
            </w:pPr>
          </w:p>
          <w:p w14:paraId="1777D076" w14:textId="77777777" w:rsidR="0046798B" w:rsidRDefault="00903B5C">
            <w:pPr>
              <w:pStyle w:val="TableParagraph"/>
              <w:ind w:left="114" w:right="269"/>
              <w:rPr>
                <w:sz w:val="20"/>
              </w:rPr>
            </w:pPr>
            <w:r>
              <w:rPr>
                <w:sz w:val="20"/>
              </w:rPr>
              <w:t>Utilities and energy interest groups</w:t>
            </w:r>
          </w:p>
        </w:tc>
        <w:tc>
          <w:tcPr>
            <w:tcW w:w="1285" w:type="dxa"/>
          </w:tcPr>
          <w:p w14:paraId="6A850C6A" w14:textId="77777777" w:rsidR="0046798B" w:rsidRDefault="0046798B">
            <w:pPr>
              <w:pStyle w:val="TableParagraph"/>
            </w:pPr>
          </w:p>
          <w:p w14:paraId="0D3A3EA3" w14:textId="77777777" w:rsidR="0046798B" w:rsidRDefault="0046798B">
            <w:pPr>
              <w:pStyle w:val="TableParagraph"/>
              <w:spacing w:before="9"/>
              <w:rPr>
                <w:sz w:val="21"/>
              </w:rPr>
            </w:pPr>
          </w:p>
          <w:p w14:paraId="0E81BDEC" w14:textId="77777777" w:rsidR="0046798B" w:rsidRDefault="00903B5C">
            <w:pPr>
              <w:pStyle w:val="TableParagraph"/>
              <w:ind w:left="114"/>
              <w:rPr>
                <w:sz w:val="20"/>
              </w:rPr>
            </w:pPr>
            <w:r>
              <w:rPr>
                <w:sz w:val="20"/>
              </w:rPr>
              <w:t>1980, 1990,</w:t>
            </w:r>
          </w:p>
          <w:p w14:paraId="225FBDE2" w14:textId="77777777" w:rsidR="0046798B" w:rsidRDefault="00903B5C">
            <w:pPr>
              <w:pStyle w:val="TableParagraph"/>
              <w:ind w:left="114"/>
              <w:rPr>
                <w:sz w:val="20"/>
              </w:rPr>
            </w:pPr>
            <w:r>
              <w:rPr>
                <w:sz w:val="20"/>
              </w:rPr>
              <w:t>1997, 1998,</w:t>
            </w:r>
          </w:p>
          <w:p w14:paraId="4E0454F4" w14:textId="77777777" w:rsidR="0046798B" w:rsidRDefault="00903B5C">
            <w:pPr>
              <w:pStyle w:val="TableParagraph"/>
              <w:ind w:left="114"/>
              <w:rPr>
                <w:sz w:val="20"/>
              </w:rPr>
            </w:pPr>
            <w:r>
              <w:rPr>
                <w:sz w:val="20"/>
              </w:rPr>
              <w:t>1999, 2007</w:t>
            </w:r>
          </w:p>
        </w:tc>
        <w:tc>
          <w:tcPr>
            <w:tcW w:w="3421" w:type="dxa"/>
          </w:tcPr>
          <w:p w14:paraId="173BE3EB" w14:textId="77777777" w:rsidR="0046798B" w:rsidRDefault="0046798B">
            <w:pPr>
              <w:pStyle w:val="TableParagraph"/>
            </w:pPr>
          </w:p>
          <w:p w14:paraId="6FA36896" w14:textId="77777777" w:rsidR="0046798B" w:rsidRDefault="00903B5C">
            <w:pPr>
              <w:pStyle w:val="TableParagraph"/>
              <w:spacing w:before="135"/>
              <w:ind w:left="114" w:right="200"/>
              <w:rPr>
                <w:sz w:val="20"/>
              </w:rPr>
            </w:pPr>
            <w:r>
              <w:rPr>
                <w:sz w:val="20"/>
              </w:rPr>
              <w:t>Number of utility and energy interest groups registered in the state. Includes groups such as: electric companies, sewer districts, utility regulation.</w:t>
            </w:r>
          </w:p>
        </w:tc>
        <w:tc>
          <w:tcPr>
            <w:tcW w:w="6482" w:type="dxa"/>
          </w:tcPr>
          <w:p w14:paraId="6AF047DD" w14:textId="77777777" w:rsidR="0046798B" w:rsidRDefault="00903B5C">
            <w:pPr>
              <w:pStyle w:val="TableParagraph"/>
              <w:spacing w:before="43"/>
              <w:ind w:left="114" w:right="217"/>
              <w:rPr>
                <w:sz w:val="20"/>
              </w:rPr>
            </w:pPr>
            <w:r>
              <w:rPr>
                <w:sz w:val="20"/>
              </w:rPr>
              <w:t xml:space="preserve">Gray, Virginia, and David Lowery. “Interest Group Politics and Economic Growth in the U.S. States.” </w:t>
            </w:r>
            <w:r>
              <w:rPr>
                <w:i/>
                <w:sz w:val="20"/>
              </w:rPr>
              <w:t xml:space="preserve">The American Political Science Review </w:t>
            </w:r>
            <w:r>
              <w:rPr>
                <w:sz w:val="20"/>
              </w:rPr>
              <w:t>82.1 (1988): 109–131.</w:t>
            </w:r>
          </w:p>
          <w:p w14:paraId="1F01CF6A" w14:textId="77777777" w:rsidR="0046798B" w:rsidRDefault="0046798B">
            <w:pPr>
              <w:pStyle w:val="TableParagraph"/>
              <w:rPr>
                <w:sz w:val="20"/>
              </w:rPr>
            </w:pPr>
          </w:p>
          <w:p w14:paraId="237EDF2A" w14:textId="77777777" w:rsidR="0046798B" w:rsidRDefault="00903B5C">
            <w:pPr>
              <w:pStyle w:val="TableParagraph"/>
              <w:spacing w:before="1"/>
              <w:ind w:left="114" w:right="151"/>
              <w:jc w:val="both"/>
              <w:rPr>
                <w:sz w:val="20"/>
              </w:rPr>
            </w:pPr>
            <w:r>
              <w:rPr>
                <w:sz w:val="20"/>
              </w:rPr>
              <w:t xml:space="preserve">Lowery, David, Virginia Gray, and John Cluverius. “Temporal Change in the Density of State Interest Communities 1980 to 2007.” </w:t>
            </w:r>
            <w:r>
              <w:rPr>
                <w:i/>
                <w:sz w:val="20"/>
              </w:rPr>
              <w:t xml:space="preserve">State Politics &amp; Policy Quarterly </w:t>
            </w:r>
            <w:r>
              <w:rPr>
                <w:sz w:val="20"/>
              </w:rPr>
              <w:t>15.2 (2015): 263–286.</w:t>
            </w:r>
          </w:p>
        </w:tc>
      </w:tr>
      <w:tr w:rsidR="0046798B" w14:paraId="03118E47" w14:textId="77777777">
        <w:trPr>
          <w:trHeight w:val="1700"/>
        </w:trPr>
        <w:tc>
          <w:tcPr>
            <w:tcW w:w="1711" w:type="dxa"/>
          </w:tcPr>
          <w:p w14:paraId="3030D65F" w14:textId="77777777" w:rsidR="0046798B" w:rsidRDefault="0046798B">
            <w:pPr>
              <w:pStyle w:val="TableParagraph"/>
            </w:pPr>
          </w:p>
          <w:p w14:paraId="5C9CC48A" w14:textId="77777777" w:rsidR="0046798B" w:rsidRDefault="0046798B">
            <w:pPr>
              <w:pStyle w:val="TableParagraph"/>
            </w:pPr>
          </w:p>
          <w:p w14:paraId="052CCDA9" w14:textId="77777777" w:rsidR="0046798B" w:rsidRDefault="0046798B">
            <w:pPr>
              <w:pStyle w:val="TableParagraph"/>
              <w:spacing w:before="9"/>
              <w:rPr>
                <w:sz w:val="19"/>
              </w:rPr>
            </w:pPr>
          </w:p>
          <w:p w14:paraId="22DA729C" w14:textId="77777777" w:rsidR="0046798B" w:rsidRDefault="00903B5C">
            <w:pPr>
              <w:pStyle w:val="TableParagraph"/>
              <w:ind w:left="115"/>
              <w:rPr>
                <w:b/>
                <w:sz w:val="20"/>
              </w:rPr>
            </w:pPr>
            <w:r>
              <w:rPr>
                <w:b/>
                <w:sz w:val="20"/>
              </w:rPr>
              <w:t>ig_tax</w:t>
            </w:r>
          </w:p>
        </w:tc>
        <w:tc>
          <w:tcPr>
            <w:tcW w:w="1596" w:type="dxa"/>
          </w:tcPr>
          <w:p w14:paraId="316B9693" w14:textId="77777777" w:rsidR="0046798B" w:rsidRDefault="0046798B">
            <w:pPr>
              <w:pStyle w:val="TableParagraph"/>
            </w:pPr>
          </w:p>
          <w:p w14:paraId="077C5F52" w14:textId="77777777" w:rsidR="0046798B" w:rsidRDefault="00903B5C">
            <w:pPr>
              <w:pStyle w:val="TableParagraph"/>
              <w:spacing w:before="135"/>
              <w:ind w:left="114" w:right="268"/>
              <w:rPr>
                <w:sz w:val="20"/>
              </w:rPr>
            </w:pPr>
            <w:r>
              <w:rPr>
                <w:sz w:val="20"/>
              </w:rPr>
              <w:t>Tax issues and government regulations interest groups</w:t>
            </w:r>
          </w:p>
        </w:tc>
        <w:tc>
          <w:tcPr>
            <w:tcW w:w="1285" w:type="dxa"/>
          </w:tcPr>
          <w:p w14:paraId="49617F11" w14:textId="77777777" w:rsidR="0046798B" w:rsidRDefault="0046798B">
            <w:pPr>
              <w:pStyle w:val="TableParagraph"/>
            </w:pPr>
          </w:p>
          <w:p w14:paraId="3C548472" w14:textId="77777777" w:rsidR="0046798B" w:rsidRDefault="0046798B">
            <w:pPr>
              <w:pStyle w:val="TableParagraph"/>
              <w:spacing w:before="9"/>
              <w:rPr>
                <w:sz w:val="21"/>
              </w:rPr>
            </w:pPr>
          </w:p>
          <w:p w14:paraId="1169D804" w14:textId="77777777" w:rsidR="0046798B" w:rsidRDefault="00903B5C">
            <w:pPr>
              <w:pStyle w:val="TableParagraph"/>
              <w:ind w:left="114"/>
              <w:rPr>
                <w:sz w:val="20"/>
              </w:rPr>
            </w:pPr>
            <w:r>
              <w:rPr>
                <w:sz w:val="20"/>
              </w:rPr>
              <w:t>1980, 1990,</w:t>
            </w:r>
          </w:p>
          <w:p w14:paraId="2490D9B0" w14:textId="77777777" w:rsidR="0046798B" w:rsidRDefault="00903B5C">
            <w:pPr>
              <w:pStyle w:val="TableParagraph"/>
              <w:ind w:left="114"/>
              <w:rPr>
                <w:sz w:val="20"/>
              </w:rPr>
            </w:pPr>
            <w:r>
              <w:rPr>
                <w:sz w:val="20"/>
              </w:rPr>
              <w:t>1997, 1998,</w:t>
            </w:r>
          </w:p>
          <w:p w14:paraId="63FBEC4F" w14:textId="77777777" w:rsidR="0046798B" w:rsidRDefault="00903B5C">
            <w:pPr>
              <w:pStyle w:val="TableParagraph"/>
              <w:ind w:left="114"/>
              <w:rPr>
                <w:sz w:val="20"/>
              </w:rPr>
            </w:pPr>
            <w:r>
              <w:rPr>
                <w:sz w:val="20"/>
              </w:rPr>
              <w:t>1999, 2007</w:t>
            </w:r>
          </w:p>
        </w:tc>
        <w:tc>
          <w:tcPr>
            <w:tcW w:w="3421" w:type="dxa"/>
          </w:tcPr>
          <w:p w14:paraId="52A57574" w14:textId="77777777" w:rsidR="0046798B" w:rsidRDefault="00903B5C">
            <w:pPr>
              <w:pStyle w:val="TableParagraph"/>
              <w:spacing w:before="158"/>
              <w:ind w:left="114" w:right="188"/>
              <w:rPr>
                <w:sz w:val="20"/>
              </w:rPr>
            </w:pPr>
            <w:r>
              <w:rPr>
                <w:sz w:val="20"/>
              </w:rPr>
              <w:t>Number of tax and government regulation interest groups registered in the state. Includes groups such as: taxpayer groups, homeowners, right to work, tax reform, workers’ compensation</w:t>
            </w:r>
          </w:p>
        </w:tc>
        <w:tc>
          <w:tcPr>
            <w:tcW w:w="6482" w:type="dxa"/>
          </w:tcPr>
          <w:p w14:paraId="3097CC6B" w14:textId="77777777" w:rsidR="0046798B" w:rsidRDefault="00903B5C">
            <w:pPr>
              <w:pStyle w:val="TableParagraph"/>
              <w:spacing w:before="43"/>
              <w:ind w:left="114" w:right="217"/>
              <w:rPr>
                <w:sz w:val="20"/>
              </w:rPr>
            </w:pPr>
            <w:r>
              <w:rPr>
                <w:sz w:val="20"/>
              </w:rPr>
              <w:t xml:space="preserve">Gray, Virginia, and David Lowery. “Interest Group Politics and Economic Growth in the U.S. States.” </w:t>
            </w:r>
            <w:r>
              <w:rPr>
                <w:i/>
                <w:sz w:val="20"/>
              </w:rPr>
              <w:t xml:space="preserve">The American Political Science Review </w:t>
            </w:r>
            <w:r>
              <w:rPr>
                <w:sz w:val="20"/>
              </w:rPr>
              <w:t>82.1 (1988): 109–131.</w:t>
            </w:r>
          </w:p>
          <w:p w14:paraId="4A89E037" w14:textId="77777777" w:rsidR="0046798B" w:rsidRDefault="0046798B">
            <w:pPr>
              <w:pStyle w:val="TableParagraph"/>
              <w:rPr>
                <w:sz w:val="20"/>
              </w:rPr>
            </w:pPr>
          </w:p>
          <w:p w14:paraId="266B726D" w14:textId="77777777" w:rsidR="0046798B" w:rsidRDefault="00903B5C">
            <w:pPr>
              <w:pStyle w:val="TableParagraph"/>
              <w:ind w:left="114" w:right="155"/>
              <w:jc w:val="both"/>
              <w:rPr>
                <w:sz w:val="20"/>
              </w:rPr>
            </w:pPr>
            <w:r>
              <w:rPr>
                <w:sz w:val="20"/>
              </w:rPr>
              <w:t xml:space="preserve">Lowery, David, Virginia Gray, and John Cluverius. “Temporal Change in the Density of State Interest Communities 1980 to 2007.” </w:t>
            </w:r>
            <w:r>
              <w:rPr>
                <w:i/>
                <w:sz w:val="20"/>
              </w:rPr>
              <w:t xml:space="preserve">State Politics &amp; Policy Quarterly </w:t>
            </w:r>
            <w:r>
              <w:rPr>
                <w:sz w:val="20"/>
              </w:rPr>
              <w:t>15.2 (2015): 263–286.</w:t>
            </w:r>
          </w:p>
        </w:tc>
      </w:tr>
      <w:tr w:rsidR="0046798B" w14:paraId="328B9BA7" w14:textId="77777777">
        <w:trPr>
          <w:trHeight w:val="1695"/>
        </w:trPr>
        <w:tc>
          <w:tcPr>
            <w:tcW w:w="1711" w:type="dxa"/>
          </w:tcPr>
          <w:p w14:paraId="538BE2A1" w14:textId="77777777" w:rsidR="0046798B" w:rsidRDefault="0046798B">
            <w:pPr>
              <w:pStyle w:val="TableParagraph"/>
            </w:pPr>
          </w:p>
          <w:p w14:paraId="3882141B" w14:textId="77777777" w:rsidR="0046798B" w:rsidRDefault="0046798B">
            <w:pPr>
              <w:pStyle w:val="TableParagraph"/>
            </w:pPr>
          </w:p>
          <w:p w14:paraId="714A2393" w14:textId="77777777" w:rsidR="0046798B" w:rsidRDefault="0046798B">
            <w:pPr>
              <w:pStyle w:val="TableParagraph"/>
              <w:spacing w:before="4"/>
              <w:rPr>
                <w:sz w:val="19"/>
              </w:rPr>
            </w:pPr>
          </w:p>
          <w:p w14:paraId="4443C174" w14:textId="77777777" w:rsidR="0046798B" w:rsidRDefault="00903B5C">
            <w:pPr>
              <w:pStyle w:val="TableParagraph"/>
              <w:ind w:left="115"/>
              <w:rPr>
                <w:b/>
                <w:sz w:val="20"/>
              </w:rPr>
            </w:pPr>
            <w:r>
              <w:rPr>
                <w:b/>
                <w:sz w:val="20"/>
              </w:rPr>
              <w:t>ig_comm</w:t>
            </w:r>
          </w:p>
        </w:tc>
        <w:tc>
          <w:tcPr>
            <w:tcW w:w="1596" w:type="dxa"/>
          </w:tcPr>
          <w:p w14:paraId="76614D23" w14:textId="77777777" w:rsidR="0046798B" w:rsidRDefault="0046798B">
            <w:pPr>
              <w:pStyle w:val="TableParagraph"/>
            </w:pPr>
          </w:p>
          <w:p w14:paraId="0DD93B4B" w14:textId="77777777" w:rsidR="0046798B" w:rsidRDefault="00903B5C">
            <w:pPr>
              <w:pStyle w:val="TableParagraph"/>
              <w:spacing w:before="130"/>
              <w:ind w:left="114" w:right="157"/>
              <w:rPr>
                <w:sz w:val="20"/>
              </w:rPr>
            </w:pPr>
            <w:r>
              <w:rPr>
                <w:sz w:val="20"/>
              </w:rPr>
              <w:t>Media and communication industry interest groups</w:t>
            </w:r>
          </w:p>
        </w:tc>
        <w:tc>
          <w:tcPr>
            <w:tcW w:w="1285" w:type="dxa"/>
          </w:tcPr>
          <w:p w14:paraId="61C45E39" w14:textId="77777777" w:rsidR="0046798B" w:rsidRDefault="0046798B">
            <w:pPr>
              <w:pStyle w:val="TableParagraph"/>
            </w:pPr>
          </w:p>
          <w:p w14:paraId="455F9077" w14:textId="77777777" w:rsidR="0046798B" w:rsidRDefault="0046798B">
            <w:pPr>
              <w:pStyle w:val="TableParagraph"/>
              <w:spacing w:before="3"/>
              <w:rPr>
                <w:sz w:val="21"/>
              </w:rPr>
            </w:pPr>
          </w:p>
          <w:p w14:paraId="7E360450" w14:textId="77777777" w:rsidR="0046798B" w:rsidRDefault="00903B5C">
            <w:pPr>
              <w:pStyle w:val="TableParagraph"/>
              <w:spacing w:before="1"/>
              <w:ind w:left="114"/>
              <w:rPr>
                <w:sz w:val="20"/>
              </w:rPr>
            </w:pPr>
            <w:r>
              <w:rPr>
                <w:sz w:val="20"/>
              </w:rPr>
              <w:t>1980, 1990,</w:t>
            </w:r>
          </w:p>
          <w:p w14:paraId="79505E28" w14:textId="77777777" w:rsidR="0046798B" w:rsidRDefault="00903B5C">
            <w:pPr>
              <w:pStyle w:val="TableParagraph"/>
              <w:ind w:left="114"/>
              <w:rPr>
                <w:sz w:val="20"/>
              </w:rPr>
            </w:pPr>
            <w:r>
              <w:rPr>
                <w:sz w:val="20"/>
              </w:rPr>
              <w:t>1997, 1998,</w:t>
            </w:r>
          </w:p>
          <w:p w14:paraId="1B39105B" w14:textId="77777777" w:rsidR="0046798B" w:rsidRDefault="00903B5C">
            <w:pPr>
              <w:pStyle w:val="TableParagraph"/>
              <w:ind w:left="114"/>
              <w:rPr>
                <w:sz w:val="20"/>
              </w:rPr>
            </w:pPr>
            <w:r>
              <w:rPr>
                <w:sz w:val="20"/>
              </w:rPr>
              <w:t>1999, 2007</w:t>
            </w:r>
          </w:p>
        </w:tc>
        <w:tc>
          <w:tcPr>
            <w:tcW w:w="3421" w:type="dxa"/>
          </w:tcPr>
          <w:p w14:paraId="77353538" w14:textId="77777777" w:rsidR="0046798B" w:rsidRDefault="00903B5C">
            <w:pPr>
              <w:pStyle w:val="TableParagraph"/>
              <w:spacing w:before="153"/>
              <w:ind w:left="114" w:right="233"/>
              <w:rPr>
                <w:sz w:val="20"/>
              </w:rPr>
            </w:pPr>
            <w:r>
              <w:rPr>
                <w:sz w:val="20"/>
              </w:rPr>
              <w:t>Number of media and communication interest groups registered in the state. Includes groups such as: stations, newspapers, associations of media outlets, broadcasters, internet, publishing</w:t>
            </w:r>
          </w:p>
        </w:tc>
        <w:tc>
          <w:tcPr>
            <w:tcW w:w="6482" w:type="dxa"/>
          </w:tcPr>
          <w:p w14:paraId="4F478E18" w14:textId="77777777" w:rsidR="0046798B" w:rsidRDefault="00903B5C">
            <w:pPr>
              <w:pStyle w:val="TableParagraph"/>
              <w:spacing w:before="38"/>
              <w:ind w:left="114" w:right="217"/>
              <w:rPr>
                <w:sz w:val="20"/>
              </w:rPr>
            </w:pPr>
            <w:r>
              <w:rPr>
                <w:sz w:val="20"/>
              </w:rPr>
              <w:t xml:space="preserve">Gray, Virginia, and David Lowery. “Interest Group Politics and Economic Growth in the U.S. States.” </w:t>
            </w:r>
            <w:r>
              <w:rPr>
                <w:i/>
                <w:sz w:val="20"/>
              </w:rPr>
              <w:t xml:space="preserve">The American Political Science Review </w:t>
            </w:r>
            <w:r>
              <w:rPr>
                <w:sz w:val="20"/>
              </w:rPr>
              <w:t>82.1 (1988): 109–131.</w:t>
            </w:r>
          </w:p>
          <w:p w14:paraId="0723062A" w14:textId="77777777" w:rsidR="0046798B" w:rsidRDefault="0046798B">
            <w:pPr>
              <w:pStyle w:val="TableParagraph"/>
              <w:rPr>
                <w:sz w:val="20"/>
              </w:rPr>
            </w:pPr>
          </w:p>
          <w:p w14:paraId="65B02BC2" w14:textId="77777777" w:rsidR="0046798B" w:rsidRDefault="00903B5C">
            <w:pPr>
              <w:pStyle w:val="TableParagraph"/>
              <w:spacing w:before="1"/>
              <w:ind w:left="114" w:right="155"/>
              <w:jc w:val="both"/>
              <w:rPr>
                <w:sz w:val="20"/>
              </w:rPr>
            </w:pPr>
            <w:r>
              <w:rPr>
                <w:sz w:val="20"/>
              </w:rPr>
              <w:t xml:space="preserve">Lowery, David, Virginia Gray, and John Cluverius. “Temporal Change in the Density of State Interest Communities 1980 to 2007.” </w:t>
            </w:r>
            <w:r>
              <w:rPr>
                <w:i/>
                <w:sz w:val="20"/>
              </w:rPr>
              <w:t xml:space="preserve">State Politics &amp; Policy Quarterly </w:t>
            </w:r>
            <w:r>
              <w:rPr>
                <w:sz w:val="20"/>
              </w:rPr>
              <w:t>15.2 (2015): 263–286.</w:t>
            </w:r>
          </w:p>
        </w:tc>
      </w:tr>
      <w:tr w:rsidR="0046798B" w14:paraId="4083E1DB" w14:textId="77777777">
        <w:trPr>
          <w:trHeight w:val="1695"/>
        </w:trPr>
        <w:tc>
          <w:tcPr>
            <w:tcW w:w="1711" w:type="dxa"/>
          </w:tcPr>
          <w:p w14:paraId="30DF17E8" w14:textId="77777777" w:rsidR="0046798B" w:rsidRDefault="0046798B">
            <w:pPr>
              <w:pStyle w:val="TableParagraph"/>
            </w:pPr>
          </w:p>
          <w:p w14:paraId="79A4E8A2" w14:textId="77777777" w:rsidR="0046798B" w:rsidRDefault="0046798B">
            <w:pPr>
              <w:pStyle w:val="TableParagraph"/>
            </w:pPr>
          </w:p>
          <w:p w14:paraId="467D8863" w14:textId="77777777" w:rsidR="0046798B" w:rsidRDefault="0046798B">
            <w:pPr>
              <w:pStyle w:val="TableParagraph"/>
              <w:spacing w:before="4"/>
              <w:rPr>
                <w:sz w:val="19"/>
              </w:rPr>
            </w:pPr>
          </w:p>
          <w:p w14:paraId="58E6096B" w14:textId="77777777" w:rsidR="0046798B" w:rsidRDefault="00903B5C">
            <w:pPr>
              <w:pStyle w:val="TableParagraph"/>
              <w:ind w:left="115"/>
              <w:rPr>
                <w:b/>
                <w:sz w:val="20"/>
              </w:rPr>
            </w:pPr>
            <w:r>
              <w:rPr>
                <w:b/>
                <w:sz w:val="20"/>
              </w:rPr>
              <w:t>ig_tran</w:t>
            </w:r>
          </w:p>
        </w:tc>
        <w:tc>
          <w:tcPr>
            <w:tcW w:w="1596" w:type="dxa"/>
          </w:tcPr>
          <w:p w14:paraId="0C042458" w14:textId="77777777" w:rsidR="0046798B" w:rsidRDefault="0046798B">
            <w:pPr>
              <w:pStyle w:val="TableParagraph"/>
            </w:pPr>
          </w:p>
          <w:p w14:paraId="15F2E89D" w14:textId="77777777" w:rsidR="0046798B" w:rsidRDefault="00903B5C">
            <w:pPr>
              <w:pStyle w:val="TableParagraph"/>
              <w:spacing w:before="131"/>
              <w:ind w:left="114" w:right="268"/>
              <w:rPr>
                <w:sz w:val="20"/>
              </w:rPr>
            </w:pPr>
            <w:r>
              <w:rPr>
                <w:sz w:val="20"/>
              </w:rPr>
              <w:t>Transportation companies, transit issues interest groups</w:t>
            </w:r>
          </w:p>
        </w:tc>
        <w:tc>
          <w:tcPr>
            <w:tcW w:w="1285" w:type="dxa"/>
          </w:tcPr>
          <w:p w14:paraId="22D27BB2" w14:textId="77777777" w:rsidR="0046798B" w:rsidRDefault="0046798B">
            <w:pPr>
              <w:pStyle w:val="TableParagraph"/>
            </w:pPr>
          </w:p>
          <w:p w14:paraId="7FE01907" w14:textId="77777777" w:rsidR="0046798B" w:rsidRDefault="0046798B">
            <w:pPr>
              <w:pStyle w:val="TableParagraph"/>
              <w:spacing w:before="4"/>
              <w:rPr>
                <w:sz w:val="21"/>
              </w:rPr>
            </w:pPr>
          </w:p>
          <w:p w14:paraId="532D18AE" w14:textId="77777777" w:rsidR="0046798B" w:rsidRDefault="00903B5C">
            <w:pPr>
              <w:pStyle w:val="TableParagraph"/>
              <w:ind w:left="114"/>
              <w:rPr>
                <w:sz w:val="20"/>
              </w:rPr>
            </w:pPr>
            <w:r>
              <w:rPr>
                <w:sz w:val="20"/>
              </w:rPr>
              <w:t>1980, 1990,</w:t>
            </w:r>
          </w:p>
          <w:p w14:paraId="04189DDC" w14:textId="77777777" w:rsidR="0046798B" w:rsidRDefault="00903B5C">
            <w:pPr>
              <w:pStyle w:val="TableParagraph"/>
              <w:ind w:left="114"/>
              <w:rPr>
                <w:sz w:val="20"/>
              </w:rPr>
            </w:pPr>
            <w:r>
              <w:rPr>
                <w:sz w:val="20"/>
              </w:rPr>
              <w:t>1997, 1998,</w:t>
            </w:r>
          </w:p>
          <w:p w14:paraId="3F6CC1CF" w14:textId="77777777" w:rsidR="0046798B" w:rsidRDefault="00903B5C">
            <w:pPr>
              <w:pStyle w:val="TableParagraph"/>
              <w:ind w:left="114"/>
              <w:rPr>
                <w:sz w:val="20"/>
              </w:rPr>
            </w:pPr>
            <w:r>
              <w:rPr>
                <w:sz w:val="20"/>
              </w:rPr>
              <w:t>1999, 2007</w:t>
            </w:r>
          </w:p>
        </w:tc>
        <w:tc>
          <w:tcPr>
            <w:tcW w:w="3421" w:type="dxa"/>
          </w:tcPr>
          <w:p w14:paraId="4A540794" w14:textId="77777777" w:rsidR="0046798B" w:rsidRDefault="0046798B">
            <w:pPr>
              <w:pStyle w:val="TableParagraph"/>
              <w:spacing w:before="4"/>
              <w:rPr>
                <w:sz w:val="23"/>
              </w:rPr>
            </w:pPr>
          </w:p>
          <w:p w14:paraId="14B38964" w14:textId="77777777" w:rsidR="0046798B" w:rsidRDefault="00903B5C">
            <w:pPr>
              <w:pStyle w:val="TableParagraph"/>
              <w:ind w:left="114" w:right="188"/>
              <w:rPr>
                <w:sz w:val="20"/>
              </w:rPr>
            </w:pPr>
            <w:r>
              <w:rPr>
                <w:sz w:val="20"/>
              </w:rPr>
              <w:t>Number of transportation and transit interest groups registered in the state. Includes groups such as: trucking companies, transit authorities, airlines, railroads</w:t>
            </w:r>
          </w:p>
        </w:tc>
        <w:tc>
          <w:tcPr>
            <w:tcW w:w="6482" w:type="dxa"/>
          </w:tcPr>
          <w:p w14:paraId="46AA85E3" w14:textId="77777777" w:rsidR="0046798B" w:rsidRDefault="00903B5C">
            <w:pPr>
              <w:pStyle w:val="TableParagraph"/>
              <w:spacing w:before="38"/>
              <w:ind w:left="114" w:right="217"/>
              <w:rPr>
                <w:sz w:val="20"/>
              </w:rPr>
            </w:pPr>
            <w:r>
              <w:rPr>
                <w:sz w:val="20"/>
              </w:rPr>
              <w:t xml:space="preserve">Gray, Virginia, and David Lowery. “Interest Group Politics and Economic Growth in the U.S. States.” </w:t>
            </w:r>
            <w:r>
              <w:rPr>
                <w:i/>
                <w:sz w:val="20"/>
              </w:rPr>
              <w:t xml:space="preserve">The American Political Science Review </w:t>
            </w:r>
            <w:r>
              <w:rPr>
                <w:sz w:val="20"/>
              </w:rPr>
              <w:t>82.1 (1988): 109–131.</w:t>
            </w:r>
          </w:p>
          <w:p w14:paraId="16DF3706" w14:textId="77777777" w:rsidR="0046798B" w:rsidRDefault="0046798B">
            <w:pPr>
              <w:pStyle w:val="TableParagraph"/>
              <w:rPr>
                <w:sz w:val="20"/>
              </w:rPr>
            </w:pPr>
          </w:p>
          <w:p w14:paraId="0C4EA7B1" w14:textId="77777777" w:rsidR="0046798B" w:rsidRDefault="00903B5C">
            <w:pPr>
              <w:pStyle w:val="TableParagraph"/>
              <w:ind w:left="114" w:right="155"/>
              <w:jc w:val="both"/>
              <w:rPr>
                <w:sz w:val="20"/>
              </w:rPr>
            </w:pPr>
            <w:r>
              <w:rPr>
                <w:sz w:val="20"/>
              </w:rPr>
              <w:t xml:space="preserve">Lowery, David, Virginia Gray, and John Cluverius. “Temporal Change in the Density of State Interest Communities 1980 to 2007.” </w:t>
            </w:r>
            <w:r>
              <w:rPr>
                <w:i/>
                <w:sz w:val="20"/>
              </w:rPr>
              <w:t xml:space="preserve">State Politics &amp; Policy Quarterly </w:t>
            </w:r>
            <w:r>
              <w:rPr>
                <w:sz w:val="20"/>
              </w:rPr>
              <w:t>15.2 (2015): 263–286.</w:t>
            </w:r>
          </w:p>
        </w:tc>
      </w:tr>
      <w:tr w:rsidR="0046798B" w14:paraId="63DD3003" w14:textId="77777777">
        <w:trPr>
          <w:trHeight w:val="1235"/>
        </w:trPr>
        <w:tc>
          <w:tcPr>
            <w:tcW w:w="1711" w:type="dxa"/>
          </w:tcPr>
          <w:p w14:paraId="1E7C5D03" w14:textId="77777777" w:rsidR="0046798B" w:rsidRDefault="0046798B">
            <w:pPr>
              <w:pStyle w:val="TableParagraph"/>
            </w:pPr>
          </w:p>
          <w:p w14:paraId="2408F663" w14:textId="77777777" w:rsidR="0046798B" w:rsidRDefault="0046798B">
            <w:pPr>
              <w:pStyle w:val="TableParagraph"/>
              <w:spacing w:before="3"/>
              <w:rPr>
                <w:sz w:val="21"/>
              </w:rPr>
            </w:pPr>
          </w:p>
          <w:p w14:paraId="06E0F395" w14:textId="77777777" w:rsidR="0046798B" w:rsidRDefault="00903B5C">
            <w:pPr>
              <w:pStyle w:val="TableParagraph"/>
              <w:spacing w:before="1"/>
              <w:ind w:left="115"/>
              <w:rPr>
                <w:b/>
                <w:sz w:val="20"/>
              </w:rPr>
            </w:pPr>
            <w:r>
              <w:rPr>
                <w:b/>
                <w:sz w:val="20"/>
              </w:rPr>
              <w:t>ig_igr</w:t>
            </w:r>
          </w:p>
        </w:tc>
        <w:tc>
          <w:tcPr>
            <w:tcW w:w="1596" w:type="dxa"/>
          </w:tcPr>
          <w:p w14:paraId="7EED56C5" w14:textId="77777777" w:rsidR="0046798B" w:rsidRDefault="00903B5C">
            <w:pPr>
              <w:pStyle w:val="TableParagraph"/>
              <w:spacing w:before="38"/>
              <w:ind w:left="114" w:right="130"/>
              <w:rPr>
                <w:sz w:val="20"/>
              </w:rPr>
            </w:pPr>
            <w:r>
              <w:rPr>
                <w:sz w:val="20"/>
              </w:rPr>
              <w:t>Governments and intergovernment al relations interest groups</w:t>
            </w:r>
          </w:p>
        </w:tc>
        <w:tc>
          <w:tcPr>
            <w:tcW w:w="1285" w:type="dxa"/>
          </w:tcPr>
          <w:p w14:paraId="7226B3E2" w14:textId="77777777" w:rsidR="0046798B" w:rsidRDefault="0046798B">
            <w:pPr>
              <w:pStyle w:val="TableParagraph"/>
              <w:spacing w:before="3"/>
              <w:rPr>
                <w:sz w:val="23"/>
              </w:rPr>
            </w:pPr>
          </w:p>
          <w:p w14:paraId="51CFC9BB" w14:textId="77777777" w:rsidR="0046798B" w:rsidRDefault="00903B5C">
            <w:pPr>
              <w:pStyle w:val="TableParagraph"/>
              <w:spacing w:before="1"/>
              <w:ind w:left="114"/>
              <w:rPr>
                <w:sz w:val="20"/>
              </w:rPr>
            </w:pPr>
            <w:r>
              <w:rPr>
                <w:sz w:val="20"/>
              </w:rPr>
              <w:t>1980, 1990,</w:t>
            </w:r>
          </w:p>
          <w:p w14:paraId="2B7AE2AD" w14:textId="77777777" w:rsidR="0046798B" w:rsidRDefault="00903B5C">
            <w:pPr>
              <w:pStyle w:val="TableParagraph"/>
              <w:ind w:left="114"/>
              <w:rPr>
                <w:sz w:val="20"/>
              </w:rPr>
            </w:pPr>
            <w:r>
              <w:rPr>
                <w:sz w:val="20"/>
              </w:rPr>
              <w:t>1997, 1998,</w:t>
            </w:r>
          </w:p>
          <w:p w14:paraId="2456D53A" w14:textId="77777777" w:rsidR="0046798B" w:rsidRDefault="00903B5C">
            <w:pPr>
              <w:pStyle w:val="TableParagraph"/>
              <w:ind w:left="114"/>
              <w:rPr>
                <w:sz w:val="20"/>
              </w:rPr>
            </w:pPr>
            <w:r>
              <w:rPr>
                <w:sz w:val="20"/>
              </w:rPr>
              <w:t>1999, 2007</w:t>
            </w:r>
          </w:p>
        </w:tc>
        <w:tc>
          <w:tcPr>
            <w:tcW w:w="3421" w:type="dxa"/>
          </w:tcPr>
          <w:p w14:paraId="323EC566" w14:textId="77777777" w:rsidR="0046798B" w:rsidRDefault="00903B5C">
            <w:pPr>
              <w:pStyle w:val="TableParagraph"/>
              <w:spacing w:before="38"/>
              <w:ind w:left="114" w:right="200"/>
              <w:rPr>
                <w:sz w:val="20"/>
              </w:rPr>
            </w:pPr>
            <w:r>
              <w:rPr>
                <w:sz w:val="20"/>
              </w:rPr>
              <w:t>Number of governmental and intergovernmental relations interest groups registered in the state. Includes groups such as: local government, public employees, government</w:t>
            </w:r>
          </w:p>
        </w:tc>
        <w:tc>
          <w:tcPr>
            <w:tcW w:w="6482" w:type="dxa"/>
          </w:tcPr>
          <w:p w14:paraId="2D279DCB" w14:textId="77777777" w:rsidR="0046798B" w:rsidRDefault="00903B5C">
            <w:pPr>
              <w:pStyle w:val="TableParagraph"/>
              <w:spacing w:before="153"/>
              <w:ind w:left="114" w:right="217"/>
              <w:rPr>
                <w:sz w:val="20"/>
              </w:rPr>
            </w:pPr>
            <w:r>
              <w:rPr>
                <w:sz w:val="20"/>
              </w:rPr>
              <w:t xml:space="preserve">Gray, Virginia, and David Lowery. “Interest Group Politics and Economic Growth in the U.S. States.” </w:t>
            </w:r>
            <w:r>
              <w:rPr>
                <w:i/>
                <w:sz w:val="20"/>
              </w:rPr>
              <w:t xml:space="preserve">The American Political Science Review </w:t>
            </w:r>
            <w:r>
              <w:rPr>
                <w:sz w:val="20"/>
              </w:rPr>
              <w:t>82.1 (1988): 109–131.</w:t>
            </w:r>
          </w:p>
        </w:tc>
      </w:tr>
    </w:tbl>
    <w:p w14:paraId="3787D6EE" w14:textId="77777777" w:rsidR="0046798B" w:rsidRDefault="0046798B">
      <w:pPr>
        <w:rPr>
          <w:sz w:val="20"/>
        </w:rPr>
        <w:sectPr w:rsidR="0046798B">
          <w:pgSz w:w="15840" w:h="12240" w:orient="landscape"/>
          <w:pgMar w:top="1220" w:right="300" w:bottom="980" w:left="820" w:header="730" w:footer="787" w:gutter="0"/>
          <w:cols w:space="720"/>
        </w:sectPr>
      </w:pPr>
    </w:p>
    <w:p w14:paraId="714D3B41"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EA26332" w14:textId="77777777">
        <w:trPr>
          <w:trHeight w:val="775"/>
        </w:trPr>
        <w:tc>
          <w:tcPr>
            <w:tcW w:w="1711" w:type="dxa"/>
          </w:tcPr>
          <w:p w14:paraId="3AE721CD" w14:textId="77777777" w:rsidR="0046798B" w:rsidRDefault="0046798B">
            <w:pPr>
              <w:pStyle w:val="TableParagraph"/>
              <w:rPr>
                <w:sz w:val="20"/>
              </w:rPr>
            </w:pPr>
          </w:p>
        </w:tc>
        <w:tc>
          <w:tcPr>
            <w:tcW w:w="1596" w:type="dxa"/>
          </w:tcPr>
          <w:p w14:paraId="5008929C" w14:textId="77777777" w:rsidR="0046798B" w:rsidRDefault="0046798B">
            <w:pPr>
              <w:pStyle w:val="TableParagraph"/>
              <w:rPr>
                <w:sz w:val="20"/>
              </w:rPr>
            </w:pPr>
          </w:p>
        </w:tc>
        <w:tc>
          <w:tcPr>
            <w:tcW w:w="1285" w:type="dxa"/>
          </w:tcPr>
          <w:p w14:paraId="73ED3C0B" w14:textId="77777777" w:rsidR="0046798B" w:rsidRDefault="0046798B">
            <w:pPr>
              <w:pStyle w:val="TableParagraph"/>
              <w:rPr>
                <w:sz w:val="20"/>
              </w:rPr>
            </w:pPr>
          </w:p>
        </w:tc>
        <w:tc>
          <w:tcPr>
            <w:tcW w:w="3421" w:type="dxa"/>
          </w:tcPr>
          <w:p w14:paraId="6F2555DF" w14:textId="77777777" w:rsidR="0046798B" w:rsidRDefault="00903B5C">
            <w:pPr>
              <w:pStyle w:val="TableParagraph"/>
              <w:spacing w:before="43"/>
              <w:ind w:left="114" w:right="283"/>
              <w:rPr>
                <w:sz w:val="20"/>
              </w:rPr>
            </w:pPr>
            <w:r>
              <w:rPr>
                <w:sz w:val="20"/>
              </w:rPr>
              <w:t>officials, municipal associations, port authorities</w:t>
            </w:r>
          </w:p>
        </w:tc>
        <w:tc>
          <w:tcPr>
            <w:tcW w:w="6482" w:type="dxa"/>
          </w:tcPr>
          <w:p w14:paraId="065C512A" w14:textId="77777777" w:rsidR="0046798B" w:rsidRDefault="00903B5C">
            <w:pPr>
              <w:pStyle w:val="TableParagraph"/>
              <w:spacing w:before="43"/>
              <w:ind w:left="114" w:right="155"/>
              <w:jc w:val="both"/>
              <w:rPr>
                <w:sz w:val="20"/>
              </w:rPr>
            </w:pPr>
            <w:r>
              <w:rPr>
                <w:sz w:val="20"/>
              </w:rPr>
              <w:t xml:space="preserve">Lowery, David, Virginia Gray, and John Cluverius. “Temporal Change in the Density of State Interest Communities 1980 to 2007.” </w:t>
            </w:r>
            <w:r>
              <w:rPr>
                <w:i/>
                <w:sz w:val="20"/>
              </w:rPr>
              <w:t xml:space="preserve">State Politics &amp; Policy Quarterly </w:t>
            </w:r>
            <w:r>
              <w:rPr>
                <w:sz w:val="20"/>
              </w:rPr>
              <w:t>15.2 (2015): 263–286.</w:t>
            </w:r>
          </w:p>
        </w:tc>
      </w:tr>
      <w:tr w:rsidR="0046798B" w14:paraId="718E21F3" w14:textId="77777777">
        <w:trPr>
          <w:trHeight w:val="1695"/>
        </w:trPr>
        <w:tc>
          <w:tcPr>
            <w:tcW w:w="1711" w:type="dxa"/>
          </w:tcPr>
          <w:p w14:paraId="56C42BB6" w14:textId="77777777" w:rsidR="0046798B" w:rsidRDefault="0046798B">
            <w:pPr>
              <w:pStyle w:val="TableParagraph"/>
            </w:pPr>
          </w:p>
          <w:p w14:paraId="3ECDC7F3" w14:textId="77777777" w:rsidR="0046798B" w:rsidRDefault="0046798B">
            <w:pPr>
              <w:pStyle w:val="TableParagraph"/>
            </w:pPr>
          </w:p>
          <w:p w14:paraId="777C7F27" w14:textId="77777777" w:rsidR="0046798B" w:rsidRDefault="0046798B">
            <w:pPr>
              <w:pStyle w:val="TableParagraph"/>
              <w:spacing w:before="9"/>
              <w:rPr>
                <w:sz w:val="19"/>
              </w:rPr>
            </w:pPr>
          </w:p>
          <w:p w14:paraId="7E26FF1D" w14:textId="77777777" w:rsidR="0046798B" w:rsidRDefault="00903B5C">
            <w:pPr>
              <w:pStyle w:val="TableParagraph"/>
              <w:ind w:left="115"/>
              <w:rPr>
                <w:b/>
                <w:sz w:val="20"/>
              </w:rPr>
            </w:pPr>
            <w:r>
              <w:rPr>
                <w:b/>
                <w:sz w:val="20"/>
              </w:rPr>
              <w:t>ig_polf</w:t>
            </w:r>
          </w:p>
        </w:tc>
        <w:tc>
          <w:tcPr>
            <w:tcW w:w="1596" w:type="dxa"/>
          </w:tcPr>
          <w:p w14:paraId="3915F6CB" w14:textId="77777777" w:rsidR="0046798B" w:rsidRDefault="0046798B">
            <w:pPr>
              <w:pStyle w:val="TableParagraph"/>
            </w:pPr>
          </w:p>
          <w:p w14:paraId="1AA99BF2" w14:textId="77777777" w:rsidR="0046798B" w:rsidRDefault="00903B5C">
            <w:pPr>
              <w:pStyle w:val="TableParagraph"/>
              <w:spacing w:before="135"/>
              <w:ind w:left="114" w:right="268"/>
              <w:rPr>
                <w:sz w:val="20"/>
              </w:rPr>
            </w:pPr>
            <w:r>
              <w:rPr>
                <w:sz w:val="20"/>
              </w:rPr>
              <w:t>Police, fire, EMS, and corrections interest groups</w:t>
            </w:r>
          </w:p>
        </w:tc>
        <w:tc>
          <w:tcPr>
            <w:tcW w:w="1285" w:type="dxa"/>
          </w:tcPr>
          <w:p w14:paraId="77D0505A" w14:textId="77777777" w:rsidR="0046798B" w:rsidRDefault="0046798B">
            <w:pPr>
              <w:pStyle w:val="TableParagraph"/>
            </w:pPr>
          </w:p>
          <w:p w14:paraId="0DA78ACE" w14:textId="77777777" w:rsidR="0046798B" w:rsidRDefault="0046798B">
            <w:pPr>
              <w:pStyle w:val="TableParagraph"/>
              <w:spacing w:before="8"/>
              <w:rPr>
                <w:sz w:val="21"/>
              </w:rPr>
            </w:pPr>
          </w:p>
          <w:p w14:paraId="6F84A8EC" w14:textId="77777777" w:rsidR="0046798B" w:rsidRDefault="00903B5C">
            <w:pPr>
              <w:pStyle w:val="TableParagraph"/>
              <w:spacing w:before="1"/>
              <w:ind w:left="114"/>
              <w:rPr>
                <w:sz w:val="20"/>
              </w:rPr>
            </w:pPr>
            <w:r>
              <w:rPr>
                <w:sz w:val="20"/>
              </w:rPr>
              <w:t>1980, 1990,</w:t>
            </w:r>
          </w:p>
          <w:p w14:paraId="4F514664" w14:textId="77777777" w:rsidR="0046798B" w:rsidRDefault="00903B5C">
            <w:pPr>
              <w:pStyle w:val="TableParagraph"/>
              <w:ind w:left="114"/>
              <w:rPr>
                <w:sz w:val="20"/>
              </w:rPr>
            </w:pPr>
            <w:r>
              <w:rPr>
                <w:sz w:val="20"/>
              </w:rPr>
              <w:t>1997, 1998,</w:t>
            </w:r>
          </w:p>
          <w:p w14:paraId="7C065074" w14:textId="77777777" w:rsidR="0046798B" w:rsidRDefault="00903B5C">
            <w:pPr>
              <w:pStyle w:val="TableParagraph"/>
              <w:ind w:left="114"/>
              <w:rPr>
                <w:sz w:val="20"/>
              </w:rPr>
            </w:pPr>
            <w:r>
              <w:rPr>
                <w:sz w:val="20"/>
              </w:rPr>
              <w:t>1999, 2007</w:t>
            </w:r>
          </w:p>
        </w:tc>
        <w:tc>
          <w:tcPr>
            <w:tcW w:w="3421" w:type="dxa"/>
          </w:tcPr>
          <w:p w14:paraId="19496216" w14:textId="77777777" w:rsidR="0046798B" w:rsidRDefault="00903B5C">
            <w:pPr>
              <w:pStyle w:val="TableParagraph"/>
              <w:spacing w:before="158"/>
              <w:ind w:left="114" w:right="111"/>
              <w:rPr>
                <w:sz w:val="20"/>
              </w:rPr>
            </w:pPr>
            <w:r>
              <w:rPr>
                <w:sz w:val="20"/>
              </w:rPr>
              <w:t>Number of police, fire, EMS, and corrections interest groups registered in the state. Includes groups such as: fire departments, volunteer fire, EMS, correction workers, private security, bail agents</w:t>
            </w:r>
          </w:p>
        </w:tc>
        <w:tc>
          <w:tcPr>
            <w:tcW w:w="6482" w:type="dxa"/>
          </w:tcPr>
          <w:p w14:paraId="2F44A7DB" w14:textId="77777777" w:rsidR="0046798B" w:rsidRDefault="00903B5C">
            <w:pPr>
              <w:pStyle w:val="TableParagraph"/>
              <w:spacing w:before="43"/>
              <w:ind w:left="114" w:right="217"/>
              <w:rPr>
                <w:sz w:val="20"/>
              </w:rPr>
            </w:pPr>
            <w:r>
              <w:rPr>
                <w:sz w:val="20"/>
              </w:rPr>
              <w:t xml:space="preserve">Gray, Virginia, and David Lowery. “Interest Group Politics and Economic Growth in the U.S. States.” </w:t>
            </w:r>
            <w:r>
              <w:rPr>
                <w:i/>
                <w:sz w:val="20"/>
              </w:rPr>
              <w:t xml:space="preserve">The American Political Science Review </w:t>
            </w:r>
            <w:r>
              <w:rPr>
                <w:sz w:val="20"/>
              </w:rPr>
              <w:t>82.1 (1988): 109–131.</w:t>
            </w:r>
          </w:p>
          <w:p w14:paraId="77E8496F" w14:textId="77777777" w:rsidR="0046798B" w:rsidRDefault="0046798B">
            <w:pPr>
              <w:pStyle w:val="TableParagraph"/>
              <w:rPr>
                <w:sz w:val="20"/>
              </w:rPr>
            </w:pPr>
          </w:p>
          <w:p w14:paraId="25560F1A" w14:textId="77777777" w:rsidR="0046798B" w:rsidRDefault="00903B5C">
            <w:pPr>
              <w:pStyle w:val="TableParagraph"/>
              <w:spacing w:before="1"/>
              <w:ind w:left="114" w:right="155"/>
              <w:jc w:val="both"/>
              <w:rPr>
                <w:sz w:val="20"/>
              </w:rPr>
            </w:pPr>
            <w:r>
              <w:rPr>
                <w:sz w:val="20"/>
              </w:rPr>
              <w:t xml:space="preserve">Lowery, David, Virginia Gray, and John Cluverius. “Temporal Change in the Density of State Interest Communities 1980 to 2007.” </w:t>
            </w:r>
            <w:r>
              <w:rPr>
                <w:i/>
                <w:sz w:val="20"/>
              </w:rPr>
              <w:t xml:space="preserve">State Politics &amp; Policy Quarterly </w:t>
            </w:r>
            <w:r>
              <w:rPr>
                <w:sz w:val="20"/>
              </w:rPr>
              <w:t>15.2 (2015): 263–286.</w:t>
            </w:r>
          </w:p>
        </w:tc>
      </w:tr>
      <w:tr w:rsidR="0046798B" w14:paraId="0F93E8D4" w14:textId="77777777">
        <w:trPr>
          <w:trHeight w:val="1700"/>
        </w:trPr>
        <w:tc>
          <w:tcPr>
            <w:tcW w:w="1711" w:type="dxa"/>
          </w:tcPr>
          <w:p w14:paraId="74B94862" w14:textId="77777777" w:rsidR="0046798B" w:rsidRDefault="0046798B">
            <w:pPr>
              <w:pStyle w:val="TableParagraph"/>
            </w:pPr>
          </w:p>
          <w:p w14:paraId="031AC108" w14:textId="77777777" w:rsidR="0046798B" w:rsidRDefault="0046798B">
            <w:pPr>
              <w:pStyle w:val="TableParagraph"/>
            </w:pPr>
          </w:p>
          <w:p w14:paraId="346BF2E6" w14:textId="77777777" w:rsidR="0046798B" w:rsidRDefault="0046798B">
            <w:pPr>
              <w:pStyle w:val="TableParagraph"/>
              <w:spacing w:before="9"/>
              <w:rPr>
                <w:sz w:val="19"/>
              </w:rPr>
            </w:pPr>
          </w:p>
          <w:p w14:paraId="2C5234BB" w14:textId="77777777" w:rsidR="0046798B" w:rsidRDefault="00903B5C">
            <w:pPr>
              <w:pStyle w:val="TableParagraph"/>
              <w:ind w:left="115"/>
              <w:rPr>
                <w:b/>
                <w:sz w:val="20"/>
              </w:rPr>
            </w:pPr>
            <w:r>
              <w:rPr>
                <w:b/>
                <w:sz w:val="20"/>
              </w:rPr>
              <w:t>ig_sport</w:t>
            </w:r>
          </w:p>
        </w:tc>
        <w:tc>
          <w:tcPr>
            <w:tcW w:w="1596" w:type="dxa"/>
          </w:tcPr>
          <w:p w14:paraId="68BDA5E0" w14:textId="77777777" w:rsidR="0046798B" w:rsidRDefault="0046798B">
            <w:pPr>
              <w:pStyle w:val="TableParagraph"/>
            </w:pPr>
          </w:p>
          <w:p w14:paraId="4E916834" w14:textId="77777777" w:rsidR="0046798B" w:rsidRDefault="00903B5C">
            <w:pPr>
              <w:pStyle w:val="TableParagraph"/>
              <w:spacing w:before="135"/>
              <w:ind w:left="114" w:right="157"/>
              <w:rPr>
                <w:sz w:val="20"/>
              </w:rPr>
            </w:pPr>
            <w:r>
              <w:rPr>
                <w:sz w:val="20"/>
              </w:rPr>
              <w:t>Sports, amusement parks, and clubs interest groups</w:t>
            </w:r>
          </w:p>
        </w:tc>
        <w:tc>
          <w:tcPr>
            <w:tcW w:w="1285" w:type="dxa"/>
          </w:tcPr>
          <w:p w14:paraId="3B5766F6" w14:textId="77777777" w:rsidR="0046798B" w:rsidRDefault="0046798B">
            <w:pPr>
              <w:pStyle w:val="TableParagraph"/>
            </w:pPr>
          </w:p>
          <w:p w14:paraId="2315BD91" w14:textId="77777777" w:rsidR="0046798B" w:rsidRDefault="0046798B">
            <w:pPr>
              <w:pStyle w:val="TableParagraph"/>
              <w:spacing w:before="9"/>
              <w:rPr>
                <w:sz w:val="21"/>
              </w:rPr>
            </w:pPr>
          </w:p>
          <w:p w14:paraId="1416211F" w14:textId="77777777" w:rsidR="0046798B" w:rsidRDefault="00903B5C">
            <w:pPr>
              <w:pStyle w:val="TableParagraph"/>
              <w:ind w:left="114"/>
              <w:rPr>
                <w:sz w:val="20"/>
              </w:rPr>
            </w:pPr>
            <w:r>
              <w:rPr>
                <w:sz w:val="20"/>
              </w:rPr>
              <w:t>1980, 1990,</w:t>
            </w:r>
          </w:p>
          <w:p w14:paraId="300153A4" w14:textId="77777777" w:rsidR="0046798B" w:rsidRDefault="00903B5C">
            <w:pPr>
              <w:pStyle w:val="TableParagraph"/>
              <w:ind w:left="114"/>
              <w:rPr>
                <w:sz w:val="20"/>
              </w:rPr>
            </w:pPr>
            <w:r>
              <w:rPr>
                <w:sz w:val="20"/>
              </w:rPr>
              <w:t>1997, 1998,</w:t>
            </w:r>
          </w:p>
          <w:p w14:paraId="3DF288F4" w14:textId="77777777" w:rsidR="0046798B" w:rsidRDefault="00903B5C">
            <w:pPr>
              <w:pStyle w:val="TableParagraph"/>
              <w:ind w:left="114"/>
              <w:rPr>
                <w:sz w:val="20"/>
              </w:rPr>
            </w:pPr>
            <w:r>
              <w:rPr>
                <w:sz w:val="20"/>
              </w:rPr>
              <w:t>1999, 2007</w:t>
            </w:r>
          </w:p>
        </w:tc>
        <w:tc>
          <w:tcPr>
            <w:tcW w:w="3421" w:type="dxa"/>
          </w:tcPr>
          <w:p w14:paraId="1C7CD255" w14:textId="77777777" w:rsidR="0046798B" w:rsidRDefault="0046798B">
            <w:pPr>
              <w:pStyle w:val="TableParagraph"/>
              <w:spacing w:before="9"/>
              <w:rPr>
                <w:sz w:val="23"/>
              </w:rPr>
            </w:pPr>
          </w:p>
          <w:p w14:paraId="7B9DCA9C" w14:textId="77777777" w:rsidR="0046798B" w:rsidRDefault="00903B5C">
            <w:pPr>
              <w:pStyle w:val="TableParagraph"/>
              <w:ind w:left="114" w:right="172"/>
              <w:rPr>
                <w:sz w:val="20"/>
              </w:rPr>
            </w:pPr>
            <w:r>
              <w:rPr>
                <w:sz w:val="20"/>
              </w:rPr>
              <w:t>Number of sports and amusement park interest groups registered in the state. Includes groups such as: attractions, auto clubs, gun groups, sports teams, stadiums, hunting</w:t>
            </w:r>
          </w:p>
        </w:tc>
        <w:tc>
          <w:tcPr>
            <w:tcW w:w="6482" w:type="dxa"/>
          </w:tcPr>
          <w:p w14:paraId="6F72CAAA" w14:textId="77777777" w:rsidR="0046798B" w:rsidRDefault="00903B5C">
            <w:pPr>
              <w:pStyle w:val="TableParagraph"/>
              <w:spacing w:before="43"/>
              <w:ind w:left="114" w:right="217"/>
              <w:rPr>
                <w:sz w:val="20"/>
              </w:rPr>
            </w:pPr>
            <w:r>
              <w:rPr>
                <w:sz w:val="20"/>
              </w:rPr>
              <w:t xml:space="preserve">Gray, Virginia, and David Lowery. “Interest Group Politics and Economic Growth in the U.S. States.” </w:t>
            </w:r>
            <w:r>
              <w:rPr>
                <w:i/>
                <w:sz w:val="20"/>
              </w:rPr>
              <w:t xml:space="preserve">The American Political Science Review </w:t>
            </w:r>
            <w:r>
              <w:rPr>
                <w:sz w:val="20"/>
              </w:rPr>
              <w:t>82.1 (1988): 109–131.</w:t>
            </w:r>
          </w:p>
          <w:p w14:paraId="21D5CFAD" w14:textId="77777777" w:rsidR="0046798B" w:rsidRDefault="0046798B">
            <w:pPr>
              <w:pStyle w:val="TableParagraph"/>
              <w:rPr>
                <w:sz w:val="20"/>
              </w:rPr>
            </w:pPr>
          </w:p>
          <w:p w14:paraId="228CD353" w14:textId="77777777" w:rsidR="0046798B" w:rsidRDefault="00903B5C">
            <w:pPr>
              <w:pStyle w:val="TableParagraph"/>
              <w:ind w:left="114" w:right="155"/>
              <w:jc w:val="both"/>
              <w:rPr>
                <w:sz w:val="20"/>
              </w:rPr>
            </w:pPr>
            <w:r>
              <w:rPr>
                <w:sz w:val="20"/>
              </w:rPr>
              <w:t xml:space="preserve">Lowery, David, Virginia Gray, and John Cluverius. “Temporal Change in the Density of State Interest Communities 1980 to 2007.” </w:t>
            </w:r>
            <w:r>
              <w:rPr>
                <w:i/>
                <w:sz w:val="20"/>
              </w:rPr>
              <w:t xml:space="preserve">State Politics &amp; Policy Quarterly </w:t>
            </w:r>
            <w:r>
              <w:rPr>
                <w:sz w:val="20"/>
              </w:rPr>
              <w:t>15.2 (2015): 263–286.</w:t>
            </w:r>
          </w:p>
        </w:tc>
      </w:tr>
      <w:tr w:rsidR="0046798B" w14:paraId="3488B661" w14:textId="77777777">
        <w:trPr>
          <w:trHeight w:val="1695"/>
        </w:trPr>
        <w:tc>
          <w:tcPr>
            <w:tcW w:w="1711" w:type="dxa"/>
          </w:tcPr>
          <w:p w14:paraId="3857C00B" w14:textId="77777777" w:rsidR="0046798B" w:rsidRDefault="0046798B">
            <w:pPr>
              <w:pStyle w:val="TableParagraph"/>
            </w:pPr>
          </w:p>
          <w:p w14:paraId="196F3439" w14:textId="77777777" w:rsidR="0046798B" w:rsidRDefault="0046798B">
            <w:pPr>
              <w:pStyle w:val="TableParagraph"/>
            </w:pPr>
          </w:p>
          <w:p w14:paraId="5A333A75" w14:textId="77777777" w:rsidR="0046798B" w:rsidRDefault="0046798B">
            <w:pPr>
              <w:pStyle w:val="TableParagraph"/>
              <w:spacing w:before="3"/>
              <w:rPr>
                <w:sz w:val="19"/>
              </w:rPr>
            </w:pPr>
          </w:p>
          <w:p w14:paraId="7A568CD7" w14:textId="77777777" w:rsidR="0046798B" w:rsidRDefault="00903B5C">
            <w:pPr>
              <w:pStyle w:val="TableParagraph"/>
              <w:spacing w:before="1"/>
              <w:ind w:left="115"/>
              <w:rPr>
                <w:b/>
                <w:sz w:val="20"/>
              </w:rPr>
            </w:pPr>
            <w:r>
              <w:rPr>
                <w:b/>
                <w:sz w:val="20"/>
              </w:rPr>
              <w:t>ig_sofb</w:t>
            </w:r>
          </w:p>
        </w:tc>
        <w:tc>
          <w:tcPr>
            <w:tcW w:w="1596" w:type="dxa"/>
          </w:tcPr>
          <w:p w14:paraId="65661B59" w14:textId="77777777" w:rsidR="0046798B" w:rsidRDefault="0046798B">
            <w:pPr>
              <w:pStyle w:val="TableParagraph"/>
            </w:pPr>
          </w:p>
          <w:p w14:paraId="1934204B" w14:textId="77777777" w:rsidR="0046798B" w:rsidRDefault="0046798B">
            <w:pPr>
              <w:pStyle w:val="TableParagraph"/>
              <w:spacing w:before="3"/>
              <w:rPr>
                <w:sz w:val="21"/>
              </w:rPr>
            </w:pPr>
          </w:p>
          <w:p w14:paraId="7FC7937E" w14:textId="77777777" w:rsidR="0046798B" w:rsidRDefault="00903B5C">
            <w:pPr>
              <w:pStyle w:val="TableParagraph"/>
              <w:spacing w:before="1"/>
              <w:ind w:left="114" w:right="268"/>
              <w:rPr>
                <w:sz w:val="20"/>
              </w:rPr>
            </w:pPr>
            <w:r>
              <w:rPr>
                <w:sz w:val="20"/>
              </w:rPr>
              <w:t>Service and other firms interest groups</w:t>
            </w:r>
          </w:p>
        </w:tc>
        <w:tc>
          <w:tcPr>
            <w:tcW w:w="1285" w:type="dxa"/>
          </w:tcPr>
          <w:p w14:paraId="26723619" w14:textId="77777777" w:rsidR="0046798B" w:rsidRDefault="0046798B">
            <w:pPr>
              <w:pStyle w:val="TableParagraph"/>
            </w:pPr>
          </w:p>
          <w:p w14:paraId="06921129" w14:textId="77777777" w:rsidR="0046798B" w:rsidRDefault="0046798B">
            <w:pPr>
              <w:pStyle w:val="TableParagraph"/>
              <w:spacing w:before="3"/>
              <w:rPr>
                <w:sz w:val="21"/>
              </w:rPr>
            </w:pPr>
          </w:p>
          <w:p w14:paraId="2CA90E97" w14:textId="77777777" w:rsidR="0046798B" w:rsidRDefault="00903B5C">
            <w:pPr>
              <w:pStyle w:val="TableParagraph"/>
              <w:spacing w:before="1"/>
              <w:ind w:left="114"/>
              <w:rPr>
                <w:sz w:val="20"/>
              </w:rPr>
            </w:pPr>
            <w:r>
              <w:rPr>
                <w:sz w:val="20"/>
              </w:rPr>
              <w:t>1980, 1990,</w:t>
            </w:r>
          </w:p>
          <w:p w14:paraId="6CA16F46" w14:textId="77777777" w:rsidR="0046798B" w:rsidRDefault="00903B5C">
            <w:pPr>
              <w:pStyle w:val="TableParagraph"/>
              <w:ind w:left="114"/>
              <w:rPr>
                <w:sz w:val="20"/>
              </w:rPr>
            </w:pPr>
            <w:r>
              <w:rPr>
                <w:sz w:val="20"/>
              </w:rPr>
              <w:t>1997, 1998,</w:t>
            </w:r>
          </w:p>
          <w:p w14:paraId="0836C805" w14:textId="77777777" w:rsidR="0046798B" w:rsidRDefault="00903B5C">
            <w:pPr>
              <w:pStyle w:val="TableParagraph"/>
              <w:ind w:left="114"/>
              <w:rPr>
                <w:sz w:val="20"/>
              </w:rPr>
            </w:pPr>
            <w:r>
              <w:rPr>
                <w:sz w:val="20"/>
              </w:rPr>
              <w:t>1999, 2007</w:t>
            </w:r>
          </w:p>
        </w:tc>
        <w:tc>
          <w:tcPr>
            <w:tcW w:w="3421" w:type="dxa"/>
          </w:tcPr>
          <w:p w14:paraId="38A41766" w14:textId="77777777" w:rsidR="0046798B" w:rsidRDefault="0046798B">
            <w:pPr>
              <w:pStyle w:val="TableParagraph"/>
              <w:spacing w:before="3"/>
              <w:rPr>
                <w:sz w:val="23"/>
              </w:rPr>
            </w:pPr>
          </w:p>
          <w:p w14:paraId="0A2264A6" w14:textId="77777777" w:rsidR="0046798B" w:rsidRDefault="00903B5C">
            <w:pPr>
              <w:pStyle w:val="TableParagraph"/>
              <w:spacing w:before="1"/>
              <w:ind w:left="114" w:right="200"/>
              <w:rPr>
                <w:sz w:val="20"/>
              </w:rPr>
            </w:pPr>
            <w:r>
              <w:rPr>
                <w:sz w:val="20"/>
              </w:rPr>
              <w:t>Number of business service interest groups registered in the state. Includes groups such as: payroll, public relations, consulting, advertising, architects, temp agencies</w:t>
            </w:r>
          </w:p>
        </w:tc>
        <w:tc>
          <w:tcPr>
            <w:tcW w:w="6482" w:type="dxa"/>
          </w:tcPr>
          <w:p w14:paraId="647BD772" w14:textId="77777777" w:rsidR="0046798B" w:rsidRDefault="00903B5C">
            <w:pPr>
              <w:pStyle w:val="TableParagraph"/>
              <w:spacing w:before="38"/>
              <w:ind w:left="114" w:right="217"/>
              <w:rPr>
                <w:sz w:val="20"/>
              </w:rPr>
            </w:pPr>
            <w:r>
              <w:rPr>
                <w:sz w:val="20"/>
              </w:rPr>
              <w:t xml:space="preserve">Gray, Virginia, and David Lowery. “Interest Group Politics and Economic Growth in the U.S. States.” </w:t>
            </w:r>
            <w:r>
              <w:rPr>
                <w:i/>
                <w:sz w:val="20"/>
              </w:rPr>
              <w:t xml:space="preserve">The American Political Science Review </w:t>
            </w:r>
            <w:r>
              <w:rPr>
                <w:sz w:val="20"/>
              </w:rPr>
              <w:t>82.1 (1988): 109–131.</w:t>
            </w:r>
          </w:p>
          <w:p w14:paraId="7E051185" w14:textId="77777777" w:rsidR="0046798B" w:rsidRDefault="0046798B">
            <w:pPr>
              <w:pStyle w:val="TableParagraph"/>
              <w:rPr>
                <w:sz w:val="20"/>
              </w:rPr>
            </w:pPr>
          </w:p>
          <w:p w14:paraId="237E04BE" w14:textId="77777777" w:rsidR="0046798B" w:rsidRDefault="00903B5C">
            <w:pPr>
              <w:pStyle w:val="TableParagraph"/>
              <w:spacing w:before="1"/>
              <w:ind w:left="114" w:right="155"/>
              <w:jc w:val="both"/>
              <w:rPr>
                <w:sz w:val="20"/>
              </w:rPr>
            </w:pPr>
            <w:r>
              <w:rPr>
                <w:sz w:val="20"/>
              </w:rPr>
              <w:t xml:space="preserve">Lowery, David, Virginia Gray, and John Cluverius. “Temporal Change in the Density of State Interest Communities 1980 to 2007.” </w:t>
            </w:r>
            <w:r>
              <w:rPr>
                <w:i/>
                <w:sz w:val="20"/>
              </w:rPr>
              <w:t xml:space="preserve">State Politics &amp; Policy Quarterly </w:t>
            </w:r>
            <w:r>
              <w:rPr>
                <w:sz w:val="20"/>
              </w:rPr>
              <w:t>15.2 (2015): 263–286.</w:t>
            </w:r>
          </w:p>
        </w:tc>
      </w:tr>
      <w:tr w:rsidR="0046798B" w14:paraId="3354D3F7" w14:textId="77777777">
        <w:trPr>
          <w:trHeight w:val="1695"/>
        </w:trPr>
        <w:tc>
          <w:tcPr>
            <w:tcW w:w="1711" w:type="dxa"/>
          </w:tcPr>
          <w:p w14:paraId="7BC97A68" w14:textId="77777777" w:rsidR="0046798B" w:rsidRDefault="0046798B">
            <w:pPr>
              <w:pStyle w:val="TableParagraph"/>
            </w:pPr>
          </w:p>
          <w:p w14:paraId="7B69D972" w14:textId="77777777" w:rsidR="0046798B" w:rsidRDefault="0046798B">
            <w:pPr>
              <w:pStyle w:val="TableParagraph"/>
            </w:pPr>
          </w:p>
          <w:p w14:paraId="26C7D962" w14:textId="77777777" w:rsidR="0046798B" w:rsidRDefault="0046798B">
            <w:pPr>
              <w:pStyle w:val="TableParagraph"/>
              <w:spacing w:before="4"/>
              <w:rPr>
                <w:sz w:val="19"/>
              </w:rPr>
            </w:pPr>
          </w:p>
          <w:p w14:paraId="5BEB5EE4" w14:textId="77777777" w:rsidR="0046798B" w:rsidRDefault="00903B5C">
            <w:pPr>
              <w:pStyle w:val="TableParagraph"/>
              <w:ind w:left="115"/>
              <w:rPr>
                <w:b/>
                <w:sz w:val="20"/>
              </w:rPr>
            </w:pPr>
            <w:r>
              <w:rPr>
                <w:b/>
                <w:sz w:val="20"/>
              </w:rPr>
              <w:t>ig_mil</w:t>
            </w:r>
          </w:p>
        </w:tc>
        <w:tc>
          <w:tcPr>
            <w:tcW w:w="1596" w:type="dxa"/>
          </w:tcPr>
          <w:p w14:paraId="6FA425F2" w14:textId="77777777" w:rsidR="0046798B" w:rsidRDefault="0046798B">
            <w:pPr>
              <w:pStyle w:val="TableParagraph"/>
            </w:pPr>
          </w:p>
          <w:p w14:paraId="07509BF2" w14:textId="77777777" w:rsidR="0046798B" w:rsidRDefault="0046798B">
            <w:pPr>
              <w:pStyle w:val="TableParagraph"/>
              <w:spacing w:before="4"/>
              <w:rPr>
                <w:sz w:val="21"/>
              </w:rPr>
            </w:pPr>
          </w:p>
          <w:p w14:paraId="3A7B3D19" w14:textId="77777777" w:rsidR="0046798B" w:rsidRDefault="00903B5C">
            <w:pPr>
              <w:pStyle w:val="TableParagraph"/>
              <w:ind w:left="114" w:right="147"/>
              <w:rPr>
                <w:sz w:val="20"/>
              </w:rPr>
            </w:pPr>
            <w:r>
              <w:rPr>
                <w:sz w:val="20"/>
              </w:rPr>
              <w:t>Military and veterans interest groups</w:t>
            </w:r>
          </w:p>
        </w:tc>
        <w:tc>
          <w:tcPr>
            <w:tcW w:w="1285" w:type="dxa"/>
          </w:tcPr>
          <w:p w14:paraId="24E3CC0A" w14:textId="77777777" w:rsidR="0046798B" w:rsidRDefault="0046798B">
            <w:pPr>
              <w:pStyle w:val="TableParagraph"/>
            </w:pPr>
          </w:p>
          <w:p w14:paraId="52175AF2" w14:textId="77777777" w:rsidR="0046798B" w:rsidRDefault="0046798B">
            <w:pPr>
              <w:pStyle w:val="TableParagraph"/>
              <w:spacing w:before="4"/>
              <w:rPr>
                <w:sz w:val="21"/>
              </w:rPr>
            </w:pPr>
          </w:p>
          <w:p w14:paraId="6508E269" w14:textId="77777777" w:rsidR="0046798B" w:rsidRDefault="00903B5C">
            <w:pPr>
              <w:pStyle w:val="TableParagraph"/>
              <w:ind w:left="114"/>
              <w:rPr>
                <w:sz w:val="20"/>
              </w:rPr>
            </w:pPr>
            <w:r>
              <w:rPr>
                <w:sz w:val="20"/>
              </w:rPr>
              <w:t>1980, 1990,</w:t>
            </w:r>
          </w:p>
          <w:p w14:paraId="20E2B096" w14:textId="77777777" w:rsidR="0046798B" w:rsidRDefault="00903B5C">
            <w:pPr>
              <w:pStyle w:val="TableParagraph"/>
              <w:ind w:left="114"/>
              <w:rPr>
                <w:sz w:val="20"/>
              </w:rPr>
            </w:pPr>
            <w:r>
              <w:rPr>
                <w:sz w:val="20"/>
              </w:rPr>
              <w:t>1997, 1998,</w:t>
            </w:r>
          </w:p>
          <w:p w14:paraId="339D272F" w14:textId="77777777" w:rsidR="0046798B" w:rsidRDefault="00903B5C">
            <w:pPr>
              <w:pStyle w:val="TableParagraph"/>
              <w:ind w:left="114"/>
              <w:rPr>
                <w:sz w:val="20"/>
              </w:rPr>
            </w:pPr>
            <w:r>
              <w:rPr>
                <w:sz w:val="20"/>
              </w:rPr>
              <w:t>1999, 2007</w:t>
            </w:r>
          </w:p>
        </w:tc>
        <w:tc>
          <w:tcPr>
            <w:tcW w:w="3421" w:type="dxa"/>
          </w:tcPr>
          <w:p w14:paraId="2EF514DC" w14:textId="77777777" w:rsidR="0046798B" w:rsidRDefault="0046798B">
            <w:pPr>
              <w:pStyle w:val="TableParagraph"/>
              <w:spacing w:before="3"/>
              <w:rPr>
                <w:sz w:val="23"/>
              </w:rPr>
            </w:pPr>
          </w:p>
          <w:p w14:paraId="0B2E0D26" w14:textId="77777777" w:rsidR="0046798B" w:rsidRDefault="00903B5C">
            <w:pPr>
              <w:pStyle w:val="TableParagraph"/>
              <w:spacing w:before="1"/>
              <w:ind w:left="114" w:right="134"/>
              <w:rPr>
                <w:sz w:val="20"/>
              </w:rPr>
            </w:pPr>
            <w:r>
              <w:rPr>
                <w:sz w:val="20"/>
              </w:rPr>
              <w:t xml:space="preserve">Number of military and veterans interest groups registered in the state. Includes groups such as: national guard, veterans’ groups, legions, </w:t>
            </w:r>
            <w:r>
              <w:rPr>
                <w:spacing w:val="-4"/>
                <w:sz w:val="20"/>
              </w:rPr>
              <w:t xml:space="preserve">VFW, </w:t>
            </w:r>
            <w:r>
              <w:rPr>
                <w:sz w:val="20"/>
              </w:rPr>
              <w:t>reservists</w:t>
            </w:r>
          </w:p>
        </w:tc>
        <w:tc>
          <w:tcPr>
            <w:tcW w:w="6482" w:type="dxa"/>
          </w:tcPr>
          <w:p w14:paraId="00BB1A63" w14:textId="77777777" w:rsidR="0046798B" w:rsidRDefault="00903B5C">
            <w:pPr>
              <w:pStyle w:val="TableParagraph"/>
              <w:spacing w:before="38"/>
              <w:ind w:left="114" w:right="217"/>
              <w:rPr>
                <w:sz w:val="20"/>
              </w:rPr>
            </w:pPr>
            <w:r>
              <w:rPr>
                <w:sz w:val="20"/>
              </w:rPr>
              <w:t xml:space="preserve">Gray, Virginia, and David Lowery. “Interest Group Politics and Economic Growth in the U.S. States.” </w:t>
            </w:r>
            <w:r>
              <w:rPr>
                <w:i/>
                <w:sz w:val="20"/>
              </w:rPr>
              <w:t xml:space="preserve">The American Political Science Review </w:t>
            </w:r>
            <w:r>
              <w:rPr>
                <w:sz w:val="20"/>
              </w:rPr>
              <w:t>82.1 (1988): 109–131.</w:t>
            </w:r>
          </w:p>
          <w:p w14:paraId="24F0088E" w14:textId="77777777" w:rsidR="0046798B" w:rsidRDefault="0046798B">
            <w:pPr>
              <w:pStyle w:val="TableParagraph"/>
              <w:rPr>
                <w:sz w:val="20"/>
              </w:rPr>
            </w:pPr>
          </w:p>
          <w:p w14:paraId="2784F918" w14:textId="77777777" w:rsidR="0046798B" w:rsidRDefault="00903B5C">
            <w:pPr>
              <w:pStyle w:val="TableParagraph"/>
              <w:ind w:left="114" w:right="151"/>
              <w:jc w:val="both"/>
              <w:rPr>
                <w:sz w:val="20"/>
              </w:rPr>
            </w:pPr>
            <w:r>
              <w:rPr>
                <w:sz w:val="20"/>
              </w:rPr>
              <w:t xml:space="preserve">Lowery, David, Virginia Gray, and John Cluverius. “Temporal Change in the Density of State Interest Communities 1980 to 2007.” </w:t>
            </w:r>
            <w:r>
              <w:rPr>
                <w:i/>
                <w:sz w:val="20"/>
              </w:rPr>
              <w:t xml:space="preserve">State Politics &amp; Policy Quarterly </w:t>
            </w:r>
            <w:r>
              <w:rPr>
                <w:sz w:val="20"/>
              </w:rPr>
              <w:t>15.2 (2015): 263–286.</w:t>
            </w:r>
          </w:p>
        </w:tc>
      </w:tr>
      <w:tr w:rsidR="0046798B" w14:paraId="246C46D8" w14:textId="77777777">
        <w:trPr>
          <w:trHeight w:val="1695"/>
        </w:trPr>
        <w:tc>
          <w:tcPr>
            <w:tcW w:w="1711" w:type="dxa"/>
          </w:tcPr>
          <w:p w14:paraId="58547C70" w14:textId="77777777" w:rsidR="0046798B" w:rsidRDefault="0046798B">
            <w:pPr>
              <w:pStyle w:val="TableParagraph"/>
            </w:pPr>
          </w:p>
          <w:p w14:paraId="3C36C4BE" w14:textId="77777777" w:rsidR="0046798B" w:rsidRDefault="0046798B">
            <w:pPr>
              <w:pStyle w:val="TableParagraph"/>
            </w:pPr>
          </w:p>
          <w:p w14:paraId="1C268C56" w14:textId="77777777" w:rsidR="0046798B" w:rsidRDefault="0046798B">
            <w:pPr>
              <w:pStyle w:val="TableParagraph"/>
              <w:spacing w:before="4"/>
              <w:rPr>
                <w:sz w:val="19"/>
              </w:rPr>
            </w:pPr>
          </w:p>
          <w:p w14:paraId="0DE27485" w14:textId="77777777" w:rsidR="0046798B" w:rsidRDefault="00903B5C">
            <w:pPr>
              <w:pStyle w:val="TableParagraph"/>
              <w:ind w:left="115"/>
              <w:rPr>
                <w:b/>
                <w:sz w:val="20"/>
              </w:rPr>
            </w:pPr>
            <w:r>
              <w:rPr>
                <w:b/>
                <w:sz w:val="20"/>
              </w:rPr>
              <w:t>ig_unk</w:t>
            </w:r>
          </w:p>
        </w:tc>
        <w:tc>
          <w:tcPr>
            <w:tcW w:w="1596" w:type="dxa"/>
          </w:tcPr>
          <w:p w14:paraId="439CCB69" w14:textId="77777777" w:rsidR="0046798B" w:rsidRDefault="0046798B">
            <w:pPr>
              <w:pStyle w:val="TableParagraph"/>
            </w:pPr>
          </w:p>
          <w:p w14:paraId="713464B7" w14:textId="77777777" w:rsidR="0046798B" w:rsidRDefault="00903B5C">
            <w:pPr>
              <w:pStyle w:val="TableParagraph"/>
              <w:spacing w:before="130"/>
              <w:ind w:left="114" w:right="446"/>
              <w:rPr>
                <w:sz w:val="20"/>
              </w:rPr>
            </w:pPr>
            <w:r>
              <w:rPr>
                <w:sz w:val="20"/>
              </w:rPr>
              <w:t>Unknown category for state interest groups</w:t>
            </w:r>
          </w:p>
        </w:tc>
        <w:tc>
          <w:tcPr>
            <w:tcW w:w="1285" w:type="dxa"/>
          </w:tcPr>
          <w:p w14:paraId="0208BE10" w14:textId="77777777" w:rsidR="0046798B" w:rsidRDefault="0046798B">
            <w:pPr>
              <w:pStyle w:val="TableParagraph"/>
            </w:pPr>
          </w:p>
          <w:p w14:paraId="24702FC6" w14:textId="77777777" w:rsidR="0046798B" w:rsidRDefault="0046798B">
            <w:pPr>
              <w:pStyle w:val="TableParagraph"/>
              <w:spacing w:before="4"/>
              <w:rPr>
                <w:sz w:val="21"/>
              </w:rPr>
            </w:pPr>
          </w:p>
          <w:p w14:paraId="7EE58F1A" w14:textId="77777777" w:rsidR="0046798B" w:rsidRDefault="00903B5C">
            <w:pPr>
              <w:pStyle w:val="TableParagraph"/>
              <w:ind w:left="114"/>
              <w:rPr>
                <w:sz w:val="20"/>
              </w:rPr>
            </w:pPr>
            <w:r>
              <w:rPr>
                <w:sz w:val="20"/>
              </w:rPr>
              <w:t>1980, 1990,</w:t>
            </w:r>
          </w:p>
          <w:p w14:paraId="47AFD6ED" w14:textId="77777777" w:rsidR="0046798B" w:rsidRDefault="00903B5C">
            <w:pPr>
              <w:pStyle w:val="TableParagraph"/>
              <w:ind w:left="114"/>
              <w:rPr>
                <w:sz w:val="20"/>
              </w:rPr>
            </w:pPr>
            <w:r>
              <w:rPr>
                <w:sz w:val="20"/>
              </w:rPr>
              <w:t>1997, 1998,</w:t>
            </w:r>
          </w:p>
          <w:p w14:paraId="3FD50CF4" w14:textId="77777777" w:rsidR="0046798B" w:rsidRDefault="00903B5C">
            <w:pPr>
              <w:pStyle w:val="TableParagraph"/>
              <w:ind w:left="114"/>
              <w:rPr>
                <w:sz w:val="20"/>
              </w:rPr>
            </w:pPr>
            <w:r>
              <w:rPr>
                <w:sz w:val="20"/>
              </w:rPr>
              <w:t>1999, 2007</w:t>
            </w:r>
          </w:p>
        </w:tc>
        <w:tc>
          <w:tcPr>
            <w:tcW w:w="3421" w:type="dxa"/>
          </w:tcPr>
          <w:p w14:paraId="6B5EB1B9" w14:textId="77777777" w:rsidR="0046798B" w:rsidRDefault="0046798B">
            <w:pPr>
              <w:pStyle w:val="TableParagraph"/>
            </w:pPr>
          </w:p>
          <w:p w14:paraId="2AD4F22E" w14:textId="77777777" w:rsidR="0046798B" w:rsidRDefault="0046798B">
            <w:pPr>
              <w:pStyle w:val="TableParagraph"/>
              <w:spacing w:before="4"/>
              <w:rPr>
                <w:sz w:val="31"/>
              </w:rPr>
            </w:pPr>
          </w:p>
          <w:p w14:paraId="465B9ECF" w14:textId="77777777" w:rsidR="0046798B" w:rsidRDefault="00903B5C">
            <w:pPr>
              <w:pStyle w:val="TableParagraph"/>
              <w:ind w:left="114" w:right="572"/>
              <w:rPr>
                <w:sz w:val="20"/>
              </w:rPr>
            </w:pPr>
            <w:r>
              <w:rPr>
                <w:sz w:val="20"/>
              </w:rPr>
              <w:t>Number of state interest groups registered in “unknown” category</w:t>
            </w:r>
          </w:p>
        </w:tc>
        <w:tc>
          <w:tcPr>
            <w:tcW w:w="6482" w:type="dxa"/>
          </w:tcPr>
          <w:p w14:paraId="43E84BB5" w14:textId="77777777" w:rsidR="0046798B" w:rsidRDefault="00903B5C">
            <w:pPr>
              <w:pStyle w:val="TableParagraph"/>
              <w:spacing w:before="38"/>
              <w:ind w:left="114" w:right="217"/>
              <w:rPr>
                <w:sz w:val="20"/>
              </w:rPr>
            </w:pPr>
            <w:r>
              <w:rPr>
                <w:sz w:val="20"/>
              </w:rPr>
              <w:t xml:space="preserve">Gray, Virginia, and David Lowery. “Interest Group Politics and Economic Growth in the U.S. States.” </w:t>
            </w:r>
            <w:r>
              <w:rPr>
                <w:i/>
                <w:sz w:val="20"/>
              </w:rPr>
              <w:t xml:space="preserve">The American Political Science Review </w:t>
            </w:r>
            <w:r>
              <w:rPr>
                <w:sz w:val="20"/>
              </w:rPr>
              <w:t>82.1 (1988): 109–131.</w:t>
            </w:r>
          </w:p>
          <w:p w14:paraId="41AD36CB" w14:textId="77777777" w:rsidR="0046798B" w:rsidRDefault="0046798B">
            <w:pPr>
              <w:pStyle w:val="TableParagraph"/>
              <w:rPr>
                <w:sz w:val="20"/>
              </w:rPr>
            </w:pPr>
          </w:p>
          <w:p w14:paraId="2D1BF3FF" w14:textId="77777777" w:rsidR="0046798B" w:rsidRDefault="00903B5C">
            <w:pPr>
              <w:pStyle w:val="TableParagraph"/>
              <w:ind w:left="114" w:right="151"/>
              <w:jc w:val="both"/>
              <w:rPr>
                <w:sz w:val="20"/>
              </w:rPr>
            </w:pPr>
            <w:r>
              <w:rPr>
                <w:sz w:val="20"/>
              </w:rPr>
              <w:t xml:space="preserve">Lowery, David, Virginia Gray, and John Cluverius. “Temporal Change in the Density of State Interest Communities 1980 to 2007.” </w:t>
            </w:r>
            <w:r>
              <w:rPr>
                <w:i/>
                <w:sz w:val="20"/>
              </w:rPr>
              <w:t xml:space="preserve">State Politics &amp; Policy Quarterly </w:t>
            </w:r>
            <w:r>
              <w:rPr>
                <w:sz w:val="20"/>
              </w:rPr>
              <w:t>15.2 (2015): 263–286.</w:t>
            </w:r>
          </w:p>
        </w:tc>
      </w:tr>
    </w:tbl>
    <w:p w14:paraId="68E691B3" w14:textId="77777777" w:rsidR="0046798B" w:rsidRDefault="0046798B">
      <w:pPr>
        <w:jc w:val="both"/>
        <w:rPr>
          <w:sz w:val="20"/>
        </w:rPr>
        <w:sectPr w:rsidR="0046798B">
          <w:pgSz w:w="15840" w:h="12240" w:orient="landscape"/>
          <w:pgMar w:top="1220" w:right="300" w:bottom="980" w:left="820" w:header="730" w:footer="787" w:gutter="0"/>
          <w:cols w:space="720"/>
        </w:sectPr>
      </w:pPr>
    </w:p>
    <w:p w14:paraId="707079EF"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2312AB1" w14:textId="77777777">
        <w:trPr>
          <w:trHeight w:val="775"/>
        </w:trPr>
        <w:tc>
          <w:tcPr>
            <w:tcW w:w="1711" w:type="dxa"/>
          </w:tcPr>
          <w:p w14:paraId="2602B3F9" w14:textId="77777777" w:rsidR="0046798B" w:rsidRDefault="0046798B">
            <w:pPr>
              <w:pStyle w:val="TableParagraph"/>
              <w:spacing w:before="9"/>
              <w:rPr>
                <w:sz w:val="23"/>
              </w:rPr>
            </w:pPr>
          </w:p>
          <w:p w14:paraId="50BF0B88" w14:textId="77777777" w:rsidR="0046798B" w:rsidRDefault="00903B5C">
            <w:pPr>
              <w:pStyle w:val="TableParagraph"/>
              <w:ind w:left="115"/>
              <w:rPr>
                <w:b/>
                <w:sz w:val="20"/>
              </w:rPr>
            </w:pPr>
            <w:r>
              <w:rPr>
                <w:b/>
                <w:sz w:val="20"/>
              </w:rPr>
              <w:t>christright_inf</w:t>
            </w:r>
          </w:p>
        </w:tc>
        <w:tc>
          <w:tcPr>
            <w:tcW w:w="1596" w:type="dxa"/>
          </w:tcPr>
          <w:p w14:paraId="4C2A4376" w14:textId="77777777" w:rsidR="0046798B" w:rsidRDefault="00903B5C">
            <w:pPr>
              <w:pStyle w:val="TableParagraph"/>
              <w:spacing w:before="158"/>
              <w:ind w:left="114" w:right="224"/>
              <w:rPr>
                <w:sz w:val="20"/>
              </w:rPr>
            </w:pPr>
            <w:r>
              <w:rPr>
                <w:sz w:val="20"/>
              </w:rPr>
              <w:t>Christian Right influence</w:t>
            </w:r>
          </w:p>
        </w:tc>
        <w:tc>
          <w:tcPr>
            <w:tcW w:w="1285" w:type="dxa"/>
          </w:tcPr>
          <w:p w14:paraId="0C6AE4A8" w14:textId="77777777" w:rsidR="0046798B" w:rsidRDefault="0046798B">
            <w:pPr>
              <w:pStyle w:val="TableParagraph"/>
              <w:spacing w:before="9"/>
              <w:rPr>
                <w:sz w:val="23"/>
              </w:rPr>
            </w:pPr>
          </w:p>
          <w:p w14:paraId="7BD2ABE3" w14:textId="77777777" w:rsidR="0046798B" w:rsidRDefault="00903B5C">
            <w:pPr>
              <w:pStyle w:val="TableParagraph"/>
              <w:ind w:left="114"/>
              <w:rPr>
                <w:sz w:val="20"/>
              </w:rPr>
            </w:pPr>
            <w:r>
              <w:rPr>
                <w:sz w:val="20"/>
              </w:rPr>
              <w:t>2000, 2004</w:t>
            </w:r>
          </w:p>
        </w:tc>
        <w:tc>
          <w:tcPr>
            <w:tcW w:w="3421" w:type="dxa"/>
          </w:tcPr>
          <w:p w14:paraId="5C191FC5" w14:textId="77777777" w:rsidR="0046798B" w:rsidRDefault="00903B5C">
            <w:pPr>
              <w:pStyle w:val="TableParagraph"/>
              <w:spacing w:before="158"/>
              <w:ind w:left="114" w:right="633"/>
              <w:rPr>
                <w:sz w:val="20"/>
              </w:rPr>
            </w:pPr>
            <w:r>
              <w:rPr>
                <w:sz w:val="20"/>
              </w:rPr>
              <w:t>Index measuring the influence of Christian Right interest groups</w:t>
            </w:r>
          </w:p>
        </w:tc>
        <w:tc>
          <w:tcPr>
            <w:tcW w:w="6482" w:type="dxa"/>
          </w:tcPr>
          <w:p w14:paraId="4AE4AF98" w14:textId="77777777" w:rsidR="0046798B" w:rsidRDefault="00903B5C">
            <w:pPr>
              <w:pStyle w:val="TableParagraph"/>
              <w:spacing w:before="43"/>
              <w:ind w:left="114" w:right="122"/>
              <w:rPr>
                <w:sz w:val="20"/>
              </w:rPr>
            </w:pPr>
            <w:r>
              <w:rPr>
                <w:sz w:val="20"/>
              </w:rPr>
              <w:t xml:space="preserve">Conger, Kimberly H. “A Matter of Context: Christian Right Influence in U.S. State Republican Politics.” </w:t>
            </w:r>
            <w:r>
              <w:rPr>
                <w:i/>
                <w:sz w:val="20"/>
              </w:rPr>
              <w:t xml:space="preserve">State Politics &amp; Policy Quarterly </w:t>
            </w:r>
            <w:r>
              <w:rPr>
                <w:sz w:val="20"/>
              </w:rPr>
              <w:t>10.3 (2010): 248–269.</w:t>
            </w:r>
          </w:p>
        </w:tc>
      </w:tr>
      <w:tr w:rsidR="0046798B" w14:paraId="1C06137C" w14:textId="77777777">
        <w:trPr>
          <w:trHeight w:val="775"/>
        </w:trPr>
        <w:tc>
          <w:tcPr>
            <w:tcW w:w="1711" w:type="dxa"/>
          </w:tcPr>
          <w:p w14:paraId="733FA549" w14:textId="77777777" w:rsidR="0046798B" w:rsidRDefault="0046798B">
            <w:pPr>
              <w:pStyle w:val="TableParagraph"/>
              <w:spacing w:before="8"/>
              <w:rPr>
                <w:sz w:val="23"/>
              </w:rPr>
            </w:pPr>
          </w:p>
          <w:p w14:paraId="6BB4CB51" w14:textId="77777777" w:rsidR="0046798B" w:rsidRDefault="00903B5C">
            <w:pPr>
              <w:pStyle w:val="TableParagraph"/>
              <w:spacing w:before="1"/>
              <w:ind w:left="115"/>
              <w:rPr>
                <w:b/>
                <w:sz w:val="20"/>
              </w:rPr>
            </w:pPr>
            <w:r>
              <w:rPr>
                <w:b/>
                <w:sz w:val="20"/>
              </w:rPr>
              <w:t>union_density</w:t>
            </w:r>
          </w:p>
        </w:tc>
        <w:tc>
          <w:tcPr>
            <w:tcW w:w="1596" w:type="dxa"/>
          </w:tcPr>
          <w:p w14:paraId="11E8CE8D" w14:textId="77777777" w:rsidR="0046798B" w:rsidRDefault="0046798B">
            <w:pPr>
              <w:pStyle w:val="TableParagraph"/>
              <w:spacing w:before="8"/>
              <w:rPr>
                <w:sz w:val="23"/>
              </w:rPr>
            </w:pPr>
          </w:p>
          <w:p w14:paraId="2B48AEE5" w14:textId="77777777" w:rsidR="0046798B" w:rsidRDefault="00903B5C">
            <w:pPr>
              <w:pStyle w:val="TableParagraph"/>
              <w:spacing w:before="1"/>
              <w:ind w:left="114"/>
              <w:rPr>
                <w:sz w:val="20"/>
              </w:rPr>
            </w:pPr>
            <w:r>
              <w:rPr>
                <w:sz w:val="20"/>
              </w:rPr>
              <w:t>Union density</w:t>
            </w:r>
          </w:p>
        </w:tc>
        <w:tc>
          <w:tcPr>
            <w:tcW w:w="1285" w:type="dxa"/>
          </w:tcPr>
          <w:p w14:paraId="1E6A5F76" w14:textId="77777777" w:rsidR="0046798B" w:rsidRDefault="0046798B">
            <w:pPr>
              <w:pStyle w:val="TableParagraph"/>
              <w:spacing w:before="8"/>
              <w:rPr>
                <w:sz w:val="23"/>
              </w:rPr>
            </w:pPr>
          </w:p>
          <w:p w14:paraId="71DCE44B" w14:textId="77777777" w:rsidR="0046798B" w:rsidRDefault="00903B5C">
            <w:pPr>
              <w:pStyle w:val="TableParagraph"/>
              <w:spacing w:before="1"/>
              <w:ind w:left="114"/>
              <w:rPr>
                <w:sz w:val="20"/>
              </w:rPr>
            </w:pPr>
            <w:r>
              <w:rPr>
                <w:sz w:val="20"/>
              </w:rPr>
              <w:t>1974–2011</w:t>
            </w:r>
          </w:p>
        </w:tc>
        <w:tc>
          <w:tcPr>
            <w:tcW w:w="3421" w:type="dxa"/>
          </w:tcPr>
          <w:p w14:paraId="422EF474" w14:textId="77777777" w:rsidR="0046798B" w:rsidRDefault="00903B5C">
            <w:pPr>
              <w:pStyle w:val="TableParagraph"/>
              <w:spacing w:before="158"/>
              <w:ind w:left="114" w:right="589"/>
              <w:rPr>
                <w:sz w:val="20"/>
              </w:rPr>
            </w:pPr>
            <w:r>
              <w:rPr>
                <w:sz w:val="20"/>
              </w:rPr>
              <w:t>Proportion of (non-agricultural) workforce represented by a union</w:t>
            </w:r>
          </w:p>
        </w:tc>
        <w:tc>
          <w:tcPr>
            <w:tcW w:w="6482" w:type="dxa"/>
          </w:tcPr>
          <w:p w14:paraId="1E64CC80" w14:textId="77777777" w:rsidR="0046798B" w:rsidRDefault="00903B5C">
            <w:pPr>
              <w:pStyle w:val="TableParagraph"/>
              <w:spacing w:before="43"/>
              <w:ind w:left="114" w:right="405"/>
              <w:rPr>
                <w:sz w:val="20"/>
              </w:rPr>
            </w:pPr>
            <w:r>
              <w:rPr>
                <w:sz w:val="20"/>
              </w:rPr>
              <w:t xml:space="preserve">Kelly, Nathan J., and Christopher Witko. “Government Ideology and Unemployment in the U.S. States.” </w:t>
            </w:r>
            <w:r>
              <w:rPr>
                <w:i/>
                <w:sz w:val="20"/>
              </w:rPr>
              <w:t xml:space="preserve">State Politics &amp; Policy Quarterly </w:t>
            </w:r>
            <w:r>
              <w:rPr>
                <w:sz w:val="20"/>
              </w:rPr>
              <w:t>14.4 (2014): 389–413.</w:t>
            </w:r>
          </w:p>
        </w:tc>
      </w:tr>
      <w:tr w:rsidR="005C66D9" w14:paraId="1386983B" w14:textId="77777777">
        <w:trPr>
          <w:trHeight w:val="775"/>
        </w:trPr>
        <w:tc>
          <w:tcPr>
            <w:tcW w:w="1711" w:type="dxa"/>
          </w:tcPr>
          <w:p w14:paraId="3EA9A433" w14:textId="77777777" w:rsidR="005C66D9" w:rsidRPr="00FB62EB" w:rsidRDefault="005C66D9" w:rsidP="005C66D9">
            <w:pPr>
              <w:jc w:val="center"/>
              <w:rPr>
                <w:b/>
                <w:bCs/>
                <w:sz w:val="20"/>
                <w:szCs w:val="20"/>
              </w:rPr>
            </w:pPr>
            <w:r w:rsidRPr="00FB62EB">
              <w:rPr>
                <w:b/>
                <w:bCs/>
                <w:sz w:val="20"/>
                <w:szCs w:val="20"/>
              </w:rPr>
              <w:t>bus_ig</w:t>
            </w:r>
          </w:p>
          <w:p w14:paraId="7A6B7E76" w14:textId="78F8E311" w:rsidR="005C66D9" w:rsidRDefault="005C66D9" w:rsidP="005C66D9">
            <w:pPr>
              <w:pStyle w:val="TableParagraph"/>
              <w:spacing w:before="8"/>
              <w:rPr>
                <w:sz w:val="23"/>
              </w:rPr>
            </w:pPr>
          </w:p>
        </w:tc>
        <w:tc>
          <w:tcPr>
            <w:tcW w:w="1596" w:type="dxa"/>
          </w:tcPr>
          <w:p w14:paraId="08DF67D0" w14:textId="7927F24F" w:rsidR="005C66D9" w:rsidRDefault="005C66D9" w:rsidP="005C66D9">
            <w:pPr>
              <w:pStyle w:val="TableParagraph"/>
              <w:spacing w:before="8"/>
              <w:rPr>
                <w:sz w:val="23"/>
              </w:rPr>
            </w:pPr>
            <w:r>
              <w:rPr>
                <w:sz w:val="20"/>
              </w:rPr>
              <w:t>Businesses in lobbying</w:t>
            </w:r>
          </w:p>
        </w:tc>
        <w:tc>
          <w:tcPr>
            <w:tcW w:w="1285" w:type="dxa"/>
          </w:tcPr>
          <w:p w14:paraId="0C87B4C4" w14:textId="77777777" w:rsidR="005C66D9" w:rsidRPr="00FB62EB" w:rsidRDefault="005C66D9" w:rsidP="005C66D9">
            <w:pPr>
              <w:jc w:val="center"/>
              <w:rPr>
                <w:sz w:val="20"/>
                <w:szCs w:val="20"/>
              </w:rPr>
            </w:pPr>
            <w:r w:rsidRPr="00FB62EB">
              <w:rPr>
                <w:sz w:val="20"/>
                <w:szCs w:val="20"/>
              </w:rPr>
              <w:t>2006-2017</w:t>
            </w:r>
          </w:p>
          <w:p w14:paraId="7D9E3C3F" w14:textId="77777777" w:rsidR="005C66D9" w:rsidRDefault="005C66D9" w:rsidP="005C66D9">
            <w:pPr>
              <w:pStyle w:val="TableParagraph"/>
              <w:spacing w:before="8"/>
              <w:rPr>
                <w:sz w:val="23"/>
              </w:rPr>
            </w:pPr>
          </w:p>
        </w:tc>
        <w:tc>
          <w:tcPr>
            <w:tcW w:w="3421" w:type="dxa"/>
          </w:tcPr>
          <w:p w14:paraId="3A7A4B1A" w14:textId="4D2E849D" w:rsidR="005C66D9" w:rsidRDefault="005C66D9" w:rsidP="005C66D9">
            <w:pPr>
              <w:pStyle w:val="TableParagraph"/>
              <w:spacing w:before="158"/>
              <w:ind w:left="114" w:right="589"/>
              <w:rPr>
                <w:sz w:val="20"/>
              </w:rPr>
            </w:pPr>
            <w:r w:rsidRPr="00FB62EB">
              <w:rPr>
                <w:sz w:val="20"/>
                <w:szCs w:val="20"/>
              </w:rPr>
              <w:t xml:space="preserve">The number of businesses engaged in lobbying in each state for each year </w:t>
            </w:r>
          </w:p>
        </w:tc>
        <w:tc>
          <w:tcPr>
            <w:tcW w:w="6482" w:type="dxa"/>
          </w:tcPr>
          <w:p w14:paraId="009FF4FF" w14:textId="0CA26AD5" w:rsidR="005C66D9" w:rsidRDefault="005C66D9" w:rsidP="005C66D9">
            <w:pPr>
              <w:pStyle w:val="TableParagraph"/>
              <w:spacing w:before="43"/>
              <w:ind w:left="114" w:right="405"/>
              <w:rPr>
                <w:sz w:val="20"/>
              </w:rPr>
            </w:pPr>
            <w:r w:rsidRPr="00FB62EB">
              <w:rPr>
                <w:sz w:val="20"/>
                <w:szCs w:val="20"/>
              </w:rPr>
              <w:t>Holyoke, Thomas T. "Dynamic state interest group systems: A new look with new data." Interest Groups &amp; Advocacy 8, no. 4 (2019): 499-518.</w:t>
            </w:r>
          </w:p>
        </w:tc>
      </w:tr>
      <w:tr w:rsidR="005C66D9" w14:paraId="53FF01E7" w14:textId="77777777">
        <w:trPr>
          <w:trHeight w:val="775"/>
        </w:trPr>
        <w:tc>
          <w:tcPr>
            <w:tcW w:w="1711" w:type="dxa"/>
          </w:tcPr>
          <w:p w14:paraId="4DE92127" w14:textId="77777777" w:rsidR="005C66D9" w:rsidRPr="00FB62EB" w:rsidRDefault="005C66D9" w:rsidP="005C66D9">
            <w:pPr>
              <w:jc w:val="center"/>
              <w:rPr>
                <w:b/>
                <w:bCs/>
                <w:sz w:val="20"/>
                <w:szCs w:val="20"/>
              </w:rPr>
            </w:pPr>
            <w:r w:rsidRPr="00FB62EB">
              <w:rPr>
                <w:b/>
                <w:bCs/>
                <w:sz w:val="20"/>
                <w:szCs w:val="20"/>
              </w:rPr>
              <w:t>nonprofit_ig</w:t>
            </w:r>
          </w:p>
          <w:p w14:paraId="71052603" w14:textId="77777777" w:rsidR="005C66D9" w:rsidRDefault="005C66D9" w:rsidP="005C66D9">
            <w:pPr>
              <w:pStyle w:val="TableParagraph"/>
              <w:spacing w:before="8"/>
              <w:rPr>
                <w:sz w:val="23"/>
              </w:rPr>
            </w:pPr>
          </w:p>
        </w:tc>
        <w:tc>
          <w:tcPr>
            <w:tcW w:w="1596" w:type="dxa"/>
          </w:tcPr>
          <w:p w14:paraId="6D903FA4" w14:textId="03A9C2B8" w:rsidR="005C66D9" w:rsidRDefault="005C66D9" w:rsidP="005C66D9">
            <w:pPr>
              <w:pStyle w:val="TableParagraph"/>
              <w:spacing w:before="8"/>
              <w:rPr>
                <w:sz w:val="23"/>
              </w:rPr>
            </w:pPr>
            <w:r>
              <w:rPr>
                <w:sz w:val="20"/>
              </w:rPr>
              <w:t>Social service nonprofit lobbying</w:t>
            </w:r>
          </w:p>
        </w:tc>
        <w:tc>
          <w:tcPr>
            <w:tcW w:w="1285" w:type="dxa"/>
          </w:tcPr>
          <w:p w14:paraId="51E66ED6" w14:textId="229FAF63" w:rsidR="005C66D9" w:rsidRDefault="005C66D9" w:rsidP="005C66D9">
            <w:pPr>
              <w:pStyle w:val="TableParagraph"/>
              <w:spacing w:before="8"/>
              <w:rPr>
                <w:sz w:val="23"/>
              </w:rPr>
            </w:pPr>
            <w:r w:rsidRPr="006D649D">
              <w:rPr>
                <w:sz w:val="20"/>
                <w:szCs w:val="20"/>
              </w:rPr>
              <w:t>2006-2017</w:t>
            </w:r>
          </w:p>
        </w:tc>
        <w:tc>
          <w:tcPr>
            <w:tcW w:w="3421" w:type="dxa"/>
          </w:tcPr>
          <w:p w14:paraId="1036F61D" w14:textId="631838B0" w:rsidR="005C66D9" w:rsidRDefault="005C66D9" w:rsidP="005C66D9">
            <w:pPr>
              <w:pStyle w:val="TableParagraph"/>
              <w:spacing w:before="158"/>
              <w:ind w:left="114" w:right="589"/>
              <w:rPr>
                <w:sz w:val="20"/>
              </w:rPr>
            </w:pPr>
            <w:r w:rsidRPr="00FB62EB">
              <w:rPr>
                <w:sz w:val="20"/>
                <w:szCs w:val="20"/>
              </w:rPr>
              <w:t>The number of social service nonprofits engaged in lobbying in each state for each year</w:t>
            </w:r>
          </w:p>
        </w:tc>
        <w:tc>
          <w:tcPr>
            <w:tcW w:w="6482" w:type="dxa"/>
          </w:tcPr>
          <w:p w14:paraId="278C7F5E" w14:textId="33439BF8" w:rsidR="005C66D9" w:rsidRDefault="005C66D9" w:rsidP="005C66D9">
            <w:pPr>
              <w:pStyle w:val="TableParagraph"/>
              <w:spacing w:before="43"/>
              <w:ind w:left="114" w:right="405"/>
              <w:rPr>
                <w:sz w:val="20"/>
              </w:rPr>
            </w:pPr>
            <w:r w:rsidRPr="00FB62EB">
              <w:rPr>
                <w:sz w:val="20"/>
                <w:szCs w:val="20"/>
              </w:rPr>
              <w:t>Holyoke, Thomas T. "Dynamic state interest group systems: A new look with new data." Interest Groups &amp; Advocacy 8, no. 4 (2019): 499-518.</w:t>
            </w:r>
          </w:p>
        </w:tc>
      </w:tr>
      <w:tr w:rsidR="005C66D9" w14:paraId="3FD3F313" w14:textId="77777777">
        <w:trPr>
          <w:trHeight w:val="775"/>
        </w:trPr>
        <w:tc>
          <w:tcPr>
            <w:tcW w:w="1711" w:type="dxa"/>
          </w:tcPr>
          <w:p w14:paraId="0A5F7A2C" w14:textId="77777777" w:rsidR="005C66D9" w:rsidRPr="00FB62EB" w:rsidRDefault="005C66D9" w:rsidP="005C66D9">
            <w:pPr>
              <w:jc w:val="center"/>
              <w:rPr>
                <w:b/>
                <w:bCs/>
                <w:sz w:val="20"/>
                <w:szCs w:val="20"/>
              </w:rPr>
            </w:pPr>
            <w:r w:rsidRPr="00FB62EB">
              <w:rPr>
                <w:b/>
                <w:bCs/>
                <w:sz w:val="20"/>
                <w:szCs w:val="20"/>
              </w:rPr>
              <w:t>citizen_ig</w:t>
            </w:r>
          </w:p>
          <w:p w14:paraId="474709D6" w14:textId="77777777" w:rsidR="005C66D9" w:rsidRPr="00FB62EB" w:rsidRDefault="005C66D9" w:rsidP="005C66D9">
            <w:pPr>
              <w:jc w:val="center"/>
              <w:rPr>
                <w:b/>
                <w:bCs/>
                <w:sz w:val="20"/>
                <w:szCs w:val="20"/>
              </w:rPr>
            </w:pPr>
          </w:p>
        </w:tc>
        <w:tc>
          <w:tcPr>
            <w:tcW w:w="1596" w:type="dxa"/>
          </w:tcPr>
          <w:p w14:paraId="0B512904" w14:textId="039D628A" w:rsidR="005C66D9" w:rsidRDefault="005C66D9" w:rsidP="005C66D9">
            <w:pPr>
              <w:pStyle w:val="TableParagraph"/>
              <w:spacing w:before="8"/>
              <w:rPr>
                <w:sz w:val="20"/>
              </w:rPr>
            </w:pPr>
            <w:r>
              <w:rPr>
                <w:sz w:val="20"/>
              </w:rPr>
              <w:t>Citizen group and public interest group lobbying</w:t>
            </w:r>
          </w:p>
        </w:tc>
        <w:tc>
          <w:tcPr>
            <w:tcW w:w="1285" w:type="dxa"/>
          </w:tcPr>
          <w:p w14:paraId="439F42DD" w14:textId="47DA0486" w:rsidR="005C66D9" w:rsidRPr="006D649D" w:rsidRDefault="005C66D9" w:rsidP="005C66D9">
            <w:pPr>
              <w:pStyle w:val="TableParagraph"/>
              <w:spacing w:before="8"/>
              <w:rPr>
                <w:sz w:val="20"/>
                <w:szCs w:val="20"/>
              </w:rPr>
            </w:pPr>
            <w:r w:rsidRPr="006D649D">
              <w:rPr>
                <w:sz w:val="20"/>
                <w:szCs w:val="20"/>
              </w:rPr>
              <w:t>2006-2017</w:t>
            </w:r>
          </w:p>
        </w:tc>
        <w:tc>
          <w:tcPr>
            <w:tcW w:w="3421" w:type="dxa"/>
          </w:tcPr>
          <w:p w14:paraId="4FD4EBE8" w14:textId="11EC71F5" w:rsidR="005C66D9" w:rsidRPr="00FB62EB" w:rsidRDefault="005C66D9" w:rsidP="005C66D9">
            <w:pPr>
              <w:pStyle w:val="TableParagraph"/>
              <w:spacing w:before="158"/>
              <w:ind w:left="114" w:right="589"/>
              <w:rPr>
                <w:sz w:val="20"/>
                <w:szCs w:val="20"/>
              </w:rPr>
            </w:pPr>
            <w:r w:rsidRPr="00FB62EB">
              <w:rPr>
                <w:sz w:val="20"/>
                <w:szCs w:val="20"/>
              </w:rPr>
              <w:t>The number of citizen groups and public interest groups engaged in lobbying in</w:t>
            </w:r>
            <w:r>
              <w:rPr>
                <w:sz w:val="20"/>
                <w:szCs w:val="20"/>
              </w:rPr>
              <w:t xml:space="preserve"> each state for each year.</w:t>
            </w:r>
          </w:p>
        </w:tc>
        <w:tc>
          <w:tcPr>
            <w:tcW w:w="6482" w:type="dxa"/>
          </w:tcPr>
          <w:p w14:paraId="366AF208" w14:textId="36DC7F59" w:rsidR="005C66D9" w:rsidRPr="00FB62EB" w:rsidRDefault="005C66D9" w:rsidP="005C66D9">
            <w:pPr>
              <w:pStyle w:val="TableParagraph"/>
              <w:spacing w:before="43"/>
              <w:ind w:left="114" w:right="405"/>
              <w:rPr>
                <w:sz w:val="20"/>
                <w:szCs w:val="20"/>
              </w:rPr>
            </w:pPr>
            <w:r w:rsidRPr="00FB62EB">
              <w:rPr>
                <w:sz w:val="20"/>
                <w:szCs w:val="20"/>
              </w:rPr>
              <w:t>Holyoke, Thomas T. "Dynamic state interest group systems: A new look with new data." Interest Groups &amp; Advocacy 8, no. 4 (2019): 499-518.</w:t>
            </w:r>
          </w:p>
        </w:tc>
      </w:tr>
      <w:tr w:rsidR="005C66D9" w14:paraId="2829E7AB" w14:textId="77777777">
        <w:trPr>
          <w:trHeight w:val="775"/>
        </w:trPr>
        <w:tc>
          <w:tcPr>
            <w:tcW w:w="1711" w:type="dxa"/>
          </w:tcPr>
          <w:p w14:paraId="440E4DC7" w14:textId="77777777" w:rsidR="005C66D9" w:rsidRPr="00FB62EB" w:rsidRDefault="005C66D9" w:rsidP="005C66D9">
            <w:pPr>
              <w:jc w:val="center"/>
              <w:rPr>
                <w:b/>
                <w:bCs/>
                <w:sz w:val="20"/>
                <w:szCs w:val="20"/>
              </w:rPr>
            </w:pPr>
            <w:r w:rsidRPr="00FB62EB">
              <w:rPr>
                <w:b/>
                <w:bCs/>
                <w:sz w:val="20"/>
                <w:szCs w:val="20"/>
              </w:rPr>
              <w:t>association_ig</w:t>
            </w:r>
          </w:p>
          <w:p w14:paraId="0F6E79A6" w14:textId="77777777" w:rsidR="005C66D9" w:rsidRPr="00FB62EB" w:rsidRDefault="005C66D9" w:rsidP="005C66D9">
            <w:pPr>
              <w:jc w:val="center"/>
              <w:rPr>
                <w:b/>
                <w:bCs/>
                <w:sz w:val="20"/>
                <w:szCs w:val="20"/>
              </w:rPr>
            </w:pPr>
          </w:p>
        </w:tc>
        <w:tc>
          <w:tcPr>
            <w:tcW w:w="1596" w:type="dxa"/>
          </w:tcPr>
          <w:p w14:paraId="1C3D7E98" w14:textId="73CA99F7" w:rsidR="005C66D9" w:rsidRDefault="005C66D9" w:rsidP="005C66D9">
            <w:pPr>
              <w:pStyle w:val="TableParagraph"/>
              <w:spacing w:before="8"/>
              <w:rPr>
                <w:sz w:val="20"/>
              </w:rPr>
            </w:pPr>
            <w:r>
              <w:rPr>
                <w:sz w:val="20"/>
              </w:rPr>
              <w:t>Trade lobbying</w:t>
            </w:r>
          </w:p>
        </w:tc>
        <w:tc>
          <w:tcPr>
            <w:tcW w:w="1285" w:type="dxa"/>
          </w:tcPr>
          <w:p w14:paraId="7E2E43EA" w14:textId="3E818E4B" w:rsidR="005C66D9" w:rsidRPr="006D649D" w:rsidRDefault="005C66D9" w:rsidP="005C66D9">
            <w:pPr>
              <w:pStyle w:val="TableParagraph"/>
              <w:spacing w:before="8"/>
              <w:rPr>
                <w:sz w:val="20"/>
                <w:szCs w:val="20"/>
              </w:rPr>
            </w:pPr>
            <w:r w:rsidRPr="006D649D">
              <w:rPr>
                <w:sz w:val="20"/>
                <w:szCs w:val="20"/>
              </w:rPr>
              <w:t>2006-2017</w:t>
            </w:r>
          </w:p>
        </w:tc>
        <w:tc>
          <w:tcPr>
            <w:tcW w:w="3421" w:type="dxa"/>
          </w:tcPr>
          <w:p w14:paraId="4FF058C6" w14:textId="0B3CACF0" w:rsidR="005C66D9" w:rsidRPr="00FB62EB" w:rsidRDefault="005C66D9" w:rsidP="005C66D9">
            <w:pPr>
              <w:pStyle w:val="TableParagraph"/>
              <w:spacing w:before="158"/>
              <w:ind w:left="114" w:right="589"/>
              <w:rPr>
                <w:sz w:val="20"/>
                <w:szCs w:val="20"/>
              </w:rPr>
            </w:pPr>
            <w:r w:rsidRPr="00FB62EB">
              <w:rPr>
                <w:sz w:val="20"/>
                <w:szCs w:val="20"/>
              </w:rPr>
              <w:t>The number of trade or professional associations engaged in lobbying in each state for each year</w:t>
            </w:r>
          </w:p>
        </w:tc>
        <w:tc>
          <w:tcPr>
            <w:tcW w:w="6482" w:type="dxa"/>
          </w:tcPr>
          <w:p w14:paraId="528A8C01" w14:textId="31C336ED" w:rsidR="005C66D9" w:rsidRPr="00FB62EB" w:rsidRDefault="005C66D9" w:rsidP="005C66D9">
            <w:pPr>
              <w:pStyle w:val="TableParagraph"/>
              <w:spacing w:before="43"/>
              <w:ind w:left="114" w:right="405"/>
              <w:rPr>
                <w:sz w:val="20"/>
                <w:szCs w:val="20"/>
              </w:rPr>
            </w:pPr>
            <w:r w:rsidRPr="00FB62EB">
              <w:rPr>
                <w:sz w:val="20"/>
                <w:szCs w:val="20"/>
              </w:rPr>
              <w:t>Holyoke, Thomas T. "Dynamic state interest group systems: A new look with new data." Interest Groups &amp; Advocacy 8, no. 4 (2019): 499-518.</w:t>
            </w:r>
          </w:p>
        </w:tc>
      </w:tr>
      <w:tr w:rsidR="005C66D9" w14:paraId="75812014" w14:textId="77777777">
        <w:trPr>
          <w:trHeight w:val="775"/>
        </w:trPr>
        <w:tc>
          <w:tcPr>
            <w:tcW w:w="1711" w:type="dxa"/>
          </w:tcPr>
          <w:p w14:paraId="291EDD5E" w14:textId="77777777" w:rsidR="005C66D9" w:rsidRPr="00FB62EB" w:rsidRDefault="005C66D9" w:rsidP="005C66D9">
            <w:pPr>
              <w:jc w:val="center"/>
              <w:rPr>
                <w:b/>
                <w:bCs/>
                <w:sz w:val="20"/>
                <w:szCs w:val="20"/>
              </w:rPr>
            </w:pPr>
            <w:r w:rsidRPr="00FB62EB">
              <w:rPr>
                <w:b/>
                <w:bCs/>
                <w:sz w:val="20"/>
                <w:szCs w:val="20"/>
              </w:rPr>
              <w:t>gov_ig</w:t>
            </w:r>
          </w:p>
          <w:p w14:paraId="269334B8" w14:textId="77777777" w:rsidR="005C66D9" w:rsidRPr="00FB62EB" w:rsidRDefault="005C66D9" w:rsidP="005C66D9">
            <w:pPr>
              <w:jc w:val="center"/>
              <w:rPr>
                <w:b/>
                <w:bCs/>
                <w:sz w:val="20"/>
                <w:szCs w:val="20"/>
              </w:rPr>
            </w:pPr>
          </w:p>
        </w:tc>
        <w:tc>
          <w:tcPr>
            <w:tcW w:w="1596" w:type="dxa"/>
          </w:tcPr>
          <w:p w14:paraId="785A3B1A" w14:textId="201F2CA0" w:rsidR="005C66D9" w:rsidRDefault="005C66D9" w:rsidP="005C66D9">
            <w:pPr>
              <w:pStyle w:val="TableParagraph"/>
              <w:spacing w:before="8"/>
              <w:rPr>
                <w:sz w:val="20"/>
              </w:rPr>
            </w:pPr>
            <w:r>
              <w:rPr>
                <w:sz w:val="20"/>
              </w:rPr>
              <w:t>Government agency lobbying</w:t>
            </w:r>
          </w:p>
        </w:tc>
        <w:tc>
          <w:tcPr>
            <w:tcW w:w="1285" w:type="dxa"/>
          </w:tcPr>
          <w:p w14:paraId="389A407E" w14:textId="66FFC8EB" w:rsidR="005C66D9" w:rsidRPr="006D649D" w:rsidRDefault="005C66D9" w:rsidP="005C66D9">
            <w:pPr>
              <w:pStyle w:val="TableParagraph"/>
              <w:spacing w:before="8"/>
              <w:rPr>
                <w:sz w:val="20"/>
                <w:szCs w:val="20"/>
              </w:rPr>
            </w:pPr>
            <w:r w:rsidRPr="006D649D">
              <w:rPr>
                <w:sz w:val="20"/>
                <w:szCs w:val="20"/>
              </w:rPr>
              <w:t>2006-2017</w:t>
            </w:r>
          </w:p>
        </w:tc>
        <w:tc>
          <w:tcPr>
            <w:tcW w:w="3421" w:type="dxa"/>
          </w:tcPr>
          <w:p w14:paraId="7DCBD48E" w14:textId="77777777" w:rsidR="005C66D9" w:rsidRPr="005302FD" w:rsidRDefault="005C66D9" w:rsidP="005C66D9">
            <w:pPr>
              <w:rPr>
                <w:sz w:val="20"/>
                <w:szCs w:val="20"/>
              </w:rPr>
            </w:pPr>
            <w:r w:rsidRPr="005302FD">
              <w:rPr>
                <w:sz w:val="20"/>
                <w:szCs w:val="20"/>
              </w:rPr>
              <w:t>The number of government agencies (and similar entities) engaged in lobbying in each state for each year</w:t>
            </w:r>
          </w:p>
          <w:p w14:paraId="10A8F8EB" w14:textId="77777777" w:rsidR="005C66D9" w:rsidRPr="00FB62EB" w:rsidRDefault="005C66D9" w:rsidP="005C66D9">
            <w:pPr>
              <w:pStyle w:val="TableParagraph"/>
              <w:spacing w:before="158"/>
              <w:ind w:left="114" w:right="589"/>
              <w:rPr>
                <w:sz w:val="20"/>
                <w:szCs w:val="20"/>
              </w:rPr>
            </w:pPr>
          </w:p>
        </w:tc>
        <w:tc>
          <w:tcPr>
            <w:tcW w:w="6482" w:type="dxa"/>
          </w:tcPr>
          <w:p w14:paraId="3D620C5D" w14:textId="0FA64F17" w:rsidR="005C66D9" w:rsidRPr="00FB62EB" w:rsidRDefault="005C66D9" w:rsidP="005C66D9">
            <w:pPr>
              <w:pStyle w:val="TableParagraph"/>
              <w:spacing w:before="43"/>
              <w:ind w:left="114" w:right="405"/>
              <w:rPr>
                <w:sz w:val="20"/>
                <w:szCs w:val="20"/>
              </w:rPr>
            </w:pPr>
            <w:r w:rsidRPr="00FB62EB">
              <w:rPr>
                <w:sz w:val="20"/>
                <w:szCs w:val="20"/>
              </w:rPr>
              <w:t>Holyoke, Thomas T. "Dynamic state interest group systems: A new look with new data." Interest Groups &amp; Advocacy 8, no. 4 (2019): 499-518.</w:t>
            </w:r>
          </w:p>
        </w:tc>
      </w:tr>
      <w:tr w:rsidR="005C66D9" w14:paraId="73C24B07" w14:textId="77777777">
        <w:trPr>
          <w:trHeight w:val="775"/>
        </w:trPr>
        <w:tc>
          <w:tcPr>
            <w:tcW w:w="1711" w:type="dxa"/>
          </w:tcPr>
          <w:p w14:paraId="7A34D070" w14:textId="77777777" w:rsidR="005C66D9" w:rsidRPr="00FB62EB" w:rsidRDefault="005C66D9" w:rsidP="005C66D9">
            <w:pPr>
              <w:jc w:val="center"/>
              <w:rPr>
                <w:b/>
                <w:bCs/>
                <w:sz w:val="20"/>
                <w:szCs w:val="20"/>
              </w:rPr>
            </w:pPr>
            <w:r w:rsidRPr="00FB62EB">
              <w:rPr>
                <w:b/>
                <w:bCs/>
                <w:sz w:val="20"/>
                <w:szCs w:val="20"/>
              </w:rPr>
              <w:t>agriculture_ig</w:t>
            </w:r>
          </w:p>
          <w:p w14:paraId="5CD95620" w14:textId="77777777" w:rsidR="005C66D9" w:rsidRPr="00FB62EB" w:rsidRDefault="005C66D9" w:rsidP="005C66D9">
            <w:pPr>
              <w:jc w:val="center"/>
              <w:rPr>
                <w:b/>
                <w:bCs/>
                <w:sz w:val="20"/>
                <w:szCs w:val="20"/>
              </w:rPr>
            </w:pPr>
          </w:p>
        </w:tc>
        <w:tc>
          <w:tcPr>
            <w:tcW w:w="1596" w:type="dxa"/>
          </w:tcPr>
          <w:p w14:paraId="18CA01F6" w14:textId="572D4389" w:rsidR="005C66D9" w:rsidRDefault="005C66D9" w:rsidP="005C66D9">
            <w:pPr>
              <w:pStyle w:val="TableParagraph"/>
              <w:spacing w:before="8"/>
              <w:rPr>
                <w:sz w:val="20"/>
              </w:rPr>
            </w:pPr>
            <w:r>
              <w:rPr>
                <w:sz w:val="20"/>
              </w:rPr>
              <w:t>Agricultural lobbying</w:t>
            </w:r>
          </w:p>
        </w:tc>
        <w:tc>
          <w:tcPr>
            <w:tcW w:w="1285" w:type="dxa"/>
          </w:tcPr>
          <w:p w14:paraId="18BA0945" w14:textId="7E84B981" w:rsidR="005C66D9" w:rsidRPr="006D649D" w:rsidRDefault="005C66D9" w:rsidP="005C66D9">
            <w:pPr>
              <w:pStyle w:val="TableParagraph"/>
              <w:spacing w:before="8"/>
              <w:rPr>
                <w:sz w:val="20"/>
                <w:szCs w:val="20"/>
              </w:rPr>
            </w:pPr>
            <w:r w:rsidRPr="006D649D">
              <w:rPr>
                <w:sz w:val="20"/>
                <w:szCs w:val="20"/>
              </w:rPr>
              <w:t>2006-2017</w:t>
            </w:r>
          </w:p>
        </w:tc>
        <w:tc>
          <w:tcPr>
            <w:tcW w:w="3421" w:type="dxa"/>
          </w:tcPr>
          <w:p w14:paraId="44CD88CB" w14:textId="77777777" w:rsidR="005C66D9" w:rsidRPr="005302FD" w:rsidRDefault="005C66D9" w:rsidP="005C66D9">
            <w:pPr>
              <w:rPr>
                <w:sz w:val="20"/>
                <w:szCs w:val="20"/>
              </w:rPr>
            </w:pPr>
            <w:r w:rsidRPr="005302FD">
              <w:rPr>
                <w:sz w:val="20"/>
                <w:szCs w:val="20"/>
              </w:rPr>
              <w:t xml:space="preserve">The number of organizations coded as lobbying for agricultural businesses / interests </w:t>
            </w:r>
          </w:p>
          <w:p w14:paraId="340259CF" w14:textId="77777777" w:rsidR="005C66D9" w:rsidRPr="00FB62EB" w:rsidRDefault="005C66D9" w:rsidP="005C66D9">
            <w:pPr>
              <w:pStyle w:val="TableParagraph"/>
              <w:spacing w:before="158"/>
              <w:ind w:left="114" w:right="589"/>
              <w:rPr>
                <w:sz w:val="20"/>
                <w:szCs w:val="20"/>
              </w:rPr>
            </w:pPr>
          </w:p>
        </w:tc>
        <w:tc>
          <w:tcPr>
            <w:tcW w:w="6482" w:type="dxa"/>
          </w:tcPr>
          <w:p w14:paraId="593C2773" w14:textId="1C05A233" w:rsidR="005C66D9" w:rsidRPr="00FB62EB" w:rsidRDefault="005C66D9" w:rsidP="005C66D9">
            <w:pPr>
              <w:pStyle w:val="TableParagraph"/>
              <w:spacing w:before="43"/>
              <w:ind w:left="114" w:right="405"/>
              <w:rPr>
                <w:sz w:val="20"/>
                <w:szCs w:val="20"/>
              </w:rPr>
            </w:pPr>
            <w:r w:rsidRPr="00FB62EB">
              <w:rPr>
                <w:sz w:val="20"/>
                <w:szCs w:val="20"/>
              </w:rPr>
              <w:t>Holyoke, Thomas T. "Dynamic state interest group systems: A new look with new data." Interest Groups &amp; Advocacy 8, no. 4 (2019): 499-518.</w:t>
            </w:r>
          </w:p>
        </w:tc>
      </w:tr>
      <w:tr w:rsidR="005C66D9" w14:paraId="6EB88204" w14:textId="77777777">
        <w:trPr>
          <w:trHeight w:val="775"/>
        </w:trPr>
        <w:tc>
          <w:tcPr>
            <w:tcW w:w="1711" w:type="dxa"/>
          </w:tcPr>
          <w:p w14:paraId="1F2C38D3" w14:textId="77777777" w:rsidR="005C66D9" w:rsidRPr="00FB62EB" w:rsidRDefault="005C66D9" w:rsidP="005C66D9">
            <w:pPr>
              <w:jc w:val="center"/>
              <w:rPr>
                <w:b/>
                <w:bCs/>
                <w:sz w:val="20"/>
                <w:szCs w:val="20"/>
              </w:rPr>
            </w:pPr>
            <w:r w:rsidRPr="00FB62EB">
              <w:rPr>
                <w:b/>
                <w:bCs/>
                <w:sz w:val="20"/>
                <w:szCs w:val="20"/>
              </w:rPr>
              <w:t>business_ig</w:t>
            </w:r>
          </w:p>
          <w:p w14:paraId="6900AC2E" w14:textId="77777777" w:rsidR="005C66D9" w:rsidRPr="00FB62EB" w:rsidRDefault="005C66D9" w:rsidP="005C66D9">
            <w:pPr>
              <w:jc w:val="center"/>
              <w:rPr>
                <w:b/>
                <w:bCs/>
                <w:sz w:val="20"/>
                <w:szCs w:val="20"/>
              </w:rPr>
            </w:pPr>
          </w:p>
        </w:tc>
        <w:tc>
          <w:tcPr>
            <w:tcW w:w="1596" w:type="dxa"/>
          </w:tcPr>
          <w:p w14:paraId="59DA52C0" w14:textId="7E8CB643" w:rsidR="005C66D9" w:rsidRDefault="005C66D9" w:rsidP="005C66D9">
            <w:pPr>
              <w:pStyle w:val="TableParagraph"/>
              <w:spacing w:before="8"/>
              <w:rPr>
                <w:sz w:val="20"/>
              </w:rPr>
            </w:pPr>
            <w:r>
              <w:rPr>
                <w:sz w:val="20"/>
              </w:rPr>
              <w:t>Business lobbying</w:t>
            </w:r>
          </w:p>
        </w:tc>
        <w:tc>
          <w:tcPr>
            <w:tcW w:w="1285" w:type="dxa"/>
          </w:tcPr>
          <w:p w14:paraId="27A58697" w14:textId="773930B5" w:rsidR="005C66D9" w:rsidRPr="006D649D" w:rsidRDefault="005C66D9" w:rsidP="005C66D9">
            <w:pPr>
              <w:pStyle w:val="TableParagraph"/>
              <w:spacing w:before="8"/>
              <w:rPr>
                <w:sz w:val="20"/>
                <w:szCs w:val="20"/>
              </w:rPr>
            </w:pPr>
            <w:r w:rsidRPr="006D649D">
              <w:rPr>
                <w:sz w:val="20"/>
                <w:szCs w:val="20"/>
              </w:rPr>
              <w:t>2006-2017</w:t>
            </w:r>
          </w:p>
        </w:tc>
        <w:tc>
          <w:tcPr>
            <w:tcW w:w="3421" w:type="dxa"/>
          </w:tcPr>
          <w:p w14:paraId="1429057B" w14:textId="680E8012" w:rsidR="005C66D9" w:rsidRPr="00FB62EB" w:rsidRDefault="005C66D9" w:rsidP="005C66D9">
            <w:pPr>
              <w:pStyle w:val="TableParagraph"/>
              <w:spacing w:before="158"/>
              <w:ind w:left="114" w:right="589"/>
              <w:rPr>
                <w:sz w:val="20"/>
                <w:szCs w:val="20"/>
              </w:rPr>
            </w:pPr>
            <w:r w:rsidRPr="005302FD">
              <w:rPr>
                <w:sz w:val="20"/>
                <w:szCs w:val="20"/>
              </w:rPr>
              <w:t>The number of organizations coded as lobbying for general businesses / interests involved with general business, including the service and manufacturing sectors</w:t>
            </w:r>
          </w:p>
        </w:tc>
        <w:tc>
          <w:tcPr>
            <w:tcW w:w="6482" w:type="dxa"/>
          </w:tcPr>
          <w:p w14:paraId="04C4031F" w14:textId="0F54172C" w:rsidR="005C66D9" w:rsidRPr="00FB62EB" w:rsidRDefault="005C66D9" w:rsidP="005C66D9">
            <w:pPr>
              <w:pStyle w:val="TableParagraph"/>
              <w:spacing w:before="43"/>
              <w:ind w:left="114" w:right="405"/>
              <w:rPr>
                <w:sz w:val="20"/>
                <w:szCs w:val="20"/>
              </w:rPr>
            </w:pPr>
            <w:r w:rsidRPr="00FB62EB">
              <w:rPr>
                <w:sz w:val="20"/>
                <w:szCs w:val="20"/>
              </w:rPr>
              <w:t>Holyoke, Thomas T. "Dynamic state interest group systems: A new look with new data." Interest Groups &amp; Advocacy 8, no. 4 (2019): 499-518.</w:t>
            </w:r>
          </w:p>
        </w:tc>
      </w:tr>
      <w:tr w:rsidR="005C66D9" w14:paraId="173A5523" w14:textId="77777777">
        <w:trPr>
          <w:trHeight w:val="775"/>
        </w:trPr>
        <w:tc>
          <w:tcPr>
            <w:tcW w:w="1711" w:type="dxa"/>
          </w:tcPr>
          <w:p w14:paraId="2809A44A" w14:textId="77777777" w:rsidR="005C66D9" w:rsidRPr="00FB62EB" w:rsidRDefault="005C66D9" w:rsidP="005C66D9">
            <w:pPr>
              <w:jc w:val="center"/>
              <w:rPr>
                <w:b/>
                <w:bCs/>
                <w:sz w:val="20"/>
                <w:szCs w:val="20"/>
              </w:rPr>
            </w:pPr>
            <w:r w:rsidRPr="00FB62EB">
              <w:rPr>
                <w:b/>
                <w:bCs/>
                <w:sz w:val="20"/>
                <w:szCs w:val="20"/>
              </w:rPr>
              <w:lastRenderedPageBreak/>
              <w:t>education_ig</w:t>
            </w:r>
          </w:p>
          <w:p w14:paraId="55841B28" w14:textId="77777777" w:rsidR="005C66D9" w:rsidRPr="00FB62EB" w:rsidRDefault="005C66D9" w:rsidP="005C66D9">
            <w:pPr>
              <w:jc w:val="center"/>
              <w:rPr>
                <w:b/>
                <w:bCs/>
                <w:sz w:val="20"/>
                <w:szCs w:val="20"/>
              </w:rPr>
            </w:pPr>
          </w:p>
        </w:tc>
        <w:tc>
          <w:tcPr>
            <w:tcW w:w="1596" w:type="dxa"/>
          </w:tcPr>
          <w:p w14:paraId="4812AC04" w14:textId="14F0724B" w:rsidR="005C66D9" w:rsidRDefault="005C66D9" w:rsidP="005C66D9">
            <w:pPr>
              <w:pStyle w:val="TableParagraph"/>
              <w:spacing w:before="8"/>
              <w:rPr>
                <w:sz w:val="20"/>
              </w:rPr>
            </w:pPr>
            <w:r>
              <w:rPr>
                <w:sz w:val="20"/>
              </w:rPr>
              <w:t>Educational lobbying</w:t>
            </w:r>
          </w:p>
        </w:tc>
        <w:tc>
          <w:tcPr>
            <w:tcW w:w="1285" w:type="dxa"/>
          </w:tcPr>
          <w:p w14:paraId="0F5DF12B" w14:textId="675D5EB1" w:rsidR="005C66D9" w:rsidRPr="006D649D" w:rsidRDefault="005C66D9" w:rsidP="005C66D9">
            <w:pPr>
              <w:pStyle w:val="TableParagraph"/>
              <w:spacing w:before="8"/>
              <w:rPr>
                <w:sz w:val="20"/>
                <w:szCs w:val="20"/>
              </w:rPr>
            </w:pPr>
            <w:r w:rsidRPr="006D649D">
              <w:rPr>
                <w:sz w:val="20"/>
                <w:szCs w:val="20"/>
              </w:rPr>
              <w:t>2006-2017</w:t>
            </w:r>
          </w:p>
        </w:tc>
        <w:tc>
          <w:tcPr>
            <w:tcW w:w="3421" w:type="dxa"/>
          </w:tcPr>
          <w:p w14:paraId="21F9BEB0" w14:textId="04069607" w:rsidR="005C66D9" w:rsidRPr="00FB62EB" w:rsidRDefault="005C66D9" w:rsidP="005C66D9">
            <w:pPr>
              <w:pStyle w:val="TableParagraph"/>
              <w:spacing w:before="158"/>
              <w:ind w:left="114" w:right="589"/>
              <w:rPr>
                <w:sz w:val="20"/>
                <w:szCs w:val="20"/>
              </w:rPr>
            </w:pPr>
            <w:r w:rsidRPr="005302FD">
              <w:rPr>
                <w:sz w:val="20"/>
                <w:szCs w:val="20"/>
              </w:rPr>
              <w:t>The number of organizations coded as lobbying for educational interests</w:t>
            </w:r>
          </w:p>
        </w:tc>
        <w:tc>
          <w:tcPr>
            <w:tcW w:w="6482" w:type="dxa"/>
          </w:tcPr>
          <w:p w14:paraId="05152508" w14:textId="0BB64956" w:rsidR="005C66D9" w:rsidRPr="00FB62EB" w:rsidRDefault="005C66D9" w:rsidP="005C66D9">
            <w:pPr>
              <w:pStyle w:val="TableParagraph"/>
              <w:spacing w:before="43"/>
              <w:ind w:left="114" w:right="405"/>
              <w:rPr>
                <w:sz w:val="20"/>
                <w:szCs w:val="20"/>
              </w:rPr>
            </w:pPr>
            <w:r w:rsidRPr="00FB62EB">
              <w:rPr>
                <w:sz w:val="20"/>
                <w:szCs w:val="20"/>
              </w:rPr>
              <w:t>Holyoke, Thomas T. "Dynamic state interest group systems: A new look with new data." Interest Groups &amp; Advocacy 8, no. 4 (2019): 499-518.</w:t>
            </w:r>
          </w:p>
        </w:tc>
      </w:tr>
      <w:tr w:rsidR="005C66D9" w14:paraId="7A256E84" w14:textId="77777777">
        <w:trPr>
          <w:trHeight w:val="775"/>
        </w:trPr>
        <w:tc>
          <w:tcPr>
            <w:tcW w:w="1711" w:type="dxa"/>
          </w:tcPr>
          <w:p w14:paraId="6B2823F5" w14:textId="77777777" w:rsidR="005C66D9" w:rsidRPr="00FB62EB" w:rsidRDefault="005C66D9" w:rsidP="005C66D9">
            <w:pPr>
              <w:jc w:val="center"/>
              <w:rPr>
                <w:b/>
                <w:bCs/>
                <w:sz w:val="20"/>
                <w:szCs w:val="20"/>
              </w:rPr>
            </w:pPr>
            <w:r w:rsidRPr="00FB62EB">
              <w:rPr>
                <w:b/>
                <w:bCs/>
                <w:sz w:val="20"/>
                <w:szCs w:val="20"/>
              </w:rPr>
              <w:t>electronics_ig</w:t>
            </w:r>
          </w:p>
          <w:p w14:paraId="4D95B25A" w14:textId="77777777" w:rsidR="005C66D9" w:rsidRPr="00FB62EB" w:rsidRDefault="005C66D9" w:rsidP="005C66D9">
            <w:pPr>
              <w:jc w:val="center"/>
              <w:rPr>
                <w:b/>
                <w:bCs/>
                <w:sz w:val="20"/>
                <w:szCs w:val="20"/>
              </w:rPr>
            </w:pPr>
          </w:p>
        </w:tc>
        <w:tc>
          <w:tcPr>
            <w:tcW w:w="1596" w:type="dxa"/>
          </w:tcPr>
          <w:p w14:paraId="02E80628" w14:textId="7DF86549" w:rsidR="005C66D9" w:rsidRDefault="005C66D9" w:rsidP="005C66D9">
            <w:pPr>
              <w:pStyle w:val="TableParagraph"/>
              <w:spacing w:before="8"/>
              <w:rPr>
                <w:sz w:val="20"/>
              </w:rPr>
            </w:pPr>
            <w:r>
              <w:rPr>
                <w:sz w:val="20"/>
              </w:rPr>
              <w:t>Electronic lobbying</w:t>
            </w:r>
          </w:p>
        </w:tc>
        <w:tc>
          <w:tcPr>
            <w:tcW w:w="1285" w:type="dxa"/>
          </w:tcPr>
          <w:p w14:paraId="1A40EFBF" w14:textId="3D52A851" w:rsidR="005C66D9" w:rsidRPr="006D649D" w:rsidRDefault="005C66D9" w:rsidP="005C66D9">
            <w:pPr>
              <w:pStyle w:val="TableParagraph"/>
              <w:spacing w:before="8"/>
              <w:rPr>
                <w:sz w:val="20"/>
                <w:szCs w:val="20"/>
              </w:rPr>
            </w:pPr>
            <w:r w:rsidRPr="006D649D">
              <w:rPr>
                <w:sz w:val="20"/>
                <w:szCs w:val="20"/>
              </w:rPr>
              <w:t>2006-2017</w:t>
            </w:r>
          </w:p>
        </w:tc>
        <w:tc>
          <w:tcPr>
            <w:tcW w:w="3421" w:type="dxa"/>
          </w:tcPr>
          <w:p w14:paraId="483A233E" w14:textId="270FFC93" w:rsidR="005C66D9" w:rsidRPr="00FB62EB" w:rsidRDefault="005C66D9" w:rsidP="005C66D9">
            <w:pPr>
              <w:pStyle w:val="TableParagraph"/>
              <w:spacing w:before="158"/>
              <w:ind w:left="114" w:right="589"/>
              <w:rPr>
                <w:sz w:val="20"/>
                <w:szCs w:val="20"/>
              </w:rPr>
            </w:pPr>
            <w:r w:rsidRPr="005302FD">
              <w:rPr>
                <w:sz w:val="20"/>
                <w:szCs w:val="20"/>
              </w:rPr>
              <w:t>The number of organizations coded as lobbying for electronic or technological businesses / interests</w:t>
            </w:r>
          </w:p>
        </w:tc>
        <w:tc>
          <w:tcPr>
            <w:tcW w:w="6482" w:type="dxa"/>
          </w:tcPr>
          <w:p w14:paraId="7966DC7C" w14:textId="2B596261" w:rsidR="005C66D9" w:rsidRPr="00FB62EB" w:rsidRDefault="005C66D9" w:rsidP="005C66D9">
            <w:pPr>
              <w:pStyle w:val="TableParagraph"/>
              <w:spacing w:before="43"/>
              <w:ind w:left="114" w:right="405"/>
              <w:rPr>
                <w:sz w:val="20"/>
                <w:szCs w:val="20"/>
              </w:rPr>
            </w:pPr>
            <w:r w:rsidRPr="00FB62EB">
              <w:rPr>
                <w:sz w:val="20"/>
                <w:szCs w:val="20"/>
              </w:rPr>
              <w:t>Holyoke, Thomas T. "Dynamic state interest group systems: A new look with new data." Interest Groups &amp; Advocacy 8, no. 4 (2019): 499-518.</w:t>
            </w:r>
          </w:p>
        </w:tc>
      </w:tr>
      <w:tr w:rsidR="005C66D9" w14:paraId="6C49BD5B" w14:textId="77777777">
        <w:trPr>
          <w:trHeight w:val="775"/>
        </w:trPr>
        <w:tc>
          <w:tcPr>
            <w:tcW w:w="1711" w:type="dxa"/>
          </w:tcPr>
          <w:p w14:paraId="1F1FE7F3" w14:textId="77777777" w:rsidR="005C66D9" w:rsidRPr="00FB62EB" w:rsidRDefault="005C66D9" w:rsidP="005C66D9">
            <w:pPr>
              <w:jc w:val="center"/>
              <w:rPr>
                <w:b/>
                <w:bCs/>
                <w:sz w:val="20"/>
                <w:szCs w:val="20"/>
              </w:rPr>
            </w:pPr>
            <w:r w:rsidRPr="00FB62EB">
              <w:rPr>
                <w:b/>
                <w:bCs/>
                <w:sz w:val="20"/>
                <w:szCs w:val="20"/>
              </w:rPr>
              <w:t>energy_ig</w:t>
            </w:r>
          </w:p>
          <w:p w14:paraId="3531099E" w14:textId="77777777" w:rsidR="005C66D9" w:rsidRPr="00FB62EB" w:rsidRDefault="005C66D9" w:rsidP="005C66D9">
            <w:pPr>
              <w:jc w:val="center"/>
              <w:rPr>
                <w:b/>
                <w:bCs/>
                <w:sz w:val="20"/>
                <w:szCs w:val="20"/>
              </w:rPr>
            </w:pPr>
          </w:p>
        </w:tc>
        <w:tc>
          <w:tcPr>
            <w:tcW w:w="1596" w:type="dxa"/>
          </w:tcPr>
          <w:p w14:paraId="354ABEB7" w14:textId="26121E69" w:rsidR="005C66D9" w:rsidRDefault="005C66D9" w:rsidP="005C66D9">
            <w:pPr>
              <w:pStyle w:val="TableParagraph"/>
              <w:spacing w:before="8"/>
              <w:rPr>
                <w:sz w:val="20"/>
              </w:rPr>
            </w:pPr>
            <w:r>
              <w:rPr>
                <w:sz w:val="20"/>
              </w:rPr>
              <w:t>Energy lobbying</w:t>
            </w:r>
          </w:p>
        </w:tc>
        <w:tc>
          <w:tcPr>
            <w:tcW w:w="1285" w:type="dxa"/>
          </w:tcPr>
          <w:p w14:paraId="0F83392E" w14:textId="2025606A" w:rsidR="005C66D9" w:rsidRPr="006D649D" w:rsidRDefault="005C66D9" w:rsidP="005C66D9">
            <w:pPr>
              <w:pStyle w:val="TableParagraph"/>
              <w:spacing w:before="8"/>
              <w:rPr>
                <w:sz w:val="20"/>
                <w:szCs w:val="20"/>
              </w:rPr>
            </w:pPr>
            <w:r w:rsidRPr="006D649D">
              <w:rPr>
                <w:sz w:val="20"/>
                <w:szCs w:val="20"/>
              </w:rPr>
              <w:t>2006-2017</w:t>
            </w:r>
          </w:p>
        </w:tc>
        <w:tc>
          <w:tcPr>
            <w:tcW w:w="3421" w:type="dxa"/>
          </w:tcPr>
          <w:p w14:paraId="38354881" w14:textId="54F073CF" w:rsidR="005C66D9" w:rsidRPr="00FB62EB" w:rsidRDefault="005C66D9" w:rsidP="005C66D9">
            <w:pPr>
              <w:pStyle w:val="TableParagraph"/>
              <w:spacing w:before="158"/>
              <w:ind w:left="114" w:right="589"/>
              <w:rPr>
                <w:sz w:val="20"/>
                <w:szCs w:val="20"/>
              </w:rPr>
            </w:pPr>
            <w:r w:rsidRPr="005302FD">
              <w:rPr>
                <w:sz w:val="20"/>
                <w:szCs w:val="20"/>
              </w:rPr>
              <w:t>The number of organizations coded as lobbying for energy and natural resources businesses / interests</w:t>
            </w:r>
          </w:p>
        </w:tc>
        <w:tc>
          <w:tcPr>
            <w:tcW w:w="6482" w:type="dxa"/>
          </w:tcPr>
          <w:p w14:paraId="6F2B5431" w14:textId="2797B9F9" w:rsidR="005C66D9" w:rsidRPr="00FB62EB" w:rsidRDefault="005C66D9" w:rsidP="005C66D9">
            <w:pPr>
              <w:pStyle w:val="TableParagraph"/>
              <w:spacing w:before="43"/>
              <w:ind w:left="114" w:right="405"/>
              <w:rPr>
                <w:sz w:val="20"/>
                <w:szCs w:val="20"/>
              </w:rPr>
            </w:pPr>
            <w:r w:rsidRPr="00FB62EB">
              <w:rPr>
                <w:sz w:val="20"/>
                <w:szCs w:val="20"/>
              </w:rPr>
              <w:t>Holyoke, Thomas T. "Dynamic state interest group systems: A new look with new data." Interest Groups &amp; Advocacy 8, no. 4 (2019): 499-518.</w:t>
            </w:r>
          </w:p>
        </w:tc>
      </w:tr>
      <w:tr w:rsidR="005C66D9" w14:paraId="1A05C23C" w14:textId="77777777">
        <w:trPr>
          <w:trHeight w:val="775"/>
        </w:trPr>
        <w:tc>
          <w:tcPr>
            <w:tcW w:w="1711" w:type="dxa"/>
          </w:tcPr>
          <w:p w14:paraId="738BE78C" w14:textId="77777777" w:rsidR="005C66D9" w:rsidRPr="00FB62EB" w:rsidRDefault="005C66D9" w:rsidP="005C66D9">
            <w:pPr>
              <w:jc w:val="center"/>
              <w:rPr>
                <w:b/>
                <w:bCs/>
                <w:sz w:val="20"/>
                <w:szCs w:val="20"/>
              </w:rPr>
            </w:pPr>
            <w:r w:rsidRPr="00FB62EB">
              <w:rPr>
                <w:b/>
                <w:bCs/>
                <w:sz w:val="20"/>
                <w:szCs w:val="20"/>
              </w:rPr>
              <w:t>entertainment_ig</w:t>
            </w:r>
          </w:p>
          <w:p w14:paraId="20912DD7" w14:textId="77777777" w:rsidR="005C66D9" w:rsidRPr="00FB62EB" w:rsidRDefault="005C66D9" w:rsidP="005C66D9">
            <w:pPr>
              <w:jc w:val="center"/>
              <w:rPr>
                <w:b/>
                <w:bCs/>
                <w:sz w:val="20"/>
                <w:szCs w:val="20"/>
              </w:rPr>
            </w:pPr>
          </w:p>
        </w:tc>
        <w:tc>
          <w:tcPr>
            <w:tcW w:w="1596" w:type="dxa"/>
          </w:tcPr>
          <w:p w14:paraId="7C984DB8" w14:textId="7F31A6C7" w:rsidR="005C66D9" w:rsidRDefault="005C66D9" w:rsidP="005C66D9">
            <w:pPr>
              <w:pStyle w:val="TableParagraph"/>
              <w:spacing w:before="8"/>
              <w:rPr>
                <w:sz w:val="20"/>
              </w:rPr>
            </w:pPr>
            <w:r>
              <w:rPr>
                <w:sz w:val="20"/>
              </w:rPr>
              <w:t>Entertainment lobbying</w:t>
            </w:r>
          </w:p>
        </w:tc>
        <w:tc>
          <w:tcPr>
            <w:tcW w:w="1285" w:type="dxa"/>
          </w:tcPr>
          <w:p w14:paraId="79EA8A05" w14:textId="2ED82179" w:rsidR="005C66D9" w:rsidRPr="006D649D" w:rsidRDefault="005C66D9" w:rsidP="005C66D9">
            <w:pPr>
              <w:pStyle w:val="TableParagraph"/>
              <w:spacing w:before="8"/>
              <w:rPr>
                <w:sz w:val="20"/>
                <w:szCs w:val="20"/>
              </w:rPr>
            </w:pPr>
            <w:r w:rsidRPr="006D649D">
              <w:rPr>
                <w:sz w:val="20"/>
                <w:szCs w:val="20"/>
              </w:rPr>
              <w:t>2006-2017</w:t>
            </w:r>
          </w:p>
        </w:tc>
        <w:tc>
          <w:tcPr>
            <w:tcW w:w="3421" w:type="dxa"/>
          </w:tcPr>
          <w:p w14:paraId="35BDDD86" w14:textId="3488D821" w:rsidR="005C66D9" w:rsidRPr="00FB62EB" w:rsidRDefault="005C66D9" w:rsidP="005C66D9">
            <w:pPr>
              <w:pStyle w:val="TableParagraph"/>
              <w:spacing w:before="158"/>
              <w:ind w:left="114" w:right="589"/>
              <w:rPr>
                <w:sz w:val="20"/>
                <w:szCs w:val="20"/>
              </w:rPr>
            </w:pPr>
            <w:r w:rsidRPr="005302FD">
              <w:rPr>
                <w:sz w:val="20"/>
                <w:szCs w:val="20"/>
              </w:rPr>
              <w:t>The number of organizations coded as lobbying for professional entertainment businesses / interests</w:t>
            </w:r>
          </w:p>
        </w:tc>
        <w:tc>
          <w:tcPr>
            <w:tcW w:w="6482" w:type="dxa"/>
          </w:tcPr>
          <w:p w14:paraId="4FE83352" w14:textId="00D8342C" w:rsidR="005C66D9" w:rsidRPr="00FB62EB" w:rsidRDefault="005C66D9" w:rsidP="005C66D9">
            <w:pPr>
              <w:pStyle w:val="TableParagraph"/>
              <w:spacing w:before="43"/>
              <w:ind w:left="114" w:right="405"/>
              <w:rPr>
                <w:sz w:val="20"/>
                <w:szCs w:val="20"/>
              </w:rPr>
            </w:pPr>
            <w:r w:rsidRPr="00FB62EB">
              <w:rPr>
                <w:sz w:val="20"/>
                <w:szCs w:val="20"/>
              </w:rPr>
              <w:t>Holyoke, Thomas T. "Dynamic state interest group systems: A new look with new data." Interest Groups &amp; Advocacy 8, no. 4 (2019): 499-518.</w:t>
            </w:r>
          </w:p>
        </w:tc>
      </w:tr>
      <w:tr w:rsidR="005C66D9" w14:paraId="6BD88233" w14:textId="77777777">
        <w:trPr>
          <w:trHeight w:val="775"/>
        </w:trPr>
        <w:tc>
          <w:tcPr>
            <w:tcW w:w="1711" w:type="dxa"/>
          </w:tcPr>
          <w:p w14:paraId="015628B9" w14:textId="77777777" w:rsidR="005C66D9" w:rsidRPr="00FB62EB" w:rsidRDefault="005C66D9" w:rsidP="005C66D9">
            <w:pPr>
              <w:jc w:val="center"/>
              <w:rPr>
                <w:b/>
                <w:bCs/>
                <w:sz w:val="20"/>
                <w:szCs w:val="20"/>
              </w:rPr>
            </w:pPr>
            <w:r w:rsidRPr="00FB62EB">
              <w:rPr>
                <w:b/>
                <w:bCs/>
                <w:sz w:val="20"/>
                <w:szCs w:val="20"/>
              </w:rPr>
              <w:t>finance_ig</w:t>
            </w:r>
          </w:p>
          <w:p w14:paraId="3B14EFD1" w14:textId="77777777" w:rsidR="005C66D9" w:rsidRPr="00FB62EB" w:rsidRDefault="005C66D9" w:rsidP="005C66D9">
            <w:pPr>
              <w:jc w:val="center"/>
              <w:rPr>
                <w:b/>
                <w:bCs/>
                <w:sz w:val="20"/>
                <w:szCs w:val="20"/>
              </w:rPr>
            </w:pPr>
          </w:p>
        </w:tc>
        <w:tc>
          <w:tcPr>
            <w:tcW w:w="1596" w:type="dxa"/>
          </w:tcPr>
          <w:p w14:paraId="2D41007D" w14:textId="6164DF2E" w:rsidR="005C66D9" w:rsidRDefault="005C66D9" w:rsidP="005C66D9">
            <w:pPr>
              <w:pStyle w:val="TableParagraph"/>
              <w:spacing w:before="8"/>
              <w:rPr>
                <w:sz w:val="20"/>
              </w:rPr>
            </w:pPr>
            <w:r>
              <w:rPr>
                <w:sz w:val="20"/>
              </w:rPr>
              <w:t>Finance lobbying</w:t>
            </w:r>
          </w:p>
        </w:tc>
        <w:tc>
          <w:tcPr>
            <w:tcW w:w="1285" w:type="dxa"/>
          </w:tcPr>
          <w:p w14:paraId="31BC93E7" w14:textId="75D2BFDC" w:rsidR="005C66D9" w:rsidRPr="006D649D" w:rsidRDefault="005C66D9" w:rsidP="005C66D9">
            <w:pPr>
              <w:pStyle w:val="TableParagraph"/>
              <w:spacing w:before="8"/>
              <w:rPr>
                <w:sz w:val="20"/>
                <w:szCs w:val="20"/>
              </w:rPr>
            </w:pPr>
            <w:r w:rsidRPr="006D649D">
              <w:rPr>
                <w:sz w:val="20"/>
                <w:szCs w:val="20"/>
              </w:rPr>
              <w:t>2006-2017</w:t>
            </w:r>
          </w:p>
        </w:tc>
        <w:tc>
          <w:tcPr>
            <w:tcW w:w="3421" w:type="dxa"/>
          </w:tcPr>
          <w:p w14:paraId="2A82CC40" w14:textId="31174BD7" w:rsidR="005C66D9" w:rsidRPr="00FB62EB" w:rsidRDefault="005C66D9" w:rsidP="005C66D9">
            <w:pPr>
              <w:pStyle w:val="TableParagraph"/>
              <w:spacing w:before="158"/>
              <w:ind w:left="114" w:right="589"/>
              <w:rPr>
                <w:sz w:val="20"/>
                <w:szCs w:val="20"/>
              </w:rPr>
            </w:pPr>
            <w:r w:rsidRPr="005302FD">
              <w:rPr>
                <w:sz w:val="20"/>
                <w:szCs w:val="20"/>
              </w:rPr>
              <w:t>The number of organizations coded as lobbying for banking, insurance, and investment businesses / interests</w:t>
            </w:r>
          </w:p>
        </w:tc>
        <w:tc>
          <w:tcPr>
            <w:tcW w:w="6482" w:type="dxa"/>
          </w:tcPr>
          <w:p w14:paraId="76E28A17" w14:textId="65C546C1" w:rsidR="005C66D9" w:rsidRPr="00FB62EB" w:rsidRDefault="005C66D9" w:rsidP="005C66D9">
            <w:pPr>
              <w:pStyle w:val="TableParagraph"/>
              <w:spacing w:before="43"/>
              <w:ind w:left="114" w:right="405"/>
              <w:rPr>
                <w:sz w:val="20"/>
                <w:szCs w:val="20"/>
              </w:rPr>
            </w:pPr>
            <w:r w:rsidRPr="00FB62EB">
              <w:rPr>
                <w:sz w:val="20"/>
                <w:szCs w:val="20"/>
              </w:rPr>
              <w:t>Holyoke, Thomas T. "Dynamic state interest group systems: A new look with new data." Interest Groups &amp; Advocacy 8, no. 4 (2019): 499-518.</w:t>
            </w:r>
          </w:p>
        </w:tc>
      </w:tr>
      <w:tr w:rsidR="005C66D9" w14:paraId="1CB3399E" w14:textId="77777777">
        <w:trPr>
          <w:trHeight w:val="775"/>
        </w:trPr>
        <w:tc>
          <w:tcPr>
            <w:tcW w:w="1711" w:type="dxa"/>
          </w:tcPr>
          <w:p w14:paraId="5C38372C" w14:textId="77777777" w:rsidR="005C66D9" w:rsidRPr="00FB62EB" w:rsidRDefault="005C66D9" w:rsidP="005C66D9">
            <w:pPr>
              <w:jc w:val="center"/>
              <w:rPr>
                <w:b/>
                <w:bCs/>
                <w:sz w:val="20"/>
                <w:szCs w:val="20"/>
              </w:rPr>
            </w:pPr>
            <w:r w:rsidRPr="00FB62EB">
              <w:rPr>
                <w:b/>
                <w:bCs/>
                <w:sz w:val="20"/>
                <w:szCs w:val="20"/>
              </w:rPr>
              <w:t>government_ig</w:t>
            </w:r>
          </w:p>
          <w:p w14:paraId="76438954" w14:textId="21C47FDD" w:rsidR="005C66D9" w:rsidRPr="00FB62EB" w:rsidRDefault="005C66D9" w:rsidP="005C66D9">
            <w:pPr>
              <w:jc w:val="center"/>
              <w:rPr>
                <w:b/>
                <w:bCs/>
                <w:sz w:val="20"/>
                <w:szCs w:val="20"/>
              </w:rPr>
            </w:pPr>
          </w:p>
        </w:tc>
        <w:tc>
          <w:tcPr>
            <w:tcW w:w="1596" w:type="dxa"/>
          </w:tcPr>
          <w:p w14:paraId="17F842D8" w14:textId="73A983C0" w:rsidR="005C66D9" w:rsidRDefault="005C66D9" w:rsidP="005C66D9">
            <w:pPr>
              <w:pStyle w:val="TableParagraph"/>
              <w:spacing w:before="8"/>
              <w:rPr>
                <w:sz w:val="20"/>
              </w:rPr>
            </w:pPr>
            <w:r>
              <w:rPr>
                <w:sz w:val="20"/>
              </w:rPr>
              <w:t>Government lobbying</w:t>
            </w:r>
          </w:p>
        </w:tc>
        <w:tc>
          <w:tcPr>
            <w:tcW w:w="1285" w:type="dxa"/>
          </w:tcPr>
          <w:p w14:paraId="2A291E87" w14:textId="493044C0" w:rsidR="005C66D9" w:rsidRPr="006D649D" w:rsidRDefault="005C66D9" w:rsidP="005C66D9">
            <w:pPr>
              <w:pStyle w:val="TableParagraph"/>
              <w:spacing w:before="8"/>
              <w:rPr>
                <w:sz w:val="20"/>
                <w:szCs w:val="20"/>
              </w:rPr>
            </w:pPr>
            <w:r w:rsidRPr="006D649D">
              <w:rPr>
                <w:sz w:val="20"/>
                <w:szCs w:val="20"/>
              </w:rPr>
              <w:t>2006-2017</w:t>
            </w:r>
          </w:p>
        </w:tc>
        <w:tc>
          <w:tcPr>
            <w:tcW w:w="3421" w:type="dxa"/>
          </w:tcPr>
          <w:p w14:paraId="0684F484" w14:textId="5BCA5815" w:rsidR="005C66D9" w:rsidRPr="00FB62EB" w:rsidRDefault="005C66D9" w:rsidP="005C66D9">
            <w:pPr>
              <w:pStyle w:val="TableParagraph"/>
              <w:spacing w:before="158"/>
              <w:ind w:left="114" w:right="589"/>
              <w:rPr>
                <w:sz w:val="20"/>
                <w:szCs w:val="20"/>
              </w:rPr>
            </w:pPr>
            <w:r w:rsidRPr="005302FD">
              <w:rPr>
                <w:sz w:val="20"/>
                <w:szCs w:val="20"/>
              </w:rPr>
              <w:t>The number of organizations coded as lobbying for government agencies and related interests</w:t>
            </w:r>
          </w:p>
        </w:tc>
        <w:tc>
          <w:tcPr>
            <w:tcW w:w="6482" w:type="dxa"/>
          </w:tcPr>
          <w:p w14:paraId="35A52CC4" w14:textId="7CA211C4" w:rsidR="005C66D9" w:rsidRPr="00FB62EB" w:rsidRDefault="005C66D9" w:rsidP="005C66D9">
            <w:pPr>
              <w:pStyle w:val="TableParagraph"/>
              <w:spacing w:before="43"/>
              <w:ind w:left="114" w:right="405"/>
              <w:rPr>
                <w:sz w:val="20"/>
                <w:szCs w:val="20"/>
              </w:rPr>
            </w:pPr>
            <w:r w:rsidRPr="00FB62EB">
              <w:rPr>
                <w:sz w:val="20"/>
                <w:szCs w:val="20"/>
              </w:rPr>
              <w:t>Holyoke, Thomas T. "Dynamic state interest group systems: A new look with new data." Interest Groups &amp; Advocacy 8, no. 4 (2019): 499-518.</w:t>
            </w:r>
          </w:p>
        </w:tc>
      </w:tr>
      <w:tr w:rsidR="005C66D9" w14:paraId="27A437AF" w14:textId="77777777">
        <w:trPr>
          <w:trHeight w:val="775"/>
        </w:trPr>
        <w:tc>
          <w:tcPr>
            <w:tcW w:w="1711" w:type="dxa"/>
          </w:tcPr>
          <w:p w14:paraId="70907ADF" w14:textId="77777777" w:rsidR="005C66D9" w:rsidRPr="00FB62EB" w:rsidRDefault="005C66D9" w:rsidP="005C66D9">
            <w:pPr>
              <w:jc w:val="center"/>
              <w:rPr>
                <w:b/>
                <w:bCs/>
                <w:sz w:val="20"/>
                <w:szCs w:val="20"/>
              </w:rPr>
            </w:pPr>
            <w:r w:rsidRPr="00FB62EB">
              <w:rPr>
                <w:b/>
                <w:bCs/>
                <w:sz w:val="20"/>
                <w:szCs w:val="20"/>
              </w:rPr>
              <w:t>health_ig</w:t>
            </w:r>
          </w:p>
          <w:p w14:paraId="5E65F8C4" w14:textId="77777777" w:rsidR="005C66D9" w:rsidRDefault="005C66D9" w:rsidP="005C66D9">
            <w:pPr>
              <w:jc w:val="center"/>
              <w:rPr>
                <w:b/>
                <w:bCs/>
                <w:sz w:val="20"/>
                <w:szCs w:val="20"/>
              </w:rPr>
            </w:pPr>
          </w:p>
        </w:tc>
        <w:tc>
          <w:tcPr>
            <w:tcW w:w="1596" w:type="dxa"/>
          </w:tcPr>
          <w:p w14:paraId="09055F0F" w14:textId="71C6A1CA" w:rsidR="005C66D9" w:rsidRDefault="005C66D9" w:rsidP="005C66D9">
            <w:pPr>
              <w:pStyle w:val="TableParagraph"/>
              <w:spacing w:before="8"/>
              <w:rPr>
                <w:sz w:val="20"/>
              </w:rPr>
            </w:pPr>
            <w:r>
              <w:rPr>
                <w:sz w:val="20"/>
              </w:rPr>
              <w:t>Health lobbying</w:t>
            </w:r>
          </w:p>
        </w:tc>
        <w:tc>
          <w:tcPr>
            <w:tcW w:w="1285" w:type="dxa"/>
          </w:tcPr>
          <w:p w14:paraId="2E1C6C7C" w14:textId="6C39A80F" w:rsidR="005C66D9" w:rsidRPr="006D649D" w:rsidRDefault="005C66D9" w:rsidP="005C66D9">
            <w:pPr>
              <w:pStyle w:val="TableParagraph"/>
              <w:spacing w:before="8"/>
              <w:rPr>
                <w:sz w:val="20"/>
                <w:szCs w:val="20"/>
              </w:rPr>
            </w:pPr>
            <w:r w:rsidRPr="006D649D">
              <w:rPr>
                <w:sz w:val="20"/>
                <w:szCs w:val="20"/>
              </w:rPr>
              <w:t>2006-2017</w:t>
            </w:r>
          </w:p>
        </w:tc>
        <w:tc>
          <w:tcPr>
            <w:tcW w:w="3421" w:type="dxa"/>
          </w:tcPr>
          <w:p w14:paraId="137AA711" w14:textId="7AF13404" w:rsidR="005C66D9" w:rsidRPr="00FB62EB" w:rsidRDefault="005C66D9" w:rsidP="005C66D9">
            <w:pPr>
              <w:pStyle w:val="TableParagraph"/>
              <w:spacing w:before="158"/>
              <w:ind w:left="114" w:right="589"/>
              <w:rPr>
                <w:sz w:val="20"/>
                <w:szCs w:val="20"/>
              </w:rPr>
            </w:pPr>
            <w:r w:rsidRPr="005302FD">
              <w:rPr>
                <w:sz w:val="20"/>
                <w:szCs w:val="20"/>
              </w:rPr>
              <w:t>The number of organizations coded as lobbying for medical, health insurance, and related businesses / interests</w:t>
            </w:r>
          </w:p>
        </w:tc>
        <w:tc>
          <w:tcPr>
            <w:tcW w:w="6482" w:type="dxa"/>
          </w:tcPr>
          <w:p w14:paraId="6367FEBB" w14:textId="1265854D" w:rsidR="005C66D9" w:rsidRPr="00FB62EB" w:rsidRDefault="005C66D9" w:rsidP="005C66D9">
            <w:pPr>
              <w:pStyle w:val="TableParagraph"/>
              <w:spacing w:before="43"/>
              <w:ind w:left="114" w:right="405"/>
              <w:rPr>
                <w:sz w:val="20"/>
                <w:szCs w:val="20"/>
              </w:rPr>
            </w:pPr>
            <w:r w:rsidRPr="00FB62EB">
              <w:rPr>
                <w:sz w:val="20"/>
                <w:szCs w:val="20"/>
              </w:rPr>
              <w:t>Holyoke, Thomas T. "Dynamic state interest group systems: A new look with new data." Interest Groups &amp; Advocacy 8, no. 4 (2019): 499-518.</w:t>
            </w:r>
          </w:p>
        </w:tc>
      </w:tr>
      <w:tr w:rsidR="005C66D9" w14:paraId="49874C48" w14:textId="77777777">
        <w:trPr>
          <w:trHeight w:val="775"/>
        </w:trPr>
        <w:tc>
          <w:tcPr>
            <w:tcW w:w="1711" w:type="dxa"/>
          </w:tcPr>
          <w:p w14:paraId="17A9DC23" w14:textId="5BB79A96" w:rsidR="005C66D9" w:rsidRDefault="005C66D9" w:rsidP="005C66D9">
            <w:pPr>
              <w:jc w:val="center"/>
              <w:rPr>
                <w:b/>
                <w:bCs/>
                <w:sz w:val="20"/>
                <w:szCs w:val="20"/>
              </w:rPr>
            </w:pPr>
            <w:r>
              <w:rPr>
                <w:b/>
                <w:sz w:val="20"/>
              </w:rPr>
              <w:t>ideological_ig</w:t>
            </w:r>
          </w:p>
        </w:tc>
        <w:tc>
          <w:tcPr>
            <w:tcW w:w="1596" w:type="dxa"/>
          </w:tcPr>
          <w:p w14:paraId="6A6EF305" w14:textId="2DB24E80" w:rsidR="005C66D9" w:rsidRDefault="005C66D9" w:rsidP="005C66D9">
            <w:pPr>
              <w:pStyle w:val="TableParagraph"/>
              <w:spacing w:before="8"/>
              <w:rPr>
                <w:sz w:val="20"/>
              </w:rPr>
            </w:pPr>
            <w:r>
              <w:rPr>
                <w:sz w:val="20"/>
              </w:rPr>
              <w:t>Ideological lobbying</w:t>
            </w:r>
          </w:p>
        </w:tc>
        <w:tc>
          <w:tcPr>
            <w:tcW w:w="1285" w:type="dxa"/>
          </w:tcPr>
          <w:p w14:paraId="3D6DEB85" w14:textId="2C7A4E75" w:rsidR="005C66D9" w:rsidRPr="006D649D" w:rsidRDefault="005C66D9" w:rsidP="005C66D9">
            <w:pPr>
              <w:pStyle w:val="TableParagraph"/>
              <w:spacing w:before="8"/>
              <w:rPr>
                <w:sz w:val="20"/>
                <w:szCs w:val="20"/>
              </w:rPr>
            </w:pPr>
            <w:r w:rsidRPr="006D649D">
              <w:rPr>
                <w:sz w:val="20"/>
                <w:szCs w:val="20"/>
              </w:rPr>
              <w:t>2006-2017</w:t>
            </w:r>
          </w:p>
        </w:tc>
        <w:tc>
          <w:tcPr>
            <w:tcW w:w="3421" w:type="dxa"/>
          </w:tcPr>
          <w:p w14:paraId="3CF12BF4" w14:textId="6B209CB1" w:rsidR="005C66D9" w:rsidRPr="00FB62EB" w:rsidRDefault="005C66D9" w:rsidP="005C66D9">
            <w:pPr>
              <w:pStyle w:val="TableParagraph"/>
              <w:spacing w:before="158"/>
              <w:ind w:left="114" w:right="589"/>
              <w:rPr>
                <w:sz w:val="20"/>
                <w:szCs w:val="20"/>
              </w:rPr>
            </w:pPr>
            <w:r w:rsidRPr="005302FD">
              <w:rPr>
                <w:sz w:val="20"/>
                <w:szCs w:val="20"/>
              </w:rPr>
              <w:t>The number of organizations coded as lobbying for ideological or public interest causes not clearly associated with another sector (such as the ACLU)</w:t>
            </w:r>
          </w:p>
        </w:tc>
        <w:tc>
          <w:tcPr>
            <w:tcW w:w="6482" w:type="dxa"/>
          </w:tcPr>
          <w:p w14:paraId="0B2FF2EE" w14:textId="5D28295C" w:rsidR="005C66D9" w:rsidRPr="00FB62EB" w:rsidRDefault="005C66D9" w:rsidP="005C66D9">
            <w:pPr>
              <w:pStyle w:val="TableParagraph"/>
              <w:spacing w:before="43"/>
              <w:ind w:left="114" w:right="405"/>
              <w:rPr>
                <w:sz w:val="20"/>
                <w:szCs w:val="20"/>
              </w:rPr>
            </w:pPr>
            <w:r w:rsidRPr="00FB62EB">
              <w:rPr>
                <w:sz w:val="20"/>
                <w:szCs w:val="20"/>
              </w:rPr>
              <w:t>Holyoke, Thomas T. "Dynamic state interest group systems: A new look with new data." Interest Groups &amp; Advocacy 8, no. 4 (2019): 499-518.</w:t>
            </w:r>
          </w:p>
        </w:tc>
      </w:tr>
      <w:tr w:rsidR="005C66D9" w14:paraId="5DB91993" w14:textId="77777777">
        <w:trPr>
          <w:trHeight w:val="775"/>
        </w:trPr>
        <w:tc>
          <w:tcPr>
            <w:tcW w:w="1711" w:type="dxa"/>
          </w:tcPr>
          <w:p w14:paraId="68C7A063" w14:textId="77777777" w:rsidR="005C66D9" w:rsidRPr="00FB62EB" w:rsidRDefault="005C66D9" w:rsidP="005C66D9">
            <w:pPr>
              <w:jc w:val="center"/>
              <w:rPr>
                <w:b/>
                <w:bCs/>
                <w:sz w:val="20"/>
                <w:szCs w:val="20"/>
              </w:rPr>
            </w:pPr>
            <w:r w:rsidRPr="00FB62EB">
              <w:rPr>
                <w:b/>
                <w:bCs/>
                <w:sz w:val="20"/>
                <w:szCs w:val="20"/>
              </w:rPr>
              <w:t>lawyers_ig</w:t>
            </w:r>
          </w:p>
          <w:p w14:paraId="39C8FD7F" w14:textId="77777777" w:rsidR="005C66D9" w:rsidRDefault="005C66D9" w:rsidP="005C66D9">
            <w:pPr>
              <w:jc w:val="center"/>
              <w:rPr>
                <w:b/>
                <w:bCs/>
                <w:sz w:val="20"/>
                <w:szCs w:val="20"/>
              </w:rPr>
            </w:pPr>
          </w:p>
        </w:tc>
        <w:tc>
          <w:tcPr>
            <w:tcW w:w="1596" w:type="dxa"/>
          </w:tcPr>
          <w:p w14:paraId="6EB1D144" w14:textId="4D60DA5E" w:rsidR="005C66D9" w:rsidRDefault="005C66D9" w:rsidP="005C66D9">
            <w:pPr>
              <w:pStyle w:val="TableParagraph"/>
              <w:spacing w:before="8"/>
              <w:rPr>
                <w:sz w:val="20"/>
              </w:rPr>
            </w:pPr>
            <w:r>
              <w:rPr>
                <w:sz w:val="20"/>
              </w:rPr>
              <w:t>Legal industry lobbying</w:t>
            </w:r>
          </w:p>
        </w:tc>
        <w:tc>
          <w:tcPr>
            <w:tcW w:w="1285" w:type="dxa"/>
          </w:tcPr>
          <w:p w14:paraId="36B61FA1" w14:textId="17A63147" w:rsidR="005C66D9" w:rsidRPr="006D649D" w:rsidRDefault="005C66D9" w:rsidP="005C66D9">
            <w:pPr>
              <w:pStyle w:val="TableParagraph"/>
              <w:spacing w:before="8"/>
              <w:rPr>
                <w:sz w:val="20"/>
                <w:szCs w:val="20"/>
              </w:rPr>
            </w:pPr>
            <w:r w:rsidRPr="006D649D">
              <w:rPr>
                <w:sz w:val="20"/>
                <w:szCs w:val="20"/>
              </w:rPr>
              <w:t>2006-2017</w:t>
            </w:r>
          </w:p>
        </w:tc>
        <w:tc>
          <w:tcPr>
            <w:tcW w:w="3421" w:type="dxa"/>
          </w:tcPr>
          <w:p w14:paraId="03E83C22" w14:textId="5DBD1E33" w:rsidR="005C66D9" w:rsidRPr="00FB62EB" w:rsidRDefault="005C66D9" w:rsidP="005C66D9">
            <w:pPr>
              <w:pStyle w:val="TableParagraph"/>
              <w:spacing w:before="158"/>
              <w:ind w:left="114" w:right="589"/>
              <w:rPr>
                <w:sz w:val="20"/>
                <w:szCs w:val="20"/>
              </w:rPr>
            </w:pPr>
            <w:r w:rsidRPr="005302FD">
              <w:rPr>
                <w:sz w:val="20"/>
                <w:szCs w:val="20"/>
              </w:rPr>
              <w:t>The number of organizations coded as lobbying for the legal industry and related interests</w:t>
            </w:r>
          </w:p>
        </w:tc>
        <w:tc>
          <w:tcPr>
            <w:tcW w:w="6482" w:type="dxa"/>
          </w:tcPr>
          <w:p w14:paraId="7F579341" w14:textId="3B3C6737" w:rsidR="005C66D9" w:rsidRPr="00FB62EB" w:rsidRDefault="005C66D9" w:rsidP="005C66D9">
            <w:pPr>
              <w:pStyle w:val="TableParagraph"/>
              <w:spacing w:before="43"/>
              <w:ind w:left="114" w:right="405"/>
              <w:rPr>
                <w:sz w:val="20"/>
                <w:szCs w:val="20"/>
              </w:rPr>
            </w:pPr>
            <w:r w:rsidRPr="005302FD">
              <w:rPr>
                <w:sz w:val="20"/>
                <w:szCs w:val="20"/>
              </w:rPr>
              <w:t>Holyoke, Thomas T. "Dynamic state interest group systems: A new look with new data." Interest Groups &amp; Advocacy 8, no. 4 (2019): 499-518.</w:t>
            </w:r>
          </w:p>
        </w:tc>
      </w:tr>
      <w:tr w:rsidR="005C66D9" w14:paraId="5796EBED" w14:textId="77777777">
        <w:trPr>
          <w:trHeight w:val="775"/>
        </w:trPr>
        <w:tc>
          <w:tcPr>
            <w:tcW w:w="1711" w:type="dxa"/>
          </w:tcPr>
          <w:p w14:paraId="175076E9" w14:textId="77777777" w:rsidR="005C66D9" w:rsidRPr="00FB62EB" w:rsidRDefault="005C66D9" w:rsidP="005C66D9">
            <w:pPr>
              <w:jc w:val="center"/>
              <w:rPr>
                <w:b/>
                <w:bCs/>
                <w:sz w:val="20"/>
                <w:szCs w:val="20"/>
              </w:rPr>
            </w:pPr>
            <w:r w:rsidRPr="00FB62EB">
              <w:rPr>
                <w:b/>
                <w:bCs/>
                <w:sz w:val="20"/>
                <w:szCs w:val="20"/>
              </w:rPr>
              <w:lastRenderedPageBreak/>
              <w:t>leisure_ig</w:t>
            </w:r>
          </w:p>
          <w:p w14:paraId="33F74AD8" w14:textId="77777777" w:rsidR="005C66D9" w:rsidRDefault="005C66D9" w:rsidP="005C66D9">
            <w:pPr>
              <w:jc w:val="center"/>
              <w:rPr>
                <w:b/>
                <w:bCs/>
                <w:sz w:val="20"/>
                <w:szCs w:val="20"/>
              </w:rPr>
            </w:pPr>
          </w:p>
        </w:tc>
        <w:tc>
          <w:tcPr>
            <w:tcW w:w="1596" w:type="dxa"/>
          </w:tcPr>
          <w:p w14:paraId="30FF20C1" w14:textId="04EE7887" w:rsidR="005C66D9" w:rsidRDefault="005C66D9" w:rsidP="005C66D9">
            <w:pPr>
              <w:pStyle w:val="TableParagraph"/>
              <w:spacing w:before="8"/>
              <w:rPr>
                <w:sz w:val="20"/>
              </w:rPr>
            </w:pPr>
            <w:r>
              <w:rPr>
                <w:sz w:val="20"/>
              </w:rPr>
              <w:t>Leisure industry lobbying</w:t>
            </w:r>
          </w:p>
        </w:tc>
        <w:tc>
          <w:tcPr>
            <w:tcW w:w="1285" w:type="dxa"/>
          </w:tcPr>
          <w:p w14:paraId="46984F40" w14:textId="4B928924" w:rsidR="005C66D9" w:rsidRPr="006D649D" w:rsidRDefault="005C66D9" w:rsidP="005C66D9">
            <w:pPr>
              <w:pStyle w:val="TableParagraph"/>
              <w:spacing w:before="8"/>
              <w:rPr>
                <w:sz w:val="20"/>
                <w:szCs w:val="20"/>
              </w:rPr>
            </w:pPr>
            <w:r w:rsidRPr="006D649D">
              <w:rPr>
                <w:sz w:val="20"/>
                <w:szCs w:val="20"/>
              </w:rPr>
              <w:t>2006-2017</w:t>
            </w:r>
          </w:p>
        </w:tc>
        <w:tc>
          <w:tcPr>
            <w:tcW w:w="3421" w:type="dxa"/>
          </w:tcPr>
          <w:p w14:paraId="5C251A7F" w14:textId="4FA40976" w:rsidR="005C66D9" w:rsidRPr="00FB62EB" w:rsidRDefault="005C66D9" w:rsidP="005C66D9">
            <w:pPr>
              <w:pStyle w:val="TableParagraph"/>
              <w:spacing w:before="158"/>
              <w:ind w:left="114" w:right="589"/>
              <w:rPr>
                <w:sz w:val="20"/>
                <w:szCs w:val="20"/>
              </w:rPr>
            </w:pPr>
            <w:r w:rsidRPr="005302FD">
              <w:rPr>
                <w:sz w:val="20"/>
                <w:szCs w:val="20"/>
              </w:rPr>
              <w:t>The number of organizations coded as lobbying for the tourism, food, drink, and related businesses / interests</w:t>
            </w:r>
          </w:p>
        </w:tc>
        <w:tc>
          <w:tcPr>
            <w:tcW w:w="6482" w:type="dxa"/>
          </w:tcPr>
          <w:p w14:paraId="16766895" w14:textId="630BD679" w:rsidR="005C66D9" w:rsidRPr="00FB62EB" w:rsidRDefault="005C66D9" w:rsidP="005C66D9">
            <w:pPr>
              <w:pStyle w:val="TableParagraph"/>
              <w:spacing w:before="43"/>
              <w:ind w:left="114" w:right="405"/>
              <w:rPr>
                <w:sz w:val="20"/>
                <w:szCs w:val="20"/>
              </w:rPr>
            </w:pPr>
            <w:r w:rsidRPr="005302FD">
              <w:rPr>
                <w:sz w:val="20"/>
                <w:szCs w:val="20"/>
              </w:rPr>
              <w:t>Holyoke, Thomas T. "Dynamic state interest group systems: A new look with new data." Interest Groups &amp; Advocacy 8, no. 4 (2019): 499-518.</w:t>
            </w:r>
          </w:p>
        </w:tc>
      </w:tr>
      <w:tr w:rsidR="005C66D9" w14:paraId="13FDA82B" w14:textId="77777777">
        <w:trPr>
          <w:trHeight w:val="775"/>
        </w:trPr>
        <w:tc>
          <w:tcPr>
            <w:tcW w:w="1711" w:type="dxa"/>
          </w:tcPr>
          <w:p w14:paraId="582FBB4B" w14:textId="77777777" w:rsidR="005C66D9" w:rsidRPr="00FB62EB" w:rsidRDefault="005C66D9" w:rsidP="005C66D9">
            <w:pPr>
              <w:jc w:val="center"/>
              <w:rPr>
                <w:b/>
                <w:bCs/>
                <w:sz w:val="20"/>
                <w:szCs w:val="20"/>
              </w:rPr>
            </w:pPr>
            <w:r w:rsidRPr="00FB62EB">
              <w:rPr>
                <w:b/>
                <w:bCs/>
                <w:sz w:val="20"/>
                <w:szCs w:val="20"/>
              </w:rPr>
              <w:t>realestate_ig</w:t>
            </w:r>
          </w:p>
          <w:p w14:paraId="4AF0EFA9" w14:textId="77777777" w:rsidR="005C66D9" w:rsidRDefault="005C66D9" w:rsidP="005C66D9">
            <w:pPr>
              <w:jc w:val="center"/>
              <w:rPr>
                <w:b/>
                <w:bCs/>
                <w:sz w:val="20"/>
                <w:szCs w:val="20"/>
              </w:rPr>
            </w:pPr>
          </w:p>
        </w:tc>
        <w:tc>
          <w:tcPr>
            <w:tcW w:w="1596" w:type="dxa"/>
          </w:tcPr>
          <w:p w14:paraId="18270841" w14:textId="3A311632" w:rsidR="005C66D9" w:rsidRDefault="005C66D9" w:rsidP="005C66D9">
            <w:pPr>
              <w:pStyle w:val="TableParagraph"/>
              <w:spacing w:before="8"/>
              <w:rPr>
                <w:sz w:val="20"/>
              </w:rPr>
            </w:pPr>
            <w:r>
              <w:rPr>
                <w:sz w:val="20"/>
              </w:rPr>
              <w:t>Real estate lobbying</w:t>
            </w:r>
          </w:p>
        </w:tc>
        <w:tc>
          <w:tcPr>
            <w:tcW w:w="1285" w:type="dxa"/>
          </w:tcPr>
          <w:p w14:paraId="2C7461A2" w14:textId="082D4FDD" w:rsidR="005C66D9" w:rsidRPr="006D649D" w:rsidRDefault="005C66D9" w:rsidP="005C66D9">
            <w:pPr>
              <w:pStyle w:val="TableParagraph"/>
              <w:spacing w:before="8"/>
              <w:rPr>
                <w:sz w:val="20"/>
                <w:szCs w:val="20"/>
              </w:rPr>
            </w:pPr>
            <w:r w:rsidRPr="006D649D">
              <w:rPr>
                <w:sz w:val="20"/>
                <w:szCs w:val="20"/>
              </w:rPr>
              <w:t>2006-2017</w:t>
            </w:r>
          </w:p>
        </w:tc>
        <w:tc>
          <w:tcPr>
            <w:tcW w:w="3421" w:type="dxa"/>
          </w:tcPr>
          <w:p w14:paraId="07D24A4A" w14:textId="4D5D80A4" w:rsidR="005C66D9" w:rsidRPr="00FB62EB" w:rsidRDefault="005C66D9" w:rsidP="005C66D9">
            <w:pPr>
              <w:pStyle w:val="TableParagraph"/>
              <w:spacing w:before="158"/>
              <w:ind w:left="114" w:right="589"/>
              <w:rPr>
                <w:sz w:val="20"/>
                <w:szCs w:val="20"/>
              </w:rPr>
            </w:pPr>
            <w:r w:rsidRPr="005302FD">
              <w:rPr>
                <w:sz w:val="20"/>
                <w:szCs w:val="20"/>
              </w:rPr>
              <w:t>The number of organizations coded as lobbying for real estate businesses / interests</w:t>
            </w:r>
          </w:p>
        </w:tc>
        <w:tc>
          <w:tcPr>
            <w:tcW w:w="6482" w:type="dxa"/>
          </w:tcPr>
          <w:p w14:paraId="2978A278" w14:textId="171CE5A1" w:rsidR="005C66D9" w:rsidRPr="00FB62EB" w:rsidRDefault="005C66D9" w:rsidP="005C66D9">
            <w:pPr>
              <w:pStyle w:val="TableParagraph"/>
              <w:spacing w:before="43"/>
              <w:ind w:left="114" w:right="405"/>
              <w:rPr>
                <w:sz w:val="20"/>
                <w:szCs w:val="20"/>
              </w:rPr>
            </w:pPr>
            <w:r w:rsidRPr="005302FD">
              <w:rPr>
                <w:sz w:val="20"/>
                <w:szCs w:val="20"/>
              </w:rPr>
              <w:t>Holyoke, Thomas T. "Dynamic state interest group systems: A new look with new data." Interest Groups &amp; Advocacy 8, no. 4 (2019): 499-518.</w:t>
            </w:r>
          </w:p>
        </w:tc>
      </w:tr>
      <w:tr w:rsidR="005C66D9" w14:paraId="09B28C7E" w14:textId="77777777">
        <w:trPr>
          <w:trHeight w:val="775"/>
        </w:trPr>
        <w:tc>
          <w:tcPr>
            <w:tcW w:w="1711" w:type="dxa"/>
          </w:tcPr>
          <w:p w14:paraId="4AA200FE" w14:textId="77777777" w:rsidR="005C66D9" w:rsidRPr="00FB62EB" w:rsidRDefault="005C66D9" w:rsidP="005C66D9">
            <w:pPr>
              <w:jc w:val="center"/>
              <w:rPr>
                <w:b/>
                <w:bCs/>
                <w:sz w:val="20"/>
                <w:szCs w:val="20"/>
              </w:rPr>
            </w:pPr>
            <w:r w:rsidRPr="00FB62EB">
              <w:rPr>
                <w:b/>
                <w:bCs/>
                <w:sz w:val="20"/>
                <w:szCs w:val="20"/>
              </w:rPr>
              <w:t>socialservice_ig</w:t>
            </w:r>
          </w:p>
          <w:p w14:paraId="54244699" w14:textId="77777777" w:rsidR="005C66D9" w:rsidRPr="00FB62EB" w:rsidRDefault="005C66D9" w:rsidP="005C66D9">
            <w:pPr>
              <w:jc w:val="center"/>
              <w:rPr>
                <w:b/>
                <w:bCs/>
                <w:sz w:val="20"/>
                <w:szCs w:val="20"/>
              </w:rPr>
            </w:pPr>
          </w:p>
        </w:tc>
        <w:tc>
          <w:tcPr>
            <w:tcW w:w="1596" w:type="dxa"/>
          </w:tcPr>
          <w:p w14:paraId="0EB533ED" w14:textId="440CF042" w:rsidR="005C66D9" w:rsidRDefault="005C66D9" w:rsidP="005C66D9">
            <w:pPr>
              <w:pStyle w:val="TableParagraph"/>
              <w:spacing w:before="8"/>
              <w:rPr>
                <w:sz w:val="20"/>
              </w:rPr>
            </w:pPr>
            <w:r>
              <w:rPr>
                <w:sz w:val="20"/>
              </w:rPr>
              <w:t>Social service lobbying</w:t>
            </w:r>
          </w:p>
        </w:tc>
        <w:tc>
          <w:tcPr>
            <w:tcW w:w="1285" w:type="dxa"/>
          </w:tcPr>
          <w:p w14:paraId="5895C47E" w14:textId="3F69E19A" w:rsidR="005C66D9" w:rsidRPr="006D649D" w:rsidRDefault="005C66D9" w:rsidP="005C66D9">
            <w:pPr>
              <w:pStyle w:val="TableParagraph"/>
              <w:spacing w:before="8"/>
              <w:rPr>
                <w:sz w:val="20"/>
                <w:szCs w:val="20"/>
              </w:rPr>
            </w:pPr>
            <w:r w:rsidRPr="006D649D">
              <w:rPr>
                <w:sz w:val="20"/>
                <w:szCs w:val="20"/>
              </w:rPr>
              <w:t>2006-2017</w:t>
            </w:r>
          </w:p>
        </w:tc>
        <w:tc>
          <w:tcPr>
            <w:tcW w:w="3421" w:type="dxa"/>
          </w:tcPr>
          <w:p w14:paraId="049FF4DD" w14:textId="5C00B1AD" w:rsidR="005C66D9" w:rsidRPr="00FB62EB" w:rsidRDefault="005C66D9" w:rsidP="005C66D9">
            <w:pPr>
              <w:pStyle w:val="TableParagraph"/>
              <w:spacing w:before="158"/>
              <w:ind w:left="114" w:right="589"/>
              <w:rPr>
                <w:sz w:val="20"/>
                <w:szCs w:val="20"/>
              </w:rPr>
            </w:pPr>
            <w:r w:rsidRPr="005302FD">
              <w:rPr>
                <w:sz w:val="20"/>
                <w:szCs w:val="20"/>
              </w:rPr>
              <w:t>The number of organizations coded as lobbying for social service nonprofits and related interests</w:t>
            </w:r>
          </w:p>
        </w:tc>
        <w:tc>
          <w:tcPr>
            <w:tcW w:w="6482" w:type="dxa"/>
          </w:tcPr>
          <w:p w14:paraId="078162A8" w14:textId="21AD26CC" w:rsidR="005C66D9" w:rsidRPr="00FB62EB" w:rsidRDefault="005C66D9" w:rsidP="005C66D9">
            <w:pPr>
              <w:pStyle w:val="TableParagraph"/>
              <w:spacing w:before="43"/>
              <w:ind w:left="114" w:right="405"/>
              <w:rPr>
                <w:sz w:val="20"/>
                <w:szCs w:val="20"/>
              </w:rPr>
            </w:pPr>
            <w:r w:rsidRPr="005302FD">
              <w:rPr>
                <w:sz w:val="20"/>
                <w:szCs w:val="20"/>
              </w:rPr>
              <w:t>Holyoke, Thomas T. "Dynamic state interest group systems: A new look with new data." Interest Groups &amp; Advocacy 8, no. 4 (2019): 499-518.</w:t>
            </w:r>
          </w:p>
        </w:tc>
      </w:tr>
      <w:tr w:rsidR="005C66D9" w14:paraId="2BF6FC27" w14:textId="77777777">
        <w:trPr>
          <w:trHeight w:val="775"/>
        </w:trPr>
        <w:tc>
          <w:tcPr>
            <w:tcW w:w="1711" w:type="dxa"/>
          </w:tcPr>
          <w:p w14:paraId="1BD7C4F7" w14:textId="77777777" w:rsidR="005C66D9" w:rsidRPr="00FB62EB" w:rsidRDefault="005C66D9" w:rsidP="005C66D9">
            <w:pPr>
              <w:rPr>
                <w:b/>
                <w:bCs/>
                <w:sz w:val="20"/>
                <w:szCs w:val="20"/>
              </w:rPr>
            </w:pPr>
            <w:r w:rsidRPr="00FB62EB">
              <w:rPr>
                <w:b/>
                <w:bCs/>
                <w:sz w:val="20"/>
                <w:szCs w:val="20"/>
              </w:rPr>
              <w:t>transportation_ig</w:t>
            </w:r>
          </w:p>
          <w:p w14:paraId="29DA1B90" w14:textId="77777777" w:rsidR="005C66D9" w:rsidRPr="00FB62EB" w:rsidRDefault="005C66D9" w:rsidP="005C66D9">
            <w:pPr>
              <w:jc w:val="center"/>
              <w:rPr>
                <w:b/>
                <w:bCs/>
                <w:sz w:val="20"/>
                <w:szCs w:val="20"/>
              </w:rPr>
            </w:pPr>
          </w:p>
        </w:tc>
        <w:tc>
          <w:tcPr>
            <w:tcW w:w="1596" w:type="dxa"/>
          </w:tcPr>
          <w:p w14:paraId="2F602E04" w14:textId="4D205B52" w:rsidR="005C66D9" w:rsidRDefault="005C66D9" w:rsidP="005C66D9">
            <w:pPr>
              <w:pStyle w:val="TableParagraph"/>
              <w:spacing w:before="8"/>
              <w:rPr>
                <w:sz w:val="20"/>
              </w:rPr>
            </w:pPr>
            <w:r>
              <w:rPr>
                <w:sz w:val="20"/>
              </w:rPr>
              <w:t>Transportation lobbying</w:t>
            </w:r>
          </w:p>
        </w:tc>
        <w:tc>
          <w:tcPr>
            <w:tcW w:w="1285" w:type="dxa"/>
          </w:tcPr>
          <w:p w14:paraId="17D22CF7" w14:textId="6D5C47FB" w:rsidR="005C66D9" w:rsidRPr="006D649D" w:rsidRDefault="005C66D9" w:rsidP="005C66D9">
            <w:pPr>
              <w:pStyle w:val="TableParagraph"/>
              <w:spacing w:before="8"/>
              <w:rPr>
                <w:sz w:val="20"/>
                <w:szCs w:val="20"/>
              </w:rPr>
            </w:pPr>
            <w:r w:rsidRPr="006D649D">
              <w:rPr>
                <w:sz w:val="20"/>
                <w:szCs w:val="20"/>
              </w:rPr>
              <w:t>2006-2017</w:t>
            </w:r>
          </w:p>
        </w:tc>
        <w:tc>
          <w:tcPr>
            <w:tcW w:w="3421" w:type="dxa"/>
          </w:tcPr>
          <w:p w14:paraId="7513CD94" w14:textId="0842574E" w:rsidR="005C66D9" w:rsidRPr="005302FD" w:rsidRDefault="005C66D9" w:rsidP="005C66D9">
            <w:pPr>
              <w:pStyle w:val="TableParagraph"/>
              <w:spacing w:before="158"/>
              <w:ind w:left="114" w:right="589"/>
              <w:rPr>
                <w:sz w:val="20"/>
                <w:szCs w:val="20"/>
              </w:rPr>
            </w:pPr>
            <w:r w:rsidRPr="005302FD">
              <w:rPr>
                <w:sz w:val="20"/>
                <w:szCs w:val="20"/>
              </w:rPr>
              <w:t>The number of organizations coded as lobbying for transportation businesses / interests</w:t>
            </w:r>
          </w:p>
        </w:tc>
        <w:tc>
          <w:tcPr>
            <w:tcW w:w="6482" w:type="dxa"/>
          </w:tcPr>
          <w:p w14:paraId="13C29C68" w14:textId="741C0D32" w:rsidR="005C66D9" w:rsidRPr="005302FD" w:rsidRDefault="005C66D9" w:rsidP="005C66D9">
            <w:pPr>
              <w:pStyle w:val="TableParagraph"/>
              <w:spacing w:before="43"/>
              <w:ind w:left="114" w:right="405"/>
              <w:rPr>
                <w:sz w:val="20"/>
                <w:szCs w:val="20"/>
              </w:rPr>
            </w:pPr>
            <w:r w:rsidRPr="005302FD">
              <w:rPr>
                <w:sz w:val="20"/>
                <w:szCs w:val="20"/>
              </w:rPr>
              <w:t>Holyoke, Thomas T. "Dynamic state interest group systems: A new look with new data." Interest Groups &amp; Advocacy 8, no. 4 (2019): 499-518.</w:t>
            </w:r>
          </w:p>
        </w:tc>
      </w:tr>
    </w:tbl>
    <w:p w14:paraId="30262C60" w14:textId="77777777" w:rsidR="0046798B" w:rsidRDefault="0046798B">
      <w:pPr>
        <w:rPr>
          <w:sz w:val="20"/>
        </w:rPr>
        <w:sectPr w:rsidR="0046798B">
          <w:pgSz w:w="15840" w:h="12240" w:orient="landscape"/>
          <w:pgMar w:top="1220" w:right="300" w:bottom="980" w:left="820" w:header="730" w:footer="787" w:gutter="0"/>
          <w:cols w:space="720"/>
        </w:sectPr>
      </w:pPr>
    </w:p>
    <w:p w14:paraId="43813EC9" w14:textId="77777777" w:rsidR="0046798B" w:rsidRDefault="0046798B">
      <w:pPr>
        <w:pStyle w:val="BodyText"/>
        <w:spacing w:before="1"/>
        <w:rPr>
          <w:sz w:val="11"/>
        </w:rPr>
      </w:pPr>
    </w:p>
    <w:p w14:paraId="50526BAD" w14:textId="77777777" w:rsidR="0046798B" w:rsidRDefault="00903B5C">
      <w:pPr>
        <w:pStyle w:val="ListParagraph"/>
        <w:numPr>
          <w:ilvl w:val="0"/>
          <w:numId w:val="12"/>
        </w:numPr>
        <w:tabs>
          <w:tab w:val="left" w:pos="5282"/>
        </w:tabs>
        <w:spacing w:before="88"/>
        <w:ind w:left="5281" w:hanging="344"/>
        <w:jc w:val="left"/>
        <w:rPr>
          <w:b/>
          <w:sz w:val="28"/>
        </w:rPr>
      </w:pPr>
      <w:bookmarkStart w:id="8" w:name="V._Policy_Scores_and_Public_Opinion"/>
      <w:bookmarkStart w:id="9" w:name="_bookmark4"/>
      <w:bookmarkEnd w:id="8"/>
      <w:bookmarkEnd w:id="9"/>
      <w:r>
        <w:rPr>
          <w:b/>
          <w:sz w:val="28"/>
        </w:rPr>
        <w:t>Policy Scores and Public</w:t>
      </w:r>
      <w:r>
        <w:rPr>
          <w:b/>
          <w:spacing w:val="-8"/>
          <w:sz w:val="28"/>
        </w:rPr>
        <w:t xml:space="preserve"> </w:t>
      </w:r>
      <w:r>
        <w:rPr>
          <w:b/>
          <w:sz w:val="28"/>
        </w:rPr>
        <w:t>Opinion</w:t>
      </w:r>
    </w:p>
    <w:p w14:paraId="04F9B0B4" w14:textId="77777777" w:rsidR="0046798B" w:rsidRDefault="0046798B">
      <w:pPr>
        <w:pStyle w:val="BodyText"/>
        <w:spacing w:before="7"/>
        <w:rPr>
          <w:b/>
          <w:sz w:val="16"/>
        </w:rPr>
      </w:pPr>
    </w:p>
    <w:p w14:paraId="79FCAF98" w14:textId="77777777" w:rsidR="0046798B" w:rsidRDefault="00903B5C">
      <w:pPr>
        <w:pStyle w:val="ListParagraph"/>
        <w:numPr>
          <w:ilvl w:val="0"/>
          <w:numId w:val="7"/>
        </w:numPr>
        <w:tabs>
          <w:tab w:val="left" w:pos="916"/>
        </w:tabs>
        <w:spacing w:before="90"/>
        <w:rPr>
          <w:b/>
          <w:sz w:val="24"/>
        </w:rPr>
      </w:pPr>
      <w:r>
        <w:rPr>
          <w:b/>
          <w:sz w:val="24"/>
          <w:u w:val="single"/>
        </w:rPr>
        <w:t>Policy Liberalism and Innovativeness</w:t>
      </w:r>
    </w:p>
    <w:p w14:paraId="6DE961FD" w14:textId="77777777" w:rsidR="0046798B" w:rsidRDefault="0046798B">
      <w:pPr>
        <w:pStyle w:val="BodyText"/>
        <w:spacing w:before="8" w:after="1"/>
        <w:rPr>
          <w:b/>
          <w:sz w:val="23"/>
        </w:rPr>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F2FC8A0" w14:textId="77777777">
        <w:trPr>
          <w:trHeight w:val="590"/>
        </w:trPr>
        <w:tc>
          <w:tcPr>
            <w:tcW w:w="1711" w:type="dxa"/>
          </w:tcPr>
          <w:p w14:paraId="2D6105D9" w14:textId="77777777" w:rsidR="0046798B" w:rsidRDefault="00903B5C">
            <w:pPr>
              <w:pStyle w:val="TableParagraph"/>
              <w:spacing w:before="164"/>
              <w:ind w:left="140"/>
              <w:rPr>
                <w:b/>
              </w:rPr>
            </w:pPr>
            <w:r>
              <w:rPr>
                <w:b/>
              </w:rPr>
              <w:t>Variable Name</w:t>
            </w:r>
          </w:p>
        </w:tc>
        <w:tc>
          <w:tcPr>
            <w:tcW w:w="1596" w:type="dxa"/>
          </w:tcPr>
          <w:p w14:paraId="7E2A0EB3" w14:textId="77777777" w:rsidR="0046798B" w:rsidRDefault="00903B5C">
            <w:pPr>
              <w:pStyle w:val="TableParagraph"/>
              <w:spacing w:before="39" w:line="242" w:lineRule="auto"/>
              <w:ind w:left="249" w:right="229" w:firstLine="280"/>
              <w:rPr>
                <w:b/>
              </w:rPr>
            </w:pPr>
            <w:r>
              <w:rPr>
                <w:b/>
              </w:rPr>
              <w:t>Short Description</w:t>
            </w:r>
          </w:p>
        </w:tc>
        <w:tc>
          <w:tcPr>
            <w:tcW w:w="1285" w:type="dxa"/>
          </w:tcPr>
          <w:p w14:paraId="2E82E410" w14:textId="77777777" w:rsidR="0046798B" w:rsidRDefault="00903B5C">
            <w:pPr>
              <w:pStyle w:val="TableParagraph"/>
              <w:spacing w:before="164"/>
              <w:ind w:left="364"/>
              <w:rPr>
                <w:b/>
              </w:rPr>
            </w:pPr>
            <w:r>
              <w:rPr>
                <w:b/>
              </w:rPr>
              <w:t>Years</w:t>
            </w:r>
          </w:p>
        </w:tc>
        <w:tc>
          <w:tcPr>
            <w:tcW w:w="3421" w:type="dxa"/>
          </w:tcPr>
          <w:p w14:paraId="6E73F72D" w14:textId="77777777" w:rsidR="0046798B" w:rsidRDefault="00903B5C">
            <w:pPr>
              <w:pStyle w:val="TableParagraph"/>
              <w:spacing w:before="39"/>
              <w:ind w:left="159" w:right="146"/>
              <w:jc w:val="center"/>
              <w:rPr>
                <w:b/>
              </w:rPr>
            </w:pPr>
            <w:r>
              <w:rPr>
                <w:b/>
              </w:rPr>
              <w:t>Coding /</w:t>
            </w:r>
          </w:p>
          <w:p w14:paraId="71DE707B" w14:textId="77777777" w:rsidR="0046798B" w:rsidRDefault="00903B5C">
            <w:pPr>
              <w:pStyle w:val="TableParagraph"/>
              <w:spacing w:before="3"/>
              <w:ind w:left="159" w:right="150"/>
              <w:jc w:val="center"/>
              <w:rPr>
                <w:b/>
              </w:rPr>
            </w:pPr>
            <w:r>
              <w:rPr>
                <w:b/>
              </w:rPr>
              <w:t>Longer Description (if available)</w:t>
            </w:r>
          </w:p>
        </w:tc>
        <w:tc>
          <w:tcPr>
            <w:tcW w:w="6482" w:type="dxa"/>
          </w:tcPr>
          <w:p w14:paraId="7D8E17B0" w14:textId="77777777" w:rsidR="0046798B" w:rsidRDefault="00903B5C">
            <w:pPr>
              <w:pStyle w:val="TableParagraph"/>
              <w:spacing w:before="164"/>
              <w:ind w:left="2852" w:right="2845"/>
              <w:jc w:val="center"/>
              <w:rPr>
                <w:b/>
              </w:rPr>
            </w:pPr>
            <w:r>
              <w:rPr>
                <w:b/>
              </w:rPr>
              <w:t>Sources</w:t>
            </w:r>
          </w:p>
        </w:tc>
      </w:tr>
      <w:tr w:rsidR="0046798B" w14:paraId="61749123" w14:textId="77777777">
        <w:trPr>
          <w:trHeight w:val="1010"/>
        </w:trPr>
        <w:tc>
          <w:tcPr>
            <w:tcW w:w="1711" w:type="dxa"/>
          </w:tcPr>
          <w:p w14:paraId="77308E8B" w14:textId="77777777" w:rsidR="0046798B" w:rsidRDefault="0046798B">
            <w:pPr>
              <w:pStyle w:val="TableParagraph"/>
              <w:rPr>
                <w:b/>
              </w:rPr>
            </w:pPr>
          </w:p>
          <w:p w14:paraId="1CD96455" w14:textId="77777777" w:rsidR="0046798B" w:rsidRDefault="00903B5C">
            <w:pPr>
              <w:pStyle w:val="TableParagraph"/>
              <w:spacing w:before="135"/>
              <w:ind w:left="115"/>
              <w:rPr>
                <w:b/>
                <w:sz w:val="20"/>
              </w:rPr>
            </w:pPr>
            <w:r>
              <w:rPr>
                <w:b/>
                <w:sz w:val="20"/>
              </w:rPr>
              <w:t>avgec_low</w:t>
            </w:r>
          </w:p>
        </w:tc>
        <w:tc>
          <w:tcPr>
            <w:tcW w:w="1596" w:type="dxa"/>
          </w:tcPr>
          <w:p w14:paraId="5AEAD1D7" w14:textId="77777777" w:rsidR="0046798B" w:rsidRDefault="00903B5C">
            <w:pPr>
              <w:pStyle w:val="TableParagraph"/>
              <w:spacing w:before="43"/>
              <w:ind w:left="114" w:right="152"/>
              <w:rPr>
                <w:sz w:val="20"/>
              </w:rPr>
            </w:pPr>
            <w:r>
              <w:rPr>
                <w:sz w:val="20"/>
              </w:rPr>
              <w:t>Mean economic liberalism—low income respondents</w:t>
            </w:r>
          </w:p>
        </w:tc>
        <w:tc>
          <w:tcPr>
            <w:tcW w:w="1285" w:type="dxa"/>
          </w:tcPr>
          <w:p w14:paraId="7D811173" w14:textId="77777777" w:rsidR="0046798B" w:rsidRDefault="0046798B">
            <w:pPr>
              <w:pStyle w:val="TableParagraph"/>
              <w:rPr>
                <w:b/>
              </w:rPr>
            </w:pPr>
          </w:p>
          <w:p w14:paraId="5B875BA4" w14:textId="77777777" w:rsidR="0046798B" w:rsidRDefault="00903B5C">
            <w:pPr>
              <w:pStyle w:val="TableParagraph"/>
              <w:spacing w:before="135"/>
              <w:ind w:left="114"/>
              <w:rPr>
                <w:sz w:val="20"/>
              </w:rPr>
            </w:pPr>
            <w:r>
              <w:rPr>
                <w:sz w:val="20"/>
              </w:rPr>
              <w:t>2000</w:t>
            </w:r>
          </w:p>
        </w:tc>
        <w:tc>
          <w:tcPr>
            <w:tcW w:w="3421" w:type="dxa"/>
          </w:tcPr>
          <w:p w14:paraId="72D38DF3" w14:textId="77777777" w:rsidR="0046798B" w:rsidRDefault="0046798B">
            <w:pPr>
              <w:pStyle w:val="TableParagraph"/>
              <w:spacing w:before="8"/>
              <w:rPr>
                <w:b/>
                <w:sz w:val="23"/>
              </w:rPr>
            </w:pPr>
          </w:p>
          <w:p w14:paraId="38F98848" w14:textId="77777777" w:rsidR="0046798B" w:rsidRDefault="00903B5C">
            <w:pPr>
              <w:pStyle w:val="TableParagraph"/>
              <w:spacing w:before="1"/>
              <w:ind w:left="114" w:right="389"/>
              <w:rPr>
                <w:sz w:val="20"/>
              </w:rPr>
            </w:pPr>
            <w:r>
              <w:rPr>
                <w:sz w:val="20"/>
              </w:rPr>
              <w:t>Mean economic liberalism score for low income citizens</w:t>
            </w:r>
          </w:p>
        </w:tc>
        <w:tc>
          <w:tcPr>
            <w:tcW w:w="6482" w:type="dxa"/>
          </w:tcPr>
          <w:p w14:paraId="57EE064D" w14:textId="77777777" w:rsidR="0046798B" w:rsidRDefault="00903B5C">
            <w:pPr>
              <w:pStyle w:val="TableParagraph"/>
              <w:spacing w:before="158"/>
              <w:ind w:left="114" w:right="122"/>
              <w:rPr>
                <w:sz w:val="20"/>
              </w:rPr>
            </w:pPr>
            <w:r>
              <w:rPr>
                <w:sz w:val="20"/>
              </w:rPr>
              <w:t xml:space="preserve">Rigby, Elizabeth, and Gerald C. Wright. “Political Parties and Representation of the Poor in the American States.” </w:t>
            </w:r>
            <w:r>
              <w:rPr>
                <w:i/>
                <w:sz w:val="20"/>
              </w:rPr>
              <w:t xml:space="preserve">American Journal of Political Science </w:t>
            </w:r>
            <w:r>
              <w:rPr>
                <w:sz w:val="20"/>
              </w:rPr>
              <w:t>57.3 (2013): 552–565.</w:t>
            </w:r>
          </w:p>
        </w:tc>
      </w:tr>
      <w:tr w:rsidR="0046798B" w14:paraId="2B1F272A" w14:textId="77777777">
        <w:trPr>
          <w:trHeight w:val="1005"/>
        </w:trPr>
        <w:tc>
          <w:tcPr>
            <w:tcW w:w="1711" w:type="dxa"/>
          </w:tcPr>
          <w:p w14:paraId="4FF0CB66" w14:textId="77777777" w:rsidR="0046798B" w:rsidRDefault="0046798B">
            <w:pPr>
              <w:pStyle w:val="TableParagraph"/>
              <w:rPr>
                <w:b/>
              </w:rPr>
            </w:pPr>
          </w:p>
          <w:p w14:paraId="63B7E02B" w14:textId="77777777" w:rsidR="0046798B" w:rsidRDefault="00903B5C">
            <w:pPr>
              <w:pStyle w:val="TableParagraph"/>
              <w:spacing w:before="130"/>
              <w:ind w:left="115"/>
              <w:rPr>
                <w:b/>
                <w:sz w:val="20"/>
              </w:rPr>
            </w:pPr>
            <w:r>
              <w:rPr>
                <w:b/>
                <w:sz w:val="20"/>
              </w:rPr>
              <w:t>avgec_mid</w:t>
            </w:r>
          </w:p>
        </w:tc>
        <w:tc>
          <w:tcPr>
            <w:tcW w:w="1596" w:type="dxa"/>
          </w:tcPr>
          <w:p w14:paraId="201FC2D7" w14:textId="77777777" w:rsidR="0046798B" w:rsidRDefault="00903B5C">
            <w:pPr>
              <w:pStyle w:val="TableParagraph"/>
              <w:spacing w:before="38"/>
              <w:ind w:left="114" w:right="141"/>
              <w:rPr>
                <w:sz w:val="20"/>
              </w:rPr>
            </w:pPr>
            <w:r>
              <w:rPr>
                <w:sz w:val="20"/>
              </w:rPr>
              <w:t>Mean economic liberalism—mid income respondents</w:t>
            </w:r>
          </w:p>
        </w:tc>
        <w:tc>
          <w:tcPr>
            <w:tcW w:w="1285" w:type="dxa"/>
          </w:tcPr>
          <w:p w14:paraId="7D827730" w14:textId="77777777" w:rsidR="0046798B" w:rsidRDefault="0046798B">
            <w:pPr>
              <w:pStyle w:val="TableParagraph"/>
              <w:rPr>
                <w:b/>
              </w:rPr>
            </w:pPr>
          </w:p>
          <w:p w14:paraId="1123586A" w14:textId="77777777" w:rsidR="0046798B" w:rsidRDefault="00903B5C">
            <w:pPr>
              <w:pStyle w:val="TableParagraph"/>
              <w:spacing w:before="130"/>
              <w:ind w:left="114"/>
              <w:rPr>
                <w:sz w:val="20"/>
              </w:rPr>
            </w:pPr>
            <w:r>
              <w:rPr>
                <w:sz w:val="20"/>
              </w:rPr>
              <w:t>2000</w:t>
            </w:r>
          </w:p>
        </w:tc>
        <w:tc>
          <w:tcPr>
            <w:tcW w:w="3421" w:type="dxa"/>
          </w:tcPr>
          <w:p w14:paraId="1403843F" w14:textId="77777777" w:rsidR="0046798B" w:rsidRDefault="0046798B">
            <w:pPr>
              <w:pStyle w:val="TableParagraph"/>
              <w:spacing w:before="4"/>
              <w:rPr>
                <w:b/>
                <w:sz w:val="23"/>
              </w:rPr>
            </w:pPr>
          </w:p>
          <w:p w14:paraId="65F51F07" w14:textId="77777777" w:rsidR="0046798B" w:rsidRDefault="00903B5C">
            <w:pPr>
              <w:pStyle w:val="TableParagraph"/>
              <w:ind w:left="114" w:right="389"/>
              <w:rPr>
                <w:sz w:val="20"/>
              </w:rPr>
            </w:pPr>
            <w:r>
              <w:rPr>
                <w:sz w:val="20"/>
              </w:rPr>
              <w:t>Mean economic liberalism score for middle income citizens</w:t>
            </w:r>
          </w:p>
        </w:tc>
        <w:tc>
          <w:tcPr>
            <w:tcW w:w="6482" w:type="dxa"/>
          </w:tcPr>
          <w:p w14:paraId="07B44DF3" w14:textId="77777777" w:rsidR="0046798B" w:rsidRDefault="00903B5C">
            <w:pPr>
              <w:pStyle w:val="TableParagraph"/>
              <w:spacing w:before="153"/>
              <w:ind w:left="114" w:right="122"/>
              <w:rPr>
                <w:sz w:val="20"/>
              </w:rPr>
            </w:pPr>
            <w:r>
              <w:rPr>
                <w:sz w:val="20"/>
              </w:rPr>
              <w:t xml:space="preserve">Rigby, Elizabeth, and Gerald C. Wright. “Political Parties and Representation of the Poor in the American States.” </w:t>
            </w:r>
            <w:r>
              <w:rPr>
                <w:i/>
                <w:sz w:val="20"/>
              </w:rPr>
              <w:t xml:space="preserve">American Journal of Political Science </w:t>
            </w:r>
            <w:r>
              <w:rPr>
                <w:sz w:val="20"/>
              </w:rPr>
              <w:t>57.3 (2013): 552–565.</w:t>
            </w:r>
          </w:p>
        </w:tc>
      </w:tr>
      <w:tr w:rsidR="0046798B" w14:paraId="62E1F52D" w14:textId="77777777">
        <w:trPr>
          <w:trHeight w:val="1005"/>
        </w:trPr>
        <w:tc>
          <w:tcPr>
            <w:tcW w:w="1711" w:type="dxa"/>
          </w:tcPr>
          <w:p w14:paraId="652E3F76" w14:textId="77777777" w:rsidR="0046798B" w:rsidRDefault="0046798B">
            <w:pPr>
              <w:pStyle w:val="TableParagraph"/>
              <w:rPr>
                <w:b/>
              </w:rPr>
            </w:pPr>
          </w:p>
          <w:p w14:paraId="3A457D77" w14:textId="77777777" w:rsidR="0046798B" w:rsidRDefault="00903B5C">
            <w:pPr>
              <w:pStyle w:val="TableParagraph"/>
              <w:spacing w:before="130"/>
              <w:ind w:left="115"/>
              <w:rPr>
                <w:b/>
                <w:sz w:val="20"/>
              </w:rPr>
            </w:pPr>
            <w:r>
              <w:rPr>
                <w:b/>
                <w:sz w:val="20"/>
              </w:rPr>
              <w:t>avgec_high</w:t>
            </w:r>
          </w:p>
        </w:tc>
        <w:tc>
          <w:tcPr>
            <w:tcW w:w="1596" w:type="dxa"/>
          </w:tcPr>
          <w:p w14:paraId="16EB11C7" w14:textId="77777777" w:rsidR="0046798B" w:rsidRDefault="00903B5C">
            <w:pPr>
              <w:pStyle w:val="TableParagraph"/>
              <w:spacing w:before="38"/>
              <w:ind w:left="114" w:right="96"/>
              <w:rPr>
                <w:sz w:val="20"/>
              </w:rPr>
            </w:pPr>
            <w:r>
              <w:rPr>
                <w:sz w:val="20"/>
              </w:rPr>
              <w:t>Mean economic liberalism—high income respondents</w:t>
            </w:r>
          </w:p>
        </w:tc>
        <w:tc>
          <w:tcPr>
            <w:tcW w:w="1285" w:type="dxa"/>
          </w:tcPr>
          <w:p w14:paraId="5315C713" w14:textId="77777777" w:rsidR="0046798B" w:rsidRDefault="0046798B">
            <w:pPr>
              <w:pStyle w:val="TableParagraph"/>
              <w:rPr>
                <w:b/>
              </w:rPr>
            </w:pPr>
          </w:p>
          <w:p w14:paraId="0582FE32" w14:textId="77777777" w:rsidR="0046798B" w:rsidRDefault="00903B5C">
            <w:pPr>
              <w:pStyle w:val="TableParagraph"/>
              <w:spacing w:before="130"/>
              <w:ind w:left="114"/>
              <w:rPr>
                <w:sz w:val="20"/>
              </w:rPr>
            </w:pPr>
            <w:r>
              <w:rPr>
                <w:sz w:val="20"/>
              </w:rPr>
              <w:t>2000</w:t>
            </w:r>
          </w:p>
        </w:tc>
        <w:tc>
          <w:tcPr>
            <w:tcW w:w="3421" w:type="dxa"/>
          </w:tcPr>
          <w:p w14:paraId="0D5E72EC" w14:textId="77777777" w:rsidR="0046798B" w:rsidRDefault="0046798B">
            <w:pPr>
              <w:pStyle w:val="TableParagraph"/>
              <w:spacing w:before="4"/>
              <w:rPr>
                <w:b/>
                <w:sz w:val="23"/>
              </w:rPr>
            </w:pPr>
          </w:p>
          <w:p w14:paraId="7B6B8865" w14:textId="77777777" w:rsidR="0046798B" w:rsidRDefault="00903B5C">
            <w:pPr>
              <w:pStyle w:val="TableParagraph"/>
              <w:ind w:left="114" w:right="389"/>
              <w:rPr>
                <w:sz w:val="20"/>
              </w:rPr>
            </w:pPr>
            <w:r>
              <w:rPr>
                <w:sz w:val="20"/>
              </w:rPr>
              <w:t>Mean economic liberalism score for high income citizens</w:t>
            </w:r>
          </w:p>
        </w:tc>
        <w:tc>
          <w:tcPr>
            <w:tcW w:w="6482" w:type="dxa"/>
          </w:tcPr>
          <w:p w14:paraId="675C8187" w14:textId="77777777" w:rsidR="0046798B" w:rsidRDefault="00903B5C">
            <w:pPr>
              <w:pStyle w:val="TableParagraph"/>
              <w:spacing w:before="153"/>
              <w:ind w:left="114" w:right="122"/>
              <w:rPr>
                <w:sz w:val="20"/>
              </w:rPr>
            </w:pPr>
            <w:r>
              <w:rPr>
                <w:sz w:val="20"/>
              </w:rPr>
              <w:t xml:space="preserve">Rigby, Elizabeth, and Gerald C. Wright. “Political Parties and Representation of the Poor in the American States.” </w:t>
            </w:r>
            <w:r>
              <w:rPr>
                <w:i/>
                <w:sz w:val="20"/>
              </w:rPr>
              <w:t xml:space="preserve">American Journal of Political Science </w:t>
            </w:r>
            <w:r>
              <w:rPr>
                <w:sz w:val="20"/>
              </w:rPr>
              <w:t>57.3 (2013): 552–565.</w:t>
            </w:r>
          </w:p>
        </w:tc>
      </w:tr>
      <w:tr w:rsidR="0046798B" w14:paraId="680CC4F1" w14:textId="77777777">
        <w:trPr>
          <w:trHeight w:val="1005"/>
        </w:trPr>
        <w:tc>
          <w:tcPr>
            <w:tcW w:w="1711" w:type="dxa"/>
          </w:tcPr>
          <w:p w14:paraId="1187B716" w14:textId="77777777" w:rsidR="0046798B" w:rsidRDefault="0046798B">
            <w:pPr>
              <w:pStyle w:val="TableParagraph"/>
              <w:rPr>
                <w:b/>
              </w:rPr>
            </w:pPr>
          </w:p>
          <w:p w14:paraId="1E878483" w14:textId="77777777" w:rsidR="0046798B" w:rsidRDefault="00903B5C">
            <w:pPr>
              <w:pStyle w:val="TableParagraph"/>
              <w:spacing w:before="136"/>
              <w:ind w:left="115"/>
              <w:rPr>
                <w:b/>
                <w:sz w:val="20"/>
              </w:rPr>
            </w:pPr>
            <w:r>
              <w:rPr>
                <w:b/>
                <w:sz w:val="20"/>
              </w:rPr>
              <w:t>avgsoc_low</w:t>
            </w:r>
          </w:p>
        </w:tc>
        <w:tc>
          <w:tcPr>
            <w:tcW w:w="1596" w:type="dxa"/>
          </w:tcPr>
          <w:p w14:paraId="4FF34DEF" w14:textId="77777777" w:rsidR="0046798B" w:rsidRDefault="00903B5C">
            <w:pPr>
              <w:pStyle w:val="TableParagraph"/>
              <w:spacing w:before="43"/>
              <w:ind w:left="114" w:right="152"/>
              <w:rPr>
                <w:sz w:val="20"/>
              </w:rPr>
            </w:pPr>
            <w:r>
              <w:rPr>
                <w:sz w:val="20"/>
              </w:rPr>
              <w:t>Mean social liberalism—low income respondents</w:t>
            </w:r>
          </w:p>
        </w:tc>
        <w:tc>
          <w:tcPr>
            <w:tcW w:w="1285" w:type="dxa"/>
          </w:tcPr>
          <w:p w14:paraId="4401BA71" w14:textId="77777777" w:rsidR="0046798B" w:rsidRDefault="0046798B">
            <w:pPr>
              <w:pStyle w:val="TableParagraph"/>
              <w:rPr>
                <w:b/>
              </w:rPr>
            </w:pPr>
          </w:p>
          <w:p w14:paraId="115A5B1E" w14:textId="77777777" w:rsidR="0046798B" w:rsidRDefault="00903B5C">
            <w:pPr>
              <w:pStyle w:val="TableParagraph"/>
              <w:spacing w:before="136"/>
              <w:ind w:left="114"/>
              <w:rPr>
                <w:sz w:val="20"/>
              </w:rPr>
            </w:pPr>
            <w:r>
              <w:rPr>
                <w:sz w:val="20"/>
              </w:rPr>
              <w:t>2000</w:t>
            </w:r>
          </w:p>
        </w:tc>
        <w:tc>
          <w:tcPr>
            <w:tcW w:w="3421" w:type="dxa"/>
          </w:tcPr>
          <w:p w14:paraId="52664E1C" w14:textId="77777777" w:rsidR="0046798B" w:rsidRDefault="0046798B">
            <w:pPr>
              <w:pStyle w:val="TableParagraph"/>
              <w:spacing w:before="8"/>
              <w:rPr>
                <w:b/>
                <w:sz w:val="23"/>
              </w:rPr>
            </w:pPr>
          </w:p>
          <w:p w14:paraId="39CF7B90" w14:textId="77777777" w:rsidR="0046798B" w:rsidRDefault="00903B5C">
            <w:pPr>
              <w:pStyle w:val="TableParagraph"/>
              <w:spacing w:before="1"/>
              <w:ind w:left="114" w:right="350"/>
              <w:rPr>
                <w:sz w:val="20"/>
              </w:rPr>
            </w:pPr>
            <w:r>
              <w:rPr>
                <w:sz w:val="20"/>
              </w:rPr>
              <w:t>Mean social liberalism score for low income citizens</w:t>
            </w:r>
          </w:p>
        </w:tc>
        <w:tc>
          <w:tcPr>
            <w:tcW w:w="6482" w:type="dxa"/>
          </w:tcPr>
          <w:p w14:paraId="67C412A9" w14:textId="77777777" w:rsidR="0046798B" w:rsidRDefault="00903B5C">
            <w:pPr>
              <w:pStyle w:val="TableParagraph"/>
              <w:spacing w:before="158"/>
              <w:ind w:left="114" w:right="122"/>
              <w:rPr>
                <w:sz w:val="20"/>
              </w:rPr>
            </w:pPr>
            <w:r>
              <w:rPr>
                <w:sz w:val="20"/>
              </w:rPr>
              <w:t xml:space="preserve">Rigby, Elizabeth, and Gerald C. Wright. “Political Parties and Representation of the Poor in the American States.” </w:t>
            </w:r>
            <w:r>
              <w:rPr>
                <w:i/>
                <w:sz w:val="20"/>
              </w:rPr>
              <w:t xml:space="preserve">American Journal of Political Science </w:t>
            </w:r>
            <w:r>
              <w:rPr>
                <w:sz w:val="20"/>
              </w:rPr>
              <w:t>57.3 (2013): 552–565.</w:t>
            </w:r>
          </w:p>
        </w:tc>
      </w:tr>
      <w:tr w:rsidR="0046798B" w14:paraId="611446B6" w14:textId="77777777">
        <w:trPr>
          <w:trHeight w:val="1005"/>
        </w:trPr>
        <w:tc>
          <w:tcPr>
            <w:tcW w:w="1711" w:type="dxa"/>
          </w:tcPr>
          <w:p w14:paraId="4CEC52CD" w14:textId="77777777" w:rsidR="0046798B" w:rsidRDefault="0046798B">
            <w:pPr>
              <w:pStyle w:val="TableParagraph"/>
              <w:rPr>
                <w:b/>
              </w:rPr>
            </w:pPr>
          </w:p>
          <w:p w14:paraId="213168FA" w14:textId="77777777" w:rsidR="0046798B" w:rsidRDefault="00903B5C">
            <w:pPr>
              <w:pStyle w:val="TableParagraph"/>
              <w:spacing w:before="135"/>
              <w:ind w:left="115"/>
              <w:rPr>
                <w:b/>
                <w:sz w:val="20"/>
              </w:rPr>
            </w:pPr>
            <w:r>
              <w:rPr>
                <w:b/>
                <w:sz w:val="20"/>
              </w:rPr>
              <w:t>avgsoc_mid</w:t>
            </w:r>
          </w:p>
        </w:tc>
        <w:tc>
          <w:tcPr>
            <w:tcW w:w="1596" w:type="dxa"/>
          </w:tcPr>
          <w:p w14:paraId="7F9504E0" w14:textId="77777777" w:rsidR="0046798B" w:rsidRDefault="00903B5C">
            <w:pPr>
              <w:pStyle w:val="TableParagraph"/>
              <w:spacing w:before="43"/>
              <w:ind w:left="114" w:right="141"/>
              <w:rPr>
                <w:sz w:val="20"/>
              </w:rPr>
            </w:pPr>
            <w:r>
              <w:rPr>
                <w:sz w:val="20"/>
              </w:rPr>
              <w:t>Mean social liberalism—mid income respondents</w:t>
            </w:r>
          </w:p>
        </w:tc>
        <w:tc>
          <w:tcPr>
            <w:tcW w:w="1285" w:type="dxa"/>
          </w:tcPr>
          <w:p w14:paraId="12E8FF36" w14:textId="77777777" w:rsidR="0046798B" w:rsidRDefault="0046798B">
            <w:pPr>
              <w:pStyle w:val="TableParagraph"/>
              <w:rPr>
                <w:b/>
              </w:rPr>
            </w:pPr>
          </w:p>
          <w:p w14:paraId="0F937B95" w14:textId="77777777" w:rsidR="0046798B" w:rsidRDefault="00903B5C">
            <w:pPr>
              <w:pStyle w:val="TableParagraph"/>
              <w:spacing w:before="135"/>
              <w:ind w:left="114"/>
              <w:rPr>
                <w:sz w:val="20"/>
              </w:rPr>
            </w:pPr>
            <w:r>
              <w:rPr>
                <w:sz w:val="20"/>
              </w:rPr>
              <w:t>2000</w:t>
            </w:r>
          </w:p>
        </w:tc>
        <w:tc>
          <w:tcPr>
            <w:tcW w:w="3421" w:type="dxa"/>
          </w:tcPr>
          <w:p w14:paraId="27F8C91D" w14:textId="77777777" w:rsidR="0046798B" w:rsidRDefault="0046798B">
            <w:pPr>
              <w:pStyle w:val="TableParagraph"/>
              <w:spacing w:before="8"/>
              <w:rPr>
                <w:b/>
                <w:sz w:val="23"/>
              </w:rPr>
            </w:pPr>
          </w:p>
          <w:p w14:paraId="0E482A0A" w14:textId="77777777" w:rsidR="0046798B" w:rsidRDefault="00903B5C">
            <w:pPr>
              <w:pStyle w:val="TableParagraph"/>
              <w:spacing w:before="1"/>
              <w:ind w:left="114" w:right="94"/>
              <w:rPr>
                <w:sz w:val="20"/>
              </w:rPr>
            </w:pPr>
            <w:r>
              <w:rPr>
                <w:sz w:val="20"/>
              </w:rPr>
              <w:t>Mean social liberalism score for middle income citizens</w:t>
            </w:r>
          </w:p>
        </w:tc>
        <w:tc>
          <w:tcPr>
            <w:tcW w:w="6482" w:type="dxa"/>
          </w:tcPr>
          <w:p w14:paraId="01818692" w14:textId="77777777" w:rsidR="0046798B" w:rsidRDefault="00903B5C">
            <w:pPr>
              <w:pStyle w:val="TableParagraph"/>
              <w:spacing w:before="158"/>
              <w:ind w:left="114" w:right="122"/>
              <w:rPr>
                <w:sz w:val="20"/>
              </w:rPr>
            </w:pPr>
            <w:r>
              <w:rPr>
                <w:sz w:val="20"/>
              </w:rPr>
              <w:t xml:space="preserve">Rigby, Elizabeth, and Gerald C. Wright. “Political Parties and Representation of the Poor in the American States.” </w:t>
            </w:r>
            <w:r>
              <w:rPr>
                <w:i/>
                <w:sz w:val="20"/>
              </w:rPr>
              <w:t xml:space="preserve">American Journal of Political Science </w:t>
            </w:r>
            <w:r>
              <w:rPr>
                <w:sz w:val="20"/>
              </w:rPr>
              <w:t>57.3 (2013): 552–565.</w:t>
            </w:r>
          </w:p>
        </w:tc>
      </w:tr>
      <w:tr w:rsidR="0046798B" w14:paraId="73A042FC" w14:textId="77777777">
        <w:trPr>
          <w:trHeight w:val="1005"/>
        </w:trPr>
        <w:tc>
          <w:tcPr>
            <w:tcW w:w="1711" w:type="dxa"/>
          </w:tcPr>
          <w:p w14:paraId="61E98C62" w14:textId="77777777" w:rsidR="0046798B" w:rsidRDefault="0046798B">
            <w:pPr>
              <w:pStyle w:val="TableParagraph"/>
              <w:rPr>
                <w:b/>
              </w:rPr>
            </w:pPr>
          </w:p>
          <w:p w14:paraId="57BB6FDB" w14:textId="77777777" w:rsidR="0046798B" w:rsidRDefault="00903B5C">
            <w:pPr>
              <w:pStyle w:val="TableParagraph"/>
              <w:spacing w:before="135"/>
              <w:ind w:left="115"/>
              <w:rPr>
                <w:b/>
                <w:sz w:val="20"/>
              </w:rPr>
            </w:pPr>
            <w:r>
              <w:rPr>
                <w:b/>
                <w:sz w:val="20"/>
              </w:rPr>
              <w:t>avsoc_high</w:t>
            </w:r>
          </w:p>
        </w:tc>
        <w:tc>
          <w:tcPr>
            <w:tcW w:w="1596" w:type="dxa"/>
          </w:tcPr>
          <w:p w14:paraId="4CBEFFBF" w14:textId="77777777" w:rsidR="0046798B" w:rsidRDefault="00903B5C">
            <w:pPr>
              <w:pStyle w:val="TableParagraph"/>
              <w:spacing w:before="43"/>
              <w:ind w:left="114" w:right="96"/>
              <w:rPr>
                <w:sz w:val="20"/>
              </w:rPr>
            </w:pPr>
            <w:r>
              <w:rPr>
                <w:sz w:val="20"/>
              </w:rPr>
              <w:t>Mean social liberalism—high income respondents</w:t>
            </w:r>
          </w:p>
        </w:tc>
        <w:tc>
          <w:tcPr>
            <w:tcW w:w="1285" w:type="dxa"/>
          </w:tcPr>
          <w:p w14:paraId="56661E66" w14:textId="77777777" w:rsidR="0046798B" w:rsidRDefault="0046798B">
            <w:pPr>
              <w:pStyle w:val="TableParagraph"/>
              <w:rPr>
                <w:b/>
              </w:rPr>
            </w:pPr>
          </w:p>
          <w:p w14:paraId="26A90AFE" w14:textId="77777777" w:rsidR="0046798B" w:rsidRDefault="00903B5C">
            <w:pPr>
              <w:pStyle w:val="TableParagraph"/>
              <w:spacing w:before="135"/>
              <w:ind w:left="114"/>
              <w:rPr>
                <w:sz w:val="20"/>
              </w:rPr>
            </w:pPr>
            <w:r>
              <w:rPr>
                <w:sz w:val="20"/>
              </w:rPr>
              <w:t>2000</w:t>
            </w:r>
          </w:p>
        </w:tc>
        <w:tc>
          <w:tcPr>
            <w:tcW w:w="3421" w:type="dxa"/>
          </w:tcPr>
          <w:p w14:paraId="3E17873E" w14:textId="77777777" w:rsidR="0046798B" w:rsidRDefault="0046798B">
            <w:pPr>
              <w:pStyle w:val="TableParagraph"/>
              <w:spacing w:before="8"/>
              <w:rPr>
                <w:b/>
                <w:sz w:val="23"/>
              </w:rPr>
            </w:pPr>
          </w:p>
          <w:p w14:paraId="27AC2E9D" w14:textId="77777777" w:rsidR="0046798B" w:rsidRDefault="00903B5C">
            <w:pPr>
              <w:pStyle w:val="TableParagraph"/>
              <w:spacing w:before="1"/>
              <w:ind w:left="114" w:right="294"/>
              <w:rPr>
                <w:sz w:val="20"/>
              </w:rPr>
            </w:pPr>
            <w:r>
              <w:rPr>
                <w:sz w:val="20"/>
              </w:rPr>
              <w:t>Mean social liberalism score for high income citizens</w:t>
            </w:r>
          </w:p>
        </w:tc>
        <w:tc>
          <w:tcPr>
            <w:tcW w:w="6482" w:type="dxa"/>
          </w:tcPr>
          <w:p w14:paraId="138515C1" w14:textId="77777777" w:rsidR="0046798B" w:rsidRDefault="00903B5C">
            <w:pPr>
              <w:pStyle w:val="TableParagraph"/>
              <w:spacing w:before="158"/>
              <w:ind w:left="114" w:right="122"/>
              <w:rPr>
                <w:sz w:val="20"/>
              </w:rPr>
            </w:pPr>
            <w:r>
              <w:rPr>
                <w:sz w:val="20"/>
              </w:rPr>
              <w:t xml:space="preserve">Rigby, Elizabeth, and Gerald C. Wright. “Political Parties and Representation of the Poor in the American States.” </w:t>
            </w:r>
            <w:r>
              <w:rPr>
                <w:i/>
                <w:sz w:val="20"/>
              </w:rPr>
              <w:t xml:space="preserve">American Journal of Political Science </w:t>
            </w:r>
            <w:r>
              <w:rPr>
                <w:sz w:val="20"/>
              </w:rPr>
              <w:t>57.3 (2013): 552–565.</w:t>
            </w:r>
          </w:p>
        </w:tc>
      </w:tr>
      <w:tr w:rsidR="0046798B" w14:paraId="1B980562" w14:textId="77777777">
        <w:trPr>
          <w:trHeight w:val="780"/>
        </w:trPr>
        <w:tc>
          <w:tcPr>
            <w:tcW w:w="1711" w:type="dxa"/>
          </w:tcPr>
          <w:p w14:paraId="6636AE63" w14:textId="77777777" w:rsidR="0046798B" w:rsidRDefault="0046798B">
            <w:pPr>
              <w:pStyle w:val="TableParagraph"/>
              <w:spacing w:before="8"/>
              <w:rPr>
                <w:b/>
                <w:sz w:val="23"/>
              </w:rPr>
            </w:pPr>
          </w:p>
          <w:p w14:paraId="5ACCFB15" w14:textId="77777777" w:rsidR="0046798B" w:rsidRDefault="00903B5C">
            <w:pPr>
              <w:pStyle w:val="TableParagraph"/>
              <w:spacing w:before="1"/>
              <w:ind w:left="115"/>
              <w:rPr>
                <w:b/>
                <w:sz w:val="20"/>
              </w:rPr>
            </w:pPr>
            <w:r>
              <w:rPr>
                <w:b/>
                <w:sz w:val="20"/>
              </w:rPr>
              <w:t>vavgec_low</w:t>
            </w:r>
          </w:p>
        </w:tc>
        <w:tc>
          <w:tcPr>
            <w:tcW w:w="1596" w:type="dxa"/>
          </w:tcPr>
          <w:p w14:paraId="04C93CC8" w14:textId="77777777" w:rsidR="0046798B" w:rsidRDefault="00903B5C">
            <w:pPr>
              <w:pStyle w:val="TableParagraph"/>
              <w:spacing w:before="43"/>
              <w:ind w:left="114" w:right="170"/>
              <w:jc w:val="both"/>
              <w:rPr>
                <w:sz w:val="20"/>
              </w:rPr>
            </w:pPr>
            <w:r>
              <w:rPr>
                <w:sz w:val="20"/>
              </w:rPr>
              <w:t>Mean economic liberalism—low income voters</w:t>
            </w:r>
          </w:p>
        </w:tc>
        <w:tc>
          <w:tcPr>
            <w:tcW w:w="1285" w:type="dxa"/>
          </w:tcPr>
          <w:p w14:paraId="372D8A91" w14:textId="77777777" w:rsidR="0046798B" w:rsidRDefault="0046798B">
            <w:pPr>
              <w:pStyle w:val="TableParagraph"/>
              <w:spacing w:before="8"/>
              <w:rPr>
                <w:b/>
                <w:sz w:val="23"/>
              </w:rPr>
            </w:pPr>
          </w:p>
          <w:p w14:paraId="6929A235" w14:textId="77777777" w:rsidR="0046798B" w:rsidRDefault="00903B5C">
            <w:pPr>
              <w:pStyle w:val="TableParagraph"/>
              <w:spacing w:before="1"/>
              <w:ind w:left="114"/>
              <w:rPr>
                <w:sz w:val="20"/>
              </w:rPr>
            </w:pPr>
            <w:r>
              <w:rPr>
                <w:sz w:val="20"/>
              </w:rPr>
              <w:t>2000</w:t>
            </w:r>
          </w:p>
        </w:tc>
        <w:tc>
          <w:tcPr>
            <w:tcW w:w="3421" w:type="dxa"/>
          </w:tcPr>
          <w:p w14:paraId="7D40BAAB" w14:textId="77777777" w:rsidR="0046798B" w:rsidRDefault="00903B5C">
            <w:pPr>
              <w:pStyle w:val="TableParagraph"/>
              <w:spacing w:before="158"/>
              <w:ind w:left="114" w:right="389"/>
              <w:rPr>
                <w:sz w:val="20"/>
              </w:rPr>
            </w:pPr>
            <w:r>
              <w:rPr>
                <w:sz w:val="20"/>
              </w:rPr>
              <w:t>Mean economic liberalism score for low income voting citizens</w:t>
            </w:r>
          </w:p>
        </w:tc>
        <w:tc>
          <w:tcPr>
            <w:tcW w:w="6482" w:type="dxa"/>
          </w:tcPr>
          <w:p w14:paraId="37463625" w14:textId="77777777" w:rsidR="0046798B" w:rsidRDefault="00903B5C">
            <w:pPr>
              <w:pStyle w:val="TableParagraph"/>
              <w:spacing w:before="43"/>
              <w:ind w:left="114" w:right="122"/>
              <w:rPr>
                <w:sz w:val="20"/>
              </w:rPr>
            </w:pPr>
            <w:r>
              <w:rPr>
                <w:sz w:val="20"/>
              </w:rPr>
              <w:t xml:space="preserve">Rigby, Elizabeth, and Gerald C. Wright. “Political Parties and Representation of the Poor in the American States.” </w:t>
            </w:r>
            <w:r>
              <w:rPr>
                <w:i/>
                <w:sz w:val="20"/>
              </w:rPr>
              <w:t xml:space="preserve">American Journal of Political Science </w:t>
            </w:r>
            <w:r>
              <w:rPr>
                <w:sz w:val="20"/>
              </w:rPr>
              <w:t>57.3 (2013): 552–565.</w:t>
            </w:r>
          </w:p>
        </w:tc>
      </w:tr>
    </w:tbl>
    <w:p w14:paraId="32132F35" w14:textId="77777777" w:rsidR="0046798B" w:rsidRDefault="0046798B">
      <w:pPr>
        <w:rPr>
          <w:sz w:val="20"/>
        </w:rPr>
        <w:sectPr w:rsidR="0046798B">
          <w:pgSz w:w="15840" w:h="12240" w:orient="landscape"/>
          <w:pgMar w:top="1220" w:right="300" w:bottom="980" w:left="820" w:header="730" w:footer="787" w:gutter="0"/>
          <w:cols w:space="720"/>
        </w:sectPr>
      </w:pPr>
    </w:p>
    <w:p w14:paraId="2506DD58"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F0A71A3" w14:textId="77777777">
        <w:trPr>
          <w:trHeight w:val="775"/>
        </w:trPr>
        <w:tc>
          <w:tcPr>
            <w:tcW w:w="1711" w:type="dxa"/>
          </w:tcPr>
          <w:p w14:paraId="136651B0" w14:textId="77777777" w:rsidR="0046798B" w:rsidRDefault="0046798B">
            <w:pPr>
              <w:pStyle w:val="TableParagraph"/>
              <w:spacing w:before="9"/>
              <w:rPr>
                <w:sz w:val="23"/>
              </w:rPr>
            </w:pPr>
          </w:p>
          <w:p w14:paraId="575882CF" w14:textId="77777777" w:rsidR="0046798B" w:rsidRDefault="00903B5C">
            <w:pPr>
              <w:pStyle w:val="TableParagraph"/>
              <w:ind w:left="115"/>
              <w:rPr>
                <w:b/>
                <w:sz w:val="20"/>
              </w:rPr>
            </w:pPr>
            <w:r>
              <w:rPr>
                <w:b/>
                <w:sz w:val="20"/>
              </w:rPr>
              <w:t>vavgec_mid</w:t>
            </w:r>
          </w:p>
        </w:tc>
        <w:tc>
          <w:tcPr>
            <w:tcW w:w="1596" w:type="dxa"/>
          </w:tcPr>
          <w:p w14:paraId="799F300A" w14:textId="77777777" w:rsidR="0046798B" w:rsidRDefault="00903B5C">
            <w:pPr>
              <w:pStyle w:val="TableParagraph"/>
              <w:spacing w:before="43"/>
              <w:ind w:left="114" w:right="160"/>
              <w:jc w:val="both"/>
              <w:rPr>
                <w:sz w:val="20"/>
              </w:rPr>
            </w:pPr>
            <w:r>
              <w:rPr>
                <w:sz w:val="20"/>
              </w:rPr>
              <w:t>Mean economic liberalism—mid income voters</w:t>
            </w:r>
          </w:p>
        </w:tc>
        <w:tc>
          <w:tcPr>
            <w:tcW w:w="1285" w:type="dxa"/>
          </w:tcPr>
          <w:p w14:paraId="6B02DE99" w14:textId="77777777" w:rsidR="0046798B" w:rsidRDefault="0046798B">
            <w:pPr>
              <w:pStyle w:val="TableParagraph"/>
              <w:spacing w:before="9"/>
              <w:rPr>
                <w:sz w:val="23"/>
              </w:rPr>
            </w:pPr>
          </w:p>
          <w:p w14:paraId="6822943B" w14:textId="77777777" w:rsidR="0046798B" w:rsidRDefault="00903B5C">
            <w:pPr>
              <w:pStyle w:val="TableParagraph"/>
              <w:ind w:left="114"/>
              <w:rPr>
                <w:sz w:val="20"/>
              </w:rPr>
            </w:pPr>
            <w:r>
              <w:rPr>
                <w:sz w:val="20"/>
              </w:rPr>
              <w:t>2000</w:t>
            </w:r>
          </w:p>
        </w:tc>
        <w:tc>
          <w:tcPr>
            <w:tcW w:w="3421" w:type="dxa"/>
          </w:tcPr>
          <w:p w14:paraId="119D96FE" w14:textId="77777777" w:rsidR="0046798B" w:rsidRDefault="00903B5C">
            <w:pPr>
              <w:pStyle w:val="TableParagraph"/>
              <w:spacing w:before="158"/>
              <w:ind w:left="114" w:right="389"/>
              <w:rPr>
                <w:sz w:val="20"/>
              </w:rPr>
            </w:pPr>
            <w:r>
              <w:rPr>
                <w:sz w:val="20"/>
              </w:rPr>
              <w:t>Mean economic liberalism score for middle income voting citizens</w:t>
            </w:r>
          </w:p>
        </w:tc>
        <w:tc>
          <w:tcPr>
            <w:tcW w:w="6482" w:type="dxa"/>
          </w:tcPr>
          <w:p w14:paraId="65B655E7" w14:textId="77777777" w:rsidR="0046798B" w:rsidRDefault="00903B5C">
            <w:pPr>
              <w:pStyle w:val="TableParagraph"/>
              <w:spacing w:before="43"/>
              <w:ind w:left="114" w:right="122"/>
              <w:rPr>
                <w:sz w:val="20"/>
              </w:rPr>
            </w:pPr>
            <w:r>
              <w:rPr>
                <w:sz w:val="20"/>
              </w:rPr>
              <w:t xml:space="preserve">Rigby, Elizabeth, and Gerald C. Wright. “Political Parties and Representation of the Poor in the American States.” </w:t>
            </w:r>
            <w:r>
              <w:rPr>
                <w:i/>
                <w:sz w:val="20"/>
              </w:rPr>
              <w:t xml:space="preserve">American Journal of Political Science </w:t>
            </w:r>
            <w:r>
              <w:rPr>
                <w:sz w:val="20"/>
              </w:rPr>
              <w:t>57.3 (2013): 552–565.</w:t>
            </w:r>
          </w:p>
        </w:tc>
      </w:tr>
      <w:tr w:rsidR="0046798B" w14:paraId="68C28E4A" w14:textId="77777777">
        <w:trPr>
          <w:trHeight w:val="775"/>
        </w:trPr>
        <w:tc>
          <w:tcPr>
            <w:tcW w:w="1711" w:type="dxa"/>
          </w:tcPr>
          <w:p w14:paraId="6EB63136" w14:textId="77777777" w:rsidR="0046798B" w:rsidRDefault="0046798B">
            <w:pPr>
              <w:pStyle w:val="TableParagraph"/>
              <w:spacing w:before="8"/>
              <w:rPr>
                <w:sz w:val="23"/>
              </w:rPr>
            </w:pPr>
          </w:p>
          <w:p w14:paraId="5E8ACAE5" w14:textId="77777777" w:rsidR="0046798B" w:rsidRDefault="00903B5C">
            <w:pPr>
              <w:pStyle w:val="TableParagraph"/>
              <w:spacing w:before="1"/>
              <w:ind w:left="115"/>
              <w:rPr>
                <w:b/>
                <w:sz w:val="20"/>
              </w:rPr>
            </w:pPr>
            <w:r>
              <w:rPr>
                <w:b/>
                <w:sz w:val="20"/>
              </w:rPr>
              <w:t>vavgec_high</w:t>
            </w:r>
          </w:p>
        </w:tc>
        <w:tc>
          <w:tcPr>
            <w:tcW w:w="1596" w:type="dxa"/>
          </w:tcPr>
          <w:p w14:paraId="0D968AC9" w14:textId="77777777" w:rsidR="0046798B" w:rsidRDefault="00903B5C">
            <w:pPr>
              <w:pStyle w:val="TableParagraph"/>
              <w:spacing w:before="43"/>
              <w:ind w:left="114" w:right="96"/>
              <w:rPr>
                <w:sz w:val="20"/>
              </w:rPr>
            </w:pPr>
            <w:r>
              <w:rPr>
                <w:sz w:val="20"/>
              </w:rPr>
              <w:t>Mean economic liberalism—high income voters</w:t>
            </w:r>
          </w:p>
        </w:tc>
        <w:tc>
          <w:tcPr>
            <w:tcW w:w="1285" w:type="dxa"/>
          </w:tcPr>
          <w:p w14:paraId="63570175" w14:textId="77777777" w:rsidR="0046798B" w:rsidRDefault="0046798B">
            <w:pPr>
              <w:pStyle w:val="TableParagraph"/>
              <w:spacing w:before="8"/>
              <w:rPr>
                <w:sz w:val="23"/>
              </w:rPr>
            </w:pPr>
          </w:p>
          <w:p w14:paraId="1BDFC770" w14:textId="77777777" w:rsidR="0046798B" w:rsidRDefault="00903B5C">
            <w:pPr>
              <w:pStyle w:val="TableParagraph"/>
              <w:spacing w:before="1"/>
              <w:ind w:left="114"/>
              <w:rPr>
                <w:sz w:val="20"/>
              </w:rPr>
            </w:pPr>
            <w:r>
              <w:rPr>
                <w:sz w:val="20"/>
              </w:rPr>
              <w:t>2000</w:t>
            </w:r>
          </w:p>
        </w:tc>
        <w:tc>
          <w:tcPr>
            <w:tcW w:w="3421" w:type="dxa"/>
          </w:tcPr>
          <w:p w14:paraId="72F2D6AC" w14:textId="77777777" w:rsidR="0046798B" w:rsidRDefault="00903B5C">
            <w:pPr>
              <w:pStyle w:val="TableParagraph"/>
              <w:spacing w:before="158"/>
              <w:ind w:left="114" w:right="389"/>
              <w:rPr>
                <w:sz w:val="20"/>
              </w:rPr>
            </w:pPr>
            <w:r>
              <w:rPr>
                <w:sz w:val="20"/>
              </w:rPr>
              <w:t>Mean economic liberalism score for high income voting citizens</w:t>
            </w:r>
          </w:p>
        </w:tc>
        <w:tc>
          <w:tcPr>
            <w:tcW w:w="6482" w:type="dxa"/>
          </w:tcPr>
          <w:p w14:paraId="69226D28" w14:textId="77777777" w:rsidR="0046798B" w:rsidRDefault="00903B5C">
            <w:pPr>
              <w:pStyle w:val="TableParagraph"/>
              <w:spacing w:before="43"/>
              <w:ind w:left="114" w:right="122"/>
              <w:rPr>
                <w:sz w:val="20"/>
              </w:rPr>
            </w:pPr>
            <w:r>
              <w:rPr>
                <w:sz w:val="20"/>
              </w:rPr>
              <w:t xml:space="preserve">Rigby, Elizabeth, and Gerald C. Wright. “Political Parties and Representation of the Poor in the American States.” </w:t>
            </w:r>
            <w:r>
              <w:rPr>
                <w:i/>
                <w:sz w:val="20"/>
              </w:rPr>
              <w:t xml:space="preserve">American Journal of Political Science </w:t>
            </w:r>
            <w:r>
              <w:rPr>
                <w:sz w:val="20"/>
              </w:rPr>
              <w:t>57.3 (2013): 552–565.</w:t>
            </w:r>
          </w:p>
        </w:tc>
      </w:tr>
      <w:tr w:rsidR="0046798B" w14:paraId="07189702" w14:textId="77777777">
        <w:trPr>
          <w:trHeight w:val="780"/>
        </w:trPr>
        <w:tc>
          <w:tcPr>
            <w:tcW w:w="1711" w:type="dxa"/>
          </w:tcPr>
          <w:p w14:paraId="0AD9A944" w14:textId="77777777" w:rsidR="0046798B" w:rsidRDefault="0046798B">
            <w:pPr>
              <w:pStyle w:val="TableParagraph"/>
              <w:spacing w:before="9"/>
              <w:rPr>
                <w:sz w:val="23"/>
              </w:rPr>
            </w:pPr>
          </w:p>
          <w:p w14:paraId="5B3F5D42" w14:textId="77777777" w:rsidR="0046798B" w:rsidRDefault="00903B5C">
            <w:pPr>
              <w:pStyle w:val="TableParagraph"/>
              <w:ind w:left="115"/>
              <w:rPr>
                <w:b/>
                <w:sz w:val="20"/>
              </w:rPr>
            </w:pPr>
            <w:r>
              <w:rPr>
                <w:b/>
                <w:sz w:val="20"/>
              </w:rPr>
              <w:t>vavgsoc_low</w:t>
            </w:r>
          </w:p>
        </w:tc>
        <w:tc>
          <w:tcPr>
            <w:tcW w:w="1596" w:type="dxa"/>
          </w:tcPr>
          <w:p w14:paraId="28E998BA" w14:textId="77777777" w:rsidR="0046798B" w:rsidRDefault="00903B5C">
            <w:pPr>
              <w:pStyle w:val="TableParagraph"/>
              <w:spacing w:before="44"/>
              <w:ind w:left="114" w:right="152"/>
              <w:rPr>
                <w:sz w:val="20"/>
              </w:rPr>
            </w:pPr>
            <w:r>
              <w:rPr>
                <w:sz w:val="20"/>
              </w:rPr>
              <w:t>Mean social liberalism—low income voters</w:t>
            </w:r>
          </w:p>
        </w:tc>
        <w:tc>
          <w:tcPr>
            <w:tcW w:w="1285" w:type="dxa"/>
          </w:tcPr>
          <w:p w14:paraId="2494D2B1" w14:textId="77777777" w:rsidR="0046798B" w:rsidRDefault="0046798B">
            <w:pPr>
              <w:pStyle w:val="TableParagraph"/>
              <w:spacing w:before="9"/>
              <w:rPr>
                <w:sz w:val="23"/>
              </w:rPr>
            </w:pPr>
          </w:p>
          <w:p w14:paraId="7C638FD6" w14:textId="77777777" w:rsidR="0046798B" w:rsidRDefault="00903B5C">
            <w:pPr>
              <w:pStyle w:val="TableParagraph"/>
              <w:ind w:left="114"/>
              <w:rPr>
                <w:sz w:val="20"/>
              </w:rPr>
            </w:pPr>
            <w:r>
              <w:rPr>
                <w:sz w:val="20"/>
              </w:rPr>
              <w:t>2000</w:t>
            </w:r>
          </w:p>
        </w:tc>
        <w:tc>
          <w:tcPr>
            <w:tcW w:w="3421" w:type="dxa"/>
          </w:tcPr>
          <w:p w14:paraId="12920625" w14:textId="77777777" w:rsidR="0046798B" w:rsidRDefault="00903B5C">
            <w:pPr>
              <w:pStyle w:val="TableParagraph"/>
              <w:spacing w:before="159"/>
              <w:ind w:left="114" w:right="350"/>
              <w:rPr>
                <w:sz w:val="20"/>
              </w:rPr>
            </w:pPr>
            <w:r>
              <w:rPr>
                <w:sz w:val="20"/>
              </w:rPr>
              <w:t>Mean social liberalism score for low income voting citizens</w:t>
            </w:r>
          </w:p>
        </w:tc>
        <w:tc>
          <w:tcPr>
            <w:tcW w:w="6482" w:type="dxa"/>
          </w:tcPr>
          <w:p w14:paraId="07028798" w14:textId="77777777" w:rsidR="0046798B" w:rsidRDefault="00903B5C">
            <w:pPr>
              <w:pStyle w:val="TableParagraph"/>
              <w:spacing w:before="44"/>
              <w:ind w:left="114" w:right="122"/>
              <w:rPr>
                <w:sz w:val="20"/>
              </w:rPr>
            </w:pPr>
            <w:r>
              <w:rPr>
                <w:sz w:val="20"/>
              </w:rPr>
              <w:t xml:space="preserve">Rigby, Elizabeth, and Gerald C. Wright. “Political Parties and Representation of the Poor in the American States.” </w:t>
            </w:r>
            <w:r>
              <w:rPr>
                <w:i/>
                <w:sz w:val="20"/>
              </w:rPr>
              <w:t xml:space="preserve">American Journal of Political Science </w:t>
            </w:r>
            <w:r>
              <w:rPr>
                <w:sz w:val="20"/>
              </w:rPr>
              <w:t>57.3 (2013): 552–565.</w:t>
            </w:r>
          </w:p>
        </w:tc>
      </w:tr>
      <w:tr w:rsidR="0046798B" w14:paraId="19FA64AC" w14:textId="77777777">
        <w:trPr>
          <w:trHeight w:val="775"/>
        </w:trPr>
        <w:tc>
          <w:tcPr>
            <w:tcW w:w="1711" w:type="dxa"/>
          </w:tcPr>
          <w:p w14:paraId="5565D176" w14:textId="77777777" w:rsidR="0046798B" w:rsidRDefault="0046798B">
            <w:pPr>
              <w:pStyle w:val="TableParagraph"/>
              <w:spacing w:before="3"/>
              <w:rPr>
                <w:sz w:val="23"/>
              </w:rPr>
            </w:pPr>
          </w:p>
          <w:p w14:paraId="3E217C60" w14:textId="77777777" w:rsidR="0046798B" w:rsidRDefault="00903B5C">
            <w:pPr>
              <w:pStyle w:val="TableParagraph"/>
              <w:spacing w:before="1"/>
              <w:ind w:left="115"/>
              <w:rPr>
                <w:b/>
                <w:sz w:val="20"/>
              </w:rPr>
            </w:pPr>
            <w:r>
              <w:rPr>
                <w:b/>
                <w:sz w:val="20"/>
              </w:rPr>
              <w:t>vavgsoc_mid</w:t>
            </w:r>
          </w:p>
        </w:tc>
        <w:tc>
          <w:tcPr>
            <w:tcW w:w="1596" w:type="dxa"/>
          </w:tcPr>
          <w:p w14:paraId="25AD46EB" w14:textId="77777777" w:rsidR="0046798B" w:rsidRDefault="00903B5C">
            <w:pPr>
              <w:pStyle w:val="TableParagraph"/>
              <w:spacing w:before="38"/>
              <w:ind w:left="114" w:right="141"/>
              <w:rPr>
                <w:sz w:val="20"/>
              </w:rPr>
            </w:pPr>
            <w:r>
              <w:rPr>
                <w:sz w:val="20"/>
              </w:rPr>
              <w:t>Mean social liberalism—mid income voters</w:t>
            </w:r>
          </w:p>
        </w:tc>
        <w:tc>
          <w:tcPr>
            <w:tcW w:w="1285" w:type="dxa"/>
          </w:tcPr>
          <w:p w14:paraId="03866943" w14:textId="77777777" w:rsidR="0046798B" w:rsidRDefault="0046798B">
            <w:pPr>
              <w:pStyle w:val="TableParagraph"/>
              <w:spacing w:before="3"/>
              <w:rPr>
                <w:sz w:val="23"/>
              </w:rPr>
            </w:pPr>
          </w:p>
          <w:p w14:paraId="5680D22E" w14:textId="77777777" w:rsidR="0046798B" w:rsidRDefault="00903B5C">
            <w:pPr>
              <w:pStyle w:val="TableParagraph"/>
              <w:spacing w:before="1"/>
              <w:ind w:left="114"/>
              <w:rPr>
                <w:sz w:val="20"/>
              </w:rPr>
            </w:pPr>
            <w:r>
              <w:rPr>
                <w:sz w:val="20"/>
              </w:rPr>
              <w:t>2000</w:t>
            </w:r>
          </w:p>
        </w:tc>
        <w:tc>
          <w:tcPr>
            <w:tcW w:w="3421" w:type="dxa"/>
          </w:tcPr>
          <w:p w14:paraId="270C1A4F" w14:textId="77777777" w:rsidR="0046798B" w:rsidRDefault="00903B5C">
            <w:pPr>
              <w:pStyle w:val="TableParagraph"/>
              <w:spacing w:before="153"/>
              <w:ind w:left="114" w:right="94"/>
              <w:rPr>
                <w:sz w:val="20"/>
              </w:rPr>
            </w:pPr>
            <w:r>
              <w:rPr>
                <w:sz w:val="20"/>
              </w:rPr>
              <w:t>Mean social liberalism score for middle income voting citizens</w:t>
            </w:r>
          </w:p>
        </w:tc>
        <w:tc>
          <w:tcPr>
            <w:tcW w:w="6482" w:type="dxa"/>
          </w:tcPr>
          <w:p w14:paraId="165A1C3F" w14:textId="77777777" w:rsidR="0046798B" w:rsidRDefault="00903B5C">
            <w:pPr>
              <w:pStyle w:val="TableParagraph"/>
              <w:spacing w:before="38"/>
              <w:ind w:left="114" w:right="122"/>
              <w:rPr>
                <w:sz w:val="20"/>
              </w:rPr>
            </w:pPr>
            <w:r>
              <w:rPr>
                <w:sz w:val="20"/>
              </w:rPr>
              <w:t xml:space="preserve">Rigby, Elizabeth, and Gerald C. Wright. “Political Parties and Representation of the Poor in the American States.” </w:t>
            </w:r>
            <w:r>
              <w:rPr>
                <w:i/>
                <w:sz w:val="20"/>
              </w:rPr>
              <w:t xml:space="preserve">American Journal of Political Science </w:t>
            </w:r>
            <w:r>
              <w:rPr>
                <w:sz w:val="20"/>
              </w:rPr>
              <w:t>57.3 (2013): 552–565.</w:t>
            </w:r>
          </w:p>
        </w:tc>
      </w:tr>
      <w:tr w:rsidR="0046798B" w14:paraId="7FFD22D3" w14:textId="77777777">
        <w:trPr>
          <w:trHeight w:val="775"/>
        </w:trPr>
        <w:tc>
          <w:tcPr>
            <w:tcW w:w="1711" w:type="dxa"/>
          </w:tcPr>
          <w:p w14:paraId="35F4CE69" w14:textId="77777777" w:rsidR="0046798B" w:rsidRDefault="0046798B">
            <w:pPr>
              <w:pStyle w:val="TableParagraph"/>
              <w:spacing w:before="3"/>
              <w:rPr>
                <w:sz w:val="23"/>
              </w:rPr>
            </w:pPr>
          </w:p>
          <w:p w14:paraId="0B9F6744" w14:textId="77777777" w:rsidR="0046798B" w:rsidRDefault="00903B5C">
            <w:pPr>
              <w:pStyle w:val="TableParagraph"/>
              <w:spacing w:before="1"/>
              <w:ind w:left="115"/>
              <w:rPr>
                <w:b/>
                <w:sz w:val="20"/>
              </w:rPr>
            </w:pPr>
            <w:r>
              <w:rPr>
                <w:b/>
                <w:sz w:val="20"/>
              </w:rPr>
              <w:t>vavgsoc_high</w:t>
            </w:r>
          </w:p>
        </w:tc>
        <w:tc>
          <w:tcPr>
            <w:tcW w:w="1596" w:type="dxa"/>
          </w:tcPr>
          <w:p w14:paraId="7D495C5D" w14:textId="77777777" w:rsidR="0046798B" w:rsidRDefault="00903B5C">
            <w:pPr>
              <w:pStyle w:val="TableParagraph"/>
              <w:spacing w:before="38"/>
              <w:ind w:left="114" w:right="96"/>
              <w:rPr>
                <w:sz w:val="20"/>
              </w:rPr>
            </w:pPr>
            <w:r>
              <w:rPr>
                <w:sz w:val="20"/>
              </w:rPr>
              <w:t>Mean social liberalism—high income voters</w:t>
            </w:r>
          </w:p>
        </w:tc>
        <w:tc>
          <w:tcPr>
            <w:tcW w:w="1285" w:type="dxa"/>
          </w:tcPr>
          <w:p w14:paraId="026952A0" w14:textId="77777777" w:rsidR="0046798B" w:rsidRDefault="0046798B">
            <w:pPr>
              <w:pStyle w:val="TableParagraph"/>
              <w:spacing w:before="3"/>
              <w:rPr>
                <w:sz w:val="23"/>
              </w:rPr>
            </w:pPr>
          </w:p>
          <w:p w14:paraId="1D937AE6" w14:textId="77777777" w:rsidR="0046798B" w:rsidRDefault="00903B5C">
            <w:pPr>
              <w:pStyle w:val="TableParagraph"/>
              <w:spacing w:before="1"/>
              <w:ind w:left="114"/>
              <w:rPr>
                <w:sz w:val="20"/>
              </w:rPr>
            </w:pPr>
            <w:r>
              <w:rPr>
                <w:sz w:val="20"/>
              </w:rPr>
              <w:t>2000</w:t>
            </w:r>
          </w:p>
        </w:tc>
        <w:tc>
          <w:tcPr>
            <w:tcW w:w="3421" w:type="dxa"/>
          </w:tcPr>
          <w:p w14:paraId="3DDE9AEE" w14:textId="77777777" w:rsidR="0046798B" w:rsidRDefault="00903B5C">
            <w:pPr>
              <w:pStyle w:val="TableParagraph"/>
              <w:spacing w:before="153"/>
              <w:ind w:left="114" w:right="294"/>
              <w:rPr>
                <w:sz w:val="20"/>
              </w:rPr>
            </w:pPr>
            <w:r>
              <w:rPr>
                <w:sz w:val="20"/>
              </w:rPr>
              <w:t>Mean social liberalism score for high income voting citizens</w:t>
            </w:r>
          </w:p>
        </w:tc>
        <w:tc>
          <w:tcPr>
            <w:tcW w:w="6482" w:type="dxa"/>
          </w:tcPr>
          <w:p w14:paraId="1FEA70FB" w14:textId="77777777" w:rsidR="0046798B" w:rsidRDefault="00903B5C">
            <w:pPr>
              <w:pStyle w:val="TableParagraph"/>
              <w:spacing w:before="38"/>
              <w:ind w:left="114" w:right="122"/>
              <w:rPr>
                <w:sz w:val="20"/>
              </w:rPr>
            </w:pPr>
            <w:r>
              <w:rPr>
                <w:sz w:val="20"/>
              </w:rPr>
              <w:t xml:space="preserve">Rigby, Elizabeth, and Gerald C. Wright. “Political Parties and Representation of the Poor in the American States.” </w:t>
            </w:r>
            <w:r>
              <w:rPr>
                <w:i/>
                <w:sz w:val="20"/>
              </w:rPr>
              <w:t xml:space="preserve">American Journal of Political Science </w:t>
            </w:r>
            <w:r>
              <w:rPr>
                <w:sz w:val="20"/>
              </w:rPr>
              <w:t>57.3 (2013): 552–565.</w:t>
            </w:r>
          </w:p>
        </w:tc>
      </w:tr>
      <w:tr w:rsidR="0046798B" w14:paraId="6FF8FBB7" w14:textId="77777777">
        <w:trPr>
          <w:trHeight w:val="1005"/>
        </w:trPr>
        <w:tc>
          <w:tcPr>
            <w:tcW w:w="1711" w:type="dxa"/>
          </w:tcPr>
          <w:p w14:paraId="2D2DEA18" w14:textId="77777777" w:rsidR="0046798B" w:rsidRDefault="0046798B">
            <w:pPr>
              <w:pStyle w:val="TableParagraph"/>
            </w:pPr>
          </w:p>
          <w:p w14:paraId="557A74DB" w14:textId="77777777" w:rsidR="0046798B" w:rsidRDefault="00903B5C">
            <w:pPr>
              <w:pStyle w:val="TableParagraph"/>
              <w:spacing w:before="135"/>
              <w:ind w:left="115"/>
              <w:rPr>
                <w:b/>
                <w:sz w:val="20"/>
              </w:rPr>
            </w:pPr>
            <w:r>
              <w:rPr>
                <w:b/>
                <w:sz w:val="20"/>
              </w:rPr>
              <w:t>st_ec</w:t>
            </w:r>
          </w:p>
        </w:tc>
        <w:tc>
          <w:tcPr>
            <w:tcW w:w="1596" w:type="dxa"/>
          </w:tcPr>
          <w:p w14:paraId="55E1E31A" w14:textId="77777777" w:rsidR="0046798B" w:rsidRDefault="00903B5C">
            <w:pPr>
              <w:pStyle w:val="TableParagraph"/>
              <w:spacing w:before="43"/>
              <w:ind w:left="114" w:right="169"/>
              <w:rPr>
                <w:sz w:val="20"/>
              </w:rPr>
            </w:pPr>
            <w:r>
              <w:rPr>
                <w:sz w:val="20"/>
              </w:rPr>
              <w:t>Mean economic liberalism—all survey respondents</w:t>
            </w:r>
          </w:p>
        </w:tc>
        <w:tc>
          <w:tcPr>
            <w:tcW w:w="1285" w:type="dxa"/>
          </w:tcPr>
          <w:p w14:paraId="55D24BB6" w14:textId="77777777" w:rsidR="0046798B" w:rsidRDefault="0046798B">
            <w:pPr>
              <w:pStyle w:val="TableParagraph"/>
            </w:pPr>
          </w:p>
          <w:p w14:paraId="7FAF7B33" w14:textId="77777777" w:rsidR="0046798B" w:rsidRDefault="00903B5C">
            <w:pPr>
              <w:pStyle w:val="TableParagraph"/>
              <w:spacing w:before="135"/>
              <w:ind w:left="114"/>
              <w:rPr>
                <w:sz w:val="20"/>
              </w:rPr>
            </w:pPr>
            <w:r>
              <w:rPr>
                <w:sz w:val="20"/>
              </w:rPr>
              <w:t>2000</w:t>
            </w:r>
          </w:p>
        </w:tc>
        <w:tc>
          <w:tcPr>
            <w:tcW w:w="3421" w:type="dxa"/>
          </w:tcPr>
          <w:p w14:paraId="0A165DEC" w14:textId="77777777" w:rsidR="0046798B" w:rsidRDefault="0046798B">
            <w:pPr>
              <w:pStyle w:val="TableParagraph"/>
            </w:pPr>
          </w:p>
          <w:p w14:paraId="171DED18" w14:textId="77777777" w:rsidR="0046798B" w:rsidRDefault="00903B5C">
            <w:pPr>
              <w:pStyle w:val="TableParagraph"/>
              <w:spacing w:before="135"/>
              <w:ind w:left="114"/>
              <w:rPr>
                <w:sz w:val="20"/>
              </w:rPr>
            </w:pPr>
            <w:r>
              <w:rPr>
                <w:sz w:val="20"/>
              </w:rPr>
              <w:t>Mean mass economic liberalism score</w:t>
            </w:r>
          </w:p>
        </w:tc>
        <w:tc>
          <w:tcPr>
            <w:tcW w:w="6482" w:type="dxa"/>
          </w:tcPr>
          <w:p w14:paraId="721D7AB2" w14:textId="77777777" w:rsidR="0046798B" w:rsidRDefault="00903B5C">
            <w:pPr>
              <w:pStyle w:val="TableParagraph"/>
              <w:spacing w:before="158"/>
              <w:ind w:left="114" w:right="122"/>
              <w:rPr>
                <w:sz w:val="20"/>
              </w:rPr>
            </w:pPr>
            <w:r>
              <w:rPr>
                <w:sz w:val="20"/>
              </w:rPr>
              <w:t xml:space="preserve">Rigby, Elizabeth, and Gerald C. Wright. “Political Parties and Representation of the Poor in the American States.” </w:t>
            </w:r>
            <w:r>
              <w:rPr>
                <w:i/>
                <w:sz w:val="20"/>
              </w:rPr>
              <w:t xml:space="preserve">American Journal of Political Science </w:t>
            </w:r>
            <w:r>
              <w:rPr>
                <w:sz w:val="20"/>
              </w:rPr>
              <w:t>57.3 (2013): 552–565.</w:t>
            </w:r>
          </w:p>
        </w:tc>
      </w:tr>
      <w:tr w:rsidR="0046798B" w14:paraId="3B6D9DD4" w14:textId="77777777">
        <w:trPr>
          <w:trHeight w:val="1005"/>
        </w:trPr>
        <w:tc>
          <w:tcPr>
            <w:tcW w:w="1711" w:type="dxa"/>
          </w:tcPr>
          <w:p w14:paraId="3DDDA1D4" w14:textId="77777777" w:rsidR="0046798B" w:rsidRDefault="0046798B">
            <w:pPr>
              <w:pStyle w:val="TableParagraph"/>
            </w:pPr>
          </w:p>
          <w:p w14:paraId="7A960FB7" w14:textId="77777777" w:rsidR="0046798B" w:rsidRDefault="00903B5C">
            <w:pPr>
              <w:pStyle w:val="TableParagraph"/>
              <w:spacing w:before="136"/>
              <w:ind w:left="115"/>
              <w:rPr>
                <w:b/>
                <w:sz w:val="20"/>
              </w:rPr>
            </w:pPr>
            <w:r>
              <w:rPr>
                <w:b/>
                <w:sz w:val="20"/>
              </w:rPr>
              <w:t>st_soc</w:t>
            </w:r>
          </w:p>
        </w:tc>
        <w:tc>
          <w:tcPr>
            <w:tcW w:w="1596" w:type="dxa"/>
          </w:tcPr>
          <w:p w14:paraId="69E5C72E" w14:textId="77777777" w:rsidR="0046798B" w:rsidRDefault="00903B5C">
            <w:pPr>
              <w:pStyle w:val="TableParagraph"/>
              <w:spacing w:before="43"/>
              <w:ind w:left="114" w:right="252"/>
              <w:rPr>
                <w:sz w:val="20"/>
              </w:rPr>
            </w:pPr>
            <w:r>
              <w:rPr>
                <w:sz w:val="20"/>
              </w:rPr>
              <w:t>Mean social liberalism—all survey respondents</w:t>
            </w:r>
          </w:p>
        </w:tc>
        <w:tc>
          <w:tcPr>
            <w:tcW w:w="1285" w:type="dxa"/>
          </w:tcPr>
          <w:p w14:paraId="2F171889" w14:textId="77777777" w:rsidR="0046798B" w:rsidRDefault="0046798B">
            <w:pPr>
              <w:pStyle w:val="TableParagraph"/>
            </w:pPr>
          </w:p>
          <w:p w14:paraId="24151E08" w14:textId="77777777" w:rsidR="0046798B" w:rsidRDefault="00903B5C">
            <w:pPr>
              <w:pStyle w:val="TableParagraph"/>
              <w:spacing w:before="136"/>
              <w:ind w:left="114"/>
              <w:rPr>
                <w:sz w:val="20"/>
              </w:rPr>
            </w:pPr>
            <w:r>
              <w:rPr>
                <w:sz w:val="20"/>
              </w:rPr>
              <w:t>2000</w:t>
            </w:r>
          </w:p>
        </w:tc>
        <w:tc>
          <w:tcPr>
            <w:tcW w:w="3421" w:type="dxa"/>
          </w:tcPr>
          <w:p w14:paraId="592DDFB6" w14:textId="77777777" w:rsidR="0046798B" w:rsidRDefault="0046798B">
            <w:pPr>
              <w:pStyle w:val="TableParagraph"/>
            </w:pPr>
          </w:p>
          <w:p w14:paraId="4FEC3BE8" w14:textId="77777777" w:rsidR="0046798B" w:rsidRDefault="00903B5C">
            <w:pPr>
              <w:pStyle w:val="TableParagraph"/>
              <w:spacing w:before="136"/>
              <w:ind w:left="114"/>
              <w:rPr>
                <w:sz w:val="20"/>
              </w:rPr>
            </w:pPr>
            <w:r>
              <w:rPr>
                <w:sz w:val="20"/>
              </w:rPr>
              <w:t>Mean mass social liberalism score</w:t>
            </w:r>
          </w:p>
        </w:tc>
        <w:tc>
          <w:tcPr>
            <w:tcW w:w="6482" w:type="dxa"/>
          </w:tcPr>
          <w:p w14:paraId="34C3179C" w14:textId="77777777" w:rsidR="0046798B" w:rsidRDefault="00903B5C">
            <w:pPr>
              <w:pStyle w:val="TableParagraph"/>
              <w:spacing w:before="158"/>
              <w:ind w:left="114" w:right="122"/>
              <w:rPr>
                <w:sz w:val="20"/>
              </w:rPr>
            </w:pPr>
            <w:r>
              <w:rPr>
                <w:sz w:val="20"/>
              </w:rPr>
              <w:t xml:space="preserve">Rigby, Elizabeth, and Gerald C. Wright. “Political Parties and Representation of the Poor in the American States.” </w:t>
            </w:r>
            <w:r>
              <w:rPr>
                <w:i/>
                <w:sz w:val="20"/>
              </w:rPr>
              <w:t xml:space="preserve">American Journal of Political Science </w:t>
            </w:r>
            <w:r>
              <w:rPr>
                <w:sz w:val="20"/>
              </w:rPr>
              <w:t>57.3 (2013): 552–565.</w:t>
            </w:r>
          </w:p>
        </w:tc>
      </w:tr>
      <w:tr w:rsidR="0046798B" w14:paraId="2BEEF772" w14:textId="77777777">
        <w:trPr>
          <w:trHeight w:val="775"/>
        </w:trPr>
        <w:tc>
          <w:tcPr>
            <w:tcW w:w="1711" w:type="dxa"/>
          </w:tcPr>
          <w:p w14:paraId="774CA5E7" w14:textId="77777777" w:rsidR="0046798B" w:rsidRDefault="0046798B">
            <w:pPr>
              <w:pStyle w:val="TableParagraph"/>
              <w:spacing w:before="8"/>
              <w:rPr>
                <w:sz w:val="23"/>
              </w:rPr>
            </w:pPr>
          </w:p>
          <w:p w14:paraId="52859198" w14:textId="77777777" w:rsidR="0046798B" w:rsidRDefault="00903B5C">
            <w:pPr>
              <w:pStyle w:val="TableParagraph"/>
              <w:spacing w:before="1"/>
              <w:ind w:left="115"/>
              <w:rPr>
                <w:b/>
                <w:sz w:val="20"/>
              </w:rPr>
            </w:pPr>
            <w:r>
              <w:rPr>
                <w:b/>
                <w:sz w:val="20"/>
              </w:rPr>
              <w:t>vst_ec</w:t>
            </w:r>
          </w:p>
        </w:tc>
        <w:tc>
          <w:tcPr>
            <w:tcW w:w="1596" w:type="dxa"/>
          </w:tcPr>
          <w:p w14:paraId="692F45AA" w14:textId="77777777" w:rsidR="0046798B" w:rsidRDefault="00903B5C">
            <w:pPr>
              <w:pStyle w:val="TableParagraph"/>
              <w:spacing w:before="43"/>
              <w:ind w:left="114" w:right="169"/>
              <w:rPr>
                <w:sz w:val="20"/>
              </w:rPr>
            </w:pPr>
            <w:r>
              <w:rPr>
                <w:sz w:val="20"/>
              </w:rPr>
              <w:t>Mean economic liberalism—all voters</w:t>
            </w:r>
          </w:p>
        </w:tc>
        <w:tc>
          <w:tcPr>
            <w:tcW w:w="1285" w:type="dxa"/>
          </w:tcPr>
          <w:p w14:paraId="5590759B" w14:textId="77777777" w:rsidR="0046798B" w:rsidRDefault="0046798B">
            <w:pPr>
              <w:pStyle w:val="TableParagraph"/>
              <w:spacing w:before="8"/>
              <w:rPr>
                <w:sz w:val="23"/>
              </w:rPr>
            </w:pPr>
          </w:p>
          <w:p w14:paraId="21FC95E6" w14:textId="77777777" w:rsidR="0046798B" w:rsidRDefault="00903B5C">
            <w:pPr>
              <w:pStyle w:val="TableParagraph"/>
              <w:spacing w:before="1"/>
              <w:ind w:left="114"/>
              <w:rPr>
                <w:sz w:val="20"/>
              </w:rPr>
            </w:pPr>
            <w:r>
              <w:rPr>
                <w:sz w:val="20"/>
              </w:rPr>
              <w:t>2000</w:t>
            </w:r>
          </w:p>
        </w:tc>
        <w:tc>
          <w:tcPr>
            <w:tcW w:w="3421" w:type="dxa"/>
          </w:tcPr>
          <w:p w14:paraId="720F632E" w14:textId="77777777" w:rsidR="0046798B" w:rsidRDefault="00903B5C">
            <w:pPr>
              <w:pStyle w:val="TableParagraph"/>
              <w:spacing w:before="158"/>
              <w:ind w:left="114" w:right="389"/>
              <w:rPr>
                <w:sz w:val="20"/>
              </w:rPr>
            </w:pPr>
            <w:r>
              <w:rPr>
                <w:sz w:val="20"/>
              </w:rPr>
              <w:t>Mean economic liberalism score for voting citizens</w:t>
            </w:r>
          </w:p>
        </w:tc>
        <w:tc>
          <w:tcPr>
            <w:tcW w:w="6482" w:type="dxa"/>
          </w:tcPr>
          <w:p w14:paraId="535CD89E" w14:textId="77777777" w:rsidR="0046798B" w:rsidRDefault="00903B5C">
            <w:pPr>
              <w:pStyle w:val="TableParagraph"/>
              <w:spacing w:before="43"/>
              <w:ind w:left="114" w:right="122"/>
              <w:rPr>
                <w:sz w:val="20"/>
              </w:rPr>
            </w:pPr>
            <w:r>
              <w:rPr>
                <w:sz w:val="20"/>
              </w:rPr>
              <w:t xml:space="preserve">Rigby, Elizabeth, and Gerald C. Wright. “Political Parties and Representation of the Poor in the American States.” </w:t>
            </w:r>
            <w:r>
              <w:rPr>
                <w:i/>
                <w:sz w:val="20"/>
              </w:rPr>
              <w:t xml:space="preserve">American Journal of Political Science </w:t>
            </w:r>
            <w:r>
              <w:rPr>
                <w:sz w:val="20"/>
              </w:rPr>
              <w:t>57.3 (2013): 552–565.</w:t>
            </w:r>
          </w:p>
        </w:tc>
      </w:tr>
      <w:tr w:rsidR="0046798B" w14:paraId="702C66D0" w14:textId="77777777">
        <w:trPr>
          <w:trHeight w:val="780"/>
        </w:trPr>
        <w:tc>
          <w:tcPr>
            <w:tcW w:w="1711" w:type="dxa"/>
          </w:tcPr>
          <w:p w14:paraId="0997A649" w14:textId="77777777" w:rsidR="0046798B" w:rsidRDefault="0046798B">
            <w:pPr>
              <w:pStyle w:val="TableParagraph"/>
              <w:spacing w:before="8"/>
              <w:rPr>
                <w:sz w:val="23"/>
              </w:rPr>
            </w:pPr>
          </w:p>
          <w:p w14:paraId="19D2F824" w14:textId="77777777" w:rsidR="0046798B" w:rsidRDefault="00903B5C">
            <w:pPr>
              <w:pStyle w:val="TableParagraph"/>
              <w:spacing w:before="1"/>
              <w:ind w:left="115"/>
              <w:rPr>
                <w:b/>
                <w:sz w:val="20"/>
              </w:rPr>
            </w:pPr>
            <w:r>
              <w:rPr>
                <w:b/>
                <w:sz w:val="20"/>
              </w:rPr>
              <w:t>vst_soc</w:t>
            </w:r>
          </w:p>
        </w:tc>
        <w:tc>
          <w:tcPr>
            <w:tcW w:w="1596" w:type="dxa"/>
          </w:tcPr>
          <w:p w14:paraId="4D864AB4" w14:textId="77777777" w:rsidR="0046798B" w:rsidRDefault="00903B5C">
            <w:pPr>
              <w:pStyle w:val="TableParagraph"/>
              <w:spacing w:before="43"/>
              <w:ind w:left="114" w:right="252"/>
              <w:rPr>
                <w:sz w:val="20"/>
              </w:rPr>
            </w:pPr>
            <w:r>
              <w:rPr>
                <w:sz w:val="20"/>
              </w:rPr>
              <w:t>Mean social liberalism—all voters</w:t>
            </w:r>
          </w:p>
        </w:tc>
        <w:tc>
          <w:tcPr>
            <w:tcW w:w="1285" w:type="dxa"/>
          </w:tcPr>
          <w:p w14:paraId="33ECBC20" w14:textId="77777777" w:rsidR="0046798B" w:rsidRDefault="0046798B">
            <w:pPr>
              <w:pStyle w:val="TableParagraph"/>
              <w:spacing w:before="8"/>
              <w:rPr>
                <w:sz w:val="23"/>
              </w:rPr>
            </w:pPr>
          </w:p>
          <w:p w14:paraId="1BF9DE36" w14:textId="77777777" w:rsidR="0046798B" w:rsidRDefault="00903B5C">
            <w:pPr>
              <w:pStyle w:val="TableParagraph"/>
              <w:spacing w:before="1"/>
              <w:ind w:left="114"/>
              <w:rPr>
                <w:sz w:val="20"/>
              </w:rPr>
            </w:pPr>
            <w:r>
              <w:rPr>
                <w:sz w:val="20"/>
              </w:rPr>
              <w:t>2000</w:t>
            </w:r>
          </w:p>
        </w:tc>
        <w:tc>
          <w:tcPr>
            <w:tcW w:w="3421" w:type="dxa"/>
          </w:tcPr>
          <w:p w14:paraId="5BCE7523" w14:textId="77777777" w:rsidR="0046798B" w:rsidRDefault="00903B5C">
            <w:pPr>
              <w:pStyle w:val="TableParagraph"/>
              <w:spacing w:before="158"/>
              <w:ind w:left="114" w:right="139"/>
              <w:rPr>
                <w:sz w:val="20"/>
              </w:rPr>
            </w:pPr>
            <w:r>
              <w:rPr>
                <w:sz w:val="20"/>
              </w:rPr>
              <w:t>Mean social liberalism score for voting citizens</w:t>
            </w:r>
          </w:p>
        </w:tc>
        <w:tc>
          <w:tcPr>
            <w:tcW w:w="6482" w:type="dxa"/>
          </w:tcPr>
          <w:p w14:paraId="1A70B069" w14:textId="77777777" w:rsidR="0046798B" w:rsidRDefault="00903B5C">
            <w:pPr>
              <w:pStyle w:val="TableParagraph"/>
              <w:spacing w:before="43"/>
              <w:ind w:left="114" w:right="122"/>
              <w:rPr>
                <w:sz w:val="20"/>
              </w:rPr>
            </w:pPr>
            <w:r>
              <w:rPr>
                <w:sz w:val="20"/>
              </w:rPr>
              <w:t xml:space="preserve">Rigby, Elizabeth, and Gerald C. Wright. “Political Parties and Representation of the Poor in the American States.” </w:t>
            </w:r>
            <w:r>
              <w:rPr>
                <w:i/>
                <w:sz w:val="20"/>
              </w:rPr>
              <w:t xml:space="preserve">American Journal of Political Science </w:t>
            </w:r>
            <w:r>
              <w:rPr>
                <w:sz w:val="20"/>
              </w:rPr>
              <w:t>57.3 (2013): 552–565.</w:t>
            </w:r>
          </w:p>
        </w:tc>
      </w:tr>
      <w:tr w:rsidR="0046798B" w14:paraId="17220951" w14:textId="77777777">
        <w:trPr>
          <w:trHeight w:val="1235"/>
        </w:trPr>
        <w:tc>
          <w:tcPr>
            <w:tcW w:w="1711" w:type="dxa"/>
          </w:tcPr>
          <w:p w14:paraId="72711C04" w14:textId="77777777" w:rsidR="0046798B" w:rsidRDefault="0046798B">
            <w:pPr>
              <w:pStyle w:val="TableParagraph"/>
            </w:pPr>
          </w:p>
          <w:p w14:paraId="784CB95D" w14:textId="77777777" w:rsidR="0046798B" w:rsidRDefault="0046798B">
            <w:pPr>
              <w:pStyle w:val="TableParagraph"/>
              <w:spacing w:before="4"/>
              <w:rPr>
                <w:sz w:val="21"/>
              </w:rPr>
            </w:pPr>
          </w:p>
          <w:p w14:paraId="327024FD" w14:textId="77777777" w:rsidR="0046798B" w:rsidRDefault="00903B5C">
            <w:pPr>
              <w:pStyle w:val="TableParagraph"/>
              <w:ind w:left="115"/>
              <w:rPr>
                <w:b/>
                <w:sz w:val="20"/>
              </w:rPr>
            </w:pPr>
            <w:r>
              <w:rPr>
                <w:b/>
                <w:sz w:val="20"/>
              </w:rPr>
              <w:t>pollib_lower</w:t>
            </w:r>
          </w:p>
        </w:tc>
        <w:tc>
          <w:tcPr>
            <w:tcW w:w="1596" w:type="dxa"/>
          </w:tcPr>
          <w:p w14:paraId="1347CFA9" w14:textId="77777777" w:rsidR="0046798B" w:rsidRDefault="00903B5C">
            <w:pPr>
              <w:pStyle w:val="TableParagraph"/>
              <w:spacing w:before="153"/>
              <w:ind w:left="114" w:right="374"/>
              <w:rPr>
                <w:sz w:val="20"/>
              </w:rPr>
            </w:pPr>
            <w:r>
              <w:rPr>
                <w:sz w:val="20"/>
              </w:rPr>
              <w:t>State policy liberalism score—lower bounds</w:t>
            </w:r>
          </w:p>
        </w:tc>
        <w:tc>
          <w:tcPr>
            <w:tcW w:w="1285" w:type="dxa"/>
          </w:tcPr>
          <w:p w14:paraId="44F64064" w14:textId="77777777" w:rsidR="0046798B" w:rsidRDefault="0046798B">
            <w:pPr>
              <w:pStyle w:val="TableParagraph"/>
            </w:pPr>
          </w:p>
          <w:p w14:paraId="3611066F" w14:textId="77777777" w:rsidR="0046798B" w:rsidRDefault="0046798B">
            <w:pPr>
              <w:pStyle w:val="TableParagraph"/>
              <w:spacing w:before="4"/>
              <w:rPr>
                <w:sz w:val="21"/>
              </w:rPr>
            </w:pPr>
          </w:p>
          <w:p w14:paraId="46309C74" w14:textId="77777777" w:rsidR="0046798B" w:rsidRDefault="00903B5C">
            <w:pPr>
              <w:pStyle w:val="TableParagraph"/>
              <w:ind w:left="114"/>
              <w:rPr>
                <w:sz w:val="20"/>
              </w:rPr>
            </w:pPr>
            <w:r>
              <w:rPr>
                <w:sz w:val="20"/>
              </w:rPr>
              <w:t>1936–2014</w:t>
            </w:r>
          </w:p>
        </w:tc>
        <w:tc>
          <w:tcPr>
            <w:tcW w:w="3421" w:type="dxa"/>
          </w:tcPr>
          <w:p w14:paraId="51EED698" w14:textId="77777777" w:rsidR="0046798B" w:rsidRDefault="00903B5C">
            <w:pPr>
              <w:pStyle w:val="TableParagraph"/>
              <w:spacing w:before="38"/>
              <w:ind w:left="114" w:right="266"/>
              <w:rPr>
                <w:sz w:val="20"/>
              </w:rPr>
            </w:pPr>
            <w:r>
              <w:rPr>
                <w:sz w:val="20"/>
              </w:rPr>
              <w:t>A yearly measure of the policy liberalism of states, based on a dynamic latent-variable model of 148 policies collected over time (lower bounds)</w:t>
            </w:r>
          </w:p>
        </w:tc>
        <w:tc>
          <w:tcPr>
            <w:tcW w:w="6482" w:type="dxa"/>
          </w:tcPr>
          <w:p w14:paraId="52AB77DC"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001C100F" w14:textId="77777777">
        <w:trPr>
          <w:trHeight w:val="545"/>
        </w:trPr>
        <w:tc>
          <w:tcPr>
            <w:tcW w:w="1711" w:type="dxa"/>
          </w:tcPr>
          <w:p w14:paraId="0FCC2C77" w14:textId="77777777" w:rsidR="0046798B" w:rsidRDefault="00903B5C">
            <w:pPr>
              <w:pStyle w:val="TableParagraph"/>
              <w:spacing w:before="153"/>
              <w:ind w:left="115"/>
              <w:rPr>
                <w:b/>
                <w:sz w:val="20"/>
              </w:rPr>
            </w:pPr>
            <w:r>
              <w:rPr>
                <w:b/>
                <w:sz w:val="20"/>
              </w:rPr>
              <w:t>pollib_upper</w:t>
            </w:r>
          </w:p>
        </w:tc>
        <w:tc>
          <w:tcPr>
            <w:tcW w:w="1596" w:type="dxa"/>
          </w:tcPr>
          <w:p w14:paraId="26D28203" w14:textId="77777777" w:rsidR="0046798B" w:rsidRDefault="00903B5C">
            <w:pPr>
              <w:pStyle w:val="TableParagraph"/>
              <w:spacing w:before="38"/>
              <w:ind w:left="114" w:right="502"/>
              <w:rPr>
                <w:sz w:val="20"/>
              </w:rPr>
            </w:pPr>
            <w:r>
              <w:rPr>
                <w:sz w:val="20"/>
              </w:rPr>
              <w:t>State policy liberalism</w:t>
            </w:r>
          </w:p>
        </w:tc>
        <w:tc>
          <w:tcPr>
            <w:tcW w:w="1285" w:type="dxa"/>
          </w:tcPr>
          <w:p w14:paraId="74D26A14" w14:textId="77777777" w:rsidR="0046798B" w:rsidRDefault="00903B5C">
            <w:pPr>
              <w:pStyle w:val="TableParagraph"/>
              <w:spacing w:before="153"/>
              <w:ind w:left="114"/>
              <w:rPr>
                <w:sz w:val="20"/>
              </w:rPr>
            </w:pPr>
            <w:r>
              <w:rPr>
                <w:sz w:val="20"/>
              </w:rPr>
              <w:t>1936–2014</w:t>
            </w:r>
          </w:p>
        </w:tc>
        <w:tc>
          <w:tcPr>
            <w:tcW w:w="3421" w:type="dxa"/>
          </w:tcPr>
          <w:p w14:paraId="473C7BEC" w14:textId="77777777" w:rsidR="0046798B" w:rsidRDefault="00903B5C">
            <w:pPr>
              <w:pStyle w:val="TableParagraph"/>
              <w:spacing w:before="38"/>
              <w:ind w:left="114" w:right="805"/>
              <w:rPr>
                <w:sz w:val="20"/>
              </w:rPr>
            </w:pPr>
            <w:r>
              <w:rPr>
                <w:sz w:val="20"/>
              </w:rPr>
              <w:t>A yearly measure of the policy liberalism of states, based on a</w:t>
            </w:r>
          </w:p>
        </w:tc>
        <w:tc>
          <w:tcPr>
            <w:tcW w:w="6482" w:type="dxa"/>
          </w:tcPr>
          <w:p w14:paraId="766AF3E8" w14:textId="77777777" w:rsidR="0046798B" w:rsidRDefault="00903B5C">
            <w:pPr>
              <w:pStyle w:val="TableParagraph"/>
              <w:spacing w:before="38"/>
              <w:ind w:left="114"/>
              <w:rPr>
                <w:sz w:val="20"/>
              </w:rPr>
            </w:pPr>
            <w:r>
              <w:rPr>
                <w:sz w:val="20"/>
              </w:rPr>
              <w:t xml:space="preserve">Caughey, Devin, and Christopher Warshaw. 2015. “The Dynamics of State Policy Liberalism, 1936–2014.” </w:t>
            </w:r>
            <w:r>
              <w:rPr>
                <w:i/>
                <w:sz w:val="20"/>
              </w:rPr>
              <w:t>American Journal of Political Science</w:t>
            </w:r>
            <w:r>
              <w:rPr>
                <w:sz w:val="20"/>
              </w:rPr>
              <w:t>,</w:t>
            </w:r>
          </w:p>
        </w:tc>
      </w:tr>
    </w:tbl>
    <w:p w14:paraId="4FA0BDD4" w14:textId="77777777" w:rsidR="0046798B" w:rsidRDefault="0046798B">
      <w:pPr>
        <w:rPr>
          <w:sz w:val="20"/>
        </w:rPr>
        <w:sectPr w:rsidR="0046798B">
          <w:pgSz w:w="15840" w:h="12240" w:orient="landscape"/>
          <w:pgMar w:top="1220" w:right="300" w:bottom="980" w:left="820" w:header="730" w:footer="787" w:gutter="0"/>
          <w:cols w:space="720"/>
        </w:sectPr>
      </w:pPr>
    </w:p>
    <w:p w14:paraId="649F5890"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64F8D1D" w14:textId="77777777">
        <w:trPr>
          <w:trHeight w:val="775"/>
        </w:trPr>
        <w:tc>
          <w:tcPr>
            <w:tcW w:w="1711" w:type="dxa"/>
          </w:tcPr>
          <w:p w14:paraId="50157FC7" w14:textId="77777777" w:rsidR="0046798B" w:rsidRDefault="0046798B">
            <w:pPr>
              <w:pStyle w:val="TableParagraph"/>
              <w:rPr>
                <w:sz w:val="20"/>
              </w:rPr>
            </w:pPr>
          </w:p>
        </w:tc>
        <w:tc>
          <w:tcPr>
            <w:tcW w:w="1596" w:type="dxa"/>
          </w:tcPr>
          <w:p w14:paraId="63D3CB9C" w14:textId="77777777" w:rsidR="0046798B" w:rsidRDefault="00903B5C">
            <w:pPr>
              <w:pStyle w:val="TableParagraph"/>
              <w:spacing w:before="43"/>
              <w:ind w:left="114" w:right="374"/>
              <w:rPr>
                <w:sz w:val="20"/>
              </w:rPr>
            </w:pPr>
            <w:r>
              <w:rPr>
                <w:sz w:val="20"/>
              </w:rPr>
              <w:t>score—upper bounds</w:t>
            </w:r>
          </w:p>
        </w:tc>
        <w:tc>
          <w:tcPr>
            <w:tcW w:w="1285" w:type="dxa"/>
          </w:tcPr>
          <w:p w14:paraId="4F37031A" w14:textId="77777777" w:rsidR="0046798B" w:rsidRDefault="0046798B">
            <w:pPr>
              <w:pStyle w:val="TableParagraph"/>
              <w:rPr>
                <w:sz w:val="20"/>
              </w:rPr>
            </w:pPr>
          </w:p>
        </w:tc>
        <w:tc>
          <w:tcPr>
            <w:tcW w:w="3421" w:type="dxa"/>
          </w:tcPr>
          <w:p w14:paraId="0C7ED7B6" w14:textId="77777777" w:rsidR="0046798B" w:rsidRDefault="00903B5C">
            <w:pPr>
              <w:pStyle w:val="TableParagraph"/>
              <w:spacing w:before="43"/>
              <w:ind w:left="114" w:right="266"/>
              <w:rPr>
                <w:sz w:val="20"/>
              </w:rPr>
            </w:pPr>
            <w:r>
              <w:rPr>
                <w:sz w:val="20"/>
              </w:rPr>
              <w:t>dynamic latent-variable model of 148 policies collected over time (upper bounds)</w:t>
            </w:r>
          </w:p>
        </w:tc>
        <w:tc>
          <w:tcPr>
            <w:tcW w:w="6482" w:type="dxa"/>
          </w:tcPr>
          <w:p w14:paraId="79261DBB" w14:textId="77777777" w:rsidR="0046798B" w:rsidRDefault="00903B5C">
            <w:pPr>
              <w:pStyle w:val="TableParagraph"/>
              <w:spacing w:before="43"/>
              <w:ind w:left="114" w:right="137"/>
              <w:rPr>
                <w:sz w:val="20"/>
              </w:rPr>
            </w:pPr>
            <w:r>
              <w:rPr>
                <w:sz w:val="20"/>
              </w:rPr>
              <w:t xml:space="preserve">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66EC1E88" w14:textId="77777777">
        <w:trPr>
          <w:trHeight w:val="1235"/>
        </w:trPr>
        <w:tc>
          <w:tcPr>
            <w:tcW w:w="1711" w:type="dxa"/>
          </w:tcPr>
          <w:p w14:paraId="74E566E0" w14:textId="77777777" w:rsidR="0046798B" w:rsidRDefault="0046798B">
            <w:pPr>
              <w:pStyle w:val="TableParagraph"/>
            </w:pPr>
          </w:p>
          <w:p w14:paraId="1FA89B4F" w14:textId="77777777" w:rsidR="0046798B" w:rsidRDefault="0046798B">
            <w:pPr>
              <w:pStyle w:val="TableParagraph"/>
              <w:spacing w:before="8"/>
              <w:rPr>
                <w:sz w:val="21"/>
              </w:rPr>
            </w:pPr>
          </w:p>
          <w:p w14:paraId="225AE9F6" w14:textId="77777777" w:rsidR="0046798B" w:rsidRDefault="00903B5C">
            <w:pPr>
              <w:pStyle w:val="TableParagraph"/>
              <w:spacing w:before="1"/>
              <w:ind w:left="115"/>
              <w:rPr>
                <w:b/>
                <w:sz w:val="20"/>
              </w:rPr>
            </w:pPr>
            <w:r>
              <w:rPr>
                <w:b/>
                <w:sz w:val="20"/>
              </w:rPr>
              <w:t>pollib_median</w:t>
            </w:r>
          </w:p>
        </w:tc>
        <w:tc>
          <w:tcPr>
            <w:tcW w:w="1596" w:type="dxa"/>
          </w:tcPr>
          <w:p w14:paraId="14CE480E" w14:textId="77777777" w:rsidR="0046798B" w:rsidRDefault="0046798B">
            <w:pPr>
              <w:pStyle w:val="TableParagraph"/>
              <w:spacing w:before="8"/>
              <w:rPr>
                <w:sz w:val="23"/>
              </w:rPr>
            </w:pPr>
          </w:p>
          <w:p w14:paraId="48AEF1B7" w14:textId="77777777" w:rsidR="0046798B" w:rsidRDefault="00903B5C">
            <w:pPr>
              <w:pStyle w:val="TableParagraph"/>
              <w:spacing w:before="1"/>
              <w:ind w:left="114" w:right="241"/>
              <w:rPr>
                <w:sz w:val="20"/>
              </w:rPr>
            </w:pPr>
            <w:r>
              <w:rPr>
                <w:sz w:val="20"/>
              </w:rPr>
              <w:t>State policy liberalism score—median</w:t>
            </w:r>
          </w:p>
        </w:tc>
        <w:tc>
          <w:tcPr>
            <w:tcW w:w="1285" w:type="dxa"/>
          </w:tcPr>
          <w:p w14:paraId="7A7BCEE5" w14:textId="77777777" w:rsidR="0046798B" w:rsidRDefault="0046798B">
            <w:pPr>
              <w:pStyle w:val="TableParagraph"/>
            </w:pPr>
          </w:p>
          <w:p w14:paraId="7ABD2A16" w14:textId="77777777" w:rsidR="0046798B" w:rsidRDefault="0046798B">
            <w:pPr>
              <w:pStyle w:val="TableParagraph"/>
              <w:spacing w:before="8"/>
              <w:rPr>
                <w:sz w:val="21"/>
              </w:rPr>
            </w:pPr>
          </w:p>
          <w:p w14:paraId="46049AC8" w14:textId="77777777" w:rsidR="0046798B" w:rsidRDefault="00903B5C">
            <w:pPr>
              <w:pStyle w:val="TableParagraph"/>
              <w:spacing w:before="1"/>
              <w:ind w:left="114"/>
              <w:rPr>
                <w:sz w:val="20"/>
              </w:rPr>
            </w:pPr>
            <w:r>
              <w:rPr>
                <w:sz w:val="20"/>
              </w:rPr>
              <w:t>1936–2014</w:t>
            </w:r>
          </w:p>
        </w:tc>
        <w:tc>
          <w:tcPr>
            <w:tcW w:w="3421" w:type="dxa"/>
          </w:tcPr>
          <w:p w14:paraId="39B2D02F" w14:textId="77777777" w:rsidR="0046798B" w:rsidRDefault="00903B5C">
            <w:pPr>
              <w:pStyle w:val="TableParagraph"/>
              <w:spacing w:before="158"/>
              <w:ind w:left="114" w:right="266"/>
              <w:rPr>
                <w:sz w:val="20"/>
              </w:rPr>
            </w:pPr>
            <w:r>
              <w:rPr>
                <w:sz w:val="20"/>
              </w:rPr>
              <w:t>A yearly measure of the policy liberalism of states, based on a dynamic latent-variable model of 148 policies collected over time (median)</w:t>
            </w:r>
          </w:p>
        </w:tc>
        <w:tc>
          <w:tcPr>
            <w:tcW w:w="6482" w:type="dxa"/>
          </w:tcPr>
          <w:p w14:paraId="1BE979A3"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6E387D10" w14:textId="77777777">
        <w:trPr>
          <w:trHeight w:val="1240"/>
        </w:trPr>
        <w:tc>
          <w:tcPr>
            <w:tcW w:w="1711" w:type="dxa"/>
          </w:tcPr>
          <w:p w14:paraId="0B5C29B7" w14:textId="77777777" w:rsidR="0046798B" w:rsidRDefault="0046798B">
            <w:pPr>
              <w:pStyle w:val="TableParagraph"/>
            </w:pPr>
          </w:p>
          <w:p w14:paraId="69B910F1" w14:textId="77777777" w:rsidR="0046798B" w:rsidRDefault="0046798B">
            <w:pPr>
              <w:pStyle w:val="TableParagraph"/>
              <w:spacing w:before="8"/>
              <w:rPr>
                <w:sz w:val="21"/>
              </w:rPr>
            </w:pPr>
          </w:p>
          <w:p w14:paraId="7BCBE7FB" w14:textId="77777777" w:rsidR="0046798B" w:rsidRDefault="00903B5C">
            <w:pPr>
              <w:pStyle w:val="TableParagraph"/>
              <w:spacing w:before="1"/>
              <w:ind w:left="115"/>
              <w:rPr>
                <w:b/>
                <w:sz w:val="20"/>
              </w:rPr>
            </w:pPr>
            <w:r>
              <w:rPr>
                <w:b/>
                <w:sz w:val="20"/>
              </w:rPr>
              <w:t>pollib_sd</w:t>
            </w:r>
          </w:p>
        </w:tc>
        <w:tc>
          <w:tcPr>
            <w:tcW w:w="1596" w:type="dxa"/>
          </w:tcPr>
          <w:p w14:paraId="588F80BE" w14:textId="77777777" w:rsidR="0046798B" w:rsidRDefault="00903B5C">
            <w:pPr>
              <w:pStyle w:val="TableParagraph"/>
              <w:spacing w:before="158"/>
              <w:ind w:left="114" w:right="152"/>
              <w:rPr>
                <w:sz w:val="20"/>
              </w:rPr>
            </w:pPr>
            <w:r>
              <w:rPr>
                <w:sz w:val="20"/>
              </w:rPr>
              <w:t>State policy liberalism score—standard deviation</w:t>
            </w:r>
          </w:p>
        </w:tc>
        <w:tc>
          <w:tcPr>
            <w:tcW w:w="1285" w:type="dxa"/>
          </w:tcPr>
          <w:p w14:paraId="144ADCE8" w14:textId="77777777" w:rsidR="0046798B" w:rsidRDefault="0046798B">
            <w:pPr>
              <w:pStyle w:val="TableParagraph"/>
            </w:pPr>
          </w:p>
          <w:p w14:paraId="170968A1" w14:textId="77777777" w:rsidR="0046798B" w:rsidRDefault="0046798B">
            <w:pPr>
              <w:pStyle w:val="TableParagraph"/>
              <w:spacing w:before="8"/>
              <w:rPr>
                <w:sz w:val="21"/>
              </w:rPr>
            </w:pPr>
          </w:p>
          <w:p w14:paraId="5EFFB2BE" w14:textId="77777777" w:rsidR="0046798B" w:rsidRDefault="00903B5C">
            <w:pPr>
              <w:pStyle w:val="TableParagraph"/>
              <w:spacing w:before="1"/>
              <w:ind w:left="114"/>
              <w:rPr>
                <w:sz w:val="20"/>
              </w:rPr>
            </w:pPr>
            <w:r>
              <w:rPr>
                <w:sz w:val="20"/>
              </w:rPr>
              <w:t>1936–2014</w:t>
            </w:r>
          </w:p>
        </w:tc>
        <w:tc>
          <w:tcPr>
            <w:tcW w:w="3421" w:type="dxa"/>
          </w:tcPr>
          <w:p w14:paraId="1278FD17" w14:textId="77777777" w:rsidR="0046798B" w:rsidRDefault="00903B5C">
            <w:pPr>
              <w:pStyle w:val="TableParagraph"/>
              <w:spacing w:before="43"/>
              <w:ind w:left="114" w:right="266"/>
              <w:rPr>
                <w:sz w:val="20"/>
              </w:rPr>
            </w:pPr>
            <w:r>
              <w:rPr>
                <w:sz w:val="20"/>
              </w:rPr>
              <w:t>A yearly measure of the policy liberalism of states, based on a dynamic latent-variable model of 148 policies collected over time (standard deviation)</w:t>
            </w:r>
          </w:p>
        </w:tc>
        <w:tc>
          <w:tcPr>
            <w:tcW w:w="6482" w:type="dxa"/>
          </w:tcPr>
          <w:p w14:paraId="46921B92"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5FC70D66" w14:textId="77777777">
        <w:trPr>
          <w:trHeight w:val="1925"/>
        </w:trPr>
        <w:tc>
          <w:tcPr>
            <w:tcW w:w="1711" w:type="dxa"/>
          </w:tcPr>
          <w:p w14:paraId="0822C487" w14:textId="77777777" w:rsidR="0046798B" w:rsidRDefault="0046798B">
            <w:pPr>
              <w:pStyle w:val="TableParagraph"/>
            </w:pPr>
          </w:p>
          <w:p w14:paraId="38DA304E" w14:textId="77777777" w:rsidR="0046798B" w:rsidRDefault="0046798B">
            <w:pPr>
              <w:pStyle w:val="TableParagraph"/>
            </w:pPr>
          </w:p>
          <w:p w14:paraId="257C0232" w14:textId="77777777" w:rsidR="0046798B" w:rsidRDefault="0046798B">
            <w:pPr>
              <w:pStyle w:val="TableParagraph"/>
              <w:spacing w:before="4"/>
              <w:rPr>
                <w:sz w:val="19"/>
              </w:rPr>
            </w:pPr>
          </w:p>
          <w:p w14:paraId="216CF42F" w14:textId="77777777" w:rsidR="0046798B" w:rsidRDefault="00903B5C">
            <w:pPr>
              <w:pStyle w:val="TableParagraph"/>
              <w:ind w:left="115" w:right="177"/>
              <w:rPr>
                <w:b/>
                <w:sz w:val="20"/>
              </w:rPr>
            </w:pPr>
            <w:r>
              <w:rPr>
                <w:b/>
                <w:sz w:val="20"/>
              </w:rPr>
              <w:t>innovatescore_b oehmkeskinner</w:t>
            </w:r>
          </w:p>
        </w:tc>
        <w:tc>
          <w:tcPr>
            <w:tcW w:w="1596" w:type="dxa"/>
          </w:tcPr>
          <w:p w14:paraId="6BE07581" w14:textId="77777777" w:rsidR="0046798B" w:rsidRDefault="0046798B">
            <w:pPr>
              <w:pStyle w:val="TableParagraph"/>
            </w:pPr>
          </w:p>
          <w:p w14:paraId="1D08CC2D" w14:textId="77777777" w:rsidR="0046798B" w:rsidRDefault="0046798B">
            <w:pPr>
              <w:pStyle w:val="TableParagraph"/>
              <w:spacing w:before="4"/>
              <w:rPr>
                <w:sz w:val="31"/>
              </w:rPr>
            </w:pPr>
          </w:p>
          <w:p w14:paraId="758DACFE" w14:textId="77777777" w:rsidR="0046798B" w:rsidRDefault="00903B5C">
            <w:pPr>
              <w:pStyle w:val="TableParagraph"/>
              <w:ind w:left="114" w:right="263"/>
              <w:rPr>
                <w:sz w:val="20"/>
              </w:rPr>
            </w:pPr>
            <w:r>
              <w:rPr>
                <w:sz w:val="20"/>
              </w:rPr>
              <w:t>Policy innovativeness score</w:t>
            </w:r>
          </w:p>
        </w:tc>
        <w:tc>
          <w:tcPr>
            <w:tcW w:w="1285" w:type="dxa"/>
          </w:tcPr>
          <w:p w14:paraId="57327386" w14:textId="77777777" w:rsidR="0046798B" w:rsidRDefault="0046798B">
            <w:pPr>
              <w:pStyle w:val="TableParagraph"/>
            </w:pPr>
          </w:p>
          <w:p w14:paraId="4586C135" w14:textId="77777777" w:rsidR="0046798B" w:rsidRDefault="0046798B">
            <w:pPr>
              <w:pStyle w:val="TableParagraph"/>
            </w:pPr>
          </w:p>
          <w:p w14:paraId="5DAEECD0" w14:textId="77777777" w:rsidR="0046798B" w:rsidRDefault="0046798B">
            <w:pPr>
              <w:pStyle w:val="TableParagraph"/>
              <w:spacing w:before="4"/>
              <w:rPr>
                <w:sz w:val="29"/>
              </w:rPr>
            </w:pPr>
          </w:p>
          <w:p w14:paraId="1ABFCA3F" w14:textId="77777777" w:rsidR="0046798B" w:rsidRDefault="00903B5C">
            <w:pPr>
              <w:pStyle w:val="TableParagraph"/>
              <w:ind w:left="114"/>
              <w:rPr>
                <w:sz w:val="20"/>
              </w:rPr>
            </w:pPr>
            <w:r>
              <w:rPr>
                <w:sz w:val="20"/>
              </w:rPr>
              <w:t>1913–2010</w:t>
            </w:r>
          </w:p>
        </w:tc>
        <w:tc>
          <w:tcPr>
            <w:tcW w:w="3421" w:type="dxa"/>
          </w:tcPr>
          <w:p w14:paraId="4ABE8ED4" w14:textId="77777777" w:rsidR="0046798B" w:rsidRDefault="00903B5C">
            <w:pPr>
              <w:pStyle w:val="TableParagraph"/>
              <w:spacing w:before="38"/>
              <w:ind w:left="114" w:right="305"/>
              <w:rPr>
                <w:sz w:val="20"/>
              </w:rPr>
            </w:pPr>
            <w:r>
              <w:rPr>
                <w:sz w:val="20"/>
              </w:rPr>
              <w:t>Policy Innovativeness Score (i.e., the adoption of new policies sooner than other states) for each state for each year, based on 180 policies passed at the state level from 1913–2010. A higher score indicates a state is more innovative. Coverage for Alaska and Hawaii begin after 1959.</w:t>
            </w:r>
          </w:p>
        </w:tc>
        <w:tc>
          <w:tcPr>
            <w:tcW w:w="6482" w:type="dxa"/>
          </w:tcPr>
          <w:p w14:paraId="0B7A40D9" w14:textId="77777777" w:rsidR="0046798B" w:rsidRDefault="0046798B">
            <w:pPr>
              <w:pStyle w:val="TableParagraph"/>
            </w:pPr>
          </w:p>
          <w:p w14:paraId="6C167289" w14:textId="77777777" w:rsidR="0046798B" w:rsidRDefault="0046798B">
            <w:pPr>
              <w:pStyle w:val="TableParagraph"/>
            </w:pPr>
          </w:p>
          <w:p w14:paraId="3434EA55" w14:textId="77777777" w:rsidR="0046798B" w:rsidRDefault="0046798B">
            <w:pPr>
              <w:pStyle w:val="TableParagraph"/>
              <w:spacing w:before="4"/>
              <w:rPr>
                <w:sz w:val="19"/>
              </w:rPr>
            </w:pPr>
          </w:p>
          <w:p w14:paraId="6D0E7C65" w14:textId="77777777" w:rsidR="0046798B" w:rsidRDefault="00903B5C">
            <w:pPr>
              <w:pStyle w:val="TableParagraph"/>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7AFE9293" w14:textId="77777777">
        <w:trPr>
          <w:trHeight w:val="3076"/>
        </w:trPr>
        <w:tc>
          <w:tcPr>
            <w:tcW w:w="1711" w:type="dxa"/>
          </w:tcPr>
          <w:p w14:paraId="7259F2AB" w14:textId="77777777" w:rsidR="0046798B" w:rsidRDefault="0046798B">
            <w:pPr>
              <w:pStyle w:val="TableParagraph"/>
            </w:pPr>
          </w:p>
          <w:p w14:paraId="7FBF8A8B" w14:textId="77777777" w:rsidR="0046798B" w:rsidRDefault="0046798B">
            <w:pPr>
              <w:pStyle w:val="TableParagraph"/>
            </w:pPr>
          </w:p>
          <w:p w14:paraId="72330395" w14:textId="77777777" w:rsidR="0046798B" w:rsidRDefault="0046798B">
            <w:pPr>
              <w:pStyle w:val="TableParagraph"/>
            </w:pPr>
          </w:p>
          <w:p w14:paraId="2A1D6C88" w14:textId="77777777" w:rsidR="0046798B" w:rsidRDefault="0046798B">
            <w:pPr>
              <w:pStyle w:val="TableParagraph"/>
            </w:pPr>
          </w:p>
          <w:p w14:paraId="45D96B8E" w14:textId="77777777" w:rsidR="0046798B" w:rsidRDefault="0046798B">
            <w:pPr>
              <w:pStyle w:val="TableParagraph"/>
              <w:spacing w:before="5"/>
              <w:rPr>
                <w:sz w:val="25"/>
              </w:rPr>
            </w:pPr>
          </w:p>
          <w:p w14:paraId="410011BC" w14:textId="77777777" w:rsidR="0046798B" w:rsidRDefault="00903B5C">
            <w:pPr>
              <w:pStyle w:val="TableParagraph"/>
              <w:ind w:left="115" w:right="121"/>
              <w:rPr>
                <w:b/>
                <w:sz w:val="20"/>
              </w:rPr>
            </w:pPr>
            <w:r>
              <w:rPr>
                <w:b/>
                <w:sz w:val="20"/>
              </w:rPr>
              <w:t>policyprioritysco re</w:t>
            </w:r>
          </w:p>
        </w:tc>
        <w:tc>
          <w:tcPr>
            <w:tcW w:w="1596" w:type="dxa"/>
          </w:tcPr>
          <w:p w14:paraId="3AB52965" w14:textId="77777777" w:rsidR="0046798B" w:rsidRDefault="0046798B">
            <w:pPr>
              <w:pStyle w:val="TableParagraph"/>
            </w:pPr>
          </w:p>
          <w:p w14:paraId="5301E833" w14:textId="77777777" w:rsidR="0046798B" w:rsidRDefault="0046798B">
            <w:pPr>
              <w:pStyle w:val="TableParagraph"/>
            </w:pPr>
          </w:p>
          <w:p w14:paraId="0B35C492" w14:textId="77777777" w:rsidR="0046798B" w:rsidRDefault="0046798B">
            <w:pPr>
              <w:pStyle w:val="TableParagraph"/>
            </w:pPr>
          </w:p>
          <w:p w14:paraId="28C2D8ED" w14:textId="77777777" w:rsidR="0046798B" w:rsidRDefault="0046798B">
            <w:pPr>
              <w:pStyle w:val="TableParagraph"/>
            </w:pPr>
          </w:p>
          <w:p w14:paraId="5608C54D" w14:textId="77777777" w:rsidR="0046798B" w:rsidRDefault="0046798B">
            <w:pPr>
              <w:pStyle w:val="TableParagraph"/>
              <w:spacing w:before="5"/>
              <w:rPr>
                <w:sz w:val="25"/>
              </w:rPr>
            </w:pPr>
          </w:p>
          <w:p w14:paraId="29860692" w14:textId="77777777" w:rsidR="0046798B" w:rsidRDefault="00903B5C">
            <w:pPr>
              <w:pStyle w:val="TableParagraph"/>
              <w:ind w:left="114" w:right="380"/>
              <w:rPr>
                <w:sz w:val="20"/>
              </w:rPr>
            </w:pPr>
            <w:r>
              <w:rPr>
                <w:sz w:val="20"/>
              </w:rPr>
              <w:t>State policy priority score</w:t>
            </w:r>
          </w:p>
        </w:tc>
        <w:tc>
          <w:tcPr>
            <w:tcW w:w="1285" w:type="dxa"/>
          </w:tcPr>
          <w:p w14:paraId="15B6E296" w14:textId="77777777" w:rsidR="0046798B" w:rsidRDefault="0046798B">
            <w:pPr>
              <w:pStyle w:val="TableParagraph"/>
            </w:pPr>
          </w:p>
          <w:p w14:paraId="241F5C47" w14:textId="77777777" w:rsidR="0046798B" w:rsidRDefault="0046798B">
            <w:pPr>
              <w:pStyle w:val="TableParagraph"/>
            </w:pPr>
          </w:p>
          <w:p w14:paraId="6223C3B7" w14:textId="77777777" w:rsidR="0046798B" w:rsidRDefault="0046798B">
            <w:pPr>
              <w:pStyle w:val="TableParagraph"/>
            </w:pPr>
          </w:p>
          <w:p w14:paraId="11183EF7" w14:textId="77777777" w:rsidR="0046798B" w:rsidRDefault="0046798B">
            <w:pPr>
              <w:pStyle w:val="TableParagraph"/>
            </w:pPr>
          </w:p>
          <w:p w14:paraId="6A344A64" w14:textId="77777777" w:rsidR="0046798B" w:rsidRDefault="0046798B">
            <w:pPr>
              <w:pStyle w:val="TableParagraph"/>
            </w:pPr>
          </w:p>
          <w:p w14:paraId="7316D529" w14:textId="77777777" w:rsidR="0046798B" w:rsidRDefault="00903B5C">
            <w:pPr>
              <w:pStyle w:val="TableParagraph"/>
              <w:spacing w:before="154"/>
              <w:ind w:left="114"/>
              <w:rPr>
                <w:sz w:val="20"/>
              </w:rPr>
            </w:pPr>
            <w:r>
              <w:rPr>
                <w:sz w:val="20"/>
              </w:rPr>
              <w:t>1982–2005</w:t>
            </w:r>
          </w:p>
        </w:tc>
        <w:tc>
          <w:tcPr>
            <w:tcW w:w="3421" w:type="dxa"/>
          </w:tcPr>
          <w:p w14:paraId="4DFC893E" w14:textId="77777777" w:rsidR="0046798B" w:rsidRDefault="00903B5C">
            <w:pPr>
              <w:pStyle w:val="TableParagraph"/>
              <w:spacing w:before="39"/>
              <w:ind w:left="114" w:right="212"/>
              <w:rPr>
                <w:sz w:val="20"/>
              </w:rPr>
            </w:pPr>
            <w:r>
              <w:rPr>
                <w:sz w:val="20"/>
              </w:rPr>
              <w:t>A yearly score for each state which summarizes the degree to which that state’s governmental spending is devoted to policies that provide collective goods (e.g., education and highways) rather than particularized benefits (e.g., health care and welfare)</w:t>
            </w:r>
          </w:p>
          <w:p w14:paraId="6C29F965" w14:textId="77777777" w:rsidR="0046798B" w:rsidRDefault="0046798B">
            <w:pPr>
              <w:pStyle w:val="TableParagraph"/>
              <w:rPr>
                <w:sz w:val="20"/>
              </w:rPr>
            </w:pPr>
          </w:p>
          <w:p w14:paraId="21518AC9" w14:textId="77777777" w:rsidR="0046798B" w:rsidRDefault="00903B5C">
            <w:pPr>
              <w:pStyle w:val="TableParagraph"/>
              <w:ind w:left="114" w:right="89"/>
              <w:rPr>
                <w:sz w:val="20"/>
              </w:rPr>
            </w:pPr>
            <w:r>
              <w:rPr>
                <w:sz w:val="20"/>
              </w:rPr>
              <w:t>Notes: Values are set to a mean of zero; units are proportions; the difference between any two values shows the difference in spending allocated to collective goods</w:t>
            </w:r>
          </w:p>
        </w:tc>
        <w:tc>
          <w:tcPr>
            <w:tcW w:w="6482" w:type="dxa"/>
          </w:tcPr>
          <w:p w14:paraId="5045F47F" w14:textId="77777777" w:rsidR="0046798B" w:rsidRDefault="0046798B">
            <w:pPr>
              <w:pStyle w:val="TableParagraph"/>
            </w:pPr>
          </w:p>
          <w:p w14:paraId="26C17DCF" w14:textId="77777777" w:rsidR="0046798B" w:rsidRDefault="0046798B">
            <w:pPr>
              <w:pStyle w:val="TableParagraph"/>
            </w:pPr>
          </w:p>
          <w:p w14:paraId="68044796" w14:textId="77777777" w:rsidR="0046798B" w:rsidRDefault="0046798B">
            <w:pPr>
              <w:pStyle w:val="TableParagraph"/>
            </w:pPr>
          </w:p>
          <w:p w14:paraId="073B3A16" w14:textId="77777777" w:rsidR="0046798B" w:rsidRDefault="0046798B">
            <w:pPr>
              <w:pStyle w:val="TableParagraph"/>
            </w:pPr>
          </w:p>
          <w:p w14:paraId="06300363" w14:textId="77777777" w:rsidR="0046798B" w:rsidRDefault="00903B5C">
            <w:pPr>
              <w:pStyle w:val="TableParagraph"/>
              <w:spacing w:before="177"/>
              <w:ind w:left="114" w:right="308"/>
              <w:jc w:val="both"/>
              <w:rPr>
                <w:sz w:val="20"/>
              </w:rPr>
            </w:pPr>
            <w:r>
              <w:rPr>
                <w:sz w:val="20"/>
              </w:rPr>
              <w:t xml:space="preserve">Jacoby, William G., and Saundra K. Schneider. “A New Measure of Policy Spending Priorities in the American States.” </w:t>
            </w:r>
            <w:r>
              <w:rPr>
                <w:i/>
                <w:sz w:val="20"/>
              </w:rPr>
              <w:t xml:space="preserve">Political Analysis </w:t>
            </w:r>
            <w:r>
              <w:rPr>
                <w:sz w:val="20"/>
              </w:rPr>
              <w:t>17.1 (2008): 1–24.</w:t>
            </w:r>
          </w:p>
        </w:tc>
      </w:tr>
    </w:tbl>
    <w:p w14:paraId="134A18A7" w14:textId="77777777" w:rsidR="0046798B" w:rsidRDefault="0046798B">
      <w:pPr>
        <w:pStyle w:val="BodyText"/>
        <w:spacing w:before="2"/>
        <w:rPr>
          <w:sz w:val="16"/>
        </w:rPr>
      </w:pPr>
    </w:p>
    <w:p w14:paraId="1CA06CE7" w14:textId="77777777" w:rsidR="0046798B" w:rsidRDefault="00903B5C">
      <w:pPr>
        <w:pStyle w:val="ListParagraph"/>
        <w:numPr>
          <w:ilvl w:val="0"/>
          <w:numId w:val="7"/>
        </w:numPr>
        <w:tabs>
          <w:tab w:val="left" w:pos="901"/>
        </w:tabs>
        <w:spacing w:before="90"/>
        <w:ind w:left="900" w:hanging="280"/>
        <w:rPr>
          <w:b/>
          <w:sz w:val="24"/>
        </w:rPr>
      </w:pPr>
      <w:r>
        <w:rPr>
          <w:b/>
          <w:sz w:val="24"/>
          <w:u w:val="single"/>
        </w:rPr>
        <w:t>Public Opinion, Partisanship, and Political</w:t>
      </w:r>
      <w:r>
        <w:rPr>
          <w:b/>
          <w:spacing w:val="-4"/>
          <w:sz w:val="24"/>
          <w:u w:val="single"/>
        </w:rPr>
        <w:t xml:space="preserve"> </w:t>
      </w:r>
      <w:r>
        <w:rPr>
          <w:b/>
          <w:sz w:val="24"/>
          <w:u w:val="single"/>
        </w:rPr>
        <w:t>Knowledge</w:t>
      </w:r>
    </w:p>
    <w:p w14:paraId="517E902A" w14:textId="77777777" w:rsidR="0046798B" w:rsidRDefault="0046798B">
      <w:pPr>
        <w:sectPr w:rsidR="0046798B">
          <w:pgSz w:w="15840" w:h="12240" w:orient="landscape"/>
          <w:pgMar w:top="1220" w:right="300" w:bottom="980" w:left="820" w:header="730" w:footer="787" w:gutter="0"/>
          <w:cols w:space="720"/>
        </w:sectPr>
      </w:pPr>
    </w:p>
    <w:p w14:paraId="7F6D8893"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6F45A546" w14:textId="77777777">
        <w:trPr>
          <w:trHeight w:val="590"/>
        </w:trPr>
        <w:tc>
          <w:tcPr>
            <w:tcW w:w="1711" w:type="dxa"/>
          </w:tcPr>
          <w:p w14:paraId="281D7022" w14:textId="77777777" w:rsidR="0046798B" w:rsidRDefault="00903B5C">
            <w:pPr>
              <w:pStyle w:val="TableParagraph"/>
              <w:spacing w:before="165"/>
              <w:ind w:left="140"/>
              <w:rPr>
                <w:b/>
              </w:rPr>
            </w:pPr>
            <w:r>
              <w:rPr>
                <w:b/>
              </w:rPr>
              <w:t>Variable Name</w:t>
            </w:r>
          </w:p>
        </w:tc>
        <w:tc>
          <w:tcPr>
            <w:tcW w:w="1596" w:type="dxa"/>
          </w:tcPr>
          <w:p w14:paraId="0C637E3A" w14:textId="77777777" w:rsidR="0046798B" w:rsidRDefault="00903B5C">
            <w:pPr>
              <w:pStyle w:val="TableParagraph"/>
              <w:spacing w:before="39" w:line="242" w:lineRule="auto"/>
              <w:ind w:left="249" w:right="229" w:firstLine="280"/>
              <w:rPr>
                <w:b/>
              </w:rPr>
            </w:pPr>
            <w:r>
              <w:rPr>
                <w:b/>
              </w:rPr>
              <w:t>Short Description</w:t>
            </w:r>
          </w:p>
        </w:tc>
        <w:tc>
          <w:tcPr>
            <w:tcW w:w="1285" w:type="dxa"/>
          </w:tcPr>
          <w:p w14:paraId="5FEE418C" w14:textId="77777777" w:rsidR="0046798B" w:rsidRDefault="00903B5C">
            <w:pPr>
              <w:pStyle w:val="TableParagraph"/>
              <w:spacing w:before="165"/>
              <w:ind w:left="364"/>
              <w:rPr>
                <w:b/>
              </w:rPr>
            </w:pPr>
            <w:r>
              <w:rPr>
                <w:b/>
              </w:rPr>
              <w:t>Years</w:t>
            </w:r>
          </w:p>
        </w:tc>
        <w:tc>
          <w:tcPr>
            <w:tcW w:w="3421" w:type="dxa"/>
          </w:tcPr>
          <w:p w14:paraId="525586D4" w14:textId="77777777" w:rsidR="0046798B" w:rsidRDefault="00903B5C">
            <w:pPr>
              <w:pStyle w:val="TableParagraph"/>
              <w:spacing w:before="39"/>
              <w:ind w:left="159" w:right="146"/>
              <w:jc w:val="center"/>
              <w:rPr>
                <w:b/>
              </w:rPr>
            </w:pPr>
            <w:r>
              <w:rPr>
                <w:b/>
              </w:rPr>
              <w:t>Coding /</w:t>
            </w:r>
          </w:p>
          <w:p w14:paraId="36224D3B" w14:textId="77777777" w:rsidR="0046798B" w:rsidRDefault="00903B5C">
            <w:pPr>
              <w:pStyle w:val="TableParagraph"/>
              <w:spacing w:before="3"/>
              <w:ind w:left="159" w:right="150"/>
              <w:jc w:val="center"/>
              <w:rPr>
                <w:b/>
              </w:rPr>
            </w:pPr>
            <w:r>
              <w:rPr>
                <w:b/>
              </w:rPr>
              <w:t>Longer Description (if available)</w:t>
            </w:r>
          </w:p>
        </w:tc>
        <w:tc>
          <w:tcPr>
            <w:tcW w:w="6482" w:type="dxa"/>
          </w:tcPr>
          <w:p w14:paraId="5CF99E95" w14:textId="77777777" w:rsidR="0046798B" w:rsidRDefault="00903B5C">
            <w:pPr>
              <w:pStyle w:val="TableParagraph"/>
              <w:spacing w:before="165"/>
              <w:ind w:left="2852" w:right="2845"/>
              <w:jc w:val="center"/>
              <w:rPr>
                <w:b/>
              </w:rPr>
            </w:pPr>
            <w:r>
              <w:rPr>
                <w:b/>
              </w:rPr>
              <w:t>Sources</w:t>
            </w:r>
          </w:p>
        </w:tc>
      </w:tr>
      <w:tr w:rsidR="0046798B" w14:paraId="40831349" w14:textId="77777777">
        <w:trPr>
          <w:trHeight w:val="1470"/>
        </w:trPr>
        <w:tc>
          <w:tcPr>
            <w:tcW w:w="1711" w:type="dxa"/>
          </w:tcPr>
          <w:p w14:paraId="5DE264E4" w14:textId="77777777" w:rsidR="0046798B" w:rsidRDefault="0046798B">
            <w:pPr>
              <w:pStyle w:val="TableParagraph"/>
            </w:pPr>
          </w:p>
          <w:p w14:paraId="51455F69" w14:textId="77777777" w:rsidR="0046798B" w:rsidRDefault="0046798B">
            <w:pPr>
              <w:pStyle w:val="TableParagraph"/>
              <w:spacing w:before="8"/>
              <w:rPr>
                <w:sz w:val="31"/>
              </w:rPr>
            </w:pPr>
          </w:p>
          <w:p w14:paraId="6D6A1E27" w14:textId="77777777" w:rsidR="0046798B" w:rsidRDefault="00903B5C">
            <w:pPr>
              <w:pStyle w:val="TableParagraph"/>
              <w:spacing w:before="1"/>
              <w:ind w:left="115"/>
              <w:rPr>
                <w:b/>
                <w:sz w:val="20"/>
              </w:rPr>
            </w:pPr>
            <w:r>
              <w:rPr>
                <w:b/>
                <w:sz w:val="20"/>
              </w:rPr>
              <w:t>know_gov</w:t>
            </w:r>
          </w:p>
        </w:tc>
        <w:tc>
          <w:tcPr>
            <w:tcW w:w="1596" w:type="dxa"/>
          </w:tcPr>
          <w:p w14:paraId="1B13A44C" w14:textId="77777777" w:rsidR="0046798B" w:rsidRDefault="0046798B">
            <w:pPr>
              <w:pStyle w:val="TableParagraph"/>
            </w:pPr>
          </w:p>
          <w:p w14:paraId="5B92C143" w14:textId="77777777" w:rsidR="0046798B" w:rsidRDefault="0046798B">
            <w:pPr>
              <w:pStyle w:val="TableParagraph"/>
              <w:spacing w:before="8"/>
              <w:rPr>
                <w:sz w:val="21"/>
              </w:rPr>
            </w:pPr>
          </w:p>
          <w:p w14:paraId="280D1663" w14:textId="77777777" w:rsidR="0046798B" w:rsidRDefault="00903B5C">
            <w:pPr>
              <w:pStyle w:val="TableParagraph"/>
              <w:spacing w:before="1"/>
              <w:ind w:left="114" w:right="313"/>
              <w:rPr>
                <w:sz w:val="20"/>
              </w:rPr>
            </w:pPr>
            <w:r>
              <w:rPr>
                <w:sz w:val="20"/>
              </w:rPr>
              <w:t>Knowledge of governor</w:t>
            </w:r>
          </w:p>
        </w:tc>
        <w:tc>
          <w:tcPr>
            <w:tcW w:w="1285" w:type="dxa"/>
          </w:tcPr>
          <w:p w14:paraId="19208EC9" w14:textId="77777777" w:rsidR="0046798B" w:rsidRDefault="0046798B">
            <w:pPr>
              <w:pStyle w:val="TableParagraph"/>
            </w:pPr>
          </w:p>
          <w:p w14:paraId="11127F0D" w14:textId="77777777" w:rsidR="0046798B" w:rsidRDefault="0046798B">
            <w:pPr>
              <w:pStyle w:val="TableParagraph"/>
              <w:spacing w:before="8"/>
              <w:rPr>
                <w:sz w:val="31"/>
              </w:rPr>
            </w:pPr>
          </w:p>
          <w:p w14:paraId="0DA0DAE3" w14:textId="77777777" w:rsidR="0046798B" w:rsidRDefault="00903B5C">
            <w:pPr>
              <w:pStyle w:val="TableParagraph"/>
              <w:spacing w:before="1"/>
              <w:ind w:left="114"/>
              <w:rPr>
                <w:sz w:val="20"/>
              </w:rPr>
            </w:pPr>
            <w:r>
              <w:rPr>
                <w:sz w:val="20"/>
              </w:rPr>
              <w:t>2007</w:t>
            </w:r>
          </w:p>
        </w:tc>
        <w:tc>
          <w:tcPr>
            <w:tcW w:w="3421" w:type="dxa"/>
          </w:tcPr>
          <w:p w14:paraId="6EF9DCAD" w14:textId="77777777" w:rsidR="0046798B" w:rsidRDefault="0046798B">
            <w:pPr>
              <w:pStyle w:val="TableParagraph"/>
            </w:pPr>
          </w:p>
          <w:p w14:paraId="0293CB1E" w14:textId="77777777" w:rsidR="0046798B" w:rsidRDefault="0046798B">
            <w:pPr>
              <w:pStyle w:val="TableParagraph"/>
              <w:spacing w:before="8"/>
              <w:rPr>
                <w:sz w:val="21"/>
              </w:rPr>
            </w:pPr>
          </w:p>
          <w:p w14:paraId="7AE3F185" w14:textId="77777777" w:rsidR="0046798B" w:rsidRDefault="00903B5C">
            <w:pPr>
              <w:pStyle w:val="TableParagraph"/>
              <w:spacing w:before="1"/>
              <w:ind w:left="114" w:right="833"/>
              <w:rPr>
                <w:sz w:val="20"/>
              </w:rPr>
            </w:pPr>
            <w:r>
              <w:rPr>
                <w:sz w:val="20"/>
              </w:rPr>
              <w:t>Percent of population who can correctly name their governor.</w:t>
            </w:r>
          </w:p>
        </w:tc>
        <w:tc>
          <w:tcPr>
            <w:tcW w:w="6482" w:type="dxa"/>
          </w:tcPr>
          <w:p w14:paraId="15B5814B" w14:textId="77777777" w:rsidR="0046798B" w:rsidRDefault="00903B5C">
            <w:pPr>
              <w:pStyle w:val="TableParagraph"/>
              <w:spacing w:before="43"/>
              <w:ind w:left="114" w:right="162"/>
              <w:rPr>
                <w:sz w:val="20"/>
              </w:rPr>
            </w:pPr>
            <w:r>
              <w:rPr>
                <w:sz w:val="20"/>
              </w:rPr>
              <w:t xml:space="preserve">Jaeger, William P., Jeffrey Lyons, and Jennifer Wolak. “Political Knowledge and Policy Representation in the States.” </w:t>
            </w:r>
            <w:r>
              <w:rPr>
                <w:i/>
                <w:sz w:val="20"/>
              </w:rPr>
              <w:t xml:space="preserve">American Politics Research </w:t>
            </w:r>
            <w:r>
              <w:rPr>
                <w:sz w:val="20"/>
              </w:rPr>
              <w:t>45.6 (2017): 907–938.</w:t>
            </w:r>
          </w:p>
          <w:p w14:paraId="6F2DDC1B" w14:textId="77777777" w:rsidR="0046798B" w:rsidRDefault="0046798B">
            <w:pPr>
              <w:pStyle w:val="TableParagraph"/>
              <w:rPr>
                <w:sz w:val="20"/>
              </w:rPr>
            </w:pPr>
          </w:p>
          <w:p w14:paraId="4D61EB0C" w14:textId="77777777" w:rsidR="0046798B" w:rsidRDefault="00903B5C">
            <w:pPr>
              <w:pStyle w:val="TableParagraph"/>
              <w:spacing w:before="1"/>
              <w:ind w:left="114"/>
              <w:rPr>
                <w:sz w:val="20"/>
              </w:rPr>
            </w:pPr>
            <w:r>
              <w:rPr>
                <w:sz w:val="20"/>
              </w:rPr>
              <w:t>Source: Pew Research Center. 2007. “Public Knowledge of Current Affairs Little Changed by News and Information Revolutions.”</w:t>
            </w:r>
          </w:p>
        </w:tc>
      </w:tr>
      <w:tr w:rsidR="0046798B" w14:paraId="2E583C6B" w14:textId="77777777">
        <w:trPr>
          <w:trHeight w:val="1460"/>
        </w:trPr>
        <w:tc>
          <w:tcPr>
            <w:tcW w:w="1711" w:type="dxa"/>
          </w:tcPr>
          <w:p w14:paraId="7F87AEE2" w14:textId="77777777" w:rsidR="0046798B" w:rsidRDefault="0046798B">
            <w:pPr>
              <w:pStyle w:val="TableParagraph"/>
            </w:pPr>
          </w:p>
          <w:p w14:paraId="134D0C5D" w14:textId="77777777" w:rsidR="0046798B" w:rsidRDefault="0046798B">
            <w:pPr>
              <w:pStyle w:val="TableParagraph"/>
              <w:spacing w:before="4"/>
              <w:rPr>
                <w:sz w:val="31"/>
              </w:rPr>
            </w:pPr>
          </w:p>
          <w:p w14:paraId="0DE013CB" w14:textId="77777777" w:rsidR="0046798B" w:rsidRDefault="00903B5C">
            <w:pPr>
              <w:pStyle w:val="TableParagraph"/>
              <w:ind w:left="115"/>
              <w:rPr>
                <w:b/>
                <w:sz w:val="20"/>
              </w:rPr>
            </w:pPr>
            <w:r>
              <w:rPr>
                <w:b/>
                <w:sz w:val="20"/>
              </w:rPr>
              <w:t>know_govparty</w:t>
            </w:r>
          </w:p>
        </w:tc>
        <w:tc>
          <w:tcPr>
            <w:tcW w:w="1596" w:type="dxa"/>
          </w:tcPr>
          <w:p w14:paraId="68641B93" w14:textId="77777777" w:rsidR="0046798B" w:rsidRDefault="0046798B">
            <w:pPr>
              <w:pStyle w:val="TableParagraph"/>
            </w:pPr>
          </w:p>
          <w:p w14:paraId="6382C585" w14:textId="77777777" w:rsidR="0046798B" w:rsidRDefault="0046798B">
            <w:pPr>
              <w:pStyle w:val="TableParagraph"/>
              <w:spacing w:before="3"/>
              <w:rPr>
                <w:sz w:val="21"/>
              </w:rPr>
            </w:pPr>
          </w:p>
          <w:p w14:paraId="2AE06778" w14:textId="77777777" w:rsidR="0046798B" w:rsidRDefault="00903B5C">
            <w:pPr>
              <w:pStyle w:val="TableParagraph"/>
              <w:spacing w:before="1"/>
              <w:ind w:left="114" w:right="124"/>
              <w:rPr>
                <w:sz w:val="20"/>
              </w:rPr>
            </w:pPr>
            <w:r>
              <w:rPr>
                <w:sz w:val="20"/>
              </w:rPr>
              <w:t>Knowledge of governor’s party</w:t>
            </w:r>
          </w:p>
        </w:tc>
        <w:tc>
          <w:tcPr>
            <w:tcW w:w="1285" w:type="dxa"/>
          </w:tcPr>
          <w:p w14:paraId="7DEE2C80" w14:textId="77777777" w:rsidR="0046798B" w:rsidRDefault="0046798B">
            <w:pPr>
              <w:pStyle w:val="TableParagraph"/>
            </w:pPr>
          </w:p>
          <w:p w14:paraId="352E1666" w14:textId="77777777" w:rsidR="0046798B" w:rsidRDefault="0046798B">
            <w:pPr>
              <w:pStyle w:val="TableParagraph"/>
              <w:spacing w:before="4"/>
              <w:rPr>
                <w:sz w:val="31"/>
              </w:rPr>
            </w:pPr>
          </w:p>
          <w:p w14:paraId="441E101C" w14:textId="77777777" w:rsidR="0046798B" w:rsidRDefault="00903B5C">
            <w:pPr>
              <w:pStyle w:val="TableParagraph"/>
              <w:ind w:left="114"/>
              <w:rPr>
                <w:sz w:val="20"/>
              </w:rPr>
            </w:pPr>
            <w:r>
              <w:rPr>
                <w:sz w:val="20"/>
              </w:rPr>
              <w:t>2006–2007</w:t>
            </w:r>
          </w:p>
        </w:tc>
        <w:tc>
          <w:tcPr>
            <w:tcW w:w="3421" w:type="dxa"/>
          </w:tcPr>
          <w:p w14:paraId="505CDFD5" w14:textId="77777777" w:rsidR="0046798B" w:rsidRDefault="0046798B">
            <w:pPr>
              <w:pStyle w:val="TableParagraph"/>
            </w:pPr>
          </w:p>
          <w:p w14:paraId="1603CA2B" w14:textId="77777777" w:rsidR="0046798B" w:rsidRDefault="00903B5C">
            <w:pPr>
              <w:pStyle w:val="TableParagraph"/>
              <w:spacing w:before="130"/>
              <w:ind w:left="114" w:right="694"/>
              <w:rPr>
                <w:sz w:val="20"/>
              </w:rPr>
            </w:pPr>
            <w:r>
              <w:rPr>
                <w:sz w:val="20"/>
              </w:rPr>
              <w:t>Percent of population who can correctly name the party of their governor.</w:t>
            </w:r>
          </w:p>
        </w:tc>
        <w:tc>
          <w:tcPr>
            <w:tcW w:w="6482" w:type="dxa"/>
          </w:tcPr>
          <w:p w14:paraId="2A6F9AA8" w14:textId="77777777" w:rsidR="0046798B" w:rsidRDefault="00903B5C">
            <w:pPr>
              <w:pStyle w:val="TableParagraph"/>
              <w:spacing w:before="38"/>
              <w:ind w:left="114" w:right="162"/>
              <w:rPr>
                <w:sz w:val="20"/>
              </w:rPr>
            </w:pPr>
            <w:r>
              <w:rPr>
                <w:sz w:val="20"/>
              </w:rPr>
              <w:t xml:space="preserve">Jaeger, William P., Jeffrey Lyons, and Jennifer Wolak. “Political Knowledge and Policy Representation in the States.” </w:t>
            </w:r>
            <w:r>
              <w:rPr>
                <w:i/>
                <w:sz w:val="20"/>
              </w:rPr>
              <w:t xml:space="preserve">American Politics Research </w:t>
            </w:r>
            <w:r>
              <w:rPr>
                <w:sz w:val="20"/>
              </w:rPr>
              <w:t>45.6 (2017): 907–938.</w:t>
            </w:r>
          </w:p>
          <w:p w14:paraId="168CDA01" w14:textId="77777777" w:rsidR="0046798B" w:rsidRDefault="0046798B">
            <w:pPr>
              <w:pStyle w:val="TableParagraph"/>
              <w:rPr>
                <w:sz w:val="20"/>
              </w:rPr>
            </w:pPr>
          </w:p>
          <w:p w14:paraId="349409F8" w14:textId="77777777" w:rsidR="0046798B" w:rsidRDefault="00903B5C">
            <w:pPr>
              <w:pStyle w:val="TableParagraph"/>
              <w:spacing w:line="221" w:lineRule="exact"/>
              <w:ind w:left="114"/>
              <w:rPr>
                <w:sz w:val="20"/>
              </w:rPr>
            </w:pPr>
            <w:r>
              <w:rPr>
                <w:sz w:val="20"/>
              </w:rPr>
              <w:t>Source: Cooperative Congressional Election Study.</w:t>
            </w:r>
          </w:p>
          <w:p w14:paraId="2E4F2C03" w14:textId="77777777" w:rsidR="0046798B" w:rsidRDefault="00797354">
            <w:pPr>
              <w:pStyle w:val="TableParagraph"/>
              <w:spacing w:line="225" w:lineRule="exact"/>
              <w:ind w:left="114"/>
              <w:rPr>
                <w:rFonts w:ascii="Cambria"/>
                <w:sz w:val="20"/>
              </w:rPr>
            </w:pPr>
            <w:hyperlink r:id="rId690">
              <w:r w:rsidR="00903B5C">
                <w:rPr>
                  <w:rFonts w:ascii="Cambria"/>
                  <w:color w:val="0462C1"/>
                  <w:sz w:val="20"/>
                  <w:u w:val="single" w:color="0462C1"/>
                </w:rPr>
                <w:t>https://cces.gov.harvard.edu</w:t>
              </w:r>
            </w:hyperlink>
          </w:p>
        </w:tc>
      </w:tr>
      <w:tr w:rsidR="0046798B" w14:paraId="4B0C1F8D" w14:textId="77777777">
        <w:trPr>
          <w:trHeight w:val="1460"/>
        </w:trPr>
        <w:tc>
          <w:tcPr>
            <w:tcW w:w="1711" w:type="dxa"/>
          </w:tcPr>
          <w:p w14:paraId="0A1299BC" w14:textId="77777777" w:rsidR="0046798B" w:rsidRDefault="0046798B">
            <w:pPr>
              <w:pStyle w:val="TableParagraph"/>
            </w:pPr>
          </w:p>
          <w:p w14:paraId="06A07201" w14:textId="77777777" w:rsidR="0046798B" w:rsidRDefault="0046798B">
            <w:pPr>
              <w:pStyle w:val="TableParagraph"/>
              <w:spacing w:before="4"/>
              <w:rPr>
                <w:sz w:val="21"/>
              </w:rPr>
            </w:pPr>
          </w:p>
          <w:p w14:paraId="54424663" w14:textId="77777777" w:rsidR="0046798B" w:rsidRDefault="00903B5C">
            <w:pPr>
              <w:pStyle w:val="TableParagraph"/>
              <w:ind w:left="115"/>
              <w:rPr>
                <w:b/>
                <w:sz w:val="20"/>
              </w:rPr>
            </w:pPr>
            <w:r>
              <w:rPr>
                <w:b/>
                <w:sz w:val="20"/>
              </w:rPr>
              <w:t>partisan_knowle dge_scale</w:t>
            </w:r>
          </w:p>
        </w:tc>
        <w:tc>
          <w:tcPr>
            <w:tcW w:w="1596" w:type="dxa"/>
          </w:tcPr>
          <w:p w14:paraId="0D931C62" w14:textId="77777777" w:rsidR="0046798B" w:rsidRDefault="0046798B">
            <w:pPr>
              <w:pStyle w:val="TableParagraph"/>
            </w:pPr>
          </w:p>
          <w:p w14:paraId="5FB49BF7" w14:textId="77777777" w:rsidR="0046798B" w:rsidRDefault="0046798B">
            <w:pPr>
              <w:pStyle w:val="TableParagraph"/>
              <w:spacing w:before="4"/>
              <w:rPr>
                <w:sz w:val="21"/>
              </w:rPr>
            </w:pPr>
          </w:p>
          <w:p w14:paraId="2ED02DB2" w14:textId="77777777" w:rsidR="0046798B" w:rsidRDefault="00903B5C">
            <w:pPr>
              <w:pStyle w:val="TableParagraph"/>
              <w:ind w:left="114" w:right="124"/>
              <w:rPr>
                <w:sz w:val="20"/>
              </w:rPr>
            </w:pPr>
            <w:r>
              <w:rPr>
                <w:sz w:val="20"/>
              </w:rPr>
              <w:t>Partisan knowledge scale</w:t>
            </w:r>
          </w:p>
        </w:tc>
        <w:tc>
          <w:tcPr>
            <w:tcW w:w="1285" w:type="dxa"/>
          </w:tcPr>
          <w:p w14:paraId="0375CCC6" w14:textId="77777777" w:rsidR="0046798B" w:rsidRDefault="0046798B">
            <w:pPr>
              <w:pStyle w:val="TableParagraph"/>
            </w:pPr>
          </w:p>
          <w:p w14:paraId="593D89DE" w14:textId="77777777" w:rsidR="0046798B" w:rsidRDefault="0046798B">
            <w:pPr>
              <w:pStyle w:val="TableParagraph"/>
              <w:spacing w:before="4"/>
              <w:rPr>
                <w:sz w:val="31"/>
              </w:rPr>
            </w:pPr>
          </w:p>
          <w:p w14:paraId="28DEDD7F" w14:textId="77777777" w:rsidR="0046798B" w:rsidRDefault="00903B5C">
            <w:pPr>
              <w:pStyle w:val="TableParagraph"/>
              <w:ind w:left="114"/>
              <w:rPr>
                <w:sz w:val="20"/>
              </w:rPr>
            </w:pPr>
            <w:r>
              <w:rPr>
                <w:sz w:val="20"/>
              </w:rPr>
              <w:t>2007</w:t>
            </w:r>
          </w:p>
        </w:tc>
        <w:tc>
          <w:tcPr>
            <w:tcW w:w="3421" w:type="dxa"/>
          </w:tcPr>
          <w:p w14:paraId="08E40E6F" w14:textId="77777777" w:rsidR="0046798B" w:rsidRDefault="0046798B">
            <w:pPr>
              <w:pStyle w:val="TableParagraph"/>
            </w:pPr>
          </w:p>
          <w:p w14:paraId="300A5BC4" w14:textId="77777777" w:rsidR="0046798B" w:rsidRDefault="00903B5C">
            <w:pPr>
              <w:pStyle w:val="TableParagraph"/>
              <w:spacing w:before="130"/>
              <w:ind w:left="114" w:right="388"/>
              <w:rPr>
                <w:sz w:val="20"/>
              </w:rPr>
            </w:pPr>
            <w:r>
              <w:rPr>
                <w:sz w:val="20"/>
              </w:rPr>
              <w:t>Number of items correct on the Cooperative Congressional Election Study’s partisan knowledge scale</w:t>
            </w:r>
          </w:p>
        </w:tc>
        <w:tc>
          <w:tcPr>
            <w:tcW w:w="6482" w:type="dxa"/>
          </w:tcPr>
          <w:p w14:paraId="186F44D3" w14:textId="77777777" w:rsidR="0046798B" w:rsidRDefault="00903B5C">
            <w:pPr>
              <w:pStyle w:val="TableParagraph"/>
              <w:spacing w:before="38"/>
              <w:ind w:left="114" w:right="162"/>
              <w:rPr>
                <w:sz w:val="20"/>
              </w:rPr>
            </w:pPr>
            <w:r>
              <w:rPr>
                <w:sz w:val="20"/>
              </w:rPr>
              <w:t xml:space="preserve">Jaeger, William P., Jeffrey Lyons, and Jennifer Wolak. “Political Knowledge and Policy Representation in the States.” </w:t>
            </w:r>
            <w:r>
              <w:rPr>
                <w:i/>
                <w:sz w:val="20"/>
              </w:rPr>
              <w:t xml:space="preserve">American Politics Research </w:t>
            </w:r>
            <w:r>
              <w:rPr>
                <w:sz w:val="20"/>
              </w:rPr>
              <w:t>45.6 (2017): 907–938.</w:t>
            </w:r>
          </w:p>
          <w:p w14:paraId="7FB0053A" w14:textId="77777777" w:rsidR="0046798B" w:rsidRDefault="0046798B">
            <w:pPr>
              <w:pStyle w:val="TableParagraph"/>
              <w:rPr>
                <w:sz w:val="20"/>
              </w:rPr>
            </w:pPr>
          </w:p>
          <w:p w14:paraId="1EC57337" w14:textId="77777777" w:rsidR="0046798B" w:rsidRDefault="00903B5C">
            <w:pPr>
              <w:pStyle w:val="TableParagraph"/>
              <w:spacing w:line="221" w:lineRule="exact"/>
              <w:ind w:left="114"/>
              <w:rPr>
                <w:sz w:val="20"/>
              </w:rPr>
            </w:pPr>
            <w:r>
              <w:rPr>
                <w:sz w:val="20"/>
              </w:rPr>
              <w:t>Source: Cooperative Congressional Election Study.</w:t>
            </w:r>
          </w:p>
          <w:p w14:paraId="17E1C340" w14:textId="77777777" w:rsidR="0046798B" w:rsidRDefault="00797354">
            <w:pPr>
              <w:pStyle w:val="TableParagraph"/>
              <w:spacing w:line="225" w:lineRule="exact"/>
              <w:ind w:left="114"/>
              <w:rPr>
                <w:rFonts w:ascii="Cambria"/>
                <w:sz w:val="20"/>
              </w:rPr>
            </w:pPr>
            <w:hyperlink r:id="rId691">
              <w:r w:rsidR="00903B5C">
                <w:rPr>
                  <w:rFonts w:ascii="Cambria"/>
                  <w:color w:val="0462C1"/>
                  <w:sz w:val="20"/>
                  <w:u w:val="single" w:color="0462C1"/>
                </w:rPr>
                <w:t>https://cces.gov.harvard.edu</w:t>
              </w:r>
            </w:hyperlink>
          </w:p>
        </w:tc>
      </w:tr>
      <w:tr w:rsidR="0046798B" w14:paraId="450C1EC3" w14:textId="77777777">
        <w:trPr>
          <w:trHeight w:val="775"/>
        </w:trPr>
        <w:tc>
          <w:tcPr>
            <w:tcW w:w="1711" w:type="dxa"/>
          </w:tcPr>
          <w:p w14:paraId="2B2351FF" w14:textId="77777777" w:rsidR="0046798B" w:rsidRDefault="0046798B">
            <w:pPr>
              <w:pStyle w:val="TableParagraph"/>
              <w:spacing w:before="9"/>
              <w:rPr>
                <w:sz w:val="23"/>
              </w:rPr>
            </w:pPr>
          </w:p>
          <w:p w14:paraId="050D5B16" w14:textId="77777777" w:rsidR="0046798B" w:rsidRDefault="00903B5C">
            <w:pPr>
              <w:pStyle w:val="TableParagraph"/>
              <w:ind w:left="115"/>
              <w:rPr>
                <w:b/>
                <w:sz w:val="20"/>
              </w:rPr>
            </w:pPr>
            <w:r>
              <w:rPr>
                <w:b/>
                <w:sz w:val="20"/>
              </w:rPr>
              <w:t>soc_capital</w:t>
            </w:r>
          </w:p>
        </w:tc>
        <w:tc>
          <w:tcPr>
            <w:tcW w:w="1596" w:type="dxa"/>
          </w:tcPr>
          <w:p w14:paraId="6C6C1E5A" w14:textId="77777777" w:rsidR="0046798B" w:rsidRDefault="0046798B">
            <w:pPr>
              <w:pStyle w:val="TableParagraph"/>
              <w:spacing w:before="9"/>
              <w:rPr>
                <w:sz w:val="23"/>
              </w:rPr>
            </w:pPr>
          </w:p>
          <w:p w14:paraId="0AD547DA" w14:textId="77777777" w:rsidR="0046798B" w:rsidRDefault="00903B5C">
            <w:pPr>
              <w:pStyle w:val="TableParagraph"/>
              <w:ind w:left="114"/>
              <w:rPr>
                <w:sz w:val="20"/>
              </w:rPr>
            </w:pPr>
            <w:r>
              <w:rPr>
                <w:sz w:val="20"/>
              </w:rPr>
              <w:t>Social capital</w:t>
            </w:r>
          </w:p>
        </w:tc>
        <w:tc>
          <w:tcPr>
            <w:tcW w:w="1285" w:type="dxa"/>
          </w:tcPr>
          <w:p w14:paraId="33323210" w14:textId="77777777" w:rsidR="0046798B" w:rsidRDefault="0046798B">
            <w:pPr>
              <w:pStyle w:val="TableParagraph"/>
              <w:spacing w:before="9"/>
              <w:rPr>
                <w:sz w:val="23"/>
              </w:rPr>
            </w:pPr>
          </w:p>
          <w:p w14:paraId="27B76EAC" w14:textId="77777777" w:rsidR="0046798B" w:rsidRDefault="00903B5C">
            <w:pPr>
              <w:pStyle w:val="TableParagraph"/>
              <w:ind w:left="114"/>
              <w:rPr>
                <w:sz w:val="20"/>
              </w:rPr>
            </w:pPr>
            <w:r>
              <w:rPr>
                <w:sz w:val="20"/>
              </w:rPr>
              <w:t>1986–2009</w:t>
            </w:r>
          </w:p>
        </w:tc>
        <w:tc>
          <w:tcPr>
            <w:tcW w:w="3421" w:type="dxa"/>
          </w:tcPr>
          <w:p w14:paraId="431D94AD" w14:textId="77777777" w:rsidR="0046798B" w:rsidRDefault="0046798B">
            <w:pPr>
              <w:pStyle w:val="TableParagraph"/>
              <w:spacing w:before="9"/>
              <w:rPr>
                <w:sz w:val="23"/>
              </w:rPr>
            </w:pPr>
          </w:p>
          <w:p w14:paraId="60DD82AB" w14:textId="77777777" w:rsidR="0046798B" w:rsidRDefault="00903B5C">
            <w:pPr>
              <w:pStyle w:val="TableParagraph"/>
              <w:ind w:left="114"/>
              <w:rPr>
                <w:sz w:val="20"/>
              </w:rPr>
            </w:pPr>
            <w:r>
              <w:rPr>
                <w:sz w:val="20"/>
              </w:rPr>
              <w:t>Hawes et al.’s measure of social capital</w:t>
            </w:r>
          </w:p>
        </w:tc>
        <w:tc>
          <w:tcPr>
            <w:tcW w:w="6482" w:type="dxa"/>
          </w:tcPr>
          <w:p w14:paraId="2CEAC173" w14:textId="77777777" w:rsidR="0046798B" w:rsidRDefault="00903B5C">
            <w:pPr>
              <w:pStyle w:val="TableParagraph"/>
              <w:spacing w:before="43"/>
              <w:ind w:left="114" w:right="167"/>
              <w:rPr>
                <w:sz w:val="20"/>
              </w:rPr>
            </w:pPr>
            <w:r>
              <w:rPr>
                <w:sz w:val="20"/>
              </w:rPr>
              <w:t xml:space="preserve">Hawes, Daniel P., Rene Rocha, and Kenneth Meier. “Social Capital in the 50 States: Measuring State-Level Social Capital, 1986–2004.” </w:t>
            </w:r>
            <w:r>
              <w:rPr>
                <w:i/>
                <w:sz w:val="20"/>
              </w:rPr>
              <w:t xml:space="preserve">State Politics &amp; Policy Quarterly </w:t>
            </w:r>
            <w:r>
              <w:rPr>
                <w:sz w:val="20"/>
              </w:rPr>
              <w:t>13.1 (2013): 121–138.</w:t>
            </w:r>
          </w:p>
        </w:tc>
      </w:tr>
      <w:tr w:rsidR="0046798B" w14:paraId="1D0F13AA" w14:textId="77777777">
        <w:trPr>
          <w:trHeight w:val="775"/>
        </w:trPr>
        <w:tc>
          <w:tcPr>
            <w:tcW w:w="1711" w:type="dxa"/>
          </w:tcPr>
          <w:p w14:paraId="7D04EB57" w14:textId="77777777" w:rsidR="0046798B" w:rsidRDefault="0046798B">
            <w:pPr>
              <w:pStyle w:val="TableParagraph"/>
              <w:spacing w:before="8"/>
              <w:rPr>
                <w:sz w:val="23"/>
              </w:rPr>
            </w:pPr>
          </w:p>
          <w:p w14:paraId="40C553E7" w14:textId="77777777" w:rsidR="0046798B" w:rsidRDefault="00903B5C">
            <w:pPr>
              <w:pStyle w:val="TableParagraph"/>
              <w:spacing w:before="1"/>
              <w:ind w:left="115"/>
              <w:rPr>
                <w:b/>
                <w:sz w:val="20"/>
              </w:rPr>
            </w:pPr>
            <w:r>
              <w:rPr>
                <w:b/>
                <w:sz w:val="20"/>
              </w:rPr>
              <w:t>soc_capital_ma</w:t>
            </w:r>
          </w:p>
        </w:tc>
        <w:tc>
          <w:tcPr>
            <w:tcW w:w="1596" w:type="dxa"/>
          </w:tcPr>
          <w:p w14:paraId="6D30A2F3" w14:textId="77777777" w:rsidR="0046798B" w:rsidRDefault="00903B5C">
            <w:pPr>
              <w:pStyle w:val="TableParagraph"/>
              <w:spacing w:before="43"/>
              <w:ind w:left="114" w:right="169"/>
              <w:jc w:val="both"/>
              <w:rPr>
                <w:sz w:val="20"/>
              </w:rPr>
            </w:pPr>
            <w:r>
              <w:rPr>
                <w:sz w:val="20"/>
              </w:rPr>
              <w:t>Weighted social capital (moving average)</w:t>
            </w:r>
          </w:p>
        </w:tc>
        <w:tc>
          <w:tcPr>
            <w:tcW w:w="1285" w:type="dxa"/>
          </w:tcPr>
          <w:p w14:paraId="7DE842E7" w14:textId="77777777" w:rsidR="0046798B" w:rsidRDefault="0046798B">
            <w:pPr>
              <w:pStyle w:val="TableParagraph"/>
              <w:spacing w:before="8"/>
              <w:rPr>
                <w:sz w:val="23"/>
              </w:rPr>
            </w:pPr>
          </w:p>
          <w:p w14:paraId="525B9738" w14:textId="77777777" w:rsidR="0046798B" w:rsidRDefault="00903B5C">
            <w:pPr>
              <w:pStyle w:val="TableParagraph"/>
              <w:spacing w:before="1"/>
              <w:ind w:left="114"/>
              <w:rPr>
                <w:sz w:val="20"/>
              </w:rPr>
            </w:pPr>
            <w:r>
              <w:rPr>
                <w:sz w:val="20"/>
              </w:rPr>
              <w:t>1984–2011</w:t>
            </w:r>
          </w:p>
        </w:tc>
        <w:tc>
          <w:tcPr>
            <w:tcW w:w="3421" w:type="dxa"/>
          </w:tcPr>
          <w:p w14:paraId="1EC53090" w14:textId="77777777" w:rsidR="0046798B" w:rsidRDefault="00903B5C">
            <w:pPr>
              <w:pStyle w:val="TableParagraph"/>
              <w:spacing w:before="158"/>
              <w:ind w:left="114" w:right="622"/>
              <w:rPr>
                <w:sz w:val="20"/>
              </w:rPr>
            </w:pPr>
            <w:r>
              <w:rPr>
                <w:sz w:val="20"/>
              </w:rPr>
              <w:t>Hawes et al.’s weighted moving average measure of social capital</w:t>
            </w:r>
          </w:p>
        </w:tc>
        <w:tc>
          <w:tcPr>
            <w:tcW w:w="6482" w:type="dxa"/>
          </w:tcPr>
          <w:p w14:paraId="0DE4C966" w14:textId="77777777" w:rsidR="0046798B" w:rsidRDefault="00903B5C">
            <w:pPr>
              <w:pStyle w:val="TableParagraph"/>
              <w:spacing w:before="43"/>
              <w:ind w:left="114" w:right="167"/>
              <w:rPr>
                <w:sz w:val="20"/>
              </w:rPr>
            </w:pPr>
            <w:r>
              <w:rPr>
                <w:sz w:val="20"/>
              </w:rPr>
              <w:t xml:space="preserve">Hawes, Daniel P., Rene Rocha, and Kenneth Meier. “Social Capital in the 50 States: Measuring State-Level Social Capital, 1986–2004.” </w:t>
            </w:r>
            <w:r>
              <w:rPr>
                <w:i/>
                <w:sz w:val="20"/>
              </w:rPr>
              <w:t xml:space="preserve">State Politics &amp; Policy Quarterly </w:t>
            </w:r>
            <w:r>
              <w:rPr>
                <w:sz w:val="20"/>
              </w:rPr>
              <w:t>13.1 (2013): 121–138.</w:t>
            </w:r>
          </w:p>
        </w:tc>
      </w:tr>
      <w:tr w:rsidR="0046798B" w14:paraId="02414956" w14:textId="77777777">
        <w:trPr>
          <w:trHeight w:val="1235"/>
        </w:trPr>
        <w:tc>
          <w:tcPr>
            <w:tcW w:w="1711" w:type="dxa"/>
          </w:tcPr>
          <w:p w14:paraId="667230C7" w14:textId="77777777" w:rsidR="0046798B" w:rsidRDefault="0046798B">
            <w:pPr>
              <w:pStyle w:val="TableParagraph"/>
            </w:pPr>
          </w:p>
          <w:p w14:paraId="45C64232" w14:textId="77777777" w:rsidR="0046798B" w:rsidRDefault="0046798B">
            <w:pPr>
              <w:pStyle w:val="TableParagraph"/>
              <w:spacing w:before="8"/>
              <w:rPr>
                <w:sz w:val="21"/>
              </w:rPr>
            </w:pPr>
          </w:p>
          <w:p w14:paraId="61E65453" w14:textId="77777777" w:rsidR="0046798B" w:rsidRDefault="00903B5C">
            <w:pPr>
              <w:pStyle w:val="TableParagraph"/>
              <w:ind w:left="115"/>
              <w:rPr>
                <w:b/>
                <w:sz w:val="20"/>
              </w:rPr>
            </w:pPr>
            <w:r>
              <w:rPr>
                <w:b/>
                <w:sz w:val="20"/>
              </w:rPr>
              <w:t>state_culture</w:t>
            </w:r>
          </w:p>
        </w:tc>
        <w:tc>
          <w:tcPr>
            <w:tcW w:w="1596" w:type="dxa"/>
          </w:tcPr>
          <w:p w14:paraId="5C3DDE06" w14:textId="77777777" w:rsidR="0046798B" w:rsidRDefault="0046798B">
            <w:pPr>
              <w:pStyle w:val="TableParagraph"/>
            </w:pPr>
          </w:p>
          <w:p w14:paraId="4C7B7F45" w14:textId="77777777" w:rsidR="0046798B" w:rsidRDefault="00903B5C">
            <w:pPr>
              <w:pStyle w:val="TableParagraph"/>
              <w:spacing w:before="135"/>
              <w:ind w:left="114" w:right="446"/>
              <w:rPr>
                <w:sz w:val="20"/>
              </w:rPr>
            </w:pPr>
            <w:r>
              <w:rPr>
                <w:sz w:val="20"/>
              </w:rPr>
              <w:t>State culture type</w:t>
            </w:r>
          </w:p>
        </w:tc>
        <w:tc>
          <w:tcPr>
            <w:tcW w:w="1285" w:type="dxa"/>
          </w:tcPr>
          <w:p w14:paraId="38CE53E8" w14:textId="77777777" w:rsidR="0046798B" w:rsidRDefault="0046798B">
            <w:pPr>
              <w:pStyle w:val="TableParagraph"/>
            </w:pPr>
          </w:p>
          <w:p w14:paraId="5E75BCF4" w14:textId="77777777" w:rsidR="0046798B" w:rsidRDefault="0046798B">
            <w:pPr>
              <w:pStyle w:val="TableParagraph"/>
              <w:spacing w:before="8"/>
              <w:rPr>
                <w:sz w:val="21"/>
              </w:rPr>
            </w:pPr>
          </w:p>
          <w:p w14:paraId="65DEB607" w14:textId="77777777" w:rsidR="0046798B" w:rsidRDefault="00903B5C">
            <w:pPr>
              <w:pStyle w:val="TableParagraph"/>
              <w:ind w:left="114"/>
              <w:rPr>
                <w:sz w:val="20"/>
              </w:rPr>
            </w:pPr>
            <w:r>
              <w:rPr>
                <w:sz w:val="20"/>
              </w:rPr>
              <w:t>1966</w:t>
            </w:r>
          </w:p>
        </w:tc>
        <w:tc>
          <w:tcPr>
            <w:tcW w:w="3421" w:type="dxa"/>
          </w:tcPr>
          <w:p w14:paraId="2BFA1F22" w14:textId="77777777" w:rsidR="0046798B" w:rsidRDefault="00903B5C">
            <w:pPr>
              <w:pStyle w:val="TableParagraph"/>
              <w:spacing w:before="43"/>
              <w:ind w:left="114" w:right="894"/>
              <w:rPr>
                <w:sz w:val="20"/>
              </w:rPr>
            </w:pPr>
            <w:r>
              <w:rPr>
                <w:sz w:val="20"/>
              </w:rPr>
              <w:t>Elazar’s state political culture classification</w:t>
            </w:r>
          </w:p>
          <w:p w14:paraId="3589271B" w14:textId="77777777" w:rsidR="0046798B" w:rsidRDefault="0046798B">
            <w:pPr>
              <w:pStyle w:val="TableParagraph"/>
              <w:rPr>
                <w:sz w:val="20"/>
              </w:rPr>
            </w:pPr>
          </w:p>
          <w:p w14:paraId="69AE02C9" w14:textId="77777777" w:rsidR="0046798B" w:rsidRDefault="00903B5C">
            <w:pPr>
              <w:pStyle w:val="TableParagraph"/>
              <w:ind w:left="114" w:right="166"/>
              <w:rPr>
                <w:sz w:val="20"/>
              </w:rPr>
            </w:pPr>
            <w:r>
              <w:rPr>
                <w:sz w:val="20"/>
              </w:rPr>
              <w:t>(1 = moralistic; 2 = individualistic; 3 = traditionalistic)</w:t>
            </w:r>
          </w:p>
        </w:tc>
        <w:tc>
          <w:tcPr>
            <w:tcW w:w="6482" w:type="dxa"/>
          </w:tcPr>
          <w:p w14:paraId="53ADB9E7" w14:textId="77777777" w:rsidR="0046798B" w:rsidRDefault="0046798B">
            <w:pPr>
              <w:pStyle w:val="TableParagraph"/>
            </w:pPr>
          </w:p>
          <w:p w14:paraId="4AC1A770" w14:textId="77777777" w:rsidR="0046798B" w:rsidRDefault="00903B5C">
            <w:pPr>
              <w:pStyle w:val="TableParagraph"/>
              <w:spacing w:before="135"/>
              <w:ind w:left="114" w:right="311"/>
              <w:rPr>
                <w:sz w:val="20"/>
              </w:rPr>
            </w:pPr>
            <w:r>
              <w:rPr>
                <w:sz w:val="20"/>
              </w:rPr>
              <w:t xml:space="preserve">Elazar, Daniel J. 1966. </w:t>
            </w:r>
            <w:r>
              <w:rPr>
                <w:i/>
                <w:sz w:val="20"/>
              </w:rPr>
              <w:t xml:space="preserve">American Federalism: A View from the States. </w:t>
            </w:r>
            <w:r>
              <w:rPr>
                <w:sz w:val="20"/>
              </w:rPr>
              <w:t>New York: Thomas Y. Crowell Company.</w:t>
            </w:r>
          </w:p>
        </w:tc>
      </w:tr>
      <w:tr w:rsidR="0046798B" w14:paraId="58E40C63" w14:textId="77777777">
        <w:trPr>
          <w:trHeight w:val="1010"/>
        </w:trPr>
        <w:tc>
          <w:tcPr>
            <w:tcW w:w="1711" w:type="dxa"/>
          </w:tcPr>
          <w:p w14:paraId="1DA70CF6" w14:textId="77777777" w:rsidR="0046798B" w:rsidRDefault="0046798B">
            <w:pPr>
              <w:pStyle w:val="TableParagraph"/>
            </w:pPr>
          </w:p>
          <w:p w14:paraId="2CA8ECFF" w14:textId="77777777" w:rsidR="0046798B" w:rsidRDefault="00903B5C">
            <w:pPr>
              <w:pStyle w:val="TableParagraph"/>
              <w:spacing w:before="135"/>
              <w:ind w:left="115"/>
              <w:rPr>
                <w:b/>
                <w:sz w:val="20"/>
              </w:rPr>
            </w:pPr>
            <w:r>
              <w:rPr>
                <w:b/>
                <w:sz w:val="20"/>
              </w:rPr>
              <w:t>fpvi</w:t>
            </w:r>
          </w:p>
        </w:tc>
        <w:tc>
          <w:tcPr>
            <w:tcW w:w="1596" w:type="dxa"/>
          </w:tcPr>
          <w:p w14:paraId="6798C2E2" w14:textId="77777777" w:rsidR="0046798B" w:rsidRDefault="0046798B">
            <w:pPr>
              <w:pStyle w:val="TableParagraph"/>
              <w:spacing w:before="8"/>
              <w:rPr>
                <w:sz w:val="23"/>
              </w:rPr>
            </w:pPr>
          </w:p>
          <w:p w14:paraId="6A79468B" w14:textId="77777777" w:rsidR="0046798B" w:rsidRDefault="00903B5C">
            <w:pPr>
              <w:pStyle w:val="TableParagraph"/>
              <w:spacing w:before="1"/>
              <w:ind w:left="114" w:right="324"/>
              <w:rPr>
                <w:sz w:val="20"/>
              </w:rPr>
            </w:pPr>
            <w:r>
              <w:rPr>
                <w:sz w:val="20"/>
              </w:rPr>
              <w:t>Cook Partisan Voter Index</w:t>
            </w:r>
          </w:p>
        </w:tc>
        <w:tc>
          <w:tcPr>
            <w:tcW w:w="1285" w:type="dxa"/>
          </w:tcPr>
          <w:p w14:paraId="499438A8" w14:textId="77777777" w:rsidR="0046798B" w:rsidRDefault="0046798B">
            <w:pPr>
              <w:pStyle w:val="TableParagraph"/>
            </w:pPr>
          </w:p>
          <w:p w14:paraId="564E7007" w14:textId="77777777" w:rsidR="0046798B" w:rsidRDefault="00903B5C">
            <w:pPr>
              <w:pStyle w:val="TableParagraph"/>
              <w:spacing w:before="135"/>
              <w:ind w:left="114"/>
              <w:rPr>
                <w:sz w:val="20"/>
              </w:rPr>
            </w:pPr>
            <w:r>
              <w:rPr>
                <w:sz w:val="20"/>
              </w:rPr>
              <w:t>2000–2014</w:t>
            </w:r>
          </w:p>
        </w:tc>
        <w:tc>
          <w:tcPr>
            <w:tcW w:w="3421" w:type="dxa"/>
          </w:tcPr>
          <w:p w14:paraId="1A2CA512" w14:textId="77777777" w:rsidR="0046798B" w:rsidRDefault="00903B5C">
            <w:pPr>
              <w:pStyle w:val="TableParagraph"/>
              <w:spacing w:before="43"/>
              <w:ind w:left="114" w:right="216"/>
              <w:rPr>
                <w:sz w:val="20"/>
              </w:rPr>
            </w:pPr>
            <w:r>
              <w:rPr>
                <w:sz w:val="20"/>
              </w:rPr>
              <w:t>Cook Partisan Voter Index, state-level measure (+D, used for imputing land- use regulation, linearly interpolated between elections)</w:t>
            </w:r>
          </w:p>
        </w:tc>
        <w:tc>
          <w:tcPr>
            <w:tcW w:w="6482" w:type="dxa"/>
          </w:tcPr>
          <w:p w14:paraId="3DC565ED" w14:textId="77777777" w:rsidR="0046798B" w:rsidRDefault="00903B5C">
            <w:pPr>
              <w:pStyle w:val="TableParagraph"/>
              <w:spacing w:before="158"/>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3FBC2342" w14:textId="77777777" w:rsidR="0046798B" w:rsidRDefault="0046798B">
      <w:pPr>
        <w:rPr>
          <w:sz w:val="20"/>
        </w:rPr>
        <w:sectPr w:rsidR="0046798B">
          <w:pgSz w:w="15840" w:h="12240" w:orient="landscape"/>
          <w:pgMar w:top="1220" w:right="300" w:bottom="980" w:left="820" w:header="730" w:footer="787" w:gutter="0"/>
          <w:cols w:space="720"/>
        </w:sectPr>
      </w:pPr>
    </w:p>
    <w:p w14:paraId="2FA16708"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13AEEA2" w14:textId="77777777">
        <w:trPr>
          <w:trHeight w:val="1005"/>
        </w:trPr>
        <w:tc>
          <w:tcPr>
            <w:tcW w:w="1711" w:type="dxa"/>
          </w:tcPr>
          <w:p w14:paraId="5DFA5F64" w14:textId="77777777" w:rsidR="0046798B" w:rsidRDefault="0046798B">
            <w:pPr>
              <w:pStyle w:val="TableParagraph"/>
            </w:pPr>
          </w:p>
          <w:p w14:paraId="692A7616" w14:textId="77777777" w:rsidR="0046798B" w:rsidRDefault="00903B5C">
            <w:pPr>
              <w:pStyle w:val="TableParagraph"/>
              <w:spacing w:before="135"/>
              <w:ind w:left="115"/>
              <w:rPr>
                <w:b/>
                <w:sz w:val="20"/>
              </w:rPr>
            </w:pPr>
            <w:r>
              <w:rPr>
                <w:b/>
                <w:sz w:val="20"/>
              </w:rPr>
              <w:t>citi6013</w:t>
            </w:r>
          </w:p>
        </w:tc>
        <w:tc>
          <w:tcPr>
            <w:tcW w:w="1596" w:type="dxa"/>
          </w:tcPr>
          <w:p w14:paraId="1D012660" w14:textId="77777777" w:rsidR="0046798B" w:rsidRDefault="0046798B">
            <w:pPr>
              <w:pStyle w:val="TableParagraph"/>
              <w:spacing w:before="9"/>
              <w:rPr>
                <w:sz w:val="23"/>
              </w:rPr>
            </w:pPr>
          </w:p>
          <w:p w14:paraId="5029F86E" w14:textId="77777777" w:rsidR="0046798B" w:rsidRDefault="00903B5C">
            <w:pPr>
              <w:pStyle w:val="TableParagraph"/>
              <w:ind w:left="114" w:right="124"/>
              <w:rPr>
                <w:sz w:val="20"/>
              </w:rPr>
            </w:pPr>
            <w:r>
              <w:rPr>
                <w:sz w:val="20"/>
              </w:rPr>
              <w:t>Citizen ideology measure</w:t>
            </w:r>
          </w:p>
        </w:tc>
        <w:tc>
          <w:tcPr>
            <w:tcW w:w="1285" w:type="dxa"/>
          </w:tcPr>
          <w:p w14:paraId="752C7FB4" w14:textId="77777777" w:rsidR="0046798B" w:rsidRDefault="0046798B">
            <w:pPr>
              <w:pStyle w:val="TableParagraph"/>
            </w:pPr>
          </w:p>
          <w:p w14:paraId="472C243C" w14:textId="77777777" w:rsidR="0046798B" w:rsidRDefault="00903B5C">
            <w:pPr>
              <w:pStyle w:val="TableParagraph"/>
              <w:spacing w:before="135"/>
              <w:ind w:left="114"/>
              <w:rPr>
                <w:sz w:val="20"/>
              </w:rPr>
            </w:pPr>
            <w:r>
              <w:rPr>
                <w:sz w:val="20"/>
              </w:rPr>
              <w:t>1960–2013</w:t>
            </w:r>
          </w:p>
        </w:tc>
        <w:tc>
          <w:tcPr>
            <w:tcW w:w="3421" w:type="dxa"/>
          </w:tcPr>
          <w:p w14:paraId="0376F7C7" w14:textId="77777777" w:rsidR="0046798B" w:rsidRDefault="00903B5C">
            <w:pPr>
              <w:pStyle w:val="TableParagraph"/>
              <w:spacing w:before="158"/>
              <w:ind w:left="114" w:right="283"/>
              <w:rPr>
                <w:sz w:val="20"/>
              </w:rPr>
            </w:pPr>
            <w:r>
              <w:rPr>
                <w:sz w:val="20"/>
              </w:rPr>
              <w:t>Measure of citizen ideology, from liberal to conservative. Higher values indicate more liberal.</w:t>
            </w:r>
          </w:p>
        </w:tc>
        <w:tc>
          <w:tcPr>
            <w:tcW w:w="6482" w:type="dxa"/>
          </w:tcPr>
          <w:p w14:paraId="060C48F1" w14:textId="77777777" w:rsidR="0046798B" w:rsidRDefault="00903B5C">
            <w:pPr>
              <w:pStyle w:val="TableParagraph"/>
              <w:spacing w:before="43"/>
              <w:ind w:left="114" w:right="361"/>
              <w:rPr>
                <w:sz w:val="20"/>
              </w:rPr>
            </w:pPr>
            <w:r>
              <w:rPr>
                <w:sz w:val="20"/>
              </w:rPr>
              <w:t xml:space="preserve">Berry, William D., Evan J. Ringquist, Richard C. Fording, and Russell L. Hanson. “Measuring Citizen and Government Ideology in the American States, 1960-93.” </w:t>
            </w:r>
            <w:r>
              <w:rPr>
                <w:i/>
                <w:sz w:val="20"/>
              </w:rPr>
              <w:t xml:space="preserve">American Journal of Political Science </w:t>
            </w:r>
            <w:r>
              <w:rPr>
                <w:sz w:val="20"/>
              </w:rPr>
              <w:t>42.1 (1998): 327–</w:t>
            </w:r>
          </w:p>
          <w:p w14:paraId="2056E925" w14:textId="77777777" w:rsidR="0046798B" w:rsidRDefault="00903B5C">
            <w:pPr>
              <w:pStyle w:val="TableParagraph"/>
              <w:ind w:left="114"/>
              <w:rPr>
                <w:sz w:val="20"/>
              </w:rPr>
            </w:pPr>
            <w:r>
              <w:rPr>
                <w:sz w:val="20"/>
              </w:rPr>
              <w:t>348.</w:t>
            </w:r>
          </w:p>
        </w:tc>
      </w:tr>
      <w:tr w:rsidR="0046798B" w14:paraId="7A9AD71D" w14:textId="77777777">
        <w:trPr>
          <w:trHeight w:val="1235"/>
        </w:trPr>
        <w:tc>
          <w:tcPr>
            <w:tcW w:w="1711" w:type="dxa"/>
          </w:tcPr>
          <w:p w14:paraId="0CE18D8E" w14:textId="77777777" w:rsidR="0046798B" w:rsidRDefault="0046798B">
            <w:pPr>
              <w:pStyle w:val="TableParagraph"/>
            </w:pPr>
          </w:p>
          <w:p w14:paraId="440025C0" w14:textId="77777777" w:rsidR="0046798B" w:rsidRDefault="0046798B">
            <w:pPr>
              <w:pStyle w:val="TableParagraph"/>
              <w:spacing w:before="9"/>
              <w:rPr>
                <w:sz w:val="21"/>
              </w:rPr>
            </w:pPr>
          </w:p>
          <w:p w14:paraId="54B5142F" w14:textId="77777777" w:rsidR="0046798B" w:rsidRDefault="00903B5C">
            <w:pPr>
              <w:pStyle w:val="TableParagraph"/>
              <w:ind w:left="115"/>
              <w:rPr>
                <w:b/>
                <w:sz w:val="20"/>
              </w:rPr>
            </w:pPr>
            <w:r>
              <w:rPr>
                <w:b/>
                <w:sz w:val="20"/>
              </w:rPr>
              <w:t>pid</w:t>
            </w:r>
          </w:p>
        </w:tc>
        <w:tc>
          <w:tcPr>
            <w:tcW w:w="1596" w:type="dxa"/>
          </w:tcPr>
          <w:p w14:paraId="41D43C52" w14:textId="77777777" w:rsidR="0046798B" w:rsidRDefault="0046798B">
            <w:pPr>
              <w:pStyle w:val="TableParagraph"/>
              <w:spacing w:before="8"/>
              <w:rPr>
                <w:sz w:val="23"/>
              </w:rPr>
            </w:pPr>
          </w:p>
          <w:p w14:paraId="061AE930" w14:textId="77777777" w:rsidR="0046798B" w:rsidRDefault="00903B5C">
            <w:pPr>
              <w:pStyle w:val="TableParagraph"/>
              <w:spacing w:before="1"/>
              <w:ind w:left="114" w:right="385"/>
              <w:rPr>
                <w:sz w:val="20"/>
              </w:rPr>
            </w:pPr>
            <w:r>
              <w:rPr>
                <w:sz w:val="20"/>
              </w:rPr>
              <w:t>State party identification score</w:t>
            </w:r>
          </w:p>
        </w:tc>
        <w:tc>
          <w:tcPr>
            <w:tcW w:w="1285" w:type="dxa"/>
          </w:tcPr>
          <w:p w14:paraId="51709048" w14:textId="77777777" w:rsidR="0046798B" w:rsidRDefault="0046798B">
            <w:pPr>
              <w:pStyle w:val="TableParagraph"/>
            </w:pPr>
          </w:p>
          <w:p w14:paraId="665BFCAF" w14:textId="77777777" w:rsidR="0046798B" w:rsidRDefault="0046798B">
            <w:pPr>
              <w:pStyle w:val="TableParagraph"/>
              <w:spacing w:before="9"/>
              <w:rPr>
                <w:sz w:val="21"/>
              </w:rPr>
            </w:pPr>
          </w:p>
          <w:p w14:paraId="71F9C04E" w14:textId="77777777" w:rsidR="0046798B" w:rsidRDefault="00903B5C">
            <w:pPr>
              <w:pStyle w:val="TableParagraph"/>
              <w:ind w:left="114"/>
              <w:rPr>
                <w:sz w:val="20"/>
              </w:rPr>
            </w:pPr>
            <w:r>
              <w:rPr>
                <w:sz w:val="20"/>
              </w:rPr>
              <w:t>1976–2011</w:t>
            </w:r>
          </w:p>
        </w:tc>
        <w:tc>
          <w:tcPr>
            <w:tcW w:w="3421" w:type="dxa"/>
          </w:tcPr>
          <w:p w14:paraId="15535E69" w14:textId="77777777" w:rsidR="0046798B" w:rsidRDefault="00903B5C">
            <w:pPr>
              <w:pStyle w:val="TableParagraph"/>
              <w:spacing w:before="43"/>
              <w:ind w:left="114" w:right="150"/>
              <w:rPr>
                <w:sz w:val="20"/>
              </w:rPr>
            </w:pPr>
            <w:r>
              <w:rPr>
                <w:sz w:val="20"/>
              </w:rPr>
              <w:t>Yearly measure giving the proportion of Democratic identifiers minus the proportion of Republican identifiers in each state. A positive score indicates a more Democratic state citizenry</w:t>
            </w:r>
          </w:p>
        </w:tc>
        <w:tc>
          <w:tcPr>
            <w:tcW w:w="6482" w:type="dxa"/>
          </w:tcPr>
          <w:p w14:paraId="3A598F2D" w14:textId="77777777" w:rsidR="0046798B" w:rsidRDefault="0046798B">
            <w:pPr>
              <w:pStyle w:val="TableParagraph"/>
              <w:spacing w:before="5"/>
              <w:rPr>
                <w:sz w:val="23"/>
              </w:rPr>
            </w:pPr>
          </w:p>
          <w:p w14:paraId="18D6918F" w14:textId="77777777" w:rsidR="0046798B" w:rsidRDefault="00903B5C">
            <w:pPr>
              <w:pStyle w:val="TableParagraph"/>
              <w:spacing w:line="237" w:lineRule="auto"/>
              <w:ind w:left="114" w:right="245"/>
              <w:jc w:val="both"/>
              <w:rPr>
                <w:rFonts w:ascii="Cambria"/>
                <w:sz w:val="20"/>
              </w:rPr>
            </w:pPr>
            <w:r>
              <w:rPr>
                <w:sz w:val="20"/>
              </w:rPr>
              <w:t xml:space="preserve">Erikson, Robert S., Gerald C. Wright, and John P. McIver. 1993. </w:t>
            </w:r>
            <w:r>
              <w:rPr>
                <w:i/>
                <w:sz w:val="20"/>
              </w:rPr>
              <w:t xml:space="preserve">Statehouse Democracy: Public Opinion, and Policy in the American States. </w:t>
            </w:r>
            <w:r>
              <w:rPr>
                <w:sz w:val="20"/>
              </w:rPr>
              <w:t>New York: Cambridge</w:t>
            </w:r>
            <w:r>
              <w:rPr>
                <w:spacing w:val="-33"/>
                <w:sz w:val="20"/>
              </w:rPr>
              <w:t xml:space="preserve"> </w:t>
            </w:r>
            <w:r>
              <w:rPr>
                <w:sz w:val="20"/>
              </w:rPr>
              <w:t>University</w:t>
            </w:r>
            <w:r>
              <w:rPr>
                <w:spacing w:val="-32"/>
                <w:sz w:val="20"/>
              </w:rPr>
              <w:t xml:space="preserve"> </w:t>
            </w:r>
            <w:r>
              <w:rPr>
                <w:sz w:val="20"/>
              </w:rPr>
              <w:t>Press.</w:t>
            </w:r>
            <w:r>
              <w:rPr>
                <w:spacing w:val="-32"/>
                <w:sz w:val="20"/>
              </w:rPr>
              <w:t xml:space="preserve"> </w:t>
            </w:r>
            <w:r>
              <w:rPr>
                <w:sz w:val="20"/>
              </w:rPr>
              <w:t>Data</w:t>
            </w:r>
            <w:r>
              <w:rPr>
                <w:spacing w:val="-32"/>
                <w:sz w:val="20"/>
              </w:rPr>
              <w:t xml:space="preserve"> </w:t>
            </w:r>
            <w:r>
              <w:rPr>
                <w:sz w:val="20"/>
              </w:rPr>
              <w:t>link:</w:t>
            </w:r>
            <w:r>
              <w:rPr>
                <w:spacing w:val="-33"/>
                <w:sz w:val="20"/>
              </w:rPr>
              <w:t xml:space="preserve"> </w:t>
            </w:r>
            <w:hyperlink r:id="rId692">
              <w:r>
                <w:rPr>
                  <w:rFonts w:ascii="Cambria"/>
                  <w:color w:val="0462C1"/>
                  <w:sz w:val="20"/>
                  <w:u w:val="single" w:color="0462C1"/>
                </w:rPr>
                <w:t>http://php.indiana.edu/~wright1/</w:t>
              </w:r>
            </w:hyperlink>
          </w:p>
        </w:tc>
      </w:tr>
      <w:tr w:rsidR="0046798B" w14:paraId="5A1D397A" w14:textId="77777777">
        <w:trPr>
          <w:trHeight w:val="1470"/>
        </w:trPr>
        <w:tc>
          <w:tcPr>
            <w:tcW w:w="1711" w:type="dxa"/>
          </w:tcPr>
          <w:p w14:paraId="213B6E45" w14:textId="77777777" w:rsidR="0046798B" w:rsidRDefault="0046798B">
            <w:pPr>
              <w:pStyle w:val="TableParagraph"/>
            </w:pPr>
          </w:p>
          <w:p w14:paraId="000214ED" w14:textId="77777777" w:rsidR="0046798B" w:rsidRDefault="0046798B">
            <w:pPr>
              <w:pStyle w:val="TableParagraph"/>
              <w:spacing w:before="9"/>
              <w:rPr>
                <w:sz w:val="31"/>
              </w:rPr>
            </w:pPr>
          </w:p>
          <w:p w14:paraId="6AE982FD" w14:textId="77777777" w:rsidR="0046798B" w:rsidRDefault="00903B5C">
            <w:pPr>
              <w:pStyle w:val="TableParagraph"/>
              <w:ind w:left="115"/>
              <w:rPr>
                <w:b/>
                <w:sz w:val="20"/>
              </w:rPr>
            </w:pPr>
            <w:r>
              <w:rPr>
                <w:b/>
                <w:sz w:val="20"/>
              </w:rPr>
              <w:t>wpid</w:t>
            </w:r>
          </w:p>
        </w:tc>
        <w:tc>
          <w:tcPr>
            <w:tcW w:w="1596" w:type="dxa"/>
          </w:tcPr>
          <w:p w14:paraId="1B531B46" w14:textId="77777777" w:rsidR="0046798B" w:rsidRDefault="0046798B">
            <w:pPr>
              <w:pStyle w:val="TableParagraph"/>
              <w:spacing w:before="8"/>
              <w:rPr>
                <w:sz w:val="23"/>
              </w:rPr>
            </w:pPr>
          </w:p>
          <w:p w14:paraId="5E4A1B54" w14:textId="77777777" w:rsidR="0046798B" w:rsidRDefault="00903B5C">
            <w:pPr>
              <w:pStyle w:val="TableParagraph"/>
              <w:spacing w:before="1"/>
              <w:ind w:left="114" w:right="258"/>
              <w:rPr>
                <w:sz w:val="20"/>
              </w:rPr>
            </w:pPr>
            <w:r>
              <w:rPr>
                <w:sz w:val="20"/>
              </w:rPr>
              <w:t>Weighted state party identification score</w:t>
            </w:r>
          </w:p>
        </w:tc>
        <w:tc>
          <w:tcPr>
            <w:tcW w:w="1285" w:type="dxa"/>
          </w:tcPr>
          <w:p w14:paraId="5C07499E" w14:textId="77777777" w:rsidR="0046798B" w:rsidRDefault="0046798B">
            <w:pPr>
              <w:pStyle w:val="TableParagraph"/>
            </w:pPr>
          </w:p>
          <w:p w14:paraId="1EA02604" w14:textId="77777777" w:rsidR="0046798B" w:rsidRDefault="0046798B">
            <w:pPr>
              <w:pStyle w:val="TableParagraph"/>
              <w:spacing w:before="9"/>
              <w:rPr>
                <w:sz w:val="31"/>
              </w:rPr>
            </w:pPr>
          </w:p>
          <w:p w14:paraId="00DF2559" w14:textId="77777777" w:rsidR="0046798B" w:rsidRDefault="00903B5C">
            <w:pPr>
              <w:pStyle w:val="TableParagraph"/>
              <w:ind w:left="114"/>
              <w:rPr>
                <w:sz w:val="20"/>
              </w:rPr>
            </w:pPr>
            <w:r>
              <w:rPr>
                <w:sz w:val="20"/>
              </w:rPr>
              <w:t>1976–2011</w:t>
            </w:r>
          </w:p>
        </w:tc>
        <w:tc>
          <w:tcPr>
            <w:tcW w:w="3421" w:type="dxa"/>
          </w:tcPr>
          <w:p w14:paraId="0BA87C29" w14:textId="77777777" w:rsidR="0046798B" w:rsidRDefault="00903B5C">
            <w:pPr>
              <w:pStyle w:val="TableParagraph"/>
              <w:spacing w:before="43"/>
              <w:ind w:left="114" w:right="98"/>
              <w:rPr>
                <w:sz w:val="20"/>
              </w:rPr>
            </w:pPr>
            <w:r>
              <w:rPr>
                <w:sz w:val="20"/>
              </w:rPr>
              <w:t>Weighted yearly measure giving the proportion of Democratic identifiers minus the proportion of Republican identifiers in each state. A positive score indicates a more Democratic state citizenry</w:t>
            </w:r>
          </w:p>
        </w:tc>
        <w:tc>
          <w:tcPr>
            <w:tcW w:w="6482" w:type="dxa"/>
          </w:tcPr>
          <w:p w14:paraId="59AFE68B" w14:textId="77777777" w:rsidR="0046798B" w:rsidRDefault="0046798B">
            <w:pPr>
              <w:pStyle w:val="TableParagraph"/>
            </w:pPr>
          </w:p>
          <w:p w14:paraId="4C2C49EF" w14:textId="77777777" w:rsidR="0046798B" w:rsidRDefault="00903B5C">
            <w:pPr>
              <w:pStyle w:val="TableParagraph"/>
              <w:spacing w:before="132" w:line="237" w:lineRule="auto"/>
              <w:ind w:left="114" w:right="245"/>
              <w:jc w:val="both"/>
              <w:rPr>
                <w:rFonts w:ascii="Cambria"/>
                <w:sz w:val="20"/>
              </w:rPr>
            </w:pPr>
            <w:r>
              <w:rPr>
                <w:sz w:val="20"/>
              </w:rPr>
              <w:t xml:space="preserve">Erikson, Robert S., Gerald C. Wright, and John P. McIver. 1993. </w:t>
            </w:r>
            <w:r>
              <w:rPr>
                <w:i/>
                <w:sz w:val="20"/>
              </w:rPr>
              <w:t xml:space="preserve">Statehouse Democracy: Public Opinion, and Policy in the American States. </w:t>
            </w:r>
            <w:r>
              <w:rPr>
                <w:sz w:val="20"/>
              </w:rPr>
              <w:t>New York: Cambridge</w:t>
            </w:r>
            <w:r>
              <w:rPr>
                <w:spacing w:val="-33"/>
                <w:sz w:val="20"/>
              </w:rPr>
              <w:t xml:space="preserve"> </w:t>
            </w:r>
            <w:r>
              <w:rPr>
                <w:sz w:val="20"/>
              </w:rPr>
              <w:t>University</w:t>
            </w:r>
            <w:r>
              <w:rPr>
                <w:spacing w:val="-32"/>
                <w:sz w:val="20"/>
              </w:rPr>
              <w:t xml:space="preserve"> </w:t>
            </w:r>
            <w:r>
              <w:rPr>
                <w:sz w:val="20"/>
              </w:rPr>
              <w:t>Press.</w:t>
            </w:r>
            <w:r>
              <w:rPr>
                <w:spacing w:val="-32"/>
                <w:sz w:val="20"/>
              </w:rPr>
              <w:t xml:space="preserve"> </w:t>
            </w:r>
            <w:r>
              <w:rPr>
                <w:sz w:val="20"/>
              </w:rPr>
              <w:t>Data</w:t>
            </w:r>
            <w:r>
              <w:rPr>
                <w:spacing w:val="-32"/>
                <w:sz w:val="20"/>
              </w:rPr>
              <w:t xml:space="preserve"> </w:t>
            </w:r>
            <w:r>
              <w:rPr>
                <w:sz w:val="20"/>
              </w:rPr>
              <w:t>link:</w:t>
            </w:r>
            <w:r>
              <w:rPr>
                <w:spacing w:val="-33"/>
                <w:sz w:val="20"/>
              </w:rPr>
              <w:t xml:space="preserve"> </w:t>
            </w:r>
            <w:hyperlink r:id="rId693">
              <w:r>
                <w:rPr>
                  <w:rFonts w:ascii="Cambria"/>
                  <w:color w:val="0462C1"/>
                  <w:sz w:val="20"/>
                  <w:u w:val="single" w:color="0462C1"/>
                </w:rPr>
                <w:t>http://php.indiana.edu/~wright1/</w:t>
              </w:r>
            </w:hyperlink>
          </w:p>
        </w:tc>
      </w:tr>
      <w:tr w:rsidR="0046798B" w14:paraId="6823759E" w14:textId="77777777">
        <w:trPr>
          <w:trHeight w:val="1235"/>
        </w:trPr>
        <w:tc>
          <w:tcPr>
            <w:tcW w:w="1711" w:type="dxa"/>
          </w:tcPr>
          <w:p w14:paraId="2E32ED7D" w14:textId="77777777" w:rsidR="0046798B" w:rsidRDefault="0046798B">
            <w:pPr>
              <w:pStyle w:val="TableParagraph"/>
            </w:pPr>
          </w:p>
          <w:p w14:paraId="72CDAB06" w14:textId="77777777" w:rsidR="0046798B" w:rsidRDefault="0046798B">
            <w:pPr>
              <w:pStyle w:val="TableParagraph"/>
              <w:spacing w:before="4"/>
              <w:rPr>
                <w:sz w:val="21"/>
              </w:rPr>
            </w:pPr>
          </w:p>
          <w:p w14:paraId="5727047B" w14:textId="77777777" w:rsidR="0046798B" w:rsidRDefault="00903B5C">
            <w:pPr>
              <w:pStyle w:val="TableParagraph"/>
              <w:ind w:left="115"/>
              <w:rPr>
                <w:b/>
                <w:sz w:val="20"/>
              </w:rPr>
            </w:pPr>
            <w:r>
              <w:rPr>
                <w:b/>
                <w:sz w:val="20"/>
              </w:rPr>
              <w:t>npid</w:t>
            </w:r>
          </w:p>
        </w:tc>
        <w:tc>
          <w:tcPr>
            <w:tcW w:w="1596" w:type="dxa"/>
          </w:tcPr>
          <w:p w14:paraId="0EE3D3E7" w14:textId="77777777" w:rsidR="0046798B" w:rsidRDefault="00903B5C">
            <w:pPr>
              <w:pStyle w:val="TableParagraph"/>
              <w:spacing w:before="38"/>
              <w:ind w:left="114" w:right="174"/>
              <w:rPr>
                <w:sz w:val="20"/>
              </w:rPr>
            </w:pPr>
            <w:r>
              <w:rPr>
                <w:sz w:val="20"/>
              </w:rPr>
              <w:t>Number used to construct state party identification score</w:t>
            </w:r>
          </w:p>
        </w:tc>
        <w:tc>
          <w:tcPr>
            <w:tcW w:w="1285" w:type="dxa"/>
          </w:tcPr>
          <w:p w14:paraId="55450A00" w14:textId="77777777" w:rsidR="0046798B" w:rsidRDefault="0046798B">
            <w:pPr>
              <w:pStyle w:val="TableParagraph"/>
            </w:pPr>
          </w:p>
          <w:p w14:paraId="549D8DF9" w14:textId="77777777" w:rsidR="0046798B" w:rsidRDefault="0046798B">
            <w:pPr>
              <w:pStyle w:val="TableParagraph"/>
              <w:spacing w:before="4"/>
              <w:rPr>
                <w:sz w:val="21"/>
              </w:rPr>
            </w:pPr>
          </w:p>
          <w:p w14:paraId="3B5C597B" w14:textId="77777777" w:rsidR="0046798B" w:rsidRDefault="00903B5C">
            <w:pPr>
              <w:pStyle w:val="TableParagraph"/>
              <w:ind w:left="114"/>
              <w:rPr>
                <w:sz w:val="20"/>
              </w:rPr>
            </w:pPr>
            <w:r>
              <w:rPr>
                <w:sz w:val="20"/>
              </w:rPr>
              <w:t>1976–2011</w:t>
            </w:r>
          </w:p>
        </w:tc>
        <w:tc>
          <w:tcPr>
            <w:tcW w:w="3421" w:type="dxa"/>
          </w:tcPr>
          <w:p w14:paraId="60E19D39" w14:textId="77777777" w:rsidR="0046798B" w:rsidRDefault="0046798B">
            <w:pPr>
              <w:pStyle w:val="TableParagraph"/>
              <w:spacing w:before="4"/>
              <w:rPr>
                <w:sz w:val="23"/>
              </w:rPr>
            </w:pPr>
          </w:p>
          <w:p w14:paraId="4A596FDE" w14:textId="77777777" w:rsidR="0046798B" w:rsidRDefault="00903B5C">
            <w:pPr>
              <w:pStyle w:val="TableParagraph"/>
              <w:ind w:left="114" w:right="216"/>
              <w:rPr>
                <w:sz w:val="20"/>
              </w:rPr>
            </w:pPr>
            <w:r>
              <w:rPr>
                <w:sz w:val="20"/>
              </w:rPr>
              <w:t>Number of respondents within a state- year used to create the proportion of partisan identifiers.</w:t>
            </w:r>
          </w:p>
        </w:tc>
        <w:tc>
          <w:tcPr>
            <w:tcW w:w="6482" w:type="dxa"/>
          </w:tcPr>
          <w:p w14:paraId="64258185" w14:textId="77777777" w:rsidR="0046798B" w:rsidRDefault="0046798B">
            <w:pPr>
              <w:pStyle w:val="TableParagraph"/>
              <w:spacing w:before="1"/>
              <w:rPr>
                <w:sz w:val="23"/>
              </w:rPr>
            </w:pPr>
          </w:p>
          <w:p w14:paraId="0DE6BE69" w14:textId="77777777" w:rsidR="0046798B" w:rsidRDefault="00903B5C">
            <w:pPr>
              <w:pStyle w:val="TableParagraph"/>
              <w:spacing w:line="237" w:lineRule="auto"/>
              <w:ind w:left="114" w:right="245"/>
              <w:jc w:val="both"/>
              <w:rPr>
                <w:rFonts w:ascii="Cambria"/>
                <w:sz w:val="20"/>
              </w:rPr>
            </w:pPr>
            <w:r>
              <w:rPr>
                <w:sz w:val="20"/>
              </w:rPr>
              <w:t xml:space="preserve">Erikson, Robert S., Gerald C. Wright, and John P. McIver. 1993. </w:t>
            </w:r>
            <w:r>
              <w:rPr>
                <w:i/>
                <w:sz w:val="20"/>
              </w:rPr>
              <w:t xml:space="preserve">Statehouse Democracy: Public Opinion, and Policy in the American States. </w:t>
            </w:r>
            <w:r>
              <w:rPr>
                <w:sz w:val="20"/>
              </w:rPr>
              <w:t>New York: Cambridge</w:t>
            </w:r>
            <w:r>
              <w:rPr>
                <w:spacing w:val="-33"/>
                <w:sz w:val="20"/>
              </w:rPr>
              <w:t xml:space="preserve"> </w:t>
            </w:r>
            <w:r>
              <w:rPr>
                <w:sz w:val="20"/>
              </w:rPr>
              <w:t>University</w:t>
            </w:r>
            <w:r>
              <w:rPr>
                <w:spacing w:val="-32"/>
                <w:sz w:val="20"/>
              </w:rPr>
              <w:t xml:space="preserve"> </w:t>
            </w:r>
            <w:r>
              <w:rPr>
                <w:sz w:val="20"/>
              </w:rPr>
              <w:t>Press.</w:t>
            </w:r>
            <w:r>
              <w:rPr>
                <w:spacing w:val="-32"/>
                <w:sz w:val="20"/>
              </w:rPr>
              <w:t xml:space="preserve"> </w:t>
            </w:r>
            <w:r>
              <w:rPr>
                <w:sz w:val="20"/>
              </w:rPr>
              <w:t>Data</w:t>
            </w:r>
            <w:r>
              <w:rPr>
                <w:spacing w:val="-32"/>
                <w:sz w:val="20"/>
              </w:rPr>
              <w:t xml:space="preserve"> </w:t>
            </w:r>
            <w:r>
              <w:rPr>
                <w:sz w:val="20"/>
              </w:rPr>
              <w:t>link:</w:t>
            </w:r>
            <w:r>
              <w:rPr>
                <w:spacing w:val="-33"/>
                <w:sz w:val="20"/>
              </w:rPr>
              <w:t xml:space="preserve"> </w:t>
            </w:r>
            <w:hyperlink r:id="rId694">
              <w:r>
                <w:rPr>
                  <w:rFonts w:ascii="Cambria"/>
                  <w:color w:val="0462C1"/>
                  <w:sz w:val="20"/>
                  <w:u w:val="single" w:color="0462C1"/>
                </w:rPr>
                <w:t>http://php.indiana.edu/~wright1/</w:t>
              </w:r>
            </w:hyperlink>
          </w:p>
        </w:tc>
      </w:tr>
      <w:tr w:rsidR="0046798B" w14:paraId="2616E9A4" w14:textId="77777777">
        <w:trPr>
          <w:trHeight w:val="1235"/>
        </w:trPr>
        <w:tc>
          <w:tcPr>
            <w:tcW w:w="1711" w:type="dxa"/>
          </w:tcPr>
          <w:p w14:paraId="3364266F" w14:textId="77777777" w:rsidR="0046798B" w:rsidRDefault="0046798B">
            <w:pPr>
              <w:pStyle w:val="TableParagraph"/>
            </w:pPr>
          </w:p>
          <w:p w14:paraId="242349B7" w14:textId="77777777" w:rsidR="0046798B" w:rsidRDefault="0046798B">
            <w:pPr>
              <w:pStyle w:val="TableParagraph"/>
              <w:spacing w:before="4"/>
              <w:rPr>
                <w:sz w:val="21"/>
              </w:rPr>
            </w:pPr>
          </w:p>
          <w:p w14:paraId="78CFBFB4" w14:textId="77777777" w:rsidR="0046798B" w:rsidRDefault="00903B5C">
            <w:pPr>
              <w:pStyle w:val="TableParagraph"/>
              <w:ind w:left="115"/>
              <w:rPr>
                <w:b/>
                <w:sz w:val="20"/>
              </w:rPr>
            </w:pPr>
            <w:r>
              <w:rPr>
                <w:b/>
                <w:sz w:val="20"/>
              </w:rPr>
              <w:t>ideo</w:t>
            </w:r>
          </w:p>
        </w:tc>
        <w:tc>
          <w:tcPr>
            <w:tcW w:w="1596" w:type="dxa"/>
          </w:tcPr>
          <w:p w14:paraId="54FA4E81" w14:textId="77777777" w:rsidR="0046798B" w:rsidRDefault="0046798B">
            <w:pPr>
              <w:pStyle w:val="TableParagraph"/>
            </w:pPr>
          </w:p>
          <w:p w14:paraId="21A29D48" w14:textId="77777777" w:rsidR="0046798B" w:rsidRDefault="00903B5C">
            <w:pPr>
              <w:pStyle w:val="TableParagraph"/>
              <w:spacing w:before="131"/>
              <w:ind w:left="114" w:right="302"/>
              <w:rPr>
                <w:sz w:val="20"/>
              </w:rPr>
            </w:pPr>
            <w:r>
              <w:rPr>
                <w:sz w:val="20"/>
              </w:rPr>
              <w:t>State ideology score</w:t>
            </w:r>
          </w:p>
        </w:tc>
        <w:tc>
          <w:tcPr>
            <w:tcW w:w="1285" w:type="dxa"/>
          </w:tcPr>
          <w:p w14:paraId="767894A4" w14:textId="77777777" w:rsidR="0046798B" w:rsidRDefault="0046798B">
            <w:pPr>
              <w:pStyle w:val="TableParagraph"/>
            </w:pPr>
          </w:p>
          <w:p w14:paraId="0AEB4E58" w14:textId="77777777" w:rsidR="0046798B" w:rsidRDefault="0046798B">
            <w:pPr>
              <w:pStyle w:val="TableParagraph"/>
              <w:spacing w:before="4"/>
              <w:rPr>
                <w:sz w:val="21"/>
              </w:rPr>
            </w:pPr>
          </w:p>
          <w:p w14:paraId="002935B4" w14:textId="77777777" w:rsidR="0046798B" w:rsidRDefault="00903B5C">
            <w:pPr>
              <w:pStyle w:val="TableParagraph"/>
              <w:ind w:left="114"/>
              <w:rPr>
                <w:sz w:val="20"/>
              </w:rPr>
            </w:pPr>
            <w:r>
              <w:rPr>
                <w:sz w:val="20"/>
              </w:rPr>
              <w:t>1976–2011</w:t>
            </w:r>
          </w:p>
        </w:tc>
        <w:tc>
          <w:tcPr>
            <w:tcW w:w="3421" w:type="dxa"/>
          </w:tcPr>
          <w:p w14:paraId="47FDE28D" w14:textId="77777777" w:rsidR="0046798B" w:rsidRDefault="00903B5C">
            <w:pPr>
              <w:pStyle w:val="TableParagraph"/>
              <w:spacing w:before="38"/>
              <w:ind w:left="114" w:right="111"/>
              <w:rPr>
                <w:sz w:val="20"/>
              </w:rPr>
            </w:pPr>
            <w:r>
              <w:rPr>
                <w:sz w:val="20"/>
              </w:rPr>
              <w:t xml:space="preserve">Yearly measure giving the proportion of liberal identifiers minus the proportion of conservative identifiers </w:t>
            </w:r>
            <w:r>
              <w:rPr>
                <w:spacing w:val="-9"/>
                <w:sz w:val="20"/>
              </w:rPr>
              <w:t xml:space="preserve">in </w:t>
            </w:r>
            <w:r>
              <w:rPr>
                <w:sz w:val="20"/>
              </w:rPr>
              <w:t>each state. A positive score indicates a more liberal state</w:t>
            </w:r>
            <w:r>
              <w:rPr>
                <w:spacing w:val="-1"/>
                <w:sz w:val="20"/>
              </w:rPr>
              <w:t xml:space="preserve"> </w:t>
            </w:r>
            <w:r>
              <w:rPr>
                <w:sz w:val="20"/>
              </w:rPr>
              <w:t>citizenry</w:t>
            </w:r>
          </w:p>
        </w:tc>
        <w:tc>
          <w:tcPr>
            <w:tcW w:w="6482" w:type="dxa"/>
          </w:tcPr>
          <w:p w14:paraId="71E922D9" w14:textId="77777777" w:rsidR="0046798B" w:rsidRDefault="0046798B">
            <w:pPr>
              <w:pStyle w:val="TableParagraph"/>
              <w:spacing w:before="1"/>
              <w:rPr>
                <w:sz w:val="23"/>
              </w:rPr>
            </w:pPr>
          </w:p>
          <w:p w14:paraId="17EACF14" w14:textId="77777777" w:rsidR="0046798B" w:rsidRDefault="00903B5C">
            <w:pPr>
              <w:pStyle w:val="TableParagraph"/>
              <w:spacing w:line="237" w:lineRule="auto"/>
              <w:ind w:left="114" w:right="245"/>
              <w:jc w:val="both"/>
              <w:rPr>
                <w:rFonts w:ascii="Cambria"/>
                <w:sz w:val="20"/>
              </w:rPr>
            </w:pPr>
            <w:r>
              <w:rPr>
                <w:sz w:val="20"/>
              </w:rPr>
              <w:t xml:space="preserve">Erikson, Robert S., Gerald C. Wright, and John P. McIver. 1993. </w:t>
            </w:r>
            <w:r>
              <w:rPr>
                <w:i/>
                <w:sz w:val="20"/>
              </w:rPr>
              <w:t xml:space="preserve">Statehouse Democracy: Public Opinion, and Policy in the American States. </w:t>
            </w:r>
            <w:r>
              <w:rPr>
                <w:sz w:val="20"/>
              </w:rPr>
              <w:t>New York: Cambridge</w:t>
            </w:r>
            <w:r>
              <w:rPr>
                <w:spacing w:val="-33"/>
                <w:sz w:val="20"/>
              </w:rPr>
              <w:t xml:space="preserve"> </w:t>
            </w:r>
            <w:r>
              <w:rPr>
                <w:sz w:val="20"/>
              </w:rPr>
              <w:t>University</w:t>
            </w:r>
            <w:r>
              <w:rPr>
                <w:spacing w:val="-32"/>
                <w:sz w:val="20"/>
              </w:rPr>
              <w:t xml:space="preserve"> </w:t>
            </w:r>
            <w:r>
              <w:rPr>
                <w:sz w:val="20"/>
              </w:rPr>
              <w:t>Press.</w:t>
            </w:r>
            <w:r>
              <w:rPr>
                <w:spacing w:val="-32"/>
                <w:sz w:val="20"/>
              </w:rPr>
              <w:t xml:space="preserve"> </w:t>
            </w:r>
            <w:r>
              <w:rPr>
                <w:sz w:val="20"/>
              </w:rPr>
              <w:t>Data</w:t>
            </w:r>
            <w:r>
              <w:rPr>
                <w:spacing w:val="-32"/>
                <w:sz w:val="20"/>
              </w:rPr>
              <w:t xml:space="preserve"> </w:t>
            </w:r>
            <w:r>
              <w:rPr>
                <w:sz w:val="20"/>
              </w:rPr>
              <w:t>link:</w:t>
            </w:r>
            <w:r>
              <w:rPr>
                <w:spacing w:val="-33"/>
                <w:sz w:val="20"/>
              </w:rPr>
              <w:t xml:space="preserve"> </w:t>
            </w:r>
            <w:hyperlink r:id="rId695">
              <w:r>
                <w:rPr>
                  <w:rFonts w:ascii="Cambria"/>
                  <w:color w:val="0462C1"/>
                  <w:sz w:val="20"/>
                  <w:u w:val="single" w:color="0462C1"/>
                </w:rPr>
                <w:t>http://php.indiana.edu/~wright1/</w:t>
              </w:r>
            </w:hyperlink>
          </w:p>
        </w:tc>
      </w:tr>
      <w:tr w:rsidR="0046798B" w14:paraId="4ECAD540" w14:textId="77777777">
        <w:trPr>
          <w:trHeight w:val="1465"/>
        </w:trPr>
        <w:tc>
          <w:tcPr>
            <w:tcW w:w="1711" w:type="dxa"/>
          </w:tcPr>
          <w:p w14:paraId="580DF4F8" w14:textId="77777777" w:rsidR="0046798B" w:rsidRDefault="0046798B">
            <w:pPr>
              <w:pStyle w:val="TableParagraph"/>
            </w:pPr>
          </w:p>
          <w:p w14:paraId="2A7BB75F" w14:textId="77777777" w:rsidR="0046798B" w:rsidRDefault="0046798B">
            <w:pPr>
              <w:pStyle w:val="TableParagraph"/>
              <w:spacing w:before="4"/>
              <w:rPr>
                <w:sz w:val="31"/>
              </w:rPr>
            </w:pPr>
          </w:p>
          <w:p w14:paraId="673672DA" w14:textId="77777777" w:rsidR="0046798B" w:rsidRDefault="00903B5C">
            <w:pPr>
              <w:pStyle w:val="TableParagraph"/>
              <w:ind w:left="115"/>
              <w:rPr>
                <w:b/>
                <w:sz w:val="20"/>
              </w:rPr>
            </w:pPr>
            <w:r>
              <w:rPr>
                <w:b/>
                <w:sz w:val="20"/>
              </w:rPr>
              <w:t>wideo</w:t>
            </w:r>
          </w:p>
        </w:tc>
        <w:tc>
          <w:tcPr>
            <w:tcW w:w="1596" w:type="dxa"/>
          </w:tcPr>
          <w:p w14:paraId="2EE11001" w14:textId="77777777" w:rsidR="0046798B" w:rsidRDefault="0046798B">
            <w:pPr>
              <w:pStyle w:val="TableParagraph"/>
            </w:pPr>
          </w:p>
          <w:p w14:paraId="0B2FC50B" w14:textId="77777777" w:rsidR="0046798B" w:rsidRDefault="0046798B">
            <w:pPr>
              <w:pStyle w:val="TableParagraph"/>
              <w:spacing w:before="4"/>
              <w:rPr>
                <w:sz w:val="21"/>
              </w:rPr>
            </w:pPr>
          </w:p>
          <w:p w14:paraId="42A6DFD5" w14:textId="77777777" w:rsidR="0046798B" w:rsidRDefault="00903B5C">
            <w:pPr>
              <w:pStyle w:val="TableParagraph"/>
              <w:ind w:left="114" w:right="258"/>
              <w:rPr>
                <w:sz w:val="20"/>
              </w:rPr>
            </w:pPr>
            <w:r>
              <w:rPr>
                <w:sz w:val="20"/>
              </w:rPr>
              <w:t>Weighted state ideology score</w:t>
            </w:r>
          </w:p>
        </w:tc>
        <w:tc>
          <w:tcPr>
            <w:tcW w:w="1285" w:type="dxa"/>
          </w:tcPr>
          <w:p w14:paraId="16E5C7FF" w14:textId="77777777" w:rsidR="0046798B" w:rsidRDefault="0046798B">
            <w:pPr>
              <w:pStyle w:val="TableParagraph"/>
            </w:pPr>
          </w:p>
          <w:p w14:paraId="08363E68" w14:textId="77777777" w:rsidR="0046798B" w:rsidRDefault="0046798B">
            <w:pPr>
              <w:pStyle w:val="TableParagraph"/>
              <w:spacing w:before="4"/>
              <w:rPr>
                <w:sz w:val="31"/>
              </w:rPr>
            </w:pPr>
          </w:p>
          <w:p w14:paraId="2404DB2C" w14:textId="77777777" w:rsidR="0046798B" w:rsidRDefault="00903B5C">
            <w:pPr>
              <w:pStyle w:val="TableParagraph"/>
              <w:ind w:left="114"/>
              <w:rPr>
                <w:sz w:val="20"/>
              </w:rPr>
            </w:pPr>
            <w:r>
              <w:rPr>
                <w:sz w:val="20"/>
              </w:rPr>
              <w:t>1976–2011</w:t>
            </w:r>
          </w:p>
        </w:tc>
        <w:tc>
          <w:tcPr>
            <w:tcW w:w="3421" w:type="dxa"/>
          </w:tcPr>
          <w:p w14:paraId="6958F415" w14:textId="77777777" w:rsidR="0046798B" w:rsidRDefault="00903B5C">
            <w:pPr>
              <w:pStyle w:val="TableParagraph"/>
              <w:spacing w:before="38"/>
              <w:ind w:left="114" w:right="205"/>
              <w:rPr>
                <w:sz w:val="20"/>
              </w:rPr>
            </w:pPr>
            <w:r>
              <w:rPr>
                <w:sz w:val="20"/>
              </w:rPr>
              <w:t>Weighted yearly measure giving the proportion of liberal identifiers minus the proportion of conservative identifiers in each state. A positive score indicates a more liberal state citizenry</w:t>
            </w:r>
          </w:p>
        </w:tc>
        <w:tc>
          <w:tcPr>
            <w:tcW w:w="6482" w:type="dxa"/>
          </w:tcPr>
          <w:p w14:paraId="1498C650" w14:textId="77777777" w:rsidR="0046798B" w:rsidRDefault="0046798B">
            <w:pPr>
              <w:pStyle w:val="TableParagraph"/>
            </w:pPr>
          </w:p>
          <w:p w14:paraId="43FCA821" w14:textId="77777777" w:rsidR="0046798B" w:rsidRDefault="00903B5C">
            <w:pPr>
              <w:pStyle w:val="TableParagraph"/>
              <w:spacing w:before="134" w:line="235" w:lineRule="auto"/>
              <w:ind w:left="114" w:right="245"/>
              <w:jc w:val="both"/>
              <w:rPr>
                <w:rFonts w:ascii="Cambria"/>
                <w:sz w:val="20"/>
              </w:rPr>
            </w:pPr>
            <w:r>
              <w:rPr>
                <w:sz w:val="20"/>
              </w:rPr>
              <w:t xml:space="preserve">Erikson, Robert S., Gerald C. Wright, and John P. McIver. 1993. </w:t>
            </w:r>
            <w:r>
              <w:rPr>
                <w:i/>
                <w:sz w:val="20"/>
              </w:rPr>
              <w:t xml:space="preserve">Statehouse Democracy: Public Opinion, and Policy in the American States. </w:t>
            </w:r>
            <w:r>
              <w:rPr>
                <w:sz w:val="20"/>
              </w:rPr>
              <w:t>New York: Cambridge</w:t>
            </w:r>
            <w:r>
              <w:rPr>
                <w:spacing w:val="-33"/>
                <w:sz w:val="20"/>
              </w:rPr>
              <w:t xml:space="preserve"> </w:t>
            </w:r>
            <w:r>
              <w:rPr>
                <w:sz w:val="20"/>
              </w:rPr>
              <w:t>University</w:t>
            </w:r>
            <w:r>
              <w:rPr>
                <w:spacing w:val="-32"/>
                <w:sz w:val="20"/>
              </w:rPr>
              <w:t xml:space="preserve"> </w:t>
            </w:r>
            <w:r>
              <w:rPr>
                <w:sz w:val="20"/>
              </w:rPr>
              <w:t>Press.</w:t>
            </w:r>
            <w:r>
              <w:rPr>
                <w:spacing w:val="-32"/>
                <w:sz w:val="20"/>
              </w:rPr>
              <w:t xml:space="preserve"> </w:t>
            </w:r>
            <w:r>
              <w:rPr>
                <w:sz w:val="20"/>
              </w:rPr>
              <w:t>Data</w:t>
            </w:r>
            <w:r>
              <w:rPr>
                <w:spacing w:val="-32"/>
                <w:sz w:val="20"/>
              </w:rPr>
              <w:t xml:space="preserve"> </w:t>
            </w:r>
            <w:r>
              <w:rPr>
                <w:sz w:val="20"/>
              </w:rPr>
              <w:t>link:</w:t>
            </w:r>
            <w:r>
              <w:rPr>
                <w:spacing w:val="-33"/>
                <w:sz w:val="20"/>
              </w:rPr>
              <w:t xml:space="preserve"> </w:t>
            </w:r>
            <w:hyperlink r:id="rId696">
              <w:r>
                <w:rPr>
                  <w:rFonts w:ascii="Cambria"/>
                  <w:color w:val="0462C1"/>
                  <w:sz w:val="20"/>
                  <w:u w:val="single" w:color="0462C1"/>
                </w:rPr>
                <w:t>http://php.indiana.edu/~wright1/</w:t>
              </w:r>
            </w:hyperlink>
          </w:p>
        </w:tc>
      </w:tr>
      <w:tr w:rsidR="0046798B" w14:paraId="496C3AE2" w14:textId="77777777">
        <w:trPr>
          <w:trHeight w:val="545"/>
        </w:trPr>
        <w:tc>
          <w:tcPr>
            <w:tcW w:w="1711" w:type="dxa"/>
          </w:tcPr>
          <w:p w14:paraId="5663DB3B" w14:textId="77777777" w:rsidR="0046798B" w:rsidRDefault="00903B5C">
            <w:pPr>
              <w:pStyle w:val="TableParagraph"/>
              <w:spacing w:before="158"/>
              <w:ind w:left="115"/>
              <w:rPr>
                <w:b/>
                <w:sz w:val="20"/>
              </w:rPr>
            </w:pPr>
            <w:r>
              <w:rPr>
                <w:b/>
                <w:sz w:val="20"/>
              </w:rPr>
              <w:t>mood</w:t>
            </w:r>
          </w:p>
        </w:tc>
        <w:tc>
          <w:tcPr>
            <w:tcW w:w="1596" w:type="dxa"/>
          </w:tcPr>
          <w:p w14:paraId="4FDE3E40" w14:textId="77777777" w:rsidR="0046798B" w:rsidRDefault="00903B5C">
            <w:pPr>
              <w:pStyle w:val="TableParagraph"/>
              <w:spacing w:before="43"/>
              <w:ind w:left="114" w:right="101"/>
              <w:rPr>
                <w:sz w:val="20"/>
              </w:rPr>
            </w:pPr>
            <w:r>
              <w:rPr>
                <w:sz w:val="20"/>
              </w:rPr>
              <w:t>Stimson’s policy mood measure</w:t>
            </w:r>
          </w:p>
        </w:tc>
        <w:tc>
          <w:tcPr>
            <w:tcW w:w="1285" w:type="dxa"/>
          </w:tcPr>
          <w:p w14:paraId="1C06F299" w14:textId="77777777" w:rsidR="0046798B" w:rsidRDefault="00903B5C">
            <w:pPr>
              <w:pStyle w:val="TableParagraph"/>
              <w:spacing w:before="158"/>
              <w:ind w:left="114"/>
              <w:rPr>
                <w:sz w:val="20"/>
              </w:rPr>
            </w:pPr>
            <w:r>
              <w:rPr>
                <w:sz w:val="20"/>
              </w:rPr>
              <w:t>1956–2010</w:t>
            </w:r>
          </w:p>
        </w:tc>
        <w:tc>
          <w:tcPr>
            <w:tcW w:w="3421" w:type="dxa"/>
          </w:tcPr>
          <w:p w14:paraId="519586C9" w14:textId="77777777" w:rsidR="0046798B" w:rsidRDefault="00903B5C">
            <w:pPr>
              <w:pStyle w:val="TableParagraph"/>
              <w:spacing w:before="43"/>
              <w:ind w:left="114" w:right="350"/>
              <w:rPr>
                <w:sz w:val="20"/>
              </w:rPr>
            </w:pPr>
            <w:r>
              <w:rPr>
                <w:sz w:val="20"/>
              </w:rPr>
              <w:t>An over-time, state-level measure of Stimson’s (1999) policy mood</w:t>
            </w:r>
          </w:p>
        </w:tc>
        <w:tc>
          <w:tcPr>
            <w:tcW w:w="6482" w:type="dxa"/>
          </w:tcPr>
          <w:p w14:paraId="7060B77D" w14:textId="77777777" w:rsidR="0046798B" w:rsidRDefault="00903B5C">
            <w:pPr>
              <w:pStyle w:val="TableParagraph"/>
              <w:spacing w:before="43"/>
              <w:ind w:left="114" w:right="249"/>
              <w:rPr>
                <w:sz w:val="20"/>
              </w:rPr>
            </w:pPr>
            <w:r>
              <w:rPr>
                <w:sz w:val="20"/>
              </w:rPr>
              <w:t xml:space="preserve">Enns, Peter K., and Julianna Koch. “Public Opinion in the U.S. States: 1956 to 2010.” </w:t>
            </w:r>
            <w:r>
              <w:rPr>
                <w:i/>
                <w:sz w:val="20"/>
              </w:rPr>
              <w:t xml:space="preserve">State Politics &amp; Policy Quarterly </w:t>
            </w:r>
            <w:r>
              <w:rPr>
                <w:sz w:val="20"/>
              </w:rPr>
              <w:t>13.3 (2013): 349–372.</w:t>
            </w:r>
          </w:p>
        </w:tc>
      </w:tr>
      <w:tr w:rsidR="0046798B" w14:paraId="26F3B675" w14:textId="77777777">
        <w:trPr>
          <w:trHeight w:val="545"/>
        </w:trPr>
        <w:tc>
          <w:tcPr>
            <w:tcW w:w="1711" w:type="dxa"/>
          </w:tcPr>
          <w:p w14:paraId="581BCF56" w14:textId="77777777" w:rsidR="0046798B" w:rsidRDefault="00903B5C">
            <w:pPr>
              <w:pStyle w:val="TableParagraph"/>
              <w:spacing w:before="158"/>
              <w:ind w:left="115"/>
              <w:rPr>
                <w:b/>
                <w:sz w:val="20"/>
              </w:rPr>
            </w:pPr>
            <w:r>
              <w:rPr>
                <w:b/>
                <w:sz w:val="20"/>
              </w:rPr>
              <w:t>democrat</w:t>
            </w:r>
          </w:p>
        </w:tc>
        <w:tc>
          <w:tcPr>
            <w:tcW w:w="1596" w:type="dxa"/>
          </w:tcPr>
          <w:p w14:paraId="3DEDEAE9" w14:textId="77777777" w:rsidR="0046798B" w:rsidRDefault="00903B5C">
            <w:pPr>
              <w:pStyle w:val="TableParagraph"/>
              <w:spacing w:before="43"/>
              <w:ind w:left="114" w:right="519"/>
              <w:rPr>
                <w:sz w:val="20"/>
              </w:rPr>
            </w:pPr>
            <w:r>
              <w:rPr>
                <w:sz w:val="20"/>
              </w:rPr>
              <w:t>Democratic identifiers</w:t>
            </w:r>
          </w:p>
        </w:tc>
        <w:tc>
          <w:tcPr>
            <w:tcW w:w="1285" w:type="dxa"/>
          </w:tcPr>
          <w:p w14:paraId="6B59D039" w14:textId="77777777" w:rsidR="0046798B" w:rsidRDefault="00903B5C">
            <w:pPr>
              <w:pStyle w:val="TableParagraph"/>
              <w:spacing w:before="158"/>
              <w:ind w:left="114"/>
              <w:rPr>
                <w:sz w:val="20"/>
              </w:rPr>
            </w:pPr>
            <w:r>
              <w:rPr>
                <w:sz w:val="20"/>
              </w:rPr>
              <w:t>1956–2010</w:t>
            </w:r>
          </w:p>
        </w:tc>
        <w:tc>
          <w:tcPr>
            <w:tcW w:w="3421" w:type="dxa"/>
          </w:tcPr>
          <w:p w14:paraId="6F9603E7" w14:textId="77777777" w:rsidR="0046798B" w:rsidRDefault="00903B5C">
            <w:pPr>
              <w:pStyle w:val="TableParagraph"/>
              <w:spacing w:before="43"/>
              <w:ind w:left="114" w:right="122"/>
              <w:rPr>
                <w:sz w:val="20"/>
              </w:rPr>
            </w:pPr>
            <w:r>
              <w:rPr>
                <w:sz w:val="20"/>
              </w:rPr>
              <w:t>An over-time measure of the percent of Democratic identifiers in each state</w:t>
            </w:r>
          </w:p>
        </w:tc>
        <w:tc>
          <w:tcPr>
            <w:tcW w:w="6482" w:type="dxa"/>
          </w:tcPr>
          <w:p w14:paraId="6920B604" w14:textId="77777777" w:rsidR="0046798B" w:rsidRDefault="00903B5C">
            <w:pPr>
              <w:pStyle w:val="TableParagraph"/>
              <w:spacing w:before="43"/>
              <w:ind w:left="114" w:right="249"/>
              <w:rPr>
                <w:sz w:val="20"/>
              </w:rPr>
            </w:pPr>
            <w:r>
              <w:rPr>
                <w:sz w:val="20"/>
              </w:rPr>
              <w:t xml:space="preserve">Enns, Peter K., and Julianna Koch. “Public Opinion in the U.S. States: 1956 to 2010.” </w:t>
            </w:r>
            <w:r>
              <w:rPr>
                <w:i/>
                <w:sz w:val="20"/>
              </w:rPr>
              <w:t xml:space="preserve">State Politics &amp; Policy Quarterly </w:t>
            </w:r>
            <w:r>
              <w:rPr>
                <w:sz w:val="20"/>
              </w:rPr>
              <w:t>13.3 (2013): 349–372.</w:t>
            </w:r>
          </w:p>
        </w:tc>
      </w:tr>
    </w:tbl>
    <w:p w14:paraId="6EAB7BC5" w14:textId="77777777" w:rsidR="0046798B" w:rsidRDefault="0046798B">
      <w:pPr>
        <w:rPr>
          <w:sz w:val="20"/>
        </w:rPr>
        <w:sectPr w:rsidR="0046798B">
          <w:pgSz w:w="15840" w:h="12240" w:orient="landscape"/>
          <w:pgMar w:top="1220" w:right="300" w:bottom="980" w:left="820" w:header="730" w:footer="787" w:gutter="0"/>
          <w:cols w:space="720"/>
        </w:sectPr>
      </w:pPr>
    </w:p>
    <w:p w14:paraId="43B82988"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0446EB3A" w14:textId="77777777">
        <w:trPr>
          <w:trHeight w:val="542"/>
        </w:trPr>
        <w:tc>
          <w:tcPr>
            <w:tcW w:w="1711" w:type="dxa"/>
            <w:tcBorders>
              <w:bottom w:val="dotted" w:sz="6" w:space="0" w:color="BEBEBE"/>
            </w:tcBorders>
          </w:tcPr>
          <w:p w14:paraId="0B1E0EB7" w14:textId="77777777" w:rsidR="0046798B" w:rsidRDefault="00903B5C">
            <w:pPr>
              <w:pStyle w:val="TableParagraph"/>
              <w:spacing w:before="158"/>
              <w:ind w:left="115"/>
              <w:rPr>
                <w:b/>
                <w:sz w:val="20"/>
              </w:rPr>
            </w:pPr>
            <w:r>
              <w:rPr>
                <w:b/>
                <w:sz w:val="20"/>
              </w:rPr>
              <w:t>republican</w:t>
            </w:r>
          </w:p>
        </w:tc>
        <w:tc>
          <w:tcPr>
            <w:tcW w:w="1596" w:type="dxa"/>
            <w:tcBorders>
              <w:bottom w:val="dotted" w:sz="6" w:space="0" w:color="BEBEBE"/>
            </w:tcBorders>
          </w:tcPr>
          <w:p w14:paraId="1B2740D3" w14:textId="77777777" w:rsidR="0046798B" w:rsidRDefault="00903B5C">
            <w:pPr>
              <w:pStyle w:val="TableParagraph"/>
              <w:spacing w:before="43"/>
              <w:ind w:left="114" w:right="541"/>
              <w:rPr>
                <w:sz w:val="20"/>
              </w:rPr>
            </w:pPr>
            <w:r>
              <w:rPr>
                <w:sz w:val="20"/>
              </w:rPr>
              <w:t>Republican identifiers</w:t>
            </w:r>
          </w:p>
        </w:tc>
        <w:tc>
          <w:tcPr>
            <w:tcW w:w="1285" w:type="dxa"/>
            <w:tcBorders>
              <w:bottom w:val="dotted" w:sz="6" w:space="0" w:color="BEBEBE"/>
            </w:tcBorders>
          </w:tcPr>
          <w:p w14:paraId="4BEE96EC" w14:textId="77777777" w:rsidR="0046798B" w:rsidRDefault="00903B5C">
            <w:pPr>
              <w:pStyle w:val="TableParagraph"/>
              <w:spacing w:before="158"/>
              <w:ind w:left="114"/>
              <w:rPr>
                <w:sz w:val="20"/>
              </w:rPr>
            </w:pPr>
            <w:r>
              <w:rPr>
                <w:sz w:val="20"/>
              </w:rPr>
              <w:t>1956–2010</w:t>
            </w:r>
          </w:p>
        </w:tc>
        <w:tc>
          <w:tcPr>
            <w:tcW w:w="3421" w:type="dxa"/>
            <w:tcBorders>
              <w:bottom w:val="dotted" w:sz="6" w:space="0" w:color="BEBEBE"/>
            </w:tcBorders>
          </w:tcPr>
          <w:p w14:paraId="1B20C563" w14:textId="77777777" w:rsidR="0046798B" w:rsidRDefault="00903B5C">
            <w:pPr>
              <w:pStyle w:val="TableParagraph"/>
              <w:spacing w:before="43"/>
              <w:ind w:left="114" w:right="122"/>
              <w:rPr>
                <w:sz w:val="20"/>
              </w:rPr>
            </w:pPr>
            <w:r>
              <w:rPr>
                <w:sz w:val="20"/>
              </w:rPr>
              <w:t>An over-time measure of the percent of Republican identifiers in each state</w:t>
            </w:r>
          </w:p>
        </w:tc>
        <w:tc>
          <w:tcPr>
            <w:tcW w:w="6482" w:type="dxa"/>
            <w:tcBorders>
              <w:bottom w:val="dotted" w:sz="6" w:space="0" w:color="BEBEBE"/>
            </w:tcBorders>
          </w:tcPr>
          <w:p w14:paraId="53411EC9" w14:textId="77777777" w:rsidR="0046798B" w:rsidRDefault="00903B5C">
            <w:pPr>
              <w:pStyle w:val="TableParagraph"/>
              <w:spacing w:before="43"/>
              <w:ind w:left="114" w:right="249"/>
              <w:rPr>
                <w:sz w:val="20"/>
              </w:rPr>
            </w:pPr>
            <w:r>
              <w:rPr>
                <w:sz w:val="20"/>
              </w:rPr>
              <w:t xml:space="preserve">Enns, Peter K., and Julianna Koch. “Public Opinion in the U.S. States: 1956 to 2010.” </w:t>
            </w:r>
            <w:r>
              <w:rPr>
                <w:i/>
                <w:sz w:val="20"/>
              </w:rPr>
              <w:t xml:space="preserve">State Politics &amp; Policy Quarterly </w:t>
            </w:r>
            <w:r>
              <w:rPr>
                <w:sz w:val="20"/>
              </w:rPr>
              <w:t>13.3 (2013): 349–372.</w:t>
            </w:r>
          </w:p>
        </w:tc>
      </w:tr>
      <w:tr w:rsidR="0046798B" w14:paraId="3D02A96D" w14:textId="77777777">
        <w:trPr>
          <w:trHeight w:val="772"/>
        </w:trPr>
        <w:tc>
          <w:tcPr>
            <w:tcW w:w="1711" w:type="dxa"/>
            <w:tcBorders>
              <w:top w:val="dotted" w:sz="6" w:space="0" w:color="BEBEBE"/>
            </w:tcBorders>
          </w:tcPr>
          <w:p w14:paraId="2FBABA42" w14:textId="77777777" w:rsidR="0046798B" w:rsidRDefault="0046798B">
            <w:pPr>
              <w:pStyle w:val="TableParagraph"/>
              <w:spacing w:before="6"/>
              <w:rPr>
                <w:sz w:val="23"/>
              </w:rPr>
            </w:pPr>
          </w:p>
          <w:p w14:paraId="29883392" w14:textId="77777777" w:rsidR="0046798B" w:rsidRDefault="00903B5C">
            <w:pPr>
              <w:pStyle w:val="TableParagraph"/>
              <w:ind w:left="115"/>
              <w:rPr>
                <w:b/>
                <w:sz w:val="20"/>
              </w:rPr>
            </w:pPr>
            <w:r>
              <w:rPr>
                <w:b/>
                <w:sz w:val="20"/>
              </w:rPr>
              <w:t>liberal</w:t>
            </w:r>
          </w:p>
        </w:tc>
        <w:tc>
          <w:tcPr>
            <w:tcW w:w="1596" w:type="dxa"/>
            <w:tcBorders>
              <w:top w:val="dotted" w:sz="6" w:space="0" w:color="BEBEBE"/>
            </w:tcBorders>
          </w:tcPr>
          <w:p w14:paraId="692F275A" w14:textId="77777777" w:rsidR="0046798B" w:rsidRDefault="00903B5C">
            <w:pPr>
              <w:pStyle w:val="TableParagraph"/>
              <w:spacing w:before="155"/>
              <w:ind w:left="114" w:right="229"/>
              <w:rPr>
                <w:sz w:val="20"/>
              </w:rPr>
            </w:pPr>
            <w:r>
              <w:rPr>
                <w:sz w:val="20"/>
              </w:rPr>
              <w:t>Liberal identifiers</w:t>
            </w:r>
          </w:p>
        </w:tc>
        <w:tc>
          <w:tcPr>
            <w:tcW w:w="1285" w:type="dxa"/>
            <w:tcBorders>
              <w:top w:val="dotted" w:sz="6" w:space="0" w:color="BEBEBE"/>
            </w:tcBorders>
          </w:tcPr>
          <w:p w14:paraId="51059431" w14:textId="77777777" w:rsidR="0046798B" w:rsidRDefault="0046798B">
            <w:pPr>
              <w:pStyle w:val="TableParagraph"/>
              <w:spacing w:before="6"/>
              <w:rPr>
                <w:sz w:val="23"/>
              </w:rPr>
            </w:pPr>
          </w:p>
          <w:p w14:paraId="5E12F63D" w14:textId="77777777" w:rsidR="0046798B" w:rsidRDefault="00903B5C">
            <w:pPr>
              <w:pStyle w:val="TableParagraph"/>
              <w:ind w:left="114"/>
              <w:rPr>
                <w:sz w:val="20"/>
              </w:rPr>
            </w:pPr>
            <w:r>
              <w:rPr>
                <w:sz w:val="20"/>
              </w:rPr>
              <w:t>1976–2010</w:t>
            </w:r>
          </w:p>
        </w:tc>
        <w:tc>
          <w:tcPr>
            <w:tcW w:w="3421" w:type="dxa"/>
            <w:tcBorders>
              <w:top w:val="dotted" w:sz="6" w:space="0" w:color="BEBEBE"/>
            </w:tcBorders>
          </w:tcPr>
          <w:p w14:paraId="187D6538" w14:textId="77777777" w:rsidR="0046798B" w:rsidRDefault="00903B5C">
            <w:pPr>
              <w:pStyle w:val="TableParagraph"/>
              <w:spacing w:before="40"/>
              <w:ind w:left="114" w:right="339"/>
              <w:rPr>
                <w:sz w:val="20"/>
              </w:rPr>
            </w:pPr>
            <w:r>
              <w:rPr>
                <w:sz w:val="20"/>
              </w:rPr>
              <w:t>An over-time measure of the percent who identify as political liberals in each state</w:t>
            </w:r>
          </w:p>
        </w:tc>
        <w:tc>
          <w:tcPr>
            <w:tcW w:w="6482" w:type="dxa"/>
            <w:tcBorders>
              <w:top w:val="dotted" w:sz="6" w:space="0" w:color="BEBEBE"/>
            </w:tcBorders>
          </w:tcPr>
          <w:p w14:paraId="1DA0CDC4" w14:textId="77777777" w:rsidR="0046798B" w:rsidRDefault="00903B5C">
            <w:pPr>
              <w:pStyle w:val="TableParagraph"/>
              <w:spacing w:before="155"/>
              <w:ind w:left="114" w:right="249"/>
              <w:rPr>
                <w:sz w:val="20"/>
              </w:rPr>
            </w:pPr>
            <w:r>
              <w:rPr>
                <w:sz w:val="20"/>
              </w:rPr>
              <w:t xml:space="preserve">Enns, Peter K., and Julianna Koch. “Public Opinion in the U.S. States: 1956 to 2010.” </w:t>
            </w:r>
            <w:r>
              <w:rPr>
                <w:i/>
                <w:sz w:val="20"/>
              </w:rPr>
              <w:t xml:space="preserve">State Politics &amp; Policy Quarterly </w:t>
            </w:r>
            <w:r>
              <w:rPr>
                <w:sz w:val="20"/>
              </w:rPr>
              <w:t>13.3 (2013): 349–372.</w:t>
            </w:r>
          </w:p>
        </w:tc>
      </w:tr>
      <w:tr w:rsidR="0046798B" w14:paraId="5C0DCA97" w14:textId="77777777">
        <w:trPr>
          <w:trHeight w:val="780"/>
        </w:trPr>
        <w:tc>
          <w:tcPr>
            <w:tcW w:w="1711" w:type="dxa"/>
          </w:tcPr>
          <w:p w14:paraId="2A2A908B" w14:textId="77777777" w:rsidR="0046798B" w:rsidRDefault="0046798B">
            <w:pPr>
              <w:pStyle w:val="TableParagraph"/>
              <w:spacing w:before="9"/>
              <w:rPr>
                <w:sz w:val="23"/>
              </w:rPr>
            </w:pPr>
          </w:p>
          <w:p w14:paraId="3DF7E516" w14:textId="77777777" w:rsidR="0046798B" w:rsidRDefault="00903B5C">
            <w:pPr>
              <w:pStyle w:val="TableParagraph"/>
              <w:ind w:left="115"/>
              <w:rPr>
                <w:b/>
                <w:sz w:val="20"/>
              </w:rPr>
            </w:pPr>
            <w:r>
              <w:rPr>
                <w:b/>
                <w:sz w:val="20"/>
              </w:rPr>
              <w:t>conservative</w:t>
            </w:r>
          </w:p>
        </w:tc>
        <w:tc>
          <w:tcPr>
            <w:tcW w:w="1596" w:type="dxa"/>
          </w:tcPr>
          <w:p w14:paraId="6A1C467F" w14:textId="77777777" w:rsidR="0046798B" w:rsidRDefault="00903B5C">
            <w:pPr>
              <w:pStyle w:val="TableParagraph"/>
              <w:spacing w:before="159"/>
              <w:ind w:left="114" w:right="396"/>
              <w:rPr>
                <w:sz w:val="20"/>
              </w:rPr>
            </w:pPr>
            <w:r>
              <w:rPr>
                <w:sz w:val="20"/>
              </w:rPr>
              <w:t>Conservative identifiers</w:t>
            </w:r>
          </w:p>
        </w:tc>
        <w:tc>
          <w:tcPr>
            <w:tcW w:w="1285" w:type="dxa"/>
          </w:tcPr>
          <w:p w14:paraId="59C9573E" w14:textId="77777777" w:rsidR="0046798B" w:rsidRDefault="0046798B">
            <w:pPr>
              <w:pStyle w:val="TableParagraph"/>
              <w:spacing w:before="9"/>
              <w:rPr>
                <w:sz w:val="23"/>
              </w:rPr>
            </w:pPr>
          </w:p>
          <w:p w14:paraId="1C24CEF3" w14:textId="77777777" w:rsidR="0046798B" w:rsidRDefault="00903B5C">
            <w:pPr>
              <w:pStyle w:val="TableParagraph"/>
              <w:ind w:left="114"/>
              <w:rPr>
                <w:sz w:val="20"/>
              </w:rPr>
            </w:pPr>
            <w:r>
              <w:rPr>
                <w:sz w:val="20"/>
              </w:rPr>
              <w:t>1976–2010</w:t>
            </w:r>
          </w:p>
        </w:tc>
        <w:tc>
          <w:tcPr>
            <w:tcW w:w="3421" w:type="dxa"/>
          </w:tcPr>
          <w:p w14:paraId="4B24098F" w14:textId="77777777" w:rsidR="0046798B" w:rsidRDefault="00903B5C">
            <w:pPr>
              <w:pStyle w:val="TableParagraph"/>
              <w:spacing w:before="43"/>
              <w:ind w:left="114" w:right="200"/>
              <w:rPr>
                <w:sz w:val="20"/>
              </w:rPr>
            </w:pPr>
            <w:r>
              <w:rPr>
                <w:sz w:val="20"/>
              </w:rPr>
              <w:t>An over-time measure of the percent who identify as political conservatives in each state</w:t>
            </w:r>
          </w:p>
        </w:tc>
        <w:tc>
          <w:tcPr>
            <w:tcW w:w="6482" w:type="dxa"/>
          </w:tcPr>
          <w:p w14:paraId="408F7F27" w14:textId="77777777" w:rsidR="0046798B" w:rsidRDefault="00903B5C">
            <w:pPr>
              <w:pStyle w:val="TableParagraph"/>
              <w:spacing w:before="159"/>
              <w:ind w:left="114" w:right="249"/>
              <w:rPr>
                <w:sz w:val="20"/>
              </w:rPr>
            </w:pPr>
            <w:r>
              <w:rPr>
                <w:sz w:val="20"/>
              </w:rPr>
              <w:t xml:space="preserve">Enns, Peter K., and Julianna Koch. “Public Opinion in the U.S. States: 1956 to 2010.” </w:t>
            </w:r>
            <w:r>
              <w:rPr>
                <w:i/>
                <w:sz w:val="20"/>
              </w:rPr>
              <w:t xml:space="preserve">State Politics &amp; Policy Quarterly </w:t>
            </w:r>
            <w:r>
              <w:rPr>
                <w:sz w:val="20"/>
              </w:rPr>
              <w:t>13.3 (2013): 349–372.</w:t>
            </w:r>
          </w:p>
        </w:tc>
      </w:tr>
      <w:tr w:rsidR="0046798B" w14:paraId="0FB8A4CA" w14:textId="77777777">
        <w:trPr>
          <w:trHeight w:val="775"/>
        </w:trPr>
        <w:tc>
          <w:tcPr>
            <w:tcW w:w="1711" w:type="dxa"/>
          </w:tcPr>
          <w:p w14:paraId="1821F161" w14:textId="77777777" w:rsidR="0046798B" w:rsidRDefault="0046798B">
            <w:pPr>
              <w:pStyle w:val="TableParagraph"/>
              <w:spacing w:before="3"/>
              <w:rPr>
                <w:sz w:val="23"/>
              </w:rPr>
            </w:pPr>
          </w:p>
          <w:p w14:paraId="6935C6A4" w14:textId="77777777" w:rsidR="0046798B" w:rsidRDefault="00903B5C">
            <w:pPr>
              <w:pStyle w:val="TableParagraph"/>
              <w:spacing w:before="1"/>
              <w:ind w:left="115"/>
              <w:rPr>
                <w:b/>
                <w:sz w:val="20"/>
              </w:rPr>
            </w:pPr>
            <w:r>
              <w:rPr>
                <w:b/>
                <w:sz w:val="20"/>
              </w:rPr>
              <w:t>extraversion</w:t>
            </w:r>
          </w:p>
        </w:tc>
        <w:tc>
          <w:tcPr>
            <w:tcW w:w="1596" w:type="dxa"/>
          </w:tcPr>
          <w:p w14:paraId="4F126874" w14:textId="77777777" w:rsidR="0046798B" w:rsidRDefault="00903B5C">
            <w:pPr>
              <w:pStyle w:val="TableParagraph"/>
              <w:spacing w:before="153"/>
              <w:ind w:left="114" w:right="463"/>
              <w:rPr>
                <w:sz w:val="20"/>
              </w:rPr>
            </w:pPr>
            <w:r>
              <w:rPr>
                <w:sz w:val="20"/>
              </w:rPr>
              <w:t>State extraversion</w:t>
            </w:r>
          </w:p>
        </w:tc>
        <w:tc>
          <w:tcPr>
            <w:tcW w:w="1285" w:type="dxa"/>
          </w:tcPr>
          <w:p w14:paraId="103E130B" w14:textId="77777777" w:rsidR="0046798B" w:rsidRDefault="0046798B">
            <w:pPr>
              <w:pStyle w:val="TableParagraph"/>
              <w:spacing w:before="3"/>
              <w:rPr>
                <w:sz w:val="23"/>
              </w:rPr>
            </w:pPr>
          </w:p>
          <w:p w14:paraId="386D4BDD" w14:textId="77777777" w:rsidR="0046798B" w:rsidRDefault="00903B5C">
            <w:pPr>
              <w:pStyle w:val="TableParagraph"/>
              <w:spacing w:before="1"/>
              <w:ind w:left="114"/>
              <w:rPr>
                <w:sz w:val="20"/>
              </w:rPr>
            </w:pPr>
            <w:r>
              <w:rPr>
                <w:sz w:val="20"/>
              </w:rPr>
              <w:t>2008</w:t>
            </w:r>
          </w:p>
        </w:tc>
        <w:tc>
          <w:tcPr>
            <w:tcW w:w="3421" w:type="dxa"/>
          </w:tcPr>
          <w:p w14:paraId="54041FF8" w14:textId="77777777" w:rsidR="0046798B" w:rsidRDefault="00903B5C">
            <w:pPr>
              <w:pStyle w:val="TableParagraph"/>
              <w:spacing w:before="153"/>
              <w:ind w:left="114" w:right="350"/>
              <w:rPr>
                <w:sz w:val="20"/>
              </w:rPr>
            </w:pPr>
            <w:r>
              <w:rPr>
                <w:sz w:val="20"/>
              </w:rPr>
              <w:t>Mean score of state personality trait: extraversion (1-5 scale)</w:t>
            </w:r>
          </w:p>
        </w:tc>
        <w:tc>
          <w:tcPr>
            <w:tcW w:w="6482" w:type="dxa"/>
          </w:tcPr>
          <w:p w14:paraId="3D4B6042" w14:textId="77777777" w:rsidR="0046798B" w:rsidRDefault="00903B5C">
            <w:pPr>
              <w:pStyle w:val="TableParagraph"/>
              <w:spacing w:before="38"/>
              <w:ind w:left="114" w:right="117"/>
              <w:rPr>
                <w:sz w:val="20"/>
              </w:rPr>
            </w:pPr>
            <w:r>
              <w:rPr>
                <w:sz w:val="20"/>
              </w:rPr>
              <w:t xml:space="preserve">Rentfrow, P.J., S.D. Gosling, and J. Potter. “A Theory of the Emergence, Persistence, and Expression of Geographic Variation in Psychological Characteristics.” </w:t>
            </w:r>
            <w:r>
              <w:rPr>
                <w:i/>
                <w:sz w:val="20"/>
              </w:rPr>
              <w:t xml:space="preserve">Perspectives on Psychological Science </w:t>
            </w:r>
            <w:r>
              <w:rPr>
                <w:sz w:val="20"/>
              </w:rPr>
              <w:t>3.5 (2008): 339–369.</w:t>
            </w:r>
          </w:p>
        </w:tc>
      </w:tr>
      <w:tr w:rsidR="0046798B" w14:paraId="1CB6D824" w14:textId="77777777">
        <w:trPr>
          <w:trHeight w:val="775"/>
        </w:trPr>
        <w:tc>
          <w:tcPr>
            <w:tcW w:w="1711" w:type="dxa"/>
          </w:tcPr>
          <w:p w14:paraId="39968092" w14:textId="77777777" w:rsidR="0046798B" w:rsidRDefault="0046798B">
            <w:pPr>
              <w:pStyle w:val="TableParagraph"/>
              <w:spacing w:before="3"/>
              <w:rPr>
                <w:sz w:val="23"/>
              </w:rPr>
            </w:pPr>
          </w:p>
          <w:p w14:paraId="5DCF3ACD" w14:textId="77777777" w:rsidR="0046798B" w:rsidRDefault="00903B5C">
            <w:pPr>
              <w:pStyle w:val="TableParagraph"/>
              <w:spacing w:before="1"/>
              <w:ind w:left="115"/>
              <w:rPr>
                <w:b/>
                <w:sz w:val="20"/>
              </w:rPr>
            </w:pPr>
            <w:r>
              <w:rPr>
                <w:b/>
                <w:sz w:val="20"/>
              </w:rPr>
              <w:t>agreeableness</w:t>
            </w:r>
          </w:p>
        </w:tc>
        <w:tc>
          <w:tcPr>
            <w:tcW w:w="1596" w:type="dxa"/>
          </w:tcPr>
          <w:p w14:paraId="720FBB89" w14:textId="77777777" w:rsidR="0046798B" w:rsidRDefault="00903B5C">
            <w:pPr>
              <w:pStyle w:val="TableParagraph"/>
              <w:spacing w:before="153"/>
              <w:ind w:left="114" w:right="341"/>
              <w:rPr>
                <w:sz w:val="20"/>
              </w:rPr>
            </w:pPr>
            <w:r>
              <w:rPr>
                <w:sz w:val="20"/>
              </w:rPr>
              <w:t>State agreeableness</w:t>
            </w:r>
          </w:p>
        </w:tc>
        <w:tc>
          <w:tcPr>
            <w:tcW w:w="1285" w:type="dxa"/>
          </w:tcPr>
          <w:p w14:paraId="609A7AA4" w14:textId="77777777" w:rsidR="0046798B" w:rsidRDefault="0046798B">
            <w:pPr>
              <w:pStyle w:val="TableParagraph"/>
              <w:spacing w:before="3"/>
              <w:rPr>
                <w:sz w:val="23"/>
              </w:rPr>
            </w:pPr>
          </w:p>
          <w:p w14:paraId="215FD9CB" w14:textId="77777777" w:rsidR="0046798B" w:rsidRDefault="00903B5C">
            <w:pPr>
              <w:pStyle w:val="TableParagraph"/>
              <w:spacing w:before="1"/>
              <w:ind w:left="114"/>
              <w:rPr>
                <w:sz w:val="20"/>
              </w:rPr>
            </w:pPr>
            <w:r>
              <w:rPr>
                <w:sz w:val="20"/>
              </w:rPr>
              <w:t>2008</w:t>
            </w:r>
          </w:p>
        </w:tc>
        <w:tc>
          <w:tcPr>
            <w:tcW w:w="3421" w:type="dxa"/>
          </w:tcPr>
          <w:p w14:paraId="75331004" w14:textId="77777777" w:rsidR="0046798B" w:rsidRDefault="00903B5C">
            <w:pPr>
              <w:pStyle w:val="TableParagraph"/>
              <w:spacing w:before="153"/>
              <w:ind w:left="114" w:right="350"/>
              <w:rPr>
                <w:sz w:val="20"/>
              </w:rPr>
            </w:pPr>
            <w:r>
              <w:rPr>
                <w:sz w:val="20"/>
              </w:rPr>
              <w:t>Mean score of state personality trait: agreeableness (1-5 scale)</w:t>
            </w:r>
          </w:p>
        </w:tc>
        <w:tc>
          <w:tcPr>
            <w:tcW w:w="6482" w:type="dxa"/>
          </w:tcPr>
          <w:p w14:paraId="42FA7066" w14:textId="77777777" w:rsidR="0046798B" w:rsidRDefault="00903B5C">
            <w:pPr>
              <w:pStyle w:val="TableParagraph"/>
              <w:spacing w:before="38"/>
              <w:ind w:left="114" w:right="117"/>
              <w:rPr>
                <w:sz w:val="20"/>
              </w:rPr>
            </w:pPr>
            <w:r>
              <w:rPr>
                <w:sz w:val="20"/>
              </w:rPr>
              <w:t xml:space="preserve">Rentfrow, P.J., S.D. Gosling, and J. Potter. “A Theory of the Emergence, Persistence, and Expression of Geographic Variation in Psychological Characteristics.” </w:t>
            </w:r>
            <w:r>
              <w:rPr>
                <w:i/>
                <w:sz w:val="20"/>
              </w:rPr>
              <w:t xml:space="preserve">Perspectives on Psychological Science </w:t>
            </w:r>
            <w:r>
              <w:rPr>
                <w:sz w:val="20"/>
              </w:rPr>
              <w:t>3.5 (2008): 339–369.</w:t>
            </w:r>
          </w:p>
        </w:tc>
      </w:tr>
      <w:tr w:rsidR="0046798B" w14:paraId="45CD6DE2" w14:textId="77777777">
        <w:trPr>
          <w:trHeight w:val="775"/>
        </w:trPr>
        <w:tc>
          <w:tcPr>
            <w:tcW w:w="1711" w:type="dxa"/>
          </w:tcPr>
          <w:p w14:paraId="2D8EA3D0" w14:textId="77777777" w:rsidR="0046798B" w:rsidRDefault="00903B5C">
            <w:pPr>
              <w:pStyle w:val="TableParagraph"/>
              <w:spacing w:before="158"/>
              <w:ind w:left="115" w:right="154"/>
              <w:rPr>
                <w:b/>
                <w:sz w:val="20"/>
              </w:rPr>
            </w:pPr>
            <w:r>
              <w:rPr>
                <w:b/>
                <w:sz w:val="20"/>
              </w:rPr>
              <w:t>conscientiousnes s</w:t>
            </w:r>
          </w:p>
        </w:tc>
        <w:tc>
          <w:tcPr>
            <w:tcW w:w="1596" w:type="dxa"/>
          </w:tcPr>
          <w:p w14:paraId="542F2805" w14:textId="77777777" w:rsidR="0046798B" w:rsidRDefault="00903B5C">
            <w:pPr>
              <w:pStyle w:val="TableParagraph"/>
              <w:spacing w:before="43"/>
              <w:ind w:left="114" w:right="96"/>
              <w:rPr>
                <w:sz w:val="20"/>
              </w:rPr>
            </w:pPr>
            <w:r>
              <w:rPr>
                <w:sz w:val="20"/>
              </w:rPr>
              <w:t>State conscientiousnes s</w:t>
            </w:r>
          </w:p>
        </w:tc>
        <w:tc>
          <w:tcPr>
            <w:tcW w:w="1285" w:type="dxa"/>
          </w:tcPr>
          <w:p w14:paraId="301F3045" w14:textId="77777777" w:rsidR="0046798B" w:rsidRDefault="0046798B">
            <w:pPr>
              <w:pStyle w:val="TableParagraph"/>
              <w:spacing w:before="9"/>
              <w:rPr>
                <w:sz w:val="23"/>
              </w:rPr>
            </w:pPr>
          </w:p>
          <w:p w14:paraId="378B827C" w14:textId="77777777" w:rsidR="0046798B" w:rsidRDefault="00903B5C">
            <w:pPr>
              <w:pStyle w:val="TableParagraph"/>
              <w:ind w:left="114"/>
              <w:rPr>
                <w:sz w:val="20"/>
              </w:rPr>
            </w:pPr>
            <w:r>
              <w:rPr>
                <w:sz w:val="20"/>
              </w:rPr>
              <w:t>2008</w:t>
            </w:r>
          </w:p>
        </w:tc>
        <w:tc>
          <w:tcPr>
            <w:tcW w:w="3421" w:type="dxa"/>
          </w:tcPr>
          <w:p w14:paraId="7E19AA75" w14:textId="77777777" w:rsidR="0046798B" w:rsidRDefault="00903B5C">
            <w:pPr>
              <w:pStyle w:val="TableParagraph"/>
              <w:spacing w:before="158"/>
              <w:ind w:left="114" w:right="350"/>
              <w:rPr>
                <w:sz w:val="20"/>
              </w:rPr>
            </w:pPr>
            <w:r>
              <w:rPr>
                <w:sz w:val="20"/>
              </w:rPr>
              <w:t>Mean score of state personality trait: conscientiousness (1-5 scale)</w:t>
            </w:r>
          </w:p>
        </w:tc>
        <w:tc>
          <w:tcPr>
            <w:tcW w:w="6482" w:type="dxa"/>
          </w:tcPr>
          <w:p w14:paraId="39AD3B6C" w14:textId="77777777" w:rsidR="0046798B" w:rsidRDefault="00903B5C">
            <w:pPr>
              <w:pStyle w:val="TableParagraph"/>
              <w:spacing w:before="43"/>
              <w:ind w:left="114" w:right="117"/>
              <w:rPr>
                <w:sz w:val="20"/>
              </w:rPr>
            </w:pPr>
            <w:r>
              <w:rPr>
                <w:sz w:val="20"/>
              </w:rPr>
              <w:t xml:space="preserve">Rentfrow, P.J., S.D. Gosling, and J. Potter. “A Theory of the Emergence, Persistence, and Expression of Geographic Variation in Psychological Characteristics.” </w:t>
            </w:r>
            <w:r>
              <w:rPr>
                <w:i/>
                <w:sz w:val="20"/>
              </w:rPr>
              <w:t xml:space="preserve">Perspectives on Psychological Science </w:t>
            </w:r>
            <w:r>
              <w:rPr>
                <w:sz w:val="20"/>
              </w:rPr>
              <w:t>3.5 (2008): 339–369.</w:t>
            </w:r>
          </w:p>
        </w:tc>
      </w:tr>
      <w:tr w:rsidR="0046798B" w14:paraId="143A7EC7" w14:textId="77777777">
        <w:trPr>
          <w:trHeight w:val="775"/>
        </w:trPr>
        <w:tc>
          <w:tcPr>
            <w:tcW w:w="1711" w:type="dxa"/>
          </w:tcPr>
          <w:p w14:paraId="74FD5429" w14:textId="77777777" w:rsidR="0046798B" w:rsidRDefault="0046798B">
            <w:pPr>
              <w:pStyle w:val="TableParagraph"/>
              <w:spacing w:before="8"/>
              <w:rPr>
                <w:sz w:val="23"/>
              </w:rPr>
            </w:pPr>
          </w:p>
          <w:p w14:paraId="359299AA" w14:textId="77777777" w:rsidR="0046798B" w:rsidRDefault="00903B5C">
            <w:pPr>
              <w:pStyle w:val="TableParagraph"/>
              <w:spacing w:before="1"/>
              <w:ind w:left="115"/>
              <w:rPr>
                <w:b/>
                <w:sz w:val="20"/>
              </w:rPr>
            </w:pPr>
            <w:r>
              <w:rPr>
                <w:b/>
                <w:sz w:val="20"/>
              </w:rPr>
              <w:t>neuroticism</w:t>
            </w:r>
          </w:p>
        </w:tc>
        <w:tc>
          <w:tcPr>
            <w:tcW w:w="1596" w:type="dxa"/>
          </w:tcPr>
          <w:p w14:paraId="541DD078" w14:textId="77777777" w:rsidR="0046798B" w:rsidRDefault="00903B5C">
            <w:pPr>
              <w:pStyle w:val="TableParagraph"/>
              <w:spacing w:before="158"/>
              <w:ind w:left="114" w:right="507"/>
              <w:rPr>
                <w:sz w:val="20"/>
              </w:rPr>
            </w:pPr>
            <w:r>
              <w:rPr>
                <w:sz w:val="20"/>
              </w:rPr>
              <w:t>State neuroticism</w:t>
            </w:r>
          </w:p>
        </w:tc>
        <w:tc>
          <w:tcPr>
            <w:tcW w:w="1285" w:type="dxa"/>
          </w:tcPr>
          <w:p w14:paraId="16D370E6" w14:textId="77777777" w:rsidR="0046798B" w:rsidRDefault="0046798B">
            <w:pPr>
              <w:pStyle w:val="TableParagraph"/>
              <w:spacing w:before="8"/>
              <w:rPr>
                <w:sz w:val="23"/>
              </w:rPr>
            </w:pPr>
          </w:p>
          <w:p w14:paraId="489EF136" w14:textId="77777777" w:rsidR="0046798B" w:rsidRDefault="00903B5C">
            <w:pPr>
              <w:pStyle w:val="TableParagraph"/>
              <w:spacing w:before="1"/>
              <w:ind w:left="114"/>
              <w:rPr>
                <w:sz w:val="20"/>
              </w:rPr>
            </w:pPr>
            <w:r>
              <w:rPr>
                <w:sz w:val="20"/>
              </w:rPr>
              <w:t>2008</w:t>
            </w:r>
          </w:p>
        </w:tc>
        <w:tc>
          <w:tcPr>
            <w:tcW w:w="3421" w:type="dxa"/>
          </w:tcPr>
          <w:p w14:paraId="14986D4D" w14:textId="77777777" w:rsidR="0046798B" w:rsidRDefault="00903B5C">
            <w:pPr>
              <w:pStyle w:val="TableParagraph"/>
              <w:spacing w:before="158"/>
              <w:ind w:left="114" w:right="350"/>
              <w:rPr>
                <w:sz w:val="20"/>
              </w:rPr>
            </w:pPr>
            <w:r>
              <w:rPr>
                <w:sz w:val="20"/>
              </w:rPr>
              <w:t>Mean score of state personality trait: neuroticism (1-5 scale)</w:t>
            </w:r>
          </w:p>
        </w:tc>
        <w:tc>
          <w:tcPr>
            <w:tcW w:w="6482" w:type="dxa"/>
          </w:tcPr>
          <w:p w14:paraId="36A5DDCB" w14:textId="77777777" w:rsidR="0046798B" w:rsidRDefault="00903B5C">
            <w:pPr>
              <w:pStyle w:val="TableParagraph"/>
              <w:spacing w:before="43"/>
              <w:ind w:left="114" w:right="117"/>
              <w:rPr>
                <w:sz w:val="20"/>
              </w:rPr>
            </w:pPr>
            <w:r>
              <w:rPr>
                <w:sz w:val="20"/>
              </w:rPr>
              <w:t xml:space="preserve">Rentfrow, P.J., S.D. Gosling, and J. Potter. “A Theory of the Emergence, Persistence, and Expression of Geographic Variation in Psychological Characteristics.” </w:t>
            </w:r>
            <w:r>
              <w:rPr>
                <w:i/>
                <w:sz w:val="20"/>
              </w:rPr>
              <w:t xml:space="preserve">Perspectives on Psychological Science </w:t>
            </w:r>
            <w:r>
              <w:rPr>
                <w:sz w:val="20"/>
              </w:rPr>
              <w:t>3.5 (2008): 339–369.</w:t>
            </w:r>
          </w:p>
        </w:tc>
      </w:tr>
      <w:tr w:rsidR="0046798B" w14:paraId="18B44F64" w14:textId="77777777">
        <w:trPr>
          <w:trHeight w:val="780"/>
        </w:trPr>
        <w:tc>
          <w:tcPr>
            <w:tcW w:w="1711" w:type="dxa"/>
          </w:tcPr>
          <w:p w14:paraId="231E5D74" w14:textId="77777777" w:rsidR="0046798B" w:rsidRDefault="0046798B">
            <w:pPr>
              <w:pStyle w:val="TableParagraph"/>
              <w:spacing w:before="9"/>
              <w:rPr>
                <w:sz w:val="23"/>
              </w:rPr>
            </w:pPr>
          </w:p>
          <w:p w14:paraId="5EF3F7B7" w14:textId="77777777" w:rsidR="0046798B" w:rsidRDefault="00903B5C">
            <w:pPr>
              <w:pStyle w:val="TableParagraph"/>
              <w:ind w:left="115"/>
              <w:rPr>
                <w:b/>
                <w:sz w:val="20"/>
              </w:rPr>
            </w:pPr>
            <w:r>
              <w:rPr>
                <w:b/>
                <w:sz w:val="20"/>
              </w:rPr>
              <w:t>openness</w:t>
            </w:r>
          </w:p>
        </w:tc>
        <w:tc>
          <w:tcPr>
            <w:tcW w:w="1596" w:type="dxa"/>
          </w:tcPr>
          <w:p w14:paraId="507319BF" w14:textId="77777777" w:rsidR="0046798B" w:rsidRDefault="0046798B">
            <w:pPr>
              <w:pStyle w:val="TableParagraph"/>
              <w:spacing w:before="9"/>
              <w:rPr>
                <w:sz w:val="23"/>
              </w:rPr>
            </w:pPr>
          </w:p>
          <w:p w14:paraId="6AAF8E4C" w14:textId="77777777" w:rsidR="0046798B" w:rsidRDefault="00903B5C">
            <w:pPr>
              <w:pStyle w:val="TableParagraph"/>
              <w:ind w:left="114"/>
              <w:rPr>
                <w:sz w:val="20"/>
              </w:rPr>
            </w:pPr>
            <w:r>
              <w:rPr>
                <w:sz w:val="20"/>
              </w:rPr>
              <w:t>State openness</w:t>
            </w:r>
          </w:p>
        </w:tc>
        <w:tc>
          <w:tcPr>
            <w:tcW w:w="1285" w:type="dxa"/>
          </w:tcPr>
          <w:p w14:paraId="6BF2F89C" w14:textId="77777777" w:rsidR="0046798B" w:rsidRDefault="0046798B">
            <w:pPr>
              <w:pStyle w:val="TableParagraph"/>
              <w:spacing w:before="9"/>
              <w:rPr>
                <w:sz w:val="23"/>
              </w:rPr>
            </w:pPr>
          </w:p>
          <w:p w14:paraId="6338744D" w14:textId="77777777" w:rsidR="0046798B" w:rsidRDefault="00903B5C">
            <w:pPr>
              <w:pStyle w:val="TableParagraph"/>
              <w:ind w:left="114"/>
              <w:rPr>
                <w:sz w:val="20"/>
              </w:rPr>
            </w:pPr>
            <w:r>
              <w:rPr>
                <w:sz w:val="20"/>
              </w:rPr>
              <w:t>2008</w:t>
            </w:r>
          </w:p>
        </w:tc>
        <w:tc>
          <w:tcPr>
            <w:tcW w:w="3421" w:type="dxa"/>
          </w:tcPr>
          <w:p w14:paraId="07D2A317" w14:textId="77777777" w:rsidR="0046798B" w:rsidRDefault="00903B5C">
            <w:pPr>
              <w:pStyle w:val="TableParagraph"/>
              <w:spacing w:before="159"/>
              <w:ind w:left="114" w:right="350"/>
              <w:rPr>
                <w:sz w:val="20"/>
              </w:rPr>
            </w:pPr>
            <w:r>
              <w:rPr>
                <w:sz w:val="20"/>
              </w:rPr>
              <w:t>Mean score of state personality trait: openness (1-5 scale)</w:t>
            </w:r>
          </w:p>
        </w:tc>
        <w:tc>
          <w:tcPr>
            <w:tcW w:w="6482" w:type="dxa"/>
          </w:tcPr>
          <w:p w14:paraId="36C75929" w14:textId="77777777" w:rsidR="0046798B" w:rsidRDefault="00903B5C">
            <w:pPr>
              <w:pStyle w:val="TableParagraph"/>
              <w:spacing w:before="44"/>
              <w:ind w:left="114" w:right="117"/>
              <w:rPr>
                <w:sz w:val="20"/>
              </w:rPr>
            </w:pPr>
            <w:r>
              <w:rPr>
                <w:sz w:val="20"/>
              </w:rPr>
              <w:t xml:space="preserve">Rentfrow, P.J., S.D. Gosling, and J. Potter. “A Theory of the Emergence, Persistence, and Expression of Geographic Variation in Psychological Characteristics.” </w:t>
            </w:r>
            <w:r>
              <w:rPr>
                <w:i/>
                <w:sz w:val="20"/>
              </w:rPr>
              <w:t xml:space="preserve">Perspectives on Psychological Science </w:t>
            </w:r>
            <w:r>
              <w:rPr>
                <w:sz w:val="20"/>
              </w:rPr>
              <w:t>3.5 (2008): 339–369.</w:t>
            </w:r>
          </w:p>
        </w:tc>
      </w:tr>
      <w:tr w:rsidR="0046798B" w14:paraId="722A83F9" w14:textId="77777777">
        <w:trPr>
          <w:trHeight w:val="1005"/>
        </w:trPr>
        <w:tc>
          <w:tcPr>
            <w:tcW w:w="1711" w:type="dxa"/>
          </w:tcPr>
          <w:p w14:paraId="58566C78" w14:textId="77777777" w:rsidR="0046798B" w:rsidRDefault="0046798B">
            <w:pPr>
              <w:pStyle w:val="TableParagraph"/>
            </w:pPr>
          </w:p>
          <w:p w14:paraId="068C19D4" w14:textId="77777777" w:rsidR="0046798B" w:rsidRDefault="00903B5C">
            <w:pPr>
              <w:pStyle w:val="TableParagraph"/>
              <w:spacing w:before="130"/>
              <w:ind w:left="115"/>
              <w:rPr>
                <w:b/>
                <w:sz w:val="20"/>
              </w:rPr>
            </w:pPr>
            <w:r>
              <w:rPr>
                <w:b/>
                <w:sz w:val="20"/>
              </w:rPr>
              <w:t>extraversion_sd</w:t>
            </w:r>
          </w:p>
        </w:tc>
        <w:tc>
          <w:tcPr>
            <w:tcW w:w="1596" w:type="dxa"/>
          </w:tcPr>
          <w:p w14:paraId="47C79283" w14:textId="77777777" w:rsidR="0046798B" w:rsidRDefault="00903B5C">
            <w:pPr>
              <w:pStyle w:val="TableParagraph"/>
              <w:spacing w:before="38"/>
              <w:ind w:left="114" w:right="463"/>
              <w:rPr>
                <w:sz w:val="20"/>
              </w:rPr>
            </w:pPr>
            <w:r>
              <w:rPr>
                <w:sz w:val="20"/>
              </w:rPr>
              <w:t>Standard deviation of state extraversion</w:t>
            </w:r>
          </w:p>
        </w:tc>
        <w:tc>
          <w:tcPr>
            <w:tcW w:w="1285" w:type="dxa"/>
          </w:tcPr>
          <w:p w14:paraId="4E4C83C8" w14:textId="77777777" w:rsidR="0046798B" w:rsidRDefault="0046798B">
            <w:pPr>
              <w:pStyle w:val="TableParagraph"/>
            </w:pPr>
          </w:p>
          <w:p w14:paraId="6868617A" w14:textId="77777777" w:rsidR="0046798B" w:rsidRDefault="00903B5C">
            <w:pPr>
              <w:pStyle w:val="TableParagraph"/>
              <w:spacing w:before="130"/>
              <w:ind w:left="114"/>
              <w:rPr>
                <w:sz w:val="20"/>
              </w:rPr>
            </w:pPr>
            <w:r>
              <w:rPr>
                <w:sz w:val="20"/>
              </w:rPr>
              <w:t>2008</w:t>
            </w:r>
          </w:p>
        </w:tc>
        <w:tc>
          <w:tcPr>
            <w:tcW w:w="3421" w:type="dxa"/>
          </w:tcPr>
          <w:p w14:paraId="07706CA6" w14:textId="77777777" w:rsidR="0046798B" w:rsidRDefault="0046798B">
            <w:pPr>
              <w:pStyle w:val="TableParagraph"/>
              <w:spacing w:before="3"/>
              <w:rPr>
                <w:sz w:val="23"/>
              </w:rPr>
            </w:pPr>
          </w:p>
          <w:p w14:paraId="7F04E249" w14:textId="77777777" w:rsidR="0046798B" w:rsidRDefault="00903B5C">
            <w:pPr>
              <w:pStyle w:val="TableParagraph"/>
              <w:spacing w:before="1"/>
              <w:ind w:left="114" w:right="372"/>
              <w:rPr>
                <w:sz w:val="20"/>
              </w:rPr>
            </w:pPr>
            <w:r>
              <w:rPr>
                <w:sz w:val="20"/>
              </w:rPr>
              <w:t>Standard deviation of scores of state extraversion</w:t>
            </w:r>
          </w:p>
        </w:tc>
        <w:tc>
          <w:tcPr>
            <w:tcW w:w="6482" w:type="dxa"/>
          </w:tcPr>
          <w:p w14:paraId="7969FD62" w14:textId="77777777" w:rsidR="0046798B" w:rsidRDefault="00903B5C">
            <w:pPr>
              <w:pStyle w:val="TableParagraph"/>
              <w:spacing w:before="153"/>
              <w:ind w:left="114" w:right="117"/>
              <w:rPr>
                <w:sz w:val="20"/>
              </w:rPr>
            </w:pPr>
            <w:r>
              <w:rPr>
                <w:sz w:val="20"/>
              </w:rPr>
              <w:t xml:space="preserve">Rentfrow, P.J., S.D. Gosling, and J. Potter. “A Theory of the Emergence, Persistence, and Expression of Geographic Variation in Psychological Characteristics.” </w:t>
            </w:r>
            <w:r>
              <w:rPr>
                <w:i/>
                <w:sz w:val="20"/>
              </w:rPr>
              <w:t xml:space="preserve">Perspectives on Psychological Science </w:t>
            </w:r>
            <w:r>
              <w:rPr>
                <w:sz w:val="20"/>
              </w:rPr>
              <w:t>3.5 (2008): 339–369.</w:t>
            </w:r>
          </w:p>
        </w:tc>
      </w:tr>
      <w:tr w:rsidR="0046798B" w14:paraId="220231B7" w14:textId="77777777">
        <w:trPr>
          <w:trHeight w:val="1005"/>
        </w:trPr>
        <w:tc>
          <w:tcPr>
            <w:tcW w:w="1711" w:type="dxa"/>
          </w:tcPr>
          <w:p w14:paraId="6415CC89" w14:textId="77777777" w:rsidR="0046798B" w:rsidRDefault="0046798B">
            <w:pPr>
              <w:pStyle w:val="TableParagraph"/>
            </w:pPr>
          </w:p>
          <w:p w14:paraId="33547EF5" w14:textId="77777777" w:rsidR="0046798B" w:rsidRDefault="00903B5C">
            <w:pPr>
              <w:pStyle w:val="TableParagraph"/>
              <w:spacing w:before="130"/>
              <w:ind w:left="115"/>
              <w:rPr>
                <w:b/>
                <w:sz w:val="20"/>
              </w:rPr>
            </w:pPr>
            <w:r>
              <w:rPr>
                <w:b/>
                <w:sz w:val="20"/>
              </w:rPr>
              <w:t>agreeableness_sd</w:t>
            </w:r>
          </w:p>
        </w:tc>
        <w:tc>
          <w:tcPr>
            <w:tcW w:w="1596" w:type="dxa"/>
          </w:tcPr>
          <w:p w14:paraId="4B975904" w14:textId="77777777" w:rsidR="0046798B" w:rsidRDefault="00903B5C">
            <w:pPr>
              <w:pStyle w:val="TableParagraph"/>
              <w:spacing w:before="38"/>
              <w:ind w:left="114" w:right="341"/>
              <w:rPr>
                <w:sz w:val="20"/>
              </w:rPr>
            </w:pPr>
            <w:r>
              <w:rPr>
                <w:sz w:val="20"/>
              </w:rPr>
              <w:t>Standard deviation of state agreeableness</w:t>
            </w:r>
          </w:p>
        </w:tc>
        <w:tc>
          <w:tcPr>
            <w:tcW w:w="1285" w:type="dxa"/>
          </w:tcPr>
          <w:p w14:paraId="083ECA65" w14:textId="77777777" w:rsidR="0046798B" w:rsidRDefault="0046798B">
            <w:pPr>
              <w:pStyle w:val="TableParagraph"/>
            </w:pPr>
          </w:p>
          <w:p w14:paraId="6BE7334B" w14:textId="77777777" w:rsidR="0046798B" w:rsidRDefault="00903B5C">
            <w:pPr>
              <w:pStyle w:val="TableParagraph"/>
              <w:spacing w:before="130"/>
              <w:ind w:left="114"/>
              <w:rPr>
                <w:sz w:val="20"/>
              </w:rPr>
            </w:pPr>
            <w:r>
              <w:rPr>
                <w:sz w:val="20"/>
              </w:rPr>
              <w:t>2008</w:t>
            </w:r>
          </w:p>
        </w:tc>
        <w:tc>
          <w:tcPr>
            <w:tcW w:w="3421" w:type="dxa"/>
          </w:tcPr>
          <w:p w14:paraId="1FA7C3B4" w14:textId="77777777" w:rsidR="0046798B" w:rsidRDefault="0046798B">
            <w:pPr>
              <w:pStyle w:val="TableParagraph"/>
              <w:spacing w:before="3"/>
              <w:rPr>
                <w:sz w:val="23"/>
              </w:rPr>
            </w:pPr>
          </w:p>
          <w:p w14:paraId="020B82D2" w14:textId="77777777" w:rsidR="0046798B" w:rsidRDefault="00903B5C">
            <w:pPr>
              <w:pStyle w:val="TableParagraph"/>
              <w:ind w:left="114" w:right="372"/>
              <w:rPr>
                <w:sz w:val="20"/>
              </w:rPr>
            </w:pPr>
            <w:r>
              <w:rPr>
                <w:sz w:val="20"/>
              </w:rPr>
              <w:t>Standard deviation of scores of state agreeableness</w:t>
            </w:r>
          </w:p>
        </w:tc>
        <w:tc>
          <w:tcPr>
            <w:tcW w:w="6482" w:type="dxa"/>
          </w:tcPr>
          <w:p w14:paraId="0EA66F22" w14:textId="77777777" w:rsidR="0046798B" w:rsidRDefault="00903B5C">
            <w:pPr>
              <w:pStyle w:val="TableParagraph"/>
              <w:spacing w:before="153"/>
              <w:ind w:left="114" w:right="117"/>
              <w:rPr>
                <w:sz w:val="20"/>
              </w:rPr>
            </w:pPr>
            <w:r>
              <w:rPr>
                <w:sz w:val="20"/>
              </w:rPr>
              <w:t xml:space="preserve">Rentfrow, P.J., S.D. Gosling, and J. Potter. “A Theory of the Emergence, Persistence, and Expression of Geographic Variation in Psychological Characteristics.” </w:t>
            </w:r>
            <w:r>
              <w:rPr>
                <w:i/>
                <w:sz w:val="20"/>
              </w:rPr>
              <w:t xml:space="preserve">Perspectives on Psychological Science </w:t>
            </w:r>
            <w:r>
              <w:rPr>
                <w:sz w:val="20"/>
              </w:rPr>
              <w:t>3.5 (2008): 339–369.</w:t>
            </w:r>
          </w:p>
        </w:tc>
      </w:tr>
      <w:tr w:rsidR="0046798B" w14:paraId="3A660D23" w14:textId="77777777">
        <w:trPr>
          <w:trHeight w:val="1235"/>
        </w:trPr>
        <w:tc>
          <w:tcPr>
            <w:tcW w:w="1711" w:type="dxa"/>
          </w:tcPr>
          <w:p w14:paraId="4939F31A" w14:textId="77777777" w:rsidR="0046798B" w:rsidRDefault="0046798B">
            <w:pPr>
              <w:pStyle w:val="TableParagraph"/>
            </w:pPr>
          </w:p>
          <w:p w14:paraId="4F2FFA12" w14:textId="77777777" w:rsidR="0046798B" w:rsidRDefault="00903B5C">
            <w:pPr>
              <w:pStyle w:val="TableParagraph"/>
              <w:spacing w:before="130"/>
              <w:ind w:left="115" w:right="154"/>
              <w:rPr>
                <w:b/>
                <w:sz w:val="20"/>
              </w:rPr>
            </w:pPr>
            <w:r>
              <w:rPr>
                <w:b/>
                <w:sz w:val="20"/>
              </w:rPr>
              <w:t>conscientiousnes s_sd</w:t>
            </w:r>
          </w:p>
        </w:tc>
        <w:tc>
          <w:tcPr>
            <w:tcW w:w="1596" w:type="dxa"/>
          </w:tcPr>
          <w:p w14:paraId="7E996545" w14:textId="77777777" w:rsidR="0046798B" w:rsidRDefault="00903B5C">
            <w:pPr>
              <w:pStyle w:val="TableParagraph"/>
              <w:spacing w:before="38"/>
              <w:ind w:left="114" w:right="113"/>
              <w:rPr>
                <w:sz w:val="20"/>
              </w:rPr>
            </w:pPr>
            <w:r>
              <w:rPr>
                <w:sz w:val="20"/>
              </w:rPr>
              <w:t>Standard deviation of state conscientiousnes s</w:t>
            </w:r>
          </w:p>
        </w:tc>
        <w:tc>
          <w:tcPr>
            <w:tcW w:w="1285" w:type="dxa"/>
          </w:tcPr>
          <w:p w14:paraId="5DCEF503" w14:textId="77777777" w:rsidR="0046798B" w:rsidRDefault="0046798B">
            <w:pPr>
              <w:pStyle w:val="TableParagraph"/>
            </w:pPr>
          </w:p>
          <w:p w14:paraId="679A521F" w14:textId="77777777" w:rsidR="0046798B" w:rsidRDefault="0046798B">
            <w:pPr>
              <w:pStyle w:val="TableParagraph"/>
              <w:spacing w:before="3"/>
              <w:rPr>
                <w:sz w:val="21"/>
              </w:rPr>
            </w:pPr>
          </w:p>
          <w:p w14:paraId="264D6DE4" w14:textId="77777777" w:rsidR="0046798B" w:rsidRDefault="00903B5C">
            <w:pPr>
              <w:pStyle w:val="TableParagraph"/>
              <w:spacing w:before="1"/>
              <w:ind w:left="114"/>
              <w:rPr>
                <w:sz w:val="20"/>
              </w:rPr>
            </w:pPr>
            <w:r>
              <w:rPr>
                <w:sz w:val="20"/>
              </w:rPr>
              <w:t>2008</w:t>
            </w:r>
          </w:p>
        </w:tc>
        <w:tc>
          <w:tcPr>
            <w:tcW w:w="3421" w:type="dxa"/>
          </w:tcPr>
          <w:p w14:paraId="037D9C9F" w14:textId="77777777" w:rsidR="0046798B" w:rsidRDefault="0046798B">
            <w:pPr>
              <w:pStyle w:val="TableParagraph"/>
            </w:pPr>
          </w:p>
          <w:p w14:paraId="04EE3C9C" w14:textId="77777777" w:rsidR="0046798B" w:rsidRDefault="00903B5C">
            <w:pPr>
              <w:pStyle w:val="TableParagraph"/>
              <w:spacing w:before="130"/>
              <w:ind w:left="114" w:right="372"/>
              <w:rPr>
                <w:sz w:val="20"/>
              </w:rPr>
            </w:pPr>
            <w:r>
              <w:rPr>
                <w:sz w:val="20"/>
              </w:rPr>
              <w:t>Standard deviation of scores of state conscientiousness</w:t>
            </w:r>
          </w:p>
        </w:tc>
        <w:tc>
          <w:tcPr>
            <w:tcW w:w="6482" w:type="dxa"/>
          </w:tcPr>
          <w:p w14:paraId="4297CCAB" w14:textId="77777777" w:rsidR="0046798B" w:rsidRDefault="0046798B">
            <w:pPr>
              <w:pStyle w:val="TableParagraph"/>
              <w:spacing w:before="3"/>
              <w:rPr>
                <w:sz w:val="23"/>
              </w:rPr>
            </w:pPr>
          </w:p>
          <w:p w14:paraId="5493851A" w14:textId="77777777" w:rsidR="0046798B" w:rsidRDefault="00903B5C">
            <w:pPr>
              <w:pStyle w:val="TableParagraph"/>
              <w:spacing w:before="1"/>
              <w:ind w:left="114" w:right="117"/>
              <w:rPr>
                <w:sz w:val="20"/>
              </w:rPr>
            </w:pPr>
            <w:r>
              <w:rPr>
                <w:sz w:val="20"/>
              </w:rPr>
              <w:t xml:space="preserve">Rentfrow, P.J., S.D. Gosling, and J. Potter. “A Theory of the Emergence, Persistence, and Expression of Geographic Variation in Psychological Characteristics.” </w:t>
            </w:r>
            <w:r>
              <w:rPr>
                <w:i/>
                <w:sz w:val="20"/>
              </w:rPr>
              <w:t xml:space="preserve">Perspectives on Psychological Science </w:t>
            </w:r>
            <w:r>
              <w:rPr>
                <w:sz w:val="20"/>
              </w:rPr>
              <w:t>3.5 (2008): 339–369.</w:t>
            </w:r>
          </w:p>
        </w:tc>
      </w:tr>
    </w:tbl>
    <w:p w14:paraId="7812D79F" w14:textId="77777777" w:rsidR="0046798B" w:rsidRDefault="0046798B">
      <w:pPr>
        <w:rPr>
          <w:sz w:val="20"/>
        </w:rPr>
        <w:sectPr w:rsidR="0046798B">
          <w:pgSz w:w="15840" w:h="12240" w:orient="landscape"/>
          <w:pgMar w:top="1220" w:right="300" w:bottom="980" w:left="820" w:header="730" w:footer="787" w:gutter="0"/>
          <w:cols w:space="720"/>
        </w:sectPr>
      </w:pPr>
    </w:p>
    <w:p w14:paraId="05E6DBC9"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68F05671" w14:textId="77777777">
        <w:trPr>
          <w:trHeight w:val="775"/>
        </w:trPr>
        <w:tc>
          <w:tcPr>
            <w:tcW w:w="1711" w:type="dxa"/>
          </w:tcPr>
          <w:p w14:paraId="048A6C97" w14:textId="77777777" w:rsidR="0046798B" w:rsidRDefault="0046798B">
            <w:pPr>
              <w:pStyle w:val="TableParagraph"/>
              <w:spacing w:before="9"/>
              <w:rPr>
                <w:sz w:val="23"/>
              </w:rPr>
            </w:pPr>
          </w:p>
          <w:p w14:paraId="4D7483AB" w14:textId="77777777" w:rsidR="0046798B" w:rsidRDefault="00903B5C">
            <w:pPr>
              <w:pStyle w:val="TableParagraph"/>
              <w:ind w:left="115"/>
              <w:rPr>
                <w:b/>
                <w:sz w:val="20"/>
              </w:rPr>
            </w:pPr>
            <w:r>
              <w:rPr>
                <w:b/>
                <w:sz w:val="20"/>
              </w:rPr>
              <w:t>neuroticism_sd</w:t>
            </w:r>
          </w:p>
        </w:tc>
        <w:tc>
          <w:tcPr>
            <w:tcW w:w="1596" w:type="dxa"/>
          </w:tcPr>
          <w:p w14:paraId="09EC1469" w14:textId="77777777" w:rsidR="0046798B" w:rsidRDefault="00903B5C">
            <w:pPr>
              <w:pStyle w:val="TableParagraph"/>
              <w:spacing w:before="43"/>
              <w:ind w:left="114" w:right="105"/>
              <w:rPr>
                <w:sz w:val="20"/>
              </w:rPr>
            </w:pPr>
            <w:r>
              <w:rPr>
                <w:sz w:val="20"/>
              </w:rPr>
              <w:t>Standard deviation of state</w:t>
            </w:r>
            <w:r>
              <w:rPr>
                <w:spacing w:val="12"/>
                <w:sz w:val="20"/>
              </w:rPr>
              <w:t xml:space="preserve"> </w:t>
            </w:r>
            <w:r>
              <w:rPr>
                <w:spacing w:val="-3"/>
                <w:sz w:val="20"/>
              </w:rPr>
              <w:t>neuroticism</w:t>
            </w:r>
          </w:p>
        </w:tc>
        <w:tc>
          <w:tcPr>
            <w:tcW w:w="1285" w:type="dxa"/>
          </w:tcPr>
          <w:p w14:paraId="40D7B917" w14:textId="77777777" w:rsidR="0046798B" w:rsidRDefault="0046798B">
            <w:pPr>
              <w:pStyle w:val="TableParagraph"/>
              <w:spacing w:before="9"/>
              <w:rPr>
                <w:sz w:val="23"/>
              </w:rPr>
            </w:pPr>
          </w:p>
          <w:p w14:paraId="2EE482FE" w14:textId="77777777" w:rsidR="0046798B" w:rsidRDefault="00903B5C">
            <w:pPr>
              <w:pStyle w:val="TableParagraph"/>
              <w:ind w:left="114"/>
              <w:rPr>
                <w:sz w:val="20"/>
              </w:rPr>
            </w:pPr>
            <w:r>
              <w:rPr>
                <w:sz w:val="20"/>
              </w:rPr>
              <w:t>2008</w:t>
            </w:r>
          </w:p>
        </w:tc>
        <w:tc>
          <w:tcPr>
            <w:tcW w:w="3421" w:type="dxa"/>
          </w:tcPr>
          <w:p w14:paraId="0F8229BC" w14:textId="77777777" w:rsidR="0046798B" w:rsidRDefault="00903B5C">
            <w:pPr>
              <w:pStyle w:val="TableParagraph"/>
              <w:spacing w:before="158"/>
              <w:ind w:left="114" w:right="372"/>
              <w:rPr>
                <w:sz w:val="20"/>
              </w:rPr>
            </w:pPr>
            <w:r>
              <w:rPr>
                <w:sz w:val="20"/>
              </w:rPr>
              <w:t>Standard deviation of scores of state neuroticism</w:t>
            </w:r>
          </w:p>
        </w:tc>
        <w:tc>
          <w:tcPr>
            <w:tcW w:w="6482" w:type="dxa"/>
          </w:tcPr>
          <w:p w14:paraId="0F87D483" w14:textId="77777777" w:rsidR="0046798B" w:rsidRDefault="00903B5C">
            <w:pPr>
              <w:pStyle w:val="TableParagraph"/>
              <w:spacing w:before="43"/>
              <w:ind w:left="114" w:right="117"/>
              <w:rPr>
                <w:sz w:val="20"/>
              </w:rPr>
            </w:pPr>
            <w:r>
              <w:rPr>
                <w:sz w:val="20"/>
              </w:rPr>
              <w:t xml:space="preserve">Rentfrow, P.J., S.D. Gosling, and J. Potter. “A Theory of the Emergence, Persistence, and Expression of Geographic Variation in Psychological Characteristics.” </w:t>
            </w:r>
            <w:r>
              <w:rPr>
                <w:i/>
                <w:sz w:val="20"/>
              </w:rPr>
              <w:t xml:space="preserve">Perspectives on Psychological Science </w:t>
            </w:r>
            <w:r>
              <w:rPr>
                <w:sz w:val="20"/>
              </w:rPr>
              <w:t>3.5 (2008): 339–369.</w:t>
            </w:r>
          </w:p>
        </w:tc>
      </w:tr>
      <w:tr w:rsidR="0046798B" w14:paraId="699474EE" w14:textId="77777777">
        <w:trPr>
          <w:trHeight w:val="775"/>
        </w:trPr>
        <w:tc>
          <w:tcPr>
            <w:tcW w:w="1711" w:type="dxa"/>
          </w:tcPr>
          <w:p w14:paraId="6731175F" w14:textId="77777777" w:rsidR="0046798B" w:rsidRDefault="0046798B">
            <w:pPr>
              <w:pStyle w:val="TableParagraph"/>
              <w:spacing w:before="8"/>
              <w:rPr>
                <w:sz w:val="23"/>
              </w:rPr>
            </w:pPr>
          </w:p>
          <w:p w14:paraId="615A8E0C" w14:textId="77777777" w:rsidR="0046798B" w:rsidRDefault="00903B5C">
            <w:pPr>
              <w:pStyle w:val="TableParagraph"/>
              <w:spacing w:before="1"/>
              <w:ind w:left="115"/>
              <w:rPr>
                <w:b/>
                <w:sz w:val="20"/>
              </w:rPr>
            </w:pPr>
            <w:r>
              <w:rPr>
                <w:b/>
                <w:sz w:val="20"/>
              </w:rPr>
              <w:t>openness_sd</w:t>
            </w:r>
          </w:p>
        </w:tc>
        <w:tc>
          <w:tcPr>
            <w:tcW w:w="1596" w:type="dxa"/>
          </w:tcPr>
          <w:p w14:paraId="6A0849D5" w14:textId="77777777" w:rsidR="0046798B" w:rsidRDefault="00903B5C">
            <w:pPr>
              <w:pStyle w:val="TableParagraph"/>
              <w:spacing w:before="43"/>
              <w:ind w:left="114" w:right="302"/>
              <w:rPr>
                <w:sz w:val="20"/>
              </w:rPr>
            </w:pPr>
            <w:r>
              <w:rPr>
                <w:sz w:val="20"/>
              </w:rPr>
              <w:t>Standard deviation of state openness</w:t>
            </w:r>
          </w:p>
        </w:tc>
        <w:tc>
          <w:tcPr>
            <w:tcW w:w="1285" w:type="dxa"/>
          </w:tcPr>
          <w:p w14:paraId="5B056AA9" w14:textId="77777777" w:rsidR="0046798B" w:rsidRDefault="0046798B">
            <w:pPr>
              <w:pStyle w:val="TableParagraph"/>
              <w:spacing w:before="8"/>
              <w:rPr>
                <w:sz w:val="23"/>
              </w:rPr>
            </w:pPr>
          </w:p>
          <w:p w14:paraId="79D9C004" w14:textId="77777777" w:rsidR="0046798B" w:rsidRDefault="00903B5C">
            <w:pPr>
              <w:pStyle w:val="TableParagraph"/>
              <w:spacing w:before="1"/>
              <w:ind w:left="114"/>
              <w:rPr>
                <w:sz w:val="20"/>
              </w:rPr>
            </w:pPr>
            <w:r>
              <w:rPr>
                <w:sz w:val="20"/>
              </w:rPr>
              <w:t>2008</w:t>
            </w:r>
          </w:p>
        </w:tc>
        <w:tc>
          <w:tcPr>
            <w:tcW w:w="3421" w:type="dxa"/>
          </w:tcPr>
          <w:p w14:paraId="31A84580" w14:textId="77777777" w:rsidR="0046798B" w:rsidRDefault="00903B5C">
            <w:pPr>
              <w:pStyle w:val="TableParagraph"/>
              <w:spacing w:before="158"/>
              <w:ind w:left="114" w:right="372"/>
              <w:rPr>
                <w:sz w:val="20"/>
              </w:rPr>
            </w:pPr>
            <w:r>
              <w:rPr>
                <w:sz w:val="20"/>
              </w:rPr>
              <w:t>Standard deviation of scores of state openness</w:t>
            </w:r>
          </w:p>
        </w:tc>
        <w:tc>
          <w:tcPr>
            <w:tcW w:w="6482" w:type="dxa"/>
          </w:tcPr>
          <w:p w14:paraId="1F7F16A5" w14:textId="77777777" w:rsidR="0046798B" w:rsidRDefault="00903B5C">
            <w:pPr>
              <w:pStyle w:val="TableParagraph"/>
              <w:spacing w:before="43"/>
              <w:ind w:left="114" w:right="117"/>
              <w:rPr>
                <w:sz w:val="20"/>
              </w:rPr>
            </w:pPr>
            <w:r>
              <w:rPr>
                <w:sz w:val="20"/>
              </w:rPr>
              <w:t xml:space="preserve">Rentfrow, P.J., S.D. Gosling, and J. Potter. “A Theory of the Emergence, Persistence, and Expression of Geographic Variation in Psychological Characteristics.” </w:t>
            </w:r>
            <w:r>
              <w:rPr>
                <w:i/>
                <w:sz w:val="20"/>
              </w:rPr>
              <w:t xml:space="preserve">Perspectives on Psychological Science </w:t>
            </w:r>
            <w:r>
              <w:rPr>
                <w:sz w:val="20"/>
              </w:rPr>
              <w:t>3.5 (2008): 339–369.</w:t>
            </w:r>
          </w:p>
        </w:tc>
      </w:tr>
      <w:tr w:rsidR="0046798B" w14:paraId="13430B2B" w14:textId="77777777">
        <w:trPr>
          <w:trHeight w:val="1931"/>
        </w:trPr>
        <w:tc>
          <w:tcPr>
            <w:tcW w:w="1711" w:type="dxa"/>
          </w:tcPr>
          <w:p w14:paraId="7F56C91D" w14:textId="77777777" w:rsidR="0046798B" w:rsidRDefault="0046798B">
            <w:pPr>
              <w:pStyle w:val="TableParagraph"/>
            </w:pPr>
          </w:p>
          <w:p w14:paraId="3F6E6B00" w14:textId="77777777" w:rsidR="0046798B" w:rsidRDefault="0046798B">
            <w:pPr>
              <w:pStyle w:val="TableParagraph"/>
            </w:pPr>
          </w:p>
          <w:p w14:paraId="0A0BB672" w14:textId="77777777" w:rsidR="0046798B" w:rsidRDefault="0046798B">
            <w:pPr>
              <w:pStyle w:val="TableParagraph"/>
              <w:spacing w:before="9"/>
              <w:rPr>
                <w:sz w:val="19"/>
              </w:rPr>
            </w:pPr>
          </w:p>
          <w:p w14:paraId="7E62E5EA" w14:textId="77777777" w:rsidR="0046798B" w:rsidRDefault="00903B5C">
            <w:pPr>
              <w:pStyle w:val="TableParagraph"/>
              <w:ind w:left="115" w:right="143"/>
              <w:rPr>
                <w:b/>
                <w:sz w:val="20"/>
              </w:rPr>
            </w:pPr>
            <w:r>
              <w:rPr>
                <w:b/>
                <w:sz w:val="20"/>
              </w:rPr>
              <w:t>pro_environmen t</w:t>
            </w:r>
          </w:p>
        </w:tc>
        <w:tc>
          <w:tcPr>
            <w:tcW w:w="1596" w:type="dxa"/>
          </w:tcPr>
          <w:p w14:paraId="331B2C2F" w14:textId="77777777" w:rsidR="0046798B" w:rsidRDefault="0046798B">
            <w:pPr>
              <w:pStyle w:val="TableParagraph"/>
            </w:pPr>
          </w:p>
          <w:p w14:paraId="347AC963" w14:textId="77777777" w:rsidR="0046798B" w:rsidRDefault="0046798B">
            <w:pPr>
              <w:pStyle w:val="TableParagraph"/>
            </w:pPr>
          </w:p>
          <w:p w14:paraId="658CAB49" w14:textId="77777777" w:rsidR="0046798B" w:rsidRDefault="0046798B">
            <w:pPr>
              <w:pStyle w:val="TableParagraph"/>
              <w:spacing w:before="9"/>
              <w:rPr>
                <w:sz w:val="19"/>
              </w:rPr>
            </w:pPr>
          </w:p>
          <w:p w14:paraId="609404EE" w14:textId="77777777" w:rsidR="0046798B" w:rsidRDefault="00903B5C">
            <w:pPr>
              <w:pStyle w:val="TableParagraph"/>
              <w:ind w:left="114"/>
              <w:rPr>
                <w:sz w:val="20"/>
              </w:rPr>
            </w:pPr>
            <w:r>
              <w:rPr>
                <w:sz w:val="20"/>
              </w:rPr>
              <w:t>Pro-environment opinion</w:t>
            </w:r>
          </w:p>
        </w:tc>
        <w:tc>
          <w:tcPr>
            <w:tcW w:w="1285" w:type="dxa"/>
          </w:tcPr>
          <w:p w14:paraId="298E1081" w14:textId="77777777" w:rsidR="0046798B" w:rsidRDefault="0046798B">
            <w:pPr>
              <w:pStyle w:val="TableParagraph"/>
            </w:pPr>
          </w:p>
          <w:p w14:paraId="4A1BE9DF" w14:textId="77777777" w:rsidR="0046798B" w:rsidRDefault="0046798B">
            <w:pPr>
              <w:pStyle w:val="TableParagraph"/>
            </w:pPr>
          </w:p>
          <w:p w14:paraId="2BE7F504" w14:textId="77777777" w:rsidR="0046798B" w:rsidRDefault="0046798B">
            <w:pPr>
              <w:pStyle w:val="TableParagraph"/>
              <w:spacing w:before="9"/>
              <w:rPr>
                <w:sz w:val="29"/>
              </w:rPr>
            </w:pPr>
          </w:p>
          <w:p w14:paraId="7CAF6E98" w14:textId="77777777" w:rsidR="0046798B" w:rsidRDefault="00903B5C">
            <w:pPr>
              <w:pStyle w:val="TableParagraph"/>
              <w:ind w:left="114"/>
              <w:rPr>
                <w:sz w:val="20"/>
              </w:rPr>
            </w:pPr>
            <w:r>
              <w:rPr>
                <w:sz w:val="20"/>
              </w:rPr>
              <w:t>1973–2012</w:t>
            </w:r>
          </w:p>
        </w:tc>
        <w:tc>
          <w:tcPr>
            <w:tcW w:w="3421" w:type="dxa"/>
          </w:tcPr>
          <w:p w14:paraId="7132BCBE" w14:textId="77777777" w:rsidR="0046798B" w:rsidRDefault="00903B5C">
            <w:pPr>
              <w:pStyle w:val="TableParagraph"/>
              <w:spacing w:before="44"/>
              <w:ind w:left="114" w:right="216"/>
              <w:jc w:val="both"/>
              <w:rPr>
                <w:sz w:val="20"/>
              </w:rPr>
            </w:pPr>
            <w:r>
              <w:rPr>
                <w:sz w:val="20"/>
              </w:rPr>
              <w:t>Estimated proportion of citizenry who believe we are spending “too little” on the environment</w:t>
            </w:r>
          </w:p>
          <w:p w14:paraId="427FCB38" w14:textId="77777777" w:rsidR="0046798B" w:rsidRDefault="0046798B">
            <w:pPr>
              <w:pStyle w:val="TableParagraph"/>
              <w:spacing w:before="11"/>
              <w:rPr>
                <w:sz w:val="19"/>
              </w:rPr>
            </w:pPr>
          </w:p>
          <w:p w14:paraId="3BA40979" w14:textId="77777777" w:rsidR="0046798B" w:rsidRDefault="00903B5C">
            <w:pPr>
              <w:pStyle w:val="TableParagraph"/>
              <w:ind w:left="114"/>
              <w:rPr>
                <w:sz w:val="20"/>
              </w:rPr>
            </w:pPr>
            <w:r>
              <w:rPr>
                <w:sz w:val="20"/>
              </w:rPr>
              <w:t>(note: proportion for state-year is estimated by national sample from the General Social Survey and multilevel regression and post-stratification)</w:t>
            </w:r>
          </w:p>
        </w:tc>
        <w:tc>
          <w:tcPr>
            <w:tcW w:w="6482" w:type="dxa"/>
          </w:tcPr>
          <w:p w14:paraId="1F0C308A" w14:textId="77777777" w:rsidR="0046798B" w:rsidRDefault="0046798B">
            <w:pPr>
              <w:pStyle w:val="TableParagraph"/>
            </w:pPr>
          </w:p>
          <w:p w14:paraId="31AEDFD9" w14:textId="77777777" w:rsidR="0046798B" w:rsidRDefault="0046798B">
            <w:pPr>
              <w:pStyle w:val="TableParagraph"/>
            </w:pPr>
          </w:p>
          <w:p w14:paraId="1CCE46C6" w14:textId="77777777" w:rsidR="0046798B" w:rsidRDefault="0046798B">
            <w:pPr>
              <w:pStyle w:val="TableParagraph"/>
              <w:spacing w:before="9"/>
              <w:rPr>
                <w:sz w:val="19"/>
              </w:rPr>
            </w:pPr>
          </w:p>
          <w:p w14:paraId="307DE396" w14:textId="77777777" w:rsidR="0046798B" w:rsidRDefault="00903B5C">
            <w:pPr>
              <w:pStyle w:val="TableParagraph"/>
              <w:ind w:left="114"/>
              <w:rPr>
                <w:sz w:val="20"/>
              </w:rPr>
            </w:pPr>
            <w:r>
              <w:rPr>
                <w:sz w:val="20"/>
              </w:rPr>
              <w:t>Kim, Sung Eun, and Johannes Urpelainen. “Environmental Public Opinion in</w:t>
            </w:r>
          </w:p>
          <w:p w14:paraId="6890BA2C" w14:textId="77777777" w:rsidR="0046798B" w:rsidRDefault="00903B5C">
            <w:pPr>
              <w:pStyle w:val="TableParagraph"/>
              <w:ind w:left="114"/>
              <w:rPr>
                <w:sz w:val="20"/>
              </w:rPr>
            </w:pPr>
            <w:r>
              <w:rPr>
                <w:sz w:val="20"/>
              </w:rPr>
              <w:t xml:space="preserve">U.S. States, 1973–2012.” </w:t>
            </w:r>
            <w:r>
              <w:rPr>
                <w:i/>
                <w:sz w:val="20"/>
              </w:rPr>
              <w:t xml:space="preserve">Environmental Politics </w:t>
            </w:r>
            <w:r>
              <w:rPr>
                <w:sz w:val="20"/>
              </w:rPr>
              <w:t>27.1 (2017): 89–114.</w:t>
            </w:r>
          </w:p>
        </w:tc>
      </w:tr>
      <w:tr w:rsidR="0046798B" w14:paraId="1123EA3D" w14:textId="77777777">
        <w:trPr>
          <w:trHeight w:val="1925"/>
        </w:trPr>
        <w:tc>
          <w:tcPr>
            <w:tcW w:w="1711" w:type="dxa"/>
          </w:tcPr>
          <w:p w14:paraId="0E103AA7" w14:textId="77777777" w:rsidR="0046798B" w:rsidRDefault="0046798B">
            <w:pPr>
              <w:pStyle w:val="TableParagraph"/>
            </w:pPr>
          </w:p>
          <w:p w14:paraId="1FA6DDD4" w14:textId="77777777" w:rsidR="0046798B" w:rsidRDefault="0046798B">
            <w:pPr>
              <w:pStyle w:val="TableParagraph"/>
            </w:pPr>
          </w:p>
          <w:p w14:paraId="5F98DA97" w14:textId="77777777" w:rsidR="0046798B" w:rsidRDefault="0046798B">
            <w:pPr>
              <w:pStyle w:val="TableParagraph"/>
              <w:spacing w:before="4"/>
              <w:rPr>
                <w:sz w:val="19"/>
              </w:rPr>
            </w:pPr>
          </w:p>
          <w:p w14:paraId="0606C520" w14:textId="77777777" w:rsidR="0046798B" w:rsidRDefault="00903B5C">
            <w:pPr>
              <w:pStyle w:val="TableParagraph"/>
              <w:ind w:left="115" w:right="110"/>
              <w:rPr>
                <w:b/>
                <w:sz w:val="20"/>
              </w:rPr>
            </w:pPr>
            <w:r>
              <w:rPr>
                <w:b/>
                <w:sz w:val="20"/>
              </w:rPr>
              <w:t>anti_environmen t</w:t>
            </w:r>
          </w:p>
        </w:tc>
        <w:tc>
          <w:tcPr>
            <w:tcW w:w="1596" w:type="dxa"/>
          </w:tcPr>
          <w:p w14:paraId="4CC5102D" w14:textId="77777777" w:rsidR="0046798B" w:rsidRDefault="0046798B">
            <w:pPr>
              <w:pStyle w:val="TableParagraph"/>
            </w:pPr>
          </w:p>
          <w:p w14:paraId="3F0A66FD" w14:textId="77777777" w:rsidR="0046798B" w:rsidRDefault="0046798B">
            <w:pPr>
              <w:pStyle w:val="TableParagraph"/>
              <w:spacing w:before="4"/>
              <w:rPr>
                <w:sz w:val="31"/>
              </w:rPr>
            </w:pPr>
          </w:p>
          <w:p w14:paraId="0D1DCD2F" w14:textId="77777777" w:rsidR="0046798B" w:rsidRDefault="00903B5C">
            <w:pPr>
              <w:pStyle w:val="TableParagraph"/>
              <w:ind w:left="114" w:right="441"/>
              <w:rPr>
                <w:sz w:val="20"/>
              </w:rPr>
            </w:pPr>
            <w:r>
              <w:rPr>
                <w:sz w:val="20"/>
              </w:rPr>
              <w:t>Anti- environment opinion</w:t>
            </w:r>
          </w:p>
        </w:tc>
        <w:tc>
          <w:tcPr>
            <w:tcW w:w="1285" w:type="dxa"/>
          </w:tcPr>
          <w:p w14:paraId="4B552C4F" w14:textId="77777777" w:rsidR="0046798B" w:rsidRDefault="0046798B">
            <w:pPr>
              <w:pStyle w:val="TableParagraph"/>
            </w:pPr>
          </w:p>
          <w:p w14:paraId="1D91C14C" w14:textId="77777777" w:rsidR="0046798B" w:rsidRDefault="0046798B">
            <w:pPr>
              <w:pStyle w:val="TableParagraph"/>
            </w:pPr>
          </w:p>
          <w:p w14:paraId="7BB137FA" w14:textId="77777777" w:rsidR="0046798B" w:rsidRDefault="0046798B">
            <w:pPr>
              <w:pStyle w:val="TableParagraph"/>
              <w:spacing w:before="4"/>
              <w:rPr>
                <w:sz w:val="29"/>
              </w:rPr>
            </w:pPr>
          </w:p>
          <w:p w14:paraId="58BD7AF0" w14:textId="77777777" w:rsidR="0046798B" w:rsidRDefault="00903B5C">
            <w:pPr>
              <w:pStyle w:val="TableParagraph"/>
              <w:ind w:left="114"/>
              <w:rPr>
                <w:sz w:val="20"/>
              </w:rPr>
            </w:pPr>
            <w:r>
              <w:rPr>
                <w:sz w:val="20"/>
              </w:rPr>
              <w:t>1973–2012</w:t>
            </w:r>
          </w:p>
        </w:tc>
        <w:tc>
          <w:tcPr>
            <w:tcW w:w="3421" w:type="dxa"/>
          </w:tcPr>
          <w:p w14:paraId="7822329C" w14:textId="77777777" w:rsidR="0046798B" w:rsidRDefault="00903B5C">
            <w:pPr>
              <w:pStyle w:val="TableParagraph"/>
              <w:spacing w:before="38"/>
              <w:ind w:left="114" w:right="122"/>
              <w:rPr>
                <w:sz w:val="20"/>
              </w:rPr>
            </w:pPr>
            <w:r>
              <w:rPr>
                <w:sz w:val="20"/>
              </w:rPr>
              <w:t>Estimated proportion of citizenry who believe we are spending “too much” on the environment</w:t>
            </w:r>
          </w:p>
          <w:p w14:paraId="52FC7A50" w14:textId="77777777" w:rsidR="0046798B" w:rsidRDefault="0046798B">
            <w:pPr>
              <w:pStyle w:val="TableParagraph"/>
              <w:rPr>
                <w:sz w:val="20"/>
              </w:rPr>
            </w:pPr>
          </w:p>
          <w:p w14:paraId="3AED41C7" w14:textId="77777777" w:rsidR="0046798B" w:rsidRDefault="00903B5C">
            <w:pPr>
              <w:pStyle w:val="TableParagraph"/>
              <w:ind w:left="114" w:right="216"/>
              <w:rPr>
                <w:sz w:val="20"/>
              </w:rPr>
            </w:pPr>
            <w:r>
              <w:rPr>
                <w:sz w:val="20"/>
              </w:rPr>
              <w:t>(note: proportion for state-year is estimated by national sample from the General Social Survey and multilevel regression and post-stratification)</w:t>
            </w:r>
          </w:p>
        </w:tc>
        <w:tc>
          <w:tcPr>
            <w:tcW w:w="6482" w:type="dxa"/>
          </w:tcPr>
          <w:p w14:paraId="3B014CA7" w14:textId="77777777" w:rsidR="0046798B" w:rsidRDefault="0046798B">
            <w:pPr>
              <w:pStyle w:val="TableParagraph"/>
            </w:pPr>
          </w:p>
          <w:p w14:paraId="3BE688F2" w14:textId="77777777" w:rsidR="0046798B" w:rsidRDefault="0046798B">
            <w:pPr>
              <w:pStyle w:val="TableParagraph"/>
            </w:pPr>
          </w:p>
          <w:p w14:paraId="1620836F" w14:textId="77777777" w:rsidR="0046798B" w:rsidRDefault="0046798B">
            <w:pPr>
              <w:pStyle w:val="TableParagraph"/>
              <w:spacing w:before="4"/>
              <w:rPr>
                <w:sz w:val="19"/>
              </w:rPr>
            </w:pPr>
          </w:p>
          <w:p w14:paraId="785EF2CB" w14:textId="77777777" w:rsidR="0046798B" w:rsidRDefault="00903B5C">
            <w:pPr>
              <w:pStyle w:val="TableParagraph"/>
              <w:ind w:left="114"/>
              <w:rPr>
                <w:sz w:val="20"/>
              </w:rPr>
            </w:pPr>
            <w:r>
              <w:rPr>
                <w:sz w:val="20"/>
              </w:rPr>
              <w:t>Kim, Sung Eun, and Johannes Urpelainen. “Environmental Public Opinion in</w:t>
            </w:r>
          </w:p>
          <w:p w14:paraId="6D953BCC" w14:textId="77777777" w:rsidR="0046798B" w:rsidRDefault="00903B5C">
            <w:pPr>
              <w:pStyle w:val="TableParagraph"/>
              <w:ind w:left="114"/>
              <w:rPr>
                <w:sz w:val="20"/>
              </w:rPr>
            </w:pPr>
            <w:r>
              <w:rPr>
                <w:sz w:val="20"/>
              </w:rPr>
              <w:t xml:space="preserve">U.S. States, 1973–2012.” </w:t>
            </w:r>
            <w:r>
              <w:rPr>
                <w:i/>
                <w:sz w:val="20"/>
              </w:rPr>
              <w:t xml:space="preserve">Environmental Politics </w:t>
            </w:r>
            <w:r>
              <w:rPr>
                <w:sz w:val="20"/>
              </w:rPr>
              <w:t>27.1 (2017): 89–114.</w:t>
            </w:r>
          </w:p>
        </w:tc>
      </w:tr>
      <w:tr w:rsidR="0046798B" w14:paraId="38EA3335" w14:textId="77777777">
        <w:trPr>
          <w:trHeight w:val="1925"/>
        </w:trPr>
        <w:tc>
          <w:tcPr>
            <w:tcW w:w="1711" w:type="dxa"/>
          </w:tcPr>
          <w:p w14:paraId="29DDD3A5" w14:textId="77777777" w:rsidR="0046798B" w:rsidRDefault="0046798B">
            <w:pPr>
              <w:pStyle w:val="TableParagraph"/>
            </w:pPr>
          </w:p>
          <w:p w14:paraId="3E0D1E3C" w14:textId="77777777" w:rsidR="0046798B" w:rsidRDefault="0046798B">
            <w:pPr>
              <w:pStyle w:val="TableParagraph"/>
            </w:pPr>
          </w:p>
          <w:p w14:paraId="184DAD9B" w14:textId="77777777" w:rsidR="0046798B" w:rsidRDefault="0046798B">
            <w:pPr>
              <w:pStyle w:val="TableParagraph"/>
              <w:spacing w:before="3"/>
              <w:rPr>
                <w:sz w:val="19"/>
              </w:rPr>
            </w:pPr>
          </w:p>
          <w:p w14:paraId="7709C38F" w14:textId="77777777" w:rsidR="0046798B" w:rsidRDefault="00903B5C">
            <w:pPr>
              <w:pStyle w:val="TableParagraph"/>
              <w:spacing w:before="1"/>
              <w:ind w:left="115" w:right="188"/>
              <w:rPr>
                <w:b/>
                <w:sz w:val="20"/>
              </w:rPr>
            </w:pPr>
            <w:r>
              <w:rPr>
                <w:b/>
                <w:sz w:val="20"/>
              </w:rPr>
              <w:t>neutral_environ ment</w:t>
            </w:r>
          </w:p>
        </w:tc>
        <w:tc>
          <w:tcPr>
            <w:tcW w:w="1596" w:type="dxa"/>
          </w:tcPr>
          <w:p w14:paraId="4CA04440" w14:textId="77777777" w:rsidR="0046798B" w:rsidRDefault="0046798B">
            <w:pPr>
              <w:pStyle w:val="TableParagraph"/>
            </w:pPr>
          </w:p>
          <w:p w14:paraId="3B673C78" w14:textId="77777777" w:rsidR="0046798B" w:rsidRDefault="0046798B">
            <w:pPr>
              <w:pStyle w:val="TableParagraph"/>
              <w:spacing w:before="3"/>
              <w:rPr>
                <w:sz w:val="31"/>
              </w:rPr>
            </w:pPr>
          </w:p>
          <w:p w14:paraId="02878CAF" w14:textId="77777777" w:rsidR="0046798B" w:rsidRDefault="00903B5C">
            <w:pPr>
              <w:pStyle w:val="TableParagraph"/>
              <w:spacing w:before="1"/>
              <w:ind w:left="114" w:right="441"/>
              <w:rPr>
                <w:sz w:val="20"/>
              </w:rPr>
            </w:pPr>
            <w:r>
              <w:rPr>
                <w:sz w:val="20"/>
              </w:rPr>
              <w:t>Neutral environment opinion</w:t>
            </w:r>
          </w:p>
        </w:tc>
        <w:tc>
          <w:tcPr>
            <w:tcW w:w="1285" w:type="dxa"/>
          </w:tcPr>
          <w:p w14:paraId="252CB4D2" w14:textId="77777777" w:rsidR="0046798B" w:rsidRDefault="0046798B">
            <w:pPr>
              <w:pStyle w:val="TableParagraph"/>
            </w:pPr>
          </w:p>
          <w:p w14:paraId="3F21AC51" w14:textId="77777777" w:rsidR="0046798B" w:rsidRDefault="0046798B">
            <w:pPr>
              <w:pStyle w:val="TableParagraph"/>
            </w:pPr>
          </w:p>
          <w:p w14:paraId="09DC699C" w14:textId="77777777" w:rsidR="0046798B" w:rsidRDefault="0046798B">
            <w:pPr>
              <w:pStyle w:val="TableParagraph"/>
              <w:spacing w:before="3"/>
              <w:rPr>
                <w:sz w:val="29"/>
              </w:rPr>
            </w:pPr>
          </w:p>
          <w:p w14:paraId="67CC3267" w14:textId="77777777" w:rsidR="0046798B" w:rsidRDefault="00903B5C">
            <w:pPr>
              <w:pStyle w:val="TableParagraph"/>
              <w:spacing w:before="1"/>
              <w:ind w:left="114"/>
              <w:rPr>
                <w:sz w:val="20"/>
              </w:rPr>
            </w:pPr>
            <w:r>
              <w:rPr>
                <w:sz w:val="20"/>
              </w:rPr>
              <w:t>1973–2012</w:t>
            </w:r>
          </w:p>
        </w:tc>
        <w:tc>
          <w:tcPr>
            <w:tcW w:w="3421" w:type="dxa"/>
          </w:tcPr>
          <w:p w14:paraId="1FB6841E" w14:textId="77777777" w:rsidR="0046798B" w:rsidRDefault="00903B5C">
            <w:pPr>
              <w:pStyle w:val="TableParagraph"/>
              <w:spacing w:before="38"/>
              <w:ind w:left="114" w:right="234"/>
              <w:rPr>
                <w:sz w:val="20"/>
              </w:rPr>
            </w:pPr>
            <w:r>
              <w:rPr>
                <w:sz w:val="20"/>
              </w:rPr>
              <w:t xml:space="preserve">Estimated proportion of citizenry </w:t>
            </w:r>
            <w:r>
              <w:rPr>
                <w:spacing w:val="-4"/>
                <w:sz w:val="20"/>
              </w:rPr>
              <w:t xml:space="preserve">who </w:t>
            </w:r>
            <w:r>
              <w:rPr>
                <w:sz w:val="20"/>
              </w:rPr>
              <w:t>believe we are spending “about the right amount” on the</w:t>
            </w:r>
            <w:r>
              <w:rPr>
                <w:spacing w:val="-2"/>
                <w:sz w:val="20"/>
              </w:rPr>
              <w:t xml:space="preserve"> </w:t>
            </w:r>
            <w:r>
              <w:rPr>
                <w:sz w:val="20"/>
              </w:rPr>
              <w:t>environment</w:t>
            </w:r>
          </w:p>
          <w:p w14:paraId="37F73F8D" w14:textId="77777777" w:rsidR="0046798B" w:rsidRDefault="0046798B">
            <w:pPr>
              <w:pStyle w:val="TableParagraph"/>
              <w:rPr>
                <w:sz w:val="20"/>
              </w:rPr>
            </w:pPr>
          </w:p>
          <w:p w14:paraId="234DD718" w14:textId="77777777" w:rsidR="0046798B" w:rsidRDefault="00903B5C">
            <w:pPr>
              <w:pStyle w:val="TableParagraph"/>
              <w:ind w:left="114" w:right="231"/>
              <w:rPr>
                <w:sz w:val="20"/>
              </w:rPr>
            </w:pPr>
            <w:r>
              <w:rPr>
                <w:sz w:val="20"/>
              </w:rPr>
              <w:t xml:space="preserve">(note: proportion for state-year is estimated by national sample from </w:t>
            </w:r>
            <w:r>
              <w:rPr>
                <w:spacing w:val="-5"/>
                <w:sz w:val="20"/>
              </w:rPr>
              <w:t xml:space="preserve">the </w:t>
            </w:r>
            <w:r>
              <w:rPr>
                <w:sz w:val="20"/>
              </w:rPr>
              <w:t>General Social Survey and multilevel regression and</w:t>
            </w:r>
            <w:r>
              <w:rPr>
                <w:spacing w:val="-1"/>
                <w:sz w:val="20"/>
              </w:rPr>
              <w:t xml:space="preserve"> </w:t>
            </w:r>
            <w:r>
              <w:rPr>
                <w:sz w:val="20"/>
              </w:rPr>
              <w:t>post-stratification)</w:t>
            </w:r>
          </w:p>
        </w:tc>
        <w:tc>
          <w:tcPr>
            <w:tcW w:w="6482" w:type="dxa"/>
          </w:tcPr>
          <w:p w14:paraId="7C418982" w14:textId="77777777" w:rsidR="0046798B" w:rsidRDefault="0046798B">
            <w:pPr>
              <w:pStyle w:val="TableParagraph"/>
            </w:pPr>
          </w:p>
          <w:p w14:paraId="79453F9A" w14:textId="77777777" w:rsidR="0046798B" w:rsidRDefault="0046798B">
            <w:pPr>
              <w:pStyle w:val="TableParagraph"/>
            </w:pPr>
          </w:p>
          <w:p w14:paraId="70A5EF0D" w14:textId="77777777" w:rsidR="0046798B" w:rsidRDefault="0046798B">
            <w:pPr>
              <w:pStyle w:val="TableParagraph"/>
              <w:spacing w:before="3"/>
              <w:rPr>
                <w:sz w:val="19"/>
              </w:rPr>
            </w:pPr>
          </w:p>
          <w:p w14:paraId="28D0CC85" w14:textId="77777777" w:rsidR="0046798B" w:rsidRDefault="00903B5C">
            <w:pPr>
              <w:pStyle w:val="TableParagraph"/>
              <w:spacing w:before="1"/>
              <w:ind w:left="114"/>
              <w:rPr>
                <w:sz w:val="20"/>
              </w:rPr>
            </w:pPr>
            <w:r>
              <w:rPr>
                <w:sz w:val="20"/>
              </w:rPr>
              <w:t>Kim, Sung Eun, and Johannes Urpelainen. “Environmental Public Opinion in</w:t>
            </w:r>
          </w:p>
          <w:p w14:paraId="6D42DB76" w14:textId="77777777" w:rsidR="0046798B" w:rsidRDefault="00903B5C">
            <w:pPr>
              <w:pStyle w:val="TableParagraph"/>
              <w:ind w:left="114"/>
              <w:rPr>
                <w:sz w:val="20"/>
              </w:rPr>
            </w:pPr>
            <w:r>
              <w:rPr>
                <w:sz w:val="20"/>
              </w:rPr>
              <w:t xml:space="preserve">U.S. States, 1973–2012.” </w:t>
            </w:r>
            <w:r>
              <w:rPr>
                <w:i/>
                <w:sz w:val="20"/>
              </w:rPr>
              <w:t xml:space="preserve">Environmental Politics </w:t>
            </w:r>
            <w:r>
              <w:rPr>
                <w:sz w:val="20"/>
              </w:rPr>
              <w:t>27.1 (2017): 89–114.</w:t>
            </w:r>
          </w:p>
        </w:tc>
      </w:tr>
      <w:tr w:rsidR="0046798B" w14:paraId="349029E9" w14:textId="77777777">
        <w:trPr>
          <w:trHeight w:val="1925"/>
        </w:trPr>
        <w:tc>
          <w:tcPr>
            <w:tcW w:w="1711" w:type="dxa"/>
          </w:tcPr>
          <w:p w14:paraId="0BBB3D1E" w14:textId="77777777" w:rsidR="0046798B" w:rsidRDefault="0046798B">
            <w:pPr>
              <w:pStyle w:val="TableParagraph"/>
            </w:pPr>
          </w:p>
          <w:p w14:paraId="2924589B" w14:textId="77777777" w:rsidR="0046798B" w:rsidRDefault="0046798B">
            <w:pPr>
              <w:pStyle w:val="TableParagraph"/>
            </w:pPr>
          </w:p>
          <w:p w14:paraId="7267E854" w14:textId="77777777" w:rsidR="0046798B" w:rsidRDefault="0046798B">
            <w:pPr>
              <w:pStyle w:val="TableParagraph"/>
              <w:spacing w:before="4"/>
              <w:rPr>
                <w:sz w:val="29"/>
              </w:rPr>
            </w:pPr>
          </w:p>
          <w:p w14:paraId="1748DD4C" w14:textId="77777777" w:rsidR="0046798B" w:rsidRDefault="00903B5C">
            <w:pPr>
              <w:pStyle w:val="TableParagraph"/>
              <w:ind w:left="115"/>
              <w:rPr>
                <w:b/>
                <w:sz w:val="20"/>
              </w:rPr>
            </w:pPr>
            <w:r>
              <w:rPr>
                <w:b/>
                <w:sz w:val="20"/>
              </w:rPr>
              <w:t>pro_aid</w:t>
            </w:r>
          </w:p>
        </w:tc>
        <w:tc>
          <w:tcPr>
            <w:tcW w:w="1596" w:type="dxa"/>
          </w:tcPr>
          <w:p w14:paraId="615E6CF9" w14:textId="77777777" w:rsidR="0046798B" w:rsidRDefault="0046798B">
            <w:pPr>
              <w:pStyle w:val="TableParagraph"/>
            </w:pPr>
          </w:p>
          <w:p w14:paraId="7E87676B" w14:textId="77777777" w:rsidR="0046798B" w:rsidRDefault="0046798B">
            <w:pPr>
              <w:pStyle w:val="TableParagraph"/>
            </w:pPr>
          </w:p>
          <w:p w14:paraId="2B976158" w14:textId="77777777" w:rsidR="0046798B" w:rsidRDefault="0046798B">
            <w:pPr>
              <w:pStyle w:val="TableParagraph"/>
              <w:spacing w:before="4"/>
              <w:rPr>
                <w:sz w:val="19"/>
              </w:rPr>
            </w:pPr>
          </w:p>
          <w:p w14:paraId="697E2EFA" w14:textId="77777777" w:rsidR="0046798B" w:rsidRDefault="00903B5C">
            <w:pPr>
              <w:pStyle w:val="TableParagraph"/>
              <w:ind w:left="114" w:right="235"/>
              <w:rPr>
                <w:sz w:val="20"/>
              </w:rPr>
            </w:pPr>
            <w:r>
              <w:rPr>
                <w:sz w:val="20"/>
              </w:rPr>
              <w:t>Pro-foreign aid opinion</w:t>
            </w:r>
          </w:p>
        </w:tc>
        <w:tc>
          <w:tcPr>
            <w:tcW w:w="1285" w:type="dxa"/>
          </w:tcPr>
          <w:p w14:paraId="28DD2E00" w14:textId="77777777" w:rsidR="0046798B" w:rsidRDefault="0046798B">
            <w:pPr>
              <w:pStyle w:val="TableParagraph"/>
            </w:pPr>
          </w:p>
          <w:p w14:paraId="483A6F2C" w14:textId="77777777" w:rsidR="0046798B" w:rsidRDefault="0046798B">
            <w:pPr>
              <w:pStyle w:val="TableParagraph"/>
            </w:pPr>
          </w:p>
          <w:p w14:paraId="04C7B52B" w14:textId="77777777" w:rsidR="0046798B" w:rsidRDefault="0046798B">
            <w:pPr>
              <w:pStyle w:val="TableParagraph"/>
              <w:spacing w:before="4"/>
              <w:rPr>
                <w:sz w:val="29"/>
              </w:rPr>
            </w:pPr>
          </w:p>
          <w:p w14:paraId="7C7DDF5A" w14:textId="77777777" w:rsidR="0046798B" w:rsidRDefault="00903B5C">
            <w:pPr>
              <w:pStyle w:val="TableParagraph"/>
              <w:ind w:left="114"/>
              <w:rPr>
                <w:sz w:val="20"/>
              </w:rPr>
            </w:pPr>
            <w:r>
              <w:rPr>
                <w:sz w:val="20"/>
              </w:rPr>
              <w:t>1973–2012</w:t>
            </w:r>
          </w:p>
        </w:tc>
        <w:tc>
          <w:tcPr>
            <w:tcW w:w="3421" w:type="dxa"/>
          </w:tcPr>
          <w:p w14:paraId="03EE6A66" w14:textId="77777777" w:rsidR="0046798B" w:rsidRDefault="00903B5C">
            <w:pPr>
              <w:pStyle w:val="TableParagraph"/>
              <w:spacing w:before="38"/>
              <w:ind w:left="114" w:right="216"/>
              <w:jc w:val="both"/>
              <w:rPr>
                <w:sz w:val="20"/>
              </w:rPr>
            </w:pPr>
            <w:r>
              <w:rPr>
                <w:sz w:val="20"/>
              </w:rPr>
              <w:t>Estimated proportion of citizenry who believe we are spending “too little” on foreign aid</w:t>
            </w:r>
          </w:p>
          <w:p w14:paraId="6C747157" w14:textId="77777777" w:rsidR="0046798B" w:rsidRDefault="0046798B">
            <w:pPr>
              <w:pStyle w:val="TableParagraph"/>
              <w:rPr>
                <w:sz w:val="20"/>
              </w:rPr>
            </w:pPr>
          </w:p>
          <w:p w14:paraId="4A2D0FD7" w14:textId="77777777" w:rsidR="0046798B" w:rsidRDefault="00903B5C">
            <w:pPr>
              <w:pStyle w:val="TableParagraph"/>
              <w:ind w:left="114"/>
              <w:rPr>
                <w:sz w:val="20"/>
              </w:rPr>
            </w:pPr>
            <w:r>
              <w:rPr>
                <w:sz w:val="20"/>
              </w:rPr>
              <w:t>(note: proportion for state-year is estimated by national sample from the General Social Survey and multilevel regression and post-stratification)</w:t>
            </w:r>
          </w:p>
        </w:tc>
        <w:tc>
          <w:tcPr>
            <w:tcW w:w="6482" w:type="dxa"/>
          </w:tcPr>
          <w:p w14:paraId="3DC5810C" w14:textId="77777777" w:rsidR="0046798B" w:rsidRDefault="0046798B">
            <w:pPr>
              <w:pStyle w:val="TableParagraph"/>
            </w:pPr>
          </w:p>
          <w:p w14:paraId="5CF4904F" w14:textId="77777777" w:rsidR="0046798B" w:rsidRDefault="0046798B">
            <w:pPr>
              <w:pStyle w:val="TableParagraph"/>
            </w:pPr>
          </w:p>
          <w:p w14:paraId="2D511692" w14:textId="77777777" w:rsidR="0046798B" w:rsidRDefault="0046798B">
            <w:pPr>
              <w:pStyle w:val="TableParagraph"/>
              <w:spacing w:before="4"/>
              <w:rPr>
                <w:sz w:val="19"/>
              </w:rPr>
            </w:pPr>
          </w:p>
          <w:p w14:paraId="1ADB99C9" w14:textId="77777777" w:rsidR="0046798B" w:rsidRDefault="00903B5C">
            <w:pPr>
              <w:pStyle w:val="TableParagraph"/>
              <w:ind w:left="114"/>
              <w:rPr>
                <w:sz w:val="20"/>
              </w:rPr>
            </w:pPr>
            <w:r>
              <w:rPr>
                <w:sz w:val="20"/>
              </w:rPr>
              <w:t>Kim, Sung Eun, and Johannes Urpelainen. “Environmental Public Opinion in</w:t>
            </w:r>
          </w:p>
          <w:p w14:paraId="75A77714" w14:textId="77777777" w:rsidR="0046798B" w:rsidRDefault="00903B5C">
            <w:pPr>
              <w:pStyle w:val="TableParagraph"/>
              <w:ind w:left="114"/>
              <w:rPr>
                <w:sz w:val="20"/>
              </w:rPr>
            </w:pPr>
            <w:r>
              <w:rPr>
                <w:sz w:val="20"/>
              </w:rPr>
              <w:t xml:space="preserve">U.S. States, 1973–2012.” </w:t>
            </w:r>
            <w:r>
              <w:rPr>
                <w:i/>
                <w:sz w:val="20"/>
              </w:rPr>
              <w:t xml:space="preserve">Environmental Politics </w:t>
            </w:r>
            <w:r>
              <w:rPr>
                <w:sz w:val="20"/>
              </w:rPr>
              <w:t>27.1 (2017): 89–114.</w:t>
            </w:r>
          </w:p>
        </w:tc>
      </w:tr>
    </w:tbl>
    <w:p w14:paraId="19A49C00" w14:textId="77777777" w:rsidR="0046798B" w:rsidRDefault="0046798B">
      <w:pPr>
        <w:rPr>
          <w:sz w:val="20"/>
        </w:rPr>
        <w:sectPr w:rsidR="0046798B">
          <w:pgSz w:w="15840" w:h="12240" w:orient="landscape"/>
          <w:pgMar w:top="1220" w:right="300" w:bottom="980" w:left="820" w:header="730" w:footer="787" w:gutter="0"/>
          <w:cols w:space="720"/>
        </w:sectPr>
      </w:pPr>
    </w:p>
    <w:p w14:paraId="5B0162FF"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31BD2365" w14:textId="77777777">
        <w:trPr>
          <w:trHeight w:val="1926"/>
        </w:trPr>
        <w:tc>
          <w:tcPr>
            <w:tcW w:w="1711" w:type="dxa"/>
          </w:tcPr>
          <w:p w14:paraId="5F3FB6EA" w14:textId="77777777" w:rsidR="0046798B" w:rsidRDefault="0046798B">
            <w:pPr>
              <w:pStyle w:val="TableParagraph"/>
            </w:pPr>
          </w:p>
          <w:p w14:paraId="2A590687" w14:textId="77777777" w:rsidR="0046798B" w:rsidRDefault="0046798B">
            <w:pPr>
              <w:pStyle w:val="TableParagraph"/>
            </w:pPr>
          </w:p>
          <w:p w14:paraId="345C2284" w14:textId="77777777" w:rsidR="0046798B" w:rsidRDefault="0046798B">
            <w:pPr>
              <w:pStyle w:val="TableParagraph"/>
              <w:spacing w:before="9"/>
              <w:rPr>
                <w:sz w:val="29"/>
              </w:rPr>
            </w:pPr>
          </w:p>
          <w:p w14:paraId="4DA4E1A4" w14:textId="77777777" w:rsidR="0046798B" w:rsidRDefault="00903B5C">
            <w:pPr>
              <w:pStyle w:val="TableParagraph"/>
              <w:ind w:left="115"/>
              <w:rPr>
                <w:b/>
                <w:sz w:val="20"/>
              </w:rPr>
            </w:pPr>
            <w:r>
              <w:rPr>
                <w:b/>
                <w:sz w:val="20"/>
              </w:rPr>
              <w:t>anti_aid</w:t>
            </w:r>
          </w:p>
        </w:tc>
        <w:tc>
          <w:tcPr>
            <w:tcW w:w="1596" w:type="dxa"/>
          </w:tcPr>
          <w:p w14:paraId="4971398D" w14:textId="77777777" w:rsidR="0046798B" w:rsidRDefault="0046798B">
            <w:pPr>
              <w:pStyle w:val="TableParagraph"/>
            </w:pPr>
          </w:p>
          <w:p w14:paraId="17B9C26C" w14:textId="77777777" w:rsidR="0046798B" w:rsidRDefault="0046798B">
            <w:pPr>
              <w:pStyle w:val="TableParagraph"/>
            </w:pPr>
          </w:p>
          <w:p w14:paraId="4C6467CD" w14:textId="77777777" w:rsidR="0046798B" w:rsidRDefault="0046798B">
            <w:pPr>
              <w:pStyle w:val="TableParagraph"/>
              <w:spacing w:before="9"/>
              <w:rPr>
                <w:sz w:val="19"/>
              </w:rPr>
            </w:pPr>
          </w:p>
          <w:p w14:paraId="42EEF0A6" w14:textId="77777777" w:rsidR="0046798B" w:rsidRDefault="00903B5C">
            <w:pPr>
              <w:pStyle w:val="TableParagraph"/>
              <w:ind w:left="114"/>
              <w:rPr>
                <w:sz w:val="20"/>
              </w:rPr>
            </w:pPr>
            <w:r>
              <w:rPr>
                <w:sz w:val="20"/>
              </w:rPr>
              <w:t>Anti-foreign aid opinion</w:t>
            </w:r>
          </w:p>
        </w:tc>
        <w:tc>
          <w:tcPr>
            <w:tcW w:w="1285" w:type="dxa"/>
          </w:tcPr>
          <w:p w14:paraId="6392ED97" w14:textId="77777777" w:rsidR="0046798B" w:rsidRDefault="0046798B">
            <w:pPr>
              <w:pStyle w:val="TableParagraph"/>
            </w:pPr>
          </w:p>
          <w:p w14:paraId="16B1992B" w14:textId="77777777" w:rsidR="0046798B" w:rsidRDefault="0046798B">
            <w:pPr>
              <w:pStyle w:val="TableParagraph"/>
            </w:pPr>
          </w:p>
          <w:p w14:paraId="364DBBE5" w14:textId="77777777" w:rsidR="0046798B" w:rsidRDefault="0046798B">
            <w:pPr>
              <w:pStyle w:val="TableParagraph"/>
              <w:spacing w:before="9"/>
              <w:rPr>
                <w:sz w:val="29"/>
              </w:rPr>
            </w:pPr>
          </w:p>
          <w:p w14:paraId="5F2E1FA6" w14:textId="77777777" w:rsidR="0046798B" w:rsidRDefault="00903B5C">
            <w:pPr>
              <w:pStyle w:val="TableParagraph"/>
              <w:ind w:left="114"/>
              <w:rPr>
                <w:sz w:val="20"/>
              </w:rPr>
            </w:pPr>
            <w:r>
              <w:rPr>
                <w:sz w:val="20"/>
              </w:rPr>
              <w:t>1973–2012</w:t>
            </w:r>
          </w:p>
        </w:tc>
        <w:tc>
          <w:tcPr>
            <w:tcW w:w="3421" w:type="dxa"/>
          </w:tcPr>
          <w:p w14:paraId="07810CE2" w14:textId="77777777" w:rsidR="0046798B" w:rsidRDefault="00903B5C">
            <w:pPr>
              <w:pStyle w:val="TableParagraph"/>
              <w:spacing w:before="43"/>
              <w:ind w:left="114" w:right="122"/>
              <w:rPr>
                <w:sz w:val="20"/>
              </w:rPr>
            </w:pPr>
            <w:r>
              <w:rPr>
                <w:sz w:val="20"/>
              </w:rPr>
              <w:t>Estimated proportion of citizenry who believe we are spending “too much” on foreign aid</w:t>
            </w:r>
          </w:p>
          <w:p w14:paraId="7CD7EAF4" w14:textId="77777777" w:rsidR="0046798B" w:rsidRDefault="0046798B">
            <w:pPr>
              <w:pStyle w:val="TableParagraph"/>
              <w:rPr>
                <w:sz w:val="20"/>
              </w:rPr>
            </w:pPr>
          </w:p>
          <w:p w14:paraId="025D7CF8" w14:textId="77777777" w:rsidR="0046798B" w:rsidRDefault="00903B5C">
            <w:pPr>
              <w:pStyle w:val="TableParagraph"/>
              <w:ind w:left="114"/>
              <w:rPr>
                <w:sz w:val="20"/>
              </w:rPr>
            </w:pPr>
            <w:r>
              <w:rPr>
                <w:sz w:val="20"/>
              </w:rPr>
              <w:t>(note: proportion for state-year is estimated by national sample from the General Social Survey and multilevel regression and post-stratification)</w:t>
            </w:r>
          </w:p>
        </w:tc>
        <w:tc>
          <w:tcPr>
            <w:tcW w:w="6482" w:type="dxa"/>
          </w:tcPr>
          <w:p w14:paraId="578FDFFA" w14:textId="77777777" w:rsidR="0046798B" w:rsidRDefault="0046798B">
            <w:pPr>
              <w:pStyle w:val="TableParagraph"/>
            </w:pPr>
          </w:p>
          <w:p w14:paraId="45906844" w14:textId="77777777" w:rsidR="0046798B" w:rsidRDefault="0046798B">
            <w:pPr>
              <w:pStyle w:val="TableParagraph"/>
            </w:pPr>
          </w:p>
          <w:p w14:paraId="4FFCDF81" w14:textId="77777777" w:rsidR="0046798B" w:rsidRDefault="0046798B">
            <w:pPr>
              <w:pStyle w:val="TableParagraph"/>
              <w:spacing w:before="9"/>
              <w:rPr>
                <w:sz w:val="19"/>
              </w:rPr>
            </w:pPr>
          </w:p>
          <w:p w14:paraId="331739CC" w14:textId="77777777" w:rsidR="0046798B" w:rsidRDefault="00903B5C">
            <w:pPr>
              <w:pStyle w:val="TableParagraph"/>
              <w:ind w:left="114"/>
              <w:rPr>
                <w:sz w:val="20"/>
              </w:rPr>
            </w:pPr>
            <w:r>
              <w:rPr>
                <w:sz w:val="20"/>
              </w:rPr>
              <w:t>Kim, Sung Eun, and Johannes Urpelainen. “Environmental Public Opinion in</w:t>
            </w:r>
          </w:p>
          <w:p w14:paraId="1D110A19" w14:textId="77777777" w:rsidR="0046798B" w:rsidRDefault="00903B5C">
            <w:pPr>
              <w:pStyle w:val="TableParagraph"/>
              <w:ind w:left="114"/>
              <w:rPr>
                <w:sz w:val="20"/>
              </w:rPr>
            </w:pPr>
            <w:r>
              <w:rPr>
                <w:sz w:val="20"/>
              </w:rPr>
              <w:t xml:space="preserve">U.S. States, 1973–2012.” </w:t>
            </w:r>
            <w:r>
              <w:rPr>
                <w:i/>
                <w:sz w:val="20"/>
              </w:rPr>
              <w:t xml:space="preserve">Environmental Politics </w:t>
            </w:r>
            <w:r>
              <w:rPr>
                <w:sz w:val="20"/>
              </w:rPr>
              <w:t>27.1 (2017): 89–114.</w:t>
            </w:r>
          </w:p>
        </w:tc>
      </w:tr>
      <w:tr w:rsidR="0046798B" w14:paraId="027D3287" w14:textId="77777777">
        <w:trPr>
          <w:trHeight w:val="1925"/>
        </w:trPr>
        <w:tc>
          <w:tcPr>
            <w:tcW w:w="1711" w:type="dxa"/>
          </w:tcPr>
          <w:p w14:paraId="4003AA04" w14:textId="77777777" w:rsidR="0046798B" w:rsidRDefault="0046798B">
            <w:pPr>
              <w:pStyle w:val="TableParagraph"/>
            </w:pPr>
          </w:p>
          <w:p w14:paraId="679E2A80" w14:textId="77777777" w:rsidR="0046798B" w:rsidRDefault="0046798B">
            <w:pPr>
              <w:pStyle w:val="TableParagraph"/>
            </w:pPr>
          </w:p>
          <w:p w14:paraId="39D1628B" w14:textId="77777777" w:rsidR="0046798B" w:rsidRDefault="0046798B">
            <w:pPr>
              <w:pStyle w:val="TableParagraph"/>
              <w:spacing w:before="9"/>
              <w:rPr>
                <w:sz w:val="29"/>
              </w:rPr>
            </w:pPr>
          </w:p>
          <w:p w14:paraId="30BE3382" w14:textId="77777777" w:rsidR="0046798B" w:rsidRDefault="00903B5C">
            <w:pPr>
              <w:pStyle w:val="TableParagraph"/>
              <w:ind w:left="115"/>
              <w:rPr>
                <w:b/>
                <w:sz w:val="20"/>
              </w:rPr>
            </w:pPr>
            <w:r>
              <w:rPr>
                <w:b/>
                <w:sz w:val="20"/>
              </w:rPr>
              <w:t>neutral_aid</w:t>
            </w:r>
          </w:p>
        </w:tc>
        <w:tc>
          <w:tcPr>
            <w:tcW w:w="1596" w:type="dxa"/>
          </w:tcPr>
          <w:p w14:paraId="0BCAC0DF" w14:textId="77777777" w:rsidR="0046798B" w:rsidRDefault="0046798B">
            <w:pPr>
              <w:pStyle w:val="TableParagraph"/>
            </w:pPr>
          </w:p>
          <w:p w14:paraId="7C55D8CA" w14:textId="77777777" w:rsidR="0046798B" w:rsidRDefault="0046798B">
            <w:pPr>
              <w:pStyle w:val="TableParagraph"/>
            </w:pPr>
          </w:p>
          <w:p w14:paraId="046ABCEA" w14:textId="77777777" w:rsidR="0046798B" w:rsidRDefault="0046798B">
            <w:pPr>
              <w:pStyle w:val="TableParagraph"/>
              <w:spacing w:before="9"/>
              <w:rPr>
                <w:sz w:val="19"/>
              </w:rPr>
            </w:pPr>
          </w:p>
          <w:p w14:paraId="0DDE167B" w14:textId="77777777" w:rsidR="0046798B" w:rsidRDefault="00903B5C">
            <w:pPr>
              <w:pStyle w:val="TableParagraph"/>
              <w:ind w:left="114" w:right="224"/>
              <w:rPr>
                <w:sz w:val="20"/>
              </w:rPr>
            </w:pPr>
            <w:r>
              <w:rPr>
                <w:sz w:val="20"/>
              </w:rPr>
              <w:t>Neutral foreign aid opinion</w:t>
            </w:r>
          </w:p>
        </w:tc>
        <w:tc>
          <w:tcPr>
            <w:tcW w:w="1285" w:type="dxa"/>
          </w:tcPr>
          <w:p w14:paraId="1C112C60" w14:textId="77777777" w:rsidR="0046798B" w:rsidRDefault="0046798B">
            <w:pPr>
              <w:pStyle w:val="TableParagraph"/>
            </w:pPr>
          </w:p>
          <w:p w14:paraId="59E0217C" w14:textId="77777777" w:rsidR="0046798B" w:rsidRDefault="0046798B">
            <w:pPr>
              <w:pStyle w:val="TableParagraph"/>
            </w:pPr>
          </w:p>
          <w:p w14:paraId="06717E3F" w14:textId="77777777" w:rsidR="0046798B" w:rsidRDefault="0046798B">
            <w:pPr>
              <w:pStyle w:val="TableParagraph"/>
              <w:spacing w:before="9"/>
              <w:rPr>
                <w:sz w:val="29"/>
              </w:rPr>
            </w:pPr>
          </w:p>
          <w:p w14:paraId="4B04F574" w14:textId="77777777" w:rsidR="0046798B" w:rsidRDefault="00903B5C">
            <w:pPr>
              <w:pStyle w:val="TableParagraph"/>
              <w:ind w:left="114"/>
              <w:rPr>
                <w:sz w:val="20"/>
              </w:rPr>
            </w:pPr>
            <w:r>
              <w:rPr>
                <w:sz w:val="20"/>
              </w:rPr>
              <w:t>1973–2012</w:t>
            </w:r>
          </w:p>
        </w:tc>
        <w:tc>
          <w:tcPr>
            <w:tcW w:w="3421" w:type="dxa"/>
          </w:tcPr>
          <w:p w14:paraId="18493052" w14:textId="77777777" w:rsidR="0046798B" w:rsidRDefault="00903B5C">
            <w:pPr>
              <w:pStyle w:val="TableParagraph"/>
              <w:spacing w:before="43"/>
              <w:ind w:left="114" w:right="150"/>
              <w:rPr>
                <w:sz w:val="20"/>
              </w:rPr>
            </w:pPr>
            <w:r>
              <w:rPr>
                <w:sz w:val="20"/>
              </w:rPr>
              <w:t>Estimated proportion of citizenry who believe we are spending “about the right amount” on foreign aid</w:t>
            </w:r>
          </w:p>
          <w:p w14:paraId="4ACF70B6" w14:textId="77777777" w:rsidR="0046798B" w:rsidRDefault="0046798B">
            <w:pPr>
              <w:pStyle w:val="TableParagraph"/>
              <w:rPr>
                <w:sz w:val="20"/>
              </w:rPr>
            </w:pPr>
          </w:p>
          <w:p w14:paraId="1323D56E" w14:textId="77777777" w:rsidR="0046798B" w:rsidRDefault="00903B5C">
            <w:pPr>
              <w:pStyle w:val="TableParagraph"/>
              <w:ind w:left="114"/>
              <w:rPr>
                <w:sz w:val="20"/>
              </w:rPr>
            </w:pPr>
            <w:r>
              <w:rPr>
                <w:sz w:val="20"/>
              </w:rPr>
              <w:t>(note: proportion for state-year is estimated by national sample from the General Social Survey and multilevel regression and post-stratification)</w:t>
            </w:r>
          </w:p>
        </w:tc>
        <w:tc>
          <w:tcPr>
            <w:tcW w:w="6482" w:type="dxa"/>
          </w:tcPr>
          <w:p w14:paraId="60BF923C" w14:textId="77777777" w:rsidR="0046798B" w:rsidRDefault="0046798B">
            <w:pPr>
              <w:pStyle w:val="TableParagraph"/>
            </w:pPr>
          </w:p>
          <w:p w14:paraId="3059E742" w14:textId="77777777" w:rsidR="0046798B" w:rsidRDefault="0046798B">
            <w:pPr>
              <w:pStyle w:val="TableParagraph"/>
            </w:pPr>
          </w:p>
          <w:p w14:paraId="04099231" w14:textId="77777777" w:rsidR="0046798B" w:rsidRDefault="0046798B">
            <w:pPr>
              <w:pStyle w:val="TableParagraph"/>
              <w:spacing w:before="9"/>
              <w:rPr>
                <w:sz w:val="19"/>
              </w:rPr>
            </w:pPr>
          </w:p>
          <w:p w14:paraId="7E3A12A7" w14:textId="77777777" w:rsidR="0046798B" w:rsidRDefault="00903B5C">
            <w:pPr>
              <w:pStyle w:val="TableParagraph"/>
              <w:ind w:left="114"/>
              <w:rPr>
                <w:sz w:val="20"/>
              </w:rPr>
            </w:pPr>
            <w:r>
              <w:rPr>
                <w:sz w:val="20"/>
              </w:rPr>
              <w:t>Kim, Sung Eun, and Johannes Urpelainen. “Environmental Public Opinion in</w:t>
            </w:r>
          </w:p>
          <w:p w14:paraId="14EA7AFF" w14:textId="77777777" w:rsidR="0046798B" w:rsidRDefault="00903B5C">
            <w:pPr>
              <w:pStyle w:val="TableParagraph"/>
              <w:ind w:left="114"/>
              <w:rPr>
                <w:sz w:val="20"/>
              </w:rPr>
            </w:pPr>
            <w:r>
              <w:rPr>
                <w:sz w:val="20"/>
              </w:rPr>
              <w:t xml:space="preserve">U.S. States, 1973–2012.” </w:t>
            </w:r>
            <w:r>
              <w:rPr>
                <w:i/>
                <w:sz w:val="20"/>
              </w:rPr>
              <w:t xml:space="preserve">Environmental Politics </w:t>
            </w:r>
            <w:r>
              <w:rPr>
                <w:sz w:val="20"/>
              </w:rPr>
              <w:t>27.1 (2017): 89–114.</w:t>
            </w:r>
          </w:p>
        </w:tc>
      </w:tr>
      <w:tr w:rsidR="0046798B" w14:paraId="6B4826F9" w14:textId="77777777">
        <w:trPr>
          <w:trHeight w:val="1930"/>
        </w:trPr>
        <w:tc>
          <w:tcPr>
            <w:tcW w:w="1711" w:type="dxa"/>
          </w:tcPr>
          <w:p w14:paraId="180806C3" w14:textId="77777777" w:rsidR="0046798B" w:rsidRDefault="0046798B">
            <w:pPr>
              <w:pStyle w:val="TableParagraph"/>
            </w:pPr>
          </w:p>
          <w:p w14:paraId="06F836A5" w14:textId="77777777" w:rsidR="0046798B" w:rsidRDefault="0046798B">
            <w:pPr>
              <w:pStyle w:val="TableParagraph"/>
            </w:pPr>
          </w:p>
          <w:p w14:paraId="7B550D36" w14:textId="77777777" w:rsidR="0046798B" w:rsidRDefault="0046798B">
            <w:pPr>
              <w:pStyle w:val="TableParagraph"/>
              <w:spacing w:before="9"/>
              <w:rPr>
                <w:sz w:val="29"/>
              </w:rPr>
            </w:pPr>
          </w:p>
          <w:p w14:paraId="08E8D671" w14:textId="77777777" w:rsidR="0046798B" w:rsidRDefault="00903B5C">
            <w:pPr>
              <w:pStyle w:val="TableParagraph"/>
              <w:ind w:left="115"/>
              <w:rPr>
                <w:b/>
                <w:sz w:val="20"/>
              </w:rPr>
            </w:pPr>
            <w:r>
              <w:rPr>
                <w:b/>
                <w:sz w:val="20"/>
              </w:rPr>
              <w:t>pro_defense</w:t>
            </w:r>
          </w:p>
        </w:tc>
        <w:tc>
          <w:tcPr>
            <w:tcW w:w="1596" w:type="dxa"/>
          </w:tcPr>
          <w:p w14:paraId="67777069" w14:textId="77777777" w:rsidR="0046798B" w:rsidRDefault="0046798B">
            <w:pPr>
              <w:pStyle w:val="TableParagraph"/>
            </w:pPr>
          </w:p>
          <w:p w14:paraId="6C20514C" w14:textId="77777777" w:rsidR="0046798B" w:rsidRDefault="0046798B">
            <w:pPr>
              <w:pStyle w:val="TableParagraph"/>
            </w:pPr>
          </w:p>
          <w:p w14:paraId="2EDBB2B1" w14:textId="77777777" w:rsidR="0046798B" w:rsidRDefault="0046798B">
            <w:pPr>
              <w:pStyle w:val="TableParagraph"/>
              <w:spacing w:before="9"/>
              <w:rPr>
                <w:sz w:val="19"/>
              </w:rPr>
            </w:pPr>
          </w:p>
          <w:p w14:paraId="3D63014C" w14:textId="77777777" w:rsidR="0046798B" w:rsidRDefault="00903B5C">
            <w:pPr>
              <w:pStyle w:val="TableParagraph"/>
              <w:ind w:left="114" w:right="496"/>
              <w:rPr>
                <w:sz w:val="20"/>
              </w:rPr>
            </w:pPr>
            <w:r>
              <w:rPr>
                <w:sz w:val="20"/>
              </w:rPr>
              <w:t>Pro-defense opinion</w:t>
            </w:r>
          </w:p>
        </w:tc>
        <w:tc>
          <w:tcPr>
            <w:tcW w:w="1285" w:type="dxa"/>
          </w:tcPr>
          <w:p w14:paraId="1A35A803" w14:textId="77777777" w:rsidR="0046798B" w:rsidRDefault="0046798B">
            <w:pPr>
              <w:pStyle w:val="TableParagraph"/>
            </w:pPr>
          </w:p>
          <w:p w14:paraId="177B480B" w14:textId="77777777" w:rsidR="0046798B" w:rsidRDefault="0046798B">
            <w:pPr>
              <w:pStyle w:val="TableParagraph"/>
            </w:pPr>
          </w:p>
          <w:p w14:paraId="6F879660" w14:textId="77777777" w:rsidR="0046798B" w:rsidRDefault="0046798B">
            <w:pPr>
              <w:pStyle w:val="TableParagraph"/>
              <w:spacing w:before="9"/>
              <w:rPr>
                <w:sz w:val="29"/>
              </w:rPr>
            </w:pPr>
          </w:p>
          <w:p w14:paraId="3FA0CC8C" w14:textId="77777777" w:rsidR="0046798B" w:rsidRDefault="00903B5C">
            <w:pPr>
              <w:pStyle w:val="TableParagraph"/>
              <w:ind w:left="114"/>
              <w:rPr>
                <w:sz w:val="20"/>
              </w:rPr>
            </w:pPr>
            <w:r>
              <w:rPr>
                <w:sz w:val="20"/>
              </w:rPr>
              <w:t>1973–2012</w:t>
            </w:r>
          </w:p>
        </w:tc>
        <w:tc>
          <w:tcPr>
            <w:tcW w:w="3421" w:type="dxa"/>
          </w:tcPr>
          <w:p w14:paraId="16D3F173" w14:textId="77777777" w:rsidR="0046798B" w:rsidRDefault="00903B5C">
            <w:pPr>
              <w:pStyle w:val="TableParagraph"/>
              <w:spacing w:before="43"/>
              <w:ind w:left="114" w:right="216"/>
              <w:jc w:val="both"/>
              <w:rPr>
                <w:sz w:val="20"/>
              </w:rPr>
            </w:pPr>
            <w:r>
              <w:rPr>
                <w:sz w:val="20"/>
              </w:rPr>
              <w:t>Estimated proportion of citizenry who believe we are spending “too little” on defense</w:t>
            </w:r>
          </w:p>
          <w:p w14:paraId="5BE29368" w14:textId="77777777" w:rsidR="0046798B" w:rsidRDefault="0046798B">
            <w:pPr>
              <w:pStyle w:val="TableParagraph"/>
              <w:rPr>
                <w:sz w:val="20"/>
              </w:rPr>
            </w:pPr>
          </w:p>
          <w:p w14:paraId="1E3DD353" w14:textId="77777777" w:rsidR="0046798B" w:rsidRDefault="00903B5C">
            <w:pPr>
              <w:pStyle w:val="TableParagraph"/>
              <w:ind w:left="114"/>
              <w:rPr>
                <w:sz w:val="20"/>
              </w:rPr>
            </w:pPr>
            <w:r>
              <w:rPr>
                <w:sz w:val="20"/>
              </w:rPr>
              <w:t>(note: proportion for state-year is estimated by national sample from the General Social Survey and multilevel regression and post-stratification)</w:t>
            </w:r>
          </w:p>
        </w:tc>
        <w:tc>
          <w:tcPr>
            <w:tcW w:w="6482" w:type="dxa"/>
          </w:tcPr>
          <w:p w14:paraId="44E0E920" w14:textId="77777777" w:rsidR="0046798B" w:rsidRDefault="0046798B">
            <w:pPr>
              <w:pStyle w:val="TableParagraph"/>
            </w:pPr>
          </w:p>
          <w:p w14:paraId="035C3F87" w14:textId="77777777" w:rsidR="0046798B" w:rsidRDefault="0046798B">
            <w:pPr>
              <w:pStyle w:val="TableParagraph"/>
            </w:pPr>
          </w:p>
          <w:p w14:paraId="04FDDBCA" w14:textId="77777777" w:rsidR="0046798B" w:rsidRDefault="0046798B">
            <w:pPr>
              <w:pStyle w:val="TableParagraph"/>
              <w:spacing w:before="9"/>
              <w:rPr>
                <w:sz w:val="19"/>
              </w:rPr>
            </w:pPr>
          </w:p>
          <w:p w14:paraId="19E57B46" w14:textId="77777777" w:rsidR="0046798B" w:rsidRDefault="00903B5C">
            <w:pPr>
              <w:pStyle w:val="TableParagraph"/>
              <w:ind w:left="114"/>
              <w:rPr>
                <w:sz w:val="20"/>
              </w:rPr>
            </w:pPr>
            <w:r>
              <w:rPr>
                <w:sz w:val="20"/>
              </w:rPr>
              <w:t>Kim, Sung Eun, and Johannes Urpelainen. “Environmental Public Opinion in</w:t>
            </w:r>
          </w:p>
          <w:p w14:paraId="13B6EA53" w14:textId="77777777" w:rsidR="0046798B" w:rsidRDefault="00903B5C">
            <w:pPr>
              <w:pStyle w:val="TableParagraph"/>
              <w:ind w:left="114"/>
              <w:rPr>
                <w:sz w:val="20"/>
              </w:rPr>
            </w:pPr>
            <w:r>
              <w:rPr>
                <w:sz w:val="20"/>
              </w:rPr>
              <w:t xml:space="preserve">U.S. States, 1973–2012.” </w:t>
            </w:r>
            <w:r>
              <w:rPr>
                <w:i/>
                <w:sz w:val="20"/>
              </w:rPr>
              <w:t xml:space="preserve">Environmental Politics </w:t>
            </w:r>
            <w:r>
              <w:rPr>
                <w:sz w:val="20"/>
              </w:rPr>
              <w:t>27.1 (2017): 89–114.</w:t>
            </w:r>
          </w:p>
        </w:tc>
      </w:tr>
      <w:tr w:rsidR="0046798B" w14:paraId="54086A87" w14:textId="77777777">
        <w:trPr>
          <w:trHeight w:val="1925"/>
        </w:trPr>
        <w:tc>
          <w:tcPr>
            <w:tcW w:w="1711" w:type="dxa"/>
          </w:tcPr>
          <w:p w14:paraId="4A0C20D5" w14:textId="77777777" w:rsidR="0046798B" w:rsidRDefault="0046798B">
            <w:pPr>
              <w:pStyle w:val="TableParagraph"/>
            </w:pPr>
          </w:p>
          <w:p w14:paraId="4E546751" w14:textId="77777777" w:rsidR="0046798B" w:rsidRDefault="0046798B">
            <w:pPr>
              <w:pStyle w:val="TableParagraph"/>
            </w:pPr>
          </w:p>
          <w:p w14:paraId="170C6366" w14:textId="77777777" w:rsidR="0046798B" w:rsidRDefault="0046798B">
            <w:pPr>
              <w:pStyle w:val="TableParagraph"/>
              <w:spacing w:before="4"/>
              <w:rPr>
                <w:sz w:val="29"/>
              </w:rPr>
            </w:pPr>
          </w:p>
          <w:p w14:paraId="514DF2C8" w14:textId="77777777" w:rsidR="0046798B" w:rsidRDefault="00903B5C">
            <w:pPr>
              <w:pStyle w:val="TableParagraph"/>
              <w:ind w:left="115"/>
              <w:rPr>
                <w:b/>
                <w:sz w:val="20"/>
              </w:rPr>
            </w:pPr>
            <w:r>
              <w:rPr>
                <w:b/>
                <w:sz w:val="20"/>
              </w:rPr>
              <w:t>anti_defense</w:t>
            </w:r>
          </w:p>
        </w:tc>
        <w:tc>
          <w:tcPr>
            <w:tcW w:w="1596" w:type="dxa"/>
          </w:tcPr>
          <w:p w14:paraId="3667BB5F" w14:textId="77777777" w:rsidR="0046798B" w:rsidRDefault="0046798B">
            <w:pPr>
              <w:pStyle w:val="TableParagraph"/>
            </w:pPr>
          </w:p>
          <w:p w14:paraId="448C07C0" w14:textId="77777777" w:rsidR="0046798B" w:rsidRDefault="0046798B">
            <w:pPr>
              <w:pStyle w:val="TableParagraph"/>
            </w:pPr>
          </w:p>
          <w:p w14:paraId="4B121B3A" w14:textId="77777777" w:rsidR="0046798B" w:rsidRDefault="0046798B">
            <w:pPr>
              <w:pStyle w:val="TableParagraph"/>
              <w:spacing w:before="4"/>
              <w:rPr>
                <w:sz w:val="19"/>
              </w:rPr>
            </w:pPr>
          </w:p>
          <w:p w14:paraId="10AB6F0B" w14:textId="77777777" w:rsidR="0046798B" w:rsidRDefault="00903B5C">
            <w:pPr>
              <w:pStyle w:val="TableParagraph"/>
              <w:ind w:left="114" w:right="419"/>
              <w:rPr>
                <w:sz w:val="20"/>
              </w:rPr>
            </w:pPr>
            <w:r>
              <w:rPr>
                <w:sz w:val="20"/>
              </w:rPr>
              <w:t>Anti-defense opinion</w:t>
            </w:r>
          </w:p>
        </w:tc>
        <w:tc>
          <w:tcPr>
            <w:tcW w:w="1285" w:type="dxa"/>
          </w:tcPr>
          <w:p w14:paraId="1BCFACD9" w14:textId="77777777" w:rsidR="0046798B" w:rsidRDefault="0046798B">
            <w:pPr>
              <w:pStyle w:val="TableParagraph"/>
            </w:pPr>
          </w:p>
          <w:p w14:paraId="0926CEFC" w14:textId="77777777" w:rsidR="0046798B" w:rsidRDefault="0046798B">
            <w:pPr>
              <w:pStyle w:val="TableParagraph"/>
            </w:pPr>
          </w:p>
          <w:p w14:paraId="30DF5E55" w14:textId="77777777" w:rsidR="0046798B" w:rsidRDefault="0046798B">
            <w:pPr>
              <w:pStyle w:val="TableParagraph"/>
              <w:spacing w:before="4"/>
              <w:rPr>
                <w:sz w:val="29"/>
              </w:rPr>
            </w:pPr>
          </w:p>
          <w:p w14:paraId="0432B2FB" w14:textId="77777777" w:rsidR="0046798B" w:rsidRDefault="00903B5C">
            <w:pPr>
              <w:pStyle w:val="TableParagraph"/>
              <w:ind w:left="114"/>
              <w:rPr>
                <w:sz w:val="20"/>
              </w:rPr>
            </w:pPr>
            <w:r>
              <w:rPr>
                <w:sz w:val="20"/>
              </w:rPr>
              <w:t>1973–2012</w:t>
            </w:r>
          </w:p>
        </w:tc>
        <w:tc>
          <w:tcPr>
            <w:tcW w:w="3421" w:type="dxa"/>
          </w:tcPr>
          <w:p w14:paraId="28090154" w14:textId="77777777" w:rsidR="0046798B" w:rsidRDefault="00903B5C">
            <w:pPr>
              <w:pStyle w:val="TableParagraph"/>
              <w:spacing w:before="38"/>
              <w:ind w:left="114" w:right="122"/>
              <w:rPr>
                <w:sz w:val="20"/>
              </w:rPr>
            </w:pPr>
            <w:r>
              <w:rPr>
                <w:sz w:val="20"/>
              </w:rPr>
              <w:t>Estimated proportion of citizenry who believe we are spending “too much” on defense</w:t>
            </w:r>
          </w:p>
          <w:p w14:paraId="7C84CB8E" w14:textId="77777777" w:rsidR="0046798B" w:rsidRDefault="0046798B">
            <w:pPr>
              <w:pStyle w:val="TableParagraph"/>
              <w:rPr>
                <w:sz w:val="20"/>
              </w:rPr>
            </w:pPr>
          </w:p>
          <w:p w14:paraId="0D81F0D6" w14:textId="77777777" w:rsidR="0046798B" w:rsidRDefault="00903B5C">
            <w:pPr>
              <w:pStyle w:val="TableParagraph"/>
              <w:spacing w:before="1"/>
              <w:ind w:left="114"/>
              <w:rPr>
                <w:sz w:val="20"/>
              </w:rPr>
            </w:pPr>
            <w:r>
              <w:rPr>
                <w:sz w:val="20"/>
              </w:rPr>
              <w:t>(note: proportion for state-year is estimated by national sample from the General Social Survey and multilevel regression and post-stratification)</w:t>
            </w:r>
          </w:p>
        </w:tc>
        <w:tc>
          <w:tcPr>
            <w:tcW w:w="6482" w:type="dxa"/>
          </w:tcPr>
          <w:p w14:paraId="4D010B19" w14:textId="77777777" w:rsidR="0046798B" w:rsidRDefault="0046798B">
            <w:pPr>
              <w:pStyle w:val="TableParagraph"/>
            </w:pPr>
          </w:p>
          <w:p w14:paraId="3C139141" w14:textId="77777777" w:rsidR="0046798B" w:rsidRDefault="0046798B">
            <w:pPr>
              <w:pStyle w:val="TableParagraph"/>
            </w:pPr>
          </w:p>
          <w:p w14:paraId="55B835EA" w14:textId="77777777" w:rsidR="0046798B" w:rsidRDefault="0046798B">
            <w:pPr>
              <w:pStyle w:val="TableParagraph"/>
              <w:spacing w:before="4"/>
              <w:rPr>
                <w:sz w:val="19"/>
              </w:rPr>
            </w:pPr>
          </w:p>
          <w:p w14:paraId="16F940E8" w14:textId="77777777" w:rsidR="0046798B" w:rsidRDefault="00903B5C">
            <w:pPr>
              <w:pStyle w:val="TableParagraph"/>
              <w:ind w:left="114"/>
              <w:rPr>
                <w:sz w:val="20"/>
              </w:rPr>
            </w:pPr>
            <w:r>
              <w:rPr>
                <w:sz w:val="20"/>
              </w:rPr>
              <w:t>Kim, Sung Eun, and Johannes Urpelainen. “Environmental Public Opinion in</w:t>
            </w:r>
          </w:p>
          <w:p w14:paraId="733BB129" w14:textId="77777777" w:rsidR="0046798B" w:rsidRDefault="00903B5C">
            <w:pPr>
              <w:pStyle w:val="TableParagraph"/>
              <w:ind w:left="114"/>
              <w:rPr>
                <w:sz w:val="20"/>
              </w:rPr>
            </w:pPr>
            <w:r>
              <w:rPr>
                <w:sz w:val="20"/>
              </w:rPr>
              <w:t xml:space="preserve">U.S. States, 1973–2012.” </w:t>
            </w:r>
            <w:r>
              <w:rPr>
                <w:i/>
                <w:sz w:val="20"/>
              </w:rPr>
              <w:t xml:space="preserve">Environmental Politics </w:t>
            </w:r>
            <w:r>
              <w:rPr>
                <w:sz w:val="20"/>
              </w:rPr>
              <w:t>27.1 (2017): 89–114.</w:t>
            </w:r>
          </w:p>
        </w:tc>
      </w:tr>
      <w:tr w:rsidR="0046798B" w14:paraId="6DC84FC5" w14:textId="77777777">
        <w:trPr>
          <w:trHeight w:val="1465"/>
        </w:trPr>
        <w:tc>
          <w:tcPr>
            <w:tcW w:w="1711" w:type="dxa"/>
          </w:tcPr>
          <w:p w14:paraId="61EBA7F7" w14:textId="77777777" w:rsidR="0046798B" w:rsidRDefault="0046798B">
            <w:pPr>
              <w:pStyle w:val="TableParagraph"/>
            </w:pPr>
          </w:p>
          <w:p w14:paraId="2897904A" w14:textId="77777777" w:rsidR="0046798B" w:rsidRDefault="0046798B">
            <w:pPr>
              <w:pStyle w:val="TableParagraph"/>
              <w:spacing w:before="4"/>
              <w:rPr>
                <w:sz w:val="31"/>
              </w:rPr>
            </w:pPr>
          </w:p>
          <w:p w14:paraId="59872D64" w14:textId="77777777" w:rsidR="0046798B" w:rsidRDefault="00903B5C">
            <w:pPr>
              <w:pStyle w:val="TableParagraph"/>
              <w:ind w:left="115"/>
              <w:rPr>
                <w:b/>
                <w:sz w:val="20"/>
              </w:rPr>
            </w:pPr>
            <w:r>
              <w:rPr>
                <w:b/>
                <w:sz w:val="20"/>
              </w:rPr>
              <w:t>neutral_defense</w:t>
            </w:r>
          </w:p>
        </w:tc>
        <w:tc>
          <w:tcPr>
            <w:tcW w:w="1596" w:type="dxa"/>
          </w:tcPr>
          <w:p w14:paraId="31E52C3F" w14:textId="77777777" w:rsidR="0046798B" w:rsidRDefault="0046798B">
            <w:pPr>
              <w:pStyle w:val="TableParagraph"/>
            </w:pPr>
          </w:p>
          <w:p w14:paraId="3FDF3B56" w14:textId="77777777" w:rsidR="0046798B" w:rsidRDefault="0046798B">
            <w:pPr>
              <w:pStyle w:val="TableParagraph"/>
              <w:spacing w:before="4"/>
              <w:rPr>
                <w:sz w:val="21"/>
              </w:rPr>
            </w:pPr>
          </w:p>
          <w:p w14:paraId="71F432E6" w14:textId="77777777" w:rsidR="0046798B" w:rsidRDefault="00903B5C">
            <w:pPr>
              <w:pStyle w:val="TableParagraph"/>
              <w:ind w:left="114" w:right="191"/>
              <w:rPr>
                <w:sz w:val="20"/>
              </w:rPr>
            </w:pPr>
            <w:r>
              <w:rPr>
                <w:sz w:val="20"/>
              </w:rPr>
              <w:t>Neutral defense opinion</w:t>
            </w:r>
          </w:p>
        </w:tc>
        <w:tc>
          <w:tcPr>
            <w:tcW w:w="1285" w:type="dxa"/>
          </w:tcPr>
          <w:p w14:paraId="40518788" w14:textId="77777777" w:rsidR="0046798B" w:rsidRDefault="0046798B">
            <w:pPr>
              <w:pStyle w:val="TableParagraph"/>
            </w:pPr>
          </w:p>
          <w:p w14:paraId="12C94E7E" w14:textId="77777777" w:rsidR="0046798B" w:rsidRDefault="0046798B">
            <w:pPr>
              <w:pStyle w:val="TableParagraph"/>
              <w:spacing w:before="4"/>
              <w:rPr>
                <w:sz w:val="31"/>
              </w:rPr>
            </w:pPr>
          </w:p>
          <w:p w14:paraId="4FD4E255" w14:textId="77777777" w:rsidR="0046798B" w:rsidRDefault="00903B5C">
            <w:pPr>
              <w:pStyle w:val="TableParagraph"/>
              <w:ind w:left="114"/>
              <w:rPr>
                <w:sz w:val="20"/>
              </w:rPr>
            </w:pPr>
            <w:r>
              <w:rPr>
                <w:sz w:val="20"/>
              </w:rPr>
              <w:t>1973–2012</w:t>
            </w:r>
          </w:p>
        </w:tc>
        <w:tc>
          <w:tcPr>
            <w:tcW w:w="3421" w:type="dxa"/>
          </w:tcPr>
          <w:p w14:paraId="34FBB750" w14:textId="77777777" w:rsidR="0046798B" w:rsidRDefault="00903B5C">
            <w:pPr>
              <w:pStyle w:val="TableParagraph"/>
              <w:spacing w:before="38"/>
              <w:ind w:left="114" w:right="150"/>
              <w:rPr>
                <w:sz w:val="20"/>
              </w:rPr>
            </w:pPr>
            <w:r>
              <w:rPr>
                <w:sz w:val="20"/>
              </w:rPr>
              <w:t>Estimated proportion of citizenry who believe we are spending “about the right amount” on defense</w:t>
            </w:r>
          </w:p>
          <w:p w14:paraId="37B44923" w14:textId="77777777" w:rsidR="0046798B" w:rsidRDefault="0046798B">
            <w:pPr>
              <w:pStyle w:val="TableParagraph"/>
              <w:rPr>
                <w:sz w:val="20"/>
              </w:rPr>
            </w:pPr>
          </w:p>
          <w:p w14:paraId="1A668BB9" w14:textId="77777777" w:rsidR="0046798B" w:rsidRDefault="00903B5C">
            <w:pPr>
              <w:pStyle w:val="TableParagraph"/>
              <w:ind w:left="114"/>
              <w:rPr>
                <w:sz w:val="20"/>
              </w:rPr>
            </w:pPr>
            <w:r>
              <w:rPr>
                <w:sz w:val="20"/>
              </w:rPr>
              <w:t>(note: proportion for state-year is estimated by national sample from the</w:t>
            </w:r>
          </w:p>
        </w:tc>
        <w:tc>
          <w:tcPr>
            <w:tcW w:w="6482" w:type="dxa"/>
          </w:tcPr>
          <w:p w14:paraId="6B0B0109" w14:textId="77777777" w:rsidR="0046798B" w:rsidRDefault="0046798B">
            <w:pPr>
              <w:pStyle w:val="TableParagraph"/>
            </w:pPr>
          </w:p>
          <w:p w14:paraId="2033A564" w14:textId="77777777" w:rsidR="0046798B" w:rsidRDefault="0046798B">
            <w:pPr>
              <w:pStyle w:val="TableParagraph"/>
              <w:spacing w:before="4"/>
              <w:rPr>
                <w:sz w:val="21"/>
              </w:rPr>
            </w:pPr>
          </w:p>
          <w:p w14:paraId="785CAF30" w14:textId="77777777" w:rsidR="0046798B" w:rsidRDefault="00903B5C">
            <w:pPr>
              <w:pStyle w:val="TableParagraph"/>
              <w:ind w:left="114"/>
              <w:rPr>
                <w:sz w:val="20"/>
              </w:rPr>
            </w:pPr>
            <w:r>
              <w:rPr>
                <w:sz w:val="20"/>
              </w:rPr>
              <w:t>Kim, Sung Eun, and Johannes Urpelainen. “Environmental Public Opinion in</w:t>
            </w:r>
          </w:p>
          <w:p w14:paraId="16B9B7AE" w14:textId="77777777" w:rsidR="0046798B" w:rsidRDefault="00903B5C">
            <w:pPr>
              <w:pStyle w:val="TableParagraph"/>
              <w:ind w:left="114"/>
              <w:rPr>
                <w:sz w:val="20"/>
              </w:rPr>
            </w:pPr>
            <w:r>
              <w:rPr>
                <w:sz w:val="20"/>
              </w:rPr>
              <w:t xml:space="preserve">U.S. States, 1973–2012.” </w:t>
            </w:r>
            <w:r>
              <w:rPr>
                <w:i/>
                <w:sz w:val="20"/>
              </w:rPr>
              <w:t xml:space="preserve">Environmental Politics </w:t>
            </w:r>
            <w:r>
              <w:rPr>
                <w:sz w:val="20"/>
              </w:rPr>
              <w:t>27.1 (2017): 89–114.</w:t>
            </w:r>
          </w:p>
        </w:tc>
      </w:tr>
    </w:tbl>
    <w:p w14:paraId="38A9364C" w14:textId="77777777" w:rsidR="0046798B" w:rsidRDefault="0046798B">
      <w:pPr>
        <w:rPr>
          <w:sz w:val="20"/>
        </w:rPr>
        <w:sectPr w:rsidR="0046798B">
          <w:pgSz w:w="15840" w:h="12240" w:orient="landscape"/>
          <w:pgMar w:top="1220" w:right="300" w:bottom="980" w:left="820" w:header="730" w:footer="787" w:gutter="0"/>
          <w:cols w:space="720"/>
        </w:sectPr>
      </w:pPr>
    </w:p>
    <w:p w14:paraId="4E94D3A8"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70FAD669" w14:textId="77777777">
        <w:trPr>
          <w:trHeight w:val="542"/>
        </w:trPr>
        <w:tc>
          <w:tcPr>
            <w:tcW w:w="1711" w:type="dxa"/>
            <w:tcBorders>
              <w:bottom w:val="dotted" w:sz="6" w:space="0" w:color="BEBEBE"/>
            </w:tcBorders>
          </w:tcPr>
          <w:p w14:paraId="3E88A9E6" w14:textId="77777777" w:rsidR="0046798B" w:rsidRDefault="0046798B">
            <w:pPr>
              <w:pStyle w:val="TableParagraph"/>
              <w:rPr>
                <w:sz w:val="20"/>
              </w:rPr>
            </w:pPr>
          </w:p>
        </w:tc>
        <w:tc>
          <w:tcPr>
            <w:tcW w:w="1596" w:type="dxa"/>
            <w:tcBorders>
              <w:bottom w:val="dotted" w:sz="6" w:space="0" w:color="BEBEBE"/>
            </w:tcBorders>
          </w:tcPr>
          <w:p w14:paraId="1BEABC8A" w14:textId="77777777" w:rsidR="0046798B" w:rsidRDefault="0046798B">
            <w:pPr>
              <w:pStyle w:val="TableParagraph"/>
              <w:rPr>
                <w:sz w:val="20"/>
              </w:rPr>
            </w:pPr>
          </w:p>
        </w:tc>
        <w:tc>
          <w:tcPr>
            <w:tcW w:w="1285" w:type="dxa"/>
            <w:tcBorders>
              <w:bottom w:val="dotted" w:sz="6" w:space="0" w:color="BEBEBE"/>
            </w:tcBorders>
          </w:tcPr>
          <w:p w14:paraId="174FC7C3" w14:textId="77777777" w:rsidR="0046798B" w:rsidRDefault="0046798B">
            <w:pPr>
              <w:pStyle w:val="TableParagraph"/>
              <w:rPr>
                <w:sz w:val="20"/>
              </w:rPr>
            </w:pPr>
          </w:p>
        </w:tc>
        <w:tc>
          <w:tcPr>
            <w:tcW w:w="3421" w:type="dxa"/>
            <w:tcBorders>
              <w:bottom w:val="dotted" w:sz="6" w:space="0" w:color="BEBEBE"/>
            </w:tcBorders>
          </w:tcPr>
          <w:p w14:paraId="6AAF3E35" w14:textId="77777777" w:rsidR="0046798B" w:rsidRDefault="00903B5C">
            <w:pPr>
              <w:pStyle w:val="TableParagraph"/>
              <w:spacing w:before="43"/>
              <w:ind w:left="114"/>
              <w:rPr>
                <w:sz w:val="20"/>
              </w:rPr>
            </w:pPr>
            <w:r>
              <w:rPr>
                <w:sz w:val="20"/>
              </w:rPr>
              <w:t>General Social Survey and multilevel regression and post-stratification)</w:t>
            </w:r>
          </w:p>
        </w:tc>
        <w:tc>
          <w:tcPr>
            <w:tcW w:w="6482" w:type="dxa"/>
            <w:tcBorders>
              <w:bottom w:val="dotted" w:sz="6" w:space="0" w:color="BEBEBE"/>
            </w:tcBorders>
          </w:tcPr>
          <w:p w14:paraId="5FF26433" w14:textId="77777777" w:rsidR="0046798B" w:rsidRDefault="0046798B">
            <w:pPr>
              <w:pStyle w:val="TableParagraph"/>
              <w:rPr>
                <w:sz w:val="20"/>
              </w:rPr>
            </w:pPr>
          </w:p>
        </w:tc>
      </w:tr>
      <w:tr w:rsidR="0046798B" w14:paraId="2877EA97" w14:textId="77777777">
        <w:trPr>
          <w:trHeight w:val="1923"/>
        </w:trPr>
        <w:tc>
          <w:tcPr>
            <w:tcW w:w="1711" w:type="dxa"/>
            <w:tcBorders>
              <w:top w:val="dotted" w:sz="6" w:space="0" w:color="BEBEBE"/>
            </w:tcBorders>
          </w:tcPr>
          <w:p w14:paraId="62006AD6" w14:textId="77777777" w:rsidR="0046798B" w:rsidRDefault="0046798B">
            <w:pPr>
              <w:pStyle w:val="TableParagraph"/>
            </w:pPr>
          </w:p>
          <w:p w14:paraId="450F74C6" w14:textId="77777777" w:rsidR="0046798B" w:rsidRDefault="0046798B">
            <w:pPr>
              <w:pStyle w:val="TableParagraph"/>
            </w:pPr>
          </w:p>
          <w:p w14:paraId="7CFFB262" w14:textId="77777777" w:rsidR="0046798B" w:rsidRDefault="0046798B">
            <w:pPr>
              <w:pStyle w:val="TableParagraph"/>
              <w:spacing w:before="6"/>
              <w:rPr>
                <w:sz w:val="29"/>
              </w:rPr>
            </w:pPr>
          </w:p>
          <w:p w14:paraId="786B4D5D" w14:textId="77777777" w:rsidR="0046798B" w:rsidRDefault="00903B5C">
            <w:pPr>
              <w:pStyle w:val="TableParagraph"/>
              <w:ind w:left="115"/>
              <w:rPr>
                <w:b/>
                <w:sz w:val="20"/>
              </w:rPr>
            </w:pPr>
            <w:r>
              <w:rPr>
                <w:b/>
                <w:sz w:val="20"/>
              </w:rPr>
              <w:t>pro_education</w:t>
            </w:r>
          </w:p>
        </w:tc>
        <w:tc>
          <w:tcPr>
            <w:tcW w:w="1596" w:type="dxa"/>
            <w:tcBorders>
              <w:top w:val="dotted" w:sz="6" w:space="0" w:color="BEBEBE"/>
            </w:tcBorders>
          </w:tcPr>
          <w:p w14:paraId="4783DB0D" w14:textId="77777777" w:rsidR="0046798B" w:rsidRDefault="0046798B">
            <w:pPr>
              <w:pStyle w:val="TableParagraph"/>
            </w:pPr>
          </w:p>
          <w:p w14:paraId="28775BB7" w14:textId="77777777" w:rsidR="0046798B" w:rsidRDefault="0046798B">
            <w:pPr>
              <w:pStyle w:val="TableParagraph"/>
            </w:pPr>
          </w:p>
          <w:p w14:paraId="060634BB" w14:textId="77777777" w:rsidR="0046798B" w:rsidRDefault="0046798B">
            <w:pPr>
              <w:pStyle w:val="TableParagraph"/>
              <w:spacing w:before="6"/>
              <w:rPr>
                <w:sz w:val="19"/>
              </w:rPr>
            </w:pPr>
          </w:p>
          <w:p w14:paraId="372194B8" w14:textId="77777777" w:rsidR="0046798B" w:rsidRDefault="00903B5C">
            <w:pPr>
              <w:pStyle w:val="TableParagraph"/>
              <w:ind w:left="114" w:right="330"/>
              <w:rPr>
                <w:sz w:val="20"/>
              </w:rPr>
            </w:pPr>
            <w:r>
              <w:rPr>
                <w:sz w:val="20"/>
              </w:rPr>
              <w:t>Pro-education opinion</w:t>
            </w:r>
          </w:p>
        </w:tc>
        <w:tc>
          <w:tcPr>
            <w:tcW w:w="1285" w:type="dxa"/>
            <w:tcBorders>
              <w:top w:val="dotted" w:sz="6" w:space="0" w:color="BEBEBE"/>
            </w:tcBorders>
          </w:tcPr>
          <w:p w14:paraId="1E5325D2" w14:textId="77777777" w:rsidR="0046798B" w:rsidRDefault="0046798B">
            <w:pPr>
              <w:pStyle w:val="TableParagraph"/>
            </w:pPr>
          </w:p>
          <w:p w14:paraId="76DEADFF" w14:textId="77777777" w:rsidR="0046798B" w:rsidRDefault="0046798B">
            <w:pPr>
              <w:pStyle w:val="TableParagraph"/>
            </w:pPr>
          </w:p>
          <w:p w14:paraId="57C5FF21" w14:textId="77777777" w:rsidR="0046798B" w:rsidRDefault="0046798B">
            <w:pPr>
              <w:pStyle w:val="TableParagraph"/>
              <w:spacing w:before="6"/>
              <w:rPr>
                <w:sz w:val="29"/>
              </w:rPr>
            </w:pPr>
          </w:p>
          <w:p w14:paraId="61D9799E" w14:textId="77777777" w:rsidR="0046798B" w:rsidRDefault="00903B5C">
            <w:pPr>
              <w:pStyle w:val="TableParagraph"/>
              <w:ind w:left="114"/>
              <w:rPr>
                <w:sz w:val="20"/>
              </w:rPr>
            </w:pPr>
            <w:r>
              <w:rPr>
                <w:sz w:val="20"/>
              </w:rPr>
              <w:t>1973–2012</w:t>
            </w:r>
          </w:p>
        </w:tc>
        <w:tc>
          <w:tcPr>
            <w:tcW w:w="3421" w:type="dxa"/>
            <w:tcBorders>
              <w:top w:val="dotted" w:sz="6" w:space="0" w:color="BEBEBE"/>
            </w:tcBorders>
          </w:tcPr>
          <w:p w14:paraId="6F1B7A10" w14:textId="77777777" w:rsidR="0046798B" w:rsidRDefault="00903B5C">
            <w:pPr>
              <w:pStyle w:val="TableParagraph"/>
              <w:spacing w:before="40"/>
              <w:ind w:left="114" w:right="215"/>
              <w:jc w:val="both"/>
              <w:rPr>
                <w:sz w:val="20"/>
              </w:rPr>
            </w:pPr>
            <w:r>
              <w:rPr>
                <w:sz w:val="20"/>
              </w:rPr>
              <w:t>Estimated proportion of citizenry who believe we are spending “too little” on education</w:t>
            </w:r>
          </w:p>
          <w:p w14:paraId="0C26A596" w14:textId="77777777" w:rsidR="0046798B" w:rsidRDefault="0046798B">
            <w:pPr>
              <w:pStyle w:val="TableParagraph"/>
              <w:spacing w:before="1"/>
              <w:rPr>
                <w:sz w:val="20"/>
              </w:rPr>
            </w:pPr>
          </w:p>
          <w:p w14:paraId="41AB2304" w14:textId="77777777" w:rsidR="0046798B" w:rsidRDefault="00903B5C">
            <w:pPr>
              <w:pStyle w:val="TableParagraph"/>
              <w:ind w:left="114"/>
              <w:rPr>
                <w:sz w:val="20"/>
              </w:rPr>
            </w:pPr>
            <w:r>
              <w:rPr>
                <w:sz w:val="20"/>
              </w:rPr>
              <w:t>(note: proportion for state-year is estimated by national sample from the General Social Survey and multilevel regression and post-stratification)</w:t>
            </w:r>
          </w:p>
        </w:tc>
        <w:tc>
          <w:tcPr>
            <w:tcW w:w="6482" w:type="dxa"/>
            <w:tcBorders>
              <w:top w:val="dotted" w:sz="6" w:space="0" w:color="BEBEBE"/>
            </w:tcBorders>
          </w:tcPr>
          <w:p w14:paraId="5D6B1AC8" w14:textId="77777777" w:rsidR="0046798B" w:rsidRDefault="0046798B">
            <w:pPr>
              <w:pStyle w:val="TableParagraph"/>
            </w:pPr>
          </w:p>
          <w:p w14:paraId="70EF4BB0" w14:textId="77777777" w:rsidR="0046798B" w:rsidRDefault="0046798B">
            <w:pPr>
              <w:pStyle w:val="TableParagraph"/>
            </w:pPr>
          </w:p>
          <w:p w14:paraId="27378165" w14:textId="77777777" w:rsidR="0046798B" w:rsidRDefault="0046798B">
            <w:pPr>
              <w:pStyle w:val="TableParagraph"/>
              <w:spacing w:before="6"/>
              <w:rPr>
                <w:sz w:val="19"/>
              </w:rPr>
            </w:pPr>
          </w:p>
          <w:p w14:paraId="176BCD3F" w14:textId="77777777" w:rsidR="0046798B" w:rsidRDefault="00903B5C">
            <w:pPr>
              <w:pStyle w:val="TableParagraph"/>
              <w:ind w:left="114"/>
              <w:rPr>
                <w:sz w:val="20"/>
              </w:rPr>
            </w:pPr>
            <w:r>
              <w:rPr>
                <w:sz w:val="20"/>
              </w:rPr>
              <w:t>Kim, Sung Eun, and Johannes Urpelainen. “Environmental Public Opinion in</w:t>
            </w:r>
          </w:p>
          <w:p w14:paraId="1DAD9D4A" w14:textId="77777777" w:rsidR="0046798B" w:rsidRDefault="00903B5C">
            <w:pPr>
              <w:pStyle w:val="TableParagraph"/>
              <w:spacing w:before="1"/>
              <w:ind w:left="114"/>
              <w:rPr>
                <w:sz w:val="20"/>
              </w:rPr>
            </w:pPr>
            <w:r>
              <w:rPr>
                <w:sz w:val="20"/>
              </w:rPr>
              <w:t xml:space="preserve">U.S. States, 1973–2012.” </w:t>
            </w:r>
            <w:r>
              <w:rPr>
                <w:i/>
                <w:sz w:val="20"/>
              </w:rPr>
              <w:t xml:space="preserve">Environmental Politics </w:t>
            </w:r>
            <w:r>
              <w:rPr>
                <w:sz w:val="20"/>
              </w:rPr>
              <w:t>27.1 (2017): 89–114.</w:t>
            </w:r>
          </w:p>
        </w:tc>
      </w:tr>
      <w:tr w:rsidR="0046798B" w14:paraId="7699AC9D" w14:textId="77777777">
        <w:trPr>
          <w:trHeight w:val="1930"/>
        </w:trPr>
        <w:tc>
          <w:tcPr>
            <w:tcW w:w="1711" w:type="dxa"/>
          </w:tcPr>
          <w:p w14:paraId="1B6F5A01" w14:textId="77777777" w:rsidR="0046798B" w:rsidRDefault="0046798B">
            <w:pPr>
              <w:pStyle w:val="TableParagraph"/>
            </w:pPr>
          </w:p>
          <w:p w14:paraId="19DCA637" w14:textId="77777777" w:rsidR="0046798B" w:rsidRDefault="0046798B">
            <w:pPr>
              <w:pStyle w:val="TableParagraph"/>
            </w:pPr>
          </w:p>
          <w:p w14:paraId="40E15B41" w14:textId="77777777" w:rsidR="0046798B" w:rsidRDefault="0046798B">
            <w:pPr>
              <w:pStyle w:val="TableParagraph"/>
              <w:spacing w:before="9"/>
              <w:rPr>
                <w:sz w:val="29"/>
              </w:rPr>
            </w:pPr>
          </w:p>
          <w:p w14:paraId="2076AD33" w14:textId="77777777" w:rsidR="0046798B" w:rsidRDefault="00903B5C">
            <w:pPr>
              <w:pStyle w:val="TableParagraph"/>
              <w:ind w:left="115"/>
              <w:rPr>
                <w:b/>
                <w:sz w:val="20"/>
              </w:rPr>
            </w:pPr>
            <w:r>
              <w:rPr>
                <w:b/>
                <w:sz w:val="20"/>
              </w:rPr>
              <w:t>anti_education</w:t>
            </w:r>
          </w:p>
        </w:tc>
        <w:tc>
          <w:tcPr>
            <w:tcW w:w="1596" w:type="dxa"/>
          </w:tcPr>
          <w:p w14:paraId="03DF362D" w14:textId="77777777" w:rsidR="0046798B" w:rsidRDefault="0046798B">
            <w:pPr>
              <w:pStyle w:val="TableParagraph"/>
            </w:pPr>
          </w:p>
          <w:p w14:paraId="252E1C1D" w14:textId="77777777" w:rsidR="0046798B" w:rsidRDefault="0046798B">
            <w:pPr>
              <w:pStyle w:val="TableParagraph"/>
            </w:pPr>
          </w:p>
          <w:p w14:paraId="74F94E1D" w14:textId="77777777" w:rsidR="0046798B" w:rsidRDefault="0046798B">
            <w:pPr>
              <w:pStyle w:val="TableParagraph"/>
              <w:spacing w:before="9"/>
              <w:rPr>
                <w:sz w:val="19"/>
              </w:rPr>
            </w:pPr>
          </w:p>
          <w:p w14:paraId="1B36969D" w14:textId="77777777" w:rsidR="0046798B" w:rsidRDefault="00903B5C">
            <w:pPr>
              <w:pStyle w:val="TableParagraph"/>
              <w:ind w:left="114" w:right="252"/>
              <w:rPr>
                <w:sz w:val="20"/>
              </w:rPr>
            </w:pPr>
            <w:r>
              <w:rPr>
                <w:sz w:val="20"/>
              </w:rPr>
              <w:t>Anti-education opinion</w:t>
            </w:r>
          </w:p>
        </w:tc>
        <w:tc>
          <w:tcPr>
            <w:tcW w:w="1285" w:type="dxa"/>
          </w:tcPr>
          <w:p w14:paraId="183CC40D" w14:textId="77777777" w:rsidR="0046798B" w:rsidRDefault="0046798B">
            <w:pPr>
              <w:pStyle w:val="TableParagraph"/>
            </w:pPr>
          </w:p>
          <w:p w14:paraId="6E39F758" w14:textId="77777777" w:rsidR="0046798B" w:rsidRDefault="0046798B">
            <w:pPr>
              <w:pStyle w:val="TableParagraph"/>
            </w:pPr>
          </w:p>
          <w:p w14:paraId="40D2D5E4" w14:textId="77777777" w:rsidR="0046798B" w:rsidRDefault="0046798B">
            <w:pPr>
              <w:pStyle w:val="TableParagraph"/>
              <w:spacing w:before="9"/>
              <w:rPr>
                <w:sz w:val="29"/>
              </w:rPr>
            </w:pPr>
          </w:p>
          <w:p w14:paraId="73646D75" w14:textId="77777777" w:rsidR="0046798B" w:rsidRDefault="00903B5C">
            <w:pPr>
              <w:pStyle w:val="TableParagraph"/>
              <w:ind w:left="114"/>
              <w:rPr>
                <w:sz w:val="20"/>
              </w:rPr>
            </w:pPr>
            <w:r>
              <w:rPr>
                <w:sz w:val="20"/>
              </w:rPr>
              <w:t>1973–2012</w:t>
            </w:r>
          </w:p>
        </w:tc>
        <w:tc>
          <w:tcPr>
            <w:tcW w:w="3421" w:type="dxa"/>
          </w:tcPr>
          <w:p w14:paraId="6EC81557" w14:textId="77777777" w:rsidR="0046798B" w:rsidRDefault="00903B5C">
            <w:pPr>
              <w:pStyle w:val="TableParagraph"/>
              <w:spacing w:before="43"/>
              <w:ind w:left="114" w:right="122"/>
              <w:rPr>
                <w:sz w:val="20"/>
              </w:rPr>
            </w:pPr>
            <w:r>
              <w:rPr>
                <w:sz w:val="20"/>
              </w:rPr>
              <w:t>Estimated proportion of citizenry who believe we are spending “too much” on education</w:t>
            </w:r>
          </w:p>
          <w:p w14:paraId="0CE7A3EB" w14:textId="77777777" w:rsidR="0046798B" w:rsidRDefault="0046798B">
            <w:pPr>
              <w:pStyle w:val="TableParagraph"/>
              <w:rPr>
                <w:sz w:val="20"/>
              </w:rPr>
            </w:pPr>
          </w:p>
          <w:p w14:paraId="2D8824D8" w14:textId="77777777" w:rsidR="0046798B" w:rsidRDefault="00903B5C">
            <w:pPr>
              <w:pStyle w:val="TableParagraph"/>
              <w:ind w:left="114"/>
              <w:rPr>
                <w:sz w:val="20"/>
              </w:rPr>
            </w:pPr>
            <w:r>
              <w:rPr>
                <w:sz w:val="20"/>
              </w:rPr>
              <w:t>(note: proportion for state-year is estimated by national sample from the General Social Survey and multilevel regression and post-stratification)</w:t>
            </w:r>
          </w:p>
        </w:tc>
        <w:tc>
          <w:tcPr>
            <w:tcW w:w="6482" w:type="dxa"/>
          </w:tcPr>
          <w:p w14:paraId="5AFA4E54" w14:textId="77777777" w:rsidR="0046798B" w:rsidRDefault="0046798B">
            <w:pPr>
              <w:pStyle w:val="TableParagraph"/>
            </w:pPr>
          </w:p>
          <w:p w14:paraId="4F9BE0E1" w14:textId="77777777" w:rsidR="0046798B" w:rsidRDefault="0046798B">
            <w:pPr>
              <w:pStyle w:val="TableParagraph"/>
            </w:pPr>
          </w:p>
          <w:p w14:paraId="2A0EF4F3" w14:textId="77777777" w:rsidR="0046798B" w:rsidRDefault="0046798B">
            <w:pPr>
              <w:pStyle w:val="TableParagraph"/>
              <w:spacing w:before="9"/>
              <w:rPr>
                <w:sz w:val="19"/>
              </w:rPr>
            </w:pPr>
          </w:p>
          <w:p w14:paraId="1AD7E69F" w14:textId="77777777" w:rsidR="0046798B" w:rsidRDefault="00903B5C">
            <w:pPr>
              <w:pStyle w:val="TableParagraph"/>
              <w:ind w:left="114"/>
              <w:rPr>
                <w:sz w:val="20"/>
              </w:rPr>
            </w:pPr>
            <w:r>
              <w:rPr>
                <w:sz w:val="20"/>
              </w:rPr>
              <w:t>Kim, Sung Eun, and Johannes Urpelainen. “Environmental Public Opinion in</w:t>
            </w:r>
          </w:p>
          <w:p w14:paraId="67B71B28" w14:textId="77777777" w:rsidR="0046798B" w:rsidRDefault="00903B5C">
            <w:pPr>
              <w:pStyle w:val="TableParagraph"/>
              <w:ind w:left="114"/>
              <w:rPr>
                <w:sz w:val="20"/>
              </w:rPr>
            </w:pPr>
            <w:r>
              <w:rPr>
                <w:sz w:val="20"/>
              </w:rPr>
              <w:t xml:space="preserve">U.S. States, 1973–2012.” </w:t>
            </w:r>
            <w:r>
              <w:rPr>
                <w:i/>
                <w:sz w:val="20"/>
              </w:rPr>
              <w:t xml:space="preserve">Environmental Politics </w:t>
            </w:r>
            <w:r>
              <w:rPr>
                <w:sz w:val="20"/>
              </w:rPr>
              <w:t>27.1 (2017): 89–114.</w:t>
            </w:r>
          </w:p>
        </w:tc>
      </w:tr>
      <w:tr w:rsidR="0046798B" w14:paraId="3000118C" w14:textId="77777777">
        <w:trPr>
          <w:trHeight w:val="1925"/>
        </w:trPr>
        <w:tc>
          <w:tcPr>
            <w:tcW w:w="1711" w:type="dxa"/>
          </w:tcPr>
          <w:p w14:paraId="007FF023" w14:textId="77777777" w:rsidR="0046798B" w:rsidRDefault="0046798B">
            <w:pPr>
              <w:pStyle w:val="TableParagraph"/>
            </w:pPr>
          </w:p>
          <w:p w14:paraId="472C0DCF" w14:textId="77777777" w:rsidR="0046798B" w:rsidRDefault="0046798B">
            <w:pPr>
              <w:pStyle w:val="TableParagraph"/>
            </w:pPr>
          </w:p>
          <w:p w14:paraId="001AA6A8" w14:textId="77777777" w:rsidR="0046798B" w:rsidRDefault="0046798B">
            <w:pPr>
              <w:pStyle w:val="TableParagraph"/>
              <w:spacing w:before="4"/>
              <w:rPr>
                <w:sz w:val="19"/>
              </w:rPr>
            </w:pPr>
          </w:p>
          <w:p w14:paraId="19781B8E" w14:textId="77777777" w:rsidR="0046798B" w:rsidRDefault="00903B5C">
            <w:pPr>
              <w:pStyle w:val="TableParagraph"/>
              <w:ind w:left="115" w:right="99"/>
              <w:rPr>
                <w:b/>
                <w:sz w:val="20"/>
              </w:rPr>
            </w:pPr>
            <w:r>
              <w:rPr>
                <w:b/>
                <w:sz w:val="20"/>
              </w:rPr>
              <w:t>neutral_educatio n</w:t>
            </w:r>
          </w:p>
        </w:tc>
        <w:tc>
          <w:tcPr>
            <w:tcW w:w="1596" w:type="dxa"/>
          </w:tcPr>
          <w:p w14:paraId="2FC5C39F" w14:textId="77777777" w:rsidR="0046798B" w:rsidRDefault="0046798B">
            <w:pPr>
              <w:pStyle w:val="TableParagraph"/>
            </w:pPr>
          </w:p>
          <w:p w14:paraId="50EE72F9" w14:textId="77777777" w:rsidR="0046798B" w:rsidRDefault="0046798B">
            <w:pPr>
              <w:pStyle w:val="TableParagraph"/>
              <w:spacing w:before="3"/>
              <w:rPr>
                <w:sz w:val="31"/>
              </w:rPr>
            </w:pPr>
          </w:p>
          <w:p w14:paraId="66BDA00F" w14:textId="77777777" w:rsidR="0046798B" w:rsidRDefault="00903B5C">
            <w:pPr>
              <w:pStyle w:val="TableParagraph"/>
              <w:spacing w:before="1"/>
              <w:ind w:left="114" w:right="674"/>
              <w:rPr>
                <w:sz w:val="20"/>
              </w:rPr>
            </w:pPr>
            <w:r>
              <w:rPr>
                <w:sz w:val="20"/>
              </w:rPr>
              <w:t>Neutral education opinion</w:t>
            </w:r>
          </w:p>
        </w:tc>
        <w:tc>
          <w:tcPr>
            <w:tcW w:w="1285" w:type="dxa"/>
          </w:tcPr>
          <w:p w14:paraId="13B244FB" w14:textId="77777777" w:rsidR="0046798B" w:rsidRDefault="0046798B">
            <w:pPr>
              <w:pStyle w:val="TableParagraph"/>
            </w:pPr>
          </w:p>
          <w:p w14:paraId="390D0961" w14:textId="77777777" w:rsidR="0046798B" w:rsidRDefault="0046798B">
            <w:pPr>
              <w:pStyle w:val="TableParagraph"/>
            </w:pPr>
          </w:p>
          <w:p w14:paraId="442DB0EB" w14:textId="77777777" w:rsidR="0046798B" w:rsidRDefault="0046798B">
            <w:pPr>
              <w:pStyle w:val="TableParagraph"/>
              <w:spacing w:before="4"/>
              <w:rPr>
                <w:sz w:val="29"/>
              </w:rPr>
            </w:pPr>
          </w:p>
          <w:p w14:paraId="27E909AE" w14:textId="77777777" w:rsidR="0046798B" w:rsidRDefault="00903B5C">
            <w:pPr>
              <w:pStyle w:val="TableParagraph"/>
              <w:ind w:left="114"/>
              <w:rPr>
                <w:sz w:val="20"/>
              </w:rPr>
            </w:pPr>
            <w:r>
              <w:rPr>
                <w:sz w:val="20"/>
              </w:rPr>
              <w:t>1973–2012</w:t>
            </w:r>
          </w:p>
        </w:tc>
        <w:tc>
          <w:tcPr>
            <w:tcW w:w="3421" w:type="dxa"/>
          </w:tcPr>
          <w:p w14:paraId="322517AD" w14:textId="77777777" w:rsidR="0046798B" w:rsidRDefault="00903B5C">
            <w:pPr>
              <w:pStyle w:val="TableParagraph"/>
              <w:spacing w:before="38"/>
              <w:ind w:left="114" w:right="150"/>
              <w:rPr>
                <w:sz w:val="20"/>
              </w:rPr>
            </w:pPr>
            <w:r>
              <w:rPr>
                <w:sz w:val="20"/>
              </w:rPr>
              <w:t>Estimated proportion of citizenry who believe we are spending “about the right amount” on education</w:t>
            </w:r>
          </w:p>
          <w:p w14:paraId="540A1BEB" w14:textId="77777777" w:rsidR="0046798B" w:rsidRDefault="0046798B">
            <w:pPr>
              <w:pStyle w:val="TableParagraph"/>
              <w:rPr>
                <w:sz w:val="20"/>
              </w:rPr>
            </w:pPr>
          </w:p>
          <w:p w14:paraId="22DDD892" w14:textId="77777777" w:rsidR="0046798B" w:rsidRDefault="00903B5C">
            <w:pPr>
              <w:pStyle w:val="TableParagraph"/>
              <w:spacing w:before="1"/>
              <w:ind w:left="114"/>
              <w:rPr>
                <w:sz w:val="20"/>
              </w:rPr>
            </w:pPr>
            <w:r>
              <w:rPr>
                <w:sz w:val="20"/>
              </w:rPr>
              <w:t>(note: proportion for state-year is estimated by national sample from the General Social Survey and multilevel regression and post-stratification)</w:t>
            </w:r>
          </w:p>
        </w:tc>
        <w:tc>
          <w:tcPr>
            <w:tcW w:w="6482" w:type="dxa"/>
          </w:tcPr>
          <w:p w14:paraId="33CA167B" w14:textId="77777777" w:rsidR="0046798B" w:rsidRDefault="0046798B">
            <w:pPr>
              <w:pStyle w:val="TableParagraph"/>
            </w:pPr>
          </w:p>
          <w:p w14:paraId="6ACD446C" w14:textId="77777777" w:rsidR="0046798B" w:rsidRDefault="0046798B">
            <w:pPr>
              <w:pStyle w:val="TableParagraph"/>
            </w:pPr>
          </w:p>
          <w:p w14:paraId="5FC6D7F9" w14:textId="77777777" w:rsidR="0046798B" w:rsidRDefault="0046798B">
            <w:pPr>
              <w:pStyle w:val="TableParagraph"/>
              <w:spacing w:before="4"/>
              <w:rPr>
                <w:sz w:val="19"/>
              </w:rPr>
            </w:pPr>
          </w:p>
          <w:p w14:paraId="6A58454B" w14:textId="77777777" w:rsidR="0046798B" w:rsidRDefault="00903B5C">
            <w:pPr>
              <w:pStyle w:val="TableParagraph"/>
              <w:ind w:left="114"/>
              <w:rPr>
                <w:sz w:val="20"/>
              </w:rPr>
            </w:pPr>
            <w:r>
              <w:rPr>
                <w:sz w:val="20"/>
              </w:rPr>
              <w:t>Kim, Sung Eun, and Johannes Urpelainen. “Environmental Public Opinion in</w:t>
            </w:r>
          </w:p>
          <w:p w14:paraId="57674648" w14:textId="77777777" w:rsidR="0046798B" w:rsidRDefault="00903B5C">
            <w:pPr>
              <w:pStyle w:val="TableParagraph"/>
              <w:ind w:left="114"/>
              <w:rPr>
                <w:sz w:val="20"/>
              </w:rPr>
            </w:pPr>
            <w:r>
              <w:rPr>
                <w:sz w:val="20"/>
              </w:rPr>
              <w:t xml:space="preserve">U.S. States, 1973–2012.” </w:t>
            </w:r>
            <w:r>
              <w:rPr>
                <w:i/>
                <w:sz w:val="20"/>
              </w:rPr>
              <w:t xml:space="preserve">Environmental Politics </w:t>
            </w:r>
            <w:r>
              <w:rPr>
                <w:sz w:val="20"/>
              </w:rPr>
              <w:t>27.1 (2017): 89–114.</w:t>
            </w:r>
          </w:p>
        </w:tc>
      </w:tr>
      <w:tr w:rsidR="0046798B" w14:paraId="6E318279" w14:textId="77777777">
        <w:trPr>
          <w:trHeight w:val="1926"/>
        </w:trPr>
        <w:tc>
          <w:tcPr>
            <w:tcW w:w="1711" w:type="dxa"/>
          </w:tcPr>
          <w:p w14:paraId="0DADF617" w14:textId="77777777" w:rsidR="0046798B" w:rsidRDefault="0046798B">
            <w:pPr>
              <w:pStyle w:val="TableParagraph"/>
            </w:pPr>
          </w:p>
          <w:p w14:paraId="65C675BE" w14:textId="77777777" w:rsidR="0046798B" w:rsidRDefault="0046798B">
            <w:pPr>
              <w:pStyle w:val="TableParagraph"/>
            </w:pPr>
          </w:p>
          <w:p w14:paraId="099FEC5E" w14:textId="77777777" w:rsidR="0046798B" w:rsidRDefault="0046798B">
            <w:pPr>
              <w:pStyle w:val="TableParagraph"/>
              <w:spacing w:before="4"/>
              <w:rPr>
                <w:sz w:val="29"/>
              </w:rPr>
            </w:pPr>
          </w:p>
          <w:p w14:paraId="573B8CAB" w14:textId="77777777" w:rsidR="0046798B" w:rsidRDefault="00903B5C">
            <w:pPr>
              <w:pStyle w:val="TableParagraph"/>
              <w:ind w:left="115"/>
              <w:rPr>
                <w:b/>
                <w:sz w:val="20"/>
              </w:rPr>
            </w:pPr>
            <w:r>
              <w:rPr>
                <w:b/>
                <w:sz w:val="20"/>
              </w:rPr>
              <w:t>pro_welfare</w:t>
            </w:r>
          </w:p>
        </w:tc>
        <w:tc>
          <w:tcPr>
            <w:tcW w:w="1596" w:type="dxa"/>
          </w:tcPr>
          <w:p w14:paraId="229050A4" w14:textId="77777777" w:rsidR="0046798B" w:rsidRDefault="0046798B">
            <w:pPr>
              <w:pStyle w:val="TableParagraph"/>
            </w:pPr>
          </w:p>
          <w:p w14:paraId="15727939" w14:textId="77777777" w:rsidR="0046798B" w:rsidRDefault="0046798B">
            <w:pPr>
              <w:pStyle w:val="TableParagraph"/>
            </w:pPr>
          </w:p>
          <w:p w14:paraId="63A14AC9" w14:textId="77777777" w:rsidR="0046798B" w:rsidRDefault="0046798B">
            <w:pPr>
              <w:pStyle w:val="TableParagraph"/>
              <w:spacing w:before="4"/>
              <w:rPr>
                <w:sz w:val="19"/>
              </w:rPr>
            </w:pPr>
          </w:p>
          <w:p w14:paraId="3DBEDB02" w14:textId="77777777" w:rsidR="0046798B" w:rsidRDefault="00903B5C">
            <w:pPr>
              <w:pStyle w:val="TableParagraph"/>
              <w:ind w:left="114" w:right="229"/>
              <w:rPr>
                <w:sz w:val="20"/>
              </w:rPr>
            </w:pPr>
            <w:r>
              <w:rPr>
                <w:sz w:val="20"/>
              </w:rPr>
              <w:t>Pro-welfare opinion</w:t>
            </w:r>
          </w:p>
        </w:tc>
        <w:tc>
          <w:tcPr>
            <w:tcW w:w="1285" w:type="dxa"/>
          </w:tcPr>
          <w:p w14:paraId="5DE4BB55" w14:textId="77777777" w:rsidR="0046798B" w:rsidRDefault="0046798B">
            <w:pPr>
              <w:pStyle w:val="TableParagraph"/>
            </w:pPr>
          </w:p>
          <w:p w14:paraId="2AF3A364" w14:textId="77777777" w:rsidR="0046798B" w:rsidRDefault="0046798B">
            <w:pPr>
              <w:pStyle w:val="TableParagraph"/>
            </w:pPr>
          </w:p>
          <w:p w14:paraId="5FD0024D" w14:textId="77777777" w:rsidR="0046798B" w:rsidRDefault="0046798B">
            <w:pPr>
              <w:pStyle w:val="TableParagraph"/>
              <w:spacing w:before="4"/>
              <w:rPr>
                <w:sz w:val="29"/>
              </w:rPr>
            </w:pPr>
          </w:p>
          <w:p w14:paraId="49F52F0B" w14:textId="77777777" w:rsidR="0046798B" w:rsidRDefault="00903B5C">
            <w:pPr>
              <w:pStyle w:val="TableParagraph"/>
              <w:ind w:left="114"/>
              <w:rPr>
                <w:sz w:val="20"/>
              </w:rPr>
            </w:pPr>
            <w:r>
              <w:rPr>
                <w:sz w:val="20"/>
              </w:rPr>
              <w:t>1973–2012</w:t>
            </w:r>
          </w:p>
        </w:tc>
        <w:tc>
          <w:tcPr>
            <w:tcW w:w="3421" w:type="dxa"/>
          </w:tcPr>
          <w:p w14:paraId="5E1AA87D" w14:textId="77777777" w:rsidR="0046798B" w:rsidRDefault="00903B5C">
            <w:pPr>
              <w:pStyle w:val="TableParagraph"/>
              <w:spacing w:before="38"/>
              <w:ind w:left="114" w:right="216"/>
              <w:jc w:val="both"/>
              <w:rPr>
                <w:sz w:val="20"/>
              </w:rPr>
            </w:pPr>
            <w:r>
              <w:rPr>
                <w:sz w:val="20"/>
              </w:rPr>
              <w:t>Estimated proportion of citizenry who believe we are spending “too little” on welfare for the poor</w:t>
            </w:r>
          </w:p>
          <w:p w14:paraId="3FBEA80A" w14:textId="77777777" w:rsidR="0046798B" w:rsidRDefault="0046798B">
            <w:pPr>
              <w:pStyle w:val="TableParagraph"/>
              <w:rPr>
                <w:sz w:val="20"/>
              </w:rPr>
            </w:pPr>
          </w:p>
          <w:p w14:paraId="10415F4D" w14:textId="77777777" w:rsidR="0046798B" w:rsidRDefault="00903B5C">
            <w:pPr>
              <w:pStyle w:val="TableParagraph"/>
              <w:ind w:left="114"/>
              <w:rPr>
                <w:sz w:val="20"/>
              </w:rPr>
            </w:pPr>
            <w:r>
              <w:rPr>
                <w:sz w:val="20"/>
              </w:rPr>
              <w:t>(note: proportion for state-year is estimated by national sample from the General Social Survey and multilevel regression and post-stratification)</w:t>
            </w:r>
          </w:p>
        </w:tc>
        <w:tc>
          <w:tcPr>
            <w:tcW w:w="6482" w:type="dxa"/>
          </w:tcPr>
          <w:p w14:paraId="36F1D461" w14:textId="77777777" w:rsidR="0046798B" w:rsidRDefault="0046798B">
            <w:pPr>
              <w:pStyle w:val="TableParagraph"/>
            </w:pPr>
          </w:p>
          <w:p w14:paraId="766D6B0C" w14:textId="77777777" w:rsidR="0046798B" w:rsidRDefault="0046798B">
            <w:pPr>
              <w:pStyle w:val="TableParagraph"/>
            </w:pPr>
          </w:p>
          <w:p w14:paraId="5EB09515" w14:textId="77777777" w:rsidR="0046798B" w:rsidRDefault="0046798B">
            <w:pPr>
              <w:pStyle w:val="TableParagraph"/>
              <w:spacing w:before="4"/>
              <w:rPr>
                <w:sz w:val="19"/>
              </w:rPr>
            </w:pPr>
          </w:p>
          <w:p w14:paraId="37542BDC" w14:textId="77777777" w:rsidR="0046798B" w:rsidRDefault="00903B5C">
            <w:pPr>
              <w:pStyle w:val="TableParagraph"/>
              <w:ind w:left="114"/>
              <w:rPr>
                <w:sz w:val="20"/>
              </w:rPr>
            </w:pPr>
            <w:r>
              <w:rPr>
                <w:sz w:val="20"/>
              </w:rPr>
              <w:t>Kim, Sung Eun, and Johannes Urpelainen. “Environmental Public Opinion in</w:t>
            </w:r>
          </w:p>
          <w:p w14:paraId="3323599C" w14:textId="77777777" w:rsidR="0046798B" w:rsidRDefault="00903B5C">
            <w:pPr>
              <w:pStyle w:val="TableParagraph"/>
              <w:ind w:left="114"/>
              <w:rPr>
                <w:sz w:val="20"/>
              </w:rPr>
            </w:pPr>
            <w:r>
              <w:rPr>
                <w:sz w:val="20"/>
              </w:rPr>
              <w:t xml:space="preserve">U.S. States, 1973–2012.” </w:t>
            </w:r>
            <w:r>
              <w:rPr>
                <w:i/>
                <w:sz w:val="20"/>
              </w:rPr>
              <w:t xml:space="preserve">Environmental Politics </w:t>
            </w:r>
            <w:r>
              <w:rPr>
                <w:sz w:val="20"/>
              </w:rPr>
              <w:t>27.1 (2017): 89–114.</w:t>
            </w:r>
          </w:p>
        </w:tc>
      </w:tr>
      <w:tr w:rsidR="0046798B" w14:paraId="02E20B33" w14:textId="77777777">
        <w:trPr>
          <w:trHeight w:val="1005"/>
        </w:trPr>
        <w:tc>
          <w:tcPr>
            <w:tcW w:w="1711" w:type="dxa"/>
          </w:tcPr>
          <w:p w14:paraId="7C673CC3" w14:textId="77777777" w:rsidR="0046798B" w:rsidRDefault="0046798B">
            <w:pPr>
              <w:pStyle w:val="TableParagraph"/>
            </w:pPr>
          </w:p>
          <w:p w14:paraId="1F92F8C2" w14:textId="77777777" w:rsidR="0046798B" w:rsidRDefault="00903B5C">
            <w:pPr>
              <w:pStyle w:val="TableParagraph"/>
              <w:spacing w:before="130"/>
              <w:ind w:left="115"/>
              <w:rPr>
                <w:b/>
                <w:sz w:val="20"/>
              </w:rPr>
            </w:pPr>
            <w:r>
              <w:rPr>
                <w:b/>
                <w:sz w:val="20"/>
              </w:rPr>
              <w:t>anti_welfare</w:t>
            </w:r>
          </w:p>
        </w:tc>
        <w:tc>
          <w:tcPr>
            <w:tcW w:w="1596" w:type="dxa"/>
          </w:tcPr>
          <w:p w14:paraId="645DDDF3" w14:textId="77777777" w:rsidR="0046798B" w:rsidRDefault="0046798B">
            <w:pPr>
              <w:pStyle w:val="TableParagraph"/>
              <w:spacing w:before="3"/>
              <w:rPr>
                <w:sz w:val="23"/>
              </w:rPr>
            </w:pPr>
          </w:p>
          <w:p w14:paraId="0018AB51" w14:textId="77777777" w:rsidR="0046798B" w:rsidRDefault="00903B5C">
            <w:pPr>
              <w:pStyle w:val="TableParagraph"/>
              <w:spacing w:before="1"/>
              <w:ind w:left="114" w:right="229"/>
              <w:rPr>
                <w:sz w:val="20"/>
              </w:rPr>
            </w:pPr>
            <w:r>
              <w:rPr>
                <w:sz w:val="20"/>
              </w:rPr>
              <w:t>Anti-welfare opinion</w:t>
            </w:r>
          </w:p>
        </w:tc>
        <w:tc>
          <w:tcPr>
            <w:tcW w:w="1285" w:type="dxa"/>
          </w:tcPr>
          <w:p w14:paraId="4D70F574" w14:textId="77777777" w:rsidR="0046798B" w:rsidRDefault="0046798B">
            <w:pPr>
              <w:pStyle w:val="TableParagraph"/>
            </w:pPr>
          </w:p>
          <w:p w14:paraId="0185315F" w14:textId="77777777" w:rsidR="0046798B" w:rsidRDefault="00903B5C">
            <w:pPr>
              <w:pStyle w:val="TableParagraph"/>
              <w:spacing w:before="130"/>
              <w:ind w:left="114"/>
              <w:rPr>
                <w:sz w:val="20"/>
              </w:rPr>
            </w:pPr>
            <w:r>
              <w:rPr>
                <w:sz w:val="20"/>
              </w:rPr>
              <w:t>1973–2012</w:t>
            </w:r>
          </w:p>
        </w:tc>
        <w:tc>
          <w:tcPr>
            <w:tcW w:w="3421" w:type="dxa"/>
          </w:tcPr>
          <w:p w14:paraId="6DC3BC89" w14:textId="77777777" w:rsidR="0046798B" w:rsidRDefault="00903B5C">
            <w:pPr>
              <w:pStyle w:val="TableParagraph"/>
              <w:spacing w:before="38"/>
              <w:ind w:left="114" w:right="122"/>
              <w:rPr>
                <w:sz w:val="20"/>
              </w:rPr>
            </w:pPr>
            <w:r>
              <w:rPr>
                <w:sz w:val="20"/>
              </w:rPr>
              <w:t>Estimated proportion of citizenry who believe we are spending “too much” on welfare for the poor</w:t>
            </w:r>
          </w:p>
        </w:tc>
        <w:tc>
          <w:tcPr>
            <w:tcW w:w="6482" w:type="dxa"/>
          </w:tcPr>
          <w:p w14:paraId="0924C85D" w14:textId="77777777" w:rsidR="0046798B" w:rsidRDefault="0046798B">
            <w:pPr>
              <w:pStyle w:val="TableParagraph"/>
              <w:spacing w:before="3"/>
              <w:rPr>
                <w:sz w:val="23"/>
              </w:rPr>
            </w:pPr>
          </w:p>
          <w:p w14:paraId="632748B6" w14:textId="77777777" w:rsidR="0046798B" w:rsidRDefault="00903B5C">
            <w:pPr>
              <w:pStyle w:val="TableParagraph"/>
              <w:spacing w:before="1"/>
              <w:ind w:left="114"/>
              <w:rPr>
                <w:sz w:val="20"/>
              </w:rPr>
            </w:pPr>
            <w:r>
              <w:rPr>
                <w:sz w:val="20"/>
              </w:rPr>
              <w:t>Kim, Sung Eun, and Johannes Urpelainen. “Environmental Public Opinion in</w:t>
            </w:r>
          </w:p>
          <w:p w14:paraId="751D5F68" w14:textId="77777777" w:rsidR="0046798B" w:rsidRDefault="00903B5C">
            <w:pPr>
              <w:pStyle w:val="TableParagraph"/>
              <w:ind w:left="114"/>
              <w:rPr>
                <w:sz w:val="20"/>
              </w:rPr>
            </w:pPr>
            <w:r>
              <w:rPr>
                <w:sz w:val="20"/>
              </w:rPr>
              <w:t xml:space="preserve">U.S. States, 1973–2012.” </w:t>
            </w:r>
            <w:r>
              <w:rPr>
                <w:i/>
                <w:sz w:val="20"/>
              </w:rPr>
              <w:t xml:space="preserve">Environmental Politics </w:t>
            </w:r>
            <w:r>
              <w:rPr>
                <w:sz w:val="20"/>
              </w:rPr>
              <w:t>27.1 (2017): 89–114.</w:t>
            </w:r>
          </w:p>
        </w:tc>
      </w:tr>
    </w:tbl>
    <w:p w14:paraId="34D46517" w14:textId="77777777" w:rsidR="0046798B" w:rsidRDefault="0046798B">
      <w:pPr>
        <w:rPr>
          <w:sz w:val="20"/>
        </w:rPr>
        <w:sectPr w:rsidR="0046798B">
          <w:pgSz w:w="15840" w:h="12240" w:orient="landscape"/>
          <w:pgMar w:top="1220" w:right="300" w:bottom="980" w:left="820" w:header="730" w:footer="787" w:gutter="0"/>
          <w:cols w:space="720"/>
        </w:sectPr>
      </w:pPr>
    </w:p>
    <w:p w14:paraId="5336FAB9"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36C9367" w14:textId="77777777">
        <w:trPr>
          <w:trHeight w:val="1005"/>
        </w:trPr>
        <w:tc>
          <w:tcPr>
            <w:tcW w:w="1711" w:type="dxa"/>
          </w:tcPr>
          <w:p w14:paraId="7F3D741A" w14:textId="77777777" w:rsidR="0046798B" w:rsidRDefault="0046798B">
            <w:pPr>
              <w:pStyle w:val="TableParagraph"/>
              <w:rPr>
                <w:sz w:val="20"/>
              </w:rPr>
            </w:pPr>
          </w:p>
        </w:tc>
        <w:tc>
          <w:tcPr>
            <w:tcW w:w="1596" w:type="dxa"/>
          </w:tcPr>
          <w:p w14:paraId="739C1509" w14:textId="77777777" w:rsidR="0046798B" w:rsidRDefault="0046798B">
            <w:pPr>
              <w:pStyle w:val="TableParagraph"/>
              <w:rPr>
                <w:sz w:val="20"/>
              </w:rPr>
            </w:pPr>
          </w:p>
        </w:tc>
        <w:tc>
          <w:tcPr>
            <w:tcW w:w="1285" w:type="dxa"/>
          </w:tcPr>
          <w:p w14:paraId="45DFE365" w14:textId="77777777" w:rsidR="0046798B" w:rsidRDefault="0046798B">
            <w:pPr>
              <w:pStyle w:val="TableParagraph"/>
              <w:rPr>
                <w:sz w:val="20"/>
              </w:rPr>
            </w:pPr>
          </w:p>
        </w:tc>
        <w:tc>
          <w:tcPr>
            <w:tcW w:w="3421" w:type="dxa"/>
          </w:tcPr>
          <w:p w14:paraId="39236D89" w14:textId="77777777" w:rsidR="0046798B" w:rsidRDefault="00903B5C">
            <w:pPr>
              <w:pStyle w:val="TableParagraph"/>
              <w:spacing w:before="43"/>
              <w:ind w:left="114"/>
              <w:rPr>
                <w:sz w:val="20"/>
              </w:rPr>
            </w:pPr>
            <w:r>
              <w:rPr>
                <w:sz w:val="20"/>
              </w:rPr>
              <w:t>(note: proportion for state-year is estimated by national sample from the General Social Survey and multilevel regression and post-stratification)</w:t>
            </w:r>
          </w:p>
        </w:tc>
        <w:tc>
          <w:tcPr>
            <w:tcW w:w="6482" w:type="dxa"/>
          </w:tcPr>
          <w:p w14:paraId="1F2E046D" w14:textId="77777777" w:rsidR="0046798B" w:rsidRDefault="0046798B">
            <w:pPr>
              <w:pStyle w:val="TableParagraph"/>
              <w:rPr>
                <w:sz w:val="20"/>
              </w:rPr>
            </w:pPr>
          </w:p>
        </w:tc>
      </w:tr>
      <w:tr w:rsidR="0046798B" w14:paraId="6F6BCBCB" w14:textId="77777777">
        <w:trPr>
          <w:trHeight w:val="1926"/>
        </w:trPr>
        <w:tc>
          <w:tcPr>
            <w:tcW w:w="1711" w:type="dxa"/>
          </w:tcPr>
          <w:p w14:paraId="375FAD09" w14:textId="77777777" w:rsidR="0046798B" w:rsidRDefault="0046798B">
            <w:pPr>
              <w:pStyle w:val="TableParagraph"/>
            </w:pPr>
          </w:p>
          <w:p w14:paraId="6C7E0B35" w14:textId="77777777" w:rsidR="0046798B" w:rsidRDefault="0046798B">
            <w:pPr>
              <w:pStyle w:val="TableParagraph"/>
            </w:pPr>
          </w:p>
          <w:p w14:paraId="3A80E165" w14:textId="77777777" w:rsidR="0046798B" w:rsidRDefault="0046798B">
            <w:pPr>
              <w:pStyle w:val="TableParagraph"/>
              <w:spacing w:before="9"/>
              <w:rPr>
                <w:sz w:val="29"/>
              </w:rPr>
            </w:pPr>
          </w:p>
          <w:p w14:paraId="7D53C451" w14:textId="77777777" w:rsidR="0046798B" w:rsidRDefault="00903B5C">
            <w:pPr>
              <w:pStyle w:val="TableParagraph"/>
              <w:ind w:left="115"/>
              <w:rPr>
                <w:b/>
                <w:sz w:val="20"/>
              </w:rPr>
            </w:pPr>
            <w:r>
              <w:rPr>
                <w:b/>
                <w:sz w:val="20"/>
              </w:rPr>
              <w:t>neutral_welfare</w:t>
            </w:r>
          </w:p>
        </w:tc>
        <w:tc>
          <w:tcPr>
            <w:tcW w:w="1596" w:type="dxa"/>
          </w:tcPr>
          <w:p w14:paraId="119F5575" w14:textId="77777777" w:rsidR="0046798B" w:rsidRDefault="0046798B">
            <w:pPr>
              <w:pStyle w:val="TableParagraph"/>
            </w:pPr>
          </w:p>
          <w:p w14:paraId="289E3110" w14:textId="77777777" w:rsidR="0046798B" w:rsidRDefault="0046798B">
            <w:pPr>
              <w:pStyle w:val="TableParagraph"/>
            </w:pPr>
          </w:p>
          <w:p w14:paraId="57CCF832" w14:textId="77777777" w:rsidR="0046798B" w:rsidRDefault="0046798B">
            <w:pPr>
              <w:pStyle w:val="TableParagraph"/>
              <w:spacing w:before="9"/>
              <w:rPr>
                <w:sz w:val="19"/>
              </w:rPr>
            </w:pPr>
          </w:p>
          <w:p w14:paraId="6D5A77A5" w14:textId="77777777" w:rsidR="0046798B" w:rsidRDefault="00903B5C">
            <w:pPr>
              <w:pStyle w:val="TableParagraph"/>
              <w:ind w:left="114" w:right="202"/>
              <w:rPr>
                <w:sz w:val="20"/>
              </w:rPr>
            </w:pPr>
            <w:r>
              <w:rPr>
                <w:sz w:val="20"/>
              </w:rPr>
              <w:t>Neutral welfare opinion</w:t>
            </w:r>
          </w:p>
        </w:tc>
        <w:tc>
          <w:tcPr>
            <w:tcW w:w="1285" w:type="dxa"/>
          </w:tcPr>
          <w:p w14:paraId="42ACDAD8" w14:textId="77777777" w:rsidR="0046798B" w:rsidRDefault="0046798B">
            <w:pPr>
              <w:pStyle w:val="TableParagraph"/>
            </w:pPr>
          </w:p>
          <w:p w14:paraId="7C546B81" w14:textId="77777777" w:rsidR="0046798B" w:rsidRDefault="0046798B">
            <w:pPr>
              <w:pStyle w:val="TableParagraph"/>
            </w:pPr>
          </w:p>
          <w:p w14:paraId="4DAD284D" w14:textId="77777777" w:rsidR="0046798B" w:rsidRDefault="0046798B">
            <w:pPr>
              <w:pStyle w:val="TableParagraph"/>
              <w:spacing w:before="9"/>
              <w:rPr>
                <w:sz w:val="29"/>
              </w:rPr>
            </w:pPr>
          </w:p>
          <w:p w14:paraId="06EFF64E" w14:textId="77777777" w:rsidR="0046798B" w:rsidRDefault="00903B5C">
            <w:pPr>
              <w:pStyle w:val="TableParagraph"/>
              <w:ind w:left="114"/>
              <w:rPr>
                <w:sz w:val="20"/>
              </w:rPr>
            </w:pPr>
            <w:r>
              <w:rPr>
                <w:sz w:val="20"/>
              </w:rPr>
              <w:t>1973–2012</w:t>
            </w:r>
          </w:p>
        </w:tc>
        <w:tc>
          <w:tcPr>
            <w:tcW w:w="3421" w:type="dxa"/>
          </w:tcPr>
          <w:p w14:paraId="3EC8CA21" w14:textId="77777777" w:rsidR="0046798B" w:rsidRDefault="00903B5C">
            <w:pPr>
              <w:pStyle w:val="TableParagraph"/>
              <w:spacing w:before="43"/>
              <w:ind w:left="114" w:right="150"/>
              <w:rPr>
                <w:sz w:val="20"/>
              </w:rPr>
            </w:pPr>
            <w:r>
              <w:rPr>
                <w:sz w:val="20"/>
              </w:rPr>
              <w:t>Estimated proportion of citizenry who believe we are spending “about the right amount” on welfare for the poor</w:t>
            </w:r>
          </w:p>
          <w:p w14:paraId="37FF2BE1" w14:textId="77777777" w:rsidR="0046798B" w:rsidRDefault="0046798B">
            <w:pPr>
              <w:pStyle w:val="TableParagraph"/>
              <w:rPr>
                <w:sz w:val="20"/>
              </w:rPr>
            </w:pPr>
          </w:p>
          <w:p w14:paraId="5343330D" w14:textId="77777777" w:rsidR="0046798B" w:rsidRDefault="00903B5C">
            <w:pPr>
              <w:pStyle w:val="TableParagraph"/>
              <w:spacing w:before="1"/>
              <w:ind w:left="114"/>
              <w:rPr>
                <w:sz w:val="20"/>
              </w:rPr>
            </w:pPr>
            <w:r>
              <w:rPr>
                <w:sz w:val="20"/>
              </w:rPr>
              <w:t>(note: proportion for state-year is estimated by national sample from the General Social Survey and multilevel regression and post-stratification)</w:t>
            </w:r>
          </w:p>
        </w:tc>
        <w:tc>
          <w:tcPr>
            <w:tcW w:w="6482" w:type="dxa"/>
          </w:tcPr>
          <w:p w14:paraId="540A4B2B" w14:textId="77777777" w:rsidR="0046798B" w:rsidRDefault="0046798B">
            <w:pPr>
              <w:pStyle w:val="TableParagraph"/>
            </w:pPr>
          </w:p>
          <w:p w14:paraId="29F29B78" w14:textId="77777777" w:rsidR="0046798B" w:rsidRDefault="0046798B">
            <w:pPr>
              <w:pStyle w:val="TableParagraph"/>
            </w:pPr>
          </w:p>
          <w:p w14:paraId="5B43252E" w14:textId="77777777" w:rsidR="0046798B" w:rsidRDefault="0046798B">
            <w:pPr>
              <w:pStyle w:val="TableParagraph"/>
              <w:spacing w:before="9"/>
              <w:rPr>
                <w:sz w:val="19"/>
              </w:rPr>
            </w:pPr>
          </w:p>
          <w:p w14:paraId="39F646B4" w14:textId="77777777" w:rsidR="0046798B" w:rsidRDefault="00903B5C">
            <w:pPr>
              <w:pStyle w:val="TableParagraph"/>
              <w:ind w:left="114"/>
              <w:rPr>
                <w:sz w:val="20"/>
              </w:rPr>
            </w:pPr>
            <w:r>
              <w:rPr>
                <w:sz w:val="20"/>
              </w:rPr>
              <w:t>Kim, Sung Eun, and Johannes Urpelainen. “Environmental Public Opinion in</w:t>
            </w:r>
          </w:p>
          <w:p w14:paraId="38033DEF" w14:textId="77777777" w:rsidR="0046798B" w:rsidRDefault="00903B5C">
            <w:pPr>
              <w:pStyle w:val="TableParagraph"/>
              <w:ind w:left="114"/>
              <w:rPr>
                <w:sz w:val="20"/>
              </w:rPr>
            </w:pPr>
            <w:r>
              <w:rPr>
                <w:sz w:val="20"/>
              </w:rPr>
              <w:t xml:space="preserve">U.S. States, 1973–2012.” </w:t>
            </w:r>
            <w:r>
              <w:rPr>
                <w:i/>
                <w:sz w:val="20"/>
              </w:rPr>
              <w:t xml:space="preserve">Environmental Politics </w:t>
            </w:r>
            <w:r>
              <w:rPr>
                <w:sz w:val="20"/>
              </w:rPr>
              <w:t>27.1 (2017): 89–114.</w:t>
            </w:r>
          </w:p>
        </w:tc>
      </w:tr>
      <w:tr w:rsidR="0046798B" w14:paraId="22607F70" w14:textId="77777777">
        <w:trPr>
          <w:trHeight w:val="1930"/>
        </w:trPr>
        <w:tc>
          <w:tcPr>
            <w:tcW w:w="1711" w:type="dxa"/>
          </w:tcPr>
          <w:p w14:paraId="15762003" w14:textId="77777777" w:rsidR="0046798B" w:rsidRDefault="0046798B">
            <w:pPr>
              <w:pStyle w:val="TableParagraph"/>
            </w:pPr>
          </w:p>
          <w:p w14:paraId="6FB6D0E7" w14:textId="77777777" w:rsidR="0046798B" w:rsidRDefault="0046798B">
            <w:pPr>
              <w:pStyle w:val="TableParagraph"/>
            </w:pPr>
          </w:p>
          <w:p w14:paraId="53792880" w14:textId="77777777" w:rsidR="0046798B" w:rsidRDefault="0046798B">
            <w:pPr>
              <w:pStyle w:val="TableParagraph"/>
              <w:spacing w:before="8"/>
              <w:rPr>
                <w:sz w:val="29"/>
              </w:rPr>
            </w:pPr>
          </w:p>
          <w:p w14:paraId="6A1396A1" w14:textId="77777777" w:rsidR="0046798B" w:rsidRDefault="00903B5C">
            <w:pPr>
              <w:pStyle w:val="TableParagraph"/>
              <w:spacing w:before="1"/>
              <w:ind w:left="115"/>
              <w:rPr>
                <w:b/>
                <w:sz w:val="20"/>
              </w:rPr>
            </w:pPr>
            <w:r>
              <w:rPr>
                <w:b/>
                <w:sz w:val="20"/>
              </w:rPr>
              <w:t>pro_health</w:t>
            </w:r>
          </w:p>
        </w:tc>
        <w:tc>
          <w:tcPr>
            <w:tcW w:w="1596" w:type="dxa"/>
          </w:tcPr>
          <w:p w14:paraId="0C86A06B" w14:textId="77777777" w:rsidR="0046798B" w:rsidRDefault="0046798B">
            <w:pPr>
              <w:pStyle w:val="TableParagraph"/>
            </w:pPr>
          </w:p>
          <w:p w14:paraId="23C4DB00" w14:textId="77777777" w:rsidR="0046798B" w:rsidRDefault="0046798B">
            <w:pPr>
              <w:pStyle w:val="TableParagraph"/>
            </w:pPr>
          </w:p>
          <w:p w14:paraId="52125655" w14:textId="77777777" w:rsidR="0046798B" w:rsidRDefault="0046798B">
            <w:pPr>
              <w:pStyle w:val="TableParagraph"/>
              <w:spacing w:before="8"/>
              <w:rPr>
                <w:sz w:val="19"/>
              </w:rPr>
            </w:pPr>
          </w:p>
          <w:p w14:paraId="2486D1B9" w14:textId="77777777" w:rsidR="0046798B" w:rsidRDefault="00903B5C">
            <w:pPr>
              <w:pStyle w:val="TableParagraph"/>
              <w:spacing w:before="1"/>
              <w:ind w:left="114" w:right="229"/>
              <w:rPr>
                <w:sz w:val="20"/>
              </w:rPr>
            </w:pPr>
            <w:r>
              <w:rPr>
                <w:sz w:val="20"/>
              </w:rPr>
              <w:t>Pro-health opinion</w:t>
            </w:r>
          </w:p>
        </w:tc>
        <w:tc>
          <w:tcPr>
            <w:tcW w:w="1285" w:type="dxa"/>
          </w:tcPr>
          <w:p w14:paraId="63286DB0" w14:textId="77777777" w:rsidR="0046798B" w:rsidRDefault="0046798B">
            <w:pPr>
              <w:pStyle w:val="TableParagraph"/>
            </w:pPr>
          </w:p>
          <w:p w14:paraId="2104DDB8" w14:textId="77777777" w:rsidR="0046798B" w:rsidRDefault="0046798B">
            <w:pPr>
              <w:pStyle w:val="TableParagraph"/>
            </w:pPr>
          </w:p>
          <w:p w14:paraId="52BA9B15" w14:textId="77777777" w:rsidR="0046798B" w:rsidRDefault="0046798B">
            <w:pPr>
              <w:pStyle w:val="TableParagraph"/>
              <w:spacing w:before="8"/>
              <w:rPr>
                <w:sz w:val="29"/>
              </w:rPr>
            </w:pPr>
          </w:p>
          <w:p w14:paraId="5BDC5A28" w14:textId="77777777" w:rsidR="0046798B" w:rsidRDefault="00903B5C">
            <w:pPr>
              <w:pStyle w:val="TableParagraph"/>
              <w:spacing w:before="1"/>
              <w:ind w:left="114"/>
              <w:rPr>
                <w:sz w:val="20"/>
              </w:rPr>
            </w:pPr>
            <w:r>
              <w:rPr>
                <w:sz w:val="20"/>
              </w:rPr>
              <w:t>1973–2012</w:t>
            </w:r>
          </w:p>
        </w:tc>
        <w:tc>
          <w:tcPr>
            <w:tcW w:w="3421" w:type="dxa"/>
          </w:tcPr>
          <w:p w14:paraId="2F7B8F18" w14:textId="77777777" w:rsidR="0046798B" w:rsidRDefault="00903B5C">
            <w:pPr>
              <w:pStyle w:val="TableParagraph"/>
              <w:spacing w:before="43"/>
              <w:ind w:left="114" w:right="216"/>
              <w:jc w:val="both"/>
              <w:rPr>
                <w:sz w:val="20"/>
              </w:rPr>
            </w:pPr>
            <w:r>
              <w:rPr>
                <w:sz w:val="20"/>
              </w:rPr>
              <w:t>Estimated proportion of citizenry who believe we are spending “too little” on health</w:t>
            </w:r>
          </w:p>
          <w:p w14:paraId="322D480A" w14:textId="77777777" w:rsidR="0046798B" w:rsidRDefault="0046798B">
            <w:pPr>
              <w:pStyle w:val="TableParagraph"/>
              <w:rPr>
                <w:sz w:val="20"/>
              </w:rPr>
            </w:pPr>
          </w:p>
          <w:p w14:paraId="0E316394" w14:textId="77777777" w:rsidR="0046798B" w:rsidRDefault="00903B5C">
            <w:pPr>
              <w:pStyle w:val="TableParagraph"/>
              <w:ind w:left="114"/>
              <w:rPr>
                <w:sz w:val="20"/>
              </w:rPr>
            </w:pPr>
            <w:r>
              <w:rPr>
                <w:sz w:val="20"/>
              </w:rPr>
              <w:t>(note: proportion for state-year is estimated by national sample from the General Social Survey and multilevel regression and post-stratification)</w:t>
            </w:r>
          </w:p>
        </w:tc>
        <w:tc>
          <w:tcPr>
            <w:tcW w:w="6482" w:type="dxa"/>
          </w:tcPr>
          <w:p w14:paraId="17C5E43C" w14:textId="77777777" w:rsidR="0046798B" w:rsidRDefault="0046798B">
            <w:pPr>
              <w:pStyle w:val="TableParagraph"/>
            </w:pPr>
          </w:p>
          <w:p w14:paraId="1DD17F81" w14:textId="77777777" w:rsidR="0046798B" w:rsidRDefault="0046798B">
            <w:pPr>
              <w:pStyle w:val="TableParagraph"/>
            </w:pPr>
          </w:p>
          <w:p w14:paraId="09154A10" w14:textId="77777777" w:rsidR="0046798B" w:rsidRDefault="0046798B">
            <w:pPr>
              <w:pStyle w:val="TableParagraph"/>
              <w:spacing w:before="8"/>
              <w:rPr>
                <w:sz w:val="19"/>
              </w:rPr>
            </w:pPr>
          </w:p>
          <w:p w14:paraId="10C70542" w14:textId="77777777" w:rsidR="0046798B" w:rsidRDefault="00903B5C">
            <w:pPr>
              <w:pStyle w:val="TableParagraph"/>
              <w:spacing w:before="1"/>
              <w:ind w:left="114"/>
              <w:rPr>
                <w:sz w:val="20"/>
              </w:rPr>
            </w:pPr>
            <w:r>
              <w:rPr>
                <w:sz w:val="20"/>
              </w:rPr>
              <w:t>Kim, Sung Eun, and Johannes Urpelainen. “Environmental Public Opinion in</w:t>
            </w:r>
          </w:p>
          <w:p w14:paraId="3E21665B" w14:textId="77777777" w:rsidR="0046798B" w:rsidRDefault="00903B5C">
            <w:pPr>
              <w:pStyle w:val="TableParagraph"/>
              <w:ind w:left="114"/>
              <w:rPr>
                <w:sz w:val="20"/>
              </w:rPr>
            </w:pPr>
            <w:r>
              <w:rPr>
                <w:sz w:val="20"/>
              </w:rPr>
              <w:t xml:space="preserve">U.S. States, 1973–2012.” </w:t>
            </w:r>
            <w:r>
              <w:rPr>
                <w:i/>
                <w:sz w:val="20"/>
              </w:rPr>
              <w:t xml:space="preserve">Environmental Politics </w:t>
            </w:r>
            <w:r>
              <w:rPr>
                <w:sz w:val="20"/>
              </w:rPr>
              <w:t>27.1 (2017): 89–114.</w:t>
            </w:r>
          </w:p>
        </w:tc>
      </w:tr>
      <w:tr w:rsidR="0046798B" w14:paraId="7DABBF9A" w14:textId="77777777">
        <w:trPr>
          <w:trHeight w:val="1926"/>
        </w:trPr>
        <w:tc>
          <w:tcPr>
            <w:tcW w:w="1711" w:type="dxa"/>
          </w:tcPr>
          <w:p w14:paraId="6B059F03" w14:textId="77777777" w:rsidR="0046798B" w:rsidRDefault="0046798B">
            <w:pPr>
              <w:pStyle w:val="TableParagraph"/>
            </w:pPr>
          </w:p>
          <w:p w14:paraId="51B22030" w14:textId="77777777" w:rsidR="0046798B" w:rsidRDefault="0046798B">
            <w:pPr>
              <w:pStyle w:val="TableParagraph"/>
            </w:pPr>
          </w:p>
          <w:p w14:paraId="3989B312" w14:textId="77777777" w:rsidR="0046798B" w:rsidRDefault="0046798B">
            <w:pPr>
              <w:pStyle w:val="TableParagraph"/>
              <w:spacing w:before="4"/>
              <w:rPr>
                <w:sz w:val="29"/>
              </w:rPr>
            </w:pPr>
          </w:p>
          <w:p w14:paraId="72A78703" w14:textId="77777777" w:rsidR="0046798B" w:rsidRDefault="00903B5C">
            <w:pPr>
              <w:pStyle w:val="TableParagraph"/>
              <w:ind w:left="115"/>
              <w:rPr>
                <w:b/>
                <w:sz w:val="20"/>
              </w:rPr>
            </w:pPr>
            <w:r>
              <w:rPr>
                <w:b/>
                <w:sz w:val="20"/>
              </w:rPr>
              <w:t>anti_health</w:t>
            </w:r>
          </w:p>
        </w:tc>
        <w:tc>
          <w:tcPr>
            <w:tcW w:w="1596" w:type="dxa"/>
          </w:tcPr>
          <w:p w14:paraId="1FF37740" w14:textId="77777777" w:rsidR="0046798B" w:rsidRDefault="0046798B">
            <w:pPr>
              <w:pStyle w:val="TableParagraph"/>
            </w:pPr>
          </w:p>
          <w:p w14:paraId="5A32A126" w14:textId="77777777" w:rsidR="0046798B" w:rsidRDefault="0046798B">
            <w:pPr>
              <w:pStyle w:val="TableParagraph"/>
            </w:pPr>
          </w:p>
          <w:p w14:paraId="635D12E8" w14:textId="77777777" w:rsidR="0046798B" w:rsidRDefault="0046798B">
            <w:pPr>
              <w:pStyle w:val="TableParagraph"/>
              <w:spacing w:before="4"/>
              <w:rPr>
                <w:sz w:val="19"/>
              </w:rPr>
            </w:pPr>
          </w:p>
          <w:p w14:paraId="04AB41E6" w14:textId="77777777" w:rsidR="0046798B" w:rsidRDefault="00903B5C">
            <w:pPr>
              <w:pStyle w:val="TableParagraph"/>
              <w:ind w:left="114" w:right="541"/>
              <w:rPr>
                <w:sz w:val="20"/>
              </w:rPr>
            </w:pPr>
            <w:r>
              <w:rPr>
                <w:sz w:val="20"/>
              </w:rPr>
              <w:t>Anti-health opinion</w:t>
            </w:r>
          </w:p>
        </w:tc>
        <w:tc>
          <w:tcPr>
            <w:tcW w:w="1285" w:type="dxa"/>
          </w:tcPr>
          <w:p w14:paraId="390BD272" w14:textId="77777777" w:rsidR="0046798B" w:rsidRDefault="0046798B">
            <w:pPr>
              <w:pStyle w:val="TableParagraph"/>
            </w:pPr>
          </w:p>
          <w:p w14:paraId="15953A9B" w14:textId="77777777" w:rsidR="0046798B" w:rsidRDefault="0046798B">
            <w:pPr>
              <w:pStyle w:val="TableParagraph"/>
            </w:pPr>
          </w:p>
          <w:p w14:paraId="18F601F6" w14:textId="77777777" w:rsidR="0046798B" w:rsidRDefault="0046798B">
            <w:pPr>
              <w:pStyle w:val="TableParagraph"/>
              <w:spacing w:before="4"/>
              <w:rPr>
                <w:sz w:val="29"/>
              </w:rPr>
            </w:pPr>
          </w:p>
          <w:p w14:paraId="30B5EFF1" w14:textId="77777777" w:rsidR="0046798B" w:rsidRDefault="00903B5C">
            <w:pPr>
              <w:pStyle w:val="TableParagraph"/>
              <w:ind w:left="114"/>
              <w:rPr>
                <w:sz w:val="20"/>
              </w:rPr>
            </w:pPr>
            <w:r>
              <w:rPr>
                <w:sz w:val="20"/>
              </w:rPr>
              <w:t>1973–2012</w:t>
            </w:r>
          </w:p>
        </w:tc>
        <w:tc>
          <w:tcPr>
            <w:tcW w:w="3421" w:type="dxa"/>
          </w:tcPr>
          <w:p w14:paraId="4EC2C585" w14:textId="77777777" w:rsidR="0046798B" w:rsidRDefault="00903B5C">
            <w:pPr>
              <w:pStyle w:val="TableParagraph"/>
              <w:spacing w:before="38"/>
              <w:ind w:left="114" w:right="122"/>
              <w:rPr>
                <w:sz w:val="20"/>
              </w:rPr>
            </w:pPr>
            <w:r>
              <w:rPr>
                <w:sz w:val="20"/>
              </w:rPr>
              <w:t>Estimated proportion of citizenry who believe we are spending “too much” on health</w:t>
            </w:r>
          </w:p>
          <w:p w14:paraId="21205869" w14:textId="77777777" w:rsidR="0046798B" w:rsidRDefault="0046798B">
            <w:pPr>
              <w:pStyle w:val="TableParagraph"/>
              <w:rPr>
                <w:sz w:val="20"/>
              </w:rPr>
            </w:pPr>
          </w:p>
          <w:p w14:paraId="70EC667E" w14:textId="77777777" w:rsidR="0046798B" w:rsidRDefault="00903B5C">
            <w:pPr>
              <w:pStyle w:val="TableParagraph"/>
              <w:spacing w:before="1"/>
              <w:ind w:left="114"/>
              <w:rPr>
                <w:sz w:val="20"/>
              </w:rPr>
            </w:pPr>
            <w:r>
              <w:rPr>
                <w:sz w:val="20"/>
              </w:rPr>
              <w:t>(note: proportion for state-year is estimated by national sample from the General Social Survey and multilevel regression and post-stratification)</w:t>
            </w:r>
          </w:p>
        </w:tc>
        <w:tc>
          <w:tcPr>
            <w:tcW w:w="6482" w:type="dxa"/>
          </w:tcPr>
          <w:p w14:paraId="3824F260" w14:textId="77777777" w:rsidR="0046798B" w:rsidRDefault="0046798B">
            <w:pPr>
              <w:pStyle w:val="TableParagraph"/>
            </w:pPr>
          </w:p>
          <w:p w14:paraId="7C73176D" w14:textId="77777777" w:rsidR="0046798B" w:rsidRDefault="0046798B">
            <w:pPr>
              <w:pStyle w:val="TableParagraph"/>
            </w:pPr>
          </w:p>
          <w:p w14:paraId="6656A688" w14:textId="77777777" w:rsidR="0046798B" w:rsidRDefault="0046798B">
            <w:pPr>
              <w:pStyle w:val="TableParagraph"/>
              <w:spacing w:before="4"/>
              <w:rPr>
                <w:sz w:val="19"/>
              </w:rPr>
            </w:pPr>
          </w:p>
          <w:p w14:paraId="253FAC04" w14:textId="77777777" w:rsidR="0046798B" w:rsidRDefault="00903B5C">
            <w:pPr>
              <w:pStyle w:val="TableParagraph"/>
              <w:ind w:left="114"/>
              <w:rPr>
                <w:sz w:val="20"/>
              </w:rPr>
            </w:pPr>
            <w:r>
              <w:rPr>
                <w:sz w:val="20"/>
              </w:rPr>
              <w:t>Kim, Sung Eun, and Johannes Urpelainen. “Environmental Public Opinion in</w:t>
            </w:r>
          </w:p>
          <w:p w14:paraId="16B6CB8E" w14:textId="77777777" w:rsidR="0046798B" w:rsidRDefault="00903B5C">
            <w:pPr>
              <w:pStyle w:val="TableParagraph"/>
              <w:ind w:left="114"/>
              <w:rPr>
                <w:sz w:val="20"/>
              </w:rPr>
            </w:pPr>
            <w:r>
              <w:rPr>
                <w:sz w:val="20"/>
              </w:rPr>
              <w:t xml:space="preserve">U.S. States, 1973–2012.” </w:t>
            </w:r>
            <w:r>
              <w:rPr>
                <w:i/>
                <w:sz w:val="20"/>
              </w:rPr>
              <w:t xml:space="preserve">Environmental Politics </w:t>
            </w:r>
            <w:r>
              <w:rPr>
                <w:sz w:val="20"/>
              </w:rPr>
              <w:t>27.1 (2017): 89–114.</w:t>
            </w:r>
          </w:p>
        </w:tc>
      </w:tr>
      <w:tr w:rsidR="0046798B" w14:paraId="2B639100" w14:textId="77777777">
        <w:trPr>
          <w:trHeight w:val="1925"/>
        </w:trPr>
        <w:tc>
          <w:tcPr>
            <w:tcW w:w="1711" w:type="dxa"/>
          </w:tcPr>
          <w:p w14:paraId="40E27FEA" w14:textId="77777777" w:rsidR="0046798B" w:rsidRDefault="0046798B">
            <w:pPr>
              <w:pStyle w:val="TableParagraph"/>
            </w:pPr>
          </w:p>
          <w:p w14:paraId="4C520F58" w14:textId="77777777" w:rsidR="0046798B" w:rsidRDefault="0046798B">
            <w:pPr>
              <w:pStyle w:val="TableParagraph"/>
            </w:pPr>
          </w:p>
          <w:p w14:paraId="03238CEC" w14:textId="77777777" w:rsidR="0046798B" w:rsidRDefault="0046798B">
            <w:pPr>
              <w:pStyle w:val="TableParagraph"/>
              <w:spacing w:before="4"/>
              <w:rPr>
                <w:sz w:val="29"/>
              </w:rPr>
            </w:pPr>
          </w:p>
          <w:p w14:paraId="05E1E712" w14:textId="77777777" w:rsidR="0046798B" w:rsidRDefault="00903B5C">
            <w:pPr>
              <w:pStyle w:val="TableParagraph"/>
              <w:ind w:left="115"/>
              <w:rPr>
                <w:b/>
                <w:sz w:val="20"/>
              </w:rPr>
            </w:pPr>
            <w:r>
              <w:rPr>
                <w:b/>
                <w:sz w:val="20"/>
              </w:rPr>
              <w:t>neutral_health</w:t>
            </w:r>
          </w:p>
        </w:tc>
        <w:tc>
          <w:tcPr>
            <w:tcW w:w="1596" w:type="dxa"/>
          </w:tcPr>
          <w:p w14:paraId="466A4CE5" w14:textId="77777777" w:rsidR="0046798B" w:rsidRDefault="0046798B">
            <w:pPr>
              <w:pStyle w:val="TableParagraph"/>
            </w:pPr>
          </w:p>
          <w:p w14:paraId="7714D63A" w14:textId="77777777" w:rsidR="0046798B" w:rsidRDefault="0046798B">
            <w:pPr>
              <w:pStyle w:val="TableParagraph"/>
            </w:pPr>
          </w:p>
          <w:p w14:paraId="756B794F" w14:textId="77777777" w:rsidR="0046798B" w:rsidRDefault="0046798B">
            <w:pPr>
              <w:pStyle w:val="TableParagraph"/>
              <w:spacing w:before="3"/>
              <w:rPr>
                <w:sz w:val="19"/>
              </w:rPr>
            </w:pPr>
          </w:p>
          <w:p w14:paraId="3719D0D9" w14:textId="77777777" w:rsidR="0046798B" w:rsidRDefault="00903B5C">
            <w:pPr>
              <w:pStyle w:val="TableParagraph"/>
              <w:spacing w:before="1"/>
              <w:ind w:left="114" w:right="313"/>
              <w:rPr>
                <w:sz w:val="20"/>
              </w:rPr>
            </w:pPr>
            <w:r>
              <w:rPr>
                <w:sz w:val="20"/>
              </w:rPr>
              <w:t>Neutral health opinion</w:t>
            </w:r>
          </w:p>
        </w:tc>
        <w:tc>
          <w:tcPr>
            <w:tcW w:w="1285" w:type="dxa"/>
          </w:tcPr>
          <w:p w14:paraId="746DE620" w14:textId="77777777" w:rsidR="0046798B" w:rsidRDefault="0046798B">
            <w:pPr>
              <w:pStyle w:val="TableParagraph"/>
            </w:pPr>
          </w:p>
          <w:p w14:paraId="37225CE6" w14:textId="77777777" w:rsidR="0046798B" w:rsidRDefault="0046798B">
            <w:pPr>
              <w:pStyle w:val="TableParagraph"/>
            </w:pPr>
          </w:p>
          <w:p w14:paraId="3C52C663" w14:textId="77777777" w:rsidR="0046798B" w:rsidRDefault="0046798B">
            <w:pPr>
              <w:pStyle w:val="TableParagraph"/>
              <w:spacing w:before="4"/>
              <w:rPr>
                <w:sz w:val="29"/>
              </w:rPr>
            </w:pPr>
          </w:p>
          <w:p w14:paraId="4E918DD8" w14:textId="77777777" w:rsidR="0046798B" w:rsidRDefault="00903B5C">
            <w:pPr>
              <w:pStyle w:val="TableParagraph"/>
              <w:ind w:left="114"/>
              <w:rPr>
                <w:sz w:val="20"/>
              </w:rPr>
            </w:pPr>
            <w:r>
              <w:rPr>
                <w:sz w:val="20"/>
              </w:rPr>
              <w:t>1973–2012</w:t>
            </w:r>
          </w:p>
        </w:tc>
        <w:tc>
          <w:tcPr>
            <w:tcW w:w="3421" w:type="dxa"/>
          </w:tcPr>
          <w:p w14:paraId="40FB750E" w14:textId="77777777" w:rsidR="0046798B" w:rsidRDefault="00903B5C">
            <w:pPr>
              <w:pStyle w:val="TableParagraph"/>
              <w:spacing w:before="38"/>
              <w:ind w:left="114" w:right="150"/>
              <w:rPr>
                <w:sz w:val="20"/>
              </w:rPr>
            </w:pPr>
            <w:r>
              <w:rPr>
                <w:sz w:val="20"/>
              </w:rPr>
              <w:t>Estimated proportion of citizenry who believe we are spending “about the right amount” on health</w:t>
            </w:r>
          </w:p>
          <w:p w14:paraId="09C66EE9" w14:textId="77777777" w:rsidR="0046798B" w:rsidRDefault="0046798B">
            <w:pPr>
              <w:pStyle w:val="TableParagraph"/>
              <w:rPr>
                <w:sz w:val="20"/>
              </w:rPr>
            </w:pPr>
          </w:p>
          <w:p w14:paraId="1C998570" w14:textId="77777777" w:rsidR="0046798B" w:rsidRDefault="00903B5C">
            <w:pPr>
              <w:pStyle w:val="TableParagraph"/>
              <w:ind w:left="114"/>
              <w:rPr>
                <w:sz w:val="20"/>
              </w:rPr>
            </w:pPr>
            <w:r>
              <w:rPr>
                <w:sz w:val="20"/>
              </w:rPr>
              <w:t>(note: proportion for state-year is estimated by national sample from the General Social Survey and multilevel regression and post-stratification)</w:t>
            </w:r>
          </w:p>
        </w:tc>
        <w:tc>
          <w:tcPr>
            <w:tcW w:w="6482" w:type="dxa"/>
          </w:tcPr>
          <w:p w14:paraId="48A0D448" w14:textId="77777777" w:rsidR="0046798B" w:rsidRDefault="0046798B">
            <w:pPr>
              <w:pStyle w:val="TableParagraph"/>
            </w:pPr>
          </w:p>
          <w:p w14:paraId="5CFCA9A4" w14:textId="77777777" w:rsidR="0046798B" w:rsidRDefault="0046798B">
            <w:pPr>
              <w:pStyle w:val="TableParagraph"/>
            </w:pPr>
          </w:p>
          <w:p w14:paraId="6404F076" w14:textId="77777777" w:rsidR="0046798B" w:rsidRDefault="0046798B">
            <w:pPr>
              <w:pStyle w:val="TableParagraph"/>
              <w:spacing w:before="3"/>
              <w:rPr>
                <w:sz w:val="19"/>
              </w:rPr>
            </w:pPr>
          </w:p>
          <w:p w14:paraId="2C89D0AF" w14:textId="77777777" w:rsidR="0046798B" w:rsidRDefault="00903B5C">
            <w:pPr>
              <w:pStyle w:val="TableParagraph"/>
              <w:spacing w:before="1"/>
              <w:ind w:left="114"/>
              <w:rPr>
                <w:sz w:val="20"/>
              </w:rPr>
            </w:pPr>
            <w:r>
              <w:rPr>
                <w:sz w:val="20"/>
              </w:rPr>
              <w:t>Kim, Sung Eun, and Johannes Urpelainen. “Environmental Public Opinion in</w:t>
            </w:r>
          </w:p>
          <w:p w14:paraId="3E17A00B" w14:textId="77777777" w:rsidR="0046798B" w:rsidRDefault="00903B5C">
            <w:pPr>
              <w:pStyle w:val="TableParagraph"/>
              <w:ind w:left="114"/>
              <w:rPr>
                <w:sz w:val="20"/>
              </w:rPr>
            </w:pPr>
            <w:r>
              <w:rPr>
                <w:sz w:val="20"/>
              </w:rPr>
              <w:t xml:space="preserve">U.S. States, 1973–2012.” </w:t>
            </w:r>
            <w:r>
              <w:rPr>
                <w:i/>
                <w:sz w:val="20"/>
              </w:rPr>
              <w:t xml:space="preserve">Environmental Politics </w:t>
            </w:r>
            <w:r>
              <w:rPr>
                <w:sz w:val="20"/>
              </w:rPr>
              <w:t>27.1 (2017): 89–114.</w:t>
            </w:r>
          </w:p>
        </w:tc>
      </w:tr>
    </w:tbl>
    <w:p w14:paraId="25BE8006" w14:textId="77777777" w:rsidR="0046798B" w:rsidRDefault="0046798B">
      <w:pPr>
        <w:rPr>
          <w:sz w:val="20"/>
        </w:rPr>
        <w:sectPr w:rsidR="0046798B">
          <w:pgSz w:w="15840" w:h="12240" w:orient="landscape"/>
          <w:pgMar w:top="1220" w:right="300" w:bottom="980" w:left="820" w:header="730" w:footer="787" w:gutter="0"/>
          <w:cols w:space="720"/>
        </w:sectPr>
      </w:pPr>
    </w:p>
    <w:p w14:paraId="1842238C"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A32B21D" w14:textId="77777777">
        <w:trPr>
          <w:trHeight w:val="1926"/>
        </w:trPr>
        <w:tc>
          <w:tcPr>
            <w:tcW w:w="1711" w:type="dxa"/>
          </w:tcPr>
          <w:p w14:paraId="3C5A82A2" w14:textId="77777777" w:rsidR="0046798B" w:rsidRDefault="0046798B">
            <w:pPr>
              <w:pStyle w:val="TableParagraph"/>
            </w:pPr>
          </w:p>
          <w:p w14:paraId="77525358" w14:textId="77777777" w:rsidR="0046798B" w:rsidRDefault="0046798B">
            <w:pPr>
              <w:pStyle w:val="TableParagraph"/>
            </w:pPr>
          </w:p>
          <w:p w14:paraId="2C5456A6" w14:textId="77777777" w:rsidR="0046798B" w:rsidRDefault="0046798B">
            <w:pPr>
              <w:pStyle w:val="TableParagraph"/>
              <w:spacing w:before="9"/>
              <w:rPr>
                <w:sz w:val="29"/>
              </w:rPr>
            </w:pPr>
          </w:p>
          <w:p w14:paraId="3A8CE590" w14:textId="77777777" w:rsidR="0046798B" w:rsidRDefault="00903B5C">
            <w:pPr>
              <w:pStyle w:val="TableParagraph"/>
              <w:ind w:left="115"/>
              <w:rPr>
                <w:b/>
                <w:sz w:val="20"/>
              </w:rPr>
            </w:pPr>
            <w:r>
              <w:rPr>
                <w:b/>
                <w:sz w:val="20"/>
              </w:rPr>
              <w:t>pro_race</w:t>
            </w:r>
          </w:p>
        </w:tc>
        <w:tc>
          <w:tcPr>
            <w:tcW w:w="1596" w:type="dxa"/>
          </w:tcPr>
          <w:p w14:paraId="4A4F9530" w14:textId="77777777" w:rsidR="0046798B" w:rsidRDefault="0046798B">
            <w:pPr>
              <w:pStyle w:val="TableParagraph"/>
            </w:pPr>
          </w:p>
          <w:p w14:paraId="6A1B1E0A" w14:textId="77777777" w:rsidR="0046798B" w:rsidRDefault="0046798B">
            <w:pPr>
              <w:pStyle w:val="TableParagraph"/>
            </w:pPr>
          </w:p>
          <w:p w14:paraId="2D5C4A0A" w14:textId="77777777" w:rsidR="0046798B" w:rsidRDefault="0046798B">
            <w:pPr>
              <w:pStyle w:val="TableParagraph"/>
              <w:spacing w:before="9"/>
              <w:rPr>
                <w:sz w:val="29"/>
              </w:rPr>
            </w:pPr>
          </w:p>
          <w:p w14:paraId="48912465" w14:textId="77777777" w:rsidR="0046798B" w:rsidRDefault="00903B5C">
            <w:pPr>
              <w:pStyle w:val="TableParagraph"/>
              <w:ind w:left="114"/>
              <w:rPr>
                <w:sz w:val="20"/>
              </w:rPr>
            </w:pPr>
            <w:r>
              <w:rPr>
                <w:sz w:val="20"/>
              </w:rPr>
              <w:t>Pro-race opinion</w:t>
            </w:r>
          </w:p>
        </w:tc>
        <w:tc>
          <w:tcPr>
            <w:tcW w:w="1285" w:type="dxa"/>
          </w:tcPr>
          <w:p w14:paraId="032E0A77" w14:textId="77777777" w:rsidR="0046798B" w:rsidRDefault="0046798B">
            <w:pPr>
              <w:pStyle w:val="TableParagraph"/>
            </w:pPr>
          </w:p>
          <w:p w14:paraId="18542D8E" w14:textId="77777777" w:rsidR="0046798B" w:rsidRDefault="0046798B">
            <w:pPr>
              <w:pStyle w:val="TableParagraph"/>
            </w:pPr>
          </w:p>
          <w:p w14:paraId="70646E83" w14:textId="77777777" w:rsidR="0046798B" w:rsidRDefault="0046798B">
            <w:pPr>
              <w:pStyle w:val="TableParagraph"/>
              <w:spacing w:before="9"/>
              <w:rPr>
                <w:sz w:val="29"/>
              </w:rPr>
            </w:pPr>
          </w:p>
          <w:p w14:paraId="57F084D6" w14:textId="77777777" w:rsidR="0046798B" w:rsidRDefault="00903B5C">
            <w:pPr>
              <w:pStyle w:val="TableParagraph"/>
              <w:ind w:left="114"/>
              <w:rPr>
                <w:sz w:val="20"/>
              </w:rPr>
            </w:pPr>
            <w:r>
              <w:rPr>
                <w:sz w:val="20"/>
              </w:rPr>
              <w:t>1973–2012</w:t>
            </w:r>
          </w:p>
        </w:tc>
        <w:tc>
          <w:tcPr>
            <w:tcW w:w="3421" w:type="dxa"/>
          </w:tcPr>
          <w:p w14:paraId="4124D94A" w14:textId="77777777" w:rsidR="0046798B" w:rsidRDefault="00903B5C">
            <w:pPr>
              <w:pStyle w:val="TableParagraph"/>
              <w:spacing w:before="43"/>
              <w:ind w:left="114" w:right="216"/>
              <w:jc w:val="both"/>
              <w:rPr>
                <w:sz w:val="20"/>
              </w:rPr>
            </w:pPr>
            <w:r>
              <w:rPr>
                <w:sz w:val="20"/>
              </w:rPr>
              <w:t>Estimated proportion of citizenry who believe we are spending “too little” on assistance to blacks</w:t>
            </w:r>
          </w:p>
          <w:p w14:paraId="3DB0B3AA" w14:textId="77777777" w:rsidR="0046798B" w:rsidRDefault="0046798B">
            <w:pPr>
              <w:pStyle w:val="TableParagraph"/>
              <w:rPr>
                <w:sz w:val="20"/>
              </w:rPr>
            </w:pPr>
          </w:p>
          <w:p w14:paraId="3EE95B0C" w14:textId="77777777" w:rsidR="0046798B" w:rsidRDefault="00903B5C">
            <w:pPr>
              <w:pStyle w:val="TableParagraph"/>
              <w:ind w:left="114"/>
              <w:rPr>
                <w:sz w:val="20"/>
              </w:rPr>
            </w:pPr>
            <w:r>
              <w:rPr>
                <w:sz w:val="20"/>
              </w:rPr>
              <w:t>(note: proportion for state-year is estimated by national sample from the General Social Survey and multilevel regression and post-stratification)</w:t>
            </w:r>
          </w:p>
        </w:tc>
        <w:tc>
          <w:tcPr>
            <w:tcW w:w="6482" w:type="dxa"/>
          </w:tcPr>
          <w:p w14:paraId="1956B07B" w14:textId="77777777" w:rsidR="0046798B" w:rsidRDefault="0046798B">
            <w:pPr>
              <w:pStyle w:val="TableParagraph"/>
            </w:pPr>
          </w:p>
          <w:p w14:paraId="2DBD1F59" w14:textId="77777777" w:rsidR="0046798B" w:rsidRDefault="0046798B">
            <w:pPr>
              <w:pStyle w:val="TableParagraph"/>
            </w:pPr>
          </w:p>
          <w:p w14:paraId="4B6869CE" w14:textId="77777777" w:rsidR="0046798B" w:rsidRDefault="0046798B">
            <w:pPr>
              <w:pStyle w:val="TableParagraph"/>
              <w:spacing w:before="9"/>
              <w:rPr>
                <w:sz w:val="19"/>
              </w:rPr>
            </w:pPr>
          </w:p>
          <w:p w14:paraId="7FAFE0D2" w14:textId="77777777" w:rsidR="0046798B" w:rsidRDefault="00903B5C">
            <w:pPr>
              <w:pStyle w:val="TableParagraph"/>
              <w:ind w:left="114"/>
              <w:rPr>
                <w:sz w:val="20"/>
              </w:rPr>
            </w:pPr>
            <w:r>
              <w:rPr>
                <w:sz w:val="20"/>
              </w:rPr>
              <w:t>Kim, Sung Eun, and Johannes Urpelainen. “Environmental Public Opinion in</w:t>
            </w:r>
          </w:p>
          <w:p w14:paraId="1950C217" w14:textId="77777777" w:rsidR="0046798B" w:rsidRDefault="00903B5C">
            <w:pPr>
              <w:pStyle w:val="TableParagraph"/>
              <w:ind w:left="114"/>
              <w:rPr>
                <w:sz w:val="20"/>
              </w:rPr>
            </w:pPr>
            <w:r>
              <w:rPr>
                <w:sz w:val="20"/>
              </w:rPr>
              <w:t xml:space="preserve">U.S. States, 1973–2012.” </w:t>
            </w:r>
            <w:r>
              <w:rPr>
                <w:i/>
                <w:sz w:val="20"/>
              </w:rPr>
              <w:t xml:space="preserve">Environmental Politics </w:t>
            </w:r>
            <w:r>
              <w:rPr>
                <w:sz w:val="20"/>
              </w:rPr>
              <w:t>27.1 (2017): 89–114.</w:t>
            </w:r>
          </w:p>
        </w:tc>
      </w:tr>
      <w:tr w:rsidR="0046798B" w14:paraId="7DBA6457" w14:textId="77777777">
        <w:trPr>
          <w:trHeight w:val="1925"/>
        </w:trPr>
        <w:tc>
          <w:tcPr>
            <w:tcW w:w="1711" w:type="dxa"/>
          </w:tcPr>
          <w:p w14:paraId="15E7E080" w14:textId="77777777" w:rsidR="0046798B" w:rsidRDefault="0046798B">
            <w:pPr>
              <w:pStyle w:val="TableParagraph"/>
            </w:pPr>
          </w:p>
          <w:p w14:paraId="7B9C396E" w14:textId="77777777" w:rsidR="0046798B" w:rsidRDefault="0046798B">
            <w:pPr>
              <w:pStyle w:val="TableParagraph"/>
            </w:pPr>
          </w:p>
          <w:p w14:paraId="3354343D" w14:textId="77777777" w:rsidR="0046798B" w:rsidRDefault="0046798B">
            <w:pPr>
              <w:pStyle w:val="TableParagraph"/>
              <w:spacing w:before="9"/>
              <w:rPr>
                <w:sz w:val="29"/>
              </w:rPr>
            </w:pPr>
          </w:p>
          <w:p w14:paraId="4064C4A1" w14:textId="77777777" w:rsidR="0046798B" w:rsidRDefault="00903B5C">
            <w:pPr>
              <w:pStyle w:val="TableParagraph"/>
              <w:ind w:left="115"/>
              <w:rPr>
                <w:b/>
                <w:sz w:val="20"/>
              </w:rPr>
            </w:pPr>
            <w:r>
              <w:rPr>
                <w:b/>
                <w:sz w:val="20"/>
              </w:rPr>
              <w:t>anti_race</w:t>
            </w:r>
          </w:p>
        </w:tc>
        <w:tc>
          <w:tcPr>
            <w:tcW w:w="1596" w:type="dxa"/>
          </w:tcPr>
          <w:p w14:paraId="74D81E5D" w14:textId="77777777" w:rsidR="0046798B" w:rsidRDefault="0046798B">
            <w:pPr>
              <w:pStyle w:val="TableParagraph"/>
            </w:pPr>
          </w:p>
          <w:p w14:paraId="2211D9BC" w14:textId="77777777" w:rsidR="0046798B" w:rsidRDefault="0046798B">
            <w:pPr>
              <w:pStyle w:val="TableParagraph"/>
            </w:pPr>
          </w:p>
          <w:p w14:paraId="21DAD631" w14:textId="77777777" w:rsidR="0046798B" w:rsidRDefault="0046798B">
            <w:pPr>
              <w:pStyle w:val="TableParagraph"/>
              <w:spacing w:before="9"/>
              <w:rPr>
                <w:sz w:val="19"/>
              </w:rPr>
            </w:pPr>
          </w:p>
          <w:p w14:paraId="6357E7EC" w14:textId="77777777" w:rsidR="0046798B" w:rsidRDefault="00903B5C">
            <w:pPr>
              <w:pStyle w:val="TableParagraph"/>
              <w:ind w:left="114" w:right="696"/>
              <w:rPr>
                <w:sz w:val="20"/>
              </w:rPr>
            </w:pPr>
            <w:r>
              <w:rPr>
                <w:sz w:val="20"/>
              </w:rPr>
              <w:t>Anti-race opinion</w:t>
            </w:r>
          </w:p>
        </w:tc>
        <w:tc>
          <w:tcPr>
            <w:tcW w:w="1285" w:type="dxa"/>
          </w:tcPr>
          <w:p w14:paraId="3E692592" w14:textId="77777777" w:rsidR="0046798B" w:rsidRDefault="0046798B">
            <w:pPr>
              <w:pStyle w:val="TableParagraph"/>
            </w:pPr>
          </w:p>
          <w:p w14:paraId="62D32DE6" w14:textId="77777777" w:rsidR="0046798B" w:rsidRDefault="0046798B">
            <w:pPr>
              <w:pStyle w:val="TableParagraph"/>
            </w:pPr>
          </w:p>
          <w:p w14:paraId="5A94C4EB" w14:textId="77777777" w:rsidR="0046798B" w:rsidRDefault="0046798B">
            <w:pPr>
              <w:pStyle w:val="TableParagraph"/>
              <w:spacing w:before="9"/>
              <w:rPr>
                <w:sz w:val="29"/>
              </w:rPr>
            </w:pPr>
          </w:p>
          <w:p w14:paraId="18534896" w14:textId="77777777" w:rsidR="0046798B" w:rsidRDefault="00903B5C">
            <w:pPr>
              <w:pStyle w:val="TableParagraph"/>
              <w:ind w:left="114"/>
              <w:rPr>
                <w:sz w:val="20"/>
              </w:rPr>
            </w:pPr>
            <w:r>
              <w:rPr>
                <w:sz w:val="20"/>
              </w:rPr>
              <w:t>1973–2012</w:t>
            </w:r>
          </w:p>
        </w:tc>
        <w:tc>
          <w:tcPr>
            <w:tcW w:w="3421" w:type="dxa"/>
          </w:tcPr>
          <w:p w14:paraId="4E145478" w14:textId="77777777" w:rsidR="0046798B" w:rsidRDefault="00903B5C">
            <w:pPr>
              <w:pStyle w:val="TableParagraph"/>
              <w:spacing w:before="43"/>
              <w:ind w:left="114" w:right="122"/>
              <w:rPr>
                <w:sz w:val="20"/>
              </w:rPr>
            </w:pPr>
            <w:r>
              <w:rPr>
                <w:sz w:val="20"/>
              </w:rPr>
              <w:t>Estimated proportion of citizenry who believe we are spending “too much” on assistance to blacks</w:t>
            </w:r>
          </w:p>
          <w:p w14:paraId="7CF95F59" w14:textId="77777777" w:rsidR="0046798B" w:rsidRDefault="0046798B">
            <w:pPr>
              <w:pStyle w:val="TableParagraph"/>
              <w:rPr>
                <w:sz w:val="20"/>
              </w:rPr>
            </w:pPr>
          </w:p>
          <w:p w14:paraId="05CBDEC8" w14:textId="77777777" w:rsidR="0046798B" w:rsidRDefault="00903B5C">
            <w:pPr>
              <w:pStyle w:val="TableParagraph"/>
              <w:ind w:left="114" w:right="216"/>
              <w:rPr>
                <w:sz w:val="20"/>
              </w:rPr>
            </w:pPr>
            <w:r>
              <w:rPr>
                <w:sz w:val="20"/>
              </w:rPr>
              <w:t>(note: proportion for state-year is estimated by national sample from the General Social Survey and multilevel regression and post-stratification)</w:t>
            </w:r>
          </w:p>
        </w:tc>
        <w:tc>
          <w:tcPr>
            <w:tcW w:w="6482" w:type="dxa"/>
          </w:tcPr>
          <w:p w14:paraId="792E6576" w14:textId="77777777" w:rsidR="0046798B" w:rsidRDefault="0046798B">
            <w:pPr>
              <w:pStyle w:val="TableParagraph"/>
            </w:pPr>
          </w:p>
          <w:p w14:paraId="03F752A9" w14:textId="77777777" w:rsidR="0046798B" w:rsidRDefault="0046798B">
            <w:pPr>
              <w:pStyle w:val="TableParagraph"/>
            </w:pPr>
          </w:p>
          <w:p w14:paraId="422ADB5C" w14:textId="77777777" w:rsidR="0046798B" w:rsidRDefault="0046798B">
            <w:pPr>
              <w:pStyle w:val="TableParagraph"/>
              <w:spacing w:before="9"/>
              <w:rPr>
                <w:sz w:val="19"/>
              </w:rPr>
            </w:pPr>
          </w:p>
          <w:p w14:paraId="012E3A95" w14:textId="77777777" w:rsidR="0046798B" w:rsidRDefault="00903B5C">
            <w:pPr>
              <w:pStyle w:val="TableParagraph"/>
              <w:ind w:left="114"/>
              <w:rPr>
                <w:sz w:val="20"/>
              </w:rPr>
            </w:pPr>
            <w:r>
              <w:rPr>
                <w:sz w:val="20"/>
              </w:rPr>
              <w:t>Kim, Sung Eun, and Johannes Urpelainen. “Environmental Public Opinion in</w:t>
            </w:r>
          </w:p>
          <w:p w14:paraId="658A17A8" w14:textId="77777777" w:rsidR="0046798B" w:rsidRDefault="00903B5C">
            <w:pPr>
              <w:pStyle w:val="TableParagraph"/>
              <w:ind w:left="114"/>
              <w:rPr>
                <w:sz w:val="20"/>
              </w:rPr>
            </w:pPr>
            <w:r>
              <w:rPr>
                <w:sz w:val="20"/>
              </w:rPr>
              <w:t xml:space="preserve">U.S. States, 1973–2012.” </w:t>
            </w:r>
            <w:r>
              <w:rPr>
                <w:i/>
                <w:sz w:val="20"/>
              </w:rPr>
              <w:t xml:space="preserve">Environmental Politics </w:t>
            </w:r>
            <w:r>
              <w:rPr>
                <w:sz w:val="20"/>
              </w:rPr>
              <w:t>27.1 (2017): 89–114.</w:t>
            </w:r>
          </w:p>
        </w:tc>
      </w:tr>
      <w:tr w:rsidR="0046798B" w14:paraId="0CE1E310" w14:textId="77777777">
        <w:trPr>
          <w:trHeight w:val="1930"/>
        </w:trPr>
        <w:tc>
          <w:tcPr>
            <w:tcW w:w="1711" w:type="dxa"/>
          </w:tcPr>
          <w:p w14:paraId="72A860E1" w14:textId="77777777" w:rsidR="0046798B" w:rsidRDefault="0046798B">
            <w:pPr>
              <w:pStyle w:val="TableParagraph"/>
            </w:pPr>
          </w:p>
          <w:p w14:paraId="40997A92" w14:textId="77777777" w:rsidR="0046798B" w:rsidRDefault="0046798B">
            <w:pPr>
              <w:pStyle w:val="TableParagraph"/>
            </w:pPr>
          </w:p>
          <w:p w14:paraId="5AFFFCFE" w14:textId="77777777" w:rsidR="0046798B" w:rsidRDefault="0046798B">
            <w:pPr>
              <w:pStyle w:val="TableParagraph"/>
              <w:spacing w:before="9"/>
              <w:rPr>
                <w:sz w:val="29"/>
              </w:rPr>
            </w:pPr>
          </w:p>
          <w:p w14:paraId="299980D4" w14:textId="77777777" w:rsidR="0046798B" w:rsidRDefault="00903B5C">
            <w:pPr>
              <w:pStyle w:val="TableParagraph"/>
              <w:ind w:left="115"/>
              <w:rPr>
                <w:b/>
                <w:sz w:val="20"/>
              </w:rPr>
            </w:pPr>
            <w:r>
              <w:rPr>
                <w:b/>
                <w:sz w:val="20"/>
              </w:rPr>
              <w:t>neutral_race</w:t>
            </w:r>
          </w:p>
        </w:tc>
        <w:tc>
          <w:tcPr>
            <w:tcW w:w="1596" w:type="dxa"/>
          </w:tcPr>
          <w:p w14:paraId="00F015B8" w14:textId="77777777" w:rsidR="0046798B" w:rsidRDefault="0046798B">
            <w:pPr>
              <w:pStyle w:val="TableParagraph"/>
            </w:pPr>
          </w:p>
          <w:p w14:paraId="157DD903" w14:textId="77777777" w:rsidR="0046798B" w:rsidRDefault="0046798B">
            <w:pPr>
              <w:pStyle w:val="TableParagraph"/>
            </w:pPr>
          </w:p>
          <w:p w14:paraId="17FAFF2B" w14:textId="77777777" w:rsidR="0046798B" w:rsidRDefault="0046798B">
            <w:pPr>
              <w:pStyle w:val="TableParagraph"/>
              <w:spacing w:before="9"/>
              <w:rPr>
                <w:sz w:val="19"/>
              </w:rPr>
            </w:pPr>
          </w:p>
          <w:p w14:paraId="131BC0A5" w14:textId="77777777" w:rsidR="0046798B" w:rsidRDefault="00903B5C">
            <w:pPr>
              <w:pStyle w:val="TableParagraph"/>
              <w:ind w:left="114" w:right="469"/>
              <w:rPr>
                <w:sz w:val="20"/>
              </w:rPr>
            </w:pPr>
            <w:r>
              <w:rPr>
                <w:sz w:val="20"/>
              </w:rPr>
              <w:t>Neutral race opinion</w:t>
            </w:r>
          </w:p>
        </w:tc>
        <w:tc>
          <w:tcPr>
            <w:tcW w:w="1285" w:type="dxa"/>
          </w:tcPr>
          <w:p w14:paraId="2ABA35A0" w14:textId="77777777" w:rsidR="0046798B" w:rsidRDefault="0046798B">
            <w:pPr>
              <w:pStyle w:val="TableParagraph"/>
            </w:pPr>
          </w:p>
          <w:p w14:paraId="44A7F562" w14:textId="77777777" w:rsidR="0046798B" w:rsidRDefault="0046798B">
            <w:pPr>
              <w:pStyle w:val="TableParagraph"/>
            </w:pPr>
          </w:p>
          <w:p w14:paraId="7A7D7FE9" w14:textId="77777777" w:rsidR="0046798B" w:rsidRDefault="0046798B">
            <w:pPr>
              <w:pStyle w:val="TableParagraph"/>
              <w:spacing w:before="9"/>
              <w:rPr>
                <w:sz w:val="29"/>
              </w:rPr>
            </w:pPr>
          </w:p>
          <w:p w14:paraId="3BA104EE" w14:textId="77777777" w:rsidR="0046798B" w:rsidRDefault="00903B5C">
            <w:pPr>
              <w:pStyle w:val="TableParagraph"/>
              <w:ind w:left="114"/>
              <w:rPr>
                <w:sz w:val="20"/>
              </w:rPr>
            </w:pPr>
            <w:r>
              <w:rPr>
                <w:sz w:val="20"/>
              </w:rPr>
              <w:t>1973–2012</w:t>
            </w:r>
          </w:p>
        </w:tc>
        <w:tc>
          <w:tcPr>
            <w:tcW w:w="3421" w:type="dxa"/>
          </w:tcPr>
          <w:p w14:paraId="2B46FEE5" w14:textId="77777777" w:rsidR="0046798B" w:rsidRDefault="00903B5C">
            <w:pPr>
              <w:pStyle w:val="TableParagraph"/>
              <w:spacing w:before="43"/>
              <w:ind w:left="114" w:right="150"/>
              <w:rPr>
                <w:sz w:val="20"/>
              </w:rPr>
            </w:pPr>
            <w:r>
              <w:rPr>
                <w:sz w:val="20"/>
              </w:rPr>
              <w:t>Estimated proportion of citizenry who believe we are spending “about the right amount” on assistance to blacks</w:t>
            </w:r>
          </w:p>
          <w:p w14:paraId="5DAD6843" w14:textId="77777777" w:rsidR="0046798B" w:rsidRDefault="0046798B">
            <w:pPr>
              <w:pStyle w:val="TableParagraph"/>
              <w:rPr>
                <w:sz w:val="20"/>
              </w:rPr>
            </w:pPr>
          </w:p>
          <w:p w14:paraId="6085C0B5" w14:textId="77777777" w:rsidR="0046798B" w:rsidRDefault="00903B5C">
            <w:pPr>
              <w:pStyle w:val="TableParagraph"/>
              <w:ind w:left="114"/>
              <w:rPr>
                <w:sz w:val="20"/>
              </w:rPr>
            </w:pPr>
            <w:r>
              <w:rPr>
                <w:sz w:val="20"/>
              </w:rPr>
              <w:t>(note: proportion for state-year is estimated by national sample from the General Social Survey and multilevel regression and post-stratification)</w:t>
            </w:r>
          </w:p>
        </w:tc>
        <w:tc>
          <w:tcPr>
            <w:tcW w:w="6482" w:type="dxa"/>
          </w:tcPr>
          <w:p w14:paraId="063ECEF4" w14:textId="77777777" w:rsidR="0046798B" w:rsidRDefault="0046798B">
            <w:pPr>
              <w:pStyle w:val="TableParagraph"/>
            </w:pPr>
          </w:p>
          <w:p w14:paraId="32960909" w14:textId="77777777" w:rsidR="0046798B" w:rsidRDefault="0046798B">
            <w:pPr>
              <w:pStyle w:val="TableParagraph"/>
            </w:pPr>
          </w:p>
          <w:p w14:paraId="40E5600F" w14:textId="77777777" w:rsidR="0046798B" w:rsidRDefault="0046798B">
            <w:pPr>
              <w:pStyle w:val="TableParagraph"/>
              <w:spacing w:before="9"/>
              <w:rPr>
                <w:sz w:val="19"/>
              </w:rPr>
            </w:pPr>
          </w:p>
          <w:p w14:paraId="3AA2E55C" w14:textId="77777777" w:rsidR="0046798B" w:rsidRDefault="00903B5C">
            <w:pPr>
              <w:pStyle w:val="TableParagraph"/>
              <w:ind w:left="114"/>
              <w:rPr>
                <w:sz w:val="20"/>
              </w:rPr>
            </w:pPr>
            <w:r>
              <w:rPr>
                <w:sz w:val="20"/>
              </w:rPr>
              <w:t>Kim, Sung Eun, and Johannes Urpelainen. “Environmental Public Opinion in</w:t>
            </w:r>
          </w:p>
          <w:p w14:paraId="1645BFF5" w14:textId="77777777" w:rsidR="0046798B" w:rsidRDefault="00903B5C">
            <w:pPr>
              <w:pStyle w:val="TableParagraph"/>
              <w:ind w:left="114"/>
              <w:rPr>
                <w:sz w:val="20"/>
              </w:rPr>
            </w:pPr>
            <w:r>
              <w:rPr>
                <w:sz w:val="20"/>
              </w:rPr>
              <w:t xml:space="preserve">U.S. States, 1973–2012.” </w:t>
            </w:r>
            <w:r>
              <w:rPr>
                <w:i/>
                <w:sz w:val="20"/>
              </w:rPr>
              <w:t xml:space="preserve">Environmental Politics </w:t>
            </w:r>
            <w:r>
              <w:rPr>
                <w:sz w:val="20"/>
              </w:rPr>
              <w:t>27.1 (2017): 89–114.</w:t>
            </w:r>
          </w:p>
        </w:tc>
      </w:tr>
    </w:tbl>
    <w:p w14:paraId="50D0941C" w14:textId="77777777" w:rsidR="0046798B" w:rsidRDefault="0046798B">
      <w:pPr>
        <w:rPr>
          <w:sz w:val="20"/>
        </w:rPr>
        <w:sectPr w:rsidR="0046798B">
          <w:pgSz w:w="15840" w:h="12240" w:orient="landscape"/>
          <w:pgMar w:top="1220" w:right="300" w:bottom="980" w:left="820" w:header="730" w:footer="787" w:gutter="0"/>
          <w:cols w:space="720"/>
        </w:sectPr>
      </w:pPr>
    </w:p>
    <w:p w14:paraId="6CCED1F5" w14:textId="77777777" w:rsidR="0046798B" w:rsidRDefault="0046798B">
      <w:pPr>
        <w:pStyle w:val="BodyText"/>
        <w:spacing w:before="1"/>
        <w:rPr>
          <w:sz w:val="11"/>
        </w:rPr>
      </w:pPr>
    </w:p>
    <w:p w14:paraId="55599166" w14:textId="77777777" w:rsidR="0046798B" w:rsidRDefault="00903B5C">
      <w:pPr>
        <w:pStyle w:val="ListParagraph"/>
        <w:numPr>
          <w:ilvl w:val="0"/>
          <w:numId w:val="12"/>
        </w:numPr>
        <w:tabs>
          <w:tab w:val="left" w:pos="5021"/>
        </w:tabs>
        <w:spacing w:before="88"/>
        <w:ind w:left="5020" w:hanging="454"/>
        <w:jc w:val="left"/>
        <w:rPr>
          <w:b/>
          <w:sz w:val="28"/>
        </w:rPr>
      </w:pPr>
      <w:bookmarkStart w:id="10" w:name="VI._Criminal_Justice_and_the_Legal_Syste"/>
      <w:bookmarkStart w:id="11" w:name="_bookmark5"/>
      <w:bookmarkEnd w:id="10"/>
      <w:bookmarkEnd w:id="11"/>
      <w:r>
        <w:rPr>
          <w:b/>
          <w:sz w:val="28"/>
        </w:rPr>
        <w:t>Criminal Justice and the Legal</w:t>
      </w:r>
      <w:r>
        <w:rPr>
          <w:b/>
          <w:spacing w:val="1"/>
          <w:sz w:val="28"/>
        </w:rPr>
        <w:t xml:space="preserve"> </w:t>
      </w:r>
      <w:r>
        <w:rPr>
          <w:b/>
          <w:sz w:val="28"/>
        </w:rPr>
        <w:t>System</w:t>
      </w:r>
    </w:p>
    <w:p w14:paraId="682BD762" w14:textId="77777777" w:rsidR="0046798B" w:rsidRDefault="0046798B">
      <w:pPr>
        <w:pStyle w:val="BodyText"/>
        <w:spacing w:before="5"/>
        <w:rPr>
          <w:b/>
          <w:sz w:val="24"/>
        </w:rPr>
      </w:pPr>
    </w:p>
    <w:p w14:paraId="74F2C8EE" w14:textId="77777777" w:rsidR="0046798B" w:rsidRDefault="00903B5C">
      <w:pPr>
        <w:pStyle w:val="ListParagraph"/>
        <w:numPr>
          <w:ilvl w:val="0"/>
          <w:numId w:val="6"/>
        </w:numPr>
        <w:tabs>
          <w:tab w:val="left" w:pos="916"/>
        </w:tabs>
        <w:rPr>
          <w:b/>
          <w:sz w:val="24"/>
        </w:rPr>
      </w:pPr>
      <w:r>
        <w:rPr>
          <w:b/>
          <w:sz w:val="24"/>
          <w:u w:val="single"/>
        </w:rPr>
        <w:t>Criminal Justice Policies and</w:t>
      </w:r>
      <w:r>
        <w:rPr>
          <w:b/>
          <w:spacing w:val="-2"/>
          <w:sz w:val="24"/>
          <w:u w:val="single"/>
        </w:rPr>
        <w:t xml:space="preserve"> </w:t>
      </w:r>
      <w:r>
        <w:rPr>
          <w:b/>
          <w:sz w:val="24"/>
          <w:u w:val="single"/>
        </w:rPr>
        <w:t>Procedures</w:t>
      </w:r>
    </w:p>
    <w:p w14:paraId="211335BE" w14:textId="77777777" w:rsidR="0046798B" w:rsidRDefault="0046798B">
      <w:pPr>
        <w:pStyle w:val="BodyText"/>
        <w:spacing w:before="8" w:after="1"/>
        <w:rPr>
          <w:b/>
          <w:sz w:val="23"/>
        </w:rPr>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637A6F30" w14:textId="77777777">
        <w:trPr>
          <w:trHeight w:val="590"/>
        </w:trPr>
        <w:tc>
          <w:tcPr>
            <w:tcW w:w="1711" w:type="dxa"/>
          </w:tcPr>
          <w:p w14:paraId="7901876C" w14:textId="77777777" w:rsidR="0046798B" w:rsidRDefault="00903B5C">
            <w:pPr>
              <w:pStyle w:val="TableParagraph"/>
              <w:spacing w:before="164"/>
              <w:ind w:left="140"/>
              <w:rPr>
                <w:b/>
              </w:rPr>
            </w:pPr>
            <w:r>
              <w:rPr>
                <w:b/>
              </w:rPr>
              <w:t>Variable Name</w:t>
            </w:r>
          </w:p>
        </w:tc>
        <w:tc>
          <w:tcPr>
            <w:tcW w:w="1596" w:type="dxa"/>
          </w:tcPr>
          <w:p w14:paraId="4AB52C6D" w14:textId="77777777" w:rsidR="0046798B" w:rsidRDefault="00903B5C">
            <w:pPr>
              <w:pStyle w:val="TableParagraph"/>
              <w:spacing w:before="39" w:line="242" w:lineRule="auto"/>
              <w:ind w:left="249" w:right="229" w:firstLine="280"/>
              <w:rPr>
                <w:b/>
              </w:rPr>
            </w:pPr>
            <w:r>
              <w:rPr>
                <w:b/>
              </w:rPr>
              <w:t>Short Description</w:t>
            </w:r>
          </w:p>
        </w:tc>
        <w:tc>
          <w:tcPr>
            <w:tcW w:w="1285" w:type="dxa"/>
          </w:tcPr>
          <w:p w14:paraId="2376248C" w14:textId="77777777" w:rsidR="0046798B" w:rsidRDefault="00903B5C">
            <w:pPr>
              <w:pStyle w:val="TableParagraph"/>
              <w:spacing w:before="164"/>
              <w:ind w:left="364"/>
              <w:rPr>
                <w:b/>
              </w:rPr>
            </w:pPr>
            <w:r>
              <w:rPr>
                <w:b/>
              </w:rPr>
              <w:t>Years</w:t>
            </w:r>
          </w:p>
        </w:tc>
        <w:tc>
          <w:tcPr>
            <w:tcW w:w="3421" w:type="dxa"/>
          </w:tcPr>
          <w:p w14:paraId="0664C543" w14:textId="77777777" w:rsidR="0046798B" w:rsidRDefault="00903B5C">
            <w:pPr>
              <w:pStyle w:val="TableParagraph"/>
              <w:spacing w:before="39"/>
              <w:ind w:left="159" w:right="146"/>
              <w:jc w:val="center"/>
              <w:rPr>
                <w:b/>
              </w:rPr>
            </w:pPr>
            <w:r>
              <w:rPr>
                <w:b/>
              </w:rPr>
              <w:t>Coding /</w:t>
            </w:r>
          </w:p>
          <w:p w14:paraId="62F049DE" w14:textId="77777777" w:rsidR="0046798B" w:rsidRDefault="00903B5C">
            <w:pPr>
              <w:pStyle w:val="TableParagraph"/>
              <w:spacing w:before="3"/>
              <w:ind w:left="159" w:right="150"/>
              <w:jc w:val="center"/>
              <w:rPr>
                <w:b/>
              </w:rPr>
            </w:pPr>
            <w:r>
              <w:rPr>
                <w:b/>
              </w:rPr>
              <w:t>Longer Description (if available)</w:t>
            </w:r>
          </w:p>
        </w:tc>
        <w:tc>
          <w:tcPr>
            <w:tcW w:w="6482" w:type="dxa"/>
          </w:tcPr>
          <w:p w14:paraId="374EC222" w14:textId="77777777" w:rsidR="0046798B" w:rsidRDefault="00903B5C">
            <w:pPr>
              <w:pStyle w:val="TableParagraph"/>
              <w:spacing w:before="164"/>
              <w:ind w:left="2852" w:right="2845"/>
              <w:jc w:val="center"/>
              <w:rPr>
                <w:b/>
              </w:rPr>
            </w:pPr>
            <w:r>
              <w:rPr>
                <w:b/>
              </w:rPr>
              <w:t>Sources</w:t>
            </w:r>
          </w:p>
        </w:tc>
      </w:tr>
      <w:tr w:rsidR="0046798B" w14:paraId="2982C5DA" w14:textId="77777777">
        <w:trPr>
          <w:trHeight w:val="1930"/>
        </w:trPr>
        <w:tc>
          <w:tcPr>
            <w:tcW w:w="1711" w:type="dxa"/>
          </w:tcPr>
          <w:p w14:paraId="6B08604C" w14:textId="77777777" w:rsidR="0046798B" w:rsidRDefault="0046798B">
            <w:pPr>
              <w:pStyle w:val="TableParagraph"/>
              <w:rPr>
                <w:b/>
              </w:rPr>
            </w:pPr>
          </w:p>
          <w:p w14:paraId="3B6337F9" w14:textId="77777777" w:rsidR="0046798B" w:rsidRDefault="0046798B">
            <w:pPr>
              <w:pStyle w:val="TableParagraph"/>
              <w:rPr>
                <w:b/>
              </w:rPr>
            </w:pPr>
          </w:p>
          <w:p w14:paraId="686728BE" w14:textId="77777777" w:rsidR="0046798B" w:rsidRDefault="0046798B">
            <w:pPr>
              <w:pStyle w:val="TableParagraph"/>
              <w:spacing w:before="8"/>
              <w:rPr>
                <w:b/>
                <w:sz w:val="29"/>
              </w:rPr>
            </w:pPr>
          </w:p>
          <w:p w14:paraId="5892E055" w14:textId="77777777" w:rsidR="0046798B" w:rsidRDefault="00903B5C">
            <w:pPr>
              <w:pStyle w:val="TableParagraph"/>
              <w:spacing w:before="1"/>
              <w:ind w:left="115"/>
              <w:rPr>
                <w:b/>
                <w:sz w:val="20"/>
              </w:rPr>
            </w:pPr>
            <w:r>
              <w:rPr>
                <w:b/>
                <w:sz w:val="20"/>
              </w:rPr>
              <w:t>amber</w:t>
            </w:r>
          </w:p>
        </w:tc>
        <w:tc>
          <w:tcPr>
            <w:tcW w:w="1596" w:type="dxa"/>
          </w:tcPr>
          <w:p w14:paraId="15B4F885" w14:textId="77777777" w:rsidR="0046798B" w:rsidRDefault="0046798B">
            <w:pPr>
              <w:pStyle w:val="TableParagraph"/>
              <w:rPr>
                <w:b/>
              </w:rPr>
            </w:pPr>
          </w:p>
          <w:p w14:paraId="5AAEBF69" w14:textId="77777777" w:rsidR="0046798B" w:rsidRDefault="0046798B">
            <w:pPr>
              <w:pStyle w:val="TableParagraph"/>
              <w:rPr>
                <w:b/>
              </w:rPr>
            </w:pPr>
          </w:p>
          <w:p w14:paraId="7CF208B7" w14:textId="77777777" w:rsidR="0046798B" w:rsidRDefault="0046798B">
            <w:pPr>
              <w:pStyle w:val="TableParagraph"/>
              <w:spacing w:before="8"/>
              <w:rPr>
                <w:b/>
                <w:sz w:val="19"/>
              </w:rPr>
            </w:pPr>
          </w:p>
          <w:p w14:paraId="6C45520F" w14:textId="77777777" w:rsidR="0046798B" w:rsidRDefault="00903B5C">
            <w:pPr>
              <w:pStyle w:val="TableParagraph"/>
              <w:spacing w:before="1"/>
              <w:ind w:left="114" w:right="124"/>
              <w:rPr>
                <w:sz w:val="20"/>
              </w:rPr>
            </w:pPr>
            <w:r>
              <w:rPr>
                <w:sz w:val="20"/>
              </w:rPr>
              <w:t>Alerts abduction of a minor</w:t>
            </w:r>
          </w:p>
        </w:tc>
        <w:tc>
          <w:tcPr>
            <w:tcW w:w="1285" w:type="dxa"/>
          </w:tcPr>
          <w:p w14:paraId="3A69F3C6" w14:textId="77777777" w:rsidR="0046798B" w:rsidRDefault="0046798B">
            <w:pPr>
              <w:pStyle w:val="TableParagraph"/>
              <w:rPr>
                <w:b/>
              </w:rPr>
            </w:pPr>
          </w:p>
          <w:p w14:paraId="0DB9C32E" w14:textId="77777777" w:rsidR="0046798B" w:rsidRDefault="0046798B">
            <w:pPr>
              <w:pStyle w:val="TableParagraph"/>
              <w:rPr>
                <w:b/>
              </w:rPr>
            </w:pPr>
          </w:p>
          <w:p w14:paraId="2A8183CB" w14:textId="77777777" w:rsidR="0046798B" w:rsidRDefault="0046798B">
            <w:pPr>
              <w:pStyle w:val="TableParagraph"/>
              <w:spacing w:before="8"/>
              <w:rPr>
                <w:b/>
                <w:sz w:val="29"/>
              </w:rPr>
            </w:pPr>
          </w:p>
          <w:p w14:paraId="45A9D28B" w14:textId="77777777" w:rsidR="0046798B" w:rsidRDefault="00903B5C">
            <w:pPr>
              <w:pStyle w:val="TableParagraph"/>
              <w:spacing w:before="1"/>
              <w:ind w:left="114"/>
              <w:rPr>
                <w:sz w:val="20"/>
              </w:rPr>
            </w:pPr>
            <w:r>
              <w:rPr>
                <w:sz w:val="20"/>
              </w:rPr>
              <w:t>1999–2004</w:t>
            </w:r>
          </w:p>
        </w:tc>
        <w:tc>
          <w:tcPr>
            <w:tcW w:w="3421" w:type="dxa"/>
          </w:tcPr>
          <w:p w14:paraId="1EFF097F" w14:textId="77777777" w:rsidR="0046798B" w:rsidRDefault="0046798B">
            <w:pPr>
              <w:pStyle w:val="TableParagraph"/>
              <w:rPr>
                <w:b/>
              </w:rPr>
            </w:pPr>
          </w:p>
          <w:p w14:paraId="391C0F4D" w14:textId="77777777" w:rsidR="0046798B" w:rsidRDefault="0046798B">
            <w:pPr>
              <w:pStyle w:val="TableParagraph"/>
              <w:rPr>
                <w:b/>
              </w:rPr>
            </w:pPr>
          </w:p>
          <w:p w14:paraId="0483BF5D" w14:textId="77777777" w:rsidR="0046798B" w:rsidRDefault="0046798B">
            <w:pPr>
              <w:pStyle w:val="TableParagraph"/>
              <w:spacing w:before="8"/>
              <w:rPr>
                <w:b/>
                <w:sz w:val="19"/>
              </w:rPr>
            </w:pPr>
          </w:p>
          <w:p w14:paraId="4D5103B6"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38084E69" w14:textId="77777777" w:rsidR="0046798B" w:rsidRDefault="00903B5C">
            <w:pPr>
              <w:pStyle w:val="TableParagraph"/>
              <w:spacing w:before="43"/>
              <w:ind w:left="114" w:right="156"/>
              <w:rPr>
                <w:sz w:val="20"/>
              </w:rPr>
            </w:pPr>
            <w:r>
              <w:rPr>
                <w:sz w:val="20"/>
              </w:rPr>
              <w:t xml:space="preserve">Boushey, Graeme. “Targeted for diffusion? How the use and acceptance of stereotypes shape the diffusion of criminal justice policy innovations in the American states.” </w:t>
            </w:r>
            <w:r>
              <w:rPr>
                <w:i/>
                <w:sz w:val="20"/>
              </w:rPr>
              <w:t xml:space="preserve">American Political Science Review </w:t>
            </w:r>
            <w:r>
              <w:rPr>
                <w:sz w:val="20"/>
              </w:rPr>
              <w:t>110.1 (2016): 198-214.</w:t>
            </w:r>
          </w:p>
          <w:p w14:paraId="31B4DE33" w14:textId="77777777" w:rsidR="0046798B" w:rsidRDefault="0046798B">
            <w:pPr>
              <w:pStyle w:val="TableParagraph"/>
              <w:rPr>
                <w:b/>
                <w:sz w:val="20"/>
              </w:rPr>
            </w:pPr>
          </w:p>
          <w:p w14:paraId="02BD0C05"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6DC61DC4" w14:textId="77777777">
        <w:trPr>
          <w:trHeight w:val="1925"/>
        </w:trPr>
        <w:tc>
          <w:tcPr>
            <w:tcW w:w="1711" w:type="dxa"/>
          </w:tcPr>
          <w:p w14:paraId="18ED1238" w14:textId="77777777" w:rsidR="0046798B" w:rsidRDefault="0046798B">
            <w:pPr>
              <w:pStyle w:val="TableParagraph"/>
              <w:rPr>
                <w:b/>
              </w:rPr>
            </w:pPr>
          </w:p>
          <w:p w14:paraId="59E0A68A" w14:textId="77777777" w:rsidR="0046798B" w:rsidRDefault="0046798B">
            <w:pPr>
              <w:pStyle w:val="TableParagraph"/>
              <w:rPr>
                <w:b/>
              </w:rPr>
            </w:pPr>
          </w:p>
          <w:p w14:paraId="1A61DED1" w14:textId="77777777" w:rsidR="0046798B" w:rsidRDefault="0046798B">
            <w:pPr>
              <w:pStyle w:val="TableParagraph"/>
              <w:spacing w:before="4"/>
              <w:rPr>
                <w:b/>
                <w:sz w:val="29"/>
              </w:rPr>
            </w:pPr>
          </w:p>
          <w:p w14:paraId="37ADB3DF" w14:textId="77777777" w:rsidR="0046798B" w:rsidRDefault="00903B5C">
            <w:pPr>
              <w:pStyle w:val="TableParagraph"/>
              <w:ind w:left="115"/>
              <w:rPr>
                <w:b/>
                <w:sz w:val="20"/>
              </w:rPr>
            </w:pPr>
            <w:r>
              <w:rPr>
                <w:b/>
                <w:sz w:val="20"/>
              </w:rPr>
              <w:t>antishack</w:t>
            </w:r>
          </w:p>
        </w:tc>
        <w:tc>
          <w:tcPr>
            <w:tcW w:w="1596" w:type="dxa"/>
          </w:tcPr>
          <w:p w14:paraId="1DDA317A" w14:textId="77777777" w:rsidR="0046798B" w:rsidRDefault="0046798B">
            <w:pPr>
              <w:pStyle w:val="TableParagraph"/>
              <w:rPr>
                <w:b/>
              </w:rPr>
            </w:pPr>
          </w:p>
          <w:p w14:paraId="56A8E964" w14:textId="77777777" w:rsidR="0046798B" w:rsidRDefault="0046798B">
            <w:pPr>
              <w:pStyle w:val="TableParagraph"/>
              <w:spacing w:before="4"/>
              <w:rPr>
                <w:b/>
                <w:sz w:val="21"/>
              </w:rPr>
            </w:pPr>
          </w:p>
          <w:p w14:paraId="290E7387" w14:textId="77777777" w:rsidR="0046798B" w:rsidRDefault="00903B5C">
            <w:pPr>
              <w:pStyle w:val="TableParagraph"/>
              <w:ind w:left="114" w:right="163"/>
              <w:rPr>
                <w:sz w:val="20"/>
              </w:rPr>
            </w:pPr>
            <w:r>
              <w:rPr>
                <w:sz w:val="20"/>
              </w:rPr>
              <w:t>Prohibits shackling inmates in labor or recovery</w:t>
            </w:r>
          </w:p>
        </w:tc>
        <w:tc>
          <w:tcPr>
            <w:tcW w:w="1285" w:type="dxa"/>
          </w:tcPr>
          <w:p w14:paraId="2A72BF7C" w14:textId="77777777" w:rsidR="0046798B" w:rsidRDefault="0046798B">
            <w:pPr>
              <w:pStyle w:val="TableParagraph"/>
              <w:rPr>
                <w:b/>
              </w:rPr>
            </w:pPr>
          </w:p>
          <w:p w14:paraId="0F28CFCB" w14:textId="77777777" w:rsidR="0046798B" w:rsidRDefault="0046798B">
            <w:pPr>
              <w:pStyle w:val="TableParagraph"/>
              <w:rPr>
                <w:b/>
              </w:rPr>
            </w:pPr>
          </w:p>
          <w:p w14:paraId="2BB846C2" w14:textId="77777777" w:rsidR="0046798B" w:rsidRDefault="0046798B">
            <w:pPr>
              <w:pStyle w:val="TableParagraph"/>
              <w:spacing w:before="4"/>
              <w:rPr>
                <w:b/>
                <w:sz w:val="29"/>
              </w:rPr>
            </w:pPr>
          </w:p>
          <w:p w14:paraId="577F5A2A" w14:textId="77777777" w:rsidR="0046798B" w:rsidRDefault="00903B5C">
            <w:pPr>
              <w:pStyle w:val="TableParagraph"/>
              <w:ind w:left="114"/>
              <w:rPr>
                <w:sz w:val="20"/>
              </w:rPr>
            </w:pPr>
            <w:r>
              <w:rPr>
                <w:sz w:val="20"/>
              </w:rPr>
              <w:t>1999–2005</w:t>
            </w:r>
          </w:p>
        </w:tc>
        <w:tc>
          <w:tcPr>
            <w:tcW w:w="3421" w:type="dxa"/>
          </w:tcPr>
          <w:p w14:paraId="4BB2E75B" w14:textId="77777777" w:rsidR="0046798B" w:rsidRDefault="0046798B">
            <w:pPr>
              <w:pStyle w:val="TableParagraph"/>
              <w:rPr>
                <w:b/>
              </w:rPr>
            </w:pPr>
          </w:p>
          <w:p w14:paraId="29626FB1" w14:textId="77777777" w:rsidR="0046798B" w:rsidRDefault="0046798B">
            <w:pPr>
              <w:pStyle w:val="TableParagraph"/>
              <w:rPr>
                <w:b/>
              </w:rPr>
            </w:pPr>
          </w:p>
          <w:p w14:paraId="4063A6C7" w14:textId="77777777" w:rsidR="0046798B" w:rsidRDefault="0046798B">
            <w:pPr>
              <w:pStyle w:val="TableParagraph"/>
              <w:spacing w:before="4"/>
              <w:rPr>
                <w:b/>
                <w:sz w:val="19"/>
              </w:rPr>
            </w:pPr>
          </w:p>
          <w:p w14:paraId="4A01F317" w14:textId="77777777" w:rsidR="0046798B" w:rsidRDefault="00903B5C">
            <w:pPr>
              <w:pStyle w:val="TableParagraph"/>
              <w:ind w:left="114" w:right="1475"/>
              <w:rPr>
                <w:sz w:val="20"/>
              </w:rPr>
            </w:pPr>
            <w:r>
              <w:rPr>
                <w:sz w:val="20"/>
              </w:rPr>
              <w:t>0 = policy not adopted 1 = policy adopted</w:t>
            </w:r>
          </w:p>
        </w:tc>
        <w:tc>
          <w:tcPr>
            <w:tcW w:w="6482" w:type="dxa"/>
          </w:tcPr>
          <w:p w14:paraId="47D7882E" w14:textId="77777777" w:rsidR="0046798B" w:rsidRDefault="00903B5C">
            <w:pPr>
              <w:pStyle w:val="TableParagraph"/>
              <w:spacing w:before="38"/>
              <w:ind w:left="114"/>
              <w:rPr>
                <w:sz w:val="20"/>
              </w:rPr>
            </w:pPr>
            <w:r>
              <w:rPr>
                <w:sz w:val="20"/>
              </w:rPr>
              <w:t xml:space="preserve">Boushey, Graeme. “Targeted for diffusion? How the use and acceptance of stereotypes shape the diffusion of criminal justice policy innovations in the American States.” </w:t>
            </w:r>
            <w:r>
              <w:rPr>
                <w:i/>
                <w:sz w:val="20"/>
              </w:rPr>
              <w:t xml:space="preserve">American Political Science Review </w:t>
            </w:r>
            <w:r>
              <w:rPr>
                <w:sz w:val="20"/>
              </w:rPr>
              <w:t>110.1 (2016): 198-214.</w:t>
            </w:r>
          </w:p>
          <w:p w14:paraId="329029D9" w14:textId="77777777" w:rsidR="0046798B" w:rsidRDefault="0046798B">
            <w:pPr>
              <w:pStyle w:val="TableParagraph"/>
              <w:rPr>
                <w:b/>
                <w:sz w:val="20"/>
              </w:rPr>
            </w:pPr>
          </w:p>
          <w:p w14:paraId="5FA23B34"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5BB2EDD9" w14:textId="77777777">
        <w:trPr>
          <w:trHeight w:val="1925"/>
        </w:trPr>
        <w:tc>
          <w:tcPr>
            <w:tcW w:w="1711" w:type="dxa"/>
          </w:tcPr>
          <w:p w14:paraId="6470ED46" w14:textId="77777777" w:rsidR="0046798B" w:rsidRDefault="0046798B">
            <w:pPr>
              <w:pStyle w:val="TableParagraph"/>
              <w:rPr>
                <w:b/>
              </w:rPr>
            </w:pPr>
          </w:p>
          <w:p w14:paraId="5B4B870C" w14:textId="77777777" w:rsidR="0046798B" w:rsidRDefault="0046798B">
            <w:pPr>
              <w:pStyle w:val="TableParagraph"/>
              <w:rPr>
                <w:b/>
              </w:rPr>
            </w:pPr>
          </w:p>
          <w:p w14:paraId="7B88B16B" w14:textId="77777777" w:rsidR="0046798B" w:rsidRDefault="0046798B">
            <w:pPr>
              <w:pStyle w:val="TableParagraph"/>
              <w:spacing w:before="4"/>
              <w:rPr>
                <w:b/>
                <w:sz w:val="29"/>
              </w:rPr>
            </w:pPr>
          </w:p>
          <w:p w14:paraId="460B62D0" w14:textId="77777777" w:rsidR="0046798B" w:rsidRDefault="00903B5C">
            <w:pPr>
              <w:pStyle w:val="TableParagraph"/>
              <w:ind w:left="115"/>
              <w:rPr>
                <w:b/>
                <w:sz w:val="20"/>
              </w:rPr>
            </w:pPr>
            <w:r>
              <w:rPr>
                <w:b/>
                <w:sz w:val="20"/>
              </w:rPr>
              <w:t>antistalk</w:t>
            </w:r>
          </w:p>
        </w:tc>
        <w:tc>
          <w:tcPr>
            <w:tcW w:w="1596" w:type="dxa"/>
          </w:tcPr>
          <w:p w14:paraId="3DDA92AA" w14:textId="77777777" w:rsidR="0046798B" w:rsidRDefault="0046798B">
            <w:pPr>
              <w:pStyle w:val="TableParagraph"/>
              <w:rPr>
                <w:b/>
              </w:rPr>
            </w:pPr>
          </w:p>
          <w:p w14:paraId="05395A14" w14:textId="77777777" w:rsidR="0046798B" w:rsidRDefault="0046798B">
            <w:pPr>
              <w:pStyle w:val="TableParagraph"/>
              <w:spacing w:before="3"/>
              <w:rPr>
                <w:b/>
                <w:sz w:val="31"/>
              </w:rPr>
            </w:pPr>
          </w:p>
          <w:p w14:paraId="04416E56" w14:textId="77777777" w:rsidR="0046798B" w:rsidRDefault="00903B5C">
            <w:pPr>
              <w:pStyle w:val="TableParagraph"/>
              <w:spacing w:before="1"/>
              <w:ind w:left="114" w:right="213"/>
              <w:rPr>
                <w:sz w:val="20"/>
              </w:rPr>
            </w:pPr>
            <w:r>
              <w:rPr>
                <w:sz w:val="20"/>
              </w:rPr>
              <w:t>Prohibition of harassment and intimidation</w:t>
            </w:r>
          </w:p>
        </w:tc>
        <w:tc>
          <w:tcPr>
            <w:tcW w:w="1285" w:type="dxa"/>
          </w:tcPr>
          <w:p w14:paraId="5D328E24" w14:textId="77777777" w:rsidR="0046798B" w:rsidRDefault="0046798B">
            <w:pPr>
              <w:pStyle w:val="TableParagraph"/>
              <w:rPr>
                <w:b/>
              </w:rPr>
            </w:pPr>
          </w:p>
          <w:p w14:paraId="7783DE0E" w14:textId="77777777" w:rsidR="0046798B" w:rsidRDefault="0046798B">
            <w:pPr>
              <w:pStyle w:val="TableParagraph"/>
              <w:rPr>
                <w:b/>
              </w:rPr>
            </w:pPr>
          </w:p>
          <w:p w14:paraId="18EABD45" w14:textId="77777777" w:rsidR="0046798B" w:rsidRDefault="0046798B">
            <w:pPr>
              <w:pStyle w:val="TableParagraph"/>
              <w:spacing w:before="4"/>
              <w:rPr>
                <w:b/>
                <w:sz w:val="29"/>
              </w:rPr>
            </w:pPr>
          </w:p>
          <w:p w14:paraId="006BAF0D" w14:textId="77777777" w:rsidR="0046798B" w:rsidRDefault="00903B5C">
            <w:pPr>
              <w:pStyle w:val="TableParagraph"/>
              <w:ind w:left="114"/>
              <w:rPr>
                <w:sz w:val="20"/>
              </w:rPr>
            </w:pPr>
            <w:r>
              <w:rPr>
                <w:sz w:val="20"/>
              </w:rPr>
              <w:t>1990–1995</w:t>
            </w:r>
          </w:p>
        </w:tc>
        <w:tc>
          <w:tcPr>
            <w:tcW w:w="3421" w:type="dxa"/>
          </w:tcPr>
          <w:p w14:paraId="3E2734EE" w14:textId="77777777" w:rsidR="0046798B" w:rsidRDefault="0046798B">
            <w:pPr>
              <w:pStyle w:val="TableParagraph"/>
              <w:rPr>
                <w:b/>
              </w:rPr>
            </w:pPr>
          </w:p>
          <w:p w14:paraId="01265293" w14:textId="77777777" w:rsidR="0046798B" w:rsidRDefault="0046798B">
            <w:pPr>
              <w:pStyle w:val="TableParagraph"/>
              <w:rPr>
                <w:b/>
              </w:rPr>
            </w:pPr>
          </w:p>
          <w:p w14:paraId="363A949D" w14:textId="77777777" w:rsidR="0046798B" w:rsidRDefault="0046798B">
            <w:pPr>
              <w:pStyle w:val="TableParagraph"/>
              <w:spacing w:before="4"/>
              <w:rPr>
                <w:b/>
                <w:sz w:val="19"/>
              </w:rPr>
            </w:pPr>
          </w:p>
          <w:p w14:paraId="00642242" w14:textId="77777777" w:rsidR="0046798B" w:rsidRDefault="00903B5C">
            <w:pPr>
              <w:pStyle w:val="TableParagraph"/>
              <w:ind w:left="114" w:right="1475"/>
              <w:rPr>
                <w:sz w:val="20"/>
              </w:rPr>
            </w:pPr>
            <w:r>
              <w:rPr>
                <w:sz w:val="20"/>
              </w:rPr>
              <w:t>0 = policy not adopted 1 = policy adopted</w:t>
            </w:r>
          </w:p>
        </w:tc>
        <w:tc>
          <w:tcPr>
            <w:tcW w:w="6482" w:type="dxa"/>
          </w:tcPr>
          <w:p w14:paraId="1C82E70A" w14:textId="77777777" w:rsidR="0046798B" w:rsidRDefault="00903B5C">
            <w:pPr>
              <w:pStyle w:val="TableParagraph"/>
              <w:spacing w:before="38"/>
              <w:ind w:left="114"/>
              <w:rPr>
                <w:sz w:val="20"/>
              </w:rPr>
            </w:pPr>
            <w:r>
              <w:rPr>
                <w:sz w:val="20"/>
              </w:rPr>
              <w:t xml:space="preserve">Boushey, Graeme. “Targeted for diffusion? How the use and acceptance of stereotypes shape the diffusion of criminal justice policy innovations in the American States.” </w:t>
            </w:r>
            <w:r>
              <w:rPr>
                <w:i/>
                <w:sz w:val="20"/>
              </w:rPr>
              <w:t xml:space="preserve">American Political Science Review </w:t>
            </w:r>
            <w:r>
              <w:rPr>
                <w:sz w:val="20"/>
              </w:rPr>
              <w:t>110.1 (2016): 198-214.</w:t>
            </w:r>
          </w:p>
          <w:p w14:paraId="64E632CA" w14:textId="77777777" w:rsidR="0046798B" w:rsidRDefault="0046798B">
            <w:pPr>
              <w:pStyle w:val="TableParagraph"/>
              <w:rPr>
                <w:b/>
                <w:sz w:val="20"/>
              </w:rPr>
            </w:pPr>
          </w:p>
          <w:p w14:paraId="6E375489"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01584B1B" w14:textId="77777777">
        <w:trPr>
          <w:trHeight w:val="1465"/>
        </w:trPr>
        <w:tc>
          <w:tcPr>
            <w:tcW w:w="1711" w:type="dxa"/>
          </w:tcPr>
          <w:p w14:paraId="7A5B9531" w14:textId="77777777" w:rsidR="0046798B" w:rsidRDefault="0046798B">
            <w:pPr>
              <w:pStyle w:val="TableParagraph"/>
              <w:rPr>
                <w:b/>
              </w:rPr>
            </w:pPr>
          </w:p>
          <w:p w14:paraId="26776034" w14:textId="77777777" w:rsidR="0046798B" w:rsidRDefault="0046798B">
            <w:pPr>
              <w:pStyle w:val="TableParagraph"/>
              <w:spacing w:before="4"/>
              <w:rPr>
                <w:b/>
                <w:sz w:val="31"/>
              </w:rPr>
            </w:pPr>
          </w:p>
          <w:p w14:paraId="4CB277D7" w14:textId="77777777" w:rsidR="0046798B" w:rsidRDefault="00903B5C">
            <w:pPr>
              <w:pStyle w:val="TableParagraph"/>
              <w:ind w:left="115"/>
              <w:rPr>
                <w:b/>
                <w:sz w:val="20"/>
              </w:rPr>
            </w:pPr>
            <w:r>
              <w:rPr>
                <w:b/>
                <w:sz w:val="20"/>
              </w:rPr>
              <w:t>bootcamp</w:t>
            </w:r>
          </w:p>
        </w:tc>
        <w:tc>
          <w:tcPr>
            <w:tcW w:w="1596" w:type="dxa"/>
          </w:tcPr>
          <w:p w14:paraId="75AC61D9" w14:textId="77777777" w:rsidR="0046798B" w:rsidRDefault="00903B5C">
            <w:pPr>
              <w:pStyle w:val="TableParagraph"/>
              <w:spacing w:before="153"/>
              <w:ind w:left="114" w:right="85"/>
              <w:rPr>
                <w:sz w:val="20"/>
              </w:rPr>
            </w:pPr>
            <w:r>
              <w:rPr>
                <w:sz w:val="20"/>
              </w:rPr>
              <w:t>Short-term programs for incarcerated youth (similar to military school)</w:t>
            </w:r>
          </w:p>
        </w:tc>
        <w:tc>
          <w:tcPr>
            <w:tcW w:w="1285" w:type="dxa"/>
          </w:tcPr>
          <w:p w14:paraId="7132AD80" w14:textId="77777777" w:rsidR="0046798B" w:rsidRDefault="0046798B">
            <w:pPr>
              <w:pStyle w:val="TableParagraph"/>
              <w:rPr>
                <w:b/>
              </w:rPr>
            </w:pPr>
          </w:p>
          <w:p w14:paraId="40370874" w14:textId="77777777" w:rsidR="0046798B" w:rsidRDefault="0046798B">
            <w:pPr>
              <w:pStyle w:val="TableParagraph"/>
              <w:spacing w:before="4"/>
              <w:rPr>
                <w:b/>
                <w:sz w:val="31"/>
              </w:rPr>
            </w:pPr>
          </w:p>
          <w:p w14:paraId="1A4C14D9" w14:textId="77777777" w:rsidR="0046798B" w:rsidRDefault="00903B5C">
            <w:pPr>
              <w:pStyle w:val="TableParagraph"/>
              <w:ind w:left="114"/>
              <w:rPr>
                <w:sz w:val="20"/>
              </w:rPr>
            </w:pPr>
            <w:r>
              <w:rPr>
                <w:sz w:val="20"/>
              </w:rPr>
              <w:t>1982–1999</w:t>
            </w:r>
          </w:p>
        </w:tc>
        <w:tc>
          <w:tcPr>
            <w:tcW w:w="3421" w:type="dxa"/>
          </w:tcPr>
          <w:p w14:paraId="73C87FFA" w14:textId="77777777" w:rsidR="0046798B" w:rsidRDefault="0046798B">
            <w:pPr>
              <w:pStyle w:val="TableParagraph"/>
              <w:rPr>
                <w:b/>
              </w:rPr>
            </w:pPr>
          </w:p>
          <w:p w14:paraId="6DE28E08" w14:textId="77777777" w:rsidR="0046798B" w:rsidRDefault="0046798B">
            <w:pPr>
              <w:pStyle w:val="TableParagraph"/>
              <w:spacing w:before="4"/>
              <w:rPr>
                <w:b/>
                <w:sz w:val="21"/>
              </w:rPr>
            </w:pPr>
          </w:p>
          <w:p w14:paraId="276FBE9F" w14:textId="77777777" w:rsidR="0046798B" w:rsidRDefault="00903B5C">
            <w:pPr>
              <w:pStyle w:val="TableParagraph"/>
              <w:ind w:left="114" w:right="1475"/>
              <w:rPr>
                <w:sz w:val="20"/>
              </w:rPr>
            </w:pPr>
            <w:r>
              <w:rPr>
                <w:sz w:val="20"/>
              </w:rPr>
              <w:t>0 = policy not adopted 1 = policy adopted</w:t>
            </w:r>
          </w:p>
        </w:tc>
        <w:tc>
          <w:tcPr>
            <w:tcW w:w="6482" w:type="dxa"/>
          </w:tcPr>
          <w:p w14:paraId="04F09B07" w14:textId="77777777" w:rsidR="0046798B" w:rsidRDefault="00903B5C">
            <w:pPr>
              <w:pStyle w:val="TableParagraph"/>
              <w:spacing w:before="38"/>
              <w:ind w:left="114"/>
              <w:rPr>
                <w:sz w:val="20"/>
              </w:rPr>
            </w:pPr>
            <w:r>
              <w:rPr>
                <w:sz w:val="20"/>
              </w:rPr>
              <w:t xml:space="preserve">Boushey, Graeme. “Targeted for diffusion? How the use and acceptance of stereotypes shape the diffusion of criminal justice policy innovations in the American States.” </w:t>
            </w:r>
            <w:r>
              <w:rPr>
                <w:i/>
                <w:sz w:val="20"/>
              </w:rPr>
              <w:t xml:space="preserve">American Political Science Review </w:t>
            </w:r>
            <w:r>
              <w:rPr>
                <w:sz w:val="20"/>
              </w:rPr>
              <w:t>110.1 (2016): 198-214.</w:t>
            </w:r>
          </w:p>
          <w:p w14:paraId="1D78170A" w14:textId="77777777" w:rsidR="0046798B" w:rsidRDefault="0046798B">
            <w:pPr>
              <w:pStyle w:val="TableParagraph"/>
              <w:rPr>
                <w:b/>
                <w:sz w:val="20"/>
              </w:rPr>
            </w:pPr>
          </w:p>
          <w:p w14:paraId="231896A7"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w:t>
            </w:r>
          </w:p>
        </w:tc>
      </w:tr>
    </w:tbl>
    <w:p w14:paraId="3345F465" w14:textId="77777777" w:rsidR="0046798B" w:rsidRDefault="0046798B">
      <w:pPr>
        <w:rPr>
          <w:sz w:val="20"/>
        </w:rPr>
        <w:sectPr w:rsidR="0046798B">
          <w:pgSz w:w="15840" w:h="12240" w:orient="landscape"/>
          <w:pgMar w:top="1220" w:right="300" w:bottom="980" w:left="820" w:header="730" w:footer="787" w:gutter="0"/>
          <w:cols w:space="720"/>
        </w:sectPr>
      </w:pPr>
    </w:p>
    <w:p w14:paraId="1DBD9944"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6A05B9A1" w14:textId="77777777">
        <w:trPr>
          <w:trHeight w:val="542"/>
        </w:trPr>
        <w:tc>
          <w:tcPr>
            <w:tcW w:w="1711" w:type="dxa"/>
            <w:tcBorders>
              <w:bottom w:val="dotted" w:sz="6" w:space="0" w:color="BEBEBE"/>
            </w:tcBorders>
          </w:tcPr>
          <w:p w14:paraId="0DAD8B21" w14:textId="77777777" w:rsidR="0046798B" w:rsidRDefault="0046798B">
            <w:pPr>
              <w:pStyle w:val="TableParagraph"/>
              <w:rPr>
                <w:sz w:val="20"/>
              </w:rPr>
            </w:pPr>
          </w:p>
        </w:tc>
        <w:tc>
          <w:tcPr>
            <w:tcW w:w="1596" w:type="dxa"/>
            <w:tcBorders>
              <w:bottom w:val="dotted" w:sz="6" w:space="0" w:color="BEBEBE"/>
            </w:tcBorders>
          </w:tcPr>
          <w:p w14:paraId="55BF1C69" w14:textId="77777777" w:rsidR="0046798B" w:rsidRDefault="0046798B">
            <w:pPr>
              <w:pStyle w:val="TableParagraph"/>
              <w:rPr>
                <w:sz w:val="20"/>
              </w:rPr>
            </w:pPr>
          </w:p>
        </w:tc>
        <w:tc>
          <w:tcPr>
            <w:tcW w:w="1285" w:type="dxa"/>
            <w:tcBorders>
              <w:bottom w:val="dotted" w:sz="6" w:space="0" w:color="BEBEBE"/>
            </w:tcBorders>
          </w:tcPr>
          <w:p w14:paraId="1FB1B8CF" w14:textId="77777777" w:rsidR="0046798B" w:rsidRDefault="0046798B">
            <w:pPr>
              <w:pStyle w:val="TableParagraph"/>
              <w:rPr>
                <w:sz w:val="20"/>
              </w:rPr>
            </w:pPr>
          </w:p>
        </w:tc>
        <w:tc>
          <w:tcPr>
            <w:tcW w:w="3421" w:type="dxa"/>
            <w:tcBorders>
              <w:bottom w:val="dotted" w:sz="6" w:space="0" w:color="BEBEBE"/>
            </w:tcBorders>
          </w:tcPr>
          <w:p w14:paraId="000B921A" w14:textId="77777777" w:rsidR="0046798B" w:rsidRDefault="0046798B">
            <w:pPr>
              <w:pStyle w:val="TableParagraph"/>
              <w:rPr>
                <w:sz w:val="20"/>
              </w:rPr>
            </w:pPr>
          </w:p>
        </w:tc>
        <w:tc>
          <w:tcPr>
            <w:tcW w:w="6482" w:type="dxa"/>
            <w:tcBorders>
              <w:bottom w:val="dotted" w:sz="6" w:space="0" w:color="BEBEBE"/>
            </w:tcBorders>
          </w:tcPr>
          <w:p w14:paraId="56F0AC10" w14:textId="77777777" w:rsidR="0046798B" w:rsidRDefault="00903B5C">
            <w:pPr>
              <w:pStyle w:val="TableParagraph"/>
              <w:spacing w:before="43"/>
              <w:ind w:left="114" w:right="2377"/>
              <w:rPr>
                <w:sz w:val="20"/>
              </w:rPr>
            </w:pPr>
            <w:r>
              <w:rPr>
                <w:sz w:val="20"/>
              </w:rPr>
              <w:t>Innovation and Diffusion (SPID) Database v1.0”, https://doi.org/10.7910/DVN/CVYSR7</w:t>
            </w:r>
          </w:p>
        </w:tc>
      </w:tr>
      <w:tr w:rsidR="0046798B" w14:paraId="56FD097F" w14:textId="77777777">
        <w:trPr>
          <w:trHeight w:val="1923"/>
        </w:trPr>
        <w:tc>
          <w:tcPr>
            <w:tcW w:w="1711" w:type="dxa"/>
            <w:tcBorders>
              <w:top w:val="dotted" w:sz="6" w:space="0" w:color="BEBEBE"/>
            </w:tcBorders>
          </w:tcPr>
          <w:p w14:paraId="78AF3877" w14:textId="77777777" w:rsidR="0046798B" w:rsidRDefault="0046798B">
            <w:pPr>
              <w:pStyle w:val="TableParagraph"/>
            </w:pPr>
          </w:p>
          <w:p w14:paraId="75162B68" w14:textId="77777777" w:rsidR="0046798B" w:rsidRDefault="0046798B">
            <w:pPr>
              <w:pStyle w:val="TableParagraph"/>
            </w:pPr>
          </w:p>
          <w:p w14:paraId="6E8C307C" w14:textId="77777777" w:rsidR="0046798B" w:rsidRDefault="0046798B">
            <w:pPr>
              <w:pStyle w:val="TableParagraph"/>
              <w:spacing w:before="6"/>
              <w:rPr>
                <w:sz w:val="29"/>
              </w:rPr>
            </w:pPr>
          </w:p>
          <w:p w14:paraId="132D010E" w14:textId="77777777" w:rsidR="0046798B" w:rsidRDefault="00903B5C">
            <w:pPr>
              <w:pStyle w:val="TableParagraph"/>
              <w:ind w:left="115"/>
              <w:rPr>
                <w:b/>
                <w:sz w:val="20"/>
              </w:rPr>
            </w:pPr>
            <w:r>
              <w:rPr>
                <w:b/>
                <w:sz w:val="20"/>
              </w:rPr>
              <w:t>cpban</w:t>
            </w:r>
          </w:p>
        </w:tc>
        <w:tc>
          <w:tcPr>
            <w:tcW w:w="1596" w:type="dxa"/>
            <w:tcBorders>
              <w:top w:val="dotted" w:sz="6" w:space="0" w:color="BEBEBE"/>
            </w:tcBorders>
          </w:tcPr>
          <w:p w14:paraId="408E413D" w14:textId="77777777" w:rsidR="0046798B" w:rsidRDefault="0046798B">
            <w:pPr>
              <w:pStyle w:val="TableParagraph"/>
            </w:pPr>
          </w:p>
          <w:p w14:paraId="2C69A21E" w14:textId="77777777" w:rsidR="0046798B" w:rsidRDefault="0046798B">
            <w:pPr>
              <w:pStyle w:val="TableParagraph"/>
            </w:pPr>
          </w:p>
          <w:p w14:paraId="6B7D3462" w14:textId="77777777" w:rsidR="0046798B" w:rsidRDefault="0046798B">
            <w:pPr>
              <w:pStyle w:val="TableParagraph"/>
              <w:spacing w:before="6"/>
              <w:rPr>
                <w:sz w:val="19"/>
              </w:rPr>
            </w:pPr>
          </w:p>
          <w:p w14:paraId="3D4F8B7D" w14:textId="77777777" w:rsidR="0046798B" w:rsidRDefault="00903B5C">
            <w:pPr>
              <w:pStyle w:val="TableParagraph"/>
              <w:ind w:left="114" w:right="430"/>
              <w:rPr>
                <w:sz w:val="20"/>
              </w:rPr>
            </w:pPr>
            <w:r>
              <w:rPr>
                <w:sz w:val="20"/>
              </w:rPr>
              <w:t>Bans child pornography</w:t>
            </w:r>
          </w:p>
        </w:tc>
        <w:tc>
          <w:tcPr>
            <w:tcW w:w="1285" w:type="dxa"/>
            <w:tcBorders>
              <w:top w:val="dotted" w:sz="6" w:space="0" w:color="BEBEBE"/>
            </w:tcBorders>
          </w:tcPr>
          <w:p w14:paraId="2FA705DD" w14:textId="77777777" w:rsidR="0046798B" w:rsidRDefault="0046798B">
            <w:pPr>
              <w:pStyle w:val="TableParagraph"/>
            </w:pPr>
          </w:p>
          <w:p w14:paraId="3598C5C1" w14:textId="77777777" w:rsidR="0046798B" w:rsidRDefault="0046798B">
            <w:pPr>
              <w:pStyle w:val="TableParagraph"/>
            </w:pPr>
          </w:p>
          <w:p w14:paraId="40E7481E" w14:textId="77777777" w:rsidR="0046798B" w:rsidRDefault="0046798B">
            <w:pPr>
              <w:pStyle w:val="TableParagraph"/>
              <w:spacing w:before="6"/>
              <w:rPr>
                <w:sz w:val="29"/>
              </w:rPr>
            </w:pPr>
          </w:p>
          <w:p w14:paraId="03C679EC" w14:textId="77777777" w:rsidR="0046798B" w:rsidRDefault="00903B5C">
            <w:pPr>
              <w:pStyle w:val="TableParagraph"/>
              <w:ind w:left="114"/>
              <w:rPr>
                <w:sz w:val="20"/>
              </w:rPr>
            </w:pPr>
            <w:r>
              <w:rPr>
                <w:sz w:val="20"/>
              </w:rPr>
              <w:t>1974–2003</w:t>
            </w:r>
          </w:p>
        </w:tc>
        <w:tc>
          <w:tcPr>
            <w:tcW w:w="3421" w:type="dxa"/>
            <w:tcBorders>
              <w:top w:val="dotted" w:sz="6" w:space="0" w:color="BEBEBE"/>
            </w:tcBorders>
          </w:tcPr>
          <w:p w14:paraId="70401019" w14:textId="77777777" w:rsidR="0046798B" w:rsidRDefault="0046798B">
            <w:pPr>
              <w:pStyle w:val="TableParagraph"/>
            </w:pPr>
          </w:p>
          <w:p w14:paraId="64B68637" w14:textId="77777777" w:rsidR="0046798B" w:rsidRDefault="0046798B">
            <w:pPr>
              <w:pStyle w:val="TableParagraph"/>
            </w:pPr>
          </w:p>
          <w:p w14:paraId="4947E4FD" w14:textId="77777777" w:rsidR="0046798B" w:rsidRDefault="0046798B">
            <w:pPr>
              <w:pStyle w:val="TableParagraph"/>
              <w:spacing w:before="6"/>
              <w:rPr>
                <w:sz w:val="19"/>
              </w:rPr>
            </w:pPr>
          </w:p>
          <w:p w14:paraId="6628A529" w14:textId="77777777" w:rsidR="0046798B" w:rsidRDefault="00903B5C">
            <w:pPr>
              <w:pStyle w:val="TableParagraph"/>
              <w:ind w:left="114" w:right="1475"/>
              <w:rPr>
                <w:sz w:val="20"/>
              </w:rPr>
            </w:pPr>
            <w:r>
              <w:rPr>
                <w:sz w:val="20"/>
              </w:rPr>
              <w:t>0 = policy not adopted 1 = policy adopted</w:t>
            </w:r>
          </w:p>
        </w:tc>
        <w:tc>
          <w:tcPr>
            <w:tcW w:w="6482" w:type="dxa"/>
            <w:tcBorders>
              <w:top w:val="dotted" w:sz="6" w:space="0" w:color="BEBEBE"/>
            </w:tcBorders>
          </w:tcPr>
          <w:p w14:paraId="4054FB46" w14:textId="77777777" w:rsidR="0046798B" w:rsidRDefault="00903B5C">
            <w:pPr>
              <w:pStyle w:val="TableParagraph"/>
              <w:spacing w:before="40"/>
              <w:ind w:left="114"/>
              <w:rPr>
                <w:sz w:val="20"/>
              </w:rPr>
            </w:pPr>
            <w:r>
              <w:rPr>
                <w:sz w:val="20"/>
              </w:rPr>
              <w:t xml:space="preserve">Boushey, Graeme. “Targeted for diffusion? How the use and acceptance of stereotypes shape the diffusion of criminal justice policy innovations in the American States.” </w:t>
            </w:r>
            <w:r>
              <w:rPr>
                <w:i/>
                <w:sz w:val="20"/>
              </w:rPr>
              <w:t xml:space="preserve">American Political Science Review </w:t>
            </w:r>
            <w:r>
              <w:rPr>
                <w:sz w:val="20"/>
              </w:rPr>
              <w:t>110.1 (2016): 198-214.</w:t>
            </w:r>
          </w:p>
          <w:p w14:paraId="17387D0E" w14:textId="77777777" w:rsidR="0046798B" w:rsidRDefault="0046798B">
            <w:pPr>
              <w:pStyle w:val="TableParagraph"/>
              <w:spacing w:before="1"/>
              <w:rPr>
                <w:sz w:val="20"/>
              </w:rPr>
            </w:pPr>
          </w:p>
          <w:p w14:paraId="6D2246A5"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0D18EF49" w14:textId="77777777">
        <w:trPr>
          <w:trHeight w:val="1930"/>
        </w:trPr>
        <w:tc>
          <w:tcPr>
            <w:tcW w:w="1711" w:type="dxa"/>
          </w:tcPr>
          <w:p w14:paraId="44623A28" w14:textId="77777777" w:rsidR="0046798B" w:rsidRDefault="0046798B">
            <w:pPr>
              <w:pStyle w:val="TableParagraph"/>
            </w:pPr>
          </w:p>
          <w:p w14:paraId="075DF563" w14:textId="77777777" w:rsidR="0046798B" w:rsidRDefault="0046798B">
            <w:pPr>
              <w:pStyle w:val="TableParagraph"/>
            </w:pPr>
          </w:p>
          <w:p w14:paraId="3A9B9D2C" w14:textId="77777777" w:rsidR="0046798B" w:rsidRDefault="0046798B">
            <w:pPr>
              <w:pStyle w:val="TableParagraph"/>
              <w:spacing w:before="9"/>
              <w:rPr>
                <w:sz w:val="29"/>
              </w:rPr>
            </w:pPr>
          </w:p>
          <w:p w14:paraId="7EE98263" w14:textId="77777777" w:rsidR="0046798B" w:rsidRDefault="00903B5C">
            <w:pPr>
              <w:pStyle w:val="TableParagraph"/>
              <w:ind w:left="115"/>
              <w:rPr>
                <w:b/>
                <w:sz w:val="20"/>
              </w:rPr>
            </w:pPr>
            <w:r>
              <w:rPr>
                <w:b/>
                <w:sz w:val="20"/>
              </w:rPr>
              <w:t>crimeviccomp</w:t>
            </w:r>
          </w:p>
        </w:tc>
        <w:tc>
          <w:tcPr>
            <w:tcW w:w="1596" w:type="dxa"/>
          </w:tcPr>
          <w:p w14:paraId="5F3C1543" w14:textId="77777777" w:rsidR="0046798B" w:rsidRDefault="0046798B">
            <w:pPr>
              <w:pStyle w:val="TableParagraph"/>
            </w:pPr>
          </w:p>
          <w:p w14:paraId="1F088A93" w14:textId="77777777" w:rsidR="0046798B" w:rsidRDefault="0046798B">
            <w:pPr>
              <w:pStyle w:val="TableParagraph"/>
              <w:spacing w:before="9"/>
              <w:rPr>
                <w:sz w:val="21"/>
              </w:rPr>
            </w:pPr>
          </w:p>
          <w:p w14:paraId="25B8FE13" w14:textId="77777777" w:rsidR="0046798B" w:rsidRDefault="00903B5C">
            <w:pPr>
              <w:pStyle w:val="TableParagraph"/>
              <w:ind w:left="114" w:right="179"/>
              <w:rPr>
                <w:sz w:val="20"/>
              </w:rPr>
            </w:pPr>
            <w:r>
              <w:rPr>
                <w:sz w:val="20"/>
              </w:rPr>
              <w:t>State programs to compensate victims of crimes</w:t>
            </w:r>
          </w:p>
        </w:tc>
        <w:tc>
          <w:tcPr>
            <w:tcW w:w="1285" w:type="dxa"/>
          </w:tcPr>
          <w:p w14:paraId="44F7DC1E" w14:textId="77777777" w:rsidR="0046798B" w:rsidRDefault="0046798B">
            <w:pPr>
              <w:pStyle w:val="TableParagraph"/>
            </w:pPr>
          </w:p>
          <w:p w14:paraId="73C45418" w14:textId="77777777" w:rsidR="0046798B" w:rsidRDefault="0046798B">
            <w:pPr>
              <w:pStyle w:val="TableParagraph"/>
            </w:pPr>
          </w:p>
          <w:p w14:paraId="4DDB1DD2" w14:textId="77777777" w:rsidR="0046798B" w:rsidRDefault="0046798B">
            <w:pPr>
              <w:pStyle w:val="TableParagraph"/>
              <w:spacing w:before="9"/>
              <w:rPr>
                <w:sz w:val="29"/>
              </w:rPr>
            </w:pPr>
          </w:p>
          <w:p w14:paraId="6A13D9ED" w14:textId="77777777" w:rsidR="0046798B" w:rsidRDefault="00903B5C">
            <w:pPr>
              <w:pStyle w:val="TableParagraph"/>
              <w:ind w:left="114"/>
              <w:rPr>
                <w:sz w:val="20"/>
              </w:rPr>
            </w:pPr>
            <w:r>
              <w:rPr>
                <w:sz w:val="20"/>
              </w:rPr>
              <w:t>1965–1992</w:t>
            </w:r>
          </w:p>
        </w:tc>
        <w:tc>
          <w:tcPr>
            <w:tcW w:w="3421" w:type="dxa"/>
          </w:tcPr>
          <w:p w14:paraId="169C54BB" w14:textId="77777777" w:rsidR="0046798B" w:rsidRDefault="0046798B">
            <w:pPr>
              <w:pStyle w:val="TableParagraph"/>
            </w:pPr>
          </w:p>
          <w:p w14:paraId="066B588A" w14:textId="77777777" w:rsidR="0046798B" w:rsidRDefault="0046798B">
            <w:pPr>
              <w:pStyle w:val="TableParagraph"/>
            </w:pPr>
          </w:p>
          <w:p w14:paraId="5F304800" w14:textId="77777777" w:rsidR="0046798B" w:rsidRDefault="0046798B">
            <w:pPr>
              <w:pStyle w:val="TableParagraph"/>
              <w:spacing w:before="9"/>
              <w:rPr>
                <w:sz w:val="19"/>
              </w:rPr>
            </w:pPr>
          </w:p>
          <w:p w14:paraId="5A4705BC" w14:textId="77777777" w:rsidR="0046798B" w:rsidRDefault="00903B5C">
            <w:pPr>
              <w:pStyle w:val="TableParagraph"/>
              <w:ind w:left="114" w:right="1475"/>
              <w:rPr>
                <w:sz w:val="20"/>
              </w:rPr>
            </w:pPr>
            <w:r>
              <w:rPr>
                <w:sz w:val="20"/>
              </w:rPr>
              <w:t>0 = policy not adopted 1 = policy adopted</w:t>
            </w:r>
          </w:p>
        </w:tc>
        <w:tc>
          <w:tcPr>
            <w:tcW w:w="6482" w:type="dxa"/>
          </w:tcPr>
          <w:p w14:paraId="71B3E00D" w14:textId="77777777" w:rsidR="0046798B" w:rsidRDefault="00903B5C">
            <w:pPr>
              <w:pStyle w:val="TableParagraph"/>
              <w:spacing w:before="43"/>
              <w:ind w:left="114"/>
              <w:rPr>
                <w:sz w:val="20"/>
              </w:rPr>
            </w:pPr>
            <w:r>
              <w:rPr>
                <w:sz w:val="20"/>
              </w:rPr>
              <w:t xml:space="preserve">Boushey, Graeme. “Targeted for diffusion? How the use and acceptance of stereotypes shape the diffusion of criminal justice policy innovations in the American States.” </w:t>
            </w:r>
            <w:r>
              <w:rPr>
                <w:i/>
                <w:sz w:val="20"/>
              </w:rPr>
              <w:t xml:space="preserve">American Political Science Review </w:t>
            </w:r>
            <w:r>
              <w:rPr>
                <w:sz w:val="20"/>
              </w:rPr>
              <w:t>110.1 (2016): 198-214.</w:t>
            </w:r>
          </w:p>
          <w:p w14:paraId="1CA73C00" w14:textId="77777777" w:rsidR="0046798B" w:rsidRDefault="0046798B">
            <w:pPr>
              <w:pStyle w:val="TableParagraph"/>
              <w:rPr>
                <w:sz w:val="20"/>
              </w:rPr>
            </w:pPr>
          </w:p>
          <w:p w14:paraId="56B5876B"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7B5879F3" w14:textId="77777777">
        <w:trPr>
          <w:trHeight w:val="1925"/>
        </w:trPr>
        <w:tc>
          <w:tcPr>
            <w:tcW w:w="1711" w:type="dxa"/>
          </w:tcPr>
          <w:p w14:paraId="10A08E14" w14:textId="77777777" w:rsidR="0046798B" w:rsidRDefault="0046798B">
            <w:pPr>
              <w:pStyle w:val="TableParagraph"/>
            </w:pPr>
          </w:p>
          <w:p w14:paraId="7A773E79" w14:textId="77777777" w:rsidR="0046798B" w:rsidRDefault="0046798B">
            <w:pPr>
              <w:pStyle w:val="TableParagraph"/>
            </w:pPr>
          </w:p>
          <w:p w14:paraId="4BA4A46A" w14:textId="77777777" w:rsidR="0046798B" w:rsidRDefault="0046798B">
            <w:pPr>
              <w:pStyle w:val="TableParagraph"/>
              <w:spacing w:before="4"/>
              <w:rPr>
                <w:sz w:val="29"/>
              </w:rPr>
            </w:pPr>
          </w:p>
          <w:p w14:paraId="0644451D" w14:textId="77777777" w:rsidR="0046798B" w:rsidRDefault="00903B5C">
            <w:pPr>
              <w:pStyle w:val="TableParagraph"/>
              <w:ind w:left="115"/>
              <w:rPr>
                <w:b/>
                <w:sz w:val="20"/>
              </w:rPr>
            </w:pPr>
            <w:r>
              <w:rPr>
                <w:b/>
                <w:sz w:val="20"/>
              </w:rPr>
              <w:t>deathpen</w:t>
            </w:r>
          </w:p>
        </w:tc>
        <w:tc>
          <w:tcPr>
            <w:tcW w:w="1596" w:type="dxa"/>
          </w:tcPr>
          <w:p w14:paraId="041C0B68" w14:textId="77777777" w:rsidR="0046798B" w:rsidRDefault="0046798B">
            <w:pPr>
              <w:pStyle w:val="TableParagraph"/>
            </w:pPr>
          </w:p>
          <w:p w14:paraId="42EE4C27" w14:textId="77777777" w:rsidR="0046798B" w:rsidRDefault="0046798B">
            <w:pPr>
              <w:pStyle w:val="TableParagraph"/>
              <w:spacing w:before="3"/>
              <w:rPr>
                <w:sz w:val="21"/>
              </w:rPr>
            </w:pPr>
          </w:p>
          <w:p w14:paraId="4AEC56EC" w14:textId="77777777" w:rsidR="0046798B" w:rsidRDefault="00903B5C">
            <w:pPr>
              <w:pStyle w:val="TableParagraph"/>
              <w:spacing w:before="1"/>
              <w:ind w:left="114" w:right="258"/>
              <w:rPr>
                <w:sz w:val="20"/>
              </w:rPr>
            </w:pPr>
            <w:r>
              <w:rPr>
                <w:sz w:val="20"/>
              </w:rPr>
              <w:t>Post-Supreme Court reenactment of death penalty</w:t>
            </w:r>
          </w:p>
        </w:tc>
        <w:tc>
          <w:tcPr>
            <w:tcW w:w="1285" w:type="dxa"/>
          </w:tcPr>
          <w:p w14:paraId="67CF8502" w14:textId="77777777" w:rsidR="0046798B" w:rsidRDefault="0046798B">
            <w:pPr>
              <w:pStyle w:val="TableParagraph"/>
            </w:pPr>
          </w:p>
          <w:p w14:paraId="1F2E7F6F" w14:textId="77777777" w:rsidR="0046798B" w:rsidRDefault="0046798B">
            <w:pPr>
              <w:pStyle w:val="TableParagraph"/>
            </w:pPr>
          </w:p>
          <w:p w14:paraId="55DB99C4" w14:textId="77777777" w:rsidR="0046798B" w:rsidRDefault="0046798B">
            <w:pPr>
              <w:pStyle w:val="TableParagraph"/>
              <w:spacing w:before="4"/>
              <w:rPr>
                <w:sz w:val="29"/>
              </w:rPr>
            </w:pPr>
          </w:p>
          <w:p w14:paraId="64A6E93D" w14:textId="77777777" w:rsidR="0046798B" w:rsidRDefault="00903B5C">
            <w:pPr>
              <w:pStyle w:val="TableParagraph"/>
              <w:ind w:left="114"/>
              <w:rPr>
                <w:sz w:val="20"/>
              </w:rPr>
            </w:pPr>
            <w:r>
              <w:rPr>
                <w:sz w:val="20"/>
              </w:rPr>
              <w:t>1972–1995</w:t>
            </w:r>
          </w:p>
        </w:tc>
        <w:tc>
          <w:tcPr>
            <w:tcW w:w="3421" w:type="dxa"/>
          </w:tcPr>
          <w:p w14:paraId="724EBEB8" w14:textId="77777777" w:rsidR="0046798B" w:rsidRDefault="0046798B">
            <w:pPr>
              <w:pStyle w:val="TableParagraph"/>
            </w:pPr>
          </w:p>
          <w:p w14:paraId="51F798D2" w14:textId="77777777" w:rsidR="0046798B" w:rsidRDefault="0046798B">
            <w:pPr>
              <w:pStyle w:val="TableParagraph"/>
            </w:pPr>
          </w:p>
          <w:p w14:paraId="22AE936C" w14:textId="77777777" w:rsidR="0046798B" w:rsidRDefault="0046798B">
            <w:pPr>
              <w:pStyle w:val="TableParagraph"/>
              <w:spacing w:before="4"/>
              <w:rPr>
                <w:sz w:val="19"/>
              </w:rPr>
            </w:pPr>
          </w:p>
          <w:p w14:paraId="1E5A55A0" w14:textId="77777777" w:rsidR="0046798B" w:rsidRDefault="00903B5C">
            <w:pPr>
              <w:pStyle w:val="TableParagraph"/>
              <w:ind w:left="114" w:right="1475"/>
              <w:rPr>
                <w:sz w:val="20"/>
              </w:rPr>
            </w:pPr>
            <w:r>
              <w:rPr>
                <w:sz w:val="20"/>
              </w:rPr>
              <w:t>0 = policy not adopted 1 = policy adopted</w:t>
            </w:r>
          </w:p>
        </w:tc>
        <w:tc>
          <w:tcPr>
            <w:tcW w:w="6482" w:type="dxa"/>
          </w:tcPr>
          <w:p w14:paraId="0A93A83B" w14:textId="77777777" w:rsidR="0046798B" w:rsidRDefault="00903B5C">
            <w:pPr>
              <w:pStyle w:val="TableParagraph"/>
              <w:spacing w:before="38"/>
              <w:ind w:left="114"/>
              <w:rPr>
                <w:sz w:val="20"/>
              </w:rPr>
            </w:pPr>
            <w:r>
              <w:rPr>
                <w:sz w:val="20"/>
              </w:rPr>
              <w:t xml:space="preserve">Boushey, Graeme. “Targeted for diffusion? How the use and acceptance of stereotypes shape the diffusion of criminal justice policy innovations in the American States.” </w:t>
            </w:r>
            <w:r>
              <w:rPr>
                <w:i/>
                <w:sz w:val="20"/>
              </w:rPr>
              <w:t xml:space="preserve">American Political Science Review </w:t>
            </w:r>
            <w:r>
              <w:rPr>
                <w:sz w:val="20"/>
              </w:rPr>
              <w:t>110.1 (2016): 198-214.</w:t>
            </w:r>
          </w:p>
          <w:p w14:paraId="5DA98F63" w14:textId="77777777" w:rsidR="0046798B" w:rsidRDefault="0046798B">
            <w:pPr>
              <w:pStyle w:val="TableParagraph"/>
              <w:rPr>
                <w:sz w:val="20"/>
              </w:rPr>
            </w:pPr>
          </w:p>
          <w:p w14:paraId="4CEEAC65"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39992161" w14:textId="77777777">
        <w:trPr>
          <w:trHeight w:val="1926"/>
        </w:trPr>
        <w:tc>
          <w:tcPr>
            <w:tcW w:w="1711" w:type="dxa"/>
          </w:tcPr>
          <w:p w14:paraId="0C4B68A0" w14:textId="77777777" w:rsidR="0046798B" w:rsidRDefault="0046798B">
            <w:pPr>
              <w:pStyle w:val="TableParagraph"/>
            </w:pPr>
          </w:p>
          <w:p w14:paraId="43F973A7" w14:textId="77777777" w:rsidR="0046798B" w:rsidRDefault="0046798B">
            <w:pPr>
              <w:pStyle w:val="TableParagraph"/>
            </w:pPr>
          </w:p>
          <w:p w14:paraId="53D6A9FB" w14:textId="77777777" w:rsidR="0046798B" w:rsidRDefault="0046798B">
            <w:pPr>
              <w:pStyle w:val="TableParagraph"/>
              <w:spacing w:before="4"/>
              <w:rPr>
                <w:sz w:val="29"/>
              </w:rPr>
            </w:pPr>
          </w:p>
          <w:p w14:paraId="6D43D3A1" w14:textId="77777777" w:rsidR="0046798B" w:rsidRDefault="00903B5C">
            <w:pPr>
              <w:pStyle w:val="TableParagraph"/>
              <w:ind w:left="115"/>
              <w:rPr>
                <w:b/>
                <w:sz w:val="20"/>
              </w:rPr>
            </w:pPr>
            <w:r>
              <w:rPr>
                <w:b/>
                <w:sz w:val="20"/>
              </w:rPr>
              <w:t>dnafelon</w:t>
            </w:r>
          </w:p>
        </w:tc>
        <w:tc>
          <w:tcPr>
            <w:tcW w:w="1596" w:type="dxa"/>
          </w:tcPr>
          <w:p w14:paraId="5E1AB256" w14:textId="77777777" w:rsidR="0046798B" w:rsidRDefault="0046798B">
            <w:pPr>
              <w:pStyle w:val="TableParagraph"/>
            </w:pPr>
          </w:p>
          <w:p w14:paraId="413867FB" w14:textId="77777777" w:rsidR="0046798B" w:rsidRDefault="0046798B">
            <w:pPr>
              <w:pStyle w:val="TableParagraph"/>
              <w:spacing w:before="4"/>
              <w:rPr>
                <w:sz w:val="31"/>
              </w:rPr>
            </w:pPr>
          </w:p>
          <w:p w14:paraId="2BF9E0C0" w14:textId="77777777" w:rsidR="0046798B" w:rsidRDefault="00903B5C">
            <w:pPr>
              <w:pStyle w:val="TableParagraph"/>
              <w:ind w:left="114" w:right="195"/>
              <w:jc w:val="both"/>
              <w:rPr>
                <w:sz w:val="20"/>
              </w:rPr>
            </w:pPr>
            <w:r>
              <w:rPr>
                <w:sz w:val="20"/>
              </w:rPr>
              <w:t>DNA collection of all convicted felons</w:t>
            </w:r>
          </w:p>
        </w:tc>
        <w:tc>
          <w:tcPr>
            <w:tcW w:w="1285" w:type="dxa"/>
          </w:tcPr>
          <w:p w14:paraId="2C2FF40D" w14:textId="77777777" w:rsidR="0046798B" w:rsidRDefault="0046798B">
            <w:pPr>
              <w:pStyle w:val="TableParagraph"/>
            </w:pPr>
          </w:p>
          <w:p w14:paraId="46B26972" w14:textId="77777777" w:rsidR="0046798B" w:rsidRDefault="0046798B">
            <w:pPr>
              <w:pStyle w:val="TableParagraph"/>
            </w:pPr>
          </w:p>
          <w:p w14:paraId="45840245" w14:textId="77777777" w:rsidR="0046798B" w:rsidRDefault="0046798B">
            <w:pPr>
              <w:pStyle w:val="TableParagraph"/>
              <w:spacing w:before="4"/>
              <w:rPr>
                <w:sz w:val="29"/>
              </w:rPr>
            </w:pPr>
          </w:p>
          <w:p w14:paraId="7457F252" w14:textId="77777777" w:rsidR="0046798B" w:rsidRDefault="00903B5C">
            <w:pPr>
              <w:pStyle w:val="TableParagraph"/>
              <w:ind w:left="114"/>
              <w:rPr>
                <w:sz w:val="20"/>
              </w:rPr>
            </w:pPr>
            <w:r>
              <w:rPr>
                <w:sz w:val="20"/>
              </w:rPr>
              <w:t>2000–2004</w:t>
            </w:r>
          </w:p>
        </w:tc>
        <w:tc>
          <w:tcPr>
            <w:tcW w:w="3421" w:type="dxa"/>
          </w:tcPr>
          <w:p w14:paraId="6CF82B26" w14:textId="77777777" w:rsidR="0046798B" w:rsidRDefault="0046798B">
            <w:pPr>
              <w:pStyle w:val="TableParagraph"/>
            </w:pPr>
          </w:p>
          <w:p w14:paraId="079C3849" w14:textId="77777777" w:rsidR="0046798B" w:rsidRDefault="0046798B">
            <w:pPr>
              <w:pStyle w:val="TableParagraph"/>
            </w:pPr>
          </w:p>
          <w:p w14:paraId="0F27F627" w14:textId="77777777" w:rsidR="0046798B" w:rsidRDefault="0046798B">
            <w:pPr>
              <w:pStyle w:val="TableParagraph"/>
              <w:spacing w:before="4"/>
              <w:rPr>
                <w:sz w:val="19"/>
              </w:rPr>
            </w:pPr>
          </w:p>
          <w:p w14:paraId="0B1B0166" w14:textId="77777777" w:rsidR="0046798B" w:rsidRDefault="00903B5C">
            <w:pPr>
              <w:pStyle w:val="TableParagraph"/>
              <w:ind w:left="114" w:right="1475"/>
              <w:rPr>
                <w:sz w:val="20"/>
              </w:rPr>
            </w:pPr>
            <w:r>
              <w:rPr>
                <w:sz w:val="20"/>
              </w:rPr>
              <w:t>0 = policy not adopted 1 = policy adopted</w:t>
            </w:r>
          </w:p>
        </w:tc>
        <w:tc>
          <w:tcPr>
            <w:tcW w:w="6482" w:type="dxa"/>
          </w:tcPr>
          <w:p w14:paraId="2611679E" w14:textId="77777777" w:rsidR="0046798B" w:rsidRDefault="00903B5C">
            <w:pPr>
              <w:pStyle w:val="TableParagraph"/>
              <w:spacing w:before="38"/>
              <w:ind w:left="114"/>
              <w:rPr>
                <w:sz w:val="20"/>
              </w:rPr>
            </w:pPr>
            <w:r>
              <w:rPr>
                <w:sz w:val="20"/>
              </w:rPr>
              <w:t xml:space="preserve">Boushey, Graeme. “Targeted for diffusion? How the use and acceptance of stereotypes shape the diffusion of criminal justice policy innovations in the American States.” </w:t>
            </w:r>
            <w:r>
              <w:rPr>
                <w:i/>
                <w:sz w:val="20"/>
              </w:rPr>
              <w:t xml:space="preserve">American Political Science Review </w:t>
            </w:r>
            <w:r>
              <w:rPr>
                <w:sz w:val="20"/>
              </w:rPr>
              <w:t>110.1 (2016): 198-214.</w:t>
            </w:r>
          </w:p>
          <w:p w14:paraId="04C0EFC5" w14:textId="77777777" w:rsidR="0046798B" w:rsidRDefault="0046798B">
            <w:pPr>
              <w:pStyle w:val="TableParagraph"/>
              <w:rPr>
                <w:sz w:val="20"/>
              </w:rPr>
            </w:pPr>
          </w:p>
          <w:p w14:paraId="78BB0419"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27A18BCB" w14:textId="77777777">
        <w:trPr>
          <w:trHeight w:val="1005"/>
        </w:trPr>
        <w:tc>
          <w:tcPr>
            <w:tcW w:w="1711" w:type="dxa"/>
          </w:tcPr>
          <w:p w14:paraId="42A2481A" w14:textId="77777777" w:rsidR="0046798B" w:rsidRDefault="0046798B">
            <w:pPr>
              <w:pStyle w:val="TableParagraph"/>
            </w:pPr>
          </w:p>
          <w:p w14:paraId="66B4DA52" w14:textId="77777777" w:rsidR="0046798B" w:rsidRDefault="00903B5C">
            <w:pPr>
              <w:pStyle w:val="TableParagraph"/>
              <w:spacing w:before="130"/>
              <w:ind w:left="115"/>
              <w:rPr>
                <w:b/>
                <w:sz w:val="20"/>
              </w:rPr>
            </w:pPr>
            <w:r>
              <w:rPr>
                <w:b/>
                <w:sz w:val="20"/>
              </w:rPr>
              <w:t>dnaforexon</w:t>
            </w:r>
          </w:p>
        </w:tc>
        <w:tc>
          <w:tcPr>
            <w:tcW w:w="1596" w:type="dxa"/>
          </w:tcPr>
          <w:p w14:paraId="43286391" w14:textId="77777777" w:rsidR="0046798B" w:rsidRDefault="00903B5C">
            <w:pPr>
              <w:pStyle w:val="TableParagraph"/>
              <w:spacing w:before="38"/>
              <w:ind w:left="114" w:right="196"/>
              <w:rPr>
                <w:sz w:val="20"/>
              </w:rPr>
            </w:pPr>
            <w:r>
              <w:rPr>
                <w:sz w:val="20"/>
              </w:rPr>
              <w:t>Post-conviction exoneration using DNA evidence</w:t>
            </w:r>
          </w:p>
        </w:tc>
        <w:tc>
          <w:tcPr>
            <w:tcW w:w="1285" w:type="dxa"/>
          </w:tcPr>
          <w:p w14:paraId="7F807B1A" w14:textId="77777777" w:rsidR="0046798B" w:rsidRDefault="0046798B">
            <w:pPr>
              <w:pStyle w:val="TableParagraph"/>
            </w:pPr>
          </w:p>
          <w:p w14:paraId="7EFF94F2" w14:textId="77777777" w:rsidR="0046798B" w:rsidRDefault="00903B5C">
            <w:pPr>
              <w:pStyle w:val="TableParagraph"/>
              <w:spacing w:before="130"/>
              <w:ind w:left="114"/>
              <w:rPr>
                <w:sz w:val="20"/>
              </w:rPr>
            </w:pPr>
            <w:r>
              <w:rPr>
                <w:sz w:val="20"/>
              </w:rPr>
              <w:t>1997–2008</w:t>
            </w:r>
          </w:p>
        </w:tc>
        <w:tc>
          <w:tcPr>
            <w:tcW w:w="3421" w:type="dxa"/>
          </w:tcPr>
          <w:p w14:paraId="2E01F589" w14:textId="77777777" w:rsidR="0046798B" w:rsidRDefault="0046798B">
            <w:pPr>
              <w:pStyle w:val="TableParagraph"/>
              <w:spacing w:before="3"/>
              <w:rPr>
                <w:sz w:val="23"/>
              </w:rPr>
            </w:pPr>
          </w:p>
          <w:p w14:paraId="1C3558B8"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45995D6A" w14:textId="77777777" w:rsidR="0046798B" w:rsidRDefault="00903B5C">
            <w:pPr>
              <w:pStyle w:val="TableParagraph"/>
              <w:spacing w:before="38"/>
              <w:ind w:left="114"/>
              <w:rPr>
                <w:sz w:val="20"/>
              </w:rPr>
            </w:pPr>
            <w:r>
              <w:rPr>
                <w:sz w:val="20"/>
              </w:rPr>
              <w:t xml:space="preserve">Boushey, Graeme. “Targeted for diffusion? How the use and acceptance of stereotypes shape the diffusion of criminal justice policy innovations in the American States.” </w:t>
            </w:r>
            <w:r>
              <w:rPr>
                <w:i/>
                <w:sz w:val="20"/>
              </w:rPr>
              <w:t xml:space="preserve">American Political Science Review </w:t>
            </w:r>
            <w:r>
              <w:rPr>
                <w:sz w:val="20"/>
              </w:rPr>
              <w:t>110.1 (2016): 198-214.</w:t>
            </w:r>
          </w:p>
        </w:tc>
      </w:tr>
    </w:tbl>
    <w:p w14:paraId="7B7CADE1" w14:textId="77777777" w:rsidR="0046798B" w:rsidRDefault="0046798B">
      <w:pPr>
        <w:rPr>
          <w:sz w:val="20"/>
        </w:rPr>
        <w:sectPr w:rsidR="0046798B">
          <w:pgSz w:w="15840" w:h="12240" w:orient="landscape"/>
          <w:pgMar w:top="1220" w:right="300" w:bottom="980" w:left="820" w:header="730" w:footer="787" w:gutter="0"/>
          <w:cols w:space="720"/>
        </w:sectPr>
      </w:pPr>
    </w:p>
    <w:p w14:paraId="79278759"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79C567D" w14:textId="77777777">
        <w:trPr>
          <w:trHeight w:val="1005"/>
        </w:trPr>
        <w:tc>
          <w:tcPr>
            <w:tcW w:w="1711" w:type="dxa"/>
          </w:tcPr>
          <w:p w14:paraId="7C804FD9" w14:textId="77777777" w:rsidR="0046798B" w:rsidRDefault="0046798B">
            <w:pPr>
              <w:pStyle w:val="TableParagraph"/>
              <w:rPr>
                <w:sz w:val="20"/>
              </w:rPr>
            </w:pPr>
          </w:p>
        </w:tc>
        <w:tc>
          <w:tcPr>
            <w:tcW w:w="1596" w:type="dxa"/>
          </w:tcPr>
          <w:p w14:paraId="61843509" w14:textId="77777777" w:rsidR="0046798B" w:rsidRDefault="0046798B">
            <w:pPr>
              <w:pStyle w:val="TableParagraph"/>
              <w:rPr>
                <w:sz w:val="20"/>
              </w:rPr>
            </w:pPr>
          </w:p>
        </w:tc>
        <w:tc>
          <w:tcPr>
            <w:tcW w:w="1285" w:type="dxa"/>
          </w:tcPr>
          <w:p w14:paraId="27F38831" w14:textId="77777777" w:rsidR="0046798B" w:rsidRDefault="0046798B">
            <w:pPr>
              <w:pStyle w:val="TableParagraph"/>
              <w:rPr>
                <w:sz w:val="20"/>
              </w:rPr>
            </w:pPr>
          </w:p>
        </w:tc>
        <w:tc>
          <w:tcPr>
            <w:tcW w:w="3421" w:type="dxa"/>
          </w:tcPr>
          <w:p w14:paraId="44BC852F" w14:textId="77777777" w:rsidR="0046798B" w:rsidRDefault="0046798B">
            <w:pPr>
              <w:pStyle w:val="TableParagraph"/>
              <w:rPr>
                <w:sz w:val="20"/>
              </w:rPr>
            </w:pPr>
          </w:p>
        </w:tc>
        <w:tc>
          <w:tcPr>
            <w:tcW w:w="6482" w:type="dxa"/>
          </w:tcPr>
          <w:p w14:paraId="0F4E3D8F" w14:textId="77777777" w:rsidR="0046798B" w:rsidRDefault="00903B5C">
            <w:pPr>
              <w:pStyle w:val="TableParagraph"/>
              <w:spacing w:before="43"/>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EDF8277" w14:textId="77777777">
        <w:trPr>
          <w:trHeight w:val="1926"/>
        </w:trPr>
        <w:tc>
          <w:tcPr>
            <w:tcW w:w="1711" w:type="dxa"/>
          </w:tcPr>
          <w:p w14:paraId="53AED472" w14:textId="77777777" w:rsidR="0046798B" w:rsidRDefault="0046798B">
            <w:pPr>
              <w:pStyle w:val="TableParagraph"/>
            </w:pPr>
          </w:p>
          <w:p w14:paraId="75190DDA" w14:textId="77777777" w:rsidR="0046798B" w:rsidRDefault="0046798B">
            <w:pPr>
              <w:pStyle w:val="TableParagraph"/>
            </w:pPr>
          </w:p>
          <w:p w14:paraId="5D35485F" w14:textId="77777777" w:rsidR="0046798B" w:rsidRDefault="0046798B">
            <w:pPr>
              <w:pStyle w:val="TableParagraph"/>
              <w:spacing w:before="9"/>
              <w:rPr>
                <w:sz w:val="29"/>
              </w:rPr>
            </w:pPr>
          </w:p>
          <w:p w14:paraId="60265F2B" w14:textId="77777777" w:rsidR="0046798B" w:rsidRDefault="00903B5C">
            <w:pPr>
              <w:pStyle w:val="TableParagraph"/>
              <w:ind w:left="115"/>
              <w:rPr>
                <w:b/>
                <w:sz w:val="20"/>
              </w:rPr>
            </w:pPr>
            <w:r>
              <w:rPr>
                <w:b/>
                <w:sz w:val="20"/>
              </w:rPr>
              <w:t>furlough</w:t>
            </w:r>
          </w:p>
        </w:tc>
        <w:tc>
          <w:tcPr>
            <w:tcW w:w="1596" w:type="dxa"/>
          </w:tcPr>
          <w:p w14:paraId="3B1DDBB9" w14:textId="77777777" w:rsidR="0046798B" w:rsidRDefault="0046798B">
            <w:pPr>
              <w:pStyle w:val="TableParagraph"/>
            </w:pPr>
          </w:p>
          <w:p w14:paraId="03831FA7" w14:textId="77777777" w:rsidR="0046798B" w:rsidRDefault="0046798B">
            <w:pPr>
              <w:pStyle w:val="TableParagraph"/>
              <w:spacing w:before="9"/>
              <w:rPr>
                <w:sz w:val="21"/>
              </w:rPr>
            </w:pPr>
          </w:p>
          <w:p w14:paraId="5861FC2B" w14:textId="77777777" w:rsidR="0046798B" w:rsidRDefault="00903B5C">
            <w:pPr>
              <w:pStyle w:val="TableParagraph"/>
              <w:ind w:left="114" w:right="96"/>
              <w:rPr>
                <w:sz w:val="20"/>
              </w:rPr>
            </w:pPr>
            <w:r>
              <w:rPr>
                <w:sz w:val="20"/>
              </w:rPr>
              <w:t>Releasing inmates daily for purposes of employment</w:t>
            </w:r>
          </w:p>
        </w:tc>
        <w:tc>
          <w:tcPr>
            <w:tcW w:w="1285" w:type="dxa"/>
          </w:tcPr>
          <w:p w14:paraId="4213E7CB" w14:textId="77777777" w:rsidR="0046798B" w:rsidRDefault="0046798B">
            <w:pPr>
              <w:pStyle w:val="TableParagraph"/>
            </w:pPr>
          </w:p>
          <w:p w14:paraId="10B03F59" w14:textId="77777777" w:rsidR="0046798B" w:rsidRDefault="0046798B">
            <w:pPr>
              <w:pStyle w:val="TableParagraph"/>
            </w:pPr>
          </w:p>
          <w:p w14:paraId="547B02B0" w14:textId="77777777" w:rsidR="0046798B" w:rsidRDefault="0046798B">
            <w:pPr>
              <w:pStyle w:val="TableParagraph"/>
              <w:spacing w:before="9"/>
              <w:rPr>
                <w:sz w:val="29"/>
              </w:rPr>
            </w:pPr>
          </w:p>
          <w:p w14:paraId="0E22ED1C" w14:textId="77777777" w:rsidR="0046798B" w:rsidRDefault="00903B5C">
            <w:pPr>
              <w:pStyle w:val="TableParagraph"/>
              <w:ind w:left="114"/>
              <w:rPr>
                <w:sz w:val="20"/>
              </w:rPr>
            </w:pPr>
            <w:r>
              <w:rPr>
                <w:sz w:val="20"/>
              </w:rPr>
              <w:t>1967–1997</w:t>
            </w:r>
          </w:p>
        </w:tc>
        <w:tc>
          <w:tcPr>
            <w:tcW w:w="3421" w:type="dxa"/>
          </w:tcPr>
          <w:p w14:paraId="6CEF1679" w14:textId="77777777" w:rsidR="0046798B" w:rsidRDefault="0046798B">
            <w:pPr>
              <w:pStyle w:val="TableParagraph"/>
            </w:pPr>
          </w:p>
          <w:p w14:paraId="2B3E0EDA" w14:textId="77777777" w:rsidR="0046798B" w:rsidRDefault="0046798B">
            <w:pPr>
              <w:pStyle w:val="TableParagraph"/>
            </w:pPr>
          </w:p>
          <w:p w14:paraId="06CC9472" w14:textId="77777777" w:rsidR="0046798B" w:rsidRDefault="0046798B">
            <w:pPr>
              <w:pStyle w:val="TableParagraph"/>
              <w:spacing w:before="9"/>
              <w:rPr>
                <w:sz w:val="19"/>
              </w:rPr>
            </w:pPr>
          </w:p>
          <w:p w14:paraId="71678552" w14:textId="77777777" w:rsidR="0046798B" w:rsidRDefault="00903B5C">
            <w:pPr>
              <w:pStyle w:val="TableParagraph"/>
              <w:ind w:left="114" w:right="1475"/>
              <w:rPr>
                <w:sz w:val="20"/>
              </w:rPr>
            </w:pPr>
            <w:r>
              <w:rPr>
                <w:sz w:val="20"/>
              </w:rPr>
              <w:t>0 = policy not adopted 1 = policy adopted</w:t>
            </w:r>
          </w:p>
        </w:tc>
        <w:tc>
          <w:tcPr>
            <w:tcW w:w="6482" w:type="dxa"/>
          </w:tcPr>
          <w:p w14:paraId="2B728590" w14:textId="77777777" w:rsidR="0046798B" w:rsidRDefault="00903B5C">
            <w:pPr>
              <w:pStyle w:val="TableParagraph"/>
              <w:spacing w:before="43"/>
              <w:ind w:left="114"/>
              <w:rPr>
                <w:sz w:val="20"/>
              </w:rPr>
            </w:pPr>
            <w:r>
              <w:rPr>
                <w:sz w:val="20"/>
              </w:rPr>
              <w:t xml:space="preserve">Boushey, Graeme. “Targeted for diffusion? How the use and acceptance of stereotypes shape the diffusion of criminal justice policy innovations in the American States.” </w:t>
            </w:r>
            <w:r>
              <w:rPr>
                <w:i/>
                <w:sz w:val="20"/>
              </w:rPr>
              <w:t xml:space="preserve">American Political Science Review </w:t>
            </w:r>
            <w:r>
              <w:rPr>
                <w:sz w:val="20"/>
              </w:rPr>
              <w:t>110.1 (2016): 198-214.</w:t>
            </w:r>
          </w:p>
          <w:p w14:paraId="637AB901" w14:textId="77777777" w:rsidR="0046798B" w:rsidRDefault="0046798B">
            <w:pPr>
              <w:pStyle w:val="TableParagraph"/>
              <w:rPr>
                <w:sz w:val="20"/>
              </w:rPr>
            </w:pPr>
          </w:p>
          <w:p w14:paraId="76185771"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5CF979EB" w14:textId="77777777">
        <w:trPr>
          <w:trHeight w:val="1930"/>
        </w:trPr>
        <w:tc>
          <w:tcPr>
            <w:tcW w:w="1711" w:type="dxa"/>
          </w:tcPr>
          <w:p w14:paraId="7F9CBECE" w14:textId="77777777" w:rsidR="0046798B" w:rsidRDefault="0046798B">
            <w:pPr>
              <w:pStyle w:val="TableParagraph"/>
            </w:pPr>
          </w:p>
          <w:p w14:paraId="3B50F227" w14:textId="77777777" w:rsidR="0046798B" w:rsidRDefault="0046798B">
            <w:pPr>
              <w:pStyle w:val="TableParagraph"/>
            </w:pPr>
          </w:p>
          <w:p w14:paraId="2B668BD3" w14:textId="77777777" w:rsidR="0046798B" w:rsidRDefault="0046798B">
            <w:pPr>
              <w:pStyle w:val="TableParagraph"/>
              <w:spacing w:before="8"/>
              <w:rPr>
                <w:sz w:val="29"/>
              </w:rPr>
            </w:pPr>
          </w:p>
          <w:p w14:paraId="180EE656" w14:textId="77777777" w:rsidR="0046798B" w:rsidRDefault="00903B5C">
            <w:pPr>
              <w:pStyle w:val="TableParagraph"/>
              <w:spacing w:before="1"/>
              <w:ind w:left="115"/>
              <w:rPr>
                <w:b/>
                <w:sz w:val="20"/>
              </w:rPr>
            </w:pPr>
            <w:r>
              <w:rPr>
                <w:b/>
                <w:sz w:val="20"/>
              </w:rPr>
              <w:t>hazing</w:t>
            </w:r>
          </w:p>
        </w:tc>
        <w:tc>
          <w:tcPr>
            <w:tcW w:w="1596" w:type="dxa"/>
          </w:tcPr>
          <w:p w14:paraId="0EA72C10" w14:textId="77777777" w:rsidR="0046798B" w:rsidRDefault="0046798B">
            <w:pPr>
              <w:pStyle w:val="TableParagraph"/>
            </w:pPr>
          </w:p>
          <w:p w14:paraId="3E522BD8" w14:textId="77777777" w:rsidR="0046798B" w:rsidRDefault="0046798B">
            <w:pPr>
              <w:pStyle w:val="TableParagraph"/>
            </w:pPr>
          </w:p>
          <w:p w14:paraId="7168C2A0" w14:textId="77777777" w:rsidR="0046798B" w:rsidRDefault="0046798B">
            <w:pPr>
              <w:pStyle w:val="TableParagraph"/>
              <w:spacing w:before="8"/>
              <w:rPr>
                <w:sz w:val="19"/>
              </w:rPr>
            </w:pPr>
          </w:p>
          <w:p w14:paraId="5AFF6710" w14:textId="77777777" w:rsidR="0046798B" w:rsidRDefault="00903B5C">
            <w:pPr>
              <w:pStyle w:val="TableParagraph"/>
              <w:spacing w:before="1"/>
              <w:ind w:left="114" w:right="324"/>
              <w:rPr>
                <w:sz w:val="20"/>
              </w:rPr>
            </w:pPr>
            <w:r>
              <w:rPr>
                <w:sz w:val="20"/>
              </w:rPr>
              <w:t>Laws banning hazing</w:t>
            </w:r>
          </w:p>
        </w:tc>
        <w:tc>
          <w:tcPr>
            <w:tcW w:w="1285" w:type="dxa"/>
          </w:tcPr>
          <w:p w14:paraId="1321C33B" w14:textId="77777777" w:rsidR="0046798B" w:rsidRDefault="0046798B">
            <w:pPr>
              <w:pStyle w:val="TableParagraph"/>
            </w:pPr>
          </w:p>
          <w:p w14:paraId="114B6FED" w14:textId="77777777" w:rsidR="0046798B" w:rsidRDefault="0046798B">
            <w:pPr>
              <w:pStyle w:val="TableParagraph"/>
            </w:pPr>
          </w:p>
          <w:p w14:paraId="16118123" w14:textId="77777777" w:rsidR="0046798B" w:rsidRDefault="0046798B">
            <w:pPr>
              <w:pStyle w:val="TableParagraph"/>
              <w:spacing w:before="8"/>
              <w:rPr>
                <w:sz w:val="29"/>
              </w:rPr>
            </w:pPr>
          </w:p>
          <w:p w14:paraId="3893CB5F" w14:textId="77777777" w:rsidR="0046798B" w:rsidRDefault="00903B5C">
            <w:pPr>
              <w:pStyle w:val="TableParagraph"/>
              <w:spacing w:before="1"/>
              <w:ind w:left="114"/>
              <w:rPr>
                <w:sz w:val="20"/>
              </w:rPr>
            </w:pPr>
            <w:r>
              <w:rPr>
                <w:sz w:val="20"/>
              </w:rPr>
              <w:t>1969–2004</w:t>
            </w:r>
          </w:p>
        </w:tc>
        <w:tc>
          <w:tcPr>
            <w:tcW w:w="3421" w:type="dxa"/>
          </w:tcPr>
          <w:p w14:paraId="18EDC312" w14:textId="77777777" w:rsidR="0046798B" w:rsidRDefault="0046798B">
            <w:pPr>
              <w:pStyle w:val="TableParagraph"/>
            </w:pPr>
          </w:p>
          <w:p w14:paraId="74614EEB" w14:textId="77777777" w:rsidR="0046798B" w:rsidRDefault="0046798B">
            <w:pPr>
              <w:pStyle w:val="TableParagraph"/>
            </w:pPr>
          </w:p>
          <w:p w14:paraId="541D9537" w14:textId="77777777" w:rsidR="0046798B" w:rsidRDefault="0046798B">
            <w:pPr>
              <w:pStyle w:val="TableParagraph"/>
              <w:spacing w:before="8"/>
              <w:rPr>
                <w:sz w:val="19"/>
              </w:rPr>
            </w:pPr>
          </w:p>
          <w:p w14:paraId="0DF244F6"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224C4D03" w14:textId="77777777" w:rsidR="0046798B" w:rsidRDefault="00903B5C">
            <w:pPr>
              <w:pStyle w:val="TableParagraph"/>
              <w:spacing w:before="43"/>
              <w:ind w:left="114"/>
              <w:rPr>
                <w:sz w:val="20"/>
              </w:rPr>
            </w:pPr>
            <w:r>
              <w:rPr>
                <w:sz w:val="20"/>
              </w:rPr>
              <w:t xml:space="preserve">Boushey, Graeme. “Targeted for diffusion? How the use and acceptance of stereotypes shape the diffusion of criminal justice policy innovations in the American States.” </w:t>
            </w:r>
            <w:r>
              <w:rPr>
                <w:i/>
                <w:sz w:val="20"/>
              </w:rPr>
              <w:t xml:space="preserve">American Political Science Review </w:t>
            </w:r>
            <w:r>
              <w:rPr>
                <w:sz w:val="20"/>
              </w:rPr>
              <w:t>110.1 (2016): 198-214.</w:t>
            </w:r>
          </w:p>
          <w:p w14:paraId="6433360B" w14:textId="77777777" w:rsidR="0046798B" w:rsidRDefault="0046798B">
            <w:pPr>
              <w:pStyle w:val="TableParagraph"/>
              <w:rPr>
                <w:sz w:val="20"/>
              </w:rPr>
            </w:pPr>
          </w:p>
          <w:p w14:paraId="1BAD288D"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74E3A412" w14:textId="77777777">
        <w:trPr>
          <w:trHeight w:val="1926"/>
        </w:trPr>
        <w:tc>
          <w:tcPr>
            <w:tcW w:w="1711" w:type="dxa"/>
          </w:tcPr>
          <w:p w14:paraId="69C71E43" w14:textId="77777777" w:rsidR="0046798B" w:rsidRDefault="0046798B">
            <w:pPr>
              <w:pStyle w:val="TableParagraph"/>
            </w:pPr>
          </w:p>
          <w:p w14:paraId="16E0CDC7" w14:textId="77777777" w:rsidR="0046798B" w:rsidRDefault="0046798B">
            <w:pPr>
              <w:pStyle w:val="TableParagraph"/>
            </w:pPr>
          </w:p>
          <w:p w14:paraId="4943122D" w14:textId="77777777" w:rsidR="0046798B" w:rsidRDefault="0046798B">
            <w:pPr>
              <w:pStyle w:val="TableParagraph"/>
              <w:spacing w:before="4"/>
              <w:rPr>
                <w:sz w:val="29"/>
              </w:rPr>
            </w:pPr>
          </w:p>
          <w:p w14:paraId="2D1D1BBF" w14:textId="77777777" w:rsidR="0046798B" w:rsidRDefault="00903B5C">
            <w:pPr>
              <w:pStyle w:val="TableParagraph"/>
              <w:ind w:left="115"/>
              <w:rPr>
                <w:b/>
                <w:sz w:val="20"/>
              </w:rPr>
            </w:pPr>
            <w:r>
              <w:rPr>
                <w:b/>
                <w:sz w:val="20"/>
              </w:rPr>
              <w:t>meganslaw</w:t>
            </w:r>
          </w:p>
        </w:tc>
        <w:tc>
          <w:tcPr>
            <w:tcW w:w="1596" w:type="dxa"/>
          </w:tcPr>
          <w:p w14:paraId="50BE283B" w14:textId="77777777" w:rsidR="0046798B" w:rsidRDefault="0046798B">
            <w:pPr>
              <w:pStyle w:val="TableParagraph"/>
              <w:spacing w:before="4"/>
              <w:rPr>
                <w:sz w:val="23"/>
              </w:rPr>
            </w:pPr>
          </w:p>
          <w:p w14:paraId="2A1A41F7" w14:textId="77777777" w:rsidR="0046798B" w:rsidRDefault="00903B5C">
            <w:pPr>
              <w:pStyle w:val="TableParagraph"/>
              <w:ind w:left="114" w:right="229"/>
              <w:rPr>
                <w:sz w:val="20"/>
              </w:rPr>
            </w:pPr>
            <w:r>
              <w:rPr>
                <w:sz w:val="20"/>
              </w:rPr>
              <w:t>Requires information be made public regarding registered sex offenders</w:t>
            </w:r>
          </w:p>
        </w:tc>
        <w:tc>
          <w:tcPr>
            <w:tcW w:w="1285" w:type="dxa"/>
          </w:tcPr>
          <w:p w14:paraId="4C617519" w14:textId="77777777" w:rsidR="0046798B" w:rsidRDefault="0046798B">
            <w:pPr>
              <w:pStyle w:val="TableParagraph"/>
            </w:pPr>
          </w:p>
          <w:p w14:paraId="51D62E27" w14:textId="77777777" w:rsidR="0046798B" w:rsidRDefault="0046798B">
            <w:pPr>
              <w:pStyle w:val="TableParagraph"/>
            </w:pPr>
          </w:p>
          <w:p w14:paraId="20B5617E" w14:textId="77777777" w:rsidR="0046798B" w:rsidRDefault="0046798B">
            <w:pPr>
              <w:pStyle w:val="TableParagraph"/>
              <w:spacing w:before="4"/>
              <w:rPr>
                <w:sz w:val="29"/>
              </w:rPr>
            </w:pPr>
          </w:p>
          <w:p w14:paraId="6969D1A6" w14:textId="77777777" w:rsidR="0046798B" w:rsidRDefault="00903B5C">
            <w:pPr>
              <w:pStyle w:val="TableParagraph"/>
              <w:ind w:left="114"/>
              <w:rPr>
                <w:sz w:val="20"/>
              </w:rPr>
            </w:pPr>
            <w:r>
              <w:rPr>
                <w:sz w:val="20"/>
              </w:rPr>
              <w:t>1990–1999</w:t>
            </w:r>
          </w:p>
        </w:tc>
        <w:tc>
          <w:tcPr>
            <w:tcW w:w="3421" w:type="dxa"/>
          </w:tcPr>
          <w:p w14:paraId="1B9CB3F6" w14:textId="77777777" w:rsidR="0046798B" w:rsidRDefault="0046798B">
            <w:pPr>
              <w:pStyle w:val="TableParagraph"/>
            </w:pPr>
          </w:p>
          <w:p w14:paraId="65B091FF" w14:textId="77777777" w:rsidR="0046798B" w:rsidRDefault="0046798B">
            <w:pPr>
              <w:pStyle w:val="TableParagraph"/>
            </w:pPr>
          </w:p>
          <w:p w14:paraId="41DDD53A" w14:textId="77777777" w:rsidR="0046798B" w:rsidRDefault="0046798B">
            <w:pPr>
              <w:pStyle w:val="TableParagraph"/>
              <w:spacing w:before="4"/>
              <w:rPr>
                <w:sz w:val="19"/>
              </w:rPr>
            </w:pPr>
          </w:p>
          <w:p w14:paraId="7649F9FE" w14:textId="77777777" w:rsidR="0046798B" w:rsidRDefault="00903B5C">
            <w:pPr>
              <w:pStyle w:val="TableParagraph"/>
              <w:ind w:left="114" w:right="1475"/>
              <w:rPr>
                <w:sz w:val="20"/>
              </w:rPr>
            </w:pPr>
            <w:r>
              <w:rPr>
                <w:sz w:val="20"/>
              </w:rPr>
              <w:t>0 = policy not adopted 1 = policy adopted</w:t>
            </w:r>
          </w:p>
        </w:tc>
        <w:tc>
          <w:tcPr>
            <w:tcW w:w="6482" w:type="dxa"/>
          </w:tcPr>
          <w:p w14:paraId="0F088302" w14:textId="77777777" w:rsidR="0046798B" w:rsidRDefault="00903B5C">
            <w:pPr>
              <w:pStyle w:val="TableParagraph"/>
              <w:spacing w:before="38"/>
              <w:ind w:left="114"/>
              <w:rPr>
                <w:sz w:val="20"/>
              </w:rPr>
            </w:pPr>
            <w:r>
              <w:rPr>
                <w:sz w:val="20"/>
              </w:rPr>
              <w:t xml:space="preserve">Boushey, Graeme. “Targeted for diffusion? How the use and acceptance of stereotypes shape the diffusion of criminal justice policy innovations in the American States.” </w:t>
            </w:r>
            <w:r>
              <w:rPr>
                <w:i/>
                <w:sz w:val="20"/>
              </w:rPr>
              <w:t xml:space="preserve">American Political Science Review </w:t>
            </w:r>
            <w:r>
              <w:rPr>
                <w:sz w:val="20"/>
              </w:rPr>
              <w:t>110.1 (2016): 198-214.</w:t>
            </w:r>
          </w:p>
          <w:p w14:paraId="54968F69" w14:textId="77777777" w:rsidR="0046798B" w:rsidRDefault="0046798B">
            <w:pPr>
              <w:pStyle w:val="TableParagraph"/>
              <w:rPr>
                <w:sz w:val="20"/>
              </w:rPr>
            </w:pPr>
          </w:p>
          <w:p w14:paraId="2F088504"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7C1940D5" w14:textId="77777777">
        <w:trPr>
          <w:trHeight w:val="1925"/>
        </w:trPr>
        <w:tc>
          <w:tcPr>
            <w:tcW w:w="1711" w:type="dxa"/>
          </w:tcPr>
          <w:p w14:paraId="5C1A3A87" w14:textId="77777777" w:rsidR="0046798B" w:rsidRDefault="0046798B">
            <w:pPr>
              <w:pStyle w:val="TableParagraph"/>
            </w:pPr>
          </w:p>
          <w:p w14:paraId="75442DC6" w14:textId="77777777" w:rsidR="0046798B" w:rsidRDefault="0046798B">
            <w:pPr>
              <w:pStyle w:val="TableParagraph"/>
            </w:pPr>
          </w:p>
          <w:p w14:paraId="539CF1E0" w14:textId="77777777" w:rsidR="0046798B" w:rsidRDefault="0046798B">
            <w:pPr>
              <w:pStyle w:val="TableParagraph"/>
              <w:spacing w:before="4"/>
              <w:rPr>
                <w:sz w:val="29"/>
              </w:rPr>
            </w:pPr>
          </w:p>
          <w:p w14:paraId="46F7FC69" w14:textId="77777777" w:rsidR="0046798B" w:rsidRDefault="00903B5C">
            <w:pPr>
              <w:pStyle w:val="TableParagraph"/>
              <w:ind w:left="115"/>
              <w:rPr>
                <w:b/>
                <w:sz w:val="20"/>
              </w:rPr>
            </w:pPr>
            <w:r>
              <w:rPr>
                <w:b/>
                <w:sz w:val="20"/>
              </w:rPr>
              <w:t>cctheft</w:t>
            </w:r>
          </w:p>
        </w:tc>
        <w:tc>
          <w:tcPr>
            <w:tcW w:w="1596" w:type="dxa"/>
          </w:tcPr>
          <w:p w14:paraId="329B2069" w14:textId="77777777" w:rsidR="0046798B" w:rsidRDefault="0046798B">
            <w:pPr>
              <w:pStyle w:val="TableParagraph"/>
            </w:pPr>
          </w:p>
          <w:p w14:paraId="043734F0" w14:textId="77777777" w:rsidR="0046798B" w:rsidRDefault="0046798B">
            <w:pPr>
              <w:pStyle w:val="TableParagraph"/>
              <w:spacing w:before="3"/>
              <w:rPr>
                <w:sz w:val="21"/>
              </w:rPr>
            </w:pPr>
          </w:p>
          <w:p w14:paraId="54F69807" w14:textId="77777777" w:rsidR="0046798B" w:rsidRDefault="00903B5C">
            <w:pPr>
              <w:pStyle w:val="TableParagraph"/>
              <w:ind w:left="114" w:right="157"/>
              <w:rPr>
                <w:sz w:val="20"/>
              </w:rPr>
            </w:pPr>
            <w:r>
              <w:rPr>
                <w:sz w:val="20"/>
              </w:rPr>
              <w:t>Laws regulating punishment and protection of credit card theft</w:t>
            </w:r>
          </w:p>
        </w:tc>
        <w:tc>
          <w:tcPr>
            <w:tcW w:w="1285" w:type="dxa"/>
          </w:tcPr>
          <w:p w14:paraId="13333144" w14:textId="77777777" w:rsidR="0046798B" w:rsidRDefault="0046798B">
            <w:pPr>
              <w:pStyle w:val="TableParagraph"/>
            </w:pPr>
          </w:p>
          <w:p w14:paraId="2DF5C6AF" w14:textId="77777777" w:rsidR="0046798B" w:rsidRDefault="0046798B">
            <w:pPr>
              <w:pStyle w:val="TableParagraph"/>
            </w:pPr>
          </w:p>
          <w:p w14:paraId="48D3FE44" w14:textId="77777777" w:rsidR="0046798B" w:rsidRDefault="0046798B">
            <w:pPr>
              <w:pStyle w:val="TableParagraph"/>
              <w:spacing w:before="4"/>
              <w:rPr>
                <w:sz w:val="29"/>
              </w:rPr>
            </w:pPr>
          </w:p>
          <w:p w14:paraId="07CE569D" w14:textId="77777777" w:rsidR="0046798B" w:rsidRDefault="00903B5C">
            <w:pPr>
              <w:pStyle w:val="TableParagraph"/>
              <w:ind w:left="114"/>
              <w:rPr>
                <w:sz w:val="20"/>
              </w:rPr>
            </w:pPr>
            <w:r>
              <w:rPr>
                <w:sz w:val="20"/>
              </w:rPr>
              <w:t>1961–1999</w:t>
            </w:r>
          </w:p>
        </w:tc>
        <w:tc>
          <w:tcPr>
            <w:tcW w:w="3421" w:type="dxa"/>
          </w:tcPr>
          <w:p w14:paraId="11DD8BB2" w14:textId="77777777" w:rsidR="0046798B" w:rsidRDefault="0046798B">
            <w:pPr>
              <w:pStyle w:val="TableParagraph"/>
            </w:pPr>
          </w:p>
          <w:p w14:paraId="7B44EA27" w14:textId="77777777" w:rsidR="0046798B" w:rsidRDefault="0046798B">
            <w:pPr>
              <w:pStyle w:val="TableParagraph"/>
            </w:pPr>
          </w:p>
          <w:p w14:paraId="1DD7C6BE" w14:textId="77777777" w:rsidR="0046798B" w:rsidRDefault="0046798B">
            <w:pPr>
              <w:pStyle w:val="TableParagraph"/>
              <w:spacing w:before="3"/>
              <w:rPr>
                <w:sz w:val="19"/>
              </w:rPr>
            </w:pPr>
          </w:p>
          <w:p w14:paraId="79F02223"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0C5AA4FC" w14:textId="77777777" w:rsidR="0046798B" w:rsidRDefault="00903B5C">
            <w:pPr>
              <w:pStyle w:val="TableParagraph"/>
              <w:spacing w:before="38"/>
              <w:ind w:left="114"/>
              <w:rPr>
                <w:sz w:val="20"/>
              </w:rPr>
            </w:pPr>
            <w:r>
              <w:rPr>
                <w:sz w:val="20"/>
              </w:rPr>
              <w:t xml:space="preserve">Boushey, Graeme. “Targeted for diffusion? How the use and acceptance of stereotypes shape the diffusion of criminal justice policy innovations in the American States.” </w:t>
            </w:r>
            <w:r>
              <w:rPr>
                <w:i/>
                <w:sz w:val="20"/>
              </w:rPr>
              <w:t xml:space="preserve">American Political Science Review </w:t>
            </w:r>
            <w:r>
              <w:rPr>
                <w:sz w:val="20"/>
              </w:rPr>
              <w:t>110.1 (2016): 198-214.</w:t>
            </w:r>
          </w:p>
          <w:p w14:paraId="0C780C3A" w14:textId="77777777" w:rsidR="0046798B" w:rsidRDefault="0046798B">
            <w:pPr>
              <w:pStyle w:val="TableParagraph"/>
              <w:rPr>
                <w:sz w:val="20"/>
              </w:rPr>
            </w:pPr>
          </w:p>
          <w:p w14:paraId="7479B4C8"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bl>
    <w:p w14:paraId="6FD92609" w14:textId="77777777" w:rsidR="0046798B" w:rsidRDefault="0046798B">
      <w:pPr>
        <w:rPr>
          <w:sz w:val="20"/>
        </w:rPr>
        <w:sectPr w:rsidR="0046798B">
          <w:pgSz w:w="15840" w:h="12240" w:orient="landscape"/>
          <w:pgMar w:top="1220" w:right="300" w:bottom="980" w:left="820" w:header="730" w:footer="787" w:gutter="0"/>
          <w:cols w:space="720"/>
        </w:sectPr>
      </w:pPr>
    </w:p>
    <w:p w14:paraId="78950E71"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3826B3A" w14:textId="77777777">
        <w:trPr>
          <w:trHeight w:val="1926"/>
        </w:trPr>
        <w:tc>
          <w:tcPr>
            <w:tcW w:w="1711" w:type="dxa"/>
          </w:tcPr>
          <w:p w14:paraId="095809E7" w14:textId="77777777" w:rsidR="0046798B" w:rsidRDefault="0046798B">
            <w:pPr>
              <w:pStyle w:val="TableParagraph"/>
            </w:pPr>
          </w:p>
          <w:p w14:paraId="11809858" w14:textId="77777777" w:rsidR="0046798B" w:rsidRDefault="0046798B">
            <w:pPr>
              <w:pStyle w:val="TableParagraph"/>
            </w:pPr>
          </w:p>
          <w:p w14:paraId="0D612F01" w14:textId="77777777" w:rsidR="0046798B" w:rsidRDefault="0046798B">
            <w:pPr>
              <w:pStyle w:val="TableParagraph"/>
              <w:spacing w:before="9"/>
              <w:rPr>
                <w:sz w:val="29"/>
              </w:rPr>
            </w:pPr>
          </w:p>
          <w:p w14:paraId="6454F454" w14:textId="77777777" w:rsidR="0046798B" w:rsidRDefault="00903B5C">
            <w:pPr>
              <w:pStyle w:val="TableParagraph"/>
              <w:ind w:left="115"/>
              <w:rPr>
                <w:b/>
                <w:sz w:val="20"/>
              </w:rPr>
            </w:pPr>
            <w:r>
              <w:rPr>
                <w:b/>
                <w:sz w:val="20"/>
              </w:rPr>
              <w:t>childabuse</w:t>
            </w:r>
          </w:p>
        </w:tc>
        <w:tc>
          <w:tcPr>
            <w:tcW w:w="1596" w:type="dxa"/>
          </w:tcPr>
          <w:p w14:paraId="2A2E38D9" w14:textId="77777777" w:rsidR="0046798B" w:rsidRDefault="0046798B">
            <w:pPr>
              <w:pStyle w:val="TableParagraph"/>
            </w:pPr>
          </w:p>
          <w:p w14:paraId="4A4799C0" w14:textId="77777777" w:rsidR="0046798B" w:rsidRDefault="0046798B">
            <w:pPr>
              <w:pStyle w:val="TableParagraph"/>
              <w:spacing w:before="9"/>
              <w:rPr>
                <w:sz w:val="21"/>
              </w:rPr>
            </w:pPr>
          </w:p>
          <w:p w14:paraId="37E22814" w14:textId="77777777" w:rsidR="0046798B" w:rsidRDefault="00903B5C">
            <w:pPr>
              <w:pStyle w:val="TableParagraph"/>
              <w:ind w:left="114" w:right="169"/>
              <w:rPr>
                <w:sz w:val="20"/>
              </w:rPr>
            </w:pPr>
            <w:r>
              <w:rPr>
                <w:sz w:val="20"/>
              </w:rPr>
              <w:t>Requirement of professionals to report cases of suspected abuse</w:t>
            </w:r>
          </w:p>
        </w:tc>
        <w:tc>
          <w:tcPr>
            <w:tcW w:w="1285" w:type="dxa"/>
          </w:tcPr>
          <w:p w14:paraId="7A284C1F" w14:textId="77777777" w:rsidR="0046798B" w:rsidRDefault="0046798B">
            <w:pPr>
              <w:pStyle w:val="TableParagraph"/>
            </w:pPr>
          </w:p>
          <w:p w14:paraId="76FD3EB0" w14:textId="77777777" w:rsidR="0046798B" w:rsidRDefault="0046798B">
            <w:pPr>
              <w:pStyle w:val="TableParagraph"/>
            </w:pPr>
          </w:p>
          <w:p w14:paraId="6C5AE8D6" w14:textId="77777777" w:rsidR="0046798B" w:rsidRDefault="0046798B">
            <w:pPr>
              <w:pStyle w:val="TableParagraph"/>
              <w:spacing w:before="9"/>
              <w:rPr>
                <w:sz w:val="29"/>
              </w:rPr>
            </w:pPr>
          </w:p>
          <w:p w14:paraId="76A3402B" w14:textId="77777777" w:rsidR="0046798B" w:rsidRDefault="00903B5C">
            <w:pPr>
              <w:pStyle w:val="TableParagraph"/>
              <w:ind w:left="114"/>
              <w:rPr>
                <w:sz w:val="20"/>
              </w:rPr>
            </w:pPr>
            <w:r>
              <w:rPr>
                <w:sz w:val="20"/>
              </w:rPr>
              <w:t>1963–1967</w:t>
            </w:r>
          </w:p>
        </w:tc>
        <w:tc>
          <w:tcPr>
            <w:tcW w:w="3421" w:type="dxa"/>
          </w:tcPr>
          <w:p w14:paraId="6FE19725" w14:textId="77777777" w:rsidR="0046798B" w:rsidRDefault="0046798B">
            <w:pPr>
              <w:pStyle w:val="TableParagraph"/>
            </w:pPr>
          </w:p>
          <w:p w14:paraId="3C706B71" w14:textId="77777777" w:rsidR="0046798B" w:rsidRDefault="0046798B">
            <w:pPr>
              <w:pStyle w:val="TableParagraph"/>
            </w:pPr>
          </w:p>
          <w:p w14:paraId="3FD69169" w14:textId="77777777" w:rsidR="0046798B" w:rsidRDefault="0046798B">
            <w:pPr>
              <w:pStyle w:val="TableParagraph"/>
              <w:spacing w:before="9"/>
              <w:rPr>
                <w:sz w:val="19"/>
              </w:rPr>
            </w:pPr>
          </w:p>
          <w:p w14:paraId="25954E4D" w14:textId="77777777" w:rsidR="0046798B" w:rsidRDefault="00903B5C">
            <w:pPr>
              <w:pStyle w:val="TableParagraph"/>
              <w:ind w:left="114" w:right="1475"/>
              <w:rPr>
                <w:sz w:val="20"/>
              </w:rPr>
            </w:pPr>
            <w:r>
              <w:rPr>
                <w:sz w:val="20"/>
              </w:rPr>
              <w:t>0 = policy not adopted 1 = policy adopted</w:t>
            </w:r>
          </w:p>
        </w:tc>
        <w:tc>
          <w:tcPr>
            <w:tcW w:w="6482" w:type="dxa"/>
          </w:tcPr>
          <w:p w14:paraId="6BE99BB0" w14:textId="77777777" w:rsidR="0046798B" w:rsidRDefault="00903B5C">
            <w:pPr>
              <w:pStyle w:val="TableParagraph"/>
              <w:spacing w:before="43"/>
              <w:ind w:left="114"/>
              <w:rPr>
                <w:sz w:val="20"/>
              </w:rPr>
            </w:pPr>
            <w:r>
              <w:rPr>
                <w:sz w:val="20"/>
              </w:rPr>
              <w:t xml:space="preserve">Boushey, Graeme. “Targeted for diffusion? How the use and acceptance of stereotypes shape the diffusion of criminal justice policy innovations in the American States.” </w:t>
            </w:r>
            <w:r>
              <w:rPr>
                <w:i/>
                <w:sz w:val="20"/>
              </w:rPr>
              <w:t xml:space="preserve">American Political Science Review </w:t>
            </w:r>
            <w:r>
              <w:rPr>
                <w:sz w:val="20"/>
              </w:rPr>
              <w:t>110.1 (2016): 198-214.</w:t>
            </w:r>
          </w:p>
          <w:p w14:paraId="7C06A638" w14:textId="77777777" w:rsidR="0046798B" w:rsidRDefault="0046798B">
            <w:pPr>
              <w:pStyle w:val="TableParagraph"/>
              <w:rPr>
                <w:sz w:val="20"/>
              </w:rPr>
            </w:pPr>
          </w:p>
          <w:p w14:paraId="2623B924"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407763F3" w14:textId="77777777">
        <w:trPr>
          <w:trHeight w:val="1925"/>
        </w:trPr>
        <w:tc>
          <w:tcPr>
            <w:tcW w:w="1711" w:type="dxa"/>
          </w:tcPr>
          <w:p w14:paraId="7D585F0B" w14:textId="77777777" w:rsidR="0046798B" w:rsidRDefault="0046798B">
            <w:pPr>
              <w:pStyle w:val="TableParagraph"/>
            </w:pPr>
          </w:p>
          <w:p w14:paraId="42431412" w14:textId="77777777" w:rsidR="0046798B" w:rsidRDefault="0046798B">
            <w:pPr>
              <w:pStyle w:val="TableParagraph"/>
            </w:pPr>
          </w:p>
          <w:p w14:paraId="2265BFBF" w14:textId="77777777" w:rsidR="0046798B" w:rsidRDefault="0046798B">
            <w:pPr>
              <w:pStyle w:val="TableParagraph"/>
              <w:spacing w:before="9"/>
              <w:rPr>
                <w:sz w:val="29"/>
              </w:rPr>
            </w:pPr>
          </w:p>
          <w:p w14:paraId="3479C79F" w14:textId="77777777" w:rsidR="0046798B" w:rsidRDefault="00903B5C">
            <w:pPr>
              <w:pStyle w:val="TableParagraph"/>
              <w:ind w:left="115"/>
              <w:rPr>
                <w:b/>
                <w:sz w:val="20"/>
              </w:rPr>
            </w:pPr>
            <w:r>
              <w:rPr>
                <w:b/>
                <w:sz w:val="20"/>
              </w:rPr>
              <w:t>compcrime</w:t>
            </w:r>
          </w:p>
        </w:tc>
        <w:tc>
          <w:tcPr>
            <w:tcW w:w="1596" w:type="dxa"/>
          </w:tcPr>
          <w:p w14:paraId="3EEBF24F" w14:textId="77777777" w:rsidR="0046798B" w:rsidRDefault="0046798B">
            <w:pPr>
              <w:pStyle w:val="TableParagraph"/>
            </w:pPr>
          </w:p>
          <w:p w14:paraId="7CBB887A" w14:textId="77777777" w:rsidR="0046798B" w:rsidRDefault="0046798B">
            <w:pPr>
              <w:pStyle w:val="TableParagraph"/>
            </w:pPr>
          </w:p>
          <w:p w14:paraId="416FB0F9" w14:textId="77777777" w:rsidR="0046798B" w:rsidRDefault="0046798B">
            <w:pPr>
              <w:pStyle w:val="TableParagraph"/>
              <w:spacing w:before="9"/>
              <w:rPr>
                <w:sz w:val="19"/>
              </w:rPr>
            </w:pPr>
          </w:p>
          <w:p w14:paraId="74E515A6" w14:textId="77777777" w:rsidR="0046798B" w:rsidRDefault="00903B5C">
            <w:pPr>
              <w:pStyle w:val="TableParagraph"/>
              <w:ind w:left="114" w:right="257"/>
              <w:rPr>
                <w:sz w:val="20"/>
              </w:rPr>
            </w:pPr>
            <w:r>
              <w:rPr>
                <w:sz w:val="20"/>
              </w:rPr>
              <w:t>Law punishing hacking</w:t>
            </w:r>
          </w:p>
        </w:tc>
        <w:tc>
          <w:tcPr>
            <w:tcW w:w="1285" w:type="dxa"/>
          </w:tcPr>
          <w:p w14:paraId="137C6F4D" w14:textId="77777777" w:rsidR="0046798B" w:rsidRDefault="0046798B">
            <w:pPr>
              <w:pStyle w:val="TableParagraph"/>
            </w:pPr>
          </w:p>
          <w:p w14:paraId="27C6A954" w14:textId="77777777" w:rsidR="0046798B" w:rsidRDefault="0046798B">
            <w:pPr>
              <w:pStyle w:val="TableParagraph"/>
            </w:pPr>
          </w:p>
          <w:p w14:paraId="0B5AB284" w14:textId="77777777" w:rsidR="0046798B" w:rsidRDefault="0046798B">
            <w:pPr>
              <w:pStyle w:val="TableParagraph"/>
              <w:spacing w:before="9"/>
              <w:rPr>
                <w:sz w:val="29"/>
              </w:rPr>
            </w:pPr>
          </w:p>
          <w:p w14:paraId="317F31DE" w14:textId="77777777" w:rsidR="0046798B" w:rsidRDefault="00903B5C">
            <w:pPr>
              <w:pStyle w:val="TableParagraph"/>
              <w:ind w:left="114"/>
              <w:rPr>
                <w:sz w:val="20"/>
              </w:rPr>
            </w:pPr>
            <w:r>
              <w:rPr>
                <w:sz w:val="20"/>
              </w:rPr>
              <w:t>1978–2000</w:t>
            </w:r>
          </w:p>
        </w:tc>
        <w:tc>
          <w:tcPr>
            <w:tcW w:w="3421" w:type="dxa"/>
          </w:tcPr>
          <w:p w14:paraId="77A8E929" w14:textId="77777777" w:rsidR="0046798B" w:rsidRDefault="0046798B">
            <w:pPr>
              <w:pStyle w:val="TableParagraph"/>
            </w:pPr>
          </w:p>
          <w:p w14:paraId="2605D018" w14:textId="77777777" w:rsidR="0046798B" w:rsidRDefault="0046798B">
            <w:pPr>
              <w:pStyle w:val="TableParagraph"/>
            </w:pPr>
          </w:p>
          <w:p w14:paraId="480CE87C" w14:textId="77777777" w:rsidR="0046798B" w:rsidRDefault="0046798B">
            <w:pPr>
              <w:pStyle w:val="TableParagraph"/>
              <w:spacing w:before="9"/>
              <w:rPr>
                <w:sz w:val="19"/>
              </w:rPr>
            </w:pPr>
          </w:p>
          <w:p w14:paraId="323FA6A1" w14:textId="77777777" w:rsidR="0046798B" w:rsidRDefault="00903B5C">
            <w:pPr>
              <w:pStyle w:val="TableParagraph"/>
              <w:ind w:left="114" w:right="1475"/>
              <w:rPr>
                <w:sz w:val="20"/>
              </w:rPr>
            </w:pPr>
            <w:r>
              <w:rPr>
                <w:sz w:val="20"/>
              </w:rPr>
              <w:t>0 = policy not adopted 1 = policy adopted</w:t>
            </w:r>
          </w:p>
        </w:tc>
        <w:tc>
          <w:tcPr>
            <w:tcW w:w="6482" w:type="dxa"/>
          </w:tcPr>
          <w:p w14:paraId="4EE83033" w14:textId="77777777" w:rsidR="0046798B" w:rsidRDefault="00903B5C">
            <w:pPr>
              <w:pStyle w:val="TableParagraph"/>
              <w:spacing w:before="43"/>
              <w:ind w:left="114"/>
              <w:rPr>
                <w:sz w:val="20"/>
              </w:rPr>
            </w:pPr>
            <w:r>
              <w:rPr>
                <w:sz w:val="20"/>
              </w:rPr>
              <w:t xml:space="preserve">Boushey, Graeme. “Targeted for diffusion? How the use and acceptance of stereotypes shape the diffusion of criminal justice policy innovations in the American States.” </w:t>
            </w:r>
            <w:r>
              <w:rPr>
                <w:i/>
                <w:sz w:val="20"/>
              </w:rPr>
              <w:t xml:space="preserve">American Political Science Review </w:t>
            </w:r>
            <w:r>
              <w:rPr>
                <w:sz w:val="20"/>
              </w:rPr>
              <w:t>110.1 (2016): 198-214.</w:t>
            </w:r>
          </w:p>
          <w:p w14:paraId="3C8DF9D5" w14:textId="77777777" w:rsidR="0046798B" w:rsidRDefault="0046798B">
            <w:pPr>
              <w:pStyle w:val="TableParagraph"/>
              <w:rPr>
                <w:sz w:val="20"/>
              </w:rPr>
            </w:pPr>
          </w:p>
          <w:p w14:paraId="2DB62A09"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4E47AC55" w14:textId="77777777">
        <w:trPr>
          <w:trHeight w:val="1930"/>
        </w:trPr>
        <w:tc>
          <w:tcPr>
            <w:tcW w:w="1711" w:type="dxa"/>
          </w:tcPr>
          <w:p w14:paraId="3F424276" w14:textId="77777777" w:rsidR="0046798B" w:rsidRDefault="0046798B">
            <w:pPr>
              <w:pStyle w:val="TableParagraph"/>
            </w:pPr>
          </w:p>
          <w:p w14:paraId="6BFC72E5" w14:textId="77777777" w:rsidR="0046798B" w:rsidRDefault="0046798B">
            <w:pPr>
              <w:pStyle w:val="TableParagraph"/>
            </w:pPr>
          </w:p>
          <w:p w14:paraId="4ED0A6B7" w14:textId="77777777" w:rsidR="0046798B" w:rsidRDefault="0046798B">
            <w:pPr>
              <w:pStyle w:val="TableParagraph"/>
              <w:spacing w:before="9"/>
              <w:rPr>
                <w:sz w:val="29"/>
              </w:rPr>
            </w:pPr>
          </w:p>
          <w:p w14:paraId="35988722" w14:textId="77777777" w:rsidR="0046798B" w:rsidRDefault="00903B5C">
            <w:pPr>
              <w:pStyle w:val="TableParagraph"/>
              <w:ind w:left="115"/>
              <w:rPr>
                <w:b/>
                <w:sz w:val="20"/>
              </w:rPr>
            </w:pPr>
            <w:r>
              <w:rPr>
                <w:b/>
                <w:sz w:val="20"/>
              </w:rPr>
              <w:t>humantraffic</w:t>
            </w:r>
          </w:p>
        </w:tc>
        <w:tc>
          <w:tcPr>
            <w:tcW w:w="1596" w:type="dxa"/>
          </w:tcPr>
          <w:p w14:paraId="3784F639" w14:textId="77777777" w:rsidR="0046798B" w:rsidRDefault="0046798B">
            <w:pPr>
              <w:pStyle w:val="TableParagraph"/>
            </w:pPr>
          </w:p>
          <w:p w14:paraId="02E6BE81" w14:textId="77777777" w:rsidR="0046798B" w:rsidRDefault="0046798B">
            <w:pPr>
              <w:pStyle w:val="TableParagraph"/>
            </w:pPr>
          </w:p>
          <w:p w14:paraId="69270D83" w14:textId="77777777" w:rsidR="0046798B" w:rsidRDefault="0046798B">
            <w:pPr>
              <w:pStyle w:val="TableParagraph"/>
              <w:spacing w:before="9"/>
              <w:rPr>
                <w:sz w:val="19"/>
              </w:rPr>
            </w:pPr>
          </w:p>
          <w:p w14:paraId="1A3E52B4" w14:textId="77777777" w:rsidR="0046798B" w:rsidRDefault="00903B5C">
            <w:pPr>
              <w:pStyle w:val="TableParagraph"/>
              <w:ind w:left="114" w:right="229"/>
              <w:rPr>
                <w:sz w:val="20"/>
              </w:rPr>
            </w:pPr>
            <w:r>
              <w:rPr>
                <w:sz w:val="20"/>
              </w:rPr>
              <w:t>Human trafficking law</w:t>
            </w:r>
          </w:p>
        </w:tc>
        <w:tc>
          <w:tcPr>
            <w:tcW w:w="1285" w:type="dxa"/>
          </w:tcPr>
          <w:p w14:paraId="63F79463" w14:textId="77777777" w:rsidR="0046798B" w:rsidRDefault="0046798B">
            <w:pPr>
              <w:pStyle w:val="TableParagraph"/>
            </w:pPr>
          </w:p>
          <w:p w14:paraId="2C04815E" w14:textId="77777777" w:rsidR="0046798B" w:rsidRDefault="0046798B">
            <w:pPr>
              <w:pStyle w:val="TableParagraph"/>
            </w:pPr>
          </w:p>
          <w:p w14:paraId="43E3C01A" w14:textId="77777777" w:rsidR="0046798B" w:rsidRDefault="0046798B">
            <w:pPr>
              <w:pStyle w:val="TableParagraph"/>
              <w:spacing w:before="9"/>
              <w:rPr>
                <w:sz w:val="29"/>
              </w:rPr>
            </w:pPr>
          </w:p>
          <w:p w14:paraId="134D6DD4" w14:textId="77777777" w:rsidR="0046798B" w:rsidRDefault="00903B5C">
            <w:pPr>
              <w:pStyle w:val="TableParagraph"/>
              <w:ind w:left="114"/>
              <w:rPr>
                <w:sz w:val="20"/>
              </w:rPr>
            </w:pPr>
            <w:r>
              <w:rPr>
                <w:sz w:val="20"/>
              </w:rPr>
              <w:t>2003–2008</w:t>
            </w:r>
          </w:p>
        </w:tc>
        <w:tc>
          <w:tcPr>
            <w:tcW w:w="3421" w:type="dxa"/>
          </w:tcPr>
          <w:p w14:paraId="1C7B2354" w14:textId="77777777" w:rsidR="0046798B" w:rsidRDefault="0046798B">
            <w:pPr>
              <w:pStyle w:val="TableParagraph"/>
            </w:pPr>
          </w:p>
          <w:p w14:paraId="3B0701AB" w14:textId="77777777" w:rsidR="0046798B" w:rsidRDefault="0046798B">
            <w:pPr>
              <w:pStyle w:val="TableParagraph"/>
            </w:pPr>
          </w:p>
          <w:p w14:paraId="16D7C0C9" w14:textId="77777777" w:rsidR="0046798B" w:rsidRDefault="0046798B">
            <w:pPr>
              <w:pStyle w:val="TableParagraph"/>
              <w:spacing w:before="9"/>
              <w:rPr>
                <w:sz w:val="19"/>
              </w:rPr>
            </w:pPr>
          </w:p>
          <w:p w14:paraId="6E0B9351" w14:textId="77777777" w:rsidR="0046798B" w:rsidRDefault="00903B5C">
            <w:pPr>
              <w:pStyle w:val="TableParagraph"/>
              <w:ind w:left="114" w:right="1475"/>
              <w:rPr>
                <w:sz w:val="20"/>
              </w:rPr>
            </w:pPr>
            <w:r>
              <w:rPr>
                <w:sz w:val="20"/>
              </w:rPr>
              <w:t>0 = policy not adopted 1 = policy adopted</w:t>
            </w:r>
          </w:p>
        </w:tc>
        <w:tc>
          <w:tcPr>
            <w:tcW w:w="6482" w:type="dxa"/>
          </w:tcPr>
          <w:p w14:paraId="4D1F8263" w14:textId="77777777" w:rsidR="0046798B" w:rsidRDefault="00903B5C">
            <w:pPr>
              <w:pStyle w:val="TableParagraph"/>
              <w:spacing w:before="43"/>
              <w:ind w:left="114"/>
              <w:rPr>
                <w:sz w:val="20"/>
              </w:rPr>
            </w:pPr>
            <w:r>
              <w:rPr>
                <w:sz w:val="20"/>
              </w:rPr>
              <w:t xml:space="preserve">Boushey, Graeme. “Targeted for diffusion? How the use and acceptance of stereotypes shape the diffusion of criminal justice policy innovations in the American States.” </w:t>
            </w:r>
            <w:r>
              <w:rPr>
                <w:i/>
                <w:sz w:val="20"/>
              </w:rPr>
              <w:t xml:space="preserve">American Political Science Review </w:t>
            </w:r>
            <w:r>
              <w:rPr>
                <w:sz w:val="20"/>
              </w:rPr>
              <w:t>110.1 (2016): 198-214.</w:t>
            </w:r>
          </w:p>
          <w:p w14:paraId="4CD9E276" w14:textId="77777777" w:rsidR="0046798B" w:rsidRDefault="0046798B">
            <w:pPr>
              <w:pStyle w:val="TableParagraph"/>
              <w:rPr>
                <w:sz w:val="20"/>
              </w:rPr>
            </w:pPr>
          </w:p>
          <w:p w14:paraId="5DD1A22E"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26C86FA2" w14:textId="77777777">
        <w:trPr>
          <w:trHeight w:val="2385"/>
        </w:trPr>
        <w:tc>
          <w:tcPr>
            <w:tcW w:w="1711" w:type="dxa"/>
          </w:tcPr>
          <w:p w14:paraId="2EAB08C1" w14:textId="77777777" w:rsidR="0046798B" w:rsidRDefault="0046798B">
            <w:pPr>
              <w:pStyle w:val="TableParagraph"/>
            </w:pPr>
          </w:p>
          <w:p w14:paraId="727B9FB7" w14:textId="77777777" w:rsidR="0046798B" w:rsidRDefault="0046798B">
            <w:pPr>
              <w:pStyle w:val="TableParagraph"/>
            </w:pPr>
          </w:p>
          <w:p w14:paraId="0BAB13E3" w14:textId="77777777" w:rsidR="0046798B" w:rsidRDefault="0046798B">
            <w:pPr>
              <w:pStyle w:val="TableParagraph"/>
            </w:pPr>
          </w:p>
          <w:p w14:paraId="3D26AE3A" w14:textId="77777777" w:rsidR="0046798B" w:rsidRDefault="0046798B">
            <w:pPr>
              <w:pStyle w:val="TableParagraph"/>
              <w:spacing w:before="4"/>
              <w:rPr>
                <w:sz w:val="27"/>
              </w:rPr>
            </w:pPr>
          </w:p>
          <w:p w14:paraId="0FF6BAD8" w14:textId="77777777" w:rsidR="0046798B" w:rsidRDefault="00903B5C">
            <w:pPr>
              <w:pStyle w:val="TableParagraph"/>
              <w:ind w:left="115"/>
              <w:rPr>
                <w:b/>
                <w:sz w:val="20"/>
              </w:rPr>
            </w:pPr>
            <w:r>
              <w:rPr>
                <w:b/>
                <w:sz w:val="20"/>
              </w:rPr>
              <w:t>insanity</w:t>
            </w:r>
          </w:p>
        </w:tc>
        <w:tc>
          <w:tcPr>
            <w:tcW w:w="1596" w:type="dxa"/>
          </w:tcPr>
          <w:p w14:paraId="076AA6CC" w14:textId="77777777" w:rsidR="0046798B" w:rsidRDefault="0046798B">
            <w:pPr>
              <w:pStyle w:val="TableParagraph"/>
            </w:pPr>
          </w:p>
          <w:p w14:paraId="218D87AC" w14:textId="77777777" w:rsidR="0046798B" w:rsidRDefault="0046798B">
            <w:pPr>
              <w:pStyle w:val="TableParagraph"/>
            </w:pPr>
          </w:p>
          <w:p w14:paraId="4D9AA7BA" w14:textId="77777777" w:rsidR="0046798B" w:rsidRDefault="0046798B">
            <w:pPr>
              <w:pStyle w:val="TableParagraph"/>
              <w:spacing w:before="4"/>
              <w:rPr>
                <w:sz w:val="29"/>
              </w:rPr>
            </w:pPr>
          </w:p>
          <w:p w14:paraId="41216708" w14:textId="77777777" w:rsidR="0046798B" w:rsidRDefault="00903B5C">
            <w:pPr>
              <w:pStyle w:val="TableParagraph"/>
              <w:ind w:left="114" w:right="146"/>
              <w:rPr>
                <w:sz w:val="20"/>
              </w:rPr>
            </w:pPr>
            <w:r>
              <w:rPr>
                <w:sz w:val="20"/>
              </w:rPr>
              <w:t>Making insanity plea more difficult</w:t>
            </w:r>
          </w:p>
        </w:tc>
        <w:tc>
          <w:tcPr>
            <w:tcW w:w="1285" w:type="dxa"/>
          </w:tcPr>
          <w:p w14:paraId="397A7D4A" w14:textId="77777777" w:rsidR="0046798B" w:rsidRDefault="0046798B">
            <w:pPr>
              <w:pStyle w:val="TableParagraph"/>
            </w:pPr>
          </w:p>
          <w:p w14:paraId="2B25627D" w14:textId="77777777" w:rsidR="0046798B" w:rsidRDefault="0046798B">
            <w:pPr>
              <w:pStyle w:val="TableParagraph"/>
            </w:pPr>
          </w:p>
          <w:p w14:paraId="544030BF" w14:textId="77777777" w:rsidR="0046798B" w:rsidRDefault="0046798B">
            <w:pPr>
              <w:pStyle w:val="TableParagraph"/>
            </w:pPr>
          </w:p>
          <w:p w14:paraId="3D9AF956" w14:textId="77777777" w:rsidR="0046798B" w:rsidRDefault="0046798B">
            <w:pPr>
              <w:pStyle w:val="TableParagraph"/>
              <w:spacing w:before="4"/>
              <w:rPr>
                <w:sz w:val="27"/>
              </w:rPr>
            </w:pPr>
          </w:p>
          <w:p w14:paraId="7D5C2BEF" w14:textId="77777777" w:rsidR="0046798B" w:rsidRDefault="00903B5C">
            <w:pPr>
              <w:pStyle w:val="TableParagraph"/>
              <w:ind w:left="114"/>
              <w:rPr>
                <w:sz w:val="20"/>
              </w:rPr>
            </w:pPr>
            <w:r>
              <w:rPr>
                <w:sz w:val="20"/>
              </w:rPr>
              <w:t>1975-1998</w:t>
            </w:r>
          </w:p>
        </w:tc>
        <w:tc>
          <w:tcPr>
            <w:tcW w:w="3421" w:type="dxa"/>
          </w:tcPr>
          <w:p w14:paraId="540E6BE8" w14:textId="77777777" w:rsidR="0046798B" w:rsidRDefault="0046798B">
            <w:pPr>
              <w:pStyle w:val="TableParagraph"/>
              <w:spacing w:before="3"/>
              <w:rPr>
                <w:sz w:val="23"/>
              </w:rPr>
            </w:pPr>
          </w:p>
          <w:p w14:paraId="484E7554" w14:textId="77777777" w:rsidR="0046798B" w:rsidRDefault="00903B5C">
            <w:pPr>
              <w:pStyle w:val="TableParagraph"/>
              <w:spacing w:before="1"/>
              <w:ind w:left="114" w:right="150"/>
              <w:rPr>
                <w:sz w:val="20"/>
              </w:rPr>
            </w:pPr>
            <w:r>
              <w:rPr>
                <w:sz w:val="20"/>
              </w:rPr>
              <w:t>This variable was originally in long format, and it indicated the year of adoption by each state. It was reshaped to wide format and now indicates with 0 the years that the policy has not been adopted and with 1 the years that the policy has been adopted in each state.</w:t>
            </w:r>
          </w:p>
        </w:tc>
        <w:tc>
          <w:tcPr>
            <w:tcW w:w="6482" w:type="dxa"/>
          </w:tcPr>
          <w:p w14:paraId="04F7ED63" w14:textId="77777777" w:rsidR="0046798B" w:rsidRDefault="00903B5C">
            <w:pPr>
              <w:pStyle w:val="TableParagraph"/>
              <w:spacing w:before="38"/>
              <w:ind w:left="114"/>
              <w:rPr>
                <w:sz w:val="20"/>
              </w:rPr>
            </w:pPr>
            <w:r>
              <w:rPr>
                <w:sz w:val="20"/>
              </w:rPr>
              <w:t>Boushey, Graeme. "Targeted for diffusion? How the use and acceptance of stereotypes shape the diffusion of criminal justice policy innovations in the American States." American Political Science Review 110.1 (2016): 198-214.</w:t>
            </w:r>
          </w:p>
          <w:p w14:paraId="365AA896" w14:textId="77777777" w:rsidR="0046798B" w:rsidRDefault="0046798B">
            <w:pPr>
              <w:pStyle w:val="TableParagraph"/>
              <w:rPr>
                <w:sz w:val="20"/>
              </w:rPr>
            </w:pPr>
          </w:p>
          <w:p w14:paraId="4F02501E"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20673D0F" w14:textId="77777777">
        <w:trPr>
          <w:trHeight w:val="1005"/>
        </w:trPr>
        <w:tc>
          <w:tcPr>
            <w:tcW w:w="1711" w:type="dxa"/>
          </w:tcPr>
          <w:p w14:paraId="726F606E" w14:textId="77777777" w:rsidR="0046798B" w:rsidRDefault="0046798B">
            <w:pPr>
              <w:pStyle w:val="TableParagraph"/>
            </w:pPr>
          </w:p>
          <w:p w14:paraId="35D36036" w14:textId="77777777" w:rsidR="0046798B" w:rsidRDefault="00903B5C">
            <w:pPr>
              <w:pStyle w:val="TableParagraph"/>
              <w:spacing w:before="130"/>
              <w:ind w:left="115"/>
              <w:rPr>
                <w:b/>
                <w:sz w:val="20"/>
              </w:rPr>
            </w:pPr>
            <w:r>
              <w:rPr>
                <w:b/>
                <w:sz w:val="20"/>
              </w:rPr>
              <w:t>comsrv12</w:t>
            </w:r>
          </w:p>
        </w:tc>
        <w:tc>
          <w:tcPr>
            <w:tcW w:w="1596" w:type="dxa"/>
          </w:tcPr>
          <w:p w14:paraId="091EC206" w14:textId="77777777" w:rsidR="0046798B" w:rsidRDefault="00903B5C">
            <w:pPr>
              <w:pStyle w:val="TableParagraph"/>
              <w:spacing w:before="38"/>
              <w:ind w:left="114" w:right="185"/>
              <w:rPr>
                <w:sz w:val="20"/>
              </w:rPr>
            </w:pPr>
            <w:r>
              <w:rPr>
                <w:sz w:val="20"/>
              </w:rPr>
              <w:t>Mandated community service after 1st or 2nd offense</w:t>
            </w:r>
          </w:p>
        </w:tc>
        <w:tc>
          <w:tcPr>
            <w:tcW w:w="1285" w:type="dxa"/>
          </w:tcPr>
          <w:p w14:paraId="7C0621D0" w14:textId="77777777" w:rsidR="0046798B" w:rsidRDefault="0046798B">
            <w:pPr>
              <w:pStyle w:val="TableParagraph"/>
            </w:pPr>
          </w:p>
          <w:p w14:paraId="124C2D43" w14:textId="77777777" w:rsidR="0046798B" w:rsidRDefault="00903B5C">
            <w:pPr>
              <w:pStyle w:val="TableParagraph"/>
              <w:spacing w:before="130"/>
              <w:ind w:left="114"/>
              <w:rPr>
                <w:sz w:val="20"/>
              </w:rPr>
            </w:pPr>
            <w:r>
              <w:rPr>
                <w:sz w:val="20"/>
              </w:rPr>
              <w:t>1982–2005</w:t>
            </w:r>
          </w:p>
        </w:tc>
        <w:tc>
          <w:tcPr>
            <w:tcW w:w="3421" w:type="dxa"/>
          </w:tcPr>
          <w:p w14:paraId="0F713132" w14:textId="77777777" w:rsidR="0046798B" w:rsidRDefault="0046798B">
            <w:pPr>
              <w:pStyle w:val="TableParagraph"/>
              <w:spacing w:before="3"/>
              <w:rPr>
                <w:sz w:val="23"/>
              </w:rPr>
            </w:pPr>
          </w:p>
          <w:p w14:paraId="0478F414"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2F385D7C" w14:textId="77777777" w:rsidR="0046798B" w:rsidRDefault="00903B5C">
            <w:pPr>
              <w:pStyle w:val="TableParagraph"/>
              <w:spacing w:before="38"/>
              <w:ind w:left="114" w:right="467"/>
              <w:rPr>
                <w:sz w:val="20"/>
              </w:rPr>
            </w:pPr>
            <w:r>
              <w:rPr>
                <w:sz w:val="20"/>
              </w:rPr>
              <w:t>Silver, Diana, and Macinko, James. State Health Policy Research Dataset (SHEPRD): 1980-2010. Ann Arbor, MI: Inter-university Consortium for Political and Social Research [distributor], 2014-09-24. https://doi.org/10.3886/ICPSR34789.v3</w:t>
            </w:r>
          </w:p>
        </w:tc>
      </w:tr>
    </w:tbl>
    <w:p w14:paraId="339E2837" w14:textId="77777777" w:rsidR="0046798B" w:rsidRDefault="0046798B">
      <w:pPr>
        <w:rPr>
          <w:sz w:val="20"/>
        </w:rPr>
        <w:sectPr w:rsidR="0046798B">
          <w:pgSz w:w="15840" w:h="12240" w:orient="landscape"/>
          <w:pgMar w:top="1220" w:right="300" w:bottom="980" w:left="820" w:header="730" w:footer="787" w:gutter="0"/>
          <w:cols w:space="720"/>
        </w:sectPr>
      </w:pPr>
    </w:p>
    <w:p w14:paraId="55798F8F"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FF28351" w14:textId="77777777">
        <w:trPr>
          <w:trHeight w:val="1235"/>
        </w:trPr>
        <w:tc>
          <w:tcPr>
            <w:tcW w:w="1711" w:type="dxa"/>
          </w:tcPr>
          <w:p w14:paraId="33854907" w14:textId="77777777" w:rsidR="0046798B" w:rsidRDefault="0046798B">
            <w:pPr>
              <w:pStyle w:val="TableParagraph"/>
              <w:rPr>
                <w:sz w:val="20"/>
              </w:rPr>
            </w:pPr>
          </w:p>
        </w:tc>
        <w:tc>
          <w:tcPr>
            <w:tcW w:w="1596" w:type="dxa"/>
          </w:tcPr>
          <w:p w14:paraId="1B4F507C" w14:textId="77777777" w:rsidR="0046798B" w:rsidRDefault="0046798B">
            <w:pPr>
              <w:pStyle w:val="TableParagraph"/>
              <w:rPr>
                <w:sz w:val="20"/>
              </w:rPr>
            </w:pPr>
          </w:p>
        </w:tc>
        <w:tc>
          <w:tcPr>
            <w:tcW w:w="1285" w:type="dxa"/>
          </w:tcPr>
          <w:p w14:paraId="4CCF6EB3" w14:textId="77777777" w:rsidR="0046798B" w:rsidRDefault="0046798B">
            <w:pPr>
              <w:pStyle w:val="TableParagraph"/>
              <w:rPr>
                <w:sz w:val="20"/>
              </w:rPr>
            </w:pPr>
          </w:p>
        </w:tc>
        <w:tc>
          <w:tcPr>
            <w:tcW w:w="3421" w:type="dxa"/>
          </w:tcPr>
          <w:p w14:paraId="4CD6B812" w14:textId="77777777" w:rsidR="0046798B" w:rsidRDefault="0046798B">
            <w:pPr>
              <w:pStyle w:val="TableParagraph"/>
              <w:rPr>
                <w:sz w:val="20"/>
              </w:rPr>
            </w:pPr>
          </w:p>
        </w:tc>
        <w:tc>
          <w:tcPr>
            <w:tcW w:w="6482" w:type="dxa"/>
          </w:tcPr>
          <w:p w14:paraId="64606BB8" w14:textId="77777777" w:rsidR="0046798B" w:rsidRDefault="0046798B">
            <w:pPr>
              <w:pStyle w:val="TableParagraph"/>
              <w:spacing w:before="9"/>
              <w:rPr>
                <w:sz w:val="23"/>
              </w:rPr>
            </w:pPr>
          </w:p>
          <w:p w14:paraId="6211623C"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6D405DE4" w14:textId="77777777">
        <w:trPr>
          <w:trHeight w:val="2156"/>
        </w:trPr>
        <w:tc>
          <w:tcPr>
            <w:tcW w:w="1711" w:type="dxa"/>
          </w:tcPr>
          <w:p w14:paraId="25A4AD5E" w14:textId="77777777" w:rsidR="0046798B" w:rsidRDefault="0046798B">
            <w:pPr>
              <w:pStyle w:val="TableParagraph"/>
            </w:pPr>
          </w:p>
          <w:p w14:paraId="399BBB0D" w14:textId="77777777" w:rsidR="0046798B" w:rsidRDefault="0046798B">
            <w:pPr>
              <w:pStyle w:val="TableParagraph"/>
            </w:pPr>
          </w:p>
          <w:p w14:paraId="2663BBA3" w14:textId="77777777" w:rsidR="0046798B" w:rsidRDefault="0046798B">
            <w:pPr>
              <w:pStyle w:val="TableParagraph"/>
            </w:pPr>
          </w:p>
          <w:p w14:paraId="5B2234DB" w14:textId="77777777" w:rsidR="0046798B" w:rsidRDefault="0046798B">
            <w:pPr>
              <w:pStyle w:val="TableParagraph"/>
              <w:spacing w:before="9"/>
              <w:rPr>
                <w:sz w:val="17"/>
              </w:rPr>
            </w:pPr>
          </w:p>
          <w:p w14:paraId="4A528AD4" w14:textId="77777777" w:rsidR="0046798B" w:rsidRDefault="00903B5C">
            <w:pPr>
              <w:pStyle w:val="TableParagraph"/>
              <w:ind w:left="115"/>
              <w:rPr>
                <w:b/>
                <w:sz w:val="20"/>
              </w:rPr>
            </w:pPr>
            <w:r>
              <w:rPr>
                <w:b/>
                <w:sz w:val="20"/>
              </w:rPr>
              <w:t>damagereduce</w:t>
            </w:r>
          </w:p>
        </w:tc>
        <w:tc>
          <w:tcPr>
            <w:tcW w:w="1596" w:type="dxa"/>
          </w:tcPr>
          <w:p w14:paraId="5BA4B59D" w14:textId="77777777" w:rsidR="0046798B" w:rsidRDefault="00903B5C">
            <w:pPr>
              <w:pStyle w:val="TableParagraph"/>
              <w:spacing w:before="158"/>
              <w:ind w:left="114" w:right="157"/>
              <w:rPr>
                <w:sz w:val="20"/>
              </w:rPr>
            </w:pPr>
            <w:r>
              <w:rPr>
                <w:sz w:val="20"/>
              </w:rPr>
              <w:t>Presence of a law that decreases monetary awards for injuries in lawsuits for seatbelt non-use</w:t>
            </w:r>
          </w:p>
        </w:tc>
        <w:tc>
          <w:tcPr>
            <w:tcW w:w="1285" w:type="dxa"/>
          </w:tcPr>
          <w:p w14:paraId="58D836A1" w14:textId="77777777" w:rsidR="0046798B" w:rsidRDefault="0046798B">
            <w:pPr>
              <w:pStyle w:val="TableParagraph"/>
            </w:pPr>
          </w:p>
          <w:p w14:paraId="79B49C38" w14:textId="77777777" w:rsidR="0046798B" w:rsidRDefault="0046798B">
            <w:pPr>
              <w:pStyle w:val="TableParagraph"/>
            </w:pPr>
          </w:p>
          <w:p w14:paraId="20DA1977" w14:textId="77777777" w:rsidR="0046798B" w:rsidRDefault="0046798B">
            <w:pPr>
              <w:pStyle w:val="TableParagraph"/>
            </w:pPr>
          </w:p>
          <w:p w14:paraId="6A0FAD4A" w14:textId="77777777" w:rsidR="0046798B" w:rsidRDefault="0046798B">
            <w:pPr>
              <w:pStyle w:val="TableParagraph"/>
              <w:spacing w:before="9"/>
              <w:rPr>
                <w:sz w:val="17"/>
              </w:rPr>
            </w:pPr>
          </w:p>
          <w:p w14:paraId="7677DF86" w14:textId="77777777" w:rsidR="0046798B" w:rsidRDefault="00903B5C">
            <w:pPr>
              <w:pStyle w:val="TableParagraph"/>
              <w:ind w:left="114"/>
              <w:rPr>
                <w:sz w:val="20"/>
              </w:rPr>
            </w:pPr>
            <w:r>
              <w:rPr>
                <w:sz w:val="20"/>
              </w:rPr>
              <w:t>1984–1995</w:t>
            </w:r>
          </w:p>
        </w:tc>
        <w:tc>
          <w:tcPr>
            <w:tcW w:w="3421" w:type="dxa"/>
          </w:tcPr>
          <w:p w14:paraId="6FC70A3E" w14:textId="77777777" w:rsidR="0046798B" w:rsidRDefault="0046798B">
            <w:pPr>
              <w:pStyle w:val="TableParagraph"/>
            </w:pPr>
          </w:p>
          <w:p w14:paraId="41E0E263" w14:textId="77777777" w:rsidR="0046798B" w:rsidRDefault="0046798B">
            <w:pPr>
              <w:pStyle w:val="TableParagraph"/>
            </w:pPr>
          </w:p>
          <w:p w14:paraId="6B59BF29" w14:textId="77777777" w:rsidR="0046798B" w:rsidRDefault="0046798B">
            <w:pPr>
              <w:pStyle w:val="TableParagraph"/>
              <w:spacing w:before="9"/>
              <w:rPr>
                <w:sz w:val="29"/>
              </w:rPr>
            </w:pPr>
          </w:p>
          <w:p w14:paraId="6D0787DF" w14:textId="77777777" w:rsidR="0046798B" w:rsidRDefault="00903B5C">
            <w:pPr>
              <w:pStyle w:val="TableParagraph"/>
              <w:ind w:left="114" w:right="1475"/>
              <w:rPr>
                <w:sz w:val="20"/>
              </w:rPr>
            </w:pPr>
            <w:r>
              <w:rPr>
                <w:sz w:val="20"/>
              </w:rPr>
              <w:t>0 = policy not adopted 1 = policy adopted</w:t>
            </w:r>
          </w:p>
        </w:tc>
        <w:tc>
          <w:tcPr>
            <w:tcW w:w="6482" w:type="dxa"/>
          </w:tcPr>
          <w:p w14:paraId="54F45924" w14:textId="77777777" w:rsidR="0046798B" w:rsidRDefault="00903B5C">
            <w:pPr>
              <w:pStyle w:val="TableParagraph"/>
              <w:spacing w:before="43"/>
              <w:ind w:left="114" w:right="467"/>
              <w:rPr>
                <w:sz w:val="20"/>
              </w:rPr>
            </w:pPr>
            <w:r>
              <w:rPr>
                <w:sz w:val="20"/>
              </w:rPr>
              <w:t>Silver, Diana, and Macinko, James. State Health Policy Research Dataset (SHEPRD): 1980-2010. Ann Arbor, MI: Inter-university Consortium for Political and Social Research [distributor], 2014-09-24. https://doi.org/10.3886/ICPSR34789.v3</w:t>
            </w:r>
          </w:p>
          <w:p w14:paraId="3D0C9FE8" w14:textId="77777777" w:rsidR="0046798B" w:rsidRDefault="0046798B">
            <w:pPr>
              <w:pStyle w:val="TableParagraph"/>
              <w:rPr>
                <w:sz w:val="20"/>
              </w:rPr>
            </w:pPr>
          </w:p>
          <w:p w14:paraId="285F5B5A"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068C090" w14:textId="77777777">
        <w:trPr>
          <w:trHeight w:val="2160"/>
        </w:trPr>
        <w:tc>
          <w:tcPr>
            <w:tcW w:w="1711" w:type="dxa"/>
          </w:tcPr>
          <w:p w14:paraId="595ED7A2" w14:textId="77777777" w:rsidR="0046798B" w:rsidRDefault="0046798B">
            <w:pPr>
              <w:pStyle w:val="TableParagraph"/>
            </w:pPr>
          </w:p>
          <w:p w14:paraId="26833998" w14:textId="77777777" w:rsidR="0046798B" w:rsidRDefault="0046798B">
            <w:pPr>
              <w:pStyle w:val="TableParagraph"/>
            </w:pPr>
          </w:p>
          <w:p w14:paraId="13454A99" w14:textId="77777777" w:rsidR="0046798B" w:rsidRDefault="0046798B">
            <w:pPr>
              <w:pStyle w:val="TableParagraph"/>
              <w:spacing w:before="9"/>
              <w:rPr>
                <w:sz w:val="29"/>
              </w:rPr>
            </w:pPr>
          </w:p>
          <w:p w14:paraId="644B82E8" w14:textId="77777777" w:rsidR="0046798B" w:rsidRDefault="00903B5C">
            <w:pPr>
              <w:pStyle w:val="TableParagraph"/>
              <w:ind w:left="115" w:right="155"/>
              <w:rPr>
                <w:b/>
                <w:sz w:val="20"/>
              </w:rPr>
            </w:pPr>
            <w:r>
              <w:rPr>
                <w:b/>
                <w:sz w:val="20"/>
              </w:rPr>
              <w:t>discovery_of_ele ctronically_stor</w:t>
            </w:r>
          </w:p>
        </w:tc>
        <w:tc>
          <w:tcPr>
            <w:tcW w:w="1596" w:type="dxa"/>
          </w:tcPr>
          <w:p w14:paraId="3FE9E861" w14:textId="77777777" w:rsidR="0046798B" w:rsidRDefault="0046798B">
            <w:pPr>
              <w:pStyle w:val="TableParagraph"/>
            </w:pPr>
          </w:p>
          <w:p w14:paraId="0B84B2E0" w14:textId="77777777" w:rsidR="0046798B" w:rsidRDefault="0046798B">
            <w:pPr>
              <w:pStyle w:val="TableParagraph"/>
              <w:spacing w:before="9"/>
              <w:rPr>
                <w:sz w:val="21"/>
              </w:rPr>
            </w:pPr>
          </w:p>
          <w:p w14:paraId="7CCEE27C" w14:textId="77777777" w:rsidR="0046798B" w:rsidRDefault="00903B5C">
            <w:pPr>
              <w:pStyle w:val="TableParagraph"/>
              <w:ind w:left="114" w:right="379"/>
              <w:rPr>
                <w:sz w:val="20"/>
              </w:rPr>
            </w:pPr>
            <w:r>
              <w:rPr>
                <w:sz w:val="20"/>
              </w:rPr>
              <w:t>Rules for the discovery of electronic documents in civil cases</w:t>
            </w:r>
          </w:p>
        </w:tc>
        <w:tc>
          <w:tcPr>
            <w:tcW w:w="1285" w:type="dxa"/>
          </w:tcPr>
          <w:p w14:paraId="27D3A835" w14:textId="77777777" w:rsidR="0046798B" w:rsidRDefault="0046798B">
            <w:pPr>
              <w:pStyle w:val="TableParagraph"/>
            </w:pPr>
          </w:p>
          <w:p w14:paraId="7DE8C826" w14:textId="77777777" w:rsidR="0046798B" w:rsidRDefault="0046798B">
            <w:pPr>
              <w:pStyle w:val="TableParagraph"/>
            </w:pPr>
          </w:p>
          <w:p w14:paraId="66536445" w14:textId="77777777" w:rsidR="0046798B" w:rsidRDefault="0046798B">
            <w:pPr>
              <w:pStyle w:val="TableParagraph"/>
            </w:pPr>
          </w:p>
          <w:p w14:paraId="283A9EAF" w14:textId="77777777" w:rsidR="0046798B" w:rsidRDefault="0046798B">
            <w:pPr>
              <w:pStyle w:val="TableParagraph"/>
              <w:spacing w:before="9"/>
              <w:rPr>
                <w:sz w:val="17"/>
              </w:rPr>
            </w:pPr>
          </w:p>
          <w:p w14:paraId="6BE65D76" w14:textId="77777777" w:rsidR="0046798B" w:rsidRDefault="00903B5C">
            <w:pPr>
              <w:pStyle w:val="TableParagraph"/>
              <w:ind w:left="114"/>
              <w:rPr>
                <w:sz w:val="20"/>
              </w:rPr>
            </w:pPr>
            <w:r>
              <w:rPr>
                <w:sz w:val="20"/>
              </w:rPr>
              <w:t>2009–2011</w:t>
            </w:r>
          </w:p>
        </w:tc>
        <w:tc>
          <w:tcPr>
            <w:tcW w:w="3421" w:type="dxa"/>
          </w:tcPr>
          <w:p w14:paraId="7F9C796A" w14:textId="77777777" w:rsidR="0046798B" w:rsidRDefault="0046798B">
            <w:pPr>
              <w:pStyle w:val="TableParagraph"/>
            </w:pPr>
          </w:p>
          <w:p w14:paraId="30EAD9F6" w14:textId="77777777" w:rsidR="0046798B" w:rsidRDefault="0046798B">
            <w:pPr>
              <w:pStyle w:val="TableParagraph"/>
            </w:pPr>
          </w:p>
          <w:p w14:paraId="3CB86EFC" w14:textId="77777777" w:rsidR="0046798B" w:rsidRDefault="0046798B">
            <w:pPr>
              <w:pStyle w:val="TableParagraph"/>
              <w:spacing w:before="9"/>
              <w:rPr>
                <w:sz w:val="29"/>
              </w:rPr>
            </w:pPr>
          </w:p>
          <w:p w14:paraId="0A86915E" w14:textId="77777777" w:rsidR="0046798B" w:rsidRDefault="00903B5C">
            <w:pPr>
              <w:pStyle w:val="TableParagraph"/>
              <w:ind w:left="114" w:right="1475"/>
              <w:rPr>
                <w:sz w:val="20"/>
              </w:rPr>
            </w:pPr>
            <w:r>
              <w:rPr>
                <w:sz w:val="20"/>
              </w:rPr>
              <w:t>0 = policy not adopted 1 = policy adopted</w:t>
            </w:r>
          </w:p>
        </w:tc>
        <w:tc>
          <w:tcPr>
            <w:tcW w:w="6482" w:type="dxa"/>
          </w:tcPr>
          <w:p w14:paraId="67837220" w14:textId="77777777" w:rsidR="0046798B" w:rsidRDefault="00903B5C">
            <w:pPr>
              <w:pStyle w:val="TableParagraph"/>
              <w:spacing w:before="43"/>
              <w:ind w:left="114" w:right="467"/>
              <w:rPr>
                <w:sz w:val="20"/>
              </w:rPr>
            </w:pPr>
            <w:r>
              <w:rPr>
                <w:sz w:val="20"/>
              </w:rPr>
              <w:t>Silver, Diana, and Macinko, James. State Health Policy Research Dataset (SHEPRD): 1980-2010. Ann Arbor, MI: Inter-university Consortium for Political and Social Research [distributor], 2014-09-24. https://doi.org/10.3886/ICPSR34789.v3</w:t>
            </w:r>
          </w:p>
          <w:p w14:paraId="38BE318F" w14:textId="77777777" w:rsidR="0046798B" w:rsidRDefault="0046798B">
            <w:pPr>
              <w:pStyle w:val="TableParagraph"/>
              <w:rPr>
                <w:sz w:val="20"/>
              </w:rPr>
            </w:pPr>
          </w:p>
          <w:p w14:paraId="737FFF0E"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7DD0F2AF" w14:textId="77777777">
        <w:trPr>
          <w:trHeight w:val="1465"/>
        </w:trPr>
        <w:tc>
          <w:tcPr>
            <w:tcW w:w="1711" w:type="dxa"/>
          </w:tcPr>
          <w:p w14:paraId="1DB00D2F" w14:textId="77777777" w:rsidR="0046798B" w:rsidRDefault="0046798B">
            <w:pPr>
              <w:pStyle w:val="TableParagraph"/>
            </w:pPr>
          </w:p>
          <w:p w14:paraId="05F698BF" w14:textId="77777777" w:rsidR="0046798B" w:rsidRDefault="0046798B">
            <w:pPr>
              <w:pStyle w:val="TableParagraph"/>
              <w:spacing w:before="3"/>
              <w:rPr>
                <w:sz w:val="21"/>
              </w:rPr>
            </w:pPr>
          </w:p>
          <w:p w14:paraId="604E949A" w14:textId="77777777" w:rsidR="0046798B" w:rsidRDefault="00903B5C">
            <w:pPr>
              <w:pStyle w:val="TableParagraph"/>
              <w:spacing w:before="1"/>
              <w:ind w:left="115"/>
              <w:rPr>
                <w:b/>
                <w:sz w:val="20"/>
              </w:rPr>
            </w:pPr>
            <w:r>
              <w:rPr>
                <w:b/>
                <w:sz w:val="20"/>
              </w:rPr>
              <w:t>arbitration_act_ 1956</w:t>
            </w:r>
          </w:p>
        </w:tc>
        <w:tc>
          <w:tcPr>
            <w:tcW w:w="1596" w:type="dxa"/>
          </w:tcPr>
          <w:p w14:paraId="41A7C125" w14:textId="77777777" w:rsidR="0046798B" w:rsidRDefault="00903B5C">
            <w:pPr>
              <w:pStyle w:val="TableParagraph"/>
              <w:spacing w:before="153"/>
              <w:ind w:left="114" w:right="119"/>
              <w:rPr>
                <w:sz w:val="20"/>
              </w:rPr>
            </w:pPr>
            <w:r>
              <w:rPr>
                <w:sz w:val="20"/>
              </w:rPr>
              <w:t xml:space="preserve">Provides </w:t>
            </w:r>
            <w:r>
              <w:rPr>
                <w:spacing w:val="-3"/>
                <w:sz w:val="20"/>
              </w:rPr>
              <w:t xml:space="preserve">judicial </w:t>
            </w:r>
            <w:r>
              <w:rPr>
                <w:sz w:val="20"/>
              </w:rPr>
              <w:t>facilitation of private dispute resolution (1956)</w:t>
            </w:r>
          </w:p>
        </w:tc>
        <w:tc>
          <w:tcPr>
            <w:tcW w:w="1285" w:type="dxa"/>
          </w:tcPr>
          <w:p w14:paraId="5BA9832E" w14:textId="77777777" w:rsidR="0046798B" w:rsidRDefault="0046798B">
            <w:pPr>
              <w:pStyle w:val="TableParagraph"/>
            </w:pPr>
          </w:p>
          <w:p w14:paraId="111A5448" w14:textId="77777777" w:rsidR="0046798B" w:rsidRDefault="0046798B">
            <w:pPr>
              <w:pStyle w:val="TableParagraph"/>
              <w:spacing w:before="3"/>
              <w:rPr>
                <w:sz w:val="31"/>
              </w:rPr>
            </w:pPr>
          </w:p>
          <w:p w14:paraId="3A1FF618" w14:textId="77777777" w:rsidR="0046798B" w:rsidRDefault="00903B5C">
            <w:pPr>
              <w:pStyle w:val="TableParagraph"/>
              <w:spacing w:before="1"/>
              <w:ind w:left="114"/>
              <w:rPr>
                <w:sz w:val="20"/>
              </w:rPr>
            </w:pPr>
            <w:r>
              <w:rPr>
                <w:sz w:val="20"/>
              </w:rPr>
              <w:t>1968–1987</w:t>
            </w:r>
          </w:p>
        </w:tc>
        <w:tc>
          <w:tcPr>
            <w:tcW w:w="3421" w:type="dxa"/>
          </w:tcPr>
          <w:p w14:paraId="7730C970" w14:textId="77777777" w:rsidR="0046798B" w:rsidRDefault="0046798B">
            <w:pPr>
              <w:pStyle w:val="TableParagraph"/>
            </w:pPr>
          </w:p>
          <w:p w14:paraId="25ACBBE9" w14:textId="77777777" w:rsidR="0046798B" w:rsidRDefault="0046798B">
            <w:pPr>
              <w:pStyle w:val="TableParagraph"/>
              <w:spacing w:before="3"/>
              <w:rPr>
                <w:sz w:val="21"/>
              </w:rPr>
            </w:pPr>
          </w:p>
          <w:p w14:paraId="6EB1949C"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2D9F2301" w14:textId="77777777" w:rsidR="0046798B" w:rsidRDefault="00903B5C">
            <w:pPr>
              <w:pStyle w:val="TableParagraph"/>
              <w:spacing w:before="38"/>
              <w:ind w:left="114"/>
              <w:rPr>
                <w:sz w:val="20"/>
              </w:rPr>
            </w:pPr>
            <w:r>
              <w:rPr>
                <w:sz w:val="20"/>
              </w:rPr>
              <w:t xml:space="preserve">Uniform Law Commission website: </w:t>
            </w:r>
            <w:hyperlink r:id="rId697">
              <w:r>
                <w:rPr>
                  <w:color w:val="0462C1"/>
                  <w:sz w:val="20"/>
                  <w:u w:val="single" w:color="0462C1"/>
                </w:rPr>
                <w:t>http://www.uniformlaws.org/</w:t>
              </w:r>
            </w:hyperlink>
          </w:p>
          <w:p w14:paraId="4D0E9A6E" w14:textId="77777777" w:rsidR="0046798B" w:rsidRDefault="0046798B">
            <w:pPr>
              <w:pStyle w:val="TableParagraph"/>
              <w:rPr>
                <w:sz w:val="20"/>
              </w:rPr>
            </w:pPr>
          </w:p>
          <w:p w14:paraId="44474939"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571A94FC" w14:textId="77777777">
        <w:trPr>
          <w:trHeight w:val="1465"/>
        </w:trPr>
        <w:tc>
          <w:tcPr>
            <w:tcW w:w="1711" w:type="dxa"/>
          </w:tcPr>
          <w:p w14:paraId="53FB21C1" w14:textId="77777777" w:rsidR="0046798B" w:rsidRDefault="0046798B">
            <w:pPr>
              <w:pStyle w:val="TableParagraph"/>
            </w:pPr>
          </w:p>
          <w:p w14:paraId="644ABE74" w14:textId="77777777" w:rsidR="0046798B" w:rsidRDefault="0046798B">
            <w:pPr>
              <w:pStyle w:val="TableParagraph"/>
              <w:spacing w:before="3"/>
              <w:rPr>
                <w:sz w:val="21"/>
              </w:rPr>
            </w:pPr>
          </w:p>
          <w:p w14:paraId="22796413" w14:textId="77777777" w:rsidR="0046798B" w:rsidRDefault="00903B5C">
            <w:pPr>
              <w:pStyle w:val="TableParagraph"/>
              <w:spacing w:before="1"/>
              <w:ind w:left="115"/>
              <w:rPr>
                <w:b/>
                <w:sz w:val="20"/>
              </w:rPr>
            </w:pPr>
            <w:r>
              <w:rPr>
                <w:b/>
                <w:sz w:val="20"/>
              </w:rPr>
              <w:t>arbitration_act_ 2000</w:t>
            </w:r>
          </w:p>
        </w:tc>
        <w:tc>
          <w:tcPr>
            <w:tcW w:w="1596" w:type="dxa"/>
          </w:tcPr>
          <w:p w14:paraId="2600F104" w14:textId="77777777" w:rsidR="0046798B" w:rsidRDefault="00903B5C">
            <w:pPr>
              <w:pStyle w:val="TableParagraph"/>
              <w:spacing w:before="153"/>
              <w:ind w:left="114" w:right="119"/>
              <w:rPr>
                <w:sz w:val="20"/>
              </w:rPr>
            </w:pPr>
            <w:r>
              <w:rPr>
                <w:sz w:val="20"/>
              </w:rPr>
              <w:t xml:space="preserve">Provides </w:t>
            </w:r>
            <w:r>
              <w:rPr>
                <w:spacing w:val="-3"/>
                <w:sz w:val="20"/>
              </w:rPr>
              <w:t xml:space="preserve">judicial </w:t>
            </w:r>
            <w:r>
              <w:rPr>
                <w:sz w:val="20"/>
              </w:rPr>
              <w:t>facilitation of private dispute resolution (2000)</w:t>
            </w:r>
          </w:p>
        </w:tc>
        <w:tc>
          <w:tcPr>
            <w:tcW w:w="1285" w:type="dxa"/>
          </w:tcPr>
          <w:p w14:paraId="0D2ADE34" w14:textId="77777777" w:rsidR="0046798B" w:rsidRDefault="0046798B">
            <w:pPr>
              <w:pStyle w:val="TableParagraph"/>
            </w:pPr>
          </w:p>
          <w:p w14:paraId="409B29C3" w14:textId="77777777" w:rsidR="0046798B" w:rsidRDefault="0046798B">
            <w:pPr>
              <w:pStyle w:val="TableParagraph"/>
              <w:spacing w:before="4"/>
              <w:rPr>
                <w:sz w:val="31"/>
              </w:rPr>
            </w:pPr>
          </w:p>
          <w:p w14:paraId="1B9DF283" w14:textId="77777777" w:rsidR="0046798B" w:rsidRDefault="00903B5C">
            <w:pPr>
              <w:pStyle w:val="TableParagraph"/>
              <w:ind w:left="114"/>
              <w:rPr>
                <w:sz w:val="20"/>
              </w:rPr>
            </w:pPr>
            <w:r>
              <w:rPr>
                <w:sz w:val="20"/>
              </w:rPr>
              <w:t>2001–2013</w:t>
            </w:r>
          </w:p>
        </w:tc>
        <w:tc>
          <w:tcPr>
            <w:tcW w:w="3421" w:type="dxa"/>
          </w:tcPr>
          <w:p w14:paraId="156D48CF" w14:textId="77777777" w:rsidR="0046798B" w:rsidRDefault="0046798B">
            <w:pPr>
              <w:pStyle w:val="TableParagraph"/>
            </w:pPr>
          </w:p>
          <w:p w14:paraId="1C8EF00A" w14:textId="77777777" w:rsidR="0046798B" w:rsidRDefault="0046798B">
            <w:pPr>
              <w:pStyle w:val="TableParagraph"/>
              <w:spacing w:before="3"/>
              <w:rPr>
                <w:sz w:val="21"/>
              </w:rPr>
            </w:pPr>
          </w:p>
          <w:p w14:paraId="329B6402"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0E58794C" w14:textId="77777777" w:rsidR="0046798B" w:rsidRDefault="00903B5C">
            <w:pPr>
              <w:pStyle w:val="TableParagraph"/>
              <w:spacing w:before="38"/>
              <w:ind w:left="114"/>
              <w:rPr>
                <w:sz w:val="20"/>
              </w:rPr>
            </w:pPr>
            <w:r>
              <w:rPr>
                <w:sz w:val="20"/>
              </w:rPr>
              <w:t xml:space="preserve">Uniform Law Commission website: </w:t>
            </w:r>
            <w:hyperlink r:id="rId698">
              <w:r>
                <w:rPr>
                  <w:color w:val="0462C1"/>
                  <w:sz w:val="20"/>
                  <w:u w:val="single" w:color="0462C1"/>
                </w:rPr>
                <w:t>http://www.uniformlaws.org/</w:t>
              </w:r>
            </w:hyperlink>
          </w:p>
          <w:p w14:paraId="7332008B" w14:textId="77777777" w:rsidR="0046798B" w:rsidRDefault="0046798B">
            <w:pPr>
              <w:pStyle w:val="TableParagraph"/>
              <w:rPr>
                <w:sz w:val="20"/>
              </w:rPr>
            </w:pPr>
          </w:p>
          <w:p w14:paraId="604BCD94"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166C281" w14:textId="77777777">
        <w:trPr>
          <w:trHeight w:val="775"/>
        </w:trPr>
        <w:tc>
          <w:tcPr>
            <w:tcW w:w="1711" w:type="dxa"/>
          </w:tcPr>
          <w:p w14:paraId="31D268CE" w14:textId="77777777" w:rsidR="0046798B" w:rsidRDefault="00903B5C">
            <w:pPr>
              <w:pStyle w:val="TableParagraph"/>
              <w:spacing w:before="38"/>
              <w:ind w:left="115" w:right="163"/>
              <w:jc w:val="both"/>
              <w:rPr>
                <w:b/>
                <w:sz w:val="20"/>
              </w:rPr>
            </w:pPr>
            <w:r>
              <w:rPr>
                <w:b/>
                <w:sz w:val="20"/>
              </w:rPr>
              <w:t>attendance_of_o ut_of_state_witn e</w:t>
            </w:r>
          </w:p>
        </w:tc>
        <w:tc>
          <w:tcPr>
            <w:tcW w:w="1596" w:type="dxa"/>
          </w:tcPr>
          <w:p w14:paraId="700B77D5" w14:textId="77777777" w:rsidR="0046798B" w:rsidRDefault="00903B5C">
            <w:pPr>
              <w:pStyle w:val="TableParagraph"/>
              <w:spacing w:before="38"/>
              <w:ind w:left="114" w:right="257"/>
              <w:rPr>
                <w:sz w:val="20"/>
              </w:rPr>
            </w:pPr>
            <w:r>
              <w:rPr>
                <w:sz w:val="20"/>
              </w:rPr>
              <w:t>Provides states with statutory authority to</w:t>
            </w:r>
          </w:p>
        </w:tc>
        <w:tc>
          <w:tcPr>
            <w:tcW w:w="1285" w:type="dxa"/>
          </w:tcPr>
          <w:p w14:paraId="03010DC9" w14:textId="77777777" w:rsidR="0046798B" w:rsidRDefault="0046798B">
            <w:pPr>
              <w:pStyle w:val="TableParagraph"/>
              <w:spacing w:before="3"/>
              <w:rPr>
                <w:sz w:val="23"/>
              </w:rPr>
            </w:pPr>
          </w:p>
          <w:p w14:paraId="5A7A7E9B" w14:textId="77777777" w:rsidR="0046798B" w:rsidRDefault="00903B5C">
            <w:pPr>
              <w:pStyle w:val="TableParagraph"/>
              <w:spacing w:before="1"/>
              <w:ind w:left="114"/>
              <w:rPr>
                <w:sz w:val="20"/>
              </w:rPr>
            </w:pPr>
            <w:r>
              <w:rPr>
                <w:sz w:val="20"/>
              </w:rPr>
              <w:t>1931–1977</w:t>
            </w:r>
          </w:p>
        </w:tc>
        <w:tc>
          <w:tcPr>
            <w:tcW w:w="3421" w:type="dxa"/>
          </w:tcPr>
          <w:p w14:paraId="2857EF0F" w14:textId="77777777" w:rsidR="0046798B" w:rsidRDefault="00903B5C">
            <w:pPr>
              <w:pStyle w:val="TableParagraph"/>
              <w:spacing w:before="153"/>
              <w:ind w:left="114" w:right="1475"/>
              <w:rPr>
                <w:sz w:val="20"/>
              </w:rPr>
            </w:pPr>
            <w:r>
              <w:rPr>
                <w:sz w:val="20"/>
              </w:rPr>
              <w:t>0 = policy not adopted 1 = policy adopted</w:t>
            </w:r>
          </w:p>
        </w:tc>
        <w:tc>
          <w:tcPr>
            <w:tcW w:w="6482" w:type="dxa"/>
          </w:tcPr>
          <w:p w14:paraId="507AC866" w14:textId="77777777" w:rsidR="0046798B" w:rsidRDefault="00903B5C">
            <w:pPr>
              <w:pStyle w:val="TableParagraph"/>
              <w:spacing w:before="153"/>
              <w:ind w:left="114"/>
              <w:rPr>
                <w:sz w:val="20"/>
              </w:rPr>
            </w:pPr>
            <w:r>
              <w:rPr>
                <w:sz w:val="20"/>
              </w:rPr>
              <w:t xml:space="preserve">Uniform Law Commission website: </w:t>
            </w:r>
            <w:hyperlink r:id="rId699">
              <w:r>
                <w:rPr>
                  <w:color w:val="0462C1"/>
                  <w:sz w:val="20"/>
                  <w:u w:val="single" w:color="0462C1"/>
                </w:rPr>
                <w:t>http://www.uniformlaws.org/</w:t>
              </w:r>
            </w:hyperlink>
          </w:p>
        </w:tc>
      </w:tr>
    </w:tbl>
    <w:p w14:paraId="2E409359" w14:textId="77777777" w:rsidR="0046798B" w:rsidRDefault="0046798B">
      <w:pPr>
        <w:rPr>
          <w:sz w:val="20"/>
        </w:rPr>
        <w:sectPr w:rsidR="0046798B">
          <w:pgSz w:w="15840" w:h="12240" w:orient="landscape"/>
          <w:pgMar w:top="1220" w:right="300" w:bottom="980" w:left="820" w:header="730" w:footer="787" w:gutter="0"/>
          <w:cols w:space="720"/>
        </w:sectPr>
      </w:pPr>
    </w:p>
    <w:p w14:paraId="7E6197EB"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5613FB3D" w14:textId="77777777">
        <w:trPr>
          <w:trHeight w:val="272"/>
        </w:trPr>
        <w:tc>
          <w:tcPr>
            <w:tcW w:w="1711" w:type="dxa"/>
            <w:vMerge w:val="restart"/>
          </w:tcPr>
          <w:p w14:paraId="010E035E" w14:textId="77777777" w:rsidR="0046798B" w:rsidRDefault="0046798B">
            <w:pPr>
              <w:pStyle w:val="TableParagraph"/>
              <w:rPr>
                <w:sz w:val="20"/>
              </w:rPr>
            </w:pPr>
          </w:p>
        </w:tc>
        <w:tc>
          <w:tcPr>
            <w:tcW w:w="1596" w:type="dxa"/>
            <w:tcBorders>
              <w:bottom w:val="nil"/>
            </w:tcBorders>
          </w:tcPr>
          <w:p w14:paraId="11A3DD55" w14:textId="77777777" w:rsidR="0046798B" w:rsidRDefault="00903B5C">
            <w:pPr>
              <w:pStyle w:val="TableParagraph"/>
              <w:spacing w:before="43" w:line="209" w:lineRule="exact"/>
              <w:ind w:left="114"/>
              <w:rPr>
                <w:sz w:val="20"/>
              </w:rPr>
            </w:pPr>
            <w:r>
              <w:rPr>
                <w:sz w:val="20"/>
              </w:rPr>
              <w:t>secure the</w:t>
            </w:r>
          </w:p>
        </w:tc>
        <w:tc>
          <w:tcPr>
            <w:tcW w:w="1285" w:type="dxa"/>
            <w:vMerge w:val="restart"/>
          </w:tcPr>
          <w:p w14:paraId="566EB17D" w14:textId="77777777" w:rsidR="0046798B" w:rsidRDefault="0046798B">
            <w:pPr>
              <w:pStyle w:val="TableParagraph"/>
              <w:rPr>
                <w:sz w:val="20"/>
              </w:rPr>
            </w:pPr>
          </w:p>
        </w:tc>
        <w:tc>
          <w:tcPr>
            <w:tcW w:w="3421" w:type="dxa"/>
            <w:vMerge w:val="restart"/>
          </w:tcPr>
          <w:p w14:paraId="6F9BE2CF" w14:textId="77777777" w:rsidR="0046798B" w:rsidRDefault="0046798B">
            <w:pPr>
              <w:pStyle w:val="TableParagraph"/>
              <w:rPr>
                <w:sz w:val="20"/>
              </w:rPr>
            </w:pPr>
          </w:p>
        </w:tc>
        <w:tc>
          <w:tcPr>
            <w:tcW w:w="6482" w:type="dxa"/>
            <w:tcBorders>
              <w:bottom w:val="nil"/>
            </w:tcBorders>
          </w:tcPr>
          <w:p w14:paraId="4A5911FD" w14:textId="77777777" w:rsidR="0046798B" w:rsidRDefault="00903B5C">
            <w:pPr>
              <w:pStyle w:val="TableParagraph"/>
              <w:spacing w:before="43" w:line="209" w:lineRule="exact"/>
              <w:ind w:left="114"/>
              <w:rPr>
                <w:sz w:val="20"/>
              </w:rPr>
            </w:pPr>
            <w:r>
              <w:rPr>
                <w:sz w:val="20"/>
              </w:rPr>
              <w:t>Frederick J. Boehmke; Mark Brockway; Bruce Desmarais; Jeffrey J. Harden;</w:t>
            </w:r>
          </w:p>
        </w:tc>
      </w:tr>
      <w:tr w:rsidR="0046798B" w14:paraId="2A7AA09F" w14:textId="77777777">
        <w:trPr>
          <w:trHeight w:val="220"/>
        </w:trPr>
        <w:tc>
          <w:tcPr>
            <w:tcW w:w="1711" w:type="dxa"/>
            <w:vMerge/>
            <w:tcBorders>
              <w:top w:val="nil"/>
            </w:tcBorders>
          </w:tcPr>
          <w:p w14:paraId="579A3551" w14:textId="77777777" w:rsidR="0046798B" w:rsidRDefault="0046798B">
            <w:pPr>
              <w:rPr>
                <w:sz w:val="2"/>
                <w:szCs w:val="2"/>
              </w:rPr>
            </w:pPr>
          </w:p>
        </w:tc>
        <w:tc>
          <w:tcPr>
            <w:tcW w:w="1596" w:type="dxa"/>
            <w:tcBorders>
              <w:top w:val="nil"/>
              <w:bottom w:val="nil"/>
            </w:tcBorders>
          </w:tcPr>
          <w:p w14:paraId="51FC3C51" w14:textId="77777777" w:rsidR="0046798B" w:rsidRDefault="00903B5C">
            <w:pPr>
              <w:pStyle w:val="TableParagraph"/>
              <w:spacing w:line="200" w:lineRule="exact"/>
              <w:ind w:left="114"/>
              <w:rPr>
                <w:sz w:val="20"/>
              </w:rPr>
            </w:pPr>
            <w:r>
              <w:rPr>
                <w:sz w:val="20"/>
              </w:rPr>
              <w:t>attendance of a</w:t>
            </w:r>
          </w:p>
        </w:tc>
        <w:tc>
          <w:tcPr>
            <w:tcW w:w="1285" w:type="dxa"/>
            <w:vMerge/>
            <w:tcBorders>
              <w:top w:val="nil"/>
            </w:tcBorders>
          </w:tcPr>
          <w:p w14:paraId="54A2CBBD" w14:textId="77777777" w:rsidR="0046798B" w:rsidRDefault="0046798B">
            <w:pPr>
              <w:rPr>
                <w:sz w:val="2"/>
                <w:szCs w:val="2"/>
              </w:rPr>
            </w:pPr>
          </w:p>
        </w:tc>
        <w:tc>
          <w:tcPr>
            <w:tcW w:w="3421" w:type="dxa"/>
            <w:vMerge/>
            <w:tcBorders>
              <w:top w:val="nil"/>
            </w:tcBorders>
          </w:tcPr>
          <w:p w14:paraId="046EE31C" w14:textId="77777777" w:rsidR="0046798B" w:rsidRDefault="0046798B">
            <w:pPr>
              <w:rPr>
                <w:sz w:val="2"/>
                <w:szCs w:val="2"/>
              </w:rPr>
            </w:pPr>
          </w:p>
        </w:tc>
        <w:tc>
          <w:tcPr>
            <w:tcW w:w="6482" w:type="dxa"/>
            <w:tcBorders>
              <w:top w:val="nil"/>
              <w:bottom w:val="nil"/>
            </w:tcBorders>
          </w:tcPr>
          <w:p w14:paraId="2D0B6DA8" w14:textId="77777777" w:rsidR="0046798B" w:rsidRDefault="00903B5C">
            <w:pPr>
              <w:pStyle w:val="TableParagraph"/>
              <w:spacing w:line="200" w:lineRule="exact"/>
              <w:ind w:left="114"/>
              <w:rPr>
                <w:sz w:val="20"/>
              </w:rPr>
            </w:pPr>
            <w:r>
              <w:rPr>
                <w:sz w:val="20"/>
              </w:rPr>
              <w:t>Scott LaCombe; Fridolin Linder; Hanna Wallach, 2018, “State Policy</w:t>
            </w:r>
          </w:p>
        </w:tc>
      </w:tr>
      <w:tr w:rsidR="0046798B" w14:paraId="055C5692" w14:textId="77777777">
        <w:trPr>
          <w:trHeight w:val="220"/>
        </w:trPr>
        <w:tc>
          <w:tcPr>
            <w:tcW w:w="1711" w:type="dxa"/>
            <w:vMerge/>
            <w:tcBorders>
              <w:top w:val="nil"/>
            </w:tcBorders>
          </w:tcPr>
          <w:p w14:paraId="3D70BE64" w14:textId="77777777" w:rsidR="0046798B" w:rsidRDefault="0046798B">
            <w:pPr>
              <w:rPr>
                <w:sz w:val="2"/>
                <w:szCs w:val="2"/>
              </w:rPr>
            </w:pPr>
          </w:p>
        </w:tc>
        <w:tc>
          <w:tcPr>
            <w:tcW w:w="1596" w:type="dxa"/>
            <w:tcBorders>
              <w:top w:val="nil"/>
              <w:bottom w:val="nil"/>
            </w:tcBorders>
          </w:tcPr>
          <w:p w14:paraId="2944D8DF" w14:textId="77777777" w:rsidR="0046798B" w:rsidRDefault="00903B5C">
            <w:pPr>
              <w:pStyle w:val="TableParagraph"/>
              <w:spacing w:line="200" w:lineRule="exact"/>
              <w:ind w:left="114"/>
              <w:rPr>
                <w:sz w:val="20"/>
              </w:rPr>
            </w:pPr>
            <w:r>
              <w:rPr>
                <w:sz w:val="20"/>
              </w:rPr>
              <w:t>witness from</w:t>
            </w:r>
          </w:p>
        </w:tc>
        <w:tc>
          <w:tcPr>
            <w:tcW w:w="1285" w:type="dxa"/>
            <w:vMerge/>
            <w:tcBorders>
              <w:top w:val="nil"/>
            </w:tcBorders>
          </w:tcPr>
          <w:p w14:paraId="5140B4FC" w14:textId="77777777" w:rsidR="0046798B" w:rsidRDefault="0046798B">
            <w:pPr>
              <w:rPr>
                <w:sz w:val="2"/>
                <w:szCs w:val="2"/>
              </w:rPr>
            </w:pPr>
          </w:p>
        </w:tc>
        <w:tc>
          <w:tcPr>
            <w:tcW w:w="3421" w:type="dxa"/>
            <w:vMerge/>
            <w:tcBorders>
              <w:top w:val="nil"/>
            </w:tcBorders>
          </w:tcPr>
          <w:p w14:paraId="3A6BF672" w14:textId="77777777" w:rsidR="0046798B" w:rsidRDefault="0046798B">
            <w:pPr>
              <w:rPr>
                <w:sz w:val="2"/>
                <w:szCs w:val="2"/>
              </w:rPr>
            </w:pPr>
          </w:p>
        </w:tc>
        <w:tc>
          <w:tcPr>
            <w:tcW w:w="6482" w:type="dxa"/>
            <w:tcBorders>
              <w:top w:val="nil"/>
              <w:bottom w:val="nil"/>
            </w:tcBorders>
          </w:tcPr>
          <w:p w14:paraId="5ADA5784" w14:textId="77777777" w:rsidR="0046798B" w:rsidRDefault="00903B5C">
            <w:pPr>
              <w:pStyle w:val="TableParagraph"/>
              <w:spacing w:line="200" w:lineRule="exact"/>
              <w:ind w:left="114"/>
              <w:rPr>
                <w:sz w:val="20"/>
              </w:rPr>
            </w:pPr>
            <w:r>
              <w:rPr>
                <w:sz w:val="20"/>
              </w:rPr>
              <w:t>Innovation and Diffusion (SPID) Database v1.0”,</w:t>
            </w:r>
          </w:p>
        </w:tc>
      </w:tr>
      <w:tr w:rsidR="0046798B" w14:paraId="60931D34" w14:textId="77777777">
        <w:trPr>
          <w:trHeight w:val="220"/>
        </w:trPr>
        <w:tc>
          <w:tcPr>
            <w:tcW w:w="1711" w:type="dxa"/>
            <w:vMerge/>
            <w:tcBorders>
              <w:top w:val="nil"/>
            </w:tcBorders>
          </w:tcPr>
          <w:p w14:paraId="4271DCEE" w14:textId="77777777" w:rsidR="0046798B" w:rsidRDefault="0046798B">
            <w:pPr>
              <w:rPr>
                <w:sz w:val="2"/>
                <w:szCs w:val="2"/>
              </w:rPr>
            </w:pPr>
          </w:p>
        </w:tc>
        <w:tc>
          <w:tcPr>
            <w:tcW w:w="1596" w:type="dxa"/>
            <w:tcBorders>
              <w:top w:val="nil"/>
              <w:bottom w:val="nil"/>
            </w:tcBorders>
          </w:tcPr>
          <w:p w14:paraId="253571A7" w14:textId="77777777" w:rsidR="0046798B" w:rsidRDefault="00903B5C">
            <w:pPr>
              <w:pStyle w:val="TableParagraph"/>
              <w:spacing w:line="200" w:lineRule="exact"/>
              <w:ind w:left="114"/>
              <w:rPr>
                <w:sz w:val="20"/>
              </w:rPr>
            </w:pPr>
            <w:r>
              <w:rPr>
                <w:sz w:val="20"/>
              </w:rPr>
              <w:t>outside the state</w:t>
            </w:r>
          </w:p>
        </w:tc>
        <w:tc>
          <w:tcPr>
            <w:tcW w:w="1285" w:type="dxa"/>
            <w:vMerge/>
            <w:tcBorders>
              <w:top w:val="nil"/>
            </w:tcBorders>
          </w:tcPr>
          <w:p w14:paraId="0E55C952" w14:textId="77777777" w:rsidR="0046798B" w:rsidRDefault="0046798B">
            <w:pPr>
              <w:rPr>
                <w:sz w:val="2"/>
                <w:szCs w:val="2"/>
              </w:rPr>
            </w:pPr>
          </w:p>
        </w:tc>
        <w:tc>
          <w:tcPr>
            <w:tcW w:w="3421" w:type="dxa"/>
            <w:vMerge/>
            <w:tcBorders>
              <w:top w:val="nil"/>
            </w:tcBorders>
          </w:tcPr>
          <w:p w14:paraId="0C19045E" w14:textId="77777777" w:rsidR="0046798B" w:rsidRDefault="0046798B">
            <w:pPr>
              <w:rPr>
                <w:sz w:val="2"/>
                <w:szCs w:val="2"/>
              </w:rPr>
            </w:pPr>
          </w:p>
        </w:tc>
        <w:tc>
          <w:tcPr>
            <w:tcW w:w="6482" w:type="dxa"/>
            <w:tcBorders>
              <w:top w:val="nil"/>
              <w:bottom w:val="nil"/>
            </w:tcBorders>
          </w:tcPr>
          <w:p w14:paraId="36C938C1" w14:textId="77777777" w:rsidR="0046798B" w:rsidRDefault="00903B5C">
            <w:pPr>
              <w:pStyle w:val="TableParagraph"/>
              <w:spacing w:line="200" w:lineRule="exact"/>
              <w:ind w:left="114"/>
              <w:rPr>
                <w:sz w:val="20"/>
              </w:rPr>
            </w:pPr>
            <w:r>
              <w:rPr>
                <w:sz w:val="20"/>
              </w:rPr>
              <w:t>https://doi.org/10.7910/DVN/CVYSR7</w:t>
            </w:r>
          </w:p>
        </w:tc>
      </w:tr>
      <w:tr w:rsidR="0046798B" w14:paraId="537BB387" w14:textId="77777777">
        <w:trPr>
          <w:trHeight w:val="220"/>
        </w:trPr>
        <w:tc>
          <w:tcPr>
            <w:tcW w:w="1711" w:type="dxa"/>
            <w:vMerge/>
            <w:tcBorders>
              <w:top w:val="nil"/>
            </w:tcBorders>
          </w:tcPr>
          <w:p w14:paraId="06D42C9C" w14:textId="77777777" w:rsidR="0046798B" w:rsidRDefault="0046798B">
            <w:pPr>
              <w:rPr>
                <w:sz w:val="2"/>
                <w:szCs w:val="2"/>
              </w:rPr>
            </w:pPr>
          </w:p>
        </w:tc>
        <w:tc>
          <w:tcPr>
            <w:tcW w:w="1596" w:type="dxa"/>
            <w:tcBorders>
              <w:top w:val="nil"/>
              <w:bottom w:val="nil"/>
            </w:tcBorders>
          </w:tcPr>
          <w:p w14:paraId="14C0128C" w14:textId="77777777" w:rsidR="0046798B" w:rsidRDefault="00903B5C">
            <w:pPr>
              <w:pStyle w:val="TableParagraph"/>
              <w:spacing w:line="200" w:lineRule="exact"/>
              <w:ind w:left="114"/>
              <w:rPr>
                <w:sz w:val="20"/>
              </w:rPr>
            </w:pPr>
            <w:r>
              <w:rPr>
                <w:sz w:val="20"/>
              </w:rPr>
              <w:t>in which the</w:t>
            </w:r>
          </w:p>
        </w:tc>
        <w:tc>
          <w:tcPr>
            <w:tcW w:w="1285" w:type="dxa"/>
            <w:vMerge/>
            <w:tcBorders>
              <w:top w:val="nil"/>
            </w:tcBorders>
          </w:tcPr>
          <w:p w14:paraId="27944F57" w14:textId="77777777" w:rsidR="0046798B" w:rsidRDefault="0046798B">
            <w:pPr>
              <w:rPr>
                <w:sz w:val="2"/>
                <w:szCs w:val="2"/>
              </w:rPr>
            </w:pPr>
          </w:p>
        </w:tc>
        <w:tc>
          <w:tcPr>
            <w:tcW w:w="3421" w:type="dxa"/>
            <w:vMerge/>
            <w:tcBorders>
              <w:top w:val="nil"/>
            </w:tcBorders>
          </w:tcPr>
          <w:p w14:paraId="7FB48535" w14:textId="77777777" w:rsidR="0046798B" w:rsidRDefault="0046798B">
            <w:pPr>
              <w:rPr>
                <w:sz w:val="2"/>
                <w:szCs w:val="2"/>
              </w:rPr>
            </w:pPr>
          </w:p>
        </w:tc>
        <w:tc>
          <w:tcPr>
            <w:tcW w:w="6482" w:type="dxa"/>
            <w:tcBorders>
              <w:top w:val="nil"/>
              <w:bottom w:val="nil"/>
            </w:tcBorders>
          </w:tcPr>
          <w:p w14:paraId="4B6742D5" w14:textId="77777777" w:rsidR="0046798B" w:rsidRDefault="0046798B">
            <w:pPr>
              <w:pStyle w:val="TableParagraph"/>
              <w:rPr>
                <w:sz w:val="14"/>
              </w:rPr>
            </w:pPr>
          </w:p>
        </w:tc>
      </w:tr>
      <w:tr w:rsidR="0046798B" w14:paraId="55B91C9E" w14:textId="77777777">
        <w:trPr>
          <w:trHeight w:val="220"/>
        </w:trPr>
        <w:tc>
          <w:tcPr>
            <w:tcW w:w="1711" w:type="dxa"/>
            <w:vMerge/>
            <w:tcBorders>
              <w:top w:val="nil"/>
            </w:tcBorders>
          </w:tcPr>
          <w:p w14:paraId="4BA32D31" w14:textId="77777777" w:rsidR="0046798B" w:rsidRDefault="0046798B">
            <w:pPr>
              <w:rPr>
                <w:sz w:val="2"/>
                <w:szCs w:val="2"/>
              </w:rPr>
            </w:pPr>
          </w:p>
        </w:tc>
        <w:tc>
          <w:tcPr>
            <w:tcW w:w="1596" w:type="dxa"/>
            <w:tcBorders>
              <w:top w:val="nil"/>
              <w:bottom w:val="nil"/>
            </w:tcBorders>
          </w:tcPr>
          <w:p w14:paraId="4E0980E6" w14:textId="77777777" w:rsidR="0046798B" w:rsidRDefault="00903B5C">
            <w:pPr>
              <w:pStyle w:val="TableParagraph"/>
              <w:spacing w:line="200" w:lineRule="exact"/>
              <w:ind w:left="114"/>
              <w:rPr>
                <w:sz w:val="20"/>
              </w:rPr>
            </w:pPr>
            <w:r>
              <w:rPr>
                <w:sz w:val="20"/>
              </w:rPr>
              <w:t>criminal</w:t>
            </w:r>
          </w:p>
        </w:tc>
        <w:tc>
          <w:tcPr>
            <w:tcW w:w="1285" w:type="dxa"/>
            <w:vMerge/>
            <w:tcBorders>
              <w:top w:val="nil"/>
            </w:tcBorders>
          </w:tcPr>
          <w:p w14:paraId="5DA2D810" w14:textId="77777777" w:rsidR="0046798B" w:rsidRDefault="0046798B">
            <w:pPr>
              <w:rPr>
                <w:sz w:val="2"/>
                <w:szCs w:val="2"/>
              </w:rPr>
            </w:pPr>
          </w:p>
        </w:tc>
        <w:tc>
          <w:tcPr>
            <w:tcW w:w="3421" w:type="dxa"/>
            <w:vMerge/>
            <w:tcBorders>
              <w:top w:val="nil"/>
            </w:tcBorders>
          </w:tcPr>
          <w:p w14:paraId="4B47B5DA" w14:textId="77777777" w:rsidR="0046798B" w:rsidRDefault="0046798B">
            <w:pPr>
              <w:rPr>
                <w:sz w:val="2"/>
                <w:szCs w:val="2"/>
              </w:rPr>
            </w:pPr>
          </w:p>
        </w:tc>
        <w:tc>
          <w:tcPr>
            <w:tcW w:w="6482" w:type="dxa"/>
            <w:tcBorders>
              <w:top w:val="nil"/>
              <w:bottom w:val="nil"/>
            </w:tcBorders>
          </w:tcPr>
          <w:p w14:paraId="19185672" w14:textId="77777777" w:rsidR="0046798B" w:rsidRDefault="0046798B">
            <w:pPr>
              <w:pStyle w:val="TableParagraph"/>
              <w:rPr>
                <w:sz w:val="14"/>
              </w:rPr>
            </w:pPr>
          </w:p>
        </w:tc>
      </w:tr>
      <w:tr w:rsidR="0046798B" w14:paraId="1273A14F" w14:textId="77777777">
        <w:trPr>
          <w:trHeight w:val="220"/>
        </w:trPr>
        <w:tc>
          <w:tcPr>
            <w:tcW w:w="1711" w:type="dxa"/>
            <w:vMerge/>
            <w:tcBorders>
              <w:top w:val="nil"/>
            </w:tcBorders>
          </w:tcPr>
          <w:p w14:paraId="398BC4FF" w14:textId="77777777" w:rsidR="0046798B" w:rsidRDefault="0046798B">
            <w:pPr>
              <w:rPr>
                <w:sz w:val="2"/>
                <w:szCs w:val="2"/>
              </w:rPr>
            </w:pPr>
          </w:p>
        </w:tc>
        <w:tc>
          <w:tcPr>
            <w:tcW w:w="1596" w:type="dxa"/>
            <w:tcBorders>
              <w:top w:val="nil"/>
              <w:bottom w:val="nil"/>
            </w:tcBorders>
          </w:tcPr>
          <w:p w14:paraId="42113E2F" w14:textId="77777777" w:rsidR="0046798B" w:rsidRDefault="00903B5C">
            <w:pPr>
              <w:pStyle w:val="TableParagraph"/>
              <w:spacing w:line="200" w:lineRule="exact"/>
              <w:ind w:left="114"/>
              <w:rPr>
                <w:sz w:val="20"/>
              </w:rPr>
            </w:pPr>
            <w:r>
              <w:rPr>
                <w:sz w:val="20"/>
              </w:rPr>
              <w:t>proceeding or</w:t>
            </w:r>
          </w:p>
        </w:tc>
        <w:tc>
          <w:tcPr>
            <w:tcW w:w="1285" w:type="dxa"/>
            <w:vMerge/>
            <w:tcBorders>
              <w:top w:val="nil"/>
            </w:tcBorders>
          </w:tcPr>
          <w:p w14:paraId="2A8B58DB" w14:textId="77777777" w:rsidR="0046798B" w:rsidRDefault="0046798B">
            <w:pPr>
              <w:rPr>
                <w:sz w:val="2"/>
                <w:szCs w:val="2"/>
              </w:rPr>
            </w:pPr>
          </w:p>
        </w:tc>
        <w:tc>
          <w:tcPr>
            <w:tcW w:w="3421" w:type="dxa"/>
            <w:vMerge/>
            <w:tcBorders>
              <w:top w:val="nil"/>
            </w:tcBorders>
          </w:tcPr>
          <w:p w14:paraId="3EDCA3D9" w14:textId="77777777" w:rsidR="0046798B" w:rsidRDefault="0046798B">
            <w:pPr>
              <w:rPr>
                <w:sz w:val="2"/>
                <w:szCs w:val="2"/>
              </w:rPr>
            </w:pPr>
          </w:p>
        </w:tc>
        <w:tc>
          <w:tcPr>
            <w:tcW w:w="6482" w:type="dxa"/>
            <w:tcBorders>
              <w:top w:val="nil"/>
              <w:bottom w:val="nil"/>
            </w:tcBorders>
          </w:tcPr>
          <w:p w14:paraId="318690F4" w14:textId="77777777" w:rsidR="0046798B" w:rsidRDefault="0046798B">
            <w:pPr>
              <w:pStyle w:val="TableParagraph"/>
              <w:rPr>
                <w:sz w:val="14"/>
              </w:rPr>
            </w:pPr>
          </w:p>
        </w:tc>
      </w:tr>
      <w:tr w:rsidR="0046798B" w14:paraId="5E9B4A90" w14:textId="77777777">
        <w:trPr>
          <w:trHeight w:val="220"/>
        </w:trPr>
        <w:tc>
          <w:tcPr>
            <w:tcW w:w="1711" w:type="dxa"/>
            <w:vMerge/>
            <w:tcBorders>
              <w:top w:val="nil"/>
            </w:tcBorders>
          </w:tcPr>
          <w:p w14:paraId="78FFFDCE" w14:textId="77777777" w:rsidR="0046798B" w:rsidRDefault="0046798B">
            <w:pPr>
              <w:rPr>
                <w:sz w:val="2"/>
                <w:szCs w:val="2"/>
              </w:rPr>
            </w:pPr>
          </w:p>
        </w:tc>
        <w:tc>
          <w:tcPr>
            <w:tcW w:w="1596" w:type="dxa"/>
            <w:tcBorders>
              <w:top w:val="nil"/>
              <w:bottom w:val="nil"/>
            </w:tcBorders>
          </w:tcPr>
          <w:p w14:paraId="0FB8CB30" w14:textId="77777777" w:rsidR="0046798B" w:rsidRDefault="00903B5C">
            <w:pPr>
              <w:pStyle w:val="TableParagraph"/>
              <w:spacing w:line="200" w:lineRule="exact"/>
              <w:ind w:left="114"/>
              <w:rPr>
                <w:sz w:val="20"/>
              </w:rPr>
            </w:pPr>
            <w:r>
              <w:rPr>
                <w:sz w:val="20"/>
              </w:rPr>
              <w:t>grand jury</w:t>
            </w:r>
          </w:p>
        </w:tc>
        <w:tc>
          <w:tcPr>
            <w:tcW w:w="1285" w:type="dxa"/>
            <w:vMerge/>
            <w:tcBorders>
              <w:top w:val="nil"/>
            </w:tcBorders>
          </w:tcPr>
          <w:p w14:paraId="3F57B3F3" w14:textId="77777777" w:rsidR="0046798B" w:rsidRDefault="0046798B">
            <w:pPr>
              <w:rPr>
                <w:sz w:val="2"/>
                <w:szCs w:val="2"/>
              </w:rPr>
            </w:pPr>
          </w:p>
        </w:tc>
        <w:tc>
          <w:tcPr>
            <w:tcW w:w="3421" w:type="dxa"/>
            <w:vMerge/>
            <w:tcBorders>
              <w:top w:val="nil"/>
            </w:tcBorders>
          </w:tcPr>
          <w:p w14:paraId="229F3E02" w14:textId="77777777" w:rsidR="0046798B" w:rsidRDefault="0046798B">
            <w:pPr>
              <w:rPr>
                <w:sz w:val="2"/>
                <w:szCs w:val="2"/>
              </w:rPr>
            </w:pPr>
          </w:p>
        </w:tc>
        <w:tc>
          <w:tcPr>
            <w:tcW w:w="6482" w:type="dxa"/>
            <w:tcBorders>
              <w:top w:val="nil"/>
              <w:bottom w:val="nil"/>
            </w:tcBorders>
          </w:tcPr>
          <w:p w14:paraId="521A8634" w14:textId="77777777" w:rsidR="0046798B" w:rsidRDefault="0046798B">
            <w:pPr>
              <w:pStyle w:val="TableParagraph"/>
              <w:rPr>
                <w:sz w:val="14"/>
              </w:rPr>
            </w:pPr>
          </w:p>
        </w:tc>
      </w:tr>
      <w:tr w:rsidR="0046798B" w14:paraId="33873BAC" w14:textId="77777777">
        <w:trPr>
          <w:trHeight w:val="220"/>
        </w:trPr>
        <w:tc>
          <w:tcPr>
            <w:tcW w:w="1711" w:type="dxa"/>
            <w:vMerge/>
            <w:tcBorders>
              <w:top w:val="nil"/>
            </w:tcBorders>
          </w:tcPr>
          <w:p w14:paraId="06884FB5" w14:textId="77777777" w:rsidR="0046798B" w:rsidRDefault="0046798B">
            <w:pPr>
              <w:rPr>
                <w:sz w:val="2"/>
                <w:szCs w:val="2"/>
              </w:rPr>
            </w:pPr>
          </w:p>
        </w:tc>
        <w:tc>
          <w:tcPr>
            <w:tcW w:w="1596" w:type="dxa"/>
            <w:tcBorders>
              <w:top w:val="nil"/>
              <w:bottom w:val="nil"/>
            </w:tcBorders>
          </w:tcPr>
          <w:p w14:paraId="36667A9E" w14:textId="77777777" w:rsidR="0046798B" w:rsidRDefault="00903B5C">
            <w:pPr>
              <w:pStyle w:val="TableParagraph"/>
              <w:spacing w:line="200" w:lineRule="exact"/>
              <w:ind w:left="114"/>
              <w:rPr>
                <w:sz w:val="20"/>
              </w:rPr>
            </w:pPr>
            <w:r>
              <w:rPr>
                <w:sz w:val="20"/>
              </w:rPr>
              <w:t>proceeding is</w:t>
            </w:r>
          </w:p>
        </w:tc>
        <w:tc>
          <w:tcPr>
            <w:tcW w:w="1285" w:type="dxa"/>
            <w:vMerge/>
            <w:tcBorders>
              <w:top w:val="nil"/>
            </w:tcBorders>
          </w:tcPr>
          <w:p w14:paraId="147ACB27" w14:textId="77777777" w:rsidR="0046798B" w:rsidRDefault="0046798B">
            <w:pPr>
              <w:rPr>
                <w:sz w:val="2"/>
                <w:szCs w:val="2"/>
              </w:rPr>
            </w:pPr>
          </w:p>
        </w:tc>
        <w:tc>
          <w:tcPr>
            <w:tcW w:w="3421" w:type="dxa"/>
            <w:vMerge/>
            <w:tcBorders>
              <w:top w:val="nil"/>
            </w:tcBorders>
          </w:tcPr>
          <w:p w14:paraId="45D06325" w14:textId="77777777" w:rsidR="0046798B" w:rsidRDefault="0046798B">
            <w:pPr>
              <w:rPr>
                <w:sz w:val="2"/>
                <w:szCs w:val="2"/>
              </w:rPr>
            </w:pPr>
          </w:p>
        </w:tc>
        <w:tc>
          <w:tcPr>
            <w:tcW w:w="6482" w:type="dxa"/>
            <w:tcBorders>
              <w:top w:val="nil"/>
              <w:bottom w:val="nil"/>
            </w:tcBorders>
          </w:tcPr>
          <w:p w14:paraId="66786352" w14:textId="77777777" w:rsidR="0046798B" w:rsidRDefault="0046798B">
            <w:pPr>
              <w:pStyle w:val="TableParagraph"/>
              <w:rPr>
                <w:sz w:val="14"/>
              </w:rPr>
            </w:pPr>
          </w:p>
        </w:tc>
      </w:tr>
      <w:tr w:rsidR="0046798B" w14:paraId="220B7616" w14:textId="77777777">
        <w:trPr>
          <w:trHeight w:val="262"/>
        </w:trPr>
        <w:tc>
          <w:tcPr>
            <w:tcW w:w="1711" w:type="dxa"/>
            <w:vMerge/>
            <w:tcBorders>
              <w:top w:val="nil"/>
            </w:tcBorders>
          </w:tcPr>
          <w:p w14:paraId="66090B20" w14:textId="77777777" w:rsidR="0046798B" w:rsidRDefault="0046798B">
            <w:pPr>
              <w:rPr>
                <w:sz w:val="2"/>
                <w:szCs w:val="2"/>
              </w:rPr>
            </w:pPr>
          </w:p>
        </w:tc>
        <w:tc>
          <w:tcPr>
            <w:tcW w:w="1596" w:type="dxa"/>
            <w:tcBorders>
              <w:top w:val="nil"/>
            </w:tcBorders>
          </w:tcPr>
          <w:p w14:paraId="03FCBC12" w14:textId="77777777" w:rsidR="0046798B" w:rsidRDefault="00903B5C">
            <w:pPr>
              <w:pStyle w:val="TableParagraph"/>
              <w:spacing w:line="221" w:lineRule="exact"/>
              <w:ind w:left="114"/>
              <w:rPr>
                <w:sz w:val="20"/>
              </w:rPr>
            </w:pPr>
            <w:r>
              <w:rPr>
                <w:sz w:val="20"/>
              </w:rPr>
              <w:t>pending</w:t>
            </w:r>
          </w:p>
        </w:tc>
        <w:tc>
          <w:tcPr>
            <w:tcW w:w="1285" w:type="dxa"/>
            <w:vMerge/>
            <w:tcBorders>
              <w:top w:val="nil"/>
            </w:tcBorders>
          </w:tcPr>
          <w:p w14:paraId="11C7B22B" w14:textId="77777777" w:rsidR="0046798B" w:rsidRDefault="0046798B">
            <w:pPr>
              <w:rPr>
                <w:sz w:val="2"/>
                <w:szCs w:val="2"/>
              </w:rPr>
            </w:pPr>
          </w:p>
        </w:tc>
        <w:tc>
          <w:tcPr>
            <w:tcW w:w="3421" w:type="dxa"/>
            <w:vMerge/>
            <w:tcBorders>
              <w:top w:val="nil"/>
            </w:tcBorders>
          </w:tcPr>
          <w:p w14:paraId="350AD4DE" w14:textId="77777777" w:rsidR="0046798B" w:rsidRDefault="0046798B">
            <w:pPr>
              <w:rPr>
                <w:sz w:val="2"/>
                <w:szCs w:val="2"/>
              </w:rPr>
            </w:pPr>
          </w:p>
        </w:tc>
        <w:tc>
          <w:tcPr>
            <w:tcW w:w="6482" w:type="dxa"/>
            <w:tcBorders>
              <w:top w:val="nil"/>
            </w:tcBorders>
          </w:tcPr>
          <w:p w14:paraId="7B9519CB" w14:textId="77777777" w:rsidR="0046798B" w:rsidRDefault="0046798B">
            <w:pPr>
              <w:pStyle w:val="TableParagraph"/>
              <w:rPr>
                <w:sz w:val="18"/>
              </w:rPr>
            </w:pPr>
          </w:p>
        </w:tc>
      </w:tr>
      <w:tr w:rsidR="0046798B" w14:paraId="5402BF64" w14:textId="77777777">
        <w:trPr>
          <w:trHeight w:val="277"/>
        </w:trPr>
        <w:tc>
          <w:tcPr>
            <w:tcW w:w="1711" w:type="dxa"/>
            <w:tcBorders>
              <w:bottom w:val="nil"/>
            </w:tcBorders>
          </w:tcPr>
          <w:p w14:paraId="2CBDEEDA" w14:textId="77777777" w:rsidR="0046798B" w:rsidRDefault="0046798B">
            <w:pPr>
              <w:pStyle w:val="TableParagraph"/>
              <w:rPr>
                <w:sz w:val="20"/>
              </w:rPr>
            </w:pPr>
          </w:p>
        </w:tc>
        <w:tc>
          <w:tcPr>
            <w:tcW w:w="1596" w:type="dxa"/>
            <w:tcBorders>
              <w:bottom w:val="nil"/>
            </w:tcBorders>
          </w:tcPr>
          <w:p w14:paraId="0D80F844" w14:textId="77777777" w:rsidR="0046798B" w:rsidRDefault="0046798B">
            <w:pPr>
              <w:pStyle w:val="TableParagraph"/>
              <w:rPr>
                <w:sz w:val="20"/>
              </w:rPr>
            </w:pPr>
          </w:p>
        </w:tc>
        <w:tc>
          <w:tcPr>
            <w:tcW w:w="1285" w:type="dxa"/>
            <w:tcBorders>
              <w:bottom w:val="nil"/>
            </w:tcBorders>
          </w:tcPr>
          <w:p w14:paraId="27C0FEBA" w14:textId="77777777" w:rsidR="0046798B" w:rsidRDefault="0046798B">
            <w:pPr>
              <w:pStyle w:val="TableParagraph"/>
              <w:rPr>
                <w:sz w:val="20"/>
              </w:rPr>
            </w:pPr>
          </w:p>
        </w:tc>
        <w:tc>
          <w:tcPr>
            <w:tcW w:w="3421" w:type="dxa"/>
            <w:tcBorders>
              <w:bottom w:val="nil"/>
            </w:tcBorders>
          </w:tcPr>
          <w:p w14:paraId="31F8FDFD" w14:textId="77777777" w:rsidR="0046798B" w:rsidRDefault="0046798B">
            <w:pPr>
              <w:pStyle w:val="TableParagraph"/>
              <w:rPr>
                <w:sz w:val="20"/>
              </w:rPr>
            </w:pPr>
          </w:p>
        </w:tc>
        <w:tc>
          <w:tcPr>
            <w:tcW w:w="6482" w:type="dxa"/>
            <w:tcBorders>
              <w:bottom w:val="nil"/>
            </w:tcBorders>
          </w:tcPr>
          <w:p w14:paraId="38349346" w14:textId="77777777" w:rsidR="0046798B" w:rsidRDefault="00903B5C">
            <w:pPr>
              <w:pStyle w:val="TableParagraph"/>
              <w:spacing w:before="43" w:line="214" w:lineRule="exact"/>
              <w:ind w:left="114"/>
              <w:rPr>
                <w:sz w:val="20"/>
              </w:rPr>
            </w:pPr>
            <w:r>
              <w:rPr>
                <w:sz w:val="20"/>
              </w:rPr>
              <w:t xml:space="preserve">Uniform Law Commission website: </w:t>
            </w:r>
            <w:hyperlink r:id="rId700">
              <w:r>
                <w:rPr>
                  <w:color w:val="0462C1"/>
                  <w:sz w:val="20"/>
                  <w:u w:val="single" w:color="0462C1"/>
                </w:rPr>
                <w:t>http://www.uniformlaws.org/</w:t>
              </w:r>
            </w:hyperlink>
          </w:p>
        </w:tc>
      </w:tr>
      <w:tr w:rsidR="0046798B" w14:paraId="04590B3C" w14:textId="77777777">
        <w:trPr>
          <w:trHeight w:val="1187"/>
        </w:trPr>
        <w:tc>
          <w:tcPr>
            <w:tcW w:w="1711" w:type="dxa"/>
            <w:tcBorders>
              <w:top w:val="nil"/>
            </w:tcBorders>
          </w:tcPr>
          <w:p w14:paraId="08754CCD" w14:textId="77777777" w:rsidR="0046798B" w:rsidRDefault="0046798B">
            <w:pPr>
              <w:pStyle w:val="TableParagraph"/>
              <w:spacing w:before="7"/>
              <w:rPr>
                <w:sz w:val="19"/>
              </w:rPr>
            </w:pPr>
          </w:p>
          <w:p w14:paraId="1710166A" w14:textId="77777777" w:rsidR="0046798B" w:rsidRDefault="00903B5C">
            <w:pPr>
              <w:pStyle w:val="TableParagraph"/>
              <w:ind w:left="115"/>
              <w:rPr>
                <w:b/>
                <w:sz w:val="20"/>
              </w:rPr>
            </w:pPr>
            <w:r>
              <w:rPr>
                <w:b/>
                <w:sz w:val="20"/>
              </w:rPr>
              <w:t>audio_visual deposition</w:t>
            </w:r>
          </w:p>
        </w:tc>
        <w:tc>
          <w:tcPr>
            <w:tcW w:w="1596" w:type="dxa"/>
            <w:tcBorders>
              <w:top w:val="nil"/>
            </w:tcBorders>
          </w:tcPr>
          <w:p w14:paraId="5F388DFD" w14:textId="77777777" w:rsidR="0046798B" w:rsidRDefault="00903B5C">
            <w:pPr>
              <w:pStyle w:val="TableParagraph"/>
              <w:ind w:left="114" w:right="130"/>
              <w:rPr>
                <w:sz w:val="20"/>
              </w:rPr>
            </w:pPr>
            <w:r>
              <w:rPr>
                <w:sz w:val="20"/>
              </w:rPr>
              <w:t>Permit audio- visual means for taking depositions</w:t>
            </w:r>
          </w:p>
        </w:tc>
        <w:tc>
          <w:tcPr>
            <w:tcW w:w="1285" w:type="dxa"/>
            <w:tcBorders>
              <w:top w:val="nil"/>
            </w:tcBorders>
          </w:tcPr>
          <w:p w14:paraId="17AC0691" w14:textId="77777777" w:rsidR="0046798B" w:rsidRDefault="0046798B">
            <w:pPr>
              <w:pStyle w:val="TableParagraph"/>
              <w:spacing w:before="7"/>
              <w:rPr>
                <w:sz w:val="29"/>
              </w:rPr>
            </w:pPr>
          </w:p>
          <w:p w14:paraId="3D84B27B" w14:textId="77777777" w:rsidR="0046798B" w:rsidRDefault="00903B5C">
            <w:pPr>
              <w:pStyle w:val="TableParagraph"/>
              <w:ind w:left="114"/>
              <w:rPr>
                <w:sz w:val="20"/>
              </w:rPr>
            </w:pPr>
            <w:r>
              <w:rPr>
                <w:sz w:val="20"/>
              </w:rPr>
              <w:t>1980–1984</w:t>
            </w:r>
          </w:p>
        </w:tc>
        <w:tc>
          <w:tcPr>
            <w:tcW w:w="3421" w:type="dxa"/>
            <w:tcBorders>
              <w:top w:val="nil"/>
            </w:tcBorders>
          </w:tcPr>
          <w:p w14:paraId="26BFEF4D" w14:textId="77777777" w:rsidR="0046798B" w:rsidRDefault="0046798B">
            <w:pPr>
              <w:pStyle w:val="TableParagraph"/>
              <w:spacing w:before="7"/>
              <w:rPr>
                <w:sz w:val="19"/>
              </w:rPr>
            </w:pPr>
          </w:p>
          <w:p w14:paraId="2C4C35EA" w14:textId="77777777" w:rsidR="0046798B" w:rsidRDefault="00903B5C">
            <w:pPr>
              <w:pStyle w:val="TableParagraph"/>
              <w:ind w:left="114" w:right="1475"/>
              <w:rPr>
                <w:sz w:val="20"/>
              </w:rPr>
            </w:pPr>
            <w:r>
              <w:rPr>
                <w:sz w:val="20"/>
              </w:rPr>
              <w:t>0 = policy not adopted 1 = policy adopted</w:t>
            </w:r>
          </w:p>
        </w:tc>
        <w:tc>
          <w:tcPr>
            <w:tcW w:w="6482" w:type="dxa"/>
            <w:tcBorders>
              <w:top w:val="nil"/>
            </w:tcBorders>
          </w:tcPr>
          <w:p w14:paraId="02BD1CCA" w14:textId="77777777" w:rsidR="0046798B" w:rsidRDefault="0046798B">
            <w:pPr>
              <w:pStyle w:val="TableParagraph"/>
              <w:spacing w:before="7"/>
              <w:rPr>
                <w:sz w:val="19"/>
              </w:rPr>
            </w:pPr>
          </w:p>
          <w:p w14:paraId="2C062F80"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2A10C6FC" w14:textId="77777777">
        <w:trPr>
          <w:trHeight w:val="2160"/>
        </w:trPr>
        <w:tc>
          <w:tcPr>
            <w:tcW w:w="1711" w:type="dxa"/>
          </w:tcPr>
          <w:p w14:paraId="6710BD15" w14:textId="77777777" w:rsidR="0046798B" w:rsidRDefault="0046798B">
            <w:pPr>
              <w:pStyle w:val="TableParagraph"/>
            </w:pPr>
          </w:p>
          <w:p w14:paraId="0832C8FE" w14:textId="77777777" w:rsidR="0046798B" w:rsidRDefault="0046798B">
            <w:pPr>
              <w:pStyle w:val="TableParagraph"/>
            </w:pPr>
          </w:p>
          <w:p w14:paraId="1F555D24" w14:textId="77777777" w:rsidR="0046798B" w:rsidRDefault="0046798B">
            <w:pPr>
              <w:pStyle w:val="TableParagraph"/>
              <w:spacing w:before="9"/>
              <w:rPr>
                <w:sz w:val="29"/>
              </w:rPr>
            </w:pPr>
          </w:p>
          <w:p w14:paraId="28E2EFA4" w14:textId="77777777" w:rsidR="0046798B" w:rsidRDefault="00903B5C">
            <w:pPr>
              <w:pStyle w:val="TableParagraph"/>
              <w:ind w:left="115" w:right="166"/>
              <w:rPr>
                <w:b/>
                <w:sz w:val="20"/>
              </w:rPr>
            </w:pPr>
            <w:r>
              <w:rPr>
                <w:b/>
                <w:sz w:val="20"/>
              </w:rPr>
              <w:t>certification_of_ questions_of_la</w:t>
            </w:r>
          </w:p>
        </w:tc>
        <w:tc>
          <w:tcPr>
            <w:tcW w:w="1596" w:type="dxa"/>
          </w:tcPr>
          <w:p w14:paraId="25103DF2" w14:textId="77777777" w:rsidR="0046798B" w:rsidRDefault="00903B5C">
            <w:pPr>
              <w:pStyle w:val="TableParagraph"/>
              <w:spacing w:before="43"/>
              <w:ind w:left="114" w:right="135"/>
              <w:rPr>
                <w:sz w:val="20"/>
              </w:rPr>
            </w:pPr>
            <w:r>
              <w:rPr>
                <w:sz w:val="20"/>
              </w:rPr>
              <w:t>Empowers court to answer questions certified to it by a federal court, appellate, another state, or Canada and Mexico</w:t>
            </w:r>
          </w:p>
        </w:tc>
        <w:tc>
          <w:tcPr>
            <w:tcW w:w="1285" w:type="dxa"/>
          </w:tcPr>
          <w:p w14:paraId="7B253ECF" w14:textId="77777777" w:rsidR="0046798B" w:rsidRDefault="0046798B">
            <w:pPr>
              <w:pStyle w:val="TableParagraph"/>
            </w:pPr>
          </w:p>
          <w:p w14:paraId="5EE7797E" w14:textId="77777777" w:rsidR="0046798B" w:rsidRDefault="0046798B">
            <w:pPr>
              <w:pStyle w:val="TableParagraph"/>
            </w:pPr>
          </w:p>
          <w:p w14:paraId="712CBEFF" w14:textId="77777777" w:rsidR="0046798B" w:rsidRDefault="0046798B">
            <w:pPr>
              <w:pStyle w:val="TableParagraph"/>
            </w:pPr>
          </w:p>
          <w:p w14:paraId="5CA82FE0" w14:textId="77777777" w:rsidR="0046798B" w:rsidRDefault="0046798B">
            <w:pPr>
              <w:pStyle w:val="TableParagraph"/>
              <w:spacing w:before="9"/>
              <w:rPr>
                <w:sz w:val="17"/>
              </w:rPr>
            </w:pPr>
          </w:p>
          <w:p w14:paraId="3B418C4D" w14:textId="77777777" w:rsidR="0046798B" w:rsidRDefault="00903B5C">
            <w:pPr>
              <w:pStyle w:val="TableParagraph"/>
              <w:ind w:left="114"/>
              <w:rPr>
                <w:sz w:val="20"/>
              </w:rPr>
            </w:pPr>
            <w:r>
              <w:rPr>
                <w:sz w:val="20"/>
              </w:rPr>
              <w:t>1970–1993</w:t>
            </w:r>
          </w:p>
        </w:tc>
        <w:tc>
          <w:tcPr>
            <w:tcW w:w="3421" w:type="dxa"/>
          </w:tcPr>
          <w:p w14:paraId="5CB03D56" w14:textId="77777777" w:rsidR="0046798B" w:rsidRDefault="0046798B">
            <w:pPr>
              <w:pStyle w:val="TableParagraph"/>
            </w:pPr>
          </w:p>
          <w:p w14:paraId="702E0480" w14:textId="77777777" w:rsidR="0046798B" w:rsidRDefault="0046798B">
            <w:pPr>
              <w:pStyle w:val="TableParagraph"/>
            </w:pPr>
          </w:p>
          <w:p w14:paraId="306F90CC" w14:textId="77777777" w:rsidR="0046798B" w:rsidRDefault="0046798B">
            <w:pPr>
              <w:pStyle w:val="TableParagraph"/>
              <w:spacing w:before="9"/>
              <w:rPr>
                <w:sz w:val="29"/>
              </w:rPr>
            </w:pPr>
          </w:p>
          <w:p w14:paraId="4312A3F9" w14:textId="77777777" w:rsidR="0046798B" w:rsidRDefault="00903B5C">
            <w:pPr>
              <w:pStyle w:val="TableParagraph"/>
              <w:ind w:left="114" w:right="1475"/>
              <w:rPr>
                <w:sz w:val="20"/>
              </w:rPr>
            </w:pPr>
            <w:r>
              <w:rPr>
                <w:sz w:val="20"/>
              </w:rPr>
              <w:t>0 = policy not adopted 1 = policy adopted</w:t>
            </w:r>
          </w:p>
        </w:tc>
        <w:tc>
          <w:tcPr>
            <w:tcW w:w="6482" w:type="dxa"/>
          </w:tcPr>
          <w:p w14:paraId="3D295455" w14:textId="77777777" w:rsidR="0046798B" w:rsidRDefault="0046798B">
            <w:pPr>
              <w:pStyle w:val="TableParagraph"/>
            </w:pPr>
          </w:p>
          <w:p w14:paraId="759528A7" w14:textId="77777777" w:rsidR="0046798B" w:rsidRDefault="00903B5C">
            <w:pPr>
              <w:pStyle w:val="TableParagraph"/>
              <w:spacing w:before="135"/>
              <w:ind w:left="114"/>
              <w:rPr>
                <w:sz w:val="20"/>
              </w:rPr>
            </w:pPr>
            <w:r>
              <w:rPr>
                <w:sz w:val="20"/>
              </w:rPr>
              <w:t xml:space="preserve">Uniform Law Commission website: </w:t>
            </w:r>
            <w:hyperlink r:id="rId701">
              <w:r>
                <w:rPr>
                  <w:color w:val="0462C1"/>
                  <w:sz w:val="20"/>
                  <w:u w:val="single" w:color="0462C1"/>
                </w:rPr>
                <w:t>http://www.uniformlaws.org/</w:t>
              </w:r>
            </w:hyperlink>
          </w:p>
          <w:p w14:paraId="76457E75" w14:textId="77777777" w:rsidR="0046798B" w:rsidRDefault="0046798B">
            <w:pPr>
              <w:pStyle w:val="TableParagraph"/>
              <w:rPr>
                <w:sz w:val="20"/>
              </w:rPr>
            </w:pPr>
          </w:p>
          <w:p w14:paraId="63114F01"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5078F11A" w14:textId="77777777">
        <w:trPr>
          <w:trHeight w:val="272"/>
        </w:trPr>
        <w:tc>
          <w:tcPr>
            <w:tcW w:w="1711" w:type="dxa"/>
            <w:tcBorders>
              <w:bottom w:val="nil"/>
            </w:tcBorders>
          </w:tcPr>
          <w:p w14:paraId="60AE816B" w14:textId="77777777" w:rsidR="0046798B" w:rsidRDefault="0046798B">
            <w:pPr>
              <w:pStyle w:val="TableParagraph"/>
              <w:rPr>
                <w:sz w:val="20"/>
              </w:rPr>
            </w:pPr>
          </w:p>
        </w:tc>
        <w:tc>
          <w:tcPr>
            <w:tcW w:w="1596" w:type="dxa"/>
            <w:tcBorders>
              <w:bottom w:val="nil"/>
            </w:tcBorders>
          </w:tcPr>
          <w:p w14:paraId="21A7D7D7" w14:textId="77777777" w:rsidR="0046798B" w:rsidRDefault="0046798B">
            <w:pPr>
              <w:pStyle w:val="TableParagraph"/>
              <w:rPr>
                <w:sz w:val="20"/>
              </w:rPr>
            </w:pPr>
          </w:p>
        </w:tc>
        <w:tc>
          <w:tcPr>
            <w:tcW w:w="1285" w:type="dxa"/>
            <w:tcBorders>
              <w:bottom w:val="nil"/>
            </w:tcBorders>
          </w:tcPr>
          <w:p w14:paraId="3F101125" w14:textId="77777777" w:rsidR="0046798B" w:rsidRDefault="0046798B">
            <w:pPr>
              <w:pStyle w:val="TableParagraph"/>
              <w:rPr>
                <w:sz w:val="20"/>
              </w:rPr>
            </w:pPr>
          </w:p>
        </w:tc>
        <w:tc>
          <w:tcPr>
            <w:tcW w:w="3421" w:type="dxa"/>
            <w:tcBorders>
              <w:bottom w:val="nil"/>
            </w:tcBorders>
          </w:tcPr>
          <w:p w14:paraId="666EA190" w14:textId="77777777" w:rsidR="0046798B" w:rsidRDefault="0046798B">
            <w:pPr>
              <w:pStyle w:val="TableParagraph"/>
              <w:rPr>
                <w:sz w:val="20"/>
              </w:rPr>
            </w:pPr>
          </w:p>
        </w:tc>
        <w:tc>
          <w:tcPr>
            <w:tcW w:w="6482" w:type="dxa"/>
            <w:tcBorders>
              <w:bottom w:val="nil"/>
            </w:tcBorders>
          </w:tcPr>
          <w:p w14:paraId="3D390B72" w14:textId="77777777" w:rsidR="0046798B" w:rsidRDefault="00903B5C">
            <w:pPr>
              <w:pStyle w:val="TableParagraph"/>
              <w:spacing w:before="38" w:line="214" w:lineRule="exact"/>
              <w:ind w:left="114"/>
              <w:rPr>
                <w:sz w:val="20"/>
              </w:rPr>
            </w:pPr>
            <w:r>
              <w:rPr>
                <w:sz w:val="20"/>
              </w:rPr>
              <w:t xml:space="preserve">Uniform Law Commission website: </w:t>
            </w:r>
            <w:hyperlink r:id="rId702">
              <w:r>
                <w:rPr>
                  <w:color w:val="0462C1"/>
                  <w:sz w:val="20"/>
                  <w:u w:val="single" w:color="0462C1"/>
                </w:rPr>
                <w:t>http://www.uniformlaws.org/</w:t>
              </w:r>
            </w:hyperlink>
          </w:p>
        </w:tc>
      </w:tr>
      <w:tr w:rsidR="0046798B" w14:paraId="679ECC99" w14:textId="77777777">
        <w:trPr>
          <w:trHeight w:val="1193"/>
        </w:trPr>
        <w:tc>
          <w:tcPr>
            <w:tcW w:w="1711" w:type="dxa"/>
            <w:tcBorders>
              <w:top w:val="nil"/>
            </w:tcBorders>
          </w:tcPr>
          <w:p w14:paraId="4AC6405F" w14:textId="77777777" w:rsidR="0046798B" w:rsidRDefault="0046798B">
            <w:pPr>
              <w:pStyle w:val="TableParagraph"/>
              <w:spacing w:before="7"/>
              <w:rPr>
                <w:sz w:val="19"/>
              </w:rPr>
            </w:pPr>
          </w:p>
          <w:p w14:paraId="32A052C1" w14:textId="77777777" w:rsidR="0046798B" w:rsidRDefault="00903B5C">
            <w:pPr>
              <w:pStyle w:val="TableParagraph"/>
              <w:ind w:left="115"/>
              <w:rPr>
                <w:b/>
                <w:sz w:val="20"/>
              </w:rPr>
            </w:pPr>
            <w:r>
              <w:rPr>
                <w:b/>
                <w:sz w:val="20"/>
              </w:rPr>
              <w:t>child_abduction_ prevention</w:t>
            </w:r>
          </w:p>
        </w:tc>
        <w:tc>
          <w:tcPr>
            <w:tcW w:w="1596" w:type="dxa"/>
            <w:tcBorders>
              <w:top w:val="nil"/>
            </w:tcBorders>
          </w:tcPr>
          <w:p w14:paraId="4B939293" w14:textId="77777777" w:rsidR="0046798B" w:rsidRDefault="00903B5C">
            <w:pPr>
              <w:pStyle w:val="TableParagraph"/>
              <w:ind w:left="114" w:right="257"/>
              <w:rPr>
                <w:sz w:val="20"/>
              </w:rPr>
            </w:pPr>
            <w:r>
              <w:rPr>
                <w:sz w:val="20"/>
              </w:rPr>
              <w:t>Provides states with tools to prevent child abduction</w:t>
            </w:r>
          </w:p>
        </w:tc>
        <w:tc>
          <w:tcPr>
            <w:tcW w:w="1285" w:type="dxa"/>
            <w:tcBorders>
              <w:top w:val="nil"/>
            </w:tcBorders>
          </w:tcPr>
          <w:p w14:paraId="776AF0C8" w14:textId="77777777" w:rsidR="0046798B" w:rsidRDefault="0046798B">
            <w:pPr>
              <w:pStyle w:val="TableParagraph"/>
              <w:spacing w:before="7"/>
              <w:rPr>
                <w:sz w:val="29"/>
              </w:rPr>
            </w:pPr>
          </w:p>
          <w:p w14:paraId="5CA431A0" w14:textId="77777777" w:rsidR="0046798B" w:rsidRDefault="00903B5C">
            <w:pPr>
              <w:pStyle w:val="TableParagraph"/>
              <w:spacing w:before="1"/>
              <w:ind w:left="114"/>
              <w:rPr>
                <w:sz w:val="20"/>
              </w:rPr>
            </w:pPr>
            <w:r>
              <w:rPr>
                <w:sz w:val="20"/>
              </w:rPr>
              <w:t>2007–2015</w:t>
            </w:r>
          </w:p>
        </w:tc>
        <w:tc>
          <w:tcPr>
            <w:tcW w:w="3421" w:type="dxa"/>
            <w:tcBorders>
              <w:top w:val="nil"/>
            </w:tcBorders>
          </w:tcPr>
          <w:p w14:paraId="2210A277" w14:textId="77777777" w:rsidR="0046798B" w:rsidRDefault="0046798B">
            <w:pPr>
              <w:pStyle w:val="TableParagraph"/>
              <w:spacing w:before="7"/>
              <w:rPr>
                <w:sz w:val="19"/>
              </w:rPr>
            </w:pPr>
          </w:p>
          <w:p w14:paraId="733572D0" w14:textId="77777777" w:rsidR="0046798B" w:rsidRDefault="00903B5C">
            <w:pPr>
              <w:pStyle w:val="TableParagraph"/>
              <w:ind w:left="114" w:right="1475"/>
              <w:rPr>
                <w:sz w:val="20"/>
              </w:rPr>
            </w:pPr>
            <w:r>
              <w:rPr>
                <w:sz w:val="20"/>
              </w:rPr>
              <w:t>0 = policy not adopted 1 = policy adopted</w:t>
            </w:r>
          </w:p>
        </w:tc>
        <w:tc>
          <w:tcPr>
            <w:tcW w:w="6482" w:type="dxa"/>
            <w:tcBorders>
              <w:top w:val="nil"/>
            </w:tcBorders>
          </w:tcPr>
          <w:p w14:paraId="64828F9E" w14:textId="77777777" w:rsidR="0046798B" w:rsidRDefault="0046798B">
            <w:pPr>
              <w:pStyle w:val="TableParagraph"/>
              <w:spacing w:before="7"/>
              <w:rPr>
                <w:sz w:val="19"/>
              </w:rPr>
            </w:pPr>
          </w:p>
          <w:p w14:paraId="7FCC9C8D"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CBA630B" w14:textId="77777777">
        <w:trPr>
          <w:trHeight w:val="1465"/>
        </w:trPr>
        <w:tc>
          <w:tcPr>
            <w:tcW w:w="1711" w:type="dxa"/>
          </w:tcPr>
          <w:p w14:paraId="521C01B1" w14:textId="77777777" w:rsidR="0046798B" w:rsidRDefault="0046798B">
            <w:pPr>
              <w:pStyle w:val="TableParagraph"/>
            </w:pPr>
          </w:p>
          <w:p w14:paraId="1779C3A9" w14:textId="77777777" w:rsidR="0046798B" w:rsidRDefault="0046798B">
            <w:pPr>
              <w:pStyle w:val="TableParagraph"/>
              <w:spacing w:before="4"/>
              <w:rPr>
                <w:sz w:val="21"/>
              </w:rPr>
            </w:pPr>
          </w:p>
          <w:p w14:paraId="3553F480" w14:textId="77777777" w:rsidR="0046798B" w:rsidRDefault="00903B5C">
            <w:pPr>
              <w:pStyle w:val="TableParagraph"/>
              <w:ind w:left="115"/>
              <w:rPr>
                <w:b/>
                <w:sz w:val="20"/>
              </w:rPr>
            </w:pPr>
            <w:r>
              <w:rPr>
                <w:b/>
                <w:sz w:val="20"/>
              </w:rPr>
              <w:t>child_custody_ju risdiction_and_e</w:t>
            </w:r>
          </w:p>
        </w:tc>
        <w:tc>
          <w:tcPr>
            <w:tcW w:w="1596" w:type="dxa"/>
          </w:tcPr>
          <w:p w14:paraId="70D79EA0" w14:textId="77777777" w:rsidR="0046798B" w:rsidRDefault="0046798B">
            <w:pPr>
              <w:pStyle w:val="TableParagraph"/>
            </w:pPr>
          </w:p>
          <w:p w14:paraId="1AED4EF2" w14:textId="77777777" w:rsidR="0046798B" w:rsidRDefault="0046798B">
            <w:pPr>
              <w:pStyle w:val="TableParagraph"/>
              <w:spacing w:before="4"/>
              <w:rPr>
                <w:sz w:val="21"/>
              </w:rPr>
            </w:pPr>
          </w:p>
          <w:p w14:paraId="1CFA6645" w14:textId="77777777" w:rsidR="0046798B" w:rsidRDefault="00903B5C">
            <w:pPr>
              <w:pStyle w:val="TableParagraph"/>
              <w:ind w:left="114" w:right="124"/>
              <w:rPr>
                <w:sz w:val="20"/>
              </w:rPr>
            </w:pPr>
            <w:r>
              <w:rPr>
                <w:sz w:val="20"/>
              </w:rPr>
              <w:t>Regulating child custody laws</w:t>
            </w:r>
          </w:p>
        </w:tc>
        <w:tc>
          <w:tcPr>
            <w:tcW w:w="1285" w:type="dxa"/>
          </w:tcPr>
          <w:p w14:paraId="4D321C10" w14:textId="77777777" w:rsidR="0046798B" w:rsidRDefault="0046798B">
            <w:pPr>
              <w:pStyle w:val="TableParagraph"/>
            </w:pPr>
          </w:p>
          <w:p w14:paraId="166B7818" w14:textId="77777777" w:rsidR="0046798B" w:rsidRDefault="0046798B">
            <w:pPr>
              <w:pStyle w:val="TableParagraph"/>
              <w:spacing w:before="4"/>
              <w:rPr>
                <w:sz w:val="31"/>
              </w:rPr>
            </w:pPr>
          </w:p>
          <w:p w14:paraId="33EAE1DF" w14:textId="77777777" w:rsidR="0046798B" w:rsidRDefault="00903B5C">
            <w:pPr>
              <w:pStyle w:val="TableParagraph"/>
              <w:ind w:left="114"/>
              <w:rPr>
                <w:sz w:val="20"/>
              </w:rPr>
            </w:pPr>
            <w:r>
              <w:rPr>
                <w:sz w:val="20"/>
              </w:rPr>
              <w:t>1970–2002</w:t>
            </w:r>
          </w:p>
        </w:tc>
        <w:tc>
          <w:tcPr>
            <w:tcW w:w="3421" w:type="dxa"/>
          </w:tcPr>
          <w:p w14:paraId="54E807D8" w14:textId="77777777" w:rsidR="0046798B" w:rsidRDefault="0046798B">
            <w:pPr>
              <w:pStyle w:val="TableParagraph"/>
            </w:pPr>
          </w:p>
          <w:p w14:paraId="6481CF85" w14:textId="77777777" w:rsidR="0046798B" w:rsidRDefault="0046798B">
            <w:pPr>
              <w:pStyle w:val="TableParagraph"/>
              <w:spacing w:before="4"/>
              <w:rPr>
                <w:sz w:val="21"/>
              </w:rPr>
            </w:pPr>
          </w:p>
          <w:p w14:paraId="63030A4A" w14:textId="77777777" w:rsidR="0046798B" w:rsidRDefault="00903B5C">
            <w:pPr>
              <w:pStyle w:val="TableParagraph"/>
              <w:ind w:left="114" w:right="1475"/>
              <w:rPr>
                <w:sz w:val="20"/>
              </w:rPr>
            </w:pPr>
            <w:r>
              <w:rPr>
                <w:sz w:val="20"/>
              </w:rPr>
              <w:t>0 = policy not adopted 1 = policy adopted</w:t>
            </w:r>
          </w:p>
        </w:tc>
        <w:tc>
          <w:tcPr>
            <w:tcW w:w="6482" w:type="dxa"/>
          </w:tcPr>
          <w:p w14:paraId="06AEA515" w14:textId="77777777" w:rsidR="0046798B" w:rsidRDefault="00903B5C">
            <w:pPr>
              <w:pStyle w:val="TableParagraph"/>
              <w:spacing w:before="38"/>
              <w:ind w:left="114"/>
              <w:rPr>
                <w:sz w:val="20"/>
              </w:rPr>
            </w:pPr>
            <w:r>
              <w:rPr>
                <w:sz w:val="20"/>
              </w:rPr>
              <w:t xml:space="preserve">Uniform Law Commission website: </w:t>
            </w:r>
            <w:hyperlink r:id="rId703">
              <w:r>
                <w:rPr>
                  <w:color w:val="0462C1"/>
                  <w:sz w:val="20"/>
                  <w:u w:val="single" w:color="0462C1"/>
                </w:rPr>
                <w:t>http://www.uniformlaws.org/</w:t>
              </w:r>
            </w:hyperlink>
          </w:p>
          <w:p w14:paraId="74FFD531" w14:textId="77777777" w:rsidR="0046798B" w:rsidRDefault="0046798B">
            <w:pPr>
              <w:pStyle w:val="TableParagraph"/>
              <w:rPr>
                <w:sz w:val="20"/>
              </w:rPr>
            </w:pPr>
          </w:p>
          <w:p w14:paraId="15A2AC58"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bl>
    <w:p w14:paraId="357663E1" w14:textId="77777777" w:rsidR="0046798B" w:rsidRDefault="0046798B">
      <w:pPr>
        <w:rPr>
          <w:sz w:val="20"/>
        </w:rPr>
        <w:sectPr w:rsidR="0046798B">
          <w:pgSz w:w="15840" w:h="12240" w:orient="landscape"/>
          <w:pgMar w:top="1220" w:right="300" w:bottom="980" w:left="820" w:header="730" w:footer="787" w:gutter="0"/>
          <w:cols w:space="720"/>
        </w:sectPr>
      </w:pPr>
    </w:p>
    <w:p w14:paraId="19E28223"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7D5C4A8E" w14:textId="77777777">
        <w:trPr>
          <w:trHeight w:val="1465"/>
        </w:trPr>
        <w:tc>
          <w:tcPr>
            <w:tcW w:w="1711" w:type="dxa"/>
          </w:tcPr>
          <w:p w14:paraId="21A73290" w14:textId="77777777" w:rsidR="0046798B" w:rsidRDefault="0046798B">
            <w:pPr>
              <w:pStyle w:val="TableParagraph"/>
            </w:pPr>
          </w:p>
          <w:p w14:paraId="264B7A7B" w14:textId="77777777" w:rsidR="0046798B" w:rsidRDefault="0046798B">
            <w:pPr>
              <w:pStyle w:val="TableParagraph"/>
              <w:spacing w:before="9"/>
              <w:rPr>
                <w:sz w:val="21"/>
              </w:rPr>
            </w:pPr>
          </w:p>
          <w:p w14:paraId="38A6950E" w14:textId="77777777" w:rsidR="0046798B" w:rsidRDefault="00903B5C">
            <w:pPr>
              <w:pStyle w:val="TableParagraph"/>
              <w:ind w:left="115" w:right="88"/>
              <w:rPr>
                <w:b/>
                <w:sz w:val="20"/>
              </w:rPr>
            </w:pPr>
            <w:r>
              <w:rPr>
                <w:b/>
                <w:sz w:val="20"/>
              </w:rPr>
              <w:t>child_witness_tes timony_by_alter</w:t>
            </w:r>
          </w:p>
        </w:tc>
        <w:tc>
          <w:tcPr>
            <w:tcW w:w="1596" w:type="dxa"/>
          </w:tcPr>
          <w:p w14:paraId="69B101CA" w14:textId="77777777" w:rsidR="0046798B" w:rsidRDefault="00903B5C">
            <w:pPr>
              <w:pStyle w:val="TableParagraph"/>
              <w:spacing w:before="43"/>
              <w:ind w:left="114" w:right="168"/>
              <w:rPr>
                <w:sz w:val="20"/>
              </w:rPr>
            </w:pPr>
            <w:r>
              <w:rPr>
                <w:sz w:val="20"/>
              </w:rPr>
              <w:t>Allows children witnesses to provide testimony by alternate methods</w:t>
            </w:r>
          </w:p>
        </w:tc>
        <w:tc>
          <w:tcPr>
            <w:tcW w:w="1285" w:type="dxa"/>
          </w:tcPr>
          <w:p w14:paraId="469E9C11" w14:textId="77777777" w:rsidR="0046798B" w:rsidRDefault="0046798B">
            <w:pPr>
              <w:pStyle w:val="TableParagraph"/>
            </w:pPr>
          </w:p>
          <w:p w14:paraId="4DD6116A" w14:textId="77777777" w:rsidR="0046798B" w:rsidRDefault="0046798B">
            <w:pPr>
              <w:pStyle w:val="TableParagraph"/>
              <w:spacing w:before="9"/>
              <w:rPr>
                <w:sz w:val="31"/>
              </w:rPr>
            </w:pPr>
          </w:p>
          <w:p w14:paraId="2866F629" w14:textId="77777777" w:rsidR="0046798B" w:rsidRDefault="00903B5C">
            <w:pPr>
              <w:pStyle w:val="TableParagraph"/>
              <w:ind w:left="114"/>
              <w:rPr>
                <w:sz w:val="20"/>
              </w:rPr>
            </w:pPr>
            <w:r>
              <w:rPr>
                <w:sz w:val="20"/>
              </w:rPr>
              <w:t>2003–2011</w:t>
            </w:r>
          </w:p>
        </w:tc>
        <w:tc>
          <w:tcPr>
            <w:tcW w:w="3421" w:type="dxa"/>
          </w:tcPr>
          <w:p w14:paraId="10FE56E4" w14:textId="77777777" w:rsidR="0046798B" w:rsidRDefault="0046798B">
            <w:pPr>
              <w:pStyle w:val="TableParagraph"/>
            </w:pPr>
          </w:p>
          <w:p w14:paraId="0858340F" w14:textId="77777777" w:rsidR="0046798B" w:rsidRDefault="0046798B">
            <w:pPr>
              <w:pStyle w:val="TableParagraph"/>
              <w:spacing w:before="9"/>
              <w:rPr>
                <w:sz w:val="21"/>
              </w:rPr>
            </w:pPr>
          </w:p>
          <w:p w14:paraId="3AD1E503" w14:textId="77777777" w:rsidR="0046798B" w:rsidRDefault="00903B5C">
            <w:pPr>
              <w:pStyle w:val="TableParagraph"/>
              <w:ind w:left="114" w:right="1475"/>
              <w:rPr>
                <w:sz w:val="20"/>
              </w:rPr>
            </w:pPr>
            <w:r>
              <w:rPr>
                <w:sz w:val="20"/>
              </w:rPr>
              <w:t>0 = policy not adopted 1 = policy adopted</w:t>
            </w:r>
          </w:p>
        </w:tc>
        <w:tc>
          <w:tcPr>
            <w:tcW w:w="6482" w:type="dxa"/>
          </w:tcPr>
          <w:p w14:paraId="214B7B75" w14:textId="77777777" w:rsidR="0046798B" w:rsidRDefault="00903B5C">
            <w:pPr>
              <w:pStyle w:val="TableParagraph"/>
              <w:spacing w:before="43"/>
              <w:ind w:left="114"/>
              <w:rPr>
                <w:sz w:val="20"/>
              </w:rPr>
            </w:pPr>
            <w:r>
              <w:rPr>
                <w:sz w:val="20"/>
              </w:rPr>
              <w:t xml:space="preserve">Uniform Law Commission website: </w:t>
            </w:r>
            <w:hyperlink r:id="rId704">
              <w:r>
                <w:rPr>
                  <w:color w:val="0462C1"/>
                  <w:sz w:val="20"/>
                  <w:u w:val="single" w:color="0462C1"/>
                </w:rPr>
                <w:t>http://www.uniformlaws.org/</w:t>
              </w:r>
            </w:hyperlink>
          </w:p>
          <w:p w14:paraId="67CC0966" w14:textId="77777777" w:rsidR="0046798B" w:rsidRDefault="0046798B">
            <w:pPr>
              <w:pStyle w:val="TableParagraph"/>
              <w:rPr>
                <w:sz w:val="20"/>
              </w:rPr>
            </w:pPr>
          </w:p>
          <w:p w14:paraId="19917C5A"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2E6AA797" w14:textId="77777777">
        <w:trPr>
          <w:trHeight w:val="1696"/>
        </w:trPr>
        <w:tc>
          <w:tcPr>
            <w:tcW w:w="1711" w:type="dxa"/>
          </w:tcPr>
          <w:p w14:paraId="58A51CD3" w14:textId="77777777" w:rsidR="0046798B" w:rsidRDefault="0046798B">
            <w:pPr>
              <w:pStyle w:val="TableParagraph"/>
              <w:rPr>
                <w:sz w:val="24"/>
              </w:rPr>
            </w:pPr>
          </w:p>
          <w:p w14:paraId="514FB294" w14:textId="77777777" w:rsidR="0046798B" w:rsidRDefault="0046798B">
            <w:pPr>
              <w:pStyle w:val="TableParagraph"/>
              <w:rPr>
                <w:sz w:val="24"/>
              </w:rPr>
            </w:pPr>
          </w:p>
          <w:p w14:paraId="7982AF21" w14:textId="77777777" w:rsidR="0046798B" w:rsidRDefault="00903B5C">
            <w:pPr>
              <w:pStyle w:val="TableParagraph"/>
              <w:spacing w:before="168"/>
              <w:ind w:left="115"/>
              <w:rPr>
                <w:b/>
              </w:rPr>
            </w:pPr>
            <w:r>
              <w:rPr>
                <w:b/>
              </w:rPr>
              <w:t>class_actions</w:t>
            </w:r>
          </w:p>
        </w:tc>
        <w:tc>
          <w:tcPr>
            <w:tcW w:w="1596" w:type="dxa"/>
          </w:tcPr>
          <w:p w14:paraId="25857D40" w14:textId="77777777" w:rsidR="0046798B" w:rsidRDefault="00903B5C">
            <w:pPr>
              <w:pStyle w:val="TableParagraph"/>
              <w:spacing w:before="44"/>
              <w:ind w:left="114" w:right="369"/>
              <w:rPr>
                <w:sz w:val="20"/>
              </w:rPr>
            </w:pPr>
            <w:r>
              <w:rPr>
                <w:sz w:val="20"/>
              </w:rPr>
              <w:t>Provides complete procedures to govern the conduct of a class action lawsuit</w:t>
            </w:r>
          </w:p>
        </w:tc>
        <w:tc>
          <w:tcPr>
            <w:tcW w:w="1285" w:type="dxa"/>
          </w:tcPr>
          <w:p w14:paraId="0D22C842" w14:textId="77777777" w:rsidR="0046798B" w:rsidRDefault="0046798B">
            <w:pPr>
              <w:pStyle w:val="TableParagraph"/>
            </w:pPr>
          </w:p>
          <w:p w14:paraId="0A6954CF" w14:textId="77777777" w:rsidR="0046798B" w:rsidRDefault="0046798B">
            <w:pPr>
              <w:pStyle w:val="TableParagraph"/>
            </w:pPr>
          </w:p>
          <w:p w14:paraId="05E751F5" w14:textId="77777777" w:rsidR="0046798B" w:rsidRDefault="0046798B">
            <w:pPr>
              <w:pStyle w:val="TableParagraph"/>
              <w:spacing w:before="9"/>
              <w:rPr>
                <w:sz w:val="19"/>
              </w:rPr>
            </w:pPr>
          </w:p>
          <w:p w14:paraId="163FE5CB" w14:textId="77777777" w:rsidR="0046798B" w:rsidRDefault="00903B5C">
            <w:pPr>
              <w:pStyle w:val="TableParagraph"/>
              <w:ind w:left="114"/>
              <w:rPr>
                <w:sz w:val="20"/>
              </w:rPr>
            </w:pPr>
            <w:r>
              <w:rPr>
                <w:sz w:val="20"/>
              </w:rPr>
              <w:t>1977–1980</w:t>
            </w:r>
          </w:p>
        </w:tc>
        <w:tc>
          <w:tcPr>
            <w:tcW w:w="3421" w:type="dxa"/>
          </w:tcPr>
          <w:p w14:paraId="2C5F62A8" w14:textId="77777777" w:rsidR="0046798B" w:rsidRDefault="0046798B">
            <w:pPr>
              <w:pStyle w:val="TableParagraph"/>
            </w:pPr>
          </w:p>
          <w:p w14:paraId="62588C90" w14:textId="77777777" w:rsidR="0046798B" w:rsidRDefault="0046798B">
            <w:pPr>
              <w:pStyle w:val="TableParagraph"/>
              <w:spacing w:before="9"/>
              <w:rPr>
                <w:sz w:val="31"/>
              </w:rPr>
            </w:pPr>
          </w:p>
          <w:p w14:paraId="7A155FBA" w14:textId="77777777" w:rsidR="0046798B" w:rsidRDefault="00903B5C">
            <w:pPr>
              <w:pStyle w:val="TableParagraph"/>
              <w:ind w:left="114" w:right="1475"/>
              <w:rPr>
                <w:sz w:val="20"/>
              </w:rPr>
            </w:pPr>
            <w:r>
              <w:rPr>
                <w:sz w:val="20"/>
              </w:rPr>
              <w:t>0 = policy not adopted 1 = policy adopted</w:t>
            </w:r>
          </w:p>
        </w:tc>
        <w:tc>
          <w:tcPr>
            <w:tcW w:w="6482" w:type="dxa"/>
          </w:tcPr>
          <w:p w14:paraId="21066699" w14:textId="77777777" w:rsidR="0046798B" w:rsidRDefault="00903B5C">
            <w:pPr>
              <w:pStyle w:val="TableParagraph"/>
              <w:spacing w:before="159"/>
              <w:ind w:left="114"/>
              <w:rPr>
                <w:sz w:val="20"/>
              </w:rPr>
            </w:pPr>
            <w:r>
              <w:rPr>
                <w:sz w:val="20"/>
              </w:rPr>
              <w:t xml:space="preserve">Uniform Law Commission website: </w:t>
            </w:r>
            <w:hyperlink r:id="rId705">
              <w:r>
                <w:rPr>
                  <w:color w:val="0462C1"/>
                  <w:sz w:val="20"/>
                  <w:u w:val="single" w:color="0462C1"/>
                </w:rPr>
                <w:t>http://www.uniformlaws.org/</w:t>
              </w:r>
            </w:hyperlink>
          </w:p>
          <w:p w14:paraId="0D9AB129" w14:textId="77777777" w:rsidR="0046798B" w:rsidRDefault="0046798B">
            <w:pPr>
              <w:pStyle w:val="TableParagraph"/>
              <w:spacing w:before="11"/>
              <w:rPr>
                <w:sz w:val="19"/>
              </w:rPr>
            </w:pPr>
          </w:p>
          <w:p w14:paraId="028B2081"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6CE00846" w14:textId="77777777">
        <w:trPr>
          <w:trHeight w:val="1700"/>
        </w:trPr>
        <w:tc>
          <w:tcPr>
            <w:tcW w:w="1711" w:type="dxa"/>
          </w:tcPr>
          <w:p w14:paraId="4CAC2493" w14:textId="77777777" w:rsidR="0046798B" w:rsidRDefault="0046798B">
            <w:pPr>
              <w:pStyle w:val="TableParagraph"/>
            </w:pPr>
          </w:p>
          <w:p w14:paraId="0303E848" w14:textId="77777777" w:rsidR="0046798B" w:rsidRDefault="0046798B">
            <w:pPr>
              <w:pStyle w:val="TableParagraph"/>
              <w:spacing w:before="8"/>
              <w:rPr>
                <w:sz w:val="31"/>
              </w:rPr>
            </w:pPr>
          </w:p>
          <w:p w14:paraId="47F2D392" w14:textId="77777777" w:rsidR="0046798B" w:rsidRDefault="00903B5C">
            <w:pPr>
              <w:pStyle w:val="TableParagraph"/>
              <w:spacing w:before="1"/>
              <w:ind w:left="115" w:right="199"/>
              <w:rPr>
                <w:b/>
                <w:sz w:val="20"/>
              </w:rPr>
            </w:pPr>
            <w:r>
              <w:rPr>
                <w:b/>
                <w:sz w:val="20"/>
              </w:rPr>
              <w:t>collaborative_la w_act</w:t>
            </w:r>
          </w:p>
        </w:tc>
        <w:tc>
          <w:tcPr>
            <w:tcW w:w="1596" w:type="dxa"/>
          </w:tcPr>
          <w:p w14:paraId="49AB5179" w14:textId="77777777" w:rsidR="0046798B" w:rsidRDefault="00903B5C">
            <w:pPr>
              <w:pStyle w:val="TableParagraph"/>
              <w:spacing w:before="43"/>
              <w:ind w:left="114" w:right="319"/>
              <w:rPr>
                <w:sz w:val="20"/>
              </w:rPr>
            </w:pPr>
            <w:r>
              <w:rPr>
                <w:sz w:val="20"/>
              </w:rPr>
              <w:t>Regulates the use of collaborative law, a form of alternative dispute resolution</w:t>
            </w:r>
          </w:p>
        </w:tc>
        <w:tc>
          <w:tcPr>
            <w:tcW w:w="1285" w:type="dxa"/>
          </w:tcPr>
          <w:p w14:paraId="4C6159BC" w14:textId="77777777" w:rsidR="0046798B" w:rsidRDefault="0046798B">
            <w:pPr>
              <w:pStyle w:val="TableParagraph"/>
            </w:pPr>
          </w:p>
          <w:p w14:paraId="4DBC65C6" w14:textId="77777777" w:rsidR="0046798B" w:rsidRDefault="0046798B">
            <w:pPr>
              <w:pStyle w:val="TableParagraph"/>
            </w:pPr>
          </w:p>
          <w:p w14:paraId="4F994D06" w14:textId="77777777" w:rsidR="0046798B" w:rsidRDefault="0046798B">
            <w:pPr>
              <w:pStyle w:val="TableParagraph"/>
              <w:spacing w:before="9"/>
              <w:rPr>
                <w:sz w:val="19"/>
              </w:rPr>
            </w:pPr>
          </w:p>
          <w:p w14:paraId="472CAED4" w14:textId="77777777" w:rsidR="0046798B" w:rsidRDefault="00903B5C">
            <w:pPr>
              <w:pStyle w:val="TableParagraph"/>
              <w:ind w:left="114"/>
              <w:rPr>
                <w:sz w:val="20"/>
              </w:rPr>
            </w:pPr>
            <w:r>
              <w:rPr>
                <w:sz w:val="20"/>
              </w:rPr>
              <w:t>2010–2017</w:t>
            </w:r>
          </w:p>
        </w:tc>
        <w:tc>
          <w:tcPr>
            <w:tcW w:w="3421" w:type="dxa"/>
          </w:tcPr>
          <w:p w14:paraId="183BD814" w14:textId="77777777" w:rsidR="0046798B" w:rsidRDefault="0046798B">
            <w:pPr>
              <w:pStyle w:val="TableParagraph"/>
            </w:pPr>
          </w:p>
          <w:p w14:paraId="4ADD41AB" w14:textId="77777777" w:rsidR="0046798B" w:rsidRDefault="0046798B">
            <w:pPr>
              <w:pStyle w:val="TableParagraph"/>
              <w:spacing w:before="8"/>
              <w:rPr>
                <w:sz w:val="31"/>
              </w:rPr>
            </w:pPr>
          </w:p>
          <w:p w14:paraId="252D2520"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4FF5F499" w14:textId="77777777" w:rsidR="0046798B" w:rsidRDefault="00903B5C">
            <w:pPr>
              <w:pStyle w:val="TableParagraph"/>
              <w:spacing w:before="158"/>
              <w:ind w:left="114"/>
              <w:rPr>
                <w:sz w:val="20"/>
              </w:rPr>
            </w:pPr>
            <w:r>
              <w:rPr>
                <w:sz w:val="20"/>
              </w:rPr>
              <w:t xml:space="preserve">Uniform Law Commission website: </w:t>
            </w:r>
            <w:hyperlink r:id="rId706">
              <w:r>
                <w:rPr>
                  <w:color w:val="0462C1"/>
                  <w:sz w:val="20"/>
                  <w:u w:val="single" w:color="0462C1"/>
                </w:rPr>
                <w:t>http://www.uniformlaws.org/</w:t>
              </w:r>
            </w:hyperlink>
          </w:p>
          <w:p w14:paraId="29B55F5C" w14:textId="77777777" w:rsidR="0046798B" w:rsidRDefault="0046798B">
            <w:pPr>
              <w:pStyle w:val="TableParagraph"/>
              <w:rPr>
                <w:sz w:val="20"/>
              </w:rPr>
            </w:pPr>
          </w:p>
          <w:p w14:paraId="2E1814BB"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35AA78E7" w14:textId="77777777">
        <w:trPr>
          <w:trHeight w:val="1696"/>
        </w:trPr>
        <w:tc>
          <w:tcPr>
            <w:tcW w:w="1711" w:type="dxa"/>
          </w:tcPr>
          <w:p w14:paraId="69AA4410" w14:textId="77777777" w:rsidR="0046798B" w:rsidRDefault="0046798B">
            <w:pPr>
              <w:pStyle w:val="TableParagraph"/>
            </w:pPr>
          </w:p>
          <w:p w14:paraId="44020389" w14:textId="77777777" w:rsidR="0046798B" w:rsidRDefault="0046798B">
            <w:pPr>
              <w:pStyle w:val="TableParagraph"/>
              <w:spacing w:before="4"/>
              <w:rPr>
                <w:sz w:val="31"/>
              </w:rPr>
            </w:pPr>
          </w:p>
          <w:p w14:paraId="1C4E83ED" w14:textId="77777777" w:rsidR="0046798B" w:rsidRDefault="00903B5C">
            <w:pPr>
              <w:pStyle w:val="TableParagraph"/>
              <w:ind w:left="115" w:right="88"/>
              <w:rPr>
                <w:b/>
                <w:sz w:val="20"/>
              </w:rPr>
            </w:pPr>
            <w:r>
              <w:rPr>
                <w:b/>
                <w:sz w:val="20"/>
              </w:rPr>
              <w:t>collateral_conseq uences_of_convi</w:t>
            </w:r>
          </w:p>
        </w:tc>
        <w:tc>
          <w:tcPr>
            <w:tcW w:w="1596" w:type="dxa"/>
          </w:tcPr>
          <w:p w14:paraId="0B27D6D2" w14:textId="77777777" w:rsidR="0046798B" w:rsidRDefault="00903B5C">
            <w:pPr>
              <w:pStyle w:val="TableParagraph"/>
              <w:spacing w:before="38"/>
              <w:ind w:left="114" w:right="144"/>
              <w:rPr>
                <w:sz w:val="20"/>
              </w:rPr>
            </w:pPr>
            <w:r>
              <w:rPr>
                <w:sz w:val="20"/>
              </w:rPr>
              <w:t>Addresses the penalties and disqualifications that individuals face incidental to criminal sentencing</w:t>
            </w:r>
          </w:p>
        </w:tc>
        <w:tc>
          <w:tcPr>
            <w:tcW w:w="1285" w:type="dxa"/>
          </w:tcPr>
          <w:p w14:paraId="1268E0DA" w14:textId="77777777" w:rsidR="0046798B" w:rsidRDefault="0046798B">
            <w:pPr>
              <w:pStyle w:val="TableParagraph"/>
            </w:pPr>
          </w:p>
          <w:p w14:paraId="5C86C543" w14:textId="77777777" w:rsidR="0046798B" w:rsidRDefault="0046798B">
            <w:pPr>
              <w:pStyle w:val="TableParagraph"/>
            </w:pPr>
          </w:p>
          <w:p w14:paraId="394A92C7" w14:textId="77777777" w:rsidR="0046798B" w:rsidRDefault="0046798B">
            <w:pPr>
              <w:pStyle w:val="TableParagraph"/>
              <w:spacing w:before="4"/>
              <w:rPr>
                <w:sz w:val="19"/>
              </w:rPr>
            </w:pPr>
          </w:p>
          <w:p w14:paraId="7CEDA44C" w14:textId="77777777" w:rsidR="0046798B" w:rsidRDefault="00903B5C">
            <w:pPr>
              <w:pStyle w:val="TableParagraph"/>
              <w:ind w:left="114"/>
              <w:rPr>
                <w:sz w:val="20"/>
              </w:rPr>
            </w:pPr>
            <w:r>
              <w:rPr>
                <w:sz w:val="20"/>
              </w:rPr>
              <w:t>2014</w:t>
            </w:r>
          </w:p>
        </w:tc>
        <w:tc>
          <w:tcPr>
            <w:tcW w:w="3421" w:type="dxa"/>
          </w:tcPr>
          <w:p w14:paraId="43C4E6CE" w14:textId="77777777" w:rsidR="0046798B" w:rsidRDefault="0046798B">
            <w:pPr>
              <w:pStyle w:val="TableParagraph"/>
            </w:pPr>
          </w:p>
          <w:p w14:paraId="73D73597" w14:textId="77777777" w:rsidR="0046798B" w:rsidRDefault="0046798B">
            <w:pPr>
              <w:pStyle w:val="TableParagraph"/>
              <w:spacing w:before="4"/>
              <w:rPr>
                <w:sz w:val="31"/>
              </w:rPr>
            </w:pPr>
          </w:p>
          <w:p w14:paraId="222FCA02" w14:textId="77777777" w:rsidR="0046798B" w:rsidRDefault="00903B5C">
            <w:pPr>
              <w:pStyle w:val="TableParagraph"/>
              <w:ind w:left="114" w:right="1475"/>
              <w:rPr>
                <w:sz w:val="20"/>
              </w:rPr>
            </w:pPr>
            <w:r>
              <w:rPr>
                <w:sz w:val="20"/>
              </w:rPr>
              <w:t>0 = policy not adopted 1 = policy adopted</w:t>
            </w:r>
          </w:p>
        </w:tc>
        <w:tc>
          <w:tcPr>
            <w:tcW w:w="6482" w:type="dxa"/>
          </w:tcPr>
          <w:p w14:paraId="1E6574C9" w14:textId="77777777" w:rsidR="0046798B" w:rsidRDefault="00903B5C">
            <w:pPr>
              <w:pStyle w:val="TableParagraph"/>
              <w:spacing w:before="153"/>
              <w:ind w:left="114"/>
              <w:rPr>
                <w:sz w:val="20"/>
              </w:rPr>
            </w:pPr>
            <w:r>
              <w:rPr>
                <w:sz w:val="20"/>
              </w:rPr>
              <w:t xml:space="preserve">Uniform Law Commission website: </w:t>
            </w:r>
            <w:hyperlink r:id="rId707">
              <w:r>
                <w:rPr>
                  <w:color w:val="0462C1"/>
                  <w:sz w:val="20"/>
                  <w:u w:val="single" w:color="0462C1"/>
                </w:rPr>
                <w:t>http://www.uniformlaws.org/</w:t>
              </w:r>
            </w:hyperlink>
          </w:p>
          <w:p w14:paraId="353E167E" w14:textId="77777777" w:rsidR="0046798B" w:rsidRDefault="0046798B">
            <w:pPr>
              <w:pStyle w:val="TableParagraph"/>
              <w:rPr>
                <w:sz w:val="20"/>
              </w:rPr>
            </w:pPr>
          </w:p>
          <w:p w14:paraId="29F1A097"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788ED8E2" w14:textId="77777777">
        <w:trPr>
          <w:trHeight w:val="1465"/>
        </w:trPr>
        <w:tc>
          <w:tcPr>
            <w:tcW w:w="1711" w:type="dxa"/>
          </w:tcPr>
          <w:p w14:paraId="67ED0AA9" w14:textId="77777777" w:rsidR="0046798B" w:rsidRDefault="0046798B">
            <w:pPr>
              <w:pStyle w:val="TableParagraph"/>
            </w:pPr>
          </w:p>
          <w:p w14:paraId="0BBEDFF2" w14:textId="77777777" w:rsidR="0046798B" w:rsidRDefault="0046798B">
            <w:pPr>
              <w:pStyle w:val="TableParagraph"/>
              <w:spacing w:before="3"/>
              <w:rPr>
                <w:sz w:val="21"/>
              </w:rPr>
            </w:pPr>
          </w:p>
          <w:p w14:paraId="34A205A1" w14:textId="77777777" w:rsidR="0046798B" w:rsidRDefault="00903B5C">
            <w:pPr>
              <w:pStyle w:val="TableParagraph"/>
              <w:ind w:left="115"/>
              <w:rPr>
                <w:b/>
                <w:sz w:val="20"/>
              </w:rPr>
            </w:pPr>
            <w:r>
              <w:rPr>
                <w:b/>
                <w:sz w:val="20"/>
              </w:rPr>
              <w:t>conflicts_of_laws</w:t>
            </w:r>
          </w:p>
          <w:p w14:paraId="46BECC9A" w14:textId="77777777" w:rsidR="0046798B" w:rsidRDefault="00903B5C">
            <w:pPr>
              <w:pStyle w:val="TableParagraph"/>
              <w:ind w:left="115"/>
              <w:rPr>
                <w:b/>
                <w:sz w:val="20"/>
              </w:rPr>
            </w:pPr>
            <w:r>
              <w:rPr>
                <w:b/>
                <w:sz w:val="20"/>
              </w:rPr>
              <w:t>_limitations</w:t>
            </w:r>
          </w:p>
        </w:tc>
        <w:tc>
          <w:tcPr>
            <w:tcW w:w="1596" w:type="dxa"/>
          </w:tcPr>
          <w:p w14:paraId="20BC04FE" w14:textId="77777777" w:rsidR="0046798B" w:rsidRDefault="00903B5C">
            <w:pPr>
              <w:pStyle w:val="TableParagraph"/>
              <w:spacing w:before="153"/>
              <w:ind w:left="114" w:right="257"/>
              <w:rPr>
                <w:sz w:val="20"/>
              </w:rPr>
            </w:pPr>
            <w:r>
              <w:rPr>
                <w:sz w:val="20"/>
              </w:rPr>
              <w:t>Applying limitations periods chosen by conflict of laws</w:t>
            </w:r>
          </w:p>
        </w:tc>
        <w:tc>
          <w:tcPr>
            <w:tcW w:w="1285" w:type="dxa"/>
          </w:tcPr>
          <w:p w14:paraId="68183DF7" w14:textId="77777777" w:rsidR="0046798B" w:rsidRDefault="0046798B">
            <w:pPr>
              <w:pStyle w:val="TableParagraph"/>
            </w:pPr>
          </w:p>
          <w:p w14:paraId="050E27B1" w14:textId="77777777" w:rsidR="0046798B" w:rsidRDefault="0046798B">
            <w:pPr>
              <w:pStyle w:val="TableParagraph"/>
              <w:spacing w:before="3"/>
              <w:rPr>
                <w:sz w:val="31"/>
              </w:rPr>
            </w:pPr>
          </w:p>
          <w:p w14:paraId="0B15678D" w14:textId="77777777" w:rsidR="0046798B" w:rsidRDefault="00903B5C">
            <w:pPr>
              <w:pStyle w:val="TableParagraph"/>
              <w:ind w:left="114"/>
              <w:rPr>
                <w:sz w:val="20"/>
              </w:rPr>
            </w:pPr>
            <w:r>
              <w:rPr>
                <w:sz w:val="20"/>
              </w:rPr>
              <w:t>1983–2006</w:t>
            </w:r>
          </w:p>
        </w:tc>
        <w:tc>
          <w:tcPr>
            <w:tcW w:w="3421" w:type="dxa"/>
          </w:tcPr>
          <w:p w14:paraId="4F32532E" w14:textId="77777777" w:rsidR="0046798B" w:rsidRDefault="0046798B">
            <w:pPr>
              <w:pStyle w:val="TableParagraph"/>
            </w:pPr>
          </w:p>
          <w:p w14:paraId="58ADE613" w14:textId="77777777" w:rsidR="0046798B" w:rsidRDefault="0046798B">
            <w:pPr>
              <w:pStyle w:val="TableParagraph"/>
              <w:spacing w:before="3"/>
              <w:rPr>
                <w:sz w:val="21"/>
              </w:rPr>
            </w:pPr>
          </w:p>
          <w:p w14:paraId="226042FE" w14:textId="77777777" w:rsidR="0046798B" w:rsidRDefault="00903B5C">
            <w:pPr>
              <w:pStyle w:val="TableParagraph"/>
              <w:ind w:left="114" w:right="1475"/>
              <w:rPr>
                <w:sz w:val="20"/>
              </w:rPr>
            </w:pPr>
            <w:r>
              <w:rPr>
                <w:sz w:val="20"/>
              </w:rPr>
              <w:t>0 = policy not adopted 1 = policy adopted</w:t>
            </w:r>
          </w:p>
        </w:tc>
        <w:tc>
          <w:tcPr>
            <w:tcW w:w="6482" w:type="dxa"/>
          </w:tcPr>
          <w:p w14:paraId="61F6C6D0" w14:textId="77777777" w:rsidR="0046798B" w:rsidRDefault="00903B5C">
            <w:pPr>
              <w:pStyle w:val="TableParagraph"/>
              <w:spacing w:before="38"/>
              <w:ind w:left="114"/>
              <w:rPr>
                <w:sz w:val="20"/>
              </w:rPr>
            </w:pPr>
            <w:r>
              <w:rPr>
                <w:sz w:val="20"/>
              </w:rPr>
              <w:t xml:space="preserve">Uniform Law Commission website: </w:t>
            </w:r>
            <w:hyperlink r:id="rId708">
              <w:r>
                <w:rPr>
                  <w:color w:val="0462C1"/>
                  <w:sz w:val="20"/>
                  <w:u w:val="single" w:color="0462C1"/>
                </w:rPr>
                <w:t>http://www.uniformlaws.org/</w:t>
              </w:r>
            </w:hyperlink>
          </w:p>
          <w:p w14:paraId="533610C6" w14:textId="77777777" w:rsidR="0046798B" w:rsidRDefault="0046798B">
            <w:pPr>
              <w:pStyle w:val="TableParagraph"/>
              <w:rPr>
                <w:sz w:val="20"/>
              </w:rPr>
            </w:pPr>
          </w:p>
          <w:p w14:paraId="5C2E5565"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093F387" w14:textId="77777777">
        <w:trPr>
          <w:trHeight w:val="1235"/>
        </w:trPr>
        <w:tc>
          <w:tcPr>
            <w:tcW w:w="1711" w:type="dxa"/>
          </w:tcPr>
          <w:p w14:paraId="1B234419" w14:textId="77777777" w:rsidR="0046798B" w:rsidRDefault="0046798B">
            <w:pPr>
              <w:pStyle w:val="TableParagraph"/>
            </w:pPr>
          </w:p>
          <w:p w14:paraId="32F83F6F" w14:textId="77777777" w:rsidR="0046798B" w:rsidRDefault="00903B5C">
            <w:pPr>
              <w:pStyle w:val="TableParagraph"/>
              <w:spacing w:before="130"/>
              <w:ind w:left="115" w:right="155"/>
              <w:rPr>
                <w:b/>
                <w:sz w:val="20"/>
              </w:rPr>
            </w:pPr>
            <w:r>
              <w:rPr>
                <w:b/>
                <w:sz w:val="20"/>
              </w:rPr>
              <w:t>correction_or_cl arification_of_d</w:t>
            </w:r>
          </w:p>
        </w:tc>
        <w:tc>
          <w:tcPr>
            <w:tcW w:w="1596" w:type="dxa"/>
          </w:tcPr>
          <w:p w14:paraId="78A662AF" w14:textId="77777777" w:rsidR="0046798B" w:rsidRDefault="00903B5C">
            <w:pPr>
              <w:pStyle w:val="TableParagraph"/>
              <w:spacing w:before="38"/>
              <w:ind w:left="114" w:right="135"/>
              <w:rPr>
                <w:sz w:val="20"/>
              </w:rPr>
            </w:pPr>
            <w:r>
              <w:rPr>
                <w:sz w:val="20"/>
              </w:rPr>
              <w:t>Timely request for a correction or clarification from the publisher of a</w:t>
            </w:r>
          </w:p>
        </w:tc>
        <w:tc>
          <w:tcPr>
            <w:tcW w:w="1285" w:type="dxa"/>
          </w:tcPr>
          <w:p w14:paraId="2224B9DA" w14:textId="77777777" w:rsidR="0046798B" w:rsidRDefault="0046798B">
            <w:pPr>
              <w:pStyle w:val="TableParagraph"/>
            </w:pPr>
          </w:p>
          <w:p w14:paraId="75FAB7C9" w14:textId="77777777" w:rsidR="0046798B" w:rsidRDefault="0046798B">
            <w:pPr>
              <w:pStyle w:val="TableParagraph"/>
              <w:spacing w:before="3"/>
              <w:rPr>
                <w:sz w:val="21"/>
              </w:rPr>
            </w:pPr>
          </w:p>
          <w:p w14:paraId="2E6980D3" w14:textId="77777777" w:rsidR="0046798B" w:rsidRDefault="00903B5C">
            <w:pPr>
              <w:pStyle w:val="TableParagraph"/>
              <w:spacing w:before="1"/>
              <w:ind w:left="114"/>
              <w:rPr>
                <w:sz w:val="20"/>
              </w:rPr>
            </w:pPr>
            <w:r>
              <w:rPr>
                <w:sz w:val="20"/>
              </w:rPr>
              <w:t>1995–2013</w:t>
            </w:r>
          </w:p>
        </w:tc>
        <w:tc>
          <w:tcPr>
            <w:tcW w:w="3421" w:type="dxa"/>
          </w:tcPr>
          <w:p w14:paraId="207FDA39" w14:textId="77777777" w:rsidR="0046798B" w:rsidRDefault="0046798B">
            <w:pPr>
              <w:pStyle w:val="TableParagraph"/>
            </w:pPr>
          </w:p>
          <w:p w14:paraId="63E37FB1" w14:textId="77777777" w:rsidR="0046798B" w:rsidRDefault="00903B5C">
            <w:pPr>
              <w:pStyle w:val="TableParagraph"/>
              <w:spacing w:before="130"/>
              <w:ind w:left="114" w:right="1475"/>
              <w:rPr>
                <w:sz w:val="20"/>
              </w:rPr>
            </w:pPr>
            <w:r>
              <w:rPr>
                <w:sz w:val="20"/>
              </w:rPr>
              <w:t>0 = policy not adopted 1 = policy adopted</w:t>
            </w:r>
          </w:p>
        </w:tc>
        <w:tc>
          <w:tcPr>
            <w:tcW w:w="6482" w:type="dxa"/>
          </w:tcPr>
          <w:p w14:paraId="29A691FA" w14:textId="77777777" w:rsidR="0046798B" w:rsidRDefault="00903B5C">
            <w:pPr>
              <w:pStyle w:val="TableParagraph"/>
              <w:spacing w:before="153"/>
              <w:ind w:left="114"/>
              <w:rPr>
                <w:sz w:val="20"/>
              </w:rPr>
            </w:pPr>
            <w:r>
              <w:rPr>
                <w:sz w:val="20"/>
              </w:rPr>
              <w:t xml:space="preserve">Uniform Law Commission website: </w:t>
            </w:r>
            <w:hyperlink r:id="rId709">
              <w:r>
                <w:rPr>
                  <w:color w:val="0462C1"/>
                  <w:sz w:val="20"/>
                  <w:u w:val="single" w:color="0462C1"/>
                </w:rPr>
                <w:t>http://www.uniformlaws.org/</w:t>
              </w:r>
            </w:hyperlink>
          </w:p>
          <w:p w14:paraId="763AF424" w14:textId="77777777" w:rsidR="0046798B" w:rsidRDefault="0046798B">
            <w:pPr>
              <w:pStyle w:val="TableParagraph"/>
              <w:rPr>
                <w:sz w:val="20"/>
              </w:rPr>
            </w:pPr>
          </w:p>
          <w:p w14:paraId="4EB4FE7D"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w:t>
            </w:r>
          </w:p>
        </w:tc>
      </w:tr>
    </w:tbl>
    <w:p w14:paraId="16F24E06" w14:textId="77777777" w:rsidR="0046798B" w:rsidRDefault="0046798B">
      <w:pPr>
        <w:rPr>
          <w:sz w:val="20"/>
        </w:rPr>
        <w:sectPr w:rsidR="0046798B">
          <w:pgSz w:w="15840" w:h="12240" w:orient="landscape"/>
          <w:pgMar w:top="1220" w:right="300" w:bottom="980" w:left="820" w:header="730" w:footer="787" w:gutter="0"/>
          <w:cols w:space="720"/>
        </w:sectPr>
      </w:pPr>
    </w:p>
    <w:p w14:paraId="68A7F6B2"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6AD87E2B" w14:textId="77777777">
        <w:trPr>
          <w:trHeight w:val="1235"/>
        </w:trPr>
        <w:tc>
          <w:tcPr>
            <w:tcW w:w="1711" w:type="dxa"/>
          </w:tcPr>
          <w:p w14:paraId="0EB0058D" w14:textId="77777777" w:rsidR="0046798B" w:rsidRDefault="0046798B">
            <w:pPr>
              <w:pStyle w:val="TableParagraph"/>
              <w:rPr>
                <w:sz w:val="20"/>
              </w:rPr>
            </w:pPr>
          </w:p>
        </w:tc>
        <w:tc>
          <w:tcPr>
            <w:tcW w:w="1596" w:type="dxa"/>
          </w:tcPr>
          <w:p w14:paraId="11D1A181" w14:textId="77777777" w:rsidR="0046798B" w:rsidRDefault="00903B5C">
            <w:pPr>
              <w:pStyle w:val="TableParagraph"/>
              <w:spacing w:before="43"/>
              <w:ind w:left="114" w:right="346"/>
              <w:rPr>
                <w:sz w:val="20"/>
              </w:rPr>
            </w:pPr>
            <w:r>
              <w:rPr>
                <w:sz w:val="20"/>
              </w:rPr>
              <w:t>defamation in order to maintain an action for defamation</w:t>
            </w:r>
          </w:p>
        </w:tc>
        <w:tc>
          <w:tcPr>
            <w:tcW w:w="1285" w:type="dxa"/>
          </w:tcPr>
          <w:p w14:paraId="322D9CF1" w14:textId="77777777" w:rsidR="0046798B" w:rsidRDefault="0046798B">
            <w:pPr>
              <w:pStyle w:val="TableParagraph"/>
              <w:rPr>
                <w:sz w:val="20"/>
              </w:rPr>
            </w:pPr>
          </w:p>
        </w:tc>
        <w:tc>
          <w:tcPr>
            <w:tcW w:w="3421" w:type="dxa"/>
          </w:tcPr>
          <w:p w14:paraId="1AEAA38B" w14:textId="77777777" w:rsidR="0046798B" w:rsidRDefault="0046798B">
            <w:pPr>
              <w:pStyle w:val="TableParagraph"/>
              <w:rPr>
                <w:sz w:val="20"/>
              </w:rPr>
            </w:pPr>
          </w:p>
        </w:tc>
        <w:tc>
          <w:tcPr>
            <w:tcW w:w="6482" w:type="dxa"/>
          </w:tcPr>
          <w:p w14:paraId="3690C4BE" w14:textId="77777777" w:rsidR="0046798B" w:rsidRDefault="00903B5C">
            <w:pPr>
              <w:pStyle w:val="TableParagraph"/>
              <w:spacing w:before="43"/>
              <w:ind w:left="114" w:right="2377"/>
              <w:rPr>
                <w:sz w:val="20"/>
              </w:rPr>
            </w:pPr>
            <w:r>
              <w:rPr>
                <w:sz w:val="20"/>
              </w:rPr>
              <w:t>Innovation and Diffusion (SPID) Database v1.0”, https://doi.org/10.7910/DVN/CVYSR7</w:t>
            </w:r>
          </w:p>
        </w:tc>
      </w:tr>
      <w:tr w:rsidR="0046798B" w14:paraId="26636792" w14:textId="77777777">
        <w:trPr>
          <w:trHeight w:val="2846"/>
        </w:trPr>
        <w:tc>
          <w:tcPr>
            <w:tcW w:w="1711" w:type="dxa"/>
          </w:tcPr>
          <w:p w14:paraId="0E6D2CF6" w14:textId="77777777" w:rsidR="0046798B" w:rsidRDefault="0046798B">
            <w:pPr>
              <w:pStyle w:val="TableParagraph"/>
            </w:pPr>
          </w:p>
          <w:p w14:paraId="0D629E3B" w14:textId="77777777" w:rsidR="0046798B" w:rsidRDefault="0046798B">
            <w:pPr>
              <w:pStyle w:val="TableParagraph"/>
            </w:pPr>
          </w:p>
          <w:p w14:paraId="1B5CEE24" w14:textId="77777777" w:rsidR="0046798B" w:rsidRDefault="0046798B">
            <w:pPr>
              <w:pStyle w:val="TableParagraph"/>
            </w:pPr>
          </w:p>
          <w:p w14:paraId="5728911A" w14:textId="77777777" w:rsidR="0046798B" w:rsidRDefault="0046798B">
            <w:pPr>
              <w:pStyle w:val="TableParagraph"/>
            </w:pPr>
          </w:p>
          <w:p w14:paraId="4A536ADC" w14:textId="77777777" w:rsidR="0046798B" w:rsidRDefault="00903B5C">
            <w:pPr>
              <w:pStyle w:val="TableParagraph"/>
              <w:spacing w:before="182"/>
              <w:ind w:left="115"/>
              <w:rPr>
                <w:b/>
                <w:sz w:val="20"/>
              </w:rPr>
            </w:pPr>
            <w:r>
              <w:rPr>
                <w:b/>
                <w:sz w:val="20"/>
              </w:rPr>
              <w:t>declaratory_judg ments_act</w:t>
            </w:r>
          </w:p>
        </w:tc>
        <w:tc>
          <w:tcPr>
            <w:tcW w:w="1596" w:type="dxa"/>
          </w:tcPr>
          <w:p w14:paraId="7D3760A5" w14:textId="77777777" w:rsidR="0046798B" w:rsidRDefault="00903B5C">
            <w:pPr>
              <w:pStyle w:val="TableParagraph"/>
              <w:spacing w:before="43"/>
              <w:ind w:left="114" w:right="105"/>
              <w:rPr>
                <w:sz w:val="20"/>
              </w:rPr>
            </w:pPr>
            <w:r>
              <w:rPr>
                <w:sz w:val="20"/>
              </w:rPr>
              <w:t>Authorizes courts to adjudicate actual controversies concerning legal rights and duties even though traditional remedies for damages or equitable relief are not available</w:t>
            </w:r>
          </w:p>
        </w:tc>
        <w:tc>
          <w:tcPr>
            <w:tcW w:w="1285" w:type="dxa"/>
          </w:tcPr>
          <w:p w14:paraId="50839B44" w14:textId="77777777" w:rsidR="0046798B" w:rsidRDefault="0046798B">
            <w:pPr>
              <w:pStyle w:val="TableParagraph"/>
            </w:pPr>
          </w:p>
          <w:p w14:paraId="63E86D52" w14:textId="77777777" w:rsidR="0046798B" w:rsidRDefault="0046798B">
            <w:pPr>
              <w:pStyle w:val="TableParagraph"/>
            </w:pPr>
          </w:p>
          <w:p w14:paraId="66B6D906" w14:textId="77777777" w:rsidR="0046798B" w:rsidRDefault="0046798B">
            <w:pPr>
              <w:pStyle w:val="TableParagraph"/>
            </w:pPr>
          </w:p>
          <w:p w14:paraId="0FB0AD26" w14:textId="77777777" w:rsidR="0046798B" w:rsidRDefault="0046798B">
            <w:pPr>
              <w:pStyle w:val="TableParagraph"/>
            </w:pPr>
          </w:p>
          <w:p w14:paraId="07EF48D9" w14:textId="77777777" w:rsidR="0046798B" w:rsidRDefault="0046798B">
            <w:pPr>
              <w:pStyle w:val="TableParagraph"/>
              <w:spacing w:before="9"/>
              <w:rPr>
                <w:sz w:val="25"/>
              </w:rPr>
            </w:pPr>
          </w:p>
          <w:p w14:paraId="01CA6F99" w14:textId="77777777" w:rsidR="0046798B" w:rsidRDefault="00903B5C">
            <w:pPr>
              <w:pStyle w:val="TableParagraph"/>
              <w:ind w:left="114"/>
              <w:rPr>
                <w:sz w:val="20"/>
              </w:rPr>
            </w:pPr>
            <w:r>
              <w:rPr>
                <w:sz w:val="20"/>
              </w:rPr>
              <w:t>1922–2008</w:t>
            </w:r>
          </w:p>
        </w:tc>
        <w:tc>
          <w:tcPr>
            <w:tcW w:w="3421" w:type="dxa"/>
          </w:tcPr>
          <w:p w14:paraId="4E27EDFD" w14:textId="77777777" w:rsidR="0046798B" w:rsidRDefault="0046798B">
            <w:pPr>
              <w:pStyle w:val="TableParagraph"/>
            </w:pPr>
          </w:p>
          <w:p w14:paraId="6CE1DF99" w14:textId="77777777" w:rsidR="0046798B" w:rsidRDefault="0046798B">
            <w:pPr>
              <w:pStyle w:val="TableParagraph"/>
            </w:pPr>
          </w:p>
          <w:p w14:paraId="304BD583" w14:textId="77777777" w:rsidR="0046798B" w:rsidRDefault="0046798B">
            <w:pPr>
              <w:pStyle w:val="TableParagraph"/>
            </w:pPr>
          </w:p>
          <w:p w14:paraId="684ACFD7" w14:textId="77777777" w:rsidR="0046798B" w:rsidRDefault="0046798B">
            <w:pPr>
              <w:pStyle w:val="TableParagraph"/>
            </w:pPr>
          </w:p>
          <w:p w14:paraId="19144F5D" w14:textId="77777777" w:rsidR="0046798B" w:rsidRDefault="00903B5C">
            <w:pPr>
              <w:pStyle w:val="TableParagraph"/>
              <w:spacing w:before="182"/>
              <w:ind w:left="114" w:right="1475"/>
              <w:rPr>
                <w:sz w:val="20"/>
              </w:rPr>
            </w:pPr>
            <w:r>
              <w:rPr>
                <w:sz w:val="20"/>
              </w:rPr>
              <w:t>0 = policy not adopted 1 = policy adopted</w:t>
            </w:r>
          </w:p>
        </w:tc>
        <w:tc>
          <w:tcPr>
            <w:tcW w:w="6482" w:type="dxa"/>
          </w:tcPr>
          <w:p w14:paraId="3B35579C" w14:textId="77777777" w:rsidR="0046798B" w:rsidRDefault="0046798B">
            <w:pPr>
              <w:pStyle w:val="TableParagraph"/>
            </w:pPr>
          </w:p>
          <w:p w14:paraId="086ED7B0" w14:textId="77777777" w:rsidR="0046798B" w:rsidRDefault="0046798B">
            <w:pPr>
              <w:pStyle w:val="TableParagraph"/>
            </w:pPr>
          </w:p>
          <w:p w14:paraId="1F553083" w14:textId="77777777" w:rsidR="0046798B" w:rsidRDefault="0046798B">
            <w:pPr>
              <w:pStyle w:val="TableParagraph"/>
              <w:spacing w:before="9"/>
              <w:rPr>
                <w:sz w:val="19"/>
              </w:rPr>
            </w:pPr>
          </w:p>
          <w:p w14:paraId="2232E690" w14:textId="77777777" w:rsidR="0046798B" w:rsidRDefault="00903B5C">
            <w:pPr>
              <w:pStyle w:val="TableParagraph"/>
              <w:ind w:left="114"/>
              <w:rPr>
                <w:sz w:val="20"/>
              </w:rPr>
            </w:pPr>
            <w:r>
              <w:rPr>
                <w:sz w:val="20"/>
              </w:rPr>
              <w:t xml:space="preserve">Uniform Law Commission website: </w:t>
            </w:r>
            <w:hyperlink r:id="rId710">
              <w:r>
                <w:rPr>
                  <w:color w:val="0462C1"/>
                  <w:sz w:val="20"/>
                  <w:u w:val="single" w:color="0462C1"/>
                </w:rPr>
                <w:t>http://www.uniformlaws.org/</w:t>
              </w:r>
            </w:hyperlink>
          </w:p>
          <w:p w14:paraId="15C3D50B" w14:textId="77777777" w:rsidR="0046798B" w:rsidRDefault="0046798B">
            <w:pPr>
              <w:pStyle w:val="TableParagraph"/>
              <w:rPr>
                <w:sz w:val="20"/>
              </w:rPr>
            </w:pPr>
          </w:p>
          <w:p w14:paraId="14D0B95A"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AAB2AC2" w14:textId="77777777">
        <w:trPr>
          <w:trHeight w:val="3306"/>
        </w:trPr>
        <w:tc>
          <w:tcPr>
            <w:tcW w:w="1711" w:type="dxa"/>
          </w:tcPr>
          <w:p w14:paraId="4E891684" w14:textId="77777777" w:rsidR="0046798B" w:rsidRDefault="0046798B">
            <w:pPr>
              <w:pStyle w:val="TableParagraph"/>
            </w:pPr>
          </w:p>
          <w:p w14:paraId="7C31B4EB" w14:textId="77777777" w:rsidR="0046798B" w:rsidRDefault="0046798B">
            <w:pPr>
              <w:pStyle w:val="TableParagraph"/>
            </w:pPr>
          </w:p>
          <w:p w14:paraId="19F69BF3" w14:textId="77777777" w:rsidR="0046798B" w:rsidRDefault="0046798B">
            <w:pPr>
              <w:pStyle w:val="TableParagraph"/>
            </w:pPr>
          </w:p>
          <w:p w14:paraId="24C9876E" w14:textId="77777777" w:rsidR="0046798B" w:rsidRDefault="0046798B">
            <w:pPr>
              <w:pStyle w:val="TableParagraph"/>
            </w:pPr>
          </w:p>
          <w:p w14:paraId="625D4BBE" w14:textId="77777777" w:rsidR="0046798B" w:rsidRDefault="0046798B">
            <w:pPr>
              <w:pStyle w:val="TableParagraph"/>
            </w:pPr>
          </w:p>
          <w:p w14:paraId="302FAE7D" w14:textId="77777777" w:rsidR="0046798B" w:rsidRDefault="00903B5C">
            <w:pPr>
              <w:pStyle w:val="TableParagraph"/>
              <w:spacing w:before="159"/>
              <w:ind w:left="115" w:right="133"/>
              <w:rPr>
                <w:b/>
                <w:sz w:val="20"/>
              </w:rPr>
            </w:pPr>
            <w:r>
              <w:rPr>
                <w:b/>
                <w:sz w:val="20"/>
              </w:rPr>
              <w:t>electronic_legal_ material_act</w:t>
            </w:r>
          </w:p>
        </w:tc>
        <w:tc>
          <w:tcPr>
            <w:tcW w:w="1596" w:type="dxa"/>
          </w:tcPr>
          <w:p w14:paraId="3045AB8E" w14:textId="77777777" w:rsidR="0046798B" w:rsidRDefault="00903B5C">
            <w:pPr>
              <w:pStyle w:val="TableParagraph"/>
              <w:spacing w:before="43"/>
              <w:ind w:left="114" w:right="125"/>
              <w:rPr>
                <w:sz w:val="20"/>
              </w:rPr>
            </w:pPr>
            <w:r>
              <w:rPr>
                <w:sz w:val="20"/>
              </w:rPr>
              <w:t>Establishes an outcomes-based, technology- neutral framework for providing online legal material with the same level of trustworthiness traditionally provided by publication in a law book</w:t>
            </w:r>
          </w:p>
        </w:tc>
        <w:tc>
          <w:tcPr>
            <w:tcW w:w="1285" w:type="dxa"/>
          </w:tcPr>
          <w:p w14:paraId="7BD33EA0" w14:textId="77777777" w:rsidR="0046798B" w:rsidRDefault="0046798B">
            <w:pPr>
              <w:pStyle w:val="TableParagraph"/>
            </w:pPr>
          </w:p>
          <w:p w14:paraId="72166A5F" w14:textId="77777777" w:rsidR="0046798B" w:rsidRDefault="0046798B">
            <w:pPr>
              <w:pStyle w:val="TableParagraph"/>
            </w:pPr>
          </w:p>
          <w:p w14:paraId="60FBAE3A" w14:textId="77777777" w:rsidR="0046798B" w:rsidRDefault="0046798B">
            <w:pPr>
              <w:pStyle w:val="TableParagraph"/>
            </w:pPr>
          </w:p>
          <w:p w14:paraId="3257E0AE" w14:textId="77777777" w:rsidR="0046798B" w:rsidRDefault="0046798B">
            <w:pPr>
              <w:pStyle w:val="TableParagraph"/>
            </w:pPr>
          </w:p>
          <w:p w14:paraId="7053457B" w14:textId="77777777" w:rsidR="0046798B" w:rsidRDefault="0046798B">
            <w:pPr>
              <w:pStyle w:val="TableParagraph"/>
            </w:pPr>
          </w:p>
          <w:p w14:paraId="459D6A75" w14:textId="77777777" w:rsidR="0046798B" w:rsidRDefault="0046798B">
            <w:pPr>
              <w:pStyle w:val="TableParagraph"/>
              <w:spacing w:before="9"/>
              <w:rPr>
                <w:sz w:val="23"/>
              </w:rPr>
            </w:pPr>
          </w:p>
          <w:p w14:paraId="4309DE33" w14:textId="77777777" w:rsidR="0046798B" w:rsidRDefault="00903B5C">
            <w:pPr>
              <w:pStyle w:val="TableParagraph"/>
              <w:ind w:left="114"/>
              <w:rPr>
                <w:sz w:val="20"/>
              </w:rPr>
            </w:pPr>
            <w:r>
              <w:rPr>
                <w:sz w:val="20"/>
              </w:rPr>
              <w:t>2012–2016</w:t>
            </w:r>
          </w:p>
        </w:tc>
        <w:tc>
          <w:tcPr>
            <w:tcW w:w="3421" w:type="dxa"/>
          </w:tcPr>
          <w:p w14:paraId="6C9E203E" w14:textId="77777777" w:rsidR="0046798B" w:rsidRDefault="0046798B">
            <w:pPr>
              <w:pStyle w:val="TableParagraph"/>
            </w:pPr>
          </w:p>
          <w:p w14:paraId="0947E2F0" w14:textId="77777777" w:rsidR="0046798B" w:rsidRDefault="0046798B">
            <w:pPr>
              <w:pStyle w:val="TableParagraph"/>
            </w:pPr>
          </w:p>
          <w:p w14:paraId="25D9C0C5" w14:textId="77777777" w:rsidR="0046798B" w:rsidRDefault="0046798B">
            <w:pPr>
              <w:pStyle w:val="TableParagraph"/>
            </w:pPr>
          </w:p>
          <w:p w14:paraId="2DC50628" w14:textId="77777777" w:rsidR="0046798B" w:rsidRDefault="0046798B">
            <w:pPr>
              <w:pStyle w:val="TableParagraph"/>
            </w:pPr>
          </w:p>
          <w:p w14:paraId="7A89F608" w14:textId="77777777" w:rsidR="0046798B" w:rsidRDefault="0046798B">
            <w:pPr>
              <w:pStyle w:val="TableParagraph"/>
            </w:pPr>
          </w:p>
          <w:p w14:paraId="19B09861" w14:textId="77777777" w:rsidR="0046798B" w:rsidRDefault="00903B5C">
            <w:pPr>
              <w:pStyle w:val="TableParagraph"/>
              <w:spacing w:before="159"/>
              <w:ind w:left="114" w:right="1475"/>
              <w:rPr>
                <w:sz w:val="20"/>
              </w:rPr>
            </w:pPr>
            <w:r>
              <w:rPr>
                <w:sz w:val="20"/>
              </w:rPr>
              <w:t>0 = policy not adopted 1 = policy adopted</w:t>
            </w:r>
          </w:p>
        </w:tc>
        <w:tc>
          <w:tcPr>
            <w:tcW w:w="6482" w:type="dxa"/>
          </w:tcPr>
          <w:p w14:paraId="26D2844D" w14:textId="77777777" w:rsidR="0046798B" w:rsidRDefault="0046798B">
            <w:pPr>
              <w:pStyle w:val="TableParagraph"/>
            </w:pPr>
          </w:p>
          <w:p w14:paraId="752A4740" w14:textId="77777777" w:rsidR="0046798B" w:rsidRDefault="0046798B">
            <w:pPr>
              <w:pStyle w:val="TableParagraph"/>
            </w:pPr>
          </w:p>
          <w:p w14:paraId="71FC54D0" w14:textId="77777777" w:rsidR="0046798B" w:rsidRDefault="0046798B">
            <w:pPr>
              <w:pStyle w:val="TableParagraph"/>
            </w:pPr>
          </w:p>
          <w:p w14:paraId="784EA56C" w14:textId="77777777" w:rsidR="0046798B" w:rsidRDefault="0046798B">
            <w:pPr>
              <w:pStyle w:val="TableParagraph"/>
              <w:spacing w:before="8"/>
              <w:rPr>
                <w:sz w:val="17"/>
              </w:rPr>
            </w:pPr>
          </w:p>
          <w:p w14:paraId="7C2D15CB" w14:textId="77777777" w:rsidR="0046798B" w:rsidRDefault="00903B5C">
            <w:pPr>
              <w:pStyle w:val="TableParagraph"/>
              <w:spacing w:before="1"/>
              <w:ind w:left="114"/>
              <w:rPr>
                <w:sz w:val="20"/>
              </w:rPr>
            </w:pPr>
            <w:r>
              <w:rPr>
                <w:sz w:val="20"/>
              </w:rPr>
              <w:t xml:space="preserve">Uniform Law Commission website: </w:t>
            </w:r>
            <w:hyperlink r:id="rId711">
              <w:r>
                <w:rPr>
                  <w:color w:val="0462C1"/>
                  <w:sz w:val="20"/>
                  <w:u w:val="single" w:color="0462C1"/>
                </w:rPr>
                <w:t>http://www.uniformlaws.org/</w:t>
              </w:r>
            </w:hyperlink>
          </w:p>
          <w:p w14:paraId="68AA0CCC" w14:textId="77777777" w:rsidR="0046798B" w:rsidRDefault="0046798B">
            <w:pPr>
              <w:pStyle w:val="TableParagraph"/>
              <w:rPr>
                <w:sz w:val="20"/>
              </w:rPr>
            </w:pPr>
          </w:p>
          <w:p w14:paraId="5EB9D848"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6A745B7B" w14:textId="77777777">
        <w:trPr>
          <w:trHeight w:val="1470"/>
        </w:trPr>
        <w:tc>
          <w:tcPr>
            <w:tcW w:w="1711" w:type="dxa"/>
          </w:tcPr>
          <w:p w14:paraId="33941DD5" w14:textId="77777777" w:rsidR="0046798B" w:rsidRDefault="0046798B">
            <w:pPr>
              <w:pStyle w:val="TableParagraph"/>
            </w:pPr>
          </w:p>
          <w:p w14:paraId="5449478C" w14:textId="77777777" w:rsidR="0046798B" w:rsidRDefault="0046798B">
            <w:pPr>
              <w:pStyle w:val="TableParagraph"/>
              <w:spacing w:before="9"/>
              <w:rPr>
                <w:sz w:val="21"/>
              </w:rPr>
            </w:pPr>
          </w:p>
          <w:p w14:paraId="1A4AB787" w14:textId="77777777" w:rsidR="0046798B" w:rsidRDefault="00903B5C">
            <w:pPr>
              <w:pStyle w:val="TableParagraph"/>
              <w:ind w:left="115" w:right="99"/>
              <w:rPr>
                <w:b/>
                <w:sz w:val="20"/>
              </w:rPr>
            </w:pPr>
            <w:r>
              <w:rPr>
                <w:b/>
                <w:sz w:val="20"/>
              </w:rPr>
              <w:t>electronic_recor dation_of_custod</w:t>
            </w:r>
          </w:p>
        </w:tc>
        <w:tc>
          <w:tcPr>
            <w:tcW w:w="1596" w:type="dxa"/>
          </w:tcPr>
          <w:p w14:paraId="3F6F7E93" w14:textId="77777777" w:rsidR="0046798B" w:rsidRDefault="00903B5C">
            <w:pPr>
              <w:pStyle w:val="TableParagraph"/>
              <w:spacing w:before="43"/>
              <w:ind w:left="114" w:right="185"/>
              <w:rPr>
                <w:sz w:val="20"/>
              </w:rPr>
            </w:pPr>
            <w:r>
              <w:rPr>
                <w:sz w:val="20"/>
              </w:rPr>
              <w:t>Improve the fairness and professionalism associated with electronic recordings</w:t>
            </w:r>
          </w:p>
        </w:tc>
        <w:tc>
          <w:tcPr>
            <w:tcW w:w="1285" w:type="dxa"/>
          </w:tcPr>
          <w:p w14:paraId="3357A0A6" w14:textId="77777777" w:rsidR="0046798B" w:rsidRDefault="0046798B">
            <w:pPr>
              <w:pStyle w:val="TableParagraph"/>
            </w:pPr>
          </w:p>
          <w:p w14:paraId="43BAD293" w14:textId="77777777" w:rsidR="0046798B" w:rsidRDefault="0046798B">
            <w:pPr>
              <w:pStyle w:val="TableParagraph"/>
              <w:spacing w:before="9"/>
              <w:rPr>
                <w:sz w:val="31"/>
              </w:rPr>
            </w:pPr>
          </w:p>
          <w:p w14:paraId="712D3C2C" w14:textId="77777777" w:rsidR="0046798B" w:rsidRDefault="00903B5C">
            <w:pPr>
              <w:pStyle w:val="TableParagraph"/>
              <w:ind w:left="114"/>
              <w:rPr>
                <w:sz w:val="20"/>
              </w:rPr>
            </w:pPr>
            <w:r>
              <w:rPr>
                <w:sz w:val="20"/>
              </w:rPr>
              <w:t>2011–2014</w:t>
            </w:r>
          </w:p>
        </w:tc>
        <w:tc>
          <w:tcPr>
            <w:tcW w:w="3421" w:type="dxa"/>
          </w:tcPr>
          <w:p w14:paraId="6F6A5DF7" w14:textId="77777777" w:rsidR="0046798B" w:rsidRDefault="0046798B">
            <w:pPr>
              <w:pStyle w:val="TableParagraph"/>
            </w:pPr>
          </w:p>
          <w:p w14:paraId="5EA3C1D8" w14:textId="77777777" w:rsidR="0046798B" w:rsidRDefault="0046798B">
            <w:pPr>
              <w:pStyle w:val="TableParagraph"/>
              <w:spacing w:before="9"/>
              <w:rPr>
                <w:sz w:val="21"/>
              </w:rPr>
            </w:pPr>
          </w:p>
          <w:p w14:paraId="4B5051B6" w14:textId="77777777" w:rsidR="0046798B" w:rsidRDefault="00903B5C">
            <w:pPr>
              <w:pStyle w:val="TableParagraph"/>
              <w:ind w:left="114" w:right="1475"/>
              <w:rPr>
                <w:sz w:val="20"/>
              </w:rPr>
            </w:pPr>
            <w:r>
              <w:rPr>
                <w:sz w:val="20"/>
              </w:rPr>
              <w:t>0 = policy not adopted 1 = policy adopted</w:t>
            </w:r>
          </w:p>
        </w:tc>
        <w:tc>
          <w:tcPr>
            <w:tcW w:w="6482" w:type="dxa"/>
          </w:tcPr>
          <w:p w14:paraId="635B8F94" w14:textId="77777777" w:rsidR="0046798B" w:rsidRDefault="00903B5C">
            <w:pPr>
              <w:pStyle w:val="TableParagraph"/>
              <w:spacing w:before="43"/>
              <w:ind w:left="114"/>
              <w:rPr>
                <w:sz w:val="20"/>
              </w:rPr>
            </w:pPr>
            <w:r>
              <w:rPr>
                <w:sz w:val="20"/>
              </w:rPr>
              <w:t xml:space="preserve">Uniform Law Commission website: </w:t>
            </w:r>
            <w:hyperlink r:id="rId712">
              <w:r>
                <w:rPr>
                  <w:color w:val="0462C1"/>
                  <w:sz w:val="20"/>
                  <w:u w:val="single" w:color="0462C1"/>
                </w:rPr>
                <w:t>http://www.uniformlaws.org/</w:t>
              </w:r>
            </w:hyperlink>
          </w:p>
          <w:p w14:paraId="4AA00026" w14:textId="77777777" w:rsidR="0046798B" w:rsidRDefault="0046798B">
            <w:pPr>
              <w:pStyle w:val="TableParagraph"/>
              <w:rPr>
                <w:sz w:val="20"/>
              </w:rPr>
            </w:pPr>
          </w:p>
          <w:p w14:paraId="77329468"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bl>
    <w:p w14:paraId="0CE667B6" w14:textId="77777777" w:rsidR="0046798B" w:rsidRDefault="0046798B">
      <w:pPr>
        <w:rPr>
          <w:sz w:val="20"/>
        </w:rPr>
        <w:sectPr w:rsidR="0046798B">
          <w:pgSz w:w="15840" w:h="12240" w:orient="landscape"/>
          <w:pgMar w:top="1220" w:right="300" w:bottom="980" w:left="820" w:header="730" w:footer="787" w:gutter="0"/>
          <w:cols w:space="720"/>
        </w:sectPr>
      </w:pPr>
    </w:p>
    <w:p w14:paraId="7E25656A"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70C30336" w14:textId="77777777">
        <w:trPr>
          <w:trHeight w:val="2386"/>
        </w:trPr>
        <w:tc>
          <w:tcPr>
            <w:tcW w:w="1711" w:type="dxa"/>
          </w:tcPr>
          <w:p w14:paraId="7BB08B77" w14:textId="77777777" w:rsidR="0046798B" w:rsidRDefault="0046798B">
            <w:pPr>
              <w:pStyle w:val="TableParagraph"/>
            </w:pPr>
          </w:p>
          <w:p w14:paraId="3EE34D17" w14:textId="77777777" w:rsidR="0046798B" w:rsidRDefault="0046798B">
            <w:pPr>
              <w:pStyle w:val="TableParagraph"/>
            </w:pPr>
          </w:p>
          <w:p w14:paraId="311144BF" w14:textId="77777777" w:rsidR="0046798B" w:rsidRDefault="0046798B">
            <w:pPr>
              <w:pStyle w:val="TableParagraph"/>
            </w:pPr>
          </w:p>
          <w:p w14:paraId="7E87219C" w14:textId="77777777" w:rsidR="0046798B" w:rsidRDefault="0046798B">
            <w:pPr>
              <w:pStyle w:val="TableParagraph"/>
              <w:spacing w:before="9"/>
              <w:rPr>
                <w:sz w:val="17"/>
              </w:rPr>
            </w:pPr>
          </w:p>
          <w:p w14:paraId="21214FCA" w14:textId="77777777" w:rsidR="0046798B" w:rsidRDefault="00903B5C">
            <w:pPr>
              <w:pStyle w:val="TableParagraph"/>
              <w:ind w:left="115" w:right="88"/>
              <w:rPr>
                <w:b/>
                <w:sz w:val="20"/>
              </w:rPr>
            </w:pPr>
            <w:r>
              <w:rPr>
                <w:b/>
                <w:sz w:val="20"/>
              </w:rPr>
              <w:t>electronic_transa ctions_act</w:t>
            </w:r>
          </w:p>
        </w:tc>
        <w:tc>
          <w:tcPr>
            <w:tcW w:w="1596" w:type="dxa"/>
          </w:tcPr>
          <w:p w14:paraId="15FEC470" w14:textId="77777777" w:rsidR="0046798B" w:rsidRDefault="00903B5C">
            <w:pPr>
              <w:pStyle w:val="TableParagraph"/>
              <w:spacing w:before="43"/>
              <w:ind w:left="114" w:right="235"/>
              <w:rPr>
                <w:sz w:val="20"/>
              </w:rPr>
            </w:pPr>
            <w:r>
              <w:rPr>
                <w:sz w:val="20"/>
              </w:rPr>
              <w:t>Establishes the legal equivalence of electronic records and signatures with paper writings and manually signed signatures</w:t>
            </w:r>
          </w:p>
        </w:tc>
        <w:tc>
          <w:tcPr>
            <w:tcW w:w="1285" w:type="dxa"/>
          </w:tcPr>
          <w:p w14:paraId="69C2BE2C" w14:textId="77777777" w:rsidR="0046798B" w:rsidRDefault="0046798B">
            <w:pPr>
              <w:pStyle w:val="TableParagraph"/>
            </w:pPr>
          </w:p>
          <w:p w14:paraId="6F0694BE" w14:textId="77777777" w:rsidR="0046798B" w:rsidRDefault="0046798B">
            <w:pPr>
              <w:pStyle w:val="TableParagraph"/>
            </w:pPr>
          </w:p>
          <w:p w14:paraId="6A853967" w14:textId="77777777" w:rsidR="0046798B" w:rsidRDefault="0046798B">
            <w:pPr>
              <w:pStyle w:val="TableParagraph"/>
            </w:pPr>
          </w:p>
          <w:p w14:paraId="13F81257" w14:textId="77777777" w:rsidR="0046798B" w:rsidRDefault="0046798B">
            <w:pPr>
              <w:pStyle w:val="TableParagraph"/>
              <w:spacing w:before="9"/>
              <w:rPr>
                <w:sz w:val="27"/>
              </w:rPr>
            </w:pPr>
          </w:p>
          <w:p w14:paraId="2EE458FE" w14:textId="77777777" w:rsidR="0046798B" w:rsidRDefault="00903B5C">
            <w:pPr>
              <w:pStyle w:val="TableParagraph"/>
              <w:ind w:left="114"/>
              <w:rPr>
                <w:sz w:val="20"/>
              </w:rPr>
            </w:pPr>
            <w:r>
              <w:rPr>
                <w:sz w:val="20"/>
              </w:rPr>
              <w:t>1999–2009</w:t>
            </w:r>
          </w:p>
        </w:tc>
        <w:tc>
          <w:tcPr>
            <w:tcW w:w="3421" w:type="dxa"/>
          </w:tcPr>
          <w:p w14:paraId="0936C365" w14:textId="77777777" w:rsidR="0046798B" w:rsidRDefault="0046798B">
            <w:pPr>
              <w:pStyle w:val="TableParagraph"/>
            </w:pPr>
          </w:p>
          <w:p w14:paraId="14F2B93C" w14:textId="77777777" w:rsidR="0046798B" w:rsidRDefault="0046798B">
            <w:pPr>
              <w:pStyle w:val="TableParagraph"/>
            </w:pPr>
          </w:p>
          <w:p w14:paraId="3EB8E779" w14:textId="77777777" w:rsidR="0046798B" w:rsidRDefault="0046798B">
            <w:pPr>
              <w:pStyle w:val="TableParagraph"/>
            </w:pPr>
          </w:p>
          <w:p w14:paraId="5694DB08" w14:textId="77777777" w:rsidR="0046798B" w:rsidRDefault="0046798B">
            <w:pPr>
              <w:pStyle w:val="TableParagraph"/>
              <w:spacing w:before="9"/>
              <w:rPr>
                <w:sz w:val="17"/>
              </w:rPr>
            </w:pPr>
          </w:p>
          <w:p w14:paraId="27A3A616" w14:textId="77777777" w:rsidR="0046798B" w:rsidRDefault="00903B5C">
            <w:pPr>
              <w:pStyle w:val="TableParagraph"/>
              <w:ind w:left="114" w:right="1475"/>
              <w:rPr>
                <w:sz w:val="20"/>
              </w:rPr>
            </w:pPr>
            <w:r>
              <w:rPr>
                <w:sz w:val="20"/>
              </w:rPr>
              <w:t>0 = policy not adopted 1 = policy adopted</w:t>
            </w:r>
          </w:p>
        </w:tc>
        <w:tc>
          <w:tcPr>
            <w:tcW w:w="6482" w:type="dxa"/>
          </w:tcPr>
          <w:p w14:paraId="4C276E36" w14:textId="77777777" w:rsidR="0046798B" w:rsidRDefault="0046798B">
            <w:pPr>
              <w:pStyle w:val="TableParagraph"/>
            </w:pPr>
          </w:p>
          <w:p w14:paraId="1FBBEDC1" w14:textId="77777777" w:rsidR="0046798B" w:rsidRDefault="0046798B">
            <w:pPr>
              <w:pStyle w:val="TableParagraph"/>
              <w:spacing w:before="9"/>
              <w:rPr>
                <w:sz w:val="21"/>
              </w:rPr>
            </w:pPr>
          </w:p>
          <w:p w14:paraId="079CBA51" w14:textId="77777777" w:rsidR="0046798B" w:rsidRDefault="00903B5C">
            <w:pPr>
              <w:pStyle w:val="TableParagraph"/>
              <w:ind w:left="114"/>
              <w:rPr>
                <w:sz w:val="20"/>
              </w:rPr>
            </w:pPr>
            <w:r>
              <w:rPr>
                <w:sz w:val="20"/>
              </w:rPr>
              <w:t xml:space="preserve">Uniform Law Commission website: </w:t>
            </w:r>
            <w:hyperlink r:id="rId713">
              <w:r>
                <w:rPr>
                  <w:color w:val="0462C1"/>
                  <w:sz w:val="20"/>
                  <w:u w:val="single" w:color="0462C1"/>
                </w:rPr>
                <w:t>http://www.uniformlaws.org/</w:t>
              </w:r>
            </w:hyperlink>
          </w:p>
          <w:p w14:paraId="22A4678E" w14:textId="77777777" w:rsidR="0046798B" w:rsidRDefault="0046798B">
            <w:pPr>
              <w:pStyle w:val="TableParagraph"/>
              <w:rPr>
                <w:sz w:val="20"/>
              </w:rPr>
            </w:pPr>
          </w:p>
          <w:p w14:paraId="182579EC"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666A7D5B" w14:textId="77777777">
        <w:trPr>
          <w:trHeight w:val="1465"/>
        </w:trPr>
        <w:tc>
          <w:tcPr>
            <w:tcW w:w="1711" w:type="dxa"/>
          </w:tcPr>
          <w:p w14:paraId="045F1C77" w14:textId="77777777" w:rsidR="0046798B" w:rsidRDefault="0046798B">
            <w:pPr>
              <w:pStyle w:val="TableParagraph"/>
            </w:pPr>
          </w:p>
          <w:p w14:paraId="4FD3BFCC" w14:textId="77777777" w:rsidR="0046798B" w:rsidRDefault="00903B5C">
            <w:pPr>
              <w:pStyle w:val="TableParagraph"/>
              <w:spacing w:before="135"/>
              <w:ind w:left="115" w:right="113"/>
              <w:jc w:val="both"/>
              <w:rPr>
                <w:b/>
                <w:sz w:val="20"/>
              </w:rPr>
            </w:pPr>
            <w:r>
              <w:rPr>
                <w:b/>
                <w:sz w:val="20"/>
              </w:rPr>
              <w:t>enforcement_of_ foreign_judgmen ts</w:t>
            </w:r>
          </w:p>
        </w:tc>
        <w:tc>
          <w:tcPr>
            <w:tcW w:w="1596" w:type="dxa"/>
          </w:tcPr>
          <w:p w14:paraId="0971C24A" w14:textId="77777777" w:rsidR="0046798B" w:rsidRDefault="00903B5C">
            <w:pPr>
              <w:pStyle w:val="TableParagraph"/>
              <w:spacing w:before="43"/>
              <w:ind w:left="114" w:right="257"/>
              <w:rPr>
                <w:sz w:val="20"/>
              </w:rPr>
            </w:pPr>
            <w:r>
              <w:rPr>
                <w:sz w:val="20"/>
              </w:rPr>
              <w:t>Provides a simplified way of enforcing judgments entered in another state</w:t>
            </w:r>
          </w:p>
        </w:tc>
        <w:tc>
          <w:tcPr>
            <w:tcW w:w="1285" w:type="dxa"/>
          </w:tcPr>
          <w:p w14:paraId="6C3747CE" w14:textId="77777777" w:rsidR="0046798B" w:rsidRDefault="0046798B">
            <w:pPr>
              <w:pStyle w:val="TableParagraph"/>
            </w:pPr>
          </w:p>
          <w:p w14:paraId="1FCA8926" w14:textId="77777777" w:rsidR="0046798B" w:rsidRDefault="0046798B">
            <w:pPr>
              <w:pStyle w:val="TableParagraph"/>
              <w:spacing w:before="9"/>
              <w:rPr>
                <w:sz w:val="31"/>
              </w:rPr>
            </w:pPr>
          </w:p>
          <w:p w14:paraId="37FC2C14" w14:textId="77777777" w:rsidR="0046798B" w:rsidRDefault="00903B5C">
            <w:pPr>
              <w:pStyle w:val="TableParagraph"/>
              <w:ind w:left="114"/>
              <w:rPr>
                <w:sz w:val="20"/>
              </w:rPr>
            </w:pPr>
            <w:r>
              <w:rPr>
                <w:sz w:val="20"/>
              </w:rPr>
              <w:t>1953–1997</w:t>
            </w:r>
          </w:p>
        </w:tc>
        <w:tc>
          <w:tcPr>
            <w:tcW w:w="3421" w:type="dxa"/>
          </w:tcPr>
          <w:p w14:paraId="6033DAB9" w14:textId="77777777" w:rsidR="0046798B" w:rsidRDefault="0046798B">
            <w:pPr>
              <w:pStyle w:val="TableParagraph"/>
            </w:pPr>
          </w:p>
          <w:p w14:paraId="405AD4C8" w14:textId="77777777" w:rsidR="0046798B" w:rsidRDefault="0046798B">
            <w:pPr>
              <w:pStyle w:val="TableParagraph"/>
              <w:spacing w:before="9"/>
              <w:rPr>
                <w:sz w:val="21"/>
              </w:rPr>
            </w:pPr>
          </w:p>
          <w:p w14:paraId="77A1D3DF" w14:textId="77777777" w:rsidR="0046798B" w:rsidRDefault="00903B5C">
            <w:pPr>
              <w:pStyle w:val="TableParagraph"/>
              <w:ind w:left="114" w:right="1475"/>
              <w:rPr>
                <w:sz w:val="20"/>
              </w:rPr>
            </w:pPr>
            <w:r>
              <w:rPr>
                <w:sz w:val="20"/>
              </w:rPr>
              <w:t>0 = policy not adopted 1 = policy adopted</w:t>
            </w:r>
          </w:p>
        </w:tc>
        <w:tc>
          <w:tcPr>
            <w:tcW w:w="6482" w:type="dxa"/>
          </w:tcPr>
          <w:p w14:paraId="1649FC56" w14:textId="77777777" w:rsidR="0046798B" w:rsidRDefault="00903B5C">
            <w:pPr>
              <w:pStyle w:val="TableParagraph"/>
              <w:spacing w:before="43"/>
              <w:ind w:left="114"/>
              <w:rPr>
                <w:sz w:val="20"/>
              </w:rPr>
            </w:pPr>
            <w:r>
              <w:rPr>
                <w:sz w:val="20"/>
              </w:rPr>
              <w:t xml:space="preserve">Uniform Law Commission website: </w:t>
            </w:r>
            <w:hyperlink r:id="rId714">
              <w:r>
                <w:rPr>
                  <w:color w:val="0462C1"/>
                  <w:sz w:val="20"/>
                  <w:u w:val="single" w:color="0462C1"/>
                </w:rPr>
                <w:t>http://www.uniformlaws.org/</w:t>
              </w:r>
            </w:hyperlink>
          </w:p>
          <w:p w14:paraId="2F623F7E" w14:textId="77777777" w:rsidR="0046798B" w:rsidRDefault="0046798B">
            <w:pPr>
              <w:pStyle w:val="TableParagraph"/>
              <w:rPr>
                <w:sz w:val="20"/>
              </w:rPr>
            </w:pPr>
          </w:p>
          <w:p w14:paraId="672A8CDA"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45362E76" w14:textId="77777777">
        <w:trPr>
          <w:trHeight w:val="1930"/>
        </w:trPr>
        <w:tc>
          <w:tcPr>
            <w:tcW w:w="1711" w:type="dxa"/>
          </w:tcPr>
          <w:p w14:paraId="1E57F70F" w14:textId="77777777" w:rsidR="0046798B" w:rsidRDefault="0046798B">
            <w:pPr>
              <w:pStyle w:val="TableParagraph"/>
            </w:pPr>
          </w:p>
          <w:p w14:paraId="2FADBC9D" w14:textId="77777777" w:rsidR="0046798B" w:rsidRDefault="0046798B">
            <w:pPr>
              <w:pStyle w:val="TableParagraph"/>
            </w:pPr>
          </w:p>
          <w:p w14:paraId="3729956C" w14:textId="77777777" w:rsidR="0046798B" w:rsidRDefault="0046798B">
            <w:pPr>
              <w:pStyle w:val="TableParagraph"/>
              <w:spacing w:before="9"/>
              <w:rPr>
                <w:sz w:val="19"/>
              </w:rPr>
            </w:pPr>
          </w:p>
          <w:p w14:paraId="51562786" w14:textId="77777777" w:rsidR="0046798B" w:rsidRDefault="00903B5C">
            <w:pPr>
              <w:pStyle w:val="TableParagraph"/>
              <w:ind w:left="115"/>
              <w:rPr>
                <w:b/>
                <w:sz w:val="20"/>
              </w:rPr>
            </w:pPr>
            <w:r>
              <w:rPr>
                <w:b/>
                <w:sz w:val="20"/>
              </w:rPr>
              <w:t>extradition_and_ rendition_act_m</w:t>
            </w:r>
          </w:p>
        </w:tc>
        <w:tc>
          <w:tcPr>
            <w:tcW w:w="1596" w:type="dxa"/>
          </w:tcPr>
          <w:p w14:paraId="713730F8" w14:textId="77777777" w:rsidR="0046798B" w:rsidRDefault="00903B5C">
            <w:pPr>
              <w:pStyle w:val="TableParagraph"/>
              <w:spacing w:before="43"/>
              <w:ind w:left="114" w:right="130"/>
              <w:rPr>
                <w:sz w:val="20"/>
              </w:rPr>
            </w:pPr>
            <w:r>
              <w:rPr>
                <w:sz w:val="20"/>
              </w:rPr>
              <w:t>Provides two separate procedures to be used for the retrieval of wanted persons found in another state</w:t>
            </w:r>
          </w:p>
        </w:tc>
        <w:tc>
          <w:tcPr>
            <w:tcW w:w="1285" w:type="dxa"/>
          </w:tcPr>
          <w:p w14:paraId="6D5E8C82" w14:textId="77777777" w:rsidR="0046798B" w:rsidRDefault="0046798B">
            <w:pPr>
              <w:pStyle w:val="TableParagraph"/>
            </w:pPr>
          </w:p>
          <w:p w14:paraId="5F413F27" w14:textId="77777777" w:rsidR="0046798B" w:rsidRDefault="0046798B">
            <w:pPr>
              <w:pStyle w:val="TableParagraph"/>
            </w:pPr>
          </w:p>
          <w:p w14:paraId="6520929B" w14:textId="77777777" w:rsidR="0046798B" w:rsidRDefault="0046798B">
            <w:pPr>
              <w:pStyle w:val="TableParagraph"/>
              <w:spacing w:before="9"/>
              <w:rPr>
                <w:sz w:val="29"/>
              </w:rPr>
            </w:pPr>
          </w:p>
          <w:p w14:paraId="2DA5438A" w14:textId="77777777" w:rsidR="0046798B" w:rsidRDefault="00903B5C">
            <w:pPr>
              <w:pStyle w:val="TableParagraph"/>
              <w:ind w:left="114"/>
              <w:rPr>
                <w:sz w:val="20"/>
              </w:rPr>
            </w:pPr>
            <w:r>
              <w:rPr>
                <w:sz w:val="20"/>
              </w:rPr>
              <w:t>1985</w:t>
            </w:r>
          </w:p>
        </w:tc>
        <w:tc>
          <w:tcPr>
            <w:tcW w:w="3421" w:type="dxa"/>
          </w:tcPr>
          <w:p w14:paraId="381CC8F2" w14:textId="77777777" w:rsidR="0046798B" w:rsidRDefault="0046798B">
            <w:pPr>
              <w:pStyle w:val="TableParagraph"/>
            </w:pPr>
          </w:p>
          <w:p w14:paraId="4355AE27" w14:textId="77777777" w:rsidR="0046798B" w:rsidRDefault="0046798B">
            <w:pPr>
              <w:pStyle w:val="TableParagraph"/>
            </w:pPr>
          </w:p>
          <w:p w14:paraId="4906D786" w14:textId="77777777" w:rsidR="0046798B" w:rsidRDefault="0046798B">
            <w:pPr>
              <w:pStyle w:val="TableParagraph"/>
              <w:spacing w:before="9"/>
              <w:rPr>
                <w:sz w:val="19"/>
              </w:rPr>
            </w:pPr>
          </w:p>
          <w:p w14:paraId="268702DA" w14:textId="77777777" w:rsidR="0046798B" w:rsidRDefault="00903B5C">
            <w:pPr>
              <w:pStyle w:val="TableParagraph"/>
              <w:ind w:left="114" w:right="1475"/>
              <w:rPr>
                <w:sz w:val="20"/>
              </w:rPr>
            </w:pPr>
            <w:r>
              <w:rPr>
                <w:sz w:val="20"/>
              </w:rPr>
              <w:t>0 = policy not adopted 1 = policy adopted</w:t>
            </w:r>
          </w:p>
        </w:tc>
        <w:tc>
          <w:tcPr>
            <w:tcW w:w="6482" w:type="dxa"/>
          </w:tcPr>
          <w:p w14:paraId="24853080" w14:textId="77777777" w:rsidR="0046798B" w:rsidRDefault="0046798B">
            <w:pPr>
              <w:pStyle w:val="TableParagraph"/>
              <w:spacing w:before="9"/>
              <w:rPr>
                <w:sz w:val="23"/>
              </w:rPr>
            </w:pPr>
          </w:p>
          <w:p w14:paraId="24A26708" w14:textId="77777777" w:rsidR="0046798B" w:rsidRDefault="00903B5C">
            <w:pPr>
              <w:pStyle w:val="TableParagraph"/>
              <w:ind w:left="114"/>
              <w:rPr>
                <w:sz w:val="20"/>
              </w:rPr>
            </w:pPr>
            <w:r>
              <w:rPr>
                <w:sz w:val="20"/>
              </w:rPr>
              <w:t xml:space="preserve">Uniform Law Commission website: </w:t>
            </w:r>
            <w:hyperlink r:id="rId715">
              <w:r>
                <w:rPr>
                  <w:color w:val="0462C1"/>
                  <w:sz w:val="20"/>
                  <w:u w:val="single" w:color="0462C1"/>
                </w:rPr>
                <w:t>http://www.uniformlaws.org/</w:t>
              </w:r>
            </w:hyperlink>
          </w:p>
          <w:p w14:paraId="05577128" w14:textId="77777777" w:rsidR="0046798B" w:rsidRDefault="0046798B">
            <w:pPr>
              <w:pStyle w:val="TableParagraph"/>
              <w:rPr>
                <w:sz w:val="20"/>
              </w:rPr>
            </w:pPr>
          </w:p>
          <w:p w14:paraId="069CB771"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07E4AB44" w14:textId="77777777">
        <w:trPr>
          <w:trHeight w:val="1465"/>
        </w:trPr>
        <w:tc>
          <w:tcPr>
            <w:tcW w:w="1711" w:type="dxa"/>
          </w:tcPr>
          <w:p w14:paraId="4AA1387D" w14:textId="77777777" w:rsidR="0046798B" w:rsidRDefault="0046798B">
            <w:pPr>
              <w:pStyle w:val="TableParagraph"/>
            </w:pPr>
          </w:p>
          <w:p w14:paraId="2600E229" w14:textId="77777777" w:rsidR="0046798B" w:rsidRDefault="0046798B">
            <w:pPr>
              <w:pStyle w:val="TableParagraph"/>
              <w:spacing w:before="3"/>
              <w:rPr>
                <w:sz w:val="21"/>
              </w:rPr>
            </w:pPr>
          </w:p>
          <w:p w14:paraId="0AF11511" w14:textId="77777777" w:rsidR="0046798B" w:rsidRDefault="00903B5C">
            <w:pPr>
              <w:pStyle w:val="TableParagraph"/>
              <w:spacing w:before="1"/>
              <w:ind w:left="115"/>
              <w:rPr>
                <w:b/>
                <w:sz w:val="20"/>
              </w:rPr>
            </w:pPr>
            <w:r>
              <w:rPr>
                <w:b/>
                <w:sz w:val="20"/>
              </w:rPr>
              <w:t>insanity_defense</w:t>
            </w:r>
          </w:p>
          <w:p w14:paraId="5DC1DC4E" w14:textId="77777777" w:rsidR="0046798B" w:rsidRDefault="00903B5C">
            <w:pPr>
              <w:pStyle w:val="TableParagraph"/>
              <w:ind w:left="115"/>
              <w:rPr>
                <w:b/>
                <w:sz w:val="20"/>
              </w:rPr>
            </w:pPr>
            <w:r>
              <w:rPr>
                <w:b/>
                <w:sz w:val="20"/>
              </w:rPr>
              <w:t>_and_post_trial_</w:t>
            </w:r>
          </w:p>
        </w:tc>
        <w:tc>
          <w:tcPr>
            <w:tcW w:w="1596" w:type="dxa"/>
          </w:tcPr>
          <w:p w14:paraId="712D7FD7" w14:textId="77777777" w:rsidR="0046798B" w:rsidRDefault="0046798B">
            <w:pPr>
              <w:pStyle w:val="TableParagraph"/>
              <w:spacing w:before="3"/>
              <w:rPr>
                <w:sz w:val="23"/>
              </w:rPr>
            </w:pPr>
          </w:p>
          <w:p w14:paraId="798E3D55" w14:textId="77777777" w:rsidR="0046798B" w:rsidRDefault="00903B5C">
            <w:pPr>
              <w:pStyle w:val="TableParagraph"/>
              <w:spacing w:before="1"/>
              <w:ind w:left="114" w:right="96"/>
              <w:rPr>
                <w:sz w:val="20"/>
              </w:rPr>
            </w:pPr>
            <w:r>
              <w:rPr>
                <w:sz w:val="20"/>
              </w:rPr>
              <w:t>Provides cognitive test for determining insanity</w:t>
            </w:r>
          </w:p>
        </w:tc>
        <w:tc>
          <w:tcPr>
            <w:tcW w:w="1285" w:type="dxa"/>
          </w:tcPr>
          <w:p w14:paraId="60D3EB2D" w14:textId="77777777" w:rsidR="0046798B" w:rsidRDefault="0046798B">
            <w:pPr>
              <w:pStyle w:val="TableParagraph"/>
            </w:pPr>
          </w:p>
          <w:p w14:paraId="3CF1FC95" w14:textId="77777777" w:rsidR="0046798B" w:rsidRDefault="0046798B">
            <w:pPr>
              <w:pStyle w:val="TableParagraph"/>
              <w:spacing w:before="4"/>
              <w:rPr>
                <w:sz w:val="31"/>
              </w:rPr>
            </w:pPr>
          </w:p>
          <w:p w14:paraId="2A73B4CD" w14:textId="77777777" w:rsidR="0046798B" w:rsidRDefault="00903B5C">
            <w:pPr>
              <w:pStyle w:val="TableParagraph"/>
              <w:ind w:left="114"/>
              <w:rPr>
                <w:sz w:val="20"/>
              </w:rPr>
            </w:pPr>
            <w:r>
              <w:rPr>
                <w:sz w:val="20"/>
              </w:rPr>
              <w:t>1985</w:t>
            </w:r>
          </w:p>
        </w:tc>
        <w:tc>
          <w:tcPr>
            <w:tcW w:w="3421" w:type="dxa"/>
          </w:tcPr>
          <w:p w14:paraId="33EBD9B1" w14:textId="77777777" w:rsidR="0046798B" w:rsidRDefault="0046798B">
            <w:pPr>
              <w:pStyle w:val="TableParagraph"/>
            </w:pPr>
          </w:p>
          <w:p w14:paraId="7A0B1E22" w14:textId="77777777" w:rsidR="0046798B" w:rsidRDefault="0046798B">
            <w:pPr>
              <w:pStyle w:val="TableParagraph"/>
              <w:spacing w:before="3"/>
              <w:rPr>
                <w:sz w:val="21"/>
              </w:rPr>
            </w:pPr>
          </w:p>
          <w:p w14:paraId="178FFF75"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0A47DDC9" w14:textId="77777777" w:rsidR="0046798B" w:rsidRDefault="00903B5C">
            <w:pPr>
              <w:pStyle w:val="TableParagraph"/>
              <w:spacing w:before="38"/>
              <w:ind w:left="114"/>
              <w:rPr>
                <w:sz w:val="20"/>
              </w:rPr>
            </w:pPr>
            <w:r>
              <w:rPr>
                <w:sz w:val="20"/>
              </w:rPr>
              <w:t xml:space="preserve">Uniform Law Commission website: </w:t>
            </w:r>
            <w:hyperlink r:id="rId716">
              <w:r>
                <w:rPr>
                  <w:color w:val="0462C1"/>
                  <w:sz w:val="20"/>
                  <w:u w:val="single" w:color="0462C1"/>
                </w:rPr>
                <w:t>http://www.uniformlaws.org/</w:t>
              </w:r>
            </w:hyperlink>
          </w:p>
          <w:p w14:paraId="021416EE" w14:textId="77777777" w:rsidR="0046798B" w:rsidRDefault="0046798B">
            <w:pPr>
              <w:pStyle w:val="TableParagraph"/>
              <w:rPr>
                <w:sz w:val="20"/>
              </w:rPr>
            </w:pPr>
          </w:p>
          <w:p w14:paraId="57C050B2"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7F5D2FA4" w14:textId="77777777">
        <w:trPr>
          <w:trHeight w:val="1695"/>
        </w:trPr>
        <w:tc>
          <w:tcPr>
            <w:tcW w:w="1711" w:type="dxa"/>
          </w:tcPr>
          <w:p w14:paraId="6A8AF7B6" w14:textId="77777777" w:rsidR="0046798B" w:rsidRDefault="0046798B">
            <w:pPr>
              <w:pStyle w:val="TableParagraph"/>
            </w:pPr>
          </w:p>
          <w:p w14:paraId="704E012B" w14:textId="77777777" w:rsidR="0046798B" w:rsidRDefault="0046798B">
            <w:pPr>
              <w:pStyle w:val="TableParagraph"/>
              <w:spacing w:before="4"/>
              <w:rPr>
                <w:sz w:val="31"/>
              </w:rPr>
            </w:pPr>
          </w:p>
          <w:p w14:paraId="7B8FB8B7" w14:textId="77777777" w:rsidR="0046798B" w:rsidRDefault="00903B5C">
            <w:pPr>
              <w:pStyle w:val="TableParagraph"/>
              <w:ind w:left="115" w:right="110"/>
              <w:rPr>
                <w:b/>
                <w:sz w:val="20"/>
              </w:rPr>
            </w:pPr>
            <w:r>
              <w:rPr>
                <w:b/>
                <w:sz w:val="20"/>
              </w:rPr>
              <w:t>interstate_deposi tions_and_disco</w:t>
            </w:r>
          </w:p>
        </w:tc>
        <w:tc>
          <w:tcPr>
            <w:tcW w:w="1596" w:type="dxa"/>
          </w:tcPr>
          <w:p w14:paraId="53AE4C79" w14:textId="77777777" w:rsidR="0046798B" w:rsidRDefault="00903B5C">
            <w:pPr>
              <w:pStyle w:val="TableParagraph"/>
              <w:spacing w:before="38"/>
              <w:ind w:left="114" w:right="185"/>
              <w:rPr>
                <w:sz w:val="20"/>
              </w:rPr>
            </w:pPr>
            <w:r>
              <w:rPr>
                <w:sz w:val="20"/>
              </w:rPr>
              <w:t>Provides simple procedures for courts in one state to issue subpoenas for out-of-state depositions</w:t>
            </w:r>
          </w:p>
        </w:tc>
        <w:tc>
          <w:tcPr>
            <w:tcW w:w="1285" w:type="dxa"/>
          </w:tcPr>
          <w:p w14:paraId="60B8B1DF" w14:textId="77777777" w:rsidR="0046798B" w:rsidRDefault="0046798B">
            <w:pPr>
              <w:pStyle w:val="TableParagraph"/>
            </w:pPr>
          </w:p>
          <w:p w14:paraId="288C91C7" w14:textId="77777777" w:rsidR="0046798B" w:rsidRDefault="0046798B">
            <w:pPr>
              <w:pStyle w:val="TableParagraph"/>
            </w:pPr>
          </w:p>
          <w:p w14:paraId="33C149FF" w14:textId="77777777" w:rsidR="0046798B" w:rsidRDefault="0046798B">
            <w:pPr>
              <w:pStyle w:val="TableParagraph"/>
              <w:spacing w:before="4"/>
              <w:rPr>
                <w:sz w:val="19"/>
              </w:rPr>
            </w:pPr>
          </w:p>
          <w:p w14:paraId="19409926" w14:textId="77777777" w:rsidR="0046798B" w:rsidRDefault="00903B5C">
            <w:pPr>
              <w:pStyle w:val="TableParagraph"/>
              <w:ind w:left="114"/>
              <w:rPr>
                <w:sz w:val="20"/>
              </w:rPr>
            </w:pPr>
            <w:r>
              <w:rPr>
                <w:sz w:val="20"/>
              </w:rPr>
              <w:t>2008–2016</w:t>
            </w:r>
          </w:p>
        </w:tc>
        <w:tc>
          <w:tcPr>
            <w:tcW w:w="3421" w:type="dxa"/>
          </w:tcPr>
          <w:p w14:paraId="5E4014A7" w14:textId="77777777" w:rsidR="0046798B" w:rsidRDefault="0046798B">
            <w:pPr>
              <w:pStyle w:val="TableParagraph"/>
            </w:pPr>
          </w:p>
          <w:p w14:paraId="5B65404E" w14:textId="77777777" w:rsidR="0046798B" w:rsidRDefault="0046798B">
            <w:pPr>
              <w:pStyle w:val="TableParagraph"/>
              <w:spacing w:before="4"/>
              <w:rPr>
                <w:sz w:val="31"/>
              </w:rPr>
            </w:pPr>
          </w:p>
          <w:p w14:paraId="5660D0EB" w14:textId="77777777" w:rsidR="0046798B" w:rsidRDefault="00903B5C">
            <w:pPr>
              <w:pStyle w:val="TableParagraph"/>
              <w:ind w:left="114" w:right="1475"/>
              <w:rPr>
                <w:sz w:val="20"/>
              </w:rPr>
            </w:pPr>
            <w:r>
              <w:rPr>
                <w:sz w:val="20"/>
              </w:rPr>
              <w:t>0 = policy not adopted 1 = policy adopted</w:t>
            </w:r>
          </w:p>
        </w:tc>
        <w:tc>
          <w:tcPr>
            <w:tcW w:w="6482" w:type="dxa"/>
          </w:tcPr>
          <w:p w14:paraId="5B3BA661" w14:textId="77777777" w:rsidR="0046798B" w:rsidRDefault="00903B5C">
            <w:pPr>
              <w:pStyle w:val="TableParagraph"/>
              <w:spacing w:before="153"/>
              <w:ind w:left="114"/>
              <w:rPr>
                <w:sz w:val="20"/>
              </w:rPr>
            </w:pPr>
            <w:r>
              <w:rPr>
                <w:sz w:val="20"/>
              </w:rPr>
              <w:t xml:space="preserve">Uniform Law Commission website: </w:t>
            </w:r>
            <w:hyperlink r:id="rId717">
              <w:r>
                <w:rPr>
                  <w:color w:val="0462C1"/>
                  <w:sz w:val="20"/>
                  <w:u w:val="single" w:color="0462C1"/>
                </w:rPr>
                <w:t>http://www.uniformlaws.org/</w:t>
              </w:r>
            </w:hyperlink>
          </w:p>
          <w:p w14:paraId="1A6ABD5E" w14:textId="77777777" w:rsidR="0046798B" w:rsidRDefault="0046798B">
            <w:pPr>
              <w:pStyle w:val="TableParagraph"/>
              <w:rPr>
                <w:sz w:val="20"/>
              </w:rPr>
            </w:pPr>
          </w:p>
          <w:p w14:paraId="0BEF88BB"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bl>
    <w:p w14:paraId="34F9B23F" w14:textId="77777777" w:rsidR="0046798B" w:rsidRDefault="0046798B">
      <w:pPr>
        <w:rPr>
          <w:sz w:val="20"/>
        </w:rPr>
        <w:sectPr w:rsidR="0046798B">
          <w:pgSz w:w="15840" w:h="12240" w:orient="landscape"/>
          <w:pgMar w:top="1220" w:right="300" w:bottom="980" w:left="820" w:header="730" w:footer="787" w:gutter="0"/>
          <w:cols w:space="720"/>
        </w:sectPr>
      </w:pPr>
    </w:p>
    <w:p w14:paraId="6A37E48A"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BFA4A3F" w14:textId="77777777">
        <w:trPr>
          <w:trHeight w:val="2846"/>
        </w:trPr>
        <w:tc>
          <w:tcPr>
            <w:tcW w:w="1711" w:type="dxa"/>
          </w:tcPr>
          <w:p w14:paraId="7D47712C" w14:textId="77777777" w:rsidR="0046798B" w:rsidRDefault="0046798B">
            <w:pPr>
              <w:pStyle w:val="TableParagraph"/>
            </w:pPr>
          </w:p>
          <w:p w14:paraId="38CDAC88" w14:textId="77777777" w:rsidR="0046798B" w:rsidRDefault="0046798B">
            <w:pPr>
              <w:pStyle w:val="TableParagraph"/>
            </w:pPr>
          </w:p>
          <w:p w14:paraId="4560A783" w14:textId="77777777" w:rsidR="0046798B" w:rsidRDefault="0046798B">
            <w:pPr>
              <w:pStyle w:val="TableParagraph"/>
            </w:pPr>
          </w:p>
          <w:p w14:paraId="280718B8" w14:textId="77777777" w:rsidR="0046798B" w:rsidRDefault="0046798B">
            <w:pPr>
              <w:pStyle w:val="TableParagraph"/>
              <w:spacing w:before="9"/>
              <w:rPr>
                <w:sz w:val="27"/>
              </w:rPr>
            </w:pPr>
          </w:p>
          <w:p w14:paraId="334C134D" w14:textId="77777777" w:rsidR="0046798B" w:rsidRDefault="00903B5C">
            <w:pPr>
              <w:pStyle w:val="TableParagraph"/>
              <w:ind w:left="115" w:right="126"/>
              <w:jc w:val="both"/>
              <w:rPr>
                <w:b/>
                <w:sz w:val="20"/>
              </w:rPr>
            </w:pPr>
            <w:r>
              <w:rPr>
                <w:b/>
                <w:sz w:val="20"/>
              </w:rPr>
              <w:t>interstate_enforc ement_of_domes t</w:t>
            </w:r>
          </w:p>
        </w:tc>
        <w:tc>
          <w:tcPr>
            <w:tcW w:w="1596" w:type="dxa"/>
          </w:tcPr>
          <w:p w14:paraId="088D3D41" w14:textId="77777777" w:rsidR="0046798B" w:rsidRDefault="00903B5C">
            <w:pPr>
              <w:pStyle w:val="TableParagraph"/>
              <w:spacing w:before="43"/>
              <w:ind w:left="114" w:right="109"/>
              <w:rPr>
                <w:sz w:val="20"/>
              </w:rPr>
            </w:pPr>
            <w:r>
              <w:rPr>
                <w:sz w:val="20"/>
              </w:rPr>
              <w:t xml:space="preserve">Gives law enforcement and the courts a means of either warning off victimizers by weight of the law or by </w:t>
            </w:r>
            <w:r>
              <w:rPr>
                <w:spacing w:val="-3"/>
                <w:sz w:val="20"/>
              </w:rPr>
              <w:t xml:space="preserve">getting </w:t>
            </w:r>
            <w:r>
              <w:rPr>
                <w:sz w:val="20"/>
              </w:rPr>
              <w:t>them into custody before actual harm occurs</w:t>
            </w:r>
          </w:p>
        </w:tc>
        <w:tc>
          <w:tcPr>
            <w:tcW w:w="1285" w:type="dxa"/>
          </w:tcPr>
          <w:p w14:paraId="2D7396A5" w14:textId="77777777" w:rsidR="0046798B" w:rsidRDefault="0046798B">
            <w:pPr>
              <w:pStyle w:val="TableParagraph"/>
            </w:pPr>
          </w:p>
          <w:p w14:paraId="4666FBFA" w14:textId="77777777" w:rsidR="0046798B" w:rsidRDefault="0046798B">
            <w:pPr>
              <w:pStyle w:val="TableParagraph"/>
            </w:pPr>
          </w:p>
          <w:p w14:paraId="77DD7CF5" w14:textId="77777777" w:rsidR="0046798B" w:rsidRDefault="0046798B">
            <w:pPr>
              <w:pStyle w:val="TableParagraph"/>
            </w:pPr>
          </w:p>
          <w:p w14:paraId="070FCCBA" w14:textId="77777777" w:rsidR="0046798B" w:rsidRDefault="0046798B">
            <w:pPr>
              <w:pStyle w:val="TableParagraph"/>
            </w:pPr>
          </w:p>
          <w:p w14:paraId="042DA9A8" w14:textId="77777777" w:rsidR="0046798B" w:rsidRDefault="0046798B">
            <w:pPr>
              <w:pStyle w:val="TableParagraph"/>
              <w:spacing w:before="9"/>
              <w:rPr>
                <w:sz w:val="25"/>
              </w:rPr>
            </w:pPr>
          </w:p>
          <w:p w14:paraId="66D23A57" w14:textId="77777777" w:rsidR="0046798B" w:rsidRDefault="00903B5C">
            <w:pPr>
              <w:pStyle w:val="TableParagraph"/>
              <w:ind w:left="114"/>
              <w:rPr>
                <w:sz w:val="20"/>
              </w:rPr>
            </w:pPr>
            <w:r>
              <w:rPr>
                <w:sz w:val="20"/>
              </w:rPr>
              <w:t>2001–2016</w:t>
            </w:r>
          </w:p>
        </w:tc>
        <w:tc>
          <w:tcPr>
            <w:tcW w:w="3421" w:type="dxa"/>
          </w:tcPr>
          <w:p w14:paraId="2A15112B" w14:textId="77777777" w:rsidR="0046798B" w:rsidRDefault="0046798B">
            <w:pPr>
              <w:pStyle w:val="TableParagraph"/>
            </w:pPr>
          </w:p>
          <w:p w14:paraId="0540783D" w14:textId="77777777" w:rsidR="0046798B" w:rsidRDefault="0046798B">
            <w:pPr>
              <w:pStyle w:val="TableParagraph"/>
            </w:pPr>
          </w:p>
          <w:p w14:paraId="155178EE" w14:textId="77777777" w:rsidR="0046798B" w:rsidRDefault="0046798B">
            <w:pPr>
              <w:pStyle w:val="TableParagraph"/>
            </w:pPr>
          </w:p>
          <w:p w14:paraId="719901D9" w14:textId="77777777" w:rsidR="0046798B" w:rsidRDefault="0046798B">
            <w:pPr>
              <w:pStyle w:val="TableParagraph"/>
            </w:pPr>
          </w:p>
          <w:p w14:paraId="15E8D54D" w14:textId="77777777" w:rsidR="0046798B" w:rsidRDefault="00903B5C">
            <w:pPr>
              <w:pStyle w:val="TableParagraph"/>
              <w:spacing w:before="181"/>
              <w:ind w:left="114" w:right="1475"/>
              <w:rPr>
                <w:sz w:val="20"/>
              </w:rPr>
            </w:pPr>
            <w:r>
              <w:rPr>
                <w:sz w:val="20"/>
              </w:rPr>
              <w:t>0 = policy not adopted 1 = policy adopted</w:t>
            </w:r>
          </w:p>
        </w:tc>
        <w:tc>
          <w:tcPr>
            <w:tcW w:w="6482" w:type="dxa"/>
          </w:tcPr>
          <w:p w14:paraId="204B9B01" w14:textId="77777777" w:rsidR="0046798B" w:rsidRDefault="0046798B">
            <w:pPr>
              <w:pStyle w:val="TableParagraph"/>
            </w:pPr>
          </w:p>
          <w:p w14:paraId="0F863967" w14:textId="77777777" w:rsidR="0046798B" w:rsidRDefault="0046798B">
            <w:pPr>
              <w:pStyle w:val="TableParagraph"/>
            </w:pPr>
          </w:p>
          <w:p w14:paraId="2B54D533" w14:textId="77777777" w:rsidR="0046798B" w:rsidRDefault="0046798B">
            <w:pPr>
              <w:pStyle w:val="TableParagraph"/>
              <w:spacing w:before="9"/>
              <w:rPr>
                <w:sz w:val="19"/>
              </w:rPr>
            </w:pPr>
          </w:p>
          <w:p w14:paraId="7083C284" w14:textId="77777777" w:rsidR="0046798B" w:rsidRDefault="00903B5C">
            <w:pPr>
              <w:pStyle w:val="TableParagraph"/>
              <w:ind w:left="114"/>
              <w:rPr>
                <w:sz w:val="20"/>
              </w:rPr>
            </w:pPr>
            <w:r>
              <w:rPr>
                <w:sz w:val="20"/>
              </w:rPr>
              <w:t xml:space="preserve">Uniform Law Commission website: </w:t>
            </w:r>
            <w:hyperlink r:id="rId718">
              <w:r>
                <w:rPr>
                  <w:color w:val="0462C1"/>
                  <w:sz w:val="20"/>
                  <w:u w:val="single" w:color="0462C1"/>
                </w:rPr>
                <w:t>http://www.uniformlaws.org/</w:t>
              </w:r>
            </w:hyperlink>
          </w:p>
          <w:p w14:paraId="09CA3C9D" w14:textId="77777777" w:rsidR="0046798B" w:rsidRDefault="0046798B">
            <w:pPr>
              <w:pStyle w:val="TableParagraph"/>
              <w:rPr>
                <w:sz w:val="20"/>
              </w:rPr>
            </w:pPr>
          </w:p>
          <w:p w14:paraId="2E8413D9"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7CE8FC27" w14:textId="77777777">
        <w:trPr>
          <w:trHeight w:val="1465"/>
        </w:trPr>
        <w:tc>
          <w:tcPr>
            <w:tcW w:w="1711" w:type="dxa"/>
          </w:tcPr>
          <w:p w14:paraId="6BFF0144" w14:textId="77777777" w:rsidR="0046798B" w:rsidRDefault="0046798B">
            <w:pPr>
              <w:pStyle w:val="TableParagraph"/>
            </w:pPr>
          </w:p>
          <w:p w14:paraId="30E07841" w14:textId="77777777" w:rsidR="0046798B" w:rsidRDefault="0046798B">
            <w:pPr>
              <w:pStyle w:val="TableParagraph"/>
              <w:spacing w:before="8"/>
              <w:rPr>
                <w:sz w:val="21"/>
              </w:rPr>
            </w:pPr>
          </w:p>
          <w:p w14:paraId="2E72147B" w14:textId="77777777" w:rsidR="0046798B" w:rsidRDefault="00903B5C">
            <w:pPr>
              <w:pStyle w:val="TableParagraph"/>
              <w:spacing w:before="1"/>
              <w:ind w:left="115"/>
              <w:rPr>
                <w:b/>
                <w:sz w:val="20"/>
              </w:rPr>
            </w:pPr>
            <w:r>
              <w:rPr>
                <w:b/>
                <w:sz w:val="20"/>
              </w:rPr>
              <w:t>law_on_notarial</w:t>
            </w:r>
          </w:p>
          <w:p w14:paraId="6988755E" w14:textId="77777777" w:rsidR="0046798B" w:rsidRDefault="00903B5C">
            <w:pPr>
              <w:pStyle w:val="TableParagraph"/>
              <w:ind w:left="115"/>
              <w:rPr>
                <w:b/>
                <w:sz w:val="20"/>
              </w:rPr>
            </w:pPr>
            <w:r>
              <w:rPr>
                <w:b/>
                <w:sz w:val="20"/>
              </w:rPr>
              <w:t>_acts_revised</w:t>
            </w:r>
          </w:p>
        </w:tc>
        <w:tc>
          <w:tcPr>
            <w:tcW w:w="1596" w:type="dxa"/>
          </w:tcPr>
          <w:p w14:paraId="330B8A50" w14:textId="77777777" w:rsidR="0046798B" w:rsidRDefault="0046798B">
            <w:pPr>
              <w:pStyle w:val="TableParagraph"/>
              <w:spacing w:before="8"/>
              <w:rPr>
                <w:sz w:val="23"/>
              </w:rPr>
            </w:pPr>
          </w:p>
          <w:p w14:paraId="5CC5FFDE" w14:textId="77777777" w:rsidR="0046798B" w:rsidRDefault="00903B5C">
            <w:pPr>
              <w:pStyle w:val="TableParagraph"/>
              <w:spacing w:before="1"/>
              <w:ind w:left="114" w:right="229"/>
              <w:rPr>
                <w:sz w:val="20"/>
              </w:rPr>
            </w:pPr>
            <w:r>
              <w:rPr>
                <w:sz w:val="20"/>
              </w:rPr>
              <w:t>Provide a consistent framework for notarial acts</w:t>
            </w:r>
          </w:p>
        </w:tc>
        <w:tc>
          <w:tcPr>
            <w:tcW w:w="1285" w:type="dxa"/>
          </w:tcPr>
          <w:p w14:paraId="32F5DB90" w14:textId="77777777" w:rsidR="0046798B" w:rsidRDefault="0046798B">
            <w:pPr>
              <w:pStyle w:val="TableParagraph"/>
            </w:pPr>
          </w:p>
          <w:p w14:paraId="1CF4FD14" w14:textId="77777777" w:rsidR="0046798B" w:rsidRDefault="0046798B">
            <w:pPr>
              <w:pStyle w:val="TableParagraph"/>
              <w:spacing w:before="8"/>
              <w:rPr>
                <w:sz w:val="31"/>
              </w:rPr>
            </w:pPr>
          </w:p>
          <w:p w14:paraId="7D9DB2F7" w14:textId="77777777" w:rsidR="0046798B" w:rsidRDefault="00903B5C">
            <w:pPr>
              <w:pStyle w:val="TableParagraph"/>
              <w:spacing w:before="1"/>
              <w:ind w:left="114"/>
              <w:rPr>
                <w:sz w:val="20"/>
              </w:rPr>
            </w:pPr>
            <w:r>
              <w:rPr>
                <w:sz w:val="20"/>
              </w:rPr>
              <w:t>2011–2017</w:t>
            </w:r>
          </w:p>
        </w:tc>
        <w:tc>
          <w:tcPr>
            <w:tcW w:w="3421" w:type="dxa"/>
          </w:tcPr>
          <w:p w14:paraId="25E7B19B" w14:textId="77777777" w:rsidR="0046798B" w:rsidRDefault="0046798B">
            <w:pPr>
              <w:pStyle w:val="TableParagraph"/>
            </w:pPr>
          </w:p>
          <w:p w14:paraId="44955529" w14:textId="77777777" w:rsidR="0046798B" w:rsidRDefault="0046798B">
            <w:pPr>
              <w:pStyle w:val="TableParagraph"/>
              <w:spacing w:before="8"/>
              <w:rPr>
                <w:sz w:val="21"/>
              </w:rPr>
            </w:pPr>
          </w:p>
          <w:p w14:paraId="2FF0D52C"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452EB334" w14:textId="77777777" w:rsidR="0046798B" w:rsidRDefault="00903B5C">
            <w:pPr>
              <w:pStyle w:val="TableParagraph"/>
              <w:spacing w:before="43"/>
              <w:ind w:left="114"/>
              <w:rPr>
                <w:sz w:val="20"/>
              </w:rPr>
            </w:pPr>
            <w:r>
              <w:rPr>
                <w:sz w:val="20"/>
              </w:rPr>
              <w:t xml:space="preserve">Uniform Law Commission website: </w:t>
            </w:r>
            <w:hyperlink r:id="rId719">
              <w:r>
                <w:rPr>
                  <w:color w:val="0462C1"/>
                  <w:sz w:val="20"/>
                  <w:u w:val="single" w:color="0462C1"/>
                </w:rPr>
                <w:t>http://www.uniformlaws.org/</w:t>
              </w:r>
            </w:hyperlink>
          </w:p>
          <w:p w14:paraId="2B9DB0E7" w14:textId="77777777" w:rsidR="0046798B" w:rsidRDefault="0046798B">
            <w:pPr>
              <w:pStyle w:val="TableParagraph"/>
              <w:rPr>
                <w:sz w:val="20"/>
              </w:rPr>
            </w:pPr>
          </w:p>
          <w:p w14:paraId="5B984DAE"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328622A7" w14:textId="77777777">
        <w:trPr>
          <w:trHeight w:val="1470"/>
        </w:trPr>
        <w:tc>
          <w:tcPr>
            <w:tcW w:w="1711" w:type="dxa"/>
          </w:tcPr>
          <w:p w14:paraId="111E4C3F" w14:textId="77777777" w:rsidR="0046798B" w:rsidRDefault="0046798B">
            <w:pPr>
              <w:pStyle w:val="TableParagraph"/>
            </w:pPr>
          </w:p>
          <w:p w14:paraId="525FCBE7" w14:textId="77777777" w:rsidR="0046798B" w:rsidRDefault="00903B5C">
            <w:pPr>
              <w:pStyle w:val="TableParagraph"/>
              <w:spacing w:before="135"/>
              <w:ind w:left="115" w:right="99"/>
              <w:rPr>
                <w:b/>
                <w:sz w:val="20"/>
              </w:rPr>
            </w:pPr>
            <w:r>
              <w:rPr>
                <w:b/>
                <w:sz w:val="20"/>
              </w:rPr>
              <w:t>mandatory_disp osition_of_detain e</w:t>
            </w:r>
          </w:p>
        </w:tc>
        <w:tc>
          <w:tcPr>
            <w:tcW w:w="1596" w:type="dxa"/>
          </w:tcPr>
          <w:p w14:paraId="401E2D8B" w14:textId="77777777" w:rsidR="0046798B" w:rsidRDefault="00903B5C">
            <w:pPr>
              <w:pStyle w:val="TableParagraph"/>
              <w:spacing w:before="158"/>
              <w:ind w:left="114" w:right="357"/>
              <w:rPr>
                <w:sz w:val="20"/>
              </w:rPr>
            </w:pPr>
            <w:r>
              <w:rPr>
                <w:sz w:val="20"/>
              </w:rPr>
              <w:t>Establishing rules for the prompt disposition of detainers</w:t>
            </w:r>
          </w:p>
        </w:tc>
        <w:tc>
          <w:tcPr>
            <w:tcW w:w="1285" w:type="dxa"/>
          </w:tcPr>
          <w:p w14:paraId="60C5F20E" w14:textId="77777777" w:rsidR="0046798B" w:rsidRDefault="0046798B">
            <w:pPr>
              <w:pStyle w:val="TableParagraph"/>
            </w:pPr>
          </w:p>
          <w:p w14:paraId="24E3E4A5" w14:textId="77777777" w:rsidR="0046798B" w:rsidRDefault="0046798B">
            <w:pPr>
              <w:pStyle w:val="TableParagraph"/>
              <w:spacing w:before="8"/>
              <w:rPr>
                <w:sz w:val="31"/>
              </w:rPr>
            </w:pPr>
          </w:p>
          <w:p w14:paraId="55C75473" w14:textId="77777777" w:rsidR="0046798B" w:rsidRDefault="00903B5C">
            <w:pPr>
              <w:pStyle w:val="TableParagraph"/>
              <w:spacing w:before="1"/>
              <w:ind w:left="114"/>
              <w:rPr>
                <w:sz w:val="20"/>
              </w:rPr>
            </w:pPr>
            <w:r>
              <w:rPr>
                <w:sz w:val="20"/>
              </w:rPr>
              <w:t>1959–1980</w:t>
            </w:r>
          </w:p>
        </w:tc>
        <w:tc>
          <w:tcPr>
            <w:tcW w:w="3421" w:type="dxa"/>
          </w:tcPr>
          <w:p w14:paraId="5AFF96B1" w14:textId="77777777" w:rsidR="0046798B" w:rsidRDefault="0046798B">
            <w:pPr>
              <w:pStyle w:val="TableParagraph"/>
            </w:pPr>
          </w:p>
          <w:p w14:paraId="1A44F91E" w14:textId="77777777" w:rsidR="0046798B" w:rsidRDefault="0046798B">
            <w:pPr>
              <w:pStyle w:val="TableParagraph"/>
              <w:spacing w:before="8"/>
              <w:rPr>
                <w:sz w:val="21"/>
              </w:rPr>
            </w:pPr>
          </w:p>
          <w:p w14:paraId="6315AE31"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51C873C7" w14:textId="77777777" w:rsidR="0046798B" w:rsidRDefault="00903B5C">
            <w:pPr>
              <w:pStyle w:val="TableParagraph"/>
              <w:spacing w:before="43"/>
              <w:ind w:left="114"/>
              <w:rPr>
                <w:sz w:val="20"/>
              </w:rPr>
            </w:pPr>
            <w:r>
              <w:rPr>
                <w:sz w:val="20"/>
              </w:rPr>
              <w:t xml:space="preserve">Uniform Law Commission website: </w:t>
            </w:r>
            <w:hyperlink r:id="rId720">
              <w:r>
                <w:rPr>
                  <w:color w:val="0462C1"/>
                  <w:sz w:val="20"/>
                  <w:u w:val="single" w:color="0462C1"/>
                </w:rPr>
                <w:t>http://www.uniformlaws.org/</w:t>
              </w:r>
            </w:hyperlink>
          </w:p>
          <w:p w14:paraId="120E7B4D" w14:textId="77777777" w:rsidR="0046798B" w:rsidRDefault="0046798B">
            <w:pPr>
              <w:pStyle w:val="TableParagraph"/>
              <w:rPr>
                <w:sz w:val="20"/>
              </w:rPr>
            </w:pPr>
          </w:p>
          <w:p w14:paraId="509D02ED"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2CB4DE05" w14:textId="77777777">
        <w:trPr>
          <w:trHeight w:val="1465"/>
        </w:trPr>
        <w:tc>
          <w:tcPr>
            <w:tcW w:w="1711" w:type="dxa"/>
          </w:tcPr>
          <w:p w14:paraId="5EEC315D" w14:textId="77777777" w:rsidR="0046798B" w:rsidRDefault="0046798B">
            <w:pPr>
              <w:pStyle w:val="TableParagraph"/>
            </w:pPr>
          </w:p>
          <w:p w14:paraId="262EAEAE" w14:textId="77777777" w:rsidR="0046798B" w:rsidRDefault="0046798B">
            <w:pPr>
              <w:pStyle w:val="TableParagraph"/>
              <w:spacing w:before="4"/>
              <w:rPr>
                <w:sz w:val="31"/>
              </w:rPr>
            </w:pPr>
          </w:p>
          <w:p w14:paraId="67F00048" w14:textId="77777777" w:rsidR="0046798B" w:rsidRDefault="00903B5C">
            <w:pPr>
              <w:pStyle w:val="TableParagraph"/>
              <w:ind w:left="115"/>
              <w:rPr>
                <w:b/>
                <w:sz w:val="20"/>
              </w:rPr>
            </w:pPr>
            <w:r>
              <w:rPr>
                <w:b/>
                <w:sz w:val="20"/>
              </w:rPr>
              <w:t>mediation_act</w:t>
            </w:r>
          </w:p>
        </w:tc>
        <w:tc>
          <w:tcPr>
            <w:tcW w:w="1596" w:type="dxa"/>
          </w:tcPr>
          <w:p w14:paraId="7D47B766" w14:textId="77777777" w:rsidR="0046798B" w:rsidRDefault="00903B5C">
            <w:pPr>
              <w:pStyle w:val="TableParagraph"/>
              <w:spacing w:before="153"/>
              <w:ind w:left="114" w:right="180"/>
              <w:rPr>
                <w:sz w:val="20"/>
              </w:rPr>
            </w:pPr>
            <w:r>
              <w:rPr>
                <w:sz w:val="20"/>
              </w:rPr>
              <w:t>Establishes a privilege of confidentiality for mediators and participants</w:t>
            </w:r>
          </w:p>
        </w:tc>
        <w:tc>
          <w:tcPr>
            <w:tcW w:w="1285" w:type="dxa"/>
          </w:tcPr>
          <w:p w14:paraId="4353BDD0" w14:textId="77777777" w:rsidR="0046798B" w:rsidRDefault="0046798B">
            <w:pPr>
              <w:pStyle w:val="TableParagraph"/>
            </w:pPr>
          </w:p>
          <w:p w14:paraId="7EA5B4D8" w14:textId="77777777" w:rsidR="0046798B" w:rsidRDefault="0046798B">
            <w:pPr>
              <w:pStyle w:val="TableParagraph"/>
              <w:spacing w:before="4"/>
              <w:rPr>
                <w:sz w:val="31"/>
              </w:rPr>
            </w:pPr>
          </w:p>
          <w:p w14:paraId="3617ABF8" w14:textId="77777777" w:rsidR="0046798B" w:rsidRDefault="00903B5C">
            <w:pPr>
              <w:pStyle w:val="TableParagraph"/>
              <w:ind w:left="114"/>
              <w:rPr>
                <w:sz w:val="20"/>
              </w:rPr>
            </w:pPr>
            <w:r>
              <w:rPr>
                <w:sz w:val="20"/>
              </w:rPr>
              <w:t>2003–2013</w:t>
            </w:r>
          </w:p>
        </w:tc>
        <w:tc>
          <w:tcPr>
            <w:tcW w:w="3421" w:type="dxa"/>
          </w:tcPr>
          <w:p w14:paraId="452D1958" w14:textId="77777777" w:rsidR="0046798B" w:rsidRDefault="0046798B">
            <w:pPr>
              <w:pStyle w:val="TableParagraph"/>
            </w:pPr>
          </w:p>
          <w:p w14:paraId="6E320D0C" w14:textId="77777777" w:rsidR="0046798B" w:rsidRDefault="0046798B">
            <w:pPr>
              <w:pStyle w:val="TableParagraph"/>
              <w:spacing w:before="3"/>
              <w:rPr>
                <w:sz w:val="21"/>
              </w:rPr>
            </w:pPr>
          </w:p>
          <w:p w14:paraId="112B7B86"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4C2E8863" w14:textId="77777777" w:rsidR="0046798B" w:rsidRDefault="00903B5C">
            <w:pPr>
              <w:pStyle w:val="TableParagraph"/>
              <w:spacing w:before="38"/>
              <w:ind w:left="114"/>
              <w:rPr>
                <w:sz w:val="20"/>
              </w:rPr>
            </w:pPr>
            <w:r>
              <w:rPr>
                <w:sz w:val="20"/>
              </w:rPr>
              <w:t xml:space="preserve">Uniform Law Commission website: </w:t>
            </w:r>
            <w:hyperlink r:id="rId721">
              <w:r>
                <w:rPr>
                  <w:color w:val="0462C1"/>
                  <w:sz w:val="20"/>
                  <w:u w:val="single" w:color="0462C1"/>
                </w:rPr>
                <w:t>http://www.uniformlaws.org/</w:t>
              </w:r>
            </w:hyperlink>
          </w:p>
          <w:p w14:paraId="30332D76" w14:textId="77777777" w:rsidR="0046798B" w:rsidRDefault="0046798B">
            <w:pPr>
              <w:pStyle w:val="TableParagraph"/>
              <w:rPr>
                <w:sz w:val="20"/>
              </w:rPr>
            </w:pPr>
          </w:p>
          <w:p w14:paraId="3663C622"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297DEB2" w14:textId="77777777">
        <w:trPr>
          <w:trHeight w:val="1465"/>
        </w:trPr>
        <w:tc>
          <w:tcPr>
            <w:tcW w:w="1711" w:type="dxa"/>
          </w:tcPr>
          <w:p w14:paraId="31B62D39" w14:textId="77777777" w:rsidR="0046798B" w:rsidRDefault="0046798B">
            <w:pPr>
              <w:pStyle w:val="TableParagraph"/>
            </w:pPr>
          </w:p>
          <w:p w14:paraId="34F1C185" w14:textId="77777777" w:rsidR="0046798B" w:rsidRDefault="00903B5C">
            <w:pPr>
              <w:pStyle w:val="TableParagraph"/>
              <w:spacing w:before="130"/>
              <w:ind w:left="115" w:right="99"/>
              <w:rPr>
                <w:b/>
                <w:sz w:val="20"/>
              </w:rPr>
            </w:pPr>
            <w:r>
              <w:rPr>
                <w:b/>
                <w:sz w:val="20"/>
              </w:rPr>
              <w:t>model_mandator y_disposition_of</w:t>
            </w:r>
          </w:p>
          <w:p w14:paraId="3999CEAD" w14:textId="77777777" w:rsidR="0046798B" w:rsidRDefault="00903B5C">
            <w:pPr>
              <w:pStyle w:val="TableParagraph"/>
              <w:ind w:left="115"/>
              <w:rPr>
                <w:b/>
                <w:sz w:val="20"/>
              </w:rPr>
            </w:pPr>
            <w:r>
              <w:rPr>
                <w:b/>
                <w:sz w:val="20"/>
              </w:rPr>
              <w:t>_d</w:t>
            </w:r>
          </w:p>
        </w:tc>
        <w:tc>
          <w:tcPr>
            <w:tcW w:w="1596" w:type="dxa"/>
          </w:tcPr>
          <w:p w14:paraId="5C9AA800" w14:textId="77777777" w:rsidR="0046798B" w:rsidRDefault="00903B5C">
            <w:pPr>
              <w:pStyle w:val="TableParagraph"/>
              <w:spacing w:before="153"/>
              <w:ind w:left="114" w:right="357"/>
              <w:rPr>
                <w:sz w:val="20"/>
              </w:rPr>
            </w:pPr>
            <w:r>
              <w:rPr>
                <w:sz w:val="20"/>
              </w:rPr>
              <w:t>Establishing rules for the prompt disposition of detainers</w:t>
            </w:r>
          </w:p>
        </w:tc>
        <w:tc>
          <w:tcPr>
            <w:tcW w:w="1285" w:type="dxa"/>
          </w:tcPr>
          <w:p w14:paraId="342BEA15" w14:textId="77777777" w:rsidR="0046798B" w:rsidRDefault="0046798B">
            <w:pPr>
              <w:pStyle w:val="TableParagraph"/>
            </w:pPr>
          </w:p>
          <w:p w14:paraId="13BFF88E" w14:textId="77777777" w:rsidR="0046798B" w:rsidRDefault="0046798B">
            <w:pPr>
              <w:pStyle w:val="TableParagraph"/>
              <w:spacing w:before="4"/>
              <w:rPr>
                <w:sz w:val="31"/>
              </w:rPr>
            </w:pPr>
          </w:p>
          <w:p w14:paraId="46AF19A8" w14:textId="77777777" w:rsidR="0046798B" w:rsidRDefault="00903B5C">
            <w:pPr>
              <w:pStyle w:val="TableParagraph"/>
              <w:ind w:left="114"/>
              <w:rPr>
                <w:sz w:val="20"/>
              </w:rPr>
            </w:pPr>
            <w:r>
              <w:rPr>
                <w:sz w:val="20"/>
              </w:rPr>
              <w:t>1968–1975</w:t>
            </w:r>
          </w:p>
        </w:tc>
        <w:tc>
          <w:tcPr>
            <w:tcW w:w="3421" w:type="dxa"/>
          </w:tcPr>
          <w:p w14:paraId="4678131B" w14:textId="77777777" w:rsidR="0046798B" w:rsidRDefault="0046798B">
            <w:pPr>
              <w:pStyle w:val="TableParagraph"/>
            </w:pPr>
          </w:p>
          <w:p w14:paraId="0781BAD2" w14:textId="77777777" w:rsidR="0046798B" w:rsidRDefault="0046798B">
            <w:pPr>
              <w:pStyle w:val="TableParagraph"/>
              <w:spacing w:before="4"/>
              <w:rPr>
                <w:sz w:val="21"/>
              </w:rPr>
            </w:pPr>
          </w:p>
          <w:p w14:paraId="16E8ACC2" w14:textId="77777777" w:rsidR="0046798B" w:rsidRDefault="00903B5C">
            <w:pPr>
              <w:pStyle w:val="TableParagraph"/>
              <w:ind w:left="114" w:right="1475"/>
              <w:rPr>
                <w:sz w:val="20"/>
              </w:rPr>
            </w:pPr>
            <w:r>
              <w:rPr>
                <w:sz w:val="20"/>
              </w:rPr>
              <w:t>0 = policy not adopted 1 = policy adopted</w:t>
            </w:r>
          </w:p>
        </w:tc>
        <w:tc>
          <w:tcPr>
            <w:tcW w:w="6482" w:type="dxa"/>
          </w:tcPr>
          <w:p w14:paraId="7738573B" w14:textId="77777777" w:rsidR="0046798B" w:rsidRDefault="00903B5C">
            <w:pPr>
              <w:pStyle w:val="TableParagraph"/>
              <w:spacing w:before="38"/>
              <w:ind w:left="114"/>
              <w:rPr>
                <w:sz w:val="20"/>
              </w:rPr>
            </w:pPr>
            <w:r>
              <w:rPr>
                <w:sz w:val="20"/>
              </w:rPr>
              <w:t xml:space="preserve">Uniform Law Commission website: </w:t>
            </w:r>
            <w:hyperlink r:id="rId722">
              <w:r>
                <w:rPr>
                  <w:color w:val="0462C1"/>
                  <w:sz w:val="20"/>
                  <w:u w:val="single" w:color="0462C1"/>
                </w:rPr>
                <w:t>http://www.uniformlaws.org/</w:t>
              </w:r>
            </w:hyperlink>
          </w:p>
          <w:p w14:paraId="47775A95" w14:textId="77777777" w:rsidR="0046798B" w:rsidRDefault="0046798B">
            <w:pPr>
              <w:pStyle w:val="TableParagraph"/>
              <w:rPr>
                <w:sz w:val="20"/>
              </w:rPr>
            </w:pPr>
          </w:p>
          <w:p w14:paraId="48DAF28D"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4A3199AE" w14:textId="77777777">
        <w:trPr>
          <w:trHeight w:val="545"/>
        </w:trPr>
        <w:tc>
          <w:tcPr>
            <w:tcW w:w="1711" w:type="dxa"/>
          </w:tcPr>
          <w:p w14:paraId="6747137A" w14:textId="77777777" w:rsidR="0046798B" w:rsidRDefault="00903B5C">
            <w:pPr>
              <w:pStyle w:val="TableParagraph"/>
              <w:spacing w:before="38"/>
              <w:ind w:left="115" w:right="133"/>
              <w:rPr>
                <w:b/>
                <w:sz w:val="20"/>
              </w:rPr>
            </w:pPr>
            <w:r>
              <w:rPr>
                <w:b/>
                <w:sz w:val="20"/>
              </w:rPr>
              <w:t>money_services_ act</w:t>
            </w:r>
          </w:p>
        </w:tc>
        <w:tc>
          <w:tcPr>
            <w:tcW w:w="1596" w:type="dxa"/>
          </w:tcPr>
          <w:p w14:paraId="2CC30DBB" w14:textId="77777777" w:rsidR="0046798B" w:rsidRDefault="00903B5C">
            <w:pPr>
              <w:pStyle w:val="TableParagraph"/>
              <w:spacing w:before="38"/>
              <w:ind w:left="114" w:right="229"/>
              <w:rPr>
                <w:sz w:val="20"/>
              </w:rPr>
            </w:pPr>
            <w:r>
              <w:rPr>
                <w:sz w:val="20"/>
              </w:rPr>
              <w:t>Provides a framework for</w:t>
            </w:r>
          </w:p>
        </w:tc>
        <w:tc>
          <w:tcPr>
            <w:tcW w:w="1285" w:type="dxa"/>
          </w:tcPr>
          <w:p w14:paraId="51F293AD" w14:textId="77777777" w:rsidR="0046798B" w:rsidRDefault="00903B5C">
            <w:pPr>
              <w:pStyle w:val="TableParagraph"/>
              <w:spacing w:before="153"/>
              <w:ind w:left="114"/>
              <w:rPr>
                <w:sz w:val="20"/>
              </w:rPr>
            </w:pPr>
            <w:r>
              <w:rPr>
                <w:sz w:val="20"/>
              </w:rPr>
              <w:t>2001–2016</w:t>
            </w:r>
          </w:p>
        </w:tc>
        <w:tc>
          <w:tcPr>
            <w:tcW w:w="3421" w:type="dxa"/>
          </w:tcPr>
          <w:p w14:paraId="62183E65" w14:textId="77777777" w:rsidR="0046798B" w:rsidRDefault="00903B5C">
            <w:pPr>
              <w:pStyle w:val="TableParagraph"/>
              <w:spacing w:before="38"/>
              <w:ind w:left="114" w:right="1475"/>
              <w:rPr>
                <w:sz w:val="20"/>
              </w:rPr>
            </w:pPr>
            <w:r>
              <w:rPr>
                <w:sz w:val="20"/>
              </w:rPr>
              <w:t>0 = policy not adopted 1 = policy adopted</w:t>
            </w:r>
          </w:p>
        </w:tc>
        <w:tc>
          <w:tcPr>
            <w:tcW w:w="6482" w:type="dxa"/>
          </w:tcPr>
          <w:p w14:paraId="571E8DC5" w14:textId="77777777" w:rsidR="0046798B" w:rsidRDefault="00903B5C">
            <w:pPr>
              <w:pStyle w:val="TableParagraph"/>
              <w:spacing w:before="38"/>
              <w:ind w:left="114"/>
              <w:rPr>
                <w:sz w:val="20"/>
              </w:rPr>
            </w:pPr>
            <w:r>
              <w:rPr>
                <w:sz w:val="20"/>
              </w:rPr>
              <w:t xml:space="preserve">Uniform Law Commission website: </w:t>
            </w:r>
            <w:hyperlink r:id="rId723">
              <w:r>
                <w:rPr>
                  <w:color w:val="0462C1"/>
                  <w:sz w:val="20"/>
                  <w:u w:val="single" w:color="0462C1"/>
                </w:rPr>
                <w:t>http://www.uniformlaws.org/</w:t>
              </w:r>
            </w:hyperlink>
          </w:p>
        </w:tc>
      </w:tr>
    </w:tbl>
    <w:p w14:paraId="6BE17D41" w14:textId="77777777" w:rsidR="0046798B" w:rsidRDefault="0046798B">
      <w:pPr>
        <w:rPr>
          <w:sz w:val="20"/>
        </w:rPr>
        <w:sectPr w:rsidR="0046798B">
          <w:pgSz w:w="15840" w:h="12240" w:orient="landscape"/>
          <w:pgMar w:top="1220" w:right="300" w:bottom="980" w:left="820" w:header="730" w:footer="787" w:gutter="0"/>
          <w:cols w:space="720"/>
        </w:sectPr>
      </w:pPr>
    </w:p>
    <w:p w14:paraId="448F06AC"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32F32648" w14:textId="77777777">
        <w:trPr>
          <w:trHeight w:val="1926"/>
        </w:trPr>
        <w:tc>
          <w:tcPr>
            <w:tcW w:w="1711" w:type="dxa"/>
          </w:tcPr>
          <w:p w14:paraId="3DFFC93B" w14:textId="77777777" w:rsidR="0046798B" w:rsidRDefault="0046798B">
            <w:pPr>
              <w:pStyle w:val="TableParagraph"/>
              <w:rPr>
                <w:sz w:val="20"/>
              </w:rPr>
            </w:pPr>
          </w:p>
        </w:tc>
        <w:tc>
          <w:tcPr>
            <w:tcW w:w="1596" w:type="dxa"/>
          </w:tcPr>
          <w:p w14:paraId="18D7A09F" w14:textId="77777777" w:rsidR="0046798B" w:rsidRDefault="00903B5C">
            <w:pPr>
              <w:pStyle w:val="TableParagraph"/>
              <w:spacing w:before="43"/>
              <w:ind w:left="114" w:right="174"/>
              <w:rPr>
                <w:sz w:val="20"/>
              </w:rPr>
            </w:pPr>
            <w:r>
              <w:rPr>
                <w:sz w:val="20"/>
              </w:rPr>
              <w:t>dealing with money laundering issues unique to no depository providers of financial services</w:t>
            </w:r>
          </w:p>
        </w:tc>
        <w:tc>
          <w:tcPr>
            <w:tcW w:w="1285" w:type="dxa"/>
          </w:tcPr>
          <w:p w14:paraId="2339B27B" w14:textId="77777777" w:rsidR="0046798B" w:rsidRDefault="0046798B">
            <w:pPr>
              <w:pStyle w:val="TableParagraph"/>
              <w:rPr>
                <w:sz w:val="20"/>
              </w:rPr>
            </w:pPr>
          </w:p>
        </w:tc>
        <w:tc>
          <w:tcPr>
            <w:tcW w:w="3421" w:type="dxa"/>
          </w:tcPr>
          <w:p w14:paraId="7780CD6E" w14:textId="77777777" w:rsidR="0046798B" w:rsidRDefault="0046798B">
            <w:pPr>
              <w:pStyle w:val="TableParagraph"/>
              <w:rPr>
                <w:sz w:val="20"/>
              </w:rPr>
            </w:pPr>
          </w:p>
        </w:tc>
        <w:tc>
          <w:tcPr>
            <w:tcW w:w="6482" w:type="dxa"/>
          </w:tcPr>
          <w:p w14:paraId="2355F05F" w14:textId="77777777" w:rsidR="0046798B" w:rsidRDefault="00903B5C">
            <w:pPr>
              <w:pStyle w:val="TableParagraph"/>
              <w:spacing w:before="43"/>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0AE02F85" w14:textId="77777777">
        <w:trPr>
          <w:trHeight w:val="1465"/>
        </w:trPr>
        <w:tc>
          <w:tcPr>
            <w:tcW w:w="1711" w:type="dxa"/>
          </w:tcPr>
          <w:p w14:paraId="351073B8" w14:textId="77777777" w:rsidR="0046798B" w:rsidRDefault="0046798B">
            <w:pPr>
              <w:pStyle w:val="TableParagraph"/>
            </w:pPr>
          </w:p>
          <w:p w14:paraId="53343255" w14:textId="77777777" w:rsidR="0046798B" w:rsidRDefault="0046798B">
            <w:pPr>
              <w:pStyle w:val="TableParagraph"/>
              <w:spacing w:before="8"/>
              <w:rPr>
                <w:sz w:val="21"/>
              </w:rPr>
            </w:pPr>
          </w:p>
          <w:p w14:paraId="147BD494" w14:textId="77777777" w:rsidR="0046798B" w:rsidRDefault="00903B5C">
            <w:pPr>
              <w:pStyle w:val="TableParagraph"/>
              <w:spacing w:before="1"/>
              <w:ind w:left="115" w:right="155"/>
              <w:rPr>
                <w:b/>
                <w:sz w:val="20"/>
              </w:rPr>
            </w:pPr>
            <w:r>
              <w:rPr>
                <w:b/>
                <w:sz w:val="20"/>
              </w:rPr>
              <w:t>notarial_acts_19 82</w:t>
            </w:r>
          </w:p>
        </w:tc>
        <w:tc>
          <w:tcPr>
            <w:tcW w:w="1596" w:type="dxa"/>
          </w:tcPr>
          <w:p w14:paraId="6D96E23E" w14:textId="77777777" w:rsidR="0046798B" w:rsidRDefault="0046798B">
            <w:pPr>
              <w:pStyle w:val="TableParagraph"/>
            </w:pPr>
          </w:p>
          <w:p w14:paraId="5072525E" w14:textId="77777777" w:rsidR="0046798B" w:rsidRDefault="0046798B">
            <w:pPr>
              <w:pStyle w:val="TableParagraph"/>
              <w:spacing w:before="8"/>
              <w:rPr>
                <w:sz w:val="21"/>
              </w:rPr>
            </w:pPr>
          </w:p>
          <w:p w14:paraId="4CCEC514" w14:textId="77777777" w:rsidR="0046798B" w:rsidRDefault="00903B5C">
            <w:pPr>
              <w:pStyle w:val="TableParagraph"/>
              <w:spacing w:before="1"/>
              <w:ind w:left="114"/>
              <w:rPr>
                <w:sz w:val="20"/>
              </w:rPr>
            </w:pPr>
            <w:r>
              <w:rPr>
                <w:sz w:val="20"/>
              </w:rPr>
              <w:t>Simplifies rules for notarization</w:t>
            </w:r>
          </w:p>
        </w:tc>
        <w:tc>
          <w:tcPr>
            <w:tcW w:w="1285" w:type="dxa"/>
          </w:tcPr>
          <w:p w14:paraId="336B5D71" w14:textId="77777777" w:rsidR="0046798B" w:rsidRDefault="0046798B">
            <w:pPr>
              <w:pStyle w:val="TableParagraph"/>
            </w:pPr>
          </w:p>
          <w:p w14:paraId="38EC9556" w14:textId="77777777" w:rsidR="0046798B" w:rsidRDefault="0046798B">
            <w:pPr>
              <w:pStyle w:val="TableParagraph"/>
              <w:spacing w:before="8"/>
              <w:rPr>
                <w:sz w:val="31"/>
              </w:rPr>
            </w:pPr>
          </w:p>
          <w:p w14:paraId="6729E38D" w14:textId="77777777" w:rsidR="0046798B" w:rsidRDefault="00903B5C">
            <w:pPr>
              <w:pStyle w:val="TableParagraph"/>
              <w:spacing w:before="1"/>
              <w:ind w:left="114"/>
              <w:rPr>
                <w:sz w:val="20"/>
              </w:rPr>
            </w:pPr>
            <w:r>
              <w:rPr>
                <w:sz w:val="20"/>
              </w:rPr>
              <w:t>1983–2008</w:t>
            </w:r>
          </w:p>
        </w:tc>
        <w:tc>
          <w:tcPr>
            <w:tcW w:w="3421" w:type="dxa"/>
          </w:tcPr>
          <w:p w14:paraId="4D0B73DC" w14:textId="77777777" w:rsidR="0046798B" w:rsidRDefault="0046798B">
            <w:pPr>
              <w:pStyle w:val="TableParagraph"/>
            </w:pPr>
          </w:p>
          <w:p w14:paraId="4B689E61" w14:textId="77777777" w:rsidR="0046798B" w:rsidRDefault="0046798B">
            <w:pPr>
              <w:pStyle w:val="TableParagraph"/>
              <w:spacing w:before="8"/>
              <w:rPr>
                <w:sz w:val="21"/>
              </w:rPr>
            </w:pPr>
          </w:p>
          <w:p w14:paraId="0790D8D1"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5ADA7AC7" w14:textId="77777777" w:rsidR="0046798B" w:rsidRDefault="00903B5C">
            <w:pPr>
              <w:pStyle w:val="TableParagraph"/>
              <w:spacing w:before="43"/>
              <w:ind w:left="114"/>
              <w:rPr>
                <w:sz w:val="20"/>
              </w:rPr>
            </w:pPr>
            <w:r>
              <w:rPr>
                <w:sz w:val="20"/>
              </w:rPr>
              <w:t xml:space="preserve">Uniform Law Commission website: </w:t>
            </w:r>
            <w:hyperlink r:id="rId724">
              <w:r>
                <w:rPr>
                  <w:color w:val="0462C1"/>
                  <w:sz w:val="20"/>
                  <w:u w:val="single" w:color="0462C1"/>
                </w:rPr>
                <w:t>http://www.uniformlaws.org/</w:t>
              </w:r>
            </w:hyperlink>
          </w:p>
          <w:p w14:paraId="0AA50E9F" w14:textId="77777777" w:rsidR="0046798B" w:rsidRDefault="0046798B">
            <w:pPr>
              <w:pStyle w:val="TableParagraph"/>
              <w:rPr>
                <w:sz w:val="20"/>
              </w:rPr>
            </w:pPr>
          </w:p>
          <w:p w14:paraId="792E9392"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2F84A204" w14:textId="77777777">
        <w:trPr>
          <w:trHeight w:val="1470"/>
        </w:trPr>
        <w:tc>
          <w:tcPr>
            <w:tcW w:w="1711" w:type="dxa"/>
          </w:tcPr>
          <w:p w14:paraId="558BAEF2" w14:textId="77777777" w:rsidR="0046798B" w:rsidRDefault="0046798B">
            <w:pPr>
              <w:pStyle w:val="TableParagraph"/>
            </w:pPr>
          </w:p>
          <w:p w14:paraId="6AC36B81" w14:textId="77777777" w:rsidR="0046798B" w:rsidRDefault="00903B5C">
            <w:pPr>
              <w:pStyle w:val="TableParagraph"/>
              <w:spacing w:before="135"/>
              <w:ind w:left="115" w:right="103"/>
              <w:jc w:val="both"/>
              <w:rPr>
                <w:b/>
                <w:sz w:val="20"/>
              </w:rPr>
            </w:pPr>
            <w:r>
              <w:rPr>
                <w:b/>
                <w:sz w:val="20"/>
              </w:rPr>
              <w:t>periodic_paymen t_of_judgments_ ac</w:t>
            </w:r>
          </w:p>
        </w:tc>
        <w:tc>
          <w:tcPr>
            <w:tcW w:w="1596" w:type="dxa"/>
          </w:tcPr>
          <w:p w14:paraId="66001BC9" w14:textId="77777777" w:rsidR="0046798B" w:rsidRDefault="0046798B">
            <w:pPr>
              <w:pStyle w:val="TableParagraph"/>
              <w:spacing w:before="8"/>
              <w:rPr>
                <w:sz w:val="23"/>
              </w:rPr>
            </w:pPr>
          </w:p>
          <w:p w14:paraId="2D36EBC0" w14:textId="77777777" w:rsidR="0046798B" w:rsidRDefault="00903B5C">
            <w:pPr>
              <w:pStyle w:val="TableParagraph"/>
              <w:spacing w:before="1"/>
              <w:ind w:left="114" w:right="241"/>
              <w:rPr>
                <w:sz w:val="20"/>
              </w:rPr>
            </w:pPr>
            <w:r>
              <w:rPr>
                <w:sz w:val="20"/>
              </w:rPr>
              <w:t>Pays damage awards over periods of time</w:t>
            </w:r>
          </w:p>
        </w:tc>
        <w:tc>
          <w:tcPr>
            <w:tcW w:w="1285" w:type="dxa"/>
          </w:tcPr>
          <w:p w14:paraId="2EFEF6A6" w14:textId="77777777" w:rsidR="0046798B" w:rsidRDefault="0046798B">
            <w:pPr>
              <w:pStyle w:val="TableParagraph"/>
            </w:pPr>
          </w:p>
          <w:p w14:paraId="0649063D" w14:textId="77777777" w:rsidR="0046798B" w:rsidRDefault="0046798B">
            <w:pPr>
              <w:pStyle w:val="TableParagraph"/>
              <w:spacing w:before="9"/>
              <w:rPr>
                <w:sz w:val="31"/>
              </w:rPr>
            </w:pPr>
          </w:p>
          <w:p w14:paraId="3A811406" w14:textId="77777777" w:rsidR="0046798B" w:rsidRDefault="00903B5C">
            <w:pPr>
              <w:pStyle w:val="TableParagraph"/>
              <w:ind w:left="114"/>
              <w:rPr>
                <w:sz w:val="20"/>
              </w:rPr>
            </w:pPr>
            <w:r>
              <w:rPr>
                <w:sz w:val="20"/>
              </w:rPr>
              <w:t>1986</w:t>
            </w:r>
          </w:p>
        </w:tc>
        <w:tc>
          <w:tcPr>
            <w:tcW w:w="3421" w:type="dxa"/>
          </w:tcPr>
          <w:p w14:paraId="04E9F70F" w14:textId="77777777" w:rsidR="0046798B" w:rsidRDefault="0046798B">
            <w:pPr>
              <w:pStyle w:val="TableParagraph"/>
            </w:pPr>
          </w:p>
          <w:p w14:paraId="1EB7BBDD" w14:textId="77777777" w:rsidR="0046798B" w:rsidRDefault="0046798B">
            <w:pPr>
              <w:pStyle w:val="TableParagraph"/>
              <w:spacing w:before="9"/>
              <w:rPr>
                <w:sz w:val="21"/>
              </w:rPr>
            </w:pPr>
          </w:p>
          <w:p w14:paraId="09AED6B8" w14:textId="77777777" w:rsidR="0046798B" w:rsidRDefault="00903B5C">
            <w:pPr>
              <w:pStyle w:val="TableParagraph"/>
              <w:ind w:left="114" w:right="1475"/>
              <w:rPr>
                <w:sz w:val="20"/>
              </w:rPr>
            </w:pPr>
            <w:r>
              <w:rPr>
                <w:sz w:val="20"/>
              </w:rPr>
              <w:t>0 = policy not adopted 1 = policy adopted</w:t>
            </w:r>
          </w:p>
        </w:tc>
        <w:tc>
          <w:tcPr>
            <w:tcW w:w="6482" w:type="dxa"/>
          </w:tcPr>
          <w:p w14:paraId="1370049F" w14:textId="77777777" w:rsidR="0046798B" w:rsidRDefault="00903B5C">
            <w:pPr>
              <w:pStyle w:val="TableParagraph"/>
              <w:spacing w:before="43"/>
              <w:ind w:left="114"/>
              <w:rPr>
                <w:sz w:val="20"/>
              </w:rPr>
            </w:pPr>
            <w:r>
              <w:rPr>
                <w:sz w:val="20"/>
              </w:rPr>
              <w:t xml:space="preserve">Uniform Law Commission website: </w:t>
            </w:r>
            <w:hyperlink r:id="rId725">
              <w:r>
                <w:rPr>
                  <w:color w:val="0462C1"/>
                  <w:sz w:val="20"/>
                  <w:u w:val="single" w:color="0462C1"/>
                </w:rPr>
                <w:t>http://www.uniformlaws.org/</w:t>
              </w:r>
            </w:hyperlink>
          </w:p>
          <w:p w14:paraId="4B6E0EF1" w14:textId="77777777" w:rsidR="0046798B" w:rsidRDefault="0046798B">
            <w:pPr>
              <w:pStyle w:val="TableParagraph"/>
              <w:rPr>
                <w:sz w:val="20"/>
              </w:rPr>
            </w:pPr>
          </w:p>
          <w:p w14:paraId="584022D1"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E629E3C" w14:textId="77777777">
        <w:trPr>
          <w:trHeight w:val="1465"/>
        </w:trPr>
        <w:tc>
          <w:tcPr>
            <w:tcW w:w="1711" w:type="dxa"/>
          </w:tcPr>
          <w:p w14:paraId="0E48311F" w14:textId="77777777" w:rsidR="0046798B" w:rsidRDefault="0046798B">
            <w:pPr>
              <w:pStyle w:val="TableParagraph"/>
            </w:pPr>
          </w:p>
          <w:p w14:paraId="0291388C" w14:textId="77777777" w:rsidR="0046798B" w:rsidRDefault="00903B5C">
            <w:pPr>
              <w:pStyle w:val="TableParagraph"/>
              <w:spacing w:before="131"/>
              <w:ind w:left="115" w:right="110"/>
              <w:rPr>
                <w:b/>
                <w:sz w:val="20"/>
              </w:rPr>
            </w:pPr>
            <w:r>
              <w:rPr>
                <w:b/>
                <w:sz w:val="20"/>
              </w:rPr>
              <w:t>post_conviction_ procedure_act_ m</w:t>
            </w:r>
          </w:p>
        </w:tc>
        <w:tc>
          <w:tcPr>
            <w:tcW w:w="1596" w:type="dxa"/>
          </w:tcPr>
          <w:p w14:paraId="183314E0" w14:textId="77777777" w:rsidR="0046798B" w:rsidRDefault="0046798B">
            <w:pPr>
              <w:pStyle w:val="TableParagraph"/>
              <w:spacing w:before="4"/>
              <w:rPr>
                <w:sz w:val="23"/>
              </w:rPr>
            </w:pPr>
          </w:p>
          <w:p w14:paraId="7AB489D3" w14:textId="77777777" w:rsidR="0046798B" w:rsidRDefault="00903B5C">
            <w:pPr>
              <w:pStyle w:val="TableParagraph"/>
              <w:ind w:left="114" w:right="65"/>
              <w:rPr>
                <w:sz w:val="20"/>
              </w:rPr>
            </w:pPr>
            <w:r>
              <w:rPr>
                <w:sz w:val="20"/>
              </w:rPr>
              <w:t>Allows for convicted to petition for relief if rights violated</w:t>
            </w:r>
          </w:p>
        </w:tc>
        <w:tc>
          <w:tcPr>
            <w:tcW w:w="1285" w:type="dxa"/>
          </w:tcPr>
          <w:p w14:paraId="7B185A30" w14:textId="77777777" w:rsidR="0046798B" w:rsidRDefault="0046798B">
            <w:pPr>
              <w:pStyle w:val="TableParagraph"/>
            </w:pPr>
          </w:p>
          <w:p w14:paraId="7048CB10" w14:textId="77777777" w:rsidR="0046798B" w:rsidRDefault="0046798B">
            <w:pPr>
              <w:pStyle w:val="TableParagraph"/>
              <w:spacing w:before="4"/>
              <w:rPr>
                <w:sz w:val="31"/>
              </w:rPr>
            </w:pPr>
          </w:p>
          <w:p w14:paraId="33A306BF" w14:textId="77777777" w:rsidR="0046798B" w:rsidRDefault="00903B5C">
            <w:pPr>
              <w:pStyle w:val="TableParagraph"/>
              <w:ind w:left="114"/>
              <w:rPr>
                <w:sz w:val="20"/>
              </w:rPr>
            </w:pPr>
            <w:r>
              <w:rPr>
                <w:sz w:val="20"/>
              </w:rPr>
              <w:t>1970</w:t>
            </w:r>
          </w:p>
        </w:tc>
        <w:tc>
          <w:tcPr>
            <w:tcW w:w="3421" w:type="dxa"/>
          </w:tcPr>
          <w:p w14:paraId="10469073" w14:textId="77777777" w:rsidR="0046798B" w:rsidRDefault="0046798B">
            <w:pPr>
              <w:pStyle w:val="TableParagraph"/>
            </w:pPr>
          </w:p>
          <w:p w14:paraId="7E20550E" w14:textId="77777777" w:rsidR="0046798B" w:rsidRDefault="0046798B">
            <w:pPr>
              <w:pStyle w:val="TableParagraph"/>
              <w:spacing w:before="4"/>
              <w:rPr>
                <w:sz w:val="21"/>
              </w:rPr>
            </w:pPr>
          </w:p>
          <w:p w14:paraId="396BECA7" w14:textId="77777777" w:rsidR="0046798B" w:rsidRDefault="00903B5C">
            <w:pPr>
              <w:pStyle w:val="TableParagraph"/>
              <w:ind w:left="114" w:right="1475"/>
              <w:rPr>
                <w:sz w:val="20"/>
              </w:rPr>
            </w:pPr>
            <w:r>
              <w:rPr>
                <w:sz w:val="20"/>
              </w:rPr>
              <w:t>0 = policy not adopted 1 = policy adopted</w:t>
            </w:r>
          </w:p>
        </w:tc>
        <w:tc>
          <w:tcPr>
            <w:tcW w:w="6482" w:type="dxa"/>
          </w:tcPr>
          <w:p w14:paraId="7C62922A" w14:textId="77777777" w:rsidR="0046798B" w:rsidRDefault="00903B5C">
            <w:pPr>
              <w:pStyle w:val="TableParagraph"/>
              <w:spacing w:before="38"/>
              <w:ind w:left="114"/>
              <w:rPr>
                <w:sz w:val="20"/>
              </w:rPr>
            </w:pPr>
            <w:r>
              <w:rPr>
                <w:sz w:val="20"/>
              </w:rPr>
              <w:t xml:space="preserve">Uniform Law Commission website: </w:t>
            </w:r>
            <w:hyperlink r:id="rId726">
              <w:r>
                <w:rPr>
                  <w:color w:val="0462C1"/>
                  <w:sz w:val="20"/>
                  <w:u w:val="single" w:color="0462C1"/>
                </w:rPr>
                <w:t>http://www.uniformlaws.org/</w:t>
              </w:r>
            </w:hyperlink>
          </w:p>
          <w:p w14:paraId="6C8E4ABE" w14:textId="77777777" w:rsidR="0046798B" w:rsidRDefault="0046798B">
            <w:pPr>
              <w:pStyle w:val="TableParagraph"/>
              <w:rPr>
                <w:sz w:val="20"/>
              </w:rPr>
            </w:pPr>
          </w:p>
          <w:p w14:paraId="29D65409"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24A3D4B9" w14:textId="77777777">
        <w:trPr>
          <w:trHeight w:val="1465"/>
        </w:trPr>
        <w:tc>
          <w:tcPr>
            <w:tcW w:w="1711" w:type="dxa"/>
          </w:tcPr>
          <w:p w14:paraId="485D29C8" w14:textId="77777777" w:rsidR="0046798B" w:rsidRDefault="0046798B">
            <w:pPr>
              <w:pStyle w:val="TableParagraph"/>
            </w:pPr>
          </w:p>
          <w:p w14:paraId="3918AA29" w14:textId="77777777" w:rsidR="0046798B" w:rsidRDefault="0046798B">
            <w:pPr>
              <w:pStyle w:val="TableParagraph"/>
              <w:spacing w:before="4"/>
              <w:rPr>
                <w:sz w:val="21"/>
              </w:rPr>
            </w:pPr>
          </w:p>
          <w:p w14:paraId="0244ABD5" w14:textId="77777777" w:rsidR="0046798B" w:rsidRDefault="00903B5C">
            <w:pPr>
              <w:pStyle w:val="TableParagraph"/>
              <w:ind w:left="115" w:right="133"/>
              <w:rPr>
                <w:b/>
                <w:sz w:val="20"/>
              </w:rPr>
            </w:pPr>
            <w:r>
              <w:rPr>
                <w:b/>
                <w:sz w:val="20"/>
              </w:rPr>
              <w:t>power_of_attorn ey</w:t>
            </w:r>
          </w:p>
        </w:tc>
        <w:tc>
          <w:tcPr>
            <w:tcW w:w="1596" w:type="dxa"/>
          </w:tcPr>
          <w:p w14:paraId="1F80C20E" w14:textId="77777777" w:rsidR="0046798B" w:rsidRDefault="0046798B">
            <w:pPr>
              <w:pStyle w:val="TableParagraph"/>
            </w:pPr>
          </w:p>
          <w:p w14:paraId="29A144FE" w14:textId="77777777" w:rsidR="0046798B" w:rsidRDefault="00903B5C">
            <w:pPr>
              <w:pStyle w:val="TableParagraph"/>
              <w:spacing w:before="131"/>
              <w:ind w:left="114" w:right="468"/>
              <w:rPr>
                <w:sz w:val="20"/>
              </w:rPr>
            </w:pPr>
            <w:r>
              <w:rPr>
                <w:sz w:val="20"/>
              </w:rPr>
              <w:t>Provides for power of attorney</w:t>
            </w:r>
          </w:p>
        </w:tc>
        <w:tc>
          <w:tcPr>
            <w:tcW w:w="1285" w:type="dxa"/>
          </w:tcPr>
          <w:p w14:paraId="2AE08DB4" w14:textId="77777777" w:rsidR="0046798B" w:rsidRDefault="0046798B">
            <w:pPr>
              <w:pStyle w:val="TableParagraph"/>
            </w:pPr>
          </w:p>
          <w:p w14:paraId="03A90C89" w14:textId="77777777" w:rsidR="0046798B" w:rsidRDefault="0046798B">
            <w:pPr>
              <w:pStyle w:val="TableParagraph"/>
              <w:spacing w:before="4"/>
              <w:rPr>
                <w:sz w:val="31"/>
              </w:rPr>
            </w:pPr>
          </w:p>
          <w:p w14:paraId="07528498" w14:textId="77777777" w:rsidR="0046798B" w:rsidRDefault="00903B5C">
            <w:pPr>
              <w:pStyle w:val="TableParagraph"/>
              <w:ind w:left="114"/>
              <w:rPr>
                <w:sz w:val="20"/>
              </w:rPr>
            </w:pPr>
            <w:r>
              <w:rPr>
                <w:sz w:val="20"/>
              </w:rPr>
              <w:t>2007–2017</w:t>
            </w:r>
          </w:p>
        </w:tc>
        <w:tc>
          <w:tcPr>
            <w:tcW w:w="3421" w:type="dxa"/>
          </w:tcPr>
          <w:p w14:paraId="03B55DC4" w14:textId="77777777" w:rsidR="0046798B" w:rsidRDefault="0046798B">
            <w:pPr>
              <w:pStyle w:val="TableParagraph"/>
            </w:pPr>
          </w:p>
          <w:p w14:paraId="5FDAD190" w14:textId="77777777" w:rsidR="0046798B" w:rsidRDefault="0046798B">
            <w:pPr>
              <w:pStyle w:val="TableParagraph"/>
              <w:spacing w:before="4"/>
              <w:rPr>
                <w:sz w:val="21"/>
              </w:rPr>
            </w:pPr>
          </w:p>
          <w:p w14:paraId="68A66557" w14:textId="77777777" w:rsidR="0046798B" w:rsidRDefault="00903B5C">
            <w:pPr>
              <w:pStyle w:val="TableParagraph"/>
              <w:ind w:left="114" w:right="1475"/>
              <w:rPr>
                <w:sz w:val="20"/>
              </w:rPr>
            </w:pPr>
            <w:r>
              <w:rPr>
                <w:sz w:val="20"/>
              </w:rPr>
              <w:t>0 = policy not adopted 1 = policy adopted</w:t>
            </w:r>
          </w:p>
        </w:tc>
        <w:tc>
          <w:tcPr>
            <w:tcW w:w="6482" w:type="dxa"/>
          </w:tcPr>
          <w:p w14:paraId="528AA740" w14:textId="77777777" w:rsidR="0046798B" w:rsidRDefault="00903B5C">
            <w:pPr>
              <w:pStyle w:val="TableParagraph"/>
              <w:spacing w:before="38"/>
              <w:ind w:left="114"/>
              <w:rPr>
                <w:sz w:val="20"/>
              </w:rPr>
            </w:pPr>
            <w:r>
              <w:rPr>
                <w:sz w:val="20"/>
              </w:rPr>
              <w:t xml:space="preserve">Uniform Law Commission website: </w:t>
            </w:r>
            <w:hyperlink r:id="rId727">
              <w:r>
                <w:rPr>
                  <w:color w:val="0462C1"/>
                  <w:sz w:val="20"/>
                  <w:u w:val="single" w:color="0462C1"/>
                </w:rPr>
                <w:t>http://www.uniformlaws.org/</w:t>
              </w:r>
            </w:hyperlink>
          </w:p>
          <w:p w14:paraId="2C3F2AA0" w14:textId="77777777" w:rsidR="0046798B" w:rsidRDefault="0046798B">
            <w:pPr>
              <w:pStyle w:val="TableParagraph"/>
              <w:rPr>
                <w:sz w:val="20"/>
              </w:rPr>
            </w:pPr>
          </w:p>
          <w:p w14:paraId="0E5316F1"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2945DCD8" w14:textId="77777777">
        <w:trPr>
          <w:trHeight w:val="1465"/>
        </w:trPr>
        <w:tc>
          <w:tcPr>
            <w:tcW w:w="1711" w:type="dxa"/>
          </w:tcPr>
          <w:p w14:paraId="3C248763" w14:textId="77777777" w:rsidR="0046798B" w:rsidRDefault="0046798B">
            <w:pPr>
              <w:pStyle w:val="TableParagraph"/>
            </w:pPr>
          </w:p>
          <w:p w14:paraId="606AB40F" w14:textId="77777777" w:rsidR="0046798B" w:rsidRDefault="00903B5C">
            <w:pPr>
              <w:pStyle w:val="TableParagraph"/>
              <w:spacing w:before="130"/>
              <w:ind w:left="115" w:right="121"/>
              <w:rPr>
                <w:b/>
                <w:sz w:val="20"/>
              </w:rPr>
            </w:pPr>
            <w:r>
              <w:rPr>
                <w:b/>
                <w:sz w:val="20"/>
              </w:rPr>
              <w:t>prevention_of_a nd_remedies_for</w:t>
            </w:r>
          </w:p>
          <w:p w14:paraId="788A8E25" w14:textId="77777777" w:rsidR="0046798B" w:rsidRDefault="00903B5C">
            <w:pPr>
              <w:pStyle w:val="TableParagraph"/>
              <w:ind w:left="115"/>
              <w:rPr>
                <w:b/>
                <w:sz w:val="20"/>
              </w:rPr>
            </w:pPr>
            <w:r>
              <w:rPr>
                <w:b/>
                <w:sz w:val="20"/>
              </w:rPr>
              <w:t>_h</w:t>
            </w:r>
          </w:p>
        </w:tc>
        <w:tc>
          <w:tcPr>
            <w:tcW w:w="1596" w:type="dxa"/>
          </w:tcPr>
          <w:p w14:paraId="767C1474" w14:textId="77777777" w:rsidR="0046798B" w:rsidRDefault="0046798B">
            <w:pPr>
              <w:pStyle w:val="TableParagraph"/>
            </w:pPr>
          </w:p>
          <w:p w14:paraId="11299F74" w14:textId="77777777" w:rsidR="0046798B" w:rsidRDefault="00903B5C">
            <w:pPr>
              <w:pStyle w:val="TableParagraph"/>
              <w:spacing w:before="130"/>
              <w:ind w:left="114" w:right="224"/>
              <w:jc w:val="both"/>
              <w:rPr>
                <w:sz w:val="20"/>
              </w:rPr>
            </w:pPr>
            <w:r>
              <w:rPr>
                <w:sz w:val="20"/>
              </w:rPr>
              <w:t>Laws aiming to prevent human trafficking</w:t>
            </w:r>
          </w:p>
        </w:tc>
        <w:tc>
          <w:tcPr>
            <w:tcW w:w="1285" w:type="dxa"/>
          </w:tcPr>
          <w:p w14:paraId="04D6DB9E" w14:textId="77777777" w:rsidR="0046798B" w:rsidRDefault="0046798B">
            <w:pPr>
              <w:pStyle w:val="TableParagraph"/>
            </w:pPr>
          </w:p>
          <w:p w14:paraId="41B3F1E6" w14:textId="77777777" w:rsidR="0046798B" w:rsidRDefault="0046798B">
            <w:pPr>
              <w:pStyle w:val="TableParagraph"/>
              <w:spacing w:before="3"/>
              <w:rPr>
                <w:sz w:val="31"/>
              </w:rPr>
            </w:pPr>
          </w:p>
          <w:p w14:paraId="2F53D28E" w14:textId="77777777" w:rsidR="0046798B" w:rsidRDefault="00903B5C">
            <w:pPr>
              <w:pStyle w:val="TableParagraph"/>
              <w:spacing w:before="1"/>
              <w:ind w:left="114"/>
              <w:rPr>
                <w:sz w:val="20"/>
              </w:rPr>
            </w:pPr>
            <w:r>
              <w:rPr>
                <w:sz w:val="20"/>
              </w:rPr>
              <w:t>2014–2015</w:t>
            </w:r>
          </w:p>
        </w:tc>
        <w:tc>
          <w:tcPr>
            <w:tcW w:w="3421" w:type="dxa"/>
          </w:tcPr>
          <w:p w14:paraId="3DC16ECC" w14:textId="77777777" w:rsidR="0046798B" w:rsidRDefault="0046798B">
            <w:pPr>
              <w:pStyle w:val="TableParagraph"/>
            </w:pPr>
          </w:p>
          <w:p w14:paraId="40C46073" w14:textId="77777777" w:rsidR="0046798B" w:rsidRDefault="0046798B">
            <w:pPr>
              <w:pStyle w:val="TableParagraph"/>
              <w:spacing w:before="3"/>
              <w:rPr>
                <w:sz w:val="21"/>
              </w:rPr>
            </w:pPr>
          </w:p>
          <w:p w14:paraId="48B4FB89"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622295DA" w14:textId="77777777" w:rsidR="0046798B" w:rsidRDefault="00903B5C">
            <w:pPr>
              <w:pStyle w:val="TableParagraph"/>
              <w:spacing w:before="38"/>
              <w:ind w:left="114"/>
              <w:rPr>
                <w:sz w:val="20"/>
              </w:rPr>
            </w:pPr>
            <w:r>
              <w:rPr>
                <w:sz w:val="20"/>
              </w:rPr>
              <w:t xml:space="preserve">Uniform Law Commission website: </w:t>
            </w:r>
            <w:hyperlink r:id="rId728">
              <w:r>
                <w:rPr>
                  <w:color w:val="0462C1"/>
                  <w:sz w:val="20"/>
                  <w:u w:val="single" w:color="0462C1"/>
                </w:rPr>
                <w:t>http://www.uniformlaws.org/</w:t>
              </w:r>
            </w:hyperlink>
          </w:p>
          <w:p w14:paraId="63DBB94A" w14:textId="77777777" w:rsidR="0046798B" w:rsidRDefault="0046798B">
            <w:pPr>
              <w:pStyle w:val="TableParagraph"/>
              <w:rPr>
                <w:sz w:val="20"/>
              </w:rPr>
            </w:pPr>
          </w:p>
          <w:p w14:paraId="7F6037B3"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bl>
    <w:p w14:paraId="78360609" w14:textId="77777777" w:rsidR="0046798B" w:rsidRDefault="0046798B">
      <w:pPr>
        <w:rPr>
          <w:sz w:val="20"/>
        </w:rPr>
        <w:sectPr w:rsidR="0046798B">
          <w:pgSz w:w="15840" w:h="12240" w:orient="landscape"/>
          <w:pgMar w:top="1220" w:right="300" w:bottom="980" w:left="820" w:header="730" w:footer="787" w:gutter="0"/>
          <w:cols w:space="720"/>
        </w:sectPr>
      </w:pPr>
    </w:p>
    <w:p w14:paraId="4B92709E"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7AB0872B" w14:textId="77777777">
        <w:trPr>
          <w:trHeight w:val="1465"/>
        </w:trPr>
        <w:tc>
          <w:tcPr>
            <w:tcW w:w="1711" w:type="dxa"/>
          </w:tcPr>
          <w:p w14:paraId="4BF74639" w14:textId="77777777" w:rsidR="0046798B" w:rsidRDefault="0046798B">
            <w:pPr>
              <w:pStyle w:val="TableParagraph"/>
            </w:pPr>
          </w:p>
          <w:p w14:paraId="684DD6F7" w14:textId="77777777" w:rsidR="0046798B" w:rsidRDefault="00903B5C">
            <w:pPr>
              <w:pStyle w:val="TableParagraph"/>
              <w:spacing w:before="135"/>
              <w:ind w:left="115"/>
              <w:rPr>
                <w:b/>
                <w:sz w:val="20"/>
              </w:rPr>
            </w:pPr>
            <w:r>
              <w:rPr>
                <w:b/>
                <w:sz w:val="20"/>
              </w:rPr>
              <w:t>recognition_and</w:t>
            </w:r>
          </w:p>
          <w:p w14:paraId="0D3CAEE8" w14:textId="77777777" w:rsidR="0046798B" w:rsidRDefault="00903B5C">
            <w:pPr>
              <w:pStyle w:val="TableParagraph"/>
              <w:ind w:left="115"/>
              <w:rPr>
                <w:b/>
                <w:sz w:val="20"/>
              </w:rPr>
            </w:pPr>
            <w:r>
              <w:rPr>
                <w:b/>
                <w:sz w:val="20"/>
              </w:rPr>
              <w:t>_enforcement_of</w:t>
            </w:r>
          </w:p>
          <w:p w14:paraId="6C0EA058" w14:textId="77777777" w:rsidR="0046798B" w:rsidRDefault="00903B5C">
            <w:pPr>
              <w:pStyle w:val="TableParagraph"/>
              <w:ind w:left="115"/>
              <w:rPr>
                <w:b/>
                <w:sz w:val="20"/>
              </w:rPr>
            </w:pPr>
            <w:r>
              <w:rPr>
                <w:b/>
                <w:sz w:val="20"/>
              </w:rPr>
              <w:t>_c</w:t>
            </w:r>
          </w:p>
        </w:tc>
        <w:tc>
          <w:tcPr>
            <w:tcW w:w="1596" w:type="dxa"/>
          </w:tcPr>
          <w:p w14:paraId="082A344D" w14:textId="77777777" w:rsidR="0046798B" w:rsidRDefault="0046798B">
            <w:pPr>
              <w:pStyle w:val="TableParagraph"/>
              <w:spacing w:before="9"/>
              <w:rPr>
                <w:sz w:val="23"/>
              </w:rPr>
            </w:pPr>
          </w:p>
          <w:p w14:paraId="562529D7" w14:textId="77777777" w:rsidR="0046798B" w:rsidRDefault="00903B5C">
            <w:pPr>
              <w:pStyle w:val="TableParagraph"/>
              <w:ind w:left="114" w:right="224"/>
              <w:rPr>
                <w:sz w:val="20"/>
              </w:rPr>
            </w:pPr>
            <w:r>
              <w:rPr>
                <w:sz w:val="20"/>
              </w:rPr>
              <w:t>Enforces Canadian domestic violence orders</w:t>
            </w:r>
          </w:p>
        </w:tc>
        <w:tc>
          <w:tcPr>
            <w:tcW w:w="1285" w:type="dxa"/>
          </w:tcPr>
          <w:p w14:paraId="6AC2FBF6" w14:textId="77777777" w:rsidR="0046798B" w:rsidRDefault="0046798B">
            <w:pPr>
              <w:pStyle w:val="TableParagraph"/>
            </w:pPr>
          </w:p>
          <w:p w14:paraId="55490AEC" w14:textId="77777777" w:rsidR="0046798B" w:rsidRDefault="0046798B">
            <w:pPr>
              <w:pStyle w:val="TableParagraph"/>
              <w:spacing w:before="9"/>
              <w:rPr>
                <w:sz w:val="31"/>
              </w:rPr>
            </w:pPr>
          </w:p>
          <w:p w14:paraId="6E34D18E" w14:textId="77777777" w:rsidR="0046798B" w:rsidRDefault="00903B5C">
            <w:pPr>
              <w:pStyle w:val="TableParagraph"/>
              <w:ind w:left="114"/>
              <w:rPr>
                <w:sz w:val="20"/>
              </w:rPr>
            </w:pPr>
            <w:r>
              <w:rPr>
                <w:sz w:val="20"/>
              </w:rPr>
              <w:t>2016–2017</w:t>
            </w:r>
          </w:p>
        </w:tc>
        <w:tc>
          <w:tcPr>
            <w:tcW w:w="3421" w:type="dxa"/>
          </w:tcPr>
          <w:p w14:paraId="7B581BE9" w14:textId="77777777" w:rsidR="0046798B" w:rsidRDefault="0046798B">
            <w:pPr>
              <w:pStyle w:val="TableParagraph"/>
            </w:pPr>
          </w:p>
          <w:p w14:paraId="7E33A610" w14:textId="77777777" w:rsidR="0046798B" w:rsidRDefault="0046798B">
            <w:pPr>
              <w:pStyle w:val="TableParagraph"/>
              <w:spacing w:before="9"/>
              <w:rPr>
                <w:sz w:val="21"/>
              </w:rPr>
            </w:pPr>
          </w:p>
          <w:p w14:paraId="1E76ADB9" w14:textId="77777777" w:rsidR="0046798B" w:rsidRDefault="00903B5C">
            <w:pPr>
              <w:pStyle w:val="TableParagraph"/>
              <w:ind w:left="114" w:right="1475"/>
              <w:rPr>
                <w:sz w:val="20"/>
              </w:rPr>
            </w:pPr>
            <w:r>
              <w:rPr>
                <w:sz w:val="20"/>
              </w:rPr>
              <w:t>0 = policy not adopted 1 = policy adopted</w:t>
            </w:r>
          </w:p>
        </w:tc>
        <w:tc>
          <w:tcPr>
            <w:tcW w:w="6482" w:type="dxa"/>
          </w:tcPr>
          <w:p w14:paraId="49F35A10" w14:textId="77777777" w:rsidR="0046798B" w:rsidRDefault="00903B5C">
            <w:pPr>
              <w:pStyle w:val="TableParagraph"/>
              <w:spacing w:before="43"/>
              <w:ind w:left="114"/>
              <w:rPr>
                <w:sz w:val="20"/>
              </w:rPr>
            </w:pPr>
            <w:r>
              <w:rPr>
                <w:sz w:val="20"/>
              </w:rPr>
              <w:t xml:space="preserve">Uniform Law Commission website: </w:t>
            </w:r>
            <w:hyperlink r:id="rId729">
              <w:r>
                <w:rPr>
                  <w:color w:val="0462C1"/>
                  <w:sz w:val="20"/>
                  <w:u w:val="single" w:color="0462C1"/>
                </w:rPr>
                <w:t>http://www.uniformlaws.org/</w:t>
              </w:r>
            </w:hyperlink>
          </w:p>
          <w:p w14:paraId="17D2F912" w14:textId="77777777" w:rsidR="0046798B" w:rsidRDefault="0046798B">
            <w:pPr>
              <w:pStyle w:val="TableParagraph"/>
              <w:rPr>
                <w:sz w:val="20"/>
              </w:rPr>
            </w:pPr>
          </w:p>
          <w:p w14:paraId="13A9F88A"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48DC856B" w14:textId="77777777">
        <w:trPr>
          <w:trHeight w:val="1466"/>
        </w:trPr>
        <w:tc>
          <w:tcPr>
            <w:tcW w:w="1711" w:type="dxa"/>
          </w:tcPr>
          <w:p w14:paraId="613E6FEF" w14:textId="77777777" w:rsidR="0046798B" w:rsidRDefault="0046798B">
            <w:pPr>
              <w:pStyle w:val="TableParagraph"/>
            </w:pPr>
          </w:p>
          <w:p w14:paraId="335912A5" w14:textId="77777777" w:rsidR="0046798B" w:rsidRDefault="0046798B">
            <w:pPr>
              <w:pStyle w:val="TableParagraph"/>
              <w:spacing w:before="9"/>
              <w:rPr>
                <w:sz w:val="21"/>
              </w:rPr>
            </w:pPr>
          </w:p>
          <w:p w14:paraId="7B2D1037" w14:textId="77777777" w:rsidR="0046798B" w:rsidRDefault="00903B5C">
            <w:pPr>
              <w:pStyle w:val="TableParagraph"/>
              <w:ind w:left="115" w:right="155"/>
              <w:rPr>
                <w:b/>
                <w:sz w:val="20"/>
              </w:rPr>
            </w:pPr>
            <w:r>
              <w:rPr>
                <w:b/>
                <w:sz w:val="20"/>
              </w:rPr>
              <w:t>recognition_of_s ubstitute_decisi</w:t>
            </w:r>
          </w:p>
        </w:tc>
        <w:tc>
          <w:tcPr>
            <w:tcW w:w="1596" w:type="dxa"/>
          </w:tcPr>
          <w:p w14:paraId="0AD40ABD" w14:textId="77777777" w:rsidR="0046798B" w:rsidRDefault="00903B5C">
            <w:pPr>
              <w:pStyle w:val="TableParagraph"/>
              <w:spacing w:before="159"/>
              <w:ind w:left="114" w:right="208"/>
              <w:rPr>
                <w:sz w:val="20"/>
              </w:rPr>
            </w:pPr>
            <w:r>
              <w:rPr>
                <w:sz w:val="20"/>
              </w:rPr>
              <w:t>Allows substituting documents created in other jurisdictions</w:t>
            </w:r>
          </w:p>
        </w:tc>
        <w:tc>
          <w:tcPr>
            <w:tcW w:w="1285" w:type="dxa"/>
          </w:tcPr>
          <w:p w14:paraId="03ACB8C6" w14:textId="77777777" w:rsidR="0046798B" w:rsidRDefault="0046798B">
            <w:pPr>
              <w:pStyle w:val="TableParagraph"/>
            </w:pPr>
          </w:p>
          <w:p w14:paraId="14393BAE" w14:textId="77777777" w:rsidR="0046798B" w:rsidRDefault="0046798B">
            <w:pPr>
              <w:pStyle w:val="TableParagraph"/>
              <w:spacing w:before="9"/>
              <w:rPr>
                <w:sz w:val="31"/>
              </w:rPr>
            </w:pPr>
          </w:p>
          <w:p w14:paraId="72B33B14" w14:textId="77777777" w:rsidR="0046798B" w:rsidRDefault="00903B5C">
            <w:pPr>
              <w:pStyle w:val="TableParagraph"/>
              <w:ind w:left="114"/>
              <w:rPr>
                <w:sz w:val="20"/>
              </w:rPr>
            </w:pPr>
            <w:r>
              <w:rPr>
                <w:sz w:val="20"/>
              </w:rPr>
              <w:t>2015–2016</w:t>
            </w:r>
          </w:p>
        </w:tc>
        <w:tc>
          <w:tcPr>
            <w:tcW w:w="3421" w:type="dxa"/>
          </w:tcPr>
          <w:p w14:paraId="60EE694C" w14:textId="77777777" w:rsidR="0046798B" w:rsidRDefault="0046798B">
            <w:pPr>
              <w:pStyle w:val="TableParagraph"/>
            </w:pPr>
          </w:p>
          <w:p w14:paraId="354A6C57" w14:textId="77777777" w:rsidR="0046798B" w:rsidRDefault="0046798B">
            <w:pPr>
              <w:pStyle w:val="TableParagraph"/>
              <w:spacing w:before="9"/>
              <w:rPr>
                <w:sz w:val="21"/>
              </w:rPr>
            </w:pPr>
          </w:p>
          <w:p w14:paraId="032B1662" w14:textId="77777777" w:rsidR="0046798B" w:rsidRDefault="00903B5C">
            <w:pPr>
              <w:pStyle w:val="TableParagraph"/>
              <w:ind w:left="114" w:right="1475"/>
              <w:rPr>
                <w:sz w:val="20"/>
              </w:rPr>
            </w:pPr>
            <w:r>
              <w:rPr>
                <w:sz w:val="20"/>
              </w:rPr>
              <w:t>0 = policy not adopted 1 = policy adopted</w:t>
            </w:r>
          </w:p>
        </w:tc>
        <w:tc>
          <w:tcPr>
            <w:tcW w:w="6482" w:type="dxa"/>
          </w:tcPr>
          <w:p w14:paraId="270659BC" w14:textId="77777777" w:rsidR="0046798B" w:rsidRDefault="00903B5C">
            <w:pPr>
              <w:pStyle w:val="TableParagraph"/>
              <w:spacing w:before="44"/>
              <w:ind w:left="114"/>
              <w:rPr>
                <w:sz w:val="20"/>
              </w:rPr>
            </w:pPr>
            <w:r>
              <w:rPr>
                <w:sz w:val="20"/>
              </w:rPr>
              <w:t xml:space="preserve">Uniform Law Commission website: </w:t>
            </w:r>
            <w:hyperlink r:id="rId730">
              <w:r>
                <w:rPr>
                  <w:color w:val="0462C1"/>
                  <w:sz w:val="20"/>
                  <w:u w:val="single" w:color="0462C1"/>
                </w:rPr>
                <w:t>http://www.uniformlaws.org/</w:t>
              </w:r>
            </w:hyperlink>
          </w:p>
          <w:p w14:paraId="39AD5A9D" w14:textId="77777777" w:rsidR="0046798B" w:rsidRDefault="0046798B">
            <w:pPr>
              <w:pStyle w:val="TableParagraph"/>
              <w:spacing w:before="11"/>
              <w:rPr>
                <w:sz w:val="19"/>
              </w:rPr>
            </w:pPr>
          </w:p>
          <w:p w14:paraId="4A7A174B"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61F4949D" w14:textId="77777777">
        <w:trPr>
          <w:trHeight w:val="2160"/>
        </w:trPr>
        <w:tc>
          <w:tcPr>
            <w:tcW w:w="1711" w:type="dxa"/>
          </w:tcPr>
          <w:p w14:paraId="4EF7264C" w14:textId="77777777" w:rsidR="0046798B" w:rsidRDefault="0046798B">
            <w:pPr>
              <w:pStyle w:val="TableParagraph"/>
            </w:pPr>
          </w:p>
          <w:p w14:paraId="7A8515EF" w14:textId="77777777" w:rsidR="0046798B" w:rsidRDefault="0046798B">
            <w:pPr>
              <w:pStyle w:val="TableParagraph"/>
            </w:pPr>
          </w:p>
          <w:p w14:paraId="5EA77A58" w14:textId="77777777" w:rsidR="0046798B" w:rsidRDefault="0046798B">
            <w:pPr>
              <w:pStyle w:val="TableParagraph"/>
              <w:spacing w:before="8"/>
              <w:rPr>
                <w:sz w:val="29"/>
              </w:rPr>
            </w:pPr>
          </w:p>
          <w:p w14:paraId="5A0D5A02" w14:textId="77777777" w:rsidR="0046798B" w:rsidRDefault="00903B5C">
            <w:pPr>
              <w:pStyle w:val="TableParagraph"/>
              <w:spacing w:before="1"/>
              <w:ind w:left="115" w:right="132"/>
              <w:rPr>
                <w:b/>
                <w:sz w:val="20"/>
              </w:rPr>
            </w:pPr>
            <w:r>
              <w:rPr>
                <w:b/>
                <w:sz w:val="20"/>
              </w:rPr>
              <w:t>rules_of_evidenc e_1974</w:t>
            </w:r>
          </w:p>
        </w:tc>
        <w:tc>
          <w:tcPr>
            <w:tcW w:w="1596" w:type="dxa"/>
          </w:tcPr>
          <w:p w14:paraId="4D42E8F9" w14:textId="77777777" w:rsidR="0046798B" w:rsidRDefault="00903B5C">
            <w:pPr>
              <w:pStyle w:val="TableParagraph"/>
              <w:spacing w:before="43"/>
              <w:ind w:left="114" w:right="108"/>
              <w:rPr>
                <w:sz w:val="20"/>
              </w:rPr>
            </w:pPr>
            <w:r>
              <w:rPr>
                <w:sz w:val="20"/>
              </w:rPr>
              <w:t>Simplify and codify the rules pertaining to what may be introduced in evidence in any civil or criminal trial in a court of law</w:t>
            </w:r>
          </w:p>
        </w:tc>
        <w:tc>
          <w:tcPr>
            <w:tcW w:w="1285" w:type="dxa"/>
          </w:tcPr>
          <w:p w14:paraId="1AF08807" w14:textId="77777777" w:rsidR="0046798B" w:rsidRDefault="0046798B">
            <w:pPr>
              <w:pStyle w:val="TableParagraph"/>
            </w:pPr>
          </w:p>
          <w:p w14:paraId="189F39C8" w14:textId="77777777" w:rsidR="0046798B" w:rsidRDefault="0046798B">
            <w:pPr>
              <w:pStyle w:val="TableParagraph"/>
            </w:pPr>
          </w:p>
          <w:p w14:paraId="2F785AD7" w14:textId="77777777" w:rsidR="0046798B" w:rsidRDefault="0046798B">
            <w:pPr>
              <w:pStyle w:val="TableParagraph"/>
            </w:pPr>
          </w:p>
          <w:p w14:paraId="3741B1E3" w14:textId="77777777" w:rsidR="0046798B" w:rsidRDefault="0046798B">
            <w:pPr>
              <w:pStyle w:val="TableParagraph"/>
              <w:spacing w:before="9"/>
              <w:rPr>
                <w:sz w:val="17"/>
              </w:rPr>
            </w:pPr>
          </w:p>
          <w:p w14:paraId="6E522BC0" w14:textId="77777777" w:rsidR="0046798B" w:rsidRDefault="00903B5C">
            <w:pPr>
              <w:pStyle w:val="TableParagraph"/>
              <w:ind w:left="114"/>
              <w:rPr>
                <w:sz w:val="20"/>
              </w:rPr>
            </w:pPr>
            <w:r>
              <w:rPr>
                <w:sz w:val="20"/>
              </w:rPr>
              <w:t>1975–1980</w:t>
            </w:r>
          </w:p>
        </w:tc>
        <w:tc>
          <w:tcPr>
            <w:tcW w:w="3421" w:type="dxa"/>
          </w:tcPr>
          <w:p w14:paraId="6165603B" w14:textId="77777777" w:rsidR="0046798B" w:rsidRDefault="0046798B">
            <w:pPr>
              <w:pStyle w:val="TableParagraph"/>
            </w:pPr>
          </w:p>
          <w:p w14:paraId="09299E77" w14:textId="77777777" w:rsidR="0046798B" w:rsidRDefault="0046798B">
            <w:pPr>
              <w:pStyle w:val="TableParagraph"/>
            </w:pPr>
          </w:p>
          <w:p w14:paraId="1CB0E558" w14:textId="77777777" w:rsidR="0046798B" w:rsidRDefault="0046798B">
            <w:pPr>
              <w:pStyle w:val="TableParagraph"/>
              <w:spacing w:before="8"/>
              <w:rPr>
                <w:sz w:val="29"/>
              </w:rPr>
            </w:pPr>
          </w:p>
          <w:p w14:paraId="495B1797"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46A4E5A7" w14:textId="77777777" w:rsidR="0046798B" w:rsidRDefault="0046798B">
            <w:pPr>
              <w:pStyle w:val="TableParagraph"/>
            </w:pPr>
          </w:p>
          <w:p w14:paraId="3F0B23CA" w14:textId="77777777" w:rsidR="0046798B" w:rsidRDefault="00903B5C">
            <w:pPr>
              <w:pStyle w:val="TableParagraph"/>
              <w:spacing w:before="135"/>
              <w:ind w:left="114"/>
              <w:rPr>
                <w:sz w:val="20"/>
              </w:rPr>
            </w:pPr>
            <w:r>
              <w:rPr>
                <w:sz w:val="20"/>
              </w:rPr>
              <w:t xml:space="preserve">Uniform Law Commission website: </w:t>
            </w:r>
            <w:hyperlink r:id="rId731">
              <w:r>
                <w:rPr>
                  <w:color w:val="0462C1"/>
                  <w:sz w:val="20"/>
                  <w:u w:val="single" w:color="0462C1"/>
                </w:rPr>
                <w:t>http://www.uniformlaws.org/</w:t>
              </w:r>
            </w:hyperlink>
          </w:p>
          <w:p w14:paraId="2968DA58" w14:textId="77777777" w:rsidR="0046798B" w:rsidRDefault="0046798B">
            <w:pPr>
              <w:pStyle w:val="TableParagraph"/>
              <w:rPr>
                <w:sz w:val="20"/>
              </w:rPr>
            </w:pPr>
          </w:p>
          <w:p w14:paraId="368D3344"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6EC1B0D0" w14:textId="77777777">
        <w:trPr>
          <w:trHeight w:val="1466"/>
        </w:trPr>
        <w:tc>
          <w:tcPr>
            <w:tcW w:w="1711" w:type="dxa"/>
          </w:tcPr>
          <w:p w14:paraId="7EF62DDD" w14:textId="77777777" w:rsidR="0046798B" w:rsidRDefault="0046798B">
            <w:pPr>
              <w:pStyle w:val="TableParagraph"/>
            </w:pPr>
          </w:p>
          <w:p w14:paraId="454A6787" w14:textId="77777777" w:rsidR="0046798B" w:rsidRDefault="0046798B">
            <w:pPr>
              <w:pStyle w:val="TableParagraph"/>
              <w:spacing w:before="4"/>
              <w:rPr>
                <w:sz w:val="21"/>
              </w:rPr>
            </w:pPr>
          </w:p>
          <w:p w14:paraId="527283C7" w14:textId="77777777" w:rsidR="0046798B" w:rsidRDefault="00903B5C">
            <w:pPr>
              <w:pStyle w:val="TableParagraph"/>
              <w:ind w:left="115" w:right="88"/>
              <w:rPr>
                <w:b/>
                <w:sz w:val="20"/>
              </w:rPr>
            </w:pPr>
            <w:r>
              <w:rPr>
                <w:b/>
                <w:sz w:val="20"/>
              </w:rPr>
              <w:t>status_of_convict ed_persons_act_</w:t>
            </w:r>
          </w:p>
        </w:tc>
        <w:tc>
          <w:tcPr>
            <w:tcW w:w="1596" w:type="dxa"/>
          </w:tcPr>
          <w:p w14:paraId="0E364C0D" w14:textId="77777777" w:rsidR="0046798B" w:rsidRDefault="0046798B">
            <w:pPr>
              <w:pStyle w:val="TableParagraph"/>
            </w:pPr>
          </w:p>
          <w:p w14:paraId="541051A2" w14:textId="77777777" w:rsidR="0046798B" w:rsidRDefault="0046798B">
            <w:pPr>
              <w:pStyle w:val="TableParagraph"/>
              <w:spacing w:before="4"/>
              <w:rPr>
                <w:sz w:val="21"/>
              </w:rPr>
            </w:pPr>
          </w:p>
          <w:p w14:paraId="11189590" w14:textId="77777777" w:rsidR="0046798B" w:rsidRDefault="00903B5C">
            <w:pPr>
              <w:pStyle w:val="TableParagraph"/>
              <w:ind w:left="114" w:right="91"/>
              <w:rPr>
                <w:sz w:val="20"/>
              </w:rPr>
            </w:pPr>
            <w:r>
              <w:rPr>
                <w:sz w:val="20"/>
              </w:rPr>
              <w:t>Defines rights of convicted people</w:t>
            </w:r>
          </w:p>
        </w:tc>
        <w:tc>
          <w:tcPr>
            <w:tcW w:w="1285" w:type="dxa"/>
          </w:tcPr>
          <w:p w14:paraId="772E6364" w14:textId="77777777" w:rsidR="0046798B" w:rsidRDefault="0046798B">
            <w:pPr>
              <w:pStyle w:val="TableParagraph"/>
            </w:pPr>
          </w:p>
          <w:p w14:paraId="49A7E85E" w14:textId="77777777" w:rsidR="0046798B" w:rsidRDefault="0046798B">
            <w:pPr>
              <w:pStyle w:val="TableParagraph"/>
              <w:spacing w:before="4"/>
              <w:rPr>
                <w:sz w:val="31"/>
              </w:rPr>
            </w:pPr>
          </w:p>
          <w:p w14:paraId="498A2D7F" w14:textId="77777777" w:rsidR="0046798B" w:rsidRDefault="00903B5C">
            <w:pPr>
              <w:pStyle w:val="TableParagraph"/>
              <w:ind w:left="114"/>
              <w:rPr>
                <w:sz w:val="20"/>
              </w:rPr>
            </w:pPr>
            <w:r>
              <w:rPr>
                <w:sz w:val="20"/>
              </w:rPr>
              <w:t>1968–1970</w:t>
            </w:r>
          </w:p>
        </w:tc>
        <w:tc>
          <w:tcPr>
            <w:tcW w:w="3421" w:type="dxa"/>
          </w:tcPr>
          <w:p w14:paraId="550048B0" w14:textId="77777777" w:rsidR="0046798B" w:rsidRDefault="0046798B">
            <w:pPr>
              <w:pStyle w:val="TableParagraph"/>
            </w:pPr>
          </w:p>
          <w:p w14:paraId="06F162D4" w14:textId="77777777" w:rsidR="0046798B" w:rsidRDefault="0046798B">
            <w:pPr>
              <w:pStyle w:val="TableParagraph"/>
              <w:spacing w:before="4"/>
              <w:rPr>
                <w:sz w:val="21"/>
              </w:rPr>
            </w:pPr>
          </w:p>
          <w:p w14:paraId="75691F27" w14:textId="77777777" w:rsidR="0046798B" w:rsidRDefault="00903B5C">
            <w:pPr>
              <w:pStyle w:val="TableParagraph"/>
              <w:ind w:left="114" w:right="1475"/>
              <w:rPr>
                <w:sz w:val="20"/>
              </w:rPr>
            </w:pPr>
            <w:r>
              <w:rPr>
                <w:sz w:val="20"/>
              </w:rPr>
              <w:t>0 = policy not adopted 1 = policy adopted</w:t>
            </w:r>
          </w:p>
        </w:tc>
        <w:tc>
          <w:tcPr>
            <w:tcW w:w="6482" w:type="dxa"/>
          </w:tcPr>
          <w:p w14:paraId="5CDD0796" w14:textId="77777777" w:rsidR="0046798B" w:rsidRDefault="00903B5C">
            <w:pPr>
              <w:pStyle w:val="TableParagraph"/>
              <w:spacing w:before="39"/>
              <w:ind w:left="114"/>
              <w:rPr>
                <w:sz w:val="20"/>
              </w:rPr>
            </w:pPr>
            <w:r>
              <w:rPr>
                <w:sz w:val="20"/>
              </w:rPr>
              <w:t xml:space="preserve">Uniform Law Commission website: </w:t>
            </w:r>
            <w:hyperlink r:id="rId732">
              <w:r>
                <w:rPr>
                  <w:color w:val="0462C1"/>
                  <w:sz w:val="20"/>
                  <w:u w:val="single" w:color="0462C1"/>
                </w:rPr>
                <w:t>http://www.uniformlaws.org/</w:t>
              </w:r>
            </w:hyperlink>
          </w:p>
          <w:p w14:paraId="2678FF67" w14:textId="77777777" w:rsidR="0046798B" w:rsidRDefault="0046798B">
            <w:pPr>
              <w:pStyle w:val="TableParagraph"/>
              <w:spacing w:before="11"/>
              <w:rPr>
                <w:sz w:val="19"/>
              </w:rPr>
            </w:pPr>
          </w:p>
          <w:p w14:paraId="0AEADA34"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2400219D" w14:textId="77777777">
        <w:trPr>
          <w:trHeight w:val="1465"/>
        </w:trPr>
        <w:tc>
          <w:tcPr>
            <w:tcW w:w="1711" w:type="dxa"/>
          </w:tcPr>
          <w:p w14:paraId="17A9170C" w14:textId="77777777" w:rsidR="0046798B" w:rsidRDefault="0046798B">
            <w:pPr>
              <w:pStyle w:val="TableParagraph"/>
            </w:pPr>
          </w:p>
          <w:p w14:paraId="4CE5E806" w14:textId="77777777" w:rsidR="0046798B" w:rsidRDefault="00903B5C">
            <w:pPr>
              <w:pStyle w:val="TableParagraph"/>
              <w:spacing w:before="130"/>
              <w:ind w:left="115" w:right="148"/>
              <w:jc w:val="both"/>
              <w:rPr>
                <w:b/>
                <w:sz w:val="20"/>
              </w:rPr>
            </w:pPr>
            <w:r>
              <w:rPr>
                <w:b/>
                <w:sz w:val="20"/>
              </w:rPr>
              <w:t>statutory_form_ power_of_attorn ey</w:t>
            </w:r>
          </w:p>
        </w:tc>
        <w:tc>
          <w:tcPr>
            <w:tcW w:w="1596" w:type="dxa"/>
          </w:tcPr>
          <w:p w14:paraId="2B02FEA7" w14:textId="77777777" w:rsidR="0046798B" w:rsidRDefault="0046798B">
            <w:pPr>
              <w:pStyle w:val="TableParagraph"/>
            </w:pPr>
          </w:p>
          <w:p w14:paraId="2CF029A8" w14:textId="77777777" w:rsidR="0046798B" w:rsidRDefault="0046798B">
            <w:pPr>
              <w:pStyle w:val="TableParagraph"/>
              <w:spacing w:before="3"/>
              <w:rPr>
                <w:sz w:val="21"/>
              </w:rPr>
            </w:pPr>
          </w:p>
          <w:p w14:paraId="147AD578" w14:textId="77777777" w:rsidR="0046798B" w:rsidRDefault="00903B5C">
            <w:pPr>
              <w:pStyle w:val="TableParagraph"/>
              <w:ind w:left="114" w:right="113"/>
              <w:rPr>
                <w:sz w:val="20"/>
              </w:rPr>
            </w:pPr>
            <w:r>
              <w:rPr>
                <w:sz w:val="20"/>
              </w:rPr>
              <w:t>Regulates power of attorney</w:t>
            </w:r>
          </w:p>
        </w:tc>
        <w:tc>
          <w:tcPr>
            <w:tcW w:w="1285" w:type="dxa"/>
          </w:tcPr>
          <w:p w14:paraId="475C225A" w14:textId="77777777" w:rsidR="0046798B" w:rsidRDefault="0046798B">
            <w:pPr>
              <w:pStyle w:val="TableParagraph"/>
            </w:pPr>
          </w:p>
          <w:p w14:paraId="349EB4A8" w14:textId="77777777" w:rsidR="0046798B" w:rsidRDefault="0046798B">
            <w:pPr>
              <w:pStyle w:val="TableParagraph"/>
              <w:spacing w:before="3"/>
              <w:rPr>
                <w:sz w:val="31"/>
              </w:rPr>
            </w:pPr>
          </w:p>
          <w:p w14:paraId="47856254" w14:textId="77777777" w:rsidR="0046798B" w:rsidRDefault="00903B5C">
            <w:pPr>
              <w:pStyle w:val="TableParagraph"/>
              <w:ind w:left="114"/>
              <w:rPr>
                <w:sz w:val="20"/>
              </w:rPr>
            </w:pPr>
            <w:r>
              <w:rPr>
                <w:sz w:val="20"/>
              </w:rPr>
              <w:t>1991–2006</w:t>
            </w:r>
          </w:p>
        </w:tc>
        <w:tc>
          <w:tcPr>
            <w:tcW w:w="3421" w:type="dxa"/>
          </w:tcPr>
          <w:p w14:paraId="631A0D6D" w14:textId="77777777" w:rsidR="0046798B" w:rsidRDefault="0046798B">
            <w:pPr>
              <w:pStyle w:val="TableParagraph"/>
            </w:pPr>
          </w:p>
          <w:p w14:paraId="7981F16D" w14:textId="77777777" w:rsidR="0046798B" w:rsidRDefault="0046798B">
            <w:pPr>
              <w:pStyle w:val="TableParagraph"/>
              <w:spacing w:before="3"/>
              <w:rPr>
                <w:sz w:val="21"/>
              </w:rPr>
            </w:pPr>
          </w:p>
          <w:p w14:paraId="0917D2D8" w14:textId="77777777" w:rsidR="0046798B" w:rsidRDefault="00903B5C">
            <w:pPr>
              <w:pStyle w:val="TableParagraph"/>
              <w:ind w:left="114" w:right="1475"/>
              <w:rPr>
                <w:sz w:val="20"/>
              </w:rPr>
            </w:pPr>
            <w:r>
              <w:rPr>
                <w:sz w:val="20"/>
              </w:rPr>
              <w:t>0 = policy not adopted 1 = policy adopted</w:t>
            </w:r>
          </w:p>
        </w:tc>
        <w:tc>
          <w:tcPr>
            <w:tcW w:w="6482" w:type="dxa"/>
          </w:tcPr>
          <w:p w14:paraId="72005FD7" w14:textId="77777777" w:rsidR="0046798B" w:rsidRDefault="00903B5C">
            <w:pPr>
              <w:pStyle w:val="TableParagraph"/>
              <w:spacing w:before="38"/>
              <w:ind w:left="114"/>
              <w:rPr>
                <w:sz w:val="20"/>
              </w:rPr>
            </w:pPr>
            <w:r>
              <w:rPr>
                <w:sz w:val="20"/>
              </w:rPr>
              <w:t xml:space="preserve">Uniform Law Commission website: </w:t>
            </w:r>
            <w:hyperlink r:id="rId733">
              <w:r>
                <w:rPr>
                  <w:color w:val="0462C1"/>
                  <w:sz w:val="20"/>
                  <w:u w:val="single" w:color="0462C1"/>
                </w:rPr>
                <w:t>http://www.uniformlaws.org/</w:t>
              </w:r>
            </w:hyperlink>
          </w:p>
          <w:p w14:paraId="13699DDD" w14:textId="77777777" w:rsidR="0046798B" w:rsidRDefault="0046798B">
            <w:pPr>
              <w:pStyle w:val="TableParagraph"/>
              <w:rPr>
                <w:sz w:val="20"/>
              </w:rPr>
            </w:pPr>
          </w:p>
          <w:p w14:paraId="55D9EA58"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38512D43" w14:textId="77777777">
        <w:trPr>
          <w:trHeight w:val="1235"/>
        </w:trPr>
        <w:tc>
          <w:tcPr>
            <w:tcW w:w="1711" w:type="dxa"/>
          </w:tcPr>
          <w:p w14:paraId="3416503D" w14:textId="77777777" w:rsidR="0046798B" w:rsidRDefault="0046798B">
            <w:pPr>
              <w:pStyle w:val="TableParagraph"/>
            </w:pPr>
          </w:p>
          <w:p w14:paraId="57110395" w14:textId="77777777" w:rsidR="0046798B" w:rsidRDefault="00903B5C">
            <w:pPr>
              <w:pStyle w:val="TableParagraph"/>
              <w:spacing w:before="130"/>
              <w:ind w:left="115" w:right="88"/>
              <w:rPr>
                <w:b/>
                <w:sz w:val="20"/>
              </w:rPr>
            </w:pPr>
            <w:r>
              <w:rPr>
                <w:b/>
                <w:sz w:val="20"/>
              </w:rPr>
              <w:t>unsworn_declara tions_act</w:t>
            </w:r>
          </w:p>
        </w:tc>
        <w:tc>
          <w:tcPr>
            <w:tcW w:w="1596" w:type="dxa"/>
          </w:tcPr>
          <w:p w14:paraId="42C359A6" w14:textId="77777777" w:rsidR="0046798B" w:rsidRDefault="00903B5C">
            <w:pPr>
              <w:pStyle w:val="TableParagraph"/>
              <w:spacing w:before="38"/>
              <w:ind w:left="114" w:right="91"/>
              <w:rPr>
                <w:sz w:val="20"/>
              </w:rPr>
            </w:pPr>
            <w:r>
              <w:rPr>
                <w:sz w:val="20"/>
              </w:rPr>
              <w:t>Permit the use of unsworn declarations made under penalty of</w:t>
            </w:r>
          </w:p>
        </w:tc>
        <w:tc>
          <w:tcPr>
            <w:tcW w:w="1285" w:type="dxa"/>
          </w:tcPr>
          <w:p w14:paraId="5B530C12" w14:textId="77777777" w:rsidR="0046798B" w:rsidRDefault="0046798B">
            <w:pPr>
              <w:pStyle w:val="TableParagraph"/>
            </w:pPr>
          </w:p>
          <w:p w14:paraId="1C02F56B" w14:textId="77777777" w:rsidR="0046798B" w:rsidRDefault="0046798B">
            <w:pPr>
              <w:pStyle w:val="TableParagraph"/>
              <w:spacing w:before="3"/>
              <w:rPr>
                <w:sz w:val="21"/>
              </w:rPr>
            </w:pPr>
          </w:p>
          <w:p w14:paraId="388DCC68" w14:textId="77777777" w:rsidR="0046798B" w:rsidRDefault="00903B5C">
            <w:pPr>
              <w:pStyle w:val="TableParagraph"/>
              <w:spacing w:before="1"/>
              <w:ind w:left="114"/>
              <w:rPr>
                <w:sz w:val="20"/>
              </w:rPr>
            </w:pPr>
            <w:r>
              <w:rPr>
                <w:sz w:val="20"/>
              </w:rPr>
              <w:t>2017</w:t>
            </w:r>
          </w:p>
        </w:tc>
        <w:tc>
          <w:tcPr>
            <w:tcW w:w="3421" w:type="dxa"/>
          </w:tcPr>
          <w:p w14:paraId="32E79703" w14:textId="77777777" w:rsidR="0046798B" w:rsidRDefault="0046798B">
            <w:pPr>
              <w:pStyle w:val="TableParagraph"/>
            </w:pPr>
          </w:p>
          <w:p w14:paraId="799910C6" w14:textId="77777777" w:rsidR="0046798B" w:rsidRDefault="00903B5C">
            <w:pPr>
              <w:pStyle w:val="TableParagraph"/>
              <w:spacing w:before="130"/>
              <w:ind w:left="114" w:right="1475"/>
              <w:rPr>
                <w:sz w:val="20"/>
              </w:rPr>
            </w:pPr>
            <w:r>
              <w:rPr>
                <w:sz w:val="20"/>
              </w:rPr>
              <w:t>0 = policy not adopted 1 = policy adopted</w:t>
            </w:r>
          </w:p>
        </w:tc>
        <w:tc>
          <w:tcPr>
            <w:tcW w:w="6482" w:type="dxa"/>
          </w:tcPr>
          <w:p w14:paraId="00256F19" w14:textId="77777777" w:rsidR="0046798B" w:rsidRDefault="00903B5C">
            <w:pPr>
              <w:pStyle w:val="TableParagraph"/>
              <w:spacing w:before="153"/>
              <w:ind w:left="114"/>
              <w:rPr>
                <w:sz w:val="20"/>
              </w:rPr>
            </w:pPr>
            <w:r>
              <w:rPr>
                <w:sz w:val="20"/>
              </w:rPr>
              <w:t xml:space="preserve">Uniform Law Commission website: </w:t>
            </w:r>
            <w:hyperlink r:id="rId734">
              <w:r>
                <w:rPr>
                  <w:color w:val="0462C1"/>
                  <w:sz w:val="20"/>
                  <w:u w:val="single" w:color="0462C1"/>
                </w:rPr>
                <w:t>http://www.uniformlaws.org/</w:t>
              </w:r>
            </w:hyperlink>
          </w:p>
          <w:p w14:paraId="3723CC9A" w14:textId="77777777" w:rsidR="0046798B" w:rsidRDefault="0046798B">
            <w:pPr>
              <w:pStyle w:val="TableParagraph"/>
              <w:rPr>
                <w:sz w:val="20"/>
              </w:rPr>
            </w:pPr>
          </w:p>
          <w:p w14:paraId="736D0477"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w:t>
            </w:r>
          </w:p>
        </w:tc>
      </w:tr>
    </w:tbl>
    <w:p w14:paraId="1D4229B3" w14:textId="77777777" w:rsidR="0046798B" w:rsidRDefault="0046798B">
      <w:pPr>
        <w:rPr>
          <w:sz w:val="20"/>
        </w:rPr>
        <w:sectPr w:rsidR="0046798B">
          <w:pgSz w:w="15840" w:h="12240" w:orient="landscape"/>
          <w:pgMar w:top="1220" w:right="300" w:bottom="980" w:left="820" w:header="730" w:footer="787" w:gutter="0"/>
          <w:cols w:space="720"/>
        </w:sectPr>
      </w:pPr>
    </w:p>
    <w:p w14:paraId="0E468103"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6A5A83E9" w14:textId="77777777">
        <w:trPr>
          <w:trHeight w:val="542"/>
        </w:trPr>
        <w:tc>
          <w:tcPr>
            <w:tcW w:w="1711" w:type="dxa"/>
            <w:tcBorders>
              <w:bottom w:val="dotted" w:sz="6" w:space="0" w:color="BEBEBE"/>
            </w:tcBorders>
          </w:tcPr>
          <w:p w14:paraId="41D0006B" w14:textId="77777777" w:rsidR="0046798B" w:rsidRDefault="0046798B">
            <w:pPr>
              <w:pStyle w:val="TableParagraph"/>
              <w:rPr>
                <w:sz w:val="20"/>
              </w:rPr>
            </w:pPr>
          </w:p>
        </w:tc>
        <w:tc>
          <w:tcPr>
            <w:tcW w:w="1596" w:type="dxa"/>
            <w:tcBorders>
              <w:bottom w:val="dotted" w:sz="6" w:space="0" w:color="BEBEBE"/>
            </w:tcBorders>
          </w:tcPr>
          <w:p w14:paraId="63ACE8C7" w14:textId="77777777" w:rsidR="0046798B" w:rsidRDefault="00903B5C">
            <w:pPr>
              <w:pStyle w:val="TableParagraph"/>
              <w:spacing w:before="43"/>
              <w:ind w:left="114" w:right="252"/>
              <w:rPr>
                <w:sz w:val="20"/>
              </w:rPr>
            </w:pPr>
            <w:r>
              <w:rPr>
                <w:sz w:val="20"/>
              </w:rPr>
              <w:t>perjury in state courts</w:t>
            </w:r>
          </w:p>
        </w:tc>
        <w:tc>
          <w:tcPr>
            <w:tcW w:w="1285" w:type="dxa"/>
            <w:tcBorders>
              <w:bottom w:val="dotted" w:sz="6" w:space="0" w:color="BEBEBE"/>
            </w:tcBorders>
          </w:tcPr>
          <w:p w14:paraId="7B6B074F" w14:textId="77777777" w:rsidR="0046798B" w:rsidRDefault="0046798B">
            <w:pPr>
              <w:pStyle w:val="TableParagraph"/>
              <w:rPr>
                <w:sz w:val="20"/>
              </w:rPr>
            </w:pPr>
          </w:p>
        </w:tc>
        <w:tc>
          <w:tcPr>
            <w:tcW w:w="3421" w:type="dxa"/>
            <w:tcBorders>
              <w:bottom w:val="dotted" w:sz="6" w:space="0" w:color="BEBEBE"/>
            </w:tcBorders>
          </w:tcPr>
          <w:p w14:paraId="54046CEA" w14:textId="77777777" w:rsidR="0046798B" w:rsidRDefault="0046798B">
            <w:pPr>
              <w:pStyle w:val="TableParagraph"/>
              <w:rPr>
                <w:sz w:val="20"/>
              </w:rPr>
            </w:pPr>
          </w:p>
        </w:tc>
        <w:tc>
          <w:tcPr>
            <w:tcW w:w="6482" w:type="dxa"/>
            <w:tcBorders>
              <w:bottom w:val="dotted" w:sz="6" w:space="0" w:color="BEBEBE"/>
            </w:tcBorders>
          </w:tcPr>
          <w:p w14:paraId="48D339BB" w14:textId="77777777" w:rsidR="0046798B" w:rsidRDefault="00903B5C">
            <w:pPr>
              <w:pStyle w:val="TableParagraph"/>
              <w:spacing w:before="43"/>
              <w:ind w:left="114" w:right="2377"/>
              <w:rPr>
                <w:sz w:val="20"/>
              </w:rPr>
            </w:pPr>
            <w:r>
              <w:rPr>
                <w:sz w:val="20"/>
              </w:rPr>
              <w:t>Innovation and Diffusion (SPID) Database v1.0”, https://doi.org/10.7910/DVN/CVYSR7</w:t>
            </w:r>
          </w:p>
        </w:tc>
      </w:tr>
      <w:tr w:rsidR="0046798B" w14:paraId="46BCC7EE" w14:textId="77777777">
        <w:trPr>
          <w:trHeight w:val="3993"/>
        </w:trPr>
        <w:tc>
          <w:tcPr>
            <w:tcW w:w="1711" w:type="dxa"/>
            <w:tcBorders>
              <w:top w:val="dotted" w:sz="6" w:space="0" w:color="BEBEBE"/>
            </w:tcBorders>
          </w:tcPr>
          <w:p w14:paraId="2D837EB4" w14:textId="77777777" w:rsidR="0046798B" w:rsidRDefault="0046798B">
            <w:pPr>
              <w:pStyle w:val="TableParagraph"/>
            </w:pPr>
          </w:p>
          <w:p w14:paraId="28A078F0" w14:textId="77777777" w:rsidR="0046798B" w:rsidRDefault="0046798B">
            <w:pPr>
              <w:pStyle w:val="TableParagraph"/>
            </w:pPr>
          </w:p>
          <w:p w14:paraId="2F4C55D9" w14:textId="77777777" w:rsidR="0046798B" w:rsidRDefault="0046798B">
            <w:pPr>
              <w:pStyle w:val="TableParagraph"/>
            </w:pPr>
          </w:p>
          <w:p w14:paraId="1E862453" w14:textId="77777777" w:rsidR="0046798B" w:rsidRDefault="0046798B">
            <w:pPr>
              <w:pStyle w:val="TableParagraph"/>
            </w:pPr>
          </w:p>
          <w:p w14:paraId="1B2C4A5D" w14:textId="77777777" w:rsidR="0046798B" w:rsidRDefault="0046798B">
            <w:pPr>
              <w:pStyle w:val="TableParagraph"/>
            </w:pPr>
          </w:p>
          <w:p w14:paraId="0D2D8CD5" w14:textId="77777777" w:rsidR="0046798B" w:rsidRDefault="0046798B">
            <w:pPr>
              <w:pStyle w:val="TableParagraph"/>
            </w:pPr>
          </w:p>
          <w:p w14:paraId="27807FF4" w14:textId="77777777" w:rsidR="0046798B" w:rsidRDefault="00903B5C">
            <w:pPr>
              <w:pStyle w:val="TableParagraph"/>
              <w:spacing w:before="133"/>
              <w:ind w:left="115"/>
              <w:rPr>
                <w:b/>
                <w:sz w:val="20"/>
              </w:rPr>
            </w:pPr>
            <w:r>
              <w:rPr>
                <w:b/>
                <w:sz w:val="20"/>
              </w:rPr>
              <w:t>unsworn_foreign</w:t>
            </w:r>
          </w:p>
          <w:p w14:paraId="07B96C71" w14:textId="77777777" w:rsidR="0046798B" w:rsidRDefault="00903B5C">
            <w:pPr>
              <w:pStyle w:val="TableParagraph"/>
              <w:ind w:left="115" w:right="132"/>
              <w:rPr>
                <w:b/>
                <w:sz w:val="20"/>
              </w:rPr>
            </w:pPr>
            <w:r>
              <w:rPr>
                <w:b/>
                <w:sz w:val="20"/>
              </w:rPr>
              <w:t>_declarations_ac t</w:t>
            </w:r>
          </w:p>
        </w:tc>
        <w:tc>
          <w:tcPr>
            <w:tcW w:w="1596" w:type="dxa"/>
            <w:tcBorders>
              <w:top w:val="dotted" w:sz="6" w:space="0" w:color="BEBEBE"/>
            </w:tcBorders>
          </w:tcPr>
          <w:p w14:paraId="6F81D263" w14:textId="77777777" w:rsidR="0046798B" w:rsidRDefault="00903B5C">
            <w:pPr>
              <w:pStyle w:val="TableParagraph"/>
              <w:spacing w:before="40"/>
              <w:ind w:left="114" w:right="102"/>
              <w:rPr>
                <w:sz w:val="20"/>
              </w:rPr>
            </w:pPr>
            <w:r>
              <w:rPr>
                <w:sz w:val="20"/>
              </w:rPr>
              <w:t xml:space="preserve">Permit, in state court proceedings, unsworn declarations under penalty of perjury to be executed by witnesses physically located outside the United </w:t>
            </w:r>
            <w:r>
              <w:rPr>
                <w:spacing w:val="-4"/>
                <w:sz w:val="20"/>
              </w:rPr>
              <w:t xml:space="preserve">States </w:t>
            </w:r>
            <w:r>
              <w:rPr>
                <w:sz w:val="20"/>
              </w:rPr>
              <w:t>in lieu of affidavits, verifications, or other sworn court</w:t>
            </w:r>
            <w:r>
              <w:rPr>
                <w:spacing w:val="-2"/>
                <w:sz w:val="20"/>
              </w:rPr>
              <w:t xml:space="preserve"> </w:t>
            </w:r>
            <w:r>
              <w:rPr>
                <w:sz w:val="20"/>
              </w:rPr>
              <w:t>filings</w:t>
            </w:r>
          </w:p>
        </w:tc>
        <w:tc>
          <w:tcPr>
            <w:tcW w:w="1285" w:type="dxa"/>
            <w:tcBorders>
              <w:top w:val="dotted" w:sz="6" w:space="0" w:color="BEBEBE"/>
            </w:tcBorders>
          </w:tcPr>
          <w:p w14:paraId="627107AA" w14:textId="77777777" w:rsidR="0046798B" w:rsidRDefault="0046798B">
            <w:pPr>
              <w:pStyle w:val="TableParagraph"/>
            </w:pPr>
          </w:p>
          <w:p w14:paraId="253FED96" w14:textId="77777777" w:rsidR="0046798B" w:rsidRDefault="0046798B">
            <w:pPr>
              <w:pStyle w:val="TableParagraph"/>
            </w:pPr>
          </w:p>
          <w:p w14:paraId="208A4B64" w14:textId="77777777" w:rsidR="0046798B" w:rsidRDefault="0046798B">
            <w:pPr>
              <w:pStyle w:val="TableParagraph"/>
            </w:pPr>
          </w:p>
          <w:p w14:paraId="747B0222" w14:textId="77777777" w:rsidR="0046798B" w:rsidRDefault="0046798B">
            <w:pPr>
              <w:pStyle w:val="TableParagraph"/>
            </w:pPr>
          </w:p>
          <w:p w14:paraId="2E0DC525" w14:textId="77777777" w:rsidR="0046798B" w:rsidRDefault="0046798B">
            <w:pPr>
              <w:pStyle w:val="TableParagraph"/>
            </w:pPr>
          </w:p>
          <w:p w14:paraId="6150DA68" w14:textId="77777777" w:rsidR="0046798B" w:rsidRDefault="0046798B">
            <w:pPr>
              <w:pStyle w:val="TableParagraph"/>
            </w:pPr>
          </w:p>
          <w:p w14:paraId="75D7A9EF" w14:textId="77777777" w:rsidR="0046798B" w:rsidRDefault="0046798B">
            <w:pPr>
              <w:pStyle w:val="TableParagraph"/>
              <w:spacing w:before="7"/>
              <w:rPr>
                <w:sz w:val="31"/>
              </w:rPr>
            </w:pPr>
          </w:p>
          <w:p w14:paraId="6D9F3413" w14:textId="77777777" w:rsidR="0046798B" w:rsidRDefault="00903B5C">
            <w:pPr>
              <w:pStyle w:val="TableParagraph"/>
              <w:ind w:left="114"/>
              <w:rPr>
                <w:sz w:val="20"/>
              </w:rPr>
            </w:pPr>
            <w:r>
              <w:rPr>
                <w:sz w:val="20"/>
              </w:rPr>
              <w:t>2002–2017</w:t>
            </w:r>
          </w:p>
        </w:tc>
        <w:tc>
          <w:tcPr>
            <w:tcW w:w="3421" w:type="dxa"/>
            <w:tcBorders>
              <w:top w:val="dotted" w:sz="6" w:space="0" w:color="BEBEBE"/>
            </w:tcBorders>
          </w:tcPr>
          <w:p w14:paraId="0F9DBFA8" w14:textId="77777777" w:rsidR="0046798B" w:rsidRDefault="0046798B">
            <w:pPr>
              <w:pStyle w:val="TableParagraph"/>
            </w:pPr>
          </w:p>
          <w:p w14:paraId="31CE4229" w14:textId="77777777" w:rsidR="0046798B" w:rsidRDefault="0046798B">
            <w:pPr>
              <w:pStyle w:val="TableParagraph"/>
            </w:pPr>
          </w:p>
          <w:p w14:paraId="50CCE63A" w14:textId="77777777" w:rsidR="0046798B" w:rsidRDefault="0046798B">
            <w:pPr>
              <w:pStyle w:val="TableParagraph"/>
            </w:pPr>
          </w:p>
          <w:p w14:paraId="5FA915E9" w14:textId="77777777" w:rsidR="0046798B" w:rsidRDefault="0046798B">
            <w:pPr>
              <w:pStyle w:val="TableParagraph"/>
            </w:pPr>
          </w:p>
          <w:p w14:paraId="74BA797D" w14:textId="77777777" w:rsidR="0046798B" w:rsidRDefault="0046798B">
            <w:pPr>
              <w:pStyle w:val="TableParagraph"/>
            </w:pPr>
          </w:p>
          <w:p w14:paraId="30D39531" w14:textId="77777777" w:rsidR="0046798B" w:rsidRDefault="0046798B">
            <w:pPr>
              <w:pStyle w:val="TableParagraph"/>
            </w:pPr>
          </w:p>
          <w:p w14:paraId="400F381E" w14:textId="77777777" w:rsidR="0046798B" w:rsidRDefault="0046798B">
            <w:pPr>
              <w:pStyle w:val="TableParagraph"/>
              <w:spacing w:before="7"/>
              <w:rPr>
                <w:sz w:val="21"/>
              </w:rPr>
            </w:pPr>
          </w:p>
          <w:p w14:paraId="22E89D09" w14:textId="77777777" w:rsidR="0046798B" w:rsidRDefault="00903B5C">
            <w:pPr>
              <w:pStyle w:val="TableParagraph"/>
              <w:ind w:left="114" w:right="1475"/>
              <w:rPr>
                <w:sz w:val="20"/>
              </w:rPr>
            </w:pPr>
            <w:r>
              <w:rPr>
                <w:sz w:val="20"/>
              </w:rPr>
              <w:t>0 = policy not adopted 1 = policy adopted</w:t>
            </w:r>
          </w:p>
        </w:tc>
        <w:tc>
          <w:tcPr>
            <w:tcW w:w="6482" w:type="dxa"/>
            <w:tcBorders>
              <w:top w:val="dotted" w:sz="6" w:space="0" w:color="BEBEBE"/>
            </w:tcBorders>
          </w:tcPr>
          <w:p w14:paraId="50DD1658" w14:textId="77777777" w:rsidR="0046798B" w:rsidRDefault="0046798B">
            <w:pPr>
              <w:pStyle w:val="TableParagraph"/>
            </w:pPr>
          </w:p>
          <w:p w14:paraId="4CAF1106" w14:textId="77777777" w:rsidR="0046798B" w:rsidRDefault="0046798B">
            <w:pPr>
              <w:pStyle w:val="TableParagraph"/>
            </w:pPr>
          </w:p>
          <w:p w14:paraId="732CF1F6" w14:textId="77777777" w:rsidR="0046798B" w:rsidRDefault="0046798B">
            <w:pPr>
              <w:pStyle w:val="TableParagraph"/>
            </w:pPr>
          </w:p>
          <w:p w14:paraId="1E4B61F5" w14:textId="77777777" w:rsidR="0046798B" w:rsidRDefault="0046798B">
            <w:pPr>
              <w:pStyle w:val="TableParagraph"/>
            </w:pPr>
          </w:p>
          <w:p w14:paraId="4CF9A395" w14:textId="77777777" w:rsidR="0046798B" w:rsidRDefault="0046798B">
            <w:pPr>
              <w:pStyle w:val="TableParagraph"/>
              <w:spacing w:before="7"/>
              <w:rPr>
                <w:sz w:val="25"/>
              </w:rPr>
            </w:pPr>
          </w:p>
          <w:p w14:paraId="20057215" w14:textId="77777777" w:rsidR="0046798B" w:rsidRDefault="00903B5C">
            <w:pPr>
              <w:pStyle w:val="TableParagraph"/>
              <w:ind w:left="114"/>
              <w:rPr>
                <w:sz w:val="20"/>
              </w:rPr>
            </w:pPr>
            <w:r>
              <w:rPr>
                <w:sz w:val="20"/>
              </w:rPr>
              <w:t xml:space="preserve">Uniform Law Commission website: </w:t>
            </w:r>
            <w:hyperlink r:id="rId735">
              <w:r>
                <w:rPr>
                  <w:color w:val="0462C1"/>
                  <w:sz w:val="20"/>
                  <w:u w:val="single" w:color="0462C1"/>
                </w:rPr>
                <w:t>http://www.uniformlaws.org/</w:t>
              </w:r>
            </w:hyperlink>
          </w:p>
          <w:p w14:paraId="0BF65923" w14:textId="77777777" w:rsidR="0046798B" w:rsidRDefault="0046798B">
            <w:pPr>
              <w:pStyle w:val="TableParagraph"/>
              <w:rPr>
                <w:sz w:val="20"/>
              </w:rPr>
            </w:pPr>
          </w:p>
          <w:p w14:paraId="04C64E76"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0A4AC29D" w14:textId="77777777">
        <w:trPr>
          <w:trHeight w:val="1470"/>
        </w:trPr>
        <w:tc>
          <w:tcPr>
            <w:tcW w:w="1711" w:type="dxa"/>
          </w:tcPr>
          <w:p w14:paraId="534EBEBD" w14:textId="77777777" w:rsidR="0046798B" w:rsidRDefault="0046798B">
            <w:pPr>
              <w:pStyle w:val="TableParagraph"/>
            </w:pPr>
          </w:p>
          <w:p w14:paraId="0EF84B3B" w14:textId="77777777" w:rsidR="0046798B" w:rsidRDefault="0046798B">
            <w:pPr>
              <w:pStyle w:val="TableParagraph"/>
              <w:spacing w:before="8"/>
              <w:rPr>
                <w:sz w:val="21"/>
              </w:rPr>
            </w:pPr>
          </w:p>
          <w:p w14:paraId="666ABF7E" w14:textId="77777777" w:rsidR="0046798B" w:rsidRDefault="00903B5C">
            <w:pPr>
              <w:pStyle w:val="TableParagraph"/>
              <w:spacing w:before="1"/>
              <w:ind w:left="115"/>
              <w:rPr>
                <w:b/>
                <w:sz w:val="20"/>
              </w:rPr>
            </w:pPr>
            <w:r>
              <w:rPr>
                <w:b/>
                <w:sz w:val="20"/>
              </w:rPr>
              <w:t>victims_of_crime</w:t>
            </w:r>
          </w:p>
          <w:p w14:paraId="2841334B" w14:textId="77777777" w:rsidR="0046798B" w:rsidRDefault="00903B5C">
            <w:pPr>
              <w:pStyle w:val="TableParagraph"/>
              <w:ind w:left="115"/>
              <w:rPr>
                <w:b/>
                <w:sz w:val="20"/>
              </w:rPr>
            </w:pPr>
            <w:r>
              <w:rPr>
                <w:b/>
                <w:sz w:val="20"/>
              </w:rPr>
              <w:t>_act_model</w:t>
            </w:r>
          </w:p>
        </w:tc>
        <w:tc>
          <w:tcPr>
            <w:tcW w:w="1596" w:type="dxa"/>
          </w:tcPr>
          <w:p w14:paraId="68599B03" w14:textId="77777777" w:rsidR="0046798B" w:rsidRDefault="00903B5C">
            <w:pPr>
              <w:pStyle w:val="TableParagraph"/>
              <w:spacing w:before="158"/>
              <w:ind w:left="114"/>
              <w:rPr>
                <w:sz w:val="20"/>
              </w:rPr>
            </w:pPr>
            <w:r>
              <w:rPr>
                <w:sz w:val="20"/>
              </w:rPr>
              <w:t>Regulating satisfaction of losses suffered from victims of crime</w:t>
            </w:r>
          </w:p>
        </w:tc>
        <w:tc>
          <w:tcPr>
            <w:tcW w:w="1285" w:type="dxa"/>
          </w:tcPr>
          <w:p w14:paraId="509CA8F7" w14:textId="77777777" w:rsidR="0046798B" w:rsidRDefault="0046798B">
            <w:pPr>
              <w:pStyle w:val="TableParagraph"/>
            </w:pPr>
          </w:p>
          <w:p w14:paraId="250AF4A2" w14:textId="77777777" w:rsidR="0046798B" w:rsidRDefault="0046798B">
            <w:pPr>
              <w:pStyle w:val="TableParagraph"/>
              <w:spacing w:before="9"/>
              <w:rPr>
                <w:sz w:val="31"/>
              </w:rPr>
            </w:pPr>
          </w:p>
          <w:p w14:paraId="3057A9B8" w14:textId="77777777" w:rsidR="0046798B" w:rsidRDefault="00903B5C">
            <w:pPr>
              <w:pStyle w:val="TableParagraph"/>
              <w:ind w:left="114"/>
              <w:rPr>
                <w:sz w:val="20"/>
              </w:rPr>
            </w:pPr>
            <w:r>
              <w:rPr>
                <w:sz w:val="20"/>
              </w:rPr>
              <w:t>1995</w:t>
            </w:r>
          </w:p>
        </w:tc>
        <w:tc>
          <w:tcPr>
            <w:tcW w:w="3421" w:type="dxa"/>
          </w:tcPr>
          <w:p w14:paraId="2E16BA88" w14:textId="77777777" w:rsidR="0046798B" w:rsidRDefault="0046798B">
            <w:pPr>
              <w:pStyle w:val="TableParagraph"/>
            </w:pPr>
          </w:p>
          <w:p w14:paraId="38FEC035" w14:textId="77777777" w:rsidR="0046798B" w:rsidRDefault="0046798B">
            <w:pPr>
              <w:pStyle w:val="TableParagraph"/>
              <w:spacing w:before="8"/>
              <w:rPr>
                <w:sz w:val="21"/>
              </w:rPr>
            </w:pPr>
          </w:p>
          <w:p w14:paraId="20209210"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1C903D5E" w14:textId="77777777" w:rsidR="0046798B" w:rsidRDefault="00903B5C">
            <w:pPr>
              <w:pStyle w:val="TableParagraph"/>
              <w:spacing w:before="43"/>
              <w:ind w:left="114"/>
              <w:rPr>
                <w:sz w:val="20"/>
              </w:rPr>
            </w:pPr>
            <w:r>
              <w:rPr>
                <w:sz w:val="20"/>
              </w:rPr>
              <w:t xml:space="preserve">Uniform Law Commission website: </w:t>
            </w:r>
            <w:hyperlink r:id="rId736">
              <w:r>
                <w:rPr>
                  <w:color w:val="0462C1"/>
                  <w:sz w:val="20"/>
                  <w:u w:val="single" w:color="0462C1"/>
                </w:rPr>
                <w:t>http://www.uniformlaws.org/</w:t>
              </w:r>
            </w:hyperlink>
          </w:p>
          <w:p w14:paraId="648EF28C" w14:textId="77777777" w:rsidR="0046798B" w:rsidRDefault="0046798B">
            <w:pPr>
              <w:pStyle w:val="TableParagraph"/>
              <w:rPr>
                <w:sz w:val="20"/>
              </w:rPr>
            </w:pPr>
          </w:p>
          <w:p w14:paraId="5AFBD5ED"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0649DB40" w14:textId="77777777">
        <w:trPr>
          <w:trHeight w:val="1695"/>
        </w:trPr>
        <w:tc>
          <w:tcPr>
            <w:tcW w:w="1711" w:type="dxa"/>
          </w:tcPr>
          <w:p w14:paraId="7118A885" w14:textId="77777777" w:rsidR="0046798B" w:rsidRDefault="0046798B">
            <w:pPr>
              <w:pStyle w:val="TableParagraph"/>
            </w:pPr>
          </w:p>
          <w:p w14:paraId="5A05EBF4" w14:textId="77777777" w:rsidR="0046798B" w:rsidRDefault="0046798B">
            <w:pPr>
              <w:pStyle w:val="TableParagraph"/>
            </w:pPr>
          </w:p>
          <w:p w14:paraId="3039D060" w14:textId="77777777" w:rsidR="0046798B" w:rsidRDefault="0046798B">
            <w:pPr>
              <w:pStyle w:val="TableParagraph"/>
              <w:spacing w:before="4"/>
              <w:rPr>
                <w:sz w:val="19"/>
              </w:rPr>
            </w:pPr>
          </w:p>
          <w:p w14:paraId="34FBB975" w14:textId="77777777" w:rsidR="0046798B" w:rsidRDefault="00903B5C">
            <w:pPr>
              <w:pStyle w:val="TableParagraph"/>
              <w:ind w:left="115"/>
              <w:rPr>
                <w:b/>
                <w:sz w:val="20"/>
              </w:rPr>
            </w:pPr>
            <w:r>
              <w:rPr>
                <w:b/>
                <w:sz w:val="20"/>
              </w:rPr>
              <w:t>aboldeapen</w:t>
            </w:r>
          </w:p>
        </w:tc>
        <w:tc>
          <w:tcPr>
            <w:tcW w:w="1596" w:type="dxa"/>
          </w:tcPr>
          <w:p w14:paraId="38069B64" w14:textId="77777777" w:rsidR="0046798B" w:rsidRDefault="0046798B">
            <w:pPr>
              <w:pStyle w:val="TableParagraph"/>
            </w:pPr>
          </w:p>
          <w:p w14:paraId="708415A8" w14:textId="77777777" w:rsidR="0046798B" w:rsidRDefault="0046798B">
            <w:pPr>
              <w:pStyle w:val="TableParagraph"/>
              <w:spacing w:before="4"/>
              <w:rPr>
                <w:sz w:val="31"/>
              </w:rPr>
            </w:pPr>
          </w:p>
          <w:p w14:paraId="163FAF11" w14:textId="77777777" w:rsidR="0046798B" w:rsidRDefault="00903B5C">
            <w:pPr>
              <w:pStyle w:val="TableParagraph"/>
              <w:ind w:left="114" w:right="335"/>
              <w:rPr>
                <w:sz w:val="20"/>
              </w:rPr>
            </w:pPr>
            <w:r>
              <w:rPr>
                <w:sz w:val="20"/>
              </w:rPr>
              <w:t>Death penalty reform</w:t>
            </w:r>
          </w:p>
        </w:tc>
        <w:tc>
          <w:tcPr>
            <w:tcW w:w="1285" w:type="dxa"/>
          </w:tcPr>
          <w:p w14:paraId="242BDB58" w14:textId="77777777" w:rsidR="0046798B" w:rsidRDefault="0046798B">
            <w:pPr>
              <w:pStyle w:val="TableParagraph"/>
            </w:pPr>
          </w:p>
          <w:p w14:paraId="418A9357" w14:textId="77777777" w:rsidR="0046798B" w:rsidRDefault="0046798B">
            <w:pPr>
              <w:pStyle w:val="TableParagraph"/>
            </w:pPr>
          </w:p>
          <w:p w14:paraId="7C43384F" w14:textId="77777777" w:rsidR="0046798B" w:rsidRDefault="0046798B">
            <w:pPr>
              <w:pStyle w:val="TableParagraph"/>
              <w:spacing w:before="4"/>
              <w:rPr>
                <w:sz w:val="19"/>
              </w:rPr>
            </w:pPr>
          </w:p>
          <w:p w14:paraId="39D42862" w14:textId="77777777" w:rsidR="0046798B" w:rsidRDefault="00903B5C">
            <w:pPr>
              <w:pStyle w:val="TableParagraph"/>
              <w:ind w:left="114"/>
              <w:rPr>
                <w:sz w:val="20"/>
              </w:rPr>
            </w:pPr>
            <w:r>
              <w:rPr>
                <w:sz w:val="20"/>
              </w:rPr>
              <w:t>1900–1969</w:t>
            </w:r>
          </w:p>
        </w:tc>
        <w:tc>
          <w:tcPr>
            <w:tcW w:w="3421" w:type="dxa"/>
          </w:tcPr>
          <w:p w14:paraId="1B1E10D8" w14:textId="77777777" w:rsidR="0046798B" w:rsidRDefault="0046798B">
            <w:pPr>
              <w:pStyle w:val="TableParagraph"/>
            </w:pPr>
          </w:p>
          <w:p w14:paraId="6B78EEC1" w14:textId="77777777" w:rsidR="0046798B" w:rsidRDefault="0046798B">
            <w:pPr>
              <w:pStyle w:val="TableParagraph"/>
              <w:spacing w:before="4"/>
              <w:rPr>
                <w:sz w:val="31"/>
              </w:rPr>
            </w:pPr>
          </w:p>
          <w:p w14:paraId="196C5C79" w14:textId="77777777" w:rsidR="0046798B" w:rsidRDefault="00903B5C">
            <w:pPr>
              <w:pStyle w:val="TableParagraph"/>
              <w:ind w:left="114" w:right="1475"/>
              <w:rPr>
                <w:sz w:val="20"/>
              </w:rPr>
            </w:pPr>
            <w:r>
              <w:rPr>
                <w:sz w:val="20"/>
              </w:rPr>
              <w:t>0 = policy not adopted 1 = policy adopted</w:t>
            </w:r>
          </w:p>
        </w:tc>
        <w:tc>
          <w:tcPr>
            <w:tcW w:w="6482" w:type="dxa"/>
          </w:tcPr>
          <w:p w14:paraId="6D245942" w14:textId="77777777" w:rsidR="0046798B" w:rsidRDefault="00903B5C">
            <w:pPr>
              <w:pStyle w:val="TableParagraph"/>
              <w:spacing w:before="3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p w14:paraId="268127DF" w14:textId="77777777" w:rsidR="0046798B" w:rsidRDefault="0046798B">
            <w:pPr>
              <w:pStyle w:val="TableParagraph"/>
              <w:rPr>
                <w:sz w:val="20"/>
              </w:rPr>
            </w:pPr>
          </w:p>
          <w:p w14:paraId="43E36942"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3167FA0D" w14:textId="77777777">
        <w:trPr>
          <w:trHeight w:val="1235"/>
        </w:trPr>
        <w:tc>
          <w:tcPr>
            <w:tcW w:w="1711" w:type="dxa"/>
          </w:tcPr>
          <w:p w14:paraId="5A6CEAA9" w14:textId="77777777" w:rsidR="0046798B" w:rsidRDefault="0046798B">
            <w:pPr>
              <w:pStyle w:val="TableParagraph"/>
            </w:pPr>
          </w:p>
          <w:p w14:paraId="1F732904" w14:textId="77777777" w:rsidR="0046798B" w:rsidRDefault="0046798B">
            <w:pPr>
              <w:pStyle w:val="TableParagraph"/>
              <w:spacing w:before="4"/>
              <w:rPr>
                <w:sz w:val="21"/>
              </w:rPr>
            </w:pPr>
          </w:p>
          <w:p w14:paraId="1FF94D34" w14:textId="77777777" w:rsidR="0046798B" w:rsidRDefault="00903B5C">
            <w:pPr>
              <w:pStyle w:val="TableParagraph"/>
              <w:ind w:left="115"/>
              <w:rPr>
                <w:b/>
                <w:sz w:val="20"/>
              </w:rPr>
            </w:pPr>
            <w:r>
              <w:rPr>
                <w:b/>
                <w:sz w:val="20"/>
              </w:rPr>
              <w:t>animcruel</w:t>
            </w:r>
          </w:p>
        </w:tc>
        <w:tc>
          <w:tcPr>
            <w:tcW w:w="1596" w:type="dxa"/>
          </w:tcPr>
          <w:p w14:paraId="3A139A0F" w14:textId="77777777" w:rsidR="0046798B" w:rsidRDefault="0046798B">
            <w:pPr>
              <w:pStyle w:val="TableParagraph"/>
            </w:pPr>
          </w:p>
          <w:p w14:paraId="1D0A06F2" w14:textId="77777777" w:rsidR="0046798B" w:rsidRDefault="00903B5C">
            <w:pPr>
              <w:pStyle w:val="TableParagraph"/>
              <w:spacing w:before="130"/>
              <w:ind w:left="114" w:right="246"/>
              <w:rPr>
                <w:sz w:val="20"/>
              </w:rPr>
            </w:pPr>
            <w:r>
              <w:rPr>
                <w:sz w:val="20"/>
              </w:rPr>
              <w:t>Animal cruelty felony laws</w:t>
            </w:r>
          </w:p>
        </w:tc>
        <w:tc>
          <w:tcPr>
            <w:tcW w:w="1285" w:type="dxa"/>
          </w:tcPr>
          <w:p w14:paraId="24B92F0F" w14:textId="77777777" w:rsidR="0046798B" w:rsidRDefault="0046798B">
            <w:pPr>
              <w:pStyle w:val="TableParagraph"/>
            </w:pPr>
          </w:p>
          <w:p w14:paraId="6F4F0E50" w14:textId="77777777" w:rsidR="0046798B" w:rsidRDefault="0046798B">
            <w:pPr>
              <w:pStyle w:val="TableParagraph"/>
              <w:spacing w:before="4"/>
              <w:rPr>
                <w:sz w:val="21"/>
              </w:rPr>
            </w:pPr>
          </w:p>
          <w:p w14:paraId="46E51849" w14:textId="77777777" w:rsidR="0046798B" w:rsidRDefault="00903B5C">
            <w:pPr>
              <w:pStyle w:val="TableParagraph"/>
              <w:ind w:left="114"/>
              <w:rPr>
                <w:sz w:val="20"/>
              </w:rPr>
            </w:pPr>
            <w:r>
              <w:rPr>
                <w:sz w:val="20"/>
              </w:rPr>
              <w:t>1900–2003</w:t>
            </w:r>
          </w:p>
        </w:tc>
        <w:tc>
          <w:tcPr>
            <w:tcW w:w="3421" w:type="dxa"/>
          </w:tcPr>
          <w:p w14:paraId="5DE180DC" w14:textId="77777777" w:rsidR="0046798B" w:rsidRDefault="0046798B">
            <w:pPr>
              <w:pStyle w:val="TableParagraph"/>
            </w:pPr>
          </w:p>
          <w:p w14:paraId="2F1957AE" w14:textId="77777777" w:rsidR="0046798B" w:rsidRDefault="00903B5C">
            <w:pPr>
              <w:pStyle w:val="TableParagraph"/>
              <w:spacing w:before="130"/>
              <w:ind w:left="114" w:right="1475"/>
              <w:rPr>
                <w:sz w:val="20"/>
              </w:rPr>
            </w:pPr>
            <w:r>
              <w:rPr>
                <w:sz w:val="20"/>
              </w:rPr>
              <w:t>0 = policy not adopted 1 = policy adopted</w:t>
            </w:r>
          </w:p>
        </w:tc>
        <w:tc>
          <w:tcPr>
            <w:tcW w:w="6482" w:type="dxa"/>
          </w:tcPr>
          <w:p w14:paraId="7A458D4B" w14:textId="77777777" w:rsidR="0046798B" w:rsidRDefault="00903B5C">
            <w:pPr>
              <w:pStyle w:val="TableParagraph"/>
              <w:spacing w:before="3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p w14:paraId="594A6357" w14:textId="77777777" w:rsidR="0046798B" w:rsidRDefault="0046798B">
            <w:pPr>
              <w:pStyle w:val="TableParagraph"/>
              <w:rPr>
                <w:sz w:val="20"/>
              </w:rPr>
            </w:pPr>
          </w:p>
          <w:p w14:paraId="15D1EC6E"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w:t>
            </w:r>
          </w:p>
        </w:tc>
      </w:tr>
    </w:tbl>
    <w:p w14:paraId="7CF08023" w14:textId="77777777" w:rsidR="0046798B" w:rsidRDefault="0046798B">
      <w:pPr>
        <w:rPr>
          <w:sz w:val="20"/>
        </w:rPr>
        <w:sectPr w:rsidR="0046798B">
          <w:pgSz w:w="15840" w:h="12240" w:orient="landscape"/>
          <w:pgMar w:top="1220" w:right="300" w:bottom="980" w:left="820" w:header="730" w:footer="787" w:gutter="0"/>
          <w:cols w:space="720"/>
        </w:sectPr>
      </w:pPr>
    </w:p>
    <w:p w14:paraId="3170C07E"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605CA55" w14:textId="77777777">
        <w:trPr>
          <w:trHeight w:val="542"/>
        </w:trPr>
        <w:tc>
          <w:tcPr>
            <w:tcW w:w="1711" w:type="dxa"/>
            <w:tcBorders>
              <w:bottom w:val="dotted" w:sz="6" w:space="0" w:color="BEBEBE"/>
            </w:tcBorders>
          </w:tcPr>
          <w:p w14:paraId="4D956C54" w14:textId="77777777" w:rsidR="0046798B" w:rsidRDefault="0046798B">
            <w:pPr>
              <w:pStyle w:val="TableParagraph"/>
              <w:rPr>
                <w:sz w:val="20"/>
              </w:rPr>
            </w:pPr>
          </w:p>
        </w:tc>
        <w:tc>
          <w:tcPr>
            <w:tcW w:w="1596" w:type="dxa"/>
            <w:tcBorders>
              <w:bottom w:val="dotted" w:sz="6" w:space="0" w:color="BEBEBE"/>
            </w:tcBorders>
          </w:tcPr>
          <w:p w14:paraId="7869A216" w14:textId="77777777" w:rsidR="0046798B" w:rsidRDefault="0046798B">
            <w:pPr>
              <w:pStyle w:val="TableParagraph"/>
              <w:rPr>
                <w:sz w:val="20"/>
              </w:rPr>
            </w:pPr>
          </w:p>
        </w:tc>
        <w:tc>
          <w:tcPr>
            <w:tcW w:w="1285" w:type="dxa"/>
            <w:tcBorders>
              <w:bottom w:val="dotted" w:sz="6" w:space="0" w:color="BEBEBE"/>
            </w:tcBorders>
          </w:tcPr>
          <w:p w14:paraId="077C2274" w14:textId="77777777" w:rsidR="0046798B" w:rsidRDefault="0046798B">
            <w:pPr>
              <w:pStyle w:val="TableParagraph"/>
              <w:rPr>
                <w:sz w:val="20"/>
              </w:rPr>
            </w:pPr>
          </w:p>
        </w:tc>
        <w:tc>
          <w:tcPr>
            <w:tcW w:w="3421" w:type="dxa"/>
            <w:tcBorders>
              <w:bottom w:val="dotted" w:sz="6" w:space="0" w:color="BEBEBE"/>
            </w:tcBorders>
          </w:tcPr>
          <w:p w14:paraId="40426461" w14:textId="77777777" w:rsidR="0046798B" w:rsidRDefault="0046798B">
            <w:pPr>
              <w:pStyle w:val="TableParagraph"/>
              <w:rPr>
                <w:sz w:val="20"/>
              </w:rPr>
            </w:pPr>
          </w:p>
        </w:tc>
        <w:tc>
          <w:tcPr>
            <w:tcW w:w="6482" w:type="dxa"/>
            <w:tcBorders>
              <w:bottom w:val="dotted" w:sz="6" w:space="0" w:color="BEBEBE"/>
            </w:tcBorders>
          </w:tcPr>
          <w:p w14:paraId="4E11A578" w14:textId="77777777" w:rsidR="0046798B" w:rsidRDefault="00903B5C">
            <w:pPr>
              <w:pStyle w:val="TableParagraph"/>
              <w:spacing w:before="43"/>
              <w:ind w:left="114" w:right="2377"/>
              <w:rPr>
                <w:sz w:val="20"/>
              </w:rPr>
            </w:pPr>
            <w:r>
              <w:rPr>
                <w:sz w:val="20"/>
              </w:rPr>
              <w:t>Innovation and Diffusion (SPID) Database v1.0”, https://doi.org/10.7910/DVN/CVYSR7</w:t>
            </w:r>
          </w:p>
        </w:tc>
      </w:tr>
      <w:tr w:rsidR="0046798B" w14:paraId="24145455" w14:textId="77777777">
        <w:trPr>
          <w:trHeight w:val="1233"/>
        </w:trPr>
        <w:tc>
          <w:tcPr>
            <w:tcW w:w="1711" w:type="dxa"/>
            <w:tcBorders>
              <w:top w:val="dotted" w:sz="6" w:space="0" w:color="BEBEBE"/>
            </w:tcBorders>
          </w:tcPr>
          <w:p w14:paraId="772FDB45" w14:textId="77777777" w:rsidR="0046798B" w:rsidRDefault="0046798B">
            <w:pPr>
              <w:pStyle w:val="TableParagraph"/>
            </w:pPr>
          </w:p>
          <w:p w14:paraId="01FBCF58" w14:textId="77777777" w:rsidR="0046798B" w:rsidRDefault="0046798B">
            <w:pPr>
              <w:pStyle w:val="TableParagraph"/>
              <w:spacing w:before="6"/>
              <w:rPr>
                <w:sz w:val="21"/>
              </w:rPr>
            </w:pPr>
          </w:p>
          <w:p w14:paraId="344E1E63" w14:textId="77777777" w:rsidR="0046798B" w:rsidRDefault="00903B5C">
            <w:pPr>
              <w:pStyle w:val="TableParagraph"/>
              <w:ind w:left="115"/>
              <w:rPr>
                <w:b/>
                <w:sz w:val="20"/>
              </w:rPr>
            </w:pPr>
            <w:r>
              <w:rPr>
                <w:b/>
                <w:sz w:val="20"/>
              </w:rPr>
              <w:t>broadcom</w:t>
            </w:r>
          </w:p>
        </w:tc>
        <w:tc>
          <w:tcPr>
            <w:tcW w:w="1596" w:type="dxa"/>
            <w:tcBorders>
              <w:top w:val="dotted" w:sz="6" w:space="0" w:color="BEBEBE"/>
            </w:tcBorders>
          </w:tcPr>
          <w:p w14:paraId="33F09761" w14:textId="77777777" w:rsidR="0046798B" w:rsidRDefault="00903B5C">
            <w:pPr>
              <w:pStyle w:val="TableParagraph"/>
              <w:spacing w:before="40"/>
              <w:ind w:left="114" w:right="135"/>
              <w:rPr>
                <w:sz w:val="20"/>
              </w:rPr>
            </w:pPr>
            <w:r>
              <w:rPr>
                <w:sz w:val="20"/>
              </w:rPr>
              <w:t>State law requiring broad community notification of sex offenders</w:t>
            </w:r>
          </w:p>
        </w:tc>
        <w:tc>
          <w:tcPr>
            <w:tcW w:w="1285" w:type="dxa"/>
            <w:tcBorders>
              <w:top w:val="dotted" w:sz="6" w:space="0" w:color="BEBEBE"/>
            </w:tcBorders>
          </w:tcPr>
          <w:p w14:paraId="2FEC45CC" w14:textId="77777777" w:rsidR="0046798B" w:rsidRDefault="0046798B">
            <w:pPr>
              <w:pStyle w:val="TableParagraph"/>
            </w:pPr>
          </w:p>
          <w:p w14:paraId="163E699F" w14:textId="77777777" w:rsidR="0046798B" w:rsidRDefault="0046798B">
            <w:pPr>
              <w:pStyle w:val="TableParagraph"/>
              <w:spacing w:before="6"/>
              <w:rPr>
                <w:sz w:val="21"/>
              </w:rPr>
            </w:pPr>
          </w:p>
          <w:p w14:paraId="7366A950" w14:textId="77777777" w:rsidR="0046798B" w:rsidRDefault="00903B5C">
            <w:pPr>
              <w:pStyle w:val="TableParagraph"/>
              <w:ind w:left="114"/>
              <w:rPr>
                <w:sz w:val="20"/>
              </w:rPr>
            </w:pPr>
            <w:r>
              <w:rPr>
                <w:sz w:val="20"/>
              </w:rPr>
              <w:t>1990–1997</w:t>
            </w:r>
          </w:p>
        </w:tc>
        <w:tc>
          <w:tcPr>
            <w:tcW w:w="3421" w:type="dxa"/>
            <w:tcBorders>
              <w:top w:val="dotted" w:sz="6" w:space="0" w:color="BEBEBE"/>
            </w:tcBorders>
          </w:tcPr>
          <w:p w14:paraId="447A56E0" w14:textId="77777777" w:rsidR="0046798B" w:rsidRDefault="0046798B">
            <w:pPr>
              <w:pStyle w:val="TableParagraph"/>
              <w:spacing w:before="6"/>
              <w:rPr>
                <w:sz w:val="23"/>
              </w:rPr>
            </w:pPr>
          </w:p>
          <w:p w14:paraId="2463B01C" w14:textId="77777777" w:rsidR="0046798B" w:rsidRDefault="00903B5C">
            <w:pPr>
              <w:pStyle w:val="TableParagraph"/>
              <w:ind w:left="114" w:right="355"/>
              <w:rPr>
                <w:sz w:val="20"/>
              </w:rPr>
            </w:pPr>
            <w:r>
              <w:rPr>
                <w:sz w:val="20"/>
              </w:rPr>
              <w:t>Did state adopt state law requiring broad community notification of sex offenders? (0 = no, 1 = yes)</w:t>
            </w:r>
          </w:p>
        </w:tc>
        <w:tc>
          <w:tcPr>
            <w:tcW w:w="6482" w:type="dxa"/>
            <w:tcBorders>
              <w:top w:val="dotted" w:sz="6" w:space="0" w:color="BEBEBE"/>
            </w:tcBorders>
          </w:tcPr>
          <w:p w14:paraId="1F67E8C2" w14:textId="77777777" w:rsidR="0046798B" w:rsidRDefault="0046798B">
            <w:pPr>
              <w:pStyle w:val="TableParagraph"/>
            </w:pPr>
          </w:p>
          <w:p w14:paraId="705911FF" w14:textId="77777777" w:rsidR="0046798B" w:rsidRDefault="00903B5C">
            <w:pPr>
              <w:pStyle w:val="TableParagraph"/>
              <w:spacing w:before="13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4341C3D5" w14:textId="77777777">
        <w:trPr>
          <w:trHeight w:val="550"/>
        </w:trPr>
        <w:tc>
          <w:tcPr>
            <w:tcW w:w="1711" w:type="dxa"/>
          </w:tcPr>
          <w:p w14:paraId="3AF3FB8C" w14:textId="77777777" w:rsidR="0046798B" w:rsidRDefault="00903B5C">
            <w:pPr>
              <w:pStyle w:val="TableParagraph"/>
              <w:spacing w:before="158"/>
              <w:ind w:left="115"/>
              <w:rPr>
                <w:b/>
                <w:sz w:val="20"/>
              </w:rPr>
            </w:pPr>
            <w:r>
              <w:rPr>
                <w:b/>
                <w:sz w:val="20"/>
              </w:rPr>
              <w:t>cappun</w:t>
            </w:r>
          </w:p>
        </w:tc>
        <w:tc>
          <w:tcPr>
            <w:tcW w:w="1596" w:type="dxa"/>
          </w:tcPr>
          <w:p w14:paraId="3D060C51" w14:textId="77777777" w:rsidR="0046798B" w:rsidRDefault="00903B5C">
            <w:pPr>
              <w:pStyle w:val="TableParagraph"/>
              <w:spacing w:before="43"/>
              <w:ind w:left="114" w:right="518"/>
              <w:rPr>
                <w:sz w:val="20"/>
              </w:rPr>
            </w:pPr>
            <w:r>
              <w:rPr>
                <w:sz w:val="20"/>
              </w:rPr>
              <w:t>Capital punishment</w:t>
            </w:r>
          </w:p>
        </w:tc>
        <w:tc>
          <w:tcPr>
            <w:tcW w:w="1285" w:type="dxa"/>
          </w:tcPr>
          <w:p w14:paraId="2C134CD4" w14:textId="77777777" w:rsidR="0046798B" w:rsidRDefault="00903B5C">
            <w:pPr>
              <w:pStyle w:val="TableParagraph"/>
              <w:spacing w:before="158"/>
              <w:ind w:left="114"/>
              <w:rPr>
                <w:sz w:val="20"/>
              </w:rPr>
            </w:pPr>
            <w:r>
              <w:rPr>
                <w:sz w:val="20"/>
              </w:rPr>
              <w:t>1972–1982</w:t>
            </w:r>
          </w:p>
        </w:tc>
        <w:tc>
          <w:tcPr>
            <w:tcW w:w="3421" w:type="dxa"/>
          </w:tcPr>
          <w:p w14:paraId="7B772CD7" w14:textId="77777777" w:rsidR="0046798B" w:rsidRDefault="00903B5C">
            <w:pPr>
              <w:pStyle w:val="TableParagraph"/>
              <w:spacing w:before="43"/>
              <w:ind w:left="114"/>
              <w:rPr>
                <w:sz w:val="20"/>
              </w:rPr>
            </w:pPr>
            <w:r>
              <w:rPr>
                <w:sz w:val="20"/>
              </w:rPr>
              <w:t>Did state adopt capital punishment? (0</w:t>
            </w:r>
          </w:p>
          <w:p w14:paraId="26002D6B" w14:textId="77777777" w:rsidR="0046798B" w:rsidRDefault="00903B5C">
            <w:pPr>
              <w:pStyle w:val="TableParagraph"/>
              <w:ind w:left="114"/>
              <w:rPr>
                <w:sz w:val="20"/>
              </w:rPr>
            </w:pPr>
            <w:r>
              <w:rPr>
                <w:sz w:val="20"/>
              </w:rPr>
              <w:t>= no, 1 = yes)</w:t>
            </w:r>
          </w:p>
        </w:tc>
        <w:tc>
          <w:tcPr>
            <w:tcW w:w="6482" w:type="dxa"/>
          </w:tcPr>
          <w:p w14:paraId="6FDB1857" w14:textId="77777777" w:rsidR="0046798B" w:rsidRDefault="00903B5C">
            <w:pPr>
              <w:pStyle w:val="TableParagraph"/>
              <w:spacing w:before="4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566FBD5D" w14:textId="77777777">
        <w:trPr>
          <w:trHeight w:val="775"/>
        </w:trPr>
        <w:tc>
          <w:tcPr>
            <w:tcW w:w="1711" w:type="dxa"/>
          </w:tcPr>
          <w:p w14:paraId="4D029087" w14:textId="77777777" w:rsidR="0046798B" w:rsidRDefault="0046798B">
            <w:pPr>
              <w:pStyle w:val="TableParagraph"/>
              <w:spacing w:before="3"/>
              <w:rPr>
                <w:sz w:val="23"/>
              </w:rPr>
            </w:pPr>
          </w:p>
          <w:p w14:paraId="766F7630" w14:textId="77777777" w:rsidR="0046798B" w:rsidRDefault="00903B5C">
            <w:pPr>
              <w:pStyle w:val="TableParagraph"/>
              <w:spacing w:before="1"/>
              <w:ind w:left="115"/>
              <w:rPr>
                <w:b/>
                <w:sz w:val="20"/>
              </w:rPr>
            </w:pPr>
            <w:r>
              <w:rPr>
                <w:b/>
                <w:sz w:val="20"/>
              </w:rPr>
              <w:t>childabu</w:t>
            </w:r>
          </w:p>
        </w:tc>
        <w:tc>
          <w:tcPr>
            <w:tcW w:w="1596" w:type="dxa"/>
          </w:tcPr>
          <w:p w14:paraId="2D1605E7" w14:textId="77777777" w:rsidR="0046798B" w:rsidRDefault="00903B5C">
            <w:pPr>
              <w:pStyle w:val="TableParagraph"/>
              <w:spacing w:before="38"/>
              <w:ind w:left="114" w:right="502"/>
              <w:rPr>
                <w:sz w:val="20"/>
              </w:rPr>
            </w:pPr>
            <w:r>
              <w:rPr>
                <w:sz w:val="20"/>
              </w:rPr>
              <w:t>Child abuse reporting legislation</w:t>
            </w:r>
          </w:p>
        </w:tc>
        <w:tc>
          <w:tcPr>
            <w:tcW w:w="1285" w:type="dxa"/>
          </w:tcPr>
          <w:p w14:paraId="40ED2923" w14:textId="77777777" w:rsidR="0046798B" w:rsidRDefault="0046798B">
            <w:pPr>
              <w:pStyle w:val="TableParagraph"/>
              <w:spacing w:before="3"/>
              <w:rPr>
                <w:sz w:val="23"/>
              </w:rPr>
            </w:pPr>
          </w:p>
          <w:p w14:paraId="655002B9" w14:textId="77777777" w:rsidR="0046798B" w:rsidRDefault="00903B5C">
            <w:pPr>
              <w:pStyle w:val="TableParagraph"/>
              <w:spacing w:before="1"/>
              <w:ind w:left="114"/>
              <w:rPr>
                <w:sz w:val="20"/>
              </w:rPr>
            </w:pPr>
            <w:r>
              <w:rPr>
                <w:sz w:val="20"/>
              </w:rPr>
              <w:t>1963–1967</w:t>
            </w:r>
          </w:p>
        </w:tc>
        <w:tc>
          <w:tcPr>
            <w:tcW w:w="3421" w:type="dxa"/>
          </w:tcPr>
          <w:p w14:paraId="49855956" w14:textId="77777777" w:rsidR="0046798B" w:rsidRDefault="00903B5C">
            <w:pPr>
              <w:pStyle w:val="TableParagraph"/>
              <w:spacing w:before="153"/>
              <w:ind w:left="114" w:right="327"/>
              <w:rPr>
                <w:sz w:val="20"/>
              </w:rPr>
            </w:pPr>
            <w:r>
              <w:rPr>
                <w:sz w:val="20"/>
              </w:rPr>
              <w:t>Did state adopt child abuse reporting legislation? (0 = no, 1 = yes)</w:t>
            </w:r>
          </w:p>
        </w:tc>
        <w:tc>
          <w:tcPr>
            <w:tcW w:w="6482" w:type="dxa"/>
          </w:tcPr>
          <w:p w14:paraId="1BC101D3" w14:textId="77777777" w:rsidR="0046798B" w:rsidRDefault="00903B5C">
            <w:pPr>
              <w:pStyle w:val="TableParagraph"/>
              <w:spacing w:before="15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7C918FD0" w14:textId="77777777">
        <w:trPr>
          <w:trHeight w:val="545"/>
        </w:trPr>
        <w:tc>
          <w:tcPr>
            <w:tcW w:w="1711" w:type="dxa"/>
          </w:tcPr>
          <w:p w14:paraId="17C07E17" w14:textId="77777777" w:rsidR="0046798B" w:rsidRDefault="00903B5C">
            <w:pPr>
              <w:pStyle w:val="TableParagraph"/>
              <w:spacing w:before="153"/>
              <w:ind w:left="115"/>
              <w:rPr>
                <w:b/>
                <w:sz w:val="20"/>
              </w:rPr>
            </w:pPr>
            <w:r>
              <w:rPr>
                <w:b/>
                <w:sz w:val="20"/>
              </w:rPr>
              <w:t>civinjaut</w:t>
            </w:r>
          </w:p>
        </w:tc>
        <w:tc>
          <w:tcPr>
            <w:tcW w:w="1596" w:type="dxa"/>
          </w:tcPr>
          <w:p w14:paraId="4EB20202" w14:textId="77777777" w:rsidR="0046798B" w:rsidRDefault="00903B5C">
            <w:pPr>
              <w:pStyle w:val="TableParagraph"/>
              <w:spacing w:before="38"/>
              <w:ind w:left="114" w:right="190"/>
              <w:rPr>
                <w:sz w:val="20"/>
              </w:rPr>
            </w:pPr>
            <w:r>
              <w:rPr>
                <w:sz w:val="20"/>
              </w:rPr>
              <w:t>Civil injunction authority</w:t>
            </w:r>
          </w:p>
        </w:tc>
        <w:tc>
          <w:tcPr>
            <w:tcW w:w="1285" w:type="dxa"/>
          </w:tcPr>
          <w:p w14:paraId="1E03F5C6" w14:textId="77777777" w:rsidR="0046798B" w:rsidRDefault="00903B5C">
            <w:pPr>
              <w:pStyle w:val="TableParagraph"/>
              <w:spacing w:before="153"/>
              <w:ind w:left="114"/>
              <w:rPr>
                <w:sz w:val="20"/>
              </w:rPr>
            </w:pPr>
            <w:r>
              <w:rPr>
                <w:sz w:val="20"/>
              </w:rPr>
              <w:t>1998–2001</w:t>
            </w:r>
          </w:p>
        </w:tc>
        <w:tc>
          <w:tcPr>
            <w:tcW w:w="3421" w:type="dxa"/>
          </w:tcPr>
          <w:p w14:paraId="18F867C0" w14:textId="77777777" w:rsidR="0046798B" w:rsidRDefault="00903B5C">
            <w:pPr>
              <w:pStyle w:val="TableParagraph"/>
              <w:spacing w:before="38"/>
              <w:ind w:left="114" w:right="799"/>
              <w:rPr>
                <w:sz w:val="20"/>
              </w:rPr>
            </w:pPr>
            <w:r>
              <w:rPr>
                <w:sz w:val="20"/>
              </w:rPr>
              <w:t>Did state adopt civil injunction authority? (0 = no, 1 = yes)</w:t>
            </w:r>
          </w:p>
        </w:tc>
        <w:tc>
          <w:tcPr>
            <w:tcW w:w="6482" w:type="dxa"/>
          </w:tcPr>
          <w:p w14:paraId="0CB0FAC8" w14:textId="77777777" w:rsidR="0046798B" w:rsidRDefault="00903B5C">
            <w:pPr>
              <w:pStyle w:val="TableParagraph"/>
              <w:spacing w:before="3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3A9E3AAE" w14:textId="77777777">
        <w:trPr>
          <w:trHeight w:val="775"/>
        </w:trPr>
        <w:tc>
          <w:tcPr>
            <w:tcW w:w="1711" w:type="dxa"/>
          </w:tcPr>
          <w:p w14:paraId="77471180" w14:textId="77777777" w:rsidR="0046798B" w:rsidRDefault="0046798B">
            <w:pPr>
              <w:pStyle w:val="TableParagraph"/>
              <w:spacing w:before="9"/>
              <w:rPr>
                <w:sz w:val="23"/>
              </w:rPr>
            </w:pPr>
          </w:p>
          <w:p w14:paraId="7C774DEA" w14:textId="77777777" w:rsidR="0046798B" w:rsidRDefault="00903B5C">
            <w:pPr>
              <w:pStyle w:val="TableParagraph"/>
              <w:ind w:left="115"/>
              <w:rPr>
                <w:b/>
                <w:sz w:val="20"/>
              </w:rPr>
            </w:pPr>
            <w:r>
              <w:rPr>
                <w:b/>
                <w:sz w:val="20"/>
              </w:rPr>
              <w:t>correct</w:t>
            </w:r>
          </w:p>
        </w:tc>
        <w:tc>
          <w:tcPr>
            <w:tcW w:w="1596" w:type="dxa"/>
          </w:tcPr>
          <w:p w14:paraId="07F4F1F0" w14:textId="77777777" w:rsidR="0046798B" w:rsidRDefault="00903B5C">
            <w:pPr>
              <w:pStyle w:val="TableParagraph"/>
              <w:spacing w:before="43"/>
              <w:ind w:left="114" w:right="468"/>
              <w:rPr>
                <w:sz w:val="20"/>
              </w:rPr>
            </w:pPr>
            <w:r>
              <w:rPr>
                <w:sz w:val="20"/>
              </w:rPr>
              <w:t>Strategic planning for corrections</w:t>
            </w:r>
          </w:p>
        </w:tc>
        <w:tc>
          <w:tcPr>
            <w:tcW w:w="1285" w:type="dxa"/>
          </w:tcPr>
          <w:p w14:paraId="5AF23544" w14:textId="77777777" w:rsidR="0046798B" w:rsidRDefault="0046798B">
            <w:pPr>
              <w:pStyle w:val="TableParagraph"/>
              <w:spacing w:before="9"/>
              <w:rPr>
                <w:sz w:val="23"/>
              </w:rPr>
            </w:pPr>
          </w:p>
          <w:p w14:paraId="18F24A92" w14:textId="77777777" w:rsidR="0046798B" w:rsidRDefault="00903B5C">
            <w:pPr>
              <w:pStyle w:val="TableParagraph"/>
              <w:ind w:left="114"/>
              <w:rPr>
                <w:sz w:val="20"/>
              </w:rPr>
            </w:pPr>
            <w:r>
              <w:rPr>
                <w:sz w:val="20"/>
              </w:rPr>
              <w:t>1970–1991</w:t>
            </w:r>
          </w:p>
        </w:tc>
        <w:tc>
          <w:tcPr>
            <w:tcW w:w="3421" w:type="dxa"/>
          </w:tcPr>
          <w:p w14:paraId="222386DA" w14:textId="77777777" w:rsidR="0046798B" w:rsidRDefault="00903B5C">
            <w:pPr>
              <w:pStyle w:val="TableParagraph"/>
              <w:spacing w:before="158"/>
              <w:ind w:left="114" w:right="305"/>
              <w:rPr>
                <w:sz w:val="20"/>
              </w:rPr>
            </w:pPr>
            <w:r>
              <w:rPr>
                <w:sz w:val="20"/>
              </w:rPr>
              <w:t>Did state adopt strategic planning for corrections? (0 = no, 1 = yes)</w:t>
            </w:r>
          </w:p>
        </w:tc>
        <w:tc>
          <w:tcPr>
            <w:tcW w:w="6482" w:type="dxa"/>
          </w:tcPr>
          <w:p w14:paraId="47F91B6F" w14:textId="77777777" w:rsidR="0046798B" w:rsidRDefault="00903B5C">
            <w:pPr>
              <w:pStyle w:val="TableParagraph"/>
              <w:spacing w:before="15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4FA5B2C5" w14:textId="77777777">
        <w:trPr>
          <w:trHeight w:val="545"/>
        </w:trPr>
        <w:tc>
          <w:tcPr>
            <w:tcW w:w="1711" w:type="dxa"/>
          </w:tcPr>
          <w:p w14:paraId="633DF861" w14:textId="77777777" w:rsidR="0046798B" w:rsidRDefault="00903B5C">
            <w:pPr>
              <w:pStyle w:val="TableParagraph"/>
              <w:spacing w:before="158"/>
              <w:ind w:left="115"/>
              <w:rPr>
                <w:b/>
                <w:sz w:val="20"/>
              </w:rPr>
            </w:pPr>
            <w:r>
              <w:rPr>
                <w:b/>
                <w:sz w:val="20"/>
              </w:rPr>
              <w:t>crtadm</w:t>
            </w:r>
          </w:p>
        </w:tc>
        <w:tc>
          <w:tcPr>
            <w:tcW w:w="1596" w:type="dxa"/>
          </w:tcPr>
          <w:p w14:paraId="5B6E92E7" w14:textId="77777777" w:rsidR="0046798B" w:rsidRDefault="00903B5C">
            <w:pPr>
              <w:pStyle w:val="TableParagraph"/>
              <w:spacing w:before="43"/>
              <w:ind w:left="114" w:right="307"/>
              <w:rPr>
                <w:sz w:val="20"/>
              </w:rPr>
            </w:pPr>
            <w:r>
              <w:rPr>
                <w:sz w:val="20"/>
              </w:rPr>
              <w:t>Court administrators</w:t>
            </w:r>
          </w:p>
        </w:tc>
        <w:tc>
          <w:tcPr>
            <w:tcW w:w="1285" w:type="dxa"/>
          </w:tcPr>
          <w:p w14:paraId="3C0696D0" w14:textId="77777777" w:rsidR="0046798B" w:rsidRDefault="00903B5C">
            <w:pPr>
              <w:pStyle w:val="TableParagraph"/>
              <w:spacing w:before="158"/>
              <w:ind w:left="114"/>
              <w:rPr>
                <w:sz w:val="20"/>
              </w:rPr>
            </w:pPr>
            <w:r>
              <w:rPr>
                <w:sz w:val="20"/>
              </w:rPr>
              <w:t>1937–1965</w:t>
            </w:r>
          </w:p>
        </w:tc>
        <w:tc>
          <w:tcPr>
            <w:tcW w:w="3421" w:type="dxa"/>
          </w:tcPr>
          <w:p w14:paraId="63D47CCE" w14:textId="77777777" w:rsidR="0046798B" w:rsidRDefault="00903B5C">
            <w:pPr>
              <w:pStyle w:val="TableParagraph"/>
              <w:spacing w:before="43"/>
              <w:ind w:left="114"/>
              <w:rPr>
                <w:sz w:val="20"/>
              </w:rPr>
            </w:pPr>
            <w:r>
              <w:rPr>
                <w:sz w:val="20"/>
              </w:rPr>
              <w:t>Did state adopt court administrators? (0</w:t>
            </w:r>
          </w:p>
          <w:p w14:paraId="69C4E378" w14:textId="77777777" w:rsidR="0046798B" w:rsidRDefault="00903B5C">
            <w:pPr>
              <w:pStyle w:val="TableParagraph"/>
              <w:ind w:left="114"/>
              <w:rPr>
                <w:sz w:val="20"/>
              </w:rPr>
            </w:pPr>
            <w:r>
              <w:rPr>
                <w:sz w:val="20"/>
              </w:rPr>
              <w:t>= no, 1 = yes)</w:t>
            </w:r>
          </w:p>
        </w:tc>
        <w:tc>
          <w:tcPr>
            <w:tcW w:w="6482" w:type="dxa"/>
          </w:tcPr>
          <w:p w14:paraId="41575D5E" w14:textId="77777777" w:rsidR="0046798B" w:rsidRDefault="00903B5C">
            <w:pPr>
              <w:pStyle w:val="TableParagraph"/>
              <w:spacing w:before="4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6CD0E9AF" w14:textId="77777777">
        <w:trPr>
          <w:trHeight w:val="780"/>
        </w:trPr>
        <w:tc>
          <w:tcPr>
            <w:tcW w:w="1711" w:type="dxa"/>
          </w:tcPr>
          <w:p w14:paraId="22C7FE51" w14:textId="77777777" w:rsidR="0046798B" w:rsidRDefault="0046798B">
            <w:pPr>
              <w:pStyle w:val="TableParagraph"/>
              <w:spacing w:before="9"/>
              <w:rPr>
                <w:sz w:val="23"/>
              </w:rPr>
            </w:pPr>
          </w:p>
          <w:p w14:paraId="6D743F97" w14:textId="77777777" w:rsidR="0046798B" w:rsidRDefault="00903B5C">
            <w:pPr>
              <w:pStyle w:val="TableParagraph"/>
              <w:ind w:left="115"/>
              <w:rPr>
                <w:b/>
                <w:sz w:val="20"/>
              </w:rPr>
            </w:pPr>
            <w:r>
              <w:rPr>
                <w:b/>
                <w:sz w:val="20"/>
              </w:rPr>
              <w:t>cyberstalk</w:t>
            </w:r>
          </w:p>
        </w:tc>
        <w:tc>
          <w:tcPr>
            <w:tcW w:w="1596" w:type="dxa"/>
          </w:tcPr>
          <w:p w14:paraId="1FB87FB7" w14:textId="77777777" w:rsidR="0046798B" w:rsidRDefault="00903B5C">
            <w:pPr>
              <w:pStyle w:val="TableParagraph"/>
              <w:spacing w:before="43"/>
              <w:ind w:left="114" w:right="345"/>
              <w:jc w:val="both"/>
              <w:rPr>
                <w:sz w:val="20"/>
              </w:rPr>
            </w:pPr>
            <w:r>
              <w:rPr>
                <w:sz w:val="20"/>
              </w:rPr>
              <w:t>Cyberstalking definition and penalty</w:t>
            </w:r>
          </w:p>
        </w:tc>
        <w:tc>
          <w:tcPr>
            <w:tcW w:w="1285" w:type="dxa"/>
          </w:tcPr>
          <w:p w14:paraId="04084CB3" w14:textId="77777777" w:rsidR="0046798B" w:rsidRDefault="0046798B">
            <w:pPr>
              <w:pStyle w:val="TableParagraph"/>
              <w:spacing w:before="9"/>
              <w:rPr>
                <w:sz w:val="23"/>
              </w:rPr>
            </w:pPr>
          </w:p>
          <w:p w14:paraId="4D7331DD" w14:textId="77777777" w:rsidR="0046798B" w:rsidRDefault="00903B5C">
            <w:pPr>
              <w:pStyle w:val="TableParagraph"/>
              <w:ind w:left="114"/>
              <w:rPr>
                <w:sz w:val="20"/>
              </w:rPr>
            </w:pPr>
            <w:r>
              <w:rPr>
                <w:sz w:val="20"/>
              </w:rPr>
              <w:t>1998–2001</w:t>
            </w:r>
          </w:p>
        </w:tc>
        <w:tc>
          <w:tcPr>
            <w:tcW w:w="3421" w:type="dxa"/>
          </w:tcPr>
          <w:p w14:paraId="574CC606" w14:textId="77777777" w:rsidR="0046798B" w:rsidRDefault="00903B5C">
            <w:pPr>
              <w:pStyle w:val="TableParagraph"/>
              <w:spacing w:before="159"/>
              <w:ind w:left="114" w:right="111"/>
              <w:rPr>
                <w:sz w:val="20"/>
              </w:rPr>
            </w:pPr>
            <w:r>
              <w:rPr>
                <w:sz w:val="20"/>
              </w:rPr>
              <w:t>Did state adopt cyberstalking definition and penalty? (0 = no, 1 = yes)</w:t>
            </w:r>
          </w:p>
        </w:tc>
        <w:tc>
          <w:tcPr>
            <w:tcW w:w="6482" w:type="dxa"/>
          </w:tcPr>
          <w:p w14:paraId="3755ACBF" w14:textId="77777777" w:rsidR="0046798B" w:rsidRDefault="00903B5C">
            <w:pPr>
              <w:pStyle w:val="TableParagraph"/>
              <w:spacing w:before="159"/>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28208320" w14:textId="77777777">
        <w:trPr>
          <w:trHeight w:val="545"/>
        </w:trPr>
        <w:tc>
          <w:tcPr>
            <w:tcW w:w="1711" w:type="dxa"/>
          </w:tcPr>
          <w:p w14:paraId="25A1D7A9" w14:textId="77777777" w:rsidR="0046798B" w:rsidRDefault="00903B5C">
            <w:pPr>
              <w:pStyle w:val="TableParagraph"/>
              <w:spacing w:before="153"/>
              <w:ind w:left="115"/>
              <w:rPr>
                <w:b/>
                <w:sz w:val="20"/>
              </w:rPr>
            </w:pPr>
            <w:r>
              <w:rPr>
                <w:b/>
                <w:sz w:val="20"/>
              </w:rPr>
              <w:t>harass</w:t>
            </w:r>
          </w:p>
        </w:tc>
        <w:tc>
          <w:tcPr>
            <w:tcW w:w="1596" w:type="dxa"/>
          </w:tcPr>
          <w:p w14:paraId="4CDB3640" w14:textId="77777777" w:rsidR="0046798B" w:rsidRDefault="00903B5C">
            <w:pPr>
              <w:pStyle w:val="TableParagraph"/>
              <w:spacing w:before="38"/>
              <w:ind w:left="114" w:right="507"/>
              <w:rPr>
                <w:sz w:val="20"/>
              </w:rPr>
            </w:pPr>
            <w:r>
              <w:rPr>
                <w:sz w:val="20"/>
              </w:rPr>
              <w:t>Harassment crime</w:t>
            </w:r>
          </w:p>
        </w:tc>
        <w:tc>
          <w:tcPr>
            <w:tcW w:w="1285" w:type="dxa"/>
          </w:tcPr>
          <w:p w14:paraId="10BD1683" w14:textId="77777777" w:rsidR="0046798B" w:rsidRDefault="00903B5C">
            <w:pPr>
              <w:pStyle w:val="TableParagraph"/>
              <w:spacing w:before="153"/>
              <w:ind w:left="114"/>
              <w:rPr>
                <w:sz w:val="20"/>
              </w:rPr>
            </w:pPr>
            <w:r>
              <w:rPr>
                <w:sz w:val="20"/>
              </w:rPr>
              <w:t>1998–2001</w:t>
            </w:r>
          </w:p>
        </w:tc>
        <w:tc>
          <w:tcPr>
            <w:tcW w:w="3421" w:type="dxa"/>
          </w:tcPr>
          <w:p w14:paraId="41154A39" w14:textId="77777777" w:rsidR="0046798B" w:rsidRDefault="00903B5C">
            <w:pPr>
              <w:pStyle w:val="TableParagraph"/>
              <w:spacing w:before="38"/>
              <w:ind w:left="114" w:right="143"/>
              <w:rPr>
                <w:sz w:val="20"/>
              </w:rPr>
            </w:pPr>
            <w:r>
              <w:rPr>
                <w:sz w:val="20"/>
              </w:rPr>
              <w:t>Did state adopt harassment crime? (0 = no, 1 = yes)</w:t>
            </w:r>
          </w:p>
        </w:tc>
        <w:tc>
          <w:tcPr>
            <w:tcW w:w="6482" w:type="dxa"/>
          </w:tcPr>
          <w:p w14:paraId="68CD541B" w14:textId="77777777" w:rsidR="0046798B" w:rsidRDefault="00903B5C">
            <w:pPr>
              <w:pStyle w:val="TableParagraph"/>
              <w:spacing w:before="3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05B5F57F" w14:textId="77777777">
        <w:trPr>
          <w:trHeight w:val="2616"/>
        </w:trPr>
        <w:tc>
          <w:tcPr>
            <w:tcW w:w="1711" w:type="dxa"/>
          </w:tcPr>
          <w:p w14:paraId="02532B03" w14:textId="77777777" w:rsidR="0046798B" w:rsidRDefault="0046798B">
            <w:pPr>
              <w:pStyle w:val="TableParagraph"/>
            </w:pPr>
          </w:p>
          <w:p w14:paraId="4BA5B109" w14:textId="77777777" w:rsidR="0046798B" w:rsidRDefault="0046798B">
            <w:pPr>
              <w:pStyle w:val="TableParagraph"/>
            </w:pPr>
          </w:p>
          <w:p w14:paraId="2E8580C9" w14:textId="77777777" w:rsidR="0046798B" w:rsidRDefault="0046798B">
            <w:pPr>
              <w:pStyle w:val="TableParagraph"/>
            </w:pPr>
          </w:p>
          <w:p w14:paraId="52AA79AF" w14:textId="77777777" w:rsidR="0046798B" w:rsidRDefault="0046798B">
            <w:pPr>
              <w:pStyle w:val="TableParagraph"/>
            </w:pPr>
          </w:p>
          <w:p w14:paraId="710B002B" w14:textId="77777777" w:rsidR="0046798B" w:rsidRDefault="00903B5C">
            <w:pPr>
              <w:pStyle w:val="TableParagraph"/>
              <w:spacing w:before="176"/>
              <w:ind w:left="115"/>
              <w:rPr>
                <w:b/>
                <w:sz w:val="20"/>
              </w:rPr>
            </w:pPr>
            <w:r>
              <w:rPr>
                <w:b/>
                <w:sz w:val="20"/>
              </w:rPr>
              <w:t>hatecrime</w:t>
            </w:r>
          </w:p>
        </w:tc>
        <w:tc>
          <w:tcPr>
            <w:tcW w:w="1596" w:type="dxa"/>
          </w:tcPr>
          <w:p w14:paraId="4E126A68" w14:textId="77777777" w:rsidR="0046798B" w:rsidRDefault="0046798B">
            <w:pPr>
              <w:pStyle w:val="TableParagraph"/>
            </w:pPr>
          </w:p>
          <w:p w14:paraId="3388EA21" w14:textId="77777777" w:rsidR="0046798B" w:rsidRDefault="0046798B">
            <w:pPr>
              <w:pStyle w:val="TableParagraph"/>
            </w:pPr>
          </w:p>
          <w:p w14:paraId="268ABF5E" w14:textId="77777777" w:rsidR="0046798B" w:rsidRDefault="0046798B">
            <w:pPr>
              <w:pStyle w:val="TableParagraph"/>
              <w:spacing w:before="4"/>
              <w:rPr>
                <w:sz w:val="19"/>
              </w:rPr>
            </w:pPr>
          </w:p>
          <w:p w14:paraId="33DC48A6" w14:textId="77777777" w:rsidR="0046798B" w:rsidRDefault="00903B5C">
            <w:pPr>
              <w:pStyle w:val="TableParagraph"/>
              <w:ind w:left="114" w:right="113"/>
              <w:rPr>
                <w:sz w:val="20"/>
              </w:rPr>
            </w:pPr>
            <w:r>
              <w:rPr>
                <w:sz w:val="20"/>
              </w:rPr>
              <w:t>State hate crime laws; laws establishing hate crimes against minorities</w:t>
            </w:r>
          </w:p>
        </w:tc>
        <w:tc>
          <w:tcPr>
            <w:tcW w:w="1285" w:type="dxa"/>
          </w:tcPr>
          <w:p w14:paraId="24DBD76E" w14:textId="77777777" w:rsidR="0046798B" w:rsidRDefault="0046798B">
            <w:pPr>
              <w:pStyle w:val="TableParagraph"/>
            </w:pPr>
          </w:p>
          <w:p w14:paraId="20E4699C" w14:textId="77777777" w:rsidR="0046798B" w:rsidRDefault="0046798B">
            <w:pPr>
              <w:pStyle w:val="TableParagraph"/>
            </w:pPr>
          </w:p>
          <w:p w14:paraId="75B4468F" w14:textId="77777777" w:rsidR="0046798B" w:rsidRDefault="0046798B">
            <w:pPr>
              <w:pStyle w:val="TableParagraph"/>
            </w:pPr>
          </w:p>
          <w:p w14:paraId="2003C154" w14:textId="77777777" w:rsidR="0046798B" w:rsidRDefault="0046798B">
            <w:pPr>
              <w:pStyle w:val="TableParagraph"/>
              <w:spacing w:before="4"/>
              <w:rPr>
                <w:sz w:val="27"/>
              </w:rPr>
            </w:pPr>
          </w:p>
          <w:p w14:paraId="4B1C8437" w14:textId="77777777" w:rsidR="0046798B" w:rsidRDefault="00903B5C">
            <w:pPr>
              <w:pStyle w:val="TableParagraph"/>
              <w:ind w:left="114"/>
              <w:rPr>
                <w:sz w:val="20"/>
              </w:rPr>
            </w:pPr>
            <w:r>
              <w:rPr>
                <w:sz w:val="20"/>
              </w:rPr>
              <w:t>1978–1994;</w:t>
            </w:r>
          </w:p>
          <w:p w14:paraId="2008FD83" w14:textId="77777777" w:rsidR="0046798B" w:rsidRDefault="00903B5C">
            <w:pPr>
              <w:pStyle w:val="TableParagraph"/>
              <w:spacing w:before="1"/>
              <w:ind w:left="114"/>
              <w:rPr>
                <w:sz w:val="20"/>
              </w:rPr>
            </w:pPr>
            <w:r>
              <w:rPr>
                <w:sz w:val="20"/>
              </w:rPr>
              <w:t>1978–2003</w:t>
            </w:r>
          </w:p>
        </w:tc>
        <w:tc>
          <w:tcPr>
            <w:tcW w:w="3421" w:type="dxa"/>
          </w:tcPr>
          <w:p w14:paraId="13F241AA" w14:textId="77777777" w:rsidR="0046798B" w:rsidRDefault="0046798B">
            <w:pPr>
              <w:pStyle w:val="TableParagraph"/>
            </w:pPr>
          </w:p>
          <w:p w14:paraId="4FCDDDA4" w14:textId="77777777" w:rsidR="0046798B" w:rsidRDefault="0046798B">
            <w:pPr>
              <w:pStyle w:val="TableParagraph"/>
            </w:pPr>
          </w:p>
          <w:p w14:paraId="27BCAFFA" w14:textId="77777777" w:rsidR="0046798B" w:rsidRDefault="0046798B">
            <w:pPr>
              <w:pStyle w:val="TableParagraph"/>
              <w:spacing w:before="4"/>
              <w:rPr>
                <w:sz w:val="19"/>
              </w:rPr>
            </w:pPr>
          </w:p>
          <w:p w14:paraId="0CB7C3AB" w14:textId="77777777" w:rsidR="0046798B" w:rsidRDefault="00903B5C">
            <w:pPr>
              <w:pStyle w:val="TableParagraph"/>
              <w:ind w:left="114" w:right="255"/>
              <w:rPr>
                <w:sz w:val="20"/>
              </w:rPr>
            </w:pPr>
            <w:r>
              <w:rPr>
                <w:sz w:val="20"/>
              </w:rPr>
              <w:t>Did state adopt state hate crime laws? (0 = no, 1 = yes)</w:t>
            </w:r>
          </w:p>
          <w:p w14:paraId="00DA334B" w14:textId="77777777" w:rsidR="0046798B" w:rsidRDefault="0046798B">
            <w:pPr>
              <w:pStyle w:val="TableParagraph"/>
              <w:rPr>
                <w:sz w:val="20"/>
              </w:rPr>
            </w:pPr>
          </w:p>
          <w:p w14:paraId="4DEE7240"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4FA1EF52" w14:textId="77777777" w:rsidR="0046798B" w:rsidRDefault="00903B5C">
            <w:pPr>
              <w:pStyle w:val="TableParagraph"/>
              <w:spacing w:before="3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p w14:paraId="1266FB94" w14:textId="77777777" w:rsidR="0046798B" w:rsidRDefault="0046798B">
            <w:pPr>
              <w:pStyle w:val="TableParagraph"/>
              <w:rPr>
                <w:sz w:val="20"/>
              </w:rPr>
            </w:pPr>
          </w:p>
          <w:p w14:paraId="13CE07A1" w14:textId="77777777" w:rsidR="0046798B" w:rsidRDefault="00903B5C">
            <w:pPr>
              <w:pStyle w:val="TableParagraph"/>
              <w:ind w:left="114"/>
              <w:rPr>
                <w:sz w:val="20"/>
              </w:rPr>
            </w:pPr>
            <w:r>
              <w:rPr>
                <w:sz w:val="20"/>
              </w:rPr>
              <w:t xml:space="preserve">Boushey, Graeme. “Targeted for diffusion? How the use and acceptance of stereotypes shape the diffusion of criminal justice policy innovations in the American States.” </w:t>
            </w:r>
            <w:r>
              <w:rPr>
                <w:i/>
                <w:sz w:val="20"/>
              </w:rPr>
              <w:t xml:space="preserve">American Political Science Review </w:t>
            </w:r>
            <w:r>
              <w:rPr>
                <w:sz w:val="20"/>
              </w:rPr>
              <w:t>110.1 (2016): 198-214.</w:t>
            </w:r>
          </w:p>
          <w:p w14:paraId="62075B11" w14:textId="77777777" w:rsidR="0046798B" w:rsidRDefault="0046798B">
            <w:pPr>
              <w:pStyle w:val="TableParagraph"/>
              <w:spacing w:before="1"/>
              <w:rPr>
                <w:sz w:val="20"/>
              </w:rPr>
            </w:pPr>
          </w:p>
          <w:p w14:paraId="4F3D8220"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bl>
    <w:p w14:paraId="3097C3E2" w14:textId="77777777" w:rsidR="0046798B" w:rsidRDefault="0046798B">
      <w:pPr>
        <w:rPr>
          <w:sz w:val="20"/>
        </w:rPr>
        <w:sectPr w:rsidR="0046798B">
          <w:pgSz w:w="15840" w:h="12240" w:orient="landscape"/>
          <w:pgMar w:top="1220" w:right="300" w:bottom="980" w:left="820" w:header="730" w:footer="787" w:gutter="0"/>
          <w:cols w:space="720"/>
        </w:sectPr>
      </w:pPr>
    </w:p>
    <w:p w14:paraId="4942782A"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288910D0" w14:textId="77777777">
        <w:trPr>
          <w:trHeight w:val="2616"/>
        </w:trPr>
        <w:tc>
          <w:tcPr>
            <w:tcW w:w="1711" w:type="dxa"/>
          </w:tcPr>
          <w:p w14:paraId="1608AC8A" w14:textId="77777777" w:rsidR="0046798B" w:rsidRDefault="0046798B">
            <w:pPr>
              <w:pStyle w:val="TableParagraph"/>
            </w:pPr>
          </w:p>
          <w:p w14:paraId="65CFF655" w14:textId="77777777" w:rsidR="0046798B" w:rsidRDefault="0046798B">
            <w:pPr>
              <w:pStyle w:val="TableParagraph"/>
            </w:pPr>
          </w:p>
          <w:p w14:paraId="762A10AA" w14:textId="77777777" w:rsidR="0046798B" w:rsidRDefault="0046798B">
            <w:pPr>
              <w:pStyle w:val="TableParagraph"/>
            </w:pPr>
          </w:p>
          <w:p w14:paraId="46CE3847" w14:textId="77777777" w:rsidR="0046798B" w:rsidRDefault="0046798B">
            <w:pPr>
              <w:pStyle w:val="TableParagraph"/>
            </w:pPr>
          </w:p>
          <w:p w14:paraId="7051D2A2" w14:textId="77777777" w:rsidR="0046798B" w:rsidRDefault="00903B5C">
            <w:pPr>
              <w:pStyle w:val="TableParagraph"/>
              <w:spacing w:before="181"/>
              <w:ind w:left="115"/>
              <w:rPr>
                <w:b/>
                <w:sz w:val="20"/>
              </w:rPr>
            </w:pPr>
            <w:r>
              <w:rPr>
                <w:b/>
                <w:sz w:val="20"/>
              </w:rPr>
              <w:t>idtheft</w:t>
            </w:r>
          </w:p>
        </w:tc>
        <w:tc>
          <w:tcPr>
            <w:tcW w:w="1596" w:type="dxa"/>
          </w:tcPr>
          <w:p w14:paraId="0E0A7EB3" w14:textId="77777777" w:rsidR="0046798B" w:rsidRDefault="0046798B">
            <w:pPr>
              <w:pStyle w:val="TableParagraph"/>
            </w:pPr>
          </w:p>
          <w:p w14:paraId="43AB5798" w14:textId="77777777" w:rsidR="0046798B" w:rsidRDefault="0046798B">
            <w:pPr>
              <w:pStyle w:val="TableParagraph"/>
            </w:pPr>
          </w:p>
          <w:p w14:paraId="1F4C2F66" w14:textId="77777777" w:rsidR="0046798B" w:rsidRDefault="0046798B">
            <w:pPr>
              <w:pStyle w:val="TableParagraph"/>
              <w:spacing w:before="9"/>
              <w:rPr>
                <w:sz w:val="29"/>
              </w:rPr>
            </w:pPr>
          </w:p>
          <w:p w14:paraId="48C312FA" w14:textId="77777777" w:rsidR="0046798B" w:rsidRDefault="00903B5C">
            <w:pPr>
              <w:pStyle w:val="TableParagraph"/>
              <w:ind w:left="114" w:right="424"/>
              <w:rPr>
                <w:sz w:val="20"/>
              </w:rPr>
            </w:pPr>
            <w:r>
              <w:rPr>
                <w:sz w:val="20"/>
              </w:rPr>
              <w:t>ID theft protection; identity theft regulation</w:t>
            </w:r>
          </w:p>
        </w:tc>
        <w:tc>
          <w:tcPr>
            <w:tcW w:w="1285" w:type="dxa"/>
          </w:tcPr>
          <w:p w14:paraId="7EBBE020" w14:textId="77777777" w:rsidR="0046798B" w:rsidRDefault="0046798B">
            <w:pPr>
              <w:pStyle w:val="TableParagraph"/>
            </w:pPr>
          </w:p>
          <w:p w14:paraId="08922DA1" w14:textId="77777777" w:rsidR="0046798B" w:rsidRDefault="0046798B">
            <w:pPr>
              <w:pStyle w:val="TableParagraph"/>
            </w:pPr>
          </w:p>
          <w:p w14:paraId="6AED32A8" w14:textId="77777777" w:rsidR="0046798B" w:rsidRDefault="0046798B">
            <w:pPr>
              <w:pStyle w:val="TableParagraph"/>
            </w:pPr>
          </w:p>
          <w:p w14:paraId="28BD4793" w14:textId="77777777" w:rsidR="0046798B" w:rsidRDefault="0046798B">
            <w:pPr>
              <w:pStyle w:val="TableParagraph"/>
              <w:spacing w:before="9"/>
              <w:rPr>
                <w:sz w:val="27"/>
              </w:rPr>
            </w:pPr>
          </w:p>
          <w:p w14:paraId="006FA5A7" w14:textId="77777777" w:rsidR="0046798B" w:rsidRDefault="00903B5C">
            <w:pPr>
              <w:pStyle w:val="TableParagraph"/>
              <w:ind w:left="114"/>
              <w:rPr>
                <w:sz w:val="20"/>
              </w:rPr>
            </w:pPr>
            <w:r>
              <w:rPr>
                <w:sz w:val="20"/>
              </w:rPr>
              <w:t>1996–2001;</w:t>
            </w:r>
          </w:p>
          <w:p w14:paraId="5632A393" w14:textId="77777777" w:rsidR="0046798B" w:rsidRDefault="00903B5C">
            <w:pPr>
              <w:pStyle w:val="TableParagraph"/>
              <w:ind w:left="114"/>
              <w:rPr>
                <w:sz w:val="20"/>
              </w:rPr>
            </w:pPr>
            <w:r>
              <w:rPr>
                <w:sz w:val="20"/>
              </w:rPr>
              <w:t>1996–2006</w:t>
            </w:r>
          </w:p>
        </w:tc>
        <w:tc>
          <w:tcPr>
            <w:tcW w:w="3421" w:type="dxa"/>
          </w:tcPr>
          <w:p w14:paraId="6FBA292C" w14:textId="77777777" w:rsidR="0046798B" w:rsidRDefault="0046798B">
            <w:pPr>
              <w:pStyle w:val="TableParagraph"/>
            </w:pPr>
          </w:p>
          <w:p w14:paraId="53CA826E" w14:textId="77777777" w:rsidR="0046798B" w:rsidRDefault="0046798B">
            <w:pPr>
              <w:pStyle w:val="TableParagraph"/>
            </w:pPr>
          </w:p>
          <w:p w14:paraId="1AFAA322" w14:textId="77777777" w:rsidR="0046798B" w:rsidRDefault="0046798B">
            <w:pPr>
              <w:pStyle w:val="TableParagraph"/>
              <w:spacing w:before="9"/>
              <w:rPr>
                <w:sz w:val="19"/>
              </w:rPr>
            </w:pPr>
          </w:p>
          <w:p w14:paraId="1C511BC8" w14:textId="77777777" w:rsidR="0046798B" w:rsidRDefault="00903B5C">
            <w:pPr>
              <w:pStyle w:val="TableParagraph"/>
              <w:ind w:left="114"/>
              <w:rPr>
                <w:sz w:val="20"/>
              </w:rPr>
            </w:pPr>
            <w:r>
              <w:rPr>
                <w:sz w:val="20"/>
              </w:rPr>
              <w:t>Did state adopt ID theft protection? (0</w:t>
            </w:r>
          </w:p>
          <w:p w14:paraId="6EA3859F" w14:textId="77777777" w:rsidR="0046798B" w:rsidRDefault="00903B5C">
            <w:pPr>
              <w:pStyle w:val="TableParagraph"/>
              <w:ind w:left="114"/>
              <w:rPr>
                <w:sz w:val="20"/>
              </w:rPr>
            </w:pPr>
            <w:r>
              <w:rPr>
                <w:sz w:val="20"/>
              </w:rPr>
              <w:t>= no, 1 = yes)</w:t>
            </w:r>
          </w:p>
          <w:p w14:paraId="124A06EC" w14:textId="77777777" w:rsidR="0046798B" w:rsidRDefault="0046798B">
            <w:pPr>
              <w:pStyle w:val="TableParagraph"/>
              <w:rPr>
                <w:sz w:val="20"/>
              </w:rPr>
            </w:pPr>
          </w:p>
          <w:p w14:paraId="3CF83D6A"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1A58CF65" w14:textId="77777777" w:rsidR="0046798B" w:rsidRDefault="00903B5C">
            <w:pPr>
              <w:pStyle w:val="TableParagraph"/>
              <w:spacing w:before="4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p w14:paraId="5C191EE5" w14:textId="77777777" w:rsidR="0046798B" w:rsidRDefault="0046798B">
            <w:pPr>
              <w:pStyle w:val="TableParagraph"/>
              <w:rPr>
                <w:sz w:val="20"/>
              </w:rPr>
            </w:pPr>
          </w:p>
          <w:p w14:paraId="4AC322CA" w14:textId="77777777" w:rsidR="0046798B" w:rsidRDefault="00903B5C">
            <w:pPr>
              <w:pStyle w:val="TableParagraph"/>
              <w:ind w:left="114"/>
              <w:rPr>
                <w:sz w:val="20"/>
              </w:rPr>
            </w:pPr>
            <w:r>
              <w:rPr>
                <w:sz w:val="20"/>
              </w:rPr>
              <w:t xml:space="preserve">Boushey, Graeme. “Targeted for diffusion? How the use and acceptance of stereotypes shape the diffusion of criminal justice policy innovations in the American States.” </w:t>
            </w:r>
            <w:r>
              <w:rPr>
                <w:i/>
                <w:sz w:val="20"/>
              </w:rPr>
              <w:t xml:space="preserve">American Political Science Review </w:t>
            </w:r>
            <w:r>
              <w:rPr>
                <w:sz w:val="20"/>
              </w:rPr>
              <w:t>110.1 (2016): 198-214.</w:t>
            </w:r>
          </w:p>
          <w:p w14:paraId="3B1A72EE" w14:textId="77777777" w:rsidR="0046798B" w:rsidRDefault="0046798B">
            <w:pPr>
              <w:pStyle w:val="TableParagraph"/>
              <w:spacing w:before="1"/>
              <w:rPr>
                <w:sz w:val="20"/>
              </w:rPr>
            </w:pPr>
          </w:p>
          <w:p w14:paraId="00B7DC3F"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6795EE16" w14:textId="77777777">
        <w:trPr>
          <w:trHeight w:val="1695"/>
        </w:trPr>
        <w:tc>
          <w:tcPr>
            <w:tcW w:w="1711" w:type="dxa"/>
          </w:tcPr>
          <w:p w14:paraId="2D56D0AF" w14:textId="77777777" w:rsidR="0046798B" w:rsidRDefault="0046798B">
            <w:pPr>
              <w:pStyle w:val="TableParagraph"/>
            </w:pPr>
          </w:p>
          <w:p w14:paraId="769095BC" w14:textId="77777777" w:rsidR="0046798B" w:rsidRDefault="0046798B">
            <w:pPr>
              <w:pStyle w:val="TableParagraph"/>
            </w:pPr>
          </w:p>
          <w:p w14:paraId="23CD52C9" w14:textId="77777777" w:rsidR="0046798B" w:rsidRDefault="0046798B">
            <w:pPr>
              <w:pStyle w:val="TableParagraph"/>
              <w:spacing w:before="9"/>
              <w:rPr>
                <w:sz w:val="19"/>
              </w:rPr>
            </w:pPr>
          </w:p>
          <w:p w14:paraId="16EDA018" w14:textId="77777777" w:rsidR="0046798B" w:rsidRDefault="00903B5C">
            <w:pPr>
              <w:pStyle w:val="TableParagraph"/>
              <w:ind w:left="115"/>
              <w:rPr>
                <w:b/>
                <w:sz w:val="20"/>
              </w:rPr>
            </w:pPr>
            <w:r>
              <w:rPr>
                <w:b/>
                <w:sz w:val="20"/>
              </w:rPr>
              <w:t>indorgris</w:t>
            </w:r>
          </w:p>
        </w:tc>
        <w:tc>
          <w:tcPr>
            <w:tcW w:w="1596" w:type="dxa"/>
          </w:tcPr>
          <w:p w14:paraId="35237F9A" w14:textId="77777777" w:rsidR="0046798B" w:rsidRDefault="00903B5C">
            <w:pPr>
              <w:pStyle w:val="TableParagraph"/>
              <w:spacing w:before="43"/>
              <w:ind w:left="114" w:right="152"/>
              <w:rPr>
                <w:sz w:val="20"/>
              </w:rPr>
            </w:pPr>
            <w:r>
              <w:rPr>
                <w:sz w:val="20"/>
              </w:rPr>
              <w:t>State law requiring notification to individuals/orga nizations at risk (sex offender policy)</w:t>
            </w:r>
          </w:p>
        </w:tc>
        <w:tc>
          <w:tcPr>
            <w:tcW w:w="1285" w:type="dxa"/>
          </w:tcPr>
          <w:p w14:paraId="2DE30A58" w14:textId="77777777" w:rsidR="0046798B" w:rsidRDefault="0046798B">
            <w:pPr>
              <w:pStyle w:val="TableParagraph"/>
            </w:pPr>
          </w:p>
          <w:p w14:paraId="7A108BCF" w14:textId="77777777" w:rsidR="0046798B" w:rsidRDefault="0046798B">
            <w:pPr>
              <w:pStyle w:val="TableParagraph"/>
            </w:pPr>
          </w:p>
          <w:p w14:paraId="67D08D17" w14:textId="77777777" w:rsidR="0046798B" w:rsidRDefault="0046798B">
            <w:pPr>
              <w:pStyle w:val="TableParagraph"/>
              <w:spacing w:before="9"/>
              <w:rPr>
                <w:sz w:val="19"/>
              </w:rPr>
            </w:pPr>
          </w:p>
          <w:p w14:paraId="46C1A62A" w14:textId="77777777" w:rsidR="0046798B" w:rsidRDefault="00903B5C">
            <w:pPr>
              <w:pStyle w:val="TableParagraph"/>
              <w:ind w:left="114"/>
              <w:rPr>
                <w:sz w:val="20"/>
              </w:rPr>
            </w:pPr>
            <w:r>
              <w:rPr>
                <w:sz w:val="20"/>
              </w:rPr>
              <w:t>1994–1997</w:t>
            </w:r>
          </w:p>
        </w:tc>
        <w:tc>
          <w:tcPr>
            <w:tcW w:w="3421" w:type="dxa"/>
          </w:tcPr>
          <w:p w14:paraId="0E1067F0" w14:textId="77777777" w:rsidR="0046798B" w:rsidRDefault="0046798B">
            <w:pPr>
              <w:pStyle w:val="TableParagraph"/>
            </w:pPr>
          </w:p>
          <w:p w14:paraId="26700B06" w14:textId="77777777" w:rsidR="0046798B" w:rsidRDefault="00903B5C">
            <w:pPr>
              <w:pStyle w:val="TableParagraph"/>
              <w:spacing w:before="135"/>
              <w:ind w:left="114" w:right="327"/>
              <w:rPr>
                <w:sz w:val="20"/>
              </w:rPr>
            </w:pPr>
            <w:r>
              <w:rPr>
                <w:sz w:val="20"/>
              </w:rPr>
              <w:t>Did state adopt state law requiring notification to individuals/organizations at risk (sex offender policy)? (0 = no, 1 = yes)</w:t>
            </w:r>
          </w:p>
        </w:tc>
        <w:tc>
          <w:tcPr>
            <w:tcW w:w="6482" w:type="dxa"/>
          </w:tcPr>
          <w:p w14:paraId="3363BECC" w14:textId="77777777" w:rsidR="0046798B" w:rsidRDefault="0046798B">
            <w:pPr>
              <w:pStyle w:val="TableParagraph"/>
            </w:pPr>
          </w:p>
          <w:p w14:paraId="149B54E1" w14:textId="77777777" w:rsidR="0046798B" w:rsidRDefault="0046798B">
            <w:pPr>
              <w:pStyle w:val="TableParagraph"/>
              <w:spacing w:before="9"/>
              <w:rPr>
                <w:sz w:val="31"/>
              </w:rPr>
            </w:pPr>
          </w:p>
          <w:p w14:paraId="2613FB21" w14:textId="77777777" w:rsidR="0046798B" w:rsidRDefault="00903B5C">
            <w:pPr>
              <w:pStyle w:val="TableParagraph"/>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1DA502F1" w14:textId="77777777">
        <w:trPr>
          <w:trHeight w:val="1700"/>
        </w:trPr>
        <w:tc>
          <w:tcPr>
            <w:tcW w:w="1711" w:type="dxa"/>
          </w:tcPr>
          <w:p w14:paraId="7DDBBEAB" w14:textId="77777777" w:rsidR="0046798B" w:rsidRDefault="0046798B">
            <w:pPr>
              <w:pStyle w:val="TableParagraph"/>
            </w:pPr>
          </w:p>
          <w:p w14:paraId="722EAFE9" w14:textId="77777777" w:rsidR="0046798B" w:rsidRDefault="0046798B">
            <w:pPr>
              <w:pStyle w:val="TableParagraph"/>
            </w:pPr>
          </w:p>
          <w:p w14:paraId="041F7F59" w14:textId="77777777" w:rsidR="0046798B" w:rsidRDefault="0046798B">
            <w:pPr>
              <w:pStyle w:val="TableParagraph"/>
              <w:spacing w:before="8"/>
              <w:rPr>
                <w:sz w:val="19"/>
              </w:rPr>
            </w:pPr>
          </w:p>
          <w:p w14:paraId="47653CFE" w14:textId="77777777" w:rsidR="0046798B" w:rsidRDefault="00903B5C">
            <w:pPr>
              <w:pStyle w:val="TableParagraph"/>
              <w:spacing w:before="1"/>
              <w:ind w:left="115"/>
              <w:rPr>
                <w:b/>
                <w:sz w:val="20"/>
              </w:rPr>
            </w:pPr>
            <w:r>
              <w:rPr>
                <w:b/>
                <w:sz w:val="20"/>
              </w:rPr>
              <w:t>juvct</w:t>
            </w:r>
          </w:p>
        </w:tc>
        <w:tc>
          <w:tcPr>
            <w:tcW w:w="1596" w:type="dxa"/>
          </w:tcPr>
          <w:p w14:paraId="11E1B6F1" w14:textId="77777777" w:rsidR="0046798B" w:rsidRDefault="0046798B">
            <w:pPr>
              <w:pStyle w:val="TableParagraph"/>
            </w:pPr>
          </w:p>
          <w:p w14:paraId="1B33E6C9" w14:textId="77777777" w:rsidR="0046798B" w:rsidRDefault="0046798B">
            <w:pPr>
              <w:pStyle w:val="TableParagraph"/>
              <w:spacing w:before="8"/>
              <w:rPr>
                <w:sz w:val="31"/>
              </w:rPr>
            </w:pPr>
          </w:p>
          <w:p w14:paraId="31297F71" w14:textId="77777777" w:rsidR="0046798B" w:rsidRDefault="00903B5C">
            <w:pPr>
              <w:pStyle w:val="TableParagraph"/>
              <w:spacing w:before="1"/>
              <w:ind w:left="114" w:right="324"/>
              <w:rPr>
                <w:sz w:val="20"/>
              </w:rPr>
            </w:pPr>
            <w:r>
              <w:rPr>
                <w:sz w:val="20"/>
              </w:rPr>
              <w:t>Juvenile court law</w:t>
            </w:r>
          </w:p>
        </w:tc>
        <w:tc>
          <w:tcPr>
            <w:tcW w:w="1285" w:type="dxa"/>
          </w:tcPr>
          <w:p w14:paraId="200AE466" w14:textId="77777777" w:rsidR="0046798B" w:rsidRDefault="0046798B">
            <w:pPr>
              <w:pStyle w:val="TableParagraph"/>
            </w:pPr>
          </w:p>
          <w:p w14:paraId="5CE8E86E" w14:textId="77777777" w:rsidR="0046798B" w:rsidRDefault="0046798B">
            <w:pPr>
              <w:pStyle w:val="TableParagraph"/>
            </w:pPr>
          </w:p>
          <w:p w14:paraId="6E29B9D2" w14:textId="77777777" w:rsidR="0046798B" w:rsidRDefault="0046798B">
            <w:pPr>
              <w:pStyle w:val="TableParagraph"/>
              <w:spacing w:before="8"/>
              <w:rPr>
                <w:sz w:val="19"/>
              </w:rPr>
            </w:pPr>
          </w:p>
          <w:p w14:paraId="51CAA2C7" w14:textId="77777777" w:rsidR="0046798B" w:rsidRDefault="00903B5C">
            <w:pPr>
              <w:pStyle w:val="TableParagraph"/>
              <w:spacing w:before="1"/>
              <w:ind w:left="114"/>
              <w:rPr>
                <w:sz w:val="20"/>
              </w:rPr>
            </w:pPr>
            <w:r>
              <w:rPr>
                <w:sz w:val="20"/>
              </w:rPr>
              <w:t>1900–1959</w:t>
            </w:r>
          </w:p>
        </w:tc>
        <w:tc>
          <w:tcPr>
            <w:tcW w:w="3421" w:type="dxa"/>
          </w:tcPr>
          <w:p w14:paraId="65D37EF0" w14:textId="77777777" w:rsidR="0046798B" w:rsidRDefault="0046798B">
            <w:pPr>
              <w:pStyle w:val="TableParagraph"/>
            </w:pPr>
          </w:p>
          <w:p w14:paraId="7DB9A46F" w14:textId="77777777" w:rsidR="0046798B" w:rsidRDefault="0046798B">
            <w:pPr>
              <w:pStyle w:val="TableParagraph"/>
              <w:spacing w:before="8"/>
              <w:rPr>
                <w:sz w:val="31"/>
              </w:rPr>
            </w:pPr>
          </w:p>
          <w:p w14:paraId="55E64211"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7D8156DF" w14:textId="77777777" w:rsidR="0046798B" w:rsidRDefault="00903B5C">
            <w:pPr>
              <w:pStyle w:val="TableParagraph"/>
              <w:spacing w:before="4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p w14:paraId="65EE9AE7" w14:textId="77777777" w:rsidR="0046798B" w:rsidRDefault="0046798B">
            <w:pPr>
              <w:pStyle w:val="TableParagraph"/>
              <w:rPr>
                <w:sz w:val="20"/>
              </w:rPr>
            </w:pPr>
          </w:p>
          <w:p w14:paraId="0DB96D5B"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355D8985" w14:textId="77777777">
        <w:trPr>
          <w:trHeight w:val="775"/>
        </w:trPr>
        <w:tc>
          <w:tcPr>
            <w:tcW w:w="1711" w:type="dxa"/>
          </w:tcPr>
          <w:p w14:paraId="5E6EAAF2" w14:textId="77777777" w:rsidR="0046798B" w:rsidRDefault="0046798B">
            <w:pPr>
              <w:pStyle w:val="TableParagraph"/>
              <w:spacing w:before="3"/>
              <w:rPr>
                <w:sz w:val="23"/>
              </w:rPr>
            </w:pPr>
          </w:p>
          <w:p w14:paraId="56A0E61F" w14:textId="77777777" w:rsidR="0046798B" w:rsidRDefault="00903B5C">
            <w:pPr>
              <w:pStyle w:val="TableParagraph"/>
              <w:spacing w:before="1"/>
              <w:ind w:left="115"/>
              <w:rPr>
                <w:b/>
                <w:sz w:val="20"/>
              </w:rPr>
            </w:pPr>
            <w:r>
              <w:rPr>
                <w:b/>
                <w:sz w:val="20"/>
              </w:rPr>
              <w:t>juvisup</w:t>
            </w:r>
          </w:p>
        </w:tc>
        <w:tc>
          <w:tcPr>
            <w:tcW w:w="1596" w:type="dxa"/>
          </w:tcPr>
          <w:p w14:paraId="75A915CA" w14:textId="77777777" w:rsidR="0046798B" w:rsidRDefault="00903B5C">
            <w:pPr>
              <w:pStyle w:val="TableParagraph"/>
              <w:spacing w:before="38"/>
              <w:ind w:left="114" w:right="529"/>
              <w:rPr>
                <w:sz w:val="20"/>
              </w:rPr>
            </w:pPr>
            <w:r>
              <w:rPr>
                <w:sz w:val="20"/>
              </w:rPr>
              <w:t>Juveniles supervision compact</w:t>
            </w:r>
          </w:p>
        </w:tc>
        <w:tc>
          <w:tcPr>
            <w:tcW w:w="1285" w:type="dxa"/>
          </w:tcPr>
          <w:p w14:paraId="72B5E11D" w14:textId="77777777" w:rsidR="0046798B" w:rsidRDefault="0046798B">
            <w:pPr>
              <w:pStyle w:val="TableParagraph"/>
              <w:spacing w:before="3"/>
              <w:rPr>
                <w:sz w:val="23"/>
              </w:rPr>
            </w:pPr>
          </w:p>
          <w:p w14:paraId="468A03C1" w14:textId="77777777" w:rsidR="0046798B" w:rsidRDefault="00903B5C">
            <w:pPr>
              <w:pStyle w:val="TableParagraph"/>
              <w:spacing w:before="1"/>
              <w:ind w:left="114"/>
              <w:rPr>
                <w:sz w:val="20"/>
              </w:rPr>
            </w:pPr>
            <w:r>
              <w:rPr>
                <w:sz w:val="20"/>
              </w:rPr>
              <w:t>1951–1966</w:t>
            </w:r>
          </w:p>
        </w:tc>
        <w:tc>
          <w:tcPr>
            <w:tcW w:w="3421" w:type="dxa"/>
          </w:tcPr>
          <w:p w14:paraId="37BEE472" w14:textId="77777777" w:rsidR="0046798B" w:rsidRDefault="00903B5C">
            <w:pPr>
              <w:pStyle w:val="TableParagraph"/>
              <w:spacing w:before="153"/>
              <w:ind w:left="114" w:right="321"/>
              <w:rPr>
                <w:sz w:val="20"/>
              </w:rPr>
            </w:pPr>
            <w:r>
              <w:rPr>
                <w:sz w:val="20"/>
              </w:rPr>
              <w:t>Did state adopt juveniles supervision compact? (0 = no, 1 = yes)</w:t>
            </w:r>
          </w:p>
        </w:tc>
        <w:tc>
          <w:tcPr>
            <w:tcW w:w="6482" w:type="dxa"/>
          </w:tcPr>
          <w:p w14:paraId="314EC162" w14:textId="77777777" w:rsidR="0046798B" w:rsidRDefault="00903B5C">
            <w:pPr>
              <w:pStyle w:val="TableParagraph"/>
              <w:spacing w:before="15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3C64CE0C" w14:textId="77777777">
        <w:trPr>
          <w:trHeight w:val="775"/>
        </w:trPr>
        <w:tc>
          <w:tcPr>
            <w:tcW w:w="1711" w:type="dxa"/>
          </w:tcPr>
          <w:p w14:paraId="607180A4" w14:textId="77777777" w:rsidR="0046798B" w:rsidRDefault="0046798B">
            <w:pPr>
              <w:pStyle w:val="TableParagraph"/>
              <w:spacing w:before="3"/>
              <w:rPr>
                <w:sz w:val="23"/>
              </w:rPr>
            </w:pPr>
          </w:p>
          <w:p w14:paraId="7D60FECC" w14:textId="77777777" w:rsidR="0046798B" w:rsidRDefault="00903B5C">
            <w:pPr>
              <w:pStyle w:val="TableParagraph"/>
              <w:ind w:left="115"/>
              <w:rPr>
                <w:b/>
                <w:sz w:val="20"/>
              </w:rPr>
            </w:pPr>
            <w:r>
              <w:rPr>
                <w:b/>
                <w:sz w:val="20"/>
              </w:rPr>
              <w:t>parolesup</w:t>
            </w:r>
          </w:p>
        </w:tc>
        <w:tc>
          <w:tcPr>
            <w:tcW w:w="1596" w:type="dxa"/>
          </w:tcPr>
          <w:p w14:paraId="0D1BD58B" w14:textId="77777777" w:rsidR="0046798B" w:rsidRDefault="00903B5C">
            <w:pPr>
              <w:pStyle w:val="TableParagraph"/>
              <w:spacing w:before="38"/>
              <w:ind w:left="114" w:right="152"/>
              <w:rPr>
                <w:sz w:val="20"/>
              </w:rPr>
            </w:pPr>
            <w:r>
              <w:rPr>
                <w:sz w:val="20"/>
              </w:rPr>
              <w:t>Parolees/probati oners supervision</w:t>
            </w:r>
          </w:p>
        </w:tc>
        <w:tc>
          <w:tcPr>
            <w:tcW w:w="1285" w:type="dxa"/>
          </w:tcPr>
          <w:p w14:paraId="7FDBEBAA" w14:textId="77777777" w:rsidR="0046798B" w:rsidRDefault="0046798B">
            <w:pPr>
              <w:pStyle w:val="TableParagraph"/>
              <w:spacing w:before="3"/>
              <w:rPr>
                <w:sz w:val="23"/>
              </w:rPr>
            </w:pPr>
          </w:p>
          <w:p w14:paraId="32ECE579" w14:textId="77777777" w:rsidR="0046798B" w:rsidRDefault="00903B5C">
            <w:pPr>
              <w:pStyle w:val="TableParagraph"/>
              <w:ind w:left="114"/>
              <w:rPr>
                <w:sz w:val="20"/>
              </w:rPr>
            </w:pPr>
            <w:r>
              <w:rPr>
                <w:sz w:val="20"/>
              </w:rPr>
              <w:t>1931–1985</w:t>
            </w:r>
          </w:p>
        </w:tc>
        <w:tc>
          <w:tcPr>
            <w:tcW w:w="3421" w:type="dxa"/>
          </w:tcPr>
          <w:p w14:paraId="452C3197" w14:textId="77777777" w:rsidR="0046798B" w:rsidRDefault="00903B5C">
            <w:pPr>
              <w:pStyle w:val="TableParagraph"/>
              <w:spacing w:before="153"/>
              <w:ind w:left="114" w:right="294"/>
              <w:rPr>
                <w:sz w:val="20"/>
              </w:rPr>
            </w:pPr>
            <w:r>
              <w:rPr>
                <w:sz w:val="20"/>
              </w:rPr>
              <w:t>Did state adopt parolees/probationers supervision? (0 = no, 1 = yes)</w:t>
            </w:r>
          </w:p>
        </w:tc>
        <w:tc>
          <w:tcPr>
            <w:tcW w:w="6482" w:type="dxa"/>
          </w:tcPr>
          <w:p w14:paraId="4B775781" w14:textId="77777777" w:rsidR="0046798B" w:rsidRDefault="00903B5C">
            <w:pPr>
              <w:pStyle w:val="TableParagraph"/>
              <w:spacing w:before="15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5135804A" w14:textId="77777777">
        <w:trPr>
          <w:trHeight w:val="545"/>
        </w:trPr>
        <w:tc>
          <w:tcPr>
            <w:tcW w:w="1711" w:type="dxa"/>
          </w:tcPr>
          <w:p w14:paraId="02418891" w14:textId="77777777" w:rsidR="0046798B" w:rsidRDefault="00903B5C">
            <w:pPr>
              <w:pStyle w:val="TableParagraph"/>
              <w:spacing w:before="153"/>
              <w:ind w:left="115"/>
              <w:rPr>
                <w:b/>
                <w:sz w:val="20"/>
              </w:rPr>
            </w:pPr>
            <w:r>
              <w:rPr>
                <w:b/>
                <w:sz w:val="20"/>
              </w:rPr>
              <w:t>postdna</w:t>
            </w:r>
          </w:p>
        </w:tc>
        <w:tc>
          <w:tcPr>
            <w:tcW w:w="1596" w:type="dxa"/>
          </w:tcPr>
          <w:p w14:paraId="2720CCDD" w14:textId="77777777" w:rsidR="0046798B" w:rsidRDefault="00903B5C">
            <w:pPr>
              <w:pStyle w:val="TableParagraph"/>
              <w:spacing w:before="38"/>
              <w:ind w:left="114" w:right="196"/>
              <w:rPr>
                <w:sz w:val="20"/>
              </w:rPr>
            </w:pPr>
            <w:r>
              <w:rPr>
                <w:sz w:val="20"/>
              </w:rPr>
              <w:t>Post-conviction DNA motions</w:t>
            </w:r>
          </w:p>
        </w:tc>
        <w:tc>
          <w:tcPr>
            <w:tcW w:w="1285" w:type="dxa"/>
          </w:tcPr>
          <w:p w14:paraId="305FF7E1" w14:textId="77777777" w:rsidR="0046798B" w:rsidRDefault="00903B5C">
            <w:pPr>
              <w:pStyle w:val="TableParagraph"/>
              <w:spacing w:before="153"/>
              <w:ind w:left="114"/>
              <w:rPr>
                <w:sz w:val="20"/>
              </w:rPr>
            </w:pPr>
            <w:r>
              <w:rPr>
                <w:sz w:val="20"/>
              </w:rPr>
              <w:t>1997–2005</w:t>
            </w:r>
          </w:p>
        </w:tc>
        <w:tc>
          <w:tcPr>
            <w:tcW w:w="3421" w:type="dxa"/>
          </w:tcPr>
          <w:p w14:paraId="6CB5490E" w14:textId="77777777" w:rsidR="0046798B" w:rsidRDefault="00903B5C">
            <w:pPr>
              <w:pStyle w:val="TableParagraph"/>
              <w:spacing w:before="38"/>
              <w:ind w:left="114" w:right="288"/>
              <w:rPr>
                <w:sz w:val="20"/>
              </w:rPr>
            </w:pPr>
            <w:r>
              <w:rPr>
                <w:sz w:val="20"/>
              </w:rPr>
              <w:t>Did state adopt post-conviction DNA motions? (0 = no, 1 = yes)</w:t>
            </w:r>
          </w:p>
        </w:tc>
        <w:tc>
          <w:tcPr>
            <w:tcW w:w="6482" w:type="dxa"/>
          </w:tcPr>
          <w:p w14:paraId="01C08185" w14:textId="77777777" w:rsidR="0046798B" w:rsidRDefault="00903B5C">
            <w:pPr>
              <w:pStyle w:val="TableParagraph"/>
              <w:spacing w:before="3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0CD329E7" w14:textId="77777777">
        <w:trPr>
          <w:trHeight w:val="775"/>
        </w:trPr>
        <w:tc>
          <w:tcPr>
            <w:tcW w:w="1711" w:type="dxa"/>
          </w:tcPr>
          <w:p w14:paraId="0C8780D6" w14:textId="77777777" w:rsidR="0046798B" w:rsidRDefault="0046798B">
            <w:pPr>
              <w:pStyle w:val="TableParagraph"/>
              <w:spacing w:before="8"/>
              <w:rPr>
                <w:sz w:val="23"/>
              </w:rPr>
            </w:pPr>
          </w:p>
          <w:p w14:paraId="45665614" w14:textId="77777777" w:rsidR="0046798B" w:rsidRDefault="00903B5C">
            <w:pPr>
              <w:pStyle w:val="TableParagraph"/>
              <w:spacing w:before="1"/>
              <w:ind w:left="115"/>
              <w:rPr>
                <w:b/>
                <w:sz w:val="20"/>
              </w:rPr>
            </w:pPr>
            <w:r>
              <w:rPr>
                <w:b/>
                <w:sz w:val="20"/>
              </w:rPr>
              <w:t>sexreginfo</w:t>
            </w:r>
          </w:p>
        </w:tc>
        <w:tc>
          <w:tcPr>
            <w:tcW w:w="1596" w:type="dxa"/>
          </w:tcPr>
          <w:p w14:paraId="020109EC" w14:textId="77777777" w:rsidR="0046798B" w:rsidRDefault="00903B5C">
            <w:pPr>
              <w:pStyle w:val="TableParagraph"/>
              <w:spacing w:before="43"/>
              <w:ind w:left="114" w:right="363"/>
              <w:rPr>
                <w:sz w:val="20"/>
              </w:rPr>
            </w:pPr>
            <w:r>
              <w:rPr>
                <w:sz w:val="20"/>
              </w:rPr>
              <w:t>Access to sex offender registries</w:t>
            </w:r>
          </w:p>
        </w:tc>
        <w:tc>
          <w:tcPr>
            <w:tcW w:w="1285" w:type="dxa"/>
          </w:tcPr>
          <w:p w14:paraId="7CE64F3D" w14:textId="77777777" w:rsidR="0046798B" w:rsidRDefault="0046798B">
            <w:pPr>
              <w:pStyle w:val="TableParagraph"/>
              <w:spacing w:before="8"/>
              <w:rPr>
                <w:sz w:val="23"/>
              </w:rPr>
            </w:pPr>
          </w:p>
          <w:p w14:paraId="2A7AD352" w14:textId="77777777" w:rsidR="0046798B" w:rsidRDefault="00903B5C">
            <w:pPr>
              <w:pStyle w:val="TableParagraph"/>
              <w:spacing w:before="1"/>
              <w:ind w:left="114"/>
              <w:rPr>
                <w:sz w:val="20"/>
              </w:rPr>
            </w:pPr>
            <w:r>
              <w:rPr>
                <w:sz w:val="20"/>
              </w:rPr>
              <w:t>1991–1997</w:t>
            </w:r>
          </w:p>
        </w:tc>
        <w:tc>
          <w:tcPr>
            <w:tcW w:w="3421" w:type="dxa"/>
          </w:tcPr>
          <w:p w14:paraId="4509BA72" w14:textId="77777777" w:rsidR="0046798B" w:rsidRDefault="00903B5C">
            <w:pPr>
              <w:pStyle w:val="TableParagraph"/>
              <w:spacing w:before="158"/>
              <w:ind w:left="114" w:right="255"/>
              <w:rPr>
                <w:sz w:val="20"/>
              </w:rPr>
            </w:pPr>
            <w:r>
              <w:rPr>
                <w:sz w:val="20"/>
              </w:rPr>
              <w:t>Did state adopt access to sex offender registries? (0 = no, 1 = yes)</w:t>
            </w:r>
          </w:p>
        </w:tc>
        <w:tc>
          <w:tcPr>
            <w:tcW w:w="6482" w:type="dxa"/>
          </w:tcPr>
          <w:p w14:paraId="21427019" w14:textId="77777777" w:rsidR="0046798B" w:rsidRDefault="00903B5C">
            <w:pPr>
              <w:pStyle w:val="TableParagraph"/>
              <w:spacing w:before="15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bl>
    <w:p w14:paraId="1BFB4CF3" w14:textId="77777777" w:rsidR="0046798B" w:rsidRDefault="0046798B">
      <w:pPr>
        <w:rPr>
          <w:sz w:val="20"/>
        </w:rPr>
        <w:sectPr w:rsidR="0046798B">
          <w:pgSz w:w="15840" w:h="12240" w:orient="landscape"/>
          <w:pgMar w:top="1220" w:right="300" w:bottom="980" w:left="820" w:header="730" w:footer="787" w:gutter="0"/>
          <w:cols w:space="720"/>
        </w:sectPr>
      </w:pPr>
    </w:p>
    <w:p w14:paraId="12C3CB70"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62897F5B" w14:textId="77777777">
        <w:trPr>
          <w:trHeight w:val="1465"/>
        </w:trPr>
        <w:tc>
          <w:tcPr>
            <w:tcW w:w="1711" w:type="dxa"/>
          </w:tcPr>
          <w:p w14:paraId="7C605443" w14:textId="77777777" w:rsidR="0046798B" w:rsidRDefault="0046798B">
            <w:pPr>
              <w:pStyle w:val="TableParagraph"/>
            </w:pPr>
          </w:p>
          <w:p w14:paraId="168D809C" w14:textId="77777777" w:rsidR="0046798B" w:rsidRDefault="0046798B">
            <w:pPr>
              <w:pStyle w:val="TableParagraph"/>
              <w:spacing w:before="9"/>
              <w:rPr>
                <w:sz w:val="31"/>
              </w:rPr>
            </w:pPr>
          </w:p>
          <w:p w14:paraId="4D8B944C" w14:textId="77777777" w:rsidR="0046798B" w:rsidRDefault="00903B5C">
            <w:pPr>
              <w:pStyle w:val="TableParagraph"/>
              <w:ind w:left="115"/>
              <w:rPr>
                <w:b/>
                <w:sz w:val="20"/>
              </w:rPr>
            </w:pPr>
            <w:r>
              <w:rPr>
                <w:b/>
                <w:sz w:val="20"/>
              </w:rPr>
              <w:t>shield</w:t>
            </w:r>
          </w:p>
        </w:tc>
        <w:tc>
          <w:tcPr>
            <w:tcW w:w="1596" w:type="dxa"/>
          </w:tcPr>
          <w:p w14:paraId="7EC50737" w14:textId="77777777" w:rsidR="0046798B" w:rsidRDefault="00903B5C">
            <w:pPr>
              <w:pStyle w:val="TableParagraph"/>
              <w:spacing w:before="43"/>
              <w:ind w:left="114" w:right="157"/>
              <w:rPr>
                <w:sz w:val="20"/>
              </w:rPr>
            </w:pPr>
            <w:r>
              <w:rPr>
                <w:sz w:val="20"/>
              </w:rPr>
              <w:t>Protections against compelling reporters to disclose sources in court</w:t>
            </w:r>
          </w:p>
        </w:tc>
        <w:tc>
          <w:tcPr>
            <w:tcW w:w="1285" w:type="dxa"/>
          </w:tcPr>
          <w:p w14:paraId="67B2C07D" w14:textId="77777777" w:rsidR="0046798B" w:rsidRDefault="0046798B">
            <w:pPr>
              <w:pStyle w:val="TableParagraph"/>
            </w:pPr>
          </w:p>
          <w:p w14:paraId="4F8F70D2" w14:textId="77777777" w:rsidR="0046798B" w:rsidRDefault="0046798B">
            <w:pPr>
              <w:pStyle w:val="TableParagraph"/>
              <w:spacing w:before="9"/>
              <w:rPr>
                <w:sz w:val="31"/>
              </w:rPr>
            </w:pPr>
          </w:p>
          <w:p w14:paraId="4CE81A54" w14:textId="77777777" w:rsidR="0046798B" w:rsidRDefault="00903B5C">
            <w:pPr>
              <w:pStyle w:val="TableParagraph"/>
              <w:ind w:left="114"/>
              <w:rPr>
                <w:sz w:val="20"/>
              </w:rPr>
            </w:pPr>
            <w:r>
              <w:rPr>
                <w:sz w:val="20"/>
              </w:rPr>
              <w:t>1935–2009</w:t>
            </w:r>
          </w:p>
        </w:tc>
        <w:tc>
          <w:tcPr>
            <w:tcW w:w="3421" w:type="dxa"/>
          </w:tcPr>
          <w:p w14:paraId="7F46F3E2" w14:textId="77777777" w:rsidR="0046798B" w:rsidRDefault="0046798B">
            <w:pPr>
              <w:pStyle w:val="TableParagraph"/>
            </w:pPr>
          </w:p>
          <w:p w14:paraId="60073077" w14:textId="77777777" w:rsidR="0046798B" w:rsidRDefault="00903B5C">
            <w:pPr>
              <w:pStyle w:val="TableParagraph"/>
              <w:spacing w:before="135"/>
              <w:ind w:left="114" w:right="510"/>
              <w:rPr>
                <w:sz w:val="20"/>
              </w:rPr>
            </w:pPr>
            <w:r>
              <w:rPr>
                <w:sz w:val="20"/>
              </w:rPr>
              <w:t>Did state adopt protections against compelling reporters to disclose sources in court? (0 = no, 1 = yes)</w:t>
            </w:r>
          </w:p>
        </w:tc>
        <w:tc>
          <w:tcPr>
            <w:tcW w:w="6482" w:type="dxa"/>
          </w:tcPr>
          <w:p w14:paraId="0EDB3FBE" w14:textId="77777777" w:rsidR="0046798B" w:rsidRDefault="0046798B">
            <w:pPr>
              <w:pStyle w:val="TableParagraph"/>
            </w:pPr>
          </w:p>
          <w:p w14:paraId="0C290ED4" w14:textId="77777777" w:rsidR="0046798B" w:rsidRDefault="0046798B">
            <w:pPr>
              <w:pStyle w:val="TableParagraph"/>
              <w:spacing w:before="9"/>
              <w:rPr>
                <w:sz w:val="21"/>
              </w:rPr>
            </w:pPr>
          </w:p>
          <w:p w14:paraId="1E2A9457" w14:textId="77777777" w:rsidR="0046798B" w:rsidRDefault="00903B5C">
            <w:pPr>
              <w:pStyle w:val="TableParagraph"/>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14A96F2D" w14:textId="77777777">
        <w:trPr>
          <w:trHeight w:val="775"/>
        </w:trPr>
        <w:tc>
          <w:tcPr>
            <w:tcW w:w="1711" w:type="dxa"/>
          </w:tcPr>
          <w:p w14:paraId="4FE7B746" w14:textId="77777777" w:rsidR="0046798B" w:rsidRDefault="0046798B">
            <w:pPr>
              <w:pStyle w:val="TableParagraph"/>
              <w:spacing w:before="9"/>
              <w:rPr>
                <w:sz w:val="23"/>
              </w:rPr>
            </w:pPr>
          </w:p>
          <w:p w14:paraId="076EE3E1" w14:textId="77777777" w:rsidR="0046798B" w:rsidRDefault="00903B5C">
            <w:pPr>
              <w:pStyle w:val="TableParagraph"/>
              <w:ind w:left="115"/>
              <w:rPr>
                <w:b/>
                <w:sz w:val="20"/>
              </w:rPr>
            </w:pPr>
            <w:r>
              <w:rPr>
                <w:b/>
                <w:sz w:val="20"/>
              </w:rPr>
              <w:t>stalkdef</w:t>
            </w:r>
          </w:p>
        </w:tc>
        <w:tc>
          <w:tcPr>
            <w:tcW w:w="1596" w:type="dxa"/>
          </w:tcPr>
          <w:p w14:paraId="4428F459" w14:textId="77777777" w:rsidR="0046798B" w:rsidRDefault="00903B5C">
            <w:pPr>
              <w:pStyle w:val="TableParagraph"/>
              <w:spacing w:before="44"/>
              <w:ind w:left="114" w:right="335"/>
              <w:rPr>
                <w:sz w:val="20"/>
              </w:rPr>
            </w:pPr>
            <w:r>
              <w:rPr>
                <w:sz w:val="20"/>
              </w:rPr>
              <w:t>Stalking definition and penalty</w:t>
            </w:r>
          </w:p>
        </w:tc>
        <w:tc>
          <w:tcPr>
            <w:tcW w:w="1285" w:type="dxa"/>
          </w:tcPr>
          <w:p w14:paraId="7232CA5A" w14:textId="77777777" w:rsidR="0046798B" w:rsidRDefault="0046798B">
            <w:pPr>
              <w:pStyle w:val="TableParagraph"/>
              <w:spacing w:before="9"/>
              <w:rPr>
                <w:sz w:val="23"/>
              </w:rPr>
            </w:pPr>
          </w:p>
          <w:p w14:paraId="2189DE9A" w14:textId="77777777" w:rsidR="0046798B" w:rsidRDefault="00903B5C">
            <w:pPr>
              <w:pStyle w:val="TableParagraph"/>
              <w:ind w:left="114"/>
              <w:rPr>
                <w:sz w:val="20"/>
              </w:rPr>
            </w:pPr>
            <w:r>
              <w:rPr>
                <w:sz w:val="20"/>
              </w:rPr>
              <w:t>1998–2001</w:t>
            </w:r>
          </w:p>
        </w:tc>
        <w:tc>
          <w:tcPr>
            <w:tcW w:w="3421" w:type="dxa"/>
          </w:tcPr>
          <w:p w14:paraId="412D6FD2" w14:textId="77777777" w:rsidR="0046798B" w:rsidRDefault="00903B5C">
            <w:pPr>
              <w:pStyle w:val="TableParagraph"/>
              <w:spacing w:before="159"/>
              <w:ind w:left="114" w:right="216"/>
              <w:rPr>
                <w:sz w:val="20"/>
              </w:rPr>
            </w:pPr>
            <w:r>
              <w:rPr>
                <w:sz w:val="20"/>
              </w:rPr>
              <w:t>Did state adopt stalking definition and penalty? (0 = no, 1 = yes)</w:t>
            </w:r>
          </w:p>
        </w:tc>
        <w:tc>
          <w:tcPr>
            <w:tcW w:w="6482" w:type="dxa"/>
          </w:tcPr>
          <w:p w14:paraId="072795C6" w14:textId="77777777" w:rsidR="0046798B" w:rsidRDefault="00903B5C">
            <w:pPr>
              <w:pStyle w:val="TableParagraph"/>
              <w:spacing w:before="159"/>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56EF7F11" w14:textId="77777777">
        <w:trPr>
          <w:trHeight w:val="780"/>
        </w:trPr>
        <w:tc>
          <w:tcPr>
            <w:tcW w:w="1711" w:type="dxa"/>
          </w:tcPr>
          <w:p w14:paraId="431AC533" w14:textId="77777777" w:rsidR="0046798B" w:rsidRDefault="0046798B">
            <w:pPr>
              <w:pStyle w:val="TableParagraph"/>
              <w:spacing w:before="8"/>
              <w:rPr>
                <w:sz w:val="23"/>
              </w:rPr>
            </w:pPr>
          </w:p>
          <w:p w14:paraId="750C03AD" w14:textId="77777777" w:rsidR="0046798B" w:rsidRDefault="00903B5C">
            <w:pPr>
              <w:pStyle w:val="TableParagraph"/>
              <w:spacing w:before="1"/>
              <w:ind w:left="115"/>
              <w:rPr>
                <w:b/>
                <w:sz w:val="20"/>
              </w:rPr>
            </w:pPr>
            <w:r>
              <w:rPr>
                <w:b/>
                <w:sz w:val="20"/>
              </w:rPr>
              <w:t>statrapage</w:t>
            </w:r>
          </w:p>
        </w:tc>
        <w:tc>
          <w:tcPr>
            <w:tcW w:w="1596" w:type="dxa"/>
          </w:tcPr>
          <w:p w14:paraId="68F5EEFE" w14:textId="77777777" w:rsidR="0046798B" w:rsidRDefault="00903B5C">
            <w:pPr>
              <w:pStyle w:val="TableParagraph"/>
              <w:spacing w:before="43"/>
              <w:ind w:left="114" w:right="335"/>
              <w:rPr>
                <w:sz w:val="20"/>
              </w:rPr>
            </w:pPr>
            <w:r>
              <w:rPr>
                <w:sz w:val="20"/>
              </w:rPr>
              <w:t>Age span provisions for statutory rape</w:t>
            </w:r>
          </w:p>
        </w:tc>
        <w:tc>
          <w:tcPr>
            <w:tcW w:w="1285" w:type="dxa"/>
          </w:tcPr>
          <w:p w14:paraId="3DDE7CE3" w14:textId="77777777" w:rsidR="0046798B" w:rsidRDefault="0046798B">
            <w:pPr>
              <w:pStyle w:val="TableParagraph"/>
              <w:spacing w:before="8"/>
              <w:rPr>
                <w:sz w:val="23"/>
              </w:rPr>
            </w:pPr>
          </w:p>
          <w:p w14:paraId="1B69D88C" w14:textId="77777777" w:rsidR="0046798B" w:rsidRDefault="00903B5C">
            <w:pPr>
              <w:pStyle w:val="TableParagraph"/>
              <w:spacing w:before="1"/>
              <w:ind w:left="114"/>
              <w:rPr>
                <w:sz w:val="20"/>
              </w:rPr>
            </w:pPr>
            <w:r>
              <w:rPr>
                <w:sz w:val="20"/>
              </w:rPr>
              <w:t>1950–1998</w:t>
            </w:r>
          </w:p>
        </w:tc>
        <w:tc>
          <w:tcPr>
            <w:tcW w:w="3421" w:type="dxa"/>
          </w:tcPr>
          <w:p w14:paraId="46A542A8" w14:textId="77777777" w:rsidR="0046798B" w:rsidRDefault="00903B5C">
            <w:pPr>
              <w:pStyle w:val="TableParagraph"/>
              <w:spacing w:before="158"/>
              <w:ind w:left="114" w:right="155"/>
              <w:rPr>
                <w:sz w:val="20"/>
              </w:rPr>
            </w:pPr>
            <w:r>
              <w:rPr>
                <w:sz w:val="20"/>
              </w:rPr>
              <w:t>Did state adopt age span provisions for statutory rape? (0 = no, 1 = yes)</w:t>
            </w:r>
          </w:p>
        </w:tc>
        <w:tc>
          <w:tcPr>
            <w:tcW w:w="6482" w:type="dxa"/>
          </w:tcPr>
          <w:p w14:paraId="4CFB1207" w14:textId="77777777" w:rsidR="0046798B" w:rsidRDefault="00903B5C">
            <w:pPr>
              <w:pStyle w:val="TableParagraph"/>
              <w:spacing w:before="15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01D410C2" w14:textId="77777777">
        <w:trPr>
          <w:trHeight w:val="1005"/>
        </w:trPr>
        <w:tc>
          <w:tcPr>
            <w:tcW w:w="1711" w:type="dxa"/>
          </w:tcPr>
          <w:p w14:paraId="3CEA97ED" w14:textId="77777777" w:rsidR="0046798B" w:rsidRDefault="0046798B">
            <w:pPr>
              <w:pStyle w:val="TableParagraph"/>
            </w:pPr>
          </w:p>
          <w:p w14:paraId="0ED33664" w14:textId="77777777" w:rsidR="0046798B" w:rsidRDefault="00903B5C">
            <w:pPr>
              <w:pStyle w:val="TableParagraph"/>
              <w:spacing w:before="130"/>
              <w:ind w:left="115"/>
              <w:rPr>
                <w:b/>
                <w:sz w:val="20"/>
              </w:rPr>
            </w:pPr>
            <w:r>
              <w:rPr>
                <w:b/>
                <w:sz w:val="20"/>
              </w:rPr>
              <w:t>strikes</w:t>
            </w:r>
          </w:p>
        </w:tc>
        <w:tc>
          <w:tcPr>
            <w:tcW w:w="1596" w:type="dxa"/>
          </w:tcPr>
          <w:p w14:paraId="57DA6541" w14:textId="77777777" w:rsidR="0046798B" w:rsidRDefault="00903B5C">
            <w:pPr>
              <w:pStyle w:val="TableParagraph"/>
              <w:spacing w:before="38"/>
              <w:ind w:left="114" w:right="346"/>
              <w:rPr>
                <w:sz w:val="20"/>
              </w:rPr>
            </w:pPr>
            <w:r>
              <w:rPr>
                <w:sz w:val="20"/>
              </w:rPr>
              <w:t>Felony sentencing guidelines for three strikes</w:t>
            </w:r>
          </w:p>
        </w:tc>
        <w:tc>
          <w:tcPr>
            <w:tcW w:w="1285" w:type="dxa"/>
          </w:tcPr>
          <w:p w14:paraId="706B6107" w14:textId="77777777" w:rsidR="0046798B" w:rsidRDefault="0046798B">
            <w:pPr>
              <w:pStyle w:val="TableParagraph"/>
            </w:pPr>
          </w:p>
          <w:p w14:paraId="62763164" w14:textId="77777777" w:rsidR="0046798B" w:rsidRDefault="00903B5C">
            <w:pPr>
              <w:pStyle w:val="TableParagraph"/>
              <w:spacing w:before="130"/>
              <w:ind w:left="114"/>
              <w:rPr>
                <w:sz w:val="20"/>
              </w:rPr>
            </w:pPr>
            <w:r>
              <w:rPr>
                <w:sz w:val="20"/>
              </w:rPr>
              <w:t>1993–1995</w:t>
            </w:r>
          </w:p>
        </w:tc>
        <w:tc>
          <w:tcPr>
            <w:tcW w:w="3421" w:type="dxa"/>
          </w:tcPr>
          <w:p w14:paraId="6B51C03D" w14:textId="77777777" w:rsidR="0046798B" w:rsidRDefault="00903B5C">
            <w:pPr>
              <w:pStyle w:val="TableParagraph"/>
              <w:spacing w:before="153"/>
              <w:ind w:left="114" w:right="231"/>
              <w:rPr>
                <w:sz w:val="20"/>
              </w:rPr>
            </w:pPr>
            <w:r>
              <w:rPr>
                <w:sz w:val="20"/>
              </w:rPr>
              <w:t>Did state adopt felony sentencing guidelines for three strikes? (0 = no, 1</w:t>
            </w:r>
          </w:p>
          <w:p w14:paraId="3A48C81D" w14:textId="77777777" w:rsidR="0046798B" w:rsidRDefault="00903B5C">
            <w:pPr>
              <w:pStyle w:val="TableParagraph"/>
              <w:ind w:left="114"/>
              <w:rPr>
                <w:sz w:val="20"/>
              </w:rPr>
            </w:pPr>
            <w:r>
              <w:rPr>
                <w:sz w:val="20"/>
              </w:rPr>
              <w:t>= yes)</w:t>
            </w:r>
          </w:p>
        </w:tc>
        <w:tc>
          <w:tcPr>
            <w:tcW w:w="6482" w:type="dxa"/>
          </w:tcPr>
          <w:p w14:paraId="1531E65E" w14:textId="77777777" w:rsidR="0046798B" w:rsidRDefault="0046798B">
            <w:pPr>
              <w:pStyle w:val="TableParagraph"/>
              <w:spacing w:before="3"/>
              <w:rPr>
                <w:sz w:val="23"/>
              </w:rPr>
            </w:pPr>
          </w:p>
          <w:p w14:paraId="365F51DB" w14:textId="77777777" w:rsidR="0046798B" w:rsidRDefault="00903B5C">
            <w:pPr>
              <w:pStyle w:val="TableParagraph"/>
              <w:spacing w:before="1"/>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0C99E8B4" w14:textId="77777777">
        <w:trPr>
          <w:trHeight w:val="545"/>
        </w:trPr>
        <w:tc>
          <w:tcPr>
            <w:tcW w:w="1711" w:type="dxa"/>
          </w:tcPr>
          <w:p w14:paraId="3F939FEB" w14:textId="77777777" w:rsidR="0046798B" w:rsidRDefault="00903B5C">
            <w:pPr>
              <w:pStyle w:val="TableParagraph"/>
              <w:spacing w:before="153"/>
              <w:ind w:left="115"/>
              <w:rPr>
                <w:b/>
                <w:sz w:val="20"/>
              </w:rPr>
            </w:pPr>
            <w:r>
              <w:rPr>
                <w:b/>
                <w:sz w:val="20"/>
              </w:rPr>
              <w:t>viccomp</w:t>
            </w:r>
          </w:p>
        </w:tc>
        <w:tc>
          <w:tcPr>
            <w:tcW w:w="1596" w:type="dxa"/>
          </w:tcPr>
          <w:p w14:paraId="1D6AD21E" w14:textId="77777777" w:rsidR="0046798B" w:rsidRDefault="00903B5C">
            <w:pPr>
              <w:pStyle w:val="TableParagraph"/>
              <w:spacing w:before="38"/>
              <w:ind w:left="114" w:right="341"/>
              <w:rPr>
                <w:sz w:val="20"/>
              </w:rPr>
            </w:pPr>
            <w:r>
              <w:rPr>
                <w:sz w:val="20"/>
              </w:rPr>
              <w:t>Victims’ compensation</w:t>
            </w:r>
          </w:p>
        </w:tc>
        <w:tc>
          <w:tcPr>
            <w:tcW w:w="1285" w:type="dxa"/>
          </w:tcPr>
          <w:p w14:paraId="260B87EA" w14:textId="77777777" w:rsidR="0046798B" w:rsidRDefault="00903B5C">
            <w:pPr>
              <w:pStyle w:val="TableParagraph"/>
              <w:spacing w:before="153"/>
              <w:ind w:left="114"/>
              <w:rPr>
                <w:sz w:val="20"/>
              </w:rPr>
            </w:pPr>
            <w:r>
              <w:rPr>
                <w:sz w:val="20"/>
              </w:rPr>
              <w:t>1965–1988</w:t>
            </w:r>
          </w:p>
        </w:tc>
        <w:tc>
          <w:tcPr>
            <w:tcW w:w="3421" w:type="dxa"/>
          </w:tcPr>
          <w:p w14:paraId="2369ECA2" w14:textId="77777777" w:rsidR="0046798B" w:rsidRDefault="00903B5C">
            <w:pPr>
              <w:pStyle w:val="TableParagraph"/>
              <w:spacing w:before="38"/>
              <w:ind w:left="114" w:right="111"/>
              <w:rPr>
                <w:sz w:val="20"/>
              </w:rPr>
            </w:pPr>
            <w:r>
              <w:rPr>
                <w:sz w:val="20"/>
              </w:rPr>
              <w:t>Did state adopt victims’ compensation? (0 = no, 1 = yes)</w:t>
            </w:r>
          </w:p>
        </w:tc>
        <w:tc>
          <w:tcPr>
            <w:tcW w:w="6482" w:type="dxa"/>
          </w:tcPr>
          <w:p w14:paraId="31A7C76A" w14:textId="77777777" w:rsidR="0046798B" w:rsidRDefault="00903B5C">
            <w:pPr>
              <w:pStyle w:val="TableParagraph"/>
              <w:spacing w:before="3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40432F74" w14:textId="77777777">
        <w:trPr>
          <w:trHeight w:val="775"/>
        </w:trPr>
        <w:tc>
          <w:tcPr>
            <w:tcW w:w="1711" w:type="dxa"/>
          </w:tcPr>
          <w:p w14:paraId="078107E7" w14:textId="77777777" w:rsidR="0046798B" w:rsidRDefault="0046798B">
            <w:pPr>
              <w:pStyle w:val="TableParagraph"/>
              <w:spacing w:before="8"/>
              <w:rPr>
                <w:sz w:val="23"/>
              </w:rPr>
            </w:pPr>
          </w:p>
          <w:p w14:paraId="7C18D978" w14:textId="77777777" w:rsidR="0046798B" w:rsidRDefault="00903B5C">
            <w:pPr>
              <w:pStyle w:val="TableParagraph"/>
              <w:spacing w:before="1"/>
              <w:ind w:left="115"/>
              <w:rPr>
                <w:b/>
                <w:sz w:val="20"/>
              </w:rPr>
            </w:pPr>
            <w:r>
              <w:rPr>
                <w:b/>
                <w:sz w:val="20"/>
              </w:rPr>
              <w:t>vicrtsamd</w:t>
            </w:r>
          </w:p>
        </w:tc>
        <w:tc>
          <w:tcPr>
            <w:tcW w:w="1596" w:type="dxa"/>
          </w:tcPr>
          <w:p w14:paraId="605BC568" w14:textId="77777777" w:rsidR="0046798B" w:rsidRDefault="00903B5C">
            <w:pPr>
              <w:pStyle w:val="TableParagraph"/>
              <w:spacing w:before="43"/>
              <w:ind w:left="114" w:right="246"/>
              <w:rPr>
                <w:sz w:val="20"/>
              </w:rPr>
            </w:pPr>
            <w:r>
              <w:rPr>
                <w:sz w:val="20"/>
              </w:rPr>
              <w:t>Victims’ rights constitutional amendment</w:t>
            </w:r>
          </w:p>
        </w:tc>
        <w:tc>
          <w:tcPr>
            <w:tcW w:w="1285" w:type="dxa"/>
          </w:tcPr>
          <w:p w14:paraId="3BB10784" w14:textId="77777777" w:rsidR="0046798B" w:rsidRDefault="0046798B">
            <w:pPr>
              <w:pStyle w:val="TableParagraph"/>
              <w:spacing w:before="8"/>
              <w:rPr>
                <w:sz w:val="23"/>
              </w:rPr>
            </w:pPr>
          </w:p>
          <w:p w14:paraId="117A198A" w14:textId="77777777" w:rsidR="0046798B" w:rsidRDefault="00903B5C">
            <w:pPr>
              <w:pStyle w:val="TableParagraph"/>
              <w:spacing w:before="1"/>
              <w:ind w:left="114"/>
              <w:rPr>
                <w:sz w:val="20"/>
              </w:rPr>
            </w:pPr>
            <w:r>
              <w:rPr>
                <w:sz w:val="20"/>
              </w:rPr>
              <w:t>1982–1999</w:t>
            </w:r>
          </w:p>
        </w:tc>
        <w:tc>
          <w:tcPr>
            <w:tcW w:w="3421" w:type="dxa"/>
          </w:tcPr>
          <w:p w14:paraId="14327AA8" w14:textId="77777777" w:rsidR="0046798B" w:rsidRDefault="00903B5C">
            <w:pPr>
              <w:pStyle w:val="TableParagraph"/>
              <w:spacing w:before="43"/>
              <w:ind w:left="114" w:right="124"/>
              <w:rPr>
                <w:sz w:val="20"/>
              </w:rPr>
            </w:pPr>
            <w:r>
              <w:rPr>
                <w:sz w:val="20"/>
              </w:rPr>
              <w:t>Did state adopt a victims’ rights constitutional amendment? (0 = no, 1 = yes)</w:t>
            </w:r>
          </w:p>
        </w:tc>
        <w:tc>
          <w:tcPr>
            <w:tcW w:w="6482" w:type="dxa"/>
          </w:tcPr>
          <w:p w14:paraId="6F98495C" w14:textId="77777777" w:rsidR="0046798B" w:rsidRDefault="00903B5C">
            <w:pPr>
              <w:pStyle w:val="TableParagraph"/>
              <w:spacing w:before="15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6893A159" w14:textId="77777777">
        <w:trPr>
          <w:trHeight w:val="1235"/>
        </w:trPr>
        <w:tc>
          <w:tcPr>
            <w:tcW w:w="1711" w:type="dxa"/>
          </w:tcPr>
          <w:p w14:paraId="6C8057AB" w14:textId="77777777" w:rsidR="0046798B" w:rsidRDefault="0046798B">
            <w:pPr>
              <w:pStyle w:val="TableParagraph"/>
            </w:pPr>
          </w:p>
          <w:p w14:paraId="12B035DB" w14:textId="77777777" w:rsidR="0046798B" w:rsidRDefault="0046798B">
            <w:pPr>
              <w:pStyle w:val="TableParagraph"/>
              <w:spacing w:before="8"/>
              <w:rPr>
                <w:sz w:val="21"/>
              </w:rPr>
            </w:pPr>
          </w:p>
          <w:p w14:paraId="0D0EDA6B" w14:textId="77777777" w:rsidR="0046798B" w:rsidRDefault="00903B5C">
            <w:pPr>
              <w:pStyle w:val="TableParagraph"/>
              <w:spacing w:before="1"/>
              <w:ind w:left="115"/>
              <w:rPr>
                <w:b/>
                <w:sz w:val="20"/>
              </w:rPr>
            </w:pPr>
            <w:r>
              <w:rPr>
                <w:b/>
                <w:sz w:val="20"/>
              </w:rPr>
              <w:t>death_penalty</w:t>
            </w:r>
          </w:p>
        </w:tc>
        <w:tc>
          <w:tcPr>
            <w:tcW w:w="1596" w:type="dxa"/>
          </w:tcPr>
          <w:p w14:paraId="0DDDF5C5" w14:textId="77777777" w:rsidR="0046798B" w:rsidRDefault="0046798B">
            <w:pPr>
              <w:pStyle w:val="TableParagraph"/>
            </w:pPr>
          </w:p>
          <w:p w14:paraId="172A3134" w14:textId="77777777" w:rsidR="0046798B" w:rsidRDefault="0046798B">
            <w:pPr>
              <w:pStyle w:val="TableParagraph"/>
              <w:spacing w:before="8"/>
              <w:rPr>
                <w:sz w:val="21"/>
              </w:rPr>
            </w:pPr>
          </w:p>
          <w:p w14:paraId="48AE58EE" w14:textId="77777777" w:rsidR="0046798B" w:rsidRDefault="00903B5C">
            <w:pPr>
              <w:pStyle w:val="TableParagraph"/>
              <w:spacing w:before="1"/>
              <w:ind w:left="114"/>
              <w:rPr>
                <w:sz w:val="20"/>
              </w:rPr>
            </w:pPr>
            <w:r>
              <w:rPr>
                <w:sz w:val="20"/>
              </w:rPr>
              <w:t>Death penalty</w:t>
            </w:r>
          </w:p>
        </w:tc>
        <w:tc>
          <w:tcPr>
            <w:tcW w:w="1285" w:type="dxa"/>
          </w:tcPr>
          <w:p w14:paraId="63966F69" w14:textId="77777777" w:rsidR="0046798B" w:rsidRDefault="0046798B">
            <w:pPr>
              <w:pStyle w:val="TableParagraph"/>
            </w:pPr>
          </w:p>
          <w:p w14:paraId="1D3CFDE4" w14:textId="77777777" w:rsidR="0046798B" w:rsidRDefault="0046798B">
            <w:pPr>
              <w:pStyle w:val="TableParagraph"/>
              <w:spacing w:before="8"/>
              <w:rPr>
                <w:sz w:val="21"/>
              </w:rPr>
            </w:pPr>
          </w:p>
          <w:p w14:paraId="47E4D923" w14:textId="77777777" w:rsidR="0046798B" w:rsidRDefault="00903B5C">
            <w:pPr>
              <w:pStyle w:val="TableParagraph"/>
              <w:spacing w:before="1"/>
              <w:ind w:left="114"/>
              <w:rPr>
                <w:sz w:val="20"/>
              </w:rPr>
            </w:pPr>
            <w:r>
              <w:rPr>
                <w:sz w:val="20"/>
              </w:rPr>
              <w:t>1936–2014</w:t>
            </w:r>
          </w:p>
        </w:tc>
        <w:tc>
          <w:tcPr>
            <w:tcW w:w="3421" w:type="dxa"/>
          </w:tcPr>
          <w:p w14:paraId="316AEE3B" w14:textId="77777777" w:rsidR="0046798B" w:rsidRDefault="0046798B">
            <w:pPr>
              <w:pStyle w:val="TableParagraph"/>
            </w:pPr>
          </w:p>
          <w:p w14:paraId="6E421117" w14:textId="77777777" w:rsidR="0046798B" w:rsidRDefault="00903B5C">
            <w:pPr>
              <w:pStyle w:val="TableParagraph"/>
              <w:spacing w:before="135"/>
              <w:ind w:left="114" w:right="661"/>
              <w:rPr>
                <w:sz w:val="20"/>
              </w:rPr>
            </w:pPr>
            <w:r>
              <w:rPr>
                <w:sz w:val="20"/>
              </w:rPr>
              <w:t>Has the state abolished the death penalty? (0 = no, 1 = yes)</w:t>
            </w:r>
          </w:p>
        </w:tc>
        <w:tc>
          <w:tcPr>
            <w:tcW w:w="6482" w:type="dxa"/>
          </w:tcPr>
          <w:p w14:paraId="7796A061"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78283E17" w14:textId="77777777">
        <w:trPr>
          <w:trHeight w:val="1695"/>
        </w:trPr>
        <w:tc>
          <w:tcPr>
            <w:tcW w:w="1711" w:type="dxa"/>
          </w:tcPr>
          <w:p w14:paraId="02A1B3C5" w14:textId="77777777" w:rsidR="0046798B" w:rsidRDefault="0046798B">
            <w:pPr>
              <w:pStyle w:val="TableParagraph"/>
            </w:pPr>
          </w:p>
          <w:p w14:paraId="107A3747" w14:textId="77777777" w:rsidR="0046798B" w:rsidRDefault="0046798B">
            <w:pPr>
              <w:pStyle w:val="TableParagraph"/>
              <w:spacing w:before="8"/>
              <w:rPr>
                <w:sz w:val="31"/>
              </w:rPr>
            </w:pPr>
          </w:p>
          <w:p w14:paraId="3BA766CD" w14:textId="77777777" w:rsidR="0046798B" w:rsidRDefault="00903B5C">
            <w:pPr>
              <w:pStyle w:val="TableParagraph"/>
              <w:ind w:left="115" w:right="132"/>
              <w:rPr>
                <w:b/>
                <w:sz w:val="20"/>
              </w:rPr>
            </w:pPr>
            <w:r>
              <w:rPr>
                <w:b/>
                <w:sz w:val="20"/>
              </w:rPr>
              <w:t>w_animal_cruelt y_felony</w:t>
            </w:r>
          </w:p>
        </w:tc>
        <w:tc>
          <w:tcPr>
            <w:tcW w:w="1596" w:type="dxa"/>
          </w:tcPr>
          <w:p w14:paraId="201FA64F" w14:textId="77777777" w:rsidR="0046798B" w:rsidRDefault="0046798B">
            <w:pPr>
              <w:pStyle w:val="TableParagraph"/>
            </w:pPr>
          </w:p>
          <w:p w14:paraId="793BE463" w14:textId="77777777" w:rsidR="0046798B" w:rsidRDefault="0046798B">
            <w:pPr>
              <w:pStyle w:val="TableParagraph"/>
            </w:pPr>
          </w:p>
          <w:p w14:paraId="09B592F1" w14:textId="77777777" w:rsidR="0046798B" w:rsidRDefault="0046798B">
            <w:pPr>
              <w:pStyle w:val="TableParagraph"/>
              <w:spacing w:before="8"/>
              <w:rPr>
                <w:sz w:val="19"/>
              </w:rPr>
            </w:pPr>
          </w:p>
          <w:p w14:paraId="15D2ED76" w14:textId="77777777" w:rsidR="0046798B" w:rsidRDefault="00903B5C">
            <w:pPr>
              <w:pStyle w:val="TableParagraph"/>
              <w:ind w:left="114"/>
              <w:rPr>
                <w:sz w:val="20"/>
              </w:rPr>
            </w:pPr>
            <w:r>
              <w:rPr>
                <w:sz w:val="20"/>
              </w:rPr>
              <w:t>Animal cruelty</w:t>
            </w:r>
          </w:p>
        </w:tc>
        <w:tc>
          <w:tcPr>
            <w:tcW w:w="1285" w:type="dxa"/>
          </w:tcPr>
          <w:p w14:paraId="57EC8D66" w14:textId="77777777" w:rsidR="0046798B" w:rsidRDefault="0046798B">
            <w:pPr>
              <w:pStyle w:val="TableParagraph"/>
            </w:pPr>
          </w:p>
          <w:p w14:paraId="28F9717A" w14:textId="77777777" w:rsidR="0046798B" w:rsidRDefault="0046798B">
            <w:pPr>
              <w:pStyle w:val="TableParagraph"/>
            </w:pPr>
          </w:p>
          <w:p w14:paraId="04830C9F" w14:textId="77777777" w:rsidR="0046798B" w:rsidRDefault="0046798B">
            <w:pPr>
              <w:pStyle w:val="TableParagraph"/>
              <w:spacing w:before="8"/>
              <w:rPr>
                <w:sz w:val="19"/>
              </w:rPr>
            </w:pPr>
          </w:p>
          <w:p w14:paraId="3287E530" w14:textId="77777777" w:rsidR="0046798B" w:rsidRDefault="00903B5C">
            <w:pPr>
              <w:pStyle w:val="TableParagraph"/>
              <w:ind w:left="114"/>
              <w:rPr>
                <w:sz w:val="20"/>
              </w:rPr>
            </w:pPr>
            <w:r>
              <w:rPr>
                <w:sz w:val="20"/>
              </w:rPr>
              <w:t>1936–2014</w:t>
            </w:r>
          </w:p>
        </w:tc>
        <w:tc>
          <w:tcPr>
            <w:tcW w:w="3421" w:type="dxa"/>
          </w:tcPr>
          <w:p w14:paraId="22702979" w14:textId="77777777" w:rsidR="0046798B" w:rsidRDefault="00903B5C">
            <w:pPr>
              <w:pStyle w:val="TableParagraph"/>
              <w:spacing w:before="43"/>
              <w:ind w:left="114" w:right="250"/>
              <w:rPr>
                <w:sz w:val="20"/>
              </w:rPr>
            </w:pPr>
            <w:r>
              <w:rPr>
                <w:sz w:val="20"/>
              </w:rPr>
              <w:t>Has the state made aggravated animal cruelty a first- or second-offense felony? (0 = no; 1 = there is a felony charge after repeated incidents; 2 = there is a felony charge on the first incident of animal abuse/cruelty/torture)</w:t>
            </w:r>
          </w:p>
        </w:tc>
        <w:tc>
          <w:tcPr>
            <w:tcW w:w="6482" w:type="dxa"/>
          </w:tcPr>
          <w:p w14:paraId="43F3C1ED" w14:textId="77777777" w:rsidR="0046798B" w:rsidRDefault="0046798B">
            <w:pPr>
              <w:pStyle w:val="TableParagraph"/>
              <w:spacing w:before="8"/>
              <w:rPr>
                <w:sz w:val="23"/>
              </w:rPr>
            </w:pPr>
          </w:p>
          <w:p w14:paraId="7963790F" w14:textId="77777777" w:rsidR="0046798B" w:rsidRDefault="00903B5C">
            <w:pPr>
              <w:pStyle w:val="TableParagraph"/>
              <w:spacing w:before="1"/>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36B030ED" w14:textId="77777777">
        <w:trPr>
          <w:trHeight w:val="780"/>
        </w:trPr>
        <w:tc>
          <w:tcPr>
            <w:tcW w:w="1711" w:type="dxa"/>
          </w:tcPr>
          <w:p w14:paraId="3AE2EC1F" w14:textId="77777777" w:rsidR="0046798B" w:rsidRDefault="00903B5C">
            <w:pPr>
              <w:pStyle w:val="TableParagraph"/>
              <w:spacing w:before="158"/>
              <w:ind w:left="115"/>
              <w:rPr>
                <w:b/>
                <w:sz w:val="20"/>
              </w:rPr>
            </w:pPr>
            <w:r>
              <w:rPr>
                <w:b/>
                <w:sz w:val="20"/>
              </w:rPr>
              <w:t>regulation_hate_ crimes</w:t>
            </w:r>
          </w:p>
        </w:tc>
        <w:tc>
          <w:tcPr>
            <w:tcW w:w="1596" w:type="dxa"/>
          </w:tcPr>
          <w:p w14:paraId="2E892D2A" w14:textId="77777777" w:rsidR="0046798B" w:rsidRDefault="0046798B">
            <w:pPr>
              <w:pStyle w:val="TableParagraph"/>
              <w:spacing w:before="8"/>
              <w:rPr>
                <w:sz w:val="23"/>
              </w:rPr>
            </w:pPr>
          </w:p>
          <w:p w14:paraId="5F967E2C" w14:textId="77777777" w:rsidR="0046798B" w:rsidRDefault="00903B5C">
            <w:pPr>
              <w:pStyle w:val="TableParagraph"/>
              <w:spacing w:before="1"/>
              <w:ind w:left="114"/>
              <w:rPr>
                <w:sz w:val="20"/>
              </w:rPr>
            </w:pPr>
            <w:r>
              <w:rPr>
                <w:sz w:val="20"/>
              </w:rPr>
              <w:t>Hate crimes ban</w:t>
            </w:r>
          </w:p>
        </w:tc>
        <w:tc>
          <w:tcPr>
            <w:tcW w:w="1285" w:type="dxa"/>
          </w:tcPr>
          <w:p w14:paraId="2B7336A0" w14:textId="77777777" w:rsidR="0046798B" w:rsidRDefault="0046798B">
            <w:pPr>
              <w:pStyle w:val="TableParagraph"/>
              <w:spacing w:before="8"/>
              <w:rPr>
                <w:sz w:val="23"/>
              </w:rPr>
            </w:pPr>
          </w:p>
          <w:p w14:paraId="7E036D64" w14:textId="77777777" w:rsidR="0046798B" w:rsidRDefault="00903B5C">
            <w:pPr>
              <w:pStyle w:val="TableParagraph"/>
              <w:spacing w:before="1"/>
              <w:ind w:left="114"/>
              <w:rPr>
                <w:sz w:val="20"/>
              </w:rPr>
            </w:pPr>
            <w:r>
              <w:rPr>
                <w:sz w:val="20"/>
              </w:rPr>
              <w:t>1981–2014</w:t>
            </w:r>
          </w:p>
        </w:tc>
        <w:tc>
          <w:tcPr>
            <w:tcW w:w="3421" w:type="dxa"/>
          </w:tcPr>
          <w:p w14:paraId="64888A4A" w14:textId="77777777" w:rsidR="0046798B" w:rsidRDefault="00903B5C">
            <w:pPr>
              <w:pStyle w:val="TableParagraph"/>
              <w:spacing w:before="158"/>
              <w:ind w:left="114" w:right="155"/>
              <w:rPr>
                <w:sz w:val="20"/>
              </w:rPr>
            </w:pPr>
            <w:r>
              <w:rPr>
                <w:sz w:val="20"/>
              </w:rPr>
              <w:t>Are hate crimes explicitly illegal in the state? (0 = no, 1 = yes)</w:t>
            </w:r>
          </w:p>
        </w:tc>
        <w:tc>
          <w:tcPr>
            <w:tcW w:w="6482" w:type="dxa"/>
          </w:tcPr>
          <w:p w14:paraId="652E278D" w14:textId="77777777" w:rsidR="0046798B" w:rsidRDefault="00903B5C">
            <w:pPr>
              <w:pStyle w:val="TableParagraph"/>
              <w:spacing w:before="43"/>
              <w:ind w:left="114" w:right="322"/>
              <w:rPr>
                <w:sz w:val="20"/>
              </w:rPr>
            </w:pPr>
            <w:r>
              <w:rPr>
                <w:sz w:val="20"/>
              </w:rPr>
              <w:t xml:space="preserve">Caughey, Devin, and Christopher Warshaw. 2015. “The Dynamics of State Policy Liberalism, 1936–2014.” </w:t>
            </w:r>
            <w:r>
              <w:rPr>
                <w:i/>
                <w:sz w:val="20"/>
              </w:rPr>
              <w:t>American Journal of Political Science</w:t>
            </w:r>
            <w:r>
              <w:rPr>
                <w:sz w:val="20"/>
              </w:rPr>
              <w:t>, September. doi: 10.1111/ajps.12219.</w:t>
            </w:r>
          </w:p>
        </w:tc>
      </w:tr>
    </w:tbl>
    <w:p w14:paraId="2051D2BC" w14:textId="77777777" w:rsidR="0046798B" w:rsidRDefault="0046798B">
      <w:pPr>
        <w:rPr>
          <w:sz w:val="20"/>
        </w:rPr>
        <w:sectPr w:rsidR="0046798B">
          <w:pgSz w:w="15840" w:h="12240" w:orient="landscape"/>
          <w:pgMar w:top="1220" w:right="300" w:bottom="980" w:left="820" w:header="730" w:footer="787" w:gutter="0"/>
          <w:cols w:space="720"/>
        </w:sectPr>
      </w:pPr>
    </w:p>
    <w:p w14:paraId="7E0E3994"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303030FA" w14:textId="77777777">
        <w:trPr>
          <w:trHeight w:val="542"/>
        </w:trPr>
        <w:tc>
          <w:tcPr>
            <w:tcW w:w="1711" w:type="dxa"/>
            <w:tcBorders>
              <w:bottom w:val="dotted" w:sz="6" w:space="0" w:color="BEBEBE"/>
            </w:tcBorders>
          </w:tcPr>
          <w:p w14:paraId="02C3E751" w14:textId="77777777" w:rsidR="0046798B" w:rsidRDefault="0046798B">
            <w:pPr>
              <w:pStyle w:val="TableParagraph"/>
              <w:rPr>
                <w:sz w:val="20"/>
              </w:rPr>
            </w:pPr>
          </w:p>
        </w:tc>
        <w:tc>
          <w:tcPr>
            <w:tcW w:w="1596" w:type="dxa"/>
            <w:tcBorders>
              <w:bottom w:val="dotted" w:sz="6" w:space="0" w:color="BEBEBE"/>
            </w:tcBorders>
          </w:tcPr>
          <w:p w14:paraId="308DCE57" w14:textId="77777777" w:rsidR="0046798B" w:rsidRDefault="0046798B">
            <w:pPr>
              <w:pStyle w:val="TableParagraph"/>
              <w:rPr>
                <w:sz w:val="20"/>
              </w:rPr>
            </w:pPr>
          </w:p>
        </w:tc>
        <w:tc>
          <w:tcPr>
            <w:tcW w:w="1285" w:type="dxa"/>
            <w:tcBorders>
              <w:bottom w:val="dotted" w:sz="6" w:space="0" w:color="BEBEBE"/>
            </w:tcBorders>
          </w:tcPr>
          <w:p w14:paraId="4B31B720" w14:textId="77777777" w:rsidR="0046798B" w:rsidRDefault="0046798B">
            <w:pPr>
              <w:pStyle w:val="TableParagraph"/>
              <w:rPr>
                <w:sz w:val="20"/>
              </w:rPr>
            </w:pPr>
          </w:p>
        </w:tc>
        <w:tc>
          <w:tcPr>
            <w:tcW w:w="3421" w:type="dxa"/>
            <w:tcBorders>
              <w:bottom w:val="dotted" w:sz="6" w:space="0" w:color="BEBEBE"/>
            </w:tcBorders>
          </w:tcPr>
          <w:p w14:paraId="4D4B1719" w14:textId="77777777" w:rsidR="0046798B" w:rsidRDefault="0046798B">
            <w:pPr>
              <w:pStyle w:val="TableParagraph"/>
              <w:rPr>
                <w:sz w:val="20"/>
              </w:rPr>
            </w:pPr>
          </w:p>
        </w:tc>
        <w:tc>
          <w:tcPr>
            <w:tcW w:w="6482" w:type="dxa"/>
            <w:tcBorders>
              <w:bottom w:val="dotted" w:sz="6" w:space="0" w:color="BEBEBE"/>
            </w:tcBorders>
          </w:tcPr>
          <w:p w14:paraId="54C1F711" w14:textId="77777777" w:rsidR="0046798B" w:rsidRDefault="00903B5C">
            <w:pPr>
              <w:pStyle w:val="TableParagraph"/>
              <w:spacing w:before="43"/>
              <w:ind w:left="114" w:right="137"/>
              <w:rPr>
                <w:sz w:val="20"/>
              </w:rPr>
            </w:pP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63D0AFC9" w14:textId="77777777">
        <w:trPr>
          <w:trHeight w:val="1233"/>
        </w:trPr>
        <w:tc>
          <w:tcPr>
            <w:tcW w:w="1711" w:type="dxa"/>
            <w:tcBorders>
              <w:top w:val="dotted" w:sz="6" w:space="0" w:color="BEBEBE"/>
            </w:tcBorders>
          </w:tcPr>
          <w:p w14:paraId="43D3AC94" w14:textId="77777777" w:rsidR="0046798B" w:rsidRDefault="0046798B">
            <w:pPr>
              <w:pStyle w:val="TableParagraph"/>
            </w:pPr>
          </w:p>
          <w:p w14:paraId="2A9087BA" w14:textId="77777777" w:rsidR="0046798B" w:rsidRDefault="00903B5C">
            <w:pPr>
              <w:pStyle w:val="TableParagraph"/>
              <w:spacing w:before="133"/>
              <w:ind w:left="115"/>
              <w:rPr>
                <w:b/>
                <w:sz w:val="20"/>
              </w:rPr>
            </w:pPr>
            <w:r>
              <w:rPr>
                <w:b/>
                <w:sz w:val="20"/>
              </w:rPr>
              <w:t>regulation_boeh mke_shield</w:t>
            </w:r>
          </w:p>
        </w:tc>
        <w:tc>
          <w:tcPr>
            <w:tcW w:w="1596" w:type="dxa"/>
            <w:tcBorders>
              <w:top w:val="dotted" w:sz="6" w:space="0" w:color="BEBEBE"/>
            </w:tcBorders>
          </w:tcPr>
          <w:p w14:paraId="05B3BBDF" w14:textId="77777777" w:rsidR="0046798B" w:rsidRDefault="00903B5C">
            <w:pPr>
              <w:pStyle w:val="TableParagraph"/>
              <w:spacing w:before="40"/>
              <w:ind w:left="114" w:right="157"/>
              <w:rPr>
                <w:sz w:val="20"/>
              </w:rPr>
            </w:pPr>
            <w:r>
              <w:rPr>
                <w:sz w:val="20"/>
              </w:rPr>
              <w:t>Protections against compelling reporters to disclose sources</w:t>
            </w:r>
          </w:p>
        </w:tc>
        <w:tc>
          <w:tcPr>
            <w:tcW w:w="1285" w:type="dxa"/>
            <w:tcBorders>
              <w:top w:val="dotted" w:sz="6" w:space="0" w:color="BEBEBE"/>
            </w:tcBorders>
          </w:tcPr>
          <w:p w14:paraId="5B3B108F" w14:textId="77777777" w:rsidR="0046798B" w:rsidRDefault="0046798B">
            <w:pPr>
              <w:pStyle w:val="TableParagraph"/>
            </w:pPr>
          </w:p>
          <w:p w14:paraId="03F720C9" w14:textId="77777777" w:rsidR="0046798B" w:rsidRDefault="0046798B">
            <w:pPr>
              <w:pStyle w:val="TableParagraph"/>
              <w:spacing w:before="6"/>
              <w:rPr>
                <w:sz w:val="21"/>
              </w:rPr>
            </w:pPr>
          </w:p>
          <w:p w14:paraId="3AB16289" w14:textId="77777777" w:rsidR="0046798B" w:rsidRDefault="00903B5C">
            <w:pPr>
              <w:pStyle w:val="TableParagraph"/>
              <w:ind w:left="114"/>
              <w:rPr>
                <w:sz w:val="20"/>
              </w:rPr>
            </w:pPr>
            <w:r>
              <w:rPr>
                <w:sz w:val="20"/>
              </w:rPr>
              <w:t>1936–2013</w:t>
            </w:r>
          </w:p>
        </w:tc>
        <w:tc>
          <w:tcPr>
            <w:tcW w:w="3421" w:type="dxa"/>
            <w:tcBorders>
              <w:top w:val="dotted" w:sz="6" w:space="0" w:color="BEBEBE"/>
            </w:tcBorders>
          </w:tcPr>
          <w:p w14:paraId="421DFF5B" w14:textId="77777777" w:rsidR="0046798B" w:rsidRDefault="0046798B">
            <w:pPr>
              <w:pStyle w:val="TableParagraph"/>
              <w:spacing w:before="6"/>
              <w:rPr>
                <w:sz w:val="23"/>
              </w:rPr>
            </w:pPr>
          </w:p>
          <w:p w14:paraId="13DA1AE1" w14:textId="77777777" w:rsidR="0046798B" w:rsidRDefault="00903B5C">
            <w:pPr>
              <w:pStyle w:val="TableParagraph"/>
              <w:ind w:left="114" w:right="205"/>
              <w:rPr>
                <w:sz w:val="20"/>
              </w:rPr>
            </w:pPr>
            <w:r>
              <w:rPr>
                <w:sz w:val="20"/>
              </w:rPr>
              <w:t>Does the state have a Shield Law protecting reporters from revealing their sources? (0 = no, 1 = yes)</w:t>
            </w:r>
          </w:p>
        </w:tc>
        <w:tc>
          <w:tcPr>
            <w:tcW w:w="6482" w:type="dxa"/>
            <w:tcBorders>
              <w:top w:val="dotted" w:sz="6" w:space="0" w:color="BEBEBE"/>
            </w:tcBorders>
          </w:tcPr>
          <w:p w14:paraId="3145F4E5" w14:textId="77777777" w:rsidR="0046798B" w:rsidRDefault="00903B5C">
            <w:pPr>
              <w:pStyle w:val="TableParagraph"/>
              <w:spacing w:before="40"/>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0E7C7899" w14:textId="77777777">
        <w:trPr>
          <w:trHeight w:val="1240"/>
        </w:trPr>
        <w:tc>
          <w:tcPr>
            <w:tcW w:w="1711" w:type="dxa"/>
          </w:tcPr>
          <w:p w14:paraId="57F48D81" w14:textId="77777777" w:rsidR="0046798B" w:rsidRDefault="0046798B">
            <w:pPr>
              <w:pStyle w:val="TableParagraph"/>
            </w:pPr>
          </w:p>
          <w:p w14:paraId="5BE585BF" w14:textId="77777777" w:rsidR="0046798B" w:rsidRDefault="00903B5C">
            <w:pPr>
              <w:pStyle w:val="TableParagraph"/>
              <w:spacing w:before="135"/>
              <w:ind w:left="115"/>
              <w:rPr>
                <w:b/>
                <w:sz w:val="20"/>
              </w:rPr>
            </w:pPr>
            <w:r>
              <w:rPr>
                <w:b/>
                <w:sz w:val="20"/>
              </w:rPr>
              <w:t>regulation_pain_ suffering_limits</w:t>
            </w:r>
          </w:p>
        </w:tc>
        <w:tc>
          <w:tcPr>
            <w:tcW w:w="1596" w:type="dxa"/>
          </w:tcPr>
          <w:p w14:paraId="0F48E235" w14:textId="77777777" w:rsidR="0046798B" w:rsidRDefault="0046798B">
            <w:pPr>
              <w:pStyle w:val="TableParagraph"/>
              <w:spacing w:before="8"/>
              <w:rPr>
                <w:sz w:val="23"/>
              </w:rPr>
            </w:pPr>
          </w:p>
          <w:p w14:paraId="7A1ABB5B" w14:textId="77777777" w:rsidR="0046798B" w:rsidRDefault="00903B5C">
            <w:pPr>
              <w:pStyle w:val="TableParagraph"/>
              <w:spacing w:before="1"/>
              <w:ind w:left="114" w:right="135"/>
              <w:rPr>
                <w:sz w:val="20"/>
              </w:rPr>
            </w:pPr>
            <w:r>
              <w:rPr>
                <w:sz w:val="20"/>
              </w:rPr>
              <w:t>Pain and suffering limits in lawsuits</w:t>
            </w:r>
          </w:p>
        </w:tc>
        <w:tc>
          <w:tcPr>
            <w:tcW w:w="1285" w:type="dxa"/>
          </w:tcPr>
          <w:p w14:paraId="6E92836C" w14:textId="77777777" w:rsidR="0046798B" w:rsidRDefault="0046798B">
            <w:pPr>
              <w:pStyle w:val="TableParagraph"/>
            </w:pPr>
          </w:p>
          <w:p w14:paraId="05C8BFB2" w14:textId="77777777" w:rsidR="0046798B" w:rsidRDefault="0046798B">
            <w:pPr>
              <w:pStyle w:val="TableParagraph"/>
              <w:spacing w:before="8"/>
              <w:rPr>
                <w:sz w:val="21"/>
              </w:rPr>
            </w:pPr>
          </w:p>
          <w:p w14:paraId="016ED414" w14:textId="77777777" w:rsidR="0046798B" w:rsidRDefault="00903B5C">
            <w:pPr>
              <w:pStyle w:val="TableParagraph"/>
              <w:spacing w:before="1"/>
              <w:ind w:left="114"/>
              <w:rPr>
                <w:sz w:val="20"/>
              </w:rPr>
            </w:pPr>
            <w:r>
              <w:rPr>
                <w:sz w:val="20"/>
              </w:rPr>
              <w:t>1975–2012</w:t>
            </w:r>
          </w:p>
        </w:tc>
        <w:tc>
          <w:tcPr>
            <w:tcW w:w="3421" w:type="dxa"/>
          </w:tcPr>
          <w:p w14:paraId="13CAB086" w14:textId="77777777" w:rsidR="0046798B" w:rsidRDefault="0046798B">
            <w:pPr>
              <w:pStyle w:val="TableParagraph"/>
              <w:spacing w:before="8"/>
              <w:rPr>
                <w:sz w:val="23"/>
              </w:rPr>
            </w:pPr>
          </w:p>
          <w:p w14:paraId="61E2D36E" w14:textId="77777777" w:rsidR="0046798B" w:rsidRDefault="00903B5C">
            <w:pPr>
              <w:pStyle w:val="TableParagraph"/>
              <w:spacing w:before="1"/>
              <w:ind w:left="114" w:right="224"/>
              <w:rPr>
                <w:sz w:val="20"/>
              </w:rPr>
            </w:pPr>
            <w:r>
              <w:rPr>
                <w:sz w:val="20"/>
              </w:rPr>
              <w:t>Are there limits on damages for pain and suffering in lawsuits? (0 = no, 1 = yes)</w:t>
            </w:r>
          </w:p>
        </w:tc>
        <w:tc>
          <w:tcPr>
            <w:tcW w:w="6482" w:type="dxa"/>
          </w:tcPr>
          <w:p w14:paraId="55D604A1"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6DBC85F4" w14:textId="77777777">
        <w:trPr>
          <w:trHeight w:val="1235"/>
        </w:trPr>
        <w:tc>
          <w:tcPr>
            <w:tcW w:w="1711" w:type="dxa"/>
          </w:tcPr>
          <w:p w14:paraId="582B2C78" w14:textId="77777777" w:rsidR="0046798B" w:rsidRDefault="0046798B">
            <w:pPr>
              <w:pStyle w:val="TableParagraph"/>
            </w:pPr>
          </w:p>
          <w:p w14:paraId="0B55DBDA" w14:textId="77777777" w:rsidR="0046798B" w:rsidRDefault="00903B5C">
            <w:pPr>
              <w:pStyle w:val="TableParagraph"/>
              <w:spacing w:before="130"/>
              <w:ind w:left="115"/>
              <w:rPr>
                <w:b/>
                <w:sz w:val="20"/>
              </w:rPr>
            </w:pPr>
            <w:r>
              <w:rPr>
                <w:b/>
                <w:sz w:val="20"/>
              </w:rPr>
              <w:t>guncontrol_stan d_your_ground</w:t>
            </w:r>
          </w:p>
        </w:tc>
        <w:tc>
          <w:tcPr>
            <w:tcW w:w="1596" w:type="dxa"/>
          </w:tcPr>
          <w:p w14:paraId="77DFEF04" w14:textId="77777777" w:rsidR="0046798B" w:rsidRDefault="0046798B">
            <w:pPr>
              <w:pStyle w:val="TableParagraph"/>
            </w:pPr>
          </w:p>
          <w:p w14:paraId="64E16ED4" w14:textId="77777777" w:rsidR="0046798B" w:rsidRDefault="00903B5C">
            <w:pPr>
              <w:pStyle w:val="TableParagraph"/>
              <w:spacing w:before="130"/>
              <w:ind w:left="114" w:right="546"/>
              <w:rPr>
                <w:sz w:val="20"/>
              </w:rPr>
            </w:pPr>
            <w:r>
              <w:rPr>
                <w:sz w:val="20"/>
              </w:rPr>
              <w:t>Stand your ground law</w:t>
            </w:r>
          </w:p>
        </w:tc>
        <w:tc>
          <w:tcPr>
            <w:tcW w:w="1285" w:type="dxa"/>
          </w:tcPr>
          <w:p w14:paraId="376596F4" w14:textId="77777777" w:rsidR="0046798B" w:rsidRDefault="0046798B">
            <w:pPr>
              <w:pStyle w:val="TableParagraph"/>
            </w:pPr>
          </w:p>
          <w:p w14:paraId="4F5CE39C" w14:textId="77777777" w:rsidR="0046798B" w:rsidRDefault="0046798B">
            <w:pPr>
              <w:pStyle w:val="TableParagraph"/>
              <w:spacing w:before="3"/>
              <w:rPr>
                <w:sz w:val="21"/>
              </w:rPr>
            </w:pPr>
          </w:p>
          <w:p w14:paraId="3994B0C3" w14:textId="77777777" w:rsidR="0046798B" w:rsidRDefault="00903B5C">
            <w:pPr>
              <w:pStyle w:val="TableParagraph"/>
              <w:spacing w:before="1"/>
              <w:ind w:left="114"/>
              <w:rPr>
                <w:sz w:val="20"/>
              </w:rPr>
            </w:pPr>
            <w:r>
              <w:rPr>
                <w:sz w:val="20"/>
              </w:rPr>
              <w:t>1993–2014</w:t>
            </w:r>
          </w:p>
        </w:tc>
        <w:tc>
          <w:tcPr>
            <w:tcW w:w="3421" w:type="dxa"/>
          </w:tcPr>
          <w:p w14:paraId="184E018F" w14:textId="77777777" w:rsidR="0046798B" w:rsidRDefault="0046798B">
            <w:pPr>
              <w:pStyle w:val="TableParagraph"/>
            </w:pPr>
          </w:p>
          <w:p w14:paraId="039E80D4" w14:textId="77777777" w:rsidR="0046798B" w:rsidRDefault="00903B5C">
            <w:pPr>
              <w:pStyle w:val="TableParagraph"/>
              <w:spacing w:before="130"/>
              <w:ind w:left="114" w:right="611"/>
              <w:rPr>
                <w:sz w:val="20"/>
              </w:rPr>
            </w:pPr>
            <w:r>
              <w:rPr>
                <w:sz w:val="20"/>
              </w:rPr>
              <w:t>Does the state have a “stand your ground” law? (0 = no, 1 = yes)</w:t>
            </w:r>
          </w:p>
        </w:tc>
        <w:tc>
          <w:tcPr>
            <w:tcW w:w="6482" w:type="dxa"/>
          </w:tcPr>
          <w:p w14:paraId="72C0E921"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sz w:val="20"/>
                <w:u w:val="single" w:color="0462C1"/>
              </w:rPr>
              <w:t>https://dataverse.harvard.edu/dataset.xhtml?persistentId=doi:10.7910/DVN/Z</w:t>
            </w:r>
            <w:r>
              <w:rPr>
                <w:sz w:val="20"/>
              </w:rPr>
              <w:t xml:space="preserve"> </w:t>
            </w:r>
            <w:r>
              <w:rPr>
                <w:sz w:val="20"/>
                <w:u w:val="single" w:color="0462C1"/>
              </w:rPr>
              <w:t>XZMJB</w:t>
            </w:r>
          </w:p>
        </w:tc>
      </w:tr>
      <w:tr w:rsidR="0046798B" w14:paraId="64854038" w14:textId="77777777">
        <w:trPr>
          <w:trHeight w:val="1925"/>
        </w:trPr>
        <w:tc>
          <w:tcPr>
            <w:tcW w:w="1711" w:type="dxa"/>
          </w:tcPr>
          <w:p w14:paraId="746BE24A" w14:textId="77777777" w:rsidR="0046798B" w:rsidRDefault="0046798B">
            <w:pPr>
              <w:pStyle w:val="TableParagraph"/>
            </w:pPr>
          </w:p>
          <w:p w14:paraId="69D52C70" w14:textId="77777777" w:rsidR="0046798B" w:rsidRDefault="0046798B">
            <w:pPr>
              <w:pStyle w:val="TableParagraph"/>
            </w:pPr>
          </w:p>
          <w:p w14:paraId="3216B2C2" w14:textId="77777777" w:rsidR="0046798B" w:rsidRDefault="0046798B">
            <w:pPr>
              <w:pStyle w:val="TableParagraph"/>
              <w:spacing w:before="4"/>
              <w:rPr>
                <w:sz w:val="29"/>
              </w:rPr>
            </w:pPr>
          </w:p>
          <w:p w14:paraId="2BD48FCC" w14:textId="77777777" w:rsidR="0046798B" w:rsidRDefault="00903B5C">
            <w:pPr>
              <w:pStyle w:val="TableParagraph"/>
              <w:ind w:left="115"/>
              <w:rPr>
                <w:b/>
                <w:sz w:val="20"/>
              </w:rPr>
            </w:pPr>
            <w:r>
              <w:rPr>
                <w:b/>
                <w:sz w:val="20"/>
              </w:rPr>
              <w:t>antibully</w:t>
            </w:r>
          </w:p>
        </w:tc>
        <w:tc>
          <w:tcPr>
            <w:tcW w:w="1596" w:type="dxa"/>
          </w:tcPr>
          <w:p w14:paraId="149D5E5A" w14:textId="77777777" w:rsidR="0046798B" w:rsidRDefault="0046798B">
            <w:pPr>
              <w:pStyle w:val="TableParagraph"/>
            </w:pPr>
          </w:p>
          <w:p w14:paraId="743962FB" w14:textId="77777777" w:rsidR="0046798B" w:rsidRDefault="0046798B">
            <w:pPr>
              <w:pStyle w:val="TableParagraph"/>
            </w:pPr>
          </w:p>
          <w:p w14:paraId="5897318A" w14:textId="77777777" w:rsidR="0046798B" w:rsidRDefault="0046798B">
            <w:pPr>
              <w:pStyle w:val="TableParagraph"/>
              <w:spacing w:before="3"/>
              <w:rPr>
                <w:sz w:val="19"/>
              </w:rPr>
            </w:pPr>
          </w:p>
          <w:p w14:paraId="3B546CCD" w14:textId="77777777" w:rsidR="0046798B" w:rsidRDefault="00903B5C">
            <w:pPr>
              <w:pStyle w:val="TableParagraph"/>
              <w:spacing w:before="1"/>
              <w:ind w:left="114" w:right="229"/>
              <w:rPr>
                <w:sz w:val="20"/>
              </w:rPr>
            </w:pPr>
            <w:r>
              <w:rPr>
                <w:sz w:val="20"/>
              </w:rPr>
              <w:t>Anti-bullying program</w:t>
            </w:r>
          </w:p>
        </w:tc>
        <w:tc>
          <w:tcPr>
            <w:tcW w:w="1285" w:type="dxa"/>
          </w:tcPr>
          <w:p w14:paraId="30DEBD01" w14:textId="77777777" w:rsidR="0046798B" w:rsidRDefault="0046798B">
            <w:pPr>
              <w:pStyle w:val="TableParagraph"/>
            </w:pPr>
          </w:p>
          <w:p w14:paraId="6C05A29B" w14:textId="77777777" w:rsidR="0046798B" w:rsidRDefault="0046798B">
            <w:pPr>
              <w:pStyle w:val="TableParagraph"/>
            </w:pPr>
          </w:p>
          <w:p w14:paraId="2F3C0CF2" w14:textId="77777777" w:rsidR="0046798B" w:rsidRDefault="0046798B">
            <w:pPr>
              <w:pStyle w:val="TableParagraph"/>
              <w:spacing w:before="4"/>
              <w:rPr>
                <w:sz w:val="29"/>
              </w:rPr>
            </w:pPr>
          </w:p>
          <w:p w14:paraId="2DC9647A" w14:textId="77777777" w:rsidR="0046798B" w:rsidRDefault="00903B5C">
            <w:pPr>
              <w:pStyle w:val="TableParagraph"/>
              <w:ind w:left="114"/>
              <w:rPr>
                <w:sz w:val="20"/>
              </w:rPr>
            </w:pPr>
            <w:r>
              <w:rPr>
                <w:sz w:val="20"/>
              </w:rPr>
              <w:t>1999–2015</w:t>
            </w:r>
          </w:p>
        </w:tc>
        <w:tc>
          <w:tcPr>
            <w:tcW w:w="3421" w:type="dxa"/>
          </w:tcPr>
          <w:p w14:paraId="22205784" w14:textId="77777777" w:rsidR="0046798B" w:rsidRDefault="0046798B">
            <w:pPr>
              <w:pStyle w:val="TableParagraph"/>
            </w:pPr>
          </w:p>
          <w:p w14:paraId="4DCA2976" w14:textId="77777777" w:rsidR="0046798B" w:rsidRDefault="0046798B">
            <w:pPr>
              <w:pStyle w:val="TableParagraph"/>
            </w:pPr>
          </w:p>
          <w:p w14:paraId="5FA56AC8" w14:textId="77777777" w:rsidR="0046798B" w:rsidRDefault="0046798B">
            <w:pPr>
              <w:pStyle w:val="TableParagraph"/>
              <w:spacing w:before="3"/>
              <w:rPr>
                <w:sz w:val="19"/>
              </w:rPr>
            </w:pPr>
          </w:p>
          <w:p w14:paraId="67FE6F78"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27072F41" w14:textId="77777777" w:rsidR="0046798B" w:rsidRDefault="00903B5C">
            <w:pPr>
              <w:pStyle w:val="TableParagraph"/>
              <w:spacing w:before="38"/>
              <w:ind w:left="114" w:right="128"/>
              <w:jc w:val="both"/>
              <w:rPr>
                <w:sz w:val="20"/>
              </w:rPr>
            </w:pPr>
            <w:r>
              <w:rPr>
                <w:sz w:val="20"/>
              </w:rPr>
              <w:t>Mallinson, Daniel J. “Building a better speed trap: Measuring policy</w:t>
            </w:r>
            <w:r>
              <w:rPr>
                <w:spacing w:val="-16"/>
                <w:sz w:val="20"/>
              </w:rPr>
              <w:t xml:space="preserve"> </w:t>
            </w:r>
            <w:r>
              <w:rPr>
                <w:sz w:val="20"/>
              </w:rPr>
              <w:t xml:space="preserve">adoption speed in the American states.” </w:t>
            </w:r>
            <w:r>
              <w:rPr>
                <w:i/>
                <w:sz w:val="20"/>
              </w:rPr>
              <w:t xml:space="preserve">State Politics &amp; Policy Quarterly </w:t>
            </w:r>
            <w:r>
              <w:rPr>
                <w:sz w:val="20"/>
              </w:rPr>
              <w:t>16.1 (2016): 98-120.</w:t>
            </w:r>
          </w:p>
          <w:p w14:paraId="59AC903A" w14:textId="77777777" w:rsidR="0046798B" w:rsidRDefault="0046798B">
            <w:pPr>
              <w:pStyle w:val="TableParagraph"/>
              <w:rPr>
                <w:sz w:val="20"/>
              </w:rPr>
            </w:pPr>
          </w:p>
          <w:p w14:paraId="4C25E313"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7929B19D" w14:textId="77777777">
        <w:trPr>
          <w:trHeight w:val="1925"/>
        </w:trPr>
        <w:tc>
          <w:tcPr>
            <w:tcW w:w="1711" w:type="dxa"/>
          </w:tcPr>
          <w:p w14:paraId="66FD88E5" w14:textId="77777777" w:rsidR="0046798B" w:rsidRDefault="0046798B">
            <w:pPr>
              <w:pStyle w:val="TableParagraph"/>
            </w:pPr>
          </w:p>
          <w:p w14:paraId="2779B041" w14:textId="77777777" w:rsidR="0046798B" w:rsidRDefault="0046798B">
            <w:pPr>
              <w:pStyle w:val="TableParagraph"/>
            </w:pPr>
          </w:p>
          <w:p w14:paraId="026B7925" w14:textId="77777777" w:rsidR="0046798B" w:rsidRDefault="0046798B">
            <w:pPr>
              <w:pStyle w:val="TableParagraph"/>
              <w:spacing w:before="4"/>
              <w:rPr>
                <w:sz w:val="29"/>
              </w:rPr>
            </w:pPr>
          </w:p>
          <w:p w14:paraId="70133783" w14:textId="77777777" w:rsidR="0046798B" w:rsidRDefault="00903B5C">
            <w:pPr>
              <w:pStyle w:val="TableParagraph"/>
              <w:ind w:left="115"/>
              <w:rPr>
                <w:b/>
                <w:sz w:val="20"/>
              </w:rPr>
            </w:pPr>
            <w:r>
              <w:rPr>
                <w:b/>
                <w:sz w:val="20"/>
              </w:rPr>
              <w:t>standground</w:t>
            </w:r>
          </w:p>
        </w:tc>
        <w:tc>
          <w:tcPr>
            <w:tcW w:w="1596" w:type="dxa"/>
          </w:tcPr>
          <w:p w14:paraId="2C4589D7" w14:textId="77777777" w:rsidR="0046798B" w:rsidRDefault="0046798B">
            <w:pPr>
              <w:pStyle w:val="TableParagraph"/>
            </w:pPr>
          </w:p>
          <w:p w14:paraId="02C5C138" w14:textId="77777777" w:rsidR="0046798B" w:rsidRDefault="0046798B">
            <w:pPr>
              <w:pStyle w:val="TableParagraph"/>
              <w:spacing w:before="4"/>
              <w:rPr>
                <w:sz w:val="21"/>
              </w:rPr>
            </w:pPr>
          </w:p>
          <w:p w14:paraId="77923916" w14:textId="77777777" w:rsidR="0046798B" w:rsidRDefault="00903B5C">
            <w:pPr>
              <w:pStyle w:val="TableParagraph"/>
              <w:ind w:left="114" w:right="424"/>
              <w:rPr>
                <w:sz w:val="20"/>
              </w:rPr>
            </w:pPr>
            <w:r>
              <w:rPr>
                <w:sz w:val="20"/>
              </w:rPr>
              <w:t>Post-2005 expansion of Stand Your Ground laws</w:t>
            </w:r>
          </w:p>
        </w:tc>
        <w:tc>
          <w:tcPr>
            <w:tcW w:w="1285" w:type="dxa"/>
          </w:tcPr>
          <w:p w14:paraId="3FA50698" w14:textId="77777777" w:rsidR="0046798B" w:rsidRDefault="0046798B">
            <w:pPr>
              <w:pStyle w:val="TableParagraph"/>
            </w:pPr>
          </w:p>
          <w:p w14:paraId="38FABA87" w14:textId="77777777" w:rsidR="0046798B" w:rsidRDefault="0046798B">
            <w:pPr>
              <w:pStyle w:val="TableParagraph"/>
            </w:pPr>
          </w:p>
          <w:p w14:paraId="05D2A78F" w14:textId="77777777" w:rsidR="0046798B" w:rsidRDefault="0046798B">
            <w:pPr>
              <w:pStyle w:val="TableParagraph"/>
              <w:spacing w:before="4"/>
              <w:rPr>
                <w:sz w:val="29"/>
              </w:rPr>
            </w:pPr>
          </w:p>
          <w:p w14:paraId="7D72DC9B" w14:textId="77777777" w:rsidR="0046798B" w:rsidRDefault="00903B5C">
            <w:pPr>
              <w:pStyle w:val="TableParagraph"/>
              <w:ind w:left="114"/>
              <w:rPr>
                <w:sz w:val="20"/>
              </w:rPr>
            </w:pPr>
            <w:r>
              <w:rPr>
                <w:sz w:val="20"/>
              </w:rPr>
              <w:t>1994–2011</w:t>
            </w:r>
          </w:p>
        </w:tc>
        <w:tc>
          <w:tcPr>
            <w:tcW w:w="3421" w:type="dxa"/>
          </w:tcPr>
          <w:p w14:paraId="3A862756" w14:textId="77777777" w:rsidR="0046798B" w:rsidRDefault="0046798B">
            <w:pPr>
              <w:pStyle w:val="TableParagraph"/>
            </w:pPr>
          </w:p>
          <w:p w14:paraId="479FDFFD" w14:textId="77777777" w:rsidR="0046798B" w:rsidRDefault="0046798B">
            <w:pPr>
              <w:pStyle w:val="TableParagraph"/>
            </w:pPr>
          </w:p>
          <w:p w14:paraId="5B60CD44" w14:textId="77777777" w:rsidR="0046798B" w:rsidRDefault="0046798B">
            <w:pPr>
              <w:pStyle w:val="TableParagraph"/>
              <w:spacing w:before="4"/>
              <w:rPr>
                <w:sz w:val="19"/>
              </w:rPr>
            </w:pPr>
          </w:p>
          <w:p w14:paraId="2BAF9A2C" w14:textId="77777777" w:rsidR="0046798B" w:rsidRDefault="00903B5C">
            <w:pPr>
              <w:pStyle w:val="TableParagraph"/>
              <w:ind w:left="114" w:right="1475"/>
              <w:rPr>
                <w:sz w:val="20"/>
              </w:rPr>
            </w:pPr>
            <w:r>
              <w:rPr>
                <w:sz w:val="20"/>
              </w:rPr>
              <w:t>0 = policy not adopted 1 = policy adopted</w:t>
            </w:r>
          </w:p>
        </w:tc>
        <w:tc>
          <w:tcPr>
            <w:tcW w:w="6482" w:type="dxa"/>
          </w:tcPr>
          <w:p w14:paraId="0ABA561D" w14:textId="77777777" w:rsidR="0046798B" w:rsidRDefault="00903B5C">
            <w:pPr>
              <w:pStyle w:val="TableParagraph"/>
              <w:spacing w:before="38"/>
              <w:ind w:left="114" w:right="128"/>
              <w:jc w:val="both"/>
              <w:rPr>
                <w:sz w:val="20"/>
              </w:rPr>
            </w:pPr>
            <w:r>
              <w:rPr>
                <w:sz w:val="20"/>
              </w:rPr>
              <w:t>Mallinson, Daniel J. “Building a better speed trap: Measuring policy</w:t>
            </w:r>
            <w:r>
              <w:rPr>
                <w:spacing w:val="-16"/>
                <w:sz w:val="20"/>
              </w:rPr>
              <w:t xml:space="preserve"> </w:t>
            </w:r>
            <w:r>
              <w:rPr>
                <w:sz w:val="20"/>
              </w:rPr>
              <w:t xml:space="preserve">adoption speed in the American states.” </w:t>
            </w:r>
            <w:r>
              <w:rPr>
                <w:i/>
                <w:sz w:val="20"/>
              </w:rPr>
              <w:t xml:space="preserve">State Politics &amp; Policy Quarterly </w:t>
            </w:r>
            <w:r>
              <w:rPr>
                <w:sz w:val="20"/>
              </w:rPr>
              <w:t>16.1 (2016): 98-120.</w:t>
            </w:r>
          </w:p>
          <w:p w14:paraId="29865EFE" w14:textId="77777777" w:rsidR="0046798B" w:rsidRDefault="0046798B">
            <w:pPr>
              <w:pStyle w:val="TableParagraph"/>
              <w:rPr>
                <w:sz w:val="20"/>
              </w:rPr>
            </w:pPr>
          </w:p>
          <w:p w14:paraId="22F7028D"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446AE541" w14:textId="77777777">
        <w:trPr>
          <w:trHeight w:val="775"/>
        </w:trPr>
        <w:tc>
          <w:tcPr>
            <w:tcW w:w="1711" w:type="dxa"/>
          </w:tcPr>
          <w:p w14:paraId="4F8FBE6F" w14:textId="77777777" w:rsidR="0046798B" w:rsidRDefault="00903B5C">
            <w:pPr>
              <w:pStyle w:val="TableParagraph"/>
              <w:spacing w:before="158"/>
              <w:ind w:left="115"/>
              <w:rPr>
                <w:b/>
                <w:sz w:val="20"/>
              </w:rPr>
            </w:pPr>
            <w:r>
              <w:rPr>
                <w:b/>
                <w:sz w:val="20"/>
              </w:rPr>
              <w:t>child_pornograp hy</w:t>
            </w:r>
          </w:p>
        </w:tc>
        <w:tc>
          <w:tcPr>
            <w:tcW w:w="1596" w:type="dxa"/>
          </w:tcPr>
          <w:p w14:paraId="58897F77" w14:textId="77777777" w:rsidR="0046798B" w:rsidRDefault="00903B5C">
            <w:pPr>
              <w:pStyle w:val="TableParagraph"/>
              <w:spacing w:before="43"/>
              <w:ind w:left="114" w:right="430"/>
              <w:rPr>
                <w:sz w:val="20"/>
              </w:rPr>
            </w:pPr>
            <w:r>
              <w:rPr>
                <w:sz w:val="20"/>
              </w:rPr>
              <w:t>State ban of child pornography</w:t>
            </w:r>
          </w:p>
        </w:tc>
        <w:tc>
          <w:tcPr>
            <w:tcW w:w="1285" w:type="dxa"/>
          </w:tcPr>
          <w:p w14:paraId="2DEBDB96" w14:textId="77777777" w:rsidR="0046798B" w:rsidRDefault="0046798B">
            <w:pPr>
              <w:pStyle w:val="TableParagraph"/>
              <w:spacing w:before="8"/>
              <w:rPr>
                <w:sz w:val="23"/>
              </w:rPr>
            </w:pPr>
          </w:p>
          <w:p w14:paraId="4C53DDC9" w14:textId="77777777" w:rsidR="0046798B" w:rsidRDefault="00903B5C">
            <w:pPr>
              <w:pStyle w:val="TableParagraph"/>
              <w:spacing w:before="1"/>
              <w:ind w:left="114"/>
              <w:rPr>
                <w:sz w:val="20"/>
              </w:rPr>
            </w:pPr>
            <w:r>
              <w:rPr>
                <w:sz w:val="20"/>
              </w:rPr>
              <w:t>1974–2001</w:t>
            </w:r>
          </w:p>
        </w:tc>
        <w:tc>
          <w:tcPr>
            <w:tcW w:w="3421" w:type="dxa"/>
          </w:tcPr>
          <w:p w14:paraId="48704F1F" w14:textId="77777777" w:rsidR="0046798B" w:rsidRDefault="00903B5C">
            <w:pPr>
              <w:pStyle w:val="TableParagraph"/>
              <w:spacing w:before="158"/>
              <w:ind w:left="114" w:right="1475"/>
              <w:rPr>
                <w:sz w:val="20"/>
              </w:rPr>
            </w:pPr>
            <w:r>
              <w:rPr>
                <w:sz w:val="20"/>
              </w:rPr>
              <w:t>0 = policy not adopted 1 = policy adopted</w:t>
            </w:r>
          </w:p>
        </w:tc>
        <w:tc>
          <w:tcPr>
            <w:tcW w:w="6482" w:type="dxa"/>
          </w:tcPr>
          <w:p w14:paraId="17982FB5" w14:textId="77777777" w:rsidR="0046798B" w:rsidRDefault="00903B5C">
            <w:pPr>
              <w:pStyle w:val="TableParagraph"/>
              <w:spacing w:before="43"/>
              <w:ind w:left="114" w:right="583"/>
              <w:rPr>
                <w:sz w:val="20"/>
              </w:rPr>
            </w:pPr>
            <w:r>
              <w:rPr>
                <w:sz w:val="20"/>
              </w:rPr>
              <w:t xml:space="preserve">Makse, Todd, and Craig Volden. “The role of policy attributes in the diffusion of innovations.” </w:t>
            </w:r>
            <w:r>
              <w:rPr>
                <w:i/>
                <w:sz w:val="20"/>
              </w:rPr>
              <w:t xml:space="preserve">The Journal of Politics </w:t>
            </w:r>
            <w:r>
              <w:rPr>
                <w:sz w:val="20"/>
              </w:rPr>
              <w:t>73.1 (2011): 108-124.</w:t>
            </w:r>
          </w:p>
        </w:tc>
      </w:tr>
    </w:tbl>
    <w:p w14:paraId="53E9D8C9" w14:textId="77777777" w:rsidR="0046798B" w:rsidRDefault="0046798B">
      <w:pPr>
        <w:rPr>
          <w:sz w:val="20"/>
        </w:rPr>
        <w:sectPr w:rsidR="0046798B">
          <w:pgSz w:w="15840" w:h="12240" w:orient="landscape"/>
          <w:pgMar w:top="1220" w:right="300" w:bottom="980" w:left="820" w:header="730" w:footer="787" w:gutter="0"/>
          <w:cols w:space="720"/>
        </w:sectPr>
      </w:pPr>
    </w:p>
    <w:p w14:paraId="4D2E7F9E"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A52AC29" w14:textId="77777777">
        <w:trPr>
          <w:trHeight w:val="1005"/>
        </w:trPr>
        <w:tc>
          <w:tcPr>
            <w:tcW w:w="1711" w:type="dxa"/>
          </w:tcPr>
          <w:p w14:paraId="0BE2C01F" w14:textId="77777777" w:rsidR="0046798B" w:rsidRDefault="0046798B">
            <w:pPr>
              <w:pStyle w:val="TableParagraph"/>
              <w:rPr>
                <w:sz w:val="20"/>
              </w:rPr>
            </w:pPr>
          </w:p>
        </w:tc>
        <w:tc>
          <w:tcPr>
            <w:tcW w:w="1596" w:type="dxa"/>
          </w:tcPr>
          <w:p w14:paraId="14F11212" w14:textId="77777777" w:rsidR="0046798B" w:rsidRDefault="0046798B">
            <w:pPr>
              <w:pStyle w:val="TableParagraph"/>
              <w:rPr>
                <w:sz w:val="20"/>
              </w:rPr>
            </w:pPr>
          </w:p>
        </w:tc>
        <w:tc>
          <w:tcPr>
            <w:tcW w:w="1285" w:type="dxa"/>
          </w:tcPr>
          <w:p w14:paraId="7F4F07D7" w14:textId="77777777" w:rsidR="0046798B" w:rsidRDefault="0046798B">
            <w:pPr>
              <w:pStyle w:val="TableParagraph"/>
              <w:rPr>
                <w:sz w:val="20"/>
              </w:rPr>
            </w:pPr>
          </w:p>
        </w:tc>
        <w:tc>
          <w:tcPr>
            <w:tcW w:w="3421" w:type="dxa"/>
          </w:tcPr>
          <w:p w14:paraId="15ECB201" w14:textId="77777777" w:rsidR="0046798B" w:rsidRDefault="0046798B">
            <w:pPr>
              <w:pStyle w:val="TableParagraph"/>
              <w:rPr>
                <w:sz w:val="20"/>
              </w:rPr>
            </w:pPr>
          </w:p>
        </w:tc>
        <w:tc>
          <w:tcPr>
            <w:tcW w:w="6482" w:type="dxa"/>
          </w:tcPr>
          <w:p w14:paraId="34757D3F" w14:textId="77777777" w:rsidR="0046798B" w:rsidRDefault="00903B5C">
            <w:pPr>
              <w:pStyle w:val="TableParagraph"/>
              <w:spacing w:before="43"/>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3F3ADA42" w14:textId="77777777">
        <w:trPr>
          <w:trHeight w:val="1695"/>
        </w:trPr>
        <w:tc>
          <w:tcPr>
            <w:tcW w:w="1711" w:type="dxa"/>
          </w:tcPr>
          <w:p w14:paraId="70A3654D" w14:textId="77777777" w:rsidR="0046798B" w:rsidRDefault="0046798B">
            <w:pPr>
              <w:pStyle w:val="TableParagraph"/>
            </w:pPr>
          </w:p>
          <w:p w14:paraId="477234F5" w14:textId="77777777" w:rsidR="0046798B" w:rsidRDefault="0046798B">
            <w:pPr>
              <w:pStyle w:val="TableParagraph"/>
            </w:pPr>
          </w:p>
          <w:p w14:paraId="036669C2" w14:textId="77777777" w:rsidR="0046798B" w:rsidRDefault="0046798B">
            <w:pPr>
              <w:pStyle w:val="TableParagraph"/>
              <w:spacing w:before="9"/>
              <w:rPr>
                <w:sz w:val="19"/>
              </w:rPr>
            </w:pPr>
          </w:p>
          <w:p w14:paraId="0AF3E749" w14:textId="77777777" w:rsidR="0046798B" w:rsidRDefault="00903B5C">
            <w:pPr>
              <w:pStyle w:val="TableParagraph"/>
              <w:ind w:left="115"/>
              <w:rPr>
                <w:b/>
                <w:sz w:val="20"/>
              </w:rPr>
            </w:pPr>
            <w:r>
              <w:rPr>
                <w:b/>
                <w:sz w:val="20"/>
              </w:rPr>
              <w:t>hate_crimes</w:t>
            </w:r>
          </w:p>
        </w:tc>
        <w:tc>
          <w:tcPr>
            <w:tcW w:w="1596" w:type="dxa"/>
          </w:tcPr>
          <w:p w14:paraId="49FC8AA6" w14:textId="77777777" w:rsidR="0046798B" w:rsidRDefault="0046798B">
            <w:pPr>
              <w:pStyle w:val="TableParagraph"/>
            </w:pPr>
          </w:p>
          <w:p w14:paraId="785FE5CE" w14:textId="77777777" w:rsidR="0046798B" w:rsidRDefault="00903B5C">
            <w:pPr>
              <w:pStyle w:val="TableParagraph"/>
              <w:spacing w:before="135"/>
              <w:ind w:left="114" w:right="269"/>
              <w:rPr>
                <w:sz w:val="20"/>
              </w:rPr>
            </w:pPr>
            <w:r>
              <w:rPr>
                <w:sz w:val="20"/>
              </w:rPr>
              <w:t>Does the state explicitly have hate crime legislation?</w:t>
            </w:r>
          </w:p>
        </w:tc>
        <w:tc>
          <w:tcPr>
            <w:tcW w:w="1285" w:type="dxa"/>
          </w:tcPr>
          <w:p w14:paraId="1200186F" w14:textId="77777777" w:rsidR="0046798B" w:rsidRDefault="0046798B">
            <w:pPr>
              <w:pStyle w:val="TableParagraph"/>
            </w:pPr>
          </w:p>
          <w:p w14:paraId="28B612E6" w14:textId="77777777" w:rsidR="0046798B" w:rsidRDefault="0046798B">
            <w:pPr>
              <w:pStyle w:val="TableParagraph"/>
            </w:pPr>
          </w:p>
          <w:p w14:paraId="6BFFBA59" w14:textId="77777777" w:rsidR="0046798B" w:rsidRDefault="0046798B">
            <w:pPr>
              <w:pStyle w:val="TableParagraph"/>
              <w:spacing w:before="9"/>
              <w:rPr>
                <w:sz w:val="19"/>
              </w:rPr>
            </w:pPr>
          </w:p>
          <w:p w14:paraId="4C9CDC65" w14:textId="77777777" w:rsidR="0046798B" w:rsidRDefault="00903B5C">
            <w:pPr>
              <w:pStyle w:val="TableParagraph"/>
              <w:ind w:left="114"/>
              <w:rPr>
                <w:sz w:val="20"/>
              </w:rPr>
            </w:pPr>
            <w:r>
              <w:rPr>
                <w:sz w:val="20"/>
              </w:rPr>
              <w:t>1978–2002</w:t>
            </w:r>
          </w:p>
        </w:tc>
        <w:tc>
          <w:tcPr>
            <w:tcW w:w="3421" w:type="dxa"/>
          </w:tcPr>
          <w:p w14:paraId="38BFF678" w14:textId="77777777" w:rsidR="0046798B" w:rsidRDefault="0046798B">
            <w:pPr>
              <w:pStyle w:val="TableParagraph"/>
            </w:pPr>
          </w:p>
          <w:p w14:paraId="375F2306" w14:textId="77777777" w:rsidR="0046798B" w:rsidRDefault="0046798B">
            <w:pPr>
              <w:pStyle w:val="TableParagraph"/>
              <w:spacing w:before="9"/>
              <w:rPr>
                <w:sz w:val="31"/>
              </w:rPr>
            </w:pPr>
          </w:p>
          <w:p w14:paraId="57CF7751" w14:textId="77777777" w:rsidR="0046798B" w:rsidRDefault="00903B5C">
            <w:pPr>
              <w:pStyle w:val="TableParagraph"/>
              <w:ind w:left="114" w:right="1475"/>
              <w:rPr>
                <w:sz w:val="20"/>
              </w:rPr>
            </w:pPr>
            <w:r>
              <w:rPr>
                <w:sz w:val="20"/>
              </w:rPr>
              <w:t>0 = policy not adopted 1 = policy adopted</w:t>
            </w:r>
          </w:p>
        </w:tc>
        <w:tc>
          <w:tcPr>
            <w:tcW w:w="6482" w:type="dxa"/>
          </w:tcPr>
          <w:p w14:paraId="4D214BF8" w14:textId="77777777" w:rsidR="0046798B" w:rsidRDefault="00903B5C">
            <w:pPr>
              <w:pStyle w:val="TableParagraph"/>
              <w:spacing w:before="43"/>
              <w:ind w:left="114" w:right="583"/>
              <w:rPr>
                <w:sz w:val="20"/>
              </w:rPr>
            </w:pPr>
            <w:r>
              <w:rPr>
                <w:sz w:val="20"/>
              </w:rPr>
              <w:t xml:space="preserve">Makse, Todd, and Craig Volden. “The role of policy attributes in the diffusion of innovations.” </w:t>
            </w:r>
            <w:r>
              <w:rPr>
                <w:i/>
                <w:sz w:val="20"/>
              </w:rPr>
              <w:t xml:space="preserve">The Journal of Politics </w:t>
            </w:r>
            <w:r>
              <w:rPr>
                <w:sz w:val="20"/>
              </w:rPr>
              <w:t>73.1 (2011): 108-124.</w:t>
            </w:r>
          </w:p>
          <w:p w14:paraId="116C585E" w14:textId="77777777" w:rsidR="0046798B" w:rsidRDefault="0046798B">
            <w:pPr>
              <w:pStyle w:val="TableParagraph"/>
              <w:rPr>
                <w:sz w:val="20"/>
              </w:rPr>
            </w:pPr>
          </w:p>
          <w:p w14:paraId="0486B783"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2EBFEE6E" w14:textId="77777777">
        <w:trPr>
          <w:trHeight w:val="1700"/>
        </w:trPr>
        <w:tc>
          <w:tcPr>
            <w:tcW w:w="1711" w:type="dxa"/>
          </w:tcPr>
          <w:p w14:paraId="4FD3DC42" w14:textId="77777777" w:rsidR="0046798B" w:rsidRDefault="0046798B">
            <w:pPr>
              <w:pStyle w:val="TableParagraph"/>
            </w:pPr>
          </w:p>
          <w:p w14:paraId="0DB5B85B" w14:textId="77777777" w:rsidR="0046798B" w:rsidRDefault="0046798B">
            <w:pPr>
              <w:pStyle w:val="TableParagraph"/>
            </w:pPr>
          </w:p>
          <w:p w14:paraId="0F6E2F83" w14:textId="77777777" w:rsidR="0046798B" w:rsidRDefault="0046798B">
            <w:pPr>
              <w:pStyle w:val="TableParagraph"/>
              <w:spacing w:before="9"/>
              <w:rPr>
                <w:sz w:val="19"/>
              </w:rPr>
            </w:pPr>
          </w:p>
          <w:p w14:paraId="11216DC3" w14:textId="77777777" w:rsidR="0046798B" w:rsidRDefault="00903B5C">
            <w:pPr>
              <w:pStyle w:val="TableParagraph"/>
              <w:ind w:left="115"/>
              <w:rPr>
                <w:b/>
                <w:sz w:val="20"/>
              </w:rPr>
            </w:pPr>
            <w:r>
              <w:rPr>
                <w:b/>
                <w:sz w:val="20"/>
              </w:rPr>
              <w:t>retail_theft</w:t>
            </w:r>
          </w:p>
        </w:tc>
        <w:tc>
          <w:tcPr>
            <w:tcW w:w="1596" w:type="dxa"/>
          </w:tcPr>
          <w:p w14:paraId="4A7C9C05" w14:textId="77777777" w:rsidR="0046798B" w:rsidRDefault="0046798B">
            <w:pPr>
              <w:pStyle w:val="TableParagraph"/>
            </w:pPr>
          </w:p>
          <w:p w14:paraId="297A3EEA" w14:textId="77777777" w:rsidR="0046798B" w:rsidRDefault="0046798B">
            <w:pPr>
              <w:pStyle w:val="TableParagraph"/>
            </w:pPr>
          </w:p>
          <w:p w14:paraId="51CC5B57" w14:textId="77777777" w:rsidR="0046798B" w:rsidRDefault="0046798B">
            <w:pPr>
              <w:pStyle w:val="TableParagraph"/>
              <w:spacing w:before="9"/>
              <w:rPr>
                <w:sz w:val="19"/>
              </w:rPr>
            </w:pPr>
          </w:p>
          <w:p w14:paraId="27D90B9F" w14:textId="77777777" w:rsidR="0046798B" w:rsidRDefault="00903B5C">
            <w:pPr>
              <w:pStyle w:val="TableParagraph"/>
              <w:ind w:left="114"/>
              <w:rPr>
                <w:sz w:val="20"/>
              </w:rPr>
            </w:pPr>
            <w:r>
              <w:rPr>
                <w:sz w:val="20"/>
              </w:rPr>
              <w:t>Retail theft law</w:t>
            </w:r>
          </w:p>
        </w:tc>
        <w:tc>
          <w:tcPr>
            <w:tcW w:w="1285" w:type="dxa"/>
          </w:tcPr>
          <w:p w14:paraId="4C9FA5A2" w14:textId="77777777" w:rsidR="0046798B" w:rsidRDefault="0046798B">
            <w:pPr>
              <w:pStyle w:val="TableParagraph"/>
            </w:pPr>
          </w:p>
          <w:p w14:paraId="23A20DA6" w14:textId="77777777" w:rsidR="0046798B" w:rsidRDefault="0046798B">
            <w:pPr>
              <w:pStyle w:val="TableParagraph"/>
            </w:pPr>
          </w:p>
          <w:p w14:paraId="1AF24BF5" w14:textId="77777777" w:rsidR="0046798B" w:rsidRDefault="0046798B">
            <w:pPr>
              <w:pStyle w:val="TableParagraph"/>
              <w:spacing w:before="9"/>
              <w:rPr>
                <w:sz w:val="19"/>
              </w:rPr>
            </w:pPr>
          </w:p>
          <w:p w14:paraId="5C58C7C0" w14:textId="77777777" w:rsidR="0046798B" w:rsidRDefault="00903B5C">
            <w:pPr>
              <w:pStyle w:val="TableParagraph"/>
              <w:ind w:left="114"/>
              <w:rPr>
                <w:sz w:val="20"/>
              </w:rPr>
            </w:pPr>
            <w:r>
              <w:rPr>
                <w:sz w:val="20"/>
              </w:rPr>
              <w:t>1973–2000</w:t>
            </w:r>
          </w:p>
        </w:tc>
        <w:tc>
          <w:tcPr>
            <w:tcW w:w="3421" w:type="dxa"/>
          </w:tcPr>
          <w:p w14:paraId="54F3F11B" w14:textId="77777777" w:rsidR="0046798B" w:rsidRDefault="0046798B">
            <w:pPr>
              <w:pStyle w:val="TableParagraph"/>
            </w:pPr>
          </w:p>
          <w:p w14:paraId="2D758947" w14:textId="77777777" w:rsidR="0046798B" w:rsidRDefault="0046798B">
            <w:pPr>
              <w:pStyle w:val="TableParagraph"/>
              <w:spacing w:before="9"/>
              <w:rPr>
                <w:sz w:val="31"/>
              </w:rPr>
            </w:pPr>
          </w:p>
          <w:p w14:paraId="112034EC" w14:textId="77777777" w:rsidR="0046798B" w:rsidRDefault="00903B5C">
            <w:pPr>
              <w:pStyle w:val="TableParagraph"/>
              <w:ind w:left="114" w:right="1475"/>
              <w:rPr>
                <w:sz w:val="20"/>
              </w:rPr>
            </w:pPr>
            <w:r>
              <w:rPr>
                <w:sz w:val="20"/>
              </w:rPr>
              <w:t>0 = policy not adopted 1 = policy adopted</w:t>
            </w:r>
          </w:p>
        </w:tc>
        <w:tc>
          <w:tcPr>
            <w:tcW w:w="6482" w:type="dxa"/>
          </w:tcPr>
          <w:p w14:paraId="1B9B0A31" w14:textId="77777777" w:rsidR="0046798B" w:rsidRDefault="00903B5C">
            <w:pPr>
              <w:pStyle w:val="TableParagraph"/>
              <w:spacing w:before="43"/>
              <w:ind w:left="114" w:right="583"/>
              <w:rPr>
                <w:sz w:val="20"/>
              </w:rPr>
            </w:pPr>
            <w:r>
              <w:rPr>
                <w:sz w:val="20"/>
              </w:rPr>
              <w:t xml:space="preserve">Makse, Todd, and Craig Volden. “The role of policy attributes in the diffusion of innovations.” </w:t>
            </w:r>
            <w:r>
              <w:rPr>
                <w:i/>
                <w:sz w:val="20"/>
              </w:rPr>
              <w:t xml:space="preserve">The Journal of Politics </w:t>
            </w:r>
            <w:r>
              <w:rPr>
                <w:sz w:val="20"/>
              </w:rPr>
              <w:t>73.1 (2011): 108-124.</w:t>
            </w:r>
          </w:p>
          <w:p w14:paraId="25E2C614" w14:textId="77777777" w:rsidR="0046798B" w:rsidRDefault="0046798B">
            <w:pPr>
              <w:pStyle w:val="TableParagraph"/>
              <w:rPr>
                <w:sz w:val="20"/>
              </w:rPr>
            </w:pPr>
          </w:p>
          <w:p w14:paraId="07D5C3A9"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4BD1389E" w14:textId="77777777">
        <w:trPr>
          <w:trHeight w:val="1695"/>
        </w:trPr>
        <w:tc>
          <w:tcPr>
            <w:tcW w:w="1711" w:type="dxa"/>
          </w:tcPr>
          <w:p w14:paraId="142AC91B" w14:textId="77777777" w:rsidR="0046798B" w:rsidRDefault="0046798B">
            <w:pPr>
              <w:pStyle w:val="TableParagraph"/>
            </w:pPr>
          </w:p>
          <w:p w14:paraId="4871CDCD" w14:textId="77777777" w:rsidR="0046798B" w:rsidRDefault="0046798B">
            <w:pPr>
              <w:pStyle w:val="TableParagraph"/>
            </w:pPr>
          </w:p>
          <w:p w14:paraId="50F105C4" w14:textId="77777777" w:rsidR="0046798B" w:rsidRDefault="0046798B">
            <w:pPr>
              <w:pStyle w:val="TableParagraph"/>
              <w:spacing w:before="4"/>
              <w:rPr>
                <w:sz w:val="19"/>
              </w:rPr>
            </w:pPr>
          </w:p>
          <w:p w14:paraId="4977174E" w14:textId="77777777" w:rsidR="0046798B" w:rsidRDefault="00903B5C">
            <w:pPr>
              <w:pStyle w:val="TableParagraph"/>
              <w:ind w:left="115"/>
              <w:rPr>
                <w:b/>
                <w:sz w:val="20"/>
              </w:rPr>
            </w:pPr>
            <w:r>
              <w:rPr>
                <w:b/>
                <w:sz w:val="20"/>
              </w:rPr>
              <w:t>stalking</w:t>
            </w:r>
          </w:p>
        </w:tc>
        <w:tc>
          <w:tcPr>
            <w:tcW w:w="1596" w:type="dxa"/>
          </w:tcPr>
          <w:p w14:paraId="78C5E2C6" w14:textId="77777777" w:rsidR="0046798B" w:rsidRDefault="0046798B">
            <w:pPr>
              <w:pStyle w:val="TableParagraph"/>
            </w:pPr>
          </w:p>
          <w:p w14:paraId="5A99C528" w14:textId="77777777" w:rsidR="0046798B" w:rsidRDefault="00903B5C">
            <w:pPr>
              <w:pStyle w:val="TableParagraph"/>
              <w:spacing w:before="130"/>
              <w:ind w:left="114" w:right="330"/>
              <w:rPr>
                <w:sz w:val="20"/>
              </w:rPr>
            </w:pPr>
            <w:r>
              <w:rPr>
                <w:sz w:val="20"/>
              </w:rPr>
              <w:t>Does the state have anti- stalking legislation?</w:t>
            </w:r>
          </w:p>
        </w:tc>
        <w:tc>
          <w:tcPr>
            <w:tcW w:w="1285" w:type="dxa"/>
          </w:tcPr>
          <w:p w14:paraId="582D79DA" w14:textId="77777777" w:rsidR="0046798B" w:rsidRDefault="0046798B">
            <w:pPr>
              <w:pStyle w:val="TableParagraph"/>
            </w:pPr>
          </w:p>
          <w:p w14:paraId="63A896BB" w14:textId="77777777" w:rsidR="0046798B" w:rsidRDefault="0046798B">
            <w:pPr>
              <w:pStyle w:val="TableParagraph"/>
            </w:pPr>
          </w:p>
          <w:p w14:paraId="55AB6B69" w14:textId="77777777" w:rsidR="0046798B" w:rsidRDefault="0046798B">
            <w:pPr>
              <w:pStyle w:val="TableParagraph"/>
              <w:spacing w:before="4"/>
              <w:rPr>
                <w:sz w:val="19"/>
              </w:rPr>
            </w:pPr>
          </w:p>
          <w:p w14:paraId="2C446F11" w14:textId="77777777" w:rsidR="0046798B" w:rsidRDefault="00903B5C">
            <w:pPr>
              <w:pStyle w:val="TableParagraph"/>
              <w:ind w:left="114"/>
              <w:rPr>
                <w:sz w:val="20"/>
              </w:rPr>
            </w:pPr>
            <w:r>
              <w:rPr>
                <w:sz w:val="20"/>
              </w:rPr>
              <w:t>1990–1998</w:t>
            </w:r>
          </w:p>
        </w:tc>
        <w:tc>
          <w:tcPr>
            <w:tcW w:w="3421" w:type="dxa"/>
          </w:tcPr>
          <w:p w14:paraId="5865A36F" w14:textId="77777777" w:rsidR="0046798B" w:rsidRDefault="0046798B">
            <w:pPr>
              <w:pStyle w:val="TableParagraph"/>
            </w:pPr>
          </w:p>
          <w:p w14:paraId="4E3BC55F" w14:textId="77777777" w:rsidR="0046798B" w:rsidRDefault="0046798B">
            <w:pPr>
              <w:pStyle w:val="TableParagraph"/>
              <w:spacing w:before="3"/>
              <w:rPr>
                <w:sz w:val="31"/>
              </w:rPr>
            </w:pPr>
          </w:p>
          <w:p w14:paraId="660FA480"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0126BE49" w14:textId="77777777" w:rsidR="0046798B" w:rsidRDefault="00903B5C">
            <w:pPr>
              <w:pStyle w:val="TableParagraph"/>
              <w:spacing w:before="38"/>
              <w:ind w:left="114" w:right="583"/>
              <w:rPr>
                <w:sz w:val="20"/>
              </w:rPr>
            </w:pPr>
            <w:r>
              <w:rPr>
                <w:sz w:val="20"/>
              </w:rPr>
              <w:t xml:space="preserve">Makse, Todd, and Craig Volden. “The role of policy attributes in the diffusion of innovations.” </w:t>
            </w:r>
            <w:r>
              <w:rPr>
                <w:i/>
                <w:sz w:val="20"/>
              </w:rPr>
              <w:t xml:space="preserve">The Journal of Politics </w:t>
            </w:r>
            <w:r>
              <w:rPr>
                <w:sz w:val="20"/>
              </w:rPr>
              <w:t>73.1 (2011): 108-124.</w:t>
            </w:r>
          </w:p>
          <w:p w14:paraId="465EACB1" w14:textId="77777777" w:rsidR="0046798B" w:rsidRDefault="0046798B">
            <w:pPr>
              <w:pStyle w:val="TableParagraph"/>
              <w:rPr>
                <w:sz w:val="20"/>
              </w:rPr>
            </w:pPr>
          </w:p>
          <w:p w14:paraId="3913E8A8"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2C29F3AC" w14:textId="77777777">
        <w:trPr>
          <w:trHeight w:val="1695"/>
        </w:trPr>
        <w:tc>
          <w:tcPr>
            <w:tcW w:w="1711" w:type="dxa"/>
          </w:tcPr>
          <w:p w14:paraId="3475D918" w14:textId="77777777" w:rsidR="0046798B" w:rsidRDefault="0046798B">
            <w:pPr>
              <w:pStyle w:val="TableParagraph"/>
            </w:pPr>
          </w:p>
          <w:p w14:paraId="28164370" w14:textId="77777777" w:rsidR="0046798B" w:rsidRDefault="0046798B">
            <w:pPr>
              <w:pStyle w:val="TableParagraph"/>
              <w:spacing w:before="4"/>
              <w:rPr>
                <w:sz w:val="31"/>
              </w:rPr>
            </w:pPr>
          </w:p>
          <w:p w14:paraId="7925F1BB" w14:textId="77777777" w:rsidR="0046798B" w:rsidRDefault="00903B5C">
            <w:pPr>
              <w:pStyle w:val="TableParagraph"/>
              <w:ind w:left="115" w:right="166"/>
              <w:rPr>
                <w:b/>
                <w:sz w:val="20"/>
              </w:rPr>
            </w:pPr>
            <w:r>
              <w:rPr>
                <w:b/>
                <w:sz w:val="20"/>
              </w:rPr>
              <w:t>victim_notificati on</w:t>
            </w:r>
          </w:p>
        </w:tc>
        <w:tc>
          <w:tcPr>
            <w:tcW w:w="1596" w:type="dxa"/>
          </w:tcPr>
          <w:p w14:paraId="3FB78F2A" w14:textId="77777777" w:rsidR="0046798B" w:rsidRDefault="0046798B">
            <w:pPr>
              <w:pStyle w:val="TableParagraph"/>
            </w:pPr>
          </w:p>
          <w:p w14:paraId="7FFC1E63" w14:textId="77777777" w:rsidR="0046798B" w:rsidRDefault="0046798B">
            <w:pPr>
              <w:pStyle w:val="TableParagraph"/>
              <w:spacing w:before="4"/>
              <w:rPr>
                <w:sz w:val="21"/>
              </w:rPr>
            </w:pPr>
          </w:p>
          <w:p w14:paraId="0626BDE5" w14:textId="77777777" w:rsidR="0046798B" w:rsidRDefault="00903B5C">
            <w:pPr>
              <w:pStyle w:val="TableParagraph"/>
              <w:ind w:left="114" w:right="149"/>
              <w:rPr>
                <w:sz w:val="20"/>
              </w:rPr>
            </w:pPr>
            <w:r>
              <w:rPr>
                <w:sz w:val="20"/>
              </w:rPr>
              <w:t>State system for notifying victims of crime</w:t>
            </w:r>
          </w:p>
        </w:tc>
        <w:tc>
          <w:tcPr>
            <w:tcW w:w="1285" w:type="dxa"/>
          </w:tcPr>
          <w:p w14:paraId="174FAC79" w14:textId="77777777" w:rsidR="0046798B" w:rsidRDefault="0046798B">
            <w:pPr>
              <w:pStyle w:val="TableParagraph"/>
            </w:pPr>
          </w:p>
          <w:p w14:paraId="66984CDC" w14:textId="77777777" w:rsidR="0046798B" w:rsidRDefault="0046798B">
            <w:pPr>
              <w:pStyle w:val="TableParagraph"/>
            </w:pPr>
          </w:p>
          <w:p w14:paraId="7BC988E2" w14:textId="77777777" w:rsidR="0046798B" w:rsidRDefault="0046798B">
            <w:pPr>
              <w:pStyle w:val="TableParagraph"/>
              <w:spacing w:before="4"/>
              <w:rPr>
                <w:sz w:val="19"/>
              </w:rPr>
            </w:pPr>
          </w:p>
          <w:p w14:paraId="7D9534B1" w14:textId="77777777" w:rsidR="0046798B" w:rsidRDefault="00903B5C">
            <w:pPr>
              <w:pStyle w:val="TableParagraph"/>
              <w:ind w:left="114"/>
              <w:rPr>
                <w:sz w:val="20"/>
              </w:rPr>
            </w:pPr>
            <w:r>
              <w:rPr>
                <w:sz w:val="20"/>
              </w:rPr>
              <w:t>1979–2001</w:t>
            </w:r>
          </w:p>
        </w:tc>
        <w:tc>
          <w:tcPr>
            <w:tcW w:w="3421" w:type="dxa"/>
          </w:tcPr>
          <w:p w14:paraId="60136E66" w14:textId="77777777" w:rsidR="0046798B" w:rsidRDefault="0046798B">
            <w:pPr>
              <w:pStyle w:val="TableParagraph"/>
            </w:pPr>
          </w:p>
          <w:p w14:paraId="647F21E2" w14:textId="77777777" w:rsidR="0046798B" w:rsidRDefault="0046798B">
            <w:pPr>
              <w:pStyle w:val="TableParagraph"/>
              <w:spacing w:before="4"/>
              <w:rPr>
                <w:sz w:val="31"/>
              </w:rPr>
            </w:pPr>
          </w:p>
          <w:p w14:paraId="7C43CB57" w14:textId="77777777" w:rsidR="0046798B" w:rsidRDefault="00903B5C">
            <w:pPr>
              <w:pStyle w:val="TableParagraph"/>
              <w:ind w:left="114" w:right="1475"/>
              <w:rPr>
                <w:sz w:val="20"/>
              </w:rPr>
            </w:pPr>
            <w:r>
              <w:rPr>
                <w:sz w:val="20"/>
              </w:rPr>
              <w:t>0 = policy not adopted 1 = policy adopted</w:t>
            </w:r>
          </w:p>
        </w:tc>
        <w:tc>
          <w:tcPr>
            <w:tcW w:w="6482" w:type="dxa"/>
          </w:tcPr>
          <w:p w14:paraId="4FDCCC8E" w14:textId="77777777" w:rsidR="0046798B" w:rsidRDefault="00903B5C">
            <w:pPr>
              <w:pStyle w:val="TableParagraph"/>
              <w:spacing w:before="38"/>
              <w:ind w:left="114" w:right="583"/>
              <w:rPr>
                <w:sz w:val="20"/>
              </w:rPr>
            </w:pPr>
            <w:r>
              <w:rPr>
                <w:sz w:val="20"/>
              </w:rPr>
              <w:t xml:space="preserve">Makse, Todd, and Craig Volden. “The role of policy attributes in the diffusion of innovations.” </w:t>
            </w:r>
            <w:r>
              <w:rPr>
                <w:i/>
                <w:sz w:val="20"/>
              </w:rPr>
              <w:t xml:space="preserve">The Journal of Politics </w:t>
            </w:r>
            <w:r>
              <w:rPr>
                <w:sz w:val="20"/>
              </w:rPr>
              <w:t>73.1 (2011): 108-124.</w:t>
            </w:r>
          </w:p>
          <w:p w14:paraId="64A0387A" w14:textId="77777777" w:rsidR="0046798B" w:rsidRDefault="0046798B">
            <w:pPr>
              <w:pStyle w:val="TableParagraph"/>
              <w:rPr>
                <w:sz w:val="20"/>
              </w:rPr>
            </w:pPr>
          </w:p>
          <w:p w14:paraId="71A398CD"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7D1C7F5B" w14:textId="77777777">
        <w:trPr>
          <w:trHeight w:val="1465"/>
        </w:trPr>
        <w:tc>
          <w:tcPr>
            <w:tcW w:w="1711" w:type="dxa"/>
          </w:tcPr>
          <w:p w14:paraId="6075E96B" w14:textId="77777777" w:rsidR="0046798B" w:rsidRDefault="0046798B">
            <w:pPr>
              <w:pStyle w:val="TableParagraph"/>
            </w:pPr>
          </w:p>
          <w:p w14:paraId="2688A934" w14:textId="77777777" w:rsidR="0046798B" w:rsidRDefault="0046798B">
            <w:pPr>
              <w:pStyle w:val="TableParagraph"/>
              <w:spacing w:before="3"/>
              <w:rPr>
                <w:sz w:val="31"/>
              </w:rPr>
            </w:pPr>
          </w:p>
          <w:p w14:paraId="63D008FA" w14:textId="77777777" w:rsidR="0046798B" w:rsidRDefault="00903B5C">
            <w:pPr>
              <w:pStyle w:val="TableParagraph"/>
              <w:spacing w:before="1"/>
              <w:ind w:left="115"/>
              <w:rPr>
                <w:b/>
                <w:sz w:val="20"/>
              </w:rPr>
            </w:pPr>
            <w:r>
              <w:rPr>
                <w:b/>
                <w:sz w:val="20"/>
              </w:rPr>
              <w:t>ddna</w:t>
            </w:r>
          </w:p>
        </w:tc>
        <w:tc>
          <w:tcPr>
            <w:tcW w:w="1596" w:type="dxa"/>
          </w:tcPr>
          <w:p w14:paraId="3EF55DE6" w14:textId="77777777" w:rsidR="0046798B" w:rsidRDefault="0046798B">
            <w:pPr>
              <w:pStyle w:val="TableParagraph"/>
            </w:pPr>
          </w:p>
          <w:p w14:paraId="66201CCA" w14:textId="77777777" w:rsidR="0046798B" w:rsidRDefault="00903B5C">
            <w:pPr>
              <w:pStyle w:val="TableParagraph"/>
              <w:spacing w:before="130"/>
              <w:ind w:left="114" w:right="174"/>
              <w:rPr>
                <w:sz w:val="20"/>
              </w:rPr>
            </w:pPr>
            <w:r>
              <w:rPr>
                <w:sz w:val="20"/>
              </w:rPr>
              <w:t>Police may take DNA samples from arrestees</w:t>
            </w:r>
          </w:p>
        </w:tc>
        <w:tc>
          <w:tcPr>
            <w:tcW w:w="1285" w:type="dxa"/>
          </w:tcPr>
          <w:p w14:paraId="78FD6239" w14:textId="77777777" w:rsidR="0046798B" w:rsidRDefault="0046798B">
            <w:pPr>
              <w:pStyle w:val="TableParagraph"/>
            </w:pPr>
          </w:p>
          <w:p w14:paraId="2BAE13AD" w14:textId="77777777" w:rsidR="0046798B" w:rsidRDefault="0046798B">
            <w:pPr>
              <w:pStyle w:val="TableParagraph"/>
              <w:spacing w:before="3"/>
              <w:rPr>
                <w:sz w:val="31"/>
              </w:rPr>
            </w:pPr>
          </w:p>
          <w:p w14:paraId="5035AE23" w14:textId="77777777" w:rsidR="0046798B" w:rsidRDefault="00903B5C">
            <w:pPr>
              <w:pStyle w:val="TableParagraph"/>
              <w:spacing w:before="1"/>
              <w:ind w:left="114"/>
              <w:rPr>
                <w:sz w:val="20"/>
              </w:rPr>
            </w:pPr>
            <w:r>
              <w:rPr>
                <w:sz w:val="20"/>
              </w:rPr>
              <w:t>2000–2016</w:t>
            </w:r>
          </w:p>
        </w:tc>
        <w:tc>
          <w:tcPr>
            <w:tcW w:w="3421" w:type="dxa"/>
          </w:tcPr>
          <w:p w14:paraId="366649D6" w14:textId="77777777" w:rsidR="0046798B" w:rsidRDefault="00903B5C">
            <w:pPr>
              <w:pStyle w:val="TableParagraph"/>
              <w:spacing w:before="38"/>
              <w:ind w:left="114" w:right="210"/>
              <w:rPr>
                <w:sz w:val="20"/>
              </w:rPr>
            </w:pPr>
            <w:r>
              <w:rPr>
                <w:sz w:val="20"/>
              </w:rPr>
              <w:t xml:space="preserve">Police may take DNA samples from arrestees? (2 = all felony arrestees, </w:t>
            </w:r>
            <w:r>
              <w:rPr>
                <w:spacing w:val="-4"/>
                <w:sz w:val="20"/>
              </w:rPr>
              <w:t>1.5</w:t>
            </w:r>
          </w:p>
          <w:p w14:paraId="0D2B5769" w14:textId="77777777" w:rsidR="0046798B" w:rsidRDefault="00903B5C">
            <w:pPr>
              <w:pStyle w:val="TableParagraph"/>
              <w:ind w:left="114" w:right="150"/>
              <w:rPr>
                <w:sz w:val="20"/>
              </w:rPr>
            </w:pPr>
            <w:r>
              <w:rPr>
                <w:sz w:val="20"/>
              </w:rPr>
              <w:t>= all felony arrestees plus probable cause hearing before analysis/sample taking, 1 = certain felony arrestees,</w:t>
            </w:r>
            <w:r>
              <w:rPr>
                <w:spacing w:val="-2"/>
                <w:sz w:val="20"/>
              </w:rPr>
              <w:t xml:space="preserve"> </w:t>
            </w:r>
            <w:r>
              <w:rPr>
                <w:spacing w:val="-5"/>
                <w:sz w:val="20"/>
              </w:rPr>
              <w:t>0.5</w:t>
            </w:r>
          </w:p>
          <w:p w14:paraId="52C50141" w14:textId="77777777" w:rsidR="0046798B" w:rsidRDefault="00903B5C">
            <w:pPr>
              <w:pStyle w:val="TableParagraph"/>
              <w:spacing w:before="1"/>
              <w:ind w:left="114"/>
              <w:rPr>
                <w:sz w:val="20"/>
              </w:rPr>
            </w:pPr>
            <w:r>
              <w:rPr>
                <w:sz w:val="20"/>
              </w:rPr>
              <w:t>= certain felony arrestees</w:t>
            </w:r>
          </w:p>
        </w:tc>
        <w:tc>
          <w:tcPr>
            <w:tcW w:w="6482" w:type="dxa"/>
          </w:tcPr>
          <w:p w14:paraId="6ACDF799" w14:textId="77777777" w:rsidR="0046798B" w:rsidRDefault="0046798B">
            <w:pPr>
              <w:pStyle w:val="TableParagraph"/>
            </w:pPr>
          </w:p>
          <w:p w14:paraId="7AA09261" w14:textId="77777777" w:rsidR="0046798B" w:rsidRDefault="00903B5C">
            <w:pPr>
              <w:pStyle w:val="TableParagraph"/>
              <w:spacing w:before="130"/>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494ECA75" w14:textId="77777777" w:rsidR="0046798B" w:rsidRDefault="0046798B">
      <w:pPr>
        <w:rPr>
          <w:sz w:val="20"/>
        </w:rPr>
        <w:sectPr w:rsidR="0046798B">
          <w:pgSz w:w="15840" w:h="12240" w:orient="landscape"/>
          <w:pgMar w:top="1220" w:right="300" w:bottom="980" w:left="820" w:header="730" w:footer="787" w:gutter="0"/>
          <w:cols w:space="720"/>
        </w:sectPr>
      </w:pPr>
    </w:p>
    <w:p w14:paraId="6EB9C2D8"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7CD9607C" w14:textId="77777777">
        <w:trPr>
          <w:trHeight w:val="775"/>
        </w:trPr>
        <w:tc>
          <w:tcPr>
            <w:tcW w:w="1711" w:type="dxa"/>
          </w:tcPr>
          <w:p w14:paraId="6774B83A" w14:textId="77777777" w:rsidR="0046798B" w:rsidRDefault="0046798B">
            <w:pPr>
              <w:pStyle w:val="TableParagraph"/>
              <w:rPr>
                <w:sz w:val="20"/>
              </w:rPr>
            </w:pPr>
          </w:p>
        </w:tc>
        <w:tc>
          <w:tcPr>
            <w:tcW w:w="1596" w:type="dxa"/>
          </w:tcPr>
          <w:p w14:paraId="03CC684F" w14:textId="77777777" w:rsidR="0046798B" w:rsidRDefault="0046798B">
            <w:pPr>
              <w:pStyle w:val="TableParagraph"/>
              <w:rPr>
                <w:sz w:val="20"/>
              </w:rPr>
            </w:pPr>
          </w:p>
        </w:tc>
        <w:tc>
          <w:tcPr>
            <w:tcW w:w="1285" w:type="dxa"/>
          </w:tcPr>
          <w:p w14:paraId="53CA4D01" w14:textId="77777777" w:rsidR="0046798B" w:rsidRDefault="0046798B">
            <w:pPr>
              <w:pStyle w:val="TableParagraph"/>
              <w:rPr>
                <w:sz w:val="20"/>
              </w:rPr>
            </w:pPr>
          </w:p>
        </w:tc>
        <w:tc>
          <w:tcPr>
            <w:tcW w:w="3421" w:type="dxa"/>
          </w:tcPr>
          <w:p w14:paraId="12F902F2" w14:textId="77777777" w:rsidR="0046798B" w:rsidRDefault="00903B5C">
            <w:pPr>
              <w:pStyle w:val="TableParagraph"/>
              <w:spacing w:before="43"/>
              <w:ind w:left="114" w:right="183"/>
              <w:rPr>
                <w:sz w:val="20"/>
              </w:rPr>
            </w:pPr>
            <w:r>
              <w:rPr>
                <w:sz w:val="20"/>
              </w:rPr>
              <w:t>analysis/sampling after probable cause hearing/indictment, 0 = no; +0.25 if can take from some misdemeanants)</w:t>
            </w:r>
          </w:p>
        </w:tc>
        <w:tc>
          <w:tcPr>
            <w:tcW w:w="6482" w:type="dxa"/>
          </w:tcPr>
          <w:p w14:paraId="75F2C0BF" w14:textId="77777777" w:rsidR="0046798B" w:rsidRDefault="0046798B">
            <w:pPr>
              <w:pStyle w:val="TableParagraph"/>
              <w:rPr>
                <w:sz w:val="20"/>
              </w:rPr>
            </w:pPr>
          </w:p>
        </w:tc>
      </w:tr>
      <w:tr w:rsidR="0046798B" w14:paraId="4A657D0A" w14:textId="77777777">
        <w:trPr>
          <w:trHeight w:val="775"/>
        </w:trPr>
        <w:tc>
          <w:tcPr>
            <w:tcW w:w="1711" w:type="dxa"/>
          </w:tcPr>
          <w:p w14:paraId="3A57740D" w14:textId="77777777" w:rsidR="0046798B" w:rsidRDefault="0046798B">
            <w:pPr>
              <w:pStyle w:val="TableParagraph"/>
              <w:spacing w:before="8"/>
              <w:rPr>
                <w:sz w:val="23"/>
              </w:rPr>
            </w:pPr>
          </w:p>
          <w:p w14:paraId="480BEC11" w14:textId="77777777" w:rsidR="0046798B" w:rsidRDefault="00903B5C">
            <w:pPr>
              <w:pStyle w:val="TableParagraph"/>
              <w:spacing w:before="1"/>
              <w:ind w:left="115"/>
              <w:rPr>
                <w:b/>
                <w:sz w:val="20"/>
              </w:rPr>
            </w:pPr>
            <w:r>
              <w:rPr>
                <w:b/>
                <w:sz w:val="20"/>
              </w:rPr>
              <w:t>dprost</w:t>
            </w:r>
          </w:p>
        </w:tc>
        <w:tc>
          <w:tcPr>
            <w:tcW w:w="1596" w:type="dxa"/>
          </w:tcPr>
          <w:p w14:paraId="0C6C1DBF" w14:textId="77777777" w:rsidR="0046798B" w:rsidRDefault="00903B5C">
            <w:pPr>
              <w:pStyle w:val="TableParagraph"/>
              <w:spacing w:before="43"/>
              <w:ind w:left="114" w:right="519"/>
              <w:jc w:val="both"/>
              <w:rPr>
                <w:sz w:val="20"/>
              </w:rPr>
            </w:pPr>
            <w:r>
              <w:rPr>
                <w:sz w:val="20"/>
              </w:rPr>
              <w:t>Prostitution legalization local option</w:t>
            </w:r>
          </w:p>
        </w:tc>
        <w:tc>
          <w:tcPr>
            <w:tcW w:w="1285" w:type="dxa"/>
          </w:tcPr>
          <w:p w14:paraId="2ABDEC80" w14:textId="77777777" w:rsidR="0046798B" w:rsidRDefault="0046798B">
            <w:pPr>
              <w:pStyle w:val="TableParagraph"/>
              <w:spacing w:before="8"/>
              <w:rPr>
                <w:sz w:val="23"/>
              </w:rPr>
            </w:pPr>
          </w:p>
          <w:p w14:paraId="5326A23F" w14:textId="77777777" w:rsidR="0046798B" w:rsidRDefault="00903B5C">
            <w:pPr>
              <w:pStyle w:val="TableParagraph"/>
              <w:spacing w:before="1"/>
              <w:ind w:left="114"/>
              <w:rPr>
                <w:sz w:val="20"/>
              </w:rPr>
            </w:pPr>
            <w:r>
              <w:rPr>
                <w:sz w:val="20"/>
              </w:rPr>
              <w:t>1957–2016</w:t>
            </w:r>
          </w:p>
        </w:tc>
        <w:tc>
          <w:tcPr>
            <w:tcW w:w="3421" w:type="dxa"/>
          </w:tcPr>
          <w:p w14:paraId="0C2B2A20" w14:textId="77777777" w:rsidR="0046798B" w:rsidRDefault="00903B5C">
            <w:pPr>
              <w:pStyle w:val="TableParagraph"/>
              <w:spacing w:before="43"/>
              <w:ind w:left="114" w:right="272"/>
              <w:rPr>
                <w:sz w:val="20"/>
              </w:rPr>
            </w:pPr>
            <w:r>
              <w:rPr>
                <w:sz w:val="20"/>
              </w:rPr>
              <w:t>Prostitution legalization local option? (0 = no, 0.5 = independent practice only, 1 = yes)</w:t>
            </w:r>
          </w:p>
        </w:tc>
        <w:tc>
          <w:tcPr>
            <w:tcW w:w="6482" w:type="dxa"/>
          </w:tcPr>
          <w:p w14:paraId="6EFBBBEE"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4229E7D" w14:textId="77777777">
        <w:trPr>
          <w:trHeight w:val="780"/>
        </w:trPr>
        <w:tc>
          <w:tcPr>
            <w:tcW w:w="1711" w:type="dxa"/>
          </w:tcPr>
          <w:p w14:paraId="327AD1E9" w14:textId="77777777" w:rsidR="0046798B" w:rsidRDefault="0046798B">
            <w:pPr>
              <w:pStyle w:val="TableParagraph"/>
              <w:spacing w:before="9"/>
              <w:rPr>
                <w:sz w:val="23"/>
              </w:rPr>
            </w:pPr>
          </w:p>
          <w:p w14:paraId="2CD392FD" w14:textId="77777777" w:rsidR="0046798B" w:rsidRDefault="00903B5C">
            <w:pPr>
              <w:pStyle w:val="TableParagraph"/>
              <w:ind w:left="115"/>
              <w:rPr>
                <w:b/>
                <w:sz w:val="20"/>
              </w:rPr>
            </w:pPr>
            <w:r>
              <w:rPr>
                <w:b/>
                <w:sz w:val="20"/>
              </w:rPr>
              <w:t>ohell</w:t>
            </w:r>
          </w:p>
        </w:tc>
        <w:tc>
          <w:tcPr>
            <w:tcW w:w="1596" w:type="dxa"/>
          </w:tcPr>
          <w:p w14:paraId="4BBAC85B" w14:textId="77777777" w:rsidR="0046798B" w:rsidRDefault="00903B5C">
            <w:pPr>
              <w:pStyle w:val="TableParagraph"/>
              <w:spacing w:before="159"/>
              <w:ind w:left="114" w:right="157"/>
              <w:rPr>
                <w:sz w:val="20"/>
              </w:rPr>
            </w:pPr>
            <w:r>
              <w:rPr>
                <w:sz w:val="20"/>
              </w:rPr>
              <w:t>State contains a judicial hellhole</w:t>
            </w:r>
          </w:p>
        </w:tc>
        <w:tc>
          <w:tcPr>
            <w:tcW w:w="1285" w:type="dxa"/>
          </w:tcPr>
          <w:p w14:paraId="57A519BB" w14:textId="77777777" w:rsidR="0046798B" w:rsidRDefault="0046798B">
            <w:pPr>
              <w:pStyle w:val="TableParagraph"/>
              <w:spacing w:before="9"/>
              <w:rPr>
                <w:sz w:val="23"/>
              </w:rPr>
            </w:pPr>
          </w:p>
          <w:p w14:paraId="73D9107E" w14:textId="77777777" w:rsidR="0046798B" w:rsidRDefault="00903B5C">
            <w:pPr>
              <w:pStyle w:val="TableParagraph"/>
              <w:ind w:left="114"/>
              <w:rPr>
                <w:sz w:val="20"/>
              </w:rPr>
            </w:pPr>
            <w:r>
              <w:rPr>
                <w:sz w:val="20"/>
              </w:rPr>
              <w:t>2003–2017</w:t>
            </w:r>
          </w:p>
        </w:tc>
        <w:tc>
          <w:tcPr>
            <w:tcW w:w="3421" w:type="dxa"/>
          </w:tcPr>
          <w:p w14:paraId="695AB1C0" w14:textId="77777777" w:rsidR="0046798B" w:rsidRDefault="00903B5C">
            <w:pPr>
              <w:pStyle w:val="TableParagraph"/>
              <w:spacing w:before="159"/>
              <w:ind w:left="114" w:right="209"/>
              <w:rPr>
                <w:sz w:val="20"/>
              </w:rPr>
            </w:pPr>
            <w:r>
              <w:rPr>
                <w:sz w:val="20"/>
              </w:rPr>
              <w:t>State contains a judicial hellhole? (0 = no, 0.5 = watch list, 1 = yes)</w:t>
            </w:r>
          </w:p>
        </w:tc>
        <w:tc>
          <w:tcPr>
            <w:tcW w:w="6482" w:type="dxa"/>
          </w:tcPr>
          <w:p w14:paraId="5761F5E1" w14:textId="77777777" w:rsidR="0046798B" w:rsidRDefault="00903B5C">
            <w:pPr>
              <w:pStyle w:val="TableParagraph"/>
              <w:spacing w:before="44"/>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5CA9B77" w14:textId="77777777">
        <w:trPr>
          <w:trHeight w:val="1925"/>
        </w:trPr>
        <w:tc>
          <w:tcPr>
            <w:tcW w:w="1711" w:type="dxa"/>
          </w:tcPr>
          <w:p w14:paraId="1F2714E1" w14:textId="77777777" w:rsidR="0046798B" w:rsidRDefault="0046798B">
            <w:pPr>
              <w:pStyle w:val="TableParagraph"/>
            </w:pPr>
          </w:p>
          <w:p w14:paraId="3958ABB1" w14:textId="77777777" w:rsidR="0046798B" w:rsidRDefault="0046798B">
            <w:pPr>
              <w:pStyle w:val="TableParagraph"/>
            </w:pPr>
          </w:p>
          <w:p w14:paraId="19BF88BC" w14:textId="77777777" w:rsidR="0046798B" w:rsidRDefault="0046798B">
            <w:pPr>
              <w:pStyle w:val="TableParagraph"/>
              <w:spacing w:before="4"/>
              <w:rPr>
                <w:sz w:val="29"/>
              </w:rPr>
            </w:pPr>
          </w:p>
          <w:p w14:paraId="63ED4932" w14:textId="77777777" w:rsidR="0046798B" w:rsidRDefault="00903B5C">
            <w:pPr>
              <w:pStyle w:val="TableParagraph"/>
              <w:ind w:left="115"/>
              <w:rPr>
                <w:b/>
                <w:sz w:val="20"/>
              </w:rPr>
            </w:pPr>
            <w:r>
              <w:rPr>
                <w:b/>
                <w:sz w:val="20"/>
              </w:rPr>
              <w:t>ojsl</w:t>
            </w:r>
          </w:p>
        </w:tc>
        <w:tc>
          <w:tcPr>
            <w:tcW w:w="1596" w:type="dxa"/>
          </w:tcPr>
          <w:p w14:paraId="211DE626" w14:textId="77777777" w:rsidR="0046798B" w:rsidRDefault="0046798B">
            <w:pPr>
              <w:pStyle w:val="TableParagraph"/>
            </w:pPr>
          </w:p>
          <w:p w14:paraId="1312F143" w14:textId="77777777" w:rsidR="0046798B" w:rsidRDefault="0046798B">
            <w:pPr>
              <w:pStyle w:val="TableParagraph"/>
              <w:spacing w:before="4"/>
              <w:rPr>
                <w:sz w:val="31"/>
              </w:rPr>
            </w:pPr>
          </w:p>
          <w:p w14:paraId="58BE4652" w14:textId="77777777" w:rsidR="0046798B" w:rsidRDefault="00903B5C">
            <w:pPr>
              <w:pStyle w:val="TableParagraph"/>
              <w:ind w:left="114" w:right="107"/>
              <w:rPr>
                <w:sz w:val="20"/>
              </w:rPr>
            </w:pPr>
            <w:r>
              <w:rPr>
                <w:sz w:val="20"/>
              </w:rPr>
              <w:t>Joint and several liability abolished</w:t>
            </w:r>
          </w:p>
        </w:tc>
        <w:tc>
          <w:tcPr>
            <w:tcW w:w="1285" w:type="dxa"/>
          </w:tcPr>
          <w:p w14:paraId="169C8D5C" w14:textId="77777777" w:rsidR="0046798B" w:rsidRDefault="0046798B">
            <w:pPr>
              <w:pStyle w:val="TableParagraph"/>
            </w:pPr>
          </w:p>
          <w:p w14:paraId="0EE7C689" w14:textId="77777777" w:rsidR="0046798B" w:rsidRDefault="0046798B">
            <w:pPr>
              <w:pStyle w:val="TableParagraph"/>
            </w:pPr>
          </w:p>
          <w:p w14:paraId="6CB82D84" w14:textId="77777777" w:rsidR="0046798B" w:rsidRDefault="0046798B">
            <w:pPr>
              <w:pStyle w:val="TableParagraph"/>
              <w:spacing w:before="4"/>
              <w:rPr>
                <w:sz w:val="29"/>
              </w:rPr>
            </w:pPr>
          </w:p>
          <w:p w14:paraId="70B7002F" w14:textId="77777777" w:rsidR="0046798B" w:rsidRDefault="00903B5C">
            <w:pPr>
              <w:pStyle w:val="TableParagraph"/>
              <w:ind w:left="114"/>
              <w:rPr>
                <w:sz w:val="20"/>
              </w:rPr>
            </w:pPr>
            <w:r>
              <w:rPr>
                <w:sz w:val="20"/>
              </w:rPr>
              <w:t>2001–2016</w:t>
            </w:r>
          </w:p>
        </w:tc>
        <w:tc>
          <w:tcPr>
            <w:tcW w:w="3421" w:type="dxa"/>
          </w:tcPr>
          <w:p w14:paraId="378F062F" w14:textId="77777777" w:rsidR="0046798B" w:rsidRDefault="00903B5C">
            <w:pPr>
              <w:pStyle w:val="TableParagraph"/>
              <w:spacing w:before="38"/>
              <w:ind w:left="114"/>
              <w:rPr>
                <w:sz w:val="20"/>
              </w:rPr>
            </w:pPr>
            <w:r>
              <w:rPr>
                <w:sz w:val="20"/>
              </w:rPr>
              <w:t>Joint and several liability abolished? (0</w:t>
            </w:r>
          </w:p>
          <w:p w14:paraId="04ECFD56" w14:textId="77777777" w:rsidR="0046798B" w:rsidRDefault="00903B5C">
            <w:pPr>
              <w:pStyle w:val="TableParagraph"/>
              <w:ind w:left="114" w:right="205"/>
              <w:rPr>
                <w:sz w:val="20"/>
              </w:rPr>
            </w:pPr>
            <w:r>
              <w:rPr>
                <w:sz w:val="20"/>
              </w:rPr>
              <w:t>= no, 0.5 = for personal injury/wrongful death only or exceptions for hazardous waste, drunk driving, medical/pharmaceutical, willful/wanton conduct of one defendant, or acting as employee, 1 = yes)</w:t>
            </w:r>
          </w:p>
        </w:tc>
        <w:tc>
          <w:tcPr>
            <w:tcW w:w="6482" w:type="dxa"/>
          </w:tcPr>
          <w:p w14:paraId="12BF91EE" w14:textId="77777777" w:rsidR="0046798B" w:rsidRDefault="0046798B">
            <w:pPr>
              <w:pStyle w:val="TableParagraph"/>
            </w:pPr>
          </w:p>
          <w:p w14:paraId="5A4E0817" w14:textId="77777777" w:rsidR="0046798B" w:rsidRDefault="0046798B">
            <w:pPr>
              <w:pStyle w:val="TableParagraph"/>
              <w:spacing w:before="4"/>
              <w:rPr>
                <w:sz w:val="31"/>
              </w:rPr>
            </w:pPr>
          </w:p>
          <w:p w14:paraId="7E992FC5"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CD95E10" w14:textId="77777777">
        <w:trPr>
          <w:trHeight w:val="1465"/>
        </w:trPr>
        <w:tc>
          <w:tcPr>
            <w:tcW w:w="1711" w:type="dxa"/>
          </w:tcPr>
          <w:p w14:paraId="58BB0AA8" w14:textId="77777777" w:rsidR="0046798B" w:rsidRDefault="0046798B">
            <w:pPr>
              <w:pStyle w:val="TableParagraph"/>
            </w:pPr>
          </w:p>
          <w:p w14:paraId="1A94B47D" w14:textId="77777777" w:rsidR="0046798B" w:rsidRDefault="0046798B">
            <w:pPr>
              <w:pStyle w:val="TableParagraph"/>
              <w:spacing w:before="3"/>
              <w:rPr>
                <w:sz w:val="31"/>
              </w:rPr>
            </w:pPr>
          </w:p>
          <w:p w14:paraId="55DCD0A3" w14:textId="77777777" w:rsidR="0046798B" w:rsidRDefault="00903B5C">
            <w:pPr>
              <w:pStyle w:val="TableParagraph"/>
              <w:spacing w:before="1"/>
              <w:ind w:left="115"/>
              <w:rPr>
                <w:b/>
                <w:sz w:val="20"/>
              </w:rPr>
            </w:pPr>
            <w:r>
              <w:rPr>
                <w:b/>
                <w:sz w:val="20"/>
              </w:rPr>
              <w:t>oliabrk</w:t>
            </w:r>
          </w:p>
        </w:tc>
        <w:tc>
          <w:tcPr>
            <w:tcW w:w="1596" w:type="dxa"/>
          </w:tcPr>
          <w:p w14:paraId="133CE405" w14:textId="77777777" w:rsidR="0046798B" w:rsidRDefault="0046798B">
            <w:pPr>
              <w:pStyle w:val="TableParagraph"/>
            </w:pPr>
          </w:p>
          <w:p w14:paraId="22044F63" w14:textId="77777777" w:rsidR="0046798B" w:rsidRDefault="00903B5C">
            <w:pPr>
              <w:pStyle w:val="TableParagraph"/>
              <w:spacing w:before="130"/>
              <w:ind w:left="114" w:right="104"/>
              <w:jc w:val="both"/>
              <w:rPr>
                <w:sz w:val="20"/>
              </w:rPr>
            </w:pPr>
            <w:r>
              <w:rPr>
                <w:sz w:val="20"/>
              </w:rPr>
              <w:t>Ranking of state liability systems: “SCORE”</w:t>
            </w:r>
          </w:p>
        </w:tc>
        <w:tc>
          <w:tcPr>
            <w:tcW w:w="1285" w:type="dxa"/>
          </w:tcPr>
          <w:p w14:paraId="1A664BF4" w14:textId="77777777" w:rsidR="0046798B" w:rsidRDefault="0046798B">
            <w:pPr>
              <w:pStyle w:val="TableParagraph"/>
            </w:pPr>
          </w:p>
          <w:p w14:paraId="617C91F3" w14:textId="77777777" w:rsidR="0046798B" w:rsidRDefault="0046798B">
            <w:pPr>
              <w:pStyle w:val="TableParagraph"/>
              <w:spacing w:before="3"/>
              <w:rPr>
                <w:sz w:val="31"/>
              </w:rPr>
            </w:pPr>
          </w:p>
          <w:p w14:paraId="02F80DF8" w14:textId="77777777" w:rsidR="0046798B" w:rsidRDefault="00903B5C">
            <w:pPr>
              <w:pStyle w:val="TableParagraph"/>
              <w:spacing w:before="1"/>
              <w:ind w:left="114"/>
              <w:rPr>
                <w:sz w:val="20"/>
              </w:rPr>
            </w:pPr>
            <w:r>
              <w:rPr>
                <w:sz w:val="20"/>
              </w:rPr>
              <w:t>2001–2017</w:t>
            </w:r>
          </w:p>
        </w:tc>
        <w:tc>
          <w:tcPr>
            <w:tcW w:w="3421" w:type="dxa"/>
          </w:tcPr>
          <w:p w14:paraId="013C8BC9" w14:textId="77777777" w:rsidR="0046798B" w:rsidRDefault="00903B5C">
            <w:pPr>
              <w:pStyle w:val="TableParagraph"/>
              <w:spacing w:before="38"/>
              <w:ind w:left="114" w:right="150"/>
              <w:rPr>
                <w:sz w:val="20"/>
              </w:rPr>
            </w:pPr>
            <w:r>
              <w:rPr>
                <w:sz w:val="20"/>
              </w:rPr>
              <w:t>Ranking of state liability systems: “SCORE” (see source: U.S. Chamber Institute for Legal Reform, 2006 State Liability Systems Ranking Study; higher scores indicate less tortious systems)</w:t>
            </w:r>
          </w:p>
        </w:tc>
        <w:tc>
          <w:tcPr>
            <w:tcW w:w="6482" w:type="dxa"/>
          </w:tcPr>
          <w:p w14:paraId="0ACB4357" w14:textId="77777777" w:rsidR="0046798B" w:rsidRDefault="0046798B">
            <w:pPr>
              <w:pStyle w:val="TableParagraph"/>
            </w:pPr>
          </w:p>
          <w:p w14:paraId="32E31640" w14:textId="77777777" w:rsidR="0046798B" w:rsidRDefault="00903B5C">
            <w:pPr>
              <w:pStyle w:val="TableParagraph"/>
              <w:spacing w:before="130"/>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2D0F7B7" w14:textId="77777777">
        <w:trPr>
          <w:trHeight w:val="1005"/>
        </w:trPr>
        <w:tc>
          <w:tcPr>
            <w:tcW w:w="1711" w:type="dxa"/>
          </w:tcPr>
          <w:p w14:paraId="49FA5C6F" w14:textId="77777777" w:rsidR="0046798B" w:rsidRDefault="0046798B">
            <w:pPr>
              <w:pStyle w:val="TableParagraph"/>
            </w:pPr>
          </w:p>
          <w:p w14:paraId="24B8F940" w14:textId="77777777" w:rsidR="0046798B" w:rsidRDefault="00903B5C">
            <w:pPr>
              <w:pStyle w:val="TableParagraph"/>
              <w:spacing w:before="130"/>
              <w:ind w:left="115"/>
              <w:rPr>
                <w:b/>
                <w:sz w:val="20"/>
              </w:rPr>
            </w:pPr>
            <w:r>
              <w:rPr>
                <w:b/>
                <w:sz w:val="20"/>
              </w:rPr>
              <w:t>oliabimp</w:t>
            </w:r>
          </w:p>
        </w:tc>
        <w:tc>
          <w:tcPr>
            <w:tcW w:w="1596" w:type="dxa"/>
          </w:tcPr>
          <w:p w14:paraId="673EC771" w14:textId="77777777" w:rsidR="0046798B" w:rsidRDefault="00903B5C">
            <w:pPr>
              <w:pStyle w:val="TableParagraph"/>
              <w:spacing w:before="160" w:line="237" w:lineRule="auto"/>
              <w:ind w:left="114" w:right="96"/>
              <w:rPr>
                <w:sz w:val="20"/>
              </w:rPr>
            </w:pPr>
            <w:r>
              <w:rPr>
                <w:sz w:val="20"/>
              </w:rPr>
              <w:t>Mean imputed values for state tort system score</w:t>
            </w:r>
          </w:p>
        </w:tc>
        <w:tc>
          <w:tcPr>
            <w:tcW w:w="1285" w:type="dxa"/>
          </w:tcPr>
          <w:p w14:paraId="6E7626EB" w14:textId="77777777" w:rsidR="0046798B" w:rsidRDefault="0046798B">
            <w:pPr>
              <w:pStyle w:val="TableParagraph"/>
            </w:pPr>
          </w:p>
          <w:p w14:paraId="45C002A7" w14:textId="77777777" w:rsidR="0046798B" w:rsidRDefault="00903B5C">
            <w:pPr>
              <w:pStyle w:val="TableParagraph"/>
              <w:spacing w:before="130"/>
              <w:ind w:left="114"/>
              <w:rPr>
                <w:sz w:val="20"/>
              </w:rPr>
            </w:pPr>
            <w:r>
              <w:rPr>
                <w:sz w:val="20"/>
              </w:rPr>
              <w:t>2001–2016</w:t>
            </w:r>
          </w:p>
        </w:tc>
        <w:tc>
          <w:tcPr>
            <w:tcW w:w="3421" w:type="dxa"/>
          </w:tcPr>
          <w:p w14:paraId="72328F1D" w14:textId="77777777" w:rsidR="0046798B" w:rsidRDefault="00903B5C">
            <w:pPr>
              <w:pStyle w:val="TableParagraph"/>
              <w:spacing w:before="45" w:line="237" w:lineRule="auto"/>
              <w:ind w:left="114" w:right="239"/>
              <w:rPr>
                <w:sz w:val="20"/>
              </w:rPr>
            </w:pPr>
            <w:r>
              <w:rPr>
                <w:sz w:val="20"/>
              </w:rPr>
              <w:t>Mean imputed values for state tort system score (oliabrk) (imputation conducted using Amelia II package in R 3.4)</w:t>
            </w:r>
          </w:p>
        </w:tc>
        <w:tc>
          <w:tcPr>
            <w:tcW w:w="6482" w:type="dxa"/>
          </w:tcPr>
          <w:p w14:paraId="18A9528F" w14:textId="77777777" w:rsidR="0046798B" w:rsidRDefault="00903B5C">
            <w:pPr>
              <w:pStyle w:val="TableParagraph"/>
              <w:spacing w:before="160" w:line="237" w:lineRule="auto"/>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A98FE39" w14:textId="77777777">
        <w:trPr>
          <w:trHeight w:val="1235"/>
        </w:trPr>
        <w:tc>
          <w:tcPr>
            <w:tcW w:w="1711" w:type="dxa"/>
          </w:tcPr>
          <w:p w14:paraId="15BBF110" w14:textId="77777777" w:rsidR="0046798B" w:rsidRDefault="0046798B">
            <w:pPr>
              <w:pStyle w:val="TableParagraph"/>
            </w:pPr>
          </w:p>
          <w:p w14:paraId="661BB486" w14:textId="77777777" w:rsidR="0046798B" w:rsidRDefault="0046798B">
            <w:pPr>
              <w:pStyle w:val="TableParagraph"/>
              <w:spacing w:before="8"/>
              <w:rPr>
                <w:sz w:val="21"/>
              </w:rPr>
            </w:pPr>
          </w:p>
          <w:p w14:paraId="4FE95DFB" w14:textId="77777777" w:rsidR="0046798B" w:rsidRDefault="00903B5C">
            <w:pPr>
              <w:pStyle w:val="TableParagraph"/>
              <w:spacing w:before="1"/>
              <w:ind w:left="115"/>
              <w:rPr>
                <w:b/>
                <w:sz w:val="20"/>
              </w:rPr>
            </w:pPr>
            <w:r>
              <w:rPr>
                <w:b/>
                <w:sz w:val="20"/>
              </w:rPr>
              <w:t>oliabma</w:t>
            </w:r>
          </w:p>
        </w:tc>
        <w:tc>
          <w:tcPr>
            <w:tcW w:w="1596" w:type="dxa"/>
          </w:tcPr>
          <w:p w14:paraId="46C75634" w14:textId="77777777" w:rsidR="0046798B" w:rsidRDefault="00903B5C">
            <w:pPr>
              <w:pStyle w:val="TableParagraph"/>
              <w:spacing w:before="43"/>
              <w:ind w:left="114" w:right="180"/>
              <w:rPr>
                <w:sz w:val="20"/>
              </w:rPr>
            </w:pPr>
            <w:r>
              <w:rPr>
                <w:sz w:val="20"/>
              </w:rPr>
              <w:t>Smoothed, three-year moving average of imputed</w:t>
            </w:r>
            <w:r>
              <w:rPr>
                <w:spacing w:val="-2"/>
                <w:sz w:val="20"/>
              </w:rPr>
              <w:t xml:space="preserve"> </w:t>
            </w:r>
            <w:r>
              <w:rPr>
                <w:spacing w:val="-3"/>
                <w:sz w:val="20"/>
              </w:rPr>
              <w:t>state</w:t>
            </w:r>
          </w:p>
          <w:p w14:paraId="6842D192" w14:textId="77777777" w:rsidR="0046798B" w:rsidRDefault="00903B5C">
            <w:pPr>
              <w:pStyle w:val="TableParagraph"/>
              <w:ind w:left="114"/>
              <w:rPr>
                <w:sz w:val="20"/>
              </w:rPr>
            </w:pPr>
            <w:r>
              <w:rPr>
                <w:sz w:val="20"/>
              </w:rPr>
              <w:t>tort system</w:t>
            </w:r>
            <w:r>
              <w:rPr>
                <w:spacing w:val="-1"/>
                <w:sz w:val="20"/>
              </w:rPr>
              <w:t xml:space="preserve"> </w:t>
            </w:r>
            <w:r>
              <w:rPr>
                <w:sz w:val="20"/>
              </w:rPr>
              <w:t>score</w:t>
            </w:r>
          </w:p>
        </w:tc>
        <w:tc>
          <w:tcPr>
            <w:tcW w:w="1285" w:type="dxa"/>
          </w:tcPr>
          <w:p w14:paraId="666EAF38" w14:textId="77777777" w:rsidR="0046798B" w:rsidRDefault="0046798B">
            <w:pPr>
              <w:pStyle w:val="TableParagraph"/>
            </w:pPr>
          </w:p>
          <w:p w14:paraId="3F44E7BD" w14:textId="77777777" w:rsidR="0046798B" w:rsidRDefault="0046798B">
            <w:pPr>
              <w:pStyle w:val="TableParagraph"/>
              <w:spacing w:before="8"/>
              <w:rPr>
                <w:sz w:val="21"/>
              </w:rPr>
            </w:pPr>
          </w:p>
          <w:p w14:paraId="517B02D1" w14:textId="77777777" w:rsidR="0046798B" w:rsidRDefault="00903B5C">
            <w:pPr>
              <w:pStyle w:val="TableParagraph"/>
              <w:spacing w:before="1"/>
              <w:ind w:left="114"/>
              <w:rPr>
                <w:sz w:val="20"/>
              </w:rPr>
            </w:pPr>
            <w:r>
              <w:rPr>
                <w:sz w:val="20"/>
              </w:rPr>
              <w:t>2001–2016</w:t>
            </w:r>
          </w:p>
        </w:tc>
        <w:tc>
          <w:tcPr>
            <w:tcW w:w="3421" w:type="dxa"/>
          </w:tcPr>
          <w:p w14:paraId="7727FEDD" w14:textId="77777777" w:rsidR="0046798B" w:rsidRDefault="0046798B">
            <w:pPr>
              <w:pStyle w:val="TableParagraph"/>
            </w:pPr>
          </w:p>
          <w:p w14:paraId="5469568D" w14:textId="77777777" w:rsidR="0046798B" w:rsidRDefault="00903B5C">
            <w:pPr>
              <w:pStyle w:val="TableParagraph"/>
              <w:spacing w:before="135"/>
              <w:ind w:left="114" w:right="222"/>
              <w:rPr>
                <w:sz w:val="20"/>
              </w:rPr>
            </w:pPr>
            <w:r>
              <w:rPr>
                <w:sz w:val="20"/>
              </w:rPr>
              <w:t>Smoothed, three-year moving average of imputed state tort system score</w:t>
            </w:r>
          </w:p>
        </w:tc>
        <w:tc>
          <w:tcPr>
            <w:tcW w:w="6482" w:type="dxa"/>
          </w:tcPr>
          <w:p w14:paraId="682A3936" w14:textId="77777777" w:rsidR="0046798B" w:rsidRDefault="0046798B">
            <w:pPr>
              <w:pStyle w:val="TableParagraph"/>
              <w:spacing w:before="8"/>
              <w:rPr>
                <w:sz w:val="23"/>
              </w:rPr>
            </w:pPr>
          </w:p>
          <w:p w14:paraId="36E1AC3A" w14:textId="77777777" w:rsidR="0046798B" w:rsidRDefault="00903B5C">
            <w:pPr>
              <w:pStyle w:val="TableParagraph"/>
              <w:spacing w:before="1"/>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B1EA191" w14:textId="77777777">
        <w:trPr>
          <w:trHeight w:val="1235"/>
        </w:trPr>
        <w:tc>
          <w:tcPr>
            <w:tcW w:w="1711" w:type="dxa"/>
          </w:tcPr>
          <w:p w14:paraId="2A5D7952" w14:textId="77777777" w:rsidR="0046798B" w:rsidRDefault="0046798B">
            <w:pPr>
              <w:pStyle w:val="TableParagraph"/>
            </w:pPr>
          </w:p>
          <w:p w14:paraId="5F04037F" w14:textId="77777777" w:rsidR="0046798B" w:rsidRDefault="0046798B">
            <w:pPr>
              <w:pStyle w:val="TableParagraph"/>
              <w:spacing w:before="8"/>
              <w:rPr>
                <w:sz w:val="21"/>
              </w:rPr>
            </w:pPr>
          </w:p>
          <w:p w14:paraId="38070EA1" w14:textId="77777777" w:rsidR="0046798B" w:rsidRDefault="00903B5C">
            <w:pPr>
              <w:pStyle w:val="TableParagraph"/>
              <w:spacing w:before="1"/>
              <w:ind w:left="115"/>
              <w:rPr>
                <w:b/>
                <w:sz w:val="20"/>
              </w:rPr>
            </w:pPr>
            <w:r>
              <w:rPr>
                <w:b/>
                <w:sz w:val="20"/>
              </w:rPr>
              <w:t>ocases</w:t>
            </w:r>
          </w:p>
        </w:tc>
        <w:tc>
          <w:tcPr>
            <w:tcW w:w="1596" w:type="dxa"/>
          </w:tcPr>
          <w:p w14:paraId="01C91B1F" w14:textId="77777777" w:rsidR="0046798B" w:rsidRDefault="00903B5C">
            <w:pPr>
              <w:pStyle w:val="TableParagraph"/>
              <w:spacing w:before="43"/>
              <w:ind w:left="114" w:right="257"/>
              <w:rPr>
                <w:sz w:val="20"/>
              </w:rPr>
            </w:pPr>
            <w:r>
              <w:rPr>
                <w:sz w:val="20"/>
              </w:rPr>
              <w:t>Statewide civil incoming caseloads per 100,000</w:t>
            </w:r>
          </w:p>
          <w:p w14:paraId="1B222591" w14:textId="77777777" w:rsidR="0046798B" w:rsidRDefault="00903B5C">
            <w:pPr>
              <w:pStyle w:val="TableParagraph"/>
              <w:spacing w:before="1"/>
              <w:ind w:left="114"/>
              <w:rPr>
                <w:sz w:val="20"/>
              </w:rPr>
            </w:pPr>
            <w:r>
              <w:rPr>
                <w:sz w:val="20"/>
              </w:rPr>
              <w:t>population</w:t>
            </w:r>
          </w:p>
        </w:tc>
        <w:tc>
          <w:tcPr>
            <w:tcW w:w="1285" w:type="dxa"/>
          </w:tcPr>
          <w:p w14:paraId="0807F317" w14:textId="77777777" w:rsidR="0046798B" w:rsidRDefault="0046798B">
            <w:pPr>
              <w:pStyle w:val="TableParagraph"/>
            </w:pPr>
          </w:p>
          <w:p w14:paraId="34056171" w14:textId="77777777" w:rsidR="0046798B" w:rsidRDefault="0046798B">
            <w:pPr>
              <w:pStyle w:val="TableParagraph"/>
              <w:spacing w:before="8"/>
              <w:rPr>
                <w:sz w:val="21"/>
              </w:rPr>
            </w:pPr>
          </w:p>
          <w:p w14:paraId="4D780CB5" w14:textId="77777777" w:rsidR="0046798B" w:rsidRDefault="00903B5C">
            <w:pPr>
              <w:pStyle w:val="TableParagraph"/>
              <w:spacing w:before="1"/>
              <w:ind w:left="114"/>
              <w:rPr>
                <w:sz w:val="20"/>
              </w:rPr>
            </w:pPr>
            <w:r>
              <w:rPr>
                <w:sz w:val="20"/>
              </w:rPr>
              <w:t>2012–2015</w:t>
            </w:r>
          </w:p>
        </w:tc>
        <w:tc>
          <w:tcPr>
            <w:tcW w:w="3421" w:type="dxa"/>
          </w:tcPr>
          <w:p w14:paraId="118C61BC" w14:textId="77777777" w:rsidR="0046798B" w:rsidRDefault="0046798B">
            <w:pPr>
              <w:pStyle w:val="TableParagraph"/>
            </w:pPr>
          </w:p>
          <w:p w14:paraId="518E24F0" w14:textId="77777777" w:rsidR="0046798B" w:rsidRDefault="00903B5C">
            <w:pPr>
              <w:pStyle w:val="TableParagraph"/>
              <w:spacing w:before="135"/>
              <w:ind w:left="114" w:right="155"/>
              <w:rPr>
                <w:sz w:val="20"/>
              </w:rPr>
            </w:pPr>
            <w:r>
              <w:rPr>
                <w:sz w:val="20"/>
              </w:rPr>
              <w:t>Statewide civil incoming caseloads per 100,000 population</w:t>
            </w:r>
          </w:p>
        </w:tc>
        <w:tc>
          <w:tcPr>
            <w:tcW w:w="6482" w:type="dxa"/>
          </w:tcPr>
          <w:p w14:paraId="552BFB81" w14:textId="77777777" w:rsidR="0046798B" w:rsidRDefault="0046798B">
            <w:pPr>
              <w:pStyle w:val="TableParagraph"/>
              <w:spacing w:before="8"/>
              <w:rPr>
                <w:sz w:val="23"/>
              </w:rPr>
            </w:pPr>
          </w:p>
          <w:p w14:paraId="135C686C"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41292991" w14:textId="77777777" w:rsidR="0046798B" w:rsidRDefault="0046798B">
      <w:pPr>
        <w:rPr>
          <w:sz w:val="20"/>
        </w:rPr>
        <w:sectPr w:rsidR="0046798B">
          <w:pgSz w:w="15840" w:h="12240" w:orient="landscape"/>
          <w:pgMar w:top="1220" w:right="300" w:bottom="980" w:left="820" w:header="730" w:footer="787" w:gutter="0"/>
          <w:cols w:space="720"/>
        </w:sectPr>
      </w:pPr>
    </w:p>
    <w:p w14:paraId="632C7D1C"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6F228EE1" w14:textId="77777777">
        <w:trPr>
          <w:trHeight w:val="1235"/>
        </w:trPr>
        <w:tc>
          <w:tcPr>
            <w:tcW w:w="1711" w:type="dxa"/>
          </w:tcPr>
          <w:p w14:paraId="3CC8886B" w14:textId="77777777" w:rsidR="0046798B" w:rsidRDefault="0046798B">
            <w:pPr>
              <w:pStyle w:val="TableParagraph"/>
            </w:pPr>
          </w:p>
          <w:p w14:paraId="74264443" w14:textId="77777777" w:rsidR="0046798B" w:rsidRDefault="0046798B">
            <w:pPr>
              <w:pStyle w:val="TableParagraph"/>
              <w:spacing w:before="9"/>
              <w:rPr>
                <w:sz w:val="21"/>
              </w:rPr>
            </w:pPr>
          </w:p>
          <w:p w14:paraId="7B15C4E8" w14:textId="77777777" w:rsidR="0046798B" w:rsidRDefault="00903B5C">
            <w:pPr>
              <w:pStyle w:val="TableParagraph"/>
              <w:ind w:left="115"/>
              <w:rPr>
                <w:b/>
                <w:sz w:val="20"/>
              </w:rPr>
            </w:pPr>
            <w:r>
              <w:rPr>
                <w:b/>
                <w:sz w:val="20"/>
              </w:rPr>
              <w:t>olawyers</w:t>
            </w:r>
          </w:p>
        </w:tc>
        <w:tc>
          <w:tcPr>
            <w:tcW w:w="1596" w:type="dxa"/>
          </w:tcPr>
          <w:p w14:paraId="0D30012E" w14:textId="77777777" w:rsidR="0046798B" w:rsidRDefault="0046798B">
            <w:pPr>
              <w:pStyle w:val="TableParagraph"/>
            </w:pPr>
          </w:p>
          <w:p w14:paraId="05A9EFCC" w14:textId="77777777" w:rsidR="0046798B" w:rsidRDefault="00903B5C">
            <w:pPr>
              <w:pStyle w:val="TableParagraph"/>
              <w:spacing w:before="135"/>
              <w:ind w:left="114" w:right="363"/>
              <w:rPr>
                <w:sz w:val="20"/>
              </w:rPr>
            </w:pPr>
            <w:r>
              <w:rPr>
                <w:sz w:val="20"/>
              </w:rPr>
              <w:t>Lawyer concentration</w:t>
            </w:r>
          </w:p>
        </w:tc>
        <w:tc>
          <w:tcPr>
            <w:tcW w:w="1285" w:type="dxa"/>
          </w:tcPr>
          <w:p w14:paraId="63610D6B" w14:textId="77777777" w:rsidR="0046798B" w:rsidRDefault="0046798B">
            <w:pPr>
              <w:pStyle w:val="TableParagraph"/>
            </w:pPr>
          </w:p>
          <w:p w14:paraId="1D4CB770" w14:textId="77777777" w:rsidR="0046798B" w:rsidRDefault="0046798B">
            <w:pPr>
              <w:pStyle w:val="TableParagraph"/>
              <w:spacing w:before="9"/>
              <w:rPr>
                <w:sz w:val="21"/>
              </w:rPr>
            </w:pPr>
          </w:p>
          <w:p w14:paraId="2325F6F1" w14:textId="77777777" w:rsidR="0046798B" w:rsidRDefault="00903B5C">
            <w:pPr>
              <w:pStyle w:val="TableParagraph"/>
              <w:ind w:left="114"/>
              <w:rPr>
                <w:sz w:val="20"/>
              </w:rPr>
            </w:pPr>
            <w:r>
              <w:rPr>
                <w:sz w:val="20"/>
              </w:rPr>
              <w:t>2001–2015</w:t>
            </w:r>
          </w:p>
        </w:tc>
        <w:tc>
          <w:tcPr>
            <w:tcW w:w="3421" w:type="dxa"/>
          </w:tcPr>
          <w:p w14:paraId="027F3852" w14:textId="77777777" w:rsidR="0046798B" w:rsidRDefault="00903B5C">
            <w:pPr>
              <w:pStyle w:val="TableParagraph"/>
              <w:spacing w:before="43"/>
              <w:ind w:left="114" w:right="127"/>
              <w:rPr>
                <w:sz w:val="20"/>
              </w:rPr>
            </w:pPr>
            <w:r>
              <w:rPr>
                <w:sz w:val="20"/>
              </w:rPr>
              <w:t>Lawyer concentration (residuals of OLS autocorrelation-adjusted regression of oraacpc on ogdp, ogdppc, ogdpfin, ogdphc, ogdpman, and year fixed effects)</w:t>
            </w:r>
          </w:p>
        </w:tc>
        <w:tc>
          <w:tcPr>
            <w:tcW w:w="6482" w:type="dxa"/>
          </w:tcPr>
          <w:p w14:paraId="65A0612D" w14:textId="77777777" w:rsidR="0046798B" w:rsidRDefault="0046798B">
            <w:pPr>
              <w:pStyle w:val="TableParagraph"/>
              <w:spacing w:before="9"/>
              <w:rPr>
                <w:sz w:val="23"/>
              </w:rPr>
            </w:pPr>
          </w:p>
          <w:p w14:paraId="54BCEED0"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F2B2BF1" w14:textId="77777777">
        <w:trPr>
          <w:trHeight w:val="775"/>
        </w:trPr>
        <w:tc>
          <w:tcPr>
            <w:tcW w:w="1711" w:type="dxa"/>
          </w:tcPr>
          <w:p w14:paraId="1BD04E78" w14:textId="77777777" w:rsidR="0046798B" w:rsidRDefault="0046798B">
            <w:pPr>
              <w:pStyle w:val="TableParagraph"/>
              <w:spacing w:before="9"/>
              <w:rPr>
                <w:sz w:val="23"/>
              </w:rPr>
            </w:pPr>
          </w:p>
          <w:p w14:paraId="215F0778" w14:textId="77777777" w:rsidR="0046798B" w:rsidRDefault="00903B5C">
            <w:pPr>
              <w:pStyle w:val="TableParagraph"/>
              <w:ind w:left="115"/>
              <w:rPr>
                <w:b/>
                <w:sz w:val="20"/>
              </w:rPr>
            </w:pPr>
            <w:r>
              <w:rPr>
                <w:b/>
                <w:sz w:val="20"/>
              </w:rPr>
              <w:t>oraacpc</w:t>
            </w:r>
          </w:p>
        </w:tc>
        <w:tc>
          <w:tcPr>
            <w:tcW w:w="1596" w:type="dxa"/>
          </w:tcPr>
          <w:p w14:paraId="55AE5112" w14:textId="77777777" w:rsidR="0046798B" w:rsidRDefault="00903B5C">
            <w:pPr>
              <w:pStyle w:val="TableParagraph"/>
              <w:spacing w:before="43"/>
              <w:ind w:left="114" w:right="85"/>
              <w:rPr>
                <w:sz w:val="20"/>
              </w:rPr>
            </w:pPr>
            <w:r>
              <w:rPr>
                <w:sz w:val="20"/>
              </w:rPr>
              <w:t>Resident active attorney count per 100 residents</w:t>
            </w:r>
          </w:p>
        </w:tc>
        <w:tc>
          <w:tcPr>
            <w:tcW w:w="1285" w:type="dxa"/>
          </w:tcPr>
          <w:p w14:paraId="1B690E83" w14:textId="77777777" w:rsidR="0046798B" w:rsidRDefault="0046798B">
            <w:pPr>
              <w:pStyle w:val="TableParagraph"/>
              <w:spacing w:before="9"/>
              <w:rPr>
                <w:sz w:val="23"/>
              </w:rPr>
            </w:pPr>
          </w:p>
          <w:p w14:paraId="285E6B71" w14:textId="77777777" w:rsidR="0046798B" w:rsidRDefault="00903B5C">
            <w:pPr>
              <w:pStyle w:val="TableParagraph"/>
              <w:ind w:left="114"/>
              <w:rPr>
                <w:sz w:val="20"/>
              </w:rPr>
            </w:pPr>
            <w:r>
              <w:rPr>
                <w:sz w:val="20"/>
              </w:rPr>
              <w:t>2001–2016</w:t>
            </w:r>
          </w:p>
        </w:tc>
        <w:tc>
          <w:tcPr>
            <w:tcW w:w="3421" w:type="dxa"/>
          </w:tcPr>
          <w:p w14:paraId="494C9C33" w14:textId="77777777" w:rsidR="0046798B" w:rsidRDefault="00903B5C">
            <w:pPr>
              <w:pStyle w:val="TableParagraph"/>
              <w:spacing w:before="158"/>
              <w:ind w:left="114" w:right="194"/>
              <w:rPr>
                <w:sz w:val="20"/>
              </w:rPr>
            </w:pPr>
            <w:r>
              <w:rPr>
                <w:sz w:val="20"/>
              </w:rPr>
              <w:t>Resident active attorney count per 100 residents (oraacraw / apop * 100)</w:t>
            </w:r>
          </w:p>
        </w:tc>
        <w:tc>
          <w:tcPr>
            <w:tcW w:w="6482" w:type="dxa"/>
          </w:tcPr>
          <w:p w14:paraId="1B113BAD" w14:textId="77777777" w:rsidR="0046798B" w:rsidRDefault="00903B5C">
            <w:pPr>
              <w:pStyle w:val="TableParagraph"/>
              <w:spacing w:before="4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8875664" w14:textId="77777777">
        <w:trPr>
          <w:trHeight w:val="780"/>
        </w:trPr>
        <w:tc>
          <w:tcPr>
            <w:tcW w:w="1711" w:type="dxa"/>
          </w:tcPr>
          <w:p w14:paraId="3641C36C" w14:textId="77777777" w:rsidR="0046798B" w:rsidRDefault="0046798B">
            <w:pPr>
              <w:pStyle w:val="TableParagraph"/>
              <w:spacing w:before="8"/>
              <w:rPr>
                <w:sz w:val="23"/>
              </w:rPr>
            </w:pPr>
          </w:p>
          <w:p w14:paraId="13F2DE47" w14:textId="77777777" w:rsidR="0046798B" w:rsidRDefault="00903B5C">
            <w:pPr>
              <w:pStyle w:val="TableParagraph"/>
              <w:spacing w:before="1"/>
              <w:ind w:left="115"/>
              <w:rPr>
                <w:b/>
                <w:sz w:val="20"/>
              </w:rPr>
            </w:pPr>
            <w:r>
              <w:rPr>
                <w:b/>
                <w:sz w:val="20"/>
              </w:rPr>
              <w:t>oraacraw</w:t>
            </w:r>
          </w:p>
        </w:tc>
        <w:tc>
          <w:tcPr>
            <w:tcW w:w="1596" w:type="dxa"/>
          </w:tcPr>
          <w:p w14:paraId="67460DAD" w14:textId="77777777" w:rsidR="0046798B" w:rsidRDefault="00903B5C">
            <w:pPr>
              <w:pStyle w:val="TableParagraph"/>
              <w:spacing w:before="158"/>
              <w:ind w:left="114" w:right="224"/>
              <w:rPr>
                <w:sz w:val="20"/>
              </w:rPr>
            </w:pPr>
            <w:r>
              <w:rPr>
                <w:sz w:val="20"/>
              </w:rPr>
              <w:t>Resident active attorney count</w:t>
            </w:r>
          </w:p>
        </w:tc>
        <w:tc>
          <w:tcPr>
            <w:tcW w:w="1285" w:type="dxa"/>
          </w:tcPr>
          <w:p w14:paraId="0587956B" w14:textId="77777777" w:rsidR="0046798B" w:rsidRDefault="0046798B">
            <w:pPr>
              <w:pStyle w:val="TableParagraph"/>
              <w:spacing w:before="8"/>
              <w:rPr>
                <w:sz w:val="23"/>
              </w:rPr>
            </w:pPr>
          </w:p>
          <w:p w14:paraId="3D7BEF1B" w14:textId="77777777" w:rsidR="0046798B" w:rsidRDefault="00903B5C">
            <w:pPr>
              <w:pStyle w:val="TableParagraph"/>
              <w:spacing w:before="1"/>
              <w:ind w:left="114"/>
              <w:rPr>
                <w:sz w:val="20"/>
              </w:rPr>
            </w:pPr>
            <w:r>
              <w:rPr>
                <w:sz w:val="20"/>
              </w:rPr>
              <w:t>2001–2016</w:t>
            </w:r>
          </w:p>
        </w:tc>
        <w:tc>
          <w:tcPr>
            <w:tcW w:w="3421" w:type="dxa"/>
          </w:tcPr>
          <w:p w14:paraId="5690B25A" w14:textId="77777777" w:rsidR="0046798B" w:rsidRDefault="00903B5C">
            <w:pPr>
              <w:pStyle w:val="TableParagraph"/>
              <w:spacing w:before="158"/>
              <w:ind w:left="114" w:right="350"/>
              <w:rPr>
                <w:sz w:val="20"/>
              </w:rPr>
            </w:pPr>
            <w:r>
              <w:rPr>
                <w:sz w:val="20"/>
              </w:rPr>
              <w:t>Resident active attorney count (as of 12/31 of the prior year)</w:t>
            </w:r>
          </w:p>
        </w:tc>
        <w:tc>
          <w:tcPr>
            <w:tcW w:w="6482" w:type="dxa"/>
          </w:tcPr>
          <w:p w14:paraId="081714D8"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EAE0420" w14:textId="77777777">
        <w:trPr>
          <w:trHeight w:val="775"/>
        </w:trPr>
        <w:tc>
          <w:tcPr>
            <w:tcW w:w="1711" w:type="dxa"/>
          </w:tcPr>
          <w:p w14:paraId="7B0A35CF" w14:textId="77777777" w:rsidR="0046798B" w:rsidRDefault="0046798B">
            <w:pPr>
              <w:pStyle w:val="TableParagraph"/>
              <w:spacing w:before="4"/>
              <w:rPr>
                <w:sz w:val="23"/>
              </w:rPr>
            </w:pPr>
          </w:p>
          <w:p w14:paraId="51BF2D3A" w14:textId="77777777" w:rsidR="0046798B" w:rsidRDefault="00903B5C">
            <w:pPr>
              <w:pStyle w:val="TableParagraph"/>
              <w:ind w:left="115"/>
              <w:rPr>
                <w:b/>
                <w:sz w:val="20"/>
              </w:rPr>
            </w:pPr>
            <w:r>
              <w:rPr>
                <w:b/>
                <w:sz w:val="20"/>
              </w:rPr>
              <w:t>otorts</w:t>
            </w:r>
          </w:p>
        </w:tc>
        <w:tc>
          <w:tcPr>
            <w:tcW w:w="1596" w:type="dxa"/>
          </w:tcPr>
          <w:p w14:paraId="2E36DA9F" w14:textId="77777777" w:rsidR="0046798B" w:rsidRDefault="00903B5C">
            <w:pPr>
              <w:pStyle w:val="TableParagraph"/>
              <w:spacing w:before="38"/>
              <w:ind w:left="114" w:right="229"/>
              <w:rPr>
                <w:sz w:val="20"/>
              </w:rPr>
            </w:pPr>
            <w:r>
              <w:rPr>
                <w:sz w:val="20"/>
              </w:rPr>
              <w:t xml:space="preserve">Tort suits </w:t>
            </w:r>
            <w:r>
              <w:rPr>
                <w:spacing w:val="-7"/>
                <w:sz w:val="20"/>
              </w:rPr>
              <w:t xml:space="preserve">per </w:t>
            </w:r>
            <w:r>
              <w:rPr>
                <w:sz w:val="20"/>
              </w:rPr>
              <w:t>100,000</w:t>
            </w:r>
          </w:p>
          <w:p w14:paraId="096DC35B" w14:textId="77777777" w:rsidR="0046798B" w:rsidRDefault="00903B5C">
            <w:pPr>
              <w:pStyle w:val="TableParagraph"/>
              <w:ind w:left="114"/>
              <w:rPr>
                <w:sz w:val="20"/>
              </w:rPr>
            </w:pPr>
            <w:r>
              <w:rPr>
                <w:sz w:val="20"/>
              </w:rPr>
              <w:t>residents</w:t>
            </w:r>
          </w:p>
        </w:tc>
        <w:tc>
          <w:tcPr>
            <w:tcW w:w="1285" w:type="dxa"/>
          </w:tcPr>
          <w:p w14:paraId="52EC395F" w14:textId="77777777" w:rsidR="0046798B" w:rsidRDefault="0046798B">
            <w:pPr>
              <w:pStyle w:val="TableParagraph"/>
              <w:spacing w:before="4"/>
              <w:rPr>
                <w:sz w:val="23"/>
              </w:rPr>
            </w:pPr>
          </w:p>
          <w:p w14:paraId="4B61DE02" w14:textId="77777777" w:rsidR="0046798B" w:rsidRDefault="00903B5C">
            <w:pPr>
              <w:pStyle w:val="TableParagraph"/>
              <w:ind w:left="114"/>
              <w:rPr>
                <w:sz w:val="20"/>
              </w:rPr>
            </w:pPr>
            <w:r>
              <w:rPr>
                <w:sz w:val="20"/>
              </w:rPr>
              <w:t>2008</w:t>
            </w:r>
          </w:p>
        </w:tc>
        <w:tc>
          <w:tcPr>
            <w:tcW w:w="3421" w:type="dxa"/>
          </w:tcPr>
          <w:p w14:paraId="048ECD2B" w14:textId="77777777" w:rsidR="0046798B" w:rsidRDefault="0046798B">
            <w:pPr>
              <w:pStyle w:val="TableParagraph"/>
              <w:spacing w:before="4"/>
              <w:rPr>
                <w:sz w:val="23"/>
              </w:rPr>
            </w:pPr>
          </w:p>
          <w:p w14:paraId="7561A74F" w14:textId="77777777" w:rsidR="0046798B" w:rsidRDefault="00903B5C">
            <w:pPr>
              <w:pStyle w:val="TableParagraph"/>
              <w:ind w:left="114"/>
              <w:rPr>
                <w:sz w:val="20"/>
              </w:rPr>
            </w:pPr>
            <w:r>
              <w:rPr>
                <w:sz w:val="20"/>
              </w:rPr>
              <w:t>Tort suits per 100,000 residents</w:t>
            </w:r>
          </w:p>
        </w:tc>
        <w:tc>
          <w:tcPr>
            <w:tcW w:w="6482" w:type="dxa"/>
          </w:tcPr>
          <w:p w14:paraId="3E5C86D9" w14:textId="77777777" w:rsidR="0046798B" w:rsidRDefault="00903B5C">
            <w:pPr>
              <w:pStyle w:val="TableParagraph"/>
              <w:spacing w:before="3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9D44486" w14:textId="77777777">
        <w:trPr>
          <w:trHeight w:val="1695"/>
        </w:trPr>
        <w:tc>
          <w:tcPr>
            <w:tcW w:w="1711" w:type="dxa"/>
          </w:tcPr>
          <w:p w14:paraId="74E142E5" w14:textId="77777777" w:rsidR="0046798B" w:rsidRDefault="0046798B">
            <w:pPr>
              <w:pStyle w:val="TableParagraph"/>
            </w:pPr>
          </w:p>
          <w:p w14:paraId="00D05464" w14:textId="77777777" w:rsidR="0046798B" w:rsidRDefault="0046798B">
            <w:pPr>
              <w:pStyle w:val="TableParagraph"/>
            </w:pPr>
          </w:p>
          <w:p w14:paraId="534223EB" w14:textId="77777777" w:rsidR="0046798B" w:rsidRDefault="0046798B">
            <w:pPr>
              <w:pStyle w:val="TableParagraph"/>
              <w:spacing w:before="4"/>
              <w:rPr>
                <w:sz w:val="19"/>
              </w:rPr>
            </w:pPr>
          </w:p>
          <w:p w14:paraId="2B68D2ED" w14:textId="77777777" w:rsidR="0046798B" w:rsidRDefault="00903B5C">
            <w:pPr>
              <w:pStyle w:val="TableParagraph"/>
              <w:ind w:left="115"/>
              <w:rPr>
                <w:b/>
                <w:sz w:val="20"/>
              </w:rPr>
            </w:pPr>
            <w:r>
              <w:rPr>
                <w:b/>
                <w:sz w:val="20"/>
              </w:rPr>
              <w:t>opunburd</w:t>
            </w:r>
          </w:p>
        </w:tc>
        <w:tc>
          <w:tcPr>
            <w:tcW w:w="1596" w:type="dxa"/>
          </w:tcPr>
          <w:p w14:paraId="6F70AA42" w14:textId="77777777" w:rsidR="0046798B" w:rsidRDefault="00903B5C">
            <w:pPr>
              <w:pStyle w:val="TableParagraph"/>
              <w:spacing w:before="38"/>
              <w:ind w:left="114" w:right="152"/>
              <w:rPr>
                <w:sz w:val="20"/>
              </w:rPr>
            </w:pPr>
            <w:r>
              <w:rPr>
                <w:sz w:val="20"/>
              </w:rPr>
              <w:t>Evidence standard of reckless/outrage ous/malicious conduct for punitive damages</w:t>
            </w:r>
          </w:p>
        </w:tc>
        <w:tc>
          <w:tcPr>
            <w:tcW w:w="1285" w:type="dxa"/>
          </w:tcPr>
          <w:p w14:paraId="50408FD9" w14:textId="77777777" w:rsidR="0046798B" w:rsidRDefault="0046798B">
            <w:pPr>
              <w:pStyle w:val="TableParagraph"/>
            </w:pPr>
          </w:p>
          <w:p w14:paraId="57DB6AFF" w14:textId="77777777" w:rsidR="0046798B" w:rsidRDefault="0046798B">
            <w:pPr>
              <w:pStyle w:val="TableParagraph"/>
            </w:pPr>
          </w:p>
          <w:p w14:paraId="17A49972" w14:textId="77777777" w:rsidR="0046798B" w:rsidRDefault="0046798B">
            <w:pPr>
              <w:pStyle w:val="TableParagraph"/>
              <w:spacing w:before="4"/>
              <w:rPr>
                <w:sz w:val="19"/>
              </w:rPr>
            </w:pPr>
          </w:p>
          <w:p w14:paraId="209F77F8" w14:textId="77777777" w:rsidR="0046798B" w:rsidRDefault="00903B5C">
            <w:pPr>
              <w:pStyle w:val="TableParagraph"/>
              <w:ind w:left="114"/>
              <w:rPr>
                <w:sz w:val="20"/>
              </w:rPr>
            </w:pPr>
            <w:r>
              <w:rPr>
                <w:sz w:val="20"/>
              </w:rPr>
              <w:t>2001–2016</w:t>
            </w:r>
          </w:p>
        </w:tc>
        <w:tc>
          <w:tcPr>
            <w:tcW w:w="3421" w:type="dxa"/>
          </w:tcPr>
          <w:p w14:paraId="20CA187F" w14:textId="77777777" w:rsidR="0046798B" w:rsidRDefault="00903B5C">
            <w:pPr>
              <w:pStyle w:val="TableParagraph"/>
              <w:spacing w:before="153"/>
              <w:ind w:left="114" w:right="183"/>
              <w:rPr>
                <w:sz w:val="20"/>
              </w:rPr>
            </w:pPr>
            <w:r>
              <w:rPr>
                <w:sz w:val="20"/>
              </w:rPr>
              <w:t>Evidence standard of reckless/outrageous/malicious conduct for punitive damages? (0 = preponderance, 1 = clear and convincing, 2 = beyond reasonable doubt, 3 = no punitive damages)</w:t>
            </w:r>
          </w:p>
        </w:tc>
        <w:tc>
          <w:tcPr>
            <w:tcW w:w="6482" w:type="dxa"/>
          </w:tcPr>
          <w:p w14:paraId="041A8AD8" w14:textId="77777777" w:rsidR="0046798B" w:rsidRDefault="0046798B">
            <w:pPr>
              <w:pStyle w:val="TableParagraph"/>
            </w:pPr>
          </w:p>
          <w:p w14:paraId="094D379F" w14:textId="77777777" w:rsidR="0046798B" w:rsidRDefault="0046798B">
            <w:pPr>
              <w:pStyle w:val="TableParagraph"/>
              <w:spacing w:before="4"/>
              <w:rPr>
                <w:sz w:val="21"/>
              </w:rPr>
            </w:pPr>
          </w:p>
          <w:p w14:paraId="725B763F"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23FB23E" w14:textId="77777777">
        <w:trPr>
          <w:trHeight w:val="775"/>
        </w:trPr>
        <w:tc>
          <w:tcPr>
            <w:tcW w:w="1711" w:type="dxa"/>
          </w:tcPr>
          <w:p w14:paraId="1F55A96A" w14:textId="77777777" w:rsidR="0046798B" w:rsidRDefault="0046798B">
            <w:pPr>
              <w:pStyle w:val="TableParagraph"/>
              <w:spacing w:before="8"/>
              <w:rPr>
                <w:sz w:val="23"/>
              </w:rPr>
            </w:pPr>
          </w:p>
          <w:p w14:paraId="34510E17" w14:textId="77777777" w:rsidR="0046798B" w:rsidRDefault="00903B5C">
            <w:pPr>
              <w:pStyle w:val="TableParagraph"/>
              <w:spacing w:before="1"/>
              <w:ind w:left="115"/>
              <w:rPr>
                <w:b/>
                <w:sz w:val="20"/>
              </w:rPr>
            </w:pPr>
            <w:r>
              <w:rPr>
                <w:b/>
                <w:sz w:val="20"/>
              </w:rPr>
              <w:t>opuncap</w:t>
            </w:r>
          </w:p>
        </w:tc>
        <w:tc>
          <w:tcPr>
            <w:tcW w:w="1596" w:type="dxa"/>
          </w:tcPr>
          <w:p w14:paraId="2496663E" w14:textId="77777777" w:rsidR="0046798B" w:rsidRDefault="00903B5C">
            <w:pPr>
              <w:pStyle w:val="TableParagraph"/>
              <w:spacing w:before="43"/>
              <w:ind w:left="114" w:right="141"/>
              <w:jc w:val="both"/>
              <w:rPr>
                <w:sz w:val="20"/>
              </w:rPr>
            </w:pPr>
            <w:r>
              <w:rPr>
                <w:sz w:val="20"/>
              </w:rPr>
              <w:t>Blanket punitive or noneconomic damages cap</w:t>
            </w:r>
          </w:p>
        </w:tc>
        <w:tc>
          <w:tcPr>
            <w:tcW w:w="1285" w:type="dxa"/>
          </w:tcPr>
          <w:p w14:paraId="38DD22DA" w14:textId="77777777" w:rsidR="0046798B" w:rsidRDefault="0046798B">
            <w:pPr>
              <w:pStyle w:val="TableParagraph"/>
              <w:spacing w:before="8"/>
              <w:rPr>
                <w:sz w:val="23"/>
              </w:rPr>
            </w:pPr>
          </w:p>
          <w:p w14:paraId="168EE63B" w14:textId="77777777" w:rsidR="0046798B" w:rsidRDefault="00903B5C">
            <w:pPr>
              <w:pStyle w:val="TableParagraph"/>
              <w:spacing w:before="1"/>
              <w:ind w:left="114"/>
              <w:rPr>
                <w:sz w:val="20"/>
              </w:rPr>
            </w:pPr>
            <w:r>
              <w:rPr>
                <w:sz w:val="20"/>
              </w:rPr>
              <w:t>2001–2016</w:t>
            </w:r>
          </w:p>
        </w:tc>
        <w:tc>
          <w:tcPr>
            <w:tcW w:w="3421" w:type="dxa"/>
          </w:tcPr>
          <w:p w14:paraId="03232188" w14:textId="77777777" w:rsidR="0046798B" w:rsidRDefault="00903B5C">
            <w:pPr>
              <w:pStyle w:val="TableParagraph"/>
              <w:spacing w:before="43"/>
              <w:ind w:left="114" w:right="239"/>
              <w:rPr>
                <w:sz w:val="20"/>
              </w:rPr>
            </w:pPr>
            <w:r>
              <w:rPr>
                <w:sz w:val="20"/>
              </w:rPr>
              <w:t>Blanket punitive or noneconomic damages cap? (0 = no, 1 = yes, 2 = all punitive damages prohibited)</w:t>
            </w:r>
          </w:p>
        </w:tc>
        <w:tc>
          <w:tcPr>
            <w:tcW w:w="6482" w:type="dxa"/>
          </w:tcPr>
          <w:p w14:paraId="75CA0571"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AF2B580" w14:textId="77777777">
        <w:trPr>
          <w:trHeight w:val="775"/>
        </w:trPr>
        <w:tc>
          <w:tcPr>
            <w:tcW w:w="1711" w:type="dxa"/>
          </w:tcPr>
          <w:p w14:paraId="40A5DE8C" w14:textId="77777777" w:rsidR="0046798B" w:rsidRDefault="0046798B">
            <w:pPr>
              <w:pStyle w:val="TableParagraph"/>
              <w:spacing w:before="9"/>
              <w:rPr>
                <w:sz w:val="23"/>
              </w:rPr>
            </w:pPr>
          </w:p>
          <w:p w14:paraId="36577B86" w14:textId="77777777" w:rsidR="0046798B" w:rsidRDefault="00903B5C">
            <w:pPr>
              <w:pStyle w:val="TableParagraph"/>
              <w:ind w:left="115"/>
              <w:rPr>
                <w:b/>
                <w:sz w:val="20"/>
              </w:rPr>
            </w:pPr>
            <w:r>
              <w:rPr>
                <w:b/>
                <w:sz w:val="20"/>
              </w:rPr>
              <w:t>rdeath</w:t>
            </w:r>
          </w:p>
        </w:tc>
        <w:tc>
          <w:tcPr>
            <w:tcW w:w="1596" w:type="dxa"/>
          </w:tcPr>
          <w:p w14:paraId="552A9547" w14:textId="77777777" w:rsidR="0046798B" w:rsidRDefault="00903B5C">
            <w:pPr>
              <w:pStyle w:val="TableParagraph"/>
              <w:spacing w:before="158"/>
              <w:ind w:left="114" w:right="569"/>
              <w:rPr>
                <w:sz w:val="20"/>
              </w:rPr>
            </w:pPr>
            <w:r>
              <w:rPr>
                <w:sz w:val="20"/>
              </w:rPr>
              <w:t>State death penalty</w:t>
            </w:r>
          </w:p>
        </w:tc>
        <w:tc>
          <w:tcPr>
            <w:tcW w:w="1285" w:type="dxa"/>
          </w:tcPr>
          <w:p w14:paraId="5DAD9736" w14:textId="77777777" w:rsidR="0046798B" w:rsidRDefault="0046798B">
            <w:pPr>
              <w:pStyle w:val="TableParagraph"/>
              <w:spacing w:before="9"/>
              <w:rPr>
                <w:sz w:val="23"/>
              </w:rPr>
            </w:pPr>
          </w:p>
          <w:p w14:paraId="678EEB53" w14:textId="77777777" w:rsidR="0046798B" w:rsidRDefault="00903B5C">
            <w:pPr>
              <w:pStyle w:val="TableParagraph"/>
              <w:ind w:left="114"/>
              <w:rPr>
                <w:sz w:val="20"/>
              </w:rPr>
            </w:pPr>
            <w:r>
              <w:rPr>
                <w:sz w:val="20"/>
              </w:rPr>
              <w:t>2000–2016</w:t>
            </w:r>
          </w:p>
        </w:tc>
        <w:tc>
          <w:tcPr>
            <w:tcW w:w="3421" w:type="dxa"/>
          </w:tcPr>
          <w:p w14:paraId="70E6C0E4" w14:textId="77777777" w:rsidR="0046798B" w:rsidRDefault="00903B5C">
            <w:pPr>
              <w:pStyle w:val="TableParagraph"/>
              <w:spacing w:before="158"/>
              <w:ind w:left="114" w:right="222"/>
              <w:rPr>
                <w:sz w:val="20"/>
              </w:rPr>
            </w:pPr>
            <w:r>
              <w:rPr>
                <w:sz w:val="20"/>
              </w:rPr>
              <w:t>Does the state have the death penalty? (0 = no, 1 = yes)</w:t>
            </w:r>
          </w:p>
        </w:tc>
        <w:tc>
          <w:tcPr>
            <w:tcW w:w="6482" w:type="dxa"/>
          </w:tcPr>
          <w:p w14:paraId="5F82E0B0"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0C29C91E" w14:textId="77777777" w:rsidR="0046798B" w:rsidRDefault="0046798B">
      <w:pPr>
        <w:pStyle w:val="BodyText"/>
        <w:spacing w:before="2"/>
        <w:rPr>
          <w:sz w:val="16"/>
        </w:rPr>
      </w:pPr>
    </w:p>
    <w:p w14:paraId="3A1540AA" w14:textId="77777777" w:rsidR="0046798B" w:rsidRDefault="00903B5C">
      <w:pPr>
        <w:pStyle w:val="ListParagraph"/>
        <w:numPr>
          <w:ilvl w:val="0"/>
          <w:numId w:val="6"/>
        </w:numPr>
        <w:tabs>
          <w:tab w:val="left" w:pos="901"/>
        </w:tabs>
        <w:spacing w:before="90"/>
        <w:ind w:left="900" w:hanging="280"/>
        <w:rPr>
          <w:b/>
          <w:sz w:val="24"/>
        </w:rPr>
      </w:pPr>
      <w:r>
        <w:rPr>
          <w:b/>
          <w:sz w:val="24"/>
          <w:u w:val="single"/>
        </w:rPr>
        <w:t>Crime</w:t>
      </w:r>
      <w:r>
        <w:rPr>
          <w:b/>
          <w:spacing w:val="-3"/>
          <w:sz w:val="24"/>
          <w:u w:val="single"/>
        </w:rPr>
        <w:t xml:space="preserve"> </w:t>
      </w:r>
      <w:r>
        <w:rPr>
          <w:b/>
          <w:sz w:val="24"/>
          <w:u w:val="single"/>
        </w:rPr>
        <w:t>Statistics</w:t>
      </w:r>
    </w:p>
    <w:p w14:paraId="5C5E9F82" w14:textId="77777777" w:rsidR="0046798B" w:rsidRDefault="0046798B">
      <w:pPr>
        <w:pStyle w:val="BodyText"/>
        <w:spacing w:before="2"/>
        <w:rPr>
          <w:b/>
          <w:sz w:val="24"/>
        </w:rPr>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097AE6BC" w14:textId="77777777">
        <w:trPr>
          <w:trHeight w:val="590"/>
        </w:trPr>
        <w:tc>
          <w:tcPr>
            <w:tcW w:w="1711" w:type="dxa"/>
          </w:tcPr>
          <w:p w14:paraId="351A31B1" w14:textId="77777777" w:rsidR="0046798B" w:rsidRDefault="00903B5C">
            <w:pPr>
              <w:pStyle w:val="TableParagraph"/>
              <w:spacing w:before="165"/>
              <w:ind w:left="140"/>
              <w:rPr>
                <w:b/>
              </w:rPr>
            </w:pPr>
            <w:r>
              <w:rPr>
                <w:b/>
              </w:rPr>
              <w:t>Variable Name</w:t>
            </w:r>
          </w:p>
        </w:tc>
        <w:tc>
          <w:tcPr>
            <w:tcW w:w="1596" w:type="dxa"/>
          </w:tcPr>
          <w:p w14:paraId="48F1299E" w14:textId="77777777" w:rsidR="0046798B" w:rsidRDefault="00903B5C">
            <w:pPr>
              <w:pStyle w:val="TableParagraph"/>
              <w:spacing w:before="40" w:line="242" w:lineRule="auto"/>
              <w:ind w:left="249" w:right="229" w:firstLine="280"/>
              <w:rPr>
                <w:b/>
              </w:rPr>
            </w:pPr>
            <w:r>
              <w:rPr>
                <w:b/>
              </w:rPr>
              <w:t>Short Description</w:t>
            </w:r>
          </w:p>
        </w:tc>
        <w:tc>
          <w:tcPr>
            <w:tcW w:w="1285" w:type="dxa"/>
          </w:tcPr>
          <w:p w14:paraId="66D675D4" w14:textId="77777777" w:rsidR="0046798B" w:rsidRDefault="00903B5C">
            <w:pPr>
              <w:pStyle w:val="TableParagraph"/>
              <w:spacing w:before="165"/>
              <w:ind w:left="364"/>
              <w:rPr>
                <w:b/>
              </w:rPr>
            </w:pPr>
            <w:r>
              <w:rPr>
                <w:b/>
              </w:rPr>
              <w:t>Years</w:t>
            </w:r>
          </w:p>
        </w:tc>
        <w:tc>
          <w:tcPr>
            <w:tcW w:w="3421" w:type="dxa"/>
          </w:tcPr>
          <w:p w14:paraId="4C732147" w14:textId="77777777" w:rsidR="0046798B" w:rsidRDefault="00903B5C">
            <w:pPr>
              <w:pStyle w:val="TableParagraph"/>
              <w:spacing w:before="40"/>
              <w:ind w:left="153" w:right="150"/>
              <w:jc w:val="center"/>
              <w:rPr>
                <w:b/>
              </w:rPr>
            </w:pPr>
            <w:r>
              <w:rPr>
                <w:b/>
              </w:rPr>
              <w:t>Coding /</w:t>
            </w:r>
          </w:p>
          <w:p w14:paraId="77D083C5" w14:textId="77777777" w:rsidR="0046798B" w:rsidRDefault="00903B5C">
            <w:pPr>
              <w:pStyle w:val="TableParagraph"/>
              <w:spacing w:before="2"/>
              <w:ind w:left="159" w:right="150"/>
              <w:jc w:val="center"/>
              <w:rPr>
                <w:b/>
              </w:rPr>
            </w:pPr>
            <w:r>
              <w:rPr>
                <w:b/>
              </w:rPr>
              <w:t>Longer Description (if available)</w:t>
            </w:r>
          </w:p>
        </w:tc>
        <w:tc>
          <w:tcPr>
            <w:tcW w:w="6482" w:type="dxa"/>
          </w:tcPr>
          <w:p w14:paraId="155C1AC0" w14:textId="77777777" w:rsidR="0046798B" w:rsidRDefault="00903B5C">
            <w:pPr>
              <w:pStyle w:val="TableParagraph"/>
              <w:spacing w:before="165"/>
              <w:ind w:left="2852" w:right="2845"/>
              <w:jc w:val="center"/>
              <w:rPr>
                <w:b/>
              </w:rPr>
            </w:pPr>
            <w:r>
              <w:rPr>
                <w:b/>
              </w:rPr>
              <w:t>Sources</w:t>
            </w:r>
          </w:p>
        </w:tc>
      </w:tr>
      <w:tr w:rsidR="0046798B" w14:paraId="5447B378" w14:textId="77777777">
        <w:trPr>
          <w:trHeight w:val="1005"/>
        </w:trPr>
        <w:tc>
          <w:tcPr>
            <w:tcW w:w="1711" w:type="dxa"/>
          </w:tcPr>
          <w:p w14:paraId="4AF26980" w14:textId="77777777" w:rsidR="0046798B" w:rsidRDefault="0046798B">
            <w:pPr>
              <w:pStyle w:val="TableParagraph"/>
              <w:rPr>
                <w:b/>
              </w:rPr>
            </w:pPr>
          </w:p>
          <w:p w14:paraId="50C63DF9" w14:textId="77777777" w:rsidR="0046798B" w:rsidRDefault="00903B5C">
            <w:pPr>
              <w:pStyle w:val="TableParagraph"/>
              <w:spacing w:before="135"/>
              <w:ind w:left="115"/>
              <w:rPr>
                <w:b/>
                <w:sz w:val="20"/>
              </w:rPr>
            </w:pPr>
            <w:r>
              <w:rPr>
                <w:b/>
                <w:sz w:val="20"/>
              </w:rPr>
              <w:t>cartheftrate</w:t>
            </w:r>
          </w:p>
        </w:tc>
        <w:tc>
          <w:tcPr>
            <w:tcW w:w="1596" w:type="dxa"/>
          </w:tcPr>
          <w:p w14:paraId="60445791" w14:textId="77777777" w:rsidR="0046798B" w:rsidRDefault="0046798B">
            <w:pPr>
              <w:pStyle w:val="TableParagraph"/>
              <w:spacing w:before="8"/>
              <w:rPr>
                <w:b/>
                <w:sz w:val="23"/>
              </w:rPr>
            </w:pPr>
          </w:p>
          <w:p w14:paraId="38E034E9" w14:textId="77777777" w:rsidR="0046798B" w:rsidRDefault="00903B5C">
            <w:pPr>
              <w:pStyle w:val="TableParagraph"/>
              <w:spacing w:before="1"/>
              <w:ind w:left="114" w:right="324"/>
              <w:rPr>
                <w:sz w:val="20"/>
              </w:rPr>
            </w:pPr>
            <w:r>
              <w:rPr>
                <w:sz w:val="20"/>
              </w:rPr>
              <w:t>Motor vehicle theft rate</w:t>
            </w:r>
          </w:p>
        </w:tc>
        <w:tc>
          <w:tcPr>
            <w:tcW w:w="1285" w:type="dxa"/>
          </w:tcPr>
          <w:p w14:paraId="0C5AA351" w14:textId="77777777" w:rsidR="0046798B" w:rsidRDefault="0046798B">
            <w:pPr>
              <w:pStyle w:val="TableParagraph"/>
              <w:rPr>
                <w:b/>
              </w:rPr>
            </w:pPr>
          </w:p>
          <w:p w14:paraId="0C3817A5" w14:textId="77777777" w:rsidR="0046798B" w:rsidRDefault="00903B5C">
            <w:pPr>
              <w:pStyle w:val="TableParagraph"/>
              <w:spacing w:before="135"/>
              <w:ind w:left="114"/>
              <w:rPr>
                <w:sz w:val="20"/>
              </w:rPr>
            </w:pPr>
            <w:r>
              <w:rPr>
                <w:sz w:val="20"/>
              </w:rPr>
              <w:t>1960–2014</w:t>
            </w:r>
          </w:p>
        </w:tc>
        <w:tc>
          <w:tcPr>
            <w:tcW w:w="3421" w:type="dxa"/>
          </w:tcPr>
          <w:p w14:paraId="5EEFD7C7" w14:textId="77777777" w:rsidR="0046798B" w:rsidRDefault="00903B5C">
            <w:pPr>
              <w:pStyle w:val="TableParagraph"/>
              <w:spacing w:before="43"/>
              <w:ind w:left="114" w:right="178"/>
              <w:rPr>
                <w:sz w:val="20"/>
              </w:rPr>
            </w:pPr>
            <w:r>
              <w:rPr>
                <w:sz w:val="20"/>
              </w:rPr>
              <w:t>Estimated motor vehicle theft rate by state: the theft or attempted theft of a motor vehicle. A motor vehicle is self- propelled and runs on land surface and</w:t>
            </w:r>
          </w:p>
        </w:tc>
        <w:tc>
          <w:tcPr>
            <w:tcW w:w="6482" w:type="dxa"/>
          </w:tcPr>
          <w:p w14:paraId="3235C808" w14:textId="77777777" w:rsidR="0046798B" w:rsidRDefault="00903B5C">
            <w:pPr>
              <w:pStyle w:val="TableParagraph"/>
              <w:spacing w:before="43"/>
              <w:ind w:left="114" w:right="211"/>
              <w:rPr>
                <w:sz w:val="20"/>
              </w:rPr>
            </w:pPr>
            <w:r>
              <w:rPr>
                <w:sz w:val="20"/>
              </w:rPr>
              <w:t>U.S. Department of Justice, Uniform Crime Reporting Statistics - UCR Data Online. “Estimated motor vehicle theft rate by state.”</w:t>
            </w:r>
            <w:r>
              <w:rPr>
                <w:color w:val="0462C1"/>
                <w:sz w:val="20"/>
                <w:u w:val="single" w:color="0462C1"/>
              </w:rPr>
              <w:t xml:space="preserve"> </w:t>
            </w:r>
            <w:hyperlink r:id="rId737">
              <w:r>
                <w:rPr>
                  <w:color w:val="0462C1"/>
                  <w:sz w:val="20"/>
                  <w:u w:val="single" w:color="0462C1"/>
                </w:rPr>
                <w:t>https://www.ucrdatatool.gov/Search/Crime/State/TrendsInOneVar.cfm</w:t>
              </w:r>
            </w:hyperlink>
          </w:p>
        </w:tc>
      </w:tr>
    </w:tbl>
    <w:p w14:paraId="5DBCF741" w14:textId="77777777" w:rsidR="0046798B" w:rsidRDefault="0046798B">
      <w:pPr>
        <w:rPr>
          <w:sz w:val="20"/>
        </w:rPr>
        <w:sectPr w:rsidR="0046798B">
          <w:pgSz w:w="15840" w:h="12240" w:orient="landscape"/>
          <w:pgMar w:top="1220" w:right="300" w:bottom="980" w:left="820" w:header="730" w:footer="787" w:gutter="0"/>
          <w:cols w:space="720"/>
        </w:sectPr>
      </w:pPr>
    </w:p>
    <w:p w14:paraId="356671B3"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3E9CD113" w14:textId="77777777">
        <w:trPr>
          <w:trHeight w:val="1005"/>
        </w:trPr>
        <w:tc>
          <w:tcPr>
            <w:tcW w:w="1711" w:type="dxa"/>
          </w:tcPr>
          <w:p w14:paraId="3624A7E2" w14:textId="77777777" w:rsidR="0046798B" w:rsidRDefault="0046798B">
            <w:pPr>
              <w:pStyle w:val="TableParagraph"/>
              <w:rPr>
                <w:sz w:val="20"/>
              </w:rPr>
            </w:pPr>
          </w:p>
        </w:tc>
        <w:tc>
          <w:tcPr>
            <w:tcW w:w="1596" w:type="dxa"/>
          </w:tcPr>
          <w:p w14:paraId="37496A5C" w14:textId="77777777" w:rsidR="0046798B" w:rsidRDefault="0046798B">
            <w:pPr>
              <w:pStyle w:val="TableParagraph"/>
              <w:rPr>
                <w:sz w:val="20"/>
              </w:rPr>
            </w:pPr>
          </w:p>
        </w:tc>
        <w:tc>
          <w:tcPr>
            <w:tcW w:w="1285" w:type="dxa"/>
          </w:tcPr>
          <w:p w14:paraId="16821C6C" w14:textId="77777777" w:rsidR="0046798B" w:rsidRDefault="0046798B">
            <w:pPr>
              <w:pStyle w:val="TableParagraph"/>
              <w:rPr>
                <w:sz w:val="20"/>
              </w:rPr>
            </w:pPr>
          </w:p>
        </w:tc>
        <w:tc>
          <w:tcPr>
            <w:tcW w:w="3421" w:type="dxa"/>
          </w:tcPr>
          <w:p w14:paraId="18891C46" w14:textId="77777777" w:rsidR="0046798B" w:rsidRDefault="00903B5C">
            <w:pPr>
              <w:pStyle w:val="TableParagraph"/>
              <w:spacing w:before="43"/>
              <w:ind w:left="114" w:right="266"/>
              <w:rPr>
                <w:sz w:val="20"/>
              </w:rPr>
            </w:pPr>
            <w:r>
              <w:rPr>
                <w:sz w:val="20"/>
              </w:rPr>
              <w:t>not on rails. Motorboats, construction equipment, airplanes, and farming equipment are specifically excluded from this category.</w:t>
            </w:r>
          </w:p>
        </w:tc>
        <w:tc>
          <w:tcPr>
            <w:tcW w:w="6482" w:type="dxa"/>
          </w:tcPr>
          <w:p w14:paraId="5F0E7661" w14:textId="77777777" w:rsidR="0046798B" w:rsidRDefault="00903B5C">
            <w:pPr>
              <w:pStyle w:val="TableParagraph"/>
              <w:spacing w:before="43"/>
              <w:ind w:left="114" w:right="217"/>
              <w:rPr>
                <w:sz w:val="20"/>
              </w:rPr>
            </w:pPr>
            <w:r>
              <w:rPr>
                <w:sz w:val="20"/>
              </w:rPr>
              <w:t xml:space="preserve">Originally provided by Stateminder: A data visualization project from Georgetown University. </w:t>
            </w:r>
            <w:hyperlink r:id="rId738">
              <w:r>
                <w:rPr>
                  <w:sz w:val="20"/>
                  <w:u w:val="single"/>
                </w:rPr>
                <w:t>http://stateminder.org/</w:t>
              </w:r>
              <w:r>
                <w:rPr>
                  <w:sz w:val="20"/>
                </w:rPr>
                <w:t xml:space="preserve"> </w:t>
              </w:r>
            </w:hyperlink>
            <w:r>
              <w:rPr>
                <w:sz w:val="20"/>
              </w:rPr>
              <w:t>(no longer accessible online)</w:t>
            </w:r>
          </w:p>
          <w:p w14:paraId="48E055FB" w14:textId="77777777" w:rsidR="0046798B" w:rsidRDefault="0046798B">
            <w:pPr>
              <w:pStyle w:val="TableParagraph"/>
              <w:rPr>
                <w:sz w:val="20"/>
              </w:rPr>
            </w:pPr>
          </w:p>
          <w:p w14:paraId="614F69DB" w14:textId="77777777" w:rsidR="0046798B" w:rsidRDefault="00903B5C">
            <w:pPr>
              <w:pStyle w:val="TableParagraph"/>
              <w:ind w:left="114"/>
              <w:rPr>
                <w:sz w:val="13"/>
              </w:rPr>
            </w:pPr>
            <w:r>
              <w:rPr>
                <w:sz w:val="20"/>
              </w:rPr>
              <w:t xml:space="preserve">Notes: </w:t>
            </w:r>
            <w:r>
              <w:rPr>
                <w:sz w:val="13"/>
              </w:rPr>
              <w:t>v</w:t>
            </w:r>
          </w:p>
        </w:tc>
      </w:tr>
      <w:tr w:rsidR="0046798B" w14:paraId="1DA33C40" w14:textId="77777777">
        <w:trPr>
          <w:trHeight w:val="1926"/>
        </w:trPr>
        <w:tc>
          <w:tcPr>
            <w:tcW w:w="1711" w:type="dxa"/>
          </w:tcPr>
          <w:p w14:paraId="210D8991" w14:textId="77777777" w:rsidR="0046798B" w:rsidRDefault="0046798B">
            <w:pPr>
              <w:pStyle w:val="TableParagraph"/>
            </w:pPr>
          </w:p>
          <w:p w14:paraId="1F6333FA" w14:textId="77777777" w:rsidR="0046798B" w:rsidRDefault="0046798B">
            <w:pPr>
              <w:pStyle w:val="TableParagraph"/>
            </w:pPr>
          </w:p>
          <w:p w14:paraId="3BCDCF6B" w14:textId="77777777" w:rsidR="0046798B" w:rsidRDefault="0046798B">
            <w:pPr>
              <w:pStyle w:val="TableParagraph"/>
              <w:spacing w:before="9"/>
              <w:rPr>
                <w:sz w:val="29"/>
              </w:rPr>
            </w:pPr>
          </w:p>
          <w:p w14:paraId="619B0E4A" w14:textId="77777777" w:rsidR="0046798B" w:rsidRDefault="00903B5C">
            <w:pPr>
              <w:pStyle w:val="TableParagraph"/>
              <w:ind w:left="115"/>
              <w:rPr>
                <w:b/>
                <w:sz w:val="20"/>
              </w:rPr>
            </w:pPr>
            <w:r>
              <w:rPr>
                <w:b/>
                <w:sz w:val="20"/>
              </w:rPr>
              <w:t>carthefttotal</w:t>
            </w:r>
          </w:p>
        </w:tc>
        <w:tc>
          <w:tcPr>
            <w:tcW w:w="1596" w:type="dxa"/>
          </w:tcPr>
          <w:p w14:paraId="14802598" w14:textId="77777777" w:rsidR="0046798B" w:rsidRDefault="0046798B">
            <w:pPr>
              <w:pStyle w:val="TableParagraph"/>
            </w:pPr>
          </w:p>
          <w:p w14:paraId="132F039A" w14:textId="77777777" w:rsidR="0046798B" w:rsidRDefault="0046798B">
            <w:pPr>
              <w:pStyle w:val="TableParagraph"/>
            </w:pPr>
          </w:p>
          <w:p w14:paraId="0DA9D416" w14:textId="77777777" w:rsidR="0046798B" w:rsidRDefault="0046798B">
            <w:pPr>
              <w:pStyle w:val="TableParagraph"/>
              <w:spacing w:before="9"/>
              <w:rPr>
                <w:sz w:val="19"/>
              </w:rPr>
            </w:pPr>
          </w:p>
          <w:p w14:paraId="4739F8C1" w14:textId="77777777" w:rsidR="0046798B" w:rsidRDefault="00903B5C">
            <w:pPr>
              <w:pStyle w:val="TableParagraph"/>
              <w:ind w:left="114" w:right="324"/>
              <w:rPr>
                <w:sz w:val="20"/>
              </w:rPr>
            </w:pPr>
            <w:r>
              <w:rPr>
                <w:sz w:val="20"/>
              </w:rPr>
              <w:t>Motor vehicle theft total</w:t>
            </w:r>
          </w:p>
        </w:tc>
        <w:tc>
          <w:tcPr>
            <w:tcW w:w="1285" w:type="dxa"/>
          </w:tcPr>
          <w:p w14:paraId="1608D6C3" w14:textId="77777777" w:rsidR="0046798B" w:rsidRDefault="0046798B">
            <w:pPr>
              <w:pStyle w:val="TableParagraph"/>
            </w:pPr>
          </w:p>
          <w:p w14:paraId="6C23B7BA" w14:textId="77777777" w:rsidR="0046798B" w:rsidRDefault="0046798B">
            <w:pPr>
              <w:pStyle w:val="TableParagraph"/>
            </w:pPr>
          </w:p>
          <w:p w14:paraId="314C3FF3" w14:textId="77777777" w:rsidR="0046798B" w:rsidRDefault="0046798B">
            <w:pPr>
              <w:pStyle w:val="TableParagraph"/>
              <w:spacing w:before="9"/>
              <w:rPr>
                <w:sz w:val="29"/>
              </w:rPr>
            </w:pPr>
          </w:p>
          <w:p w14:paraId="553E1DF9" w14:textId="77777777" w:rsidR="0046798B" w:rsidRDefault="00903B5C">
            <w:pPr>
              <w:pStyle w:val="TableParagraph"/>
              <w:ind w:left="114"/>
              <w:rPr>
                <w:sz w:val="20"/>
              </w:rPr>
            </w:pPr>
            <w:r>
              <w:rPr>
                <w:sz w:val="20"/>
              </w:rPr>
              <w:t>1960–2014</w:t>
            </w:r>
          </w:p>
        </w:tc>
        <w:tc>
          <w:tcPr>
            <w:tcW w:w="3421" w:type="dxa"/>
          </w:tcPr>
          <w:p w14:paraId="4B10CB59" w14:textId="77777777" w:rsidR="0046798B" w:rsidRDefault="00903B5C">
            <w:pPr>
              <w:pStyle w:val="TableParagraph"/>
              <w:spacing w:before="43"/>
              <w:ind w:left="114" w:right="178"/>
              <w:rPr>
                <w:sz w:val="20"/>
              </w:rPr>
            </w:pPr>
            <w:r>
              <w:rPr>
                <w:sz w:val="20"/>
              </w:rPr>
              <w:t>Estimated motor vehicle theft total by state: the theft or attempted theft of a motor vehicle. A motor vehicle is self- propelled and runs on land surface and not on rails. Motorboats, construction equipment, airplanes, and farming equipment are specifically excluded from this category.</w:t>
            </w:r>
          </w:p>
        </w:tc>
        <w:tc>
          <w:tcPr>
            <w:tcW w:w="6482" w:type="dxa"/>
          </w:tcPr>
          <w:p w14:paraId="5E55F2C4" w14:textId="77777777" w:rsidR="0046798B" w:rsidRDefault="00903B5C">
            <w:pPr>
              <w:pStyle w:val="TableParagraph"/>
              <w:spacing w:before="43"/>
              <w:ind w:left="114" w:right="211"/>
              <w:rPr>
                <w:sz w:val="20"/>
              </w:rPr>
            </w:pPr>
            <w:r>
              <w:rPr>
                <w:sz w:val="20"/>
              </w:rPr>
              <w:t>U.S. Department of Justice, Uniform Crime Reporting Statistics - UCR Data Online. “Estimated motor vehicle theft total by state.”</w:t>
            </w:r>
            <w:r>
              <w:rPr>
                <w:color w:val="0462C1"/>
                <w:sz w:val="20"/>
                <w:u w:val="single" w:color="0462C1"/>
              </w:rPr>
              <w:t xml:space="preserve"> </w:t>
            </w:r>
            <w:hyperlink r:id="rId739">
              <w:r>
                <w:rPr>
                  <w:color w:val="0462C1"/>
                  <w:sz w:val="20"/>
                  <w:u w:val="single" w:color="0462C1"/>
                </w:rPr>
                <w:t>https://www.ucrdatatool.gov/Search/Crime/State/TrendsInOneVar.cfm</w:t>
              </w:r>
            </w:hyperlink>
          </w:p>
          <w:p w14:paraId="224F3673" w14:textId="77777777" w:rsidR="0046798B" w:rsidRDefault="0046798B">
            <w:pPr>
              <w:pStyle w:val="TableParagraph"/>
              <w:rPr>
                <w:sz w:val="20"/>
              </w:rPr>
            </w:pPr>
          </w:p>
          <w:p w14:paraId="53E8AD2C" w14:textId="77777777" w:rsidR="0046798B" w:rsidRDefault="00903B5C">
            <w:pPr>
              <w:pStyle w:val="TableParagraph"/>
              <w:spacing w:before="1"/>
              <w:ind w:left="114" w:right="217"/>
              <w:rPr>
                <w:sz w:val="20"/>
              </w:rPr>
            </w:pPr>
            <w:r>
              <w:rPr>
                <w:sz w:val="20"/>
              </w:rPr>
              <w:t xml:space="preserve">Originally provided by Stateminder: A data visualization project from Georgetown University. </w:t>
            </w:r>
            <w:hyperlink r:id="rId740">
              <w:r>
                <w:rPr>
                  <w:sz w:val="20"/>
                  <w:u w:val="single"/>
                </w:rPr>
                <w:t>http://stateminder.org/</w:t>
              </w:r>
              <w:r>
                <w:rPr>
                  <w:sz w:val="20"/>
                </w:rPr>
                <w:t xml:space="preserve"> </w:t>
              </w:r>
            </w:hyperlink>
            <w:r>
              <w:rPr>
                <w:sz w:val="20"/>
              </w:rPr>
              <w:t>(no longer accessible online)</w:t>
            </w:r>
          </w:p>
          <w:p w14:paraId="20485132" w14:textId="77777777" w:rsidR="0046798B" w:rsidRDefault="0046798B">
            <w:pPr>
              <w:pStyle w:val="TableParagraph"/>
              <w:rPr>
                <w:sz w:val="20"/>
              </w:rPr>
            </w:pPr>
          </w:p>
          <w:p w14:paraId="115FA756" w14:textId="77777777" w:rsidR="0046798B" w:rsidRDefault="00903B5C">
            <w:pPr>
              <w:pStyle w:val="TableParagraph"/>
              <w:ind w:left="114"/>
              <w:rPr>
                <w:sz w:val="13"/>
              </w:rPr>
            </w:pPr>
            <w:r>
              <w:rPr>
                <w:sz w:val="20"/>
              </w:rPr>
              <w:t xml:space="preserve">Notes: </w:t>
            </w:r>
            <w:r>
              <w:rPr>
                <w:sz w:val="13"/>
              </w:rPr>
              <w:t>vi</w:t>
            </w:r>
          </w:p>
        </w:tc>
      </w:tr>
      <w:tr w:rsidR="0046798B" w14:paraId="5C17305E" w14:textId="77777777">
        <w:trPr>
          <w:trHeight w:val="3305"/>
        </w:trPr>
        <w:tc>
          <w:tcPr>
            <w:tcW w:w="1711" w:type="dxa"/>
          </w:tcPr>
          <w:p w14:paraId="1A4B2AF6" w14:textId="77777777" w:rsidR="0046798B" w:rsidRDefault="0046798B">
            <w:pPr>
              <w:pStyle w:val="TableParagraph"/>
            </w:pPr>
          </w:p>
          <w:p w14:paraId="50BBCC53" w14:textId="77777777" w:rsidR="0046798B" w:rsidRDefault="0046798B">
            <w:pPr>
              <w:pStyle w:val="TableParagraph"/>
            </w:pPr>
          </w:p>
          <w:p w14:paraId="4F9A6564" w14:textId="77777777" w:rsidR="0046798B" w:rsidRDefault="0046798B">
            <w:pPr>
              <w:pStyle w:val="TableParagraph"/>
            </w:pPr>
          </w:p>
          <w:p w14:paraId="713093FA" w14:textId="77777777" w:rsidR="0046798B" w:rsidRDefault="0046798B">
            <w:pPr>
              <w:pStyle w:val="TableParagraph"/>
            </w:pPr>
          </w:p>
          <w:p w14:paraId="6FA9D82D" w14:textId="77777777" w:rsidR="0046798B" w:rsidRDefault="0046798B">
            <w:pPr>
              <w:pStyle w:val="TableParagraph"/>
            </w:pPr>
          </w:p>
          <w:p w14:paraId="61D72803" w14:textId="77777777" w:rsidR="0046798B" w:rsidRDefault="0046798B">
            <w:pPr>
              <w:pStyle w:val="TableParagraph"/>
              <w:spacing w:before="9"/>
              <w:rPr>
                <w:sz w:val="23"/>
              </w:rPr>
            </w:pPr>
          </w:p>
          <w:p w14:paraId="1626EA10" w14:textId="77777777" w:rsidR="0046798B" w:rsidRDefault="00903B5C">
            <w:pPr>
              <w:pStyle w:val="TableParagraph"/>
              <w:ind w:left="115"/>
              <w:rPr>
                <w:b/>
                <w:sz w:val="20"/>
              </w:rPr>
            </w:pPr>
            <w:r>
              <w:rPr>
                <w:b/>
                <w:sz w:val="20"/>
              </w:rPr>
              <w:t>murderrate</w:t>
            </w:r>
          </w:p>
        </w:tc>
        <w:tc>
          <w:tcPr>
            <w:tcW w:w="1596" w:type="dxa"/>
          </w:tcPr>
          <w:p w14:paraId="6DEE1BA9" w14:textId="77777777" w:rsidR="0046798B" w:rsidRDefault="0046798B">
            <w:pPr>
              <w:pStyle w:val="TableParagraph"/>
            </w:pPr>
          </w:p>
          <w:p w14:paraId="62A816E8" w14:textId="77777777" w:rsidR="0046798B" w:rsidRDefault="0046798B">
            <w:pPr>
              <w:pStyle w:val="TableParagraph"/>
            </w:pPr>
          </w:p>
          <w:p w14:paraId="6583AD80" w14:textId="77777777" w:rsidR="0046798B" w:rsidRDefault="0046798B">
            <w:pPr>
              <w:pStyle w:val="TableParagraph"/>
            </w:pPr>
          </w:p>
          <w:p w14:paraId="07A404EF" w14:textId="77777777" w:rsidR="0046798B" w:rsidRDefault="0046798B">
            <w:pPr>
              <w:pStyle w:val="TableParagraph"/>
            </w:pPr>
          </w:p>
          <w:p w14:paraId="3A5DFAD9" w14:textId="77777777" w:rsidR="0046798B" w:rsidRDefault="00903B5C">
            <w:pPr>
              <w:pStyle w:val="TableParagraph"/>
              <w:spacing w:before="181"/>
              <w:ind w:left="114" w:right="96"/>
              <w:rPr>
                <w:sz w:val="20"/>
              </w:rPr>
            </w:pPr>
            <w:r>
              <w:rPr>
                <w:sz w:val="20"/>
              </w:rPr>
              <w:t>Murder and non- negligent manslaughter rate</w:t>
            </w:r>
          </w:p>
        </w:tc>
        <w:tc>
          <w:tcPr>
            <w:tcW w:w="1285" w:type="dxa"/>
          </w:tcPr>
          <w:p w14:paraId="426D2F3F" w14:textId="77777777" w:rsidR="0046798B" w:rsidRDefault="0046798B">
            <w:pPr>
              <w:pStyle w:val="TableParagraph"/>
            </w:pPr>
          </w:p>
          <w:p w14:paraId="71BA6A9C" w14:textId="77777777" w:rsidR="0046798B" w:rsidRDefault="0046798B">
            <w:pPr>
              <w:pStyle w:val="TableParagraph"/>
            </w:pPr>
          </w:p>
          <w:p w14:paraId="1798E400" w14:textId="77777777" w:rsidR="0046798B" w:rsidRDefault="0046798B">
            <w:pPr>
              <w:pStyle w:val="TableParagraph"/>
            </w:pPr>
          </w:p>
          <w:p w14:paraId="5F6F9B41" w14:textId="77777777" w:rsidR="0046798B" w:rsidRDefault="0046798B">
            <w:pPr>
              <w:pStyle w:val="TableParagraph"/>
            </w:pPr>
          </w:p>
          <w:p w14:paraId="57A402D9" w14:textId="77777777" w:rsidR="0046798B" w:rsidRDefault="0046798B">
            <w:pPr>
              <w:pStyle w:val="TableParagraph"/>
            </w:pPr>
          </w:p>
          <w:p w14:paraId="4A0E30CC" w14:textId="77777777" w:rsidR="0046798B" w:rsidRDefault="0046798B">
            <w:pPr>
              <w:pStyle w:val="TableParagraph"/>
              <w:spacing w:before="9"/>
              <w:rPr>
                <w:sz w:val="23"/>
              </w:rPr>
            </w:pPr>
          </w:p>
          <w:p w14:paraId="1D72E684" w14:textId="77777777" w:rsidR="0046798B" w:rsidRDefault="00903B5C">
            <w:pPr>
              <w:pStyle w:val="TableParagraph"/>
              <w:ind w:left="114"/>
              <w:rPr>
                <w:sz w:val="20"/>
              </w:rPr>
            </w:pPr>
            <w:r>
              <w:rPr>
                <w:sz w:val="20"/>
              </w:rPr>
              <w:t>1960–2014</w:t>
            </w:r>
          </w:p>
        </w:tc>
        <w:tc>
          <w:tcPr>
            <w:tcW w:w="3421" w:type="dxa"/>
          </w:tcPr>
          <w:p w14:paraId="5C0218B6" w14:textId="77777777" w:rsidR="0046798B" w:rsidRDefault="0046798B">
            <w:pPr>
              <w:pStyle w:val="TableParagraph"/>
            </w:pPr>
          </w:p>
          <w:p w14:paraId="577AF840" w14:textId="77777777" w:rsidR="0046798B" w:rsidRDefault="0046798B">
            <w:pPr>
              <w:pStyle w:val="TableParagraph"/>
            </w:pPr>
          </w:p>
          <w:p w14:paraId="23928BF0" w14:textId="77777777" w:rsidR="0046798B" w:rsidRDefault="0046798B">
            <w:pPr>
              <w:pStyle w:val="TableParagraph"/>
              <w:spacing w:before="8"/>
              <w:rPr>
                <w:sz w:val="29"/>
              </w:rPr>
            </w:pPr>
          </w:p>
          <w:p w14:paraId="480F441D" w14:textId="77777777" w:rsidR="0046798B" w:rsidRDefault="00903B5C">
            <w:pPr>
              <w:pStyle w:val="TableParagraph"/>
              <w:spacing w:before="1"/>
              <w:ind w:left="114" w:right="89"/>
              <w:rPr>
                <w:sz w:val="20"/>
              </w:rPr>
            </w:pPr>
            <w:r>
              <w:rPr>
                <w:sz w:val="20"/>
              </w:rPr>
              <w:t>Estimated murder rate by state. Murder and non-negligent manslaughter: the willful (non-negligent) killing of one human being by another. Deaths caused by negligence, attempts to kill, assaults to kill, suicides, and accidental deaths are excluded.</w:t>
            </w:r>
          </w:p>
        </w:tc>
        <w:tc>
          <w:tcPr>
            <w:tcW w:w="6482" w:type="dxa"/>
          </w:tcPr>
          <w:p w14:paraId="0CB4E2C8" w14:textId="77777777" w:rsidR="0046798B" w:rsidRDefault="00903B5C">
            <w:pPr>
              <w:pStyle w:val="TableParagraph"/>
              <w:spacing w:before="43"/>
              <w:ind w:left="114" w:right="227"/>
              <w:rPr>
                <w:sz w:val="20"/>
              </w:rPr>
            </w:pPr>
            <w:r>
              <w:rPr>
                <w:sz w:val="20"/>
              </w:rPr>
              <w:t>U.S. Department of Justice, Uniform Crime Reporting Statistics. “Estimated Murder and Non-negligent Manslaughter Rate.”</w:t>
            </w:r>
            <w:r>
              <w:rPr>
                <w:color w:val="0462C1"/>
                <w:sz w:val="20"/>
                <w:u w:val="single" w:color="0462C1"/>
              </w:rPr>
              <w:t xml:space="preserve"> </w:t>
            </w:r>
            <w:hyperlink r:id="rId741">
              <w:r>
                <w:rPr>
                  <w:color w:val="0462C1"/>
                  <w:sz w:val="20"/>
                  <w:u w:val="single" w:color="0462C1"/>
                </w:rPr>
                <w:t>https://www.ucrdatatool.gov/Search/Crime/State/TrendsInOneVar.cfm</w:t>
              </w:r>
            </w:hyperlink>
          </w:p>
          <w:p w14:paraId="126CC8C2" w14:textId="77777777" w:rsidR="0046798B" w:rsidRDefault="0046798B">
            <w:pPr>
              <w:pStyle w:val="TableParagraph"/>
              <w:rPr>
                <w:sz w:val="20"/>
              </w:rPr>
            </w:pPr>
          </w:p>
          <w:p w14:paraId="725E737F" w14:textId="77777777" w:rsidR="0046798B" w:rsidRDefault="00903B5C">
            <w:pPr>
              <w:pStyle w:val="TableParagraph"/>
              <w:ind w:left="114" w:right="217"/>
              <w:rPr>
                <w:sz w:val="20"/>
              </w:rPr>
            </w:pPr>
            <w:r>
              <w:rPr>
                <w:sz w:val="20"/>
              </w:rPr>
              <w:t xml:space="preserve">Originally provided by Stateminder: A data visualization project from Georgetown University. </w:t>
            </w:r>
            <w:hyperlink r:id="rId742">
              <w:r>
                <w:rPr>
                  <w:sz w:val="20"/>
                  <w:u w:val="single"/>
                </w:rPr>
                <w:t>http://stateminder.org/</w:t>
              </w:r>
              <w:r>
                <w:rPr>
                  <w:sz w:val="20"/>
                </w:rPr>
                <w:t xml:space="preserve"> </w:t>
              </w:r>
            </w:hyperlink>
            <w:r>
              <w:rPr>
                <w:sz w:val="20"/>
              </w:rPr>
              <w:t>(no longer accessible online)</w:t>
            </w:r>
          </w:p>
          <w:p w14:paraId="2C81B1BE" w14:textId="77777777" w:rsidR="0046798B" w:rsidRDefault="0046798B">
            <w:pPr>
              <w:pStyle w:val="TableParagraph"/>
              <w:rPr>
                <w:sz w:val="20"/>
              </w:rPr>
            </w:pPr>
          </w:p>
          <w:p w14:paraId="068CA15D" w14:textId="77777777" w:rsidR="0046798B" w:rsidRDefault="00903B5C">
            <w:pPr>
              <w:pStyle w:val="TableParagraph"/>
              <w:spacing w:before="1"/>
              <w:ind w:left="114" w:right="123"/>
              <w:rPr>
                <w:sz w:val="13"/>
              </w:rPr>
            </w:pPr>
            <w:r>
              <w:rPr>
                <w:sz w:val="20"/>
              </w:rPr>
              <w:t xml:space="preserve">Notes: The Program classifies justifiable homicides separately and limits the definition to: (1) the killing of a felon by a law enforcement officer in the line of duty; or (2) the killing of a felon, during the commission of a felony, by a private citizen. b.) Manslaughter by negligence: the killing of another person through gross negligence. Deaths of persons due to their own negligence, accidental deaths not resulting from gross negligence, and traffic fatalities are not included in the category Manslaughter by negligence. </w:t>
            </w:r>
            <w:r>
              <w:rPr>
                <w:sz w:val="13"/>
              </w:rPr>
              <w:t>vii</w:t>
            </w:r>
          </w:p>
        </w:tc>
      </w:tr>
      <w:tr w:rsidR="0046798B" w14:paraId="01670AEE" w14:textId="77777777">
        <w:trPr>
          <w:trHeight w:val="2851"/>
        </w:trPr>
        <w:tc>
          <w:tcPr>
            <w:tcW w:w="1711" w:type="dxa"/>
          </w:tcPr>
          <w:p w14:paraId="00A78036" w14:textId="77777777" w:rsidR="0046798B" w:rsidRDefault="0046798B">
            <w:pPr>
              <w:pStyle w:val="TableParagraph"/>
            </w:pPr>
          </w:p>
          <w:p w14:paraId="34EE46F9" w14:textId="77777777" w:rsidR="0046798B" w:rsidRDefault="0046798B">
            <w:pPr>
              <w:pStyle w:val="TableParagraph"/>
            </w:pPr>
          </w:p>
          <w:p w14:paraId="34259081" w14:textId="77777777" w:rsidR="0046798B" w:rsidRDefault="0046798B">
            <w:pPr>
              <w:pStyle w:val="TableParagraph"/>
            </w:pPr>
          </w:p>
          <w:p w14:paraId="2025863C" w14:textId="77777777" w:rsidR="0046798B" w:rsidRDefault="0046798B">
            <w:pPr>
              <w:pStyle w:val="TableParagraph"/>
            </w:pPr>
          </w:p>
          <w:p w14:paraId="5A9B7410" w14:textId="77777777" w:rsidR="0046798B" w:rsidRDefault="0046798B">
            <w:pPr>
              <w:pStyle w:val="TableParagraph"/>
              <w:spacing w:before="9"/>
              <w:rPr>
                <w:sz w:val="25"/>
              </w:rPr>
            </w:pPr>
          </w:p>
          <w:p w14:paraId="18C07E37" w14:textId="77777777" w:rsidR="0046798B" w:rsidRDefault="00903B5C">
            <w:pPr>
              <w:pStyle w:val="TableParagraph"/>
              <w:ind w:left="115"/>
              <w:rPr>
                <w:b/>
                <w:sz w:val="20"/>
              </w:rPr>
            </w:pPr>
            <w:r>
              <w:rPr>
                <w:b/>
                <w:sz w:val="20"/>
              </w:rPr>
              <w:t>murdertotal</w:t>
            </w:r>
          </w:p>
        </w:tc>
        <w:tc>
          <w:tcPr>
            <w:tcW w:w="1596" w:type="dxa"/>
          </w:tcPr>
          <w:p w14:paraId="2BB6D175" w14:textId="77777777" w:rsidR="0046798B" w:rsidRDefault="0046798B">
            <w:pPr>
              <w:pStyle w:val="TableParagraph"/>
            </w:pPr>
          </w:p>
          <w:p w14:paraId="1F8E484D" w14:textId="77777777" w:rsidR="0046798B" w:rsidRDefault="0046798B">
            <w:pPr>
              <w:pStyle w:val="TableParagraph"/>
            </w:pPr>
          </w:p>
          <w:p w14:paraId="307880CC" w14:textId="77777777" w:rsidR="0046798B" w:rsidRDefault="0046798B">
            <w:pPr>
              <w:pStyle w:val="TableParagraph"/>
            </w:pPr>
          </w:p>
          <w:p w14:paraId="19F1EF3F" w14:textId="77777777" w:rsidR="0046798B" w:rsidRDefault="0046798B">
            <w:pPr>
              <w:pStyle w:val="TableParagraph"/>
              <w:spacing w:before="9"/>
              <w:rPr>
                <w:sz w:val="17"/>
              </w:rPr>
            </w:pPr>
          </w:p>
          <w:p w14:paraId="71741542" w14:textId="77777777" w:rsidR="0046798B" w:rsidRDefault="00903B5C">
            <w:pPr>
              <w:pStyle w:val="TableParagraph"/>
              <w:ind w:left="114" w:right="96"/>
              <w:rPr>
                <w:sz w:val="20"/>
              </w:rPr>
            </w:pPr>
            <w:r>
              <w:rPr>
                <w:sz w:val="20"/>
              </w:rPr>
              <w:t>Murder and non- negligent manslaughter total</w:t>
            </w:r>
          </w:p>
        </w:tc>
        <w:tc>
          <w:tcPr>
            <w:tcW w:w="1285" w:type="dxa"/>
          </w:tcPr>
          <w:p w14:paraId="0D6068DC" w14:textId="77777777" w:rsidR="0046798B" w:rsidRDefault="0046798B">
            <w:pPr>
              <w:pStyle w:val="TableParagraph"/>
            </w:pPr>
          </w:p>
          <w:p w14:paraId="46A37858" w14:textId="77777777" w:rsidR="0046798B" w:rsidRDefault="0046798B">
            <w:pPr>
              <w:pStyle w:val="TableParagraph"/>
            </w:pPr>
          </w:p>
          <w:p w14:paraId="084C9932" w14:textId="77777777" w:rsidR="0046798B" w:rsidRDefault="0046798B">
            <w:pPr>
              <w:pStyle w:val="TableParagraph"/>
            </w:pPr>
          </w:p>
          <w:p w14:paraId="7D9DC2BD" w14:textId="77777777" w:rsidR="0046798B" w:rsidRDefault="0046798B">
            <w:pPr>
              <w:pStyle w:val="TableParagraph"/>
            </w:pPr>
          </w:p>
          <w:p w14:paraId="2844D9FA" w14:textId="77777777" w:rsidR="0046798B" w:rsidRDefault="0046798B">
            <w:pPr>
              <w:pStyle w:val="TableParagraph"/>
              <w:spacing w:before="9"/>
              <w:rPr>
                <w:sz w:val="25"/>
              </w:rPr>
            </w:pPr>
          </w:p>
          <w:p w14:paraId="746B1579" w14:textId="77777777" w:rsidR="0046798B" w:rsidRDefault="00903B5C">
            <w:pPr>
              <w:pStyle w:val="TableParagraph"/>
              <w:ind w:left="114"/>
              <w:rPr>
                <w:sz w:val="20"/>
              </w:rPr>
            </w:pPr>
            <w:r>
              <w:rPr>
                <w:sz w:val="20"/>
              </w:rPr>
              <w:t>1960–2014</w:t>
            </w:r>
          </w:p>
        </w:tc>
        <w:tc>
          <w:tcPr>
            <w:tcW w:w="3421" w:type="dxa"/>
          </w:tcPr>
          <w:p w14:paraId="4B23B200" w14:textId="77777777" w:rsidR="0046798B" w:rsidRDefault="0046798B">
            <w:pPr>
              <w:pStyle w:val="TableParagraph"/>
            </w:pPr>
          </w:p>
          <w:p w14:paraId="33708B55" w14:textId="77777777" w:rsidR="0046798B" w:rsidRDefault="0046798B">
            <w:pPr>
              <w:pStyle w:val="TableParagraph"/>
              <w:spacing w:before="9"/>
              <w:rPr>
                <w:sz w:val="21"/>
              </w:rPr>
            </w:pPr>
          </w:p>
          <w:p w14:paraId="7F9E13D7" w14:textId="77777777" w:rsidR="0046798B" w:rsidRDefault="00903B5C">
            <w:pPr>
              <w:pStyle w:val="TableParagraph"/>
              <w:ind w:left="114" w:right="161"/>
              <w:rPr>
                <w:sz w:val="20"/>
              </w:rPr>
            </w:pPr>
            <w:r>
              <w:rPr>
                <w:sz w:val="20"/>
              </w:rPr>
              <w:t>Estimated murder total by state. Murder and non-negligent manslaughter: the willful (non- negligent) killing of one human being by another. Deaths caused by negligence, attempts to kill, assaults to kill, suicides, and accidental deaths are excluded.</w:t>
            </w:r>
          </w:p>
        </w:tc>
        <w:tc>
          <w:tcPr>
            <w:tcW w:w="6482" w:type="dxa"/>
          </w:tcPr>
          <w:p w14:paraId="6E6C28BF" w14:textId="77777777" w:rsidR="0046798B" w:rsidRDefault="00903B5C">
            <w:pPr>
              <w:pStyle w:val="TableParagraph"/>
              <w:spacing w:before="43"/>
              <w:ind w:left="114" w:right="227"/>
              <w:rPr>
                <w:sz w:val="20"/>
              </w:rPr>
            </w:pPr>
            <w:r>
              <w:rPr>
                <w:sz w:val="20"/>
              </w:rPr>
              <w:t>U.S. Department of Justice, Uniform Crime Reporting Statistics. “Estimated Murder and Non-negligent Manslaughter Totals.”</w:t>
            </w:r>
            <w:r>
              <w:rPr>
                <w:color w:val="0462C1"/>
                <w:sz w:val="20"/>
                <w:u w:val="single" w:color="0462C1"/>
              </w:rPr>
              <w:t xml:space="preserve"> </w:t>
            </w:r>
            <w:hyperlink r:id="rId743">
              <w:r>
                <w:rPr>
                  <w:color w:val="0462C1"/>
                  <w:sz w:val="20"/>
                  <w:u w:val="single" w:color="0462C1"/>
                </w:rPr>
                <w:t>https://www.ucrdatatool.gov/Search/Crime/State/TrendsInOneVar.cfm</w:t>
              </w:r>
            </w:hyperlink>
          </w:p>
          <w:p w14:paraId="46641B27" w14:textId="77777777" w:rsidR="0046798B" w:rsidRDefault="0046798B">
            <w:pPr>
              <w:pStyle w:val="TableParagraph"/>
              <w:rPr>
                <w:sz w:val="20"/>
              </w:rPr>
            </w:pPr>
          </w:p>
          <w:p w14:paraId="09727313" w14:textId="77777777" w:rsidR="0046798B" w:rsidRDefault="00903B5C">
            <w:pPr>
              <w:pStyle w:val="TableParagraph"/>
              <w:ind w:left="114" w:right="217"/>
              <w:rPr>
                <w:sz w:val="20"/>
              </w:rPr>
            </w:pPr>
            <w:r>
              <w:rPr>
                <w:sz w:val="20"/>
              </w:rPr>
              <w:t xml:space="preserve">Originally provided by Stateminder: A data visualization project from Georgetown University. </w:t>
            </w:r>
            <w:hyperlink r:id="rId744">
              <w:r>
                <w:rPr>
                  <w:sz w:val="20"/>
                  <w:u w:val="single"/>
                </w:rPr>
                <w:t>http://stateminder.org/</w:t>
              </w:r>
              <w:r>
                <w:rPr>
                  <w:sz w:val="20"/>
                </w:rPr>
                <w:t xml:space="preserve"> </w:t>
              </w:r>
            </w:hyperlink>
            <w:r>
              <w:rPr>
                <w:sz w:val="20"/>
              </w:rPr>
              <w:t>(no longer accessible online)</w:t>
            </w:r>
          </w:p>
          <w:p w14:paraId="06B55375" w14:textId="77777777" w:rsidR="0046798B" w:rsidRDefault="0046798B">
            <w:pPr>
              <w:pStyle w:val="TableParagraph"/>
              <w:spacing w:before="1"/>
              <w:rPr>
                <w:sz w:val="20"/>
              </w:rPr>
            </w:pPr>
          </w:p>
          <w:p w14:paraId="754F61C7" w14:textId="77777777" w:rsidR="0046798B" w:rsidRDefault="00903B5C">
            <w:pPr>
              <w:pStyle w:val="TableParagraph"/>
              <w:ind w:left="114"/>
              <w:rPr>
                <w:sz w:val="20"/>
              </w:rPr>
            </w:pPr>
            <w:r>
              <w:rPr>
                <w:sz w:val="20"/>
              </w:rPr>
              <w:t>Notes: The Program classifies justifiable homicides separately and limits the definition to: (1) the killing of a felon by a law enforcement officer in the line of duty; or (2) the killing of a felon, during the commission of a felony, by a private citizen. b.) Manslaughter by negligence: the killing of another person through gross negligence. Deaths of persons due to their own negligence,</w:t>
            </w:r>
          </w:p>
        </w:tc>
      </w:tr>
    </w:tbl>
    <w:p w14:paraId="691AF4D8" w14:textId="77777777" w:rsidR="0046798B" w:rsidRDefault="0046798B">
      <w:pPr>
        <w:rPr>
          <w:sz w:val="20"/>
        </w:rPr>
        <w:sectPr w:rsidR="0046798B">
          <w:pgSz w:w="15840" w:h="12240" w:orient="landscape"/>
          <w:pgMar w:top="1220" w:right="300" w:bottom="980" w:left="820" w:header="730" w:footer="787" w:gutter="0"/>
          <w:cols w:space="720"/>
        </w:sectPr>
      </w:pPr>
    </w:p>
    <w:p w14:paraId="4A2FFF00"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630402A" w14:textId="77777777">
        <w:trPr>
          <w:trHeight w:val="542"/>
        </w:trPr>
        <w:tc>
          <w:tcPr>
            <w:tcW w:w="1711" w:type="dxa"/>
            <w:tcBorders>
              <w:bottom w:val="dotted" w:sz="6" w:space="0" w:color="BEBEBE"/>
            </w:tcBorders>
          </w:tcPr>
          <w:p w14:paraId="2E5683F5" w14:textId="77777777" w:rsidR="0046798B" w:rsidRDefault="0046798B">
            <w:pPr>
              <w:pStyle w:val="TableParagraph"/>
              <w:rPr>
                <w:sz w:val="20"/>
              </w:rPr>
            </w:pPr>
          </w:p>
        </w:tc>
        <w:tc>
          <w:tcPr>
            <w:tcW w:w="1596" w:type="dxa"/>
            <w:tcBorders>
              <w:bottom w:val="dotted" w:sz="6" w:space="0" w:color="BEBEBE"/>
            </w:tcBorders>
          </w:tcPr>
          <w:p w14:paraId="4811297E" w14:textId="77777777" w:rsidR="0046798B" w:rsidRDefault="0046798B">
            <w:pPr>
              <w:pStyle w:val="TableParagraph"/>
              <w:rPr>
                <w:sz w:val="20"/>
              </w:rPr>
            </w:pPr>
          </w:p>
        </w:tc>
        <w:tc>
          <w:tcPr>
            <w:tcW w:w="1285" w:type="dxa"/>
            <w:tcBorders>
              <w:bottom w:val="dotted" w:sz="6" w:space="0" w:color="BEBEBE"/>
            </w:tcBorders>
          </w:tcPr>
          <w:p w14:paraId="5571984B" w14:textId="77777777" w:rsidR="0046798B" w:rsidRDefault="0046798B">
            <w:pPr>
              <w:pStyle w:val="TableParagraph"/>
              <w:rPr>
                <w:sz w:val="20"/>
              </w:rPr>
            </w:pPr>
          </w:p>
        </w:tc>
        <w:tc>
          <w:tcPr>
            <w:tcW w:w="3421" w:type="dxa"/>
            <w:tcBorders>
              <w:bottom w:val="dotted" w:sz="6" w:space="0" w:color="BEBEBE"/>
            </w:tcBorders>
          </w:tcPr>
          <w:p w14:paraId="01EC6711" w14:textId="77777777" w:rsidR="0046798B" w:rsidRDefault="0046798B">
            <w:pPr>
              <w:pStyle w:val="TableParagraph"/>
              <w:rPr>
                <w:sz w:val="20"/>
              </w:rPr>
            </w:pPr>
          </w:p>
        </w:tc>
        <w:tc>
          <w:tcPr>
            <w:tcW w:w="6482" w:type="dxa"/>
            <w:tcBorders>
              <w:bottom w:val="dotted" w:sz="6" w:space="0" w:color="BEBEBE"/>
            </w:tcBorders>
          </w:tcPr>
          <w:p w14:paraId="653AA747" w14:textId="77777777" w:rsidR="0046798B" w:rsidRDefault="00903B5C">
            <w:pPr>
              <w:pStyle w:val="TableParagraph"/>
              <w:spacing w:before="43"/>
              <w:ind w:left="114" w:right="123"/>
              <w:rPr>
                <w:sz w:val="13"/>
              </w:rPr>
            </w:pPr>
            <w:r>
              <w:rPr>
                <w:sz w:val="20"/>
              </w:rPr>
              <w:t xml:space="preserve">accidental deaths not resulting from gross negligence, and traffic fatalities are not included in the category Manslaughter by negligence. </w:t>
            </w:r>
            <w:r>
              <w:rPr>
                <w:sz w:val="13"/>
              </w:rPr>
              <w:t>viii</w:t>
            </w:r>
          </w:p>
        </w:tc>
      </w:tr>
      <w:tr w:rsidR="0046798B" w14:paraId="355FB461" w14:textId="77777777">
        <w:trPr>
          <w:trHeight w:val="3303"/>
        </w:trPr>
        <w:tc>
          <w:tcPr>
            <w:tcW w:w="1711" w:type="dxa"/>
            <w:tcBorders>
              <w:top w:val="dotted" w:sz="6" w:space="0" w:color="BEBEBE"/>
            </w:tcBorders>
          </w:tcPr>
          <w:p w14:paraId="541A4EEB" w14:textId="77777777" w:rsidR="0046798B" w:rsidRDefault="0046798B">
            <w:pPr>
              <w:pStyle w:val="TableParagraph"/>
            </w:pPr>
          </w:p>
          <w:p w14:paraId="1052680A" w14:textId="77777777" w:rsidR="0046798B" w:rsidRDefault="0046798B">
            <w:pPr>
              <w:pStyle w:val="TableParagraph"/>
            </w:pPr>
          </w:p>
          <w:p w14:paraId="446DF2DE" w14:textId="77777777" w:rsidR="0046798B" w:rsidRDefault="0046798B">
            <w:pPr>
              <w:pStyle w:val="TableParagraph"/>
            </w:pPr>
          </w:p>
          <w:p w14:paraId="490B0112" w14:textId="77777777" w:rsidR="0046798B" w:rsidRDefault="0046798B">
            <w:pPr>
              <w:pStyle w:val="TableParagraph"/>
            </w:pPr>
          </w:p>
          <w:p w14:paraId="4634E1E3" w14:textId="77777777" w:rsidR="0046798B" w:rsidRDefault="0046798B">
            <w:pPr>
              <w:pStyle w:val="TableParagraph"/>
            </w:pPr>
          </w:p>
          <w:p w14:paraId="75CA8CD7" w14:textId="77777777" w:rsidR="0046798B" w:rsidRDefault="0046798B">
            <w:pPr>
              <w:pStyle w:val="TableParagraph"/>
              <w:spacing w:before="7"/>
              <w:rPr>
                <w:sz w:val="23"/>
              </w:rPr>
            </w:pPr>
          </w:p>
          <w:p w14:paraId="768A09F7" w14:textId="77777777" w:rsidR="0046798B" w:rsidRDefault="00903B5C">
            <w:pPr>
              <w:pStyle w:val="TableParagraph"/>
              <w:ind w:left="115"/>
              <w:rPr>
                <w:b/>
                <w:sz w:val="20"/>
              </w:rPr>
            </w:pPr>
            <w:r>
              <w:rPr>
                <w:b/>
                <w:sz w:val="20"/>
              </w:rPr>
              <w:t>propcrimerate</w:t>
            </w:r>
          </w:p>
        </w:tc>
        <w:tc>
          <w:tcPr>
            <w:tcW w:w="1596" w:type="dxa"/>
            <w:tcBorders>
              <w:top w:val="dotted" w:sz="6" w:space="0" w:color="BEBEBE"/>
            </w:tcBorders>
          </w:tcPr>
          <w:p w14:paraId="28AD3E4B" w14:textId="77777777" w:rsidR="0046798B" w:rsidRDefault="0046798B">
            <w:pPr>
              <w:pStyle w:val="TableParagraph"/>
            </w:pPr>
          </w:p>
          <w:p w14:paraId="193B9CF0" w14:textId="77777777" w:rsidR="0046798B" w:rsidRDefault="0046798B">
            <w:pPr>
              <w:pStyle w:val="TableParagraph"/>
            </w:pPr>
          </w:p>
          <w:p w14:paraId="1F0066ED" w14:textId="77777777" w:rsidR="0046798B" w:rsidRDefault="0046798B">
            <w:pPr>
              <w:pStyle w:val="TableParagraph"/>
            </w:pPr>
          </w:p>
          <w:p w14:paraId="6D794D5D" w14:textId="77777777" w:rsidR="0046798B" w:rsidRDefault="0046798B">
            <w:pPr>
              <w:pStyle w:val="TableParagraph"/>
            </w:pPr>
          </w:p>
          <w:p w14:paraId="6199DC9F" w14:textId="77777777" w:rsidR="0046798B" w:rsidRDefault="0046798B">
            <w:pPr>
              <w:pStyle w:val="TableParagraph"/>
            </w:pPr>
          </w:p>
          <w:p w14:paraId="66B1B912" w14:textId="77777777" w:rsidR="0046798B" w:rsidRDefault="00903B5C">
            <w:pPr>
              <w:pStyle w:val="TableParagraph"/>
              <w:spacing w:before="156"/>
              <w:ind w:left="114" w:right="229"/>
              <w:rPr>
                <w:sz w:val="20"/>
              </w:rPr>
            </w:pPr>
            <w:r>
              <w:rPr>
                <w:sz w:val="20"/>
              </w:rPr>
              <w:t>Property crime rate</w:t>
            </w:r>
          </w:p>
        </w:tc>
        <w:tc>
          <w:tcPr>
            <w:tcW w:w="1285" w:type="dxa"/>
            <w:tcBorders>
              <w:top w:val="dotted" w:sz="6" w:space="0" w:color="BEBEBE"/>
            </w:tcBorders>
          </w:tcPr>
          <w:p w14:paraId="4B15C44D" w14:textId="77777777" w:rsidR="0046798B" w:rsidRDefault="0046798B">
            <w:pPr>
              <w:pStyle w:val="TableParagraph"/>
            </w:pPr>
          </w:p>
          <w:p w14:paraId="1D1892DE" w14:textId="77777777" w:rsidR="0046798B" w:rsidRDefault="0046798B">
            <w:pPr>
              <w:pStyle w:val="TableParagraph"/>
            </w:pPr>
          </w:p>
          <w:p w14:paraId="52C720C5" w14:textId="77777777" w:rsidR="0046798B" w:rsidRDefault="0046798B">
            <w:pPr>
              <w:pStyle w:val="TableParagraph"/>
            </w:pPr>
          </w:p>
          <w:p w14:paraId="3C410267" w14:textId="77777777" w:rsidR="0046798B" w:rsidRDefault="0046798B">
            <w:pPr>
              <w:pStyle w:val="TableParagraph"/>
            </w:pPr>
          </w:p>
          <w:p w14:paraId="25060548" w14:textId="77777777" w:rsidR="0046798B" w:rsidRDefault="0046798B">
            <w:pPr>
              <w:pStyle w:val="TableParagraph"/>
            </w:pPr>
          </w:p>
          <w:p w14:paraId="73056927" w14:textId="77777777" w:rsidR="0046798B" w:rsidRDefault="0046798B">
            <w:pPr>
              <w:pStyle w:val="TableParagraph"/>
              <w:spacing w:before="7"/>
              <w:rPr>
                <w:sz w:val="23"/>
              </w:rPr>
            </w:pPr>
          </w:p>
          <w:p w14:paraId="31A000BE" w14:textId="77777777" w:rsidR="0046798B" w:rsidRDefault="00903B5C">
            <w:pPr>
              <w:pStyle w:val="TableParagraph"/>
              <w:ind w:left="114"/>
              <w:rPr>
                <w:sz w:val="20"/>
              </w:rPr>
            </w:pPr>
            <w:r>
              <w:rPr>
                <w:sz w:val="20"/>
              </w:rPr>
              <w:t>1960–2014</w:t>
            </w:r>
          </w:p>
        </w:tc>
        <w:tc>
          <w:tcPr>
            <w:tcW w:w="3421" w:type="dxa"/>
            <w:tcBorders>
              <w:top w:val="dotted" w:sz="6" w:space="0" w:color="BEBEBE"/>
            </w:tcBorders>
          </w:tcPr>
          <w:p w14:paraId="6249515D" w14:textId="77777777" w:rsidR="0046798B" w:rsidRDefault="00903B5C">
            <w:pPr>
              <w:pStyle w:val="TableParagraph"/>
              <w:spacing w:before="40"/>
              <w:ind w:left="114" w:right="180"/>
              <w:rPr>
                <w:sz w:val="20"/>
              </w:rPr>
            </w:pPr>
            <w:r>
              <w:rPr>
                <w:sz w:val="20"/>
              </w:rPr>
              <w:t>Estimated property crime rate by state. Larceny-theft (except motor vehicle theft): the unlawful taking, carrying, leading, or riding away of property from the possession or constructive possession of another. Examples are thefts of bicycles, motor vehicle parts and accessories, shoplifting, pocket- picking, or the stealing of any property or article that is not taken by force and violence or by fraud. Attempted larcenies are included. Embezzlement, confidence games, forgery, check fraud, etc., are excluded.</w:t>
            </w:r>
          </w:p>
        </w:tc>
        <w:tc>
          <w:tcPr>
            <w:tcW w:w="6482" w:type="dxa"/>
            <w:tcBorders>
              <w:top w:val="dotted" w:sz="6" w:space="0" w:color="BEBEBE"/>
            </w:tcBorders>
          </w:tcPr>
          <w:p w14:paraId="31C33C8B" w14:textId="77777777" w:rsidR="0046798B" w:rsidRDefault="0046798B">
            <w:pPr>
              <w:pStyle w:val="TableParagraph"/>
            </w:pPr>
          </w:p>
          <w:p w14:paraId="29F67F95" w14:textId="77777777" w:rsidR="0046798B" w:rsidRDefault="0046798B">
            <w:pPr>
              <w:pStyle w:val="TableParagraph"/>
            </w:pPr>
          </w:p>
          <w:p w14:paraId="70893DDC" w14:textId="77777777" w:rsidR="0046798B" w:rsidRDefault="0046798B">
            <w:pPr>
              <w:pStyle w:val="TableParagraph"/>
              <w:spacing w:before="6"/>
              <w:rPr>
                <w:sz w:val="19"/>
              </w:rPr>
            </w:pPr>
          </w:p>
          <w:p w14:paraId="5C170CBE" w14:textId="77777777" w:rsidR="0046798B" w:rsidRDefault="00903B5C">
            <w:pPr>
              <w:pStyle w:val="TableParagraph"/>
              <w:ind w:left="114" w:right="211"/>
              <w:rPr>
                <w:sz w:val="20"/>
              </w:rPr>
            </w:pPr>
            <w:r>
              <w:rPr>
                <w:sz w:val="20"/>
              </w:rPr>
              <w:t>U.S. Department of Justice, Uniform Crime Reporting Statistics - UCR Data Online. “Estimated property crime rate by state.”</w:t>
            </w:r>
            <w:r>
              <w:rPr>
                <w:color w:val="0462C1"/>
                <w:sz w:val="20"/>
                <w:u w:val="single" w:color="0462C1"/>
              </w:rPr>
              <w:t xml:space="preserve"> </w:t>
            </w:r>
            <w:hyperlink r:id="rId745">
              <w:r>
                <w:rPr>
                  <w:color w:val="0462C1"/>
                  <w:sz w:val="20"/>
                  <w:u w:val="single" w:color="0462C1"/>
                </w:rPr>
                <w:t>https://www.ucrdatatool.gov/Search/Crime/State/TrendsInOneVar.cfm</w:t>
              </w:r>
            </w:hyperlink>
          </w:p>
          <w:p w14:paraId="7B50BD8C" w14:textId="77777777" w:rsidR="0046798B" w:rsidRDefault="0046798B">
            <w:pPr>
              <w:pStyle w:val="TableParagraph"/>
              <w:spacing w:before="1"/>
              <w:rPr>
                <w:sz w:val="20"/>
              </w:rPr>
            </w:pPr>
          </w:p>
          <w:p w14:paraId="63848C9B" w14:textId="77777777" w:rsidR="0046798B" w:rsidRDefault="00903B5C">
            <w:pPr>
              <w:pStyle w:val="TableParagraph"/>
              <w:ind w:left="114" w:right="217"/>
              <w:rPr>
                <w:sz w:val="20"/>
              </w:rPr>
            </w:pPr>
            <w:r>
              <w:rPr>
                <w:sz w:val="20"/>
              </w:rPr>
              <w:t xml:space="preserve">Originally provided by Stateminder: A data visualization project from Georgetown University. </w:t>
            </w:r>
            <w:hyperlink r:id="rId746">
              <w:r>
                <w:rPr>
                  <w:sz w:val="20"/>
                  <w:u w:val="single"/>
                </w:rPr>
                <w:t>http://stateminder.org/</w:t>
              </w:r>
              <w:r>
                <w:rPr>
                  <w:sz w:val="20"/>
                </w:rPr>
                <w:t xml:space="preserve"> </w:t>
              </w:r>
            </w:hyperlink>
            <w:r>
              <w:rPr>
                <w:sz w:val="20"/>
              </w:rPr>
              <w:t>(no longer accessible online)</w:t>
            </w:r>
          </w:p>
          <w:p w14:paraId="6F13141C" w14:textId="77777777" w:rsidR="0046798B" w:rsidRDefault="0046798B">
            <w:pPr>
              <w:pStyle w:val="TableParagraph"/>
              <w:rPr>
                <w:sz w:val="20"/>
              </w:rPr>
            </w:pPr>
          </w:p>
          <w:p w14:paraId="49F77566" w14:textId="77777777" w:rsidR="0046798B" w:rsidRDefault="00903B5C">
            <w:pPr>
              <w:pStyle w:val="TableParagraph"/>
              <w:ind w:left="114"/>
              <w:rPr>
                <w:sz w:val="13"/>
              </w:rPr>
            </w:pPr>
            <w:r>
              <w:rPr>
                <w:sz w:val="20"/>
              </w:rPr>
              <w:t>Notes:</w:t>
            </w:r>
            <w:r>
              <w:rPr>
                <w:sz w:val="13"/>
              </w:rPr>
              <w:t>ix</w:t>
            </w:r>
          </w:p>
        </w:tc>
      </w:tr>
      <w:tr w:rsidR="0046798B" w14:paraId="4AAA72A6" w14:textId="77777777">
        <w:trPr>
          <w:trHeight w:val="3306"/>
        </w:trPr>
        <w:tc>
          <w:tcPr>
            <w:tcW w:w="1711" w:type="dxa"/>
          </w:tcPr>
          <w:p w14:paraId="3397BD6A" w14:textId="77777777" w:rsidR="0046798B" w:rsidRDefault="0046798B">
            <w:pPr>
              <w:pStyle w:val="TableParagraph"/>
            </w:pPr>
          </w:p>
          <w:p w14:paraId="5F4A4C9E" w14:textId="77777777" w:rsidR="0046798B" w:rsidRDefault="0046798B">
            <w:pPr>
              <w:pStyle w:val="TableParagraph"/>
            </w:pPr>
          </w:p>
          <w:p w14:paraId="406A43AF" w14:textId="77777777" w:rsidR="0046798B" w:rsidRDefault="0046798B">
            <w:pPr>
              <w:pStyle w:val="TableParagraph"/>
            </w:pPr>
          </w:p>
          <w:p w14:paraId="47B354D5" w14:textId="77777777" w:rsidR="0046798B" w:rsidRDefault="0046798B">
            <w:pPr>
              <w:pStyle w:val="TableParagraph"/>
            </w:pPr>
          </w:p>
          <w:p w14:paraId="45CA5B6D" w14:textId="77777777" w:rsidR="0046798B" w:rsidRDefault="0046798B">
            <w:pPr>
              <w:pStyle w:val="TableParagraph"/>
            </w:pPr>
          </w:p>
          <w:p w14:paraId="7F223B96" w14:textId="77777777" w:rsidR="0046798B" w:rsidRDefault="0046798B">
            <w:pPr>
              <w:pStyle w:val="TableParagraph"/>
              <w:spacing w:before="9"/>
              <w:rPr>
                <w:sz w:val="23"/>
              </w:rPr>
            </w:pPr>
          </w:p>
          <w:p w14:paraId="5F54E546" w14:textId="77777777" w:rsidR="0046798B" w:rsidRDefault="00903B5C">
            <w:pPr>
              <w:pStyle w:val="TableParagraph"/>
              <w:spacing w:before="1"/>
              <w:ind w:left="115"/>
              <w:rPr>
                <w:b/>
                <w:sz w:val="20"/>
              </w:rPr>
            </w:pPr>
            <w:r>
              <w:rPr>
                <w:b/>
                <w:sz w:val="20"/>
              </w:rPr>
              <w:t>propcrimetotal</w:t>
            </w:r>
          </w:p>
        </w:tc>
        <w:tc>
          <w:tcPr>
            <w:tcW w:w="1596" w:type="dxa"/>
          </w:tcPr>
          <w:p w14:paraId="56EC8AF7" w14:textId="77777777" w:rsidR="0046798B" w:rsidRDefault="0046798B">
            <w:pPr>
              <w:pStyle w:val="TableParagraph"/>
            </w:pPr>
          </w:p>
          <w:p w14:paraId="4B9C0C15" w14:textId="77777777" w:rsidR="0046798B" w:rsidRDefault="0046798B">
            <w:pPr>
              <w:pStyle w:val="TableParagraph"/>
            </w:pPr>
          </w:p>
          <w:p w14:paraId="3C88601D" w14:textId="77777777" w:rsidR="0046798B" w:rsidRDefault="0046798B">
            <w:pPr>
              <w:pStyle w:val="TableParagraph"/>
            </w:pPr>
          </w:p>
          <w:p w14:paraId="56DC143F" w14:textId="77777777" w:rsidR="0046798B" w:rsidRDefault="0046798B">
            <w:pPr>
              <w:pStyle w:val="TableParagraph"/>
            </w:pPr>
          </w:p>
          <w:p w14:paraId="54019B50" w14:textId="77777777" w:rsidR="0046798B" w:rsidRDefault="0046798B">
            <w:pPr>
              <w:pStyle w:val="TableParagraph"/>
            </w:pPr>
          </w:p>
          <w:p w14:paraId="5CB03184" w14:textId="77777777" w:rsidR="0046798B" w:rsidRDefault="00903B5C">
            <w:pPr>
              <w:pStyle w:val="TableParagraph"/>
              <w:spacing w:before="159"/>
              <w:ind w:left="114" w:right="229"/>
              <w:rPr>
                <w:sz w:val="20"/>
              </w:rPr>
            </w:pPr>
            <w:r>
              <w:rPr>
                <w:sz w:val="20"/>
              </w:rPr>
              <w:t>Property crime total</w:t>
            </w:r>
          </w:p>
        </w:tc>
        <w:tc>
          <w:tcPr>
            <w:tcW w:w="1285" w:type="dxa"/>
          </w:tcPr>
          <w:p w14:paraId="6E686C8B" w14:textId="77777777" w:rsidR="0046798B" w:rsidRDefault="0046798B">
            <w:pPr>
              <w:pStyle w:val="TableParagraph"/>
            </w:pPr>
          </w:p>
          <w:p w14:paraId="3718F74C" w14:textId="77777777" w:rsidR="0046798B" w:rsidRDefault="0046798B">
            <w:pPr>
              <w:pStyle w:val="TableParagraph"/>
            </w:pPr>
          </w:p>
          <w:p w14:paraId="53D4008A" w14:textId="77777777" w:rsidR="0046798B" w:rsidRDefault="0046798B">
            <w:pPr>
              <w:pStyle w:val="TableParagraph"/>
            </w:pPr>
          </w:p>
          <w:p w14:paraId="0725977C" w14:textId="77777777" w:rsidR="0046798B" w:rsidRDefault="0046798B">
            <w:pPr>
              <w:pStyle w:val="TableParagraph"/>
            </w:pPr>
          </w:p>
          <w:p w14:paraId="4831325C" w14:textId="77777777" w:rsidR="0046798B" w:rsidRDefault="0046798B">
            <w:pPr>
              <w:pStyle w:val="TableParagraph"/>
            </w:pPr>
          </w:p>
          <w:p w14:paraId="2265C3BF" w14:textId="77777777" w:rsidR="0046798B" w:rsidRDefault="0046798B">
            <w:pPr>
              <w:pStyle w:val="TableParagraph"/>
              <w:spacing w:before="9"/>
              <w:rPr>
                <w:sz w:val="23"/>
              </w:rPr>
            </w:pPr>
          </w:p>
          <w:p w14:paraId="35134570" w14:textId="77777777" w:rsidR="0046798B" w:rsidRDefault="00903B5C">
            <w:pPr>
              <w:pStyle w:val="TableParagraph"/>
              <w:spacing w:before="1"/>
              <w:ind w:left="114"/>
              <w:rPr>
                <w:sz w:val="20"/>
              </w:rPr>
            </w:pPr>
            <w:r>
              <w:rPr>
                <w:sz w:val="20"/>
              </w:rPr>
              <w:t>1960–2014</w:t>
            </w:r>
          </w:p>
        </w:tc>
        <w:tc>
          <w:tcPr>
            <w:tcW w:w="3421" w:type="dxa"/>
          </w:tcPr>
          <w:p w14:paraId="3F5BA55E" w14:textId="77777777" w:rsidR="0046798B" w:rsidRDefault="00903B5C">
            <w:pPr>
              <w:pStyle w:val="TableParagraph"/>
              <w:spacing w:before="43"/>
              <w:ind w:left="114" w:right="141"/>
              <w:rPr>
                <w:sz w:val="20"/>
              </w:rPr>
            </w:pPr>
            <w:r>
              <w:rPr>
                <w:sz w:val="20"/>
              </w:rPr>
              <w:t>Estimated property crime total by state. Larceny-theft (except motor vehicle theft): the unlawful taking, carrying, leading, or riding away of property from the possession or constructive possession of another. Examples are thefts of bicycles, motor vehicle parts and accessories, shoplifting, pocket- picking, or the stealing of any property or article that is not taken by force and violence or by fraud. Attempted larcenies are included. Embezzlement, confidence games, forgery, check fraud, etc., are excluded.</w:t>
            </w:r>
          </w:p>
        </w:tc>
        <w:tc>
          <w:tcPr>
            <w:tcW w:w="6482" w:type="dxa"/>
          </w:tcPr>
          <w:p w14:paraId="39E3CC28" w14:textId="77777777" w:rsidR="0046798B" w:rsidRDefault="0046798B">
            <w:pPr>
              <w:pStyle w:val="TableParagraph"/>
            </w:pPr>
          </w:p>
          <w:p w14:paraId="731BFF88" w14:textId="77777777" w:rsidR="0046798B" w:rsidRDefault="0046798B">
            <w:pPr>
              <w:pStyle w:val="TableParagraph"/>
            </w:pPr>
          </w:p>
          <w:p w14:paraId="1426FEEB" w14:textId="77777777" w:rsidR="0046798B" w:rsidRDefault="0046798B">
            <w:pPr>
              <w:pStyle w:val="TableParagraph"/>
              <w:spacing w:before="9"/>
              <w:rPr>
                <w:sz w:val="19"/>
              </w:rPr>
            </w:pPr>
          </w:p>
          <w:p w14:paraId="370E3040" w14:textId="77777777" w:rsidR="0046798B" w:rsidRDefault="00903B5C">
            <w:pPr>
              <w:pStyle w:val="TableParagraph"/>
              <w:ind w:left="114" w:right="211"/>
              <w:rPr>
                <w:sz w:val="20"/>
              </w:rPr>
            </w:pPr>
            <w:r>
              <w:rPr>
                <w:sz w:val="20"/>
              </w:rPr>
              <w:t>U.S. Department of Justice, Uniform Crime Reporting Statistics - UCR Data Online. “Estimated property crime total by state.”</w:t>
            </w:r>
            <w:r>
              <w:rPr>
                <w:color w:val="0462C1"/>
                <w:sz w:val="20"/>
                <w:u w:val="single" w:color="0462C1"/>
              </w:rPr>
              <w:t xml:space="preserve"> </w:t>
            </w:r>
            <w:hyperlink r:id="rId747">
              <w:r>
                <w:rPr>
                  <w:color w:val="0462C1"/>
                  <w:sz w:val="20"/>
                  <w:u w:val="single" w:color="0462C1"/>
                </w:rPr>
                <w:t>https://www.ucrdatatool.gov/Search/Crime/State/TrendsInOneVar.cfm</w:t>
              </w:r>
            </w:hyperlink>
          </w:p>
          <w:p w14:paraId="365DC78A" w14:textId="77777777" w:rsidR="0046798B" w:rsidRDefault="0046798B">
            <w:pPr>
              <w:pStyle w:val="TableParagraph"/>
              <w:rPr>
                <w:sz w:val="20"/>
              </w:rPr>
            </w:pPr>
          </w:p>
          <w:p w14:paraId="46BCCD21" w14:textId="77777777" w:rsidR="0046798B" w:rsidRDefault="00903B5C">
            <w:pPr>
              <w:pStyle w:val="TableParagraph"/>
              <w:spacing w:before="1"/>
              <w:ind w:left="114" w:right="217"/>
              <w:rPr>
                <w:sz w:val="20"/>
              </w:rPr>
            </w:pPr>
            <w:r>
              <w:rPr>
                <w:sz w:val="20"/>
              </w:rPr>
              <w:t xml:space="preserve">Originally provided by Stateminder: A data visualization project from Georgetown University. </w:t>
            </w:r>
            <w:hyperlink r:id="rId748">
              <w:r>
                <w:rPr>
                  <w:sz w:val="20"/>
                  <w:u w:val="single"/>
                </w:rPr>
                <w:t>http://stateminder.org/</w:t>
              </w:r>
              <w:r>
                <w:rPr>
                  <w:sz w:val="20"/>
                </w:rPr>
                <w:t xml:space="preserve"> </w:t>
              </w:r>
            </w:hyperlink>
            <w:r>
              <w:rPr>
                <w:sz w:val="20"/>
              </w:rPr>
              <w:t>(no longer accessible online)</w:t>
            </w:r>
          </w:p>
          <w:p w14:paraId="54163637" w14:textId="77777777" w:rsidR="0046798B" w:rsidRDefault="0046798B">
            <w:pPr>
              <w:pStyle w:val="TableParagraph"/>
              <w:spacing w:before="11"/>
              <w:rPr>
                <w:sz w:val="19"/>
              </w:rPr>
            </w:pPr>
          </w:p>
          <w:p w14:paraId="732AC3E7" w14:textId="77777777" w:rsidR="0046798B" w:rsidRDefault="00903B5C">
            <w:pPr>
              <w:pStyle w:val="TableParagraph"/>
              <w:ind w:left="114"/>
              <w:rPr>
                <w:sz w:val="13"/>
              </w:rPr>
            </w:pPr>
            <w:r>
              <w:rPr>
                <w:sz w:val="20"/>
              </w:rPr>
              <w:t>Notes:</w:t>
            </w:r>
            <w:r>
              <w:rPr>
                <w:sz w:val="13"/>
              </w:rPr>
              <w:t>x</w:t>
            </w:r>
          </w:p>
        </w:tc>
      </w:tr>
      <w:tr w:rsidR="0046798B" w14:paraId="02987327" w14:textId="77777777">
        <w:trPr>
          <w:trHeight w:val="1930"/>
        </w:trPr>
        <w:tc>
          <w:tcPr>
            <w:tcW w:w="1711" w:type="dxa"/>
          </w:tcPr>
          <w:p w14:paraId="07FD1C5B" w14:textId="77777777" w:rsidR="0046798B" w:rsidRDefault="0046798B">
            <w:pPr>
              <w:pStyle w:val="TableParagraph"/>
            </w:pPr>
          </w:p>
          <w:p w14:paraId="14357E91" w14:textId="77777777" w:rsidR="0046798B" w:rsidRDefault="0046798B">
            <w:pPr>
              <w:pStyle w:val="TableParagraph"/>
            </w:pPr>
          </w:p>
          <w:p w14:paraId="63453A4B" w14:textId="77777777" w:rsidR="0046798B" w:rsidRDefault="0046798B">
            <w:pPr>
              <w:pStyle w:val="TableParagraph"/>
              <w:spacing w:before="9"/>
              <w:rPr>
                <w:sz w:val="29"/>
              </w:rPr>
            </w:pPr>
          </w:p>
          <w:p w14:paraId="71DA433B" w14:textId="77777777" w:rsidR="0046798B" w:rsidRDefault="00903B5C">
            <w:pPr>
              <w:pStyle w:val="TableParagraph"/>
              <w:ind w:left="115"/>
              <w:rPr>
                <w:b/>
                <w:sz w:val="20"/>
              </w:rPr>
            </w:pPr>
            <w:r>
              <w:rPr>
                <w:b/>
                <w:sz w:val="20"/>
              </w:rPr>
              <w:t>raperate</w:t>
            </w:r>
          </w:p>
        </w:tc>
        <w:tc>
          <w:tcPr>
            <w:tcW w:w="1596" w:type="dxa"/>
          </w:tcPr>
          <w:p w14:paraId="5D523587" w14:textId="77777777" w:rsidR="0046798B" w:rsidRDefault="0046798B">
            <w:pPr>
              <w:pStyle w:val="TableParagraph"/>
            </w:pPr>
          </w:p>
          <w:p w14:paraId="35DC6911" w14:textId="77777777" w:rsidR="0046798B" w:rsidRDefault="0046798B">
            <w:pPr>
              <w:pStyle w:val="TableParagraph"/>
            </w:pPr>
          </w:p>
          <w:p w14:paraId="63B76FAA" w14:textId="77777777" w:rsidR="0046798B" w:rsidRDefault="0046798B">
            <w:pPr>
              <w:pStyle w:val="TableParagraph"/>
              <w:spacing w:before="9"/>
              <w:rPr>
                <w:sz w:val="29"/>
              </w:rPr>
            </w:pPr>
          </w:p>
          <w:p w14:paraId="0F43B955" w14:textId="77777777" w:rsidR="0046798B" w:rsidRDefault="00903B5C">
            <w:pPr>
              <w:pStyle w:val="TableParagraph"/>
              <w:ind w:left="114"/>
              <w:rPr>
                <w:sz w:val="20"/>
              </w:rPr>
            </w:pPr>
            <w:r>
              <w:rPr>
                <w:sz w:val="20"/>
              </w:rPr>
              <w:t>Rape rate</w:t>
            </w:r>
          </w:p>
        </w:tc>
        <w:tc>
          <w:tcPr>
            <w:tcW w:w="1285" w:type="dxa"/>
          </w:tcPr>
          <w:p w14:paraId="3429ACEC" w14:textId="77777777" w:rsidR="0046798B" w:rsidRDefault="0046798B">
            <w:pPr>
              <w:pStyle w:val="TableParagraph"/>
            </w:pPr>
          </w:p>
          <w:p w14:paraId="3DDBB8AB" w14:textId="77777777" w:rsidR="0046798B" w:rsidRDefault="0046798B">
            <w:pPr>
              <w:pStyle w:val="TableParagraph"/>
            </w:pPr>
          </w:p>
          <w:p w14:paraId="31485748" w14:textId="77777777" w:rsidR="0046798B" w:rsidRDefault="0046798B">
            <w:pPr>
              <w:pStyle w:val="TableParagraph"/>
              <w:spacing w:before="9"/>
              <w:rPr>
                <w:sz w:val="29"/>
              </w:rPr>
            </w:pPr>
          </w:p>
          <w:p w14:paraId="3F4932DB" w14:textId="77777777" w:rsidR="0046798B" w:rsidRDefault="00903B5C">
            <w:pPr>
              <w:pStyle w:val="TableParagraph"/>
              <w:ind w:left="114"/>
              <w:rPr>
                <w:sz w:val="20"/>
              </w:rPr>
            </w:pPr>
            <w:r>
              <w:rPr>
                <w:sz w:val="20"/>
              </w:rPr>
              <w:t>1960–2014</w:t>
            </w:r>
          </w:p>
        </w:tc>
        <w:tc>
          <w:tcPr>
            <w:tcW w:w="3421" w:type="dxa"/>
          </w:tcPr>
          <w:p w14:paraId="7630E342" w14:textId="77777777" w:rsidR="0046798B" w:rsidRDefault="00903B5C">
            <w:pPr>
              <w:pStyle w:val="TableParagraph"/>
              <w:spacing w:before="43"/>
              <w:ind w:left="114" w:right="102"/>
              <w:rPr>
                <w:sz w:val="20"/>
              </w:rPr>
            </w:pPr>
            <w:r>
              <w:rPr>
                <w:sz w:val="20"/>
              </w:rPr>
              <w:t xml:space="preserve">Estimated rape rate by state. Data for this time period are based on the UCR’s old/legacy definition of rape (“forcible rape”: the carnal knowledge of a female forcibly and against her will). Rapes by force and attempts or assaults to rape, regardless of the age </w:t>
            </w:r>
            <w:r>
              <w:rPr>
                <w:spacing w:val="-7"/>
                <w:sz w:val="20"/>
              </w:rPr>
              <w:t xml:space="preserve">of </w:t>
            </w:r>
            <w:r>
              <w:rPr>
                <w:sz w:val="20"/>
              </w:rPr>
              <w:t>the victim, are included. Statutory</w:t>
            </w:r>
          </w:p>
        </w:tc>
        <w:tc>
          <w:tcPr>
            <w:tcW w:w="6482" w:type="dxa"/>
          </w:tcPr>
          <w:p w14:paraId="4C8B43CD" w14:textId="77777777" w:rsidR="0046798B" w:rsidRDefault="00903B5C">
            <w:pPr>
              <w:pStyle w:val="TableParagraph"/>
              <w:spacing w:before="43"/>
              <w:ind w:left="114" w:right="211"/>
              <w:rPr>
                <w:sz w:val="20"/>
              </w:rPr>
            </w:pPr>
            <w:r>
              <w:rPr>
                <w:sz w:val="20"/>
              </w:rPr>
              <w:t>U.S. Department of Justice, Uniform Crime Reporting Statistics - UCR Data Online. “Estimated Forcible Rape Rate.”</w:t>
            </w:r>
            <w:r>
              <w:rPr>
                <w:color w:val="0462C1"/>
                <w:sz w:val="20"/>
                <w:u w:val="single" w:color="0462C1"/>
              </w:rPr>
              <w:t xml:space="preserve"> </w:t>
            </w:r>
            <w:hyperlink r:id="rId749">
              <w:r>
                <w:rPr>
                  <w:color w:val="0462C1"/>
                  <w:sz w:val="20"/>
                  <w:u w:val="single" w:color="0462C1"/>
                </w:rPr>
                <w:t>https://www.ucrdatatool.gov/Search/Crime/State/TrendsInOneVar.cfm</w:t>
              </w:r>
            </w:hyperlink>
          </w:p>
          <w:p w14:paraId="15B4EDCF" w14:textId="77777777" w:rsidR="0046798B" w:rsidRDefault="0046798B">
            <w:pPr>
              <w:pStyle w:val="TableParagraph"/>
              <w:rPr>
                <w:sz w:val="20"/>
              </w:rPr>
            </w:pPr>
          </w:p>
          <w:p w14:paraId="5913EBF9" w14:textId="77777777" w:rsidR="0046798B" w:rsidRDefault="00903B5C">
            <w:pPr>
              <w:pStyle w:val="TableParagraph"/>
              <w:ind w:left="114" w:right="217"/>
              <w:rPr>
                <w:sz w:val="20"/>
              </w:rPr>
            </w:pPr>
            <w:r>
              <w:rPr>
                <w:sz w:val="20"/>
              </w:rPr>
              <w:t xml:space="preserve">Originally provided by Stateminder: A data visualization project from Georgetown University. </w:t>
            </w:r>
            <w:hyperlink r:id="rId750">
              <w:r>
                <w:rPr>
                  <w:sz w:val="20"/>
                  <w:u w:val="single"/>
                </w:rPr>
                <w:t>http://stateminder.org/</w:t>
              </w:r>
              <w:r>
                <w:rPr>
                  <w:sz w:val="20"/>
                </w:rPr>
                <w:t xml:space="preserve"> </w:t>
              </w:r>
            </w:hyperlink>
            <w:r>
              <w:rPr>
                <w:sz w:val="20"/>
              </w:rPr>
              <w:t>(no longer accessible online)</w:t>
            </w:r>
          </w:p>
          <w:p w14:paraId="6C509E20" w14:textId="77777777" w:rsidR="0046798B" w:rsidRDefault="0046798B">
            <w:pPr>
              <w:pStyle w:val="TableParagraph"/>
              <w:spacing w:before="1"/>
              <w:rPr>
                <w:sz w:val="20"/>
              </w:rPr>
            </w:pPr>
          </w:p>
          <w:p w14:paraId="6BCF1654" w14:textId="77777777" w:rsidR="0046798B" w:rsidRDefault="00903B5C">
            <w:pPr>
              <w:pStyle w:val="TableParagraph"/>
              <w:ind w:left="114"/>
              <w:rPr>
                <w:sz w:val="13"/>
              </w:rPr>
            </w:pPr>
            <w:r>
              <w:rPr>
                <w:sz w:val="20"/>
              </w:rPr>
              <w:t>Notes:</w:t>
            </w:r>
            <w:r>
              <w:rPr>
                <w:sz w:val="13"/>
              </w:rPr>
              <w:t>xi</w:t>
            </w:r>
          </w:p>
        </w:tc>
      </w:tr>
    </w:tbl>
    <w:p w14:paraId="2D866288" w14:textId="77777777" w:rsidR="0046798B" w:rsidRDefault="0046798B">
      <w:pPr>
        <w:rPr>
          <w:sz w:val="13"/>
        </w:rPr>
        <w:sectPr w:rsidR="0046798B">
          <w:pgSz w:w="15840" w:h="12240" w:orient="landscape"/>
          <w:pgMar w:top="1220" w:right="300" w:bottom="980" w:left="820" w:header="730" w:footer="787" w:gutter="0"/>
          <w:cols w:space="720"/>
        </w:sectPr>
      </w:pPr>
    </w:p>
    <w:p w14:paraId="177EBA34"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7DFA01E" w14:textId="77777777">
        <w:trPr>
          <w:trHeight w:val="542"/>
        </w:trPr>
        <w:tc>
          <w:tcPr>
            <w:tcW w:w="1711" w:type="dxa"/>
            <w:tcBorders>
              <w:bottom w:val="dotted" w:sz="6" w:space="0" w:color="BEBEBE"/>
            </w:tcBorders>
          </w:tcPr>
          <w:p w14:paraId="73BA093F" w14:textId="77777777" w:rsidR="0046798B" w:rsidRDefault="0046798B">
            <w:pPr>
              <w:pStyle w:val="TableParagraph"/>
              <w:rPr>
                <w:sz w:val="20"/>
              </w:rPr>
            </w:pPr>
          </w:p>
        </w:tc>
        <w:tc>
          <w:tcPr>
            <w:tcW w:w="1596" w:type="dxa"/>
            <w:tcBorders>
              <w:bottom w:val="dotted" w:sz="6" w:space="0" w:color="BEBEBE"/>
            </w:tcBorders>
          </w:tcPr>
          <w:p w14:paraId="4301A41B" w14:textId="77777777" w:rsidR="0046798B" w:rsidRDefault="0046798B">
            <w:pPr>
              <w:pStyle w:val="TableParagraph"/>
              <w:rPr>
                <w:sz w:val="20"/>
              </w:rPr>
            </w:pPr>
          </w:p>
        </w:tc>
        <w:tc>
          <w:tcPr>
            <w:tcW w:w="1285" w:type="dxa"/>
            <w:tcBorders>
              <w:bottom w:val="dotted" w:sz="6" w:space="0" w:color="BEBEBE"/>
            </w:tcBorders>
          </w:tcPr>
          <w:p w14:paraId="31018124" w14:textId="77777777" w:rsidR="0046798B" w:rsidRDefault="0046798B">
            <w:pPr>
              <w:pStyle w:val="TableParagraph"/>
              <w:rPr>
                <w:sz w:val="20"/>
              </w:rPr>
            </w:pPr>
          </w:p>
        </w:tc>
        <w:tc>
          <w:tcPr>
            <w:tcW w:w="3421" w:type="dxa"/>
            <w:tcBorders>
              <w:bottom w:val="dotted" w:sz="6" w:space="0" w:color="BEBEBE"/>
            </w:tcBorders>
          </w:tcPr>
          <w:p w14:paraId="21C41A0C" w14:textId="77777777" w:rsidR="0046798B" w:rsidRDefault="00903B5C">
            <w:pPr>
              <w:pStyle w:val="TableParagraph"/>
              <w:spacing w:before="43"/>
              <w:ind w:left="114" w:right="200"/>
              <w:rPr>
                <w:sz w:val="20"/>
              </w:rPr>
            </w:pPr>
            <w:r>
              <w:rPr>
                <w:sz w:val="20"/>
              </w:rPr>
              <w:t>offenses (no force used—victim under age of consent) are excluded.</w:t>
            </w:r>
          </w:p>
        </w:tc>
        <w:tc>
          <w:tcPr>
            <w:tcW w:w="6482" w:type="dxa"/>
            <w:tcBorders>
              <w:bottom w:val="dotted" w:sz="6" w:space="0" w:color="BEBEBE"/>
            </w:tcBorders>
          </w:tcPr>
          <w:p w14:paraId="7B27FB46" w14:textId="77777777" w:rsidR="0046798B" w:rsidRDefault="0046798B">
            <w:pPr>
              <w:pStyle w:val="TableParagraph"/>
              <w:rPr>
                <w:sz w:val="20"/>
              </w:rPr>
            </w:pPr>
          </w:p>
        </w:tc>
      </w:tr>
      <w:tr w:rsidR="0046798B" w14:paraId="7E831D34" w14:textId="77777777">
        <w:trPr>
          <w:trHeight w:val="2383"/>
        </w:trPr>
        <w:tc>
          <w:tcPr>
            <w:tcW w:w="1711" w:type="dxa"/>
            <w:tcBorders>
              <w:top w:val="dotted" w:sz="6" w:space="0" w:color="BEBEBE"/>
            </w:tcBorders>
          </w:tcPr>
          <w:p w14:paraId="690E8A1E" w14:textId="77777777" w:rsidR="0046798B" w:rsidRDefault="0046798B">
            <w:pPr>
              <w:pStyle w:val="TableParagraph"/>
            </w:pPr>
          </w:p>
          <w:p w14:paraId="6DD59E53" w14:textId="77777777" w:rsidR="0046798B" w:rsidRDefault="0046798B">
            <w:pPr>
              <w:pStyle w:val="TableParagraph"/>
            </w:pPr>
          </w:p>
          <w:p w14:paraId="3727D8E7" w14:textId="77777777" w:rsidR="0046798B" w:rsidRDefault="0046798B">
            <w:pPr>
              <w:pStyle w:val="TableParagraph"/>
            </w:pPr>
          </w:p>
          <w:p w14:paraId="0EB8EE69" w14:textId="77777777" w:rsidR="0046798B" w:rsidRDefault="0046798B">
            <w:pPr>
              <w:pStyle w:val="TableParagraph"/>
              <w:spacing w:before="6"/>
              <w:rPr>
                <w:sz w:val="27"/>
              </w:rPr>
            </w:pPr>
          </w:p>
          <w:p w14:paraId="679EF979" w14:textId="77777777" w:rsidR="0046798B" w:rsidRDefault="00903B5C">
            <w:pPr>
              <w:pStyle w:val="TableParagraph"/>
              <w:spacing w:before="1"/>
              <w:ind w:left="115"/>
              <w:rPr>
                <w:b/>
                <w:sz w:val="20"/>
              </w:rPr>
            </w:pPr>
            <w:r>
              <w:rPr>
                <w:b/>
                <w:sz w:val="20"/>
              </w:rPr>
              <w:t>rapetotal</w:t>
            </w:r>
          </w:p>
        </w:tc>
        <w:tc>
          <w:tcPr>
            <w:tcW w:w="1596" w:type="dxa"/>
            <w:tcBorders>
              <w:top w:val="dotted" w:sz="6" w:space="0" w:color="BEBEBE"/>
            </w:tcBorders>
          </w:tcPr>
          <w:p w14:paraId="58D59429" w14:textId="77777777" w:rsidR="0046798B" w:rsidRDefault="0046798B">
            <w:pPr>
              <w:pStyle w:val="TableParagraph"/>
            </w:pPr>
          </w:p>
          <w:p w14:paraId="14A1D6BE" w14:textId="77777777" w:rsidR="0046798B" w:rsidRDefault="0046798B">
            <w:pPr>
              <w:pStyle w:val="TableParagraph"/>
            </w:pPr>
          </w:p>
          <w:p w14:paraId="1FB7F571" w14:textId="77777777" w:rsidR="0046798B" w:rsidRDefault="0046798B">
            <w:pPr>
              <w:pStyle w:val="TableParagraph"/>
            </w:pPr>
          </w:p>
          <w:p w14:paraId="6F4FAF4A" w14:textId="77777777" w:rsidR="0046798B" w:rsidRDefault="0046798B">
            <w:pPr>
              <w:pStyle w:val="TableParagraph"/>
              <w:spacing w:before="6"/>
              <w:rPr>
                <w:sz w:val="27"/>
              </w:rPr>
            </w:pPr>
          </w:p>
          <w:p w14:paraId="5F048F69" w14:textId="77777777" w:rsidR="0046798B" w:rsidRDefault="00903B5C">
            <w:pPr>
              <w:pStyle w:val="TableParagraph"/>
              <w:spacing w:before="1"/>
              <w:ind w:left="114"/>
              <w:rPr>
                <w:sz w:val="20"/>
              </w:rPr>
            </w:pPr>
            <w:r>
              <w:rPr>
                <w:sz w:val="20"/>
              </w:rPr>
              <w:t>Rape total</w:t>
            </w:r>
          </w:p>
        </w:tc>
        <w:tc>
          <w:tcPr>
            <w:tcW w:w="1285" w:type="dxa"/>
            <w:tcBorders>
              <w:top w:val="dotted" w:sz="6" w:space="0" w:color="BEBEBE"/>
            </w:tcBorders>
          </w:tcPr>
          <w:p w14:paraId="4CFE8DC7" w14:textId="77777777" w:rsidR="0046798B" w:rsidRDefault="0046798B">
            <w:pPr>
              <w:pStyle w:val="TableParagraph"/>
            </w:pPr>
          </w:p>
          <w:p w14:paraId="5C91F4F1" w14:textId="77777777" w:rsidR="0046798B" w:rsidRDefault="0046798B">
            <w:pPr>
              <w:pStyle w:val="TableParagraph"/>
            </w:pPr>
          </w:p>
          <w:p w14:paraId="666E9FBC" w14:textId="77777777" w:rsidR="0046798B" w:rsidRDefault="0046798B">
            <w:pPr>
              <w:pStyle w:val="TableParagraph"/>
            </w:pPr>
          </w:p>
          <w:p w14:paraId="3CF2D580" w14:textId="77777777" w:rsidR="0046798B" w:rsidRDefault="0046798B">
            <w:pPr>
              <w:pStyle w:val="TableParagraph"/>
              <w:spacing w:before="6"/>
              <w:rPr>
                <w:sz w:val="27"/>
              </w:rPr>
            </w:pPr>
          </w:p>
          <w:p w14:paraId="4AF5600C" w14:textId="77777777" w:rsidR="0046798B" w:rsidRDefault="00903B5C">
            <w:pPr>
              <w:pStyle w:val="TableParagraph"/>
              <w:spacing w:before="1"/>
              <w:ind w:left="114"/>
              <w:rPr>
                <w:sz w:val="20"/>
              </w:rPr>
            </w:pPr>
            <w:r>
              <w:rPr>
                <w:sz w:val="20"/>
              </w:rPr>
              <w:t>1960–2014</w:t>
            </w:r>
          </w:p>
        </w:tc>
        <w:tc>
          <w:tcPr>
            <w:tcW w:w="3421" w:type="dxa"/>
            <w:tcBorders>
              <w:top w:val="dotted" w:sz="6" w:space="0" w:color="BEBEBE"/>
            </w:tcBorders>
          </w:tcPr>
          <w:p w14:paraId="42729050" w14:textId="77777777" w:rsidR="0046798B" w:rsidRDefault="00903B5C">
            <w:pPr>
              <w:pStyle w:val="TableParagraph"/>
              <w:spacing w:before="40"/>
              <w:ind w:left="114" w:right="102"/>
              <w:rPr>
                <w:sz w:val="20"/>
              </w:rPr>
            </w:pPr>
            <w:r>
              <w:rPr>
                <w:sz w:val="20"/>
              </w:rPr>
              <w:t xml:space="preserve">Estimated rape total by state. Data for this time period are based on the UCR’s old/legacy definition of rape (“forcible rape”: the carnal knowledge of a female forcibly and against her will). Rapes by force and attempts or assaults to rape, regardless of the age </w:t>
            </w:r>
            <w:r>
              <w:rPr>
                <w:spacing w:val="-7"/>
                <w:sz w:val="20"/>
              </w:rPr>
              <w:t xml:space="preserve">of </w:t>
            </w:r>
            <w:r>
              <w:rPr>
                <w:sz w:val="20"/>
              </w:rPr>
              <w:t>the victim, are included. Statutory offenses (no force used—victim under age of consent) are</w:t>
            </w:r>
            <w:r>
              <w:rPr>
                <w:spacing w:val="-2"/>
                <w:sz w:val="20"/>
              </w:rPr>
              <w:t xml:space="preserve"> </w:t>
            </w:r>
            <w:r>
              <w:rPr>
                <w:sz w:val="20"/>
              </w:rPr>
              <w:t>excluded.</w:t>
            </w:r>
          </w:p>
        </w:tc>
        <w:tc>
          <w:tcPr>
            <w:tcW w:w="6482" w:type="dxa"/>
            <w:tcBorders>
              <w:top w:val="dotted" w:sz="6" w:space="0" w:color="BEBEBE"/>
            </w:tcBorders>
          </w:tcPr>
          <w:p w14:paraId="401732BE" w14:textId="77777777" w:rsidR="0046798B" w:rsidRDefault="0046798B">
            <w:pPr>
              <w:pStyle w:val="TableParagraph"/>
              <w:spacing w:before="6"/>
              <w:rPr>
                <w:sz w:val="23"/>
              </w:rPr>
            </w:pPr>
          </w:p>
          <w:p w14:paraId="55026928" w14:textId="77777777" w:rsidR="0046798B" w:rsidRDefault="00903B5C">
            <w:pPr>
              <w:pStyle w:val="TableParagraph"/>
              <w:ind w:left="114" w:right="211"/>
              <w:rPr>
                <w:sz w:val="20"/>
              </w:rPr>
            </w:pPr>
            <w:r>
              <w:rPr>
                <w:sz w:val="20"/>
              </w:rPr>
              <w:t>U.S. Department of Justice, Uniform Crime Reporting Statistics - UCR Data Online. “Estimated Forcible Rape Total.”</w:t>
            </w:r>
            <w:r>
              <w:rPr>
                <w:color w:val="0462C1"/>
                <w:sz w:val="20"/>
                <w:u w:val="single" w:color="0462C1"/>
              </w:rPr>
              <w:t xml:space="preserve"> </w:t>
            </w:r>
            <w:hyperlink r:id="rId751">
              <w:r>
                <w:rPr>
                  <w:color w:val="0462C1"/>
                  <w:sz w:val="20"/>
                  <w:u w:val="single" w:color="0462C1"/>
                </w:rPr>
                <w:t>https://www.ucrdatatool.gov/Search/Crime/State/TrendsInOneVar.cfm</w:t>
              </w:r>
            </w:hyperlink>
          </w:p>
          <w:p w14:paraId="5888FDF8" w14:textId="77777777" w:rsidR="0046798B" w:rsidRDefault="0046798B">
            <w:pPr>
              <w:pStyle w:val="TableParagraph"/>
              <w:rPr>
                <w:sz w:val="20"/>
              </w:rPr>
            </w:pPr>
          </w:p>
          <w:p w14:paraId="1A83F627" w14:textId="77777777" w:rsidR="0046798B" w:rsidRDefault="00903B5C">
            <w:pPr>
              <w:pStyle w:val="TableParagraph"/>
              <w:spacing w:before="1"/>
              <w:ind w:left="114" w:right="217"/>
              <w:rPr>
                <w:sz w:val="20"/>
              </w:rPr>
            </w:pPr>
            <w:r>
              <w:rPr>
                <w:sz w:val="20"/>
              </w:rPr>
              <w:t xml:space="preserve">Originally provided by Stateminder: A data visualization project from Georgetown University. </w:t>
            </w:r>
            <w:hyperlink r:id="rId752">
              <w:r>
                <w:rPr>
                  <w:sz w:val="20"/>
                  <w:u w:val="single"/>
                </w:rPr>
                <w:t>http://stateminder.org/</w:t>
              </w:r>
              <w:r>
                <w:rPr>
                  <w:sz w:val="20"/>
                </w:rPr>
                <w:t xml:space="preserve"> </w:t>
              </w:r>
            </w:hyperlink>
            <w:r>
              <w:rPr>
                <w:sz w:val="20"/>
              </w:rPr>
              <w:t>(no longer accessible online)</w:t>
            </w:r>
          </w:p>
          <w:p w14:paraId="5386EE97" w14:textId="77777777" w:rsidR="0046798B" w:rsidRDefault="0046798B">
            <w:pPr>
              <w:pStyle w:val="TableParagraph"/>
              <w:rPr>
                <w:sz w:val="20"/>
              </w:rPr>
            </w:pPr>
          </w:p>
          <w:p w14:paraId="7A7BE813" w14:textId="77777777" w:rsidR="0046798B" w:rsidRDefault="00903B5C">
            <w:pPr>
              <w:pStyle w:val="TableParagraph"/>
              <w:ind w:left="114"/>
              <w:rPr>
                <w:sz w:val="13"/>
              </w:rPr>
            </w:pPr>
            <w:r>
              <w:rPr>
                <w:sz w:val="20"/>
              </w:rPr>
              <w:t>Notes:</w:t>
            </w:r>
            <w:r>
              <w:rPr>
                <w:sz w:val="13"/>
              </w:rPr>
              <w:t>xii</w:t>
            </w:r>
          </w:p>
        </w:tc>
      </w:tr>
      <w:tr w:rsidR="0046798B" w14:paraId="50090BEA" w14:textId="77777777">
        <w:trPr>
          <w:trHeight w:val="1930"/>
        </w:trPr>
        <w:tc>
          <w:tcPr>
            <w:tcW w:w="1711" w:type="dxa"/>
          </w:tcPr>
          <w:p w14:paraId="07046149" w14:textId="77777777" w:rsidR="0046798B" w:rsidRDefault="0046798B">
            <w:pPr>
              <w:pStyle w:val="TableParagraph"/>
            </w:pPr>
          </w:p>
          <w:p w14:paraId="4E14D7B4" w14:textId="77777777" w:rsidR="0046798B" w:rsidRDefault="0046798B">
            <w:pPr>
              <w:pStyle w:val="TableParagraph"/>
            </w:pPr>
          </w:p>
          <w:p w14:paraId="10A3F859" w14:textId="77777777" w:rsidR="0046798B" w:rsidRDefault="0046798B">
            <w:pPr>
              <w:pStyle w:val="TableParagraph"/>
              <w:spacing w:before="8"/>
              <w:rPr>
                <w:sz w:val="29"/>
              </w:rPr>
            </w:pPr>
          </w:p>
          <w:p w14:paraId="7D7B2DA5" w14:textId="77777777" w:rsidR="0046798B" w:rsidRDefault="00903B5C">
            <w:pPr>
              <w:pStyle w:val="TableParagraph"/>
              <w:spacing w:before="1"/>
              <w:ind w:left="115"/>
              <w:rPr>
                <w:b/>
                <w:sz w:val="20"/>
              </w:rPr>
            </w:pPr>
            <w:r>
              <w:rPr>
                <w:b/>
                <w:sz w:val="20"/>
              </w:rPr>
              <w:t>robrate</w:t>
            </w:r>
          </w:p>
        </w:tc>
        <w:tc>
          <w:tcPr>
            <w:tcW w:w="1596" w:type="dxa"/>
          </w:tcPr>
          <w:p w14:paraId="7992FF6F" w14:textId="77777777" w:rsidR="0046798B" w:rsidRDefault="0046798B">
            <w:pPr>
              <w:pStyle w:val="TableParagraph"/>
            </w:pPr>
          </w:p>
          <w:p w14:paraId="175E4621" w14:textId="77777777" w:rsidR="0046798B" w:rsidRDefault="0046798B">
            <w:pPr>
              <w:pStyle w:val="TableParagraph"/>
            </w:pPr>
          </w:p>
          <w:p w14:paraId="16B51CC2" w14:textId="77777777" w:rsidR="0046798B" w:rsidRDefault="0046798B">
            <w:pPr>
              <w:pStyle w:val="TableParagraph"/>
              <w:spacing w:before="8"/>
              <w:rPr>
                <w:sz w:val="29"/>
              </w:rPr>
            </w:pPr>
          </w:p>
          <w:p w14:paraId="3D1CFDDE" w14:textId="77777777" w:rsidR="0046798B" w:rsidRDefault="00903B5C">
            <w:pPr>
              <w:pStyle w:val="TableParagraph"/>
              <w:spacing w:before="1"/>
              <w:ind w:left="114"/>
              <w:rPr>
                <w:sz w:val="20"/>
              </w:rPr>
            </w:pPr>
            <w:r>
              <w:rPr>
                <w:sz w:val="20"/>
              </w:rPr>
              <w:t>Robbery rate</w:t>
            </w:r>
          </w:p>
        </w:tc>
        <w:tc>
          <w:tcPr>
            <w:tcW w:w="1285" w:type="dxa"/>
          </w:tcPr>
          <w:p w14:paraId="1C43FAC1" w14:textId="77777777" w:rsidR="0046798B" w:rsidRDefault="0046798B">
            <w:pPr>
              <w:pStyle w:val="TableParagraph"/>
            </w:pPr>
          </w:p>
          <w:p w14:paraId="76F76E10" w14:textId="77777777" w:rsidR="0046798B" w:rsidRDefault="0046798B">
            <w:pPr>
              <w:pStyle w:val="TableParagraph"/>
            </w:pPr>
          </w:p>
          <w:p w14:paraId="0D46659C" w14:textId="77777777" w:rsidR="0046798B" w:rsidRDefault="0046798B">
            <w:pPr>
              <w:pStyle w:val="TableParagraph"/>
              <w:spacing w:before="8"/>
              <w:rPr>
                <w:sz w:val="29"/>
              </w:rPr>
            </w:pPr>
          </w:p>
          <w:p w14:paraId="60B4C6A5" w14:textId="77777777" w:rsidR="0046798B" w:rsidRDefault="00903B5C">
            <w:pPr>
              <w:pStyle w:val="TableParagraph"/>
              <w:spacing w:before="1"/>
              <w:ind w:left="114"/>
              <w:rPr>
                <w:sz w:val="20"/>
              </w:rPr>
            </w:pPr>
            <w:r>
              <w:rPr>
                <w:sz w:val="20"/>
              </w:rPr>
              <w:t>1960–2014</w:t>
            </w:r>
          </w:p>
        </w:tc>
        <w:tc>
          <w:tcPr>
            <w:tcW w:w="3421" w:type="dxa"/>
          </w:tcPr>
          <w:p w14:paraId="123591E5" w14:textId="77777777" w:rsidR="0046798B" w:rsidRDefault="00903B5C">
            <w:pPr>
              <w:pStyle w:val="TableParagraph"/>
              <w:spacing w:before="43"/>
              <w:ind w:left="114" w:right="87"/>
              <w:rPr>
                <w:sz w:val="20"/>
              </w:rPr>
            </w:pPr>
            <w:r>
              <w:rPr>
                <w:sz w:val="20"/>
              </w:rPr>
              <w:t>Estimated robbery rate by state. Definition: the taking or attempting to take anything of value from the care, custody, or control of a person or persons by force or threat of force or violence and/or by putting the victim in fear. Number of robbery offenses per 100,000 people.</w:t>
            </w:r>
          </w:p>
        </w:tc>
        <w:tc>
          <w:tcPr>
            <w:tcW w:w="6482" w:type="dxa"/>
          </w:tcPr>
          <w:p w14:paraId="2C2AAB86" w14:textId="77777777" w:rsidR="0046798B" w:rsidRDefault="0046798B">
            <w:pPr>
              <w:pStyle w:val="TableParagraph"/>
              <w:spacing w:before="8"/>
              <w:rPr>
                <w:sz w:val="23"/>
              </w:rPr>
            </w:pPr>
          </w:p>
          <w:p w14:paraId="7C030965" w14:textId="77777777" w:rsidR="0046798B" w:rsidRDefault="00903B5C">
            <w:pPr>
              <w:pStyle w:val="TableParagraph"/>
              <w:spacing w:before="1"/>
              <w:ind w:left="114" w:right="667"/>
              <w:rPr>
                <w:sz w:val="20"/>
              </w:rPr>
            </w:pPr>
            <w:r>
              <w:rPr>
                <w:sz w:val="20"/>
              </w:rPr>
              <w:t xml:space="preserve">Federal Bureau of Investigation, Uniform Crime Reports. “Estimated robberies per 100,000 people.” </w:t>
            </w:r>
            <w:hyperlink r:id="rId753">
              <w:r>
                <w:rPr>
                  <w:color w:val="0462C1"/>
                  <w:sz w:val="20"/>
                  <w:u w:val="single" w:color="0462C1"/>
                </w:rPr>
                <w:t>https://www.ucrdatatool.gov/Search/Crime/State/TrendsInOneVar.cfm</w:t>
              </w:r>
            </w:hyperlink>
          </w:p>
          <w:p w14:paraId="1B8C601B" w14:textId="77777777" w:rsidR="0046798B" w:rsidRDefault="0046798B">
            <w:pPr>
              <w:pStyle w:val="TableParagraph"/>
              <w:rPr>
                <w:sz w:val="20"/>
              </w:rPr>
            </w:pPr>
          </w:p>
          <w:p w14:paraId="734F9B63" w14:textId="77777777" w:rsidR="0046798B" w:rsidRDefault="00903B5C">
            <w:pPr>
              <w:pStyle w:val="TableParagraph"/>
              <w:ind w:left="114" w:right="217"/>
              <w:rPr>
                <w:sz w:val="20"/>
              </w:rPr>
            </w:pPr>
            <w:r>
              <w:rPr>
                <w:sz w:val="20"/>
              </w:rPr>
              <w:t xml:space="preserve">Originally provided by Stateminder: A data visualization project from Georgetown University. </w:t>
            </w:r>
            <w:hyperlink r:id="rId754">
              <w:r>
                <w:rPr>
                  <w:sz w:val="20"/>
                  <w:u w:val="single"/>
                </w:rPr>
                <w:t>http://stateminder.org/</w:t>
              </w:r>
              <w:r>
                <w:rPr>
                  <w:sz w:val="20"/>
                </w:rPr>
                <w:t xml:space="preserve"> </w:t>
              </w:r>
            </w:hyperlink>
            <w:r>
              <w:rPr>
                <w:sz w:val="20"/>
              </w:rPr>
              <w:t>(no longer accessible online)</w:t>
            </w:r>
          </w:p>
        </w:tc>
      </w:tr>
      <w:tr w:rsidR="0046798B" w14:paraId="788B52BA" w14:textId="77777777">
        <w:trPr>
          <w:trHeight w:val="2386"/>
        </w:trPr>
        <w:tc>
          <w:tcPr>
            <w:tcW w:w="1711" w:type="dxa"/>
          </w:tcPr>
          <w:p w14:paraId="061B0008" w14:textId="77777777" w:rsidR="0046798B" w:rsidRDefault="0046798B">
            <w:pPr>
              <w:pStyle w:val="TableParagraph"/>
            </w:pPr>
          </w:p>
          <w:p w14:paraId="54DCD539" w14:textId="77777777" w:rsidR="0046798B" w:rsidRDefault="0046798B">
            <w:pPr>
              <w:pStyle w:val="TableParagraph"/>
            </w:pPr>
          </w:p>
          <w:p w14:paraId="36ECCCE4" w14:textId="77777777" w:rsidR="0046798B" w:rsidRDefault="0046798B">
            <w:pPr>
              <w:pStyle w:val="TableParagraph"/>
            </w:pPr>
          </w:p>
          <w:p w14:paraId="357D10DC" w14:textId="77777777" w:rsidR="0046798B" w:rsidRDefault="0046798B">
            <w:pPr>
              <w:pStyle w:val="TableParagraph"/>
              <w:spacing w:before="4"/>
              <w:rPr>
                <w:sz w:val="27"/>
              </w:rPr>
            </w:pPr>
          </w:p>
          <w:p w14:paraId="19FC8D15" w14:textId="77777777" w:rsidR="0046798B" w:rsidRDefault="00903B5C">
            <w:pPr>
              <w:pStyle w:val="TableParagraph"/>
              <w:ind w:left="115"/>
              <w:rPr>
                <w:b/>
                <w:sz w:val="20"/>
              </w:rPr>
            </w:pPr>
            <w:r>
              <w:rPr>
                <w:b/>
                <w:sz w:val="20"/>
              </w:rPr>
              <w:t>vcrimerate</w:t>
            </w:r>
          </w:p>
        </w:tc>
        <w:tc>
          <w:tcPr>
            <w:tcW w:w="1596" w:type="dxa"/>
          </w:tcPr>
          <w:p w14:paraId="08BD2B36" w14:textId="77777777" w:rsidR="0046798B" w:rsidRDefault="0046798B">
            <w:pPr>
              <w:pStyle w:val="TableParagraph"/>
            </w:pPr>
          </w:p>
          <w:p w14:paraId="5C2F5C28" w14:textId="77777777" w:rsidR="0046798B" w:rsidRDefault="0046798B">
            <w:pPr>
              <w:pStyle w:val="TableParagraph"/>
            </w:pPr>
          </w:p>
          <w:p w14:paraId="1FEF4473" w14:textId="77777777" w:rsidR="0046798B" w:rsidRDefault="0046798B">
            <w:pPr>
              <w:pStyle w:val="TableParagraph"/>
            </w:pPr>
          </w:p>
          <w:p w14:paraId="3921A20E" w14:textId="77777777" w:rsidR="0046798B" w:rsidRDefault="0046798B">
            <w:pPr>
              <w:pStyle w:val="TableParagraph"/>
              <w:spacing w:before="4"/>
              <w:rPr>
                <w:sz w:val="17"/>
              </w:rPr>
            </w:pPr>
          </w:p>
          <w:p w14:paraId="5A52C85A" w14:textId="77777777" w:rsidR="0046798B" w:rsidRDefault="00903B5C">
            <w:pPr>
              <w:pStyle w:val="TableParagraph"/>
              <w:ind w:left="114" w:right="346"/>
              <w:rPr>
                <w:sz w:val="20"/>
              </w:rPr>
            </w:pPr>
            <w:r>
              <w:rPr>
                <w:sz w:val="20"/>
              </w:rPr>
              <w:t>Violent crime rate</w:t>
            </w:r>
          </w:p>
        </w:tc>
        <w:tc>
          <w:tcPr>
            <w:tcW w:w="1285" w:type="dxa"/>
          </w:tcPr>
          <w:p w14:paraId="34DD19A9" w14:textId="77777777" w:rsidR="0046798B" w:rsidRDefault="0046798B">
            <w:pPr>
              <w:pStyle w:val="TableParagraph"/>
            </w:pPr>
          </w:p>
          <w:p w14:paraId="212E30A1" w14:textId="77777777" w:rsidR="0046798B" w:rsidRDefault="0046798B">
            <w:pPr>
              <w:pStyle w:val="TableParagraph"/>
            </w:pPr>
          </w:p>
          <w:p w14:paraId="040C47DD" w14:textId="77777777" w:rsidR="0046798B" w:rsidRDefault="0046798B">
            <w:pPr>
              <w:pStyle w:val="TableParagraph"/>
            </w:pPr>
          </w:p>
          <w:p w14:paraId="662DA5AD" w14:textId="77777777" w:rsidR="0046798B" w:rsidRDefault="0046798B">
            <w:pPr>
              <w:pStyle w:val="TableParagraph"/>
              <w:spacing w:before="4"/>
              <w:rPr>
                <w:sz w:val="27"/>
              </w:rPr>
            </w:pPr>
          </w:p>
          <w:p w14:paraId="0039C720" w14:textId="77777777" w:rsidR="0046798B" w:rsidRDefault="00903B5C">
            <w:pPr>
              <w:pStyle w:val="TableParagraph"/>
              <w:ind w:left="114"/>
              <w:rPr>
                <w:sz w:val="20"/>
              </w:rPr>
            </w:pPr>
            <w:r>
              <w:rPr>
                <w:sz w:val="20"/>
              </w:rPr>
              <w:t>1960–2014</w:t>
            </w:r>
          </w:p>
        </w:tc>
        <w:tc>
          <w:tcPr>
            <w:tcW w:w="3421" w:type="dxa"/>
          </w:tcPr>
          <w:p w14:paraId="4398D1F8" w14:textId="77777777" w:rsidR="0046798B" w:rsidRDefault="0046798B">
            <w:pPr>
              <w:pStyle w:val="TableParagraph"/>
            </w:pPr>
          </w:p>
          <w:p w14:paraId="58BBEB8A" w14:textId="77777777" w:rsidR="0046798B" w:rsidRDefault="0046798B">
            <w:pPr>
              <w:pStyle w:val="TableParagraph"/>
            </w:pPr>
          </w:p>
          <w:p w14:paraId="3C47EA32" w14:textId="77777777" w:rsidR="0046798B" w:rsidRDefault="0046798B">
            <w:pPr>
              <w:pStyle w:val="TableParagraph"/>
              <w:spacing w:before="4"/>
              <w:rPr>
                <w:sz w:val="19"/>
              </w:rPr>
            </w:pPr>
          </w:p>
          <w:p w14:paraId="2DF04A92" w14:textId="77777777" w:rsidR="0046798B" w:rsidRDefault="00903B5C">
            <w:pPr>
              <w:pStyle w:val="TableParagraph"/>
              <w:ind w:left="114" w:right="250"/>
              <w:rPr>
                <w:sz w:val="20"/>
              </w:rPr>
            </w:pPr>
            <w:r>
              <w:rPr>
                <w:sz w:val="20"/>
              </w:rPr>
              <w:t>Estimated violent crime rate by state. Violent crimes include murder and nonnegligent manslaughter, forcible rape, robbery, and aggravated assault.</w:t>
            </w:r>
          </w:p>
        </w:tc>
        <w:tc>
          <w:tcPr>
            <w:tcW w:w="6482" w:type="dxa"/>
          </w:tcPr>
          <w:p w14:paraId="766984AC" w14:textId="77777777" w:rsidR="0046798B" w:rsidRDefault="00903B5C">
            <w:pPr>
              <w:pStyle w:val="TableParagraph"/>
              <w:spacing w:before="38"/>
              <w:ind w:left="114" w:right="211"/>
              <w:rPr>
                <w:sz w:val="20"/>
              </w:rPr>
            </w:pPr>
            <w:r>
              <w:rPr>
                <w:sz w:val="20"/>
              </w:rPr>
              <w:t>U.S. Department of Justice, Uniform Crime Reporting Statistics - UCR Data Online. “Estimated Violent Crime Rate.”</w:t>
            </w:r>
            <w:r>
              <w:rPr>
                <w:color w:val="0462C1"/>
                <w:sz w:val="20"/>
                <w:u w:val="single" w:color="0462C1"/>
              </w:rPr>
              <w:t xml:space="preserve"> </w:t>
            </w:r>
            <w:hyperlink r:id="rId755">
              <w:r>
                <w:rPr>
                  <w:color w:val="0462C1"/>
                  <w:sz w:val="20"/>
                  <w:u w:val="single" w:color="0462C1"/>
                </w:rPr>
                <w:t>https://www.ucrdatatool.gov/Search/Crime/State/TrendsInOneVar.cfm</w:t>
              </w:r>
            </w:hyperlink>
          </w:p>
          <w:p w14:paraId="4913BF2F" w14:textId="77777777" w:rsidR="0046798B" w:rsidRDefault="0046798B">
            <w:pPr>
              <w:pStyle w:val="TableParagraph"/>
              <w:rPr>
                <w:sz w:val="20"/>
              </w:rPr>
            </w:pPr>
          </w:p>
          <w:p w14:paraId="159A3BED" w14:textId="77777777" w:rsidR="0046798B" w:rsidRDefault="00903B5C">
            <w:pPr>
              <w:pStyle w:val="TableParagraph"/>
              <w:spacing w:before="1"/>
              <w:ind w:left="114" w:right="217"/>
              <w:rPr>
                <w:sz w:val="20"/>
              </w:rPr>
            </w:pPr>
            <w:r>
              <w:rPr>
                <w:sz w:val="20"/>
              </w:rPr>
              <w:t xml:space="preserve">Originally provided by Stateminder: A data visualization project from Georgetown University. </w:t>
            </w:r>
            <w:hyperlink r:id="rId756">
              <w:r>
                <w:rPr>
                  <w:sz w:val="20"/>
                  <w:u w:val="single"/>
                </w:rPr>
                <w:t>http://stateminder.org/</w:t>
              </w:r>
              <w:r>
                <w:rPr>
                  <w:sz w:val="20"/>
                </w:rPr>
                <w:t xml:space="preserve"> </w:t>
              </w:r>
            </w:hyperlink>
            <w:r>
              <w:rPr>
                <w:sz w:val="20"/>
              </w:rPr>
              <w:t>(no longer accessible online)</w:t>
            </w:r>
          </w:p>
          <w:p w14:paraId="58F9C25F" w14:textId="77777777" w:rsidR="0046798B" w:rsidRDefault="0046798B">
            <w:pPr>
              <w:pStyle w:val="TableParagraph"/>
              <w:rPr>
                <w:sz w:val="20"/>
              </w:rPr>
            </w:pPr>
          </w:p>
          <w:p w14:paraId="00A29719" w14:textId="77777777" w:rsidR="0046798B" w:rsidRDefault="00903B5C">
            <w:pPr>
              <w:pStyle w:val="TableParagraph"/>
              <w:ind w:left="114" w:right="401"/>
              <w:rPr>
                <w:sz w:val="20"/>
              </w:rPr>
            </w:pPr>
            <w:r>
              <w:rPr>
                <w:sz w:val="20"/>
              </w:rPr>
              <w:t>Notes: National or state offense totals are based on data from all reporting agencies and estimates for unreported areas. See source organization for state-specific notes.</w:t>
            </w:r>
          </w:p>
        </w:tc>
      </w:tr>
      <w:tr w:rsidR="0046798B" w14:paraId="170655D0" w14:textId="77777777">
        <w:trPr>
          <w:trHeight w:val="1695"/>
        </w:trPr>
        <w:tc>
          <w:tcPr>
            <w:tcW w:w="1711" w:type="dxa"/>
          </w:tcPr>
          <w:p w14:paraId="13F18FB4" w14:textId="77777777" w:rsidR="0046798B" w:rsidRDefault="0046798B">
            <w:pPr>
              <w:pStyle w:val="TableParagraph"/>
            </w:pPr>
          </w:p>
          <w:p w14:paraId="35229B39" w14:textId="77777777" w:rsidR="0046798B" w:rsidRDefault="0046798B">
            <w:pPr>
              <w:pStyle w:val="TableParagraph"/>
            </w:pPr>
          </w:p>
          <w:p w14:paraId="0BA9A158" w14:textId="77777777" w:rsidR="0046798B" w:rsidRDefault="0046798B">
            <w:pPr>
              <w:pStyle w:val="TableParagraph"/>
              <w:spacing w:before="4"/>
              <w:rPr>
                <w:sz w:val="19"/>
              </w:rPr>
            </w:pPr>
          </w:p>
          <w:p w14:paraId="059F52F6" w14:textId="77777777" w:rsidR="0046798B" w:rsidRDefault="00903B5C">
            <w:pPr>
              <w:pStyle w:val="TableParagraph"/>
              <w:ind w:left="115"/>
              <w:rPr>
                <w:b/>
                <w:sz w:val="20"/>
              </w:rPr>
            </w:pPr>
            <w:r>
              <w:rPr>
                <w:b/>
                <w:sz w:val="20"/>
              </w:rPr>
              <w:t>vcrimetotal</w:t>
            </w:r>
          </w:p>
        </w:tc>
        <w:tc>
          <w:tcPr>
            <w:tcW w:w="1596" w:type="dxa"/>
          </w:tcPr>
          <w:p w14:paraId="4C3E5E5D" w14:textId="77777777" w:rsidR="0046798B" w:rsidRDefault="0046798B">
            <w:pPr>
              <w:pStyle w:val="TableParagraph"/>
            </w:pPr>
          </w:p>
          <w:p w14:paraId="0FB6FC11" w14:textId="77777777" w:rsidR="0046798B" w:rsidRDefault="0046798B">
            <w:pPr>
              <w:pStyle w:val="TableParagraph"/>
              <w:spacing w:before="4"/>
              <w:rPr>
                <w:sz w:val="31"/>
              </w:rPr>
            </w:pPr>
          </w:p>
          <w:p w14:paraId="79F0C953" w14:textId="77777777" w:rsidR="0046798B" w:rsidRDefault="00903B5C">
            <w:pPr>
              <w:pStyle w:val="TableParagraph"/>
              <w:ind w:left="114" w:right="346"/>
              <w:rPr>
                <w:sz w:val="20"/>
              </w:rPr>
            </w:pPr>
            <w:r>
              <w:rPr>
                <w:sz w:val="20"/>
              </w:rPr>
              <w:t>Violent crime total</w:t>
            </w:r>
          </w:p>
        </w:tc>
        <w:tc>
          <w:tcPr>
            <w:tcW w:w="1285" w:type="dxa"/>
          </w:tcPr>
          <w:p w14:paraId="25687B5A" w14:textId="77777777" w:rsidR="0046798B" w:rsidRDefault="0046798B">
            <w:pPr>
              <w:pStyle w:val="TableParagraph"/>
            </w:pPr>
          </w:p>
          <w:p w14:paraId="3450EB76" w14:textId="77777777" w:rsidR="0046798B" w:rsidRDefault="0046798B">
            <w:pPr>
              <w:pStyle w:val="TableParagraph"/>
            </w:pPr>
          </w:p>
          <w:p w14:paraId="1F65D773" w14:textId="77777777" w:rsidR="0046798B" w:rsidRDefault="0046798B">
            <w:pPr>
              <w:pStyle w:val="TableParagraph"/>
              <w:spacing w:before="4"/>
              <w:rPr>
                <w:sz w:val="19"/>
              </w:rPr>
            </w:pPr>
          </w:p>
          <w:p w14:paraId="2107187E" w14:textId="77777777" w:rsidR="0046798B" w:rsidRDefault="00903B5C">
            <w:pPr>
              <w:pStyle w:val="TableParagraph"/>
              <w:ind w:left="114"/>
              <w:rPr>
                <w:sz w:val="20"/>
              </w:rPr>
            </w:pPr>
            <w:r>
              <w:rPr>
                <w:sz w:val="20"/>
              </w:rPr>
              <w:t>1960–2014</w:t>
            </w:r>
          </w:p>
        </w:tc>
        <w:tc>
          <w:tcPr>
            <w:tcW w:w="3421" w:type="dxa"/>
          </w:tcPr>
          <w:p w14:paraId="284358B7" w14:textId="77777777" w:rsidR="0046798B" w:rsidRDefault="0046798B">
            <w:pPr>
              <w:pStyle w:val="TableParagraph"/>
            </w:pPr>
          </w:p>
          <w:p w14:paraId="3AAF2E23" w14:textId="77777777" w:rsidR="0046798B" w:rsidRDefault="00903B5C">
            <w:pPr>
              <w:pStyle w:val="TableParagraph"/>
              <w:spacing w:before="130"/>
              <w:ind w:left="114" w:right="244"/>
              <w:rPr>
                <w:sz w:val="20"/>
              </w:rPr>
            </w:pPr>
            <w:r>
              <w:rPr>
                <w:sz w:val="20"/>
              </w:rPr>
              <w:t>Estimated violent crime total by state. Violent crimes include murder and nonnegligent manslaughter, forcible rape, robbery, and aggravated assault.</w:t>
            </w:r>
          </w:p>
        </w:tc>
        <w:tc>
          <w:tcPr>
            <w:tcW w:w="6482" w:type="dxa"/>
          </w:tcPr>
          <w:p w14:paraId="6D89BD65" w14:textId="77777777" w:rsidR="0046798B" w:rsidRDefault="00903B5C">
            <w:pPr>
              <w:pStyle w:val="TableParagraph"/>
              <w:spacing w:before="38"/>
              <w:ind w:left="114" w:right="211"/>
              <w:rPr>
                <w:sz w:val="20"/>
              </w:rPr>
            </w:pPr>
            <w:r>
              <w:rPr>
                <w:sz w:val="20"/>
              </w:rPr>
              <w:t>U.S. Department of Justice, Uniform Crime Reporting Statistics - UCR Data Online. “Estimated Violent Crime Total.”</w:t>
            </w:r>
            <w:r>
              <w:rPr>
                <w:color w:val="0462C1"/>
                <w:sz w:val="20"/>
                <w:u w:val="single" w:color="0462C1"/>
              </w:rPr>
              <w:t xml:space="preserve"> </w:t>
            </w:r>
            <w:hyperlink r:id="rId757">
              <w:r>
                <w:rPr>
                  <w:color w:val="0462C1"/>
                  <w:sz w:val="20"/>
                  <w:u w:val="single" w:color="0462C1"/>
                </w:rPr>
                <w:t>https://www.ucrdatatool.gov/Search/Crime/State/TrendsInOneVar.cfm</w:t>
              </w:r>
            </w:hyperlink>
          </w:p>
          <w:p w14:paraId="5833ACDF" w14:textId="77777777" w:rsidR="0046798B" w:rsidRDefault="0046798B">
            <w:pPr>
              <w:pStyle w:val="TableParagraph"/>
              <w:rPr>
                <w:sz w:val="20"/>
              </w:rPr>
            </w:pPr>
          </w:p>
          <w:p w14:paraId="517BD77A" w14:textId="77777777" w:rsidR="0046798B" w:rsidRDefault="00903B5C">
            <w:pPr>
              <w:pStyle w:val="TableParagraph"/>
              <w:ind w:left="114" w:right="217"/>
              <w:rPr>
                <w:sz w:val="20"/>
              </w:rPr>
            </w:pPr>
            <w:r>
              <w:rPr>
                <w:sz w:val="20"/>
              </w:rPr>
              <w:t xml:space="preserve">Originally provided by Stateminder: A data visualization project from Georgetown University. </w:t>
            </w:r>
            <w:hyperlink r:id="rId758">
              <w:r>
                <w:rPr>
                  <w:sz w:val="20"/>
                  <w:u w:val="single"/>
                </w:rPr>
                <w:t>http://stateminder.org/</w:t>
              </w:r>
              <w:r>
                <w:rPr>
                  <w:sz w:val="20"/>
                </w:rPr>
                <w:t xml:space="preserve"> </w:t>
              </w:r>
            </w:hyperlink>
            <w:r>
              <w:rPr>
                <w:sz w:val="20"/>
              </w:rPr>
              <w:t>(no longer accessible online)</w:t>
            </w:r>
          </w:p>
        </w:tc>
      </w:tr>
    </w:tbl>
    <w:p w14:paraId="6916D504" w14:textId="77777777" w:rsidR="0046798B" w:rsidRDefault="0046798B">
      <w:pPr>
        <w:rPr>
          <w:sz w:val="20"/>
        </w:rPr>
        <w:sectPr w:rsidR="0046798B">
          <w:pgSz w:w="15840" w:h="12240" w:orient="landscape"/>
          <w:pgMar w:top="1220" w:right="300" w:bottom="980" w:left="820" w:header="730" w:footer="787" w:gutter="0"/>
          <w:cols w:space="720"/>
        </w:sectPr>
      </w:pPr>
    </w:p>
    <w:p w14:paraId="2BF6ED18"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363626B2" w14:textId="77777777">
        <w:trPr>
          <w:trHeight w:val="775"/>
        </w:trPr>
        <w:tc>
          <w:tcPr>
            <w:tcW w:w="1711" w:type="dxa"/>
          </w:tcPr>
          <w:p w14:paraId="3AF2881D" w14:textId="77777777" w:rsidR="0046798B" w:rsidRDefault="0046798B">
            <w:pPr>
              <w:pStyle w:val="TableParagraph"/>
              <w:rPr>
                <w:sz w:val="20"/>
              </w:rPr>
            </w:pPr>
          </w:p>
        </w:tc>
        <w:tc>
          <w:tcPr>
            <w:tcW w:w="1596" w:type="dxa"/>
          </w:tcPr>
          <w:p w14:paraId="055C8493" w14:textId="77777777" w:rsidR="0046798B" w:rsidRDefault="0046798B">
            <w:pPr>
              <w:pStyle w:val="TableParagraph"/>
              <w:rPr>
                <w:sz w:val="20"/>
              </w:rPr>
            </w:pPr>
          </w:p>
        </w:tc>
        <w:tc>
          <w:tcPr>
            <w:tcW w:w="1285" w:type="dxa"/>
          </w:tcPr>
          <w:p w14:paraId="4956AC2E" w14:textId="77777777" w:rsidR="0046798B" w:rsidRDefault="0046798B">
            <w:pPr>
              <w:pStyle w:val="TableParagraph"/>
              <w:rPr>
                <w:sz w:val="20"/>
              </w:rPr>
            </w:pPr>
          </w:p>
        </w:tc>
        <w:tc>
          <w:tcPr>
            <w:tcW w:w="3421" w:type="dxa"/>
          </w:tcPr>
          <w:p w14:paraId="1D184411" w14:textId="77777777" w:rsidR="0046798B" w:rsidRDefault="0046798B">
            <w:pPr>
              <w:pStyle w:val="TableParagraph"/>
              <w:rPr>
                <w:sz w:val="20"/>
              </w:rPr>
            </w:pPr>
          </w:p>
        </w:tc>
        <w:tc>
          <w:tcPr>
            <w:tcW w:w="6482" w:type="dxa"/>
          </w:tcPr>
          <w:p w14:paraId="46F81478" w14:textId="77777777" w:rsidR="0046798B" w:rsidRDefault="00903B5C">
            <w:pPr>
              <w:pStyle w:val="TableParagraph"/>
              <w:spacing w:before="43"/>
              <w:ind w:left="114" w:right="401"/>
              <w:rPr>
                <w:sz w:val="20"/>
              </w:rPr>
            </w:pPr>
            <w:r>
              <w:rPr>
                <w:sz w:val="20"/>
              </w:rPr>
              <w:t>Notes: National or state offense totals are based on data from all reporting agencies and estimates for unreported areas. See source organization for state-specific notes.</w:t>
            </w:r>
          </w:p>
        </w:tc>
      </w:tr>
      <w:tr w:rsidR="0046798B" w14:paraId="15F846B4" w14:textId="77777777">
        <w:trPr>
          <w:trHeight w:val="1235"/>
        </w:trPr>
        <w:tc>
          <w:tcPr>
            <w:tcW w:w="1711" w:type="dxa"/>
          </w:tcPr>
          <w:p w14:paraId="5677521B" w14:textId="77777777" w:rsidR="0046798B" w:rsidRDefault="0046798B">
            <w:pPr>
              <w:pStyle w:val="TableParagraph"/>
            </w:pPr>
          </w:p>
          <w:p w14:paraId="3A95AEAD" w14:textId="77777777" w:rsidR="0046798B" w:rsidRDefault="0046798B">
            <w:pPr>
              <w:pStyle w:val="TableParagraph"/>
              <w:spacing w:before="8"/>
              <w:rPr>
                <w:sz w:val="21"/>
              </w:rPr>
            </w:pPr>
          </w:p>
          <w:p w14:paraId="1B5AE6A9" w14:textId="77777777" w:rsidR="0046798B" w:rsidRDefault="00903B5C">
            <w:pPr>
              <w:pStyle w:val="TableParagraph"/>
              <w:spacing w:before="1"/>
              <w:ind w:left="115"/>
              <w:rPr>
                <w:b/>
                <w:sz w:val="20"/>
              </w:rPr>
            </w:pPr>
            <w:r>
              <w:rPr>
                <w:b/>
                <w:sz w:val="20"/>
              </w:rPr>
              <w:t>ocourts</w:t>
            </w:r>
          </w:p>
        </w:tc>
        <w:tc>
          <w:tcPr>
            <w:tcW w:w="1596" w:type="dxa"/>
          </w:tcPr>
          <w:p w14:paraId="094FA3A3" w14:textId="77777777" w:rsidR="0046798B" w:rsidRDefault="00903B5C">
            <w:pPr>
              <w:pStyle w:val="TableParagraph"/>
              <w:spacing w:before="158"/>
              <w:ind w:left="114" w:right="88"/>
              <w:rPr>
                <w:sz w:val="20"/>
              </w:rPr>
            </w:pPr>
            <w:r>
              <w:rPr>
                <w:sz w:val="20"/>
              </w:rPr>
              <w:t>Index of plaintiff-friendly civil liability systems</w:t>
            </w:r>
          </w:p>
        </w:tc>
        <w:tc>
          <w:tcPr>
            <w:tcW w:w="1285" w:type="dxa"/>
          </w:tcPr>
          <w:p w14:paraId="4F454735" w14:textId="77777777" w:rsidR="0046798B" w:rsidRDefault="0046798B">
            <w:pPr>
              <w:pStyle w:val="TableParagraph"/>
            </w:pPr>
          </w:p>
          <w:p w14:paraId="2FC98F6D" w14:textId="77777777" w:rsidR="0046798B" w:rsidRDefault="0046798B">
            <w:pPr>
              <w:pStyle w:val="TableParagraph"/>
              <w:spacing w:before="8"/>
              <w:rPr>
                <w:sz w:val="21"/>
              </w:rPr>
            </w:pPr>
          </w:p>
          <w:p w14:paraId="629013E6" w14:textId="77777777" w:rsidR="0046798B" w:rsidRDefault="00903B5C">
            <w:pPr>
              <w:pStyle w:val="TableParagraph"/>
              <w:spacing w:before="1"/>
              <w:ind w:left="114"/>
              <w:rPr>
                <w:sz w:val="20"/>
              </w:rPr>
            </w:pPr>
            <w:r>
              <w:rPr>
                <w:sz w:val="20"/>
              </w:rPr>
              <w:t>2003–2015</w:t>
            </w:r>
          </w:p>
        </w:tc>
        <w:tc>
          <w:tcPr>
            <w:tcW w:w="3421" w:type="dxa"/>
          </w:tcPr>
          <w:p w14:paraId="4C584D73" w14:textId="77777777" w:rsidR="0046798B" w:rsidRDefault="00903B5C">
            <w:pPr>
              <w:pStyle w:val="TableParagraph"/>
              <w:spacing w:before="43"/>
              <w:ind w:left="114" w:right="104"/>
              <w:rPr>
                <w:sz w:val="20"/>
              </w:rPr>
            </w:pPr>
            <w:r>
              <w:rPr>
                <w:sz w:val="20"/>
              </w:rPr>
              <w:t>Index of plaintiff-friendly civil liability systems (first principal component of oliabma, olawyers, ohell, olegal, opartsc, opartrial, opuncap, opunburd, ojsl), calculated with Stata 13.1</w:t>
            </w:r>
          </w:p>
        </w:tc>
        <w:tc>
          <w:tcPr>
            <w:tcW w:w="6482" w:type="dxa"/>
          </w:tcPr>
          <w:p w14:paraId="72A00805" w14:textId="77777777" w:rsidR="0046798B" w:rsidRDefault="0046798B">
            <w:pPr>
              <w:pStyle w:val="TableParagraph"/>
              <w:spacing w:before="8"/>
              <w:rPr>
                <w:sz w:val="23"/>
              </w:rPr>
            </w:pPr>
          </w:p>
          <w:p w14:paraId="0060A075"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1F4FDA7" w14:textId="77777777">
        <w:trPr>
          <w:trHeight w:val="1470"/>
        </w:trPr>
        <w:tc>
          <w:tcPr>
            <w:tcW w:w="1711" w:type="dxa"/>
          </w:tcPr>
          <w:p w14:paraId="70BD2295" w14:textId="77777777" w:rsidR="0046798B" w:rsidRDefault="0046798B">
            <w:pPr>
              <w:pStyle w:val="TableParagraph"/>
            </w:pPr>
          </w:p>
          <w:p w14:paraId="22E4A95F" w14:textId="77777777" w:rsidR="0046798B" w:rsidRDefault="0046798B">
            <w:pPr>
              <w:pStyle w:val="TableParagraph"/>
              <w:spacing w:before="9"/>
              <w:rPr>
                <w:sz w:val="31"/>
              </w:rPr>
            </w:pPr>
          </w:p>
          <w:p w14:paraId="39425523" w14:textId="77777777" w:rsidR="0046798B" w:rsidRDefault="00903B5C">
            <w:pPr>
              <w:pStyle w:val="TableParagraph"/>
              <w:ind w:left="115"/>
              <w:rPr>
                <w:b/>
                <w:sz w:val="20"/>
              </w:rPr>
            </w:pPr>
            <w:r>
              <w:rPr>
                <w:b/>
                <w:sz w:val="20"/>
              </w:rPr>
              <w:t>ocourts2</w:t>
            </w:r>
          </w:p>
        </w:tc>
        <w:tc>
          <w:tcPr>
            <w:tcW w:w="1596" w:type="dxa"/>
          </w:tcPr>
          <w:p w14:paraId="40C8FF53" w14:textId="77777777" w:rsidR="0046798B" w:rsidRDefault="00903B5C">
            <w:pPr>
              <w:pStyle w:val="TableParagraph"/>
              <w:spacing w:before="158"/>
              <w:ind w:left="114" w:right="128"/>
              <w:rPr>
                <w:sz w:val="20"/>
              </w:rPr>
            </w:pPr>
            <w:r>
              <w:rPr>
                <w:sz w:val="20"/>
              </w:rPr>
              <w:t>Alternative index of plaintiff-friendly civil liability systems</w:t>
            </w:r>
          </w:p>
        </w:tc>
        <w:tc>
          <w:tcPr>
            <w:tcW w:w="1285" w:type="dxa"/>
          </w:tcPr>
          <w:p w14:paraId="79F7E44C" w14:textId="77777777" w:rsidR="0046798B" w:rsidRDefault="0046798B">
            <w:pPr>
              <w:pStyle w:val="TableParagraph"/>
            </w:pPr>
          </w:p>
          <w:p w14:paraId="35FE2CF3" w14:textId="77777777" w:rsidR="0046798B" w:rsidRDefault="0046798B">
            <w:pPr>
              <w:pStyle w:val="TableParagraph"/>
              <w:spacing w:before="9"/>
              <w:rPr>
                <w:sz w:val="31"/>
              </w:rPr>
            </w:pPr>
          </w:p>
          <w:p w14:paraId="730F2B22" w14:textId="77777777" w:rsidR="0046798B" w:rsidRDefault="00903B5C">
            <w:pPr>
              <w:pStyle w:val="TableParagraph"/>
              <w:ind w:left="114"/>
              <w:rPr>
                <w:sz w:val="20"/>
              </w:rPr>
            </w:pPr>
            <w:r>
              <w:rPr>
                <w:sz w:val="20"/>
              </w:rPr>
              <w:t>2001–2015</w:t>
            </w:r>
          </w:p>
        </w:tc>
        <w:tc>
          <w:tcPr>
            <w:tcW w:w="3421" w:type="dxa"/>
          </w:tcPr>
          <w:p w14:paraId="27F6B4C9" w14:textId="77777777" w:rsidR="0046798B" w:rsidRDefault="00903B5C">
            <w:pPr>
              <w:pStyle w:val="TableParagraph"/>
              <w:spacing w:before="43"/>
              <w:ind w:left="114" w:right="205"/>
              <w:rPr>
                <w:sz w:val="20"/>
              </w:rPr>
            </w:pPr>
            <w:r>
              <w:rPr>
                <w:sz w:val="20"/>
              </w:rPr>
              <w:t>Alternative index of plaintiff-friendly civil liability systems (first principal component of oliabma, olawyers, olegal, opartsc, opartrial, opuncap, opunburd, ojsl), calculated with Stata 13.1</w:t>
            </w:r>
          </w:p>
        </w:tc>
        <w:tc>
          <w:tcPr>
            <w:tcW w:w="6482" w:type="dxa"/>
          </w:tcPr>
          <w:p w14:paraId="3E823931" w14:textId="77777777" w:rsidR="0046798B" w:rsidRDefault="0046798B">
            <w:pPr>
              <w:pStyle w:val="TableParagraph"/>
            </w:pPr>
          </w:p>
          <w:p w14:paraId="24D8F328" w14:textId="77777777" w:rsidR="0046798B" w:rsidRDefault="00903B5C">
            <w:pPr>
              <w:pStyle w:val="TableParagraph"/>
              <w:spacing w:before="135"/>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9FA6229" w14:textId="77777777">
        <w:trPr>
          <w:trHeight w:val="1235"/>
        </w:trPr>
        <w:tc>
          <w:tcPr>
            <w:tcW w:w="1711" w:type="dxa"/>
          </w:tcPr>
          <w:p w14:paraId="1EB3CB62" w14:textId="77777777" w:rsidR="0046798B" w:rsidRDefault="0046798B">
            <w:pPr>
              <w:pStyle w:val="TableParagraph"/>
            </w:pPr>
          </w:p>
          <w:p w14:paraId="728E2EAA" w14:textId="77777777" w:rsidR="0046798B" w:rsidRDefault="0046798B">
            <w:pPr>
              <w:pStyle w:val="TableParagraph"/>
              <w:spacing w:before="4"/>
              <w:rPr>
                <w:sz w:val="21"/>
              </w:rPr>
            </w:pPr>
          </w:p>
          <w:p w14:paraId="53A11536" w14:textId="77777777" w:rsidR="0046798B" w:rsidRDefault="00903B5C">
            <w:pPr>
              <w:pStyle w:val="TableParagraph"/>
              <w:ind w:left="115"/>
              <w:rPr>
                <w:b/>
                <w:sz w:val="20"/>
              </w:rPr>
            </w:pPr>
            <w:r>
              <w:rPr>
                <w:b/>
                <w:sz w:val="20"/>
              </w:rPr>
              <w:t>rarrests</w:t>
            </w:r>
          </w:p>
        </w:tc>
        <w:tc>
          <w:tcPr>
            <w:tcW w:w="1596" w:type="dxa"/>
          </w:tcPr>
          <w:p w14:paraId="65B7905B" w14:textId="77777777" w:rsidR="0046798B" w:rsidRDefault="00903B5C">
            <w:pPr>
              <w:pStyle w:val="TableParagraph"/>
              <w:spacing w:before="38"/>
              <w:ind w:left="114" w:right="127"/>
              <w:rPr>
                <w:sz w:val="20"/>
              </w:rPr>
            </w:pPr>
            <w:r>
              <w:rPr>
                <w:sz w:val="20"/>
              </w:rPr>
              <w:t>Over-18 victimless crimes arrests as percentage of all arrests</w:t>
            </w:r>
          </w:p>
        </w:tc>
        <w:tc>
          <w:tcPr>
            <w:tcW w:w="1285" w:type="dxa"/>
          </w:tcPr>
          <w:p w14:paraId="4E29E7CC" w14:textId="77777777" w:rsidR="0046798B" w:rsidRDefault="0046798B">
            <w:pPr>
              <w:pStyle w:val="TableParagraph"/>
            </w:pPr>
          </w:p>
          <w:p w14:paraId="38AE56CD" w14:textId="77777777" w:rsidR="0046798B" w:rsidRDefault="0046798B">
            <w:pPr>
              <w:pStyle w:val="TableParagraph"/>
              <w:spacing w:before="4"/>
              <w:rPr>
                <w:sz w:val="21"/>
              </w:rPr>
            </w:pPr>
          </w:p>
          <w:p w14:paraId="1344BA36" w14:textId="77777777" w:rsidR="0046798B" w:rsidRDefault="00903B5C">
            <w:pPr>
              <w:pStyle w:val="TableParagraph"/>
              <w:ind w:left="114"/>
              <w:rPr>
                <w:sz w:val="20"/>
              </w:rPr>
            </w:pPr>
            <w:r>
              <w:rPr>
                <w:sz w:val="20"/>
              </w:rPr>
              <w:t>2000–2016</w:t>
            </w:r>
          </w:p>
        </w:tc>
        <w:tc>
          <w:tcPr>
            <w:tcW w:w="3421" w:type="dxa"/>
          </w:tcPr>
          <w:p w14:paraId="4EA864E3" w14:textId="77777777" w:rsidR="0046798B" w:rsidRDefault="00903B5C">
            <w:pPr>
              <w:pStyle w:val="TableParagraph"/>
              <w:spacing w:before="153"/>
              <w:ind w:left="114" w:right="377"/>
              <w:rPr>
                <w:sz w:val="20"/>
              </w:rPr>
            </w:pPr>
            <w:r>
              <w:rPr>
                <w:sz w:val="20"/>
              </w:rPr>
              <w:t>Over-18 victimless crimes arrests as percentage of all arrests (sum of rweapa, rprosta, rgamba, rliquora, rloita)</w:t>
            </w:r>
          </w:p>
        </w:tc>
        <w:tc>
          <w:tcPr>
            <w:tcW w:w="6482" w:type="dxa"/>
          </w:tcPr>
          <w:p w14:paraId="2D3325F1" w14:textId="77777777" w:rsidR="0046798B" w:rsidRDefault="0046798B">
            <w:pPr>
              <w:pStyle w:val="TableParagraph"/>
              <w:spacing w:before="3"/>
              <w:rPr>
                <w:sz w:val="23"/>
              </w:rPr>
            </w:pPr>
          </w:p>
          <w:p w14:paraId="1E436159"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D51AD12" w14:textId="77777777">
        <w:trPr>
          <w:trHeight w:val="1235"/>
        </w:trPr>
        <w:tc>
          <w:tcPr>
            <w:tcW w:w="1711" w:type="dxa"/>
          </w:tcPr>
          <w:p w14:paraId="359475AB" w14:textId="77777777" w:rsidR="0046798B" w:rsidRDefault="0046798B">
            <w:pPr>
              <w:pStyle w:val="TableParagraph"/>
            </w:pPr>
          </w:p>
          <w:p w14:paraId="1B72F27F" w14:textId="77777777" w:rsidR="0046798B" w:rsidRDefault="0046798B">
            <w:pPr>
              <w:pStyle w:val="TableParagraph"/>
              <w:spacing w:before="4"/>
              <w:rPr>
                <w:sz w:val="21"/>
              </w:rPr>
            </w:pPr>
          </w:p>
          <w:p w14:paraId="23CDAFA8" w14:textId="77777777" w:rsidR="0046798B" w:rsidRDefault="00903B5C">
            <w:pPr>
              <w:pStyle w:val="TableParagraph"/>
              <w:ind w:left="115"/>
              <w:rPr>
                <w:b/>
                <w:sz w:val="20"/>
              </w:rPr>
            </w:pPr>
            <w:r>
              <w:rPr>
                <w:b/>
                <w:sz w:val="20"/>
              </w:rPr>
              <w:t>rarrestsi</w:t>
            </w:r>
          </w:p>
        </w:tc>
        <w:tc>
          <w:tcPr>
            <w:tcW w:w="1596" w:type="dxa"/>
          </w:tcPr>
          <w:p w14:paraId="24D87861" w14:textId="77777777" w:rsidR="0046798B" w:rsidRDefault="00903B5C">
            <w:pPr>
              <w:pStyle w:val="TableParagraph"/>
              <w:spacing w:before="38"/>
              <w:ind w:left="114" w:right="158"/>
              <w:rPr>
                <w:sz w:val="20"/>
              </w:rPr>
            </w:pPr>
            <w:r>
              <w:rPr>
                <w:sz w:val="20"/>
              </w:rPr>
              <w:t>Linearly interpolated and carried back values of “rarrests”</w:t>
            </w:r>
          </w:p>
        </w:tc>
        <w:tc>
          <w:tcPr>
            <w:tcW w:w="1285" w:type="dxa"/>
          </w:tcPr>
          <w:p w14:paraId="1F8EEB7F" w14:textId="77777777" w:rsidR="0046798B" w:rsidRDefault="0046798B">
            <w:pPr>
              <w:pStyle w:val="TableParagraph"/>
            </w:pPr>
          </w:p>
          <w:p w14:paraId="48ED1AD6" w14:textId="77777777" w:rsidR="0046798B" w:rsidRDefault="0046798B">
            <w:pPr>
              <w:pStyle w:val="TableParagraph"/>
              <w:spacing w:before="4"/>
              <w:rPr>
                <w:sz w:val="21"/>
              </w:rPr>
            </w:pPr>
          </w:p>
          <w:p w14:paraId="4B2B6A52" w14:textId="77777777" w:rsidR="0046798B" w:rsidRDefault="00903B5C">
            <w:pPr>
              <w:pStyle w:val="TableParagraph"/>
              <w:ind w:left="114"/>
              <w:rPr>
                <w:sz w:val="20"/>
              </w:rPr>
            </w:pPr>
            <w:r>
              <w:rPr>
                <w:sz w:val="20"/>
              </w:rPr>
              <w:t>2000–2016</w:t>
            </w:r>
          </w:p>
        </w:tc>
        <w:tc>
          <w:tcPr>
            <w:tcW w:w="3421" w:type="dxa"/>
          </w:tcPr>
          <w:p w14:paraId="5B9A98D0" w14:textId="77777777" w:rsidR="0046798B" w:rsidRDefault="00903B5C">
            <w:pPr>
              <w:pStyle w:val="TableParagraph"/>
              <w:spacing w:before="153"/>
              <w:ind w:left="114" w:right="133"/>
              <w:rPr>
                <w:sz w:val="20"/>
              </w:rPr>
            </w:pPr>
            <w:r>
              <w:rPr>
                <w:sz w:val="20"/>
              </w:rPr>
              <w:t>Linearly interpolated and carried back values of “rarrests” (over-18 victimless crimes arrests as a share of all over-18 arrests)</w:t>
            </w:r>
          </w:p>
        </w:tc>
        <w:tc>
          <w:tcPr>
            <w:tcW w:w="6482" w:type="dxa"/>
          </w:tcPr>
          <w:p w14:paraId="54E55946" w14:textId="77777777" w:rsidR="0046798B" w:rsidRDefault="0046798B">
            <w:pPr>
              <w:pStyle w:val="TableParagraph"/>
              <w:spacing w:before="3"/>
              <w:rPr>
                <w:sz w:val="23"/>
              </w:rPr>
            </w:pPr>
          </w:p>
          <w:p w14:paraId="7D9EB9FA"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FC7424B" w14:textId="77777777">
        <w:trPr>
          <w:trHeight w:val="775"/>
        </w:trPr>
        <w:tc>
          <w:tcPr>
            <w:tcW w:w="1711" w:type="dxa"/>
          </w:tcPr>
          <w:p w14:paraId="5169721D" w14:textId="77777777" w:rsidR="0046798B" w:rsidRDefault="0046798B">
            <w:pPr>
              <w:pStyle w:val="TableParagraph"/>
              <w:spacing w:before="3"/>
              <w:rPr>
                <w:sz w:val="23"/>
              </w:rPr>
            </w:pPr>
          </w:p>
          <w:p w14:paraId="554BB5EC" w14:textId="77777777" w:rsidR="0046798B" w:rsidRDefault="00903B5C">
            <w:pPr>
              <w:pStyle w:val="TableParagraph"/>
              <w:spacing w:before="1"/>
              <w:ind w:left="115"/>
              <w:rPr>
                <w:b/>
                <w:sz w:val="20"/>
              </w:rPr>
            </w:pPr>
            <w:r>
              <w:rPr>
                <w:b/>
                <w:sz w:val="20"/>
              </w:rPr>
              <w:t>rdrenrat</w:t>
            </w:r>
          </w:p>
        </w:tc>
        <w:tc>
          <w:tcPr>
            <w:tcW w:w="1596" w:type="dxa"/>
          </w:tcPr>
          <w:p w14:paraId="548F1472" w14:textId="77777777" w:rsidR="0046798B" w:rsidRDefault="00903B5C">
            <w:pPr>
              <w:pStyle w:val="TableParagraph"/>
              <w:spacing w:before="153"/>
              <w:ind w:left="114" w:right="102"/>
              <w:rPr>
                <w:sz w:val="20"/>
              </w:rPr>
            </w:pPr>
            <w:r>
              <w:rPr>
                <w:sz w:val="20"/>
              </w:rPr>
              <w:t>Drug enforcement rate</w:t>
            </w:r>
          </w:p>
        </w:tc>
        <w:tc>
          <w:tcPr>
            <w:tcW w:w="1285" w:type="dxa"/>
          </w:tcPr>
          <w:p w14:paraId="101040F8" w14:textId="77777777" w:rsidR="0046798B" w:rsidRDefault="0046798B">
            <w:pPr>
              <w:pStyle w:val="TableParagraph"/>
              <w:spacing w:before="3"/>
              <w:rPr>
                <w:sz w:val="23"/>
              </w:rPr>
            </w:pPr>
          </w:p>
          <w:p w14:paraId="5A991E9E" w14:textId="77777777" w:rsidR="0046798B" w:rsidRDefault="00903B5C">
            <w:pPr>
              <w:pStyle w:val="TableParagraph"/>
              <w:spacing w:before="1"/>
              <w:ind w:left="114"/>
              <w:rPr>
                <w:sz w:val="20"/>
              </w:rPr>
            </w:pPr>
            <w:r>
              <w:rPr>
                <w:sz w:val="20"/>
              </w:rPr>
              <w:t>2000–2014</w:t>
            </w:r>
          </w:p>
        </w:tc>
        <w:tc>
          <w:tcPr>
            <w:tcW w:w="3421" w:type="dxa"/>
          </w:tcPr>
          <w:p w14:paraId="3F3879E7" w14:textId="77777777" w:rsidR="0046798B" w:rsidRDefault="00903B5C">
            <w:pPr>
              <w:pStyle w:val="TableParagraph"/>
              <w:spacing w:before="38"/>
              <w:ind w:left="114" w:right="270"/>
              <w:rPr>
                <w:sz w:val="20"/>
              </w:rPr>
            </w:pPr>
            <w:r>
              <w:rPr>
                <w:sz w:val="20"/>
              </w:rPr>
              <w:t>Drug enforcement rate = rdrugs / ruse (3-year moving average for 2004– 2012), multiplied by 100</w:t>
            </w:r>
          </w:p>
        </w:tc>
        <w:tc>
          <w:tcPr>
            <w:tcW w:w="6482" w:type="dxa"/>
          </w:tcPr>
          <w:p w14:paraId="74A958F9" w14:textId="77777777" w:rsidR="0046798B" w:rsidRDefault="00903B5C">
            <w:pPr>
              <w:pStyle w:val="TableParagraph"/>
              <w:spacing w:before="3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7B39E04" w14:textId="77777777">
        <w:trPr>
          <w:trHeight w:val="1465"/>
        </w:trPr>
        <w:tc>
          <w:tcPr>
            <w:tcW w:w="1711" w:type="dxa"/>
          </w:tcPr>
          <w:p w14:paraId="3A46F836" w14:textId="77777777" w:rsidR="0046798B" w:rsidRDefault="0046798B">
            <w:pPr>
              <w:pStyle w:val="TableParagraph"/>
            </w:pPr>
          </w:p>
          <w:p w14:paraId="4FACF599" w14:textId="77777777" w:rsidR="0046798B" w:rsidRDefault="0046798B">
            <w:pPr>
              <w:pStyle w:val="TableParagraph"/>
              <w:spacing w:before="8"/>
              <w:rPr>
                <w:sz w:val="31"/>
              </w:rPr>
            </w:pPr>
          </w:p>
          <w:p w14:paraId="3956E173" w14:textId="77777777" w:rsidR="0046798B" w:rsidRDefault="00903B5C">
            <w:pPr>
              <w:pStyle w:val="TableParagraph"/>
              <w:ind w:left="115"/>
              <w:rPr>
                <w:b/>
                <w:sz w:val="20"/>
              </w:rPr>
            </w:pPr>
            <w:r>
              <w:rPr>
                <w:b/>
                <w:sz w:val="20"/>
              </w:rPr>
              <w:t>rdrenrati</w:t>
            </w:r>
          </w:p>
        </w:tc>
        <w:tc>
          <w:tcPr>
            <w:tcW w:w="1596" w:type="dxa"/>
          </w:tcPr>
          <w:p w14:paraId="5513BDB6" w14:textId="77777777" w:rsidR="0046798B" w:rsidRDefault="00903B5C">
            <w:pPr>
              <w:pStyle w:val="TableParagraph"/>
              <w:spacing w:before="43"/>
              <w:ind w:left="114" w:right="158"/>
              <w:rPr>
                <w:sz w:val="20"/>
              </w:rPr>
            </w:pPr>
            <w:r>
              <w:rPr>
                <w:sz w:val="20"/>
              </w:rPr>
              <w:t>Linearly interpolated and imputed based on “rdrugs” values of “rdrenrat”</w:t>
            </w:r>
          </w:p>
        </w:tc>
        <w:tc>
          <w:tcPr>
            <w:tcW w:w="1285" w:type="dxa"/>
          </w:tcPr>
          <w:p w14:paraId="7161CD26" w14:textId="77777777" w:rsidR="0046798B" w:rsidRDefault="0046798B">
            <w:pPr>
              <w:pStyle w:val="TableParagraph"/>
            </w:pPr>
          </w:p>
          <w:p w14:paraId="5008296F" w14:textId="77777777" w:rsidR="0046798B" w:rsidRDefault="0046798B">
            <w:pPr>
              <w:pStyle w:val="TableParagraph"/>
              <w:spacing w:before="8"/>
              <w:rPr>
                <w:sz w:val="31"/>
              </w:rPr>
            </w:pPr>
          </w:p>
          <w:p w14:paraId="642A6043" w14:textId="77777777" w:rsidR="0046798B" w:rsidRDefault="00903B5C">
            <w:pPr>
              <w:pStyle w:val="TableParagraph"/>
              <w:ind w:left="114"/>
              <w:rPr>
                <w:sz w:val="20"/>
              </w:rPr>
            </w:pPr>
            <w:r>
              <w:rPr>
                <w:sz w:val="20"/>
              </w:rPr>
              <w:t>2000–2016</w:t>
            </w:r>
          </w:p>
        </w:tc>
        <w:tc>
          <w:tcPr>
            <w:tcW w:w="3421" w:type="dxa"/>
          </w:tcPr>
          <w:p w14:paraId="48BBDB7B" w14:textId="77777777" w:rsidR="0046798B" w:rsidRDefault="0046798B">
            <w:pPr>
              <w:pStyle w:val="TableParagraph"/>
            </w:pPr>
          </w:p>
          <w:p w14:paraId="69DFE229" w14:textId="77777777" w:rsidR="0046798B" w:rsidRDefault="00903B5C">
            <w:pPr>
              <w:pStyle w:val="TableParagraph"/>
              <w:spacing w:before="135"/>
              <w:ind w:left="114" w:right="195"/>
              <w:rPr>
                <w:sz w:val="20"/>
              </w:rPr>
            </w:pPr>
            <w:r>
              <w:rPr>
                <w:sz w:val="20"/>
              </w:rPr>
              <w:t>Linearly interpolated and imputed based on “rdrugs” values of “rdrenrat” (drug enforcement rate)</w:t>
            </w:r>
          </w:p>
        </w:tc>
        <w:tc>
          <w:tcPr>
            <w:tcW w:w="6482" w:type="dxa"/>
          </w:tcPr>
          <w:p w14:paraId="4CF42EFD" w14:textId="77777777" w:rsidR="0046798B" w:rsidRDefault="0046798B">
            <w:pPr>
              <w:pStyle w:val="TableParagraph"/>
            </w:pPr>
          </w:p>
          <w:p w14:paraId="4EBB6F8F" w14:textId="77777777" w:rsidR="0046798B" w:rsidRDefault="00903B5C">
            <w:pPr>
              <w:pStyle w:val="TableParagraph"/>
              <w:spacing w:before="135"/>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19BD1EC" w14:textId="77777777">
        <w:trPr>
          <w:trHeight w:val="775"/>
        </w:trPr>
        <w:tc>
          <w:tcPr>
            <w:tcW w:w="1711" w:type="dxa"/>
          </w:tcPr>
          <w:p w14:paraId="10C1A37F" w14:textId="77777777" w:rsidR="0046798B" w:rsidRDefault="0046798B">
            <w:pPr>
              <w:pStyle w:val="TableParagraph"/>
              <w:spacing w:before="8"/>
              <w:rPr>
                <w:sz w:val="23"/>
              </w:rPr>
            </w:pPr>
          </w:p>
          <w:p w14:paraId="6FAA00C5" w14:textId="77777777" w:rsidR="0046798B" w:rsidRDefault="00903B5C">
            <w:pPr>
              <w:pStyle w:val="TableParagraph"/>
              <w:spacing w:before="1"/>
              <w:ind w:left="115"/>
              <w:rPr>
                <w:b/>
                <w:sz w:val="20"/>
              </w:rPr>
            </w:pPr>
            <w:r>
              <w:rPr>
                <w:b/>
                <w:sz w:val="20"/>
              </w:rPr>
              <w:t>rdrugs</w:t>
            </w:r>
          </w:p>
        </w:tc>
        <w:tc>
          <w:tcPr>
            <w:tcW w:w="1596" w:type="dxa"/>
          </w:tcPr>
          <w:p w14:paraId="67EC8A43" w14:textId="77777777" w:rsidR="0046798B" w:rsidRDefault="00903B5C">
            <w:pPr>
              <w:pStyle w:val="TableParagraph"/>
              <w:spacing w:before="43"/>
              <w:ind w:left="114" w:right="107"/>
              <w:rPr>
                <w:sz w:val="20"/>
              </w:rPr>
            </w:pPr>
            <w:r>
              <w:rPr>
                <w:sz w:val="20"/>
              </w:rPr>
              <w:t>Arrests, 18 and over, for drug abuse violations,</w:t>
            </w:r>
          </w:p>
        </w:tc>
        <w:tc>
          <w:tcPr>
            <w:tcW w:w="1285" w:type="dxa"/>
          </w:tcPr>
          <w:p w14:paraId="7881208D" w14:textId="77777777" w:rsidR="0046798B" w:rsidRDefault="0046798B">
            <w:pPr>
              <w:pStyle w:val="TableParagraph"/>
              <w:spacing w:before="8"/>
              <w:rPr>
                <w:sz w:val="23"/>
              </w:rPr>
            </w:pPr>
          </w:p>
          <w:p w14:paraId="0CCAB6DD" w14:textId="77777777" w:rsidR="0046798B" w:rsidRDefault="00903B5C">
            <w:pPr>
              <w:pStyle w:val="TableParagraph"/>
              <w:spacing w:before="1"/>
              <w:ind w:left="114"/>
              <w:rPr>
                <w:sz w:val="20"/>
              </w:rPr>
            </w:pPr>
            <w:r>
              <w:rPr>
                <w:sz w:val="20"/>
              </w:rPr>
              <w:t>2000–2016</w:t>
            </w:r>
          </w:p>
        </w:tc>
        <w:tc>
          <w:tcPr>
            <w:tcW w:w="3421" w:type="dxa"/>
          </w:tcPr>
          <w:p w14:paraId="57D5F6A7" w14:textId="77777777" w:rsidR="0046798B" w:rsidRDefault="00903B5C">
            <w:pPr>
              <w:pStyle w:val="TableParagraph"/>
              <w:spacing w:before="158"/>
              <w:ind w:left="114" w:right="400"/>
              <w:rPr>
                <w:sz w:val="20"/>
              </w:rPr>
            </w:pPr>
            <w:r>
              <w:rPr>
                <w:sz w:val="20"/>
              </w:rPr>
              <w:t>Arrests, 18 and over, for drug abuse violations, divided by population</w:t>
            </w:r>
          </w:p>
        </w:tc>
        <w:tc>
          <w:tcPr>
            <w:tcW w:w="6482" w:type="dxa"/>
          </w:tcPr>
          <w:p w14:paraId="4664519D"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21D11511" w14:textId="77777777" w:rsidR="0046798B" w:rsidRDefault="0046798B">
      <w:pPr>
        <w:rPr>
          <w:sz w:val="20"/>
        </w:rPr>
        <w:sectPr w:rsidR="0046798B">
          <w:pgSz w:w="15840" w:h="12240" w:orient="landscape"/>
          <w:pgMar w:top="1220" w:right="300" w:bottom="980" w:left="820" w:header="730" w:footer="787" w:gutter="0"/>
          <w:cols w:space="720"/>
        </w:sectPr>
      </w:pPr>
    </w:p>
    <w:p w14:paraId="6D21E7D8"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5A76661E" w14:textId="77777777">
        <w:trPr>
          <w:trHeight w:val="542"/>
        </w:trPr>
        <w:tc>
          <w:tcPr>
            <w:tcW w:w="1711" w:type="dxa"/>
            <w:tcBorders>
              <w:bottom w:val="dotted" w:sz="6" w:space="0" w:color="BEBEBE"/>
            </w:tcBorders>
          </w:tcPr>
          <w:p w14:paraId="48C82BED" w14:textId="77777777" w:rsidR="0046798B" w:rsidRDefault="0046798B">
            <w:pPr>
              <w:pStyle w:val="TableParagraph"/>
              <w:rPr>
                <w:sz w:val="20"/>
              </w:rPr>
            </w:pPr>
          </w:p>
        </w:tc>
        <w:tc>
          <w:tcPr>
            <w:tcW w:w="1596" w:type="dxa"/>
            <w:tcBorders>
              <w:bottom w:val="dotted" w:sz="6" w:space="0" w:color="BEBEBE"/>
            </w:tcBorders>
          </w:tcPr>
          <w:p w14:paraId="4249F0A6" w14:textId="77777777" w:rsidR="0046798B" w:rsidRDefault="00903B5C">
            <w:pPr>
              <w:pStyle w:val="TableParagraph"/>
              <w:spacing w:before="43"/>
              <w:ind w:left="114" w:right="596"/>
              <w:rPr>
                <w:sz w:val="20"/>
              </w:rPr>
            </w:pPr>
            <w:r>
              <w:rPr>
                <w:sz w:val="20"/>
              </w:rPr>
              <w:t>divided by population</w:t>
            </w:r>
          </w:p>
        </w:tc>
        <w:tc>
          <w:tcPr>
            <w:tcW w:w="1285" w:type="dxa"/>
            <w:tcBorders>
              <w:bottom w:val="dotted" w:sz="6" w:space="0" w:color="BEBEBE"/>
            </w:tcBorders>
          </w:tcPr>
          <w:p w14:paraId="29A1EA12" w14:textId="77777777" w:rsidR="0046798B" w:rsidRDefault="0046798B">
            <w:pPr>
              <w:pStyle w:val="TableParagraph"/>
              <w:rPr>
                <w:sz w:val="20"/>
              </w:rPr>
            </w:pPr>
          </w:p>
        </w:tc>
        <w:tc>
          <w:tcPr>
            <w:tcW w:w="3421" w:type="dxa"/>
            <w:tcBorders>
              <w:bottom w:val="dotted" w:sz="6" w:space="0" w:color="BEBEBE"/>
            </w:tcBorders>
          </w:tcPr>
          <w:p w14:paraId="439D7F3E" w14:textId="77777777" w:rsidR="0046798B" w:rsidRDefault="0046798B">
            <w:pPr>
              <w:pStyle w:val="TableParagraph"/>
              <w:rPr>
                <w:sz w:val="20"/>
              </w:rPr>
            </w:pPr>
          </w:p>
        </w:tc>
        <w:tc>
          <w:tcPr>
            <w:tcW w:w="6482" w:type="dxa"/>
            <w:tcBorders>
              <w:bottom w:val="dotted" w:sz="6" w:space="0" w:color="BEBEBE"/>
            </w:tcBorders>
          </w:tcPr>
          <w:p w14:paraId="0C274B0A" w14:textId="77777777" w:rsidR="0046798B" w:rsidRDefault="0046798B">
            <w:pPr>
              <w:pStyle w:val="TableParagraph"/>
              <w:rPr>
                <w:sz w:val="20"/>
              </w:rPr>
            </w:pPr>
          </w:p>
        </w:tc>
      </w:tr>
      <w:tr w:rsidR="0046798B" w14:paraId="607DE999" w14:textId="77777777">
        <w:trPr>
          <w:trHeight w:val="1463"/>
        </w:trPr>
        <w:tc>
          <w:tcPr>
            <w:tcW w:w="1711" w:type="dxa"/>
            <w:tcBorders>
              <w:top w:val="dotted" w:sz="6" w:space="0" w:color="BEBEBE"/>
            </w:tcBorders>
          </w:tcPr>
          <w:p w14:paraId="0B38828A" w14:textId="77777777" w:rsidR="0046798B" w:rsidRDefault="0046798B">
            <w:pPr>
              <w:pStyle w:val="TableParagraph"/>
            </w:pPr>
          </w:p>
          <w:p w14:paraId="11F4A25B" w14:textId="77777777" w:rsidR="0046798B" w:rsidRDefault="0046798B">
            <w:pPr>
              <w:pStyle w:val="TableParagraph"/>
              <w:spacing w:before="6"/>
              <w:rPr>
                <w:sz w:val="31"/>
              </w:rPr>
            </w:pPr>
          </w:p>
          <w:p w14:paraId="710535B4" w14:textId="77777777" w:rsidR="0046798B" w:rsidRDefault="00903B5C">
            <w:pPr>
              <w:pStyle w:val="TableParagraph"/>
              <w:ind w:left="115"/>
              <w:rPr>
                <w:b/>
                <w:sz w:val="20"/>
              </w:rPr>
            </w:pPr>
            <w:r>
              <w:rPr>
                <w:b/>
                <w:sz w:val="20"/>
              </w:rPr>
              <w:t>rdrugsa</w:t>
            </w:r>
          </w:p>
        </w:tc>
        <w:tc>
          <w:tcPr>
            <w:tcW w:w="1596" w:type="dxa"/>
            <w:tcBorders>
              <w:top w:val="dotted" w:sz="6" w:space="0" w:color="BEBEBE"/>
            </w:tcBorders>
          </w:tcPr>
          <w:p w14:paraId="6FEA2084" w14:textId="77777777" w:rsidR="0046798B" w:rsidRDefault="00903B5C">
            <w:pPr>
              <w:pStyle w:val="TableParagraph"/>
              <w:spacing w:before="40"/>
              <w:ind w:left="114" w:right="107"/>
              <w:rPr>
                <w:sz w:val="20"/>
              </w:rPr>
            </w:pPr>
            <w:r>
              <w:rPr>
                <w:sz w:val="20"/>
              </w:rPr>
              <w:t>Arrests, 18 and over, for drug abuse violations, divided by all arrests, 18 and over</w:t>
            </w:r>
          </w:p>
        </w:tc>
        <w:tc>
          <w:tcPr>
            <w:tcW w:w="1285" w:type="dxa"/>
            <w:tcBorders>
              <w:top w:val="dotted" w:sz="6" w:space="0" w:color="BEBEBE"/>
            </w:tcBorders>
          </w:tcPr>
          <w:p w14:paraId="03EE57FA" w14:textId="77777777" w:rsidR="0046798B" w:rsidRDefault="0046798B">
            <w:pPr>
              <w:pStyle w:val="TableParagraph"/>
            </w:pPr>
          </w:p>
          <w:p w14:paraId="69B1B436" w14:textId="77777777" w:rsidR="0046798B" w:rsidRDefault="0046798B">
            <w:pPr>
              <w:pStyle w:val="TableParagraph"/>
              <w:spacing w:before="6"/>
              <w:rPr>
                <w:sz w:val="31"/>
              </w:rPr>
            </w:pPr>
          </w:p>
          <w:p w14:paraId="615B63C4" w14:textId="77777777" w:rsidR="0046798B" w:rsidRDefault="00903B5C">
            <w:pPr>
              <w:pStyle w:val="TableParagraph"/>
              <w:ind w:left="114"/>
              <w:rPr>
                <w:sz w:val="20"/>
              </w:rPr>
            </w:pPr>
            <w:r>
              <w:rPr>
                <w:sz w:val="20"/>
              </w:rPr>
              <w:t>2000–2016</w:t>
            </w:r>
          </w:p>
        </w:tc>
        <w:tc>
          <w:tcPr>
            <w:tcW w:w="3421" w:type="dxa"/>
            <w:tcBorders>
              <w:top w:val="dotted" w:sz="6" w:space="0" w:color="BEBEBE"/>
            </w:tcBorders>
          </w:tcPr>
          <w:p w14:paraId="0A0F427A" w14:textId="77777777" w:rsidR="0046798B" w:rsidRDefault="0046798B">
            <w:pPr>
              <w:pStyle w:val="TableParagraph"/>
            </w:pPr>
          </w:p>
          <w:p w14:paraId="067607DC" w14:textId="77777777" w:rsidR="0046798B" w:rsidRDefault="00903B5C">
            <w:pPr>
              <w:pStyle w:val="TableParagraph"/>
              <w:spacing w:before="133"/>
              <w:ind w:left="114" w:right="417"/>
              <w:jc w:val="both"/>
              <w:rPr>
                <w:sz w:val="20"/>
              </w:rPr>
            </w:pPr>
            <w:r>
              <w:rPr>
                <w:sz w:val="20"/>
              </w:rPr>
              <w:t>Arrests, 18 and over, for drug abuse violations, divided by all arrests, 18 and over</w:t>
            </w:r>
          </w:p>
        </w:tc>
        <w:tc>
          <w:tcPr>
            <w:tcW w:w="6482" w:type="dxa"/>
            <w:tcBorders>
              <w:top w:val="dotted" w:sz="6" w:space="0" w:color="BEBEBE"/>
            </w:tcBorders>
          </w:tcPr>
          <w:p w14:paraId="7918259C" w14:textId="77777777" w:rsidR="0046798B" w:rsidRDefault="0046798B">
            <w:pPr>
              <w:pStyle w:val="TableParagraph"/>
            </w:pPr>
          </w:p>
          <w:p w14:paraId="2E67D5B2" w14:textId="77777777" w:rsidR="0046798B" w:rsidRDefault="00903B5C">
            <w:pPr>
              <w:pStyle w:val="TableParagraph"/>
              <w:spacing w:before="13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5FB7FC7" w14:textId="77777777">
        <w:trPr>
          <w:trHeight w:val="1240"/>
        </w:trPr>
        <w:tc>
          <w:tcPr>
            <w:tcW w:w="1711" w:type="dxa"/>
          </w:tcPr>
          <w:p w14:paraId="59778DEA" w14:textId="77777777" w:rsidR="0046798B" w:rsidRDefault="0046798B">
            <w:pPr>
              <w:pStyle w:val="TableParagraph"/>
            </w:pPr>
          </w:p>
          <w:p w14:paraId="5A8C2319" w14:textId="77777777" w:rsidR="0046798B" w:rsidRDefault="0046798B">
            <w:pPr>
              <w:pStyle w:val="TableParagraph"/>
              <w:spacing w:before="8"/>
              <w:rPr>
                <w:sz w:val="21"/>
              </w:rPr>
            </w:pPr>
          </w:p>
          <w:p w14:paraId="4D2B4ECC" w14:textId="77777777" w:rsidR="0046798B" w:rsidRDefault="00903B5C">
            <w:pPr>
              <w:pStyle w:val="TableParagraph"/>
              <w:spacing w:before="1"/>
              <w:ind w:left="115"/>
              <w:rPr>
                <w:b/>
                <w:sz w:val="20"/>
              </w:rPr>
            </w:pPr>
            <w:r>
              <w:rPr>
                <w:b/>
                <w:sz w:val="20"/>
              </w:rPr>
              <w:t>rescsrc</w:t>
            </w:r>
          </w:p>
        </w:tc>
        <w:tc>
          <w:tcPr>
            <w:tcW w:w="1596" w:type="dxa"/>
          </w:tcPr>
          <w:p w14:paraId="117AC459" w14:textId="77777777" w:rsidR="0046798B" w:rsidRDefault="00903B5C">
            <w:pPr>
              <w:pStyle w:val="TableParagraph"/>
              <w:spacing w:before="43"/>
              <w:ind w:left="114"/>
              <w:rPr>
                <w:sz w:val="20"/>
              </w:rPr>
            </w:pPr>
            <w:r>
              <w:rPr>
                <w:sz w:val="20"/>
              </w:rPr>
              <w:t>Relative prevalence of “escort” search term on Google, 2004–2015</w:t>
            </w:r>
          </w:p>
        </w:tc>
        <w:tc>
          <w:tcPr>
            <w:tcW w:w="1285" w:type="dxa"/>
          </w:tcPr>
          <w:p w14:paraId="2DCB54D0" w14:textId="77777777" w:rsidR="0046798B" w:rsidRDefault="0046798B">
            <w:pPr>
              <w:pStyle w:val="TableParagraph"/>
            </w:pPr>
          </w:p>
          <w:p w14:paraId="6C81782A" w14:textId="77777777" w:rsidR="0046798B" w:rsidRDefault="0046798B">
            <w:pPr>
              <w:pStyle w:val="TableParagraph"/>
              <w:spacing w:before="8"/>
              <w:rPr>
                <w:sz w:val="21"/>
              </w:rPr>
            </w:pPr>
          </w:p>
          <w:p w14:paraId="3DEBE3D6" w14:textId="77777777" w:rsidR="0046798B" w:rsidRDefault="00903B5C">
            <w:pPr>
              <w:pStyle w:val="TableParagraph"/>
              <w:spacing w:before="1"/>
              <w:ind w:left="114"/>
              <w:rPr>
                <w:sz w:val="20"/>
              </w:rPr>
            </w:pPr>
            <w:r>
              <w:rPr>
                <w:sz w:val="20"/>
              </w:rPr>
              <w:t>2004–2016</w:t>
            </w:r>
          </w:p>
        </w:tc>
        <w:tc>
          <w:tcPr>
            <w:tcW w:w="3421" w:type="dxa"/>
          </w:tcPr>
          <w:p w14:paraId="1D9056E5" w14:textId="77777777" w:rsidR="0046798B" w:rsidRDefault="0046798B">
            <w:pPr>
              <w:pStyle w:val="TableParagraph"/>
            </w:pPr>
          </w:p>
          <w:p w14:paraId="456253FA" w14:textId="77777777" w:rsidR="0046798B" w:rsidRDefault="00903B5C">
            <w:pPr>
              <w:pStyle w:val="TableParagraph"/>
              <w:spacing w:before="135"/>
              <w:ind w:left="114" w:right="212"/>
              <w:rPr>
                <w:sz w:val="20"/>
              </w:rPr>
            </w:pPr>
            <w:r>
              <w:rPr>
                <w:sz w:val="20"/>
              </w:rPr>
              <w:t>Relative prevalence of “escort” search term on Google, 2004–2015</w:t>
            </w:r>
          </w:p>
        </w:tc>
        <w:tc>
          <w:tcPr>
            <w:tcW w:w="6482" w:type="dxa"/>
          </w:tcPr>
          <w:p w14:paraId="683C6DEB" w14:textId="77777777" w:rsidR="0046798B" w:rsidRDefault="0046798B">
            <w:pPr>
              <w:pStyle w:val="TableParagraph"/>
              <w:spacing w:before="8"/>
              <w:rPr>
                <w:sz w:val="23"/>
              </w:rPr>
            </w:pPr>
          </w:p>
          <w:p w14:paraId="7151B0E0"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F6B930A" w14:textId="77777777">
        <w:trPr>
          <w:trHeight w:val="1235"/>
        </w:trPr>
        <w:tc>
          <w:tcPr>
            <w:tcW w:w="1711" w:type="dxa"/>
          </w:tcPr>
          <w:p w14:paraId="7C61DF9D" w14:textId="77777777" w:rsidR="0046798B" w:rsidRDefault="0046798B">
            <w:pPr>
              <w:pStyle w:val="TableParagraph"/>
            </w:pPr>
          </w:p>
          <w:p w14:paraId="51CC8092" w14:textId="77777777" w:rsidR="0046798B" w:rsidRDefault="0046798B">
            <w:pPr>
              <w:pStyle w:val="TableParagraph"/>
              <w:spacing w:before="3"/>
              <w:rPr>
                <w:sz w:val="21"/>
              </w:rPr>
            </w:pPr>
          </w:p>
          <w:p w14:paraId="2D6D48AB" w14:textId="77777777" w:rsidR="0046798B" w:rsidRDefault="00903B5C">
            <w:pPr>
              <w:pStyle w:val="TableParagraph"/>
              <w:spacing w:before="1"/>
              <w:ind w:left="115"/>
              <w:rPr>
                <w:b/>
                <w:sz w:val="20"/>
              </w:rPr>
            </w:pPr>
            <w:r>
              <w:rPr>
                <w:b/>
                <w:sz w:val="20"/>
              </w:rPr>
              <w:t>rgamb</w:t>
            </w:r>
          </w:p>
        </w:tc>
        <w:tc>
          <w:tcPr>
            <w:tcW w:w="1596" w:type="dxa"/>
          </w:tcPr>
          <w:p w14:paraId="5489839D" w14:textId="77777777" w:rsidR="0046798B" w:rsidRDefault="00903B5C">
            <w:pPr>
              <w:pStyle w:val="TableParagraph"/>
              <w:spacing w:before="38"/>
              <w:ind w:left="114" w:right="235"/>
              <w:rPr>
                <w:sz w:val="20"/>
              </w:rPr>
            </w:pPr>
            <w:r>
              <w:rPr>
                <w:sz w:val="20"/>
              </w:rPr>
              <w:t>Arrests, 18 and over, for gambling, divided by population</w:t>
            </w:r>
          </w:p>
        </w:tc>
        <w:tc>
          <w:tcPr>
            <w:tcW w:w="1285" w:type="dxa"/>
          </w:tcPr>
          <w:p w14:paraId="3A8B006B" w14:textId="77777777" w:rsidR="0046798B" w:rsidRDefault="0046798B">
            <w:pPr>
              <w:pStyle w:val="TableParagraph"/>
            </w:pPr>
          </w:p>
          <w:p w14:paraId="019BCF4F" w14:textId="77777777" w:rsidR="0046798B" w:rsidRDefault="0046798B">
            <w:pPr>
              <w:pStyle w:val="TableParagraph"/>
              <w:spacing w:before="3"/>
              <w:rPr>
                <w:sz w:val="21"/>
              </w:rPr>
            </w:pPr>
          </w:p>
          <w:p w14:paraId="516CB349" w14:textId="77777777" w:rsidR="0046798B" w:rsidRDefault="00903B5C">
            <w:pPr>
              <w:pStyle w:val="TableParagraph"/>
              <w:spacing w:before="1"/>
              <w:ind w:left="114"/>
              <w:rPr>
                <w:sz w:val="20"/>
              </w:rPr>
            </w:pPr>
            <w:r>
              <w:rPr>
                <w:sz w:val="20"/>
              </w:rPr>
              <w:t>2000–2016</w:t>
            </w:r>
          </w:p>
        </w:tc>
        <w:tc>
          <w:tcPr>
            <w:tcW w:w="3421" w:type="dxa"/>
          </w:tcPr>
          <w:p w14:paraId="5226CA17" w14:textId="77777777" w:rsidR="0046798B" w:rsidRDefault="0046798B">
            <w:pPr>
              <w:pStyle w:val="TableParagraph"/>
            </w:pPr>
          </w:p>
          <w:p w14:paraId="3523C01A" w14:textId="77777777" w:rsidR="0046798B" w:rsidRDefault="00903B5C">
            <w:pPr>
              <w:pStyle w:val="TableParagraph"/>
              <w:spacing w:before="130"/>
              <w:ind w:left="114" w:right="466"/>
              <w:rPr>
                <w:sz w:val="20"/>
              </w:rPr>
            </w:pPr>
            <w:r>
              <w:rPr>
                <w:sz w:val="20"/>
              </w:rPr>
              <w:t>Arrests, 18 and over, for gambling, divided by population</w:t>
            </w:r>
          </w:p>
        </w:tc>
        <w:tc>
          <w:tcPr>
            <w:tcW w:w="6482" w:type="dxa"/>
          </w:tcPr>
          <w:p w14:paraId="378D86EE" w14:textId="77777777" w:rsidR="0046798B" w:rsidRDefault="0046798B">
            <w:pPr>
              <w:pStyle w:val="TableParagraph"/>
              <w:spacing w:before="3"/>
              <w:rPr>
                <w:sz w:val="23"/>
              </w:rPr>
            </w:pPr>
          </w:p>
          <w:p w14:paraId="4B7E1800" w14:textId="77777777" w:rsidR="0046798B" w:rsidRDefault="00903B5C">
            <w:pPr>
              <w:pStyle w:val="TableParagraph"/>
              <w:spacing w:before="1"/>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93A781B" w14:textId="77777777">
        <w:trPr>
          <w:trHeight w:val="1465"/>
        </w:trPr>
        <w:tc>
          <w:tcPr>
            <w:tcW w:w="1711" w:type="dxa"/>
          </w:tcPr>
          <w:p w14:paraId="1CF4B4B6" w14:textId="77777777" w:rsidR="0046798B" w:rsidRDefault="0046798B">
            <w:pPr>
              <w:pStyle w:val="TableParagraph"/>
            </w:pPr>
          </w:p>
          <w:p w14:paraId="72C567EE" w14:textId="77777777" w:rsidR="0046798B" w:rsidRDefault="0046798B">
            <w:pPr>
              <w:pStyle w:val="TableParagraph"/>
              <w:spacing w:before="4"/>
              <w:rPr>
                <w:sz w:val="31"/>
              </w:rPr>
            </w:pPr>
          </w:p>
          <w:p w14:paraId="1A31100C" w14:textId="77777777" w:rsidR="0046798B" w:rsidRDefault="00903B5C">
            <w:pPr>
              <w:pStyle w:val="TableParagraph"/>
              <w:ind w:left="115"/>
              <w:rPr>
                <w:b/>
                <w:sz w:val="20"/>
              </w:rPr>
            </w:pPr>
            <w:r>
              <w:rPr>
                <w:b/>
                <w:sz w:val="20"/>
              </w:rPr>
              <w:t>rgamba</w:t>
            </w:r>
          </w:p>
        </w:tc>
        <w:tc>
          <w:tcPr>
            <w:tcW w:w="1596" w:type="dxa"/>
          </w:tcPr>
          <w:p w14:paraId="67415621" w14:textId="77777777" w:rsidR="0046798B" w:rsidRDefault="00903B5C">
            <w:pPr>
              <w:pStyle w:val="TableParagraph"/>
              <w:spacing w:before="38"/>
              <w:ind w:left="114" w:right="235"/>
              <w:rPr>
                <w:sz w:val="20"/>
              </w:rPr>
            </w:pPr>
            <w:r>
              <w:rPr>
                <w:sz w:val="20"/>
              </w:rPr>
              <w:t>Arrests, 18 and over, for gambling, divided by arrests, 18 and over</w:t>
            </w:r>
          </w:p>
        </w:tc>
        <w:tc>
          <w:tcPr>
            <w:tcW w:w="1285" w:type="dxa"/>
          </w:tcPr>
          <w:p w14:paraId="50920B8D" w14:textId="77777777" w:rsidR="0046798B" w:rsidRDefault="0046798B">
            <w:pPr>
              <w:pStyle w:val="TableParagraph"/>
            </w:pPr>
          </w:p>
          <w:p w14:paraId="0DD1F8B7" w14:textId="77777777" w:rsidR="0046798B" w:rsidRDefault="0046798B">
            <w:pPr>
              <w:pStyle w:val="TableParagraph"/>
              <w:spacing w:before="4"/>
              <w:rPr>
                <w:sz w:val="31"/>
              </w:rPr>
            </w:pPr>
          </w:p>
          <w:p w14:paraId="4B3F4BD0" w14:textId="77777777" w:rsidR="0046798B" w:rsidRDefault="00903B5C">
            <w:pPr>
              <w:pStyle w:val="TableParagraph"/>
              <w:ind w:left="114"/>
              <w:rPr>
                <w:sz w:val="20"/>
              </w:rPr>
            </w:pPr>
            <w:r>
              <w:rPr>
                <w:sz w:val="20"/>
              </w:rPr>
              <w:t>2000–2016</w:t>
            </w:r>
          </w:p>
        </w:tc>
        <w:tc>
          <w:tcPr>
            <w:tcW w:w="3421" w:type="dxa"/>
          </w:tcPr>
          <w:p w14:paraId="564C4167" w14:textId="77777777" w:rsidR="0046798B" w:rsidRDefault="0046798B">
            <w:pPr>
              <w:pStyle w:val="TableParagraph"/>
            </w:pPr>
          </w:p>
          <w:p w14:paraId="4675FA43" w14:textId="77777777" w:rsidR="0046798B" w:rsidRDefault="0046798B">
            <w:pPr>
              <w:pStyle w:val="TableParagraph"/>
              <w:spacing w:before="3"/>
              <w:rPr>
                <w:sz w:val="21"/>
              </w:rPr>
            </w:pPr>
          </w:p>
          <w:p w14:paraId="370EC11F" w14:textId="77777777" w:rsidR="0046798B" w:rsidRDefault="00903B5C">
            <w:pPr>
              <w:pStyle w:val="TableParagraph"/>
              <w:spacing w:before="1"/>
              <w:ind w:left="114" w:right="466"/>
              <w:rPr>
                <w:sz w:val="20"/>
              </w:rPr>
            </w:pPr>
            <w:r>
              <w:rPr>
                <w:sz w:val="20"/>
              </w:rPr>
              <w:t>Arrests, 18 and over, for gambling, divided by arrests, 18 and over</w:t>
            </w:r>
          </w:p>
        </w:tc>
        <w:tc>
          <w:tcPr>
            <w:tcW w:w="6482" w:type="dxa"/>
          </w:tcPr>
          <w:p w14:paraId="4C138180" w14:textId="77777777" w:rsidR="0046798B" w:rsidRDefault="0046798B">
            <w:pPr>
              <w:pStyle w:val="TableParagraph"/>
            </w:pPr>
          </w:p>
          <w:p w14:paraId="235BF108" w14:textId="77777777" w:rsidR="0046798B" w:rsidRDefault="00903B5C">
            <w:pPr>
              <w:pStyle w:val="TableParagraph"/>
              <w:spacing w:before="130"/>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1B7380D" w14:textId="77777777">
        <w:trPr>
          <w:trHeight w:val="2155"/>
        </w:trPr>
        <w:tc>
          <w:tcPr>
            <w:tcW w:w="1711" w:type="dxa"/>
          </w:tcPr>
          <w:p w14:paraId="731E6020" w14:textId="77777777" w:rsidR="0046798B" w:rsidRDefault="0046798B">
            <w:pPr>
              <w:pStyle w:val="TableParagraph"/>
            </w:pPr>
          </w:p>
          <w:p w14:paraId="6F5A8DEE" w14:textId="77777777" w:rsidR="0046798B" w:rsidRDefault="0046798B">
            <w:pPr>
              <w:pStyle w:val="TableParagraph"/>
            </w:pPr>
          </w:p>
          <w:p w14:paraId="0003C94B" w14:textId="77777777" w:rsidR="0046798B" w:rsidRDefault="0046798B">
            <w:pPr>
              <w:pStyle w:val="TableParagraph"/>
            </w:pPr>
          </w:p>
          <w:p w14:paraId="2C4DF007" w14:textId="77777777" w:rsidR="0046798B" w:rsidRDefault="0046798B">
            <w:pPr>
              <w:pStyle w:val="TableParagraph"/>
              <w:spacing w:before="4"/>
              <w:rPr>
                <w:sz w:val="17"/>
              </w:rPr>
            </w:pPr>
          </w:p>
          <w:p w14:paraId="44FE15B6" w14:textId="77777777" w:rsidR="0046798B" w:rsidRDefault="00903B5C">
            <w:pPr>
              <w:pStyle w:val="TableParagraph"/>
              <w:ind w:left="115"/>
              <w:rPr>
                <w:b/>
                <w:sz w:val="20"/>
              </w:rPr>
            </w:pPr>
            <w:r>
              <w:rPr>
                <w:b/>
                <w:sz w:val="20"/>
              </w:rPr>
              <w:t>rincarc</w:t>
            </w:r>
          </w:p>
        </w:tc>
        <w:tc>
          <w:tcPr>
            <w:tcW w:w="1596" w:type="dxa"/>
          </w:tcPr>
          <w:p w14:paraId="6293AE43" w14:textId="77777777" w:rsidR="0046798B" w:rsidRDefault="00903B5C">
            <w:pPr>
              <w:pStyle w:val="TableParagraph"/>
              <w:spacing w:before="38"/>
              <w:ind w:left="114" w:right="97"/>
              <w:rPr>
                <w:sz w:val="20"/>
              </w:rPr>
            </w:pPr>
            <w:r>
              <w:rPr>
                <w:sz w:val="20"/>
              </w:rPr>
              <w:t>Imprisonment rates of sentenced prisoners under jurisdiction of state and federal correctional authorities, year- end</w:t>
            </w:r>
          </w:p>
        </w:tc>
        <w:tc>
          <w:tcPr>
            <w:tcW w:w="1285" w:type="dxa"/>
          </w:tcPr>
          <w:p w14:paraId="569118E7" w14:textId="77777777" w:rsidR="0046798B" w:rsidRDefault="0046798B">
            <w:pPr>
              <w:pStyle w:val="TableParagraph"/>
            </w:pPr>
          </w:p>
          <w:p w14:paraId="17754A96" w14:textId="77777777" w:rsidR="0046798B" w:rsidRDefault="0046798B">
            <w:pPr>
              <w:pStyle w:val="TableParagraph"/>
            </w:pPr>
          </w:p>
          <w:p w14:paraId="09BB08DA" w14:textId="77777777" w:rsidR="0046798B" w:rsidRDefault="0046798B">
            <w:pPr>
              <w:pStyle w:val="TableParagraph"/>
            </w:pPr>
          </w:p>
          <w:p w14:paraId="674F5B0D" w14:textId="77777777" w:rsidR="0046798B" w:rsidRDefault="0046798B">
            <w:pPr>
              <w:pStyle w:val="TableParagraph"/>
              <w:spacing w:before="4"/>
              <w:rPr>
                <w:sz w:val="17"/>
              </w:rPr>
            </w:pPr>
          </w:p>
          <w:p w14:paraId="6A64E2FA" w14:textId="77777777" w:rsidR="0046798B" w:rsidRDefault="00903B5C">
            <w:pPr>
              <w:pStyle w:val="TableParagraph"/>
              <w:ind w:left="114"/>
              <w:rPr>
                <w:sz w:val="20"/>
              </w:rPr>
            </w:pPr>
            <w:r>
              <w:rPr>
                <w:sz w:val="20"/>
              </w:rPr>
              <w:t>2000–2015</w:t>
            </w:r>
          </w:p>
        </w:tc>
        <w:tc>
          <w:tcPr>
            <w:tcW w:w="3421" w:type="dxa"/>
          </w:tcPr>
          <w:p w14:paraId="3B64882F" w14:textId="77777777" w:rsidR="0046798B" w:rsidRDefault="0046798B">
            <w:pPr>
              <w:pStyle w:val="TableParagraph"/>
            </w:pPr>
          </w:p>
          <w:p w14:paraId="1AC9341D" w14:textId="77777777" w:rsidR="0046798B" w:rsidRDefault="0046798B">
            <w:pPr>
              <w:pStyle w:val="TableParagraph"/>
              <w:spacing w:before="4"/>
              <w:rPr>
                <w:sz w:val="21"/>
              </w:rPr>
            </w:pPr>
          </w:p>
          <w:p w14:paraId="33E1097D" w14:textId="77777777" w:rsidR="0046798B" w:rsidRDefault="00903B5C">
            <w:pPr>
              <w:pStyle w:val="TableParagraph"/>
              <w:ind w:left="114" w:right="105"/>
              <w:rPr>
                <w:sz w:val="20"/>
              </w:rPr>
            </w:pPr>
            <w:r>
              <w:rPr>
                <w:sz w:val="20"/>
              </w:rPr>
              <w:t>Imprisonment rates of sentenced prisoners under jurisdiction of state and federal correctional authorities, year- end (over 1-year sentence, per 100,000 residents)</w:t>
            </w:r>
          </w:p>
        </w:tc>
        <w:tc>
          <w:tcPr>
            <w:tcW w:w="6482" w:type="dxa"/>
          </w:tcPr>
          <w:p w14:paraId="5B35C8CA" w14:textId="77777777" w:rsidR="0046798B" w:rsidRDefault="0046798B">
            <w:pPr>
              <w:pStyle w:val="TableParagraph"/>
            </w:pPr>
          </w:p>
          <w:p w14:paraId="3964D90E" w14:textId="77777777" w:rsidR="0046798B" w:rsidRDefault="0046798B">
            <w:pPr>
              <w:pStyle w:val="TableParagraph"/>
            </w:pPr>
          </w:p>
          <w:p w14:paraId="6CE7C899" w14:textId="77777777" w:rsidR="0046798B" w:rsidRDefault="0046798B">
            <w:pPr>
              <w:pStyle w:val="TableParagraph"/>
              <w:spacing w:before="4"/>
              <w:rPr>
                <w:sz w:val="19"/>
              </w:rPr>
            </w:pPr>
          </w:p>
          <w:p w14:paraId="13077F9C"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35D48E6" w14:textId="77777777">
        <w:trPr>
          <w:trHeight w:val="1005"/>
        </w:trPr>
        <w:tc>
          <w:tcPr>
            <w:tcW w:w="1711" w:type="dxa"/>
          </w:tcPr>
          <w:p w14:paraId="0CEDFCEE" w14:textId="77777777" w:rsidR="0046798B" w:rsidRDefault="0046798B">
            <w:pPr>
              <w:pStyle w:val="TableParagraph"/>
            </w:pPr>
          </w:p>
          <w:p w14:paraId="210CDE66" w14:textId="77777777" w:rsidR="0046798B" w:rsidRDefault="00903B5C">
            <w:pPr>
              <w:pStyle w:val="TableParagraph"/>
              <w:spacing w:before="135"/>
              <w:ind w:left="115"/>
              <w:rPr>
                <w:b/>
                <w:sz w:val="20"/>
              </w:rPr>
            </w:pPr>
            <w:r>
              <w:rPr>
                <w:b/>
                <w:sz w:val="20"/>
              </w:rPr>
              <w:t>rincarcr</w:t>
            </w:r>
          </w:p>
        </w:tc>
        <w:tc>
          <w:tcPr>
            <w:tcW w:w="1596" w:type="dxa"/>
          </w:tcPr>
          <w:p w14:paraId="05BCC1C8" w14:textId="77777777" w:rsidR="0046798B" w:rsidRDefault="00903B5C">
            <w:pPr>
              <w:pStyle w:val="TableParagraph"/>
              <w:spacing w:before="43"/>
              <w:ind w:left="114" w:right="124"/>
              <w:rPr>
                <w:sz w:val="20"/>
              </w:rPr>
            </w:pPr>
            <w:r>
              <w:rPr>
                <w:sz w:val="20"/>
              </w:rPr>
              <w:t>Residuals of OLS regression of ln(rincarc) on ln(rviol),</w:t>
            </w:r>
          </w:p>
        </w:tc>
        <w:tc>
          <w:tcPr>
            <w:tcW w:w="1285" w:type="dxa"/>
          </w:tcPr>
          <w:p w14:paraId="3562B726" w14:textId="77777777" w:rsidR="0046798B" w:rsidRDefault="0046798B">
            <w:pPr>
              <w:pStyle w:val="TableParagraph"/>
            </w:pPr>
          </w:p>
          <w:p w14:paraId="27190E10" w14:textId="77777777" w:rsidR="0046798B" w:rsidRDefault="00903B5C">
            <w:pPr>
              <w:pStyle w:val="TableParagraph"/>
              <w:spacing w:before="135"/>
              <w:ind w:left="114"/>
              <w:rPr>
                <w:sz w:val="20"/>
              </w:rPr>
            </w:pPr>
            <w:r>
              <w:rPr>
                <w:sz w:val="20"/>
              </w:rPr>
              <w:t>2000–2015</w:t>
            </w:r>
          </w:p>
        </w:tc>
        <w:tc>
          <w:tcPr>
            <w:tcW w:w="3421" w:type="dxa"/>
          </w:tcPr>
          <w:p w14:paraId="073D4CD0" w14:textId="77777777" w:rsidR="0046798B" w:rsidRDefault="00903B5C">
            <w:pPr>
              <w:pStyle w:val="TableParagraph"/>
              <w:spacing w:before="158"/>
              <w:ind w:left="114"/>
              <w:rPr>
                <w:sz w:val="20"/>
              </w:rPr>
            </w:pPr>
            <w:r>
              <w:rPr>
                <w:sz w:val="20"/>
              </w:rPr>
              <w:t>Residuals of OLS regression of ln(rincarc) on ln(rviol), ln(rprop) with unit and year fixed effects, calculated</w:t>
            </w:r>
          </w:p>
        </w:tc>
        <w:tc>
          <w:tcPr>
            <w:tcW w:w="6482" w:type="dxa"/>
          </w:tcPr>
          <w:p w14:paraId="55B88899" w14:textId="77777777" w:rsidR="0046798B" w:rsidRDefault="00903B5C">
            <w:pPr>
              <w:pStyle w:val="TableParagraph"/>
              <w:spacing w:before="158"/>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4CC267EF" w14:textId="77777777" w:rsidR="0046798B" w:rsidRDefault="0046798B">
      <w:pPr>
        <w:rPr>
          <w:sz w:val="20"/>
        </w:rPr>
        <w:sectPr w:rsidR="0046798B">
          <w:pgSz w:w="15840" w:h="12240" w:orient="landscape"/>
          <w:pgMar w:top="1220" w:right="300" w:bottom="980" w:left="820" w:header="730" w:footer="787" w:gutter="0"/>
          <w:cols w:space="720"/>
        </w:sectPr>
      </w:pPr>
    </w:p>
    <w:p w14:paraId="591A277F"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3795EA9C" w14:textId="77777777">
        <w:trPr>
          <w:trHeight w:val="775"/>
        </w:trPr>
        <w:tc>
          <w:tcPr>
            <w:tcW w:w="1711" w:type="dxa"/>
          </w:tcPr>
          <w:p w14:paraId="5B6A0DA6" w14:textId="77777777" w:rsidR="0046798B" w:rsidRDefault="0046798B">
            <w:pPr>
              <w:pStyle w:val="TableParagraph"/>
              <w:rPr>
                <w:sz w:val="20"/>
              </w:rPr>
            </w:pPr>
          </w:p>
        </w:tc>
        <w:tc>
          <w:tcPr>
            <w:tcW w:w="1596" w:type="dxa"/>
          </w:tcPr>
          <w:p w14:paraId="0E9A8355" w14:textId="77777777" w:rsidR="0046798B" w:rsidRDefault="00903B5C">
            <w:pPr>
              <w:pStyle w:val="TableParagraph"/>
              <w:spacing w:before="43"/>
              <w:ind w:left="114" w:right="324"/>
              <w:rPr>
                <w:sz w:val="20"/>
              </w:rPr>
            </w:pPr>
            <w:r>
              <w:rPr>
                <w:sz w:val="20"/>
              </w:rPr>
              <w:t>ln(rprop) with unit and year fixed effects</w:t>
            </w:r>
          </w:p>
        </w:tc>
        <w:tc>
          <w:tcPr>
            <w:tcW w:w="1285" w:type="dxa"/>
          </w:tcPr>
          <w:p w14:paraId="58AD082D" w14:textId="77777777" w:rsidR="0046798B" w:rsidRDefault="0046798B">
            <w:pPr>
              <w:pStyle w:val="TableParagraph"/>
              <w:rPr>
                <w:sz w:val="20"/>
              </w:rPr>
            </w:pPr>
          </w:p>
        </w:tc>
        <w:tc>
          <w:tcPr>
            <w:tcW w:w="3421" w:type="dxa"/>
          </w:tcPr>
          <w:p w14:paraId="011F9E50" w14:textId="77777777" w:rsidR="0046798B" w:rsidRDefault="00903B5C">
            <w:pPr>
              <w:pStyle w:val="TableParagraph"/>
              <w:spacing w:before="43"/>
              <w:ind w:left="114" w:right="722"/>
              <w:rPr>
                <w:sz w:val="20"/>
              </w:rPr>
            </w:pPr>
            <w:r>
              <w:rPr>
                <w:sz w:val="20"/>
              </w:rPr>
              <w:t>with Stata 15—fixed effects not included in predicted values</w:t>
            </w:r>
          </w:p>
        </w:tc>
        <w:tc>
          <w:tcPr>
            <w:tcW w:w="6482" w:type="dxa"/>
          </w:tcPr>
          <w:p w14:paraId="35090F1F" w14:textId="77777777" w:rsidR="0046798B" w:rsidRDefault="0046798B">
            <w:pPr>
              <w:pStyle w:val="TableParagraph"/>
              <w:rPr>
                <w:sz w:val="20"/>
              </w:rPr>
            </w:pPr>
          </w:p>
        </w:tc>
      </w:tr>
      <w:tr w:rsidR="0046798B" w14:paraId="140CA5E7" w14:textId="77777777">
        <w:trPr>
          <w:trHeight w:val="1235"/>
        </w:trPr>
        <w:tc>
          <w:tcPr>
            <w:tcW w:w="1711" w:type="dxa"/>
          </w:tcPr>
          <w:p w14:paraId="0D56398E" w14:textId="77777777" w:rsidR="0046798B" w:rsidRDefault="0046798B">
            <w:pPr>
              <w:pStyle w:val="TableParagraph"/>
            </w:pPr>
          </w:p>
          <w:p w14:paraId="3FEAB455" w14:textId="77777777" w:rsidR="0046798B" w:rsidRDefault="0046798B">
            <w:pPr>
              <w:pStyle w:val="TableParagraph"/>
              <w:spacing w:before="8"/>
              <w:rPr>
                <w:sz w:val="21"/>
              </w:rPr>
            </w:pPr>
          </w:p>
          <w:p w14:paraId="2A15001D" w14:textId="77777777" w:rsidR="0046798B" w:rsidRDefault="00903B5C">
            <w:pPr>
              <w:pStyle w:val="TableParagraph"/>
              <w:spacing w:before="1"/>
              <w:ind w:left="115"/>
              <w:rPr>
                <w:b/>
                <w:sz w:val="20"/>
              </w:rPr>
            </w:pPr>
            <w:r>
              <w:rPr>
                <w:b/>
                <w:sz w:val="20"/>
              </w:rPr>
              <w:t>rliquor</w:t>
            </w:r>
          </w:p>
        </w:tc>
        <w:tc>
          <w:tcPr>
            <w:tcW w:w="1596" w:type="dxa"/>
          </w:tcPr>
          <w:p w14:paraId="02B22D35" w14:textId="77777777" w:rsidR="0046798B" w:rsidRDefault="00903B5C">
            <w:pPr>
              <w:pStyle w:val="TableParagraph"/>
              <w:spacing w:before="43"/>
              <w:ind w:left="114" w:right="235"/>
              <w:rPr>
                <w:sz w:val="20"/>
              </w:rPr>
            </w:pPr>
            <w:r>
              <w:rPr>
                <w:sz w:val="20"/>
              </w:rPr>
              <w:t>Arrests, 18 and over, for liquor law violations, divided by population</w:t>
            </w:r>
          </w:p>
        </w:tc>
        <w:tc>
          <w:tcPr>
            <w:tcW w:w="1285" w:type="dxa"/>
          </w:tcPr>
          <w:p w14:paraId="087D0779" w14:textId="77777777" w:rsidR="0046798B" w:rsidRDefault="0046798B">
            <w:pPr>
              <w:pStyle w:val="TableParagraph"/>
            </w:pPr>
          </w:p>
          <w:p w14:paraId="3F946FCC" w14:textId="77777777" w:rsidR="0046798B" w:rsidRDefault="0046798B">
            <w:pPr>
              <w:pStyle w:val="TableParagraph"/>
              <w:spacing w:before="8"/>
              <w:rPr>
                <w:sz w:val="21"/>
              </w:rPr>
            </w:pPr>
          </w:p>
          <w:p w14:paraId="3C91B07A" w14:textId="77777777" w:rsidR="0046798B" w:rsidRDefault="00903B5C">
            <w:pPr>
              <w:pStyle w:val="TableParagraph"/>
              <w:spacing w:before="1"/>
              <w:ind w:left="114"/>
              <w:rPr>
                <w:sz w:val="20"/>
              </w:rPr>
            </w:pPr>
            <w:r>
              <w:rPr>
                <w:sz w:val="20"/>
              </w:rPr>
              <w:t>2000–2016</w:t>
            </w:r>
          </w:p>
        </w:tc>
        <w:tc>
          <w:tcPr>
            <w:tcW w:w="3421" w:type="dxa"/>
          </w:tcPr>
          <w:p w14:paraId="3C2C1EE6" w14:textId="77777777" w:rsidR="0046798B" w:rsidRDefault="0046798B">
            <w:pPr>
              <w:pStyle w:val="TableParagraph"/>
            </w:pPr>
          </w:p>
          <w:p w14:paraId="03AA2A96" w14:textId="77777777" w:rsidR="0046798B" w:rsidRDefault="00903B5C">
            <w:pPr>
              <w:pStyle w:val="TableParagraph"/>
              <w:spacing w:before="135"/>
              <w:ind w:left="114" w:right="455"/>
              <w:rPr>
                <w:sz w:val="20"/>
              </w:rPr>
            </w:pPr>
            <w:r>
              <w:rPr>
                <w:sz w:val="20"/>
              </w:rPr>
              <w:t>Arrests, 18 and over, for liquor law violations, divided by population</w:t>
            </w:r>
          </w:p>
        </w:tc>
        <w:tc>
          <w:tcPr>
            <w:tcW w:w="6482" w:type="dxa"/>
          </w:tcPr>
          <w:p w14:paraId="3230657B" w14:textId="77777777" w:rsidR="0046798B" w:rsidRDefault="0046798B">
            <w:pPr>
              <w:pStyle w:val="TableParagraph"/>
              <w:spacing w:before="8"/>
              <w:rPr>
                <w:sz w:val="23"/>
              </w:rPr>
            </w:pPr>
          </w:p>
          <w:p w14:paraId="05B1E0E0"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105384D" w14:textId="77777777">
        <w:trPr>
          <w:trHeight w:val="1470"/>
        </w:trPr>
        <w:tc>
          <w:tcPr>
            <w:tcW w:w="1711" w:type="dxa"/>
          </w:tcPr>
          <w:p w14:paraId="44454F0F" w14:textId="77777777" w:rsidR="0046798B" w:rsidRDefault="0046798B">
            <w:pPr>
              <w:pStyle w:val="TableParagraph"/>
            </w:pPr>
          </w:p>
          <w:p w14:paraId="31F6B882" w14:textId="77777777" w:rsidR="0046798B" w:rsidRDefault="0046798B">
            <w:pPr>
              <w:pStyle w:val="TableParagraph"/>
              <w:spacing w:before="9"/>
              <w:rPr>
                <w:sz w:val="31"/>
              </w:rPr>
            </w:pPr>
          </w:p>
          <w:p w14:paraId="611126B2" w14:textId="77777777" w:rsidR="0046798B" w:rsidRDefault="00903B5C">
            <w:pPr>
              <w:pStyle w:val="TableParagraph"/>
              <w:ind w:left="115"/>
              <w:rPr>
                <w:b/>
                <w:sz w:val="20"/>
              </w:rPr>
            </w:pPr>
            <w:r>
              <w:rPr>
                <w:b/>
                <w:sz w:val="20"/>
              </w:rPr>
              <w:t>rliquora</w:t>
            </w:r>
          </w:p>
        </w:tc>
        <w:tc>
          <w:tcPr>
            <w:tcW w:w="1596" w:type="dxa"/>
          </w:tcPr>
          <w:p w14:paraId="6A0661D7" w14:textId="77777777" w:rsidR="0046798B" w:rsidRDefault="00903B5C">
            <w:pPr>
              <w:pStyle w:val="TableParagraph"/>
              <w:spacing w:before="43"/>
              <w:ind w:left="114" w:right="235"/>
              <w:rPr>
                <w:sz w:val="20"/>
              </w:rPr>
            </w:pPr>
            <w:r>
              <w:rPr>
                <w:sz w:val="20"/>
              </w:rPr>
              <w:t>Arrests, 18 and over, for liquor law violations, divided by arrests, 18 and over</w:t>
            </w:r>
          </w:p>
        </w:tc>
        <w:tc>
          <w:tcPr>
            <w:tcW w:w="1285" w:type="dxa"/>
          </w:tcPr>
          <w:p w14:paraId="11E45385" w14:textId="77777777" w:rsidR="0046798B" w:rsidRDefault="0046798B">
            <w:pPr>
              <w:pStyle w:val="TableParagraph"/>
            </w:pPr>
          </w:p>
          <w:p w14:paraId="7F64C3B2" w14:textId="77777777" w:rsidR="0046798B" w:rsidRDefault="0046798B">
            <w:pPr>
              <w:pStyle w:val="TableParagraph"/>
              <w:spacing w:before="9"/>
              <w:rPr>
                <w:sz w:val="31"/>
              </w:rPr>
            </w:pPr>
          </w:p>
          <w:p w14:paraId="57B46E36" w14:textId="77777777" w:rsidR="0046798B" w:rsidRDefault="00903B5C">
            <w:pPr>
              <w:pStyle w:val="TableParagraph"/>
              <w:ind w:left="114"/>
              <w:rPr>
                <w:sz w:val="20"/>
              </w:rPr>
            </w:pPr>
            <w:r>
              <w:rPr>
                <w:sz w:val="20"/>
              </w:rPr>
              <w:t>2000–2016</w:t>
            </w:r>
          </w:p>
        </w:tc>
        <w:tc>
          <w:tcPr>
            <w:tcW w:w="3421" w:type="dxa"/>
          </w:tcPr>
          <w:p w14:paraId="3FF4F2D8" w14:textId="77777777" w:rsidR="0046798B" w:rsidRDefault="0046798B">
            <w:pPr>
              <w:pStyle w:val="TableParagraph"/>
            </w:pPr>
          </w:p>
          <w:p w14:paraId="33153185" w14:textId="77777777" w:rsidR="0046798B" w:rsidRDefault="00903B5C">
            <w:pPr>
              <w:pStyle w:val="TableParagraph"/>
              <w:spacing w:before="135"/>
              <w:ind w:left="114" w:right="327"/>
              <w:rPr>
                <w:sz w:val="20"/>
              </w:rPr>
            </w:pPr>
            <w:r>
              <w:rPr>
                <w:sz w:val="20"/>
              </w:rPr>
              <w:t>Arrests, 18 and over, for liquor law violations, divided by arrests, 18 and over</w:t>
            </w:r>
          </w:p>
        </w:tc>
        <w:tc>
          <w:tcPr>
            <w:tcW w:w="6482" w:type="dxa"/>
          </w:tcPr>
          <w:p w14:paraId="4F19881E" w14:textId="77777777" w:rsidR="0046798B" w:rsidRDefault="0046798B">
            <w:pPr>
              <w:pStyle w:val="TableParagraph"/>
            </w:pPr>
          </w:p>
          <w:p w14:paraId="2187C7B5" w14:textId="77777777" w:rsidR="0046798B" w:rsidRDefault="00903B5C">
            <w:pPr>
              <w:pStyle w:val="TableParagraph"/>
              <w:spacing w:before="135"/>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36EDDD4" w14:textId="77777777">
        <w:trPr>
          <w:trHeight w:val="1465"/>
        </w:trPr>
        <w:tc>
          <w:tcPr>
            <w:tcW w:w="1711" w:type="dxa"/>
          </w:tcPr>
          <w:p w14:paraId="704DE219" w14:textId="77777777" w:rsidR="0046798B" w:rsidRDefault="0046798B">
            <w:pPr>
              <w:pStyle w:val="TableParagraph"/>
            </w:pPr>
          </w:p>
          <w:p w14:paraId="76E7CA4C" w14:textId="77777777" w:rsidR="0046798B" w:rsidRDefault="0046798B">
            <w:pPr>
              <w:pStyle w:val="TableParagraph"/>
              <w:spacing w:before="4"/>
              <w:rPr>
                <w:sz w:val="31"/>
              </w:rPr>
            </w:pPr>
          </w:p>
          <w:p w14:paraId="3548B122" w14:textId="77777777" w:rsidR="0046798B" w:rsidRDefault="00903B5C">
            <w:pPr>
              <w:pStyle w:val="TableParagraph"/>
              <w:ind w:left="115"/>
              <w:rPr>
                <w:b/>
                <w:sz w:val="20"/>
              </w:rPr>
            </w:pPr>
            <w:r>
              <w:rPr>
                <w:b/>
                <w:sz w:val="20"/>
              </w:rPr>
              <w:t>rloit</w:t>
            </w:r>
          </w:p>
        </w:tc>
        <w:tc>
          <w:tcPr>
            <w:tcW w:w="1596" w:type="dxa"/>
          </w:tcPr>
          <w:p w14:paraId="40C03201" w14:textId="77777777" w:rsidR="0046798B" w:rsidRDefault="00903B5C">
            <w:pPr>
              <w:pStyle w:val="TableParagraph"/>
              <w:spacing w:before="38"/>
              <w:ind w:left="114" w:right="119"/>
              <w:rPr>
                <w:sz w:val="20"/>
              </w:rPr>
            </w:pPr>
            <w:r>
              <w:rPr>
                <w:sz w:val="20"/>
              </w:rPr>
              <w:t>Arrests, all ages, for curfew and loitering law violations, divided by population</w:t>
            </w:r>
          </w:p>
        </w:tc>
        <w:tc>
          <w:tcPr>
            <w:tcW w:w="1285" w:type="dxa"/>
          </w:tcPr>
          <w:p w14:paraId="284B233C" w14:textId="77777777" w:rsidR="0046798B" w:rsidRDefault="0046798B">
            <w:pPr>
              <w:pStyle w:val="TableParagraph"/>
            </w:pPr>
          </w:p>
          <w:p w14:paraId="65938A96" w14:textId="77777777" w:rsidR="0046798B" w:rsidRDefault="0046798B">
            <w:pPr>
              <w:pStyle w:val="TableParagraph"/>
              <w:spacing w:before="4"/>
              <w:rPr>
                <w:sz w:val="31"/>
              </w:rPr>
            </w:pPr>
          </w:p>
          <w:p w14:paraId="68389BDE" w14:textId="77777777" w:rsidR="0046798B" w:rsidRDefault="00903B5C">
            <w:pPr>
              <w:pStyle w:val="TableParagraph"/>
              <w:ind w:left="114"/>
              <w:rPr>
                <w:sz w:val="20"/>
              </w:rPr>
            </w:pPr>
            <w:r>
              <w:rPr>
                <w:sz w:val="20"/>
              </w:rPr>
              <w:t>2000–2016</w:t>
            </w:r>
          </w:p>
        </w:tc>
        <w:tc>
          <w:tcPr>
            <w:tcW w:w="3421" w:type="dxa"/>
          </w:tcPr>
          <w:p w14:paraId="5EC08BC2" w14:textId="77777777" w:rsidR="0046798B" w:rsidRDefault="0046798B">
            <w:pPr>
              <w:pStyle w:val="TableParagraph"/>
            </w:pPr>
          </w:p>
          <w:p w14:paraId="1BBE71D6" w14:textId="77777777" w:rsidR="0046798B" w:rsidRDefault="00903B5C">
            <w:pPr>
              <w:pStyle w:val="TableParagraph"/>
              <w:spacing w:before="130"/>
              <w:ind w:left="114" w:right="471"/>
              <w:rPr>
                <w:sz w:val="20"/>
              </w:rPr>
            </w:pPr>
            <w:r>
              <w:rPr>
                <w:sz w:val="20"/>
              </w:rPr>
              <w:t>Arrests, all ages, for curfew and loitering law violations, divided by population</w:t>
            </w:r>
          </w:p>
        </w:tc>
        <w:tc>
          <w:tcPr>
            <w:tcW w:w="6482" w:type="dxa"/>
          </w:tcPr>
          <w:p w14:paraId="7421E8D8" w14:textId="77777777" w:rsidR="0046798B" w:rsidRDefault="0046798B">
            <w:pPr>
              <w:pStyle w:val="TableParagraph"/>
            </w:pPr>
          </w:p>
          <w:p w14:paraId="53EE98F5" w14:textId="77777777" w:rsidR="0046798B" w:rsidRDefault="00903B5C">
            <w:pPr>
              <w:pStyle w:val="TableParagraph"/>
              <w:spacing w:before="130"/>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0DDB375" w14:textId="77777777">
        <w:trPr>
          <w:trHeight w:val="1696"/>
        </w:trPr>
        <w:tc>
          <w:tcPr>
            <w:tcW w:w="1711" w:type="dxa"/>
          </w:tcPr>
          <w:p w14:paraId="4F40B3EE" w14:textId="77777777" w:rsidR="0046798B" w:rsidRDefault="0046798B">
            <w:pPr>
              <w:pStyle w:val="TableParagraph"/>
            </w:pPr>
          </w:p>
          <w:p w14:paraId="004387DC" w14:textId="77777777" w:rsidR="0046798B" w:rsidRDefault="0046798B">
            <w:pPr>
              <w:pStyle w:val="TableParagraph"/>
            </w:pPr>
          </w:p>
          <w:p w14:paraId="39BFA098" w14:textId="77777777" w:rsidR="0046798B" w:rsidRDefault="0046798B">
            <w:pPr>
              <w:pStyle w:val="TableParagraph"/>
              <w:spacing w:before="4"/>
              <w:rPr>
                <w:sz w:val="19"/>
              </w:rPr>
            </w:pPr>
          </w:p>
          <w:p w14:paraId="0780BE5E" w14:textId="77777777" w:rsidR="0046798B" w:rsidRDefault="00903B5C">
            <w:pPr>
              <w:pStyle w:val="TableParagraph"/>
              <w:ind w:left="115"/>
              <w:rPr>
                <w:b/>
                <w:sz w:val="20"/>
              </w:rPr>
            </w:pPr>
            <w:r>
              <w:rPr>
                <w:b/>
                <w:sz w:val="20"/>
              </w:rPr>
              <w:t>rloita</w:t>
            </w:r>
          </w:p>
        </w:tc>
        <w:tc>
          <w:tcPr>
            <w:tcW w:w="1596" w:type="dxa"/>
          </w:tcPr>
          <w:p w14:paraId="7113C129" w14:textId="77777777" w:rsidR="0046798B" w:rsidRDefault="00903B5C">
            <w:pPr>
              <w:pStyle w:val="TableParagraph"/>
              <w:spacing w:before="38"/>
              <w:ind w:left="114" w:right="119"/>
              <w:rPr>
                <w:sz w:val="20"/>
              </w:rPr>
            </w:pPr>
            <w:r>
              <w:rPr>
                <w:sz w:val="20"/>
              </w:rPr>
              <w:t>Arrests, all ages, for curfew and loitering law violations, divided by arrests, 18 and over</w:t>
            </w:r>
          </w:p>
        </w:tc>
        <w:tc>
          <w:tcPr>
            <w:tcW w:w="1285" w:type="dxa"/>
          </w:tcPr>
          <w:p w14:paraId="1DE637C2" w14:textId="77777777" w:rsidR="0046798B" w:rsidRDefault="0046798B">
            <w:pPr>
              <w:pStyle w:val="TableParagraph"/>
            </w:pPr>
          </w:p>
          <w:p w14:paraId="23F5DCAE" w14:textId="77777777" w:rsidR="0046798B" w:rsidRDefault="0046798B">
            <w:pPr>
              <w:pStyle w:val="TableParagraph"/>
            </w:pPr>
          </w:p>
          <w:p w14:paraId="2A1FB277" w14:textId="77777777" w:rsidR="0046798B" w:rsidRDefault="0046798B">
            <w:pPr>
              <w:pStyle w:val="TableParagraph"/>
              <w:spacing w:before="4"/>
              <w:rPr>
                <w:sz w:val="19"/>
              </w:rPr>
            </w:pPr>
          </w:p>
          <w:p w14:paraId="1D0E3C00" w14:textId="77777777" w:rsidR="0046798B" w:rsidRDefault="00903B5C">
            <w:pPr>
              <w:pStyle w:val="TableParagraph"/>
              <w:ind w:left="114"/>
              <w:rPr>
                <w:sz w:val="20"/>
              </w:rPr>
            </w:pPr>
            <w:r>
              <w:rPr>
                <w:sz w:val="20"/>
              </w:rPr>
              <w:t>2000–2016</w:t>
            </w:r>
          </w:p>
        </w:tc>
        <w:tc>
          <w:tcPr>
            <w:tcW w:w="3421" w:type="dxa"/>
          </w:tcPr>
          <w:p w14:paraId="46208B64" w14:textId="77777777" w:rsidR="0046798B" w:rsidRDefault="0046798B">
            <w:pPr>
              <w:pStyle w:val="TableParagraph"/>
            </w:pPr>
          </w:p>
          <w:p w14:paraId="6990486D" w14:textId="77777777" w:rsidR="0046798B" w:rsidRDefault="0046798B">
            <w:pPr>
              <w:pStyle w:val="TableParagraph"/>
              <w:spacing w:before="4"/>
              <w:rPr>
                <w:sz w:val="21"/>
              </w:rPr>
            </w:pPr>
          </w:p>
          <w:p w14:paraId="5F377A47" w14:textId="77777777" w:rsidR="0046798B" w:rsidRDefault="00903B5C">
            <w:pPr>
              <w:pStyle w:val="TableParagraph"/>
              <w:ind w:left="114" w:right="471"/>
              <w:rPr>
                <w:sz w:val="20"/>
              </w:rPr>
            </w:pPr>
            <w:r>
              <w:rPr>
                <w:sz w:val="20"/>
              </w:rPr>
              <w:t>Arrests, all ages, for curfew and loitering law violations, divided by arrests, 18 and over</w:t>
            </w:r>
          </w:p>
        </w:tc>
        <w:tc>
          <w:tcPr>
            <w:tcW w:w="6482" w:type="dxa"/>
          </w:tcPr>
          <w:p w14:paraId="6E5AD938" w14:textId="77777777" w:rsidR="0046798B" w:rsidRDefault="0046798B">
            <w:pPr>
              <w:pStyle w:val="TableParagraph"/>
            </w:pPr>
          </w:p>
          <w:p w14:paraId="2E4C3AF9" w14:textId="77777777" w:rsidR="0046798B" w:rsidRDefault="0046798B">
            <w:pPr>
              <w:pStyle w:val="TableParagraph"/>
              <w:spacing w:before="4"/>
              <w:rPr>
                <w:sz w:val="21"/>
              </w:rPr>
            </w:pPr>
          </w:p>
          <w:p w14:paraId="3D7F1F39"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35C43A1" w14:textId="77777777">
        <w:trPr>
          <w:trHeight w:val="1005"/>
        </w:trPr>
        <w:tc>
          <w:tcPr>
            <w:tcW w:w="1711" w:type="dxa"/>
          </w:tcPr>
          <w:p w14:paraId="643A82F7" w14:textId="77777777" w:rsidR="0046798B" w:rsidRDefault="0046798B">
            <w:pPr>
              <w:pStyle w:val="TableParagraph"/>
            </w:pPr>
          </w:p>
          <w:p w14:paraId="33BF3A6A" w14:textId="77777777" w:rsidR="0046798B" w:rsidRDefault="00903B5C">
            <w:pPr>
              <w:pStyle w:val="TableParagraph"/>
              <w:spacing w:before="130"/>
              <w:ind w:left="115"/>
              <w:rPr>
                <w:b/>
                <w:sz w:val="20"/>
              </w:rPr>
            </w:pPr>
            <w:r>
              <w:rPr>
                <w:b/>
                <w:sz w:val="20"/>
              </w:rPr>
              <w:t>rphone</w:t>
            </w:r>
          </w:p>
        </w:tc>
        <w:tc>
          <w:tcPr>
            <w:tcW w:w="1596" w:type="dxa"/>
          </w:tcPr>
          <w:p w14:paraId="4A30B193" w14:textId="77777777" w:rsidR="0046798B" w:rsidRDefault="00903B5C">
            <w:pPr>
              <w:pStyle w:val="TableParagraph"/>
              <w:spacing w:before="38"/>
              <w:ind w:left="114" w:right="218"/>
              <w:rPr>
                <w:sz w:val="20"/>
              </w:rPr>
            </w:pPr>
            <w:r>
              <w:rPr>
                <w:sz w:val="20"/>
              </w:rPr>
              <w:t>Prison collect phone call rate for 15 min. (in- state)</w:t>
            </w:r>
          </w:p>
        </w:tc>
        <w:tc>
          <w:tcPr>
            <w:tcW w:w="1285" w:type="dxa"/>
          </w:tcPr>
          <w:p w14:paraId="49192FAA" w14:textId="77777777" w:rsidR="0046798B" w:rsidRDefault="0046798B">
            <w:pPr>
              <w:pStyle w:val="TableParagraph"/>
            </w:pPr>
          </w:p>
          <w:p w14:paraId="66466FBC" w14:textId="77777777" w:rsidR="0046798B" w:rsidRDefault="00903B5C">
            <w:pPr>
              <w:pStyle w:val="TableParagraph"/>
              <w:spacing w:before="130"/>
              <w:ind w:left="114"/>
              <w:rPr>
                <w:sz w:val="20"/>
              </w:rPr>
            </w:pPr>
            <w:r>
              <w:rPr>
                <w:sz w:val="20"/>
              </w:rPr>
              <w:t>2014–2017</w:t>
            </w:r>
          </w:p>
        </w:tc>
        <w:tc>
          <w:tcPr>
            <w:tcW w:w="3421" w:type="dxa"/>
          </w:tcPr>
          <w:p w14:paraId="37397D7A" w14:textId="77777777" w:rsidR="0046798B" w:rsidRDefault="0046798B">
            <w:pPr>
              <w:pStyle w:val="TableParagraph"/>
              <w:spacing w:before="3"/>
              <w:rPr>
                <w:sz w:val="23"/>
              </w:rPr>
            </w:pPr>
          </w:p>
          <w:p w14:paraId="338F86AA" w14:textId="77777777" w:rsidR="0046798B" w:rsidRDefault="00903B5C">
            <w:pPr>
              <w:pStyle w:val="TableParagraph"/>
              <w:ind w:left="114" w:right="422"/>
              <w:rPr>
                <w:sz w:val="20"/>
              </w:rPr>
            </w:pPr>
            <w:r>
              <w:rPr>
                <w:sz w:val="20"/>
              </w:rPr>
              <w:t>Prison collect phone call rate for 15 min. (in-state)</w:t>
            </w:r>
          </w:p>
        </w:tc>
        <w:tc>
          <w:tcPr>
            <w:tcW w:w="6482" w:type="dxa"/>
          </w:tcPr>
          <w:p w14:paraId="242DFD54" w14:textId="77777777" w:rsidR="0046798B" w:rsidRDefault="00903B5C">
            <w:pPr>
              <w:pStyle w:val="TableParagraph"/>
              <w:spacing w:before="15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2ED4D29" w14:textId="77777777">
        <w:trPr>
          <w:trHeight w:val="775"/>
        </w:trPr>
        <w:tc>
          <w:tcPr>
            <w:tcW w:w="1711" w:type="dxa"/>
          </w:tcPr>
          <w:p w14:paraId="559B2F3C" w14:textId="77777777" w:rsidR="0046798B" w:rsidRDefault="0046798B">
            <w:pPr>
              <w:pStyle w:val="TableParagraph"/>
              <w:spacing w:before="9"/>
              <w:rPr>
                <w:sz w:val="23"/>
              </w:rPr>
            </w:pPr>
          </w:p>
          <w:p w14:paraId="3D6FF008" w14:textId="77777777" w:rsidR="0046798B" w:rsidRDefault="00903B5C">
            <w:pPr>
              <w:pStyle w:val="TableParagraph"/>
              <w:ind w:left="115"/>
              <w:rPr>
                <w:b/>
                <w:sz w:val="20"/>
              </w:rPr>
            </w:pPr>
            <w:r>
              <w:rPr>
                <w:b/>
                <w:sz w:val="20"/>
              </w:rPr>
              <w:t>rprenrat</w:t>
            </w:r>
          </w:p>
        </w:tc>
        <w:tc>
          <w:tcPr>
            <w:tcW w:w="1596" w:type="dxa"/>
          </w:tcPr>
          <w:p w14:paraId="0A583794" w14:textId="77777777" w:rsidR="0046798B" w:rsidRDefault="00903B5C">
            <w:pPr>
              <w:pStyle w:val="TableParagraph"/>
              <w:spacing w:before="158"/>
              <w:ind w:left="114" w:right="102"/>
              <w:rPr>
                <w:sz w:val="20"/>
              </w:rPr>
            </w:pPr>
            <w:r>
              <w:rPr>
                <w:sz w:val="20"/>
              </w:rPr>
              <w:t>Prostitution enforcement rate</w:t>
            </w:r>
          </w:p>
        </w:tc>
        <w:tc>
          <w:tcPr>
            <w:tcW w:w="1285" w:type="dxa"/>
          </w:tcPr>
          <w:p w14:paraId="7558E5FB" w14:textId="77777777" w:rsidR="0046798B" w:rsidRDefault="0046798B">
            <w:pPr>
              <w:pStyle w:val="TableParagraph"/>
              <w:spacing w:before="9"/>
              <w:rPr>
                <w:sz w:val="23"/>
              </w:rPr>
            </w:pPr>
          </w:p>
          <w:p w14:paraId="6E7BB761" w14:textId="77777777" w:rsidR="0046798B" w:rsidRDefault="00903B5C">
            <w:pPr>
              <w:pStyle w:val="TableParagraph"/>
              <w:ind w:left="114"/>
              <w:rPr>
                <w:sz w:val="20"/>
              </w:rPr>
            </w:pPr>
            <w:r>
              <w:rPr>
                <w:sz w:val="20"/>
              </w:rPr>
              <w:t>2004–2016</w:t>
            </w:r>
          </w:p>
        </w:tc>
        <w:tc>
          <w:tcPr>
            <w:tcW w:w="3421" w:type="dxa"/>
          </w:tcPr>
          <w:p w14:paraId="1B370558" w14:textId="77777777" w:rsidR="0046798B" w:rsidRDefault="00903B5C">
            <w:pPr>
              <w:pStyle w:val="TableParagraph"/>
              <w:spacing w:before="158"/>
              <w:ind w:left="114"/>
              <w:rPr>
                <w:sz w:val="20"/>
              </w:rPr>
            </w:pPr>
            <w:r>
              <w:rPr>
                <w:sz w:val="20"/>
              </w:rPr>
              <w:t>Prostitution enforcement rate (rprost * 100 / rescsrc)</w:t>
            </w:r>
          </w:p>
        </w:tc>
        <w:tc>
          <w:tcPr>
            <w:tcW w:w="6482" w:type="dxa"/>
          </w:tcPr>
          <w:p w14:paraId="28D4B33F"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6699502" w14:textId="77777777">
        <w:trPr>
          <w:trHeight w:val="775"/>
        </w:trPr>
        <w:tc>
          <w:tcPr>
            <w:tcW w:w="1711" w:type="dxa"/>
          </w:tcPr>
          <w:p w14:paraId="64B5C621" w14:textId="77777777" w:rsidR="0046798B" w:rsidRDefault="0046798B">
            <w:pPr>
              <w:pStyle w:val="TableParagraph"/>
              <w:spacing w:before="8"/>
              <w:rPr>
                <w:sz w:val="23"/>
              </w:rPr>
            </w:pPr>
          </w:p>
          <w:p w14:paraId="2C7ECE96" w14:textId="77777777" w:rsidR="0046798B" w:rsidRDefault="00903B5C">
            <w:pPr>
              <w:pStyle w:val="TableParagraph"/>
              <w:spacing w:before="1"/>
              <w:ind w:left="115"/>
              <w:rPr>
                <w:b/>
                <w:sz w:val="20"/>
              </w:rPr>
            </w:pPr>
            <w:r>
              <w:rPr>
                <w:b/>
                <w:sz w:val="20"/>
              </w:rPr>
              <w:t>rprop</w:t>
            </w:r>
          </w:p>
        </w:tc>
        <w:tc>
          <w:tcPr>
            <w:tcW w:w="1596" w:type="dxa"/>
          </w:tcPr>
          <w:p w14:paraId="17C81EDF" w14:textId="77777777" w:rsidR="0046798B" w:rsidRDefault="00903B5C">
            <w:pPr>
              <w:pStyle w:val="TableParagraph"/>
              <w:spacing w:before="43"/>
              <w:ind w:left="114" w:right="146"/>
              <w:rPr>
                <w:sz w:val="20"/>
              </w:rPr>
            </w:pPr>
            <w:r>
              <w:rPr>
                <w:sz w:val="20"/>
              </w:rPr>
              <w:t>Property crime rate per 100,000 residents</w:t>
            </w:r>
          </w:p>
        </w:tc>
        <w:tc>
          <w:tcPr>
            <w:tcW w:w="1285" w:type="dxa"/>
          </w:tcPr>
          <w:p w14:paraId="73550456" w14:textId="77777777" w:rsidR="0046798B" w:rsidRDefault="0046798B">
            <w:pPr>
              <w:pStyle w:val="TableParagraph"/>
              <w:spacing w:before="8"/>
              <w:rPr>
                <w:sz w:val="23"/>
              </w:rPr>
            </w:pPr>
          </w:p>
          <w:p w14:paraId="1F944158" w14:textId="77777777" w:rsidR="0046798B" w:rsidRDefault="00903B5C">
            <w:pPr>
              <w:pStyle w:val="TableParagraph"/>
              <w:spacing w:before="1"/>
              <w:ind w:left="114"/>
              <w:rPr>
                <w:sz w:val="20"/>
              </w:rPr>
            </w:pPr>
            <w:r>
              <w:rPr>
                <w:sz w:val="20"/>
              </w:rPr>
              <w:t>2000–2016</w:t>
            </w:r>
          </w:p>
        </w:tc>
        <w:tc>
          <w:tcPr>
            <w:tcW w:w="3421" w:type="dxa"/>
          </w:tcPr>
          <w:p w14:paraId="159B883D" w14:textId="77777777" w:rsidR="0046798B" w:rsidRDefault="00903B5C">
            <w:pPr>
              <w:pStyle w:val="TableParagraph"/>
              <w:spacing w:before="158"/>
              <w:ind w:left="114" w:right="205"/>
              <w:rPr>
                <w:sz w:val="20"/>
              </w:rPr>
            </w:pPr>
            <w:r>
              <w:rPr>
                <w:sz w:val="20"/>
              </w:rPr>
              <w:t>Property crime rate per 100,000 residents</w:t>
            </w:r>
          </w:p>
        </w:tc>
        <w:tc>
          <w:tcPr>
            <w:tcW w:w="6482" w:type="dxa"/>
          </w:tcPr>
          <w:p w14:paraId="0AC659A4"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4B8662EA" w14:textId="77777777" w:rsidR="0046798B" w:rsidRDefault="0046798B">
      <w:pPr>
        <w:rPr>
          <w:sz w:val="20"/>
        </w:rPr>
        <w:sectPr w:rsidR="0046798B">
          <w:pgSz w:w="15840" w:h="12240" w:orient="landscape"/>
          <w:pgMar w:top="1220" w:right="300" w:bottom="980" w:left="820" w:header="730" w:footer="787" w:gutter="0"/>
          <w:cols w:space="720"/>
        </w:sectPr>
      </w:pPr>
    </w:p>
    <w:p w14:paraId="7D8D8824"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0D7D4F5A" w14:textId="77777777">
        <w:trPr>
          <w:trHeight w:val="1696"/>
        </w:trPr>
        <w:tc>
          <w:tcPr>
            <w:tcW w:w="1711" w:type="dxa"/>
          </w:tcPr>
          <w:p w14:paraId="39ACC4D0" w14:textId="77777777" w:rsidR="0046798B" w:rsidRDefault="0046798B">
            <w:pPr>
              <w:pStyle w:val="TableParagraph"/>
            </w:pPr>
          </w:p>
          <w:p w14:paraId="34074398" w14:textId="77777777" w:rsidR="0046798B" w:rsidRDefault="0046798B">
            <w:pPr>
              <w:pStyle w:val="TableParagraph"/>
            </w:pPr>
          </w:p>
          <w:p w14:paraId="15B8E481" w14:textId="77777777" w:rsidR="0046798B" w:rsidRDefault="0046798B">
            <w:pPr>
              <w:pStyle w:val="TableParagraph"/>
              <w:spacing w:before="9"/>
              <w:rPr>
                <w:sz w:val="19"/>
              </w:rPr>
            </w:pPr>
          </w:p>
          <w:p w14:paraId="7122EADF" w14:textId="77777777" w:rsidR="0046798B" w:rsidRDefault="00903B5C">
            <w:pPr>
              <w:pStyle w:val="TableParagraph"/>
              <w:ind w:left="115"/>
              <w:rPr>
                <w:b/>
                <w:sz w:val="20"/>
              </w:rPr>
            </w:pPr>
            <w:r>
              <w:rPr>
                <w:b/>
                <w:sz w:val="20"/>
              </w:rPr>
              <w:t>rprost</w:t>
            </w:r>
          </w:p>
        </w:tc>
        <w:tc>
          <w:tcPr>
            <w:tcW w:w="1596" w:type="dxa"/>
          </w:tcPr>
          <w:p w14:paraId="63996E30" w14:textId="77777777" w:rsidR="0046798B" w:rsidRDefault="00903B5C">
            <w:pPr>
              <w:pStyle w:val="TableParagraph"/>
              <w:spacing w:before="43"/>
              <w:ind w:left="114" w:right="174"/>
              <w:rPr>
                <w:sz w:val="20"/>
              </w:rPr>
            </w:pPr>
            <w:r>
              <w:rPr>
                <w:sz w:val="20"/>
              </w:rPr>
              <w:t>Arrests, 18 and over, for prostitution and commercialized vice violations, divided by population</w:t>
            </w:r>
          </w:p>
        </w:tc>
        <w:tc>
          <w:tcPr>
            <w:tcW w:w="1285" w:type="dxa"/>
          </w:tcPr>
          <w:p w14:paraId="102506F9" w14:textId="77777777" w:rsidR="0046798B" w:rsidRDefault="0046798B">
            <w:pPr>
              <w:pStyle w:val="TableParagraph"/>
            </w:pPr>
          </w:p>
          <w:p w14:paraId="778948A2" w14:textId="77777777" w:rsidR="0046798B" w:rsidRDefault="0046798B">
            <w:pPr>
              <w:pStyle w:val="TableParagraph"/>
            </w:pPr>
          </w:p>
          <w:p w14:paraId="68B4684F" w14:textId="77777777" w:rsidR="0046798B" w:rsidRDefault="0046798B">
            <w:pPr>
              <w:pStyle w:val="TableParagraph"/>
              <w:spacing w:before="9"/>
              <w:rPr>
                <w:sz w:val="19"/>
              </w:rPr>
            </w:pPr>
          </w:p>
          <w:p w14:paraId="6C128978" w14:textId="77777777" w:rsidR="0046798B" w:rsidRDefault="00903B5C">
            <w:pPr>
              <w:pStyle w:val="TableParagraph"/>
              <w:ind w:left="114"/>
              <w:rPr>
                <w:sz w:val="20"/>
              </w:rPr>
            </w:pPr>
            <w:r>
              <w:rPr>
                <w:sz w:val="20"/>
              </w:rPr>
              <w:t>2000–2016</w:t>
            </w:r>
          </w:p>
        </w:tc>
        <w:tc>
          <w:tcPr>
            <w:tcW w:w="3421" w:type="dxa"/>
          </w:tcPr>
          <w:p w14:paraId="1E30BA94" w14:textId="77777777" w:rsidR="0046798B" w:rsidRDefault="0046798B">
            <w:pPr>
              <w:pStyle w:val="TableParagraph"/>
            </w:pPr>
          </w:p>
          <w:p w14:paraId="4E728E84" w14:textId="77777777" w:rsidR="0046798B" w:rsidRDefault="0046798B">
            <w:pPr>
              <w:pStyle w:val="TableParagraph"/>
              <w:spacing w:before="9"/>
              <w:rPr>
                <w:sz w:val="21"/>
              </w:rPr>
            </w:pPr>
          </w:p>
          <w:p w14:paraId="1BD23420" w14:textId="77777777" w:rsidR="0046798B" w:rsidRDefault="00903B5C">
            <w:pPr>
              <w:pStyle w:val="TableParagraph"/>
              <w:ind w:left="114" w:right="371"/>
              <w:jc w:val="both"/>
              <w:rPr>
                <w:sz w:val="20"/>
              </w:rPr>
            </w:pPr>
            <w:r>
              <w:rPr>
                <w:sz w:val="20"/>
              </w:rPr>
              <w:t>Arrests, 18 and over, for</w:t>
            </w:r>
            <w:r>
              <w:rPr>
                <w:spacing w:val="-20"/>
                <w:sz w:val="20"/>
              </w:rPr>
              <w:t xml:space="preserve"> </w:t>
            </w:r>
            <w:r>
              <w:rPr>
                <w:sz w:val="20"/>
              </w:rPr>
              <w:t>prostitution and commercialized vice violations, divided by</w:t>
            </w:r>
            <w:r>
              <w:rPr>
                <w:spacing w:val="-1"/>
                <w:sz w:val="20"/>
              </w:rPr>
              <w:t xml:space="preserve"> </w:t>
            </w:r>
            <w:r>
              <w:rPr>
                <w:sz w:val="20"/>
              </w:rPr>
              <w:t>population</w:t>
            </w:r>
          </w:p>
        </w:tc>
        <w:tc>
          <w:tcPr>
            <w:tcW w:w="6482" w:type="dxa"/>
          </w:tcPr>
          <w:p w14:paraId="6A265EC1" w14:textId="77777777" w:rsidR="0046798B" w:rsidRDefault="0046798B">
            <w:pPr>
              <w:pStyle w:val="TableParagraph"/>
            </w:pPr>
          </w:p>
          <w:p w14:paraId="5D0DF59E" w14:textId="77777777" w:rsidR="0046798B" w:rsidRDefault="0046798B">
            <w:pPr>
              <w:pStyle w:val="TableParagraph"/>
              <w:spacing w:before="9"/>
              <w:rPr>
                <w:sz w:val="21"/>
              </w:rPr>
            </w:pPr>
          </w:p>
          <w:p w14:paraId="7B9490A0" w14:textId="77777777" w:rsidR="0046798B" w:rsidRDefault="00903B5C">
            <w:pPr>
              <w:pStyle w:val="TableParagraph"/>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6A54308" w14:textId="77777777">
        <w:trPr>
          <w:trHeight w:val="1925"/>
        </w:trPr>
        <w:tc>
          <w:tcPr>
            <w:tcW w:w="1711" w:type="dxa"/>
          </w:tcPr>
          <w:p w14:paraId="1B59E1AD" w14:textId="77777777" w:rsidR="0046798B" w:rsidRDefault="0046798B">
            <w:pPr>
              <w:pStyle w:val="TableParagraph"/>
            </w:pPr>
          </w:p>
          <w:p w14:paraId="6233633E" w14:textId="77777777" w:rsidR="0046798B" w:rsidRDefault="0046798B">
            <w:pPr>
              <w:pStyle w:val="TableParagraph"/>
            </w:pPr>
          </w:p>
          <w:p w14:paraId="6873209B" w14:textId="77777777" w:rsidR="0046798B" w:rsidRDefault="0046798B">
            <w:pPr>
              <w:pStyle w:val="TableParagraph"/>
              <w:spacing w:before="8"/>
              <w:rPr>
                <w:sz w:val="29"/>
              </w:rPr>
            </w:pPr>
          </w:p>
          <w:p w14:paraId="23B6C768" w14:textId="77777777" w:rsidR="0046798B" w:rsidRDefault="00903B5C">
            <w:pPr>
              <w:pStyle w:val="TableParagraph"/>
              <w:spacing w:before="1"/>
              <w:ind w:left="115"/>
              <w:rPr>
                <w:b/>
                <w:sz w:val="20"/>
              </w:rPr>
            </w:pPr>
            <w:r>
              <w:rPr>
                <w:b/>
                <w:sz w:val="20"/>
              </w:rPr>
              <w:t>rprosta</w:t>
            </w:r>
          </w:p>
        </w:tc>
        <w:tc>
          <w:tcPr>
            <w:tcW w:w="1596" w:type="dxa"/>
          </w:tcPr>
          <w:p w14:paraId="360CA63E" w14:textId="77777777" w:rsidR="0046798B" w:rsidRDefault="00903B5C">
            <w:pPr>
              <w:pStyle w:val="TableParagraph"/>
              <w:spacing w:before="43"/>
              <w:ind w:left="114" w:right="174"/>
              <w:rPr>
                <w:sz w:val="20"/>
              </w:rPr>
            </w:pPr>
            <w:r>
              <w:rPr>
                <w:sz w:val="20"/>
              </w:rPr>
              <w:t>Arrests, 18 and over, for prostitution and commercialized vice violations, divided by all arrests, 18 and over</w:t>
            </w:r>
          </w:p>
        </w:tc>
        <w:tc>
          <w:tcPr>
            <w:tcW w:w="1285" w:type="dxa"/>
          </w:tcPr>
          <w:p w14:paraId="1E525A9D" w14:textId="77777777" w:rsidR="0046798B" w:rsidRDefault="0046798B">
            <w:pPr>
              <w:pStyle w:val="TableParagraph"/>
            </w:pPr>
          </w:p>
          <w:p w14:paraId="586AF474" w14:textId="77777777" w:rsidR="0046798B" w:rsidRDefault="0046798B">
            <w:pPr>
              <w:pStyle w:val="TableParagraph"/>
            </w:pPr>
          </w:p>
          <w:p w14:paraId="1A30E18E" w14:textId="77777777" w:rsidR="0046798B" w:rsidRDefault="0046798B">
            <w:pPr>
              <w:pStyle w:val="TableParagraph"/>
              <w:spacing w:before="8"/>
              <w:rPr>
                <w:sz w:val="29"/>
              </w:rPr>
            </w:pPr>
          </w:p>
          <w:p w14:paraId="6049CF23" w14:textId="77777777" w:rsidR="0046798B" w:rsidRDefault="00903B5C">
            <w:pPr>
              <w:pStyle w:val="TableParagraph"/>
              <w:spacing w:before="1"/>
              <w:ind w:left="114"/>
              <w:rPr>
                <w:sz w:val="20"/>
              </w:rPr>
            </w:pPr>
            <w:r>
              <w:rPr>
                <w:sz w:val="20"/>
              </w:rPr>
              <w:t>2000–2016</w:t>
            </w:r>
          </w:p>
        </w:tc>
        <w:tc>
          <w:tcPr>
            <w:tcW w:w="3421" w:type="dxa"/>
          </w:tcPr>
          <w:p w14:paraId="0A9C67A8" w14:textId="77777777" w:rsidR="0046798B" w:rsidRDefault="0046798B">
            <w:pPr>
              <w:pStyle w:val="TableParagraph"/>
            </w:pPr>
          </w:p>
          <w:p w14:paraId="2D4147C3" w14:textId="77777777" w:rsidR="0046798B" w:rsidRDefault="0046798B">
            <w:pPr>
              <w:pStyle w:val="TableParagraph"/>
              <w:spacing w:before="8"/>
              <w:rPr>
                <w:sz w:val="31"/>
              </w:rPr>
            </w:pPr>
          </w:p>
          <w:p w14:paraId="3C6AD25E" w14:textId="77777777" w:rsidR="0046798B" w:rsidRDefault="00903B5C">
            <w:pPr>
              <w:pStyle w:val="TableParagraph"/>
              <w:spacing w:before="1"/>
              <w:ind w:left="114" w:right="371"/>
              <w:jc w:val="both"/>
              <w:rPr>
                <w:sz w:val="20"/>
              </w:rPr>
            </w:pPr>
            <w:r>
              <w:rPr>
                <w:sz w:val="20"/>
              </w:rPr>
              <w:t>Arrests, 18 and over, for</w:t>
            </w:r>
            <w:r>
              <w:rPr>
                <w:spacing w:val="-20"/>
                <w:sz w:val="20"/>
              </w:rPr>
              <w:t xml:space="preserve"> </w:t>
            </w:r>
            <w:r>
              <w:rPr>
                <w:sz w:val="20"/>
              </w:rPr>
              <w:t>prostitution and commercialized vice violations, divided by all arrests, 18 and over</w:t>
            </w:r>
          </w:p>
        </w:tc>
        <w:tc>
          <w:tcPr>
            <w:tcW w:w="6482" w:type="dxa"/>
          </w:tcPr>
          <w:p w14:paraId="69152169" w14:textId="77777777" w:rsidR="0046798B" w:rsidRDefault="0046798B">
            <w:pPr>
              <w:pStyle w:val="TableParagraph"/>
            </w:pPr>
          </w:p>
          <w:p w14:paraId="6AAF9B00" w14:textId="77777777" w:rsidR="0046798B" w:rsidRDefault="0046798B">
            <w:pPr>
              <w:pStyle w:val="TableParagraph"/>
              <w:spacing w:before="8"/>
              <w:rPr>
                <w:sz w:val="31"/>
              </w:rPr>
            </w:pPr>
          </w:p>
          <w:p w14:paraId="6DDA3161"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B9422E6" w14:textId="77777777">
        <w:trPr>
          <w:trHeight w:val="1010"/>
        </w:trPr>
        <w:tc>
          <w:tcPr>
            <w:tcW w:w="1711" w:type="dxa"/>
          </w:tcPr>
          <w:p w14:paraId="6D098037" w14:textId="77777777" w:rsidR="0046798B" w:rsidRDefault="0046798B">
            <w:pPr>
              <w:pStyle w:val="TableParagraph"/>
            </w:pPr>
          </w:p>
          <w:p w14:paraId="2088B6EB" w14:textId="77777777" w:rsidR="0046798B" w:rsidRDefault="00903B5C">
            <w:pPr>
              <w:pStyle w:val="TableParagraph"/>
              <w:spacing w:before="135"/>
              <w:ind w:left="115"/>
              <w:rPr>
                <w:b/>
                <w:sz w:val="20"/>
              </w:rPr>
            </w:pPr>
            <w:r>
              <w:rPr>
                <w:b/>
                <w:sz w:val="20"/>
              </w:rPr>
              <w:t>ruse</w:t>
            </w:r>
          </w:p>
        </w:tc>
        <w:tc>
          <w:tcPr>
            <w:tcW w:w="1596" w:type="dxa"/>
          </w:tcPr>
          <w:p w14:paraId="37DE0F71" w14:textId="77777777" w:rsidR="0046798B" w:rsidRDefault="00903B5C">
            <w:pPr>
              <w:pStyle w:val="TableParagraph"/>
              <w:spacing w:before="43"/>
              <w:ind w:left="114" w:right="240"/>
              <w:rPr>
                <w:sz w:val="20"/>
              </w:rPr>
            </w:pPr>
            <w:r>
              <w:rPr>
                <w:sz w:val="20"/>
              </w:rPr>
              <w:t>Past month use of any illicit drug (percentages)</w:t>
            </w:r>
          </w:p>
        </w:tc>
        <w:tc>
          <w:tcPr>
            <w:tcW w:w="1285" w:type="dxa"/>
          </w:tcPr>
          <w:p w14:paraId="5D03331F" w14:textId="77777777" w:rsidR="0046798B" w:rsidRDefault="0046798B">
            <w:pPr>
              <w:pStyle w:val="TableParagraph"/>
            </w:pPr>
          </w:p>
          <w:p w14:paraId="5ECD1AA1" w14:textId="77777777" w:rsidR="0046798B" w:rsidRDefault="00903B5C">
            <w:pPr>
              <w:pStyle w:val="TableParagraph"/>
              <w:spacing w:before="135"/>
              <w:ind w:left="114"/>
              <w:rPr>
                <w:sz w:val="20"/>
              </w:rPr>
            </w:pPr>
            <w:r>
              <w:rPr>
                <w:sz w:val="20"/>
              </w:rPr>
              <w:t>2000–2014</w:t>
            </w:r>
          </w:p>
        </w:tc>
        <w:tc>
          <w:tcPr>
            <w:tcW w:w="3421" w:type="dxa"/>
          </w:tcPr>
          <w:p w14:paraId="7D8381AE" w14:textId="77777777" w:rsidR="0046798B" w:rsidRDefault="0046798B">
            <w:pPr>
              <w:pStyle w:val="TableParagraph"/>
              <w:spacing w:before="9"/>
              <w:rPr>
                <w:sz w:val="23"/>
              </w:rPr>
            </w:pPr>
          </w:p>
          <w:p w14:paraId="3912DF55" w14:textId="77777777" w:rsidR="0046798B" w:rsidRDefault="00903B5C">
            <w:pPr>
              <w:pStyle w:val="TableParagraph"/>
              <w:ind w:left="114" w:right="621"/>
              <w:rPr>
                <w:sz w:val="20"/>
              </w:rPr>
            </w:pPr>
            <w:r>
              <w:rPr>
                <w:sz w:val="20"/>
              </w:rPr>
              <w:t>Past month use of any illicit drug (percentages)</w:t>
            </w:r>
          </w:p>
        </w:tc>
        <w:tc>
          <w:tcPr>
            <w:tcW w:w="6482" w:type="dxa"/>
          </w:tcPr>
          <w:p w14:paraId="240E81BE" w14:textId="77777777" w:rsidR="0046798B" w:rsidRDefault="00903B5C">
            <w:pPr>
              <w:pStyle w:val="TableParagraph"/>
              <w:spacing w:before="158"/>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E81B6CF" w14:textId="77777777">
        <w:trPr>
          <w:trHeight w:val="1235"/>
        </w:trPr>
        <w:tc>
          <w:tcPr>
            <w:tcW w:w="1711" w:type="dxa"/>
          </w:tcPr>
          <w:p w14:paraId="5D0BB954" w14:textId="77777777" w:rsidR="0046798B" w:rsidRDefault="0046798B">
            <w:pPr>
              <w:pStyle w:val="TableParagraph"/>
            </w:pPr>
          </w:p>
          <w:p w14:paraId="25D1BB50" w14:textId="77777777" w:rsidR="0046798B" w:rsidRDefault="0046798B">
            <w:pPr>
              <w:pStyle w:val="TableParagraph"/>
              <w:spacing w:before="4"/>
              <w:rPr>
                <w:sz w:val="21"/>
              </w:rPr>
            </w:pPr>
          </w:p>
          <w:p w14:paraId="7A0B9FD6" w14:textId="77777777" w:rsidR="0046798B" w:rsidRDefault="00903B5C">
            <w:pPr>
              <w:pStyle w:val="TableParagraph"/>
              <w:ind w:left="115"/>
              <w:rPr>
                <w:b/>
                <w:sz w:val="20"/>
              </w:rPr>
            </w:pPr>
            <w:r>
              <w:rPr>
                <w:b/>
                <w:sz w:val="20"/>
              </w:rPr>
              <w:t>rvcarrst</w:t>
            </w:r>
          </w:p>
        </w:tc>
        <w:tc>
          <w:tcPr>
            <w:tcW w:w="1596" w:type="dxa"/>
          </w:tcPr>
          <w:p w14:paraId="2AFFC24A" w14:textId="77777777" w:rsidR="0046798B" w:rsidRDefault="00903B5C">
            <w:pPr>
              <w:pStyle w:val="TableParagraph"/>
              <w:spacing w:before="38"/>
              <w:ind w:left="114" w:right="130"/>
              <w:rPr>
                <w:sz w:val="20"/>
              </w:rPr>
            </w:pPr>
            <w:r>
              <w:rPr>
                <w:sz w:val="20"/>
              </w:rPr>
              <w:t>Over-18 victimless crimes arrests as percentage of population</w:t>
            </w:r>
          </w:p>
        </w:tc>
        <w:tc>
          <w:tcPr>
            <w:tcW w:w="1285" w:type="dxa"/>
          </w:tcPr>
          <w:p w14:paraId="30CD59F0" w14:textId="77777777" w:rsidR="0046798B" w:rsidRDefault="0046798B">
            <w:pPr>
              <w:pStyle w:val="TableParagraph"/>
            </w:pPr>
          </w:p>
          <w:p w14:paraId="510029D9" w14:textId="77777777" w:rsidR="0046798B" w:rsidRDefault="0046798B">
            <w:pPr>
              <w:pStyle w:val="TableParagraph"/>
              <w:spacing w:before="4"/>
              <w:rPr>
                <w:sz w:val="21"/>
              </w:rPr>
            </w:pPr>
          </w:p>
          <w:p w14:paraId="0E52459F" w14:textId="77777777" w:rsidR="0046798B" w:rsidRDefault="00903B5C">
            <w:pPr>
              <w:pStyle w:val="TableParagraph"/>
              <w:ind w:left="114"/>
              <w:rPr>
                <w:sz w:val="20"/>
              </w:rPr>
            </w:pPr>
            <w:r>
              <w:rPr>
                <w:sz w:val="20"/>
              </w:rPr>
              <w:t>2000–2016</w:t>
            </w:r>
          </w:p>
        </w:tc>
        <w:tc>
          <w:tcPr>
            <w:tcW w:w="3421" w:type="dxa"/>
          </w:tcPr>
          <w:p w14:paraId="0545ABCC" w14:textId="77777777" w:rsidR="0046798B" w:rsidRDefault="0046798B">
            <w:pPr>
              <w:pStyle w:val="TableParagraph"/>
              <w:spacing w:before="3"/>
              <w:rPr>
                <w:sz w:val="23"/>
              </w:rPr>
            </w:pPr>
          </w:p>
          <w:p w14:paraId="5CDC6C14" w14:textId="77777777" w:rsidR="0046798B" w:rsidRDefault="00903B5C">
            <w:pPr>
              <w:pStyle w:val="TableParagraph"/>
              <w:spacing w:before="1"/>
              <w:ind w:left="114" w:right="377"/>
              <w:rPr>
                <w:sz w:val="20"/>
              </w:rPr>
            </w:pPr>
            <w:r>
              <w:rPr>
                <w:sz w:val="20"/>
              </w:rPr>
              <w:t>Over-18 victimless crimes arrests as percentage of population (sum of rweap, rprost, rgamb, rliquor, rloit)</w:t>
            </w:r>
          </w:p>
        </w:tc>
        <w:tc>
          <w:tcPr>
            <w:tcW w:w="6482" w:type="dxa"/>
          </w:tcPr>
          <w:p w14:paraId="0F2B133C" w14:textId="77777777" w:rsidR="0046798B" w:rsidRDefault="0046798B">
            <w:pPr>
              <w:pStyle w:val="TableParagraph"/>
              <w:spacing w:before="3"/>
              <w:rPr>
                <w:sz w:val="23"/>
              </w:rPr>
            </w:pPr>
          </w:p>
          <w:p w14:paraId="028DA1B8"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A0D4FD9" w14:textId="77777777">
        <w:trPr>
          <w:trHeight w:val="1235"/>
        </w:trPr>
        <w:tc>
          <w:tcPr>
            <w:tcW w:w="1711" w:type="dxa"/>
          </w:tcPr>
          <w:p w14:paraId="214EE810" w14:textId="77777777" w:rsidR="0046798B" w:rsidRDefault="0046798B">
            <w:pPr>
              <w:pStyle w:val="TableParagraph"/>
            </w:pPr>
          </w:p>
          <w:p w14:paraId="6B297584" w14:textId="77777777" w:rsidR="0046798B" w:rsidRDefault="0046798B">
            <w:pPr>
              <w:pStyle w:val="TableParagraph"/>
              <w:spacing w:before="4"/>
              <w:rPr>
                <w:sz w:val="21"/>
              </w:rPr>
            </w:pPr>
          </w:p>
          <w:p w14:paraId="308E42A3" w14:textId="77777777" w:rsidR="0046798B" w:rsidRDefault="00903B5C">
            <w:pPr>
              <w:pStyle w:val="TableParagraph"/>
              <w:ind w:left="115"/>
              <w:rPr>
                <w:b/>
                <w:sz w:val="20"/>
              </w:rPr>
            </w:pPr>
            <w:r>
              <w:rPr>
                <w:b/>
                <w:sz w:val="20"/>
              </w:rPr>
              <w:t>rvcarrsti</w:t>
            </w:r>
          </w:p>
        </w:tc>
        <w:tc>
          <w:tcPr>
            <w:tcW w:w="1596" w:type="dxa"/>
          </w:tcPr>
          <w:p w14:paraId="5C9F4074" w14:textId="77777777" w:rsidR="0046798B" w:rsidRDefault="00903B5C">
            <w:pPr>
              <w:pStyle w:val="TableParagraph"/>
              <w:spacing w:before="38"/>
              <w:ind w:left="114" w:right="175"/>
              <w:rPr>
                <w:sz w:val="20"/>
              </w:rPr>
            </w:pPr>
            <w:r>
              <w:rPr>
                <w:sz w:val="20"/>
              </w:rPr>
              <w:t>Linearly interpolated and carried-back values of “rvcarrst”</w:t>
            </w:r>
          </w:p>
        </w:tc>
        <w:tc>
          <w:tcPr>
            <w:tcW w:w="1285" w:type="dxa"/>
          </w:tcPr>
          <w:p w14:paraId="647888CA" w14:textId="77777777" w:rsidR="0046798B" w:rsidRDefault="0046798B">
            <w:pPr>
              <w:pStyle w:val="TableParagraph"/>
            </w:pPr>
          </w:p>
          <w:p w14:paraId="7F24A7BD" w14:textId="77777777" w:rsidR="0046798B" w:rsidRDefault="0046798B">
            <w:pPr>
              <w:pStyle w:val="TableParagraph"/>
              <w:spacing w:before="4"/>
              <w:rPr>
                <w:sz w:val="21"/>
              </w:rPr>
            </w:pPr>
          </w:p>
          <w:p w14:paraId="3C43EF41" w14:textId="77777777" w:rsidR="0046798B" w:rsidRDefault="00903B5C">
            <w:pPr>
              <w:pStyle w:val="TableParagraph"/>
              <w:ind w:left="114"/>
              <w:rPr>
                <w:sz w:val="20"/>
              </w:rPr>
            </w:pPr>
            <w:r>
              <w:rPr>
                <w:sz w:val="20"/>
              </w:rPr>
              <w:t>2000–2016</w:t>
            </w:r>
          </w:p>
        </w:tc>
        <w:tc>
          <w:tcPr>
            <w:tcW w:w="3421" w:type="dxa"/>
          </w:tcPr>
          <w:p w14:paraId="153E522E" w14:textId="77777777" w:rsidR="0046798B" w:rsidRDefault="0046798B">
            <w:pPr>
              <w:pStyle w:val="TableParagraph"/>
              <w:spacing w:before="3"/>
              <w:rPr>
                <w:sz w:val="23"/>
              </w:rPr>
            </w:pPr>
          </w:p>
          <w:p w14:paraId="12E35FB8" w14:textId="77777777" w:rsidR="0046798B" w:rsidRDefault="00903B5C">
            <w:pPr>
              <w:pStyle w:val="TableParagraph"/>
              <w:spacing w:before="1"/>
              <w:ind w:left="114" w:right="111"/>
              <w:rPr>
                <w:sz w:val="20"/>
              </w:rPr>
            </w:pPr>
            <w:r>
              <w:rPr>
                <w:sz w:val="20"/>
              </w:rPr>
              <w:t>Linearly interpolated and carried-back values of “rvcarrst” (over-18 victimless crimes arrests as a share of population)</w:t>
            </w:r>
          </w:p>
        </w:tc>
        <w:tc>
          <w:tcPr>
            <w:tcW w:w="6482" w:type="dxa"/>
          </w:tcPr>
          <w:p w14:paraId="37DBC161" w14:textId="77777777" w:rsidR="0046798B" w:rsidRDefault="0046798B">
            <w:pPr>
              <w:pStyle w:val="TableParagraph"/>
              <w:spacing w:before="3"/>
              <w:rPr>
                <w:sz w:val="23"/>
              </w:rPr>
            </w:pPr>
          </w:p>
          <w:p w14:paraId="04966E2C" w14:textId="77777777" w:rsidR="0046798B" w:rsidRDefault="00903B5C">
            <w:pPr>
              <w:pStyle w:val="TableParagraph"/>
              <w:spacing w:before="1"/>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151B8B0" w14:textId="77777777">
        <w:trPr>
          <w:trHeight w:val="775"/>
        </w:trPr>
        <w:tc>
          <w:tcPr>
            <w:tcW w:w="1711" w:type="dxa"/>
          </w:tcPr>
          <w:p w14:paraId="0BBD04B6" w14:textId="77777777" w:rsidR="0046798B" w:rsidRDefault="0046798B">
            <w:pPr>
              <w:pStyle w:val="TableParagraph"/>
              <w:spacing w:before="3"/>
              <w:rPr>
                <w:sz w:val="23"/>
              </w:rPr>
            </w:pPr>
          </w:p>
          <w:p w14:paraId="6D6A7B87" w14:textId="77777777" w:rsidR="0046798B" w:rsidRDefault="00903B5C">
            <w:pPr>
              <w:pStyle w:val="TableParagraph"/>
              <w:spacing w:before="1"/>
              <w:ind w:left="115"/>
              <w:rPr>
                <w:b/>
                <w:sz w:val="20"/>
              </w:rPr>
            </w:pPr>
            <w:r>
              <w:rPr>
                <w:b/>
                <w:sz w:val="20"/>
              </w:rPr>
              <w:t>rviol</w:t>
            </w:r>
          </w:p>
        </w:tc>
        <w:tc>
          <w:tcPr>
            <w:tcW w:w="1596" w:type="dxa"/>
          </w:tcPr>
          <w:p w14:paraId="2911D9D6" w14:textId="77777777" w:rsidR="0046798B" w:rsidRDefault="00903B5C">
            <w:pPr>
              <w:pStyle w:val="TableParagraph"/>
              <w:spacing w:before="38"/>
              <w:ind w:left="114" w:right="146"/>
              <w:rPr>
                <w:sz w:val="20"/>
              </w:rPr>
            </w:pPr>
            <w:r>
              <w:rPr>
                <w:sz w:val="20"/>
              </w:rPr>
              <w:t>Violent crime rate per 100,000 residents</w:t>
            </w:r>
          </w:p>
        </w:tc>
        <w:tc>
          <w:tcPr>
            <w:tcW w:w="1285" w:type="dxa"/>
          </w:tcPr>
          <w:p w14:paraId="2CDEC0E2" w14:textId="77777777" w:rsidR="0046798B" w:rsidRDefault="0046798B">
            <w:pPr>
              <w:pStyle w:val="TableParagraph"/>
              <w:spacing w:before="3"/>
              <w:rPr>
                <w:sz w:val="23"/>
              </w:rPr>
            </w:pPr>
          </w:p>
          <w:p w14:paraId="789A6548" w14:textId="77777777" w:rsidR="0046798B" w:rsidRDefault="00903B5C">
            <w:pPr>
              <w:pStyle w:val="TableParagraph"/>
              <w:spacing w:before="1"/>
              <w:ind w:left="114"/>
              <w:rPr>
                <w:sz w:val="20"/>
              </w:rPr>
            </w:pPr>
            <w:r>
              <w:rPr>
                <w:sz w:val="20"/>
              </w:rPr>
              <w:t>2000–2016</w:t>
            </w:r>
          </w:p>
        </w:tc>
        <w:tc>
          <w:tcPr>
            <w:tcW w:w="3421" w:type="dxa"/>
          </w:tcPr>
          <w:p w14:paraId="562C6A6C" w14:textId="77777777" w:rsidR="0046798B" w:rsidRDefault="00903B5C">
            <w:pPr>
              <w:pStyle w:val="TableParagraph"/>
              <w:spacing w:before="153"/>
              <w:ind w:left="114" w:right="816"/>
              <w:rPr>
                <w:sz w:val="20"/>
              </w:rPr>
            </w:pPr>
            <w:r>
              <w:rPr>
                <w:sz w:val="20"/>
              </w:rPr>
              <w:t>Violent crime rate per 100,000 residents</w:t>
            </w:r>
          </w:p>
        </w:tc>
        <w:tc>
          <w:tcPr>
            <w:tcW w:w="6482" w:type="dxa"/>
          </w:tcPr>
          <w:p w14:paraId="00FBA767" w14:textId="77777777" w:rsidR="0046798B" w:rsidRDefault="00903B5C">
            <w:pPr>
              <w:pStyle w:val="TableParagraph"/>
              <w:spacing w:before="3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84BBCD8" w14:textId="77777777">
        <w:trPr>
          <w:trHeight w:val="1235"/>
        </w:trPr>
        <w:tc>
          <w:tcPr>
            <w:tcW w:w="1711" w:type="dxa"/>
          </w:tcPr>
          <w:p w14:paraId="47272077" w14:textId="77777777" w:rsidR="0046798B" w:rsidRDefault="0046798B">
            <w:pPr>
              <w:pStyle w:val="TableParagraph"/>
            </w:pPr>
          </w:p>
          <w:p w14:paraId="43154315" w14:textId="77777777" w:rsidR="0046798B" w:rsidRDefault="0046798B">
            <w:pPr>
              <w:pStyle w:val="TableParagraph"/>
              <w:spacing w:before="8"/>
              <w:rPr>
                <w:sz w:val="21"/>
              </w:rPr>
            </w:pPr>
          </w:p>
          <w:p w14:paraId="21BB4BE8" w14:textId="77777777" w:rsidR="0046798B" w:rsidRDefault="00903B5C">
            <w:pPr>
              <w:pStyle w:val="TableParagraph"/>
              <w:spacing w:before="1"/>
              <w:ind w:left="115"/>
              <w:rPr>
                <w:b/>
                <w:sz w:val="20"/>
              </w:rPr>
            </w:pPr>
            <w:r>
              <w:rPr>
                <w:b/>
                <w:sz w:val="20"/>
              </w:rPr>
              <w:t>rweap</w:t>
            </w:r>
          </w:p>
        </w:tc>
        <w:tc>
          <w:tcPr>
            <w:tcW w:w="1596" w:type="dxa"/>
          </w:tcPr>
          <w:p w14:paraId="295BBD81" w14:textId="77777777" w:rsidR="0046798B" w:rsidRDefault="00903B5C">
            <w:pPr>
              <w:pStyle w:val="TableParagraph"/>
              <w:spacing w:before="43"/>
              <w:ind w:left="114" w:right="235"/>
              <w:rPr>
                <w:sz w:val="20"/>
              </w:rPr>
            </w:pPr>
            <w:r>
              <w:rPr>
                <w:sz w:val="20"/>
              </w:rPr>
              <w:t>Arrests, 18 and over, for carrying or possession of weapons,</w:t>
            </w:r>
          </w:p>
        </w:tc>
        <w:tc>
          <w:tcPr>
            <w:tcW w:w="1285" w:type="dxa"/>
          </w:tcPr>
          <w:p w14:paraId="3F81B682" w14:textId="77777777" w:rsidR="0046798B" w:rsidRDefault="0046798B">
            <w:pPr>
              <w:pStyle w:val="TableParagraph"/>
            </w:pPr>
          </w:p>
          <w:p w14:paraId="6E437F5A" w14:textId="77777777" w:rsidR="0046798B" w:rsidRDefault="0046798B">
            <w:pPr>
              <w:pStyle w:val="TableParagraph"/>
              <w:spacing w:before="8"/>
              <w:rPr>
                <w:sz w:val="21"/>
              </w:rPr>
            </w:pPr>
          </w:p>
          <w:p w14:paraId="2E798FA4" w14:textId="77777777" w:rsidR="0046798B" w:rsidRDefault="00903B5C">
            <w:pPr>
              <w:pStyle w:val="TableParagraph"/>
              <w:spacing w:before="1"/>
              <w:ind w:left="114"/>
              <w:rPr>
                <w:sz w:val="20"/>
              </w:rPr>
            </w:pPr>
            <w:r>
              <w:rPr>
                <w:sz w:val="20"/>
              </w:rPr>
              <w:t>2000–2016</w:t>
            </w:r>
          </w:p>
        </w:tc>
        <w:tc>
          <w:tcPr>
            <w:tcW w:w="3421" w:type="dxa"/>
          </w:tcPr>
          <w:p w14:paraId="08884872" w14:textId="77777777" w:rsidR="0046798B" w:rsidRDefault="0046798B">
            <w:pPr>
              <w:pStyle w:val="TableParagraph"/>
              <w:spacing w:before="8"/>
              <w:rPr>
                <w:sz w:val="23"/>
              </w:rPr>
            </w:pPr>
          </w:p>
          <w:p w14:paraId="6F4FE3ED" w14:textId="77777777" w:rsidR="0046798B" w:rsidRDefault="00903B5C">
            <w:pPr>
              <w:pStyle w:val="TableParagraph"/>
              <w:spacing w:before="1"/>
              <w:ind w:left="114" w:right="389"/>
              <w:rPr>
                <w:sz w:val="20"/>
              </w:rPr>
            </w:pPr>
            <w:r>
              <w:rPr>
                <w:sz w:val="20"/>
              </w:rPr>
              <w:t>Arrests, 18 and over, for carrying or possession of weapons, divided by population</w:t>
            </w:r>
          </w:p>
        </w:tc>
        <w:tc>
          <w:tcPr>
            <w:tcW w:w="6482" w:type="dxa"/>
          </w:tcPr>
          <w:p w14:paraId="66E7E2DF" w14:textId="77777777" w:rsidR="0046798B" w:rsidRDefault="0046798B">
            <w:pPr>
              <w:pStyle w:val="TableParagraph"/>
              <w:spacing w:before="8"/>
              <w:rPr>
                <w:sz w:val="23"/>
              </w:rPr>
            </w:pPr>
          </w:p>
          <w:p w14:paraId="68F774E1"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0C9893E5" w14:textId="77777777" w:rsidR="0046798B" w:rsidRDefault="0046798B">
      <w:pPr>
        <w:rPr>
          <w:sz w:val="20"/>
        </w:rPr>
        <w:sectPr w:rsidR="0046798B">
          <w:pgSz w:w="15840" w:h="12240" w:orient="landscape"/>
          <w:pgMar w:top="1220" w:right="300" w:bottom="980" w:left="820" w:header="730" w:footer="787" w:gutter="0"/>
          <w:cols w:space="720"/>
        </w:sectPr>
      </w:pPr>
    </w:p>
    <w:p w14:paraId="546E818C"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3998A90C" w14:textId="77777777">
        <w:trPr>
          <w:trHeight w:val="542"/>
        </w:trPr>
        <w:tc>
          <w:tcPr>
            <w:tcW w:w="1711" w:type="dxa"/>
            <w:tcBorders>
              <w:bottom w:val="dotted" w:sz="6" w:space="0" w:color="BEBEBE"/>
            </w:tcBorders>
          </w:tcPr>
          <w:p w14:paraId="2E6CAB08" w14:textId="77777777" w:rsidR="0046798B" w:rsidRDefault="0046798B">
            <w:pPr>
              <w:pStyle w:val="TableParagraph"/>
              <w:rPr>
                <w:sz w:val="20"/>
              </w:rPr>
            </w:pPr>
          </w:p>
        </w:tc>
        <w:tc>
          <w:tcPr>
            <w:tcW w:w="1596" w:type="dxa"/>
            <w:tcBorders>
              <w:bottom w:val="dotted" w:sz="6" w:space="0" w:color="BEBEBE"/>
            </w:tcBorders>
          </w:tcPr>
          <w:p w14:paraId="19EA1D36" w14:textId="77777777" w:rsidR="0046798B" w:rsidRDefault="00903B5C">
            <w:pPr>
              <w:pStyle w:val="TableParagraph"/>
              <w:spacing w:before="43"/>
              <w:ind w:left="114" w:right="596"/>
              <w:rPr>
                <w:sz w:val="20"/>
              </w:rPr>
            </w:pPr>
            <w:r>
              <w:rPr>
                <w:sz w:val="20"/>
              </w:rPr>
              <w:t>divided by population</w:t>
            </w:r>
          </w:p>
        </w:tc>
        <w:tc>
          <w:tcPr>
            <w:tcW w:w="1285" w:type="dxa"/>
            <w:tcBorders>
              <w:bottom w:val="dotted" w:sz="6" w:space="0" w:color="BEBEBE"/>
            </w:tcBorders>
          </w:tcPr>
          <w:p w14:paraId="456F6926" w14:textId="77777777" w:rsidR="0046798B" w:rsidRDefault="0046798B">
            <w:pPr>
              <w:pStyle w:val="TableParagraph"/>
              <w:rPr>
                <w:sz w:val="20"/>
              </w:rPr>
            </w:pPr>
          </w:p>
        </w:tc>
        <w:tc>
          <w:tcPr>
            <w:tcW w:w="3421" w:type="dxa"/>
            <w:tcBorders>
              <w:bottom w:val="dotted" w:sz="6" w:space="0" w:color="BEBEBE"/>
            </w:tcBorders>
          </w:tcPr>
          <w:p w14:paraId="5E21AA0C" w14:textId="77777777" w:rsidR="0046798B" w:rsidRDefault="0046798B">
            <w:pPr>
              <w:pStyle w:val="TableParagraph"/>
              <w:rPr>
                <w:sz w:val="20"/>
              </w:rPr>
            </w:pPr>
          </w:p>
        </w:tc>
        <w:tc>
          <w:tcPr>
            <w:tcW w:w="6482" w:type="dxa"/>
            <w:tcBorders>
              <w:bottom w:val="dotted" w:sz="6" w:space="0" w:color="BEBEBE"/>
            </w:tcBorders>
          </w:tcPr>
          <w:p w14:paraId="4C8586FE" w14:textId="77777777" w:rsidR="0046798B" w:rsidRDefault="0046798B">
            <w:pPr>
              <w:pStyle w:val="TableParagraph"/>
              <w:rPr>
                <w:sz w:val="20"/>
              </w:rPr>
            </w:pPr>
          </w:p>
        </w:tc>
      </w:tr>
      <w:tr w:rsidR="0046798B" w14:paraId="5F5FA57A" w14:textId="77777777">
        <w:trPr>
          <w:trHeight w:val="1693"/>
        </w:trPr>
        <w:tc>
          <w:tcPr>
            <w:tcW w:w="1711" w:type="dxa"/>
            <w:tcBorders>
              <w:top w:val="dotted" w:sz="6" w:space="0" w:color="BEBEBE"/>
            </w:tcBorders>
          </w:tcPr>
          <w:p w14:paraId="309A04FB" w14:textId="77777777" w:rsidR="0046798B" w:rsidRDefault="0046798B">
            <w:pPr>
              <w:pStyle w:val="TableParagraph"/>
            </w:pPr>
          </w:p>
          <w:p w14:paraId="1FBDDFEF" w14:textId="77777777" w:rsidR="0046798B" w:rsidRDefault="0046798B">
            <w:pPr>
              <w:pStyle w:val="TableParagraph"/>
            </w:pPr>
          </w:p>
          <w:p w14:paraId="5244A9FE" w14:textId="77777777" w:rsidR="0046798B" w:rsidRDefault="0046798B">
            <w:pPr>
              <w:pStyle w:val="TableParagraph"/>
              <w:spacing w:before="6"/>
              <w:rPr>
                <w:sz w:val="19"/>
              </w:rPr>
            </w:pPr>
          </w:p>
          <w:p w14:paraId="2F3A4AC5" w14:textId="77777777" w:rsidR="0046798B" w:rsidRDefault="00903B5C">
            <w:pPr>
              <w:pStyle w:val="TableParagraph"/>
              <w:ind w:left="115"/>
              <w:rPr>
                <w:b/>
                <w:sz w:val="20"/>
              </w:rPr>
            </w:pPr>
            <w:r>
              <w:rPr>
                <w:b/>
                <w:sz w:val="20"/>
              </w:rPr>
              <w:t>rweapa</w:t>
            </w:r>
          </w:p>
        </w:tc>
        <w:tc>
          <w:tcPr>
            <w:tcW w:w="1596" w:type="dxa"/>
            <w:tcBorders>
              <w:top w:val="dotted" w:sz="6" w:space="0" w:color="BEBEBE"/>
            </w:tcBorders>
          </w:tcPr>
          <w:p w14:paraId="6A5324B5" w14:textId="77777777" w:rsidR="0046798B" w:rsidRDefault="00903B5C">
            <w:pPr>
              <w:pStyle w:val="TableParagraph"/>
              <w:spacing w:before="40"/>
              <w:ind w:left="114" w:right="115"/>
              <w:rPr>
                <w:sz w:val="20"/>
              </w:rPr>
            </w:pPr>
            <w:r>
              <w:rPr>
                <w:sz w:val="20"/>
              </w:rPr>
              <w:t xml:space="preserve">Arrests, 18 and over, for carrying or possession of weapons </w:t>
            </w:r>
            <w:r>
              <w:rPr>
                <w:spacing w:val="-4"/>
                <w:sz w:val="20"/>
              </w:rPr>
              <w:t xml:space="preserve">divided </w:t>
            </w:r>
            <w:r>
              <w:rPr>
                <w:sz w:val="20"/>
              </w:rPr>
              <w:t>by all arrests, 18 and over</w:t>
            </w:r>
          </w:p>
        </w:tc>
        <w:tc>
          <w:tcPr>
            <w:tcW w:w="1285" w:type="dxa"/>
            <w:tcBorders>
              <w:top w:val="dotted" w:sz="6" w:space="0" w:color="BEBEBE"/>
            </w:tcBorders>
          </w:tcPr>
          <w:p w14:paraId="12B415FD" w14:textId="77777777" w:rsidR="0046798B" w:rsidRDefault="0046798B">
            <w:pPr>
              <w:pStyle w:val="TableParagraph"/>
            </w:pPr>
          </w:p>
          <w:p w14:paraId="21BC4369" w14:textId="77777777" w:rsidR="0046798B" w:rsidRDefault="0046798B">
            <w:pPr>
              <w:pStyle w:val="TableParagraph"/>
            </w:pPr>
          </w:p>
          <w:p w14:paraId="4E72C4F9" w14:textId="77777777" w:rsidR="0046798B" w:rsidRDefault="0046798B">
            <w:pPr>
              <w:pStyle w:val="TableParagraph"/>
              <w:spacing w:before="6"/>
              <w:rPr>
                <w:sz w:val="19"/>
              </w:rPr>
            </w:pPr>
          </w:p>
          <w:p w14:paraId="23FB5648" w14:textId="77777777" w:rsidR="0046798B" w:rsidRDefault="00903B5C">
            <w:pPr>
              <w:pStyle w:val="TableParagraph"/>
              <w:ind w:left="114"/>
              <w:rPr>
                <w:sz w:val="20"/>
              </w:rPr>
            </w:pPr>
            <w:r>
              <w:rPr>
                <w:sz w:val="20"/>
              </w:rPr>
              <w:t>2000–2016</w:t>
            </w:r>
          </w:p>
        </w:tc>
        <w:tc>
          <w:tcPr>
            <w:tcW w:w="3421" w:type="dxa"/>
            <w:tcBorders>
              <w:top w:val="dotted" w:sz="6" w:space="0" w:color="BEBEBE"/>
            </w:tcBorders>
          </w:tcPr>
          <w:p w14:paraId="7C29C91E" w14:textId="77777777" w:rsidR="0046798B" w:rsidRDefault="0046798B">
            <w:pPr>
              <w:pStyle w:val="TableParagraph"/>
            </w:pPr>
          </w:p>
          <w:p w14:paraId="6A15703E" w14:textId="77777777" w:rsidR="0046798B" w:rsidRDefault="0046798B">
            <w:pPr>
              <w:pStyle w:val="TableParagraph"/>
              <w:spacing w:before="6"/>
              <w:rPr>
                <w:sz w:val="21"/>
              </w:rPr>
            </w:pPr>
          </w:p>
          <w:p w14:paraId="537FED8A" w14:textId="77777777" w:rsidR="0046798B" w:rsidRDefault="00903B5C">
            <w:pPr>
              <w:pStyle w:val="TableParagraph"/>
              <w:ind w:left="114" w:right="305"/>
              <w:rPr>
                <w:sz w:val="20"/>
              </w:rPr>
            </w:pPr>
            <w:r>
              <w:rPr>
                <w:sz w:val="20"/>
              </w:rPr>
              <w:t>Arrests, 18 and over, for carrying or possession of weapons divided by all arrests, 18 and over</w:t>
            </w:r>
          </w:p>
        </w:tc>
        <w:tc>
          <w:tcPr>
            <w:tcW w:w="6482" w:type="dxa"/>
            <w:tcBorders>
              <w:top w:val="dotted" w:sz="6" w:space="0" w:color="BEBEBE"/>
            </w:tcBorders>
          </w:tcPr>
          <w:p w14:paraId="6DC89A00" w14:textId="77777777" w:rsidR="0046798B" w:rsidRDefault="0046798B">
            <w:pPr>
              <w:pStyle w:val="TableParagraph"/>
            </w:pPr>
          </w:p>
          <w:p w14:paraId="43C8EE28" w14:textId="77777777" w:rsidR="0046798B" w:rsidRDefault="0046798B">
            <w:pPr>
              <w:pStyle w:val="TableParagraph"/>
              <w:spacing w:before="6"/>
              <w:rPr>
                <w:sz w:val="21"/>
              </w:rPr>
            </w:pPr>
          </w:p>
          <w:p w14:paraId="0E654DA0" w14:textId="77777777" w:rsidR="0046798B" w:rsidRDefault="00903B5C">
            <w:pPr>
              <w:pStyle w:val="TableParagraph"/>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BEED661" w14:textId="77777777">
        <w:trPr>
          <w:trHeight w:val="1240"/>
        </w:trPr>
        <w:tc>
          <w:tcPr>
            <w:tcW w:w="1711" w:type="dxa"/>
          </w:tcPr>
          <w:p w14:paraId="735C158E" w14:textId="77777777" w:rsidR="0046798B" w:rsidRDefault="0046798B">
            <w:pPr>
              <w:pStyle w:val="TableParagraph"/>
            </w:pPr>
          </w:p>
          <w:p w14:paraId="2EB3D96E" w14:textId="77777777" w:rsidR="0046798B" w:rsidRDefault="0046798B">
            <w:pPr>
              <w:pStyle w:val="TableParagraph"/>
              <w:spacing w:before="9"/>
              <w:rPr>
                <w:sz w:val="21"/>
              </w:rPr>
            </w:pPr>
          </w:p>
          <w:p w14:paraId="44A919B7" w14:textId="77777777" w:rsidR="0046798B" w:rsidRDefault="00903B5C">
            <w:pPr>
              <w:pStyle w:val="TableParagraph"/>
              <w:ind w:left="115"/>
              <w:rPr>
                <w:b/>
                <w:sz w:val="20"/>
              </w:rPr>
            </w:pPr>
            <w:r>
              <w:rPr>
                <w:b/>
                <w:sz w:val="20"/>
              </w:rPr>
              <w:t>ddna2</w:t>
            </w:r>
          </w:p>
        </w:tc>
        <w:tc>
          <w:tcPr>
            <w:tcW w:w="1596" w:type="dxa"/>
          </w:tcPr>
          <w:p w14:paraId="264C69A2" w14:textId="77777777" w:rsidR="0046798B" w:rsidRDefault="00903B5C">
            <w:pPr>
              <w:pStyle w:val="TableParagraph"/>
              <w:spacing w:before="43"/>
              <w:ind w:left="114" w:right="91"/>
              <w:rPr>
                <w:sz w:val="20"/>
              </w:rPr>
            </w:pPr>
            <w:r>
              <w:rPr>
                <w:sz w:val="20"/>
              </w:rPr>
              <w:t>DNA database index, some arrestees without probable cause hearing</w:t>
            </w:r>
          </w:p>
        </w:tc>
        <w:tc>
          <w:tcPr>
            <w:tcW w:w="1285" w:type="dxa"/>
          </w:tcPr>
          <w:p w14:paraId="5C7D31C2" w14:textId="77777777" w:rsidR="0046798B" w:rsidRDefault="0046798B">
            <w:pPr>
              <w:pStyle w:val="TableParagraph"/>
            </w:pPr>
          </w:p>
          <w:p w14:paraId="49EACB5F" w14:textId="77777777" w:rsidR="0046798B" w:rsidRDefault="0046798B">
            <w:pPr>
              <w:pStyle w:val="TableParagraph"/>
              <w:spacing w:before="9"/>
              <w:rPr>
                <w:sz w:val="21"/>
              </w:rPr>
            </w:pPr>
          </w:p>
          <w:p w14:paraId="4F88EAEE" w14:textId="77777777" w:rsidR="0046798B" w:rsidRDefault="00903B5C">
            <w:pPr>
              <w:pStyle w:val="TableParagraph"/>
              <w:ind w:left="114"/>
              <w:rPr>
                <w:sz w:val="20"/>
              </w:rPr>
            </w:pPr>
            <w:r>
              <w:rPr>
                <w:sz w:val="20"/>
              </w:rPr>
              <w:t>2000–2016</w:t>
            </w:r>
          </w:p>
        </w:tc>
        <w:tc>
          <w:tcPr>
            <w:tcW w:w="3421" w:type="dxa"/>
          </w:tcPr>
          <w:p w14:paraId="52A98A1F" w14:textId="77777777" w:rsidR="0046798B" w:rsidRDefault="0046798B">
            <w:pPr>
              <w:pStyle w:val="TableParagraph"/>
              <w:spacing w:before="8"/>
              <w:rPr>
                <w:sz w:val="23"/>
              </w:rPr>
            </w:pPr>
          </w:p>
          <w:p w14:paraId="4D24A30C" w14:textId="77777777" w:rsidR="0046798B" w:rsidRDefault="00903B5C">
            <w:pPr>
              <w:pStyle w:val="TableParagraph"/>
              <w:spacing w:before="1"/>
              <w:ind w:left="114" w:right="104"/>
              <w:rPr>
                <w:sz w:val="20"/>
              </w:rPr>
            </w:pPr>
            <w:r>
              <w:rPr>
                <w:sz w:val="20"/>
              </w:rPr>
              <w:t>DNA database index, some arrestees without probable cause hearing (= ddna if ddna &gt; 0.75, otherwise = 0)</w:t>
            </w:r>
          </w:p>
        </w:tc>
        <w:tc>
          <w:tcPr>
            <w:tcW w:w="6482" w:type="dxa"/>
          </w:tcPr>
          <w:p w14:paraId="118FF0C2" w14:textId="77777777" w:rsidR="0046798B" w:rsidRDefault="0046798B">
            <w:pPr>
              <w:pStyle w:val="TableParagraph"/>
              <w:spacing w:before="8"/>
              <w:rPr>
                <w:sz w:val="23"/>
              </w:rPr>
            </w:pPr>
          </w:p>
          <w:p w14:paraId="5A13FD72"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435C93C" w14:textId="77777777">
        <w:trPr>
          <w:trHeight w:val="1465"/>
        </w:trPr>
        <w:tc>
          <w:tcPr>
            <w:tcW w:w="1711" w:type="dxa"/>
          </w:tcPr>
          <w:p w14:paraId="24A32A85" w14:textId="77777777" w:rsidR="0046798B" w:rsidRDefault="0046798B">
            <w:pPr>
              <w:pStyle w:val="TableParagraph"/>
            </w:pPr>
          </w:p>
          <w:p w14:paraId="22A2FDA5" w14:textId="77777777" w:rsidR="0046798B" w:rsidRDefault="0046798B">
            <w:pPr>
              <w:pStyle w:val="TableParagraph"/>
              <w:spacing w:before="4"/>
              <w:rPr>
                <w:sz w:val="31"/>
              </w:rPr>
            </w:pPr>
          </w:p>
          <w:p w14:paraId="61E967CC" w14:textId="77777777" w:rsidR="0046798B" w:rsidRDefault="00903B5C">
            <w:pPr>
              <w:pStyle w:val="TableParagraph"/>
              <w:ind w:left="115"/>
              <w:rPr>
                <w:b/>
                <w:sz w:val="20"/>
              </w:rPr>
            </w:pPr>
            <w:r>
              <w:rPr>
                <w:b/>
                <w:sz w:val="20"/>
              </w:rPr>
              <w:t>gunbckcheck</w:t>
            </w:r>
          </w:p>
        </w:tc>
        <w:tc>
          <w:tcPr>
            <w:tcW w:w="1596" w:type="dxa"/>
          </w:tcPr>
          <w:p w14:paraId="523FFA8A" w14:textId="77777777" w:rsidR="0046798B" w:rsidRDefault="0046798B">
            <w:pPr>
              <w:pStyle w:val="TableParagraph"/>
              <w:spacing w:before="3"/>
              <w:rPr>
                <w:sz w:val="23"/>
              </w:rPr>
            </w:pPr>
          </w:p>
          <w:p w14:paraId="7B7B5C84" w14:textId="77777777" w:rsidR="0046798B" w:rsidRDefault="00903B5C">
            <w:pPr>
              <w:pStyle w:val="TableParagraph"/>
              <w:spacing w:before="1"/>
              <w:ind w:left="114" w:right="435"/>
              <w:rPr>
                <w:sz w:val="20"/>
              </w:rPr>
            </w:pPr>
            <w:r>
              <w:rPr>
                <w:sz w:val="20"/>
              </w:rPr>
              <w:t>Firearm background checks (total number)</w:t>
            </w:r>
          </w:p>
        </w:tc>
        <w:tc>
          <w:tcPr>
            <w:tcW w:w="1285" w:type="dxa"/>
          </w:tcPr>
          <w:p w14:paraId="469932BB" w14:textId="77777777" w:rsidR="0046798B" w:rsidRDefault="0046798B">
            <w:pPr>
              <w:pStyle w:val="TableParagraph"/>
            </w:pPr>
          </w:p>
          <w:p w14:paraId="7E3C16A8" w14:textId="77777777" w:rsidR="0046798B" w:rsidRDefault="0046798B">
            <w:pPr>
              <w:pStyle w:val="TableParagraph"/>
              <w:spacing w:before="4"/>
              <w:rPr>
                <w:sz w:val="31"/>
              </w:rPr>
            </w:pPr>
          </w:p>
          <w:p w14:paraId="623E2C5B" w14:textId="77777777" w:rsidR="0046798B" w:rsidRDefault="00903B5C">
            <w:pPr>
              <w:pStyle w:val="TableParagraph"/>
              <w:ind w:left="114"/>
              <w:rPr>
                <w:sz w:val="20"/>
              </w:rPr>
            </w:pPr>
            <w:r>
              <w:rPr>
                <w:sz w:val="20"/>
              </w:rPr>
              <w:t>1999–2017</w:t>
            </w:r>
          </w:p>
        </w:tc>
        <w:tc>
          <w:tcPr>
            <w:tcW w:w="3421" w:type="dxa"/>
          </w:tcPr>
          <w:p w14:paraId="06388CAF" w14:textId="77777777" w:rsidR="0046798B" w:rsidRDefault="00903B5C">
            <w:pPr>
              <w:pStyle w:val="TableParagraph"/>
              <w:spacing w:before="153"/>
              <w:ind w:left="114" w:right="178"/>
              <w:rPr>
                <w:sz w:val="20"/>
              </w:rPr>
            </w:pPr>
            <w:r>
              <w:rPr>
                <w:sz w:val="20"/>
              </w:rPr>
              <w:t>Number of firearm background checks conducted by the National Instant Criminal Background Check System per year by state. Data for 2012 are only January–September.</w:t>
            </w:r>
          </w:p>
        </w:tc>
        <w:tc>
          <w:tcPr>
            <w:tcW w:w="6482" w:type="dxa"/>
          </w:tcPr>
          <w:p w14:paraId="4279BF16" w14:textId="77777777" w:rsidR="0046798B" w:rsidRDefault="00903B5C">
            <w:pPr>
              <w:pStyle w:val="TableParagraph"/>
              <w:spacing w:before="38"/>
              <w:ind w:left="114" w:right="539"/>
              <w:rPr>
                <w:sz w:val="20"/>
              </w:rPr>
            </w:pPr>
            <w:r>
              <w:rPr>
                <w:sz w:val="20"/>
              </w:rPr>
              <w:t>U.S. Federal Bureau of Investigation. 2012. “NICS Firearm Background Checks.” https:/</w:t>
            </w:r>
            <w:hyperlink r:id="rId759">
              <w:r>
                <w:rPr>
                  <w:sz w:val="20"/>
                </w:rPr>
                <w:t>/ww</w:t>
              </w:r>
            </w:hyperlink>
            <w:r>
              <w:rPr>
                <w:sz w:val="20"/>
              </w:rPr>
              <w:t>w</w:t>
            </w:r>
            <w:hyperlink r:id="rId760">
              <w:r>
                <w:rPr>
                  <w:sz w:val="20"/>
                </w:rPr>
                <w:t>.fbi.gov/file-repository/nics_firearm_checks_-</w:t>
              </w:r>
            </w:hyperlink>
          </w:p>
          <w:p w14:paraId="53A47A98" w14:textId="77777777" w:rsidR="0046798B" w:rsidRDefault="00903B5C">
            <w:pPr>
              <w:pStyle w:val="TableParagraph"/>
              <w:ind w:left="114"/>
              <w:rPr>
                <w:sz w:val="20"/>
              </w:rPr>
            </w:pPr>
            <w:r>
              <w:rPr>
                <w:sz w:val="20"/>
              </w:rPr>
              <w:t>_year_by_state_type.pdf/view</w:t>
            </w:r>
          </w:p>
          <w:p w14:paraId="67FFFD9F" w14:textId="77777777" w:rsidR="0046798B" w:rsidRDefault="0046798B">
            <w:pPr>
              <w:pStyle w:val="TableParagraph"/>
              <w:rPr>
                <w:sz w:val="20"/>
              </w:rPr>
            </w:pPr>
          </w:p>
          <w:p w14:paraId="62B1A5E2" w14:textId="77777777" w:rsidR="0046798B" w:rsidRDefault="00903B5C">
            <w:pPr>
              <w:pStyle w:val="TableParagraph"/>
              <w:ind w:left="114" w:right="217"/>
              <w:rPr>
                <w:sz w:val="20"/>
              </w:rPr>
            </w:pPr>
            <w:r>
              <w:rPr>
                <w:sz w:val="20"/>
              </w:rPr>
              <w:t xml:space="preserve">Originally provided by Stateminder: A data visualization project from Georgetown University. </w:t>
            </w:r>
            <w:hyperlink r:id="rId761">
              <w:r>
                <w:rPr>
                  <w:sz w:val="20"/>
                  <w:u w:val="single"/>
                </w:rPr>
                <w:t>http://stateminder.org/</w:t>
              </w:r>
              <w:r>
                <w:rPr>
                  <w:sz w:val="20"/>
                </w:rPr>
                <w:t xml:space="preserve"> </w:t>
              </w:r>
            </w:hyperlink>
            <w:r>
              <w:rPr>
                <w:sz w:val="20"/>
              </w:rPr>
              <w:t>(no longer accessible online)</w:t>
            </w:r>
          </w:p>
        </w:tc>
      </w:tr>
    </w:tbl>
    <w:p w14:paraId="2E75DF7C" w14:textId="77777777" w:rsidR="0046798B" w:rsidRDefault="0046798B">
      <w:pPr>
        <w:pStyle w:val="BodyText"/>
        <w:spacing w:before="2"/>
        <w:rPr>
          <w:sz w:val="16"/>
        </w:rPr>
      </w:pPr>
    </w:p>
    <w:p w14:paraId="7B0B65F8" w14:textId="77777777" w:rsidR="0046798B" w:rsidRDefault="00903B5C">
      <w:pPr>
        <w:pStyle w:val="ListParagraph"/>
        <w:numPr>
          <w:ilvl w:val="0"/>
          <w:numId w:val="6"/>
        </w:numPr>
        <w:tabs>
          <w:tab w:val="left" w:pos="916"/>
        </w:tabs>
        <w:spacing w:before="90"/>
        <w:rPr>
          <w:b/>
          <w:sz w:val="24"/>
        </w:rPr>
      </w:pPr>
      <w:r>
        <w:rPr>
          <w:b/>
          <w:sz w:val="24"/>
          <w:u w:val="single"/>
        </w:rPr>
        <w:t>Marriage and Family</w:t>
      </w:r>
      <w:r>
        <w:rPr>
          <w:b/>
          <w:spacing w:val="-2"/>
          <w:sz w:val="24"/>
          <w:u w:val="single"/>
        </w:rPr>
        <w:t xml:space="preserve"> </w:t>
      </w:r>
      <w:r>
        <w:rPr>
          <w:b/>
          <w:sz w:val="24"/>
          <w:u w:val="single"/>
        </w:rPr>
        <w:t>Laws</w:t>
      </w:r>
    </w:p>
    <w:p w14:paraId="7F53D7B2" w14:textId="77777777" w:rsidR="0046798B" w:rsidRDefault="0046798B">
      <w:pPr>
        <w:pStyle w:val="BodyText"/>
        <w:spacing w:before="9"/>
        <w:rPr>
          <w:b/>
          <w:sz w:val="23"/>
        </w:rPr>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D4E9F49" w14:textId="77777777">
        <w:trPr>
          <w:trHeight w:val="595"/>
        </w:trPr>
        <w:tc>
          <w:tcPr>
            <w:tcW w:w="1711" w:type="dxa"/>
          </w:tcPr>
          <w:p w14:paraId="4E86CA90" w14:textId="77777777" w:rsidR="0046798B" w:rsidRDefault="00903B5C">
            <w:pPr>
              <w:pStyle w:val="TableParagraph"/>
              <w:spacing w:before="169"/>
              <w:ind w:left="140"/>
              <w:rPr>
                <w:b/>
              </w:rPr>
            </w:pPr>
            <w:r>
              <w:rPr>
                <w:b/>
              </w:rPr>
              <w:t>Variable Name</w:t>
            </w:r>
          </w:p>
        </w:tc>
        <w:tc>
          <w:tcPr>
            <w:tcW w:w="1596" w:type="dxa"/>
          </w:tcPr>
          <w:p w14:paraId="2415DCBE" w14:textId="77777777" w:rsidR="0046798B" w:rsidRDefault="00903B5C">
            <w:pPr>
              <w:pStyle w:val="TableParagraph"/>
              <w:spacing w:before="46" w:line="237" w:lineRule="auto"/>
              <w:ind w:left="249" w:right="229" w:firstLine="280"/>
              <w:rPr>
                <w:b/>
              </w:rPr>
            </w:pPr>
            <w:r>
              <w:rPr>
                <w:b/>
              </w:rPr>
              <w:t>Short Description</w:t>
            </w:r>
          </w:p>
        </w:tc>
        <w:tc>
          <w:tcPr>
            <w:tcW w:w="1285" w:type="dxa"/>
          </w:tcPr>
          <w:p w14:paraId="75C2241C" w14:textId="77777777" w:rsidR="0046798B" w:rsidRDefault="00903B5C">
            <w:pPr>
              <w:pStyle w:val="TableParagraph"/>
              <w:spacing w:before="169"/>
              <w:ind w:left="364"/>
              <w:rPr>
                <w:b/>
              </w:rPr>
            </w:pPr>
            <w:r>
              <w:rPr>
                <w:b/>
              </w:rPr>
              <w:t>Years</w:t>
            </w:r>
          </w:p>
        </w:tc>
        <w:tc>
          <w:tcPr>
            <w:tcW w:w="3421" w:type="dxa"/>
          </w:tcPr>
          <w:p w14:paraId="33F04421" w14:textId="77777777" w:rsidR="0046798B" w:rsidRDefault="00903B5C">
            <w:pPr>
              <w:pStyle w:val="TableParagraph"/>
              <w:spacing w:before="44" w:line="251" w:lineRule="exact"/>
              <w:ind w:left="159" w:right="146"/>
              <w:jc w:val="center"/>
              <w:rPr>
                <w:b/>
              </w:rPr>
            </w:pPr>
            <w:r>
              <w:rPr>
                <w:b/>
              </w:rPr>
              <w:t>Coding /</w:t>
            </w:r>
          </w:p>
          <w:p w14:paraId="23726681" w14:textId="77777777" w:rsidR="0046798B" w:rsidRDefault="00903B5C">
            <w:pPr>
              <w:pStyle w:val="TableParagraph"/>
              <w:spacing w:line="251" w:lineRule="exact"/>
              <w:ind w:left="159" w:right="150"/>
              <w:jc w:val="center"/>
              <w:rPr>
                <w:b/>
              </w:rPr>
            </w:pPr>
            <w:r>
              <w:rPr>
                <w:b/>
              </w:rPr>
              <w:t>Longer Description (if available)</w:t>
            </w:r>
          </w:p>
        </w:tc>
        <w:tc>
          <w:tcPr>
            <w:tcW w:w="6482" w:type="dxa"/>
          </w:tcPr>
          <w:p w14:paraId="76D32566" w14:textId="77777777" w:rsidR="0046798B" w:rsidRDefault="00903B5C">
            <w:pPr>
              <w:pStyle w:val="TableParagraph"/>
              <w:spacing w:before="169"/>
              <w:ind w:left="2852" w:right="2845"/>
              <w:jc w:val="center"/>
              <w:rPr>
                <w:b/>
              </w:rPr>
            </w:pPr>
            <w:r>
              <w:rPr>
                <w:b/>
              </w:rPr>
              <w:t>Sources</w:t>
            </w:r>
          </w:p>
        </w:tc>
      </w:tr>
      <w:tr w:rsidR="0046798B" w14:paraId="21E0A374" w14:textId="77777777">
        <w:trPr>
          <w:trHeight w:val="775"/>
        </w:trPr>
        <w:tc>
          <w:tcPr>
            <w:tcW w:w="1711" w:type="dxa"/>
          </w:tcPr>
          <w:p w14:paraId="6C417647" w14:textId="77777777" w:rsidR="0046798B" w:rsidRDefault="0046798B">
            <w:pPr>
              <w:pStyle w:val="TableParagraph"/>
              <w:spacing w:before="4"/>
              <w:rPr>
                <w:b/>
                <w:sz w:val="23"/>
              </w:rPr>
            </w:pPr>
          </w:p>
          <w:p w14:paraId="26637BEE" w14:textId="77777777" w:rsidR="0046798B" w:rsidRDefault="00903B5C">
            <w:pPr>
              <w:pStyle w:val="TableParagraph"/>
              <w:ind w:left="115"/>
              <w:rPr>
                <w:b/>
                <w:sz w:val="20"/>
              </w:rPr>
            </w:pPr>
            <w:r>
              <w:rPr>
                <w:b/>
                <w:sz w:val="20"/>
              </w:rPr>
              <w:t>scovmar</w:t>
            </w:r>
          </w:p>
        </w:tc>
        <w:tc>
          <w:tcPr>
            <w:tcW w:w="1596" w:type="dxa"/>
          </w:tcPr>
          <w:p w14:paraId="51960FEF" w14:textId="77777777" w:rsidR="0046798B" w:rsidRDefault="00903B5C">
            <w:pPr>
              <w:pStyle w:val="TableParagraph"/>
              <w:spacing w:before="153"/>
              <w:ind w:left="114" w:right="180"/>
              <w:rPr>
                <w:sz w:val="20"/>
              </w:rPr>
            </w:pPr>
            <w:r>
              <w:rPr>
                <w:sz w:val="20"/>
              </w:rPr>
              <w:t>Covenant marriage option</w:t>
            </w:r>
          </w:p>
        </w:tc>
        <w:tc>
          <w:tcPr>
            <w:tcW w:w="1285" w:type="dxa"/>
          </w:tcPr>
          <w:p w14:paraId="04EE1FB1" w14:textId="77777777" w:rsidR="0046798B" w:rsidRDefault="0046798B">
            <w:pPr>
              <w:pStyle w:val="TableParagraph"/>
              <w:spacing w:before="4"/>
              <w:rPr>
                <w:b/>
                <w:sz w:val="23"/>
              </w:rPr>
            </w:pPr>
          </w:p>
          <w:p w14:paraId="3E4270F0" w14:textId="77777777" w:rsidR="0046798B" w:rsidRDefault="00903B5C">
            <w:pPr>
              <w:pStyle w:val="TableParagraph"/>
              <w:ind w:left="114"/>
              <w:rPr>
                <w:sz w:val="20"/>
              </w:rPr>
            </w:pPr>
            <w:r>
              <w:rPr>
                <w:sz w:val="20"/>
              </w:rPr>
              <w:t>2000–2016</w:t>
            </w:r>
          </w:p>
        </w:tc>
        <w:tc>
          <w:tcPr>
            <w:tcW w:w="3421" w:type="dxa"/>
          </w:tcPr>
          <w:p w14:paraId="15F38467" w14:textId="77777777" w:rsidR="0046798B" w:rsidRDefault="00903B5C">
            <w:pPr>
              <w:pStyle w:val="TableParagraph"/>
              <w:spacing w:before="153"/>
              <w:ind w:left="114" w:right="196"/>
              <w:rPr>
                <w:sz w:val="20"/>
              </w:rPr>
            </w:pPr>
            <w:r>
              <w:rPr>
                <w:sz w:val="20"/>
              </w:rPr>
              <w:t>Covenant marriage option (0 = no, 1 = yes)</w:t>
            </w:r>
          </w:p>
        </w:tc>
        <w:tc>
          <w:tcPr>
            <w:tcW w:w="6482" w:type="dxa"/>
          </w:tcPr>
          <w:p w14:paraId="3A2B1565" w14:textId="77777777" w:rsidR="0046798B" w:rsidRDefault="00903B5C">
            <w:pPr>
              <w:pStyle w:val="TableParagraph"/>
              <w:spacing w:before="3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2665C8C" w14:textId="77777777">
        <w:trPr>
          <w:trHeight w:val="775"/>
        </w:trPr>
        <w:tc>
          <w:tcPr>
            <w:tcW w:w="1711" w:type="dxa"/>
          </w:tcPr>
          <w:p w14:paraId="41EB51DD" w14:textId="77777777" w:rsidR="0046798B" w:rsidRDefault="0046798B">
            <w:pPr>
              <w:pStyle w:val="TableParagraph"/>
              <w:spacing w:before="3"/>
              <w:rPr>
                <w:b/>
                <w:sz w:val="23"/>
              </w:rPr>
            </w:pPr>
          </w:p>
          <w:p w14:paraId="7BB05204" w14:textId="77777777" w:rsidR="0046798B" w:rsidRDefault="00903B5C">
            <w:pPr>
              <w:pStyle w:val="TableParagraph"/>
              <w:ind w:left="115"/>
              <w:rPr>
                <w:b/>
                <w:sz w:val="20"/>
              </w:rPr>
            </w:pPr>
            <w:r>
              <w:rPr>
                <w:b/>
                <w:sz w:val="20"/>
              </w:rPr>
              <w:t>sbldtest</w:t>
            </w:r>
          </w:p>
        </w:tc>
        <w:tc>
          <w:tcPr>
            <w:tcW w:w="1596" w:type="dxa"/>
          </w:tcPr>
          <w:p w14:paraId="36474F47" w14:textId="77777777" w:rsidR="0046798B" w:rsidRDefault="00903B5C">
            <w:pPr>
              <w:pStyle w:val="TableParagraph"/>
              <w:spacing w:before="153"/>
              <w:ind w:left="114" w:right="635"/>
              <w:rPr>
                <w:sz w:val="20"/>
              </w:rPr>
            </w:pPr>
            <w:r>
              <w:rPr>
                <w:sz w:val="20"/>
              </w:rPr>
              <w:t>Blood test required</w:t>
            </w:r>
          </w:p>
        </w:tc>
        <w:tc>
          <w:tcPr>
            <w:tcW w:w="1285" w:type="dxa"/>
          </w:tcPr>
          <w:p w14:paraId="68B918F4" w14:textId="77777777" w:rsidR="0046798B" w:rsidRDefault="0046798B">
            <w:pPr>
              <w:pStyle w:val="TableParagraph"/>
              <w:spacing w:before="3"/>
              <w:rPr>
                <w:b/>
                <w:sz w:val="23"/>
              </w:rPr>
            </w:pPr>
          </w:p>
          <w:p w14:paraId="1FFF3165" w14:textId="77777777" w:rsidR="0046798B" w:rsidRDefault="00903B5C">
            <w:pPr>
              <w:pStyle w:val="TableParagraph"/>
              <w:ind w:left="114"/>
              <w:rPr>
                <w:sz w:val="20"/>
              </w:rPr>
            </w:pPr>
            <w:r>
              <w:rPr>
                <w:sz w:val="20"/>
              </w:rPr>
              <w:t>2000–2016</w:t>
            </w:r>
          </w:p>
        </w:tc>
        <w:tc>
          <w:tcPr>
            <w:tcW w:w="3421" w:type="dxa"/>
          </w:tcPr>
          <w:p w14:paraId="1C16A09F" w14:textId="77777777" w:rsidR="0046798B" w:rsidRDefault="0046798B">
            <w:pPr>
              <w:pStyle w:val="TableParagraph"/>
              <w:spacing w:before="3"/>
              <w:rPr>
                <w:b/>
                <w:sz w:val="23"/>
              </w:rPr>
            </w:pPr>
          </w:p>
          <w:p w14:paraId="2B1CBEB1" w14:textId="77777777" w:rsidR="0046798B" w:rsidRDefault="00903B5C">
            <w:pPr>
              <w:pStyle w:val="TableParagraph"/>
              <w:ind w:left="114"/>
              <w:rPr>
                <w:sz w:val="20"/>
              </w:rPr>
            </w:pPr>
            <w:r>
              <w:rPr>
                <w:sz w:val="20"/>
              </w:rPr>
              <w:t>Blood test required (0 = no, 1 = yes)</w:t>
            </w:r>
          </w:p>
        </w:tc>
        <w:tc>
          <w:tcPr>
            <w:tcW w:w="6482" w:type="dxa"/>
          </w:tcPr>
          <w:p w14:paraId="08CC585B" w14:textId="77777777" w:rsidR="0046798B" w:rsidRDefault="00903B5C">
            <w:pPr>
              <w:pStyle w:val="TableParagraph"/>
              <w:spacing w:before="3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F271136" w14:textId="77777777">
        <w:trPr>
          <w:trHeight w:val="1005"/>
        </w:trPr>
        <w:tc>
          <w:tcPr>
            <w:tcW w:w="1711" w:type="dxa"/>
          </w:tcPr>
          <w:p w14:paraId="4BF93742" w14:textId="77777777" w:rsidR="0046798B" w:rsidRDefault="0046798B">
            <w:pPr>
              <w:pStyle w:val="TableParagraph"/>
              <w:rPr>
                <w:b/>
              </w:rPr>
            </w:pPr>
          </w:p>
          <w:p w14:paraId="32C9B4FF" w14:textId="77777777" w:rsidR="0046798B" w:rsidRDefault="00903B5C">
            <w:pPr>
              <w:pStyle w:val="TableParagraph"/>
              <w:spacing w:before="135"/>
              <w:ind w:left="115"/>
              <w:rPr>
                <w:b/>
                <w:sz w:val="20"/>
              </w:rPr>
            </w:pPr>
            <w:r>
              <w:rPr>
                <w:b/>
                <w:sz w:val="20"/>
              </w:rPr>
              <w:t>scuzmar</w:t>
            </w:r>
          </w:p>
        </w:tc>
        <w:tc>
          <w:tcPr>
            <w:tcW w:w="1596" w:type="dxa"/>
          </w:tcPr>
          <w:p w14:paraId="7F316231" w14:textId="77777777" w:rsidR="0046798B" w:rsidRDefault="0046798B">
            <w:pPr>
              <w:pStyle w:val="TableParagraph"/>
              <w:spacing w:before="8"/>
              <w:rPr>
                <w:b/>
                <w:sz w:val="23"/>
              </w:rPr>
            </w:pPr>
          </w:p>
          <w:p w14:paraId="2490DD8D" w14:textId="77777777" w:rsidR="0046798B" w:rsidRDefault="00903B5C">
            <w:pPr>
              <w:pStyle w:val="TableParagraph"/>
              <w:spacing w:before="1"/>
              <w:ind w:left="114" w:right="124"/>
              <w:rPr>
                <w:sz w:val="20"/>
              </w:rPr>
            </w:pPr>
            <w:r>
              <w:rPr>
                <w:sz w:val="20"/>
              </w:rPr>
              <w:t>Cousin marriage legal</w:t>
            </w:r>
          </w:p>
        </w:tc>
        <w:tc>
          <w:tcPr>
            <w:tcW w:w="1285" w:type="dxa"/>
          </w:tcPr>
          <w:p w14:paraId="6490257D" w14:textId="77777777" w:rsidR="0046798B" w:rsidRDefault="0046798B">
            <w:pPr>
              <w:pStyle w:val="TableParagraph"/>
              <w:rPr>
                <w:b/>
              </w:rPr>
            </w:pPr>
          </w:p>
          <w:p w14:paraId="08FB2041" w14:textId="77777777" w:rsidR="0046798B" w:rsidRDefault="00903B5C">
            <w:pPr>
              <w:pStyle w:val="TableParagraph"/>
              <w:spacing w:before="135"/>
              <w:ind w:left="114"/>
              <w:rPr>
                <w:sz w:val="20"/>
              </w:rPr>
            </w:pPr>
            <w:r>
              <w:rPr>
                <w:sz w:val="20"/>
              </w:rPr>
              <w:t>2000–2016</w:t>
            </w:r>
          </w:p>
        </w:tc>
        <w:tc>
          <w:tcPr>
            <w:tcW w:w="3421" w:type="dxa"/>
          </w:tcPr>
          <w:p w14:paraId="25110A0C" w14:textId="77777777" w:rsidR="0046798B" w:rsidRDefault="00903B5C">
            <w:pPr>
              <w:pStyle w:val="TableParagraph"/>
              <w:spacing w:before="43"/>
              <w:ind w:left="114" w:right="200"/>
              <w:jc w:val="both"/>
              <w:rPr>
                <w:sz w:val="20"/>
              </w:rPr>
            </w:pPr>
            <w:r>
              <w:rPr>
                <w:sz w:val="20"/>
              </w:rPr>
              <w:t>Cousin marriage legal (0 = first cousin marriage prohibited, 0.5 = legal under certain circumstances, 1 = first cousin marriage legal)</w:t>
            </w:r>
          </w:p>
        </w:tc>
        <w:tc>
          <w:tcPr>
            <w:tcW w:w="6482" w:type="dxa"/>
          </w:tcPr>
          <w:p w14:paraId="19BB3D30"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58CC15FD" w14:textId="77777777" w:rsidR="0046798B" w:rsidRDefault="0046798B">
      <w:pPr>
        <w:rPr>
          <w:sz w:val="20"/>
        </w:rPr>
        <w:sectPr w:rsidR="0046798B">
          <w:pgSz w:w="15840" w:h="12240" w:orient="landscape"/>
          <w:pgMar w:top="1220" w:right="300" w:bottom="980" w:left="820" w:header="730" w:footer="787" w:gutter="0"/>
          <w:cols w:space="720"/>
        </w:sectPr>
      </w:pPr>
    </w:p>
    <w:p w14:paraId="28746ECB"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01397DA5" w14:textId="77777777">
        <w:trPr>
          <w:trHeight w:val="1235"/>
        </w:trPr>
        <w:tc>
          <w:tcPr>
            <w:tcW w:w="1711" w:type="dxa"/>
          </w:tcPr>
          <w:p w14:paraId="15CB1A18" w14:textId="77777777" w:rsidR="0046798B" w:rsidRDefault="0046798B">
            <w:pPr>
              <w:pStyle w:val="TableParagraph"/>
            </w:pPr>
          </w:p>
          <w:p w14:paraId="2BB4D4F9" w14:textId="77777777" w:rsidR="0046798B" w:rsidRDefault="0046798B">
            <w:pPr>
              <w:pStyle w:val="TableParagraph"/>
              <w:spacing w:before="9"/>
              <w:rPr>
                <w:sz w:val="21"/>
              </w:rPr>
            </w:pPr>
          </w:p>
          <w:p w14:paraId="535B2E85" w14:textId="77777777" w:rsidR="0046798B" w:rsidRDefault="00903B5C">
            <w:pPr>
              <w:pStyle w:val="TableParagraph"/>
              <w:ind w:left="115"/>
              <w:rPr>
                <w:b/>
                <w:sz w:val="20"/>
              </w:rPr>
            </w:pPr>
            <w:r>
              <w:rPr>
                <w:b/>
                <w:sz w:val="20"/>
              </w:rPr>
              <w:t>slwp</w:t>
            </w:r>
          </w:p>
        </w:tc>
        <w:tc>
          <w:tcPr>
            <w:tcW w:w="1596" w:type="dxa"/>
          </w:tcPr>
          <w:p w14:paraId="6C148AE4" w14:textId="77777777" w:rsidR="0046798B" w:rsidRDefault="00903B5C">
            <w:pPr>
              <w:pStyle w:val="TableParagraph"/>
              <w:spacing w:before="43"/>
              <w:ind w:left="114" w:right="130"/>
              <w:rPr>
                <w:sz w:val="20"/>
              </w:rPr>
            </w:pPr>
            <w:r>
              <w:rPr>
                <w:sz w:val="20"/>
              </w:rPr>
              <w:t>Waiting period between applying for and receiving license, in days</w:t>
            </w:r>
          </w:p>
        </w:tc>
        <w:tc>
          <w:tcPr>
            <w:tcW w:w="1285" w:type="dxa"/>
          </w:tcPr>
          <w:p w14:paraId="6B214037" w14:textId="77777777" w:rsidR="0046798B" w:rsidRDefault="0046798B">
            <w:pPr>
              <w:pStyle w:val="TableParagraph"/>
            </w:pPr>
          </w:p>
          <w:p w14:paraId="75A973B1" w14:textId="77777777" w:rsidR="0046798B" w:rsidRDefault="0046798B">
            <w:pPr>
              <w:pStyle w:val="TableParagraph"/>
              <w:spacing w:before="9"/>
              <w:rPr>
                <w:sz w:val="21"/>
              </w:rPr>
            </w:pPr>
          </w:p>
          <w:p w14:paraId="00C834EE" w14:textId="77777777" w:rsidR="0046798B" w:rsidRDefault="00903B5C">
            <w:pPr>
              <w:pStyle w:val="TableParagraph"/>
              <w:ind w:left="114"/>
              <w:rPr>
                <w:sz w:val="20"/>
              </w:rPr>
            </w:pPr>
            <w:r>
              <w:rPr>
                <w:sz w:val="20"/>
              </w:rPr>
              <w:t>2000–2016</w:t>
            </w:r>
          </w:p>
        </w:tc>
        <w:tc>
          <w:tcPr>
            <w:tcW w:w="3421" w:type="dxa"/>
          </w:tcPr>
          <w:p w14:paraId="1BA34A08" w14:textId="77777777" w:rsidR="0046798B" w:rsidRDefault="0046798B">
            <w:pPr>
              <w:pStyle w:val="TableParagraph"/>
            </w:pPr>
          </w:p>
          <w:p w14:paraId="625BD7E4" w14:textId="77777777" w:rsidR="0046798B" w:rsidRDefault="00903B5C">
            <w:pPr>
              <w:pStyle w:val="TableParagraph"/>
              <w:spacing w:before="135"/>
              <w:ind w:left="114" w:right="322"/>
              <w:rPr>
                <w:sz w:val="20"/>
              </w:rPr>
            </w:pPr>
            <w:r>
              <w:rPr>
                <w:sz w:val="20"/>
              </w:rPr>
              <w:t>Waiting period between applying for and receiving license, in days</w:t>
            </w:r>
          </w:p>
        </w:tc>
        <w:tc>
          <w:tcPr>
            <w:tcW w:w="6482" w:type="dxa"/>
          </w:tcPr>
          <w:p w14:paraId="78763A00" w14:textId="77777777" w:rsidR="0046798B" w:rsidRDefault="0046798B">
            <w:pPr>
              <w:pStyle w:val="TableParagraph"/>
              <w:spacing w:before="9"/>
              <w:rPr>
                <w:sz w:val="23"/>
              </w:rPr>
            </w:pPr>
          </w:p>
          <w:p w14:paraId="6A9C175F" w14:textId="77777777" w:rsidR="0046798B" w:rsidRDefault="00903B5C">
            <w:pPr>
              <w:pStyle w:val="TableParagraph"/>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E879681" w14:textId="77777777">
        <w:trPr>
          <w:trHeight w:val="1005"/>
        </w:trPr>
        <w:tc>
          <w:tcPr>
            <w:tcW w:w="1711" w:type="dxa"/>
          </w:tcPr>
          <w:p w14:paraId="1595C629" w14:textId="77777777" w:rsidR="0046798B" w:rsidRDefault="0046798B">
            <w:pPr>
              <w:pStyle w:val="TableParagraph"/>
            </w:pPr>
          </w:p>
          <w:p w14:paraId="2DDFD49C" w14:textId="77777777" w:rsidR="0046798B" w:rsidRDefault="00903B5C">
            <w:pPr>
              <w:pStyle w:val="TableParagraph"/>
              <w:spacing w:before="136"/>
              <w:ind w:left="115"/>
              <w:rPr>
                <w:b/>
                <w:sz w:val="20"/>
              </w:rPr>
            </w:pPr>
            <w:r>
              <w:rPr>
                <w:b/>
                <w:sz w:val="20"/>
              </w:rPr>
              <w:t>slwp2</w:t>
            </w:r>
          </w:p>
        </w:tc>
        <w:tc>
          <w:tcPr>
            <w:tcW w:w="1596" w:type="dxa"/>
          </w:tcPr>
          <w:p w14:paraId="7EEC2F1C" w14:textId="77777777" w:rsidR="0046798B" w:rsidRDefault="00903B5C">
            <w:pPr>
              <w:pStyle w:val="TableParagraph"/>
              <w:spacing w:before="43"/>
              <w:ind w:left="114" w:right="191"/>
              <w:rPr>
                <w:sz w:val="20"/>
              </w:rPr>
            </w:pPr>
            <w:r>
              <w:rPr>
                <w:sz w:val="20"/>
              </w:rPr>
              <w:t>Waiting period between receipt of license and ability to marry</w:t>
            </w:r>
          </w:p>
        </w:tc>
        <w:tc>
          <w:tcPr>
            <w:tcW w:w="1285" w:type="dxa"/>
          </w:tcPr>
          <w:p w14:paraId="45D843D7" w14:textId="77777777" w:rsidR="0046798B" w:rsidRDefault="0046798B">
            <w:pPr>
              <w:pStyle w:val="TableParagraph"/>
            </w:pPr>
          </w:p>
          <w:p w14:paraId="14AF5850" w14:textId="77777777" w:rsidR="0046798B" w:rsidRDefault="00903B5C">
            <w:pPr>
              <w:pStyle w:val="TableParagraph"/>
              <w:spacing w:before="136"/>
              <w:ind w:left="114"/>
              <w:rPr>
                <w:sz w:val="20"/>
              </w:rPr>
            </w:pPr>
            <w:r>
              <w:rPr>
                <w:sz w:val="20"/>
              </w:rPr>
              <w:t>2000–2016</w:t>
            </w:r>
          </w:p>
        </w:tc>
        <w:tc>
          <w:tcPr>
            <w:tcW w:w="3421" w:type="dxa"/>
          </w:tcPr>
          <w:p w14:paraId="25DBBA4C" w14:textId="77777777" w:rsidR="0046798B" w:rsidRDefault="0046798B">
            <w:pPr>
              <w:pStyle w:val="TableParagraph"/>
              <w:spacing w:before="9"/>
              <w:rPr>
                <w:sz w:val="23"/>
              </w:rPr>
            </w:pPr>
          </w:p>
          <w:p w14:paraId="7986C927" w14:textId="77777777" w:rsidR="0046798B" w:rsidRDefault="00903B5C">
            <w:pPr>
              <w:pStyle w:val="TableParagraph"/>
              <w:ind w:left="114" w:right="544"/>
              <w:rPr>
                <w:sz w:val="20"/>
              </w:rPr>
            </w:pPr>
            <w:r>
              <w:rPr>
                <w:sz w:val="20"/>
              </w:rPr>
              <w:t>Waiting period between receipt of license and ability to marry</w:t>
            </w:r>
          </w:p>
        </w:tc>
        <w:tc>
          <w:tcPr>
            <w:tcW w:w="6482" w:type="dxa"/>
          </w:tcPr>
          <w:p w14:paraId="42DFCB50"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586F985" w14:textId="77777777">
        <w:trPr>
          <w:trHeight w:val="780"/>
        </w:trPr>
        <w:tc>
          <w:tcPr>
            <w:tcW w:w="1711" w:type="dxa"/>
          </w:tcPr>
          <w:p w14:paraId="52A58F8E" w14:textId="77777777" w:rsidR="0046798B" w:rsidRDefault="0046798B">
            <w:pPr>
              <w:pStyle w:val="TableParagraph"/>
              <w:spacing w:before="8"/>
              <w:rPr>
                <w:sz w:val="23"/>
              </w:rPr>
            </w:pPr>
          </w:p>
          <w:p w14:paraId="3481195F" w14:textId="77777777" w:rsidR="0046798B" w:rsidRDefault="00903B5C">
            <w:pPr>
              <w:pStyle w:val="TableParagraph"/>
              <w:spacing w:before="1"/>
              <w:ind w:left="115"/>
              <w:rPr>
                <w:b/>
                <w:sz w:val="20"/>
              </w:rPr>
            </w:pPr>
            <w:r>
              <w:rPr>
                <w:b/>
                <w:sz w:val="20"/>
              </w:rPr>
              <w:t>swait</w:t>
            </w:r>
          </w:p>
        </w:tc>
        <w:tc>
          <w:tcPr>
            <w:tcW w:w="1596" w:type="dxa"/>
          </w:tcPr>
          <w:p w14:paraId="57B722BC" w14:textId="77777777" w:rsidR="0046798B" w:rsidRDefault="00903B5C">
            <w:pPr>
              <w:pStyle w:val="TableParagraph"/>
              <w:spacing w:before="158"/>
              <w:ind w:left="114" w:right="380"/>
              <w:rPr>
                <w:sz w:val="20"/>
              </w:rPr>
            </w:pPr>
            <w:r>
              <w:rPr>
                <w:sz w:val="20"/>
              </w:rPr>
              <w:t>Total waiting period</w:t>
            </w:r>
          </w:p>
        </w:tc>
        <w:tc>
          <w:tcPr>
            <w:tcW w:w="1285" w:type="dxa"/>
          </w:tcPr>
          <w:p w14:paraId="27BC5C3E" w14:textId="77777777" w:rsidR="0046798B" w:rsidRDefault="0046798B">
            <w:pPr>
              <w:pStyle w:val="TableParagraph"/>
              <w:spacing w:before="8"/>
              <w:rPr>
                <w:sz w:val="23"/>
              </w:rPr>
            </w:pPr>
          </w:p>
          <w:p w14:paraId="002B771E" w14:textId="77777777" w:rsidR="0046798B" w:rsidRDefault="00903B5C">
            <w:pPr>
              <w:pStyle w:val="TableParagraph"/>
              <w:spacing w:before="1"/>
              <w:ind w:left="114"/>
              <w:rPr>
                <w:sz w:val="20"/>
              </w:rPr>
            </w:pPr>
            <w:r>
              <w:rPr>
                <w:sz w:val="20"/>
              </w:rPr>
              <w:t>2000–2016</w:t>
            </w:r>
          </w:p>
        </w:tc>
        <w:tc>
          <w:tcPr>
            <w:tcW w:w="3421" w:type="dxa"/>
          </w:tcPr>
          <w:p w14:paraId="1E855D0B" w14:textId="77777777" w:rsidR="0046798B" w:rsidRDefault="0046798B">
            <w:pPr>
              <w:pStyle w:val="TableParagraph"/>
              <w:spacing w:before="8"/>
              <w:rPr>
                <w:sz w:val="23"/>
              </w:rPr>
            </w:pPr>
          </w:p>
          <w:p w14:paraId="7D4F29BD" w14:textId="77777777" w:rsidR="0046798B" w:rsidRDefault="00903B5C">
            <w:pPr>
              <w:pStyle w:val="TableParagraph"/>
              <w:spacing w:before="1"/>
              <w:ind w:left="114"/>
              <w:rPr>
                <w:sz w:val="20"/>
              </w:rPr>
            </w:pPr>
            <w:r>
              <w:rPr>
                <w:sz w:val="20"/>
              </w:rPr>
              <w:t>Total waiting period (slwp + slwp2)</w:t>
            </w:r>
          </w:p>
        </w:tc>
        <w:tc>
          <w:tcPr>
            <w:tcW w:w="6482" w:type="dxa"/>
          </w:tcPr>
          <w:p w14:paraId="61012F78"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184BB8E" w14:textId="77777777">
        <w:trPr>
          <w:trHeight w:val="1465"/>
        </w:trPr>
        <w:tc>
          <w:tcPr>
            <w:tcW w:w="1711" w:type="dxa"/>
          </w:tcPr>
          <w:p w14:paraId="261F1E83" w14:textId="77777777" w:rsidR="0046798B" w:rsidRDefault="0046798B">
            <w:pPr>
              <w:pStyle w:val="TableParagraph"/>
            </w:pPr>
          </w:p>
          <w:p w14:paraId="12E24E1A" w14:textId="77777777" w:rsidR="0046798B" w:rsidRDefault="0046798B">
            <w:pPr>
              <w:pStyle w:val="TableParagraph"/>
              <w:spacing w:before="3"/>
              <w:rPr>
                <w:sz w:val="21"/>
              </w:rPr>
            </w:pPr>
          </w:p>
          <w:p w14:paraId="0EDAEC01" w14:textId="77777777" w:rsidR="0046798B" w:rsidRDefault="00903B5C">
            <w:pPr>
              <w:pStyle w:val="TableParagraph"/>
              <w:spacing w:before="1"/>
              <w:ind w:left="115"/>
              <w:rPr>
                <w:b/>
                <w:sz w:val="20"/>
              </w:rPr>
            </w:pPr>
            <w:r>
              <w:rPr>
                <w:b/>
                <w:sz w:val="20"/>
              </w:rPr>
              <w:t>adoption_act_19 53_1969</w:t>
            </w:r>
          </w:p>
        </w:tc>
        <w:tc>
          <w:tcPr>
            <w:tcW w:w="1596" w:type="dxa"/>
          </w:tcPr>
          <w:p w14:paraId="7F9C8A72" w14:textId="77777777" w:rsidR="0046798B" w:rsidRDefault="0046798B">
            <w:pPr>
              <w:pStyle w:val="TableParagraph"/>
              <w:spacing w:before="3"/>
              <w:rPr>
                <w:sz w:val="23"/>
              </w:rPr>
            </w:pPr>
          </w:p>
          <w:p w14:paraId="33783E70" w14:textId="77777777" w:rsidR="0046798B" w:rsidRDefault="00903B5C">
            <w:pPr>
              <w:pStyle w:val="TableParagraph"/>
              <w:spacing w:before="1"/>
              <w:ind w:left="114" w:right="302"/>
              <w:rPr>
                <w:sz w:val="20"/>
              </w:rPr>
            </w:pPr>
            <w:r>
              <w:rPr>
                <w:sz w:val="20"/>
              </w:rPr>
              <w:t>Act regulating adoption requirements and standards</w:t>
            </w:r>
          </w:p>
        </w:tc>
        <w:tc>
          <w:tcPr>
            <w:tcW w:w="1285" w:type="dxa"/>
          </w:tcPr>
          <w:p w14:paraId="27000E74" w14:textId="77777777" w:rsidR="0046798B" w:rsidRDefault="0046798B">
            <w:pPr>
              <w:pStyle w:val="TableParagraph"/>
            </w:pPr>
          </w:p>
          <w:p w14:paraId="483741B8" w14:textId="77777777" w:rsidR="0046798B" w:rsidRDefault="0046798B">
            <w:pPr>
              <w:pStyle w:val="TableParagraph"/>
              <w:spacing w:before="3"/>
              <w:rPr>
                <w:sz w:val="31"/>
              </w:rPr>
            </w:pPr>
          </w:p>
          <w:p w14:paraId="0AE117EC" w14:textId="77777777" w:rsidR="0046798B" w:rsidRDefault="00903B5C">
            <w:pPr>
              <w:pStyle w:val="TableParagraph"/>
              <w:spacing w:before="1"/>
              <w:ind w:left="114"/>
              <w:rPr>
                <w:sz w:val="20"/>
              </w:rPr>
            </w:pPr>
            <w:r>
              <w:rPr>
                <w:sz w:val="20"/>
              </w:rPr>
              <w:t>1971–1977</w:t>
            </w:r>
          </w:p>
        </w:tc>
        <w:tc>
          <w:tcPr>
            <w:tcW w:w="3421" w:type="dxa"/>
          </w:tcPr>
          <w:p w14:paraId="785F77AC" w14:textId="77777777" w:rsidR="0046798B" w:rsidRDefault="0046798B">
            <w:pPr>
              <w:pStyle w:val="TableParagraph"/>
            </w:pPr>
          </w:p>
          <w:p w14:paraId="017EF182" w14:textId="77777777" w:rsidR="0046798B" w:rsidRDefault="0046798B">
            <w:pPr>
              <w:pStyle w:val="TableParagraph"/>
              <w:spacing w:before="3"/>
              <w:rPr>
                <w:sz w:val="21"/>
              </w:rPr>
            </w:pPr>
          </w:p>
          <w:p w14:paraId="7E03AA9D"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6DB5578C" w14:textId="77777777" w:rsidR="0046798B" w:rsidRDefault="00903B5C">
            <w:pPr>
              <w:pStyle w:val="TableParagraph"/>
              <w:spacing w:before="38"/>
              <w:ind w:left="114"/>
              <w:rPr>
                <w:sz w:val="20"/>
              </w:rPr>
            </w:pPr>
            <w:r>
              <w:rPr>
                <w:sz w:val="20"/>
              </w:rPr>
              <w:t xml:space="preserve">Uniform Law Commission website: </w:t>
            </w:r>
            <w:hyperlink r:id="rId762">
              <w:r>
                <w:rPr>
                  <w:color w:val="0462C1"/>
                  <w:sz w:val="20"/>
                  <w:u w:val="single" w:color="0462C1"/>
                </w:rPr>
                <w:t>http://www.uniformlaws.org/</w:t>
              </w:r>
            </w:hyperlink>
          </w:p>
          <w:p w14:paraId="60EC8DAB" w14:textId="77777777" w:rsidR="0046798B" w:rsidRDefault="0046798B">
            <w:pPr>
              <w:pStyle w:val="TableParagraph"/>
              <w:rPr>
                <w:sz w:val="20"/>
              </w:rPr>
            </w:pPr>
          </w:p>
          <w:p w14:paraId="6E03C40B"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37293254" w14:textId="77777777">
        <w:trPr>
          <w:trHeight w:val="1465"/>
        </w:trPr>
        <w:tc>
          <w:tcPr>
            <w:tcW w:w="1711" w:type="dxa"/>
          </w:tcPr>
          <w:p w14:paraId="7C1BFD3D" w14:textId="77777777" w:rsidR="0046798B" w:rsidRDefault="0046798B">
            <w:pPr>
              <w:pStyle w:val="TableParagraph"/>
            </w:pPr>
          </w:p>
          <w:p w14:paraId="58CF1860" w14:textId="77777777" w:rsidR="0046798B" w:rsidRDefault="0046798B">
            <w:pPr>
              <w:pStyle w:val="TableParagraph"/>
              <w:spacing w:before="3"/>
              <w:rPr>
                <w:sz w:val="21"/>
              </w:rPr>
            </w:pPr>
          </w:p>
          <w:p w14:paraId="1BE70799" w14:textId="77777777" w:rsidR="0046798B" w:rsidRDefault="00903B5C">
            <w:pPr>
              <w:pStyle w:val="TableParagraph"/>
              <w:spacing w:before="1"/>
              <w:ind w:left="115"/>
              <w:rPr>
                <w:b/>
                <w:sz w:val="20"/>
              </w:rPr>
            </w:pPr>
            <w:r>
              <w:rPr>
                <w:b/>
                <w:sz w:val="20"/>
              </w:rPr>
              <w:t>adoption_act_19 94</w:t>
            </w:r>
          </w:p>
        </w:tc>
        <w:tc>
          <w:tcPr>
            <w:tcW w:w="1596" w:type="dxa"/>
          </w:tcPr>
          <w:p w14:paraId="091B4191" w14:textId="77777777" w:rsidR="0046798B" w:rsidRDefault="00903B5C">
            <w:pPr>
              <w:pStyle w:val="TableParagraph"/>
              <w:spacing w:before="153"/>
              <w:ind w:left="114" w:right="280"/>
              <w:rPr>
                <w:sz w:val="20"/>
              </w:rPr>
            </w:pPr>
            <w:r>
              <w:rPr>
                <w:sz w:val="20"/>
              </w:rPr>
              <w:t>Act regulating adoption requirements and standards (1994 version)</w:t>
            </w:r>
          </w:p>
        </w:tc>
        <w:tc>
          <w:tcPr>
            <w:tcW w:w="1285" w:type="dxa"/>
          </w:tcPr>
          <w:p w14:paraId="75AF0800" w14:textId="77777777" w:rsidR="0046798B" w:rsidRDefault="0046798B">
            <w:pPr>
              <w:pStyle w:val="TableParagraph"/>
            </w:pPr>
          </w:p>
          <w:p w14:paraId="56D2EE45" w14:textId="77777777" w:rsidR="0046798B" w:rsidRDefault="0046798B">
            <w:pPr>
              <w:pStyle w:val="TableParagraph"/>
              <w:spacing w:before="4"/>
              <w:rPr>
                <w:sz w:val="31"/>
              </w:rPr>
            </w:pPr>
          </w:p>
          <w:p w14:paraId="750BBA16" w14:textId="77777777" w:rsidR="0046798B" w:rsidRDefault="00903B5C">
            <w:pPr>
              <w:pStyle w:val="TableParagraph"/>
              <w:ind w:left="114"/>
              <w:rPr>
                <w:sz w:val="20"/>
              </w:rPr>
            </w:pPr>
            <w:r>
              <w:rPr>
                <w:sz w:val="20"/>
              </w:rPr>
              <w:t>1996</w:t>
            </w:r>
          </w:p>
        </w:tc>
        <w:tc>
          <w:tcPr>
            <w:tcW w:w="3421" w:type="dxa"/>
          </w:tcPr>
          <w:p w14:paraId="5DEEC2D8" w14:textId="77777777" w:rsidR="0046798B" w:rsidRDefault="0046798B">
            <w:pPr>
              <w:pStyle w:val="TableParagraph"/>
            </w:pPr>
          </w:p>
          <w:p w14:paraId="2BB5C531" w14:textId="77777777" w:rsidR="0046798B" w:rsidRDefault="0046798B">
            <w:pPr>
              <w:pStyle w:val="TableParagraph"/>
              <w:spacing w:before="3"/>
              <w:rPr>
                <w:sz w:val="21"/>
              </w:rPr>
            </w:pPr>
          </w:p>
          <w:p w14:paraId="775AB1C7"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6D631C59" w14:textId="77777777" w:rsidR="0046798B" w:rsidRDefault="00903B5C">
            <w:pPr>
              <w:pStyle w:val="TableParagraph"/>
              <w:spacing w:before="38"/>
              <w:ind w:left="114"/>
              <w:rPr>
                <w:sz w:val="20"/>
              </w:rPr>
            </w:pPr>
            <w:r>
              <w:rPr>
                <w:sz w:val="20"/>
              </w:rPr>
              <w:t xml:space="preserve">Uniform Law Commission website: </w:t>
            </w:r>
            <w:hyperlink r:id="rId763">
              <w:r>
                <w:rPr>
                  <w:color w:val="0462C1"/>
                  <w:sz w:val="20"/>
                  <w:u w:val="single" w:color="0462C1"/>
                </w:rPr>
                <w:t>http://www.uniformlaws.org/</w:t>
              </w:r>
            </w:hyperlink>
          </w:p>
          <w:p w14:paraId="0E436252" w14:textId="77777777" w:rsidR="0046798B" w:rsidRDefault="0046798B">
            <w:pPr>
              <w:pStyle w:val="TableParagraph"/>
              <w:rPr>
                <w:sz w:val="20"/>
              </w:rPr>
            </w:pPr>
          </w:p>
          <w:p w14:paraId="4A1F8B20"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79D68232" w14:textId="77777777">
        <w:trPr>
          <w:trHeight w:val="1465"/>
        </w:trPr>
        <w:tc>
          <w:tcPr>
            <w:tcW w:w="1711" w:type="dxa"/>
          </w:tcPr>
          <w:p w14:paraId="427C82FA" w14:textId="77777777" w:rsidR="0046798B" w:rsidRDefault="0046798B">
            <w:pPr>
              <w:pStyle w:val="TableParagraph"/>
            </w:pPr>
          </w:p>
          <w:p w14:paraId="3DB98F15" w14:textId="77777777" w:rsidR="0046798B" w:rsidRDefault="00903B5C">
            <w:pPr>
              <w:pStyle w:val="TableParagraph"/>
              <w:spacing w:before="131"/>
              <w:ind w:left="115" w:right="39"/>
              <w:rPr>
                <w:b/>
                <w:sz w:val="20"/>
              </w:rPr>
            </w:pPr>
            <w:r>
              <w:rPr>
                <w:b/>
                <w:sz w:val="20"/>
              </w:rPr>
              <w:t>adult_guardians hip_and_protecti v</w:t>
            </w:r>
          </w:p>
        </w:tc>
        <w:tc>
          <w:tcPr>
            <w:tcW w:w="1596" w:type="dxa"/>
          </w:tcPr>
          <w:p w14:paraId="12B2DF70" w14:textId="77777777" w:rsidR="0046798B" w:rsidRDefault="0046798B">
            <w:pPr>
              <w:pStyle w:val="TableParagraph"/>
              <w:spacing w:before="3"/>
              <w:rPr>
                <w:sz w:val="23"/>
              </w:rPr>
            </w:pPr>
          </w:p>
          <w:p w14:paraId="7332981D" w14:textId="77777777" w:rsidR="0046798B" w:rsidRDefault="00903B5C">
            <w:pPr>
              <w:pStyle w:val="TableParagraph"/>
              <w:spacing w:before="1"/>
              <w:ind w:left="114" w:right="249"/>
              <w:rPr>
                <w:sz w:val="20"/>
              </w:rPr>
            </w:pPr>
            <w:r>
              <w:rPr>
                <w:sz w:val="20"/>
              </w:rPr>
              <w:t>Mechanism for multi-state guardianship disputes</w:t>
            </w:r>
          </w:p>
        </w:tc>
        <w:tc>
          <w:tcPr>
            <w:tcW w:w="1285" w:type="dxa"/>
          </w:tcPr>
          <w:p w14:paraId="770274DC" w14:textId="77777777" w:rsidR="0046798B" w:rsidRDefault="0046798B">
            <w:pPr>
              <w:pStyle w:val="TableParagraph"/>
            </w:pPr>
          </w:p>
          <w:p w14:paraId="344A2484" w14:textId="77777777" w:rsidR="0046798B" w:rsidRDefault="0046798B">
            <w:pPr>
              <w:pStyle w:val="TableParagraph"/>
              <w:spacing w:before="4"/>
              <w:rPr>
                <w:sz w:val="31"/>
              </w:rPr>
            </w:pPr>
          </w:p>
          <w:p w14:paraId="1B67BAE4" w14:textId="77777777" w:rsidR="0046798B" w:rsidRDefault="00903B5C">
            <w:pPr>
              <w:pStyle w:val="TableParagraph"/>
              <w:ind w:left="114"/>
              <w:rPr>
                <w:sz w:val="20"/>
              </w:rPr>
            </w:pPr>
            <w:r>
              <w:rPr>
                <w:sz w:val="20"/>
              </w:rPr>
              <w:t>2008–2016</w:t>
            </w:r>
          </w:p>
        </w:tc>
        <w:tc>
          <w:tcPr>
            <w:tcW w:w="3421" w:type="dxa"/>
          </w:tcPr>
          <w:p w14:paraId="7579759F" w14:textId="77777777" w:rsidR="0046798B" w:rsidRDefault="0046798B">
            <w:pPr>
              <w:pStyle w:val="TableParagraph"/>
            </w:pPr>
          </w:p>
          <w:p w14:paraId="4FA248D3" w14:textId="77777777" w:rsidR="0046798B" w:rsidRDefault="0046798B">
            <w:pPr>
              <w:pStyle w:val="TableParagraph"/>
              <w:spacing w:before="4"/>
              <w:rPr>
                <w:sz w:val="21"/>
              </w:rPr>
            </w:pPr>
          </w:p>
          <w:p w14:paraId="1FD0AE6E" w14:textId="77777777" w:rsidR="0046798B" w:rsidRDefault="00903B5C">
            <w:pPr>
              <w:pStyle w:val="TableParagraph"/>
              <w:ind w:left="114" w:right="1475"/>
              <w:rPr>
                <w:sz w:val="20"/>
              </w:rPr>
            </w:pPr>
            <w:r>
              <w:rPr>
                <w:sz w:val="20"/>
              </w:rPr>
              <w:t>0 = policy not adopted 1 = policy adopted</w:t>
            </w:r>
          </w:p>
        </w:tc>
        <w:tc>
          <w:tcPr>
            <w:tcW w:w="6482" w:type="dxa"/>
          </w:tcPr>
          <w:p w14:paraId="23C07B65" w14:textId="77777777" w:rsidR="0046798B" w:rsidRDefault="00903B5C">
            <w:pPr>
              <w:pStyle w:val="TableParagraph"/>
              <w:spacing w:before="38"/>
              <w:ind w:left="114"/>
              <w:rPr>
                <w:sz w:val="20"/>
              </w:rPr>
            </w:pPr>
            <w:r>
              <w:rPr>
                <w:sz w:val="20"/>
              </w:rPr>
              <w:t xml:space="preserve">Uniform Law Commission website: </w:t>
            </w:r>
            <w:hyperlink r:id="rId764">
              <w:r>
                <w:rPr>
                  <w:color w:val="0462C1"/>
                  <w:sz w:val="20"/>
                  <w:u w:val="single" w:color="0462C1"/>
                </w:rPr>
                <w:t>http://www.uniformlaws.org/</w:t>
              </w:r>
            </w:hyperlink>
          </w:p>
          <w:p w14:paraId="2A4A8578" w14:textId="77777777" w:rsidR="0046798B" w:rsidRDefault="0046798B">
            <w:pPr>
              <w:pStyle w:val="TableParagraph"/>
              <w:rPr>
                <w:sz w:val="20"/>
              </w:rPr>
            </w:pPr>
          </w:p>
          <w:p w14:paraId="07EF13C8"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5AE68B29" w14:textId="77777777">
        <w:trPr>
          <w:trHeight w:val="1465"/>
        </w:trPr>
        <w:tc>
          <w:tcPr>
            <w:tcW w:w="1711" w:type="dxa"/>
          </w:tcPr>
          <w:p w14:paraId="354DAE41" w14:textId="77777777" w:rsidR="0046798B" w:rsidRDefault="0046798B">
            <w:pPr>
              <w:pStyle w:val="TableParagraph"/>
            </w:pPr>
          </w:p>
          <w:p w14:paraId="0022B149" w14:textId="77777777" w:rsidR="0046798B" w:rsidRDefault="00903B5C">
            <w:pPr>
              <w:pStyle w:val="TableParagraph"/>
              <w:spacing w:before="135"/>
              <w:ind w:left="115" w:right="129"/>
              <w:jc w:val="both"/>
              <w:rPr>
                <w:b/>
                <w:sz w:val="20"/>
              </w:rPr>
            </w:pPr>
            <w:r>
              <w:rPr>
                <w:b/>
                <w:sz w:val="20"/>
              </w:rPr>
              <w:t>deployed_parent s_custody_and_v is</w:t>
            </w:r>
          </w:p>
        </w:tc>
        <w:tc>
          <w:tcPr>
            <w:tcW w:w="1596" w:type="dxa"/>
          </w:tcPr>
          <w:p w14:paraId="4DF7DD70" w14:textId="77777777" w:rsidR="0046798B" w:rsidRDefault="00903B5C">
            <w:pPr>
              <w:pStyle w:val="TableParagraph"/>
              <w:spacing w:before="43"/>
              <w:ind w:left="114" w:right="102"/>
              <w:rPr>
                <w:sz w:val="20"/>
              </w:rPr>
            </w:pPr>
            <w:r>
              <w:rPr>
                <w:sz w:val="20"/>
              </w:rPr>
              <w:t>Addresses issues of child custody and visitation that arise when parents are deployed in</w:t>
            </w:r>
          </w:p>
        </w:tc>
        <w:tc>
          <w:tcPr>
            <w:tcW w:w="1285" w:type="dxa"/>
          </w:tcPr>
          <w:p w14:paraId="38F6FA11" w14:textId="77777777" w:rsidR="0046798B" w:rsidRDefault="0046798B">
            <w:pPr>
              <w:pStyle w:val="TableParagraph"/>
            </w:pPr>
          </w:p>
          <w:p w14:paraId="75E42102" w14:textId="77777777" w:rsidR="0046798B" w:rsidRDefault="0046798B">
            <w:pPr>
              <w:pStyle w:val="TableParagraph"/>
              <w:spacing w:before="9"/>
              <w:rPr>
                <w:sz w:val="31"/>
              </w:rPr>
            </w:pPr>
          </w:p>
          <w:p w14:paraId="4BD34AD4" w14:textId="77777777" w:rsidR="0046798B" w:rsidRDefault="00903B5C">
            <w:pPr>
              <w:pStyle w:val="TableParagraph"/>
              <w:ind w:left="114"/>
              <w:rPr>
                <w:sz w:val="20"/>
              </w:rPr>
            </w:pPr>
            <w:r>
              <w:rPr>
                <w:sz w:val="20"/>
              </w:rPr>
              <w:t>2013–2016</w:t>
            </w:r>
          </w:p>
        </w:tc>
        <w:tc>
          <w:tcPr>
            <w:tcW w:w="3421" w:type="dxa"/>
          </w:tcPr>
          <w:p w14:paraId="03EA7FA9" w14:textId="77777777" w:rsidR="0046798B" w:rsidRDefault="0046798B">
            <w:pPr>
              <w:pStyle w:val="TableParagraph"/>
            </w:pPr>
          </w:p>
          <w:p w14:paraId="5630254C" w14:textId="77777777" w:rsidR="0046798B" w:rsidRDefault="0046798B">
            <w:pPr>
              <w:pStyle w:val="TableParagraph"/>
              <w:spacing w:before="9"/>
              <w:rPr>
                <w:sz w:val="21"/>
              </w:rPr>
            </w:pPr>
          </w:p>
          <w:p w14:paraId="1013C993" w14:textId="77777777" w:rsidR="0046798B" w:rsidRDefault="00903B5C">
            <w:pPr>
              <w:pStyle w:val="TableParagraph"/>
              <w:ind w:left="114" w:right="1475"/>
              <w:rPr>
                <w:sz w:val="20"/>
              </w:rPr>
            </w:pPr>
            <w:r>
              <w:rPr>
                <w:sz w:val="20"/>
              </w:rPr>
              <w:t>0 = policy not adopted 1 = policy adopted</w:t>
            </w:r>
          </w:p>
        </w:tc>
        <w:tc>
          <w:tcPr>
            <w:tcW w:w="6482" w:type="dxa"/>
          </w:tcPr>
          <w:p w14:paraId="6228D4A2" w14:textId="77777777" w:rsidR="0046798B" w:rsidRDefault="00903B5C">
            <w:pPr>
              <w:pStyle w:val="TableParagraph"/>
              <w:spacing w:before="43"/>
              <w:ind w:left="114"/>
              <w:rPr>
                <w:sz w:val="20"/>
              </w:rPr>
            </w:pPr>
            <w:r>
              <w:rPr>
                <w:sz w:val="20"/>
              </w:rPr>
              <w:t xml:space="preserve">Uniform Law Commission website: </w:t>
            </w:r>
            <w:hyperlink r:id="rId765">
              <w:r>
                <w:rPr>
                  <w:color w:val="0462C1"/>
                  <w:sz w:val="20"/>
                  <w:u w:val="single" w:color="0462C1"/>
                </w:rPr>
                <w:t>http://www.uniformlaws.org/</w:t>
              </w:r>
            </w:hyperlink>
          </w:p>
          <w:p w14:paraId="53722896" w14:textId="77777777" w:rsidR="0046798B" w:rsidRDefault="0046798B">
            <w:pPr>
              <w:pStyle w:val="TableParagraph"/>
              <w:rPr>
                <w:sz w:val="20"/>
              </w:rPr>
            </w:pPr>
          </w:p>
          <w:p w14:paraId="5D8BE53F"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bl>
    <w:p w14:paraId="5975859A" w14:textId="77777777" w:rsidR="0046798B" w:rsidRDefault="0046798B">
      <w:pPr>
        <w:rPr>
          <w:sz w:val="20"/>
        </w:rPr>
        <w:sectPr w:rsidR="0046798B">
          <w:pgSz w:w="15840" w:h="12240" w:orient="landscape"/>
          <w:pgMar w:top="1220" w:right="300" w:bottom="980" w:left="820" w:header="730" w:footer="787" w:gutter="0"/>
          <w:cols w:space="720"/>
        </w:sectPr>
      </w:pPr>
    </w:p>
    <w:p w14:paraId="0C933965"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35CE6EC1" w14:textId="77777777">
        <w:trPr>
          <w:trHeight w:val="542"/>
        </w:trPr>
        <w:tc>
          <w:tcPr>
            <w:tcW w:w="1711" w:type="dxa"/>
            <w:tcBorders>
              <w:bottom w:val="dotted" w:sz="6" w:space="0" w:color="BEBEBE"/>
            </w:tcBorders>
          </w:tcPr>
          <w:p w14:paraId="070D8002" w14:textId="77777777" w:rsidR="0046798B" w:rsidRDefault="0046798B">
            <w:pPr>
              <w:pStyle w:val="TableParagraph"/>
              <w:rPr>
                <w:sz w:val="20"/>
              </w:rPr>
            </w:pPr>
          </w:p>
        </w:tc>
        <w:tc>
          <w:tcPr>
            <w:tcW w:w="1596" w:type="dxa"/>
            <w:tcBorders>
              <w:bottom w:val="dotted" w:sz="6" w:space="0" w:color="BEBEBE"/>
            </w:tcBorders>
          </w:tcPr>
          <w:p w14:paraId="2BF47590" w14:textId="77777777" w:rsidR="0046798B" w:rsidRDefault="00903B5C">
            <w:pPr>
              <w:pStyle w:val="TableParagraph"/>
              <w:spacing w:before="43"/>
              <w:ind w:left="114"/>
              <w:rPr>
                <w:sz w:val="20"/>
              </w:rPr>
            </w:pPr>
            <w:r>
              <w:rPr>
                <w:sz w:val="20"/>
              </w:rPr>
              <w:t>military or other national service</w:t>
            </w:r>
          </w:p>
        </w:tc>
        <w:tc>
          <w:tcPr>
            <w:tcW w:w="1285" w:type="dxa"/>
            <w:tcBorders>
              <w:bottom w:val="dotted" w:sz="6" w:space="0" w:color="BEBEBE"/>
            </w:tcBorders>
          </w:tcPr>
          <w:p w14:paraId="5C4EEEED" w14:textId="77777777" w:rsidR="0046798B" w:rsidRDefault="0046798B">
            <w:pPr>
              <w:pStyle w:val="TableParagraph"/>
              <w:rPr>
                <w:sz w:val="20"/>
              </w:rPr>
            </w:pPr>
          </w:p>
        </w:tc>
        <w:tc>
          <w:tcPr>
            <w:tcW w:w="3421" w:type="dxa"/>
            <w:tcBorders>
              <w:bottom w:val="dotted" w:sz="6" w:space="0" w:color="BEBEBE"/>
            </w:tcBorders>
          </w:tcPr>
          <w:p w14:paraId="5B30DD3A" w14:textId="77777777" w:rsidR="0046798B" w:rsidRDefault="0046798B">
            <w:pPr>
              <w:pStyle w:val="TableParagraph"/>
              <w:rPr>
                <w:sz w:val="20"/>
              </w:rPr>
            </w:pPr>
          </w:p>
        </w:tc>
        <w:tc>
          <w:tcPr>
            <w:tcW w:w="6482" w:type="dxa"/>
            <w:tcBorders>
              <w:bottom w:val="dotted" w:sz="6" w:space="0" w:color="BEBEBE"/>
            </w:tcBorders>
          </w:tcPr>
          <w:p w14:paraId="7CA3DFD2" w14:textId="77777777" w:rsidR="0046798B" w:rsidRDefault="0046798B">
            <w:pPr>
              <w:pStyle w:val="TableParagraph"/>
              <w:rPr>
                <w:sz w:val="20"/>
              </w:rPr>
            </w:pPr>
          </w:p>
        </w:tc>
      </w:tr>
      <w:tr w:rsidR="0046798B" w14:paraId="1F43B045" w14:textId="77777777">
        <w:trPr>
          <w:trHeight w:val="2383"/>
        </w:trPr>
        <w:tc>
          <w:tcPr>
            <w:tcW w:w="1711" w:type="dxa"/>
            <w:tcBorders>
              <w:top w:val="dotted" w:sz="6" w:space="0" w:color="BEBEBE"/>
            </w:tcBorders>
          </w:tcPr>
          <w:p w14:paraId="4B7BB881" w14:textId="77777777" w:rsidR="0046798B" w:rsidRDefault="0046798B">
            <w:pPr>
              <w:pStyle w:val="TableParagraph"/>
            </w:pPr>
          </w:p>
          <w:p w14:paraId="64621742" w14:textId="77777777" w:rsidR="0046798B" w:rsidRDefault="0046798B">
            <w:pPr>
              <w:pStyle w:val="TableParagraph"/>
            </w:pPr>
          </w:p>
          <w:p w14:paraId="22233C7C" w14:textId="77777777" w:rsidR="0046798B" w:rsidRDefault="0046798B">
            <w:pPr>
              <w:pStyle w:val="TableParagraph"/>
              <w:spacing w:before="6"/>
              <w:rPr>
                <w:sz w:val="29"/>
              </w:rPr>
            </w:pPr>
          </w:p>
          <w:p w14:paraId="3CD41E0A" w14:textId="77777777" w:rsidR="0046798B" w:rsidRDefault="00903B5C">
            <w:pPr>
              <w:pStyle w:val="TableParagraph"/>
              <w:ind w:left="115" w:right="104"/>
              <w:jc w:val="both"/>
              <w:rPr>
                <w:b/>
                <w:sz w:val="20"/>
              </w:rPr>
            </w:pPr>
            <w:r>
              <w:rPr>
                <w:b/>
                <w:sz w:val="20"/>
              </w:rPr>
              <w:t>disposition_of_co mmunity_proper t</w:t>
            </w:r>
          </w:p>
        </w:tc>
        <w:tc>
          <w:tcPr>
            <w:tcW w:w="1596" w:type="dxa"/>
            <w:tcBorders>
              <w:top w:val="dotted" w:sz="6" w:space="0" w:color="BEBEBE"/>
            </w:tcBorders>
          </w:tcPr>
          <w:p w14:paraId="309139EE" w14:textId="77777777" w:rsidR="0046798B" w:rsidRDefault="00903B5C">
            <w:pPr>
              <w:pStyle w:val="TableParagraph"/>
              <w:spacing w:before="40"/>
              <w:ind w:left="114" w:right="193"/>
              <w:rPr>
                <w:sz w:val="20"/>
              </w:rPr>
            </w:pPr>
            <w:r>
              <w:rPr>
                <w:sz w:val="20"/>
              </w:rPr>
              <w:t>Preserves the rights of each spouse in property that was community property before the spouses moved to the non-community property state</w:t>
            </w:r>
          </w:p>
        </w:tc>
        <w:tc>
          <w:tcPr>
            <w:tcW w:w="1285" w:type="dxa"/>
            <w:tcBorders>
              <w:top w:val="dotted" w:sz="6" w:space="0" w:color="BEBEBE"/>
            </w:tcBorders>
          </w:tcPr>
          <w:p w14:paraId="4E682033" w14:textId="77777777" w:rsidR="0046798B" w:rsidRDefault="0046798B">
            <w:pPr>
              <w:pStyle w:val="TableParagraph"/>
            </w:pPr>
          </w:p>
          <w:p w14:paraId="0BA81BF9" w14:textId="77777777" w:rsidR="0046798B" w:rsidRDefault="0046798B">
            <w:pPr>
              <w:pStyle w:val="TableParagraph"/>
            </w:pPr>
          </w:p>
          <w:p w14:paraId="4B45D1F5" w14:textId="77777777" w:rsidR="0046798B" w:rsidRDefault="0046798B">
            <w:pPr>
              <w:pStyle w:val="TableParagraph"/>
            </w:pPr>
          </w:p>
          <w:p w14:paraId="50948E2D" w14:textId="77777777" w:rsidR="0046798B" w:rsidRDefault="0046798B">
            <w:pPr>
              <w:pStyle w:val="TableParagraph"/>
              <w:spacing w:before="6"/>
              <w:rPr>
                <w:sz w:val="27"/>
              </w:rPr>
            </w:pPr>
          </w:p>
          <w:p w14:paraId="6E1F3CF2" w14:textId="77777777" w:rsidR="0046798B" w:rsidRDefault="00903B5C">
            <w:pPr>
              <w:pStyle w:val="TableParagraph"/>
              <w:spacing w:before="1"/>
              <w:ind w:left="114"/>
              <w:rPr>
                <w:sz w:val="20"/>
              </w:rPr>
            </w:pPr>
            <w:r>
              <w:rPr>
                <w:sz w:val="20"/>
              </w:rPr>
              <w:t>1973–2013</w:t>
            </w:r>
          </w:p>
        </w:tc>
        <w:tc>
          <w:tcPr>
            <w:tcW w:w="3421" w:type="dxa"/>
            <w:tcBorders>
              <w:top w:val="dotted" w:sz="6" w:space="0" w:color="BEBEBE"/>
            </w:tcBorders>
          </w:tcPr>
          <w:p w14:paraId="3F71FFA2" w14:textId="77777777" w:rsidR="0046798B" w:rsidRDefault="0046798B">
            <w:pPr>
              <w:pStyle w:val="TableParagraph"/>
            </w:pPr>
          </w:p>
          <w:p w14:paraId="1368BD1A" w14:textId="77777777" w:rsidR="0046798B" w:rsidRDefault="0046798B">
            <w:pPr>
              <w:pStyle w:val="TableParagraph"/>
            </w:pPr>
          </w:p>
          <w:p w14:paraId="342B3A5B" w14:textId="77777777" w:rsidR="0046798B" w:rsidRDefault="0046798B">
            <w:pPr>
              <w:pStyle w:val="TableParagraph"/>
            </w:pPr>
          </w:p>
          <w:p w14:paraId="796A7977" w14:textId="77777777" w:rsidR="0046798B" w:rsidRDefault="0046798B">
            <w:pPr>
              <w:pStyle w:val="TableParagraph"/>
              <w:spacing w:before="6"/>
              <w:rPr>
                <w:sz w:val="17"/>
              </w:rPr>
            </w:pPr>
          </w:p>
          <w:p w14:paraId="04C2C438" w14:textId="77777777" w:rsidR="0046798B" w:rsidRDefault="00903B5C">
            <w:pPr>
              <w:pStyle w:val="TableParagraph"/>
              <w:spacing w:before="1"/>
              <w:ind w:left="114" w:right="1475"/>
              <w:rPr>
                <w:sz w:val="20"/>
              </w:rPr>
            </w:pPr>
            <w:r>
              <w:rPr>
                <w:sz w:val="20"/>
              </w:rPr>
              <w:t>0 = policy not adopted 1 = policy adopted</w:t>
            </w:r>
          </w:p>
        </w:tc>
        <w:tc>
          <w:tcPr>
            <w:tcW w:w="6482" w:type="dxa"/>
            <w:tcBorders>
              <w:top w:val="dotted" w:sz="6" w:space="0" w:color="BEBEBE"/>
            </w:tcBorders>
          </w:tcPr>
          <w:p w14:paraId="3EEE40BB" w14:textId="77777777" w:rsidR="0046798B" w:rsidRDefault="0046798B">
            <w:pPr>
              <w:pStyle w:val="TableParagraph"/>
            </w:pPr>
          </w:p>
          <w:p w14:paraId="55361C1A" w14:textId="77777777" w:rsidR="0046798B" w:rsidRDefault="0046798B">
            <w:pPr>
              <w:pStyle w:val="TableParagraph"/>
              <w:spacing w:before="6"/>
              <w:rPr>
                <w:sz w:val="21"/>
              </w:rPr>
            </w:pPr>
          </w:p>
          <w:p w14:paraId="17E0E6F1" w14:textId="77777777" w:rsidR="0046798B" w:rsidRDefault="00903B5C">
            <w:pPr>
              <w:pStyle w:val="TableParagraph"/>
              <w:ind w:left="114"/>
              <w:rPr>
                <w:sz w:val="20"/>
              </w:rPr>
            </w:pPr>
            <w:r>
              <w:rPr>
                <w:sz w:val="20"/>
              </w:rPr>
              <w:t xml:space="preserve">Uniform Law Commission website: </w:t>
            </w:r>
            <w:hyperlink r:id="rId766">
              <w:r>
                <w:rPr>
                  <w:color w:val="0462C1"/>
                  <w:sz w:val="20"/>
                  <w:u w:val="single" w:color="0462C1"/>
                </w:rPr>
                <w:t>http://www.uniformlaws.org/</w:t>
              </w:r>
            </w:hyperlink>
          </w:p>
          <w:p w14:paraId="2A0868B2" w14:textId="77777777" w:rsidR="0046798B" w:rsidRDefault="0046798B">
            <w:pPr>
              <w:pStyle w:val="TableParagraph"/>
              <w:rPr>
                <w:sz w:val="20"/>
              </w:rPr>
            </w:pPr>
          </w:p>
          <w:p w14:paraId="1FA53089"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4A37D440" w14:textId="77777777">
        <w:trPr>
          <w:trHeight w:val="1470"/>
        </w:trPr>
        <w:tc>
          <w:tcPr>
            <w:tcW w:w="1711" w:type="dxa"/>
          </w:tcPr>
          <w:p w14:paraId="02CDF8E6" w14:textId="77777777" w:rsidR="0046798B" w:rsidRDefault="0046798B">
            <w:pPr>
              <w:pStyle w:val="TableParagraph"/>
            </w:pPr>
          </w:p>
          <w:p w14:paraId="32D23B04" w14:textId="77777777" w:rsidR="0046798B" w:rsidRDefault="00903B5C">
            <w:pPr>
              <w:pStyle w:val="TableParagraph"/>
              <w:spacing w:before="135"/>
              <w:ind w:left="115" w:right="120"/>
              <w:jc w:val="both"/>
              <w:rPr>
                <w:b/>
                <w:sz w:val="20"/>
              </w:rPr>
            </w:pPr>
            <w:r>
              <w:rPr>
                <w:b/>
                <w:sz w:val="20"/>
              </w:rPr>
              <w:t xml:space="preserve">guardianship_an </w:t>
            </w:r>
            <w:r>
              <w:rPr>
                <w:b/>
                <w:spacing w:val="-1"/>
                <w:sz w:val="20"/>
              </w:rPr>
              <w:t xml:space="preserve">d_protective_pro </w:t>
            </w:r>
            <w:r>
              <w:rPr>
                <w:b/>
                <w:sz w:val="20"/>
              </w:rPr>
              <w:t>c</w:t>
            </w:r>
          </w:p>
        </w:tc>
        <w:tc>
          <w:tcPr>
            <w:tcW w:w="1596" w:type="dxa"/>
          </w:tcPr>
          <w:p w14:paraId="462EC96B" w14:textId="77777777" w:rsidR="0046798B" w:rsidRDefault="00903B5C">
            <w:pPr>
              <w:pStyle w:val="TableParagraph"/>
              <w:spacing w:before="158"/>
              <w:ind w:left="114" w:right="119"/>
              <w:rPr>
                <w:sz w:val="20"/>
              </w:rPr>
            </w:pPr>
            <w:r>
              <w:rPr>
                <w:sz w:val="20"/>
              </w:rPr>
              <w:t>Procedures on the appointment and guardians of conservators of minors</w:t>
            </w:r>
          </w:p>
        </w:tc>
        <w:tc>
          <w:tcPr>
            <w:tcW w:w="1285" w:type="dxa"/>
          </w:tcPr>
          <w:p w14:paraId="0BF1EADC" w14:textId="77777777" w:rsidR="0046798B" w:rsidRDefault="0046798B">
            <w:pPr>
              <w:pStyle w:val="TableParagraph"/>
            </w:pPr>
          </w:p>
          <w:p w14:paraId="5ACBBD5B" w14:textId="77777777" w:rsidR="0046798B" w:rsidRDefault="0046798B">
            <w:pPr>
              <w:pStyle w:val="TableParagraph"/>
              <w:spacing w:before="8"/>
              <w:rPr>
                <w:sz w:val="31"/>
              </w:rPr>
            </w:pPr>
          </w:p>
          <w:p w14:paraId="552C382E" w14:textId="77777777" w:rsidR="0046798B" w:rsidRDefault="00903B5C">
            <w:pPr>
              <w:pStyle w:val="TableParagraph"/>
              <w:spacing w:before="1"/>
              <w:ind w:left="114"/>
              <w:rPr>
                <w:sz w:val="20"/>
              </w:rPr>
            </w:pPr>
            <w:r>
              <w:rPr>
                <w:sz w:val="20"/>
              </w:rPr>
              <w:t>1987–2009</w:t>
            </w:r>
          </w:p>
        </w:tc>
        <w:tc>
          <w:tcPr>
            <w:tcW w:w="3421" w:type="dxa"/>
          </w:tcPr>
          <w:p w14:paraId="1C741AAC" w14:textId="77777777" w:rsidR="0046798B" w:rsidRDefault="0046798B">
            <w:pPr>
              <w:pStyle w:val="TableParagraph"/>
            </w:pPr>
          </w:p>
          <w:p w14:paraId="2D3009C8" w14:textId="77777777" w:rsidR="0046798B" w:rsidRDefault="0046798B">
            <w:pPr>
              <w:pStyle w:val="TableParagraph"/>
              <w:spacing w:before="8"/>
              <w:rPr>
                <w:sz w:val="21"/>
              </w:rPr>
            </w:pPr>
          </w:p>
          <w:p w14:paraId="26F41A92"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7DAC0F81" w14:textId="77777777" w:rsidR="0046798B" w:rsidRDefault="00903B5C">
            <w:pPr>
              <w:pStyle w:val="TableParagraph"/>
              <w:spacing w:before="43"/>
              <w:ind w:left="114"/>
              <w:rPr>
                <w:sz w:val="20"/>
              </w:rPr>
            </w:pPr>
            <w:r>
              <w:rPr>
                <w:sz w:val="20"/>
              </w:rPr>
              <w:t xml:space="preserve">Uniform Law Commission website: </w:t>
            </w:r>
            <w:hyperlink r:id="rId767">
              <w:r>
                <w:rPr>
                  <w:color w:val="0462C1"/>
                  <w:sz w:val="20"/>
                  <w:u w:val="single" w:color="0462C1"/>
                </w:rPr>
                <w:t>http://www.uniformlaws.org/</w:t>
              </w:r>
            </w:hyperlink>
          </w:p>
          <w:p w14:paraId="4CDBB81B" w14:textId="77777777" w:rsidR="0046798B" w:rsidRDefault="0046798B">
            <w:pPr>
              <w:pStyle w:val="TableParagraph"/>
              <w:rPr>
                <w:sz w:val="20"/>
              </w:rPr>
            </w:pPr>
          </w:p>
          <w:p w14:paraId="2432C18C"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4A98A253" w14:textId="77777777">
        <w:trPr>
          <w:trHeight w:val="1465"/>
        </w:trPr>
        <w:tc>
          <w:tcPr>
            <w:tcW w:w="1711" w:type="dxa"/>
          </w:tcPr>
          <w:p w14:paraId="5AD68486" w14:textId="77777777" w:rsidR="0046798B" w:rsidRDefault="0046798B">
            <w:pPr>
              <w:pStyle w:val="TableParagraph"/>
            </w:pPr>
          </w:p>
          <w:p w14:paraId="72A6EA62" w14:textId="77777777" w:rsidR="0046798B" w:rsidRDefault="0046798B">
            <w:pPr>
              <w:pStyle w:val="TableParagraph"/>
              <w:spacing w:before="3"/>
              <w:rPr>
                <w:sz w:val="21"/>
              </w:rPr>
            </w:pPr>
          </w:p>
          <w:p w14:paraId="087AAC6A" w14:textId="77777777" w:rsidR="0046798B" w:rsidRDefault="00903B5C">
            <w:pPr>
              <w:pStyle w:val="TableParagraph"/>
              <w:spacing w:before="1"/>
              <w:ind w:left="115"/>
              <w:rPr>
                <w:b/>
                <w:sz w:val="20"/>
              </w:rPr>
            </w:pPr>
            <w:r>
              <w:rPr>
                <w:b/>
                <w:sz w:val="20"/>
              </w:rPr>
              <w:t>interstate_family</w:t>
            </w:r>
          </w:p>
          <w:p w14:paraId="653506E4" w14:textId="77777777" w:rsidR="0046798B" w:rsidRDefault="00903B5C">
            <w:pPr>
              <w:pStyle w:val="TableParagraph"/>
              <w:ind w:left="115"/>
              <w:rPr>
                <w:b/>
                <w:sz w:val="20"/>
              </w:rPr>
            </w:pPr>
            <w:r>
              <w:rPr>
                <w:b/>
                <w:sz w:val="20"/>
              </w:rPr>
              <w:t>_support_act_1</w:t>
            </w:r>
          </w:p>
        </w:tc>
        <w:tc>
          <w:tcPr>
            <w:tcW w:w="1596" w:type="dxa"/>
          </w:tcPr>
          <w:p w14:paraId="3E56555C" w14:textId="77777777" w:rsidR="0046798B" w:rsidRDefault="0046798B">
            <w:pPr>
              <w:pStyle w:val="TableParagraph"/>
            </w:pPr>
          </w:p>
          <w:p w14:paraId="11157FEB" w14:textId="77777777" w:rsidR="0046798B" w:rsidRDefault="00903B5C">
            <w:pPr>
              <w:pStyle w:val="TableParagraph"/>
              <w:spacing w:before="130"/>
              <w:ind w:left="114" w:right="269"/>
              <w:rPr>
                <w:sz w:val="20"/>
              </w:rPr>
            </w:pPr>
            <w:r>
              <w:rPr>
                <w:sz w:val="20"/>
              </w:rPr>
              <w:t>Regulates interstate child support</w:t>
            </w:r>
          </w:p>
        </w:tc>
        <w:tc>
          <w:tcPr>
            <w:tcW w:w="1285" w:type="dxa"/>
          </w:tcPr>
          <w:p w14:paraId="00D91784" w14:textId="77777777" w:rsidR="0046798B" w:rsidRDefault="0046798B">
            <w:pPr>
              <w:pStyle w:val="TableParagraph"/>
            </w:pPr>
          </w:p>
          <w:p w14:paraId="2367DED3" w14:textId="77777777" w:rsidR="0046798B" w:rsidRDefault="0046798B">
            <w:pPr>
              <w:pStyle w:val="TableParagraph"/>
              <w:spacing w:before="3"/>
              <w:rPr>
                <w:sz w:val="31"/>
              </w:rPr>
            </w:pPr>
          </w:p>
          <w:p w14:paraId="62DBFD26" w14:textId="77777777" w:rsidR="0046798B" w:rsidRDefault="00903B5C">
            <w:pPr>
              <w:pStyle w:val="TableParagraph"/>
              <w:spacing w:before="1"/>
              <w:ind w:left="114"/>
              <w:rPr>
                <w:sz w:val="20"/>
              </w:rPr>
            </w:pPr>
            <w:r>
              <w:rPr>
                <w:sz w:val="20"/>
              </w:rPr>
              <w:t>1993–1998</w:t>
            </w:r>
          </w:p>
        </w:tc>
        <w:tc>
          <w:tcPr>
            <w:tcW w:w="3421" w:type="dxa"/>
          </w:tcPr>
          <w:p w14:paraId="2C8B7E80" w14:textId="77777777" w:rsidR="0046798B" w:rsidRDefault="0046798B">
            <w:pPr>
              <w:pStyle w:val="TableParagraph"/>
            </w:pPr>
          </w:p>
          <w:p w14:paraId="7E80AEA4" w14:textId="77777777" w:rsidR="0046798B" w:rsidRDefault="0046798B">
            <w:pPr>
              <w:pStyle w:val="TableParagraph"/>
              <w:spacing w:before="3"/>
              <w:rPr>
                <w:sz w:val="21"/>
              </w:rPr>
            </w:pPr>
          </w:p>
          <w:p w14:paraId="29B8C7FC"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30DCD282" w14:textId="77777777" w:rsidR="0046798B" w:rsidRDefault="00903B5C">
            <w:pPr>
              <w:pStyle w:val="TableParagraph"/>
              <w:spacing w:before="38"/>
              <w:ind w:left="114"/>
              <w:rPr>
                <w:sz w:val="20"/>
              </w:rPr>
            </w:pPr>
            <w:r>
              <w:rPr>
                <w:sz w:val="20"/>
              </w:rPr>
              <w:t xml:space="preserve">Uniform Law Commission website: </w:t>
            </w:r>
            <w:hyperlink r:id="rId768">
              <w:r>
                <w:rPr>
                  <w:color w:val="0462C1"/>
                  <w:sz w:val="20"/>
                  <w:u w:val="single" w:color="0462C1"/>
                </w:rPr>
                <w:t>http://www.uniformlaws.org/</w:t>
              </w:r>
            </w:hyperlink>
          </w:p>
          <w:p w14:paraId="22849567" w14:textId="77777777" w:rsidR="0046798B" w:rsidRDefault="0046798B">
            <w:pPr>
              <w:pStyle w:val="TableParagraph"/>
              <w:rPr>
                <w:sz w:val="20"/>
              </w:rPr>
            </w:pPr>
          </w:p>
          <w:p w14:paraId="53645188"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EC25A46" w14:textId="77777777">
        <w:trPr>
          <w:trHeight w:val="272"/>
        </w:trPr>
        <w:tc>
          <w:tcPr>
            <w:tcW w:w="1711" w:type="dxa"/>
            <w:tcBorders>
              <w:bottom w:val="nil"/>
            </w:tcBorders>
          </w:tcPr>
          <w:p w14:paraId="5C9834C6" w14:textId="77777777" w:rsidR="0046798B" w:rsidRDefault="0046798B">
            <w:pPr>
              <w:pStyle w:val="TableParagraph"/>
              <w:rPr>
                <w:sz w:val="20"/>
              </w:rPr>
            </w:pPr>
          </w:p>
        </w:tc>
        <w:tc>
          <w:tcPr>
            <w:tcW w:w="1596" w:type="dxa"/>
            <w:tcBorders>
              <w:bottom w:val="nil"/>
            </w:tcBorders>
          </w:tcPr>
          <w:p w14:paraId="562D7BFA" w14:textId="77777777" w:rsidR="0046798B" w:rsidRDefault="0046798B">
            <w:pPr>
              <w:pStyle w:val="TableParagraph"/>
              <w:rPr>
                <w:sz w:val="20"/>
              </w:rPr>
            </w:pPr>
          </w:p>
        </w:tc>
        <w:tc>
          <w:tcPr>
            <w:tcW w:w="1285" w:type="dxa"/>
            <w:tcBorders>
              <w:bottom w:val="nil"/>
            </w:tcBorders>
          </w:tcPr>
          <w:p w14:paraId="29F9FCD0" w14:textId="77777777" w:rsidR="0046798B" w:rsidRDefault="0046798B">
            <w:pPr>
              <w:pStyle w:val="TableParagraph"/>
              <w:rPr>
                <w:sz w:val="20"/>
              </w:rPr>
            </w:pPr>
          </w:p>
        </w:tc>
        <w:tc>
          <w:tcPr>
            <w:tcW w:w="3421" w:type="dxa"/>
            <w:tcBorders>
              <w:bottom w:val="nil"/>
            </w:tcBorders>
          </w:tcPr>
          <w:p w14:paraId="76648CFA" w14:textId="77777777" w:rsidR="0046798B" w:rsidRDefault="0046798B">
            <w:pPr>
              <w:pStyle w:val="TableParagraph"/>
              <w:rPr>
                <w:sz w:val="20"/>
              </w:rPr>
            </w:pPr>
          </w:p>
        </w:tc>
        <w:tc>
          <w:tcPr>
            <w:tcW w:w="6482" w:type="dxa"/>
            <w:tcBorders>
              <w:bottom w:val="nil"/>
            </w:tcBorders>
          </w:tcPr>
          <w:p w14:paraId="0A8155B9" w14:textId="77777777" w:rsidR="0046798B" w:rsidRDefault="00903B5C">
            <w:pPr>
              <w:pStyle w:val="TableParagraph"/>
              <w:spacing w:before="38" w:line="214" w:lineRule="exact"/>
              <w:ind w:left="114"/>
              <w:rPr>
                <w:sz w:val="20"/>
              </w:rPr>
            </w:pPr>
            <w:r>
              <w:rPr>
                <w:sz w:val="20"/>
              </w:rPr>
              <w:t xml:space="preserve">Uniform Law Commission website: </w:t>
            </w:r>
            <w:hyperlink r:id="rId769">
              <w:r>
                <w:rPr>
                  <w:color w:val="0462C1"/>
                  <w:sz w:val="20"/>
                  <w:u w:val="single" w:color="0462C1"/>
                </w:rPr>
                <w:t>http://www.uniformlaws.org/</w:t>
              </w:r>
            </w:hyperlink>
          </w:p>
        </w:tc>
      </w:tr>
      <w:tr w:rsidR="0046798B" w14:paraId="55D4E1D6" w14:textId="77777777">
        <w:trPr>
          <w:trHeight w:val="1193"/>
        </w:trPr>
        <w:tc>
          <w:tcPr>
            <w:tcW w:w="1711" w:type="dxa"/>
            <w:tcBorders>
              <w:top w:val="nil"/>
            </w:tcBorders>
          </w:tcPr>
          <w:p w14:paraId="210DEE86" w14:textId="77777777" w:rsidR="0046798B" w:rsidRDefault="0046798B">
            <w:pPr>
              <w:pStyle w:val="TableParagraph"/>
              <w:spacing w:before="7"/>
              <w:rPr>
                <w:sz w:val="19"/>
              </w:rPr>
            </w:pPr>
          </w:p>
          <w:p w14:paraId="2E843BE9" w14:textId="77777777" w:rsidR="0046798B" w:rsidRDefault="00903B5C">
            <w:pPr>
              <w:pStyle w:val="TableParagraph"/>
              <w:ind w:left="115"/>
              <w:rPr>
                <w:b/>
                <w:sz w:val="20"/>
              </w:rPr>
            </w:pPr>
            <w:r>
              <w:rPr>
                <w:b/>
                <w:sz w:val="20"/>
              </w:rPr>
              <w:t>interstate_family</w:t>
            </w:r>
          </w:p>
          <w:p w14:paraId="21FB1A16" w14:textId="77777777" w:rsidR="0046798B" w:rsidRDefault="00903B5C">
            <w:pPr>
              <w:pStyle w:val="TableParagraph"/>
              <w:spacing w:before="1"/>
              <w:ind w:left="115"/>
              <w:rPr>
                <w:b/>
                <w:sz w:val="20"/>
              </w:rPr>
            </w:pPr>
            <w:r>
              <w:rPr>
                <w:b/>
                <w:sz w:val="20"/>
              </w:rPr>
              <w:t>_support_act_2</w:t>
            </w:r>
          </w:p>
        </w:tc>
        <w:tc>
          <w:tcPr>
            <w:tcW w:w="1596" w:type="dxa"/>
            <w:tcBorders>
              <w:top w:val="nil"/>
            </w:tcBorders>
          </w:tcPr>
          <w:p w14:paraId="39247990" w14:textId="77777777" w:rsidR="0046798B" w:rsidRDefault="00903B5C">
            <w:pPr>
              <w:pStyle w:val="TableParagraph"/>
              <w:ind w:left="114" w:right="269"/>
              <w:rPr>
                <w:sz w:val="20"/>
              </w:rPr>
            </w:pPr>
            <w:r>
              <w:rPr>
                <w:sz w:val="20"/>
              </w:rPr>
              <w:t>Regulates interstate child support (2001 version)</w:t>
            </w:r>
          </w:p>
        </w:tc>
        <w:tc>
          <w:tcPr>
            <w:tcW w:w="1285" w:type="dxa"/>
            <w:tcBorders>
              <w:top w:val="nil"/>
            </w:tcBorders>
          </w:tcPr>
          <w:p w14:paraId="47584C4C" w14:textId="77777777" w:rsidR="0046798B" w:rsidRDefault="0046798B">
            <w:pPr>
              <w:pStyle w:val="TableParagraph"/>
              <w:spacing w:before="7"/>
              <w:rPr>
                <w:sz w:val="29"/>
              </w:rPr>
            </w:pPr>
          </w:p>
          <w:p w14:paraId="2173E849" w14:textId="77777777" w:rsidR="0046798B" w:rsidRDefault="00903B5C">
            <w:pPr>
              <w:pStyle w:val="TableParagraph"/>
              <w:spacing w:before="1"/>
              <w:ind w:left="114"/>
              <w:rPr>
                <w:sz w:val="20"/>
              </w:rPr>
            </w:pPr>
            <w:r>
              <w:rPr>
                <w:sz w:val="20"/>
              </w:rPr>
              <w:t>2002–2007</w:t>
            </w:r>
          </w:p>
        </w:tc>
        <w:tc>
          <w:tcPr>
            <w:tcW w:w="3421" w:type="dxa"/>
            <w:tcBorders>
              <w:top w:val="nil"/>
            </w:tcBorders>
          </w:tcPr>
          <w:p w14:paraId="76A308D7" w14:textId="77777777" w:rsidR="0046798B" w:rsidRDefault="0046798B">
            <w:pPr>
              <w:pStyle w:val="TableParagraph"/>
              <w:spacing w:before="7"/>
              <w:rPr>
                <w:sz w:val="19"/>
              </w:rPr>
            </w:pPr>
          </w:p>
          <w:p w14:paraId="67971584" w14:textId="77777777" w:rsidR="0046798B" w:rsidRDefault="00903B5C">
            <w:pPr>
              <w:pStyle w:val="TableParagraph"/>
              <w:ind w:left="114" w:right="1475"/>
              <w:rPr>
                <w:sz w:val="20"/>
              </w:rPr>
            </w:pPr>
            <w:r>
              <w:rPr>
                <w:sz w:val="20"/>
              </w:rPr>
              <w:t>0 = policy not adopted 1 = policy adopted</w:t>
            </w:r>
          </w:p>
        </w:tc>
        <w:tc>
          <w:tcPr>
            <w:tcW w:w="6482" w:type="dxa"/>
            <w:tcBorders>
              <w:top w:val="nil"/>
            </w:tcBorders>
          </w:tcPr>
          <w:p w14:paraId="2A215B12" w14:textId="77777777" w:rsidR="0046798B" w:rsidRDefault="0046798B">
            <w:pPr>
              <w:pStyle w:val="TableParagraph"/>
              <w:spacing w:before="7"/>
              <w:rPr>
                <w:sz w:val="19"/>
              </w:rPr>
            </w:pPr>
          </w:p>
          <w:p w14:paraId="5CAF8D84"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2076E497" w14:textId="77777777">
        <w:trPr>
          <w:trHeight w:val="272"/>
        </w:trPr>
        <w:tc>
          <w:tcPr>
            <w:tcW w:w="1711" w:type="dxa"/>
            <w:tcBorders>
              <w:bottom w:val="nil"/>
            </w:tcBorders>
          </w:tcPr>
          <w:p w14:paraId="62E8A342" w14:textId="77777777" w:rsidR="0046798B" w:rsidRDefault="0046798B">
            <w:pPr>
              <w:pStyle w:val="TableParagraph"/>
              <w:rPr>
                <w:sz w:val="20"/>
              </w:rPr>
            </w:pPr>
          </w:p>
        </w:tc>
        <w:tc>
          <w:tcPr>
            <w:tcW w:w="1596" w:type="dxa"/>
            <w:tcBorders>
              <w:bottom w:val="nil"/>
            </w:tcBorders>
          </w:tcPr>
          <w:p w14:paraId="11CC16FC" w14:textId="77777777" w:rsidR="0046798B" w:rsidRDefault="0046798B">
            <w:pPr>
              <w:pStyle w:val="TableParagraph"/>
              <w:rPr>
                <w:sz w:val="20"/>
              </w:rPr>
            </w:pPr>
          </w:p>
        </w:tc>
        <w:tc>
          <w:tcPr>
            <w:tcW w:w="1285" w:type="dxa"/>
            <w:tcBorders>
              <w:bottom w:val="nil"/>
            </w:tcBorders>
          </w:tcPr>
          <w:p w14:paraId="5D9A8CA0" w14:textId="77777777" w:rsidR="0046798B" w:rsidRDefault="0046798B">
            <w:pPr>
              <w:pStyle w:val="TableParagraph"/>
              <w:rPr>
                <w:sz w:val="20"/>
              </w:rPr>
            </w:pPr>
          </w:p>
        </w:tc>
        <w:tc>
          <w:tcPr>
            <w:tcW w:w="3421" w:type="dxa"/>
            <w:tcBorders>
              <w:bottom w:val="nil"/>
            </w:tcBorders>
          </w:tcPr>
          <w:p w14:paraId="0D11B01E" w14:textId="77777777" w:rsidR="0046798B" w:rsidRDefault="0046798B">
            <w:pPr>
              <w:pStyle w:val="TableParagraph"/>
              <w:rPr>
                <w:sz w:val="20"/>
              </w:rPr>
            </w:pPr>
          </w:p>
        </w:tc>
        <w:tc>
          <w:tcPr>
            <w:tcW w:w="6482" w:type="dxa"/>
            <w:tcBorders>
              <w:bottom w:val="nil"/>
            </w:tcBorders>
          </w:tcPr>
          <w:p w14:paraId="7A9E2824" w14:textId="77777777" w:rsidR="0046798B" w:rsidRDefault="00903B5C">
            <w:pPr>
              <w:pStyle w:val="TableParagraph"/>
              <w:spacing w:before="38" w:line="214" w:lineRule="exact"/>
              <w:ind w:left="114"/>
              <w:rPr>
                <w:sz w:val="20"/>
              </w:rPr>
            </w:pPr>
            <w:r>
              <w:rPr>
                <w:sz w:val="20"/>
              </w:rPr>
              <w:t xml:space="preserve">Uniform Law Commission website: </w:t>
            </w:r>
            <w:hyperlink r:id="rId770">
              <w:r>
                <w:rPr>
                  <w:color w:val="0462C1"/>
                  <w:sz w:val="20"/>
                  <w:u w:val="single" w:color="0462C1"/>
                </w:rPr>
                <w:t>http://www.uniformlaws.org/</w:t>
              </w:r>
            </w:hyperlink>
          </w:p>
        </w:tc>
      </w:tr>
      <w:tr w:rsidR="0046798B" w14:paraId="4BFD6D21" w14:textId="77777777">
        <w:trPr>
          <w:trHeight w:val="1192"/>
        </w:trPr>
        <w:tc>
          <w:tcPr>
            <w:tcW w:w="1711" w:type="dxa"/>
            <w:tcBorders>
              <w:top w:val="nil"/>
            </w:tcBorders>
          </w:tcPr>
          <w:p w14:paraId="0C2C43E9" w14:textId="77777777" w:rsidR="0046798B" w:rsidRDefault="00903B5C">
            <w:pPr>
              <w:pStyle w:val="TableParagraph"/>
              <w:spacing w:before="111"/>
              <w:ind w:left="115"/>
              <w:rPr>
                <w:b/>
                <w:sz w:val="20"/>
              </w:rPr>
            </w:pPr>
            <w:r>
              <w:rPr>
                <w:b/>
                <w:sz w:val="20"/>
              </w:rPr>
              <w:t>interstate_family</w:t>
            </w:r>
          </w:p>
          <w:p w14:paraId="1935E6F6" w14:textId="77777777" w:rsidR="0046798B" w:rsidRDefault="00903B5C">
            <w:pPr>
              <w:pStyle w:val="TableParagraph"/>
              <w:ind w:left="115" w:right="166"/>
              <w:rPr>
                <w:b/>
                <w:sz w:val="20"/>
              </w:rPr>
            </w:pPr>
            <w:r>
              <w:rPr>
                <w:b/>
                <w:sz w:val="20"/>
              </w:rPr>
              <w:t>_support_act_a m</w:t>
            </w:r>
          </w:p>
        </w:tc>
        <w:tc>
          <w:tcPr>
            <w:tcW w:w="1596" w:type="dxa"/>
            <w:tcBorders>
              <w:top w:val="nil"/>
            </w:tcBorders>
          </w:tcPr>
          <w:p w14:paraId="43EA3060" w14:textId="77777777" w:rsidR="0046798B" w:rsidRDefault="00903B5C">
            <w:pPr>
              <w:pStyle w:val="TableParagraph"/>
              <w:ind w:left="114" w:right="269"/>
              <w:rPr>
                <w:sz w:val="20"/>
              </w:rPr>
            </w:pPr>
            <w:r>
              <w:rPr>
                <w:sz w:val="20"/>
              </w:rPr>
              <w:t>Regulates interstate child support (2008 version)</w:t>
            </w:r>
          </w:p>
        </w:tc>
        <w:tc>
          <w:tcPr>
            <w:tcW w:w="1285" w:type="dxa"/>
            <w:tcBorders>
              <w:top w:val="nil"/>
            </w:tcBorders>
          </w:tcPr>
          <w:p w14:paraId="0A4EB7E2" w14:textId="77777777" w:rsidR="0046798B" w:rsidRDefault="0046798B">
            <w:pPr>
              <w:pStyle w:val="TableParagraph"/>
              <w:spacing w:before="7"/>
              <w:rPr>
                <w:sz w:val="29"/>
              </w:rPr>
            </w:pPr>
          </w:p>
          <w:p w14:paraId="08F106E3" w14:textId="77777777" w:rsidR="0046798B" w:rsidRDefault="00903B5C">
            <w:pPr>
              <w:pStyle w:val="TableParagraph"/>
              <w:ind w:left="114"/>
              <w:rPr>
                <w:sz w:val="20"/>
              </w:rPr>
            </w:pPr>
            <w:r>
              <w:rPr>
                <w:sz w:val="20"/>
              </w:rPr>
              <w:t>2009–2016</w:t>
            </w:r>
          </w:p>
        </w:tc>
        <w:tc>
          <w:tcPr>
            <w:tcW w:w="3421" w:type="dxa"/>
            <w:tcBorders>
              <w:top w:val="nil"/>
            </w:tcBorders>
          </w:tcPr>
          <w:p w14:paraId="21A1E545" w14:textId="77777777" w:rsidR="0046798B" w:rsidRDefault="0046798B">
            <w:pPr>
              <w:pStyle w:val="TableParagraph"/>
              <w:spacing w:before="7"/>
              <w:rPr>
                <w:sz w:val="19"/>
              </w:rPr>
            </w:pPr>
          </w:p>
          <w:p w14:paraId="5AE54163" w14:textId="77777777" w:rsidR="0046798B" w:rsidRDefault="00903B5C">
            <w:pPr>
              <w:pStyle w:val="TableParagraph"/>
              <w:ind w:left="114" w:right="1475"/>
              <w:rPr>
                <w:sz w:val="20"/>
              </w:rPr>
            </w:pPr>
            <w:r>
              <w:rPr>
                <w:sz w:val="20"/>
              </w:rPr>
              <w:t>0 = policy not adopted 1 = policy adopted</w:t>
            </w:r>
          </w:p>
        </w:tc>
        <w:tc>
          <w:tcPr>
            <w:tcW w:w="6482" w:type="dxa"/>
            <w:tcBorders>
              <w:top w:val="nil"/>
            </w:tcBorders>
          </w:tcPr>
          <w:p w14:paraId="280A4B15" w14:textId="77777777" w:rsidR="0046798B" w:rsidRDefault="0046798B">
            <w:pPr>
              <w:pStyle w:val="TableParagraph"/>
              <w:spacing w:before="7"/>
              <w:rPr>
                <w:sz w:val="19"/>
              </w:rPr>
            </w:pPr>
          </w:p>
          <w:p w14:paraId="2DEF2F7C"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bl>
    <w:p w14:paraId="545076F6" w14:textId="77777777" w:rsidR="0046798B" w:rsidRDefault="0046798B">
      <w:pPr>
        <w:rPr>
          <w:sz w:val="20"/>
        </w:rPr>
        <w:sectPr w:rsidR="0046798B">
          <w:pgSz w:w="15840" w:h="12240" w:orient="landscape"/>
          <w:pgMar w:top="1220" w:right="300" w:bottom="980" w:left="820" w:header="730" w:footer="787" w:gutter="0"/>
          <w:cols w:space="720"/>
        </w:sectPr>
      </w:pPr>
    </w:p>
    <w:p w14:paraId="2DF08B64"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076AA6B6" w14:textId="77777777">
        <w:trPr>
          <w:trHeight w:val="1465"/>
        </w:trPr>
        <w:tc>
          <w:tcPr>
            <w:tcW w:w="1711" w:type="dxa"/>
          </w:tcPr>
          <w:p w14:paraId="002054DF" w14:textId="77777777" w:rsidR="0046798B" w:rsidRDefault="0046798B">
            <w:pPr>
              <w:pStyle w:val="TableParagraph"/>
            </w:pPr>
          </w:p>
          <w:p w14:paraId="7364A4CF" w14:textId="77777777" w:rsidR="0046798B" w:rsidRDefault="0046798B">
            <w:pPr>
              <w:pStyle w:val="TableParagraph"/>
              <w:spacing w:before="9"/>
              <w:rPr>
                <w:sz w:val="21"/>
              </w:rPr>
            </w:pPr>
          </w:p>
          <w:p w14:paraId="77138312" w14:textId="77777777" w:rsidR="0046798B" w:rsidRDefault="00903B5C">
            <w:pPr>
              <w:pStyle w:val="TableParagraph"/>
              <w:ind w:left="115" w:right="177"/>
              <w:rPr>
                <w:b/>
                <w:sz w:val="20"/>
              </w:rPr>
            </w:pPr>
            <w:r>
              <w:rPr>
                <w:b/>
                <w:sz w:val="20"/>
              </w:rPr>
              <w:t>marital_propert y_act</w:t>
            </w:r>
          </w:p>
        </w:tc>
        <w:tc>
          <w:tcPr>
            <w:tcW w:w="1596" w:type="dxa"/>
          </w:tcPr>
          <w:p w14:paraId="42984B17" w14:textId="77777777" w:rsidR="0046798B" w:rsidRDefault="0046798B">
            <w:pPr>
              <w:pStyle w:val="TableParagraph"/>
              <w:spacing w:before="9"/>
              <w:rPr>
                <w:sz w:val="23"/>
              </w:rPr>
            </w:pPr>
          </w:p>
          <w:p w14:paraId="67858D71" w14:textId="77777777" w:rsidR="0046798B" w:rsidRDefault="00903B5C">
            <w:pPr>
              <w:pStyle w:val="TableParagraph"/>
              <w:ind w:left="114" w:right="130"/>
              <w:rPr>
                <w:sz w:val="20"/>
              </w:rPr>
            </w:pPr>
            <w:r>
              <w:rPr>
                <w:sz w:val="20"/>
              </w:rPr>
              <w:t>Allows the family to be viewed as single economic unit</w:t>
            </w:r>
          </w:p>
        </w:tc>
        <w:tc>
          <w:tcPr>
            <w:tcW w:w="1285" w:type="dxa"/>
          </w:tcPr>
          <w:p w14:paraId="09900AF6" w14:textId="77777777" w:rsidR="0046798B" w:rsidRDefault="0046798B">
            <w:pPr>
              <w:pStyle w:val="TableParagraph"/>
            </w:pPr>
          </w:p>
          <w:p w14:paraId="760129D9" w14:textId="77777777" w:rsidR="0046798B" w:rsidRDefault="0046798B">
            <w:pPr>
              <w:pStyle w:val="TableParagraph"/>
              <w:spacing w:before="9"/>
              <w:rPr>
                <w:sz w:val="31"/>
              </w:rPr>
            </w:pPr>
          </w:p>
          <w:p w14:paraId="25AF69A9" w14:textId="77777777" w:rsidR="0046798B" w:rsidRDefault="00903B5C">
            <w:pPr>
              <w:pStyle w:val="TableParagraph"/>
              <w:ind w:left="114"/>
              <w:rPr>
                <w:sz w:val="20"/>
              </w:rPr>
            </w:pPr>
            <w:r>
              <w:rPr>
                <w:sz w:val="20"/>
              </w:rPr>
              <w:t>1984</w:t>
            </w:r>
          </w:p>
        </w:tc>
        <w:tc>
          <w:tcPr>
            <w:tcW w:w="3421" w:type="dxa"/>
          </w:tcPr>
          <w:p w14:paraId="55754DBD" w14:textId="77777777" w:rsidR="0046798B" w:rsidRDefault="0046798B">
            <w:pPr>
              <w:pStyle w:val="TableParagraph"/>
            </w:pPr>
          </w:p>
          <w:p w14:paraId="1034213B" w14:textId="77777777" w:rsidR="0046798B" w:rsidRDefault="0046798B">
            <w:pPr>
              <w:pStyle w:val="TableParagraph"/>
              <w:spacing w:before="9"/>
              <w:rPr>
                <w:sz w:val="21"/>
              </w:rPr>
            </w:pPr>
          </w:p>
          <w:p w14:paraId="3AEB988B" w14:textId="77777777" w:rsidR="0046798B" w:rsidRDefault="00903B5C">
            <w:pPr>
              <w:pStyle w:val="TableParagraph"/>
              <w:ind w:left="114" w:right="1475"/>
              <w:rPr>
                <w:sz w:val="20"/>
              </w:rPr>
            </w:pPr>
            <w:r>
              <w:rPr>
                <w:sz w:val="20"/>
              </w:rPr>
              <w:t>0 = policy not adopted 1 = policy adopted</w:t>
            </w:r>
          </w:p>
        </w:tc>
        <w:tc>
          <w:tcPr>
            <w:tcW w:w="6482" w:type="dxa"/>
          </w:tcPr>
          <w:p w14:paraId="7B47EA9A" w14:textId="77777777" w:rsidR="0046798B" w:rsidRDefault="00903B5C">
            <w:pPr>
              <w:pStyle w:val="TableParagraph"/>
              <w:spacing w:before="43"/>
              <w:ind w:left="114"/>
              <w:rPr>
                <w:sz w:val="20"/>
              </w:rPr>
            </w:pPr>
            <w:r>
              <w:rPr>
                <w:sz w:val="20"/>
              </w:rPr>
              <w:t xml:space="preserve">Uniform Law Commission website: </w:t>
            </w:r>
            <w:hyperlink r:id="rId771">
              <w:r>
                <w:rPr>
                  <w:color w:val="0462C1"/>
                  <w:sz w:val="20"/>
                  <w:u w:val="single" w:color="0462C1"/>
                </w:rPr>
                <w:t>http://www.uniformlaws.org/</w:t>
              </w:r>
            </w:hyperlink>
          </w:p>
          <w:p w14:paraId="11001B8C" w14:textId="77777777" w:rsidR="0046798B" w:rsidRDefault="0046798B">
            <w:pPr>
              <w:pStyle w:val="TableParagraph"/>
              <w:rPr>
                <w:sz w:val="20"/>
              </w:rPr>
            </w:pPr>
          </w:p>
          <w:p w14:paraId="4C2D783D"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57EBAE4F" w14:textId="77777777">
        <w:trPr>
          <w:trHeight w:val="1696"/>
        </w:trPr>
        <w:tc>
          <w:tcPr>
            <w:tcW w:w="1711" w:type="dxa"/>
          </w:tcPr>
          <w:p w14:paraId="218A52D6" w14:textId="77777777" w:rsidR="0046798B" w:rsidRDefault="0046798B">
            <w:pPr>
              <w:pStyle w:val="TableParagraph"/>
            </w:pPr>
          </w:p>
          <w:p w14:paraId="5298907E" w14:textId="77777777" w:rsidR="0046798B" w:rsidRDefault="0046798B">
            <w:pPr>
              <w:pStyle w:val="TableParagraph"/>
              <w:spacing w:before="9"/>
              <w:rPr>
                <w:sz w:val="31"/>
              </w:rPr>
            </w:pPr>
          </w:p>
          <w:p w14:paraId="41EC06D1" w14:textId="77777777" w:rsidR="0046798B" w:rsidRDefault="00903B5C">
            <w:pPr>
              <w:pStyle w:val="TableParagraph"/>
              <w:ind w:left="115" w:right="88"/>
              <w:rPr>
                <w:b/>
                <w:sz w:val="20"/>
              </w:rPr>
            </w:pPr>
            <w:r>
              <w:rPr>
                <w:b/>
                <w:sz w:val="20"/>
              </w:rPr>
              <w:t>marriage_and_di vorce_act_model</w:t>
            </w:r>
          </w:p>
        </w:tc>
        <w:tc>
          <w:tcPr>
            <w:tcW w:w="1596" w:type="dxa"/>
          </w:tcPr>
          <w:p w14:paraId="16CE5FFD" w14:textId="77777777" w:rsidR="0046798B" w:rsidRDefault="00903B5C">
            <w:pPr>
              <w:pStyle w:val="TableParagraph"/>
              <w:spacing w:before="44"/>
              <w:ind w:left="114" w:right="296"/>
              <w:rPr>
                <w:sz w:val="20"/>
              </w:rPr>
            </w:pPr>
            <w:r>
              <w:rPr>
                <w:sz w:val="20"/>
              </w:rPr>
              <w:t>Minimizes the number of prohibited marriages and includes the concept of no- fault divorce</w:t>
            </w:r>
          </w:p>
        </w:tc>
        <w:tc>
          <w:tcPr>
            <w:tcW w:w="1285" w:type="dxa"/>
          </w:tcPr>
          <w:p w14:paraId="06451B25" w14:textId="77777777" w:rsidR="0046798B" w:rsidRDefault="0046798B">
            <w:pPr>
              <w:pStyle w:val="TableParagraph"/>
            </w:pPr>
          </w:p>
          <w:p w14:paraId="242F10B1" w14:textId="77777777" w:rsidR="0046798B" w:rsidRDefault="0046798B">
            <w:pPr>
              <w:pStyle w:val="TableParagraph"/>
            </w:pPr>
          </w:p>
          <w:p w14:paraId="3CA01D42" w14:textId="77777777" w:rsidR="0046798B" w:rsidRDefault="0046798B">
            <w:pPr>
              <w:pStyle w:val="TableParagraph"/>
              <w:spacing w:before="9"/>
              <w:rPr>
                <w:sz w:val="19"/>
              </w:rPr>
            </w:pPr>
          </w:p>
          <w:p w14:paraId="658F4757" w14:textId="77777777" w:rsidR="0046798B" w:rsidRDefault="00903B5C">
            <w:pPr>
              <w:pStyle w:val="TableParagraph"/>
              <w:ind w:left="114"/>
              <w:rPr>
                <w:sz w:val="20"/>
              </w:rPr>
            </w:pPr>
            <w:r>
              <w:rPr>
                <w:sz w:val="20"/>
              </w:rPr>
              <w:t>1973–1978</w:t>
            </w:r>
          </w:p>
        </w:tc>
        <w:tc>
          <w:tcPr>
            <w:tcW w:w="3421" w:type="dxa"/>
          </w:tcPr>
          <w:p w14:paraId="44B0B0B1" w14:textId="77777777" w:rsidR="0046798B" w:rsidRDefault="0046798B">
            <w:pPr>
              <w:pStyle w:val="TableParagraph"/>
            </w:pPr>
          </w:p>
          <w:p w14:paraId="49775935" w14:textId="77777777" w:rsidR="0046798B" w:rsidRDefault="0046798B">
            <w:pPr>
              <w:pStyle w:val="TableParagraph"/>
              <w:spacing w:before="9"/>
              <w:rPr>
                <w:sz w:val="31"/>
              </w:rPr>
            </w:pPr>
          </w:p>
          <w:p w14:paraId="02A6171B" w14:textId="77777777" w:rsidR="0046798B" w:rsidRDefault="00903B5C">
            <w:pPr>
              <w:pStyle w:val="TableParagraph"/>
              <w:ind w:left="114" w:right="1475"/>
              <w:rPr>
                <w:sz w:val="20"/>
              </w:rPr>
            </w:pPr>
            <w:r>
              <w:rPr>
                <w:sz w:val="20"/>
              </w:rPr>
              <w:t>0 = policy not adopted 1 = policy adopted</w:t>
            </w:r>
          </w:p>
        </w:tc>
        <w:tc>
          <w:tcPr>
            <w:tcW w:w="6482" w:type="dxa"/>
          </w:tcPr>
          <w:p w14:paraId="38D119E9" w14:textId="77777777" w:rsidR="0046798B" w:rsidRDefault="00903B5C">
            <w:pPr>
              <w:pStyle w:val="TableParagraph"/>
              <w:spacing w:before="159"/>
              <w:ind w:left="114"/>
              <w:rPr>
                <w:sz w:val="20"/>
              </w:rPr>
            </w:pPr>
            <w:r>
              <w:rPr>
                <w:sz w:val="20"/>
              </w:rPr>
              <w:t xml:space="preserve">Uniform Law Commission website: </w:t>
            </w:r>
            <w:hyperlink r:id="rId772">
              <w:r>
                <w:rPr>
                  <w:color w:val="0462C1"/>
                  <w:sz w:val="20"/>
                  <w:u w:val="single" w:color="0462C1"/>
                </w:rPr>
                <w:t>http://www.uniformlaws.org/</w:t>
              </w:r>
            </w:hyperlink>
          </w:p>
          <w:p w14:paraId="48DBD4D7" w14:textId="77777777" w:rsidR="0046798B" w:rsidRDefault="0046798B">
            <w:pPr>
              <w:pStyle w:val="TableParagraph"/>
              <w:spacing w:before="11"/>
              <w:rPr>
                <w:sz w:val="19"/>
              </w:rPr>
            </w:pPr>
          </w:p>
          <w:p w14:paraId="34811ABE"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5D3546B0" w14:textId="77777777">
        <w:trPr>
          <w:trHeight w:val="1470"/>
        </w:trPr>
        <w:tc>
          <w:tcPr>
            <w:tcW w:w="1711" w:type="dxa"/>
          </w:tcPr>
          <w:p w14:paraId="078AEAE3" w14:textId="77777777" w:rsidR="0046798B" w:rsidRDefault="0046798B">
            <w:pPr>
              <w:pStyle w:val="TableParagraph"/>
            </w:pPr>
          </w:p>
          <w:p w14:paraId="7761C64D" w14:textId="77777777" w:rsidR="0046798B" w:rsidRDefault="0046798B">
            <w:pPr>
              <w:pStyle w:val="TableParagraph"/>
              <w:spacing w:before="8"/>
              <w:rPr>
                <w:sz w:val="31"/>
              </w:rPr>
            </w:pPr>
          </w:p>
          <w:p w14:paraId="7D016EE1" w14:textId="77777777" w:rsidR="0046798B" w:rsidRDefault="00903B5C">
            <w:pPr>
              <w:pStyle w:val="TableParagraph"/>
              <w:spacing w:before="1"/>
              <w:ind w:left="115"/>
              <w:rPr>
                <w:b/>
                <w:sz w:val="20"/>
              </w:rPr>
            </w:pPr>
            <w:r>
              <w:rPr>
                <w:b/>
                <w:sz w:val="20"/>
              </w:rPr>
              <w:t>parentage_act</w:t>
            </w:r>
          </w:p>
        </w:tc>
        <w:tc>
          <w:tcPr>
            <w:tcW w:w="1596" w:type="dxa"/>
          </w:tcPr>
          <w:p w14:paraId="3B07B822" w14:textId="77777777" w:rsidR="0046798B" w:rsidRDefault="00903B5C">
            <w:pPr>
              <w:pStyle w:val="TableParagraph"/>
              <w:spacing w:before="43"/>
              <w:ind w:left="114" w:right="133"/>
              <w:rPr>
                <w:sz w:val="20"/>
              </w:rPr>
            </w:pPr>
            <w:r>
              <w:rPr>
                <w:sz w:val="20"/>
              </w:rPr>
              <w:t>Law of determination of parentage, paternity actions and child support</w:t>
            </w:r>
          </w:p>
        </w:tc>
        <w:tc>
          <w:tcPr>
            <w:tcW w:w="1285" w:type="dxa"/>
          </w:tcPr>
          <w:p w14:paraId="322FB6B6" w14:textId="77777777" w:rsidR="0046798B" w:rsidRDefault="0046798B">
            <w:pPr>
              <w:pStyle w:val="TableParagraph"/>
            </w:pPr>
          </w:p>
          <w:p w14:paraId="6B812D18" w14:textId="77777777" w:rsidR="0046798B" w:rsidRDefault="0046798B">
            <w:pPr>
              <w:pStyle w:val="TableParagraph"/>
              <w:spacing w:before="8"/>
              <w:rPr>
                <w:sz w:val="31"/>
              </w:rPr>
            </w:pPr>
          </w:p>
          <w:p w14:paraId="55ABEEC6" w14:textId="77777777" w:rsidR="0046798B" w:rsidRDefault="00903B5C">
            <w:pPr>
              <w:pStyle w:val="TableParagraph"/>
              <w:spacing w:before="1"/>
              <w:ind w:left="114"/>
              <w:rPr>
                <w:sz w:val="20"/>
              </w:rPr>
            </w:pPr>
            <w:r>
              <w:rPr>
                <w:sz w:val="20"/>
              </w:rPr>
              <w:t>2001–2015</w:t>
            </w:r>
          </w:p>
        </w:tc>
        <w:tc>
          <w:tcPr>
            <w:tcW w:w="3421" w:type="dxa"/>
          </w:tcPr>
          <w:p w14:paraId="3FF401EA" w14:textId="77777777" w:rsidR="0046798B" w:rsidRDefault="0046798B">
            <w:pPr>
              <w:pStyle w:val="TableParagraph"/>
            </w:pPr>
          </w:p>
          <w:p w14:paraId="0EFA3BA3" w14:textId="77777777" w:rsidR="0046798B" w:rsidRDefault="0046798B">
            <w:pPr>
              <w:pStyle w:val="TableParagraph"/>
              <w:spacing w:before="8"/>
              <w:rPr>
                <w:sz w:val="21"/>
              </w:rPr>
            </w:pPr>
          </w:p>
          <w:p w14:paraId="30CE9696"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0073BF14" w14:textId="77777777" w:rsidR="0046798B" w:rsidRDefault="00903B5C">
            <w:pPr>
              <w:pStyle w:val="TableParagraph"/>
              <w:spacing w:before="43"/>
              <w:ind w:left="114"/>
              <w:rPr>
                <w:sz w:val="20"/>
              </w:rPr>
            </w:pPr>
            <w:r>
              <w:rPr>
                <w:sz w:val="20"/>
              </w:rPr>
              <w:t xml:space="preserve">Uniform Law Commission website: </w:t>
            </w:r>
            <w:hyperlink r:id="rId773">
              <w:r>
                <w:rPr>
                  <w:color w:val="0462C1"/>
                  <w:sz w:val="20"/>
                  <w:u w:val="single" w:color="0462C1"/>
                </w:rPr>
                <w:t>http://www.uniformlaws.org/</w:t>
              </w:r>
            </w:hyperlink>
          </w:p>
          <w:p w14:paraId="737619C9" w14:textId="77777777" w:rsidR="0046798B" w:rsidRDefault="0046798B">
            <w:pPr>
              <w:pStyle w:val="TableParagraph"/>
              <w:rPr>
                <w:sz w:val="20"/>
              </w:rPr>
            </w:pPr>
          </w:p>
          <w:p w14:paraId="14C824B7"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2B2B2ACA" w14:textId="77777777">
        <w:trPr>
          <w:trHeight w:val="1695"/>
        </w:trPr>
        <w:tc>
          <w:tcPr>
            <w:tcW w:w="1711" w:type="dxa"/>
          </w:tcPr>
          <w:p w14:paraId="5FE5AF58" w14:textId="77777777" w:rsidR="0046798B" w:rsidRDefault="0046798B">
            <w:pPr>
              <w:pStyle w:val="TableParagraph"/>
            </w:pPr>
          </w:p>
          <w:p w14:paraId="0984A1E8" w14:textId="77777777" w:rsidR="0046798B" w:rsidRDefault="0046798B">
            <w:pPr>
              <w:pStyle w:val="TableParagraph"/>
              <w:spacing w:before="4"/>
              <w:rPr>
                <w:sz w:val="31"/>
              </w:rPr>
            </w:pPr>
          </w:p>
          <w:p w14:paraId="4043FA14" w14:textId="77777777" w:rsidR="0046798B" w:rsidRDefault="00903B5C">
            <w:pPr>
              <w:pStyle w:val="TableParagraph"/>
              <w:ind w:left="115" w:right="155"/>
              <w:rPr>
                <w:b/>
                <w:sz w:val="20"/>
              </w:rPr>
            </w:pPr>
            <w:r>
              <w:rPr>
                <w:b/>
                <w:sz w:val="20"/>
              </w:rPr>
              <w:t>parentage_act_1 973</w:t>
            </w:r>
          </w:p>
        </w:tc>
        <w:tc>
          <w:tcPr>
            <w:tcW w:w="1596" w:type="dxa"/>
          </w:tcPr>
          <w:p w14:paraId="0ADD9EF8" w14:textId="77777777" w:rsidR="0046798B" w:rsidRDefault="00903B5C">
            <w:pPr>
              <w:pStyle w:val="TableParagraph"/>
              <w:spacing w:before="38"/>
              <w:ind w:left="114" w:right="133"/>
              <w:rPr>
                <w:sz w:val="20"/>
              </w:rPr>
            </w:pPr>
            <w:r>
              <w:rPr>
                <w:sz w:val="20"/>
              </w:rPr>
              <w:t>Law of determination of parentage, paternity actions and child support (1973 version)</w:t>
            </w:r>
          </w:p>
        </w:tc>
        <w:tc>
          <w:tcPr>
            <w:tcW w:w="1285" w:type="dxa"/>
          </w:tcPr>
          <w:p w14:paraId="7328516E" w14:textId="77777777" w:rsidR="0046798B" w:rsidRDefault="0046798B">
            <w:pPr>
              <w:pStyle w:val="TableParagraph"/>
            </w:pPr>
          </w:p>
          <w:p w14:paraId="6CC8D1C9" w14:textId="77777777" w:rsidR="0046798B" w:rsidRDefault="0046798B">
            <w:pPr>
              <w:pStyle w:val="TableParagraph"/>
            </w:pPr>
          </w:p>
          <w:p w14:paraId="6F24EA5A" w14:textId="77777777" w:rsidR="0046798B" w:rsidRDefault="0046798B">
            <w:pPr>
              <w:pStyle w:val="TableParagraph"/>
              <w:spacing w:before="4"/>
              <w:rPr>
                <w:sz w:val="19"/>
              </w:rPr>
            </w:pPr>
          </w:p>
          <w:p w14:paraId="763F72E8" w14:textId="77777777" w:rsidR="0046798B" w:rsidRDefault="00903B5C">
            <w:pPr>
              <w:pStyle w:val="TableParagraph"/>
              <w:ind w:left="114"/>
              <w:rPr>
                <w:sz w:val="20"/>
              </w:rPr>
            </w:pPr>
            <w:r>
              <w:rPr>
                <w:sz w:val="20"/>
              </w:rPr>
              <w:t>1975–1989</w:t>
            </w:r>
          </w:p>
        </w:tc>
        <w:tc>
          <w:tcPr>
            <w:tcW w:w="3421" w:type="dxa"/>
          </w:tcPr>
          <w:p w14:paraId="7B2823FE" w14:textId="77777777" w:rsidR="0046798B" w:rsidRDefault="0046798B">
            <w:pPr>
              <w:pStyle w:val="TableParagraph"/>
            </w:pPr>
          </w:p>
          <w:p w14:paraId="4DF9AEE6" w14:textId="77777777" w:rsidR="0046798B" w:rsidRDefault="0046798B">
            <w:pPr>
              <w:pStyle w:val="TableParagraph"/>
              <w:spacing w:before="4"/>
              <w:rPr>
                <w:sz w:val="31"/>
              </w:rPr>
            </w:pPr>
          </w:p>
          <w:p w14:paraId="7EB78F7C" w14:textId="77777777" w:rsidR="0046798B" w:rsidRDefault="00903B5C">
            <w:pPr>
              <w:pStyle w:val="TableParagraph"/>
              <w:ind w:left="114" w:right="1475"/>
              <w:rPr>
                <w:sz w:val="20"/>
              </w:rPr>
            </w:pPr>
            <w:r>
              <w:rPr>
                <w:sz w:val="20"/>
              </w:rPr>
              <w:t>0 = policy not adopted 1 = policy adopted</w:t>
            </w:r>
          </w:p>
        </w:tc>
        <w:tc>
          <w:tcPr>
            <w:tcW w:w="6482" w:type="dxa"/>
          </w:tcPr>
          <w:p w14:paraId="63087165" w14:textId="77777777" w:rsidR="0046798B" w:rsidRDefault="00903B5C">
            <w:pPr>
              <w:pStyle w:val="TableParagraph"/>
              <w:spacing w:before="153"/>
              <w:ind w:left="114"/>
              <w:rPr>
                <w:sz w:val="20"/>
              </w:rPr>
            </w:pPr>
            <w:r>
              <w:rPr>
                <w:sz w:val="20"/>
              </w:rPr>
              <w:t xml:space="preserve">Uniform Law Commission website: </w:t>
            </w:r>
            <w:hyperlink r:id="rId774">
              <w:r>
                <w:rPr>
                  <w:color w:val="0462C1"/>
                  <w:sz w:val="20"/>
                  <w:u w:val="single" w:color="0462C1"/>
                </w:rPr>
                <w:t>http://www.uniformlaws.org/</w:t>
              </w:r>
            </w:hyperlink>
          </w:p>
          <w:p w14:paraId="55F31884" w14:textId="77777777" w:rsidR="0046798B" w:rsidRDefault="0046798B">
            <w:pPr>
              <w:pStyle w:val="TableParagraph"/>
              <w:rPr>
                <w:sz w:val="20"/>
              </w:rPr>
            </w:pPr>
          </w:p>
          <w:p w14:paraId="6A005E36"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42578754" w14:textId="77777777">
        <w:trPr>
          <w:trHeight w:val="1695"/>
        </w:trPr>
        <w:tc>
          <w:tcPr>
            <w:tcW w:w="1711" w:type="dxa"/>
          </w:tcPr>
          <w:p w14:paraId="321553D0" w14:textId="77777777" w:rsidR="0046798B" w:rsidRDefault="0046798B">
            <w:pPr>
              <w:pStyle w:val="TableParagraph"/>
            </w:pPr>
          </w:p>
          <w:p w14:paraId="773D1086" w14:textId="77777777" w:rsidR="0046798B" w:rsidRDefault="0046798B">
            <w:pPr>
              <w:pStyle w:val="TableParagraph"/>
              <w:spacing w:before="4"/>
              <w:rPr>
                <w:sz w:val="31"/>
              </w:rPr>
            </w:pPr>
          </w:p>
          <w:p w14:paraId="7CAFED32" w14:textId="77777777" w:rsidR="0046798B" w:rsidRDefault="00903B5C">
            <w:pPr>
              <w:pStyle w:val="TableParagraph"/>
              <w:ind w:left="115" w:right="166"/>
              <w:rPr>
                <w:b/>
                <w:sz w:val="20"/>
              </w:rPr>
            </w:pPr>
            <w:r>
              <w:rPr>
                <w:b/>
                <w:sz w:val="20"/>
              </w:rPr>
              <w:t>premarital_agre ement_act</w:t>
            </w:r>
          </w:p>
        </w:tc>
        <w:tc>
          <w:tcPr>
            <w:tcW w:w="1596" w:type="dxa"/>
          </w:tcPr>
          <w:p w14:paraId="042B9592" w14:textId="77777777" w:rsidR="0046798B" w:rsidRDefault="00903B5C">
            <w:pPr>
              <w:pStyle w:val="TableParagraph"/>
              <w:spacing w:before="38"/>
              <w:ind w:left="114" w:right="113"/>
              <w:rPr>
                <w:sz w:val="20"/>
              </w:rPr>
            </w:pPr>
            <w:r>
              <w:rPr>
                <w:sz w:val="20"/>
              </w:rPr>
              <w:t>Allows for agreement between spouses made before marriage to be effective upon marriage</w:t>
            </w:r>
          </w:p>
        </w:tc>
        <w:tc>
          <w:tcPr>
            <w:tcW w:w="1285" w:type="dxa"/>
          </w:tcPr>
          <w:p w14:paraId="1715C600" w14:textId="77777777" w:rsidR="0046798B" w:rsidRDefault="0046798B">
            <w:pPr>
              <w:pStyle w:val="TableParagraph"/>
            </w:pPr>
          </w:p>
          <w:p w14:paraId="3959BE2D" w14:textId="77777777" w:rsidR="0046798B" w:rsidRDefault="0046798B">
            <w:pPr>
              <w:pStyle w:val="TableParagraph"/>
            </w:pPr>
          </w:p>
          <w:p w14:paraId="42E18576" w14:textId="77777777" w:rsidR="0046798B" w:rsidRDefault="0046798B">
            <w:pPr>
              <w:pStyle w:val="TableParagraph"/>
              <w:spacing w:before="4"/>
              <w:rPr>
                <w:sz w:val="19"/>
              </w:rPr>
            </w:pPr>
          </w:p>
          <w:p w14:paraId="60C9D3C9" w14:textId="77777777" w:rsidR="0046798B" w:rsidRDefault="00903B5C">
            <w:pPr>
              <w:pStyle w:val="TableParagraph"/>
              <w:ind w:left="114"/>
              <w:rPr>
                <w:sz w:val="20"/>
              </w:rPr>
            </w:pPr>
            <w:r>
              <w:rPr>
                <w:sz w:val="20"/>
              </w:rPr>
              <w:t>1985–2007</w:t>
            </w:r>
          </w:p>
        </w:tc>
        <w:tc>
          <w:tcPr>
            <w:tcW w:w="3421" w:type="dxa"/>
          </w:tcPr>
          <w:p w14:paraId="39CEB0A5" w14:textId="77777777" w:rsidR="0046798B" w:rsidRDefault="0046798B">
            <w:pPr>
              <w:pStyle w:val="TableParagraph"/>
            </w:pPr>
          </w:p>
          <w:p w14:paraId="495B6FA0" w14:textId="77777777" w:rsidR="0046798B" w:rsidRDefault="0046798B">
            <w:pPr>
              <w:pStyle w:val="TableParagraph"/>
              <w:spacing w:before="4"/>
              <w:rPr>
                <w:sz w:val="31"/>
              </w:rPr>
            </w:pPr>
          </w:p>
          <w:p w14:paraId="53D6241E" w14:textId="77777777" w:rsidR="0046798B" w:rsidRDefault="00903B5C">
            <w:pPr>
              <w:pStyle w:val="TableParagraph"/>
              <w:ind w:left="114" w:right="1475"/>
              <w:rPr>
                <w:sz w:val="20"/>
              </w:rPr>
            </w:pPr>
            <w:r>
              <w:rPr>
                <w:sz w:val="20"/>
              </w:rPr>
              <w:t>0 = policy not adopted 1 = policy adopted</w:t>
            </w:r>
          </w:p>
        </w:tc>
        <w:tc>
          <w:tcPr>
            <w:tcW w:w="6482" w:type="dxa"/>
          </w:tcPr>
          <w:p w14:paraId="59346851" w14:textId="77777777" w:rsidR="0046798B" w:rsidRDefault="00903B5C">
            <w:pPr>
              <w:pStyle w:val="TableParagraph"/>
              <w:spacing w:before="154"/>
              <w:ind w:left="114"/>
              <w:rPr>
                <w:sz w:val="20"/>
              </w:rPr>
            </w:pPr>
            <w:r>
              <w:rPr>
                <w:sz w:val="20"/>
              </w:rPr>
              <w:t xml:space="preserve">Uniform Law Commission website: </w:t>
            </w:r>
            <w:hyperlink r:id="rId775">
              <w:r>
                <w:rPr>
                  <w:color w:val="0462C1"/>
                  <w:sz w:val="20"/>
                  <w:u w:val="single" w:color="0462C1"/>
                </w:rPr>
                <w:t>http://www.uniformlaws.org/</w:t>
              </w:r>
            </w:hyperlink>
          </w:p>
          <w:p w14:paraId="4A92C7F6" w14:textId="77777777" w:rsidR="0046798B" w:rsidRDefault="0046798B">
            <w:pPr>
              <w:pStyle w:val="TableParagraph"/>
              <w:spacing w:before="11"/>
              <w:rPr>
                <w:sz w:val="19"/>
              </w:rPr>
            </w:pPr>
          </w:p>
          <w:p w14:paraId="7C0E0EB7"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76C75C78" w14:textId="77777777">
        <w:trPr>
          <w:trHeight w:val="1005"/>
        </w:trPr>
        <w:tc>
          <w:tcPr>
            <w:tcW w:w="1711" w:type="dxa"/>
          </w:tcPr>
          <w:p w14:paraId="32EF7D4E" w14:textId="77777777" w:rsidR="0046798B" w:rsidRDefault="00903B5C">
            <w:pPr>
              <w:pStyle w:val="TableParagraph"/>
              <w:spacing w:before="153"/>
              <w:ind w:left="115" w:right="126"/>
              <w:jc w:val="both"/>
              <w:rPr>
                <w:b/>
                <w:sz w:val="20"/>
              </w:rPr>
            </w:pPr>
            <w:r>
              <w:rPr>
                <w:b/>
                <w:sz w:val="20"/>
              </w:rPr>
              <w:t>premarital_and_ marital_agreeme nt</w:t>
            </w:r>
          </w:p>
        </w:tc>
        <w:tc>
          <w:tcPr>
            <w:tcW w:w="1596" w:type="dxa"/>
          </w:tcPr>
          <w:p w14:paraId="28A6E05F" w14:textId="77777777" w:rsidR="0046798B" w:rsidRDefault="00903B5C">
            <w:pPr>
              <w:pStyle w:val="TableParagraph"/>
              <w:spacing w:before="38"/>
              <w:ind w:left="114" w:right="174"/>
              <w:rPr>
                <w:sz w:val="20"/>
              </w:rPr>
            </w:pPr>
            <w:r>
              <w:rPr>
                <w:sz w:val="20"/>
              </w:rPr>
              <w:t>Standardizes marital and pre- marital agreements</w:t>
            </w:r>
          </w:p>
        </w:tc>
        <w:tc>
          <w:tcPr>
            <w:tcW w:w="1285" w:type="dxa"/>
          </w:tcPr>
          <w:p w14:paraId="24FA577B" w14:textId="77777777" w:rsidR="0046798B" w:rsidRDefault="0046798B">
            <w:pPr>
              <w:pStyle w:val="TableParagraph"/>
            </w:pPr>
          </w:p>
          <w:p w14:paraId="32FAE1A7" w14:textId="77777777" w:rsidR="0046798B" w:rsidRDefault="00903B5C">
            <w:pPr>
              <w:pStyle w:val="TableParagraph"/>
              <w:spacing w:before="130"/>
              <w:ind w:left="114"/>
              <w:rPr>
                <w:sz w:val="20"/>
              </w:rPr>
            </w:pPr>
            <w:r>
              <w:rPr>
                <w:sz w:val="20"/>
              </w:rPr>
              <w:t>2013</w:t>
            </w:r>
          </w:p>
        </w:tc>
        <w:tc>
          <w:tcPr>
            <w:tcW w:w="3421" w:type="dxa"/>
          </w:tcPr>
          <w:p w14:paraId="5DAF8095" w14:textId="77777777" w:rsidR="0046798B" w:rsidRDefault="0046798B">
            <w:pPr>
              <w:pStyle w:val="TableParagraph"/>
              <w:spacing w:before="3"/>
              <w:rPr>
                <w:sz w:val="23"/>
              </w:rPr>
            </w:pPr>
          </w:p>
          <w:p w14:paraId="30E4C7D2"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53D28826" w14:textId="77777777" w:rsidR="0046798B" w:rsidRDefault="00903B5C">
            <w:pPr>
              <w:pStyle w:val="TableParagraph"/>
              <w:spacing w:before="38"/>
              <w:ind w:left="114"/>
              <w:rPr>
                <w:sz w:val="20"/>
              </w:rPr>
            </w:pPr>
            <w:r>
              <w:rPr>
                <w:sz w:val="20"/>
              </w:rPr>
              <w:t xml:space="preserve">Uniform Law Commission website: </w:t>
            </w:r>
            <w:hyperlink r:id="rId776">
              <w:r>
                <w:rPr>
                  <w:color w:val="0462C1"/>
                  <w:sz w:val="20"/>
                  <w:u w:val="single" w:color="0462C1"/>
                </w:rPr>
                <w:t>http://www.uniformlaws.org/</w:t>
              </w:r>
            </w:hyperlink>
          </w:p>
          <w:p w14:paraId="4EBDF0DF" w14:textId="77777777" w:rsidR="0046798B" w:rsidRDefault="0046798B">
            <w:pPr>
              <w:pStyle w:val="TableParagraph"/>
              <w:rPr>
                <w:sz w:val="20"/>
              </w:rPr>
            </w:pPr>
          </w:p>
          <w:p w14:paraId="67CE7765"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w:t>
            </w:r>
          </w:p>
        </w:tc>
      </w:tr>
    </w:tbl>
    <w:p w14:paraId="59334E52" w14:textId="77777777" w:rsidR="0046798B" w:rsidRDefault="0046798B">
      <w:pPr>
        <w:rPr>
          <w:sz w:val="20"/>
        </w:rPr>
        <w:sectPr w:rsidR="0046798B">
          <w:pgSz w:w="15840" w:h="12240" w:orient="landscape"/>
          <w:pgMar w:top="1220" w:right="300" w:bottom="980" w:left="820" w:header="730" w:footer="787" w:gutter="0"/>
          <w:cols w:space="720"/>
        </w:sectPr>
      </w:pPr>
    </w:p>
    <w:p w14:paraId="20507AD4"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6472BB70" w14:textId="77777777">
        <w:trPr>
          <w:trHeight w:val="542"/>
        </w:trPr>
        <w:tc>
          <w:tcPr>
            <w:tcW w:w="1711" w:type="dxa"/>
            <w:tcBorders>
              <w:bottom w:val="dotted" w:sz="6" w:space="0" w:color="BEBEBE"/>
            </w:tcBorders>
          </w:tcPr>
          <w:p w14:paraId="4A84E517" w14:textId="77777777" w:rsidR="0046798B" w:rsidRDefault="0046798B">
            <w:pPr>
              <w:pStyle w:val="TableParagraph"/>
              <w:rPr>
                <w:sz w:val="20"/>
              </w:rPr>
            </w:pPr>
          </w:p>
        </w:tc>
        <w:tc>
          <w:tcPr>
            <w:tcW w:w="1596" w:type="dxa"/>
            <w:tcBorders>
              <w:bottom w:val="dotted" w:sz="6" w:space="0" w:color="BEBEBE"/>
            </w:tcBorders>
          </w:tcPr>
          <w:p w14:paraId="67558788" w14:textId="77777777" w:rsidR="0046798B" w:rsidRDefault="0046798B">
            <w:pPr>
              <w:pStyle w:val="TableParagraph"/>
              <w:rPr>
                <w:sz w:val="20"/>
              </w:rPr>
            </w:pPr>
          </w:p>
        </w:tc>
        <w:tc>
          <w:tcPr>
            <w:tcW w:w="1285" w:type="dxa"/>
            <w:tcBorders>
              <w:bottom w:val="dotted" w:sz="6" w:space="0" w:color="BEBEBE"/>
            </w:tcBorders>
          </w:tcPr>
          <w:p w14:paraId="573D66FD" w14:textId="77777777" w:rsidR="0046798B" w:rsidRDefault="0046798B">
            <w:pPr>
              <w:pStyle w:val="TableParagraph"/>
              <w:rPr>
                <w:sz w:val="20"/>
              </w:rPr>
            </w:pPr>
          </w:p>
        </w:tc>
        <w:tc>
          <w:tcPr>
            <w:tcW w:w="3421" w:type="dxa"/>
            <w:tcBorders>
              <w:bottom w:val="dotted" w:sz="6" w:space="0" w:color="BEBEBE"/>
            </w:tcBorders>
          </w:tcPr>
          <w:p w14:paraId="69A4D80A" w14:textId="77777777" w:rsidR="0046798B" w:rsidRDefault="0046798B">
            <w:pPr>
              <w:pStyle w:val="TableParagraph"/>
              <w:rPr>
                <w:sz w:val="20"/>
              </w:rPr>
            </w:pPr>
          </w:p>
        </w:tc>
        <w:tc>
          <w:tcPr>
            <w:tcW w:w="6482" w:type="dxa"/>
            <w:tcBorders>
              <w:bottom w:val="dotted" w:sz="6" w:space="0" w:color="BEBEBE"/>
            </w:tcBorders>
          </w:tcPr>
          <w:p w14:paraId="7400F98E" w14:textId="77777777" w:rsidR="0046798B" w:rsidRDefault="00903B5C">
            <w:pPr>
              <w:pStyle w:val="TableParagraph"/>
              <w:spacing w:before="43"/>
              <w:ind w:left="114" w:right="2377"/>
              <w:rPr>
                <w:sz w:val="20"/>
              </w:rPr>
            </w:pPr>
            <w:r>
              <w:rPr>
                <w:sz w:val="20"/>
              </w:rPr>
              <w:t>Innovation and Diffusion (SPID) Database v1.0”, https://doi.org/10.7910/DVN/CVYSR7</w:t>
            </w:r>
          </w:p>
        </w:tc>
      </w:tr>
      <w:tr w:rsidR="0046798B" w14:paraId="0681A0BC" w14:textId="77777777">
        <w:trPr>
          <w:trHeight w:val="1463"/>
        </w:trPr>
        <w:tc>
          <w:tcPr>
            <w:tcW w:w="1711" w:type="dxa"/>
            <w:tcBorders>
              <w:top w:val="dotted" w:sz="6" w:space="0" w:color="BEBEBE"/>
            </w:tcBorders>
          </w:tcPr>
          <w:p w14:paraId="208DA576" w14:textId="77777777" w:rsidR="0046798B" w:rsidRDefault="0046798B">
            <w:pPr>
              <w:pStyle w:val="TableParagraph"/>
            </w:pPr>
          </w:p>
          <w:p w14:paraId="75115750" w14:textId="77777777" w:rsidR="0046798B" w:rsidRDefault="00903B5C">
            <w:pPr>
              <w:pStyle w:val="TableParagraph"/>
              <w:spacing w:before="133"/>
              <w:ind w:left="115" w:right="161"/>
              <w:jc w:val="both"/>
              <w:rPr>
                <w:b/>
                <w:sz w:val="20"/>
              </w:rPr>
            </w:pPr>
            <w:r>
              <w:rPr>
                <w:b/>
                <w:sz w:val="20"/>
              </w:rPr>
              <w:t>reciprocal_enfor cement_of_supp or</w:t>
            </w:r>
          </w:p>
        </w:tc>
        <w:tc>
          <w:tcPr>
            <w:tcW w:w="1596" w:type="dxa"/>
            <w:tcBorders>
              <w:top w:val="dotted" w:sz="6" w:space="0" w:color="BEBEBE"/>
            </w:tcBorders>
          </w:tcPr>
          <w:p w14:paraId="354F81CA" w14:textId="77777777" w:rsidR="0046798B" w:rsidRDefault="00903B5C">
            <w:pPr>
              <w:pStyle w:val="TableParagraph"/>
              <w:spacing w:before="155"/>
              <w:ind w:left="114" w:right="213"/>
              <w:rPr>
                <w:sz w:val="20"/>
              </w:rPr>
            </w:pPr>
            <w:r>
              <w:rPr>
                <w:sz w:val="20"/>
              </w:rPr>
              <w:t>Facilitates interstate cooperation on collecting child support</w:t>
            </w:r>
          </w:p>
        </w:tc>
        <w:tc>
          <w:tcPr>
            <w:tcW w:w="1285" w:type="dxa"/>
            <w:tcBorders>
              <w:top w:val="dotted" w:sz="6" w:space="0" w:color="BEBEBE"/>
            </w:tcBorders>
          </w:tcPr>
          <w:p w14:paraId="4632E13F" w14:textId="77777777" w:rsidR="0046798B" w:rsidRDefault="0046798B">
            <w:pPr>
              <w:pStyle w:val="TableParagraph"/>
            </w:pPr>
          </w:p>
          <w:p w14:paraId="28F816F0" w14:textId="77777777" w:rsidR="0046798B" w:rsidRDefault="0046798B">
            <w:pPr>
              <w:pStyle w:val="TableParagraph"/>
              <w:spacing w:before="6"/>
              <w:rPr>
                <w:sz w:val="31"/>
              </w:rPr>
            </w:pPr>
          </w:p>
          <w:p w14:paraId="5094C1FD" w14:textId="77777777" w:rsidR="0046798B" w:rsidRDefault="00903B5C">
            <w:pPr>
              <w:pStyle w:val="TableParagraph"/>
              <w:ind w:left="114"/>
              <w:rPr>
                <w:sz w:val="20"/>
              </w:rPr>
            </w:pPr>
            <w:r>
              <w:rPr>
                <w:sz w:val="20"/>
              </w:rPr>
              <w:t>1968–1990</w:t>
            </w:r>
          </w:p>
        </w:tc>
        <w:tc>
          <w:tcPr>
            <w:tcW w:w="3421" w:type="dxa"/>
            <w:tcBorders>
              <w:top w:val="dotted" w:sz="6" w:space="0" w:color="BEBEBE"/>
            </w:tcBorders>
          </w:tcPr>
          <w:p w14:paraId="75E2E7B7" w14:textId="77777777" w:rsidR="0046798B" w:rsidRDefault="0046798B">
            <w:pPr>
              <w:pStyle w:val="TableParagraph"/>
            </w:pPr>
          </w:p>
          <w:p w14:paraId="1CE04B66" w14:textId="77777777" w:rsidR="0046798B" w:rsidRDefault="0046798B">
            <w:pPr>
              <w:pStyle w:val="TableParagraph"/>
              <w:spacing w:before="6"/>
              <w:rPr>
                <w:sz w:val="21"/>
              </w:rPr>
            </w:pPr>
          </w:p>
          <w:p w14:paraId="63B93B87" w14:textId="77777777" w:rsidR="0046798B" w:rsidRDefault="00903B5C">
            <w:pPr>
              <w:pStyle w:val="TableParagraph"/>
              <w:ind w:left="114" w:right="1475"/>
              <w:rPr>
                <w:sz w:val="20"/>
              </w:rPr>
            </w:pPr>
            <w:r>
              <w:rPr>
                <w:sz w:val="20"/>
              </w:rPr>
              <w:t>0 = policy not adopted 1 = policy adopted</w:t>
            </w:r>
          </w:p>
        </w:tc>
        <w:tc>
          <w:tcPr>
            <w:tcW w:w="6482" w:type="dxa"/>
            <w:tcBorders>
              <w:top w:val="dotted" w:sz="6" w:space="0" w:color="BEBEBE"/>
            </w:tcBorders>
          </w:tcPr>
          <w:p w14:paraId="542DA214" w14:textId="77777777" w:rsidR="0046798B" w:rsidRDefault="00903B5C">
            <w:pPr>
              <w:pStyle w:val="TableParagraph"/>
              <w:spacing w:before="40"/>
              <w:ind w:left="114"/>
              <w:rPr>
                <w:sz w:val="20"/>
              </w:rPr>
            </w:pPr>
            <w:r>
              <w:rPr>
                <w:sz w:val="20"/>
              </w:rPr>
              <w:t xml:space="preserve">Uniform Law Commission website: </w:t>
            </w:r>
            <w:hyperlink r:id="rId777">
              <w:r>
                <w:rPr>
                  <w:color w:val="0462C1"/>
                  <w:sz w:val="20"/>
                  <w:u w:val="single" w:color="0462C1"/>
                </w:rPr>
                <w:t>http://www.uniformlaws.org/</w:t>
              </w:r>
            </w:hyperlink>
          </w:p>
          <w:p w14:paraId="75AFB2A7" w14:textId="77777777" w:rsidR="0046798B" w:rsidRDefault="0046798B">
            <w:pPr>
              <w:pStyle w:val="TableParagraph"/>
              <w:rPr>
                <w:sz w:val="20"/>
              </w:rPr>
            </w:pPr>
          </w:p>
          <w:p w14:paraId="7065A541"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518A0A5F" w14:textId="77777777">
        <w:trPr>
          <w:trHeight w:val="1700"/>
        </w:trPr>
        <w:tc>
          <w:tcPr>
            <w:tcW w:w="1711" w:type="dxa"/>
          </w:tcPr>
          <w:p w14:paraId="35FFF1FD" w14:textId="77777777" w:rsidR="0046798B" w:rsidRDefault="0046798B">
            <w:pPr>
              <w:pStyle w:val="TableParagraph"/>
            </w:pPr>
          </w:p>
          <w:p w14:paraId="36F33866" w14:textId="77777777" w:rsidR="0046798B" w:rsidRDefault="0046798B">
            <w:pPr>
              <w:pStyle w:val="TableParagraph"/>
              <w:spacing w:before="9"/>
              <w:rPr>
                <w:sz w:val="31"/>
              </w:rPr>
            </w:pPr>
          </w:p>
          <w:p w14:paraId="2BC77174" w14:textId="77777777" w:rsidR="0046798B" w:rsidRDefault="00903B5C">
            <w:pPr>
              <w:pStyle w:val="TableParagraph"/>
              <w:ind w:left="115"/>
              <w:rPr>
                <w:b/>
                <w:sz w:val="20"/>
              </w:rPr>
            </w:pPr>
            <w:r>
              <w:rPr>
                <w:b/>
                <w:sz w:val="20"/>
              </w:rPr>
              <w:t>veterans_guardi anship_act_1942</w:t>
            </w:r>
          </w:p>
        </w:tc>
        <w:tc>
          <w:tcPr>
            <w:tcW w:w="1596" w:type="dxa"/>
          </w:tcPr>
          <w:p w14:paraId="1D584529" w14:textId="77777777" w:rsidR="0046798B" w:rsidRDefault="00903B5C">
            <w:pPr>
              <w:pStyle w:val="TableParagraph"/>
              <w:spacing w:before="43"/>
              <w:ind w:left="114" w:right="202"/>
              <w:rPr>
                <w:sz w:val="20"/>
              </w:rPr>
            </w:pPr>
            <w:r>
              <w:rPr>
                <w:sz w:val="20"/>
              </w:rPr>
              <w:t>Regulates guardianship of incompetent veterans and orphans of deceased veterans</w:t>
            </w:r>
          </w:p>
        </w:tc>
        <w:tc>
          <w:tcPr>
            <w:tcW w:w="1285" w:type="dxa"/>
          </w:tcPr>
          <w:p w14:paraId="5E61FD73" w14:textId="77777777" w:rsidR="0046798B" w:rsidRDefault="0046798B">
            <w:pPr>
              <w:pStyle w:val="TableParagraph"/>
            </w:pPr>
          </w:p>
          <w:p w14:paraId="70451086" w14:textId="77777777" w:rsidR="0046798B" w:rsidRDefault="0046798B">
            <w:pPr>
              <w:pStyle w:val="TableParagraph"/>
            </w:pPr>
          </w:p>
          <w:p w14:paraId="2497C62A" w14:textId="77777777" w:rsidR="0046798B" w:rsidRDefault="0046798B">
            <w:pPr>
              <w:pStyle w:val="TableParagraph"/>
              <w:spacing w:before="9"/>
              <w:rPr>
                <w:sz w:val="19"/>
              </w:rPr>
            </w:pPr>
          </w:p>
          <w:p w14:paraId="6D99F8DF" w14:textId="77777777" w:rsidR="0046798B" w:rsidRDefault="00903B5C">
            <w:pPr>
              <w:pStyle w:val="TableParagraph"/>
              <w:ind w:left="114"/>
              <w:rPr>
                <w:sz w:val="20"/>
              </w:rPr>
            </w:pPr>
            <w:r>
              <w:rPr>
                <w:sz w:val="20"/>
              </w:rPr>
              <w:t>1942–1953</w:t>
            </w:r>
          </w:p>
        </w:tc>
        <w:tc>
          <w:tcPr>
            <w:tcW w:w="3421" w:type="dxa"/>
          </w:tcPr>
          <w:p w14:paraId="46ED6505" w14:textId="77777777" w:rsidR="0046798B" w:rsidRDefault="0046798B">
            <w:pPr>
              <w:pStyle w:val="TableParagraph"/>
            </w:pPr>
          </w:p>
          <w:p w14:paraId="1C493AC6" w14:textId="77777777" w:rsidR="0046798B" w:rsidRDefault="0046798B">
            <w:pPr>
              <w:pStyle w:val="TableParagraph"/>
              <w:spacing w:before="9"/>
              <w:rPr>
                <w:sz w:val="31"/>
              </w:rPr>
            </w:pPr>
          </w:p>
          <w:p w14:paraId="40607C1F" w14:textId="77777777" w:rsidR="0046798B" w:rsidRDefault="00903B5C">
            <w:pPr>
              <w:pStyle w:val="TableParagraph"/>
              <w:ind w:left="114" w:right="1475"/>
              <w:rPr>
                <w:sz w:val="20"/>
              </w:rPr>
            </w:pPr>
            <w:r>
              <w:rPr>
                <w:sz w:val="20"/>
              </w:rPr>
              <w:t>0 = policy not adopted 1 = policy adopted</w:t>
            </w:r>
          </w:p>
        </w:tc>
        <w:tc>
          <w:tcPr>
            <w:tcW w:w="6482" w:type="dxa"/>
          </w:tcPr>
          <w:p w14:paraId="508681F5" w14:textId="77777777" w:rsidR="0046798B" w:rsidRDefault="00903B5C">
            <w:pPr>
              <w:pStyle w:val="TableParagraph"/>
              <w:spacing w:before="158"/>
              <w:ind w:left="114"/>
              <w:rPr>
                <w:sz w:val="20"/>
              </w:rPr>
            </w:pPr>
            <w:r>
              <w:rPr>
                <w:sz w:val="20"/>
              </w:rPr>
              <w:t xml:space="preserve">Uniform Law Commission website: </w:t>
            </w:r>
            <w:hyperlink r:id="rId778">
              <w:r>
                <w:rPr>
                  <w:color w:val="0462C1"/>
                  <w:sz w:val="20"/>
                  <w:u w:val="single" w:color="0462C1"/>
                </w:rPr>
                <w:t>http://www.uniformlaws.org/</w:t>
              </w:r>
            </w:hyperlink>
          </w:p>
          <w:p w14:paraId="533485E5" w14:textId="77777777" w:rsidR="0046798B" w:rsidRDefault="0046798B">
            <w:pPr>
              <w:pStyle w:val="TableParagraph"/>
              <w:rPr>
                <w:sz w:val="20"/>
              </w:rPr>
            </w:pPr>
          </w:p>
          <w:p w14:paraId="21017FA1"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63463E72" w14:textId="77777777">
        <w:trPr>
          <w:trHeight w:val="545"/>
        </w:trPr>
        <w:tc>
          <w:tcPr>
            <w:tcW w:w="1711" w:type="dxa"/>
          </w:tcPr>
          <w:p w14:paraId="37BCB1E8" w14:textId="77777777" w:rsidR="0046798B" w:rsidRDefault="00903B5C">
            <w:pPr>
              <w:pStyle w:val="TableParagraph"/>
              <w:spacing w:before="153"/>
              <w:ind w:left="115"/>
              <w:rPr>
                <w:b/>
                <w:sz w:val="20"/>
              </w:rPr>
            </w:pPr>
            <w:r>
              <w:rPr>
                <w:b/>
                <w:sz w:val="20"/>
              </w:rPr>
              <w:t>grandvist</w:t>
            </w:r>
          </w:p>
        </w:tc>
        <w:tc>
          <w:tcPr>
            <w:tcW w:w="1596" w:type="dxa"/>
          </w:tcPr>
          <w:p w14:paraId="5D01F17D" w14:textId="77777777" w:rsidR="0046798B" w:rsidRDefault="00903B5C">
            <w:pPr>
              <w:pStyle w:val="TableParagraph"/>
              <w:spacing w:before="38"/>
              <w:ind w:left="114" w:right="202"/>
              <w:rPr>
                <w:sz w:val="20"/>
              </w:rPr>
            </w:pPr>
            <w:r>
              <w:rPr>
                <w:sz w:val="20"/>
              </w:rPr>
              <w:t>Grandparents’ visitation rights</w:t>
            </w:r>
          </w:p>
        </w:tc>
        <w:tc>
          <w:tcPr>
            <w:tcW w:w="1285" w:type="dxa"/>
          </w:tcPr>
          <w:p w14:paraId="2E9A2AF1" w14:textId="77777777" w:rsidR="0046798B" w:rsidRDefault="00903B5C">
            <w:pPr>
              <w:pStyle w:val="TableParagraph"/>
              <w:spacing w:before="153"/>
              <w:ind w:left="114"/>
              <w:rPr>
                <w:sz w:val="20"/>
              </w:rPr>
            </w:pPr>
            <w:r>
              <w:rPr>
                <w:sz w:val="20"/>
              </w:rPr>
              <w:t>1964–1987</w:t>
            </w:r>
          </w:p>
        </w:tc>
        <w:tc>
          <w:tcPr>
            <w:tcW w:w="3421" w:type="dxa"/>
          </w:tcPr>
          <w:p w14:paraId="6B6E33EB" w14:textId="77777777" w:rsidR="0046798B" w:rsidRDefault="00903B5C">
            <w:pPr>
              <w:pStyle w:val="TableParagraph"/>
              <w:spacing w:before="38"/>
              <w:ind w:left="114" w:right="122"/>
              <w:rPr>
                <w:sz w:val="20"/>
              </w:rPr>
            </w:pPr>
            <w:r>
              <w:rPr>
                <w:sz w:val="20"/>
              </w:rPr>
              <w:t>Did state adopt grandparents’ visitation rights? (0 = no, 1 = yes)</w:t>
            </w:r>
          </w:p>
        </w:tc>
        <w:tc>
          <w:tcPr>
            <w:tcW w:w="6482" w:type="dxa"/>
          </w:tcPr>
          <w:p w14:paraId="7DCAAC70" w14:textId="77777777" w:rsidR="0046798B" w:rsidRDefault="00903B5C">
            <w:pPr>
              <w:pStyle w:val="TableParagraph"/>
              <w:spacing w:before="3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1CE6ECC1" w14:textId="77777777">
        <w:trPr>
          <w:trHeight w:val="1235"/>
        </w:trPr>
        <w:tc>
          <w:tcPr>
            <w:tcW w:w="1711" w:type="dxa"/>
          </w:tcPr>
          <w:p w14:paraId="18D67BB3" w14:textId="77777777" w:rsidR="0046798B" w:rsidRDefault="0046798B">
            <w:pPr>
              <w:pStyle w:val="TableParagraph"/>
            </w:pPr>
          </w:p>
          <w:p w14:paraId="77544529" w14:textId="77777777" w:rsidR="0046798B" w:rsidRDefault="00903B5C">
            <w:pPr>
              <w:pStyle w:val="TableParagraph"/>
              <w:spacing w:before="130"/>
              <w:ind w:left="115" w:right="99"/>
              <w:rPr>
                <w:b/>
                <w:sz w:val="20"/>
              </w:rPr>
            </w:pPr>
            <w:r>
              <w:rPr>
                <w:b/>
                <w:sz w:val="20"/>
              </w:rPr>
              <w:t>genderrights_nof ault_divorce</w:t>
            </w:r>
          </w:p>
        </w:tc>
        <w:tc>
          <w:tcPr>
            <w:tcW w:w="1596" w:type="dxa"/>
          </w:tcPr>
          <w:p w14:paraId="76EE2C81" w14:textId="77777777" w:rsidR="0046798B" w:rsidRDefault="0046798B">
            <w:pPr>
              <w:pStyle w:val="TableParagraph"/>
            </w:pPr>
          </w:p>
          <w:p w14:paraId="2A2E3F62" w14:textId="77777777" w:rsidR="0046798B" w:rsidRDefault="0046798B">
            <w:pPr>
              <w:pStyle w:val="TableParagraph"/>
              <w:spacing w:before="3"/>
              <w:rPr>
                <w:sz w:val="21"/>
              </w:rPr>
            </w:pPr>
          </w:p>
          <w:p w14:paraId="4B426971" w14:textId="77777777" w:rsidR="0046798B" w:rsidRDefault="00903B5C">
            <w:pPr>
              <w:pStyle w:val="TableParagraph"/>
              <w:spacing w:before="1"/>
              <w:ind w:left="114"/>
              <w:rPr>
                <w:sz w:val="20"/>
              </w:rPr>
            </w:pPr>
            <w:r>
              <w:rPr>
                <w:sz w:val="20"/>
              </w:rPr>
              <w:t>No-fault divorce</w:t>
            </w:r>
          </w:p>
        </w:tc>
        <w:tc>
          <w:tcPr>
            <w:tcW w:w="1285" w:type="dxa"/>
          </w:tcPr>
          <w:p w14:paraId="4DD401E5" w14:textId="77777777" w:rsidR="0046798B" w:rsidRDefault="0046798B">
            <w:pPr>
              <w:pStyle w:val="TableParagraph"/>
            </w:pPr>
          </w:p>
          <w:p w14:paraId="595992F8" w14:textId="77777777" w:rsidR="0046798B" w:rsidRDefault="0046798B">
            <w:pPr>
              <w:pStyle w:val="TableParagraph"/>
              <w:spacing w:before="3"/>
              <w:rPr>
                <w:sz w:val="21"/>
              </w:rPr>
            </w:pPr>
          </w:p>
          <w:p w14:paraId="5C6819B2" w14:textId="77777777" w:rsidR="0046798B" w:rsidRDefault="00903B5C">
            <w:pPr>
              <w:pStyle w:val="TableParagraph"/>
              <w:spacing w:before="1"/>
              <w:ind w:left="114"/>
              <w:rPr>
                <w:sz w:val="20"/>
              </w:rPr>
            </w:pPr>
            <w:r>
              <w:rPr>
                <w:sz w:val="20"/>
              </w:rPr>
              <w:t>1966–2014</w:t>
            </w:r>
          </w:p>
        </w:tc>
        <w:tc>
          <w:tcPr>
            <w:tcW w:w="3421" w:type="dxa"/>
          </w:tcPr>
          <w:p w14:paraId="20AEA732" w14:textId="77777777" w:rsidR="0046798B" w:rsidRDefault="0046798B">
            <w:pPr>
              <w:pStyle w:val="TableParagraph"/>
            </w:pPr>
          </w:p>
          <w:p w14:paraId="6750E15C" w14:textId="77777777" w:rsidR="0046798B" w:rsidRDefault="00903B5C">
            <w:pPr>
              <w:pStyle w:val="TableParagraph"/>
              <w:spacing w:before="130"/>
              <w:ind w:left="114" w:right="256"/>
              <w:rPr>
                <w:sz w:val="20"/>
              </w:rPr>
            </w:pPr>
            <w:r>
              <w:rPr>
                <w:sz w:val="20"/>
              </w:rPr>
              <w:t>Does the state have a no-fault divorce policy? (0 = no, 1 = yes)</w:t>
            </w:r>
          </w:p>
        </w:tc>
        <w:tc>
          <w:tcPr>
            <w:tcW w:w="6482" w:type="dxa"/>
          </w:tcPr>
          <w:p w14:paraId="24E2691B"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3015D1E7" w14:textId="77777777">
        <w:trPr>
          <w:trHeight w:val="1235"/>
        </w:trPr>
        <w:tc>
          <w:tcPr>
            <w:tcW w:w="1711" w:type="dxa"/>
          </w:tcPr>
          <w:p w14:paraId="62156793" w14:textId="77777777" w:rsidR="0046798B" w:rsidRDefault="0046798B">
            <w:pPr>
              <w:pStyle w:val="TableParagraph"/>
            </w:pPr>
          </w:p>
          <w:p w14:paraId="6A336CD5" w14:textId="77777777" w:rsidR="0046798B" w:rsidRDefault="00903B5C">
            <w:pPr>
              <w:pStyle w:val="TableParagraph"/>
              <w:spacing w:before="139" w:line="235" w:lineRule="auto"/>
              <w:ind w:left="115"/>
              <w:rPr>
                <w:b/>
                <w:sz w:val="20"/>
              </w:rPr>
            </w:pPr>
            <w:r>
              <w:rPr>
                <w:b/>
                <w:sz w:val="20"/>
              </w:rPr>
              <w:t>regulation_boeh mke_grandvist</w:t>
            </w:r>
          </w:p>
        </w:tc>
        <w:tc>
          <w:tcPr>
            <w:tcW w:w="1596" w:type="dxa"/>
          </w:tcPr>
          <w:p w14:paraId="51E31FF0" w14:textId="77777777" w:rsidR="0046798B" w:rsidRDefault="0046798B">
            <w:pPr>
              <w:pStyle w:val="TableParagraph"/>
            </w:pPr>
          </w:p>
          <w:p w14:paraId="114D1DFF" w14:textId="77777777" w:rsidR="0046798B" w:rsidRDefault="00903B5C">
            <w:pPr>
              <w:pStyle w:val="TableParagraph"/>
              <w:spacing w:before="139" w:line="235" w:lineRule="auto"/>
              <w:ind w:left="114" w:right="202"/>
              <w:rPr>
                <w:sz w:val="20"/>
              </w:rPr>
            </w:pPr>
            <w:r>
              <w:rPr>
                <w:sz w:val="20"/>
              </w:rPr>
              <w:t>Grandparents’ visitation rights</w:t>
            </w:r>
          </w:p>
        </w:tc>
        <w:tc>
          <w:tcPr>
            <w:tcW w:w="1285" w:type="dxa"/>
          </w:tcPr>
          <w:p w14:paraId="56847103" w14:textId="77777777" w:rsidR="0046798B" w:rsidRDefault="0046798B">
            <w:pPr>
              <w:pStyle w:val="TableParagraph"/>
            </w:pPr>
          </w:p>
          <w:p w14:paraId="31F074D4" w14:textId="77777777" w:rsidR="0046798B" w:rsidRDefault="0046798B">
            <w:pPr>
              <w:pStyle w:val="TableParagraph"/>
              <w:spacing w:before="3"/>
              <w:rPr>
                <w:sz w:val="21"/>
              </w:rPr>
            </w:pPr>
          </w:p>
          <w:p w14:paraId="70BEC2B4" w14:textId="77777777" w:rsidR="0046798B" w:rsidRDefault="00903B5C">
            <w:pPr>
              <w:pStyle w:val="TableParagraph"/>
              <w:spacing w:before="1"/>
              <w:ind w:left="114"/>
              <w:rPr>
                <w:sz w:val="20"/>
              </w:rPr>
            </w:pPr>
            <w:r>
              <w:rPr>
                <w:sz w:val="20"/>
              </w:rPr>
              <w:t>1964–1987</w:t>
            </w:r>
          </w:p>
        </w:tc>
        <w:tc>
          <w:tcPr>
            <w:tcW w:w="3421" w:type="dxa"/>
          </w:tcPr>
          <w:p w14:paraId="61405D7D" w14:textId="77777777" w:rsidR="0046798B" w:rsidRDefault="0046798B">
            <w:pPr>
              <w:pStyle w:val="TableParagraph"/>
              <w:spacing w:before="10"/>
              <w:rPr>
                <w:sz w:val="23"/>
              </w:rPr>
            </w:pPr>
          </w:p>
          <w:p w14:paraId="7D4F660A" w14:textId="77777777" w:rsidR="0046798B" w:rsidRDefault="00903B5C">
            <w:pPr>
              <w:pStyle w:val="TableParagraph"/>
              <w:spacing w:line="237" w:lineRule="auto"/>
              <w:ind w:left="114" w:right="109"/>
              <w:rPr>
                <w:sz w:val="20"/>
              </w:rPr>
            </w:pPr>
            <w:r>
              <w:rPr>
                <w:sz w:val="20"/>
              </w:rPr>
              <w:t>Does the state have a law guaranteeing grandparents’ visitation rights? (0 = no, 1 = yes)</w:t>
            </w:r>
          </w:p>
        </w:tc>
        <w:tc>
          <w:tcPr>
            <w:tcW w:w="6482" w:type="dxa"/>
          </w:tcPr>
          <w:p w14:paraId="6A0A8178"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53BFD067" w14:textId="77777777">
        <w:trPr>
          <w:trHeight w:val="1235"/>
        </w:trPr>
        <w:tc>
          <w:tcPr>
            <w:tcW w:w="1711" w:type="dxa"/>
          </w:tcPr>
          <w:p w14:paraId="502267AE" w14:textId="77777777" w:rsidR="0046798B" w:rsidRDefault="0046798B">
            <w:pPr>
              <w:pStyle w:val="TableParagraph"/>
            </w:pPr>
          </w:p>
          <w:p w14:paraId="52F0531B" w14:textId="77777777" w:rsidR="0046798B" w:rsidRDefault="0046798B">
            <w:pPr>
              <w:pStyle w:val="TableParagraph"/>
              <w:spacing w:before="8"/>
              <w:rPr>
                <w:sz w:val="21"/>
              </w:rPr>
            </w:pPr>
          </w:p>
          <w:p w14:paraId="68B104EE" w14:textId="77777777" w:rsidR="0046798B" w:rsidRDefault="00903B5C">
            <w:pPr>
              <w:pStyle w:val="TableParagraph"/>
              <w:spacing w:before="1"/>
              <w:ind w:left="115"/>
              <w:rPr>
                <w:b/>
                <w:sz w:val="20"/>
              </w:rPr>
            </w:pPr>
            <w:r>
              <w:rPr>
                <w:b/>
                <w:sz w:val="20"/>
              </w:rPr>
              <w:t>divorcerate</w:t>
            </w:r>
          </w:p>
        </w:tc>
        <w:tc>
          <w:tcPr>
            <w:tcW w:w="1596" w:type="dxa"/>
          </w:tcPr>
          <w:p w14:paraId="6A16FB4B" w14:textId="77777777" w:rsidR="0046798B" w:rsidRDefault="0046798B">
            <w:pPr>
              <w:pStyle w:val="TableParagraph"/>
            </w:pPr>
          </w:p>
          <w:p w14:paraId="0EB36E7A" w14:textId="77777777" w:rsidR="0046798B" w:rsidRDefault="0046798B">
            <w:pPr>
              <w:pStyle w:val="TableParagraph"/>
              <w:spacing w:before="8"/>
              <w:rPr>
                <w:sz w:val="21"/>
              </w:rPr>
            </w:pPr>
          </w:p>
          <w:p w14:paraId="14A1E5F6" w14:textId="77777777" w:rsidR="0046798B" w:rsidRDefault="00903B5C">
            <w:pPr>
              <w:pStyle w:val="TableParagraph"/>
              <w:spacing w:before="1"/>
              <w:ind w:left="114"/>
              <w:rPr>
                <w:sz w:val="20"/>
              </w:rPr>
            </w:pPr>
            <w:r>
              <w:rPr>
                <w:sz w:val="20"/>
              </w:rPr>
              <w:t>Divorce rate</w:t>
            </w:r>
          </w:p>
        </w:tc>
        <w:tc>
          <w:tcPr>
            <w:tcW w:w="1285" w:type="dxa"/>
          </w:tcPr>
          <w:p w14:paraId="21FFC538" w14:textId="77777777" w:rsidR="0046798B" w:rsidRDefault="0046798B">
            <w:pPr>
              <w:pStyle w:val="TableParagraph"/>
            </w:pPr>
          </w:p>
          <w:p w14:paraId="6C3DA752" w14:textId="77777777" w:rsidR="0046798B" w:rsidRDefault="0046798B">
            <w:pPr>
              <w:pStyle w:val="TableParagraph"/>
              <w:spacing w:before="8"/>
              <w:rPr>
                <w:sz w:val="21"/>
              </w:rPr>
            </w:pPr>
          </w:p>
          <w:p w14:paraId="1448D48D" w14:textId="77777777" w:rsidR="0046798B" w:rsidRDefault="00903B5C">
            <w:pPr>
              <w:pStyle w:val="TableParagraph"/>
              <w:spacing w:before="1"/>
              <w:ind w:left="114"/>
              <w:rPr>
                <w:sz w:val="20"/>
              </w:rPr>
            </w:pPr>
            <w:r>
              <w:rPr>
                <w:sz w:val="20"/>
              </w:rPr>
              <w:t>1975–2004</w:t>
            </w:r>
          </w:p>
        </w:tc>
        <w:tc>
          <w:tcPr>
            <w:tcW w:w="3421" w:type="dxa"/>
          </w:tcPr>
          <w:p w14:paraId="490EDE18" w14:textId="77777777" w:rsidR="0046798B" w:rsidRDefault="00903B5C">
            <w:pPr>
              <w:pStyle w:val="TableParagraph"/>
              <w:spacing w:before="158"/>
              <w:ind w:left="114" w:right="183"/>
              <w:rPr>
                <w:sz w:val="20"/>
              </w:rPr>
            </w:pPr>
            <w:r>
              <w:rPr>
                <w:sz w:val="20"/>
              </w:rPr>
              <w:t>Provisional counts of divorces by state of occurrence per 1,000 total population. Data for 1996 are unavailable.</w:t>
            </w:r>
          </w:p>
        </w:tc>
        <w:tc>
          <w:tcPr>
            <w:tcW w:w="6482" w:type="dxa"/>
          </w:tcPr>
          <w:p w14:paraId="5A6B1363" w14:textId="77777777" w:rsidR="0046798B" w:rsidRDefault="00903B5C">
            <w:pPr>
              <w:pStyle w:val="TableParagraph"/>
              <w:spacing w:before="43"/>
              <w:ind w:left="114" w:right="1261"/>
              <w:rPr>
                <w:sz w:val="20"/>
              </w:rPr>
            </w:pPr>
            <w:r>
              <w:rPr>
                <w:sz w:val="20"/>
              </w:rPr>
              <w:t xml:space="preserve">National Center for Health Statistics. “Divorce Rates by State.” </w:t>
            </w:r>
            <w:hyperlink r:id="rId779">
              <w:r>
                <w:rPr>
                  <w:color w:val="0462C1"/>
                  <w:sz w:val="20"/>
                  <w:u w:val="single" w:color="0462C1"/>
                </w:rPr>
                <w:t>http://www.cdc.gov/nchs/products/nvsr.htm</w:t>
              </w:r>
            </w:hyperlink>
            <w:r>
              <w:rPr>
                <w:sz w:val="20"/>
              </w:rPr>
              <w:t>.</w:t>
            </w:r>
          </w:p>
          <w:p w14:paraId="58D3A08B" w14:textId="77777777" w:rsidR="0046798B" w:rsidRDefault="0046798B">
            <w:pPr>
              <w:pStyle w:val="TableParagraph"/>
              <w:rPr>
                <w:sz w:val="20"/>
              </w:rPr>
            </w:pPr>
          </w:p>
          <w:p w14:paraId="49C2DDB2" w14:textId="77777777" w:rsidR="0046798B" w:rsidRDefault="00903B5C">
            <w:pPr>
              <w:pStyle w:val="TableParagraph"/>
              <w:ind w:left="114" w:right="217"/>
              <w:rPr>
                <w:sz w:val="20"/>
              </w:rPr>
            </w:pPr>
            <w:r>
              <w:rPr>
                <w:sz w:val="20"/>
              </w:rPr>
              <w:t xml:space="preserve">Originally provided by Stateminder: A data visualization project from Georgetown University. </w:t>
            </w:r>
            <w:hyperlink r:id="rId780">
              <w:r>
                <w:rPr>
                  <w:color w:val="0462C1"/>
                  <w:sz w:val="20"/>
                  <w:u w:val="single" w:color="0462C1"/>
                </w:rPr>
                <w:t xml:space="preserve">http://stateminder.org/ </w:t>
              </w:r>
            </w:hyperlink>
            <w:r>
              <w:rPr>
                <w:color w:val="0462C1"/>
                <w:sz w:val="20"/>
                <w:u w:val="single" w:color="0462C1"/>
              </w:rPr>
              <w:t>(no longer accessible online)</w:t>
            </w:r>
          </w:p>
        </w:tc>
      </w:tr>
    </w:tbl>
    <w:p w14:paraId="00AAD7FD" w14:textId="77777777" w:rsidR="0046798B" w:rsidRDefault="0046798B">
      <w:pPr>
        <w:rPr>
          <w:sz w:val="20"/>
        </w:rPr>
        <w:sectPr w:rsidR="0046798B">
          <w:pgSz w:w="15840" w:h="12240" w:orient="landscape"/>
          <w:pgMar w:top="1220" w:right="300" w:bottom="980" w:left="820" w:header="730" w:footer="787" w:gutter="0"/>
          <w:cols w:space="720"/>
        </w:sectPr>
      </w:pPr>
    </w:p>
    <w:p w14:paraId="352CACD9" w14:textId="77777777" w:rsidR="0046798B" w:rsidRDefault="0046798B">
      <w:pPr>
        <w:pStyle w:val="BodyText"/>
        <w:spacing w:before="1"/>
        <w:rPr>
          <w:sz w:val="11"/>
        </w:rPr>
      </w:pPr>
    </w:p>
    <w:p w14:paraId="0DEFD38F" w14:textId="77777777" w:rsidR="0046798B" w:rsidRDefault="00903B5C">
      <w:pPr>
        <w:pStyle w:val="ListParagraph"/>
        <w:numPr>
          <w:ilvl w:val="0"/>
          <w:numId w:val="12"/>
        </w:numPr>
        <w:tabs>
          <w:tab w:val="left" w:pos="6772"/>
        </w:tabs>
        <w:spacing w:before="88"/>
        <w:ind w:left="6771" w:hanging="564"/>
        <w:jc w:val="left"/>
        <w:rPr>
          <w:b/>
          <w:sz w:val="28"/>
        </w:rPr>
      </w:pPr>
      <w:bookmarkStart w:id="12" w:name="VII._Education"/>
      <w:bookmarkStart w:id="13" w:name="_bookmark6"/>
      <w:bookmarkEnd w:id="12"/>
      <w:bookmarkEnd w:id="13"/>
      <w:r>
        <w:rPr>
          <w:b/>
          <w:sz w:val="28"/>
        </w:rPr>
        <w:t>Education</w:t>
      </w:r>
    </w:p>
    <w:p w14:paraId="4493C1F2" w14:textId="77777777" w:rsidR="0046798B" w:rsidRDefault="0046798B">
      <w:pPr>
        <w:pStyle w:val="BodyText"/>
        <w:spacing w:before="7"/>
        <w:rPr>
          <w:b/>
          <w:sz w:val="16"/>
        </w:rPr>
      </w:pPr>
    </w:p>
    <w:p w14:paraId="73842A74" w14:textId="77777777" w:rsidR="0046798B" w:rsidRDefault="00903B5C">
      <w:pPr>
        <w:pStyle w:val="ListParagraph"/>
        <w:numPr>
          <w:ilvl w:val="0"/>
          <w:numId w:val="5"/>
        </w:numPr>
        <w:tabs>
          <w:tab w:val="left" w:pos="916"/>
        </w:tabs>
        <w:spacing w:before="90"/>
        <w:rPr>
          <w:b/>
          <w:sz w:val="24"/>
        </w:rPr>
      </w:pPr>
      <w:r>
        <w:rPr>
          <w:b/>
          <w:sz w:val="24"/>
          <w:u w:val="single"/>
        </w:rPr>
        <w:t>Education Policy</w:t>
      </w:r>
    </w:p>
    <w:p w14:paraId="305D9BE1" w14:textId="77777777" w:rsidR="0046798B" w:rsidRDefault="0046798B">
      <w:pPr>
        <w:pStyle w:val="BodyText"/>
        <w:spacing w:before="8" w:after="1"/>
        <w:rPr>
          <w:b/>
          <w:sz w:val="23"/>
        </w:rPr>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F93FC9F" w14:textId="77777777">
        <w:trPr>
          <w:trHeight w:val="590"/>
        </w:trPr>
        <w:tc>
          <w:tcPr>
            <w:tcW w:w="1711" w:type="dxa"/>
          </w:tcPr>
          <w:p w14:paraId="1231C468" w14:textId="77777777" w:rsidR="0046798B" w:rsidRDefault="00903B5C">
            <w:pPr>
              <w:pStyle w:val="TableParagraph"/>
              <w:spacing w:before="164"/>
              <w:ind w:left="140"/>
              <w:rPr>
                <w:b/>
              </w:rPr>
            </w:pPr>
            <w:r>
              <w:rPr>
                <w:b/>
              </w:rPr>
              <w:t>Variable Name</w:t>
            </w:r>
          </w:p>
        </w:tc>
        <w:tc>
          <w:tcPr>
            <w:tcW w:w="1596" w:type="dxa"/>
          </w:tcPr>
          <w:p w14:paraId="1A489011" w14:textId="77777777" w:rsidR="0046798B" w:rsidRDefault="00903B5C">
            <w:pPr>
              <w:pStyle w:val="TableParagraph"/>
              <w:spacing w:before="39" w:line="242" w:lineRule="auto"/>
              <w:ind w:left="249" w:right="229" w:firstLine="280"/>
              <w:rPr>
                <w:b/>
              </w:rPr>
            </w:pPr>
            <w:r>
              <w:rPr>
                <w:b/>
              </w:rPr>
              <w:t>Short Description</w:t>
            </w:r>
          </w:p>
        </w:tc>
        <w:tc>
          <w:tcPr>
            <w:tcW w:w="1285" w:type="dxa"/>
          </w:tcPr>
          <w:p w14:paraId="6CCB9E2F" w14:textId="77777777" w:rsidR="0046798B" w:rsidRDefault="00903B5C">
            <w:pPr>
              <w:pStyle w:val="TableParagraph"/>
              <w:spacing w:before="164"/>
              <w:ind w:left="364"/>
              <w:rPr>
                <w:b/>
              </w:rPr>
            </w:pPr>
            <w:r>
              <w:rPr>
                <w:b/>
              </w:rPr>
              <w:t>Years</w:t>
            </w:r>
          </w:p>
        </w:tc>
        <w:tc>
          <w:tcPr>
            <w:tcW w:w="3421" w:type="dxa"/>
          </w:tcPr>
          <w:p w14:paraId="5A807240" w14:textId="77777777" w:rsidR="0046798B" w:rsidRDefault="00903B5C">
            <w:pPr>
              <w:pStyle w:val="TableParagraph"/>
              <w:spacing w:before="39"/>
              <w:ind w:left="159" w:right="146"/>
              <w:jc w:val="center"/>
              <w:rPr>
                <w:b/>
              </w:rPr>
            </w:pPr>
            <w:r>
              <w:rPr>
                <w:b/>
              </w:rPr>
              <w:t>Coding /</w:t>
            </w:r>
          </w:p>
          <w:p w14:paraId="0CABE0C9" w14:textId="77777777" w:rsidR="0046798B" w:rsidRDefault="00903B5C">
            <w:pPr>
              <w:pStyle w:val="TableParagraph"/>
              <w:spacing w:before="3"/>
              <w:ind w:left="159" w:right="150"/>
              <w:jc w:val="center"/>
              <w:rPr>
                <w:b/>
              </w:rPr>
            </w:pPr>
            <w:r>
              <w:rPr>
                <w:b/>
              </w:rPr>
              <w:t>Longer Description (if available)</w:t>
            </w:r>
          </w:p>
        </w:tc>
        <w:tc>
          <w:tcPr>
            <w:tcW w:w="6482" w:type="dxa"/>
          </w:tcPr>
          <w:p w14:paraId="38DB4933" w14:textId="77777777" w:rsidR="0046798B" w:rsidRDefault="00903B5C">
            <w:pPr>
              <w:pStyle w:val="TableParagraph"/>
              <w:spacing w:before="164"/>
              <w:ind w:left="2852" w:right="2845"/>
              <w:jc w:val="center"/>
              <w:rPr>
                <w:b/>
              </w:rPr>
            </w:pPr>
            <w:r>
              <w:rPr>
                <w:b/>
              </w:rPr>
              <w:t>Sources</w:t>
            </w:r>
          </w:p>
        </w:tc>
      </w:tr>
      <w:tr w:rsidR="0046798B" w14:paraId="27F934EB" w14:textId="77777777">
        <w:trPr>
          <w:trHeight w:val="1930"/>
        </w:trPr>
        <w:tc>
          <w:tcPr>
            <w:tcW w:w="1711" w:type="dxa"/>
          </w:tcPr>
          <w:p w14:paraId="7B4F4A75" w14:textId="77777777" w:rsidR="0046798B" w:rsidRDefault="0046798B">
            <w:pPr>
              <w:pStyle w:val="TableParagraph"/>
              <w:rPr>
                <w:b/>
              </w:rPr>
            </w:pPr>
          </w:p>
          <w:p w14:paraId="2BE85D85" w14:textId="77777777" w:rsidR="0046798B" w:rsidRDefault="0046798B">
            <w:pPr>
              <w:pStyle w:val="TableParagraph"/>
              <w:rPr>
                <w:b/>
              </w:rPr>
            </w:pPr>
          </w:p>
          <w:p w14:paraId="0C588A44" w14:textId="77777777" w:rsidR="0046798B" w:rsidRDefault="0046798B">
            <w:pPr>
              <w:pStyle w:val="TableParagraph"/>
              <w:spacing w:before="8"/>
              <w:rPr>
                <w:b/>
                <w:sz w:val="29"/>
              </w:rPr>
            </w:pPr>
          </w:p>
          <w:p w14:paraId="3BBD091A" w14:textId="77777777" w:rsidR="0046798B" w:rsidRDefault="00903B5C">
            <w:pPr>
              <w:pStyle w:val="TableParagraph"/>
              <w:spacing w:before="1"/>
              <w:ind w:left="115"/>
              <w:rPr>
                <w:b/>
                <w:sz w:val="20"/>
              </w:rPr>
            </w:pPr>
            <w:r>
              <w:rPr>
                <w:b/>
                <w:sz w:val="20"/>
              </w:rPr>
              <w:t>ccb</w:t>
            </w:r>
          </w:p>
        </w:tc>
        <w:tc>
          <w:tcPr>
            <w:tcW w:w="1596" w:type="dxa"/>
          </w:tcPr>
          <w:p w14:paraId="5E12FF56" w14:textId="77777777" w:rsidR="0046798B" w:rsidRDefault="0046798B">
            <w:pPr>
              <w:pStyle w:val="TableParagraph"/>
              <w:rPr>
                <w:b/>
              </w:rPr>
            </w:pPr>
          </w:p>
          <w:p w14:paraId="19DA7EBB" w14:textId="77777777" w:rsidR="0046798B" w:rsidRDefault="0046798B">
            <w:pPr>
              <w:pStyle w:val="TableParagraph"/>
              <w:spacing w:before="8"/>
              <w:rPr>
                <w:b/>
                <w:sz w:val="21"/>
              </w:rPr>
            </w:pPr>
          </w:p>
          <w:p w14:paraId="6E3C8267" w14:textId="77777777" w:rsidR="0046798B" w:rsidRDefault="00903B5C">
            <w:pPr>
              <w:pStyle w:val="TableParagraph"/>
              <w:spacing w:before="1"/>
              <w:ind w:left="114" w:right="496"/>
              <w:rPr>
                <w:sz w:val="20"/>
              </w:rPr>
            </w:pPr>
            <w:r>
              <w:rPr>
                <w:sz w:val="20"/>
              </w:rPr>
              <w:t>Community college bachelor’s degree</w:t>
            </w:r>
          </w:p>
        </w:tc>
        <w:tc>
          <w:tcPr>
            <w:tcW w:w="1285" w:type="dxa"/>
          </w:tcPr>
          <w:p w14:paraId="2263ABA5" w14:textId="77777777" w:rsidR="0046798B" w:rsidRDefault="0046798B">
            <w:pPr>
              <w:pStyle w:val="TableParagraph"/>
              <w:rPr>
                <w:b/>
              </w:rPr>
            </w:pPr>
          </w:p>
          <w:p w14:paraId="64BCA717" w14:textId="77777777" w:rsidR="0046798B" w:rsidRDefault="0046798B">
            <w:pPr>
              <w:pStyle w:val="TableParagraph"/>
              <w:rPr>
                <w:b/>
              </w:rPr>
            </w:pPr>
          </w:p>
          <w:p w14:paraId="34630881" w14:textId="77777777" w:rsidR="0046798B" w:rsidRDefault="0046798B">
            <w:pPr>
              <w:pStyle w:val="TableParagraph"/>
              <w:spacing w:before="8"/>
              <w:rPr>
                <w:b/>
                <w:sz w:val="29"/>
              </w:rPr>
            </w:pPr>
          </w:p>
          <w:p w14:paraId="564A0CF6" w14:textId="77777777" w:rsidR="0046798B" w:rsidRDefault="00903B5C">
            <w:pPr>
              <w:pStyle w:val="TableParagraph"/>
              <w:spacing w:before="1"/>
              <w:ind w:left="114"/>
              <w:rPr>
                <w:sz w:val="20"/>
              </w:rPr>
            </w:pPr>
            <w:r>
              <w:rPr>
                <w:sz w:val="20"/>
              </w:rPr>
              <w:t>1989–2006</w:t>
            </w:r>
          </w:p>
        </w:tc>
        <w:tc>
          <w:tcPr>
            <w:tcW w:w="3421" w:type="dxa"/>
          </w:tcPr>
          <w:p w14:paraId="71E019DF" w14:textId="77777777" w:rsidR="0046798B" w:rsidRDefault="0046798B">
            <w:pPr>
              <w:pStyle w:val="TableParagraph"/>
              <w:rPr>
                <w:b/>
              </w:rPr>
            </w:pPr>
          </w:p>
          <w:p w14:paraId="3D4D7E6B" w14:textId="77777777" w:rsidR="0046798B" w:rsidRDefault="0046798B">
            <w:pPr>
              <w:pStyle w:val="TableParagraph"/>
              <w:rPr>
                <w:b/>
              </w:rPr>
            </w:pPr>
          </w:p>
          <w:p w14:paraId="60F792D4" w14:textId="77777777" w:rsidR="0046798B" w:rsidRDefault="0046798B">
            <w:pPr>
              <w:pStyle w:val="TableParagraph"/>
              <w:spacing w:before="8"/>
              <w:rPr>
                <w:b/>
                <w:sz w:val="19"/>
              </w:rPr>
            </w:pPr>
          </w:p>
          <w:p w14:paraId="14C8C58E"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754F99B2" w14:textId="77777777" w:rsidR="0046798B" w:rsidRDefault="00903B5C">
            <w:pPr>
              <w:pStyle w:val="TableParagraph"/>
              <w:spacing w:before="43"/>
              <w:ind w:left="114"/>
              <w:rPr>
                <w:i/>
                <w:sz w:val="20"/>
              </w:rPr>
            </w:pPr>
            <w:r>
              <w:rPr>
                <w:sz w:val="20"/>
              </w:rPr>
              <w:t xml:space="preserve">Lacy, T. Austin, and David A. Tandberg. “Rethinking policy diffusion: The interstate spread of ‘finance innovations’.” </w:t>
            </w:r>
            <w:r>
              <w:rPr>
                <w:i/>
                <w:sz w:val="20"/>
              </w:rPr>
              <w:t>Research in Higher</w:t>
            </w:r>
          </w:p>
          <w:p w14:paraId="09C83BF3" w14:textId="77777777" w:rsidR="0046798B" w:rsidRDefault="00903B5C">
            <w:pPr>
              <w:pStyle w:val="TableParagraph"/>
              <w:ind w:left="114"/>
              <w:rPr>
                <w:sz w:val="20"/>
              </w:rPr>
            </w:pPr>
            <w:r>
              <w:rPr>
                <w:i/>
                <w:sz w:val="20"/>
              </w:rPr>
              <w:t xml:space="preserve">Education </w:t>
            </w:r>
            <w:r>
              <w:rPr>
                <w:sz w:val="20"/>
              </w:rPr>
              <w:t>55.7 (2014): 627–649.</w:t>
            </w:r>
          </w:p>
          <w:p w14:paraId="61B09D89" w14:textId="77777777" w:rsidR="0046798B" w:rsidRDefault="0046798B">
            <w:pPr>
              <w:pStyle w:val="TableParagraph"/>
              <w:rPr>
                <w:b/>
                <w:sz w:val="20"/>
              </w:rPr>
            </w:pPr>
          </w:p>
          <w:p w14:paraId="4F987CD1"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507C36D3" w14:textId="77777777">
        <w:trPr>
          <w:trHeight w:val="1925"/>
        </w:trPr>
        <w:tc>
          <w:tcPr>
            <w:tcW w:w="1711" w:type="dxa"/>
          </w:tcPr>
          <w:p w14:paraId="1E6FF0CB" w14:textId="77777777" w:rsidR="0046798B" w:rsidRDefault="0046798B">
            <w:pPr>
              <w:pStyle w:val="TableParagraph"/>
              <w:rPr>
                <w:b/>
              </w:rPr>
            </w:pPr>
          </w:p>
          <w:p w14:paraId="477551EB" w14:textId="77777777" w:rsidR="0046798B" w:rsidRDefault="0046798B">
            <w:pPr>
              <w:pStyle w:val="TableParagraph"/>
              <w:rPr>
                <w:b/>
              </w:rPr>
            </w:pPr>
          </w:p>
          <w:p w14:paraId="7AD48AB8" w14:textId="77777777" w:rsidR="0046798B" w:rsidRDefault="0046798B">
            <w:pPr>
              <w:pStyle w:val="TableParagraph"/>
              <w:spacing w:before="4"/>
              <w:rPr>
                <w:b/>
                <w:sz w:val="29"/>
              </w:rPr>
            </w:pPr>
          </w:p>
          <w:p w14:paraId="46DAB9B1" w14:textId="77777777" w:rsidR="0046798B" w:rsidRDefault="00903B5C">
            <w:pPr>
              <w:pStyle w:val="TableParagraph"/>
              <w:ind w:left="115"/>
              <w:rPr>
                <w:b/>
                <w:sz w:val="20"/>
              </w:rPr>
            </w:pPr>
            <w:r>
              <w:rPr>
                <w:b/>
                <w:sz w:val="20"/>
              </w:rPr>
              <w:t>cent</w:t>
            </w:r>
          </w:p>
        </w:tc>
        <w:tc>
          <w:tcPr>
            <w:tcW w:w="1596" w:type="dxa"/>
          </w:tcPr>
          <w:p w14:paraId="50129716" w14:textId="77777777" w:rsidR="0046798B" w:rsidRDefault="0046798B">
            <w:pPr>
              <w:pStyle w:val="TableParagraph"/>
              <w:rPr>
                <w:b/>
              </w:rPr>
            </w:pPr>
          </w:p>
          <w:p w14:paraId="743B1462" w14:textId="77777777" w:rsidR="0046798B" w:rsidRDefault="0046798B">
            <w:pPr>
              <w:pStyle w:val="TableParagraph"/>
              <w:rPr>
                <w:b/>
              </w:rPr>
            </w:pPr>
          </w:p>
          <w:p w14:paraId="1989FB4D" w14:textId="77777777" w:rsidR="0046798B" w:rsidRDefault="0046798B">
            <w:pPr>
              <w:pStyle w:val="TableParagraph"/>
              <w:spacing w:before="4"/>
              <w:rPr>
                <w:b/>
                <w:sz w:val="19"/>
              </w:rPr>
            </w:pPr>
          </w:p>
          <w:p w14:paraId="5D7A6AA6" w14:textId="77777777" w:rsidR="0046798B" w:rsidRDefault="00903B5C">
            <w:pPr>
              <w:pStyle w:val="TableParagraph"/>
              <w:ind w:left="114" w:right="102"/>
              <w:rPr>
                <w:sz w:val="20"/>
              </w:rPr>
            </w:pPr>
            <w:r>
              <w:rPr>
                <w:sz w:val="20"/>
              </w:rPr>
              <w:t>Centralization of tuition control</w:t>
            </w:r>
          </w:p>
        </w:tc>
        <w:tc>
          <w:tcPr>
            <w:tcW w:w="1285" w:type="dxa"/>
          </w:tcPr>
          <w:p w14:paraId="3C5A4C8E" w14:textId="77777777" w:rsidR="0046798B" w:rsidRDefault="0046798B">
            <w:pPr>
              <w:pStyle w:val="TableParagraph"/>
              <w:rPr>
                <w:b/>
              </w:rPr>
            </w:pPr>
          </w:p>
          <w:p w14:paraId="6F37ACCA" w14:textId="77777777" w:rsidR="0046798B" w:rsidRDefault="0046798B">
            <w:pPr>
              <w:pStyle w:val="TableParagraph"/>
              <w:rPr>
                <w:b/>
              </w:rPr>
            </w:pPr>
          </w:p>
          <w:p w14:paraId="45ECACFB" w14:textId="77777777" w:rsidR="0046798B" w:rsidRDefault="0046798B">
            <w:pPr>
              <w:pStyle w:val="TableParagraph"/>
              <w:spacing w:before="4"/>
              <w:rPr>
                <w:b/>
                <w:sz w:val="29"/>
              </w:rPr>
            </w:pPr>
          </w:p>
          <w:p w14:paraId="23B4ECBB" w14:textId="77777777" w:rsidR="0046798B" w:rsidRDefault="00903B5C">
            <w:pPr>
              <w:pStyle w:val="TableParagraph"/>
              <w:ind w:left="114"/>
              <w:rPr>
                <w:sz w:val="20"/>
              </w:rPr>
            </w:pPr>
            <w:r>
              <w:rPr>
                <w:sz w:val="20"/>
              </w:rPr>
              <w:t>1985–2005</w:t>
            </w:r>
          </w:p>
        </w:tc>
        <w:tc>
          <w:tcPr>
            <w:tcW w:w="3421" w:type="dxa"/>
          </w:tcPr>
          <w:p w14:paraId="6EEA89B6" w14:textId="77777777" w:rsidR="0046798B" w:rsidRDefault="0046798B">
            <w:pPr>
              <w:pStyle w:val="TableParagraph"/>
              <w:rPr>
                <w:b/>
              </w:rPr>
            </w:pPr>
          </w:p>
          <w:p w14:paraId="36B20BC5" w14:textId="77777777" w:rsidR="0046798B" w:rsidRDefault="0046798B">
            <w:pPr>
              <w:pStyle w:val="TableParagraph"/>
              <w:rPr>
                <w:b/>
              </w:rPr>
            </w:pPr>
          </w:p>
          <w:p w14:paraId="677A59C2" w14:textId="77777777" w:rsidR="0046798B" w:rsidRDefault="0046798B">
            <w:pPr>
              <w:pStyle w:val="TableParagraph"/>
              <w:spacing w:before="4"/>
              <w:rPr>
                <w:b/>
                <w:sz w:val="19"/>
              </w:rPr>
            </w:pPr>
          </w:p>
          <w:p w14:paraId="5BD25578" w14:textId="77777777" w:rsidR="0046798B" w:rsidRDefault="00903B5C">
            <w:pPr>
              <w:pStyle w:val="TableParagraph"/>
              <w:ind w:left="114" w:right="1475"/>
              <w:rPr>
                <w:sz w:val="20"/>
              </w:rPr>
            </w:pPr>
            <w:r>
              <w:rPr>
                <w:sz w:val="20"/>
              </w:rPr>
              <w:t>0 = policy not adopted 1 = policy adopted</w:t>
            </w:r>
          </w:p>
        </w:tc>
        <w:tc>
          <w:tcPr>
            <w:tcW w:w="6482" w:type="dxa"/>
          </w:tcPr>
          <w:p w14:paraId="2F25CF4F" w14:textId="77777777" w:rsidR="0046798B" w:rsidRDefault="00903B5C">
            <w:pPr>
              <w:pStyle w:val="TableParagraph"/>
              <w:spacing w:before="38"/>
              <w:ind w:left="114"/>
              <w:rPr>
                <w:i/>
                <w:sz w:val="20"/>
              </w:rPr>
            </w:pPr>
            <w:r>
              <w:rPr>
                <w:sz w:val="20"/>
              </w:rPr>
              <w:t xml:space="preserve">Lacy, T. Austin, and David A. Tandberg. “Rethinking policy diffusion: The interstate spread of ‘finance innovations’.” </w:t>
            </w:r>
            <w:r>
              <w:rPr>
                <w:i/>
                <w:sz w:val="20"/>
              </w:rPr>
              <w:t>Research in Higher</w:t>
            </w:r>
          </w:p>
          <w:p w14:paraId="588EE70F" w14:textId="77777777" w:rsidR="0046798B" w:rsidRDefault="00903B5C">
            <w:pPr>
              <w:pStyle w:val="TableParagraph"/>
              <w:ind w:left="114"/>
              <w:rPr>
                <w:sz w:val="20"/>
              </w:rPr>
            </w:pPr>
            <w:r>
              <w:rPr>
                <w:i/>
                <w:sz w:val="20"/>
              </w:rPr>
              <w:t xml:space="preserve">Education </w:t>
            </w:r>
            <w:r>
              <w:rPr>
                <w:sz w:val="20"/>
              </w:rPr>
              <w:t>55.7 (2014): 627–649.</w:t>
            </w:r>
          </w:p>
          <w:p w14:paraId="7D4310B9" w14:textId="77777777" w:rsidR="0046798B" w:rsidRDefault="0046798B">
            <w:pPr>
              <w:pStyle w:val="TableParagraph"/>
              <w:rPr>
                <w:b/>
                <w:sz w:val="20"/>
              </w:rPr>
            </w:pPr>
          </w:p>
          <w:p w14:paraId="10E58717"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0C2ED236" w14:textId="77777777">
        <w:trPr>
          <w:trHeight w:val="1925"/>
        </w:trPr>
        <w:tc>
          <w:tcPr>
            <w:tcW w:w="1711" w:type="dxa"/>
          </w:tcPr>
          <w:p w14:paraId="485022B4" w14:textId="77777777" w:rsidR="0046798B" w:rsidRDefault="0046798B">
            <w:pPr>
              <w:pStyle w:val="TableParagraph"/>
              <w:rPr>
                <w:b/>
              </w:rPr>
            </w:pPr>
          </w:p>
          <w:p w14:paraId="45503C5D" w14:textId="77777777" w:rsidR="0046798B" w:rsidRDefault="0046798B">
            <w:pPr>
              <w:pStyle w:val="TableParagraph"/>
              <w:rPr>
                <w:b/>
              </w:rPr>
            </w:pPr>
          </w:p>
          <w:p w14:paraId="3228A7FC" w14:textId="77777777" w:rsidR="0046798B" w:rsidRDefault="0046798B">
            <w:pPr>
              <w:pStyle w:val="TableParagraph"/>
              <w:spacing w:before="4"/>
              <w:rPr>
                <w:b/>
                <w:sz w:val="29"/>
              </w:rPr>
            </w:pPr>
          </w:p>
          <w:p w14:paraId="5CC12D1C" w14:textId="77777777" w:rsidR="0046798B" w:rsidRDefault="00903B5C">
            <w:pPr>
              <w:pStyle w:val="TableParagraph"/>
              <w:ind w:left="115"/>
              <w:rPr>
                <w:b/>
                <w:sz w:val="20"/>
              </w:rPr>
            </w:pPr>
            <w:r>
              <w:rPr>
                <w:b/>
                <w:sz w:val="20"/>
              </w:rPr>
              <w:t>dev_s1</w:t>
            </w:r>
          </w:p>
        </w:tc>
        <w:tc>
          <w:tcPr>
            <w:tcW w:w="1596" w:type="dxa"/>
          </w:tcPr>
          <w:p w14:paraId="79EC7EB5" w14:textId="77777777" w:rsidR="0046798B" w:rsidRDefault="0046798B">
            <w:pPr>
              <w:pStyle w:val="TableParagraph"/>
              <w:rPr>
                <w:b/>
              </w:rPr>
            </w:pPr>
          </w:p>
          <w:p w14:paraId="00C5E968" w14:textId="77777777" w:rsidR="0046798B" w:rsidRDefault="0046798B">
            <w:pPr>
              <w:pStyle w:val="TableParagraph"/>
              <w:spacing w:before="3"/>
              <w:rPr>
                <w:b/>
                <w:sz w:val="31"/>
              </w:rPr>
            </w:pPr>
          </w:p>
          <w:p w14:paraId="4397F3CD" w14:textId="77777777" w:rsidR="0046798B" w:rsidRDefault="00903B5C">
            <w:pPr>
              <w:pStyle w:val="TableParagraph"/>
              <w:spacing w:before="1"/>
              <w:ind w:left="114" w:right="196"/>
              <w:rPr>
                <w:sz w:val="20"/>
              </w:rPr>
            </w:pPr>
            <w:r>
              <w:rPr>
                <w:sz w:val="20"/>
              </w:rPr>
              <w:t>Comprehensive remediation reform</w:t>
            </w:r>
          </w:p>
        </w:tc>
        <w:tc>
          <w:tcPr>
            <w:tcW w:w="1285" w:type="dxa"/>
          </w:tcPr>
          <w:p w14:paraId="3770E215" w14:textId="77777777" w:rsidR="0046798B" w:rsidRDefault="0046798B">
            <w:pPr>
              <w:pStyle w:val="TableParagraph"/>
              <w:rPr>
                <w:b/>
              </w:rPr>
            </w:pPr>
          </w:p>
          <w:p w14:paraId="009E0012" w14:textId="77777777" w:rsidR="0046798B" w:rsidRDefault="0046798B">
            <w:pPr>
              <w:pStyle w:val="TableParagraph"/>
              <w:rPr>
                <w:b/>
              </w:rPr>
            </w:pPr>
          </w:p>
          <w:p w14:paraId="48756E1B" w14:textId="77777777" w:rsidR="0046798B" w:rsidRDefault="0046798B">
            <w:pPr>
              <w:pStyle w:val="TableParagraph"/>
              <w:spacing w:before="4"/>
              <w:rPr>
                <w:b/>
                <w:sz w:val="29"/>
              </w:rPr>
            </w:pPr>
          </w:p>
          <w:p w14:paraId="5C0DEB28" w14:textId="77777777" w:rsidR="0046798B" w:rsidRDefault="00903B5C">
            <w:pPr>
              <w:pStyle w:val="TableParagraph"/>
              <w:ind w:left="114"/>
              <w:rPr>
                <w:sz w:val="20"/>
              </w:rPr>
            </w:pPr>
            <w:r>
              <w:rPr>
                <w:sz w:val="20"/>
              </w:rPr>
              <w:t>1988–2009</w:t>
            </w:r>
          </w:p>
        </w:tc>
        <w:tc>
          <w:tcPr>
            <w:tcW w:w="3421" w:type="dxa"/>
          </w:tcPr>
          <w:p w14:paraId="1D0351AC" w14:textId="77777777" w:rsidR="0046798B" w:rsidRDefault="0046798B">
            <w:pPr>
              <w:pStyle w:val="TableParagraph"/>
              <w:rPr>
                <w:b/>
              </w:rPr>
            </w:pPr>
          </w:p>
          <w:p w14:paraId="2360FBCB" w14:textId="77777777" w:rsidR="0046798B" w:rsidRDefault="0046798B">
            <w:pPr>
              <w:pStyle w:val="TableParagraph"/>
              <w:rPr>
                <w:b/>
              </w:rPr>
            </w:pPr>
          </w:p>
          <w:p w14:paraId="5AA85916" w14:textId="77777777" w:rsidR="0046798B" w:rsidRDefault="0046798B">
            <w:pPr>
              <w:pStyle w:val="TableParagraph"/>
              <w:spacing w:before="4"/>
              <w:rPr>
                <w:b/>
                <w:sz w:val="19"/>
              </w:rPr>
            </w:pPr>
          </w:p>
          <w:p w14:paraId="076E7FA1" w14:textId="77777777" w:rsidR="0046798B" w:rsidRDefault="00903B5C">
            <w:pPr>
              <w:pStyle w:val="TableParagraph"/>
              <w:ind w:left="114" w:right="1475"/>
              <w:rPr>
                <w:sz w:val="20"/>
              </w:rPr>
            </w:pPr>
            <w:r>
              <w:rPr>
                <w:sz w:val="20"/>
              </w:rPr>
              <w:t>0 = policy not adopted 1 = policy adopted</w:t>
            </w:r>
          </w:p>
        </w:tc>
        <w:tc>
          <w:tcPr>
            <w:tcW w:w="6482" w:type="dxa"/>
          </w:tcPr>
          <w:p w14:paraId="352306C6" w14:textId="77777777" w:rsidR="0046798B" w:rsidRDefault="00903B5C">
            <w:pPr>
              <w:pStyle w:val="TableParagraph"/>
              <w:spacing w:before="38"/>
              <w:ind w:left="114"/>
              <w:rPr>
                <w:i/>
                <w:sz w:val="20"/>
              </w:rPr>
            </w:pPr>
            <w:r>
              <w:rPr>
                <w:sz w:val="20"/>
              </w:rPr>
              <w:t xml:space="preserve">Lacy, T. Austin, and David A. Tandberg. “Rethinking policy diffusion: The interstate spread of ‘finance innovations’.” </w:t>
            </w:r>
            <w:r>
              <w:rPr>
                <w:i/>
                <w:sz w:val="20"/>
              </w:rPr>
              <w:t>Research in Higher</w:t>
            </w:r>
          </w:p>
          <w:p w14:paraId="1BC7B81E" w14:textId="77777777" w:rsidR="0046798B" w:rsidRDefault="00903B5C">
            <w:pPr>
              <w:pStyle w:val="TableParagraph"/>
              <w:ind w:left="114"/>
              <w:rPr>
                <w:sz w:val="20"/>
              </w:rPr>
            </w:pPr>
            <w:r>
              <w:rPr>
                <w:i/>
                <w:sz w:val="20"/>
              </w:rPr>
              <w:t xml:space="preserve">Education </w:t>
            </w:r>
            <w:r>
              <w:rPr>
                <w:sz w:val="20"/>
              </w:rPr>
              <w:t>55.7 (2014): 627–649.</w:t>
            </w:r>
          </w:p>
          <w:p w14:paraId="57EF16BC" w14:textId="77777777" w:rsidR="0046798B" w:rsidRDefault="0046798B">
            <w:pPr>
              <w:pStyle w:val="TableParagraph"/>
              <w:rPr>
                <w:b/>
                <w:sz w:val="20"/>
              </w:rPr>
            </w:pPr>
          </w:p>
          <w:p w14:paraId="0A482136"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30A79A5" w14:textId="77777777">
        <w:trPr>
          <w:trHeight w:val="1465"/>
        </w:trPr>
        <w:tc>
          <w:tcPr>
            <w:tcW w:w="1711" w:type="dxa"/>
          </w:tcPr>
          <w:p w14:paraId="7B4320EE" w14:textId="77777777" w:rsidR="0046798B" w:rsidRDefault="0046798B">
            <w:pPr>
              <w:pStyle w:val="TableParagraph"/>
              <w:rPr>
                <w:b/>
              </w:rPr>
            </w:pPr>
          </w:p>
          <w:p w14:paraId="595336F5" w14:textId="77777777" w:rsidR="0046798B" w:rsidRDefault="0046798B">
            <w:pPr>
              <w:pStyle w:val="TableParagraph"/>
              <w:spacing w:before="4"/>
              <w:rPr>
                <w:b/>
                <w:sz w:val="31"/>
              </w:rPr>
            </w:pPr>
          </w:p>
          <w:p w14:paraId="68702F71" w14:textId="77777777" w:rsidR="0046798B" w:rsidRDefault="00903B5C">
            <w:pPr>
              <w:pStyle w:val="TableParagraph"/>
              <w:ind w:left="115"/>
              <w:rPr>
                <w:b/>
                <w:sz w:val="20"/>
              </w:rPr>
            </w:pPr>
            <w:r>
              <w:rPr>
                <w:b/>
                <w:sz w:val="20"/>
              </w:rPr>
              <w:t>dev_s10</w:t>
            </w:r>
          </w:p>
        </w:tc>
        <w:tc>
          <w:tcPr>
            <w:tcW w:w="1596" w:type="dxa"/>
          </w:tcPr>
          <w:p w14:paraId="32D8E51B" w14:textId="77777777" w:rsidR="0046798B" w:rsidRDefault="0046798B">
            <w:pPr>
              <w:pStyle w:val="TableParagraph"/>
              <w:rPr>
                <w:b/>
              </w:rPr>
            </w:pPr>
          </w:p>
          <w:p w14:paraId="45DA1B98" w14:textId="77777777" w:rsidR="0046798B" w:rsidRDefault="0046798B">
            <w:pPr>
              <w:pStyle w:val="TableParagraph"/>
              <w:spacing w:before="4"/>
              <w:rPr>
                <w:b/>
                <w:sz w:val="21"/>
              </w:rPr>
            </w:pPr>
          </w:p>
          <w:p w14:paraId="5B616771" w14:textId="77777777" w:rsidR="0046798B" w:rsidRDefault="00903B5C">
            <w:pPr>
              <w:pStyle w:val="TableParagraph"/>
              <w:ind w:left="114" w:right="496"/>
              <w:rPr>
                <w:sz w:val="20"/>
              </w:rPr>
            </w:pPr>
            <w:r>
              <w:rPr>
                <w:sz w:val="20"/>
              </w:rPr>
              <w:t>Delivery of remediation</w:t>
            </w:r>
          </w:p>
        </w:tc>
        <w:tc>
          <w:tcPr>
            <w:tcW w:w="1285" w:type="dxa"/>
          </w:tcPr>
          <w:p w14:paraId="42CA2FFE" w14:textId="77777777" w:rsidR="0046798B" w:rsidRDefault="0046798B">
            <w:pPr>
              <w:pStyle w:val="TableParagraph"/>
              <w:rPr>
                <w:b/>
              </w:rPr>
            </w:pPr>
          </w:p>
          <w:p w14:paraId="61A00A39" w14:textId="77777777" w:rsidR="0046798B" w:rsidRDefault="0046798B">
            <w:pPr>
              <w:pStyle w:val="TableParagraph"/>
              <w:spacing w:before="4"/>
              <w:rPr>
                <w:b/>
                <w:sz w:val="31"/>
              </w:rPr>
            </w:pPr>
          </w:p>
          <w:p w14:paraId="53B51C93" w14:textId="77777777" w:rsidR="0046798B" w:rsidRDefault="00903B5C">
            <w:pPr>
              <w:pStyle w:val="TableParagraph"/>
              <w:ind w:left="114"/>
              <w:rPr>
                <w:sz w:val="20"/>
              </w:rPr>
            </w:pPr>
            <w:r>
              <w:rPr>
                <w:sz w:val="20"/>
              </w:rPr>
              <w:t>1988–2009</w:t>
            </w:r>
          </w:p>
        </w:tc>
        <w:tc>
          <w:tcPr>
            <w:tcW w:w="3421" w:type="dxa"/>
          </w:tcPr>
          <w:p w14:paraId="66161482" w14:textId="77777777" w:rsidR="0046798B" w:rsidRDefault="0046798B">
            <w:pPr>
              <w:pStyle w:val="TableParagraph"/>
              <w:rPr>
                <w:b/>
              </w:rPr>
            </w:pPr>
          </w:p>
          <w:p w14:paraId="781DA8A6" w14:textId="77777777" w:rsidR="0046798B" w:rsidRDefault="0046798B">
            <w:pPr>
              <w:pStyle w:val="TableParagraph"/>
              <w:spacing w:before="4"/>
              <w:rPr>
                <w:b/>
                <w:sz w:val="21"/>
              </w:rPr>
            </w:pPr>
          </w:p>
          <w:p w14:paraId="24DBD7F3" w14:textId="77777777" w:rsidR="0046798B" w:rsidRDefault="00903B5C">
            <w:pPr>
              <w:pStyle w:val="TableParagraph"/>
              <w:ind w:left="114" w:right="1475"/>
              <w:rPr>
                <w:sz w:val="20"/>
              </w:rPr>
            </w:pPr>
            <w:r>
              <w:rPr>
                <w:sz w:val="20"/>
              </w:rPr>
              <w:t>0 = policy not adopted 1 = policy adopted</w:t>
            </w:r>
          </w:p>
        </w:tc>
        <w:tc>
          <w:tcPr>
            <w:tcW w:w="6482" w:type="dxa"/>
          </w:tcPr>
          <w:p w14:paraId="20F851A2" w14:textId="77777777" w:rsidR="0046798B" w:rsidRDefault="00903B5C">
            <w:pPr>
              <w:pStyle w:val="TableParagraph"/>
              <w:spacing w:before="38"/>
              <w:ind w:left="114" w:right="278"/>
              <w:rPr>
                <w:i/>
                <w:sz w:val="20"/>
              </w:rPr>
            </w:pPr>
            <w:r>
              <w:rPr>
                <w:sz w:val="20"/>
              </w:rPr>
              <w:t xml:space="preserve">Lacy, T. Austin, and David A. Tandberg. “Rethinking policy diffusion: The interstate spread of ‘finance innovations’.” </w:t>
            </w:r>
            <w:r>
              <w:rPr>
                <w:i/>
                <w:sz w:val="20"/>
              </w:rPr>
              <w:t>Research in Higher</w:t>
            </w:r>
          </w:p>
          <w:p w14:paraId="71606AD9" w14:textId="77777777" w:rsidR="0046798B" w:rsidRDefault="00903B5C">
            <w:pPr>
              <w:pStyle w:val="TableParagraph"/>
              <w:ind w:left="114"/>
              <w:rPr>
                <w:sz w:val="20"/>
              </w:rPr>
            </w:pPr>
            <w:r>
              <w:rPr>
                <w:i/>
                <w:sz w:val="20"/>
              </w:rPr>
              <w:t xml:space="preserve">Education </w:t>
            </w:r>
            <w:r>
              <w:rPr>
                <w:sz w:val="20"/>
              </w:rPr>
              <w:t>55.7 (2014): 627–649.</w:t>
            </w:r>
          </w:p>
          <w:p w14:paraId="1AEFED1D" w14:textId="77777777" w:rsidR="0046798B" w:rsidRDefault="0046798B">
            <w:pPr>
              <w:pStyle w:val="TableParagraph"/>
              <w:rPr>
                <w:b/>
                <w:sz w:val="20"/>
              </w:rPr>
            </w:pPr>
          </w:p>
          <w:p w14:paraId="016822C4"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w:t>
            </w:r>
          </w:p>
        </w:tc>
      </w:tr>
    </w:tbl>
    <w:p w14:paraId="13E96A83" w14:textId="77777777" w:rsidR="0046798B" w:rsidRDefault="0046798B">
      <w:pPr>
        <w:rPr>
          <w:sz w:val="20"/>
        </w:rPr>
        <w:sectPr w:rsidR="0046798B">
          <w:pgSz w:w="15840" w:h="12240" w:orient="landscape"/>
          <w:pgMar w:top="1220" w:right="300" w:bottom="980" w:left="820" w:header="730" w:footer="787" w:gutter="0"/>
          <w:cols w:space="720"/>
        </w:sectPr>
      </w:pPr>
    </w:p>
    <w:p w14:paraId="7CA7F213"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5B73B3A4" w14:textId="77777777">
        <w:trPr>
          <w:trHeight w:val="542"/>
        </w:trPr>
        <w:tc>
          <w:tcPr>
            <w:tcW w:w="1711" w:type="dxa"/>
            <w:tcBorders>
              <w:bottom w:val="dotted" w:sz="6" w:space="0" w:color="BEBEBE"/>
            </w:tcBorders>
          </w:tcPr>
          <w:p w14:paraId="51FEBA3A" w14:textId="77777777" w:rsidR="0046798B" w:rsidRDefault="0046798B">
            <w:pPr>
              <w:pStyle w:val="TableParagraph"/>
              <w:rPr>
                <w:sz w:val="20"/>
              </w:rPr>
            </w:pPr>
          </w:p>
        </w:tc>
        <w:tc>
          <w:tcPr>
            <w:tcW w:w="1596" w:type="dxa"/>
            <w:tcBorders>
              <w:bottom w:val="dotted" w:sz="6" w:space="0" w:color="BEBEBE"/>
            </w:tcBorders>
          </w:tcPr>
          <w:p w14:paraId="343B13EB" w14:textId="77777777" w:rsidR="0046798B" w:rsidRDefault="0046798B">
            <w:pPr>
              <w:pStyle w:val="TableParagraph"/>
              <w:rPr>
                <w:sz w:val="20"/>
              </w:rPr>
            </w:pPr>
          </w:p>
        </w:tc>
        <w:tc>
          <w:tcPr>
            <w:tcW w:w="1285" w:type="dxa"/>
            <w:tcBorders>
              <w:bottom w:val="dotted" w:sz="6" w:space="0" w:color="BEBEBE"/>
            </w:tcBorders>
          </w:tcPr>
          <w:p w14:paraId="5977F7D6" w14:textId="77777777" w:rsidR="0046798B" w:rsidRDefault="0046798B">
            <w:pPr>
              <w:pStyle w:val="TableParagraph"/>
              <w:rPr>
                <w:sz w:val="20"/>
              </w:rPr>
            </w:pPr>
          </w:p>
        </w:tc>
        <w:tc>
          <w:tcPr>
            <w:tcW w:w="3421" w:type="dxa"/>
            <w:tcBorders>
              <w:bottom w:val="dotted" w:sz="6" w:space="0" w:color="BEBEBE"/>
            </w:tcBorders>
          </w:tcPr>
          <w:p w14:paraId="6A6BA1EF" w14:textId="77777777" w:rsidR="0046798B" w:rsidRDefault="0046798B">
            <w:pPr>
              <w:pStyle w:val="TableParagraph"/>
              <w:rPr>
                <w:sz w:val="20"/>
              </w:rPr>
            </w:pPr>
          </w:p>
        </w:tc>
        <w:tc>
          <w:tcPr>
            <w:tcW w:w="6482" w:type="dxa"/>
            <w:tcBorders>
              <w:bottom w:val="dotted" w:sz="6" w:space="0" w:color="BEBEBE"/>
            </w:tcBorders>
          </w:tcPr>
          <w:p w14:paraId="3E303BD2" w14:textId="77777777" w:rsidR="0046798B" w:rsidRDefault="00903B5C">
            <w:pPr>
              <w:pStyle w:val="TableParagraph"/>
              <w:spacing w:before="43"/>
              <w:ind w:left="114" w:right="2377"/>
              <w:rPr>
                <w:sz w:val="20"/>
              </w:rPr>
            </w:pPr>
            <w:r>
              <w:rPr>
                <w:sz w:val="20"/>
              </w:rPr>
              <w:t>Innovation and Diffusion (SPID) Database v1.0”, https://doi.org/10.7910/DVN/CVYSR7</w:t>
            </w:r>
          </w:p>
        </w:tc>
      </w:tr>
      <w:tr w:rsidR="0046798B" w14:paraId="403B6A55" w14:textId="77777777">
        <w:trPr>
          <w:trHeight w:val="1923"/>
        </w:trPr>
        <w:tc>
          <w:tcPr>
            <w:tcW w:w="1711" w:type="dxa"/>
            <w:tcBorders>
              <w:top w:val="dotted" w:sz="6" w:space="0" w:color="BEBEBE"/>
            </w:tcBorders>
          </w:tcPr>
          <w:p w14:paraId="00BF77F1" w14:textId="77777777" w:rsidR="0046798B" w:rsidRDefault="0046798B">
            <w:pPr>
              <w:pStyle w:val="TableParagraph"/>
            </w:pPr>
          </w:p>
          <w:p w14:paraId="4C691877" w14:textId="77777777" w:rsidR="0046798B" w:rsidRDefault="0046798B">
            <w:pPr>
              <w:pStyle w:val="TableParagraph"/>
            </w:pPr>
          </w:p>
          <w:p w14:paraId="76DC64BF" w14:textId="77777777" w:rsidR="0046798B" w:rsidRDefault="0046798B">
            <w:pPr>
              <w:pStyle w:val="TableParagraph"/>
              <w:spacing w:before="6"/>
              <w:rPr>
                <w:sz w:val="29"/>
              </w:rPr>
            </w:pPr>
          </w:p>
          <w:p w14:paraId="0011DEB0" w14:textId="77777777" w:rsidR="0046798B" w:rsidRDefault="00903B5C">
            <w:pPr>
              <w:pStyle w:val="TableParagraph"/>
              <w:ind w:left="115"/>
              <w:rPr>
                <w:b/>
                <w:sz w:val="20"/>
              </w:rPr>
            </w:pPr>
            <w:r>
              <w:rPr>
                <w:b/>
                <w:sz w:val="20"/>
              </w:rPr>
              <w:t>dev_s2</w:t>
            </w:r>
          </w:p>
        </w:tc>
        <w:tc>
          <w:tcPr>
            <w:tcW w:w="1596" w:type="dxa"/>
            <w:tcBorders>
              <w:top w:val="dotted" w:sz="6" w:space="0" w:color="BEBEBE"/>
            </w:tcBorders>
          </w:tcPr>
          <w:p w14:paraId="4898BD9C" w14:textId="77777777" w:rsidR="0046798B" w:rsidRDefault="00903B5C">
            <w:pPr>
              <w:pStyle w:val="TableParagraph"/>
              <w:spacing w:before="155"/>
              <w:ind w:left="114" w:right="273"/>
              <w:rPr>
                <w:sz w:val="20"/>
              </w:rPr>
            </w:pPr>
            <w:r>
              <w:rPr>
                <w:sz w:val="20"/>
              </w:rPr>
              <w:t>Accountability (such as reporting rates of enrollment and outcomes, performance- based funding)</w:t>
            </w:r>
          </w:p>
        </w:tc>
        <w:tc>
          <w:tcPr>
            <w:tcW w:w="1285" w:type="dxa"/>
            <w:tcBorders>
              <w:top w:val="dotted" w:sz="6" w:space="0" w:color="BEBEBE"/>
            </w:tcBorders>
          </w:tcPr>
          <w:p w14:paraId="26AEE1F1" w14:textId="77777777" w:rsidR="0046798B" w:rsidRDefault="0046798B">
            <w:pPr>
              <w:pStyle w:val="TableParagraph"/>
            </w:pPr>
          </w:p>
          <w:p w14:paraId="1E1E9A9E" w14:textId="77777777" w:rsidR="0046798B" w:rsidRDefault="0046798B">
            <w:pPr>
              <w:pStyle w:val="TableParagraph"/>
            </w:pPr>
          </w:p>
          <w:p w14:paraId="171E5E7E" w14:textId="77777777" w:rsidR="0046798B" w:rsidRDefault="0046798B">
            <w:pPr>
              <w:pStyle w:val="TableParagraph"/>
              <w:spacing w:before="6"/>
              <w:rPr>
                <w:sz w:val="29"/>
              </w:rPr>
            </w:pPr>
          </w:p>
          <w:p w14:paraId="031BB901" w14:textId="77777777" w:rsidR="0046798B" w:rsidRDefault="00903B5C">
            <w:pPr>
              <w:pStyle w:val="TableParagraph"/>
              <w:ind w:left="114"/>
              <w:rPr>
                <w:sz w:val="20"/>
              </w:rPr>
            </w:pPr>
            <w:r>
              <w:rPr>
                <w:sz w:val="20"/>
              </w:rPr>
              <w:t>1996–2009</w:t>
            </w:r>
          </w:p>
        </w:tc>
        <w:tc>
          <w:tcPr>
            <w:tcW w:w="3421" w:type="dxa"/>
            <w:tcBorders>
              <w:top w:val="dotted" w:sz="6" w:space="0" w:color="BEBEBE"/>
            </w:tcBorders>
          </w:tcPr>
          <w:p w14:paraId="59951BCD" w14:textId="77777777" w:rsidR="0046798B" w:rsidRDefault="0046798B">
            <w:pPr>
              <w:pStyle w:val="TableParagraph"/>
            </w:pPr>
          </w:p>
          <w:p w14:paraId="48586968" w14:textId="77777777" w:rsidR="0046798B" w:rsidRDefault="0046798B">
            <w:pPr>
              <w:pStyle w:val="TableParagraph"/>
            </w:pPr>
          </w:p>
          <w:p w14:paraId="02D094C6" w14:textId="77777777" w:rsidR="0046798B" w:rsidRDefault="0046798B">
            <w:pPr>
              <w:pStyle w:val="TableParagraph"/>
              <w:spacing w:before="6"/>
              <w:rPr>
                <w:sz w:val="19"/>
              </w:rPr>
            </w:pPr>
          </w:p>
          <w:p w14:paraId="16E8292E" w14:textId="77777777" w:rsidR="0046798B" w:rsidRDefault="00903B5C">
            <w:pPr>
              <w:pStyle w:val="TableParagraph"/>
              <w:ind w:left="114" w:right="1475"/>
              <w:rPr>
                <w:sz w:val="20"/>
              </w:rPr>
            </w:pPr>
            <w:r>
              <w:rPr>
                <w:sz w:val="20"/>
              </w:rPr>
              <w:t>0 = policy not adopted 1 = policy adopted</w:t>
            </w:r>
          </w:p>
        </w:tc>
        <w:tc>
          <w:tcPr>
            <w:tcW w:w="6482" w:type="dxa"/>
            <w:tcBorders>
              <w:top w:val="dotted" w:sz="6" w:space="0" w:color="BEBEBE"/>
            </w:tcBorders>
          </w:tcPr>
          <w:p w14:paraId="6380747F" w14:textId="77777777" w:rsidR="0046798B" w:rsidRDefault="00903B5C">
            <w:pPr>
              <w:pStyle w:val="TableParagraph"/>
              <w:spacing w:before="40"/>
              <w:ind w:left="114"/>
              <w:rPr>
                <w:i/>
                <w:sz w:val="20"/>
              </w:rPr>
            </w:pPr>
            <w:r>
              <w:rPr>
                <w:sz w:val="20"/>
              </w:rPr>
              <w:t xml:space="preserve">Lacy, T. Austin, and David A. Tandberg. “Rethinking policy diffusion: The interstate spread of ‘finance innovations’.” </w:t>
            </w:r>
            <w:r>
              <w:rPr>
                <w:i/>
                <w:sz w:val="20"/>
              </w:rPr>
              <w:t>Research in Higher</w:t>
            </w:r>
          </w:p>
          <w:p w14:paraId="5202121D" w14:textId="77777777" w:rsidR="0046798B" w:rsidRDefault="00903B5C">
            <w:pPr>
              <w:pStyle w:val="TableParagraph"/>
              <w:spacing w:before="1"/>
              <w:ind w:left="114"/>
              <w:rPr>
                <w:sz w:val="20"/>
              </w:rPr>
            </w:pPr>
            <w:r>
              <w:rPr>
                <w:i/>
                <w:sz w:val="20"/>
              </w:rPr>
              <w:t xml:space="preserve">Education </w:t>
            </w:r>
            <w:r>
              <w:rPr>
                <w:sz w:val="20"/>
              </w:rPr>
              <w:t>55.7 (2014): 627–649.</w:t>
            </w:r>
          </w:p>
          <w:p w14:paraId="347DC48B" w14:textId="77777777" w:rsidR="0046798B" w:rsidRDefault="0046798B">
            <w:pPr>
              <w:pStyle w:val="TableParagraph"/>
              <w:rPr>
                <w:sz w:val="20"/>
              </w:rPr>
            </w:pPr>
          </w:p>
          <w:p w14:paraId="57E9D273"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7AFA9D7C" w14:textId="77777777">
        <w:trPr>
          <w:trHeight w:val="1930"/>
        </w:trPr>
        <w:tc>
          <w:tcPr>
            <w:tcW w:w="1711" w:type="dxa"/>
          </w:tcPr>
          <w:p w14:paraId="426B0F94" w14:textId="77777777" w:rsidR="0046798B" w:rsidRDefault="0046798B">
            <w:pPr>
              <w:pStyle w:val="TableParagraph"/>
            </w:pPr>
          </w:p>
          <w:p w14:paraId="20416C4C" w14:textId="77777777" w:rsidR="0046798B" w:rsidRDefault="0046798B">
            <w:pPr>
              <w:pStyle w:val="TableParagraph"/>
            </w:pPr>
          </w:p>
          <w:p w14:paraId="08E456AF" w14:textId="77777777" w:rsidR="0046798B" w:rsidRDefault="0046798B">
            <w:pPr>
              <w:pStyle w:val="TableParagraph"/>
              <w:spacing w:before="9"/>
              <w:rPr>
                <w:sz w:val="29"/>
              </w:rPr>
            </w:pPr>
          </w:p>
          <w:p w14:paraId="3ADE3E75" w14:textId="77777777" w:rsidR="0046798B" w:rsidRDefault="00903B5C">
            <w:pPr>
              <w:pStyle w:val="TableParagraph"/>
              <w:ind w:left="115"/>
              <w:rPr>
                <w:b/>
                <w:sz w:val="20"/>
              </w:rPr>
            </w:pPr>
            <w:r>
              <w:rPr>
                <w:b/>
                <w:sz w:val="20"/>
              </w:rPr>
              <w:t>dev_s3</w:t>
            </w:r>
          </w:p>
        </w:tc>
        <w:tc>
          <w:tcPr>
            <w:tcW w:w="1596" w:type="dxa"/>
          </w:tcPr>
          <w:p w14:paraId="7B0EE1E5" w14:textId="77777777" w:rsidR="0046798B" w:rsidRDefault="0046798B">
            <w:pPr>
              <w:pStyle w:val="TableParagraph"/>
              <w:spacing w:before="9"/>
              <w:rPr>
                <w:sz w:val="23"/>
              </w:rPr>
            </w:pPr>
          </w:p>
          <w:p w14:paraId="04FD14C4" w14:textId="77777777" w:rsidR="0046798B" w:rsidRDefault="00903B5C">
            <w:pPr>
              <w:pStyle w:val="TableParagraph"/>
              <w:ind w:left="114" w:right="149"/>
              <w:rPr>
                <w:sz w:val="20"/>
              </w:rPr>
            </w:pPr>
            <w:r>
              <w:rPr>
                <w:sz w:val="20"/>
              </w:rPr>
              <w:t>Financial support or reduction of the support for remediation (cost)</w:t>
            </w:r>
          </w:p>
        </w:tc>
        <w:tc>
          <w:tcPr>
            <w:tcW w:w="1285" w:type="dxa"/>
          </w:tcPr>
          <w:p w14:paraId="7C125F5E" w14:textId="77777777" w:rsidR="0046798B" w:rsidRDefault="0046798B">
            <w:pPr>
              <w:pStyle w:val="TableParagraph"/>
            </w:pPr>
          </w:p>
          <w:p w14:paraId="67E193E1" w14:textId="77777777" w:rsidR="0046798B" w:rsidRDefault="0046798B">
            <w:pPr>
              <w:pStyle w:val="TableParagraph"/>
            </w:pPr>
          </w:p>
          <w:p w14:paraId="53F30CF5" w14:textId="77777777" w:rsidR="0046798B" w:rsidRDefault="0046798B">
            <w:pPr>
              <w:pStyle w:val="TableParagraph"/>
              <w:spacing w:before="9"/>
              <w:rPr>
                <w:sz w:val="29"/>
              </w:rPr>
            </w:pPr>
          </w:p>
          <w:p w14:paraId="2E44F443" w14:textId="77777777" w:rsidR="0046798B" w:rsidRDefault="00903B5C">
            <w:pPr>
              <w:pStyle w:val="TableParagraph"/>
              <w:ind w:left="114"/>
              <w:rPr>
                <w:sz w:val="20"/>
              </w:rPr>
            </w:pPr>
            <w:r>
              <w:rPr>
                <w:sz w:val="20"/>
              </w:rPr>
              <w:t>2006–2009</w:t>
            </w:r>
          </w:p>
        </w:tc>
        <w:tc>
          <w:tcPr>
            <w:tcW w:w="3421" w:type="dxa"/>
          </w:tcPr>
          <w:p w14:paraId="265B7F57" w14:textId="77777777" w:rsidR="0046798B" w:rsidRDefault="0046798B">
            <w:pPr>
              <w:pStyle w:val="TableParagraph"/>
            </w:pPr>
          </w:p>
          <w:p w14:paraId="1F30EDA5" w14:textId="77777777" w:rsidR="0046798B" w:rsidRDefault="0046798B">
            <w:pPr>
              <w:pStyle w:val="TableParagraph"/>
            </w:pPr>
          </w:p>
          <w:p w14:paraId="33199FE5" w14:textId="77777777" w:rsidR="0046798B" w:rsidRDefault="0046798B">
            <w:pPr>
              <w:pStyle w:val="TableParagraph"/>
              <w:spacing w:before="9"/>
              <w:rPr>
                <w:sz w:val="19"/>
              </w:rPr>
            </w:pPr>
          </w:p>
          <w:p w14:paraId="7917DC92" w14:textId="77777777" w:rsidR="0046798B" w:rsidRDefault="00903B5C">
            <w:pPr>
              <w:pStyle w:val="TableParagraph"/>
              <w:ind w:left="114" w:right="1475"/>
              <w:rPr>
                <w:sz w:val="20"/>
              </w:rPr>
            </w:pPr>
            <w:r>
              <w:rPr>
                <w:sz w:val="20"/>
              </w:rPr>
              <w:t>0 = policy not adopted 1 = policy adopted</w:t>
            </w:r>
          </w:p>
        </w:tc>
        <w:tc>
          <w:tcPr>
            <w:tcW w:w="6482" w:type="dxa"/>
          </w:tcPr>
          <w:p w14:paraId="2375B8B7" w14:textId="77777777" w:rsidR="0046798B" w:rsidRDefault="00903B5C">
            <w:pPr>
              <w:pStyle w:val="TableParagraph"/>
              <w:spacing w:before="43"/>
              <w:ind w:left="114"/>
              <w:rPr>
                <w:i/>
                <w:sz w:val="20"/>
              </w:rPr>
            </w:pPr>
            <w:r>
              <w:rPr>
                <w:sz w:val="20"/>
              </w:rPr>
              <w:t xml:space="preserve">Lacy, T. Austin, and David A. Tandberg. “Rethinking policy diffusion: The interstate spread of ‘finance innovations’.” </w:t>
            </w:r>
            <w:r>
              <w:rPr>
                <w:i/>
                <w:sz w:val="20"/>
              </w:rPr>
              <w:t>Research in Higher</w:t>
            </w:r>
          </w:p>
          <w:p w14:paraId="763BF8B4" w14:textId="77777777" w:rsidR="0046798B" w:rsidRDefault="00903B5C">
            <w:pPr>
              <w:pStyle w:val="TableParagraph"/>
              <w:ind w:left="114"/>
              <w:rPr>
                <w:sz w:val="20"/>
              </w:rPr>
            </w:pPr>
            <w:r>
              <w:rPr>
                <w:i/>
                <w:sz w:val="20"/>
              </w:rPr>
              <w:t xml:space="preserve">Education </w:t>
            </w:r>
            <w:r>
              <w:rPr>
                <w:sz w:val="20"/>
              </w:rPr>
              <w:t>55.7 (2014): 627–649.</w:t>
            </w:r>
          </w:p>
          <w:p w14:paraId="75C10261" w14:textId="77777777" w:rsidR="0046798B" w:rsidRDefault="0046798B">
            <w:pPr>
              <w:pStyle w:val="TableParagraph"/>
              <w:rPr>
                <w:sz w:val="20"/>
              </w:rPr>
            </w:pPr>
          </w:p>
          <w:p w14:paraId="08854026"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49CDAD39" w14:textId="77777777">
        <w:trPr>
          <w:trHeight w:val="1925"/>
        </w:trPr>
        <w:tc>
          <w:tcPr>
            <w:tcW w:w="1711" w:type="dxa"/>
          </w:tcPr>
          <w:p w14:paraId="7B789A46" w14:textId="77777777" w:rsidR="0046798B" w:rsidRDefault="0046798B">
            <w:pPr>
              <w:pStyle w:val="TableParagraph"/>
            </w:pPr>
          </w:p>
          <w:p w14:paraId="5CC375ED" w14:textId="77777777" w:rsidR="0046798B" w:rsidRDefault="0046798B">
            <w:pPr>
              <w:pStyle w:val="TableParagraph"/>
            </w:pPr>
          </w:p>
          <w:p w14:paraId="518FE0BC" w14:textId="77777777" w:rsidR="0046798B" w:rsidRDefault="0046798B">
            <w:pPr>
              <w:pStyle w:val="TableParagraph"/>
              <w:spacing w:before="4"/>
              <w:rPr>
                <w:sz w:val="29"/>
              </w:rPr>
            </w:pPr>
          </w:p>
          <w:p w14:paraId="17AD6BC2" w14:textId="77777777" w:rsidR="0046798B" w:rsidRDefault="00903B5C">
            <w:pPr>
              <w:pStyle w:val="TableParagraph"/>
              <w:ind w:left="115"/>
              <w:rPr>
                <w:b/>
                <w:sz w:val="20"/>
              </w:rPr>
            </w:pPr>
            <w:r>
              <w:rPr>
                <w:b/>
                <w:sz w:val="20"/>
              </w:rPr>
              <w:t>dev_s4</w:t>
            </w:r>
          </w:p>
        </w:tc>
        <w:tc>
          <w:tcPr>
            <w:tcW w:w="1596" w:type="dxa"/>
          </w:tcPr>
          <w:p w14:paraId="730BB4AF" w14:textId="77777777" w:rsidR="0046798B" w:rsidRDefault="0046798B">
            <w:pPr>
              <w:pStyle w:val="TableParagraph"/>
              <w:spacing w:before="3"/>
              <w:rPr>
                <w:sz w:val="23"/>
              </w:rPr>
            </w:pPr>
          </w:p>
          <w:p w14:paraId="231F9B28" w14:textId="77777777" w:rsidR="0046798B" w:rsidRDefault="00903B5C">
            <w:pPr>
              <w:pStyle w:val="TableParagraph"/>
              <w:spacing w:before="1"/>
              <w:ind w:left="114" w:right="313"/>
              <w:rPr>
                <w:sz w:val="20"/>
              </w:rPr>
            </w:pPr>
            <w:r>
              <w:rPr>
                <w:sz w:val="20"/>
              </w:rPr>
              <w:t>Access to college placement exams and remediation before college</w:t>
            </w:r>
          </w:p>
        </w:tc>
        <w:tc>
          <w:tcPr>
            <w:tcW w:w="1285" w:type="dxa"/>
          </w:tcPr>
          <w:p w14:paraId="0E90117F" w14:textId="77777777" w:rsidR="0046798B" w:rsidRDefault="0046798B">
            <w:pPr>
              <w:pStyle w:val="TableParagraph"/>
            </w:pPr>
          </w:p>
          <w:p w14:paraId="47FBDEF2" w14:textId="77777777" w:rsidR="0046798B" w:rsidRDefault="0046798B">
            <w:pPr>
              <w:pStyle w:val="TableParagraph"/>
            </w:pPr>
          </w:p>
          <w:p w14:paraId="24A4D164" w14:textId="77777777" w:rsidR="0046798B" w:rsidRDefault="0046798B">
            <w:pPr>
              <w:pStyle w:val="TableParagraph"/>
              <w:spacing w:before="4"/>
              <w:rPr>
                <w:sz w:val="29"/>
              </w:rPr>
            </w:pPr>
          </w:p>
          <w:p w14:paraId="6201BD3F" w14:textId="77777777" w:rsidR="0046798B" w:rsidRDefault="00903B5C">
            <w:pPr>
              <w:pStyle w:val="TableParagraph"/>
              <w:ind w:left="114"/>
              <w:rPr>
                <w:sz w:val="20"/>
              </w:rPr>
            </w:pPr>
            <w:r>
              <w:rPr>
                <w:sz w:val="20"/>
              </w:rPr>
              <w:t>1978–2009</w:t>
            </w:r>
          </w:p>
        </w:tc>
        <w:tc>
          <w:tcPr>
            <w:tcW w:w="3421" w:type="dxa"/>
          </w:tcPr>
          <w:p w14:paraId="77C60482" w14:textId="77777777" w:rsidR="0046798B" w:rsidRDefault="0046798B">
            <w:pPr>
              <w:pStyle w:val="TableParagraph"/>
            </w:pPr>
          </w:p>
          <w:p w14:paraId="02A7DB47" w14:textId="77777777" w:rsidR="0046798B" w:rsidRDefault="0046798B">
            <w:pPr>
              <w:pStyle w:val="TableParagraph"/>
            </w:pPr>
          </w:p>
          <w:p w14:paraId="7C93E391" w14:textId="77777777" w:rsidR="0046798B" w:rsidRDefault="0046798B">
            <w:pPr>
              <w:pStyle w:val="TableParagraph"/>
              <w:spacing w:before="4"/>
              <w:rPr>
                <w:sz w:val="19"/>
              </w:rPr>
            </w:pPr>
          </w:p>
          <w:p w14:paraId="508E3B65" w14:textId="77777777" w:rsidR="0046798B" w:rsidRDefault="00903B5C">
            <w:pPr>
              <w:pStyle w:val="TableParagraph"/>
              <w:ind w:left="114" w:right="1475"/>
              <w:rPr>
                <w:sz w:val="20"/>
              </w:rPr>
            </w:pPr>
            <w:r>
              <w:rPr>
                <w:sz w:val="20"/>
              </w:rPr>
              <w:t>0 = policy not adopted 1 = policy adopted</w:t>
            </w:r>
          </w:p>
        </w:tc>
        <w:tc>
          <w:tcPr>
            <w:tcW w:w="6482" w:type="dxa"/>
          </w:tcPr>
          <w:p w14:paraId="7B897D0F" w14:textId="77777777" w:rsidR="0046798B" w:rsidRDefault="00903B5C">
            <w:pPr>
              <w:pStyle w:val="TableParagraph"/>
              <w:spacing w:before="38"/>
              <w:ind w:left="114"/>
              <w:rPr>
                <w:i/>
                <w:sz w:val="20"/>
              </w:rPr>
            </w:pPr>
            <w:r>
              <w:rPr>
                <w:sz w:val="20"/>
              </w:rPr>
              <w:t xml:space="preserve">Lacy, T. Austin, and David A. Tandberg. “Rethinking policy diffusion: The interstate spread of ‘finance innovations’.” </w:t>
            </w:r>
            <w:r>
              <w:rPr>
                <w:i/>
                <w:sz w:val="20"/>
              </w:rPr>
              <w:t>Research in Higher</w:t>
            </w:r>
          </w:p>
          <w:p w14:paraId="648FB3D0" w14:textId="77777777" w:rsidR="0046798B" w:rsidRDefault="00903B5C">
            <w:pPr>
              <w:pStyle w:val="TableParagraph"/>
              <w:ind w:left="114"/>
              <w:rPr>
                <w:sz w:val="20"/>
              </w:rPr>
            </w:pPr>
            <w:r>
              <w:rPr>
                <w:i/>
                <w:sz w:val="20"/>
              </w:rPr>
              <w:t xml:space="preserve">Education </w:t>
            </w:r>
            <w:r>
              <w:rPr>
                <w:sz w:val="20"/>
              </w:rPr>
              <w:t>55.7 (2014): 627–649.</w:t>
            </w:r>
          </w:p>
          <w:p w14:paraId="77F22D11" w14:textId="77777777" w:rsidR="0046798B" w:rsidRDefault="0046798B">
            <w:pPr>
              <w:pStyle w:val="TableParagraph"/>
              <w:rPr>
                <w:sz w:val="20"/>
              </w:rPr>
            </w:pPr>
          </w:p>
          <w:p w14:paraId="20B7E4B5"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E235E3C" w14:textId="77777777">
        <w:trPr>
          <w:trHeight w:val="1926"/>
        </w:trPr>
        <w:tc>
          <w:tcPr>
            <w:tcW w:w="1711" w:type="dxa"/>
          </w:tcPr>
          <w:p w14:paraId="727B49C2" w14:textId="77777777" w:rsidR="0046798B" w:rsidRDefault="0046798B">
            <w:pPr>
              <w:pStyle w:val="TableParagraph"/>
            </w:pPr>
          </w:p>
          <w:p w14:paraId="7EC98073" w14:textId="77777777" w:rsidR="0046798B" w:rsidRDefault="0046798B">
            <w:pPr>
              <w:pStyle w:val="TableParagraph"/>
            </w:pPr>
          </w:p>
          <w:p w14:paraId="1351A80D" w14:textId="77777777" w:rsidR="0046798B" w:rsidRDefault="0046798B">
            <w:pPr>
              <w:pStyle w:val="TableParagraph"/>
              <w:spacing w:before="4"/>
              <w:rPr>
                <w:sz w:val="29"/>
              </w:rPr>
            </w:pPr>
          </w:p>
          <w:p w14:paraId="3EA8C055" w14:textId="77777777" w:rsidR="0046798B" w:rsidRDefault="00903B5C">
            <w:pPr>
              <w:pStyle w:val="TableParagraph"/>
              <w:ind w:left="115"/>
              <w:rPr>
                <w:b/>
                <w:sz w:val="20"/>
              </w:rPr>
            </w:pPr>
            <w:r>
              <w:rPr>
                <w:b/>
                <w:sz w:val="20"/>
              </w:rPr>
              <w:t>dev_s5</w:t>
            </w:r>
          </w:p>
        </w:tc>
        <w:tc>
          <w:tcPr>
            <w:tcW w:w="1596" w:type="dxa"/>
          </w:tcPr>
          <w:p w14:paraId="6AE74CE6" w14:textId="77777777" w:rsidR="0046798B" w:rsidRDefault="00903B5C">
            <w:pPr>
              <w:pStyle w:val="TableParagraph"/>
              <w:spacing w:before="154"/>
              <w:ind w:left="114" w:right="413"/>
              <w:rPr>
                <w:sz w:val="20"/>
              </w:rPr>
            </w:pPr>
            <w:r>
              <w:rPr>
                <w:sz w:val="20"/>
              </w:rPr>
              <w:t>Placement policies (placement examination, changes to placement criteria)</w:t>
            </w:r>
          </w:p>
        </w:tc>
        <w:tc>
          <w:tcPr>
            <w:tcW w:w="1285" w:type="dxa"/>
          </w:tcPr>
          <w:p w14:paraId="467E1375" w14:textId="77777777" w:rsidR="0046798B" w:rsidRDefault="0046798B">
            <w:pPr>
              <w:pStyle w:val="TableParagraph"/>
            </w:pPr>
          </w:p>
          <w:p w14:paraId="6DBD4BBD" w14:textId="77777777" w:rsidR="0046798B" w:rsidRDefault="0046798B">
            <w:pPr>
              <w:pStyle w:val="TableParagraph"/>
            </w:pPr>
          </w:p>
          <w:p w14:paraId="120F8281" w14:textId="77777777" w:rsidR="0046798B" w:rsidRDefault="0046798B">
            <w:pPr>
              <w:pStyle w:val="TableParagraph"/>
              <w:spacing w:before="4"/>
              <w:rPr>
                <w:sz w:val="29"/>
              </w:rPr>
            </w:pPr>
          </w:p>
          <w:p w14:paraId="780E579E" w14:textId="77777777" w:rsidR="0046798B" w:rsidRDefault="00903B5C">
            <w:pPr>
              <w:pStyle w:val="TableParagraph"/>
              <w:ind w:left="114"/>
              <w:rPr>
                <w:sz w:val="20"/>
              </w:rPr>
            </w:pPr>
            <w:r>
              <w:rPr>
                <w:sz w:val="20"/>
              </w:rPr>
              <w:t>1997–2008</w:t>
            </w:r>
          </w:p>
        </w:tc>
        <w:tc>
          <w:tcPr>
            <w:tcW w:w="3421" w:type="dxa"/>
          </w:tcPr>
          <w:p w14:paraId="5944308C" w14:textId="77777777" w:rsidR="0046798B" w:rsidRDefault="0046798B">
            <w:pPr>
              <w:pStyle w:val="TableParagraph"/>
            </w:pPr>
          </w:p>
          <w:p w14:paraId="28075748" w14:textId="77777777" w:rsidR="0046798B" w:rsidRDefault="0046798B">
            <w:pPr>
              <w:pStyle w:val="TableParagraph"/>
            </w:pPr>
          </w:p>
          <w:p w14:paraId="3CAC38A0" w14:textId="77777777" w:rsidR="0046798B" w:rsidRDefault="0046798B">
            <w:pPr>
              <w:pStyle w:val="TableParagraph"/>
              <w:spacing w:before="4"/>
              <w:rPr>
                <w:sz w:val="19"/>
              </w:rPr>
            </w:pPr>
          </w:p>
          <w:p w14:paraId="3605394D" w14:textId="77777777" w:rsidR="0046798B" w:rsidRDefault="00903B5C">
            <w:pPr>
              <w:pStyle w:val="TableParagraph"/>
              <w:ind w:left="114" w:right="1475"/>
              <w:rPr>
                <w:sz w:val="20"/>
              </w:rPr>
            </w:pPr>
            <w:r>
              <w:rPr>
                <w:sz w:val="20"/>
              </w:rPr>
              <w:t>0 = policy not adopted 1 = policy adopted</w:t>
            </w:r>
          </w:p>
        </w:tc>
        <w:tc>
          <w:tcPr>
            <w:tcW w:w="6482" w:type="dxa"/>
          </w:tcPr>
          <w:p w14:paraId="01741D63" w14:textId="77777777" w:rsidR="0046798B" w:rsidRDefault="00903B5C">
            <w:pPr>
              <w:pStyle w:val="TableParagraph"/>
              <w:spacing w:before="38"/>
              <w:ind w:left="114"/>
              <w:rPr>
                <w:i/>
                <w:sz w:val="20"/>
              </w:rPr>
            </w:pPr>
            <w:r>
              <w:rPr>
                <w:sz w:val="20"/>
              </w:rPr>
              <w:t xml:space="preserve">Lacy, T. Austin, and David A. Tandberg. “Rethinking policy diffusion: The interstate spread of ‘finance innovations’.” </w:t>
            </w:r>
            <w:r>
              <w:rPr>
                <w:i/>
                <w:sz w:val="20"/>
              </w:rPr>
              <w:t>Research in Higher</w:t>
            </w:r>
          </w:p>
          <w:p w14:paraId="5E980D58" w14:textId="77777777" w:rsidR="0046798B" w:rsidRDefault="00903B5C">
            <w:pPr>
              <w:pStyle w:val="TableParagraph"/>
              <w:ind w:left="114"/>
              <w:rPr>
                <w:sz w:val="20"/>
              </w:rPr>
            </w:pPr>
            <w:r>
              <w:rPr>
                <w:i/>
                <w:sz w:val="20"/>
              </w:rPr>
              <w:t xml:space="preserve">Education </w:t>
            </w:r>
            <w:r>
              <w:rPr>
                <w:sz w:val="20"/>
              </w:rPr>
              <w:t>55.7 (2014): 627–649.</w:t>
            </w:r>
          </w:p>
          <w:p w14:paraId="0A44D386" w14:textId="77777777" w:rsidR="0046798B" w:rsidRDefault="0046798B">
            <w:pPr>
              <w:pStyle w:val="TableParagraph"/>
              <w:rPr>
                <w:sz w:val="20"/>
              </w:rPr>
            </w:pPr>
          </w:p>
          <w:p w14:paraId="0D735F80"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3463B8D3" w14:textId="77777777">
        <w:trPr>
          <w:trHeight w:val="1005"/>
        </w:trPr>
        <w:tc>
          <w:tcPr>
            <w:tcW w:w="1711" w:type="dxa"/>
          </w:tcPr>
          <w:p w14:paraId="4DE2E822" w14:textId="77777777" w:rsidR="0046798B" w:rsidRDefault="0046798B">
            <w:pPr>
              <w:pStyle w:val="TableParagraph"/>
            </w:pPr>
          </w:p>
          <w:p w14:paraId="14F02D02" w14:textId="77777777" w:rsidR="0046798B" w:rsidRDefault="00903B5C">
            <w:pPr>
              <w:pStyle w:val="TableParagraph"/>
              <w:spacing w:before="130"/>
              <w:ind w:left="115"/>
              <w:rPr>
                <w:b/>
                <w:sz w:val="20"/>
              </w:rPr>
            </w:pPr>
            <w:r>
              <w:rPr>
                <w:b/>
                <w:sz w:val="20"/>
              </w:rPr>
              <w:t>dev_s6</w:t>
            </w:r>
          </w:p>
        </w:tc>
        <w:tc>
          <w:tcPr>
            <w:tcW w:w="1596" w:type="dxa"/>
          </w:tcPr>
          <w:p w14:paraId="5CFB523C" w14:textId="77777777" w:rsidR="0046798B" w:rsidRDefault="00903B5C">
            <w:pPr>
              <w:pStyle w:val="TableParagraph"/>
              <w:spacing w:before="153"/>
              <w:ind w:left="114" w:right="117"/>
              <w:jc w:val="both"/>
              <w:rPr>
                <w:sz w:val="20"/>
              </w:rPr>
            </w:pPr>
            <w:r>
              <w:rPr>
                <w:sz w:val="20"/>
              </w:rPr>
              <w:t>Remedial credits counting toward financial aid</w:t>
            </w:r>
          </w:p>
        </w:tc>
        <w:tc>
          <w:tcPr>
            <w:tcW w:w="1285" w:type="dxa"/>
          </w:tcPr>
          <w:p w14:paraId="308E9D97" w14:textId="77777777" w:rsidR="0046798B" w:rsidRDefault="0046798B">
            <w:pPr>
              <w:pStyle w:val="TableParagraph"/>
            </w:pPr>
          </w:p>
          <w:p w14:paraId="6A4082DE" w14:textId="77777777" w:rsidR="0046798B" w:rsidRDefault="00903B5C">
            <w:pPr>
              <w:pStyle w:val="TableParagraph"/>
              <w:spacing w:before="130"/>
              <w:ind w:left="114"/>
              <w:rPr>
                <w:sz w:val="20"/>
              </w:rPr>
            </w:pPr>
            <w:r>
              <w:rPr>
                <w:sz w:val="20"/>
              </w:rPr>
              <w:t>2004–2008</w:t>
            </w:r>
          </w:p>
        </w:tc>
        <w:tc>
          <w:tcPr>
            <w:tcW w:w="3421" w:type="dxa"/>
          </w:tcPr>
          <w:p w14:paraId="47E976C2" w14:textId="77777777" w:rsidR="0046798B" w:rsidRDefault="0046798B">
            <w:pPr>
              <w:pStyle w:val="TableParagraph"/>
              <w:spacing w:before="3"/>
              <w:rPr>
                <w:sz w:val="23"/>
              </w:rPr>
            </w:pPr>
          </w:p>
          <w:p w14:paraId="627DD0D5"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0FC16BD9" w14:textId="77777777" w:rsidR="0046798B" w:rsidRDefault="00903B5C">
            <w:pPr>
              <w:pStyle w:val="TableParagraph"/>
              <w:spacing w:before="38"/>
              <w:ind w:left="114"/>
              <w:rPr>
                <w:i/>
                <w:sz w:val="20"/>
              </w:rPr>
            </w:pPr>
            <w:r>
              <w:rPr>
                <w:sz w:val="20"/>
              </w:rPr>
              <w:t xml:space="preserve">Lacy, T. Austin, and David A. Tandberg. “Rethinking policy diffusion: The interstate spread of ‘finance innovations’.” </w:t>
            </w:r>
            <w:r>
              <w:rPr>
                <w:i/>
                <w:sz w:val="20"/>
              </w:rPr>
              <w:t>Research in Higher</w:t>
            </w:r>
          </w:p>
          <w:p w14:paraId="0A532FF6" w14:textId="77777777" w:rsidR="0046798B" w:rsidRDefault="00903B5C">
            <w:pPr>
              <w:pStyle w:val="TableParagraph"/>
              <w:ind w:left="114"/>
              <w:rPr>
                <w:sz w:val="20"/>
              </w:rPr>
            </w:pPr>
            <w:r>
              <w:rPr>
                <w:i/>
                <w:sz w:val="20"/>
              </w:rPr>
              <w:t xml:space="preserve">Education </w:t>
            </w:r>
            <w:r>
              <w:rPr>
                <w:sz w:val="20"/>
              </w:rPr>
              <w:t>55.7 (2014): 627–649.</w:t>
            </w:r>
          </w:p>
        </w:tc>
      </w:tr>
    </w:tbl>
    <w:p w14:paraId="70B642ED" w14:textId="77777777" w:rsidR="0046798B" w:rsidRDefault="0046798B">
      <w:pPr>
        <w:rPr>
          <w:sz w:val="20"/>
        </w:rPr>
        <w:sectPr w:rsidR="0046798B">
          <w:pgSz w:w="15840" w:h="12240" w:orient="landscape"/>
          <w:pgMar w:top="1220" w:right="300" w:bottom="980" w:left="820" w:header="730" w:footer="787" w:gutter="0"/>
          <w:cols w:space="720"/>
        </w:sectPr>
      </w:pPr>
    </w:p>
    <w:p w14:paraId="1B327ADB"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7F0CA990" w14:textId="77777777">
        <w:trPr>
          <w:trHeight w:val="1005"/>
        </w:trPr>
        <w:tc>
          <w:tcPr>
            <w:tcW w:w="1711" w:type="dxa"/>
          </w:tcPr>
          <w:p w14:paraId="7A9FE7AA" w14:textId="77777777" w:rsidR="0046798B" w:rsidRDefault="0046798B">
            <w:pPr>
              <w:pStyle w:val="TableParagraph"/>
              <w:rPr>
                <w:sz w:val="20"/>
              </w:rPr>
            </w:pPr>
          </w:p>
        </w:tc>
        <w:tc>
          <w:tcPr>
            <w:tcW w:w="1596" w:type="dxa"/>
          </w:tcPr>
          <w:p w14:paraId="6387693B" w14:textId="77777777" w:rsidR="0046798B" w:rsidRDefault="0046798B">
            <w:pPr>
              <w:pStyle w:val="TableParagraph"/>
              <w:rPr>
                <w:sz w:val="20"/>
              </w:rPr>
            </w:pPr>
          </w:p>
        </w:tc>
        <w:tc>
          <w:tcPr>
            <w:tcW w:w="1285" w:type="dxa"/>
          </w:tcPr>
          <w:p w14:paraId="5CDCDBAB" w14:textId="77777777" w:rsidR="0046798B" w:rsidRDefault="0046798B">
            <w:pPr>
              <w:pStyle w:val="TableParagraph"/>
              <w:rPr>
                <w:sz w:val="20"/>
              </w:rPr>
            </w:pPr>
          </w:p>
        </w:tc>
        <w:tc>
          <w:tcPr>
            <w:tcW w:w="3421" w:type="dxa"/>
          </w:tcPr>
          <w:p w14:paraId="1FE403CB" w14:textId="77777777" w:rsidR="0046798B" w:rsidRDefault="0046798B">
            <w:pPr>
              <w:pStyle w:val="TableParagraph"/>
              <w:rPr>
                <w:sz w:val="20"/>
              </w:rPr>
            </w:pPr>
          </w:p>
        </w:tc>
        <w:tc>
          <w:tcPr>
            <w:tcW w:w="6482" w:type="dxa"/>
          </w:tcPr>
          <w:p w14:paraId="09723FF7" w14:textId="77777777" w:rsidR="0046798B" w:rsidRDefault="00903B5C">
            <w:pPr>
              <w:pStyle w:val="TableParagraph"/>
              <w:spacing w:before="43"/>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828AD49" w14:textId="77777777">
        <w:trPr>
          <w:trHeight w:val="1926"/>
        </w:trPr>
        <w:tc>
          <w:tcPr>
            <w:tcW w:w="1711" w:type="dxa"/>
          </w:tcPr>
          <w:p w14:paraId="23D1FA6A" w14:textId="77777777" w:rsidR="0046798B" w:rsidRDefault="0046798B">
            <w:pPr>
              <w:pStyle w:val="TableParagraph"/>
            </w:pPr>
          </w:p>
          <w:p w14:paraId="49808D26" w14:textId="77777777" w:rsidR="0046798B" w:rsidRDefault="0046798B">
            <w:pPr>
              <w:pStyle w:val="TableParagraph"/>
            </w:pPr>
          </w:p>
          <w:p w14:paraId="63B3C012" w14:textId="77777777" w:rsidR="0046798B" w:rsidRDefault="0046798B">
            <w:pPr>
              <w:pStyle w:val="TableParagraph"/>
              <w:spacing w:before="9"/>
              <w:rPr>
                <w:sz w:val="29"/>
              </w:rPr>
            </w:pPr>
          </w:p>
          <w:p w14:paraId="01DC6782" w14:textId="77777777" w:rsidR="0046798B" w:rsidRDefault="00903B5C">
            <w:pPr>
              <w:pStyle w:val="TableParagraph"/>
              <w:ind w:left="115"/>
              <w:rPr>
                <w:b/>
                <w:sz w:val="20"/>
              </w:rPr>
            </w:pPr>
            <w:r>
              <w:rPr>
                <w:b/>
                <w:sz w:val="20"/>
              </w:rPr>
              <w:t>dev_s7</w:t>
            </w:r>
          </w:p>
        </w:tc>
        <w:tc>
          <w:tcPr>
            <w:tcW w:w="1596" w:type="dxa"/>
          </w:tcPr>
          <w:p w14:paraId="7F7B8817" w14:textId="77777777" w:rsidR="0046798B" w:rsidRDefault="0046798B">
            <w:pPr>
              <w:pStyle w:val="TableParagraph"/>
            </w:pPr>
          </w:p>
          <w:p w14:paraId="4120DE75" w14:textId="77777777" w:rsidR="0046798B" w:rsidRDefault="00903B5C">
            <w:pPr>
              <w:pStyle w:val="TableParagraph"/>
              <w:spacing w:before="135"/>
              <w:ind w:left="114" w:right="116"/>
              <w:rPr>
                <w:sz w:val="20"/>
              </w:rPr>
            </w:pPr>
            <w:r>
              <w:rPr>
                <w:sz w:val="20"/>
              </w:rPr>
              <w:t>Remedial credits counting or non- counting toward graduation and full-time status</w:t>
            </w:r>
          </w:p>
        </w:tc>
        <w:tc>
          <w:tcPr>
            <w:tcW w:w="1285" w:type="dxa"/>
          </w:tcPr>
          <w:p w14:paraId="250301E7" w14:textId="77777777" w:rsidR="0046798B" w:rsidRDefault="0046798B">
            <w:pPr>
              <w:pStyle w:val="TableParagraph"/>
            </w:pPr>
          </w:p>
          <w:p w14:paraId="7F6CB4C2" w14:textId="77777777" w:rsidR="0046798B" w:rsidRDefault="0046798B">
            <w:pPr>
              <w:pStyle w:val="TableParagraph"/>
            </w:pPr>
          </w:p>
          <w:p w14:paraId="085F7F60" w14:textId="77777777" w:rsidR="0046798B" w:rsidRDefault="0046798B">
            <w:pPr>
              <w:pStyle w:val="TableParagraph"/>
              <w:spacing w:before="9"/>
              <w:rPr>
                <w:sz w:val="29"/>
              </w:rPr>
            </w:pPr>
          </w:p>
          <w:p w14:paraId="52A633F5" w14:textId="77777777" w:rsidR="0046798B" w:rsidRDefault="00903B5C">
            <w:pPr>
              <w:pStyle w:val="TableParagraph"/>
              <w:ind w:left="114"/>
              <w:rPr>
                <w:sz w:val="20"/>
              </w:rPr>
            </w:pPr>
            <w:r>
              <w:rPr>
                <w:sz w:val="20"/>
              </w:rPr>
              <w:t>1989–2008</w:t>
            </w:r>
          </w:p>
        </w:tc>
        <w:tc>
          <w:tcPr>
            <w:tcW w:w="3421" w:type="dxa"/>
          </w:tcPr>
          <w:p w14:paraId="4D240CAE" w14:textId="77777777" w:rsidR="0046798B" w:rsidRDefault="0046798B">
            <w:pPr>
              <w:pStyle w:val="TableParagraph"/>
            </w:pPr>
          </w:p>
          <w:p w14:paraId="7B073E68" w14:textId="77777777" w:rsidR="0046798B" w:rsidRDefault="0046798B">
            <w:pPr>
              <w:pStyle w:val="TableParagraph"/>
            </w:pPr>
          </w:p>
          <w:p w14:paraId="5FF21BC2" w14:textId="77777777" w:rsidR="0046798B" w:rsidRDefault="0046798B">
            <w:pPr>
              <w:pStyle w:val="TableParagraph"/>
              <w:spacing w:before="9"/>
              <w:rPr>
                <w:sz w:val="19"/>
              </w:rPr>
            </w:pPr>
          </w:p>
          <w:p w14:paraId="661FC49B" w14:textId="77777777" w:rsidR="0046798B" w:rsidRDefault="00903B5C">
            <w:pPr>
              <w:pStyle w:val="TableParagraph"/>
              <w:ind w:left="114" w:right="1475"/>
              <w:rPr>
                <w:sz w:val="20"/>
              </w:rPr>
            </w:pPr>
            <w:r>
              <w:rPr>
                <w:sz w:val="20"/>
              </w:rPr>
              <w:t>0 = policy not adopted 1 = policy adopted</w:t>
            </w:r>
          </w:p>
        </w:tc>
        <w:tc>
          <w:tcPr>
            <w:tcW w:w="6482" w:type="dxa"/>
          </w:tcPr>
          <w:p w14:paraId="6BC6540F" w14:textId="77777777" w:rsidR="0046798B" w:rsidRDefault="00903B5C">
            <w:pPr>
              <w:pStyle w:val="TableParagraph"/>
              <w:spacing w:before="43"/>
              <w:ind w:left="114"/>
              <w:rPr>
                <w:i/>
                <w:sz w:val="20"/>
              </w:rPr>
            </w:pPr>
            <w:r>
              <w:rPr>
                <w:sz w:val="20"/>
              </w:rPr>
              <w:t xml:space="preserve">Lacy, T. Austin, and David A. Tandberg. “Rethinking policy diffusion: The interstate spread of ‘finance innovations’.” </w:t>
            </w:r>
            <w:r>
              <w:rPr>
                <w:i/>
                <w:sz w:val="20"/>
              </w:rPr>
              <w:t>Research in Higher</w:t>
            </w:r>
          </w:p>
          <w:p w14:paraId="3293B6EA" w14:textId="77777777" w:rsidR="0046798B" w:rsidRDefault="00903B5C">
            <w:pPr>
              <w:pStyle w:val="TableParagraph"/>
              <w:spacing w:before="1"/>
              <w:ind w:left="114"/>
              <w:rPr>
                <w:sz w:val="20"/>
              </w:rPr>
            </w:pPr>
            <w:r>
              <w:rPr>
                <w:i/>
                <w:sz w:val="20"/>
              </w:rPr>
              <w:t xml:space="preserve">Education </w:t>
            </w:r>
            <w:r>
              <w:rPr>
                <w:sz w:val="20"/>
              </w:rPr>
              <w:t>55.7 (2014): 627–649.</w:t>
            </w:r>
          </w:p>
          <w:p w14:paraId="67DD0566" w14:textId="77777777" w:rsidR="0046798B" w:rsidRDefault="0046798B">
            <w:pPr>
              <w:pStyle w:val="TableParagraph"/>
              <w:spacing w:before="11"/>
              <w:rPr>
                <w:sz w:val="19"/>
              </w:rPr>
            </w:pPr>
          </w:p>
          <w:p w14:paraId="25250474"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77835C96" w14:textId="77777777">
        <w:trPr>
          <w:trHeight w:val="1930"/>
        </w:trPr>
        <w:tc>
          <w:tcPr>
            <w:tcW w:w="1711" w:type="dxa"/>
          </w:tcPr>
          <w:p w14:paraId="6B8C8682" w14:textId="77777777" w:rsidR="0046798B" w:rsidRDefault="0046798B">
            <w:pPr>
              <w:pStyle w:val="TableParagraph"/>
            </w:pPr>
          </w:p>
          <w:p w14:paraId="091123E3" w14:textId="77777777" w:rsidR="0046798B" w:rsidRDefault="0046798B">
            <w:pPr>
              <w:pStyle w:val="TableParagraph"/>
            </w:pPr>
          </w:p>
          <w:p w14:paraId="719A7C46" w14:textId="77777777" w:rsidR="0046798B" w:rsidRDefault="0046798B">
            <w:pPr>
              <w:pStyle w:val="TableParagraph"/>
              <w:spacing w:before="8"/>
              <w:rPr>
                <w:sz w:val="29"/>
              </w:rPr>
            </w:pPr>
          </w:p>
          <w:p w14:paraId="4E9E8E34" w14:textId="77777777" w:rsidR="0046798B" w:rsidRDefault="00903B5C">
            <w:pPr>
              <w:pStyle w:val="TableParagraph"/>
              <w:spacing w:before="1"/>
              <w:ind w:left="115"/>
              <w:rPr>
                <w:b/>
                <w:sz w:val="20"/>
              </w:rPr>
            </w:pPr>
            <w:r>
              <w:rPr>
                <w:b/>
                <w:sz w:val="20"/>
              </w:rPr>
              <w:t>dev_s8</w:t>
            </w:r>
          </w:p>
        </w:tc>
        <w:tc>
          <w:tcPr>
            <w:tcW w:w="1596" w:type="dxa"/>
          </w:tcPr>
          <w:p w14:paraId="33C235A3" w14:textId="77777777" w:rsidR="0046798B" w:rsidRDefault="0046798B">
            <w:pPr>
              <w:pStyle w:val="TableParagraph"/>
            </w:pPr>
          </w:p>
          <w:p w14:paraId="3C907266" w14:textId="77777777" w:rsidR="0046798B" w:rsidRDefault="00903B5C">
            <w:pPr>
              <w:pStyle w:val="TableParagraph"/>
              <w:spacing w:before="135"/>
              <w:ind w:left="114" w:right="85"/>
              <w:rPr>
                <w:sz w:val="20"/>
              </w:rPr>
            </w:pPr>
            <w:r>
              <w:rPr>
                <w:sz w:val="20"/>
              </w:rPr>
              <w:t>Remediation expanded or limited to certain sectors of higher education</w:t>
            </w:r>
          </w:p>
        </w:tc>
        <w:tc>
          <w:tcPr>
            <w:tcW w:w="1285" w:type="dxa"/>
          </w:tcPr>
          <w:p w14:paraId="0C819823" w14:textId="77777777" w:rsidR="0046798B" w:rsidRDefault="0046798B">
            <w:pPr>
              <w:pStyle w:val="TableParagraph"/>
            </w:pPr>
          </w:p>
          <w:p w14:paraId="62B62B76" w14:textId="77777777" w:rsidR="0046798B" w:rsidRDefault="0046798B">
            <w:pPr>
              <w:pStyle w:val="TableParagraph"/>
            </w:pPr>
          </w:p>
          <w:p w14:paraId="01AE4947" w14:textId="77777777" w:rsidR="0046798B" w:rsidRDefault="0046798B">
            <w:pPr>
              <w:pStyle w:val="TableParagraph"/>
              <w:spacing w:before="8"/>
              <w:rPr>
                <w:sz w:val="29"/>
              </w:rPr>
            </w:pPr>
          </w:p>
          <w:p w14:paraId="163DE27E" w14:textId="77777777" w:rsidR="0046798B" w:rsidRDefault="00903B5C">
            <w:pPr>
              <w:pStyle w:val="TableParagraph"/>
              <w:spacing w:before="1"/>
              <w:ind w:left="114"/>
              <w:rPr>
                <w:sz w:val="20"/>
              </w:rPr>
            </w:pPr>
            <w:r>
              <w:rPr>
                <w:sz w:val="20"/>
              </w:rPr>
              <w:t>1996–2006</w:t>
            </w:r>
          </w:p>
        </w:tc>
        <w:tc>
          <w:tcPr>
            <w:tcW w:w="3421" w:type="dxa"/>
          </w:tcPr>
          <w:p w14:paraId="5F26AA01" w14:textId="77777777" w:rsidR="0046798B" w:rsidRDefault="0046798B">
            <w:pPr>
              <w:pStyle w:val="TableParagraph"/>
            </w:pPr>
          </w:p>
          <w:p w14:paraId="6954DBFA" w14:textId="77777777" w:rsidR="0046798B" w:rsidRDefault="0046798B">
            <w:pPr>
              <w:pStyle w:val="TableParagraph"/>
            </w:pPr>
          </w:p>
          <w:p w14:paraId="7787EA12" w14:textId="77777777" w:rsidR="0046798B" w:rsidRDefault="0046798B">
            <w:pPr>
              <w:pStyle w:val="TableParagraph"/>
              <w:spacing w:before="8"/>
              <w:rPr>
                <w:sz w:val="19"/>
              </w:rPr>
            </w:pPr>
          </w:p>
          <w:p w14:paraId="342BB617"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0BF56C72" w14:textId="77777777" w:rsidR="0046798B" w:rsidRDefault="00903B5C">
            <w:pPr>
              <w:pStyle w:val="TableParagraph"/>
              <w:spacing w:before="43"/>
              <w:ind w:left="114"/>
              <w:rPr>
                <w:i/>
                <w:sz w:val="20"/>
              </w:rPr>
            </w:pPr>
            <w:r>
              <w:rPr>
                <w:sz w:val="20"/>
              </w:rPr>
              <w:t xml:space="preserve">Lacy, T. Austin, and David A. Tandberg. “Rethinking policy diffusion: The interstate spread of ‘finance innovations’.” </w:t>
            </w:r>
            <w:r>
              <w:rPr>
                <w:i/>
                <w:sz w:val="20"/>
              </w:rPr>
              <w:t>Research in Higher</w:t>
            </w:r>
          </w:p>
          <w:p w14:paraId="614E0DF4" w14:textId="77777777" w:rsidR="0046798B" w:rsidRDefault="00903B5C">
            <w:pPr>
              <w:pStyle w:val="TableParagraph"/>
              <w:ind w:left="114"/>
              <w:rPr>
                <w:sz w:val="20"/>
              </w:rPr>
            </w:pPr>
            <w:r>
              <w:rPr>
                <w:i/>
                <w:sz w:val="20"/>
              </w:rPr>
              <w:t xml:space="preserve">Education </w:t>
            </w:r>
            <w:r>
              <w:rPr>
                <w:sz w:val="20"/>
              </w:rPr>
              <w:t>55.7 (2014): 627–649.</w:t>
            </w:r>
          </w:p>
          <w:p w14:paraId="0A7A40DB" w14:textId="77777777" w:rsidR="0046798B" w:rsidRDefault="0046798B">
            <w:pPr>
              <w:pStyle w:val="TableParagraph"/>
              <w:rPr>
                <w:sz w:val="20"/>
              </w:rPr>
            </w:pPr>
          </w:p>
          <w:p w14:paraId="0F16C4AA"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1FED7D0" w14:textId="77777777">
        <w:trPr>
          <w:trHeight w:val="2156"/>
        </w:trPr>
        <w:tc>
          <w:tcPr>
            <w:tcW w:w="1711" w:type="dxa"/>
          </w:tcPr>
          <w:p w14:paraId="0583D47E" w14:textId="77777777" w:rsidR="0046798B" w:rsidRDefault="0046798B">
            <w:pPr>
              <w:pStyle w:val="TableParagraph"/>
            </w:pPr>
          </w:p>
          <w:p w14:paraId="2D7B8BC3" w14:textId="77777777" w:rsidR="0046798B" w:rsidRDefault="0046798B">
            <w:pPr>
              <w:pStyle w:val="TableParagraph"/>
            </w:pPr>
          </w:p>
          <w:p w14:paraId="77AD9533" w14:textId="77777777" w:rsidR="0046798B" w:rsidRDefault="0046798B">
            <w:pPr>
              <w:pStyle w:val="TableParagraph"/>
            </w:pPr>
          </w:p>
          <w:p w14:paraId="5941ABCE" w14:textId="77777777" w:rsidR="0046798B" w:rsidRDefault="0046798B">
            <w:pPr>
              <w:pStyle w:val="TableParagraph"/>
              <w:spacing w:before="4"/>
              <w:rPr>
                <w:sz w:val="17"/>
              </w:rPr>
            </w:pPr>
          </w:p>
          <w:p w14:paraId="4768D56D" w14:textId="77777777" w:rsidR="0046798B" w:rsidRDefault="00903B5C">
            <w:pPr>
              <w:pStyle w:val="TableParagraph"/>
              <w:ind w:left="115"/>
              <w:rPr>
                <w:b/>
                <w:sz w:val="20"/>
              </w:rPr>
            </w:pPr>
            <w:r>
              <w:rPr>
                <w:b/>
                <w:sz w:val="20"/>
              </w:rPr>
              <w:t>dev_s9</w:t>
            </w:r>
          </w:p>
        </w:tc>
        <w:tc>
          <w:tcPr>
            <w:tcW w:w="1596" w:type="dxa"/>
          </w:tcPr>
          <w:p w14:paraId="1BD09D67" w14:textId="77777777" w:rsidR="0046798B" w:rsidRDefault="00903B5C">
            <w:pPr>
              <w:pStyle w:val="TableParagraph"/>
              <w:spacing w:before="38"/>
              <w:ind w:left="114" w:right="219"/>
              <w:rPr>
                <w:sz w:val="20"/>
              </w:rPr>
            </w:pPr>
            <w:r>
              <w:rPr>
                <w:sz w:val="20"/>
              </w:rPr>
              <w:t>Limits for remediation (time, credit hours, etc.) and punishment of unsuccessful students in the developmental education</w:t>
            </w:r>
          </w:p>
        </w:tc>
        <w:tc>
          <w:tcPr>
            <w:tcW w:w="1285" w:type="dxa"/>
          </w:tcPr>
          <w:p w14:paraId="2D3333FD" w14:textId="77777777" w:rsidR="0046798B" w:rsidRDefault="0046798B">
            <w:pPr>
              <w:pStyle w:val="TableParagraph"/>
            </w:pPr>
          </w:p>
          <w:p w14:paraId="205E33E6" w14:textId="77777777" w:rsidR="0046798B" w:rsidRDefault="0046798B">
            <w:pPr>
              <w:pStyle w:val="TableParagraph"/>
            </w:pPr>
          </w:p>
          <w:p w14:paraId="58F9C0DD" w14:textId="77777777" w:rsidR="0046798B" w:rsidRDefault="0046798B">
            <w:pPr>
              <w:pStyle w:val="TableParagraph"/>
            </w:pPr>
          </w:p>
          <w:p w14:paraId="0068D4FA" w14:textId="77777777" w:rsidR="0046798B" w:rsidRDefault="0046798B">
            <w:pPr>
              <w:pStyle w:val="TableParagraph"/>
              <w:spacing w:before="4"/>
              <w:rPr>
                <w:sz w:val="17"/>
              </w:rPr>
            </w:pPr>
          </w:p>
          <w:p w14:paraId="50BF2381" w14:textId="77777777" w:rsidR="0046798B" w:rsidRDefault="00903B5C">
            <w:pPr>
              <w:pStyle w:val="TableParagraph"/>
              <w:ind w:left="114"/>
              <w:rPr>
                <w:sz w:val="20"/>
              </w:rPr>
            </w:pPr>
            <w:r>
              <w:rPr>
                <w:sz w:val="20"/>
              </w:rPr>
              <w:t>1996–2008</w:t>
            </w:r>
          </w:p>
        </w:tc>
        <w:tc>
          <w:tcPr>
            <w:tcW w:w="3421" w:type="dxa"/>
          </w:tcPr>
          <w:p w14:paraId="4FC1FDE8" w14:textId="77777777" w:rsidR="0046798B" w:rsidRDefault="0046798B">
            <w:pPr>
              <w:pStyle w:val="TableParagraph"/>
            </w:pPr>
          </w:p>
          <w:p w14:paraId="603680AD" w14:textId="77777777" w:rsidR="0046798B" w:rsidRDefault="0046798B">
            <w:pPr>
              <w:pStyle w:val="TableParagraph"/>
            </w:pPr>
          </w:p>
          <w:p w14:paraId="25F34D0F" w14:textId="77777777" w:rsidR="0046798B" w:rsidRDefault="0046798B">
            <w:pPr>
              <w:pStyle w:val="TableParagraph"/>
              <w:spacing w:before="4"/>
              <w:rPr>
                <w:sz w:val="29"/>
              </w:rPr>
            </w:pPr>
          </w:p>
          <w:p w14:paraId="01DFF49F" w14:textId="77777777" w:rsidR="0046798B" w:rsidRDefault="00903B5C">
            <w:pPr>
              <w:pStyle w:val="TableParagraph"/>
              <w:ind w:left="114" w:right="1475"/>
              <w:rPr>
                <w:sz w:val="20"/>
              </w:rPr>
            </w:pPr>
            <w:r>
              <w:rPr>
                <w:sz w:val="20"/>
              </w:rPr>
              <w:t>0 = policy not adopted 1 = policy adopted</w:t>
            </w:r>
          </w:p>
        </w:tc>
        <w:tc>
          <w:tcPr>
            <w:tcW w:w="6482" w:type="dxa"/>
          </w:tcPr>
          <w:p w14:paraId="07B825C5" w14:textId="77777777" w:rsidR="0046798B" w:rsidRDefault="00903B5C">
            <w:pPr>
              <w:pStyle w:val="TableParagraph"/>
              <w:spacing w:before="153"/>
              <w:ind w:left="114"/>
              <w:rPr>
                <w:i/>
                <w:sz w:val="20"/>
              </w:rPr>
            </w:pPr>
            <w:r>
              <w:rPr>
                <w:sz w:val="20"/>
              </w:rPr>
              <w:t xml:space="preserve">Lacy, T. Austin, and David A. Tandberg. “Rethinking policy diffusion: The interstate spread of ‘finance innovations’.” </w:t>
            </w:r>
            <w:r>
              <w:rPr>
                <w:i/>
                <w:sz w:val="20"/>
              </w:rPr>
              <w:t>Research in Higher</w:t>
            </w:r>
          </w:p>
          <w:p w14:paraId="3E8DBE47" w14:textId="77777777" w:rsidR="0046798B" w:rsidRDefault="00903B5C">
            <w:pPr>
              <w:pStyle w:val="TableParagraph"/>
              <w:spacing w:before="1"/>
              <w:ind w:left="114"/>
              <w:rPr>
                <w:sz w:val="20"/>
              </w:rPr>
            </w:pPr>
            <w:r>
              <w:rPr>
                <w:i/>
                <w:sz w:val="20"/>
              </w:rPr>
              <w:t xml:space="preserve">Education </w:t>
            </w:r>
            <w:r>
              <w:rPr>
                <w:sz w:val="20"/>
              </w:rPr>
              <w:t>55.7 (2014): 627–649.</w:t>
            </w:r>
          </w:p>
          <w:p w14:paraId="5EC96DBE" w14:textId="77777777" w:rsidR="0046798B" w:rsidRDefault="0046798B">
            <w:pPr>
              <w:pStyle w:val="TableParagraph"/>
              <w:spacing w:before="11"/>
              <w:rPr>
                <w:sz w:val="19"/>
              </w:rPr>
            </w:pPr>
          </w:p>
          <w:p w14:paraId="7083F946"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0E51D958" w14:textId="77777777">
        <w:trPr>
          <w:trHeight w:val="1925"/>
        </w:trPr>
        <w:tc>
          <w:tcPr>
            <w:tcW w:w="1711" w:type="dxa"/>
          </w:tcPr>
          <w:p w14:paraId="78A9F0E5" w14:textId="77777777" w:rsidR="0046798B" w:rsidRDefault="0046798B">
            <w:pPr>
              <w:pStyle w:val="TableParagraph"/>
            </w:pPr>
          </w:p>
          <w:p w14:paraId="2A8B7316" w14:textId="77777777" w:rsidR="0046798B" w:rsidRDefault="0046798B">
            <w:pPr>
              <w:pStyle w:val="TableParagraph"/>
            </w:pPr>
          </w:p>
          <w:p w14:paraId="42CACA11" w14:textId="77777777" w:rsidR="0046798B" w:rsidRDefault="0046798B">
            <w:pPr>
              <w:pStyle w:val="TableParagraph"/>
              <w:spacing w:before="4"/>
              <w:rPr>
                <w:sz w:val="29"/>
              </w:rPr>
            </w:pPr>
          </w:p>
          <w:p w14:paraId="78B6B50E" w14:textId="77777777" w:rsidR="0046798B" w:rsidRDefault="00903B5C">
            <w:pPr>
              <w:pStyle w:val="TableParagraph"/>
              <w:ind w:left="115"/>
              <w:rPr>
                <w:b/>
                <w:sz w:val="20"/>
              </w:rPr>
            </w:pPr>
            <w:r>
              <w:rPr>
                <w:b/>
                <w:sz w:val="20"/>
              </w:rPr>
              <w:t>dual_enroll</w:t>
            </w:r>
          </w:p>
        </w:tc>
        <w:tc>
          <w:tcPr>
            <w:tcW w:w="1596" w:type="dxa"/>
          </w:tcPr>
          <w:p w14:paraId="144CD3D9" w14:textId="77777777" w:rsidR="0046798B" w:rsidRDefault="0046798B">
            <w:pPr>
              <w:pStyle w:val="TableParagraph"/>
            </w:pPr>
          </w:p>
          <w:p w14:paraId="6267E5C0" w14:textId="77777777" w:rsidR="0046798B" w:rsidRDefault="0046798B">
            <w:pPr>
              <w:pStyle w:val="TableParagraph"/>
              <w:spacing w:before="3"/>
              <w:rPr>
                <w:sz w:val="21"/>
              </w:rPr>
            </w:pPr>
          </w:p>
          <w:p w14:paraId="46E5E040" w14:textId="77777777" w:rsidR="0046798B" w:rsidRDefault="00903B5C">
            <w:pPr>
              <w:pStyle w:val="TableParagraph"/>
              <w:spacing w:before="1"/>
              <w:ind w:left="114" w:right="152"/>
              <w:rPr>
                <w:sz w:val="20"/>
              </w:rPr>
            </w:pPr>
            <w:r>
              <w:rPr>
                <w:sz w:val="20"/>
              </w:rPr>
              <w:t>Allowed to enroll in college while in high school</w:t>
            </w:r>
          </w:p>
        </w:tc>
        <w:tc>
          <w:tcPr>
            <w:tcW w:w="1285" w:type="dxa"/>
          </w:tcPr>
          <w:p w14:paraId="7BD8C77F" w14:textId="77777777" w:rsidR="0046798B" w:rsidRDefault="0046798B">
            <w:pPr>
              <w:pStyle w:val="TableParagraph"/>
            </w:pPr>
          </w:p>
          <w:p w14:paraId="466A4195" w14:textId="77777777" w:rsidR="0046798B" w:rsidRDefault="0046798B">
            <w:pPr>
              <w:pStyle w:val="TableParagraph"/>
            </w:pPr>
          </w:p>
          <w:p w14:paraId="7562C113" w14:textId="77777777" w:rsidR="0046798B" w:rsidRDefault="0046798B">
            <w:pPr>
              <w:pStyle w:val="TableParagraph"/>
              <w:spacing w:before="4"/>
              <w:rPr>
                <w:sz w:val="29"/>
              </w:rPr>
            </w:pPr>
          </w:p>
          <w:p w14:paraId="6895EED6" w14:textId="77777777" w:rsidR="0046798B" w:rsidRDefault="00903B5C">
            <w:pPr>
              <w:pStyle w:val="TableParagraph"/>
              <w:ind w:left="114"/>
              <w:rPr>
                <w:sz w:val="20"/>
              </w:rPr>
            </w:pPr>
            <w:r>
              <w:rPr>
                <w:sz w:val="20"/>
              </w:rPr>
              <w:t>1976–2005</w:t>
            </w:r>
          </w:p>
        </w:tc>
        <w:tc>
          <w:tcPr>
            <w:tcW w:w="3421" w:type="dxa"/>
          </w:tcPr>
          <w:p w14:paraId="5AF8682C" w14:textId="77777777" w:rsidR="0046798B" w:rsidRDefault="0046798B">
            <w:pPr>
              <w:pStyle w:val="TableParagraph"/>
            </w:pPr>
          </w:p>
          <w:p w14:paraId="06C1576D" w14:textId="77777777" w:rsidR="0046798B" w:rsidRDefault="0046798B">
            <w:pPr>
              <w:pStyle w:val="TableParagraph"/>
            </w:pPr>
          </w:p>
          <w:p w14:paraId="4243923E" w14:textId="77777777" w:rsidR="0046798B" w:rsidRDefault="0046798B">
            <w:pPr>
              <w:pStyle w:val="TableParagraph"/>
              <w:spacing w:before="4"/>
              <w:rPr>
                <w:sz w:val="19"/>
              </w:rPr>
            </w:pPr>
          </w:p>
          <w:p w14:paraId="354E1D5B" w14:textId="77777777" w:rsidR="0046798B" w:rsidRDefault="00903B5C">
            <w:pPr>
              <w:pStyle w:val="TableParagraph"/>
              <w:ind w:left="114" w:right="1475"/>
              <w:rPr>
                <w:sz w:val="20"/>
              </w:rPr>
            </w:pPr>
            <w:r>
              <w:rPr>
                <w:sz w:val="20"/>
              </w:rPr>
              <w:t>0 = policy not adopted 1 = policy adopted</w:t>
            </w:r>
          </w:p>
        </w:tc>
        <w:tc>
          <w:tcPr>
            <w:tcW w:w="6482" w:type="dxa"/>
          </w:tcPr>
          <w:p w14:paraId="10C8F4D1" w14:textId="77777777" w:rsidR="0046798B" w:rsidRDefault="00903B5C">
            <w:pPr>
              <w:pStyle w:val="TableParagraph"/>
              <w:spacing w:before="38"/>
              <w:ind w:left="114"/>
              <w:rPr>
                <w:i/>
                <w:sz w:val="20"/>
              </w:rPr>
            </w:pPr>
            <w:r>
              <w:rPr>
                <w:sz w:val="20"/>
              </w:rPr>
              <w:t xml:space="preserve">Lacy, T. Austin, and David A. Tandberg. “Rethinking policy diffusion: The interstate spread of ‘finance innovations’.” </w:t>
            </w:r>
            <w:r>
              <w:rPr>
                <w:i/>
                <w:sz w:val="20"/>
              </w:rPr>
              <w:t>Research in Higher</w:t>
            </w:r>
          </w:p>
          <w:p w14:paraId="0864B7B7" w14:textId="77777777" w:rsidR="0046798B" w:rsidRDefault="00903B5C">
            <w:pPr>
              <w:pStyle w:val="TableParagraph"/>
              <w:ind w:left="114"/>
              <w:rPr>
                <w:sz w:val="20"/>
              </w:rPr>
            </w:pPr>
            <w:r>
              <w:rPr>
                <w:i/>
                <w:sz w:val="20"/>
              </w:rPr>
              <w:t xml:space="preserve">Education </w:t>
            </w:r>
            <w:r>
              <w:rPr>
                <w:sz w:val="20"/>
              </w:rPr>
              <w:t>55.7 (2014): 627–649.</w:t>
            </w:r>
          </w:p>
          <w:p w14:paraId="1AE8AD64" w14:textId="77777777" w:rsidR="0046798B" w:rsidRDefault="0046798B">
            <w:pPr>
              <w:pStyle w:val="TableParagraph"/>
              <w:rPr>
                <w:sz w:val="20"/>
              </w:rPr>
            </w:pPr>
          </w:p>
          <w:p w14:paraId="6B509ADC"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bl>
    <w:p w14:paraId="750BBC56" w14:textId="77777777" w:rsidR="0046798B" w:rsidRDefault="0046798B">
      <w:pPr>
        <w:rPr>
          <w:sz w:val="20"/>
        </w:rPr>
        <w:sectPr w:rsidR="0046798B">
          <w:pgSz w:w="15840" w:h="12240" w:orient="landscape"/>
          <w:pgMar w:top="1220" w:right="300" w:bottom="980" w:left="820" w:header="730" w:footer="787" w:gutter="0"/>
          <w:cols w:space="720"/>
        </w:sectPr>
      </w:pPr>
    </w:p>
    <w:p w14:paraId="5E45385C"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25ED6EDF" w14:textId="77777777">
        <w:trPr>
          <w:trHeight w:val="1926"/>
        </w:trPr>
        <w:tc>
          <w:tcPr>
            <w:tcW w:w="1711" w:type="dxa"/>
          </w:tcPr>
          <w:p w14:paraId="20900AD9" w14:textId="77777777" w:rsidR="0046798B" w:rsidRDefault="0046798B">
            <w:pPr>
              <w:pStyle w:val="TableParagraph"/>
            </w:pPr>
          </w:p>
          <w:p w14:paraId="50FCF01C" w14:textId="77777777" w:rsidR="0046798B" w:rsidRDefault="0046798B">
            <w:pPr>
              <w:pStyle w:val="TableParagraph"/>
            </w:pPr>
          </w:p>
          <w:p w14:paraId="129454BE" w14:textId="77777777" w:rsidR="0046798B" w:rsidRDefault="0046798B">
            <w:pPr>
              <w:pStyle w:val="TableParagraph"/>
              <w:spacing w:before="9"/>
              <w:rPr>
                <w:sz w:val="29"/>
              </w:rPr>
            </w:pPr>
          </w:p>
          <w:p w14:paraId="5F83A615" w14:textId="77777777" w:rsidR="0046798B" w:rsidRDefault="00903B5C">
            <w:pPr>
              <w:pStyle w:val="TableParagraph"/>
              <w:ind w:left="115"/>
              <w:rPr>
                <w:b/>
                <w:sz w:val="20"/>
              </w:rPr>
            </w:pPr>
            <w:r>
              <w:rPr>
                <w:b/>
                <w:sz w:val="20"/>
              </w:rPr>
              <w:t>inst_tu_und</w:t>
            </w:r>
          </w:p>
        </w:tc>
        <w:tc>
          <w:tcPr>
            <w:tcW w:w="1596" w:type="dxa"/>
          </w:tcPr>
          <w:p w14:paraId="58876226" w14:textId="77777777" w:rsidR="0046798B" w:rsidRDefault="0046798B">
            <w:pPr>
              <w:pStyle w:val="TableParagraph"/>
            </w:pPr>
          </w:p>
          <w:p w14:paraId="5CCD2292" w14:textId="77777777" w:rsidR="0046798B" w:rsidRDefault="0046798B">
            <w:pPr>
              <w:pStyle w:val="TableParagraph"/>
              <w:spacing w:before="9"/>
              <w:rPr>
                <w:sz w:val="21"/>
              </w:rPr>
            </w:pPr>
          </w:p>
          <w:p w14:paraId="44B421EA" w14:textId="77777777" w:rsidR="0046798B" w:rsidRDefault="00903B5C">
            <w:pPr>
              <w:pStyle w:val="TableParagraph"/>
              <w:ind w:left="114" w:right="274"/>
              <w:rPr>
                <w:sz w:val="20"/>
              </w:rPr>
            </w:pPr>
            <w:r>
              <w:rPr>
                <w:sz w:val="20"/>
              </w:rPr>
              <w:t>In-state tuition for undocumented immigrants</w:t>
            </w:r>
          </w:p>
        </w:tc>
        <w:tc>
          <w:tcPr>
            <w:tcW w:w="1285" w:type="dxa"/>
          </w:tcPr>
          <w:p w14:paraId="4D85F6E8" w14:textId="77777777" w:rsidR="0046798B" w:rsidRDefault="0046798B">
            <w:pPr>
              <w:pStyle w:val="TableParagraph"/>
            </w:pPr>
          </w:p>
          <w:p w14:paraId="275E0783" w14:textId="77777777" w:rsidR="0046798B" w:rsidRDefault="0046798B">
            <w:pPr>
              <w:pStyle w:val="TableParagraph"/>
            </w:pPr>
          </w:p>
          <w:p w14:paraId="5D52EF46" w14:textId="77777777" w:rsidR="0046798B" w:rsidRDefault="0046798B">
            <w:pPr>
              <w:pStyle w:val="TableParagraph"/>
              <w:spacing w:before="9"/>
              <w:rPr>
                <w:sz w:val="29"/>
              </w:rPr>
            </w:pPr>
          </w:p>
          <w:p w14:paraId="51B24398" w14:textId="77777777" w:rsidR="0046798B" w:rsidRDefault="00903B5C">
            <w:pPr>
              <w:pStyle w:val="TableParagraph"/>
              <w:ind w:left="114"/>
              <w:rPr>
                <w:sz w:val="20"/>
              </w:rPr>
            </w:pPr>
            <w:r>
              <w:rPr>
                <w:sz w:val="20"/>
              </w:rPr>
              <w:t>2001–2009</w:t>
            </w:r>
          </w:p>
        </w:tc>
        <w:tc>
          <w:tcPr>
            <w:tcW w:w="3421" w:type="dxa"/>
          </w:tcPr>
          <w:p w14:paraId="3ED7FF07" w14:textId="77777777" w:rsidR="0046798B" w:rsidRDefault="0046798B">
            <w:pPr>
              <w:pStyle w:val="TableParagraph"/>
            </w:pPr>
          </w:p>
          <w:p w14:paraId="7F5F7D17" w14:textId="77777777" w:rsidR="0046798B" w:rsidRDefault="0046798B">
            <w:pPr>
              <w:pStyle w:val="TableParagraph"/>
            </w:pPr>
          </w:p>
          <w:p w14:paraId="0D4EDB7C" w14:textId="77777777" w:rsidR="0046798B" w:rsidRDefault="0046798B">
            <w:pPr>
              <w:pStyle w:val="TableParagraph"/>
              <w:spacing w:before="9"/>
              <w:rPr>
                <w:sz w:val="19"/>
              </w:rPr>
            </w:pPr>
          </w:p>
          <w:p w14:paraId="2546EEE7" w14:textId="77777777" w:rsidR="0046798B" w:rsidRDefault="00903B5C">
            <w:pPr>
              <w:pStyle w:val="TableParagraph"/>
              <w:ind w:left="114" w:right="1475"/>
              <w:rPr>
                <w:sz w:val="20"/>
              </w:rPr>
            </w:pPr>
            <w:r>
              <w:rPr>
                <w:sz w:val="20"/>
              </w:rPr>
              <w:t>0 = policy not adopted 1 = policy adopted</w:t>
            </w:r>
          </w:p>
        </w:tc>
        <w:tc>
          <w:tcPr>
            <w:tcW w:w="6482" w:type="dxa"/>
          </w:tcPr>
          <w:p w14:paraId="2D47D901" w14:textId="77777777" w:rsidR="0046798B" w:rsidRDefault="00903B5C">
            <w:pPr>
              <w:pStyle w:val="TableParagraph"/>
              <w:spacing w:before="43"/>
              <w:ind w:left="114"/>
              <w:rPr>
                <w:i/>
                <w:sz w:val="20"/>
              </w:rPr>
            </w:pPr>
            <w:r>
              <w:rPr>
                <w:sz w:val="20"/>
              </w:rPr>
              <w:t xml:space="preserve">Lacy, T. Austin, and David A. Tandberg. “Rethinking policy diffusion: The interstate spread of ‘finance innovations’.” </w:t>
            </w:r>
            <w:r>
              <w:rPr>
                <w:i/>
                <w:sz w:val="20"/>
              </w:rPr>
              <w:t>Research in Higher</w:t>
            </w:r>
          </w:p>
          <w:p w14:paraId="385CC0F9" w14:textId="77777777" w:rsidR="0046798B" w:rsidRDefault="00903B5C">
            <w:pPr>
              <w:pStyle w:val="TableParagraph"/>
              <w:ind w:left="114"/>
              <w:rPr>
                <w:sz w:val="20"/>
              </w:rPr>
            </w:pPr>
            <w:r>
              <w:rPr>
                <w:i/>
                <w:sz w:val="20"/>
              </w:rPr>
              <w:t xml:space="preserve">Education </w:t>
            </w:r>
            <w:r>
              <w:rPr>
                <w:sz w:val="20"/>
              </w:rPr>
              <w:t>55.7 (2014): 627–649.</w:t>
            </w:r>
          </w:p>
          <w:p w14:paraId="5963E07B" w14:textId="77777777" w:rsidR="0046798B" w:rsidRDefault="0046798B">
            <w:pPr>
              <w:pStyle w:val="TableParagraph"/>
              <w:rPr>
                <w:sz w:val="20"/>
              </w:rPr>
            </w:pPr>
          </w:p>
          <w:p w14:paraId="67A7A839"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7592535" w14:textId="77777777">
        <w:trPr>
          <w:trHeight w:val="1925"/>
        </w:trPr>
        <w:tc>
          <w:tcPr>
            <w:tcW w:w="1711" w:type="dxa"/>
          </w:tcPr>
          <w:p w14:paraId="20C32486" w14:textId="77777777" w:rsidR="0046798B" w:rsidRDefault="0046798B">
            <w:pPr>
              <w:pStyle w:val="TableParagraph"/>
            </w:pPr>
          </w:p>
          <w:p w14:paraId="795CF567" w14:textId="77777777" w:rsidR="0046798B" w:rsidRDefault="0046798B">
            <w:pPr>
              <w:pStyle w:val="TableParagraph"/>
            </w:pPr>
          </w:p>
          <w:p w14:paraId="7E3F709E" w14:textId="77777777" w:rsidR="0046798B" w:rsidRDefault="0046798B">
            <w:pPr>
              <w:pStyle w:val="TableParagraph"/>
              <w:spacing w:before="9"/>
              <w:rPr>
                <w:sz w:val="29"/>
              </w:rPr>
            </w:pPr>
          </w:p>
          <w:p w14:paraId="62D05582" w14:textId="77777777" w:rsidR="0046798B" w:rsidRDefault="00903B5C">
            <w:pPr>
              <w:pStyle w:val="TableParagraph"/>
              <w:ind w:left="115"/>
              <w:rPr>
                <w:b/>
                <w:sz w:val="20"/>
              </w:rPr>
            </w:pPr>
            <w:r>
              <w:rPr>
                <w:b/>
                <w:sz w:val="20"/>
              </w:rPr>
              <w:t>inst_tu_vet</w:t>
            </w:r>
          </w:p>
        </w:tc>
        <w:tc>
          <w:tcPr>
            <w:tcW w:w="1596" w:type="dxa"/>
          </w:tcPr>
          <w:p w14:paraId="6D6D3CA8" w14:textId="77777777" w:rsidR="0046798B" w:rsidRDefault="0046798B">
            <w:pPr>
              <w:pStyle w:val="TableParagraph"/>
            </w:pPr>
          </w:p>
          <w:p w14:paraId="12BCF078" w14:textId="77777777" w:rsidR="0046798B" w:rsidRDefault="0046798B">
            <w:pPr>
              <w:pStyle w:val="TableParagraph"/>
            </w:pPr>
          </w:p>
          <w:p w14:paraId="7561F3BF" w14:textId="77777777" w:rsidR="0046798B" w:rsidRDefault="0046798B">
            <w:pPr>
              <w:pStyle w:val="TableParagraph"/>
              <w:spacing w:before="9"/>
              <w:rPr>
                <w:sz w:val="19"/>
              </w:rPr>
            </w:pPr>
          </w:p>
          <w:p w14:paraId="49D0E384" w14:textId="77777777" w:rsidR="0046798B" w:rsidRDefault="00903B5C">
            <w:pPr>
              <w:pStyle w:val="TableParagraph"/>
              <w:ind w:left="114" w:right="280"/>
              <w:rPr>
                <w:sz w:val="20"/>
              </w:rPr>
            </w:pPr>
            <w:r>
              <w:rPr>
                <w:sz w:val="20"/>
              </w:rPr>
              <w:t>In-state tuition for veterans</w:t>
            </w:r>
          </w:p>
        </w:tc>
        <w:tc>
          <w:tcPr>
            <w:tcW w:w="1285" w:type="dxa"/>
          </w:tcPr>
          <w:p w14:paraId="6DB525FA" w14:textId="77777777" w:rsidR="0046798B" w:rsidRDefault="0046798B">
            <w:pPr>
              <w:pStyle w:val="TableParagraph"/>
            </w:pPr>
          </w:p>
          <w:p w14:paraId="597EDEA8" w14:textId="77777777" w:rsidR="0046798B" w:rsidRDefault="0046798B">
            <w:pPr>
              <w:pStyle w:val="TableParagraph"/>
            </w:pPr>
          </w:p>
          <w:p w14:paraId="7330B02A" w14:textId="77777777" w:rsidR="0046798B" w:rsidRDefault="0046798B">
            <w:pPr>
              <w:pStyle w:val="TableParagraph"/>
              <w:spacing w:before="9"/>
              <w:rPr>
                <w:sz w:val="29"/>
              </w:rPr>
            </w:pPr>
          </w:p>
          <w:p w14:paraId="2DE332FF" w14:textId="77777777" w:rsidR="0046798B" w:rsidRDefault="00903B5C">
            <w:pPr>
              <w:pStyle w:val="TableParagraph"/>
              <w:ind w:left="114"/>
              <w:rPr>
                <w:sz w:val="20"/>
              </w:rPr>
            </w:pPr>
            <w:r>
              <w:rPr>
                <w:sz w:val="20"/>
              </w:rPr>
              <w:t>2006–2009</w:t>
            </w:r>
          </w:p>
        </w:tc>
        <w:tc>
          <w:tcPr>
            <w:tcW w:w="3421" w:type="dxa"/>
          </w:tcPr>
          <w:p w14:paraId="00281E4F" w14:textId="77777777" w:rsidR="0046798B" w:rsidRDefault="0046798B">
            <w:pPr>
              <w:pStyle w:val="TableParagraph"/>
            </w:pPr>
          </w:p>
          <w:p w14:paraId="1E1F5C9F" w14:textId="77777777" w:rsidR="0046798B" w:rsidRDefault="0046798B">
            <w:pPr>
              <w:pStyle w:val="TableParagraph"/>
            </w:pPr>
          </w:p>
          <w:p w14:paraId="343101C7" w14:textId="77777777" w:rsidR="0046798B" w:rsidRDefault="0046798B">
            <w:pPr>
              <w:pStyle w:val="TableParagraph"/>
              <w:spacing w:before="9"/>
              <w:rPr>
                <w:sz w:val="19"/>
              </w:rPr>
            </w:pPr>
          </w:p>
          <w:p w14:paraId="571DF221" w14:textId="77777777" w:rsidR="0046798B" w:rsidRDefault="00903B5C">
            <w:pPr>
              <w:pStyle w:val="TableParagraph"/>
              <w:ind w:left="114" w:right="1475"/>
              <w:rPr>
                <w:sz w:val="20"/>
              </w:rPr>
            </w:pPr>
            <w:r>
              <w:rPr>
                <w:sz w:val="20"/>
              </w:rPr>
              <w:t>0 = policy not adopted 1 = policy adopted</w:t>
            </w:r>
          </w:p>
        </w:tc>
        <w:tc>
          <w:tcPr>
            <w:tcW w:w="6482" w:type="dxa"/>
          </w:tcPr>
          <w:p w14:paraId="32DEB6BA" w14:textId="77777777" w:rsidR="0046798B" w:rsidRDefault="00903B5C">
            <w:pPr>
              <w:pStyle w:val="TableParagraph"/>
              <w:spacing w:before="43"/>
              <w:ind w:left="114"/>
              <w:rPr>
                <w:i/>
                <w:sz w:val="20"/>
              </w:rPr>
            </w:pPr>
            <w:r>
              <w:rPr>
                <w:sz w:val="20"/>
              </w:rPr>
              <w:t xml:space="preserve">Lacy, T. Austin, and David A. Tandberg. “Rethinking policy diffusion: The interstate spread of ‘finance innovations’.” </w:t>
            </w:r>
            <w:r>
              <w:rPr>
                <w:i/>
                <w:sz w:val="20"/>
              </w:rPr>
              <w:t>Research in Higher</w:t>
            </w:r>
          </w:p>
          <w:p w14:paraId="2514D623" w14:textId="77777777" w:rsidR="0046798B" w:rsidRDefault="00903B5C">
            <w:pPr>
              <w:pStyle w:val="TableParagraph"/>
              <w:ind w:left="114"/>
              <w:rPr>
                <w:sz w:val="20"/>
              </w:rPr>
            </w:pPr>
            <w:r>
              <w:rPr>
                <w:i/>
                <w:sz w:val="20"/>
              </w:rPr>
              <w:t xml:space="preserve">Education </w:t>
            </w:r>
            <w:r>
              <w:rPr>
                <w:sz w:val="20"/>
              </w:rPr>
              <w:t>55.7 (2014): 627–649.</w:t>
            </w:r>
          </w:p>
          <w:p w14:paraId="2B67CB04" w14:textId="77777777" w:rsidR="0046798B" w:rsidRDefault="0046798B">
            <w:pPr>
              <w:pStyle w:val="TableParagraph"/>
              <w:rPr>
                <w:sz w:val="20"/>
              </w:rPr>
            </w:pPr>
          </w:p>
          <w:p w14:paraId="47E42B2C"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36149C2F" w14:textId="77777777">
        <w:trPr>
          <w:trHeight w:val="1930"/>
        </w:trPr>
        <w:tc>
          <w:tcPr>
            <w:tcW w:w="1711" w:type="dxa"/>
          </w:tcPr>
          <w:p w14:paraId="51F51D26" w14:textId="77777777" w:rsidR="0046798B" w:rsidRDefault="0046798B">
            <w:pPr>
              <w:pStyle w:val="TableParagraph"/>
            </w:pPr>
          </w:p>
          <w:p w14:paraId="436C0BCD" w14:textId="77777777" w:rsidR="0046798B" w:rsidRDefault="0046798B">
            <w:pPr>
              <w:pStyle w:val="TableParagraph"/>
            </w:pPr>
          </w:p>
          <w:p w14:paraId="230D9EE0" w14:textId="77777777" w:rsidR="0046798B" w:rsidRDefault="0046798B">
            <w:pPr>
              <w:pStyle w:val="TableParagraph"/>
              <w:spacing w:before="9"/>
              <w:rPr>
                <w:sz w:val="29"/>
              </w:rPr>
            </w:pPr>
          </w:p>
          <w:p w14:paraId="5C94C453" w14:textId="77777777" w:rsidR="0046798B" w:rsidRDefault="00903B5C">
            <w:pPr>
              <w:pStyle w:val="TableParagraph"/>
              <w:ind w:left="115"/>
              <w:rPr>
                <w:b/>
                <w:sz w:val="20"/>
              </w:rPr>
            </w:pPr>
            <w:r>
              <w:rPr>
                <w:b/>
                <w:sz w:val="20"/>
              </w:rPr>
              <w:t>collegesavings</w:t>
            </w:r>
          </w:p>
        </w:tc>
        <w:tc>
          <w:tcPr>
            <w:tcW w:w="1596" w:type="dxa"/>
          </w:tcPr>
          <w:p w14:paraId="523C92E5" w14:textId="77777777" w:rsidR="0046798B" w:rsidRDefault="0046798B">
            <w:pPr>
              <w:pStyle w:val="TableParagraph"/>
            </w:pPr>
          </w:p>
          <w:p w14:paraId="78DC46DC" w14:textId="77777777" w:rsidR="0046798B" w:rsidRDefault="0046798B">
            <w:pPr>
              <w:pStyle w:val="TableParagraph"/>
            </w:pPr>
          </w:p>
          <w:p w14:paraId="359766CD" w14:textId="77777777" w:rsidR="0046798B" w:rsidRDefault="0046798B">
            <w:pPr>
              <w:pStyle w:val="TableParagraph"/>
              <w:spacing w:before="9"/>
              <w:rPr>
                <w:sz w:val="19"/>
              </w:rPr>
            </w:pPr>
          </w:p>
          <w:p w14:paraId="0C4F8A23" w14:textId="77777777" w:rsidR="0046798B" w:rsidRDefault="00903B5C">
            <w:pPr>
              <w:pStyle w:val="TableParagraph"/>
              <w:ind w:left="114" w:right="179"/>
              <w:rPr>
                <w:sz w:val="20"/>
              </w:rPr>
            </w:pPr>
            <w:r>
              <w:rPr>
                <w:sz w:val="20"/>
              </w:rPr>
              <w:t>College savings plan</w:t>
            </w:r>
          </w:p>
        </w:tc>
        <w:tc>
          <w:tcPr>
            <w:tcW w:w="1285" w:type="dxa"/>
          </w:tcPr>
          <w:p w14:paraId="62731503" w14:textId="77777777" w:rsidR="0046798B" w:rsidRDefault="0046798B">
            <w:pPr>
              <w:pStyle w:val="TableParagraph"/>
            </w:pPr>
          </w:p>
          <w:p w14:paraId="73FA0C0C" w14:textId="77777777" w:rsidR="0046798B" w:rsidRDefault="0046798B">
            <w:pPr>
              <w:pStyle w:val="TableParagraph"/>
            </w:pPr>
          </w:p>
          <w:p w14:paraId="5AAD2124" w14:textId="77777777" w:rsidR="0046798B" w:rsidRDefault="0046798B">
            <w:pPr>
              <w:pStyle w:val="TableParagraph"/>
              <w:spacing w:before="9"/>
              <w:rPr>
                <w:sz w:val="29"/>
              </w:rPr>
            </w:pPr>
          </w:p>
          <w:p w14:paraId="3EDD5ACA" w14:textId="77777777" w:rsidR="0046798B" w:rsidRDefault="00903B5C">
            <w:pPr>
              <w:pStyle w:val="TableParagraph"/>
              <w:ind w:left="114"/>
              <w:rPr>
                <w:sz w:val="20"/>
              </w:rPr>
            </w:pPr>
            <w:r>
              <w:rPr>
                <w:sz w:val="20"/>
              </w:rPr>
              <w:t>1988–2002</w:t>
            </w:r>
          </w:p>
        </w:tc>
        <w:tc>
          <w:tcPr>
            <w:tcW w:w="3421" w:type="dxa"/>
          </w:tcPr>
          <w:p w14:paraId="4CF0C2C3" w14:textId="77777777" w:rsidR="0046798B" w:rsidRDefault="0046798B">
            <w:pPr>
              <w:pStyle w:val="TableParagraph"/>
            </w:pPr>
          </w:p>
          <w:p w14:paraId="4B6C8257" w14:textId="77777777" w:rsidR="0046798B" w:rsidRDefault="0046798B">
            <w:pPr>
              <w:pStyle w:val="TableParagraph"/>
            </w:pPr>
          </w:p>
          <w:p w14:paraId="1CD112BB" w14:textId="77777777" w:rsidR="0046798B" w:rsidRDefault="0046798B">
            <w:pPr>
              <w:pStyle w:val="TableParagraph"/>
              <w:spacing w:before="9"/>
              <w:rPr>
                <w:sz w:val="19"/>
              </w:rPr>
            </w:pPr>
          </w:p>
          <w:p w14:paraId="1BC86295" w14:textId="77777777" w:rsidR="0046798B" w:rsidRDefault="00903B5C">
            <w:pPr>
              <w:pStyle w:val="TableParagraph"/>
              <w:ind w:left="114" w:right="1475"/>
              <w:rPr>
                <w:sz w:val="20"/>
              </w:rPr>
            </w:pPr>
            <w:r>
              <w:rPr>
                <w:sz w:val="20"/>
              </w:rPr>
              <w:t>0 = policy not adopted 1 = policy adopted</w:t>
            </w:r>
          </w:p>
        </w:tc>
        <w:tc>
          <w:tcPr>
            <w:tcW w:w="6482" w:type="dxa"/>
          </w:tcPr>
          <w:p w14:paraId="717AAF04" w14:textId="77777777" w:rsidR="0046798B" w:rsidRDefault="00903B5C">
            <w:pPr>
              <w:pStyle w:val="TableParagraph"/>
              <w:spacing w:before="43"/>
              <w:ind w:left="114"/>
              <w:rPr>
                <w:i/>
                <w:sz w:val="20"/>
              </w:rPr>
            </w:pPr>
            <w:r>
              <w:rPr>
                <w:sz w:val="20"/>
              </w:rPr>
              <w:t xml:space="preserve">Lacy, T. Austin, and David A. Tandberg. “Rethinking policy diffusion: The interstate spread of ‘finance innovations’.” </w:t>
            </w:r>
            <w:r>
              <w:rPr>
                <w:i/>
                <w:sz w:val="20"/>
              </w:rPr>
              <w:t>Research in Higher</w:t>
            </w:r>
          </w:p>
          <w:p w14:paraId="0A9911D6" w14:textId="77777777" w:rsidR="0046798B" w:rsidRDefault="00903B5C">
            <w:pPr>
              <w:pStyle w:val="TableParagraph"/>
              <w:ind w:left="114"/>
              <w:rPr>
                <w:sz w:val="20"/>
              </w:rPr>
            </w:pPr>
            <w:r>
              <w:rPr>
                <w:i/>
                <w:sz w:val="20"/>
              </w:rPr>
              <w:t xml:space="preserve">Education </w:t>
            </w:r>
            <w:r>
              <w:rPr>
                <w:sz w:val="20"/>
              </w:rPr>
              <w:t>55.7 (2014): 627–649.</w:t>
            </w:r>
          </w:p>
          <w:p w14:paraId="2D4DE914" w14:textId="77777777" w:rsidR="0046798B" w:rsidRDefault="0046798B">
            <w:pPr>
              <w:pStyle w:val="TableParagraph"/>
              <w:rPr>
                <w:sz w:val="20"/>
              </w:rPr>
            </w:pPr>
          </w:p>
          <w:p w14:paraId="20F36FCC"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43D1A71D" w14:textId="77777777">
        <w:trPr>
          <w:trHeight w:val="1925"/>
        </w:trPr>
        <w:tc>
          <w:tcPr>
            <w:tcW w:w="1711" w:type="dxa"/>
          </w:tcPr>
          <w:p w14:paraId="4FB87DF5" w14:textId="77777777" w:rsidR="0046798B" w:rsidRDefault="0046798B">
            <w:pPr>
              <w:pStyle w:val="TableParagraph"/>
            </w:pPr>
          </w:p>
          <w:p w14:paraId="73C4F365" w14:textId="77777777" w:rsidR="0046798B" w:rsidRDefault="0046798B">
            <w:pPr>
              <w:pStyle w:val="TableParagraph"/>
            </w:pPr>
          </w:p>
          <w:p w14:paraId="65BA7043" w14:textId="77777777" w:rsidR="0046798B" w:rsidRDefault="0046798B">
            <w:pPr>
              <w:pStyle w:val="TableParagraph"/>
              <w:spacing w:before="4"/>
              <w:rPr>
                <w:sz w:val="29"/>
              </w:rPr>
            </w:pPr>
          </w:p>
          <w:p w14:paraId="3C719CDF" w14:textId="77777777" w:rsidR="0046798B" w:rsidRDefault="00903B5C">
            <w:pPr>
              <w:pStyle w:val="TableParagraph"/>
              <w:ind w:left="115"/>
              <w:rPr>
                <w:b/>
                <w:sz w:val="20"/>
              </w:rPr>
            </w:pPr>
            <w:r>
              <w:rPr>
                <w:b/>
                <w:sz w:val="20"/>
              </w:rPr>
              <w:t>eminentscholar</w:t>
            </w:r>
          </w:p>
        </w:tc>
        <w:tc>
          <w:tcPr>
            <w:tcW w:w="1596" w:type="dxa"/>
          </w:tcPr>
          <w:p w14:paraId="6D9BEB61" w14:textId="77777777" w:rsidR="0046798B" w:rsidRDefault="0046798B">
            <w:pPr>
              <w:pStyle w:val="TableParagraph"/>
            </w:pPr>
          </w:p>
          <w:p w14:paraId="11A1D650" w14:textId="77777777" w:rsidR="0046798B" w:rsidRDefault="0046798B">
            <w:pPr>
              <w:pStyle w:val="TableParagraph"/>
            </w:pPr>
          </w:p>
          <w:p w14:paraId="08A76819" w14:textId="77777777" w:rsidR="0046798B" w:rsidRDefault="0046798B">
            <w:pPr>
              <w:pStyle w:val="TableParagraph"/>
              <w:spacing w:before="4"/>
              <w:rPr>
                <w:sz w:val="19"/>
              </w:rPr>
            </w:pPr>
          </w:p>
          <w:p w14:paraId="195140EE" w14:textId="77777777" w:rsidR="0046798B" w:rsidRDefault="00903B5C">
            <w:pPr>
              <w:pStyle w:val="TableParagraph"/>
              <w:ind w:left="114" w:right="146"/>
              <w:rPr>
                <w:sz w:val="20"/>
              </w:rPr>
            </w:pPr>
            <w:r>
              <w:rPr>
                <w:sz w:val="20"/>
              </w:rPr>
              <w:t>State eminent scholar program</w:t>
            </w:r>
          </w:p>
        </w:tc>
        <w:tc>
          <w:tcPr>
            <w:tcW w:w="1285" w:type="dxa"/>
          </w:tcPr>
          <w:p w14:paraId="5D34A6A0" w14:textId="77777777" w:rsidR="0046798B" w:rsidRDefault="0046798B">
            <w:pPr>
              <w:pStyle w:val="TableParagraph"/>
            </w:pPr>
          </w:p>
          <w:p w14:paraId="47E942DB" w14:textId="77777777" w:rsidR="0046798B" w:rsidRDefault="0046798B">
            <w:pPr>
              <w:pStyle w:val="TableParagraph"/>
            </w:pPr>
          </w:p>
          <w:p w14:paraId="5AB6B9A0" w14:textId="77777777" w:rsidR="0046798B" w:rsidRDefault="0046798B">
            <w:pPr>
              <w:pStyle w:val="TableParagraph"/>
              <w:spacing w:before="4"/>
              <w:rPr>
                <w:sz w:val="29"/>
              </w:rPr>
            </w:pPr>
          </w:p>
          <w:p w14:paraId="2EFC28CF" w14:textId="77777777" w:rsidR="0046798B" w:rsidRDefault="00903B5C">
            <w:pPr>
              <w:pStyle w:val="TableParagraph"/>
              <w:ind w:left="114"/>
              <w:rPr>
                <w:sz w:val="20"/>
              </w:rPr>
            </w:pPr>
            <w:r>
              <w:rPr>
                <w:sz w:val="20"/>
              </w:rPr>
              <w:t>1983–2007</w:t>
            </w:r>
          </w:p>
        </w:tc>
        <w:tc>
          <w:tcPr>
            <w:tcW w:w="3421" w:type="dxa"/>
          </w:tcPr>
          <w:p w14:paraId="1AB66671" w14:textId="77777777" w:rsidR="0046798B" w:rsidRDefault="0046798B">
            <w:pPr>
              <w:pStyle w:val="TableParagraph"/>
            </w:pPr>
          </w:p>
          <w:p w14:paraId="6284BD56" w14:textId="77777777" w:rsidR="0046798B" w:rsidRDefault="0046798B">
            <w:pPr>
              <w:pStyle w:val="TableParagraph"/>
            </w:pPr>
          </w:p>
          <w:p w14:paraId="1960869A" w14:textId="77777777" w:rsidR="0046798B" w:rsidRDefault="0046798B">
            <w:pPr>
              <w:pStyle w:val="TableParagraph"/>
              <w:spacing w:before="4"/>
              <w:rPr>
                <w:sz w:val="19"/>
              </w:rPr>
            </w:pPr>
          </w:p>
          <w:p w14:paraId="27188D2D" w14:textId="77777777" w:rsidR="0046798B" w:rsidRDefault="00903B5C">
            <w:pPr>
              <w:pStyle w:val="TableParagraph"/>
              <w:ind w:left="114" w:right="1475"/>
              <w:rPr>
                <w:sz w:val="20"/>
              </w:rPr>
            </w:pPr>
            <w:r>
              <w:rPr>
                <w:sz w:val="20"/>
              </w:rPr>
              <w:t>0 = policy not adopted 1 = policy adopted</w:t>
            </w:r>
          </w:p>
        </w:tc>
        <w:tc>
          <w:tcPr>
            <w:tcW w:w="6482" w:type="dxa"/>
          </w:tcPr>
          <w:p w14:paraId="73ECB8E8" w14:textId="77777777" w:rsidR="0046798B" w:rsidRDefault="00903B5C">
            <w:pPr>
              <w:pStyle w:val="TableParagraph"/>
              <w:spacing w:before="38"/>
              <w:ind w:left="114"/>
              <w:rPr>
                <w:i/>
                <w:sz w:val="20"/>
              </w:rPr>
            </w:pPr>
            <w:r>
              <w:rPr>
                <w:sz w:val="20"/>
              </w:rPr>
              <w:t xml:space="preserve">Lacy, T. Austin, and David A. Tandberg. “Rethinking policy diffusion: The interstate spread of ‘finance innovations’.” </w:t>
            </w:r>
            <w:r>
              <w:rPr>
                <w:i/>
                <w:sz w:val="20"/>
              </w:rPr>
              <w:t>Research in Higher</w:t>
            </w:r>
          </w:p>
          <w:p w14:paraId="5B7E9A02" w14:textId="77777777" w:rsidR="0046798B" w:rsidRDefault="00903B5C">
            <w:pPr>
              <w:pStyle w:val="TableParagraph"/>
              <w:ind w:left="114"/>
              <w:rPr>
                <w:sz w:val="20"/>
              </w:rPr>
            </w:pPr>
            <w:r>
              <w:rPr>
                <w:i/>
                <w:sz w:val="20"/>
              </w:rPr>
              <w:t xml:space="preserve">Education </w:t>
            </w:r>
            <w:r>
              <w:rPr>
                <w:sz w:val="20"/>
              </w:rPr>
              <w:t>55.7 (2014): 627–649.</w:t>
            </w:r>
          </w:p>
          <w:p w14:paraId="22E73723" w14:textId="77777777" w:rsidR="0046798B" w:rsidRDefault="0046798B">
            <w:pPr>
              <w:pStyle w:val="TableParagraph"/>
              <w:rPr>
                <w:sz w:val="20"/>
              </w:rPr>
            </w:pPr>
          </w:p>
          <w:p w14:paraId="1B3B0F96"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20C2881" w14:textId="77777777">
        <w:trPr>
          <w:trHeight w:val="1465"/>
        </w:trPr>
        <w:tc>
          <w:tcPr>
            <w:tcW w:w="1711" w:type="dxa"/>
          </w:tcPr>
          <w:p w14:paraId="5D04D129" w14:textId="77777777" w:rsidR="0046798B" w:rsidRDefault="0046798B">
            <w:pPr>
              <w:pStyle w:val="TableParagraph"/>
            </w:pPr>
          </w:p>
          <w:p w14:paraId="1CD8F2A1" w14:textId="77777777" w:rsidR="0046798B" w:rsidRDefault="0046798B">
            <w:pPr>
              <w:pStyle w:val="TableParagraph"/>
              <w:spacing w:before="4"/>
              <w:rPr>
                <w:sz w:val="21"/>
              </w:rPr>
            </w:pPr>
          </w:p>
          <w:p w14:paraId="49E0D112" w14:textId="77777777" w:rsidR="0046798B" w:rsidRDefault="00903B5C">
            <w:pPr>
              <w:pStyle w:val="TableParagraph"/>
              <w:ind w:left="115" w:right="144"/>
              <w:rPr>
                <w:b/>
                <w:sz w:val="20"/>
              </w:rPr>
            </w:pPr>
            <w:r>
              <w:rPr>
                <w:b/>
                <w:sz w:val="20"/>
              </w:rPr>
              <w:t>governance_refo rm</w:t>
            </w:r>
          </w:p>
        </w:tc>
        <w:tc>
          <w:tcPr>
            <w:tcW w:w="1596" w:type="dxa"/>
          </w:tcPr>
          <w:p w14:paraId="50C17D6C" w14:textId="77777777" w:rsidR="0046798B" w:rsidRDefault="00903B5C">
            <w:pPr>
              <w:pStyle w:val="TableParagraph"/>
              <w:spacing w:before="153"/>
              <w:ind w:left="114" w:right="146"/>
              <w:rPr>
                <w:sz w:val="20"/>
              </w:rPr>
            </w:pPr>
            <w:r>
              <w:rPr>
                <w:sz w:val="20"/>
              </w:rPr>
              <w:t>Restructuring of state higher education governance structures</w:t>
            </w:r>
          </w:p>
        </w:tc>
        <w:tc>
          <w:tcPr>
            <w:tcW w:w="1285" w:type="dxa"/>
          </w:tcPr>
          <w:p w14:paraId="29F588EE" w14:textId="77777777" w:rsidR="0046798B" w:rsidRDefault="0046798B">
            <w:pPr>
              <w:pStyle w:val="TableParagraph"/>
            </w:pPr>
          </w:p>
          <w:p w14:paraId="4B92CD21" w14:textId="77777777" w:rsidR="0046798B" w:rsidRDefault="0046798B">
            <w:pPr>
              <w:pStyle w:val="TableParagraph"/>
              <w:spacing w:before="4"/>
              <w:rPr>
                <w:sz w:val="31"/>
              </w:rPr>
            </w:pPr>
          </w:p>
          <w:p w14:paraId="59D44D71" w14:textId="77777777" w:rsidR="0046798B" w:rsidRDefault="00903B5C">
            <w:pPr>
              <w:pStyle w:val="TableParagraph"/>
              <w:ind w:left="114"/>
              <w:rPr>
                <w:sz w:val="20"/>
              </w:rPr>
            </w:pPr>
            <w:r>
              <w:rPr>
                <w:sz w:val="20"/>
              </w:rPr>
              <w:t>1985–2001</w:t>
            </w:r>
          </w:p>
        </w:tc>
        <w:tc>
          <w:tcPr>
            <w:tcW w:w="3421" w:type="dxa"/>
          </w:tcPr>
          <w:p w14:paraId="40ABDBD1" w14:textId="77777777" w:rsidR="0046798B" w:rsidRDefault="0046798B">
            <w:pPr>
              <w:pStyle w:val="TableParagraph"/>
            </w:pPr>
          </w:p>
          <w:p w14:paraId="1C1CACC1" w14:textId="77777777" w:rsidR="0046798B" w:rsidRDefault="0046798B">
            <w:pPr>
              <w:pStyle w:val="TableParagraph"/>
              <w:spacing w:before="4"/>
              <w:rPr>
                <w:sz w:val="21"/>
              </w:rPr>
            </w:pPr>
          </w:p>
          <w:p w14:paraId="131C3B10" w14:textId="77777777" w:rsidR="0046798B" w:rsidRDefault="00903B5C">
            <w:pPr>
              <w:pStyle w:val="TableParagraph"/>
              <w:ind w:left="114" w:right="1475"/>
              <w:rPr>
                <w:sz w:val="20"/>
              </w:rPr>
            </w:pPr>
            <w:r>
              <w:rPr>
                <w:sz w:val="20"/>
              </w:rPr>
              <w:t>0 = policy not adopted 1 = policy adopted</w:t>
            </w:r>
          </w:p>
        </w:tc>
        <w:tc>
          <w:tcPr>
            <w:tcW w:w="6482" w:type="dxa"/>
          </w:tcPr>
          <w:p w14:paraId="3D128B36" w14:textId="77777777" w:rsidR="0046798B" w:rsidRDefault="00903B5C">
            <w:pPr>
              <w:pStyle w:val="TableParagraph"/>
              <w:spacing w:before="38"/>
              <w:ind w:left="114"/>
              <w:rPr>
                <w:i/>
                <w:sz w:val="20"/>
              </w:rPr>
            </w:pPr>
            <w:r>
              <w:rPr>
                <w:sz w:val="20"/>
              </w:rPr>
              <w:t xml:space="preserve">Lacy, T. Austin, and David A. Tandberg. “Rethinking policy diffusion: The interstate spread of ‘finance innovations’.” </w:t>
            </w:r>
            <w:r>
              <w:rPr>
                <w:i/>
                <w:sz w:val="20"/>
              </w:rPr>
              <w:t>Research in Higher</w:t>
            </w:r>
          </w:p>
          <w:p w14:paraId="0B736B84" w14:textId="77777777" w:rsidR="0046798B" w:rsidRDefault="00903B5C">
            <w:pPr>
              <w:pStyle w:val="TableParagraph"/>
              <w:ind w:left="114"/>
              <w:rPr>
                <w:sz w:val="20"/>
              </w:rPr>
            </w:pPr>
            <w:r>
              <w:rPr>
                <w:i/>
                <w:sz w:val="20"/>
              </w:rPr>
              <w:t xml:space="preserve">Education </w:t>
            </w:r>
            <w:r>
              <w:rPr>
                <w:sz w:val="20"/>
              </w:rPr>
              <w:t>55.7 (2014): 627–649.</w:t>
            </w:r>
          </w:p>
          <w:p w14:paraId="65F052B6" w14:textId="77777777" w:rsidR="0046798B" w:rsidRDefault="0046798B">
            <w:pPr>
              <w:pStyle w:val="TableParagraph"/>
              <w:rPr>
                <w:sz w:val="20"/>
              </w:rPr>
            </w:pPr>
          </w:p>
          <w:p w14:paraId="4FA1ECF4"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w:t>
            </w:r>
          </w:p>
        </w:tc>
      </w:tr>
    </w:tbl>
    <w:p w14:paraId="777AAADC" w14:textId="77777777" w:rsidR="0046798B" w:rsidRDefault="0046798B">
      <w:pPr>
        <w:rPr>
          <w:sz w:val="20"/>
        </w:rPr>
        <w:sectPr w:rsidR="0046798B">
          <w:pgSz w:w="15840" w:h="12240" w:orient="landscape"/>
          <w:pgMar w:top="1220" w:right="300" w:bottom="980" w:left="820" w:header="730" w:footer="787" w:gutter="0"/>
          <w:cols w:space="720"/>
        </w:sectPr>
      </w:pPr>
    </w:p>
    <w:p w14:paraId="37F9BD7F"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05E2B88" w14:textId="77777777">
        <w:trPr>
          <w:trHeight w:val="542"/>
        </w:trPr>
        <w:tc>
          <w:tcPr>
            <w:tcW w:w="1711" w:type="dxa"/>
            <w:tcBorders>
              <w:bottom w:val="dotted" w:sz="6" w:space="0" w:color="BEBEBE"/>
            </w:tcBorders>
          </w:tcPr>
          <w:p w14:paraId="02E7897B" w14:textId="77777777" w:rsidR="0046798B" w:rsidRDefault="0046798B">
            <w:pPr>
              <w:pStyle w:val="TableParagraph"/>
              <w:rPr>
                <w:sz w:val="20"/>
              </w:rPr>
            </w:pPr>
          </w:p>
        </w:tc>
        <w:tc>
          <w:tcPr>
            <w:tcW w:w="1596" w:type="dxa"/>
            <w:tcBorders>
              <w:bottom w:val="dotted" w:sz="6" w:space="0" w:color="BEBEBE"/>
            </w:tcBorders>
          </w:tcPr>
          <w:p w14:paraId="0791ED15" w14:textId="77777777" w:rsidR="0046798B" w:rsidRDefault="0046798B">
            <w:pPr>
              <w:pStyle w:val="TableParagraph"/>
              <w:rPr>
                <w:sz w:val="20"/>
              </w:rPr>
            </w:pPr>
          </w:p>
        </w:tc>
        <w:tc>
          <w:tcPr>
            <w:tcW w:w="1285" w:type="dxa"/>
            <w:tcBorders>
              <w:bottom w:val="dotted" w:sz="6" w:space="0" w:color="BEBEBE"/>
            </w:tcBorders>
          </w:tcPr>
          <w:p w14:paraId="0440F75B" w14:textId="77777777" w:rsidR="0046798B" w:rsidRDefault="0046798B">
            <w:pPr>
              <w:pStyle w:val="TableParagraph"/>
              <w:rPr>
                <w:sz w:val="20"/>
              </w:rPr>
            </w:pPr>
          </w:p>
        </w:tc>
        <w:tc>
          <w:tcPr>
            <w:tcW w:w="3421" w:type="dxa"/>
            <w:tcBorders>
              <w:bottom w:val="dotted" w:sz="6" w:space="0" w:color="BEBEBE"/>
            </w:tcBorders>
          </w:tcPr>
          <w:p w14:paraId="4B5E156C" w14:textId="77777777" w:rsidR="0046798B" w:rsidRDefault="0046798B">
            <w:pPr>
              <w:pStyle w:val="TableParagraph"/>
              <w:rPr>
                <w:sz w:val="20"/>
              </w:rPr>
            </w:pPr>
          </w:p>
        </w:tc>
        <w:tc>
          <w:tcPr>
            <w:tcW w:w="6482" w:type="dxa"/>
            <w:tcBorders>
              <w:bottom w:val="dotted" w:sz="6" w:space="0" w:color="BEBEBE"/>
            </w:tcBorders>
          </w:tcPr>
          <w:p w14:paraId="7368A3BB" w14:textId="77777777" w:rsidR="0046798B" w:rsidRDefault="00903B5C">
            <w:pPr>
              <w:pStyle w:val="TableParagraph"/>
              <w:spacing w:before="43"/>
              <w:ind w:left="114" w:right="2377"/>
              <w:rPr>
                <w:sz w:val="20"/>
              </w:rPr>
            </w:pPr>
            <w:r>
              <w:rPr>
                <w:sz w:val="20"/>
              </w:rPr>
              <w:t>Innovation and Diffusion (SPID) Database v1.0”, https://doi.org/10.7910/DVN/CVYSR7</w:t>
            </w:r>
          </w:p>
        </w:tc>
      </w:tr>
      <w:tr w:rsidR="0046798B" w14:paraId="42C3857D" w14:textId="77777777">
        <w:trPr>
          <w:trHeight w:val="1923"/>
        </w:trPr>
        <w:tc>
          <w:tcPr>
            <w:tcW w:w="1711" w:type="dxa"/>
            <w:tcBorders>
              <w:top w:val="dotted" w:sz="6" w:space="0" w:color="BEBEBE"/>
            </w:tcBorders>
          </w:tcPr>
          <w:p w14:paraId="07B8B7C8" w14:textId="77777777" w:rsidR="0046798B" w:rsidRDefault="0046798B">
            <w:pPr>
              <w:pStyle w:val="TableParagraph"/>
            </w:pPr>
          </w:p>
          <w:p w14:paraId="546F300C" w14:textId="77777777" w:rsidR="0046798B" w:rsidRDefault="0046798B">
            <w:pPr>
              <w:pStyle w:val="TableParagraph"/>
            </w:pPr>
          </w:p>
          <w:p w14:paraId="489325A2" w14:textId="77777777" w:rsidR="0046798B" w:rsidRDefault="0046798B">
            <w:pPr>
              <w:pStyle w:val="TableParagraph"/>
              <w:spacing w:before="6"/>
              <w:rPr>
                <w:sz w:val="29"/>
              </w:rPr>
            </w:pPr>
          </w:p>
          <w:p w14:paraId="5017998F" w14:textId="77777777" w:rsidR="0046798B" w:rsidRDefault="00903B5C">
            <w:pPr>
              <w:pStyle w:val="TableParagraph"/>
              <w:ind w:left="115"/>
              <w:rPr>
                <w:b/>
                <w:sz w:val="20"/>
              </w:rPr>
            </w:pPr>
            <w:r>
              <w:rPr>
                <w:b/>
                <w:sz w:val="20"/>
              </w:rPr>
              <w:t>meritaid</w:t>
            </w:r>
          </w:p>
        </w:tc>
        <w:tc>
          <w:tcPr>
            <w:tcW w:w="1596" w:type="dxa"/>
            <w:tcBorders>
              <w:top w:val="dotted" w:sz="6" w:space="0" w:color="BEBEBE"/>
            </w:tcBorders>
          </w:tcPr>
          <w:p w14:paraId="346AD765" w14:textId="77777777" w:rsidR="0046798B" w:rsidRDefault="0046798B">
            <w:pPr>
              <w:pStyle w:val="TableParagraph"/>
            </w:pPr>
          </w:p>
          <w:p w14:paraId="01D60C5F" w14:textId="77777777" w:rsidR="0046798B" w:rsidRDefault="0046798B">
            <w:pPr>
              <w:pStyle w:val="TableParagraph"/>
            </w:pPr>
          </w:p>
          <w:p w14:paraId="0BA5415A" w14:textId="77777777" w:rsidR="0046798B" w:rsidRDefault="0046798B">
            <w:pPr>
              <w:pStyle w:val="TableParagraph"/>
              <w:spacing w:before="6"/>
              <w:rPr>
                <w:sz w:val="19"/>
              </w:rPr>
            </w:pPr>
          </w:p>
          <w:p w14:paraId="5DC8CCF2" w14:textId="77777777" w:rsidR="0046798B" w:rsidRDefault="00903B5C">
            <w:pPr>
              <w:pStyle w:val="TableParagraph"/>
              <w:ind w:left="114" w:right="191"/>
              <w:rPr>
                <w:sz w:val="20"/>
              </w:rPr>
            </w:pPr>
            <w:r>
              <w:rPr>
                <w:sz w:val="20"/>
              </w:rPr>
              <w:t>Merit-based aid program</w:t>
            </w:r>
          </w:p>
        </w:tc>
        <w:tc>
          <w:tcPr>
            <w:tcW w:w="1285" w:type="dxa"/>
            <w:tcBorders>
              <w:top w:val="dotted" w:sz="6" w:space="0" w:color="BEBEBE"/>
            </w:tcBorders>
          </w:tcPr>
          <w:p w14:paraId="7B6B5A09" w14:textId="77777777" w:rsidR="0046798B" w:rsidRDefault="0046798B">
            <w:pPr>
              <w:pStyle w:val="TableParagraph"/>
            </w:pPr>
          </w:p>
          <w:p w14:paraId="6069FF08" w14:textId="77777777" w:rsidR="0046798B" w:rsidRDefault="0046798B">
            <w:pPr>
              <w:pStyle w:val="TableParagraph"/>
            </w:pPr>
          </w:p>
          <w:p w14:paraId="5D69C82C" w14:textId="77777777" w:rsidR="0046798B" w:rsidRDefault="0046798B">
            <w:pPr>
              <w:pStyle w:val="TableParagraph"/>
              <w:spacing w:before="6"/>
              <w:rPr>
                <w:sz w:val="29"/>
              </w:rPr>
            </w:pPr>
          </w:p>
          <w:p w14:paraId="3E3119E6" w14:textId="77777777" w:rsidR="0046798B" w:rsidRDefault="00903B5C">
            <w:pPr>
              <w:pStyle w:val="TableParagraph"/>
              <w:ind w:left="114"/>
              <w:rPr>
                <w:sz w:val="20"/>
              </w:rPr>
            </w:pPr>
            <w:r>
              <w:rPr>
                <w:sz w:val="20"/>
              </w:rPr>
              <w:t>1993–2005</w:t>
            </w:r>
          </w:p>
        </w:tc>
        <w:tc>
          <w:tcPr>
            <w:tcW w:w="3421" w:type="dxa"/>
            <w:tcBorders>
              <w:top w:val="dotted" w:sz="6" w:space="0" w:color="BEBEBE"/>
            </w:tcBorders>
          </w:tcPr>
          <w:p w14:paraId="7CBB6531" w14:textId="77777777" w:rsidR="0046798B" w:rsidRDefault="0046798B">
            <w:pPr>
              <w:pStyle w:val="TableParagraph"/>
            </w:pPr>
          </w:p>
          <w:p w14:paraId="3C26046F" w14:textId="77777777" w:rsidR="0046798B" w:rsidRDefault="0046798B">
            <w:pPr>
              <w:pStyle w:val="TableParagraph"/>
            </w:pPr>
          </w:p>
          <w:p w14:paraId="1984E514" w14:textId="77777777" w:rsidR="0046798B" w:rsidRDefault="0046798B">
            <w:pPr>
              <w:pStyle w:val="TableParagraph"/>
              <w:spacing w:before="6"/>
              <w:rPr>
                <w:sz w:val="19"/>
              </w:rPr>
            </w:pPr>
          </w:p>
          <w:p w14:paraId="1A54E013" w14:textId="77777777" w:rsidR="0046798B" w:rsidRDefault="00903B5C">
            <w:pPr>
              <w:pStyle w:val="TableParagraph"/>
              <w:ind w:left="114" w:right="1475"/>
              <w:rPr>
                <w:sz w:val="20"/>
              </w:rPr>
            </w:pPr>
            <w:r>
              <w:rPr>
                <w:sz w:val="20"/>
              </w:rPr>
              <w:t>0 = policy not adopted 1 = policy adopted</w:t>
            </w:r>
          </w:p>
        </w:tc>
        <w:tc>
          <w:tcPr>
            <w:tcW w:w="6482" w:type="dxa"/>
            <w:tcBorders>
              <w:top w:val="dotted" w:sz="6" w:space="0" w:color="BEBEBE"/>
            </w:tcBorders>
          </w:tcPr>
          <w:p w14:paraId="4524E808" w14:textId="77777777" w:rsidR="0046798B" w:rsidRDefault="00903B5C">
            <w:pPr>
              <w:pStyle w:val="TableParagraph"/>
              <w:spacing w:before="40"/>
              <w:ind w:left="114"/>
              <w:rPr>
                <w:i/>
                <w:sz w:val="20"/>
              </w:rPr>
            </w:pPr>
            <w:r>
              <w:rPr>
                <w:sz w:val="20"/>
              </w:rPr>
              <w:t xml:space="preserve">Lacy, T. Austin, and David A. Tandberg. “Rethinking policy diffusion: The interstate spread of ‘finance innovations’.” </w:t>
            </w:r>
            <w:r>
              <w:rPr>
                <w:i/>
                <w:sz w:val="20"/>
              </w:rPr>
              <w:t>Research in Higher</w:t>
            </w:r>
          </w:p>
          <w:p w14:paraId="33E65E69" w14:textId="77777777" w:rsidR="0046798B" w:rsidRDefault="00903B5C">
            <w:pPr>
              <w:pStyle w:val="TableParagraph"/>
              <w:spacing w:before="1"/>
              <w:ind w:left="114"/>
              <w:rPr>
                <w:sz w:val="20"/>
              </w:rPr>
            </w:pPr>
            <w:r>
              <w:rPr>
                <w:i/>
                <w:sz w:val="20"/>
              </w:rPr>
              <w:t xml:space="preserve">Education </w:t>
            </w:r>
            <w:r>
              <w:rPr>
                <w:sz w:val="20"/>
              </w:rPr>
              <w:t>55.7 (2014): 627–649.</w:t>
            </w:r>
          </w:p>
          <w:p w14:paraId="27C0C461" w14:textId="77777777" w:rsidR="0046798B" w:rsidRDefault="0046798B">
            <w:pPr>
              <w:pStyle w:val="TableParagraph"/>
              <w:rPr>
                <w:sz w:val="20"/>
              </w:rPr>
            </w:pPr>
          </w:p>
          <w:p w14:paraId="293A75BC"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63D533F7" w14:textId="77777777">
        <w:trPr>
          <w:trHeight w:val="550"/>
        </w:trPr>
        <w:tc>
          <w:tcPr>
            <w:tcW w:w="1711" w:type="dxa"/>
          </w:tcPr>
          <w:p w14:paraId="61E4DE3B" w14:textId="77777777" w:rsidR="0046798B" w:rsidRDefault="00903B5C">
            <w:pPr>
              <w:pStyle w:val="TableParagraph"/>
              <w:spacing w:before="158"/>
              <w:ind w:left="115"/>
              <w:rPr>
                <w:b/>
                <w:sz w:val="20"/>
              </w:rPr>
            </w:pPr>
            <w:r>
              <w:rPr>
                <w:b/>
                <w:sz w:val="20"/>
              </w:rPr>
              <w:t>arts</w:t>
            </w:r>
          </w:p>
        </w:tc>
        <w:tc>
          <w:tcPr>
            <w:tcW w:w="1596" w:type="dxa"/>
          </w:tcPr>
          <w:p w14:paraId="242E64C3" w14:textId="77777777" w:rsidR="0046798B" w:rsidRDefault="00903B5C">
            <w:pPr>
              <w:pStyle w:val="TableParagraph"/>
              <w:spacing w:before="43"/>
              <w:ind w:left="114" w:right="274"/>
              <w:rPr>
                <w:sz w:val="20"/>
              </w:rPr>
            </w:pPr>
            <w:r>
              <w:rPr>
                <w:sz w:val="20"/>
              </w:rPr>
              <w:t>Council on the arts</w:t>
            </w:r>
          </w:p>
        </w:tc>
        <w:tc>
          <w:tcPr>
            <w:tcW w:w="1285" w:type="dxa"/>
          </w:tcPr>
          <w:p w14:paraId="22DC52D3" w14:textId="77777777" w:rsidR="0046798B" w:rsidRDefault="00903B5C">
            <w:pPr>
              <w:pStyle w:val="TableParagraph"/>
              <w:spacing w:before="158"/>
              <w:ind w:left="114"/>
              <w:rPr>
                <w:sz w:val="20"/>
              </w:rPr>
            </w:pPr>
            <w:r>
              <w:rPr>
                <w:sz w:val="20"/>
              </w:rPr>
              <w:t>1936–1980</w:t>
            </w:r>
          </w:p>
        </w:tc>
        <w:tc>
          <w:tcPr>
            <w:tcW w:w="3421" w:type="dxa"/>
          </w:tcPr>
          <w:p w14:paraId="79623527" w14:textId="77777777" w:rsidR="0046798B" w:rsidRDefault="00903B5C">
            <w:pPr>
              <w:pStyle w:val="TableParagraph"/>
              <w:spacing w:before="43"/>
              <w:ind w:left="114"/>
              <w:rPr>
                <w:sz w:val="20"/>
              </w:rPr>
            </w:pPr>
            <w:r>
              <w:rPr>
                <w:sz w:val="20"/>
              </w:rPr>
              <w:t>Did state adopt a council on the arts? (0</w:t>
            </w:r>
          </w:p>
          <w:p w14:paraId="479E0477" w14:textId="77777777" w:rsidR="0046798B" w:rsidRDefault="00903B5C">
            <w:pPr>
              <w:pStyle w:val="TableParagraph"/>
              <w:ind w:left="114"/>
              <w:rPr>
                <w:sz w:val="20"/>
              </w:rPr>
            </w:pPr>
            <w:r>
              <w:rPr>
                <w:sz w:val="20"/>
              </w:rPr>
              <w:t>= no, 1 = yes)</w:t>
            </w:r>
          </w:p>
        </w:tc>
        <w:tc>
          <w:tcPr>
            <w:tcW w:w="6482" w:type="dxa"/>
          </w:tcPr>
          <w:p w14:paraId="141E2745" w14:textId="77777777" w:rsidR="0046798B" w:rsidRDefault="00903B5C">
            <w:pPr>
              <w:pStyle w:val="TableParagraph"/>
              <w:spacing w:before="4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23A96F94" w14:textId="77777777">
        <w:trPr>
          <w:trHeight w:val="545"/>
        </w:trPr>
        <w:tc>
          <w:tcPr>
            <w:tcW w:w="1711" w:type="dxa"/>
          </w:tcPr>
          <w:p w14:paraId="053789E3" w14:textId="77777777" w:rsidR="0046798B" w:rsidRDefault="00903B5C">
            <w:pPr>
              <w:pStyle w:val="TableParagraph"/>
              <w:spacing w:before="153"/>
              <w:ind w:left="115"/>
              <w:rPr>
                <w:b/>
                <w:sz w:val="20"/>
              </w:rPr>
            </w:pPr>
            <w:r>
              <w:rPr>
                <w:b/>
                <w:sz w:val="20"/>
              </w:rPr>
              <w:t>chartersch</w:t>
            </w:r>
          </w:p>
        </w:tc>
        <w:tc>
          <w:tcPr>
            <w:tcW w:w="1596" w:type="dxa"/>
          </w:tcPr>
          <w:p w14:paraId="3EB1864F" w14:textId="77777777" w:rsidR="0046798B" w:rsidRDefault="00903B5C">
            <w:pPr>
              <w:pStyle w:val="TableParagraph"/>
              <w:spacing w:before="153"/>
              <w:ind w:left="114"/>
              <w:rPr>
                <w:sz w:val="20"/>
              </w:rPr>
            </w:pPr>
            <w:r>
              <w:rPr>
                <w:sz w:val="20"/>
              </w:rPr>
              <w:t>Charter schools</w:t>
            </w:r>
          </w:p>
        </w:tc>
        <w:tc>
          <w:tcPr>
            <w:tcW w:w="1285" w:type="dxa"/>
          </w:tcPr>
          <w:p w14:paraId="3B7A4B0F" w14:textId="77777777" w:rsidR="0046798B" w:rsidRDefault="00903B5C">
            <w:pPr>
              <w:pStyle w:val="TableParagraph"/>
              <w:spacing w:before="153"/>
              <w:ind w:left="114"/>
              <w:rPr>
                <w:sz w:val="20"/>
              </w:rPr>
            </w:pPr>
            <w:r>
              <w:rPr>
                <w:sz w:val="20"/>
              </w:rPr>
              <w:t>1991–1996</w:t>
            </w:r>
          </w:p>
        </w:tc>
        <w:tc>
          <w:tcPr>
            <w:tcW w:w="3421" w:type="dxa"/>
          </w:tcPr>
          <w:p w14:paraId="5D9E476E" w14:textId="77777777" w:rsidR="0046798B" w:rsidRDefault="00903B5C">
            <w:pPr>
              <w:pStyle w:val="TableParagraph"/>
              <w:spacing w:before="38"/>
              <w:ind w:left="114" w:right="342"/>
              <w:rPr>
                <w:sz w:val="20"/>
              </w:rPr>
            </w:pPr>
            <w:r>
              <w:rPr>
                <w:sz w:val="20"/>
              </w:rPr>
              <w:t>Did state adopt charter schools? (0 = no, 1 = yes)</w:t>
            </w:r>
          </w:p>
        </w:tc>
        <w:tc>
          <w:tcPr>
            <w:tcW w:w="6482" w:type="dxa"/>
          </w:tcPr>
          <w:p w14:paraId="1C271DA8" w14:textId="77777777" w:rsidR="0046798B" w:rsidRDefault="00903B5C">
            <w:pPr>
              <w:pStyle w:val="TableParagraph"/>
              <w:spacing w:before="3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6E38448C" w14:textId="77777777">
        <w:trPr>
          <w:trHeight w:val="775"/>
        </w:trPr>
        <w:tc>
          <w:tcPr>
            <w:tcW w:w="1711" w:type="dxa"/>
          </w:tcPr>
          <w:p w14:paraId="362A476D" w14:textId="77777777" w:rsidR="0046798B" w:rsidRDefault="0046798B">
            <w:pPr>
              <w:pStyle w:val="TableParagraph"/>
              <w:spacing w:before="3"/>
              <w:rPr>
                <w:sz w:val="23"/>
              </w:rPr>
            </w:pPr>
          </w:p>
          <w:p w14:paraId="0F02DF17" w14:textId="77777777" w:rsidR="0046798B" w:rsidRDefault="00903B5C">
            <w:pPr>
              <w:pStyle w:val="TableParagraph"/>
              <w:spacing w:before="1"/>
              <w:ind w:left="115"/>
              <w:rPr>
                <w:b/>
                <w:sz w:val="20"/>
              </w:rPr>
            </w:pPr>
            <w:r>
              <w:rPr>
                <w:b/>
                <w:sz w:val="20"/>
              </w:rPr>
              <w:t>education</w:t>
            </w:r>
          </w:p>
        </w:tc>
        <w:tc>
          <w:tcPr>
            <w:tcW w:w="1596" w:type="dxa"/>
          </w:tcPr>
          <w:p w14:paraId="7C353B8F" w14:textId="77777777" w:rsidR="0046798B" w:rsidRDefault="00903B5C">
            <w:pPr>
              <w:pStyle w:val="TableParagraph"/>
              <w:spacing w:before="38"/>
              <w:ind w:left="114" w:right="468"/>
              <w:rPr>
                <w:sz w:val="20"/>
              </w:rPr>
            </w:pPr>
            <w:r>
              <w:rPr>
                <w:sz w:val="20"/>
              </w:rPr>
              <w:t>Strategic planning for education</w:t>
            </w:r>
          </w:p>
        </w:tc>
        <w:tc>
          <w:tcPr>
            <w:tcW w:w="1285" w:type="dxa"/>
          </w:tcPr>
          <w:p w14:paraId="213AE4B9" w14:textId="77777777" w:rsidR="0046798B" w:rsidRDefault="0046798B">
            <w:pPr>
              <w:pStyle w:val="TableParagraph"/>
              <w:spacing w:before="3"/>
              <w:rPr>
                <w:sz w:val="23"/>
              </w:rPr>
            </w:pPr>
          </w:p>
          <w:p w14:paraId="6B6545C7" w14:textId="77777777" w:rsidR="0046798B" w:rsidRDefault="00903B5C">
            <w:pPr>
              <w:pStyle w:val="TableParagraph"/>
              <w:spacing w:before="1"/>
              <w:ind w:left="114"/>
              <w:rPr>
                <w:sz w:val="20"/>
              </w:rPr>
            </w:pPr>
            <w:r>
              <w:rPr>
                <w:sz w:val="20"/>
              </w:rPr>
              <w:t>1970–1991</w:t>
            </w:r>
          </w:p>
        </w:tc>
        <w:tc>
          <w:tcPr>
            <w:tcW w:w="3421" w:type="dxa"/>
          </w:tcPr>
          <w:p w14:paraId="2732C274" w14:textId="77777777" w:rsidR="0046798B" w:rsidRDefault="00903B5C">
            <w:pPr>
              <w:pStyle w:val="TableParagraph"/>
              <w:spacing w:before="153"/>
              <w:ind w:left="114" w:right="305"/>
              <w:rPr>
                <w:sz w:val="20"/>
              </w:rPr>
            </w:pPr>
            <w:r>
              <w:rPr>
                <w:sz w:val="20"/>
              </w:rPr>
              <w:t>Did state adopt strategic planning for education? (0 = no, 1 = yes)</w:t>
            </w:r>
          </w:p>
        </w:tc>
        <w:tc>
          <w:tcPr>
            <w:tcW w:w="6482" w:type="dxa"/>
          </w:tcPr>
          <w:p w14:paraId="615AA9FD" w14:textId="77777777" w:rsidR="0046798B" w:rsidRDefault="00903B5C">
            <w:pPr>
              <w:pStyle w:val="TableParagraph"/>
              <w:spacing w:before="15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252AA3DF" w14:textId="77777777">
        <w:trPr>
          <w:trHeight w:val="545"/>
        </w:trPr>
        <w:tc>
          <w:tcPr>
            <w:tcW w:w="1711" w:type="dxa"/>
          </w:tcPr>
          <w:p w14:paraId="7FAA8F70" w14:textId="77777777" w:rsidR="0046798B" w:rsidRDefault="00903B5C">
            <w:pPr>
              <w:pStyle w:val="TableParagraph"/>
              <w:spacing w:before="158"/>
              <w:ind w:left="115"/>
              <w:rPr>
                <w:b/>
                <w:sz w:val="20"/>
              </w:rPr>
            </w:pPr>
            <w:r>
              <w:rPr>
                <w:b/>
                <w:sz w:val="20"/>
              </w:rPr>
              <w:t>edutv</w:t>
            </w:r>
          </w:p>
        </w:tc>
        <w:tc>
          <w:tcPr>
            <w:tcW w:w="1596" w:type="dxa"/>
          </w:tcPr>
          <w:p w14:paraId="4D4DC122" w14:textId="77777777" w:rsidR="0046798B" w:rsidRDefault="00903B5C">
            <w:pPr>
              <w:pStyle w:val="TableParagraph"/>
              <w:spacing w:before="43"/>
              <w:ind w:left="114" w:right="496"/>
              <w:rPr>
                <w:sz w:val="20"/>
              </w:rPr>
            </w:pPr>
            <w:r>
              <w:rPr>
                <w:sz w:val="20"/>
              </w:rPr>
              <w:t>Educational television</w:t>
            </w:r>
          </w:p>
        </w:tc>
        <w:tc>
          <w:tcPr>
            <w:tcW w:w="1285" w:type="dxa"/>
          </w:tcPr>
          <w:p w14:paraId="3AF72286" w14:textId="77777777" w:rsidR="0046798B" w:rsidRDefault="00903B5C">
            <w:pPr>
              <w:pStyle w:val="TableParagraph"/>
              <w:spacing w:before="158"/>
              <w:ind w:left="114"/>
              <w:rPr>
                <w:sz w:val="20"/>
              </w:rPr>
            </w:pPr>
            <w:r>
              <w:rPr>
                <w:sz w:val="20"/>
              </w:rPr>
              <w:t>1951–1966</w:t>
            </w:r>
          </w:p>
        </w:tc>
        <w:tc>
          <w:tcPr>
            <w:tcW w:w="3421" w:type="dxa"/>
          </w:tcPr>
          <w:p w14:paraId="35F43B1C" w14:textId="77777777" w:rsidR="0046798B" w:rsidRDefault="00903B5C">
            <w:pPr>
              <w:pStyle w:val="TableParagraph"/>
              <w:spacing w:before="43"/>
              <w:ind w:left="114" w:right="177"/>
              <w:rPr>
                <w:sz w:val="20"/>
              </w:rPr>
            </w:pPr>
            <w:r>
              <w:rPr>
                <w:sz w:val="20"/>
              </w:rPr>
              <w:t>Did state adopt educational television? (0 = no, 1 = yes)</w:t>
            </w:r>
          </w:p>
        </w:tc>
        <w:tc>
          <w:tcPr>
            <w:tcW w:w="6482" w:type="dxa"/>
          </w:tcPr>
          <w:p w14:paraId="758C5F22" w14:textId="77777777" w:rsidR="0046798B" w:rsidRDefault="00903B5C">
            <w:pPr>
              <w:pStyle w:val="TableParagraph"/>
              <w:spacing w:before="4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598A2778" w14:textId="77777777">
        <w:trPr>
          <w:trHeight w:val="545"/>
        </w:trPr>
        <w:tc>
          <w:tcPr>
            <w:tcW w:w="1711" w:type="dxa"/>
          </w:tcPr>
          <w:p w14:paraId="6FDD7A0D" w14:textId="77777777" w:rsidR="0046798B" w:rsidRDefault="00903B5C">
            <w:pPr>
              <w:pStyle w:val="TableParagraph"/>
              <w:spacing w:before="158"/>
              <w:ind w:left="115"/>
              <w:rPr>
                <w:b/>
                <w:sz w:val="20"/>
              </w:rPr>
            </w:pPr>
            <w:r>
              <w:rPr>
                <w:b/>
                <w:sz w:val="20"/>
              </w:rPr>
              <w:t>hsexit</w:t>
            </w:r>
          </w:p>
        </w:tc>
        <w:tc>
          <w:tcPr>
            <w:tcW w:w="1596" w:type="dxa"/>
          </w:tcPr>
          <w:p w14:paraId="1EA02EF9" w14:textId="77777777" w:rsidR="0046798B" w:rsidRDefault="00903B5C">
            <w:pPr>
              <w:pStyle w:val="TableParagraph"/>
              <w:spacing w:before="43"/>
              <w:ind w:left="114" w:right="129"/>
              <w:rPr>
                <w:sz w:val="20"/>
              </w:rPr>
            </w:pPr>
            <w:r>
              <w:rPr>
                <w:sz w:val="20"/>
              </w:rPr>
              <w:t>High school exit exams</w:t>
            </w:r>
          </w:p>
        </w:tc>
        <w:tc>
          <w:tcPr>
            <w:tcW w:w="1285" w:type="dxa"/>
          </w:tcPr>
          <w:p w14:paraId="0236CFD1" w14:textId="77777777" w:rsidR="0046798B" w:rsidRDefault="00903B5C">
            <w:pPr>
              <w:pStyle w:val="TableParagraph"/>
              <w:spacing w:before="158"/>
              <w:ind w:left="114"/>
              <w:rPr>
                <w:sz w:val="20"/>
              </w:rPr>
            </w:pPr>
            <w:r>
              <w:rPr>
                <w:sz w:val="20"/>
              </w:rPr>
              <w:t>1976–1999</w:t>
            </w:r>
          </w:p>
        </w:tc>
        <w:tc>
          <w:tcPr>
            <w:tcW w:w="3421" w:type="dxa"/>
          </w:tcPr>
          <w:p w14:paraId="0BCF31BD" w14:textId="77777777" w:rsidR="0046798B" w:rsidRDefault="00903B5C">
            <w:pPr>
              <w:pStyle w:val="TableParagraph"/>
              <w:spacing w:before="43"/>
              <w:ind w:left="114" w:right="88"/>
              <w:rPr>
                <w:sz w:val="20"/>
              </w:rPr>
            </w:pPr>
            <w:r>
              <w:rPr>
                <w:sz w:val="20"/>
              </w:rPr>
              <w:t>Did state adopt high school exit exams? (0 = no, 1 = yes)</w:t>
            </w:r>
          </w:p>
        </w:tc>
        <w:tc>
          <w:tcPr>
            <w:tcW w:w="6482" w:type="dxa"/>
          </w:tcPr>
          <w:p w14:paraId="26B3C49B" w14:textId="77777777" w:rsidR="0046798B" w:rsidRDefault="00903B5C">
            <w:pPr>
              <w:pStyle w:val="TableParagraph"/>
              <w:spacing w:before="4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349D9667" w14:textId="77777777">
        <w:trPr>
          <w:trHeight w:val="550"/>
        </w:trPr>
        <w:tc>
          <w:tcPr>
            <w:tcW w:w="1711" w:type="dxa"/>
          </w:tcPr>
          <w:p w14:paraId="241907E4" w14:textId="77777777" w:rsidR="0046798B" w:rsidRDefault="00903B5C">
            <w:pPr>
              <w:pStyle w:val="TableParagraph"/>
              <w:spacing w:before="158"/>
              <w:ind w:left="115"/>
              <w:rPr>
                <w:b/>
                <w:sz w:val="20"/>
              </w:rPr>
            </w:pPr>
            <w:r>
              <w:rPr>
                <w:b/>
                <w:sz w:val="20"/>
              </w:rPr>
              <w:t>schoolchoi</w:t>
            </w:r>
          </w:p>
        </w:tc>
        <w:tc>
          <w:tcPr>
            <w:tcW w:w="1596" w:type="dxa"/>
          </w:tcPr>
          <w:p w14:paraId="6F50772A" w14:textId="77777777" w:rsidR="0046798B" w:rsidRDefault="00903B5C">
            <w:pPr>
              <w:pStyle w:val="TableParagraph"/>
              <w:spacing w:before="158"/>
              <w:ind w:left="114"/>
              <w:rPr>
                <w:sz w:val="20"/>
              </w:rPr>
            </w:pPr>
            <w:r>
              <w:rPr>
                <w:sz w:val="20"/>
              </w:rPr>
              <w:t>School choice</w:t>
            </w:r>
          </w:p>
        </w:tc>
        <w:tc>
          <w:tcPr>
            <w:tcW w:w="1285" w:type="dxa"/>
          </w:tcPr>
          <w:p w14:paraId="7CF86F14" w14:textId="77777777" w:rsidR="0046798B" w:rsidRDefault="00903B5C">
            <w:pPr>
              <w:pStyle w:val="TableParagraph"/>
              <w:spacing w:before="158"/>
              <w:ind w:left="114"/>
              <w:rPr>
                <w:sz w:val="20"/>
              </w:rPr>
            </w:pPr>
            <w:r>
              <w:rPr>
                <w:sz w:val="20"/>
              </w:rPr>
              <w:t>1987–1992</w:t>
            </w:r>
          </w:p>
        </w:tc>
        <w:tc>
          <w:tcPr>
            <w:tcW w:w="3421" w:type="dxa"/>
          </w:tcPr>
          <w:p w14:paraId="61CA56F6" w14:textId="77777777" w:rsidR="0046798B" w:rsidRDefault="00903B5C">
            <w:pPr>
              <w:pStyle w:val="TableParagraph"/>
              <w:spacing w:before="43"/>
              <w:ind w:left="114" w:right="153"/>
              <w:rPr>
                <w:sz w:val="20"/>
              </w:rPr>
            </w:pPr>
            <w:r>
              <w:rPr>
                <w:sz w:val="20"/>
              </w:rPr>
              <w:t>Did state adopt school choice? (0 = no, 1 = yes)</w:t>
            </w:r>
          </w:p>
        </w:tc>
        <w:tc>
          <w:tcPr>
            <w:tcW w:w="6482" w:type="dxa"/>
          </w:tcPr>
          <w:p w14:paraId="2A770F95" w14:textId="77777777" w:rsidR="0046798B" w:rsidRDefault="00903B5C">
            <w:pPr>
              <w:pStyle w:val="TableParagraph"/>
              <w:spacing w:before="4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1EA44F4F" w14:textId="77777777">
        <w:trPr>
          <w:trHeight w:val="775"/>
        </w:trPr>
        <w:tc>
          <w:tcPr>
            <w:tcW w:w="1711" w:type="dxa"/>
          </w:tcPr>
          <w:p w14:paraId="1C9FCE01" w14:textId="77777777" w:rsidR="0046798B" w:rsidRDefault="0046798B">
            <w:pPr>
              <w:pStyle w:val="TableParagraph"/>
              <w:spacing w:before="3"/>
              <w:rPr>
                <w:sz w:val="23"/>
              </w:rPr>
            </w:pPr>
          </w:p>
          <w:p w14:paraId="39AEB503" w14:textId="77777777" w:rsidR="0046798B" w:rsidRDefault="00903B5C">
            <w:pPr>
              <w:pStyle w:val="TableParagraph"/>
              <w:spacing w:before="1"/>
              <w:ind w:left="115"/>
              <w:rPr>
                <w:b/>
                <w:sz w:val="20"/>
              </w:rPr>
            </w:pPr>
            <w:r>
              <w:rPr>
                <w:b/>
                <w:sz w:val="20"/>
              </w:rPr>
              <w:t>teacelm</w:t>
            </w:r>
          </w:p>
        </w:tc>
        <w:tc>
          <w:tcPr>
            <w:tcW w:w="1596" w:type="dxa"/>
          </w:tcPr>
          <w:p w14:paraId="7E62F3DA" w14:textId="77777777" w:rsidR="0046798B" w:rsidRDefault="00903B5C">
            <w:pPr>
              <w:pStyle w:val="TableParagraph"/>
              <w:spacing w:before="38"/>
              <w:ind w:left="114" w:right="285"/>
              <w:rPr>
                <w:sz w:val="20"/>
              </w:rPr>
            </w:pPr>
            <w:r>
              <w:rPr>
                <w:sz w:val="20"/>
              </w:rPr>
              <w:t>Teacher certification— elementary</w:t>
            </w:r>
          </w:p>
        </w:tc>
        <w:tc>
          <w:tcPr>
            <w:tcW w:w="1285" w:type="dxa"/>
          </w:tcPr>
          <w:p w14:paraId="3531E224" w14:textId="77777777" w:rsidR="0046798B" w:rsidRDefault="0046798B">
            <w:pPr>
              <w:pStyle w:val="TableParagraph"/>
              <w:spacing w:before="3"/>
              <w:rPr>
                <w:sz w:val="23"/>
              </w:rPr>
            </w:pPr>
          </w:p>
          <w:p w14:paraId="55BD40F0" w14:textId="77777777" w:rsidR="0046798B" w:rsidRDefault="00903B5C">
            <w:pPr>
              <w:pStyle w:val="TableParagraph"/>
              <w:spacing w:before="1"/>
              <w:ind w:left="114"/>
              <w:rPr>
                <w:sz w:val="20"/>
              </w:rPr>
            </w:pPr>
            <w:r>
              <w:rPr>
                <w:sz w:val="20"/>
              </w:rPr>
              <w:t>1930–1957</w:t>
            </w:r>
          </w:p>
        </w:tc>
        <w:tc>
          <w:tcPr>
            <w:tcW w:w="3421" w:type="dxa"/>
          </w:tcPr>
          <w:p w14:paraId="58712A6D" w14:textId="77777777" w:rsidR="0046798B" w:rsidRDefault="00903B5C">
            <w:pPr>
              <w:pStyle w:val="TableParagraph"/>
              <w:spacing w:before="153"/>
              <w:ind w:left="114" w:right="422"/>
              <w:rPr>
                <w:sz w:val="20"/>
              </w:rPr>
            </w:pPr>
            <w:r>
              <w:rPr>
                <w:sz w:val="20"/>
              </w:rPr>
              <w:t>Did state adopt teacher certification (elementary)? (0 = no, 1 = yes)</w:t>
            </w:r>
          </w:p>
        </w:tc>
        <w:tc>
          <w:tcPr>
            <w:tcW w:w="6482" w:type="dxa"/>
          </w:tcPr>
          <w:p w14:paraId="08757F61" w14:textId="77777777" w:rsidR="0046798B" w:rsidRDefault="00903B5C">
            <w:pPr>
              <w:pStyle w:val="TableParagraph"/>
              <w:spacing w:before="15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5454D5EC" w14:textId="77777777">
        <w:trPr>
          <w:trHeight w:val="1465"/>
        </w:trPr>
        <w:tc>
          <w:tcPr>
            <w:tcW w:w="1711" w:type="dxa"/>
          </w:tcPr>
          <w:p w14:paraId="20833D7A" w14:textId="77777777" w:rsidR="0046798B" w:rsidRDefault="0046798B">
            <w:pPr>
              <w:pStyle w:val="TableParagraph"/>
            </w:pPr>
          </w:p>
          <w:p w14:paraId="65DA3880" w14:textId="77777777" w:rsidR="0046798B" w:rsidRDefault="00903B5C">
            <w:pPr>
              <w:pStyle w:val="TableParagraph"/>
              <w:spacing w:before="130"/>
              <w:ind w:left="115" w:right="144"/>
              <w:rPr>
                <w:b/>
                <w:sz w:val="20"/>
              </w:rPr>
            </w:pPr>
            <w:r>
              <w:rPr>
                <w:b/>
                <w:sz w:val="20"/>
              </w:rPr>
              <w:t>athlete_agents_a ct</w:t>
            </w:r>
          </w:p>
        </w:tc>
        <w:tc>
          <w:tcPr>
            <w:tcW w:w="1596" w:type="dxa"/>
          </w:tcPr>
          <w:p w14:paraId="7FB675C4" w14:textId="77777777" w:rsidR="0046798B" w:rsidRDefault="00903B5C">
            <w:pPr>
              <w:pStyle w:val="TableParagraph"/>
              <w:spacing w:before="38"/>
              <w:ind w:left="114" w:right="163"/>
              <w:rPr>
                <w:sz w:val="20"/>
              </w:rPr>
            </w:pPr>
            <w:r>
              <w:rPr>
                <w:sz w:val="20"/>
              </w:rPr>
              <w:t>Governs relations among student athletes, athlete agents, and educational institutions</w:t>
            </w:r>
          </w:p>
        </w:tc>
        <w:tc>
          <w:tcPr>
            <w:tcW w:w="1285" w:type="dxa"/>
          </w:tcPr>
          <w:p w14:paraId="15D0D64B" w14:textId="77777777" w:rsidR="0046798B" w:rsidRDefault="0046798B">
            <w:pPr>
              <w:pStyle w:val="TableParagraph"/>
            </w:pPr>
          </w:p>
          <w:p w14:paraId="07B9B8EA" w14:textId="77777777" w:rsidR="0046798B" w:rsidRDefault="0046798B">
            <w:pPr>
              <w:pStyle w:val="TableParagraph"/>
              <w:spacing w:before="3"/>
              <w:rPr>
                <w:sz w:val="31"/>
              </w:rPr>
            </w:pPr>
          </w:p>
          <w:p w14:paraId="7AF7AF4A" w14:textId="77777777" w:rsidR="0046798B" w:rsidRDefault="00903B5C">
            <w:pPr>
              <w:pStyle w:val="TableParagraph"/>
              <w:ind w:left="114"/>
              <w:rPr>
                <w:sz w:val="20"/>
              </w:rPr>
            </w:pPr>
            <w:r>
              <w:rPr>
                <w:sz w:val="20"/>
              </w:rPr>
              <w:t>2001–2010</w:t>
            </w:r>
          </w:p>
        </w:tc>
        <w:tc>
          <w:tcPr>
            <w:tcW w:w="3421" w:type="dxa"/>
          </w:tcPr>
          <w:p w14:paraId="0B0C9243" w14:textId="77777777" w:rsidR="0046798B" w:rsidRDefault="0046798B">
            <w:pPr>
              <w:pStyle w:val="TableParagraph"/>
            </w:pPr>
          </w:p>
          <w:p w14:paraId="7C53C8DC" w14:textId="77777777" w:rsidR="0046798B" w:rsidRDefault="0046798B">
            <w:pPr>
              <w:pStyle w:val="TableParagraph"/>
              <w:spacing w:before="3"/>
              <w:rPr>
                <w:sz w:val="21"/>
              </w:rPr>
            </w:pPr>
          </w:p>
          <w:p w14:paraId="354DACCA" w14:textId="77777777" w:rsidR="0046798B" w:rsidRDefault="00903B5C">
            <w:pPr>
              <w:pStyle w:val="TableParagraph"/>
              <w:ind w:left="114" w:right="1475"/>
              <w:rPr>
                <w:sz w:val="20"/>
              </w:rPr>
            </w:pPr>
            <w:r>
              <w:rPr>
                <w:sz w:val="20"/>
              </w:rPr>
              <w:t>0 = policy not adopted 1 = policy adopted</w:t>
            </w:r>
          </w:p>
        </w:tc>
        <w:tc>
          <w:tcPr>
            <w:tcW w:w="6482" w:type="dxa"/>
          </w:tcPr>
          <w:p w14:paraId="7FEA8770" w14:textId="77777777" w:rsidR="0046798B" w:rsidRDefault="00903B5C">
            <w:pPr>
              <w:pStyle w:val="TableParagraph"/>
              <w:spacing w:before="38"/>
              <w:ind w:left="114"/>
              <w:rPr>
                <w:sz w:val="20"/>
              </w:rPr>
            </w:pPr>
            <w:r>
              <w:rPr>
                <w:sz w:val="20"/>
              </w:rPr>
              <w:t xml:space="preserve">Uniform Law Commission website: </w:t>
            </w:r>
            <w:hyperlink r:id="rId781">
              <w:r>
                <w:rPr>
                  <w:color w:val="0462C1"/>
                  <w:sz w:val="20"/>
                  <w:u w:val="single" w:color="0462C1"/>
                </w:rPr>
                <w:t>http://www.uniformlaws.org/</w:t>
              </w:r>
            </w:hyperlink>
          </w:p>
          <w:p w14:paraId="635ACD85" w14:textId="77777777" w:rsidR="0046798B" w:rsidRDefault="0046798B">
            <w:pPr>
              <w:pStyle w:val="TableParagraph"/>
              <w:rPr>
                <w:sz w:val="20"/>
              </w:rPr>
            </w:pPr>
          </w:p>
          <w:p w14:paraId="2D8B4EA5"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50C5690D" w14:textId="77777777">
        <w:trPr>
          <w:trHeight w:val="1005"/>
        </w:trPr>
        <w:tc>
          <w:tcPr>
            <w:tcW w:w="1711" w:type="dxa"/>
          </w:tcPr>
          <w:p w14:paraId="559FB199" w14:textId="77777777" w:rsidR="0046798B" w:rsidRDefault="00903B5C">
            <w:pPr>
              <w:pStyle w:val="TableParagraph"/>
              <w:spacing w:before="153"/>
              <w:ind w:left="115" w:right="144"/>
              <w:rPr>
                <w:b/>
                <w:sz w:val="20"/>
              </w:rPr>
            </w:pPr>
            <w:r>
              <w:rPr>
                <w:b/>
                <w:sz w:val="20"/>
              </w:rPr>
              <w:t>athlete_agents_a ct_2015</w:t>
            </w:r>
          </w:p>
        </w:tc>
        <w:tc>
          <w:tcPr>
            <w:tcW w:w="1596" w:type="dxa"/>
          </w:tcPr>
          <w:p w14:paraId="6A6D25E1" w14:textId="77777777" w:rsidR="0046798B" w:rsidRDefault="00903B5C">
            <w:pPr>
              <w:pStyle w:val="TableParagraph"/>
              <w:spacing w:before="38"/>
              <w:ind w:left="114" w:right="224"/>
              <w:rPr>
                <w:sz w:val="20"/>
              </w:rPr>
            </w:pPr>
            <w:r>
              <w:rPr>
                <w:sz w:val="20"/>
              </w:rPr>
              <w:t>Revision of previous law— expands definition of</w:t>
            </w:r>
          </w:p>
        </w:tc>
        <w:tc>
          <w:tcPr>
            <w:tcW w:w="1285" w:type="dxa"/>
          </w:tcPr>
          <w:p w14:paraId="785306C5" w14:textId="77777777" w:rsidR="0046798B" w:rsidRDefault="0046798B">
            <w:pPr>
              <w:pStyle w:val="TableParagraph"/>
            </w:pPr>
          </w:p>
          <w:p w14:paraId="2437B232" w14:textId="77777777" w:rsidR="0046798B" w:rsidRDefault="00903B5C">
            <w:pPr>
              <w:pStyle w:val="TableParagraph"/>
              <w:spacing w:before="130"/>
              <w:ind w:left="114"/>
              <w:rPr>
                <w:sz w:val="20"/>
              </w:rPr>
            </w:pPr>
            <w:r>
              <w:rPr>
                <w:sz w:val="20"/>
              </w:rPr>
              <w:t>2016–2017</w:t>
            </w:r>
          </w:p>
        </w:tc>
        <w:tc>
          <w:tcPr>
            <w:tcW w:w="3421" w:type="dxa"/>
          </w:tcPr>
          <w:p w14:paraId="07BC011C" w14:textId="77777777" w:rsidR="0046798B" w:rsidRDefault="0046798B">
            <w:pPr>
              <w:pStyle w:val="TableParagraph"/>
              <w:spacing w:before="3"/>
              <w:rPr>
                <w:sz w:val="23"/>
              </w:rPr>
            </w:pPr>
          </w:p>
          <w:p w14:paraId="52833396"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0E5EE5F9" w14:textId="77777777" w:rsidR="0046798B" w:rsidRDefault="00903B5C">
            <w:pPr>
              <w:pStyle w:val="TableParagraph"/>
              <w:spacing w:before="38"/>
              <w:ind w:left="114"/>
              <w:rPr>
                <w:sz w:val="20"/>
              </w:rPr>
            </w:pPr>
            <w:r>
              <w:rPr>
                <w:sz w:val="20"/>
              </w:rPr>
              <w:t xml:space="preserve">Uniform Law Commission website: </w:t>
            </w:r>
            <w:hyperlink r:id="rId782">
              <w:r>
                <w:rPr>
                  <w:color w:val="0462C1"/>
                  <w:sz w:val="20"/>
                  <w:u w:val="single" w:color="0462C1"/>
                </w:rPr>
                <w:t>http://www.uniformlaws.org/</w:t>
              </w:r>
            </w:hyperlink>
          </w:p>
          <w:p w14:paraId="69A94B2F" w14:textId="77777777" w:rsidR="0046798B" w:rsidRDefault="0046798B">
            <w:pPr>
              <w:pStyle w:val="TableParagraph"/>
              <w:rPr>
                <w:sz w:val="20"/>
              </w:rPr>
            </w:pPr>
          </w:p>
          <w:p w14:paraId="1EB64017"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w:t>
            </w:r>
          </w:p>
        </w:tc>
      </w:tr>
    </w:tbl>
    <w:p w14:paraId="405C087D" w14:textId="77777777" w:rsidR="0046798B" w:rsidRDefault="0046798B">
      <w:pPr>
        <w:rPr>
          <w:sz w:val="20"/>
        </w:rPr>
        <w:sectPr w:rsidR="0046798B">
          <w:pgSz w:w="15840" w:h="12240" w:orient="landscape"/>
          <w:pgMar w:top="1220" w:right="300" w:bottom="980" w:left="820" w:header="730" w:footer="787" w:gutter="0"/>
          <w:cols w:space="720"/>
        </w:sectPr>
      </w:pPr>
    </w:p>
    <w:p w14:paraId="25BE8B6A"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1C320B1" w14:textId="77777777">
        <w:trPr>
          <w:trHeight w:val="542"/>
        </w:trPr>
        <w:tc>
          <w:tcPr>
            <w:tcW w:w="1711" w:type="dxa"/>
            <w:tcBorders>
              <w:bottom w:val="dotted" w:sz="6" w:space="0" w:color="BEBEBE"/>
            </w:tcBorders>
          </w:tcPr>
          <w:p w14:paraId="19F7197B" w14:textId="77777777" w:rsidR="0046798B" w:rsidRDefault="0046798B">
            <w:pPr>
              <w:pStyle w:val="TableParagraph"/>
              <w:rPr>
                <w:sz w:val="20"/>
              </w:rPr>
            </w:pPr>
          </w:p>
        </w:tc>
        <w:tc>
          <w:tcPr>
            <w:tcW w:w="1596" w:type="dxa"/>
            <w:tcBorders>
              <w:bottom w:val="dotted" w:sz="6" w:space="0" w:color="BEBEBE"/>
            </w:tcBorders>
          </w:tcPr>
          <w:p w14:paraId="37995176" w14:textId="77777777" w:rsidR="0046798B" w:rsidRDefault="00903B5C">
            <w:pPr>
              <w:pStyle w:val="TableParagraph"/>
              <w:spacing w:before="43"/>
              <w:ind w:left="114" w:right="535"/>
              <w:rPr>
                <w:sz w:val="20"/>
              </w:rPr>
            </w:pPr>
            <w:r>
              <w:rPr>
                <w:sz w:val="20"/>
              </w:rPr>
              <w:t>student and athlete</w:t>
            </w:r>
          </w:p>
        </w:tc>
        <w:tc>
          <w:tcPr>
            <w:tcW w:w="1285" w:type="dxa"/>
            <w:tcBorders>
              <w:bottom w:val="dotted" w:sz="6" w:space="0" w:color="BEBEBE"/>
            </w:tcBorders>
          </w:tcPr>
          <w:p w14:paraId="0FD6E42D" w14:textId="77777777" w:rsidR="0046798B" w:rsidRDefault="0046798B">
            <w:pPr>
              <w:pStyle w:val="TableParagraph"/>
              <w:rPr>
                <w:sz w:val="20"/>
              </w:rPr>
            </w:pPr>
          </w:p>
        </w:tc>
        <w:tc>
          <w:tcPr>
            <w:tcW w:w="3421" w:type="dxa"/>
            <w:tcBorders>
              <w:bottom w:val="dotted" w:sz="6" w:space="0" w:color="BEBEBE"/>
            </w:tcBorders>
          </w:tcPr>
          <w:p w14:paraId="41FC50B0" w14:textId="77777777" w:rsidR="0046798B" w:rsidRDefault="0046798B">
            <w:pPr>
              <w:pStyle w:val="TableParagraph"/>
              <w:rPr>
                <w:sz w:val="20"/>
              </w:rPr>
            </w:pPr>
          </w:p>
        </w:tc>
        <w:tc>
          <w:tcPr>
            <w:tcW w:w="6482" w:type="dxa"/>
            <w:tcBorders>
              <w:bottom w:val="dotted" w:sz="6" w:space="0" w:color="BEBEBE"/>
            </w:tcBorders>
          </w:tcPr>
          <w:p w14:paraId="07B04E93" w14:textId="77777777" w:rsidR="0046798B" w:rsidRDefault="00903B5C">
            <w:pPr>
              <w:pStyle w:val="TableParagraph"/>
              <w:spacing w:before="43"/>
              <w:ind w:left="114" w:right="2377"/>
              <w:rPr>
                <w:sz w:val="20"/>
              </w:rPr>
            </w:pPr>
            <w:r>
              <w:rPr>
                <w:sz w:val="20"/>
              </w:rPr>
              <w:t>Innovation and Diffusion (SPID) Database v1.0”, https://doi.org/10.7910/DVN/CVYSR7</w:t>
            </w:r>
          </w:p>
        </w:tc>
      </w:tr>
      <w:tr w:rsidR="0046798B" w14:paraId="6BB1FEA6" w14:textId="77777777">
        <w:trPr>
          <w:trHeight w:val="1463"/>
        </w:trPr>
        <w:tc>
          <w:tcPr>
            <w:tcW w:w="1711" w:type="dxa"/>
            <w:tcBorders>
              <w:top w:val="dotted" w:sz="6" w:space="0" w:color="BEBEBE"/>
            </w:tcBorders>
          </w:tcPr>
          <w:p w14:paraId="05C9DE20" w14:textId="77777777" w:rsidR="0046798B" w:rsidRDefault="0046798B">
            <w:pPr>
              <w:pStyle w:val="TableParagraph"/>
            </w:pPr>
          </w:p>
          <w:p w14:paraId="2C5B3177" w14:textId="77777777" w:rsidR="0046798B" w:rsidRDefault="00903B5C">
            <w:pPr>
              <w:pStyle w:val="TableParagraph"/>
              <w:spacing w:before="133"/>
              <w:ind w:left="115" w:right="109"/>
              <w:jc w:val="both"/>
              <w:rPr>
                <w:b/>
                <w:sz w:val="20"/>
              </w:rPr>
            </w:pPr>
            <w:r>
              <w:rPr>
                <w:b/>
                <w:sz w:val="20"/>
              </w:rPr>
              <w:t xml:space="preserve">minor_student_c </w:t>
            </w:r>
            <w:r>
              <w:rPr>
                <w:b/>
                <w:spacing w:val="-1"/>
                <w:sz w:val="20"/>
              </w:rPr>
              <w:t xml:space="preserve">apacity_to_borro </w:t>
            </w:r>
            <w:r>
              <w:rPr>
                <w:b/>
                <w:sz w:val="20"/>
              </w:rPr>
              <w:t>w</w:t>
            </w:r>
          </w:p>
        </w:tc>
        <w:tc>
          <w:tcPr>
            <w:tcW w:w="1596" w:type="dxa"/>
            <w:tcBorders>
              <w:top w:val="dotted" w:sz="6" w:space="0" w:color="BEBEBE"/>
            </w:tcBorders>
          </w:tcPr>
          <w:p w14:paraId="418572C7" w14:textId="77777777" w:rsidR="0046798B" w:rsidRDefault="0046798B">
            <w:pPr>
              <w:pStyle w:val="TableParagraph"/>
              <w:spacing w:before="6"/>
              <w:rPr>
                <w:sz w:val="23"/>
              </w:rPr>
            </w:pPr>
          </w:p>
          <w:p w14:paraId="37912040" w14:textId="77777777" w:rsidR="0046798B" w:rsidRDefault="00903B5C">
            <w:pPr>
              <w:pStyle w:val="TableParagraph"/>
              <w:ind w:left="114" w:right="263"/>
              <w:rPr>
                <w:sz w:val="20"/>
              </w:rPr>
            </w:pPr>
            <w:r>
              <w:rPr>
                <w:sz w:val="20"/>
              </w:rPr>
              <w:t>Provides that a student loan is enforceable against debtor</w:t>
            </w:r>
          </w:p>
        </w:tc>
        <w:tc>
          <w:tcPr>
            <w:tcW w:w="1285" w:type="dxa"/>
            <w:tcBorders>
              <w:top w:val="dotted" w:sz="6" w:space="0" w:color="BEBEBE"/>
            </w:tcBorders>
          </w:tcPr>
          <w:p w14:paraId="558EF690" w14:textId="77777777" w:rsidR="0046798B" w:rsidRDefault="0046798B">
            <w:pPr>
              <w:pStyle w:val="TableParagraph"/>
            </w:pPr>
          </w:p>
          <w:p w14:paraId="6895DECE" w14:textId="77777777" w:rsidR="0046798B" w:rsidRDefault="0046798B">
            <w:pPr>
              <w:pStyle w:val="TableParagraph"/>
              <w:spacing w:before="6"/>
              <w:rPr>
                <w:sz w:val="31"/>
              </w:rPr>
            </w:pPr>
          </w:p>
          <w:p w14:paraId="589185A3" w14:textId="77777777" w:rsidR="0046798B" w:rsidRDefault="00903B5C">
            <w:pPr>
              <w:pStyle w:val="TableParagraph"/>
              <w:ind w:left="114"/>
              <w:rPr>
                <w:sz w:val="20"/>
              </w:rPr>
            </w:pPr>
            <w:r>
              <w:rPr>
                <w:sz w:val="20"/>
              </w:rPr>
              <w:t>1970–1973</w:t>
            </w:r>
          </w:p>
        </w:tc>
        <w:tc>
          <w:tcPr>
            <w:tcW w:w="3421" w:type="dxa"/>
            <w:tcBorders>
              <w:top w:val="dotted" w:sz="6" w:space="0" w:color="BEBEBE"/>
            </w:tcBorders>
          </w:tcPr>
          <w:p w14:paraId="61C0A145" w14:textId="77777777" w:rsidR="0046798B" w:rsidRDefault="0046798B">
            <w:pPr>
              <w:pStyle w:val="TableParagraph"/>
            </w:pPr>
          </w:p>
          <w:p w14:paraId="35F7B2DA" w14:textId="77777777" w:rsidR="0046798B" w:rsidRDefault="0046798B">
            <w:pPr>
              <w:pStyle w:val="TableParagraph"/>
              <w:spacing w:before="6"/>
              <w:rPr>
                <w:sz w:val="21"/>
              </w:rPr>
            </w:pPr>
          </w:p>
          <w:p w14:paraId="7A95266A" w14:textId="77777777" w:rsidR="0046798B" w:rsidRDefault="00903B5C">
            <w:pPr>
              <w:pStyle w:val="TableParagraph"/>
              <w:ind w:left="114" w:right="1475"/>
              <w:rPr>
                <w:sz w:val="20"/>
              </w:rPr>
            </w:pPr>
            <w:r>
              <w:rPr>
                <w:sz w:val="20"/>
              </w:rPr>
              <w:t>0 = policy not adopted 1 = policy adopted</w:t>
            </w:r>
          </w:p>
        </w:tc>
        <w:tc>
          <w:tcPr>
            <w:tcW w:w="6482" w:type="dxa"/>
            <w:tcBorders>
              <w:top w:val="dotted" w:sz="6" w:space="0" w:color="BEBEBE"/>
            </w:tcBorders>
          </w:tcPr>
          <w:p w14:paraId="46EFACD0" w14:textId="77777777" w:rsidR="0046798B" w:rsidRDefault="00903B5C">
            <w:pPr>
              <w:pStyle w:val="TableParagraph"/>
              <w:spacing w:before="40"/>
              <w:ind w:left="114"/>
              <w:rPr>
                <w:sz w:val="20"/>
              </w:rPr>
            </w:pPr>
            <w:r>
              <w:rPr>
                <w:sz w:val="20"/>
              </w:rPr>
              <w:t xml:space="preserve">Uniform Law Commission website: </w:t>
            </w:r>
            <w:hyperlink r:id="rId783">
              <w:r>
                <w:rPr>
                  <w:color w:val="0462C1"/>
                  <w:sz w:val="20"/>
                  <w:u w:val="single" w:color="0462C1"/>
                </w:rPr>
                <w:t>http://www.uniformlaws.org/</w:t>
              </w:r>
            </w:hyperlink>
          </w:p>
          <w:p w14:paraId="73C58E96" w14:textId="77777777" w:rsidR="0046798B" w:rsidRDefault="0046798B">
            <w:pPr>
              <w:pStyle w:val="TableParagraph"/>
              <w:rPr>
                <w:sz w:val="20"/>
              </w:rPr>
            </w:pPr>
          </w:p>
          <w:p w14:paraId="7CFC0753"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941A745" w14:textId="77777777">
        <w:trPr>
          <w:trHeight w:val="780"/>
        </w:trPr>
        <w:tc>
          <w:tcPr>
            <w:tcW w:w="1711" w:type="dxa"/>
          </w:tcPr>
          <w:p w14:paraId="26831E1E" w14:textId="77777777" w:rsidR="0046798B" w:rsidRDefault="0046798B">
            <w:pPr>
              <w:pStyle w:val="TableParagraph"/>
              <w:spacing w:before="8"/>
              <w:rPr>
                <w:sz w:val="23"/>
              </w:rPr>
            </w:pPr>
          </w:p>
          <w:p w14:paraId="0F272976" w14:textId="77777777" w:rsidR="0046798B" w:rsidRDefault="00903B5C">
            <w:pPr>
              <w:pStyle w:val="TableParagraph"/>
              <w:spacing w:before="1"/>
              <w:ind w:left="115"/>
              <w:rPr>
                <w:b/>
                <w:sz w:val="20"/>
              </w:rPr>
            </w:pPr>
            <w:r>
              <w:rPr>
                <w:b/>
                <w:sz w:val="20"/>
              </w:rPr>
              <w:t>echart</w:t>
            </w:r>
          </w:p>
        </w:tc>
        <w:tc>
          <w:tcPr>
            <w:tcW w:w="1596" w:type="dxa"/>
          </w:tcPr>
          <w:p w14:paraId="6C6E4F0F" w14:textId="77777777" w:rsidR="0046798B" w:rsidRDefault="00903B5C">
            <w:pPr>
              <w:pStyle w:val="TableParagraph"/>
              <w:spacing w:before="158"/>
              <w:ind w:left="114" w:right="202"/>
              <w:rPr>
                <w:sz w:val="20"/>
              </w:rPr>
            </w:pPr>
            <w:r>
              <w:rPr>
                <w:sz w:val="20"/>
              </w:rPr>
              <w:t>Charter schools law</w:t>
            </w:r>
          </w:p>
        </w:tc>
        <w:tc>
          <w:tcPr>
            <w:tcW w:w="1285" w:type="dxa"/>
          </w:tcPr>
          <w:p w14:paraId="5EDBDF52" w14:textId="77777777" w:rsidR="0046798B" w:rsidRDefault="0046798B">
            <w:pPr>
              <w:pStyle w:val="TableParagraph"/>
              <w:spacing w:before="8"/>
              <w:rPr>
                <w:sz w:val="23"/>
              </w:rPr>
            </w:pPr>
          </w:p>
          <w:p w14:paraId="341323C8" w14:textId="77777777" w:rsidR="0046798B" w:rsidRDefault="00903B5C">
            <w:pPr>
              <w:pStyle w:val="TableParagraph"/>
              <w:spacing w:before="1"/>
              <w:ind w:left="114"/>
              <w:rPr>
                <w:sz w:val="20"/>
              </w:rPr>
            </w:pPr>
            <w:r>
              <w:rPr>
                <w:sz w:val="20"/>
              </w:rPr>
              <w:t>2000–2016</w:t>
            </w:r>
          </w:p>
        </w:tc>
        <w:tc>
          <w:tcPr>
            <w:tcW w:w="3421" w:type="dxa"/>
          </w:tcPr>
          <w:p w14:paraId="5D508513" w14:textId="77777777" w:rsidR="0046798B" w:rsidRDefault="0046798B">
            <w:pPr>
              <w:pStyle w:val="TableParagraph"/>
              <w:spacing w:before="8"/>
              <w:rPr>
                <w:sz w:val="23"/>
              </w:rPr>
            </w:pPr>
          </w:p>
          <w:p w14:paraId="750E0670" w14:textId="77777777" w:rsidR="0046798B" w:rsidRDefault="00903B5C">
            <w:pPr>
              <w:pStyle w:val="TableParagraph"/>
              <w:spacing w:before="1"/>
              <w:ind w:left="114"/>
              <w:rPr>
                <w:sz w:val="20"/>
              </w:rPr>
            </w:pPr>
            <w:r>
              <w:rPr>
                <w:sz w:val="20"/>
              </w:rPr>
              <w:t>Charter schools law? (0 = no, 1 = yes)</w:t>
            </w:r>
          </w:p>
        </w:tc>
        <w:tc>
          <w:tcPr>
            <w:tcW w:w="6482" w:type="dxa"/>
          </w:tcPr>
          <w:p w14:paraId="3619DD0A"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BB27D95" w14:textId="77777777">
        <w:trPr>
          <w:trHeight w:val="1005"/>
        </w:trPr>
        <w:tc>
          <w:tcPr>
            <w:tcW w:w="1711" w:type="dxa"/>
          </w:tcPr>
          <w:p w14:paraId="06BAC55B" w14:textId="77777777" w:rsidR="0046798B" w:rsidRDefault="0046798B">
            <w:pPr>
              <w:pStyle w:val="TableParagraph"/>
            </w:pPr>
          </w:p>
          <w:p w14:paraId="4631EBE1" w14:textId="77777777" w:rsidR="0046798B" w:rsidRDefault="00903B5C">
            <w:pPr>
              <w:pStyle w:val="TableParagraph"/>
              <w:spacing w:before="130"/>
              <w:ind w:left="115"/>
              <w:rPr>
                <w:b/>
                <w:sz w:val="20"/>
              </w:rPr>
            </w:pPr>
            <w:r>
              <w:rPr>
                <w:b/>
                <w:sz w:val="20"/>
              </w:rPr>
              <w:t>ecsalb</w:t>
            </w:r>
          </w:p>
        </w:tc>
        <w:tc>
          <w:tcPr>
            <w:tcW w:w="1596" w:type="dxa"/>
          </w:tcPr>
          <w:p w14:paraId="0432FCF2" w14:textId="77777777" w:rsidR="0046798B" w:rsidRDefault="00903B5C">
            <w:pPr>
              <w:pStyle w:val="TableParagraph"/>
              <w:spacing w:before="153"/>
              <w:ind w:left="114" w:right="446"/>
              <w:rPr>
                <w:sz w:val="20"/>
              </w:rPr>
            </w:pPr>
            <w:r>
              <w:rPr>
                <w:sz w:val="20"/>
              </w:rPr>
              <w:t>Compulsory school age, lower bound</w:t>
            </w:r>
          </w:p>
        </w:tc>
        <w:tc>
          <w:tcPr>
            <w:tcW w:w="1285" w:type="dxa"/>
          </w:tcPr>
          <w:p w14:paraId="331E7A1A" w14:textId="77777777" w:rsidR="0046798B" w:rsidRDefault="0046798B">
            <w:pPr>
              <w:pStyle w:val="TableParagraph"/>
            </w:pPr>
          </w:p>
          <w:p w14:paraId="333EF50A" w14:textId="77777777" w:rsidR="0046798B" w:rsidRDefault="00903B5C">
            <w:pPr>
              <w:pStyle w:val="TableParagraph"/>
              <w:spacing w:before="130"/>
              <w:ind w:left="114"/>
              <w:rPr>
                <w:sz w:val="20"/>
              </w:rPr>
            </w:pPr>
            <w:r>
              <w:rPr>
                <w:sz w:val="20"/>
              </w:rPr>
              <w:t>2000–2016</w:t>
            </w:r>
          </w:p>
        </w:tc>
        <w:tc>
          <w:tcPr>
            <w:tcW w:w="3421" w:type="dxa"/>
          </w:tcPr>
          <w:p w14:paraId="114B3FF3" w14:textId="77777777" w:rsidR="0046798B" w:rsidRDefault="00903B5C">
            <w:pPr>
              <w:pStyle w:val="TableParagraph"/>
              <w:spacing w:before="38"/>
              <w:ind w:left="114" w:right="282"/>
              <w:rPr>
                <w:sz w:val="20"/>
              </w:rPr>
            </w:pPr>
            <w:r>
              <w:rPr>
                <w:sz w:val="20"/>
              </w:rPr>
              <w:t>Compulsory school age, lower bound (minimum standard if set by local school district; age at which parental waivers not permitted)</w:t>
            </w:r>
          </w:p>
        </w:tc>
        <w:tc>
          <w:tcPr>
            <w:tcW w:w="6482" w:type="dxa"/>
          </w:tcPr>
          <w:p w14:paraId="0EE1136A" w14:textId="77777777" w:rsidR="0046798B" w:rsidRDefault="00903B5C">
            <w:pPr>
              <w:pStyle w:val="TableParagraph"/>
              <w:spacing w:before="15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36CAD99" w14:textId="77777777">
        <w:trPr>
          <w:trHeight w:val="1005"/>
        </w:trPr>
        <w:tc>
          <w:tcPr>
            <w:tcW w:w="1711" w:type="dxa"/>
          </w:tcPr>
          <w:p w14:paraId="3988A02F" w14:textId="77777777" w:rsidR="0046798B" w:rsidRDefault="0046798B">
            <w:pPr>
              <w:pStyle w:val="TableParagraph"/>
            </w:pPr>
          </w:p>
          <w:p w14:paraId="49760A02" w14:textId="77777777" w:rsidR="0046798B" w:rsidRDefault="00903B5C">
            <w:pPr>
              <w:pStyle w:val="TableParagraph"/>
              <w:spacing w:before="130"/>
              <w:ind w:left="115"/>
              <w:rPr>
                <w:b/>
                <w:sz w:val="20"/>
              </w:rPr>
            </w:pPr>
            <w:r>
              <w:rPr>
                <w:b/>
                <w:sz w:val="20"/>
              </w:rPr>
              <w:t>ecsaub</w:t>
            </w:r>
          </w:p>
        </w:tc>
        <w:tc>
          <w:tcPr>
            <w:tcW w:w="1596" w:type="dxa"/>
          </w:tcPr>
          <w:p w14:paraId="506ACDE3" w14:textId="77777777" w:rsidR="0046798B" w:rsidRDefault="00903B5C">
            <w:pPr>
              <w:pStyle w:val="TableParagraph"/>
              <w:spacing w:before="153"/>
              <w:ind w:left="114" w:right="446"/>
              <w:rPr>
                <w:sz w:val="20"/>
              </w:rPr>
            </w:pPr>
            <w:r>
              <w:rPr>
                <w:sz w:val="20"/>
              </w:rPr>
              <w:t>Compulsory school age, upper bound</w:t>
            </w:r>
          </w:p>
        </w:tc>
        <w:tc>
          <w:tcPr>
            <w:tcW w:w="1285" w:type="dxa"/>
          </w:tcPr>
          <w:p w14:paraId="2C694B2B" w14:textId="77777777" w:rsidR="0046798B" w:rsidRDefault="0046798B">
            <w:pPr>
              <w:pStyle w:val="TableParagraph"/>
            </w:pPr>
          </w:p>
          <w:p w14:paraId="5E7571F5" w14:textId="77777777" w:rsidR="0046798B" w:rsidRDefault="00903B5C">
            <w:pPr>
              <w:pStyle w:val="TableParagraph"/>
              <w:spacing w:before="130"/>
              <w:ind w:left="114"/>
              <w:rPr>
                <w:sz w:val="20"/>
              </w:rPr>
            </w:pPr>
            <w:r>
              <w:rPr>
                <w:sz w:val="20"/>
              </w:rPr>
              <w:t>2000–2016</w:t>
            </w:r>
          </w:p>
        </w:tc>
        <w:tc>
          <w:tcPr>
            <w:tcW w:w="3421" w:type="dxa"/>
          </w:tcPr>
          <w:p w14:paraId="5AA1ACD4" w14:textId="77777777" w:rsidR="0046798B" w:rsidRDefault="00903B5C">
            <w:pPr>
              <w:pStyle w:val="TableParagraph"/>
              <w:spacing w:before="38"/>
              <w:ind w:left="114" w:right="282"/>
              <w:rPr>
                <w:sz w:val="20"/>
              </w:rPr>
            </w:pPr>
            <w:r>
              <w:rPr>
                <w:sz w:val="20"/>
              </w:rPr>
              <w:t>Compulsory school age, upper bound (minimum standard if set by local school district; age at which parental waivers not permitted)</w:t>
            </w:r>
          </w:p>
        </w:tc>
        <w:tc>
          <w:tcPr>
            <w:tcW w:w="6482" w:type="dxa"/>
          </w:tcPr>
          <w:p w14:paraId="07701F47" w14:textId="77777777" w:rsidR="0046798B" w:rsidRDefault="00903B5C">
            <w:pPr>
              <w:pStyle w:val="TableParagraph"/>
              <w:spacing w:before="15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21E99A9" w14:textId="77777777">
        <w:trPr>
          <w:trHeight w:val="775"/>
        </w:trPr>
        <w:tc>
          <w:tcPr>
            <w:tcW w:w="1711" w:type="dxa"/>
          </w:tcPr>
          <w:p w14:paraId="2B4CB960" w14:textId="77777777" w:rsidR="0046798B" w:rsidRDefault="0046798B">
            <w:pPr>
              <w:pStyle w:val="TableParagraph"/>
              <w:spacing w:before="9"/>
              <w:rPr>
                <w:sz w:val="23"/>
              </w:rPr>
            </w:pPr>
          </w:p>
          <w:p w14:paraId="397055D7" w14:textId="77777777" w:rsidR="0046798B" w:rsidRDefault="00903B5C">
            <w:pPr>
              <w:pStyle w:val="TableParagraph"/>
              <w:ind w:left="115"/>
              <w:rPr>
                <w:b/>
                <w:sz w:val="20"/>
              </w:rPr>
            </w:pPr>
            <w:r>
              <w:rPr>
                <w:b/>
                <w:sz w:val="20"/>
              </w:rPr>
              <w:t>ecsyrs</w:t>
            </w:r>
          </w:p>
        </w:tc>
        <w:tc>
          <w:tcPr>
            <w:tcW w:w="1596" w:type="dxa"/>
          </w:tcPr>
          <w:p w14:paraId="2599FB43" w14:textId="77777777" w:rsidR="0046798B" w:rsidRDefault="00903B5C">
            <w:pPr>
              <w:pStyle w:val="TableParagraph"/>
              <w:spacing w:before="158"/>
              <w:ind w:left="114" w:right="457"/>
              <w:rPr>
                <w:sz w:val="20"/>
              </w:rPr>
            </w:pPr>
            <w:r>
              <w:rPr>
                <w:sz w:val="20"/>
              </w:rPr>
              <w:t>Compulsory school years</w:t>
            </w:r>
          </w:p>
        </w:tc>
        <w:tc>
          <w:tcPr>
            <w:tcW w:w="1285" w:type="dxa"/>
          </w:tcPr>
          <w:p w14:paraId="1F49113C" w14:textId="77777777" w:rsidR="0046798B" w:rsidRDefault="0046798B">
            <w:pPr>
              <w:pStyle w:val="TableParagraph"/>
              <w:spacing w:before="9"/>
              <w:rPr>
                <w:sz w:val="23"/>
              </w:rPr>
            </w:pPr>
          </w:p>
          <w:p w14:paraId="5126E0BF" w14:textId="77777777" w:rsidR="0046798B" w:rsidRDefault="00903B5C">
            <w:pPr>
              <w:pStyle w:val="TableParagraph"/>
              <w:ind w:left="114"/>
              <w:rPr>
                <w:sz w:val="20"/>
              </w:rPr>
            </w:pPr>
            <w:r>
              <w:rPr>
                <w:sz w:val="20"/>
              </w:rPr>
              <w:t>2000–2016</w:t>
            </w:r>
          </w:p>
        </w:tc>
        <w:tc>
          <w:tcPr>
            <w:tcW w:w="3421" w:type="dxa"/>
          </w:tcPr>
          <w:p w14:paraId="5B88D0D5" w14:textId="77777777" w:rsidR="0046798B" w:rsidRDefault="00903B5C">
            <w:pPr>
              <w:pStyle w:val="TableParagraph"/>
              <w:spacing w:before="158"/>
              <w:ind w:left="114" w:right="433"/>
              <w:rPr>
                <w:sz w:val="20"/>
              </w:rPr>
            </w:pPr>
            <w:r>
              <w:rPr>
                <w:sz w:val="20"/>
              </w:rPr>
              <w:t>Compulsory school years (ecsaub – ecsalb)</w:t>
            </w:r>
          </w:p>
        </w:tc>
        <w:tc>
          <w:tcPr>
            <w:tcW w:w="6482" w:type="dxa"/>
          </w:tcPr>
          <w:p w14:paraId="2AC0663A"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4E05E9D" w14:textId="77777777">
        <w:trPr>
          <w:trHeight w:val="1235"/>
        </w:trPr>
        <w:tc>
          <w:tcPr>
            <w:tcW w:w="1711" w:type="dxa"/>
          </w:tcPr>
          <w:p w14:paraId="5AF9B306" w14:textId="77777777" w:rsidR="0046798B" w:rsidRDefault="0046798B">
            <w:pPr>
              <w:pStyle w:val="TableParagraph"/>
            </w:pPr>
          </w:p>
          <w:p w14:paraId="3855C3B9" w14:textId="77777777" w:rsidR="0046798B" w:rsidRDefault="0046798B">
            <w:pPr>
              <w:pStyle w:val="TableParagraph"/>
              <w:spacing w:before="8"/>
              <w:rPr>
                <w:sz w:val="21"/>
              </w:rPr>
            </w:pPr>
          </w:p>
          <w:p w14:paraId="4D42622E" w14:textId="77777777" w:rsidR="0046798B" w:rsidRDefault="00903B5C">
            <w:pPr>
              <w:pStyle w:val="TableParagraph"/>
              <w:spacing w:before="1"/>
              <w:ind w:left="115"/>
              <w:rPr>
                <w:b/>
                <w:sz w:val="20"/>
              </w:rPr>
            </w:pPr>
            <w:r>
              <w:rPr>
                <w:b/>
                <w:sz w:val="20"/>
              </w:rPr>
              <w:t>eevol</w:t>
            </w:r>
          </w:p>
        </w:tc>
        <w:tc>
          <w:tcPr>
            <w:tcW w:w="1596" w:type="dxa"/>
          </w:tcPr>
          <w:p w14:paraId="06BD4D9D" w14:textId="77777777" w:rsidR="0046798B" w:rsidRDefault="00903B5C">
            <w:pPr>
              <w:pStyle w:val="TableParagraph"/>
              <w:spacing w:before="43"/>
              <w:ind w:left="114" w:right="119"/>
              <w:rPr>
                <w:sz w:val="20"/>
              </w:rPr>
            </w:pPr>
            <w:r>
              <w:rPr>
                <w:sz w:val="20"/>
              </w:rPr>
              <w:t>Law permitting public school teachers to teach “weaknesses of evolution”</w:t>
            </w:r>
          </w:p>
        </w:tc>
        <w:tc>
          <w:tcPr>
            <w:tcW w:w="1285" w:type="dxa"/>
          </w:tcPr>
          <w:p w14:paraId="27573DC7" w14:textId="77777777" w:rsidR="0046798B" w:rsidRDefault="0046798B">
            <w:pPr>
              <w:pStyle w:val="TableParagraph"/>
            </w:pPr>
          </w:p>
          <w:p w14:paraId="58E9C88B" w14:textId="77777777" w:rsidR="0046798B" w:rsidRDefault="0046798B">
            <w:pPr>
              <w:pStyle w:val="TableParagraph"/>
              <w:spacing w:before="8"/>
              <w:rPr>
                <w:sz w:val="21"/>
              </w:rPr>
            </w:pPr>
          </w:p>
          <w:p w14:paraId="1BBF60C1" w14:textId="77777777" w:rsidR="0046798B" w:rsidRDefault="00903B5C">
            <w:pPr>
              <w:pStyle w:val="TableParagraph"/>
              <w:spacing w:before="1"/>
              <w:ind w:left="114"/>
              <w:rPr>
                <w:sz w:val="20"/>
              </w:rPr>
            </w:pPr>
            <w:r>
              <w:rPr>
                <w:sz w:val="20"/>
              </w:rPr>
              <w:t>2000–2016</w:t>
            </w:r>
          </w:p>
        </w:tc>
        <w:tc>
          <w:tcPr>
            <w:tcW w:w="3421" w:type="dxa"/>
          </w:tcPr>
          <w:p w14:paraId="17EF80F1" w14:textId="77777777" w:rsidR="0046798B" w:rsidRDefault="0046798B">
            <w:pPr>
              <w:pStyle w:val="TableParagraph"/>
              <w:spacing w:before="8"/>
              <w:rPr>
                <w:sz w:val="23"/>
              </w:rPr>
            </w:pPr>
          </w:p>
          <w:p w14:paraId="5A325333" w14:textId="77777777" w:rsidR="0046798B" w:rsidRDefault="00903B5C">
            <w:pPr>
              <w:pStyle w:val="TableParagraph"/>
              <w:spacing w:before="1"/>
              <w:ind w:left="114" w:right="87"/>
              <w:rPr>
                <w:sz w:val="20"/>
              </w:rPr>
            </w:pPr>
            <w:r>
              <w:rPr>
                <w:sz w:val="20"/>
              </w:rPr>
              <w:t>Law permitting public school teachers to teach “weaknesses of evolution” (0 = no, 1 = yes)</w:t>
            </w:r>
          </w:p>
        </w:tc>
        <w:tc>
          <w:tcPr>
            <w:tcW w:w="6482" w:type="dxa"/>
          </w:tcPr>
          <w:p w14:paraId="57AEA777" w14:textId="77777777" w:rsidR="0046798B" w:rsidRDefault="0046798B">
            <w:pPr>
              <w:pStyle w:val="TableParagraph"/>
              <w:spacing w:before="8"/>
              <w:rPr>
                <w:sz w:val="23"/>
              </w:rPr>
            </w:pPr>
          </w:p>
          <w:p w14:paraId="625B5533" w14:textId="77777777" w:rsidR="0046798B" w:rsidRDefault="00903B5C">
            <w:pPr>
              <w:pStyle w:val="TableParagraph"/>
              <w:spacing w:before="1"/>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EFC94B4" w14:textId="77777777">
        <w:trPr>
          <w:trHeight w:val="1235"/>
        </w:trPr>
        <w:tc>
          <w:tcPr>
            <w:tcW w:w="1711" w:type="dxa"/>
          </w:tcPr>
          <w:p w14:paraId="0E9AAC1E" w14:textId="77777777" w:rsidR="0046798B" w:rsidRDefault="0046798B">
            <w:pPr>
              <w:pStyle w:val="TableParagraph"/>
            </w:pPr>
          </w:p>
          <w:p w14:paraId="5EC9B0C5" w14:textId="77777777" w:rsidR="0046798B" w:rsidRDefault="0046798B">
            <w:pPr>
              <w:pStyle w:val="TableParagraph"/>
              <w:spacing w:before="8"/>
              <w:rPr>
                <w:sz w:val="21"/>
              </w:rPr>
            </w:pPr>
          </w:p>
          <w:p w14:paraId="7A8F6668" w14:textId="77777777" w:rsidR="0046798B" w:rsidRDefault="00903B5C">
            <w:pPr>
              <w:pStyle w:val="TableParagraph"/>
              <w:ind w:left="115"/>
              <w:rPr>
                <w:b/>
                <w:sz w:val="20"/>
              </w:rPr>
            </w:pPr>
            <w:r>
              <w:rPr>
                <w:b/>
                <w:sz w:val="20"/>
              </w:rPr>
              <w:t>effg</w:t>
            </w:r>
          </w:p>
        </w:tc>
        <w:tc>
          <w:tcPr>
            <w:tcW w:w="1596" w:type="dxa"/>
          </w:tcPr>
          <w:p w14:paraId="6A5892BF" w14:textId="77777777" w:rsidR="0046798B" w:rsidRDefault="00903B5C">
            <w:pPr>
              <w:pStyle w:val="TableParagraph"/>
              <w:spacing w:before="43"/>
              <w:ind w:left="114" w:right="246"/>
              <w:rPr>
                <w:sz w:val="20"/>
              </w:rPr>
            </w:pPr>
            <w:r>
              <w:rPr>
                <w:sz w:val="20"/>
              </w:rPr>
              <w:t>Friedman Foundation grade of state regulations of private schools</w:t>
            </w:r>
          </w:p>
        </w:tc>
        <w:tc>
          <w:tcPr>
            <w:tcW w:w="1285" w:type="dxa"/>
          </w:tcPr>
          <w:p w14:paraId="6302AA09" w14:textId="77777777" w:rsidR="0046798B" w:rsidRDefault="0046798B">
            <w:pPr>
              <w:pStyle w:val="TableParagraph"/>
            </w:pPr>
          </w:p>
          <w:p w14:paraId="784216C0" w14:textId="77777777" w:rsidR="0046798B" w:rsidRDefault="0046798B">
            <w:pPr>
              <w:pStyle w:val="TableParagraph"/>
              <w:spacing w:before="8"/>
              <w:rPr>
                <w:sz w:val="21"/>
              </w:rPr>
            </w:pPr>
          </w:p>
          <w:p w14:paraId="1A6FAAC7" w14:textId="77777777" w:rsidR="0046798B" w:rsidRDefault="00903B5C">
            <w:pPr>
              <w:pStyle w:val="TableParagraph"/>
              <w:ind w:left="114"/>
              <w:rPr>
                <w:sz w:val="20"/>
              </w:rPr>
            </w:pPr>
            <w:r>
              <w:rPr>
                <w:sz w:val="20"/>
              </w:rPr>
              <w:t>2006–2016</w:t>
            </w:r>
          </w:p>
        </w:tc>
        <w:tc>
          <w:tcPr>
            <w:tcW w:w="3421" w:type="dxa"/>
          </w:tcPr>
          <w:p w14:paraId="48F764D7" w14:textId="77777777" w:rsidR="0046798B" w:rsidRDefault="0046798B">
            <w:pPr>
              <w:pStyle w:val="TableParagraph"/>
            </w:pPr>
          </w:p>
          <w:p w14:paraId="55E4700F" w14:textId="77777777" w:rsidR="0046798B" w:rsidRDefault="00903B5C">
            <w:pPr>
              <w:pStyle w:val="TableParagraph"/>
              <w:spacing w:before="135"/>
              <w:ind w:left="114" w:right="422"/>
              <w:rPr>
                <w:sz w:val="20"/>
              </w:rPr>
            </w:pPr>
            <w:r>
              <w:rPr>
                <w:sz w:val="20"/>
              </w:rPr>
              <w:t>Friedman Foundation grade of state regulations of private schools</w:t>
            </w:r>
          </w:p>
        </w:tc>
        <w:tc>
          <w:tcPr>
            <w:tcW w:w="6482" w:type="dxa"/>
          </w:tcPr>
          <w:p w14:paraId="37ABD521" w14:textId="77777777" w:rsidR="0046798B" w:rsidRDefault="0046798B">
            <w:pPr>
              <w:pStyle w:val="TableParagraph"/>
              <w:spacing w:before="8"/>
              <w:rPr>
                <w:sz w:val="23"/>
              </w:rPr>
            </w:pPr>
          </w:p>
          <w:p w14:paraId="561C191F"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DCB0728" w14:textId="77777777">
        <w:trPr>
          <w:trHeight w:val="1010"/>
        </w:trPr>
        <w:tc>
          <w:tcPr>
            <w:tcW w:w="1711" w:type="dxa"/>
          </w:tcPr>
          <w:p w14:paraId="0AE17A16" w14:textId="77777777" w:rsidR="0046798B" w:rsidRDefault="0046798B">
            <w:pPr>
              <w:pStyle w:val="TableParagraph"/>
            </w:pPr>
          </w:p>
          <w:p w14:paraId="0715566B" w14:textId="77777777" w:rsidR="0046798B" w:rsidRDefault="00903B5C">
            <w:pPr>
              <w:pStyle w:val="TableParagraph"/>
              <w:spacing w:before="135"/>
              <w:ind w:left="115"/>
              <w:rPr>
                <w:b/>
                <w:sz w:val="20"/>
              </w:rPr>
            </w:pPr>
            <w:r>
              <w:rPr>
                <w:b/>
                <w:sz w:val="20"/>
              </w:rPr>
              <w:t>ehscurr</w:t>
            </w:r>
          </w:p>
        </w:tc>
        <w:tc>
          <w:tcPr>
            <w:tcW w:w="1596" w:type="dxa"/>
          </w:tcPr>
          <w:p w14:paraId="58A0F1BB" w14:textId="77777777" w:rsidR="0046798B" w:rsidRDefault="00903B5C">
            <w:pPr>
              <w:pStyle w:val="TableParagraph"/>
              <w:spacing w:before="43"/>
              <w:ind w:left="114" w:right="130"/>
              <w:rPr>
                <w:sz w:val="20"/>
              </w:rPr>
            </w:pPr>
            <w:r>
              <w:rPr>
                <w:sz w:val="20"/>
              </w:rPr>
              <w:t>Required subjects/curricul um for homeschoolers</w:t>
            </w:r>
          </w:p>
        </w:tc>
        <w:tc>
          <w:tcPr>
            <w:tcW w:w="1285" w:type="dxa"/>
          </w:tcPr>
          <w:p w14:paraId="316668E1" w14:textId="77777777" w:rsidR="0046798B" w:rsidRDefault="0046798B">
            <w:pPr>
              <w:pStyle w:val="TableParagraph"/>
            </w:pPr>
          </w:p>
          <w:p w14:paraId="40D24054" w14:textId="77777777" w:rsidR="0046798B" w:rsidRDefault="00903B5C">
            <w:pPr>
              <w:pStyle w:val="TableParagraph"/>
              <w:spacing w:before="135"/>
              <w:ind w:left="114"/>
              <w:rPr>
                <w:sz w:val="20"/>
              </w:rPr>
            </w:pPr>
            <w:r>
              <w:rPr>
                <w:sz w:val="20"/>
              </w:rPr>
              <w:t>2000–2016</w:t>
            </w:r>
          </w:p>
        </w:tc>
        <w:tc>
          <w:tcPr>
            <w:tcW w:w="3421" w:type="dxa"/>
          </w:tcPr>
          <w:p w14:paraId="5CFAA005" w14:textId="77777777" w:rsidR="0046798B" w:rsidRDefault="00903B5C">
            <w:pPr>
              <w:pStyle w:val="TableParagraph"/>
              <w:spacing w:before="43"/>
              <w:ind w:left="114" w:right="113"/>
              <w:rPr>
                <w:sz w:val="20"/>
              </w:rPr>
            </w:pPr>
            <w:r>
              <w:rPr>
                <w:sz w:val="20"/>
              </w:rPr>
              <w:t>Required subjects/curriculum for homeschoolers? (0 = none, 1 = subjects required, 2 = curriculum subject to approval/review)</w:t>
            </w:r>
          </w:p>
        </w:tc>
        <w:tc>
          <w:tcPr>
            <w:tcW w:w="6482" w:type="dxa"/>
          </w:tcPr>
          <w:p w14:paraId="15D9C0ED" w14:textId="77777777" w:rsidR="0046798B" w:rsidRDefault="00903B5C">
            <w:pPr>
              <w:pStyle w:val="TableParagraph"/>
              <w:spacing w:before="158"/>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50DE792C" w14:textId="77777777" w:rsidR="0046798B" w:rsidRDefault="0046798B">
      <w:pPr>
        <w:rPr>
          <w:sz w:val="20"/>
        </w:rPr>
        <w:sectPr w:rsidR="0046798B">
          <w:pgSz w:w="15840" w:h="12240" w:orient="landscape"/>
          <w:pgMar w:top="1220" w:right="300" w:bottom="980" w:left="820" w:header="730" w:footer="787" w:gutter="0"/>
          <w:cols w:space="720"/>
        </w:sectPr>
      </w:pPr>
    </w:p>
    <w:p w14:paraId="01DB7F8E"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3E85ECAF" w14:textId="77777777">
        <w:trPr>
          <w:trHeight w:val="1005"/>
        </w:trPr>
        <w:tc>
          <w:tcPr>
            <w:tcW w:w="1711" w:type="dxa"/>
          </w:tcPr>
          <w:p w14:paraId="5CB913A5" w14:textId="77777777" w:rsidR="0046798B" w:rsidRDefault="0046798B">
            <w:pPr>
              <w:pStyle w:val="TableParagraph"/>
            </w:pPr>
          </w:p>
          <w:p w14:paraId="43338F77" w14:textId="77777777" w:rsidR="0046798B" w:rsidRDefault="00903B5C">
            <w:pPr>
              <w:pStyle w:val="TableParagraph"/>
              <w:spacing w:before="135"/>
              <w:ind w:left="115"/>
              <w:rPr>
                <w:b/>
                <w:sz w:val="20"/>
              </w:rPr>
            </w:pPr>
            <w:r>
              <w:rPr>
                <w:b/>
                <w:sz w:val="20"/>
              </w:rPr>
              <w:t>ehslaw</w:t>
            </w:r>
          </w:p>
        </w:tc>
        <w:tc>
          <w:tcPr>
            <w:tcW w:w="1596" w:type="dxa"/>
          </w:tcPr>
          <w:p w14:paraId="2C138FA4" w14:textId="77777777" w:rsidR="0046798B" w:rsidRDefault="00903B5C">
            <w:pPr>
              <w:pStyle w:val="TableParagraph"/>
              <w:spacing w:before="43"/>
              <w:ind w:left="114" w:right="185"/>
              <w:rPr>
                <w:sz w:val="20"/>
              </w:rPr>
            </w:pPr>
            <w:r>
              <w:rPr>
                <w:sz w:val="20"/>
              </w:rPr>
              <w:t>Homeschooling explicitly permitted by statute</w:t>
            </w:r>
          </w:p>
        </w:tc>
        <w:tc>
          <w:tcPr>
            <w:tcW w:w="1285" w:type="dxa"/>
          </w:tcPr>
          <w:p w14:paraId="057A3E07" w14:textId="77777777" w:rsidR="0046798B" w:rsidRDefault="0046798B">
            <w:pPr>
              <w:pStyle w:val="TableParagraph"/>
            </w:pPr>
          </w:p>
          <w:p w14:paraId="3DAA55E7" w14:textId="77777777" w:rsidR="0046798B" w:rsidRDefault="00903B5C">
            <w:pPr>
              <w:pStyle w:val="TableParagraph"/>
              <w:spacing w:before="135"/>
              <w:ind w:left="114"/>
              <w:rPr>
                <w:sz w:val="20"/>
              </w:rPr>
            </w:pPr>
            <w:r>
              <w:rPr>
                <w:sz w:val="20"/>
              </w:rPr>
              <w:t>2000–2016</w:t>
            </w:r>
          </w:p>
        </w:tc>
        <w:tc>
          <w:tcPr>
            <w:tcW w:w="3421" w:type="dxa"/>
          </w:tcPr>
          <w:p w14:paraId="4AAE6412" w14:textId="77777777" w:rsidR="0046798B" w:rsidRDefault="00903B5C">
            <w:pPr>
              <w:pStyle w:val="TableParagraph"/>
              <w:spacing w:before="158"/>
              <w:ind w:left="114" w:right="138"/>
              <w:rPr>
                <w:sz w:val="20"/>
              </w:rPr>
            </w:pPr>
            <w:r>
              <w:rPr>
                <w:sz w:val="20"/>
              </w:rPr>
              <w:t>Homeschooling explicitly permitted by statute? (0 = no, must use alternative options, 1= yes)</w:t>
            </w:r>
          </w:p>
        </w:tc>
        <w:tc>
          <w:tcPr>
            <w:tcW w:w="6482" w:type="dxa"/>
          </w:tcPr>
          <w:p w14:paraId="1F41E89F"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016195F" w14:textId="77777777">
        <w:trPr>
          <w:trHeight w:val="2156"/>
        </w:trPr>
        <w:tc>
          <w:tcPr>
            <w:tcW w:w="1711" w:type="dxa"/>
          </w:tcPr>
          <w:p w14:paraId="32D5D602" w14:textId="77777777" w:rsidR="0046798B" w:rsidRDefault="0046798B">
            <w:pPr>
              <w:pStyle w:val="TableParagraph"/>
            </w:pPr>
          </w:p>
          <w:p w14:paraId="507FDBCC" w14:textId="77777777" w:rsidR="0046798B" w:rsidRDefault="0046798B">
            <w:pPr>
              <w:pStyle w:val="TableParagraph"/>
            </w:pPr>
          </w:p>
          <w:p w14:paraId="54200F7A" w14:textId="77777777" w:rsidR="0046798B" w:rsidRDefault="0046798B">
            <w:pPr>
              <w:pStyle w:val="TableParagraph"/>
            </w:pPr>
          </w:p>
          <w:p w14:paraId="6CFEAA83" w14:textId="77777777" w:rsidR="0046798B" w:rsidRDefault="0046798B">
            <w:pPr>
              <w:pStyle w:val="TableParagraph"/>
              <w:spacing w:before="9"/>
              <w:rPr>
                <w:sz w:val="17"/>
              </w:rPr>
            </w:pPr>
          </w:p>
          <w:p w14:paraId="00E052B6" w14:textId="77777777" w:rsidR="0046798B" w:rsidRDefault="00903B5C">
            <w:pPr>
              <w:pStyle w:val="TableParagraph"/>
              <w:ind w:left="115"/>
              <w:rPr>
                <w:b/>
                <w:sz w:val="20"/>
              </w:rPr>
            </w:pPr>
            <w:r>
              <w:rPr>
                <w:b/>
                <w:sz w:val="20"/>
              </w:rPr>
              <w:t>ehsnote</w:t>
            </w:r>
          </w:p>
        </w:tc>
        <w:tc>
          <w:tcPr>
            <w:tcW w:w="1596" w:type="dxa"/>
          </w:tcPr>
          <w:p w14:paraId="38D1D1FB" w14:textId="77777777" w:rsidR="0046798B" w:rsidRDefault="0046798B">
            <w:pPr>
              <w:pStyle w:val="TableParagraph"/>
            </w:pPr>
          </w:p>
          <w:p w14:paraId="6471570F" w14:textId="77777777" w:rsidR="0046798B" w:rsidRDefault="0046798B">
            <w:pPr>
              <w:pStyle w:val="TableParagraph"/>
            </w:pPr>
          </w:p>
          <w:p w14:paraId="6B25CDB0" w14:textId="77777777" w:rsidR="0046798B" w:rsidRDefault="0046798B">
            <w:pPr>
              <w:pStyle w:val="TableParagraph"/>
              <w:spacing w:before="9"/>
              <w:rPr>
                <w:sz w:val="19"/>
              </w:rPr>
            </w:pPr>
          </w:p>
          <w:p w14:paraId="2450C0B7" w14:textId="77777777" w:rsidR="0046798B" w:rsidRDefault="00903B5C">
            <w:pPr>
              <w:pStyle w:val="TableParagraph"/>
              <w:ind w:left="114" w:right="229"/>
              <w:rPr>
                <w:sz w:val="20"/>
              </w:rPr>
            </w:pPr>
            <w:r>
              <w:rPr>
                <w:sz w:val="20"/>
              </w:rPr>
              <w:t>Extent of homeschooling notice required</w:t>
            </w:r>
          </w:p>
        </w:tc>
        <w:tc>
          <w:tcPr>
            <w:tcW w:w="1285" w:type="dxa"/>
          </w:tcPr>
          <w:p w14:paraId="48FDF5FC" w14:textId="77777777" w:rsidR="0046798B" w:rsidRDefault="0046798B">
            <w:pPr>
              <w:pStyle w:val="TableParagraph"/>
            </w:pPr>
          </w:p>
          <w:p w14:paraId="51D2A5A7" w14:textId="77777777" w:rsidR="0046798B" w:rsidRDefault="0046798B">
            <w:pPr>
              <w:pStyle w:val="TableParagraph"/>
            </w:pPr>
          </w:p>
          <w:p w14:paraId="1929E118" w14:textId="77777777" w:rsidR="0046798B" w:rsidRDefault="0046798B">
            <w:pPr>
              <w:pStyle w:val="TableParagraph"/>
            </w:pPr>
          </w:p>
          <w:p w14:paraId="76AD1EFF" w14:textId="77777777" w:rsidR="0046798B" w:rsidRDefault="0046798B">
            <w:pPr>
              <w:pStyle w:val="TableParagraph"/>
              <w:spacing w:before="9"/>
              <w:rPr>
                <w:sz w:val="17"/>
              </w:rPr>
            </w:pPr>
          </w:p>
          <w:p w14:paraId="6A8B0F33" w14:textId="77777777" w:rsidR="0046798B" w:rsidRDefault="00903B5C">
            <w:pPr>
              <w:pStyle w:val="TableParagraph"/>
              <w:ind w:left="114"/>
              <w:rPr>
                <w:sz w:val="20"/>
              </w:rPr>
            </w:pPr>
            <w:r>
              <w:rPr>
                <w:sz w:val="20"/>
              </w:rPr>
              <w:t>2000–2016</w:t>
            </w:r>
          </w:p>
        </w:tc>
        <w:tc>
          <w:tcPr>
            <w:tcW w:w="3421" w:type="dxa"/>
          </w:tcPr>
          <w:p w14:paraId="73D30D63" w14:textId="77777777" w:rsidR="0046798B" w:rsidRDefault="00903B5C">
            <w:pPr>
              <w:pStyle w:val="TableParagraph"/>
              <w:spacing w:before="43"/>
              <w:ind w:left="114" w:right="727"/>
              <w:rPr>
                <w:sz w:val="20"/>
              </w:rPr>
            </w:pPr>
            <w:r>
              <w:rPr>
                <w:sz w:val="20"/>
              </w:rPr>
              <w:t>Extent of homeschooling notice required</w:t>
            </w:r>
          </w:p>
          <w:p w14:paraId="02B58475" w14:textId="77777777" w:rsidR="0046798B" w:rsidRDefault="0046798B">
            <w:pPr>
              <w:pStyle w:val="TableParagraph"/>
              <w:rPr>
                <w:sz w:val="20"/>
              </w:rPr>
            </w:pPr>
          </w:p>
          <w:p w14:paraId="08A728CA" w14:textId="77777777" w:rsidR="0046798B" w:rsidRDefault="00903B5C">
            <w:pPr>
              <w:pStyle w:val="TableParagraph"/>
              <w:spacing w:before="1"/>
              <w:ind w:left="114" w:right="177"/>
              <w:rPr>
                <w:sz w:val="20"/>
              </w:rPr>
            </w:pPr>
            <w:r>
              <w:rPr>
                <w:sz w:val="20"/>
              </w:rPr>
              <w:t>0 = none; 1 = only basic identifying or attendance info must be submitted; 1.5</w:t>
            </w:r>
          </w:p>
          <w:p w14:paraId="0FD48E47" w14:textId="77777777" w:rsidR="0046798B" w:rsidRDefault="00903B5C">
            <w:pPr>
              <w:pStyle w:val="TableParagraph"/>
              <w:ind w:left="114" w:right="242"/>
              <w:rPr>
                <w:sz w:val="20"/>
              </w:rPr>
            </w:pPr>
            <w:r>
              <w:rPr>
                <w:sz w:val="20"/>
              </w:rPr>
              <w:t>= curriculum and similar info must be submitted only once; 2 = curriculum, qualifications, or other info must be submitted)</w:t>
            </w:r>
          </w:p>
        </w:tc>
        <w:tc>
          <w:tcPr>
            <w:tcW w:w="6482" w:type="dxa"/>
          </w:tcPr>
          <w:p w14:paraId="6862E970" w14:textId="77777777" w:rsidR="0046798B" w:rsidRDefault="0046798B">
            <w:pPr>
              <w:pStyle w:val="TableParagraph"/>
            </w:pPr>
          </w:p>
          <w:p w14:paraId="35A24C5C" w14:textId="77777777" w:rsidR="0046798B" w:rsidRDefault="0046798B">
            <w:pPr>
              <w:pStyle w:val="TableParagraph"/>
            </w:pPr>
          </w:p>
          <w:p w14:paraId="2E583F56" w14:textId="77777777" w:rsidR="0046798B" w:rsidRDefault="0046798B">
            <w:pPr>
              <w:pStyle w:val="TableParagraph"/>
              <w:spacing w:before="9"/>
              <w:rPr>
                <w:sz w:val="19"/>
              </w:rPr>
            </w:pPr>
          </w:p>
          <w:p w14:paraId="0A829EE3" w14:textId="77777777" w:rsidR="0046798B" w:rsidRDefault="00903B5C">
            <w:pPr>
              <w:pStyle w:val="TableParagraph"/>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EDD2F53" w14:textId="77777777">
        <w:trPr>
          <w:trHeight w:val="780"/>
        </w:trPr>
        <w:tc>
          <w:tcPr>
            <w:tcW w:w="1711" w:type="dxa"/>
          </w:tcPr>
          <w:p w14:paraId="7AD8201C" w14:textId="77777777" w:rsidR="0046798B" w:rsidRDefault="0046798B">
            <w:pPr>
              <w:pStyle w:val="TableParagraph"/>
              <w:spacing w:before="8"/>
              <w:rPr>
                <w:sz w:val="23"/>
              </w:rPr>
            </w:pPr>
          </w:p>
          <w:p w14:paraId="5054C0C4" w14:textId="77777777" w:rsidR="0046798B" w:rsidRDefault="00903B5C">
            <w:pPr>
              <w:pStyle w:val="TableParagraph"/>
              <w:spacing w:before="1"/>
              <w:ind w:left="115"/>
              <w:rPr>
                <w:b/>
                <w:sz w:val="20"/>
              </w:rPr>
            </w:pPr>
            <w:r>
              <w:rPr>
                <w:b/>
                <w:sz w:val="20"/>
              </w:rPr>
              <w:t>ehsnotf</w:t>
            </w:r>
          </w:p>
        </w:tc>
        <w:tc>
          <w:tcPr>
            <w:tcW w:w="1596" w:type="dxa"/>
          </w:tcPr>
          <w:p w14:paraId="5E73FCF0" w14:textId="77777777" w:rsidR="0046798B" w:rsidRDefault="00903B5C">
            <w:pPr>
              <w:pStyle w:val="TableParagraph"/>
              <w:spacing w:before="43"/>
              <w:ind w:left="114" w:right="229"/>
              <w:rPr>
                <w:sz w:val="20"/>
              </w:rPr>
            </w:pPr>
            <w:r>
              <w:rPr>
                <w:sz w:val="20"/>
              </w:rPr>
              <w:t>Frequency of homeschooling notice required</w:t>
            </w:r>
          </w:p>
        </w:tc>
        <w:tc>
          <w:tcPr>
            <w:tcW w:w="1285" w:type="dxa"/>
          </w:tcPr>
          <w:p w14:paraId="22BB65F2" w14:textId="77777777" w:rsidR="0046798B" w:rsidRDefault="0046798B">
            <w:pPr>
              <w:pStyle w:val="TableParagraph"/>
              <w:spacing w:before="8"/>
              <w:rPr>
                <w:sz w:val="23"/>
              </w:rPr>
            </w:pPr>
          </w:p>
          <w:p w14:paraId="0A42B7D4" w14:textId="77777777" w:rsidR="0046798B" w:rsidRDefault="00903B5C">
            <w:pPr>
              <w:pStyle w:val="TableParagraph"/>
              <w:spacing w:before="1"/>
              <w:ind w:left="114"/>
              <w:rPr>
                <w:sz w:val="20"/>
              </w:rPr>
            </w:pPr>
            <w:r>
              <w:rPr>
                <w:sz w:val="20"/>
              </w:rPr>
              <w:t>2000–2016</w:t>
            </w:r>
          </w:p>
        </w:tc>
        <w:tc>
          <w:tcPr>
            <w:tcW w:w="3421" w:type="dxa"/>
          </w:tcPr>
          <w:p w14:paraId="3C92FB5C" w14:textId="77777777" w:rsidR="0046798B" w:rsidRDefault="00903B5C">
            <w:pPr>
              <w:pStyle w:val="TableParagraph"/>
              <w:spacing w:before="43"/>
              <w:ind w:left="114" w:right="405"/>
              <w:rPr>
                <w:sz w:val="20"/>
              </w:rPr>
            </w:pPr>
            <w:r>
              <w:rPr>
                <w:sz w:val="20"/>
              </w:rPr>
              <w:t>Frequency of homeschooling notice required (0 = never, 1 = once, 2 = annually, 3 = more than annually)</w:t>
            </w:r>
          </w:p>
        </w:tc>
        <w:tc>
          <w:tcPr>
            <w:tcW w:w="6482" w:type="dxa"/>
          </w:tcPr>
          <w:p w14:paraId="6DC1CCDD"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7AC5640" w14:textId="77777777">
        <w:trPr>
          <w:trHeight w:val="775"/>
        </w:trPr>
        <w:tc>
          <w:tcPr>
            <w:tcW w:w="1711" w:type="dxa"/>
          </w:tcPr>
          <w:p w14:paraId="466D5280" w14:textId="77777777" w:rsidR="0046798B" w:rsidRDefault="0046798B">
            <w:pPr>
              <w:pStyle w:val="TableParagraph"/>
              <w:spacing w:before="4"/>
              <w:rPr>
                <w:sz w:val="23"/>
              </w:rPr>
            </w:pPr>
          </w:p>
          <w:p w14:paraId="6B02E00C" w14:textId="77777777" w:rsidR="0046798B" w:rsidRDefault="00903B5C">
            <w:pPr>
              <w:pStyle w:val="TableParagraph"/>
              <w:ind w:left="115"/>
              <w:rPr>
                <w:b/>
                <w:sz w:val="20"/>
              </w:rPr>
            </w:pPr>
            <w:r>
              <w:rPr>
                <w:b/>
                <w:sz w:val="20"/>
              </w:rPr>
              <w:t>ehsnoti</w:t>
            </w:r>
          </w:p>
        </w:tc>
        <w:tc>
          <w:tcPr>
            <w:tcW w:w="1596" w:type="dxa"/>
          </w:tcPr>
          <w:p w14:paraId="685A2D9C" w14:textId="77777777" w:rsidR="0046798B" w:rsidRDefault="00903B5C">
            <w:pPr>
              <w:pStyle w:val="TableParagraph"/>
              <w:spacing w:before="38"/>
              <w:ind w:left="114" w:right="185"/>
              <w:rPr>
                <w:sz w:val="20"/>
              </w:rPr>
            </w:pPr>
            <w:r>
              <w:rPr>
                <w:sz w:val="20"/>
              </w:rPr>
              <w:t>Homeschooling notification index</w:t>
            </w:r>
          </w:p>
        </w:tc>
        <w:tc>
          <w:tcPr>
            <w:tcW w:w="1285" w:type="dxa"/>
          </w:tcPr>
          <w:p w14:paraId="6694A03F" w14:textId="77777777" w:rsidR="0046798B" w:rsidRDefault="0046798B">
            <w:pPr>
              <w:pStyle w:val="TableParagraph"/>
              <w:spacing w:before="4"/>
              <w:rPr>
                <w:sz w:val="23"/>
              </w:rPr>
            </w:pPr>
          </w:p>
          <w:p w14:paraId="6ED48446" w14:textId="77777777" w:rsidR="0046798B" w:rsidRDefault="00903B5C">
            <w:pPr>
              <w:pStyle w:val="TableParagraph"/>
              <w:ind w:left="114"/>
              <w:rPr>
                <w:sz w:val="20"/>
              </w:rPr>
            </w:pPr>
            <w:r>
              <w:rPr>
                <w:sz w:val="20"/>
              </w:rPr>
              <w:t>2000–2016</w:t>
            </w:r>
          </w:p>
        </w:tc>
        <w:tc>
          <w:tcPr>
            <w:tcW w:w="3421" w:type="dxa"/>
          </w:tcPr>
          <w:p w14:paraId="69E36724" w14:textId="77777777" w:rsidR="0046798B" w:rsidRDefault="00903B5C">
            <w:pPr>
              <w:pStyle w:val="TableParagraph"/>
              <w:spacing w:before="153"/>
              <w:ind w:left="114" w:right="544"/>
              <w:rPr>
                <w:sz w:val="20"/>
              </w:rPr>
            </w:pPr>
            <w:r>
              <w:rPr>
                <w:sz w:val="20"/>
              </w:rPr>
              <w:t>Homeschooling notification index (ehsnotf * ehsnote)</w:t>
            </w:r>
          </w:p>
        </w:tc>
        <w:tc>
          <w:tcPr>
            <w:tcW w:w="6482" w:type="dxa"/>
          </w:tcPr>
          <w:p w14:paraId="53F8B7B4" w14:textId="77777777" w:rsidR="0046798B" w:rsidRDefault="00903B5C">
            <w:pPr>
              <w:pStyle w:val="TableParagraph"/>
              <w:spacing w:before="3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9C0CBE6" w14:textId="77777777">
        <w:trPr>
          <w:trHeight w:val="1005"/>
        </w:trPr>
        <w:tc>
          <w:tcPr>
            <w:tcW w:w="1711" w:type="dxa"/>
          </w:tcPr>
          <w:p w14:paraId="79759144" w14:textId="77777777" w:rsidR="0046798B" w:rsidRDefault="0046798B">
            <w:pPr>
              <w:pStyle w:val="TableParagraph"/>
            </w:pPr>
          </w:p>
          <w:p w14:paraId="2E52CA80" w14:textId="77777777" w:rsidR="0046798B" w:rsidRDefault="00903B5C">
            <w:pPr>
              <w:pStyle w:val="TableParagraph"/>
              <w:spacing w:before="131"/>
              <w:ind w:left="115"/>
              <w:rPr>
                <w:b/>
                <w:sz w:val="20"/>
              </w:rPr>
            </w:pPr>
            <w:r>
              <w:rPr>
                <w:b/>
                <w:sz w:val="20"/>
              </w:rPr>
              <w:t>ehsrkr</w:t>
            </w:r>
          </w:p>
        </w:tc>
        <w:tc>
          <w:tcPr>
            <w:tcW w:w="1596" w:type="dxa"/>
          </w:tcPr>
          <w:p w14:paraId="392F6073" w14:textId="77777777" w:rsidR="0046798B" w:rsidRDefault="00903B5C">
            <w:pPr>
              <w:pStyle w:val="TableParagraph"/>
              <w:spacing w:before="38"/>
              <w:ind w:left="114" w:right="308"/>
              <w:rPr>
                <w:sz w:val="20"/>
              </w:rPr>
            </w:pPr>
            <w:r>
              <w:rPr>
                <w:sz w:val="20"/>
              </w:rPr>
              <w:t>Extent of homeschool recordkeeping requirements</w:t>
            </w:r>
          </w:p>
        </w:tc>
        <w:tc>
          <w:tcPr>
            <w:tcW w:w="1285" w:type="dxa"/>
          </w:tcPr>
          <w:p w14:paraId="6993EE59" w14:textId="77777777" w:rsidR="0046798B" w:rsidRDefault="0046798B">
            <w:pPr>
              <w:pStyle w:val="TableParagraph"/>
            </w:pPr>
          </w:p>
          <w:p w14:paraId="6B2BAC9D" w14:textId="77777777" w:rsidR="0046798B" w:rsidRDefault="00903B5C">
            <w:pPr>
              <w:pStyle w:val="TableParagraph"/>
              <w:spacing w:before="131"/>
              <w:ind w:left="114"/>
              <w:rPr>
                <w:sz w:val="20"/>
              </w:rPr>
            </w:pPr>
            <w:r>
              <w:rPr>
                <w:sz w:val="20"/>
              </w:rPr>
              <w:t>2000–2016</w:t>
            </w:r>
          </w:p>
        </w:tc>
        <w:tc>
          <w:tcPr>
            <w:tcW w:w="3421" w:type="dxa"/>
          </w:tcPr>
          <w:p w14:paraId="0589EC8A" w14:textId="77777777" w:rsidR="0046798B" w:rsidRDefault="00903B5C">
            <w:pPr>
              <w:pStyle w:val="TableParagraph"/>
              <w:spacing w:before="38"/>
              <w:ind w:left="114" w:right="97"/>
              <w:rPr>
                <w:sz w:val="20"/>
              </w:rPr>
            </w:pPr>
            <w:r>
              <w:rPr>
                <w:sz w:val="20"/>
              </w:rPr>
              <w:t>Extent of homeschool recordkeeping requirements (0 = none, 1 = attendance, 2 = teaching materials/record of instruction/progress reports)</w:t>
            </w:r>
          </w:p>
        </w:tc>
        <w:tc>
          <w:tcPr>
            <w:tcW w:w="6482" w:type="dxa"/>
          </w:tcPr>
          <w:p w14:paraId="17441405" w14:textId="77777777" w:rsidR="0046798B" w:rsidRDefault="00903B5C">
            <w:pPr>
              <w:pStyle w:val="TableParagraph"/>
              <w:spacing w:before="15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FAB66B8" w14:textId="77777777">
        <w:trPr>
          <w:trHeight w:val="1235"/>
        </w:trPr>
        <w:tc>
          <w:tcPr>
            <w:tcW w:w="1711" w:type="dxa"/>
          </w:tcPr>
          <w:p w14:paraId="645B065A" w14:textId="77777777" w:rsidR="0046798B" w:rsidRDefault="0046798B">
            <w:pPr>
              <w:pStyle w:val="TableParagraph"/>
            </w:pPr>
          </w:p>
          <w:p w14:paraId="130F95B2" w14:textId="77777777" w:rsidR="0046798B" w:rsidRDefault="0046798B">
            <w:pPr>
              <w:pStyle w:val="TableParagraph"/>
              <w:spacing w:before="3"/>
              <w:rPr>
                <w:sz w:val="21"/>
              </w:rPr>
            </w:pPr>
          </w:p>
          <w:p w14:paraId="57EE8FD3" w14:textId="77777777" w:rsidR="0046798B" w:rsidRDefault="00903B5C">
            <w:pPr>
              <w:pStyle w:val="TableParagraph"/>
              <w:spacing w:before="1"/>
              <w:ind w:left="115"/>
              <w:rPr>
                <w:b/>
                <w:sz w:val="20"/>
              </w:rPr>
            </w:pPr>
            <w:r>
              <w:rPr>
                <w:b/>
                <w:sz w:val="20"/>
              </w:rPr>
              <w:t>ehsst</w:t>
            </w:r>
          </w:p>
        </w:tc>
        <w:tc>
          <w:tcPr>
            <w:tcW w:w="1596" w:type="dxa"/>
          </w:tcPr>
          <w:p w14:paraId="76107A66" w14:textId="77777777" w:rsidR="0046798B" w:rsidRDefault="00903B5C">
            <w:pPr>
              <w:pStyle w:val="TableParagraph"/>
              <w:spacing w:before="43"/>
              <w:ind w:left="114" w:right="241"/>
              <w:rPr>
                <w:sz w:val="20"/>
              </w:rPr>
            </w:pPr>
            <w:r>
              <w:rPr>
                <w:sz w:val="20"/>
              </w:rPr>
              <w:t>Standardized testing or other official evaluation required</w:t>
            </w:r>
          </w:p>
        </w:tc>
        <w:tc>
          <w:tcPr>
            <w:tcW w:w="1285" w:type="dxa"/>
          </w:tcPr>
          <w:p w14:paraId="713498B5" w14:textId="77777777" w:rsidR="0046798B" w:rsidRDefault="0046798B">
            <w:pPr>
              <w:pStyle w:val="TableParagraph"/>
            </w:pPr>
          </w:p>
          <w:p w14:paraId="09D34920" w14:textId="77777777" w:rsidR="0046798B" w:rsidRDefault="0046798B">
            <w:pPr>
              <w:pStyle w:val="TableParagraph"/>
              <w:spacing w:before="3"/>
              <w:rPr>
                <w:sz w:val="21"/>
              </w:rPr>
            </w:pPr>
          </w:p>
          <w:p w14:paraId="09A8FD5C" w14:textId="77777777" w:rsidR="0046798B" w:rsidRDefault="00903B5C">
            <w:pPr>
              <w:pStyle w:val="TableParagraph"/>
              <w:spacing w:before="1"/>
              <w:ind w:left="114"/>
              <w:rPr>
                <w:sz w:val="20"/>
              </w:rPr>
            </w:pPr>
            <w:r>
              <w:rPr>
                <w:sz w:val="20"/>
              </w:rPr>
              <w:t>2000–2016</w:t>
            </w:r>
          </w:p>
        </w:tc>
        <w:tc>
          <w:tcPr>
            <w:tcW w:w="3421" w:type="dxa"/>
          </w:tcPr>
          <w:p w14:paraId="330C76C2" w14:textId="77777777" w:rsidR="0046798B" w:rsidRDefault="00903B5C">
            <w:pPr>
              <w:pStyle w:val="TableParagraph"/>
              <w:spacing w:before="160" w:line="237" w:lineRule="auto"/>
              <w:ind w:left="114" w:right="264"/>
              <w:rPr>
                <w:sz w:val="20"/>
              </w:rPr>
            </w:pPr>
            <w:r>
              <w:rPr>
                <w:sz w:val="20"/>
              </w:rPr>
              <w:t>Standardized testing or other official evaluation required? (0 = none, 1 = periodic, 2 = annual or annual in high school and periodic in other grades)</w:t>
            </w:r>
          </w:p>
        </w:tc>
        <w:tc>
          <w:tcPr>
            <w:tcW w:w="6482" w:type="dxa"/>
          </w:tcPr>
          <w:p w14:paraId="0034BD22" w14:textId="77777777" w:rsidR="0046798B" w:rsidRDefault="0046798B">
            <w:pPr>
              <w:pStyle w:val="TableParagraph"/>
              <w:spacing w:before="3"/>
              <w:rPr>
                <w:sz w:val="23"/>
              </w:rPr>
            </w:pPr>
          </w:p>
          <w:p w14:paraId="02486DDD"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4A499F2" w14:textId="77777777">
        <w:trPr>
          <w:trHeight w:val="1235"/>
        </w:trPr>
        <w:tc>
          <w:tcPr>
            <w:tcW w:w="1711" w:type="dxa"/>
          </w:tcPr>
          <w:p w14:paraId="5D9061DE" w14:textId="77777777" w:rsidR="0046798B" w:rsidRDefault="0046798B">
            <w:pPr>
              <w:pStyle w:val="TableParagraph"/>
            </w:pPr>
          </w:p>
          <w:p w14:paraId="07077514" w14:textId="77777777" w:rsidR="0046798B" w:rsidRDefault="0046798B">
            <w:pPr>
              <w:pStyle w:val="TableParagraph"/>
              <w:spacing w:before="8"/>
              <w:rPr>
                <w:sz w:val="21"/>
              </w:rPr>
            </w:pPr>
          </w:p>
          <w:p w14:paraId="44233FF4" w14:textId="77777777" w:rsidR="0046798B" w:rsidRDefault="00903B5C">
            <w:pPr>
              <w:pStyle w:val="TableParagraph"/>
              <w:ind w:left="115"/>
              <w:rPr>
                <w:b/>
                <w:sz w:val="20"/>
              </w:rPr>
            </w:pPr>
            <w:r>
              <w:rPr>
                <w:b/>
                <w:sz w:val="20"/>
              </w:rPr>
              <w:t>ehstq</w:t>
            </w:r>
          </w:p>
        </w:tc>
        <w:tc>
          <w:tcPr>
            <w:tcW w:w="1596" w:type="dxa"/>
          </w:tcPr>
          <w:p w14:paraId="17595C9E" w14:textId="77777777" w:rsidR="0046798B" w:rsidRDefault="0046798B">
            <w:pPr>
              <w:pStyle w:val="TableParagraph"/>
              <w:spacing w:before="8"/>
              <w:rPr>
                <w:sz w:val="23"/>
              </w:rPr>
            </w:pPr>
          </w:p>
          <w:p w14:paraId="5A42DF3B" w14:textId="77777777" w:rsidR="0046798B" w:rsidRDefault="00903B5C">
            <w:pPr>
              <w:pStyle w:val="TableParagraph"/>
              <w:spacing w:before="1"/>
              <w:ind w:left="114" w:right="363"/>
              <w:rPr>
                <w:sz w:val="20"/>
              </w:rPr>
            </w:pPr>
            <w:r>
              <w:rPr>
                <w:sz w:val="20"/>
              </w:rPr>
              <w:t>Teacher qualifications required</w:t>
            </w:r>
          </w:p>
        </w:tc>
        <w:tc>
          <w:tcPr>
            <w:tcW w:w="1285" w:type="dxa"/>
          </w:tcPr>
          <w:p w14:paraId="527ABF5C" w14:textId="77777777" w:rsidR="0046798B" w:rsidRDefault="0046798B">
            <w:pPr>
              <w:pStyle w:val="TableParagraph"/>
            </w:pPr>
          </w:p>
          <w:p w14:paraId="4A0C1FF6" w14:textId="77777777" w:rsidR="0046798B" w:rsidRDefault="0046798B">
            <w:pPr>
              <w:pStyle w:val="TableParagraph"/>
              <w:spacing w:before="8"/>
              <w:rPr>
                <w:sz w:val="21"/>
              </w:rPr>
            </w:pPr>
          </w:p>
          <w:p w14:paraId="4E32FDA7" w14:textId="77777777" w:rsidR="0046798B" w:rsidRDefault="00903B5C">
            <w:pPr>
              <w:pStyle w:val="TableParagraph"/>
              <w:ind w:left="114"/>
              <w:rPr>
                <w:sz w:val="20"/>
              </w:rPr>
            </w:pPr>
            <w:r>
              <w:rPr>
                <w:sz w:val="20"/>
              </w:rPr>
              <w:t>2000–2016</w:t>
            </w:r>
          </w:p>
        </w:tc>
        <w:tc>
          <w:tcPr>
            <w:tcW w:w="3421" w:type="dxa"/>
          </w:tcPr>
          <w:p w14:paraId="1539CEFB" w14:textId="77777777" w:rsidR="0046798B" w:rsidRDefault="00903B5C">
            <w:pPr>
              <w:pStyle w:val="TableParagraph"/>
              <w:spacing w:before="43"/>
              <w:ind w:left="114" w:right="244"/>
              <w:rPr>
                <w:sz w:val="20"/>
              </w:rPr>
            </w:pPr>
            <w:r>
              <w:rPr>
                <w:sz w:val="20"/>
              </w:rPr>
              <w:t>Teacher qualifications required? (0 = some homeschooling options do not require teaching qualifications, 1 = some qualifications required under all homeschooling options)</w:t>
            </w:r>
          </w:p>
        </w:tc>
        <w:tc>
          <w:tcPr>
            <w:tcW w:w="6482" w:type="dxa"/>
          </w:tcPr>
          <w:p w14:paraId="65C62875" w14:textId="77777777" w:rsidR="0046798B" w:rsidRDefault="0046798B">
            <w:pPr>
              <w:pStyle w:val="TableParagraph"/>
              <w:spacing w:before="8"/>
              <w:rPr>
                <w:sz w:val="23"/>
              </w:rPr>
            </w:pPr>
          </w:p>
          <w:p w14:paraId="7E0AEFF6"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B4492A9" w14:textId="77777777">
        <w:trPr>
          <w:trHeight w:val="775"/>
        </w:trPr>
        <w:tc>
          <w:tcPr>
            <w:tcW w:w="1711" w:type="dxa"/>
          </w:tcPr>
          <w:p w14:paraId="39B289D8" w14:textId="77777777" w:rsidR="0046798B" w:rsidRDefault="0046798B">
            <w:pPr>
              <w:pStyle w:val="TableParagraph"/>
              <w:spacing w:before="8"/>
              <w:rPr>
                <w:sz w:val="23"/>
              </w:rPr>
            </w:pPr>
          </w:p>
          <w:p w14:paraId="115EEE66" w14:textId="77777777" w:rsidR="0046798B" w:rsidRDefault="00903B5C">
            <w:pPr>
              <w:pStyle w:val="TableParagraph"/>
              <w:spacing w:before="1"/>
              <w:ind w:left="115"/>
              <w:rPr>
                <w:b/>
                <w:sz w:val="20"/>
              </w:rPr>
            </w:pPr>
            <w:r>
              <w:rPr>
                <w:b/>
                <w:sz w:val="20"/>
              </w:rPr>
              <w:t>ekind</w:t>
            </w:r>
          </w:p>
        </w:tc>
        <w:tc>
          <w:tcPr>
            <w:tcW w:w="1596" w:type="dxa"/>
          </w:tcPr>
          <w:p w14:paraId="01EC8B1C" w14:textId="77777777" w:rsidR="0046798B" w:rsidRDefault="00903B5C">
            <w:pPr>
              <w:pStyle w:val="TableParagraph"/>
              <w:spacing w:before="43"/>
              <w:ind w:left="114" w:right="396"/>
              <w:rPr>
                <w:sz w:val="20"/>
              </w:rPr>
            </w:pPr>
            <w:r>
              <w:rPr>
                <w:sz w:val="20"/>
              </w:rPr>
              <w:t>Kindergarten attendance required</w:t>
            </w:r>
          </w:p>
        </w:tc>
        <w:tc>
          <w:tcPr>
            <w:tcW w:w="1285" w:type="dxa"/>
          </w:tcPr>
          <w:p w14:paraId="6AA172A8" w14:textId="77777777" w:rsidR="0046798B" w:rsidRDefault="0046798B">
            <w:pPr>
              <w:pStyle w:val="TableParagraph"/>
              <w:spacing w:before="8"/>
              <w:rPr>
                <w:sz w:val="23"/>
              </w:rPr>
            </w:pPr>
          </w:p>
          <w:p w14:paraId="4EB88DCB" w14:textId="77777777" w:rsidR="0046798B" w:rsidRDefault="00903B5C">
            <w:pPr>
              <w:pStyle w:val="TableParagraph"/>
              <w:spacing w:before="1"/>
              <w:ind w:left="114"/>
              <w:rPr>
                <w:sz w:val="20"/>
              </w:rPr>
            </w:pPr>
            <w:r>
              <w:rPr>
                <w:sz w:val="20"/>
              </w:rPr>
              <w:t>2000–2016</w:t>
            </w:r>
          </w:p>
        </w:tc>
        <w:tc>
          <w:tcPr>
            <w:tcW w:w="3421" w:type="dxa"/>
          </w:tcPr>
          <w:p w14:paraId="192491C5" w14:textId="77777777" w:rsidR="0046798B" w:rsidRDefault="00903B5C">
            <w:pPr>
              <w:pStyle w:val="TableParagraph"/>
              <w:spacing w:before="158"/>
              <w:ind w:left="114" w:right="132"/>
              <w:rPr>
                <w:sz w:val="20"/>
              </w:rPr>
            </w:pPr>
            <w:r>
              <w:rPr>
                <w:sz w:val="20"/>
              </w:rPr>
              <w:t>Kindergarten attendance required? (0 = no, 1 = half-day, 2 = full day)</w:t>
            </w:r>
          </w:p>
        </w:tc>
        <w:tc>
          <w:tcPr>
            <w:tcW w:w="6482" w:type="dxa"/>
          </w:tcPr>
          <w:p w14:paraId="2AF8F10F" w14:textId="77777777" w:rsidR="0046798B" w:rsidRDefault="00903B5C">
            <w:pPr>
              <w:pStyle w:val="TableParagraph"/>
              <w:spacing w:before="4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00BB1871" w14:textId="77777777" w:rsidR="0046798B" w:rsidRDefault="0046798B">
      <w:pPr>
        <w:rPr>
          <w:sz w:val="20"/>
        </w:rPr>
        <w:sectPr w:rsidR="0046798B">
          <w:pgSz w:w="15840" w:h="12240" w:orient="landscape"/>
          <w:pgMar w:top="1220" w:right="300" w:bottom="980" w:left="820" w:header="730" w:footer="787" w:gutter="0"/>
          <w:cols w:space="720"/>
        </w:sectPr>
      </w:pPr>
    </w:p>
    <w:p w14:paraId="24A55FA0"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405D42B" w14:textId="77777777">
        <w:trPr>
          <w:trHeight w:val="1696"/>
        </w:trPr>
        <w:tc>
          <w:tcPr>
            <w:tcW w:w="1711" w:type="dxa"/>
          </w:tcPr>
          <w:p w14:paraId="775235EB" w14:textId="77777777" w:rsidR="0046798B" w:rsidRDefault="0046798B">
            <w:pPr>
              <w:pStyle w:val="TableParagraph"/>
            </w:pPr>
          </w:p>
          <w:p w14:paraId="27EB77F0" w14:textId="77777777" w:rsidR="0046798B" w:rsidRDefault="0046798B">
            <w:pPr>
              <w:pStyle w:val="TableParagraph"/>
            </w:pPr>
          </w:p>
          <w:p w14:paraId="0F65024A" w14:textId="77777777" w:rsidR="0046798B" w:rsidRDefault="0046798B">
            <w:pPr>
              <w:pStyle w:val="TableParagraph"/>
              <w:spacing w:before="9"/>
              <w:rPr>
                <w:sz w:val="19"/>
              </w:rPr>
            </w:pPr>
          </w:p>
          <w:p w14:paraId="31158B07" w14:textId="77777777" w:rsidR="0046798B" w:rsidRDefault="00903B5C">
            <w:pPr>
              <w:pStyle w:val="TableParagraph"/>
              <w:ind w:left="115"/>
              <w:rPr>
                <w:b/>
                <w:sz w:val="20"/>
              </w:rPr>
            </w:pPr>
            <w:r>
              <w:rPr>
                <w:b/>
                <w:sz w:val="20"/>
              </w:rPr>
              <w:t>emaps</w:t>
            </w:r>
          </w:p>
        </w:tc>
        <w:tc>
          <w:tcPr>
            <w:tcW w:w="1596" w:type="dxa"/>
          </w:tcPr>
          <w:p w14:paraId="22836396" w14:textId="77777777" w:rsidR="0046798B" w:rsidRDefault="00903B5C">
            <w:pPr>
              <w:pStyle w:val="TableParagraph"/>
              <w:spacing w:before="43"/>
              <w:ind w:left="114" w:right="157"/>
              <w:rPr>
                <w:sz w:val="20"/>
              </w:rPr>
            </w:pPr>
            <w:r>
              <w:rPr>
                <w:sz w:val="20"/>
              </w:rPr>
              <w:t>Mandatory state approval, where state has discretion, licensing, or accreditation of private schools</w:t>
            </w:r>
          </w:p>
        </w:tc>
        <w:tc>
          <w:tcPr>
            <w:tcW w:w="1285" w:type="dxa"/>
          </w:tcPr>
          <w:p w14:paraId="25903561" w14:textId="77777777" w:rsidR="0046798B" w:rsidRDefault="0046798B">
            <w:pPr>
              <w:pStyle w:val="TableParagraph"/>
            </w:pPr>
          </w:p>
          <w:p w14:paraId="285C9372" w14:textId="77777777" w:rsidR="0046798B" w:rsidRDefault="0046798B">
            <w:pPr>
              <w:pStyle w:val="TableParagraph"/>
            </w:pPr>
          </w:p>
          <w:p w14:paraId="029141A7" w14:textId="77777777" w:rsidR="0046798B" w:rsidRDefault="0046798B">
            <w:pPr>
              <w:pStyle w:val="TableParagraph"/>
              <w:spacing w:before="9"/>
              <w:rPr>
                <w:sz w:val="19"/>
              </w:rPr>
            </w:pPr>
          </w:p>
          <w:p w14:paraId="199050DA" w14:textId="77777777" w:rsidR="0046798B" w:rsidRDefault="00903B5C">
            <w:pPr>
              <w:pStyle w:val="TableParagraph"/>
              <w:ind w:left="114"/>
              <w:rPr>
                <w:sz w:val="20"/>
              </w:rPr>
            </w:pPr>
            <w:r>
              <w:rPr>
                <w:sz w:val="20"/>
              </w:rPr>
              <w:t>2000–2016</w:t>
            </w:r>
          </w:p>
        </w:tc>
        <w:tc>
          <w:tcPr>
            <w:tcW w:w="3421" w:type="dxa"/>
          </w:tcPr>
          <w:p w14:paraId="507A82FA" w14:textId="77777777" w:rsidR="0046798B" w:rsidRDefault="0046798B">
            <w:pPr>
              <w:pStyle w:val="TableParagraph"/>
              <w:spacing w:before="9"/>
              <w:rPr>
                <w:sz w:val="23"/>
              </w:rPr>
            </w:pPr>
          </w:p>
          <w:p w14:paraId="06FFA21E" w14:textId="77777777" w:rsidR="0046798B" w:rsidRDefault="00903B5C">
            <w:pPr>
              <w:pStyle w:val="TableParagraph"/>
              <w:ind w:left="114" w:right="228"/>
              <w:rPr>
                <w:sz w:val="20"/>
              </w:rPr>
            </w:pPr>
            <w:r>
              <w:rPr>
                <w:sz w:val="20"/>
              </w:rPr>
              <w:t>Mandatory state approval, where state has discretion, licensing, or accreditation of private schools? (0 = no, 0.5 = yes, with broad exemptions, 1= yes)</w:t>
            </w:r>
          </w:p>
        </w:tc>
        <w:tc>
          <w:tcPr>
            <w:tcW w:w="6482" w:type="dxa"/>
          </w:tcPr>
          <w:p w14:paraId="17FAFE97" w14:textId="77777777" w:rsidR="0046798B" w:rsidRDefault="0046798B">
            <w:pPr>
              <w:pStyle w:val="TableParagraph"/>
            </w:pPr>
          </w:p>
          <w:p w14:paraId="1305A859" w14:textId="77777777" w:rsidR="0046798B" w:rsidRDefault="0046798B">
            <w:pPr>
              <w:pStyle w:val="TableParagraph"/>
              <w:spacing w:before="9"/>
              <w:rPr>
                <w:sz w:val="21"/>
              </w:rPr>
            </w:pPr>
          </w:p>
          <w:p w14:paraId="5B18085E"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3684ADA" w14:textId="77777777">
        <w:trPr>
          <w:trHeight w:val="1005"/>
        </w:trPr>
        <w:tc>
          <w:tcPr>
            <w:tcW w:w="1711" w:type="dxa"/>
          </w:tcPr>
          <w:p w14:paraId="2EA93D2E" w14:textId="77777777" w:rsidR="0046798B" w:rsidRDefault="0046798B">
            <w:pPr>
              <w:pStyle w:val="TableParagraph"/>
            </w:pPr>
          </w:p>
          <w:p w14:paraId="2D9CD319" w14:textId="77777777" w:rsidR="0046798B" w:rsidRDefault="00903B5C">
            <w:pPr>
              <w:pStyle w:val="TableParagraph"/>
              <w:spacing w:before="135"/>
              <w:ind w:left="115"/>
              <w:rPr>
                <w:b/>
                <w:sz w:val="20"/>
              </w:rPr>
            </w:pPr>
            <w:r>
              <w:rPr>
                <w:b/>
                <w:sz w:val="20"/>
              </w:rPr>
              <w:t>emlpst</w:t>
            </w:r>
          </w:p>
        </w:tc>
        <w:tc>
          <w:tcPr>
            <w:tcW w:w="1596" w:type="dxa"/>
          </w:tcPr>
          <w:p w14:paraId="745B2133" w14:textId="77777777" w:rsidR="0046798B" w:rsidRDefault="00903B5C">
            <w:pPr>
              <w:pStyle w:val="TableParagraph"/>
              <w:spacing w:before="43"/>
              <w:ind w:left="114" w:right="157"/>
              <w:rPr>
                <w:sz w:val="20"/>
              </w:rPr>
            </w:pPr>
            <w:r>
              <w:rPr>
                <w:sz w:val="20"/>
              </w:rPr>
              <w:t>Mandatory state licensure of private school teachers</w:t>
            </w:r>
          </w:p>
        </w:tc>
        <w:tc>
          <w:tcPr>
            <w:tcW w:w="1285" w:type="dxa"/>
          </w:tcPr>
          <w:p w14:paraId="6715876E" w14:textId="77777777" w:rsidR="0046798B" w:rsidRDefault="0046798B">
            <w:pPr>
              <w:pStyle w:val="TableParagraph"/>
            </w:pPr>
          </w:p>
          <w:p w14:paraId="3FF96200" w14:textId="77777777" w:rsidR="0046798B" w:rsidRDefault="00903B5C">
            <w:pPr>
              <w:pStyle w:val="TableParagraph"/>
              <w:spacing w:before="135"/>
              <w:ind w:left="114"/>
              <w:rPr>
                <w:sz w:val="20"/>
              </w:rPr>
            </w:pPr>
            <w:r>
              <w:rPr>
                <w:sz w:val="20"/>
              </w:rPr>
              <w:t>2000–2016</w:t>
            </w:r>
          </w:p>
        </w:tc>
        <w:tc>
          <w:tcPr>
            <w:tcW w:w="3421" w:type="dxa"/>
          </w:tcPr>
          <w:p w14:paraId="5D316813" w14:textId="77777777" w:rsidR="0046798B" w:rsidRDefault="00903B5C">
            <w:pPr>
              <w:pStyle w:val="TableParagraph"/>
              <w:spacing w:before="158"/>
              <w:ind w:left="114" w:right="389"/>
              <w:rPr>
                <w:sz w:val="20"/>
              </w:rPr>
            </w:pPr>
            <w:r>
              <w:rPr>
                <w:sz w:val="20"/>
              </w:rPr>
              <w:t>Mandatory state licensure of private school teachers? (0 = no, 0.5 = yes, with broad exemptions, 1= yes)</w:t>
            </w:r>
          </w:p>
        </w:tc>
        <w:tc>
          <w:tcPr>
            <w:tcW w:w="6482" w:type="dxa"/>
          </w:tcPr>
          <w:p w14:paraId="4B728515"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784CD41" w14:textId="77777777">
        <w:trPr>
          <w:trHeight w:val="1700"/>
        </w:trPr>
        <w:tc>
          <w:tcPr>
            <w:tcW w:w="1711" w:type="dxa"/>
          </w:tcPr>
          <w:p w14:paraId="530C46F7" w14:textId="77777777" w:rsidR="0046798B" w:rsidRDefault="0046798B">
            <w:pPr>
              <w:pStyle w:val="TableParagraph"/>
            </w:pPr>
          </w:p>
          <w:p w14:paraId="190B4D4C" w14:textId="77777777" w:rsidR="0046798B" w:rsidRDefault="0046798B">
            <w:pPr>
              <w:pStyle w:val="TableParagraph"/>
            </w:pPr>
          </w:p>
          <w:p w14:paraId="61A10EBC" w14:textId="77777777" w:rsidR="0046798B" w:rsidRDefault="0046798B">
            <w:pPr>
              <w:pStyle w:val="TableParagraph"/>
              <w:spacing w:before="9"/>
              <w:rPr>
                <w:sz w:val="19"/>
              </w:rPr>
            </w:pPr>
          </w:p>
          <w:p w14:paraId="7ABF2FFD" w14:textId="77777777" w:rsidR="0046798B" w:rsidRDefault="00903B5C">
            <w:pPr>
              <w:pStyle w:val="TableParagraph"/>
              <w:ind w:left="115"/>
              <w:rPr>
                <w:b/>
                <w:sz w:val="20"/>
              </w:rPr>
            </w:pPr>
            <w:r>
              <w:rPr>
                <w:b/>
                <w:sz w:val="20"/>
              </w:rPr>
              <w:t>emrps</w:t>
            </w:r>
          </w:p>
        </w:tc>
        <w:tc>
          <w:tcPr>
            <w:tcW w:w="1596" w:type="dxa"/>
          </w:tcPr>
          <w:p w14:paraId="13A0FA1E" w14:textId="77777777" w:rsidR="0046798B" w:rsidRDefault="0046798B">
            <w:pPr>
              <w:pStyle w:val="TableParagraph"/>
            </w:pPr>
          </w:p>
          <w:p w14:paraId="21A81875" w14:textId="77777777" w:rsidR="0046798B" w:rsidRDefault="00903B5C">
            <w:pPr>
              <w:pStyle w:val="TableParagraph"/>
              <w:spacing w:before="135"/>
              <w:ind w:left="114" w:right="246"/>
              <w:rPr>
                <w:sz w:val="20"/>
              </w:rPr>
            </w:pPr>
            <w:r>
              <w:rPr>
                <w:sz w:val="20"/>
              </w:rPr>
              <w:t>Mandatory registration or licensing of private schools</w:t>
            </w:r>
          </w:p>
        </w:tc>
        <w:tc>
          <w:tcPr>
            <w:tcW w:w="1285" w:type="dxa"/>
          </w:tcPr>
          <w:p w14:paraId="48BF05E3" w14:textId="77777777" w:rsidR="0046798B" w:rsidRDefault="0046798B">
            <w:pPr>
              <w:pStyle w:val="TableParagraph"/>
            </w:pPr>
          </w:p>
          <w:p w14:paraId="6351B6F2" w14:textId="77777777" w:rsidR="0046798B" w:rsidRDefault="0046798B">
            <w:pPr>
              <w:pStyle w:val="TableParagraph"/>
            </w:pPr>
          </w:p>
          <w:p w14:paraId="50E447D1" w14:textId="77777777" w:rsidR="0046798B" w:rsidRDefault="0046798B">
            <w:pPr>
              <w:pStyle w:val="TableParagraph"/>
              <w:spacing w:before="9"/>
              <w:rPr>
                <w:sz w:val="19"/>
              </w:rPr>
            </w:pPr>
          </w:p>
          <w:p w14:paraId="60A3F7F6" w14:textId="77777777" w:rsidR="0046798B" w:rsidRDefault="00903B5C">
            <w:pPr>
              <w:pStyle w:val="TableParagraph"/>
              <w:ind w:left="114"/>
              <w:rPr>
                <w:sz w:val="20"/>
              </w:rPr>
            </w:pPr>
            <w:r>
              <w:rPr>
                <w:sz w:val="20"/>
              </w:rPr>
              <w:t>2000–2016</w:t>
            </w:r>
          </w:p>
        </w:tc>
        <w:tc>
          <w:tcPr>
            <w:tcW w:w="3421" w:type="dxa"/>
          </w:tcPr>
          <w:p w14:paraId="0D6C8CCF" w14:textId="77777777" w:rsidR="0046798B" w:rsidRDefault="00903B5C">
            <w:pPr>
              <w:pStyle w:val="TableParagraph"/>
              <w:spacing w:before="43"/>
              <w:ind w:left="114" w:right="233"/>
              <w:rPr>
                <w:sz w:val="20"/>
              </w:rPr>
            </w:pPr>
            <w:r>
              <w:rPr>
                <w:sz w:val="20"/>
              </w:rPr>
              <w:t>Mandatory registration or licensing of private schools? (0 = no, 0.5 = yes, with broad exemptions, 1= yes)</w:t>
            </w:r>
          </w:p>
          <w:p w14:paraId="18629F05" w14:textId="77777777" w:rsidR="0046798B" w:rsidRDefault="0046798B">
            <w:pPr>
              <w:pStyle w:val="TableParagraph"/>
              <w:rPr>
                <w:sz w:val="20"/>
              </w:rPr>
            </w:pPr>
          </w:p>
          <w:p w14:paraId="1A7B30AD" w14:textId="77777777" w:rsidR="0046798B" w:rsidRDefault="00903B5C">
            <w:pPr>
              <w:pStyle w:val="TableParagraph"/>
              <w:ind w:left="114" w:right="572"/>
              <w:rPr>
                <w:sz w:val="20"/>
              </w:rPr>
            </w:pPr>
            <w:r>
              <w:rPr>
                <w:sz w:val="20"/>
              </w:rPr>
              <w:t>(note: if approval is required, registration is also coded as being required)</w:t>
            </w:r>
          </w:p>
        </w:tc>
        <w:tc>
          <w:tcPr>
            <w:tcW w:w="6482" w:type="dxa"/>
          </w:tcPr>
          <w:p w14:paraId="0307169F" w14:textId="77777777" w:rsidR="0046798B" w:rsidRDefault="0046798B">
            <w:pPr>
              <w:pStyle w:val="TableParagraph"/>
            </w:pPr>
          </w:p>
          <w:p w14:paraId="41FB86F6" w14:textId="77777777" w:rsidR="0046798B" w:rsidRDefault="0046798B">
            <w:pPr>
              <w:pStyle w:val="TableParagraph"/>
              <w:spacing w:before="9"/>
              <w:rPr>
                <w:sz w:val="21"/>
              </w:rPr>
            </w:pPr>
          </w:p>
          <w:p w14:paraId="697563DC"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FBC312F" w14:textId="77777777">
        <w:trPr>
          <w:trHeight w:val="2386"/>
        </w:trPr>
        <w:tc>
          <w:tcPr>
            <w:tcW w:w="1711" w:type="dxa"/>
          </w:tcPr>
          <w:p w14:paraId="1CC32AC1" w14:textId="77777777" w:rsidR="0046798B" w:rsidRDefault="0046798B">
            <w:pPr>
              <w:pStyle w:val="TableParagraph"/>
            </w:pPr>
          </w:p>
          <w:p w14:paraId="064BF66C" w14:textId="77777777" w:rsidR="0046798B" w:rsidRDefault="0046798B">
            <w:pPr>
              <w:pStyle w:val="TableParagraph"/>
            </w:pPr>
          </w:p>
          <w:p w14:paraId="2B394B94" w14:textId="77777777" w:rsidR="0046798B" w:rsidRDefault="0046798B">
            <w:pPr>
              <w:pStyle w:val="TableParagraph"/>
            </w:pPr>
          </w:p>
          <w:p w14:paraId="50152509" w14:textId="77777777" w:rsidR="0046798B" w:rsidRDefault="0046798B">
            <w:pPr>
              <w:pStyle w:val="TableParagraph"/>
              <w:spacing w:before="4"/>
              <w:rPr>
                <w:sz w:val="27"/>
              </w:rPr>
            </w:pPr>
          </w:p>
          <w:p w14:paraId="563AB3EB" w14:textId="77777777" w:rsidR="0046798B" w:rsidRDefault="00903B5C">
            <w:pPr>
              <w:pStyle w:val="TableParagraph"/>
              <w:ind w:left="115"/>
              <w:rPr>
                <w:b/>
                <w:sz w:val="20"/>
              </w:rPr>
            </w:pPr>
            <w:r>
              <w:rPr>
                <w:b/>
                <w:sz w:val="20"/>
              </w:rPr>
              <w:t>epsc</w:t>
            </w:r>
          </w:p>
        </w:tc>
        <w:tc>
          <w:tcPr>
            <w:tcW w:w="1596" w:type="dxa"/>
          </w:tcPr>
          <w:p w14:paraId="25151C8F" w14:textId="77777777" w:rsidR="0046798B" w:rsidRDefault="0046798B">
            <w:pPr>
              <w:pStyle w:val="TableParagraph"/>
            </w:pPr>
          </w:p>
          <w:p w14:paraId="35F559CA" w14:textId="77777777" w:rsidR="0046798B" w:rsidRDefault="0046798B">
            <w:pPr>
              <w:pStyle w:val="TableParagraph"/>
            </w:pPr>
          </w:p>
          <w:p w14:paraId="20826AEF" w14:textId="77777777" w:rsidR="0046798B" w:rsidRDefault="0046798B">
            <w:pPr>
              <w:pStyle w:val="TableParagraph"/>
            </w:pPr>
          </w:p>
          <w:p w14:paraId="464D106A" w14:textId="77777777" w:rsidR="0046798B" w:rsidRDefault="0046798B">
            <w:pPr>
              <w:pStyle w:val="TableParagraph"/>
              <w:spacing w:before="4"/>
              <w:rPr>
                <w:sz w:val="17"/>
              </w:rPr>
            </w:pPr>
          </w:p>
          <w:p w14:paraId="157B9830" w14:textId="77777777" w:rsidR="0046798B" w:rsidRDefault="00903B5C">
            <w:pPr>
              <w:pStyle w:val="TableParagraph"/>
              <w:ind w:left="114" w:right="368"/>
              <w:rPr>
                <w:sz w:val="20"/>
              </w:rPr>
            </w:pPr>
            <w:r>
              <w:rPr>
                <w:sz w:val="20"/>
              </w:rPr>
              <w:t>Public school choice</w:t>
            </w:r>
          </w:p>
        </w:tc>
        <w:tc>
          <w:tcPr>
            <w:tcW w:w="1285" w:type="dxa"/>
          </w:tcPr>
          <w:p w14:paraId="418A2F92" w14:textId="77777777" w:rsidR="0046798B" w:rsidRDefault="0046798B">
            <w:pPr>
              <w:pStyle w:val="TableParagraph"/>
            </w:pPr>
          </w:p>
          <w:p w14:paraId="6D4FCE7A" w14:textId="77777777" w:rsidR="0046798B" w:rsidRDefault="0046798B">
            <w:pPr>
              <w:pStyle w:val="TableParagraph"/>
            </w:pPr>
          </w:p>
          <w:p w14:paraId="29B10161" w14:textId="77777777" w:rsidR="0046798B" w:rsidRDefault="0046798B">
            <w:pPr>
              <w:pStyle w:val="TableParagraph"/>
            </w:pPr>
          </w:p>
          <w:p w14:paraId="068E9ED0" w14:textId="77777777" w:rsidR="0046798B" w:rsidRDefault="0046798B">
            <w:pPr>
              <w:pStyle w:val="TableParagraph"/>
              <w:spacing w:before="4"/>
              <w:rPr>
                <w:sz w:val="27"/>
              </w:rPr>
            </w:pPr>
          </w:p>
          <w:p w14:paraId="286F4A5C" w14:textId="77777777" w:rsidR="0046798B" w:rsidRDefault="00903B5C">
            <w:pPr>
              <w:pStyle w:val="TableParagraph"/>
              <w:ind w:left="114"/>
              <w:rPr>
                <w:sz w:val="20"/>
              </w:rPr>
            </w:pPr>
            <w:r>
              <w:rPr>
                <w:sz w:val="20"/>
              </w:rPr>
              <w:t>2000–2016</w:t>
            </w:r>
          </w:p>
        </w:tc>
        <w:tc>
          <w:tcPr>
            <w:tcW w:w="3421" w:type="dxa"/>
          </w:tcPr>
          <w:p w14:paraId="5084791F" w14:textId="77777777" w:rsidR="0046798B" w:rsidRDefault="00903B5C">
            <w:pPr>
              <w:pStyle w:val="TableParagraph"/>
              <w:spacing w:before="38"/>
              <w:ind w:left="114" w:right="99"/>
              <w:rPr>
                <w:sz w:val="20"/>
              </w:rPr>
            </w:pPr>
            <w:r>
              <w:rPr>
                <w:sz w:val="20"/>
              </w:rPr>
              <w:t xml:space="preserve">Public school choice (0 = no </w:t>
            </w:r>
            <w:r>
              <w:rPr>
                <w:spacing w:val="-3"/>
                <w:sz w:val="20"/>
              </w:rPr>
              <w:t xml:space="preserve">mandatory </w:t>
            </w:r>
            <w:r>
              <w:rPr>
                <w:sz w:val="20"/>
              </w:rPr>
              <w:t>open enrollment laws; .1 = inter or intra only under special circumstances; .5 = inter or intra for low-performing schools or other substantial qualifications; 1 = intradistrict mandatory; 1.5 = intradistrict mandatory or interdistrict for substantial populations; 2 = interdistrict mandatory)</w:t>
            </w:r>
          </w:p>
        </w:tc>
        <w:tc>
          <w:tcPr>
            <w:tcW w:w="6482" w:type="dxa"/>
          </w:tcPr>
          <w:p w14:paraId="052781F7" w14:textId="77777777" w:rsidR="0046798B" w:rsidRDefault="0046798B">
            <w:pPr>
              <w:pStyle w:val="TableParagraph"/>
            </w:pPr>
          </w:p>
          <w:p w14:paraId="57B1A331" w14:textId="77777777" w:rsidR="0046798B" w:rsidRDefault="0046798B">
            <w:pPr>
              <w:pStyle w:val="TableParagraph"/>
            </w:pPr>
          </w:p>
          <w:p w14:paraId="54CE6D0F" w14:textId="77777777" w:rsidR="0046798B" w:rsidRDefault="0046798B">
            <w:pPr>
              <w:pStyle w:val="TableParagraph"/>
              <w:spacing w:before="4"/>
              <w:rPr>
                <w:sz w:val="29"/>
              </w:rPr>
            </w:pPr>
          </w:p>
          <w:p w14:paraId="0E3AC5A0" w14:textId="77777777" w:rsidR="0046798B" w:rsidRDefault="00903B5C">
            <w:pPr>
              <w:pStyle w:val="TableParagraph"/>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DD798E4" w14:textId="77777777">
        <w:trPr>
          <w:trHeight w:val="2385"/>
        </w:trPr>
        <w:tc>
          <w:tcPr>
            <w:tcW w:w="1711" w:type="dxa"/>
          </w:tcPr>
          <w:p w14:paraId="71B7E2C4" w14:textId="77777777" w:rsidR="0046798B" w:rsidRDefault="0046798B">
            <w:pPr>
              <w:pStyle w:val="TableParagraph"/>
            </w:pPr>
          </w:p>
          <w:p w14:paraId="36835B6F" w14:textId="77777777" w:rsidR="0046798B" w:rsidRDefault="0046798B">
            <w:pPr>
              <w:pStyle w:val="TableParagraph"/>
            </w:pPr>
          </w:p>
          <w:p w14:paraId="68579042" w14:textId="77777777" w:rsidR="0046798B" w:rsidRDefault="0046798B">
            <w:pPr>
              <w:pStyle w:val="TableParagraph"/>
            </w:pPr>
          </w:p>
          <w:p w14:paraId="02461324" w14:textId="77777777" w:rsidR="0046798B" w:rsidRDefault="0046798B">
            <w:pPr>
              <w:pStyle w:val="TableParagraph"/>
              <w:spacing w:before="4"/>
              <w:rPr>
                <w:sz w:val="27"/>
              </w:rPr>
            </w:pPr>
          </w:p>
          <w:p w14:paraId="5558F36A" w14:textId="77777777" w:rsidR="0046798B" w:rsidRDefault="00903B5C">
            <w:pPr>
              <w:pStyle w:val="TableParagraph"/>
              <w:ind w:left="115"/>
              <w:rPr>
                <w:b/>
                <w:sz w:val="20"/>
              </w:rPr>
            </w:pPr>
            <w:r>
              <w:rPr>
                <w:b/>
                <w:sz w:val="20"/>
              </w:rPr>
              <w:t>epscurr</w:t>
            </w:r>
          </w:p>
        </w:tc>
        <w:tc>
          <w:tcPr>
            <w:tcW w:w="1596" w:type="dxa"/>
          </w:tcPr>
          <w:p w14:paraId="507F1136" w14:textId="77777777" w:rsidR="0046798B" w:rsidRDefault="0046798B">
            <w:pPr>
              <w:pStyle w:val="TableParagraph"/>
            </w:pPr>
          </w:p>
          <w:p w14:paraId="35C41E15" w14:textId="77777777" w:rsidR="0046798B" w:rsidRDefault="0046798B">
            <w:pPr>
              <w:pStyle w:val="TableParagraph"/>
            </w:pPr>
          </w:p>
          <w:p w14:paraId="3FC2E0D3" w14:textId="77777777" w:rsidR="0046798B" w:rsidRDefault="0046798B">
            <w:pPr>
              <w:pStyle w:val="TableParagraph"/>
              <w:spacing w:before="3"/>
              <w:rPr>
                <w:sz w:val="19"/>
              </w:rPr>
            </w:pPr>
          </w:p>
          <w:p w14:paraId="3237C649" w14:textId="77777777" w:rsidR="0046798B" w:rsidRDefault="00903B5C">
            <w:pPr>
              <w:pStyle w:val="TableParagraph"/>
              <w:spacing w:before="1"/>
              <w:ind w:left="114" w:right="96"/>
              <w:rPr>
                <w:sz w:val="20"/>
              </w:rPr>
            </w:pPr>
            <w:r>
              <w:rPr>
                <w:sz w:val="20"/>
              </w:rPr>
              <w:t>Extent of private school curriculum control</w:t>
            </w:r>
          </w:p>
        </w:tc>
        <w:tc>
          <w:tcPr>
            <w:tcW w:w="1285" w:type="dxa"/>
          </w:tcPr>
          <w:p w14:paraId="20BEAAE0" w14:textId="77777777" w:rsidR="0046798B" w:rsidRDefault="0046798B">
            <w:pPr>
              <w:pStyle w:val="TableParagraph"/>
            </w:pPr>
          </w:p>
          <w:p w14:paraId="4DAE0A5F" w14:textId="77777777" w:rsidR="0046798B" w:rsidRDefault="0046798B">
            <w:pPr>
              <w:pStyle w:val="TableParagraph"/>
            </w:pPr>
          </w:p>
          <w:p w14:paraId="28D0C4CA" w14:textId="77777777" w:rsidR="0046798B" w:rsidRDefault="0046798B">
            <w:pPr>
              <w:pStyle w:val="TableParagraph"/>
            </w:pPr>
          </w:p>
          <w:p w14:paraId="6C1A50E6" w14:textId="77777777" w:rsidR="0046798B" w:rsidRDefault="0046798B">
            <w:pPr>
              <w:pStyle w:val="TableParagraph"/>
              <w:spacing w:before="4"/>
              <w:rPr>
                <w:sz w:val="27"/>
              </w:rPr>
            </w:pPr>
          </w:p>
          <w:p w14:paraId="489E6763" w14:textId="77777777" w:rsidR="0046798B" w:rsidRDefault="00903B5C">
            <w:pPr>
              <w:pStyle w:val="TableParagraph"/>
              <w:ind w:left="114"/>
              <w:rPr>
                <w:sz w:val="20"/>
              </w:rPr>
            </w:pPr>
            <w:r>
              <w:rPr>
                <w:sz w:val="20"/>
              </w:rPr>
              <w:t>2000–2016</w:t>
            </w:r>
          </w:p>
        </w:tc>
        <w:tc>
          <w:tcPr>
            <w:tcW w:w="3421" w:type="dxa"/>
          </w:tcPr>
          <w:p w14:paraId="7FF12717" w14:textId="77777777" w:rsidR="0046798B" w:rsidRDefault="00903B5C">
            <w:pPr>
              <w:pStyle w:val="TableParagraph"/>
              <w:spacing w:before="38"/>
              <w:ind w:left="114"/>
              <w:rPr>
                <w:sz w:val="20"/>
              </w:rPr>
            </w:pPr>
            <w:r>
              <w:rPr>
                <w:sz w:val="20"/>
              </w:rPr>
              <w:t>Extent of private school curriculum control</w:t>
            </w:r>
          </w:p>
          <w:p w14:paraId="61758D4C" w14:textId="77777777" w:rsidR="0046798B" w:rsidRDefault="0046798B">
            <w:pPr>
              <w:pStyle w:val="TableParagraph"/>
              <w:rPr>
                <w:sz w:val="20"/>
              </w:rPr>
            </w:pPr>
          </w:p>
          <w:p w14:paraId="75BA84D5" w14:textId="77777777" w:rsidR="0046798B" w:rsidRDefault="00903B5C">
            <w:pPr>
              <w:pStyle w:val="TableParagraph"/>
              <w:ind w:left="114" w:right="156"/>
              <w:rPr>
                <w:sz w:val="20"/>
              </w:rPr>
            </w:pPr>
            <w:r>
              <w:rPr>
                <w:sz w:val="20"/>
              </w:rPr>
              <w:t>0 = none, 1 = general (subjects), 2 = detailed (content specified or approved by state)</w:t>
            </w:r>
          </w:p>
          <w:p w14:paraId="0F86D29F" w14:textId="77777777" w:rsidR="0046798B" w:rsidRDefault="0046798B">
            <w:pPr>
              <w:pStyle w:val="TableParagraph"/>
              <w:rPr>
                <w:sz w:val="20"/>
              </w:rPr>
            </w:pPr>
          </w:p>
          <w:p w14:paraId="424ADF53" w14:textId="77777777" w:rsidR="0046798B" w:rsidRDefault="00903B5C">
            <w:pPr>
              <w:pStyle w:val="TableParagraph"/>
              <w:spacing w:before="1"/>
              <w:ind w:left="114" w:right="149"/>
              <w:rPr>
                <w:sz w:val="20"/>
              </w:rPr>
            </w:pPr>
            <w:r>
              <w:rPr>
                <w:sz w:val="20"/>
              </w:rPr>
              <w:t>(note: If examinations are required prior to graduation, this is considered a form of detailed curriculum control)</w:t>
            </w:r>
          </w:p>
        </w:tc>
        <w:tc>
          <w:tcPr>
            <w:tcW w:w="6482" w:type="dxa"/>
          </w:tcPr>
          <w:p w14:paraId="4D664A85" w14:textId="77777777" w:rsidR="0046798B" w:rsidRDefault="0046798B">
            <w:pPr>
              <w:pStyle w:val="TableParagraph"/>
            </w:pPr>
          </w:p>
          <w:p w14:paraId="6845A236" w14:textId="77777777" w:rsidR="0046798B" w:rsidRDefault="0046798B">
            <w:pPr>
              <w:pStyle w:val="TableParagraph"/>
            </w:pPr>
          </w:p>
          <w:p w14:paraId="526CDFE9" w14:textId="77777777" w:rsidR="0046798B" w:rsidRDefault="0046798B">
            <w:pPr>
              <w:pStyle w:val="TableParagraph"/>
              <w:spacing w:before="4"/>
              <w:rPr>
                <w:sz w:val="29"/>
              </w:rPr>
            </w:pPr>
          </w:p>
          <w:p w14:paraId="35D6D5DF" w14:textId="77777777" w:rsidR="0046798B" w:rsidRDefault="00903B5C">
            <w:pPr>
              <w:pStyle w:val="TableParagraph"/>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2311243E" w14:textId="77777777" w:rsidR="0046798B" w:rsidRDefault="0046798B">
      <w:pPr>
        <w:rPr>
          <w:sz w:val="20"/>
        </w:rPr>
        <w:sectPr w:rsidR="0046798B">
          <w:pgSz w:w="15840" w:h="12240" w:orient="landscape"/>
          <w:pgMar w:top="1220" w:right="300" w:bottom="980" w:left="820" w:header="730" w:footer="787" w:gutter="0"/>
          <w:cols w:space="720"/>
        </w:sectPr>
      </w:pPr>
    </w:p>
    <w:p w14:paraId="63A827F4"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582476AA" w14:textId="77777777">
        <w:trPr>
          <w:trHeight w:val="2156"/>
        </w:trPr>
        <w:tc>
          <w:tcPr>
            <w:tcW w:w="1711" w:type="dxa"/>
          </w:tcPr>
          <w:p w14:paraId="451195C8" w14:textId="77777777" w:rsidR="0046798B" w:rsidRDefault="0046798B">
            <w:pPr>
              <w:pStyle w:val="TableParagraph"/>
            </w:pPr>
          </w:p>
          <w:p w14:paraId="4EABE0D6" w14:textId="77777777" w:rsidR="0046798B" w:rsidRDefault="0046798B">
            <w:pPr>
              <w:pStyle w:val="TableParagraph"/>
            </w:pPr>
          </w:p>
          <w:p w14:paraId="32DD6103" w14:textId="77777777" w:rsidR="0046798B" w:rsidRDefault="0046798B">
            <w:pPr>
              <w:pStyle w:val="TableParagraph"/>
            </w:pPr>
          </w:p>
          <w:p w14:paraId="71DF7FD0" w14:textId="77777777" w:rsidR="0046798B" w:rsidRDefault="0046798B">
            <w:pPr>
              <w:pStyle w:val="TableParagraph"/>
              <w:spacing w:before="9"/>
              <w:rPr>
                <w:sz w:val="17"/>
              </w:rPr>
            </w:pPr>
          </w:p>
          <w:p w14:paraId="26373298" w14:textId="77777777" w:rsidR="0046798B" w:rsidRDefault="00903B5C">
            <w:pPr>
              <w:pStyle w:val="TableParagraph"/>
              <w:ind w:left="115"/>
              <w:rPr>
                <w:b/>
                <w:sz w:val="20"/>
              </w:rPr>
            </w:pPr>
            <w:r>
              <w:rPr>
                <w:b/>
                <w:sz w:val="20"/>
              </w:rPr>
              <w:t>etcd</w:t>
            </w:r>
          </w:p>
        </w:tc>
        <w:tc>
          <w:tcPr>
            <w:tcW w:w="1596" w:type="dxa"/>
          </w:tcPr>
          <w:p w14:paraId="2E9CB794" w14:textId="77777777" w:rsidR="0046798B" w:rsidRDefault="00903B5C">
            <w:pPr>
              <w:pStyle w:val="TableParagraph"/>
              <w:spacing w:before="158"/>
              <w:ind w:left="114" w:right="152"/>
              <w:rPr>
                <w:sz w:val="20"/>
              </w:rPr>
            </w:pPr>
            <w:r>
              <w:rPr>
                <w:sz w:val="20"/>
              </w:rPr>
              <w:t>Tax credit/deduction law for scholarship contributions or educational expenses of parents</w:t>
            </w:r>
          </w:p>
        </w:tc>
        <w:tc>
          <w:tcPr>
            <w:tcW w:w="1285" w:type="dxa"/>
          </w:tcPr>
          <w:p w14:paraId="4D3B71BF" w14:textId="77777777" w:rsidR="0046798B" w:rsidRDefault="0046798B">
            <w:pPr>
              <w:pStyle w:val="TableParagraph"/>
            </w:pPr>
          </w:p>
          <w:p w14:paraId="7C878313" w14:textId="77777777" w:rsidR="0046798B" w:rsidRDefault="0046798B">
            <w:pPr>
              <w:pStyle w:val="TableParagraph"/>
            </w:pPr>
          </w:p>
          <w:p w14:paraId="75BC762C" w14:textId="77777777" w:rsidR="0046798B" w:rsidRDefault="0046798B">
            <w:pPr>
              <w:pStyle w:val="TableParagraph"/>
            </w:pPr>
          </w:p>
          <w:p w14:paraId="5A0E6301" w14:textId="77777777" w:rsidR="0046798B" w:rsidRDefault="0046798B">
            <w:pPr>
              <w:pStyle w:val="TableParagraph"/>
              <w:spacing w:before="9"/>
              <w:rPr>
                <w:sz w:val="17"/>
              </w:rPr>
            </w:pPr>
          </w:p>
          <w:p w14:paraId="74F9024A" w14:textId="77777777" w:rsidR="0046798B" w:rsidRDefault="00903B5C">
            <w:pPr>
              <w:pStyle w:val="TableParagraph"/>
              <w:ind w:left="114"/>
              <w:rPr>
                <w:sz w:val="20"/>
              </w:rPr>
            </w:pPr>
            <w:r>
              <w:rPr>
                <w:sz w:val="20"/>
              </w:rPr>
              <w:t>2000–2016</w:t>
            </w:r>
          </w:p>
        </w:tc>
        <w:tc>
          <w:tcPr>
            <w:tcW w:w="3421" w:type="dxa"/>
          </w:tcPr>
          <w:p w14:paraId="0FD9C46D" w14:textId="77777777" w:rsidR="0046798B" w:rsidRDefault="00903B5C">
            <w:pPr>
              <w:pStyle w:val="TableParagraph"/>
              <w:spacing w:before="43"/>
              <w:ind w:left="114" w:right="650"/>
              <w:rPr>
                <w:sz w:val="20"/>
              </w:rPr>
            </w:pPr>
            <w:r>
              <w:rPr>
                <w:sz w:val="20"/>
              </w:rPr>
              <w:t>Tax credit/deduction law for scholarship contributions or educational expenses of parents?</w:t>
            </w:r>
          </w:p>
          <w:p w14:paraId="305140AC" w14:textId="77777777" w:rsidR="0046798B" w:rsidRDefault="0046798B">
            <w:pPr>
              <w:pStyle w:val="TableParagraph"/>
              <w:rPr>
                <w:sz w:val="20"/>
              </w:rPr>
            </w:pPr>
          </w:p>
          <w:p w14:paraId="382ACD5E" w14:textId="77777777" w:rsidR="0046798B" w:rsidRDefault="00903B5C">
            <w:pPr>
              <w:pStyle w:val="TableParagraph"/>
              <w:ind w:left="114" w:right="130"/>
              <w:rPr>
                <w:sz w:val="20"/>
              </w:rPr>
            </w:pPr>
            <w:r>
              <w:rPr>
                <w:sz w:val="20"/>
              </w:rPr>
              <w:t>(0 = none, 1 = for special needs only or otherwise very limited eligibility, OR credit 50% or less of donation, or low cap on credit; 2= broad eligibility for receipt OR contribution)</w:t>
            </w:r>
          </w:p>
        </w:tc>
        <w:tc>
          <w:tcPr>
            <w:tcW w:w="6482" w:type="dxa"/>
          </w:tcPr>
          <w:p w14:paraId="5D15628B" w14:textId="77777777" w:rsidR="0046798B" w:rsidRDefault="0046798B">
            <w:pPr>
              <w:pStyle w:val="TableParagraph"/>
            </w:pPr>
          </w:p>
          <w:p w14:paraId="18724EB5" w14:textId="77777777" w:rsidR="0046798B" w:rsidRDefault="0046798B">
            <w:pPr>
              <w:pStyle w:val="TableParagraph"/>
            </w:pPr>
          </w:p>
          <w:p w14:paraId="744231EB" w14:textId="77777777" w:rsidR="0046798B" w:rsidRDefault="0046798B">
            <w:pPr>
              <w:pStyle w:val="TableParagraph"/>
              <w:spacing w:before="9"/>
              <w:rPr>
                <w:sz w:val="19"/>
              </w:rPr>
            </w:pPr>
          </w:p>
          <w:p w14:paraId="2A81FF1B"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F1DB799" w14:textId="77777777">
        <w:trPr>
          <w:trHeight w:val="2845"/>
        </w:trPr>
        <w:tc>
          <w:tcPr>
            <w:tcW w:w="1711" w:type="dxa"/>
          </w:tcPr>
          <w:p w14:paraId="09E93905" w14:textId="77777777" w:rsidR="0046798B" w:rsidRDefault="0046798B">
            <w:pPr>
              <w:pStyle w:val="TableParagraph"/>
            </w:pPr>
          </w:p>
          <w:p w14:paraId="533D1F73" w14:textId="77777777" w:rsidR="0046798B" w:rsidRDefault="0046798B">
            <w:pPr>
              <w:pStyle w:val="TableParagraph"/>
            </w:pPr>
          </w:p>
          <w:p w14:paraId="6AEC662D" w14:textId="77777777" w:rsidR="0046798B" w:rsidRDefault="0046798B">
            <w:pPr>
              <w:pStyle w:val="TableParagraph"/>
            </w:pPr>
          </w:p>
          <w:p w14:paraId="0A18BFAA" w14:textId="77777777" w:rsidR="0046798B" w:rsidRDefault="0046798B">
            <w:pPr>
              <w:pStyle w:val="TableParagraph"/>
            </w:pPr>
          </w:p>
          <w:p w14:paraId="727DA536" w14:textId="77777777" w:rsidR="0046798B" w:rsidRDefault="0046798B">
            <w:pPr>
              <w:pStyle w:val="TableParagraph"/>
              <w:spacing w:before="9"/>
              <w:rPr>
                <w:sz w:val="25"/>
              </w:rPr>
            </w:pPr>
          </w:p>
          <w:p w14:paraId="5937FB42" w14:textId="77777777" w:rsidR="0046798B" w:rsidRDefault="00903B5C">
            <w:pPr>
              <w:pStyle w:val="TableParagraph"/>
              <w:ind w:left="115"/>
              <w:rPr>
                <w:b/>
                <w:sz w:val="20"/>
              </w:rPr>
            </w:pPr>
            <w:r>
              <w:rPr>
                <w:b/>
                <w:sz w:val="20"/>
              </w:rPr>
              <w:t>evouch</w:t>
            </w:r>
          </w:p>
        </w:tc>
        <w:tc>
          <w:tcPr>
            <w:tcW w:w="1596" w:type="dxa"/>
          </w:tcPr>
          <w:p w14:paraId="53AEE985" w14:textId="77777777" w:rsidR="0046798B" w:rsidRDefault="0046798B">
            <w:pPr>
              <w:pStyle w:val="TableParagraph"/>
            </w:pPr>
          </w:p>
          <w:p w14:paraId="78416549" w14:textId="77777777" w:rsidR="0046798B" w:rsidRDefault="0046798B">
            <w:pPr>
              <w:pStyle w:val="TableParagraph"/>
            </w:pPr>
          </w:p>
          <w:p w14:paraId="7FD796C7" w14:textId="77777777" w:rsidR="0046798B" w:rsidRDefault="0046798B">
            <w:pPr>
              <w:pStyle w:val="TableParagraph"/>
            </w:pPr>
          </w:p>
          <w:p w14:paraId="0CC05AD7" w14:textId="77777777" w:rsidR="0046798B" w:rsidRDefault="0046798B">
            <w:pPr>
              <w:pStyle w:val="TableParagraph"/>
            </w:pPr>
          </w:p>
          <w:p w14:paraId="4A699809" w14:textId="77777777" w:rsidR="0046798B" w:rsidRDefault="00903B5C">
            <w:pPr>
              <w:pStyle w:val="TableParagraph"/>
              <w:spacing w:before="181"/>
              <w:ind w:left="114"/>
              <w:rPr>
                <w:sz w:val="20"/>
              </w:rPr>
            </w:pPr>
            <w:r>
              <w:rPr>
                <w:sz w:val="20"/>
              </w:rPr>
              <w:t>Publicly funded voucher law?</w:t>
            </w:r>
          </w:p>
        </w:tc>
        <w:tc>
          <w:tcPr>
            <w:tcW w:w="1285" w:type="dxa"/>
          </w:tcPr>
          <w:p w14:paraId="4FFA785F" w14:textId="77777777" w:rsidR="0046798B" w:rsidRDefault="0046798B">
            <w:pPr>
              <w:pStyle w:val="TableParagraph"/>
            </w:pPr>
          </w:p>
          <w:p w14:paraId="56E8ABF4" w14:textId="77777777" w:rsidR="0046798B" w:rsidRDefault="0046798B">
            <w:pPr>
              <w:pStyle w:val="TableParagraph"/>
            </w:pPr>
          </w:p>
          <w:p w14:paraId="37198882" w14:textId="77777777" w:rsidR="0046798B" w:rsidRDefault="0046798B">
            <w:pPr>
              <w:pStyle w:val="TableParagraph"/>
            </w:pPr>
          </w:p>
          <w:p w14:paraId="6996A709" w14:textId="77777777" w:rsidR="0046798B" w:rsidRDefault="0046798B">
            <w:pPr>
              <w:pStyle w:val="TableParagraph"/>
            </w:pPr>
          </w:p>
          <w:p w14:paraId="5392ECDE" w14:textId="77777777" w:rsidR="0046798B" w:rsidRDefault="0046798B">
            <w:pPr>
              <w:pStyle w:val="TableParagraph"/>
              <w:spacing w:before="9"/>
              <w:rPr>
                <w:sz w:val="25"/>
              </w:rPr>
            </w:pPr>
          </w:p>
          <w:p w14:paraId="4695F05E" w14:textId="77777777" w:rsidR="0046798B" w:rsidRDefault="00903B5C">
            <w:pPr>
              <w:pStyle w:val="TableParagraph"/>
              <w:ind w:left="114"/>
              <w:rPr>
                <w:sz w:val="20"/>
              </w:rPr>
            </w:pPr>
            <w:r>
              <w:rPr>
                <w:sz w:val="20"/>
              </w:rPr>
              <w:t>2000–2016</w:t>
            </w:r>
          </w:p>
        </w:tc>
        <w:tc>
          <w:tcPr>
            <w:tcW w:w="3421" w:type="dxa"/>
          </w:tcPr>
          <w:p w14:paraId="01331953" w14:textId="77777777" w:rsidR="0046798B" w:rsidRDefault="00903B5C">
            <w:pPr>
              <w:pStyle w:val="TableParagraph"/>
              <w:spacing w:before="43"/>
              <w:ind w:left="114"/>
              <w:rPr>
                <w:sz w:val="20"/>
              </w:rPr>
            </w:pPr>
            <w:r>
              <w:rPr>
                <w:sz w:val="20"/>
              </w:rPr>
              <w:t>Publicly funded voucher law?</w:t>
            </w:r>
          </w:p>
          <w:p w14:paraId="205F2A18" w14:textId="77777777" w:rsidR="0046798B" w:rsidRDefault="0046798B">
            <w:pPr>
              <w:pStyle w:val="TableParagraph"/>
              <w:rPr>
                <w:sz w:val="20"/>
              </w:rPr>
            </w:pPr>
          </w:p>
          <w:p w14:paraId="7DDEA33F" w14:textId="77777777" w:rsidR="0046798B" w:rsidRDefault="00903B5C">
            <w:pPr>
              <w:pStyle w:val="TableParagraph"/>
              <w:ind w:left="114" w:right="119"/>
              <w:rPr>
                <w:sz w:val="20"/>
              </w:rPr>
            </w:pPr>
            <w:r>
              <w:rPr>
                <w:sz w:val="20"/>
              </w:rPr>
              <w:t>0 = no; 0.5 = yes, but limited to students with disabilities; 1 = yes, but limited to low-income families in poor school districts or to towns/counties that choose to tuition out or ESA limited to students with disabilities; 2 = yes, statewide, &amp; includes families up to 185% of federal poverty guidelines or limited eligibility ESA; 3 = ESA with wide eligibility</w:t>
            </w:r>
          </w:p>
        </w:tc>
        <w:tc>
          <w:tcPr>
            <w:tcW w:w="6482" w:type="dxa"/>
          </w:tcPr>
          <w:p w14:paraId="6129ACFF" w14:textId="77777777" w:rsidR="0046798B" w:rsidRDefault="0046798B">
            <w:pPr>
              <w:pStyle w:val="TableParagraph"/>
            </w:pPr>
          </w:p>
          <w:p w14:paraId="16DE93AC" w14:textId="77777777" w:rsidR="0046798B" w:rsidRDefault="0046798B">
            <w:pPr>
              <w:pStyle w:val="TableParagraph"/>
            </w:pPr>
          </w:p>
          <w:p w14:paraId="73D3E993" w14:textId="77777777" w:rsidR="0046798B" w:rsidRDefault="0046798B">
            <w:pPr>
              <w:pStyle w:val="TableParagraph"/>
            </w:pPr>
          </w:p>
          <w:p w14:paraId="23B4A02B" w14:textId="77777777" w:rsidR="0046798B" w:rsidRDefault="0046798B">
            <w:pPr>
              <w:pStyle w:val="TableParagraph"/>
              <w:spacing w:before="9"/>
              <w:rPr>
                <w:sz w:val="27"/>
              </w:rPr>
            </w:pPr>
          </w:p>
          <w:p w14:paraId="63715D86"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7B49087" w14:textId="77777777">
        <w:trPr>
          <w:trHeight w:val="1235"/>
        </w:trPr>
        <w:tc>
          <w:tcPr>
            <w:tcW w:w="1711" w:type="dxa"/>
          </w:tcPr>
          <w:p w14:paraId="02191ADD" w14:textId="77777777" w:rsidR="0046798B" w:rsidRDefault="0046798B">
            <w:pPr>
              <w:pStyle w:val="TableParagraph"/>
              <w:spacing w:before="9"/>
              <w:rPr>
                <w:sz w:val="23"/>
              </w:rPr>
            </w:pPr>
          </w:p>
          <w:p w14:paraId="18283F31" w14:textId="77777777" w:rsidR="0046798B" w:rsidRDefault="00903B5C">
            <w:pPr>
              <w:pStyle w:val="TableParagraph"/>
              <w:ind w:left="115" w:right="129"/>
              <w:jc w:val="both"/>
              <w:rPr>
                <w:b/>
                <w:sz w:val="20"/>
              </w:rPr>
            </w:pPr>
            <w:r>
              <w:rPr>
                <w:b/>
                <w:sz w:val="20"/>
              </w:rPr>
              <w:t>education_corpo ral_punishment_ ba</w:t>
            </w:r>
          </w:p>
        </w:tc>
        <w:tc>
          <w:tcPr>
            <w:tcW w:w="1596" w:type="dxa"/>
          </w:tcPr>
          <w:p w14:paraId="5B0D0967" w14:textId="77777777" w:rsidR="0046798B" w:rsidRDefault="0046798B">
            <w:pPr>
              <w:pStyle w:val="TableParagraph"/>
              <w:spacing w:before="9"/>
              <w:rPr>
                <w:sz w:val="23"/>
              </w:rPr>
            </w:pPr>
          </w:p>
          <w:p w14:paraId="1E2E93A7" w14:textId="77777777" w:rsidR="0046798B" w:rsidRDefault="00903B5C">
            <w:pPr>
              <w:pStyle w:val="TableParagraph"/>
              <w:ind w:left="114" w:right="163"/>
              <w:rPr>
                <w:sz w:val="20"/>
              </w:rPr>
            </w:pPr>
            <w:r>
              <w:rPr>
                <w:sz w:val="20"/>
              </w:rPr>
              <w:t>Ban on corporal punishment in schools</w:t>
            </w:r>
          </w:p>
        </w:tc>
        <w:tc>
          <w:tcPr>
            <w:tcW w:w="1285" w:type="dxa"/>
          </w:tcPr>
          <w:p w14:paraId="7BE34255" w14:textId="77777777" w:rsidR="0046798B" w:rsidRDefault="0046798B">
            <w:pPr>
              <w:pStyle w:val="TableParagraph"/>
            </w:pPr>
          </w:p>
          <w:p w14:paraId="5874C0D2" w14:textId="77777777" w:rsidR="0046798B" w:rsidRDefault="0046798B">
            <w:pPr>
              <w:pStyle w:val="TableParagraph"/>
              <w:spacing w:before="9"/>
              <w:rPr>
                <w:sz w:val="21"/>
              </w:rPr>
            </w:pPr>
          </w:p>
          <w:p w14:paraId="12162191" w14:textId="77777777" w:rsidR="0046798B" w:rsidRDefault="00903B5C">
            <w:pPr>
              <w:pStyle w:val="TableParagraph"/>
              <w:ind w:left="114"/>
              <w:rPr>
                <w:sz w:val="20"/>
              </w:rPr>
            </w:pPr>
            <w:r>
              <w:rPr>
                <w:sz w:val="20"/>
              </w:rPr>
              <w:t>1970–2014</w:t>
            </w:r>
          </w:p>
        </w:tc>
        <w:tc>
          <w:tcPr>
            <w:tcW w:w="3421" w:type="dxa"/>
          </w:tcPr>
          <w:p w14:paraId="76127304" w14:textId="77777777" w:rsidR="0046798B" w:rsidRDefault="0046798B">
            <w:pPr>
              <w:pStyle w:val="TableParagraph"/>
            </w:pPr>
          </w:p>
          <w:p w14:paraId="3CD35B43" w14:textId="77777777" w:rsidR="0046798B" w:rsidRDefault="00903B5C">
            <w:pPr>
              <w:pStyle w:val="TableParagraph"/>
              <w:spacing w:before="136"/>
              <w:ind w:left="114" w:right="116"/>
              <w:rPr>
                <w:sz w:val="20"/>
              </w:rPr>
            </w:pPr>
            <w:r>
              <w:rPr>
                <w:sz w:val="20"/>
              </w:rPr>
              <w:t>Does the state ban corporal punishment in schools? (0 = no, 1 = yes)</w:t>
            </w:r>
          </w:p>
        </w:tc>
        <w:tc>
          <w:tcPr>
            <w:tcW w:w="6482" w:type="dxa"/>
          </w:tcPr>
          <w:p w14:paraId="1360E818"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00E69043" w14:textId="77777777">
        <w:trPr>
          <w:trHeight w:val="1240"/>
        </w:trPr>
        <w:tc>
          <w:tcPr>
            <w:tcW w:w="1711" w:type="dxa"/>
          </w:tcPr>
          <w:p w14:paraId="35193A2D" w14:textId="77777777" w:rsidR="0046798B" w:rsidRDefault="0046798B">
            <w:pPr>
              <w:pStyle w:val="TableParagraph"/>
            </w:pPr>
          </w:p>
          <w:p w14:paraId="23D98D7E" w14:textId="77777777" w:rsidR="0046798B" w:rsidRDefault="00903B5C">
            <w:pPr>
              <w:pStyle w:val="TableParagraph"/>
              <w:spacing w:before="136"/>
              <w:ind w:left="115"/>
              <w:rPr>
                <w:b/>
                <w:sz w:val="20"/>
              </w:rPr>
            </w:pPr>
            <w:r>
              <w:rPr>
                <w:b/>
                <w:sz w:val="20"/>
              </w:rPr>
              <w:t>education_librar ysystem</w:t>
            </w:r>
          </w:p>
        </w:tc>
        <w:tc>
          <w:tcPr>
            <w:tcW w:w="1596" w:type="dxa"/>
          </w:tcPr>
          <w:p w14:paraId="6C15D6A4" w14:textId="77777777" w:rsidR="0046798B" w:rsidRDefault="0046798B">
            <w:pPr>
              <w:pStyle w:val="TableParagraph"/>
            </w:pPr>
          </w:p>
          <w:p w14:paraId="1CD83071" w14:textId="77777777" w:rsidR="0046798B" w:rsidRDefault="00903B5C">
            <w:pPr>
              <w:pStyle w:val="TableParagraph"/>
              <w:spacing w:before="136"/>
              <w:ind w:left="114" w:right="585"/>
              <w:rPr>
                <w:sz w:val="20"/>
              </w:rPr>
            </w:pPr>
            <w:r>
              <w:rPr>
                <w:sz w:val="20"/>
              </w:rPr>
              <w:t>State library system</w:t>
            </w:r>
          </w:p>
        </w:tc>
        <w:tc>
          <w:tcPr>
            <w:tcW w:w="1285" w:type="dxa"/>
          </w:tcPr>
          <w:p w14:paraId="2CC71108" w14:textId="77777777" w:rsidR="0046798B" w:rsidRDefault="0046798B">
            <w:pPr>
              <w:pStyle w:val="TableParagraph"/>
            </w:pPr>
          </w:p>
          <w:p w14:paraId="6BE5194D" w14:textId="77777777" w:rsidR="0046798B" w:rsidRDefault="0046798B">
            <w:pPr>
              <w:pStyle w:val="TableParagraph"/>
              <w:spacing w:before="9"/>
              <w:rPr>
                <w:sz w:val="21"/>
              </w:rPr>
            </w:pPr>
          </w:p>
          <w:p w14:paraId="4F087E0E" w14:textId="77777777" w:rsidR="0046798B" w:rsidRDefault="00903B5C">
            <w:pPr>
              <w:pStyle w:val="TableParagraph"/>
              <w:ind w:left="114"/>
              <w:rPr>
                <w:sz w:val="20"/>
              </w:rPr>
            </w:pPr>
            <w:r>
              <w:rPr>
                <w:sz w:val="20"/>
              </w:rPr>
              <w:t>1980–1948</w:t>
            </w:r>
          </w:p>
        </w:tc>
        <w:tc>
          <w:tcPr>
            <w:tcW w:w="3421" w:type="dxa"/>
          </w:tcPr>
          <w:p w14:paraId="13D8CC42" w14:textId="77777777" w:rsidR="0046798B" w:rsidRDefault="0046798B">
            <w:pPr>
              <w:pStyle w:val="TableParagraph"/>
            </w:pPr>
          </w:p>
          <w:p w14:paraId="7F20CC66" w14:textId="77777777" w:rsidR="0046798B" w:rsidRDefault="0046798B">
            <w:pPr>
              <w:pStyle w:val="TableParagraph"/>
              <w:spacing w:before="9"/>
              <w:rPr>
                <w:sz w:val="21"/>
              </w:rPr>
            </w:pPr>
          </w:p>
          <w:p w14:paraId="284E6FC0" w14:textId="77777777" w:rsidR="0046798B" w:rsidRDefault="00903B5C">
            <w:pPr>
              <w:pStyle w:val="TableParagraph"/>
              <w:ind w:left="114"/>
              <w:rPr>
                <w:sz w:val="20"/>
              </w:rPr>
            </w:pPr>
            <w:r>
              <w:rPr>
                <w:sz w:val="20"/>
              </w:rPr>
              <w:t>State library system (0 = no, 1 = yes)</w:t>
            </w:r>
          </w:p>
        </w:tc>
        <w:tc>
          <w:tcPr>
            <w:tcW w:w="6482" w:type="dxa"/>
          </w:tcPr>
          <w:p w14:paraId="6421D49E"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17420073" w14:textId="77777777">
        <w:trPr>
          <w:trHeight w:val="1235"/>
        </w:trPr>
        <w:tc>
          <w:tcPr>
            <w:tcW w:w="1711" w:type="dxa"/>
          </w:tcPr>
          <w:p w14:paraId="28390C2B" w14:textId="77777777" w:rsidR="0046798B" w:rsidRDefault="0046798B">
            <w:pPr>
              <w:pStyle w:val="TableParagraph"/>
            </w:pPr>
          </w:p>
          <w:p w14:paraId="2F949F72" w14:textId="77777777" w:rsidR="0046798B" w:rsidRDefault="00903B5C">
            <w:pPr>
              <w:pStyle w:val="TableParagraph"/>
              <w:spacing w:before="130"/>
              <w:ind w:left="115" w:right="99"/>
              <w:rPr>
                <w:b/>
                <w:sz w:val="20"/>
              </w:rPr>
            </w:pPr>
            <w:r>
              <w:rPr>
                <w:b/>
                <w:sz w:val="20"/>
              </w:rPr>
              <w:t>education_school fordeaf</w:t>
            </w:r>
          </w:p>
        </w:tc>
        <w:tc>
          <w:tcPr>
            <w:tcW w:w="1596" w:type="dxa"/>
          </w:tcPr>
          <w:p w14:paraId="73B5A4E0" w14:textId="77777777" w:rsidR="0046798B" w:rsidRDefault="0046798B">
            <w:pPr>
              <w:pStyle w:val="TableParagraph"/>
            </w:pPr>
          </w:p>
          <w:p w14:paraId="1A83205F" w14:textId="77777777" w:rsidR="0046798B" w:rsidRDefault="0046798B">
            <w:pPr>
              <w:pStyle w:val="TableParagraph"/>
              <w:spacing w:before="4"/>
              <w:rPr>
                <w:sz w:val="21"/>
              </w:rPr>
            </w:pPr>
          </w:p>
          <w:p w14:paraId="337DA977" w14:textId="77777777" w:rsidR="0046798B" w:rsidRDefault="00903B5C">
            <w:pPr>
              <w:pStyle w:val="TableParagraph"/>
              <w:ind w:left="114"/>
              <w:rPr>
                <w:sz w:val="20"/>
              </w:rPr>
            </w:pPr>
            <w:r>
              <w:rPr>
                <w:sz w:val="20"/>
              </w:rPr>
              <w:t>School for deaf</w:t>
            </w:r>
          </w:p>
        </w:tc>
        <w:tc>
          <w:tcPr>
            <w:tcW w:w="1285" w:type="dxa"/>
          </w:tcPr>
          <w:p w14:paraId="76DB029C" w14:textId="77777777" w:rsidR="0046798B" w:rsidRDefault="0046798B">
            <w:pPr>
              <w:pStyle w:val="TableParagraph"/>
            </w:pPr>
          </w:p>
          <w:p w14:paraId="4B000658" w14:textId="77777777" w:rsidR="0046798B" w:rsidRDefault="0046798B">
            <w:pPr>
              <w:pStyle w:val="TableParagraph"/>
              <w:spacing w:before="4"/>
              <w:rPr>
                <w:sz w:val="21"/>
              </w:rPr>
            </w:pPr>
          </w:p>
          <w:p w14:paraId="5B00388E" w14:textId="77777777" w:rsidR="0046798B" w:rsidRDefault="00903B5C">
            <w:pPr>
              <w:pStyle w:val="TableParagraph"/>
              <w:ind w:left="114"/>
              <w:rPr>
                <w:sz w:val="20"/>
              </w:rPr>
            </w:pPr>
            <w:r>
              <w:rPr>
                <w:sz w:val="20"/>
              </w:rPr>
              <w:t>1936–1950</w:t>
            </w:r>
          </w:p>
        </w:tc>
        <w:tc>
          <w:tcPr>
            <w:tcW w:w="3421" w:type="dxa"/>
          </w:tcPr>
          <w:p w14:paraId="32869094" w14:textId="77777777" w:rsidR="0046798B" w:rsidRDefault="0046798B">
            <w:pPr>
              <w:pStyle w:val="TableParagraph"/>
            </w:pPr>
          </w:p>
          <w:p w14:paraId="6F65544E" w14:textId="77777777" w:rsidR="0046798B" w:rsidRDefault="0046798B">
            <w:pPr>
              <w:pStyle w:val="TableParagraph"/>
              <w:spacing w:before="4"/>
              <w:rPr>
                <w:sz w:val="21"/>
              </w:rPr>
            </w:pPr>
          </w:p>
          <w:p w14:paraId="1D602CAC" w14:textId="77777777" w:rsidR="0046798B" w:rsidRDefault="00903B5C">
            <w:pPr>
              <w:pStyle w:val="TableParagraph"/>
              <w:ind w:left="114"/>
              <w:rPr>
                <w:sz w:val="20"/>
              </w:rPr>
            </w:pPr>
            <w:r>
              <w:rPr>
                <w:sz w:val="20"/>
              </w:rPr>
              <w:t>School for deaf (0 = no, 1 = yes)</w:t>
            </w:r>
          </w:p>
        </w:tc>
        <w:tc>
          <w:tcPr>
            <w:tcW w:w="6482" w:type="dxa"/>
          </w:tcPr>
          <w:p w14:paraId="0D9E918A"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bl>
    <w:p w14:paraId="5A1800C9" w14:textId="77777777" w:rsidR="0046798B" w:rsidRDefault="0046798B">
      <w:pPr>
        <w:rPr>
          <w:sz w:val="20"/>
        </w:rPr>
        <w:sectPr w:rsidR="0046798B">
          <w:pgSz w:w="15840" w:h="12240" w:orient="landscape"/>
          <w:pgMar w:top="1220" w:right="300" w:bottom="980" w:left="820" w:header="730" w:footer="787" w:gutter="0"/>
          <w:cols w:space="720"/>
        </w:sectPr>
      </w:pPr>
    </w:p>
    <w:p w14:paraId="65E30405"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7076FEFC" w14:textId="77777777">
        <w:trPr>
          <w:trHeight w:val="1235"/>
        </w:trPr>
        <w:tc>
          <w:tcPr>
            <w:tcW w:w="1711" w:type="dxa"/>
          </w:tcPr>
          <w:p w14:paraId="511E2E53" w14:textId="77777777" w:rsidR="0046798B" w:rsidRDefault="0046798B">
            <w:pPr>
              <w:pStyle w:val="TableParagraph"/>
            </w:pPr>
          </w:p>
          <w:p w14:paraId="0DE3FF52" w14:textId="77777777" w:rsidR="0046798B" w:rsidRDefault="00903B5C">
            <w:pPr>
              <w:pStyle w:val="TableParagraph"/>
              <w:spacing w:before="135"/>
              <w:ind w:left="115" w:right="88"/>
              <w:rPr>
                <w:b/>
                <w:sz w:val="20"/>
              </w:rPr>
            </w:pPr>
            <w:r>
              <w:rPr>
                <w:b/>
                <w:sz w:val="20"/>
              </w:rPr>
              <w:t>education_teache r_cert_elementar</w:t>
            </w:r>
          </w:p>
        </w:tc>
        <w:tc>
          <w:tcPr>
            <w:tcW w:w="1596" w:type="dxa"/>
          </w:tcPr>
          <w:p w14:paraId="7EC6A61B" w14:textId="77777777" w:rsidR="0046798B" w:rsidRDefault="00903B5C">
            <w:pPr>
              <w:pStyle w:val="TableParagraph"/>
              <w:spacing w:before="158"/>
              <w:ind w:left="114" w:right="225"/>
              <w:rPr>
                <w:sz w:val="20"/>
              </w:rPr>
            </w:pPr>
            <w:r>
              <w:rPr>
                <w:sz w:val="20"/>
              </w:rPr>
              <w:t>Teacher degree required— elementary school</w:t>
            </w:r>
          </w:p>
        </w:tc>
        <w:tc>
          <w:tcPr>
            <w:tcW w:w="1285" w:type="dxa"/>
          </w:tcPr>
          <w:p w14:paraId="25DF584A" w14:textId="77777777" w:rsidR="0046798B" w:rsidRDefault="0046798B">
            <w:pPr>
              <w:pStyle w:val="TableParagraph"/>
            </w:pPr>
          </w:p>
          <w:p w14:paraId="044AD9BD" w14:textId="77777777" w:rsidR="0046798B" w:rsidRDefault="0046798B">
            <w:pPr>
              <w:pStyle w:val="TableParagraph"/>
              <w:spacing w:before="9"/>
              <w:rPr>
                <w:sz w:val="21"/>
              </w:rPr>
            </w:pPr>
          </w:p>
          <w:p w14:paraId="468FECBE" w14:textId="77777777" w:rsidR="0046798B" w:rsidRDefault="00903B5C">
            <w:pPr>
              <w:pStyle w:val="TableParagraph"/>
              <w:ind w:left="114"/>
              <w:rPr>
                <w:sz w:val="20"/>
              </w:rPr>
            </w:pPr>
            <w:r>
              <w:rPr>
                <w:sz w:val="20"/>
              </w:rPr>
              <w:t>1936–1969</w:t>
            </w:r>
          </w:p>
        </w:tc>
        <w:tc>
          <w:tcPr>
            <w:tcW w:w="3421" w:type="dxa"/>
          </w:tcPr>
          <w:p w14:paraId="1A7A20FF" w14:textId="77777777" w:rsidR="0046798B" w:rsidRDefault="0046798B">
            <w:pPr>
              <w:pStyle w:val="TableParagraph"/>
              <w:spacing w:before="9"/>
              <w:rPr>
                <w:sz w:val="23"/>
              </w:rPr>
            </w:pPr>
          </w:p>
          <w:p w14:paraId="5A50A6A9" w14:textId="77777777" w:rsidR="0046798B" w:rsidRDefault="00903B5C">
            <w:pPr>
              <w:pStyle w:val="TableParagraph"/>
              <w:ind w:left="114" w:right="361"/>
              <w:rPr>
                <w:sz w:val="20"/>
              </w:rPr>
            </w:pPr>
            <w:r>
              <w:rPr>
                <w:sz w:val="20"/>
              </w:rPr>
              <w:t>In what year does the state require elementary school teachers to hold a degree?</w:t>
            </w:r>
          </w:p>
        </w:tc>
        <w:tc>
          <w:tcPr>
            <w:tcW w:w="6482" w:type="dxa"/>
          </w:tcPr>
          <w:p w14:paraId="63167AEF"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7287BB3B" w14:textId="77777777">
        <w:trPr>
          <w:trHeight w:val="1235"/>
        </w:trPr>
        <w:tc>
          <w:tcPr>
            <w:tcW w:w="1711" w:type="dxa"/>
          </w:tcPr>
          <w:p w14:paraId="2020F36C" w14:textId="77777777" w:rsidR="0046798B" w:rsidRDefault="0046798B">
            <w:pPr>
              <w:pStyle w:val="TableParagraph"/>
            </w:pPr>
          </w:p>
          <w:p w14:paraId="2B27430A" w14:textId="77777777" w:rsidR="0046798B" w:rsidRDefault="00903B5C">
            <w:pPr>
              <w:pStyle w:val="TableParagraph"/>
              <w:spacing w:before="136"/>
              <w:ind w:left="115"/>
              <w:rPr>
                <w:b/>
                <w:sz w:val="20"/>
              </w:rPr>
            </w:pPr>
            <w:r>
              <w:rPr>
                <w:b/>
                <w:sz w:val="20"/>
              </w:rPr>
              <w:t>education_teache r_cert_hs</w:t>
            </w:r>
          </w:p>
        </w:tc>
        <w:tc>
          <w:tcPr>
            <w:tcW w:w="1596" w:type="dxa"/>
          </w:tcPr>
          <w:p w14:paraId="1C439114" w14:textId="77777777" w:rsidR="0046798B" w:rsidRDefault="0046798B">
            <w:pPr>
              <w:pStyle w:val="TableParagraph"/>
              <w:spacing w:before="9"/>
              <w:rPr>
                <w:sz w:val="23"/>
              </w:rPr>
            </w:pPr>
          </w:p>
          <w:p w14:paraId="672179D0" w14:textId="77777777" w:rsidR="0046798B" w:rsidRDefault="00903B5C">
            <w:pPr>
              <w:pStyle w:val="TableParagraph"/>
              <w:ind w:left="114" w:right="241"/>
              <w:jc w:val="both"/>
              <w:rPr>
                <w:sz w:val="20"/>
              </w:rPr>
            </w:pPr>
            <w:r>
              <w:rPr>
                <w:sz w:val="20"/>
              </w:rPr>
              <w:t>Teacher degree required—high school</w:t>
            </w:r>
          </w:p>
        </w:tc>
        <w:tc>
          <w:tcPr>
            <w:tcW w:w="1285" w:type="dxa"/>
          </w:tcPr>
          <w:p w14:paraId="0A4B20B2" w14:textId="77777777" w:rsidR="0046798B" w:rsidRDefault="0046798B">
            <w:pPr>
              <w:pStyle w:val="TableParagraph"/>
            </w:pPr>
          </w:p>
          <w:p w14:paraId="7F31F100" w14:textId="77777777" w:rsidR="0046798B" w:rsidRDefault="0046798B">
            <w:pPr>
              <w:pStyle w:val="TableParagraph"/>
              <w:spacing w:before="9"/>
              <w:rPr>
                <w:sz w:val="21"/>
              </w:rPr>
            </w:pPr>
          </w:p>
          <w:p w14:paraId="39F790E0" w14:textId="77777777" w:rsidR="0046798B" w:rsidRDefault="00903B5C">
            <w:pPr>
              <w:pStyle w:val="TableParagraph"/>
              <w:ind w:left="114"/>
              <w:rPr>
                <w:sz w:val="20"/>
              </w:rPr>
            </w:pPr>
            <w:r>
              <w:rPr>
                <w:sz w:val="20"/>
              </w:rPr>
              <w:t>1936–1963</w:t>
            </w:r>
          </w:p>
        </w:tc>
        <w:tc>
          <w:tcPr>
            <w:tcW w:w="3421" w:type="dxa"/>
          </w:tcPr>
          <w:p w14:paraId="697DAF39" w14:textId="77777777" w:rsidR="0046798B" w:rsidRDefault="0046798B">
            <w:pPr>
              <w:pStyle w:val="TableParagraph"/>
            </w:pPr>
          </w:p>
          <w:p w14:paraId="15B81359" w14:textId="77777777" w:rsidR="0046798B" w:rsidRDefault="00903B5C">
            <w:pPr>
              <w:pStyle w:val="TableParagraph"/>
              <w:spacing w:before="136"/>
              <w:ind w:left="114" w:right="128"/>
              <w:rPr>
                <w:sz w:val="20"/>
              </w:rPr>
            </w:pPr>
            <w:r>
              <w:rPr>
                <w:sz w:val="20"/>
              </w:rPr>
              <w:t>In what year does the state require high school teachers to hold a degree?</w:t>
            </w:r>
          </w:p>
        </w:tc>
        <w:tc>
          <w:tcPr>
            <w:tcW w:w="6482" w:type="dxa"/>
          </w:tcPr>
          <w:p w14:paraId="51CAF78D"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06D6EFEB" w14:textId="77777777">
        <w:trPr>
          <w:trHeight w:val="1930"/>
        </w:trPr>
        <w:tc>
          <w:tcPr>
            <w:tcW w:w="1711" w:type="dxa"/>
          </w:tcPr>
          <w:p w14:paraId="5C26AC8F" w14:textId="77777777" w:rsidR="0046798B" w:rsidRDefault="0046798B">
            <w:pPr>
              <w:pStyle w:val="TableParagraph"/>
            </w:pPr>
          </w:p>
          <w:p w14:paraId="52B6D9F7" w14:textId="77777777" w:rsidR="0046798B" w:rsidRDefault="0046798B">
            <w:pPr>
              <w:pStyle w:val="TableParagraph"/>
            </w:pPr>
          </w:p>
          <w:p w14:paraId="4BD4C7C6" w14:textId="77777777" w:rsidR="0046798B" w:rsidRDefault="0046798B">
            <w:pPr>
              <w:pStyle w:val="TableParagraph"/>
              <w:spacing w:before="9"/>
              <w:rPr>
                <w:sz w:val="19"/>
              </w:rPr>
            </w:pPr>
          </w:p>
          <w:p w14:paraId="3D00D81D" w14:textId="77777777" w:rsidR="0046798B" w:rsidRDefault="00903B5C">
            <w:pPr>
              <w:pStyle w:val="TableParagraph"/>
              <w:ind w:left="115"/>
              <w:rPr>
                <w:b/>
                <w:sz w:val="20"/>
              </w:rPr>
            </w:pPr>
            <w:r>
              <w:rPr>
                <w:b/>
                <w:sz w:val="20"/>
              </w:rPr>
              <w:t>w_education_bib lereading</w:t>
            </w:r>
          </w:p>
        </w:tc>
        <w:tc>
          <w:tcPr>
            <w:tcW w:w="1596" w:type="dxa"/>
          </w:tcPr>
          <w:p w14:paraId="646F9A90" w14:textId="77777777" w:rsidR="0046798B" w:rsidRDefault="0046798B">
            <w:pPr>
              <w:pStyle w:val="TableParagraph"/>
            </w:pPr>
          </w:p>
          <w:p w14:paraId="288971D6" w14:textId="77777777" w:rsidR="0046798B" w:rsidRDefault="0046798B">
            <w:pPr>
              <w:pStyle w:val="TableParagraph"/>
              <w:spacing w:before="9"/>
              <w:rPr>
                <w:sz w:val="31"/>
              </w:rPr>
            </w:pPr>
          </w:p>
          <w:p w14:paraId="3BE0EB52" w14:textId="77777777" w:rsidR="0046798B" w:rsidRDefault="00903B5C">
            <w:pPr>
              <w:pStyle w:val="TableParagraph"/>
              <w:ind w:left="114" w:right="140"/>
              <w:rPr>
                <w:sz w:val="20"/>
              </w:rPr>
            </w:pPr>
            <w:r>
              <w:rPr>
                <w:sz w:val="20"/>
              </w:rPr>
              <w:t>Allow Ten Commandments in schools</w:t>
            </w:r>
          </w:p>
        </w:tc>
        <w:tc>
          <w:tcPr>
            <w:tcW w:w="1285" w:type="dxa"/>
          </w:tcPr>
          <w:p w14:paraId="3EB074B1" w14:textId="77777777" w:rsidR="0046798B" w:rsidRDefault="0046798B">
            <w:pPr>
              <w:pStyle w:val="TableParagraph"/>
            </w:pPr>
          </w:p>
          <w:p w14:paraId="12798438" w14:textId="77777777" w:rsidR="0046798B" w:rsidRDefault="0046798B">
            <w:pPr>
              <w:pStyle w:val="TableParagraph"/>
            </w:pPr>
          </w:p>
          <w:p w14:paraId="5AD20A9F" w14:textId="77777777" w:rsidR="0046798B" w:rsidRDefault="0046798B">
            <w:pPr>
              <w:pStyle w:val="TableParagraph"/>
              <w:spacing w:before="9"/>
              <w:rPr>
                <w:sz w:val="29"/>
              </w:rPr>
            </w:pPr>
          </w:p>
          <w:p w14:paraId="46EE4B08" w14:textId="77777777" w:rsidR="0046798B" w:rsidRDefault="00903B5C">
            <w:pPr>
              <w:pStyle w:val="TableParagraph"/>
              <w:ind w:left="114"/>
              <w:rPr>
                <w:sz w:val="20"/>
              </w:rPr>
            </w:pPr>
            <w:r>
              <w:rPr>
                <w:sz w:val="20"/>
              </w:rPr>
              <w:t>1936–2013</w:t>
            </w:r>
          </w:p>
        </w:tc>
        <w:tc>
          <w:tcPr>
            <w:tcW w:w="3421" w:type="dxa"/>
          </w:tcPr>
          <w:p w14:paraId="3EC14082" w14:textId="77777777" w:rsidR="0046798B" w:rsidRDefault="00903B5C">
            <w:pPr>
              <w:pStyle w:val="TableParagraph"/>
              <w:spacing w:before="43"/>
              <w:ind w:left="114" w:right="106"/>
              <w:rPr>
                <w:sz w:val="20"/>
              </w:rPr>
            </w:pPr>
            <w:r>
              <w:rPr>
                <w:sz w:val="20"/>
              </w:rPr>
              <w:t xml:space="preserve">Does the state allow the Ten Commandments to be posted in educational institutions? (0 = no; 1 = the state has a policy permitting the Ten Commandments to be displayed </w:t>
            </w:r>
            <w:r>
              <w:rPr>
                <w:spacing w:val="-7"/>
                <w:sz w:val="20"/>
              </w:rPr>
              <w:t xml:space="preserve">on </w:t>
            </w:r>
            <w:r>
              <w:rPr>
                <w:sz w:val="20"/>
              </w:rPr>
              <w:t>state/public property; 2 = the law mandates it is posted in a public institution/school)</w:t>
            </w:r>
          </w:p>
        </w:tc>
        <w:tc>
          <w:tcPr>
            <w:tcW w:w="6482" w:type="dxa"/>
          </w:tcPr>
          <w:p w14:paraId="16D48376" w14:textId="77777777" w:rsidR="0046798B" w:rsidRDefault="0046798B">
            <w:pPr>
              <w:pStyle w:val="TableParagraph"/>
            </w:pPr>
          </w:p>
          <w:p w14:paraId="71C3FD3D" w14:textId="77777777" w:rsidR="0046798B" w:rsidRDefault="00903B5C">
            <w:pPr>
              <w:pStyle w:val="TableParagraph"/>
              <w:spacing w:before="135"/>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06E3A12E" w14:textId="77777777">
        <w:trPr>
          <w:trHeight w:val="1925"/>
        </w:trPr>
        <w:tc>
          <w:tcPr>
            <w:tcW w:w="1711" w:type="dxa"/>
          </w:tcPr>
          <w:p w14:paraId="7EBECD6E" w14:textId="77777777" w:rsidR="0046798B" w:rsidRDefault="0046798B">
            <w:pPr>
              <w:pStyle w:val="TableParagraph"/>
            </w:pPr>
          </w:p>
          <w:p w14:paraId="78DBE49A" w14:textId="77777777" w:rsidR="0046798B" w:rsidRDefault="0046798B">
            <w:pPr>
              <w:pStyle w:val="TableParagraph"/>
            </w:pPr>
          </w:p>
          <w:p w14:paraId="26DDDAAA" w14:textId="77777777" w:rsidR="0046798B" w:rsidRDefault="0046798B">
            <w:pPr>
              <w:pStyle w:val="TableParagraph"/>
              <w:spacing w:before="4"/>
              <w:rPr>
                <w:sz w:val="19"/>
              </w:rPr>
            </w:pPr>
          </w:p>
          <w:p w14:paraId="281A62D5" w14:textId="77777777" w:rsidR="0046798B" w:rsidRDefault="00903B5C">
            <w:pPr>
              <w:pStyle w:val="TableParagraph"/>
              <w:ind w:left="115" w:right="121"/>
              <w:rPr>
                <w:b/>
                <w:sz w:val="20"/>
              </w:rPr>
            </w:pPr>
            <w:r>
              <w:rPr>
                <w:b/>
                <w:sz w:val="20"/>
              </w:rPr>
              <w:t>w_education_mo ment_of_silence</w:t>
            </w:r>
          </w:p>
        </w:tc>
        <w:tc>
          <w:tcPr>
            <w:tcW w:w="1596" w:type="dxa"/>
          </w:tcPr>
          <w:p w14:paraId="174E4C44" w14:textId="77777777" w:rsidR="0046798B" w:rsidRDefault="0046798B">
            <w:pPr>
              <w:pStyle w:val="TableParagraph"/>
            </w:pPr>
          </w:p>
          <w:p w14:paraId="31D079BC" w14:textId="77777777" w:rsidR="0046798B" w:rsidRDefault="0046798B">
            <w:pPr>
              <w:pStyle w:val="TableParagraph"/>
            </w:pPr>
          </w:p>
          <w:p w14:paraId="25DB0182" w14:textId="77777777" w:rsidR="0046798B" w:rsidRDefault="0046798B">
            <w:pPr>
              <w:pStyle w:val="TableParagraph"/>
              <w:spacing w:before="4"/>
              <w:rPr>
                <w:sz w:val="19"/>
              </w:rPr>
            </w:pPr>
          </w:p>
          <w:p w14:paraId="5DD59464" w14:textId="77777777" w:rsidR="0046798B" w:rsidRDefault="00903B5C">
            <w:pPr>
              <w:pStyle w:val="TableParagraph"/>
              <w:ind w:left="114" w:right="180"/>
              <w:rPr>
                <w:sz w:val="20"/>
              </w:rPr>
            </w:pPr>
            <w:r>
              <w:rPr>
                <w:sz w:val="20"/>
              </w:rPr>
              <w:t>Moment of silence required</w:t>
            </w:r>
          </w:p>
        </w:tc>
        <w:tc>
          <w:tcPr>
            <w:tcW w:w="1285" w:type="dxa"/>
          </w:tcPr>
          <w:p w14:paraId="65AABB0F" w14:textId="77777777" w:rsidR="0046798B" w:rsidRDefault="0046798B">
            <w:pPr>
              <w:pStyle w:val="TableParagraph"/>
            </w:pPr>
          </w:p>
          <w:p w14:paraId="61D71C84" w14:textId="77777777" w:rsidR="0046798B" w:rsidRDefault="0046798B">
            <w:pPr>
              <w:pStyle w:val="TableParagraph"/>
            </w:pPr>
          </w:p>
          <w:p w14:paraId="146DEDA4" w14:textId="77777777" w:rsidR="0046798B" w:rsidRDefault="0046798B">
            <w:pPr>
              <w:pStyle w:val="TableParagraph"/>
              <w:spacing w:before="4"/>
              <w:rPr>
                <w:sz w:val="29"/>
              </w:rPr>
            </w:pPr>
          </w:p>
          <w:p w14:paraId="58425F74" w14:textId="77777777" w:rsidR="0046798B" w:rsidRDefault="00903B5C">
            <w:pPr>
              <w:pStyle w:val="TableParagraph"/>
              <w:ind w:left="114"/>
              <w:rPr>
                <w:sz w:val="20"/>
              </w:rPr>
            </w:pPr>
            <w:r>
              <w:rPr>
                <w:sz w:val="20"/>
              </w:rPr>
              <w:t>1957–2014</w:t>
            </w:r>
          </w:p>
        </w:tc>
        <w:tc>
          <w:tcPr>
            <w:tcW w:w="3421" w:type="dxa"/>
          </w:tcPr>
          <w:p w14:paraId="0554CBCC" w14:textId="77777777" w:rsidR="0046798B" w:rsidRDefault="00903B5C">
            <w:pPr>
              <w:pStyle w:val="TableParagraph"/>
              <w:spacing w:before="38"/>
              <w:ind w:left="114" w:right="159"/>
              <w:rPr>
                <w:sz w:val="20"/>
              </w:rPr>
            </w:pPr>
            <w:r>
              <w:rPr>
                <w:sz w:val="20"/>
              </w:rPr>
              <w:t>Does the state have a mandatory moment of silence period at the beginning of each school day? (0 = no; 1 = a period for reflection or prayer at the beginning of each day is permissible; 2 = state has a mandatory period for reflection or prayer at the beginning of each day)</w:t>
            </w:r>
          </w:p>
        </w:tc>
        <w:tc>
          <w:tcPr>
            <w:tcW w:w="6482" w:type="dxa"/>
          </w:tcPr>
          <w:p w14:paraId="211AFEBE" w14:textId="77777777" w:rsidR="0046798B" w:rsidRDefault="0046798B">
            <w:pPr>
              <w:pStyle w:val="TableParagraph"/>
            </w:pPr>
          </w:p>
          <w:p w14:paraId="23AB8A41" w14:textId="77777777" w:rsidR="0046798B" w:rsidRDefault="00903B5C">
            <w:pPr>
              <w:pStyle w:val="TableParagraph"/>
              <w:spacing w:before="130"/>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46E1D27A" w14:textId="77777777">
        <w:trPr>
          <w:trHeight w:val="1235"/>
        </w:trPr>
        <w:tc>
          <w:tcPr>
            <w:tcW w:w="1711" w:type="dxa"/>
          </w:tcPr>
          <w:p w14:paraId="65AB12B6" w14:textId="77777777" w:rsidR="0046798B" w:rsidRDefault="0046798B">
            <w:pPr>
              <w:pStyle w:val="TableParagraph"/>
              <w:spacing w:before="4"/>
              <w:rPr>
                <w:sz w:val="23"/>
              </w:rPr>
            </w:pPr>
          </w:p>
          <w:p w14:paraId="6EF9C860" w14:textId="77777777" w:rsidR="0046798B" w:rsidRDefault="00903B5C">
            <w:pPr>
              <w:pStyle w:val="TableParagraph"/>
              <w:ind w:left="115" w:right="168"/>
              <w:jc w:val="both"/>
              <w:rPr>
                <w:b/>
                <w:sz w:val="20"/>
              </w:rPr>
            </w:pPr>
            <w:r>
              <w:rPr>
                <w:b/>
                <w:spacing w:val="-1"/>
                <w:sz w:val="20"/>
              </w:rPr>
              <w:t xml:space="preserve">z_education_exp </w:t>
            </w:r>
            <w:r>
              <w:rPr>
                <w:b/>
                <w:sz w:val="20"/>
              </w:rPr>
              <w:t>enditures_per_p up</w:t>
            </w:r>
          </w:p>
        </w:tc>
        <w:tc>
          <w:tcPr>
            <w:tcW w:w="1596" w:type="dxa"/>
          </w:tcPr>
          <w:p w14:paraId="7F88F92A" w14:textId="77777777" w:rsidR="0046798B" w:rsidRDefault="0046798B">
            <w:pPr>
              <w:pStyle w:val="TableParagraph"/>
              <w:spacing w:before="4"/>
              <w:rPr>
                <w:sz w:val="23"/>
              </w:rPr>
            </w:pPr>
          </w:p>
          <w:p w14:paraId="44CBCED9" w14:textId="77777777" w:rsidR="0046798B" w:rsidRDefault="00903B5C">
            <w:pPr>
              <w:pStyle w:val="TableParagraph"/>
              <w:ind w:left="114" w:right="424"/>
              <w:rPr>
                <w:sz w:val="20"/>
              </w:rPr>
            </w:pPr>
            <w:r>
              <w:rPr>
                <w:sz w:val="20"/>
              </w:rPr>
              <w:t>Education spending per pupil</w:t>
            </w:r>
          </w:p>
        </w:tc>
        <w:tc>
          <w:tcPr>
            <w:tcW w:w="1285" w:type="dxa"/>
          </w:tcPr>
          <w:p w14:paraId="59CB27C8" w14:textId="77777777" w:rsidR="0046798B" w:rsidRDefault="0046798B">
            <w:pPr>
              <w:pStyle w:val="TableParagraph"/>
            </w:pPr>
          </w:p>
          <w:p w14:paraId="61C21266" w14:textId="77777777" w:rsidR="0046798B" w:rsidRDefault="0046798B">
            <w:pPr>
              <w:pStyle w:val="TableParagraph"/>
              <w:spacing w:before="4"/>
              <w:rPr>
                <w:sz w:val="21"/>
              </w:rPr>
            </w:pPr>
          </w:p>
          <w:p w14:paraId="6D48BEB9" w14:textId="77777777" w:rsidR="0046798B" w:rsidRDefault="00903B5C">
            <w:pPr>
              <w:pStyle w:val="TableParagraph"/>
              <w:ind w:left="114"/>
              <w:rPr>
                <w:sz w:val="20"/>
              </w:rPr>
            </w:pPr>
            <w:r>
              <w:rPr>
                <w:sz w:val="20"/>
              </w:rPr>
              <w:t>1936–2009</w:t>
            </w:r>
          </w:p>
        </w:tc>
        <w:tc>
          <w:tcPr>
            <w:tcW w:w="3421" w:type="dxa"/>
          </w:tcPr>
          <w:p w14:paraId="1AC9C016" w14:textId="77777777" w:rsidR="0046798B" w:rsidRDefault="0046798B">
            <w:pPr>
              <w:pStyle w:val="TableParagraph"/>
              <w:spacing w:before="4"/>
              <w:rPr>
                <w:sz w:val="23"/>
              </w:rPr>
            </w:pPr>
          </w:p>
          <w:p w14:paraId="48DACFA7" w14:textId="77777777" w:rsidR="0046798B" w:rsidRDefault="00903B5C">
            <w:pPr>
              <w:pStyle w:val="TableParagraph"/>
              <w:ind w:left="114" w:right="427"/>
              <w:rPr>
                <w:sz w:val="20"/>
              </w:rPr>
            </w:pPr>
            <w:r>
              <w:rPr>
                <w:sz w:val="20"/>
              </w:rPr>
              <w:t>What is the per capita spending on public education per pupil based on daily average attendance?</w:t>
            </w:r>
          </w:p>
        </w:tc>
        <w:tc>
          <w:tcPr>
            <w:tcW w:w="6482" w:type="dxa"/>
          </w:tcPr>
          <w:p w14:paraId="0D5D1456"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554D1136" w14:textId="77777777">
        <w:trPr>
          <w:trHeight w:val="1235"/>
        </w:trPr>
        <w:tc>
          <w:tcPr>
            <w:tcW w:w="1711" w:type="dxa"/>
          </w:tcPr>
          <w:p w14:paraId="605464BD" w14:textId="77777777" w:rsidR="0046798B" w:rsidRDefault="0046798B">
            <w:pPr>
              <w:pStyle w:val="TableParagraph"/>
              <w:spacing w:before="4"/>
              <w:rPr>
                <w:sz w:val="23"/>
              </w:rPr>
            </w:pPr>
          </w:p>
          <w:p w14:paraId="20A99F5F" w14:textId="77777777" w:rsidR="0046798B" w:rsidRDefault="00903B5C">
            <w:pPr>
              <w:pStyle w:val="TableParagraph"/>
              <w:ind w:left="115" w:right="98"/>
              <w:rPr>
                <w:b/>
                <w:sz w:val="20"/>
              </w:rPr>
            </w:pPr>
            <w:r>
              <w:rPr>
                <w:b/>
                <w:sz w:val="20"/>
              </w:rPr>
              <w:t>z_education_hig her_edu_spendin g</w:t>
            </w:r>
          </w:p>
        </w:tc>
        <w:tc>
          <w:tcPr>
            <w:tcW w:w="1596" w:type="dxa"/>
          </w:tcPr>
          <w:p w14:paraId="2653CAE4" w14:textId="77777777" w:rsidR="0046798B" w:rsidRDefault="0046798B">
            <w:pPr>
              <w:pStyle w:val="TableParagraph"/>
              <w:spacing w:before="4"/>
              <w:rPr>
                <w:sz w:val="23"/>
              </w:rPr>
            </w:pPr>
          </w:p>
          <w:p w14:paraId="779B5C53" w14:textId="77777777" w:rsidR="0046798B" w:rsidRDefault="00903B5C">
            <w:pPr>
              <w:pStyle w:val="TableParagraph"/>
              <w:ind w:left="114" w:right="113"/>
              <w:rPr>
                <w:sz w:val="20"/>
              </w:rPr>
            </w:pPr>
            <w:r>
              <w:rPr>
                <w:sz w:val="20"/>
              </w:rPr>
              <w:t>Per student spending on higher education</w:t>
            </w:r>
          </w:p>
        </w:tc>
        <w:tc>
          <w:tcPr>
            <w:tcW w:w="1285" w:type="dxa"/>
          </w:tcPr>
          <w:p w14:paraId="1E31D1A4" w14:textId="77777777" w:rsidR="0046798B" w:rsidRDefault="0046798B">
            <w:pPr>
              <w:pStyle w:val="TableParagraph"/>
            </w:pPr>
          </w:p>
          <w:p w14:paraId="78445339" w14:textId="77777777" w:rsidR="0046798B" w:rsidRDefault="0046798B">
            <w:pPr>
              <w:pStyle w:val="TableParagraph"/>
              <w:spacing w:before="4"/>
              <w:rPr>
                <w:sz w:val="21"/>
              </w:rPr>
            </w:pPr>
          </w:p>
          <w:p w14:paraId="703998F5" w14:textId="77777777" w:rsidR="0046798B" w:rsidRDefault="00903B5C">
            <w:pPr>
              <w:pStyle w:val="TableParagraph"/>
              <w:ind w:left="114"/>
              <w:rPr>
                <w:sz w:val="20"/>
              </w:rPr>
            </w:pPr>
            <w:r>
              <w:rPr>
                <w:sz w:val="20"/>
              </w:rPr>
              <w:t>1988–2013</w:t>
            </w:r>
          </w:p>
        </w:tc>
        <w:tc>
          <w:tcPr>
            <w:tcW w:w="3421" w:type="dxa"/>
          </w:tcPr>
          <w:p w14:paraId="6CADD488" w14:textId="77777777" w:rsidR="0046798B" w:rsidRDefault="0046798B">
            <w:pPr>
              <w:pStyle w:val="TableParagraph"/>
            </w:pPr>
          </w:p>
          <w:p w14:paraId="63BF440A" w14:textId="77777777" w:rsidR="0046798B" w:rsidRDefault="00903B5C">
            <w:pPr>
              <w:pStyle w:val="TableParagraph"/>
              <w:spacing w:before="130"/>
              <w:ind w:left="114" w:right="488"/>
              <w:rPr>
                <w:sz w:val="20"/>
              </w:rPr>
            </w:pPr>
            <w:r>
              <w:rPr>
                <w:sz w:val="20"/>
              </w:rPr>
              <w:t>What is the per student subsidy for higher education?</w:t>
            </w:r>
          </w:p>
        </w:tc>
        <w:tc>
          <w:tcPr>
            <w:tcW w:w="6482" w:type="dxa"/>
          </w:tcPr>
          <w:p w14:paraId="3BA21D5B"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bl>
    <w:p w14:paraId="089A26B4" w14:textId="77777777" w:rsidR="0046798B" w:rsidRDefault="0046798B">
      <w:pPr>
        <w:rPr>
          <w:sz w:val="20"/>
        </w:rPr>
        <w:sectPr w:rsidR="0046798B">
          <w:pgSz w:w="15840" w:h="12240" w:orient="landscape"/>
          <w:pgMar w:top="1220" w:right="300" w:bottom="980" w:left="820" w:header="730" w:footer="787" w:gutter="0"/>
          <w:cols w:space="720"/>
        </w:sectPr>
      </w:pPr>
    </w:p>
    <w:p w14:paraId="1CCB71F4"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01E18E57" w14:textId="77777777">
        <w:trPr>
          <w:trHeight w:val="1926"/>
        </w:trPr>
        <w:tc>
          <w:tcPr>
            <w:tcW w:w="1711" w:type="dxa"/>
          </w:tcPr>
          <w:p w14:paraId="43DF57B6" w14:textId="77777777" w:rsidR="0046798B" w:rsidRPr="000A3C02" w:rsidRDefault="0046798B">
            <w:pPr>
              <w:pStyle w:val="TableParagraph"/>
              <w:rPr>
                <w:b/>
                <w:bCs/>
              </w:rPr>
            </w:pPr>
          </w:p>
          <w:p w14:paraId="6A34B230" w14:textId="77777777" w:rsidR="0046798B" w:rsidRPr="000A3C02" w:rsidRDefault="0046798B">
            <w:pPr>
              <w:pStyle w:val="TableParagraph"/>
              <w:rPr>
                <w:b/>
                <w:bCs/>
              </w:rPr>
            </w:pPr>
          </w:p>
          <w:p w14:paraId="02A4C9D0" w14:textId="77777777" w:rsidR="0046798B" w:rsidRPr="000A3C02" w:rsidRDefault="0046798B">
            <w:pPr>
              <w:pStyle w:val="TableParagraph"/>
              <w:spacing w:before="9"/>
              <w:rPr>
                <w:b/>
                <w:bCs/>
                <w:sz w:val="29"/>
              </w:rPr>
            </w:pPr>
          </w:p>
          <w:p w14:paraId="06DED309" w14:textId="77777777" w:rsidR="0046798B" w:rsidRPr="000A3C02" w:rsidRDefault="00903B5C">
            <w:pPr>
              <w:pStyle w:val="TableParagraph"/>
              <w:ind w:left="115"/>
              <w:rPr>
                <w:b/>
                <w:bCs/>
                <w:sz w:val="20"/>
              </w:rPr>
            </w:pPr>
            <w:r w:rsidRPr="000A3C02">
              <w:rPr>
                <w:b/>
                <w:bCs/>
                <w:sz w:val="20"/>
              </w:rPr>
              <w:t>meritstateadmin</w:t>
            </w:r>
          </w:p>
        </w:tc>
        <w:tc>
          <w:tcPr>
            <w:tcW w:w="1596" w:type="dxa"/>
          </w:tcPr>
          <w:p w14:paraId="2D52A2AA" w14:textId="77777777" w:rsidR="0046798B" w:rsidRDefault="0046798B">
            <w:pPr>
              <w:pStyle w:val="TableParagraph"/>
            </w:pPr>
          </w:p>
          <w:p w14:paraId="56372C8A" w14:textId="77777777" w:rsidR="0046798B" w:rsidRDefault="0046798B">
            <w:pPr>
              <w:pStyle w:val="TableParagraph"/>
              <w:spacing w:before="9"/>
              <w:rPr>
                <w:sz w:val="31"/>
              </w:rPr>
            </w:pPr>
          </w:p>
          <w:p w14:paraId="1DB47E18" w14:textId="77777777" w:rsidR="0046798B" w:rsidRDefault="00903B5C">
            <w:pPr>
              <w:pStyle w:val="TableParagraph"/>
              <w:ind w:left="114" w:right="118"/>
              <w:rPr>
                <w:sz w:val="20"/>
              </w:rPr>
            </w:pPr>
            <w:r>
              <w:rPr>
                <w:sz w:val="20"/>
              </w:rPr>
              <w:t>Merit system for states (post- 1993)</w:t>
            </w:r>
          </w:p>
        </w:tc>
        <w:tc>
          <w:tcPr>
            <w:tcW w:w="1285" w:type="dxa"/>
          </w:tcPr>
          <w:p w14:paraId="30561352" w14:textId="77777777" w:rsidR="0046798B" w:rsidRPr="000A3C02" w:rsidRDefault="0046798B">
            <w:pPr>
              <w:pStyle w:val="TableParagraph"/>
              <w:rPr>
                <w:sz w:val="20"/>
                <w:szCs w:val="20"/>
              </w:rPr>
            </w:pPr>
          </w:p>
          <w:p w14:paraId="712FF7E5" w14:textId="77777777" w:rsidR="0046798B" w:rsidRPr="000A3C02" w:rsidRDefault="0046798B">
            <w:pPr>
              <w:pStyle w:val="TableParagraph"/>
              <w:rPr>
                <w:sz w:val="20"/>
                <w:szCs w:val="20"/>
              </w:rPr>
            </w:pPr>
          </w:p>
          <w:p w14:paraId="5845F47E" w14:textId="77777777" w:rsidR="0046798B" w:rsidRPr="000A3C02" w:rsidRDefault="0046798B">
            <w:pPr>
              <w:pStyle w:val="TableParagraph"/>
              <w:spacing w:before="9"/>
              <w:rPr>
                <w:sz w:val="20"/>
                <w:szCs w:val="20"/>
              </w:rPr>
            </w:pPr>
          </w:p>
          <w:p w14:paraId="0EC1599F" w14:textId="77777777" w:rsidR="0046798B" w:rsidRPr="000A3C02" w:rsidRDefault="00903B5C">
            <w:pPr>
              <w:pStyle w:val="TableParagraph"/>
              <w:ind w:left="114"/>
              <w:rPr>
                <w:sz w:val="20"/>
                <w:szCs w:val="20"/>
              </w:rPr>
            </w:pPr>
            <w:r w:rsidRPr="000A3C02">
              <w:rPr>
                <w:sz w:val="20"/>
                <w:szCs w:val="20"/>
              </w:rPr>
              <w:t>1993–2002</w:t>
            </w:r>
          </w:p>
        </w:tc>
        <w:tc>
          <w:tcPr>
            <w:tcW w:w="3421" w:type="dxa"/>
          </w:tcPr>
          <w:p w14:paraId="2A97E60E" w14:textId="77777777" w:rsidR="0046798B" w:rsidRPr="000A3C02" w:rsidRDefault="0046798B">
            <w:pPr>
              <w:pStyle w:val="TableParagraph"/>
              <w:rPr>
                <w:sz w:val="20"/>
                <w:szCs w:val="20"/>
              </w:rPr>
            </w:pPr>
          </w:p>
          <w:p w14:paraId="206170E4" w14:textId="77777777" w:rsidR="0046798B" w:rsidRPr="000A3C02" w:rsidRDefault="0046798B">
            <w:pPr>
              <w:pStyle w:val="TableParagraph"/>
              <w:rPr>
                <w:sz w:val="20"/>
                <w:szCs w:val="20"/>
              </w:rPr>
            </w:pPr>
          </w:p>
          <w:p w14:paraId="5534B172" w14:textId="77777777" w:rsidR="0046798B" w:rsidRPr="000A3C02" w:rsidRDefault="0046798B">
            <w:pPr>
              <w:pStyle w:val="TableParagraph"/>
              <w:spacing w:before="9"/>
              <w:rPr>
                <w:sz w:val="20"/>
                <w:szCs w:val="20"/>
              </w:rPr>
            </w:pPr>
          </w:p>
          <w:p w14:paraId="61883B5A" w14:textId="77777777" w:rsidR="0046798B" w:rsidRPr="000A3C02" w:rsidRDefault="00903B5C">
            <w:pPr>
              <w:pStyle w:val="TableParagraph"/>
              <w:ind w:left="114" w:right="1475"/>
              <w:rPr>
                <w:sz w:val="20"/>
                <w:szCs w:val="20"/>
              </w:rPr>
            </w:pPr>
            <w:r w:rsidRPr="000A3C02">
              <w:rPr>
                <w:sz w:val="20"/>
                <w:szCs w:val="20"/>
              </w:rPr>
              <w:t>0 = policy not adopted 1 = policy adopted</w:t>
            </w:r>
          </w:p>
        </w:tc>
        <w:tc>
          <w:tcPr>
            <w:tcW w:w="6482" w:type="dxa"/>
          </w:tcPr>
          <w:p w14:paraId="4259DCD6" w14:textId="77777777" w:rsidR="0046798B" w:rsidRDefault="00903B5C">
            <w:pPr>
              <w:pStyle w:val="TableParagraph"/>
              <w:spacing w:before="43"/>
              <w:ind w:left="114" w:right="526"/>
              <w:jc w:val="both"/>
              <w:rPr>
                <w:sz w:val="20"/>
              </w:rPr>
            </w:pPr>
            <w:r>
              <w:rPr>
                <w:sz w:val="20"/>
              </w:rPr>
              <w:t xml:space="preserve">Doyle, William R. “Adoption of merit-based student grant programs: An event history analysis.” </w:t>
            </w:r>
            <w:r>
              <w:rPr>
                <w:i/>
                <w:sz w:val="20"/>
              </w:rPr>
              <w:t xml:space="preserve">Educational evaluation and policy analysis </w:t>
            </w:r>
            <w:r>
              <w:rPr>
                <w:sz w:val="20"/>
              </w:rPr>
              <w:t>28.3 (2006): 259-285.</w:t>
            </w:r>
          </w:p>
          <w:p w14:paraId="0C79E239" w14:textId="77777777" w:rsidR="0046798B" w:rsidRDefault="0046798B">
            <w:pPr>
              <w:pStyle w:val="TableParagraph"/>
              <w:rPr>
                <w:sz w:val="20"/>
              </w:rPr>
            </w:pPr>
          </w:p>
          <w:p w14:paraId="3AE86E70"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274E4F6D" w14:textId="77777777">
        <w:trPr>
          <w:trHeight w:val="1925"/>
        </w:trPr>
        <w:tc>
          <w:tcPr>
            <w:tcW w:w="1711" w:type="dxa"/>
          </w:tcPr>
          <w:p w14:paraId="451E564E" w14:textId="77777777" w:rsidR="0046798B" w:rsidRPr="000A3C02" w:rsidRDefault="0046798B">
            <w:pPr>
              <w:pStyle w:val="TableParagraph"/>
              <w:rPr>
                <w:b/>
                <w:bCs/>
              </w:rPr>
            </w:pPr>
          </w:p>
          <w:p w14:paraId="37E1B8BE" w14:textId="77777777" w:rsidR="0046798B" w:rsidRPr="000A3C02" w:rsidRDefault="0046798B">
            <w:pPr>
              <w:pStyle w:val="TableParagraph"/>
              <w:rPr>
                <w:b/>
                <w:bCs/>
              </w:rPr>
            </w:pPr>
          </w:p>
          <w:p w14:paraId="697929A9" w14:textId="77777777" w:rsidR="0046798B" w:rsidRPr="000A3C02" w:rsidRDefault="0046798B">
            <w:pPr>
              <w:pStyle w:val="TableParagraph"/>
              <w:spacing w:before="9"/>
              <w:rPr>
                <w:b/>
                <w:bCs/>
                <w:sz w:val="29"/>
              </w:rPr>
            </w:pPr>
          </w:p>
          <w:p w14:paraId="68403406" w14:textId="77777777" w:rsidR="0046798B" w:rsidRPr="000A3C02" w:rsidRDefault="00903B5C">
            <w:pPr>
              <w:pStyle w:val="TableParagraph"/>
              <w:ind w:left="115"/>
              <w:rPr>
                <w:b/>
                <w:bCs/>
                <w:sz w:val="20"/>
              </w:rPr>
            </w:pPr>
            <w:r w:rsidRPr="000A3C02">
              <w:rPr>
                <w:b/>
                <w:bCs/>
                <w:sz w:val="20"/>
              </w:rPr>
              <w:t>universalprek</w:t>
            </w:r>
          </w:p>
        </w:tc>
        <w:tc>
          <w:tcPr>
            <w:tcW w:w="1596" w:type="dxa"/>
          </w:tcPr>
          <w:p w14:paraId="0218BF26" w14:textId="77777777" w:rsidR="0046798B" w:rsidRDefault="0046798B">
            <w:pPr>
              <w:pStyle w:val="TableParagraph"/>
            </w:pPr>
          </w:p>
          <w:p w14:paraId="0A69B6AD" w14:textId="77777777" w:rsidR="0046798B" w:rsidRDefault="0046798B">
            <w:pPr>
              <w:pStyle w:val="TableParagraph"/>
            </w:pPr>
          </w:p>
          <w:p w14:paraId="1491C23A" w14:textId="77777777" w:rsidR="0046798B" w:rsidRDefault="0046798B">
            <w:pPr>
              <w:pStyle w:val="TableParagraph"/>
              <w:spacing w:before="9"/>
              <w:rPr>
                <w:sz w:val="19"/>
              </w:rPr>
            </w:pPr>
          </w:p>
          <w:p w14:paraId="36D4D818" w14:textId="77777777" w:rsidR="0046798B" w:rsidRDefault="00903B5C">
            <w:pPr>
              <w:pStyle w:val="TableParagraph"/>
              <w:ind w:left="114" w:right="158"/>
              <w:rPr>
                <w:sz w:val="20"/>
              </w:rPr>
            </w:pPr>
            <w:r>
              <w:rPr>
                <w:sz w:val="20"/>
              </w:rPr>
              <w:t>Universal pre-K education</w:t>
            </w:r>
          </w:p>
        </w:tc>
        <w:tc>
          <w:tcPr>
            <w:tcW w:w="1285" w:type="dxa"/>
          </w:tcPr>
          <w:p w14:paraId="1E72E1AE" w14:textId="77777777" w:rsidR="0046798B" w:rsidRPr="000A3C02" w:rsidRDefault="0046798B">
            <w:pPr>
              <w:pStyle w:val="TableParagraph"/>
              <w:rPr>
                <w:sz w:val="20"/>
                <w:szCs w:val="20"/>
              </w:rPr>
            </w:pPr>
          </w:p>
          <w:p w14:paraId="3848A0FC" w14:textId="77777777" w:rsidR="0046798B" w:rsidRPr="000A3C02" w:rsidRDefault="0046798B">
            <w:pPr>
              <w:pStyle w:val="TableParagraph"/>
              <w:rPr>
                <w:sz w:val="20"/>
                <w:szCs w:val="20"/>
              </w:rPr>
            </w:pPr>
          </w:p>
          <w:p w14:paraId="5554B60B" w14:textId="77777777" w:rsidR="0046798B" w:rsidRPr="000A3C02" w:rsidRDefault="0046798B">
            <w:pPr>
              <w:pStyle w:val="TableParagraph"/>
              <w:spacing w:before="9"/>
              <w:rPr>
                <w:sz w:val="20"/>
                <w:szCs w:val="20"/>
              </w:rPr>
            </w:pPr>
          </w:p>
          <w:p w14:paraId="2DD89D50" w14:textId="77777777" w:rsidR="0046798B" w:rsidRPr="000A3C02" w:rsidRDefault="00903B5C">
            <w:pPr>
              <w:pStyle w:val="TableParagraph"/>
              <w:ind w:left="114"/>
              <w:rPr>
                <w:sz w:val="20"/>
                <w:szCs w:val="20"/>
              </w:rPr>
            </w:pPr>
            <w:r w:rsidRPr="000A3C02">
              <w:rPr>
                <w:sz w:val="20"/>
                <w:szCs w:val="20"/>
              </w:rPr>
              <w:t>1995–2008</w:t>
            </w:r>
          </w:p>
        </w:tc>
        <w:tc>
          <w:tcPr>
            <w:tcW w:w="3421" w:type="dxa"/>
          </w:tcPr>
          <w:p w14:paraId="6A17CD51" w14:textId="77777777" w:rsidR="0046798B" w:rsidRPr="000A3C02" w:rsidRDefault="0046798B">
            <w:pPr>
              <w:pStyle w:val="TableParagraph"/>
              <w:rPr>
                <w:sz w:val="20"/>
                <w:szCs w:val="20"/>
              </w:rPr>
            </w:pPr>
          </w:p>
          <w:p w14:paraId="2E2C92AA" w14:textId="77777777" w:rsidR="0046798B" w:rsidRPr="000A3C02" w:rsidRDefault="0046798B">
            <w:pPr>
              <w:pStyle w:val="TableParagraph"/>
              <w:rPr>
                <w:sz w:val="20"/>
                <w:szCs w:val="20"/>
              </w:rPr>
            </w:pPr>
          </w:p>
          <w:p w14:paraId="7F034F5B" w14:textId="77777777" w:rsidR="0046798B" w:rsidRPr="000A3C02" w:rsidRDefault="0046798B">
            <w:pPr>
              <w:pStyle w:val="TableParagraph"/>
              <w:spacing w:before="9"/>
              <w:rPr>
                <w:sz w:val="20"/>
                <w:szCs w:val="20"/>
              </w:rPr>
            </w:pPr>
          </w:p>
          <w:p w14:paraId="3D0860D4" w14:textId="77777777" w:rsidR="0046798B" w:rsidRPr="000A3C02" w:rsidRDefault="00903B5C">
            <w:pPr>
              <w:pStyle w:val="TableParagraph"/>
              <w:ind w:left="114" w:right="1475"/>
              <w:rPr>
                <w:sz w:val="20"/>
                <w:szCs w:val="20"/>
              </w:rPr>
            </w:pPr>
            <w:r w:rsidRPr="000A3C02">
              <w:rPr>
                <w:sz w:val="20"/>
                <w:szCs w:val="20"/>
              </w:rPr>
              <w:t>0 = policy not adopted 1 = policy adopted</w:t>
            </w:r>
          </w:p>
        </w:tc>
        <w:tc>
          <w:tcPr>
            <w:tcW w:w="6482" w:type="dxa"/>
          </w:tcPr>
          <w:p w14:paraId="057767C8" w14:textId="77777777" w:rsidR="0046798B" w:rsidRDefault="00903B5C">
            <w:pPr>
              <w:pStyle w:val="TableParagraph"/>
              <w:spacing w:before="43"/>
              <w:ind w:left="114" w:right="488"/>
              <w:rPr>
                <w:sz w:val="20"/>
              </w:rPr>
            </w:pPr>
            <w:r>
              <w:rPr>
                <w:sz w:val="20"/>
              </w:rPr>
              <w:t xml:space="preserve">Curran, F. Chris. “Expanding downward: Innovation, diffusion, and state policy adoptions of universal preschool.” </w:t>
            </w:r>
            <w:r>
              <w:rPr>
                <w:i/>
                <w:sz w:val="20"/>
              </w:rPr>
              <w:t xml:space="preserve">Education Policy Analysis Archives/Archivos Analíticos de Políticas Educativas </w:t>
            </w:r>
            <w:r>
              <w:rPr>
                <w:sz w:val="20"/>
              </w:rPr>
              <w:t>23 (2015).</w:t>
            </w:r>
          </w:p>
          <w:p w14:paraId="50D51110" w14:textId="77777777" w:rsidR="0046798B" w:rsidRDefault="0046798B">
            <w:pPr>
              <w:pStyle w:val="TableParagraph"/>
              <w:rPr>
                <w:sz w:val="20"/>
              </w:rPr>
            </w:pPr>
          </w:p>
          <w:p w14:paraId="18FC6F80"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0A3C02" w14:paraId="4C6C5ACA" w14:textId="77777777" w:rsidTr="000A3C02">
        <w:trPr>
          <w:trHeight w:val="588"/>
        </w:trPr>
        <w:tc>
          <w:tcPr>
            <w:tcW w:w="1711" w:type="dxa"/>
          </w:tcPr>
          <w:p w14:paraId="4DB7A040" w14:textId="77777777" w:rsidR="000A3C02" w:rsidRPr="000A3C02" w:rsidRDefault="000A3C02" w:rsidP="000A3C02">
            <w:pPr>
              <w:jc w:val="center"/>
              <w:rPr>
                <w:b/>
                <w:bCs/>
                <w:sz w:val="20"/>
                <w:szCs w:val="20"/>
              </w:rPr>
            </w:pPr>
            <w:r w:rsidRPr="000A3C02">
              <w:rPr>
                <w:b/>
                <w:bCs/>
                <w:sz w:val="20"/>
                <w:szCs w:val="20"/>
              </w:rPr>
              <w:t>enroll_age</w:t>
            </w:r>
          </w:p>
          <w:p w14:paraId="5C937E7F" w14:textId="77777777" w:rsidR="000A3C02" w:rsidRPr="000A3C02" w:rsidRDefault="000A3C02" w:rsidP="000A3C02">
            <w:pPr>
              <w:pStyle w:val="TableParagraph"/>
              <w:jc w:val="center"/>
              <w:rPr>
                <w:b/>
                <w:bCs/>
                <w:sz w:val="20"/>
                <w:szCs w:val="20"/>
              </w:rPr>
            </w:pPr>
          </w:p>
        </w:tc>
        <w:tc>
          <w:tcPr>
            <w:tcW w:w="1596" w:type="dxa"/>
          </w:tcPr>
          <w:p w14:paraId="2168C8DF" w14:textId="60012AF9" w:rsidR="000A3C02" w:rsidRPr="000A3C02" w:rsidRDefault="000A3C02">
            <w:pPr>
              <w:pStyle w:val="TableParagraph"/>
              <w:rPr>
                <w:sz w:val="20"/>
                <w:szCs w:val="20"/>
              </w:rPr>
            </w:pPr>
            <w:r w:rsidRPr="000A3C02">
              <w:rPr>
                <w:sz w:val="20"/>
                <w:szCs w:val="20"/>
              </w:rPr>
              <w:t xml:space="preserve">School enrollment age </w:t>
            </w:r>
          </w:p>
        </w:tc>
        <w:tc>
          <w:tcPr>
            <w:tcW w:w="1285" w:type="dxa"/>
          </w:tcPr>
          <w:p w14:paraId="4BEEDAB8" w14:textId="520C8BD1" w:rsidR="000A3C02" w:rsidRPr="000A3C02" w:rsidRDefault="000A3C02">
            <w:pPr>
              <w:pStyle w:val="TableParagraph"/>
              <w:rPr>
                <w:sz w:val="20"/>
                <w:szCs w:val="20"/>
              </w:rPr>
            </w:pPr>
            <w:r w:rsidRPr="000A3C02">
              <w:rPr>
                <w:sz w:val="20"/>
                <w:szCs w:val="20"/>
              </w:rPr>
              <w:t>1979-2010</w:t>
            </w:r>
          </w:p>
        </w:tc>
        <w:tc>
          <w:tcPr>
            <w:tcW w:w="3421" w:type="dxa"/>
          </w:tcPr>
          <w:p w14:paraId="2549982A" w14:textId="1CC6D78A" w:rsidR="000A3C02" w:rsidRPr="000A3C02" w:rsidRDefault="000A3C02" w:rsidP="000A3C02">
            <w:pPr>
              <w:rPr>
                <w:sz w:val="20"/>
                <w:szCs w:val="20"/>
              </w:rPr>
            </w:pPr>
            <w:r w:rsidRPr="000A3C02">
              <w:rPr>
                <w:sz w:val="20"/>
                <w:szCs w:val="20"/>
              </w:rPr>
              <w:t>the age by which a child must enroll in school</w:t>
            </w:r>
          </w:p>
        </w:tc>
        <w:tc>
          <w:tcPr>
            <w:tcW w:w="6482" w:type="dxa"/>
          </w:tcPr>
          <w:p w14:paraId="135F5C80" w14:textId="1B411851" w:rsidR="000A3C02" w:rsidRPr="000A3C02" w:rsidRDefault="000A3C02" w:rsidP="000A3C02">
            <w:pPr>
              <w:rPr>
                <w:sz w:val="20"/>
                <w:szCs w:val="20"/>
              </w:rPr>
            </w:pPr>
            <w:r w:rsidRPr="000A3C02">
              <w:rPr>
                <w:sz w:val="20"/>
                <w:szCs w:val="20"/>
              </w:rPr>
              <w:t>Bullock, John G. "Education and attitudes toward redistribution in the United States." British Journal of Political Science (2020): 1-21.</w:t>
            </w:r>
          </w:p>
        </w:tc>
      </w:tr>
      <w:tr w:rsidR="000A3C02" w14:paraId="2BE017BD" w14:textId="77777777" w:rsidTr="000A3C02">
        <w:trPr>
          <w:trHeight w:val="435"/>
        </w:trPr>
        <w:tc>
          <w:tcPr>
            <w:tcW w:w="1711" w:type="dxa"/>
          </w:tcPr>
          <w:p w14:paraId="2EB190A6" w14:textId="77777777" w:rsidR="000A3C02" w:rsidRPr="000A3C02" w:rsidRDefault="000A3C02" w:rsidP="000A3C02">
            <w:pPr>
              <w:jc w:val="center"/>
              <w:rPr>
                <w:b/>
                <w:bCs/>
                <w:sz w:val="20"/>
                <w:szCs w:val="20"/>
              </w:rPr>
            </w:pPr>
            <w:r w:rsidRPr="000A3C02">
              <w:rPr>
                <w:b/>
                <w:bCs/>
                <w:sz w:val="20"/>
                <w:szCs w:val="20"/>
              </w:rPr>
              <w:t>drop_age</w:t>
            </w:r>
          </w:p>
          <w:p w14:paraId="13802013" w14:textId="77777777" w:rsidR="000A3C02" w:rsidRPr="000A3C02" w:rsidRDefault="000A3C02" w:rsidP="000A3C02">
            <w:pPr>
              <w:pStyle w:val="TableParagraph"/>
              <w:jc w:val="center"/>
              <w:rPr>
                <w:b/>
                <w:bCs/>
                <w:sz w:val="20"/>
                <w:szCs w:val="20"/>
              </w:rPr>
            </w:pPr>
          </w:p>
        </w:tc>
        <w:tc>
          <w:tcPr>
            <w:tcW w:w="1596" w:type="dxa"/>
          </w:tcPr>
          <w:p w14:paraId="355B3AC4" w14:textId="29DDB995" w:rsidR="000A3C02" w:rsidRPr="000A3C02" w:rsidRDefault="000A3C02" w:rsidP="000A3C02">
            <w:pPr>
              <w:pStyle w:val="TableParagraph"/>
              <w:rPr>
                <w:sz w:val="20"/>
                <w:szCs w:val="20"/>
              </w:rPr>
            </w:pPr>
            <w:r w:rsidRPr="000A3C02">
              <w:rPr>
                <w:sz w:val="20"/>
                <w:szCs w:val="20"/>
              </w:rPr>
              <w:t xml:space="preserve">Earliest school dropout age </w:t>
            </w:r>
          </w:p>
        </w:tc>
        <w:tc>
          <w:tcPr>
            <w:tcW w:w="1285" w:type="dxa"/>
          </w:tcPr>
          <w:p w14:paraId="07EA3E15" w14:textId="4ED27391" w:rsidR="000A3C02" w:rsidRPr="000A3C02" w:rsidRDefault="000A3C02" w:rsidP="000A3C02">
            <w:pPr>
              <w:pStyle w:val="TableParagraph"/>
              <w:rPr>
                <w:sz w:val="20"/>
                <w:szCs w:val="20"/>
              </w:rPr>
            </w:pPr>
            <w:r w:rsidRPr="000A3C02">
              <w:rPr>
                <w:sz w:val="20"/>
                <w:szCs w:val="20"/>
              </w:rPr>
              <w:t>1979-2010</w:t>
            </w:r>
          </w:p>
        </w:tc>
        <w:tc>
          <w:tcPr>
            <w:tcW w:w="3421" w:type="dxa"/>
          </w:tcPr>
          <w:p w14:paraId="405C6D0B" w14:textId="77B59FCE" w:rsidR="000A3C02" w:rsidRPr="000A3C02" w:rsidRDefault="000A3C02" w:rsidP="000A3C02">
            <w:pPr>
              <w:rPr>
                <w:sz w:val="20"/>
                <w:szCs w:val="20"/>
              </w:rPr>
            </w:pPr>
            <w:r w:rsidRPr="000A3C02">
              <w:rPr>
                <w:sz w:val="20"/>
                <w:szCs w:val="20"/>
              </w:rPr>
              <w:t>the earliest age at which a child is allowed to drop out of school</w:t>
            </w:r>
          </w:p>
        </w:tc>
        <w:tc>
          <w:tcPr>
            <w:tcW w:w="6482" w:type="dxa"/>
          </w:tcPr>
          <w:p w14:paraId="34D0086D" w14:textId="21F7BFF9" w:rsidR="000A3C02" w:rsidRDefault="000A3C02" w:rsidP="000A3C02">
            <w:pPr>
              <w:pStyle w:val="TableParagraph"/>
              <w:spacing w:before="43"/>
              <w:ind w:left="114" w:right="488"/>
              <w:rPr>
                <w:sz w:val="20"/>
              </w:rPr>
            </w:pPr>
            <w:r w:rsidRPr="000A3C02">
              <w:rPr>
                <w:sz w:val="20"/>
                <w:szCs w:val="20"/>
              </w:rPr>
              <w:t>Bullock, John G. "Education and attitudes toward redistribution in the United States." British Journal of Political Science (2020): 1-21.</w:t>
            </w:r>
          </w:p>
        </w:tc>
      </w:tr>
      <w:tr w:rsidR="000A3C02" w14:paraId="44C135B3" w14:textId="77777777" w:rsidTr="000A3C02">
        <w:trPr>
          <w:trHeight w:val="462"/>
        </w:trPr>
        <w:tc>
          <w:tcPr>
            <w:tcW w:w="1711" w:type="dxa"/>
          </w:tcPr>
          <w:p w14:paraId="63AAD4DC" w14:textId="77777777" w:rsidR="000A3C02" w:rsidRPr="000A3C02" w:rsidRDefault="000A3C02" w:rsidP="000A3C02">
            <w:pPr>
              <w:jc w:val="center"/>
              <w:rPr>
                <w:b/>
                <w:bCs/>
                <w:sz w:val="20"/>
                <w:szCs w:val="20"/>
              </w:rPr>
            </w:pPr>
            <w:r w:rsidRPr="000A3C02">
              <w:rPr>
                <w:b/>
                <w:bCs/>
                <w:sz w:val="20"/>
                <w:szCs w:val="20"/>
              </w:rPr>
              <w:t>req_sch</w:t>
            </w:r>
          </w:p>
          <w:p w14:paraId="614352CD" w14:textId="77777777" w:rsidR="000A3C02" w:rsidRPr="000A3C02" w:rsidRDefault="000A3C02" w:rsidP="000A3C02">
            <w:pPr>
              <w:pStyle w:val="TableParagraph"/>
              <w:jc w:val="center"/>
              <w:rPr>
                <w:b/>
                <w:bCs/>
                <w:sz w:val="20"/>
                <w:szCs w:val="20"/>
              </w:rPr>
            </w:pPr>
          </w:p>
        </w:tc>
        <w:tc>
          <w:tcPr>
            <w:tcW w:w="1596" w:type="dxa"/>
          </w:tcPr>
          <w:p w14:paraId="6ECC5D49" w14:textId="1D49BB69" w:rsidR="000A3C02" w:rsidRPr="000A3C02" w:rsidRDefault="000A3C02" w:rsidP="000A3C02">
            <w:pPr>
              <w:pStyle w:val="TableParagraph"/>
              <w:rPr>
                <w:sz w:val="20"/>
                <w:szCs w:val="20"/>
              </w:rPr>
            </w:pPr>
            <w:r>
              <w:rPr>
                <w:sz w:val="20"/>
                <w:szCs w:val="20"/>
              </w:rPr>
              <w:t>School years required before dropping out</w:t>
            </w:r>
          </w:p>
        </w:tc>
        <w:tc>
          <w:tcPr>
            <w:tcW w:w="1285" w:type="dxa"/>
          </w:tcPr>
          <w:p w14:paraId="3123990E" w14:textId="4A776454" w:rsidR="000A3C02" w:rsidRPr="000A3C02" w:rsidRDefault="000A3C02" w:rsidP="000A3C02">
            <w:pPr>
              <w:pStyle w:val="TableParagraph"/>
              <w:rPr>
                <w:sz w:val="20"/>
                <w:szCs w:val="20"/>
              </w:rPr>
            </w:pPr>
            <w:r w:rsidRPr="000A3C02">
              <w:rPr>
                <w:sz w:val="20"/>
                <w:szCs w:val="20"/>
              </w:rPr>
              <w:t>1979-2010</w:t>
            </w:r>
          </w:p>
        </w:tc>
        <w:tc>
          <w:tcPr>
            <w:tcW w:w="3421" w:type="dxa"/>
          </w:tcPr>
          <w:p w14:paraId="3DB37857" w14:textId="413162B0" w:rsidR="000A3C02" w:rsidRPr="000A3C02" w:rsidRDefault="000A3C02" w:rsidP="000A3C02">
            <w:pPr>
              <w:rPr>
                <w:sz w:val="20"/>
                <w:szCs w:val="20"/>
              </w:rPr>
            </w:pPr>
            <w:r w:rsidRPr="000A3C02">
              <w:rPr>
                <w:sz w:val="20"/>
                <w:szCs w:val="20"/>
              </w:rPr>
              <w:t>the number of years of schooling that a child must obtain before dropping out</w:t>
            </w:r>
          </w:p>
        </w:tc>
        <w:tc>
          <w:tcPr>
            <w:tcW w:w="6482" w:type="dxa"/>
          </w:tcPr>
          <w:p w14:paraId="291C7BAC" w14:textId="19C984F2" w:rsidR="000A3C02" w:rsidRDefault="000A3C02" w:rsidP="000A3C02">
            <w:pPr>
              <w:pStyle w:val="TableParagraph"/>
              <w:spacing w:before="43"/>
              <w:ind w:left="114" w:right="488"/>
              <w:rPr>
                <w:sz w:val="20"/>
              </w:rPr>
            </w:pPr>
            <w:r w:rsidRPr="000A3C02">
              <w:rPr>
                <w:sz w:val="20"/>
                <w:szCs w:val="20"/>
              </w:rPr>
              <w:t>Bullock, John G. "Education and attitudes toward redistribution in the United States." British Journal of Political Science (2020): 1-21.</w:t>
            </w:r>
          </w:p>
        </w:tc>
      </w:tr>
      <w:tr w:rsidR="000A3C02" w14:paraId="5D0F20D8" w14:textId="77777777" w:rsidTr="000A3C02">
        <w:trPr>
          <w:trHeight w:val="390"/>
        </w:trPr>
        <w:tc>
          <w:tcPr>
            <w:tcW w:w="1711" w:type="dxa"/>
          </w:tcPr>
          <w:p w14:paraId="5F8D8286" w14:textId="5661E7ED" w:rsidR="000A3C02" w:rsidRPr="000A3C02" w:rsidRDefault="000A3C02" w:rsidP="000A3C02">
            <w:pPr>
              <w:pStyle w:val="TableParagraph"/>
              <w:jc w:val="center"/>
              <w:rPr>
                <w:b/>
                <w:bCs/>
              </w:rPr>
            </w:pPr>
            <w:r w:rsidRPr="000A3C02">
              <w:rPr>
                <w:b/>
                <w:bCs/>
              </w:rPr>
              <w:t>CA</w:t>
            </w:r>
          </w:p>
        </w:tc>
        <w:tc>
          <w:tcPr>
            <w:tcW w:w="1596" w:type="dxa"/>
          </w:tcPr>
          <w:p w14:paraId="52D54883" w14:textId="77777777" w:rsidR="000A3C02" w:rsidRDefault="000A3C02" w:rsidP="000A3C02">
            <w:pPr>
              <w:pStyle w:val="TableParagraph"/>
            </w:pPr>
          </w:p>
        </w:tc>
        <w:tc>
          <w:tcPr>
            <w:tcW w:w="1285" w:type="dxa"/>
          </w:tcPr>
          <w:p w14:paraId="5B4BB0C4" w14:textId="756F5E5D" w:rsidR="000A3C02" w:rsidRPr="000A3C02" w:rsidRDefault="000A3C02" w:rsidP="000A3C02">
            <w:pPr>
              <w:pStyle w:val="TableParagraph"/>
              <w:rPr>
                <w:sz w:val="20"/>
                <w:szCs w:val="20"/>
              </w:rPr>
            </w:pPr>
            <w:r w:rsidRPr="000A3C02">
              <w:rPr>
                <w:sz w:val="20"/>
                <w:szCs w:val="20"/>
              </w:rPr>
              <w:t>1979-2010</w:t>
            </w:r>
          </w:p>
        </w:tc>
        <w:tc>
          <w:tcPr>
            <w:tcW w:w="3421" w:type="dxa"/>
          </w:tcPr>
          <w:p w14:paraId="01C92D9E" w14:textId="061FFD68" w:rsidR="000A3C02" w:rsidRPr="000A3C02" w:rsidRDefault="000A3C02" w:rsidP="000A3C02">
            <w:pPr>
              <w:rPr>
                <w:sz w:val="20"/>
                <w:szCs w:val="20"/>
              </w:rPr>
            </w:pPr>
            <w:r w:rsidRPr="000A3C02">
              <w:rPr>
                <w:sz w:val="20"/>
                <w:szCs w:val="20"/>
              </w:rPr>
              <w:t>= max{req_sch,drop_age - enroll_age}</w:t>
            </w:r>
          </w:p>
        </w:tc>
        <w:tc>
          <w:tcPr>
            <w:tcW w:w="6482" w:type="dxa"/>
          </w:tcPr>
          <w:p w14:paraId="1DE7B4C8" w14:textId="4369FF6C" w:rsidR="000A3C02" w:rsidRDefault="000A3C02" w:rsidP="000A3C02">
            <w:pPr>
              <w:pStyle w:val="TableParagraph"/>
              <w:spacing w:before="43"/>
              <w:ind w:left="114" w:right="488"/>
              <w:rPr>
                <w:sz w:val="20"/>
              </w:rPr>
            </w:pPr>
            <w:r w:rsidRPr="000A3C02">
              <w:rPr>
                <w:sz w:val="20"/>
                <w:szCs w:val="20"/>
              </w:rPr>
              <w:t>Bullock, John G. "Education and attitudes toward redistribution in the United States." British Journal of Political Science (2020): 1-21.</w:t>
            </w:r>
          </w:p>
        </w:tc>
      </w:tr>
      <w:tr w:rsidR="000A3C02" w14:paraId="04979D7E" w14:textId="77777777" w:rsidTr="000A3C02">
        <w:trPr>
          <w:trHeight w:val="768"/>
        </w:trPr>
        <w:tc>
          <w:tcPr>
            <w:tcW w:w="1711" w:type="dxa"/>
          </w:tcPr>
          <w:p w14:paraId="09886FBF" w14:textId="77777777" w:rsidR="000A3C02" w:rsidRPr="000A3C02" w:rsidRDefault="000A3C02" w:rsidP="000A3C02">
            <w:pPr>
              <w:jc w:val="center"/>
              <w:rPr>
                <w:b/>
                <w:bCs/>
                <w:sz w:val="20"/>
                <w:szCs w:val="20"/>
              </w:rPr>
            </w:pPr>
            <w:r w:rsidRPr="000A3C02">
              <w:rPr>
                <w:b/>
                <w:bCs/>
                <w:sz w:val="20"/>
                <w:szCs w:val="20"/>
              </w:rPr>
              <w:t>work_age</w:t>
            </w:r>
          </w:p>
          <w:p w14:paraId="02C9BA29" w14:textId="77777777" w:rsidR="000A3C02" w:rsidRPr="000A3C02" w:rsidRDefault="000A3C02" w:rsidP="000A3C02">
            <w:pPr>
              <w:pStyle w:val="TableParagraph"/>
              <w:jc w:val="center"/>
              <w:rPr>
                <w:b/>
                <w:bCs/>
              </w:rPr>
            </w:pPr>
          </w:p>
        </w:tc>
        <w:tc>
          <w:tcPr>
            <w:tcW w:w="1596" w:type="dxa"/>
          </w:tcPr>
          <w:p w14:paraId="0FF7795C" w14:textId="45B07CA4" w:rsidR="000A3C02" w:rsidRDefault="000A3C02" w:rsidP="000A3C02">
            <w:pPr>
              <w:pStyle w:val="TableParagraph"/>
            </w:pPr>
            <w:r>
              <w:t>Earliest work age for child during school hours</w:t>
            </w:r>
          </w:p>
        </w:tc>
        <w:tc>
          <w:tcPr>
            <w:tcW w:w="1285" w:type="dxa"/>
          </w:tcPr>
          <w:p w14:paraId="23F77653" w14:textId="0282FA47" w:rsidR="000A3C02" w:rsidRPr="000A3C02" w:rsidRDefault="000A3C02" w:rsidP="000A3C02">
            <w:pPr>
              <w:pStyle w:val="TableParagraph"/>
              <w:rPr>
                <w:sz w:val="20"/>
                <w:szCs w:val="20"/>
              </w:rPr>
            </w:pPr>
            <w:r w:rsidRPr="000A3C02">
              <w:rPr>
                <w:sz w:val="20"/>
                <w:szCs w:val="20"/>
              </w:rPr>
              <w:t>1979-2010</w:t>
            </w:r>
          </w:p>
        </w:tc>
        <w:tc>
          <w:tcPr>
            <w:tcW w:w="3421" w:type="dxa"/>
          </w:tcPr>
          <w:p w14:paraId="67830599" w14:textId="2CF861E5" w:rsidR="000A3C02" w:rsidRPr="000A3C02" w:rsidRDefault="000A3C02" w:rsidP="000A3C02">
            <w:pPr>
              <w:rPr>
                <w:sz w:val="20"/>
                <w:szCs w:val="20"/>
              </w:rPr>
            </w:pPr>
            <w:r w:rsidRPr="000A3C02">
              <w:rPr>
                <w:sz w:val="20"/>
                <w:szCs w:val="20"/>
              </w:rPr>
              <w:t>the earliest age at which a child can get a permit to work during normal school hours</w:t>
            </w:r>
          </w:p>
        </w:tc>
        <w:tc>
          <w:tcPr>
            <w:tcW w:w="6482" w:type="dxa"/>
          </w:tcPr>
          <w:p w14:paraId="287AA84F" w14:textId="32C1D9D8" w:rsidR="000A3C02" w:rsidRDefault="000A3C02" w:rsidP="000A3C02">
            <w:pPr>
              <w:pStyle w:val="TableParagraph"/>
              <w:spacing w:before="43"/>
              <w:ind w:left="114" w:right="488"/>
              <w:rPr>
                <w:sz w:val="20"/>
              </w:rPr>
            </w:pPr>
            <w:r w:rsidRPr="000A3C02">
              <w:rPr>
                <w:sz w:val="20"/>
                <w:szCs w:val="20"/>
              </w:rPr>
              <w:t>Bullock, John G. "Education and attitudes toward redistribution in the United States." British Journal of Political Science (2020): 1-21.</w:t>
            </w:r>
          </w:p>
        </w:tc>
      </w:tr>
      <w:tr w:rsidR="000A3C02" w14:paraId="481431C3" w14:textId="77777777" w:rsidTr="000A3C02">
        <w:trPr>
          <w:trHeight w:val="444"/>
        </w:trPr>
        <w:tc>
          <w:tcPr>
            <w:tcW w:w="1711" w:type="dxa"/>
          </w:tcPr>
          <w:p w14:paraId="2C0335F7" w14:textId="0B6BDBBA" w:rsidR="000A3C02" w:rsidRPr="000A3C02" w:rsidRDefault="000A3C02" w:rsidP="000A3C02">
            <w:pPr>
              <w:pStyle w:val="TableParagraph"/>
              <w:jc w:val="center"/>
              <w:rPr>
                <w:b/>
                <w:bCs/>
              </w:rPr>
            </w:pPr>
            <w:r w:rsidRPr="000A3C02">
              <w:rPr>
                <w:b/>
                <w:bCs/>
              </w:rPr>
              <w:t>work_sch</w:t>
            </w:r>
          </w:p>
        </w:tc>
        <w:tc>
          <w:tcPr>
            <w:tcW w:w="1596" w:type="dxa"/>
          </w:tcPr>
          <w:p w14:paraId="123A0D7D" w14:textId="1379B98A" w:rsidR="000A3C02" w:rsidRDefault="000A3C02" w:rsidP="000A3C02">
            <w:pPr>
              <w:pStyle w:val="TableParagraph"/>
            </w:pPr>
            <w:r>
              <w:t>Schooling years before child work during school hours</w:t>
            </w:r>
          </w:p>
        </w:tc>
        <w:tc>
          <w:tcPr>
            <w:tcW w:w="1285" w:type="dxa"/>
          </w:tcPr>
          <w:p w14:paraId="58243632" w14:textId="1CAD192E" w:rsidR="000A3C02" w:rsidRPr="000A3C02" w:rsidRDefault="000A3C02" w:rsidP="000A3C02">
            <w:pPr>
              <w:pStyle w:val="TableParagraph"/>
              <w:rPr>
                <w:sz w:val="20"/>
                <w:szCs w:val="20"/>
              </w:rPr>
            </w:pPr>
            <w:r w:rsidRPr="000A3C02">
              <w:rPr>
                <w:sz w:val="20"/>
                <w:szCs w:val="20"/>
              </w:rPr>
              <w:t>1979-2010</w:t>
            </w:r>
          </w:p>
        </w:tc>
        <w:tc>
          <w:tcPr>
            <w:tcW w:w="3421" w:type="dxa"/>
          </w:tcPr>
          <w:p w14:paraId="7AF61CCC" w14:textId="77777777" w:rsidR="000A3C02" w:rsidRPr="000A3C02" w:rsidRDefault="000A3C02" w:rsidP="000A3C02">
            <w:pPr>
              <w:rPr>
                <w:sz w:val="20"/>
                <w:szCs w:val="20"/>
              </w:rPr>
            </w:pPr>
            <w:r w:rsidRPr="000A3C02">
              <w:rPr>
                <w:sz w:val="20"/>
                <w:szCs w:val="20"/>
              </w:rPr>
              <w:t>the number of years of schooling required before a child may get a permit to work during normal school hours</w:t>
            </w:r>
          </w:p>
          <w:p w14:paraId="00400871" w14:textId="77777777" w:rsidR="000A3C02" w:rsidRPr="000A3C02" w:rsidRDefault="000A3C02" w:rsidP="000A3C02">
            <w:pPr>
              <w:pStyle w:val="TableParagraph"/>
              <w:rPr>
                <w:sz w:val="20"/>
                <w:szCs w:val="20"/>
              </w:rPr>
            </w:pPr>
          </w:p>
        </w:tc>
        <w:tc>
          <w:tcPr>
            <w:tcW w:w="6482" w:type="dxa"/>
          </w:tcPr>
          <w:p w14:paraId="33907639" w14:textId="0F35C1C3" w:rsidR="000A3C02" w:rsidRDefault="000A3C02" w:rsidP="000A3C02">
            <w:pPr>
              <w:pStyle w:val="TableParagraph"/>
              <w:spacing w:before="43"/>
              <w:ind w:left="114" w:right="488"/>
              <w:rPr>
                <w:sz w:val="20"/>
              </w:rPr>
            </w:pPr>
            <w:r w:rsidRPr="000A3C02">
              <w:rPr>
                <w:sz w:val="20"/>
                <w:szCs w:val="20"/>
              </w:rPr>
              <w:t>Bullock, John G. "Education and attitudes toward redistribution in the United States." British Journal of Political Science (2020): 1-21.</w:t>
            </w:r>
          </w:p>
        </w:tc>
      </w:tr>
      <w:tr w:rsidR="000A3C02" w14:paraId="77B32A99" w14:textId="77777777" w:rsidTr="000A3C02">
        <w:trPr>
          <w:trHeight w:val="984"/>
        </w:trPr>
        <w:tc>
          <w:tcPr>
            <w:tcW w:w="1711" w:type="dxa"/>
          </w:tcPr>
          <w:p w14:paraId="58B86596" w14:textId="241E86CE" w:rsidR="000A3C02" w:rsidRPr="000A3C02" w:rsidRDefault="000A3C02" w:rsidP="000A3C02">
            <w:pPr>
              <w:pStyle w:val="TableParagraph"/>
              <w:jc w:val="center"/>
              <w:rPr>
                <w:b/>
                <w:bCs/>
              </w:rPr>
            </w:pPr>
            <w:r w:rsidRPr="000A3C02">
              <w:rPr>
                <w:b/>
                <w:bCs/>
              </w:rPr>
              <w:t>CL</w:t>
            </w:r>
          </w:p>
        </w:tc>
        <w:tc>
          <w:tcPr>
            <w:tcW w:w="1596" w:type="dxa"/>
          </w:tcPr>
          <w:p w14:paraId="351E1E35" w14:textId="77777777" w:rsidR="000A3C02" w:rsidRDefault="000A3C02" w:rsidP="000A3C02">
            <w:pPr>
              <w:pStyle w:val="TableParagraph"/>
            </w:pPr>
          </w:p>
        </w:tc>
        <w:tc>
          <w:tcPr>
            <w:tcW w:w="1285" w:type="dxa"/>
          </w:tcPr>
          <w:p w14:paraId="5F79B49D" w14:textId="530B3A7C" w:rsidR="000A3C02" w:rsidRPr="000A3C02" w:rsidRDefault="000A3C02" w:rsidP="000A3C02">
            <w:pPr>
              <w:pStyle w:val="TableParagraph"/>
              <w:rPr>
                <w:sz w:val="20"/>
                <w:szCs w:val="20"/>
              </w:rPr>
            </w:pPr>
            <w:r w:rsidRPr="000A3C02">
              <w:rPr>
                <w:sz w:val="20"/>
                <w:szCs w:val="20"/>
              </w:rPr>
              <w:t>1979-2010</w:t>
            </w:r>
          </w:p>
        </w:tc>
        <w:tc>
          <w:tcPr>
            <w:tcW w:w="3421" w:type="dxa"/>
          </w:tcPr>
          <w:p w14:paraId="5B12D150" w14:textId="6CD50304" w:rsidR="000A3C02" w:rsidRPr="000A3C02" w:rsidRDefault="000A3C02" w:rsidP="000A3C02">
            <w:pPr>
              <w:rPr>
                <w:sz w:val="20"/>
                <w:szCs w:val="20"/>
              </w:rPr>
            </w:pPr>
            <w:r w:rsidRPr="000A3C02">
              <w:rPr>
                <w:sz w:val="20"/>
                <w:szCs w:val="20"/>
              </w:rPr>
              <w:t>= max{work_sch,work_age - enroll_age}</w:t>
            </w:r>
          </w:p>
        </w:tc>
        <w:tc>
          <w:tcPr>
            <w:tcW w:w="6482" w:type="dxa"/>
          </w:tcPr>
          <w:p w14:paraId="7BF4C193" w14:textId="53D64589" w:rsidR="000A3C02" w:rsidRDefault="000A3C02" w:rsidP="000A3C02">
            <w:pPr>
              <w:pStyle w:val="TableParagraph"/>
              <w:spacing w:before="43"/>
              <w:ind w:left="114" w:right="488"/>
              <w:rPr>
                <w:sz w:val="20"/>
              </w:rPr>
            </w:pPr>
            <w:r w:rsidRPr="000A3C02">
              <w:rPr>
                <w:sz w:val="20"/>
                <w:szCs w:val="20"/>
              </w:rPr>
              <w:t>Bullock, John G. "Education and attitudes toward redistribution in the United States." British Journal of Political Science (2020): 1-21.</w:t>
            </w:r>
          </w:p>
        </w:tc>
      </w:tr>
      <w:tr w:rsidR="000A3C02" w14:paraId="6BDF7D9D" w14:textId="77777777" w:rsidTr="000A3C02">
        <w:trPr>
          <w:trHeight w:val="984"/>
        </w:trPr>
        <w:tc>
          <w:tcPr>
            <w:tcW w:w="1711" w:type="dxa"/>
          </w:tcPr>
          <w:p w14:paraId="3819B204" w14:textId="7A84B51F" w:rsidR="000A3C02" w:rsidRPr="000A3C02" w:rsidRDefault="000A3C02" w:rsidP="000A3C02">
            <w:pPr>
              <w:pStyle w:val="TableParagraph"/>
              <w:jc w:val="center"/>
              <w:rPr>
                <w:b/>
                <w:bCs/>
              </w:rPr>
            </w:pPr>
            <w:r w:rsidRPr="000A3C02">
              <w:rPr>
                <w:b/>
                <w:bCs/>
              </w:rPr>
              <w:lastRenderedPageBreak/>
              <w:t>CA_source</w:t>
            </w:r>
          </w:p>
        </w:tc>
        <w:tc>
          <w:tcPr>
            <w:tcW w:w="1596" w:type="dxa"/>
          </w:tcPr>
          <w:p w14:paraId="4CCF1008" w14:textId="77777777" w:rsidR="000A3C02" w:rsidRDefault="000A3C02" w:rsidP="000A3C02">
            <w:pPr>
              <w:pStyle w:val="TableParagraph"/>
            </w:pPr>
          </w:p>
        </w:tc>
        <w:tc>
          <w:tcPr>
            <w:tcW w:w="1285" w:type="dxa"/>
          </w:tcPr>
          <w:p w14:paraId="3EA6CECF" w14:textId="63E69241" w:rsidR="000A3C02" w:rsidRPr="000A3C02" w:rsidRDefault="000A3C02" w:rsidP="000A3C02">
            <w:pPr>
              <w:pStyle w:val="TableParagraph"/>
              <w:rPr>
                <w:sz w:val="20"/>
                <w:szCs w:val="20"/>
              </w:rPr>
            </w:pPr>
            <w:r w:rsidRPr="000A3C02">
              <w:rPr>
                <w:sz w:val="20"/>
                <w:szCs w:val="20"/>
              </w:rPr>
              <w:t>1979-2010</w:t>
            </w:r>
          </w:p>
        </w:tc>
        <w:tc>
          <w:tcPr>
            <w:tcW w:w="3421" w:type="dxa"/>
          </w:tcPr>
          <w:p w14:paraId="2058B51E" w14:textId="6A567EA5" w:rsidR="000A3C02" w:rsidRPr="000A3C02" w:rsidRDefault="000A3C02" w:rsidP="000A3C02">
            <w:pPr>
              <w:rPr>
                <w:sz w:val="20"/>
                <w:szCs w:val="20"/>
              </w:rPr>
            </w:pPr>
            <w:r w:rsidRPr="000A3C02">
              <w:rPr>
                <w:sz w:val="20"/>
                <w:szCs w:val="20"/>
              </w:rPr>
              <w:t>The “source” variables indicate the section of the state code in which the relevant variables (e.g., enroll_age or work_sch) are specified</w:t>
            </w:r>
          </w:p>
        </w:tc>
        <w:tc>
          <w:tcPr>
            <w:tcW w:w="6482" w:type="dxa"/>
          </w:tcPr>
          <w:p w14:paraId="0628F22E" w14:textId="6950826B" w:rsidR="000A3C02" w:rsidRDefault="000A3C02" w:rsidP="000A3C02">
            <w:pPr>
              <w:pStyle w:val="TableParagraph"/>
              <w:spacing w:before="43"/>
              <w:ind w:left="114" w:right="488"/>
              <w:rPr>
                <w:sz w:val="20"/>
              </w:rPr>
            </w:pPr>
            <w:r w:rsidRPr="000A3C02">
              <w:rPr>
                <w:sz w:val="20"/>
                <w:szCs w:val="20"/>
              </w:rPr>
              <w:t>Bullock, John G. "Education and attitudes toward redistribution in the United States." British Journal of Political Science (2020): 1-21.</w:t>
            </w:r>
          </w:p>
        </w:tc>
      </w:tr>
      <w:tr w:rsidR="000A3C02" w14:paraId="567F7E21" w14:textId="77777777" w:rsidTr="000A3C02">
        <w:trPr>
          <w:trHeight w:val="975"/>
        </w:trPr>
        <w:tc>
          <w:tcPr>
            <w:tcW w:w="1711" w:type="dxa"/>
          </w:tcPr>
          <w:p w14:paraId="6C939DDE" w14:textId="5741ACBF" w:rsidR="000A3C02" w:rsidRPr="000A3C02" w:rsidRDefault="000A3C02" w:rsidP="000A3C02">
            <w:pPr>
              <w:pStyle w:val="TableParagraph"/>
              <w:jc w:val="center"/>
              <w:rPr>
                <w:b/>
                <w:bCs/>
              </w:rPr>
            </w:pPr>
            <w:r w:rsidRPr="000A3C02">
              <w:rPr>
                <w:b/>
                <w:bCs/>
              </w:rPr>
              <w:t>CL_source</w:t>
            </w:r>
          </w:p>
        </w:tc>
        <w:tc>
          <w:tcPr>
            <w:tcW w:w="1596" w:type="dxa"/>
          </w:tcPr>
          <w:p w14:paraId="761C4635" w14:textId="77777777" w:rsidR="000A3C02" w:rsidRDefault="000A3C02" w:rsidP="000A3C02">
            <w:pPr>
              <w:pStyle w:val="TableParagraph"/>
            </w:pPr>
          </w:p>
        </w:tc>
        <w:tc>
          <w:tcPr>
            <w:tcW w:w="1285" w:type="dxa"/>
          </w:tcPr>
          <w:p w14:paraId="35BE4322" w14:textId="68F67E1D" w:rsidR="000A3C02" w:rsidRPr="000A3C02" w:rsidRDefault="000A3C02" w:rsidP="000A3C02">
            <w:pPr>
              <w:pStyle w:val="TableParagraph"/>
              <w:rPr>
                <w:sz w:val="20"/>
                <w:szCs w:val="20"/>
              </w:rPr>
            </w:pPr>
            <w:r w:rsidRPr="000A3C02">
              <w:rPr>
                <w:sz w:val="20"/>
                <w:szCs w:val="20"/>
              </w:rPr>
              <w:t>1979-2010</w:t>
            </w:r>
          </w:p>
        </w:tc>
        <w:tc>
          <w:tcPr>
            <w:tcW w:w="3421" w:type="dxa"/>
          </w:tcPr>
          <w:p w14:paraId="5F224E22" w14:textId="6084800A" w:rsidR="000A3C02" w:rsidRPr="000A3C02" w:rsidRDefault="000A3C02" w:rsidP="000A3C02">
            <w:pPr>
              <w:rPr>
                <w:sz w:val="20"/>
                <w:szCs w:val="20"/>
              </w:rPr>
            </w:pPr>
            <w:r w:rsidRPr="000A3C02">
              <w:rPr>
                <w:sz w:val="20"/>
                <w:szCs w:val="20"/>
              </w:rPr>
              <w:t>The “source” variables indicate the section of the state code in which the relevant variables (e.g., enroll_age or work_sch) are specified</w:t>
            </w:r>
          </w:p>
        </w:tc>
        <w:tc>
          <w:tcPr>
            <w:tcW w:w="6482" w:type="dxa"/>
          </w:tcPr>
          <w:p w14:paraId="421C65F0" w14:textId="62589F1D" w:rsidR="000A3C02" w:rsidRDefault="000A3C02" w:rsidP="000A3C02">
            <w:pPr>
              <w:pStyle w:val="TableParagraph"/>
              <w:spacing w:before="43"/>
              <w:ind w:left="114" w:right="488"/>
              <w:rPr>
                <w:sz w:val="20"/>
              </w:rPr>
            </w:pPr>
            <w:r w:rsidRPr="000A3C02">
              <w:rPr>
                <w:sz w:val="20"/>
                <w:szCs w:val="20"/>
              </w:rPr>
              <w:t>Bullock, John G. "Education and attitudes toward redistribution in the United States." British Journal of Political Science (2020): 1-21.</w:t>
            </w:r>
          </w:p>
        </w:tc>
      </w:tr>
      <w:tr w:rsidR="000A3C02" w14:paraId="79E9C366" w14:textId="77777777" w:rsidTr="000A3C02">
        <w:trPr>
          <w:trHeight w:val="705"/>
        </w:trPr>
        <w:tc>
          <w:tcPr>
            <w:tcW w:w="1711" w:type="dxa"/>
          </w:tcPr>
          <w:p w14:paraId="5CA4B319" w14:textId="36ECC023" w:rsidR="000A3C02" w:rsidRPr="000A3C02" w:rsidRDefault="000A3C02" w:rsidP="000A3C02">
            <w:pPr>
              <w:pStyle w:val="TableParagraph"/>
              <w:jc w:val="center"/>
              <w:rPr>
                <w:b/>
                <w:bCs/>
              </w:rPr>
            </w:pPr>
            <w:r w:rsidRPr="000A3C02">
              <w:rPr>
                <w:b/>
                <w:bCs/>
              </w:rPr>
              <w:t>CA_notes</w:t>
            </w:r>
          </w:p>
        </w:tc>
        <w:tc>
          <w:tcPr>
            <w:tcW w:w="1596" w:type="dxa"/>
          </w:tcPr>
          <w:p w14:paraId="3577B880" w14:textId="77777777" w:rsidR="000A3C02" w:rsidRDefault="000A3C02" w:rsidP="000A3C02">
            <w:pPr>
              <w:pStyle w:val="TableParagraph"/>
            </w:pPr>
          </w:p>
        </w:tc>
        <w:tc>
          <w:tcPr>
            <w:tcW w:w="1285" w:type="dxa"/>
          </w:tcPr>
          <w:p w14:paraId="4CEDC7FD" w14:textId="6962D259" w:rsidR="000A3C02" w:rsidRPr="000A3C02" w:rsidRDefault="000A3C02" w:rsidP="000A3C02">
            <w:pPr>
              <w:pStyle w:val="TableParagraph"/>
              <w:rPr>
                <w:sz w:val="20"/>
                <w:szCs w:val="20"/>
              </w:rPr>
            </w:pPr>
            <w:r w:rsidRPr="000A3C02">
              <w:rPr>
                <w:sz w:val="20"/>
                <w:szCs w:val="20"/>
              </w:rPr>
              <w:t>1979-2010</w:t>
            </w:r>
          </w:p>
        </w:tc>
        <w:tc>
          <w:tcPr>
            <w:tcW w:w="3421" w:type="dxa"/>
          </w:tcPr>
          <w:p w14:paraId="591E054F" w14:textId="65366774" w:rsidR="000A3C02" w:rsidRPr="000A3C02" w:rsidRDefault="000A3C02" w:rsidP="000A3C02">
            <w:pPr>
              <w:rPr>
                <w:sz w:val="20"/>
                <w:szCs w:val="20"/>
              </w:rPr>
            </w:pPr>
            <w:r w:rsidRPr="000A3C02">
              <w:rPr>
                <w:sz w:val="20"/>
                <w:szCs w:val="20"/>
              </w:rPr>
              <w:t>The “notes” variables contain further information that is relevant to the coding of laws for particular state-years</w:t>
            </w:r>
          </w:p>
        </w:tc>
        <w:tc>
          <w:tcPr>
            <w:tcW w:w="6482" w:type="dxa"/>
          </w:tcPr>
          <w:p w14:paraId="6FBE7DB7" w14:textId="493056D3" w:rsidR="000A3C02" w:rsidRDefault="000A3C02" w:rsidP="000A3C02">
            <w:pPr>
              <w:pStyle w:val="TableParagraph"/>
              <w:spacing w:before="43"/>
              <w:ind w:left="114" w:right="488"/>
              <w:rPr>
                <w:sz w:val="20"/>
              </w:rPr>
            </w:pPr>
            <w:r w:rsidRPr="000A3C02">
              <w:rPr>
                <w:sz w:val="20"/>
                <w:szCs w:val="20"/>
              </w:rPr>
              <w:t>Bullock, John G. "Education and attitudes toward redistribution in the United States." British Journal of Political Science (2020): 1-21.</w:t>
            </w:r>
          </w:p>
        </w:tc>
      </w:tr>
      <w:tr w:rsidR="000A3C02" w14:paraId="1CF84DD8" w14:textId="77777777" w:rsidTr="000A3C02">
        <w:trPr>
          <w:trHeight w:val="633"/>
        </w:trPr>
        <w:tc>
          <w:tcPr>
            <w:tcW w:w="1711" w:type="dxa"/>
          </w:tcPr>
          <w:p w14:paraId="7C17E4A0" w14:textId="1354C5FF" w:rsidR="000A3C02" w:rsidRPr="000A3C02" w:rsidRDefault="000A3C02" w:rsidP="000A3C02">
            <w:pPr>
              <w:pStyle w:val="TableParagraph"/>
              <w:jc w:val="center"/>
              <w:rPr>
                <w:b/>
                <w:bCs/>
              </w:rPr>
            </w:pPr>
            <w:r w:rsidRPr="000A3C02">
              <w:rPr>
                <w:b/>
                <w:bCs/>
              </w:rPr>
              <w:t>CL_notes</w:t>
            </w:r>
          </w:p>
        </w:tc>
        <w:tc>
          <w:tcPr>
            <w:tcW w:w="1596" w:type="dxa"/>
          </w:tcPr>
          <w:p w14:paraId="3BAAC7A9" w14:textId="77777777" w:rsidR="000A3C02" w:rsidRDefault="000A3C02" w:rsidP="000A3C02">
            <w:pPr>
              <w:pStyle w:val="TableParagraph"/>
            </w:pPr>
          </w:p>
        </w:tc>
        <w:tc>
          <w:tcPr>
            <w:tcW w:w="1285" w:type="dxa"/>
          </w:tcPr>
          <w:p w14:paraId="21BA69D9" w14:textId="6ECF8137" w:rsidR="000A3C02" w:rsidRPr="000A3C02" w:rsidRDefault="000A3C02" w:rsidP="000A3C02">
            <w:pPr>
              <w:pStyle w:val="TableParagraph"/>
              <w:rPr>
                <w:sz w:val="20"/>
                <w:szCs w:val="20"/>
              </w:rPr>
            </w:pPr>
            <w:r w:rsidRPr="000A3C02">
              <w:rPr>
                <w:sz w:val="20"/>
                <w:szCs w:val="20"/>
              </w:rPr>
              <w:t>1979-2010</w:t>
            </w:r>
          </w:p>
        </w:tc>
        <w:tc>
          <w:tcPr>
            <w:tcW w:w="3421" w:type="dxa"/>
          </w:tcPr>
          <w:p w14:paraId="077B804E" w14:textId="4856E305" w:rsidR="000A3C02" w:rsidRPr="000A3C02" w:rsidRDefault="000A3C02" w:rsidP="000A3C02">
            <w:pPr>
              <w:rPr>
                <w:sz w:val="20"/>
                <w:szCs w:val="20"/>
              </w:rPr>
            </w:pPr>
            <w:r w:rsidRPr="000A3C02">
              <w:rPr>
                <w:sz w:val="20"/>
                <w:szCs w:val="20"/>
              </w:rPr>
              <w:t>The “notes” variables contain further information that is relevant to the coding of laws for particular state-years</w:t>
            </w:r>
          </w:p>
        </w:tc>
        <w:tc>
          <w:tcPr>
            <w:tcW w:w="6482" w:type="dxa"/>
          </w:tcPr>
          <w:p w14:paraId="27F5D4FA" w14:textId="63E7D8B0" w:rsidR="000A3C02" w:rsidRDefault="000A3C02" w:rsidP="000A3C02">
            <w:pPr>
              <w:pStyle w:val="TableParagraph"/>
              <w:spacing w:before="43"/>
              <w:ind w:left="114" w:right="488"/>
              <w:rPr>
                <w:sz w:val="20"/>
              </w:rPr>
            </w:pPr>
            <w:r w:rsidRPr="000A3C02">
              <w:rPr>
                <w:sz w:val="20"/>
                <w:szCs w:val="20"/>
              </w:rPr>
              <w:t>Bullock, John G. "Education and attitudes toward redistribution in the United States." British Journal of Political Science (2020): 1-21.</w:t>
            </w:r>
          </w:p>
        </w:tc>
      </w:tr>
      <w:tr w:rsidR="000A3C02" w14:paraId="6FFFC5CF" w14:textId="77777777">
        <w:trPr>
          <w:trHeight w:val="1925"/>
        </w:trPr>
        <w:tc>
          <w:tcPr>
            <w:tcW w:w="1711" w:type="dxa"/>
          </w:tcPr>
          <w:p w14:paraId="32E7AED8" w14:textId="3911A4F1" w:rsidR="000A3C02" w:rsidRPr="000A3C02" w:rsidRDefault="000A3C02" w:rsidP="000A3C02">
            <w:pPr>
              <w:pStyle w:val="TableParagraph"/>
              <w:jc w:val="center"/>
              <w:rPr>
                <w:b/>
                <w:bCs/>
                <w:sz w:val="20"/>
                <w:szCs w:val="20"/>
              </w:rPr>
            </w:pPr>
            <w:r w:rsidRPr="000A3C02">
              <w:rPr>
                <w:b/>
                <w:bCs/>
                <w:sz w:val="20"/>
                <w:szCs w:val="20"/>
              </w:rPr>
              <w:t>enrollment</w:t>
            </w:r>
          </w:p>
        </w:tc>
        <w:tc>
          <w:tcPr>
            <w:tcW w:w="1596" w:type="dxa"/>
          </w:tcPr>
          <w:p w14:paraId="7D2B50C8" w14:textId="77777777" w:rsidR="000A3C02" w:rsidRDefault="000A3C02" w:rsidP="000A3C02">
            <w:pPr>
              <w:pStyle w:val="TableParagraph"/>
            </w:pPr>
          </w:p>
        </w:tc>
        <w:tc>
          <w:tcPr>
            <w:tcW w:w="1285" w:type="dxa"/>
          </w:tcPr>
          <w:p w14:paraId="01C71154" w14:textId="5217CC38" w:rsidR="000A3C02" w:rsidRPr="000A3C02" w:rsidRDefault="000A3C02" w:rsidP="000A3C02">
            <w:pPr>
              <w:rPr>
                <w:sz w:val="20"/>
                <w:szCs w:val="20"/>
              </w:rPr>
            </w:pPr>
            <w:r w:rsidRPr="000A3C02">
              <w:rPr>
                <w:sz w:val="20"/>
                <w:szCs w:val="20"/>
              </w:rPr>
              <w:t>1899, 1909; odd-numbered years from 1915 through 1937; 1938; odd-numbered years from 1939-57; 1962, 1963, 1965-2010</w:t>
            </w:r>
          </w:p>
        </w:tc>
        <w:tc>
          <w:tcPr>
            <w:tcW w:w="3421" w:type="dxa"/>
          </w:tcPr>
          <w:p w14:paraId="1976C915" w14:textId="77777777" w:rsidR="000A3C02" w:rsidRPr="000A3C02" w:rsidRDefault="000A3C02" w:rsidP="000A3C02">
            <w:pPr>
              <w:rPr>
                <w:sz w:val="20"/>
                <w:szCs w:val="20"/>
              </w:rPr>
            </w:pPr>
            <w:r w:rsidRPr="000A3C02">
              <w:rPr>
                <w:sz w:val="20"/>
                <w:szCs w:val="20"/>
              </w:rPr>
              <w:t>the number of students enrolled in public primary and secondary schools in each state-year. These data are from various editions of the Biennial Survey of Education, the Biennial Digest of Education, and the Digest of Education Statistics. The specific source for any given state-year is reported in enrollmentSource</w:t>
            </w:r>
          </w:p>
          <w:p w14:paraId="4CF082FB" w14:textId="77777777" w:rsidR="000A3C02" w:rsidRPr="000A3C02" w:rsidRDefault="000A3C02" w:rsidP="000A3C02">
            <w:pPr>
              <w:pStyle w:val="TableParagraph"/>
              <w:rPr>
                <w:sz w:val="20"/>
                <w:szCs w:val="20"/>
              </w:rPr>
            </w:pPr>
          </w:p>
        </w:tc>
        <w:tc>
          <w:tcPr>
            <w:tcW w:w="6482" w:type="dxa"/>
          </w:tcPr>
          <w:p w14:paraId="41DDAB41" w14:textId="0E66B0B6" w:rsidR="000A3C02" w:rsidRDefault="000A3C02" w:rsidP="000A3C02">
            <w:pPr>
              <w:pStyle w:val="TableParagraph"/>
              <w:spacing w:before="43"/>
              <w:ind w:left="114" w:right="488"/>
              <w:rPr>
                <w:sz w:val="20"/>
              </w:rPr>
            </w:pPr>
            <w:r w:rsidRPr="000A3C02">
              <w:rPr>
                <w:sz w:val="20"/>
                <w:szCs w:val="20"/>
              </w:rPr>
              <w:t>Bullock, John G. "Education and attitudes toward redistribution in the United States." British Journal of Political Science (2020): 1-21.</w:t>
            </w:r>
          </w:p>
        </w:tc>
      </w:tr>
      <w:tr w:rsidR="000A3C02" w14:paraId="4484B8A2" w14:textId="77777777">
        <w:trPr>
          <w:trHeight w:val="1925"/>
        </w:trPr>
        <w:tc>
          <w:tcPr>
            <w:tcW w:w="1711" w:type="dxa"/>
          </w:tcPr>
          <w:p w14:paraId="308CD09C" w14:textId="06F545FF" w:rsidR="000A3C02" w:rsidRPr="000A3C02" w:rsidRDefault="000A3C02" w:rsidP="000A3C02">
            <w:pPr>
              <w:jc w:val="center"/>
              <w:rPr>
                <w:b/>
                <w:bCs/>
                <w:sz w:val="20"/>
                <w:szCs w:val="20"/>
              </w:rPr>
            </w:pPr>
            <w:r w:rsidRPr="000A3C02">
              <w:rPr>
                <w:b/>
                <w:bCs/>
                <w:sz w:val="20"/>
                <w:szCs w:val="20"/>
              </w:rPr>
              <w:t>higherEdEnrollment</w:t>
            </w:r>
          </w:p>
        </w:tc>
        <w:tc>
          <w:tcPr>
            <w:tcW w:w="1596" w:type="dxa"/>
          </w:tcPr>
          <w:p w14:paraId="252BAD11" w14:textId="77777777" w:rsidR="000A3C02" w:rsidRDefault="000A3C02" w:rsidP="000A3C02">
            <w:pPr>
              <w:pStyle w:val="TableParagraph"/>
            </w:pPr>
          </w:p>
        </w:tc>
        <w:tc>
          <w:tcPr>
            <w:tcW w:w="1285" w:type="dxa"/>
          </w:tcPr>
          <w:p w14:paraId="179B2817" w14:textId="75EFD1D0" w:rsidR="000A3C02" w:rsidRPr="000A3C02" w:rsidRDefault="000A3C02" w:rsidP="000A3C02">
            <w:pPr>
              <w:rPr>
                <w:sz w:val="20"/>
                <w:szCs w:val="20"/>
              </w:rPr>
            </w:pPr>
            <w:r w:rsidRPr="000A3C02">
              <w:rPr>
                <w:sz w:val="20"/>
                <w:szCs w:val="20"/>
              </w:rPr>
              <w:t>1899-1900, 1909-10, 1919-20, 1928-30, 1932, 1934, 1936, 1938-40, 1942, 1947-53, 1955-72, 1974-97, 1999-2000, 2004-06</w:t>
            </w:r>
          </w:p>
        </w:tc>
        <w:tc>
          <w:tcPr>
            <w:tcW w:w="3421" w:type="dxa"/>
          </w:tcPr>
          <w:p w14:paraId="365DB5B3" w14:textId="0C5AB7C4" w:rsidR="000A3C02" w:rsidRPr="000A3C02" w:rsidRDefault="000A3C02" w:rsidP="000A3C02">
            <w:pPr>
              <w:rPr>
                <w:sz w:val="20"/>
                <w:szCs w:val="20"/>
              </w:rPr>
            </w:pPr>
            <w:r w:rsidRPr="000A3C02">
              <w:rPr>
                <w:sz w:val="20"/>
                <w:szCs w:val="20"/>
              </w:rPr>
              <w:t>the number of state residents enrolled in higher-education institutions. The data are from various editions of the U.S. Statistical Abstract and from reports of the National Center for Education Statistics. The specific source for any given state-year is reported in higherEdEnrollmentSource.</w:t>
            </w:r>
          </w:p>
        </w:tc>
        <w:tc>
          <w:tcPr>
            <w:tcW w:w="6482" w:type="dxa"/>
          </w:tcPr>
          <w:p w14:paraId="44106879" w14:textId="54E1CCE4" w:rsidR="000A3C02" w:rsidRDefault="000A3C02" w:rsidP="000A3C02">
            <w:pPr>
              <w:pStyle w:val="TableParagraph"/>
              <w:spacing w:before="43"/>
              <w:ind w:left="114" w:right="488"/>
              <w:rPr>
                <w:sz w:val="20"/>
              </w:rPr>
            </w:pPr>
            <w:r w:rsidRPr="000A3C02">
              <w:rPr>
                <w:sz w:val="20"/>
                <w:szCs w:val="20"/>
              </w:rPr>
              <w:t>Bullock, John G. "Education and attitudes toward redistribution in the United States." British Journal of Political Science (2020): 1-21.</w:t>
            </w:r>
          </w:p>
        </w:tc>
      </w:tr>
      <w:tr w:rsidR="00D94AF4" w14:paraId="1BEBF710" w14:textId="77777777" w:rsidTr="00D94AF4">
        <w:trPr>
          <w:trHeight w:val="714"/>
        </w:trPr>
        <w:tc>
          <w:tcPr>
            <w:tcW w:w="1711" w:type="dxa"/>
          </w:tcPr>
          <w:p w14:paraId="72369F31" w14:textId="77777777" w:rsidR="00D94AF4" w:rsidRPr="00D94AF4" w:rsidRDefault="00D94AF4" w:rsidP="00D94AF4">
            <w:pPr>
              <w:jc w:val="center"/>
              <w:rPr>
                <w:b/>
                <w:bCs/>
                <w:sz w:val="20"/>
                <w:szCs w:val="20"/>
              </w:rPr>
            </w:pPr>
            <w:r w:rsidRPr="00D94AF4">
              <w:rPr>
                <w:b/>
                <w:bCs/>
                <w:sz w:val="20"/>
                <w:szCs w:val="20"/>
              </w:rPr>
              <w:t>instructionalStaffSalaries</w:t>
            </w:r>
          </w:p>
          <w:p w14:paraId="491BE56A" w14:textId="77777777" w:rsidR="00D94AF4" w:rsidRPr="000A3C02" w:rsidRDefault="00D94AF4" w:rsidP="00D94AF4">
            <w:pPr>
              <w:jc w:val="center"/>
              <w:rPr>
                <w:b/>
                <w:bCs/>
                <w:sz w:val="20"/>
                <w:szCs w:val="20"/>
              </w:rPr>
            </w:pPr>
          </w:p>
        </w:tc>
        <w:tc>
          <w:tcPr>
            <w:tcW w:w="1596" w:type="dxa"/>
          </w:tcPr>
          <w:p w14:paraId="4E3CE182" w14:textId="70363BEF" w:rsidR="00D94AF4" w:rsidRDefault="00D94AF4" w:rsidP="00D94AF4">
            <w:pPr>
              <w:pStyle w:val="TableParagraph"/>
            </w:pPr>
            <w:r>
              <w:t>Mean salaries of instructional staff in primary and secondary schools</w:t>
            </w:r>
          </w:p>
        </w:tc>
        <w:tc>
          <w:tcPr>
            <w:tcW w:w="1285" w:type="dxa"/>
          </w:tcPr>
          <w:p w14:paraId="73BD7FA2" w14:textId="77777777" w:rsidR="00D94AF4" w:rsidRPr="00D94AF4" w:rsidRDefault="00D94AF4" w:rsidP="00D94AF4">
            <w:pPr>
              <w:rPr>
                <w:sz w:val="20"/>
                <w:szCs w:val="20"/>
              </w:rPr>
            </w:pPr>
            <w:r w:rsidRPr="00D94AF4">
              <w:rPr>
                <w:sz w:val="20"/>
                <w:szCs w:val="20"/>
              </w:rPr>
              <w:t>odd-numbered years from 1917 through 1959; 1962, 1963, 1965, 1967-74, 1977-81, 1983-89, 1991-2000</w:t>
            </w:r>
          </w:p>
          <w:p w14:paraId="10A41571" w14:textId="77777777" w:rsidR="00D94AF4" w:rsidRPr="000A3C02" w:rsidRDefault="00D94AF4" w:rsidP="00D94AF4">
            <w:pPr>
              <w:rPr>
                <w:sz w:val="20"/>
                <w:szCs w:val="20"/>
              </w:rPr>
            </w:pPr>
          </w:p>
        </w:tc>
        <w:tc>
          <w:tcPr>
            <w:tcW w:w="3421" w:type="dxa"/>
          </w:tcPr>
          <w:p w14:paraId="01D74208" w14:textId="6450A719" w:rsidR="00D94AF4" w:rsidRPr="000A3C02" w:rsidRDefault="00D94AF4" w:rsidP="00D94AF4">
            <w:pPr>
              <w:rPr>
                <w:sz w:val="20"/>
                <w:szCs w:val="20"/>
              </w:rPr>
            </w:pPr>
            <w:r w:rsidRPr="00D94AF4">
              <w:rPr>
                <w:sz w:val="20"/>
                <w:szCs w:val="20"/>
              </w:rPr>
              <w:t xml:space="preserve">reports the mean salaries of instructional staff in primary- and secondary-school teachers. Most instructional staff are teachers, but the category includes “supervisors [and] principals,” too. See Snyder and Hoffman 1995, Digest of Education Statistics 1995, National Center for Education Statistics, U.S. Department of Education, page 87. The data are from </w:t>
            </w:r>
            <w:r w:rsidRPr="00D94AF4">
              <w:rPr>
                <w:sz w:val="20"/>
                <w:szCs w:val="20"/>
              </w:rPr>
              <w:lastRenderedPageBreak/>
              <w:t>various editions of the Biennial Survey of Education in the United States and the Digest of Educational Statistics</w:t>
            </w:r>
          </w:p>
        </w:tc>
        <w:tc>
          <w:tcPr>
            <w:tcW w:w="6482" w:type="dxa"/>
          </w:tcPr>
          <w:p w14:paraId="3A0CE64D" w14:textId="143B8F4C" w:rsidR="00D94AF4" w:rsidRPr="000A3C02" w:rsidRDefault="00D94AF4" w:rsidP="00D94AF4">
            <w:pPr>
              <w:pStyle w:val="TableParagraph"/>
              <w:spacing w:before="43"/>
              <w:ind w:left="114" w:right="488"/>
              <w:rPr>
                <w:sz w:val="20"/>
                <w:szCs w:val="20"/>
              </w:rPr>
            </w:pPr>
            <w:r w:rsidRPr="000A3C02">
              <w:rPr>
                <w:sz w:val="20"/>
                <w:szCs w:val="20"/>
              </w:rPr>
              <w:lastRenderedPageBreak/>
              <w:t>Bullock, John G. "Education and attitudes toward redistribution in the United States." British Journal of Political Science (2020): 1-21.</w:t>
            </w:r>
          </w:p>
        </w:tc>
      </w:tr>
      <w:tr w:rsidR="00D94AF4" w14:paraId="397FFFC9" w14:textId="77777777">
        <w:trPr>
          <w:trHeight w:val="1925"/>
        </w:trPr>
        <w:tc>
          <w:tcPr>
            <w:tcW w:w="1711" w:type="dxa"/>
          </w:tcPr>
          <w:p w14:paraId="5816C2B7" w14:textId="77777777" w:rsidR="00D94AF4" w:rsidRPr="00D94AF4" w:rsidRDefault="00D94AF4" w:rsidP="00D94AF4">
            <w:pPr>
              <w:jc w:val="center"/>
              <w:rPr>
                <w:b/>
                <w:bCs/>
                <w:sz w:val="20"/>
                <w:szCs w:val="20"/>
              </w:rPr>
            </w:pPr>
            <w:r w:rsidRPr="00D94AF4">
              <w:rPr>
                <w:b/>
                <w:bCs/>
                <w:sz w:val="20"/>
                <w:szCs w:val="20"/>
              </w:rPr>
              <w:t>numberOfTeachers</w:t>
            </w:r>
          </w:p>
          <w:p w14:paraId="75B56CA5" w14:textId="77777777" w:rsidR="00D94AF4" w:rsidRPr="000A3C02" w:rsidRDefault="00D94AF4" w:rsidP="00D94AF4">
            <w:pPr>
              <w:jc w:val="center"/>
              <w:rPr>
                <w:b/>
                <w:bCs/>
                <w:sz w:val="20"/>
                <w:szCs w:val="20"/>
              </w:rPr>
            </w:pPr>
          </w:p>
        </w:tc>
        <w:tc>
          <w:tcPr>
            <w:tcW w:w="1596" w:type="dxa"/>
          </w:tcPr>
          <w:p w14:paraId="4C15EB81" w14:textId="403F198A" w:rsidR="00D94AF4" w:rsidRDefault="00D94AF4" w:rsidP="00D94AF4">
            <w:pPr>
              <w:pStyle w:val="TableParagraph"/>
            </w:pPr>
            <w:r>
              <w:t>Number of teachers in public primary and secondary schools</w:t>
            </w:r>
          </w:p>
        </w:tc>
        <w:tc>
          <w:tcPr>
            <w:tcW w:w="1285" w:type="dxa"/>
          </w:tcPr>
          <w:p w14:paraId="6316412B" w14:textId="77777777" w:rsidR="00D94AF4" w:rsidRPr="00D94AF4" w:rsidRDefault="00D94AF4" w:rsidP="00D94AF4">
            <w:pPr>
              <w:jc w:val="center"/>
              <w:rPr>
                <w:sz w:val="20"/>
                <w:szCs w:val="20"/>
              </w:rPr>
            </w:pPr>
            <w:r w:rsidRPr="00D94AF4">
              <w:rPr>
                <w:sz w:val="20"/>
                <w:szCs w:val="20"/>
              </w:rPr>
              <w:t>odd-numbered years from 1917 through 1959; 1962, 1963, 1965-2010</w:t>
            </w:r>
          </w:p>
          <w:p w14:paraId="7FF88D8D" w14:textId="77777777" w:rsidR="00D94AF4" w:rsidRPr="000A3C02" w:rsidRDefault="00D94AF4" w:rsidP="00D94AF4">
            <w:pPr>
              <w:rPr>
                <w:sz w:val="20"/>
                <w:szCs w:val="20"/>
              </w:rPr>
            </w:pPr>
          </w:p>
        </w:tc>
        <w:tc>
          <w:tcPr>
            <w:tcW w:w="3421" w:type="dxa"/>
          </w:tcPr>
          <w:p w14:paraId="7D5B4451" w14:textId="1D2F8561" w:rsidR="00D94AF4" w:rsidRPr="000A3C02" w:rsidRDefault="00D94AF4" w:rsidP="00D94AF4">
            <w:pPr>
              <w:rPr>
                <w:sz w:val="20"/>
                <w:szCs w:val="20"/>
              </w:rPr>
            </w:pPr>
            <w:r w:rsidRPr="00D94AF4">
              <w:rPr>
                <w:sz w:val="20"/>
                <w:szCs w:val="20"/>
              </w:rPr>
              <w:t>the number of teachers in public primary and secondary schools in each state-year. These data are from various editions of the Biennial Survey of Education, the Biennial Digest of Education, and the Digest of Education Statistics. The specific source for any given state-year is reported in numberOfTeachersSource</w:t>
            </w:r>
          </w:p>
        </w:tc>
        <w:tc>
          <w:tcPr>
            <w:tcW w:w="6482" w:type="dxa"/>
          </w:tcPr>
          <w:p w14:paraId="3158DF6C" w14:textId="77FB140E" w:rsidR="00D94AF4" w:rsidRPr="000A3C02" w:rsidRDefault="00D94AF4" w:rsidP="00D94AF4">
            <w:pPr>
              <w:pStyle w:val="TableParagraph"/>
              <w:spacing w:before="43"/>
              <w:ind w:left="114" w:right="488"/>
              <w:rPr>
                <w:sz w:val="20"/>
                <w:szCs w:val="20"/>
              </w:rPr>
            </w:pPr>
            <w:r w:rsidRPr="000A3C02">
              <w:rPr>
                <w:sz w:val="20"/>
                <w:szCs w:val="20"/>
              </w:rPr>
              <w:t>Bullock, John G. "Education and attitudes toward redistribution in the United States." British Journal of Political Science (2020): 1-21.</w:t>
            </w:r>
          </w:p>
        </w:tc>
      </w:tr>
      <w:tr w:rsidR="00D94AF4" w14:paraId="60C298DC" w14:textId="77777777" w:rsidTr="00D94AF4">
        <w:trPr>
          <w:trHeight w:val="1110"/>
        </w:trPr>
        <w:tc>
          <w:tcPr>
            <w:tcW w:w="1711" w:type="dxa"/>
          </w:tcPr>
          <w:p w14:paraId="178D7CAD" w14:textId="77777777" w:rsidR="00D94AF4" w:rsidRPr="00D94AF4" w:rsidRDefault="00D94AF4" w:rsidP="00D94AF4">
            <w:pPr>
              <w:jc w:val="center"/>
              <w:rPr>
                <w:b/>
                <w:bCs/>
                <w:sz w:val="20"/>
                <w:szCs w:val="20"/>
              </w:rPr>
            </w:pPr>
            <w:r w:rsidRPr="00D94AF4">
              <w:rPr>
                <w:b/>
                <w:bCs/>
                <w:sz w:val="20"/>
                <w:szCs w:val="20"/>
              </w:rPr>
              <w:t>teacherSalaries</w:t>
            </w:r>
          </w:p>
          <w:p w14:paraId="6703DCF9" w14:textId="77777777" w:rsidR="00D94AF4" w:rsidRPr="000A3C02" w:rsidRDefault="00D94AF4" w:rsidP="00D94AF4">
            <w:pPr>
              <w:jc w:val="center"/>
              <w:rPr>
                <w:b/>
                <w:bCs/>
                <w:sz w:val="20"/>
                <w:szCs w:val="20"/>
              </w:rPr>
            </w:pPr>
          </w:p>
        </w:tc>
        <w:tc>
          <w:tcPr>
            <w:tcW w:w="1596" w:type="dxa"/>
          </w:tcPr>
          <w:p w14:paraId="1A4117F2" w14:textId="69E8D0D3" w:rsidR="00D94AF4" w:rsidRDefault="00D94AF4" w:rsidP="00D94AF4">
            <w:pPr>
              <w:pStyle w:val="TableParagraph"/>
            </w:pPr>
            <w:r>
              <w:t>Mean salaries of primary and secondary school teachers</w:t>
            </w:r>
          </w:p>
        </w:tc>
        <w:tc>
          <w:tcPr>
            <w:tcW w:w="1285" w:type="dxa"/>
          </w:tcPr>
          <w:p w14:paraId="4E40706F" w14:textId="11915720" w:rsidR="00D94AF4" w:rsidRPr="00D94AF4" w:rsidRDefault="00D94AF4" w:rsidP="00D94AF4">
            <w:pPr>
              <w:rPr>
                <w:sz w:val="20"/>
                <w:szCs w:val="20"/>
              </w:rPr>
            </w:pPr>
            <w:r w:rsidRPr="00D94AF4">
              <w:rPr>
                <w:sz w:val="20"/>
                <w:szCs w:val="20"/>
              </w:rPr>
              <w:t>1957, 1962, 1965, 1969, 1979, 1981, 1983-2005, 2009-11</w:t>
            </w:r>
          </w:p>
        </w:tc>
        <w:tc>
          <w:tcPr>
            <w:tcW w:w="3421" w:type="dxa"/>
          </w:tcPr>
          <w:p w14:paraId="19264425" w14:textId="49C63E1F" w:rsidR="00D94AF4" w:rsidRPr="00D94AF4" w:rsidRDefault="00D94AF4" w:rsidP="00D94AF4">
            <w:pPr>
              <w:rPr>
                <w:sz w:val="20"/>
                <w:szCs w:val="20"/>
              </w:rPr>
            </w:pPr>
            <w:r w:rsidRPr="00D94AF4">
              <w:rPr>
                <w:sz w:val="20"/>
                <w:szCs w:val="20"/>
              </w:rPr>
              <w:t>reports the mean salaries of primary</w:t>
            </w:r>
            <w:r>
              <w:rPr>
                <w:sz w:val="20"/>
                <w:szCs w:val="20"/>
              </w:rPr>
              <w:t xml:space="preserve"> </w:t>
            </w:r>
            <w:r w:rsidRPr="00D94AF4">
              <w:rPr>
                <w:sz w:val="20"/>
                <w:szCs w:val="20"/>
              </w:rPr>
              <w:t>and secondary-school teachers. The data are from various editions of the Biennial Survey of Education in the United States and the Digest of Educational Statistics</w:t>
            </w:r>
          </w:p>
        </w:tc>
        <w:tc>
          <w:tcPr>
            <w:tcW w:w="6482" w:type="dxa"/>
          </w:tcPr>
          <w:p w14:paraId="6C10EF8B" w14:textId="5A931597" w:rsidR="00D94AF4" w:rsidRPr="000A3C02" w:rsidRDefault="00D94AF4" w:rsidP="00D94AF4">
            <w:pPr>
              <w:pStyle w:val="TableParagraph"/>
              <w:spacing w:before="43"/>
              <w:ind w:left="114" w:right="488"/>
              <w:rPr>
                <w:sz w:val="20"/>
                <w:szCs w:val="20"/>
              </w:rPr>
            </w:pPr>
            <w:r w:rsidRPr="000A3C02">
              <w:rPr>
                <w:sz w:val="20"/>
                <w:szCs w:val="20"/>
              </w:rPr>
              <w:t>Bullock, John G. "Education and attitudes toward redistribution in the United States." British Journal of Political Science (2020): 1-21.</w:t>
            </w:r>
          </w:p>
        </w:tc>
      </w:tr>
    </w:tbl>
    <w:p w14:paraId="0249DED8" w14:textId="77777777" w:rsidR="0046798B" w:rsidRDefault="0046798B">
      <w:pPr>
        <w:pStyle w:val="BodyText"/>
        <w:spacing w:before="7"/>
        <w:rPr>
          <w:sz w:val="16"/>
        </w:rPr>
      </w:pPr>
    </w:p>
    <w:p w14:paraId="66F6BA91" w14:textId="77777777" w:rsidR="0046798B" w:rsidRDefault="00903B5C">
      <w:pPr>
        <w:pStyle w:val="ListParagraph"/>
        <w:numPr>
          <w:ilvl w:val="0"/>
          <w:numId w:val="5"/>
        </w:numPr>
        <w:tabs>
          <w:tab w:val="left" w:pos="901"/>
        </w:tabs>
        <w:spacing w:before="90"/>
        <w:ind w:left="900" w:hanging="280"/>
        <w:rPr>
          <w:b/>
          <w:sz w:val="24"/>
        </w:rPr>
      </w:pPr>
      <w:r>
        <w:rPr>
          <w:b/>
          <w:sz w:val="24"/>
          <w:u w:val="single"/>
        </w:rPr>
        <w:t>Education Statistics</w:t>
      </w:r>
    </w:p>
    <w:p w14:paraId="22602C10" w14:textId="77777777" w:rsidR="0046798B" w:rsidRDefault="0046798B">
      <w:pPr>
        <w:pStyle w:val="BodyText"/>
        <w:spacing w:before="8" w:after="1"/>
        <w:rPr>
          <w:b/>
          <w:sz w:val="23"/>
        </w:rPr>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0A207DF7" w14:textId="77777777">
        <w:trPr>
          <w:trHeight w:val="590"/>
        </w:trPr>
        <w:tc>
          <w:tcPr>
            <w:tcW w:w="1711" w:type="dxa"/>
          </w:tcPr>
          <w:p w14:paraId="5E87350E" w14:textId="77777777" w:rsidR="0046798B" w:rsidRDefault="00903B5C">
            <w:pPr>
              <w:pStyle w:val="TableParagraph"/>
              <w:spacing w:before="164"/>
              <w:ind w:left="140"/>
              <w:rPr>
                <w:b/>
              </w:rPr>
            </w:pPr>
            <w:r>
              <w:rPr>
                <w:b/>
              </w:rPr>
              <w:t>Variable Name</w:t>
            </w:r>
          </w:p>
        </w:tc>
        <w:tc>
          <w:tcPr>
            <w:tcW w:w="1596" w:type="dxa"/>
          </w:tcPr>
          <w:p w14:paraId="040B52B9" w14:textId="77777777" w:rsidR="0046798B" w:rsidRDefault="00903B5C">
            <w:pPr>
              <w:pStyle w:val="TableParagraph"/>
              <w:spacing w:before="39" w:line="242" w:lineRule="auto"/>
              <w:ind w:left="249" w:right="229" w:firstLine="280"/>
              <w:rPr>
                <w:b/>
              </w:rPr>
            </w:pPr>
            <w:r>
              <w:rPr>
                <w:b/>
              </w:rPr>
              <w:t>Short Description</w:t>
            </w:r>
          </w:p>
        </w:tc>
        <w:tc>
          <w:tcPr>
            <w:tcW w:w="1285" w:type="dxa"/>
          </w:tcPr>
          <w:p w14:paraId="4171479E" w14:textId="77777777" w:rsidR="0046798B" w:rsidRDefault="00903B5C">
            <w:pPr>
              <w:pStyle w:val="TableParagraph"/>
              <w:spacing w:before="164"/>
              <w:ind w:left="364"/>
              <w:rPr>
                <w:b/>
              </w:rPr>
            </w:pPr>
            <w:r>
              <w:rPr>
                <w:b/>
              </w:rPr>
              <w:t>Years</w:t>
            </w:r>
          </w:p>
        </w:tc>
        <w:tc>
          <w:tcPr>
            <w:tcW w:w="3421" w:type="dxa"/>
          </w:tcPr>
          <w:p w14:paraId="31D54C05" w14:textId="77777777" w:rsidR="0046798B" w:rsidRDefault="00903B5C">
            <w:pPr>
              <w:pStyle w:val="TableParagraph"/>
              <w:spacing w:before="39"/>
              <w:ind w:left="159" w:right="146"/>
              <w:jc w:val="center"/>
              <w:rPr>
                <w:b/>
              </w:rPr>
            </w:pPr>
            <w:r>
              <w:rPr>
                <w:b/>
              </w:rPr>
              <w:t>Coding /</w:t>
            </w:r>
          </w:p>
          <w:p w14:paraId="5ED22A91" w14:textId="77777777" w:rsidR="0046798B" w:rsidRDefault="00903B5C">
            <w:pPr>
              <w:pStyle w:val="TableParagraph"/>
              <w:spacing w:before="2"/>
              <w:ind w:left="159" w:right="150"/>
              <w:jc w:val="center"/>
              <w:rPr>
                <w:b/>
              </w:rPr>
            </w:pPr>
            <w:r>
              <w:rPr>
                <w:b/>
              </w:rPr>
              <w:t>Longer Description (if available)</w:t>
            </w:r>
          </w:p>
        </w:tc>
        <w:tc>
          <w:tcPr>
            <w:tcW w:w="6482" w:type="dxa"/>
          </w:tcPr>
          <w:p w14:paraId="3FB7D2D8" w14:textId="77777777" w:rsidR="0046798B" w:rsidRDefault="00903B5C">
            <w:pPr>
              <w:pStyle w:val="TableParagraph"/>
              <w:spacing w:before="164"/>
              <w:ind w:left="2852" w:right="2845"/>
              <w:jc w:val="center"/>
              <w:rPr>
                <w:b/>
              </w:rPr>
            </w:pPr>
            <w:r>
              <w:rPr>
                <w:b/>
              </w:rPr>
              <w:t>Sources</w:t>
            </w:r>
          </w:p>
        </w:tc>
      </w:tr>
      <w:tr w:rsidR="0046798B" w14:paraId="289D36B9" w14:textId="77777777">
        <w:trPr>
          <w:trHeight w:val="1695"/>
        </w:trPr>
        <w:tc>
          <w:tcPr>
            <w:tcW w:w="1711" w:type="dxa"/>
          </w:tcPr>
          <w:p w14:paraId="1B8D29E0" w14:textId="77777777" w:rsidR="0046798B" w:rsidRDefault="0046798B">
            <w:pPr>
              <w:pStyle w:val="TableParagraph"/>
              <w:rPr>
                <w:b/>
              </w:rPr>
            </w:pPr>
          </w:p>
          <w:p w14:paraId="118C323F" w14:textId="77777777" w:rsidR="0046798B" w:rsidRDefault="0046798B">
            <w:pPr>
              <w:pStyle w:val="TableParagraph"/>
              <w:rPr>
                <w:b/>
              </w:rPr>
            </w:pPr>
          </w:p>
          <w:p w14:paraId="4A705362" w14:textId="77777777" w:rsidR="0046798B" w:rsidRDefault="0046798B">
            <w:pPr>
              <w:pStyle w:val="TableParagraph"/>
              <w:spacing w:before="8"/>
              <w:rPr>
                <w:b/>
                <w:sz w:val="19"/>
              </w:rPr>
            </w:pPr>
          </w:p>
          <w:p w14:paraId="523BAECB" w14:textId="77777777" w:rsidR="0046798B" w:rsidRDefault="00903B5C">
            <w:pPr>
              <w:pStyle w:val="TableParagraph"/>
              <w:spacing w:before="1"/>
              <w:ind w:left="115"/>
              <w:rPr>
                <w:b/>
                <w:sz w:val="20"/>
              </w:rPr>
            </w:pPr>
            <w:r>
              <w:rPr>
                <w:b/>
                <w:sz w:val="20"/>
              </w:rPr>
              <w:t>educspend</w:t>
            </w:r>
          </w:p>
        </w:tc>
        <w:tc>
          <w:tcPr>
            <w:tcW w:w="1596" w:type="dxa"/>
          </w:tcPr>
          <w:p w14:paraId="56AD7391" w14:textId="77777777" w:rsidR="0046798B" w:rsidRDefault="0046798B">
            <w:pPr>
              <w:pStyle w:val="TableParagraph"/>
              <w:rPr>
                <w:b/>
              </w:rPr>
            </w:pPr>
          </w:p>
          <w:p w14:paraId="57376900" w14:textId="77777777" w:rsidR="0046798B" w:rsidRDefault="0046798B">
            <w:pPr>
              <w:pStyle w:val="TableParagraph"/>
              <w:spacing w:before="8"/>
              <w:rPr>
                <w:b/>
                <w:sz w:val="31"/>
              </w:rPr>
            </w:pPr>
          </w:p>
          <w:p w14:paraId="03C4115A" w14:textId="77777777" w:rsidR="0046798B" w:rsidRDefault="00903B5C">
            <w:pPr>
              <w:pStyle w:val="TableParagraph"/>
              <w:spacing w:before="1"/>
              <w:ind w:left="114" w:right="224"/>
              <w:rPr>
                <w:sz w:val="20"/>
              </w:rPr>
            </w:pPr>
            <w:r>
              <w:rPr>
                <w:sz w:val="20"/>
              </w:rPr>
              <w:t>State education spending</w:t>
            </w:r>
          </w:p>
        </w:tc>
        <w:tc>
          <w:tcPr>
            <w:tcW w:w="1285" w:type="dxa"/>
          </w:tcPr>
          <w:p w14:paraId="13DA4FD6" w14:textId="77777777" w:rsidR="0046798B" w:rsidRDefault="0046798B">
            <w:pPr>
              <w:pStyle w:val="TableParagraph"/>
              <w:rPr>
                <w:b/>
              </w:rPr>
            </w:pPr>
          </w:p>
          <w:p w14:paraId="393589AD" w14:textId="77777777" w:rsidR="0046798B" w:rsidRDefault="0046798B">
            <w:pPr>
              <w:pStyle w:val="TableParagraph"/>
              <w:rPr>
                <w:b/>
              </w:rPr>
            </w:pPr>
          </w:p>
          <w:p w14:paraId="55EF8FE2" w14:textId="77777777" w:rsidR="0046798B" w:rsidRDefault="0046798B">
            <w:pPr>
              <w:pStyle w:val="TableParagraph"/>
              <w:spacing w:before="8"/>
              <w:rPr>
                <w:b/>
                <w:sz w:val="19"/>
              </w:rPr>
            </w:pPr>
          </w:p>
          <w:p w14:paraId="626FA95E" w14:textId="77777777" w:rsidR="0046798B" w:rsidRDefault="00903B5C">
            <w:pPr>
              <w:pStyle w:val="TableParagraph"/>
              <w:spacing w:before="1"/>
              <w:ind w:left="114"/>
              <w:rPr>
                <w:sz w:val="20"/>
              </w:rPr>
            </w:pPr>
            <w:r>
              <w:rPr>
                <w:sz w:val="20"/>
              </w:rPr>
              <w:t>1975–2001</w:t>
            </w:r>
          </w:p>
        </w:tc>
        <w:tc>
          <w:tcPr>
            <w:tcW w:w="3421" w:type="dxa"/>
          </w:tcPr>
          <w:p w14:paraId="70C153F0" w14:textId="77777777" w:rsidR="0046798B" w:rsidRDefault="0046798B">
            <w:pPr>
              <w:pStyle w:val="TableParagraph"/>
              <w:rPr>
                <w:b/>
              </w:rPr>
            </w:pPr>
          </w:p>
          <w:p w14:paraId="43BE0165" w14:textId="77777777" w:rsidR="0046798B" w:rsidRDefault="0046798B">
            <w:pPr>
              <w:pStyle w:val="TableParagraph"/>
              <w:spacing w:before="8"/>
              <w:rPr>
                <w:b/>
                <w:sz w:val="21"/>
              </w:rPr>
            </w:pPr>
          </w:p>
          <w:p w14:paraId="6B48460C" w14:textId="77777777" w:rsidR="0046798B" w:rsidRDefault="00903B5C">
            <w:pPr>
              <w:pStyle w:val="TableParagraph"/>
              <w:spacing w:before="1"/>
              <w:ind w:left="114" w:right="366"/>
              <w:rPr>
                <w:sz w:val="20"/>
              </w:rPr>
            </w:pPr>
            <w:r>
              <w:rPr>
                <w:sz w:val="20"/>
              </w:rPr>
              <w:t>Total spending on elementary and secondary education in thousands of current dollars</w:t>
            </w:r>
          </w:p>
        </w:tc>
        <w:tc>
          <w:tcPr>
            <w:tcW w:w="6482" w:type="dxa"/>
          </w:tcPr>
          <w:p w14:paraId="4EB429B4" w14:textId="77777777" w:rsidR="0046798B" w:rsidRDefault="00903B5C">
            <w:pPr>
              <w:pStyle w:val="TableParagraph"/>
              <w:spacing w:before="43"/>
              <w:ind w:left="114" w:right="217"/>
              <w:rPr>
                <w:sz w:val="20"/>
              </w:rPr>
            </w:pPr>
            <w:r>
              <w:rPr>
                <w:sz w:val="20"/>
              </w:rPr>
              <w:t xml:space="preserve">Digest of Education Statistics. “Current expenditures for public elementary and secondary education, by state or jurisdiction: Selected years, 1969-70 through 2007-08.” </w:t>
            </w:r>
            <w:hyperlink r:id="rId784">
              <w:r>
                <w:rPr>
                  <w:color w:val="0462C1"/>
                  <w:sz w:val="20"/>
                  <w:u w:val="single" w:color="0462C1"/>
                </w:rPr>
                <w:t>http://nces.ed.gov/programs/digest/d10/tables/dt10_185.asp</w:t>
              </w:r>
            </w:hyperlink>
          </w:p>
          <w:p w14:paraId="70B0B53B" w14:textId="77777777" w:rsidR="0046798B" w:rsidRDefault="0046798B">
            <w:pPr>
              <w:pStyle w:val="TableParagraph"/>
              <w:rPr>
                <w:b/>
                <w:sz w:val="20"/>
              </w:rPr>
            </w:pPr>
          </w:p>
          <w:p w14:paraId="46258647" w14:textId="77777777" w:rsidR="0046798B" w:rsidRDefault="00903B5C">
            <w:pPr>
              <w:pStyle w:val="TableParagraph"/>
              <w:ind w:left="114" w:right="267"/>
              <w:rPr>
                <w:sz w:val="20"/>
              </w:rPr>
            </w:pPr>
            <w:r>
              <w:rPr>
                <w:sz w:val="20"/>
              </w:rPr>
              <w:t xml:space="preserve">Originally provided by Stateminder: A data visualization project from Georgetown University. </w:t>
            </w:r>
            <w:hyperlink r:id="rId785">
              <w:r>
                <w:rPr>
                  <w:sz w:val="20"/>
                </w:rPr>
                <w:t xml:space="preserve">www.stateminder.org </w:t>
              </w:r>
            </w:hyperlink>
            <w:r>
              <w:rPr>
                <w:sz w:val="20"/>
              </w:rPr>
              <w:t>(no longer accessible online)</w:t>
            </w:r>
          </w:p>
        </w:tc>
      </w:tr>
      <w:tr w:rsidR="0046798B" w14:paraId="4D1DA4AF" w14:textId="77777777">
        <w:trPr>
          <w:trHeight w:val="1240"/>
        </w:trPr>
        <w:tc>
          <w:tcPr>
            <w:tcW w:w="1711" w:type="dxa"/>
          </w:tcPr>
          <w:p w14:paraId="32492462" w14:textId="77777777" w:rsidR="0046798B" w:rsidRDefault="0046798B">
            <w:pPr>
              <w:pStyle w:val="TableParagraph"/>
              <w:rPr>
                <w:b/>
              </w:rPr>
            </w:pPr>
          </w:p>
          <w:p w14:paraId="3B05A0E3" w14:textId="77777777" w:rsidR="0046798B" w:rsidRDefault="0046798B">
            <w:pPr>
              <w:pStyle w:val="TableParagraph"/>
              <w:spacing w:before="8"/>
              <w:rPr>
                <w:b/>
                <w:sz w:val="21"/>
              </w:rPr>
            </w:pPr>
          </w:p>
          <w:p w14:paraId="61FA03C6" w14:textId="77777777" w:rsidR="0046798B" w:rsidRDefault="00903B5C">
            <w:pPr>
              <w:pStyle w:val="TableParagraph"/>
              <w:ind w:left="115"/>
              <w:rPr>
                <w:b/>
                <w:sz w:val="20"/>
              </w:rPr>
            </w:pPr>
            <w:r>
              <w:rPr>
                <w:b/>
                <w:sz w:val="20"/>
              </w:rPr>
              <w:t>edtotalexpend</w:t>
            </w:r>
          </w:p>
        </w:tc>
        <w:tc>
          <w:tcPr>
            <w:tcW w:w="1596" w:type="dxa"/>
          </w:tcPr>
          <w:p w14:paraId="4F6F9E91" w14:textId="77777777" w:rsidR="0046798B" w:rsidRDefault="0046798B">
            <w:pPr>
              <w:pStyle w:val="TableParagraph"/>
              <w:rPr>
                <w:b/>
              </w:rPr>
            </w:pPr>
          </w:p>
          <w:p w14:paraId="08230023" w14:textId="77777777" w:rsidR="0046798B" w:rsidRDefault="00903B5C">
            <w:pPr>
              <w:pStyle w:val="TableParagraph"/>
              <w:spacing w:before="135"/>
              <w:ind w:left="114" w:right="202"/>
              <w:rPr>
                <w:sz w:val="20"/>
              </w:rPr>
            </w:pPr>
            <w:r>
              <w:rPr>
                <w:sz w:val="20"/>
              </w:rPr>
              <w:t>Total education expenditures</w:t>
            </w:r>
          </w:p>
        </w:tc>
        <w:tc>
          <w:tcPr>
            <w:tcW w:w="1285" w:type="dxa"/>
          </w:tcPr>
          <w:p w14:paraId="41C901ED" w14:textId="77777777" w:rsidR="0046798B" w:rsidRDefault="0046798B">
            <w:pPr>
              <w:pStyle w:val="TableParagraph"/>
              <w:rPr>
                <w:b/>
              </w:rPr>
            </w:pPr>
          </w:p>
          <w:p w14:paraId="575BB850" w14:textId="77777777" w:rsidR="0046798B" w:rsidRDefault="0046798B">
            <w:pPr>
              <w:pStyle w:val="TableParagraph"/>
              <w:spacing w:before="8"/>
              <w:rPr>
                <w:b/>
                <w:sz w:val="21"/>
              </w:rPr>
            </w:pPr>
          </w:p>
          <w:p w14:paraId="74BABF62" w14:textId="77777777" w:rsidR="0046798B" w:rsidRDefault="00903B5C">
            <w:pPr>
              <w:pStyle w:val="TableParagraph"/>
              <w:ind w:left="114"/>
              <w:rPr>
                <w:sz w:val="20"/>
              </w:rPr>
            </w:pPr>
            <w:r>
              <w:rPr>
                <w:sz w:val="20"/>
              </w:rPr>
              <w:t>1989–2009</w:t>
            </w:r>
          </w:p>
        </w:tc>
        <w:tc>
          <w:tcPr>
            <w:tcW w:w="3421" w:type="dxa"/>
          </w:tcPr>
          <w:p w14:paraId="3B4D0924" w14:textId="77777777" w:rsidR="0046798B" w:rsidRDefault="00903B5C">
            <w:pPr>
              <w:pStyle w:val="TableParagraph"/>
              <w:spacing w:before="158"/>
              <w:ind w:left="114" w:right="88"/>
              <w:rPr>
                <w:sz w:val="20"/>
              </w:rPr>
            </w:pPr>
            <w:r>
              <w:rPr>
                <w:sz w:val="20"/>
              </w:rPr>
              <w:t>Total dollars spent on educational expenditures, including state support expenditures for private school students and interest on long-term debt</w:t>
            </w:r>
          </w:p>
        </w:tc>
        <w:tc>
          <w:tcPr>
            <w:tcW w:w="6482" w:type="dxa"/>
          </w:tcPr>
          <w:p w14:paraId="15646B58" w14:textId="77777777" w:rsidR="0046798B" w:rsidRDefault="00903B5C">
            <w:pPr>
              <w:pStyle w:val="TableParagraph"/>
              <w:spacing w:before="43"/>
              <w:ind w:left="114"/>
              <w:rPr>
                <w:sz w:val="20"/>
              </w:rPr>
            </w:pPr>
            <w:r>
              <w:rPr>
                <w:sz w:val="20"/>
              </w:rPr>
              <w:t xml:space="preserve">National Center for Education Statistics. “Total Expenditures (State-Fin.)” </w:t>
            </w:r>
            <w:hyperlink r:id="rId786">
              <w:r>
                <w:rPr>
                  <w:color w:val="0462C1"/>
                  <w:sz w:val="20"/>
                  <w:u w:val="single" w:color="0462C1"/>
                </w:rPr>
                <w:t>https://nces.ed.gov/ccd/elsi/</w:t>
              </w:r>
            </w:hyperlink>
          </w:p>
          <w:p w14:paraId="4876CA76" w14:textId="77777777" w:rsidR="0046798B" w:rsidRDefault="0046798B">
            <w:pPr>
              <w:pStyle w:val="TableParagraph"/>
              <w:rPr>
                <w:b/>
                <w:sz w:val="20"/>
              </w:rPr>
            </w:pPr>
          </w:p>
          <w:p w14:paraId="1041F340" w14:textId="77777777" w:rsidR="0046798B" w:rsidRDefault="00903B5C">
            <w:pPr>
              <w:pStyle w:val="TableParagraph"/>
              <w:ind w:left="114" w:right="267"/>
              <w:rPr>
                <w:sz w:val="20"/>
              </w:rPr>
            </w:pPr>
            <w:r>
              <w:rPr>
                <w:sz w:val="20"/>
              </w:rPr>
              <w:t xml:space="preserve">Originally provided by Stateminder: A data visualization project from Georgetown University. </w:t>
            </w:r>
            <w:hyperlink r:id="rId787">
              <w:r>
                <w:rPr>
                  <w:sz w:val="20"/>
                </w:rPr>
                <w:t xml:space="preserve">www.stateminder.org </w:t>
              </w:r>
            </w:hyperlink>
            <w:r>
              <w:rPr>
                <w:sz w:val="20"/>
              </w:rPr>
              <w:t>(no longer accessible online)</w:t>
            </w:r>
          </w:p>
        </w:tc>
      </w:tr>
      <w:tr w:rsidR="0046798B" w14:paraId="24117541" w14:textId="77777777">
        <w:trPr>
          <w:trHeight w:val="775"/>
        </w:trPr>
        <w:tc>
          <w:tcPr>
            <w:tcW w:w="1711" w:type="dxa"/>
          </w:tcPr>
          <w:p w14:paraId="05439D87" w14:textId="77777777" w:rsidR="0046798B" w:rsidRDefault="0046798B">
            <w:pPr>
              <w:pStyle w:val="TableParagraph"/>
              <w:spacing w:before="3"/>
              <w:rPr>
                <w:b/>
                <w:sz w:val="23"/>
              </w:rPr>
            </w:pPr>
          </w:p>
          <w:p w14:paraId="0DFEF041" w14:textId="77777777" w:rsidR="0046798B" w:rsidRDefault="00903B5C">
            <w:pPr>
              <w:pStyle w:val="TableParagraph"/>
              <w:spacing w:before="1"/>
              <w:ind w:left="115"/>
              <w:rPr>
                <w:b/>
                <w:sz w:val="20"/>
              </w:rPr>
            </w:pPr>
            <w:r>
              <w:rPr>
                <w:b/>
                <w:sz w:val="20"/>
              </w:rPr>
              <w:t>enrollstudents</w:t>
            </w:r>
          </w:p>
        </w:tc>
        <w:tc>
          <w:tcPr>
            <w:tcW w:w="1596" w:type="dxa"/>
          </w:tcPr>
          <w:p w14:paraId="0853A789" w14:textId="77777777" w:rsidR="0046798B" w:rsidRDefault="00903B5C">
            <w:pPr>
              <w:pStyle w:val="TableParagraph"/>
              <w:spacing w:before="153"/>
              <w:ind w:left="114" w:right="324"/>
              <w:rPr>
                <w:sz w:val="20"/>
              </w:rPr>
            </w:pPr>
            <w:r>
              <w:rPr>
                <w:sz w:val="20"/>
              </w:rPr>
              <w:t>Total enrolled students</w:t>
            </w:r>
          </w:p>
        </w:tc>
        <w:tc>
          <w:tcPr>
            <w:tcW w:w="1285" w:type="dxa"/>
          </w:tcPr>
          <w:p w14:paraId="0C4EF5E9" w14:textId="77777777" w:rsidR="0046798B" w:rsidRDefault="0046798B">
            <w:pPr>
              <w:pStyle w:val="TableParagraph"/>
              <w:spacing w:before="3"/>
              <w:rPr>
                <w:b/>
                <w:sz w:val="23"/>
              </w:rPr>
            </w:pPr>
          </w:p>
          <w:p w14:paraId="4C3C9587" w14:textId="77777777" w:rsidR="0046798B" w:rsidRDefault="00903B5C">
            <w:pPr>
              <w:pStyle w:val="TableParagraph"/>
              <w:spacing w:before="1"/>
              <w:ind w:left="114"/>
              <w:rPr>
                <w:sz w:val="20"/>
              </w:rPr>
            </w:pPr>
            <w:r>
              <w:rPr>
                <w:sz w:val="20"/>
              </w:rPr>
              <w:t>1987–2010</w:t>
            </w:r>
          </w:p>
        </w:tc>
        <w:tc>
          <w:tcPr>
            <w:tcW w:w="3421" w:type="dxa"/>
          </w:tcPr>
          <w:p w14:paraId="4B414A7D" w14:textId="77777777" w:rsidR="0046798B" w:rsidRDefault="00903B5C">
            <w:pPr>
              <w:pStyle w:val="TableParagraph"/>
              <w:spacing w:before="153"/>
              <w:ind w:left="114" w:right="216"/>
              <w:rPr>
                <w:sz w:val="20"/>
              </w:rPr>
            </w:pPr>
            <w:r>
              <w:rPr>
                <w:sz w:val="20"/>
              </w:rPr>
              <w:t>The total number of students in a state who are enrolled in public school</w:t>
            </w:r>
          </w:p>
        </w:tc>
        <w:tc>
          <w:tcPr>
            <w:tcW w:w="6482" w:type="dxa"/>
          </w:tcPr>
          <w:p w14:paraId="22D36D36" w14:textId="77777777" w:rsidR="0046798B" w:rsidRDefault="00903B5C">
            <w:pPr>
              <w:pStyle w:val="TableParagraph"/>
              <w:spacing w:before="38"/>
              <w:ind w:left="114"/>
              <w:rPr>
                <w:sz w:val="20"/>
              </w:rPr>
            </w:pPr>
            <w:r>
              <w:rPr>
                <w:sz w:val="20"/>
              </w:rPr>
              <w:t xml:space="preserve">National Center for Education Statistics. “Total Students (State).” </w:t>
            </w:r>
            <w:hyperlink r:id="rId788">
              <w:r>
                <w:rPr>
                  <w:color w:val="0462C1"/>
                  <w:sz w:val="20"/>
                  <w:u w:val="single" w:color="0462C1"/>
                </w:rPr>
                <w:t>https://nces.ed.gov/ccd/elsi/</w:t>
              </w:r>
            </w:hyperlink>
          </w:p>
        </w:tc>
      </w:tr>
    </w:tbl>
    <w:p w14:paraId="4CCC00C6" w14:textId="77777777" w:rsidR="0046798B" w:rsidRDefault="0046798B">
      <w:pPr>
        <w:rPr>
          <w:sz w:val="20"/>
        </w:rPr>
        <w:sectPr w:rsidR="0046798B">
          <w:pgSz w:w="15840" w:h="12240" w:orient="landscape"/>
          <w:pgMar w:top="1220" w:right="300" w:bottom="980" w:left="820" w:header="730" w:footer="787" w:gutter="0"/>
          <w:cols w:space="720"/>
        </w:sectPr>
      </w:pPr>
    </w:p>
    <w:p w14:paraId="494694AE"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8E08738" w14:textId="77777777">
        <w:trPr>
          <w:trHeight w:val="542"/>
        </w:trPr>
        <w:tc>
          <w:tcPr>
            <w:tcW w:w="1711" w:type="dxa"/>
            <w:tcBorders>
              <w:bottom w:val="dotted" w:sz="6" w:space="0" w:color="BEBEBE"/>
            </w:tcBorders>
          </w:tcPr>
          <w:p w14:paraId="33C2AE81" w14:textId="77777777" w:rsidR="0046798B" w:rsidRDefault="0046798B">
            <w:pPr>
              <w:pStyle w:val="TableParagraph"/>
              <w:rPr>
                <w:sz w:val="20"/>
              </w:rPr>
            </w:pPr>
          </w:p>
        </w:tc>
        <w:tc>
          <w:tcPr>
            <w:tcW w:w="1596" w:type="dxa"/>
            <w:tcBorders>
              <w:bottom w:val="dotted" w:sz="6" w:space="0" w:color="BEBEBE"/>
            </w:tcBorders>
          </w:tcPr>
          <w:p w14:paraId="4EAD55CA" w14:textId="77777777" w:rsidR="0046798B" w:rsidRDefault="0046798B">
            <w:pPr>
              <w:pStyle w:val="TableParagraph"/>
              <w:rPr>
                <w:sz w:val="20"/>
              </w:rPr>
            </w:pPr>
          </w:p>
        </w:tc>
        <w:tc>
          <w:tcPr>
            <w:tcW w:w="1285" w:type="dxa"/>
            <w:tcBorders>
              <w:bottom w:val="dotted" w:sz="6" w:space="0" w:color="BEBEBE"/>
            </w:tcBorders>
          </w:tcPr>
          <w:p w14:paraId="6AC118CC" w14:textId="77777777" w:rsidR="0046798B" w:rsidRDefault="0046798B">
            <w:pPr>
              <w:pStyle w:val="TableParagraph"/>
              <w:rPr>
                <w:sz w:val="20"/>
              </w:rPr>
            </w:pPr>
          </w:p>
        </w:tc>
        <w:tc>
          <w:tcPr>
            <w:tcW w:w="3421" w:type="dxa"/>
            <w:tcBorders>
              <w:bottom w:val="dotted" w:sz="6" w:space="0" w:color="BEBEBE"/>
            </w:tcBorders>
          </w:tcPr>
          <w:p w14:paraId="0CE131F7" w14:textId="77777777" w:rsidR="0046798B" w:rsidRDefault="0046798B">
            <w:pPr>
              <w:pStyle w:val="TableParagraph"/>
              <w:rPr>
                <w:sz w:val="20"/>
              </w:rPr>
            </w:pPr>
          </w:p>
        </w:tc>
        <w:tc>
          <w:tcPr>
            <w:tcW w:w="6482" w:type="dxa"/>
            <w:tcBorders>
              <w:bottom w:val="dotted" w:sz="6" w:space="0" w:color="BEBEBE"/>
            </w:tcBorders>
          </w:tcPr>
          <w:p w14:paraId="36467AC4" w14:textId="77777777" w:rsidR="0046798B" w:rsidRDefault="00903B5C">
            <w:pPr>
              <w:pStyle w:val="TableParagraph"/>
              <w:spacing w:before="43"/>
              <w:ind w:left="114" w:right="267"/>
              <w:rPr>
                <w:sz w:val="20"/>
              </w:rPr>
            </w:pPr>
            <w:r>
              <w:rPr>
                <w:sz w:val="20"/>
              </w:rPr>
              <w:t xml:space="preserve">Originally provided by Stateminder: A data visualization project from Georgetown University. </w:t>
            </w:r>
            <w:hyperlink r:id="rId789">
              <w:r>
                <w:rPr>
                  <w:sz w:val="20"/>
                </w:rPr>
                <w:t xml:space="preserve">www.stateminder.org </w:t>
              </w:r>
            </w:hyperlink>
            <w:r>
              <w:rPr>
                <w:sz w:val="20"/>
              </w:rPr>
              <w:t>(no longer accessible online)</w:t>
            </w:r>
          </w:p>
        </w:tc>
      </w:tr>
      <w:tr w:rsidR="0046798B" w14:paraId="465A989A" w14:textId="77777777">
        <w:trPr>
          <w:trHeight w:val="2153"/>
        </w:trPr>
        <w:tc>
          <w:tcPr>
            <w:tcW w:w="1711" w:type="dxa"/>
            <w:tcBorders>
              <w:top w:val="dotted" w:sz="6" w:space="0" w:color="BEBEBE"/>
            </w:tcBorders>
          </w:tcPr>
          <w:p w14:paraId="68B05D43" w14:textId="77777777" w:rsidR="0046798B" w:rsidRDefault="0046798B">
            <w:pPr>
              <w:pStyle w:val="TableParagraph"/>
            </w:pPr>
          </w:p>
          <w:p w14:paraId="50F6BF16" w14:textId="77777777" w:rsidR="0046798B" w:rsidRDefault="0046798B">
            <w:pPr>
              <w:pStyle w:val="TableParagraph"/>
            </w:pPr>
          </w:p>
          <w:p w14:paraId="250D907A" w14:textId="77777777" w:rsidR="0046798B" w:rsidRDefault="0046798B">
            <w:pPr>
              <w:pStyle w:val="TableParagraph"/>
              <w:spacing w:before="6"/>
              <w:rPr>
                <w:sz w:val="29"/>
              </w:rPr>
            </w:pPr>
          </w:p>
          <w:p w14:paraId="146C57DD" w14:textId="77777777" w:rsidR="0046798B" w:rsidRDefault="00903B5C">
            <w:pPr>
              <w:pStyle w:val="TableParagraph"/>
              <w:ind w:left="115"/>
              <w:rPr>
                <w:b/>
                <w:sz w:val="20"/>
              </w:rPr>
            </w:pPr>
            <w:r>
              <w:rPr>
                <w:b/>
                <w:sz w:val="20"/>
              </w:rPr>
              <w:t>edinstruct_pct_e xpend</w:t>
            </w:r>
          </w:p>
        </w:tc>
        <w:tc>
          <w:tcPr>
            <w:tcW w:w="1596" w:type="dxa"/>
            <w:tcBorders>
              <w:top w:val="dotted" w:sz="6" w:space="0" w:color="BEBEBE"/>
            </w:tcBorders>
          </w:tcPr>
          <w:p w14:paraId="1B736DF6" w14:textId="77777777" w:rsidR="0046798B" w:rsidRDefault="0046798B">
            <w:pPr>
              <w:pStyle w:val="TableParagraph"/>
            </w:pPr>
          </w:p>
          <w:p w14:paraId="364E4472" w14:textId="77777777" w:rsidR="0046798B" w:rsidRDefault="0046798B">
            <w:pPr>
              <w:pStyle w:val="TableParagraph"/>
              <w:spacing w:before="6"/>
              <w:rPr>
                <w:sz w:val="31"/>
              </w:rPr>
            </w:pPr>
          </w:p>
          <w:p w14:paraId="73A4873A" w14:textId="77777777" w:rsidR="0046798B" w:rsidRDefault="00903B5C">
            <w:pPr>
              <w:pStyle w:val="TableParagraph"/>
              <w:ind w:left="114" w:right="368"/>
              <w:rPr>
                <w:sz w:val="20"/>
              </w:rPr>
            </w:pPr>
            <w:r>
              <w:rPr>
                <w:sz w:val="20"/>
              </w:rPr>
              <w:t>Instruction as percentage of educational expenditures</w:t>
            </w:r>
          </w:p>
        </w:tc>
        <w:tc>
          <w:tcPr>
            <w:tcW w:w="1285" w:type="dxa"/>
            <w:tcBorders>
              <w:top w:val="dotted" w:sz="6" w:space="0" w:color="BEBEBE"/>
            </w:tcBorders>
          </w:tcPr>
          <w:p w14:paraId="09E4B6A8" w14:textId="77777777" w:rsidR="0046798B" w:rsidRDefault="0046798B">
            <w:pPr>
              <w:pStyle w:val="TableParagraph"/>
            </w:pPr>
          </w:p>
          <w:p w14:paraId="264004CE" w14:textId="77777777" w:rsidR="0046798B" w:rsidRDefault="0046798B">
            <w:pPr>
              <w:pStyle w:val="TableParagraph"/>
            </w:pPr>
          </w:p>
          <w:p w14:paraId="0105080A" w14:textId="77777777" w:rsidR="0046798B" w:rsidRDefault="0046798B">
            <w:pPr>
              <w:pStyle w:val="TableParagraph"/>
            </w:pPr>
          </w:p>
          <w:p w14:paraId="391219C3" w14:textId="77777777" w:rsidR="0046798B" w:rsidRDefault="0046798B">
            <w:pPr>
              <w:pStyle w:val="TableParagraph"/>
              <w:spacing w:before="6"/>
              <w:rPr>
                <w:sz w:val="17"/>
              </w:rPr>
            </w:pPr>
          </w:p>
          <w:p w14:paraId="0673152D" w14:textId="77777777" w:rsidR="0046798B" w:rsidRDefault="00903B5C">
            <w:pPr>
              <w:pStyle w:val="TableParagraph"/>
              <w:spacing w:before="1"/>
              <w:ind w:left="114"/>
              <w:rPr>
                <w:sz w:val="20"/>
              </w:rPr>
            </w:pPr>
            <w:r>
              <w:rPr>
                <w:sz w:val="20"/>
              </w:rPr>
              <w:t>1987–2009</w:t>
            </w:r>
          </w:p>
        </w:tc>
        <w:tc>
          <w:tcPr>
            <w:tcW w:w="3421" w:type="dxa"/>
            <w:tcBorders>
              <w:top w:val="dotted" w:sz="6" w:space="0" w:color="BEBEBE"/>
            </w:tcBorders>
          </w:tcPr>
          <w:p w14:paraId="08001B4B" w14:textId="77777777" w:rsidR="0046798B" w:rsidRDefault="00903B5C">
            <w:pPr>
              <w:pStyle w:val="TableParagraph"/>
              <w:spacing w:before="40"/>
              <w:ind w:left="114" w:right="107"/>
              <w:rPr>
                <w:sz w:val="20"/>
              </w:rPr>
            </w:pPr>
            <w:r>
              <w:rPr>
                <w:sz w:val="20"/>
              </w:rPr>
              <w:t xml:space="preserve">The percentage of current educational expenditures that is spent on instruction. Instruction expenditures </w:t>
            </w:r>
            <w:r>
              <w:rPr>
                <w:spacing w:val="-6"/>
                <w:sz w:val="20"/>
              </w:rPr>
              <w:t xml:space="preserve">are </w:t>
            </w:r>
            <w:r>
              <w:rPr>
                <w:sz w:val="20"/>
              </w:rPr>
              <w:t xml:space="preserve">for services and materials directly related to classroom instruction and the interaction between teachers and students. Year recorded </w:t>
            </w:r>
            <w:r>
              <w:rPr>
                <w:spacing w:val="-3"/>
                <w:sz w:val="20"/>
              </w:rPr>
              <w:t xml:space="preserve">is </w:t>
            </w:r>
            <w:r>
              <w:rPr>
                <w:sz w:val="20"/>
              </w:rPr>
              <w:t xml:space="preserve">the start of the school year, so 1987 </w:t>
            </w:r>
            <w:r>
              <w:rPr>
                <w:spacing w:val="-3"/>
                <w:sz w:val="20"/>
              </w:rPr>
              <w:t xml:space="preserve">is </w:t>
            </w:r>
            <w:r>
              <w:rPr>
                <w:sz w:val="20"/>
              </w:rPr>
              <w:t>for the school year</w:t>
            </w:r>
            <w:r>
              <w:rPr>
                <w:spacing w:val="-3"/>
                <w:sz w:val="20"/>
              </w:rPr>
              <w:t xml:space="preserve"> </w:t>
            </w:r>
            <w:r>
              <w:rPr>
                <w:sz w:val="20"/>
              </w:rPr>
              <w:t>1987–1988.</w:t>
            </w:r>
          </w:p>
        </w:tc>
        <w:tc>
          <w:tcPr>
            <w:tcW w:w="6482" w:type="dxa"/>
            <w:tcBorders>
              <w:top w:val="dotted" w:sz="6" w:space="0" w:color="BEBEBE"/>
            </w:tcBorders>
          </w:tcPr>
          <w:p w14:paraId="0723CBB7" w14:textId="77777777" w:rsidR="0046798B" w:rsidRDefault="0046798B">
            <w:pPr>
              <w:pStyle w:val="TableParagraph"/>
            </w:pPr>
          </w:p>
          <w:p w14:paraId="034AD931" w14:textId="77777777" w:rsidR="0046798B" w:rsidRDefault="0046798B">
            <w:pPr>
              <w:pStyle w:val="TableParagraph"/>
              <w:spacing w:before="6"/>
              <w:rPr>
                <w:sz w:val="21"/>
              </w:rPr>
            </w:pPr>
          </w:p>
          <w:p w14:paraId="697AD8A2" w14:textId="77777777" w:rsidR="0046798B" w:rsidRDefault="00903B5C">
            <w:pPr>
              <w:pStyle w:val="TableParagraph"/>
              <w:ind w:left="114" w:right="734"/>
              <w:rPr>
                <w:sz w:val="20"/>
              </w:rPr>
            </w:pPr>
            <w:r>
              <w:rPr>
                <w:sz w:val="20"/>
              </w:rPr>
              <w:t xml:space="preserve">National Center for Education Statistics. “Instruction as Percentage of Current Expenditures (State-Fin.).” </w:t>
            </w:r>
            <w:hyperlink r:id="rId790">
              <w:r>
                <w:rPr>
                  <w:color w:val="0462C1"/>
                  <w:sz w:val="20"/>
                  <w:u w:val="single" w:color="0462C1"/>
                </w:rPr>
                <w:t>https://nces.ed.gov/ccd/elsi/</w:t>
              </w:r>
            </w:hyperlink>
          </w:p>
          <w:p w14:paraId="28D5A2A9" w14:textId="77777777" w:rsidR="0046798B" w:rsidRDefault="0046798B">
            <w:pPr>
              <w:pStyle w:val="TableParagraph"/>
              <w:rPr>
                <w:sz w:val="20"/>
              </w:rPr>
            </w:pPr>
          </w:p>
          <w:p w14:paraId="26CDF5C7" w14:textId="77777777" w:rsidR="0046798B" w:rsidRDefault="00903B5C">
            <w:pPr>
              <w:pStyle w:val="TableParagraph"/>
              <w:spacing w:before="1"/>
              <w:ind w:left="114" w:right="267"/>
              <w:rPr>
                <w:sz w:val="20"/>
              </w:rPr>
            </w:pPr>
            <w:r>
              <w:rPr>
                <w:sz w:val="20"/>
              </w:rPr>
              <w:t xml:space="preserve">Originally provided by Stateminder: A data visualization project from Georgetown University. </w:t>
            </w:r>
            <w:hyperlink r:id="rId791">
              <w:r>
                <w:rPr>
                  <w:sz w:val="20"/>
                </w:rPr>
                <w:t xml:space="preserve">www.stateminder.org </w:t>
              </w:r>
            </w:hyperlink>
            <w:r>
              <w:rPr>
                <w:sz w:val="20"/>
              </w:rPr>
              <w:t>(no longer accessible online)</w:t>
            </w:r>
          </w:p>
        </w:tc>
      </w:tr>
      <w:tr w:rsidR="0046798B" w14:paraId="2179B49B" w14:textId="77777777">
        <w:trPr>
          <w:trHeight w:val="2160"/>
        </w:trPr>
        <w:tc>
          <w:tcPr>
            <w:tcW w:w="1711" w:type="dxa"/>
          </w:tcPr>
          <w:p w14:paraId="1C9D2676" w14:textId="77777777" w:rsidR="0046798B" w:rsidRDefault="0046798B">
            <w:pPr>
              <w:pStyle w:val="TableParagraph"/>
            </w:pPr>
          </w:p>
          <w:p w14:paraId="53D94087" w14:textId="77777777" w:rsidR="0046798B" w:rsidRDefault="0046798B">
            <w:pPr>
              <w:pStyle w:val="TableParagraph"/>
            </w:pPr>
          </w:p>
          <w:p w14:paraId="508D55B5" w14:textId="77777777" w:rsidR="0046798B" w:rsidRDefault="0046798B">
            <w:pPr>
              <w:pStyle w:val="TableParagraph"/>
              <w:spacing w:before="9"/>
              <w:rPr>
                <w:sz w:val="29"/>
              </w:rPr>
            </w:pPr>
          </w:p>
          <w:p w14:paraId="591DD25A" w14:textId="77777777" w:rsidR="0046798B" w:rsidRDefault="00903B5C">
            <w:pPr>
              <w:pStyle w:val="TableParagraph"/>
              <w:ind w:left="115" w:right="99"/>
              <w:rPr>
                <w:b/>
                <w:sz w:val="20"/>
              </w:rPr>
            </w:pPr>
            <w:r>
              <w:rPr>
                <w:b/>
                <w:sz w:val="20"/>
              </w:rPr>
              <w:t>edinstruct_expen d_pstud</w:t>
            </w:r>
          </w:p>
        </w:tc>
        <w:tc>
          <w:tcPr>
            <w:tcW w:w="1596" w:type="dxa"/>
          </w:tcPr>
          <w:p w14:paraId="681B991D" w14:textId="77777777" w:rsidR="0046798B" w:rsidRDefault="0046798B">
            <w:pPr>
              <w:pStyle w:val="TableParagraph"/>
            </w:pPr>
          </w:p>
          <w:p w14:paraId="05CDE640" w14:textId="77777777" w:rsidR="0046798B" w:rsidRDefault="0046798B">
            <w:pPr>
              <w:pStyle w:val="TableParagraph"/>
              <w:spacing w:before="9"/>
              <w:rPr>
                <w:sz w:val="31"/>
              </w:rPr>
            </w:pPr>
          </w:p>
          <w:p w14:paraId="4706CA44" w14:textId="77777777" w:rsidR="0046798B" w:rsidRDefault="00903B5C">
            <w:pPr>
              <w:pStyle w:val="TableParagraph"/>
              <w:ind w:left="114" w:right="202"/>
              <w:rPr>
                <w:sz w:val="20"/>
              </w:rPr>
            </w:pPr>
            <w:r>
              <w:rPr>
                <w:sz w:val="20"/>
              </w:rPr>
              <w:t>Educational instruction expenditure per student</w:t>
            </w:r>
          </w:p>
        </w:tc>
        <w:tc>
          <w:tcPr>
            <w:tcW w:w="1285" w:type="dxa"/>
          </w:tcPr>
          <w:p w14:paraId="6A8A6233" w14:textId="77777777" w:rsidR="0046798B" w:rsidRDefault="0046798B">
            <w:pPr>
              <w:pStyle w:val="TableParagraph"/>
            </w:pPr>
          </w:p>
          <w:p w14:paraId="59E63403" w14:textId="77777777" w:rsidR="0046798B" w:rsidRDefault="0046798B">
            <w:pPr>
              <w:pStyle w:val="TableParagraph"/>
            </w:pPr>
          </w:p>
          <w:p w14:paraId="6F665019" w14:textId="77777777" w:rsidR="0046798B" w:rsidRDefault="0046798B">
            <w:pPr>
              <w:pStyle w:val="TableParagraph"/>
            </w:pPr>
          </w:p>
          <w:p w14:paraId="431BB655" w14:textId="77777777" w:rsidR="0046798B" w:rsidRDefault="0046798B">
            <w:pPr>
              <w:pStyle w:val="TableParagraph"/>
              <w:spacing w:before="9"/>
              <w:rPr>
                <w:sz w:val="17"/>
              </w:rPr>
            </w:pPr>
          </w:p>
          <w:p w14:paraId="192EC069" w14:textId="77777777" w:rsidR="0046798B" w:rsidRDefault="00903B5C">
            <w:pPr>
              <w:pStyle w:val="TableParagraph"/>
              <w:ind w:left="114"/>
              <w:rPr>
                <w:sz w:val="20"/>
              </w:rPr>
            </w:pPr>
            <w:r>
              <w:rPr>
                <w:sz w:val="20"/>
              </w:rPr>
              <w:t>1986–2008</w:t>
            </w:r>
          </w:p>
        </w:tc>
        <w:tc>
          <w:tcPr>
            <w:tcW w:w="3421" w:type="dxa"/>
          </w:tcPr>
          <w:p w14:paraId="31983458" w14:textId="77777777" w:rsidR="0046798B" w:rsidRDefault="00903B5C">
            <w:pPr>
              <w:pStyle w:val="TableParagraph"/>
              <w:spacing w:before="43"/>
              <w:ind w:left="114" w:right="127"/>
              <w:rPr>
                <w:sz w:val="20"/>
              </w:rPr>
            </w:pPr>
            <w:r>
              <w:rPr>
                <w:sz w:val="20"/>
              </w:rPr>
              <w:t>Dollars spent on instruction per student enrolled (as of fall semester).</w:t>
            </w:r>
          </w:p>
          <w:p w14:paraId="371CD049" w14:textId="77777777" w:rsidR="0046798B" w:rsidRDefault="00903B5C">
            <w:pPr>
              <w:pStyle w:val="TableParagraph"/>
              <w:ind w:left="114" w:right="256"/>
              <w:rPr>
                <w:sz w:val="20"/>
              </w:rPr>
            </w:pPr>
            <w:r>
              <w:rPr>
                <w:sz w:val="20"/>
              </w:rPr>
              <w:t>Instruction expenditures are for services and materials directly related to classroom instruction and the interaction between teachers and students. Year recorded is the start of the school year, so 1986 is for the school year 1986–1987.</w:t>
            </w:r>
          </w:p>
        </w:tc>
        <w:tc>
          <w:tcPr>
            <w:tcW w:w="6482" w:type="dxa"/>
          </w:tcPr>
          <w:p w14:paraId="676F62D3" w14:textId="77777777" w:rsidR="0046798B" w:rsidRDefault="0046798B">
            <w:pPr>
              <w:pStyle w:val="TableParagraph"/>
            </w:pPr>
          </w:p>
          <w:p w14:paraId="372F1E7B" w14:textId="77777777" w:rsidR="0046798B" w:rsidRDefault="0046798B">
            <w:pPr>
              <w:pStyle w:val="TableParagraph"/>
              <w:spacing w:before="9"/>
              <w:rPr>
                <w:sz w:val="21"/>
              </w:rPr>
            </w:pPr>
          </w:p>
          <w:p w14:paraId="25B128C1" w14:textId="77777777" w:rsidR="0046798B" w:rsidRDefault="00903B5C">
            <w:pPr>
              <w:pStyle w:val="TableParagraph"/>
              <w:ind w:left="114" w:right="672"/>
              <w:rPr>
                <w:sz w:val="20"/>
              </w:rPr>
            </w:pPr>
            <w:r>
              <w:rPr>
                <w:sz w:val="20"/>
              </w:rPr>
              <w:t xml:space="preserve">National Center for Education Statistics. “Instruction Expenditures Per Student (State-Fin.).” </w:t>
            </w:r>
            <w:hyperlink r:id="rId792">
              <w:r>
                <w:rPr>
                  <w:color w:val="0462C1"/>
                  <w:sz w:val="20"/>
                  <w:u w:val="single" w:color="0462C1"/>
                </w:rPr>
                <w:t>https://nces.ed.gov/ccd/elsi/</w:t>
              </w:r>
            </w:hyperlink>
          </w:p>
          <w:p w14:paraId="18754650" w14:textId="77777777" w:rsidR="0046798B" w:rsidRDefault="0046798B">
            <w:pPr>
              <w:pStyle w:val="TableParagraph"/>
              <w:rPr>
                <w:sz w:val="20"/>
              </w:rPr>
            </w:pPr>
          </w:p>
          <w:p w14:paraId="66172880" w14:textId="77777777" w:rsidR="0046798B" w:rsidRDefault="00903B5C">
            <w:pPr>
              <w:pStyle w:val="TableParagraph"/>
              <w:ind w:left="114" w:right="267"/>
              <w:rPr>
                <w:sz w:val="20"/>
              </w:rPr>
            </w:pPr>
            <w:r>
              <w:rPr>
                <w:sz w:val="20"/>
              </w:rPr>
              <w:t xml:space="preserve">Originally provided by Stateminder: A data visualization project from Georgetown University. </w:t>
            </w:r>
            <w:hyperlink r:id="rId793">
              <w:r>
                <w:rPr>
                  <w:sz w:val="20"/>
                </w:rPr>
                <w:t xml:space="preserve">www.stateminder.org </w:t>
              </w:r>
            </w:hyperlink>
            <w:r>
              <w:rPr>
                <w:sz w:val="20"/>
              </w:rPr>
              <w:t>(no longer accessible online)</w:t>
            </w:r>
          </w:p>
        </w:tc>
      </w:tr>
      <w:tr w:rsidR="0046798B" w14:paraId="615B8082" w14:textId="77777777">
        <w:trPr>
          <w:trHeight w:val="1696"/>
        </w:trPr>
        <w:tc>
          <w:tcPr>
            <w:tcW w:w="1711" w:type="dxa"/>
          </w:tcPr>
          <w:p w14:paraId="55126CAF" w14:textId="77777777" w:rsidR="0046798B" w:rsidRDefault="0046798B">
            <w:pPr>
              <w:pStyle w:val="TableParagraph"/>
            </w:pPr>
          </w:p>
          <w:p w14:paraId="3EE04F44" w14:textId="77777777" w:rsidR="0046798B" w:rsidRDefault="0046798B">
            <w:pPr>
              <w:pStyle w:val="TableParagraph"/>
            </w:pPr>
          </w:p>
          <w:p w14:paraId="3E4DA770" w14:textId="77777777" w:rsidR="0046798B" w:rsidRDefault="0046798B">
            <w:pPr>
              <w:pStyle w:val="TableParagraph"/>
              <w:spacing w:before="4"/>
              <w:rPr>
                <w:sz w:val="19"/>
              </w:rPr>
            </w:pPr>
          </w:p>
          <w:p w14:paraId="441D5552" w14:textId="77777777" w:rsidR="0046798B" w:rsidRDefault="00903B5C">
            <w:pPr>
              <w:pStyle w:val="TableParagraph"/>
              <w:ind w:left="115"/>
              <w:rPr>
                <w:b/>
                <w:sz w:val="20"/>
              </w:rPr>
            </w:pPr>
            <w:r>
              <w:rPr>
                <w:b/>
                <w:sz w:val="20"/>
              </w:rPr>
              <w:t>edattendrate</w:t>
            </w:r>
          </w:p>
        </w:tc>
        <w:tc>
          <w:tcPr>
            <w:tcW w:w="1596" w:type="dxa"/>
          </w:tcPr>
          <w:p w14:paraId="345EF844" w14:textId="77777777" w:rsidR="0046798B" w:rsidRDefault="0046798B">
            <w:pPr>
              <w:pStyle w:val="TableParagraph"/>
            </w:pPr>
          </w:p>
          <w:p w14:paraId="3A671B80" w14:textId="77777777" w:rsidR="0046798B" w:rsidRDefault="0046798B">
            <w:pPr>
              <w:pStyle w:val="TableParagraph"/>
              <w:spacing w:before="4"/>
              <w:rPr>
                <w:sz w:val="31"/>
              </w:rPr>
            </w:pPr>
          </w:p>
          <w:p w14:paraId="2096CC54" w14:textId="77777777" w:rsidR="0046798B" w:rsidRDefault="00903B5C">
            <w:pPr>
              <w:pStyle w:val="TableParagraph"/>
              <w:ind w:left="114" w:right="202"/>
              <w:rPr>
                <w:sz w:val="20"/>
              </w:rPr>
            </w:pPr>
            <w:r>
              <w:rPr>
                <w:sz w:val="20"/>
              </w:rPr>
              <w:t>Average school attendance rate</w:t>
            </w:r>
          </w:p>
        </w:tc>
        <w:tc>
          <w:tcPr>
            <w:tcW w:w="1285" w:type="dxa"/>
          </w:tcPr>
          <w:p w14:paraId="5429694A" w14:textId="77777777" w:rsidR="0046798B" w:rsidRDefault="0046798B">
            <w:pPr>
              <w:pStyle w:val="TableParagraph"/>
            </w:pPr>
          </w:p>
          <w:p w14:paraId="53B90D41" w14:textId="77777777" w:rsidR="0046798B" w:rsidRDefault="0046798B">
            <w:pPr>
              <w:pStyle w:val="TableParagraph"/>
            </w:pPr>
          </w:p>
          <w:p w14:paraId="7D3E5A7D" w14:textId="77777777" w:rsidR="0046798B" w:rsidRDefault="0046798B">
            <w:pPr>
              <w:pStyle w:val="TableParagraph"/>
              <w:spacing w:before="4"/>
              <w:rPr>
                <w:sz w:val="19"/>
              </w:rPr>
            </w:pPr>
          </w:p>
          <w:p w14:paraId="5C22727B" w14:textId="77777777" w:rsidR="0046798B" w:rsidRDefault="00903B5C">
            <w:pPr>
              <w:pStyle w:val="TableParagraph"/>
              <w:ind w:left="114"/>
              <w:rPr>
                <w:sz w:val="20"/>
              </w:rPr>
            </w:pPr>
            <w:r>
              <w:rPr>
                <w:sz w:val="20"/>
              </w:rPr>
              <w:t>1986–2009</w:t>
            </w:r>
          </w:p>
        </w:tc>
        <w:tc>
          <w:tcPr>
            <w:tcW w:w="3421" w:type="dxa"/>
          </w:tcPr>
          <w:p w14:paraId="308EC94D" w14:textId="77777777" w:rsidR="0046798B" w:rsidRDefault="00903B5C">
            <w:pPr>
              <w:pStyle w:val="TableParagraph"/>
              <w:spacing w:before="38"/>
              <w:ind w:left="114" w:right="128"/>
              <w:rPr>
                <w:sz w:val="20"/>
              </w:rPr>
            </w:pPr>
            <w:r>
              <w:rPr>
                <w:sz w:val="20"/>
              </w:rPr>
              <w:t>Average daily attendance as defined by state law or as defined by NCES divided by the total number of students in a state who are enrolled in public school. Year recorded is the start of the school year, so 1986 is for the school year 1986–1987.</w:t>
            </w:r>
          </w:p>
        </w:tc>
        <w:tc>
          <w:tcPr>
            <w:tcW w:w="6482" w:type="dxa"/>
          </w:tcPr>
          <w:p w14:paraId="70CD6909" w14:textId="77777777" w:rsidR="0046798B" w:rsidRDefault="0046798B">
            <w:pPr>
              <w:pStyle w:val="TableParagraph"/>
              <w:spacing w:before="4"/>
              <w:rPr>
                <w:sz w:val="23"/>
              </w:rPr>
            </w:pPr>
          </w:p>
          <w:p w14:paraId="134364D9" w14:textId="77777777" w:rsidR="0046798B" w:rsidRDefault="00903B5C">
            <w:pPr>
              <w:pStyle w:val="TableParagraph"/>
              <w:ind w:left="114" w:right="245"/>
              <w:rPr>
                <w:sz w:val="20"/>
              </w:rPr>
            </w:pPr>
            <w:r>
              <w:rPr>
                <w:sz w:val="20"/>
              </w:rPr>
              <w:t xml:space="preserve">National Center for Education Statistics. “Average Daily Attendance (State- Fin.); Total Students (State).” </w:t>
            </w:r>
            <w:hyperlink r:id="rId794">
              <w:r>
                <w:rPr>
                  <w:color w:val="0462C1"/>
                  <w:sz w:val="20"/>
                  <w:u w:val="single" w:color="0462C1"/>
                </w:rPr>
                <w:t>https://nces.ed.gov/ccd/elsi/</w:t>
              </w:r>
            </w:hyperlink>
          </w:p>
          <w:p w14:paraId="1B80A5F0" w14:textId="77777777" w:rsidR="0046798B" w:rsidRDefault="0046798B">
            <w:pPr>
              <w:pStyle w:val="TableParagraph"/>
              <w:rPr>
                <w:sz w:val="20"/>
              </w:rPr>
            </w:pPr>
          </w:p>
          <w:p w14:paraId="316A9825" w14:textId="77777777" w:rsidR="0046798B" w:rsidRDefault="00903B5C">
            <w:pPr>
              <w:pStyle w:val="TableParagraph"/>
              <w:ind w:left="114" w:right="267"/>
              <w:rPr>
                <w:sz w:val="20"/>
              </w:rPr>
            </w:pPr>
            <w:r>
              <w:rPr>
                <w:sz w:val="20"/>
              </w:rPr>
              <w:t xml:space="preserve">Originally provided by Stateminder: A data visualization project from Georgetown University. </w:t>
            </w:r>
            <w:hyperlink r:id="rId795">
              <w:r>
                <w:rPr>
                  <w:sz w:val="20"/>
                </w:rPr>
                <w:t xml:space="preserve">www.stateminder.org </w:t>
              </w:r>
            </w:hyperlink>
            <w:r>
              <w:rPr>
                <w:sz w:val="20"/>
              </w:rPr>
              <w:t>(no longer accessible online)</w:t>
            </w:r>
          </w:p>
        </w:tc>
      </w:tr>
      <w:tr w:rsidR="0046798B" w14:paraId="76B9DC4E" w14:textId="77777777">
        <w:trPr>
          <w:trHeight w:val="1235"/>
        </w:trPr>
        <w:tc>
          <w:tcPr>
            <w:tcW w:w="1711" w:type="dxa"/>
          </w:tcPr>
          <w:p w14:paraId="0E5DD67E" w14:textId="77777777" w:rsidR="0046798B" w:rsidRDefault="0046798B">
            <w:pPr>
              <w:pStyle w:val="TableParagraph"/>
            </w:pPr>
          </w:p>
          <w:p w14:paraId="40FA5C64" w14:textId="77777777" w:rsidR="0046798B" w:rsidRDefault="0046798B">
            <w:pPr>
              <w:pStyle w:val="TableParagraph"/>
              <w:spacing w:before="3"/>
              <w:rPr>
                <w:sz w:val="21"/>
              </w:rPr>
            </w:pPr>
          </w:p>
          <w:p w14:paraId="5FB74024" w14:textId="77777777" w:rsidR="0046798B" w:rsidRDefault="00903B5C">
            <w:pPr>
              <w:pStyle w:val="TableParagraph"/>
              <w:ind w:left="115"/>
              <w:rPr>
                <w:b/>
                <w:sz w:val="20"/>
              </w:rPr>
            </w:pPr>
            <w:r>
              <w:rPr>
                <w:b/>
                <w:sz w:val="20"/>
              </w:rPr>
              <w:t>eddayattendrate</w:t>
            </w:r>
          </w:p>
        </w:tc>
        <w:tc>
          <w:tcPr>
            <w:tcW w:w="1596" w:type="dxa"/>
          </w:tcPr>
          <w:p w14:paraId="1424A0CA" w14:textId="77777777" w:rsidR="0046798B" w:rsidRDefault="0046798B">
            <w:pPr>
              <w:pStyle w:val="TableParagraph"/>
              <w:spacing w:before="3"/>
              <w:rPr>
                <w:sz w:val="23"/>
              </w:rPr>
            </w:pPr>
          </w:p>
          <w:p w14:paraId="5C391496" w14:textId="77777777" w:rsidR="0046798B" w:rsidRDefault="00903B5C">
            <w:pPr>
              <w:pStyle w:val="TableParagraph"/>
              <w:ind w:left="114" w:right="191"/>
              <w:rPr>
                <w:sz w:val="20"/>
              </w:rPr>
            </w:pPr>
            <w:r>
              <w:rPr>
                <w:sz w:val="20"/>
              </w:rPr>
              <w:t>Average daily school attendance total</w:t>
            </w:r>
          </w:p>
        </w:tc>
        <w:tc>
          <w:tcPr>
            <w:tcW w:w="1285" w:type="dxa"/>
          </w:tcPr>
          <w:p w14:paraId="14D7A8F8" w14:textId="77777777" w:rsidR="0046798B" w:rsidRDefault="0046798B">
            <w:pPr>
              <w:pStyle w:val="TableParagraph"/>
            </w:pPr>
          </w:p>
          <w:p w14:paraId="3079E9D7" w14:textId="77777777" w:rsidR="0046798B" w:rsidRDefault="0046798B">
            <w:pPr>
              <w:pStyle w:val="TableParagraph"/>
              <w:spacing w:before="3"/>
              <w:rPr>
                <w:sz w:val="21"/>
              </w:rPr>
            </w:pPr>
          </w:p>
          <w:p w14:paraId="500CBC57" w14:textId="77777777" w:rsidR="0046798B" w:rsidRDefault="00903B5C">
            <w:pPr>
              <w:pStyle w:val="TableParagraph"/>
              <w:ind w:left="114"/>
              <w:rPr>
                <w:sz w:val="20"/>
              </w:rPr>
            </w:pPr>
            <w:r>
              <w:rPr>
                <w:sz w:val="20"/>
              </w:rPr>
              <w:t>1986–2009</w:t>
            </w:r>
          </w:p>
        </w:tc>
        <w:tc>
          <w:tcPr>
            <w:tcW w:w="3421" w:type="dxa"/>
          </w:tcPr>
          <w:p w14:paraId="13A22A47" w14:textId="77777777" w:rsidR="0046798B" w:rsidRDefault="00903B5C">
            <w:pPr>
              <w:pStyle w:val="TableParagraph"/>
              <w:spacing w:before="38"/>
              <w:ind w:left="114" w:right="128"/>
              <w:rPr>
                <w:sz w:val="20"/>
              </w:rPr>
            </w:pPr>
            <w:r>
              <w:rPr>
                <w:sz w:val="20"/>
              </w:rPr>
              <w:t>Average daily attendance as defined by state law or as defined by NCES Raw Score. Year recorded is the start of the school year, so 1986 is for the school year 1986–1987.</w:t>
            </w:r>
          </w:p>
        </w:tc>
        <w:tc>
          <w:tcPr>
            <w:tcW w:w="6482" w:type="dxa"/>
          </w:tcPr>
          <w:p w14:paraId="4F3CA302" w14:textId="77777777" w:rsidR="0046798B" w:rsidRDefault="00903B5C">
            <w:pPr>
              <w:pStyle w:val="TableParagraph"/>
              <w:spacing w:before="38"/>
              <w:ind w:left="114" w:right="245"/>
              <w:rPr>
                <w:sz w:val="20"/>
              </w:rPr>
            </w:pPr>
            <w:r>
              <w:rPr>
                <w:sz w:val="20"/>
              </w:rPr>
              <w:t xml:space="preserve">National Center for Education Statistics. “Average Daily Attendance (State- Fin.); Total Students (State).” </w:t>
            </w:r>
            <w:hyperlink r:id="rId796">
              <w:r>
                <w:rPr>
                  <w:color w:val="0462C1"/>
                  <w:sz w:val="20"/>
                  <w:u w:val="single" w:color="0462C1"/>
                </w:rPr>
                <w:t>https://nces.ed.gov/ccd/elsi/</w:t>
              </w:r>
            </w:hyperlink>
          </w:p>
          <w:p w14:paraId="64466CED" w14:textId="77777777" w:rsidR="0046798B" w:rsidRDefault="0046798B">
            <w:pPr>
              <w:pStyle w:val="TableParagraph"/>
              <w:rPr>
                <w:sz w:val="20"/>
              </w:rPr>
            </w:pPr>
          </w:p>
          <w:p w14:paraId="7CCD9AD5" w14:textId="77777777" w:rsidR="0046798B" w:rsidRDefault="00903B5C">
            <w:pPr>
              <w:pStyle w:val="TableParagraph"/>
              <w:ind w:left="114" w:right="267"/>
              <w:rPr>
                <w:sz w:val="20"/>
              </w:rPr>
            </w:pPr>
            <w:r>
              <w:rPr>
                <w:sz w:val="20"/>
              </w:rPr>
              <w:t xml:space="preserve">Originally provided by Stateminder: A data visualization project from Georgetown University. </w:t>
            </w:r>
            <w:hyperlink r:id="rId797">
              <w:r>
                <w:rPr>
                  <w:sz w:val="20"/>
                </w:rPr>
                <w:t xml:space="preserve">www.stateminder.org </w:t>
              </w:r>
            </w:hyperlink>
            <w:r>
              <w:rPr>
                <w:sz w:val="20"/>
              </w:rPr>
              <w:t>(no longer accessible online)</w:t>
            </w:r>
          </w:p>
        </w:tc>
      </w:tr>
      <w:tr w:rsidR="0046798B" w14:paraId="4D44A5A2" w14:textId="77777777">
        <w:trPr>
          <w:trHeight w:val="1235"/>
        </w:trPr>
        <w:tc>
          <w:tcPr>
            <w:tcW w:w="1711" w:type="dxa"/>
          </w:tcPr>
          <w:p w14:paraId="53459126" w14:textId="77777777" w:rsidR="0046798B" w:rsidRDefault="0046798B">
            <w:pPr>
              <w:pStyle w:val="TableParagraph"/>
            </w:pPr>
          </w:p>
          <w:p w14:paraId="2EDE3F8A" w14:textId="77777777" w:rsidR="0046798B" w:rsidRDefault="0046798B">
            <w:pPr>
              <w:pStyle w:val="TableParagraph"/>
              <w:spacing w:before="3"/>
              <w:rPr>
                <w:sz w:val="21"/>
              </w:rPr>
            </w:pPr>
          </w:p>
          <w:p w14:paraId="1F3857B8" w14:textId="77777777" w:rsidR="0046798B" w:rsidRDefault="00903B5C">
            <w:pPr>
              <w:pStyle w:val="TableParagraph"/>
              <w:spacing w:before="1"/>
              <w:ind w:left="115"/>
              <w:rPr>
                <w:b/>
                <w:sz w:val="20"/>
              </w:rPr>
            </w:pPr>
            <w:r>
              <w:rPr>
                <w:b/>
                <w:sz w:val="20"/>
              </w:rPr>
              <w:t>eddropoutrate</w:t>
            </w:r>
          </w:p>
        </w:tc>
        <w:tc>
          <w:tcPr>
            <w:tcW w:w="1596" w:type="dxa"/>
          </w:tcPr>
          <w:p w14:paraId="4F89E55D" w14:textId="77777777" w:rsidR="0046798B" w:rsidRDefault="0046798B">
            <w:pPr>
              <w:pStyle w:val="TableParagraph"/>
              <w:spacing w:before="3"/>
              <w:rPr>
                <w:sz w:val="23"/>
              </w:rPr>
            </w:pPr>
          </w:p>
          <w:p w14:paraId="78311179" w14:textId="77777777" w:rsidR="0046798B" w:rsidRDefault="00903B5C">
            <w:pPr>
              <w:pStyle w:val="TableParagraph"/>
              <w:spacing w:before="1"/>
              <w:ind w:left="114" w:right="129"/>
              <w:rPr>
                <w:sz w:val="20"/>
              </w:rPr>
            </w:pPr>
            <w:r>
              <w:rPr>
                <w:sz w:val="20"/>
              </w:rPr>
              <w:t>Percent school dropout rate 9</w:t>
            </w:r>
            <w:r>
              <w:rPr>
                <w:sz w:val="13"/>
              </w:rPr>
              <w:t>th</w:t>
            </w:r>
            <w:r>
              <w:rPr>
                <w:sz w:val="20"/>
              </w:rPr>
              <w:t>– 12</w:t>
            </w:r>
            <w:r>
              <w:rPr>
                <w:sz w:val="13"/>
              </w:rPr>
              <w:t xml:space="preserve">th </w:t>
            </w:r>
            <w:r>
              <w:rPr>
                <w:sz w:val="20"/>
              </w:rPr>
              <w:t>grade</w:t>
            </w:r>
          </w:p>
        </w:tc>
        <w:tc>
          <w:tcPr>
            <w:tcW w:w="1285" w:type="dxa"/>
          </w:tcPr>
          <w:p w14:paraId="0D78565B" w14:textId="77777777" w:rsidR="0046798B" w:rsidRDefault="0046798B">
            <w:pPr>
              <w:pStyle w:val="TableParagraph"/>
            </w:pPr>
          </w:p>
          <w:p w14:paraId="5C959D39" w14:textId="77777777" w:rsidR="0046798B" w:rsidRDefault="0046798B">
            <w:pPr>
              <w:pStyle w:val="TableParagraph"/>
              <w:spacing w:before="3"/>
              <w:rPr>
                <w:sz w:val="21"/>
              </w:rPr>
            </w:pPr>
          </w:p>
          <w:p w14:paraId="72BD8E70" w14:textId="77777777" w:rsidR="0046798B" w:rsidRDefault="00903B5C">
            <w:pPr>
              <w:pStyle w:val="TableParagraph"/>
              <w:spacing w:before="1"/>
              <w:ind w:left="114"/>
              <w:rPr>
                <w:sz w:val="20"/>
              </w:rPr>
            </w:pPr>
            <w:r>
              <w:rPr>
                <w:sz w:val="20"/>
              </w:rPr>
              <w:t>2001–2009</w:t>
            </w:r>
          </w:p>
        </w:tc>
        <w:tc>
          <w:tcPr>
            <w:tcW w:w="3421" w:type="dxa"/>
          </w:tcPr>
          <w:p w14:paraId="6D0E4CC1" w14:textId="77777777" w:rsidR="0046798B" w:rsidRDefault="00903B5C">
            <w:pPr>
              <w:pStyle w:val="TableParagraph"/>
              <w:spacing w:before="153"/>
              <w:ind w:left="114" w:right="111"/>
              <w:rPr>
                <w:sz w:val="20"/>
              </w:rPr>
            </w:pPr>
            <w:r>
              <w:rPr>
                <w:sz w:val="20"/>
              </w:rPr>
              <w:t>The count of grade dropouts divided by the enrollment base for the grade, 9</w:t>
            </w:r>
            <w:r>
              <w:rPr>
                <w:sz w:val="13"/>
              </w:rPr>
              <w:t>th</w:t>
            </w:r>
            <w:r>
              <w:rPr>
                <w:sz w:val="20"/>
              </w:rPr>
              <w:t>– 12</w:t>
            </w:r>
            <w:r>
              <w:rPr>
                <w:sz w:val="13"/>
              </w:rPr>
              <w:t xml:space="preserve">th </w:t>
            </w:r>
            <w:r>
              <w:rPr>
                <w:sz w:val="20"/>
              </w:rPr>
              <w:t>grade.</w:t>
            </w:r>
          </w:p>
        </w:tc>
        <w:tc>
          <w:tcPr>
            <w:tcW w:w="6482" w:type="dxa"/>
          </w:tcPr>
          <w:p w14:paraId="58A381DF" w14:textId="77777777" w:rsidR="0046798B" w:rsidRDefault="00903B5C">
            <w:pPr>
              <w:pStyle w:val="TableParagraph"/>
              <w:spacing w:before="38"/>
              <w:ind w:left="114" w:right="123"/>
              <w:rPr>
                <w:sz w:val="20"/>
              </w:rPr>
            </w:pPr>
            <w:r>
              <w:rPr>
                <w:sz w:val="20"/>
              </w:rPr>
              <w:t xml:space="preserve">National Center for Education Statistics. “Total Dropout Rate - 9 - 12th grade (State).” </w:t>
            </w:r>
            <w:hyperlink r:id="rId798">
              <w:r>
                <w:rPr>
                  <w:color w:val="0462C1"/>
                  <w:sz w:val="20"/>
                  <w:u w:val="single" w:color="0462C1"/>
                </w:rPr>
                <w:t>https://nces.ed.gov/ccd/elsi/</w:t>
              </w:r>
            </w:hyperlink>
          </w:p>
          <w:p w14:paraId="13BA284C" w14:textId="77777777" w:rsidR="0046798B" w:rsidRDefault="0046798B">
            <w:pPr>
              <w:pStyle w:val="TableParagraph"/>
              <w:rPr>
                <w:sz w:val="20"/>
              </w:rPr>
            </w:pPr>
          </w:p>
          <w:p w14:paraId="67A8AEBE" w14:textId="77777777" w:rsidR="0046798B" w:rsidRDefault="00903B5C">
            <w:pPr>
              <w:pStyle w:val="TableParagraph"/>
              <w:ind w:left="114" w:right="267"/>
              <w:rPr>
                <w:sz w:val="20"/>
              </w:rPr>
            </w:pPr>
            <w:r>
              <w:rPr>
                <w:sz w:val="20"/>
              </w:rPr>
              <w:t xml:space="preserve">Originally provided by Stateminder: A data visualization project from Georgetown University. </w:t>
            </w:r>
            <w:hyperlink r:id="rId799">
              <w:r>
                <w:rPr>
                  <w:sz w:val="20"/>
                </w:rPr>
                <w:t xml:space="preserve">www.stateminder.org </w:t>
              </w:r>
            </w:hyperlink>
            <w:r>
              <w:rPr>
                <w:sz w:val="20"/>
              </w:rPr>
              <w:t>(no longer accessible online)</w:t>
            </w:r>
          </w:p>
        </w:tc>
      </w:tr>
    </w:tbl>
    <w:p w14:paraId="5D93264B" w14:textId="77777777" w:rsidR="0046798B" w:rsidRDefault="0046798B">
      <w:pPr>
        <w:rPr>
          <w:sz w:val="20"/>
        </w:rPr>
        <w:sectPr w:rsidR="0046798B">
          <w:pgSz w:w="15840" w:h="12240" w:orient="landscape"/>
          <w:pgMar w:top="1220" w:right="300" w:bottom="980" w:left="820" w:header="730" w:footer="787" w:gutter="0"/>
          <w:cols w:space="720"/>
        </w:sectPr>
      </w:pPr>
    </w:p>
    <w:p w14:paraId="71310168"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6DCDD303" w14:textId="77777777">
        <w:trPr>
          <w:trHeight w:val="775"/>
        </w:trPr>
        <w:tc>
          <w:tcPr>
            <w:tcW w:w="1711" w:type="dxa"/>
          </w:tcPr>
          <w:p w14:paraId="000FDDC8" w14:textId="77777777" w:rsidR="0046798B" w:rsidRDefault="0046798B">
            <w:pPr>
              <w:pStyle w:val="TableParagraph"/>
              <w:spacing w:before="9"/>
              <w:rPr>
                <w:sz w:val="23"/>
              </w:rPr>
            </w:pPr>
          </w:p>
          <w:p w14:paraId="7BBC03D1" w14:textId="77777777" w:rsidR="0046798B" w:rsidRDefault="00903B5C">
            <w:pPr>
              <w:pStyle w:val="TableParagraph"/>
              <w:ind w:left="115"/>
              <w:rPr>
                <w:b/>
                <w:sz w:val="20"/>
              </w:rPr>
            </w:pPr>
            <w:r>
              <w:rPr>
                <w:b/>
                <w:sz w:val="20"/>
              </w:rPr>
              <w:t>grad_rate</w:t>
            </w:r>
          </w:p>
        </w:tc>
        <w:tc>
          <w:tcPr>
            <w:tcW w:w="1596" w:type="dxa"/>
          </w:tcPr>
          <w:p w14:paraId="76EB51AD" w14:textId="77777777" w:rsidR="0046798B" w:rsidRDefault="00903B5C">
            <w:pPr>
              <w:pStyle w:val="TableParagraph"/>
              <w:spacing w:before="158"/>
              <w:ind w:left="114" w:right="247"/>
              <w:rPr>
                <w:sz w:val="20"/>
              </w:rPr>
            </w:pPr>
            <w:r>
              <w:rPr>
                <w:sz w:val="20"/>
              </w:rPr>
              <w:t>High school graduation rate</w:t>
            </w:r>
          </w:p>
        </w:tc>
        <w:tc>
          <w:tcPr>
            <w:tcW w:w="1285" w:type="dxa"/>
          </w:tcPr>
          <w:p w14:paraId="3CA93EED" w14:textId="77777777" w:rsidR="0046798B" w:rsidRDefault="0046798B">
            <w:pPr>
              <w:pStyle w:val="TableParagraph"/>
              <w:spacing w:before="9"/>
              <w:rPr>
                <w:sz w:val="23"/>
              </w:rPr>
            </w:pPr>
          </w:p>
          <w:p w14:paraId="43DFE549" w14:textId="77777777" w:rsidR="0046798B" w:rsidRDefault="00903B5C">
            <w:pPr>
              <w:pStyle w:val="TableParagraph"/>
              <w:ind w:left="114"/>
              <w:rPr>
                <w:sz w:val="20"/>
              </w:rPr>
            </w:pPr>
            <w:r>
              <w:rPr>
                <w:sz w:val="20"/>
              </w:rPr>
              <w:t>2001–2007</w:t>
            </w:r>
          </w:p>
        </w:tc>
        <w:tc>
          <w:tcPr>
            <w:tcW w:w="3421" w:type="dxa"/>
          </w:tcPr>
          <w:p w14:paraId="7F6BFD87" w14:textId="77777777" w:rsidR="0046798B" w:rsidRDefault="00903B5C">
            <w:pPr>
              <w:pStyle w:val="TableParagraph"/>
              <w:spacing w:before="158"/>
              <w:ind w:left="114" w:right="233"/>
              <w:rPr>
                <w:sz w:val="20"/>
              </w:rPr>
            </w:pPr>
            <w:r>
              <w:rPr>
                <w:sz w:val="20"/>
              </w:rPr>
              <w:t>Averaged freshman graduation rate of public high school students</w:t>
            </w:r>
          </w:p>
        </w:tc>
        <w:tc>
          <w:tcPr>
            <w:tcW w:w="6482" w:type="dxa"/>
          </w:tcPr>
          <w:p w14:paraId="6CEA2657" w14:textId="77777777" w:rsidR="0046798B" w:rsidRDefault="00903B5C">
            <w:pPr>
              <w:pStyle w:val="TableParagraph"/>
              <w:spacing w:before="43"/>
              <w:ind w:left="114" w:right="484"/>
              <w:rPr>
                <w:sz w:val="20"/>
              </w:rPr>
            </w:pPr>
            <w:r>
              <w:rPr>
                <w:sz w:val="20"/>
              </w:rPr>
              <w:t>National Center for Education Statistics. “Averaged freshman graduation rates of public high school students and change in rates, by state: School years 2001–02 through 2007–08.”</w:t>
            </w:r>
          </w:p>
        </w:tc>
      </w:tr>
      <w:tr w:rsidR="0046798B" w14:paraId="04F7A814" w14:textId="77777777">
        <w:trPr>
          <w:trHeight w:val="1695"/>
        </w:trPr>
        <w:tc>
          <w:tcPr>
            <w:tcW w:w="1711" w:type="dxa"/>
          </w:tcPr>
          <w:p w14:paraId="0C24FA3A" w14:textId="77777777" w:rsidR="0046798B" w:rsidRDefault="0046798B">
            <w:pPr>
              <w:pStyle w:val="TableParagraph"/>
            </w:pPr>
          </w:p>
          <w:p w14:paraId="01A03859" w14:textId="77777777" w:rsidR="0046798B" w:rsidRDefault="0046798B">
            <w:pPr>
              <w:pStyle w:val="TableParagraph"/>
            </w:pPr>
          </w:p>
          <w:p w14:paraId="7A9E676D" w14:textId="77777777" w:rsidR="0046798B" w:rsidRDefault="0046798B">
            <w:pPr>
              <w:pStyle w:val="TableParagraph"/>
              <w:spacing w:before="9"/>
              <w:rPr>
                <w:sz w:val="19"/>
              </w:rPr>
            </w:pPr>
          </w:p>
          <w:p w14:paraId="29F2AA2D" w14:textId="77777777" w:rsidR="0046798B" w:rsidRDefault="00903B5C">
            <w:pPr>
              <w:pStyle w:val="TableParagraph"/>
              <w:ind w:left="115"/>
              <w:rPr>
                <w:b/>
                <w:sz w:val="20"/>
              </w:rPr>
            </w:pPr>
            <w:r>
              <w:rPr>
                <w:b/>
                <w:sz w:val="20"/>
              </w:rPr>
              <w:t>hsdiploma</w:t>
            </w:r>
          </w:p>
        </w:tc>
        <w:tc>
          <w:tcPr>
            <w:tcW w:w="1596" w:type="dxa"/>
          </w:tcPr>
          <w:p w14:paraId="5D773CD0" w14:textId="77777777" w:rsidR="0046798B" w:rsidRDefault="0046798B">
            <w:pPr>
              <w:pStyle w:val="TableParagraph"/>
            </w:pPr>
          </w:p>
          <w:p w14:paraId="4264E7CE" w14:textId="77777777" w:rsidR="0046798B" w:rsidRDefault="0046798B">
            <w:pPr>
              <w:pStyle w:val="TableParagraph"/>
              <w:spacing w:before="8"/>
              <w:rPr>
                <w:sz w:val="31"/>
              </w:rPr>
            </w:pPr>
          </w:p>
          <w:p w14:paraId="341DA76C" w14:textId="77777777" w:rsidR="0046798B" w:rsidRDefault="00903B5C">
            <w:pPr>
              <w:pStyle w:val="TableParagraph"/>
              <w:spacing w:before="1"/>
              <w:ind w:left="114" w:right="479"/>
              <w:rPr>
                <w:sz w:val="20"/>
              </w:rPr>
            </w:pPr>
            <w:r>
              <w:rPr>
                <w:sz w:val="20"/>
              </w:rPr>
              <w:t>High school diploma</w:t>
            </w:r>
          </w:p>
        </w:tc>
        <w:tc>
          <w:tcPr>
            <w:tcW w:w="1285" w:type="dxa"/>
          </w:tcPr>
          <w:p w14:paraId="70ACAF0D" w14:textId="77777777" w:rsidR="0046798B" w:rsidRDefault="0046798B">
            <w:pPr>
              <w:pStyle w:val="TableParagraph"/>
            </w:pPr>
          </w:p>
          <w:p w14:paraId="2BC4773E" w14:textId="77777777" w:rsidR="0046798B" w:rsidRDefault="0046798B">
            <w:pPr>
              <w:pStyle w:val="TableParagraph"/>
            </w:pPr>
          </w:p>
          <w:p w14:paraId="2B1F4032" w14:textId="77777777" w:rsidR="0046798B" w:rsidRDefault="0046798B">
            <w:pPr>
              <w:pStyle w:val="TableParagraph"/>
              <w:spacing w:before="9"/>
              <w:rPr>
                <w:sz w:val="19"/>
              </w:rPr>
            </w:pPr>
          </w:p>
          <w:p w14:paraId="68EE7A41" w14:textId="77777777" w:rsidR="0046798B" w:rsidRDefault="00903B5C">
            <w:pPr>
              <w:pStyle w:val="TableParagraph"/>
              <w:ind w:left="114"/>
              <w:rPr>
                <w:sz w:val="20"/>
              </w:rPr>
            </w:pPr>
            <w:r>
              <w:rPr>
                <w:sz w:val="20"/>
              </w:rPr>
              <w:t>1975–2006</w:t>
            </w:r>
          </w:p>
        </w:tc>
        <w:tc>
          <w:tcPr>
            <w:tcW w:w="3421" w:type="dxa"/>
          </w:tcPr>
          <w:p w14:paraId="1FD50361" w14:textId="77777777" w:rsidR="0046798B" w:rsidRDefault="00903B5C">
            <w:pPr>
              <w:pStyle w:val="TableParagraph"/>
              <w:spacing w:before="43"/>
              <w:ind w:left="114" w:right="88"/>
              <w:rPr>
                <w:sz w:val="20"/>
              </w:rPr>
            </w:pPr>
            <w:r>
              <w:rPr>
                <w:sz w:val="20"/>
              </w:rPr>
              <w:t>Raw percent; measures percent of population that has a high school diploma or higher (National Center for Education Statistics, State Comparisons of Education Statistics). This is a cross sectional variable reflecting the 1990 decennial census.</w:t>
            </w:r>
          </w:p>
        </w:tc>
        <w:tc>
          <w:tcPr>
            <w:tcW w:w="6482" w:type="dxa"/>
          </w:tcPr>
          <w:p w14:paraId="49EF6C11" w14:textId="77777777" w:rsidR="0046798B" w:rsidRDefault="0046798B">
            <w:pPr>
              <w:pStyle w:val="TableParagraph"/>
            </w:pPr>
          </w:p>
          <w:p w14:paraId="01119B20" w14:textId="77777777" w:rsidR="0046798B" w:rsidRDefault="0046798B">
            <w:pPr>
              <w:pStyle w:val="TableParagraph"/>
              <w:spacing w:before="8"/>
              <w:rPr>
                <w:sz w:val="31"/>
              </w:rPr>
            </w:pPr>
          </w:p>
          <w:p w14:paraId="1B78D107" w14:textId="77777777" w:rsidR="0046798B" w:rsidRDefault="00903B5C">
            <w:pPr>
              <w:pStyle w:val="TableParagraph"/>
              <w:spacing w:before="1"/>
              <w:ind w:left="114" w:right="267"/>
              <w:rPr>
                <w:sz w:val="20"/>
              </w:rPr>
            </w:pPr>
            <w:r>
              <w:rPr>
                <w:sz w:val="20"/>
              </w:rPr>
              <w:t xml:space="preserve">Originally provided by Stateminder: A data visualization project from Georgetown University. </w:t>
            </w:r>
            <w:hyperlink r:id="rId800">
              <w:r>
                <w:rPr>
                  <w:sz w:val="20"/>
                </w:rPr>
                <w:t xml:space="preserve">www.stateminder.org </w:t>
              </w:r>
            </w:hyperlink>
            <w:r>
              <w:rPr>
                <w:sz w:val="20"/>
              </w:rPr>
              <w:t>(no longer accessible online)</w:t>
            </w:r>
          </w:p>
        </w:tc>
      </w:tr>
      <w:tr w:rsidR="0046798B" w14:paraId="2CC181B5" w14:textId="77777777">
        <w:trPr>
          <w:trHeight w:val="1240"/>
        </w:trPr>
        <w:tc>
          <w:tcPr>
            <w:tcW w:w="1711" w:type="dxa"/>
          </w:tcPr>
          <w:p w14:paraId="2BF7BE87" w14:textId="77777777" w:rsidR="0046798B" w:rsidRDefault="0046798B">
            <w:pPr>
              <w:pStyle w:val="TableParagraph"/>
            </w:pPr>
          </w:p>
          <w:p w14:paraId="5A55062A" w14:textId="77777777" w:rsidR="0046798B" w:rsidRDefault="0046798B">
            <w:pPr>
              <w:pStyle w:val="TableParagraph"/>
              <w:spacing w:before="9"/>
              <w:rPr>
                <w:sz w:val="21"/>
              </w:rPr>
            </w:pPr>
          </w:p>
          <w:p w14:paraId="0ADA5589" w14:textId="77777777" w:rsidR="0046798B" w:rsidRDefault="00903B5C">
            <w:pPr>
              <w:pStyle w:val="TableParagraph"/>
              <w:ind w:left="115"/>
              <w:rPr>
                <w:b/>
                <w:sz w:val="20"/>
              </w:rPr>
            </w:pPr>
            <w:r>
              <w:rPr>
                <w:b/>
                <w:sz w:val="20"/>
              </w:rPr>
              <w:t>pupilteachratio</w:t>
            </w:r>
          </w:p>
        </w:tc>
        <w:tc>
          <w:tcPr>
            <w:tcW w:w="1596" w:type="dxa"/>
          </w:tcPr>
          <w:p w14:paraId="75102383" w14:textId="77777777" w:rsidR="0046798B" w:rsidRDefault="0046798B">
            <w:pPr>
              <w:pStyle w:val="TableParagraph"/>
            </w:pPr>
          </w:p>
          <w:p w14:paraId="072F4205" w14:textId="77777777" w:rsidR="0046798B" w:rsidRDefault="00903B5C">
            <w:pPr>
              <w:pStyle w:val="TableParagraph"/>
              <w:spacing w:before="135"/>
              <w:ind w:left="114" w:right="163"/>
              <w:rPr>
                <w:sz w:val="20"/>
              </w:rPr>
            </w:pPr>
            <w:r>
              <w:rPr>
                <w:sz w:val="20"/>
              </w:rPr>
              <w:t>Pupil-to-teacher ratio</w:t>
            </w:r>
          </w:p>
        </w:tc>
        <w:tc>
          <w:tcPr>
            <w:tcW w:w="1285" w:type="dxa"/>
          </w:tcPr>
          <w:p w14:paraId="3B045CCF" w14:textId="77777777" w:rsidR="0046798B" w:rsidRDefault="0046798B">
            <w:pPr>
              <w:pStyle w:val="TableParagraph"/>
            </w:pPr>
          </w:p>
          <w:p w14:paraId="3169445F" w14:textId="77777777" w:rsidR="0046798B" w:rsidRDefault="0046798B">
            <w:pPr>
              <w:pStyle w:val="TableParagraph"/>
              <w:spacing w:before="9"/>
              <w:rPr>
                <w:sz w:val="21"/>
              </w:rPr>
            </w:pPr>
          </w:p>
          <w:p w14:paraId="2E70BBD1" w14:textId="77777777" w:rsidR="0046798B" w:rsidRDefault="00903B5C">
            <w:pPr>
              <w:pStyle w:val="TableParagraph"/>
              <w:ind w:left="114"/>
              <w:rPr>
                <w:sz w:val="20"/>
              </w:rPr>
            </w:pPr>
            <w:r>
              <w:rPr>
                <w:sz w:val="20"/>
              </w:rPr>
              <w:t>1987–2010</w:t>
            </w:r>
          </w:p>
        </w:tc>
        <w:tc>
          <w:tcPr>
            <w:tcW w:w="3421" w:type="dxa"/>
          </w:tcPr>
          <w:p w14:paraId="35E20975" w14:textId="77777777" w:rsidR="0046798B" w:rsidRDefault="0046798B">
            <w:pPr>
              <w:pStyle w:val="TableParagraph"/>
            </w:pPr>
          </w:p>
          <w:p w14:paraId="3B91A0C0" w14:textId="77777777" w:rsidR="0046798B" w:rsidRDefault="0046798B">
            <w:pPr>
              <w:pStyle w:val="TableParagraph"/>
              <w:spacing w:before="9"/>
              <w:rPr>
                <w:sz w:val="21"/>
              </w:rPr>
            </w:pPr>
          </w:p>
          <w:p w14:paraId="5CD0B805" w14:textId="77777777" w:rsidR="0046798B" w:rsidRDefault="00903B5C">
            <w:pPr>
              <w:pStyle w:val="TableParagraph"/>
              <w:ind w:left="114"/>
              <w:rPr>
                <w:sz w:val="20"/>
              </w:rPr>
            </w:pPr>
            <w:r>
              <w:rPr>
                <w:sz w:val="20"/>
              </w:rPr>
              <w:t>Pupils enrolled per teacher</w:t>
            </w:r>
          </w:p>
        </w:tc>
        <w:tc>
          <w:tcPr>
            <w:tcW w:w="6482" w:type="dxa"/>
          </w:tcPr>
          <w:p w14:paraId="4E308297" w14:textId="77777777" w:rsidR="0046798B" w:rsidRDefault="00903B5C">
            <w:pPr>
              <w:pStyle w:val="TableParagraph"/>
              <w:spacing w:before="43"/>
              <w:ind w:left="114"/>
              <w:rPr>
                <w:sz w:val="20"/>
              </w:rPr>
            </w:pPr>
            <w:r>
              <w:rPr>
                <w:sz w:val="20"/>
              </w:rPr>
              <w:t xml:space="preserve">National Center for Education Statistics. “Pupil/Teacher Ratio (State).” </w:t>
            </w:r>
            <w:hyperlink r:id="rId801">
              <w:r>
                <w:rPr>
                  <w:color w:val="0462C1"/>
                  <w:sz w:val="20"/>
                  <w:u w:val="single" w:color="0462C1"/>
                </w:rPr>
                <w:t>https://nces.ed.gov/ccd/elsi/</w:t>
              </w:r>
            </w:hyperlink>
          </w:p>
          <w:p w14:paraId="360EAE7A" w14:textId="77777777" w:rsidR="0046798B" w:rsidRDefault="0046798B">
            <w:pPr>
              <w:pStyle w:val="TableParagraph"/>
              <w:rPr>
                <w:sz w:val="20"/>
              </w:rPr>
            </w:pPr>
          </w:p>
          <w:p w14:paraId="6C484D11" w14:textId="77777777" w:rsidR="0046798B" w:rsidRDefault="00903B5C">
            <w:pPr>
              <w:pStyle w:val="TableParagraph"/>
              <w:ind w:left="114" w:right="267"/>
              <w:rPr>
                <w:sz w:val="20"/>
              </w:rPr>
            </w:pPr>
            <w:r>
              <w:rPr>
                <w:sz w:val="20"/>
              </w:rPr>
              <w:t xml:space="preserve">Originally provided by Stateminder: A data visualization project from Georgetown University. </w:t>
            </w:r>
            <w:hyperlink r:id="rId802">
              <w:r>
                <w:rPr>
                  <w:sz w:val="20"/>
                </w:rPr>
                <w:t xml:space="preserve">www.stateminder.org </w:t>
              </w:r>
            </w:hyperlink>
            <w:r>
              <w:rPr>
                <w:sz w:val="20"/>
              </w:rPr>
              <w:t>(no longer accessible online)</w:t>
            </w:r>
          </w:p>
        </w:tc>
      </w:tr>
      <w:tr w:rsidR="0046798B" w14:paraId="7E776BF1" w14:textId="77777777">
        <w:trPr>
          <w:trHeight w:val="1235"/>
        </w:trPr>
        <w:tc>
          <w:tcPr>
            <w:tcW w:w="1711" w:type="dxa"/>
          </w:tcPr>
          <w:p w14:paraId="1699D266" w14:textId="77777777" w:rsidR="0046798B" w:rsidRDefault="0046798B">
            <w:pPr>
              <w:pStyle w:val="TableParagraph"/>
            </w:pPr>
          </w:p>
          <w:p w14:paraId="26295E22" w14:textId="77777777" w:rsidR="0046798B" w:rsidRDefault="0046798B">
            <w:pPr>
              <w:pStyle w:val="TableParagraph"/>
              <w:spacing w:before="4"/>
              <w:rPr>
                <w:sz w:val="21"/>
              </w:rPr>
            </w:pPr>
          </w:p>
          <w:p w14:paraId="1C0D1858" w14:textId="77777777" w:rsidR="0046798B" w:rsidRDefault="00903B5C">
            <w:pPr>
              <w:pStyle w:val="TableParagraph"/>
              <w:ind w:left="115"/>
              <w:rPr>
                <w:b/>
                <w:sz w:val="20"/>
              </w:rPr>
            </w:pPr>
            <w:r>
              <w:rPr>
                <w:b/>
                <w:sz w:val="20"/>
              </w:rPr>
              <w:t>mathscore4th</w:t>
            </w:r>
          </w:p>
        </w:tc>
        <w:tc>
          <w:tcPr>
            <w:tcW w:w="1596" w:type="dxa"/>
          </w:tcPr>
          <w:p w14:paraId="3D6BA137" w14:textId="77777777" w:rsidR="0046798B" w:rsidRDefault="0046798B">
            <w:pPr>
              <w:pStyle w:val="TableParagraph"/>
            </w:pPr>
          </w:p>
          <w:p w14:paraId="65148C20" w14:textId="77777777" w:rsidR="0046798B" w:rsidRDefault="00903B5C">
            <w:pPr>
              <w:pStyle w:val="TableParagraph"/>
              <w:spacing w:before="130"/>
              <w:ind w:left="114" w:right="229"/>
              <w:rPr>
                <w:sz w:val="20"/>
              </w:rPr>
            </w:pPr>
            <w:r>
              <w:rPr>
                <w:sz w:val="20"/>
              </w:rPr>
              <w:t>Fourth grade math scores</w:t>
            </w:r>
          </w:p>
        </w:tc>
        <w:tc>
          <w:tcPr>
            <w:tcW w:w="1285" w:type="dxa"/>
          </w:tcPr>
          <w:p w14:paraId="60509CF6" w14:textId="77777777" w:rsidR="0046798B" w:rsidRDefault="0046798B">
            <w:pPr>
              <w:pStyle w:val="TableParagraph"/>
            </w:pPr>
          </w:p>
          <w:p w14:paraId="0FA27471" w14:textId="77777777" w:rsidR="0046798B" w:rsidRDefault="0046798B">
            <w:pPr>
              <w:pStyle w:val="TableParagraph"/>
              <w:spacing w:before="4"/>
              <w:rPr>
                <w:sz w:val="21"/>
              </w:rPr>
            </w:pPr>
          </w:p>
          <w:p w14:paraId="6659DC2E" w14:textId="77777777" w:rsidR="0046798B" w:rsidRDefault="00903B5C">
            <w:pPr>
              <w:pStyle w:val="TableParagraph"/>
              <w:ind w:left="114"/>
              <w:rPr>
                <w:sz w:val="20"/>
              </w:rPr>
            </w:pPr>
            <w:r>
              <w:rPr>
                <w:sz w:val="20"/>
              </w:rPr>
              <w:t>1992–2011</w:t>
            </w:r>
          </w:p>
        </w:tc>
        <w:tc>
          <w:tcPr>
            <w:tcW w:w="3421" w:type="dxa"/>
          </w:tcPr>
          <w:p w14:paraId="2060B558" w14:textId="77777777" w:rsidR="0046798B" w:rsidRDefault="00903B5C">
            <w:pPr>
              <w:pStyle w:val="TableParagraph"/>
              <w:spacing w:before="153"/>
              <w:ind w:left="114" w:right="161"/>
              <w:rPr>
                <w:sz w:val="20"/>
              </w:rPr>
            </w:pPr>
            <w:r>
              <w:rPr>
                <w:sz w:val="20"/>
              </w:rPr>
              <w:t>Composite scale score on mathematics portion of National Assessment of Educational Progress exam. Not all years between 1992–2011 have scores.</w:t>
            </w:r>
          </w:p>
        </w:tc>
        <w:tc>
          <w:tcPr>
            <w:tcW w:w="6482" w:type="dxa"/>
          </w:tcPr>
          <w:p w14:paraId="3919A246" w14:textId="77777777" w:rsidR="0046798B" w:rsidRDefault="00903B5C">
            <w:pPr>
              <w:pStyle w:val="TableParagraph"/>
              <w:spacing w:before="38"/>
              <w:ind w:left="114" w:right="850"/>
              <w:rPr>
                <w:sz w:val="20"/>
              </w:rPr>
            </w:pPr>
            <w:r>
              <w:rPr>
                <w:sz w:val="20"/>
              </w:rPr>
              <w:t xml:space="preserve">National Center for Education Statistics. “Mathematics - 4th Grade - Composite Scale.” </w:t>
            </w:r>
            <w:hyperlink r:id="rId803">
              <w:r>
                <w:rPr>
                  <w:color w:val="0462C1"/>
                  <w:sz w:val="20"/>
                  <w:u w:val="single" w:color="0462C1"/>
                </w:rPr>
                <w:t>https://nces.ed.gov/ccd/elsi/</w:t>
              </w:r>
            </w:hyperlink>
          </w:p>
          <w:p w14:paraId="27731ED7" w14:textId="77777777" w:rsidR="0046798B" w:rsidRDefault="0046798B">
            <w:pPr>
              <w:pStyle w:val="TableParagraph"/>
              <w:rPr>
                <w:sz w:val="20"/>
              </w:rPr>
            </w:pPr>
          </w:p>
          <w:p w14:paraId="0672D58E" w14:textId="77777777" w:rsidR="0046798B" w:rsidRDefault="00903B5C">
            <w:pPr>
              <w:pStyle w:val="TableParagraph"/>
              <w:ind w:left="114" w:right="267"/>
              <w:rPr>
                <w:sz w:val="20"/>
              </w:rPr>
            </w:pPr>
            <w:r>
              <w:rPr>
                <w:sz w:val="20"/>
              </w:rPr>
              <w:t xml:space="preserve">Originally provided by Stateminder: A data visualization project from Georgetown University. </w:t>
            </w:r>
            <w:hyperlink r:id="rId804">
              <w:r>
                <w:rPr>
                  <w:sz w:val="20"/>
                </w:rPr>
                <w:t xml:space="preserve">www.stateminder.org </w:t>
              </w:r>
            </w:hyperlink>
            <w:r>
              <w:rPr>
                <w:sz w:val="20"/>
              </w:rPr>
              <w:t>(no longer accessible online)</w:t>
            </w:r>
          </w:p>
        </w:tc>
      </w:tr>
      <w:tr w:rsidR="0046798B" w14:paraId="0FB39F44" w14:textId="77777777">
        <w:trPr>
          <w:trHeight w:val="1235"/>
        </w:trPr>
        <w:tc>
          <w:tcPr>
            <w:tcW w:w="1711" w:type="dxa"/>
          </w:tcPr>
          <w:p w14:paraId="46750811" w14:textId="77777777" w:rsidR="0046798B" w:rsidRDefault="0046798B">
            <w:pPr>
              <w:pStyle w:val="TableParagraph"/>
            </w:pPr>
          </w:p>
          <w:p w14:paraId="12C35669" w14:textId="77777777" w:rsidR="0046798B" w:rsidRDefault="0046798B">
            <w:pPr>
              <w:pStyle w:val="TableParagraph"/>
              <w:spacing w:before="4"/>
              <w:rPr>
                <w:sz w:val="21"/>
              </w:rPr>
            </w:pPr>
          </w:p>
          <w:p w14:paraId="6AD6B2A3" w14:textId="77777777" w:rsidR="0046798B" w:rsidRDefault="00903B5C">
            <w:pPr>
              <w:pStyle w:val="TableParagraph"/>
              <w:ind w:left="115"/>
              <w:rPr>
                <w:b/>
                <w:sz w:val="20"/>
              </w:rPr>
            </w:pPr>
            <w:r>
              <w:rPr>
                <w:b/>
                <w:sz w:val="20"/>
              </w:rPr>
              <w:t>readscore4th</w:t>
            </w:r>
          </w:p>
        </w:tc>
        <w:tc>
          <w:tcPr>
            <w:tcW w:w="1596" w:type="dxa"/>
          </w:tcPr>
          <w:p w14:paraId="499015C5" w14:textId="77777777" w:rsidR="0046798B" w:rsidRDefault="0046798B">
            <w:pPr>
              <w:pStyle w:val="TableParagraph"/>
            </w:pPr>
          </w:p>
          <w:p w14:paraId="379FF877" w14:textId="77777777" w:rsidR="0046798B" w:rsidRDefault="00903B5C">
            <w:pPr>
              <w:pStyle w:val="TableParagraph"/>
              <w:spacing w:before="131"/>
              <w:ind w:left="114" w:right="302"/>
              <w:rPr>
                <w:sz w:val="20"/>
              </w:rPr>
            </w:pPr>
            <w:r>
              <w:rPr>
                <w:sz w:val="20"/>
              </w:rPr>
              <w:t>Fourth grade reading scores</w:t>
            </w:r>
          </w:p>
        </w:tc>
        <w:tc>
          <w:tcPr>
            <w:tcW w:w="1285" w:type="dxa"/>
          </w:tcPr>
          <w:p w14:paraId="0F0BB52A" w14:textId="77777777" w:rsidR="0046798B" w:rsidRDefault="0046798B">
            <w:pPr>
              <w:pStyle w:val="TableParagraph"/>
            </w:pPr>
          </w:p>
          <w:p w14:paraId="4F31CE1F" w14:textId="77777777" w:rsidR="0046798B" w:rsidRDefault="0046798B">
            <w:pPr>
              <w:pStyle w:val="TableParagraph"/>
              <w:spacing w:before="4"/>
              <w:rPr>
                <w:sz w:val="21"/>
              </w:rPr>
            </w:pPr>
          </w:p>
          <w:p w14:paraId="44BD4823" w14:textId="77777777" w:rsidR="0046798B" w:rsidRDefault="00903B5C">
            <w:pPr>
              <w:pStyle w:val="TableParagraph"/>
              <w:ind w:left="114"/>
              <w:rPr>
                <w:sz w:val="20"/>
              </w:rPr>
            </w:pPr>
            <w:r>
              <w:rPr>
                <w:sz w:val="20"/>
              </w:rPr>
              <w:t>1992–2011</w:t>
            </w:r>
          </w:p>
        </w:tc>
        <w:tc>
          <w:tcPr>
            <w:tcW w:w="3421" w:type="dxa"/>
          </w:tcPr>
          <w:p w14:paraId="2C854E7E" w14:textId="77777777" w:rsidR="0046798B" w:rsidRDefault="00903B5C">
            <w:pPr>
              <w:pStyle w:val="TableParagraph"/>
              <w:spacing w:before="154"/>
              <w:ind w:left="114" w:right="161"/>
              <w:rPr>
                <w:sz w:val="20"/>
              </w:rPr>
            </w:pPr>
            <w:r>
              <w:rPr>
                <w:sz w:val="20"/>
              </w:rPr>
              <w:t>Composite scale score on reading portion of National Assessment of Educational Progress exam. Not all years between 1992–2011 have scores.</w:t>
            </w:r>
          </w:p>
        </w:tc>
        <w:tc>
          <w:tcPr>
            <w:tcW w:w="6482" w:type="dxa"/>
          </w:tcPr>
          <w:p w14:paraId="11210135" w14:textId="77777777" w:rsidR="0046798B" w:rsidRDefault="00903B5C">
            <w:pPr>
              <w:pStyle w:val="TableParagraph"/>
              <w:spacing w:before="38"/>
              <w:ind w:left="114" w:right="300"/>
              <w:rPr>
                <w:sz w:val="20"/>
              </w:rPr>
            </w:pPr>
            <w:r>
              <w:rPr>
                <w:sz w:val="20"/>
              </w:rPr>
              <w:t xml:space="preserve">National Center for Education Statistics. “Reading - 4th Grade - Composite Scale.” </w:t>
            </w:r>
            <w:hyperlink r:id="rId805">
              <w:r>
                <w:rPr>
                  <w:color w:val="0462C1"/>
                  <w:sz w:val="20"/>
                  <w:u w:val="single" w:color="0462C1"/>
                </w:rPr>
                <w:t>https://nces.ed.gov/ccd/elsi/</w:t>
              </w:r>
            </w:hyperlink>
          </w:p>
          <w:p w14:paraId="3A380208" w14:textId="77777777" w:rsidR="0046798B" w:rsidRDefault="0046798B">
            <w:pPr>
              <w:pStyle w:val="TableParagraph"/>
              <w:rPr>
                <w:sz w:val="20"/>
              </w:rPr>
            </w:pPr>
          </w:p>
          <w:p w14:paraId="11B2B417" w14:textId="77777777" w:rsidR="0046798B" w:rsidRDefault="00903B5C">
            <w:pPr>
              <w:pStyle w:val="TableParagraph"/>
              <w:spacing w:before="1"/>
              <w:ind w:left="114" w:right="267"/>
              <w:rPr>
                <w:sz w:val="20"/>
              </w:rPr>
            </w:pPr>
            <w:r>
              <w:rPr>
                <w:sz w:val="20"/>
              </w:rPr>
              <w:t xml:space="preserve">Originally provided by Stateminder: A data visualization project from Georgetown University. </w:t>
            </w:r>
            <w:hyperlink r:id="rId806">
              <w:r>
                <w:rPr>
                  <w:sz w:val="20"/>
                </w:rPr>
                <w:t xml:space="preserve">www.stateminder.org </w:t>
              </w:r>
            </w:hyperlink>
            <w:r>
              <w:rPr>
                <w:sz w:val="20"/>
              </w:rPr>
              <w:t>(no longer accessible online)</w:t>
            </w:r>
          </w:p>
        </w:tc>
      </w:tr>
      <w:tr w:rsidR="0046798B" w14:paraId="707C8A6C" w14:textId="77777777">
        <w:trPr>
          <w:trHeight w:val="545"/>
        </w:trPr>
        <w:tc>
          <w:tcPr>
            <w:tcW w:w="1711" w:type="dxa"/>
          </w:tcPr>
          <w:p w14:paraId="78F19D0F" w14:textId="77777777" w:rsidR="0046798B" w:rsidRDefault="00903B5C">
            <w:pPr>
              <w:pStyle w:val="TableParagraph"/>
              <w:spacing w:before="154"/>
              <w:ind w:left="115"/>
              <w:rPr>
                <w:b/>
                <w:sz w:val="20"/>
              </w:rPr>
            </w:pPr>
            <w:r>
              <w:rPr>
                <w:b/>
                <w:sz w:val="20"/>
              </w:rPr>
              <w:t>twoyear_tuition</w:t>
            </w:r>
          </w:p>
        </w:tc>
        <w:tc>
          <w:tcPr>
            <w:tcW w:w="1596" w:type="dxa"/>
          </w:tcPr>
          <w:p w14:paraId="682352D7" w14:textId="77777777" w:rsidR="0046798B" w:rsidRDefault="00903B5C">
            <w:pPr>
              <w:pStyle w:val="TableParagraph"/>
              <w:spacing w:before="38"/>
              <w:ind w:left="114" w:right="313"/>
              <w:rPr>
                <w:sz w:val="20"/>
              </w:rPr>
            </w:pPr>
            <w:r>
              <w:rPr>
                <w:sz w:val="20"/>
              </w:rPr>
              <w:t>2-year college tuition</w:t>
            </w:r>
          </w:p>
        </w:tc>
        <w:tc>
          <w:tcPr>
            <w:tcW w:w="1285" w:type="dxa"/>
          </w:tcPr>
          <w:p w14:paraId="2E2DEED4" w14:textId="77777777" w:rsidR="0046798B" w:rsidRDefault="00903B5C">
            <w:pPr>
              <w:pStyle w:val="TableParagraph"/>
              <w:spacing w:before="154"/>
              <w:ind w:left="114"/>
              <w:rPr>
                <w:sz w:val="20"/>
              </w:rPr>
            </w:pPr>
            <w:r>
              <w:rPr>
                <w:sz w:val="20"/>
              </w:rPr>
              <w:t>2004–2016</w:t>
            </w:r>
          </w:p>
        </w:tc>
        <w:tc>
          <w:tcPr>
            <w:tcW w:w="3421" w:type="dxa"/>
          </w:tcPr>
          <w:p w14:paraId="333003FF" w14:textId="77777777" w:rsidR="0046798B" w:rsidRDefault="00903B5C">
            <w:pPr>
              <w:pStyle w:val="TableParagraph"/>
              <w:spacing w:before="38"/>
              <w:ind w:left="114" w:right="205"/>
              <w:rPr>
                <w:sz w:val="20"/>
              </w:rPr>
            </w:pPr>
            <w:r>
              <w:rPr>
                <w:sz w:val="20"/>
              </w:rPr>
              <w:t>Average in-district tuition and fees for a 2-year institution</w:t>
            </w:r>
          </w:p>
        </w:tc>
        <w:tc>
          <w:tcPr>
            <w:tcW w:w="6482" w:type="dxa"/>
          </w:tcPr>
          <w:p w14:paraId="54162454" w14:textId="77777777" w:rsidR="0046798B" w:rsidRDefault="00903B5C">
            <w:pPr>
              <w:pStyle w:val="TableParagraph"/>
              <w:spacing w:before="38"/>
              <w:ind w:left="114"/>
              <w:rPr>
                <w:sz w:val="20"/>
              </w:rPr>
            </w:pPr>
            <w:r>
              <w:rPr>
                <w:sz w:val="20"/>
              </w:rPr>
              <w:t xml:space="preserve">College Board. “Trends in Higher Education.” Annual Survey of Colleges </w:t>
            </w:r>
            <w:hyperlink r:id="rId807">
              <w:r>
                <w:rPr>
                  <w:color w:val="0462C1"/>
                  <w:sz w:val="20"/>
                  <w:u w:val="single" w:color="0462C1"/>
                </w:rPr>
                <w:t>https://nces.ed.gov/</w:t>
              </w:r>
            </w:hyperlink>
          </w:p>
        </w:tc>
      </w:tr>
      <w:tr w:rsidR="0046798B" w14:paraId="1802A56E" w14:textId="77777777">
        <w:trPr>
          <w:trHeight w:val="545"/>
        </w:trPr>
        <w:tc>
          <w:tcPr>
            <w:tcW w:w="1711" w:type="dxa"/>
          </w:tcPr>
          <w:p w14:paraId="74D73E41" w14:textId="77777777" w:rsidR="0046798B" w:rsidRDefault="00903B5C">
            <w:pPr>
              <w:pStyle w:val="TableParagraph"/>
              <w:spacing w:before="158"/>
              <w:ind w:left="115"/>
              <w:rPr>
                <w:b/>
                <w:sz w:val="20"/>
              </w:rPr>
            </w:pPr>
            <w:r>
              <w:rPr>
                <w:b/>
                <w:sz w:val="20"/>
              </w:rPr>
              <w:t>fouryear_tuition</w:t>
            </w:r>
          </w:p>
        </w:tc>
        <w:tc>
          <w:tcPr>
            <w:tcW w:w="1596" w:type="dxa"/>
          </w:tcPr>
          <w:p w14:paraId="007C288C" w14:textId="77777777" w:rsidR="0046798B" w:rsidRDefault="00903B5C">
            <w:pPr>
              <w:pStyle w:val="TableParagraph"/>
              <w:spacing w:before="43"/>
              <w:ind w:left="114" w:right="91"/>
              <w:rPr>
                <w:sz w:val="20"/>
              </w:rPr>
            </w:pPr>
            <w:r>
              <w:rPr>
                <w:sz w:val="20"/>
              </w:rPr>
              <w:t>4-year university tuition</w:t>
            </w:r>
          </w:p>
        </w:tc>
        <w:tc>
          <w:tcPr>
            <w:tcW w:w="1285" w:type="dxa"/>
          </w:tcPr>
          <w:p w14:paraId="362C29C0" w14:textId="77777777" w:rsidR="0046798B" w:rsidRDefault="00903B5C">
            <w:pPr>
              <w:pStyle w:val="TableParagraph"/>
              <w:spacing w:before="158"/>
              <w:ind w:left="114"/>
              <w:rPr>
                <w:sz w:val="20"/>
              </w:rPr>
            </w:pPr>
            <w:r>
              <w:rPr>
                <w:sz w:val="20"/>
              </w:rPr>
              <w:t>2004–2016</w:t>
            </w:r>
          </w:p>
        </w:tc>
        <w:tc>
          <w:tcPr>
            <w:tcW w:w="3421" w:type="dxa"/>
          </w:tcPr>
          <w:p w14:paraId="574A68A4" w14:textId="77777777" w:rsidR="0046798B" w:rsidRDefault="00903B5C">
            <w:pPr>
              <w:pStyle w:val="TableParagraph"/>
              <w:spacing w:before="43"/>
              <w:ind w:left="114" w:right="272"/>
              <w:rPr>
                <w:sz w:val="20"/>
              </w:rPr>
            </w:pPr>
            <w:r>
              <w:rPr>
                <w:sz w:val="20"/>
              </w:rPr>
              <w:t>Average in-state tuition and fees for a 4-year institution</w:t>
            </w:r>
          </w:p>
        </w:tc>
        <w:tc>
          <w:tcPr>
            <w:tcW w:w="6482" w:type="dxa"/>
          </w:tcPr>
          <w:p w14:paraId="5C9D423A" w14:textId="77777777" w:rsidR="0046798B" w:rsidRDefault="00903B5C">
            <w:pPr>
              <w:pStyle w:val="TableParagraph"/>
              <w:spacing w:before="43"/>
              <w:ind w:left="114" w:right="400"/>
              <w:rPr>
                <w:sz w:val="20"/>
              </w:rPr>
            </w:pPr>
            <w:r>
              <w:rPr>
                <w:sz w:val="20"/>
              </w:rPr>
              <w:t xml:space="preserve">College Board. “Trends in Higher Education.” Annual Survey of Colleges </w:t>
            </w:r>
            <w:hyperlink r:id="rId808">
              <w:r>
                <w:rPr>
                  <w:color w:val="0462C1"/>
                  <w:sz w:val="20"/>
                  <w:u w:val="single" w:color="0462C1"/>
                </w:rPr>
                <w:t>https://nces.ed.gov/</w:t>
              </w:r>
            </w:hyperlink>
          </w:p>
        </w:tc>
      </w:tr>
    </w:tbl>
    <w:p w14:paraId="38913831" w14:textId="77777777" w:rsidR="0046798B" w:rsidRDefault="0046798B">
      <w:pPr>
        <w:rPr>
          <w:sz w:val="20"/>
        </w:rPr>
        <w:sectPr w:rsidR="0046798B">
          <w:pgSz w:w="15840" w:h="12240" w:orient="landscape"/>
          <w:pgMar w:top="1220" w:right="300" w:bottom="980" w:left="820" w:header="730" w:footer="787" w:gutter="0"/>
          <w:cols w:space="720"/>
        </w:sectPr>
      </w:pPr>
    </w:p>
    <w:p w14:paraId="3625715D" w14:textId="77777777" w:rsidR="0046798B" w:rsidRDefault="0046798B">
      <w:pPr>
        <w:pStyle w:val="BodyText"/>
        <w:spacing w:before="1"/>
        <w:rPr>
          <w:sz w:val="11"/>
        </w:rPr>
      </w:pPr>
    </w:p>
    <w:p w14:paraId="557AD427" w14:textId="77777777" w:rsidR="0046798B" w:rsidRDefault="00903B5C">
      <w:pPr>
        <w:pStyle w:val="ListParagraph"/>
        <w:numPr>
          <w:ilvl w:val="0"/>
          <w:numId w:val="12"/>
        </w:numPr>
        <w:tabs>
          <w:tab w:val="left" w:pos="5441"/>
        </w:tabs>
        <w:spacing w:before="88"/>
        <w:ind w:left="5440" w:hanging="668"/>
        <w:jc w:val="left"/>
        <w:rPr>
          <w:b/>
          <w:sz w:val="28"/>
        </w:rPr>
      </w:pPr>
      <w:bookmarkStart w:id="14" w:name="VIII._Healthcare_and_Health_Insurance"/>
      <w:bookmarkStart w:id="15" w:name="_bookmark7"/>
      <w:bookmarkEnd w:id="14"/>
      <w:bookmarkEnd w:id="15"/>
      <w:r>
        <w:rPr>
          <w:b/>
          <w:sz w:val="28"/>
        </w:rPr>
        <w:t>Healthcare and Health Insurance</w:t>
      </w:r>
    </w:p>
    <w:p w14:paraId="6429AE10" w14:textId="77777777" w:rsidR="0046798B" w:rsidRDefault="0046798B">
      <w:pPr>
        <w:pStyle w:val="BodyText"/>
        <w:spacing w:before="0"/>
        <w:rPr>
          <w:b/>
          <w:sz w:val="20"/>
        </w:rPr>
      </w:pPr>
    </w:p>
    <w:p w14:paraId="2E078A1C" w14:textId="77777777" w:rsidR="0046798B" w:rsidRDefault="0046798B">
      <w:pPr>
        <w:pStyle w:val="BodyText"/>
        <w:spacing w:before="3"/>
        <w:rPr>
          <w:b/>
          <w:sz w:val="28"/>
        </w:rPr>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95753B9" w14:textId="77777777">
        <w:trPr>
          <w:trHeight w:val="590"/>
        </w:trPr>
        <w:tc>
          <w:tcPr>
            <w:tcW w:w="1711" w:type="dxa"/>
          </w:tcPr>
          <w:p w14:paraId="724A1608" w14:textId="77777777" w:rsidR="0046798B" w:rsidRDefault="00903B5C">
            <w:pPr>
              <w:pStyle w:val="TableParagraph"/>
              <w:spacing w:before="164"/>
              <w:ind w:left="140"/>
              <w:rPr>
                <w:b/>
              </w:rPr>
            </w:pPr>
            <w:r>
              <w:rPr>
                <w:b/>
              </w:rPr>
              <w:t>Variable Name</w:t>
            </w:r>
          </w:p>
        </w:tc>
        <w:tc>
          <w:tcPr>
            <w:tcW w:w="1596" w:type="dxa"/>
          </w:tcPr>
          <w:p w14:paraId="1F3C2426" w14:textId="77777777" w:rsidR="0046798B" w:rsidRDefault="00903B5C">
            <w:pPr>
              <w:pStyle w:val="TableParagraph"/>
              <w:spacing w:before="39" w:line="242" w:lineRule="auto"/>
              <w:ind w:left="249" w:right="229" w:firstLine="280"/>
              <w:rPr>
                <w:b/>
              </w:rPr>
            </w:pPr>
            <w:r>
              <w:rPr>
                <w:b/>
              </w:rPr>
              <w:t>Short Description</w:t>
            </w:r>
          </w:p>
        </w:tc>
        <w:tc>
          <w:tcPr>
            <w:tcW w:w="1285" w:type="dxa"/>
          </w:tcPr>
          <w:p w14:paraId="6143875E" w14:textId="77777777" w:rsidR="0046798B" w:rsidRDefault="00903B5C">
            <w:pPr>
              <w:pStyle w:val="TableParagraph"/>
              <w:spacing w:before="164"/>
              <w:ind w:left="374"/>
              <w:rPr>
                <w:b/>
              </w:rPr>
            </w:pPr>
            <w:r>
              <w:rPr>
                <w:b/>
              </w:rPr>
              <w:t>Dates</w:t>
            </w:r>
          </w:p>
        </w:tc>
        <w:tc>
          <w:tcPr>
            <w:tcW w:w="3421" w:type="dxa"/>
          </w:tcPr>
          <w:p w14:paraId="76ACF883" w14:textId="77777777" w:rsidR="0046798B" w:rsidRDefault="00903B5C">
            <w:pPr>
              <w:pStyle w:val="TableParagraph"/>
              <w:spacing w:before="39"/>
              <w:ind w:left="159" w:right="146"/>
              <w:jc w:val="center"/>
              <w:rPr>
                <w:b/>
              </w:rPr>
            </w:pPr>
            <w:r>
              <w:rPr>
                <w:b/>
              </w:rPr>
              <w:t>Coding /</w:t>
            </w:r>
          </w:p>
          <w:p w14:paraId="64C6B1D9" w14:textId="77777777" w:rsidR="0046798B" w:rsidRDefault="00903B5C">
            <w:pPr>
              <w:pStyle w:val="TableParagraph"/>
              <w:spacing w:before="2"/>
              <w:ind w:left="159" w:right="150"/>
              <w:jc w:val="center"/>
              <w:rPr>
                <w:b/>
              </w:rPr>
            </w:pPr>
            <w:r>
              <w:rPr>
                <w:b/>
              </w:rPr>
              <w:t>Longer Description (if available)</w:t>
            </w:r>
          </w:p>
        </w:tc>
        <w:tc>
          <w:tcPr>
            <w:tcW w:w="6482" w:type="dxa"/>
          </w:tcPr>
          <w:p w14:paraId="35A1C034" w14:textId="77777777" w:rsidR="0046798B" w:rsidRDefault="00903B5C">
            <w:pPr>
              <w:pStyle w:val="TableParagraph"/>
              <w:spacing w:before="164"/>
              <w:ind w:left="2852" w:right="2845"/>
              <w:jc w:val="center"/>
              <w:rPr>
                <w:b/>
              </w:rPr>
            </w:pPr>
            <w:r>
              <w:rPr>
                <w:b/>
              </w:rPr>
              <w:t>Sources</w:t>
            </w:r>
          </w:p>
        </w:tc>
      </w:tr>
      <w:tr w:rsidR="0046798B" w14:paraId="7962D5AA" w14:textId="77777777">
        <w:trPr>
          <w:trHeight w:val="1926"/>
        </w:trPr>
        <w:tc>
          <w:tcPr>
            <w:tcW w:w="1711" w:type="dxa"/>
          </w:tcPr>
          <w:p w14:paraId="4633A8F6" w14:textId="77777777" w:rsidR="0046798B" w:rsidRDefault="0046798B">
            <w:pPr>
              <w:pStyle w:val="TableParagraph"/>
              <w:rPr>
                <w:b/>
              </w:rPr>
            </w:pPr>
          </w:p>
          <w:p w14:paraId="46E5CD84" w14:textId="77777777" w:rsidR="0046798B" w:rsidRDefault="0046798B">
            <w:pPr>
              <w:pStyle w:val="TableParagraph"/>
              <w:rPr>
                <w:b/>
              </w:rPr>
            </w:pPr>
          </w:p>
          <w:p w14:paraId="790A2D39" w14:textId="77777777" w:rsidR="0046798B" w:rsidRDefault="0046798B">
            <w:pPr>
              <w:pStyle w:val="TableParagraph"/>
              <w:spacing w:before="9"/>
              <w:rPr>
                <w:b/>
                <w:sz w:val="29"/>
              </w:rPr>
            </w:pPr>
          </w:p>
          <w:p w14:paraId="1675CF9B" w14:textId="77777777" w:rsidR="0046798B" w:rsidRDefault="00903B5C">
            <w:pPr>
              <w:pStyle w:val="TableParagraph"/>
              <w:ind w:left="115"/>
              <w:rPr>
                <w:b/>
                <w:sz w:val="20"/>
              </w:rPr>
            </w:pPr>
            <w:r>
              <w:rPr>
                <w:b/>
                <w:sz w:val="20"/>
              </w:rPr>
              <w:t>apology</w:t>
            </w:r>
          </w:p>
        </w:tc>
        <w:tc>
          <w:tcPr>
            <w:tcW w:w="1596" w:type="dxa"/>
          </w:tcPr>
          <w:p w14:paraId="40AA365D" w14:textId="77777777" w:rsidR="0046798B" w:rsidRDefault="0046798B">
            <w:pPr>
              <w:pStyle w:val="TableParagraph"/>
              <w:rPr>
                <w:b/>
              </w:rPr>
            </w:pPr>
          </w:p>
          <w:p w14:paraId="5CF46B72" w14:textId="77777777" w:rsidR="0046798B" w:rsidRDefault="0046798B">
            <w:pPr>
              <w:pStyle w:val="TableParagraph"/>
              <w:spacing w:before="9"/>
              <w:rPr>
                <w:b/>
                <w:sz w:val="31"/>
              </w:rPr>
            </w:pPr>
          </w:p>
          <w:p w14:paraId="27CAD034" w14:textId="77777777" w:rsidR="0046798B" w:rsidRDefault="00903B5C">
            <w:pPr>
              <w:pStyle w:val="TableParagraph"/>
              <w:ind w:left="114" w:right="224"/>
              <w:rPr>
                <w:sz w:val="20"/>
              </w:rPr>
            </w:pPr>
            <w:r>
              <w:rPr>
                <w:sz w:val="20"/>
              </w:rPr>
              <w:t>Physician apology protection laws</w:t>
            </w:r>
          </w:p>
        </w:tc>
        <w:tc>
          <w:tcPr>
            <w:tcW w:w="1285" w:type="dxa"/>
          </w:tcPr>
          <w:p w14:paraId="2AA221ED" w14:textId="77777777" w:rsidR="0046798B" w:rsidRDefault="0046798B">
            <w:pPr>
              <w:pStyle w:val="TableParagraph"/>
              <w:rPr>
                <w:b/>
              </w:rPr>
            </w:pPr>
          </w:p>
          <w:p w14:paraId="28FC3C11" w14:textId="77777777" w:rsidR="0046798B" w:rsidRDefault="0046798B">
            <w:pPr>
              <w:pStyle w:val="TableParagraph"/>
              <w:rPr>
                <w:b/>
              </w:rPr>
            </w:pPr>
          </w:p>
          <w:p w14:paraId="6F993024" w14:textId="77777777" w:rsidR="0046798B" w:rsidRDefault="0046798B">
            <w:pPr>
              <w:pStyle w:val="TableParagraph"/>
              <w:spacing w:before="9"/>
              <w:rPr>
                <w:b/>
                <w:sz w:val="29"/>
              </w:rPr>
            </w:pPr>
          </w:p>
          <w:p w14:paraId="62D8B85B" w14:textId="77777777" w:rsidR="0046798B" w:rsidRDefault="00903B5C">
            <w:pPr>
              <w:pStyle w:val="TableParagraph"/>
              <w:ind w:left="114"/>
              <w:rPr>
                <w:sz w:val="20"/>
              </w:rPr>
            </w:pPr>
            <w:r>
              <w:rPr>
                <w:sz w:val="20"/>
              </w:rPr>
              <w:t>1986–2013</w:t>
            </w:r>
          </w:p>
        </w:tc>
        <w:tc>
          <w:tcPr>
            <w:tcW w:w="3421" w:type="dxa"/>
          </w:tcPr>
          <w:p w14:paraId="2F256ED3" w14:textId="77777777" w:rsidR="0046798B" w:rsidRDefault="0046798B">
            <w:pPr>
              <w:pStyle w:val="TableParagraph"/>
              <w:rPr>
                <w:b/>
              </w:rPr>
            </w:pPr>
          </w:p>
          <w:p w14:paraId="4A19607B" w14:textId="77777777" w:rsidR="0046798B" w:rsidRDefault="0046798B">
            <w:pPr>
              <w:pStyle w:val="TableParagraph"/>
              <w:rPr>
                <w:b/>
              </w:rPr>
            </w:pPr>
          </w:p>
          <w:p w14:paraId="4A9721A1" w14:textId="77777777" w:rsidR="0046798B" w:rsidRDefault="0046798B">
            <w:pPr>
              <w:pStyle w:val="TableParagraph"/>
              <w:spacing w:before="9"/>
              <w:rPr>
                <w:b/>
                <w:sz w:val="19"/>
              </w:rPr>
            </w:pPr>
          </w:p>
          <w:p w14:paraId="22F1FA40" w14:textId="77777777" w:rsidR="0046798B" w:rsidRDefault="00903B5C">
            <w:pPr>
              <w:pStyle w:val="TableParagraph"/>
              <w:ind w:left="114" w:right="1475"/>
              <w:rPr>
                <w:sz w:val="20"/>
              </w:rPr>
            </w:pPr>
            <w:r>
              <w:rPr>
                <w:sz w:val="20"/>
              </w:rPr>
              <w:t>0 = policy not adopted 1 = policy adopted</w:t>
            </w:r>
          </w:p>
        </w:tc>
        <w:tc>
          <w:tcPr>
            <w:tcW w:w="6482" w:type="dxa"/>
          </w:tcPr>
          <w:p w14:paraId="381A3E25" w14:textId="77777777" w:rsidR="0046798B" w:rsidRDefault="00903B5C">
            <w:pPr>
              <w:pStyle w:val="TableParagraph"/>
              <w:spacing w:before="44"/>
              <w:ind w:left="114" w:right="128"/>
              <w:jc w:val="both"/>
              <w:rPr>
                <w:sz w:val="20"/>
              </w:rPr>
            </w:pPr>
            <w:r>
              <w:rPr>
                <w:sz w:val="20"/>
              </w:rPr>
              <w:t>Mallinson, Daniel J. “Building a better speed trap: Measuring policy</w:t>
            </w:r>
            <w:r>
              <w:rPr>
                <w:spacing w:val="-16"/>
                <w:sz w:val="20"/>
              </w:rPr>
              <w:t xml:space="preserve"> </w:t>
            </w:r>
            <w:r>
              <w:rPr>
                <w:sz w:val="20"/>
              </w:rPr>
              <w:t xml:space="preserve">adoption speed in the American states.” </w:t>
            </w:r>
            <w:r>
              <w:rPr>
                <w:i/>
                <w:sz w:val="20"/>
              </w:rPr>
              <w:t xml:space="preserve">State Politics &amp; Policy Quarterly </w:t>
            </w:r>
            <w:r>
              <w:rPr>
                <w:sz w:val="20"/>
              </w:rPr>
              <w:t>16.1 (2016): 98-120.</w:t>
            </w:r>
          </w:p>
          <w:p w14:paraId="61CEE390" w14:textId="77777777" w:rsidR="0046798B" w:rsidRDefault="0046798B">
            <w:pPr>
              <w:pStyle w:val="TableParagraph"/>
              <w:spacing w:before="11"/>
              <w:rPr>
                <w:b/>
                <w:sz w:val="19"/>
              </w:rPr>
            </w:pPr>
          </w:p>
          <w:p w14:paraId="58FCE826"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2BEF9CD4" w14:textId="77777777">
        <w:trPr>
          <w:trHeight w:val="1930"/>
        </w:trPr>
        <w:tc>
          <w:tcPr>
            <w:tcW w:w="1711" w:type="dxa"/>
          </w:tcPr>
          <w:p w14:paraId="5FABCF1F" w14:textId="77777777" w:rsidR="0046798B" w:rsidRDefault="0046798B">
            <w:pPr>
              <w:pStyle w:val="TableParagraph"/>
              <w:rPr>
                <w:b/>
              </w:rPr>
            </w:pPr>
          </w:p>
          <w:p w14:paraId="5D35B58C" w14:textId="77777777" w:rsidR="0046798B" w:rsidRDefault="0046798B">
            <w:pPr>
              <w:pStyle w:val="TableParagraph"/>
              <w:rPr>
                <w:b/>
              </w:rPr>
            </w:pPr>
          </w:p>
          <w:p w14:paraId="70829B2A" w14:textId="77777777" w:rsidR="0046798B" w:rsidRDefault="0046798B">
            <w:pPr>
              <w:pStyle w:val="TableParagraph"/>
              <w:spacing w:before="9"/>
              <w:rPr>
                <w:b/>
                <w:sz w:val="29"/>
              </w:rPr>
            </w:pPr>
          </w:p>
          <w:p w14:paraId="5D879C42" w14:textId="77777777" w:rsidR="0046798B" w:rsidRDefault="00903B5C">
            <w:pPr>
              <w:pStyle w:val="TableParagraph"/>
              <w:ind w:left="115"/>
              <w:rPr>
                <w:b/>
                <w:sz w:val="20"/>
              </w:rPr>
            </w:pPr>
            <w:r>
              <w:rPr>
                <w:b/>
                <w:sz w:val="20"/>
              </w:rPr>
              <w:t>autism</w:t>
            </w:r>
          </w:p>
        </w:tc>
        <w:tc>
          <w:tcPr>
            <w:tcW w:w="1596" w:type="dxa"/>
          </w:tcPr>
          <w:p w14:paraId="36826F83" w14:textId="77777777" w:rsidR="0046798B" w:rsidRDefault="0046798B">
            <w:pPr>
              <w:pStyle w:val="TableParagraph"/>
              <w:rPr>
                <w:b/>
              </w:rPr>
            </w:pPr>
          </w:p>
          <w:p w14:paraId="44FCBEC5" w14:textId="77777777" w:rsidR="0046798B" w:rsidRDefault="00903B5C">
            <w:pPr>
              <w:pStyle w:val="TableParagraph"/>
              <w:spacing w:before="135"/>
              <w:ind w:left="114" w:right="169"/>
              <w:rPr>
                <w:sz w:val="20"/>
              </w:rPr>
            </w:pPr>
            <w:r>
              <w:rPr>
                <w:sz w:val="20"/>
              </w:rPr>
              <w:t>Requirement that insurance provide or offer some autism coverage</w:t>
            </w:r>
          </w:p>
        </w:tc>
        <w:tc>
          <w:tcPr>
            <w:tcW w:w="1285" w:type="dxa"/>
          </w:tcPr>
          <w:p w14:paraId="2F2F5EAA" w14:textId="77777777" w:rsidR="0046798B" w:rsidRDefault="0046798B">
            <w:pPr>
              <w:pStyle w:val="TableParagraph"/>
              <w:rPr>
                <w:b/>
              </w:rPr>
            </w:pPr>
          </w:p>
          <w:p w14:paraId="474F6418" w14:textId="77777777" w:rsidR="0046798B" w:rsidRDefault="0046798B">
            <w:pPr>
              <w:pStyle w:val="TableParagraph"/>
              <w:rPr>
                <w:b/>
              </w:rPr>
            </w:pPr>
          </w:p>
          <w:p w14:paraId="4BBFB95F" w14:textId="77777777" w:rsidR="0046798B" w:rsidRDefault="0046798B">
            <w:pPr>
              <w:pStyle w:val="TableParagraph"/>
              <w:spacing w:before="9"/>
              <w:rPr>
                <w:b/>
                <w:sz w:val="29"/>
              </w:rPr>
            </w:pPr>
          </w:p>
          <w:p w14:paraId="15374463" w14:textId="77777777" w:rsidR="0046798B" w:rsidRDefault="00903B5C">
            <w:pPr>
              <w:pStyle w:val="TableParagraph"/>
              <w:ind w:left="114"/>
              <w:rPr>
                <w:sz w:val="20"/>
              </w:rPr>
            </w:pPr>
            <w:r>
              <w:rPr>
                <w:sz w:val="20"/>
              </w:rPr>
              <w:t>1999–2012</w:t>
            </w:r>
          </w:p>
        </w:tc>
        <w:tc>
          <w:tcPr>
            <w:tcW w:w="3421" w:type="dxa"/>
          </w:tcPr>
          <w:p w14:paraId="04473966" w14:textId="77777777" w:rsidR="0046798B" w:rsidRDefault="0046798B">
            <w:pPr>
              <w:pStyle w:val="TableParagraph"/>
              <w:rPr>
                <w:b/>
              </w:rPr>
            </w:pPr>
          </w:p>
          <w:p w14:paraId="3B71B0B5" w14:textId="77777777" w:rsidR="0046798B" w:rsidRDefault="0046798B">
            <w:pPr>
              <w:pStyle w:val="TableParagraph"/>
              <w:rPr>
                <w:b/>
              </w:rPr>
            </w:pPr>
          </w:p>
          <w:p w14:paraId="1394E181" w14:textId="77777777" w:rsidR="0046798B" w:rsidRDefault="0046798B">
            <w:pPr>
              <w:pStyle w:val="TableParagraph"/>
              <w:spacing w:before="9"/>
              <w:rPr>
                <w:b/>
                <w:sz w:val="19"/>
              </w:rPr>
            </w:pPr>
          </w:p>
          <w:p w14:paraId="519BCBDB" w14:textId="77777777" w:rsidR="0046798B" w:rsidRDefault="00903B5C">
            <w:pPr>
              <w:pStyle w:val="TableParagraph"/>
              <w:ind w:left="114" w:right="1475"/>
              <w:rPr>
                <w:sz w:val="20"/>
              </w:rPr>
            </w:pPr>
            <w:r>
              <w:rPr>
                <w:sz w:val="20"/>
              </w:rPr>
              <w:t>0 = policy not adopted 1 = policy adopted</w:t>
            </w:r>
          </w:p>
        </w:tc>
        <w:tc>
          <w:tcPr>
            <w:tcW w:w="6482" w:type="dxa"/>
          </w:tcPr>
          <w:p w14:paraId="60E88106" w14:textId="77777777" w:rsidR="0046798B" w:rsidRDefault="00903B5C">
            <w:pPr>
              <w:pStyle w:val="TableParagraph"/>
              <w:spacing w:before="43"/>
              <w:ind w:left="114" w:right="128"/>
              <w:jc w:val="both"/>
              <w:rPr>
                <w:sz w:val="20"/>
              </w:rPr>
            </w:pPr>
            <w:r>
              <w:rPr>
                <w:sz w:val="20"/>
              </w:rPr>
              <w:t>Mallinson, Daniel J. “Building a better speed trap: Measuring policy</w:t>
            </w:r>
            <w:r>
              <w:rPr>
                <w:spacing w:val="-16"/>
                <w:sz w:val="20"/>
              </w:rPr>
              <w:t xml:space="preserve"> </w:t>
            </w:r>
            <w:r>
              <w:rPr>
                <w:sz w:val="20"/>
              </w:rPr>
              <w:t xml:space="preserve">adoption speed in the American states.” </w:t>
            </w:r>
            <w:r>
              <w:rPr>
                <w:i/>
                <w:sz w:val="20"/>
              </w:rPr>
              <w:t xml:space="preserve">State Politics &amp; Policy Quarterly </w:t>
            </w:r>
            <w:r>
              <w:rPr>
                <w:sz w:val="20"/>
              </w:rPr>
              <w:t>16.1 (2016): 98-120.</w:t>
            </w:r>
          </w:p>
          <w:p w14:paraId="52AAB5AB" w14:textId="77777777" w:rsidR="0046798B" w:rsidRDefault="0046798B">
            <w:pPr>
              <w:pStyle w:val="TableParagraph"/>
              <w:rPr>
                <w:b/>
                <w:sz w:val="20"/>
              </w:rPr>
            </w:pPr>
          </w:p>
          <w:p w14:paraId="7A084FF0"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389C294D" w14:textId="77777777">
        <w:trPr>
          <w:trHeight w:val="1925"/>
        </w:trPr>
        <w:tc>
          <w:tcPr>
            <w:tcW w:w="1711" w:type="dxa"/>
          </w:tcPr>
          <w:p w14:paraId="2260478F" w14:textId="77777777" w:rsidR="0046798B" w:rsidRDefault="0046798B">
            <w:pPr>
              <w:pStyle w:val="TableParagraph"/>
              <w:rPr>
                <w:b/>
              </w:rPr>
            </w:pPr>
          </w:p>
          <w:p w14:paraId="62A60AEB" w14:textId="77777777" w:rsidR="0046798B" w:rsidRDefault="0046798B">
            <w:pPr>
              <w:pStyle w:val="TableParagraph"/>
              <w:rPr>
                <w:b/>
              </w:rPr>
            </w:pPr>
          </w:p>
          <w:p w14:paraId="16FDCEA3" w14:textId="77777777" w:rsidR="0046798B" w:rsidRDefault="0046798B">
            <w:pPr>
              <w:pStyle w:val="TableParagraph"/>
              <w:spacing w:before="3"/>
              <w:rPr>
                <w:b/>
                <w:sz w:val="29"/>
              </w:rPr>
            </w:pPr>
          </w:p>
          <w:p w14:paraId="21ED00F5" w14:textId="77777777" w:rsidR="0046798B" w:rsidRDefault="00903B5C">
            <w:pPr>
              <w:pStyle w:val="TableParagraph"/>
              <w:spacing w:before="1"/>
              <w:ind w:left="115"/>
              <w:rPr>
                <w:b/>
                <w:sz w:val="20"/>
              </w:rPr>
            </w:pPr>
            <w:r>
              <w:rPr>
                <w:b/>
                <w:sz w:val="20"/>
              </w:rPr>
              <w:t>breastdensity</w:t>
            </w:r>
          </w:p>
        </w:tc>
        <w:tc>
          <w:tcPr>
            <w:tcW w:w="1596" w:type="dxa"/>
          </w:tcPr>
          <w:p w14:paraId="1C4A8442" w14:textId="77777777" w:rsidR="0046798B" w:rsidRDefault="0046798B">
            <w:pPr>
              <w:pStyle w:val="TableParagraph"/>
              <w:rPr>
                <w:b/>
              </w:rPr>
            </w:pPr>
          </w:p>
          <w:p w14:paraId="71C095DD" w14:textId="77777777" w:rsidR="0046798B" w:rsidRDefault="0046798B">
            <w:pPr>
              <w:pStyle w:val="TableParagraph"/>
              <w:rPr>
                <w:b/>
              </w:rPr>
            </w:pPr>
          </w:p>
          <w:p w14:paraId="044240D7" w14:textId="77777777" w:rsidR="0046798B" w:rsidRDefault="0046798B">
            <w:pPr>
              <w:pStyle w:val="TableParagraph"/>
              <w:spacing w:before="3"/>
              <w:rPr>
                <w:b/>
                <w:sz w:val="19"/>
              </w:rPr>
            </w:pPr>
          </w:p>
          <w:p w14:paraId="7CBE2DD3" w14:textId="77777777" w:rsidR="0046798B" w:rsidRDefault="00903B5C">
            <w:pPr>
              <w:pStyle w:val="TableParagraph"/>
              <w:spacing w:before="1"/>
              <w:ind w:left="114" w:right="169"/>
              <w:rPr>
                <w:sz w:val="20"/>
              </w:rPr>
            </w:pPr>
            <w:r>
              <w:rPr>
                <w:sz w:val="20"/>
              </w:rPr>
              <w:t>Breast density notification acts</w:t>
            </w:r>
          </w:p>
        </w:tc>
        <w:tc>
          <w:tcPr>
            <w:tcW w:w="1285" w:type="dxa"/>
          </w:tcPr>
          <w:p w14:paraId="26F100EC" w14:textId="77777777" w:rsidR="0046798B" w:rsidRDefault="0046798B">
            <w:pPr>
              <w:pStyle w:val="TableParagraph"/>
              <w:rPr>
                <w:b/>
              </w:rPr>
            </w:pPr>
          </w:p>
          <w:p w14:paraId="06BD2E96" w14:textId="77777777" w:rsidR="0046798B" w:rsidRDefault="0046798B">
            <w:pPr>
              <w:pStyle w:val="TableParagraph"/>
              <w:rPr>
                <w:b/>
              </w:rPr>
            </w:pPr>
          </w:p>
          <w:p w14:paraId="22B0E398" w14:textId="77777777" w:rsidR="0046798B" w:rsidRDefault="0046798B">
            <w:pPr>
              <w:pStyle w:val="TableParagraph"/>
              <w:spacing w:before="3"/>
              <w:rPr>
                <w:b/>
                <w:sz w:val="29"/>
              </w:rPr>
            </w:pPr>
          </w:p>
          <w:p w14:paraId="77181369" w14:textId="77777777" w:rsidR="0046798B" w:rsidRDefault="00903B5C">
            <w:pPr>
              <w:pStyle w:val="TableParagraph"/>
              <w:spacing w:before="1"/>
              <w:ind w:left="114"/>
              <w:rPr>
                <w:sz w:val="20"/>
              </w:rPr>
            </w:pPr>
            <w:r>
              <w:rPr>
                <w:sz w:val="20"/>
              </w:rPr>
              <w:t>2009–2013</w:t>
            </w:r>
          </w:p>
        </w:tc>
        <w:tc>
          <w:tcPr>
            <w:tcW w:w="3421" w:type="dxa"/>
          </w:tcPr>
          <w:p w14:paraId="71AD9123" w14:textId="77777777" w:rsidR="0046798B" w:rsidRDefault="0046798B">
            <w:pPr>
              <w:pStyle w:val="TableParagraph"/>
              <w:rPr>
                <w:b/>
              </w:rPr>
            </w:pPr>
          </w:p>
          <w:p w14:paraId="2AA5DE6F" w14:textId="77777777" w:rsidR="0046798B" w:rsidRDefault="0046798B">
            <w:pPr>
              <w:pStyle w:val="TableParagraph"/>
              <w:rPr>
                <w:b/>
              </w:rPr>
            </w:pPr>
          </w:p>
          <w:p w14:paraId="3852FF66" w14:textId="77777777" w:rsidR="0046798B" w:rsidRDefault="0046798B">
            <w:pPr>
              <w:pStyle w:val="TableParagraph"/>
              <w:spacing w:before="3"/>
              <w:rPr>
                <w:b/>
                <w:sz w:val="19"/>
              </w:rPr>
            </w:pPr>
          </w:p>
          <w:p w14:paraId="631CB2EF"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5F097495" w14:textId="77777777" w:rsidR="0046798B" w:rsidRDefault="00903B5C">
            <w:pPr>
              <w:pStyle w:val="TableParagraph"/>
              <w:spacing w:before="38"/>
              <w:ind w:left="114" w:right="128"/>
              <w:jc w:val="both"/>
              <w:rPr>
                <w:sz w:val="20"/>
              </w:rPr>
            </w:pPr>
            <w:r>
              <w:rPr>
                <w:sz w:val="20"/>
              </w:rPr>
              <w:t>Mallinson, Daniel J. “Building a better speed trap: Measuring policy</w:t>
            </w:r>
            <w:r>
              <w:rPr>
                <w:spacing w:val="-16"/>
                <w:sz w:val="20"/>
              </w:rPr>
              <w:t xml:space="preserve"> </w:t>
            </w:r>
            <w:r>
              <w:rPr>
                <w:sz w:val="20"/>
              </w:rPr>
              <w:t xml:space="preserve">adoption speed in the American states.” </w:t>
            </w:r>
            <w:r>
              <w:rPr>
                <w:i/>
                <w:sz w:val="20"/>
              </w:rPr>
              <w:t xml:space="preserve">State Politics &amp; Policy Quarterly </w:t>
            </w:r>
            <w:r>
              <w:rPr>
                <w:sz w:val="20"/>
              </w:rPr>
              <w:t>16.1 (2016): 98-120.</w:t>
            </w:r>
          </w:p>
          <w:p w14:paraId="08CA5857" w14:textId="77777777" w:rsidR="0046798B" w:rsidRDefault="0046798B">
            <w:pPr>
              <w:pStyle w:val="TableParagraph"/>
              <w:rPr>
                <w:b/>
                <w:sz w:val="20"/>
              </w:rPr>
            </w:pPr>
          </w:p>
          <w:p w14:paraId="55ABBDC6"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56F186E0" w14:textId="77777777">
        <w:trPr>
          <w:trHeight w:val="1925"/>
        </w:trPr>
        <w:tc>
          <w:tcPr>
            <w:tcW w:w="1711" w:type="dxa"/>
          </w:tcPr>
          <w:p w14:paraId="59E936AE" w14:textId="77777777" w:rsidR="0046798B" w:rsidRDefault="0046798B">
            <w:pPr>
              <w:pStyle w:val="TableParagraph"/>
              <w:rPr>
                <w:b/>
              </w:rPr>
            </w:pPr>
          </w:p>
          <w:p w14:paraId="62E38488" w14:textId="77777777" w:rsidR="0046798B" w:rsidRDefault="0046798B">
            <w:pPr>
              <w:pStyle w:val="TableParagraph"/>
              <w:rPr>
                <w:b/>
              </w:rPr>
            </w:pPr>
          </w:p>
          <w:p w14:paraId="4D602EA5" w14:textId="77777777" w:rsidR="0046798B" w:rsidRDefault="0046798B">
            <w:pPr>
              <w:pStyle w:val="TableParagraph"/>
              <w:spacing w:before="4"/>
              <w:rPr>
                <w:b/>
                <w:sz w:val="19"/>
              </w:rPr>
            </w:pPr>
          </w:p>
          <w:p w14:paraId="7DEA5697" w14:textId="77777777" w:rsidR="0046798B" w:rsidRDefault="00903B5C">
            <w:pPr>
              <w:pStyle w:val="TableParagraph"/>
              <w:ind w:left="115" w:right="99"/>
              <w:rPr>
                <w:b/>
                <w:sz w:val="20"/>
              </w:rPr>
            </w:pPr>
            <w:r>
              <w:rPr>
                <w:b/>
                <w:sz w:val="20"/>
              </w:rPr>
              <w:t>newbornheartscr een</w:t>
            </w:r>
          </w:p>
        </w:tc>
        <w:tc>
          <w:tcPr>
            <w:tcW w:w="1596" w:type="dxa"/>
          </w:tcPr>
          <w:p w14:paraId="2208D937" w14:textId="77777777" w:rsidR="0046798B" w:rsidRDefault="0046798B">
            <w:pPr>
              <w:pStyle w:val="TableParagraph"/>
              <w:spacing w:before="3"/>
              <w:rPr>
                <w:b/>
                <w:sz w:val="23"/>
              </w:rPr>
            </w:pPr>
          </w:p>
          <w:p w14:paraId="4881DE49" w14:textId="77777777" w:rsidR="0046798B" w:rsidRDefault="00903B5C">
            <w:pPr>
              <w:pStyle w:val="TableParagraph"/>
              <w:spacing w:before="1"/>
              <w:ind w:left="114" w:right="169"/>
              <w:rPr>
                <w:sz w:val="20"/>
              </w:rPr>
            </w:pPr>
            <w:r>
              <w:rPr>
                <w:sz w:val="20"/>
              </w:rPr>
              <w:t>Coverage for newborn screening for critical congenital heart disease</w:t>
            </w:r>
          </w:p>
        </w:tc>
        <w:tc>
          <w:tcPr>
            <w:tcW w:w="1285" w:type="dxa"/>
          </w:tcPr>
          <w:p w14:paraId="39395F0D" w14:textId="77777777" w:rsidR="0046798B" w:rsidRDefault="0046798B">
            <w:pPr>
              <w:pStyle w:val="TableParagraph"/>
              <w:rPr>
                <w:b/>
              </w:rPr>
            </w:pPr>
          </w:p>
          <w:p w14:paraId="690048F7" w14:textId="77777777" w:rsidR="0046798B" w:rsidRDefault="0046798B">
            <w:pPr>
              <w:pStyle w:val="TableParagraph"/>
              <w:rPr>
                <w:b/>
              </w:rPr>
            </w:pPr>
          </w:p>
          <w:p w14:paraId="4AFC245D" w14:textId="77777777" w:rsidR="0046798B" w:rsidRDefault="0046798B">
            <w:pPr>
              <w:pStyle w:val="TableParagraph"/>
              <w:spacing w:before="4"/>
              <w:rPr>
                <w:b/>
                <w:sz w:val="29"/>
              </w:rPr>
            </w:pPr>
          </w:p>
          <w:p w14:paraId="460BEE8F" w14:textId="77777777" w:rsidR="0046798B" w:rsidRDefault="00903B5C">
            <w:pPr>
              <w:pStyle w:val="TableParagraph"/>
              <w:ind w:left="114"/>
              <w:rPr>
                <w:sz w:val="20"/>
              </w:rPr>
            </w:pPr>
            <w:r>
              <w:rPr>
                <w:sz w:val="20"/>
              </w:rPr>
              <w:t>2011–2013</w:t>
            </w:r>
          </w:p>
        </w:tc>
        <w:tc>
          <w:tcPr>
            <w:tcW w:w="3421" w:type="dxa"/>
          </w:tcPr>
          <w:p w14:paraId="52CBB792" w14:textId="77777777" w:rsidR="0046798B" w:rsidRDefault="0046798B">
            <w:pPr>
              <w:pStyle w:val="TableParagraph"/>
              <w:rPr>
                <w:b/>
              </w:rPr>
            </w:pPr>
          </w:p>
          <w:p w14:paraId="6C4E2AC9" w14:textId="77777777" w:rsidR="0046798B" w:rsidRDefault="0046798B">
            <w:pPr>
              <w:pStyle w:val="TableParagraph"/>
              <w:rPr>
                <w:b/>
              </w:rPr>
            </w:pPr>
          </w:p>
          <w:p w14:paraId="0DCC5D8E" w14:textId="77777777" w:rsidR="0046798B" w:rsidRDefault="0046798B">
            <w:pPr>
              <w:pStyle w:val="TableParagraph"/>
              <w:spacing w:before="4"/>
              <w:rPr>
                <w:b/>
                <w:sz w:val="19"/>
              </w:rPr>
            </w:pPr>
          </w:p>
          <w:p w14:paraId="742DBFDD" w14:textId="77777777" w:rsidR="0046798B" w:rsidRDefault="00903B5C">
            <w:pPr>
              <w:pStyle w:val="TableParagraph"/>
              <w:ind w:left="114" w:right="1475"/>
              <w:rPr>
                <w:sz w:val="20"/>
              </w:rPr>
            </w:pPr>
            <w:r>
              <w:rPr>
                <w:sz w:val="20"/>
              </w:rPr>
              <w:t>0 = policy not adopted 1 = policy adopted</w:t>
            </w:r>
          </w:p>
        </w:tc>
        <w:tc>
          <w:tcPr>
            <w:tcW w:w="6482" w:type="dxa"/>
          </w:tcPr>
          <w:p w14:paraId="1A2672BB" w14:textId="77777777" w:rsidR="0046798B" w:rsidRDefault="00903B5C">
            <w:pPr>
              <w:pStyle w:val="TableParagraph"/>
              <w:spacing w:before="38"/>
              <w:ind w:left="114" w:right="128"/>
              <w:jc w:val="both"/>
              <w:rPr>
                <w:sz w:val="20"/>
              </w:rPr>
            </w:pPr>
            <w:r>
              <w:rPr>
                <w:sz w:val="20"/>
              </w:rPr>
              <w:t>Mallinson, Daniel J. “Building a better speed trap: Measuring policy</w:t>
            </w:r>
            <w:r>
              <w:rPr>
                <w:spacing w:val="-16"/>
                <w:sz w:val="20"/>
              </w:rPr>
              <w:t xml:space="preserve"> </w:t>
            </w:r>
            <w:r>
              <w:rPr>
                <w:sz w:val="20"/>
              </w:rPr>
              <w:t xml:space="preserve">adoption speed in the American states.” </w:t>
            </w:r>
            <w:r>
              <w:rPr>
                <w:i/>
                <w:sz w:val="20"/>
              </w:rPr>
              <w:t xml:space="preserve">State Politics &amp; Policy Quarterly </w:t>
            </w:r>
            <w:r>
              <w:rPr>
                <w:sz w:val="20"/>
              </w:rPr>
              <w:t>16.1 (2016): 98-120.</w:t>
            </w:r>
          </w:p>
          <w:p w14:paraId="500C23B5" w14:textId="77777777" w:rsidR="0046798B" w:rsidRDefault="0046798B">
            <w:pPr>
              <w:pStyle w:val="TableParagraph"/>
              <w:rPr>
                <w:b/>
                <w:sz w:val="20"/>
              </w:rPr>
            </w:pPr>
          </w:p>
          <w:p w14:paraId="7CC2C44C"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bl>
    <w:p w14:paraId="0AD0358A" w14:textId="77777777" w:rsidR="0046798B" w:rsidRDefault="0046798B">
      <w:pPr>
        <w:rPr>
          <w:sz w:val="20"/>
        </w:rPr>
        <w:sectPr w:rsidR="0046798B">
          <w:pgSz w:w="15840" w:h="12240" w:orient="landscape"/>
          <w:pgMar w:top="1220" w:right="300" w:bottom="980" w:left="820" w:header="730" w:footer="787" w:gutter="0"/>
          <w:cols w:space="720"/>
        </w:sectPr>
      </w:pPr>
    </w:p>
    <w:p w14:paraId="70A2B3C4"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2FF3D843" w14:textId="77777777">
        <w:trPr>
          <w:trHeight w:val="775"/>
        </w:trPr>
        <w:tc>
          <w:tcPr>
            <w:tcW w:w="1711" w:type="dxa"/>
          </w:tcPr>
          <w:p w14:paraId="2CD74EBB" w14:textId="77777777" w:rsidR="0046798B" w:rsidRDefault="0046798B">
            <w:pPr>
              <w:pStyle w:val="TableParagraph"/>
              <w:spacing w:before="9"/>
              <w:rPr>
                <w:sz w:val="23"/>
              </w:rPr>
            </w:pPr>
          </w:p>
          <w:p w14:paraId="5AF41E65" w14:textId="77777777" w:rsidR="0046798B" w:rsidRDefault="00903B5C">
            <w:pPr>
              <w:pStyle w:val="TableParagraph"/>
              <w:ind w:left="115"/>
              <w:rPr>
                <w:b/>
                <w:sz w:val="20"/>
              </w:rPr>
            </w:pPr>
            <w:r>
              <w:rPr>
                <w:b/>
                <w:sz w:val="20"/>
              </w:rPr>
              <w:t>aging</w:t>
            </w:r>
          </w:p>
        </w:tc>
        <w:tc>
          <w:tcPr>
            <w:tcW w:w="1596" w:type="dxa"/>
          </w:tcPr>
          <w:p w14:paraId="623EE6F3" w14:textId="77777777" w:rsidR="0046798B" w:rsidRDefault="00903B5C">
            <w:pPr>
              <w:pStyle w:val="TableParagraph"/>
              <w:spacing w:before="43"/>
              <w:ind w:left="114" w:right="468"/>
              <w:rPr>
                <w:sz w:val="20"/>
              </w:rPr>
            </w:pPr>
            <w:r>
              <w:rPr>
                <w:sz w:val="20"/>
              </w:rPr>
              <w:t>Strategic planning for aging</w:t>
            </w:r>
          </w:p>
        </w:tc>
        <w:tc>
          <w:tcPr>
            <w:tcW w:w="1285" w:type="dxa"/>
          </w:tcPr>
          <w:p w14:paraId="222EE573" w14:textId="77777777" w:rsidR="0046798B" w:rsidRDefault="0046798B">
            <w:pPr>
              <w:pStyle w:val="TableParagraph"/>
              <w:spacing w:before="9"/>
              <w:rPr>
                <w:sz w:val="23"/>
              </w:rPr>
            </w:pPr>
          </w:p>
          <w:p w14:paraId="7C253933" w14:textId="77777777" w:rsidR="0046798B" w:rsidRDefault="00903B5C">
            <w:pPr>
              <w:pStyle w:val="TableParagraph"/>
              <w:ind w:left="114"/>
              <w:rPr>
                <w:sz w:val="20"/>
              </w:rPr>
            </w:pPr>
            <w:r>
              <w:rPr>
                <w:sz w:val="20"/>
              </w:rPr>
              <w:t>1974–1991</w:t>
            </w:r>
          </w:p>
        </w:tc>
        <w:tc>
          <w:tcPr>
            <w:tcW w:w="3421" w:type="dxa"/>
          </w:tcPr>
          <w:p w14:paraId="3B106438" w14:textId="77777777" w:rsidR="0046798B" w:rsidRDefault="00903B5C">
            <w:pPr>
              <w:pStyle w:val="TableParagraph"/>
              <w:spacing w:before="158"/>
              <w:ind w:left="114" w:right="305"/>
              <w:rPr>
                <w:sz w:val="20"/>
              </w:rPr>
            </w:pPr>
            <w:r>
              <w:rPr>
                <w:sz w:val="20"/>
              </w:rPr>
              <w:t>Did state adopt strategic planning for aging? (0 = no, 1 = yes)</w:t>
            </w:r>
          </w:p>
        </w:tc>
        <w:tc>
          <w:tcPr>
            <w:tcW w:w="6482" w:type="dxa"/>
          </w:tcPr>
          <w:p w14:paraId="7EE19A92" w14:textId="77777777" w:rsidR="0046798B" w:rsidRDefault="00903B5C">
            <w:pPr>
              <w:pStyle w:val="TableParagraph"/>
              <w:spacing w:before="15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23C7797E" w14:textId="77777777">
        <w:trPr>
          <w:trHeight w:val="1925"/>
        </w:trPr>
        <w:tc>
          <w:tcPr>
            <w:tcW w:w="1711" w:type="dxa"/>
          </w:tcPr>
          <w:p w14:paraId="38BC5AAE" w14:textId="77777777" w:rsidR="0046798B" w:rsidRDefault="0046798B">
            <w:pPr>
              <w:pStyle w:val="TableParagraph"/>
            </w:pPr>
          </w:p>
          <w:p w14:paraId="2CEFA4F9" w14:textId="77777777" w:rsidR="0046798B" w:rsidRDefault="0046798B">
            <w:pPr>
              <w:pStyle w:val="TableParagraph"/>
            </w:pPr>
          </w:p>
          <w:p w14:paraId="00989D2F" w14:textId="77777777" w:rsidR="0046798B" w:rsidRDefault="0046798B">
            <w:pPr>
              <w:pStyle w:val="TableParagraph"/>
              <w:spacing w:before="9"/>
              <w:rPr>
                <w:sz w:val="29"/>
              </w:rPr>
            </w:pPr>
          </w:p>
          <w:p w14:paraId="79D2B471" w14:textId="77777777" w:rsidR="0046798B" w:rsidRDefault="00903B5C">
            <w:pPr>
              <w:pStyle w:val="TableParagraph"/>
              <w:ind w:left="115"/>
              <w:rPr>
                <w:b/>
                <w:sz w:val="20"/>
              </w:rPr>
            </w:pPr>
            <w:r>
              <w:rPr>
                <w:b/>
                <w:sz w:val="20"/>
              </w:rPr>
              <w:t>banfaninc</w:t>
            </w:r>
          </w:p>
        </w:tc>
        <w:tc>
          <w:tcPr>
            <w:tcW w:w="1596" w:type="dxa"/>
          </w:tcPr>
          <w:p w14:paraId="23613EE0" w14:textId="77777777" w:rsidR="0046798B" w:rsidRDefault="00903B5C">
            <w:pPr>
              <w:pStyle w:val="TableParagraph"/>
              <w:spacing w:before="43"/>
              <w:ind w:left="114" w:right="130"/>
              <w:rPr>
                <w:sz w:val="20"/>
              </w:rPr>
            </w:pPr>
            <w:r>
              <w:rPr>
                <w:sz w:val="20"/>
              </w:rPr>
              <w:t>Ban on financial incentives for doctors to perform less costly procedures / prescribe less costly drugs</w:t>
            </w:r>
          </w:p>
        </w:tc>
        <w:tc>
          <w:tcPr>
            <w:tcW w:w="1285" w:type="dxa"/>
          </w:tcPr>
          <w:p w14:paraId="64B5E513" w14:textId="77777777" w:rsidR="0046798B" w:rsidRDefault="0046798B">
            <w:pPr>
              <w:pStyle w:val="TableParagraph"/>
            </w:pPr>
          </w:p>
          <w:p w14:paraId="3121F19B" w14:textId="77777777" w:rsidR="0046798B" w:rsidRDefault="0046798B">
            <w:pPr>
              <w:pStyle w:val="TableParagraph"/>
            </w:pPr>
          </w:p>
          <w:p w14:paraId="7E3E89C4" w14:textId="77777777" w:rsidR="0046798B" w:rsidRDefault="0046798B">
            <w:pPr>
              <w:pStyle w:val="TableParagraph"/>
              <w:spacing w:before="9"/>
              <w:rPr>
                <w:sz w:val="29"/>
              </w:rPr>
            </w:pPr>
          </w:p>
          <w:p w14:paraId="403828D4" w14:textId="77777777" w:rsidR="0046798B" w:rsidRDefault="00903B5C">
            <w:pPr>
              <w:pStyle w:val="TableParagraph"/>
              <w:ind w:left="114"/>
              <w:rPr>
                <w:sz w:val="20"/>
              </w:rPr>
            </w:pPr>
            <w:r>
              <w:rPr>
                <w:sz w:val="20"/>
              </w:rPr>
              <w:t>1996–2001</w:t>
            </w:r>
          </w:p>
        </w:tc>
        <w:tc>
          <w:tcPr>
            <w:tcW w:w="3421" w:type="dxa"/>
          </w:tcPr>
          <w:p w14:paraId="458313F9" w14:textId="77777777" w:rsidR="0046798B" w:rsidRDefault="0046798B">
            <w:pPr>
              <w:pStyle w:val="TableParagraph"/>
            </w:pPr>
          </w:p>
          <w:p w14:paraId="50A211D2" w14:textId="77777777" w:rsidR="0046798B" w:rsidRDefault="0046798B">
            <w:pPr>
              <w:pStyle w:val="TableParagraph"/>
              <w:spacing w:before="8"/>
              <w:rPr>
                <w:sz w:val="21"/>
              </w:rPr>
            </w:pPr>
          </w:p>
          <w:p w14:paraId="74928160" w14:textId="77777777" w:rsidR="0046798B" w:rsidRDefault="00903B5C">
            <w:pPr>
              <w:pStyle w:val="TableParagraph"/>
              <w:spacing w:before="1"/>
              <w:ind w:left="114" w:right="205"/>
              <w:rPr>
                <w:sz w:val="20"/>
              </w:rPr>
            </w:pPr>
            <w:r>
              <w:rPr>
                <w:sz w:val="20"/>
              </w:rPr>
              <w:t>Did state adopt a ban on financial incentives for doctors to perform less costly procedures/prescribe less costly drugs? (0 = no, 1 = yes)</w:t>
            </w:r>
          </w:p>
        </w:tc>
        <w:tc>
          <w:tcPr>
            <w:tcW w:w="6482" w:type="dxa"/>
          </w:tcPr>
          <w:p w14:paraId="337A22C8" w14:textId="77777777" w:rsidR="0046798B" w:rsidRDefault="0046798B">
            <w:pPr>
              <w:pStyle w:val="TableParagraph"/>
            </w:pPr>
          </w:p>
          <w:p w14:paraId="6F952380" w14:textId="77777777" w:rsidR="0046798B" w:rsidRDefault="0046798B">
            <w:pPr>
              <w:pStyle w:val="TableParagraph"/>
            </w:pPr>
          </w:p>
          <w:p w14:paraId="477FE554" w14:textId="77777777" w:rsidR="0046798B" w:rsidRDefault="0046798B">
            <w:pPr>
              <w:pStyle w:val="TableParagraph"/>
              <w:spacing w:before="9"/>
              <w:rPr>
                <w:sz w:val="19"/>
              </w:rPr>
            </w:pPr>
          </w:p>
          <w:p w14:paraId="108D9CDD" w14:textId="77777777" w:rsidR="0046798B" w:rsidRDefault="00903B5C">
            <w:pPr>
              <w:pStyle w:val="TableParagraph"/>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230FAFB5" w14:textId="77777777">
        <w:trPr>
          <w:trHeight w:val="1700"/>
        </w:trPr>
        <w:tc>
          <w:tcPr>
            <w:tcW w:w="1711" w:type="dxa"/>
          </w:tcPr>
          <w:p w14:paraId="368C9AE2" w14:textId="77777777" w:rsidR="0046798B" w:rsidRDefault="0046798B">
            <w:pPr>
              <w:pStyle w:val="TableParagraph"/>
            </w:pPr>
          </w:p>
          <w:p w14:paraId="4B1EAE36" w14:textId="77777777" w:rsidR="0046798B" w:rsidRDefault="0046798B">
            <w:pPr>
              <w:pStyle w:val="TableParagraph"/>
            </w:pPr>
          </w:p>
          <w:p w14:paraId="730E2CD9" w14:textId="77777777" w:rsidR="0046798B" w:rsidRDefault="0046798B">
            <w:pPr>
              <w:pStyle w:val="TableParagraph"/>
              <w:spacing w:before="9"/>
              <w:rPr>
                <w:sz w:val="19"/>
              </w:rPr>
            </w:pPr>
          </w:p>
          <w:p w14:paraId="01DB7BDE" w14:textId="77777777" w:rsidR="0046798B" w:rsidRDefault="00903B5C">
            <w:pPr>
              <w:pStyle w:val="TableParagraph"/>
              <w:ind w:left="115"/>
              <w:rPr>
                <w:b/>
                <w:sz w:val="20"/>
              </w:rPr>
            </w:pPr>
            <w:r>
              <w:rPr>
                <w:b/>
                <w:sz w:val="20"/>
              </w:rPr>
              <w:t>bangag</w:t>
            </w:r>
          </w:p>
        </w:tc>
        <w:tc>
          <w:tcPr>
            <w:tcW w:w="1596" w:type="dxa"/>
          </w:tcPr>
          <w:p w14:paraId="5C2BB103" w14:textId="77777777" w:rsidR="0046798B" w:rsidRDefault="00903B5C">
            <w:pPr>
              <w:pStyle w:val="TableParagraph"/>
              <w:spacing w:before="43"/>
              <w:ind w:left="114" w:right="141"/>
              <w:rPr>
                <w:sz w:val="20"/>
              </w:rPr>
            </w:pPr>
            <w:r>
              <w:rPr>
                <w:sz w:val="20"/>
              </w:rPr>
              <w:t>Prohibits agreements that limit a doctor’s ability to inform patients of all treatment options</w:t>
            </w:r>
          </w:p>
        </w:tc>
        <w:tc>
          <w:tcPr>
            <w:tcW w:w="1285" w:type="dxa"/>
          </w:tcPr>
          <w:p w14:paraId="1332B73B" w14:textId="77777777" w:rsidR="0046798B" w:rsidRDefault="0046798B">
            <w:pPr>
              <w:pStyle w:val="TableParagraph"/>
            </w:pPr>
          </w:p>
          <w:p w14:paraId="1BAC1592" w14:textId="77777777" w:rsidR="0046798B" w:rsidRDefault="0046798B">
            <w:pPr>
              <w:pStyle w:val="TableParagraph"/>
            </w:pPr>
          </w:p>
          <w:p w14:paraId="33C4524A" w14:textId="77777777" w:rsidR="0046798B" w:rsidRDefault="0046798B">
            <w:pPr>
              <w:pStyle w:val="TableParagraph"/>
              <w:spacing w:before="9"/>
              <w:rPr>
                <w:sz w:val="19"/>
              </w:rPr>
            </w:pPr>
          </w:p>
          <w:p w14:paraId="0D95A8F8" w14:textId="77777777" w:rsidR="0046798B" w:rsidRDefault="00903B5C">
            <w:pPr>
              <w:pStyle w:val="TableParagraph"/>
              <w:ind w:left="114"/>
              <w:rPr>
                <w:sz w:val="20"/>
              </w:rPr>
            </w:pPr>
            <w:r>
              <w:rPr>
                <w:sz w:val="20"/>
              </w:rPr>
              <w:t>1975–1996</w:t>
            </w:r>
          </w:p>
        </w:tc>
        <w:tc>
          <w:tcPr>
            <w:tcW w:w="3421" w:type="dxa"/>
          </w:tcPr>
          <w:p w14:paraId="417FDB88" w14:textId="77777777" w:rsidR="0046798B" w:rsidRDefault="0046798B">
            <w:pPr>
              <w:pStyle w:val="TableParagraph"/>
            </w:pPr>
          </w:p>
          <w:p w14:paraId="6115B50A" w14:textId="77777777" w:rsidR="0046798B" w:rsidRDefault="00903B5C">
            <w:pPr>
              <w:pStyle w:val="TableParagraph"/>
              <w:spacing w:before="135"/>
              <w:ind w:left="114" w:right="183"/>
              <w:rPr>
                <w:sz w:val="20"/>
              </w:rPr>
            </w:pPr>
            <w:r>
              <w:rPr>
                <w:sz w:val="20"/>
              </w:rPr>
              <w:t>Did state adopt a prohibition on agreements that limit a doctor’s ability to inform patients of all treatment options? (0 = no, 1 = yes)</w:t>
            </w:r>
          </w:p>
        </w:tc>
        <w:tc>
          <w:tcPr>
            <w:tcW w:w="6482" w:type="dxa"/>
          </w:tcPr>
          <w:p w14:paraId="18CF2929" w14:textId="77777777" w:rsidR="0046798B" w:rsidRDefault="0046798B">
            <w:pPr>
              <w:pStyle w:val="TableParagraph"/>
            </w:pPr>
          </w:p>
          <w:p w14:paraId="5E6ACC48" w14:textId="77777777" w:rsidR="0046798B" w:rsidRDefault="0046798B">
            <w:pPr>
              <w:pStyle w:val="TableParagraph"/>
              <w:spacing w:before="9"/>
              <w:rPr>
                <w:sz w:val="31"/>
              </w:rPr>
            </w:pPr>
          </w:p>
          <w:p w14:paraId="422BBD73" w14:textId="77777777" w:rsidR="0046798B" w:rsidRDefault="00903B5C">
            <w:pPr>
              <w:pStyle w:val="TableParagraph"/>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2631A6F1" w14:textId="77777777">
        <w:trPr>
          <w:trHeight w:val="545"/>
        </w:trPr>
        <w:tc>
          <w:tcPr>
            <w:tcW w:w="1711" w:type="dxa"/>
          </w:tcPr>
          <w:p w14:paraId="2BD47ECF" w14:textId="77777777" w:rsidR="0046798B" w:rsidRDefault="00903B5C">
            <w:pPr>
              <w:pStyle w:val="TableParagraph"/>
              <w:spacing w:before="153"/>
              <w:ind w:left="115"/>
              <w:rPr>
                <w:b/>
                <w:sz w:val="20"/>
              </w:rPr>
            </w:pPr>
            <w:r>
              <w:rPr>
                <w:b/>
                <w:sz w:val="20"/>
              </w:rPr>
              <w:t>colcanscr</w:t>
            </w:r>
          </w:p>
        </w:tc>
        <w:tc>
          <w:tcPr>
            <w:tcW w:w="1596" w:type="dxa"/>
          </w:tcPr>
          <w:p w14:paraId="12118CB1" w14:textId="77777777" w:rsidR="0046798B" w:rsidRDefault="00903B5C">
            <w:pPr>
              <w:pStyle w:val="TableParagraph"/>
              <w:spacing w:before="38"/>
              <w:ind w:left="114" w:right="117"/>
              <w:rPr>
                <w:sz w:val="20"/>
              </w:rPr>
            </w:pPr>
            <w:r>
              <w:rPr>
                <w:sz w:val="20"/>
              </w:rPr>
              <w:t>Colorectal cancer screening</w:t>
            </w:r>
          </w:p>
        </w:tc>
        <w:tc>
          <w:tcPr>
            <w:tcW w:w="1285" w:type="dxa"/>
          </w:tcPr>
          <w:p w14:paraId="464F0C56" w14:textId="77777777" w:rsidR="0046798B" w:rsidRDefault="00903B5C">
            <w:pPr>
              <w:pStyle w:val="TableParagraph"/>
              <w:spacing w:before="153"/>
              <w:ind w:left="114"/>
              <w:rPr>
                <w:sz w:val="20"/>
              </w:rPr>
            </w:pPr>
            <w:r>
              <w:rPr>
                <w:sz w:val="20"/>
              </w:rPr>
              <w:t>1991–2007</w:t>
            </w:r>
          </w:p>
        </w:tc>
        <w:tc>
          <w:tcPr>
            <w:tcW w:w="3421" w:type="dxa"/>
          </w:tcPr>
          <w:p w14:paraId="61991542" w14:textId="77777777" w:rsidR="0046798B" w:rsidRDefault="00903B5C">
            <w:pPr>
              <w:pStyle w:val="TableParagraph"/>
              <w:spacing w:before="38"/>
              <w:ind w:left="114" w:right="656"/>
              <w:rPr>
                <w:sz w:val="20"/>
              </w:rPr>
            </w:pPr>
            <w:r>
              <w:rPr>
                <w:sz w:val="20"/>
              </w:rPr>
              <w:t>Did state adopt colorectal cancer screening? (0 = no, 1 = yes)</w:t>
            </w:r>
          </w:p>
        </w:tc>
        <w:tc>
          <w:tcPr>
            <w:tcW w:w="6482" w:type="dxa"/>
          </w:tcPr>
          <w:p w14:paraId="48D172E5" w14:textId="77777777" w:rsidR="0046798B" w:rsidRDefault="00903B5C">
            <w:pPr>
              <w:pStyle w:val="TableParagraph"/>
              <w:spacing w:before="3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65487AF1" w14:textId="77777777">
        <w:trPr>
          <w:trHeight w:val="545"/>
        </w:trPr>
        <w:tc>
          <w:tcPr>
            <w:tcW w:w="1711" w:type="dxa"/>
          </w:tcPr>
          <w:p w14:paraId="59DE26AB" w14:textId="77777777" w:rsidR="0046798B" w:rsidRDefault="00903B5C">
            <w:pPr>
              <w:pStyle w:val="TableParagraph"/>
              <w:spacing w:before="154"/>
              <w:ind w:left="115"/>
              <w:rPr>
                <w:b/>
                <w:sz w:val="20"/>
              </w:rPr>
            </w:pPr>
            <w:r>
              <w:rPr>
                <w:b/>
                <w:sz w:val="20"/>
              </w:rPr>
              <w:t>comage</w:t>
            </w:r>
          </w:p>
        </w:tc>
        <w:tc>
          <w:tcPr>
            <w:tcW w:w="1596" w:type="dxa"/>
          </w:tcPr>
          <w:p w14:paraId="3A7E5406" w14:textId="77777777" w:rsidR="0046798B" w:rsidRDefault="00903B5C">
            <w:pPr>
              <w:pStyle w:val="TableParagraph"/>
              <w:spacing w:before="38"/>
              <w:ind w:left="114" w:right="313"/>
              <w:rPr>
                <w:sz w:val="20"/>
              </w:rPr>
            </w:pPr>
            <w:r>
              <w:rPr>
                <w:sz w:val="20"/>
              </w:rPr>
              <w:t>Committee on the aged</w:t>
            </w:r>
          </w:p>
        </w:tc>
        <w:tc>
          <w:tcPr>
            <w:tcW w:w="1285" w:type="dxa"/>
          </w:tcPr>
          <w:p w14:paraId="1B6A4538" w14:textId="77777777" w:rsidR="0046798B" w:rsidRDefault="00903B5C">
            <w:pPr>
              <w:pStyle w:val="TableParagraph"/>
              <w:spacing w:before="154"/>
              <w:ind w:left="114"/>
              <w:rPr>
                <w:sz w:val="20"/>
              </w:rPr>
            </w:pPr>
            <w:r>
              <w:rPr>
                <w:sz w:val="20"/>
              </w:rPr>
              <w:t>1945–2003</w:t>
            </w:r>
          </w:p>
        </w:tc>
        <w:tc>
          <w:tcPr>
            <w:tcW w:w="3421" w:type="dxa"/>
          </w:tcPr>
          <w:p w14:paraId="56EE436B" w14:textId="77777777" w:rsidR="0046798B" w:rsidRDefault="00903B5C">
            <w:pPr>
              <w:pStyle w:val="TableParagraph"/>
              <w:spacing w:before="38"/>
              <w:ind w:left="114" w:right="488"/>
              <w:rPr>
                <w:sz w:val="20"/>
              </w:rPr>
            </w:pPr>
            <w:r>
              <w:rPr>
                <w:sz w:val="20"/>
              </w:rPr>
              <w:t>Did state adopt a committee on the aged? (0 = no, 1 = yes)</w:t>
            </w:r>
          </w:p>
        </w:tc>
        <w:tc>
          <w:tcPr>
            <w:tcW w:w="6482" w:type="dxa"/>
          </w:tcPr>
          <w:p w14:paraId="0D9D440E" w14:textId="77777777" w:rsidR="0046798B" w:rsidRDefault="00903B5C">
            <w:pPr>
              <w:pStyle w:val="TableParagraph"/>
              <w:spacing w:before="3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74184AB9" w14:textId="77777777">
        <w:trPr>
          <w:trHeight w:val="545"/>
        </w:trPr>
        <w:tc>
          <w:tcPr>
            <w:tcW w:w="1711" w:type="dxa"/>
          </w:tcPr>
          <w:p w14:paraId="28A14FAF" w14:textId="77777777" w:rsidR="0046798B" w:rsidRDefault="00903B5C">
            <w:pPr>
              <w:pStyle w:val="TableParagraph"/>
              <w:spacing w:before="158"/>
              <w:ind w:left="115"/>
              <w:rPr>
                <w:b/>
                <w:sz w:val="20"/>
              </w:rPr>
            </w:pPr>
            <w:r>
              <w:rPr>
                <w:b/>
                <w:sz w:val="20"/>
              </w:rPr>
              <w:t>famcap</w:t>
            </w:r>
          </w:p>
        </w:tc>
        <w:tc>
          <w:tcPr>
            <w:tcW w:w="1596" w:type="dxa"/>
          </w:tcPr>
          <w:p w14:paraId="4F7AC823" w14:textId="77777777" w:rsidR="0046798B" w:rsidRDefault="00903B5C">
            <w:pPr>
              <w:pStyle w:val="TableParagraph"/>
              <w:spacing w:before="43"/>
              <w:ind w:left="114" w:right="529"/>
              <w:rPr>
                <w:sz w:val="20"/>
              </w:rPr>
            </w:pPr>
            <w:r>
              <w:rPr>
                <w:sz w:val="20"/>
              </w:rPr>
              <w:t>Family cap exemptions</w:t>
            </w:r>
          </w:p>
        </w:tc>
        <w:tc>
          <w:tcPr>
            <w:tcW w:w="1285" w:type="dxa"/>
          </w:tcPr>
          <w:p w14:paraId="345CBF35" w14:textId="77777777" w:rsidR="0046798B" w:rsidRDefault="00903B5C">
            <w:pPr>
              <w:pStyle w:val="TableParagraph"/>
              <w:spacing w:before="158"/>
              <w:ind w:left="114"/>
              <w:rPr>
                <w:sz w:val="20"/>
              </w:rPr>
            </w:pPr>
            <w:r>
              <w:rPr>
                <w:sz w:val="20"/>
              </w:rPr>
              <w:t>1992–1998</w:t>
            </w:r>
          </w:p>
        </w:tc>
        <w:tc>
          <w:tcPr>
            <w:tcW w:w="3421" w:type="dxa"/>
          </w:tcPr>
          <w:p w14:paraId="65201B95" w14:textId="77777777" w:rsidR="0046798B" w:rsidRDefault="00903B5C">
            <w:pPr>
              <w:pStyle w:val="TableParagraph"/>
              <w:spacing w:before="43"/>
              <w:ind w:left="114" w:right="105"/>
              <w:rPr>
                <w:sz w:val="20"/>
              </w:rPr>
            </w:pPr>
            <w:r>
              <w:rPr>
                <w:sz w:val="20"/>
              </w:rPr>
              <w:t>Did state adopt family cap exemptions? (0 = no, 1 = yes)</w:t>
            </w:r>
          </w:p>
        </w:tc>
        <w:tc>
          <w:tcPr>
            <w:tcW w:w="6482" w:type="dxa"/>
          </w:tcPr>
          <w:p w14:paraId="1BCF2056" w14:textId="77777777" w:rsidR="0046798B" w:rsidRDefault="00903B5C">
            <w:pPr>
              <w:pStyle w:val="TableParagraph"/>
              <w:spacing w:before="4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6DEDAE19" w14:textId="77777777">
        <w:trPr>
          <w:trHeight w:val="775"/>
        </w:trPr>
        <w:tc>
          <w:tcPr>
            <w:tcW w:w="1711" w:type="dxa"/>
          </w:tcPr>
          <w:p w14:paraId="62F77FFC" w14:textId="77777777" w:rsidR="0046798B" w:rsidRDefault="0046798B">
            <w:pPr>
              <w:pStyle w:val="TableParagraph"/>
              <w:spacing w:before="9"/>
              <w:rPr>
                <w:sz w:val="23"/>
              </w:rPr>
            </w:pPr>
          </w:p>
          <w:p w14:paraId="4BF5CC39" w14:textId="77777777" w:rsidR="0046798B" w:rsidRDefault="00903B5C">
            <w:pPr>
              <w:pStyle w:val="TableParagraph"/>
              <w:ind w:left="115"/>
              <w:rPr>
                <w:b/>
                <w:sz w:val="20"/>
              </w:rPr>
            </w:pPr>
            <w:r>
              <w:rPr>
                <w:b/>
                <w:sz w:val="20"/>
              </w:rPr>
              <w:t>health</w:t>
            </w:r>
          </w:p>
        </w:tc>
        <w:tc>
          <w:tcPr>
            <w:tcW w:w="1596" w:type="dxa"/>
          </w:tcPr>
          <w:p w14:paraId="2FA89334" w14:textId="77777777" w:rsidR="0046798B" w:rsidRDefault="00903B5C">
            <w:pPr>
              <w:pStyle w:val="TableParagraph"/>
              <w:spacing w:before="43"/>
              <w:ind w:left="114" w:right="269"/>
              <w:rPr>
                <w:sz w:val="20"/>
              </w:rPr>
            </w:pPr>
            <w:r>
              <w:rPr>
                <w:sz w:val="20"/>
              </w:rPr>
              <w:t>Strategic planning for health services</w:t>
            </w:r>
          </w:p>
        </w:tc>
        <w:tc>
          <w:tcPr>
            <w:tcW w:w="1285" w:type="dxa"/>
          </w:tcPr>
          <w:p w14:paraId="71240C54" w14:textId="77777777" w:rsidR="0046798B" w:rsidRDefault="0046798B">
            <w:pPr>
              <w:pStyle w:val="TableParagraph"/>
              <w:spacing w:before="9"/>
              <w:rPr>
                <w:sz w:val="23"/>
              </w:rPr>
            </w:pPr>
          </w:p>
          <w:p w14:paraId="0EF9D593" w14:textId="77777777" w:rsidR="0046798B" w:rsidRDefault="00903B5C">
            <w:pPr>
              <w:pStyle w:val="TableParagraph"/>
              <w:ind w:left="114"/>
              <w:rPr>
                <w:sz w:val="20"/>
              </w:rPr>
            </w:pPr>
            <w:r>
              <w:rPr>
                <w:sz w:val="20"/>
              </w:rPr>
              <w:t>1985–1991</w:t>
            </w:r>
          </w:p>
        </w:tc>
        <w:tc>
          <w:tcPr>
            <w:tcW w:w="3421" w:type="dxa"/>
          </w:tcPr>
          <w:p w14:paraId="218320FA" w14:textId="77777777" w:rsidR="0046798B" w:rsidRDefault="00903B5C">
            <w:pPr>
              <w:pStyle w:val="TableParagraph"/>
              <w:spacing w:before="158"/>
              <w:ind w:left="114" w:right="305"/>
              <w:rPr>
                <w:sz w:val="20"/>
              </w:rPr>
            </w:pPr>
            <w:r>
              <w:rPr>
                <w:sz w:val="20"/>
              </w:rPr>
              <w:t>Did state adopt strategic planning for health services? (0 = no, 1 = yes)</w:t>
            </w:r>
          </w:p>
        </w:tc>
        <w:tc>
          <w:tcPr>
            <w:tcW w:w="6482" w:type="dxa"/>
          </w:tcPr>
          <w:p w14:paraId="3E94CF9E" w14:textId="77777777" w:rsidR="0046798B" w:rsidRDefault="00903B5C">
            <w:pPr>
              <w:pStyle w:val="TableParagraph"/>
              <w:spacing w:before="15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4EB18B81" w14:textId="77777777">
        <w:trPr>
          <w:trHeight w:val="775"/>
        </w:trPr>
        <w:tc>
          <w:tcPr>
            <w:tcW w:w="1711" w:type="dxa"/>
          </w:tcPr>
          <w:p w14:paraId="523CDCC8" w14:textId="77777777" w:rsidR="0046798B" w:rsidRDefault="0046798B">
            <w:pPr>
              <w:pStyle w:val="TableParagraph"/>
              <w:spacing w:before="8"/>
              <w:rPr>
                <w:sz w:val="23"/>
              </w:rPr>
            </w:pPr>
          </w:p>
          <w:p w14:paraId="03EECD7C" w14:textId="77777777" w:rsidR="0046798B" w:rsidRDefault="00903B5C">
            <w:pPr>
              <w:pStyle w:val="TableParagraph"/>
              <w:spacing w:before="1"/>
              <w:ind w:left="115"/>
              <w:rPr>
                <w:b/>
                <w:sz w:val="20"/>
              </w:rPr>
            </w:pPr>
            <w:r>
              <w:rPr>
                <w:b/>
                <w:sz w:val="20"/>
              </w:rPr>
              <w:t>higissue</w:t>
            </w:r>
          </w:p>
        </w:tc>
        <w:tc>
          <w:tcPr>
            <w:tcW w:w="1596" w:type="dxa"/>
          </w:tcPr>
          <w:p w14:paraId="7B4DC5F1" w14:textId="77777777" w:rsidR="0046798B" w:rsidRDefault="00903B5C">
            <w:pPr>
              <w:pStyle w:val="TableParagraph"/>
              <w:spacing w:before="43"/>
              <w:ind w:left="114" w:right="296"/>
              <w:rPr>
                <w:sz w:val="20"/>
              </w:rPr>
            </w:pPr>
            <w:r>
              <w:rPr>
                <w:sz w:val="20"/>
              </w:rPr>
              <w:t>Guaranteed issue of health insurance</w:t>
            </w:r>
          </w:p>
        </w:tc>
        <w:tc>
          <w:tcPr>
            <w:tcW w:w="1285" w:type="dxa"/>
          </w:tcPr>
          <w:p w14:paraId="71AF9BB8" w14:textId="77777777" w:rsidR="0046798B" w:rsidRDefault="0046798B">
            <w:pPr>
              <w:pStyle w:val="TableParagraph"/>
              <w:spacing w:before="8"/>
              <w:rPr>
                <w:sz w:val="23"/>
              </w:rPr>
            </w:pPr>
          </w:p>
          <w:p w14:paraId="78F5D4B5" w14:textId="77777777" w:rsidR="0046798B" w:rsidRDefault="00903B5C">
            <w:pPr>
              <w:pStyle w:val="TableParagraph"/>
              <w:spacing w:before="1"/>
              <w:ind w:left="114"/>
              <w:rPr>
                <w:sz w:val="20"/>
              </w:rPr>
            </w:pPr>
            <w:r>
              <w:rPr>
                <w:sz w:val="20"/>
              </w:rPr>
              <w:t>1990–1994</w:t>
            </w:r>
          </w:p>
        </w:tc>
        <w:tc>
          <w:tcPr>
            <w:tcW w:w="3421" w:type="dxa"/>
          </w:tcPr>
          <w:p w14:paraId="09EE0F21" w14:textId="77777777" w:rsidR="0046798B" w:rsidRDefault="00903B5C">
            <w:pPr>
              <w:pStyle w:val="TableParagraph"/>
              <w:spacing w:before="158"/>
              <w:ind w:left="114" w:right="472"/>
              <w:rPr>
                <w:sz w:val="20"/>
              </w:rPr>
            </w:pPr>
            <w:r>
              <w:rPr>
                <w:sz w:val="20"/>
              </w:rPr>
              <w:t>Did state adopt guaranteed issue of health insurance? (0 = no, 1 = yes)</w:t>
            </w:r>
          </w:p>
        </w:tc>
        <w:tc>
          <w:tcPr>
            <w:tcW w:w="6482" w:type="dxa"/>
          </w:tcPr>
          <w:p w14:paraId="0CC723B5" w14:textId="77777777" w:rsidR="0046798B" w:rsidRDefault="00903B5C">
            <w:pPr>
              <w:pStyle w:val="TableParagraph"/>
              <w:spacing w:before="15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0A02BE19" w14:textId="77777777">
        <w:trPr>
          <w:trHeight w:val="780"/>
        </w:trPr>
        <w:tc>
          <w:tcPr>
            <w:tcW w:w="1711" w:type="dxa"/>
          </w:tcPr>
          <w:p w14:paraId="0C41A8E9" w14:textId="77777777" w:rsidR="0046798B" w:rsidRDefault="0046798B">
            <w:pPr>
              <w:pStyle w:val="TableParagraph"/>
              <w:spacing w:before="9"/>
              <w:rPr>
                <w:sz w:val="23"/>
              </w:rPr>
            </w:pPr>
          </w:p>
          <w:p w14:paraId="4DF9AC57" w14:textId="77777777" w:rsidR="0046798B" w:rsidRDefault="00903B5C">
            <w:pPr>
              <w:pStyle w:val="TableParagraph"/>
              <w:ind w:left="115"/>
              <w:rPr>
                <w:b/>
                <w:sz w:val="20"/>
              </w:rPr>
            </w:pPr>
            <w:r>
              <w:rPr>
                <w:b/>
                <w:sz w:val="20"/>
              </w:rPr>
              <w:t>higrenew</w:t>
            </w:r>
          </w:p>
        </w:tc>
        <w:tc>
          <w:tcPr>
            <w:tcW w:w="1596" w:type="dxa"/>
          </w:tcPr>
          <w:p w14:paraId="7E555A32" w14:textId="77777777" w:rsidR="0046798B" w:rsidRDefault="00903B5C">
            <w:pPr>
              <w:pStyle w:val="TableParagraph"/>
              <w:spacing w:before="43"/>
              <w:ind w:left="114" w:right="147"/>
              <w:rPr>
                <w:sz w:val="20"/>
              </w:rPr>
            </w:pPr>
            <w:r>
              <w:rPr>
                <w:sz w:val="20"/>
              </w:rPr>
              <w:t>Guaranteed renewal of health insurance</w:t>
            </w:r>
          </w:p>
        </w:tc>
        <w:tc>
          <w:tcPr>
            <w:tcW w:w="1285" w:type="dxa"/>
          </w:tcPr>
          <w:p w14:paraId="2B723324" w14:textId="77777777" w:rsidR="0046798B" w:rsidRDefault="0046798B">
            <w:pPr>
              <w:pStyle w:val="TableParagraph"/>
              <w:spacing w:before="9"/>
              <w:rPr>
                <w:sz w:val="23"/>
              </w:rPr>
            </w:pPr>
          </w:p>
          <w:p w14:paraId="5720B309" w14:textId="77777777" w:rsidR="0046798B" w:rsidRDefault="00903B5C">
            <w:pPr>
              <w:pStyle w:val="TableParagraph"/>
              <w:ind w:left="114"/>
              <w:rPr>
                <w:sz w:val="20"/>
              </w:rPr>
            </w:pPr>
            <w:r>
              <w:rPr>
                <w:sz w:val="20"/>
              </w:rPr>
              <w:t>1990–1995</w:t>
            </w:r>
          </w:p>
        </w:tc>
        <w:tc>
          <w:tcPr>
            <w:tcW w:w="3421" w:type="dxa"/>
          </w:tcPr>
          <w:p w14:paraId="1C813AA3" w14:textId="77777777" w:rsidR="0046798B" w:rsidRDefault="00903B5C">
            <w:pPr>
              <w:pStyle w:val="TableParagraph"/>
              <w:spacing w:before="158"/>
              <w:ind w:left="114" w:right="239"/>
              <w:rPr>
                <w:sz w:val="20"/>
              </w:rPr>
            </w:pPr>
            <w:r>
              <w:rPr>
                <w:sz w:val="20"/>
              </w:rPr>
              <w:t>Did state adopt guaranteed renewal of health insurance? (0 = no, 1 = yes)</w:t>
            </w:r>
          </w:p>
        </w:tc>
        <w:tc>
          <w:tcPr>
            <w:tcW w:w="6482" w:type="dxa"/>
          </w:tcPr>
          <w:p w14:paraId="24B334F1" w14:textId="77777777" w:rsidR="0046798B" w:rsidRDefault="00903B5C">
            <w:pPr>
              <w:pStyle w:val="TableParagraph"/>
              <w:spacing w:before="15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269E389F" w14:textId="77777777">
        <w:trPr>
          <w:trHeight w:val="545"/>
        </w:trPr>
        <w:tc>
          <w:tcPr>
            <w:tcW w:w="1711" w:type="dxa"/>
          </w:tcPr>
          <w:p w14:paraId="26436F91" w14:textId="77777777" w:rsidR="0046798B" w:rsidRDefault="00903B5C">
            <w:pPr>
              <w:pStyle w:val="TableParagraph"/>
              <w:spacing w:before="153"/>
              <w:ind w:left="115"/>
              <w:rPr>
                <w:b/>
                <w:sz w:val="20"/>
              </w:rPr>
            </w:pPr>
            <w:r>
              <w:rPr>
                <w:b/>
                <w:sz w:val="20"/>
              </w:rPr>
              <w:t>hiport</w:t>
            </w:r>
          </w:p>
        </w:tc>
        <w:tc>
          <w:tcPr>
            <w:tcW w:w="1596" w:type="dxa"/>
          </w:tcPr>
          <w:p w14:paraId="041BE725" w14:textId="77777777" w:rsidR="0046798B" w:rsidRDefault="00903B5C">
            <w:pPr>
              <w:pStyle w:val="TableParagraph"/>
              <w:spacing w:before="38"/>
              <w:ind w:left="114" w:right="102"/>
              <w:rPr>
                <w:sz w:val="20"/>
              </w:rPr>
            </w:pPr>
            <w:r>
              <w:rPr>
                <w:sz w:val="20"/>
              </w:rPr>
              <w:t>Health insurance portability</w:t>
            </w:r>
          </w:p>
        </w:tc>
        <w:tc>
          <w:tcPr>
            <w:tcW w:w="1285" w:type="dxa"/>
          </w:tcPr>
          <w:p w14:paraId="3D7F2546" w14:textId="77777777" w:rsidR="0046798B" w:rsidRDefault="00903B5C">
            <w:pPr>
              <w:pStyle w:val="TableParagraph"/>
              <w:spacing w:before="153"/>
              <w:ind w:left="114"/>
              <w:rPr>
                <w:sz w:val="20"/>
              </w:rPr>
            </w:pPr>
            <w:r>
              <w:rPr>
                <w:sz w:val="20"/>
              </w:rPr>
              <w:t>1990–1995</w:t>
            </w:r>
          </w:p>
        </w:tc>
        <w:tc>
          <w:tcPr>
            <w:tcW w:w="3421" w:type="dxa"/>
          </w:tcPr>
          <w:p w14:paraId="51C5B60F" w14:textId="77777777" w:rsidR="0046798B" w:rsidRDefault="00903B5C">
            <w:pPr>
              <w:pStyle w:val="TableParagraph"/>
              <w:spacing w:before="38"/>
              <w:ind w:left="114" w:right="711"/>
              <w:rPr>
                <w:sz w:val="20"/>
              </w:rPr>
            </w:pPr>
            <w:r>
              <w:rPr>
                <w:sz w:val="20"/>
              </w:rPr>
              <w:t>Did state adopt health insurance portability? (0 = no, 1 = yes)</w:t>
            </w:r>
          </w:p>
        </w:tc>
        <w:tc>
          <w:tcPr>
            <w:tcW w:w="6482" w:type="dxa"/>
          </w:tcPr>
          <w:p w14:paraId="28E6502B" w14:textId="77777777" w:rsidR="0046798B" w:rsidRDefault="00903B5C">
            <w:pPr>
              <w:pStyle w:val="TableParagraph"/>
              <w:spacing w:before="3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bl>
    <w:p w14:paraId="1EEEEBAE" w14:textId="77777777" w:rsidR="0046798B" w:rsidRDefault="0046798B">
      <w:pPr>
        <w:rPr>
          <w:sz w:val="20"/>
        </w:rPr>
        <w:sectPr w:rsidR="0046798B">
          <w:pgSz w:w="15840" w:h="12240" w:orient="landscape"/>
          <w:pgMar w:top="1220" w:right="300" w:bottom="980" w:left="820" w:header="730" w:footer="787" w:gutter="0"/>
          <w:cols w:space="720"/>
        </w:sectPr>
      </w:pPr>
    </w:p>
    <w:p w14:paraId="4ED4235D"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78332460" w14:textId="77777777">
        <w:trPr>
          <w:trHeight w:val="775"/>
        </w:trPr>
        <w:tc>
          <w:tcPr>
            <w:tcW w:w="1711" w:type="dxa"/>
          </w:tcPr>
          <w:p w14:paraId="3B5D869E" w14:textId="77777777" w:rsidR="0046798B" w:rsidRDefault="0046798B">
            <w:pPr>
              <w:pStyle w:val="TableParagraph"/>
              <w:spacing w:before="9"/>
              <w:rPr>
                <w:sz w:val="23"/>
              </w:rPr>
            </w:pPr>
          </w:p>
          <w:p w14:paraId="0E024174" w14:textId="77777777" w:rsidR="0046798B" w:rsidRDefault="00903B5C">
            <w:pPr>
              <w:pStyle w:val="TableParagraph"/>
              <w:ind w:left="115"/>
              <w:rPr>
                <w:b/>
                <w:sz w:val="20"/>
              </w:rPr>
            </w:pPr>
            <w:r>
              <w:rPr>
                <w:b/>
                <w:sz w:val="20"/>
              </w:rPr>
              <w:t>hiprecon</w:t>
            </w:r>
          </w:p>
        </w:tc>
        <w:tc>
          <w:tcPr>
            <w:tcW w:w="1596" w:type="dxa"/>
          </w:tcPr>
          <w:p w14:paraId="0795C1C1" w14:textId="77777777" w:rsidR="0046798B" w:rsidRDefault="00903B5C">
            <w:pPr>
              <w:pStyle w:val="TableParagraph"/>
              <w:spacing w:before="43"/>
              <w:ind w:left="114" w:right="102"/>
              <w:rPr>
                <w:sz w:val="20"/>
              </w:rPr>
            </w:pPr>
            <w:r>
              <w:rPr>
                <w:sz w:val="20"/>
              </w:rPr>
              <w:t>Health insurance preexisting conditions limits</w:t>
            </w:r>
          </w:p>
        </w:tc>
        <w:tc>
          <w:tcPr>
            <w:tcW w:w="1285" w:type="dxa"/>
          </w:tcPr>
          <w:p w14:paraId="1736CEF3" w14:textId="77777777" w:rsidR="0046798B" w:rsidRDefault="0046798B">
            <w:pPr>
              <w:pStyle w:val="TableParagraph"/>
              <w:spacing w:before="9"/>
              <w:rPr>
                <w:sz w:val="23"/>
              </w:rPr>
            </w:pPr>
          </w:p>
          <w:p w14:paraId="2CADFED8" w14:textId="77777777" w:rsidR="0046798B" w:rsidRDefault="00903B5C">
            <w:pPr>
              <w:pStyle w:val="TableParagraph"/>
              <w:ind w:left="114"/>
              <w:rPr>
                <w:sz w:val="20"/>
              </w:rPr>
            </w:pPr>
            <w:r>
              <w:rPr>
                <w:sz w:val="20"/>
              </w:rPr>
              <w:t>1990–1994</w:t>
            </w:r>
          </w:p>
        </w:tc>
        <w:tc>
          <w:tcPr>
            <w:tcW w:w="3421" w:type="dxa"/>
          </w:tcPr>
          <w:p w14:paraId="2A1671A6" w14:textId="77777777" w:rsidR="0046798B" w:rsidRDefault="00903B5C">
            <w:pPr>
              <w:pStyle w:val="TableParagraph"/>
              <w:spacing w:before="43"/>
              <w:ind w:left="114" w:right="231"/>
              <w:rPr>
                <w:sz w:val="20"/>
              </w:rPr>
            </w:pPr>
            <w:r>
              <w:rPr>
                <w:sz w:val="20"/>
              </w:rPr>
              <w:t>Did state adopt health insurance preexisting conditions limits? (0 = no, 1 = yes)</w:t>
            </w:r>
          </w:p>
        </w:tc>
        <w:tc>
          <w:tcPr>
            <w:tcW w:w="6482" w:type="dxa"/>
          </w:tcPr>
          <w:p w14:paraId="3A12A43A" w14:textId="77777777" w:rsidR="0046798B" w:rsidRDefault="00903B5C">
            <w:pPr>
              <w:pStyle w:val="TableParagraph"/>
              <w:spacing w:before="15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18437EA8" w14:textId="77777777">
        <w:trPr>
          <w:trHeight w:val="1005"/>
        </w:trPr>
        <w:tc>
          <w:tcPr>
            <w:tcW w:w="1711" w:type="dxa"/>
          </w:tcPr>
          <w:p w14:paraId="5D0778E0" w14:textId="77777777" w:rsidR="0046798B" w:rsidRDefault="0046798B">
            <w:pPr>
              <w:pStyle w:val="TableParagraph"/>
            </w:pPr>
          </w:p>
          <w:p w14:paraId="02B508EA" w14:textId="77777777" w:rsidR="0046798B" w:rsidRDefault="00903B5C">
            <w:pPr>
              <w:pStyle w:val="TableParagraph"/>
              <w:spacing w:before="135"/>
              <w:ind w:left="115"/>
              <w:rPr>
                <w:b/>
                <w:sz w:val="20"/>
              </w:rPr>
            </w:pPr>
            <w:r>
              <w:rPr>
                <w:b/>
                <w:sz w:val="20"/>
              </w:rPr>
              <w:t>hmomod1</w:t>
            </w:r>
          </w:p>
        </w:tc>
        <w:tc>
          <w:tcPr>
            <w:tcW w:w="1596" w:type="dxa"/>
          </w:tcPr>
          <w:p w14:paraId="76239CD2" w14:textId="77777777" w:rsidR="0046798B" w:rsidRDefault="00903B5C">
            <w:pPr>
              <w:pStyle w:val="TableParagraph"/>
              <w:spacing w:before="43"/>
              <w:ind w:left="114" w:right="163"/>
              <w:rPr>
                <w:sz w:val="20"/>
              </w:rPr>
            </w:pPr>
            <w:r>
              <w:rPr>
                <w:sz w:val="20"/>
              </w:rPr>
              <w:t>Health maintenance organization model act (first)</w:t>
            </w:r>
          </w:p>
        </w:tc>
        <w:tc>
          <w:tcPr>
            <w:tcW w:w="1285" w:type="dxa"/>
          </w:tcPr>
          <w:p w14:paraId="4F441DC0" w14:textId="77777777" w:rsidR="0046798B" w:rsidRDefault="0046798B">
            <w:pPr>
              <w:pStyle w:val="TableParagraph"/>
            </w:pPr>
          </w:p>
          <w:p w14:paraId="03362A17" w14:textId="77777777" w:rsidR="0046798B" w:rsidRDefault="00903B5C">
            <w:pPr>
              <w:pStyle w:val="TableParagraph"/>
              <w:spacing w:before="135"/>
              <w:ind w:left="114"/>
              <w:rPr>
                <w:sz w:val="20"/>
              </w:rPr>
            </w:pPr>
            <w:r>
              <w:rPr>
                <w:sz w:val="20"/>
              </w:rPr>
              <w:t>1973–1988</w:t>
            </w:r>
          </w:p>
        </w:tc>
        <w:tc>
          <w:tcPr>
            <w:tcW w:w="3421" w:type="dxa"/>
          </w:tcPr>
          <w:p w14:paraId="4FF977F1" w14:textId="77777777" w:rsidR="0046798B" w:rsidRDefault="00903B5C">
            <w:pPr>
              <w:pStyle w:val="TableParagraph"/>
              <w:spacing w:before="158"/>
              <w:ind w:left="114" w:right="170"/>
              <w:rPr>
                <w:sz w:val="20"/>
              </w:rPr>
            </w:pPr>
            <w:r>
              <w:rPr>
                <w:sz w:val="20"/>
              </w:rPr>
              <w:t>Did state adopt health maintenance organization model act (first)? (0 = no, 1 = yes)</w:t>
            </w:r>
          </w:p>
        </w:tc>
        <w:tc>
          <w:tcPr>
            <w:tcW w:w="6482" w:type="dxa"/>
          </w:tcPr>
          <w:p w14:paraId="307B2C40" w14:textId="77777777" w:rsidR="0046798B" w:rsidRDefault="0046798B">
            <w:pPr>
              <w:pStyle w:val="TableParagraph"/>
              <w:spacing w:before="8"/>
              <w:rPr>
                <w:sz w:val="23"/>
              </w:rPr>
            </w:pPr>
          </w:p>
          <w:p w14:paraId="005D599D" w14:textId="77777777" w:rsidR="0046798B" w:rsidRDefault="00903B5C">
            <w:pPr>
              <w:pStyle w:val="TableParagraph"/>
              <w:spacing w:before="1"/>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40133D6A" w14:textId="77777777">
        <w:trPr>
          <w:trHeight w:val="1240"/>
        </w:trPr>
        <w:tc>
          <w:tcPr>
            <w:tcW w:w="1711" w:type="dxa"/>
          </w:tcPr>
          <w:p w14:paraId="705EA35C" w14:textId="77777777" w:rsidR="0046798B" w:rsidRDefault="0046798B">
            <w:pPr>
              <w:pStyle w:val="TableParagraph"/>
            </w:pPr>
          </w:p>
          <w:p w14:paraId="79ADEEB2" w14:textId="77777777" w:rsidR="0046798B" w:rsidRDefault="0046798B">
            <w:pPr>
              <w:pStyle w:val="TableParagraph"/>
              <w:spacing w:before="8"/>
              <w:rPr>
                <w:sz w:val="21"/>
              </w:rPr>
            </w:pPr>
          </w:p>
          <w:p w14:paraId="20AB12D5" w14:textId="77777777" w:rsidR="0046798B" w:rsidRDefault="00903B5C">
            <w:pPr>
              <w:pStyle w:val="TableParagraph"/>
              <w:spacing w:before="1"/>
              <w:ind w:left="115"/>
              <w:rPr>
                <w:b/>
                <w:sz w:val="20"/>
              </w:rPr>
            </w:pPr>
            <w:r>
              <w:rPr>
                <w:b/>
                <w:sz w:val="20"/>
              </w:rPr>
              <w:t>hmomod2</w:t>
            </w:r>
          </w:p>
        </w:tc>
        <w:tc>
          <w:tcPr>
            <w:tcW w:w="1596" w:type="dxa"/>
          </w:tcPr>
          <w:p w14:paraId="5DFE4C12" w14:textId="77777777" w:rsidR="0046798B" w:rsidRDefault="00903B5C">
            <w:pPr>
              <w:pStyle w:val="TableParagraph"/>
              <w:spacing w:before="43"/>
              <w:ind w:left="114" w:right="441"/>
              <w:rPr>
                <w:sz w:val="20"/>
              </w:rPr>
            </w:pPr>
            <w:r>
              <w:rPr>
                <w:sz w:val="20"/>
              </w:rPr>
              <w:t>Health maintenance organization model act (second)</w:t>
            </w:r>
          </w:p>
        </w:tc>
        <w:tc>
          <w:tcPr>
            <w:tcW w:w="1285" w:type="dxa"/>
          </w:tcPr>
          <w:p w14:paraId="7FB92E72" w14:textId="77777777" w:rsidR="0046798B" w:rsidRDefault="0046798B">
            <w:pPr>
              <w:pStyle w:val="TableParagraph"/>
            </w:pPr>
          </w:p>
          <w:p w14:paraId="7E37B86E" w14:textId="77777777" w:rsidR="0046798B" w:rsidRDefault="0046798B">
            <w:pPr>
              <w:pStyle w:val="TableParagraph"/>
              <w:spacing w:before="8"/>
              <w:rPr>
                <w:sz w:val="21"/>
              </w:rPr>
            </w:pPr>
          </w:p>
          <w:p w14:paraId="3AAB5F41" w14:textId="77777777" w:rsidR="0046798B" w:rsidRDefault="00903B5C">
            <w:pPr>
              <w:pStyle w:val="TableParagraph"/>
              <w:spacing w:before="1"/>
              <w:ind w:left="114"/>
              <w:rPr>
                <w:sz w:val="20"/>
              </w:rPr>
            </w:pPr>
            <w:r>
              <w:rPr>
                <w:sz w:val="20"/>
              </w:rPr>
              <w:t>1989–1995</w:t>
            </w:r>
          </w:p>
        </w:tc>
        <w:tc>
          <w:tcPr>
            <w:tcW w:w="3421" w:type="dxa"/>
          </w:tcPr>
          <w:p w14:paraId="5B720DDD" w14:textId="77777777" w:rsidR="0046798B" w:rsidRDefault="0046798B">
            <w:pPr>
              <w:pStyle w:val="TableParagraph"/>
              <w:spacing w:before="8"/>
              <w:rPr>
                <w:sz w:val="23"/>
              </w:rPr>
            </w:pPr>
          </w:p>
          <w:p w14:paraId="418ABB8A" w14:textId="77777777" w:rsidR="0046798B" w:rsidRDefault="00903B5C">
            <w:pPr>
              <w:pStyle w:val="TableParagraph"/>
              <w:spacing w:before="1"/>
              <w:ind w:left="114" w:right="237"/>
              <w:rPr>
                <w:sz w:val="20"/>
              </w:rPr>
            </w:pPr>
            <w:r>
              <w:rPr>
                <w:sz w:val="20"/>
              </w:rPr>
              <w:t>Did state adopt health maintenance organization model act (second)? (0 = no, 1 = yes)</w:t>
            </w:r>
          </w:p>
        </w:tc>
        <w:tc>
          <w:tcPr>
            <w:tcW w:w="6482" w:type="dxa"/>
          </w:tcPr>
          <w:p w14:paraId="02497853" w14:textId="77777777" w:rsidR="0046798B" w:rsidRDefault="0046798B">
            <w:pPr>
              <w:pStyle w:val="TableParagraph"/>
            </w:pPr>
          </w:p>
          <w:p w14:paraId="5799BDCD" w14:textId="77777777" w:rsidR="0046798B" w:rsidRDefault="00903B5C">
            <w:pPr>
              <w:pStyle w:val="TableParagraph"/>
              <w:spacing w:before="135"/>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5F3A7D5C" w14:textId="77777777">
        <w:trPr>
          <w:trHeight w:val="775"/>
        </w:trPr>
        <w:tc>
          <w:tcPr>
            <w:tcW w:w="1711" w:type="dxa"/>
          </w:tcPr>
          <w:p w14:paraId="3D27D11E" w14:textId="77777777" w:rsidR="0046798B" w:rsidRDefault="0046798B">
            <w:pPr>
              <w:pStyle w:val="TableParagraph"/>
              <w:spacing w:before="3"/>
              <w:rPr>
                <w:sz w:val="23"/>
              </w:rPr>
            </w:pPr>
          </w:p>
          <w:p w14:paraId="3B8E3BEC" w14:textId="77777777" w:rsidR="0046798B" w:rsidRDefault="00903B5C">
            <w:pPr>
              <w:pStyle w:val="TableParagraph"/>
              <w:spacing w:before="1"/>
              <w:ind w:left="115"/>
              <w:rPr>
                <w:b/>
                <w:sz w:val="20"/>
              </w:rPr>
            </w:pPr>
            <w:r>
              <w:rPr>
                <w:b/>
                <w:sz w:val="20"/>
              </w:rPr>
              <w:t>infanthear</w:t>
            </w:r>
          </w:p>
        </w:tc>
        <w:tc>
          <w:tcPr>
            <w:tcW w:w="1596" w:type="dxa"/>
          </w:tcPr>
          <w:p w14:paraId="5A9DA646" w14:textId="77777777" w:rsidR="0046798B" w:rsidRDefault="00903B5C">
            <w:pPr>
              <w:pStyle w:val="TableParagraph"/>
              <w:spacing w:before="38"/>
              <w:ind w:left="114" w:right="685"/>
              <w:rPr>
                <w:sz w:val="20"/>
              </w:rPr>
            </w:pPr>
            <w:r>
              <w:rPr>
                <w:sz w:val="20"/>
              </w:rPr>
              <w:t>Newborn hearing screening</w:t>
            </w:r>
          </w:p>
        </w:tc>
        <w:tc>
          <w:tcPr>
            <w:tcW w:w="1285" w:type="dxa"/>
          </w:tcPr>
          <w:p w14:paraId="6D00A797" w14:textId="77777777" w:rsidR="0046798B" w:rsidRDefault="0046798B">
            <w:pPr>
              <w:pStyle w:val="TableParagraph"/>
              <w:spacing w:before="3"/>
              <w:rPr>
                <w:sz w:val="23"/>
              </w:rPr>
            </w:pPr>
          </w:p>
          <w:p w14:paraId="4D2A35BB" w14:textId="77777777" w:rsidR="0046798B" w:rsidRDefault="00903B5C">
            <w:pPr>
              <w:pStyle w:val="TableParagraph"/>
              <w:spacing w:before="1"/>
              <w:ind w:left="114"/>
              <w:rPr>
                <w:sz w:val="20"/>
              </w:rPr>
            </w:pPr>
            <w:r>
              <w:rPr>
                <w:sz w:val="20"/>
              </w:rPr>
              <w:t>1990–2008</w:t>
            </w:r>
          </w:p>
        </w:tc>
        <w:tc>
          <w:tcPr>
            <w:tcW w:w="3421" w:type="dxa"/>
          </w:tcPr>
          <w:p w14:paraId="675C13BC" w14:textId="77777777" w:rsidR="0046798B" w:rsidRDefault="00903B5C">
            <w:pPr>
              <w:pStyle w:val="TableParagraph"/>
              <w:spacing w:before="153"/>
              <w:ind w:left="114" w:right="666"/>
              <w:rPr>
                <w:sz w:val="20"/>
              </w:rPr>
            </w:pPr>
            <w:r>
              <w:rPr>
                <w:sz w:val="20"/>
              </w:rPr>
              <w:t>Did state adopt newborn hearing screening? (0 = no, 1 = yes)</w:t>
            </w:r>
          </w:p>
        </w:tc>
        <w:tc>
          <w:tcPr>
            <w:tcW w:w="6482" w:type="dxa"/>
          </w:tcPr>
          <w:p w14:paraId="526DF41A" w14:textId="77777777" w:rsidR="0046798B" w:rsidRDefault="00903B5C">
            <w:pPr>
              <w:pStyle w:val="TableParagraph"/>
              <w:spacing w:before="15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7A54401F" w14:textId="77777777">
        <w:trPr>
          <w:trHeight w:val="545"/>
        </w:trPr>
        <w:tc>
          <w:tcPr>
            <w:tcW w:w="1711" w:type="dxa"/>
          </w:tcPr>
          <w:p w14:paraId="61E80C2F" w14:textId="77777777" w:rsidR="0046798B" w:rsidRDefault="00903B5C">
            <w:pPr>
              <w:pStyle w:val="TableParagraph"/>
              <w:spacing w:before="153"/>
              <w:ind w:left="115"/>
              <w:rPr>
                <w:b/>
                <w:sz w:val="20"/>
              </w:rPr>
            </w:pPr>
            <w:r>
              <w:rPr>
                <w:b/>
                <w:sz w:val="20"/>
              </w:rPr>
              <w:t>kinship</w:t>
            </w:r>
          </w:p>
        </w:tc>
        <w:tc>
          <w:tcPr>
            <w:tcW w:w="1596" w:type="dxa"/>
          </w:tcPr>
          <w:p w14:paraId="1E285825" w14:textId="77777777" w:rsidR="0046798B" w:rsidRDefault="00903B5C">
            <w:pPr>
              <w:pStyle w:val="TableParagraph"/>
              <w:spacing w:before="38"/>
              <w:ind w:left="114" w:right="435"/>
              <w:rPr>
                <w:sz w:val="20"/>
              </w:rPr>
            </w:pPr>
            <w:r>
              <w:rPr>
                <w:sz w:val="20"/>
              </w:rPr>
              <w:t>Kinship care program</w:t>
            </w:r>
          </w:p>
        </w:tc>
        <w:tc>
          <w:tcPr>
            <w:tcW w:w="1285" w:type="dxa"/>
          </w:tcPr>
          <w:p w14:paraId="0CCA3A98" w14:textId="77777777" w:rsidR="0046798B" w:rsidRDefault="00903B5C">
            <w:pPr>
              <w:pStyle w:val="TableParagraph"/>
              <w:spacing w:before="153"/>
              <w:ind w:left="114"/>
              <w:rPr>
                <w:sz w:val="20"/>
              </w:rPr>
            </w:pPr>
            <w:r>
              <w:rPr>
                <w:sz w:val="20"/>
              </w:rPr>
              <w:t>1998–2006</w:t>
            </w:r>
          </w:p>
        </w:tc>
        <w:tc>
          <w:tcPr>
            <w:tcW w:w="3421" w:type="dxa"/>
          </w:tcPr>
          <w:p w14:paraId="453680B5" w14:textId="77777777" w:rsidR="0046798B" w:rsidRDefault="00903B5C">
            <w:pPr>
              <w:pStyle w:val="TableParagraph"/>
              <w:spacing w:before="38"/>
              <w:ind w:left="114" w:right="89"/>
              <w:rPr>
                <w:sz w:val="20"/>
              </w:rPr>
            </w:pPr>
            <w:r>
              <w:rPr>
                <w:sz w:val="20"/>
              </w:rPr>
              <w:t>Did state adopt a kinship care program? (0 = no, 1 = yes)</w:t>
            </w:r>
          </w:p>
        </w:tc>
        <w:tc>
          <w:tcPr>
            <w:tcW w:w="6482" w:type="dxa"/>
          </w:tcPr>
          <w:p w14:paraId="56F46F07" w14:textId="77777777" w:rsidR="0046798B" w:rsidRDefault="00903B5C">
            <w:pPr>
              <w:pStyle w:val="TableParagraph"/>
              <w:spacing w:before="3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4F2854DC" w14:textId="77777777">
        <w:trPr>
          <w:trHeight w:val="775"/>
        </w:trPr>
        <w:tc>
          <w:tcPr>
            <w:tcW w:w="1711" w:type="dxa"/>
          </w:tcPr>
          <w:p w14:paraId="0D2CEAA3" w14:textId="77777777" w:rsidR="0046798B" w:rsidRDefault="0046798B">
            <w:pPr>
              <w:pStyle w:val="TableParagraph"/>
              <w:spacing w:before="8"/>
              <w:rPr>
                <w:sz w:val="23"/>
              </w:rPr>
            </w:pPr>
          </w:p>
          <w:p w14:paraId="0F322EFB" w14:textId="77777777" w:rsidR="0046798B" w:rsidRDefault="00903B5C">
            <w:pPr>
              <w:pStyle w:val="TableParagraph"/>
              <w:spacing w:before="1"/>
              <w:ind w:left="115"/>
              <w:rPr>
                <w:b/>
                <w:sz w:val="20"/>
              </w:rPr>
            </w:pPr>
            <w:r>
              <w:rPr>
                <w:b/>
                <w:sz w:val="20"/>
              </w:rPr>
              <w:t>manclin</w:t>
            </w:r>
          </w:p>
        </w:tc>
        <w:tc>
          <w:tcPr>
            <w:tcW w:w="1596" w:type="dxa"/>
          </w:tcPr>
          <w:p w14:paraId="13411CC4" w14:textId="77777777" w:rsidR="0046798B" w:rsidRDefault="00903B5C">
            <w:pPr>
              <w:pStyle w:val="TableParagraph"/>
              <w:spacing w:before="43"/>
              <w:ind w:left="114" w:right="413"/>
              <w:rPr>
                <w:sz w:val="20"/>
              </w:rPr>
            </w:pPr>
            <w:r>
              <w:rPr>
                <w:sz w:val="20"/>
              </w:rPr>
              <w:t>Mandated coverage of clinical trials</w:t>
            </w:r>
          </w:p>
        </w:tc>
        <w:tc>
          <w:tcPr>
            <w:tcW w:w="1285" w:type="dxa"/>
          </w:tcPr>
          <w:p w14:paraId="43F94CEA" w14:textId="77777777" w:rsidR="0046798B" w:rsidRDefault="0046798B">
            <w:pPr>
              <w:pStyle w:val="TableParagraph"/>
              <w:spacing w:before="8"/>
              <w:rPr>
                <w:sz w:val="23"/>
              </w:rPr>
            </w:pPr>
          </w:p>
          <w:p w14:paraId="4E08924F" w14:textId="77777777" w:rsidR="0046798B" w:rsidRDefault="00903B5C">
            <w:pPr>
              <w:pStyle w:val="TableParagraph"/>
              <w:spacing w:before="1"/>
              <w:ind w:left="114"/>
              <w:rPr>
                <w:sz w:val="20"/>
              </w:rPr>
            </w:pPr>
            <w:r>
              <w:rPr>
                <w:sz w:val="20"/>
              </w:rPr>
              <w:t>1994–2008</w:t>
            </w:r>
          </w:p>
        </w:tc>
        <w:tc>
          <w:tcPr>
            <w:tcW w:w="3421" w:type="dxa"/>
          </w:tcPr>
          <w:p w14:paraId="39E1D0B8" w14:textId="77777777" w:rsidR="0046798B" w:rsidRDefault="00903B5C">
            <w:pPr>
              <w:pStyle w:val="TableParagraph"/>
              <w:spacing w:before="158"/>
              <w:ind w:left="114" w:right="250"/>
              <w:rPr>
                <w:sz w:val="20"/>
              </w:rPr>
            </w:pPr>
            <w:r>
              <w:rPr>
                <w:sz w:val="20"/>
              </w:rPr>
              <w:t>Did state adopt mandated coverage of clinical trials? (0 = no, 1 = yes)</w:t>
            </w:r>
          </w:p>
        </w:tc>
        <w:tc>
          <w:tcPr>
            <w:tcW w:w="6482" w:type="dxa"/>
          </w:tcPr>
          <w:p w14:paraId="2710EB87" w14:textId="77777777" w:rsidR="0046798B" w:rsidRDefault="00903B5C">
            <w:pPr>
              <w:pStyle w:val="TableParagraph"/>
              <w:spacing w:before="15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199B9521" w14:textId="77777777">
        <w:trPr>
          <w:trHeight w:val="775"/>
        </w:trPr>
        <w:tc>
          <w:tcPr>
            <w:tcW w:w="1711" w:type="dxa"/>
          </w:tcPr>
          <w:p w14:paraId="594C6C50" w14:textId="77777777" w:rsidR="0046798B" w:rsidRDefault="0046798B">
            <w:pPr>
              <w:pStyle w:val="TableParagraph"/>
              <w:spacing w:before="9"/>
              <w:rPr>
                <w:sz w:val="23"/>
              </w:rPr>
            </w:pPr>
          </w:p>
          <w:p w14:paraId="63E42495" w14:textId="77777777" w:rsidR="0046798B" w:rsidRDefault="00903B5C">
            <w:pPr>
              <w:pStyle w:val="TableParagraph"/>
              <w:ind w:left="115"/>
              <w:rPr>
                <w:b/>
                <w:sz w:val="20"/>
              </w:rPr>
            </w:pPr>
            <w:r>
              <w:rPr>
                <w:b/>
                <w:sz w:val="20"/>
              </w:rPr>
              <w:t>mntlhlth</w:t>
            </w:r>
          </w:p>
        </w:tc>
        <w:tc>
          <w:tcPr>
            <w:tcW w:w="1596" w:type="dxa"/>
          </w:tcPr>
          <w:p w14:paraId="425C5B12" w14:textId="77777777" w:rsidR="0046798B" w:rsidRDefault="00903B5C">
            <w:pPr>
              <w:pStyle w:val="TableParagraph"/>
              <w:spacing w:before="44"/>
              <w:ind w:left="114" w:right="346"/>
              <w:rPr>
                <w:sz w:val="20"/>
              </w:rPr>
            </w:pPr>
            <w:r>
              <w:rPr>
                <w:sz w:val="20"/>
              </w:rPr>
              <w:t>Mental health standards committee</w:t>
            </w:r>
          </w:p>
        </w:tc>
        <w:tc>
          <w:tcPr>
            <w:tcW w:w="1285" w:type="dxa"/>
          </w:tcPr>
          <w:p w14:paraId="6C1E8D70" w14:textId="77777777" w:rsidR="0046798B" w:rsidRDefault="0046798B">
            <w:pPr>
              <w:pStyle w:val="TableParagraph"/>
              <w:spacing w:before="9"/>
              <w:rPr>
                <w:sz w:val="23"/>
              </w:rPr>
            </w:pPr>
          </w:p>
          <w:p w14:paraId="6B2501F6" w14:textId="77777777" w:rsidR="0046798B" w:rsidRDefault="00903B5C">
            <w:pPr>
              <w:pStyle w:val="TableParagraph"/>
              <w:ind w:left="114"/>
              <w:rPr>
                <w:sz w:val="20"/>
              </w:rPr>
            </w:pPr>
            <w:r>
              <w:rPr>
                <w:sz w:val="20"/>
              </w:rPr>
              <w:t>1955–1987</w:t>
            </w:r>
          </w:p>
        </w:tc>
        <w:tc>
          <w:tcPr>
            <w:tcW w:w="3421" w:type="dxa"/>
          </w:tcPr>
          <w:p w14:paraId="05C93960" w14:textId="77777777" w:rsidR="0046798B" w:rsidRDefault="00903B5C">
            <w:pPr>
              <w:pStyle w:val="TableParagraph"/>
              <w:spacing w:before="159"/>
              <w:ind w:left="114" w:right="163"/>
              <w:rPr>
                <w:sz w:val="20"/>
              </w:rPr>
            </w:pPr>
            <w:r>
              <w:rPr>
                <w:sz w:val="20"/>
              </w:rPr>
              <w:t>Did state adopt a mental health standards committee? (0 = no, 1 = yes)</w:t>
            </w:r>
          </w:p>
        </w:tc>
        <w:tc>
          <w:tcPr>
            <w:tcW w:w="6482" w:type="dxa"/>
          </w:tcPr>
          <w:p w14:paraId="13AAC6DC" w14:textId="77777777" w:rsidR="0046798B" w:rsidRDefault="00903B5C">
            <w:pPr>
              <w:pStyle w:val="TableParagraph"/>
              <w:spacing w:before="159"/>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4A3E28AF" w14:textId="77777777">
        <w:trPr>
          <w:trHeight w:val="545"/>
        </w:trPr>
        <w:tc>
          <w:tcPr>
            <w:tcW w:w="1711" w:type="dxa"/>
          </w:tcPr>
          <w:p w14:paraId="00B4D71A" w14:textId="77777777" w:rsidR="0046798B" w:rsidRDefault="00903B5C">
            <w:pPr>
              <w:pStyle w:val="TableParagraph"/>
              <w:spacing w:before="158"/>
              <w:ind w:left="115"/>
              <w:rPr>
                <w:b/>
                <w:sz w:val="20"/>
              </w:rPr>
            </w:pPr>
            <w:r>
              <w:rPr>
                <w:b/>
                <w:sz w:val="20"/>
              </w:rPr>
              <w:t>mothpen</w:t>
            </w:r>
          </w:p>
        </w:tc>
        <w:tc>
          <w:tcPr>
            <w:tcW w:w="1596" w:type="dxa"/>
          </w:tcPr>
          <w:p w14:paraId="34ACB831" w14:textId="77777777" w:rsidR="0046798B" w:rsidRDefault="00903B5C">
            <w:pPr>
              <w:pStyle w:val="TableParagraph"/>
              <w:spacing w:before="43"/>
              <w:ind w:left="114" w:right="718"/>
              <w:rPr>
                <w:sz w:val="20"/>
              </w:rPr>
            </w:pPr>
            <w:r>
              <w:rPr>
                <w:sz w:val="20"/>
              </w:rPr>
              <w:t>Mothers’ pensions</w:t>
            </w:r>
          </w:p>
        </w:tc>
        <w:tc>
          <w:tcPr>
            <w:tcW w:w="1285" w:type="dxa"/>
          </w:tcPr>
          <w:p w14:paraId="61230F09" w14:textId="77777777" w:rsidR="0046798B" w:rsidRDefault="00903B5C">
            <w:pPr>
              <w:pStyle w:val="TableParagraph"/>
              <w:spacing w:before="158"/>
              <w:ind w:left="114"/>
              <w:rPr>
                <w:sz w:val="20"/>
              </w:rPr>
            </w:pPr>
            <w:r>
              <w:rPr>
                <w:sz w:val="20"/>
              </w:rPr>
              <w:t>1911–1931</w:t>
            </w:r>
          </w:p>
        </w:tc>
        <w:tc>
          <w:tcPr>
            <w:tcW w:w="3421" w:type="dxa"/>
          </w:tcPr>
          <w:p w14:paraId="1904AC71" w14:textId="77777777" w:rsidR="0046798B" w:rsidRDefault="00903B5C">
            <w:pPr>
              <w:pStyle w:val="TableParagraph"/>
              <w:spacing w:before="43"/>
              <w:ind w:left="114" w:right="1475"/>
              <w:rPr>
                <w:sz w:val="20"/>
              </w:rPr>
            </w:pPr>
            <w:r>
              <w:rPr>
                <w:sz w:val="20"/>
              </w:rPr>
              <w:t>0 = policy not adopted 1 = policy adopted</w:t>
            </w:r>
          </w:p>
        </w:tc>
        <w:tc>
          <w:tcPr>
            <w:tcW w:w="6482" w:type="dxa"/>
          </w:tcPr>
          <w:p w14:paraId="635836E0" w14:textId="77777777" w:rsidR="0046798B" w:rsidRDefault="00903B5C">
            <w:pPr>
              <w:pStyle w:val="TableParagraph"/>
              <w:spacing w:before="4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5EFCDFA3" w14:textId="77777777">
        <w:trPr>
          <w:trHeight w:val="550"/>
        </w:trPr>
        <w:tc>
          <w:tcPr>
            <w:tcW w:w="1711" w:type="dxa"/>
          </w:tcPr>
          <w:p w14:paraId="4DAB9E56" w14:textId="77777777" w:rsidR="0046798B" w:rsidRDefault="00903B5C">
            <w:pPr>
              <w:pStyle w:val="TableParagraph"/>
              <w:spacing w:before="158"/>
              <w:ind w:left="115"/>
              <w:rPr>
                <w:b/>
                <w:sz w:val="20"/>
              </w:rPr>
            </w:pPr>
            <w:r>
              <w:rPr>
                <w:b/>
                <w:sz w:val="20"/>
              </w:rPr>
              <w:t>msas</w:t>
            </w:r>
          </w:p>
        </w:tc>
        <w:tc>
          <w:tcPr>
            <w:tcW w:w="1596" w:type="dxa"/>
          </w:tcPr>
          <w:p w14:paraId="4BE61E23" w14:textId="77777777" w:rsidR="0046798B" w:rsidRDefault="00903B5C">
            <w:pPr>
              <w:pStyle w:val="TableParagraph"/>
              <w:spacing w:before="43"/>
              <w:ind w:left="114" w:right="146"/>
              <w:rPr>
                <w:sz w:val="20"/>
              </w:rPr>
            </w:pPr>
            <w:r>
              <w:rPr>
                <w:sz w:val="20"/>
              </w:rPr>
              <w:t>Medical savings accounts</w:t>
            </w:r>
          </w:p>
        </w:tc>
        <w:tc>
          <w:tcPr>
            <w:tcW w:w="1285" w:type="dxa"/>
          </w:tcPr>
          <w:p w14:paraId="561EF6D6" w14:textId="77777777" w:rsidR="0046798B" w:rsidRDefault="00903B5C">
            <w:pPr>
              <w:pStyle w:val="TableParagraph"/>
              <w:spacing w:before="158"/>
              <w:ind w:left="114"/>
              <w:rPr>
                <w:sz w:val="20"/>
              </w:rPr>
            </w:pPr>
            <w:r>
              <w:rPr>
                <w:sz w:val="20"/>
              </w:rPr>
              <w:t>1993–1997</w:t>
            </w:r>
          </w:p>
        </w:tc>
        <w:tc>
          <w:tcPr>
            <w:tcW w:w="3421" w:type="dxa"/>
          </w:tcPr>
          <w:p w14:paraId="7CF04C93" w14:textId="77777777" w:rsidR="0046798B" w:rsidRDefault="00903B5C">
            <w:pPr>
              <w:pStyle w:val="TableParagraph"/>
              <w:spacing w:before="43"/>
              <w:ind w:left="114" w:right="733"/>
              <w:rPr>
                <w:sz w:val="20"/>
              </w:rPr>
            </w:pPr>
            <w:r>
              <w:rPr>
                <w:sz w:val="20"/>
              </w:rPr>
              <w:t>Did state adopt medical savings accounts? (0 = no, 1 = yes)</w:t>
            </w:r>
          </w:p>
        </w:tc>
        <w:tc>
          <w:tcPr>
            <w:tcW w:w="6482" w:type="dxa"/>
          </w:tcPr>
          <w:p w14:paraId="29B6A5A1" w14:textId="77777777" w:rsidR="0046798B" w:rsidRDefault="00903B5C">
            <w:pPr>
              <w:pStyle w:val="TableParagraph"/>
              <w:spacing w:before="4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23B92B5B" w14:textId="77777777">
        <w:trPr>
          <w:trHeight w:val="545"/>
        </w:trPr>
        <w:tc>
          <w:tcPr>
            <w:tcW w:w="1711" w:type="dxa"/>
          </w:tcPr>
          <w:p w14:paraId="261C5B5D" w14:textId="77777777" w:rsidR="0046798B" w:rsidRDefault="00903B5C">
            <w:pPr>
              <w:pStyle w:val="TableParagraph"/>
              <w:spacing w:before="153"/>
              <w:ind w:left="115"/>
              <w:rPr>
                <w:b/>
                <w:sz w:val="20"/>
              </w:rPr>
            </w:pPr>
            <w:r>
              <w:rPr>
                <w:b/>
                <w:sz w:val="20"/>
              </w:rPr>
              <w:t>pdrugmon</w:t>
            </w:r>
          </w:p>
        </w:tc>
        <w:tc>
          <w:tcPr>
            <w:tcW w:w="1596" w:type="dxa"/>
          </w:tcPr>
          <w:p w14:paraId="28E9CEE3" w14:textId="77777777" w:rsidR="0046798B" w:rsidRDefault="00903B5C">
            <w:pPr>
              <w:pStyle w:val="TableParagraph"/>
              <w:spacing w:before="38"/>
              <w:ind w:left="114" w:right="146"/>
              <w:rPr>
                <w:sz w:val="20"/>
              </w:rPr>
            </w:pPr>
            <w:r>
              <w:rPr>
                <w:sz w:val="20"/>
              </w:rPr>
              <w:t>Prescription drug monitoring</w:t>
            </w:r>
          </w:p>
        </w:tc>
        <w:tc>
          <w:tcPr>
            <w:tcW w:w="1285" w:type="dxa"/>
          </w:tcPr>
          <w:p w14:paraId="2CB2949C" w14:textId="77777777" w:rsidR="0046798B" w:rsidRDefault="00903B5C">
            <w:pPr>
              <w:pStyle w:val="TableParagraph"/>
              <w:spacing w:before="153"/>
              <w:ind w:left="114"/>
              <w:rPr>
                <w:sz w:val="20"/>
              </w:rPr>
            </w:pPr>
            <w:r>
              <w:rPr>
                <w:sz w:val="20"/>
              </w:rPr>
              <w:t>1940–1999</w:t>
            </w:r>
          </w:p>
        </w:tc>
        <w:tc>
          <w:tcPr>
            <w:tcW w:w="3421" w:type="dxa"/>
          </w:tcPr>
          <w:p w14:paraId="59FBFCB6" w14:textId="77777777" w:rsidR="0046798B" w:rsidRDefault="00903B5C">
            <w:pPr>
              <w:pStyle w:val="TableParagraph"/>
              <w:spacing w:before="38"/>
              <w:ind w:left="114" w:right="644"/>
              <w:rPr>
                <w:sz w:val="20"/>
              </w:rPr>
            </w:pPr>
            <w:r>
              <w:rPr>
                <w:sz w:val="20"/>
              </w:rPr>
              <w:t>Did state adopt prescription drug monitoring? (0 = no, 1 = yes)</w:t>
            </w:r>
          </w:p>
        </w:tc>
        <w:tc>
          <w:tcPr>
            <w:tcW w:w="6482" w:type="dxa"/>
          </w:tcPr>
          <w:p w14:paraId="331ABC5E" w14:textId="77777777" w:rsidR="0046798B" w:rsidRDefault="00903B5C">
            <w:pPr>
              <w:pStyle w:val="TableParagraph"/>
              <w:spacing w:before="3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3419D1AA" w14:textId="77777777">
        <w:trPr>
          <w:trHeight w:val="545"/>
        </w:trPr>
        <w:tc>
          <w:tcPr>
            <w:tcW w:w="1711" w:type="dxa"/>
          </w:tcPr>
          <w:p w14:paraId="11C1074C" w14:textId="77777777" w:rsidR="0046798B" w:rsidRDefault="00903B5C">
            <w:pPr>
              <w:pStyle w:val="TableParagraph"/>
              <w:spacing w:before="153"/>
              <w:ind w:left="115"/>
              <w:rPr>
                <w:b/>
                <w:sz w:val="20"/>
              </w:rPr>
            </w:pPr>
            <w:r>
              <w:rPr>
                <w:b/>
                <w:sz w:val="20"/>
              </w:rPr>
              <w:t>rightdie</w:t>
            </w:r>
          </w:p>
        </w:tc>
        <w:tc>
          <w:tcPr>
            <w:tcW w:w="1596" w:type="dxa"/>
          </w:tcPr>
          <w:p w14:paraId="35419BCB" w14:textId="77777777" w:rsidR="0046798B" w:rsidRDefault="00903B5C">
            <w:pPr>
              <w:pStyle w:val="TableParagraph"/>
              <w:spacing w:before="153"/>
              <w:ind w:left="114"/>
              <w:rPr>
                <w:sz w:val="20"/>
              </w:rPr>
            </w:pPr>
            <w:r>
              <w:rPr>
                <w:sz w:val="20"/>
              </w:rPr>
              <w:t>Right to die</w:t>
            </w:r>
          </w:p>
        </w:tc>
        <w:tc>
          <w:tcPr>
            <w:tcW w:w="1285" w:type="dxa"/>
          </w:tcPr>
          <w:p w14:paraId="31028287" w14:textId="77777777" w:rsidR="0046798B" w:rsidRDefault="00903B5C">
            <w:pPr>
              <w:pStyle w:val="TableParagraph"/>
              <w:spacing w:before="153"/>
              <w:ind w:left="114"/>
              <w:rPr>
                <w:sz w:val="20"/>
              </w:rPr>
            </w:pPr>
            <w:r>
              <w:rPr>
                <w:sz w:val="20"/>
              </w:rPr>
              <w:t>1976–1988</w:t>
            </w:r>
          </w:p>
        </w:tc>
        <w:tc>
          <w:tcPr>
            <w:tcW w:w="3421" w:type="dxa"/>
          </w:tcPr>
          <w:p w14:paraId="48564F55" w14:textId="77777777" w:rsidR="0046798B" w:rsidRDefault="00903B5C">
            <w:pPr>
              <w:pStyle w:val="TableParagraph"/>
              <w:spacing w:before="38"/>
              <w:ind w:left="114" w:right="166"/>
              <w:rPr>
                <w:sz w:val="20"/>
              </w:rPr>
            </w:pPr>
            <w:r>
              <w:rPr>
                <w:sz w:val="20"/>
              </w:rPr>
              <w:t>Did state adopt right to die legislation? (0 = no, 1 = yes)</w:t>
            </w:r>
          </w:p>
        </w:tc>
        <w:tc>
          <w:tcPr>
            <w:tcW w:w="6482" w:type="dxa"/>
          </w:tcPr>
          <w:p w14:paraId="322E4500" w14:textId="77777777" w:rsidR="0046798B" w:rsidRDefault="00903B5C">
            <w:pPr>
              <w:pStyle w:val="TableParagraph"/>
              <w:spacing w:before="3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444E4192" w14:textId="77777777">
        <w:trPr>
          <w:trHeight w:val="775"/>
        </w:trPr>
        <w:tc>
          <w:tcPr>
            <w:tcW w:w="1711" w:type="dxa"/>
          </w:tcPr>
          <w:p w14:paraId="5D8D373B" w14:textId="77777777" w:rsidR="0046798B" w:rsidRDefault="0046798B">
            <w:pPr>
              <w:pStyle w:val="TableParagraph"/>
              <w:spacing w:before="8"/>
              <w:rPr>
                <w:sz w:val="23"/>
              </w:rPr>
            </w:pPr>
          </w:p>
          <w:p w14:paraId="0D8CAF6C" w14:textId="77777777" w:rsidR="0046798B" w:rsidRDefault="00903B5C">
            <w:pPr>
              <w:pStyle w:val="TableParagraph"/>
              <w:spacing w:before="1"/>
              <w:ind w:left="115"/>
              <w:rPr>
                <w:b/>
                <w:sz w:val="20"/>
              </w:rPr>
            </w:pPr>
            <w:r>
              <w:rPr>
                <w:b/>
                <w:sz w:val="20"/>
              </w:rPr>
              <w:t>sdce</w:t>
            </w:r>
          </w:p>
        </w:tc>
        <w:tc>
          <w:tcPr>
            <w:tcW w:w="1596" w:type="dxa"/>
          </w:tcPr>
          <w:p w14:paraId="693285AB" w14:textId="77777777" w:rsidR="0046798B" w:rsidRDefault="00903B5C">
            <w:pPr>
              <w:pStyle w:val="TableParagraph"/>
              <w:spacing w:before="43"/>
              <w:ind w:left="114" w:right="585"/>
              <w:rPr>
                <w:sz w:val="20"/>
              </w:rPr>
            </w:pPr>
            <w:r>
              <w:rPr>
                <w:sz w:val="20"/>
              </w:rPr>
              <w:t>Dependent coverage expansion</w:t>
            </w:r>
          </w:p>
        </w:tc>
        <w:tc>
          <w:tcPr>
            <w:tcW w:w="1285" w:type="dxa"/>
          </w:tcPr>
          <w:p w14:paraId="523EDD3E" w14:textId="77777777" w:rsidR="0046798B" w:rsidRDefault="0046798B">
            <w:pPr>
              <w:pStyle w:val="TableParagraph"/>
              <w:spacing w:before="8"/>
              <w:rPr>
                <w:sz w:val="23"/>
              </w:rPr>
            </w:pPr>
          </w:p>
          <w:p w14:paraId="50BA717C" w14:textId="77777777" w:rsidR="0046798B" w:rsidRDefault="00903B5C">
            <w:pPr>
              <w:pStyle w:val="TableParagraph"/>
              <w:spacing w:before="1"/>
              <w:ind w:left="114"/>
              <w:rPr>
                <w:sz w:val="20"/>
              </w:rPr>
            </w:pPr>
            <w:r>
              <w:rPr>
                <w:sz w:val="20"/>
              </w:rPr>
              <w:t>1994–2008</w:t>
            </w:r>
          </w:p>
        </w:tc>
        <w:tc>
          <w:tcPr>
            <w:tcW w:w="3421" w:type="dxa"/>
          </w:tcPr>
          <w:p w14:paraId="1BA07359" w14:textId="77777777" w:rsidR="0046798B" w:rsidRDefault="00903B5C">
            <w:pPr>
              <w:pStyle w:val="TableParagraph"/>
              <w:spacing w:before="43"/>
              <w:ind w:left="114" w:right="200"/>
              <w:rPr>
                <w:sz w:val="20"/>
              </w:rPr>
            </w:pPr>
            <w:r>
              <w:rPr>
                <w:sz w:val="20"/>
              </w:rPr>
              <w:t>Did state adopt dependent coverage expansion insurance for young adults? (0 = no, 1 = yes)</w:t>
            </w:r>
          </w:p>
        </w:tc>
        <w:tc>
          <w:tcPr>
            <w:tcW w:w="6482" w:type="dxa"/>
          </w:tcPr>
          <w:p w14:paraId="7575D3E0" w14:textId="77777777" w:rsidR="0046798B" w:rsidRDefault="00903B5C">
            <w:pPr>
              <w:pStyle w:val="TableParagraph"/>
              <w:spacing w:before="15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bl>
    <w:p w14:paraId="093647FF" w14:textId="77777777" w:rsidR="0046798B" w:rsidRDefault="0046798B">
      <w:pPr>
        <w:rPr>
          <w:sz w:val="20"/>
        </w:rPr>
        <w:sectPr w:rsidR="0046798B">
          <w:pgSz w:w="15840" w:h="12240" w:orient="landscape"/>
          <w:pgMar w:top="1220" w:right="300" w:bottom="980" w:left="820" w:header="730" w:footer="787" w:gutter="0"/>
          <w:cols w:space="720"/>
        </w:sectPr>
      </w:pPr>
    </w:p>
    <w:p w14:paraId="0274BFD5"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258CCC6B" w14:textId="77777777">
        <w:trPr>
          <w:trHeight w:val="542"/>
        </w:trPr>
        <w:tc>
          <w:tcPr>
            <w:tcW w:w="1711" w:type="dxa"/>
            <w:tcBorders>
              <w:bottom w:val="dotted" w:sz="6" w:space="0" w:color="BEBEBE"/>
            </w:tcBorders>
          </w:tcPr>
          <w:p w14:paraId="53EFF8B6" w14:textId="77777777" w:rsidR="0046798B" w:rsidRDefault="0046798B">
            <w:pPr>
              <w:pStyle w:val="TableParagraph"/>
              <w:rPr>
                <w:sz w:val="20"/>
              </w:rPr>
            </w:pPr>
          </w:p>
        </w:tc>
        <w:tc>
          <w:tcPr>
            <w:tcW w:w="1596" w:type="dxa"/>
            <w:tcBorders>
              <w:bottom w:val="dotted" w:sz="6" w:space="0" w:color="BEBEBE"/>
            </w:tcBorders>
          </w:tcPr>
          <w:p w14:paraId="38255003" w14:textId="77777777" w:rsidR="0046798B" w:rsidRDefault="00903B5C">
            <w:pPr>
              <w:pStyle w:val="TableParagraph"/>
              <w:spacing w:before="43"/>
              <w:ind w:left="114" w:right="402"/>
              <w:rPr>
                <w:sz w:val="20"/>
              </w:rPr>
            </w:pPr>
            <w:r>
              <w:rPr>
                <w:sz w:val="20"/>
              </w:rPr>
              <w:t>insurance for young adults</w:t>
            </w:r>
          </w:p>
        </w:tc>
        <w:tc>
          <w:tcPr>
            <w:tcW w:w="1285" w:type="dxa"/>
            <w:tcBorders>
              <w:bottom w:val="dotted" w:sz="6" w:space="0" w:color="BEBEBE"/>
            </w:tcBorders>
          </w:tcPr>
          <w:p w14:paraId="0A7B512B" w14:textId="77777777" w:rsidR="0046798B" w:rsidRDefault="0046798B">
            <w:pPr>
              <w:pStyle w:val="TableParagraph"/>
              <w:rPr>
                <w:sz w:val="20"/>
              </w:rPr>
            </w:pPr>
          </w:p>
        </w:tc>
        <w:tc>
          <w:tcPr>
            <w:tcW w:w="3421" w:type="dxa"/>
            <w:tcBorders>
              <w:bottom w:val="dotted" w:sz="6" w:space="0" w:color="BEBEBE"/>
            </w:tcBorders>
          </w:tcPr>
          <w:p w14:paraId="37E59C70" w14:textId="77777777" w:rsidR="0046798B" w:rsidRDefault="0046798B">
            <w:pPr>
              <w:pStyle w:val="TableParagraph"/>
              <w:rPr>
                <w:sz w:val="20"/>
              </w:rPr>
            </w:pPr>
          </w:p>
        </w:tc>
        <w:tc>
          <w:tcPr>
            <w:tcW w:w="6482" w:type="dxa"/>
            <w:tcBorders>
              <w:bottom w:val="dotted" w:sz="6" w:space="0" w:color="BEBEBE"/>
            </w:tcBorders>
          </w:tcPr>
          <w:p w14:paraId="7EAF48E7" w14:textId="77777777" w:rsidR="0046798B" w:rsidRDefault="0046798B">
            <w:pPr>
              <w:pStyle w:val="TableParagraph"/>
              <w:rPr>
                <w:sz w:val="20"/>
              </w:rPr>
            </w:pPr>
          </w:p>
        </w:tc>
      </w:tr>
      <w:tr w:rsidR="0046798B" w14:paraId="3E0F99DD" w14:textId="77777777">
        <w:trPr>
          <w:trHeight w:val="772"/>
        </w:trPr>
        <w:tc>
          <w:tcPr>
            <w:tcW w:w="1711" w:type="dxa"/>
            <w:tcBorders>
              <w:top w:val="dotted" w:sz="6" w:space="0" w:color="BEBEBE"/>
            </w:tcBorders>
          </w:tcPr>
          <w:p w14:paraId="258ADA26" w14:textId="77777777" w:rsidR="0046798B" w:rsidRDefault="0046798B">
            <w:pPr>
              <w:pStyle w:val="TableParagraph"/>
              <w:spacing w:before="6"/>
              <w:rPr>
                <w:sz w:val="23"/>
              </w:rPr>
            </w:pPr>
          </w:p>
          <w:p w14:paraId="5ADF9CE6" w14:textId="77777777" w:rsidR="0046798B" w:rsidRDefault="00903B5C">
            <w:pPr>
              <w:pStyle w:val="TableParagraph"/>
              <w:ind w:left="115"/>
              <w:rPr>
                <w:b/>
                <w:sz w:val="20"/>
              </w:rPr>
            </w:pPr>
            <w:r>
              <w:rPr>
                <w:b/>
                <w:sz w:val="20"/>
              </w:rPr>
              <w:t>snrpresc</w:t>
            </w:r>
          </w:p>
        </w:tc>
        <w:tc>
          <w:tcPr>
            <w:tcW w:w="1596" w:type="dxa"/>
            <w:tcBorders>
              <w:top w:val="dotted" w:sz="6" w:space="0" w:color="BEBEBE"/>
            </w:tcBorders>
          </w:tcPr>
          <w:p w14:paraId="4F930D21" w14:textId="77777777" w:rsidR="0046798B" w:rsidRDefault="00903B5C">
            <w:pPr>
              <w:pStyle w:val="TableParagraph"/>
              <w:spacing w:before="40"/>
              <w:ind w:left="114" w:right="496"/>
              <w:rPr>
                <w:sz w:val="20"/>
              </w:rPr>
            </w:pPr>
            <w:r>
              <w:rPr>
                <w:sz w:val="20"/>
              </w:rPr>
              <w:t>Senior prescription drugs</w:t>
            </w:r>
          </w:p>
        </w:tc>
        <w:tc>
          <w:tcPr>
            <w:tcW w:w="1285" w:type="dxa"/>
            <w:tcBorders>
              <w:top w:val="dotted" w:sz="6" w:space="0" w:color="BEBEBE"/>
            </w:tcBorders>
          </w:tcPr>
          <w:p w14:paraId="576B8234" w14:textId="77777777" w:rsidR="0046798B" w:rsidRDefault="0046798B">
            <w:pPr>
              <w:pStyle w:val="TableParagraph"/>
              <w:spacing w:before="6"/>
              <w:rPr>
                <w:sz w:val="23"/>
              </w:rPr>
            </w:pPr>
          </w:p>
          <w:p w14:paraId="526EEF37" w14:textId="77777777" w:rsidR="0046798B" w:rsidRDefault="00903B5C">
            <w:pPr>
              <w:pStyle w:val="TableParagraph"/>
              <w:ind w:left="114"/>
              <w:rPr>
                <w:sz w:val="20"/>
              </w:rPr>
            </w:pPr>
            <w:r>
              <w:rPr>
                <w:sz w:val="20"/>
              </w:rPr>
              <w:t>1975–2001</w:t>
            </w:r>
          </w:p>
        </w:tc>
        <w:tc>
          <w:tcPr>
            <w:tcW w:w="3421" w:type="dxa"/>
            <w:tcBorders>
              <w:top w:val="dotted" w:sz="6" w:space="0" w:color="BEBEBE"/>
            </w:tcBorders>
          </w:tcPr>
          <w:p w14:paraId="04DBE128" w14:textId="77777777" w:rsidR="0046798B" w:rsidRDefault="00903B5C">
            <w:pPr>
              <w:pStyle w:val="TableParagraph"/>
              <w:spacing w:before="155"/>
              <w:ind w:left="114" w:right="522"/>
              <w:rPr>
                <w:sz w:val="20"/>
              </w:rPr>
            </w:pPr>
            <w:r>
              <w:rPr>
                <w:sz w:val="20"/>
              </w:rPr>
              <w:t>Did state adopt senior prescription drugs? (0 = no, 1 = yes)</w:t>
            </w:r>
          </w:p>
        </w:tc>
        <w:tc>
          <w:tcPr>
            <w:tcW w:w="6482" w:type="dxa"/>
            <w:tcBorders>
              <w:top w:val="dotted" w:sz="6" w:space="0" w:color="BEBEBE"/>
            </w:tcBorders>
          </w:tcPr>
          <w:p w14:paraId="02597CA6" w14:textId="77777777" w:rsidR="0046798B" w:rsidRDefault="00903B5C">
            <w:pPr>
              <w:pStyle w:val="TableParagraph"/>
              <w:spacing w:before="155"/>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6C1EE7EA" w14:textId="77777777">
        <w:trPr>
          <w:trHeight w:val="1470"/>
        </w:trPr>
        <w:tc>
          <w:tcPr>
            <w:tcW w:w="1711" w:type="dxa"/>
          </w:tcPr>
          <w:p w14:paraId="778E778B" w14:textId="77777777" w:rsidR="0046798B" w:rsidRDefault="0046798B">
            <w:pPr>
              <w:pStyle w:val="TableParagraph"/>
            </w:pPr>
          </w:p>
          <w:p w14:paraId="2F8D128C" w14:textId="77777777" w:rsidR="0046798B" w:rsidRDefault="0046798B">
            <w:pPr>
              <w:pStyle w:val="TableParagraph"/>
              <w:spacing w:before="9"/>
              <w:rPr>
                <w:sz w:val="21"/>
              </w:rPr>
            </w:pPr>
          </w:p>
          <w:p w14:paraId="520D52DC" w14:textId="77777777" w:rsidR="0046798B" w:rsidRDefault="00903B5C">
            <w:pPr>
              <w:pStyle w:val="TableParagraph"/>
              <w:ind w:left="115" w:right="132"/>
              <w:rPr>
                <w:b/>
                <w:sz w:val="20"/>
              </w:rPr>
            </w:pPr>
            <w:r>
              <w:rPr>
                <w:b/>
                <w:sz w:val="20"/>
              </w:rPr>
              <w:t>anatomical_gift_ 1968</w:t>
            </w:r>
          </w:p>
        </w:tc>
        <w:tc>
          <w:tcPr>
            <w:tcW w:w="1596" w:type="dxa"/>
          </w:tcPr>
          <w:p w14:paraId="64309F21" w14:textId="77777777" w:rsidR="0046798B" w:rsidRDefault="0046798B">
            <w:pPr>
              <w:pStyle w:val="TableParagraph"/>
              <w:spacing w:before="9"/>
              <w:rPr>
                <w:sz w:val="23"/>
              </w:rPr>
            </w:pPr>
          </w:p>
          <w:p w14:paraId="3855B3B1" w14:textId="77777777" w:rsidR="0046798B" w:rsidRDefault="00903B5C">
            <w:pPr>
              <w:pStyle w:val="TableParagraph"/>
              <w:ind w:left="114" w:right="152"/>
              <w:rPr>
                <w:sz w:val="20"/>
              </w:rPr>
            </w:pPr>
            <w:r>
              <w:rPr>
                <w:sz w:val="20"/>
              </w:rPr>
              <w:t>Sets framework for the donation of organs and other body parts</w:t>
            </w:r>
          </w:p>
        </w:tc>
        <w:tc>
          <w:tcPr>
            <w:tcW w:w="1285" w:type="dxa"/>
          </w:tcPr>
          <w:p w14:paraId="4ADB6D0F" w14:textId="77777777" w:rsidR="0046798B" w:rsidRDefault="0046798B">
            <w:pPr>
              <w:pStyle w:val="TableParagraph"/>
            </w:pPr>
          </w:p>
          <w:p w14:paraId="5EF3B788" w14:textId="77777777" w:rsidR="0046798B" w:rsidRDefault="0046798B">
            <w:pPr>
              <w:pStyle w:val="TableParagraph"/>
              <w:spacing w:before="9"/>
              <w:rPr>
                <w:sz w:val="31"/>
              </w:rPr>
            </w:pPr>
          </w:p>
          <w:p w14:paraId="46D4C980" w14:textId="77777777" w:rsidR="0046798B" w:rsidRDefault="00903B5C">
            <w:pPr>
              <w:pStyle w:val="TableParagraph"/>
              <w:ind w:left="114"/>
              <w:rPr>
                <w:sz w:val="20"/>
              </w:rPr>
            </w:pPr>
            <w:r>
              <w:rPr>
                <w:sz w:val="20"/>
              </w:rPr>
              <w:t>1970–1971</w:t>
            </w:r>
          </w:p>
        </w:tc>
        <w:tc>
          <w:tcPr>
            <w:tcW w:w="3421" w:type="dxa"/>
          </w:tcPr>
          <w:p w14:paraId="6C431F52" w14:textId="77777777" w:rsidR="0046798B" w:rsidRDefault="0046798B">
            <w:pPr>
              <w:pStyle w:val="TableParagraph"/>
            </w:pPr>
          </w:p>
          <w:p w14:paraId="6615753D" w14:textId="77777777" w:rsidR="0046798B" w:rsidRDefault="0046798B">
            <w:pPr>
              <w:pStyle w:val="TableParagraph"/>
              <w:spacing w:before="9"/>
              <w:rPr>
                <w:sz w:val="21"/>
              </w:rPr>
            </w:pPr>
          </w:p>
          <w:p w14:paraId="603F8717" w14:textId="77777777" w:rsidR="0046798B" w:rsidRDefault="00903B5C">
            <w:pPr>
              <w:pStyle w:val="TableParagraph"/>
              <w:ind w:left="114" w:right="1475"/>
              <w:rPr>
                <w:sz w:val="20"/>
              </w:rPr>
            </w:pPr>
            <w:r>
              <w:rPr>
                <w:sz w:val="20"/>
              </w:rPr>
              <w:t>0 = policy not adopted 1 = policy adopted</w:t>
            </w:r>
          </w:p>
        </w:tc>
        <w:tc>
          <w:tcPr>
            <w:tcW w:w="6482" w:type="dxa"/>
          </w:tcPr>
          <w:p w14:paraId="002E66B5" w14:textId="77777777" w:rsidR="0046798B" w:rsidRDefault="00903B5C">
            <w:pPr>
              <w:pStyle w:val="TableParagraph"/>
              <w:spacing w:before="43"/>
              <w:ind w:left="114"/>
              <w:rPr>
                <w:sz w:val="20"/>
              </w:rPr>
            </w:pPr>
            <w:r>
              <w:rPr>
                <w:sz w:val="20"/>
              </w:rPr>
              <w:t xml:space="preserve">Uniform Law Commission website: </w:t>
            </w:r>
            <w:hyperlink r:id="rId809">
              <w:r>
                <w:rPr>
                  <w:color w:val="0462C1"/>
                  <w:sz w:val="20"/>
                  <w:u w:val="single" w:color="0462C1"/>
                </w:rPr>
                <w:t>http://www.uniformlaws.org/</w:t>
              </w:r>
            </w:hyperlink>
          </w:p>
          <w:p w14:paraId="0F26F012" w14:textId="77777777" w:rsidR="0046798B" w:rsidRDefault="0046798B">
            <w:pPr>
              <w:pStyle w:val="TableParagraph"/>
              <w:rPr>
                <w:sz w:val="20"/>
              </w:rPr>
            </w:pPr>
          </w:p>
          <w:p w14:paraId="63D48C80"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3D40171C" w14:textId="77777777">
        <w:trPr>
          <w:trHeight w:val="1465"/>
        </w:trPr>
        <w:tc>
          <w:tcPr>
            <w:tcW w:w="1711" w:type="dxa"/>
          </w:tcPr>
          <w:p w14:paraId="78B3F11E" w14:textId="77777777" w:rsidR="0046798B" w:rsidRDefault="0046798B">
            <w:pPr>
              <w:pStyle w:val="TableParagraph"/>
            </w:pPr>
          </w:p>
          <w:p w14:paraId="2A360881" w14:textId="77777777" w:rsidR="0046798B" w:rsidRDefault="0046798B">
            <w:pPr>
              <w:pStyle w:val="TableParagraph"/>
              <w:spacing w:before="4"/>
              <w:rPr>
                <w:sz w:val="21"/>
              </w:rPr>
            </w:pPr>
          </w:p>
          <w:p w14:paraId="75F11966" w14:textId="77777777" w:rsidR="0046798B" w:rsidRDefault="00903B5C">
            <w:pPr>
              <w:pStyle w:val="TableParagraph"/>
              <w:ind w:left="115" w:right="132"/>
              <w:rPr>
                <w:b/>
                <w:sz w:val="20"/>
              </w:rPr>
            </w:pPr>
            <w:r>
              <w:rPr>
                <w:b/>
                <w:sz w:val="20"/>
              </w:rPr>
              <w:t>anatomical_gift_ act_1987</w:t>
            </w:r>
          </w:p>
        </w:tc>
        <w:tc>
          <w:tcPr>
            <w:tcW w:w="1596" w:type="dxa"/>
          </w:tcPr>
          <w:p w14:paraId="3D684468" w14:textId="77777777" w:rsidR="0046798B" w:rsidRDefault="00903B5C">
            <w:pPr>
              <w:pStyle w:val="TableParagraph"/>
              <w:spacing w:before="153"/>
              <w:ind w:left="114" w:right="96"/>
              <w:rPr>
                <w:sz w:val="20"/>
              </w:rPr>
            </w:pPr>
            <w:r>
              <w:rPr>
                <w:sz w:val="20"/>
              </w:rPr>
              <w:t>Framework for donation of organs and other body parts (1987 version)</w:t>
            </w:r>
          </w:p>
        </w:tc>
        <w:tc>
          <w:tcPr>
            <w:tcW w:w="1285" w:type="dxa"/>
          </w:tcPr>
          <w:p w14:paraId="6415286A" w14:textId="77777777" w:rsidR="0046798B" w:rsidRDefault="0046798B">
            <w:pPr>
              <w:pStyle w:val="TableParagraph"/>
            </w:pPr>
          </w:p>
          <w:p w14:paraId="1ABC5429" w14:textId="77777777" w:rsidR="0046798B" w:rsidRDefault="0046798B">
            <w:pPr>
              <w:pStyle w:val="TableParagraph"/>
              <w:spacing w:before="4"/>
              <w:rPr>
                <w:sz w:val="31"/>
              </w:rPr>
            </w:pPr>
          </w:p>
          <w:p w14:paraId="45F560B7" w14:textId="77777777" w:rsidR="0046798B" w:rsidRDefault="00903B5C">
            <w:pPr>
              <w:pStyle w:val="TableParagraph"/>
              <w:ind w:left="114"/>
              <w:rPr>
                <w:sz w:val="20"/>
              </w:rPr>
            </w:pPr>
            <w:r>
              <w:rPr>
                <w:sz w:val="20"/>
              </w:rPr>
              <w:t>1988–2003</w:t>
            </w:r>
          </w:p>
        </w:tc>
        <w:tc>
          <w:tcPr>
            <w:tcW w:w="3421" w:type="dxa"/>
          </w:tcPr>
          <w:p w14:paraId="718C32AE" w14:textId="77777777" w:rsidR="0046798B" w:rsidRDefault="0046798B">
            <w:pPr>
              <w:pStyle w:val="TableParagraph"/>
            </w:pPr>
          </w:p>
          <w:p w14:paraId="2A813420" w14:textId="77777777" w:rsidR="0046798B" w:rsidRDefault="0046798B">
            <w:pPr>
              <w:pStyle w:val="TableParagraph"/>
              <w:spacing w:before="4"/>
              <w:rPr>
                <w:sz w:val="21"/>
              </w:rPr>
            </w:pPr>
          </w:p>
          <w:p w14:paraId="39B96D4B" w14:textId="77777777" w:rsidR="0046798B" w:rsidRDefault="00903B5C">
            <w:pPr>
              <w:pStyle w:val="TableParagraph"/>
              <w:ind w:left="114" w:right="1475"/>
              <w:rPr>
                <w:sz w:val="20"/>
              </w:rPr>
            </w:pPr>
            <w:r>
              <w:rPr>
                <w:sz w:val="20"/>
              </w:rPr>
              <w:t>0 = policy not adopted 1 = policy adopted</w:t>
            </w:r>
          </w:p>
        </w:tc>
        <w:tc>
          <w:tcPr>
            <w:tcW w:w="6482" w:type="dxa"/>
          </w:tcPr>
          <w:p w14:paraId="19A29C88" w14:textId="77777777" w:rsidR="0046798B" w:rsidRDefault="00903B5C">
            <w:pPr>
              <w:pStyle w:val="TableParagraph"/>
              <w:spacing w:before="38"/>
              <w:ind w:left="114"/>
              <w:rPr>
                <w:sz w:val="20"/>
              </w:rPr>
            </w:pPr>
            <w:r>
              <w:rPr>
                <w:sz w:val="20"/>
              </w:rPr>
              <w:t xml:space="preserve">Uniform Law Commission website: </w:t>
            </w:r>
            <w:hyperlink r:id="rId810">
              <w:r>
                <w:rPr>
                  <w:color w:val="0462C1"/>
                  <w:sz w:val="20"/>
                  <w:u w:val="single" w:color="0462C1"/>
                </w:rPr>
                <w:t>http://www.uniformlaws.org/</w:t>
              </w:r>
            </w:hyperlink>
          </w:p>
          <w:p w14:paraId="0E5BCF6C" w14:textId="77777777" w:rsidR="0046798B" w:rsidRDefault="0046798B">
            <w:pPr>
              <w:pStyle w:val="TableParagraph"/>
              <w:rPr>
                <w:sz w:val="20"/>
              </w:rPr>
            </w:pPr>
          </w:p>
          <w:p w14:paraId="733116AE"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6FDC9253" w14:textId="77777777">
        <w:trPr>
          <w:trHeight w:val="1465"/>
        </w:trPr>
        <w:tc>
          <w:tcPr>
            <w:tcW w:w="1711" w:type="dxa"/>
          </w:tcPr>
          <w:p w14:paraId="5EC3576D" w14:textId="77777777" w:rsidR="0046798B" w:rsidRDefault="0046798B">
            <w:pPr>
              <w:pStyle w:val="TableParagraph"/>
            </w:pPr>
          </w:p>
          <w:p w14:paraId="06FDCAAA" w14:textId="77777777" w:rsidR="0046798B" w:rsidRDefault="0046798B">
            <w:pPr>
              <w:pStyle w:val="TableParagraph"/>
              <w:spacing w:before="3"/>
              <w:rPr>
                <w:sz w:val="21"/>
              </w:rPr>
            </w:pPr>
          </w:p>
          <w:p w14:paraId="51549BF8" w14:textId="77777777" w:rsidR="0046798B" w:rsidRDefault="00903B5C">
            <w:pPr>
              <w:pStyle w:val="TableParagraph"/>
              <w:spacing w:before="1"/>
              <w:ind w:left="115" w:right="132"/>
              <w:rPr>
                <w:b/>
                <w:sz w:val="20"/>
              </w:rPr>
            </w:pPr>
            <w:r>
              <w:rPr>
                <w:b/>
                <w:sz w:val="20"/>
              </w:rPr>
              <w:t>anatomical_gift_ act_2006</w:t>
            </w:r>
          </w:p>
        </w:tc>
        <w:tc>
          <w:tcPr>
            <w:tcW w:w="1596" w:type="dxa"/>
          </w:tcPr>
          <w:p w14:paraId="35F06C7C" w14:textId="77777777" w:rsidR="0046798B" w:rsidRDefault="00903B5C">
            <w:pPr>
              <w:pStyle w:val="TableParagraph"/>
              <w:spacing w:before="153"/>
              <w:ind w:left="114" w:right="96"/>
              <w:rPr>
                <w:sz w:val="20"/>
              </w:rPr>
            </w:pPr>
            <w:r>
              <w:rPr>
                <w:sz w:val="20"/>
              </w:rPr>
              <w:t>Framework for donation of organs and other body parts (2006 version)</w:t>
            </w:r>
          </w:p>
        </w:tc>
        <w:tc>
          <w:tcPr>
            <w:tcW w:w="1285" w:type="dxa"/>
          </w:tcPr>
          <w:p w14:paraId="637EA065" w14:textId="77777777" w:rsidR="0046798B" w:rsidRDefault="0046798B">
            <w:pPr>
              <w:pStyle w:val="TableParagraph"/>
            </w:pPr>
          </w:p>
          <w:p w14:paraId="0BDC2A3F" w14:textId="77777777" w:rsidR="0046798B" w:rsidRDefault="0046798B">
            <w:pPr>
              <w:pStyle w:val="TableParagraph"/>
              <w:spacing w:before="3"/>
              <w:rPr>
                <w:sz w:val="31"/>
              </w:rPr>
            </w:pPr>
          </w:p>
          <w:p w14:paraId="184D676A" w14:textId="77777777" w:rsidR="0046798B" w:rsidRDefault="00903B5C">
            <w:pPr>
              <w:pStyle w:val="TableParagraph"/>
              <w:spacing w:before="1"/>
              <w:ind w:left="114"/>
              <w:rPr>
                <w:sz w:val="20"/>
              </w:rPr>
            </w:pPr>
            <w:r>
              <w:rPr>
                <w:sz w:val="20"/>
              </w:rPr>
              <w:t>2007–2013</w:t>
            </w:r>
          </w:p>
        </w:tc>
        <w:tc>
          <w:tcPr>
            <w:tcW w:w="3421" w:type="dxa"/>
          </w:tcPr>
          <w:p w14:paraId="6C850DA5" w14:textId="77777777" w:rsidR="0046798B" w:rsidRDefault="0046798B">
            <w:pPr>
              <w:pStyle w:val="TableParagraph"/>
            </w:pPr>
          </w:p>
          <w:p w14:paraId="47695F5D" w14:textId="77777777" w:rsidR="0046798B" w:rsidRDefault="0046798B">
            <w:pPr>
              <w:pStyle w:val="TableParagraph"/>
              <w:spacing w:before="3"/>
              <w:rPr>
                <w:sz w:val="21"/>
              </w:rPr>
            </w:pPr>
          </w:p>
          <w:p w14:paraId="307C4655"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2AA2F2A9" w14:textId="77777777" w:rsidR="0046798B" w:rsidRDefault="00903B5C">
            <w:pPr>
              <w:pStyle w:val="TableParagraph"/>
              <w:spacing w:before="38"/>
              <w:ind w:left="114"/>
              <w:rPr>
                <w:sz w:val="20"/>
              </w:rPr>
            </w:pPr>
            <w:r>
              <w:rPr>
                <w:sz w:val="20"/>
              </w:rPr>
              <w:t xml:space="preserve">Uniform Law Commission website: </w:t>
            </w:r>
            <w:hyperlink r:id="rId811">
              <w:r>
                <w:rPr>
                  <w:color w:val="0462C1"/>
                  <w:sz w:val="20"/>
                  <w:u w:val="single" w:color="0462C1"/>
                </w:rPr>
                <w:t>http://www.uniformlaws.org/</w:t>
              </w:r>
            </w:hyperlink>
          </w:p>
          <w:p w14:paraId="484417AF" w14:textId="77777777" w:rsidR="0046798B" w:rsidRDefault="0046798B">
            <w:pPr>
              <w:pStyle w:val="TableParagraph"/>
              <w:rPr>
                <w:sz w:val="20"/>
              </w:rPr>
            </w:pPr>
          </w:p>
          <w:p w14:paraId="774D69B1"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621A254A" w14:textId="77777777">
        <w:trPr>
          <w:trHeight w:val="1465"/>
        </w:trPr>
        <w:tc>
          <w:tcPr>
            <w:tcW w:w="1711" w:type="dxa"/>
          </w:tcPr>
          <w:p w14:paraId="7BE6710F" w14:textId="77777777" w:rsidR="0046798B" w:rsidRDefault="0046798B">
            <w:pPr>
              <w:pStyle w:val="TableParagraph"/>
            </w:pPr>
          </w:p>
          <w:p w14:paraId="528C56D7" w14:textId="77777777" w:rsidR="0046798B" w:rsidRDefault="0046798B">
            <w:pPr>
              <w:pStyle w:val="TableParagraph"/>
              <w:spacing w:before="3"/>
              <w:rPr>
                <w:sz w:val="21"/>
              </w:rPr>
            </w:pPr>
          </w:p>
          <w:p w14:paraId="6CEC62D3" w14:textId="77777777" w:rsidR="0046798B" w:rsidRDefault="00903B5C">
            <w:pPr>
              <w:pStyle w:val="TableParagraph"/>
              <w:spacing w:before="1"/>
              <w:ind w:left="115" w:right="88"/>
              <w:rPr>
                <w:b/>
                <w:sz w:val="20"/>
              </w:rPr>
            </w:pPr>
            <w:r>
              <w:rPr>
                <w:b/>
                <w:sz w:val="20"/>
              </w:rPr>
              <w:t>rights_of_the_ter minally_ill_act</w:t>
            </w:r>
          </w:p>
        </w:tc>
        <w:tc>
          <w:tcPr>
            <w:tcW w:w="1596" w:type="dxa"/>
          </w:tcPr>
          <w:p w14:paraId="439827FF" w14:textId="77777777" w:rsidR="0046798B" w:rsidRDefault="0046798B">
            <w:pPr>
              <w:pStyle w:val="TableParagraph"/>
            </w:pPr>
          </w:p>
          <w:p w14:paraId="3F43387B" w14:textId="77777777" w:rsidR="0046798B" w:rsidRDefault="0046798B">
            <w:pPr>
              <w:pStyle w:val="TableParagraph"/>
              <w:spacing w:before="3"/>
              <w:rPr>
                <w:sz w:val="21"/>
              </w:rPr>
            </w:pPr>
          </w:p>
          <w:p w14:paraId="10DA8E2B" w14:textId="77777777" w:rsidR="0046798B" w:rsidRDefault="00903B5C">
            <w:pPr>
              <w:pStyle w:val="TableParagraph"/>
              <w:spacing w:before="1"/>
              <w:ind w:left="114" w:right="130"/>
              <w:rPr>
                <w:sz w:val="20"/>
              </w:rPr>
            </w:pPr>
            <w:r>
              <w:rPr>
                <w:sz w:val="20"/>
              </w:rPr>
              <w:t>Rights for terminally ill act</w:t>
            </w:r>
          </w:p>
        </w:tc>
        <w:tc>
          <w:tcPr>
            <w:tcW w:w="1285" w:type="dxa"/>
          </w:tcPr>
          <w:p w14:paraId="2B8CC60A" w14:textId="77777777" w:rsidR="0046798B" w:rsidRDefault="0046798B">
            <w:pPr>
              <w:pStyle w:val="TableParagraph"/>
            </w:pPr>
          </w:p>
          <w:p w14:paraId="52962CDF" w14:textId="77777777" w:rsidR="0046798B" w:rsidRDefault="0046798B">
            <w:pPr>
              <w:pStyle w:val="TableParagraph"/>
              <w:spacing w:before="4"/>
              <w:rPr>
                <w:sz w:val="31"/>
              </w:rPr>
            </w:pPr>
          </w:p>
          <w:p w14:paraId="66444C8A" w14:textId="77777777" w:rsidR="0046798B" w:rsidRDefault="00903B5C">
            <w:pPr>
              <w:pStyle w:val="TableParagraph"/>
              <w:ind w:left="114"/>
              <w:rPr>
                <w:sz w:val="20"/>
              </w:rPr>
            </w:pPr>
            <w:r>
              <w:rPr>
                <w:sz w:val="20"/>
              </w:rPr>
              <w:t>1985–1992</w:t>
            </w:r>
          </w:p>
        </w:tc>
        <w:tc>
          <w:tcPr>
            <w:tcW w:w="3421" w:type="dxa"/>
          </w:tcPr>
          <w:p w14:paraId="653928B1" w14:textId="77777777" w:rsidR="0046798B" w:rsidRDefault="0046798B">
            <w:pPr>
              <w:pStyle w:val="TableParagraph"/>
            </w:pPr>
          </w:p>
          <w:p w14:paraId="5CDAF0FB" w14:textId="77777777" w:rsidR="0046798B" w:rsidRDefault="0046798B">
            <w:pPr>
              <w:pStyle w:val="TableParagraph"/>
              <w:spacing w:before="3"/>
              <w:rPr>
                <w:sz w:val="21"/>
              </w:rPr>
            </w:pPr>
          </w:p>
          <w:p w14:paraId="565BAF7D"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1668343E" w14:textId="77777777" w:rsidR="0046798B" w:rsidRDefault="00903B5C">
            <w:pPr>
              <w:pStyle w:val="TableParagraph"/>
              <w:spacing w:before="43"/>
              <w:ind w:left="114"/>
              <w:rPr>
                <w:sz w:val="20"/>
              </w:rPr>
            </w:pPr>
            <w:r>
              <w:rPr>
                <w:sz w:val="20"/>
              </w:rPr>
              <w:t xml:space="preserve">Uniform Law Commission website: </w:t>
            </w:r>
            <w:hyperlink r:id="rId812">
              <w:r>
                <w:rPr>
                  <w:color w:val="0462C1"/>
                  <w:sz w:val="20"/>
                  <w:u w:val="single" w:color="0462C1"/>
                </w:rPr>
                <w:t>http://www.uniformlaws.org/</w:t>
              </w:r>
            </w:hyperlink>
          </w:p>
          <w:p w14:paraId="36A8DC3B" w14:textId="77777777" w:rsidR="0046798B" w:rsidRDefault="0046798B">
            <w:pPr>
              <w:pStyle w:val="TableParagraph"/>
              <w:spacing w:before="6"/>
              <w:rPr>
                <w:sz w:val="19"/>
              </w:rPr>
            </w:pPr>
          </w:p>
          <w:p w14:paraId="071595A2"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387F47EA" w14:textId="77777777">
        <w:trPr>
          <w:trHeight w:val="1465"/>
        </w:trPr>
        <w:tc>
          <w:tcPr>
            <w:tcW w:w="1711" w:type="dxa"/>
          </w:tcPr>
          <w:p w14:paraId="201585FD" w14:textId="77777777" w:rsidR="0046798B" w:rsidRDefault="0046798B">
            <w:pPr>
              <w:pStyle w:val="TableParagraph"/>
            </w:pPr>
          </w:p>
          <w:p w14:paraId="74C20948" w14:textId="77777777" w:rsidR="0046798B" w:rsidRDefault="0046798B">
            <w:pPr>
              <w:pStyle w:val="TableParagraph"/>
              <w:spacing w:before="9"/>
              <w:rPr>
                <w:sz w:val="21"/>
              </w:rPr>
            </w:pPr>
          </w:p>
          <w:p w14:paraId="52EB0F35" w14:textId="77777777" w:rsidR="0046798B" w:rsidRDefault="00903B5C">
            <w:pPr>
              <w:pStyle w:val="TableParagraph"/>
              <w:ind w:left="115"/>
              <w:rPr>
                <w:b/>
                <w:sz w:val="20"/>
              </w:rPr>
            </w:pPr>
            <w:r>
              <w:rPr>
                <w:b/>
                <w:sz w:val="20"/>
              </w:rPr>
              <w:t>determination_of</w:t>
            </w:r>
          </w:p>
          <w:p w14:paraId="1EB34E6E" w14:textId="77777777" w:rsidR="0046798B" w:rsidRDefault="00903B5C">
            <w:pPr>
              <w:pStyle w:val="TableParagraph"/>
              <w:ind w:left="115"/>
              <w:rPr>
                <w:b/>
                <w:sz w:val="20"/>
              </w:rPr>
            </w:pPr>
            <w:r>
              <w:rPr>
                <w:b/>
                <w:sz w:val="20"/>
              </w:rPr>
              <w:t>_death_act</w:t>
            </w:r>
          </w:p>
        </w:tc>
        <w:tc>
          <w:tcPr>
            <w:tcW w:w="1596" w:type="dxa"/>
          </w:tcPr>
          <w:p w14:paraId="5FD49432" w14:textId="77777777" w:rsidR="0046798B" w:rsidRDefault="0046798B">
            <w:pPr>
              <w:pStyle w:val="TableParagraph"/>
              <w:spacing w:before="8"/>
              <w:rPr>
                <w:sz w:val="23"/>
              </w:rPr>
            </w:pPr>
          </w:p>
          <w:p w14:paraId="794631E1" w14:textId="77777777" w:rsidR="0046798B" w:rsidRDefault="00903B5C">
            <w:pPr>
              <w:pStyle w:val="TableParagraph"/>
              <w:ind w:left="114" w:right="413"/>
              <w:rPr>
                <w:sz w:val="20"/>
              </w:rPr>
            </w:pPr>
            <w:r>
              <w:rPr>
                <w:sz w:val="20"/>
              </w:rPr>
              <w:t>Sets medical standards for determining death</w:t>
            </w:r>
          </w:p>
        </w:tc>
        <w:tc>
          <w:tcPr>
            <w:tcW w:w="1285" w:type="dxa"/>
          </w:tcPr>
          <w:p w14:paraId="14F47E46" w14:textId="77777777" w:rsidR="0046798B" w:rsidRDefault="0046798B">
            <w:pPr>
              <w:pStyle w:val="TableParagraph"/>
            </w:pPr>
          </w:p>
          <w:p w14:paraId="029D0EE3" w14:textId="77777777" w:rsidR="0046798B" w:rsidRDefault="0046798B">
            <w:pPr>
              <w:pStyle w:val="TableParagraph"/>
              <w:spacing w:before="9"/>
              <w:rPr>
                <w:sz w:val="31"/>
              </w:rPr>
            </w:pPr>
          </w:p>
          <w:p w14:paraId="5E50CA91" w14:textId="77777777" w:rsidR="0046798B" w:rsidRDefault="00903B5C">
            <w:pPr>
              <w:pStyle w:val="TableParagraph"/>
              <w:ind w:left="114"/>
              <w:rPr>
                <w:sz w:val="20"/>
              </w:rPr>
            </w:pPr>
            <w:r>
              <w:rPr>
                <w:sz w:val="20"/>
              </w:rPr>
              <w:t>1981–2014</w:t>
            </w:r>
          </w:p>
        </w:tc>
        <w:tc>
          <w:tcPr>
            <w:tcW w:w="3421" w:type="dxa"/>
          </w:tcPr>
          <w:p w14:paraId="5C780E0B" w14:textId="77777777" w:rsidR="0046798B" w:rsidRDefault="0046798B">
            <w:pPr>
              <w:pStyle w:val="TableParagraph"/>
            </w:pPr>
          </w:p>
          <w:p w14:paraId="04BFA606" w14:textId="77777777" w:rsidR="0046798B" w:rsidRDefault="0046798B">
            <w:pPr>
              <w:pStyle w:val="TableParagraph"/>
              <w:spacing w:before="9"/>
              <w:rPr>
                <w:sz w:val="21"/>
              </w:rPr>
            </w:pPr>
          </w:p>
          <w:p w14:paraId="4750E87B" w14:textId="77777777" w:rsidR="0046798B" w:rsidRDefault="00903B5C">
            <w:pPr>
              <w:pStyle w:val="TableParagraph"/>
              <w:ind w:left="114" w:right="1475"/>
              <w:rPr>
                <w:sz w:val="20"/>
              </w:rPr>
            </w:pPr>
            <w:r>
              <w:rPr>
                <w:sz w:val="20"/>
              </w:rPr>
              <w:t>0 = policy not adopted 1 = policy adopted</w:t>
            </w:r>
          </w:p>
        </w:tc>
        <w:tc>
          <w:tcPr>
            <w:tcW w:w="6482" w:type="dxa"/>
          </w:tcPr>
          <w:p w14:paraId="05F38849" w14:textId="77777777" w:rsidR="0046798B" w:rsidRDefault="00903B5C">
            <w:pPr>
              <w:pStyle w:val="TableParagraph"/>
              <w:spacing w:before="43"/>
              <w:ind w:left="114"/>
              <w:rPr>
                <w:sz w:val="20"/>
              </w:rPr>
            </w:pPr>
            <w:r>
              <w:rPr>
                <w:sz w:val="20"/>
              </w:rPr>
              <w:t xml:space="preserve">Uniform Law Commission website: </w:t>
            </w:r>
            <w:hyperlink r:id="rId813">
              <w:r>
                <w:rPr>
                  <w:color w:val="0462C1"/>
                  <w:sz w:val="20"/>
                  <w:u w:val="single" w:color="0462C1"/>
                </w:rPr>
                <w:t>http://www.uniformlaws.org/</w:t>
              </w:r>
            </w:hyperlink>
          </w:p>
          <w:p w14:paraId="6AC00493" w14:textId="77777777" w:rsidR="0046798B" w:rsidRDefault="0046798B">
            <w:pPr>
              <w:pStyle w:val="TableParagraph"/>
              <w:rPr>
                <w:sz w:val="20"/>
              </w:rPr>
            </w:pPr>
          </w:p>
          <w:p w14:paraId="637C741C"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3BAB99E3" w14:textId="77777777">
        <w:trPr>
          <w:trHeight w:val="545"/>
        </w:trPr>
        <w:tc>
          <w:tcPr>
            <w:tcW w:w="1711" w:type="dxa"/>
          </w:tcPr>
          <w:p w14:paraId="05F6AB83" w14:textId="77777777" w:rsidR="0046798B" w:rsidRDefault="00903B5C">
            <w:pPr>
              <w:pStyle w:val="TableParagraph"/>
              <w:spacing w:before="43"/>
              <w:ind w:left="115" w:right="166"/>
              <w:rPr>
                <w:b/>
                <w:sz w:val="20"/>
              </w:rPr>
            </w:pPr>
            <w:r>
              <w:rPr>
                <w:b/>
                <w:sz w:val="20"/>
              </w:rPr>
              <w:t>durable_power_ of_attorney</w:t>
            </w:r>
          </w:p>
        </w:tc>
        <w:tc>
          <w:tcPr>
            <w:tcW w:w="1596" w:type="dxa"/>
          </w:tcPr>
          <w:p w14:paraId="631E6959" w14:textId="77777777" w:rsidR="0046798B" w:rsidRDefault="00903B5C">
            <w:pPr>
              <w:pStyle w:val="TableParagraph"/>
              <w:spacing w:before="43"/>
              <w:ind w:left="114" w:right="552"/>
              <w:rPr>
                <w:sz w:val="20"/>
              </w:rPr>
            </w:pPr>
            <w:r>
              <w:rPr>
                <w:sz w:val="20"/>
              </w:rPr>
              <w:t>Establishes power of</w:t>
            </w:r>
          </w:p>
        </w:tc>
        <w:tc>
          <w:tcPr>
            <w:tcW w:w="1285" w:type="dxa"/>
          </w:tcPr>
          <w:p w14:paraId="20BC7458" w14:textId="77777777" w:rsidR="0046798B" w:rsidRDefault="00903B5C">
            <w:pPr>
              <w:pStyle w:val="TableParagraph"/>
              <w:spacing w:before="158"/>
              <w:ind w:left="114"/>
              <w:rPr>
                <w:sz w:val="20"/>
              </w:rPr>
            </w:pPr>
            <w:r>
              <w:rPr>
                <w:sz w:val="20"/>
              </w:rPr>
              <w:t>1980–2009</w:t>
            </w:r>
          </w:p>
        </w:tc>
        <w:tc>
          <w:tcPr>
            <w:tcW w:w="3421" w:type="dxa"/>
          </w:tcPr>
          <w:p w14:paraId="78C814DA" w14:textId="77777777" w:rsidR="0046798B" w:rsidRDefault="00903B5C">
            <w:pPr>
              <w:pStyle w:val="TableParagraph"/>
              <w:spacing w:before="43"/>
              <w:ind w:left="114" w:right="1475"/>
              <w:rPr>
                <w:sz w:val="20"/>
              </w:rPr>
            </w:pPr>
            <w:r>
              <w:rPr>
                <w:sz w:val="20"/>
              </w:rPr>
              <w:t>0 = policy not adopted 1 = policy adopted</w:t>
            </w:r>
          </w:p>
        </w:tc>
        <w:tc>
          <w:tcPr>
            <w:tcW w:w="6482" w:type="dxa"/>
          </w:tcPr>
          <w:p w14:paraId="2ED4FAF0" w14:textId="77777777" w:rsidR="0046798B" w:rsidRDefault="00903B5C">
            <w:pPr>
              <w:pStyle w:val="TableParagraph"/>
              <w:spacing w:before="43"/>
              <w:ind w:left="114"/>
              <w:rPr>
                <w:sz w:val="20"/>
              </w:rPr>
            </w:pPr>
            <w:r>
              <w:rPr>
                <w:sz w:val="20"/>
              </w:rPr>
              <w:t xml:space="preserve">Uniform Law Commission website: </w:t>
            </w:r>
            <w:hyperlink r:id="rId814">
              <w:r>
                <w:rPr>
                  <w:color w:val="0462C1"/>
                  <w:sz w:val="20"/>
                  <w:u w:val="single" w:color="0462C1"/>
                </w:rPr>
                <w:t>http://www.uniformlaws.org/</w:t>
              </w:r>
            </w:hyperlink>
          </w:p>
        </w:tc>
      </w:tr>
    </w:tbl>
    <w:p w14:paraId="413B64FE" w14:textId="77777777" w:rsidR="0046798B" w:rsidRDefault="0046798B">
      <w:pPr>
        <w:rPr>
          <w:sz w:val="20"/>
        </w:rPr>
        <w:sectPr w:rsidR="0046798B">
          <w:pgSz w:w="15840" w:h="12240" w:orient="landscape"/>
          <w:pgMar w:top="1220" w:right="300" w:bottom="980" w:left="820" w:header="730" w:footer="787" w:gutter="0"/>
          <w:cols w:space="720"/>
        </w:sectPr>
      </w:pPr>
    </w:p>
    <w:p w14:paraId="1E9E41B6"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30B3B07E" w14:textId="77777777">
        <w:trPr>
          <w:trHeight w:val="1005"/>
        </w:trPr>
        <w:tc>
          <w:tcPr>
            <w:tcW w:w="1711" w:type="dxa"/>
          </w:tcPr>
          <w:p w14:paraId="384BAA00" w14:textId="77777777" w:rsidR="0046798B" w:rsidRDefault="0046798B">
            <w:pPr>
              <w:pStyle w:val="TableParagraph"/>
              <w:rPr>
                <w:sz w:val="20"/>
              </w:rPr>
            </w:pPr>
          </w:p>
        </w:tc>
        <w:tc>
          <w:tcPr>
            <w:tcW w:w="1596" w:type="dxa"/>
          </w:tcPr>
          <w:p w14:paraId="49C59565" w14:textId="77777777" w:rsidR="0046798B" w:rsidRDefault="00903B5C">
            <w:pPr>
              <w:pStyle w:val="TableParagraph"/>
              <w:spacing w:before="43"/>
              <w:ind w:left="114" w:right="97"/>
              <w:rPr>
                <w:sz w:val="20"/>
              </w:rPr>
            </w:pPr>
            <w:r>
              <w:rPr>
                <w:sz w:val="20"/>
              </w:rPr>
              <w:t>attorney for medical care and finances</w:t>
            </w:r>
          </w:p>
        </w:tc>
        <w:tc>
          <w:tcPr>
            <w:tcW w:w="1285" w:type="dxa"/>
          </w:tcPr>
          <w:p w14:paraId="3C0123E6" w14:textId="77777777" w:rsidR="0046798B" w:rsidRDefault="0046798B">
            <w:pPr>
              <w:pStyle w:val="TableParagraph"/>
              <w:rPr>
                <w:sz w:val="20"/>
              </w:rPr>
            </w:pPr>
          </w:p>
        </w:tc>
        <w:tc>
          <w:tcPr>
            <w:tcW w:w="3421" w:type="dxa"/>
          </w:tcPr>
          <w:p w14:paraId="12CB1117" w14:textId="77777777" w:rsidR="0046798B" w:rsidRDefault="0046798B">
            <w:pPr>
              <w:pStyle w:val="TableParagraph"/>
              <w:rPr>
                <w:sz w:val="20"/>
              </w:rPr>
            </w:pPr>
          </w:p>
        </w:tc>
        <w:tc>
          <w:tcPr>
            <w:tcW w:w="6482" w:type="dxa"/>
          </w:tcPr>
          <w:p w14:paraId="135B4D5D" w14:textId="77777777" w:rsidR="0046798B" w:rsidRDefault="00903B5C">
            <w:pPr>
              <w:pStyle w:val="TableParagraph"/>
              <w:spacing w:before="43"/>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748C2F36" w14:textId="77777777">
        <w:trPr>
          <w:trHeight w:val="1465"/>
        </w:trPr>
        <w:tc>
          <w:tcPr>
            <w:tcW w:w="1711" w:type="dxa"/>
          </w:tcPr>
          <w:p w14:paraId="7886A517" w14:textId="77777777" w:rsidR="0046798B" w:rsidRDefault="0046798B">
            <w:pPr>
              <w:pStyle w:val="TableParagraph"/>
            </w:pPr>
          </w:p>
          <w:p w14:paraId="607862F5" w14:textId="77777777" w:rsidR="0046798B" w:rsidRDefault="0046798B">
            <w:pPr>
              <w:pStyle w:val="TableParagraph"/>
              <w:spacing w:before="9"/>
              <w:rPr>
                <w:sz w:val="21"/>
              </w:rPr>
            </w:pPr>
          </w:p>
          <w:p w14:paraId="057937BC" w14:textId="77777777" w:rsidR="0046798B" w:rsidRDefault="00903B5C">
            <w:pPr>
              <w:pStyle w:val="TableParagraph"/>
              <w:ind w:left="115" w:right="88"/>
              <w:rPr>
                <w:b/>
                <w:sz w:val="20"/>
              </w:rPr>
            </w:pPr>
            <w:r>
              <w:rPr>
                <w:b/>
                <w:sz w:val="20"/>
              </w:rPr>
              <w:t>duties_to_person s_with_medical_i</w:t>
            </w:r>
          </w:p>
        </w:tc>
        <w:tc>
          <w:tcPr>
            <w:tcW w:w="1596" w:type="dxa"/>
          </w:tcPr>
          <w:p w14:paraId="165BDBE6" w14:textId="77777777" w:rsidR="0046798B" w:rsidRDefault="00903B5C">
            <w:pPr>
              <w:pStyle w:val="TableParagraph"/>
              <w:spacing w:before="43"/>
              <w:ind w:left="114" w:right="235"/>
              <w:rPr>
                <w:sz w:val="20"/>
              </w:rPr>
            </w:pPr>
            <w:r>
              <w:rPr>
                <w:sz w:val="20"/>
              </w:rPr>
              <w:t>Provide for a minimum level of duty toward persons in an unconscious state</w:t>
            </w:r>
          </w:p>
        </w:tc>
        <w:tc>
          <w:tcPr>
            <w:tcW w:w="1285" w:type="dxa"/>
          </w:tcPr>
          <w:p w14:paraId="5D0FCDA9" w14:textId="77777777" w:rsidR="0046798B" w:rsidRDefault="0046798B">
            <w:pPr>
              <w:pStyle w:val="TableParagraph"/>
            </w:pPr>
          </w:p>
          <w:p w14:paraId="4251B4B2" w14:textId="77777777" w:rsidR="0046798B" w:rsidRDefault="0046798B">
            <w:pPr>
              <w:pStyle w:val="TableParagraph"/>
              <w:spacing w:before="9"/>
              <w:rPr>
                <w:sz w:val="31"/>
              </w:rPr>
            </w:pPr>
          </w:p>
          <w:p w14:paraId="538DE482" w14:textId="77777777" w:rsidR="0046798B" w:rsidRDefault="00903B5C">
            <w:pPr>
              <w:pStyle w:val="TableParagraph"/>
              <w:ind w:left="114"/>
              <w:rPr>
                <w:sz w:val="20"/>
              </w:rPr>
            </w:pPr>
            <w:r>
              <w:rPr>
                <w:sz w:val="20"/>
              </w:rPr>
              <w:t>1973–1978</w:t>
            </w:r>
          </w:p>
        </w:tc>
        <w:tc>
          <w:tcPr>
            <w:tcW w:w="3421" w:type="dxa"/>
          </w:tcPr>
          <w:p w14:paraId="058432E3" w14:textId="77777777" w:rsidR="0046798B" w:rsidRDefault="0046798B">
            <w:pPr>
              <w:pStyle w:val="TableParagraph"/>
            </w:pPr>
          </w:p>
          <w:p w14:paraId="3BA0D1E8" w14:textId="77777777" w:rsidR="0046798B" w:rsidRDefault="0046798B">
            <w:pPr>
              <w:pStyle w:val="TableParagraph"/>
              <w:spacing w:before="9"/>
              <w:rPr>
                <w:sz w:val="21"/>
              </w:rPr>
            </w:pPr>
          </w:p>
          <w:p w14:paraId="23A187E7" w14:textId="77777777" w:rsidR="0046798B" w:rsidRDefault="00903B5C">
            <w:pPr>
              <w:pStyle w:val="TableParagraph"/>
              <w:ind w:left="114" w:right="1475"/>
              <w:rPr>
                <w:sz w:val="20"/>
              </w:rPr>
            </w:pPr>
            <w:r>
              <w:rPr>
                <w:sz w:val="20"/>
              </w:rPr>
              <w:t>0 = policy not adopted 1 = policy adopted</w:t>
            </w:r>
          </w:p>
        </w:tc>
        <w:tc>
          <w:tcPr>
            <w:tcW w:w="6482" w:type="dxa"/>
          </w:tcPr>
          <w:p w14:paraId="06E75B80" w14:textId="77777777" w:rsidR="0046798B" w:rsidRDefault="00903B5C">
            <w:pPr>
              <w:pStyle w:val="TableParagraph"/>
              <w:spacing w:before="43"/>
              <w:ind w:left="114"/>
              <w:rPr>
                <w:sz w:val="20"/>
              </w:rPr>
            </w:pPr>
            <w:r>
              <w:rPr>
                <w:sz w:val="20"/>
              </w:rPr>
              <w:t xml:space="preserve">Uniform Law Commission website: </w:t>
            </w:r>
            <w:hyperlink r:id="rId815">
              <w:r>
                <w:rPr>
                  <w:color w:val="0462C1"/>
                  <w:sz w:val="20"/>
                  <w:u w:val="single" w:color="0462C1"/>
                </w:rPr>
                <w:t>http://www.uniformlaws.org/</w:t>
              </w:r>
            </w:hyperlink>
          </w:p>
          <w:p w14:paraId="74ADE1EA" w14:textId="77777777" w:rsidR="0046798B" w:rsidRDefault="0046798B">
            <w:pPr>
              <w:pStyle w:val="TableParagraph"/>
              <w:rPr>
                <w:sz w:val="20"/>
              </w:rPr>
            </w:pPr>
          </w:p>
          <w:p w14:paraId="4DC0B27C"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37130B08" w14:textId="77777777">
        <w:trPr>
          <w:trHeight w:val="1470"/>
        </w:trPr>
        <w:tc>
          <w:tcPr>
            <w:tcW w:w="1711" w:type="dxa"/>
          </w:tcPr>
          <w:p w14:paraId="40FC2799" w14:textId="77777777" w:rsidR="0046798B" w:rsidRDefault="0046798B">
            <w:pPr>
              <w:pStyle w:val="TableParagraph"/>
            </w:pPr>
          </w:p>
          <w:p w14:paraId="2487F186" w14:textId="77777777" w:rsidR="0046798B" w:rsidRDefault="0046798B">
            <w:pPr>
              <w:pStyle w:val="TableParagraph"/>
              <w:spacing w:before="9"/>
              <w:rPr>
                <w:sz w:val="21"/>
              </w:rPr>
            </w:pPr>
          </w:p>
          <w:p w14:paraId="0E496C76" w14:textId="77777777" w:rsidR="0046798B" w:rsidRDefault="00903B5C">
            <w:pPr>
              <w:pStyle w:val="TableParagraph"/>
              <w:ind w:left="115" w:right="121"/>
              <w:rPr>
                <w:b/>
                <w:sz w:val="20"/>
              </w:rPr>
            </w:pPr>
            <w:r>
              <w:rPr>
                <w:b/>
                <w:sz w:val="20"/>
              </w:rPr>
              <w:t>health_care_deci sions_act</w:t>
            </w:r>
          </w:p>
        </w:tc>
        <w:tc>
          <w:tcPr>
            <w:tcW w:w="1596" w:type="dxa"/>
          </w:tcPr>
          <w:p w14:paraId="31D2A8FC" w14:textId="77777777" w:rsidR="0046798B" w:rsidRDefault="0046798B">
            <w:pPr>
              <w:pStyle w:val="TableParagraph"/>
            </w:pPr>
          </w:p>
          <w:p w14:paraId="79A99546" w14:textId="77777777" w:rsidR="0046798B" w:rsidRDefault="0046798B">
            <w:pPr>
              <w:pStyle w:val="TableParagraph"/>
              <w:spacing w:before="9"/>
              <w:rPr>
                <w:sz w:val="21"/>
              </w:rPr>
            </w:pPr>
          </w:p>
          <w:p w14:paraId="79D09470" w14:textId="77777777" w:rsidR="0046798B" w:rsidRDefault="00903B5C">
            <w:pPr>
              <w:pStyle w:val="TableParagraph"/>
              <w:ind w:left="114"/>
              <w:rPr>
                <w:sz w:val="20"/>
              </w:rPr>
            </w:pPr>
            <w:r>
              <w:rPr>
                <w:sz w:val="20"/>
              </w:rPr>
              <w:t>Provides right to refuse treatment</w:t>
            </w:r>
          </w:p>
        </w:tc>
        <w:tc>
          <w:tcPr>
            <w:tcW w:w="1285" w:type="dxa"/>
          </w:tcPr>
          <w:p w14:paraId="51DB9030" w14:textId="77777777" w:rsidR="0046798B" w:rsidRDefault="0046798B">
            <w:pPr>
              <w:pStyle w:val="TableParagraph"/>
            </w:pPr>
          </w:p>
          <w:p w14:paraId="6F3752E2" w14:textId="77777777" w:rsidR="0046798B" w:rsidRDefault="0046798B">
            <w:pPr>
              <w:pStyle w:val="TableParagraph"/>
              <w:spacing w:before="9"/>
              <w:rPr>
                <w:sz w:val="31"/>
              </w:rPr>
            </w:pPr>
          </w:p>
          <w:p w14:paraId="387392F3" w14:textId="77777777" w:rsidR="0046798B" w:rsidRDefault="00903B5C">
            <w:pPr>
              <w:pStyle w:val="TableParagraph"/>
              <w:ind w:left="114"/>
              <w:rPr>
                <w:sz w:val="20"/>
              </w:rPr>
            </w:pPr>
            <w:r>
              <w:rPr>
                <w:sz w:val="20"/>
              </w:rPr>
              <w:t>1995–2005</w:t>
            </w:r>
          </w:p>
        </w:tc>
        <w:tc>
          <w:tcPr>
            <w:tcW w:w="3421" w:type="dxa"/>
          </w:tcPr>
          <w:p w14:paraId="44D94F04" w14:textId="77777777" w:rsidR="0046798B" w:rsidRDefault="0046798B">
            <w:pPr>
              <w:pStyle w:val="TableParagraph"/>
            </w:pPr>
          </w:p>
          <w:p w14:paraId="5FB92504" w14:textId="77777777" w:rsidR="0046798B" w:rsidRDefault="0046798B">
            <w:pPr>
              <w:pStyle w:val="TableParagraph"/>
              <w:spacing w:before="9"/>
              <w:rPr>
                <w:sz w:val="21"/>
              </w:rPr>
            </w:pPr>
          </w:p>
          <w:p w14:paraId="5CCDFF1D" w14:textId="77777777" w:rsidR="0046798B" w:rsidRDefault="00903B5C">
            <w:pPr>
              <w:pStyle w:val="TableParagraph"/>
              <w:ind w:left="114" w:right="1475"/>
              <w:rPr>
                <w:sz w:val="20"/>
              </w:rPr>
            </w:pPr>
            <w:r>
              <w:rPr>
                <w:sz w:val="20"/>
              </w:rPr>
              <w:t>0 = policy not adopted 1 = policy adopted</w:t>
            </w:r>
          </w:p>
        </w:tc>
        <w:tc>
          <w:tcPr>
            <w:tcW w:w="6482" w:type="dxa"/>
          </w:tcPr>
          <w:p w14:paraId="65C0F49E" w14:textId="77777777" w:rsidR="0046798B" w:rsidRDefault="00903B5C">
            <w:pPr>
              <w:pStyle w:val="TableParagraph"/>
              <w:spacing w:before="43"/>
              <w:ind w:left="114"/>
              <w:rPr>
                <w:sz w:val="20"/>
              </w:rPr>
            </w:pPr>
            <w:r>
              <w:rPr>
                <w:sz w:val="20"/>
              </w:rPr>
              <w:t xml:space="preserve">Uniform Law Commission website: </w:t>
            </w:r>
            <w:hyperlink r:id="rId816">
              <w:r>
                <w:rPr>
                  <w:color w:val="0462C1"/>
                  <w:sz w:val="20"/>
                  <w:u w:val="single" w:color="0462C1"/>
                </w:rPr>
                <w:t>http://www.uniformlaws.org/</w:t>
              </w:r>
            </w:hyperlink>
          </w:p>
          <w:p w14:paraId="36753F9E" w14:textId="77777777" w:rsidR="0046798B" w:rsidRDefault="0046798B">
            <w:pPr>
              <w:pStyle w:val="TableParagraph"/>
              <w:rPr>
                <w:sz w:val="20"/>
              </w:rPr>
            </w:pPr>
          </w:p>
          <w:p w14:paraId="4B1671A8"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C8DC4DB" w14:textId="77777777">
        <w:trPr>
          <w:trHeight w:val="1465"/>
        </w:trPr>
        <w:tc>
          <w:tcPr>
            <w:tcW w:w="1711" w:type="dxa"/>
          </w:tcPr>
          <w:p w14:paraId="709AF2F1" w14:textId="77777777" w:rsidR="0046798B" w:rsidRDefault="0046798B">
            <w:pPr>
              <w:pStyle w:val="TableParagraph"/>
            </w:pPr>
          </w:p>
          <w:p w14:paraId="0366FADF" w14:textId="77777777" w:rsidR="0046798B" w:rsidRDefault="0046798B">
            <w:pPr>
              <w:pStyle w:val="TableParagraph"/>
              <w:spacing w:before="4"/>
              <w:rPr>
                <w:sz w:val="21"/>
              </w:rPr>
            </w:pPr>
          </w:p>
          <w:p w14:paraId="20B2DF1B" w14:textId="77777777" w:rsidR="0046798B" w:rsidRDefault="00903B5C">
            <w:pPr>
              <w:pStyle w:val="TableParagraph"/>
              <w:ind w:left="115" w:right="132"/>
              <w:rPr>
                <w:b/>
                <w:sz w:val="20"/>
              </w:rPr>
            </w:pPr>
            <w:r>
              <w:rPr>
                <w:b/>
                <w:sz w:val="20"/>
              </w:rPr>
              <w:t>health_care_info rmation_act</w:t>
            </w:r>
          </w:p>
        </w:tc>
        <w:tc>
          <w:tcPr>
            <w:tcW w:w="1596" w:type="dxa"/>
          </w:tcPr>
          <w:p w14:paraId="0925DB17" w14:textId="77777777" w:rsidR="0046798B" w:rsidRDefault="00903B5C">
            <w:pPr>
              <w:pStyle w:val="TableParagraph"/>
              <w:spacing w:before="153"/>
              <w:ind w:left="114" w:right="285"/>
              <w:rPr>
                <w:sz w:val="20"/>
              </w:rPr>
            </w:pPr>
            <w:r>
              <w:rPr>
                <w:sz w:val="20"/>
              </w:rPr>
              <w:t>Provides for confidentiality of a patient’s health care records</w:t>
            </w:r>
          </w:p>
        </w:tc>
        <w:tc>
          <w:tcPr>
            <w:tcW w:w="1285" w:type="dxa"/>
          </w:tcPr>
          <w:p w14:paraId="0C52B163" w14:textId="77777777" w:rsidR="0046798B" w:rsidRDefault="0046798B">
            <w:pPr>
              <w:pStyle w:val="TableParagraph"/>
            </w:pPr>
          </w:p>
          <w:p w14:paraId="5B6BE700" w14:textId="77777777" w:rsidR="0046798B" w:rsidRDefault="0046798B">
            <w:pPr>
              <w:pStyle w:val="TableParagraph"/>
              <w:spacing w:before="4"/>
              <w:rPr>
                <w:sz w:val="31"/>
              </w:rPr>
            </w:pPr>
          </w:p>
          <w:p w14:paraId="5589C224" w14:textId="77777777" w:rsidR="0046798B" w:rsidRDefault="00903B5C">
            <w:pPr>
              <w:pStyle w:val="TableParagraph"/>
              <w:ind w:left="114"/>
              <w:rPr>
                <w:sz w:val="20"/>
              </w:rPr>
            </w:pPr>
            <w:r>
              <w:rPr>
                <w:sz w:val="20"/>
              </w:rPr>
              <w:t>1987–1991</w:t>
            </w:r>
          </w:p>
        </w:tc>
        <w:tc>
          <w:tcPr>
            <w:tcW w:w="3421" w:type="dxa"/>
          </w:tcPr>
          <w:p w14:paraId="20E9C26F" w14:textId="77777777" w:rsidR="0046798B" w:rsidRDefault="0046798B">
            <w:pPr>
              <w:pStyle w:val="TableParagraph"/>
            </w:pPr>
          </w:p>
          <w:p w14:paraId="42D4F09E" w14:textId="77777777" w:rsidR="0046798B" w:rsidRDefault="0046798B">
            <w:pPr>
              <w:pStyle w:val="TableParagraph"/>
              <w:spacing w:before="4"/>
              <w:rPr>
                <w:sz w:val="21"/>
              </w:rPr>
            </w:pPr>
          </w:p>
          <w:p w14:paraId="7E1FC47F" w14:textId="77777777" w:rsidR="0046798B" w:rsidRDefault="00903B5C">
            <w:pPr>
              <w:pStyle w:val="TableParagraph"/>
              <w:ind w:left="114" w:right="1475"/>
              <w:rPr>
                <w:sz w:val="20"/>
              </w:rPr>
            </w:pPr>
            <w:r>
              <w:rPr>
                <w:sz w:val="20"/>
              </w:rPr>
              <w:t>0 = policy not adopted 1 = policy adopted</w:t>
            </w:r>
          </w:p>
        </w:tc>
        <w:tc>
          <w:tcPr>
            <w:tcW w:w="6482" w:type="dxa"/>
          </w:tcPr>
          <w:p w14:paraId="23C239F2" w14:textId="77777777" w:rsidR="0046798B" w:rsidRDefault="00903B5C">
            <w:pPr>
              <w:pStyle w:val="TableParagraph"/>
              <w:spacing w:before="38"/>
              <w:ind w:left="114"/>
              <w:rPr>
                <w:sz w:val="20"/>
              </w:rPr>
            </w:pPr>
            <w:r>
              <w:rPr>
                <w:sz w:val="20"/>
              </w:rPr>
              <w:t xml:space="preserve">Uniform Law Commission website: </w:t>
            </w:r>
            <w:hyperlink r:id="rId817">
              <w:r>
                <w:rPr>
                  <w:color w:val="0462C1"/>
                  <w:sz w:val="20"/>
                  <w:u w:val="single" w:color="0462C1"/>
                </w:rPr>
                <w:t>http://www.uniformlaws.org/</w:t>
              </w:r>
            </w:hyperlink>
          </w:p>
          <w:p w14:paraId="6D35AB7D" w14:textId="77777777" w:rsidR="0046798B" w:rsidRDefault="0046798B">
            <w:pPr>
              <w:pStyle w:val="TableParagraph"/>
              <w:rPr>
                <w:sz w:val="20"/>
              </w:rPr>
            </w:pPr>
          </w:p>
          <w:p w14:paraId="3F00CB8D"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34A6D412" w14:textId="77777777">
        <w:trPr>
          <w:trHeight w:val="1465"/>
        </w:trPr>
        <w:tc>
          <w:tcPr>
            <w:tcW w:w="1711" w:type="dxa"/>
          </w:tcPr>
          <w:p w14:paraId="05C5B6DE" w14:textId="77777777" w:rsidR="0046798B" w:rsidRDefault="0046798B">
            <w:pPr>
              <w:pStyle w:val="TableParagraph"/>
            </w:pPr>
          </w:p>
          <w:p w14:paraId="0D0503B2" w14:textId="77777777" w:rsidR="0046798B" w:rsidRDefault="0046798B">
            <w:pPr>
              <w:pStyle w:val="TableParagraph"/>
              <w:spacing w:before="3"/>
              <w:rPr>
                <w:sz w:val="21"/>
              </w:rPr>
            </w:pPr>
          </w:p>
          <w:p w14:paraId="146B7B1D" w14:textId="77777777" w:rsidR="0046798B" w:rsidRDefault="00903B5C">
            <w:pPr>
              <w:pStyle w:val="TableParagraph"/>
              <w:spacing w:before="1"/>
              <w:ind w:left="115" w:right="99"/>
              <w:rPr>
                <w:b/>
                <w:sz w:val="20"/>
              </w:rPr>
            </w:pPr>
            <w:r>
              <w:rPr>
                <w:b/>
                <w:sz w:val="20"/>
              </w:rPr>
              <w:t>status_of_childre n_of_assisted_c</w:t>
            </w:r>
          </w:p>
        </w:tc>
        <w:tc>
          <w:tcPr>
            <w:tcW w:w="1596" w:type="dxa"/>
          </w:tcPr>
          <w:p w14:paraId="7A5ECAE4" w14:textId="77777777" w:rsidR="0046798B" w:rsidRDefault="0046798B">
            <w:pPr>
              <w:pStyle w:val="TableParagraph"/>
              <w:spacing w:before="3"/>
              <w:rPr>
                <w:sz w:val="23"/>
              </w:rPr>
            </w:pPr>
          </w:p>
          <w:p w14:paraId="219A9859" w14:textId="77777777" w:rsidR="0046798B" w:rsidRDefault="00903B5C">
            <w:pPr>
              <w:pStyle w:val="TableParagraph"/>
              <w:spacing w:before="1"/>
              <w:ind w:left="114" w:right="102"/>
              <w:rPr>
                <w:sz w:val="20"/>
              </w:rPr>
            </w:pPr>
            <w:r>
              <w:rPr>
                <w:sz w:val="20"/>
              </w:rPr>
              <w:t>Protects children born through assisted conception</w:t>
            </w:r>
          </w:p>
        </w:tc>
        <w:tc>
          <w:tcPr>
            <w:tcW w:w="1285" w:type="dxa"/>
          </w:tcPr>
          <w:p w14:paraId="42D34A33" w14:textId="77777777" w:rsidR="0046798B" w:rsidRDefault="0046798B">
            <w:pPr>
              <w:pStyle w:val="TableParagraph"/>
            </w:pPr>
          </w:p>
          <w:p w14:paraId="3ED26563" w14:textId="77777777" w:rsidR="0046798B" w:rsidRDefault="0046798B">
            <w:pPr>
              <w:pStyle w:val="TableParagraph"/>
              <w:spacing w:before="3"/>
              <w:rPr>
                <w:sz w:val="31"/>
              </w:rPr>
            </w:pPr>
          </w:p>
          <w:p w14:paraId="28885F28" w14:textId="77777777" w:rsidR="0046798B" w:rsidRDefault="00903B5C">
            <w:pPr>
              <w:pStyle w:val="TableParagraph"/>
              <w:spacing w:before="1"/>
              <w:ind w:left="114"/>
              <w:rPr>
                <w:sz w:val="20"/>
              </w:rPr>
            </w:pPr>
            <w:r>
              <w:rPr>
                <w:sz w:val="20"/>
              </w:rPr>
              <w:t>1989–1989</w:t>
            </w:r>
          </w:p>
        </w:tc>
        <w:tc>
          <w:tcPr>
            <w:tcW w:w="3421" w:type="dxa"/>
          </w:tcPr>
          <w:p w14:paraId="12B7535B" w14:textId="77777777" w:rsidR="0046798B" w:rsidRDefault="0046798B">
            <w:pPr>
              <w:pStyle w:val="TableParagraph"/>
            </w:pPr>
          </w:p>
          <w:p w14:paraId="1E058B06" w14:textId="77777777" w:rsidR="0046798B" w:rsidRDefault="0046798B">
            <w:pPr>
              <w:pStyle w:val="TableParagraph"/>
              <w:spacing w:before="3"/>
              <w:rPr>
                <w:sz w:val="21"/>
              </w:rPr>
            </w:pPr>
          </w:p>
          <w:p w14:paraId="55B32B29"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558BB6C2" w14:textId="77777777" w:rsidR="0046798B" w:rsidRDefault="00903B5C">
            <w:pPr>
              <w:pStyle w:val="TableParagraph"/>
              <w:spacing w:before="38"/>
              <w:ind w:left="114"/>
              <w:rPr>
                <w:sz w:val="20"/>
              </w:rPr>
            </w:pPr>
            <w:r>
              <w:rPr>
                <w:sz w:val="20"/>
              </w:rPr>
              <w:t xml:space="preserve">Uniform Law Commission website: </w:t>
            </w:r>
            <w:hyperlink r:id="rId818">
              <w:r>
                <w:rPr>
                  <w:color w:val="0462C1"/>
                  <w:sz w:val="20"/>
                  <w:u w:val="single" w:color="0462C1"/>
                </w:rPr>
                <w:t>http://www.uniformlaws.org/</w:t>
              </w:r>
            </w:hyperlink>
          </w:p>
          <w:p w14:paraId="6BEF1BC6" w14:textId="77777777" w:rsidR="0046798B" w:rsidRDefault="0046798B">
            <w:pPr>
              <w:pStyle w:val="TableParagraph"/>
              <w:rPr>
                <w:sz w:val="20"/>
              </w:rPr>
            </w:pPr>
          </w:p>
          <w:p w14:paraId="4F0958F7"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457E1655" w14:textId="77777777">
        <w:trPr>
          <w:trHeight w:val="775"/>
        </w:trPr>
        <w:tc>
          <w:tcPr>
            <w:tcW w:w="1711" w:type="dxa"/>
          </w:tcPr>
          <w:p w14:paraId="7F22964B" w14:textId="77777777" w:rsidR="0046798B" w:rsidRDefault="0046798B">
            <w:pPr>
              <w:pStyle w:val="TableParagraph"/>
              <w:spacing w:before="3"/>
              <w:rPr>
                <w:sz w:val="23"/>
              </w:rPr>
            </w:pPr>
          </w:p>
          <w:p w14:paraId="6CECC0B1" w14:textId="77777777" w:rsidR="0046798B" w:rsidRDefault="00903B5C">
            <w:pPr>
              <w:pStyle w:val="TableParagraph"/>
              <w:ind w:left="115"/>
              <w:rPr>
                <w:b/>
                <w:sz w:val="20"/>
              </w:rPr>
            </w:pPr>
            <w:r>
              <w:rPr>
                <w:b/>
                <w:sz w:val="20"/>
              </w:rPr>
              <w:t>dpas</w:t>
            </w:r>
          </w:p>
        </w:tc>
        <w:tc>
          <w:tcPr>
            <w:tcW w:w="1596" w:type="dxa"/>
          </w:tcPr>
          <w:p w14:paraId="51A93378" w14:textId="77777777" w:rsidR="0046798B" w:rsidRDefault="00903B5C">
            <w:pPr>
              <w:pStyle w:val="TableParagraph"/>
              <w:spacing w:before="38"/>
              <w:ind w:left="114" w:right="213"/>
              <w:rPr>
                <w:sz w:val="20"/>
              </w:rPr>
            </w:pPr>
            <w:r>
              <w:rPr>
                <w:sz w:val="20"/>
              </w:rPr>
              <w:t>Physician- assisted suicide legalized</w:t>
            </w:r>
          </w:p>
        </w:tc>
        <w:tc>
          <w:tcPr>
            <w:tcW w:w="1285" w:type="dxa"/>
          </w:tcPr>
          <w:p w14:paraId="63287575" w14:textId="77777777" w:rsidR="0046798B" w:rsidRDefault="0046798B">
            <w:pPr>
              <w:pStyle w:val="TableParagraph"/>
              <w:spacing w:before="3"/>
              <w:rPr>
                <w:sz w:val="23"/>
              </w:rPr>
            </w:pPr>
          </w:p>
          <w:p w14:paraId="222EF4CE" w14:textId="77777777" w:rsidR="0046798B" w:rsidRDefault="00903B5C">
            <w:pPr>
              <w:pStyle w:val="TableParagraph"/>
              <w:ind w:left="114"/>
              <w:rPr>
                <w:sz w:val="20"/>
              </w:rPr>
            </w:pPr>
            <w:r>
              <w:rPr>
                <w:sz w:val="20"/>
              </w:rPr>
              <w:t>2000–2016</w:t>
            </w:r>
          </w:p>
        </w:tc>
        <w:tc>
          <w:tcPr>
            <w:tcW w:w="3421" w:type="dxa"/>
          </w:tcPr>
          <w:p w14:paraId="7E723A81" w14:textId="77777777" w:rsidR="0046798B" w:rsidRDefault="00903B5C">
            <w:pPr>
              <w:pStyle w:val="TableParagraph"/>
              <w:spacing w:before="153"/>
              <w:ind w:left="114"/>
              <w:rPr>
                <w:sz w:val="20"/>
              </w:rPr>
            </w:pPr>
            <w:r>
              <w:rPr>
                <w:sz w:val="20"/>
              </w:rPr>
              <w:t>Physician-assisted suicide legalized? (0</w:t>
            </w:r>
          </w:p>
          <w:p w14:paraId="7F3B657D" w14:textId="77777777" w:rsidR="0046798B" w:rsidRDefault="00903B5C">
            <w:pPr>
              <w:pStyle w:val="TableParagraph"/>
              <w:ind w:left="114"/>
              <w:rPr>
                <w:sz w:val="20"/>
              </w:rPr>
            </w:pPr>
            <w:r>
              <w:rPr>
                <w:sz w:val="20"/>
              </w:rPr>
              <w:t>= no, 1 = yes)</w:t>
            </w:r>
          </w:p>
        </w:tc>
        <w:tc>
          <w:tcPr>
            <w:tcW w:w="6482" w:type="dxa"/>
          </w:tcPr>
          <w:p w14:paraId="24B16BB7" w14:textId="77777777" w:rsidR="0046798B" w:rsidRDefault="00903B5C">
            <w:pPr>
              <w:pStyle w:val="TableParagraph"/>
              <w:spacing w:before="3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D5B9915" w14:textId="77777777">
        <w:trPr>
          <w:trHeight w:val="775"/>
        </w:trPr>
        <w:tc>
          <w:tcPr>
            <w:tcW w:w="1711" w:type="dxa"/>
          </w:tcPr>
          <w:p w14:paraId="112BA654" w14:textId="77777777" w:rsidR="0046798B" w:rsidRDefault="0046798B">
            <w:pPr>
              <w:pStyle w:val="TableParagraph"/>
              <w:spacing w:before="9"/>
              <w:rPr>
                <w:sz w:val="23"/>
              </w:rPr>
            </w:pPr>
          </w:p>
          <w:p w14:paraId="5298AA20" w14:textId="77777777" w:rsidR="0046798B" w:rsidRDefault="00903B5C">
            <w:pPr>
              <w:pStyle w:val="TableParagraph"/>
              <w:ind w:left="115"/>
              <w:rPr>
                <w:b/>
                <w:sz w:val="20"/>
              </w:rPr>
            </w:pPr>
            <w:r>
              <w:rPr>
                <w:b/>
                <w:sz w:val="20"/>
              </w:rPr>
              <w:t>dtrans</w:t>
            </w:r>
          </w:p>
        </w:tc>
        <w:tc>
          <w:tcPr>
            <w:tcW w:w="1596" w:type="dxa"/>
          </w:tcPr>
          <w:p w14:paraId="45C35DA6" w14:textId="77777777" w:rsidR="0046798B" w:rsidRDefault="00903B5C">
            <w:pPr>
              <w:pStyle w:val="TableParagraph"/>
              <w:spacing w:before="43"/>
              <w:ind w:left="114" w:right="157"/>
              <w:rPr>
                <w:sz w:val="20"/>
              </w:rPr>
            </w:pPr>
            <w:r>
              <w:rPr>
                <w:sz w:val="20"/>
              </w:rPr>
              <w:t>Statewide trans- fat ban in restaurants</w:t>
            </w:r>
          </w:p>
        </w:tc>
        <w:tc>
          <w:tcPr>
            <w:tcW w:w="1285" w:type="dxa"/>
          </w:tcPr>
          <w:p w14:paraId="72EC82D7" w14:textId="77777777" w:rsidR="0046798B" w:rsidRDefault="0046798B">
            <w:pPr>
              <w:pStyle w:val="TableParagraph"/>
              <w:spacing w:before="9"/>
              <w:rPr>
                <w:sz w:val="23"/>
              </w:rPr>
            </w:pPr>
          </w:p>
          <w:p w14:paraId="766474A1" w14:textId="77777777" w:rsidR="0046798B" w:rsidRDefault="00903B5C">
            <w:pPr>
              <w:pStyle w:val="TableParagraph"/>
              <w:ind w:left="114"/>
              <w:rPr>
                <w:sz w:val="20"/>
              </w:rPr>
            </w:pPr>
            <w:r>
              <w:rPr>
                <w:sz w:val="20"/>
              </w:rPr>
              <w:t>2000–2016</w:t>
            </w:r>
          </w:p>
        </w:tc>
        <w:tc>
          <w:tcPr>
            <w:tcW w:w="3421" w:type="dxa"/>
          </w:tcPr>
          <w:p w14:paraId="06DB2E84" w14:textId="77777777" w:rsidR="0046798B" w:rsidRDefault="00903B5C">
            <w:pPr>
              <w:pStyle w:val="TableParagraph"/>
              <w:spacing w:before="43"/>
              <w:ind w:left="114" w:right="222"/>
              <w:rPr>
                <w:sz w:val="20"/>
              </w:rPr>
            </w:pPr>
            <w:r>
              <w:rPr>
                <w:sz w:val="20"/>
              </w:rPr>
              <w:t>Statewide trans-fat ban in restaurants? (0 = no, 1 = yes)</w:t>
            </w:r>
          </w:p>
        </w:tc>
        <w:tc>
          <w:tcPr>
            <w:tcW w:w="6482" w:type="dxa"/>
          </w:tcPr>
          <w:p w14:paraId="21943255"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F0F2708" w14:textId="77777777">
        <w:trPr>
          <w:trHeight w:val="775"/>
        </w:trPr>
        <w:tc>
          <w:tcPr>
            <w:tcW w:w="1711" w:type="dxa"/>
          </w:tcPr>
          <w:p w14:paraId="4E0C88EE" w14:textId="77777777" w:rsidR="0046798B" w:rsidRDefault="0046798B">
            <w:pPr>
              <w:pStyle w:val="TableParagraph"/>
              <w:spacing w:before="8"/>
              <w:rPr>
                <w:sz w:val="23"/>
              </w:rPr>
            </w:pPr>
          </w:p>
          <w:p w14:paraId="51EDE52E" w14:textId="77777777" w:rsidR="0046798B" w:rsidRDefault="00903B5C">
            <w:pPr>
              <w:pStyle w:val="TableParagraph"/>
              <w:spacing w:before="1"/>
              <w:ind w:left="115"/>
              <w:rPr>
                <w:b/>
                <w:sz w:val="20"/>
              </w:rPr>
            </w:pPr>
            <w:r>
              <w:rPr>
                <w:b/>
                <w:sz w:val="20"/>
              </w:rPr>
              <w:t>hbfip</w:t>
            </w:r>
          </w:p>
        </w:tc>
        <w:tc>
          <w:tcPr>
            <w:tcW w:w="1596" w:type="dxa"/>
          </w:tcPr>
          <w:p w14:paraId="2E7E03EF" w14:textId="77777777" w:rsidR="0046798B" w:rsidRDefault="00903B5C">
            <w:pPr>
              <w:pStyle w:val="TableParagraph"/>
              <w:spacing w:before="43"/>
              <w:ind w:left="114" w:right="435"/>
              <w:rPr>
                <w:sz w:val="20"/>
              </w:rPr>
            </w:pPr>
            <w:r>
              <w:rPr>
                <w:sz w:val="20"/>
              </w:rPr>
              <w:t>Bans on financial incentives to</w:t>
            </w:r>
          </w:p>
        </w:tc>
        <w:tc>
          <w:tcPr>
            <w:tcW w:w="1285" w:type="dxa"/>
          </w:tcPr>
          <w:p w14:paraId="3369A2B8" w14:textId="77777777" w:rsidR="0046798B" w:rsidRDefault="0046798B">
            <w:pPr>
              <w:pStyle w:val="TableParagraph"/>
              <w:spacing w:before="8"/>
              <w:rPr>
                <w:sz w:val="23"/>
              </w:rPr>
            </w:pPr>
          </w:p>
          <w:p w14:paraId="76943DD7" w14:textId="77777777" w:rsidR="0046798B" w:rsidRDefault="00903B5C">
            <w:pPr>
              <w:pStyle w:val="TableParagraph"/>
              <w:spacing w:before="1"/>
              <w:ind w:left="114"/>
              <w:rPr>
                <w:sz w:val="20"/>
              </w:rPr>
            </w:pPr>
            <w:r>
              <w:rPr>
                <w:sz w:val="20"/>
              </w:rPr>
              <w:t>2000–2010</w:t>
            </w:r>
          </w:p>
        </w:tc>
        <w:tc>
          <w:tcPr>
            <w:tcW w:w="3421" w:type="dxa"/>
          </w:tcPr>
          <w:p w14:paraId="30154882" w14:textId="77777777" w:rsidR="0046798B" w:rsidRDefault="00903B5C">
            <w:pPr>
              <w:pStyle w:val="TableParagraph"/>
              <w:spacing w:before="43"/>
              <w:ind w:left="114" w:right="183"/>
              <w:rPr>
                <w:sz w:val="20"/>
              </w:rPr>
            </w:pPr>
            <w:r>
              <w:rPr>
                <w:sz w:val="20"/>
              </w:rPr>
              <w:t>Bans on financial incentives to providers to withhold covered care? (0</w:t>
            </w:r>
          </w:p>
          <w:p w14:paraId="3B8B702E" w14:textId="77777777" w:rsidR="0046798B" w:rsidRDefault="00903B5C">
            <w:pPr>
              <w:pStyle w:val="TableParagraph"/>
              <w:spacing w:before="1"/>
              <w:ind w:left="114"/>
              <w:rPr>
                <w:sz w:val="20"/>
              </w:rPr>
            </w:pPr>
            <w:r>
              <w:rPr>
                <w:sz w:val="20"/>
              </w:rPr>
              <w:t>= no, 1 = yes)</w:t>
            </w:r>
          </w:p>
        </w:tc>
        <w:tc>
          <w:tcPr>
            <w:tcW w:w="6482" w:type="dxa"/>
          </w:tcPr>
          <w:p w14:paraId="6F5B5D17"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23591222" w14:textId="77777777" w:rsidR="0046798B" w:rsidRDefault="0046798B">
      <w:pPr>
        <w:rPr>
          <w:sz w:val="20"/>
        </w:rPr>
        <w:sectPr w:rsidR="0046798B">
          <w:pgSz w:w="15840" w:h="12240" w:orient="landscape"/>
          <w:pgMar w:top="1220" w:right="300" w:bottom="980" w:left="820" w:header="730" w:footer="787" w:gutter="0"/>
          <w:cols w:space="720"/>
        </w:sectPr>
      </w:pPr>
    </w:p>
    <w:p w14:paraId="2B196CFB"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0E3899AE" w14:textId="77777777">
        <w:trPr>
          <w:trHeight w:val="775"/>
        </w:trPr>
        <w:tc>
          <w:tcPr>
            <w:tcW w:w="1711" w:type="dxa"/>
          </w:tcPr>
          <w:p w14:paraId="0976AFBB" w14:textId="77777777" w:rsidR="0046798B" w:rsidRDefault="0046798B">
            <w:pPr>
              <w:pStyle w:val="TableParagraph"/>
              <w:rPr>
                <w:sz w:val="20"/>
              </w:rPr>
            </w:pPr>
          </w:p>
        </w:tc>
        <w:tc>
          <w:tcPr>
            <w:tcW w:w="1596" w:type="dxa"/>
          </w:tcPr>
          <w:p w14:paraId="2940448B" w14:textId="77777777" w:rsidR="0046798B" w:rsidRDefault="00903B5C">
            <w:pPr>
              <w:pStyle w:val="TableParagraph"/>
              <w:spacing w:before="43"/>
              <w:ind w:left="114" w:right="436"/>
              <w:rPr>
                <w:sz w:val="20"/>
              </w:rPr>
            </w:pPr>
            <w:r>
              <w:rPr>
                <w:sz w:val="20"/>
              </w:rPr>
              <w:t>providers to withhold covered care</w:t>
            </w:r>
          </w:p>
        </w:tc>
        <w:tc>
          <w:tcPr>
            <w:tcW w:w="1285" w:type="dxa"/>
          </w:tcPr>
          <w:p w14:paraId="21925766" w14:textId="77777777" w:rsidR="0046798B" w:rsidRDefault="0046798B">
            <w:pPr>
              <w:pStyle w:val="TableParagraph"/>
              <w:rPr>
                <w:sz w:val="20"/>
              </w:rPr>
            </w:pPr>
          </w:p>
        </w:tc>
        <w:tc>
          <w:tcPr>
            <w:tcW w:w="3421" w:type="dxa"/>
          </w:tcPr>
          <w:p w14:paraId="062FA1CD" w14:textId="77777777" w:rsidR="0046798B" w:rsidRDefault="0046798B">
            <w:pPr>
              <w:pStyle w:val="TableParagraph"/>
              <w:rPr>
                <w:sz w:val="20"/>
              </w:rPr>
            </w:pPr>
          </w:p>
        </w:tc>
        <w:tc>
          <w:tcPr>
            <w:tcW w:w="6482" w:type="dxa"/>
          </w:tcPr>
          <w:p w14:paraId="6C5EDC5C" w14:textId="77777777" w:rsidR="0046798B" w:rsidRDefault="0046798B">
            <w:pPr>
              <w:pStyle w:val="TableParagraph"/>
              <w:rPr>
                <w:sz w:val="20"/>
              </w:rPr>
            </w:pPr>
          </w:p>
        </w:tc>
      </w:tr>
      <w:tr w:rsidR="0046798B" w14:paraId="5D972C0C" w14:textId="77777777">
        <w:trPr>
          <w:trHeight w:val="1235"/>
        </w:trPr>
        <w:tc>
          <w:tcPr>
            <w:tcW w:w="1711" w:type="dxa"/>
          </w:tcPr>
          <w:p w14:paraId="2C6C5D30" w14:textId="77777777" w:rsidR="0046798B" w:rsidRDefault="0046798B">
            <w:pPr>
              <w:pStyle w:val="TableParagraph"/>
            </w:pPr>
          </w:p>
          <w:p w14:paraId="543FBE06" w14:textId="77777777" w:rsidR="0046798B" w:rsidRDefault="0046798B">
            <w:pPr>
              <w:pStyle w:val="TableParagraph"/>
              <w:spacing w:before="8"/>
              <w:rPr>
                <w:sz w:val="21"/>
              </w:rPr>
            </w:pPr>
          </w:p>
          <w:p w14:paraId="2C69BFE0" w14:textId="77777777" w:rsidR="0046798B" w:rsidRDefault="00903B5C">
            <w:pPr>
              <w:pStyle w:val="TableParagraph"/>
              <w:spacing w:before="1"/>
              <w:ind w:left="115"/>
              <w:rPr>
                <w:b/>
                <w:sz w:val="20"/>
              </w:rPr>
            </w:pPr>
            <w:r>
              <w:rPr>
                <w:b/>
                <w:sz w:val="20"/>
              </w:rPr>
              <w:t>hhrhip</w:t>
            </w:r>
          </w:p>
        </w:tc>
        <w:tc>
          <w:tcPr>
            <w:tcW w:w="1596" w:type="dxa"/>
          </w:tcPr>
          <w:p w14:paraId="6FF2CA17" w14:textId="77777777" w:rsidR="0046798B" w:rsidRDefault="0046798B">
            <w:pPr>
              <w:pStyle w:val="TableParagraph"/>
            </w:pPr>
          </w:p>
          <w:p w14:paraId="503FCCC4" w14:textId="77777777" w:rsidR="0046798B" w:rsidRDefault="00903B5C">
            <w:pPr>
              <w:pStyle w:val="TableParagraph"/>
              <w:spacing w:before="135"/>
              <w:ind w:left="114" w:right="146"/>
              <w:rPr>
                <w:sz w:val="20"/>
              </w:rPr>
            </w:pPr>
            <w:r>
              <w:rPr>
                <w:sz w:val="20"/>
              </w:rPr>
              <w:t>High-risk health insurance pool</w:t>
            </w:r>
          </w:p>
        </w:tc>
        <w:tc>
          <w:tcPr>
            <w:tcW w:w="1285" w:type="dxa"/>
          </w:tcPr>
          <w:p w14:paraId="3A9F5126" w14:textId="77777777" w:rsidR="0046798B" w:rsidRDefault="0046798B">
            <w:pPr>
              <w:pStyle w:val="TableParagraph"/>
            </w:pPr>
          </w:p>
          <w:p w14:paraId="0CF8DF65" w14:textId="77777777" w:rsidR="0046798B" w:rsidRDefault="0046798B">
            <w:pPr>
              <w:pStyle w:val="TableParagraph"/>
              <w:spacing w:before="8"/>
              <w:rPr>
                <w:sz w:val="21"/>
              </w:rPr>
            </w:pPr>
          </w:p>
          <w:p w14:paraId="429EEF32" w14:textId="77777777" w:rsidR="0046798B" w:rsidRDefault="00903B5C">
            <w:pPr>
              <w:pStyle w:val="TableParagraph"/>
              <w:spacing w:before="1"/>
              <w:ind w:left="114"/>
              <w:rPr>
                <w:sz w:val="20"/>
              </w:rPr>
            </w:pPr>
            <w:r>
              <w:rPr>
                <w:sz w:val="20"/>
              </w:rPr>
              <w:t>2000–2016</w:t>
            </w:r>
          </w:p>
        </w:tc>
        <w:tc>
          <w:tcPr>
            <w:tcW w:w="3421" w:type="dxa"/>
          </w:tcPr>
          <w:p w14:paraId="664B3245" w14:textId="77777777" w:rsidR="0046798B" w:rsidRDefault="00903B5C">
            <w:pPr>
              <w:pStyle w:val="TableParagraph"/>
              <w:spacing w:before="43"/>
              <w:ind w:left="114" w:right="227"/>
              <w:rPr>
                <w:sz w:val="20"/>
              </w:rPr>
            </w:pPr>
            <w:r>
              <w:rPr>
                <w:sz w:val="20"/>
              </w:rPr>
              <w:t>High-risk health insurance pool? (0 = no; 0.1 = yes, but not open to new enrollees and numbers less than 1000;</w:t>
            </w:r>
          </w:p>
          <w:p w14:paraId="6DD46A7D" w14:textId="77777777" w:rsidR="0046798B" w:rsidRDefault="00903B5C">
            <w:pPr>
              <w:pStyle w:val="TableParagraph"/>
              <w:spacing w:before="1"/>
              <w:ind w:left="114" w:right="390"/>
              <w:rPr>
                <w:sz w:val="20"/>
              </w:rPr>
            </w:pPr>
            <w:r>
              <w:rPr>
                <w:sz w:val="20"/>
              </w:rPr>
              <w:t>0.5 = only for portability; 1 = yes or state high risk reinsurance plan)</w:t>
            </w:r>
          </w:p>
        </w:tc>
        <w:tc>
          <w:tcPr>
            <w:tcW w:w="6482" w:type="dxa"/>
          </w:tcPr>
          <w:p w14:paraId="09062D0F" w14:textId="77777777" w:rsidR="0046798B" w:rsidRDefault="0046798B">
            <w:pPr>
              <w:pStyle w:val="TableParagraph"/>
              <w:spacing w:before="8"/>
              <w:rPr>
                <w:sz w:val="23"/>
              </w:rPr>
            </w:pPr>
          </w:p>
          <w:p w14:paraId="4CFB3E70" w14:textId="77777777" w:rsidR="0046798B" w:rsidRDefault="00903B5C">
            <w:pPr>
              <w:pStyle w:val="TableParagraph"/>
              <w:spacing w:before="1"/>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F401876" w14:textId="77777777">
        <w:trPr>
          <w:trHeight w:val="1240"/>
        </w:trPr>
        <w:tc>
          <w:tcPr>
            <w:tcW w:w="1711" w:type="dxa"/>
          </w:tcPr>
          <w:p w14:paraId="0B81AEA4" w14:textId="77777777" w:rsidR="0046798B" w:rsidRDefault="0046798B">
            <w:pPr>
              <w:pStyle w:val="TableParagraph"/>
            </w:pPr>
          </w:p>
          <w:p w14:paraId="09157ABC" w14:textId="77777777" w:rsidR="0046798B" w:rsidRDefault="0046798B">
            <w:pPr>
              <w:pStyle w:val="TableParagraph"/>
              <w:spacing w:before="8"/>
              <w:rPr>
                <w:sz w:val="21"/>
              </w:rPr>
            </w:pPr>
          </w:p>
          <w:p w14:paraId="181237C5" w14:textId="77777777" w:rsidR="0046798B" w:rsidRDefault="00903B5C">
            <w:pPr>
              <w:pStyle w:val="TableParagraph"/>
              <w:spacing w:before="1"/>
              <w:ind w:left="115"/>
              <w:rPr>
                <w:b/>
                <w:sz w:val="20"/>
              </w:rPr>
            </w:pPr>
            <w:r>
              <w:rPr>
                <w:b/>
                <w:sz w:val="20"/>
              </w:rPr>
              <w:t>hirr</w:t>
            </w:r>
          </w:p>
        </w:tc>
        <w:tc>
          <w:tcPr>
            <w:tcW w:w="1596" w:type="dxa"/>
          </w:tcPr>
          <w:p w14:paraId="0DF24042" w14:textId="77777777" w:rsidR="0046798B" w:rsidRDefault="0046798B">
            <w:pPr>
              <w:pStyle w:val="TableParagraph"/>
            </w:pPr>
          </w:p>
          <w:p w14:paraId="2197E697" w14:textId="77777777" w:rsidR="0046798B" w:rsidRDefault="00903B5C">
            <w:pPr>
              <w:pStyle w:val="TableParagraph"/>
              <w:spacing w:before="135"/>
              <w:ind w:left="114" w:right="280"/>
              <w:rPr>
                <w:sz w:val="20"/>
              </w:rPr>
            </w:pPr>
            <w:r>
              <w:rPr>
                <w:sz w:val="20"/>
              </w:rPr>
              <w:t>Individual rate review</w:t>
            </w:r>
          </w:p>
        </w:tc>
        <w:tc>
          <w:tcPr>
            <w:tcW w:w="1285" w:type="dxa"/>
          </w:tcPr>
          <w:p w14:paraId="5B75F4B0" w14:textId="77777777" w:rsidR="0046798B" w:rsidRDefault="0046798B">
            <w:pPr>
              <w:pStyle w:val="TableParagraph"/>
            </w:pPr>
          </w:p>
          <w:p w14:paraId="5738E8DD" w14:textId="77777777" w:rsidR="0046798B" w:rsidRDefault="0046798B">
            <w:pPr>
              <w:pStyle w:val="TableParagraph"/>
              <w:spacing w:before="8"/>
              <w:rPr>
                <w:sz w:val="21"/>
              </w:rPr>
            </w:pPr>
          </w:p>
          <w:p w14:paraId="3D4A59D3" w14:textId="77777777" w:rsidR="0046798B" w:rsidRDefault="00903B5C">
            <w:pPr>
              <w:pStyle w:val="TableParagraph"/>
              <w:spacing w:before="1"/>
              <w:ind w:left="114"/>
              <w:rPr>
                <w:sz w:val="20"/>
              </w:rPr>
            </w:pPr>
            <w:r>
              <w:rPr>
                <w:sz w:val="20"/>
              </w:rPr>
              <w:t>2000–2016</w:t>
            </w:r>
          </w:p>
        </w:tc>
        <w:tc>
          <w:tcPr>
            <w:tcW w:w="3421" w:type="dxa"/>
          </w:tcPr>
          <w:p w14:paraId="6864D0F0" w14:textId="77777777" w:rsidR="0046798B" w:rsidRDefault="00903B5C">
            <w:pPr>
              <w:pStyle w:val="TableParagraph"/>
              <w:spacing w:before="43"/>
              <w:ind w:left="114" w:right="159"/>
              <w:rPr>
                <w:sz w:val="20"/>
              </w:rPr>
            </w:pPr>
            <w:r>
              <w:rPr>
                <w:sz w:val="20"/>
              </w:rPr>
              <w:t>Individual rate review (0 = file and use or no review, 0.5 = prior approval for only some products/companies, 1 = prior approval or strict MLR requirement)</w:t>
            </w:r>
          </w:p>
        </w:tc>
        <w:tc>
          <w:tcPr>
            <w:tcW w:w="6482" w:type="dxa"/>
          </w:tcPr>
          <w:p w14:paraId="7EB0667E" w14:textId="77777777" w:rsidR="0046798B" w:rsidRDefault="0046798B">
            <w:pPr>
              <w:pStyle w:val="TableParagraph"/>
              <w:spacing w:before="8"/>
              <w:rPr>
                <w:sz w:val="23"/>
              </w:rPr>
            </w:pPr>
          </w:p>
          <w:p w14:paraId="5058F1C6"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6294496" w14:textId="77777777">
        <w:trPr>
          <w:trHeight w:val="1005"/>
        </w:trPr>
        <w:tc>
          <w:tcPr>
            <w:tcW w:w="1711" w:type="dxa"/>
          </w:tcPr>
          <w:p w14:paraId="58F75769" w14:textId="77777777" w:rsidR="0046798B" w:rsidRDefault="0046798B">
            <w:pPr>
              <w:pStyle w:val="TableParagraph"/>
            </w:pPr>
          </w:p>
          <w:p w14:paraId="23E12A64" w14:textId="77777777" w:rsidR="0046798B" w:rsidRDefault="00903B5C">
            <w:pPr>
              <w:pStyle w:val="TableParagraph"/>
              <w:spacing w:before="130"/>
              <w:ind w:left="115"/>
              <w:rPr>
                <w:b/>
                <w:sz w:val="20"/>
              </w:rPr>
            </w:pPr>
            <w:r>
              <w:rPr>
                <w:b/>
                <w:sz w:val="20"/>
              </w:rPr>
              <w:t>hlhpmd</w:t>
            </w:r>
          </w:p>
        </w:tc>
        <w:tc>
          <w:tcPr>
            <w:tcW w:w="1596" w:type="dxa"/>
          </w:tcPr>
          <w:p w14:paraId="1024109A" w14:textId="77777777" w:rsidR="0046798B" w:rsidRDefault="00903B5C">
            <w:pPr>
              <w:pStyle w:val="TableParagraph"/>
              <w:spacing w:before="38"/>
              <w:ind w:left="114" w:right="446"/>
              <w:rPr>
                <w:sz w:val="20"/>
              </w:rPr>
            </w:pPr>
            <w:r>
              <w:rPr>
                <w:sz w:val="20"/>
              </w:rPr>
              <w:t>Licensing of health plan medical directors</w:t>
            </w:r>
          </w:p>
        </w:tc>
        <w:tc>
          <w:tcPr>
            <w:tcW w:w="1285" w:type="dxa"/>
          </w:tcPr>
          <w:p w14:paraId="529DA85B" w14:textId="77777777" w:rsidR="0046798B" w:rsidRDefault="0046798B">
            <w:pPr>
              <w:pStyle w:val="TableParagraph"/>
            </w:pPr>
          </w:p>
          <w:p w14:paraId="05507EAF" w14:textId="77777777" w:rsidR="0046798B" w:rsidRDefault="00903B5C">
            <w:pPr>
              <w:pStyle w:val="TableParagraph"/>
              <w:spacing w:before="130"/>
              <w:ind w:left="114"/>
              <w:rPr>
                <w:sz w:val="20"/>
              </w:rPr>
            </w:pPr>
            <w:r>
              <w:rPr>
                <w:sz w:val="20"/>
              </w:rPr>
              <w:t>2000–2010</w:t>
            </w:r>
          </w:p>
        </w:tc>
        <w:tc>
          <w:tcPr>
            <w:tcW w:w="3421" w:type="dxa"/>
          </w:tcPr>
          <w:p w14:paraId="7C18A7F5" w14:textId="77777777" w:rsidR="0046798B" w:rsidRDefault="0046798B">
            <w:pPr>
              <w:pStyle w:val="TableParagraph"/>
              <w:spacing w:before="3"/>
              <w:rPr>
                <w:sz w:val="23"/>
              </w:rPr>
            </w:pPr>
          </w:p>
          <w:p w14:paraId="58F05E89" w14:textId="77777777" w:rsidR="0046798B" w:rsidRDefault="00903B5C">
            <w:pPr>
              <w:pStyle w:val="TableParagraph"/>
              <w:spacing w:before="1"/>
              <w:ind w:left="114" w:right="655"/>
              <w:rPr>
                <w:sz w:val="20"/>
              </w:rPr>
            </w:pPr>
            <w:r>
              <w:rPr>
                <w:sz w:val="20"/>
              </w:rPr>
              <w:t>Licensing of health plan medical directors (0 = no, 1 = yes)</w:t>
            </w:r>
          </w:p>
        </w:tc>
        <w:tc>
          <w:tcPr>
            <w:tcW w:w="6482" w:type="dxa"/>
          </w:tcPr>
          <w:p w14:paraId="1867836A" w14:textId="77777777" w:rsidR="0046798B" w:rsidRDefault="00903B5C">
            <w:pPr>
              <w:pStyle w:val="TableParagraph"/>
              <w:spacing w:before="15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28F6B7A" w14:textId="77777777">
        <w:trPr>
          <w:trHeight w:val="1235"/>
        </w:trPr>
        <w:tc>
          <w:tcPr>
            <w:tcW w:w="1711" w:type="dxa"/>
          </w:tcPr>
          <w:p w14:paraId="0839087C" w14:textId="77777777" w:rsidR="0046798B" w:rsidRDefault="0046798B">
            <w:pPr>
              <w:pStyle w:val="TableParagraph"/>
            </w:pPr>
          </w:p>
          <w:p w14:paraId="0F07364C" w14:textId="77777777" w:rsidR="0046798B" w:rsidRDefault="0046798B">
            <w:pPr>
              <w:pStyle w:val="TableParagraph"/>
              <w:spacing w:before="3"/>
              <w:rPr>
                <w:sz w:val="21"/>
              </w:rPr>
            </w:pPr>
          </w:p>
          <w:p w14:paraId="22BAAC65" w14:textId="77777777" w:rsidR="0046798B" w:rsidRDefault="00903B5C">
            <w:pPr>
              <w:pStyle w:val="TableParagraph"/>
              <w:spacing w:before="1"/>
              <w:ind w:left="115"/>
              <w:rPr>
                <w:b/>
                <w:sz w:val="20"/>
              </w:rPr>
            </w:pPr>
            <w:r>
              <w:rPr>
                <w:b/>
                <w:sz w:val="20"/>
              </w:rPr>
              <w:t>hmbalc</w:t>
            </w:r>
          </w:p>
        </w:tc>
        <w:tc>
          <w:tcPr>
            <w:tcW w:w="1596" w:type="dxa"/>
          </w:tcPr>
          <w:p w14:paraId="6E746DAA" w14:textId="77777777" w:rsidR="0046798B" w:rsidRDefault="00903B5C">
            <w:pPr>
              <w:pStyle w:val="TableParagraph"/>
              <w:spacing w:before="38"/>
              <w:ind w:left="114" w:right="105"/>
              <w:rPr>
                <w:sz w:val="20"/>
              </w:rPr>
            </w:pPr>
            <w:r>
              <w:rPr>
                <w:sz w:val="20"/>
              </w:rPr>
              <w:t>Health insurance benefit mandates: alcoholism/subst ance abuse</w:t>
            </w:r>
          </w:p>
        </w:tc>
        <w:tc>
          <w:tcPr>
            <w:tcW w:w="1285" w:type="dxa"/>
          </w:tcPr>
          <w:p w14:paraId="039FFDD6" w14:textId="77777777" w:rsidR="0046798B" w:rsidRDefault="0046798B">
            <w:pPr>
              <w:pStyle w:val="TableParagraph"/>
            </w:pPr>
          </w:p>
          <w:p w14:paraId="2BD99D96" w14:textId="77777777" w:rsidR="0046798B" w:rsidRDefault="0046798B">
            <w:pPr>
              <w:pStyle w:val="TableParagraph"/>
              <w:spacing w:before="3"/>
              <w:rPr>
                <w:sz w:val="21"/>
              </w:rPr>
            </w:pPr>
          </w:p>
          <w:p w14:paraId="567F48BA" w14:textId="77777777" w:rsidR="0046798B" w:rsidRDefault="00903B5C">
            <w:pPr>
              <w:pStyle w:val="TableParagraph"/>
              <w:spacing w:before="1"/>
              <w:ind w:left="114"/>
              <w:rPr>
                <w:sz w:val="20"/>
              </w:rPr>
            </w:pPr>
            <w:r>
              <w:rPr>
                <w:sz w:val="20"/>
              </w:rPr>
              <w:t>2000–2016</w:t>
            </w:r>
          </w:p>
        </w:tc>
        <w:tc>
          <w:tcPr>
            <w:tcW w:w="3421" w:type="dxa"/>
          </w:tcPr>
          <w:p w14:paraId="6C15DB1D" w14:textId="77777777" w:rsidR="0046798B" w:rsidRDefault="0046798B">
            <w:pPr>
              <w:pStyle w:val="TableParagraph"/>
              <w:spacing w:before="3"/>
              <w:rPr>
                <w:sz w:val="23"/>
              </w:rPr>
            </w:pPr>
          </w:p>
          <w:p w14:paraId="1D83D5AF" w14:textId="77777777" w:rsidR="0046798B" w:rsidRDefault="00903B5C">
            <w:pPr>
              <w:pStyle w:val="TableParagraph"/>
              <w:spacing w:before="1"/>
              <w:ind w:left="114" w:right="142"/>
              <w:rPr>
                <w:sz w:val="20"/>
              </w:rPr>
            </w:pPr>
            <w:r>
              <w:rPr>
                <w:sz w:val="20"/>
              </w:rPr>
              <w:t>Health insurance benefit mandates: alcoholism/substance abuse? (0 = no, 1</w:t>
            </w:r>
          </w:p>
          <w:p w14:paraId="65A94EA6" w14:textId="77777777" w:rsidR="0046798B" w:rsidRDefault="00903B5C">
            <w:pPr>
              <w:pStyle w:val="TableParagraph"/>
              <w:ind w:left="114"/>
              <w:rPr>
                <w:sz w:val="20"/>
              </w:rPr>
            </w:pPr>
            <w:r>
              <w:rPr>
                <w:sz w:val="20"/>
              </w:rPr>
              <w:t>= yes)</w:t>
            </w:r>
          </w:p>
        </w:tc>
        <w:tc>
          <w:tcPr>
            <w:tcW w:w="6482" w:type="dxa"/>
          </w:tcPr>
          <w:p w14:paraId="2B3B195D" w14:textId="77777777" w:rsidR="0046798B" w:rsidRDefault="0046798B">
            <w:pPr>
              <w:pStyle w:val="TableParagraph"/>
              <w:spacing w:before="3"/>
              <w:rPr>
                <w:sz w:val="23"/>
              </w:rPr>
            </w:pPr>
          </w:p>
          <w:p w14:paraId="1548BD36"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4F32CF0" w14:textId="77777777">
        <w:trPr>
          <w:trHeight w:val="1005"/>
        </w:trPr>
        <w:tc>
          <w:tcPr>
            <w:tcW w:w="1711" w:type="dxa"/>
          </w:tcPr>
          <w:p w14:paraId="731AFD43" w14:textId="77777777" w:rsidR="0046798B" w:rsidRDefault="0046798B">
            <w:pPr>
              <w:pStyle w:val="TableParagraph"/>
            </w:pPr>
          </w:p>
          <w:p w14:paraId="6D72DA4A" w14:textId="77777777" w:rsidR="0046798B" w:rsidRDefault="00903B5C">
            <w:pPr>
              <w:pStyle w:val="TableParagraph"/>
              <w:spacing w:before="135"/>
              <w:ind w:left="115"/>
              <w:rPr>
                <w:b/>
                <w:sz w:val="20"/>
              </w:rPr>
            </w:pPr>
            <w:r>
              <w:rPr>
                <w:b/>
                <w:sz w:val="20"/>
              </w:rPr>
              <w:t>hmbalz</w:t>
            </w:r>
          </w:p>
        </w:tc>
        <w:tc>
          <w:tcPr>
            <w:tcW w:w="1596" w:type="dxa"/>
          </w:tcPr>
          <w:p w14:paraId="6A2D38E6" w14:textId="77777777" w:rsidR="0046798B" w:rsidRDefault="00903B5C">
            <w:pPr>
              <w:pStyle w:val="TableParagraph"/>
              <w:spacing w:before="45" w:line="237" w:lineRule="auto"/>
              <w:ind w:left="114" w:right="105"/>
              <w:rPr>
                <w:sz w:val="20"/>
              </w:rPr>
            </w:pPr>
            <w:r>
              <w:rPr>
                <w:sz w:val="20"/>
              </w:rPr>
              <w:t>Health insurance benefit mandates: Alzheimer’s</w:t>
            </w:r>
          </w:p>
        </w:tc>
        <w:tc>
          <w:tcPr>
            <w:tcW w:w="1285" w:type="dxa"/>
          </w:tcPr>
          <w:p w14:paraId="63ECBEAC" w14:textId="77777777" w:rsidR="0046798B" w:rsidRDefault="0046798B">
            <w:pPr>
              <w:pStyle w:val="TableParagraph"/>
            </w:pPr>
          </w:p>
          <w:p w14:paraId="0C5BB4A3" w14:textId="77777777" w:rsidR="0046798B" w:rsidRDefault="00903B5C">
            <w:pPr>
              <w:pStyle w:val="TableParagraph"/>
              <w:spacing w:before="135"/>
              <w:ind w:left="114"/>
              <w:rPr>
                <w:sz w:val="20"/>
              </w:rPr>
            </w:pPr>
            <w:r>
              <w:rPr>
                <w:sz w:val="20"/>
              </w:rPr>
              <w:t>2006–2008</w:t>
            </w:r>
          </w:p>
        </w:tc>
        <w:tc>
          <w:tcPr>
            <w:tcW w:w="3421" w:type="dxa"/>
          </w:tcPr>
          <w:p w14:paraId="352D9720" w14:textId="77777777" w:rsidR="0046798B" w:rsidRDefault="0046798B">
            <w:pPr>
              <w:pStyle w:val="TableParagraph"/>
              <w:spacing w:before="1"/>
              <w:rPr>
                <w:sz w:val="24"/>
              </w:rPr>
            </w:pPr>
          </w:p>
          <w:p w14:paraId="310B6C29" w14:textId="77777777" w:rsidR="0046798B" w:rsidRDefault="00903B5C">
            <w:pPr>
              <w:pStyle w:val="TableParagraph"/>
              <w:spacing w:line="235" w:lineRule="auto"/>
              <w:ind w:left="114" w:right="461"/>
              <w:rPr>
                <w:sz w:val="20"/>
              </w:rPr>
            </w:pPr>
            <w:r>
              <w:rPr>
                <w:sz w:val="20"/>
              </w:rPr>
              <w:t>Health insurance benefit mandates: Alzheimer’s? (0 = no, 1 = yes)</w:t>
            </w:r>
          </w:p>
        </w:tc>
        <w:tc>
          <w:tcPr>
            <w:tcW w:w="6482" w:type="dxa"/>
          </w:tcPr>
          <w:p w14:paraId="1E4129F4" w14:textId="77777777" w:rsidR="0046798B" w:rsidRDefault="00903B5C">
            <w:pPr>
              <w:pStyle w:val="TableParagraph"/>
              <w:spacing w:before="160" w:line="237" w:lineRule="auto"/>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8894C9D" w14:textId="77777777">
        <w:trPr>
          <w:trHeight w:val="1235"/>
        </w:trPr>
        <w:tc>
          <w:tcPr>
            <w:tcW w:w="1711" w:type="dxa"/>
          </w:tcPr>
          <w:p w14:paraId="400FCEFA" w14:textId="77777777" w:rsidR="0046798B" w:rsidRDefault="0046798B">
            <w:pPr>
              <w:pStyle w:val="TableParagraph"/>
            </w:pPr>
          </w:p>
          <w:p w14:paraId="398413DA" w14:textId="77777777" w:rsidR="0046798B" w:rsidRDefault="0046798B">
            <w:pPr>
              <w:pStyle w:val="TableParagraph"/>
              <w:spacing w:before="8"/>
              <w:rPr>
                <w:sz w:val="21"/>
              </w:rPr>
            </w:pPr>
          </w:p>
          <w:p w14:paraId="1AFA7388" w14:textId="77777777" w:rsidR="0046798B" w:rsidRDefault="00903B5C">
            <w:pPr>
              <w:pStyle w:val="TableParagraph"/>
              <w:spacing w:before="1"/>
              <w:ind w:left="115"/>
              <w:rPr>
                <w:b/>
                <w:sz w:val="20"/>
              </w:rPr>
            </w:pPr>
            <w:r>
              <w:rPr>
                <w:b/>
                <w:sz w:val="20"/>
              </w:rPr>
              <w:t>hmbas</w:t>
            </w:r>
          </w:p>
        </w:tc>
        <w:tc>
          <w:tcPr>
            <w:tcW w:w="1596" w:type="dxa"/>
          </w:tcPr>
          <w:p w14:paraId="152EDA03" w14:textId="77777777" w:rsidR="0046798B" w:rsidRDefault="00903B5C">
            <w:pPr>
              <w:pStyle w:val="TableParagraph"/>
              <w:spacing w:before="43"/>
              <w:ind w:left="114" w:right="105"/>
              <w:rPr>
                <w:sz w:val="20"/>
              </w:rPr>
            </w:pPr>
            <w:r>
              <w:rPr>
                <w:sz w:val="20"/>
              </w:rPr>
              <w:t>Health insurance benefit mandates: ambulatory surgery</w:t>
            </w:r>
          </w:p>
        </w:tc>
        <w:tc>
          <w:tcPr>
            <w:tcW w:w="1285" w:type="dxa"/>
          </w:tcPr>
          <w:p w14:paraId="416E6202" w14:textId="77777777" w:rsidR="0046798B" w:rsidRDefault="0046798B">
            <w:pPr>
              <w:pStyle w:val="TableParagraph"/>
            </w:pPr>
          </w:p>
          <w:p w14:paraId="42B2B40D" w14:textId="77777777" w:rsidR="0046798B" w:rsidRDefault="0046798B">
            <w:pPr>
              <w:pStyle w:val="TableParagraph"/>
              <w:spacing w:before="8"/>
              <w:rPr>
                <w:sz w:val="21"/>
              </w:rPr>
            </w:pPr>
          </w:p>
          <w:p w14:paraId="5CB241F2" w14:textId="77777777" w:rsidR="0046798B" w:rsidRDefault="00903B5C">
            <w:pPr>
              <w:pStyle w:val="TableParagraph"/>
              <w:spacing w:before="1"/>
              <w:ind w:left="114"/>
              <w:rPr>
                <w:sz w:val="20"/>
              </w:rPr>
            </w:pPr>
            <w:r>
              <w:rPr>
                <w:sz w:val="20"/>
              </w:rPr>
              <w:t>2000–2016</w:t>
            </w:r>
          </w:p>
        </w:tc>
        <w:tc>
          <w:tcPr>
            <w:tcW w:w="3421" w:type="dxa"/>
          </w:tcPr>
          <w:p w14:paraId="3D98B7FB" w14:textId="77777777" w:rsidR="0046798B" w:rsidRDefault="0046798B">
            <w:pPr>
              <w:pStyle w:val="TableParagraph"/>
            </w:pPr>
          </w:p>
          <w:p w14:paraId="26D6F492" w14:textId="77777777" w:rsidR="0046798B" w:rsidRDefault="00903B5C">
            <w:pPr>
              <w:pStyle w:val="TableParagraph"/>
              <w:spacing w:before="135"/>
              <w:ind w:left="114" w:right="196"/>
              <w:rPr>
                <w:sz w:val="20"/>
              </w:rPr>
            </w:pPr>
            <w:r>
              <w:rPr>
                <w:sz w:val="20"/>
              </w:rPr>
              <w:t>Health insurance benefit mandates: Ambulatory surgery? (0 = no, 1 = yes)</w:t>
            </w:r>
          </w:p>
        </w:tc>
        <w:tc>
          <w:tcPr>
            <w:tcW w:w="6482" w:type="dxa"/>
          </w:tcPr>
          <w:p w14:paraId="1F715D75" w14:textId="77777777" w:rsidR="0046798B" w:rsidRDefault="0046798B">
            <w:pPr>
              <w:pStyle w:val="TableParagraph"/>
              <w:spacing w:before="8"/>
              <w:rPr>
                <w:sz w:val="23"/>
              </w:rPr>
            </w:pPr>
          </w:p>
          <w:p w14:paraId="5B1B11DE"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63C1295" w14:textId="77777777">
        <w:trPr>
          <w:trHeight w:val="775"/>
        </w:trPr>
        <w:tc>
          <w:tcPr>
            <w:tcW w:w="1711" w:type="dxa"/>
          </w:tcPr>
          <w:p w14:paraId="064CEA25" w14:textId="77777777" w:rsidR="0046798B" w:rsidRDefault="0046798B">
            <w:pPr>
              <w:pStyle w:val="TableParagraph"/>
              <w:spacing w:before="8"/>
              <w:rPr>
                <w:sz w:val="23"/>
              </w:rPr>
            </w:pPr>
          </w:p>
          <w:p w14:paraId="4FBF4F61" w14:textId="77777777" w:rsidR="0046798B" w:rsidRDefault="00903B5C">
            <w:pPr>
              <w:pStyle w:val="TableParagraph"/>
              <w:spacing w:before="1"/>
              <w:ind w:left="115"/>
              <w:rPr>
                <w:b/>
                <w:sz w:val="20"/>
              </w:rPr>
            </w:pPr>
            <w:r>
              <w:rPr>
                <w:b/>
                <w:sz w:val="20"/>
              </w:rPr>
              <w:t>hmspec</w:t>
            </w:r>
          </w:p>
        </w:tc>
        <w:tc>
          <w:tcPr>
            <w:tcW w:w="1596" w:type="dxa"/>
          </w:tcPr>
          <w:p w14:paraId="79551014" w14:textId="77777777" w:rsidR="0046798B" w:rsidRDefault="00903B5C">
            <w:pPr>
              <w:pStyle w:val="TableParagraph"/>
              <w:spacing w:before="43"/>
              <w:ind w:left="114" w:right="169"/>
              <w:rPr>
                <w:sz w:val="20"/>
              </w:rPr>
            </w:pPr>
            <w:r>
              <w:rPr>
                <w:sz w:val="20"/>
              </w:rPr>
              <w:t>Mandates direct access to providers</w:t>
            </w:r>
          </w:p>
        </w:tc>
        <w:tc>
          <w:tcPr>
            <w:tcW w:w="1285" w:type="dxa"/>
          </w:tcPr>
          <w:p w14:paraId="4F56D948" w14:textId="77777777" w:rsidR="0046798B" w:rsidRDefault="0046798B">
            <w:pPr>
              <w:pStyle w:val="TableParagraph"/>
              <w:spacing w:before="8"/>
              <w:rPr>
                <w:sz w:val="23"/>
              </w:rPr>
            </w:pPr>
          </w:p>
          <w:p w14:paraId="51DA8F79" w14:textId="77777777" w:rsidR="0046798B" w:rsidRDefault="00903B5C">
            <w:pPr>
              <w:pStyle w:val="TableParagraph"/>
              <w:spacing w:before="1"/>
              <w:ind w:left="114"/>
              <w:rPr>
                <w:sz w:val="20"/>
              </w:rPr>
            </w:pPr>
            <w:r>
              <w:rPr>
                <w:sz w:val="20"/>
              </w:rPr>
              <w:t>2000–2010</w:t>
            </w:r>
          </w:p>
        </w:tc>
        <w:tc>
          <w:tcPr>
            <w:tcW w:w="3421" w:type="dxa"/>
          </w:tcPr>
          <w:p w14:paraId="48BEF983" w14:textId="77777777" w:rsidR="0046798B" w:rsidRDefault="00903B5C">
            <w:pPr>
              <w:pStyle w:val="TableParagraph"/>
              <w:spacing w:before="158"/>
              <w:ind w:left="114"/>
              <w:rPr>
                <w:sz w:val="20"/>
              </w:rPr>
            </w:pPr>
            <w:r>
              <w:rPr>
                <w:sz w:val="20"/>
              </w:rPr>
              <w:t>Mandates direct access to providers? (0</w:t>
            </w:r>
          </w:p>
          <w:p w14:paraId="6176E749" w14:textId="77777777" w:rsidR="0046798B" w:rsidRDefault="00903B5C">
            <w:pPr>
              <w:pStyle w:val="TableParagraph"/>
              <w:ind w:left="114"/>
              <w:rPr>
                <w:sz w:val="20"/>
              </w:rPr>
            </w:pPr>
            <w:r>
              <w:rPr>
                <w:sz w:val="20"/>
              </w:rPr>
              <w:t>= no, 1 = yes)</w:t>
            </w:r>
          </w:p>
        </w:tc>
        <w:tc>
          <w:tcPr>
            <w:tcW w:w="6482" w:type="dxa"/>
          </w:tcPr>
          <w:p w14:paraId="2993CD6A"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69A1A502" w14:textId="77777777" w:rsidR="0046798B" w:rsidRDefault="0046798B">
      <w:pPr>
        <w:rPr>
          <w:sz w:val="20"/>
        </w:rPr>
        <w:sectPr w:rsidR="0046798B">
          <w:pgSz w:w="15840" w:h="12240" w:orient="landscape"/>
          <w:pgMar w:top="1220" w:right="300" w:bottom="980" w:left="820" w:header="730" w:footer="787" w:gutter="0"/>
          <w:cols w:space="720"/>
        </w:sectPr>
      </w:pPr>
    </w:p>
    <w:p w14:paraId="7944377B"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65627AC3" w14:textId="77777777">
        <w:trPr>
          <w:trHeight w:val="1005"/>
        </w:trPr>
        <w:tc>
          <w:tcPr>
            <w:tcW w:w="1711" w:type="dxa"/>
          </w:tcPr>
          <w:p w14:paraId="49117041" w14:textId="77777777" w:rsidR="0046798B" w:rsidRDefault="0046798B">
            <w:pPr>
              <w:pStyle w:val="TableParagraph"/>
            </w:pPr>
          </w:p>
          <w:p w14:paraId="3D0C5025" w14:textId="77777777" w:rsidR="0046798B" w:rsidRDefault="00903B5C">
            <w:pPr>
              <w:pStyle w:val="TableParagraph"/>
              <w:spacing w:before="135"/>
              <w:ind w:left="115"/>
              <w:rPr>
                <w:b/>
                <w:sz w:val="20"/>
              </w:rPr>
            </w:pPr>
            <w:r>
              <w:rPr>
                <w:b/>
                <w:sz w:val="20"/>
              </w:rPr>
              <w:t>hsgrr</w:t>
            </w:r>
          </w:p>
        </w:tc>
        <w:tc>
          <w:tcPr>
            <w:tcW w:w="1596" w:type="dxa"/>
          </w:tcPr>
          <w:p w14:paraId="1C6B6FD0" w14:textId="77777777" w:rsidR="0046798B" w:rsidRDefault="0046798B">
            <w:pPr>
              <w:pStyle w:val="TableParagraph"/>
              <w:spacing w:before="9"/>
              <w:rPr>
                <w:sz w:val="23"/>
              </w:rPr>
            </w:pPr>
          </w:p>
          <w:p w14:paraId="60AD4644" w14:textId="77777777" w:rsidR="0046798B" w:rsidRDefault="00903B5C">
            <w:pPr>
              <w:pStyle w:val="TableParagraph"/>
              <w:ind w:left="114"/>
              <w:rPr>
                <w:sz w:val="20"/>
              </w:rPr>
            </w:pPr>
            <w:r>
              <w:rPr>
                <w:sz w:val="20"/>
              </w:rPr>
              <w:t>Small-group rate review</w:t>
            </w:r>
          </w:p>
        </w:tc>
        <w:tc>
          <w:tcPr>
            <w:tcW w:w="1285" w:type="dxa"/>
          </w:tcPr>
          <w:p w14:paraId="726D9862" w14:textId="77777777" w:rsidR="0046798B" w:rsidRDefault="0046798B">
            <w:pPr>
              <w:pStyle w:val="TableParagraph"/>
            </w:pPr>
          </w:p>
          <w:p w14:paraId="717BE734" w14:textId="77777777" w:rsidR="0046798B" w:rsidRDefault="00903B5C">
            <w:pPr>
              <w:pStyle w:val="TableParagraph"/>
              <w:spacing w:before="135"/>
              <w:ind w:left="114"/>
              <w:rPr>
                <w:sz w:val="20"/>
              </w:rPr>
            </w:pPr>
            <w:r>
              <w:rPr>
                <w:sz w:val="20"/>
              </w:rPr>
              <w:t>2000–2016</w:t>
            </w:r>
          </w:p>
        </w:tc>
        <w:tc>
          <w:tcPr>
            <w:tcW w:w="3421" w:type="dxa"/>
          </w:tcPr>
          <w:p w14:paraId="39619C9E" w14:textId="77777777" w:rsidR="0046798B" w:rsidRDefault="00903B5C">
            <w:pPr>
              <w:pStyle w:val="TableParagraph"/>
              <w:spacing w:before="43"/>
              <w:ind w:left="114" w:right="153"/>
              <w:rPr>
                <w:sz w:val="20"/>
              </w:rPr>
            </w:pPr>
            <w:r>
              <w:rPr>
                <w:sz w:val="20"/>
              </w:rPr>
              <w:t>Small-group rate review (0 = file and use or no review, 0.5 = prior approval for only some products/companies, 1 = prior approval)</w:t>
            </w:r>
          </w:p>
        </w:tc>
        <w:tc>
          <w:tcPr>
            <w:tcW w:w="6482" w:type="dxa"/>
          </w:tcPr>
          <w:p w14:paraId="70C2346F"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AA16554" w14:textId="77777777">
        <w:trPr>
          <w:trHeight w:val="1005"/>
        </w:trPr>
        <w:tc>
          <w:tcPr>
            <w:tcW w:w="1711" w:type="dxa"/>
          </w:tcPr>
          <w:p w14:paraId="0E0C6F2C" w14:textId="77777777" w:rsidR="0046798B" w:rsidRDefault="0046798B">
            <w:pPr>
              <w:pStyle w:val="TableParagraph"/>
            </w:pPr>
          </w:p>
          <w:p w14:paraId="0E11A6C8" w14:textId="77777777" w:rsidR="0046798B" w:rsidRDefault="00903B5C">
            <w:pPr>
              <w:pStyle w:val="TableParagraph"/>
              <w:spacing w:before="135"/>
              <w:ind w:left="115"/>
              <w:rPr>
                <w:b/>
                <w:sz w:val="20"/>
              </w:rPr>
            </w:pPr>
            <w:r>
              <w:rPr>
                <w:b/>
                <w:sz w:val="20"/>
              </w:rPr>
              <w:t>hsrp</w:t>
            </w:r>
          </w:p>
        </w:tc>
        <w:tc>
          <w:tcPr>
            <w:tcW w:w="1596" w:type="dxa"/>
          </w:tcPr>
          <w:p w14:paraId="5637F82F" w14:textId="77777777" w:rsidR="0046798B" w:rsidRDefault="00903B5C">
            <w:pPr>
              <w:pStyle w:val="TableParagraph"/>
              <w:spacing w:before="43"/>
              <w:ind w:left="114" w:right="580"/>
              <w:rPr>
                <w:sz w:val="20"/>
              </w:rPr>
            </w:pPr>
            <w:r>
              <w:rPr>
                <w:sz w:val="20"/>
              </w:rPr>
              <w:t>Standing referrals to specialists mandated</w:t>
            </w:r>
          </w:p>
        </w:tc>
        <w:tc>
          <w:tcPr>
            <w:tcW w:w="1285" w:type="dxa"/>
          </w:tcPr>
          <w:p w14:paraId="3C38FF63" w14:textId="77777777" w:rsidR="0046798B" w:rsidRDefault="0046798B">
            <w:pPr>
              <w:pStyle w:val="TableParagraph"/>
            </w:pPr>
          </w:p>
          <w:p w14:paraId="71AA4A69" w14:textId="77777777" w:rsidR="0046798B" w:rsidRDefault="00903B5C">
            <w:pPr>
              <w:pStyle w:val="TableParagraph"/>
              <w:spacing w:before="135"/>
              <w:ind w:left="114"/>
              <w:rPr>
                <w:sz w:val="20"/>
              </w:rPr>
            </w:pPr>
            <w:r>
              <w:rPr>
                <w:sz w:val="20"/>
              </w:rPr>
              <w:t>2000–2010</w:t>
            </w:r>
          </w:p>
        </w:tc>
        <w:tc>
          <w:tcPr>
            <w:tcW w:w="3421" w:type="dxa"/>
          </w:tcPr>
          <w:p w14:paraId="2CF588FE" w14:textId="77777777" w:rsidR="0046798B" w:rsidRDefault="0046798B">
            <w:pPr>
              <w:pStyle w:val="TableParagraph"/>
              <w:spacing w:before="8"/>
              <w:rPr>
                <w:sz w:val="23"/>
              </w:rPr>
            </w:pPr>
          </w:p>
          <w:p w14:paraId="62955303" w14:textId="77777777" w:rsidR="0046798B" w:rsidRDefault="00903B5C">
            <w:pPr>
              <w:pStyle w:val="TableParagraph"/>
              <w:spacing w:before="1"/>
              <w:ind w:left="114" w:right="772"/>
              <w:rPr>
                <w:sz w:val="20"/>
              </w:rPr>
            </w:pPr>
            <w:r>
              <w:rPr>
                <w:sz w:val="20"/>
              </w:rPr>
              <w:t>Standing referrals to specialists mandated? (0 = no, 1 = yes)</w:t>
            </w:r>
          </w:p>
        </w:tc>
        <w:tc>
          <w:tcPr>
            <w:tcW w:w="6482" w:type="dxa"/>
          </w:tcPr>
          <w:p w14:paraId="159E72A8"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8FD98D0" w14:textId="77777777">
        <w:trPr>
          <w:trHeight w:val="1700"/>
        </w:trPr>
        <w:tc>
          <w:tcPr>
            <w:tcW w:w="1711" w:type="dxa"/>
          </w:tcPr>
          <w:p w14:paraId="1CB9409A" w14:textId="77777777" w:rsidR="0046798B" w:rsidRDefault="0046798B">
            <w:pPr>
              <w:pStyle w:val="TableParagraph"/>
            </w:pPr>
          </w:p>
          <w:p w14:paraId="09F01BCE" w14:textId="77777777" w:rsidR="0046798B" w:rsidRDefault="0046798B">
            <w:pPr>
              <w:pStyle w:val="TableParagraph"/>
            </w:pPr>
          </w:p>
          <w:p w14:paraId="5B6768BA" w14:textId="77777777" w:rsidR="0046798B" w:rsidRDefault="0046798B">
            <w:pPr>
              <w:pStyle w:val="TableParagraph"/>
              <w:spacing w:before="9"/>
              <w:rPr>
                <w:sz w:val="19"/>
              </w:rPr>
            </w:pPr>
          </w:p>
          <w:p w14:paraId="29299EEF" w14:textId="77777777" w:rsidR="0046798B" w:rsidRDefault="00903B5C">
            <w:pPr>
              <w:pStyle w:val="TableParagraph"/>
              <w:ind w:left="115"/>
              <w:rPr>
                <w:b/>
                <w:sz w:val="20"/>
              </w:rPr>
            </w:pPr>
            <w:r>
              <w:rPr>
                <w:b/>
                <w:sz w:val="20"/>
              </w:rPr>
              <w:t>hcsf</w:t>
            </w:r>
          </w:p>
        </w:tc>
        <w:tc>
          <w:tcPr>
            <w:tcW w:w="1596" w:type="dxa"/>
          </w:tcPr>
          <w:p w14:paraId="3CC2F7DD" w14:textId="77777777" w:rsidR="0046798B" w:rsidRDefault="00903B5C">
            <w:pPr>
              <w:pStyle w:val="TableParagraph"/>
              <w:spacing w:before="43"/>
              <w:ind w:left="114"/>
              <w:rPr>
                <w:sz w:val="20"/>
              </w:rPr>
            </w:pPr>
            <w:r>
              <w:rPr>
                <w:sz w:val="20"/>
              </w:rPr>
              <w:t>COBRA</w:t>
            </w:r>
          </w:p>
          <w:p w14:paraId="1EABA63D" w14:textId="77777777" w:rsidR="0046798B" w:rsidRDefault="00903B5C">
            <w:pPr>
              <w:pStyle w:val="TableParagraph"/>
              <w:ind w:left="114" w:right="274"/>
              <w:rPr>
                <w:sz w:val="20"/>
              </w:rPr>
            </w:pPr>
            <w:r>
              <w:rPr>
                <w:sz w:val="20"/>
              </w:rPr>
              <w:t>continuation coverage expanded to firms with less than twenty employees</w:t>
            </w:r>
          </w:p>
        </w:tc>
        <w:tc>
          <w:tcPr>
            <w:tcW w:w="1285" w:type="dxa"/>
          </w:tcPr>
          <w:p w14:paraId="3A153A8B" w14:textId="77777777" w:rsidR="0046798B" w:rsidRDefault="0046798B">
            <w:pPr>
              <w:pStyle w:val="TableParagraph"/>
            </w:pPr>
          </w:p>
          <w:p w14:paraId="5B73ABCE" w14:textId="77777777" w:rsidR="0046798B" w:rsidRDefault="0046798B">
            <w:pPr>
              <w:pStyle w:val="TableParagraph"/>
            </w:pPr>
          </w:p>
          <w:p w14:paraId="7F92D859" w14:textId="77777777" w:rsidR="0046798B" w:rsidRDefault="0046798B">
            <w:pPr>
              <w:pStyle w:val="TableParagraph"/>
              <w:spacing w:before="9"/>
              <w:rPr>
                <w:sz w:val="19"/>
              </w:rPr>
            </w:pPr>
          </w:p>
          <w:p w14:paraId="3F82B85B" w14:textId="77777777" w:rsidR="0046798B" w:rsidRDefault="00903B5C">
            <w:pPr>
              <w:pStyle w:val="TableParagraph"/>
              <w:ind w:left="114"/>
              <w:rPr>
                <w:sz w:val="20"/>
              </w:rPr>
            </w:pPr>
            <w:r>
              <w:rPr>
                <w:sz w:val="20"/>
              </w:rPr>
              <w:t>2000–2014</w:t>
            </w:r>
          </w:p>
        </w:tc>
        <w:tc>
          <w:tcPr>
            <w:tcW w:w="3421" w:type="dxa"/>
          </w:tcPr>
          <w:p w14:paraId="14E755CD" w14:textId="77777777" w:rsidR="0046798B" w:rsidRDefault="0046798B">
            <w:pPr>
              <w:pStyle w:val="TableParagraph"/>
              <w:spacing w:before="8"/>
              <w:rPr>
                <w:sz w:val="23"/>
              </w:rPr>
            </w:pPr>
          </w:p>
          <w:p w14:paraId="09D34BAE" w14:textId="77777777" w:rsidR="0046798B" w:rsidRDefault="00903B5C">
            <w:pPr>
              <w:pStyle w:val="TableParagraph"/>
              <w:spacing w:before="1"/>
              <w:ind w:left="114" w:right="88"/>
              <w:rPr>
                <w:sz w:val="20"/>
              </w:rPr>
            </w:pPr>
            <w:r>
              <w:rPr>
                <w:sz w:val="20"/>
              </w:rPr>
              <w:t>COBRA continuation coverage expanded to firms with less than twenty employees? (0 = no, 0.5 = employers have option of continuation or conversion, 1 = yes)</w:t>
            </w:r>
          </w:p>
        </w:tc>
        <w:tc>
          <w:tcPr>
            <w:tcW w:w="6482" w:type="dxa"/>
          </w:tcPr>
          <w:p w14:paraId="0A0AFA27" w14:textId="77777777" w:rsidR="0046798B" w:rsidRDefault="0046798B">
            <w:pPr>
              <w:pStyle w:val="TableParagraph"/>
            </w:pPr>
          </w:p>
          <w:p w14:paraId="622B5686" w14:textId="77777777" w:rsidR="0046798B" w:rsidRDefault="0046798B">
            <w:pPr>
              <w:pStyle w:val="TableParagraph"/>
              <w:spacing w:before="8"/>
              <w:rPr>
                <w:sz w:val="21"/>
              </w:rPr>
            </w:pPr>
          </w:p>
          <w:p w14:paraId="33A340E6" w14:textId="77777777" w:rsidR="0046798B" w:rsidRDefault="00903B5C">
            <w:pPr>
              <w:pStyle w:val="TableParagraph"/>
              <w:spacing w:before="1"/>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D247B44" w14:textId="77777777">
        <w:trPr>
          <w:trHeight w:val="1465"/>
        </w:trPr>
        <w:tc>
          <w:tcPr>
            <w:tcW w:w="1711" w:type="dxa"/>
          </w:tcPr>
          <w:p w14:paraId="53DC348F" w14:textId="77777777" w:rsidR="0046798B" w:rsidRDefault="0046798B">
            <w:pPr>
              <w:pStyle w:val="TableParagraph"/>
            </w:pPr>
          </w:p>
          <w:p w14:paraId="41D9395A" w14:textId="77777777" w:rsidR="0046798B" w:rsidRDefault="0046798B">
            <w:pPr>
              <w:pStyle w:val="TableParagraph"/>
              <w:spacing w:before="4"/>
              <w:rPr>
                <w:sz w:val="31"/>
              </w:rPr>
            </w:pPr>
          </w:p>
          <w:p w14:paraId="4579FEA6" w14:textId="77777777" w:rsidR="0046798B" w:rsidRDefault="00903B5C">
            <w:pPr>
              <w:pStyle w:val="TableParagraph"/>
              <w:ind w:left="115"/>
              <w:rPr>
                <w:b/>
                <w:sz w:val="20"/>
              </w:rPr>
            </w:pPr>
            <w:r>
              <w:rPr>
                <w:b/>
                <w:sz w:val="20"/>
              </w:rPr>
              <w:t>hgccrl</w:t>
            </w:r>
          </w:p>
        </w:tc>
        <w:tc>
          <w:tcPr>
            <w:tcW w:w="1596" w:type="dxa"/>
          </w:tcPr>
          <w:p w14:paraId="742AEEAF" w14:textId="77777777" w:rsidR="0046798B" w:rsidRDefault="00903B5C">
            <w:pPr>
              <w:pStyle w:val="TableParagraph"/>
              <w:spacing w:before="38"/>
              <w:ind w:left="114" w:right="202"/>
              <w:rPr>
                <w:sz w:val="20"/>
              </w:rPr>
            </w:pPr>
            <w:r>
              <w:rPr>
                <w:sz w:val="20"/>
              </w:rPr>
              <w:t>Mandatory group conversion coverage rating limits for small firm employees</w:t>
            </w:r>
          </w:p>
        </w:tc>
        <w:tc>
          <w:tcPr>
            <w:tcW w:w="1285" w:type="dxa"/>
          </w:tcPr>
          <w:p w14:paraId="2E139B3F" w14:textId="77777777" w:rsidR="0046798B" w:rsidRDefault="0046798B">
            <w:pPr>
              <w:pStyle w:val="TableParagraph"/>
            </w:pPr>
          </w:p>
          <w:p w14:paraId="41379A7A" w14:textId="77777777" w:rsidR="0046798B" w:rsidRDefault="0046798B">
            <w:pPr>
              <w:pStyle w:val="TableParagraph"/>
              <w:spacing w:before="4"/>
              <w:rPr>
                <w:sz w:val="21"/>
              </w:rPr>
            </w:pPr>
          </w:p>
          <w:p w14:paraId="0D2E04F4" w14:textId="77777777" w:rsidR="0046798B" w:rsidRDefault="00903B5C">
            <w:pPr>
              <w:pStyle w:val="TableParagraph"/>
              <w:ind w:left="114"/>
              <w:rPr>
                <w:sz w:val="20"/>
              </w:rPr>
            </w:pPr>
            <w:r>
              <w:rPr>
                <w:sz w:val="20"/>
              </w:rPr>
              <w:t>2000–2010</w:t>
            </w:r>
          </w:p>
        </w:tc>
        <w:tc>
          <w:tcPr>
            <w:tcW w:w="3421" w:type="dxa"/>
          </w:tcPr>
          <w:p w14:paraId="3980B4D2" w14:textId="77777777" w:rsidR="0046798B" w:rsidRDefault="00903B5C">
            <w:pPr>
              <w:pStyle w:val="TableParagraph"/>
              <w:spacing w:before="153"/>
              <w:ind w:left="114" w:right="146"/>
              <w:rPr>
                <w:sz w:val="20"/>
              </w:rPr>
            </w:pPr>
            <w:r>
              <w:rPr>
                <w:sz w:val="20"/>
              </w:rPr>
              <w:t>Mandatory group conversion coverage rating limits for small firm employees (0 = no, 0.1 = only in very limited cases, 0.5 = only for some policies, 1 = yes)</w:t>
            </w:r>
          </w:p>
        </w:tc>
        <w:tc>
          <w:tcPr>
            <w:tcW w:w="6482" w:type="dxa"/>
          </w:tcPr>
          <w:p w14:paraId="19A5AE43" w14:textId="77777777" w:rsidR="0046798B" w:rsidRDefault="0046798B">
            <w:pPr>
              <w:pStyle w:val="TableParagraph"/>
            </w:pPr>
          </w:p>
          <w:p w14:paraId="041B0F3E" w14:textId="77777777" w:rsidR="0046798B" w:rsidRDefault="00903B5C">
            <w:pPr>
              <w:pStyle w:val="TableParagraph"/>
              <w:spacing w:before="130"/>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6B1000B" w14:textId="77777777">
        <w:trPr>
          <w:trHeight w:val="2386"/>
        </w:trPr>
        <w:tc>
          <w:tcPr>
            <w:tcW w:w="1711" w:type="dxa"/>
          </w:tcPr>
          <w:p w14:paraId="1B99ACF5" w14:textId="77777777" w:rsidR="0046798B" w:rsidRDefault="0046798B">
            <w:pPr>
              <w:pStyle w:val="TableParagraph"/>
            </w:pPr>
          </w:p>
          <w:p w14:paraId="718CF0E4" w14:textId="77777777" w:rsidR="0046798B" w:rsidRDefault="0046798B">
            <w:pPr>
              <w:pStyle w:val="TableParagraph"/>
            </w:pPr>
          </w:p>
          <w:p w14:paraId="47025C61" w14:textId="77777777" w:rsidR="0046798B" w:rsidRDefault="0046798B">
            <w:pPr>
              <w:pStyle w:val="TableParagraph"/>
            </w:pPr>
          </w:p>
          <w:p w14:paraId="409ED153" w14:textId="77777777" w:rsidR="0046798B" w:rsidRDefault="0046798B">
            <w:pPr>
              <w:pStyle w:val="TableParagraph"/>
              <w:spacing w:before="4"/>
              <w:rPr>
                <w:sz w:val="27"/>
              </w:rPr>
            </w:pPr>
          </w:p>
          <w:p w14:paraId="27D1400F" w14:textId="77777777" w:rsidR="0046798B" w:rsidRDefault="00903B5C">
            <w:pPr>
              <w:pStyle w:val="TableParagraph"/>
              <w:ind w:left="115"/>
              <w:rPr>
                <w:b/>
                <w:sz w:val="20"/>
              </w:rPr>
            </w:pPr>
            <w:r>
              <w:rPr>
                <w:b/>
                <w:sz w:val="20"/>
              </w:rPr>
              <w:t>hgccsf</w:t>
            </w:r>
          </w:p>
        </w:tc>
        <w:tc>
          <w:tcPr>
            <w:tcW w:w="1596" w:type="dxa"/>
          </w:tcPr>
          <w:p w14:paraId="2193504D" w14:textId="77777777" w:rsidR="0046798B" w:rsidRDefault="0046798B">
            <w:pPr>
              <w:pStyle w:val="TableParagraph"/>
            </w:pPr>
          </w:p>
          <w:p w14:paraId="2B7C4D13" w14:textId="77777777" w:rsidR="0046798B" w:rsidRDefault="0046798B">
            <w:pPr>
              <w:pStyle w:val="TableParagraph"/>
              <w:spacing w:before="4"/>
              <w:rPr>
                <w:sz w:val="21"/>
              </w:rPr>
            </w:pPr>
          </w:p>
          <w:p w14:paraId="5AA5A718" w14:textId="77777777" w:rsidR="0046798B" w:rsidRDefault="00903B5C">
            <w:pPr>
              <w:pStyle w:val="TableParagraph"/>
              <w:ind w:left="114" w:right="447"/>
              <w:rPr>
                <w:sz w:val="20"/>
              </w:rPr>
            </w:pPr>
            <w:r>
              <w:rPr>
                <w:sz w:val="20"/>
              </w:rPr>
              <w:t>Mandatory group conversion coverage for small firm employees</w:t>
            </w:r>
          </w:p>
        </w:tc>
        <w:tc>
          <w:tcPr>
            <w:tcW w:w="1285" w:type="dxa"/>
          </w:tcPr>
          <w:p w14:paraId="200831B7" w14:textId="77777777" w:rsidR="0046798B" w:rsidRDefault="0046798B">
            <w:pPr>
              <w:pStyle w:val="TableParagraph"/>
            </w:pPr>
          </w:p>
          <w:p w14:paraId="756805D4" w14:textId="77777777" w:rsidR="0046798B" w:rsidRDefault="0046798B">
            <w:pPr>
              <w:pStyle w:val="TableParagraph"/>
            </w:pPr>
          </w:p>
          <w:p w14:paraId="32B499BE" w14:textId="77777777" w:rsidR="0046798B" w:rsidRDefault="0046798B">
            <w:pPr>
              <w:pStyle w:val="TableParagraph"/>
            </w:pPr>
          </w:p>
          <w:p w14:paraId="557ACE16" w14:textId="77777777" w:rsidR="0046798B" w:rsidRDefault="0046798B">
            <w:pPr>
              <w:pStyle w:val="TableParagraph"/>
              <w:spacing w:before="4"/>
              <w:rPr>
                <w:sz w:val="17"/>
              </w:rPr>
            </w:pPr>
          </w:p>
          <w:p w14:paraId="63410771" w14:textId="77777777" w:rsidR="0046798B" w:rsidRDefault="00903B5C">
            <w:pPr>
              <w:pStyle w:val="TableParagraph"/>
              <w:ind w:left="114"/>
              <w:rPr>
                <w:sz w:val="20"/>
              </w:rPr>
            </w:pPr>
            <w:r>
              <w:rPr>
                <w:sz w:val="20"/>
              </w:rPr>
              <w:t>2000–2010</w:t>
            </w:r>
          </w:p>
        </w:tc>
        <w:tc>
          <w:tcPr>
            <w:tcW w:w="3421" w:type="dxa"/>
          </w:tcPr>
          <w:p w14:paraId="50C77801" w14:textId="77777777" w:rsidR="0046798B" w:rsidRDefault="00903B5C">
            <w:pPr>
              <w:pStyle w:val="TableParagraph"/>
              <w:spacing w:before="39"/>
              <w:ind w:left="114" w:right="183"/>
              <w:rPr>
                <w:sz w:val="20"/>
              </w:rPr>
            </w:pPr>
            <w:r>
              <w:rPr>
                <w:sz w:val="20"/>
              </w:rPr>
              <w:t>Mandatory group conversion coverage for small firm employees?</w:t>
            </w:r>
          </w:p>
          <w:p w14:paraId="0F53A52B" w14:textId="77777777" w:rsidR="0046798B" w:rsidRDefault="0046798B">
            <w:pPr>
              <w:pStyle w:val="TableParagraph"/>
              <w:spacing w:before="11"/>
              <w:rPr>
                <w:sz w:val="19"/>
              </w:rPr>
            </w:pPr>
          </w:p>
          <w:p w14:paraId="16F41E31" w14:textId="77777777" w:rsidR="0046798B" w:rsidRDefault="00903B5C">
            <w:pPr>
              <w:pStyle w:val="TableParagraph"/>
              <w:ind w:left="114" w:right="136"/>
              <w:rPr>
                <w:sz w:val="20"/>
              </w:rPr>
            </w:pPr>
            <w:r>
              <w:rPr>
                <w:sz w:val="20"/>
              </w:rPr>
              <w:t>0 = no; 0.1 = conversion mandated only in case of divorce or dependents aging off plan; 0.5 = a broad class of insurers is exempted (e.g., HMOs or non-HMOs); 0.9 = choice between continuation and conversion coverage is allowed but one is mandated; 1 =</w:t>
            </w:r>
            <w:r>
              <w:rPr>
                <w:spacing w:val="4"/>
                <w:sz w:val="20"/>
              </w:rPr>
              <w:t xml:space="preserve"> </w:t>
            </w:r>
            <w:r>
              <w:rPr>
                <w:spacing w:val="-8"/>
                <w:sz w:val="20"/>
              </w:rPr>
              <w:t>yes</w:t>
            </w:r>
          </w:p>
        </w:tc>
        <w:tc>
          <w:tcPr>
            <w:tcW w:w="6482" w:type="dxa"/>
          </w:tcPr>
          <w:p w14:paraId="2E3700CA" w14:textId="77777777" w:rsidR="0046798B" w:rsidRDefault="0046798B">
            <w:pPr>
              <w:pStyle w:val="TableParagraph"/>
            </w:pPr>
          </w:p>
          <w:p w14:paraId="0F2607B3" w14:textId="77777777" w:rsidR="0046798B" w:rsidRDefault="0046798B">
            <w:pPr>
              <w:pStyle w:val="TableParagraph"/>
            </w:pPr>
          </w:p>
          <w:p w14:paraId="410207FD" w14:textId="77777777" w:rsidR="0046798B" w:rsidRDefault="0046798B">
            <w:pPr>
              <w:pStyle w:val="TableParagraph"/>
              <w:spacing w:before="4"/>
              <w:rPr>
                <w:sz w:val="29"/>
              </w:rPr>
            </w:pPr>
          </w:p>
          <w:p w14:paraId="05F943F7"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EEC1D56" w14:textId="77777777">
        <w:trPr>
          <w:trHeight w:val="1235"/>
        </w:trPr>
        <w:tc>
          <w:tcPr>
            <w:tcW w:w="1711" w:type="dxa"/>
          </w:tcPr>
          <w:p w14:paraId="0F5B915F" w14:textId="77777777" w:rsidR="0046798B" w:rsidRDefault="0046798B">
            <w:pPr>
              <w:pStyle w:val="TableParagraph"/>
            </w:pPr>
          </w:p>
          <w:p w14:paraId="46E4A827" w14:textId="77777777" w:rsidR="0046798B" w:rsidRDefault="0046798B">
            <w:pPr>
              <w:pStyle w:val="TableParagraph"/>
              <w:spacing w:before="4"/>
              <w:rPr>
                <w:sz w:val="21"/>
              </w:rPr>
            </w:pPr>
          </w:p>
          <w:p w14:paraId="4D13B450" w14:textId="77777777" w:rsidR="0046798B" w:rsidRDefault="00903B5C">
            <w:pPr>
              <w:pStyle w:val="TableParagraph"/>
              <w:ind w:left="115"/>
              <w:rPr>
                <w:b/>
                <w:sz w:val="20"/>
              </w:rPr>
            </w:pPr>
            <w:r>
              <w:rPr>
                <w:b/>
                <w:sz w:val="20"/>
              </w:rPr>
              <w:t>hgii</w:t>
            </w:r>
          </w:p>
        </w:tc>
        <w:tc>
          <w:tcPr>
            <w:tcW w:w="1596" w:type="dxa"/>
          </w:tcPr>
          <w:p w14:paraId="07F93A3B" w14:textId="77777777" w:rsidR="0046798B" w:rsidRDefault="0046798B">
            <w:pPr>
              <w:pStyle w:val="TableParagraph"/>
              <w:spacing w:before="4"/>
              <w:rPr>
                <w:sz w:val="23"/>
              </w:rPr>
            </w:pPr>
          </w:p>
          <w:p w14:paraId="7F3BA2C0" w14:textId="77777777" w:rsidR="0046798B" w:rsidRDefault="00903B5C">
            <w:pPr>
              <w:pStyle w:val="TableParagraph"/>
              <w:ind w:left="114" w:right="124"/>
              <w:rPr>
                <w:sz w:val="20"/>
              </w:rPr>
            </w:pPr>
            <w:r>
              <w:rPr>
                <w:sz w:val="20"/>
              </w:rPr>
              <w:t>Individual market guaranteed issue</w:t>
            </w:r>
          </w:p>
        </w:tc>
        <w:tc>
          <w:tcPr>
            <w:tcW w:w="1285" w:type="dxa"/>
          </w:tcPr>
          <w:p w14:paraId="2DDF9E3B" w14:textId="77777777" w:rsidR="0046798B" w:rsidRDefault="0046798B">
            <w:pPr>
              <w:pStyle w:val="TableParagraph"/>
            </w:pPr>
          </w:p>
          <w:p w14:paraId="76C60849" w14:textId="77777777" w:rsidR="0046798B" w:rsidRDefault="0046798B">
            <w:pPr>
              <w:pStyle w:val="TableParagraph"/>
              <w:spacing w:before="4"/>
              <w:rPr>
                <w:sz w:val="21"/>
              </w:rPr>
            </w:pPr>
          </w:p>
          <w:p w14:paraId="2638C3F8" w14:textId="77777777" w:rsidR="0046798B" w:rsidRDefault="00903B5C">
            <w:pPr>
              <w:pStyle w:val="TableParagraph"/>
              <w:ind w:left="114"/>
              <w:rPr>
                <w:sz w:val="20"/>
              </w:rPr>
            </w:pPr>
            <w:r>
              <w:rPr>
                <w:sz w:val="20"/>
              </w:rPr>
              <w:t>2000–2016</w:t>
            </w:r>
          </w:p>
        </w:tc>
        <w:tc>
          <w:tcPr>
            <w:tcW w:w="3421" w:type="dxa"/>
          </w:tcPr>
          <w:p w14:paraId="6AC2C6DA" w14:textId="77777777" w:rsidR="0046798B" w:rsidRDefault="00903B5C">
            <w:pPr>
              <w:pStyle w:val="TableParagraph"/>
              <w:spacing w:before="38"/>
              <w:ind w:left="114"/>
              <w:rPr>
                <w:sz w:val="20"/>
              </w:rPr>
            </w:pPr>
            <w:r>
              <w:rPr>
                <w:sz w:val="20"/>
              </w:rPr>
              <w:t>Individual market guaranteed issue?</w:t>
            </w:r>
          </w:p>
          <w:p w14:paraId="4D537728" w14:textId="77777777" w:rsidR="0046798B" w:rsidRDefault="0046798B">
            <w:pPr>
              <w:pStyle w:val="TableParagraph"/>
              <w:rPr>
                <w:sz w:val="20"/>
              </w:rPr>
            </w:pPr>
          </w:p>
          <w:p w14:paraId="160F0AD5" w14:textId="77777777" w:rsidR="0046798B" w:rsidRDefault="00903B5C">
            <w:pPr>
              <w:pStyle w:val="TableParagraph"/>
              <w:ind w:left="114" w:right="181"/>
              <w:rPr>
                <w:sz w:val="20"/>
              </w:rPr>
            </w:pPr>
            <w:r>
              <w:rPr>
                <w:sz w:val="20"/>
              </w:rPr>
              <w:t>0 = no; 1 = some products/individuals/companies (insurer of last resort); 2 = all products</w:t>
            </w:r>
          </w:p>
        </w:tc>
        <w:tc>
          <w:tcPr>
            <w:tcW w:w="6482" w:type="dxa"/>
          </w:tcPr>
          <w:p w14:paraId="5A1F43ED" w14:textId="77777777" w:rsidR="0046798B" w:rsidRDefault="0046798B">
            <w:pPr>
              <w:pStyle w:val="TableParagraph"/>
              <w:spacing w:before="4"/>
              <w:rPr>
                <w:sz w:val="23"/>
              </w:rPr>
            </w:pPr>
          </w:p>
          <w:p w14:paraId="7C7DBDED"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432E7057" w14:textId="77777777" w:rsidR="0046798B" w:rsidRDefault="0046798B">
      <w:pPr>
        <w:rPr>
          <w:sz w:val="20"/>
        </w:rPr>
        <w:sectPr w:rsidR="0046798B">
          <w:pgSz w:w="15840" w:h="12240" w:orient="landscape"/>
          <w:pgMar w:top="1220" w:right="300" w:bottom="980" w:left="820" w:header="730" w:footer="787" w:gutter="0"/>
          <w:cols w:space="720"/>
        </w:sectPr>
      </w:pPr>
    </w:p>
    <w:p w14:paraId="67989C6F"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2C200C06" w14:textId="77777777">
        <w:trPr>
          <w:trHeight w:val="1235"/>
        </w:trPr>
        <w:tc>
          <w:tcPr>
            <w:tcW w:w="1711" w:type="dxa"/>
          </w:tcPr>
          <w:p w14:paraId="64B63E91" w14:textId="77777777" w:rsidR="0046798B" w:rsidRDefault="0046798B">
            <w:pPr>
              <w:pStyle w:val="TableParagraph"/>
            </w:pPr>
          </w:p>
          <w:p w14:paraId="3E8B1E43" w14:textId="77777777" w:rsidR="0046798B" w:rsidRDefault="0046798B">
            <w:pPr>
              <w:pStyle w:val="TableParagraph"/>
              <w:spacing w:before="9"/>
              <w:rPr>
                <w:sz w:val="21"/>
              </w:rPr>
            </w:pPr>
          </w:p>
          <w:p w14:paraId="7A14C528" w14:textId="77777777" w:rsidR="0046798B" w:rsidRDefault="00903B5C">
            <w:pPr>
              <w:pStyle w:val="TableParagraph"/>
              <w:ind w:left="115"/>
              <w:rPr>
                <w:b/>
                <w:sz w:val="20"/>
              </w:rPr>
            </w:pPr>
            <w:r>
              <w:rPr>
                <w:b/>
                <w:sz w:val="20"/>
              </w:rPr>
              <w:t>hgiself</w:t>
            </w:r>
          </w:p>
        </w:tc>
        <w:tc>
          <w:tcPr>
            <w:tcW w:w="1596" w:type="dxa"/>
          </w:tcPr>
          <w:p w14:paraId="09DC810D" w14:textId="77777777" w:rsidR="0046798B" w:rsidRDefault="00903B5C">
            <w:pPr>
              <w:pStyle w:val="TableParagraph"/>
              <w:spacing w:before="43"/>
              <w:ind w:left="114" w:right="296"/>
              <w:rPr>
                <w:sz w:val="20"/>
              </w:rPr>
            </w:pPr>
            <w:r>
              <w:rPr>
                <w:sz w:val="20"/>
              </w:rPr>
              <w:t>Guaranteed issue of health plans for self- employed or groups of one</w:t>
            </w:r>
          </w:p>
        </w:tc>
        <w:tc>
          <w:tcPr>
            <w:tcW w:w="1285" w:type="dxa"/>
          </w:tcPr>
          <w:p w14:paraId="6B4F8A64" w14:textId="77777777" w:rsidR="0046798B" w:rsidRDefault="0046798B">
            <w:pPr>
              <w:pStyle w:val="TableParagraph"/>
            </w:pPr>
          </w:p>
          <w:p w14:paraId="657D00C8" w14:textId="77777777" w:rsidR="0046798B" w:rsidRDefault="0046798B">
            <w:pPr>
              <w:pStyle w:val="TableParagraph"/>
              <w:spacing w:before="9"/>
              <w:rPr>
                <w:sz w:val="21"/>
              </w:rPr>
            </w:pPr>
          </w:p>
          <w:p w14:paraId="0793EC93" w14:textId="77777777" w:rsidR="0046798B" w:rsidRDefault="00903B5C">
            <w:pPr>
              <w:pStyle w:val="TableParagraph"/>
              <w:ind w:left="114"/>
              <w:rPr>
                <w:sz w:val="20"/>
              </w:rPr>
            </w:pPr>
            <w:r>
              <w:rPr>
                <w:sz w:val="20"/>
              </w:rPr>
              <w:t>2000–2016</w:t>
            </w:r>
          </w:p>
        </w:tc>
        <w:tc>
          <w:tcPr>
            <w:tcW w:w="3421" w:type="dxa"/>
          </w:tcPr>
          <w:p w14:paraId="50E776CD" w14:textId="77777777" w:rsidR="0046798B" w:rsidRDefault="00903B5C">
            <w:pPr>
              <w:pStyle w:val="TableParagraph"/>
              <w:spacing w:before="158"/>
              <w:ind w:left="114" w:right="316"/>
              <w:rPr>
                <w:sz w:val="20"/>
              </w:rPr>
            </w:pPr>
            <w:r>
              <w:rPr>
                <w:sz w:val="20"/>
              </w:rPr>
              <w:t>Guaranteed issue of health plans for self-employed or groups of one? (0 = no, 1 = yes) (after PPACA, which</w:t>
            </w:r>
          </w:p>
          <w:p w14:paraId="5AC5878A" w14:textId="77777777" w:rsidR="0046798B" w:rsidRDefault="00903B5C">
            <w:pPr>
              <w:pStyle w:val="TableParagraph"/>
              <w:ind w:left="114"/>
              <w:rPr>
                <w:sz w:val="20"/>
              </w:rPr>
            </w:pPr>
            <w:r>
              <w:rPr>
                <w:sz w:val="20"/>
              </w:rPr>
              <w:t>*prohibits* group-of-one plans: 1)</w:t>
            </w:r>
          </w:p>
        </w:tc>
        <w:tc>
          <w:tcPr>
            <w:tcW w:w="6482" w:type="dxa"/>
          </w:tcPr>
          <w:p w14:paraId="66ED96A4" w14:textId="77777777" w:rsidR="0046798B" w:rsidRDefault="0046798B">
            <w:pPr>
              <w:pStyle w:val="TableParagraph"/>
              <w:spacing w:before="9"/>
              <w:rPr>
                <w:sz w:val="23"/>
              </w:rPr>
            </w:pPr>
          </w:p>
          <w:p w14:paraId="43B905CB" w14:textId="77777777" w:rsidR="0046798B" w:rsidRDefault="00903B5C">
            <w:pPr>
              <w:pStyle w:val="TableParagraph"/>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A42F744" w14:textId="77777777">
        <w:trPr>
          <w:trHeight w:val="775"/>
        </w:trPr>
        <w:tc>
          <w:tcPr>
            <w:tcW w:w="1711" w:type="dxa"/>
          </w:tcPr>
          <w:p w14:paraId="6479FC66" w14:textId="77777777" w:rsidR="0046798B" w:rsidRDefault="0046798B">
            <w:pPr>
              <w:pStyle w:val="TableParagraph"/>
              <w:spacing w:before="9"/>
              <w:rPr>
                <w:sz w:val="23"/>
              </w:rPr>
            </w:pPr>
          </w:p>
          <w:p w14:paraId="36D4B411" w14:textId="77777777" w:rsidR="0046798B" w:rsidRDefault="00903B5C">
            <w:pPr>
              <w:pStyle w:val="TableParagraph"/>
              <w:ind w:left="115"/>
              <w:rPr>
                <w:b/>
                <w:sz w:val="20"/>
              </w:rPr>
            </w:pPr>
            <w:r>
              <w:rPr>
                <w:b/>
                <w:sz w:val="20"/>
              </w:rPr>
              <w:t>hindgii</w:t>
            </w:r>
          </w:p>
        </w:tc>
        <w:tc>
          <w:tcPr>
            <w:tcW w:w="1596" w:type="dxa"/>
          </w:tcPr>
          <w:p w14:paraId="190CAFF1" w14:textId="77777777" w:rsidR="0046798B" w:rsidRDefault="00903B5C">
            <w:pPr>
              <w:pStyle w:val="TableParagraph"/>
              <w:spacing w:before="158"/>
              <w:ind w:left="114" w:right="124"/>
              <w:rPr>
                <w:sz w:val="20"/>
              </w:rPr>
            </w:pPr>
            <w:r>
              <w:rPr>
                <w:sz w:val="20"/>
              </w:rPr>
              <w:t>Nongroup guaranteed issue</w:t>
            </w:r>
          </w:p>
        </w:tc>
        <w:tc>
          <w:tcPr>
            <w:tcW w:w="1285" w:type="dxa"/>
          </w:tcPr>
          <w:p w14:paraId="16C67A22" w14:textId="77777777" w:rsidR="0046798B" w:rsidRDefault="0046798B">
            <w:pPr>
              <w:pStyle w:val="TableParagraph"/>
              <w:spacing w:before="9"/>
              <w:rPr>
                <w:sz w:val="23"/>
              </w:rPr>
            </w:pPr>
          </w:p>
          <w:p w14:paraId="57482C10" w14:textId="77777777" w:rsidR="0046798B" w:rsidRDefault="00903B5C">
            <w:pPr>
              <w:pStyle w:val="TableParagraph"/>
              <w:ind w:left="114"/>
              <w:rPr>
                <w:sz w:val="20"/>
              </w:rPr>
            </w:pPr>
            <w:r>
              <w:rPr>
                <w:sz w:val="20"/>
              </w:rPr>
              <w:t>2000–2016</w:t>
            </w:r>
          </w:p>
        </w:tc>
        <w:tc>
          <w:tcPr>
            <w:tcW w:w="3421" w:type="dxa"/>
          </w:tcPr>
          <w:p w14:paraId="06CF471F" w14:textId="77777777" w:rsidR="0046798B" w:rsidRDefault="00903B5C">
            <w:pPr>
              <w:pStyle w:val="TableParagraph"/>
              <w:spacing w:before="158"/>
              <w:ind w:left="114" w:right="276"/>
              <w:rPr>
                <w:sz w:val="20"/>
              </w:rPr>
            </w:pPr>
            <w:r>
              <w:rPr>
                <w:sz w:val="20"/>
              </w:rPr>
              <w:t>Nongroup guaranteed issue: hgiself + hgii</w:t>
            </w:r>
          </w:p>
        </w:tc>
        <w:tc>
          <w:tcPr>
            <w:tcW w:w="6482" w:type="dxa"/>
          </w:tcPr>
          <w:p w14:paraId="58E8138D"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DBB50A5" w14:textId="77777777">
        <w:trPr>
          <w:trHeight w:val="1010"/>
        </w:trPr>
        <w:tc>
          <w:tcPr>
            <w:tcW w:w="1711" w:type="dxa"/>
          </w:tcPr>
          <w:p w14:paraId="5614CCE2" w14:textId="77777777" w:rsidR="0046798B" w:rsidRDefault="0046798B">
            <w:pPr>
              <w:pStyle w:val="TableParagraph"/>
            </w:pPr>
          </w:p>
          <w:p w14:paraId="7704EA7E" w14:textId="77777777" w:rsidR="0046798B" w:rsidRDefault="00903B5C">
            <w:pPr>
              <w:pStyle w:val="TableParagraph"/>
              <w:spacing w:before="135"/>
              <w:ind w:left="115"/>
              <w:rPr>
                <w:b/>
                <w:sz w:val="20"/>
              </w:rPr>
            </w:pPr>
            <w:r>
              <w:rPr>
                <w:b/>
                <w:sz w:val="20"/>
              </w:rPr>
              <w:t>hierb</w:t>
            </w:r>
          </w:p>
        </w:tc>
        <w:tc>
          <w:tcPr>
            <w:tcW w:w="1596" w:type="dxa"/>
          </w:tcPr>
          <w:p w14:paraId="12A4CF4C" w14:textId="77777777" w:rsidR="0046798B" w:rsidRDefault="00903B5C">
            <w:pPr>
              <w:pStyle w:val="TableParagraph"/>
              <w:spacing w:before="43"/>
              <w:ind w:left="114" w:right="105"/>
              <w:rPr>
                <w:sz w:val="20"/>
              </w:rPr>
            </w:pPr>
            <w:r>
              <w:rPr>
                <w:sz w:val="20"/>
              </w:rPr>
              <w:t>Individual health insurance: elimination riders banned</w:t>
            </w:r>
          </w:p>
        </w:tc>
        <w:tc>
          <w:tcPr>
            <w:tcW w:w="1285" w:type="dxa"/>
          </w:tcPr>
          <w:p w14:paraId="57B16343" w14:textId="77777777" w:rsidR="0046798B" w:rsidRDefault="0046798B">
            <w:pPr>
              <w:pStyle w:val="TableParagraph"/>
            </w:pPr>
          </w:p>
          <w:p w14:paraId="4B39D436" w14:textId="77777777" w:rsidR="0046798B" w:rsidRDefault="00903B5C">
            <w:pPr>
              <w:pStyle w:val="TableParagraph"/>
              <w:spacing w:before="135"/>
              <w:ind w:left="114"/>
              <w:rPr>
                <w:sz w:val="20"/>
              </w:rPr>
            </w:pPr>
            <w:r>
              <w:rPr>
                <w:sz w:val="20"/>
              </w:rPr>
              <w:t>2000–2016</w:t>
            </w:r>
          </w:p>
        </w:tc>
        <w:tc>
          <w:tcPr>
            <w:tcW w:w="3421" w:type="dxa"/>
          </w:tcPr>
          <w:p w14:paraId="048EF16A" w14:textId="77777777" w:rsidR="0046798B" w:rsidRDefault="00903B5C">
            <w:pPr>
              <w:pStyle w:val="TableParagraph"/>
              <w:spacing w:before="158"/>
              <w:ind w:left="114" w:right="153"/>
              <w:rPr>
                <w:sz w:val="20"/>
              </w:rPr>
            </w:pPr>
            <w:r>
              <w:rPr>
                <w:sz w:val="20"/>
              </w:rPr>
              <w:t>Individual health insurance: elimination riders banned? (0 = no, 1 = yes)</w:t>
            </w:r>
          </w:p>
        </w:tc>
        <w:tc>
          <w:tcPr>
            <w:tcW w:w="6482" w:type="dxa"/>
          </w:tcPr>
          <w:p w14:paraId="7AD02228"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4F6FBC8" w14:textId="77777777">
        <w:trPr>
          <w:trHeight w:val="775"/>
        </w:trPr>
        <w:tc>
          <w:tcPr>
            <w:tcW w:w="1711" w:type="dxa"/>
          </w:tcPr>
          <w:p w14:paraId="36118403" w14:textId="77777777" w:rsidR="0046798B" w:rsidRDefault="0046798B">
            <w:pPr>
              <w:pStyle w:val="TableParagraph"/>
              <w:spacing w:before="3"/>
              <w:rPr>
                <w:sz w:val="23"/>
              </w:rPr>
            </w:pPr>
          </w:p>
          <w:p w14:paraId="59023829" w14:textId="77777777" w:rsidR="0046798B" w:rsidRDefault="00903B5C">
            <w:pPr>
              <w:pStyle w:val="TableParagraph"/>
              <w:spacing w:before="1"/>
              <w:ind w:left="115"/>
              <w:rPr>
                <w:b/>
                <w:sz w:val="20"/>
              </w:rPr>
            </w:pPr>
            <w:r>
              <w:rPr>
                <w:b/>
                <w:sz w:val="20"/>
              </w:rPr>
              <w:t>himand</w:t>
            </w:r>
          </w:p>
        </w:tc>
        <w:tc>
          <w:tcPr>
            <w:tcW w:w="1596" w:type="dxa"/>
          </w:tcPr>
          <w:p w14:paraId="45316B44" w14:textId="77777777" w:rsidR="0046798B" w:rsidRDefault="00903B5C">
            <w:pPr>
              <w:pStyle w:val="TableParagraph"/>
              <w:spacing w:before="38"/>
              <w:ind w:left="114" w:right="91"/>
              <w:rPr>
                <w:sz w:val="20"/>
              </w:rPr>
            </w:pPr>
            <w:r>
              <w:rPr>
                <w:sz w:val="20"/>
              </w:rPr>
              <w:t>Individual health insurance mandate</w:t>
            </w:r>
          </w:p>
        </w:tc>
        <w:tc>
          <w:tcPr>
            <w:tcW w:w="1285" w:type="dxa"/>
          </w:tcPr>
          <w:p w14:paraId="13ECD889" w14:textId="77777777" w:rsidR="0046798B" w:rsidRDefault="0046798B">
            <w:pPr>
              <w:pStyle w:val="TableParagraph"/>
              <w:spacing w:before="3"/>
              <w:rPr>
                <w:sz w:val="23"/>
              </w:rPr>
            </w:pPr>
          </w:p>
          <w:p w14:paraId="003BC887" w14:textId="77777777" w:rsidR="0046798B" w:rsidRDefault="00903B5C">
            <w:pPr>
              <w:pStyle w:val="TableParagraph"/>
              <w:spacing w:before="1"/>
              <w:ind w:left="114"/>
              <w:rPr>
                <w:sz w:val="20"/>
              </w:rPr>
            </w:pPr>
            <w:r>
              <w:rPr>
                <w:sz w:val="20"/>
              </w:rPr>
              <w:t>2000–2016</w:t>
            </w:r>
          </w:p>
        </w:tc>
        <w:tc>
          <w:tcPr>
            <w:tcW w:w="3421" w:type="dxa"/>
          </w:tcPr>
          <w:p w14:paraId="1088A4D5" w14:textId="77777777" w:rsidR="0046798B" w:rsidRDefault="00903B5C">
            <w:pPr>
              <w:pStyle w:val="TableParagraph"/>
              <w:spacing w:before="153"/>
              <w:ind w:left="114" w:right="283"/>
              <w:rPr>
                <w:sz w:val="20"/>
              </w:rPr>
            </w:pPr>
            <w:r>
              <w:rPr>
                <w:sz w:val="20"/>
              </w:rPr>
              <w:t>Individual health insurance mandate? (0 = no, 1 = yes)</w:t>
            </w:r>
          </w:p>
        </w:tc>
        <w:tc>
          <w:tcPr>
            <w:tcW w:w="6482" w:type="dxa"/>
          </w:tcPr>
          <w:p w14:paraId="65284549" w14:textId="77777777" w:rsidR="0046798B" w:rsidRDefault="00903B5C">
            <w:pPr>
              <w:pStyle w:val="TableParagraph"/>
              <w:spacing w:before="38"/>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9D068BF" w14:textId="77777777">
        <w:trPr>
          <w:trHeight w:val="2155"/>
        </w:trPr>
        <w:tc>
          <w:tcPr>
            <w:tcW w:w="1711" w:type="dxa"/>
          </w:tcPr>
          <w:p w14:paraId="22261A26" w14:textId="77777777" w:rsidR="0046798B" w:rsidRDefault="0046798B">
            <w:pPr>
              <w:pStyle w:val="TableParagraph"/>
            </w:pPr>
          </w:p>
          <w:p w14:paraId="2AC5EC43" w14:textId="77777777" w:rsidR="0046798B" w:rsidRDefault="0046798B">
            <w:pPr>
              <w:pStyle w:val="TableParagraph"/>
            </w:pPr>
          </w:p>
          <w:p w14:paraId="0605929F" w14:textId="77777777" w:rsidR="0046798B" w:rsidRDefault="0046798B">
            <w:pPr>
              <w:pStyle w:val="TableParagraph"/>
            </w:pPr>
          </w:p>
          <w:p w14:paraId="1ED68DCB" w14:textId="77777777" w:rsidR="0046798B" w:rsidRDefault="0046798B">
            <w:pPr>
              <w:pStyle w:val="TableParagraph"/>
              <w:spacing w:before="4"/>
              <w:rPr>
                <w:sz w:val="17"/>
              </w:rPr>
            </w:pPr>
          </w:p>
          <w:p w14:paraId="280A68C8" w14:textId="77777777" w:rsidR="0046798B" w:rsidRDefault="00903B5C">
            <w:pPr>
              <w:pStyle w:val="TableParagraph"/>
              <w:ind w:left="115"/>
              <w:rPr>
                <w:b/>
                <w:sz w:val="20"/>
              </w:rPr>
            </w:pPr>
            <w:r>
              <w:rPr>
                <w:b/>
                <w:sz w:val="20"/>
              </w:rPr>
              <w:t>hirate</w:t>
            </w:r>
          </w:p>
        </w:tc>
        <w:tc>
          <w:tcPr>
            <w:tcW w:w="1596" w:type="dxa"/>
          </w:tcPr>
          <w:p w14:paraId="326297CD" w14:textId="77777777" w:rsidR="0046798B" w:rsidRDefault="0046798B">
            <w:pPr>
              <w:pStyle w:val="TableParagraph"/>
            </w:pPr>
          </w:p>
          <w:p w14:paraId="0B665078" w14:textId="77777777" w:rsidR="0046798B" w:rsidRDefault="0046798B">
            <w:pPr>
              <w:pStyle w:val="TableParagraph"/>
            </w:pPr>
          </w:p>
          <w:p w14:paraId="6F29B986" w14:textId="77777777" w:rsidR="0046798B" w:rsidRDefault="0046798B">
            <w:pPr>
              <w:pStyle w:val="TableParagraph"/>
              <w:spacing w:before="4"/>
              <w:rPr>
                <w:sz w:val="19"/>
              </w:rPr>
            </w:pPr>
          </w:p>
          <w:p w14:paraId="2EBF30C8" w14:textId="77777777" w:rsidR="0046798B" w:rsidRDefault="00903B5C">
            <w:pPr>
              <w:pStyle w:val="TableParagraph"/>
              <w:ind w:left="114" w:right="547"/>
              <w:rPr>
                <w:sz w:val="20"/>
              </w:rPr>
            </w:pPr>
            <w:r>
              <w:rPr>
                <w:sz w:val="20"/>
              </w:rPr>
              <w:t>Individual market rate restrictions</w:t>
            </w:r>
          </w:p>
        </w:tc>
        <w:tc>
          <w:tcPr>
            <w:tcW w:w="1285" w:type="dxa"/>
          </w:tcPr>
          <w:p w14:paraId="77BF4018" w14:textId="77777777" w:rsidR="0046798B" w:rsidRDefault="0046798B">
            <w:pPr>
              <w:pStyle w:val="TableParagraph"/>
            </w:pPr>
          </w:p>
          <w:p w14:paraId="7F0AD7F2" w14:textId="77777777" w:rsidR="0046798B" w:rsidRDefault="0046798B">
            <w:pPr>
              <w:pStyle w:val="TableParagraph"/>
            </w:pPr>
          </w:p>
          <w:p w14:paraId="5E0B493C" w14:textId="77777777" w:rsidR="0046798B" w:rsidRDefault="0046798B">
            <w:pPr>
              <w:pStyle w:val="TableParagraph"/>
            </w:pPr>
          </w:p>
          <w:p w14:paraId="72057968" w14:textId="77777777" w:rsidR="0046798B" w:rsidRDefault="0046798B">
            <w:pPr>
              <w:pStyle w:val="TableParagraph"/>
              <w:spacing w:before="4"/>
              <w:rPr>
                <w:sz w:val="17"/>
              </w:rPr>
            </w:pPr>
          </w:p>
          <w:p w14:paraId="570F7939" w14:textId="77777777" w:rsidR="0046798B" w:rsidRDefault="00903B5C">
            <w:pPr>
              <w:pStyle w:val="TableParagraph"/>
              <w:ind w:left="114"/>
              <w:rPr>
                <w:sz w:val="20"/>
              </w:rPr>
            </w:pPr>
            <w:r>
              <w:rPr>
                <w:sz w:val="20"/>
              </w:rPr>
              <w:t>2000–2016</w:t>
            </w:r>
          </w:p>
        </w:tc>
        <w:tc>
          <w:tcPr>
            <w:tcW w:w="3421" w:type="dxa"/>
          </w:tcPr>
          <w:p w14:paraId="07AA7606" w14:textId="77777777" w:rsidR="0046798B" w:rsidRDefault="00903B5C">
            <w:pPr>
              <w:pStyle w:val="TableParagraph"/>
              <w:spacing w:before="38"/>
              <w:ind w:left="114"/>
              <w:rPr>
                <w:sz w:val="20"/>
              </w:rPr>
            </w:pPr>
            <w:r>
              <w:rPr>
                <w:sz w:val="20"/>
              </w:rPr>
              <w:t>Individual market rate restrictions</w:t>
            </w:r>
          </w:p>
          <w:p w14:paraId="317E7063" w14:textId="77777777" w:rsidR="0046798B" w:rsidRDefault="0046798B">
            <w:pPr>
              <w:pStyle w:val="TableParagraph"/>
              <w:rPr>
                <w:sz w:val="20"/>
              </w:rPr>
            </w:pPr>
          </w:p>
          <w:p w14:paraId="5AAA663F" w14:textId="77777777" w:rsidR="0046798B" w:rsidRDefault="00903B5C">
            <w:pPr>
              <w:pStyle w:val="TableParagraph"/>
              <w:ind w:left="114" w:right="128"/>
              <w:rPr>
                <w:sz w:val="20"/>
              </w:rPr>
            </w:pPr>
            <w:r>
              <w:rPr>
                <w:sz w:val="20"/>
              </w:rPr>
              <w:t>(0 = none; 0.5 = other rating bands; 1 = age or health rating bands; 1.5 = rate bands plus premium caps for high risk pool policies; 2 = adjusted community rating; 2.5 = community rating with exceptions for some plans; 3 = pure community rating)</w:t>
            </w:r>
          </w:p>
        </w:tc>
        <w:tc>
          <w:tcPr>
            <w:tcW w:w="6482" w:type="dxa"/>
          </w:tcPr>
          <w:p w14:paraId="56216862" w14:textId="77777777" w:rsidR="0046798B" w:rsidRDefault="0046798B">
            <w:pPr>
              <w:pStyle w:val="TableParagraph"/>
            </w:pPr>
          </w:p>
          <w:p w14:paraId="5AAE6E36" w14:textId="77777777" w:rsidR="0046798B" w:rsidRDefault="0046798B">
            <w:pPr>
              <w:pStyle w:val="TableParagraph"/>
            </w:pPr>
          </w:p>
          <w:p w14:paraId="70C6FC0F" w14:textId="77777777" w:rsidR="0046798B" w:rsidRDefault="0046798B">
            <w:pPr>
              <w:pStyle w:val="TableParagraph"/>
              <w:spacing w:before="4"/>
              <w:rPr>
                <w:sz w:val="19"/>
              </w:rPr>
            </w:pPr>
          </w:p>
          <w:p w14:paraId="1CC0C19D" w14:textId="77777777" w:rsidR="0046798B" w:rsidRDefault="00903B5C">
            <w:pPr>
              <w:pStyle w:val="TableParagraph"/>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42F4CBB" w14:textId="77777777">
        <w:trPr>
          <w:trHeight w:val="1005"/>
        </w:trPr>
        <w:tc>
          <w:tcPr>
            <w:tcW w:w="1711" w:type="dxa"/>
          </w:tcPr>
          <w:p w14:paraId="3B4F3084" w14:textId="77777777" w:rsidR="0046798B" w:rsidRDefault="0046798B">
            <w:pPr>
              <w:pStyle w:val="TableParagraph"/>
            </w:pPr>
          </w:p>
          <w:p w14:paraId="68051C94" w14:textId="77777777" w:rsidR="0046798B" w:rsidRDefault="00903B5C">
            <w:pPr>
              <w:pStyle w:val="TableParagraph"/>
              <w:spacing w:before="131"/>
              <w:ind w:left="115"/>
              <w:rPr>
                <w:b/>
                <w:sz w:val="20"/>
              </w:rPr>
            </w:pPr>
            <w:r>
              <w:rPr>
                <w:b/>
                <w:sz w:val="20"/>
              </w:rPr>
              <w:t>hmer</w:t>
            </w:r>
          </w:p>
        </w:tc>
        <w:tc>
          <w:tcPr>
            <w:tcW w:w="1596" w:type="dxa"/>
          </w:tcPr>
          <w:p w14:paraId="272657CC" w14:textId="77777777" w:rsidR="0046798B" w:rsidRDefault="00903B5C">
            <w:pPr>
              <w:pStyle w:val="TableParagraph"/>
              <w:spacing w:before="38"/>
              <w:ind w:left="114" w:right="152"/>
              <w:rPr>
                <w:sz w:val="20"/>
              </w:rPr>
            </w:pPr>
            <w:r>
              <w:rPr>
                <w:sz w:val="20"/>
              </w:rPr>
              <w:t>Mandated external review for certain types of grievances</w:t>
            </w:r>
          </w:p>
        </w:tc>
        <w:tc>
          <w:tcPr>
            <w:tcW w:w="1285" w:type="dxa"/>
          </w:tcPr>
          <w:p w14:paraId="0502F485" w14:textId="77777777" w:rsidR="0046798B" w:rsidRDefault="0046798B">
            <w:pPr>
              <w:pStyle w:val="TableParagraph"/>
            </w:pPr>
          </w:p>
          <w:p w14:paraId="5D6B49C3" w14:textId="77777777" w:rsidR="0046798B" w:rsidRDefault="00903B5C">
            <w:pPr>
              <w:pStyle w:val="TableParagraph"/>
              <w:spacing w:before="131"/>
              <w:ind w:left="114"/>
              <w:rPr>
                <w:sz w:val="20"/>
              </w:rPr>
            </w:pPr>
            <w:r>
              <w:rPr>
                <w:sz w:val="20"/>
              </w:rPr>
              <w:t>2000–2016</w:t>
            </w:r>
          </w:p>
        </w:tc>
        <w:tc>
          <w:tcPr>
            <w:tcW w:w="3421" w:type="dxa"/>
          </w:tcPr>
          <w:p w14:paraId="77F9A790" w14:textId="77777777" w:rsidR="0046798B" w:rsidRDefault="0046798B">
            <w:pPr>
              <w:pStyle w:val="TableParagraph"/>
              <w:spacing w:before="3"/>
              <w:rPr>
                <w:sz w:val="23"/>
              </w:rPr>
            </w:pPr>
          </w:p>
          <w:p w14:paraId="3F9E2477" w14:textId="77777777" w:rsidR="0046798B" w:rsidRDefault="00903B5C">
            <w:pPr>
              <w:pStyle w:val="TableParagraph"/>
              <w:spacing w:before="1"/>
              <w:ind w:left="114" w:right="269"/>
              <w:rPr>
                <w:sz w:val="20"/>
              </w:rPr>
            </w:pPr>
            <w:r>
              <w:rPr>
                <w:sz w:val="20"/>
              </w:rPr>
              <w:t>Mandated external review for certain types of grievances? (0 = no, 1 = yes)</w:t>
            </w:r>
          </w:p>
        </w:tc>
        <w:tc>
          <w:tcPr>
            <w:tcW w:w="6482" w:type="dxa"/>
          </w:tcPr>
          <w:p w14:paraId="30E9CB76" w14:textId="77777777" w:rsidR="0046798B" w:rsidRDefault="00903B5C">
            <w:pPr>
              <w:pStyle w:val="TableParagraph"/>
              <w:spacing w:before="15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123ACEB" w14:textId="77777777">
        <w:trPr>
          <w:trHeight w:val="1465"/>
        </w:trPr>
        <w:tc>
          <w:tcPr>
            <w:tcW w:w="1711" w:type="dxa"/>
          </w:tcPr>
          <w:p w14:paraId="759F53C2" w14:textId="77777777" w:rsidR="0046798B" w:rsidRDefault="0046798B">
            <w:pPr>
              <w:pStyle w:val="TableParagraph"/>
            </w:pPr>
          </w:p>
          <w:p w14:paraId="7C5D31A8" w14:textId="77777777" w:rsidR="0046798B" w:rsidRDefault="0046798B">
            <w:pPr>
              <w:pStyle w:val="TableParagraph"/>
              <w:spacing w:before="9"/>
              <w:rPr>
                <w:sz w:val="31"/>
              </w:rPr>
            </w:pPr>
          </w:p>
          <w:p w14:paraId="1E4707B9" w14:textId="77777777" w:rsidR="0046798B" w:rsidRDefault="00903B5C">
            <w:pPr>
              <w:pStyle w:val="TableParagraph"/>
              <w:ind w:left="115"/>
              <w:rPr>
                <w:b/>
                <w:sz w:val="20"/>
              </w:rPr>
            </w:pPr>
            <w:r>
              <w:rPr>
                <w:b/>
                <w:sz w:val="20"/>
              </w:rPr>
              <w:t>hmfree</w:t>
            </w:r>
          </w:p>
        </w:tc>
        <w:tc>
          <w:tcPr>
            <w:tcW w:w="1596" w:type="dxa"/>
          </w:tcPr>
          <w:p w14:paraId="26000A44" w14:textId="77777777" w:rsidR="0046798B" w:rsidRDefault="00903B5C">
            <w:pPr>
              <w:pStyle w:val="TableParagraph"/>
              <w:spacing w:before="43"/>
              <w:ind w:left="114" w:right="197"/>
              <w:rPr>
                <w:sz w:val="20"/>
              </w:rPr>
            </w:pPr>
            <w:r>
              <w:rPr>
                <w:sz w:val="20"/>
              </w:rPr>
              <w:t>“Mandate-free” or “mandate- light” health insurance policies permitted</w:t>
            </w:r>
          </w:p>
        </w:tc>
        <w:tc>
          <w:tcPr>
            <w:tcW w:w="1285" w:type="dxa"/>
          </w:tcPr>
          <w:p w14:paraId="6A96A62C" w14:textId="77777777" w:rsidR="0046798B" w:rsidRDefault="0046798B">
            <w:pPr>
              <w:pStyle w:val="TableParagraph"/>
            </w:pPr>
          </w:p>
          <w:p w14:paraId="3071CD29" w14:textId="77777777" w:rsidR="0046798B" w:rsidRDefault="0046798B">
            <w:pPr>
              <w:pStyle w:val="TableParagraph"/>
              <w:spacing w:before="9"/>
              <w:rPr>
                <w:sz w:val="31"/>
              </w:rPr>
            </w:pPr>
          </w:p>
          <w:p w14:paraId="18D87C4F" w14:textId="77777777" w:rsidR="0046798B" w:rsidRDefault="00903B5C">
            <w:pPr>
              <w:pStyle w:val="TableParagraph"/>
              <w:ind w:left="114"/>
              <w:rPr>
                <w:sz w:val="20"/>
              </w:rPr>
            </w:pPr>
            <w:r>
              <w:rPr>
                <w:sz w:val="20"/>
              </w:rPr>
              <w:t>2000–2016</w:t>
            </w:r>
          </w:p>
        </w:tc>
        <w:tc>
          <w:tcPr>
            <w:tcW w:w="3421" w:type="dxa"/>
          </w:tcPr>
          <w:p w14:paraId="44259114" w14:textId="77777777" w:rsidR="0046798B" w:rsidRDefault="0046798B">
            <w:pPr>
              <w:pStyle w:val="TableParagraph"/>
            </w:pPr>
          </w:p>
          <w:p w14:paraId="703B96D0" w14:textId="77777777" w:rsidR="0046798B" w:rsidRDefault="00903B5C">
            <w:pPr>
              <w:pStyle w:val="TableParagraph"/>
              <w:spacing w:before="135"/>
              <w:ind w:left="114" w:right="178"/>
              <w:rPr>
                <w:sz w:val="20"/>
              </w:rPr>
            </w:pPr>
            <w:r>
              <w:rPr>
                <w:sz w:val="20"/>
              </w:rPr>
              <w:t>“Mandate-free” or “mandate-light” health insurance policies permitted? (0</w:t>
            </w:r>
          </w:p>
          <w:p w14:paraId="39158EA4" w14:textId="77777777" w:rsidR="0046798B" w:rsidRDefault="00903B5C">
            <w:pPr>
              <w:pStyle w:val="TableParagraph"/>
              <w:ind w:left="114"/>
              <w:rPr>
                <w:sz w:val="20"/>
              </w:rPr>
            </w:pPr>
            <w:r>
              <w:rPr>
                <w:sz w:val="20"/>
              </w:rPr>
              <w:t>= no, 1 = yes)</w:t>
            </w:r>
          </w:p>
        </w:tc>
        <w:tc>
          <w:tcPr>
            <w:tcW w:w="6482" w:type="dxa"/>
          </w:tcPr>
          <w:p w14:paraId="0B0E04C5" w14:textId="77777777" w:rsidR="0046798B" w:rsidRDefault="0046798B">
            <w:pPr>
              <w:pStyle w:val="TableParagraph"/>
            </w:pPr>
          </w:p>
          <w:p w14:paraId="33D9AF37" w14:textId="77777777" w:rsidR="0046798B" w:rsidRDefault="00903B5C">
            <w:pPr>
              <w:pStyle w:val="TableParagraph"/>
              <w:spacing w:before="135"/>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C11D509" w14:textId="77777777">
        <w:trPr>
          <w:trHeight w:val="775"/>
        </w:trPr>
        <w:tc>
          <w:tcPr>
            <w:tcW w:w="1711" w:type="dxa"/>
          </w:tcPr>
          <w:p w14:paraId="10AD8858" w14:textId="77777777" w:rsidR="0046798B" w:rsidRDefault="0046798B">
            <w:pPr>
              <w:pStyle w:val="TableParagraph"/>
              <w:spacing w:before="8"/>
              <w:rPr>
                <w:sz w:val="23"/>
              </w:rPr>
            </w:pPr>
          </w:p>
          <w:p w14:paraId="6C544AB1" w14:textId="77777777" w:rsidR="0046798B" w:rsidRDefault="00903B5C">
            <w:pPr>
              <w:pStyle w:val="TableParagraph"/>
              <w:spacing w:before="1"/>
              <w:ind w:left="115"/>
              <w:rPr>
                <w:b/>
                <w:sz w:val="20"/>
              </w:rPr>
            </w:pPr>
            <w:r>
              <w:rPr>
                <w:b/>
                <w:sz w:val="20"/>
              </w:rPr>
              <w:t>hsgrate</w:t>
            </w:r>
          </w:p>
        </w:tc>
        <w:tc>
          <w:tcPr>
            <w:tcW w:w="1596" w:type="dxa"/>
          </w:tcPr>
          <w:p w14:paraId="78C26760" w14:textId="77777777" w:rsidR="0046798B" w:rsidRDefault="00903B5C">
            <w:pPr>
              <w:pStyle w:val="TableParagraph"/>
              <w:spacing w:before="158"/>
              <w:ind w:left="114" w:right="147"/>
              <w:rPr>
                <w:sz w:val="20"/>
              </w:rPr>
            </w:pPr>
            <w:r>
              <w:rPr>
                <w:sz w:val="20"/>
              </w:rPr>
              <w:t>Small group health insurance</w:t>
            </w:r>
          </w:p>
        </w:tc>
        <w:tc>
          <w:tcPr>
            <w:tcW w:w="1285" w:type="dxa"/>
          </w:tcPr>
          <w:p w14:paraId="5504D079" w14:textId="77777777" w:rsidR="0046798B" w:rsidRDefault="0046798B">
            <w:pPr>
              <w:pStyle w:val="TableParagraph"/>
              <w:spacing w:before="8"/>
              <w:rPr>
                <w:sz w:val="23"/>
              </w:rPr>
            </w:pPr>
          </w:p>
          <w:p w14:paraId="34BEA2E0" w14:textId="77777777" w:rsidR="0046798B" w:rsidRDefault="00903B5C">
            <w:pPr>
              <w:pStyle w:val="TableParagraph"/>
              <w:spacing w:before="1"/>
              <w:ind w:left="114"/>
              <w:rPr>
                <w:sz w:val="20"/>
              </w:rPr>
            </w:pPr>
            <w:r>
              <w:rPr>
                <w:sz w:val="20"/>
              </w:rPr>
              <w:t>2000–2016</w:t>
            </w:r>
          </w:p>
        </w:tc>
        <w:tc>
          <w:tcPr>
            <w:tcW w:w="3421" w:type="dxa"/>
          </w:tcPr>
          <w:p w14:paraId="107B3AF4" w14:textId="77777777" w:rsidR="0046798B" w:rsidRDefault="00903B5C">
            <w:pPr>
              <w:pStyle w:val="TableParagraph"/>
              <w:spacing w:before="43"/>
              <w:ind w:left="114" w:right="333"/>
              <w:rPr>
                <w:sz w:val="20"/>
              </w:rPr>
            </w:pPr>
            <w:r>
              <w:rPr>
                <w:sz w:val="20"/>
              </w:rPr>
              <w:t>Small group health insurance market rate restrictions (0 = no rating restrictions, 1 = rate bands, 2 =</w:t>
            </w:r>
          </w:p>
        </w:tc>
        <w:tc>
          <w:tcPr>
            <w:tcW w:w="6482" w:type="dxa"/>
          </w:tcPr>
          <w:p w14:paraId="6291525E"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5326A1E5" w14:textId="77777777" w:rsidR="0046798B" w:rsidRDefault="0046798B">
      <w:pPr>
        <w:rPr>
          <w:sz w:val="20"/>
        </w:rPr>
        <w:sectPr w:rsidR="0046798B">
          <w:pgSz w:w="15840" w:h="12240" w:orient="landscape"/>
          <w:pgMar w:top="1220" w:right="300" w:bottom="980" w:left="820" w:header="730" w:footer="787" w:gutter="0"/>
          <w:cols w:space="720"/>
        </w:sectPr>
      </w:pPr>
    </w:p>
    <w:p w14:paraId="0C1DB020"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0C280D35" w14:textId="77777777">
        <w:trPr>
          <w:trHeight w:val="542"/>
        </w:trPr>
        <w:tc>
          <w:tcPr>
            <w:tcW w:w="1711" w:type="dxa"/>
            <w:tcBorders>
              <w:bottom w:val="dotted" w:sz="6" w:space="0" w:color="BEBEBE"/>
            </w:tcBorders>
          </w:tcPr>
          <w:p w14:paraId="69FA7E9C" w14:textId="77777777" w:rsidR="0046798B" w:rsidRDefault="0046798B">
            <w:pPr>
              <w:pStyle w:val="TableParagraph"/>
              <w:rPr>
                <w:sz w:val="20"/>
              </w:rPr>
            </w:pPr>
          </w:p>
        </w:tc>
        <w:tc>
          <w:tcPr>
            <w:tcW w:w="1596" w:type="dxa"/>
            <w:tcBorders>
              <w:bottom w:val="dotted" w:sz="6" w:space="0" w:color="BEBEBE"/>
            </w:tcBorders>
          </w:tcPr>
          <w:p w14:paraId="49D80F59" w14:textId="77777777" w:rsidR="0046798B" w:rsidRDefault="00903B5C">
            <w:pPr>
              <w:pStyle w:val="TableParagraph"/>
              <w:spacing w:before="43"/>
              <w:ind w:left="114" w:right="547"/>
              <w:rPr>
                <w:sz w:val="20"/>
              </w:rPr>
            </w:pPr>
            <w:r>
              <w:rPr>
                <w:sz w:val="20"/>
              </w:rPr>
              <w:t>market rate restrictions</w:t>
            </w:r>
          </w:p>
        </w:tc>
        <w:tc>
          <w:tcPr>
            <w:tcW w:w="1285" w:type="dxa"/>
            <w:tcBorders>
              <w:bottom w:val="dotted" w:sz="6" w:space="0" w:color="BEBEBE"/>
            </w:tcBorders>
          </w:tcPr>
          <w:p w14:paraId="00D199A9" w14:textId="77777777" w:rsidR="0046798B" w:rsidRDefault="0046798B">
            <w:pPr>
              <w:pStyle w:val="TableParagraph"/>
              <w:rPr>
                <w:sz w:val="20"/>
              </w:rPr>
            </w:pPr>
          </w:p>
        </w:tc>
        <w:tc>
          <w:tcPr>
            <w:tcW w:w="3421" w:type="dxa"/>
            <w:tcBorders>
              <w:bottom w:val="dotted" w:sz="6" w:space="0" w:color="BEBEBE"/>
            </w:tcBorders>
          </w:tcPr>
          <w:p w14:paraId="04009116" w14:textId="77777777" w:rsidR="0046798B" w:rsidRDefault="00903B5C">
            <w:pPr>
              <w:pStyle w:val="TableParagraph"/>
              <w:spacing w:before="43"/>
              <w:ind w:left="114" w:right="364"/>
              <w:rPr>
                <w:sz w:val="20"/>
              </w:rPr>
            </w:pPr>
            <w:r>
              <w:rPr>
                <w:sz w:val="20"/>
              </w:rPr>
              <w:t>adjusted community rating, 3 = pure community rating)</w:t>
            </w:r>
          </w:p>
        </w:tc>
        <w:tc>
          <w:tcPr>
            <w:tcW w:w="6482" w:type="dxa"/>
            <w:tcBorders>
              <w:bottom w:val="dotted" w:sz="6" w:space="0" w:color="BEBEBE"/>
            </w:tcBorders>
          </w:tcPr>
          <w:p w14:paraId="24CA9E4F" w14:textId="77777777" w:rsidR="0046798B" w:rsidRDefault="0046798B">
            <w:pPr>
              <w:pStyle w:val="TableParagraph"/>
              <w:rPr>
                <w:sz w:val="20"/>
              </w:rPr>
            </w:pPr>
          </w:p>
        </w:tc>
      </w:tr>
      <w:tr w:rsidR="0046798B" w14:paraId="13F47624" w14:textId="77777777">
        <w:trPr>
          <w:trHeight w:val="1002"/>
        </w:trPr>
        <w:tc>
          <w:tcPr>
            <w:tcW w:w="1711" w:type="dxa"/>
            <w:tcBorders>
              <w:top w:val="dotted" w:sz="6" w:space="0" w:color="BEBEBE"/>
            </w:tcBorders>
          </w:tcPr>
          <w:p w14:paraId="778F6FE6" w14:textId="77777777" w:rsidR="0046798B" w:rsidRDefault="0046798B">
            <w:pPr>
              <w:pStyle w:val="TableParagraph"/>
            </w:pPr>
          </w:p>
          <w:p w14:paraId="54C4B13E" w14:textId="77777777" w:rsidR="0046798B" w:rsidRDefault="00903B5C">
            <w:pPr>
              <w:pStyle w:val="TableParagraph"/>
              <w:spacing w:before="133"/>
              <w:ind w:left="115"/>
              <w:rPr>
                <w:b/>
                <w:sz w:val="20"/>
              </w:rPr>
            </w:pPr>
            <w:r>
              <w:rPr>
                <w:b/>
                <w:sz w:val="20"/>
              </w:rPr>
              <w:t>nlabel</w:t>
            </w:r>
          </w:p>
        </w:tc>
        <w:tc>
          <w:tcPr>
            <w:tcW w:w="1596" w:type="dxa"/>
            <w:tcBorders>
              <w:top w:val="dotted" w:sz="6" w:space="0" w:color="BEBEBE"/>
            </w:tcBorders>
          </w:tcPr>
          <w:p w14:paraId="18D0824D" w14:textId="77777777" w:rsidR="0046798B" w:rsidRDefault="0046798B">
            <w:pPr>
              <w:pStyle w:val="TableParagraph"/>
              <w:spacing w:before="6"/>
              <w:rPr>
                <w:sz w:val="23"/>
              </w:rPr>
            </w:pPr>
          </w:p>
          <w:p w14:paraId="1223713C" w14:textId="77777777" w:rsidR="0046798B" w:rsidRDefault="00903B5C">
            <w:pPr>
              <w:pStyle w:val="TableParagraph"/>
              <w:ind w:left="114" w:right="469"/>
              <w:rPr>
                <w:sz w:val="20"/>
              </w:rPr>
            </w:pPr>
            <w:r>
              <w:rPr>
                <w:sz w:val="20"/>
              </w:rPr>
              <w:t>Mandatory labeling law</w:t>
            </w:r>
          </w:p>
        </w:tc>
        <w:tc>
          <w:tcPr>
            <w:tcW w:w="1285" w:type="dxa"/>
            <w:tcBorders>
              <w:top w:val="dotted" w:sz="6" w:space="0" w:color="BEBEBE"/>
            </w:tcBorders>
          </w:tcPr>
          <w:p w14:paraId="74BBB32E" w14:textId="77777777" w:rsidR="0046798B" w:rsidRDefault="0046798B">
            <w:pPr>
              <w:pStyle w:val="TableParagraph"/>
            </w:pPr>
          </w:p>
          <w:p w14:paraId="5FD5E83D" w14:textId="77777777" w:rsidR="0046798B" w:rsidRDefault="00903B5C">
            <w:pPr>
              <w:pStyle w:val="TableParagraph"/>
              <w:spacing w:before="133"/>
              <w:ind w:left="114"/>
              <w:rPr>
                <w:sz w:val="20"/>
              </w:rPr>
            </w:pPr>
            <w:r>
              <w:rPr>
                <w:sz w:val="20"/>
              </w:rPr>
              <w:t>2000–2016</w:t>
            </w:r>
          </w:p>
        </w:tc>
        <w:tc>
          <w:tcPr>
            <w:tcW w:w="3421" w:type="dxa"/>
            <w:tcBorders>
              <w:top w:val="dotted" w:sz="6" w:space="0" w:color="BEBEBE"/>
            </w:tcBorders>
          </w:tcPr>
          <w:p w14:paraId="2C3B682B" w14:textId="77777777" w:rsidR="0046798B" w:rsidRDefault="00903B5C">
            <w:pPr>
              <w:pStyle w:val="TableParagraph"/>
              <w:spacing w:before="40"/>
              <w:ind w:left="114"/>
              <w:rPr>
                <w:sz w:val="20"/>
              </w:rPr>
            </w:pPr>
            <w:r>
              <w:rPr>
                <w:sz w:val="20"/>
              </w:rPr>
              <w:t>Mandatory labeling law? (0 = none, 0.1</w:t>
            </w:r>
          </w:p>
          <w:p w14:paraId="7E1804B2" w14:textId="77777777" w:rsidR="0046798B" w:rsidRDefault="00903B5C">
            <w:pPr>
              <w:pStyle w:val="TableParagraph"/>
              <w:spacing w:before="1"/>
              <w:ind w:left="114" w:right="114"/>
              <w:jc w:val="both"/>
              <w:rPr>
                <w:sz w:val="20"/>
              </w:rPr>
            </w:pPr>
            <w:r>
              <w:rPr>
                <w:sz w:val="20"/>
              </w:rPr>
              <w:t>= GMOs, 0.05 = GMOs, but only takes effect with other states, 1 = all potential carcinogens)</w:t>
            </w:r>
          </w:p>
        </w:tc>
        <w:tc>
          <w:tcPr>
            <w:tcW w:w="6482" w:type="dxa"/>
            <w:tcBorders>
              <w:top w:val="dotted" w:sz="6" w:space="0" w:color="BEBEBE"/>
            </w:tcBorders>
          </w:tcPr>
          <w:p w14:paraId="7A792103" w14:textId="77777777" w:rsidR="0046798B" w:rsidRDefault="00903B5C">
            <w:pPr>
              <w:pStyle w:val="TableParagraph"/>
              <w:spacing w:before="155"/>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9243F1F" w14:textId="77777777">
        <w:trPr>
          <w:trHeight w:val="1240"/>
        </w:trPr>
        <w:tc>
          <w:tcPr>
            <w:tcW w:w="1711" w:type="dxa"/>
          </w:tcPr>
          <w:p w14:paraId="2464F4E8" w14:textId="77777777" w:rsidR="0046798B" w:rsidRDefault="0046798B">
            <w:pPr>
              <w:pStyle w:val="TableParagraph"/>
            </w:pPr>
          </w:p>
          <w:p w14:paraId="50143A1A" w14:textId="77777777" w:rsidR="0046798B" w:rsidRDefault="00903B5C">
            <w:pPr>
              <w:pStyle w:val="TableParagraph"/>
              <w:spacing w:before="136"/>
              <w:ind w:left="115" w:right="121"/>
              <w:rPr>
                <w:b/>
                <w:sz w:val="20"/>
              </w:rPr>
            </w:pPr>
            <w:r>
              <w:rPr>
                <w:b/>
                <w:sz w:val="20"/>
              </w:rPr>
              <w:t>boehmke_snrpre sc</w:t>
            </w:r>
          </w:p>
        </w:tc>
        <w:tc>
          <w:tcPr>
            <w:tcW w:w="1596" w:type="dxa"/>
          </w:tcPr>
          <w:p w14:paraId="3305DEC6" w14:textId="77777777" w:rsidR="0046798B" w:rsidRDefault="0046798B">
            <w:pPr>
              <w:pStyle w:val="TableParagraph"/>
              <w:spacing w:before="9"/>
              <w:rPr>
                <w:sz w:val="23"/>
              </w:rPr>
            </w:pPr>
          </w:p>
          <w:p w14:paraId="034017EB" w14:textId="77777777" w:rsidR="0046798B" w:rsidRDefault="00903B5C">
            <w:pPr>
              <w:pStyle w:val="TableParagraph"/>
              <w:ind w:left="114" w:right="496"/>
              <w:rPr>
                <w:sz w:val="20"/>
              </w:rPr>
            </w:pPr>
            <w:r>
              <w:rPr>
                <w:sz w:val="20"/>
              </w:rPr>
              <w:t>Senior prescription drugs</w:t>
            </w:r>
          </w:p>
        </w:tc>
        <w:tc>
          <w:tcPr>
            <w:tcW w:w="1285" w:type="dxa"/>
          </w:tcPr>
          <w:p w14:paraId="4CE23882" w14:textId="77777777" w:rsidR="0046798B" w:rsidRDefault="0046798B">
            <w:pPr>
              <w:pStyle w:val="TableParagraph"/>
            </w:pPr>
          </w:p>
          <w:p w14:paraId="1D9EBE87" w14:textId="77777777" w:rsidR="0046798B" w:rsidRDefault="0046798B">
            <w:pPr>
              <w:pStyle w:val="TableParagraph"/>
              <w:spacing w:before="9"/>
              <w:rPr>
                <w:sz w:val="21"/>
              </w:rPr>
            </w:pPr>
          </w:p>
          <w:p w14:paraId="6E000FB7" w14:textId="77777777" w:rsidR="0046798B" w:rsidRDefault="00903B5C">
            <w:pPr>
              <w:pStyle w:val="TableParagraph"/>
              <w:ind w:left="114"/>
              <w:rPr>
                <w:sz w:val="20"/>
              </w:rPr>
            </w:pPr>
            <w:r>
              <w:rPr>
                <w:sz w:val="20"/>
              </w:rPr>
              <w:t>1975–2001</w:t>
            </w:r>
          </w:p>
        </w:tc>
        <w:tc>
          <w:tcPr>
            <w:tcW w:w="3421" w:type="dxa"/>
          </w:tcPr>
          <w:p w14:paraId="1367D50C" w14:textId="77777777" w:rsidR="0046798B" w:rsidRDefault="00903B5C">
            <w:pPr>
              <w:pStyle w:val="TableParagraph"/>
              <w:spacing w:before="159"/>
              <w:ind w:left="114" w:right="164"/>
              <w:jc w:val="both"/>
              <w:rPr>
                <w:sz w:val="20"/>
              </w:rPr>
            </w:pPr>
            <w:r>
              <w:rPr>
                <w:sz w:val="20"/>
              </w:rPr>
              <w:t>Does the state provide pharmaceutical coverage or assistance for seniors who do not qualify for Medicaid? (0 = no, 1</w:t>
            </w:r>
          </w:p>
          <w:p w14:paraId="1164E0B0" w14:textId="77777777" w:rsidR="0046798B" w:rsidRDefault="00903B5C">
            <w:pPr>
              <w:pStyle w:val="TableParagraph"/>
              <w:ind w:left="114"/>
              <w:jc w:val="both"/>
              <w:rPr>
                <w:sz w:val="20"/>
              </w:rPr>
            </w:pPr>
            <w:r>
              <w:rPr>
                <w:sz w:val="20"/>
              </w:rPr>
              <w:t>= yes)</w:t>
            </w:r>
          </w:p>
        </w:tc>
        <w:tc>
          <w:tcPr>
            <w:tcW w:w="6482" w:type="dxa"/>
          </w:tcPr>
          <w:p w14:paraId="660C83AC" w14:textId="77777777" w:rsidR="0046798B" w:rsidRDefault="00903B5C">
            <w:pPr>
              <w:pStyle w:val="TableParagraph"/>
              <w:spacing w:before="44"/>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021B9417" w14:textId="77777777">
        <w:trPr>
          <w:trHeight w:val="1235"/>
        </w:trPr>
        <w:tc>
          <w:tcPr>
            <w:tcW w:w="1711" w:type="dxa"/>
          </w:tcPr>
          <w:p w14:paraId="4E962F60" w14:textId="77777777" w:rsidR="0046798B" w:rsidRDefault="0046798B">
            <w:pPr>
              <w:pStyle w:val="TableParagraph"/>
            </w:pPr>
          </w:p>
          <w:p w14:paraId="72A448AB" w14:textId="77777777" w:rsidR="0046798B" w:rsidRDefault="00903B5C">
            <w:pPr>
              <w:pStyle w:val="TableParagraph"/>
              <w:spacing w:before="130"/>
              <w:ind w:left="115" w:right="155"/>
              <w:rPr>
                <w:b/>
                <w:sz w:val="20"/>
              </w:rPr>
            </w:pPr>
            <w:r>
              <w:rPr>
                <w:b/>
                <w:sz w:val="20"/>
              </w:rPr>
              <w:t>regulation_force d_sterlizations</w:t>
            </w:r>
          </w:p>
        </w:tc>
        <w:tc>
          <w:tcPr>
            <w:tcW w:w="1596" w:type="dxa"/>
          </w:tcPr>
          <w:p w14:paraId="2384BD50" w14:textId="77777777" w:rsidR="0046798B" w:rsidRDefault="0046798B">
            <w:pPr>
              <w:pStyle w:val="TableParagraph"/>
            </w:pPr>
          </w:p>
          <w:p w14:paraId="365F5CD6" w14:textId="77777777" w:rsidR="0046798B" w:rsidRDefault="00903B5C">
            <w:pPr>
              <w:pStyle w:val="TableParagraph"/>
              <w:spacing w:before="130"/>
              <w:ind w:left="114" w:right="430"/>
              <w:rPr>
                <w:sz w:val="20"/>
              </w:rPr>
            </w:pPr>
            <w:r>
              <w:rPr>
                <w:sz w:val="20"/>
              </w:rPr>
              <w:t>Forced sterilizations</w:t>
            </w:r>
          </w:p>
        </w:tc>
        <w:tc>
          <w:tcPr>
            <w:tcW w:w="1285" w:type="dxa"/>
          </w:tcPr>
          <w:p w14:paraId="03794F1E" w14:textId="77777777" w:rsidR="0046798B" w:rsidRDefault="0046798B">
            <w:pPr>
              <w:pStyle w:val="TableParagraph"/>
            </w:pPr>
          </w:p>
          <w:p w14:paraId="5FDCEF6A" w14:textId="77777777" w:rsidR="0046798B" w:rsidRDefault="0046798B">
            <w:pPr>
              <w:pStyle w:val="TableParagraph"/>
              <w:spacing w:before="4"/>
              <w:rPr>
                <w:sz w:val="21"/>
              </w:rPr>
            </w:pPr>
          </w:p>
          <w:p w14:paraId="39D99438" w14:textId="77777777" w:rsidR="0046798B" w:rsidRDefault="00903B5C">
            <w:pPr>
              <w:pStyle w:val="TableParagraph"/>
              <w:ind w:left="114"/>
              <w:rPr>
                <w:sz w:val="20"/>
              </w:rPr>
            </w:pPr>
            <w:r>
              <w:rPr>
                <w:sz w:val="20"/>
              </w:rPr>
              <w:t>1945–1974</w:t>
            </w:r>
          </w:p>
        </w:tc>
        <w:tc>
          <w:tcPr>
            <w:tcW w:w="3421" w:type="dxa"/>
          </w:tcPr>
          <w:p w14:paraId="6B17F298" w14:textId="77777777" w:rsidR="0046798B" w:rsidRDefault="0046798B">
            <w:pPr>
              <w:pStyle w:val="TableParagraph"/>
            </w:pPr>
          </w:p>
          <w:p w14:paraId="10C2B1A6" w14:textId="77777777" w:rsidR="0046798B" w:rsidRDefault="00903B5C">
            <w:pPr>
              <w:pStyle w:val="TableParagraph"/>
              <w:spacing w:before="130"/>
              <w:ind w:left="114" w:right="141"/>
              <w:rPr>
                <w:sz w:val="20"/>
              </w:rPr>
            </w:pPr>
            <w:r>
              <w:rPr>
                <w:sz w:val="20"/>
              </w:rPr>
              <w:t>Does the state have a forced sterilization program? (0 = no, 1 = yes)</w:t>
            </w:r>
          </w:p>
        </w:tc>
        <w:tc>
          <w:tcPr>
            <w:tcW w:w="6482" w:type="dxa"/>
          </w:tcPr>
          <w:p w14:paraId="1825EDAC"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13FED045" w14:textId="77777777">
        <w:trPr>
          <w:trHeight w:val="1235"/>
        </w:trPr>
        <w:tc>
          <w:tcPr>
            <w:tcW w:w="1711" w:type="dxa"/>
          </w:tcPr>
          <w:p w14:paraId="770CD719" w14:textId="77777777" w:rsidR="0046798B" w:rsidRDefault="0046798B">
            <w:pPr>
              <w:pStyle w:val="TableParagraph"/>
            </w:pPr>
          </w:p>
          <w:p w14:paraId="42A4C262" w14:textId="77777777" w:rsidR="0046798B" w:rsidRDefault="00903B5C">
            <w:pPr>
              <w:pStyle w:val="TableParagraph"/>
              <w:spacing w:before="130"/>
              <w:ind w:left="115"/>
              <w:rPr>
                <w:b/>
                <w:sz w:val="20"/>
              </w:rPr>
            </w:pPr>
            <w:r>
              <w:rPr>
                <w:b/>
                <w:sz w:val="20"/>
              </w:rPr>
              <w:t>regulation_physi cian_suicide</w:t>
            </w:r>
          </w:p>
        </w:tc>
        <w:tc>
          <w:tcPr>
            <w:tcW w:w="1596" w:type="dxa"/>
          </w:tcPr>
          <w:p w14:paraId="45C21486" w14:textId="77777777" w:rsidR="0046798B" w:rsidRDefault="0046798B">
            <w:pPr>
              <w:pStyle w:val="TableParagraph"/>
            </w:pPr>
          </w:p>
          <w:p w14:paraId="419A3A3D" w14:textId="77777777" w:rsidR="0046798B" w:rsidRDefault="00903B5C">
            <w:pPr>
              <w:pStyle w:val="TableParagraph"/>
              <w:spacing w:before="130"/>
              <w:ind w:left="114" w:right="213"/>
              <w:rPr>
                <w:sz w:val="20"/>
              </w:rPr>
            </w:pPr>
            <w:r>
              <w:rPr>
                <w:sz w:val="20"/>
              </w:rPr>
              <w:t>Physician- assisted suicide</w:t>
            </w:r>
          </w:p>
        </w:tc>
        <w:tc>
          <w:tcPr>
            <w:tcW w:w="1285" w:type="dxa"/>
          </w:tcPr>
          <w:p w14:paraId="54B8FCAB" w14:textId="77777777" w:rsidR="0046798B" w:rsidRDefault="0046798B">
            <w:pPr>
              <w:pStyle w:val="TableParagraph"/>
            </w:pPr>
          </w:p>
          <w:p w14:paraId="57C20309" w14:textId="77777777" w:rsidR="0046798B" w:rsidRDefault="0046798B">
            <w:pPr>
              <w:pStyle w:val="TableParagraph"/>
              <w:spacing w:before="4"/>
              <w:rPr>
                <w:sz w:val="21"/>
              </w:rPr>
            </w:pPr>
          </w:p>
          <w:p w14:paraId="48FB6515" w14:textId="77777777" w:rsidR="0046798B" w:rsidRDefault="00903B5C">
            <w:pPr>
              <w:pStyle w:val="TableParagraph"/>
              <w:ind w:left="114"/>
              <w:rPr>
                <w:sz w:val="20"/>
              </w:rPr>
            </w:pPr>
            <w:r>
              <w:rPr>
                <w:sz w:val="20"/>
              </w:rPr>
              <w:t>1998–2014</w:t>
            </w:r>
          </w:p>
        </w:tc>
        <w:tc>
          <w:tcPr>
            <w:tcW w:w="3421" w:type="dxa"/>
          </w:tcPr>
          <w:p w14:paraId="6F61B749" w14:textId="77777777" w:rsidR="0046798B" w:rsidRDefault="0046798B">
            <w:pPr>
              <w:pStyle w:val="TableParagraph"/>
            </w:pPr>
          </w:p>
          <w:p w14:paraId="12C15180" w14:textId="77777777" w:rsidR="0046798B" w:rsidRDefault="00903B5C">
            <w:pPr>
              <w:pStyle w:val="TableParagraph"/>
              <w:spacing w:before="130"/>
              <w:ind w:left="114" w:right="155"/>
              <w:rPr>
                <w:sz w:val="20"/>
              </w:rPr>
            </w:pPr>
            <w:r>
              <w:rPr>
                <w:sz w:val="20"/>
              </w:rPr>
              <w:t>Does the state allow physician-assisted suicide? (0 = no, 1 = yes)</w:t>
            </w:r>
          </w:p>
        </w:tc>
        <w:tc>
          <w:tcPr>
            <w:tcW w:w="6482" w:type="dxa"/>
          </w:tcPr>
          <w:p w14:paraId="1D605738"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60101702" w14:textId="77777777">
        <w:trPr>
          <w:trHeight w:val="1925"/>
        </w:trPr>
        <w:tc>
          <w:tcPr>
            <w:tcW w:w="1711" w:type="dxa"/>
          </w:tcPr>
          <w:p w14:paraId="3188A123" w14:textId="77777777" w:rsidR="0046798B" w:rsidRDefault="0046798B">
            <w:pPr>
              <w:pStyle w:val="TableParagraph"/>
            </w:pPr>
          </w:p>
          <w:p w14:paraId="619A8CC9" w14:textId="77777777" w:rsidR="0046798B" w:rsidRDefault="0046798B">
            <w:pPr>
              <w:pStyle w:val="TableParagraph"/>
            </w:pPr>
          </w:p>
          <w:p w14:paraId="0117E965" w14:textId="77777777" w:rsidR="0046798B" w:rsidRDefault="0046798B">
            <w:pPr>
              <w:pStyle w:val="TableParagraph"/>
              <w:spacing w:before="3"/>
              <w:rPr>
                <w:sz w:val="29"/>
              </w:rPr>
            </w:pPr>
          </w:p>
          <w:p w14:paraId="0D616A29" w14:textId="77777777" w:rsidR="0046798B" w:rsidRDefault="00903B5C">
            <w:pPr>
              <w:pStyle w:val="TableParagraph"/>
              <w:spacing w:before="1"/>
              <w:ind w:left="115"/>
              <w:rPr>
                <w:b/>
                <w:sz w:val="20"/>
              </w:rPr>
            </w:pPr>
            <w:r>
              <w:rPr>
                <w:b/>
                <w:sz w:val="20"/>
              </w:rPr>
              <w:t>imitcontsub</w:t>
            </w:r>
          </w:p>
        </w:tc>
        <w:tc>
          <w:tcPr>
            <w:tcW w:w="1596" w:type="dxa"/>
          </w:tcPr>
          <w:p w14:paraId="6D326FA6" w14:textId="77777777" w:rsidR="0046798B" w:rsidRDefault="0046798B">
            <w:pPr>
              <w:pStyle w:val="TableParagraph"/>
            </w:pPr>
          </w:p>
          <w:p w14:paraId="42F226F5" w14:textId="77777777" w:rsidR="0046798B" w:rsidRDefault="0046798B">
            <w:pPr>
              <w:pStyle w:val="TableParagraph"/>
              <w:spacing w:before="10"/>
              <w:rPr>
                <w:sz w:val="21"/>
              </w:rPr>
            </w:pPr>
          </w:p>
          <w:p w14:paraId="5ECD5999" w14:textId="77777777" w:rsidR="0046798B" w:rsidRDefault="00903B5C">
            <w:pPr>
              <w:pStyle w:val="TableParagraph"/>
              <w:spacing w:line="237" w:lineRule="auto"/>
              <w:ind w:left="114" w:right="496"/>
              <w:rPr>
                <w:sz w:val="20"/>
              </w:rPr>
            </w:pPr>
            <w:r>
              <w:rPr>
                <w:sz w:val="20"/>
              </w:rPr>
              <w:t>Regulating imitation prescription drugs</w:t>
            </w:r>
          </w:p>
        </w:tc>
        <w:tc>
          <w:tcPr>
            <w:tcW w:w="1285" w:type="dxa"/>
          </w:tcPr>
          <w:p w14:paraId="06F31F32" w14:textId="77777777" w:rsidR="0046798B" w:rsidRDefault="0046798B">
            <w:pPr>
              <w:pStyle w:val="TableParagraph"/>
            </w:pPr>
          </w:p>
          <w:p w14:paraId="3800881F" w14:textId="77777777" w:rsidR="0046798B" w:rsidRDefault="0046798B">
            <w:pPr>
              <w:pStyle w:val="TableParagraph"/>
            </w:pPr>
          </w:p>
          <w:p w14:paraId="0772E7A1" w14:textId="77777777" w:rsidR="0046798B" w:rsidRDefault="0046798B">
            <w:pPr>
              <w:pStyle w:val="TableParagraph"/>
              <w:spacing w:before="3"/>
              <w:rPr>
                <w:sz w:val="29"/>
              </w:rPr>
            </w:pPr>
          </w:p>
          <w:p w14:paraId="5E2CC136" w14:textId="77777777" w:rsidR="0046798B" w:rsidRDefault="00903B5C">
            <w:pPr>
              <w:pStyle w:val="TableParagraph"/>
              <w:spacing w:before="1"/>
              <w:ind w:left="114"/>
              <w:rPr>
                <w:sz w:val="20"/>
              </w:rPr>
            </w:pPr>
            <w:r>
              <w:rPr>
                <w:sz w:val="20"/>
              </w:rPr>
              <w:t>1962–1999</w:t>
            </w:r>
          </w:p>
        </w:tc>
        <w:tc>
          <w:tcPr>
            <w:tcW w:w="3421" w:type="dxa"/>
          </w:tcPr>
          <w:p w14:paraId="75FD1785" w14:textId="77777777" w:rsidR="0046798B" w:rsidRDefault="0046798B">
            <w:pPr>
              <w:pStyle w:val="TableParagraph"/>
            </w:pPr>
          </w:p>
          <w:p w14:paraId="097C4088" w14:textId="77777777" w:rsidR="0046798B" w:rsidRDefault="0046798B">
            <w:pPr>
              <w:pStyle w:val="TableParagraph"/>
            </w:pPr>
          </w:p>
          <w:p w14:paraId="7EC45494" w14:textId="77777777" w:rsidR="0046798B" w:rsidRDefault="0046798B">
            <w:pPr>
              <w:pStyle w:val="TableParagraph"/>
              <w:spacing w:before="3"/>
              <w:rPr>
                <w:sz w:val="19"/>
              </w:rPr>
            </w:pPr>
          </w:p>
          <w:p w14:paraId="4CEDB44A"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562A64E8" w14:textId="77777777" w:rsidR="0046798B" w:rsidRDefault="00903B5C">
            <w:pPr>
              <w:pStyle w:val="TableParagraph"/>
              <w:spacing w:before="43"/>
              <w:ind w:left="114"/>
              <w:rPr>
                <w:sz w:val="20"/>
              </w:rPr>
            </w:pPr>
            <w:r>
              <w:rPr>
                <w:sz w:val="20"/>
              </w:rPr>
              <w:t xml:space="preserve">Boushey, Graeme. “Targeted for diffusion? How the use and acceptance of stereotypes shape the diffusion of criminal justice policy innovations in the American States.” </w:t>
            </w:r>
            <w:r>
              <w:rPr>
                <w:i/>
                <w:sz w:val="20"/>
              </w:rPr>
              <w:t xml:space="preserve">American Political Science Review </w:t>
            </w:r>
            <w:r>
              <w:rPr>
                <w:sz w:val="20"/>
              </w:rPr>
              <w:t>110.1 (2016): 198-214.</w:t>
            </w:r>
          </w:p>
          <w:p w14:paraId="336DF2F2" w14:textId="77777777" w:rsidR="0046798B" w:rsidRDefault="0046798B">
            <w:pPr>
              <w:pStyle w:val="TableParagraph"/>
              <w:spacing w:before="6"/>
              <w:rPr>
                <w:sz w:val="19"/>
              </w:rPr>
            </w:pPr>
          </w:p>
          <w:p w14:paraId="1C0DFF83"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5820295" w14:textId="77777777">
        <w:trPr>
          <w:trHeight w:val="1465"/>
        </w:trPr>
        <w:tc>
          <w:tcPr>
            <w:tcW w:w="1711" w:type="dxa"/>
          </w:tcPr>
          <w:p w14:paraId="644FA06F" w14:textId="77777777" w:rsidR="0046798B" w:rsidRDefault="0046798B">
            <w:pPr>
              <w:pStyle w:val="TableParagraph"/>
            </w:pPr>
          </w:p>
          <w:p w14:paraId="5DCAB410" w14:textId="77777777" w:rsidR="0046798B" w:rsidRDefault="0046798B">
            <w:pPr>
              <w:pStyle w:val="TableParagraph"/>
              <w:spacing w:before="9"/>
              <w:rPr>
                <w:sz w:val="31"/>
              </w:rPr>
            </w:pPr>
          </w:p>
          <w:p w14:paraId="446ABFAD" w14:textId="77777777" w:rsidR="0046798B" w:rsidRDefault="00903B5C">
            <w:pPr>
              <w:pStyle w:val="TableParagraph"/>
              <w:ind w:left="115"/>
              <w:rPr>
                <w:b/>
                <w:sz w:val="20"/>
              </w:rPr>
            </w:pPr>
            <w:r>
              <w:rPr>
                <w:b/>
                <w:sz w:val="20"/>
              </w:rPr>
              <w:t>nurse_reg</w:t>
            </w:r>
          </w:p>
        </w:tc>
        <w:tc>
          <w:tcPr>
            <w:tcW w:w="1596" w:type="dxa"/>
          </w:tcPr>
          <w:p w14:paraId="4E481EF9" w14:textId="77777777" w:rsidR="0046798B" w:rsidRDefault="0046798B">
            <w:pPr>
              <w:pStyle w:val="TableParagraph"/>
            </w:pPr>
          </w:p>
          <w:p w14:paraId="3FD9091A" w14:textId="77777777" w:rsidR="0046798B" w:rsidRDefault="0046798B">
            <w:pPr>
              <w:pStyle w:val="TableParagraph"/>
              <w:spacing w:before="9"/>
              <w:rPr>
                <w:sz w:val="21"/>
              </w:rPr>
            </w:pPr>
          </w:p>
          <w:p w14:paraId="043F11B3" w14:textId="77777777" w:rsidR="0046798B" w:rsidRDefault="00903B5C">
            <w:pPr>
              <w:pStyle w:val="TableParagraph"/>
              <w:ind w:left="114" w:right="124"/>
              <w:rPr>
                <w:sz w:val="20"/>
              </w:rPr>
            </w:pPr>
            <w:r>
              <w:rPr>
                <w:sz w:val="20"/>
              </w:rPr>
              <w:t>Nursing practice regulations</w:t>
            </w:r>
          </w:p>
        </w:tc>
        <w:tc>
          <w:tcPr>
            <w:tcW w:w="1285" w:type="dxa"/>
          </w:tcPr>
          <w:p w14:paraId="0296BF0C" w14:textId="77777777" w:rsidR="0046798B" w:rsidRDefault="0046798B">
            <w:pPr>
              <w:pStyle w:val="TableParagraph"/>
            </w:pPr>
          </w:p>
          <w:p w14:paraId="6C2BD99E" w14:textId="77777777" w:rsidR="0046798B" w:rsidRDefault="0046798B">
            <w:pPr>
              <w:pStyle w:val="TableParagraph"/>
              <w:spacing w:before="9"/>
              <w:rPr>
                <w:sz w:val="31"/>
              </w:rPr>
            </w:pPr>
          </w:p>
          <w:p w14:paraId="69486D52" w14:textId="77777777" w:rsidR="0046798B" w:rsidRDefault="00903B5C">
            <w:pPr>
              <w:pStyle w:val="TableParagraph"/>
              <w:ind w:left="114"/>
              <w:rPr>
                <w:sz w:val="20"/>
              </w:rPr>
            </w:pPr>
            <w:r>
              <w:rPr>
                <w:sz w:val="20"/>
              </w:rPr>
              <w:t>2013</w:t>
            </w:r>
          </w:p>
        </w:tc>
        <w:tc>
          <w:tcPr>
            <w:tcW w:w="3421" w:type="dxa"/>
          </w:tcPr>
          <w:p w14:paraId="1A96DB5A" w14:textId="77777777" w:rsidR="0046798B" w:rsidRDefault="00903B5C">
            <w:pPr>
              <w:pStyle w:val="TableParagraph"/>
              <w:spacing w:before="43"/>
              <w:ind w:left="114" w:right="283"/>
              <w:rPr>
                <w:sz w:val="20"/>
              </w:rPr>
            </w:pPr>
            <w:r>
              <w:rPr>
                <w:sz w:val="20"/>
              </w:rPr>
              <w:t>Scope of practice regulations by state (American Association of Nurse Practitioners classification)</w:t>
            </w:r>
          </w:p>
          <w:p w14:paraId="2869C923" w14:textId="77777777" w:rsidR="0046798B" w:rsidRDefault="0046798B">
            <w:pPr>
              <w:pStyle w:val="TableParagraph"/>
              <w:rPr>
                <w:sz w:val="20"/>
              </w:rPr>
            </w:pPr>
          </w:p>
          <w:p w14:paraId="7D561B74" w14:textId="77777777" w:rsidR="0046798B" w:rsidRDefault="00903B5C">
            <w:pPr>
              <w:pStyle w:val="TableParagraph"/>
              <w:ind w:left="114" w:right="486"/>
              <w:rPr>
                <w:sz w:val="20"/>
              </w:rPr>
            </w:pPr>
            <w:r>
              <w:rPr>
                <w:sz w:val="20"/>
              </w:rPr>
              <w:t>1 = restricted practice; 2 = reduced practice; 3 = full practice</w:t>
            </w:r>
          </w:p>
        </w:tc>
        <w:tc>
          <w:tcPr>
            <w:tcW w:w="6482" w:type="dxa"/>
          </w:tcPr>
          <w:p w14:paraId="6B6825E0" w14:textId="77777777" w:rsidR="0046798B" w:rsidRDefault="00903B5C">
            <w:pPr>
              <w:pStyle w:val="TableParagraph"/>
              <w:spacing w:before="158"/>
              <w:ind w:left="114" w:right="195"/>
              <w:rPr>
                <w:sz w:val="20"/>
              </w:rPr>
            </w:pPr>
            <w:r>
              <w:rPr>
                <w:sz w:val="20"/>
              </w:rPr>
              <w:t xml:space="preserve">Perloff, Jennifer, Sean Clarke, Catherine M. DesRoches, Monica O’Reilly- Jacob, and Peter Buerhaus. 2017. “Association of State-Level Restrictions in Nurse Practitioner Scope of Practice With the Quality of Primary Care Provided to Medicare Beneficiaries.” </w:t>
            </w:r>
            <w:r>
              <w:rPr>
                <w:i/>
                <w:sz w:val="20"/>
              </w:rPr>
              <w:t xml:space="preserve">Medical Care Research and Review </w:t>
            </w:r>
            <w:r>
              <w:rPr>
                <w:sz w:val="20"/>
              </w:rPr>
              <w:t>https://doi.org/10.1177/1077558717732402.</w:t>
            </w:r>
          </w:p>
        </w:tc>
      </w:tr>
    </w:tbl>
    <w:p w14:paraId="37A9B983" w14:textId="77777777" w:rsidR="0046798B" w:rsidRDefault="0046798B">
      <w:pPr>
        <w:rPr>
          <w:sz w:val="20"/>
        </w:rPr>
        <w:sectPr w:rsidR="0046798B">
          <w:pgSz w:w="15840" w:h="12240" w:orient="landscape"/>
          <w:pgMar w:top="1220" w:right="300" w:bottom="980" w:left="820" w:header="730" w:footer="787" w:gutter="0"/>
          <w:cols w:space="720"/>
        </w:sectPr>
      </w:pPr>
    </w:p>
    <w:p w14:paraId="053EB6F4"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38900C86" w14:textId="77777777">
        <w:trPr>
          <w:trHeight w:val="1926"/>
        </w:trPr>
        <w:tc>
          <w:tcPr>
            <w:tcW w:w="1711" w:type="dxa"/>
          </w:tcPr>
          <w:p w14:paraId="51FD5261" w14:textId="77777777" w:rsidR="0046798B" w:rsidRDefault="0046798B">
            <w:pPr>
              <w:pStyle w:val="TableParagraph"/>
            </w:pPr>
          </w:p>
          <w:p w14:paraId="7E4E45BA" w14:textId="77777777" w:rsidR="0046798B" w:rsidRDefault="0046798B">
            <w:pPr>
              <w:pStyle w:val="TableParagraph"/>
            </w:pPr>
          </w:p>
          <w:p w14:paraId="1BD5DF64" w14:textId="77777777" w:rsidR="0046798B" w:rsidRDefault="0046798B">
            <w:pPr>
              <w:pStyle w:val="TableParagraph"/>
              <w:spacing w:before="9"/>
              <w:rPr>
                <w:sz w:val="19"/>
              </w:rPr>
            </w:pPr>
          </w:p>
          <w:p w14:paraId="76E7CBAD" w14:textId="77777777" w:rsidR="0046798B" w:rsidRDefault="00903B5C">
            <w:pPr>
              <w:pStyle w:val="TableParagraph"/>
              <w:ind w:left="115"/>
              <w:rPr>
                <w:b/>
                <w:sz w:val="20"/>
              </w:rPr>
            </w:pPr>
            <w:r>
              <w:rPr>
                <w:b/>
                <w:sz w:val="20"/>
              </w:rPr>
              <w:t>universal_health</w:t>
            </w:r>
          </w:p>
          <w:p w14:paraId="357DAF93" w14:textId="77777777" w:rsidR="0046798B" w:rsidRDefault="00903B5C">
            <w:pPr>
              <w:pStyle w:val="TableParagraph"/>
              <w:ind w:left="115"/>
              <w:rPr>
                <w:b/>
                <w:sz w:val="20"/>
              </w:rPr>
            </w:pPr>
            <w:r>
              <w:rPr>
                <w:b/>
                <w:sz w:val="20"/>
              </w:rPr>
              <w:t>_care</w:t>
            </w:r>
          </w:p>
        </w:tc>
        <w:tc>
          <w:tcPr>
            <w:tcW w:w="1596" w:type="dxa"/>
          </w:tcPr>
          <w:p w14:paraId="31C55A78" w14:textId="77777777" w:rsidR="0046798B" w:rsidRDefault="0046798B">
            <w:pPr>
              <w:pStyle w:val="TableParagraph"/>
            </w:pPr>
          </w:p>
          <w:p w14:paraId="7B2C6CAE" w14:textId="77777777" w:rsidR="0046798B" w:rsidRDefault="0046798B">
            <w:pPr>
              <w:pStyle w:val="TableParagraph"/>
            </w:pPr>
          </w:p>
          <w:p w14:paraId="72524D2A" w14:textId="77777777" w:rsidR="0046798B" w:rsidRDefault="0046798B">
            <w:pPr>
              <w:pStyle w:val="TableParagraph"/>
              <w:spacing w:before="9"/>
              <w:rPr>
                <w:sz w:val="19"/>
              </w:rPr>
            </w:pPr>
          </w:p>
          <w:p w14:paraId="5A672B22" w14:textId="77777777" w:rsidR="0046798B" w:rsidRDefault="00903B5C">
            <w:pPr>
              <w:pStyle w:val="TableParagraph"/>
              <w:ind w:left="114" w:right="135"/>
              <w:rPr>
                <w:sz w:val="20"/>
              </w:rPr>
            </w:pPr>
            <w:r>
              <w:rPr>
                <w:sz w:val="20"/>
              </w:rPr>
              <w:t>Universal health care bill</w:t>
            </w:r>
          </w:p>
        </w:tc>
        <w:tc>
          <w:tcPr>
            <w:tcW w:w="1285" w:type="dxa"/>
          </w:tcPr>
          <w:p w14:paraId="42EEA054" w14:textId="77777777" w:rsidR="0046798B" w:rsidRDefault="0046798B">
            <w:pPr>
              <w:pStyle w:val="TableParagraph"/>
            </w:pPr>
          </w:p>
          <w:p w14:paraId="57897C59" w14:textId="77777777" w:rsidR="0046798B" w:rsidRDefault="0046798B">
            <w:pPr>
              <w:pStyle w:val="TableParagraph"/>
            </w:pPr>
          </w:p>
          <w:p w14:paraId="50744742" w14:textId="77777777" w:rsidR="0046798B" w:rsidRDefault="0046798B">
            <w:pPr>
              <w:pStyle w:val="TableParagraph"/>
              <w:spacing w:before="9"/>
              <w:rPr>
                <w:sz w:val="29"/>
              </w:rPr>
            </w:pPr>
          </w:p>
          <w:p w14:paraId="17DEA285" w14:textId="77777777" w:rsidR="0046798B" w:rsidRDefault="00903B5C">
            <w:pPr>
              <w:pStyle w:val="TableParagraph"/>
              <w:ind w:left="114"/>
              <w:rPr>
                <w:sz w:val="20"/>
              </w:rPr>
            </w:pPr>
            <w:r>
              <w:rPr>
                <w:sz w:val="20"/>
              </w:rPr>
              <w:t>1988–1994</w:t>
            </w:r>
          </w:p>
        </w:tc>
        <w:tc>
          <w:tcPr>
            <w:tcW w:w="3421" w:type="dxa"/>
          </w:tcPr>
          <w:p w14:paraId="530D7F3D" w14:textId="77777777" w:rsidR="0046798B" w:rsidRDefault="0046798B">
            <w:pPr>
              <w:pStyle w:val="TableParagraph"/>
            </w:pPr>
          </w:p>
          <w:p w14:paraId="47D72678" w14:textId="77777777" w:rsidR="0046798B" w:rsidRDefault="0046798B">
            <w:pPr>
              <w:pStyle w:val="TableParagraph"/>
            </w:pPr>
          </w:p>
          <w:p w14:paraId="23EBA53C" w14:textId="77777777" w:rsidR="0046798B" w:rsidRDefault="0046798B">
            <w:pPr>
              <w:pStyle w:val="TableParagraph"/>
              <w:spacing w:before="9"/>
              <w:rPr>
                <w:sz w:val="19"/>
              </w:rPr>
            </w:pPr>
          </w:p>
          <w:p w14:paraId="222EA7E5" w14:textId="77777777" w:rsidR="0046798B" w:rsidRDefault="00903B5C">
            <w:pPr>
              <w:pStyle w:val="TableParagraph"/>
              <w:ind w:left="114" w:right="1475"/>
              <w:rPr>
                <w:sz w:val="20"/>
              </w:rPr>
            </w:pPr>
            <w:r>
              <w:rPr>
                <w:sz w:val="20"/>
              </w:rPr>
              <w:t>0 = policy not adopted 1 = policy adopted</w:t>
            </w:r>
          </w:p>
        </w:tc>
        <w:tc>
          <w:tcPr>
            <w:tcW w:w="6482" w:type="dxa"/>
          </w:tcPr>
          <w:p w14:paraId="72EBBF66" w14:textId="77777777" w:rsidR="0046798B" w:rsidRDefault="00903B5C">
            <w:pPr>
              <w:pStyle w:val="TableParagraph"/>
              <w:spacing w:before="43"/>
              <w:ind w:left="114" w:right="753"/>
              <w:jc w:val="both"/>
              <w:rPr>
                <w:sz w:val="20"/>
              </w:rPr>
            </w:pPr>
            <w:r>
              <w:rPr>
                <w:sz w:val="20"/>
              </w:rPr>
              <w:t xml:space="preserve">Gray, Virginia, David Lowery, James Monogan, and Erik K. Godwin. “Incrementing toward nowhere: Universal health care coverage in the states.” </w:t>
            </w:r>
            <w:r>
              <w:rPr>
                <w:i/>
                <w:sz w:val="20"/>
              </w:rPr>
              <w:t xml:space="preserve">Publius: The Journal of Federalism </w:t>
            </w:r>
            <w:r>
              <w:rPr>
                <w:sz w:val="20"/>
              </w:rPr>
              <w:t>40.1 (2009): 82–113.</w:t>
            </w:r>
          </w:p>
          <w:p w14:paraId="591AA9A2" w14:textId="77777777" w:rsidR="0046798B" w:rsidRDefault="0046798B">
            <w:pPr>
              <w:pStyle w:val="TableParagraph"/>
              <w:rPr>
                <w:sz w:val="20"/>
              </w:rPr>
            </w:pPr>
          </w:p>
          <w:p w14:paraId="6EEA962C"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264118AF" w14:textId="77777777">
        <w:trPr>
          <w:trHeight w:val="3305"/>
        </w:trPr>
        <w:tc>
          <w:tcPr>
            <w:tcW w:w="1711" w:type="dxa"/>
          </w:tcPr>
          <w:p w14:paraId="093D31F2" w14:textId="77777777" w:rsidR="0046798B" w:rsidRDefault="0046798B">
            <w:pPr>
              <w:pStyle w:val="TableParagraph"/>
            </w:pPr>
          </w:p>
          <w:p w14:paraId="0BB1CC69" w14:textId="77777777" w:rsidR="0046798B" w:rsidRDefault="0046798B">
            <w:pPr>
              <w:pStyle w:val="TableParagraph"/>
            </w:pPr>
          </w:p>
          <w:p w14:paraId="3EFB942A" w14:textId="77777777" w:rsidR="0046798B" w:rsidRDefault="0046798B">
            <w:pPr>
              <w:pStyle w:val="TableParagraph"/>
            </w:pPr>
          </w:p>
          <w:p w14:paraId="546FD5B1" w14:textId="77777777" w:rsidR="0046798B" w:rsidRDefault="0046798B">
            <w:pPr>
              <w:pStyle w:val="TableParagraph"/>
            </w:pPr>
          </w:p>
          <w:p w14:paraId="6165B73F" w14:textId="77777777" w:rsidR="0046798B" w:rsidRDefault="0046798B">
            <w:pPr>
              <w:pStyle w:val="TableParagraph"/>
            </w:pPr>
          </w:p>
          <w:p w14:paraId="1633E4D3" w14:textId="77777777" w:rsidR="0046798B" w:rsidRDefault="0046798B">
            <w:pPr>
              <w:pStyle w:val="TableParagraph"/>
              <w:spacing w:before="9"/>
              <w:rPr>
                <w:sz w:val="23"/>
              </w:rPr>
            </w:pPr>
          </w:p>
          <w:p w14:paraId="5FDE2C92" w14:textId="77777777" w:rsidR="0046798B" w:rsidRDefault="00903B5C">
            <w:pPr>
              <w:pStyle w:val="TableParagraph"/>
              <w:ind w:left="115"/>
              <w:rPr>
                <w:b/>
                <w:sz w:val="20"/>
              </w:rPr>
            </w:pPr>
            <w:r>
              <w:rPr>
                <w:b/>
                <w:sz w:val="20"/>
              </w:rPr>
              <w:t>popgovhealthins</w:t>
            </w:r>
          </w:p>
        </w:tc>
        <w:tc>
          <w:tcPr>
            <w:tcW w:w="1596" w:type="dxa"/>
          </w:tcPr>
          <w:p w14:paraId="6960C689" w14:textId="77777777" w:rsidR="0046798B" w:rsidRDefault="0046798B">
            <w:pPr>
              <w:pStyle w:val="TableParagraph"/>
            </w:pPr>
          </w:p>
          <w:p w14:paraId="40AD6C62" w14:textId="77777777" w:rsidR="0046798B" w:rsidRDefault="0046798B">
            <w:pPr>
              <w:pStyle w:val="TableParagraph"/>
            </w:pPr>
          </w:p>
          <w:p w14:paraId="5823B3AE" w14:textId="77777777" w:rsidR="0046798B" w:rsidRDefault="0046798B">
            <w:pPr>
              <w:pStyle w:val="TableParagraph"/>
            </w:pPr>
          </w:p>
          <w:p w14:paraId="6CB1105F" w14:textId="77777777" w:rsidR="0046798B" w:rsidRDefault="0046798B">
            <w:pPr>
              <w:pStyle w:val="TableParagraph"/>
            </w:pPr>
          </w:p>
          <w:p w14:paraId="5FCDF782" w14:textId="77777777" w:rsidR="0046798B" w:rsidRDefault="00903B5C">
            <w:pPr>
              <w:pStyle w:val="TableParagraph"/>
              <w:spacing w:before="181"/>
              <w:ind w:left="114" w:right="91"/>
              <w:rPr>
                <w:sz w:val="20"/>
              </w:rPr>
            </w:pPr>
            <w:r>
              <w:rPr>
                <w:sz w:val="20"/>
              </w:rPr>
              <w:t>Total population (in thousands) with government health insurance</w:t>
            </w:r>
          </w:p>
        </w:tc>
        <w:tc>
          <w:tcPr>
            <w:tcW w:w="1285" w:type="dxa"/>
          </w:tcPr>
          <w:p w14:paraId="7B9D1EC0" w14:textId="77777777" w:rsidR="0046798B" w:rsidRDefault="0046798B">
            <w:pPr>
              <w:pStyle w:val="TableParagraph"/>
            </w:pPr>
          </w:p>
          <w:p w14:paraId="55B19480" w14:textId="77777777" w:rsidR="0046798B" w:rsidRDefault="0046798B">
            <w:pPr>
              <w:pStyle w:val="TableParagraph"/>
            </w:pPr>
          </w:p>
          <w:p w14:paraId="189AC9F2" w14:textId="77777777" w:rsidR="0046798B" w:rsidRDefault="0046798B">
            <w:pPr>
              <w:pStyle w:val="TableParagraph"/>
            </w:pPr>
          </w:p>
          <w:p w14:paraId="0541FB6B" w14:textId="77777777" w:rsidR="0046798B" w:rsidRDefault="0046798B">
            <w:pPr>
              <w:pStyle w:val="TableParagraph"/>
            </w:pPr>
          </w:p>
          <w:p w14:paraId="4F56FBAE" w14:textId="77777777" w:rsidR="0046798B" w:rsidRDefault="0046798B">
            <w:pPr>
              <w:pStyle w:val="TableParagraph"/>
            </w:pPr>
          </w:p>
          <w:p w14:paraId="57022ACF" w14:textId="77777777" w:rsidR="0046798B" w:rsidRDefault="0046798B">
            <w:pPr>
              <w:pStyle w:val="TableParagraph"/>
              <w:spacing w:before="9"/>
              <w:rPr>
                <w:sz w:val="23"/>
              </w:rPr>
            </w:pPr>
          </w:p>
          <w:p w14:paraId="093136EC" w14:textId="4123F653" w:rsidR="0046798B" w:rsidRDefault="00903B5C">
            <w:pPr>
              <w:pStyle w:val="TableParagraph"/>
              <w:ind w:left="114"/>
              <w:rPr>
                <w:sz w:val="20"/>
              </w:rPr>
            </w:pPr>
            <w:r>
              <w:rPr>
                <w:sz w:val="20"/>
              </w:rPr>
              <w:t>1999–201</w:t>
            </w:r>
            <w:r w:rsidR="00855B7D">
              <w:rPr>
                <w:sz w:val="20"/>
              </w:rPr>
              <w:t>9</w:t>
            </w:r>
          </w:p>
        </w:tc>
        <w:tc>
          <w:tcPr>
            <w:tcW w:w="3421" w:type="dxa"/>
          </w:tcPr>
          <w:p w14:paraId="4014A88B" w14:textId="77777777" w:rsidR="0046798B" w:rsidRDefault="0046798B">
            <w:pPr>
              <w:pStyle w:val="TableParagraph"/>
              <w:spacing w:before="8"/>
              <w:rPr>
                <w:sz w:val="23"/>
              </w:rPr>
            </w:pPr>
          </w:p>
          <w:p w14:paraId="7392A7CC" w14:textId="77777777" w:rsidR="0046798B" w:rsidRDefault="00903B5C">
            <w:pPr>
              <w:pStyle w:val="TableParagraph"/>
              <w:spacing w:before="1"/>
              <w:ind w:left="114" w:right="189"/>
              <w:rPr>
                <w:sz w:val="20"/>
              </w:rPr>
            </w:pPr>
            <w:r>
              <w:rPr>
                <w:sz w:val="20"/>
              </w:rPr>
              <w:t>Number of people, in thousands, that have government health insurance. Government health insurance includes plans funded by governments at the federal, state, or local level. People as of March of the following year. The major categories of government health insurance are Medicare, Medicaid, the Children’s Health Insurance Program (CHIP), military health care, state- specific plans, and Indian Health Service (IHS).</w:t>
            </w:r>
          </w:p>
        </w:tc>
        <w:tc>
          <w:tcPr>
            <w:tcW w:w="6482" w:type="dxa"/>
          </w:tcPr>
          <w:p w14:paraId="5C3C2C00" w14:textId="77777777" w:rsidR="0046798B" w:rsidRDefault="00903B5C">
            <w:pPr>
              <w:pStyle w:val="TableParagraph"/>
              <w:spacing w:before="43"/>
              <w:ind w:left="114" w:right="528"/>
              <w:rPr>
                <w:sz w:val="20"/>
              </w:rPr>
            </w:pPr>
            <w:r>
              <w:rPr>
                <w:sz w:val="20"/>
              </w:rPr>
              <w:t>United States Census Bureau. “Table HIB-4. Health Insurance Coverage Status and Type of Coverage by State All People: 1999 to 2011.”</w:t>
            </w:r>
          </w:p>
          <w:p w14:paraId="0B70F59D" w14:textId="77777777" w:rsidR="0046798B" w:rsidRDefault="0046798B">
            <w:pPr>
              <w:pStyle w:val="TableParagraph"/>
              <w:rPr>
                <w:sz w:val="20"/>
              </w:rPr>
            </w:pPr>
          </w:p>
          <w:p w14:paraId="078B33F2" w14:textId="77777777" w:rsidR="0046798B" w:rsidRDefault="00903B5C">
            <w:pPr>
              <w:pStyle w:val="TableParagraph"/>
              <w:ind w:left="114" w:right="217"/>
              <w:rPr>
                <w:sz w:val="20"/>
              </w:rPr>
            </w:pPr>
            <w:r>
              <w:rPr>
                <w:sz w:val="20"/>
              </w:rPr>
              <w:t>Originally provided by Stateminder: A data visualization project from Georgetown Universit</w:t>
            </w:r>
            <w:hyperlink r:id="rId819">
              <w:r>
                <w:rPr>
                  <w:sz w:val="20"/>
                </w:rPr>
                <w:t xml:space="preserve">y. http://stateminder.org/ </w:t>
              </w:r>
            </w:hyperlink>
            <w:r>
              <w:rPr>
                <w:sz w:val="20"/>
              </w:rPr>
              <w:t>(no longer accessible online)</w:t>
            </w:r>
          </w:p>
          <w:p w14:paraId="02548F54" w14:textId="77777777" w:rsidR="0046798B" w:rsidRDefault="0046798B">
            <w:pPr>
              <w:pStyle w:val="TableParagraph"/>
              <w:rPr>
                <w:sz w:val="20"/>
              </w:rPr>
            </w:pPr>
          </w:p>
          <w:p w14:paraId="010B36C7" w14:textId="77777777" w:rsidR="0046798B" w:rsidRDefault="00903B5C">
            <w:pPr>
              <w:pStyle w:val="TableParagraph"/>
              <w:ind w:left="114" w:right="119"/>
              <w:rPr>
                <w:sz w:val="20"/>
              </w:rPr>
            </w:pPr>
            <w:r>
              <w:rPr>
                <w:sz w:val="20"/>
              </w:rPr>
              <w:t>Notes: The monthly CPS collects primarily labor force data about the civilian noninstitutionalized population living in the United States. Interviewers ask questions concerning labor force participation about each member 15 years old and over in sample households. People as of March of the following year. This survey’s estimation procedure adjusts weighted sample results to agree with independently derived population estimates of the civilian noninstitutionalized population of the United States and each state (including the District of Columbia).</w:t>
            </w:r>
          </w:p>
        </w:tc>
      </w:tr>
      <w:tr w:rsidR="0046798B" w14:paraId="1A62CB30" w14:textId="77777777">
        <w:trPr>
          <w:trHeight w:val="3076"/>
        </w:trPr>
        <w:tc>
          <w:tcPr>
            <w:tcW w:w="1711" w:type="dxa"/>
          </w:tcPr>
          <w:p w14:paraId="2A5CB861" w14:textId="77777777" w:rsidR="0046798B" w:rsidRDefault="0046798B">
            <w:pPr>
              <w:pStyle w:val="TableParagraph"/>
            </w:pPr>
          </w:p>
          <w:p w14:paraId="421A1A85" w14:textId="77777777" w:rsidR="0046798B" w:rsidRDefault="0046798B">
            <w:pPr>
              <w:pStyle w:val="TableParagraph"/>
            </w:pPr>
          </w:p>
          <w:p w14:paraId="7E784820" w14:textId="77777777" w:rsidR="0046798B" w:rsidRDefault="0046798B">
            <w:pPr>
              <w:pStyle w:val="TableParagraph"/>
            </w:pPr>
          </w:p>
          <w:p w14:paraId="6773FA0B" w14:textId="77777777" w:rsidR="0046798B" w:rsidRDefault="0046798B">
            <w:pPr>
              <w:pStyle w:val="TableParagraph"/>
            </w:pPr>
          </w:p>
          <w:p w14:paraId="674C731A" w14:textId="77777777" w:rsidR="0046798B" w:rsidRDefault="0046798B">
            <w:pPr>
              <w:pStyle w:val="TableParagraph"/>
            </w:pPr>
          </w:p>
          <w:p w14:paraId="7AE896FD" w14:textId="77777777" w:rsidR="0046798B" w:rsidRDefault="00903B5C">
            <w:pPr>
              <w:pStyle w:val="TableParagraph"/>
              <w:spacing w:before="159"/>
              <w:ind w:left="115"/>
              <w:rPr>
                <w:b/>
                <w:sz w:val="20"/>
              </w:rPr>
            </w:pPr>
            <w:r>
              <w:rPr>
                <w:b/>
                <w:sz w:val="20"/>
              </w:rPr>
              <w:t>popnohealthins</w:t>
            </w:r>
          </w:p>
        </w:tc>
        <w:tc>
          <w:tcPr>
            <w:tcW w:w="1596" w:type="dxa"/>
          </w:tcPr>
          <w:p w14:paraId="47F5735A" w14:textId="77777777" w:rsidR="0046798B" w:rsidRDefault="0046798B">
            <w:pPr>
              <w:pStyle w:val="TableParagraph"/>
            </w:pPr>
          </w:p>
          <w:p w14:paraId="2E571EE2" w14:textId="77777777" w:rsidR="0046798B" w:rsidRDefault="0046798B">
            <w:pPr>
              <w:pStyle w:val="TableParagraph"/>
            </w:pPr>
          </w:p>
          <w:p w14:paraId="5F48A01D" w14:textId="77777777" w:rsidR="0046798B" w:rsidRDefault="0046798B">
            <w:pPr>
              <w:pStyle w:val="TableParagraph"/>
            </w:pPr>
          </w:p>
          <w:p w14:paraId="0033547A" w14:textId="77777777" w:rsidR="0046798B" w:rsidRDefault="0046798B">
            <w:pPr>
              <w:pStyle w:val="TableParagraph"/>
              <w:spacing w:before="9"/>
              <w:rPr>
                <w:sz w:val="27"/>
              </w:rPr>
            </w:pPr>
          </w:p>
          <w:p w14:paraId="4C3C7AED" w14:textId="77777777" w:rsidR="0046798B" w:rsidRDefault="00903B5C">
            <w:pPr>
              <w:pStyle w:val="TableParagraph"/>
              <w:ind w:left="114" w:right="124"/>
              <w:rPr>
                <w:sz w:val="20"/>
              </w:rPr>
            </w:pPr>
            <w:r>
              <w:rPr>
                <w:sz w:val="20"/>
              </w:rPr>
              <w:t>Total population (in thousands) with no health insurance</w:t>
            </w:r>
          </w:p>
        </w:tc>
        <w:tc>
          <w:tcPr>
            <w:tcW w:w="1285" w:type="dxa"/>
          </w:tcPr>
          <w:p w14:paraId="4744AF30" w14:textId="77777777" w:rsidR="0046798B" w:rsidRDefault="0046798B">
            <w:pPr>
              <w:pStyle w:val="TableParagraph"/>
            </w:pPr>
          </w:p>
          <w:p w14:paraId="3101AB8A" w14:textId="77777777" w:rsidR="0046798B" w:rsidRDefault="0046798B">
            <w:pPr>
              <w:pStyle w:val="TableParagraph"/>
            </w:pPr>
          </w:p>
          <w:p w14:paraId="281EA493" w14:textId="77777777" w:rsidR="0046798B" w:rsidRDefault="0046798B">
            <w:pPr>
              <w:pStyle w:val="TableParagraph"/>
            </w:pPr>
          </w:p>
          <w:p w14:paraId="3A9C7445" w14:textId="77777777" w:rsidR="0046798B" w:rsidRDefault="0046798B">
            <w:pPr>
              <w:pStyle w:val="TableParagraph"/>
            </w:pPr>
          </w:p>
          <w:p w14:paraId="1F253EE1" w14:textId="77777777" w:rsidR="0046798B" w:rsidRDefault="0046798B">
            <w:pPr>
              <w:pStyle w:val="TableParagraph"/>
            </w:pPr>
          </w:p>
          <w:p w14:paraId="72E9FFF9" w14:textId="46721CC0" w:rsidR="0046798B" w:rsidRDefault="00903B5C">
            <w:pPr>
              <w:pStyle w:val="TableParagraph"/>
              <w:spacing w:before="159"/>
              <w:ind w:left="114"/>
              <w:rPr>
                <w:sz w:val="20"/>
              </w:rPr>
            </w:pPr>
            <w:r>
              <w:rPr>
                <w:sz w:val="20"/>
              </w:rPr>
              <w:t>1999–201</w:t>
            </w:r>
            <w:r w:rsidR="00855B7D">
              <w:rPr>
                <w:sz w:val="20"/>
              </w:rPr>
              <w:t>9</w:t>
            </w:r>
          </w:p>
        </w:tc>
        <w:tc>
          <w:tcPr>
            <w:tcW w:w="3421" w:type="dxa"/>
          </w:tcPr>
          <w:p w14:paraId="160DE32E" w14:textId="77777777" w:rsidR="0046798B" w:rsidRDefault="0046798B">
            <w:pPr>
              <w:pStyle w:val="TableParagraph"/>
            </w:pPr>
          </w:p>
          <w:p w14:paraId="2DD10898" w14:textId="77777777" w:rsidR="0046798B" w:rsidRDefault="0046798B">
            <w:pPr>
              <w:pStyle w:val="TableParagraph"/>
              <w:spacing w:before="9"/>
              <w:rPr>
                <w:sz w:val="21"/>
              </w:rPr>
            </w:pPr>
          </w:p>
          <w:p w14:paraId="4743817D" w14:textId="77777777" w:rsidR="0046798B" w:rsidRDefault="00903B5C">
            <w:pPr>
              <w:pStyle w:val="TableParagraph"/>
              <w:ind w:left="114" w:right="182"/>
              <w:rPr>
                <w:sz w:val="20"/>
              </w:rPr>
            </w:pPr>
            <w:r>
              <w:rPr>
                <w:sz w:val="20"/>
              </w:rPr>
              <w:t>Numbers of people, in thousands, with no health insurance. They report not having either private insurance provided through an employer, union, or purchased from a private insurance company, or government insurance funded at the state, federal, or local level. People as of March of the following year.</w:t>
            </w:r>
          </w:p>
        </w:tc>
        <w:tc>
          <w:tcPr>
            <w:tcW w:w="6482" w:type="dxa"/>
          </w:tcPr>
          <w:p w14:paraId="03CB8330" w14:textId="77777777" w:rsidR="0046798B" w:rsidRDefault="00903B5C">
            <w:pPr>
              <w:pStyle w:val="TableParagraph"/>
              <w:spacing w:before="44"/>
              <w:ind w:left="114" w:right="528"/>
              <w:rPr>
                <w:sz w:val="20"/>
              </w:rPr>
            </w:pPr>
            <w:r>
              <w:rPr>
                <w:sz w:val="20"/>
              </w:rPr>
              <w:t>United States Census Bureau. “Table HIB-4. Health Insurance Coverage Status and Type of Coverage by State All People: 1999 to 2011.”</w:t>
            </w:r>
          </w:p>
          <w:p w14:paraId="317475B2" w14:textId="77777777" w:rsidR="0046798B" w:rsidRDefault="0046798B">
            <w:pPr>
              <w:pStyle w:val="TableParagraph"/>
              <w:spacing w:before="11"/>
              <w:rPr>
                <w:sz w:val="19"/>
              </w:rPr>
            </w:pPr>
          </w:p>
          <w:p w14:paraId="5BD3FC6A" w14:textId="77777777" w:rsidR="0046798B" w:rsidRDefault="00903B5C">
            <w:pPr>
              <w:pStyle w:val="TableParagraph"/>
              <w:ind w:left="114" w:right="217"/>
              <w:rPr>
                <w:sz w:val="20"/>
              </w:rPr>
            </w:pPr>
            <w:r>
              <w:rPr>
                <w:sz w:val="20"/>
              </w:rPr>
              <w:t xml:space="preserve">Originally provided by Stateminder: A data visualization project from Georgetown University. </w:t>
            </w:r>
            <w:hyperlink r:id="rId820">
              <w:r>
                <w:rPr>
                  <w:sz w:val="20"/>
                </w:rPr>
                <w:t xml:space="preserve">http://stateminder.org/ </w:t>
              </w:r>
            </w:hyperlink>
            <w:r>
              <w:rPr>
                <w:sz w:val="20"/>
              </w:rPr>
              <w:t>(no longer accessible online)</w:t>
            </w:r>
          </w:p>
          <w:p w14:paraId="6E8744AC" w14:textId="77777777" w:rsidR="0046798B" w:rsidRDefault="0046798B">
            <w:pPr>
              <w:pStyle w:val="TableParagraph"/>
              <w:rPr>
                <w:sz w:val="20"/>
              </w:rPr>
            </w:pPr>
          </w:p>
          <w:p w14:paraId="56627657" w14:textId="77777777" w:rsidR="0046798B" w:rsidRDefault="00903B5C">
            <w:pPr>
              <w:pStyle w:val="TableParagraph"/>
              <w:spacing w:before="1"/>
              <w:ind w:left="114" w:right="134"/>
              <w:rPr>
                <w:sz w:val="20"/>
              </w:rPr>
            </w:pPr>
            <w:r>
              <w:rPr>
                <w:sz w:val="20"/>
              </w:rPr>
              <w:t>Notes: The monthly CPS collects primarily labor force data about the civilian noninstitutionalized population living in the United States. Interviewers ask questions concerning labor force participation about each member 15 years old and over in sample households. This survey’s estimation procedure adjusts weighted sample results to agree with independently derived population estimates of the civilian noninstitutionalized population of the United States and each state (including the District of Columbia).</w:t>
            </w:r>
          </w:p>
        </w:tc>
      </w:tr>
      <w:tr w:rsidR="0046798B" w14:paraId="4A79B60B" w14:textId="77777777">
        <w:trPr>
          <w:trHeight w:val="780"/>
        </w:trPr>
        <w:tc>
          <w:tcPr>
            <w:tcW w:w="1711" w:type="dxa"/>
          </w:tcPr>
          <w:p w14:paraId="5B19B346" w14:textId="77777777" w:rsidR="0046798B" w:rsidRDefault="0046798B">
            <w:pPr>
              <w:pStyle w:val="TableParagraph"/>
              <w:spacing w:before="8"/>
              <w:rPr>
                <w:sz w:val="23"/>
              </w:rPr>
            </w:pPr>
          </w:p>
          <w:p w14:paraId="03FF5F2C" w14:textId="77777777" w:rsidR="0046798B" w:rsidRDefault="00903B5C">
            <w:pPr>
              <w:pStyle w:val="TableParagraph"/>
              <w:spacing w:before="1"/>
              <w:ind w:left="115"/>
              <w:rPr>
                <w:b/>
                <w:sz w:val="20"/>
              </w:rPr>
            </w:pPr>
            <w:r>
              <w:rPr>
                <w:b/>
                <w:sz w:val="20"/>
              </w:rPr>
              <w:t>popprivhealthins</w:t>
            </w:r>
          </w:p>
        </w:tc>
        <w:tc>
          <w:tcPr>
            <w:tcW w:w="1596" w:type="dxa"/>
          </w:tcPr>
          <w:p w14:paraId="76F2CD2F" w14:textId="77777777" w:rsidR="0046798B" w:rsidRDefault="00903B5C">
            <w:pPr>
              <w:pStyle w:val="TableParagraph"/>
              <w:spacing w:before="158"/>
              <w:ind w:left="114" w:right="124"/>
              <w:rPr>
                <w:sz w:val="20"/>
              </w:rPr>
            </w:pPr>
            <w:r>
              <w:rPr>
                <w:sz w:val="20"/>
              </w:rPr>
              <w:t>Total population (in thousands)</w:t>
            </w:r>
          </w:p>
        </w:tc>
        <w:tc>
          <w:tcPr>
            <w:tcW w:w="1285" w:type="dxa"/>
          </w:tcPr>
          <w:p w14:paraId="5BB678BC" w14:textId="77777777" w:rsidR="0046798B" w:rsidRDefault="0046798B">
            <w:pPr>
              <w:pStyle w:val="TableParagraph"/>
              <w:spacing w:before="8"/>
              <w:rPr>
                <w:sz w:val="23"/>
              </w:rPr>
            </w:pPr>
          </w:p>
          <w:p w14:paraId="0242BD76" w14:textId="1ABE1EE8" w:rsidR="0046798B" w:rsidRDefault="00903B5C">
            <w:pPr>
              <w:pStyle w:val="TableParagraph"/>
              <w:spacing w:before="1"/>
              <w:ind w:left="114"/>
              <w:rPr>
                <w:sz w:val="20"/>
              </w:rPr>
            </w:pPr>
            <w:r>
              <w:rPr>
                <w:sz w:val="20"/>
              </w:rPr>
              <w:t>1999–201</w:t>
            </w:r>
            <w:r w:rsidR="00855B7D">
              <w:rPr>
                <w:sz w:val="20"/>
              </w:rPr>
              <w:t>9</w:t>
            </w:r>
          </w:p>
        </w:tc>
        <w:tc>
          <w:tcPr>
            <w:tcW w:w="3421" w:type="dxa"/>
          </w:tcPr>
          <w:p w14:paraId="556B0054" w14:textId="77777777" w:rsidR="0046798B" w:rsidRDefault="00903B5C">
            <w:pPr>
              <w:pStyle w:val="TableParagraph"/>
              <w:spacing w:before="43"/>
              <w:ind w:left="114" w:right="177"/>
              <w:jc w:val="both"/>
              <w:rPr>
                <w:sz w:val="20"/>
              </w:rPr>
            </w:pPr>
            <w:r>
              <w:rPr>
                <w:sz w:val="20"/>
              </w:rPr>
              <w:t>Numbers of people, in thousands, with private health insurance. Private health insurance is coverage by a health plan</w:t>
            </w:r>
          </w:p>
        </w:tc>
        <w:tc>
          <w:tcPr>
            <w:tcW w:w="6482" w:type="dxa"/>
          </w:tcPr>
          <w:p w14:paraId="04F873A8" w14:textId="77777777" w:rsidR="0046798B" w:rsidRDefault="00903B5C">
            <w:pPr>
              <w:pStyle w:val="TableParagraph"/>
              <w:spacing w:before="43"/>
              <w:ind w:left="114" w:right="528"/>
              <w:rPr>
                <w:sz w:val="20"/>
              </w:rPr>
            </w:pPr>
            <w:r>
              <w:rPr>
                <w:sz w:val="20"/>
              </w:rPr>
              <w:t>United States Census Bureau. “Table HIB-4. Health Insurance Coverage Status and Type of Coverage by State All People: 1999 to 2011.”</w:t>
            </w:r>
          </w:p>
        </w:tc>
      </w:tr>
    </w:tbl>
    <w:p w14:paraId="3A499ECF" w14:textId="77777777" w:rsidR="0046798B" w:rsidRDefault="0046798B">
      <w:pPr>
        <w:rPr>
          <w:sz w:val="20"/>
        </w:rPr>
        <w:sectPr w:rsidR="0046798B">
          <w:pgSz w:w="15840" w:h="12240" w:orient="landscape"/>
          <w:pgMar w:top="1220" w:right="300" w:bottom="980" w:left="820" w:header="730" w:footer="787" w:gutter="0"/>
          <w:cols w:space="720"/>
        </w:sectPr>
      </w:pPr>
    </w:p>
    <w:p w14:paraId="355E4ABC"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F676ED8" w14:textId="77777777">
        <w:trPr>
          <w:trHeight w:val="2386"/>
        </w:trPr>
        <w:tc>
          <w:tcPr>
            <w:tcW w:w="1711" w:type="dxa"/>
          </w:tcPr>
          <w:p w14:paraId="7D65D879" w14:textId="77777777" w:rsidR="0046798B" w:rsidRDefault="0046798B">
            <w:pPr>
              <w:pStyle w:val="TableParagraph"/>
              <w:rPr>
                <w:sz w:val="20"/>
              </w:rPr>
            </w:pPr>
          </w:p>
        </w:tc>
        <w:tc>
          <w:tcPr>
            <w:tcW w:w="1596" w:type="dxa"/>
          </w:tcPr>
          <w:p w14:paraId="472E936A" w14:textId="77777777" w:rsidR="0046798B" w:rsidRDefault="00903B5C">
            <w:pPr>
              <w:pStyle w:val="TableParagraph"/>
              <w:spacing w:before="43"/>
              <w:ind w:left="114" w:right="147"/>
              <w:rPr>
                <w:sz w:val="20"/>
              </w:rPr>
            </w:pPr>
            <w:r>
              <w:rPr>
                <w:sz w:val="20"/>
              </w:rPr>
              <w:t>with private health insurance</w:t>
            </w:r>
          </w:p>
        </w:tc>
        <w:tc>
          <w:tcPr>
            <w:tcW w:w="1285" w:type="dxa"/>
          </w:tcPr>
          <w:p w14:paraId="60DA3447" w14:textId="77777777" w:rsidR="0046798B" w:rsidRDefault="0046798B">
            <w:pPr>
              <w:pStyle w:val="TableParagraph"/>
              <w:rPr>
                <w:sz w:val="20"/>
              </w:rPr>
            </w:pPr>
          </w:p>
        </w:tc>
        <w:tc>
          <w:tcPr>
            <w:tcW w:w="3421" w:type="dxa"/>
          </w:tcPr>
          <w:p w14:paraId="2E1481C7" w14:textId="77777777" w:rsidR="0046798B" w:rsidRDefault="00903B5C">
            <w:pPr>
              <w:pStyle w:val="TableParagraph"/>
              <w:spacing w:before="43"/>
              <w:ind w:left="114" w:right="104"/>
              <w:rPr>
                <w:sz w:val="20"/>
              </w:rPr>
            </w:pPr>
            <w:r>
              <w:rPr>
                <w:sz w:val="20"/>
              </w:rPr>
              <w:t>provided through an employer or union or purchased by an individual from a private health insurance company.</w:t>
            </w:r>
          </w:p>
          <w:p w14:paraId="63C37E0A" w14:textId="77777777" w:rsidR="0046798B" w:rsidRDefault="00903B5C">
            <w:pPr>
              <w:pStyle w:val="TableParagraph"/>
              <w:ind w:left="114" w:right="388"/>
              <w:rPr>
                <w:sz w:val="20"/>
              </w:rPr>
            </w:pPr>
            <w:r>
              <w:rPr>
                <w:sz w:val="20"/>
              </w:rPr>
              <w:t>People as of March of the following year.</w:t>
            </w:r>
          </w:p>
        </w:tc>
        <w:tc>
          <w:tcPr>
            <w:tcW w:w="6482" w:type="dxa"/>
          </w:tcPr>
          <w:p w14:paraId="5DC7422A" w14:textId="77777777" w:rsidR="0046798B" w:rsidRDefault="00903B5C">
            <w:pPr>
              <w:pStyle w:val="TableParagraph"/>
              <w:spacing w:before="43"/>
              <w:ind w:left="114" w:right="217"/>
              <w:rPr>
                <w:sz w:val="20"/>
              </w:rPr>
            </w:pPr>
            <w:r>
              <w:rPr>
                <w:sz w:val="20"/>
              </w:rPr>
              <w:t xml:space="preserve">Originally provided by Stateminder: A data visualization project from Georgetown University. </w:t>
            </w:r>
            <w:hyperlink r:id="rId821">
              <w:r>
                <w:rPr>
                  <w:sz w:val="20"/>
                </w:rPr>
                <w:t xml:space="preserve">http://stateminder.org/ </w:t>
              </w:r>
            </w:hyperlink>
            <w:r>
              <w:rPr>
                <w:sz w:val="20"/>
              </w:rPr>
              <w:t>(no longer accessible online)</w:t>
            </w:r>
          </w:p>
          <w:p w14:paraId="40421AC0" w14:textId="77777777" w:rsidR="0046798B" w:rsidRDefault="0046798B">
            <w:pPr>
              <w:pStyle w:val="TableParagraph"/>
              <w:rPr>
                <w:sz w:val="20"/>
              </w:rPr>
            </w:pPr>
          </w:p>
          <w:p w14:paraId="43091B41" w14:textId="77777777" w:rsidR="0046798B" w:rsidRDefault="00903B5C">
            <w:pPr>
              <w:pStyle w:val="TableParagraph"/>
              <w:ind w:left="114" w:right="134"/>
              <w:rPr>
                <w:sz w:val="20"/>
              </w:rPr>
            </w:pPr>
            <w:r>
              <w:rPr>
                <w:sz w:val="20"/>
              </w:rPr>
              <w:t>Notes: The monthly CPS collects primarily labor force data about the civilian noninstitutionalized population living in the United States. Interviewers ask questions concerning labor force participation about each member 15 years old and over in sample households. This survey’s estimation procedure adjusts weighted sample results to agree with independently derived population estimates of the civilian noninstitutionalized population of the United States and each state (including the District of Columbia).</w:t>
            </w:r>
          </w:p>
        </w:tc>
      </w:tr>
      <w:tr w:rsidR="0046798B" w14:paraId="213967CE" w14:textId="77777777">
        <w:trPr>
          <w:trHeight w:val="1005"/>
        </w:trPr>
        <w:tc>
          <w:tcPr>
            <w:tcW w:w="1711" w:type="dxa"/>
          </w:tcPr>
          <w:p w14:paraId="4E143354" w14:textId="77777777" w:rsidR="0046798B" w:rsidRDefault="0046798B">
            <w:pPr>
              <w:pStyle w:val="TableParagraph"/>
              <w:spacing w:before="9"/>
              <w:rPr>
                <w:sz w:val="23"/>
              </w:rPr>
            </w:pPr>
          </w:p>
          <w:p w14:paraId="7801F5B4" w14:textId="77777777" w:rsidR="0046798B" w:rsidRDefault="00903B5C">
            <w:pPr>
              <w:pStyle w:val="TableParagraph"/>
              <w:ind w:left="115" w:right="133"/>
              <w:rPr>
                <w:b/>
                <w:sz w:val="20"/>
              </w:rPr>
            </w:pPr>
            <w:r>
              <w:rPr>
                <w:b/>
                <w:sz w:val="20"/>
              </w:rPr>
              <w:t>employer_tot_pc t</w:t>
            </w:r>
          </w:p>
        </w:tc>
        <w:tc>
          <w:tcPr>
            <w:tcW w:w="1596" w:type="dxa"/>
          </w:tcPr>
          <w:p w14:paraId="7E3BF292" w14:textId="77777777" w:rsidR="0046798B" w:rsidRDefault="00903B5C">
            <w:pPr>
              <w:pStyle w:val="TableParagraph"/>
              <w:spacing w:before="43"/>
              <w:ind w:left="114" w:right="185"/>
              <w:rPr>
                <w:sz w:val="20"/>
              </w:rPr>
            </w:pPr>
            <w:r>
              <w:rPr>
                <w:sz w:val="20"/>
              </w:rPr>
              <w:t>Percentage with employer- sponsored coverage</w:t>
            </w:r>
          </w:p>
        </w:tc>
        <w:tc>
          <w:tcPr>
            <w:tcW w:w="1285" w:type="dxa"/>
          </w:tcPr>
          <w:p w14:paraId="5CD5D8BA" w14:textId="77777777" w:rsidR="0046798B" w:rsidRDefault="0046798B">
            <w:pPr>
              <w:pStyle w:val="TableParagraph"/>
            </w:pPr>
          </w:p>
          <w:p w14:paraId="12E843FF" w14:textId="77777777" w:rsidR="0046798B" w:rsidRDefault="00903B5C">
            <w:pPr>
              <w:pStyle w:val="TableParagraph"/>
              <w:spacing w:before="135"/>
              <w:ind w:left="114"/>
              <w:rPr>
                <w:sz w:val="20"/>
              </w:rPr>
            </w:pPr>
            <w:r>
              <w:rPr>
                <w:sz w:val="20"/>
              </w:rPr>
              <w:t>2008–2017</w:t>
            </w:r>
          </w:p>
        </w:tc>
        <w:tc>
          <w:tcPr>
            <w:tcW w:w="3421" w:type="dxa"/>
          </w:tcPr>
          <w:p w14:paraId="73853ABE" w14:textId="77777777" w:rsidR="0046798B" w:rsidRDefault="00903B5C">
            <w:pPr>
              <w:pStyle w:val="TableParagraph"/>
              <w:spacing w:before="158"/>
              <w:ind w:left="114" w:right="276"/>
              <w:jc w:val="both"/>
              <w:rPr>
                <w:sz w:val="20"/>
              </w:rPr>
            </w:pPr>
            <w:r>
              <w:rPr>
                <w:sz w:val="20"/>
              </w:rPr>
              <w:t>State’s total percentage of adults with employer-sponsored health insurance coverage</w:t>
            </w:r>
          </w:p>
        </w:tc>
        <w:tc>
          <w:tcPr>
            <w:tcW w:w="6482" w:type="dxa"/>
          </w:tcPr>
          <w:p w14:paraId="592B7233" w14:textId="77777777" w:rsidR="0046798B" w:rsidRDefault="00903B5C">
            <w:pPr>
              <w:pStyle w:val="TableParagraph"/>
              <w:spacing w:before="43"/>
              <w:ind w:left="114" w:right="222"/>
              <w:rPr>
                <w:sz w:val="20"/>
              </w:rPr>
            </w:pPr>
            <w:r>
              <w:rPr>
                <w:sz w:val="20"/>
              </w:rPr>
              <w:t xml:space="preserve">Kaiser Family Foundation, State Health Facts: </w:t>
            </w:r>
            <w:hyperlink r:id="rId822">
              <w:r>
                <w:rPr>
                  <w:color w:val="0462C1"/>
                  <w:sz w:val="20"/>
                  <w:u w:val="single" w:color="0462C1"/>
                </w:rPr>
                <w:t>https://www.kff.org/private-</w:t>
              </w:r>
            </w:hyperlink>
            <w:r>
              <w:rPr>
                <w:color w:val="0462C1"/>
                <w:sz w:val="20"/>
              </w:rPr>
              <w:t xml:space="preserve"> </w:t>
            </w:r>
            <w:hyperlink r:id="rId823">
              <w:r>
                <w:rPr>
                  <w:color w:val="0462C1"/>
                  <w:sz w:val="20"/>
                  <w:u w:val="single" w:color="0462C1"/>
                </w:rPr>
                <w:t>insurance/state-indicator/rate-by-gender-</w:t>
              </w:r>
            </w:hyperlink>
            <w:r>
              <w:rPr>
                <w:color w:val="0462C1"/>
                <w:sz w:val="20"/>
              </w:rPr>
              <w:t xml:space="preserve"> </w:t>
            </w:r>
            <w:hyperlink r:id="rId824">
              <w:r>
                <w:rPr>
                  <w:color w:val="0462C1"/>
                  <w:sz w:val="20"/>
                  <w:u w:val="single" w:color="0462C1"/>
                </w:rPr>
                <w:t>2/?currentTimeframe=0&amp;sortModel=%7B%22colId%22:%22Location%22,</w:t>
              </w:r>
            </w:hyperlink>
          </w:p>
          <w:p w14:paraId="72C8ED02" w14:textId="77777777" w:rsidR="0046798B" w:rsidRDefault="00797354">
            <w:pPr>
              <w:pStyle w:val="TableParagraph"/>
              <w:ind w:left="114"/>
              <w:rPr>
                <w:sz w:val="20"/>
              </w:rPr>
            </w:pPr>
            <w:hyperlink r:id="rId825">
              <w:r w:rsidR="00903B5C">
                <w:rPr>
                  <w:color w:val="0462C1"/>
                  <w:sz w:val="20"/>
                  <w:u w:val="single" w:color="0462C1"/>
                </w:rPr>
                <w:t>%22sort%22:%22asc%22%7D</w:t>
              </w:r>
            </w:hyperlink>
          </w:p>
        </w:tc>
      </w:tr>
      <w:tr w:rsidR="0046798B" w14:paraId="7AABF97D" w14:textId="77777777">
        <w:trPr>
          <w:trHeight w:val="1240"/>
        </w:trPr>
        <w:tc>
          <w:tcPr>
            <w:tcW w:w="1711" w:type="dxa"/>
          </w:tcPr>
          <w:p w14:paraId="325009E7" w14:textId="77777777" w:rsidR="0046798B" w:rsidRDefault="0046798B">
            <w:pPr>
              <w:pStyle w:val="TableParagraph"/>
            </w:pPr>
          </w:p>
          <w:p w14:paraId="4398A202" w14:textId="77777777" w:rsidR="0046798B" w:rsidRDefault="00903B5C">
            <w:pPr>
              <w:pStyle w:val="TableParagraph"/>
              <w:spacing w:before="135"/>
              <w:ind w:left="115"/>
              <w:rPr>
                <w:b/>
                <w:sz w:val="20"/>
              </w:rPr>
            </w:pPr>
            <w:r>
              <w:rPr>
                <w:b/>
                <w:sz w:val="20"/>
              </w:rPr>
              <w:t>employer_female</w:t>
            </w:r>
          </w:p>
          <w:p w14:paraId="518BFE51" w14:textId="77777777" w:rsidR="0046798B" w:rsidRDefault="00903B5C">
            <w:pPr>
              <w:pStyle w:val="TableParagraph"/>
              <w:ind w:left="115"/>
              <w:rPr>
                <w:b/>
                <w:sz w:val="20"/>
              </w:rPr>
            </w:pPr>
            <w:r>
              <w:rPr>
                <w:b/>
                <w:sz w:val="20"/>
              </w:rPr>
              <w:t>_pct</w:t>
            </w:r>
          </w:p>
        </w:tc>
        <w:tc>
          <w:tcPr>
            <w:tcW w:w="1596" w:type="dxa"/>
          </w:tcPr>
          <w:p w14:paraId="02A8503B" w14:textId="77777777" w:rsidR="0046798B" w:rsidRDefault="00903B5C">
            <w:pPr>
              <w:pStyle w:val="TableParagraph"/>
              <w:spacing w:before="43"/>
              <w:ind w:left="114" w:right="374"/>
              <w:rPr>
                <w:sz w:val="20"/>
              </w:rPr>
            </w:pPr>
            <w:r>
              <w:rPr>
                <w:sz w:val="20"/>
              </w:rPr>
              <w:t>Percentage of women with employer- sponsored coverage</w:t>
            </w:r>
          </w:p>
        </w:tc>
        <w:tc>
          <w:tcPr>
            <w:tcW w:w="1285" w:type="dxa"/>
          </w:tcPr>
          <w:p w14:paraId="0E1AA301" w14:textId="77777777" w:rsidR="0046798B" w:rsidRDefault="0046798B">
            <w:pPr>
              <w:pStyle w:val="TableParagraph"/>
            </w:pPr>
          </w:p>
          <w:p w14:paraId="2EEC205A" w14:textId="77777777" w:rsidR="0046798B" w:rsidRDefault="0046798B">
            <w:pPr>
              <w:pStyle w:val="TableParagraph"/>
              <w:spacing w:before="9"/>
              <w:rPr>
                <w:sz w:val="21"/>
              </w:rPr>
            </w:pPr>
          </w:p>
          <w:p w14:paraId="33A1F603" w14:textId="77777777" w:rsidR="0046798B" w:rsidRDefault="00903B5C">
            <w:pPr>
              <w:pStyle w:val="TableParagraph"/>
              <w:ind w:left="114"/>
              <w:rPr>
                <w:sz w:val="20"/>
              </w:rPr>
            </w:pPr>
            <w:r>
              <w:rPr>
                <w:sz w:val="20"/>
              </w:rPr>
              <w:t>2008–2017</w:t>
            </w:r>
          </w:p>
        </w:tc>
        <w:tc>
          <w:tcPr>
            <w:tcW w:w="3421" w:type="dxa"/>
          </w:tcPr>
          <w:p w14:paraId="67679858" w14:textId="77777777" w:rsidR="0046798B" w:rsidRDefault="0046798B">
            <w:pPr>
              <w:pStyle w:val="TableParagraph"/>
              <w:spacing w:before="8"/>
              <w:rPr>
                <w:sz w:val="23"/>
              </w:rPr>
            </w:pPr>
          </w:p>
          <w:p w14:paraId="0C4C5E36" w14:textId="77777777" w:rsidR="0046798B" w:rsidRDefault="00903B5C">
            <w:pPr>
              <w:pStyle w:val="TableParagraph"/>
              <w:spacing w:before="1"/>
              <w:ind w:left="114" w:right="164"/>
              <w:rPr>
                <w:sz w:val="20"/>
              </w:rPr>
            </w:pPr>
            <w:r>
              <w:rPr>
                <w:sz w:val="20"/>
              </w:rPr>
              <w:t>State’s total percentage of women with employer-sponsored health insurance coverage</w:t>
            </w:r>
          </w:p>
        </w:tc>
        <w:tc>
          <w:tcPr>
            <w:tcW w:w="6482" w:type="dxa"/>
          </w:tcPr>
          <w:p w14:paraId="68C6E2DB" w14:textId="77777777" w:rsidR="0046798B" w:rsidRDefault="00903B5C">
            <w:pPr>
              <w:pStyle w:val="TableParagraph"/>
              <w:spacing w:before="158"/>
              <w:ind w:left="114" w:right="222"/>
              <w:rPr>
                <w:sz w:val="20"/>
              </w:rPr>
            </w:pPr>
            <w:r>
              <w:rPr>
                <w:sz w:val="20"/>
              </w:rPr>
              <w:t xml:space="preserve">Kaiser Family Foundation, State Health Facts: </w:t>
            </w:r>
            <w:hyperlink r:id="rId826">
              <w:r>
                <w:rPr>
                  <w:color w:val="0462C1"/>
                  <w:sz w:val="20"/>
                  <w:u w:val="single" w:color="0462C1"/>
                </w:rPr>
                <w:t>https://www.kff.org/private-</w:t>
              </w:r>
            </w:hyperlink>
            <w:r>
              <w:rPr>
                <w:color w:val="0462C1"/>
                <w:sz w:val="20"/>
              </w:rPr>
              <w:t xml:space="preserve"> </w:t>
            </w:r>
            <w:hyperlink r:id="rId827">
              <w:r>
                <w:rPr>
                  <w:color w:val="0462C1"/>
                  <w:sz w:val="20"/>
                  <w:u w:val="single" w:color="0462C1"/>
                </w:rPr>
                <w:t>insurance/state-indicator/rate-by-gender-</w:t>
              </w:r>
            </w:hyperlink>
            <w:r>
              <w:rPr>
                <w:color w:val="0462C1"/>
                <w:sz w:val="20"/>
              </w:rPr>
              <w:t xml:space="preserve"> </w:t>
            </w:r>
            <w:hyperlink r:id="rId828">
              <w:r>
                <w:rPr>
                  <w:color w:val="0462C1"/>
                  <w:sz w:val="20"/>
                  <w:u w:val="single" w:color="0462C1"/>
                </w:rPr>
                <w:t>2/?currentTimeframe=0&amp;sortModel=%7B%22colId%22:%22Location%22,</w:t>
              </w:r>
            </w:hyperlink>
          </w:p>
          <w:p w14:paraId="30F9CFF7" w14:textId="77777777" w:rsidR="0046798B" w:rsidRDefault="00797354">
            <w:pPr>
              <w:pStyle w:val="TableParagraph"/>
              <w:ind w:left="114"/>
              <w:rPr>
                <w:sz w:val="20"/>
              </w:rPr>
            </w:pPr>
            <w:hyperlink r:id="rId829">
              <w:r w:rsidR="00903B5C">
                <w:rPr>
                  <w:color w:val="0462C1"/>
                  <w:sz w:val="20"/>
                  <w:u w:val="single" w:color="0462C1"/>
                </w:rPr>
                <w:t>%22sort%22:%22asc%22%7D</w:t>
              </w:r>
            </w:hyperlink>
          </w:p>
        </w:tc>
      </w:tr>
      <w:tr w:rsidR="0046798B" w14:paraId="6B7A1B93" w14:textId="77777777">
        <w:trPr>
          <w:trHeight w:val="1003"/>
        </w:trPr>
        <w:tc>
          <w:tcPr>
            <w:tcW w:w="1711" w:type="dxa"/>
            <w:tcBorders>
              <w:bottom w:val="dotted" w:sz="6" w:space="0" w:color="BEBEBE"/>
            </w:tcBorders>
          </w:tcPr>
          <w:p w14:paraId="328F2A8B" w14:textId="77777777" w:rsidR="0046798B" w:rsidRDefault="0046798B">
            <w:pPr>
              <w:pStyle w:val="TableParagraph"/>
              <w:spacing w:before="3"/>
              <w:rPr>
                <w:sz w:val="23"/>
              </w:rPr>
            </w:pPr>
          </w:p>
          <w:p w14:paraId="395FF355" w14:textId="77777777" w:rsidR="0046798B" w:rsidRDefault="00903B5C">
            <w:pPr>
              <w:pStyle w:val="TableParagraph"/>
              <w:spacing w:before="1"/>
              <w:ind w:left="115" w:right="121"/>
              <w:rPr>
                <w:b/>
                <w:sz w:val="20"/>
              </w:rPr>
            </w:pPr>
            <w:r>
              <w:rPr>
                <w:b/>
                <w:sz w:val="20"/>
              </w:rPr>
              <w:t>uninsured_tot_p ct</w:t>
            </w:r>
          </w:p>
        </w:tc>
        <w:tc>
          <w:tcPr>
            <w:tcW w:w="1596" w:type="dxa"/>
            <w:tcBorders>
              <w:bottom w:val="dotted" w:sz="6" w:space="0" w:color="BEBEBE"/>
            </w:tcBorders>
          </w:tcPr>
          <w:p w14:paraId="3106DFBE" w14:textId="77777777" w:rsidR="0046798B" w:rsidRDefault="0046798B">
            <w:pPr>
              <w:pStyle w:val="TableParagraph"/>
              <w:spacing w:before="3"/>
              <w:rPr>
                <w:sz w:val="23"/>
              </w:rPr>
            </w:pPr>
          </w:p>
          <w:p w14:paraId="6FC24A05" w14:textId="77777777" w:rsidR="0046798B" w:rsidRDefault="00903B5C">
            <w:pPr>
              <w:pStyle w:val="TableParagraph"/>
              <w:spacing w:before="1"/>
              <w:ind w:left="114" w:right="169"/>
              <w:rPr>
                <w:sz w:val="20"/>
              </w:rPr>
            </w:pPr>
            <w:r>
              <w:rPr>
                <w:sz w:val="20"/>
              </w:rPr>
              <w:t>Percentage with no coverage</w:t>
            </w:r>
          </w:p>
        </w:tc>
        <w:tc>
          <w:tcPr>
            <w:tcW w:w="1285" w:type="dxa"/>
            <w:tcBorders>
              <w:bottom w:val="dotted" w:sz="6" w:space="0" w:color="BEBEBE"/>
            </w:tcBorders>
          </w:tcPr>
          <w:p w14:paraId="0B9EA565" w14:textId="77777777" w:rsidR="0046798B" w:rsidRDefault="0046798B">
            <w:pPr>
              <w:pStyle w:val="TableParagraph"/>
            </w:pPr>
          </w:p>
          <w:p w14:paraId="603BC5AB" w14:textId="77777777" w:rsidR="0046798B" w:rsidRDefault="00903B5C">
            <w:pPr>
              <w:pStyle w:val="TableParagraph"/>
              <w:spacing w:before="130"/>
              <w:ind w:left="114"/>
              <w:rPr>
                <w:sz w:val="20"/>
              </w:rPr>
            </w:pPr>
            <w:r>
              <w:rPr>
                <w:sz w:val="20"/>
              </w:rPr>
              <w:t>2008–2017</w:t>
            </w:r>
          </w:p>
        </w:tc>
        <w:tc>
          <w:tcPr>
            <w:tcW w:w="3421" w:type="dxa"/>
            <w:tcBorders>
              <w:bottom w:val="dotted" w:sz="6" w:space="0" w:color="BEBEBE"/>
            </w:tcBorders>
          </w:tcPr>
          <w:p w14:paraId="701B10E0" w14:textId="77777777" w:rsidR="0046798B" w:rsidRDefault="0046798B">
            <w:pPr>
              <w:pStyle w:val="TableParagraph"/>
              <w:spacing w:before="3"/>
              <w:rPr>
                <w:sz w:val="23"/>
              </w:rPr>
            </w:pPr>
          </w:p>
          <w:p w14:paraId="596366D2" w14:textId="77777777" w:rsidR="0046798B" w:rsidRDefault="00903B5C">
            <w:pPr>
              <w:pStyle w:val="TableParagraph"/>
              <w:spacing w:before="1"/>
              <w:ind w:left="114" w:right="261"/>
              <w:rPr>
                <w:sz w:val="20"/>
              </w:rPr>
            </w:pPr>
            <w:r>
              <w:rPr>
                <w:sz w:val="20"/>
              </w:rPr>
              <w:t>State’s total percentage of adults with no health insurance coverage</w:t>
            </w:r>
          </w:p>
        </w:tc>
        <w:tc>
          <w:tcPr>
            <w:tcW w:w="6482" w:type="dxa"/>
            <w:tcBorders>
              <w:bottom w:val="dotted" w:sz="6" w:space="0" w:color="BEBEBE"/>
            </w:tcBorders>
          </w:tcPr>
          <w:p w14:paraId="556C7375" w14:textId="77777777" w:rsidR="0046798B" w:rsidRDefault="00903B5C">
            <w:pPr>
              <w:pStyle w:val="TableParagraph"/>
              <w:spacing w:before="38"/>
              <w:ind w:left="114" w:right="196"/>
              <w:rPr>
                <w:sz w:val="20"/>
              </w:rPr>
            </w:pPr>
            <w:r>
              <w:rPr>
                <w:sz w:val="20"/>
              </w:rPr>
              <w:t xml:space="preserve">Kaiser Family Foundation, State Health Facts: </w:t>
            </w:r>
            <w:hyperlink r:id="rId830">
              <w:r>
                <w:rPr>
                  <w:color w:val="0462C1"/>
                  <w:sz w:val="20"/>
                  <w:u w:val="single" w:color="0462C1"/>
                </w:rPr>
                <w:t>https://www.kff.org/uninsured/state-indicator/rate-by-</w:t>
              </w:r>
            </w:hyperlink>
            <w:r>
              <w:rPr>
                <w:color w:val="0462C1"/>
                <w:sz w:val="20"/>
              </w:rPr>
              <w:t xml:space="preserve"> </w:t>
            </w:r>
            <w:hyperlink r:id="rId831">
              <w:r>
                <w:rPr>
                  <w:color w:val="0462C1"/>
                  <w:sz w:val="20"/>
                  <w:u w:val="single" w:color="0462C1"/>
                </w:rPr>
                <w:t>gender/?currentTimeframe=0&amp;sortModel=%7B%22colId%22:%22Location</w:t>
              </w:r>
            </w:hyperlink>
          </w:p>
          <w:p w14:paraId="3C96424B" w14:textId="77777777" w:rsidR="0046798B" w:rsidRDefault="00797354">
            <w:pPr>
              <w:pStyle w:val="TableParagraph"/>
              <w:spacing w:before="1"/>
              <w:ind w:left="114"/>
              <w:rPr>
                <w:sz w:val="20"/>
              </w:rPr>
            </w:pPr>
            <w:hyperlink r:id="rId832">
              <w:r w:rsidR="00903B5C">
                <w:rPr>
                  <w:color w:val="0462C1"/>
                  <w:sz w:val="20"/>
                  <w:u w:val="single" w:color="0462C1"/>
                </w:rPr>
                <w:t>%22,%22sort%22:%22asc%22%7D</w:t>
              </w:r>
            </w:hyperlink>
          </w:p>
        </w:tc>
      </w:tr>
      <w:tr w:rsidR="0046798B" w14:paraId="4FCAA751" w14:textId="77777777">
        <w:trPr>
          <w:trHeight w:val="1003"/>
        </w:trPr>
        <w:tc>
          <w:tcPr>
            <w:tcW w:w="1711" w:type="dxa"/>
            <w:tcBorders>
              <w:top w:val="dotted" w:sz="6" w:space="0" w:color="BEBEBE"/>
            </w:tcBorders>
          </w:tcPr>
          <w:p w14:paraId="4680B88F" w14:textId="77777777" w:rsidR="0046798B" w:rsidRDefault="0046798B">
            <w:pPr>
              <w:pStyle w:val="TableParagraph"/>
              <w:spacing w:before="1"/>
              <w:rPr>
                <w:sz w:val="23"/>
              </w:rPr>
            </w:pPr>
          </w:p>
          <w:p w14:paraId="53351DFD" w14:textId="77777777" w:rsidR="0046798B" w:rsidRDefault="00903B5C">
            <w:pPr>
              <w:pStyle w:val="TableParagraph"/>
              <w:ind w:left="115" w:right="121"/>
              <w:rPr>
                <w:b/>
                <w:sz w:val="20"/>
              </w:rPr>
            </w:pPr>
            <w:r>
              <w:rPr>
                <w:b/>
                <w:sz w:val="20"/>
              </w:rPr>
              <w:t>uninsured_femal e_pct</w:t>
            </w:r>
          </w:p>
        </w:tc>
        <w:tc>
          <w:tcPr>
            <w:tcW w:w="1596" w:type="dxa"/>
            <w:tcBorders>
              <w:top w:val="dotted" w:sz="6" w:space="0" w:color="BEBEBE"/>
            </w:tcBorders>
          </w:tcPr>
          <w:p w14:paraId="37CC5D29" w14:textId="77777777" w:rsidR="0046798B" w:rsidRDefault="00903B5C">
            <w:pPr>
              <w:pStyle w:val="TableParagraph"/>
              <w:spacing w:before="150"/>
              <w:ind w:left="114" w:right="207"/>
              <w:rPr>
                <w:sz w:val="20"/>
              </w:rPr>
            </w:pPr>
            <w:r>
              <w:rPr>
                <w:sz w:val="20"/>
              </w:rPr>
              <w:t>Percentage of women with no coverage</w:t>
            </w:r>
          </w:p>
        </w:tc>
        <w:tc>
          <w:tcPr>
            <w:tcW w:w="1285" w:type="dxa"/>
            <w:tcBorders>
              <w:top w:val="dotted" w:sz="6" w:space="0" w:color="BEBEBE"/>
            </w:tcBorders>
          </w:tcPr>
          <w:p w14:paraId="361EB71A" w14:textId="77777777" w:rsidR="0046798B" w:rsidRDefault="0046798B">
            <w:pPr>
              <w:pStyle w:val="TableParagraph"/>
            </w:pPr>
          </w:p>
          <w:p w14:paraId="536325AE" w14:textId="77777777" w:rsidR="0046798B" w:rsidRDefault="00903B5C">
            <w:pPr>
              <w:pStyle w:val="TableParagraph"/>
              <w:spacing w:before="128"/>
              <w:ind w:left="114"/>
              <w:rPr>
                <w:sz w:val="20"/>
              </w:rPr>
            </w:pPr>
            <w:r>
              <w:rPr>
                <w:sz w:val="20"/>
              </w:rPr>
              <w:t>2008–2017</w:t>
            </w:r>
          </w:p>
        </w:tc>
        <w:tc>
          <w:tcPr>
            <w:tcW w:w="3421" w:type="dxa"/>
            <w:tcBorders>
              <w:top w:val="dotted" w:sz="6" w:space="0" w:color="BEBEBE"/>
            </w:tcBorders>
          </w:tcPr>
          <w:p w14:paraId="1DA957C2" w14:textId="77777777" w:rsidR="0046798B" w:rsidRDefault="0046798B">
            <w:pPr>
              <w:pStyle w:val="TableParagraph"/>
              <w:spacing w:before="1"/>
              <w:rPr>
                <w:sz w:val="23"/>
              </w:rPr>
            </w:pPr>
          </w:p>
          <w:p w14:paraId="04987543" w14:textId="77777777" w:rsidR="0046798B" w:rsidRDefault="00903B5C">
            <w:pPr>
              <w:pStyle w:val="TableParagraph"/>
              <w:ind w:left="114" w:right="150"/>
              <w:rPr>
                <w:sz w:val="20"/>
              </w:rPr>
            </w:pPr>
            <w:r>
              <w:rPr>
                <w:sz w:val="20"/>
              </w:rPr>
              <w:t>State’s total percentage of women with no health insurance coverage</w:t>
            </w:r>
          </w:p>
        </w:tc>
        <w:tc>
          <w:tcPr>
            <w:tcW w:w="6482" w:type="dxa"/>
            <w:tcBorders>
              <w:top w:val="dotted" w:sz="6" w:space="0" w:color="BEBEBE"/>
            </w:tcBorders>
          </w:tcPr>
          <w:p w14:paraId="67D73F43" w14:textId="77777777" w:rsidR="0046798B" w:rsidRDefault="00903B5C">
            <w:pPr>
              <w:pStyle w:val="TableParagraph"/>
              <w:spacing w:before="35"/>
              <w:ind w:left="114" w:right="196"/>
              <w:rPr>
                <w:sz w:val="20"/>
              </w:rPr>
            </w:pPr>
            <w:r>
              <w:rPr>
                <w:sz w:val="20"/>
              </w:rPr>
              <w:t xml:space="preserve">Kaiser Family Foundation, State Health Facts: </w:t>
            </w:r>
            <w:hyperlink r:id="rId833">
              <w:r>
                <w:rPr>
                  <w:color w:val="0462C1"/>
                  <w:sz w:val="20"/>
                  <w:u w:val="single" w:color="0462C1"/>
                </w:rPr>
                <w:t>https://www.kff.org/uninsured/state-indicator/rate-by-</w:t>
              </w:r>
            </w:hyperlink>
            <w:r>
              <w:rPr>
                <w:color w:val="0462C1"/>
                <w:sz w:val="20"/>
              </w:rPr>
              <w:t xml:space="preserve"> </w:t>
            </w:r>
            <w:hyperlink r:id="rId834">
              <w:r>
                <w:rPr>
                  <w:color w:val="0462C1"/>
                  <w:sz w:val="20"/>
                  <w:u w:val="single" w:color="0462C1"/>
                </w:rPr>
                <w:t>gender/?currentTimeframe=0&amp;sortModel=%7B%22colId%22:%22Location</w:t>
              </w:r>
            </w:hyperlink>
          </w:p>
          <w:p w14:paraId="47A2E8D2" w14:textId="77777777" w:rsidR="0046798B" w:rsidRDefault="00797354">
            <w:pPr>
              <w:pStyle w:val="TableParagraph"/>
              <w:spacing w:before="1"/>
              <w:ind w:left="114"/>
              <w:rPr>
                <w:sz w:val="20"/>
              </w:rPr>
            </w:pPr>
            <w:hyperlink r:id="rId835">
              <w:r w:rsidR="00903B5C">
                <w:rPr>
                  <w:color w:val="0462C1"/>
                  <w:sz w:val="20"/>
                  <w:u w:val="single" w:color="0462C1"/>
                </w:rPr>
                <w:t>%22,%22sort%22:%22asc%22%7D</w:t>
              </w:r>
            </w:hyperlink>
          </w:p>
        </w:tc>
      </w:tr>
      <w:tr w:rsidR="0046798B" w14:paraId="161D2C5B" w14:textId="77777777">
        <w:trPr>
          <w:trHeight w:val="1005"/>
        </w:trPr>
        <w:tc>
          <w:tcPr>
            <w:tcW w:w="1711" w:type="dxa"/>
          </w:tcPr>
          <w:p w14:paraId="2C819EE6" w14:textId="77777777" w:rsidR="0046798B" w:rsidRDefault="0046798B">
            <w:pPr>
              <w:pStyle w:val="TableParagraph"/>
            </w:pPr>
          </w:p>
          <w:p w14:paraId="03B9BA8B" w14:textId="77777777" w:rsidR="0046798B" w:rsidRDefault="00903B5C">
            <w:pPr>
              <w:pStyle w:val="TableParagraph"/>
              <w:spacing w:before="130"/>
              <w:ind w:left="115"/>
              <w:rPr>
                <w:b/>
                <w:sz w:val="20"/>
              </w:rPr>
            </w:pPr>
            <w:r>
              <w:rPr>
                <w:b/>
                <w:sz w:val="20"/>
              </w:rPr>
              <w:t>medicaid_tot_pct</w:t>
            </w:r>
          </w:p>
        </w:tc>
        <w:tc>
          <w:tcPr>
            <w:tcW w:w="1596" w:type="dxa"/>
          </w:tcPr>
          <w:p w14:paraId="073629EF" w14:textId="77777777" w:rsidR="0046798B" w:rsidRDefault="00903B5C">
            <w:pPr>
              <w:pStyle w:val="TableParagraph"/>
              <w:spacing w:before="153"/>
              <w:ind w:left="114" w:right="585"/>
              <w:jc w:val="both"/>
              <w:rPr>
                <w:sz w:val="20"/>
              </w:rPr>
            </w:pPr>
            <w:r>
              <w:rPr>
                <w:sz w:val="20"/>
              </w:rPr>
              <w:t>Percentage covered by Medicaid</w:t>
            </w:r>
          </w:p>
        </w:tc>
        <w:tc>
          <w:tcPr>
            <w:tcW w:w="1285" w:type="dxa"/>
          </w:tcPr>
          <w:p w14:paraId="43F37B95" w14:textId="77777777" w:rsidR="0046798B" w:rsidRDefault="0046798B">
            <w:pPr>
              <w:pStyle w:val="TableParagraph"/>
            </w:pPr>
          </w:p>
          <w:p w14:paraId="6ED8E116" w14:textId="77777777" w:rsidR="0046798B" w:rsidRDefault="00903B5C">
            <w:pPr>
              <w:pStyle w:val="TableParagraph"/>
              <w:spacing w:before="130"/>
              <w:ind w:left="114"/>
              <w:rPr>
                <w:sz w:val="20"/>
              </w:rPr>
            </w:pPr>
            <w:r>
              <w:rPr>
                <w:sz w:val="20"/>
              </w:rPr>
              <w:t>2008–2017</w:t>
            </w:r>
          </w:p>
        </w:tc>
        <w:tc>
          <w:tcPr>
            <w:tcW w:w="3421" w:type="dxa"/>
          </w:tcPr>
          <w:p w14:paraId="114000A8" w14:textId="77777777" w:rsidR="0046798B" w:rsidRDefault="00903B5C">
            <w:pPr>
              <w:pStyle w:val="TableParagraph"/>
              <w:spacing w:before="153"/>
              <w:ind w:left="114" w:right="261"/>
              <w:rPr>
                <w:sz w:val="20"/>
              </w:rPr>
            </w:pPr>
            <w:r>
              <w:rPr>
                <w:sz w:val="20"/>
              </w:rPr>
              <w:t>State’s total percentage of adults with health insurance coverage from Medicaid</w:t>
            </w:r>
          </w:p>
        </w:tc>
        <w:tc>
          <w:tcPr>
            <w:tcW w:w="6482" w:type="dxa"/>
          </w:tcPr>
          <w:p w14:paraId="5F65E3A7" w14:textId="77777777" w:rsidR="0046798B" w:rsidRDefault="00903B5C">
            <w:pPr>
              <w:pStyle w:val="TableParagraph"/>
              <w:spacing w:before="38"/>
              <w:ind w:left="114" w:right="260"/>
              <w:rPr>
                <w:sz w:val="20"/>
              </w:rPr>
            </w:pPr>
            <w:r>
              <w:rPr>
                <w:sz w:val="20"/>
              </w:rPr>
              <w:t xml:space="preserve">Kaiser Family Foundation, State Health Facts: </w:t>
            </w:r>
            <w:hyperlink r:id="rId836">
              <w:r>
                <w:rPr>
                  <w:color w:val="0462C1"/>
                  <w:sz w:val="20"/>
                  <w:u w:val="single" w:color="0462C1"/>
                </w:rPr>
                <w:t>https://www.kff.org/medicaid/state-indicator/rate-by-gender-</w:t>
              </w:r>
            </w:hyperlink>
            <w:r>
              <w:rPr>
                <w:color w:val="0462C1"/>
                <w:sz w:val="20"/>
              </w:rPr>
              <w:t xml:space="preserve"> </w:t>
            </w:r>
            <w:hyperlink r:id="rId837">
              <w:r>
                <w:rPr>
                  <w:color w:val="0462C1"/>
                  <w:sz w:val="20"/>
                  <w:u w:val="single" w:color="0462C1"/>
                </w:rPr>
                <w:t>3/?currentTimeframe=0&amp;sortModel=%7B%22colId%22:%22Location%22,</w:t>
              </w:r>
            </w:hyperlink>
          </w:p>
          <w:p w14:paraId="62DB6777" w14:textId="77777777" w:rsidR="0046798B" w:rsidRDefault="00797354">
            <w:pPr>
              <w:pStyle w:val="TableParagraph"/>
              <w:ind w:left="114"/>
              <w:rPr>
                <w:sz w:val="20"/>
              </w:rPr>
            </w:pPr>
            <w:hyperlink r:id="rId838">
              <w:r w:rsidR="00903B5C">
                <w:rPr>
                  <w:color w:val="0462C1"/>
                  <w:sz w:val="20"/>
                  <w:u w:val="single" w:color="0462C1"/>
                </w:rPr>
                <w:t>%22sort%22:%22asc%22%7D</w:t>
              </w:r>
            </w:hyperlink>
          </w:p>
        </w:tc>
      </w:tr>
      <w:tr w:rsidR="0046798B" w14:paraId="159B350D" w14:textId="77777777">
        <w:trPr>
          <w:trHeight w:val="1005"/>
        </w:trPr>
        <w:tc>
          <w:tcPr>
            <w:tcW w:w="1711" w:type="dxa"/>
          </w:tcPr>
          <w:p w14:paraId="783B56A7" w14:textId="77777777" w:rsidR="0046798B" w:rsidRDefault="0046798B">
            <w:pPr>
              <w:pStyle w:val="TableParagraph"/>
              <w:spacing w:before="9"/>
              <w:rPr>
                <w:sz w:val="23"/>
              </w:rPr>
            </w:pPr>
          </w:p>
          <w:p w14:paraId="17783C55" w14:textId="77777777" w:rsidR="0046798B" w:rsidRDefault="00903B5C">
            <w:pPr>
              <w:pStyle w:val="TableParagraph"/>
              <w:ind w:left="115"/>
              <w:rPr>
                <w:b/>
                <w:sz w:val="20"/>
              </w:rPr>
            </w:pPr>
            <w:r>
              <w:rPr>
                <w:b/>
                <w:sz w:val="20"/>
              </w:rPr>
              <w:t>medicaid_female</w:t>
            </w:r>
          </w:p>
          <w:p w14:paraId="7AAF3F80" w14:textId="77777777" w:rsidR="0046798B" w:rsidRDefault="00903B5C">
            <w:pPr>
              <w:pStyle w:val="TableParagraph"/>
              <w:ind w:left="115"/>
              <w:rPr>
                <w:b/>
                <w:sz w:val="20"/>
              </w:rPr>
            </w:pPr>
            <w:r>
              <w:rPr>
                <w:b/>
                <w:sz w:val="20"/>
              </w:rPr>
              <w:t>_pct</w:t>
            </w:r>
          </w:p>
        </w:tc>
        <w:tc>
          <w:tcPr>
            <w:tcW w:w="1596" w:type="dxa"/>
          </w:tcPr>
          <w:p w14:paraId="3023FB4D" w14:textId="77777777" w:rsidR="0046798B" w:rsidRDefault="00903B5C">
            <w:pPr>
              <w:pStyle w:val="TableParagraph"/>
              <w:spacing w:before="158"/>
              <w:ind w:left="114" w:right="180"/>
              <w:rPr>
                <w:sz w:val="20"/>
              </w:rPr>
            </w:pPr>
            <w:r>
              <w:rPr>
                <w:sz w:val="20"/>
              </w:rPr>
              <w:t>Percentage of women covered by Medicaid</w:t>
            </w:r>
          </w:p>
        </w:tc>
        <w:tc>
          <w:tcPr>
            <w:tcW w:w="1285" w:type="dxa"/>
          </w:tcPr>
          <w:p w14:paraId="6F6C7EBA" w14:textId="77777777" w:rsidR="0046798B" w:rsidRDefault="0046798B">
            <w:pPr>
              <w:pStyle w:val="TableParagraph"/>
            </w:pPr>
          </w:p>
          <w:p w14:paraId="3046A9E5" w14:textId="77777777" w:rsidR="0046798B" w:rsidRDefault="00903B5C">
            <w:pPr>
              <w:pStyle w:val="TableParagraph"/>
              <w:spacing w:before="135"/>
              <w:ind w:left="114"/>
              <w:rPr>
                <w:sz w:val="20"/>
              </w:rPr>
            </w:pPr>
            <w:r>
              <w:rPr>
                <w:sz w:val="20"/>
              </w:rPr>
              <w:t>2008–2017</w:t>
            </w:r>
          </w:p>
        </w:tc>
        <w:tc>
          <w:tcPr>
            <w:tcW w:w="3421" w:type="dxa"/>
          </w:tcPr>
          <w:p w14:paraId="21F087A4" w14:textId="77777777" w:rsidR="0046798B" w:rsidRDefault="00903B5C">
            <w:pPr>
              <w:pStyle w:val="TableParagraph"/>
              <w:spacing w:before="158"/>
              <w:ind w:left="114" w:right="150"/>
              <w:rPr>
                <w:sz w:val="20"/>
              </w:rPr>
            </w:pPr>
            <w:r>
              <w:rPr>
                <w:sz w:val="20"/>
              </w:rPr>
              <w:t>State’s total percentage of women with health insurance coverage from Medicaid</w:t>
            </w:r>
          </w:p>
        </w:tc>
        <w:tc>
          <w:tcPr>
            <w:tcW w:w="6482" w:type="dxa"/>
          </w:tcPr>
          <w:p w14:paraId="23906311" w14:textId="77777777" w:rsidR="0046798B" w:rsidRDefault="00903B5C">
            <w:pPr>
              <w:pStyle w:val="TableParagraph"/>
              <w:spacing w:before="43"/>
              <w:ind w:left="114" w:right="260"/>
              <w:rPr>
                <w:sz w:val="20"/>
              </w:rPr>
            </w:pPr>
            <w:r>
              <w:rPr>
                <w:sz w:val="20"/>
              </w:rPr>
              <w:t xml:space="preserve">Kaiser Family Foundation, State Health Facts: </w:t>
            </w:r>
            <w:hyperlink r:id="rId839">
              <w:r>
                <w:rPr>
                  <w:color w:val="0462C1"/>
                  <w:sz w:val="20"/>
                  <w:u w:val="single" w:color="0462C1"/>
                </w:rPr>
                <w:t>https://www.kff.org/medicaid/state-indicator/rate-by-gender-</w:t>
              </w:r>
            </w:hyperlink>
            <w:r>
              <w:rPr>
                <w:color w:val="0462C1"/>
                <w:sz w:val="20"/>
              </w:rPr>
              <w:t xml:space="preserve"> </w:t>
            </w:r>
            <w:hyperlink r:id="rId840">
              <w:r>
                <w:rPr>
                  <w:color w:val="0462C1"/>
                  <w:sz w:val="20"/>
                  <w:u w:val="single" w:color="0462C1"/>
                </w:rPr>
                <w:t>3/?currentTimeframe=0&amp;sortModel=%7B%22colId%22:%22Location%22,</w:t>
              </w:r>
            </w:hyperlink>
          </w:p>
          <w:p w14:paraId="75353766" w14:textId="77777777" w:rsidR="0046798B" w:rsidRDefault="00797354">
            <w:pPr>
              <w:pStyle w:val="TableParagraph"/>
              <w:ind w:left="114"/>
              <w:rPr>
                <w:sz w:val="20"/>
              </w:rPr>
            </w:pPr>
            <w:hyperlink r:id="rId841">
              <w:r w:rsidR="00903B5C">
                <w:rPr>
                  <w:color w:val="0462C1"/>
                  <w:sz w:val="20"/>
                  <w:u w:val="single" w:color="0462C1"/>
                </w:rPr>
                <w:t>%22sort%22:%22asc%22%7D</w:t>
              </w:r>
            </w:hyperlink>
          </w:p>
        </w:tc>
      </w:tr>
      <w:tr w:rsidR="0046798B" w14:paraId="6AE093BD" w14:textId="77777777">
        <w:trPr>
          <w:trHeight w:val="545"/>
        </w:trPr>
        <w:tc>
          <w:tcPr>
            <w:tcW w:w="1711" w:type="dxa"/>
          </w:tcPr>
          <w:p w14:paraId="7E4EE3E6" w14:textId="77777777" w:rsidR="0046798B" w:rsidRDefault="00903B5C">
            <w:pPr>
              <w:pStyle w:val="TableParagraph"/>
              <w:spacing w:before="43"/>
              <w:ind w:left="115" w:right="121"/>
              <w:rPr>
                <w:b/>
                <w:sz w:val="20"/>
              </w:rPr>
            </w:pPr>
            <w:r>
              <w:rPr>
                <w:b/>
                <w:sz w:val="20"/>
              </w:rPr>
              <w:t>med_enroll_adul t</w:t>
            </w:r>
          </w:p>
        </w:tc>
        <w:tc>
          <w:tcPr>
            <w:tcW w:w="1596" w:type="dxa"/>
          </w:tcPr>
          <w:p w14:paraId="3389E6E4" w14:textId="77777777" w:rsidR="0046798B" w:rsidRDefault="00903B5C">
            <w:pPr>
              <w:pStyle w:val="TableParagraph"/>
              <w:spacing w:before="43"/>
              <w:ind w:left="114" w:right="191"/>
              <w:rPr>
                <w:sz w:val="20"/>
              </w:rPr>
            </w:pPr>
            <w:r>
              <w:rPr>
                <w:sz w:val="20"/>
              </w:rPr>
              <w:t>Adult Medicaid enrollees</w:t>
            </w:r>
          </w:p>
        </w:tc>
        <w:tc>
          <w:tcPr>
            <w:tcW w:w="1285" w:type="dxa"/>
          </w:tcPr>
          <w:p w14:paraId="4C6B87E1" w14:textId="77777777" w:rsidR="0046798B" w:rsidRDefault="00903B5C">
            <w:pPr>
              <w:pStyle w:val="TableParagraph"/>
              <w:spacing w:before="158"/>
              <w:ind w:left="114"/>
              <w:rPr>
                <w:sz w:val="20"/>
              </w:rPr>
            </w:pPr>
            <w:r>
              <w:rPr>
                <w:sz w:val="20"/>
              </w:rPr>
              <w:t>2011</w:t>
            </w:r>
          </w:p>
        </w:tc>
        <w:tc>
          <w:tcPr>
            <w:tcW w:w="3421" w:type="dxa"/>
          </w:tcPr>
          <w:p w14:paraId="54488E6A" w14:textId="77777777" w:rsidR="0046798B" w:rsidRDefault="00903B5C">
            <w:pPr>
              <w:pStyle w:val="TableParagraph"/>
              <w:spacing w:before="43"/>
              <w:ind w:left="114" w:right="327"/>
              <w:rPr>
                <w:sz w:val="20"/>
              </w:rPr>
            </w:pPr>
            <w:r>
              <w:rPr>
                <w:sz w:val="20"/>
              </w:rPr>
              <w:t>Number of Medicaid enrollees in the adult enrollment group</w:t>
            </w:r>
          </w:p>
        </w:tc>
        <w:tc>
          <w:tcPr>
            <w:tcW w:w="6482" w:type="dxa"/>
          </w:tcPr>
          <w:p w14:paraId="7E8C63E0" w14:textId="77777777" w:rsidR="0046798B" w:rsidRDefault="00903B5C">
            <w:pPr>
              <w:pStyle w:val="TableParagraph"/>
              <w:spacing w:before="43"/>
              <w:ind w:left="114" w:right="217"/>
              <w:rPr>
                <w:sz w:val="20"/>
              </w:rPr>
            </w:pPr>
            <w:r>
              <w:rPr>
                <w:sz w:val="20"/>
              </w:rPr>
              <w:t>Kaiser Family Foundation. “Distribution of Medicaid Enrollees by Enrollment Group.”</w:t>
            </w:r>
          </w:p>
        </w:tc>
      </w:tr>
    </w:tbl>
    <w:p w14:paraId="4490B42B" w14:textId="77777777" w:rsidR="0046798B" w:rsidRDefault="0046798B">
      <w:pPr>
        <w:rPr>
          <w:sz w:val="20"/>
        </w:rPr>
        <w:sectPr w:rsidR="0046798B">
          <w:pgSz w:w="15840" w:h="12240" w:orient="landscape"/>
          <w:pgMar w:top="1220" w:right="300" w:bottom="980" w:left="820" w:header="730" w:footer="787" w:gutter="0"/>
          <w:cols w:space="720"/>
        </w:sectPr>
      </w:pPr>
    </w:p>
    <w:p w14:paraId="7E5CAEDB"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3659B846" w14:textId="77777777">
        <w:trPr>
          <w:trHeight w:val="315"/>
        </w:trPr>
        <w:tc>
          <w:tcPr>
            <w:tcW w:w="1711" w:type="dxa"/>
          </w:tcPr>
          <w:p w14:paraId="44AD1493" w14:textId="77777777" w:rsidR="0046798B" w:rsidRDefault="0046798B">
            <w:pPr>
              <w:pStyle w:val="TableParagraph"/>
              <w:rPr>
                <w:sz w:val="20"/>
              </w:rPr>
            </w:pPr>
          </w:p>
        </w:tc>
        <w:tc>
          <w:tcPr>
            <w:tcW w:w="1596" w:type="dxa"/>
          </w:tcPr>
          <w:p w14:paraId="3EFB1F8C" w14:textId="77777777" w:rsidR="0046798B" w:rsidRDefault="0046798B">
            <w:pPr>
              <w:pStyle w:val="TableParagraph"/>
              <w:rPr>
                <w:sz w:val="20"/>
              </w:rPr>
            </w:pPr>
          </w:p>
        </w:tc>
        <w:tc>
          <w:tcPr>
            <w:tcW w:w="1285" w:type="dxa"/>
          </w:tcPr>
          <w:p w14:paraId="42F61706" w14:textId="77777777" w:rsidR="0046798B" w:rsidRDefault="0046798B">
            <w:pPr>
              <w:pStyle w:val="TableParagraph"/>
              <w:rPr>
                <w:sz w:val="20"/>
              </w:rPr>
            </w:pPr>
          </w:p>
        </w:tc>
        <w:tc>
          <w:tcPr>
            <w:tcW w:w="3421" w:type="dxa"/>
          </w:tcPr>
          <w:p w14:paraId="75DE20DC" w14:textId="77777777" w:rsidR="0046798B" w:rsidRDefault="0046798B">
            <w:pPr>
              <w:pStyle w:val="TableParagraph"/>
              <w:rPr>
                <w:sz w:val="20"/>
              </w:rPr>
            </w:pPr>
          </w:p>
        </w:tc>
        <w:tc>
          <w:tcPr>
            <w:tcW w:w="6482" w:type="dxa"/>
          </w:tcPr>
          <w:p w14:paraId="659F9666" w14:textId="77777777" w:rsidR="0046798B" w:rsidRDefault="0046798B">
            <w:pPr>
              <w:pStyle w:val="TableParagraph"/>
              <w:rPr>
                <w:sz w:val="20"/>
              </w:rPr>
            </w:pPr>
          </w:p>
        </w:tc>
      </w:tr>
      <w:tr w:rsidR="0046798B" w14:paraId="6190FECC" w14:textId="77777777">
        <w:trPr>
          <w:trHeight w:val="545"/>
        </w:trPr>
        <w:tc>
          <w:tcPr>
            <w:tcW w:w="1711" w:type="dxa"/>
          </w:tcPr>
          <w:p w14:paraId="2AFF1A84" w14:textId="77777777" w:rsidR="0046798B" w:rsidRDefault="00903B5C">
            <w:pPr>
              <w:pStyle w:val="TableParagraph"/>
              <w:spacing w:before="43"/>
              <w:ind w:left="115"/>
              <w:rPr>
                <w:b/>
                <w:sz w:val="20"/>
              </w:rPr>
            </w:pPr>
            <w:r>
              <w:rPr>
                <w:b/>
                <w:sz w:val="20"/>
              </w:rPr>
              <w:t>med_enroll_aged</w:t>
            </w:r>
          </w:p>
        </w:tc>
        <w:tc>
          <w:tcPr>
            <w:tcW w:w="1596" w:type="dxa"/>
          </w:tcPr>
          <w:p w14:paraId="17A8FF90" w14:textId="77777777" w:rsidR="0046798B" w:rsidRDefault="00903B5C">
            <w:pPr>
              <w:pStyle w:val="TableParagraph"/>
              <w:spacing w:before="43"/>
              <w:ind w:left="114" w:right="213"/>
              <w:rPr>
                <w:sz w:val="20"/>
              </w:rPr>
            </w:pPr>
            <w:r>
              <w:rPr>
                <w:sz w:val="20"/>
              </w:rPr>
              <w:t>Aged Medicaid enrollees</w:t>
            </w:r>
          </w:p>
        </w:tc>
        <w:tc>
          <w:tcPr>
            <w:tcW w:w="1285" w:type="dxa"/>
          </w:tcPr>
          <w:p w14:paraId="49610756" w14:textId="77777777" w:rsidR="0046798B" w:rsidRDefault="00903B5C">
            <w:pPr>
              <w:pStyle w:val="TableParagraph"/>
              <w:spacing w:before="158"/>
              <w:ind w:left="114"/>
              <w:rPr>
                <w:sz w:val="20"/>
              </w:rPr>
            </w:pPr>
            <w:r>
              <w:rPr>
                <w:sz w:val="20"/>
              </w:rPr>
              <w:t>2011</w:t>
            </w:r>
          </w:p>
        </w:tc>
        <w:tc>
          <w:tcPr>
            <w:tcW w:w="3421" w:type="dxa"/>
          </w:tcPr>
          <w:p w14:paraId="2A6347C8" w14:textId="77777777" w:rsidR="0046798B" w:rsidRDefault="00903B5C">
            <w:pPr>
              <w:pStyle w:val="TableParagraph"/>
              <w:spacing w:before="43"/>
              <w:ind w:left="114" w:right="327"/>
              <w:rPr>
                <w:sz w:val="20"/>
              </w:rPr>
            </w:pPr>
            <w:r>
              <w:rPr>
                <w:sz w:val="20"/>
              </w:rPr>
              <w:t>Number of Medicaid enrollees in the aged enrollment group</w:t>
            </w:r>
          </w:p>
        </w:tc>
        <w:tc>
          <w:tcPr>
            <w:tcW w:w="6482" w:type="dxa"/>
          </w:tcPr>
          <w:p w14:paraId="3DC59FD2" w14:textId="77777777" w:rsidR="0046798B" w:rsidRDefault="00903B5C">
            <w:pPr>
              <w:pStyle w:val="TableParagraph"/>
              <w:spacing w:before="43"/>
              <w:ind w:left="114" w:right="217"/>
              <w:rPr>
                <w:sz w:val="20"/>
              </w:rPr>
            </w:pPr>
            <w:r>
              <w:rPr>
                <w:sz w:val="20"/>
              </w:rPr>
              <w:t>Kaiser Family Foundation. “Distribution of Medicaid Enrollees by Enrollment Group.”</w:t>
            </w:r>
          </w:p>
        </w:tc>
      </w:tr>
      <w:tr w:rsidR="0046798B" w14:paraId="199CCD08" w14:textId="77777777">
        <w:trPr>
          <w:trHeight w:val="780"/>
        </w:trPr>
        <w:tc>
          <w:tcPr>
            <w:tcW w:w="1711" w:type="dxa"/>
          </w:tcPr>
          <w:p w14:paraId="128BCB34" w14:textId="77777777" w:rsidR="0046798B" w:rsidRDefault="00903B5C">
            <w:pPr>
              <w:pStyle w:val="TableParagraph"/>
              <w:spacing w:before="43"/>
              <w:ind w:left="115" w:right="188"/>
              <w:rPr>
                <w:b/>
                <w:sz w:val="20"/>
              </w:rPr>
            </w:pPr>
            <w:r>
              <w:rPr>
                <w:b/>
                <w:sz w:val="20"/>
              </w:rPr>
              <w:t>med_enroll_chil d</w:t>
            </w:r>
          </w:p>
        </w:tc>
        <w:tc>
          <w:tcPr>
            <w:tcW w:w="1596" w:type="dxa"/>
          </w:tcPr>
          <w:p w14:paraId="17FF3D5E" w14:textId="77777777" w:rsidR="0046798B" w:rsidRDefault="00903B5C">
            <w:pPr>
              <w:pStyle w:val="TableParagraph"/>
              <w:spacing w:before="158"/>
              <w:ind w:left="114" w:right="202"/>
              <w:rPr>
                <w:sz w:val="20"/>
              </w:rPr>
            </w:pPr>
            <w:r>
              <w:rPr>
                <w:sz w:val="20"/>
              </w:rPr>
              <w:t>Child Medicaid enrollees</w:t>
            </w:r>
          </w:p>
        </w:tc>
        <w:tc>
          <w:tcPr>
            <w:tcW w:w="1285" w:type="dxa"/>
          </w:tcPr>
          <w:p w14:paraId="35E210D2" w14:textId="77777777" w:rsidR="0046798B" w:rsidRDefault="0046798B">
            <w:pPr>
              <w:pStyle w:val="TableParagraph"/>
              <w:spacing w:before="8"/>
              <w:rPr>
                <w:sz w:val="23"/>
              </w:rPr>
            </w:pPr>
          </w:p>
          <w:p w14:paraId="3CAC21AE" w14:textId="77777777" w:rsidR="0046798B" w:rsidRDefault="00903B5C">
            <w:pPr>
              <w:pStyle w:val="TableParagraph"/>
              <w:spacing w:before="1"/>
              <w:ind w:left="114"/>
              <w:rPr>
                <w:sz w:val="20"/>
              </w:rPr>
            </w:pPr>
            <w:r>
              <w:rPr>
                <w:sz w:val="20"/>
              </w:rPr>
              <w:t>2011</w:t>
            </w:r>
          </w:p>
        </w:tc>
        <w:tc>
          <w:tcPr>
            <w:tcW w:w="3421" w:type="dxa"/>
          </w:tcPr>
          <w:p w14:paraId="3294DE70" w14:textId="77777777" w:rsidR="0046798B" w:rsidRDefault="00903B5C">
            <w:pPr>
              <w:pStyle w:val="TableParagraph"/>
              <w:spacing w:before="158"/>
              <w:ind w:left="114" w:right="327"/>
              <w:rPr>
                <w:sz w:val="20"/>
              </w:rPr>
            </w:pPr>
            <w:r>
              <w:rPr>
                <w:sz w:val="20"/>
              </w:rPr>
              <w:t>Number of Medicaid enrollees in the children enrollment group</w:t>
            </w:r>
          </w:p>
        </w:tc>
        <w:tc>
          <w:tcPr>
            <w:tcW w:w="6482" w:type="dxa"/>
          </w:tcPr>
          <w:p w14:paraId="14263A71" w14:textId="77777777" w:rsidR="0046798B" w:rsidRDefault="00903B5C">
            <w:pPr>
              <w:pStyle w:val="TableParagraph"/>
              <w:spacing w:before="158"/>
              <w:ind w:left="114" w:right="217"/>
              <w:rPr>
                <w:sz w:val="20"/>
              </w:rPr>
            </w:pPr>
            <w:r>
              <w:rPr>
                <w:sz w:val="20"/>
              </w:rPr>
              <w:t>Kaiser Family Foundation. “Distribution of Medicaid Enrollees by Enrollment Group.”</w:t>
            </w:r>
          </w:p>
        </w:tc>
      </w:tr>
      <w:tr w:rsidR="0046798B" w14:paraId="13068757" w14:textId="77777777">
        <w:trPr>
          <w:trHeight w:val="775"/>
        </w:trPr>
        <w:tc>
          <w:tcPr>
            <w:tcW w:w="1711" w:type="dxa"/>
          </w:tcPr>
          <w:p w14:paraId="2F72666D" w14:textId="77777777" w:rsidR="0046798B" w:rsidRDefault="00903B5C">
            <w:pPr>
              <w:pStyle w:val="TableParagraph"/>
              <w:spacing w:before="38"/>
              <w:ind w:left="115" w:right="154"/>
              <w:rPr>
                <w:b/>
                <w:sz w:val="20"/>
              </w:rPr>
            </w:pPr>
            <w:r>
              <w:rPr>
                <w:b/>
                <w:sz w:val="20"/>
              </w:rPr>
              <w:t>med_enroll_disa b</w:t>
            </w:r>
          </w:p>
        </w:tc>
        <w:tc>
          <w:tcPr>
            <w:tcW w:w="1596" w:type="dxa"/>
          </w:tcPr>
          <w:p w14:paraId="52D0381E" w14:textId="77777777" w:rsidR="0046798B" w:rsidRDefault="00903B5C">
            <w:pPr>
              <w:pStyle w:val="TableParagraph"/>
              <w:spacing w:before="38"/>
              <w:ind w:left="114" w:right="679"/>
              <w:jc w:val="both"/>
              <w:rPr>
                <w:sz w:val="20"/>
              </w:rPr>
            </w:pPr>
            <w:r>
              <w:rPr>
                <w:sz w:val="20"/>
              </w:rPr>
              <w:t>Disability Medicaid enrollees</w:t>
            </w:r>
          </w:p>
        </w:tc>
        <w:tc>
          <w:tcPr>
            <w:tcW w:w="1285" w:type="dxa"/>
          </w:tcPr>
          <w:p w14:paraId="1905AC8B" w14:textId="77777777" w:rsidR="0046798B" w:rsidRDefault="0046798B">
            <w:pPr>
              <w:pStyle w:val="TableParagraph"/>
              <w:spacing w:before="3"/>
              <w:rPr>
                <w:sz w:val="23"/>
              </w:rPr>
            </w:pPr>
          </w:p>
          <w:p w14:paraId="09B91B94" w14:textId="77777777" w:rsidR="0046798B" w:rsidRDefault="00903B5C">
            <w:pPr>
              <w:pStyle w:val="TableParagraph"/>
              <w:spacing w:before="1"/>
              <w:ind w:left="114"/>
              <w:rPr>
                <w:sz w:val="20"/>
              </w:rPr>
            </w:pPr>
            <w:r>
              <w:rPr>
                <w:sz w:val="20"/>
              </w:rPr>
              <w:t>2011</w:t>
            </w:r>
          </w:p>
        </w:tc>
        <w:tc>
          <w:tcPr>
            <w:tcW w:w="3421" w:type="dxa"/>
          </w:tcPr>
          <w:p w14:paraId="1D63B065" w14:textId="77777777" w:rsidR="0046798B" w:rsidRDefault="00903B5C">
            <w:pPr>
              <w:pStyle w:val="TableParagraph"/>
              <w:spacing w:before="153"/>
              <w:ind w:left="114" w:right="327"/>
              <w:rPr>
                <w:sz w:val="20"/>
              </w:rPr>
            </w:pPr>
            <w:r>
              <w:rPr>
                <w:sz w:val="20"/>
              </w:rPr>
              <w:t>Number of Medicaid enrollees in the disability enrollment group</w:t>
            </w:r>
          </w:p>
        </w:tc>
        <w:tc>
          <w:tcPr>
            <w:tcW w:w="6482" w:type="dxa"/>
          </w:tcPr>
          <w:p w14:paraId="1472CBF1" w14:textId="77777777" w:rsidR="0046798B" w:rsidRDefault="00903B5C">
            <w:pPr>
              <w:pStyle w:val="TableParagraph"/>
              <w:spacing w:before="153"/>
              <w:ind w:left="114" w:right="217"/>
              <w:rPr>
                <w:sz w:val="20"/>
              </w:rPr>
            </w:pPr>
            <w:r>
              <w:rPr>
                <w:sz w:val="20"/>
              </w:rPr>
              <w:t>Kaiser Family Foundation. “Distribution of Medicaid Enrollees by Enrollment Group.”</w:t>
            </w:r>
          </w:p>
        </w:tc>
      </w:tr>
      <w:tr w:rsidR="0046798B" w14:paraId="0205074B" w14:textId="77777777">
        <w:trPr>
          <w:trHeight w:val="545"/>
        </w:trPr>
        <w:tc>
          <w:tcPr>
            <w:tcW w:w="1711" w:type="dxa"/>
          </w:tcPr>
          <w:p w14:paraId="7C82BD37" w14:textId="77777777" w:rsidR="0046798B" w:rsidRDefault="00903B5C">
            <w:pPr>
              <w:pStyle w:val="TableParagraph"/>
              <w:spacing w:before="38"/>
              <w:ind w:left="115"/>
              <w:rPr>
                <w:b/>
                <w:sz w:val="20"/>
              </w:rPr>
            </w:pPr>
            <w:r>
              <w:rPr>
                <w:b/>
                <w:sz w:val="20"/>
              </w:rPr>
              <w:t>med_enroll_total</w:t>
            </w:r>
          </w:p>
        </w:tc>
        <w:tc>
          <w:tcPr>
            <w:tcW w:w="1596" w:type="dxa"/>
          </w:tcPr>
          <w:p w14:paraId="3EA1D20E" w14:textId="77777777" w:rsidR="0046798B" w:rsidRDefault="00903B5C">
            <w:pPr>
              <w:pStyle w:val="TableParagraph"/>
              <w:spacing w:before="38"/>
              <w:ind w:left="114" w:right="224"/>
              <w:rPr>
                <w:sz w:val="20"/>
              </w:rPr>
            </w:pPr>
            <w:r>
              <w:rPr>
                <w:sz w:val="20"/>
              </w:rPr>
              <w:t>Total Medicaid enrollees</w:t>
            </w:r>
          </w:p>
        </w:tc>
        <w:tc>
          <w:tcPr>
            <w:tcW w:w="1285" w:type="dxa"/>
          </w:tcPr>
          <w:p w14:paraId="61042C4A" w14:textId="77777777" w:rsidR="0046798B" w:rsidRDefault="00903B5C">
            <w:pPr>
              <w:pStyle w:val="TableParagraph"/>
              <w:spacing w:before="153"/>
              <w:ind w:left="114"/>
              <w:rPr>
                <w:sz w:val="20"/>
              </w:rPr>
            </w:pPr>
            <w:r>
              <w:rPr>
                <w:sz w:val="20"/>
              </w:rPr>
              <w:t>2011</w:t>
            </w:r>
          </w:p>
        </w:tc>
        <w:tc>
          <w:tcPr>
            <w:tcW w:w="3421" w:type="dxa"/>
          </w:tcPr>
          <w:p w14:paraId="7823FE7A" w14:textId="77777777" w:rsidR="0046798B" w:rsidRDefault="00903B5C">
            <w:pPr>
              <w:pStyle w:val="TableParagraph"/>
              <w:spacing w:before="153"/>
              <w:ind w:left="114"/>
              <w:rPr>
                <w:sz w:val="20"/>
              </w:rPr>
            </w:pPr>
            <w:r>
              <w:rPr>
                <w:sz w:val="20"/>
              </w:rPr>
              <w:t>Total number of Medicaid enrollees</w:t>
            </w:r>
          </w:p>
        </w:tc>
        <w:tc>
          <w:tcPr>
            <w:tcW w:w="6482" w:type="dxa"/>
          </w:tcPr>
          <w:p w14:paraId="17E6883B" w14:textId="77777777" w:rsidR="0046798B" w:rsidRDefault="00903B5C">
            <w:pPr>
              <w:pStyle w:val="TableParagraph"/>
              <w:spacing w:before="38"/>
              <w:ind w:left="114" w:right="217"/>
              <w:rPr>
                <w:sz w:val="20"/>
              </w:rPr>
            </w:pPr>
            <w:r>
              <w:rPr>
                <w:sz w:val="20"/>
              </w:rPr>
              <w:t>Kaiser Family Foundation. “Distribution of Medicaid Enrollees by Enrollment Group.”</w:t>
            </w:r>
          </w:p>
        </w:tc>
      </w:tr>
      <w:tr w:rsidR="0046798B" w14:paraId="2DB9F023" w14:textId="77777777">
        <w:trPr>
          <w:trHeight w:val="775"/>
        </w:trPr>
        <w:tc>
          <w:tcPr>
            <w:tcW w:w="1711" w:type="dxa"/>
          </w:tcPr>
          <w:p w14:paraId="15F58325" w14:textId="77777777" w:rsidR="0046798B" w:rsidRDefault="00903B5C">
            <w:pPr>
              <w:pStyle w:val="TableParagraph"/>
              <w:spacing w:before="43"/>
              <w:ind w:left="115" w:right="121"/>
              <w:rPr>
                <w:b/>
                <w:sz w:val="20"/>
              </w:rPr>
            </w:pPr>
            <w:r>
              <w:rPr>
                <w:b/>
                <w:sz w:val="20"/>
              </w:rPr>
              <w:t>med_spend_adul t</w:t>
            </w:r>
          </w:p>
        </w:tc>
        <w:tc>
          <w:tcPr>
            <w:tcW w:w="1596" w:type="dxa"/>
          </w:tcPr>
          <w:p w14:paraId="06B4CD15" w14:textId="77777777" w:rsidR="0046798B" w:rsidRDefault="00903B5C">
            <w:pPr>
              <w:pStyle w:val="TableParagraph"/>
              <w:spacing w:before="43"/>
              <w:ind w:left="114" w:right="246"/>
              <w:rPr>
                <w:sz w:val="20"/>
              </w:rPr>
            </w:pPr>
            <w:r>
              <w:rPr>
                <w:sz w:val="20"/>
              </w:rPr>
              <w:t>Spending on adult Medicaid enrollees</w:t>
            </w:r>
          </w:p>
        </w:tc>
        <w:tc>
          <w:tcPr>
            <w:tcW w:w="1285" w:type="dxa"/>
          </w:tcPr>
          <w:p w14:paraId="612C504E" w14:textId="77777777" w:rsidR="0046798B" w:rsidRDefault="0046798B">
            <w:pPr>
              <w:pStyle w:val="TableParagraph"/>
              <w:spacing w:before="8"/>
              <w:rPr>
                <w:sz w:val="23"/>
              </w:rPr>
            </w:pPr>
          </w:p>
          <w:p w14:paraId="7C11AA95" w14:textId="77777777" w:rsidR="0046798B" w:rsidRDefault="00903B5C">
            <w:pPr>
              <w:pStyle w:val="TableParagraph"/>
              <w:spacing w:before="1"/>
              <w:ind w:left="114"/>
              <w:rPr>
                <w:sz w:val="20"/>
              </w:rPr>
            </w:pPr>
            <w:r>
              <w:rPr>
                <w:sz w:val="20"/>
              </w:rPr>
              <w:t>2011</w:t>
            </w:r>
          </w:p>
        </w:tc>
        <w:tc>
          <w:tcPr>
            <w:tcW w:w="3421" w:type="dxa"/>
          </w:tcPr>
          <w:p w14:paraId="4CCA05B2" w14:textId="77777777" w:rsidR="0046798B" w:rsidRDefault="00903B5C">
            <w:pPr>
              <w:pStyle w:val="TableParagraph"/>
              <w:spacing w:before="158"/>
              <w:ind w:left="114" w:right="255"/>
              <w:rPr>
                <w:sz w:val="20"/>
              </w:rPr>
            </w:pPr>
            <w:r>
              <w:rPr>
                <w:sz w:val="20"/>
              </w:rPr>
              <w:t>Total Medicaid spending on enrollees in the adult enrollment group</w:t>
            </w:r>
          </w:p>
        </w:tc>
        <w:tc>
          <w:tcPr>
            <w:tcW w:w="6482" w:type="dxa"/>
          </w:tcPr>
          <w:p w14:paraId="7D496955" w14:textId="77777777" w:rsidR="0046798B" w:rsidRDefault="0046798B">
            <w:pPr>
              <w:pStyle w:val="TableParagraph"/>
            </w:pPr>
          </w:p>
          <w:p w14:paraId="045AE2C2" w14:textId="77777777" w:rsidR="0046798B" w:rsidRDefault="00903B5C">
            <w:pPr>
              <w:pStyle w:val="TableParagraph"/>
              <w:spacing w:before="135"/>
              <w:ind w:left="114"/>
              <w:rPr>
                <w:sz w:val="20"/>
              </w:rPr>
            </w:pPr>
            <w:r>
              <w:rPr>
                <w:sz w:val="20"/>
              </w:rPr>
              <w:t>Kaiser Family Foundation. “Medicaid Spending by Enrollment Group.”</w:t>
            </w:r>
          </w:p>
        </w:tc>
      </w:tr>
      <w:tr w:rsidR="0046798B" w14:paraId="7B1F4113" w14:textId="77777777">
        <w:trPr>
          <w:trHeight w:val="775"/>
        </w:trPr>
        <w:tc>
          <w:tcPr>
            <w:tcW w:w="1711" w:type="dxa"/>
          </w:tcPr>
          <w:p w14:paraId="513E4961" w14:textId="77777777" w:rsidR="0046798B" w:rsidRDefault="00903B5C">
            <w:pPr>
              <w:pStyle w:val="TableParagraph"/>
              <w:spacing w:before="158"/>
              <w:ind w:left="115"/>
              <w:rPr>
                <w:b/>
                <w:sz w:val="20"/>
              </w:rPr>
            </w:pPr>
            <w:r>
              <w:rPr>
                <w:b/>
                <w:sz w:val="20"/>
              </w:rPr>
              <w:t>med_spend_aged</w:t>
            </w:r>
          </w:p>
        </w:tc>
        <w:tc>
          <w:tcPr>
            <w:tcW w:w="1596" w:type="dxa"/>
          </w:tcPr>
          <w:p w14:paraId="5D91DFD5" w14:textId="77777777" w:rsidR="0046798B" w:rsidRDefault="00903B5C">
            <w:pPr>
              <w:pStyle w:val="TableParagraph"/>
              <w:spacing w:before="43"/>
              <w:ind w:left="114" w:right="269"/>
              <w:rPr>
                <w:sz w:val="20"/>
              </w:rPr>
            </w:pPr>
            <w:r>
              <w:rPr>
                <w:sz w:val="20"/>
              </w:rPr>
              <w:t>Spending on aged Medicaid enrollees</w:t>
            </w:r>
          </w:p>
        </w:tc>
        <w:tc>
          <w:tcPr>
            <w:tcW w:w="1285" w:type="dxa"/>
          </w:tcPr>
          <w:p w14:paraId="4044E72A" w14:textId="77777777" w:rsidR="0046798B" w:rsidRDefault="0046798B">
            <w:pPr>
              <w:pStyle w:val="TableParagraph"/>
              <w:spacing w:before="9"/>
              <w:rPr>
                <w:sz w:val="23"/>
              </w:rPr>
            </w:pPr>
          </w:p>
          <w:p w14:paraId="2E65089B" w14:textId="77777777" w:rsidR="0046798B" w:rsidRDefault="00903B5C">
            <w:pPr>
              <w:pStyle w:val="TableParagraph"/>
              <w:ind w:left="114"/>
              <w:rPr>
                <w:sz w:val="20"/>
              </w:rPr>
            </w:pPr>
            <w:r>
              <w:rPr>
                <w:sz w:val="20"/>
              </w:rPr>
              <w:t>2011</w:t>
            </w:r>
          </w:p>
        </w:tc>
        <w:tc>
          <w:tcPr>
            <w:tcW w:w="3421" w:type="dxa"/>
          </w:tcPr>
          <w:p w14:paraId="7507EDAF" w14:textId="77777777" w:rsidR="0046798B" w:rsidRDefault="00903B5C">
            <w:pPr>
              <w:pStyle w:val="TableParagraph"/>
              <w:spacing w:before="158"/>
              <w:ind w:left="114" w:right="255"/>
              <w:rPr>
                <w:sz w:val="20"/>
              </w:rPr>
            </w:pPr>
            <w:r>
              <w:rPr>
                <w:sz w:val="20"/>
              </w:rPr>
              <w:t>Total Medicaid spending on enrollees in the aged enrollment group</w:t>
            </w:r>
          </w:p>
        </w:tc>
        <w:tc>
          <w:tcPr>
            <w:tcW w:w="6482" w:type="dxa"/>
          </w:tcPr>
          <w:p w14:paraId="4C364870" w14:textId="77777777" w:rsidR="0046798B" w:rsidRDefault="0046798B">
            <w:pPr>
              <w:pStyle w:val="TableParagraph"/>
              <w:spacing w:before="9"/>
              <w:rPr>
                <w:sz w:val="23"/>
              </w:rPr>
            </w:pPr>
          </w:p>
          <w:p w14:paraId="5985BFE3" w14:textId="77777777" w:rsidR="0046798B" w:rsidRDefault="00903B5C">
            <w:pPr>
              <w:pStyle w:val="TableParagraph"/>
              <w:ind w:left="114"/>
              <w:rPr>
                <w:sz w:val="20"/>
              </w:rPr>
            </w:pPr>
            <w:r>
              <w:rPr>
                <w:sz w:val="20"/>
              </w:rPr>
              <w:t>Kaiser Family Foundation. “Medicaid Spending by Enrollment Group.”</w:t>
            </w:r>
          </w:p>
        </w:tc>
      </w:tr>
      <w:tr w:rsidR="0046798B" w14:paraId="5C4EF825" w14:textId="77777777">
        <w:trPr>
          <w:trHeight w:val="780"/>
        </w:trPr>
        <w:tc>
          <w:tcPr>
            <w:tcW w:w="1711" w:type="dxa"/>
          </w:tcPr>
          <w:p w14:paraId="79107F65" w14:textId="77777777" w:rsidR="0046798B" w:rsidRDefault="00903B5C">
            <w:pPr>
              <w:pStyle w:val="TableParagraph"/>
              <w:spacing w:before="43"/>
              <w:ind w:left="115" w:right="187"/>
              <w:rPr>
                <w:b/>
                <w:sz w:val="20"/>
              </w:rPr>
            </w:pPr>
            <w:r>
              <w:rPr>
                <w:b/>
                <w:sz w:val="20"/>
              </w:rPr>
              <w:t>med_spend_chil d</w:t>
            </w:r>
          </w:p>
        </w:tc>
        <w:tc>
          <w:tcPr>
            <w:tcW w:w="1596" w:type="dxa"/>
          </w:tcPr>
          <w:p w14:paraId="08F42B86" w14:textId="77777777" w:rsidR="0046798B" w:rsidRDefault="00903B5C">
            <w:pPr>
              <w:pStyle w:val="TableParagraph"/>
              <w:spacing w:before="43"/>
              <w:ind w:left="114" w:right="246"/>
              <w:rPr>
                <w:sz w:val="20"/>
              </w:rPr>
            </w:pPr>
            <w:r>
              <w:rPr>
                <w:sz w:val="20"/>
              </w:rPr>
              <w:t>Spending on child Medicaid enrollees</w:t>
            </w:r>
          </w:p>
        </w:tc>
        <w:tc>
          <w:tcPr>
            <w:tcW w:w="1285" w:type="dxa"/>
          </w:tcPr>
          <w:p w14:paraId="1A366177" w14:textId="77777777" w:rsidR="0046798B" w:rsidRDefault="0046798B">
            <w:pPr>
              <w:pStyle w:val="TableParagraph"/>
              <w:spacing w:before="8"/>
              <w:rPr>
                <w:sz w:val="23"/>
              </w:rPr>
            </w:pPr>
          </w:p>
          <w:p w14:paraId="3345C508" w14:textId="77777777" w:rsidR="0046798B" w:rsidRDefault="00903B5C">
            <w:pPr>
              <w:pStyle w:val="TableParagraph"/>
              <w:spacing w:before="1"/>
              <w:ind w:left="114"/>
              <w:rPr>
                <w:sz w:val="20"/>
              </w:rPr>
            </w:pPr>
            <w:r>
              <w:rPr>
                <w:sz w:val="20"/>
              </w:rPr>
              <w:t>2011</w:t>
            </w:r>
          </w:p>
        </w:tc>
        <w:tc>
          <w:tcPr>
            <w:tcW w:w="3421" w:type="dxa"/>
          </w:tcPr>
          <w:p w14:paraId="16A4A398" w14:textId="77777777" w:rsidR="0046798B" w:rsidRDefault="00903B5C">
            <w:pPr>
              <w:pStyle w:val="TableParagraph"/>
              <w:spacing w:before="158"/>
              <w:ind w:left="114" w:right="255"/>
              <w:rPr>
                <w:sz w:val="20"/>
              </w:rPr>
            </w:pPr>
            <w:r>
              <w:rPr>
                <w:sz w:val="20"/>
              </w:rPr>
              <w:t>Total Medicaid spending on enrollees in the children enrollment group</w:t>
            </w:r>
          </w:p>
        </w:tc>
        <w:tc>
          <w:tcPr>
            <w:tcW w:w="6482" w:type="dxa"/>
          </w:tcPr>
          <w:p w14:paraId="4524AFF9" w14:textId="77777777" w:rsidR="0046798B" w:rsidRDefault="0046798B">
            <w:pPr>
              <w:pStyle w:val="TableParagraph"/>
            </w:pPr>
          </w:p>
          <w:p w14:paraId="2B7FAE50" w14:textId="77777777" w:rsidR="0046798B" w:rsidRDefault="00903B5C">
            <w:pPr>
              <w:pStyle w:val="TableParagraph"/>
              <w:spacing w:before="135"/>
              <w:ind w:left="114"/>
              <w:rPr>
                <w:sz w:val="20"/>
              </w:rPr>
            </w:pPr>
            <w:r>
              <w:rPr>
                <w:sz w:val="20"/>
              </w:rPr>
              <w:t>Kaiser Family Foundation. “Medicaid Spending by Enrollment Group.”</w:t>
            </w:r>
          </w:p>
        </w:tc>
      </w:tr>
      <w:tr w:rsidR="0046798B" w14:paraId="0E8F0622" w14:textId="77777777">
        <w:trPr>
          <w:trHeight w:val="1005"/>
        </w:trPr>
        <w:tc>
          <w:tcPr>
            <w:tcW w:w="1711" w:type="dxa"/>
          </w:tcPr>
          <w:p w14:paraId="5C928F69" w14:textId="77777777" w:rsidR="0046798B" w:rsidRDefault="00903B5C">
            <w:pPr>
              <w:pStyle w:val="TableParagraph"/>
              <w:spacing w:before="153"/>
              <w:ind w:left="115" w:right="154"/>
              <w:rPr>
                <w:b/>
                <w:sz w:val="20"/>
              </w:rPr>
            </w:pPr>
            <w:r>
              <w:rPr>
                <w:b/>
                <w:sz w:val="20"/>
              </w:rPr>
              <w:t>med_spend_disa b</w:t>
            </w:r>
          </w:p>
        </w:tc>
        <w:tc>
          <w:tcPr>
            <w:tcW w:w="1596" w:type="dxa"/>
          </w:tcPr>
          <w:p w14:paraId="7D94A587" w14:textId="77777777" w:rsidR="0046798B" w:rsidRDefault="00903B5C">
            <w:pPr>
              <w:pStyle w:val="TableParagraph"/>
              <w:spacing w:before="38"/>
              <w:ind w:left="114" w:right="446"/>
              <w:rPr>
                <w:sz w:val="20"/>
              </w:rPr>
            </w:pPr>
            <w:r>
              <w:rPr>
                <w:sz w:val="20"/>
              </w:rPr>
              <w:t>Spending on disability Medicaid enrollees</w:t>
            </w:r>
          </w:p>
        </w:tc>
        <w:tc>
          <w:tcPr>
            <w:tcW w:w="1285" w:type="dxa"/>
          </w:tcPr>
          <w:p w14:paraId="4A9F2BF2" w14:textId="77777777" w:rsidR="0046798B" w:rsidRDefault="0046798B">
            <w:pPr>
              <w:pStyle w:val="TableParagraph"/>
            </w:pPr>
          </w:p>
          <w:p w14:paraId="5765BF26" w14:textId="77777777" w:rsidR="0046798B" w:rsidRDefault="00903B5C">
            <w:pPr>
              <w:pStyle w:val="TableParagraph"/>
              <w:spacing w:before="130"/>
              <w:ind w:left="114"/>
              <w:rPr>
                <w:sz w:val="20"/>
              </w:rPr>
            </w:pPr>
            <w:r>
              <w:rPr>
                <w:sz w:val="20"/>
              </w:rPr>
              <w:t>2011</w:t>
            </w:r>
          </w:p>
        </w:tc>
        <w:tc>
          <w:tcPr>
            <w:tcW w:w="3421" w:type="dxa"/>
          </w:tcPr>
          <w:p w14:paraId="756305A5" w14:textId="77777777" w:rsidR="0046798B" w:rsidRDefault="0046798B">
            <w:pPr>
              <w:pStyle w:val="TableParagraph"/>
              <w:spacing w:before="3"/>
              <w:rPr>
                <w:sz w:val="23"/>
              </w:rPr>
            </w:pPr>
          </w:p>
          <w:p w14:paraId="72DC79E8" w14:textId="77777777" w:rsidR="0046798B" w:rsidRDefault="00903B5C">
            <w:pPr>
              <w:pStyle w:val="TableParagraph"/>
              <w:spacing w:before="1"/>
              <w:ind w:left="114" w:right="255"/>
              <w:rPr>
                <w:sz w:val="20"/>
              </w:rPr>
            </w:pPr>
            <w:r>
              <w:rPr>
                <w:sz w:val="20"/>
              </w:rPr>
              <w:t>Total Medicaid spending on enrollees in the disability enrollment group</w:t>
            </w:r>
          </w:p>
        </w:tc>
        <w:tc>
          <w:tcPr>
            <w:tcW w:w="6482" w:type="dxa"/>
          </w:tcPr>
          <w:p w14:paraId="0F3DB9F0" w14:textId="77777777" w:rsidR="0046798B" w:rsidRDefault="0046798B">
            <w:pPr>
              <w:pStyle w:val="TableParagraph"/>
            </w:pPr>
          </w:p>
          <w:p w14:paraId="4E12DB04" w14:textId="77777777" w:rsidR="0046798B" w:rsidRDefault="0046798B">
            <w:pPr>
              <w:pStyle w:val="TableParagraph"/>
              <w:spacing w:before="3"/>
              <w:rPr>
                <w:sz w:val="21"/>
              </w:rPr>
            </w:pPr>
          </w:p>
          <w:p w14:paraId="44691673" w14:textId="77777777" w:rsidR="0046798B" w:rsidRDefault="00903B5C">
            <w:pPr>
              <w:pStyle w:val="TableParagraph"/>
              <w:spacing w:before="1"/>
              <w:ind w:left="114"/>
              <w:rPr>
                <w:sz w:val="20"/>
              </w:rPr>
            </w:pPr>
            <w:r>
              <w:rPr>
                <w:sz w:val="20"/>
              </w:rPr>
              <w:t>Kaiser Family Foundation. “Medicaid Spending by Enrollment Group.”</w:t>
            </w:r>
          </w:p>
        </w:tc>
      </w:tr>
      <w:tr w:rsidR="0046798B" w14:paraId="08BAB507" w14:textId="77777777">
        <w:trPr>
          <w:trHeight w:val="545"/>
        </w:trPr>
        <w:tc>
          <w:tcPr>
            <w:tcW w:w="1711" w:type="dxa"/>
          </w:tcPr>
          <w:p w14:paraId="1FEAFD5A" w14:textId="77777777" w:rsidR="0046798B" w:rsidRDefault="00903B5C">
            <w:pPr>
              <w:pStyle w:val="TableParagraph"/>
              <w:spacing w:before="38"/>
              <w:ind w:left="115"/>
              <w:rPr>
                <w:b/>
                <w:sz w:val="20"/>
              </w:rPr>
            </w:pPr>
            <w:r>
              <w:rPr>
                <w:b/>
                <w:sz w:val="20"/>
              </w:rPr>
              <w:t>med_spend_total</w:t>
            </w:r>
          </w:p>
        </w:tc>
        <w:tc>
          <w:tcPr>
            <w:tcW w:w="1596" w:type="dxa"/>
          </w:tcPr>
          <w:p w14:paraId="1506259D" w14:textId="77777777" w:rsidR="0046798B" w:rsidRDefault="00903B5C">
            <w:pPr>
              <w:pStyle w:val="TableParagraph"/>
              <w:spacing w:before="38"/>
              <w:ind w:left="114" w:right="224"/>
              <w:rPr>
                <w:sz w:val="20"/>
              </w:rPr>
            </w:pPr>
            <w:r>
              <w:rPr>
                <w:sz w:val="20"/>
              </w:rPr>
              <w:t>Total Medicaid spending</w:t>
            </w:r>
          </w:p>
        </w:tc>
        <w:tc>
          <w:tcPr>
            <w:tcW w:w="1285" w:type="dxa"/>
          </w:tcPr>
          <w:p w14:paraId="27DDA931" w14:textId="77777777" w:rsidR="0046798B" w:rsidRDefault="00903B5C">
            <w:pPr>
              <w:pStyle w:val="TableParagraph"/>
              <w:spacing w:before="153"/>
              <w:ind w:left="114"/>
              <w:rPr>
                <w:sz w:val="20"/>
              </w:rPr>
            </w:pPr>
            <w:r>
              <w:rPr>
                <w:sz w:val="20"/>
              </w:rPr>
              <w:t>2011</w:t>
            </w:r>
          </w:p>
        </w:tc>
        <w:tc>
          <w:tcPr>
            <w:tcW w:w="3421" w:type="dxa"/>
          </w:tcPr>
          <w:p w14:paraId="7DB07644" w14:textId="77777777" w:rsidR="0046798B" w:rsidRDefault="00903B5C">
            <w:pPr>
              <w:pStyle w:val="TableParagraph"/>
              <w:spacing w:before="153"/>
              <w:ind w:left="114"/>
              <w:rPr>
                <w:sz w:val="20"/>
              </w:rPr>
            </w:pPr>
            <w:r>
              <w:rPr>
                <w:sz w:val="20"/>
              </w:rPr>
              <w:t>Total Medicaid spending</w:t>
            </w:r>
          </w:p>
        </w:tc>
        <w:tc>
          <w:tcPr>
            <w:tcW w:w="6482" w:type="dxa"/>
          </w:tcPr>
          <w:p w14:paraId="75B61B1E" w14:textId="77777777" w:rsidR="0046798B" w:rsidRDefault="0046798B">
            <w:pPr>
              <w:pStyle w:val="TableParagraph"/>
              <w:spacing w:before="4"/>
              <w:rPr>
                <w:sz w:val="23"/>
              </w:rPr>
            </w:pPr>
          </w:p>
          <w:p w14:paraId="663B3705" w14:textId="77777777" w:rsidR="0046798B" w:rsidRDefault="00903B5C">
            <w:pPr>
              <w:pStyle w:val="TableParagraph"/>
              <w:ind w:left="114"/>
              <w:rPr>
                <w:sz w:val="20"/>
              </w:rPr>
            </w:pPr>
            <w:r>
              <w:rPr>
                <w:sz w:val="20"/>
              </w:rPr>
              <w:t>Kaiser Family Foundation. “Medicaid Spending by Enrollment Group.”</w:t>
            </w:r>
          </w:p>
        </w:tc>
      </w:tr>
      <w:tr w:rsidR="0046798B" w14:paraId="5B6810A7" w14:textId="77777777">
        <w:trPr>
          <w:trHeight w:val="2385"/>
        </w:trPr>
        <w:tc>
          <w:tcPr>
            <w:tcW w:w="1711" w:type="dxa"/>
          </w:tcPr>
          <w:p w14:paraId="7DBF8AD5" w14:textId="77777777" w:rsidR="0046798B" w:rsidRDefault="0046798B">
            <w:pPr>
              <w:pStyle w:val="TableParagraph"/>
            </w:pPr>
          </w:p>
          <w:p w14:paraId="383DFD8C" w14:textId="77777777" w:rsidR="0046798B" w:rsidRDefault="0046798B">
            <w:pPr>
              <w:pStyle w:val="TableParagraph"/>
            </w:pPr>
          </w:p>
          <w:p w14:paraId="3D34BA8D" w14:textId="77777777" w:rsidR="0046798B" w:rsidRDefault="0046798B">
            <w:pPr>
              <w:pStyle w:val="TableParagraph"/>
            </w:pPr>
          </w:p>
          <w:p w14:paraId="2AE59322" w14:textId="77777777" w:rsidR="0046798B" w:rsidRDefault="0046798B">
            <w:pPr>
              <w:pStyle w:val="TableParagraph"/>
              <w:spacing w:before="4"/>
              <w:rPr>
                <w:sz w:val="27"/>
              </w:rPr>
            </w:pPr>
          </w:p>
          <w:p w14:paraId="444A4602" w14:textId="77777777" w:rsidR="0046798B" w:rsidRDefault="00903B5C">
            <w:pPr>
              <w:pStyle w:val="TableParagraph"/>
              <w:ind w:left="115"/>
              <w:rPr>
                <w:b/>
                <w:sz w:val="20"/>
              </w:rPr>
            </w:pPr>
            <w:r>
              <w:rPr>
                <w:b/>
                <w:sz w:val="20"/>
              </w:rPr>
              <w:t>healthspendpc</w:t>
            </w:r>
          </w:p>
        </w:tc>
        <w:tc>
          <w:tcPr>
            <w:tcW w:w="1596" w:type="dxa"/>
          </w:tcPr>
          <w:p w14:paraId="706C9F94" w14:textId="77777777" w:rsidR="0046798B" w:rsidRDefault="0046798B">
            <w:pPr>
              <w:pStyle w:val="TableParagraph"/>
            </w:pPr>
          </w:p>
          <w:p w14:paraId="1232DD57" w14:textId="77777777" w:rsidR="0046798B" w:rsidRDefault="0046798B">
            <w:pPr>
              <w:pStyle w:val="TableParagraph"/>
            </w:pPr>
          </w:p>
          <w:p w14:paraId="44620DB9" w14:textId="77777777" w:rsidR="0046798B" w:rsidRDefault="0046798B">
            <w:pPr>
              <w:pStyle w:val="TableParagraph"/>
            </w:pPr>
          </w:p>
          <w:p w14:paraId="00B5581D" w14:textId="77777777" w:rsidR="0046798B" w:rsidRDefault="0046798B">
            <w:pPr>
              <w:pStyle w:val="TableParagraph"/>
              <w:spacing w:before="4"/>
              <w:rPr>
                <w:sz w:val="17"/>
              </w:rPr>
            </w:pPr>
          </w:p>
          <w:p w14:paraId="48020536" w14:textId="77777777" w:rsidR="0046798B" w:rsidRDefault="00903B5C">
            <w:pPr>
              <w:pStyle w:val="TableParagraph"/>
              <w:ind w:left="114" w:right="146"/>
              <w:rPr>
                <w:sz w:val="20"/>
              </w:rPr>
            </w:pPr>
            <w:r>
              <w:rPr>
                <w:sz w:val="20"/>
              </w:rPr>
              <w:t>Health spending per capita</w:t>
            </w:r>
          </w:p>
        </w:tc>
        <w:tc>
          <w:tcPr>
            <w:tcW w:w="1285" w:type="dxa"/>
          </w:tcPr>
          <w:p w14:paraId="108EB6B2" w14:textId="77777777" w:rsidR="0046798B" w:rsidRDefault="0046798B">
            <w:pPr>
              <w:pStyle w:val="TableParagraph"/>
            </w:pPr>
          </w:p>
          <w:p w14:paraId="4E0393F2" w14:textId="77777777" w:rsidR="0046798B" w:rsidRDefault="0046798B">
            <w:pPr>
              <w:pStyle w:val="TableParagraph"/>
            </w:pPr>
          </w:p>
          <w:p w14:paraId="7A4F771D" w14:textId="77777777" w:rsidR="0046798B" w:rsidRDefault="0046798B">
            <w:pPr>
              <w:pStyle w:val="TableParagraph"/>
            </w:pPr>
          </w:p>
          <w:p w14:paraId="55998952" w14:textId="77777777" w:rsidR="0046798B" w:rsidRDefault="0046798B">
            <w:pPr>
              <w:pStyle w:val="TableParagraph"/>
              <w:spacing w:before="4"/>
              <w:rPr>
                <w:sz w:val="27"/>
              </w:rPr>
            </w:pPr>
          </w:p>
          <w:p w14:paraId="7E35FD4E" w14:textId="77777777" w:rsidR="0046798B" w:rsidRDefault="00903B5C">
            <w:pPr>
              <w:pStyle w:val="TableParagraph"/>
              <w:ind w:left="114"/>
              <w:rPr>
                <w:sz w:val="20"/>
              </w:rPr>
            </w:pPr>
            <w:r>
              <w:rPr>
                <w:sz w:val="20"/>
              </w:rPr>
              <w:t>1991–2009</w:t>
            </w:r>
          </w:p>
        </w:tc>
        <w:tc>
          <w:tcPr>
            <w:tcW w:w="3421" w:type="dxa"/>
          </w:tcPr>
          <w:p w14:paraId="78439677" w14:textId="77777777" w:rsidR="0046798B" w:rsidRDefault="0046798B">
            <w:pPr>
              <w:pStyle w:val="TableParagraph"/>
            </w:pPr>
          </w:p>
          <w:p w14:paraId="53F03A42" w14:textId="77777777" w:rsidR="0046798B" w:rsidRDefault="00903B5C">
            <w:pPr>
              <w:pStyle w:val="TableParagraph"/>
              <w:spacing w:before="130"/>
              <w:ind w:left="114" w:right="184"/>
              <w:rPr>
                <w:sz w:val="20"/>
              </w:rPr>
            </w:pPr>
            <w:r>
              <w:rPr>
                <w:sz w:val="20"/>
              </w:rPr>
              <w:t>Health care expenditures per capita (in dollars), measuring spending for all privately and publicly funded personal health care services and products (hospital care, physician services, nursing home care, prescription drugs, etc.) by state of residence</w:t>
            </w:r>
          </w:p>
        </w:tc>
        <w:tc>
          <w:tcPr>
            <w:tcW w:w="6482" w:type="dxa"/>
          </w:tcPr>
          <w:p w14:paraId="41F7C686" w14:textId="77777777" w:rsidR="0046798B" w:rsidRDefault="00903B5C">
            <w:pPr>
              <w:pStyle w:val="TableParagraph"/>
              <w:spacing w:before="38"/>
              <w:ind w:left="114" w:right="189"/>
              <w:rPr>
                <w:sz w:val="20"/>
              </w:rPr>
            </w:pPr>
            <w:r>
              <w:rPr>
                <w:sz w:val="20"/>
              </w:rPr>
              <w:t xml:space="preserve">Kaiser Family Foundation. “Health Care Expenditures per Capita by State of Residence.” </w:t>
            </w:r>
            <w:hyperlink r:id="rId842">
              <w:r>
                <w:rPr>
                  <w:color w:val="0462C1"/>
                  <w:sz w:val="20"/>
                  <w:u w:val="single" w:color="0462C1"/>
                </w:rPr>
                <w:t>http://kff.org/other/state-indicator/health-spending-per-capita/</w:t>
              </w:r>
            </w:hyperlink>
            <w:r>
              <w:rPr>
                <w:sz w:val="20"/>
              </w:rPr>
              <w:t>.</w:t>
            </w:r>
          </w:p>
          <w:p w14:paraId="5987E6A2" w14:textId="77777777" w:rsidR="0046798B" w:rsidRDefault="0046798B">
            <w:pPr>
              <w:pStyle w:val="TableParagraph"/>
              <w:rPr>
                <w:sz w:val="20"/>
              </w:rPr>
            </w:pPr>
          </w:p>
          <w:p w14:paraId="4DA7BA87" w14:textId="77777777" w:rsidR="0046798B" w:rsidRDefault="00903B5C">
            <w:pPr>
              <w:pStyle w:val="TableParagraph"/>
              <w:ind w:left="114" w:right="217"/>
              <w:rPr>
                <w:sz w:val="20"/>
              </w:rPr>
            </w:pPr>
            <w:r>
              <w:rPr>
                <w:sz w:val="20"/>
              </w:rPr>
              <w:t xml:space="preserve">Originally provided by Stateminder: A data visualization project from Georgetown University. </w:t>
            </w:r>
            <w:hyperlink r:id="rId843">
              <w:r>
                <w:rPr>
                  <w:sz w:val="20"/>
                </w:rPr>
                <w:t xml:space="preserve">http://stateminder.org/ </w:t>
              </w:r>
            </w:hyperlink>
            <w:r>
              <w:rPr>
                <w:sz w:val="20"/>
              </w:rPr>
              <w:t>(no longer accessible online)</w:t>
            </w:r>
          </w:p>
          <w:p w14:paraId="36ABB98A" w14:textId="77777777" w:rsidR="0046798B" w:rsidRDefault="0046798B">
            <w:pPr>
              <w:pStyle w:val="TableParagraph"/>
              <w:rPr>
                <w:sz w:val="20"/>
              </w:rPr>
            </w:pPr>
          </w:p>
          <w:p w14:paraId="74F9BD91" w14:textId="77777777" w:rsidR="0046798B" w:rsidRDefault="00903B5C">
            <w:pPr>
              <w:pStyle w:val="TableParagraph"/>
              <w:ind w:left="114" w:right="468"/>
              <w:jc w:val="both"/>
              <w:rPr>
                <w:sz w:val="20"/>
              </w:rPr>
            </w:pPr>
            <w:r>
              <w:rPr>
                <w:sz w:val="20"/>
              </w:rPr>
              <w:t>Notes: Original Data Sources: Centers for Medicare &amp; Medicaid</w:t>
            </w:r>
            <w:r>
              <w:rPr>
                <w:spacing w:val="-17"/>
                <w:sz w:val="20"/>
              </w:rPr>
              <w:t xml:space="preserve"> </w:t>
            </w:r>
            <w:r>
              <w:rPr>
                <w:sz w:val="20"/>
              </w:rPr>
              <w:t>Services (2011), Health Expenditures by State of Residence. Retrieved (December 2011)</w:t>
            </w:r>
            <w:r>
              <w:rPr>
                <w:spacing w:val="-2"/>
                <w:sz w:val="20"/>
              </w:rPr>
              <w:t xml:space="preserve"> </w:t>
            </w:r>
            <w:r>
              <w:rPr>
                <w:sz w:val="20"/>
              </w:rPr>
              <w:t>at</w:t>
            </w:r>
          </w:p>
          <w:p w14:paraId="2BEA6D19" w14:textId="77777777" w:rsidR="0046798B" w:rsidRDefault="00797354">
            <w:pPr>
              <w:pStyle w:val="TableParagraph"/>
              <w:spacing w:before="1"/>
              <w:ind w:left="114"/>
              <w:jc w:val="both"/>
              <w:rPr>
                <w:sz w:val="20"/>
              </w:rPr>
            </w:pPr>
            <w:hyperlink r:id="rId844">
              <w:r w:rsidR="00903B5C">
                <w:rPr>
                  <w:sz w:val="20"/>
                </w:rPr>
                <w:t>http://www.cms.gov/NationalHealthExpendData/downloads/resident-state-</w:t>
              </w:r>
            </w:hyperlink>
          </w:p>
        </w:tc>
      </w:tr>
    </w:tbl>
    <w:p w14:paraId="4253B5D4" w14:textId="77777777" w:rsidR="0046798B" w:rsidRDefault="0046798B">
      <w:pPr>
        <w:jc w:val="both"/>
        <w:rPr>
          <w:sz w:val="20"/>
        </w:rPr>
        <w:sectPr w:rsidR="0046798B">
          <w:pgSz w:w="15840" w:h="12240" w:orient="landscape"/>
          <w:pgMar w:top="1220" w:right="300" w:bottom="980" w:left="820" w:header="730" w:footer="787" w:gutter="0"/>
          <w:cols w:space="720"/>
        </w:sectPr>
      </w:pPr>
    </w:p>
    <w:p w14:paraId="207353B8"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06A57B1A" w14:textId="77777777">
        <w:trPr>
          <w:trHeight w:val="1005"/>
        </w:trPr>
        <w:tc>
          <w:tcPr>
            <w:tcW w:w="1711" w:type="dxa"/>
          </w:tcPr>
          <w:p w14:paraId="035F7B2F" w14:textId="77777777" w:rsidR="0046798B" w:rsidRDefault="0046798B">
            <w:pPr>
              <w:pStyle w:val="TableParagraph"/>
              <w:rPr>
                <w:sz w:val="20"/>
              </w:rPr>
            </w:pPr>
          </w:p>
        </w:tc>
        <w:tc>
          <w:tcPr>
            <w:tcW w:w="1596" w:type="dxa"/>
          </w:tcPr>
          <w:p w14:paraId="01057C8A" w14:textId="77777777" w:rsidR="0046798B" w:rsidRDefault="0046798B">
            <w:pPr>
              <w:pStyle w:val="TableParagraph"/>
              <w:rPr>
                <w:sz w:val="20"/>
              </w:rPr>
            </w:pPr>
          </w:p>
        </w:tc>
        <w:tc>
          <w:tcPr>
            <w:tcW w:w="1285" w:type="dxa"/>
          </w:tcPr>
          <w:p w14:paraId="4A877207" w14:textId="77777777" w:rsidR="0046798B" w:rsidRDefault="0046798B">
            <w:pPr>
              <w:pStyle w:val="TableParagraph"/>
              <w:rPr>
                <w:sz w:val="20"/>
              </w:rPr>
            </w:pPr>
          </w:p>
        </w:tc>
        <w:tc>
          <w:tcPr>
            <w:tcW w:w="3421" w:type="dxa"/>
          </w:tcPr>
          <w:p w14:paraId="492E63B7" w14:textId="77777777" w:rsidR="0046798B" w:rsidRDefault="0046798B">
            <w:pPr>
              <w:pStyle w:val="TableParagraph"/>
              <w:rPr>
                <w:sz w:val="20"/>
              </w:rPr>
            </w:pPr>
          </w:p>
        </w:tc>
        <w:tc>
          <w:tcPr>
            <w:tcW w:w="6482" w:type="dxa"/>
          </w:tcPr>
          <w:p w14:paraId="13B43B60" w14:textId="77777777" w:rsidR="0046798B" w:rsidRDefault="00903B5C">
            <w:pPr>
              <w:pStyle w:val="TableParagraph"/>
              <w:spacing w:before="43"/>
              <w:ind w:left="114" w:right="173"/>
              <w:rPr>
                <w:sz w:val="20"/>
              </w:rPr>
            </w:pPr>
            <w:r>
              <w:rPr>
                <w:sz w:val="20"/>
              </w:rPr>
              <w:t>estimates.zip. Hospital spending is included and reflects the total net revenue (gross charges less contractual adjustments, bad debts, and charity care).</w:t>
            </w:r>
          </w:p>
          <w:p w14:paraId="045687D4" w14:textId="77777777" w:rsidR="0046798B" w:rsidRDefault="00903B5C">
            <w:pPr>
              <w:pStyle w:val="TableParagraph"/>
              <w:ind w:left="114"/>
              <w:rPr>
                <w:sz w:val="20"/>
              </w:rPr>
            </w:pPr>
            <w:r>
              <w:rPr>
                <w:sz w:val="20"/>
              </w:rPr>
              <w:t>Costs such as insurance program administration, research, and construction expenses are not included in this total.</w:t>
            </w:r>
          </w:p>
        </w:tc>
      </w:tr>
      <w:tr w:rsidR="0046798B" w14:paraId="4995D206" w14:textId="77777777">
        <w:trPr>
          <w:trHeight w:val="2386"/>
        </w:trPr>
        <w:tc>
          <w:tcPr>
            <w:tcW w:w="1711" w:type="dxa"/>
          </w:tcPr>
          <w:p w14:paraId="157058EF" w14:textId="77777777" w:rsidR="0046798B" w:rsidRDefault="0046798B">
            <w:pPr>
              <w:pStyle w:val="TableParagraph"/>
            </w:pPr>
          </w:p>
          <w:p w14:paraId="12107D0D" w14:textId="77777777" w:rsidR="0046798B" w:rsidRDefault="0046798B">
            <w:pPr>
              <w:pStyle w:val="TableParagraph"/>
            </w:pPr>
          </w:p>
          <w:p w14:paraId="1D9A265B" w14:textId="77777777" w:rsidR="0046798B" w:rsidRDefault="0046798B">
            <w:pPr>
              <w:pStyle w:val="TableParagraph"/>
            </w:pPr>
          </w:p>
          <w:p w14:paraId="3DBE213D" w14:textId="77777777" w:rsidR="0046798B" w:rsidRDefault="0046798B">
            <w:pPr>
              <w:pStyle w:val="TableParagraph"/>
              <w:spacing w:before="9"/>
              <w:rPr>
                <w:sz w:val="27"/>
              </w:rPr>
            </w:pPr>
          </w:p>
          <w:p w14:paraId="420DF322" w14:textId="77777777" w:rsidR="0046798B" w:rsidRDefault="00903B5C">
            <w:pPr>
              <w:pStyle w:val="TableParagraph"/>
              <w:ind w:left="115"/>
              <w:rPr>
                <w:b/>
                <w:sz w:val="20"/>
              </w:rPr>
            </w:pPr>
            <w:r>
              <w:rPr>
                <w:b/>
                <w:sz w:val="20"/>
              </w:rPr>
              <w:t>infantmortality</w:t>
            </w:r>
          </w:p>
        </w:tc>
        <w:tc>
          <w:tcPr>
            <w:tcW w:w="1596" w:type="dxa"/>
          </w:tcPr>
          <w:p w14:paraId="2C352E41" w14:textId="77777777" w:rsidR="0046798B" w:rsidRDefault="0046798B">
            <w:pPr>
              <w:pStyle w:val="TableParagraph"/>
            </w:pPr>
          </w:p>
          <w:p w14:paraId="0F3C315C" w14:textId="77777777" w:rsidR="0046798B" w:rsidRDefault="0046798B">
            <w:pPr>
              <w:pStyle w:val="TableParagraph"/>
            </w:pPr>
          </w:p>
          <w:p w14:paraId="133E3D50" w14:textId="77777777" w:rsidR="0046798B" w:rsidRDefault="0046798B">
            <w:pPr>
              <w:pStyle w:val="TableParagraph"/>
            </w:pPr>
          </w:p>
          <w:p w14:paraId="55C2E3F4" w14:textId="77777777" w:rsidR="0046798B" w:rsidRDefault="0046798B">
            <w:pPr>
              <w:pStyle w:val="TableParagraph"/>
              <w:spacing w:before="9"/>
              <w:rPr>
                <w:sz w:val="17"/>
              </w:rPr>
            </w:pPr>
          </w:p>
          <w:p w14:paraId="30AFE2D4" w14:textId="77777777" w:rsidR="0046798B" w:rsidRDefault="00903B5C">
            <w:pPr>
              <w:pStyle w:val="TableParagraph"/>
              <w:ind w:left="114"/>
              <w:rPr>
                <w:sz w:val="20"/>
              </w:rPr>
            </w:pPr>
            <w:r>
              <w:rPr>
                <w:sz w:val="20"/>
              </w:rPr>
              <w:t>Infant mortality rate</w:t>
            </w:r>
          </w:p>
        </w:tc>
        <w:tc>
          <w:tcPr>
            <w:tcW w:w="1285" w:type="dxa"/>
          </w:tcPr>
          <w:p w14:paraId="669DBB07" w14:textId="77777777" w:rsidR="0046798B" w:rsidRDefault="0046798B">
            <w:pPr>
              <w:pStyle w:val="TableParagraph"/>
            </w:pPr>
          </w:p>
          <w:p w14:paraId="4C1CD77B" w14:textId="77777777" w:rsidR="0046798B" w:rsidRDefault="0046798B">
            <w:pPr>
              <w:pStyle w:val="TableParagraph"/>
            </w:pPr>
          </w:p>
          <w:p w14:paraId="09835EA8" w14:textId="77777777" w:rsidR="0046798B" w:rsidRDefault="0046798B">
            <w:pPr>
              <w:pStyle w:val="TableParagraph"/>
            </w:pPr>
          </w:p>
          <w:p w14:paraId="0FD305C3" w14:textId="77777777" w:rsidR="0046798B" w:rsidRDefault="0046798B">
            <w:pPr>
              <w:pStyle w:val="TableParagraph"/>
              <w:spacing w:before="9"/>
              <w:rPr>
                <w:sz w:val="17"/>
              </w:rPr>
            </w:pPr>
          </w:p>
          <w:p w14:paraId="2D90BC31" w14:textId="77777777" w:rsidR="0046798B" w:rsidRDefault="00903B5C">
            <w:pPr>
              <w:pStyle w:val="TableParagraph"/>
              <w:ind w:left="114"/>
              <w:rPr>
                <w:sz w:val="20"/>
              </w:rPr>
            </w:pPr>
            <w:r>
              <w:rPr>
                <w:sz w:val="20"/>
              </w:rPr>
              <w:t>1999–2005;</w:t>
            </w:r>
          </w:p>
          <w:p w14:paraId="2490800A" w14:textId="77777777" w:rsidR="0046798B" w:rsidRDefault="00903B5C">
            <w:pPr>
              <w:pStyle w:val="TableParagraph"/>
              <w:ind w:left="114"/>
              <w:rPr>
                <w:sz w:val="20"/>
              </w:rPr>
            </w:pPr>
            <w:r>
              <w:rPr>
                <w:sz w:val="20"/>
              </w:rPr>
              <w:t>2014–2017</w:t>
            </w:r>
          </w:p>
        </w:tc>
        <w:tc>
          <w:tcPr>
            <w:tcW w:w="3421" w:type="dxa"/>
          </w:tcPr>
          <w:p w14:paraId="568CCA1C" w14:textId="77777777" w:rsidR="0046798B" w:rsidRDefault="0046798B">
            <w:pPr>
              <w:pStyle w:val="TableParagraph"/>
            </w:pPr>
          </w:p>
          <w:p w14:paraId="72328323" w14:textId="77777777" w:rsidR="0046798B" w:rsidRDefault="0046798B">
            <w:pPr>
              <w:pStyle w:val="TableParagraph"/>
            </w:pPr>
          </w:p>
          <w:p w14:paraId="16DDD64B" w14:textId="77777777" w:rsidR="0046798B" w:rsidRDefault="0046798B">
            <w:pPr>
              <w:pStyle w:val="TableParagraph"/>
            </w:pPr>
          </w:p>
          <w:p w14:paraId="5772C965" w14:textId="77777777" w:rsidR="0046798B" w:rsidRDefault="0046798B">
            <w:pPr>
              <w:pStyle w:val="TableParagraph"/>
              <w:spacing w:before="9"/>
              <w:rPr>
                <w:sz w:val="17"/>
              </w:rPr>
            </w:pPr>
          </w:p>
          <w:p w14:paraId="69A512D6" w14:textId="77777777" w:rsidR="0046798B" w:rsidRDefault="00903B5C">
            <w:pPr>
              <w:pStyle w:val="TableParagraph"/>
              <w:ind w:left="114" w:right="250"/>
              <w:rPr>
                <w:sz w:val="20"/>
              </w:rPr>
            </w:pPr>
            <w:r>
              <w:rPr>
                <w:sz w:val="20"/>
              </w:rPr>
              <w:t>Number of infant deaths per thousand live births</w:t>
            </w:r>
          </w:p>
        </w:tc>
        <w:tc>
          <w:tcPr>
            <w:tcW w:w="6482" w:type="dxa"/>
          </w:tcPr>
          <w:p w14:paraId="7CD09233" w14:textId="77777777" w:rsidR="0046798B" w:rsidRDefault="00903B5C">
            <w:pPr>
              <w:pStyle w:val="TableParagraph"/>
              <w:spacing w:before="43"/>
              <w:ind w:left="114"/>
              <w:rPr>
                <w:sz w:val="20"/>
              </w:rPr>
            </w:pPr>
            <w:r>
              <w:rPr>
                <w:sz w:val="20"/>
              </w:rPr>
              <w:t>Centers for Disease Control and Prevention Vital Stats. Fetal Death Files.</w:t>
            </w:r>
          </w:p>
          <w:p w14:paraId="6885B565" w14:textId="77777777" w:rsidR="0046798B" w:rsidRDefault="0046798B">
            <w:pPr>
              <w:pStyle w:val="TableParagraph"/>
              <w:rPr>
                <w:sz w:val="20"/>
              </w:rPr>
            </w:pPr>
          </w:p>
          <w:p w14:paraId="6C8CE218" w14:textId="77777777" w:rsidR="0046798B" w:rsidRDefault="00903B5C">
            <w:pPr>
              <w:pStyle w:val="TableParagraph"/>
              <w:spacing w:before="1"/>
              <w:ind w:left="114" w:right="217"/>
              <w:rPr>
                <w:sz w:val="20"/>
              </w:rPr>
            </w:pPr>
            <w:r>
              <w:rPr>
                <w:sz w:val="20"/>
              </w:rPr>
              <w:t xml:space="preserve">Originally provided by Stateminder: A data visualization project from Georgetown University. </w:t>
            </w:r>
            <w:hyperlink r:id="rId845">
              <w:r>
                <w:rPr>
                  <w:sz w:val="20"/>
                </w:rPr>
                <w:t xml:space="preserve">http://stateminder.org/ </w:t>
              </w:r>
            </w:hyperlink>
            <w:r>
              <w:rPr>
                <w:sz w:val="20"/>
              </w:rPr>
              <w:t>(no longer accessible online)</w:t>
            </w:r>
          </w:p>
          <w:p w14:paraId="73CA9CF7" w14:textId="77777777" w:rsidR="0046798B" w:rsidRDefault="0046798B">
            <w:pPr>
              <w:pStyle w:val="TableParagraph"/>
              <w:spacing w:before="11"/>
              <w:rPr>
                <w:sz w:val="19"/>
              </w:rPr>
            </w:pPr>
          </w:p>
          <w:p w14:paraId="3EF49F73" w14:textId="77777777" w:rsidR="0046798B" w:rsidRDefault="00903B5C">
            <w:pPr>
              <w:pStyle w:val="TableParagraph"/>
              <w:ind w:left="114" w:right="94"/>
              <w:rPr>
                <w:sz w:val="20"/>
              </w:rPr>
            </w:pPr>
            <w:r>
              <w:rPr>
                <w:sz w:val="20"/>
              </w:rPr>
              <w:t xml:space="preserve">For 2014–2017: Centers for Disease Control and Prevention, National Center for Health Statistics: </w:t>
            </w:r>
            <w:hyperlink r:id="rId846">
              <w:r>
                <w:rPr>
                  <w:color w:val="0462C1"/>
                  <w:sz w:val="20"/>
                  <w:u w:val="single" w:color="0462C1"/>
                </w:rPr>
                <w:t>https://www.cdc.gov/nchs/pressroom/sosmap/infant_mortality_rates/infant_m</w:t>
              </w:r>
            </w:hyperlink>
            <w:r>
              <w:rPr>
                <w:color w:val="0462C1"/>
                <w:sz w:val="20"/>
              </w:rPr>
              <w:t xml:space="preserve"> </w:t>
            </w:r>
            <w:hyperlink r:id="rId847">
              <w:r>
                <w:rPr>
                  <w:color w:val="0462C1"/>
                  <w:sz w:val="20"/>
                  <w:u w:val="single" w:color="0462C1"/>
                </w:rPr>
                <w:t>ortality.htm</w:t>
              </w:r>
            </w:hyperlink>
          </w:p>
        </w:tc>
      </w:tr>
      <w:tr w:rsidR="0046798B" w14:paraId="350F3174" w14:textId="77777777">
        <w:trPr>
          <w:trHeight w:val="1010"/>
        </w:trPr>
        <w:tc>
          <w:tcPr>
            <w:tcW w:w="1711" w:type="dxa"/>
          </w:tcPr>
          <w:p w14:paraId="13A70274" w14:textId="77777777" w:rsidR="0046798B" w:rsidRDefault="00903B5C">
            <w:pPr>
              <w:pStyle w:val="TableParagraph"/>
              <w:spacing w:before="158"/>
              <w:ind w:left="115" w:right="88"/>
              <w:rPr>
                <w:b/>
                <w:sz w:val="20"/>
              </w:rPr>
            </w:pPr>
            <w:r>
              <w:rPr>
                <w:b/>
                <w:sz w:val="20"/>
              </w:rPr>
              <w:t>lowincchildren_n umber</w:t>
            </w:r>
          </w:p>
        </w:tc>
        <w:tc>
          <w:tcPr>
            <w:tcW w:w="1596" w:type="dxa"/>
          </w:tcPr>
          <w:p w14:paraId="0915E08E" w14:textId="77777777" w:rsidR="0046798B" w:rsidRDefault="00903B5C">
            <w:pPr>
              <w:pStyle w:val="TableParagraph"/>
              <w:spacing w:before="43"/>
              <w:ind w:left="114" w:right="163"/>
              <w:rPr>
                <w:sz w:val="20"/>
              </w:rPr>
            </w:pPr>
            <w:r>
              <w:rPr>
                <w:sz w:val="20"/>
              </w:rPr>
              <w:t>Number of low- income uninsured children</w:t>
            </w:r>
          </w:p>
        </w:tc>
        <w:tc>
          <w:tcPr>
            <w:tcW w:w="1285" w:type="dxa"/>
          </w:tcPr>
          <w:p w14:paraId="275454D8" w14:textId="77777777" w:rsidR="0046798B" w:rsidRDefault="0046798B">
            <w:pPr>
              <w:pStyle w:val="TableParagraph"/>
            </w:pPr>
          </w:p>
          <w:p w14:paraId="6947B137" w14:textId="77777777" w:rsidR="0046798B" w:rsidRDefault="00903B5C">
            <w:pPr>
              <w:pStyle w:val="TableParagraph"/>
              <w:spacing w:before="135"/>
              <w:ind w:left="114"/>
              <w:rPr>
                <w:sz w:val="20"/>
              </w:rPr>
            </w:pPr>
            <w:r>
              <w:rPr>
                <w:sz w:val="20"/>
              </w:rPr>
              <w:t>1999–2017</w:t>
            </w:r>
          </w:p>
        </w:tc>
        <w:tc>
          <w:tcPr>
            <w:tcW w:w="3421" w:type="dxa"/>
          </w:tcPr>
          <w:p w14:paraId="7E668782" w14:textId="77777777" w:rsidR="0046798B" w:rsidRDefault="0046798B">
            <w:pPr>
              <w:pStyle w:val="TableParagraph"/>
              <w:spacing w:before="8"/>
              <w:rPr>
                <w:sz w:val="23"/>
              </w:rPr>
            </w:pPr>
          </w:p>
          <w:p w14:paraId="3E698215" w14:textId="77777777" w:rsidR="0046798B" w:rsidRDefault="00903B5C">
            <w:pPr>
              <w:pStyle w:val="TableParagraph"/>
              <w:spacing w:before="1"/>
              <w:ind w:left="114" w:right="322"/>
              <w:rPr>
                <w:sz w:val="20"/>
              </w:rPr>
            </w:pPr>
            <w:r>
              <w:rPr>
                <w:sz w:val="20"/>
              </w:rPr>
              <w:t>Number of uninsured children below 200% of the poverty line</w:t>
            </w:r>
          </w:p>
        </w:tc>
        <w:tc>
          <w:tcPr>
            <w:tcW w:w="6482" w:type="dxa"/>
          </w:tcPr>
          <w:p w14:paraId="70B04335" w14:textId="77777777" w:rsidR="0046798B" w:rsidRDefault="00903B5C">
            <w:pPr>
              <w:pStyle w:val="TableParagraph"/>
              <w:spacing w:before="158"/>
              <w:ind w:left="114" w:right="791"/>
              <w:rPr>
                <w:sz w:val="20"/>
              </w:rPr>
            </w:pPr>
            <w:r>
              <w:rPr>
                <w:sz w:val="20"/>
              </w:rPr>
              <w:t xml:space="preserve">University of Kentucky Center for Poverty Research. 2019. “UKCPR National Welfare Data, 1980-2017.” Lexington, KY. </w:t>
            </w:r>
            <w:hyperlink r:id="rId848">
              <w:r>
                <w:rPr>
                  <w:color w:val="0462C1"/>
                  <w:sz w:val="20"/>
                  <w:u w:val="single" w:color="0462C1"/>
                </w:rPr>
                <w:t>http://ukcpr.org/resources/national-welfare-data</w:t>
              </w:r>
            </w:hyperlink>
          </w:p>
        </w:tc>
      </w:tr>
      <w:tr w:rsidR="0046798B" w14:paraId="0C16BC42" w14:textId="77777777">
        <w:trPr>
          <w:trHeight w:val="545"/>
        </w:trPr>
        <w:tc>
          <w:tcPr>
            <w:tcW w:w="1711" w:type="dxa"/>
          </w:tcPr>
          <w:p w14:paraId="22E909E2" w14:textId="77777777" w:rsidR="0046798B" w:rsidRDefault="00903B5C">
            <w:pPr>
              <w:pStyle w:val="TableParagraph"/>
              <w:spacing w:before="153"/>
              <w:ind w:left="115"/>
              <w:rPr>
                <w:b/>
                <w:sz w:val="20"/>
              </w:rPr>
            </w:pPr>
            <w:r>
              <w:rPr>
                <w:b/>
                <w:sz w:val="20"/>
              </w:rPr>
              <w:t>sqli</w:t>
            </w:r>
          </w:p>
        </w:tc>
        <w:tc>
          <w:tcPr>
            <w:tcW w:w="1596" w:type="dxa"/>
          </w:tcPr>
          <w:p w14:paraId="612CD54D" w14:textId="77777777" w:rsidR="0046798B" w:rsidRDefault="00903B5C">
            <w:pPr>
              <w:pStyle w:val="TableParagraph"/>
              <w:spacing w:before="38"/>
              <w:ind w:left="114" w:right="229"/>
              <w:rPr>
                <w:sz w:val="20"/>
              </w:rPr>
            </w:pPr>
            <w:r>
              <w:rPr>
                <w:sz w:val="20"/>
              </w:rPr>
              <w:t>Quality of life index ranking</w:t>
            </w:r>
          </w:p>
        </w:tc>
        <w:tc>
          <w:tcPr>
            <w:tcW w:w="1285" w:type="dxa"/>
          </w:tcPr>
          <w:p w14:paraId="0FFFDFA4" w14:textId="77777777" w:rsidR="0046798B" w:rsidRDefault="00903B5C">
            <w:pPr>
              <w:pStyle w:val="TableParagraph"/>
              <w:spacing w:before="153"/>
              <w:ind w:left="114"/>
              <w:rPr>
                <w:sz w:val="20"/>
              </w:rPr>
            </w:pPr>
            <w:r>
              <w:rPr>
                <w:sz w:val="20"/>
              </w:rPr>
              <w:t>1992–2012</w:t>
            </w:r>
          </w:p>
        </w:tc>
        <w:tc>
          <w:tcPr>
            <w:tcW w:w="3421" w:type="dxa"/>
          </w:tcPr>
          <w:p w14:paraId="663342EF" w14:textId="77777777" w:rsidR="0046798B" w:rsidRDefault="00903B5C">
            <w:pPr>
              <w:pStyle w:val="TableParagraph"/>
              <w:spacing w:before="153"/>
              <w:ind w:left="114"/>
              <w:rPr>
                <w:sz w:val="20"/>
              </w:rPr>
            </w:pPr>
            <w:r>
              <w:rPr>
                <w:sz w:val="20"/>
              </w:rPr>
              <w:t>State Quality of Life Index ranking</w:t>
            </w:r>
          </w:p>
        </w:tc>
        <w:tc>
          <w:tcPr>
            <w:tcW w:w="6482" w:type="dxa"/>
          </w:tcPr>
          <w:p w14:paraId="579BB90B" w14:textId="77777777" w:rsidR="0046798B" w:rsidRDefault="00903B5C">
            <w:pPr>
              <w:pStyle w:val="TableParagraph"/>
              <w:spacing w:before="153"/>
              <w:ind w:left="114"/>
              <w:rPr>
                <w:sz w:val="20"/>
              </w:rPr>
            </w:pPr>
            <w:r>
              <w:rPr>
                <w:sz w:val="20"/>
              </w:rPr>
              <w:t>Pallay, Geoff. 2012. Ballotpedia and The Lucy Burns Institute.</w:t>
            </w:r>
          </w:p>
        </w:tc>
      </w:tr>
      <w:tr w:rsidR="0046798B" w14:paraId="2B24D9FC" w14:textId="77777777">
        <w:trPr>
          <w:trHeight w:val="1235"/>
        </w:trPr>
        <w:tc>
          <w:tcPr>
            <w:tcW w:w="1711" w:type="dxa"/>
          </w:tcPr>
          <w:p w14:paraId="5F40DA9C" w14:textId="77777777" w:rsidR="0046798B" w:rsidRDefault="0046798B">
            <w:pPr>
              <w:pStyle w:val="TableParagraph"/>
            </w:pPr>
          </w:p>
          <w:p w14:paraId="560F7A12" w14:textId="77777777" w:rsidR="0046798B" w:rsidRDefault="0046798B">
            <w:pPr>
              <w:pStyle w:val="TableParagraph"/>
              <w:spacing w:before="4"/>
              <w:rPr>
                <w:sz w:val="21"/>
              </w:rPr>
            </w:pPr>
          </w:p>
          <w:p w14:paraId="2ACAF7DB" w14:textId="77777777" w:rsidR="0046798B" w:rsidRDefault="00903B5C">
            <w:pPr>
              <w:pStyle w:val="TableParagraph"/>
              <w:ind w:left="115"/>
              <w:rPr>
                <w:b/>
                <w:sz w:val="20"/>
              </w:rPr>
            </w:pPr>
            <w:r>
              <w:rPr>
                <w:b/>
                <w:sz w:val="20"/>
              </w:rPr>
              <w:t>wellbeing</w:t>
            </w:r>
          </w:p>
        </w:tc>
        <w:tc>
          <w:tcPr>
            <w:tcW w:w="1596" w:type="dxa"/>
          </w:tcPr>
          <w:p w14:paraId="479354F0" w14:textId="77777777" w:rsidR="0046798B" w:rsidRDefault="0046798B">
            <w:pPr>
              <w:pStyle w:val="TableParagraph"/>
              <w:spacing w:before="4"/>
              <w:rPr>
                <w:sz w:val="23"/>
              </w:rPr>
            </w:pPr>
          </w:p>
          <w:p w14:paraId="7A2E66DB" w14:textId="77777777" w:rsidR="0046798B" w:rsidRDefault="00903B5C">
            <w:pPr>
              <w:pStyle w:val="TableParagraph"/>
              <w:ind w:left="114" w:right="391"/>
              <w:rPr>
                <w:sz w:val="20"/>
              </w:rPr>
            </w:pPr>
            <w:r>
              <w:rPr>
                <w:sz w:val="20"/>
              </w:rPr>
              <w:t>Overall well- being index ranking</w:t>
            </w:r>
          </w:p>
        </w:tc>
        <w:tc>
          <w:tcPr>
            <w:tcW w:w="1285" w:type="dxa"/>
          </w:tcPr>
          <w:p w14:paraId="612CE06F" w14:textId="77777777" w:rsidR="0046798B" w:rsidRDefault="0046798B">
            <w:pPr>
              <w:pStyle w:val="TableParagraph"/>
            </w:pPr>
          </w:p>
          <w:p w14:paraId="11AAEC5A" w14:textId="77777777" w:rsidR="0046798B" w:rsidRDefault="0046798B">
            <w:pPr>
              <w:pStyle w:val="TableParagraph"/>
              <w:spacing w:before="4"/>
              <w:rPr>
                <w:sz w:val="21"/>
              </w:rPr>
            </w:pPr>
          </w:p>
          <w:p w14:paraId="6539ECFE" w14:textId="77777777" w:rsidR="0046798B" w:rsidRDefault="00903B5C">
            <w:pPr>
              <w:pStyle w:val="TableParagraph"/>
              <w:ind w:left="114"/>
              <w:rPr>
                <w:sz w:val="20"/>
              </w:rPr>
            </w:pPr>
            <w:r>
              <w:rPr>
                <w:sz w:val="20"/>
              </w:rPr>
              <w:t>2008–2012</w:t>
            </w:r>
          </w:p>
        </w:tc>
        <w:tc>
          <w:tcPr>
            <w:tcW w:w="3421" w:type="dxa"/>
          </w:tcPr>
          <w:p w14:paraId="7A45C43B" w14:textId="77777777" w:rsidR="0046798B" w:rsidRDefault="00903B5C">
            <w:pPr>
              <w:pStyle w:val="TableParagraph"/>
              <w:spacing w:before="38"/>
              <w:ind w:left="114" w:right="116"/>
              <w:rPr>
                <w:sz w:val="20"/>
              </w:rPr>
            </w:pPr>
            <w:r>
              <w:rPr>
                <w:sz w:val="20"/>
              </w:rPr>
              <w:t>Gallup-Healthway Ranking of Well- being Index. (Based on: life evaluation, physical health, emotional health, healthy behavior, work environment, and basic access)</w:t>
            </w:r>
          </w:p>
        </w:tc>
        <w:tc>
          <w:tcPr>
            <w:tcW w:w="6482" w:type="dxa"/>
          </w:tcPr>
          <w:p w14:paraId="61860437" w14:textId="77777777" w:rsidR="0046798B" w:rsidRDefault="0046798B">
            <w:pPr>
              <w:pStyle w:val="TableParagraph"/>
              <w:spacing w:before="4"/>
              <w:rPr>
                <w:sz w:val="23"/>
              </w:rPr>
            </w:pPr>
          </w:p>
          <w:p w14:paraId="6D5CAAB0" w14:textId="77777777" w:rsidR="0046798B" w:rsidRDefault="00903B5C">
            <w:pPr>
              <w:pStyle w:val="TableParagraph"/>
              <w:ind w:left="114"/>
              <w:rPr>
                <w:sz w:val="20"/>
              </w:rPr>
            </w:pPr>
            <w:r>
              <w:rPr>
                <w:sz w:val="20"/>
              </w:rPr>
              <w:t>Gallup and Healthways. “Well-Being Index.”</w:t>
            </w:r>
          </w:p>
          <w:p w14:paraId="170D13AE" w14:textId="77777777" w:rsidR="0046798B" w:rsidRDefault="0046798B">
            <w:pPr>
              <w:pStyle w:val="TableParagraph"/>
              <w:rPr>
                <w:sz w:val="20"/>
              </w:rPr>
            </w:pPr>
          </w:p>
          <w:p w14:paraId="6BB8C9DB" w14:textId="77777777" w:rsidR="0046798B" w:rsidRDefault="00903B5C">
            <w:pPr>
              <w:pStyle w:val="TableParagraph"/>
              <w:ind w:left="114"/>
              <w:rPr>
                <w:sz w:val="20"/>
              </w:rPr>
            </w:pPr>
            <w:r>
              <w:rPr>
                <w:sz w:val="20"/>
              </w:rPr>
              <w:t>Provided by: Pallay, Geoff. 2012. Ballotpedia and The Lucy Burns Institute.</w:t>
            </w:r>
          </w:p>
        </w:tc>
      </w:tr>
      <w:tr w:rsidR="0046798B" w14:paraId="20203041" w14:textId="77777777">
        <w:trPr>
          <w:trHeight w:val="2616"/>
        </w:trPr>
        <w:tc>
          <w:tcPr>
            <w:tcW w:w="1711" w:type="dxa"/>
          </w:tcPr>
          <w:p w14:paraId="3FCB631A" w14:textId="77777777" w:rsidR="0046798B" w:rsidRDefault="0046798B">
            <w:pPr>
              <w:pStyle w:val="TableParagraph"/>
            </w:pPr>
          </w:p>
          <w:p w14:paraId="78A5AC04" w14:textId="77777777" w:rsidR="0046798B" w:rsidRDefault="0046798B">
            <w:pPr>
              <w:pStyle w:val="TableParagraph"/>
            </w:pPr>
          </w:p>
          <w:p w14:paraId="06C511EA" w14:textId="77777777" w:rsidR="0046798B" w:rsidRDefault="0046798B">
            <w:pPr>
              <w:pStyle w:val="TableParagraph"/>
            </w:pPr>
          </w:p>
          <w:p w14:paraId="514CE63E" w14:textId="77777777" w:rsidR="0046798B" w:rsidRDefault="0046798B">
            <w:pPr>
              <w:pStyle w:val="TableParagraph"/>
            </w:pPr>
          </w:p>
          <w:p w14:paraId="0E29C71F" w14:textId="77777777" w:rsidR="0046798B" w:rsidRDefault="00903B5C">
            <w:pPr>
              <w:pStyle w:val="TableParagraph"/>
              <w:spacing w:before="177"/>
              <w:ind w:left="115"/>
              <w:rPr>
                <w:b/>
                <w:sz w:val="20"/>
              </w:rPr>
            </w:pPr>
            <w:r>
              <w:rPr>
                <w:b/>
                <w:sz w:val="20"/>
              </w:rPr>
              <w:t>health_rank</w:t>
            </w:r>
          </w:p>
        </w:tc>
        <w:tc>
          <w:tcPr>
            <w:tcW w:w="1596" w:type="dxa"/>
          </w:tcPr>
          <w:p w14:paraId="73C8A7A2" w14:textId="77777777" w:rsidR="0046798B" w:rsidRDefault="0046798B">
            <w:pPr>
              <w:pStyle w:val="TableParagraph"/>
            </w:pPr>
          </w:p>
          <w:p w14:paraId="73D3D49B" w14:textId="77777777" w:rsidR="0046798B" w:rsidRDefault="0046798B">
            <w:pPr>
              <w:pStyle w:val="TableParagraph"/>
            </w:pPr>
          </w:p>
          <w:p w14:paraId="209027BC" w14:textId="77777777" w:rsidR="0046798B" w:rsidRDefault="0046798B">
            <w:pPr>
              <w:pStyle w:val="TableParagraph"/>
            </w:pPr>
          </w:p>
          <w:p w14:paraId="555120A7" w14:textId="77777777" w:rsidR="0046798B" w:rsidRDefault="0046798B">
            <w:pPr>
              <w:pStyle w:val="TableParagraph"/>
              <w:spacing w:before="4"/>
              <w:rPr>
                <w:sz w:val="27"/>
              </w:rPr>
            </w:pPr>
          </w:p>
          <w:p w14:paraId="245E79D7" w14:textId="77777777" w:rsidR="0046798B" w:rsidRDefault="00903B5C">
            <w:pPr>
              <w:pStyle w:val="TableParagraph"/>
              <w:ind w:left="114" w:right="313"/>
              <w:rPr>
                <w:sz w:val="20"/>
              </w:rPr>
            </w:pPr>
            <w:r>
              <w:rPr>
                <w:sz w:val="20"/>
              </w:rPr>
              <w:t>Overall health ranking</w:t>
            </w:r>
          </w:p>
        </w:tc>
        <w:tc>
          <w:tcPr>
            <w:tcW w:w="1285" w:type="dxa"/>
          </w:tcPr>
          <w:p w14:paraId="5774F868" w14:textId="77777777" w:rsidR="0046798B" w:rsidRDefault="0046798B">
            <w:pPr>
              <w:pStyle w:val="TableParagraph"/>
            </w:pPr>
          </w:p>
          <w:p w14:paraId="3D6A9CAD" w14:textId="77777777" w:rsidR="0046798B" w:rsidRDefault="0046798B">
            <w:pPr>
              <w:pStyle w:val="TableParagraph"/>
            </w:pPr>
          </w:p>
          <w:p w14:paraId="3E096C18" w14:textId="77777777" w:rsidR="0046798B" w:rsidRDefault="0046798B">
            <w:pPr>
              <w:pStyle w:val="TableParagraph"/>
            </w:pPr>
          </w:p>
          <w:p w14:paraId="0A84A6FE" w14:textId="77777777" w:rsidR="0046798B" w:rsidRDefault="0046798B">
            <w:pPr>
              <w:pStyle w:val="TableParagraph"/>
            </w:pPr>
          </w:p>
          <w:p w14:paraId="1E0722AF" w14:textId="77777777" w:rsidR="0046798B" w:rsidRDefault="00903B5C">
            <w:pPr>
              <w:pStyle w:val="TableParagraph"/>
              <w:spacing w:before="177"/>
              <w:ind w:left="114"/>
              <w:rPr>
                <w:sz w:val="20"/>
              </w:rPr>
            </w:pPr>
            <w:r>
              <w:rPr>
                <w:sz w:val="20"/>
              </w:rPr>
              <w:t>1992–2012</w:t>
            </w:r>
          </w:p>
        </w:tc>
        <w:tc>
          <w:tcPr>
            <w:tcW w:w="3421" w:type="dxa"/>
          </w:tcPr>
          <w:p w14:paraId="12CA6733" w14:textId="77777777" w:rsidR="0046798B" w:rsidRDefault="00903B5C">
            <w:pPr>
              <w:pStyle w:val="TableParagraph"/>
              <w:spacing w:before="38"/>
              <w:ind w:left="114" w:right="114"/>
              <w:rPr>
                <w:sz w:val="20"/>
              </w:rPr>
            </w:pPr>
            <w:r>
              <w:rPr>
                <w:sz w:val="20"/>
              </w:rPr>
              <w:t xml:space="preserve">United Health Foundation’s Ranking </w:t>
            </w:r>
            <w:r>
              <w:rPr>
                <w:spacing w:val="-6"/>
                <w:sz w:val="20"/>
              </w:rPr>
              <w:t xml:space="preserve">of </w:t>
            </w:r>
            <w:r>
              <w:rPr>
                <w:sz w:val="20"/>
              </w:rPr>
              <w:t>Overall Health. (Based on: smoking, binge drinking, obesity, sedentary lifestyle, high school graduation, violent crime, occupational fatalities, children in poverty, infectious disease, air pollution, lack of health insurance, public health funding, immunization coverage, low birthweight, primary care physicians, and preventable hospitalizations)</w:t>
            </w:r>
          </w:p>
        </w:tc>
        <w:tc>
          <w:tcPr>
            <w:tcW w:w="6482" w:type="dxa"/>
          </w:tcPr>
          <w:p w14:paraId="79E5B7E9" w14:textId="77777777" w:rsidR="0046798B" w:rsidRDefault="0046798B">
            <w:pPr>
              <w:pStyle w:val="TableParagraph"/>
            </w:pPr>
          </w:p>
          <w:p w14:paraId="7CCD622C" w14:textId="77777777" w:rsidR="0046798B" w:rsidRDefault="0046798B">
            <w:pPr>
              <w:pStyle w:val="TableParagraph"/>
            </w:pPr>
          </w:p>
          <w:p w14:paraId="6E3C2DFD" w14:textId="77777777" w:rsidR="0046798B" w:rsidRDefault="0046798B">
            <w:pPr>
              <w:pStyle w:val="TableParagraph"/>
            </w:pPr>
          </w:p>
          <w:p w14:paraId="15BD346E" w14:textId="77777777" w:rsidR="0046798B" w:rsidRDefault="0046798B">
            <w:pPr>
              <w:pStyle w:val="TableParagraph"/>
              <w:spacing w:before="4"/>
              <w:rPr>
                <w:sz w:val="17"/>
              </w:rPr>
            </w:pPr>
          </w:p>
          <w:p w14:paraId="16911AA2" w14:textId="77777777" w:rsidR="0046798B" w:rsidRDefault="00903B5C">
            <w:pPr>
              <w:pStyle w:val="TableParagraph"/>
              <w:ind w:left="114"/>
              <w:rPr>
                <w:sz w:val="20"/>
              </w:rPr>
            </w:pPr>
            <w:r>
              <w:rPr>
                <w:sz w:val="20"/>
              </w:rPr>
              <w:t>United Health Foundation. “America’s Health Rankings.”</w:t>
            </w:r>
          </w:p>
          <w:p w14:paraId="57B774F1" w14:textId="77777777" w:rsidR="0046798B" w:rsidRDefault="0046798B">
            <w:pPr>
              <w:pStyle w:val="TableParagraph"/>
              <w:rPr>
                <w:sz w:val="20"/>
              </w:rPr>
            </w:pPr>
          </w:p>
          <w:p w14:paraId="340E3551" w14:textId="77777777" w:rsidR="0046798B" w:rsidRDefault="00903B5C">
            <w:pPr>
              <w:pStyle w:val="TableParagraph"/>
              <w:spacing w:before="1"/>
              <w:ind w:left="114"/>
              <w:rPr>
                <w:sz w:val="20"/>
              </w:rPr>
            </w:pPr>
            <w:r>
              <w:rPr>
                <w:sz w:val="20"/>
              </w:rPr>
              <w:t>Provided by: Pallay, Geoff. 2012. Ballotpedia and The Lucy Burns Institute.</w:t>
            </w:r>
          </w:p>
        </w:tc>
      </w:tr>
    </w:tbl>
    <w:p w14:paraId="0DE80090" w14:textId="77777777" w:rsidR="0046798B" w:rsidRDefault="0046798B">
      <w:pPr>
        <w:rPr>
          <w:sz w:val="20"/>
        </w:rPr>
        <w:sectPr w:rsidR="0046798B">
          <w:pgSz w:w="15840" w:h="12240" w:orient="landscape"/>
          <w:pgMar w:top="1220" w:right="300" w:bottom="980" w:left="820" w:header="730" w:footer="787" w:gutter="0"/>
          <w:cols w:space="720"/>
        </w:sectPr>
      </w:pPr>
    </w:p>
    <w:p w14:paraId="186A4AB7"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460B509" w14:textId="77777777">
        <w:trPr>
          <w:trHeight w:val="1235"/>
        </w:trPr>
        <w:tc>
          <w:tcPr>
            <w:tcW w:w="1711" w:type="dxa"/>
          </w:tcPr>
          <w:p w14:paraId="40C0FD03" w14:textId="77777777" w:rsidR="0046798B" w:rsidRDefault="0046798B">
            <w:pPr>
              <w:pStyle w:val="TableParagraph"/>
            </w:pPr>
          </w:p>
          <w:p w14:paraId="46B72E36" w14:textId="77777777" w:rsidR="0046798B" w:rsidRDefault="0046798B">
            <w:pPr>
              <w:pStyle w:val="TableParagraph"/>
              <w:spacing w:before="9"/>
              <w:rPr>
                <w:sz w:val="21"/>
              </w:rPr>
            </w:pPr>
          </w:p>
          <w:p w14:paraId="7C74AA73" w14:textId="77777777" w:rsidR="0046798B" w:rsidRDefault="00903B5C">
            <w:pPr>
              <w:pStyle w:val="TableParagraph"/>
              <w:ind w:left="115"/>
              <w:rPr>
                <w:b/>
                <w:sz w:val="20"/>
              </w:rPr>
            </w:pPr>
            <w:r>
              <w:rPr>
                <w:b/>
                <w:sz w:val="20"/>
              </w:rPr>
              <w:t>hmdadop</w:t>
            </w:r>
          </w:p>
        </w:tc>
        <w:tc>
          <w:tcPr>
            <w:tcW w:w="1596" w:type="dxa"/>
          </w:tcPr>
          <w:p w14:paraId="22BC0001" w14:textId="77777777" w:rsidR="0046798B" w:rsidRDefault="00903B5C">
            <w:pPr>
              <w:pStyle w:val="TableParagraph"/>
              <w:spacing w:before="43"/>
              <w:ind w:left="114" w:right="102"/>
              <w:rPr>
                <w:sz w:val="20"/>
              </w:rPr>
            </w:pPr>
            <w:r>
              <w:rPr>
                <w:sz w:val="20"/>
              </w:rPr>
              <w:t>Health insurance mandated dependent coverage: adopted children</w:t>
            </w:r>
          </w:p>
        </w:tc>
        <w:tc>
          <w:tcPr>
            <w:tcW w:w="1285" w:type="dxa"/>
          </w:tcPr>
          <w:p w14:paraId="2158F484" w14:textId="77777777" w:rsidR="0046798B" w:rsidRDefault="0046798B">
            <w:pPr>
              <w:pStyle w:val="TableParagraph"/>
            </w:pPr>
          </w:p>
          <w:p w14:paraId="6CA930BC" w14:textId="77777777" w:rsidR="0046798B" w:rsidRDefault="0046798B">
            <w:pPr>
              <w:pStyle w:val="TableParagraph"/>
              <w:spacing w:before="9"/>
              <w:rPr>
                <w:sz w:val="21"/>
              </w:rPr>
            </w:pPr>
          </w:p>
          <w:p w14:paraId="31BF92C2" w14:textId="77777777" w:rsidR="0046798B" w:rsidRDefault="00903B5C">
            <w:pPr>
              <w:pStyle w:val="TableParagraph"/>
              <w:ind w:left="114"/>
              <w:rPr>
                <w:sz w:val="20"/>
              </w:rPr>
            </w:pPr>
            <w:r>
              <w:rPr>
                <w:sz w:val="20"/>
              </w:rPr>
              <w:t>2006–2016</w:t>
            </w:r>
          </w:p>
        </w:tc>
        <w:tc>
          <w:tcPr>
            <w:tcW w:w="3421" w:type="dxa"/>
          </w:tcPr>
          <w:p w14:paraId="1D6DFD10" w14:textId="77777777" w:rsidR="0046798B" w:rsidRDefault="0046798B">
            <w:pPr>
              <w:pStyle w:val="TableParagraph"/>
              <w:spacing w:before="9"/>
              <w:rPr>
                <w:sz w:val="23"/>
              </w:rPr>
            </w:pPr>
          </w:p>
          <w:p w14:paraId="1F920776" w14:textId="77777777" w:rsidR="0046798B" w:rsidRDefault="00903B5C">
            <w:pPr>
              <w:pStyle w:val="TableParagraph"/>
              <w:ind w:left="114" w:right="119"/>
              <w:rPr>
                <w:sz w:val="20"/>
              </w:rPr>
            </w:pPr>
            <w:r>
              <w:rPr>
                <w:sz w:val="20"/>
              </w:rPr>
              <w:t>Health insurance mandated dependent coverage: adopted children (0 = no, 1 = yes)</w:t>
            </w:r>
          </w:p>
        </w:tc>
        <w:tc>
          <w:tcPr>
            <w:tcW w:w="6482" w:type="dxa"/>
          </w:tcPr>
          <w:p w14:paraId="4034F9A2" w14:textId="77777777" w:rsidR="0046798B" w:rsidRDefault="0046798B">
            <w:pPr>
              <w:pStyle w:val="TableParagraph"/>
              <w:spacing w:before="9"/>
              <w:rPr>
                <w:sz w:val="23"/>
              </w:rPr>
            </w:pPr>
          </w:p>
          <w:p w14:paraId="4B59856E" w14:textId="77777777" w:rsidR="0046798B" w:rsidRDefault="00903B5C">
            <w:pPr>
              <w:pStyle w:val="TableParagraph"/>
              <w:ind w:left="114"/>
              <w:rPr>
                <w:sz w:val="20"/>
              </w:rPr>
            </w:pPr>
            <w:r>
              <w:rPr>
                <w:sz w:val="20"/>
              </w:rPr>
              <w:t>Sorens, Jason, Fait Muedini, and William P. Ruger. “State and Local Public Policies in 2006: A New Database.” State Politics &amp; Policy Quarterly 8.3 (2008): 309–26.</w:t>
            </w:r>
          </w:p>
        </w:tc>
      </w:tr>
      <w:tr w:rsidR="0046798B" w14:paraId="60C830F0" w14:textId="77777777">
        <w:trPr>
          <w:trHeight w:val="775"/>
        </w:trPr>
        <w:tc>
          <w:tcPr>
            <w:tcW w:w="1711" w:type="dxa"/>
          </w:tcPr>
          <w:p w14:paraId="4D0DFF92" w14:textId="77777777" w:rsidR="0046798B" w:rsidRDefault="0046798B">
            <w:pPr>
              <w:pStyle w:val="TableParagraph"/>
              <w:spacing w:before="9"/>
              <w:rPr>
                <w:sz w:val="23"/>
              </w:rPr>
            </w:pPr>
          </w:p>
          <w:p w14:paraId="2D12740F" w14:textId="77777777" w:rsidR="0046798B" w:rsidRDefault="00903B5C">
            <w:pPr>
              <w:pStyle w:val="TableParagraph"/>
              <w:ind w:left="115"/>
              <w:rPr>
                <w:b/>
                <w:sz w:val="20"/>
              </w:rPr>
            </w:pPr>
            <w:r>
              <w:rPr>
                <w:b/>
                <w:sz w:val="20"/>
              </w:rPr>
              <w:t>hmdcond</w:t>
            </w:r>
          </w:p>
        </w:tc>
        <w:tc>
          <w:tcPr>
            <w:tcW w:w="1596" w:type="dxa"/>
          </w:tcPr>
          <w:p w14:paraId="37FB2C21" w14:textId="77777777" w:rsidR="0046798B" w:rsidRDefault="00903B5C">
            <w:pPr>
              <w:pStyle w:val="TableParagraph"/>
              <w:spacing w:before="158"/>
              <w:ind w:left="114" w:right="163"/>
              <w:rPr>
                <w:sz w:val="20"/>
              </w:rPr>
            </w:pPr>
            <w:r>
              <w:rPr>
                <w:sz w:val="20"/>
              </w:rPr>
              <w:t>Continuation/de pendents</w:t>
            </w:r>
          </w:p>
        </w:tc>
        <w:tc>
          <w:tcPr>
            <w:tcW w:w="1285" w:type="dxa"/>
          </w:tcPr>
          <w:p w14:paraId="39D8CF2C" w14:textId="77777777" w:rsidR="0046798B" w:rsidRDefault="0046798B">
            <w:pPr>
              <w:pStyle w:val="TableParagraph"/>
              <w:spacing w:before="9"/>
              <w:rPr>
                <w:sz w:val="23"/>
              </w:rPr>
            </w:pPr>
          </w:p>
          <w:p w14:paraId="4D909503" w14:textId="77777777" w:rsidR="0046798B" w:rsidRDefault="00903B5C">
            <w:pPr>
              <w:pStyle w:val="TableParagraph"/>
              <w:ind w:left="114"/>
              <w:rPr>
                <w:sz w:val="20"/>
              </w:rPr>
            </w:pPr>
            <w:r>
              <w:rPr>
                <w:sz w:val="20"/>
              </w:rPr>
              <w:t>2006–2008</w:t>
            </w:r>
          </w:p>
        </w:tc>
        <w:tc>
          <w:tcPr>
            <w:tcW w:w="3421" w:type="dxa"/>
          </w:tcPr>
          <w:p w14:paraId="3EB17F9D" w14:textId="77777777" w:rsidR="0046798B" w:rsidRDefault="00903B5C">
            <w:pPr>
              <w:pStyle w:val="TableParagraph"/>
              <w:spacing w:before="43"/>
              <w:ind w:left="114" w:right="115"/>
              <w:rPr>
                <w:sz w:val="20"/>
              </w:rPr>
            </w:pPr>
            <w:r>
              <w:rPr>
                <w:sz w:val="20"/>
              </w:rPr>
              <w:t>Health insurance mandated dependent coverage: continuation/dependents (0 = no, 1 = yes)</w:t>
            </w:r>
          </w:p>
        </w:tc>
        <w:tc>
          <w:tcPr>
            <w:tcW w:w="6482" w:type="dxa"/>
          </w:tcPr>
          <w:p w14:paraId="3A79769D" w14:textId="77777777" w:rsidR="0046798B" w:rsidRDefault="00903B5C">
            <w:pPr>
              <w:pStyle w:val="TableParagraph"/>
              <w:spacing w:before="43"/>
              <w:ind w:left="114" w:right="272"/>
              <w:rPr>
                <w:sz w:val="20"/>
              </w:rPr>
            </w:pPr>
            <w:r>
              <w:rPr>
                <w:sz w:val="20"/>
              </w:rPr>
              <w:t>Sorens, Jason, Fait Muedini, and William P. Ruger. “State and Local Public Policies in 2006: A New Database.” State Politics &amp; Policy Quarterly 8.3 (2008): 309–26.</w:t>
            </w:r>
          </w:p>
        </w:tc>
      </w:tr>
      <w:tr w:rsidR="0046798B" w14:paraId="51CE9BCF" w14:textId="77777777">
        <w:trPr>
          <w:trHeight w:val="780"/>
        </w:trPr>
        <w:tc>
          <w:tcPr>
            <w:tcW w:w="1711" w:type="dxa"/>
          </w:tcPr>
          <w:p w14:paraId="7B0A4119" w14:textId="77777777" w:rsidR="0046798B" w:rsidRDefault="0046798B">
            <w:pPr>
              <w:pStyle w:val="TableParagraph"/>
              <w:spacing w:before="8"/>
              <w:rPr>
                <w:sz w:val="23"/>
              </w:rPr>
            </w:pPr>
          </w:p>
          <w:p w14:paraId="53705B16" w14:textId="77777777" w:rsidR="0046798B" w:rsidRDefault="00903B5C">
            <w:pPr>
              <w:pStyle w:val="TableParagraph"/>
              <w:spacing w:before="1"/>
              <w:ind w:left="115"/>
              <w:rPr>
                <w:b/>
                <w:sz w:val="20"/>
              </w:rPr>
            </w:pPr>
            <w:r>
              <w:rPr>
                <w:b/>
                <w:sz w:val="20"/>
              </w:rPr>
              <w:t>hmdcone</w:t>
            </w:r>
          </w:p>
        </w:tc>
        <w:tc>
          <w:tcPr>
            <w:tcW w:w="1596" w:type="dxa"/>
          </w:tcPr>
          <w:p w14:paraId="18633057" w14:textId="77777777" w:rsidR="0046798B" w:rsidRDefault="00903B5C">
            <w:pPr>
              <w:pStyle w:val="TableParagraph"/>
              <w:spacing w:before="158"/>
              <w:ind w:left="114" w:right="107"/>
              <w:rPr>
                <w:sz w:val="20"/>
              </w:rPr>
            </w:pPr>
            <w:r>
              <w:rPr>
                <w:sz w:val="20"/>
              </w:rPr>
              <w:t>Continuation/em ployees</w:t>
            </w:r>
          </w:p>
        </w:tc>
        <w:tc>
          <w:tcPr>
            <w:tcW w:w="1285" w:type="dxa"/>
          </w:tcPr>
          <w:p w14:paraId="304228D0" w14:textId="77777777" w:rsidR="0046798B" w:rsidRDefault="0046798B">
            <w:pPr>
              <w:pStyle w:val="TableParagraph"/>
              <w:spacing w:before="8"/>
              <w:rPr>
                <w:sz w:val="23"/>
              </w:rPr>
            </w:pPr>
          </w:p>
          <w:p w14:paraId="752477AB" w14:textId="77777777" w:rsidR="0046798B" w:rsidRDefault="00903B5C">
            <w:pPr>
              <w:pStyle w:val="TableParagraph"/>
              <w:spacing w:before="1"/>
              <w:ind w:left="114"/>
              <w:rPr>
                <w:sz w:val="20"/>
              </w:rPr>
            </w:pPr>
            <w:r>
              <w:rPr>
                <w:sz w:val="20"/>
              </w:rPr>
              <w:t>2006–2008</w:t>
            </w:r>
          </w:p>
        </w:tc>
        <w:tc>
          <w:tcPr>
            <w:tcW w:w="3421" w:type="dxa"/>
          </w:tcPr>
          <w:p w14:paraId="130FDF99" w14:textId="77777777" w:rsidR="0046798B" w:rsidRDefault="00903B5C">
            <w:pPr>
              <w:pStyle w:val="TableParagraph"/>
              <w:spacing w:before="43"/>
              <w:ind w:left="114" w:right="159"/>
              <w:rPr>
                <w:sz w:val="20"/>
              </w:rPr>
            </w:pPr>
            <w:r>
              <w:rPr>
                <w:sz w:val="20"/>
              </w:rPr>
              <w:t>Health insurance mandated dependent coverage: continuation/employees (0 = no, 1 = yes)</w:t>
            </w:r>
          </w:p>
        </w:tc>
        <w:tc>
          <w:tcPr>
            <w:tcW w:w="6482" w:type="dxa"/>
          </w:tcPr>
          <w:p w14:paraId="6301A973" w14:textId="77777777" w:rsidR="0046798B" w:rsidRDefault="00903B5C">
            <w:pPr>
              <w:pStyle w:val="TableParagraph"/>
              <w:spacing w:before="43"/>
              <w:ind w:left="114"/>
              <w:rPr>
                <w:sz w:val="20"/>
              </w:rPr>
            </w:pPr>
            <w:r>
              <w:rPr>
                <w:sz w:val="20"/>
              </w:rPr>
              <w:t>Sorens, Jason, Fait Muedini, and William P. Ruger. “State and Local Public Policies in 2006: A New Database.” State Politics &amp; Policy Quarterly 8.3 (2008): 309–26.</w:t>
            </w:r>
          </w:p>
        </w:tc>
      </w:tr>
      <w:tr w:rsidR="0046798B" w14:paraId="0AA93A61" w14:textId="77777777">
        <w:trPr>
          <w:trHeight w:val="775"/>
        </w:trPr>
        <w:tc>
          <w:tcPr>
            <w:tcW w:w="1711" w:type="dxa"/>
          </w:tcPr>
          <w:p w14:paraId="7E3C37C7" w14:textId="77777777" w:rsidR="0046798B" w:rsidRDefault="0046798B">
            <w:pPr>
              <w:pStyle w:val="TableParagraph"/>
              <w:spacing w:before="4"/>
              <w:rPr>
                <w:sz w:val="23"/>
              </w:rPr>
            </w:pPr>
          </w:p>
          <w:p w14:paraId="6734B67D" w14:textId="77777777" w:rsidR="0046798B" w:rsidRDefault="00903B5C">
            <w:pPr>
              <w:pStyle w:val="TableParagraph"/>
              <w:ind w:left="115"/>
              <w:rPr>
                <w:b/>
                <w:sz w:val="20"/>
              </w:rPr>
            </w:pPr>
            <w:r>
              <w:rPr>
                <w:b/>
                <w:sz w:val="20"/>
              </w:rPr>
              <w:t>hmdconv</w:t>
            </w:r>
          </w:p>
        </w:tc>
        <w:tc>
          <w:tcPr>
            <w:tcW w:w="1596" w:type="dxa"/>
          </w:tcPr>
          <w:p w14:paraId="6C49DA82" w14:textId="77777777" w:rsidR="0046798B" w:rsidRDefault="00903B5C">
            <w:pPr>
              <w:pStyle w:val="TableParagraph"/>
              <w:spacing w:before="153"/>
              <w:ind w:left="114" w:right="340"/>
              <w:rPr>
                <w:sz w:val="20"/>
              </w:rPr>
            </w:pPr>
            <w:r>
              <w:rPr>
                <w:sz w:val="20"/>
              </w:rPr>
              <w:t>Conversion to non-group</w:t>
            </w:r>
          </w:p>
        </w:tc>
        <w:tc>
          <w:tcPr>
            <w:tcW w:w="1285" w:type="dxa"/>
          </w:tcPr>
          <w:p w14:paraId="6850AC27" w14:textId="77777777" w:rsidR="0046798B" w:rsidRDefault="0046798B">
            <w:pPr>
              <w:pStyle w:val="TableParagraph"/>
              <w:spacing w:before="4"/>
              <w:rPr>
                <w:sz w:val="23"/>
              </w:rPr>
            </w:pPr>
          </w:p>
          <w:p w14:paraId="79E948FA" w14:textId="77777777" w:rsidR="0046798B" w:rsidRDefault="00903B5C">
            <w:pPr>
              <w:pStyle w:val="TableParagraph"/>
              <w:ind w:left="114"/>
              <w:rPr>
                <w:sz w:val="20"/>
              </w:rPr>
            </w:pPr>
            <w:r>
              <w:rPr>
                <w:sz w:val="20"/>
              </w:rPr>
              <w:t>2006–2008</w:t>
            </w:r>
          </w:p>
        </w:tc>
        <w:tc>
          <w:tcPr>
            <w:tcW w:w="3421" w:type="dxa"/>
          </w:tcPr>
          <w:p w14:paraId="05A1A5D8" w14:textId="77777777" w:rsidR="0046798B" w:rsidRDefault="00903B5C">
            <w:pPr>
              <w:pStyle w:val="TableParagraph"/>
              <w:spacing w:before="38"/>
              <w:ind w:left="114" w:right="104"/>
              <w:rPr>
                <w:sz w:val="20"/>
              </w:rPr>
            </w:pPr>
            <w:r>
              <w:rPr>
                <w:sz w:val="20"/>
              </w:rPr>
              <w:t>Health insurance mandated dependent coverage: conversion to non-group (0 = no, 1 = yes)</w:t>
            </w:r>
          </w:p>
        </w:tc>
        <w:tc>
          <w:tcPr>
            <w:tcW w:w="6482" w:type="dxa"/>
          </w:tcPr>
          <w:p w14:paraId="25640F3C"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r w:rsidR="0046798B" w14:paraId="7C093B19" w14:textId="77777777">
        <w:trPr>
          <w:trHeight w:val="775"/>
        </w:trPr>
        <w:tc>
          <w:tcPr>
            <w:tcW w:w="1711" w:type="dxa"/>
          </w:tcPr>
          <w:p w14:paraId="19315CF4" w14:textId="77777777" w:rsidR="0046798B" w:rsidRDefault="0046798B">
            <w:pPr>
              <w:pStyle w:val="TableParagraph"/>
              <w:spacing w:before="3"/>
              <w:rPr>
                <w:sz w:val="23"/>
              </w:rPr>
            </w:pPr>
          </w:p>
          <w:p w14:paraId="15C7BB95" w14:textId="77777777" w:rsidR="0046798B" w:rsidRDefault="00903B5C">
            <w:pPr>
              <w:pStyle w:val="TableParagraph"/>
              <w:spacing w:before="1"/>
              <w:ind w:left="115"/>
              <w:rPr>
                <w:b/>
                <w:sz w:val="20"/>
              </w:rPr>
            </w:pPr>
            <w:r>
              <w:rPr>
                <w:b/>
                <w:sz w:val="20"/>
              </w:rPr>
              <w:t>hmddp</w:t>
            </w:r>
          </w:p>
        </w:tc>
        <w:tc>
          <w:tcPr>
            <w:tcW w:w="1596" w:type="dxa"/>
          </w:tcPr>
          <w:p w14:paraId="2A740CC9" w14:textId="77777777" w:rsidR="0046798B" w:rsidRDefault="00903B5C">
            <w:pPr>
              <w:pStyle w:val="TableParagraph"/>
              <w:spacing w:before="153"/>
              <w:ind w:left="114" w:right="685"/>
              <w:rPr>
                <w:sz w:val="20"/>
              </w:rPr>
            </w:pPr>
            <w:r>
              <w:rPr>
                <w:sz w:val="20"/>
              </w:rPr>
              <w:t>Domestic partners</w:t>
            </w:r>
          </w:p>
        </w:tc>
        <w:tc>
          <w:tcPr>
            <w:tcW w:w="1285" w:type="dxa"/>
          </w:tcPr>
          <w:p w14:paraId="411B43B3" w14:textId="77777777" w:rsidR="0046798B" w:rsidRDefault="0046798B">
            <w:pPr>
              <w:pStyle w:val="TableParagraph"/>
              <w:spacing w:before="3"/>
              <w:rPr>
                <w:sz w:val="23"/>
              </w:rPr>
            </w:pPr>
          </w:p>
          <w:p w14:paraId="4E010B35" w14:textId="77777777" w:rsidR="0046798B" w:rsidRDefault="00903B5C">
            <w:pPr>
              <w:pStyle w:val="TableParagraph"/>
              <w:spacing w:before="1"/>
              <w:ind w:left="114"/>
              <w:rPr>
                <w:sz w:val="20"/>
              </w:rPr>
            </w:pPr>
            <w:r>
              <w:rPr>
                <w:sz w:val="20"/>
              </w:rPr>
              <w:t>2006–2016</w:t>
            </w:r>
          </w:p>
        </w:tc>
        <w:tc>
          <w:tcPr>
            <w:tcW w:w="3421" w:type="dxa"/>
          </w:tcPr>
          <w:p w14:paraId="1917E0A6" w14:textId="77777777" w:rsidR="0046798B" w:rsidRDefault="00903B5C">
            <w:pPr>
              <w:pStyle w:val="TableParagraph"/>
              <w:spacing w:before="38"/>
              <w:ind w:left="114" w:right="204"/>
              <w:rPr>
                <w:sz w:val="20"/>
              </w:rPr>
            </w:pPr>
            <w:r>
              <w:rPr>
                <w:sz w:val="20"/>
              </w:rPr>
              <w:t>Health insurance mandated dependent coverage: domestic partners (0 = no, 1</w:t>
            </w:r>
          </w:p>
          <w:p w14:paraId="44120577" w14:textId="77777777" w:rsidR="0046798B" w:rsidRDefault="00903B5C">
            <w:pPr>
              <w:pStyle w:val="TableParagraph"/>
              <w:ind w:left="114"/>
              <w:rPr>
                <w:sz w:val="20"/>
              </w:rPr>
            </w:pPr>
            <w:r>
              <w:rPr>
                <w:sz w:val="20"/>
              </w:rPr>
              <w:t>= yes)</w:t>
            </w:r>
          </w:p>
        </w:tc>
        <w:tc>
          <w:tcPr>
            <w:tcW w:w="6482" w:type="dxa"/>
          </w:tcPr>
          <w:p w14:paraId="026872D0"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r w:rsidR="0046798B" w14:paraId="281C6A73" w14:textId="77777777">
        <w:trPr>
          <w:trHeight w:val="775"/>
        </w:trPr>
        <w:tc>
          <w:tcPr>
            <w:tcW w:w="1711" w:type="dxa"/>
          </w:tcPr>
          <w:p w14:paraId="092D2E5E" w14:textId="77777777" w:rsidR="0046798B" w:rsidRDefault="0046798B">
            <w:pPr>
              <w:pStyle w:val="TableParagraph"/>
              <w:spacing w:before="8"/>
              <w:rPr>
                <w:sz w:val="23"/>
              </w:rPr>
            </w:pPr>
          </w:p>
          <w:p w14:paraId="25586F24" w14:textId="77777777" w:rsidR="0046798B" w:rsidRDefault="00903B5C">
            <w:pPr>
              <w:pStyle w:val="TableParagraph"/>
              <w:spacing w:before="1"/>
              <w:ind w:left="115"/>
              <w:rPr>
                <w:b/>
                <w:sz w:val="20"/>
              </w:rPr>
            </w:pPr>
            <w:r>
              <w:rPr>
                <w:b/>
                <w:sz w:val="20"/>
              </w:rPr>
              <w:t>hmdds</w:t>
            </w:r>
          </w:p>
        </w:tc>
        <w:tc>
          <w:tcPr>
            <w:tcW w:w="1596" w:type="dxa"/>
          </w:tcPr>
          <w:p w14:paraId="4CAC8B40" w14:textId="77777777" w:rsidR="0046798B" w:rsidRDefault="00903B5C">
            <w:pPr>
              <w:pStyle w:val="TableParagraph"/>
              <w:spacing w:before="158"/>
              <w:ind w:left="114" w:right="585"/>
              <w:rPr>
                <w:sz w:val="20"/>
              </w:rPr>
            </w:pPr>
            <w:r>
              <w:rPr>
                <w:sz w:val="20"/>
              </w:rPr>
              <w:t>Dependent students</w:t>
            </w:r>
          </w:p>
        </w:tc>
        <w:tc>
          <w:tcPr>
            <w:tcW w:w="1285" w:type="dxa"/>
          </w:tcPr>
          <w:p w14:paraId="1266E18E" w14:textId="77777777" w:rsidR="0046798B" w:rsidRDefault="0046798B">
            <w:pPr>
              <w:pStyle w:val="TableParagraph"/>
              <w:spacing w:before="8"/>
              <w:rPr>
                <w:sz w:val="23"/>
              </w:rPr>
            </w:pPr>
          </w:p>
          <w:p w14:paraId="0FE7CD1F" w14:textId="77777777" w:rsidR="0046798B" w:rsidRDefault="00903B5C">
            <w:pPr>
              <w:pStyle w:val="TableParagraph"/>
              <w:spacing w:before="1"/>
              <w:ind w:left="114"/>
              <w:rPr>
                <w:sz w:val="20"/>
              </w:rPr>
            </w:pPr>
            <w:r>
              <w:rPr>
                <w:sz w:val="20"/>
              </w:rPr>
              <w:t>2006–2016</w:t>
            </w:r>
          </w:p>
        </w:tc>
        <w:tc>
          <w:tcPr>
            <w:tcW w:w="3421" w:type="dxa"/>
          </w:tcPr>
          <w:p w14:paraId="4AB4CB25" w14:textId="77777777" w:rsidR="0046798B" w:rsidRDefault="00903B5C">
            <w:pPr>
              <w:pStyle w:val="TableParagraph"/>
              <w:spacing w:before="43"/>
              <w:ind w:left="114" w:right="92"/>
              <w:rPr>
                <w:sz w:val="20"/>
              </w:rPr>
            </w:pPr>
            <w:r>
              <w:rPr>
                <w:sz w:val="20"/>
              </w:rPr>
              <w:t>Health insurance mandated dependent coverage: dependent students (0 = no, 1</w:t>
            </w:r>
          </w:p>
          <w:p w14:paraId="14E21CB7" w14:textId="77777777" w:rsidR="0046798B" w:rsidRDefault="00903B5C">
            <w:pPr>
              <w:pStyle w:val="TableParagraph"/>
              <w:ind w:left="114"/>
              <w:rPr>
                <w:sz w:val="20"/>
              </w:rPr>
            </w:pPr>
            <w:r>
              <w:rPr>
                <w:sz w:val="20"/>
              </w:rPr>
              <w:t>= yes)</w:t>
            </w:r>
          </w:p>
        </w:tc>
        <w:tc>
          <w:tcPr>
            <w:tcW w:w="6482" w:type="dxa"/>
          </w:tcPr>
          <w:p w14:paraId="41745CE4" w14:textId="77777777" w:rsidR="0046798B" w:rsidRDefault="00903B5C">
            <w:pPr>
              <w:pStyle w:val="TableParagraph"/>
              <w:spacing w:before="43"/>
              <w:ind w:left="114" w:right="272"/>
              <w:rPr>
                <w:sz w:val="20"/>
              </w:rPr>
            </w:pPr>
            <w:r>
              <w:rPr>
                <w:sz w:val="20"/>
              </w:rPr>
              <w:t>Sorens, Jason, Fait Muedini, and William P. Ruger. “State and Local Public Policies in 2006: A New Database.” State Politics &amp; Policy Quarterly 8.3 (2008): 309–26.</w:t>
            </w:r>
          </w:p>
        </w:tc>
      </w:tr>
      <w:tr w:rsidR="0046798B" w14:paraId="39A2D79F" w14:textId="77777777">
        <w:trPr>
          <w:trHeight w:val="775"/>
        </w:trPr>
        <w:tc>
          <w:tcPr>
            <w:tcW w:w="1711" w:type="dxa"/>
          </w:tcPr>
          <w:p w14:paraId="652C8C86" w14:textId="77777777" w:rsidR="0046798B" w:rsidRDefault="0046798B">
            <w:pPr>
              <w:pStyle w:val="TableParagraph"/>
              <w:spacing w:before="9"/>
              <w:rPr>
                <w:sz w:val="23"/>
              </w:rPr>
            </w:pPr>
          </w:p>
          <w:p w14:paraId="7917ED35" w14:textId="77777777" w:rsidR="0046798B" w:rsidRDefault="00903B5C">
            <w:pPr>
              <w:pStyle w:val="TableParagraph"/>
              <w:ind w:left="115"/>
              <w:rPr>
                <w:b/>
                <w:sz w:val="20"/>
              </w:rPr>
            </w:pPr>
            <w:r>
              <w:rPr>
                <w:b/>
                <w:sz w:val="20"/>
              </w:rPr>
              <w:t>hmdep</w:t>
            </w:r>
          </w:p>
        </w:tc>
        <w:tc>
          <w:tcPr>
            <w:tcW w:w="1596" w:type="dxa"/>
          </w:tcPr>
          <w:p w14:paraId="25F4061D" w14:textId="77777777" w:rsidR="0046798B" w:rsidRDefault="0046798B">
            <w:pPr>
              <w:pStyle w:val="TableParagraph"/>
              <w:spacing w:before="9"/>
              <w:rPr>
                <w:sz w:val="23"/>
              </w:rPr>
            </w:pPr>
          </w:p>
          <w:p w14:paraId="1D9B43C1" w14:textId="77777777" w:rsidR="0046798B" w:rsidRDefault="00903B5C">
            <w:pPr>
              <w:pStyle w:val="TableParagraph"/>
              <w:ind w:left="114"/>
              <w:rPr>
                <w:sz w:val="20"/>
              </w:rPr>
            </w:pPr>
            <w:r>
              <w:rPr>
                <w:sz w:val="20"/>
              </w:rPr>
              <w:t>Elderly parent</w:t>
            </w:r>
          </w:p>
        </w:tc>
        <w:tc>
          <w:tcPr>
            <w:tcW w:w="1285" w:type="dxa"/>
          </w:tcPr>
          <w:p w14:paraId="688305F2" w14:textId="77777777" w:rsidR="0046798B" w:rsidRDefault="0046798B">
            <w:pPr>
              <w:pStyle w:val="TableParagraph"/>
              <w:spacing w:before="9"/>
              <w:rPr>
                <w:sz w:val="23"/>
              </w:rPr>
            </w:pPr>
          </w:p>
          <w:p w14:paraId="05881605" w14:textId="77777777" w:rsidR="0046798B" w:rsidRDefault="00903B5C">
            <w:pPr>
              <w:pStyle w:val="TableParagraph"/>
              <w:ind w:left="114"/>
              <w:rPr>
                <w:sz w:val="20"/>
              </w:rPr>
            </w:pPr>
            <w:r>
              <w:rPr>
                <w:sz w:val="20"/>
              </w:rPr>
              <w:t>2006–2008</w:t>
            </w:r>
          </w:p>
        </w:tc>
        <w:tc>
          <w:tcPr>
            <w:tcW w:w="3421" w:type="dxa"/>
          </w:tcPr>
          <w:p w14:paraId="50C17005" w14:textId="77777777" w:rsidR="0046798B" w:rsidRDefault="00903B5C">
            <w:pPr>
              <w:pStyle w:val="TableParagraph"/>
              <w:spacing w:before="44"/>
              <w:ind w:left="114" w:right="228"/>
              <w:rPr>
                <w:sz w:val="20"/>
              </w:rPr>
            </w:pPr>
            <w:r>
              <w:rPr>
                <w:sz w:val="20"/>
              </w:rPr>
              <w:t>Health insurance mandated dependent coverage: elderly parent (0 = no, 1 = yes)</w:t>
            </w:r>
          </w:p>
        </w:tc>
        <w:tc>
          <w:tcPr>
            <w:tcW w:w="6482" w:type="dxa"/>
          </w:tcPr>
          <w:p w14:paraId="27F33E1E" w14:textId="77777777" w:rsidR="0046798B" w:rsidRDefault="00903B5C">
            <w:pPr>
              <w:pStyle w:val="TableParagraph"/>
              <w:spacing w:before="44"/>
              <w:ind w:left="114"/>
              <w:rPr>
                <w:sz w:val="20"/>
              </w:rPr>
            </w:pPr>
            <w:r>
              <w:rPr>
                <w:sz w:val="20"/>
              </w:rPr>
              <w:t>Sorens, Jason, Fait Muedini, and William P. Ruger. “State and Local Public Policies in 2006: A New Database.” State Politics &amp; Policy Quarterly 8.3 (2008): 309–26.</w:t>
            </w:r>
          </w:p>
        </w:tc>
      </w:tr>
      <w:tr w:rsidR="0046798B" w14:paraId="6D336DCB" w14:textId="77777777">
        <w:trPr>
          <w:trHeight w:val="775"/>
        </w:trPr>
        <w:tc>
          <w:tcPr>
            <w:tcW w:w="1711" w:type="dxa"/>
          </w:tcPr>
          <w:p w14:paraId="3736B69E" w14:textId="77777777" w:rsidR="0046798B" w:rsidRDefault="0046798B">
            <w:pPr>
              <w:pStyle w:val="TableParagraph"/>
              <w:spacing w:before="8"/>
              <w:rPr>
                <w:sz w:val="23"/>
              </w:rPr>
            </w:pPr>
          </w:p>
          <w:p w14:paraId="4908ACA8" w14:textId="77777777" w:rsidR="0046798B" w:rsidRDefault="00903B5C">
            <w:pPr>
              <w:pStyle w:val="TableParagraph"/>
              <w:spacing w:before="1"/>
              <w:ind w:left="115"/>
              <w:rPr>
                <w:b/>
                <w:sz w:val="20"/>
              </w:rPr>
            </w:pPr>
            <w:r>
              <w:rPr>
                <w:b/>
                <w:sz w:val="20"/>
              </w:rPr>
              <w:t>hmdfc</w:t>
            </w:r>
          </w:p>
        </w:tc>
        <w:tc>
          <w:tcPr>
            <w:tcW w:w="1596" w:type="dxa"/>
          </w:tcPr>
          <w:p w14:paraId="6CD47A07" w14:textId="77777777" w:rsidR="0046798B" w:rsidRDefault="0046798B">
            <w:pPr>
              <w:pStyle w:val="TableParagraph"/>
              <w:spacing w:before="8"/>
              <w:rPr>
                <w:sz w:val="23"/>
              </w:rPr>
            </w:pPr>
          </w:p>
          <w:p w14:paraId="2E5A45F2" w14:textId="77777777" w:rsidR="0046798B" w:rsidRDefault="00903B5C">
            <w:pPr>
              <w:pStyle w:val="TableParagraph"/>
              <w:spacing w:before="1"/>
              <w:ind w:left="114"/>
              <w:rPr>
                <w:sz w:val="20"/>
              </w:rPr>
            </w:pPr>
            <w:r>
              <w:rPr>
                <w:sz w:val="20"/>
              </w:rPr>
              <w:t>Foster children</w:t>
            </w:r>
          </w:p>
        </w:tc>
        <w:tc>
          <w:tcPr>
            <w:tcW w:w="1285" w:type="dxa"/>
          </w:tcPr>
          <w:p w14:paraId="583A21DD" w14:textId="77777777" w:rsidR="0046798B" w:rsidRDefault="0046798B">
            <w:pPr>
              <w:pStyle w:val="TableParagraph"/>
              <w:spacing w:before="8"/>
              <w:rPr>
                <w:sz w:val="23"/>
              </w:rPr>
            </w:pPr>
          </w:p>
          <w:p w14:paraId="49320A07" w14:textId="77777777" w:rsidR="0046798B" w:rsidRDefault="00903B5C">
            <w:pPr>
              <w:pStyle w:val="TableParagraph"/>
              <w:spacing w:before="1"/>
              <w:ind w:left="114"/>
              <w:rPr>
                <w:sz w:val="20"/>
              </w:rPr>
            </w:pPr>
            <w:r>
              <w:rPr>
                <w:sz w:val="20"/>
              </w:rPr>
              <w:t>2006–2008</w:t>
            </w:r>
          </w:p>
        </w:tc>
        <w:tc>
          <w:tcPr>
            <w:tcW w:w="3421" w:type="dxa"/>
          </w:tcPr>
          <w:p w14:paraId="1FB79A38" w14:textId="77777777" w:rsidR="0046798B" w:rsidRDefault="00903B5C">
            <w:pPr>
              <w:pStyle w:val="TableParagraph"/>
              <w:spacing w:before="43"/>
              <w:ind w:left="114" w:right="228"/>
              <w:rPr>
                <w:sz w:val="20"/>
              </w:rPr>
            </w:pPr>
            <w:r>
              <w:rPr>
                <w:sz w:val="20"/>
              </w:rPr>
              <w:t>Health insurance mandated dependent coverage: foster children (0 = no, 1 = yes)</w:t>
            </w:r>
          </w:p>
        </w:tc>
        <w:tc>
          <w:tcPr>
            <w:tcW w:w="6482" w:type="dxa"/>
          </w:tcPr>
          <w:p w14:paraId="61A40A7E" w14:textId="77777777" w:rsidR="0046798B" w:rsidRDefault="00903B5C">
            <w:pPr>
              <w:pStyle w:val="TableParagraph"/>
              <w:spacing w:before="43"/>
              <w:ind w:left="114"/>
              <w:rPr>
                <w:sz w:val="20"/>
              </w:rPr>
            </w:pPr>
            <w:r>
              <w:rPr>
                <w:sz w:val="20"/>
              </w:rPr>
              <w:t>Sorens, Jason, Fait Muedini, and William P. Ruger. “State and Local Public Policies in 2006: A New Database.” State Politics &amp; Policy Quarterly 8.3 (2008): 309–26.</w:t>
            </w:r>
          </w:p>
        </w:tc>
      </w:tr>
      <w:tr w:rsidR="0046798B" w14:paraId="12B72F8B" w14:textId="77777777">
        <w:trPr>
          <w:trHeight w:val="780"/>
        </w:trPr>
        <w:tc>
          <w:tcPr>
            <w:tcW w:w="1711" w:type="dxa"/>
          </w:tcPr>
          <w:p w14:paraId="690805C5" w14:textId="77777777" w:rsidR="0046798B" w:rsidRDefault="0046798B">
            <w:pPr>
              <w:pStyle w:val="TableParagraph"/>
              <w:spacing w:before="8"/>
              <w:rPr>
                <w:sz w:val="23"/>
              </w:rPr>
            </w:pPr>
          </w:p>
          <w:p w14:paraId="73D24EAC" w14:textId="77777777" w:rsidR="0046798B" w:rsidRDefault="00903B5C">
            <w:pPr>
              <w:pStyle w:val="TableParagraph"/>
              <w:spacing w:before="1"/>
              <w:ind w:left="115"/>
              <w:rPr>
                <w:b/>
                <w:sz w:val="20"/>
              </w:rPr>
            </w:pPr>
            <w:r>
              <w:rPr>
                <w:b/>
                <w:sz w:val="20"/>
              </w:rPr>
              <w:t>hmdhd</w:t>
            </w:r>
          </w:p>
        </w:tc>
        <w:tc>
          <w:tcPr>
            <w:tcW w:w="1596" w:type="dxa"/>
          </w:tcPr>
          <w:p w14:paraId="66212334" w14:textId="77777777" w:rsidR="0046798B" w:rsidRDefault="00903B5C">
            <w:pPr>
              <w:pStyle w:val="TableParagraph"/>
              <w:spacing w:before="158"/>
              <w:ind w:left="114" w:right="396"/>
              <w:rPr>
                <w:sz w:val="20"/>
              </w:rPr>
            </w:pPr>
            <w:r>
              <w:rPr>
                <w:sz w:val="20"/>
              </w:rPr>
              <w:t>Handicapped dependents</w:t>
            </w:r>
          </w:p>
        </w:tc>
        <w:tc>
          <w:tcPr>
            <w:tcW w:w="1285" w:type="dxa"/>
          </w:tcPr>
          <w:p w14:paraId="20507283" w14:textId="77777777" w:rsidR="0046798B" w:rsidRDefault="0046798B">
            <w:pPr>
              <w:pStyle w:val="TableParagraph"/>
              <w:spacing w:before="8"/>
              <w:rPr>
                <w:sz w:val="23"/>
              </w:rPr>
            </w:pPr>
          </w:p>
          <w:p w14:paraId="4945BF4A" w14:textId="77777777" w:rsidR="0046798B" w:rsidRDefault="00903B5C">
            <w:pPr>
              <w:pStyle w:val="TableParagraph"/>
              <w:spacing w:before="1"/>
              <w:ind w:left="114"/>
              <w:rPr>
                <w:sz w:val="20"/>
              </w:rPr>
            </w:pPr>
            <w:r>
              <w:rPr>
                <w:sz w:val="20"/>
              </w:rPr>
              <w:t>2006–2008</w:t>
            </w:r>
          </w:p>
        </w:tc>
        <w:tc>
          <w:tcPr>
            <w:tcW w:w="3421" w:type="dxa"/>
          </w:tcPr>
          <w:p w14:paraId="13C86076" w14:textId="77777777" w:rsidR="0046798B" w:rsidRDefault="00903B5C">
            <w:pPr>
              <w:pStyle w:val="TableParagraph"/>
              <w:spacing w:before="43"/>
              <w:ind w:left="114" w:right="110"/>
              <w:rPr>
                <w:sz w:val="20"/>
              </w:rPr>
            </w:pPr>
            <w:r>
              <w:rPr>
                <w:sz w:val="20"/>
              </w:rPr>
              <w:t>Health insurance mandated dependent coverage: handicapped dependents (0 = no, 1 = yes)</w:t>
            </w:r>
          </w:p>
        </w:tc>
        <w:tc>
          <w:tcPr>
            <w:tcW w:w="6482" w:type="dxa"/>
          </w:tcPr>
          <w:p w14:paraId="09295BE6" w14:textId="77777777" w:rsidR="0046798B" w:rsidRDefault="00903B5C">
            <w:pPr>
              <w:pStyle w:val="TableParagraph"/>
              <w:spacing w:before="43"/>
              <w:ind w:left="114"/>
              <w:rPr>
                <w:sz w:val="20"/>
              </w:rPr>
            </w:pPr>
            <w:r>
              <w:rPr>
                <w:sz w:val="20"/>
              </w:rPr>
              <w:t>Sorens, Jason, Fait Muedini, and William P. Ruger. “State and Local Public Policies in 2006: A New Database.” State Politics &amp; Policy Quarterly 8.3 (2008): 309–26.</w:t>
            </w:r>
          </w:p>
        </w:tc>
      </w:tr>
      <w:tr w:rsidR="0046798B" w14:paraId="4C2E9806" w14:textId="77777777">
        <w:trPr>
          <w:trHeight w:val="775"/>
        </w:trPr>
        <w:tc>
          <w:tcPr>
            <w:tcW w:w="1711" w:type="dxa"/>
          </w:tcPr>
          <w:p w14:paraId="18A7A8B0" w14:textId="77777777" w:rsidR="0046798B" w:rsidRDefault="0046798B">
            <w:pPr>
              <w:pStyle w:val="TableParagraph"/>
              <w:spacing w:before="4"/>
              <w:rPr>
                <w:sz w:val="23"/>
              </w:rPr>
            </w:pPr>
          </w:p>
          <w:p w14:paraId="72FF1C76" w14:textId="77777777" w:rsidR="0046798B" w:rsidRDefault="00903B5C">
            <w:pPr>
              <w:pStyle w:val="TableParagraph"/>
              <w:ind w:left="115"/>
              <w:rPr>
                <w:b/>
                <w:sz w:val="20"/>
              </w:rPr>
            </w:pPr>
            <w:r>
              <w:rPr>
                <w:b/>
                <w:sz w:val="20"/>
              </w:rPr>
              <w:t>hmdlnr</w:t>
            </w:r>
          </w:p>
        </w:tc>
        <w:tc>
          <w:tcPr>
            <w:tcW w:w="1596" w:type="dxa"/>
          </w:tcPr>
          <w:p w14:paraId="3FF3C15F" w14:textId="77777777" w:rsidR="0046798B" w:rsidRDefault="00903B5C">
            <w:pPr>
              <w:pStyle w:val="TableParagraph"/>
              <w:spacing w:before="153"/>
              <w:ind w:left="114" w:right="580"/>
              <w:rPr>
                <w:sz w:val="20"/>
              </w:rPr>
            </w:pPr>
            <w:r>
              <w:rPr>
                <w:sz w:val="20"/>
              </w:rPr>
              <w:t>Legal non- residents</w:t>
            </w:r>
          </w:p>
        </w:tc>
        <w:tc>
          <w:tcPr>
            <w:tcW w:w="1285" w:type="dxa"/>
          </w:tcPr>
          <w:p w14:paraId="054E1F93" w14:textId="77777777" w:rsidR="0046798B" w:rsidRDefault="0046798B">
            <w:pPr>
              <w:pStyle w:val="TableParagraph"/>
              <w:spacing w:before="4"/>
              <w:rPr>
                <w:sz w:val="23"/>
              </w:rPr>
            </w:pPr>
          </w:p>
          <w:p w14:paraId="211DF783" w14:textId="77777777" w:rsidR="0046798B" w:rsidRDefault="00903B5C">
            <w:pPr>
              <w:pStyle w:val="TableParagraph"/>
              <w:ind w:left="114"/>
              <w:rPr>
                <w:sz w:val="20"/>
              </w:rPr>
            </w:pPr>
            <w:r>
              <w:rPr>
                <w:sz w:val="20"/>
              </w:rPr>
              <w:t>2006–2008</w:t>
            </w:r>
          </w:p>
        </w:tc>
        <w:tc>
          <w:tcPr>
            <w:tcW w:w="3421" w:type="dxa"/>
          </w:tcPr>
          <w:p w14:paraId="15AD1D68" w14:textId="77777777" w:rsidR="0046798B" w:rsidRDefault="00903B5C">
            <w:pPr>
              <w:pStyle w:val="TableParagraph"/>
              <w:spacing w:before="38"/>
              <w:ind w:left="114" w:right="104"/>
              <w:rPr>
                <w:sz w:val="20"/>
              </w:rPr>
            </w:pPr>
            <w:r>
              <w:rPr>
                <w:sz w:val="20"/>
              </w:rPr>
              <w:t>Health insurance mandated dependent coverage: legal non-residents (0 = no, 1</w:t>
            </w:r>
          </w:p>
          <w:p w14:paraId="2D4DD6D4" w14:textId="77777777" w:rsidR="0046798B" w:rsidRDefault="00903B5C">
            <w:pPr>
              <w:pStyle w:val="TableParagraph"/>
              <w:ind w:left="114"/>
              <w:rPr>
                <w:sz w:val="20"/>
              </w:rPr>
            </w:pPr>
            <w:r>
              <w:rPr>
                <w:sz w:val="20"/>
              </w:rPr>
              <w:t>= yes)</w:t>
            </w:r>
          </w:p>
        </w:tc>
        <w:tc>
          <w:tcPr>
            <w:tcW w:w="6482" w:type="dxa"/>
          </w:tcPr>
          <w:p w14:paraId="1E3757C3" w14:textId="77777777" w:rsidR="0046798B" w:rsidRDefault="00903B5C">
            <w:pPr>
              <w:pStyle w:val="TableParagraph"/>
              <w:spacing w:before="38"/>
              <w:ind w:left="114" w:right="272"/>
              <w:rPr>
                <w:sz w:val="20"/>
              </w:rPr>
            </w:pPr>
            <w:r>
              <w:rPr>
                <w:sz w:val="20"/>
              </w:rPr>
              <w:t>Sorens, Jason, Fait Muedini, and William P. Ruger. “State and Local Public Policies in 2006: A New Database.” State Politics &amp; Policy Quarterly 8.3 (2008): 309–26.</w:t>
            </w:r>
          </w:p>
        </w:tc>
      </w:tr>
      <w:tr w:rsidR="0046798B" w14:paraId="1AD5CD2D" w14:textId="77777777">
        <w:trPr>
          <w:trHeight w:val="775"/>
        </w:trPr>
        <w:tc>
          <w:tcPr>
            <w:tcW w:w="1711" w:type="dxa"/>
          </w:tcPr>
          <w:p w14:paraId="328B0342" w14:textId="77777777" w:rsidR="0046798B" w:rsidRDefault="0046798B">
            <w:pPr>
              <w:pStyle w:val="TableParagraph"/>
              <w:spacing w:before="3"/>
              <w:rPr>
                <w:sz w:val="23"/>
              </w:rPr>
            </w:pPr>
          </w:p>
          <w:p w14:paraId="1A08D618" w14:textId="77777777" w:rsidR="0046798B" w:rsidRDefault="00903B5C">
            <w:pPr>
              <w:pStyle w:val="TableParagraph"/>
              <w:spacing w:before="1"/>
              <w:ind w:left="115"/>
              <w:rPr>
                <w:b/>
                <w:sz w:val="20"/>
              </w:rPr>
            </w:pPr>
            <w:r>
              <w:rPr>
                <w:b/>
                <w:sz w:val="20"/>
              </w:rPr>
              <w:t>hmdncc</w:t>
            </w:r>
          </w:p>
        </w:tc>
        <w:tc>
          <w:tcPr>
            <w:tcW w:w="1596" w:type="dxa"/>
          </w:tcPr>
          <w:p w14:paraId="600A0566" w14:textId="77777777" w:rsidR="0046798B" w:rsidRDefault="00903B5C">
            <w:pPr>
              <w:pStyle w:val="TableParagraph"/>
              <w:spacing w:before="153"/>
              <w:ind w:left="114" w:right="318"/>
              <w:rPr>
                <w:sz w:val="20"/>
              </w:rPr>
            </w:pPr>
            <w:r>
              <w:rPr>
                <w:sz w:val="20"/>
              </w:rPr>
              <w:t>Non-custodial children</w:t>
            </w:r>
          </w:p>
        </w:tc>
        <w:tc>
          <w:tcPr>
            <w:tcW w:w="1285" w:type="dxa"/>
          </w:tcPr>
          <w:p w14:paraId="7B7DFA1C" w14:textId="77777777" w:rsidR="0046798B" w:rsidRDefault="0046798B">
            <w:pPr>
              <w:pStyle w:val="TableParagraph"/>
              <w:spacing w:before="3"/>
              <w:rPr>
                <w:sz w:val="23"/>
              </w:rPr>
            </w:pPr>
          </w:p>
          <w:p w14:paraId="2AF0FF21" w14:textId="77777777" w:rsidR="0046798B" w:rsidRDefault="00903B5C">
            <w:pPr>
              <w:pStyle w:val="TableParagraph"/>
              <w:spacing w:before="1"/>
              <w:ind w:left="114"/>
              <w:rPr>
                <w:sz w:val="20"/>
              </w:rPr>
            </w:pPr>
            <w:r>
              <w:rPr>
                <w:sz w:val="20"/>
              </w:rPr>
              <w:t>2006–2008</w:t>
            </w:r>
          </w:p>
        </w:tc>
        <w:tc>
          <w:tcPr>
            <w:tcW w:w="3421" w:type="dxa"/>
          </w:tcPr>
          <w:p w14:paraId="7A7871AC" w14:textId="77777777" w:rsidR="0046798B" w:rsidRDefault="00903B5C">
            <w:pPr>
              <w:pStyle w:val="TableParagraph"/>
              <w:spacing w:before="38"/>
              <w:ind w:left="114" w:right="241"/>
              <w:jc w:val="both"/>
              <w:rPr>
                <w:sz w:val="20"/>
              </w:rPr>
            </w:pPr>
            <w:r>
              <w:rPr>
                <w:sz w:val="20"/>
              </w:rPr>
              <w:t>Health insurance mandated dependent coverage: non-custodial children (0 = no, 1 = yes)</w:t>
            </w:r>
          </w:p>
        </w:tc>
        <w:tc>
          <w:tcPr>
            <w:tcW w:w="6482" w:type="dxa"/>
          </w:tcPr>
          <w:p w14:paraId="79ADC7C5"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bl>
    <w:p w14:paraId="172CED86" w14:textId="77777777" w:rsidR="0046798B" w:rsidRDefault="0046798B">
      <w:pPr>
        <w:rPr>
          <w:sz w:val="20"/>
        </w:rPr>
        <w:sectPr w:rsidR="0046798B">
          <w:pgSz w:w="15840" w:h="12240" w:orient="landscape"/>
          <w:pgMar w:top="1220" w:right="300" w:bottom="980" w:left="820" w:header="730" w:footer="787" w:gutter="0"/>
          <w:cols w:space="720"/>
        </w:sectPr>
      </w:pPr>
    </w:p>
    <w:p w14:paraId="31A0EDAB"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676689A" w14:textId="77777777">
        <w:trPr>
          <w:trHeight w:val="775"/>
        </w:trPr>
        <w:tc>
          <w:tcPr>
            <w:tcW w:w="1711" w:type="dxa"/>
          </w:tcPr>
          <w:p w14:paraId="05CA979C" w14:textId="77777777" w:rsidR="0046798B" w:rsidRDefault="0046798B">
            <w:pPr>
              <w:pStyle w:val="TableParagraph"/>
              <w:spacing w:before="9"/>
              <w:rPr>
                <w:sz w:val="23"/>
              </w:rPr>
            </w:pPr>
          </w:p>
          <w:p w14:paraId="4826F105" w14:textId="77777777" w:rsidR="0046798B" w:rsidRDefault="00903B5C">
            <w:pPr>
              <w:pStyle w:val="TableParagraph"/>
              <w:ind w:left="115"/>
              <w:rPr>
                <w:b/>
                <w:sz w:val="20"/>
              </w:rPr>
            </w:pPr>
            <w:r>
              <w:rPr>
                <w:b/>
                <w:sz w:val="20"/>
              </w:rPr>
              <w:t>hmdgc</w:t>
            </w:r>
          </w:p>
        </w:tc>
        <w:tc>
          <w:tcPr>
            <w:tcW w:w="1596" w:type="dxa"/>
          </w:tcPr>
          <w:p w14:paraId="18F9333F" w14:textId="77777777" w:rsidR="0046798B" w:rsidRDefault="0046798B">
            <w:pPr>
              <w:pStyle w:val="TableParagraph"/>
              <w:spacing w:before="9"/>
              <w:rPr>
                <w:sz w:val="23"/>
              </w:rPr>
            </w:pPr>
          </w:p>
          <w:p w14:paraId="2B2FB6FA" w14:textId="77777777" w:rsidR="0046798B" w:rsidRDefault="00903B5C">
            <w:pPr>
              <w:pStyle w:val="TableParagraph"/>
              <w:ind w:left="114"/>
              <w:rPr>
                <w:sz w:val="20"/>
              </w:rPr>
            </w:pPr>
            <w:r>
              <w:rPr>
                <w:sz w:val="20"/>
              </w:rPr>
              <w:t>Grandchildren</w:t>
            </w:r>
          </w:p>
        </w:tc>
        <w:tc>
          <w:tcPr>
            <w:tcW w:w="1285" w:type="dxa"/>
          </w:tcPr>
          <w:p w14:paraId="608B6C69" w14:textId="77777777" w:rsidR="0046798B" w:rsidRDefault="0046798B">
            <w:pPr>
              <w:pStyle w:val="TableParagraph"/>
              <w:spacing w:before="9"/>
              <w:rPr>
                <w:sz w:val="23"/>
              </w:rPr>
            </w:pPr>
          </w:p>
          <w:p w14:paraId="5FCADEF2" w14:textId="77777777" w:rsidR="0046798B" w:rsidRDefault="00903B5C">
            <w:pPr>
              <w:pStyle w:val="TableParagraph"/>
              <w:ind w:left="114"/>
              <w:rPr>
                <w:sz w:val="20"/>
              </w:rPr>
            </w:pPr>
            <w:r>
              <w:rPr>
                <w:sz w:val="20"/>
              </w:rPr>
              <w:t>2006–2008</w:t>
            </w:r>
          </w:p>
        </w:tc>
        <w:tc>
          <w:tcPr>
            <w:tcW w:w="3421" w:type="dxa"/>
          </w:tcPr>
          <w:p w14:paraId="04D7CBD9" w14:textId="77777777" w:rsidR="0046798B" w:rsidRDefault="00903B5C">
            <w:pPr>
              <w:pStyle w:val="TableParagraph"/>
              <w:spacing w:before="43"/>
              <w:ind w:left="114" w:right="228"/>
              <w:rPr>
                <w:sz w:val="20"/>
              </w:rPr>
            </w:pPr>
            <w:r>
              <w:rPr>
                <w:sz w:val="20"/>
              </w:rPr>
              <w:t>Health insurance mandated dependent coverage: grandchildren (0 = no, 1 = yes)</w:t>
            </w:r>
          </w:p>
        </w:tc>
        <w:tc>
          <w:tcPr>
            <w:tcW w:w="6482" w:type="dxa"/>
          </w:tcPr>
          <w:p w14:paraId="65B406D1" w14:textId="77777777" w:rsidR="0046798B" w:rsidRDefault="00903B5C">
            <w:pPr>
              <w:pStyle w:val="TableParagraph"/>
              <w:spacing w:before="43"/>
              <w:ind w:left="114"/>
              <w:rPr>
                <w:sz w:val="20"/>
              </w:rPr>
            </w:pPr>
            <w:r>
              <w:rPr>
                <w:sz w:val="20"/>
              </w:rPr>
              <w:t>Sorens, Jason, Fait Muedini, and William P. Ruger. “State and Local Public Policies in 2006: A New Database.” State Politics &amp; Policy Quarterly 8.3 (2008): 309–26.</w:t>
            </w:r>
          </w:p>
        </w:tc>
      </w:tr>
      <w:tr w:rsidR="0046798B" w14:paraId="69A0AF95" w14:textId="77777777">
        <w:trPr>
          <w:trHeight w:val="775"/>
        </w:trPr>
        <w:tc>
          <w:tcPr>
            <w:tcW w:w="1711" w:type="dxa"/>
          </w:tcPr>
          <w:p w14:paraId="4797AC45" w14:textId="77777777" w:rsidR="0046798B" w:rsidRDefault="0046798B">
            <w:pPr>
              <w:pStyle w:val="TableParagraph"/>
              <w:spacing w:before="8"/>
              <w:rPr>
                <w:sz w:val="23"/>
              </w:rPr>
            </w:pPr>
          </w:p>
          <w:p w14:paraId="20B8A21E" w14:textId="77777777" w:rsidR="0046798B" w:rsidRDefault="00903B5C">
            <w:pPr>
              <w:pStyle w:val="TableParagraph"/>
              <w:spacing w:before="1"/>
              <w:ind w:left="115"/>
              <w:rPr>
                <w:b/>
                <w:sz w:val="20"/>
              </w:rPr>
            </w:pPr>
            <w:r>
              <w:rPr>
                <w:b/>
                <w:sz w:val="20"/>
              </w:rPr>
              <w:t>hmdnew</w:t>
            </w:r>
          </w:p>
        </w:tc>
        <w:tc>
          <w:tcPr>
            <w:tcW w:w="1596" w:type="dxa"/>
          </w:tcPr>
          <w:p w14:paraId="66302493" w14:textId="77777777" w:rsidR="0046798B" w:rsidRDefault="0046798B">
            <w:pPr>
              <w:pStyle w:val="TableParagraph"/>
              <w:spacing w:before="8"/>
              <w:rPr>
                <w:sz w:val="23"/>
              </w:rPr>
            </w:pPr>
          </w:p>
          <w:p w14:paraId="5FF806C6" w14:textId="77777777" w:rsidR="0046798B" w:rsidRDefault="00903B5C">
            <w:pPr>
              <w:pStyle w:val="TableParagraph"/>
              <w:spacing w:before="1"/>
              <w:ind w:left="114"/>
              <w:rPr>
                <w:sz w:val="20"/>
              </w:rPr>
            </w:pPr>
            <w:r>
              <w:rPr>
                <w:sz w:val="20"/>
              </w:rPr>
              <w:t>Newborns</w:t>
            </w:r>
          </w:p>
        </w:tc>
        <w:tc>
          <w:tcPr>
            <w:tcW w:w="1285" w:type="dxa"/>
          </w:tcPr>
          <w:p w14:paraId="4928BEEF" w14:textId="77777777" w:rsidR="0046798B" w:rsidRDefault="0046798B">
            <w:pPr>
              <w:pStyle w:val="TableParagraph"/>
              <w:spacing w:before="8"/>
              <w:rPr>
                <w:sz w:val="23"/>
              </w:rPr>
            </w:pPr>
          </w:p>
          <w:p w14:paraId="3B31AAF8" w14:textId="77777777" w:rsidR="0046798B" w:rsidRDefault="00903B5C">
            <w:pPr>
              <w:pStyle w:val="TableParagraph"/>
              <w:spacing w:before="1"/>
              <w:ind w:left="114"/>
              <w:rPr>
                <w:sz w:val="20"/>
              </w:rPr>
            </w:pPr>
            <w:r>
              <w:rPr>
                <w:sz w:val="20"/>
              </w:rPr>
              <w:t>2006–2016</w:t>
            </w:r>
          </w:p>
        </w:tc>
        <w:tc>
          <w:tcPr>
            <w:tcW w:w="3421" w:type="dxa"/>
          </w:tcPr>
          <w:p w14:paraId="7B78C541" w14:textId="77777777" w:rsidR="0046798B" w:rsidRDefault="00903B5C">
            <w:pPr>
              <w:pStyle w:val="TableParagraph"/>
              <w:spacing w:before="158"/>
              <w:ind w:left="114" w:right="228"/>
              <w:rPr>
                <w:sz w:val="20"/>
              </w:rPr>
            </w:pPr>
            <w:r>
              <w:rPr>
                <w:sz w:val="20"/>
              </w:rPr>
              <w:t>Health insurance mandated dependent coverage: newborns (0 = no, 1 = yes)</w:t>
            </w:r>
          </w:p>
        </w:tc>
        <w:tc>
          <w:tcPr>
            <w:tcW w:w="6482" w:type="dxa"/>
          </w:tcPr>
          <w:p w14:paraId="633454A8" w14:textId="77777777" w:rsidR="0046798B" w:rsidRDefault="00903B5C">
            <w:pPr>
              <w:pStyle w:val="TableParagraph"/>
              <w:spacing w:before="43"/>
              <w:ind w:left="114"/>
              <w:rPr>
                <w:sz w:val="20"/>
              </w:rPr>
            </w:pPr>
            <w:r>
              <w:rPr>
                <w:sz w:val="20"/>
              </w:rPr>
              <w:t>Sorens, Jason, Fait Muedini, and William P. Ruger. “State and Local Public Policies in 2006: A New Database.” State Politics &amp; Policy Quarterly 8.3 (2008): 309–26.</w:t>
            </w:r>
          </w:p>
        </w:tc>
      </w:tr>
      <w:tr w:rsidR="0046798B" w14:paraId="12BF64A3" w14:textId="77777777">
        <w:trPr>
          <w:trHeight w:val="1471"/>
        </w:trPr>
        <w:tc>
          <w:tcPr>
            <w:tcW w:w="1711" w:type="dxa"/>
          </w:tcPr>
          <w:p w14:paraId="547CDF50" w14:textId="77777777" w:rsidR="0046798B" w:rsidRDefault="0046798B">
            <w:pPr>
              <w:pStyle w:val="TableParagraph"/>
            </w:pPr>
          </w:p>
          <w:p w14:paraId="558FE763" w14:textId="77777777" w:rsidR="0046798B" w:rsidRDefault="0046798B">
            <w:pPr>
              <w:pStyle w:val="TableParagraph"/>
              <w:spacing w:before="9"/>
              <w:rPr>
                <w:sz w:val="31"/>
              </w:rPr>
            </w:pPr>
          </w:p>
          <w:p w14:paraId="0CACAD51" w14:textId="77777777" w:rsidR="0046798B" w:rsidRDefault="00903B5C">
            <w:pPr>
              <w:pStyle w:val="TableParagraph"/>
              <w:ind w:left="115"/>
              <w:rPr>
                <w:b/>
                <w:sz w:val="20"/>
              </w:rPr>
            </w:pPr>
            <w:r>
              <w:rPr>
                <w:b/>
                <w:sz w:val="20"/>
              </w:rPr>
              <w:t>hmdindex</w:t>
            </w:r>
          </w:p>
        </w:tc>
        <w:tc>
          <w:tcPr>
            <w:tcW w:w="1596" w:type="dxa"/>
          </w:tcPr>
          <w:p w14:paraId="5781A290" w14:textId="77777777" w:rsidR="0046798B" w:rsidRDefault="0046798B">
            <w:pPr>
              <w:pStyle w:val="TableParagraph"/>
              <w:spacing w:before="9"/>
              <w:rPr>
                <w:sz w:val="23"/>
              </w:rPr>
            </w:pPr>
          </w:p>
          <w:p w14:paraId="2346599D" w14:textId="77777777" w:rsidR="0046798B" w:rsidRDefault="00903B5C">
            <w:pPr>
              <w:pStyle w:val="TableParagraph"/>
              <w:ind w:left="114" w:right="102"/>
              <w:rPr>
                <w:sz w:val="20"/>
              </w:rPr>
            </w:pPr>
            <w:r>
              <w:rPr>
                <w:sz w:val="20"/>
              </w:rPr>
              <w:t>Health insurance mandated dependent coverage index</w:t>
            </w:r>
          </w:p>
        </w:tc>
        <w:tc>
          <w:tcPr>
            <w:tcW w:w="1285" w:type="dxa"/>
          </w:tcPr>
          <w:p w14:paraId="5CE893B5" w14:textId="77777777" w:rsidR="0046798B" w:rsidRDefault="0046798B">
            <w:pPr>
              <w:pStyle w:val="TableParagraph"/>
            </w:pPr>
          </w:p>
          <w:p w14:paraId="61775F05" w14:textId="77777777" w:rsidR="0046798B" w:rsidRDefault="0046798B">
            <w:pPr>
              <w:pStyle w:val="TableParagraph"/>
              <w:spacing w:before="9"/>
              <w:rPr>
                <w:sz w:val="31"/>
              </w:rPr>
            </w:pPr>
          </w:p>
          <w:p w14:paraId="3B851B9B" w14:textId="77777777" w:rsidR="0046798B" w:rsidRDefault="00903B5C">
            <w:pPr>
              <w:pStyle w:val="TableParagraph"/>
              <w:ind w:left="114"/>
              <w:rPr>
                <w:sz w:val="20"/>
              </w:rPr>
            </w:pPr>
            <w:r>
              <w:rPr>
                <w:sz w:val="20"/>
              </w:rPr>
              <w:t>2006–2010</w:t>
            </w:r>
          </w:p>
        </w:tc>
        <w:tc>
          <w:tcPr>
            <w:tcW w:w="3421" w:type="dxa"/>
          </w:tcPr>
          <w:p w14:paraId="7C80EC83" w14:textId="77777777" w:rsidR="0046798B" w:rsidRDefault="00903B5C">
            <w:pPr>
              <w:pStyle w:val="TableParagraph"/>
              <w:spacing w:before="44"/>
              <w:ind w:left="114" w:right="228"/>
              <w:rPr>
                <w:sz w:val="20"/>
              </w:rPr>
            </w:pPr>
            <w:r>
              <w:rPr>
                <w:sz w:val="20"/>
              </w:rPr>
              <w:t>Health insurance mandated dependent coverage index (each mandate weighted by percentage added cost to average health insurance policy, according to Coalition for Affordable Health Insurance)</w:t>
            </w:r>
          </w:p>
        </w:tc>
        <w:tc>
          <w:tcPr>
            <w:tcW w:w="6482" w:type="dxa"/>
          </w:tcPr>
          <w:p w14:paraId="78FE4A4F" w14:textId="77777777" w:rsidR="0046798B" w:rsidRDefault="0046798B">
            <w:pPr>
              <w:pStyle w:val="TableParagraph"/>
            </w:pPr>
          </w:p>
          <w:p w14:paraId="4E75A81E" w14:textId="77777777" w:rsidR="0046798B" w:rsidRDefault="00903B5C">
            <w:pPr>
              <w:pStyle w:val="TableParagraph"/>
              <w:spacing w:before="136"/>
              <w:ind w:left="114"/>
              <w:rPr>
                <w:sz w:val="20"/>
              </w:rPr>
            </w:pPr>
            <w:r>
              <w:rPr>
                <w:sz w:val="20"/>
              </w:rPr>
              <w:t>Sorens, Jason, Fait Muedini, and William P. Ruger. “State and Local Public Policies in 2006: A New Database.” State Politics &amp; Policy Quarterly 8.3 (2008): 309–26.</w:t>
            </w:r>
          </w:p>
        </w:tc>
      </w:tr>
      <w:tr w:rsidR="0046798B" w14:paraId="14727942" w14:textId="77777777">
        <w:trPr>
          <w:trHeight w:val="1005"/>
        </w:trPr>
        <w:tc>
          <w:tcPr>
            <w:tcW w:w="1711" w:type="dxa"/>
          </w:tcPr>
          <w:p w14:paraId="53847D9B" w14:textId="77777777" w:rsidR="0046798B" w:rsidRDefault="0046798B">
            <w:pPr>
              <w:pStyle w:val="TableParagraph"/>
            </w:pPr>
          </w:p>
          <w:p w14:paraId="1CD38C96" w14:textId="77777777" w:rsidR="0046798B" w:rsidRDefault="00903B5C">
            <w:pPr>
              <w:pStyle w:val="TableParagraph"/>
              <w:spacing w:before="130"/>
              <w:ind w:left="115"/>
              <w:rPr>
                <w:b/>
                <w:sz w:val="20"/>
              </w:rPr>
            </w:pPr>
            <w:r>
              <w:rPr>
                <w:b/>
                <w:sz w:val="20"/>
              </w:rPr>
              <w:t>hmpacu</w:t>
            </w:r>
          </w:p>
        </w:tc>
        <w:tc>
          <w:tcPr>
            <w:tcW w:w="1596" w:type="dxa"/>
          </w:tcPr>
          <w:p w14:paraId="7AC511D5" w14:textId="77777777" w:rsidR="0046798B" w:rsidRDefault="00903B5C">
            <w:pPr>
              <w:pStyle w:val="TableParagraph"/>
              <w:spacing w:before="38"/>
              <w:ind w:left="114" w:right="102"/>
              <w:rPr>
                <w:sz w:val="20"/>
              </w:rPr>
            </w:pPr>
            <w:r>
              <w:rPr>
                <w:sz w:val="20"/>
              </w:rPr>
              <w:t>Health insurance mandated providers: acupuncturists</w:t>
            </w:r>
          </w:p>
        </w:tc>
        <w:tc>
          <w:tcPr>
            <w:tcW w:w="1285" w:type="dxa"/>
          </w:tcPr>
          <w:p w14:paraId="754A132F" w14:textId="77777777" w:rsidR="0046798B" w:rsidRDefault="0046798B">
            <w:pPr>
              <w:pStyle w:val="TableParagraph"/>
            </w:pPr>
          </w:p>
          <w:p w14:paraId="35CEE730" w14:textId="77777777" w:rsidR="0046798B" w:rsidRDefault="00903B5C">
            <w:pPr>
              <w:pStyle w:val="TableParagraph"/>
              <w:spacing w:before="130"/>
              <w:ind w:left="114"/>
              <w:rPr>
                <w:sz w:val="20"/>
              </w:rPr>
            </w:pPr>
            <w:r>
              <w:rPr>
                <w:sz w:val="20"/>
              </w:rPr>
              <w:t>2000–2016</w:t>
            </w:r>
          </w:p>
        </w:tc>
        <w:tc>
          <w:tcPr>
            <w:tcW w:w="3421" w:type="dxa"/>
          </w:tcPr>
          <w:p w14:paraId="5D87F2AE" w14:textId="77777777" w:rsidR="0046798B" w:rsidRDefault="0046798B">
            <w:pPr>
              <w:pStyle w:val="TableParagraph"/>
              <w:spacing w:before="3"/>
              <w:rPr>
                <w:sz w:val="23"/>
              </w:rPr>
            </w:pPr>
          </w:p>
          <w:p w14:paraId="4375D9AC" w14:textId="77777777" w:rsidR="0046798B" w:rsidRDefault="00903B5C">
            <w:pPr>
              <w:pStyle w:val="TableParagraph"/>
              <w:spacing w:before="1"/>
              <w:ind w:left="114" w:right="239"/>
              <w:rPr>
                <w:sz w:val="20"/>
              </w:rPr>
            </w:pPr>
            <w:r>
              <w:rPr>
                <w:sz w:val="20"/>
              </w:rPr>
              <w:t>Health insurance mandated providers: acupuncturists (0 = no, 1 = yes)</w:t>
            </w:r>
          </w:p>
        </w:tc>
        <w:tc>
          <w:tcPr>
            <w:tcW w:w="6482" w:type="dxa"/>
          </w:tcPr>
          <w:p w14:paraId="1B2C7ADF" w14:textId="77777777" w:rsidR="0046798B" w:rsidRDefault="00903B5C">
            <w:pPr>
              <w:pStyle w:val="TableParagraph"/>
              <w:spacing w:before="153"/>
              <w:ind w:left="114"/>
              <w:rPr>
                <w:sz w:val="20"/>
              </w:rPr>
            </w:pPr>
            <w:r>
              <w:rPr>
                <w:sz w:val="20"/>
              </w:rPr>
              <w:t>Sorens, Jason, Fait Muedini, and William P. Ruger. “State and Local Public Policies in 2006: A New Database.” State Politics &amp; Policy Quarterly 8.3 (2008): 309–26.</w:t>
            </w:r>
          </w:p>
        </w:tc>
      </w:tr>
      <w:tr w:rsidR="0046798B" w14:paraId="085FCD35" w14:textId="77777777">
        <w:trPr>
          <w:trHeight w:val="775"/>
        </w:trPr>
        <w:tc>
          <w:tcPr>
            <w:tcW w:w="1711" w:type="dxa"/>
          </w:tcPr>
          <w:p w14:paraId="06A28DF4" w14:textId="77777777" w:rsidR="0046798B" w:rsidRDefault="0046798B">
            <w:pPr>
              <w:pStyle w:val="TableParagraph"/>
              <w:spacing w:before="4"/>
              <w:rPr>
                <w:sz w:val="23"/>
              </w:rPr>
            </w:pPr>
          </w:p>
          <w:p w14:paraId="252C8D3A" w14:textId="77777777" w:rsidR="0046798B" w:rsidRDefault="00903B5C">
            <w:pPr>
              <w:pStyle w:val="TableParagraph"/>
              <w:ind w:left="115"/>
              <w:rPr>
                <w:b/>
                <w:sz w:val="20"/>
              </w:rPr>
            </w:pPr>
            <w:r>
              <w:rPr>
                <w:b/>
                <w:sz w:val="20"/>
              </w:rPr>
              <w:t>hmpbc</w:t>
            </w:r>
          </w:p>
        </w:tc>
        <w:tc>
          <w:tcPr>
            <w:tcW w:w="1596" w:type="dxa"/>
          </w:tcPr>
          <w:p w14:paraId="3932BDC4" w14:textId="77777777" w:rsidR="0046798B" w:rsidRDefault="0046798B">
            <w:pPr>
              <w:pStyle w:val="TableParagraph"/>
              <w:spacing w:before="4"/>
              <w:rPr>
                <w:sz w:val="23"/>
              </w:rPr>
            </w:pPr>
          </w:p>
          <w:p w14:paraId="6AA6DDEB" w14:textId="77777777" w:rsidR="0046798B" w:rsidRDefault="00903B5C">
            <w:pPr>
              <w:pStyle w:val="TableParagraph"/>
              <w:ind w:left="114"/>
              <w:rPr>
                <w:sz w:val="20"/>
              </w:rPr>
            </w:pPr>
            <w:r>
              <w:rPr>
                <w:sz w:val="20"/>
              </w:rPr>
              <w:t>Birthing centers</w:t>
            </w:r>
          </w:p>
        </w:tc>
        <w:tc>
          <w:tcPr>
            <w:tcW w:w="1285" w:type="dxa"/>
          </w:tcPr>
          <w:p w14:paraId="1E9C78C9" w14:textId="77777777" w:rsidR="0046798B" w:rsidRDefault="0046798B">
            <w:pPr>
              <w:pStyle w:val="TableParagraph"/>
              <w:spacing w:before="4"/>
              <w:rPr>
                <w:sz w:val="23"/>
              </w:rPr>
            </w:pPr>
          </w:p>
          <w:p w14:paraId="73D26685" w14:textId="77777777" w:rsidR="0046798B" w:rsidRDefault="00903B5C">
            <w:pPr>
              <w:pStyle w:val="TableParagraph"/>
              <w:ind w:left="114"/>
              <w:rPr>
                <w:sz w:val="20"/>
              </w:rPr>
            </w:pPr>
            <w:r>
              <w:rPr>
                <w:sz w:val="20"/>
              </w:rPr>
              <w:t>2006–2016</w:t>
            </w:r>
          </w:p>
        </w:tc>
        <w:tc>
          <w:tcPr>
            <w:tcW w:w="3421" w:type="dxa"/>
          </w:tcPr>
          <w:p w14:paraId="69B402A9" w14:textId="77777777" w:rsidR="0046798B" w:rsidRDefault="00903B5C">
            <w:pPr>
              <w:pStyle w:val="TableParagraph"/>
              <w:spacing w:before="153"/>
              <w:ind w:left="114" w:right="239"/>
              <w:rPr>
                <w:sz w:val="20"/>
              </w:rPr>
            </w:pPr>
            <w:r>
              <w:rPr>
                <w:sz w:val="20"/>
              </w:rPr>
              <w:t>Health insurance mandated providers: birthing centers (0 = no, 1 = yes)</w:t>
            </w:r>
          </w:p>
        </w:tc>
        <w:tc>
          <w:tcPr>
            <w:tcW w:w="6482" w:type="dxa"/>
          </w:tcPr>
          <w:p w14:paraId="39D70176"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r w:rsidR="0046798B" w14:paraId="446E6B5E" w14:textId="77777777">
        <w:trPr>
          <w:trHeight w:val="775"/>
        </w:trPr>
        <w:tc>
          <w:tcPr>
            <w:tcW w:w="1711" w:type="dxa"/>
          </w:tcPr>
          <w:p w14:paraId="5E502CB7" w14:textId="77777777" w:rsidR="0046798B" w:rsidRDefault="0046798B">
            <w:pPr>
              <w:pStyle w:val="TableParagraph"/>
              <w:spacing w:before="9"/>
              <w:rPr>
                <w:sz w:val="23"/>
              </w:rPr>
            </w:pPr>
          </w:p>
          <w:p w14:paraId="44D046BE" w14:textId="77777777" w:rsidR="0046798B" w:rsidRDefault="00903B5C">
            <w:pPr>
              <w:pStyle w:val="TableParagraph"/>
              <w:ind w:left="115"/>
              <w:rPr>
                <w:b/>
                <w:sz w:val="20"/>
              </w:rPr>
            </w:pPr>
            <w:r>
              <w:rPr>
                <w:b/>
                <w:sz w:val="20"/>
              </w:rPr>
              <w:t>hmpcouns</w:t>
            </w:r>
          </w:p>
        </w:tc>
        <w:tc>
          <w:tcPr>
            <w:tcW w:w="1596" w:type="dxa"/>
          </w:tcPr>
          <w:p w14:paraId="0536ADD6" w14:textId="77777777" w:rsidR="0046798B" w:rsidRDefault="00903B5C">
            <w:pPr>
              <w:pStyle w:val="TableParagraph"/>
              <w:spacing w:before="158"/>
              <w:ind w:left="114" w:right="463"/>
              <w:rPr>
                <w:sz w:val="20"/>
              </w:rPr>
            </w:pPr>
            <w:r>
              <w:rPr>
                <w:sz w:val="20"/>
              </w:rPr>
              <w:t>Professional counselors</w:t>
            </w:r>
          </w:p>
        </w:tc>
        <w:tc>
          <w:tcPr>
            <w:tcW w:w="1285" w:type="dxa"/>
          </w:tcPr>
          <w:p w14:paraId="1DB790CF" w14:textId="77777777" w:rsidR="0046798B" w:rsidRDefault="0046798B">
            <w:pPr>
              <w:pStyle w:val="TableParagraph"/>
              <w:spacing w:before="9"/>
              <w:rPr>
                <w:sz w:val="23"/>
              </w:rPr>
            </w:pPr>
          </w:p>
          <w:p w14:paraId="263B132B" w14:textId="77777777" w:rsidR="0046798B" w:rsidRDefault="00903B5C">
            <w:pPr>
              <w:pStyle w:val="TableParagraph"/>
              <w:ind w:left="114"/>
              <w:rPr>
                <w:sz w:val="20"/>
              </w:rPr>
            </w:pPr>
            <w:r>
              <w:rPr>
                <w:sz w:val="20"/>
              </w:rPr>
              <w:t>2006–2016</w:t>
            </w:r>
          </w:p>
        </w:tc>
        <w:tc>
          <w:tcPr>
            <w:tcW w:w="3421" w:type="dxa"/>
          </w:tcPr>
          <w:p w14:paraId="435B146A" w14:textId="77777777" w:rsidR="0046798B" w:rsidRDefault="00903B5C">
            <w:pPr>
              <w:pStyle w:val="TableParagraph"/>
              <w:spacing w:before="43"/>
              <w:ind w:left="114" w:right="239"/>
              <w:rPr>
                <w:sz w:val="20"/>
              </w:rPr>
            </w:pPr>
            <w:r>
              <w:rPr>
                <w:sz w:val="20"/>
              </w:rPr>
              <w:t>Health insurance mandated providers: professional counselors (0 = no, 1 = yes)</w:t>
            </w:r>
          </w:p>
        </w:tc>
        <w:tc>
          <w:tcPr>
            <w:tcW w:w="6482" w:type="dxa"/>
          </w:tcPr>
          <w:p w14:paraId="182AFE67" w14:textId="77777777" w:rsidR="0046798B" w:rsidRDefault="00903B5C">
            <w:pPr>
              <w:pStyle w:val="TableParagraph"/>
              <w:spacing w:before="43"/>
              <w:ind w:left="114"/>
              <w:rPr>
                <w:sz w:val="20"/>
              </w:rPr>
            </w:pPr>
            <w:r>
              <w:rPr>
                <w:sz w:val="20"/>
              </w:rPr>
              <w:t>Sorens, Jason, Fait Muedini, and William P. Ruger. “State and Local Public Policies in 2006: A New Database.” State Politics &amp; Policy Quarterly 8.3 (2008): 309–26.</w:t>
            </w:r>
          </w:p>
        </w:tc>
      </w:tr>
      <w:tr w:rsidR="0046798B" w14:paraId="769293C5" w14:textId="77777777">
        <w:trPr>
          <w:trHeight w:val="775"/>
        </w:trPr>
        <w:tc>
          <w:tcPr>
            <w:tcW w:w="1711" w:type="dxa"/>
          </w:tcPr>
          <w:p w14:paraId="5B19C698" w14:textId="77777777" w:rsidR="0046798B" w:rsidRDefault="0046798B">
            <w:pPr>
              <w:pStyle w:val="TableParagraph"/>
              <w:spacing w:before="8"/>
              <w:rPr>
                <w:sz w:val="23"/>
              </w:rPr>
            </w:pPr>
          </w:p>
          <w:p w14:paraId="06E4A012" w14:textId="77777777" w:rsidR="0046798B" w:rsidRDefault="00903B5C">
            <w:pPr>
              <w:pStyle w:val="TableParagraph"/>
              <w:spacing w:before="1"/>
              <w:ind w:left="115"/>
              <w:rPr>
                <w:b/>
                <w:sz w:val="20"/>
              </w:rPr>
            </w:pPr>
            <w:r>
              <w:rPr>
                <w:b/>
                <w:sz w:val="20"/>
              </w:rPr>
              <w:t>hmpfna</w:t>
            </w:r>
          </w:p>
        </w:tc>
        <w:tc>
          <w:tcPr>
            <w:tcW w:w="1596" w:type="dxa"/>
          </w:tcPr>
          <w:p w14:paraId="0BDD86C5" w14:textId="77777777" w:rsidR="0046798B" w:rsidRDefault="00903B5C">
            <w:pPr>
              <w:pStyle w:val="TableParagraph"/>
              <w:spacing w:before="158"/>
              <w:ind w:left="114" w:right="602"/>
              <w:rPr>
                <w:sz w:val="20"/>
              </w:rPr>
            </w:pPr>
            <w:r>
              <w:rPr>
                <w:sz w:val="20"/>
              </w:rPr>
              <w:t>First nurse assistant</w:t>
            </w:r>
          </w:p>
        </w:tc>
        <w:tc>
          <w:tcPr>
            <w:tcW w:w="1285" w:type="dxa"/>
          </w:tcPr>
          <w:p w14:paraId="4C87D7D5" w14:textId="77777777" w:rsidR="0046798B" w:rsidRDefault="0046798B">
            <w:pPr>
              <w:pStyle w:val="TableParagraph"/>
              <w:spacing w:before="8"/>
              <w:rPr>
                <w:sz w:val="23"/>
              </w:rPr>
            </w:pPr>
          </w:p>
          <w:p w14:paraId="126FDCED" w14:textId="77777777" w:rsidR="0046798B" w:rsidRDefault="00903B5C">
            <w:pPr>
              <w:pStyle w:val="TableParagraph"/>
              <w:spacing w:before="1"/>
              <w:ind w:left="114"/>
              <w:rPr>
                <w:sz w:val="20"/>
              </w:rPr>
            </w:pPr>
            <w:r>
              <w:rPr>
                <w:sz w:val="20"/>
              </w:rPr>
              <w:t>2006–2008</w:t>
            </w:r>
          </w:p>
        </w:tc>
        <w:tc>
          <w:tcPr>
            <w:tcW w:w="3421" w:type="dxa"/>
          </w:tcPr>
          <w:p w14:paraId="687B1BB4" w14:textId="77777777" w:rsidR="0046798B" w:rsidRDefault="00903B5C">
            <w:pPr>
              <w:pStyle w:val="TableParagraph"/>
              <w:spacing w:before="158"/>
              <w:ind w:left="114" w:right="239"/>
              <w:rPr>
                <w:sz w:val="20"/>
              </w:rPr>
            </w:pPr>
            <w:r>
              <w:rPr>
                <w:sz w:val="20"/>
              </w:rPr>
              <w:t>Health insurance mandated providers: first nurse assistant (0 = no, 1 = yes)</w:t>
            </w:r>
          </w:p>
        </w:tc>
        <w:tc>
          <w:tcPr>
            <w:tcW w:w="6482" w:type="dxa"/>
          </w:tcPr>
          <w:p w14:paraId="55E2BDA7" w14:textId="77777777" w:rsidR="0046798B" w:rsidRDefault="00903B5C">
            <w:pPr>
              <w:pStyle w:val="TableParagraph"/>
              <w:spacing w:before="43"/>
              <w:ind w:left="114" w:right="272"/>
              <w:rPr>
                <w:sz w:val="20"/>
              </w:rPr>
            </w:pPr>
            <w:r>
              <w:rPr>
                <w:sz w:val="20"/>
              </w:rPr>
              <w:t>Sorens, Jason, Fait Muedini, and William P. Ruger. “State and Local Public Policies in 2006: A New Database.” State Politics &amp; Policy Quarterly 8.3 (2008): 309–26.</w:t>
            </w:r>
          </w:p>
        </w:tc>
      </w:tr>
      <w:tr w:rsidR="0046798B" w14:paraId="0B77D391" w14:textId="77777777">
        <w:trPr>
          <w:trHeight w:val="775"/>
        </w:trPr>
        <w:tc>
          <w:tcPr>
            <w:tcW w:w="1711" w:type="dxa"/>
          </w:tcPr>
          <w:p w14:paraId="703BE02E" w14:textId="77777777" w:rsidR="0046798B" w:rsidRDefault="0046798B">
            <w:pPr>
              <w:pStyle w:val="TableParagraph"/>
              <w:spacing w:before="9"/>
              <w:rPr>
                <w:sz w:val="23"/>
              </w:rPr>
            </w:pPr>
          </w:p>
          <w:p w14:paraId="4414290A" w14:textId="77777777" w:rsidR="0046798B" w:rsidRDefault="00903B5C">
            <w:pPr>
              <w:pStyle w:val="TableParagraph"/>
              <w:ind w:left="115"/>
              <w:rPr>
                <w:b/>
                <w:sz w:val="20"/>
              </w:rPr>
            </w:pPr>
            <w:r>
              <w:rPr>
                <w:b/>
                <w:sz w:val="20"/>
              </w:rPr>
              <w:t>hmplhp</w:t>
            </w:r>
          </w:p>
        </w:tc>
        <w:tc>
          <w:tcPr>
            <w:tcW w:w="1596" w:type="dxa"/>
          </w:tcPr>
          <w:p w14:paraId="547746DD" w14:textId="77777777" w:rsidR="0046798B" w:rsidRDefault="00903B5C">
            <w:pPr>
              <w:pStyle w:val="TableParagraph"/>
              <w:spacing w:before="158"/>
              <w:ind w:left="114" w:right="191"/>
              <w:rPr>
                <w:sz w:val="20"/>
              </w:rPr>
            </w:pPr>
            <w:r>
              <w:rPr>
                <w:sz w:val="20"/>
              </w:rPr>
              <w:t>Licensed health professional</w:t>
            </w:r>
          </w:p>
        </w:tc>
        <w:tc>
          <w:tcPr>
            <w:tcW w:w="1285" w:type="dxa"/>
          </w:tcPr>
          <w:p w14:paraId="7EE66B24" w14:textId="77777777" w:rsidR="0046798B" w:rsidRDefault="0046798B">
            <w:pPr>
              <w:pStyle w:val="TableParagraph"/>
              <w:spacing w:before="9"/>
              <w:rPr>
                <w:sz w:val="23"/>
              </w:rPr>
            </w:pPr>
          </w:p>
          <w:p w14:paraId="68A942A1" w14:textId="77777777" w:rsidR="0046798B" w:rsidRDefault="00903B5C">
            <w:pPr>
              <w:pStyle w:val="TableParagraph"/>
              <w:ind w:left="114"/>
              <w:rPr>
                <w:sz w:val="20"/>
              </w:rPr>
            </w:pPr>
            <w:r>
              <w:rPr>
                <w:sz w:val="20"/>
              </w:rPr>
              <w:t>2006–2008</w:t>
            </w:r>
          </w:p>
        </w:tc>
        <w:tc>
          <w:tcPr>
            <w:tcW w:w="3421" w:type="dxa"/>
          </w:tcPr>
          <w:p w14:paraId="406E12C0" w14:textId="77777777" w:rsidR="0046798B" w:rsidRDefault="00903B5C">
            <w:pPr>
              <w:pStyle w:val="TableParagraph"/>
              <w:spacing w:before="43"/>
              <w:ind w:left="114" w:right="226"/>
              <w:rPr>
                <w:sz w:val="20"/>
              </w:rPr>
            </w:pPr>
            <w:r>
              <w:rPr>
                <w:sz w:val="20"/>
              </w:rPr>
              <w:t>Health insurance mandated providers: licensed health professional (0 = no, 1</w:t>
            </w:r>
          </w:p>
          <w:p w14:paraId="59D217AE" w14:textId="77777777" w:rsidR="0046798B" w:rsidRDefault="00903B5C">
            <w:pPr>
              <w:pStyle w:val="TableParagraph"/>
              <w:spacing w:before="1"/>
              <w:ind w:left="114"/>
              <w:rPr>
                <w:sz w:val="20"/>
              </w:rPr>
            </w:pPr>
            <w:r>
              <w:rPr>
                <w:sz w:val="20"/>
              </w:rPr>
              <w:t>= yes)</w:t>
            </w:r>
          </w:p>
        </w:tc>
        <w:tc>
          <w:tcPr>
            <w:tcW w:w="6482" w:type="dxa"/>
          </w:tcPr>
          <w:p w14:paraId="6BE3566F" w14:textId="77777777" w:rsidR="0046798B" w:rsidRDefault="00903B5C">
            <w:pPr>
              <w:pStyle w:val="TableParagraph"/>
              <w:spacing w:before="43"/>
              <w:ind w:left="114"/>
              <w:rPr>
                <w:sz w:val="20"/>
              </w:rPr>
            </w:pPr>
            <w:r>
              <w:rPr>
                <w:sz w:val="20"/>
              </w:rPr>
              <w:t>Sorens, Jason, Fait Muedini, and William P. Ruger. “State and Local Public Policies in 2006: A New Database.” State Politics &amp; Policy Quarterly 8.3 (2008): 309–26.</w:t>
            </w:r>
          </w:p>
        </w:tc>
      </w:tr>
      <w:tr w:rsidR="0046798B" w14:paraId="4C9AFEED" w14:textId="77777777">
        <w:trPr>
          <w:trHeight w:val="780"/>
        </w:trPr>
        <w:tc>
          <w:tcPr>
            <w:tcW w:w="1711" w:type="dxa"/>
          </w:tcPr>
          <w:p w14:paraId="0EFC233E" w14:textId="77777777" w:rsidR="0046798B" w:rsidRDefault="0046798B">
            <w:pPr>
              <w:pStyle w:val="TableParagraph"/>
              <w:spacing w:before="8"/>
              <w:rPr>
                <w:sz w:val="23"/>
              </w:rPr>
            </w:pPr>
          </w:p>
          <w:p w14:paraId="79E0B286" w14:textId="77777777" w:rsidR="0046798B" w:rsidRDefault="00903B5C">
            <w:pPr>
              <w:pStyle w:val="TableParagraph"/>
              <w:ind w:left="115"/>
              <w:rPr>
                <w:b/>
                <w:sz w:val="20"/>
              </w:rPr>
            </w:pPr>
            <w:r>
              <w:rPr>
                <w:b/>
                <w:sz w:val="20"/>
              </w:rPr>
              <w:t>hmplm</w:t>
            </w:r>
          </w:p>
        </w:tc>
        <w:tc>
          <w:tcPr>
            <w:tcW w:w="1596" w:type="dxa"/>
          </w:tcPr>
          <w:p w14:paraId="3C2DB6F1" w14:textId="77777777" w:rsidR="0046798B" w:rsidRDefault="0046798B">
            <w:pPr>
              <w:pStyle w:val="TableParagraph"/>
              <w:spacing w:before="8"/>
              <w:rPr>
                <w:sz w:val="23"/>
              </w:rPr>
            </w:pPr>
          </w:p>
          <w:p w14:paraId="40D0038F" w14:textId="77777777" w:rsidR="0046798B" w:rsidRDefault="00903B5C">
            <w:pPr>
              <w:pStyle w:val="TableParagraph"/>
              <w:ind w:left="114"/>
              <w:rPr>
                <w:sz w:val="20"/>
              </w:rPr>
            </w:pPr>
            <w:r>
              <w:rPr>
                <w:sz w:val="20"/>
              </w:rPr>
              <w:t>Lay midwives</w:t>
            </w:r>
          </w:p>
        </w:tc>
        <w:tc>
          <w:tcPr>
            <w:tcW w:w="1285" w:type="dxa"/>
          </w:tcPr>
          <w:p w14:paraId="07254DC9" w14:textId="77777777" w:rsidR="0046798B" w:rsidRDefault="0046798B">
            <w:pPr>
              <w:pStyle w:val="TableParagraph"/>
              <w:spacing w:before="8"/>
              <w:rPr>
                <w:sz w:val="23"/>
              </w:rPr>
            </w:pPr>
          </w:p>
          <w:p w14:paraId="3D25BA6A" w14:textId="77777777" w:rsidR="0046798B" w:rsidRDefault="00903B5C">
            <w:pPr>
              <w:pStyle w:val="TableParagraph"/>
              <w:ind w:left="114"/>
              <w:rPr>
                <w:sz w:val="20"/>
              </w:rPr>
            </w:pPr>
            <w:r>
              <w:rPr>
                <w:sz w:val="20"/>
              </w:rPr>
              <w:t>2006–2008</w:t>
            </w:r>
          </w:p>
        </w:tc>
        <w:tc>
          <w:tcPr>
            <w:tcW w:w="3421" w:type="dxa"/>
          </w:tcPr>
          <w:p w14:paraId="6B6D364B" w14:textId="77777777" w:rsidR="0046798B" w:rsidRDefault="00903B5C">
            <w:pPr>
              <w:pStyle w:val="TableParagraph"/>
              <w:spacing w:before="158"/>
              <w:ind w:left="114" w:right="239"/>
              <w:rPr>
                <w:sz w:val="20"/>
              </w:rPr>
            </w:pPr>
            <w:r>
              <w:rPr>
                <w:sz w:val="20"/>
              </w:rPr>
              <w:t>Health insurance mandated providers: lay midwives (0 = no, 1 = yes)</w:t>
            </w:r>
          </w:p>
        </w:tc>
        <w:tc>
          <w:tcPr>
            <w:tcW w:w="6482" w:type="dxa"/>
          </w:tcPr>
          <w:p w14:paraId="57C8C784" w14:textId="77777777" w:rsidR="0046798B" w:rsidRDefault="00903B5C">
            <w:pPr>
              <w:pStyle w:val="TableParagraph"/>
              <w:spacing w:before="43"/>
              <w:ind w:left="114"/>
              <w:rPr>
                <w:sz w:val="20"/>
              </w:rPr>
            </w:pPr>
            <w:r>
              <w:rPr>
                <w:sz w:val="20"/>
              </w:rPr>
              <w:t>Sorens, Jason, Fait Muedini, and William P. Ruger. “State and Local Public Policies in 2006: A New Database.” State Politics &amp; Policy Quarterly 8.3 (2008): 309–26.</w:t>
            </w:r>
          </w:p>
        </w:tc>
      </w:tr>
      <w:tr w:rsidR="0046798B" w14:paraId="0B0F7614" w14:textId="77777777">
        <w:trPr>
          <w:trHeight w:val="775"/>
        </w:trPr>
        <w:tc>
          <w:tcPr>
            <w:tcW w:w="1711" w:type="dxa"/>
          </w:tcPr>
          <w:p w14:paraId="71329A1E" w14:textId="77777777" w:rsidR="0046798B" w:rsidRDefault="0046798B">
            <w:pPr>
              <w:pStyle w:val="TableParagraph"/>
              <w:spacing w:before="3"/>
              <w:rPr>
                <w:sz w:val="23"/>
              </w:rPr>
            </w:pPr>
          </w:p>
          <w:p w14:paraId="3D4F70CD" w14:textId="77777777" w:rsidR="0046798B" w:rsidRDefault="00903B5C">
            <w:pPr>
              <w:pStyle w:val="TableParagraph"/>
              <w:spacing w:before="1"/>
              <w:ind w:left="115"/>
              <w:rPr>
                <w:b/>
                <w:sz w:val="20"/>
              </w:rPr>
            </w:pPr>
            <w:r>
              <w:rPr>
                <w:b/>
                <w:sz w:val="20"/>
              </w:rPr>
              <w:t>hmpmt</w:t>
            </w:r>
          </w:p>
        </w:tc>
        <w:tc>
          <w:tcPr>
            <w:tcW w:w="1596" w:type="dxa"/>
          </w:tcPr>
          <w:p w14:paraId="2BA744B6" w14:textId="77777777" w:rsidR="0046798B" w:rsidRDefault="00903B5C">
            <w:pPr>
              <w:pStyle w:val="TableParagraph"/>
              <w:spacing w:before="153"/>
              <w:ind w:left="114" w:right="685"/>
              <w:rPr>
                <w:sz w:val="20"/>
              </w:rPr>
            </w:pPr>
            <w:r>
              <w:rPr>
                <w:sz w:val="20"/>
              </w:rPr>
              <w:t>Marriage therapists</w:t>
            </w:r>
          </w:p>
        </w:tc>
        <w:tc>
          <w:tcPr>
            <w:tcW w:w="1285" w:type="dxa"/>
          </w:tcPr>
          <w:p w14:paraId="4B03C498" w14:textId="77777777" w:rsidR="0046798B" w:rsidRDefault="0046798B">
            <w:pPr>
              <w:pStyle w:val="TableParagraph"/>
              <w:spacing w:before="3"/>
              <w:rPr>
                <w:sz w:val="23"/>
              </w:rPr>
            </w:pPr>
          </w:p>
          <w:p w14:paraId="6A99EA2F" w14:textId="77777777" w:rsidR="0046798B" w:rsidRDefault="00903B5C">
            <w:pPr>
              <w:pStyle w:val="TableParagraph"/>
              <w:spacing w:before="1"/>
              <w:ind w:left="114"/>
              <w:rPr>
                <w:sz w:val="20"/>
              </w:rPr>
            </w:pPr>
            <w:r>
              <w:rPr>
                <w:sz w:val="20"/>
              </w:rPr>
              <w:t>2006–2008</w:t>
            </w:r>
          </w:p>
        </w:tc>
        <w:tc>
          <w:tcPr>
            <w:tcW w:w="3421" w:type="dxa"/>
          </w:tcPr>
          <w:p w14:paraId="2DBA0DA7" w14:textId="77777777" w:rsidR="0046798B" w:rsidRDefault="00903B5C">
            <w:pPr>
              <w:pStyle w:val="TableParagraph"/>
              <w:spacing w:before="153"/>
              <w:ind w:left="114" w:right="239"/>
              <w:rPr>
                <w:sz w:val="20"/>
              </w:rPr>
            </w:pPr>
            <w:r>
              <w:rPr>
                <w:sz w:val="20"/>
              </w:rPr>
              <w:t>Health insurance mandated providers: marriage therapists (0 = no, 1 = yes)</w:t>
            </w:r>
          </w:p>
        </w:tc>
        <w:tc>
          <w:tcPr>
            <w:tcW w:w="6482" w:type="dxa"/>
          </w:tcPr>
          <w:p w14:paraId="55AA8DD1"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bl>
    <w:p w14:paraId="6B318700" w14:textId="77777777" w:rsidR="0046798B" w:rsidRDefault="0046798B">
      <w:pPr>
        <w:rPr>
          <w:sz w:val="20"/>
        </w:rPr>
        <w:sectPr w:rsidR="0046798B">
          <w:pgSz w:w="15840" w:h="12240" w:orient="landscape"/>
          <w:pgMar w:top="1220" w:right="300" w:bottom="980" w:left="820" w:header="730" w:footer="787" w:gutter="0"/>
          <w:cols w:space="720"/>
        </w:sectPr>
      </w:pPr>
    </w:p>
    <w:p w14:paraId="6614EB81"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524EFBA5" w14:textId="77777777">
        <w:trPr>
          <w:trHeight w:val="775"/>
        </w:trPr>
        <w:tc>
          <w:tcPr>
            <w:tcW w:w="1711" w:type="dxa"/>
          </w:tcPr>
          <w:p w14:paraId="4B9BB244" w14:textId="77777777" w:rsidR="0046798B" w:rsidRDefault="0046798B">
            <w:pPr>
              <w:pStyle w:val="TableParagraph"/>
              <w:spacing w:before="9"/>
              <w:rPr>
                <w:sz w:val="23"/>
              </w:rPr>
            </w:pPr>
          </w:p>
          <w:p w14:paraId="2F12C4F4" w14:textId="77777777" w:rsidR="0046798B" w:rsidRDefault="00903B5C">
            <w:pPr>
              <w:pStyle w:val="TableParagraph"/>
              <w:ind w:left="115"/>
              <w:rPr>
                <w:b/>
                <w:sz w:val="20"/>
              </w:rPr>
            </w:pPr>
            <w:r>
              <w:rPr>
                <w:b/>
                <w:sz w:val="20"/>
              </w:rPr>
              <w:t>hmpna</w:t>
            </w:r>
          </w:p>
        </w:tc>
        <w:tc>
          <w:tcPr>
            <w:tcW w:w="1596" w:type="dxa"/>
          </w:tcPr>
          <w:p w14:paraId="7E1A8DD8" w14:textId="77777777" w:rsidR="0046798B" w:rsidRDefault="00903B5C">
            <w:pPr>
              <w:pStyle w:val="TableParagraph"/>
              <w:spacing w:before="158"/>
              <w:ind w:left="114" w:right="529"/>
              <w:rPr>
                <w:sz w:val="20"/>
              </w:rPr>
            </w:pPr>
            <w:r>
              <w:rPr>
                <w:sz w:val="20"/>
              </w:rPr>
              <w:t>Nurse anesthetists</w:t>
            </w:r>
          </w:p>
        </w:tc>
        <w:tc>
          <w:tcPr>
            <w:tcW w:w="1285" w:type="dxa"/>
          </w:tcPr>
          <w:p w14:paraId="5BC08310" w14:textId="77777777" w:rsidR="0046798B" w:rsidRDefault="0046798B">
            <w:pPr>
              <w:pStyle w:val="TableParagraph"/>
              <w:spacing w:before="9"/>
              <w:rPr>
                <w:sz w:val="23"/>
              </w:rPr>
            </w:pPr>
          </w:p>
          <w:p w14:paraId="0370F6BA" w14:textId="77777777" w:rsidR="0046798B" w:rsidRDefault="00903B5C">
            <w:pPr>
              <w:pStyle w:val="TableParagraph"/>
              <w:ind w:left="114"/>
              <w:rPr>
                <w:sz w:val="20"/>
              </w:rPr>
            </w:pPr>
            <w:r>
              <w:rPr>
                <w:sz w:val="20"/>
              </w:rPr>
              <w:t>2006–2008</w:t>
            </w:r>
          </w:p>
        </w:tc>
        <w:tc>
          <w:tcPr>
            <w:tcW w:w="3421" w:type="dxa"/>
          </w:tcPr>
          <w:p w14:paraId="1FB5DEFE" w14:textId="77777777" w:rsidR="0046798B" w:rsidRDefault="00903B5C">
            <w:pPr>
              <w:pStyle w:val="TableParagraph"/>
              <w:spacing w:before="158"/>
              <w:ind w:left="114" w:right="239"/>
              <w:rPr>
                <w:sz w:val="20"/>
              </w:rPr>
            </w:pPr>
            <w:r>
              <w:rPr>
                <w:sz w:val="20"/>
              </w:rPr>
              <w:t>Health insurance mandated providers: nurse anesthetists (0 = no, 1 = yes)</w:t>
            </w:r>
          </w:p>
        </w:tc>
        <w:tc>
          <w:tcPr>
            <w:tcW w:w="6482" w:type="dxa"/>
          </w:tcPr>
          <w:p w14:paraId="1F386A33" w14:textId="77777777" w:rsidR="0046798B" w:rsidRDefault="00903B5C">
            <w:pPr>
              <w:pStyle w:val="TableParagraph"/>
              <w:spacing w:before="43"/>
              <w:ind w:left="114" w:right="272"/>
              <w:rPr>
                <w:sz w:val="20"/>
              </w:rPr>
            </w:pPr>
            <w:r>
              <w:rPr>
                <w:sz w:val="20"/>
              </w:rPr>
              <w:t>Sorens, Jason, Fait Muedini, and William P. Ruger. “State and Local Public Policies in 2006: A New Database.” State Politics &amp; Policy Quarterly 8.3 (2008): 309–26.</w:t>
            </w:r>
          </w:p>
        </w:tc>
      </w:tr>
      <w:tr w:rsidR="0046798B" w14:paraId="2C5C00A0" w14:textId="77777777">
        <w:trPr>
          <w:trHeight w:val="775"/>
        </w:trPr>
        <w:tc>
          <w:tcPr>
            <w:tcW w:w="1711" w:type="dxa"/>
          </w:tcPr>
          <w:p w14:paraId="3B18CFF8" w14:textId="77777777" w:rsidR="0046798B" w:rsidRDefault="0046798B">
            <w:pPr>
              <w:pStyle w:val="TableParagraph"/>
              <w:spacing w:before="8"/>
              <w:rPr>
                <w:sz w:val="23"/>
              </w:rPr>
            </w:pPr>
          </w:p>
          <w:p w14:paraId="41EF2D91" w14:textId="77777777" w:rsidR="0046798B" w:rsidRDefault="00903B5C">
            <w:pPr>
              <w:pStyle w:val="TableParagraph"/>
              <w:spacing w:before="1"/>
              <w:ind w:left="115"/>
              <w:rPr>
                <w:b/>
                <w:sz w:val="20"/>
              </w:rPr>
            </w:pPr>
            <w:r>
              <w:rPr>
                <w:b/>
                <w:sz w:val="20"/>
              </w:rPr>
              <w:t>hmpnm</w:t>
            </w:r>
          </w:p>
        </w:tc>
        <w:tc>
          <w:tcPr>
            <w:tcW w:w="1596" w:type="dxa"/>
          </w:tcPr>
          <w:p w14:paraId="0FB3F0AA" w14:textId="77777777" w:rsidR="0046798B" w:rsidRDefault="0046798B">
            <w:pPr>
              <w:pStyle w:val="TableParagraph"/>
              <w:spacing w:before="8"/>
              <w:rPr>
                <w:sz w:val="23"/>
              </w:rPr>
            </w:pPr>
          </w:p>
          <w:p w14:paraId="05246D32" w14:textId="77777777" w:rsidR="0046798B" w:rsidRDefault="00903B5C">
            <w:pPr>
              <w:pStyle w:val="TableParagraph"/>
              <w:spacing w:before="1"/>
              <w:ind w:left="114"/>
              <w:rPr>
                <w:sz w:val="20"/>
              </w:rPr>
            </w:pPr>
            <w:r>
              <w:rPr>
                <w:sz w:val="20"/>
              </w:rPr>
              <w:t>Nurse midwives</w:t>
            </w:r>
          </w:p>
        </w:tc>
        <w:tc>
          <w:tcPr>
            <w:tcW w:w="1285" w:type="dxa"/>
          </w:tcPr>
          <w:p w14:paraId="617DDCEC" w14:textId="77777777" w:rsidR="0046798B" w:rsidRDefault="0046798B">
            <w:pPr>
              <w:pStyle w:val="TableParagraph"/>
              <w:spacing w:before="8"/>
              <w:rPr>
                <w:sz w:val="23"/>
              </w:rPr>
            </w:pPr>
          </w:p>
          <w:p w14:paraId="349127B2" w14:textId="77777777" w:rsidR="0046798B" w:rsidRDefault="00903B5C">
            <w:pPr>
              <w:pStyle w:val="TableParagraph"/>
              <w:spacing w:before="1"/>
              <w:ind w:left="114"/>
              <w:rPr>
                <w:sz w:val="20"/>
              </w:rPr>
            </w:pPr>
            <w:r>
              <w:rPr>
                <w:sz w:val="20"/>
              </w:rPr>
              <w:t>2006–2008</w:t>
            </w:r>
          </w:p>
        </w:tc>
        <w:tc>
          <w:tcPr>
            <w:tcW w:w="3421" w:type="dxa"/>
          </w:tcPr>
          <w:p w14:paraId="3FACA8F6" w14:textId="77777777" w:rsidR="0046798B" w:rsidRDefault="00903B5C">
            <w:pPr>
              <w:pStyle w:val="TableParagraph"/>
              <w:spacing w:before="158"/>
              <w:ind w:left="114" w:right="239"/>
              <w:rPr>
                <w:sz w:val="20"/>
              </w:rPr>
            </w:pPr>
            <w:r>
              <w:rPr>
                <w:sz w:val="20"/>
              </w:rPr>
              <w:t>Health insurance mandated providers: nurse midwives (0 = no, 1 = yes)</w:t>
            </w:r>
          </w:p>
        </w:tc>
        <w:tc>
          <w:tcPr>
            <w:tcW w:w="6482" w:type="dxa"/>
          </w:tcPr>
          <w:p w14:paraId="5DDAC247" w14:textId="77777777" w:rsidR="0046798B" w:rsidRDefault="00903B5C">
            <w:pPr>
              <w:pStyle w:val="TableParagraph"/>
              <w:spacing w:before="43"/>
              <w:ind w:left="114"/>
              <w:rPr>
                <w:sz w:val="20"/>
              </w:rPr>
            </w:pPr>
            <w:r>
              <w:rPr>
                <w:sz w:val="20"/>
              </w:rPr>
              <w:t>Sorens, Jason, Fait Muedini, and William P. Ruger. “State and Local Public Policies in 2006: A New Database.” State Politics &amp; Policy Quarterly 8.3 (2008): 309–26.</w:t>
            </w:r>
          </w:p>
        </w:tc>
      </w:tr>
      <w:tr w:rsidR="0046798B" w14:paraId="0DAFE90D" w14:textId="77777777">
        <w:trPr>
          <w:trHeight w:val="780"/>
        </w:trPr>
        <w:tc>
          <w:tcPr>
            <w:tcW w:w="1711" w:type="dxa"/>
          </w:tcPr>
          <w:p w14:paraId="6090C401" w14:textId="77777777" w:rsidR="0046798B" w:rsidRDefault="0046798B">
            <w:pPr>
              <w:pStyle w:val="TableParagraph"/>
              <w:spacing w:before="9"/>
              <w:rPr>
                <w:sz w:val="23"/>
              </w:rPr>
            </w:pPr>
          </w:p>
          <w:p w14:paraId="2CBC37F3" w14:textId="77777777" w:rsidR="0046798B" w:rsidRDefault="00903B5C">
            <w:pPr>
              <w:pStyle w:val="TableParagraph"/>
              <w:ind w:left="115"/>
              <w:rPr>
                <w:b/>
                <w:sz w:val="20"/>
              </w:rPr>
            </w:pPr>
            <w:r>
              <w:rPr>
                <w:b/>
                <w:sz w:val="20"/>
              </w:rPr>
              <w:t>hmpnp</w:t>
            </w:r>
          </w:p>
        </w:tc>
        <w:tc>
          <w:tcPr>
            <w:tcW w:w="1596" w:type="dxa"/>
          </w:tcPr>
          <w:p w14:paraId="4BBB3A19" w14:textId="77777777" w:rsidR="0046798B" w:rsidRDefault="00903B5C">
            <w:pPr>
              <w:pStyle w:val="TableParagraph"/>
              <w:spacing w:before="159"/>
              <w:ind w:left="114" w:right="452"/>
              <w:rPr>
                <w:sz w:val="20"/>
              </w:rPr>
            </w:pPr>
            <w:r>
              <w:rPr>
                <w:sz w:val="20"/>
              </w:rPr>
              <w:t>Nurse practitioners</w:t>
            </w:r>
          </w:p>
        </w:tc>
        <w:tc>
          <w:tcPr>
            <w:tcW w:w="1285" w:type="dxa"/>
          </w:tcPr>
          <w:p w14:paraId="68B09C3C" w14:textId="77777777" w:rsidR="0046798B" w:rsidRDefault="0046798B">
            <w:pPr>
              <w:pStyle w:val="TableParagraph"/>
              <w:spacing w:before="9"/>
              <w:rPr>
                <w:sz w:val="23"/>
              </w:rPr>
            </w:pPr>
          </w:p>
          <w:p w14:paraId="5A668AC1" w14:textId="77777777" w:rsidR="0046798B" w:rsidRDefault="00903B5C">
            <w:pPr>
              <w:pStyle w:val="TableParagraph"/>
              <w:ind w:left="114"/>
              <w:rPr>
                <w:sz w:val="20"/>
              </w:rPr>
            </w:pPr>
            <w:r>
              <w:rPr>
                <w:sz w:val="20"/>
              </w:rPr>
              <w:t>2006–2008</w:t>
            </w:r>
          </w:p>
        </w:tc>
        <w:tc>
          <w:tcPr>
            <w:tcW w:w="3421" w:type="dxa"/>
          </w:tcPr>
          <w:p w14:paraId="2AE5E99A" w14:textId="77777777" w:rsidR="0046798B" w:rsidRDefault="00903B5C">
            <w:pPr>
              <w:pStyle w:val="TableParagraph"/>
              <w:spacing w:before="159"/>
              <w:ind w:left="114" w:right="239"/>
              <w:rPr>
                <w:sz w:val="20"/>
              </w:rPr>
            </w:pPr>
            <w:r>
              <w:rPr>
                <w:sz w:val="20"/>
              </w:rPr>
              <w:t>Health insurance mandated providers: nurse practitioners (0 = no, 1 = yes)</w:t>
            </w:r>
          </w:p>
        </w:tc>
        <w:tc>
          <w:tcPr>
            <w:tcW w:w="6482" w:type="dxa"/>
          </w:tcPr>
          <w:p w14:paraId="513F8A77" w14:textId="77777777" w:rsidR="0046798B" w:rsidRDefault="00903B5C">
            <w:pPr>
              <w:pStyle w:val="TableParagraph"/>
              <w:spacing w:before="44"/>
              <w:ind w:left="114"/>
              <w:rPr>
                <w:sz w:val="20"/>
              </w:rPr>
            </w:pPr>
            <w:r>
              <w:rPr>
                <w:sz w:val="20"/>
              </w:rPr>
              <w:t>Sorens, Jason, Fait Muedini, and William P. Ruger. “State and Local Public Policies in 2006: A New Database.” State Politics &amp; Policy Quarterly 8.3 (2008): 309–26.</w:t>
            </w:r>
          </w:p>
        </w:tc>
      </w:tr>
      <w:tr w:rsidR="0046798B" w14:paraId="5F1FB2AB" w14:textId="77777777">
        <w:trPr>
          <w:trHeight w:val="775"/>
        </w:trPr>
        <w:tc>
          <w:tcPr>
            <w:tcW w:w="1711" w:type="dxa"/>
          </w:tcPr>
          <w:p w14:paraId="308C47D4" w14:textId="77777777" w:rsidR="0046798B" w:rsidRDefault="0046798B">
            <w:pPr>
              <w:pStyle w:val="TableParagraph"/>
            </w:pPr>
          </w:p>
          <w:p w14:paraId="10AC5B06" w14:textId="77777777" w:rsidR="0046798B" w:rsidRDefault="00903B5C">
            <w:pPr>
              <w:pStyle w:val="TableParagraph"/>
              <w:spacing w:before="130"/>
              <w:ind w:left="115"/>
              <w:rPr>
                <w:b/>
                <w:sz w:val="20"/>
              </w:rPr>
            </w:pPr>
            <w:r>
              <w:rPr>
                <w:b/>
                <w:sz w:val="20"/>
              </w:rPr>
              <w:t>hmpos</w:t>
            </w:r>
          </w:p>
        </w:tc>
        <w:tc>
          <w:tcPr>
            <w:tcW w:w="1596" w:type="dxa"/>
          </w:tcPr>
          <w:p w14:paraId="3F2CA1D6" w14:textId="77777777" w:rsidR="0046798B" w:rsidRDefault="0046798B">
            <w:pPr>
              <w:pStyle w:val="TableParagraph"/>
              <w:spacing w:before="3"/>
              <w:rPr>
                <w:sz w:val="23"/>
              </w:rPr>
            </w:pPr>
          </w:p>
          <w:p w14:paraId="2E497279" w14:textId="77777777" w:rsidR="0046798B" w:rsidRDefault="00903B5C">
            <w:pPr>
              <w:pStyle w:val="TableParagraph"/>
              <w:spacing w:before="1"/>
              <w:ind w:left="114"/>
              <w:rPr>
                <w:sz w:val="20"/>
              </w:rPr>
            </w:pPr>
            <w:r>
              <w:rPr>
                <w:sz w:val="20"/>
              </w:rPr>
              <w:t>Oral surgeons</w:t>
            </w:r>
          </w:p>
        </w:tc>
        <w:tc>
          <w:tcPr>
            <w:tcW w:w="1285" w:type="dxa"/>
          </w:tcPr>
          <w:p w14:paraId="52B95CBB" w14:textId="77777777" w:rsidR="0046798B" w:rsidRDefault="0046798B">
            <w:pPr>
              <w:pStyle w:val="TableParagraph"/>
              <w:spacing w:before="3"/>
              <w:rPr>
                <w:sz w:val="23"/>
              </w:rPr>
            </w:pPr>
          </w:p>
          <w:p w14:paraId="2C27446E" w14:textId="77777777" w:rsidR="0046798B" w:rsidRDefault="00903B5C">
            <w:pPr>
              <w:pStyle w:val="TableParagraph"/>
              <w:spacing w:before="1"/>
              <w:ind w:left="114"/>
              <w:rPr>
                <w:sz w:val="20"/>
              </w:rPr>
            </w:pPr>
            <w:r>
              <w:rPr>
                <w:sz w:val="20"/>
              </w:rPr>
              <w:t>2006–2008</w:t>
            </w:r>
          </w:p>
        </w:tc>
        <w:tc>
          <w:tcPr>
            <w:tcW w:w="3421" w:type="dxa"/>
          </w:tcPr>
          <w:p w14:paraId="79790946" w14:textId="77777777" w:rsidR="0046798B" w:rsidRDefault="00903B5C">
            <w:pPr>
              <w:pStyle w:val="TableParagraph"/>
              <w:spacing w:before="153"/>
              <w:ind w:left="114" w:right="239"/>
              <w:rPr>
                <w:sz w:val="20"/>
              </w:rPr>
            </w:pPr>
            <w:r>
              <w:rPr>
                <w:sz w:val="20"/>
              </w:rPr>
              <w:t>Health insurance mandated providers: oral surgeons (0 = no, 1 = yes)</w:t>
            </w:r>
          </w:p>
        </w:tc>
        <w:tc>
          <w:tcPr>
            <w:tcW w:w="6482" w:type="dxa"/>
          </w:tcPr>
          <w:p w14:paraId="3365B00D"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r w:rsidR="0046798B" w14:paraId="67D617EA" w14:textId="77777777">
        <w:trPr>
          <w:trHeight w:val="775"/>
        </w:trPr>
        <w:tc>
          <w:tcPr>
            <w:tcW w:w="1711" w:type="dxa"/>
          </w:tcPr>
          <w:p w14:paraId="5E16430E" w14:textId="77777777" w:rsidR="0046798B" w:rsidRDefault="0046798B">
            <w:pPr>
              <w:pStyle w:val="TableParagraph"/>
              <w:spacing w:before="3"/>
              <w:rPr>
                <w:sz w:val="23"/>
              </w:rPr>
            </w:pPr>
          </w:p>
          <w:p w14:paraId="1717505F" w14:textId="77777777" w:rsidR="0046798B" w:rsidRDefault="00903B5C">
            <w:pPr>
              <w:pStyle w:val="TableParagraph"/>
              <w:spacing w:before="1"/>
              <w:ind w:left="115"/>
              <w:rPr>
                <w:b/>
                <w:sz w:val="20"/>
              </w:rPr>
            </w:pPr>
            <w:r>
              <w:rPr>
                <w:b/>
                <w:sz w:val="20"/>
              </w:rPr>
              <w:t>hmpot</w:t>
            </w:r>
          </w:p>
        </w:tc>
        <w:tc>
          <w:tcPr>
            <w:tcW w:w="1596" w:type="dxa"/>
          </w:tcPr>
          <w:p w14:paraId="74730FA5" w14:textId="77777777" w:rsidR="0046798B" w:rsidRDefault="00903B5C">
            <w:pPr>
              <w:pStyle w:val="TableParagraph"/>
              <w:spacing w:before="153"/>
              <w:ind w:left="114" w:right="385"/>
              <w:rPr>
                <w:sz w:val="20"/>
              </w:rPr>
            </w:pPr>
            <w:r>
              <w:rPr>
                <w:sz w:val="20"/>
              </w:rPr>
              <w:t>Occupational therapists</w:t>
            </w:r>
          </w:p>
        </w:tc>
        <w:tc>
          <w:tcPr>
            <w:tcW w:w="1285" w:type="dxa"/>
          </w:tcPr>
          <w:p w14:paraId="7D2C238D" w14:textId="77777777" w:rsidR="0046798B" w:rsidRDefault="0046798B">
            <w:pPr>
              <w:pStyle w:val="TableParagraph"/>
              <w:spacing w:before="3"/>
              <w:rPr>
                <w:sz w:val="23"/>
              </w:rPr>
            </w:pPr>
          </w:p>
          <w:p w14:paraId="215CC6BE" w14:textId="77777777" w:rsidR="0046798B" w:rsidRDefault="00903B5C">
            <w:pPr>
              <w:pStyle w:val="TableParagraph"/>
              <w:spacing w:before="1"/>
              <w:ind w:left="114"/>
              <w:rPr>
                <w:sz w:val="20"/>
              </w:rPr>
            </w:pPr>
            <w:r>
              <w:rPr>
                <w:sz w:val="20"/>
              </w:rPr>
              <w:t>2000–2016</w:t>
            </w:r>
          </w:p>
        </w:tc>
        <w:tc>
          <w:tcPr>
            <w:tcW w:w="3421" w:type="dxa"/>
          </w:tcPr>
          <w:p w14:paraId="7F413DDD" w14:textId="77777777" w:rsidR="0046798B" w:rsidRDefault="00903B5C">
            <w:pPr>
              <w:pStyle w:val="TableParagraph"/>
              <w:spacing w:before="38"/>
              <w:ind w:left="114" w:right="239"/>
              <w:rPr>
                <w:sz w:val="20"/>
              </w:rPr>
            </w:pPr>
            <w:r>
              <w:rPr>
                <w:sz w:val="20"/>
              </w:rPr>
              <w:t>Health insurance mandated providers: occupational therapists (0 = no, 1 = yes)</w:t>
            </w:r>
          </w:p>
        </w:tc>
        <w:tc>
          <w:tcPr>
            <w:tcW w:w="6482" w:type="dxa"/>
          </w:tcPr>
          <w:p w14:paraId="04EF3522" w14:textId="77777777" w:rsidR="0046798B" w:rsidRDefault="00903B5C">
            <w:pPr>
              <w:pStyle w:val="TableParagraph"/>
              <w:spacing w:before="38"/>
              <w:ind w:left="114" w:right="272"/>
              <w:rPr>
                <w:sz w:val="20"/>
              </w:rPr>
            </w:pPr>
            <w:r>
              <w:rPr>
                <w:sz w:val="20"/>
              </w:rPr>
              <w:t>Sorens, Jason, Fait Muedini, and William P. Ruger. “State and Local Public Policies in 2006: A New Database.” State Politics &amp; Policy Quarterly 8.3 (2008): 309–26.</w:t>
            </w:r>
          </w:p>
        </w:tc>
      </w:tr>
      <w:tr w:rsidR="0046798B" w14:paraId="4C558C57" w14:textId="77777777">
        <w:trPr>
          <w:trHeight w:val="775"/>
        </w:trPr>
        <w:tc>
          <w:tcPr>
            <w:tcW w:w="1711" w:type="dxa"/>
          </w:tcPr>
          <w:p w14:paraId="1B605F8D" w14:textId="77777777" w:rsidR="0046798B" w:rsidRDefault="0046798B">
            <w:pPr>
              <w:pStyle w:val="TableParagraph"/>
              <w:spacing w:before="9"/>
              <w:rPr>
                <w:sz w:val="23"/>
              </w:rPr>
            </w:pPr>
          </w:p>
          <w:p w14:paraId="5B3E5B25" w14:textId="77777777" w:rsidR="0046798B" w:rsidRDefault="00903B5C">
            <w:pPr>
              <w:pStyle w:val="TableParagraph"/>
              <w:ind w:left="115"/>
              <w:rPr>
                <w:b/>
                <w:sz w:val="20"/>
              </w:rPr>
            </w:pPr>
            <w:r>
              <w:rPr>
                <w:b/>
                <w:sz w:val="20"/>
              </w:rPr>
              <w:t>hmppa</w:t>
            </w:r>
          </w:p>
        </w:tc>
        <w:tc>
          <w:tcPr>
            <w:tcW w:w="1596" w:type="dxa"/>
          </w:tcPr>
          <w:p w14:paraId="023B79C1" w14:textId="77777777" w:rsidR="0046798B" w:rsidRDefault="00903B5C">
            <w:pPr>
              <w:pStyle w:val="TableParagraph"/>
              <w:spacing w:before="158"/>
              <w:ind w:left="114" w:right="674"/>
              <w:rPr>
                <w:sz w:val="20"/>
              </w:rPr>
            </w:pPr>
            <w:r>
              <w:rPr>
                <w:sz w:val="20"/>
              </w:rPr>
              <w:t>Physician assistants</w:t>
            </w:r>
          </w:p>
        </w:tc>
        <w:tc>
          <w:tcPr>
            <w:tcW w:w="1285" w:type="dxa"/>
          </w:tcPr>
          <w:p w14:paraId="3EBA9663" w14:textId="77777777" w:rsidR="0046798B" w:rsidRDefault="0046798B">
            <w:pPr>
              <w:pStyle w:val="TableParagraph"/>
              <w:spacing w:before="9"/>
              <w:rPr>
                <w:sz w:val="23"/>
              </w:rPr>
            </w:pPr>
          </w:p>
          <w:p w14:paraId="1728336E" w14:textId="77777777" w:rsidR="0046798B" w:rsidRDefault="00903B5C">
            <w:pPr>
              <w:pStyle w:val="TableParagraph"/>
              <w:ind w:left="114"/>
              <w:rPr>
                <w:sz w:val="20"/>
              </w:rPr>
            </w:pPr>
            <w:r>
              <w:rPr>
                <w:sz w:val="20"/>
              </w:rPr>
              <w:t>2006–2008</w:t>
            </w:r>
          </w:p>
        </w:tc>
        <w:tc>
          <w:tcPr>
            <w:tcW w:w="3421" w:type="dxa"/>
          </w:tcPr>
          <w:p w14:paraId="7C49B6CF" w14:textId="77777777" w:rsidR="0046798B" w:rsidRDefault="00903B5C">
            <w:pPr>
              <w:pStyle w:val="TableParagraph"/>
              <w:spacing w:before="158"/>
              <w:ind w:left="114" w:right="239"/>
              <w:rPr>
                <w:sz w:val="20"/>
              </w:rPr>
            </w:pPr>
            <w:r>
              <w:rPr>
                <w:sz w:val="20"/>
              </w:rPr>
              <w:t>Health insurance mandated providers: physician assistants (0 = no, 1 = yes)</w:t>
            </w:r>
          </w:p>
        </w:tc>
        <w:tc>
          <w:tcPr>
            <w:tcW w:w="6482" w:type="dxa"/>
          </w:tcPr>
          <w:p w14:paraId="32F717B7" w14:textId="77777777" w:rsidR="0046798B" w:rsidRDefault="00903B5C">
            <w:pPr>
              <w:pStyle w:val="TableParagraph"/>
              <w:spacing w:before="43"/>
              <w:ind w:left="114"/>
              <w:rPr>
                <w:sz w:val="20"/>
              </w:rPr>
            </w:pPr>
            <w:r>
              <w:rPr>
                <w:sz w:val="20"/>
              </w:rPr>
              <w:t>Sorens, Jason, Fait Muedini, and William P. Ruger. “State and Local Public Policies in 2006: A New Database.” State Politics &amp; Policy Quarterly 8.3 (2008): 309–26.</w:t>
            </w:r>
          </w:p>
        </w:tc>
      </w:tr>
      <w:tr w:rsidR="0046798B" w14:paraId="113561CF" w14:textId="77777777">
        <w:trPr>
          <w:trHeight w:val="775"/>
        </w:trPr>
        <w:tc>
          <w:tcPr>
            <w:tcW w:w="1711" w:type="dxa"/>
          </w:tcPr>
          <w:p w14:paraId="08F5BCAD" w14:textId="77777777" w:rsidR="0046798B" w:rsidRDefault="0046798B">
            <w:pPr>
              <w:pStyle w:val="TableParagraph"/>
              <w:spacing w:before="8"/>
              <w:rPr>
                <w:sz w:val="23"/>
              </w:rPr>
            </w:pPr>
          </w:p>
          <w:p w14:paraId="5653EEDF" w14:textId="77777777" w:rsidR="0046798B" w:rsidRDefault="00903B5C">
            <w:pPr>
              <w:pStyle w:val="TableParagraph"/>
              <w:spacing w:before="1"/>
              <w:ind w:left="115"/>
              <w:rPr>
                <w:b/>
                <w:sz w:val="20"/>
              </w:rPr>
            </w:pPr>
            <w:r>
              <w:rPr>
                <w:b/>
                <w:sz w:val="20"/>
              </w:rPr>
              <w:t>hmppc</w:t>
            </w:r>
          </w:p>
        </w:tc>
        <w:tc>
          <w:tcPr>
            <w:tcW w:w="1596" w:type="dxa"/>
          </w:tcPr>
          <w:p w14:paraId="6CFFB96D" w14:textId="77777777" w:rsidR="0046798B" w:rsidRDefault="00903B5C">
            <w:pPr>
              <w:pStyle w:val="TableParagraph"/>
              <w:spacing w:before="158"/>
              <w:ind w:left="114" w:right="596"/>
              <w:rPr>
                <w:sz w:val="20"/>
              </w:rPr>
            </w:pPr>
            <w:r>
              <w:rPr>
                <w:sz w:val="20"/>
              </w:rPr>
              <w:t>Pastoral counselors</w:t>
            </w:r>
          </w:p>
        </w:tc>
        <w:tc>
          <w:tcPr>
            <w:tcW w:w="1285" w:type="dxa"/>
          </w:tcPr>
          <w:p w14:paraId="29797153" w14:textId="77777777" w:rsidR="0046798B" w:rsidRDefault="0046798B">
            <w:pPr>
              <w:pStyle w:val="TableParagraph"/>
              <w:spacing w:before="8"/>
              <w:rPr>
                <w:sz w:val="23"/>
              </w:rPr>
            </w:pPr>
          </w:p>
          <w:p w14:paraId="32FD5831" w14:textId="77777777" w:rsidR="0046798B" w:rsidRDefault="00903B5C">
            <w:pPr>
              <w:pStyle w:val="TableParagraph"/>
              <w:spacing w:before="1"/>
              <w:ind w:left="114"/>
              <w:rPr>
                <w:sz w:val="20"/>
              </w:rPr>
            </w:pPr>
            <w:r>
              <w:rPr>
                <w:sz w:val="20"/>
              </w:rPr>
              <w:t>2006–2008</w:t>
            </w:r>
          </w:p>
        </w:tc>
        <w:tc>
          <w:tcPr>
            <w:tcW w:w="3421" w:type="dxa"/>
          </w:tcPr>
          <w:p w14:paraId="3C2D1DE0" w14:textId="77777777" w:rsidR="0046798B" w:rsidRDefault="00903B5C">
            <w:pPr>
              <w:pStyle w:val="TableParagraph"/>
              <w:spacing w:before="158"/>
              <w:ind w:left="114" w:right="239"/>
              <w:rPr>
                <w:sz w:val="20"/>
              </w:rPr>
            </w:pPr>
            <w:r>
              <w:rPr>
                <w:sz w:val="20"/>
              </w:rPr>
              <w:t>Health insurance mandated providers: pastoral counselors (0 = no, 1 = yes)</w:t>
            </w:r>
          </w:p>
        </w:tc>
        <w:tc>
          <w:tcPr>
            <w:tcW w:w="6482" w:type="dxa"/>
          </w:tcPr>
          <w:p w14:paraId="29DFFE8E" w14:textId="77777777" w:rsidR="0046798B" w:rsidRDefault="00903B5C">
            <w:pPr>
              <w:pStyle w:val="TableParagraph"/>
              <w:spacing w:before="43"/>
              <w:ind w:left="114"/>
              <w:rPr>
                <w:sz w:val="20"/>
              </w:rPr>
            </w:pPr>
            <w:r>
              <w:rPr>
                <w:sz w:val="20"/>
              </w:rPr>
              <w:t>Sorens, Jason, Fait Muedini, and William P. Ruger. “State and Local Public Policies in 2006: A New Database.” State Politics &amp; Policy Quarterly 8.3 (2008): 309–26.</w:t>
            </w:r>
          </w:p>
        </w:tc>
      </w:tr>
      <w:tr w:rsidR="0046798B" w14:paraId="11A4A53F" w14:textId="77777777">
        <w:trPr>
          <w:trHeight w:val="780"/>
        </w:trPr>
        <w:tc>
          <w:tcPr>
            <w:tcW w:w="1711" w:type="dxa"/>
          </w:tcPr>
          <w:p w14:paraId="47F5FBF8" w14:textId="77777777" w:rsidR="0046798B" w:rsidRDefault="0046798B">
            <w:pPr>
              <w:pStyle w:val="TableParagraph"/>
              <w:spacing w:before="8"/>
              <w:rPr>
                <w:sz w:val="23"/>
              </w:rPr>
            </w:pPr>
          </w:p>
          <w:p w14:paraId="42D034A8" w14:textId="77777777" w:rsidR="0046798B" w:rsidRDefault="00903B5C">
            <w:pPr>
              <w:pStyle w:val="TableParagraph"/>
              <w:spacing w:before="1"/>
              <w:ind w:left="115"/>
              <w:rPr>
                <w:b/>
                <w:sz w:val="20"/>
              </w:rPr>
            </w:pPr>
            <w:r>
              <w:rPr>
                <w:b/>
                <w:sz w:val="20"/>
              </w:rPr>
              <w:t>hmppm</w:t>
            </w:r>
          </w:p>
        </w:tc>
        <w:tc>
          <w:tcPr>
            <w:tcW w:w="1596" w:type="dxa"/>
          </w:tcPr>
          <w:p w14:paraId="4880E985" w14:textId="77777777" w:rsidR="0046798B" w:rsidRDefault="00903B5C">
            <w:pPr>
              <w:pStyle w:val="TableParagraph"/>
              <w:spacing w:before="43"/>
              <w:ind w:left="114" w:right="430"/>
              <w:rPr>
                <w:sz w:val="20"/>
              </w:rPr>
            </w:pPr>
            <w:r>
              <w:rPr>
                <w:sz w:val="20"/>
              </w:rPr>
              <w:t>Pain management specialist</w:t>
            </w:r>
          </w:p>
        </w:tc>
        <w:tc>
          <w:tcPr>
            <w:tcW w:w="1285" w:type="dxa"/>
          </w:tcPr>
          <w:p w14:paraId="148B8104" w14:textId="77777777" w:rsidR="0046798B" w:rsidRDefault="0046798B">
            <w:pPr>
              <w:pStyle w:val="TableParagraph"/>
              <w:spacing w:before="8"/>
              <w:rPr>
                <w:sz w:val="23"/>
              </w:rPr>
            </w:pPr>
          </w:p>
          <w:p w14:paraId="46E126EE" w14:textId="77777777" w:rsidR="0046798B" w:rsidRDefault="00903B5C">
            <w:pPr>
              <w:pStyle w:val="TableParagraph"/>
              <w:spacing w:before="1"/>
              <w:ind w:left="114"/>
              <w:rPr>
                <w:sz w:val="20"/>
              </w:rPr>
            </w:pPr>
            <w:r>
              <w:rPr>
                <w:sz w:val="20"/>
              </w:rPr>
              <w:t>2006–2016</w:t>
            </w:r>
          </w:p>
        </w:tc>
        <w:tc>
          <w:tcPr>
            <w:tcW w:w="3421" w:type="dxa"/>
          </w:tcPr>
          <w:p w14:paraId="469F664E" w14:textId="77777777" w:rsidR="0046798B" w:rsidRDefault="00903B5C">
            <w:pPr>
              <w:pStyle w:val="TableParagraph"/>
              <w:spacing w:before="43"/>
              <w:ind w:left="114" w:right="237"/>
              <w:rPr>
                <w:sz w:val="20"/>
              </w:rPr>
            </w:pPr>
            <w:r>
              <w:rPr>
                <w:sz w:val="20"/>
              </w:rPr>
              <w:t>Health insurance mandated providers: pain management specialist (0 = no, 1</w:t>
            </w:r>
          </w:p>
          <w:p w14:paraId="6C24A31D" w14:textId="77777777" w:rsidR="0046798B" w:rsidRDefault="00903B5C">
            <w:pPr>
              <w:pStyle w:val="TableParagraph"/>
              <w:ind w:left="114"/>
              <w:rPr>
                <w:sz w:val="20"/>
              </w:rPr>
            </w:pPr>
            <w:r>
              <w:rPr>
                <w:sz w:val="20"/>
              </w:rPr>
              <w:t>= yes)</w:t>
            </w:r>
          </w:p>
        </w:tc>
        <w:tc>
          <w:tcPr>
            <w:tcW w:w="6482" w:type="dxa"/>
          </w:tcPr>
          <w:p w14:paraId="54927523" w14:textId="77777777" w:rsidR="0046798B" w:rsidRDefault="00903B5C">
            <w:pPr>
              <w:pStyle w:val="TableParagraph"/>
              <w:spacing w:before="43"/>
              <w:ind w:left="114"/>
              <w:rPr>
                <w:sz w:val="20"/>
              </w:rPr>
            </w:pPr>
            <w:r>
              <w:rPr>
                <w:sz w:val="20"/>
              </w:rPr>
              <w:t>Sorens, Jason, Fait Muedini, and William P. Ruger. “State and Local Public Policies in 2006: A New Database.” State Politics &amp; Policy Quarterly 8.3 (2008): 309–26.</w:t>
            </w:r>
          </w:p>
        </w:tc>
      </w:tr>
      <w:tr w:rsidR="0046798B" w14:paraId="3CB7F050" w14:textId="77777777">
        <w:trPr>
          <w:trHeight w:val="775"/>
        </w:trPr>
        <w:tc>
          <w:tcPr>
            <w:tcW w:w="1711" w:type="dxa"/>
          </w:tcPr>
          <w:p w14:paraId="74641A14" w14:textId="77777777" w:rsidR="0046798B" w:rsidRDefault="0046798B">
            <w:pPr>
              <w:pStyle w:val="TableParagraph"/>
              <w:spacing w:before="4"/>
              <w:rPr>
                <w:sz w:val="23"/>
              </w:rPr>
            </w:pPr>
          </w:p>
          <w:p w14:paraId="3F497A4F" w14:textId="77777777" w:rsidR="0046798B" w:rsidRDefault="00903B5C">
            <w:pPr>
              <w:pStyle w:val="TableParagraph"/>
              <w:ind w:left="115"/>
              <w:rPr>
                <w:b/>
                <w:sz w:val="20"/>
              </w:rPr>
            </w:pPr>
            <w:r>
              <w:rPr>
                <w:b/>
                <w:sz w:val="20"/>
              </w:rPr>
              <w:t>hmppsyn</w:t>
            </w:r>
          </w:p>
        </w:tc>
        <w:tc>
          <w:tcPr>
            <w:tcW w:w="1596" w:type="dxa"/>
          </w:tcPr>
          <w:p w14:paraId="00E60B16" w14:textId="77777777" w:rsidR="0046798B" w:rsidRDefault="00903B5C">
            <w:pPr>
              <w:pStyle w:val="TableParagraph"/>
              <w:spacing w:before="153"/>
              <w:ind w:left="114" w:right="563"/>
              <w:rPr>
                <w:sz w:val="20"/>
              </w:rPr>
            </w:pPr>
            <w:r>
              <w:rPr>
                <w:sz w:val="20"/>
              </w:rPr>
              <w:t>Psychiatric nurse</w:t>
            </w:r>
          </w:p>
        </w:tc>
        <w:tc>
          <w:tcPr>
            <w:tcW w:w="1285" w:type="dxa"/>
          </w:tcPr>
          <w:p w14:paraId="1443EB11" w14:textId="77777777" w:rsidR="0046798B" w:rsidRDefault="0046798B">
            <w:pPr>
              <w:pStyle w:val="TableParagraph"/>
              <w:spacing w:before="4"/>
              <w:rPr>
                <w:sz w:val="23"/>
              </w:rPr>
            </w:pPr>
          </w:p>
          <w:p w14:paraId="0C9D94C4" w14:textId="77777777" w:rsidR="0046798B" w:rsidRDefault="00903B5C">
            <w:pPr>
              <w:pStyle w:val="TableParagraph"/>
              <w:ind w:left="114"/>
              <w:rPr>
                <w:sz w:val="20"/>
              </w:rPr>
            </w:pPr>
            <w:r>
              <w:rPr>
                <w:sz w:val="20"/>
              </w:rPr>
              <w:t>2006–2008</w:t>
            </w:r>
          </w:p>
        </w:tc>
        <w:tc>
          <w:tcPr>
            <w:tcW w:w="3421" w:type="dxa"/>
          </w:tcPr>
          <w:p w14:paraId="1460DAEA" w14:textId="77777777" w:rsidR="0046798B" w:rsidRDefault="00903B5C">
            <w:pPr>
              <w:pStyle w:val="TableParagraph"/>
              <w:spacing w:before="153"/>
              <w:ind w:left="114" w:right="239"/>
              <w:rPr>
                <w:sz w:val="20"/>
              </w:rPr>
            </w:pPr>
            <w:r>
              <w:rPr>
                <w:sz w:val="20"/>
              </w:rPr>
              <w:t>Health insurance mandated providers: psychiatric nurse (0 = no, 1 = yes)</w:t>
            </w:r>
          </w:p>
        </w:tc>
        <w:tc>
          <w:tcPr>
            <w:tcW w:w="6482" w:type="dxa"/>
          </w:tcPr>
          <w:p w14:paraId="62BB0B93" w14:textId="77777777" w:rsidR="0046798B" w:rsidRDefault="00903B5C">
            <w:pPr>
              <w:pStyle w:val="TableParagraph"/>
              <w:spacing w:before="38"/>
              <w:ind w:left="114" w:right="272"/>
              <w:rPr>
                <w:sz w:val="20"/>
              </w:rPr>
            </w:pPr>
            <w:r>
              <w:rPr>
                <w:sz w:val="20"/>
              </w:rPr>
              <w:t>Sorens, Jason, Fait Muedini, and William P. Ruger. “State and Local Public Policies in 2006: A New Database.” State Politics &amp; Policy Quarterly 8.3 (2008): 309–26.</w:t>
            </w:r>
          </w:p>
        </w:tc>
      </w:tr>
      <w:tr w:rsidR="0046798B" w14:paraId="756C7D62" w14:textId="77777777">
        <w:trPr>
          <w:trHeight w:val="775"/>
        </w:trPr>
        <w:tc>
          <w:tcPr>
            <w:tcW w:w="1711" w:type="dxa"/>
          </w:tcPr>
          <w:p w14:paraId="778B106A" w14:textId="77777777" w:rsidR="0046798B" w:rsidRDefault="0046798B">
            <w:pPr>
              <w:pStyle w:val="TableParagraph"/>
              <w:spacing w:before="3"/>
              <w:rPr>
                <w:sz w:val="23"/>
              </w:rPr>
            </w:pPr>
          </w:p>
          <w:p w14:paraId="2D01AD2B" w14:textId="77777777" w:rsidR="0046798B" w:rsidRDefault="00903B5C">
            <w:pPr>
              <w:pStyle w:val="TableParagraph"/>
              <w:ind w:left="115"/>
              <w:rPr>
                <w:b/>
                <w:sz w:val="20"/>
              </w:rPr>
            </w:pPr>
            <w:r>
              <w:rPr>
                <w:b/>
                <w:sz w:val="20"/>
              </w:rPr>
              <w:t>hmppt</w:t>
            </w:r>
          </w:p>
        </w:tc>
        <w:tc>
          <w:tcPr>
            <w:tcW w:w="1596" w:type="dxa"/>
          </w:tcPr>
          <w:p w14:paraId="345D0B6F" w14:textId="77777777" w:rsidR="0046798B" w:rsidRDefault="00903B5C">
            <w:pPr>
              <w:pStyle w:val="TableParagraph"/>
              <w:spacing w:before="153"/>
              <w:ind w:left="114" w:right="685"/>
              <w:rPr>
                <w:sz w:val="20"/>
              </w:rPr>
            </w:pPr>
            <w:r>
              <w:rPr>
                <w:sz w:val="20"/>
              </w:rPr>
              <w:t>Physical therapists</w:t>
            </w:r>
          </w:p>
        </w:tc>
        <w:tc>
          <w:tcPr>
            <w:tcW w:w="1285" w:type="dxa"/>
          </w:tcPr>
          <w:p w14:paraId="708C7FBB" w14:textId="77777777" w:rsidR="0046798B" w:rsidRDefault="0046798B">
            <w:pPr>
              <w:pStyle w:val="TableParagraph"/>
              <w:spacing w:before="3"/>
              <w:rPr>
                <w:sz w:val="23"/>
              </w:rPr>
            </w:pPr>
          </w:p>
          <w:p w14:paraId="590D240A" w14:textId="77777777" w:rsidR="0046798B" w:rsidRDefault="00903B5C">
            <w:pPr>
              <w:pStyle w:val="TableParagraph"/>
              <w:ind w:left="114"/>
              <w:rPr>
                <w:sz w:val="20"/>
              </w:rPr>
            </w:pPr>
            <w:r>
              <w:rPr>
                <w:sz w:val="20"/>
              </w:rPr>
              <w:t>2006–2016</w:t>
            </w:r>
          </w:p>
        </w:tc>
        <w:tc>
          <w:tcPr>
            <w:tcW w:w="3421" w:type="dxa"/>
          </w:tcPr>
          <w:p w14:paraId="682C7E41" w14:textId="77777777" w:rsidR="0046798B" w:rsidRDefault="00903B5C">
            <w:pPr>
              <w:pStyle w:val="TableParagraph"/>
              <w:spacing w:before="153"/>
              <w:ind w:left="114" w:right="239"/>
              <w:rPr>
                <w:sz w:val="20"/>
              </w:rPr>
            </w:pPr>
            <w:r>
              <w:rPr>
                <w:sz w:val="20"/>
              </w:rPr>
              <w:t>Health insurance mandated providers: physical therapists (0 = no, 1 = yes)</w:t>
            </w:r>
          </w:p>
        </w:tc>
        <w:tc>
          <w:tcPr>
            <w:tcW w:w="6482" w:type="dxa"/>
          </w:tcPr>
          <w:p w14:paraId="0DF46FAA"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r w:rsidR="0046798B" w14:paraId="0E8BEDFF" w14:textId="77777777">
        <w:trPr>
          <w:trHeight w:val="775"/>
        </w:trPr>
        <w:tc>
          <w:tcPr>
            <w:tcW w:w="1711" w:type="dxa"/>
          </w:tcPr>
          <w:p w14:paraId="5E131462" w14:textId="77777777" w:rsidR="0046798B" w:rsidRDefault="0046798B">
            <w:pPr>
              <w:pStyle w:val="TableParagraph"/>
              <w:spacing w:before="3"/>
              <w:rPr>
                <w:sz w:val="23"/>
              </w:rPr>
            </w:pPr>
          </w:p>
          <w:p w14:paraId="1D01D024" w14:textId="77777777" w:rsidR="0046798B" w:rsidRDefault="00903B5C">
            <w:pPr>
              <w:pStyle w:val="TableParagraph"/>
              <w:spacing w:before="1"/>
              <w:ind w:left="115"/>
              <w:rPr>
                <w:b/>
                <w:sz w:val="20"/>
              </w:rPr>
            </w:pPr>
            <w:r>
              <w:rPr>
                <w:b/>
                <w:sz w:val="20"/>
              </w:rPr>
              <w:t>hmppub</w:t>
            </w:r>
          </w:p>
        </w:tc>
        <w:tc>
          <w:tcPr>
            <w:tcW w:w="1596" w:type="dxa"/>
          </w:tcPr>
          <w:p w14:paraId="699AB511" w14:textId="77777777" w:rsidR="0046798B" w:rsidRDefault="00903B5C">
            <w:pPr>
              <w:pStyle w:val="TableParagraph"/>
              <w:spacing w:before="153"/>
              <w:ind w:left="114" w:right="263"/>
              <w:rPr>
                <w:sz w:val="20"/>
              </w:rPr>
            </w:pPr>
            <w:r>
              <w:rPr>
                <w:sz w:val="20"/>
              </w:rPr>
              <w:t>Public or other facilities</w:t>
            </w:r>
          </w:p>
        </w:tc>
        <w:tc>
          <w:tcPr>
            <w:tcW w:w="1285" w:type="dxa"/>
          </w:tcPr>
          <w:p w14:paraId="6F212BA8" w14:textId="77777777" w:rsidR="0046798B" w:rsidRDefault="0046798B">
            <w:pPr>
              <w:pStyle w:val="TableParagraph"/>
              <w:spacing w:before="3"/>
              <w:rPr>
                <w:sz w:val="23"/>
              </w:rPr>
            </w:pPr>
          </w:p>
          <w:p w14:paraId="6694CE1B" w14:textId="77777777" w:rsidR="0046798B" w:rsidRDefault="00903B5C">
            <w:pPr>
              <w:pStyle w:val="TableParagraph"/>
              <w:spacing w:before="1"/>
              <w:ind w:left="114"/>
              <w:rPr>
                <w:sz w:val="20"/>
              </w:rPr>
            </w:pPr>
            <w:r>
              <w:rPr>
                <w:sz w:val="20"/>
              </w:rPr>
              <w:t>2006–2008</w:t>
            </w:r>
          </w:p>
        </w:tc>
        <w:tc>
          <w:tcPr>
            <w:tcW w:w="3421" w:type="dxa"/>
          </w:tcPr>
          <w:p w14:paraId="75B3C83C" w14:textId="77777777" w:rsidR="0046798B" w:rsidRDefault="00903B5C">
            <w:pPr>
              <w:pStyle w:val="TableParagraph"/>
              <w:spacing w:before="38"/>
              <w:ind w:left="114" w:right="239"/>
              <w:rPr>
                <w:sz w:val="20"/>
              </w:rPr>
            </w:pPr>
            <w:r>
              <w:rPr>
                <w:sz w:val="20"/>
              </w:rPr>
              <w:t>Health insurance mandated providers: public or other facilities (0 = no, 1 = yes)</w:t>
            </w:r>
          </w:p>
        </w:tc>
        <w:tc>
          <w:tcPr>
            <w:tcW w:w="6482" w:type="dxa"/>
          </w:tcPr>
          <w:p w14:paraId="0D158B41"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bl>
    <w:p w14:paraId="2935F7A6" w14:textId="77777777" w:rsidR="0046798B" w:rsidRDefault="0046798B">
      <w:pPr>
        <w:rPr>
          <w:sz w:val="20"/>
        </w:rPr>
        <w:sectPr w:rsidR="0046798B">
          <w:pgSz w:w="15840" w:h="12240" w:orient="landscape"/>
          <w:pgMar w:top="1220" w:right="300" w:bottom="980" w:left="820" w:header="730" w:footer="787" w:gutter="0"/>
          <w:cols w:space="720"/>
        </w:sectPr>
      </w:pPr>
    </w:p>
    <w:p w14:paraId="166A74FF"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2F46E6DE" w14:textId="77777777">
        <w:trPr>
          <w:trHeight w:val="775"/>
        </w:trPr>
        <w:tc>
          <w:tcPr>
            <w:tcW w:w="1711" w:type="dxa"/>
          </w:tcPr>
          <w:p w14:paraId="0D171E60" w14:textId="77777777" w:rsidR="0046798B" w:rsidRDefault="0046798B">
            <w:pPr>
              <w:pStyle w:val="TableParagraph"/>
              <w:spacing w:before="9"/>
              <w:rPr>
                <w:sz w:val="23"/>
              </w:rPr>
            </w:pPr>
          </w:p>
          <w:p w14:paraId="4AF50425" w14:textId="77777777" w:rsidR="0046798B" w:rsidRDefault="00903B5C">
            <w:pPr>
              <w:pStyle w:val="TableParagraph"/>
              <w:ind w:left="115"/>
              <w:rPr>
                <w:b/>
                <w:sz w:val="20"/>
              </w:rPr>
            </w:pPr>
            <w:r>
              <w:rPr>
                <w:b/>
                <w:sz w:val="20"/>
              </w:rPr>
              <w:t>hmpsht</w:t>
            </w:r>
          </w:p>
        </w:tc>
        <w:tc>
          <w:tcPr>
            <w:tcW w:w="1596" w:type="dxa"/>
          </w:tcPr>
          <w:p w14:paraId="34ACCCEB" w14:textId="77777777" w:rsidR="0046798B" w:rsidRDefault="00903B5C">
            <w:pPr>
              <w:pStyle w:val="TableParagraph"/>
              <w:spacing w:before="43"/>
              <w:ind w:left="114" w:right="657"/>
              <w:rPr>
                <w:sz w:val="20"/>
              </w:rPr>
            </w:pPr>
            <w:r>
              <w:rPr>
                <w:sz w:val="20"/>
              </w:rPr>
              <w:t>Speech or hearing therapists</w:t>
            </w:r>
          </w:p>
        </w:tc>
        <w:tc>
          <w:tcPr>
            <w:tcW w:w="1285" w:type="dxa"/>
          </w:tcPr>
          <w:p w14:paraId="643E262A" w14:textId="77777777" w:rsidR="0046798B" w:rsidRDefault="0046798B">
            <w:pPr>
              <w:pStyle w:val="TableParagraph"/>
              <w:spacing w:before="9"/>
              <w:rPr>
                <w:sz w:val="23"/>
              </w:rPr>
            </w:pPr>
          </w:p>
          <w:p w14:paraId="3F4B0E72" w14:textId="77777777" w:rsidR="0046798B" w:rsidRDefault="00903B5C">
            <w:pPr>
              <w:pStyle w:val="TableParagraph"/>
              <w:ind w:left="114"/>
              <w:rPr>
                <w:sz w:val="20"/>
              </w:rPr>
            </w:pPr>
            <w:r>
              <w:rPr>
                <w:sz w:val="20"/>
              </w:rPr>
              <w:t>2006–2016</w:t>
            </w:r>
          </w:p>
        </w:tc>
        <w:tc>
          <w:tcPr>
            <w:tcW w:w="3421" w:type="dxa"/>
          </w:tcPr>
          <w:p w14:paraId="3D76088D" w14:textId="77777777" w:rsidR="0046798B" w:rsidRDefault="00903B5C">
            <w:pPr>
              <w:pStyle w:val="TableParagraph"/>
              <w:spacing w:before="43"/>
              <w:ind w:left="114" w:right="220"/>
              <w:rPr>
                <w:sz w:val="20"/>
              </w:rPr>
            </w:pPr>
            <w:r>
              <w:rPr>
                <w:sz w:val="20"/>
              </w:rPr>
              <w:t>Health insurance mandated providers: speech or hearing therapists (0 = no, 1</w:t>
            </w:r>
          </w:p>
          <w:p w14:paraId="7432DA98" w14:textId="77777777" w:rsidR="0046798B" w:rsidRDefault="00903B5C">
            <w:pPr>
              <w:pStyle w:val="TableParagraph"/>
              <w:ind w:left="114"/>
              <w:rPr>
                <w:sz w:val="20"/>
              </w:rPr>
            </w:pPr>
            <w:r>
              <w:rPr>
                <w:sz w:val="20"/>
              </w:rPr>
              <w:t>= yes)</w:t>
            </w:r>
          </w:p>
        </w:tc>
        <w:tc>
          <w:tcPr>
            <w:tcW w:w="6482" w:type="dxa"/>
          </w:tcPr>
          <w:p w14:paraId="5DF8DD19" w14:textId="77777777" w:rsidR="0046798B" w:rsidRDefault="00903B5C">
            <w:pPr>
              <w:pStyle w:val="TableParagraph"/>
              <w:spacing w:before="43"/>
              <w:ind w:left="114"/>
              <w:rPr>
                <w:sz w:val="20"/>
              </w:rPr>
            </w:pPr>
            <w:r>
              <w:rPr>
                <w:sz w:val="20"/>
              </w:rPr>
              <w:t>Sorens, Jason, Fait Muedini, and William P. Ruger. “State and Local Public Policies in 2006: A New Database.” State Politics &amp; Policy Quarterly 8.3 (2008): 309–26.</w:t>
            </w:r>
          </w:p>
        </w:tc>
      </w:tr>
      <w:tr w:rsidR="0046798B" w14:paraId="4AAD7C49" w14:textId="77777777">
        <w:trPr>
          <w:trHeight w:val="775"/>
        </w:trPr>
        <w:tc>
          <w:tcPr>
            <w:tcW w:w="1711" w:type="dxa"/>
          </w:tcPr>
          <w:p w14:paraId="4E13A3DF" w14:textId="77777777" w:rsidR="0046798B" w:rsidRDefault="0046798B">
            <w:pPr>
              <w:pStyle w:val="TableParagraph"/>
              <w:spacing w:before="8"/>
              <w:rPr>
                <w:sz w:val="23"/>
              </w:rPr>
            </w:pPr>
          </w:p>
          <w:p w14:paraId="628277F4" w14:textId="77777777" w:rsidR="0046798B" w:rsidRDefault="00903B5C">
            <w:pPr>
              <w:pStyle w:val="TableParagraph"/>
              <w:spacing w:before="1"/>
              <w:ind w:left="115"/>
              <w:rPr>
                <w:b/>
                <w:sz w:val="20"/>
              </w:rPr>
            </w:pPr>
            <w:r>
              <w:rPr>
                <w:b/>
                <w:sz w:val="20"/>
              </w:rPr>
              <w:t>hmpsw</w:t>
            </w:r>
          </w:p>
        </w:tc>
        <w:tc>
          <w:tcPr>
            <w:tcW w:w="1596" w:type="dxa"/>
          </w:tcPr>
          <w:p w14:paraId="4240B298" w14:textId="77777777" w:rsidR="0046798B" w:rsidRDefault="0046798B">
            <w:pPr>
              <w:pStyle w:val="TableParagraph"/>
              <w:spacing w:before="8"/>
              <w:rPr>
                <w:sz w:val="23"/>
              </w:rPr>
            </w:pPr>
          </w:p>
          <w:p w14:paraId="47103AB9" w14:textId="77777777" w:rsidR="0046798B" w:rsidRDefault="00903B5C">
            <w:pPr>
              <w:pStyle w:val="TableParagraph"/>
              <w:spacing w:before="1"/>
              <w:ind w:left="114"/>
              <w:rPr>
                <w:sz w:val="20"/>
              </w:rPr>
            </w:pPr>
            <w:r>
              <w:rPr>
                <w:sz w:val="20"/>
              </w:rPr>
              <w:t>Social workers</w:t>
            </w:r>
          </w:p>
        </w:tc>
        <w:tc>
          <w:tcPr>
            <w:tcW w:w="1285" w:type="dxa"/>
          </w:tcPr>
          <w:p w14:paraId="54A9AC50" w14:textId="77777777" w:rsidR="0046798B" w:rsidRDefault="0046798B">
            <w:pPr>
              <w:pStyle w:val="TableParagraph"/>
              <w:spacing w:before="8"/>
              <w:rPr>
                <w:sz w:val="23"/>
              </w:rPr>
            </w:pPr>
          </w:p>
          <w:p w14:paraId="0C44627D" w14:textId="77777777" w:rsidR="0046798B" w:rsidRDefault="00903B5C">
            <w:pPr>
              <w:pStyle w:val="TableParagraph"/>
              <w:spacing w:before="1"/>
              <w:ind w:left="114"/>
              <w:rPr>
                <w:sz w:val="20"/>
              </w:rPr>
            </w:pPr>
            <w:r>
              <w:rPr>
                <w:sz w:val="20"/>
              </w:rPr>
              <w:t>2006–2016</w:t>
            </w:r>
          </w:p>
        </w:tc>
        <w:tc>
          <w:tcPr>
            <w:tcW w:w="3421" w:type="dxa"/>
          </w:tcPr>
          <w:p w14:paraId="36831EB1" w14:textId="77777777" w:rsidR="0046798B" w:rsidRDefault="00903B5C">
            <w:pPr>
              <w:pStyle w:val="TableParagraph"/>
              <w:spacing w:before="158"/>
              <w:ind w:left="114" w:right="239"/>
              <w:rPr>
                <w:sz w:val="20"/>
              </w:rPr>
            </w:pPr>
            <w:r>
              <w:rPr>
                <w:sz w:val="20"/>
              </w:rPr>
              <w:t>Health insurance mandated providers: social workers (0 = no, 1 = yes)</w:t>
            </w:r>
          </w:p>
        </w:tc>
        <w:tc>
          <w:tcPr>
            <w:tcW w:w="6482" w:type="dxa"/>
          </w:tcPr>
          <w:p w14:paraId="5F3D3880" w14:textId="77777777" w:rsidR="0046798B" w:rsidRDefault="00903B5C">
            <w:pPr>
              <w:pStyle w:val="TableParagraph"/>
              <w:spacing w:before="43"/>
              <w:ind w:left="114" w:right="272"/>
              <w:rPr>
                <w:sz w:val="20"/>
              </w:rPr>
            </w:pPr>
            <w:r>
              <w:rPr>
                <w:sz w:val="20"/>
              </w:rPr>
              <w:t>Sorens, Jason, Fait Muedini, and William P. Ruger. “State and Local Public Policies in 2006: A New Database.” State Politics &amp; Policy Quarterly 8.3 (2008): 309–26.</w:t>
            </w:r>
          </w:p>
        </w:tc>
      </w:tr>
      <w:tr w:rsidR="0046798B" w14:paraId="0F6174CC" w14:textId="77777777">
        <w:trPr>
          <w:trHeight w:val="780"/>
        </w:trPr>
        <w:tc>
          <w:tcPr>
            <w:tcW w:w="1711" w:type="dxa"/>
          </w:tcPr>
          <w:p w14:paraId="7C85EB09" w14:textId="77777777" w:rsidR="0046798B" w:rsidRDefault="0046798B">
            <w:pPr>
              <w:pStyle w:val="TableParagraph"/>
              <w:spacing w:before="9"/>
              <w:rPr>
                <w:sz w:val="23"/>
              </w:rPr>
            </w:pPr>
          </w:p>
          <w:p w14:paraId="3896B567" w14:textId="77777777" w:rsidR="0046798B" w:rsidRDefault="00903B5C">
            <w:pPr>
              <w:pStyle w:val="TableParagraph"/>
              <w:ind w:left="115"/>
              <w:rPr>
                <w:b/>
                <w:sz w:val="20"/>
              </w:rPr>
            </w:pPr>
            <w:r>
              <w:rPr>
                <w:b/>
                <w:sz w:val="20"/>
              </w:rPr>
              <w:t>hmpchp</w:t>
            </w:r>
          </w:p>
        </w:tc>
        <w:tc>
          <w:tcPr>
            <w:tcW w:w="1596" w:type="dxa"/>
          </w:tcPr>
          <w:p w14:paraId="08B9F116" w14:textId="77777777" w:rsidR="0046798B" w:rsidRDefault="0046798B">
            <w:pPr>
              <w:pStyle w:val="TableParagraph"/>
              <w:spacing w:before="9"/>
              <w:rPr>
                <w:sz w:val="23"/>
              </w:rPr>
            </w:pPr>
          </w:p>
          <w:p w14:paraId="6062831A" w14:textId="77777777" w:rsidR="0046798B" w:rsidRDefault="00903B5C">
            <w:pPr>
              <w:pStyle w:val="TableParagraph"/>
              <w:ind w:left="114"/>
              <w:rPr>
                <w:sz w:val="20"/>
              </w:rPr>
            </w:pPr>
            <w:r>
              <w:rPr>
                <w:sz w:val="20"/>
              </w:rPr>
              <w:t>Chiropodist</w:t>
            </w:r>
          </w:p>
        </w:tc>
        <w:tc>
          <w:tcPr>
            <w:tcW w:w="1285" w:type="dxa"/>
          </w:tcPr>
          <w:p w14:paraId="3E4C596F" w14:textId="77777777" w:rsidR="0046798B" w:rsidRDefault="0046798B">
            <w:pPr>
              <w:pStyle w:val="TableParagraph"/>
              <w:spacing w:before="9"/>
              <w:rPr>
                <w:sz w:val="23"/>
              </w:rPr>
            </w:pPr>
          </w:p>
          <w:p w14:paraId="120FBAC3" w14:textId="77777777" w:rsidR="0046798B" w:rsidRDefault="00903B5C">
            <w:pPr>
              <w:pStyle w:val="TableParagraph"/>
              <w:ind w:left="114"/>
              <w:rPr>
                <w:sz w:val="20"/>
              </w:rPr>
            </w:pPr>
            <w:r>
              <w:rPr>
                <w:sz w:val="20"/>
              </w:rPr>
              <w:t>2006–2008</w:t>
            </w:r>
          </w:p>
        </w:tc>
        <w:tc>
          <w:tcPr>
            <w:tcW w:w="3421" w:type="dxa"/>
          </w:tcPr>
          <w:p w14:paraId="007C909A" w14:textId="77777777" w:rsidR="0046798B" w:rsidRDefault="00903B5C">
            <w:pPr>
              <w:pStyle w:val="TableParagraph"/>
              <w:spacing w:before="159"/>
              <w:ind w:left="114" w:right="239"/>
              <w:rPr>
                <w:sz w:val="20"/>
              </w:rPr>
            </w:pPr>
            <w:r>
              <w:rPr>
                <w:sz w:val="20"/>
              </w:rPr>
              <w:t>Health insurance mandated providers: chiropodist (0 = no, 1 = yes)</w:t>
            </w:r>
          </w:p>
        </w:tc>
        <w:tc>
          <w:tcPr>
            <w:tcW w:w="6482" w:type="dxa"/>
          </w:tcPr>
          <w:p w14:paraId="45C41B8B" w14:textId="77777777" w:rsidR="0046798B" w:rsidRDefault="00903B5C">
            <w:pPr>
              <w:pStyle w:val="TableParagraph"/>
              <w:spacing w:before="44"/>
              <w:ind w:left="114"/>
              <w:rPr>
                <w:sz w:val="20"/>
              </w:rPr>
            </w:pPr>
            <w:r>
              <w:rPr>
                <w:sz w:val="20"/>
              </w:rPr>
              <w:t>Sorens, Jason, Fait Muedini, and William P. Ruger. “State and Local Public Policies in 2006: A New Database.” State Politics &amp; Policy Quarterly 8.3 (2008): 309–26.</w:t>
            </w:r>
          </w:p>
        </w:tc>
      </w:tr>
      <w:tr w:rsidR="0046798B" w14:paraId="6AA96D34" w14:textId="77777777">
        <w:trPr>
          <w:trHeight w:val="775"/>
        </w:trPr>
        <w:tc>
          <w:tcPr>
            <w:tcW w:w="1711" w:type="dxa"/>
          </w:tcPr>
          <w:p w14:paraId="28CA781F" w14:textId="77777777" w:rsidR="0046798B" w:rsidRDefault="0046798B">
            <w:pPr>
              <w:pStyle w:val="TableParagraph"/>
              <w:spacing w:before="3"/>
              <w:rPr>
                <w:sz w:val="23"/>
              </w:rPr>
            </w:pPr>
          </w:p>
          <w:p w14:paraId="7A6F1812" w14:textId="77777777" w:rsidR="0046798B" w:rsidRDefault="00903B5C">
            <w:pPr>
              <w:pStyle w:val="TableParagraph"/>
              <w:spacing w:before="1"/>
              <w:ind w:left="115"/>
              <w:rPr>
                <w:b/>
                <w:sz w:val="20"/>
              </w:rPr>
            </w:pPr>
            <w:r>
              <w:rPr>
                <w:b/>
                <w:sz w:val="20"/>
              </w:rPr>
              <w:t>hmpchx</w:t>
            </w:r>
          </w:p>
        </w:tc>
        <w:tc>
          <w:tcPr>
            <w:tcW w:w="1596" w:type="dxa"/>
          </w:tcPr>
          <w:p w14:paraId="12FB7070" w14:textId="77777777" w:rsidR="0046798B" w:rsidRDefault="0046798B">
            <w:pPr>
              <w:pStyle w:val="TableParagraph"/>
              <w:spacing w:before="3"/>
              <w:rPr>
                <w:sz w:val="23"/>
              </w:rPr>
            </w:pPr>
          </w:p>
          <w:p w14:paraId="531542F1" w14:textId="77777777" w:rsidR="0046798B" w:rsidRDefault="00903B5C">
            <w:pPr>
              <w:pStyle w:val="TableParagraph"/>
              <w:spacing w:before="1"/>
              <w:ind w:left="114"/>
              <w:rPr>
                <w:sz w:val="20"/>
              </w:rPr>
            </w:pPr>
            <w:r>
              <w:rPr>
                <w:sz w:val="20"/>
              </w:rPr>
              <w:t>Chiropractors</w:t>
            </w:r>
          </w:p>
        </w:tc>
        <w:tc>
          <w:tcPr>
            <w:tcW w:w="1285" w:type="dxa"/>
          </w:tcPr>
          <w:p w14:paraId="71B5F19D" w14:textId="77777777" w:rsidR="0046798B" w:rsidRDefault="0046798B">
            <w:pPr>
              <w:pStyle w:val="TableParagraph"/>
              <w:spacing w:before="3"/>
              <w:rPr>
                <w:sz w:val="23"/>
              </w:rPr>
            </w:pPr>
          </w:p>
          <w:p w14:paraId="6C02FA9C" w14:textId="77777777" w:rsidR="0046798B" w:rsidRDefault="00903B5C">
            <w:pPr>
              <w:pStyle w:val="TableParagraph"/>
              <w:spacing w:before="1"/>
              <w:ind w:left="114"/>
              <w:rPr>
                <w:sz w:val="20"/>
              </w:rPr>
            </w:pPr>
            <w:r>
              <w:rPr>
                <w:sz w:val="20"/>
              </w:rPr>
              <w:t>2000–2016</w:t>
            </w:r>
          </w:p>
        </w:tc>
        <w:tc>
          <w:tcPr>
            <w:tcW w:w="3421" w:type="dxa"/>
          </w:tcPr>
          <w:p w14:paraId="49552623" w14:textId="77777777" w:rsidR="0046798B" w:rsidRDefault="00903B5C">
            <w:pPr>
              <w:pStyle w:val="TableParagraph"/>
              <w:spacing w:before="153"/>
              <w:ind w:left="114" w:right="239"/>
              <w:rPr>
                <w:sz w:val="20"/>
              </w:rPr>
            </w:pPr>
            <w:r>
              <w:rPr>
                <w:sz w:val="20"/>
              </w:rPr>
              <w:t>Health insurance mandated providers: chiropractors (0 = no, 1 = yes)</w:t>
            </w:r>
          </w:p>
        </w:tc>
        <w:tc>
          <w:tcPr>
            <w:tcW w:w="6482" w:type="dxa"/>
          </w:tcPr>
          <w:p w14:paraId="62A4E31B"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r w:rsidR="0046798B" w14:paraId="1A355941" w14:textId="77777777">
        <w:trPr>
          <w:trHeight w:val="775"/>
        </w:trPr>
        <w:tc>
          <w:tcPr>
            <w:tcW w:w="1711" w:type="dxa"/>
          </w:tcPr>
          <w:p w14:paraId="00CF6166" w14:textId="77777777" w:rsidR="0046798B" w:rsidRDefault="0046798B">
            <w:pPr>
              <w:pStyle w:val="TableParagraph"/>
              <w:spacing w:before="3"/>
              <w:rPr>
                <w:sz w:val="23"/>
              </w:rPr>
            </w:pPr>
          </w:p>
          <w:p w14:paraId="2ED8430C" w14:textId="77777777" w:rsidR="0046798B" w:rsidRDefault="00903B5C">
            <w:pPr>
              <w:pStyle w:val="TableParagraph"/>
              <w:spacing w:before="1"/>
              <w:ind w:left="115"/>
              <w:rPr>
                <w:b/>
                <w:sz w:val="20"/>
              </w:rPr>
            </w:pPr>
            <w:r>
              <w:rPr>
                <w:b/>
                <w:sz w:val="20"/>
              </w:rPr>
              <w:t>hmpdenti</w:t>
            </w:r>
          </w:p>
        </w:tc>
        <w:tc>
          <w:tcPr>
            <w:tcW w:w="1596" w:type="dxa"/>
          </w:tcPr>
          <w:p w14:paraId="3990F7A8" w14:textId="77777777" w:rsidR="0046798B" w:rsidRDefault="0046798B">
            <w:pPr>
              <w:pStyle w:val="TableParagraph"/>
              <w:spacing w:before="3"/>
              <w:rPr>
                <w:sz w:val="23"/>
              </w:rPr>
            </w:pPr>
          </w:p>
          <w:p w14:paraId="0979B446" w14:textId="77777777" w:rsidR="0046798B" w:rsidRDefault="00903B5C">
            <w:pPr>
              <w:pStyle w:val="TableParagraph"/>
              <w:spacing w:before="1"/>
              <w:ind w:left="114"/>
              <w:rPr>
                <w:sz w:val="20"/>
              </w:rPr>
            </w:pPr>
            <w:r>
              <w:rPr>
                <w:sz w:val="20"/>
              </w:rPr>
              <w:t>Dentists</w:t>
            </w:r>
          </w:p>
        </w:tc>
        <w:tc>
          <w:tcPr>
            <w:tcW w:w="1285" w:type="dxa"/>
          </w:tcPr>
          <w:p w14:paraId="1D05A11F" w14:textId="77777777" w:rsidR="0046798B" w:rsidRDefault="0046798B">
            <w:pPr>
              <w:pStyle w:val="TableParagraph"/>
              <w:spacing w:before="3"/>
              <w:rPr>
                <w:sz w:val="23"/>
              </w:rPr>
            </w:pPr>
          </w:p>
          <w:p w14:paraId="7C02E4DF" w14:textId="77777777" w:rsidR="0046798B" w:rsidRDefault="00903B5C">
            <w:pPr>
              <w:pStyle w:val="TableParagraph"/>
              <w:spacing w:before="1"/>
              <w:ind w:left="114"/>
              <w:rPr>
                <w:sz w:val="20"/>
              </w:rPr>
            </w:pPr>
            <w:r>
              <w:rPr>
                <w:sz w:val="20"/>
              </w:rPr>
              <w:t>2006–2016</w:t>
            </w:r>
          </w:p>
        </w:tc>
        <w:tc>
          <w:tcPr>
            <w:tcW w:w="3421" w:type="dxa"/>
          </w:tcPr>
          <w:p w14:paraId="16132B36" w14:textId="77777777" w:rsidR="0046798B" w:rsidRDefault="00903B5C">
            <w:pPr>
              <w:pStyle w:val="TableParagraph"/>
              <w:spacing w:before="153"/>
              <w:ind w:left="114" w:right="239"/>
              <w:rPr>
                <w:sz w:val="20"/>
              </w:rPr>
            </w:pPr>
            <w:r>
              <w:rPr>
                <w:sz w:val="20"/>
              </w:rPr>
              <w:t>Health insurance mandated providers: dentists (0 = no, 1 = yes)</w:t>
            </w:r>
          </w:p>
        </w:tc>
        <w:tc>
          <w:tcPr>
            <w:tcW w:w="6482" w:type="dxa"/>
          </w:tcPr>
          <w:p w14:paraId="786D752E"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r w:rsidR="0046798B" w14:paraId="1DE1D730" w14:textId="77777777">
        <w:trPr>
          <w:trHeight w:val="775"/>
        </w:trPr>
        <w:tc>
          <w:tcPr>
            <w:tcW w:w="1711" w:type="dxa"/>
          </w:tcPr>
          <w:p w14:paraId="0BADC9B0" w14:textId="77777777" w:rsidR="0046798B" w:rsidRDefault="0046798B">
            <w:pPr>
              <w:pStyle w:val="TableParagraph"/>
              <w:spacing w:before="9"/>
              <w:rPr>
                <w:sz w:val="23"/>
              </w:rPr>
            </w:pPr>
          </w:p>
          <w:p w14:paraId="251F2BD2" w14:textId="77777777" w:rsidR="0046798B" w:rsidRDefault="00903B5C">
            <w:pPr>
              <w:pStyle w:val="TableParagraph"/>
              <w:ind w:left="115"/>
              <w:rPr>
                <w:b/>
                <w:sz w:val="20"/>
              </w:rPr>
            </w:pPr>
            <w:r>
              <w:rPr>
                <w:b/>
                <w:sz w:val="20"/>
              </w:rPr>
              <w:t>hmpdentu</w:t>
            </w:r>
          </w:p>
        </w:tc>
        <w:tc>
          <w:tcPr>
            <w:tcW w:w="1596" w:type="dxa"/>
          </w:tcPr>
          <w:p w14:paraId="37E0EAAF" w14:textId="77777777" w:rsidR="0046798B" w:rsidRDefault="0046798B">
            <w:pPr>
              <w:pStyle w:val="TableParagraph"/>
              <w:spacing w:before="9"/>
              <w:rPr>
                <w:sz w:val="23"/>
              </w:rPr>
            </w:pPr>
          </w:p>
          <w:p w14:paraId="4A981BC8" w14:textId="77777777" w:rsidR="0046798B" w:rsidRDefault="00903B5C">
            <w:pPr>
              <w:pStyle w:val="TableParagraph"/>
              <w:ind w:left="114"/>
              <w:rPr>
                <w:sz w:val="20"/>
              </w:rPr>
            </w:pPr>
            <w:r>
              <w:rPr>
                <w:sz w:val="20"/>
              </w:rPr>
              <w:t>Denturists</w:t>
            </w:r>
          </w:p>
        </w:tc>
        <w:tc>
          <w:tcPr>
            <w:tcW w:w="1285" w:type="dxa"/>
          </w:tcPr>
          <w:p w14:paraId="486EAA30" w14:textId="77777777" w:rsidR="0046798B" w:rsidRDefault="0046798B">
            <w:pPr>
              <w:pStyle w:val="TableParagraph"/>
              <w:spacing w:before="9"/>
              <w:rPr>
                <w:sz w:val="23"/>
              </w:rPr>
            </w:pPr>
          </w:p>
          <w:p w14:paraId="5883C7CE" w14:textId="77777777" w:rsidR="0046798B" w:rsidRDefault="00903B5C">
            <w:pPr>
              <w:pStyle w:val="TableParagraph"/>
              <w:ind w:left="114"/>
              <w:rPr>
                <w:sz w:val="20"/>
              </w:rPr>
            </w:pPr>
            <w:r>
              <w:rPr>
                <w:sz w:val="20"/>
              </w:rPr>
              <w:t>2006–2008</w:t>
            </w:r>
          </w:p>
        </w:tc>
        <w:tc>
          <w:tcPr>
            <w:tcW w:w="3421" w:type="dxa"/>
          </w:tcPr>
          <w:p w14:paraId="529517E8" w14:textId="77777777" w:rsidR="0046798B" w:rsidRDefault="00903B5C">
            <w:pPr>
              <w:pStyle w:val="TableParagraph"/>
              <w:spacing w:before="158"/>
              <w:ind w:left="114" w:right="239"/>
              <w:rPr>
                <w:sz w:val="20"/>
              </w:rPr>
            </w:pPr>
            <w:r>
              <w:rPr>
                <w:sz w:val="20"/>
              </w:rPr>
              <w:t>Health insurance mandated providers: denturists (0 = no, 1 = yes)</w:t>
            </w:r>
          </w:p>
        </w:tc>
        <w:tc>
          <w:tcPr>
            <w:tcW w:w="6482" w:type="dxa"/>
          </w:tcPr>
          <w:p w14:paraId="3CC2F29A" w14:textId="77777777" w:rsidR="0046798B" w:rsidRDefault="00903B5C">
            <w:pPr>
              <w:pStyle w:val="TableParagraph"/>
              <w:spacing w:before="43"/>
              <w:ind w:left="114"/>
              <w:rPr>
                <w:sz w:val="20"/>
              </w:rPr>
            </w:pPr>
            <w:r>
              <w:rPr>
                <w:sz w:val="20"/>
              </w:rPr>
              <w:t>Sorens, Jason, Fait Muedini, and William P. Ruger. “State and Local Public Policies in 2006: A New Database.” State Politics &amp; Policy Quarterly 8.3 (2008): 309–26.</w:t>
            </w:r>
          </w:p>
        </w:tc>
      </w:tr>
      <w:tr w:rsidR="0046798B" w14:paraId="37EEF388" w14:textId="77777777">
        <w:trPr>
          <w:trHeight w:val="775"/>
        </w:trPr>
        <w:tc>
          <w:tcPr>
            <w:tcW w:w="1711" w:type="dxa"/>
          </w:tcPr>
          <w:p w14:paraId="7C090CB9" w14:textId="77777777" w:rsidR="0046798B" w:rsidRDefault="0046798B">
            <w:pPr>
              <w:pStyle w:val="TableParagraph"/>
              <w:spacing w:before="8"/>
              <w:rPr>
                <w:sz w:val="23"/>
              </w:rPr>
            </w:pPr>
          </w:p>
          <w:p w14:paraId="023A0F92" w14:textId="77777777" w:rsidR="0046798B" w:rsidRDefault="00903B5C">
            <w:pPr>
              <w:pStyle w:val="TableParagraph"/>
              <w:spacing w:before="1"/>
              <w:ind w:left="115"/>
              <w:rPr>
                <w:b/>
                <w:sz w:val="20"/>
              </w:rPr>
            </w:pPr>
            <w:r>
              <w:rPr>
                <w:b/>
                <w:sz w:val="20"/>
              </w:rPr>
              <w:t>hmpdiet</w:t>
            </w:r>
          </w:p>
        </w:tc>
        <w:tc>
          <w:tcPr>
            <w:tcW w:w="1596" w:type="dxa"/>
          </w:tcPr>
          <w:p w14:paraId="0873F8FC" w14:textId="77777777" w:rsidR="0046798B" w:rsidRDefault="0046798B">
            <w:pPr>
              <w:pStyle w:val="TableParagraph"/>
              <w:spacing w:before="8"/>
              <w:rPr>
                <w:sz w:val="23"/>
              </w:rPr>
            </w:pPr>
          </w:p>
          <w:p w14:paraId="64237DB7" w14:textId="77777777" w:rsidR="0046798B" w:rsidRDefault="00903B5C">
            <w:pPr>
              <w:pStyle w:val="TableParagraph"/>
              <w:spacing w:before="1"/>
              <w:ind w:left="114"/>
              <w:rPr>
                <w:sz w:val="20"/>
              </w:rPr>
            </w:pPr>
            <w:r>
              <w:rPr>
                <w:sz w:val="20"/>
              </w:rPr>
              <w:t>Dieticians</w:t>
            </w:r>
          </w:p>
        </w:tc>
        <w:tc>
          <w:tcPr>
            <w:tcW w:w="1285" w:type="dxa"/>
          </w:tcPr>
          <w:p w14:paraId="409ABFB8" w14:textId="77777777" w:rsidR="0046798B" w:rsidRDefault="0046798B">
            <w:pPr>
              <w:pStyle w:val="TableParagraph"/>
              <w:spacing w:before="8"/>
              <w:rPr>
                <w:sz w:val="23"/>
              </w:rPr>
            </w:pPr>
          </w:p>
          <w:p w14:paraId="0BB9D621" w14:textId="77777777" w:rsidR="0046798B" w:rsidRDefault="00903B5C">
            <w:pPr>
              <w:pStyle w:val="TableParagraph"/>
              <w:spacing w:before="1"/>
              <w:ind w:left="114"/>
              <w:rPr>
                <w:sz w:val="20"/>
              </w:rPr>
            </w:pPr>
            <w:r>
              <w:rPr>
                <w:sz w:val="20"/>
              </w:rPr>
              <w:t>2006–2016</w:t>
            </w:r>
          </w:p>
        </w:tc>
        <w:tc>
          <w:tcPr>
            <w:tcW w:w="3421" w:type="dxa"/>
          </w:tcPr>
          <w:p w14:paraId="7358731F" w14:textId="77777777" w:rsidR="0046798B" w:rsidRDefault="00903B5C">
            <w:pPr>
              <w:pStyle w:val="TableParagraph"/>
              <w:spacing w:before="158"/>
              <w:ind w:left="114" w:right="239"/>
              <w:rPr>
                <w:sz w:val="20"/>
              </w:rPr>
            </w:pPr>
            <w:r>
              <w:rPr>
                <w:sz w:val="20"/>
              </w:rPr>
              <w:t>Health insurance mandated providers: dieticians (0 = no, 1 = yes)</w:t>
            </w:r>
          </w:p>
        </w:tc>
        <w:tc>
          <w:tcPr>
            <w:tcW w:w="6482" w:type="dxa"/>
          </w:tcPr>
          <w:p w14:paraId="234562E0" w14:textId="77777777" w:rsidR="0046798B" w:rsidRDefault="00903B5C">
            <w:pPr>
              <w:pStyle w:val="TableParagraph"/>
              <w:spacing w:before="43"/>
              <w:ind w:left="114"/>
              <w:rPr>
                <w:sz w:val="20"/>
              </w:rPr>
            </w:pPr>
            <w:r>
              <w:rPr>
                <w:sz w:val="20"/>
              </w:rPr>
              <w:t>Sorens, Jason, Fait Muedini, and William P. Ruger. “State and Local Public Policies in 2006: A New Database.” State Politics &amp; Policy Quarterly 8.3 (2008): 309–26.</w:t>
            </w:r>
          </w:p>
        </w:tc>
      </w:tr>
      <w:tr w:rsidR="0046798B" w14:paraId="4E90ABAC" w14:textId="77777777">
        <w:trPr>
          <w:trHeight w:val="780"/>
        </w:trPr>
        <w:tc>
          <w:tcPr>
            <w:tcW w:w="1711" w:type="dxa"/>
          </w:tcPr>
          <w:p w14:paraId="65017F2C" w14:textId="77777777" w:rsidR="0046798B" w:rsidRDefault="0046798B">
            <w:pPr>
              <w:pStyle w:val="TableParagraph"/>
              <w:spacing w:before="8"/>
              <w:rPr>
                <w:sz w:val="23"/>
              </w:rPr>
            </w:pPr>
          </w:p>
          <w:p w14:paraId="0578A1DD" w14:textId="77777777" w:rsidR="0046798B" w:rsidRDefault="00903B5C">
            <w:pPr>
              <w:pStyle w:val="TableParagraph"/>
              <w:spacing w:before="1"/>
              <w:ind w:left="115"/>
              <w:rPr>
                <w:b/>
                <w:sz w:val="20"/>
              </w:rPr>
            </w:pPr>
            <w:r>
              <w:rPr>
                <w:b/>
                <w:sz w:val="20"/>
              </w:rPr>
              <w:t>hmpmass</w:t>
            </w:r>
          </w:p>
        </w:tc>
        <w:tc>
          <w:tcPr>
            <w:tcW w:w="1596" w:type="dxa"/>
          </w:tcPr>
          <w:p w14:paraId="7FE65DD1" w14:textId="77777777" w:rsidR="0046798B" w:rsidRDefault="00903B5C">
            <w:pPr>
              <w:pStyle w:val="TableParagraph"/>
              <w:spacing w:before="158"/>
              <w:ind w:left="114" w:right="685"/>
              <w:rPr>
                <w:sz w:val="20"/>
              </w:rPr>
            </w:pPr>
            <w:r>
              <w:rPr>
                <w:sz w:val="20"/>
              </w:rPr>
              <w:t>Massage therapists</w:t>
            </w:r>
          </w:p>
        </w:tc>
        <w:tc>
          <w:tcPr>
            <w:tcW w:w="1285" w:type="dxa"/>
          </w:tcPr>
          <w:p w14:paraId="43AA2684" w14:textId="77777777" w:rsidR="0046798B" w:rsidRDefault="0046798B">
            <w:pPr>
              <w:pStyle w:val="TableParagraph"/>
              <w:spacing w:before="8"/>
              <w:rPr>
                <w:sz w:val="23"/>
              </w:rPr>
            </w:pPr>
          </w:p>
          <w:p w14:paraId="71947F13" w14:textId="77777777" w:rsidR="0046798B" w:rsidRDefault="00903B5C">
            <w:pPr>
              <w:pStyle w:val="TableParagraph"/>
              <w:spacing w:before="1"/>
              <w:ind w:left="114"/>
              <w:rPr>
                <w:sz w:val="20"/>
              </w:rPr>
            </w:pPr>
            <w:r>
              <w:rPr>
                <w:sz w:val="20"/>
              </w:rPr>
              <w:t>2006–2008</w:t>
            </w:r>
          </w:p>
        </w:tc>
        <w:tc>
          <w:tcPr>
            <w:tcW w:w="3421" w:type="dxa"/>
          </w:tcPr>
          <w:p w14:paraId="68DBF609" w14:textId="77777777" w:rsidR="0046798B" w:rsidRDefault="00903B5C">
            <w:pPr>
              <w:pStyle w:val="TableParagraph"/>
              <w:spacing w:before="158"/>
              <w:ind w:left="114" w:right="239"/>
              <w:rPr>
                <w:sz w:val="20"/>
              </w:rPr>
            </w:pPr>
            <w:r>
              <w:rPr>
                <w:sz w:val="20"/>
              </w:rPr>
              <w:t>Health insurance mandated providers: massage therapists (0 = no, 1 = yes)</w:t>
            </w:r>
          </w:p>
        </w:tc>
        <w:tc>
          <w:tcPr>
            <w:tcW w:w="6482" w:type="dxa"/>
          </w:tcPr>
          <w:p w14:paraId="597A941B" w14:textId="77777777" w:rsidR="0046798B" w:rsidRDefault="00903B5C">
            <w:pPr>
              <w:pStyle w:val="TableParagraph"/>
              <w:spacing w:before="43"/>
              <w:ind w:left="114" w:right="272"/>
              <w:rPr>
                <w:sz w:val="20"/>
              </w:rPr>
            </w:pPr>
            <w:r>
              <w:rPr>
                <w:sz w:val="20"/>
              </w:rPr>
              <w:t>Sorens, Jason, Fait Muedini, and William P. Ruger. “State and Local Public Policies in 2006: A New Database.” State Politics &amp; Policy Quarterly 8.3 (2008): 309–26.</w:t>
            </w:r>
          </w:p>
        </w:tc>
      </w:tr>
      <w:tr w:rsidR="0046798B" w14:paraId="344C4B91" w14:textId="77777777">
        <w:trPr>
          <w:trHeight w:val="775"/>
        </w:trPr>
        <w:tc>
          <w:tcPr>
            <w:tcW w:w="1711" w:type="dxa"/>
          </w:tcPr>
          <w:p w14:paraId="1F16B37D" w14:textId="77777777" w:rsidR="0046798B" w:rsidRDefault="0046798B">
            <w:pPr>
              <w:pStyle w:val="TableParagraph"/>
              <w:spacing w:before="4"/>
              <w:rPr>
                <w:sz w:val="23"/>
              </w:rPr>
            </w:pPr>
          </w:p>
          <w:p w14:paraId="44F07942" w14:textId="77777777" w:rsidR="0046798B" w:rsidRDefault="00903B5C">
            <w:pPr>
              <w:pStyle w:val="TableParagraph"/>
              <w:ind w:left="115"/>
              <w:rPr>
                <w:b/>
                <w:sz w:val="20"/>
              </w:rPr>
            </w:pPr>
            <w:r>
              <w:rPr>
                <w:b/>
                <w:sz w:val="20"/>
              </w:rPr>
              <w:t>hmpnat</w:t>
            </w:r>
          </w:p>
        </w:tc>
        <w:tc>
          <w:tcPr>
            <w:tcW w:w="1596" w:type="dxa"/>
          </w:tcPr>
          <w:p w14:paraId="5868B151" w14:textId="77777777" w:rsidR="0046798B" w:rsidRDefault="0046798B">
            <w:pPr>
              <w:pStyle w:val="TableParagraph"/>
              <w:spacing w:before="4"/>
              <w:rPr>
                <w:sz w:val="23"/>
              </w:rPr>
            </w:pPr>
          </w:p>
          <w:p w14:paraId="4367502F" w14:textId="77777777" w:rsidR="0046798B" w:rsidRDefault="00903B5C">
            <w:pPr>
              <w:pStyle w:val="TableParagraph"/>
              <w:ind w:left="114"/>
              <w:rPr>
                <w:sz w:val="20"/>
              </w:rPr>
            </w:pPr>
            <w:r>
              <w:rPr>
                <w:sz w:val="20"/>
              </w:rPr>
              <w:t>Naturopaths</w:t>
            </w:r>
          </w:p>
        </w:tc>
        <w:tc>
          <w:tcPr>
            <w:tcW w:w="1285" w:type="dxa"/>
          </w:tcPr>
          <w:p w14:paraId="6D7BFA28" w14:textId="77777777" w:rsidR="0046798B" w:rsidRDefault="0046798B">
            <w:pPr>
              <w:pStyle w:val="TableParagraph"/>
              <w:spacing w:before="4"/>
              <w:rPr>
                <w:sz w:val="23"/>
              </w:rPr>
            </w:pPr>
          </w:p>
          <w:p w14:paraId="4838BDA0" w14:textId="77777777" w:rsidR="0046798B" w:rsidRDefault="00903B5C">
            <w:pPr>
              <w:pStyle w:val="TableParagraph"/>
              <w:ind w:left="114"/>
              <w:rPr>
                <w:sz w:val="20"/>
              </w:rPr>
            </w:pPr>
            <w:r>
              <w:rPr>
                <w:sz w:val="20"/>
              </w:rPr>
              <w:t>2006–2008</w:t>
            </w:r>
          </w:p>
        </w:tc>
        <w:tc>
          <w:tcPr>
            <w:tcW w:w="3421" w:type="dxa"/>
          </w:tcPr>
          <w:p w14:paraId="43CF8EF2" w14:textId="77777777" w:rsidR="0046798B" w:rsidRDefault="00903B5C">
            <w:pPr>
              <w:pStyle w:val="TableParagraph"/>
              <w:spacing w:before="153"/>
              <w:ind w:left="114" w:right="239"/>
              <w:rPr>
                <w:sz w:val="20"/>
              </w:rPr>
            </w:pPr>
            <w:r>
              <w:rPr>
                <w:sz w:val="20"/>
              </w:rPr>
              <w:t>Health insurance mandated providers: naturopaths (0 = no, 1 = yes)</w:t>
            </w:r>
          </w:p>
        </w:tc>
        <w:tc>
          <w:tcPr>
            <w:tcW w:w="6482" w:type="dxa"/>
          </w:tcPr>
          <w:p w14:paraId="0CABC25E"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r w:rsidR="0046798B" w14:paraId="5BE00741" w14:textId="77777777">
        <w:trPr>
          <w:trHeight w:val="775"/>
        </w:trPr>
        <w:tc>
          <w:tcPr>
            <w:tcW w:w="1711" w:type="dxa"/>
          </w:tcPr>
          <w:p w14:paraId="6DFBD516" w14:textId="77777777" w:rsidR="0046798B" w:rsidRDefault="0046798B">
            <w:pPr>
              <w:pStyle w:val="TableParagraph"/>
              <w:spacing w:before="3"/>
              <w:rPr>
                <w:sz w:val="23"/>
              </w:rPr>
            </w:pPr>
          </w:p>
          <w:p w14:paraId="712A9DE8" w14:textId="77777777" w:rsidR="0046798B" w:rsidRDefault="00903B5C">
            <w:pPr>
              <w:pStyle w:val="TableParagraph"/>
              <w:ind w:left="115"/>
              <w:rPr>
                <w:b/>
                <w:sz w:val="20"/>
              </w:rPr>
            </w:pPr>
            <w:r>
              <w:rPr>
                <w:b/>
                <w:sz w:val="20"/>
              </w:rPr>
              <w:t>hmpnur</w:t>
            </w:r>
          </w:p>
        </w:tc>
        <w:tc>
          <w:tcPr>
            <w:tcW w:w="1596" w:type="dxa"/>
          </w:tcPr>
          <w:p w14:paraId="0AF8C34C" w14:textId="77777777" w:rsidR="0046798B" w:rsidRDefault="0046798B">
            <w:pPr>
              <w:pStyle w:val="TableParagraph"/>
              <w:spacing w:before="3"/>
              <w:rPr>
                <w:sz w:val="23"/>
              </w:rPr>
            </w:pPr>
          </w:p>
          <w:p w14:paraId="0468F163" w14:textId="77777777" w:rsidR="0046798B" w:rsidRDefault="00903B5C">
            <w:pPr>
              <w:pStyle w:val="TableParagraph"/>
              <w:ind w:left="114"/>
              <w:rPr>
                <w:sz w:val="20"/>
              </w:rPr>
            </w:pPr>
            <w:r>
              <w:rPr>
                <w:sz w:val="20"/>
              </w:rPr>
              <w:t>Nurses</w:t>
            </w:r>
          </w:p>
        </w:tc>
        <w:tc>
          <w:tcPr>
            <w:tcW w:w="1285" w:type="dxa"/>
          </w:tcPr>
          <w:p w14:paraId="49010DF9" w14:textId="77777777" w:rsidR="0046798B" w:rsidRDefault="0046798B">
            <w:pPr>
              <w:pStyle w:val="TableParagraph"/>
              <w:spacing w:before="3"/>
              <w:rPr>
                <w:sz w:val="23"/>
              </w:rPr>
            </w:pPr>
          </w:p>
          <w:p w14:paraId="4881ED56" w14:textId="77777777" w:rsidR="0046798B" w:rsidRDefault="00903B5C">
            <w:pPr>
              <w:pStyle w:val="TableParagraph"/>
              <w:ind w:left="114"/>
              <w:rPr>
                <w:sz w:val="20"/>
              </w:rPr>
            </w:pPr>
            <w:r>
              <w:rPr>
                <w:sz w:val="20"/>
              </w:rPr>
              <w:t>2006–2008</w:t>
            </w:r>
          </w:p>
        </w:tc>
        <w:tc>
          <w:tcPr>
            <w:tcW w:w="3421" w:type="dxa"/>
          </w:tcPr>
          <w:p w14:paraId="3B7ADAF4" w14:textId="77777777" w:rsidR="0046798B" w:rsidRDefault="00903B5C">
            <w:pPr>
              <w:pStyle w:val="TableParagraph"/>
              <w:spacing w:before="153"/>
              <w:ind w:left="114" w:right="239"/>
              <w:rPr>
                <w:sz w:val="20"/>
              </w:rPr>
            </w:pPr>
            <w:r>
              <w:rPr>
                <w:sz w:val="20"/>
              </w:rPr>
              <w:t>Health insurance mandated providers: nurses (0 = no, 1 = yes)</w:t>
            </w:r>
          </w:p>
        </w:tc>
        <w:tc>
          <w:tcPr>
            <w:tcW w:w="6482" w:type="dxa"/>
          </w:tcPr>
          <w:p w14:paraId="732E8CE4"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r w:rsidR="0046798B" w14:paraId="0653B49C" w14:textId="77777777">
        <w:trPr>
          <w:trHeight w:val="775"/>
        </w:trPr>
        <w:tc>
          <w:tcPr>
            <w:tcW w:w="1711" w:type="dxa"/>
          </w:tcPr>
          <w:p w14:paraId="3C832F57" w14:textId="77777777" w:rsidR="0046798B" w:rsidRDefault="0046798B">
            <w:pPr>
              <w:pStyle w:val="TableParagraph"/>
              <w:spacing w:before="3"/>
              <w:rPr>
                <w:sz w:val="23"/>
              </w:rPr>
            </w:pPr>
          </w:p>
          <w:p w14:paraId="0FBBF792" w14:textId="77777777" w:rsidR="0046798B" w:rsidRDefault="00903B5C">
            <w:pPr>
              <w:pStyle w:val="TableParagraph"/>
              <w:spacing w:before="1"/>
              <w:ind w:left="115"/>
              <w:rPr>
                <w:b/>
                <w:sz w:val="20"/>
              </w:rPr>
            </w:pPr>
            <w:r>
              <w:rPr>
                <w:b/>
                <w:sz w:val="20"/>
              </w:rPr>
              <w:t>hmpopti</w:t>
            </w:r>
          </w:p>
        </w:tc>
        <w:tc>
          <w:tcPr>
            <w:tcW w:w="1596" w:type="dxa"/>
          </w:tcPr>
          <w:p w14:paraId="39156326" w14:textId="77777777" w:rsidR="0046798B" w:rsidRDefault="0046798B">
            <w:pPr>
              <w:pStyle w:val="TableParagraph"/>
              <w:spacing w:before="3"/>
              <w:rPr>
                <w:sz w:val="23"/>
              </w:rPr>
            </w:pPr>
          </w:p>
          <w:p w14:paraId="04896ABF" w14:textId="77777777" w:rsidR="0046798B" w:rsidRDefault="00903B5C">
            <w:pPr>
              <w:pStyle w:val="TableParagraph"/>
              <w:spacing w:before="1"/>
              <w:ind w:left="114"/>
              <w:rPr>
                <w:sz w:val="20"/>
              </w:rPr>
            </w:pPr>
            <w:r>
              <w:rPr>
                <w:sz w:val="20"/>
              </w:rPr>
              <w:t>Opticians</w:t>
            </w:r>
          </w:p>
        </w:tc>
        <w:tc>
          <w:tcPr>
            <w:tcW w:w="1285" w:type="dxa"/>
          </w:tcPr>
          <w:p w14:paraId="26D0CEDF" w14:textId="77777777" w:rsidR="0046798B" w:rsidRDefault="0046798B">
            <w:pPr>
              <w:pStyle w:val="TableParagraph"/>
              <w:spacing w:before="3"/>
              <w:rPr>
                <w:sz w:val="23"/>
              </w:rPr>
            </w:pPr>
          </w:p>
          <w:p w14:paraId="339CFE4E" w14:textId="77777777" w:rsidR="0046798B" w:rsidRDefault="00903B5C">
            <w:pPr>
              <w:pStyle w:val="TableParagraph"/>
              <w:spacing w:before="1"/>
              <w:ind w:left="114"/>
              <w:rPr>
                <w:sz w:val="20"/>
              </w:rPr>
            </w:pPr>
            <w:r>
              <w:rPr>
                <w:sz w:val="20"/>
              </w:rPr>
              <w:t>2000–2016</w:t>
            </w:r>
          </w:p>
        </w:tc>
        <w:tc>
          <w:tcPr>
            <w:tcW w:w="3421" w:type="dxa"/>
          </w:tcPr>
          <w:p w14:paraId="28D4C024" w14:textId="77777777" w:rsidR="0046798B" w:rsidRDefault="00903B5C">
            <w:pPr>
              <w:pStyle w:val="TableParagraph"/>
              <w:spacing w:before="153"/>
              <w:ind w:left="114" w:right="239"/>
              <w:rPr>
                <w:sz w:val="20"/>
              </w:rPr>
            </w:pPr>
            <w:r>
              <w:rPr>
                <w:sz w:val="20"/>
              </w:rPr>
              <w:t>Health insurance mandated providers: opticians (0 = no, 1 = yes)</w:t>
            </w:r>
          </w:p>
        </w:tc>
        <w:tc>
          <w:tcPr>
            <w:tcW w:w="6482" w:type="dxa"/>
          </w:tcPr>
          <w:p w14:paraId="04DBFBB3"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bl>
    <w:p w14:paraId="54446916" w14:textId="77777777" w:rsidR="0046798B" w:rsidRDefault="0046798B">
      <w:pPr>
        <w:rPr>
          <w:sz w:val="20"/>
        </w:rPr>
        <w:sectPr w:rsidR="0046798B">
          <w:pgSz w:w="15840" w:h="12240" w:orient="landscape"/>
          <w:pgMar w:top="1220" w:right="300" w:bottom="980" w:left="820" w:header="730" w:footer="787" w:gutter="0"/>
          <w:cols w:space="720"/>
        </w:sectPr>
      </w:pPr>
    </w:p>
    <w:p w14:paraId="5F805578"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2AA4998F" w14:textId="77777777">
        <w:trPr>
          <w:trHeight w:val="775"/>
        </w:trPr>
        <w:tc>
          <w:tcPr>
            <w:tcW w:w="1711" w:type="dxa"/>
          </w:tcPr>
          <w:p w14:paraId="595BCCAF" w14:textId="77777777" w:rsidR="0046798B" w:rsidRDefault="0046798B">
            <w:pPr>
              <w:pStyle w:val="TableParagraph"/>
              <w:spacing w:before="9"/>
              <w:rPr>
                <w:sz w:val="23"/>
              </w:rPr>
            </w:pPr>
          </w:p>
          <w:p w14:paraId="31C84B96" w14:textId="77777777" w:rsidR="0046798B" w:rsidRDefault="00903B5C">
            <w:pPr>
              <w:pStyle w:val="TableParagraph"/>
              <w:ind w:left="115"/>
              <w:rPr>
                <w:b/>
                <w:sz w:val="20"/>
              </w:rPr>
            </w:pPr>
            <w:r>
              <w:rPr>
                <w:b/>
                <w:sz w:val="20"/>
              </w:rPr>
              <w:t>hmpopto</w:t>
            </w:r>
          </w:p>
        </w:tc>
        <w:tc>
          <w:tcPr>
            <w:tcW w:w="1596" w:type="dxa"/>
          </w:tcPr>
          <w:p w14:paraId="6C08968D" w14:textId="77777777" w:rsidR="0046798B" w:rsidRDefault="0046798B">
            <w:pPr>
              <w:pStyle w:val="TableParagraph"/>
              <w:spacing w:before="9"/>
              <w:rPr>
                <w:sz w:val="23"/>
              </w:rPr>
            </w:pPr>
          </w:p>
          <w:p w14:paraId="20848FFE" w14:textId="77777777" w:rsidR="0046798B" w:rsidRDefault="00903B5C">
            <w:pPr>
              <w:pStyle w:val="TableParagraph"/>
              <w:ind w:left="114"/>
              <w:rPr>
                <w:sz w:val="20"/>
              </w:rPr>
            </w:pPr>
            <w:r>
              <w:rPr>
                <w:sz w:val="20"/>
              </w:rPr>
              <w:t>Optometrists</w:t>
            </w:r>
          </w:p>
        </w:tc>
        <w:tc>
          <w:tcPr>
            <w:tcW w:w="1285" w:type="dxa"/>
          </w:tcPr>
          <w:p w14:paraId="1894C4FD" w14:textId="77777777" w:rsidR="0046798B" w:rsidRDefault="0046798B">
            <w:pPr>
              <w:pStyle w:val="TableParagraph"/>
              <w:spacing w:before="9"/>
              <w:rPr>
                <w:sz w:val="23"/>
              </w:rPr>
            </w:pPr>
          </w:p>
          <w:p w14:paraId="1E55DCDA" w14:textId="77777777" w:rsidR="0046798B" w:rsidRDefault="00903B5C">
            <w:pPr>
              <w:pStyle w:val="TableParagraph"/>
              <w:ind w:left="114"/>
              <w:rPr>
                <w:sz w:val="20"/>
              </w:rPr>
            </w:pPr>
            <w:r>
              <w:rPr>
                <w:sz w:val="20"/>
              </w:rPr>
              <w:t>2006–2016</w:t>
            </w:r>
          </w:p>
        </w:tc>
        <w:tc>
          <w:tcPr>
            <w:tcW w:w="3421" w:type="dxa"/>
          </w:tcPr>
          <w:p w14:paraId="5F0660D9" w14:textId="77777777" w:rsidR="0046798B" w:rsidRDefault="00903B5C">
            <w:pPr>
              <w:pStyle w:val="TableParagraph"/>
              <w:spacing w:before="158"/>
              <w:ind w:left="114" w:right="239"/>
              <w:rPr>
                <w:sz w:val="20"/>
              </w:rPr>
            </w:pPr>
            <w:r>
              <w:rPr>
                <w:sz w:val="20"/>
              </w:rPr>
              <w:t>Health insurance mandated providers: optometrists (0 = no, 1 = yes)</w:t>
            </w:r>
          </w:p>
        </w:tc>
        <w:tc>
          <w:tcPr>
            <w:tcW w:w="6482" w:type="dxa"/>
          </w:tcPr>
          <w:p w14:paraId="12BE53E1" w14:textId="77777777" w:rsidR="0046798B" w:rsidRDefault="00903B5C">
            <w:pPr>
              <w:pStyle w:val="TableParagraph"/>
              <w:spacing w:before="43"/>
              <w:ind w:left="114" w:right="272"/>
              <w:rPr>
                <w:sz w:val="20"/>
              </w:rPr>
            </w:pPr>
            <w:r>
              <w:rPr>
                <w:sz w:val="20"/>
              </w:rPr>
              <w:t>Sorens, Jason, Fait Muedini, and William P. Ruger. “State and Local Public Policies in 2006: A New Database.” State Politics &amp; Policy Quarterly 8.3 (2008): 309–26.</w:t>
            </w:r>
          </w:p>
        </w:tc>
      </w:tr>
      <w:tr w:rsidR="0046798B" w14:paraId="221167DD" w14:textId="77777777">
        <w:trPr>
          <w:trHeight w:val="775"/>
        </w:trPr>
        <w:tc>
          <w:tcPr>
            <w:tcW w:w="1711" w:type="dxa"/>
          </w:tcPr>
          <w:p w14:paraId="07A3CCFB" w14:textId="77777777" w:rsidR="0046798B" w:rsidRDefault="0046798B">
            <w:pPr>
              <w:pStyle w:val="TableParagraph"/>
              <w:spacing w:before="8"/>
              <w:rPr>
                <w:sz w:val="23"/>
              </w:rPr>
            </w:pPr>
          </w:p>
          <w:p w14:paraId="31FB7E58" w14:textId="77777777" w:rsidR="0046798B" w:rsidRDefault="00903B5C">
            <w:pPr>
              <w:pStyle w:val="TableParagraph"/>
              <w:spacing w:before="1"/>
              <w:ind w:left="115"/>
              <w:rPr>
                <w:b/>
                <w:sz w:val="20"/>
              </w:rPr>
            </w:pPr>
            <w:r>
              <w:rPr>
                <w:b/>
                <w:sz w:val="20"/>
              </w:rPr>
              <w:t>hmpost</w:t>
            </w:r>
          </w:p>
        </w:tc>
        <w:tc>
          <w:tcPr>
            <w:tcW w:w="1596" w:type="dxa"/>
          </w:tcPr>
          <w:p w14:paraId="182AC28C" w14:textId="77777777" w:rsidR="0046798B" w:rsidRDefault="0046798B">
            <w:pPr>
              <w:pStyle w:val="TableParagraph"/>
              <w:spacing w:before="8"/>
              <w:rPr>
                <w:sz w:val="23"/>
              </w:rPr>
            </w:pPr>
          </w:p>
          <w:p w14:paraId="3B7640C3" w14:textId="77777777" w:rsidR="0046798B" w:rsidRDefault="00903B5C">
            <w:pPr>
              <w:pStyle w:val="TableParagraph"/>
              <w:spacing w:before="1"/>
              <w:ind w:left="114"/>
              <w:rPr>
                <w:sz w:val="20"/>
              </w:rPr>
            </w:pPr>
            <w:r>
              <w:rPr>
                <w:sz w:val="20"/>
              </w:rPr>
              <w:t>Osteopaths</w:t>
            </w:r>
          </w:p>
        </w:tc>
        <w:tc>
          <w:tcPr>
            <w:tcW w:w="1285" w:type="dxa"/>
          </w:tcPr>
          <w:p w14:paraId="429F52C1" w14:textId="77777777" w:rsidR="0046798B" w:rsidRDefault="0046798B">
            <w:pPr>
              <w:pStyle w:val="TableParagraph"/>
              <w:spacing w:before="8"/>
              <w:rPr>
                <w:sz w:val="23"/>
              </w:rPr>
            </w:pPr>
          </w:p>
          <w:p w14:paraId="75368EC0" w14:textId="77777777" w:rsidR="0046798B" w:rsidRDefault="00903B5C">
            <w:pPr>
              <w:pStyle w:val="TableParagraph"/>
              <w:spacing w:before="1"/>
              <w:ind w:left="114"/>
              <w:rPr>
                <w:sz w:val="20"/>
              </w:rPr>
            </w:pPr>
            <w:r>
              <w:rPr>
                <w:sz w:val="20"/>
              </w:rPr>
              <w:t>2006–2016</w:t>
            </w:r>
          </w:p>
        </w:tc>
        <w:tc>
          <w:tcPr>
            <w:tcW w:w="3421" w:type="dxa"/>
          </w:tcPr>
          <w:p w14:paraId="490F5762" w14:textId="77777777" w:rsidR="0046798B" w:rsidRDefault="00903B5C">
            <w:pPr>
              <w:pStyle w:val="TableParagraph"/>
              <w:spacing w:before="158"/>
              <w:ind w:left="114" w:right="239"/>
              <w:rPr>
                <w:sz w:val="20"/>
              </w:rPr>
            </w:pPr>
            <w:r>
              <w:rPr>
                <w:sz w:val="20"/>
              </w:rPr>
              <w:t>Health insurance mandated providers: osteopaths (0 = no, 1 = yes)</w:t>
            </w:r>
          </w:p>
        </w:tc>
        <w:tc>
          <w:tcPr>
            <w:tcW w:w="6482" w:type="dxa"/>
          </w:tcPr>
          <w:p w14:paraId="6C981959" w14:textId="77777777" w:rsidR="0046798B" w:rsidRDefault="00903B5C">
            <w:pPr>
              <w:pStyle w:val="TableParagraph"/>
              <w:spacing w:before="43"/>
              <w:ind w:left="114" w:right="272"/>
              <w:rPr>
                <w:sz w:val="20"/>
              </w:rPr>
            </w:pPr>
            <w:r>
              <w:rPr>
                <w:sz w:val="20"/>
              </w:rPr>
              <w:t>Sorens, Jason, Fait Muedini, and William P. Ruger. “State and Local Public Policies in 2006: A New Database.” State Politics &amp; Policy Quarterly 8.3 (2008): 309–26.</w:t>
            </w:r>
          </w:p>
        </w:tc>
      </w:tr>
      <w:tr w:rsidR="0046798B" w14:paraId="42C3D6DF" w14:textId="77777777">
        <w:trPr>
          <w:trHeight w:val="780"/>
        </w:trPr>
        <w:tc>
          <w:tcPr>
            <w:tcW w:w="1711" w:type="dxa"/>
          </w:tcPr>
          <w:p w14:paraId="10CA5EEE" w14:textId="77777777" w:rsidR="0046798B" w:rsidRDefault="0046798B">
            <w:pPr>
              <w:pStyle w:val="TableParagraph"/>
              <w:spacing w:before="9"/>
              <w:rPr>
                <w:sz w:val="23"/>
              </w:rPr>
            </w:pPr>
          </w:p>
          <w:p w14:paraId="3EA89B8A" w14:textId="77777777" w:rsidR="0046798B" w:rsidRDefault="00903B5C">
            <w:pPr>
              <w:pStyle w:val="TableParagraph"/>
              <w:ind w:left="115"/>
              <w:rPr>
                <w:b/>
                <w:sz w:val="20"/>
              </w:rPr>
            </w:pPr>
            <w:r>
              <w:rPr>
                <w:b/>
                <w:sz w:val="20"/>
              </w:rPr>
              <w:t>hmpphar</w:t>
            </w:r>
          </w:p>
        </w:tc>
        <w:tc>
          <w:tcPr>
            <w:tcW w:w="1596" w:type="dxa"/>
          </w:tcPr>
          <w:p w14:paraId="6563D71F" w14:textId="77777777" w:rsidR="0046798B" w:rsidRDefault="0046798B">
            <w:pPr>
              <w:pStyle w:val="TableParagraph"/>
              <w:spacing w:before="9"/>
              <w:rPr>
                <w:sz w:val="23"/>
              </w:rPr>
            </w:pPr>
          </w:p>
          <w:p w14:paraId="42409FDF" w14:textId="77777777" w:rsidR="0046798B" w:rsidRDefault="00903B5C">
            <w:pPr>
              <w:pStyle w:val="TableParagraph"/>
              <w:ind w:left="114"/>
              <w:rPr>
                <w:sz w:val="20"/>
              </w:rPr>
            </w:pPr>
            <w:r>
              <w:rPr>
                <w:sz w:val="20"/>
              </w:rPr>
              <w:t>Pharmacists</w:t>
            </w:r>
          </w:p>
        </w:tc>
        <w:tc>
          <w:tcPr>
            <w:tcW w:w="1285" w:type="dxa"/>
          </w:tcPr>
          <w:p w14:paraId="4441FF29" w14:textId="77777777" w:rsidR="0046798B" w:rsidRDefault="0046798B">
            <w:pPr>
              <w:pStyle w:val="TableParagraph"/>
              <w:spacing w:before="9"/>
              <w:rPr>
                <w:sz w:val="23"/>
              </w:rPr>
            </w:pPr>
          </w:p>
          <w:p w14:paraId="32E696DF" w14:textId="77777777" w:rsidR="0046798B" w:rsidRDefault="00903B5C">
            <w:pPr>
              <w:pStyle w:val="TableParagraph"/>
              <w:ind w:left="114"/>
              <w:rPr>
                <w:sz w:val="20"/>
              </w:rPr>
            </w:pPr>
            <w:r>
              <w:rPr>
                <w:sz w:val="20"/>
              </w:rPr>
              <w:t>2006–2016</w:t>
            </w:r>
          </w:p>
        </w:tc>
        <w:tc>
          <w:tcPr>
            <w:tcW w:w="3421" w:type="dxa"/>
          </w:tcPr>
          <w:p w14:paraId="5336ADB8" w14:textId="77777777" w:rsidR="0046798B" w:rsidRDefault="00903B5C">
            <w:pPr>
              <w:pStyle w:val="TableParagraph"/>
              <w:spacing w:before="159"/>
              <w:ind w:left="114" w:right="239"/>
              <w:rPr>
                <w:sz w:val="20"/>
              </w:rPr>
            </w:pPr>
            <w:r>
              <w:rPr>
                <w:sz w:val="20"/>
              </w:rPr>
              <w:t>Health insurance mandated providers: pharmacists (0 = no, 1 = yes)</w:t>
            </w:r>
          </w:p>
        </w:tc>
        <w:tc>
          <w:tcPr>
            <w:tcW w:w="6482" w:type="dxa"/>
          </w:tcPr>
          <w:p w14:paraId="73B35B56" w14:textId="77777777" w:rsidR="0046798B" w:rsidRDefault="00903B5C">
            <w:pPr>
              <w:pStyle w:val="TableParagraph"/>
              <w:spacing w:before="44"/>
              <w:ind w:left="114"/>
              <w:rPr>
                <w:sz w:val="20"/>
              </w:rPr>
            </w:pPr>
            <w:r>
              <w:rPr>
                <w:sz w:val="20"/>
              </w:rPr>
              <w:t>Sorens, Jason, Fait Muedini, and William P. Ruger. “State and Local Public Policies in 2006: A New Database.” State Politics &amp; Policy Quarterly 8.3 (2008): 309–26.</w:t>
            </w:r>
          </w:p>
        </w:tc>
      </w:tr>
      <w:tr w:rsidR="0046798B" w14:paraId="44B5DD7F" w14:textId="77777777">
        <w:trPr>
          <w:trHeight w:val="775"/>
        </w:trPr>
        <w:tc>
          <w:tcPr>
            <w:tcW w:w="1711" w:type="dxa"/>
          </w:tcPr>
          <w:p w14:paraId="6E1700C0" w14:textId="77777777" w:rsidR="0046798B" w:rsidRDefault="0046798B">
            <w:pPr>
              <w:pStyle w:val="TableParagraph"/>
              <w:spacing w:before="3"/>
              <w:rPr>
                <w:sz w:val="23"/>
              </w:rPr>
            </w:pPr>
          </w:p>
          <w:p w14:paraId="0384BA7E" w14:textId="77777777" w:rsidR="0046798B" w:rsidRDefault="00903B5C">
            <w:pPr>
              <w:pStyle w:val="TableParagraph"/>
              <w:spacing w:before="1"/>
              <w:ind w:left="115"/>
              <w:rPr>
                <w:b/>
                <w:sz w:val="20"/>
              </w:rPr>
            </w:pPr>
            <w:r>
              <w:rPr>
                <w:b/>
                <w:sz w:val="20"/>
              </w:rPr>
              <w:t>hmppod</w:t>
            </w:r>
          </w:p>
        </w:tc>
        <w:tc>
          <w:tcPr>
            <w:tcW w:w="1596" w:type="dxa"/>
          </w:tcPr>
          <w:p w14:paraId="15F32741" w14:textId="77777777" w:rsidR="0046798B" w:rsidRDefault="0046798B">
            <w:pPr>
              <w:pStyle w:val="TableParagraph"/>
              <w:spacing w:before="3"/>
              <w:rPr>
                <w:sz w:val="23"/>
              </w:rPr>
            </w:pPr>
          </w:p>
          <w:p w14:paraId="2C3593EC" w14:textId="77777777" w:rsidR="0046798B" w:rsidRDefault="00903B5C">
            <w:pPr>
              <w:pStyle w:val="TableParagraph"/>
              <w:spacing w:before="1"/>
              <w:ind w:left="114"/>
              <w:rPr>
                <w:sz w:val="20"/>
              </w:rPr>
            </w:pPr>
            <w:r>
              <w:rPr>
                <w:sz w:val="20"/>
              </w:rPr>
              <w:t>Podiatrists</w:t>
            </w:r>
          </w:p>
        </w:tc>
        <w:tc>
          <w:tcPr>
            <w:tcW w:w="1285" w:type="dxa"/>
          </w:tcPr>
          <w:p w14:paraId="1E789E20" w14:textId="77777777" w:rsidR="0046798B" w:rsidRDefault="0046798B">
            <w:pPr>
              <w:pStyle w:val="TableParagraph"/>
              <w:spacing w:before="3"/>
              <w:rPr>
                <w:sz w:val="23"/>
              </w:rPr>
            </w:pPr>
          </w:p>
          <w:p w14:paraId="1456FFDA" w14:textId="77777777" w:rsidR="0046798B" w:rsidRDefault="00903B5C">
            <w:pPr>
              <w:pStyle w:val="TableParagraph"/>
              <w:spacing w:before="1"/>
              <w:ind w:left="114"/>
              <w:rPr>
                <w:sz w:val="20"/>
              </w:rPr>
            </w:pPr>
            <w:r>
              <w:rPr>
                <w:sz w:val="20"/>
              </w:rPr>
              <w:t>2006–2016</w:t>
            </w:r>
          </w:p>
        </w:tc>
        <w:tc>
          <w:tcPr>
            <w:tcW w:w="3421" w:type="dxa"/>
          </w:tcPr>
          <w:p w14:paraId="68A219F2" w14:textId="77777777" w:rsidR="0046798B" w:rsidRDefault="00903B5C">
            <w:pPr>
              <w:pStyle w:val="TableParagraph"/>
              <w:spacing w:before="153"/>
              <w:ind w:left="114" w:right="239"/>
              <w:rPr>
                <w:sz w:val="20"/>
              </w:rPr>
            </w:pPr>
            <w:r>
              <w:rPr>
                <w:sz w:val="20"/>
              </w:rPr>
              <w:t>Health insurance mandated providers: podiatrists (0 = no, 1 = yes)</w:t>
            </w:r>
          </w:p>
        </w:tc>
        <w:tc>
          <w:tcPr>
            <w:tcW w:w="6482" w:type="dxa"/>
          </w:tcPr>
          <w:p w14:paraId="2DCA4B42"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r w:rsidR="0046798B" w14:paraId="3EEE0015" w14:textId="77777777">
        <w:trPr>
          <w:trHeight w:val="775"/>
        </w:trPr>
        <w:tc>
          <w:tcPr>
            <w:tcW w:w="1711" w:type="dxa"/>
          </w:tcPr>
          <w:p w14:paraId="0FFF25A9" w14:textId="77777777" w:rsidR="0046798B" w:rsidRDefault="0046798B">
            <w:pPr>
              <w:pStyle w:val="TableParagraph"/>
              <w:spacing w:before="3"/>
              <w:rPr>
                <w:sz w:val="23"/>
              </w:rPr>
            </w:pPr>
          </w:p>
          <w:p w14:paraId="4A5473AD" w14:textId="77777777" w:rsidR="0046798B" w:rsidRDefault="00903B5C">
            <w:pPr>
              <w:pStyle w:val="TableParagraph"/>
              <w:spacing w:before="1"/>
              <w:ind w:left="115"/>
              <w:rPr>
                <w:b/>
                <w:sz w:val="20"/>
              </w:rPr>
            </w:pPr>
            <w:r>
              <w:rPr>
                <w:b/>
                <w:sz w:val="20"/>
              </w:rPr>
              <w:t>hmppsych</w:t>
            </w:r>
          </w:p>
        </w:tc>
        <w:tc>
          <w:tcPr>
            <w:tcW w:w="1596" w:type="dxa"/>
          </w:tcPr>
          <w:p w14:paraId="24E67EEE" w14:textId="77777777" w:rsidR="0046798B" w:rsidRDefault="0046798B">
            <w:pPr>
              <w:pStyle w:val="TableParagraph"/>
              <w:spacing w:before="3"/>
              <w:rPr>
                <w:sz w:val="23"/>
              </w:rPr>
            </w:pPr>
          </w:p>
          <w:p w14:paraId="39A02416" w14:textId="77777777" w:rsidR="0046798B" w:rsidRDefault="00903B5C">
            <w:pPr>
              <w:pStyle w:val="TableParagraph"/>
              <w:spacing w:before="1"/>
              <w:ind w:left="114"/>
              <w:rPr>
                <w:sz w:val="20"/>
              </w:rPr>
            </w:pPr>
            <w:r>
              <w:rPr>
                <w:sz w:val="20"/>
              </w:rPr>
              <w:t>Psychologists</w:t>
            </w:r>
          </w:p>
        </w:tc>
        <w:tc>
          <w:tcPr>
            <w:tcW w:w="1285" w:type="dxa"/>
          </w:tcPr>
          <w:p w14:paraId="4F953F9A" w14:textId="77777777" w:rsidR="0046798B" w:rsidRDefault="0046798B">
            <w:pPr>
              <w:pStyle w:val="TableParagraph"/>
              <w:spacing w:before="3"/>
              <w:rPr>
                <w:sz w:val="23"/>
              </w:rPr>
            </w:pPr>
          </w:p>
          <w:p w14:paraId="2BB5C818" w14:textId="77777777" w:rsidR="0046798B" w:rsidRDefault="00903B5C">
            <w:pPr>
              <w:pStyle w:val="TableParagraph"/>
              <w:spacing w:before="1"/>
              <w:ind w:left="114"/>
              <w:rPr>
                <w:sz w:val="20"/>
              </w:rPr>
            </w:pPr>
            <w:r>
              <w:rPr>
                <w:sz w:val="20"/>
              </w:rPr>
              <w:t>2006–2016</w:t>
            </w:r>
          </w:p>
        </w:tc>
        <w:tc>
          <w:tcPr>
            <w:tcW w:w="3421" w:type="dxa"/>
          </w:tcPr>
          <w:p w14:paraId="77CA0FB1" w14:textId="77777777" w:rsidR="0046798B" w:rsidRDefault="00903B5C">
            <w:pPr>
              <w:pStyle w:val="TableParagraph"/>
              <w:spacing w:before="153"/>
              <w:ind w:left="114" w:right="239"/>
              <w:rPr>
                <w:sz w:val="20"/>
              </w:rPr>
            </w:pPr>
            <w:r>
              <w:rPr>
                <w:sz w:val="20"/>
              </w:rPr>
              <w:t>Health insurance mandated providers: psychologists (0 = no, 1 = yes)</w:t>
            </w:r>
          </w:p>
        </w:tc>
        <w:tc>
          <w:tcPr>
            <w:tcW w:w="6482" w:type="dxa"/>
          </w:tcPr>
          <w:p w14:paraId="1DC8E460"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r w:rsidR="0046798B" w14:paraId="24641BF3" w14:textId="77777777">
        <w:trPr>
          <w:trHeight w:val="1465"/>
        </w:trPr>
        <w:tc>
          <w:tcPr>
            <w:tcW w:w="1711" w:type="dxa"/>
          </w:tcPr>
          <w:p w14:paraId="4B85EADD" w14:textId="77777777" w:rsidR="0046798B" w:rsidRDefault="0046798B">
            <w:pPr>
              <w:pStyle w:val="TableParagraph"/>
            </w:pPr>
          </w:p>
          <w:p w14:paraId="6B8FF3D4" w14:textId="77777777" w:rsidR="0046798B" w:rsidRDefault="0046798B">
            <w:pPr>
              <w:pStyle w:val="TableParagraph"/>
              <w:spacing w:before="9"/>
              <w:rPr>
                <w:sz w:val="31"/>
              </w:rPr>
            </w:pPr>
          </w:p>
          <w:p w14:paraId="0C89FA2A" w14:textId="77777777" w:rsidR="0046798B" w:rsidRDefault="00903B5C">
            <w:pPr>
              <w:pStyle w:val="TableParagraph"/>
              <w:ind w:left="115"/>
              <w:rPr>
                <w:b/>
                <w:sz w:val="20"/>
              </w:rPr>
            </w:pPr>
            <w:r>
              <w:rPr>
                <w:b/>
                <w:sz w:val="20"/>
              </w:rPr>
              <w:t>hmpindex</w:t>
            </w:r>
          </w:p>
        </w:tc>
        <w:tc>
          <w:tcPr>
            <w:tcW w:w="1596" w:type="dxa"/>
          </w:tcPr>
          <w:p w14:paraId="244ED156" w14:textId="77777777" w:rsidR="0046798B" w:rsidRDefault="0046798B">
            <w:pPr>
              <w:pStyle w:val="TableParagraph"/>
            </w:pPr>
          </w:p>
          <w:p w14:paraId="7EC18CEE" w14:textId="77777777" w:rsidR="0046798B" w:rsidRDefault="00903B5C">
            <w:pPr>
              <w:pStyle w:val="TableParagraph"/>
              <w:spacing w:before="135"/>
              <w:ind w:left="114" w:right="102"/>
              <w:rPr>
                <w:sz w:val="20"/>
              </w:rPr>
            </w:pPr>
            <w:r>
              <w:rPr>
                <w:sz w:val="20"/>
              </w:rPr>
              <w:t>Health insurance mandated providers index</w:t>
            </w:r>
          </w:p>
        </w:tc>
        <w:tc>
          <w:tcPr>
            <w:tcW w:w="1285" w:type="dxa"/>
          </w:tcPr>
          <w:p w14:paraId="62488B9B" w14:textId="77777777" w:rsidR="0046798B" w:rsidRDefault="0046798B">
            <w:pPr>
              <w:pStyle w:val="TableParagraph"/>
            </w:pPr>
          </w:p>
          <w:p w14:paraId="1420B0F9" w14:textId="77777777" w:rsidR="0046798B" w:rsidRDefault="0046798B">
            <w:pPr>
              <w:pStyle w:val="TableParagraph"/>
              <w:spacing w:before="9"/>
              <w:rPr>
                <w:sz w:val="31"/>
              </w:rPr>
            </w:pPr>
          </w:p>
          <w:p w14:paraId="4531F701" w14:textId="77777777" w:rsidR="0046798B" w:rsidRDefault="00903B5C">
            <w:pPr>
              <w:pStyle w:val="TableParagraph"/>
              <w:ind w:left="114"/>
              <w:rPr>
                <w:sz w:val="20"/>
              </w:rPr>
            </w:pPr>
            <w:r>
              <w:rPr>
                <w:sz w:val="20"/>
              </w:rPr>
              <w:t>2006–2008</w:t>
            </w:r>
          </w:p>
        </w:tc>
        <w:tc>
          <w:tcPr>
            <w:tcW w:w="3421" w:type="dxa"/>
          </w:tcPr>
          <w:p w14:paraId="28DDC432" w14:textId="77777777" w:rsidR="0046798B" w:rsidRDefault="00903B5C">
            <w:pPr>
              <w:pStyle w:val="TableParagraph"/>
              <w:spacing w:before="43"/>
              <w:ind w:left="114" w:right="122"/>
              <w:rPr>
                <w:sz w:val="20"/>
              </w:rPr>
            </w:pPr>
            <w:r>
              <w:rPr>
                <w:sz w:val="20"/>
              </w:rPr>
              <w:t xml:space="preserve">Health insurance mandated providers index (each mandate weighted by percentage added cost to average </w:t>
            </w:r>
            <w:r>
              <w:rPr>
                <w:spacing w:val="-5"/>
                <w:sz w:val="20"/>
              </w:rPr>
              <w:t xml:space="preserve">health </w:t>
            </w:r>
            <w:r>
              <w:rPr>
                <w:sz w:val="20"/>
              </w:rPr>
              <w:t>insurance policy, according to Coalition for Affordable Health Insurance)</w:t>
            </w:r>
          </w:p>
        </w:tc>
        <w:tc>
          <w:tcPr>
            <w:tcW w:w="6482" w:type="dxa"/>
          </w:tcPr>
          <w:p w14:paraId="5EBC7C0B" w14:textId="77777777" w:rsidR="0046798B" w:rsidRDefault="0046798B">
            <w:pPr>
              <w:pStyle w:val="TableParagraph"/>
            </w:pPr>
          </w:p>
          <w:p w14:paraId="7FEF8F94" w14:textId="77777777" w:rsidR="0046798B" w:rsidRDefault="00903B5C">
            <w:pPr>
              <w:pStyle w:val="TableParagraph"/>
              <w:spacing w:before="135"/>
              <w:ind w:left="114" w:right="272"/>
              <w:rPr>
                <w:sz w:val="20"/>
              </w:rPr>
            </w:pPr>
            <w:r>
              <w:rPr>
                <w:sz w:val="20"/>
              </w:rPr>
              <w:t>Sorens, Jason, Fait Muedini, and William P. Ruger. “State and Local Public Policies in 2006: A New Database.” State Politics &amp; Policy Quarterly 8.3 (2008): 309–26.</w:t>
            </w:r>
          </w:p>
        </w:tc>
      </w:tr>
      <w:tr w:rsidR="0046798B" w14:paraId="37E4AE94" w14:textId="77777777">
        <w:trPr>
          <w:trHeight w:val="1235"/>
        </w:trPr>
        <w:tc>
          <w:tcPr>
            <w:tcW w:w="1711" w:type="dxa"/>
          </w:tcPr>
          <w:p w14:paraId="2F91046F" w14:textId="77777777" w:rsidR="0046798B" w:rsidRDefault="0046798B">
            <w:pPr>
              <w:pStyle w:val="TableParagraph"/>
            </w:pPr>
          </w:p>
          <w:p w14:paraId="6963D0EA" w14:textId="77777777" w:rsidR="0046798B" w:rsidRDefault="0046798B">
            <w:pPr>
              <w:pStyle w:val="TableParagraph"/>
              <w:spacing w:before="8"/>
              <w:rPr>
                <w:sz w:val="21"/>
              </w:rPr>
            </w:pPr>
          </w:p>
          <w:p w14:paraId="3552A2DC" w14:textId="77777777" w:rsidR="0046798B" w:rsidRDefault="00903B5C">
            <w:pPr>
              <w:pStyle w:val="TableParagraph"/>
              <w:spacing w:before="1"/>
              <w:ind w:left="115"/>
              <w:rPr>
                <w:b/>
                <w:sz w:val="20"/>
              </w:rPr>
            </w:pPr>
            <w:r>
              <w:rPr>
                <w:b/>
                <w:sz w:val="20"/>
              </w:rPr>
              <w:t>hmbocs</w:t>
            </w:r>
          </w:p>
        </w:tc>
        <w:tc>
          <w:tcPr>
            <w:tcW w:w="1596" w:type="dxa"/>
          </w:tcPr>
          <w:p w14:paraId="3E3EA372" w14:textId="77777777" w:rsidR="0046798B" w:rsidRDefault="00903B5C">
            <w:pPr>
              <w:pStyle w:val="TableParagraph"/>
              <w:spacing w:before="43"/>
              <w:ind w:left="114" w:right="105"/>
              <w:rPr>
                <w:sz w:val="20"/>
              </w:rPr>
            </w:pPr>
            <w:r>
              <w:rPr>
                <w:sz w:val="20"/>
              </w:rPr>
              <w:t>Health insurance benefit mandates: Ovarian cancer screening</w:t>
            </w:r>
          </w:p>
        </w:tc>
        <w:tc>
          <w:tcPr>
            <w:tcW w:w="1285" w:type="dxa"/>
          </w:tcPr>
          <w:p w14:paraId="041117DF" w14:textId="77777777" w:rsidR="0046798B" w:rsidRDefault="0046798B">
            <w:pPr>
              <w:pStyle w:val="TableParagraph"/>
            </w:pPr>
          </w:p>
          <w:p w14:paraId="1ECD761E" w14:textId="77777777" w:rsidR="0046798B" w:rsidRDefault="0046798B">
            <w:pPr>
              <w:pStyle w:val="TableParagraph"/>
              <w:spacing w:before="8"/>
              <w:rPr>
                <w:sz w:val="21"/>
              </w:rPr>
            </w:pPr>
          </w:p>
          <w:p w14:paraId="4B3927E7" w14:textId="77777777" w:rsidR="0046798B" w:rsidRDefault="00903B5C">
            <w:pPr>
              <w:pStyle w:val="TableParagraph"/>
              <w:spacing w:before="1"/>
              <w:ind w:left="114"/>
              <w:rPr>
                <w:sz w:val="20"/>
              </w:rPr>
            </w:pPr>
            <w:r>
              <w:rPr>
                <w:sz w:val="20"/>
              </w:rPr>
              <w:t>2006–2016</w:t>
            </w:r>
          </w:p>
        </w:tc>
        <w:tc>
          <w:tcPr>
            <w:tcW w:w="3421" w:type="dxa"/>
          </w:tcPr>
          <w:p w14:paraId="6ABC9BF0" w14:textId="77777777" w:rsidR="0046798B" w:rsidRDefault="0046798B">
            <w:pPr>
              <w:pStyle w:val="TableParagraph"/>
              <w:spacing w:before="8"/>
              <w:rPr>
                <w:sz w:val="23"/>
              </w:rPr>
            </w:pPr>
          </w:p>
          <w:p w14:paraId="60B729EA" w14:textId="77777777" w:rsidR="0046798B" w:rsidRDefault="00903B5C">
            <w:pPr>
              <w:pStyle w:val="TableParagraph"/>
              <w:spacing w:before="1"/>
              <w:ind w:left="114" w:right="297"/>
              <w:rPr>
                <w:sz w:val="20"/>
              </w:rPr>
            </w:pPr>
            <w:r>
              <w:rPr>
                <w:sz w:val="20"/>
              </w:rPr>
              <w:t>Health insurance benefit mandates: ovarian cancer screening (0 = no, 1 = yes)</w:t>
            </w:r>
          </w:p>
        </w:tc>
        <w:tc>
          <w:tcPr>
            <w:tcW w:w="6482" w:type="dxa"/>
          </w:tcPr>
          <w:p w14:paraId="6DCFED24" w14:textId="77777777" w:rsidR="0046798B" w:rsidRDefault="0046798B">
            <w:pPr>
              <w:pStyle w:val="TableParagraph"/>
              <w:spacing w:before="8"/>
              <w:rPr>
                <w:sz w:val="23"/>
              </w:rPr>
            </w:pPr>
          </w:p>
          <w:p w14:paraId="5CC976F0" w14:textId="77777777" w:rsidR="0046798B" w:rsidRDefault="00903B5C">
            <w:pPr>
              <w:pStyle w:val="TableParagraph"/>
              <w:spacing w:before="1"/>
              <w:ind w:left="114"/>
              <w:rPr>
                <w:sz w:val="20"/>
              </w:rPr>
            </w:pPr>
            <w:r>
              <w:rPr>
                <w:sz w:val="20"/>
              </w:rPr>
              <w:t>Sorens, Jason, Fait Muedini, and William P. Ruger. “State and Local Public Policies in 2006: A New Database.” State Politics &amp; Policy Quarterly 8.3 (2008): 309–26.</w:t>
            </w:r>
          </w:p>
        </w:tc>
      </w:tr>
      <w:tr w:rsidR="0046798B" w14:paraId="28CC5D0B" w14:textId="77777777">
        <w:trPr>
          <w:trHeight w:val="775"/>
        </w:trPr>
        <w:tc>
          <w:tcPr>
            <w:tcW w:w="1711" w:type="dxa"/>
          </w:tcPr>
          <w:p w14:paraId="5B0A31FD" w14:textId="77777777" w:rsidR="0046798B" w:rsidRDefault="0046798B">
            <w:pPr>
              <w:pStyle w:val="TableParagraph"/>
              <w:spacing w:before="8"/>
              <w:rPr>
                <w:sz w:val="23"/>
              </w:rPr>
            </w:pPr>
          </w:p>
          <w:p w14:paraId="312CA907" w14:textId="77777777" w:rsidR="0046798B" w:rsidRDefault="00903B5C">
            <w:pPr>
              <w:pStyle w:val="TableParagraph"/>
              <w:spacing w:before="1"/>
              <w:ind w:left="115"/>
              <w:rPr>
                <w:b/>
                <w:sz w:val="20"/>
              </w:rPr>
            </w:pPr>
            <w:r>
              <w:rPr>
                <w:b/>
                <w:sz w:val="20"/>
              </w:rPr>
              <w:t>hmbois</w:t>
            </w:r>
          </w:p>
        </w:tc>
        <w:tc>
          <w:tcPr>
            <w:tcW w:w="1596" w:type="dxa"/>
          </w:tcPr>
          <w:p w14:paraId="195D3D86" w14:textId="77777777" w:rsidR="0046798B" w:rsidRDefault="00903B5C">
            <w:pPr>
              <w:pStyle w:val="TableParagraph"/>
              <w:spacing w:before="158"/>
              <w:ind w:left="114"/>
              <w:rPr>
                <w:sz w:val="20"/>
              </w:rPr>
            </w:pPr>
            <w:r>
              <w:rPr>
                <w:sz w:val="20"/>
              </w:rPr>
              <w:t>Other infertility services</w:t>
            </w:r>
          </w:p>
        </w:tc>
        <w:tc>
          <w:tcPr>
            <w:tcW w:w="1285" w:type="dxa"/>
          </w:tcPr>
          <w:p w14:paraId="290DF833" w14:textId="77777777" w:rsidR="0046798B" w:rsidRDefault="0046798B">
            <w:pPr>
              <w:pStyle w:val="TableParagraph"/>
              <w:spacing w:before="8"/>
              <w:rPr>
                <w:sz w:val="23"/>
              </w:rPr>
            </w:pPr>
          </w:p>
          <w:p w14:paraId="17F7910D" w14:textId="77777777" w:rsidR="0046798B" w:rsidRDefault="00903B5C">
            <w:pPr>
              <w:pStyle w:val="TableParagraph"/>
              <w:spacing w:before="1"/>
              <w:ind w:left="114"/>
              <w:rPr>
                <w:sz w:val="20"/>
              </w:rPr>
            </w:pPr>
            <w:r>
              <w:rPr>
                <w:sz w:val="20"/>
              </w:rPr>
              <w:t>2006–2008</w:t>
            </w:r>
          </w:p>
        </w:tc>
        <w:tc>
          <w:tcPr>
            <w:tcW w:w="3421" w:type="dxa"/>
          </w:tcPr>
          <w:p w14:paraId="0F844F01" w14:textId="77777777" w:rsidR="0046798B" w:rsidRDefault="00903B5C">
            <w:pPr>
              <w:pStyle w:val="TableParagraph"/>
              <w:spacing w:before="43"/>
              <w:ind w:left="114" w:right="374"/>
              <w:rPr>
                <w:sz w:val="20"/>
              </w:rPr>
            </w:pPr>
            <w:r>
              <w:rPr>
                <w:sz w:val="20"/>
              </w:rPr>
              <w:t>Health insurance benefit mandates: other infertility services (0 = no, 1 = yes)</w:t>
            </w:r>
          </w:p>
        </w:tc>
        <w:tc>
          <w:tcPr>
            <w:tcW w:w="6482" w:type="dxa"/>
          </w:tcPr>
          <w:p w14:paraId="61D7A471" w14:textId="77777777" w:rsidR="0046798B" w:rsidRDefault="00903B5C">
            <w:pPr>
              <w:pStyle w:val="TableParagraph"/>
              <w:spacing w:before="43"/>
              <w:ind w:left="114"/>
              <w:rPr>
                <w:sz w:val="20"/>
              </w:rPr>
            </w:pPr>
            <w:r>
              <w:rPr>
                <w:sz w:val="20"/>
              </w:rPr>
              <w:t>Sorens, Jason, Fait Muedini, and William P. Ruger. “State and Local Public Policies in 2006: A New Database.” State Politics &amp; Policy Quarterly 8.3 (2008): 309–26.</w:t>
            </w:r>
          </w:p>
        </w:tc>
      </w:tr>
      <w:tr w:rsidR="0046798B" w14:paraId="1CEF5B6A" w14:textId="77777777">
        <w:trPr>
          <w:trHeight w:val="780"/>
        </w:trPr>
        <w:tc>
          <w:tcPr>
            <w:tcW w:w="1711" w:type="dxa"/>
          </w:tcPr>
          <w:p w14:paraId="431A283E" w14:textId="77777777" w:rsidR="0046798B" w:rsidRDefault="0046798B">
            <w:pPr>
              <w:pStyle w:val="TableParagraph"/>
              <w:spacing w:before="9"/>
              <w:rPr>
                <w:sz w:val="23"/>
              </w:rPr>
            </w:pPr>
          </w:p>
          <w:p w14:paraId="5D86A3AB" w14:textId="77777777" w:rsidR="0046798B" w:rsidRDefault="00903B5C">
            <w:pPr>
              <w:pStyle w:val="TableParagraph"/>
              <w:ind w:left="115"/>
              <w:rPr>
                <w:b/>
                <w:sz w:val="20"/>
              </w:rPr>
            </w:pPr>
            <w:r>
              <w:rPr>
                <w:b/>
                <w:sz w:val="20"/>
              </w:rPr>
              <w:t>hmboldu</w:t>
            </w:r>
          </w:p>
        </w:tc>
        <w:tc>
          <w:tcPr>
            <w:tcW w:w="1596" w:type="dxa"/>
          </w:tcPr>
          <w:p w14:paraId="1141CC76" w14:textId="77777777" w:rsidR="0046798B" w:rsidRDefault="00903B5C">
            <w:pPr>
              <w:pStyle w:val="TableParagraph"/>
              <w:spacing w:before="158"/>
              <w:ind w:left="114" w:right="229"/>
              <w:rPr>
                <w:sz w:val="20"/>
              </w:rPr>
            </w:pPr>
            <w:r>
              <w:rPr>
                <w:sz w:val="20"/>
              </w:rPr>
              <w:t>Off-label drug use</w:t>
            </w:r>
          </w:p>
        </w:tc>
        <w:tc>
          <w:tcPr>
            <w:tcW w:w="1285" w:type="dxa"/>
          </w:tcPr>
          <w:p w14:paraId="244D8F94" w14:textId="77777777" w:rsidR="0046798B" w:rsidRDefault="0046798B">
            <w:pPr>
              <w:pStyle w:val="TableParagraph"/>
              <w:spacing w:before="9"/>
              <w:rPr>
                <w:sz w:val="23"/>
              </w:rPr>
            </w:pPr>
          </w:p>
          <w:p w14:paraId="4E89E9E5" w14:textId="77777777" w:rsidR="0046798B" w:rsidRDefault="00903B5C">
            <w:pPr>
              <w:pStyle w:val="TableParagraph"/>
              <w:ind w:left="114"/>
              <w:rPr>
                <w:sz w:val="20"/>
              </w:rPr>
            </w:pPr>
            <w:r>
              <w:rPr>
                <w:sz w:val="20"/>
              </w:rPr>
              <w:t>2006–2016</w:t>
            </w:r>
          </w:p>
        </w:tc>
        <w:tc>
          <w:tcPr>
            <w:tcW w:w="3421" w:type="dxa"/>
          </w:tcPr>
          <w:p w14:paraId="1BDEDAD3" w14:textId="77777777" w:rsidR="0046798B" w:rsidRDefault="00903B5C">
            <w:pPr>
              <w:pStyle w:val="TableParagraph"/>
              <w:spacing w:before="158"/>
              <w:ind w:left="114" w:right="111"/>
              <w:rPr>
                <w:sz w:val="20"/>
              </w:rPr>
            </w:pPr>
            <w:r>
              <w:rPr>
                <w:sz w:val="20"/>
              </w:rPr>
              <w:t>Health insurance benefit mandates: off- label drug use (0 = no, 1 = yes)</w:t>
            </w:r>
          </w:p>
        </w:tc>
        <w:tc>
          <w:tcPr>
            <w:tcW w:w="6482" w:type="dxa"/>
          </w:tcPr>
          <w:p w14:paraId="4F7D81F4" w14:textId="77777777" w:rsidR="0046798B" w:rsidRDefault="00903B5C">
            <w:pPr>
              <w:pStyle w:val="TableParagraph"/>
              <w:spacing w:before="43"/>
              <w:ind w:left="114" w:right="272"/>
              <w:rPr>
                <w:sz w:val="20"/>
              </w:rPr>
            </w:pPr>
            <w:r>
              <w:rPr>
                <w:sz w:val="20"/>
              </w:rPr>
              <w:t>Sorens, Jason, Fait Muedini, and William P. Ruger. “State and Local Public Policies in 2006: A New Database.” State Politics &amp; Policy Quarterly 8.3 (2008): 309–26.</w:t>
            </w:r>
          </w:p>
        </w:tc>
      </w:tr>
      <w:tr w:rsidR="0046798B" w14:paraId="176C9748" w14:textId="77777777">
        <w:trPr>
          <w:trHeight w:val="775"/>
        </w:trPr>
        <w:tc>
          <w:tcPr>
            <w:tcW w:w="1711" w:type="dxa"/>
          </w:tcPr>
          <w:p w14:paraId="2592A8F5" w14:textId="77777777" w:rsidR="0046798B" w:rsidRDefault="0046798B">
            <w:pPr>
              <w:pStyle w:val="TableParagraph"/>
              <w:spacing w:before="3"/>
              <w:rPr>
                <w:sz w:val="23"/>
              </w:rPr>
            </w:pPr>
          </w:p>
          <w:p w14:paraId="0668825E" w14:textId="77777777" w:rsidR="0046798B" w:rsidRDefault="00903B5C">
            <w:pPr>
              <w:pStyle w:val="TableParagraph"/>
              <w:spacing w:before="1"/>
              <w:ind w:left="115"/>
              <w:rPr>
                <w:b/>
                <w:sz w:val="20"/>
              </w:rPr>
            </w:pPr>
            <w:r>
              <w:rPr>
                <w:b/>
                <w:sz w:val="20"/>
              </w:rPr>
              <w:t>hmbop</w:t>
            </w:r>
          </w:p>
        </w:tc>
        <w:tc>
          <w:tcPr>
            <w:tcW w:w="1596" w:type="dxa"/>
          </w:tcPr>
          <w:p w14:paraId="725E0EF0" w14:textId="77777777" w:rsidR="0046798B" w:rsidRDefault="00903B5C">
            <w:pPr>
              <w:pStyle w:val="TableParagraph"/>
              <w:spacing w:before="153"/>
              <w:ind w:left="114" w:right="152"/>
              <w:rPr>
                <w:sz w:val="20"/>
              </w:rPr>
            </w:pPr>
            <w:r>
              <w:rPr>
                <w:sz w:val="20"/>
              </w:rPr>
              <w:t>Orthotics/prosth etics</w:t>
            </w:r>
          </w:p>
        </w:tc>
        <w:tc>
          <w:tcPr>
            <w:tcW w:w="1285" w:type="dxa"/>
          </w:tcPr>
          <w:p w14:paraId="1D6FEF45" w14:textId="77777777" w:rsidR="0046798B" w:rsidRDefault="0046798B">
            <w:pPr>
              <w:pStyle w:val="TableParagraph"/>
              <w:spacing w:before="3"/>
              <w:rPr>
                <w:sz w:val="23"/>
              </w:rPr>
            </w:pPr>
          </w:p>
          <w:p w14:paraId="6A3AFB10" w14:textId="77777777" w:rsidR="0046798B" w:rsidRDefault="00903B5C">
            <w:pPr>
              <w:pStyle w:val="TableParagraph"/>
              <w:spacing w:before="1"/>
              <w:ind w:left="114"/>
              <w:rPr>
                <w:sz w:val="20"/>
              </w:rPr>
            </w:pPr>
            <w:r>
              <w:rPr>
                <w:sz w:val="20"/>
              </w:rPr>
              <w:t>2006–2016</w:t>
            </w:r>
          </w:p>
        </w:tc>
        <w:tc>
          <w:tcPr>
            <w:tcW w:w="3421" w:type="dxa"/>
          </w:tcPr>
          <w:p w14:paraId="73BE7C36" w14:textId="77777777" w:rsidR="0046798B" w:rsidRDefault="00903B5C">
            <w:pPr>
              <w:pStyle w:val="TableParagraph"/>
              <w:spacing w:before="153"/>
              <w:ind w:left="114" w:right="279"/>
              <w:rPr>
                <w:sz w:val="20"/>
              </w:rPr>
            </w:pPr>
            <w:r>
              <w:rPr>
                <w:sz w:val="20"/>
              </w:rPr>
              <w:t>Health insurance benefit mandates: orthotics/prosthetics (0 = no, 1 = yes)</w:t>
            </w:r>
          </w:p>
        </w:tc>
        <w:tc>
          <w:tcPr>
            <w:tcW w:w="6482" w:type="dxa"/>
          </w:tcPr>
          <w:p w14:paraId="6DB016EE"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bl>
    <w:p w14:paraId="3BF47182" w14:textId="77777777" w:rsidR="0046798B" w:rsidRDefault="0046798B">
      <w:pPr>
        <w:rPr>
          <w:sz w:val="20"/>
        </w:rPr>
        <w:sectPr w:rsidR="0046798B">
          <w:pgSz w:w="15840" w:h="12240" w:orient="landscape"/>
          <w:pgMar w:top="1220" w:right="300" w:bottom="980" w:left="820" w:header="730" w:footer="787" w:gutter="0"/>
          <w:cols w:space="720"/>
        </w:sectPr>
      </w:pPr>
    </w:p>
    <w:p w14:paraId="2BB36597"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6490F99D" w14:textId="77777777">
        <w:trPr>
          <w:trHeight w:val="775"/>
        </w:trPr>
        <w:tc>
          <w:tcPr>
            <w:tcW w:w="1711" w:type="dxa"/>
          </w:tcPr>
          <w:p w14:paraId="1C4D11C6" w14:textId="77777777" w:rsidR="0046798B" w:rsidRDefault="0046798B">
            <w:pPr>
              <w:pStyle w:val="TableParagraph"/>
              <w:spacing w:before="9"/>
              <w:rPr>
                <w:sz w:val="23"/>
              </w:rPr>
            </w:pPr>
          </w:p>
          <w:p w14:paraId="53AF8A15" w14:textId="77777777" w:rsidR="0046798B" w:rsidRDefault="00903B5C">
            <w:pPr>
              <w:pStyle w:val="TableParagraph"/>
              <w:ind w:left="115"/>
              <w:rPr>
                <w:b/>
                <w:sz w:val="20"/>
              </w:rPr>
            </w:pPr>
            <w:r>
              <w:rPr>
                <w:b/>
                <w:sz w:val="20"/>
              </w:rPr>
              <w:t>hmborm</w:t>
            </w:r>
          </w:p>
        </w:tc>
        <w:tc>
          <w:tcPr>
            <w:tcW w:w="1596" w:type="dxa"/>
          </w:tcPr>
          <w:p w14:paraId="10512777" w14:textId="77777777" w:rsidR="0046798B" w:rsidRDefault="00903B5C">
            <w:pPr>
              <w:pStyle w:val="TableParagraph"/>
              <w:spacing w:before="158"/>
              <w:ind w:left="114" w:right="719"/>
              <w:rPr>
                <w:sz w:val="20"/>
              </w:rPr>
            </w:pPr>
            <w:r>
              <w:rPr>
                <w:sz w:val="20"/>
              </w:rPr>
              <w:t>Oriental medicine</w:t>
            </w:r>
          </w:p>
        </w:tc>
        <w:tc>
          <w:tcPr>
            <w:tcW w:w="1285" w:type="dxa"/>
          </w:tcPr>
          <w:p w14:paraId="1463BFEC" w14:textId="77777777" w:rsidR="0046798B" w:rsidRDefault="0046798B">
            <w:pPr>
              <w:pStyle w:val="TableParagraph"/>
              <w:spacing w:before="9"/>
              <w:rPr>
                <w:sz w:val="23"/>
              </w:rPr>
            </w:pPr>
          </w:p>
          <w:p w14:paraId="51C68358" w14:textId="77777777" w:rsidR="0046798B" w:rsidRDefault="00903B5C">
            <w:pPr>
              <w:pStyle w:val="TableParagraph"/>
              <w:ind w:left="114"/>
              <w:rPr>
                <w:sz w:val="20"/>
              </w:rPr>
            </w:pPr>
            <w:r>
              <w:rPr>
                <w:sz w:val="20"/>
              </w:rPr>
              <w:t>2006–2008</w:t>
            </w:r>
          </w:p>
        </w:tc>
        <w:tc>
          <w:tcPr>
            <w:tcW w:w="3421" w:type="dxa"/>
          </w:tcPr>
          <w:p w14:paraId="47A9B32A" w14:textId="77777777" w:rsidR="0046798B" w:rsidRDefault="00903B5C">
            <w:pPr>
              <w:pStyle w:val="TableParagraph"/>
              <w:spacing w:before="158"/>
              <w:ind w:left="114" w:right="461"/>
              <w:rPr>
                <w:sz w:val="20"/>
              </w:rPr>
            </w:pPr>
            <w:r>
              <w:rPr>
                <w:sz w:val="20"/>
              </w:rPr>
              <w:t>Health insurance benefit mandates: oriental medicine (0 = no, 1 = yes)</w:t>
            </w:r>
          </w:p>
        </w:tc>
        <w:tc>
          <w:tcPr>
            <w:tcW w:w="6482" w:type="dxa"/>
          </w:tcPr>
          <w:p w14:paraId="544B372F" w14:textId="77777777" w:rsidR="0046798B" w:rsidRDefault="00903B5C">
            <w:pPr>
              <w:pStyle w:val="TableParagraph"/>
              <w:spacing w:before="43"/>
              <w:ind w:left="114"/>
              <w:rPr>
                <w:sz w:val="20"/>
              </w:rPr>
            </w:pPr>
            <w:r>
              <w:rPr>
                <w:sz w:val="20"/>
              </w:rPr>
              <w:t>Sorens, Jason, Fait Muedini, and William P. Ruger. “State and Local Public Policies in 2006: A New Database.” State Politics &amp; Policy Quarterly 8.3 (2008): 309–26.</w:t>
            </w:r>
          </w:p>
        </w:tc>
      </w:tr>
      <w:tr w:rsidR="0046798B" w14:paraId="43854B64" w14:textId="77777777">
        <w:trPr>
          <w:trHeight w:val="775"/>
        </w:trPr>
        <w:tc>
          <w:tcPr>
            <w:tcW w:w="1711" w:type="dxa"/>
          </w:tcPr>
          <w:p w14:paraId="28C4D953" w14:textId="77777777" w:rsidR="0046798B" w:rsidRDefault="0046798B">
            <w:pPr>
              <w:pStyle w:val="TableParagraph"/>
              <w:spacing w:before="8"/>
              <w:rPr>
                <w:sz w:val="23"/>
              </w:rPr>
            </w:pPr>
          </w:p>
          <w:p w14:paraId="22D1FE1A" w14:textId="77777777" w:rsidR="0046798B" w:rsidRDefault="00903B5C">
            <w:pPr>
              <w:pStyle w:val="TableParagraph"/>
              <w:spacing w:before="1"/>
              <w:ind w:left="115"/>
              <w:rPr>
                <w:b/>
                <w:sz w:val="20"/>
              </w:rPr>
            </w:pPr>
            <w:r>
              <w:rPr>
                <w:b/>
                <w:sz w:val="20"/>
              </w:rPr>
              <w:t>hmbors</w:t>
            </w:r>
          </w:p>
        </w:tc>
        <w:tc>
          <w:tcPr>
            <w:tcW w:w="1596" w:type="dxa"/>
          </w:tcPr>
          <w:p w14:paraId="6D0DE0B8" w14:textId="77777777" w:rsidR="0046798B" w:rsidRDefault="00903B5C">
            <w:pPr>
              <w:pStyle w:val="TableParagraph"/>
              <w:spacing w:before="158"/>
              <w:ind w:left="114" w:right="207"/>
              <w:rPr>
                <w:sz w:val="20"/>
              </w:rPr>
            </w:pPr>
            <w:r>
              <w:rPr>
                <w:sz w:val="20"/>
              </w:rPr>
              <w:t>Ostomy-related Supplies</w:t>
            </w:r>
          </w:p>
        </w:tc>
        <w:tc>
          <w:tcPr>
            <w:tcW w:w="1285" w:type="dxa"/>
          </w:tcPr>
          <w:p w14:paraId="4872D24D" w14:textId="77777777" w:rsidR="0046798B" w:rsidRDefault="0046798B">
            <w:pPr>
              <w:pStyle w:val="TableParagraph"/>
              <w:spacing w:before="8"/>
              <w:rPr>
                <w:sz w:val="23"/>
              </w:rPr>
            </w:pPr>
          </w:p>
          <w:p w14:paraId="77FABDB2" w14:textId="77777777" w:rsidR="0046798B" w:rsidRDefault="00903B5C">
            <w:pPr>
              <w:pStyle w:val="TableParagraph"/>
              <w:spacing w:before="1"/>
              <w:ind w:left="114"/>
              <w:rPr>
                <w:sz w:val="20"/>
              </w:rPr>
            </w:pPr>
            <w:r>
              <w:rPr>
                <w:sz w:val="20"/>
              </w:rPr>
              <w:t>2006–2008</w:t>
            </w:r>
          </w:p>
        </w:tc>
        <w:tc>
          <w:tcPr>
            <w:tcW w:w="3421" w:type="dxa"/>
          </w:tcPr>
          <w:p w14:paraId="694C3AD1" w14:textId="77777777" w:rsidR="0046798B" w:rsidRDefault="00903B5C">
            <w:pPr>
              <w:pStyle w:val="TableParagraph"/>
              <w:spacing w:before="43"/>
              <w:ind w:left="114" w:right="398"/>
              <w:rPr>
                <w:sz w:val="20"/>
              </w:rPr>
            </w:pPr>
            <w:r>
              <w:rPr>
                <w:sz w:val="20"/>
              </w:rPr>
              <w:t>Health insurance benefit mandates: ostomy-related supplies (0 = no, 1 = yes)</w:t>
            </w:r>
          </w:p>
        </w:tc>
        <w:tc>
          <w:tcPr>
            <w:tcW w:w="6482" w:type="dxa"/>
          </w:tcPr>
          <w:p w14:paraId="2C794629" w14:textId="77777777" w:rsidR="0046798B" w:rsidRDefault="00903B5C">
            <w:pPr>
              <w:pStyle w:val="TableParagraph"/>
              <w:spacing w:before="43"/>
              <w:ind w:left="114"/>
              <w:rPr>
                <w:sz w:val="20"/>
              </w:rPr>
            </w:pPr>
            <w:r>
              <w:rPr>
                <w:sz w:val="20"/>
              </w:rPr>
              <w:t>Sorens, Jason, Fait Muedini, and William P. Ruger. “State and Local Public Policies in 2006: A New Database.” State Politics &amp; Policy Quarterly 8.3 (2008): 309–26.</w:t>
            </w:r>
          </w:p>
        </w:tc>
      </w:tr>
      <w:tr w:rsidR="0046798B" w14:paraId="13C0FDEE" w14:textId="77777777">
        <w:trPr>
          <w:trHeight w:val="780"/>
        </w:trPr>
        <w:tc>
          <w:tcPr>
            <w:tcW w:w="1711" w:type="dxa"/>
          </w:tcPr>
          <w:p w14:paraId="6BAA1384" w14:textId="77777777" w:rsidR="0046798B" w:rsidRDefault="0046798B">
            <w:pPr>
              <w:pStyle w:val="TableParagraph"/>
              <w:spacing w:before="9"/>
              <w:rPr>
                <w:sz w:val="23"/>
              </w:rPr>
            </w:pPr>
          </w:p>
          <w:p w14:paraId="76BBA723" w14:textId="77777777" w:rsidR="0046798B" w:rsidRDefault="00903B5C">
            <w:pPr>
              <w:pStyle w:val="TableParagraph"/>
              <w:ind w:left="115"/>
              <w:rPr>
                <w:b/>
                <w:sz w:val="20"/>
              </w:rPr>
            </w:pPr>
            <w:r>
              <w:rPr>
                <w:b/>
                <w:sz w:val="20"/>
              </w:rPr>
              <w:t>hmbpas</w:t>
            </w:r>
          </w:p>
        </w:tc>
        <w:tc>
          <w:tcPr>
            <w:tcW w:w="1596" w:type="dxa"/>
          </w:tcPr>
          <w:p w14:paraId="1807D10B" w14:textId="77777777" w:rsidR="0046798B" w:rsidRDefault="00903B5C">
            <w:pPr>
              <w:pStyle w:val="TableParagraph"/>
              <w:spacing w:before="44"/>
              <w:ind w:left="114" w:right="140"/>
              <w:rPr>
                <w:sz w:val="20"/>
              </w:rPr>
            </w:pPr>
            <w:r>
              <w:rPr>
                <w:sz w:val="20"/>
              </w:rPr>
              <w:t>Pediatric asthma education/self- management</w:t>
            </w:r>
          </w:p>
        </w:tc>
        <w:tc>
          <w:tcPr>
            <w:tcW w:w="1285" w:type="dxa"/>
          </w:tcPr>
          <w:p w14:paraId="7EEB590D" w14:textId="77777777" w:rsidR="0046798B" w:rsidRDefault="0046798B">
            <w:pPr>
              <w:pStyle w:val="TableParagraph"/>
              <w:spacing w:before="9"/>
              <w:rPr>
                <w:sz w:val="23"/>
              </w:rPr>
            </w:pPr>
          </w:p>
          <w:p w14:paraId="25C4418F" w14:textId="77777777" w:rsidR="0046798B" w:rsidRDefault="00903B5C">
            <w:pPr>
              <w:pStyle w:val="TableParagraph"/>
              <w:ind w:left="114"/>
              <w:rPr>
                <w:sz w:val="20"/>
              </w:rPr>
            </w:pPr>
            <w:r>
              <w:rPr>
                <w:sz w:val="20"/>
              </w:rPr>
              <w:t>2006–2016</w:t>
            </w:r>
          </w:p>
        </w:tc>
        <w:tc>
          <w:tcPr>
            <w:tcW w:w="3421" w:type="dxa"/>
          </w:tcPr>
          <w:p w14:paraId="7513CBE9" w14:textId="77777777" w:rsidR="0046798B" w:rsidRDefault="00903B5C">
            <w:pPr>
              <w:pStyle w:val="TableParagraph"/>
              <w:spacing w:before="44"/>
              <w:ind w:left="114" w:right="461"/>
              <w:rPr>
                <w:sz w:val="20"/>
              </w:rPr>
            </w:pPr>
            <w:r>
              <w:rPr>
                <w:sz w:val="20"/>
              </w:rPr>
              <w:t>Health insurance benefit mandates: pediatric asthma education/self- management (0 = no, 1 = yes)</w:t>
            </w:r>
          </w:p>
        </w:tc>
        <w:tc>
          <w:tcPr>
            <w:tcW w:w="6482" w:type="dxa"/>
          </w:tcPr>
          <w:p w14:paraId="138295FE" w14:textId="77777777" w:rsidR="0046798B" w:rsidRDefault="00903B5C">
            <w:pPr>
              <w:pStyle w:val="TableParagraph"/>
              <w:spacing w:before="44"/>
              <w:ind w:left="114" w:right="272"/>
              <w:rPr>
                <w:sz w:val="20"/>
              </w:rPr>
            </w:pPr>
            <w:r>
              <w:rPr>
                <w:sz w:val="20"/>
              </w:rPr>
              <w:t>Sorens, Jason, Fait Muedini, and William P. Ruger. “State and Local Public Policies in 2006: A New Database.” State Politics &amp; Policy Quarterly 8.3 (2008): 309–26.</w:t>
            </w:r>
          </w:p>
        </w:tc>
      </w:tr>
      <w:tr w:rsidR="0046798B" w14:paraId="24763FE5" w14:textId="77777777">
        <w:trPr>
          <w:trHeight w:val="775"/>
        </w:trPr>
        <w:tc>
          <w:tcPr>
            <w:tcW w:w="1711" w:type="dxa"/>
          </w:tcPr>
          <w:p w14:paraId="6DDA3FF7" w14:textId="77777777" w:rsidR="0046798B" w:rsidRDefault="0046798B">
            <w:pPr>
              <w:pStyle w:val="TableParagraph"/>
              <w:spacing w:before="3"/>
              <w:rPr>
                <w:sz w:val="23"/>
              </w:rPr>
            </w:pPr>
          </w:p>
          <w:p w14:paraId="68D4E2E2" w14:textId="77777777" w:rsidR="0046798B" w:rsidRDefault="00903B5C">
            <w:pPr>
              <w:pStyle w:val="TableParagraph"/>
              <w:spacing w:before="1"/>
              <w:ind w:left="115"/>
              <w:rPr>
                <w:b/>
                <w:sz w:val="20"/>
              </w:rPr>
            </w:pPr>
            <w:r>
              <w:rPr>
                <w:b/>
                <w:sz w:val="20"/>
              </w:rPr>
              <w:t>hmbpcs</w:t>
            </w:r>
          </w:p>
        </w:tc>
        <w:tc>
          <w:tcPr>
            <w:tcW w:w="1596" w:type="dxa"/>
          </w:tcPr>
          <w:p w14:paraId="4A10F78E" w14:textId="77777777" w:rsidR="0046798B" w:rsidRDefault="00903B5C">
            <w:pPr>
              <w:pStyle w:val="TableParagraph"/>
              <w:spacing w:before="153"/>
              <w:ind w:left="114" w:right="235"/>
              <w:rPr>
                <w:sz w:val="20"/>
              </w:rPr>
            </w:pPr>
            <w:r>
              <w:rPr>
                <w:sz w:val="20"/>
              </w:rPr>
              <w:t>Prostate cancer screening</w:t>
            </w:r>
          </w:p>
        </w:tc>
        <w:tc>
          <w:tcPr>
            <w:tcW w:w="1285" w:type="dxa"/>
          </w:tcPr>
          <w:p w14:paraId="07F5DB4E" w14:textId="77777777" w:rsidR="0046798B" w:rsidRDefault="0046798B">
            <w:pPr>
              <w:pStyle w:val="TableParagraph"/>
              <w:spacing w:before="3"/>
              <w:rPr>
                <w:sz w:val="23"/>
              </w:rPr>
            </w:pPr>
          </w:p>
          <w:p w14:paraId="7DEAF535" w14:textId="77777777" w:rsidR="0046798B" w:rsidRDefault="00903B5C">
            <w:pPr>
              <w:pStyle w:val="TableParagraph"/>
              <w:spacing w:before="1"/>
              <w:ind w:left="114"/>
              <w:rPr>
                <w:sz w:val="20"/>
              </w:rPr>
            </w:pPr>
            <w:r>
              <w:rPr>
                <w:sz w:val="20"/>
              </w:rPr>
              <w:t>2006–2016</w:t>
            </w:r>
          </w:p>
        </w:tc>
        <w:tc>
          <w:tcPr>
            <w:tcW w:w="3421" w:type="dxa"/>
          </w:tcPr>
          <w:p w14:paraId="39CDE319" w14:textId="77777777" w:rsidR="0046798B" w:rsidRDefault="00903B5C">
            <w:pPr>
              <w:pStyle w:val="TableParagraph"/>
              <w:spacing w:before="38"/>
              <w:ind w:left="114" w:right="263"/>
              <w:rPr>
                <w:sz w:val="20"/>
              </w:rPr>
            </w:pPr>
            <w:r>
              <w:rPr>
                <w:sz w:val="20"/>
              </w:rPr>
              <w:t>Health insurance benefit mandates: prostate cancer screening (0 = no, 1 = yes)</w:t>
            </w:r>
          </w:p>
        </w:tc>
        <w:tc>
          <w:tcPr>
            <w:tcW w:w="6482" w:type="dxa"/>
          </w:tcPr>
          <w:p w14:paraId="2A8DFED7"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r w:rsidR="0046798B" w14:paraId="0B521E85" w14:textId="77777777">
        <w:trPr>
          <w:trHeight w:val="775"/>
        </w:trPr>
        <w:tc>
          <w:tcPr>
            <w:tcW w:w="1711" w:type="dxa"/>
          </w:tcPr>
          <w:p w14:paraId="677DFA19" w14:textId="77777777" w:rsidR="0046798B" w:rsidRDefault="0046798B">
            <w:pPr>
              <w:pStyle w:val="TableParagraph"/>
              <w:spacing w:before="3"/>
              <w:rPr>
                <w:sz w:val="23"/>
              </w:rPr>
            </w:pPr>
          </w:p>
          <w:p w14:paraId="66F07CFA" w14:textId="77777777" w:rsidR="0046798B" w:rsidRDefault="00903B5C">
            <w:pPr>
              <w:pStyle w:val="TableParagraph"/>
              <w:spacing w:before="1"/>
              <w:ind w:left="115"/>
              <w:rPr>
                <w:b/>
                <w:sz w:val="20"/>
              </w:rPr>
            </w:pPr>
            <w:r>
              <w:rPr>
                <w:b/>
                <w:sz w:val="20"/>
              </w:rPr>
              <w:t>hmbpd</w:t>
            </w:r>
          </w:p>
        </w:tc>
        <w:tc>
          <w:tcPr>
            <w:tcW w:w="1596" w:type="dxa"/>
          </w:tcPr>
          <w:p w14:paraId="32F7723D" w14:textId="77777777" w:rsidR="0046798B" w:rsidRDefault="00903B5C">
            <w:pPr>
              <w:pStyle w:val="TableParagraph"/>
              <w:spacing w:before="153"/>
              <w:ind w:left="114" w:right="485"/>
              <w:rPr>
                <w:sz w:val="20"/>
              </w:rPr>
            </w:pPr>
            <w:r>
              <w:rPr>
                <w:sz w:val="20"/>
              </w:rPr>
              <w:t>Prescription drugs</w:t>
            </w:r>
          </w:p>
        </w:tc>
        <w:tc>
          <w:tcPr>
            <w:tcW w:w="1285" w:type="dxa"/>
          </w:tcPr>
          <w:p w14:paraId="59E66BD2" w14:textId="77777777" w:rsidR="0046798B" w:rsidRDefault="0046798B">
            <w:pPr>
              <w:pStyle w:val="TableParagraph"/>
              <w:spacing w:before="3"/>
              <w:rPr>
                <w:sz w:val="23"/>
              </w:rPr>
            </w:pPr>
          </w:p>
          <w:p w14:paraId="77C33313" w14:textId="77777777" w:rsidR="0046798B" w:rsidRDefault="00903B5C">
            <w:pPr>
              <w:pStyle w:val="TableParagraph"/>
              <w:spacing w:before="1"/>
              <w:ind w:left="114"/>
              <w:rPr>
                <w:sz w:val="20"/>
              </w:rPr>
            </w:pPr>
            <w:r>
              <w:rPr>
                <w:sz w:val="20"/>
              </w:rPr>
              <w:t>2000–2016</w:t>
            </w:r>
          </w:p>
        </w:tc>
        <w:tc>
          <w:tcPr>
            <w:tcW w:w="3421" w:type="dxa"/>
          </w:tcPr>
          <w:p w14:paraId="168B4D4D" w14:textId="77777777" w:rsidR="0046798B" w:rsidRDefault="00903B5C">
            <w:pPr>
              <w:pStyle w:val="TableParagraph"/>
              <w:spacing w:before="153"/>
              <w:ind w:left="114" w:right="451"/>
              <w:rPr>
                <w:sz w:val="20"/>
              </w:rPr>
            </w:pPr>
            <w:r>
              <w:rPr>
                <w:sz w:val="20"/>
              </w:rPr>
              <w:t>Health insurance benefit mandates: prescription drugs (0 = no, 1 = yes)</w:t>
            </w:r>
          </w:p>
        </w:tc>
        <w:tc>
          <w:tcPr>
            <w:tcW w:w="6482" w:type="dxa"/>
          </w:tcPr>
          <w:p w14:paraId="79213DF0"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r w:rsidR="0046798B" w14:paraId="6BD66C37" w14:textId="77777777">
        <w:trPr>
          <w:trHeight w:val="775"/>
        </w:trPr>
        <w:tc>
          <w:tcPr>
            <w:tcW w:w="1711" w:type="dxa"/>
          </w:tcPr>
          <w:p w14:paraId="68699161" w14:textId="77777777" w:rsidR="0046798B" w:rsidRDefault="0046798B">
            <w:pPr>
              <w:pStyle w:val="TableParagraph"/>
              <w:spacing w:before="9"/>
              <w:rPr>
                <w:sz w:val="23"/>
              </w:rPr>
            </w:pPr>
          </w:p>
          <w:p w14:paraId="34FB37DD" w14:textId="77777777" w:rsidR="0046798B" w:rsidRDefault="00903B5C">
            <w:pPr>
              <w:pStyle w:val="TableParagraph"/>
              <w:ind w:left="115"/>
              <w:rPr>
                <w:b/>
                <w:sz w:val="20"/>
              </w:rPr>
            </w:pPr>
            <w:r>
              <w:rPr>
                <w:b/>
                <w:sz w:val="20"/>
              </w:rPr>
              <w:t>hmbpi</w:t>
            </w:r>
          </w:p>
        </w:tc>
        <w:tc>
          <w:tcPr>
            <w:tcW w:w="1596" w:type="dxa"/>
          </w:tcPr>
          <w:p w14:paraId="249AFC44" w14:textId="77777777" w:rsidR="0046798B" w:rsidRDefault="00903B5C">
            <w:pPr>
              <w:pStyle w:val="TableParagraph"/>
              <w:spacing w:before="158"/>
              <w:ind w:left="114" w:right="485"/>
              <w:rPr>
                <w:sz w:val="20"/>
              </w:rPr>
            </w:pPr>
            <w:r>
              <w:rPr>
                <w:sz w:val="20"/>
              </w:rPr>
              <w:t>Prescription inhalant</w:t>
            </w:r>
          </w:p>
        </w:tc>
        <w:tc>
          <w:tcPr>
            <w:tcW w:w="1285" w:type="dxa"/>
          </w:tcPr>
          <w:p w14:paraId="68CC9484" w14:textId="77777777" w:rsidR="0046798B" w:rsidRDefault="0046798B">
            <w:pPr>
              <w:pStyle w:val="TableParagraph"/>
              <w:spacing w:before="9"/>
              <w:rPr>
                <w:sz w:val="23"/>
              </w:rPr>
            </w:pPr>
          </w:p>
          <w:p w14:paraId="0B6A87AA" w14:textId="77777777" w:rsidR="0046798B" w:rsidRDefault="00903B5C">
            <w:pPr>
              <w:pStyle w:val="TableParagraph"/>
              <w:ind w:left="114"/>
              <w:rPr>
                <w:sz w:val="20"/>
              </w:rPr>
            </w:pPr>
            <w:r>
              <w:rPr>
                <w:sz w:val="20"/>
              </w:rPr>
              <w:t>2006–2016</w:t>
            </w:r>
          </w:p>
        </w:tc>
        <w:tc>
          <w:tcPr>
            <w:tcW w:w="3421" w:type="dxa"/>
          </w:tcPr>
          <w:p w14:paraId="10E333F7" w14:textId="77777777" w:rsidR="0046798B" w:rsidRDefault="00903B5C">
            <w:pPr>
              <w:pStyle w:val="TableParagraph"/>
              <w:spacing w:before="158"/>
              <w:ind w:left="114" w:right="252"/>
              <w:rPr>
                <w:sz w:val="20"/>
              </w:rPr>
            </w:pPr>
            <w:r>
              <w:rPr>
                <w:sz w:val="20"/>
              </w:rPr>
              <w:t>Health insurance benefit mandates: prescription inhalant (0 = no, 1 = yes)</w:t>
            </w:r>
          </w:p>
        </w:tc>
        <w:tc>
          <w:tcPr>
            <w:tcW w:w="6482" w:type="dxa"/>
          </w:tcPr>
          <w:p w14:paraId="774D4ED6" w14:textId="77777777" w:rsidR="0046798B" w:rsidRDefault="00903B5C">
            <w:pPr>
              <w:pStyle w:val="TableParagraph"/>
              <w:spacing w:before="43"/>
              <w:ind w:left="114"/>
              <w:rPr>
                <w:sz w:val="20"/>
              </w:rPr>
            </w:pPr>
            <w:r>
              <w:rPr>
                <w:sz w:val="20"/>
              </w:rPr>
              <w:t>Sorens, Jason, Fait Muedini, and William P. Ruger. “State and Local Public Policies in 2006: A New Database.” State Politics &amp; Policy Quarterly 8.3 (2008): 309–26.</w:t>
            </w:r>
          </w:p>
        </w:tc>
      </w:tr>
      <w:tr w:rsidR="0046798B" w14:paraId="396CF9DD" w14:textId="77777777">
        <w:trPr>
          <w:trHeight w:val="775"/>
        </w:trPr>
        <w:tc>
          <w:tcPr>
            <w:tcW w:w="1711" w:type="dxa"/>
          </w:tcPr>
          <w:p w14:paraId="1C025938" w14:textId="77777777" w:rsidR="0046798B" w:rsidRDefault="0046798B">
            <w:pPr>
              <w:pStyle w:val="TableParagraph"/>
              <w:spacing w:before="8"/>
              <w:rPr>
                <w:sz w:val="23"/>
              </w:rPr>
            </w:pPr>
          </w:p>
          <w:p w14:paraId="212567BA" w14:textId="77777777" w:rsidR="0046798B" w:rsidRDefault="00903B5C">
            <w:pPr>
              <w:pStyle w:val="TableParagraph"/>
              <w:spacing w:before="1"/>
              <w:ind w:left="115"/>
              <w:rPr>
                <w:b/>
                <w:sz w:val="20"/>
              </w:rPr>
            </w:pPr>
            <w:r>
              <w:rPr>
                <w:b/>
                <w:sz w:val="20"/>
              </w:rPr>
              <w:t>hmbpku</w:t>
            </w:r>
          </w:p>
        </w:tc>
        <w:tc>
          <w:tcPr>
            <w:tcW w:w="1596" w:type="dxa"/>
          </w:tcPr>
          <w:p w14:paraId="33090EC2" w14:textId="77777777" w:rsidR="0046798B" w:rsidRDefault="0046798B">
            <w:pPr>
              <w:pStyle w:val="TableParagraph"/>
              <w:spacing w:before="8"/>
              <w:rPr>
                <w:sz w:val="23"/>
              </w:rPr>
            </w:pPr>
          </w:p>
          <w:p w14:paraId="7D87E730" w14:textId="77777777" w:rsidR="0046798B" w:rsidRDefault="00903B5C">
            <w:pPr>
              <w:pStyle w:val="TableParagraph"/>
              <w:spacing w:before="1"/>
              <w:ind w:left="114"/>
              <w:rPr>
                <w:sz w:val="20"/>
              </w:rPr>
            </w:pPr>
            <w:r>
              <w:rPr>
                <w:sz w:val="20"/>
              </w:rPr>
              <w:t>PKU/formula</w:t>
            </w:r>
          </w:p>
        </w:tc>
        <w:tc>
          <w:tcPr>
            <w:tcW w:w="1285" w:type="dxa"/>
          </w:tcPr>
          <w:p w14:paraId="61BD1DE9" w14:textId="77777777" w:rsidR="0046798B" w:rsidRDefault="0046798B">
            <w:pPr>
              <w:pStyle w:val="TableParagraph"/>
              <w:spacing w:before="8"/>
              <w:rPr>
                <w:sz w:val="23"/>
              </w:rPr>
            </w:pPr>
          </w:p>
          <w:p w14:paraId="2F316F0E" w14:textId="77777777" w:rsidR="0046798B" w:rsidRDefault="00903B5C">
            <w:pPr>
              <w:pStyle w:val="TableParagraph"/>
              <w:spacing w:before="1"/>
              <w:ind w:left="114"/>
              <w:rPr>
                <w:sz w:val="20"/>
              </w:rPr>
            </w:pPr>
            <w:r>
              <w:rPr>
                <w:sz w:val="20"/>
              </w:rPr>
              <w:t>2006–2016</w:t>
            </w:r>
          </w:p>
        </w:tc>
        <w:tc>
          <w:tcPr>
            <w:tcW w:w="3421" w:type="dxa"/>
          </w:tcPr>
          <w:p w14:paraId="167E25C9" w14:textId="77777777" w:rsidR="0046798B" w:rsidRDefault="00903B5C">
            <w:pPr>
              <w:pStyle w:val="TableParagraph"/>
              <w:spacing w:before="158"/>
              <w:ind w:left="114" w:right="461"/>
              <w:rPr>
                <w:sz w:val="20"/>
              </w:rPr>
            </w:pPr>
            <w:r>
              <w:rPr>
                <w:sz w:val="20"/>
              </w:rPr>
              <w:t>Health insurance benefit mandates: PKU/formula (0 = no, 1 = yes)</w:t>
            </w:r>
          </w:p>
        </w:tc>
        <w:tc>
          <w:tcPr>
            <w:tcW w:w="6482" w:type="dxa"/>
          </w:tcPr>
          <w:p w14:paraId="007C3E41" w14:textId="77777777" w:rsidR="0046798B" w:rsidRDefault="00903B5C">
            <w:pPr>
              <w:pStyle w:val="TableParagraph"/>
              <w:spacing w:before="43"/>
              <w:ind w:left="114" w:right="272"/>
              <w:rPr>
                <w:sz w:val="20"/>
              </w:rPr>
            </w:pPr>
            <w:r>
              <w:rPr>
                <w:sz w:val="20"/>
              </w:rPr>
              <w:t>Sorens, Jason, Fait Muedini, and William P. Ruger. “State and Local Public Policies in 2006: A New Database.” State Politics &amp; Policy Quarterly 8.3 (2008): 309–26.</w:t>
            </w:r>
          </w:p>
        </w:tc>
      </w:tr>
      <w:tr w:rsidR="0046798B" w14:paraId="40E0A00A" w14:textId="77777777">
        <w:trPr>
          <w:trHeight w:val="780"/>
        </w:trPr>
        <w:tc>
          <w:tcPr>
            <w:tcW w:w="1711" w:type="dxa"/>
          </w:tcPr>
          <w:p w14:paraId="24BA5A3F" w14:textId="77777777" w:rsidR="0046798B" w:rsidRDefault="0046798B">
            <w:pPr>
              <w:pStyle w:val="TableParagraph"/>
              <w:spacing w:before="8"/>
              <w:rPr>
                <w:sz w:val="23"/>
              </w:rPr>
            </w:pPr>
          </w:p>
          <w:p w14:paraId="1C24E25A" w14:textId="77777777" w:rsidR="0046798B" w:rsidRDefault="00903B5C">
            <w:pPr>
              <w:pStyle w:val="TableParagraph"/>
              <w:spacing w:before="1"/>
              <w:ind w:left="115"/>
              <w:rPr>
                <w:b/>
                <w:sz w:val="20"/>
              </w:rPr>
            </w:pPr>
            <w:r>
              <w:rPr>
                <w:b/>
                <w:sz w:val="20"/>
              </w:rPr>
              <w:t>hmbps</w:t>
            </w:r>
          </w:p>
        </w:tc>
        <w:tc>
          <w:tcPr>
            <w:tcW w:w="1596" w:type="dxa"/>
          </w:tcPr>
          <w:p w14:paraId="4E0C6AC4" w14:textId="77777777" w:rsidR="0046798B" w:rsidRDefault="00903B5C">
            <w:pPr>
              <w:pStyle w:val="TableParagraph"/>
              <w:spacing w:before="158"/>
              <w:ind w:left="114" w:right="685"/>
              <w:rPr>
                <w:sz w:val="20"/>
              </w:rPr>
            </w:pPr>
            <w:r>
              <w:rPr>
                <w:sz w:val="20"/>
              </w:rPr>
              <w:t>Protein screening</w:t>
            </w:r>
          </w:p>
        </w:tc>
        <w:tc>
          <w:tcPr>
            <w:tcW w:w="1285" w:type="dxa"/>
          </w:tcPr>
          <w:p w14:paraId="4D68B366" w14:textId="77777777" w:rsidR="0046798B" w:rsidRDefault="0046798B">
            <w:pPr>
              <w:pStyle w:val="TableParagraph"/>
              <w:spacing w:before="8"/>
              <w:rPr>
                <w:sz w:val="23"/>
              </w:rPr>
            </w:pPr>
          </w:p>
          <w:p w14:paraId="44B733DC" w14:textId="77777777" w:rsidR="0046798B" w:rsidRDefault="00903B5C">
            <w:pPr>
              <w:pStyle w:val="TableParagraph"/>
              <w:spacing w:before="1"/>
              <w:ind w:left="114"/>
              <w:rPr>
                <w:sz w:val="20"/>
              </w:rPr>
            </w:pPr>
            <w:r>
              <w:rPr>
                <w:sz w:val="20"/>
              </w:rPr>
              <w:t>2006–2016</w:t>
            </w:r>
          </w:p>
        </w:tc>
        <w:tc>
          <w:tcPr>
            <w:tcW w:w="3421" w:type="dxa"/>
          </w:tcPr>
          <w:p w14:paraId="434D56AA" w14:textId="77777777" w:rsidR="0046798B" w:rsidRDefault="00903B5C">
            <w:pPr>
              <w:pStyle w:val="TableParagraph"/>
              <w:spacing w:before="158"/>
              <w:ind w:left="114" w:right="461"/>
              <w:rPr>
                <w:sz w:val="20"/>
              </w:rPr>
            </w:pPr>
            <w:r>
              <w:rPr>
                <w:sz w:val="20"/>
              </w:rPr>
              <w:t>Health insurance benefit mandates: protein screening (0 = no, 1 = yes)</w:t>
            </w:r>
          </w:p>
        </w:tc>
        <w:tc>
          <w:tcPr>
            <w:tcW w:w="6482" w:type="dxa"/>
          </w:tcPr>
          <w:p w14:paraId="09028623" w14:textId="77777777" w:rsidR="0046798B" w:rsidRDefault="00903B5C">
            <w:pPr>
              <w:pStyle w:val="TableParagraph"/>
              <w:spacing w:before="43"/>
              <w:ind w:left="114"/>
              <w:rPr>
                <w:sz w:val="20"/>
              </w:rPr>
            </w:pPr>
            <w:r>
              <w:rPr>
                <w:sz w:val="20"/>
              </w:rPr>
              <w:t>Sorens, Jason, Fait Muedini, and William P. Ruger. “State and Local Public Policies in 2006: A New Database.” State Politics &amp; Policy Quarterly 8.3 (2008): 309–26.</w:t>
            </w:r>
          </w:p>
        </w:tc>
      </w:tr>
      <w:tr w:rsidR="0046798B" w14:paraId="31C80FA5" w14:textId="77777777">
        <w:trPr>
          <w:trHeight w:val="775"/>
        </w:trPr>
        <w:tc>
          <w:tcPr>
            <w:tcW w:w="1711" w:type="dxa"/>
          </w:tcPr>
          <w:p w14:paraId="046889BC" w14:textId="77777777" w:rsidR="0046798B" w:rsidRDefault="0046798B">
            <w:pPr>
              <w:pStyle w:val="TableParagraph"/>
              <w:spacing w:before="4"/>
              <w:rPr>
                <w:sz w:val="23"/>
              </w:rPr>
            </w:pPr>
          </w:p>
          <w:p w14:paraId="3978AC91" w14:textId="77777777" w:rsidR="0046798B" w:rsidRDefault="00903B5C">
            <w:pPr>
              <w:pStyle w:val="TableParagraph"/>
              <w:ind w:left="115"/>
              <w:rPr>
                <w:b/>
                <w:sz w:val="20"/>
              </w:rPr>
            </w:pPr>
            <w:r>
              <w:rPr>
                <w:b/>
                <w:sz w:val="20"/>
              </w:rPr>
              <w:t>hmbpse</w:t>
            </w:r>
          </w:p>
        </w:tc>
        <w:tc>
          <w:tcPr>
            <w:tcW w:w="1596" w:type="dxa"/>
          </w:tcPr>
          <w:p w14:paraId="65810426" w14:textId="77777777" w:rsidR="0046798B" w:rsidRDefault="00903B5C">
            <w:pPr>
              <w:pStyle w:val="TableParagraph"/>
              <w:spacing w:before="153"/>
              <w:ind w:left="114" w:right="235"/>
              <w:rPr>
                <w:sz w:val="20"/>
              </w:rPr>
            </w:pPr>
            <w:r>
              <w:rPr>
                <w:sz w:val="20"/>
              </w:rPr>
              <w:t>Port-wine stain elimination</w:t>
            </w:r>
          </w:p>
        </w:tc>
        <w:tc>
          <w:tcPr>
            <w:tcW w:w="1285" w:type="dxa"/>
          </w:tcPr>
          <w:p w14:paraId="21891EF7" w14:textId="77777777" w:rsidR="0046798B" w:rsidRDefault="0046798B">
            <w:pPr>
              <w:pStyle w:val="TableParagraph"/>
              <w:spacing w:before="4"/>
              <w:rPr>
                <w:sz w:val="23"/>
              </w:rPr>
            </w:pPr>
          </w:p>
          <w:p w14:paraId="2475B88F" w14:textId="77777777" w:rsidR="0046798B" w:rsidRDefault="00903B5C">
            <w:pPr>
              <w:pStyle w:val="TableParagraph"/>
              <w:ind w:left="114"/>
              <w:rPr>
                <w:sz w:val="20"/>
              </w:rPr>
            </w:pPr>
            <w:r>
              <w:rPr>
                <w:sz w:val="20"/>
              </w:rPr>
              <w:t>2006–2008</w:t>
            </w:r>
          </w:p>
        </w:tc>
        <w:tc>
          <w:tcPr>
            <w:tcW w:w="3421" w:type="dxa"/>
          </w:tcPr>
          <w:p w14:paraId="5335FCB9" w14:textId="77777777" w:rsidR="0046798B" w:rsidRDefault="00903B5C">
            <w:pPr>
              <w:pStyle w:val="TableParagraph"/>
              <w:spacing w:before="38"/>
              <w:ind w:left="114" w:right="138"/>
              <w:rPr>
                <w:sz w:val="20"/>
              </w:rPr>
            </w:pPr>
            <w:r>
              <w:rPr>
                <w:sz w:val="20"/>
              </w:rPr>
              <w:t>Health insurance benefit mandates: port-wine stain elimination (0 = no, 1 = yes)</w:t>
            </w:r>
          </w:p>
        </w:tc>
        <w:tc>
          <w:tcPr>
            <w:tcW w:w="6482" w:type="dxa"/>
          </w:tcPr>
          <w:p w14:paraId="592D1694"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r w:rsidR="0046798B" w14:paraId="7A145BD0" w14:textId="77777777">
        <w:trPr>
          <w:trHeight w:val="775"/>
        </w:trPr>
        <w:tc>
          <w:tcPr>
            <w:tcW w:w="1711" w:type="dxa"/>
          </w:tcPr>
          <w:p w14:paraId="630D0BA6" w14:textId="77777777" w:rsidR="0046798B" w:rsidRDefault="0046798B">
            <w:pPr>
              <w:pStyle w:val="TableParagraph"/>
              <w:spacing w:before="3"/>
              <w:rPr>
                <w:sz w:val="23"/>
              </w:rPr>
            </w:pPr>
          </w:p>
          <w:p w14:paraId="0684CFED" w14:textId="77777777" w:rsidR="0046798B" w:rsidRDefault="00903B5C">
            <w:pPr>
              <w:pStyle w:val="TableParagraph"/>
              <w:ind w:left="115"/>
              <w:rPr>
                <w:b/>
                <w:sz w:val="20"/>
              </w:rPr>
            </w:pPr>
            <w:r>
              <w:rPr>
                <w:b/>
                <w:sz w:val="20"/>
              </w:rPr>
              <w:t>hmbrcs</w:t>
            </w:r>
          </w:p>
        </w:tc>
        <w:tc>
          <w:tcPr>
            <w:tcW w:w="1596" w:type="dxa"/>
          </w:tcPr>
          <w:p w14:paraId="30296ACD" w14:textId="77777777" w:rsidR="0046798B" w:rsidRDefault="00903B5C">
            <w:pPr>
              <w:pStyle w:val="TableParagraph"/>
              <w:spacing w:before="153"/>
              <w:ind w:left="114" w:right="335"/>
              <w:rPr>
                <w:sz w:val="20"/>
              </w:rPr>
            </w:pPr>
            <w:r>
              <w:rPr>
                <w:sz w:val="20"/>
              </w:rPr>
              <w:t>Residential crisis services</w:t>
            </w:r>
          </w:p>
        </w:tc>
        <w:tc>
          <w:tcPr>
            <w:tcW w:w="1285" w:type="dxa"/>
          </w:tcPr>
          <w:p w14:paraId="3FF2FAB0" w14:textId="77777777" w:rsidR="0046798B" w:rsidRDefault="0046798B">
            <w:pPr>
              <w:pStyle w:val="TableParagraph"/>
              <w:spacing w:before="3"/>
              <w:rPr>
                <w:sz w:val="23"/>
              </w:rPr>
            </w:pPr>
          </w:p>
          <w:p w14:paraId="6787FEF6" w14:textId="77777777" w:rsidR="0046798B" w:rsidRDefault="00903B5C">
            <w:pPr>
              <w:pStyle w:val="TableParagraph"/>
              <w:ind w:left="114"/>
              <w:rPr>
                <w:sz w:val="20"/>
              </w:rPr>
            </w:pPr>
            <w:r>
              <w:rPr>
                <w:sz w:val="20"/>
              </w:rPr>
              <w:t>2006–2008</w:t>
            </w:r>
          </w:p>
        </w:tc>
        <w:tc>
          <w:tcPr>
            <w:tcW w:w="3421" w:type="dxa"/>
          </w:tcPr>
          <w:p w14:paraId="674D1914" w14:textId="77777777" w:rsidR="0046798B" w:rsidRDefault="00903B5C">
            <w:pPr>
              <w:pStyle w:val="TableParagraph"/>
              <w:spacing w:before="38"/>
              <w:ind w:left="114" w:right="285"/>
              <w:rPr>
                <w:sz w:val="20"/>
              </w:rPr>
            </w:pPr>
            <w:r>
              <w:rPr>
                <w:sz w:val="20"/>
              </w:rPr>
              <w:t>Health insurance benefit mandates: residential crisis services (0 = no, 1 = yes)</w:t>
            </w:r>
          </w:p>
        </w:tc>
        <w:tc>
          <w:tcPr>
            <w:tcW w:w="6482" w:type="dxa"/>
          </w:tcPr>
          <w:p w14:paraId="13C7FBD2"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r w:rsidR="0046798B" w14:paraId="375277A8" w14:textId="77777777">
        <w:trPr>
          <w:trHeight w:val="775"/>
        </w:trPr>
        <w:tc>
          <w:tcPr>
            <w:tcW w:w="1711" w:type="dxa"/>
          </w:tcPr>
          <w:p w14:paraId="7A132110" w14:textId="77777777" w:rsidR="0046798B" w:rsidRDefault="0046798B">
            <w:pPr>
              <w:pStyle w:val="TableParagraph"/>
              <w:spacing w:before="3"/>
              <w:rPr>
                <w:sz w:val="23"/>
              </w:rPr>
            </w:pPr>
          </w:p>
          <w:p w14:paraId="4AE84F3C" w14:textId="77777777" w:rsidR="0046798B" w:rsidRDefault="00903B5C">
            <w:pPr>
              <w:pStyle w:val="TableParagraph"/>
              <w:spacing w:before="1"/>
              <w:ind w:left="115"/>
              <w:rPr>
                <w:b/>
                <w:sz w:val="20"/>
              </w:rPr>
            </w:pPr>
            <w:r>
              <w:rPr>
                <w:b/>
                <w:sz w:val="20"/>
              </w:rPr>
              <w:t>hmbrec</w:t>
            </w:r>
          </w:p>
        </w:tc>
        <w:tc>
          <w:tcPr>
            <w:tcW w:w="1596" w:type="dxa"/>
          </w:tcPr>
          <w:p w14:paraId="4D348457" w14:textId="77777777" w:rsidR="0046798B" w:rsidRDefault="00903B5C">
            <w:pPr>
              <w:pStyle w:val="TableParagraph"/>
              <w:spacing w:before="153"/>
              <w:ind w:left="114" w:right="252"/>
              <w:rPr>
                <w:sz w:val="20"/>
              </w:rPr>
            </w:pPr>
            <w:r>
              <w:rPr>
                <w:sz w:val="20"/>
              </w:rPr>
              <w:t>Reconstructive surgery</w:t>
            </w:r>
          </w:p>
        </w:tc>
        <w:tc>
          <w:tcPr>
            <w:tcW w:w="1285" w:type="dxa"/>
          </w:tcPr>
          <w:p w14:paraId="72C5EBBF" w14:textId="77777777" w:rsidR="0046798B" w:rsidRDefault="0046798B">
            <w:pPr>
              <w:pStyle w:val="TableParagraph"/>
              <w:spacing w:before="3"/>
              <w:rPr>
                <w:sz w:val="23"/>
              </w:rPr>
            </w:pPr>
          </w:p>
          <w:p w14:paraId="2DF1FF0A" w14:textId="77777777" w:rsidR="0046798B" w:rsidRDefault="00903B5C">
            <w:pPr>
              <w:pStyle w:val="TableParagraph"/>
              <w:spacing w:before="1"/>
              <w:ind w:left="114"/>
              <w:rPr>
                <w:sz w:val="20"/>
              </w:rPr>
            </w:pPr>
            <w:r>
              <w:rPr>
                <w:sz w:val="20"/>
              </w:rPr>
              <w:t>2006–2008</w:t>
            </w:r>
          </w:p>
        </w:tc>
        <w:tc>
          <w:tcPr>
            <w:tcW w:w="3421" w:type="dxa"/>
          </w:tcPr>
          <w:p w14:paraId="37D1F7D4" w14:textId="77777777" w:rsidR="0046798B" w:rsidRDefault="00903B5C">
            <w:pPr>
              <w:pStyle w:val="TableParagraph"/>
              <w:spacing w:before="153"/>
              <w:ind w:left="114" w:right="119"/>
              <w:rPr>
                <w:sz w:val="20"/>
              </w:rPr>
            </w:pPr>
            <w:r>
              <w:rPr>
                <w:sz w:val="20"/>
              </w:rPr>
              <w:t>Health insurance benefit mandates: reconstructive surgery (0 = no, 1 = yes)</w:t>
            </w:r>
          </w:p>
        </w:tc>
        <w:tc>
          <w:tcPr>
            <w:tcW w:w="6482" w:type="dxa"/>
          </w:tcPr>
          <w:p w14:paraId="0D1D47A7" w14:textId="77777777" w:rsidR="0046798B" w:rsidRDefault="00903B5C">
            <w:pPr>
              <w:pStyle w:val="TableParagraph"/>
              <w:spacing w:before="38"/>
              <w:ind w:left="114" w:right="272"/>
              <w:rPr>
                <w:sz w:val="20"/>
              </w:rPr>
            </w:pPr>
            <w:r>
              <w:rPr>
                <w:sz w:val="20"/>
              </w:rPr>
              <w:t>Sorens, Jason, Fait Muedini, and William P. Ruger. “State and Local Public Policies in 2006: A New Database.” State Politics &amp; Policy Quarterly 8.3 (2008): 309–26.</w:t>
            </w:r>
          </w:p>
        </w:tc>
      </w:tr>
    </w:tbl>
    <w:p w14:paraId="71C54564" w14:textId="77777777" w:rsidR="0046798B" w:rsidRDefault="0046798B">
      <w:pPr>
        <w:rPr>
          <w:sz w:val="20"/>
        </w:rPr>
        <w:sectPr w:rsidR="0046798B">
          <w:pgSz w:w="15840" w:h="12240" w:orient="landscape"/>
          <w:pgMar w:top="1220" w:right="300" w:bottom="980" w:left="820" w:header="730" w:footer="787" w:gutter="0"/>
          <w:cols w:space="720"/>
        </w:sectPr>
      </w:pPr>
    </w:p>
    <w:p w14:paraId="3803F39B"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DCB1DD5" w14:textId="77777777">
        <w:trPr>
          <w:trHeight w:val="775"/>
        </w:trPr>
        <w:tc>
          <w:tcPr>
            <w:tcW w:w="1711" w:type="dxa"/>
          </w:tcPr>
          <w:p w14:paraId="0AA558E7" w14:textId="77777777" w:rsidR="0046798B" w:rsidRDefault="0046798B">
            <w:pPr>
              <w:pStyle w:val="TableParagraph"/>
              <w:spacing w:before="9"/>
              <w:rPr>
                <w:sz w:val="23"/>
              </w:rPr>
            </w:pPr>
          </w:p>
          <w:p w14:paraId="0450565C" w14:textId="77777777" w:rsidR="0046798B" w:rsidRDefault="00903B5C">
            <w:pPr>
              <w:pStyle w:val="TableParagraph"/>
              <w:ind w:left="115"/>
              <w:rPr>
                <w:b/>
                <w:sz w:val="20"/>
              </w:rPr>
            </w:pPr>
            <w:r>
              <w:rPr>
                <w:b/>
                <w:sz w:val="20"/>
              </w:rPr>
              <w:t>hmbrs</w:t>
            </w:r>
          </w:p>
        </w:tc>
        <w:tc>
          <w:tcPr>
            <w:tcW w:w="1596" w:type="dxa"/>
          </w:tcPr>
          <w:p w14:paraId="190DC2FE" w14:textId="77777777" w:rsidR="0046798B" w:rsidRDefault="00903B5C">
            <w:pPr>
              <w:pStyle w:val="TableParagraph"/>
              <w:spacing w:before="158"/>
              <w:ind w:left="114" w:right="318"/>
              <w:rPr>
                <w:sz w:val="20"/>
              </w:rPr>
            </w:pPr>
            <w:r>
              <w:rPr>
                <w:sz w:val="20"/>
              </w:rPr>
              <w:t>Rehabilitation services</w:t>
            </w:r>
          </w:p>
        </w:tc>
        <w:tc>
          <w:tcPr>
            <w:tcW w:w="1285" w:type="dxa"/>
          </w:tcPr>
          <w:p w14:paraId="3FFE4D42" w14:textId="77777777" w:rsidR="0046798B" w:rsidRDefault="0046798B">
            <w:pPr>
              <w:pStyle w:val="TableParagraph"/>
              <w:spacing w:before="9"/>
              <w:rPr>
                <w:sz w:val="23"/>
              </w:rPr>
            </w:pPr>
          </w:p>
          <w:p w14:paraId="19E6C5A7" w14:textId="77777777" w:rsidR="0046798B" w:rsidRDefault="00903B5C">
            <w:pPr>
              <w:pStyle w:val="TableParagraph"/>
              <w:ind w:left="114"/>
              <w:rPr>
                <w:sz w:val="20"/>
              </w:rPr>
            </w:pPr>
            <w:r>
              <w:rPr>
                <w:sz w:val="20"/>
              </w:rPr>
              <w:t>2000–2016</w:t>
            </w:r>
          </w:p>
        </w:tc>
        <w:tc>
          <w:tcPr>
            <w:tcW w:w="3421" w:type="dxa"/>
          </w:tcPr>
          <w:p w14:paraId="453967FE" w14:textId="77777777" w:rsidR="0046798B" w:rsidRDefault="00903B5C">
            <w:pPr>
              <w:pStyle w:val="TableParagraph"/>
              <w:spacing w:before="158"/>
              <w:ind w:left="114" w:right="141"/>
              <w:rPr>
                <w:sz w:val="20"/>
              </w:rPr>
            </w:pPr>
            <w:r>
              <w:rPr>
                <w:sz w:val="20"/>
              </w:rPr>
              <w:t>Health insurance benefit mandates: rehabilitation services (0 = no, 1 = yes)</w:t>
            </w:r>
          </w:p>
        </w:tc>
        <w:tc>
          <w:tcPr>
            <w:tcW w:w="6482" w:type="dxa"/>
          </w:tcPr>
          <w:p w14:paraId="46574A53" w14:textId="77777777" w:rsidR="0046798B" w:rsidRDefault="00903B5C">
            <w:pPr>
              <w:pStyle w:val="TableParagraph"/>
              <w:spacing w:before="43"/>
              <w:ind w:left="114"/>
              <w:rPr>
                <w:sz w:val="20"/>
              </w:rPr>
            </w:pPr>
            <w:r>
              <w:rPr>
                <w:sz w:val="20"/>
              </w:rPr>
              <w:t>Sorens, Jason, Fait Muedini, and William P. Ruger. “State and Local Public Policies in 2006: A New Database.” State Politics &amp; Policy Quarterly 8.3 (2008): 309–26.</w:t>
            </w:r>
          </w:p>
        </w:tc>
      </w:tr>
      <w:tr w:rsidR="0046798B" w14:paraId="5395A9D9" w14:textId="77777777">
        <w:trPr>
          <w:trHeight w:val="775"/>
        </w:trPr>
        <w:tc>
          <w:tcPr>
            <w:tcW w:w="1711" w:type="dxa"/>
          </w:tcPr>
          <w:p w14:paraId="14443964" w14:textId="77777777" w:rsidR="0046798B" w:rsidRDefault="0046798B">
            <w:pPr>
              <w:pStyle w:val="TableParagraph"/>
              <w:spacing w:before="8"/>
              <w:rPr>
                <w:sz w:val="23"/>
              </w:rPr>
            </w:pPr>
          </w:p>
          <w:p w14:paraId="185A6FF9" w14:textId="77777777" w:rsidR="0046798B" w:rsidRDefault="00903B5C">
            <w:pPr>
              <w:pStyle w:val="TableParagraph"/>
              <w:spacing w:before="1"/>
              <w:ind w:left="115"/>
              <w:rPr>
                <w:b/>
                <w:sz w:val="20"/>
              </w:rPr>
            </w:pPr>
            <w:r>
              <w:rPr>
                <w:b/>
                <w:sz w:val="20"/>
              </w:rPr>
              <w:t>hmbshv</w:t>
            </w:r>
          </w:p>
        </w:tc>
        <w:tc>
          <w:tcPr>
            <w:tcW w:w="1596" w:type="dxa"/>
          </w:tcPr>
          <w:p w14:paraId="6086513D" w14:textId="77777777" w:rsidR="0046798B" w:rsidRDefault="0046798B">
            <w:pPr>
              <w:pStyle w:val="TableParagraph"/>
              <w:spacing w:before="8"/>
              <w:rPr>
                <w:sz w:val="23"/>
              </w:rPr>
            </w:pPr>
          </w:p>
          <w:p w14:paraId="1BE76A54" w14:textId="77777777" w:rsidR="0046798B" w:rsidRDefault="00903B5C">
            <w:pPr>
              <w:pStyle w:val="TableParagraph"/>
              <w:spacing w:before="1"/>
              <w:ind w:left="114"/>
              <w:rPr>
                <w:sz w:val="20"/>
              </w:rPr>
            </w:pPr>
            <w:r>
              <w:rPr>
                <w:sz w:val="20"/>
              </w:rPr>
              <w:t>Shingles vaccine</w:t>
            </w:r>
          </w:p>
        </w:tc>
        <w:tc>
          <w:tcPr>
            <w:tcW w:w="1285" w:type="dxa"/>
          </w:tcPr>
          <w:p w14:paraId="17E6D1D7" w14:textId="77777777" w:rsidR="0046798B" w:rsidRDefault="0046798B">
            <w:pPr>
              <w:pStyle w:val="TableParagraph"/>
              <w:spacing w:before="8"/>
              <w:rPr>
                <w:sz w:val="23"/>
              </w:rPr>
            </w:pPr>
          </w:p>
          <w:p w14:paraId="0D0CD6DC" w14:textId="77777777" w:rsidR="0046798B" w:rsidRDefault="00903B5C">
            <w:pPr>
              <w:pStyle w:val="TableParagraph"/>
              <w:spacing w:before="1"/>
              <w:ind w:left="114"/>
              <w:rPr>
                <w:sz w:val="20"/>
              </w:rPr>
            </w:pPr>
            <w:r>
              <w:rPr>
                <w:sz w:val="20"/>
              </w:rPr>
              <w:t>2006–2016</w:t>
            </w:r>
          </w:p>
        </w:tc>
        <w:tc>
          <w:tcPr>
            <w:tcW w:w="3421" w:type="dxa"/>
          </w:tcPr>
          <w:p w14:paraId="409B80C7" w14:textId="77777777" w:rsidR="0046798B" w:rsidRDefault="00903B5C">
            <w:pPr>
              <w:pStyle w:val="TableParagraph"/>
              <w:spacing w:before="158"/>
              <w:ind w:left="114" w:right="461"/>
              <w:rPr>
                <w:sz w:val="20"/>
              </w:rPr>
            </w:pPr>
            <w:r>
              <w:rPr>
                <w:sz w:val="20"/>
              </w:rPr>
              <w:t>Health insurance benefit mandates: shingles vaccine (0 = no, 1 = yes)</w:t>
            </w:r>
          </w:p>
        </w:tc>
        <w:tc>
          <w:tcPr>
            <w:tcW w:w="6482" w:type="dxa"/>
          </w:tcPr>
          <w:p w14:paraId="28A81761" w14:textId="77777777" w:rsidR="0046798B" w:rsidRDefault="00903B5C">
            <w:pPr>
              <w:pStyle w:val="TableParagraph"/>
              <w:spacing w:before="43"/>
              <w:ind w:left="114"/>
              <w:rPr>
                <w:sz w:val="20"/>
              </w:rPr>
            </w:pPr>
            <w:r>
              <w:rPr>
                <w:sz w:val="20"/>
              </w:rPr>
              <w:t>Sorens, Jason, Fait Muedini, and William P. Ruger. “State and Local Public Policies in 2006: A New Database.” State Politics &amp; Policy Quarterly 8.3 (2008): 309–26.</w:t>
            </w:r>
          </w:p>
        </w:tc>
      </w:tr>
      <w:tr w:rsidR="0046798B" w14:paraId="43225C28" w14:textId="77777777">
        <w:trPr>
          <w:trHeight w:val="780"/>
        </w:trPr>
        <w:tc>
          <w:tcPr>
            <w:tcW w:w="1711" w:type="dxa"/>
          </w:tcPr>
          <w:p w14:paraId="2FA1B9DB" w14:textId="77777777" w:rsidR="0046798B" w:rsidRDefault="0046798B">
            <w:pPr>
              <w:pStyle w:val="TableParagraph"/>
              <w:spacing w:before="9"/>
              <w:rPr>
                <w:sz w:val="23"/>
              </w:rPr>
            </w:pPr>
          </w:p>
          <w:p w14:paraId="6A63E018" w14:textId="77777777" w:rsidR="0046798B" w:rsidRDefault="00903B5C">
            <w:pPr>
              <w:pStyle w:val="TableParagraph"/>
              <w:ind w:left="115"/>
              <w:rPr>
                <w:b/>
                <w:sz w:val="20"/>
              </w:rPr>
            </w:pPr>
            <w:r>
              <w:rPr>
                <w:b/>
                <w:sz w:val="20"/>
              </w:rPr>
              <w:t>hmbspf</w:t>
            </w:r>
          </w:p>
        </w:tc>
        <w:tc>
          <w:tcPr>
            <w:tcW w:w="1596" w:type="dxa"/>
          </w:tcPr>
          <w:p w14:paraId="1498FB3F" w14:textId="77777777" w:rsidR="0046798B" w:rsidRDefault="0046798B">
            <w:pPr>
              <w:pStyle w:val="TableParagraph"/>
              <w:spacing w:before="9"/>
              <w:rPr>
                <w:sz w:val="23"/>
              </w:rPr>
            </w:pPr>
          </w:p>
          <w:p w14:paraId="4BEB6366" w14:textId="77777777" w:rsidR="0046798B" w:rsidRDefault="00903B5C">
            <w:pPr>
              <w:pStyle w:val="TableParagraph"/>
              <w:ind w:left="114"/>
              <w:rPr>
                <w:sz w:val="20"/>
              </w:rPr>
            </w:pPr>
            <w:r>
              <w:rPr>
                <w:sz w:val="20"/>
              </w:rPr>
              <w:t>Special footwear</w:t>
            </w:r>
          </w:p>
        </w:tc>
        <w:tc>
          <w:tcPr>
            <w:tcW w:w="1285" w:type="dxa"/>
          </w:tcPr>
          <w:p w14:paraId="20510CC9" w14:textId="77777777" w:rsidR="0046798B" w:rsidRDefault="0046798B">
            <w:pPr>
              <w:pStyle w:val="TableParagraph"/>
              <w:spacing w:before="9"/>
              <w:rPr>
                <w:sz w:val="23"/>
              </w:rPr>
            </w:pPr>
          </w:p>
          <w:p w14:paraId="60642E7E" w14:textId="77777777" w:rsidR="0046798B" w:rsidRDefault="00903B5C">
            <w:pPr>
              <w:pStyle w:val="TableParagraph"/>
              <w:ind w:left="114"/>
              <w:rPr>
                <w:sz w:val="20"/>
              </w:rPr>
            </w:pPr>
            <w:r>
              <w:rPr>
                <w:sz w:val="20"/>
              </w:rPr>
              <w:t>2006–2008</w:t>
            </w:r>
          </w:p>
        </w:tc>
        <w:tc>
          <w:tcPr>
            <w:tcW w:w="3421" w:type="dxa"/>
          </w:tcPr>
          <w:p w14:paraId="7E588FCE" w14:textId="77777777" w:rsidR="0046798B" w:rsidRDefault="00903B5C">
            <w:pPr>
              <w:pStyle w:val="TableParagraph"/>
              <w:spacing w:before="159"/>
              <w:ind w:left="114" w:right="461"/>
              <w:rPr>
                <w:sz w:val="20"/>
              </w:rPr>
            </w:pPr>
            <w:r>
              <w:rPr>
                <w:sz w:val="20"/>
              </w:rPr>
              <w:t>Health insurance benefit mandates: special footwear (0 = no, 1 = yes)</w:t>
            </w:r>
          </w:p>
        </w:tc>
        <w:tc>
          <w:tcPr>
            <w:tcW w:w="6482" w:type="dxa"/>
          </w:tcPr>
          <w:p w14:paraId="2691D197" w14:textId="77777777" w:rsidR="0046798B" w:rsidRDefault="00903B5C">
            <w:pPr>
              <w:pStyle w:val="TableParagraph"/>
              <w:spacing w:before="44"/>
              <w:ind w:left="114"/>
              <w:rPr>
                <w:sz w:val="20"/>
              </w:rPr>
            </w:pPr>
            <w:r>
              <w:rPr>
                <w:sz w:val="20"/>
              </w:rPr>
              <w:t>Sorens, Jason, Fait Muedini, and William P. Ruger. “State and Local Public Policies in 2006: A New Database.” State Politics &amp; Policy Quarterly 8.3 (2008): 309–26.</w:t>
            </w:r>
          </w:p>
        </w:tc>
      </w:tr>
      <w:tr w:rsidR="0046798B" w14:paraId="2E6D9D3E" w14:textId="77777777">
        <w:trPr>
          <w:trHeight w:val="775"/>
        </w:trPr>
        <w:tc>
          <w:tcPr>
            <w:tcW w:w="1711" w:type="dxa"/>
          </w:tcPr>
          <w:p w14:paraId="18363D41" w14:textId="77777777" w:rsidR="0046798B" w:rsidRDefault="0046798B">
            <w:pPr>
              <w:pStyle w:val="TableParagraph"/>
              <w:spacing w:before="3"/>
              <w:rPr>
                <w:sz w:val="23"/>
              </w:rPr>
            </w:pPr>
          </w:p>
          <w:p w14:paraId="73D8AE77" w14:textId="77777777" w:rsidR="0046798B" w:rsidRDefault="00903B5C">
            <w:pPr>
              <w:pStyle w:val="TableParagraph"/>
              <w:spacing w:before="1"/>
              <w:ind w:left="115"/>
              <w:rPr>
                <w:b/>
                <w:sz w:val="20"/>
              </w:rPr>
            </w:pPr>
            <w:r>
              <w:rPr>
                <w:b/>
                <w:sz w:val="20"/>
              </w:rPr>
              <w:t>hmbsso</w:t>
            </w:r>
          </w:p>
        </w:tc>
        <w:tc>
          <w:tcPr>
            <w:tcW w:w="1596" w:type="dxa"/>
          </w:tcPr>
          <w:p w14:paraId="5AAA12D9" w14:textId="77777777" w:rsidR="0046798B" w:rsidRDefault="00903B5C">
            <w:pPr>
              <w:pStyle w:val="TableParagraph"/>
              <w:spacing w:before="153"/>
              <w:ind w:left="114" w:right="180"/>
              <w:rPr>
                <w:sz w:val="20"/>
              </w:rPr>
            </w:pPr>
            <w:r>
              <w:rPr>
                <w:sz w:val="20"/>
              </w:rPr>
              <w:t>Second surgical opinion</w:t>
            </w:r>
          </w:p>
        </w:tc>
        <w:tc>
          <w:tcPr>
            <w:tcW w:w="1285" w:type="dxa"/>
          </w:tcPr>
          <w:p w14:paraId="49A20658" w14:textId="77777777" w:rsidR="0046798B" w:rsidRDefault="0046798B">
            <w:pPr>
              <w:pStyle w:val="TableParagraph"/>
              <w:spacing w:before="3"/>
              <w:rPr>
                <w:sz w:val="23"/>
              </w:rPr>
            </w:pPr>
          </w:p>
          <w:p w14:paraId="67DA2CF1" w14:textId="77777777" w:rsidR="0046798B" w:rsidRDefault="00903B5C">
            <w:pPr>
              <w:pStyle w:val="TableParagraph"/>
              <w:spacing w:before="1"/>
              <w:ind w:left="114"/>
              <w:rPr>
                <w:sz w:val="20"/>
              </w:rPr>
            </w:pPr>
            <w:r>
              <w:rPr>
                <w:sz w:val="20"/>
              </w:rPr>
              <w:t>2006–2008</w:t>
            </w:r>
          </w:p>
        </w:tc>
        <w:tc>
          <w:tcPr>
            <w:tcW w:w="3421" w:type="dxa"/>
          </w:tcPr>
          <w:p w14:paraId="37FB04A0" w14:textId="77777777" w:rsidR="0046798B" w:rsidRDefault="00903B5C">
            <w:pPr>
              <w:pStyle w:val="TableParagraph"/>
              <w:spacing w:before="38"/>
              <w:ind w:left="114" w:right="385"/>
              <w:rPr>
                <w:sz w:val="20"/>
              </w:rPr>
            </w:pPr>
            <w:r>
              <w:rPr>
                <w:sz w:val="20"/>
              </w:rPr>
              <w:t>Health insurance benefit mandates: second surgical opinion (0 = no, 1 = yes)</w:t>
            </w:r>
          </w:p>
        </w:tc>
        <w:tc>
          <w:tcPr>
            <w:tcW w:w="6482" w:type="dxa"/>
          </w:tcPr>
          <w:p w14:paraId="33ED3742" w14:textId="77777777" w:rsidR="0046798B" w:rsidRDefault="00903B5C">
            <w:pPr>
              <w:pStyle w:val="TableParagraph"/>
              <w:spacing w:before="38"/>
              <w:ind w:left="114" w:right="272"/>
              <w:rPr>
                <w:sz w:val="20"/>
              </w:rPr>
            </w:pPr>
            <w:r>
              <w:rPr>
                <w:sz w:val="20"/>
              </w:rPr>
              <w:t>Sorens, Jason, Fait Muedini, and William P. Ruger. “State and Local Public Policies in 2006: A New Database.” State Politics &amp; Policy Quarterly 8.3 (2008): 309–26.</w:t>
            </w:r>
          </w:p>
        </w:tc>
      </w:tr>
      <w:tr w:rsidR="0046798B" w14:paraId="3F1B0244" w14:textId="77777777">
        <w:trPr>
          <w:trHeight w:val="775"/>
        </w:trPr>
        <w:tc>
          <w:tcPr>
            <w:tcW w:w="1711" w:type="dxa"/>
          </w:tcPr>
          <w:p w14:paraId="3E362B31" w14:textId="77777777" w:rsidR="0046798B" w:rsidRDefault="0046798B">
            <w:pPr>
              <w:pStyle w:val="TableParagraph"/>
              <w:spacing w:before="3"/>
              <w:rPr>
                <w:sz w:val="23"/>
              </w:rPr>
            </w:pPr>
          </w:p>
          <w:p w14:paraId="3F23BE35" w14:textId="77777777" w:rsidR="0046798B" w:rsidRDefault="00903B5C">
            <w:pPr>
              <w:pStyle w:val="TableParagraph"/>
              <w:spacing w:before="1"/>
              <w:ind w:left="115"/>
              <w:rPr>
                <w:b/>
                <w:sz w:val="20"/>
              </w:rPr>
            </w:pPr>
            <w:r>
              <w:rPr>
                <w:b/>
                <w:sz w:val="20"/>
              </w:rPr>
              <w:t>hmbtcs</w:t>
            </w:r>
          </w:p>
        </w:tc>
        <w:tc>
          <w:tcPr>
            <w:tcW w:w="1596" w:type="dxa"/>
          </w:tcPr>
          <w:p w14:paraId="5944D510" w14:textId="77777777" w:rsidR="0046798B" w:rsidRDefault="00903B5C">
            <w:pPr>
              <w:pStyle w:val="TableParagraph"/>
              <w:spacing w:before="38"/>
              <w:ind w:left="114" w:right="147"/>
              <w:rPr>
                <w:sz w:val="20"/>
              </w:rPr>
            </w:pPr>
            <w:r>
              <w:rPr>
                <w:sz w:val="20"/>
              </w:rPr>
              <w:t>Minimum testicular cancer stays</w:t>
            </w:r>
          </w:p>
        </w:tc>
        <w:tc>
          <w:tcPr>
            <w:tcW w:w="1285" w:type="dxa"/>
          </w:tcPr>
          <w:p w14:paraId="40AEB089" w14:textId="77777777" w:rsidR="0046798B" w:rsidRDefault="0046798B">
            <w:pPr>
              <w:pStyle w:val="TableParagraph"/>
              <w:spacing w:before="3"/>
              <w:rPr>
                <w:sz w:val="23"/>
              </w:rPr>
            </w:pPr>
          </w:p>
          <w:p w14:paraId="08B75CED" w14:textId="77777777" w:rsidR="0046798B" w:rsidRDefault="00903B5C">
            <w:pPr>
              <w:pStyle w:val="TableParagraph"/>
              <w:spacing w:before="1"/>
              <w:ind w:left="114"/>
              <w:rPr>
                <w:sz w:val="20"/>
              </w:rPr>
            </w:pPr>
            <w:r>
              <w:rPr>
                <w:sz w:val="20"/>
              </w:rPr>
              <w:t>2006–2008</w:t>
            </w:r>
          </w:p>
        </w:tc>
        <w:tc>
          <w:tcPr>
            <w:tcW w:w="3421" w:type="dxa"/>
          </w:tcPr>
          <w:p w14:paraId="7D74ABD0" w14:textId="77777777" w:rsidR="0046798B" w:rsidRDefault="00903B5C">
            <w:pPr>
              <w:pStyle w:val="TableParagraph"/>
              <w:spacing w:before="38"/>
              <w:ind w:left="114" w:right="315"/>
              <w:rPr>
                <w:sz w:val="20"/>
              </w:rPr>
            </w:pPr>
            <w:r>
              <w:rPr>
                <w:sz w:val="20"/>
              </w:rPr>
              <w:t>Health insurance benefit mandates: minimum testicular cancer stays (0 = no, 1 = yes)</w:t>
            </w:r>
          </w:p>
        </w:tc>
        <w:tc>
          <w:tcPr>
            <w:tcW w:w="6482" w:type="dxa"/>
          </w:tcPr>
          <w:p w14:paraId="7FF041D8"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r w:rsidR="0046798B" w14:paraId="6026D6BA" w14:textId="77777777">
        <w:trPr>
          <w:trHeight w:val="775"/>
        </w:trPr>
        <w:tc>
          <w:tcPr>
            <w:tcW w:w="1711" w:type="dxa"/>
          </w:tcPr>
          <w:p w14:paraId="0A32BBDB" w14:textId="77777777" w:rsidR="0046798B" w:rsidRDefault="0046798B">
            <w:pPr>
              <w:pStyle w:val="TableParagraph"/>
              <w:spacing w:before="9"/>
              <w:rPr>
                <w:sz w:val="23"/>
              </w:rPr>
            </w:pPr>
          </w:p>
          <w:p w14:paraId="575D692B" w14:textId="77777777" w:rsidR="0046798B" w:rsidRDefault="00903B5C">
            <w:pPr>
              <w:pStyle w:val="TableParagraph"/>
              <w:ind w:left="115"/>
              <w:rPr>
                <w:b/>
                <w:sz w:val="20"/>
              </w:rPr>
            </w:pPr>
            <w:r>
              <w:rPr>
                <w:b/>
                <w:sz w:val="20"/>
              </w:rPr>
              <w:t>hmbhh</w:t>
            </w:r>
          </w:p>
        </w:tc>
        <w:tc>
          <w:tcPr>
            <w:tcW w:w="1596" w:type="dxa"/>
          </w:tcPr>
          <w:p w14:paraId="359881B2" w14:textId="77777777" w:rsidR="0046798B" w:rsidRDefault="00903B5C">
            <w:pPr>
              <w:pStyle w:val="TableParagraph"/>
              <w:spacing w:before="158"/>
              <w:ind w:left="114" w:right="424"/>
              <w:rPr>
                <w:sz w:val="20"/>
              </w:rPr>
            </w:pPr>
            <w:r>
              <w:rPr>
                <w:sz w:val="20"/>
              </w:rPr>
              <w:t>Home health care</w:t>
            </w:r>
          </w:p>
        </w:tc>
        <w:tc>
          <w:tcPr>
            <w:tcW w:w="1285" w:type="dxa"/>
          </w:tcPr>
          <w:p w14:paraId="36B452CC" w14:textId="77777777" w:rsidR="0046798B" w:rsidRDefault="0046798B">
            <w:pPr>
              <w:pStyle w:val="TableParagraph"/>
              <w:spacing w:before="9"/>
              <w:rPr>
                <w:sz w:val="23"/>
              </w:rPr>
            </w:pPr>
          </w:p>
          <w:p w14:paraId="3ED91A60" w14:textId="77777777" w:rsidR="0046798B" w:rsidRDefault="00903B5C">
            <w:pPr>
              <w:pStyle w:val="TableParagraph"/>
              <w:ind w:left="114"/>
              <w:rPr>
                <w:sz w:val="20"/>
              </w:rPr>
            </w:pPr>
            <w:r>
              <w:rPr>
                <w:sz w:val="20"/>
              </w:rPr>
              <w:t>2006–2008</w:t>
            </w:r>
          </w:p>
        </w:tc>
        <w:tc>
          <w:tcPr>
            <w:tcW w:w="3421" w:type="dxa"/>
          </w:tcPr>
          <w:p w14:paraId="29D5AC8B" w14:textId="77777777" w:rsidR="0046798B" w:rsidRDefault="00903B5C">
            <w:pPr>
              <w:pStyle w:val="TableParagraph"/>
              <w:spacing w:before="158"/>
              <w:ind w:left="114" w:right="461"/>
              <w:rPr>
                <w:sz w:val="20"/>
              </w:rPr>
            </w:pPr>
            <w:r>
              <w:rPr>
                <w:sz w:val="20"/>
              </w:rPr>
              <w:t>Health insurance benefit mandates: home health care (0 = no, 1 = yes)</w:t>
            </w:r>
          </w:p>
        </w:tc>
        <w:tc>
          <w:tcPr>
            <w:tcW w:w="6482" w:type="dxa"/>
          </w:tcPr>
          <w:p w14:paraId="054917E8" w14:textId="77777777" w:rsidR="0046798B" w:rsidRDefault="00903B5C">
            <w:pPr>
              <w:pStyle w:val="TableParagraph"/>
              <w:spacing w:before="43"/>
              <w:ind w:left="114"/>
              <w:rPr>
                <w:sz w:val="20"/>
              </w:rPr>
            </w:pPr>
            <w:r>
              <w:rPr>
                <w:sz w:val="20"/>
              </w:rPr>
              <w:t>Sorens, Jason, Fait Muedini, and William P. Ruger. “State and Local Public Policies in 2006: A New Database.” State Politics &amp; Policy Quarterly 8.3 (2008): 309–26.</w:t>
            </w:r>
          </w:p>
        </w:tc>
      </w:tr>
      <w:tr w:rsidR="0046798B" w14:paraId="6C8DC299" w14:textId="77777777">
        <w:trPr>
          <w:trHeight w:val="775"/>
        </w:trPr>
        <w:tc>
          <w:tcPr>
            <w:tcW w:w="1711" w:type="dxa"/>
          </w:tcPr>
          <w:p w14:paraId="4D08874B" w14:textId="77777777" w:rsidR="0046798B" w:rsidRDefault="0046798B">
            <w:pPr>
              <w:pStyle w:val="TableParagraph"/>
              <w:spacing w:before="8"/>
              <w:rPr>
                <w:sz w:val="23"/>
              </w:rPr>
            </w:pPr>
          </w:p>
          <w:p w14:paraId="5B3B2D66" w14:textId="77777777" w:rsidR="0046798B" w:rsidRDefault="00903B5C">
            <w:pPr>
              <w:pStyle w:val="TableParagraph"/>
              <w:spacing w:before="1"/>
              <w:ind w:left="115"/>
              <w:rPr>
                <w:b/>
                <w:sz w:val="20"/>
              </w:rPr>
            </w:pPr>
            <w:r>
              <w:rPr>
                <w:b/>
                <w:sz w:val="20"/>
              </w:rPr>
              <w:t>hmbhp</w:t>
            </w:r>
          </w:p>
        </w:tc>
        <w:tc>
          <w:tcPr>
            <w:tcW w:w="1596" w:type="dxa"/>
          </w:tcPr>
          <w:p w14:paraId="08498424" w14:textId="77777777" w:rsidR="0046798B" w:rsidRDefault="0046798B">
            <w:pPr>
              <w:pStyle w:val="TableParagraph"/>
              <w:spacing w:before="8"/>
              <w:rPr>
                <w:sz w:val="23"/>
              </w:rPr>
            </w:pPr>
          </w:p>
          <w:p w14:paraId="075F03A4" w14:textId="77777777" w:rsidR="0046798B" w:rsidRDefault="00903B5C">
            <w:pPr>
              <w:pStyle w:val="TableParagraph"/>
              <w:spacing w:before="1"/>
              <w:ind w:left="114"/>
              <w:rPr>
                <w:sz w:val="20"/>
              </w:rPr>
            </w:pPr>
            <w:r>
              <w:rPr>
                <w:sz w:val="20"/>
              </w:rPr>
              <w:t>Hair prostheses</w:t>
            </w:r>
          </w:p>
        </w:tc>
        <w:tc>
          <w:tcPr>
            <w:tcW w:w="1285" w:type="dxa"/>
          </w:tcPr>
          <w:p w14:paraId="631B64A5" w14:textId="77777777" w:rsidR="0046798B" w:rsidRDefault="0046798B">
            <w:pPr>
              <w:pStyle w:val="TableParagraph"/>
              <w:spacing w:before="8"/>
              <w:rPr>
                <w:sz w:val="23"/>
              </w:rPr>
            </w:pPr>
          </w:p>
          <w:p w14:paraId="2CF10561" w14:textId="77777777" w:rsidR="0046798B" w:rsidRDefault="00903B5C">
            <w:pPr>
              <w:pStyle w:val="TableParagraph"/>
              <w:spacing w:before="1"/>
              <w:ind w:left="114"/>
              <w:rPr>
                <w:sz w:val="20"/>
              </w:rPr>
            </w:pPr>
            <w:r>
              <w:rPr>
                <w:sz w:val="20"/>
              </w:rPr>
              <w:t>2006–2008</w:t>
            </w:r>
          </w:p>
        </w:tc>
        <w:tc>
          <w:tcPr>
            <w:tcW w:w="3421" w:type="dxa"/>
          </w:tcPr>
          <w:p w14:paraId="3568223F" w14:textId="77777777" w:rsidR="0046798B" w:rsidRDefault="00903B5C">
            <w:pPr>
              <w:pStyle w:val="TableParagraph"/>
              <w:spacing w:before="158"/>
              <w:ind w:left="114" w:right="100"/>
              <w:rPr>
                <w:sz w:val="20"/>
              </w:rPr>
            </w:pPr>
            <w:r>
              <w:rPr>
                <w:sz w:val="20"/>
              </w:rPr>
              <w:t>Health insurance benefit mandates: hair protheses (0 = no, 1 = yes)</w:t>
            </w:r>
          </w:p>
        </w:tc>
        <w:tc>
          <w:tcPr>
            <w:tcW w:w="6482" w:type="dxa"/>
          </w:tcPr>
          <w:p w14:paraId="76F693B7" w14:textId="77777777" w:rsidR="0046798B" w:rsidRDefault="00903B5C">
            <w:pPr>
              <w:pStyle w:val="TableParagraph"/>
              <w:spacing w:before="43"/>
              <w:ind w:left="114"/>
              <w:rPr>
                <w:sz w:val="20"/>
              </w:rPr>
            </w:pPr>
            <w:r>
              <w:rPr>
                <w:sz w:val="20"/>
              </w:rPr>
              <w:t>Sorens, Jason, Fait Muedini, and William P. Ruger. “State and Local Public Policies in 2006: A New Database.” State Politics &amp; Policy Quarterly 8.3 (2008): 309–26.</w:t>
            </w:r>
          </w:p>
        </w:tc>
      </w:tr>
      <w:tr w:rsidR="0046798B" w14:paraId="321EE6D3" w14:textId="77777777">
        <w:trPr>
          <w:trHeight w:val="780"/>
        </w:trPr>
        <w:tc>
          <w:tcPr>
            <w:tcW w:w="1711" w:type="dxa"/>
          </w:tcPr>
          <w:p w14:paraId="156F4FCF" w14:textId="77777777" w:rsidR="0046798B" w:rsidRDefault="0046798B">
            <w:pPr>
              <w:pStyle w:val="TableParagraph"/>
              <w:spacing w:before="8"/>
              <w:rPr>
                <w:sz w:val="23"/>
              </w:rPr>
            </w:pPr>
          </w:p>
          <w:p w14:paraId="6A558526" w14:textId="77777777" w:rsidR="0046798B" w:rsidRDefault="00903B5C">
            <w:pPr>
              <w:pStyle w:val="TableParagraph"/>
              <w:spacing w:before="1"/>
              <w:ind w:left="115"/>
              <w:rPr>
                <w:b/>
                <w:sz w:val="20"/>
              </w:rPr>
            </w:pPr>
            <w:r>
              <w:rPr>
                <w:b/>
                <w:sz w:val="20"/>
              </w:rPr>
              <w:t>hmbhpv</w:t>
            </w:r>
          </w:p>
        </w:tc>
        <w:tc>
          <w:tcPr>
            <w:tcW w:w="1596" w:type="dxa"/>
          </w:tcPr>
          <w:p w14:paraId="6DE1F18C" w14:textId="77777777" w:rsidR="0046798B" w:rsidRDefault="0046798B">
            <w:pPr>
              <w:pStyle w:val="TableParagraph"/>
              <w:spacing w:before="8"/>
              <w:rPr>
                <w:sz w:val="23"/>
              </w:rPr>
            </w:pPr>
          </w:p>
          <w:p w14:paraId="0FFC7389" w14:textId="77777777" w:rsidR="0046798B" w:rsidRDefault="00903B5C">
            <w:pPr>
              <w:pStyle w:val="TableParagraph"/>
              <w:spacing w:before="1"/>
              <w:ind w:left="114"/>
              <w:rPr>
                <w:sz w:val="20"/>
              </w:rPr>
            </w:pPr>
            <w:r>
              <w:rPr>
                <w:sz w:val="20"/>
              </w:rPr>
              <w:t>HPV vaccine</w:t>
            </w:r>
          </w:p>
        </w:tc>
        <w:tc>
          <w:tcPr>
            <w:tcW w:w="1285" w:type="dxa"/>
          </w:tcPr>
          <w:p w14:paraId="62E902FE" w14:textId="77777777" w:rsidR="0046798B" w:rsidRDefault="0046798B">
            <w:pPr>
              <w:pStyle w:val="TableParagraph"/>
              <w:spacing w:before="8"/>
              <w:rPr>
                <w:sz w:val="23"/>
              </w:rPr>
            </w:pPr>
          </w:p>
          <w:p w14:paraId="2024BB44" w14:textId="77777777" w:rsidR="0046798B" w:rsidRDefault="00903B5C">
            <w:pPr>
              <w:pStyle w:val="TableParagraph"/>
              <w:spacing w:before="1"/>
              <w:ind w:left="114"/>
              <w:rPr>
                <w:sz w:val="20"/>
              </w:rPr>
            </w:pPr>
            <w:r>
              <w:rPr>
                <w:sz w:val="20"/>
              </w:rPr>
              <w:t>2006–2016</w:t>
            </w:r>
          </w:p>
        </w:tc>
        <w:tc>
          <w:tcPr>
            <w:tcW w:w="3421" w:type="dxa"/>
          </w:tcPr>
          <w:p w14:paraId="3C30F63F" w14:textId="77777777" w:rsidR="0046798B" w:rsidRDefault="00903B5C">
            <w:pPr>
              <w:pStyle w:val="TableParagraph"/>
              <w:spacing w:before="158"/>
              <w:ind w:left="114" w:right="461"/>
              <w:rPr>
                <w:sz w:val="20"/>
              </w:rPr>
            </w:pPr>
            <w:r>
              <w:rPr>
                <w:sz w:val="20"/>
              </w:rPr>
              <w:t>Health insurance benefit mandates: HPV vaccine (0 = no, 1 = yes)</w:t>
            </w:r>
          </w:p>
        </w:tc>
        <w:tc>
          <w:tcPr>
            <w:tcW w:w="6482" w:type="dxa"/>
          </w:tcPr>
          <w:p w14:paraId="3D63A0DC" w14:textId="77777777" w:rsidR="0046798B" w:rsidRDefault="00903B5C">
            <w:pPr>
              <w:pStyle w:val="TableParagraph"/>
              <w:spacing w:before="43"/>
              <w:ind w:left="114" w:right="272"/>
              <w:rPr>
                <w:sz w:val="20"/>
              </w:rPr>
            </w:pPr>
            <w:r>
              <w:rPr>
                <w:sz w:val="20"/>
              </w:rPr>
              <w:t>Sorens, Jason, Fait Muedini, and William P. Ruger. “State and Local Public Policies in 2006: A New Database.” State Politics &amp; Policy Quarterly 8.3 (2008): 309–26.</w:t>
            </w:r>
          </w:p>
        </w:tc>
      </w:tr>
      <w:tr w:rsidR="0046798B" w14:paraId="340CA27C" w14:textId="77777777">
        <w:trPr>
          <w:trHeight w:val="775"/>
        </w:trPr>
        <w:tc>
          <w:tcPr>
            <w:tcW w:w="1711" w:type="dxa"/>
          </w:tcPr>
          <w:p w14:paraId="6689EA64" w14:textId="77777777" w:rsidR="0046798B" w:rsidRDefault="0046798B">
            <w:pPr>
              <w:pStyle w:val="TableParagraph"/>
              <w:spacing w:before="4"/>
              <w:rPr>
                <w:sz w:val="23"/>
              </w:rPr>
            </w:pPr>
          </w:p>
          <w:p w14:paraId="53F1F1F1" w14:textId="77777777" w:rsidR="0046798B" w:rsidRDefault="00903B5C">
            <w:pPr>
              <w:pStyle w:val="TableParagraph"/>
              <w:ind w:left="115"/>
              <w:rPr>
                <w:b/>
                <w:sz w:val="20"/>
              </w:rPr>
            </w:pPr>
            <w:r>
              <w:rPr>
                <w:b/>
                <w:sz w:val="20"/>
              </w:rPr>
              <w:t>hmbhrt</w:t>
            </w:r>
          </w:p>
        </w:tc>
        <w:tc>
          <w:tcPr>
            <w:tcW w:w="1596" w:type="dxa"/>
          </w:tcPr>
          <w:p w14:paraId="03DB8ECF" w14:textId="77777777" w:rsidR="0046798B" w:rsidRDefault="0046798B">
            <w:pPr>
              <w:pStyle w:val="TableParagraph"/>
              <w:spacing w:before="4"/>
              <w:rPr>
                <w:sz w:val="23"/>
              </w:rPr>
            </w:pPr>
          </w:p>
          <w:p w14:paraId="19025007" w14:textId="77777777" w:rsidR="0046798B" w:rsidRDefault="00903B5C">
            <w:pPr>
              <w:pStyle w:val="TableParagraph"/>
              <w:ind w:left="114"/>
              <w:rPr>
                <w:sz w:val="20"/>
              </w:rPr>
            </w:pPr>
            <w:r>
              <w:rPr>
                <w:sz w:val="20"/>
              </w:rPr>
              <w:t>Heart transplant</w:t>
            </w:r>
          </w:p>
        </w:tc>
        <w:tc>
          <w:tcPr>
            <w:tcW w:w="1285" w:type="dxa"/>
          </w:tcPr>
          <w:p w14:paraId="08C4D232" w14:textId="77777777" w:rsidR="0046798B" w:rsidRDefault="0046798B">
            <w:pPr>
              <w:pStyle w:val="TableParagraph"/>
              <w:spacing w:before="4"/>
              <w:rPr>
                <w:sz w:val="23"/>
              </w:rPr>
            </w:pPr>
          </w:p>
          <w:p w14:paraId="01C07DBE" w14:textId="77777777" w:rsidR="0046798B" w:rsidRDefault="00903B5C">
            <w:pPr>
              <w:pStyle w:val="TableParagraph"/>
              <w:ind w:left="114"/>
              <w:rPr>
                <w:sz w:val="20"/>
              </w:rPr>
            </w:pPr>
            <w:r>
              <w:rPr>
                <w:sz w:val="20"/>
              </w:rPr>
              <w:t>2006–2008</w:t>
            </w:r>
          </w:p>
        </w:tc>
        <w:tc>
          <w:tcPr>
            <w:tcW w:w="3421" w:type="dxa"/>
          </w:tcPr>
          <w:p w14:paraId="50A490A1" w14:textId="77777777" w:rsidR="0046798B" w:rsidRDefault="00903B5C">
            <w:pPr>
              <w:pStyle w:val="TableParagraph"/>
              <w:spacing w:before="153"/>
              <w:ind w:left="114" w:right="461"/>
              <w:rPr>
                <w:sz w:val="20"/>
              </w:rPr>
            </w:pPr>
            <w:r>
              <w:rPr>
                <w:sz w:val="20"/>
              </w:rPr>
              <w:t>Health insurance benefit mandates: heart transplant (0 = no, 1 = yes)</w:t>
            </w:r>
          </w:p>
        </w:tc>
        <w:tc>
          <w:tcPr>
            <w:tcW w:w="6482" w:type="dxa"/>
          </w:tcPr>
          <w:p w14:paraId="544D4994"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r w:rsidR="0046798B" w14:paraId="316B16DF" w14:textId="77777777">
        <w:trPr>
          <w:trHeight w:val="775"/>
        </w:trPr>
        <w:tc>
          <w:tcPr>
            <w:tcW w:w="1711" w:type="dxa"/>
          </w:tcPr>
          <w:p w14:paraId="63C24237" w14:textId="77777777" w:rsidR="0046798B" w:rsidRDefault="0046798B">
            <w:pPr>
              <w:pStyle w:val="TableParagraph"/>
              <w:spacing w:before="3"/>
              <w:rPr>
                <w:sz w:val="23"/>
              </w:rPr>
            </w:pPr>
          </w:p>
          <w:p w14:paraId="2E7329A6" w14:textId="77777777" w:rsidR="0046798B" w:rsidRDefault="00903B5C">
            <w:pPr>
              <w:pStyle w:val="TableParagraph"/>
              <w:ind w:left="115"/>
              <w:rPr>
                <w:b/>
                <w:sz w:val="20"/>
              </w:rPr>
            </w:pPr>
            <w:r>
              <w:rPr>
                <w:b/>
                <w:sz w:val="20"/>
              </w:rPr>
              <w:t>hmbhs</w:t>
            </w:r>
          </w:p>
        </w:tc>
        <w:tc>
          <w:tcPr>
            <w:tcW w:w="1596" w:type="dxa"/>
          </w:tcPr>
          <w:p w14:paraId="13118DD7" w14:textId="77777777" w:rsidR="0046798B" w:rsidRDefault="00903B5C">
            <w:pPr>
              <w:pStyle w:val="TableParagraph"/>
              <w:spacing w:before="153"/>
              <w:ind w:left="114" w:right="507"/>
              <w:rPr>
                <w:sz w:val="20"/>
              </w:rPr>
            </w:pPr>
            <w:r>
              <w:rPr>
                <w:sz w:val="20"/>
              </w:rPr>
              <w:t>Habilitative services</w:t>
            </w:r>
          </w:p>
        </w:tc>
        <w:tc>
          <w:tcPr>
            <w:tcW w:w="1285" w:type="dxa"/>
          </w:tcPr>
          <w:p w14:paraId="237B1DFD" w14:textId="77777777" w:rsidR="0046798B" w:rsidRDefault="0046798B">
            <w:pPr>
              <w:pStyle w:val="TableParagraph"/>
              <w:spacing w:before="3"/>
              <w:rPr>
                <w:sz w:val="23"/>
              </w:rPr>
            </w:pPr>
          </w:p>
          <w:p w14:paraId="453A452E" w14:textId="77777777" w:rsidR="0046798B" w:rsidRDefault="00903B5C">
            <w:pPr>
              <w:pStyle w:val="TableParagraph"/>
              <w:ind w:left="114"/>
              <w:rPr>
                <w:sz w:val="20"/>
              </w:rPr>
            </w:pPr>
            <w:r>
              <w:rPr>
                <w:sz w:val="20"/>
              </w:rPr>
              <w:t>2006–2016</w:t>
            </w:r>
          </w:p>
        </w:tc>
        <w:tc>
          <w:tcPr>
            <w:tcW w:w="3421" w:type="dxa"/>
          </w:tcPr>
          <w:p w14:paraId="677CE07B" w14:textId="77777777" w:rsidR="0046798B" w:rsidRDefault="00903B5C">
            <w:pPr>
              <w:pStyle w:val="TableParagraph"/>
              <w:spacing w:before="153"/>
              <w:ind w:left="114" w:right="307"/>
              <w:rPr>
                <w:sz w:val="20"/>
              </w:rPr>
            </w:pPr>
            <w:r>
              <w:rPr>
                <w:sz w:val="20"/>
              </w:rPr>
              <w:t>Health insurance benefit mandates: habilitative services (0 = no, 1 = yes)</w:t>
            </w:r>
          </w:p>
        </w:tc>
        <w:tc>
          <w:tcPr>
            <w:tcW w:w="6482" w:type="dxa"/>
          </w:tcPr>
          <w:p w14:paraId="3CBCC8AB"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r w:rsidR="0046798B" w14:paraId="5FAC8396" w14:textId="77777777">
        <w:trPr>
          <w:trHeight w:val="775"/>
        </w:trPr>
        <w:tc>
          <w:tcPr>
            <w:tcW w:w="1711" w:type="dxa"/>
          </w:tcPr>
          <w:p w14:paraId="74593F2D" w14:textId="77777777" w:rsidR="0046798B" w:rsidRDefault="0046798B">
            <w:pPr>
              <w:pStyle w:val="TableParagraph"/>
              <w:spacing w:before="3"/>
              <w:rPr>
                <w:sz w:val="23"/>
              </w:rPr>
            </w:pPr>
          </w:p>
          <w:p w14:paraId="1ED99D35" w14:textId="77777777" w:rsidR="0046798B" w:rsidRDefault="00903B5C">
            <w:pPr>
              <w:pStyle w:val="TableParagraph"/>
              <w:spacing w:before="1"/>
              <w:ind w:left="115"/>
              <w:rPr>
                <w:b/>
                <w:sz w:val="20"/>
              </w:rPr>
            </w:pPr>
            <w:r>
              <w:rPr>
                <w:b/>
                <w:sz w:val="20"/>
              </w:rPr>
              <w:t>hmbhyst</w:t>
            </w:r>
          </w:p>
        </w:tc>
        <w:tc>
          <w:tcPr>
            <w:tcW w:w="1596" w:type="dxa"/>
          </w:tcPr>
          <w:p w14:paraId="1D70B779" w14:textId="77777777" w:rsidR="0046798B" w:rsidRDefault="00903B5C">
            <w:pPr>
              <w:pStyle w:val="TableParagraph"/>
              <w:spacing w:before="38"/>
              <w:ind w:left="114" w:right="374"/>
              <w:rPr>
                <w:sz w:val="20"/>
              </w:rPr>
            </w:pPr>
            <w:r>
              <w:rPr>
                <w:sz w:val="20"/>
              </w:rPr>
              <w:t>Minimum hysterectomy stay</w:t>
            </w:r>
          </w:p>
        </w:tc>
        <w:tc>
          <w:tcPr>
            <w:tcW w:w="1285" w:type="dxa"/>
          </w:tcPr>
          <w:p w14:paraId="083B5FCC" w14:textId="77777777" w:rsidR="0046798B" w:rsidRDefault="0046798B">
            <w:pPr>
              <w:pStyle w:val="TableParagraph"/>
              <w:spacing w:before="3"/>
              <w:rPr>
                <w:sz w:val="23"/>
              </w:rPr>
            </w:pPr>
          </w:p>
          <w:p w14:paraId="68D6C97B" w14:textId="77777777" w:rsidR="0046798B" w:rsidRDefault="00903B5C">
            <w:pPr>
              <w:pStyle w:val="TableParagraph"/>
              <w:spacing w:before="1"/>
              <w:ind w:left="114"/>
              <w:rPr>
                <w:sz w:val="20"/>
              </w:rPr>
            </w:pPr>
            <w:r>
              <w:rPr>
                <w:sz w:val="20"/>
              </w:rPr>
              <w:t>2006–2008</w:t>
            </w:r>
          </w:p>
        </w:tc>
        <w:tc>
          <w:tcPr>
            <w:tcW w:w="3421" w:type="dxa"/>
          </w:tcPr>
          <w:p w14:paraId="12FC729D" w14:textId="77777777" w:rsidR="0046798B" w:rsidRDefault="00903B5C">
            <w:pPr>
              <w:pStyle w:val="TableParagraph"/>
              <w:spacing w:before="38"/>
              <w:ind w:left="114" w:right="170"/>
              <w:rPr>
                <w:sz w:val="20"/>
              </w:rPr>
            </w:pPr>
            <w:r>
              <w:rPr>
                <w:sz w:val="20"/>
              </w:rPr>
              <w:t>Health insurance benefit mandates: minimum hysterectomy stay (0 = no, 1</w:t>
            </w:r>
          </w:p>
          <w:p w14:paraId="79C5BF55" w14:textId="77777777" w:rsidR="0046798B" w:rsidRDefault="00903B5C">
            <w:pPr>
              <w:pStyle w:val="TableParagraph"/>
              <w:ind w:left="114"/>
              <w:rPr>
                <w:sz w:val="20"/>
              </w:rPr>
            </w:pPr>
            <w:r>
              <w:rPr>
                <w:sz w:val="20"/>
              </w:rPr>
              <w:t>= yes)</w:t>
            </w:r>
          </w:p>
        </w:tc>
        <w:tc>
          <w:tcPr>
            <w:tcW w:w="6482" w:type="dxa"/>
          </w:tcPr>
          <w:p w14:paraId="324A18F7"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bl>
    <w:p w14:paraId="7840F2BF" w14:textId="77777777" w:rsidR="0046798B" w:rsidRDefault="0046798B">
      <w:pPr>
        <w:rPr>
          <w:sz w:val="20"/>
        </w:rPr>
        <w:sectPr w:rsidR="0046798B">
          <w:pgSz w:w="15840" w:h="12240" w:orient="landscape"/>
          <w:pgMar w:top="1220" w:right="300" w:bottom="980" w:left="820" w:header="730" w:footer="787" w:gutter="0"/>
          <w:cols w:space="720"/>
        </w:sectPr>
      </w:pPr>
    </w:p>
    <w:p w14:paraId="6EAD80BF"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22638587" w14:textId="77777777">
        <w:trPr>
          <w:trHeight w:val="775"/>
        </w:trPr>
        <w:tc>
          <w:tcPr>
            <w:tcW w:w="1711" w:type="dxa"/>
          </w:tcPr>
          <w:p w14:paraId="113106DE" w14:textId="77777777" w:rsidR="0046798B" w:rsidRDefault="0046798B">
            <w:pPr>
              <w:pStyle w:val="TableParagraph"/>
              <w:spacing w:before="9"/>
              <w:rPr>
                <w:sz w:val="23"/>
              </w:rPr>
            </w:pPr>
          </w:p>
          <w:p w14:paraId="20E12048" w14:textId="77777777" w:rsidR="0046798B" w:rsidRDefault="00903B5C">
            <w:pPr>
              <w:pStyle w:val="TableParagraph"/>
              <w:ind w:left="115"/>
              <w:rPr>
                <w:b/>
                <w:sz w:val="20"/>
              </w:rPr>
            </w:pPr>
            <w:r>
              <w:rPr>
                <w:b/>
                <w:sz w:val="20"/>
              </w:rPr>
              <w:t>hmbivf</w:t>
            </w:r>
          </w:p>
        </w:tc>
        <w:tc>
          <w:tcPr>
            <w:tcW w:w="1596" w:type="dxa"/>
          </w:tcPr>
          <w:p w14:paraId="77A03562" w14:textId="77777777" w:rsidR="0046798B" w:rsidRDefault="00903B5C">
            <w:pPr>
              <w:pStyle w:val="TableParagraph"/>
              <w:spacing w:before="158"/>
              <w:ind w:left="114" w:right="229"/>
              <w:rPr>
                <w:sz w:val="20"/>
              </w:rPr>
            </w:pPr>
            <w:r>
              <w:rPr>
                <w:sz w:val="20"/>
              </w:rPr>
              <w:t>In vitro fertilization</w:t>
            </w:r>
          </w:p>
        </w:tc>
        <w:tc>
          <w:tcPr>
            <w:tcW w:w="1285" w:type="dxa"/>
          </w:tcPr>
          <w:p w14:paraId="582CD887" w14:textId="77777777" w:rsidR="0046798B" w:rsidRDefault="0046798B">
            <w:pPr>
              <w:pStyle w:val="TableParagraph"/>
              <w:spacing w:before="9"/>
              <w:rPr>
                <w:sz w:val="23"/>
              </w:rPr>
            </w:pPr>
          </w:p>
          <w:p w14:paraId="4B7B8A7C" w14:textId="77777777" w:rsidR="0046798B" w:rsidRDefault="00903B5C">
            <w:pPr>
              <w:pStyle w:val="TableParagraph"/>
              <w:ind w:left="114"/>
              <w:rPr>
                <w:sz w:val="20"/>
              </w:rPr>
            </w:pPr>
            <w:r>
              <w:rPr>
                <w:sz w:val="20"/>
              </w:rPr>
              <w:t>2000–2016</w:t>
            </w:r>
          </w:p>
        </w:tc>
        <w:tc>
          <w:tcPr>
            <w:tcW w:w="3421" w:type="dxa"/>
          </w:tcPr>
          <w:p w14:paraId="5D7C8FE9" w14:textId="77777777" w:rsidR="0046798B" w:rsidRDefault="00903B5C">
            <w:pPr>
              <w:pStyle w:val="TableParagraph"/>
              <w:spacing w:before="158"/>
              <w:ind w:left="114" w:right="255"/>
              <w:rPr>
                <w:sz w:val="20"/>
              </w:rPr>
            </w:pPr>
            <w:r>
              <w:rPr>
                <w:sz w:val="20"/>
              </w:rPr>
              <w:t>Health insurance benefit mandates: in vitro fertilization (0 = no, 1 = yes)</w:t>
            </w:r>
          </w:p>
        </w:tc>
        <w:tc>
          <w:tcPr>
            <w:tcW w:w="6482" w:type="dxa"/>
          </w:tcPr>
          <w:p w14:paraId="0EA9C7D2" w14:textId="77777777" w:rsidR="0046798B" w:rsidRDefault="00903B5C">
            <w:pPr>
              <w:pStyle w:val="TableParagraph"/>
              <w:spacing w:before="43"/>
              <w:ind w:left="114" w:right="272"/>
              <w:rPr>
                <w:sz w:val="20"/>
              </w:rPr>
            </w:pPr>
            <w:r>
              <w:rPr>
                <w:sz w:val="20"/>
              </w:rPr>
              <w:t>Sorens, Jason, Fait Muedini, and William P. Ruger. “State and Local Public Policies in 2006: A New Database.” State Politics &amp; Policy Quarterly 8.3 (2008): 309–26.</w:t>
            </w:r>
          </w:p>
        </w:tc>
      </w:tr>
      <w:tr w:rsidR="0046798B" w14:paraId="6259A5FF" w14:textId="77777777">
        <w:trPr>
          <w:trHeight w:val="775"/>
        </w:trPr>
        <w:tc>
          <w:tcPr>
            <w:tcW w:w="1711" w:type="dxa"/>
          </w:tcPr>
          <w:p w14:paraId="5F065565" w14:textId="77777777" w:rsidR="0046798B" w:rsidRDefault="0046798B">
            <w:pPr>
              <w:pStyle w:val="TableParagraph"/>
              <w:spacing w:before="8"/>
              <w:rPr>
                <w:sz w:val="23"/>
              </w:rPr>
            </w:pPr>
          </w:p>
          <w:p w14:paraId="1106FD3A" w14:textId="77777777" w:rsidR="0046798B" w:rsidRDefault="00903B5C">
            <w:pPr>
              <w:pStyle w:val="TableParagraph"/>
              <w:spacing w:before="1"/>
              <w:ind w:left="115"/>
              <w:rPr>
                <w:b/>
                <w:sz w:val="20"/>
              </w:rPr>
            </w:pPr>
            <w:r>
              <w:rPr>
                <w:b/>
                <w:sz w:val="20"/>
              </w:rPr>
              <w:t>hmbkd</w:t>
            </w:r>
          </w:p>
        </w:tc>
        <w:tc>
          <w:tcPr>
            <w:tcW w:w="1596" w:type="dxa"/>
          </w:tcPr>
          <w:p w14:paraId="542D655F" w14:textId="77777777" w:rsidR="0046798B" w:rsidRDefault="0046798B">
            <w:pPr>
              <w:pStyle w:val="TableParagraph"/>
              <w:spacing w:before="8"/>
              <w:rPr>
                <w:sz w:val="23"/>
              </w:rPr>
            </w:pPr>
          </w:p>
          <w:p w14:paraId="6C96DC67" w14:textId="77777777" w:rsidR="0046798B" w:rsidRDefault="00903B5C">
            <w:pPr>
              <w:pStyle w:val="TableParagraph"/>
              <w:spacing w:before="1"/>
              <w:ind w:left="114"/>
              <w:rPr>
                <w:sz w:val="20"/>
              </w:rPr>
            </w:pPr>
            <w:r>
              <w:rPr>
                <w:sz w:val="20"/>
              </w:rPr>
              <w:t>Kidney disease</w:t>
            </w:r>
          </w:p>
        </w:tc>
        <w:tc>
          <w:tcPr>
            <w:tcW w:w="1285" w:type="dxa"/>
          </w:tcPr>
          <w:p w14:paraId="72925506" w14:textId="77777777" w:rsidR="0046798B" w:rsidRDefault="0046798B">
            <w:pPr>
              <w:pStyle w:val="TableParagraph"/>
              <w:spacing w:before="8"/>
              <w:rPr>
                <w:sz w:val="23"/>
              </w:rPr>
            </w:pPr>
          </w:p>
          <w:p w14:paraId="72D4BFE3" w14:textId="77777777" w:rsidR="0046798B" w:rsidRDefault="00903B5C">
            <w:pPr>
              <w:pStyle w:val="TableParagraph"/>
              <w:spacing w:before="1"/>
              <w:ind w:left="114"/>
              <w:rPr>
                <w:sz w:val="20"/>
              </w:rPr>
            </w:pPr>
            <w:r>
              <w:rPr>
                <w:sz w:val="20"/>
              </w:rPr>
              <w:t>2006–2008</w:t>
            </w:r>
          </w:p>
        </w:tc>
        <w:tc>
          <w:tcPr>
            <w:tcW w:w="3421" w:type="dxa"/>
          </w:tcPr>
          <w:p w14:paraId="66D25947" w14:textId="77777777" w:rsidR="0046798B" w:rsidRDefault="00903B5C">
            <w:pPr>
              <w:pStyle w:val="TableParagraph"/>
              <w:spacing w:before="158"/>
              <w:ind w:left="114" w:right="461"/>
              <w:rPr>
                <w:sz w:val="20"/>
              </w:rPr>
            </w:pPr>
            <w:r>
              <w:rPr>
                <w:sz w:val="20"/>
              </w:rPr>
              <w:t>Health insurance benefit mandates: kidney disease (0 = no, 1 = yes)</w:t>
            </w:r>
          </w:p>
        </w:tc>
        <w:tc>
          <w:tcPr>
            <w:tcW w:w="6482" w:type="dxa"/>
          </w:tcPr>
          <w:p w14:paraId="2EB7F5B3" w14:textId="77777777" w:rsidR="0046798B" w:rsidRDefault="00903B5C">
            <w:pPr>
              <w:pStyle w:val="TableParagraph"/>
              <w:spacing w:before="43"/>
              <w:ind w:left="114"/>
              <w:rPr>
                <w:sz w:val="20"/>
              </w:rPr>
            </w:pPr>
            <w:r>
              <w:rPr>
                <w:sz w:val="20"/>
              </w:rPr>
              <w:t>Sorens, Jason, Fait Muedini, and William P. Ruger. “State and Local Public Policies in 2006: A New Database.” State Politics &amp; Policy Quarterly 8.3 (2008): 309–26.</w:t>
            </w:r>
          </w:p>
        </w:tc>
      </w:tr>
      <w:tr w:rsidR="0046798B" w14:paraId="0B072C29" w14:textId="77777777">
        <w:trPr>
          <w:trHeight w:val="780"/>
        </w:trPr>
        <w:tc>
          <w:tcPr>
            <w:tcW w:w="1711" w:type="dxa"/>
          </w:tcPr>
          <w:p w14:paraId="24421CE7" w14:textId="77777777" w:rsidR="0046798B" w:rsidRDefault="0046798B">
            <w:pPr>
              <w:pStyle w:val="TableParagraph"/>
              <w:spacing w:before="9"/>
              <w:rPr>
                <w:sz w:val="23"/>
              </w:rPr>
            </w:pPr>
          </w:p>
          <w:p w14:paraId="175B87A9" w14:textId="77777777" w:rsidR="0046798B" w:rsidRDefault="00903B5C">
            <w:pPr>
              <w:pStyle w:val="TableParagraph"/>
              <w:ind w:left="115"/>
              <w:rPr>
                <w:b/>
                <w:sz w:val="20"/>
              </w:rPr>
            </w:pPr>
            <w:r>
              <w:rPr>
                <w:b/>
                <w:sz w:val="20"/>
              </w:rPr>
              <w:t>hmbltc</w:t>
            </w:r>
          </w:p>
        </w:tc>
        <w:tc>
          <w:tcPr>
            <w:tcW w:w="1596" w:type="dxa"/>
          </w:tcPr>
          <w:p w14:paraId="2D702BA6" w14:textId="77777777" w:rsidR="0046798B" w:rsidRDefault="0046798B">
            <w:pPr>
              <w:pStyle w:val="TableParagraph"/>
              <w:spacing w:before="9"/>
              <w:rPr>
                <w:sz w:val="23"/>
              </w:rPr>
            </w:pPr>
          </w:p>
          <w:p w14:paraId="43473D32" w14:textId="77777777" w:rsidR="0046798B" w:rsidRDefault="00903B5C">
            <w:pPr>
              <w:pStyle w:val="TableParagraph"/>
              <w:ind w:left="114"/>
              <w:rPr>
                <w:sz w:val="20"/>
              </w:rPr>
            </w:pPr>
            <w:r>
              <w:rPr>
                <w:sz w:val="20"/>
              </w:rPr>
              <w:t>Long-term care</w:t>
            </w:r>
          </w:p>
        </w:tc>
        <w:tc>
          <w:tcPr>
            <w:tcW w:w="1285" w:type="dxa"/>
          </w:tcPr>
          <w:p w14:paraId="1F03825B" w14:textId="77777777" w:rsidR="0046798B" w:rsidRDefault="0046798B">
            <w:pPr>
              <w:pStyle w:val="TableParagraph"/>
              <w:spacing w:before="9"/>
              <w:rPr>
                <w:sz w:val="23"/>
              </w:rPr>
            </w:pPr>
          </w:p>
          <w:p w14:paraId="64AC92B5" w14:textId="77777777" w:rsidR="0046798B" w:rsidRDefault="00903B5C">
            <w:pPr>
              <w:pStyle w:val="TableParagraph"/>
              <w:ind w:left="114"/>
              <w:rPr>
                <w:sz w:val="20"/>
              </w:rPr>
            </w:pPr>
            <w:r>
              <w:rPr>
                <w:sz w:val="20"/>
              </w:rPr>
              <w:t>2006–2008</w:t>
            </w:r>
          </w:p>
        </w:tc>
        <w:tc>
          <w:tcPr>
            <w:tcW w:w="3421" w:type="dxa"/>
          </w:tcPr>
          <w:p w14:paraId="4B8505B1" w14:textId="77777777" w:rsidR="0046798B" w:rsidRDefault="00903B5C">
            <w:pPr>
              <w:pStyle w:val="TableParagraph"/>
              <w:spacing w:before="159"/>
              <w:ind w:left="114" w:right="476"/>
              <w:rPr>
                <w:sz w:val="20"/>
              </w:rPr>
            </w:pPr>
            <w:r>
              <w:rPr>
                <w:sz w:val="20"/>
              </w:rPr>
              <w:t>Health insurance benefit mandates: long-term care (0 = no, 1 = yes)</w:t>
            </w:r>
          </w:p>
        </w:tc>
        <w:tc>
          <w:tcPr>
            <w:tcW w:w="6482" w:type="dxa"/>
          </w:tcPr>
          <w:p w14:paraId="49382C45" w14:textId="77777777" w:rsidR="0046798B" w:rsidRDefault="00903B5C">
            <w:pPr>
              <w:pStyle w:val="TableParagraph"/>
              <w:spacing w:before="44"/>
              <w:ind w:left="114"/>
              <w:rPr>
                <w:sz w:val="20"/>
              </w:rPr>
            </w:pPr>
            <w:r>
              <w:rPr>
                <w:sz w:val="20"/>
              </w:rPr>
              <w:t>Sorens, Jason, Fait Muedini, and William P. Ruger. “State and Local Public Policies in 2006: A New Database.” State Politics &amp; Policy Quarterly 8.3 (2008): 309–26.</w:t>
            </w:r>
          </w:p>
        </w:tc>
      </w:tr>
      <w:tr w:rsidR="0046798B" w14:paraId="1EF44EF7" w14:textId="77777777">
        <w:trPr>
          <w:trHeight w:val="775"/>
        </w:trPr>
        <w:tc>
          <w:tcPr>
            <w:tcW w:w="1711" w:type="dxa"/>
          </w:tcPr>
          <w:p w14:paraId="2D35D33F" w14:textId="77777777" w:rsidR="0046798B" w:rsidRDefault="0046798B">
            <w:pPr>
              <w:pStyle w:val="TableParagraph"/>
              <w:spacing w:before="3"/>
              <w:rPr>
                <w:sz w:val="23"/>
              </w:rPr>
            </w:pPr>
          </w:p>
          <w:p w14:paraId="04F5F421" w14:textId="77777777" w:rsidR="0046798B" w:rsidRDefault="00903B5C">
            <w:pPr>
              <w:pStyle w:val="TableParagraph"/>
              <w:spacing w:before="1"/>
              <w:ind w:left="115"/>
              <w:rPr>
                <w:b/>
                <w:sz w:val="20"/>
              </w:rPr>
            </w:pPr>
            <w:r>
              <w:rPr>
                <w:b/>
                <w:sz w:val="20"/>
              </w:rPr>
              <w:t>hmblyed</w:t>
            </w:r>
          </w:p>
        </w:tc>
        <w:tc>
          <w:tcPr>
            <w:tcW w:w="1596" w:type="dxa"/>
          </w:tcPr>
          <w:p w14:paraId="6AA33A1A" w14:textId="77777777" w:rsidR="0046798B" w:rsidRDefault="0046798B">
            <w:pPr>
              <w:pStyle w:val="TableParagraph"/>
              <w:spacing w:before="3"/>
              <w:rPr>
                <w:sz w:val="23"/>
              </w:rPr>
            </w:pPr>
          </w:p>
          <w:p w14:paraId="12F8E66B" w14:textId="77777777" w:rsidR="0046798B" w:rsidRDefault="00903B5C">
            <w:pPr>
              <w:pStyle w:val="TableParagraph"/>
              <w:spacing w:before="1"/>
              <w:ind w:left="114"/>
              <w:rPr>
                <w:sz w:val="20"/>
              </w:rPr>
            </w:pPr>
            <w:r>
              <w:rPr>
                <w:sz w:val="20"/>
              </w:rPr>
              <w:t>Lymph edema</w:t>
            </w:r>
          </w:p>
        </w:tc>
        <w:tc>
          <w:tcPr>
            <w:tcW w:w="1285" w:type="dxa"/>
          </w:tcPr>
          <w:p w14:paraId="71AC4AB8" w14:textId="77777777" w:rsidR="0046798B" w:rsidRDefault="0046798B">
            <w:pPr>
              <w:pStyle w:val="TableParagraph"/>
              <w:spacing w:before="3"/>
              <w:rPr>
                <w:sz w:val="23"/>
              </w:rPr>
            </w:pPr>
          </w:p>
          <w:p w14:paraId="79BB695B" w14:textId="77777777" w:rsidR="0046798B" w:rsidRDefault="00903B5C">
            <w:pPr>
              <w:pStyle w:val="TableParagraph"/>
              <w:spacing w:before="1"/>
              <w:ind w:left="114"/>
              <w:rPr>
                <w:sz w:val="20"/>
              </w:rPr>
            </w:pPr>
            <w:r>
              <w:rPr>
                <w:sz w:val="20"/>
              </w:rPr>
              <w:t>2006–2008</w:t>
            </w:r>
          </w:p>
        </w:tc>
        <w:tc>
          <w:tcPr>
            <w:tcW w:w="3421" w:type="dxa"/>
          </w:tcPr>
          <w:p w14:paraId="25C5B348" w14:textId="77777777" w:rsidR="0046798B" w:rsidRDefault="00903B5C">
            <w:pPr>
              <w:pStyle w:val="TableParagraph"/>
              <w:spacing w:before="153"/>
              <w:ind w:left="114" w:right="461"/>
              <w:rPr>
                <w:sz w:val="20"/>
              </w:rPr>
            </w:pPr>
            <w:r>
              <w:rPr>
                <w:sz w:val="20"/>
              </w:rPr>
              <w:t>Health insurance benefit mandates: lymph edema (0 = no, 1 = yes)</w:t>
            </w:r>
          </w:p>
        </w:tc>
        <w:tc>
          <w:tcPr>
            <w:tcW w:w="6482" w:type="dxa"/>
          </w:tcPr>
          <w:p w14:paraId="2C7BA84D"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r w:rsidR="0046798B" w14:paraId="4BDED613" w14:textId="77777777">
        <w:trPr>
          <w:trHeight w:val="775"/>
        </w:trPr>
        <w:tc>
          <w:tcPr>
            <w:tcW w:w="1711" w:type="dxa"/>
          </w:tcPr>
          <w:p w14:paraId="1D862E07" w14:textId="77777777" w:rsidR="0046798B" w:rsidRDefault="0046798B">
            <w:pPr>
              <w:pStyle w:val="TableParagraph"/>
              <w:spacing w:before="3"/>
              <w:rPr>
                <w:sz w:val="23"/>
              </w:rPr>
            </w:pPr>
          </w:p>
          <w:p w14:paraId="3FA08348" w14:textId="77777777" w:rsidR="0046798B" w:rsidRDefault="00903B5C">
            <w:pPr>
              <w:pStyle w:val="TableParagraph"/>
              <w:spacing w:before="1"/>
              <w:ind w:left="115"/>
              <w:rPr>
                <w:b/>
                <w:sz w:val="20"/>
              </w:rPr>
            </w:pPr>
            <w:r>
              <w:rPr>
                <w:b/>
                <w:sz w:val="20"/>
              </w:rPr>
              <w:t>hmblyme</w:t>
            </w:r>
          </w:p>
        </w:tc>
        <w:tc>
          <w:tcPr>
            <w:tcW w:w="1596" w:type="dxa"/>
          </w:tcPr>
          <w:p w14:paraId="0BD9389A" w14:textId="77777777" w:rsidR="0046798B" w:rsidRDefault="0046798B">
            <w:pPr>
              <w:pStyle w:val="TableParagraph"/>
              <w:spacing w:before="3"/>
              <w:rPr>
                <w:sz w:val="23"/>
              </w:rPr>
            </w:pPr>
          </w:p>
          <w:p w14:paraId="275D1E73" w14:textId="77777777" w:rsidR="0046798B" w:rsidRDefault="00903B5C">
            <w:pPr>
              <w:pStyle w:val="TableParagraph"/>
              <w:spacing w:before="1"/>
              <w:ind w:left="114"/>
              <w:rPr>
                <w:sz w:val="20"/>
              </w:rPr>
            </w:pPr>
            <w:r>
              <w:rPr>
                <w:sz w:val="20"/>
              </w:rPr>
              <w:t>Lyme disease</w:t>
            </w:r>
          </w:p>
        </w:tc>
        <w:tc>
          <w:tcPr>
            <w:tcW w:w="1285" w:type="dxa"/>
          </w:tcPr>
          <w:p w14:paraId="3A65E597" w14:textId="77777777" w:rsidR="0046798B" w:rsidRDefault="0046798B">
            <w:pPr>
              <w:pStyle w:val="TableParagraph"/>
              <w:spacing w:before="3"/>
              <w:rPr>
                <w:sz w:val="23"/>
              </w:rPr>
            </w:pPr>
          </w:p>
          <w:p w14:paraId="72259417" w14:textId="77777777" w:rsidR="0046798B" w:rsidRDefault="00903B5C">
            <w:pPr>
              <w:pStyle w:val="TableParagraph"/>
              <w:spacing w:before="1"/>
              <w:ind w:left="114"/>
              <w:rPr>
                <w:sz w:val="20"/>
              </w:rPr>
            </w:pPr>
            <w:r>
              <w:rPr>
                <w:sz w:val="20"/>
              </w:rPr>
              <w:t>2006–2008</w:t>
            </w:r>
          </w:p>
        </w:tc>
        <w:tc>
          <w:tcPr>
            <w:tcW w:w="3421" w:type="dxa"/>
          </w:tcPr>
          <w:p w14:paraId="26AF2613" w14:textId="77777777" w:rsidR="0046798B" w:rsidRDefault="00903B5C">
            <w:pPr>
              <w:pStyle w:val="TableParagraph"/>
              <w:spacing w:before="153"/>
              <w:ind w:left="114" w:right="461"/>
              <w:rPr>
                <w:sz w:val="20"/>
              </w:rPr>
            </w:pPr>
            <w:r>
              <w:rPr>
                <w:sz w:val="20"/>
              </w:rPr>
              <w:t>Health insurance benefit mandates: Lyme disease (0 = no, 1 = yes)</w:t>
            </w:r>
          </w:p>
        </w:tc>
        <w:tc>
          <w:tcPr>
            <w:tcW w:w="6482" w:type="dxa"/>
          </w:tcPr>
          <w:p w14:paraId="28547A26"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r w:rsidR="0046798B" w14:paraId="66A9DA60" w14:textId="77777777">
        <w:trPr>
          <w:trHeight w:val="775"/>
        </w:trPr>
        <w:tc>
          <w:tcPr>
            <w:tcW w:w="1711" w:type="dxa"/>
          </w:tcPr>
          <w:p w14:paraId="3EC781AD" w14:textId="77777777" w:rsidR="0046798B" w:rsidRDefault="0046798B">
            <w:pPr>
              <w:pStyle w:val="TableParagraph"/>
              <w:spacing w:before="9"/>
              <w:rPr>
                <w:sz w:val="23"/>
              </w:rPr>
            </w:pPr>
          </w:p>
          <w:p w14:paraId="06C69D79" w14:textId="77777777" w:rsidR="0046798B" w:rsidRDefault="00903B5C">
            <w:pPr>
              <w:pStyle w:val="TableParagraph"/>
              <w:ind w:left="115"/>
              <w:rPr>
                <w:b/>
                <w:sz w:val="20"/>
              </w:rPr>
            </w:pPr>
            <w:r>
              <w:rPr>
                <w:b/>
                <w:sz w:val="20"/>
              </w:rPr>
              <w:t>hmbmast</w:t>
            </w:r>
          </w:p>
        </w:tc>
        <w:tc>
          <w:tcPr>
            <w:tcW w:w="1596" w:type="dxa"/>
          </w:tcPr>
          <w:p w14:paraId="0C93D359" w14:textId="77777777" w:rsidR="0046798B" w:rsidRDefault="0046798B">
            <w:pPr>
              <w:pStyle w:val="TableParagraph"/>
              <w:spacing w:before="9"/>
              <w:rPr>
                <w:sz w:val="23"/>
              </w:rPr>
            </w:pPr>
          </w:p>
          <w:p w14:paraId="1E1FAD24" w14:textId="77777777" w:rsidR="0046798B" w:rsidRDefault="00903B5C">
            <w:pPr>
              <w:pStyle w:val="TableParagraph"/>
              <w:ind w:left="114"/>
              <w:rPr>
                <w:sz w:val="20"/>
              </w:rPr>
            </w:pPr>
            <w:r>
              <w:rPr>
                <w:sz w:val="20"/>
              </w:rPr>
              <w:t>Mastectomy</w:t>
            </w:r>
          </w:p>
        </w:tc>
        <w:tc>
          <w:tcPr>
            <w:tcW w:w="1285" w:type="dxa"/>
          </w:tcPr>
          <w:p w14:paraId="4041ED35" w14:textId="77777777" w:rsidR="0046798B" w:rsidRDefault="0046798B">
            <w:pPr>
              <w:pStyle w:val="TableParagraph"/>
              <w:spacing w:before="9"/>
              <w:rPr>
                <w:sz w:val="23"/>
              </w:rPr>
            </w:pPr>
          </w:p>
          <w:p w14:paraId="3C35EDC2" w14:textId="77777777" w:rsidR="0046798B" w:rsidRDefault="00903B5C">
            <w:pPr>
              <w:pStyle w:val="TableParagraph"/>
              <w:ind w:left="114"/>
              <w:rPr>
                <w:sz w:val="20"/>
              </w:rPr>
            </w:pPr>
            <w:r>
              <w:rPr>
                <w:sz w:val="20"/>
              </w:rPr>
              <w:t>2006–2008</w:t>
            </w:r>
          </w:p>
        </w:tc>
        <w:tc>
          <w:tcPr>
            <w:tcW w:w="3421" w:type="dxa"/>
          </w:tcPr>
          <w:p w14:paraId="7BEF0DB4" w14:textId="77777777" w:rsidR="0046798B" w:rsidRDefault="00903B5C">
            <w:pPr>
              <w:pStyle w:val="TableParagraph"/>
              <w:spacing w:before="158"/>
              <w:ind w:left="114" w:right="461"/>
              <w:rPr>
                <w:sz w:val="20"/>
              </w:rPr>
            </w:pPr>
            <w:r>
              <w:rPr>
                <w:sz w:val="20"/>
              </w:rPr>
              <w:t>Health insurance benefit mandates: mastectomy (0 = no, 1 = yes)</w:t>
            </w:r>
          </w:p>
        </w:tc>
        <w:tc>
          <w:tcPr>
            <w:tcW w:w="6482" w:type="dxa"/>
          </w:tcPr>
          <w:p w14:paraId="1CEDB79E" w14:textId="77777777" w:rsidR="0046798B" w:rsidRDefault="00903B5C">
            <w:pPr>
              <w:pStyle w:val="TableParagraph"/>
              <w:spacing w:before="43"/>
              <w:ind w:left="114"/>
              <w:rPr>
                <w:sz w:val="20"/>
              </w:rPr>
            </w:pPr>
            <w:r>
              <w:rPr>
                <w:sz w:val="20"/>
              </w:rPr>
              <w:t>Sorens, Jason, Fait Muedini, and William P. Ruger. “State and Local Public Policies in 2006: A New Database.” State Politics &amp; Policy Quarterly 8.3 (2008): 309–26.</w:t>
            </w:r>
          </w:p>
        </w:tc>
      </w:tr>
      <w:tr w:rsidR="0046798B" w14:paraId="0B93E5CC" w14:textId="77777777">
        <w:trPr>
          <w:trHeight w:val="775"/>
        </w:trPr>
        <w:tc>
          <w:tcPr>
            <w:tcW w:w="1711" w:type="dxa"/>
          </w:tcPr>
          <w:p w14:paraId="1D2B74A3" w14:textId="77777777" w:rsidR="0046798B" w:rsidRDefault="0046798B">
            <w:pPr>
              <w:pStyle w:val="TableParagraph"/>
              <w:spacing w:before="8"/>
              <w:rPr>
                <w:sz w:val="23"/>
              </w:rPr>
            </w:pPr>
          </w:p>
          <w:p w14:paraId="272649F0" w14:textId="77777777" w:rsidR="0046798B" w:rsidRDefault="00903B5C">
            <w:pPr>
              <w:pStyle w:val="TableParagraph"/>
              <w:spacing w:before="1"/>
              <w:ind w:left="115"/>
              <w:rPr>
                <w:b/>
                <w:sz w:val="20"/>
              </w:rPr>
            </w:pPr>
            <w:r>
              <w:rPr>
                <w:b/>
                <w:sz w:val="20"/>
              </w:rPr>
              <w:t>hmbmats</w:t>
            </w:r>
          </w:p>
        </w:tc>
        <w:tc>
          <w:tcPr>
            <w:tcW w:w="1596" w:type="dxa"/>
          </w:tcPr>
          <w:p w14:paraId="02EF42ED" w14:textId="77777777" w:rsidR="0046798B" w:rsidRDefault="0046798B">
            <w:pPr>
              <w:pStyle w:val="TableParagraph"/>
              <w:spacing w:before="8"/>
              <w:rPr>
                <w:sz w:val="23"/>
              </w:rPr>
            </w:pPr>
          </w:p>
          <w:p w14:paraId="2FE71D32" w14:textId="77777777" w:rsidR="0046798B" w:rsidRDefault="00903B5C">
            <w:pPr>
              <w:pStyle w:val="TableParagraph"/>
              <w:spacing w:before="1"/>
              <w:ind w:left="114"/>
              <w:rPr>
                <w:sz w:val="20"/>
              </w:rPr>
            </w:pPr>
            <w:r>
              <w:rPr>
                <w:sz w:val="20"/>
              </w:rPr>
              <w:t>Maternity stay</w:t>
            </w:r>
          </w:p>
        </w:tc>
        <w:tc>
          <w:tcPr>
            <w:tcW w:w="1285" w:type="dxa"/>
          </w:tcPr>
          <w:p w14:paraId="5057C941" w14:textId="77777777" w:rsidR="0046798B" w:rsidRDefault="0046798B">
            <w:pPr>
              <w:pStyle w:val="TableParagraph"/>
              <w:spacing w:before="8"/>
              <w:rPr>
                <w:sz w:val="23"/>
              </w:rPr>
            </w:pPr>
          </w:p>
          <w:p w14:paraId="52D09509" w14:textId="77777777" w:rsidR="0046798B" w:rsidRDefault="00903B5C">
            <w:pPr>
              <w:pStyle w:val="TableParagraph"/>
              <w:spacing w:before="1"/>
              <w:ind w:left="114"/>
              <w:rPr>
                <w:sz w:val="20"/>
              </w:rPr>
            </w:pPr>
            <w:r>
              <w:rPr>
                <w:sz w:val="20"/>
              </w:rPr>
              <w:t>2006–2016</w:t>
            </w:r>
          </w:p>
        </w:tc>
        <w:tc>
          <w:tcPr>
            <w:tcW w:w="3421" w:type="dxa"/>
          </w:tcPr>
          <w:p w14:paraId="26F24C9E" w14:textId="77777777" w:rsidR="0046798B" w:rsidRDefault="00903B5C">
            <w:pPr>
              <w:pStyle w:val="TableParagraph"/>
              <w:spacing w:before="158"/>
              <w:ind w:left="114" w:right="461"/>
              <w:rPr>
                <w:sz w:val="20"/>
              </w:rPr>
            </w:pPr>
            <w:r>
              <w:rPr>
                <w:sz w:val="20"/>
              </w:rPr>
              <w:t>Health insurance benefit mandates: maternity stay (0 = no, 1 = yes)</w:t>
            </w:r>
          </w:p>
        </w:tc>
        <w:tc>
          <w:tcPr>
            <w:tcW w:w="6482" w:type="dxa"/>
          </w:tcPr>
          <w:p w14:paraId="387214C7" w14:textId="77777777" w:rsidR="0046798B" w:rsidRDefault="00903B5C">
            <w:pPr>
              <w:pStyle w:val="TableParagraph"/>
              <w:spacing w:before="43"/>
              <w:ind w:left="114" w:right="272"/>
              <w:rPr>
                <w:sz w:val="20"/>
              </w:rPr>
            </w:pPr>
            <w:r>
              <w:rPr>
                <w:sz w:val="20"/>
              </w:rPr>
              <w:t>Sorens, Jason, Fait Muedini, and William P. Ruger. “State and Local Public Policies in 2006: A New Database.” State Politics &amp; Policy Quarterly 8.3 (2008): 309–26.</w:t>
            </w:r>
          </w:p>
        </w:tc>
      </w:tr>
      <w:tr w:rsidR="0046798B" w14:paraId="006F99B6" w14:textId="77777777">
        <w:trPr>
          <w:trHeight w:val="780"/>
        </w:trPr>
        <w:tc>
          <w:tcPr>
            <w:tcW w:w="1711" w:type="dxa"/>
          </w:tcPr>
          <w:p w14:paraId="43E36BDF" w14:textId="77777777" w:rsidR="0046798B" w:rsidRDefault="0046798B">
            <w:pPr>
              <w:pStyle w:val="TableParagraph"/>
              <w:spacing w:before="8"/>
              <w:rPr>
                <w:sz w:val="23"/>
              </w:rPr>
            </w:pPr>
          </w:p>
          <w:p w14:paraId="06AE1CA9" w14:textId="77777777" w:rsidR="0046798B" w:rsidRDefault="00903B5C">
            <w:pPr>
              <w:pStyle w:val="TableParagraph"/>
              <w:spacing w:before="1"/>
              <w:ind w:left="115"/>
              <w:rPr>
                <w:b/>
                <w:sz w:val="20"/>
              </w:rPr>
            </w:pPr>
            <w:r>
              <w:rPr>
                <w:b/>
                <w:sz w:val="20"/>
              </w:rPr>
              <w:t>hmbmhp</w:t>
            </w:r>
          </w:p>
        </w:tc>
        <w:tc>
          <w:tcPr>
            <w:tcW w:w="1596" w:type="dxa"/>
          </w:tcPr>
          <w:p w14:paraId="608E4048" w14:textId="77777777" w:rsidR="0046798B" w:rsidRDefault="00903B5C">
            <w:pPr>
              <w:pStyle w:val="TableParagraph"/>
              <w:spacing w:before="158"/>
              <w:ind w:left="114" w:right="346"/>
              <w:rPr>
                <w:sz w:val="20"/>
              </w:rPr>
            </w:pPr>
            <w:r>
              <w:rPr>
                <w:sz w:val="20"/>
              </w:rPr>
              <w:t>Mental health parity</w:t>
            </w:r>
          </w:p>
        </w:tc>
        <w:tc>
          <w:tcPr>
            <w:tcW w:w="1285" w:type="dxa"/>
          </w:tcPr>
          <w:p w14:paraId="4C44EF89" w14:textId="77777777" w:rsidR="0046798B" w:rsidRDefault="0046798B">
            <w:pPr>
              <w:pStyle w:val="TableParagraph"/>
              <w:spacing w:before="8"/>
              <w:rPr>
                <w:sz w:val="23"/>
              </w:rPr>
            </w:pPr>
          </w:p>
          <w:p w14:paraId="0BA62B65" w14:textId="77777777" w:rsidR="0046798B" w:rsidRDefault="00903B5C">
            <w:pPr>
              <w:pStyle w:val="TableParagraph"/>
              <w:spacing w:before="1"/>
              <w:ind w:left="114"/>
              <w:rPr>
                <w:sz w:val="20"/>
              </w:rPr>
            </w:pPr>
            <w:r>
              <w:rPr>
                <w:sz w:val="20"/>
              </w:rPr>
              <w:t>2000–2016</w:t>
            </w:r>
          </w:p>
        </w:tc>
        <w:tc>
          <w:tcPr>
            <w:tcW w:w="3421" w:type="dxa"/>
          </w:tcPr>
          <w:p w14:paraId="00DB8641" w14:textId="77777777" w:rsidR="0046798B" w:rsidRDefault="00903B5C">
            <w:pPr>
              <w:pStyle w:val="TableParagraph"/>
              <w:spacing w:before="158"/>
              <w:ind w:left="114" w:right="302"/>
              <w:rPr>
                <w:sz w:val="20"/>
              </w:rPr>
            </w:pPr>
            <w:r>
              <w:rPr>
                <w:sz w:val="20"/>
              </w:rPr>
              <w:t>Health insurance benefit mandates: mental health parity (0 = no, 1 = yes)</w:t>
            </w:r>
          </w:p>
        </w:tc>
        <w:tc>
          <w:tcPr>
            <w:tcW w:w="6482" w:type="dxa"/>
          </w:tcPr>
          <w:p w14:paraId="00BA26D0" w14:textId="77777777" w:rsidR="0046798B" w:rsidRDefault="00903B5C">
            <w:pPr>
              <w:pStyle w:val="TableParagraph"/>
              <w:spacing w:before="43"/>
              <w:ind w:left="114"/>
              <w:rPr>
                <w:sz w:val="20"/>
              </w:rPr>
            </w:pPr>
            <w:r>
              <w:rPr>
                <w:sz w:val="20"/>
              </w:rPr>
              <w:t>Sorens, Jason, Fait Muedini, and William P. Ruger. “State and Local Public Policies in 2006: A New Database.” State Politics &amp; Policy Quarterly 8.3 (2008): 309–26.</w:t>
            </w:r>
          </w:p>
        </w:tc>
      </w:tr>
      <w:tr w:rsidR="0046798B" w14:paraId="4EF5A387" w14:textId="77777777">
        <w:trPr>
          <w:trHeight w:val="775"/>
        </w:trPr>
        <w:tc>
          <w:tcPr>
            <w:tcW w:w="1711" w:type="dxa"/>
          </w:tcPr>
          <w:p w14:paraId="5468972B" w14:textId="77777777" w:rsidR="0046798B" w:rsidRDefault="0046798B">
            <w:pPr>
              <w:pStyle w:val="TableParagraph"/>
              <w:spacing w:before="4"/>
              <w:rPr>
                <w:sz w:val="23"/>
              </w:rPr>
            </w:pPr>
          </w:p>
          <w:p w14:paraId="4B7C3916" w14:textId="77777777" w:rsidR="0046798B" w:rsidRDefault="00903B5C">
            <w:pPr>
              <w:pStyle w:val="TableParagraph"/>
              <w:ind w:left="115"/>
              <w:rPr>
                <w:b/>
                <w:sz w:val="20"/>
              </w:rPr>
            </w:pPr>
            <w:r>
              <w:rPr>
                <w:b/>
                <w:sz w:val="20"/>
              </w:rPr>
              <w:t>hmbmot</w:t>
            </w:r>
          </w:p>
        </w:tc>
        <w:tc>
          <w:tcPr>
            <w:tcW w:w="1596" w:type="dxa"/>
          </w:tcPr>
          <w:p w14:paraId="77A6EEE9" w14:textId="77777777" w:rsidR="0046798B" w:rsidRDefault="00903B5C">
            <w:pPr>
              <w:pStyle w:val="TableParagraph"/>
              <w:spacing w:before="153"/>
              <w:ind w:left="114" w:right="224"/>
              <w:rPr>
                <w:sz w:val="20"/>
              </w:rPr>
            </w:pPr>
            <w:r>
              <w:rPr>
                <w:sz w:val="20"/>
              </w:rPr>
              <w:t>Morbid obesity treatment</w:t>
            </w:r>
          </w:p>
        </w:tc>
        <w:tc>
          <w:tcPr>
            <w:tcW w:w="1285" w:type="dxa"/>
          </w:tcPr>
          <w:p w14:paraId="5A284C64" w14:textId="77777777" w:rsidR="0046798B" w:rsidRDefault="0046798B">
            <w:pPr>
              <w:pStyle w:val="TableParagraph"/>
              <w:spacing w:before="4"/>
              <w:rPr>
                <w:sz w:val="23"/>
              </w:rPr>
            </w:pPr>
          </w:p>
          <w:p w14:paraId="570779F5" w14:textId="77777777" w:rsidR="0046798B" w:rsidRDefault="00903B5C">
            <w:pPr>
              <w:pStyle w:val="TableParagraph"/>
              <w:ind w:left="114"/>
              <w:rPr>
                <w:sz w:val="20"/>
              </w:rPr>
            </w:pPr>
            <w:r>
              <w:rPr>
                <w:sz w:val="20"/>
              </w:rPr>
              <w:t>2000–2016</w:t>
            </w:r>
          </w:p>
        </w:tc>
        <w:tc>
          <w:tcPr>
            <w:tcW w:w="3421" w:type="dxa"/>
          </w:tcPr>
          <w:p w14:paraId="54DE9FD8" w14:textId="77777777" w:rsidR="0046798B" w:rsidRDefault="00903B5C">
            <w:pPr>
              <w:pStyle w:val="TableParagraph"/>
              <w:spacing w:before="38"/>
              <w:ind w:left="114" w:right="274"/>
              <w:rPr>
                <w:sz w:val="20"/>
              </w:rPr>
            </w:pPr>
            <w:r>
              <w:rPr>
                <w:sz w:val="20"/>
              </w:rPr>
              <w:t>Health insurance benefit mandates: morbid obesity treatment (0 = no, 1 = yes)</w:t>
            </w:r>
          </w:p>
        </w:tc>
        <w:tc>
          <w:tcPr>
            <w:tcW w:w="6482" w:type="dxa"/>
          </w:tcPr>
          <w:p w14:paraId="7BA6F443"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r w:rsidR="0046798B" w14:paraId="67CDDD8F" w14:textId="77777777">
        <w:trPr>
          <w:trHeight w:val="775"/>
        </w:trPr>
        <w:tc>
          <w:tcPr>
            <w:tcW w:w="1711" w:type="dxa"/>
          </w:tcPr>
          <w:p w14:paraId="408F4F2E" w14:textId="77777777" w:rsidR="0046798B" w:rsidRDefault="0046798B">
            <w:pPr>
              <w:pStyle w:val="TableParagraph"/>
              <w:spacing w:before="3"/>
              <w:rPr>
                <w:sz w:val="23"/>
              </w:rPr>
            </w:pPr>
          </w:p>
          <w:p w14:paraId="54DD6915" w14:textId="77777777" w:rsidR="0046798B" w:rsidRDefault="00903B5C">
            <w:pPr>
              <w:pStyle w:val="TableParagraph"/>
              <w:ind w:left="115"/>
              <w:rPr>
                <w:b/>
                <w:sz w:val="20"/>
              </w:rPr>
            </w:pPr>
            <w:r>
              <w:rPr>
                <w:b/>
                <w:sz w:val="20"/>
              </w:rPr>
              <w:t>hmbndt</w:t>
            </w:r>
          </w:p>
        </w:tc>
        <w:tc>
          <w:tcPr>
            <w:tcW w:w="1596" w:type="dxa"/>
          </w:tcPr>
          <w:p w14:paraId="4D152E82" w14:textId="77777777" w:rsidR="0046798B" w:rsidRDefault="00903B5C">
            <w:pPr>
              <w:pStyle w:val="TableParagraph"/>
              <w:spacing w:before="153"/>
              <w:ind w:left="114" w:right="163"/>
              <w:rPr>
                <w:sz w:val="20"/>
              </w:rPr>
            </w:pPr>
            <w:r>
              <w:rPr>
                <w:sz w:val="20"/>
              </w:rPr>
              <w:t>Neurodevelopm ent therapy</w:t>
            </w:r>
          </w:p>
        </w:tc>
        <w:tc>
          <w:tcPr>
            <w:tcW w:w="1285" w:type="dxa"/>
          </w:tcPr>
          <w:p w14:paraId="40A60FF0" w14:textId="77777777" w:rsidR="0046798B" w:rsidRDefault="0046798B">
            <w:pPr>
              <w:pStyle w:val="TableParagraph"/>
              <w:spacing w:before="3"/>
              <w:rPr>
                <w:sz w:val="23"/>
              </w:rPr>
            </w:pPr>
          </w:p>
          <w:p w14:paraId="3DBE3471" w14:textId="77777777" w:rsidR="0046798B" w:rsidRDefault="00903B5C">
            <w:pPr>
              <w:pStyle w:val="TableParagraph"/>
              <w:ind w:left="114"/>
              <w:rPr>
                <w:sz w:val="20"/>
              </w:rPr>
            </w:pPr>
            <w:r>
              <w:rPr>
                <w:sz w:val="20"/>
              </w:rPr>
              <w:t>2006–2016</w:t>
            </w:r>
          </w:p>
        </w:tc>
        <w:tc>
          <w:tcPr>
            <w:tcW w:w="3421" w:type="dxa"/>
          </w:tcPr>
          <w:p w14:paraId="44EEAD1D" w14:textId="77777777" w:rsidR="0046798B" w:rsidRDefault="00903B5C">
            <w:pPr>
              <w:pStyle w:val="TableParagraph"/>
              <w:spacing w:before="38"/>
              <w:ind w:left="114" w:right="146"/>
              <w:rPr>
                <w:sz w:val="20"/>
              </w:rPr>
            </w:pPr>
            <w:r>
              <w:rPr>
                <w:sz w:val="20"/>
              </w:rPr>
              <w:t>Health insurance benefit mandates: neurodevelopment therapy (0 = no, 1 = yes)</w:t>
            </w:r>
          </w:p>
        </w:tc>
        <w:tc>
          <w:tcPr>
            <w:tcW w:w="6482" w:type="dxa"/>
          </w:tcPr>
          <w:p w14:paraId="1374181D"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r w:rsidR="0046798B" w14:paraId="503F9065" w14:textId="77777777">
        <w:trPr>
          <w:trHeight w:val="775"/>
        </w:trPr>
        <w:tc>
          <w:tcPr>
            <w:tcW w:w="1711" w:type="dxa"/>
          </w:tcPr>
          <w:p w14:paraId="5FB9ACA9" w14:textId="77777777" w:rsidR="0046798B" w:rsidRDefault="0046798B">
            <w:pPr>
              <w:pStyle w:val="TableParagraph"/>
              <w:spacing w:before="3"/>
              <w:rPr>
                <w:sz w:val="23"/>
              </w:rPr>
            </w:pPr>
          </w:p>
          <w:p w14:paraId="7121B6F1" w14:textId="77777777" w:rsidR="0046798B" w:rsidRDefault="00903B5C">
            <w:pPr>
              <w:pStyle w:val="TableParagraph"/>
              <w:spacing w:before="1"/>
              <w:ind w:left="115"/>
              <w:rPr>
                <w:b/>
                <w:sz w:val="20"/>
              </w:rPr>
            </w:pPr>
            <w:r>
              <w:rPr>
                <w:b/>
                <w:sz w:val="20"/>
              </w:rPr>
              <w:t>hmbnhs</w:t>
            </w:r>
          </w:p>
        </w:tc>
        <w:tc>
          <w:tcPr>
            <w:tcW w:w="1596" w:type="dxa"/>
          </w:tcPr>
          <w:p w14:paraId="35743CCE" w14:textId="77777777" w:rsidR="0046798B" w:rsidRDefault="00903B5C">
            <w:pPr>
              <w:pStyle w:val="TableParagraph"/>
              <w:spacing w:before="38"/>
              <w:ind w:left="114" w:right="685"/>
              <w:rPr>
                <w:sz w:val="20"/>
              </w:rPr>
            </w:pPr>
            <w:r>
              <w:rPr>
                <w:sz w:val="20"/>
              </w:rPr>
              <w:t>Newborn hearing screening</w:t>
            </w:r>
          </w:p>
        </w:tc>
        <w:tc>
          <w:tcPr>
            <w:tcW w:w="1285" w:type="dxa"/>
          </w:tcPr>
          <w:p w14:paraId="474D6B0D" w14:textId="77777777" w:rsidR="0046798B" w:rsidRDefault="0046798B">
            <w:pPr>
              <w:pStyle w:val="TableParagraph"/>
              <w:spacing w:before="3"/>
              <w:rPr>
                <w:sz w:val="23"/>
              </w:rPr>
            </w:pPr>
          </w:p>
          <w:p w14:paraId="00109EC1" w14:textId="77777777" w:rsidR="0046798B" w:rsidRDefault="00903B5C">
            <w:pPr>
              <w:pStyle w:val="TableParagraph"/>
              <w:spacing w:before="1"/>
              <w:ind w:left="114"/>
              <w:rPr>
                <w:sz w:val="20"/>
              </w:rPr>
            </w:pPr>
            <w:r>
              <w:rPr>
                <w:sz w:val="20"/>
              </w:rPr>
              <w:t>2006–2016</w:t>
            </w:r>
          </w:p>
        </w:tc>
        <w:tc>
          <w:tcPr>
            <w:tcW w:w="3421" w:type="dxa"/>
          </w:tcPr>
          <w:p w14:paraId="18A6FB1A" w14:textId="77777777" w:rsidR="0046798B" w:rsidRDefault="00903B5C">
            <w:pPr>
              <w:pStyle w:val="TableParagraph"/>
              <w:spacing w:before="38"/>
              <w:ind w:left="114" w:right="119"/>
              <w:rPr>
                <w:sz w:val="20"/>
              </w:rPr>
            </w:pPr>
            <w:r>
              <w:rPr>
                <w:sz w:val="20"/>
              </w:rPr>
              <w:t>Health insurance benefit mandates: newborn hearing screening (0 = no, 1 = yes)</w:t>
            </w:r>
          </w:p>
        </w:tc>
        <w:tc>
          <w:tcPr>
            <w:tcW w:w="6482" w:type="dxa"/>
          </w:tcPr>
          <w:p w14:paraId="58FBD5A2" w14:textId="77777777" w:rsidR="0046798B" w:rsidRDefault="00903B5C">
            <w:pPr>
              <w:pStyle w:val="TableParagraph"/>
              <w:spacing w:before="38"/>
              <w:ind w:left="114" w:right="272"/>
              <w:rPr>
                <w:sz w:val="20"/>
              </w:rPr>
            </w:pPr>
            <w:r>
              <w:rPr>
                <w:sz w:val="20"/>
              </w:rPr>
              <w:t>Sorens, Jason, Fait Muedini, and William P. Ruger. “State and Local Public Policies in 2006: A New Database.” State Politics &amp; Policy Quarterly 8.3 (2008): 309–26.</w:t>
            </w:r>
          </w:p>
        </w:tc>
      </w:tr>
    </w:tbl>
    <w:p w14:paraId="31935393" w14:textId="77777777" w:rsidR="0046798B" w:rsidRDefault="0046798B">
      <w:pPr>
        <w:rPr>
          <w:sz w:val="20"/>
        </w:rPr>
        <w:sectPr w:rsidR="0046798B">
          <w:pgSz w:w="15840" w:h="12240" w:orient="landscape"/>
          <w:pgMar w:top="1220" w:right="300" w:bottom="980" w:left="820" w:header="730" w:footer="787" w:gutter="0"/>
          <w:cols w:space="720"/>
        </w:sectPr>
      </w:pPr>
    </w:p>
    <w:p w14:paraId="7BFA02EB"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761D47ED" w14:textId="77777777">
        <w:trPr>
          <w:trHeight w:val="775"/>
        </w:trPr>
        <w:tc>
          <w:tcPr>
            <w:tcW w:w="1711" w:type="dxa"/>
          </w:tcPr>
          <w:p w14:paraId="414EED61" w14:textId="77777777" w:rsidR="0046798B" w:rsidRDefault="0046798B">
            <w:pPr>
              <w:pStyle w:val="TableParagraph"/>
              <w:spacing w:before="9"/>
              <w:rPr>
                <w:sz w:val="23"/>
              </w:rPr>
            </w:pPr>
          </w:p>
          <w:p w14:paraId="0BF56D65" w14:textId="77777777" w:rsidR="0046798B" w:rsidRDefault="00903B5C">
            <w:pPr>
              <w:pStyle w:val="TableParagraph"/>
              <w:ind w:left="115"/>
              <w:rPr>
                <w:b/>
                <w:sz w:val="20"/>
              </w:rPr>
            </w:pPr>
            <w:r>
              <w:rPr>
                <w:b/>
                <w:sz w:val="20"/>
              </w:rPr>
              <w:t>hmbnsct</w:t>
            </w:r>
          </w:p>
        </w:tc>
        <w:tc>
          <w:tcPr>
            <w:tcW w:w="1596" w:type="dxa"/>
          </w:tcPr>
          <w:p w14:paraId="61727649" w14:textId="77777777" w:rsidR="0046798B" w:rsidRDefault="00903B5C">
            <w:pPr>
              <w:pStyle w:val="TableParagraph"/>
              <w:spacing w:before="158"/>
              <w:ind w:left="114" w:right="124"/>
              <w:rPr>
                <w:sz w:val="20"/>
              </w:rPr>
            </w:pPr>
            <w:r>
              <w:rPr>
                <w:sz w:val="20"/>
              </w:rPr>
              <w:t>Newborn sickle- cell testing</w:t>
            </w:r>
          </w:p>
        </w:tc>
        <w:tc>
          <w:tcPr>
            <w:tcW w:w="1285" w:type="dxa"/>
          </w:tcPr>
          <w:p w14:paraId="7F30AA01" w14:textId="77777777" w:rsidR="0046798B" w:rsidRDefault="0046798B">
            <w:pPr>
              <w:pStyle w:val="TableParagraph"/>
              <w:spacing w:before="9"/>
              <w:rPr>
                <w:sz w:val="23"/>
              </w:rPr>
            </w:pPr>
          </w:p>
          <w:p w14:paraId="08F6E041" w14:textId="77777777" w:rsidR="0046798B" w:rsidRDefault="00903B5C">
            <w:pPr>
              <w:pStyle w:val="TableParagraph"/>
              <w:ind w:left="114"/>
              <w:rPr>
                <w:sz w:val="20"/>
              </w:rPr>
            </w:pPr>
            <w:r>
              <w:rPr>
                <w:sz w:val="20"/>
              </w:rPr>
              <w:t>2006–2016</w:t>
            </w:r>
          </w:p>
        </w:tc>
        <w:tc>
          <w:tcPr>
            <w:tcW w:w="3421" w:type="dxa"/>
          </w:tcPr>
          <w:p w14:paraId="0205C2B5" w14:textId="77777777" w:rsidR="0046798B" w:rsidRDefault="00903B5C">
            <w:pPr>
              <w:pStyle w:val="TableParagraph"/>
              <w:spacing w:before="43"/>
              <w:ind w:left="114" w:right="129"/>
              <w:rPr>
                <w:sz w:val="20"/>
              </w:rPr>
            </w:pPr>
            <w:r>
              <w:rPr>
                <w:sz w:val="20"/>
              </w:rPr>
              <w:t>Health insurance benefit mandates: newborn sickle-cell testing (0 = no, 1 = yes)</w:t>
            </w:r>
          </w:p>
        </w:tc>
        <w:tc>
          <w:tcPr>
            <w:tcW w:w="6482" w:type="dxa"/>
          </w:tcPr>
          <w:p w14:paraId="320B49DC" w14:textId="77777777" w:rsidR="0046798B" w:rsidRDefault="00903B5C">
            <w:pPr>
              <w:pStyle w:val="TableParagraph"/>
              <w:spacing w:before="43"/>
              <w:ind w:left="114"/>
              <w:rPr>
                <w:sz w:val="20"/>
              </w:rPr>
            </w:pPr>
            <w:r>
              <w:rPr>
                <w:sz w:val="20"/>
              </w:rPr>
              <w:t>Sorens, Jason, Fait Muedini, and William P. Ruger. “State and Local Public Policies in 2006: A New Database.” State Politics &amp; Policy Quarterly 8.3 (2008): 309–26.</w:t>
            </w:r>
          </w:p>
        </w:tc>
      </w:tr>
      <w:tr w:rsidR="0046798B" w14:paraId="72C6EF60" w14:textId="77777777">
        <w:trPr>
          <w:trHeight w:val="775"/>
        </w:trPr>
        <w:tc>
          <w:tcPr>
            <w:tcW w:w="1711" w:type="dxa"/>
          </w:tcPr>
          <w:p w14:paraId="5C5D391F" w14:textId="77777777" w:rsidR="0046798B" w:rsidRDefault="0046798B">
            <w:pPr>
              <w:pStyle w:val="TableParagraph"/>
              <w:spacing w:before="8"/>
              <w:rPr>
                <w:sz w:val="23"/>
              </w:rPr>
            </w:pPr>
          </w:p>
          <w:p w14:paraId="7F6534FF" w14:textId="77777777" w:rsidR="0046798B" w:rsidRDefault="00903B5C">
            <w:pPr>
              <w:pStyle w:val="TableParagraph"/>
              <w:spacing w:before="1"/>
              <w:ind w:left="115"/>
              <w:rPr>
                <w:b/>
                <w:sz w:val="20"/>
              </w:rPr>
            </w:pPr>
            <w:r>
              <w:rPr>
                <w:b/>
                <w:sz w:val="20"/>
              </w:rPr>
              <w:t>hmbbm</w:t>
            </w:r>
          </w:p>
        </w:tc>
        <w:tc>
          <w:tcPr>
            <w:tcW w:w="1596" w:type="dxa"/>
          </w:tcPr>
          <w:p w14:paraId="68AF1990" w14:textId="77777777" w:rsidR="0046798B" w:rsidRDefault="00903B5C">
            <w:pPr>
              <w:pStyle w:val="TableParagraph"/>
              <w:spacing w:before="158"/>
              <w:ind w:left="114" w:right="357"/>
              <w:rPr>
                <w:sz w:val="20"/>
              </w:rPr>
            </w:pPr>
            <w:r>
              <w:rPr>
                <w:sz w:val="20"/>
              </w:rPr>
              <w:t>Bone marrow transplants</w:t>
            </w:r>
          </w:p>
        </w:tc>
        <w:tc>
          <w:tcPr>
            <w:tcW w:w="1285" w:type="dxa"/>
          </w:tcPr>
          <w:p w14:paraId="20749E21" w14:textId="77777777" w:rsidR="0046798B" w:rsidRDefault="0046798B">
            <w:pPr>
              <w:pStyle w:val="TableParagraph"/>
              <w:spacing w:before="8"/>
              <w:rPr>
                <w:sz w:val="23"/>
              </w:rPr>
            </w:pPr>
          </w:p>
          <w:p w14:paraId="34E31249" w14:textId="77777777" w:rsidR="0046798B" w:rsidRDefault="00903B5C">
            <w:pPr>
              <w:pStyle w:val="TableParagraph"/>
              <w:spacing w:before="1"/>
              <w:ind w:left="114"/>
              <w:rPr>
                <w:sz w:val="20"/>
              </w:rPr>
            </w:pPr>
            <w:r>
              <w:rPr>
                <w:sz w:val="20"/>
              </w:rPr>
              <w:t>2006–2008</w:t>
            </w:r>
          </w:p>
        </w:tc>
        <w:tc>
          <w:tcPr>
            <w:tcW w:w="3421" w:type="dxa"/>
          </w:tcPr>
          <w:p w14:paraId="06413A23" w14:textId="77777777" w:rsidR="0046798B" w:rsidRDefault="00903B5C">
            <w:pPr>
              <w:pStyle w:val="TableParagraph"/>
              <w:spacing w:before="43"/>
              <w:ind w:left="114" w:right="307"/>
              <w:rPr>
                <w:sz w:val="20"/>
              </w:rPr>
            </w:pPr>
            <w:r>
              <w:rPr>
                <w:sz w:val="20"/>
              </w:rPr>
              <w:t>Health insurance benefit mandates: bone marrow transplants (0 = no, 1 = yes)</w:t>
            </w:r>
          </w:p>
        </w:tc>
        <w:tc>
          <w:tcPr>
            <w:tcW w:w="6482" w:type="dxa"/>
          </w:tcPr>
          <w:p w14:paraId="0F600C5C" w14:textId="77777777" w:rsidR="0046798B" w:rsidRDefault="00903B5C">
            <w:pPr>
              <w:pStyle w:val="TableParagraph"/>
              <w:spacing w:before="43"/>
              <w:ind w:left="114"/>
              <w:rPr>
                <w:sz w:val="20"/>
              </w:rPr>
            </w:pPr>
            <w:r>
              <w:rPr>
                <w:sz w:val="20"/>
              </w:rPr>
              <w:t>Sorens, Jason, Fait Muedini, and William P. Ruger. “State and Local Public Policies in 2006: A New Database.” State Politics &amp; Policy Quarterly 8.3 (2008): 309–26.</w:t>
            </w:r>
          </w:p>
        </w:tc>
      </w:tr>
      <w:tr w:rsidR="0046798B" w14:paraId="291808BB" w14:textId="77777777">
        <w:trPr>
          <w:trHeight w:val="780"/>
        </w:trPr>
        <w:tc>
          <w:tcPr>
            <w:tcW w:w="1711" w:type="dxa"/>
          </w:tcPr>
          <w:p w14:paraId="54DA1A6E" w14:textId="77777777" w:rsidR="0046798B" w:rsidRDefault="0046798B">
            <w:pPr>
              <w:pStyle w:val="TableParagraph"/>
              <w:spacing w:before="9"/>
              <w:rPr>
                <w:sz w:val="23"/>
              </w:rPr>
            </w:pPr>
          </w:p>
          <w:p w14:paraId="4E34BECF" w14:textId="77777777" w:rsidR="0046798B" w:rsidRDefault="00903B5C">
            <w:pPr>
              <w:pStyle w:val="TableParagraph"/>
              <w:ind w:left="115"/>
              <w:rPr>
                <w:b/>
                <w:sz w:val="20"/>
              </w:rPr>
            </w:pPr>
            <w:r>
              <w:rPr>
                <w:b/>
                <w:sz w:val="20"/>
              </w:rPr>
              <w:t>hmbbmass</w:t>
            </w:r>
          </w:p>
        </w:tc>
        <w:tc>
          <w:tcPr>
            <w:tcW w:w="1596" w:type="dxa"/>
          </w:tcPr>
          <w:p w14:paraId="5888E4AA" w14:textId="77777777" w:rsidR="0046798B" w:rsidRDefault="00903B5C">
            <w:pPr>
              <w:pStyle w:val="TableParagraph"/>
              <w:spacing w:before="159"/>
              <w:ind w:left="114" w:right="385"/>
              <w:rPr>
                <w:sz w:val="20"/>
              </w:rPr>
            </w:pPr>
            <w:r>
              <w:rPr>
                <w:sz w:val="20"/>
              </w:rPr>
              <w:t>Bone mass measurement</w:t>
            </w:r>
          </w:p>
        </w:tc>
        <w:tc>
          <w:tcPr>
            <w:tcW w:w="1285" w:type="dxa"/>
          </w:tcPr>
          <w:p w14:paraId="16B922F4" w14:textId="77777777" w:rsidR="0046798B" w:rsidRDefault="0046798B">
            <w:pPr>
              <w:pStyle w:val="TableParagraph"/>
              <w:spacing w:before="9"/>
              <w:rPr>
                <w:sz w:val="23"/>
              </w:rPr>
            </w:pPr>
          </w:p>
          <w:p w14:paraId="577EB245" w14:textId="77777777" w:rsidR="0046798B" w:rsidRDefault="00903B5C">
            <w:pPr>
              <w:pStyle w:val="TableParagraph"/>
              <w:ind w:left="114"/>
              <w:rPr>
                <w:sz w:val="20"/>
              </w:rPr>
            </w:pPr>
            <w:r>
              <w:rPr>
                <w:sz w:val="20"/>
              </w:rPr>
              <w:t>2006–2008</w:t>
            </w:r>
          </w:p>
        </w:tc>
        <w:tc>
          <w:tcPr>
            <w:tcW w:w="3421" w:type="dxa"/>
          </w:tcPr>
          <w:p w14:paraId="3289F3C8" w14:textId="77777777" w:rsidR="0046798B" w:rsidRDefault="00903B5C">
            <w:pPr>
              <w:pStyle w:val="TableParagraph"/>
              <w:spacing w:before="44"/>
              <w:ind w:left="114" w:right="329"/>
              <w:rPr>
                <w:sz w:val="20"/>
              </w:rPr>
            </w:pPr>
            <w:r>
              <w:rPr>
                <w:sz w:val="20"/>
              </w:rPr>
              <w:t>Health insurance benefit mandates: bone mass measurement (0 = no, 1 = yes)</w:t>
            </w:r>
          </w:p>
        </w:tc>
        <w:tc>
          <w:tcPr>
            <w:tcW w:w="6482" w:type="dxa"/>
          </w:tcPr>
          <w:p w14:paraId="715A1D04" w14:textId="77777777" w:rsidR="0046798B" w:rsidRDefault="00903B5C">
            <w:pPr>
              <w:pStyle w:val="TableParagraph"/>
              <w:spacing w:before="44"/>
              <w:ind w:left="114"/>
              <w:rPr>
                <w:sz w:val="20"/>
              </w:rPr>
            </w:pPr>
            <w:r>
              <w:rPr>
                <w:sz w:val="20"/>
              </w:rPr>
              <w:t>Sorens, Jason, Fait Muedini, and William P. Ruger. “State and Local Public Policies in 2006: A New Database.” State Politics &amp; Policy Quarterly 8.3 (2008): 309–26.</w:t>
            </w:r>
          </w:p>
        </w:tc>
      </w:tr>
      <w:tr w:rsidR="0046798B" w14:paraId="17FD8A2A" w14:textId="77777777">
        <w:trPr>
          <w:trHeight w:val="775"/>
        </w:trPr>
        <w:tc>
          <w:tcPr>
            <w:tcW w:w="1711" w:type="dxa"/>
          </w:tcPr>
          <w:p w14:paraId="1A13C587" w14:textId="77777777" w:rsidR="0046798B" w:rsidRDefault="0046798B">
            <w:pPr>
              <w:pStyle w:val="TableParagraph"/>
              <w:spacing w:before="3"/>
              <w:rPr>
                <w:sz w:val="23"/>
              </w:rPr>
            </w:pPr>
          </w:p>
          <w:p w14:paraId="038D8C7C" w14:textId="77777777" w:rsidR="0046798B" w:rsidRDefault="00903B5C">
            <w:pPr>
              <w:pStyle w:val="TableParagraph"/>
              <w:spacing w:before="1"/>
              <w:ind w:left="115"/>
              <w:rPr>
                <w:b/>
                <w:sz w:val="20"/>
              </w:rPr>
            </w:pPr>
            <w:r>
              <w:rPr>
                <w:b/>
                <w:sz w:val="20"/>
              </w:rPr>
              <w:t>hmbbp</w:t>
            </w:r>
          </w:p>
        </w:tc>
        <w:tc>
          <w:tcPr>
            <w:tcW w:w="1596" w:type="dxa"/>
          </w:tcPr>
          <w:p w14:paraId="68532C9D" w14:textId="77777777" w:rsidR="0046798B" w:rsidRDefault="0046798B">
            <w:pPr>
              <w:pStyle w:val="TableParagraph"/>
              <w:spacing w:before="3"/>
              <w:rPr>
                <w:sz w:val="23"/>
              </w:rPr>
            </w:pPr>
          </w:p>
          <w:p w14:paraId="59E36C62" w14:textId="77777777" w:rsidR="0046798B" w:rsidRDefault="00903B5C">
            <w:pPr>
              <w:pStyle w:val="TableParagraph"/>
              <w:spacing w:before="1"/>
              <w:ind w:left="114"/>
              <w:rPr>
                <w:sz w:val="20"/>
              </w:rPr>
            </w:pPr>
            <w:r>
              <w:rPr>
                <w:sz w:val="20"/>
              </w:rPr>
              <w:t>Blood products</w:t>
            </w:r>
          </w:p>
        </w:tc>
        <w:tc>
          <w:tcPr>
            <w:tcW w:w="1285" w:type="dxa"/>
          </w:tcPr>
          <w:p w14:paraId="04C1D448" w14:textId="77777777" w:rsidR="0046798B" w:rsidRDefault="0046798B">
            <w:pPr>
              <w:pStyle w:val="TableParagraph"/>
              <w:spacing w:before="3"/>
              <w:rPr>
                <w:sz w:val="23"/>
              </w:rPr>
            </w:pPr>
          </w:p>
          <w:p w14:paraId="1AF9781E" w14:textId="77777777" w:rsidR="0046798B" w:rsidRDefault="00903B5C">
            <w:pPr>
              <w:pStyle w:val="TableParagraph"/>
              <w:spacing w:before="1"/>
              <w:ind w:left="114"/>
              <w:rPr>
                <w:sz w:val="20"/>
              </w:rPr>
            </w:pPr>
            <w:r>
              <w:rPr>
                <w:sz w:val="20"/>
              </w:rPr>
              <w:t>2006–2008</w:t>
            </w:r>
          </w:p>
        </w:tc>
        <w:tc>
          <w:tcPr>
            <w:tcW w:w="3421" w:type="dxa"/>
          </w:tcPr>
          <w:p w14:paraId="6F81E5F2" w14:textId="77777777" w:rsidR="0046798B" w:rsidRDefault="00903B5C">
            <w:pPr>
              <w:pStyle w:val="TableParagraph"/>
              <w:spacing w:before="153"/>
              <w:ind w:left="114" w:right="461"/>
              <w:rPr>
                <w:sz w:val="20"/>
              </w:rPr>
            </w:pPr>
            <w:r>
              <w:rPr>
                <w:sz w:val="20"/>
              </w:rPr>
              <w:t>Health insurance benefit mandates: blood products (0 = no, 1 = yes)</w:t>
            </w:r>
          </w:p>
        </w:tc>
        <w:tc>
          <w:tcPr>
            <w:tcW w:w="6482" w:type="dxa"/>
          </w:tcPr>
          <w:p w14:paraId="655F66F4" w14:textId="77777777" w:rsidR="0046798B" w:rsidRDefault="00903B5C">
            <w:pPr>
              <w:pStyle w:val="TableParagraph"/>
              <w:spacing w:before="38"/>
              <w:ind w:left="114" w:right="272"/>
              <w:rPr>
                <w:sz w:val="20"/>
              </w:rPr>
            </w:pPr>
            <w:r>
              <w:rPr>
                <w:sz w:val="20"/>
              </w:rPr>
              <w:t>Sorens, Jason, Fait Muedini, and William P. Ruger. “State and Local Public Policies in 2006: A New Database.” State Politics &amp; Policy Quarterly 8.3 (2008): 309–26.</w:t>
            </w:r>
          </w:p>
        </w:tc>
      </w:tr>
      <w:tr w:rsidR="0046798B" w14:paraId="67E883F7" w14:textId="77777777">
        <w:trPr>
          <w:trHeight w:val="775"/>
        </w:trPr>
        <w:tc>
          <w:tcPr>
            <w:tcW w:w="1711" w:type="dxa"/>
          </w:tcPr>
          <w:p w14:paraId="74AA39D5" w14:textId="77777777" w:rsidR="0046798B" w:rsidRDefault="0046798B">
            <w:pPr>
              <w:pStyle w:val="TableParagraph"/>
              <w:spacing w:before="3"/>
              <w:rPr>
                <w:sz w:val="23"/>
              </w:rPr>
            </w:pPr>
          </w:p>
          <w:p w14:paraId="417992A5" w14:textId="77777777" w:rsidR="0046798B" w:rsidRDefault="00903B5C">
            <w:pPr>
              <w:pStyle w:val="TableParagraph"/>
              <w:spacing w:before="1"/>
              <w:ind w:left="115"/>
              <w:rPr>
                <w:b/>
                <w:sz w:val="20"/>
              </w:rPr>
            </w:pPr>
            <w:r>
              <w:rPr>
                <w:b/>
                <w:sz w:val="20"/>
              </w:rPr>
              <w:t>hmbbr</w:t>
            </w:r>
          </w:p>
        </w:tc>
        <w:tc>
          <w:tcPr>
            <w:tcW w:w="1596" w:type="dxa"/>
          </w:tcPr>
          <w:p w14:paraId="6FFB9DED" w14:textId="77777777" w:rsidR="0046798B" w:rsidRDefault="00903B5C">
            <w:pPr>
              <w:pStyle w:val="TableParagraph"/>
              <w:spacing w:before="153"/>
              <w:ind w:left="114" w:right="307"/>
              <w:rPr>
                <w:sz w:val="20"/>
              </w:rPr>
            </w:pPr>
            <w:r>
              <w:rPr>
                <w:sz w:val="20"/>
              </w:rPr>
              <w:t>Breast reconstruction</w:t>
            </w:r>
          </w:p>
        </w:tc>
        <w:tc>
          <w:tcPr>
            <w:tcW w:w="1285" w:type="dxa"/>
          </w:tcPr>
          <w:p w14:paraId="22E69312" w14:textId="77777777" w:rsidR="0046798B" w:rsidRDefault="0046798B">
            <w:pPr>
              <w:pStyle w:val="TableParagraph"/>
              <w:spacing w:before="3"/>
              <w:rPr>
                <w:sz w:val="23"/>
              </w:rPr>
            </w:pPr>
          </w:p>
          <w:p w14:paraId="02A4EAB1" w14:textId="77777777" w:rsidR="0046798B" w:rsidRDefault="00903B5C">
            <w:pPr>
              <w:pStyle w:val="TableParagraph"/>
              <w:spacing w:before="1"/>
              <w:ind w:left="114"/>
              <w:rPr>
                <w:sz w:val="20"/>
              </w:rPr>
            </w:pPr>
            <w:r>
              <w:rPr>
                <w:sz w:val="20"/>
              </w:rPr>
              <w:t>2006–2008</w:t>
            </w:r>
          </w:p>
        </w:tc>
        <w:tc>
          <w:tcPr>
            <w:tcW w:w="3421" w:type="dxa"/>
          </w:tcPr>
          <w:p w14:paraId="0BCC30EA" w14:textId="77777777" w:rsidR="0046798B" w:rsidRDefault="00903B5C">
            <w:pPr>
              <w:pStyle w:val="TableParagraph"/>
              <w:spacing w:before="153"/>
              <w:ind w:left="114" w:right="230"/>
              <w:rPr>
                <w:sz w:val="20"/>
              </w:rPr>
            </w:pPr>
            <w:r>
              <w:rPr>
                <w:sz w:val="20"/>
              </w:rPr>
              <w:t>Health insurance benefit mandates: breast reconstruction (0 = no, 1 = yes)</w:t>
            </w:r>
          </w:p>
        </w:tc>
        <w:tc>
          <w:tcPr>
            <w:tcW w:w="6482" w:type="dxa"/>
          </w:tcPr>
          <w:p w14:paraId="337D45B8"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r w:rsidR="0046798B" w14:paraId="6E3FACAF" w14:textId="77777777">
        <w:trPr>
          <w:trHeight w:val="775"/>
        </w:trPr>
        <w:tc>
          <w:tcPr>
            <w:tcW w:w="1711" w:type="dxa"/>
          </w:tcPr>
          <w:p w14:paraId="5E1B8D68" w14:textId="77777777" w:rsidR="0046798B" w:rsidRDefault="0046798B">
            <w:pPr>
              <w:pStyle w:val="TableParagraph"/>
              <w:spacing w:before="9"/>
              <w:rPr>
                <w:sz w:val="23"/>
              </w:rPr>
            </w:pPr>
          </w:p>
          <w:p w14:paraId="620CBBE0" w14:textId="77777777" w:rsidR="0046798B" w:rsidRDefault="00903B5C">
            <w:pPr>
              <w:pStyle w:val="TableParagraph"/>
              <w:ind w:left="115"/>
              <w:rPr>
                <w:b/>
                <w:sz w:val="20"/>
              </w:rPr>
            </w:pPr>
            <w:r>
              <w:rPr>
                <w:b/>
                <w:sz w:val="20"/>
              </w:rPr>
              <w:t>hmbbri</w:t>
            </w:r>
          </w:p>
        </w:tc>
        <w:tc>
          <w:tcPr>
            <w:tcW w:w="1596" w:type="dxa"/>
          </w:tcPr>
          <w:p w14:paraId="1D906C33" w14:textId="77777777" w:rsidR="0046798B" w:rsidRDefault="0046798B">
            <w:pPr>
              <w:pStyle w:val="TableParagraph"/>
              <w:spacing w:before="9"/>
              <w:rPr>
                <w:sz w:val="23"/>
              </w:rPr>
            </w:pPr>
          </w:p>
          <w:p w14:paraId="4893A29D" w14:textId="77777777" w:rsidR="0046798B" w:rsidRDefault="00903B5C">
            <w:pPr>
              <w:pStyle w:val="TableParagraph"/>
              <w:ind w:left="114"/>
              <w:rPr>
                <w:sz w:val="20"/>
              </w:rPr>
            </w:pPr>
            <w:r>
              <w:rPr>
                <w:sz w:val="20"/>
              </w:rPr>
              <w:t>Brain injury</w:t>
            </w:r>
          </w:p>
        </w:tc>
        <w:tc>
          <w:tcPr>
            <w:tcW w:w="1285" w:type="dxa"/>
          </w:tcPr>
          <w:p w14:paraId="62D242D1" w14:textId="77777777" w:rsidR="0046798B" w:rsidRDefault="0046798B">
            <w:pPr>
              <w:pStyle w:val="TableParagraph"/>
              <w:spacing w:before="9"/>
              <w:rPr>
                <w:sz w:val="23"/>
              </w:rPr>
            </w:pPr>
          </w:p>
          <w:p w14:paraId="375A2757" w14:textId="77777777" w:rsidR="0046798B" w:rsidRDefault="00903B5C">
            <w:pPr>
              <w:pStyle w:val="TableParagraph"/>
              <w:ind w:left="114"/>
              <w:rPr>
                <w:sz w:val="20"/>
              </w:rPr>
            </w:pPr>
            <w:r>
              <w:rPr>
                <w:sz w:val="20"/>
              </w:rPr>
              <w:t>2006–2008</w:t>
            </w:r>
          </w:p>
        </w:tc>
        <w:tc>
          <w:tcPr>
            <w:tcW w:w="3421" w:type="dxa"/>
          </w:tcPr>
          <w:p w14:paraId="18A3FF29" w14:textId="77777777" w:rsidR="0046798B" w:rsidRDefault="00903B5C">
            <w:pPr>
              <w:pStyle w:val="TableParagraph"/>
              <w:spacing w:before="158"/>
              <w:ind w:left="114" w:right="461"/>
              <w:rPr>
                <w:sz w:val="20"/>
              </w:rPr>
            </w:pPr>
            <w:r>
              <w:rPr>
                <w:sz w:val="20"/>
              </w:rPr>
              <w:t>Health insurance benefit mandates: brain injury (0 = no, 1 = yes)</w:t>
            </w:r>
          </w:p>
        </w:tc>
        <w:tc>
          <w:tcPr>
            <w:tcW w:w="6482" w:type="dxa"/>
          </w:tcPr>
          <w:p w14:paraId="66809777" w14:textId="77777777" w:rsidR="0046798B" w:rsidRDefault="00903B5C">
            <w:pPr>
              <w:pStyle w:val="TableParagraph"/>
              <w:spacing w:before="43"/>
              <w:ind w:left="114"/>
              <w:rPr>
                <w:sz w:val="20"/>
              </w:rPr>
            </w:pPr>
            <w:r>
              <w:rPr>
                <w:sz w:val="20"/>
              </w:rPr>
              <w:t>Sorens, Jason, Fait Muedini, and William P. Ruger. “State and Local Public Policies in 2006: A New Database.” State Politics &amp; Policy Quarterly 8.3 (2008): 309–26.</w:t>
            </w:r>
          </w:p>
        </w:tc>
      </w:tr>
      <w:tr w:rsidR="0046798B" w14:paraId="06688058" w14:textId="77777777">
        <w:trPr>
          <w:trHeight w:val="775"/>
        </w:trPr>
        <w:tc>
          <w:tcPr>
            <w:tcW w:w="1711" w:type="dxa"/>
          </w:tcPr>
          <w:p w14:paraId="1BD0AA77" w14:textId="77777777" w:rsidR="0046798B" w:rsidRDefault="0046798B">
            <w:pPr>
              <w:pStyle w:val="TableParagraph"/>
              <w:spacing w:before="8"/>
              <w:rPr>
                <w:sz w:val="23"/>
              </w:rPr>
            </w:pPr>
          </w:p>
          <w:p w14:paraId="2F28587F" w14:textId="77777777" w:rsidR="0046798B" w:rsidRDefault="00903B5C">
            <w:pPr>
              <w:pStyle w:val="TableParagraph"/>
              <w:spacing w:before="1"/>
              <w:ind w:left="115"/>
              <w:rPr>
                <w:b/>
                <w:sz w:val="20"/>
              </w:rPr>
            </w:pPr>
            <w:r>
              <w:rPr>
                <w:b/>
                <w:sz w:val="20"/>
              </w:rPr>
              <w:t>hmbcc</w:t>
            </w:r>
          </w:p>
        </w:tc>
        <w:tc>
          <w:tcPr>
            <w:tcW w:w="1596" w:type="dxa"/>
          </w:tcPr>
          <w:p w14:paraId="39D7BBA1" w14:textId="77777777" w:rsidR="0046798B" w:rsidRDefault="00903B5C">
            <w:pPr>
              <w:pStyle w:val="TableParagraph"/>
              <w:spacing w:before="43"/>
              <w:ind w:left="114" w:right="474"/>
              <w:rPr>
                <w:sz w:val="20"/>
              </w:rPr>
            </w:pPr>
            <w:r>
              <w:rPr>
                <w:sz w:val="20"/>
              </w:rPr>
              <w:t>Cervical cancer/HPV screening</w:t>
            </w:r>
          </w:p>
        </w:tc>
        <w:tc>
          <w:tcPr>
            <w:tcW w:w="1285" w:type="dxa"/>
          </w:tcPr>
          <w:p w14:paraId="2445F1DF" w14:textId="77777777" w:rsidR="0046798B" w:rsidRDefault="0046798B">
            <w:pPr>
              <w:pStyle w:val="TableParagraph"/>
              <w:spacing w:before="8"/>
              <w:rPr>
                <w:sz w:val="23"/>
              </w:rPr>
            </w:pPr>
          </w:p>
          <w:p w14:paraId="2A5CBE72" w14:textId="77777777" w:rsidR="0046798B" w:rsidRDefault="00903B5C">
            <w:pPr>
              <w:pStyle w:val="TableParagraph"/>
              <w:spacing w:before="1"/>
              <w:ind w:left="114"/>
              <w:rPr>
                <w:sz w:val="20"/>
              </w:rPr>
            </w:pPr>
            <w:r>
              <w:rPr>
                <w:sz w:val="20"/>
              </w:rPr>
              <w:t>2006–2008</w:t>
            </w:r>
          </w:p>
        </w:tc>
        <w:tc>
          <w:tcPr>
            <w:tcW w:w="3421" w:type="dxa"/>
          </w:tcPr>
          <w:p w14:paraId="4302EB5D" w14:textId="77777777" w:rsidR="0046798B" w:rsidRDefault="00903B5C">
            <w:pPr>
              <w:pStyle w:val="TableParagraph"/>
              <w:spacing w:before="43"/>
              <w:ind w:left="114" w:right="121"/>
              <w:rPr>
                <w:sz w:val="20"/>
              </w:rPr>
            </w:pPr>
            <w:r>
              <w:rPr>
                <w:sz w:val="20"/>
              </w:rPr>
              <w:t>Health insurance benefit mandates: cervical cancer/HPV screening (0 = no, 1 = yes)</w:t>
            </w:r>
          </w:p>
        </w:tc>
        <w:tc>
          <w:tcPr>
            <w:tcW w:w="6482" w:type="dxa"/>
          </w:tcPr>
          <w:p w14:paraId="620C215B" w14:textId="77777777" w:rsidR="0046798B" w:rsidRDefault="00903B5C">
            <w:pPr>
              <w:pStyle w:val="TableParagraph"/>
              <w:spacing w:before="43"/>
              <w:ind w:left="114"/>
              <w:rPr>
                <w:sz w:val="20"/>
              </w:rPr>
            </w:pPr>
            <w:r>
              <w:rPr>
                <w:sz w:val="20"/>
              </w:rPr>
              <w:t>Sorens, Jason, Fait Muedini, and William P. Ruger. “State and Local Public Policies in 2006: A New Database.” State Politics &amp; Policy Quarterly 8.3 (2008): 309–26.</w:t>
            </w:r>
          </w:p>
        </w:tc>
      </w:tr>
      <w:tr w:rsidR="0046798B" w14:paraId="59181B2A" w14:textId="77777777">
        <w:trPr>
          <w:trHeight w:val="780"/>
        </w:trPr>
        <w:tc>
          <w:tcPr>
            <w:tcW w:w="1711" w:type="dxa"/>
          </w:tcPr>
          <w:p w14:paraId="7210731A" w14:textId="77777777" w:rsidR="0046798B" w:rsidRDefault="0046798B">
            <w:pPr>
              <w:pStyle w:val="TableParagraph"/>
              <w:spacing w:before="8"/>
              <w:rPr>
                <w:sz w:val="23"/>
              </w:rPr>
            </w:pPr>
          </w:p>
          <w:p w14:paraId="7C1CA30E" w14:textId="77777777" w:rsidR="0046798B" w:rsidRDefault="00903B5C">
            <w:pPr>
              <w:pStyle w:val="TableParagraph"/>
              <w:spacing w:before="1"/>
              <w:ind w:left="115"/>
              <w:rPr>
                <w:b/>
                <w:sz w:val="20"/>
              </w:rPr>
            </w:pPr>
            <w:r>
              <w:rPr>
                <w:b/>
                <w:sz w:val="20"/>
              </w:rPr>
              <w:t>hmbcm</w:t>
            </w:r>
          </w:p>
        </w:tc>
        <w:tc>
          <w:tcPr>
            <w:tcW w:w="1596" w:type="dxa"/>
          </w:tcPr>
          <w:p w14:paraId="71A83E9A" w14:textId="77777777" w:rsidR="0046798B" w:rsidRDefault="00903B5C">
            <w:pPr>
              <w:pStyle w:val="TableParagraph"/>
              <w:spacing w:before="158"/>
              <w:ind w:left="114" w:right="485"/>
              <w:rPr>
                <w:sz w:val="20"/>
              </w:rPr>
            </w:pPr>
            <w:r>
              <w:rPr>
                <w:sz w:val="20"/>
              </w:rPr>
              <w:t>Cancer pain medications</w:t>
            </w:r>
          </w:p>
        </w:tc>
        <w:tc>
          <w:tcPr>
            <w:tcW w:w="1285" w:type="dxa"/>
          </w:tcPr>
          <w:p w14:paraId="5E769726" w14:textId="77777777" w:rsidR="0046798B" w:rsidRDefault="0046798B">
            <w:pPr>
              <w:pStyle w:val="TableParagraph"/>
              <w:spacing w:before="8"/>
              <w:rPr>
                <w:sz w:val="23"/>
              </w:rPr>
            </w:pPr>
          </w:p>
          <w:p w14:paraId="06917ABA" w14:textId="77777777" w:rsidR="0046798B" w:rsidRDefault="00903B5C">
            <w:pPr>
              <w:pStyle w:val="TableParagraph"/>
              <w:spacing w:before="1"/>
              <w:ind w:left="114"/>
              <w:rPr>
                <w:sz w:val="20"/>
              </w:rPr>
            </w:pPr>
            <w:r>
              <w:rPr>
                <w:sz w:val="20"/>
              </w:rPr>
              <w:t>2006–2016</w:t>
            </w:r>
          </w:p>
        </w:tc>
        <w:tc>
          <w:tcPr>
            <w:tcW w:w="3421" w:type="dxa"/>
          </w:tcPr>
          <w:p w14:paraId="161DF6F5" w14:textId="77777777" w:rsidR="0046798B" w:rsidRDefault="00903B5C">
            <w:pPr>
              <w:pStyle w:val="TableParagraph"/>
              <w:spacing w:before="43"/>
              <w:ind w:left="114" w:right="352"/>
              <w:rPr>
                <w:sz w:val="20"/>
              </w:rPr>
            </w:pPr>
            <w:r>
              <w:rPr>
                <w:sz w:val="20"/>
              </w:rPr>
              <w:t>Health insurance benefit mandates: cancer pain medications (0 = no, 1 = yes)</w:t>
            </w:r>
          </w:p>
        </w:tc>
        <w:tc>
          <w:tcPr>
            <w:tcW w:w="6482" w:type="dxa"/>
          </w:tcPr>
          <w:p w14:paraId="1697D020" w14:textId="77777777" w:rsidR="0046798B" w:rsidRDefault="00903B5C">
            <w:pPr>
              <w:pStyle w:val="TableParagraph"/>
              <w:spacing w:before="43"/>
              <w:ind w:left="114" w:right="272"/>
              <w:rPr>
                <w:sz w:val="20"/>
              </w:rPr>
            </w:pPr>
            <w:r>
              <w:rPr>
                <w:sz w:val="20"/>
              </w:rPr>
              <w:t>Sorens, Jason, Fait Muedini, and William P. Ruger. “State and Local Public Policies in 2006: A New Database.” State Politics &amp; Policy Quarterly 8.3 (2008): 309–26.</w:t>
            </w:r>
          </w:p>
        </w:tc>
      </w:tr>
      <w:tr w:rsidR="0046798B" w14:paraId="48AEBCEA" w14:textId="77777777">
        <w:trPr>
          <w:trHeight w:val="775"/>
        </w:trPr>
        <w:tc>
          <w:tcPr>
            <w:tcW w:w="1711" w:type="dxa"/>
          </w:tcPr>
          <w:p w14:paraId="0CD6F54D" w14:textId="77777777" w:rsidR="0046798B" w:rsidRDefault="0046798B">
            <w:pPr>
              <w:pStyle w:val="TableParagraph"/>
              <w:spacing w:before="4"/>
              <w:rPr>
                <w:sz w:val="23"/>
              </w:rPr>
            </w:pPr>
          </w:p>
          <w:p w14:paraId="2D8D32B0" w14:textId="77777777" w:rsidR="0046798B" w:rsidRDefault="00903B5C">
            <w:pPr>
              <w:pStyle w:val="TableParagraph"/>
              <w:ind w:left="115"/>
              <w:rPr>
                <w:b/>
                <w:sz w:val="20"/>
              </w:rPr>
            </w:pPr>
            <w:r>
              <w:rPr>
                <w:b/>
                <w:sz w:val="20"/>
              </w:rPr>
              <w:t>hmbcong</w:t>
            </w:r>
          </w:p>
        </w:tc>
        <w:tc>
          <w:tcPr>
            <w:tcW w:w="1596" w:type="dxa"/>
          </w:tcPr>
          <w:p w14:paraId="1CDE47C1" w14:textId="77777777" w:rsidR="0046798B" w:rsidRDefault="00903B5C">
            <w:pPr>
              <w:pStyle w:val="TableParagraph"/>
              <w:spacing w:before="38"/>
              <w:ind w:left="114" w:right="574"/>
              <w:rPr>
                <w:sz w:val="20"/>
              </w:rPr>
            </w:pPr>
            <w:r>
              <w:rPr>
                <w:sz w:val="20"/>
              </w:rPr>
              <w:t>Congenital bleeding disorders</w:t>
            </w:r>
          </w:p>
        </w:tc>
        <w:tc>
          <w:tcPr>
            <w:tcW w:w="1285" w:type="dxa"/>
          </w:tcPr>
          <w:p w14:paraId="16738B56" w14:textId="77777777" w:rsidR="0046798B" w:rsidRDefault="0046798B">
            <w:pPr>
              <w:pStyle w:val="TableParagraph"/>
              <w:spacing w:before="4"/>
              <w:rPr>
                <w:sz w:val="23"/>
              </w:rPr>
            </w:pPr>
          </w:p>
          <w:p w14:paraId="69B51C02" w14:textId="77777777" w:rsidR="0046798B" w:rsidRDefault="00903B5C">
            <w:pPr>
              <w:pStyle w:val="TableParagraph"/>
              <w:ind w:left="114"/>
              <w:rPr>
                <w:sz w:val="20"/>
              </w:rPr>
            </w:pPr>
            <w:r>
              <w:rPr>
                <w:sz w:val="20"/>
              </w:rPr>
              <w:t>2006–2008</w:t>
            </w:r>
          </w:p>
        </w:tc>
        <w:tc>
          <w:tcPr>
            <w:tcW w:w="3421" w:type="dxa"/>
          </w:tcPr>
          <w:p w14:paraId="64007AA6" w14:textId="77777777" w:rsidR="0046798B" w:rsidRDefault="00903B5C">
            <w:pPr>
              <w:pStyle w:val="TableParagraph"/>
              <w:spacing w:before="38"/>
              <w:ind w:left="114" w:right="92"/>
              <w:rPr>
                <w:sz w:val="20"/>
              </w:rPr>
            </w:pPr>
            <w:r>
              <w:rPr>
                <w:sz w:val="20"/>
              </w:rPr>
              <w:t>Health insurance benefit mandates: congenital bleeding disorders (0 = no, 1</w:t>
            </w:r>
          </w:p>
          <w:p w14:paraId="016E312A" w14:textId="77777777" w:rsidR="0046798B" w:rsidRDefault="00903B5C">
            <w:pPr>
              <w:pStyle w:val="TableParagraph"/>
              <w:spacing w:before="1"/>
              <w:ind w:left="114"/>
              <w:rPr>
                <w:sz w:val="20"/>
              </w:rPr>
            </w:pPr>
            <w:r>
              <w:rPr>
                <w:sz w:val="20"/>
              </w:rPr>
              <w:t>= yes)</w:t>
            </w:r>
          </w:p>
        </w:tc>
        <w:tc>
          <w:tcPr>
            <w:tcW w:w="6482" w:type="dxa"/>
          </w:tcPr>
          <w:p w14:paraId="7B60B939"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r w:rsidR="0046798B" w14:paraId="6A74D3FF" w14:textId="77777777">
        <w:trPr>
          <w:trHeight w:val="775"/>
        </w:trPr>
        <w:tc>
          <w:tcPr>
            <w:tcW w:w="1711" w:type="dxa"/>
          </w:tcPr>
          <w:p w14:paraId="7292301A" w14:textId="77777777" w:rsidR="0046798B" w:rsidRDefault="0046798B">
            <w:pPr>
              <w:pStyle w:val="TableParagraph"/>
              <w:spacing w:before="3"/>
              <w:rPr>
                <w:sz w:val="23"/>
              </w:rPr>
            </w:pPr>
          </w:p>
          <w:p w14:paraId="6D4C4024" w14:textId="77777777" w:rsidR="0046798B" w:rsidRDefault="00903B5C">
            <w:pPr>
              <w:pStyle w:val="TableParagraph"/>
              <w:ind w:left="115"/>
              <w:rPr>
                <w:b/>
                <w:sz w:val="20"/>
              </w:rPr>
            </w:pPr>
            <w:r>
              <w:rPr>
                <w:b/>
                <w:sz w:val="20"/>
              </w:rPr>
              <w:t>hmbcp</w:t>
            </w:r>
          </w:p>
        </w:tc>
        <w:tc>
          <w:tcPr>
            <w:tcW w:w="1596" w:type="dxa"/>
          </w:tcPr>
          <w:p w14:paraId="21459818" w14:textId="77777777" w:rsidR="0046798B" w:rsidRDefault="0046798B">
            <w:pPr>
              <w:pStyle w:val="TableParagraph"/>
              <w:spacing w:before="3"/>
              <w:rPr>
                <w:sz w:val="23"/>
              </w:rPr>
            </w:pPr>
          </w:p>
          <w:p w14:paraId="05E8A3AB" w14:textId="77777777" w:rsidR="0046798B" w:rsidRDefault="00903B5C">
            <w:pPr>
              <w:pStyle w:val="TableParagraph"/>
              <w:ind w:left="114"/>
              <w:rPr>
                <w:sz w:val="20"/>
              </w:rPr>
            </w:pPr>
            <w:r>
              <w:rPr>
                <w:sz w:val="20"/>
              </w:rPr>
              <w:t>Cleft palate</w:t>
            </w:r>
          </w:p>
        </w:tc>
        <w:tc>
          <w:tcPr>
            <w:tcW w:w="1285" w:type="dxa"/>
          </w:tcPr>
          <w:p w14:paraId="48DB8D85" w14:textId="77777777" w:rsidR="0046798B" w:rsidRDefault="0046798B">
            <w:pPr>
              <w:pStyle w:val="TableParagraph"/>
              <w:spacing w:before="3"/>
              <w:rPr>
                <w:sz w:val="23"/>
              </w:rPr>
            </w:pPr>
          </w:p>
          <w:p w14:paraId="29D0FC36" w14:textId="77777777" w:rsidR="0046798B" w:rsidRDefault="00903B5C">
            <w:pPr>
              <w:pStyle w:val="TableParagraph"/>
              <w:ind w:left="114"/>
              <w:rPr>
                <w:sz w:val="20"/>
              </w:rPr>
            </w:pPr>
            <w:r>
              <w:rPr>
                <w:sz w:val="20"/>
              </w:rPr>
              <w:t>2006–2008</w:t>
            </w:r>
          </w:p>
        </w:tc>
        <w:tc>
          <w:tcPr>
            <w:tcW w:w="3421" w:type="dxa"/>
          </w:tcPr>
          <w:p w14:paraId="516875BD" w14:textId="77777777" w:rsidR="0046798B" w:rsidRDefault="00903B5C">
            <w:pPr>
              <w:pStyle w:val="TableParagraph"/>
              <w:spacing w:before="153"/>
              <w:ind w:left="114" w:right="461"/>
              <w:rPr>
                <w:sz w:val="20"/>
              </w:rPr>
            </w:pPr>
            <w:r>
              <w:rPr>
                <w:sz w:val="20"/>
              </w:rPr>
              <w:t>Health insurance benefit mandates: cleft palate (0 = no, 1 = yes)</w:t>
            </w:r>
          </w:p>
        </w:tc>
        <w:tc>
          <w:tcPr>
            <w:tcW w:w="6482" w:type="dxa"/>
          </w:tcPr>
          <w:p w14:paraId="2F79B07F"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r w:rsidR="0046798B" w14:paraId="4A63FF31" w14:textId="77777777">
        <w:trPr>
          <w:trHeight w:val="775"/>
        </w:trPr>
        <w:tc>
          <w:tcPr>
            <w:tcW w:w="1711" w:type="dxa"/>
          </w:tcPr>
          <w:p w14:paraId="1EF5D201" w14:textId="77777777" w:rsidR="0046798B" w:rsidRDefault="0046798B">
            <w:pPr>
              <w:pStyle w:val="TableParagraph"/>
              <w:spacing w:before="3"/>
              <w:rPr>
                <w:sz w:val="23"/>
              </w:rPr>
            </w:pPr>
          </w:p>
          <w:p w14:paraId="57862736" w14:textId="77777777" w:rsidR="0046798B" w:rsidRDefault="00903B5C">
            <w:pPr>
              <w:pStyle w:val="TableParagraph"/>
              <w:spacing w:before="1"/>
              <w:ind w:left="115"/>
              <w:rPr>
                <w:b/>
                <w:sz w:val="20"/>
              </w:rPr>
            </w:pPr>
            <w:r>
              <w:rPr>
                <w:b/>
                <w:sz w:val="20"/>
              </w:rPr>
              <w:t>hmbcrc</w:t>
            </w:r>
          </w:p>
        </w:tc>
        <w:tc>
          <w:tcPr>
            <w:tcW w:w="1596" w:type="dxa"/>
          </w:tcPr>
          <w:p w14:paraId="509B1AF5" w14:textId="77777777" w:rsidR="0046798B" w:rsidRDefault="00903B5C">
            <w:pPr>
              <w:pStyle w:val="TableParagraph"/>
              <w:spacing w:before="153"/>
              <w:ind w:left="114" w:right="117"/>
              <w:rPr>
                <w:sz w:val="20"/>
              </w:rPr>
            </w:pPr>
            <w:r>
              <w:rPr>
                <w:sz w:val="20"/>
              </w:rPr>
              <w:t>Colorectal cancer screening</w:t>
            </w:r>
          </w:p>
        </w:tc>
        <w:tc>
          <w:tcPr>
            <w:tcW w:w="1285" w:type="dxa"/>
          </w:tcPr>
          <w:p w14:paraId="696608C3" w14:textId="77777777" w:rsidR="0046798B" w:rsidRDefault="0046798B">
            <w:pPr>
              <w:pStyle w:val="TableParagraph"/>
              <w:spacing w:before="3"/>
              <w:rPr>
                <w:sz w:val="23"/>
              </w:rPr>
            </w:pPr>
          </w:p>
          <w:p w14:paraId="0A6AFFED" w14:textId="77777777" w:rsidR="0046798B" w:rsidRDefault="00903B5C">
            <w:pPr>
              <w:pStyle w:val="TableParagraph"/>
              <w:spacing w:before="1"/>
              <w:ind w:left="114"/>
              <w:rPr>
                <w:sz w:val="20"/>
              </w:rPr>
            </w:pPr>
            <w:r>
              <w:rPr>
                <w:sz w:val="20"/>
              </w:rPr>
              <w:t>2006–2008</w:t>
            </w:r>
          </w:p>
        </w:tc>
        <w:tc>
          <w:tcPr>
            <w:tcW w:w="3421" w:type="dxa"/>
          </w:tcPr>
          <w:p w14:paraId="45E8EDD4" w14:textId="77777777" w:rsidR="0046798B" w:rsidRDefault="00903B5C">
            <w:pPr>
              <w:pStyle w:val="TableParagraph"/>
              <w:spacing w:before="38"/>
              <w:ind w:left="114" w:right="108"/>
              <w:rPr>
                <w:sz w:val="20"/>
              </w:rPr>
            </w:pPr>
            <w:r>
              <w:rPr>
                <w:sz w:val="20"/>
              </w:rPr>
              <w:t>Health insurance benefit mandates: colorectal cancer screening (0 = no, 1 = yes)</w:t>
            </w:r>
          </w:p>
        </w:tc>
        <w:tc>
          <w:tcPr>
            <w:tcW w:w="6482" w:type="dxa"/>
          </w:tcPr>
          <w:p w14:paraId="13F8C9D7" w14:textId="77777777" w:rsidR="0046798B" w:rsidRDefault="00903B5C">
            <w:pPr>
              <w:pStyle w:val="TableParagraph"/>
              <w:spacing w:before="38"/>
              <w:ind w:left="114" w:right="272"/>
              <w:rPr>
                <w:sz w:val="20"/>
              </w:rPr>
            </w:pPr>
            <w:r>
              <w:rPr>
                <w:sz w:val="20"/>
              </w:rPr>
              <w:t>Sorens, Jason, Fait Muedini, and William P. Ruger. “State and Local Public Policies in 2006: A New Database.” State Politics &amp; Policy Quarterly 8.3 (2008): 309–26.</w:t>
            </w:r>
          </w:p>
        </w:tc>
      </w:tr>
    </w:tbl>
    <w:p w14:paraId="7941DC94" w14:textId="77777777" w:rsidR="0046798B" w:rsidRDefault="0046798B">
      <w:pPr>
        <w:rPr>
          <w:sz w:val="20"/>
        </w:rPr>
        <w:sectPr w:rsidR="0046798B">
          <w:pgSz w:w="15840" w:h="12240" w:orient="landscape"/>
          <w:pgMar w:top="1220" w:right="300" w:bottom="980" w:left="820" w:header="730" w:footer="787" w:gutter="0"/>
          <w:cols w:space="720"/>
        </w:sectPr>
      </w:pPr>
    </w:p>
    <w:p w14:paraId="6EB81B8A"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29FA3B7E" w14:textId="77777777">
        <w:trPr>
          <w:trHeight w:val="775"/>
        </w:trPr>
        <w:tc>
          <w:tcPr>
            <w:tcW w:w="1711" w:type="dxa"/>
          </w:tcPr>
          <w:p w14:paraId="28056E0D" w14:textId="77777777" w:rsidR="0046798B" w:rsidRDefault="0046798B">
            <w:pPr>
              <w:pStyle w:val="TableParagraph"/>
              <w:spacing w:before="9"/>
              <w:rPr>
                <w:sz w:val="23"/>
              </w:rPr>
            </w:pPr>
          </w:p>
          <w:p w14:paraId="735BB85E" w14:textId="77777777" w:rsidR="0046798B" w:rsidRDefault="00903B5C">
            <w:pPr>
              <w:pStyle w:val="TableParagraph"/>
              <w:ind w:left="115"/>
              <w:rPr>
                <w:b/>
                <w:sz w:val="20"/>
              </w:rPr>
            </w:pPr>
            <w:r>
              <w:rPr>
                <w:b/>
                <w:sz w:val="20"/>
              </w:rPr>
              <w:t>hmbct</w:t>
            </w:r>
          </w:p>
        </w:tc>
        <w:tc>
          <w:tcPr>
            <w:tcW w:w="1596" w:type="dxa"/>
          </w:tcPr>
          <w:p w14:paraId="20BCF193" w14:textId="77777777" w:rsidR="0046798B" w:rsidRDefault="0046798B">
            <w:pPr>
              <w:pStyle w:val="TableParagraph"/>
              <w:spacing w:before="9"/>
              <w:rPr>
                <w:sz w:val="23"/>
              </w:rPr>
            </w:pPr>
          </w:p>
          <w:p w14:paraId="0B8C5EF6" w14:textId="77777777" w:rsidR="0046798B" w:rsidRDefault="00903B5C">
            <w:pPr>
              <w:pStyle w:val="TableParagraph"/>
              <w:ind w:left="114"/>
              <w:rPr>
                <w:sz w:val="20"/>
              </w:rPr>
            </w:pPr>
            <w:r>
              <w:rPr>
                <w:sz w:val="20"/>
              </w:rPr>
              <w:t>Clinical trials</w:t>
            </w:r>
          </w:p>
        </w:tc>
        <w:tc>
          <w:tcPr>
            <w:tcW w:w="1285" w:type="dxa"/>
          </w:tcPr>
          <w:p w14:paraId="2323AC94" w14:textId="77777777" w:rsidR="0046798B" w:rsidRDefault="0046798B">
            <w:pPr>
              <w:pStyle w:val="TableParagraph"/>
              <w:spacing w:before="9"/>
              <w:rPr>
                <w:sz w:val="23"/>
              </w:rPr>
            </w:pPr>
          </w:p>
          <w:p w14:paraId="2AA07FDC" w14:textId="77777777" w:rsidR="0046798B" w:rsidRDefault="00903B5C">
            <w:pPr>
              <w:pStyle w:val="TableParagraph"/>
              <w:ind w:left="114"/>
              <w:rPr>
                <w:sz w:val="20"/>
              </w:rPr>
            </w:pPr>
            <w:r>
              <w:rPr>
                <w:sz w:val="20"/>
              </w:rPr>
              <w:t>2006–2008</w:t>
            </w:r>
          </w:p>
        </w:tc>
        <w:tc>
          <w:tcPr>
            <w:tcW w:w="3421" w:type="dxa"/>
          </w:tcPr>
          <w:p w14:paraId="6A55E972" w14:textId="77777777" w:rsidR="0046798B" w:rsidRDefault="00903B5C">
            <w:pPr>
              <w:pStyle w:val="TableParagraph"/>
              <w:spacing w:before="158"/>
              <w:ind w:left="114" w:right="461"/>
              <w:rPr>
                <w:sz w:val="20"/>
              </w:rPr>
            </w:pPr>
            <w:r>
              <w:rPr>
                <w:sz w:val="20"/>
              </w:rPr>
              <w:t>Health insurance benefit mandates: clinical trials (0 = no, 1 = yes)</w:t>
            </w:r>
          </w:p>
        </w:tc>
        <w:tc>
          <w:tcPr>
            <w:tcW w:w="6482" w:type="dxa"/>
          </w:tcPr>
          <w:p w14:paraId="7CE9A209" w14:textId="77777777" w:rsidR="0046798B" w:rsidRDefault="00903B5C">
            <w:pPr>
              <w:pStyle w:val="TableParagraph"/>
              <w:spacing w:before="43"/>
              <w:ind w:left="114"/>
              <w:rPr>
                <w:sz w:val="20"/>
              </w:rPr>
            </w:pPr>
            <w:r>
              <w:rPr>
                <w:sz w:val="20"/>
              </w:rPr>
              <w:t>Sorens, Jason, Fait Muedini, and William P. Ruger. “State and Local Public Policies in 2006: A New Database.” State Politics &amp; Policy Quarterly 8.3 (2008): 309–26.</w:t>
            </w:r>
          </w:p>
        </w:tc>
      </w:tr>
      <w:tr w:rsidR="0046798B" w14:paraId="583CC7F4" w14:textId="77777777">
        <w:trPr>
          <w:trHeight w:val="775"/>
        </w:trPr>
        <w:tc>
          <w:tcPr>
            <w:tcW w:w="1711" w:type="dxa"/>
          </w:tcPr>
          <w:p w14:paraId="7FC90CF0" w14:textId="77777777" w:rsidR="0046798B" w:rsidRDefault="0046798B">
            <w:pPr>
              <w:pStyle w:val="TableParagraph"/>
              <w:spacing w:before="8"/>
              <w:rPr>
                <w:sz w:val="23"/>
              </w:rPr>
            </w:pPr>
          </w:p>
          <w:p w14:paraId="5F024DEB" w14:textId="77777777" w:rsidR="0046798B" w:rsidRDefault="00903B5C">
            <w:pPr>
              <w:pStyle w:val="TableParagraph"/>
              <w:spacing w:before="1"/>
              <w:ind w:left="115"/>
              <w:rPr>
                <w:b/>
                <w:sz w:val="20"/>
              </w:rPr>
            </w:pPr>
            <w:r>
              <w:rPr>
                <w:b/>
                <w:sz w:val="20"/>
              </w:rPr>
              <w:t>hmbda</w:t>
            </w:r>
          </w:p>
        </w:tc>
        <w:tc>
          <w:tcPr>
            <w:tcW w:w="1596" w:type="dxa"/>
          </w:tcPr>
          <w:p w14:paraId="76741E96" w14:textId="77777777" w:rsidR="0046798B" w:rsidRDefault="00903B5C">
            <w:pPr>
              <w:pStyle w:val="TableParagraph"/>
              <w:spacing w:before="158"/>
              <w:ind w:left="114" w:right="630"/>
              <w:rPr>
                <w:sz w:val="20"/>
              </w:rPr>
            </w:pPr>
            <w:r>
              <w:rPr>
                <w:sz w:val="20"/>
              </w:rPr>
              <w:t>Dental anesthesia</w:t>
            </w:r>
          </w:p>
        </w:tc>
        <w:tc>
          <w:tcPr>
            <w:tcW w:w="1285" w:type="dxa"/>
          </w:tcPr>
          <w:p w14:paraId="5FC6681C" w14:textId="77777777" w:rsidR="0046798B" w:rsidRDefault="0046798B">
            <w:pPr>
              <w:pStyle w:val="TableParagraph"/>
              <w:spacing w:before="8"/>
              <w:rPr>
                <w:sz w:val="23"/>
              </w:rPr>
            </w:pPr>
          </w:p>
          <w:p w14:paraId="5994F1AE" w14:textId="77777777" w:rsidR="0046798B" w:rsidRDefault="00903B5C">
            <w:pPr>
              <w:pStyle w:val="TableParagraph"/>
              <w:spacing w:before="1"/>
              <w:ind w:left="114"/>
              <w:rPr>
                <w:sz w:val="20"/>
              </w:rPr>
            </w:pPr>
            <w:r>
              <w:rPr>
                <w:sz w:val="20"/>
              </w:rPr>
              <w:t>2006–2008</w:t>
            </w:r>
          </w:p>
        </w:tc>
        <w:tc>
          <w:tcPr>
            <w:tcW w:w="3421" w:type="dxa"/>
          </w:tcPr>
          <w:p w14:paraId="4208958D" w14:textId="77777777" w:rsidR="0046798B" w:rsidRDefault="00903B5C">
            <w:pPr>
              <w:pStyle w:val="TableParagraph"/>
              <w:spacing w:before="158"/>
              <w:ind w:left="114" w:right="461"/>
              <w:rPr>
                <w:sz w:val="20"/>
              </w:rPr>
            </w:pPr>
            <w:r>
              <w:rPr>
                <w:sz w:val="20"/>
              </w:rPr>
              <w:t>Health insurance benefit mandates: dental anesthesia (0 = no, 1 = yes)</w:t>
            </w:r>
          </w:p>
        </w:tc>
        <w:tc>
          <w:tcPr>
            <w:tcW w:w="6482" w:type="dxa"/>
          </w:tcPr>
          <w:p w14:paraId="5E5E06EE" w14:textId="77777777" w:rsidR="0046798B" w:rsidRDefault="00903B5C">
            <w:pPr>
              <w:pStyle w:val="TableParagraph"/>
              <w:spacing w:before="43"/>
              <w:ind w:left="114"/>
              <w:rPr>
                <w:sz w:val="20"/>
              </w:rPr>
            </w:pPr>
            <w:r>
              <w:rPr>
                <w:sz w:val="20"/>
              </w:rPr>
              <w:t>Sorens, Jason, Fait Muedini, and William P. Ruger. “State and Local Public Policies in 2006: A New Database.” State Politics &amp; Policy Quarterly 8.3 (2008): 309–26.</w:t>
            </w:r>
          </w:p>
        </w:tc>
      </w:tr>
      <w:tr w:rsidR="0046798B" w14:paraId="79ED21F0" w14:textId="77777777">
        <w:trPr>
          <w:trHeight w:val="780"/>
        </w:trPr>
        <w:tc>
          <w:tcPr>
            <w:tcW w:w="1711" w:type="dxa"/>
          </w:tcPr>
          <w:p w14:paraId="2ECFC045" w14:textId="77777777" w:rsidR="0046798B" w:rsidRDefault="0046798B">
            <w:pPr>
              <w:pStyle w:val="TableParagraph"/>
              <w:spacing w:before="9"/>
              <w:rPr>
                <w:sz w:val="23"/>
              </w:rPr>
            </w:pPr>
          </w:p>
          <w:p w14:paraId="730FEEBB" w14:textId="77777777" w:rsidR="0046798B" w:rsidRDefault="00903B5C">
            <w:pPr>
              <w:pStyle w:val="TableParagraph"/>
              <w:ind w:left="115"/>
              <w:rPr>
                <w:b/>
                <w:sz w:val="20"/>
              </w:rPr>
            </w:pPr>
            <w:r>
              <w:rPr>
                <w:b/>
                <w:sz w:val="20"/>
              </w:rPr>
              <w:t>hmbdat</w:t>
            </w:r>
          </w:p>
        </w:tc>
        <w:tc>
          <w:tcPr>
            <w:tcW w:w="1596" w:type="dxa"/>
          </w:tcPr>
          <w:p w14:paraId="454669B4" w14:textId="77777777" w:rsidR="0046798B" w:rsidRDefault="00903B5C">
            <w:pPr>
              <w:pStyle w:val="TableParagraph"/>
              <w:spacing w:before="159"/>
              <w:ind w:left="114" w:right="535"/>
              <w:rPr>
                <w:sz w:val="20"/>
              </w:rPr>
            </w:pPr>
            <w:r>
              <w:rPr>
                <w:sz w:val="20"/>
              </w:rPr>
              <w:t>Drug abuse treatment</w:t>
            </w:r>
          </w:p>
        </w:tc>
        <w:tc>
          <w:tcPr>
            <w:tcW w:w="1285" w:type="dxa"/>
          </w:tcPr>
          <w:p w14:paraId="3951FC47" w14:textId="77777777" w:rsidR="0046798B" w:rsidRDefault="0046798B">
            <w:pPr>
              <w:pStyle w:val="TableParagraph"/>
              <w:spacing w:before="9"/>
              <w:rPr>
                <w:sz w:val="23"/>
              </w:rPr>
            </w:pPr>
          </w:p>
          <w:p w14:paraId="1947FA20" w14:textId="77777777" w:rsidR="0046798B" w:rsidRDefault="00903B5C">
            <w:pPr>
              <w:pStyle w:val="TableParagraph"/>
              <w:ind w:left="114"/>
              <w:rPr>
                <w:sz w:val="20"/>
              </w:rPr>
            </w:pPr>
            <w:r>
              <w:rPr>
                <w:sz w:val="20"/>
              </w:rPr>
              <w:t>2006–2016</w:t>
            </w:r>
          </w:p>
        </w:tc>
        <w:tc>
          <w:tcPr>
            <w:tcW w:w="3421" w:type="dxa"/>
          </w:tcPr>
          <w:p w14:paraId="7953584A" w14:textId="77777777" w:rsidR="0046798B" w:rsidRDefault="00903B5C">
            <w:pPr>
              <w:pStyle w:val="TableParagraph"/>
              <w:spacing w:before="159"/>
              <w:ind w:left="114" w:right="224"/>
              <w:rPr>
                <w:sz w:val="20"/>
              </w:rPr>
            </w:pPr>
            <w:r>
              <w:rPr>
                <w:sz w:val="20"/>
              </w:rPr>
              <w:t>Health insurance benefit mandates: drug abuse treatment (0 = no, 1 = yes)</w:t>
            </w:r>
          </w:p>
        </w:tc>
        <w:tc>
          <w:tcPr>
            <w:tcW w:w="6482" w:type="dxa"/>
          </w:tcPr>
          <w:p w14:paraId="0D6F17B5" w14:textId="77777777" w:rsidR="0046798B" w:rsidRDefault="00903B5C">
            <w:pPr>
              <w:pStyle w:val="TableParagraph"/>
              <w:spacing w:before="44"/>
              <w:ind w:left="114"/>
              <w:rPr>
                <w:sz w:val="20"/>
              </w:rPr>
            </w:pPr>
            <w:r>
              <w:rPr>
                <w:sz w:val="20"/>
              </w:rPr>
              <w:t>Sorens, Jason, Fait Muedini, and William P. Ruger. “State and Local Public Policies in 2006: A New Database.” State Politics &amp; Policy Quarterly 8.3 (2008): 309–26.</w:t>
            </w:r>
          </w:p>
        </w:tc>
      </w:tr>
      <w:tr w:rsidR="0046798B" w14:paraId="4D62C8DD" w14:textId="77777777">
        <w:trPr>
          <w:trHeight w:val="775"/>
        </w:trPr>
        <w:tc>
          <w:tcPr>
            <w:tcW w:w="1711" w:type="dxa"/>
          </w:tcPr>
          <w:p w14:paraId="193BF451" w14:textId="77777777" w:rsidR="0046798B" w:rsidRDefault="0046798B">
            <w:pPr>
              <w:pStyle w:val="TableParagraph"/>
              <w:spacing w:before="3"/>
              <w:rPr>
                <w:sz w:val="23"/>
              </w:rPr>
            </w:pPr>
          </w:p>
          <w:p w14:paraId="2C189248" w14:textId="77777777" w:rsidR="0046798B" w:rsidRDefault="00903B5C">
            <w:pPr>
              <w:pStyle w:val="TableParagraph"/>
              <w:spacing w:before="1"/>
              <w:ind w:left="115"/>
              <w:rPr>
                <w:b/>
                <w:sz w:val="20"/>
              </w:rPr>
            </w:pPr>
            <w:r>
              <w:rPr>
                <w:b/>
                <w:sz w:val="20"/>
              </w:rPr>
              <w:t>hmbdd</w:t>
            </w:r>
          </w:p>
        </w:tc>
        <w:tc>
          <w:tcPr>
            <w:tcW w:w="1596" w:type="dxa"/>
          </w:tcPr>
          <w:p w14:paraId="45B0993D" w14:textId="77777777" w:rsidR="0046798B" w:rsidRDefault="00903B5C">
            <w:pPr>
              <w:pStyle w:val="TableParagraph"/>
              <w:spacing w:before="153"/>
              <w:ind w:left="114" w:right="230"/>
              <w:rPr>
                <w:sz w:val="20"/>
              </w:rPr>
            </w:pPr>
            <w:r>
              <w:rPr>
                <w:sz w:val="20"/>
              </w:rPr>
              <w:t>Developmental disabilities</w:t>
            </w:r>
          </w:p>
        </w:tc>
        <w:tc>
          <w:tcPr>
            <w:tcW w:w="1285" w:type="dxa"/>
          </w:tcPr>
          <w:p w14:paraId="22F3A522" w14:textId="77777777" w:rsidR="0046798B" w:rsidRDefault="0046798B">
            <w:pPr>
              <w:pStyle w:val="TableParagraph"/>
              <w:spacing w:before="3"/>
              <w:rPr>
                <w:sz w:val="23"/>
              </w:rPr>
            </w:pPr>
          </w:p>
          <w:p w14:paraId="7812D95F" w14:textId="77777777" w:rsidR="0046798B" w:rsidRDefault="00903B5C">
            <w:pPr>
              <w:pStyle w:val="TableParagraph"/>
              <w:spacing w:before="1"/>
              <w:ind w:left="114"/>
              <w:rPr>
                <w:sz w:val="20"/>
              </w:rPr>
            </w:pPr>
            <w:r>
              <w:rPr>
                <w:sz w:val="20"/>
              </w:rPr>
              <w:t>2006–2016</w:t>
            </w:r>
          </w:p>
        </w:tc>
        <w:tc>
          <w:tcPr>
            <w:tcW w:w="3421" w:type="dxa"/>
          </w:tcPr>
          <w:p w14:paraId="062A116B" w14:textId="77777777" w:rsidR="0046798B" w:rsidRDefault="00903B5C">
            <w:pPr>
              <w:pStyle w:val="TableParagraph"/>
              <w:spacing w:before="38"/>
              <w:ind w:left="114" w:right="190"/>
              <w:rPr>
                <w:sz w:val="20"/>
              </w:rPr>
            </w:pPr>
            <w:r>
              <w:rPr>
                <w:sz w:val="20"/>
              </w:rPr>
              <w:t>Health insurance benefit mandates: developmental disabilities (0 = no, 1 = yes)</w:t>
            </w:r>
          </w:p>
        </w:tc>
        <w:tc>
          <w:tcPr>
            <w:tcW w:w="6482" w:type="dxa"/>
          </w:tcPr>
          <w:p w14:paraId="16EAEBBF" w14:textId="77777777" w:rsidR="0046798B" w:rsidRDefault="00903B5C">
            <w:pPr>
              <w:pStyle w:val="TableParagraph"/>
              <w:spacing w:before="38"/>
              <w:ind w:left="114" w:right="272"/>
              <w:rPr>
                <w:sz w:val="20"/>
              </w:rPr>
            </w:pPr>
            <w:r>
              <w:rPr>
                <w:sz w:val="20"/>
              </w:rPr>
              <w:t>Sorens, Jason, Fait Muedini, and William P. Ruger. “State and Local Public Policies in 2006: A New Database.” State Politics &amp; Policy Quarterly 8.3 (2008): 309–26.</w:t>
            </w:r>
          </w:p>
        </w:tc>
      </w:tr>
      <w:tr w:rsidR="0046798B" w14:paraId="2F6BAC59" w14:textId="77777777">
        <w:trPr>
          <w:trHeight w:val="775"/>
        </w:trPr>
        <w:tc>
          <w:tcPr>
            <w:tcW w:w="1711" w:type="dxa"/>
          </w:tcPr>
          <w:p w14:paraId="61C0B541" w14:textId="77777777" w:rsidR="0046798B" w:rsidRDefault="0046798B">
            <w:pPr>
              <w:pStyle w:val="TableParagraph"/>
              <w:spacing w:before="3"/>
              <w:rPr>
                <w:sz w:val="23"/>
              </w:rPr>
            </w:pPr>
          </w:p>
          <w:p w14:paraId="38F658D4" w14:textId="77777777" w:rsidR="0046798B" w:rsidRDefault="00903B5C">
            <w:pPr>
              <w:pStyle w:val="TableParagraph"/>
              <w:spacing w:before="1"/>
              <w:ind w:left="115"/>
              <w:rPr>
                <w:b/>
                <w:sz w:val="20"/>
              </w:rPr>
            </w:pPr>
            <w:r>
              <w:rPr>
                <w:b/>
                <w:sz w:val="20"/>
              </w:rPr>
              <w:t>hmbds</w:t>
            </w:r>
          </w:p>
        </w:tc>
        <w:tc>
          <w:tcPr>
            <w:tcW w:w="1596" w:type="dxa"/>
          </w:tcPr>
          <w:p w14:paraId="5DBA8B2A" w14:textId="77777777" w:rsidR="0046798B" w:rsidRDefault="00903B5C">
            <w:pPr>
              <w:pStyle w:val="TableParagraph"/>
              <w:spacing w:before="153"/>
              <w:ind w:left="114" w:right="774"/>
              <w:rPr>
                <w:sz w:val="20"/>
              </w:rPr>
            </w:pPr>
            <w:r>
              <w:rPr>
                <w:sz w:val="20"/>
              </w:rPr>
              <w:t>Diabetic supplies</w:t>
            </w:r>
          </w:p>
        </w:tc>
        <w:tc>
          <w:tcPr>
            <w:tcW w:w="1285" w:type="dxa"/>
          </w:tcPr>
          <w:p w14:paraId="5879B567" w14:textId="77777777" w:rsidR="0046798B" w:rsidRDefault="0046798B">
            <w:pPr>
              <w:pStyle w:val="TableParagraph"/>
              <w:spacing w:before="3"/>
              <w:rPr>
                <w:sz w:val="23"/>
              </w:rPr>
            </w:pPr>
          </w:p>
          <w:p w14:paraId="503126E1" w14:textId="77777777" w:rsidR="0046798B" w:rsidRDefault="00903B5C">
            <w:pPr>
              <w:pStyle w:val="TableParagraph"/>
              <w:spacing w:before="1"/>
              <w:ind w:left="114"/>
              <w:rPr>
                <w:sz w:val="20"/>
              </w:rPr>
            </w:pPr>
            <w:r>
              <w:rPr>
                <w:sz w:val="20"/>
              </w:rPr>
              <w:t>2006–2016</w:t>
            </w:r>
          </w:p>
        </w:tc>
        <w:tc>
          <w:tcPr>
            <w:tcW w:w="3421" w:type="dxa"/>
          </w:tcPr>
          <w:p w14:paraId="08AD6640" w14:textId="77777777" w:rsidR="0046798B" w:rsidRDefault="00903B5C">
            <w:pPr>
              <w:pStyle w:val="TableParagraph"/>
              <w:spacing w:before="153"/>
              <w:ind w:left="114" w:right="461"/>
              <w:rPr>
                <w:sz w:val="20"/>
              </w:rPr>
            </w:pPr>
            <w:r>
              <w:rPr>
                <w:sz w:val="20"/>
              </w:rPr>
              <w:t>Health insurance benefit mandates: diabetic supplies (0 = no, 1 = yes)</w:t>
            </w:r>
          </w:p>
        </w:tc>
        <w:tc>
          <w:tcPr>
            <w:tcW w:w="6482" w:type="dxa"/>
          </w:tcPr>
          <w:p w14:paraId="7F3856ED"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r w:rsidR="0046798B" w14:paraId="405245EF" w14:textId="77777777">
        <w:trPr>
          <w:trHeight w:val="775"/>
        </w:trPr>
        <w:tc>
          <w:tcPr>
            <w:tcW w:w="1711" w:type="dxa"/>
          </w:tcPr>
          <w:p w14:paraId="50BF9BB0" w14:textId="77777777" w:rsidR="0046798B" w:rsidRDefault="0046798B">
            <w:pPr>
              <w:pStyle w:val="TableParagraph"/>
              <w:spacing w:before="9"/>
              <w:rPr>
                <w:sz w:val="23"/>
              </w:rPr>
            </w:pPr>
          </w:p>
          <w:p w14:paraId="61C4821B" w14:textId="77777777" w:rsidR="0046798B" w:rsidRDefault="00903B5C">
            <w:pPr>
              <w:pStyle w:val="TableParagraph"/>
              <w:ind w:left="115"/>
              <w:rPr>
                <w:b/>
                <w:sz w:val="20"/>
              </w:rPr>
            </w:pPr>
            <w:r>
              <w:rPr>
                <w:b/>
                <w:sz w:val="20"/>
              </w:rPr>
              <w:t>hmbdsm</w:t>
            </w:r>
          </w:p>
        </w:tc>
        <w:tc>
          <w:tcPr>
            <w:tcW w:w="1596" w:type="dxa"/>
          </w:tcPr>
          <w:p w14:paraId="4AC03779" w14:textId="77777777" w:rsidR="0046798B" w:rsidRDefault="00903B5C">
            <w:pPr>
              <w:pStyle w:val="TableParagraph"/>
              <w:spacing w:before="158"/>
              <w:ind w:left="114" w:right="346"/>
              <w:rPr>
                <w:sz w:val="20"/>
              </w:rPr>
            </w:pPr>
            <w:r>
              <w:rPr>
                <w:sz w:val="20"/>
              </w:rPr>
              <w:t>Diabetes self- management</w:t>
            </w:r>
          </w:p>
        </w:tc>
        <w:tc>
          <w:tcPr>
            <w:tcW w:w="1285" w:type="dxa"/>
          </w:tcPr>
          <w:p w14:paraId="4B1D0BDA" w14:textId="77777777" w:rsidR="0046798B" w:rsidRDefault="0046798B">
            <w:pPr>
              <w:pStyle w:val="TableParagraph"/>
              <w:spacing w:before="9"/>
              <w:rPr>
                <w:sz w:val="23"/>
              </w:rPr>
            </w:pPr>
          </w:p>
          <w:p w14:paraId="345C7D71" w14:textId="77777777" w:rsidR="0046798B" w:rsidRDefault="00903B5C">
            <w:pPr>
              <w:pStyle w:val="TableParagraph"/>
              <w:ind w:left="114"/>
              <w:rPr>
                <w:sz w:val="20"/>
              </w:rPr>
            </w:pPr>
            <w:r>
              <w:rPr>
                <w:sz w:val="20"/>
              </w:rPr>
              <w:t>2006–2008</w:t>
            </w:r>
          </w:p>
        </w:tc>
        <w:tc>
          <w:tcPr>
            <w:tcW w:w="3421" w:type="dxa"/>
          </w:tcPr>
          <w:p w14:paraId="5B452A52" w14:textId="77777777" w:rsidR="0046798B" w:rsidRDefault="00903B5C">
            <w:pPr>
              <w:pStyle w:val="TableParagraph"/>
              <w:spacing w:before="43"/>
              <w:ind w:left="114" w:right="202"/>
              <w:rPr>
                <w:sz w:val="20"/>
              </w:rPr>
            </w:pPr>
            <w:r>
              <w:rPr>
                <w:sz w:val="20"/>
              </w:rPr>
              <w:t>Health insurance benefit mandates: diabetes self-management (0 = no, 1 = yes)</w:t>
            </w:r>
          </w:p>
        </w:tc>
        <w:tc>
          <w:tcPr>
            <w:tcW w:w="6482" w:type="dxa"/>
          </w:tcPr>
          <w:p w14:paraId="07757691" w14:textId="77777777" w:rsidR="0046798B" w:rsidRDefault="00903B5C">
            <w:pPr>
              <w:pStyle w:val="TableParagraph"/>
              <w:spacing w:before="43"/>
              <w:ind w:left="114"/>
              <w:rPr>
                <w:sz w:val="20"/>
              </w:rPr>
            </w:pPr>
            <w:r>
              <w:rPr>
                <w:sz w:val="20"/>
              </w:rPr>
              <w:t>Sorens, Jason, Fait Muedini, and William P. Ruger. “State and Local Public Policies in 2006: A New Database.” State Politics &amp; Policy Quarterly 8.3 (2008): 309–26.</w:t>
            </w:r>
          </w:p>
        </w:tc>
      </w:tr>
      <w:tr w:rsidR="0046798B" w14:paraId="251EE741" w14:textId="77777777">
        <w:trPr>
          <w:trHeight w:val="775"/>
        </w:trPr>
        <w:tc>
          <w:tcPr>
            <w:tcW w:w="1711" w:type="dxa"/>
          </w:tcPr>
          <w:p w14:paraId="2F51B093" w14:textId="77777777" w:rsidR="0046798B" w:rsidRDefault="0046798B">
            <w:pPr>
              <w:pStyle w:val="TableParagraph"/>
              <w:spacing w:before="8"/>
              <w:rPr>
                <w:sz w:val="23"/>
              </w:rPr>
            </w:pPr>
          </w:p>
          <w:p w14:paraId="6BEFCD91" w14:textId="77777777" w:rsidR="0046798B" w:rsidRDefault="00903B5C">
            <w:pPr>
              <w:pStyle w:val="TableParagraph"/>
              <w:spacing w:before="1"/>
              <w:ind w:left="115"/>
              <w:rPr>
                <w:b/>
                <w:sz w:val="20"/>
              </w:rPr>
            </w:pPr>
            <w:r>
              <w:rPr>
                <w:b/>
                <w:sz w:val="20"/>
              </w:rPr>
              <w:t>hmbem</w:t>
            </w:r>
          </w:p>
        </w:tc>
        <w:tc>
          <w:tcPr>
            <w:tcW w:w="1596" w:type="dxa"/>
          </w:tcPr>
          <w:p w14:paraId="69AE2F88" w14:textId="77777777" w:rsidR="0046798B" w:rsidRDefault="00903B5C">
            <w:pPr>
              <w:pStyle w:val="TableParagraph"/>
              <w:spacing w:before="158"/>
              <w:ind w:left="114" w:right="541"/>
              <w:rPr>
                <w:sz w:val="20"/>
              </w:rPr>
            </w:pPr>
            <w:r>
              <w:rPr>
                <w:sz w:val="20"/>
              </w:rPr>
              <w:t>Emergency services</w:t>
            </w:r>
          </w:p>
        </w:tc>
        <w:tc>
          <w:tcPr>
            <w:tcW w:w="1285" w:type="dxa"/>
          </w:tcPr>
          <w:p w14:paraId="5A6257FC" w14:textId="77777777" w:rsidR="0046798B" w:rsidRDefault="0046798B">
            <w:pPr>
              <w:pStyle w:val="TableParagraph"/>
              <w:spacing w:before="8"/>
              <w:rPr>
                <w:sz w:val="23"/>
              </w:rPr>
            </w:pPr>
          </w:p>
          <w:p w14:paraId="09D647C0" w14:textId="77777777" w:rsidR="0046798B" w:rsidRDefault="00903B5C">
            <w:pPr>
              <w:pStyle w:val="TableParagraph"/>
              <w:spacing w:before="1"/>
              <w:ind w:left="114"/>
              <w:rPr>
                <w:sz w:val="20"/>
              </w:rPr>
            </w:pPr>
            <w:r>
              <w:rPr>
                <w:sz w:val="20"/>
              </w:rPr>
              <w:t>2006–2016</w:t>
            </w:r>
          </w:p>
        </w:tc>
        <w:tc>
          <w:tcPr>
            <w:tcW w:w="3421" w:type="dxa"/>
          </w:tcPr>
          <w:p w14:paraId="7C8B451F" w14:textId="77777777" w:rsidR="0046798B" w:rsidRDefault="00903B5C">
            <w:pPr>
              <w:pStyle w:val="TableParagraph"/>
              <w:spacing w:before="158"/>
              <w:ind w:left="114" w:right="330"/>
              <w:rPr>
                <w:sz w:val="20"/>
              </w:rPr>
            </w:pPr>
            <w:r>
              <w:rPr>
                <w:sz w:val="20"/>
              </w:rPr>
              <w:t>Health insurance benefit mandates: emergency services (0 = no, 1 = yes)</w:t>
            </w:r>
          </w:p>
        </w:tc>
        <w:tc>
          <w:tcPr>
            <w:tcW w:w="6482" w:type="dxa"/>
          </w:tcPr>
          <w:p w14:paraId="05E7B532" w14:textId="77777777" w:rsidR="0046798B" w:rsidRDefault="00903B5C">
            <w:pPr>
              <w:pStyle w:val="TableParagraph"/>
              <w:spacing w:before="43"/>
              <w:ind w:left="114"/>
              <w:rPr>
                <w:sz w:val="20"/>
              </w:rPr>
            </w:pPr>
            <w:r>
              <w:rPr>
                <w:sz w:val="20"/>
              </w:rPr>
              <w:t>Sorens, Jason, Fait Muedini, and William P. Ruger. “State and Local Public Policies in 2006: A New Database.” State Politics &amp; Policy Quarterly 8.3 (2008): 309–26.</w:t>
            </w:r>
          </w:p>
        </w:tc>
      </w:tr>
      <w:tr w:rsidR="0046798B" w14:paraId="59C3EE10" w14:textId="77777777">
        <w:trPr>
          <w:trHeight w:val="780"/>
        </w:trPr>
        <w:tc>
          <w:tcPr>
            <w:tcW w:w="1711" w:type="dxa"/>
          </w:tcPr>
          <w:p w14:paraId="2D9A62E9" w14:textId="77777777" w:rsidR="0046798B" w:rsidRDefault="0046798B">
            <w:pPr>
              <w:pStyle w:val="TableParagraph"/>
              <w:spacing w:before="8"/>
              <w:rPr>
                <w:sz w:val="23"/>
              </w:rPr>
            </w:pPr>
          </w:p>
          <w:p w14:paraId="16D14443" w14:textId="77777777" w:rsidR="0046798B" w:rsidRDefault="00903B5C">
            <w:pPr>
              <w:pStyle w:val="TableParagraph"/>
              <w:spacing w:before="1"/>
              <w:ind w:left="115"/>
              <w:rPr>
                <w:b/>
                <w:sz w:val="20"/>
              </w:rPr>
            </w:pPr>
            <w:r>
              <w:rPr>
                <w:b/>
                <w:sz w:val="20"/>
              </w:rPr>
              <w:t>hmbha</w:t>
            </w:r>
          </w:p>
        </w:tc>
        <w:tc>
          <w:tcPr>
            <w:tcW w:w="1596" w:type="dxa"/>
          </w:tcPr>
          <w:p w14:paraId="753479FB" w14:textId="77777777" w:rsidR="0046798B" w:rsidRDefault="0046798B">
            <w:pPr>
              <w:pStyle w:val="TableParagraph"/>
              <w:spacing w:before="8"/>
              <w:rPr>
                <w:sz w:val="23"/>
              </w:rPr>
            </w:pPr>
          </w:p>
          <w:p w14:paraId="7938827F" w14:textId="77777777" w:rsidR="0046798B" w:rsidRDefault="00903B5C">
            <w:pPr>
              <w:pStyle w:val="TableParagraph"/>
              <w:spacing w:before="1"/>
              <w:ind w:left="114"/>
              <w:rPr>
                <w:sz w:val="20"/>
              </w:rPr>
            </w:pPr>
            <w:r>
              <w:rPr>
                <w:sz w:val="20"/>
              </w:rPr>
              <w:t>Hearing aid</w:t>
            </w:r>
          </w:p>
        </w:tc>
        <w:tc>
          <w:tcPr>
            <w:tcW w:w="1285" w:type="dxa"/>
          </w:tcPr>
          <w:p w14:paraId="07F34D22" w14:textId="77777777" w:rsidR="0046798B" w:rsidRDefault="0046798B">
            <w:pPr>
              <w:pStyle w:val="TableParagraph"/>
              <w:spacing w:before="8"/>
              <w:rPr>
                <w:sz w:val="23"/>
              </w:rPr>
            </w:pPr>
          </w:p>
          <w:p w14:paraId="1BE2C2BB" w14:textId="77777777" w:rsidR="0046798B" w:rsidRDefault="00903B5C">
            <w:pPr>
              <w:pStyle w:val="TableParagraph"/>
              <w:spacing w:before="1"/>
              <w:ind w:left="114"/>
              <w:rPr>
                <w:sz w:val="20"/>
              </w:rPr>
            </w:pPr>
            <w:r>
              <w:rPr>
                <w:sz w:val="20"/>
              </w:rPr>
              <w:t>2006–2008</w:t>
            </w:r>
          </w:p>
        </w:tc>
        <w:tc>
          <w:tcPr>
            <w:tcW w:w="3421" w:type="dxa"/>
          </w:tcPr>
          <w:p w14:paraId="65554E4E" w14:textId="77777777" w:rsidR="0046798B" w:rsidRDefault="00903B5C">
            <w:pPr>
              <w:pStyle w:val="TableParagraph"/>
              <w:spacing w:before="158"/>
              <w:ind w:left="114" w:right="461"/>
              <w:rPr>
                <w:sz w:val="20"/>
              </w:rPr>
            </w:pPr>
            <w:r>
              <w:rPr>
                <w:sz w:val="20"/>
              </w:rPr>
              <w:t>Health insurance benefit mandates: hearing aid (0 = no, 1 = yes)</w:t>
            </w:r>
          </w:p>
        </w:tc>
        <w:tc>
          <w:tcPr>
            <w:tcW w:w="6482" w:type="dxa"/>
          </w:tcPr>
          <w:p w14:paraId="14AA0664" w14:textId="77777777" w:rsidR="0046798B" w:rsidRDefault="00903B5C">
            <w:pPr>
              <w:pStyle w:val="TableParagraph"/>
              <w:spacing w:before="43"/>
              <w:ind w:left="114"/>
              <w:rPr>
                <w:sz w:val="20"/>
              </w:rPr>
            </w:pPr>
            <w:r>
              <w:rPr>
                <w:sz w:val="20"/>
              </w:rPr>
              <w:t>Sorens, Jason, Fait Muedini, and William P. Ruger. “State and Local Public Policies in 2006: A New Database.” State Politics &amp; Policy Quarterly 8.3 (2008): 309–26.</w:t>
            </w:r>
          </w:p>
        </w:tc>
      </w:tr>
      <w:tr w:rsidR="0046798B" w14:paraId="741E456C" w14:textId="77777777">
        <w:trPr>
          <w:trHeight w:val="775"/>
        </w:trPr>
        <w:tc>
          <w:tcPr>
            <w:tcW w:w="1711" w:type="dxa"/>
          </w:tcPr>
          <w:p w14:paraId="4C90BD72" w14:textId="77777777" w:rsidR="0046798B" w:rsidRDefault="0046798B">
            <w:pPr>
              <w:pStyle w:val="TableParagraph"/>
              <w:spacing w:before="4"/>
              <w:rPr>
                <w:sz w:val="23"/>
              </w:rPr>
            </w:pPr>
          </w:p>
          <w:p w14:paraId="67C08BE3" w14:textId="77777777" w:rsidR="0046798B" w:rsidRDefault="00903B5C">
            <w:pPr>
              <w:pStyle w:val="TableParagraph"/>
              <w:ind w:left="115"/>
              <w:rPr>
                <w:b/>
                <w:sz w:val="20"/>
              </w:rPr>
            </w:pPr>
            <w:r>
              <w:rPr>
                <w:b/>
                <w:sz w:val="20"/>
              </w:rPr>
              <w:t>hmbhc</w:t>
            </w:r>
          </w:p>
        </w:tc>
        <w:tc>
          <w:tcPr>
            <w:tcW w:w="1596" w:type="dxa"/>
          </w:tcPr>
          <w:p w14:paraId="60C37C9F" w14:textId="77777777" w:rsidR="0046798B" w:rsidRDefault="0046798B">
            <w:pPr>
              <w:pStyle w:val="TableParagraph"/>
              <w:spacing w:before="4"/>
              <w:rPr>
                <w:sz w:val="23"/>
              </w:rPr>
            </w:pPr>
          </w:p>
          <w:p w14:paraId="4690D4F3" w14:textId="77777777" w:rsidR="0046798B" w:rsidRDefault="00903B5C">
            <w:pPr>
              <w:pStyle w:val="TableParagraph"/>
              <w:ind w:left="114"/>
              <w:rPr>
                <w:sz w:val="20"/>
              </w:rPr>
            </w:pPr>
            <w:r>
              <w:rPr>
                <w:sz w:val="20"/>
              </w:rPr>
              <w:t>Hospice care</w:t>
            </w:r>
          </w:p>
        </w:tc>
        <w:tc>
          <w:tcPr>
            <w:tcW w:w="1285" w:type="dxa"/>
          </w:tcPr>
          <w:p w14:paraId="3D464B6A" w14:textId="77777777" w:rsidR="0046798B" w:rsidRDefault="0046798B">
            <w:pPr>
              <w:pStyle w:val="TableParagraph"/>
              <w:spacing w:before="4"/>
              <w:rPr>
                <w:sz w:val="23"/>
              </w:rPr>
            </w:pPr>
          </w:p>
          <w:p w14:paraId="4CC7F2E1" w14:textId="77777777" w:rsidR="0046798B" w:rsidRDefault="00903B5C">
            <w:pPr>
              <w:pStyle w:val="TableParagraph"/>
              <w:ind w:left="114"/>
              <w:rPr>
                <w:sz w:val="20"/>
              </w:rPr>
            </w:pPr>
            <w:r>
              <w:rPr>
                <w:sz w:val="20"/>
              </w:rPr>
              <w:t>2006–2008</w:t>
            </w:r>
          </w:p>
        </w:tc>
        <w:tc>
          <w:tcPr>
            <w:tcW w:w="3421" w:type="dxa"/>
          </w:tcPr>
          <w:p w14:paraId="2DBD859E" w14:textId="77777777" w:rsidR="0046798B" w:rsidRDefault="00903B5C">
            <w:pPr>
              <w:pStyle w:val="TableParagraph"/>
              <w:spacing w:before="153"/>
              <w:ind w:left="114" w:right="461"/>
              <w:rPr>
                <w:sz w:val="20"/>
              </w:rPr>
            </w:pPr>
            <w:r>
              <w:rPr>
                <w:sz w:val="20"/>
              </w:rPr>
              <w:t>Health insurance benefit mandates: hospice care (0 = no, 1 = yes)</w:t>
            </w:r>
          </w:p>
        </w:tc>
        <w:tc>
          <w:tcPr>
            <w:tcW w:w="6482" w:type="dxa"/>
          </w:tcPr>
          <w:p w14:paraId="5ABBDD1B" w14:textId="77777777" w:rsidR="0046798B" w:rsidRDefault="00903B5C">
            <w:pPr>
              <w:pStyle w:val="TableParagraph"/>
              <w:spacing w:before="38"/>
              <w:ind w:left="114" w:right="272"/>
              <w:rPr>
                <w:sz w:val="20"/>
              </w:rPr>
            </w:pPr>
            <w:r>
              <w:rPr>
                <w:sz w:val="20"/>
              </w:rPr>
              <w:t>Sorens, Jason, Fait Muedini, and William P. Ruger. “State and Local Public Policies in 2006: A New Database.” State Politics &amp; Policy Quarterly 8.3 (2008): 309–26.</w:t>
            </w:r>
          </w:p>
        </w:tc>
      </w:tr>
      <w:tr w:rsidR="0046798B" w14:paraId="6B51D619" w14:textId="77777777">
        <w:trPr>
          <w:trHeight w:val="775"/>
        </w:trPr>
        <w:tc>
          <w:tcPr>
            <w:tcW w:w="1711" w:type="dxa"/>
          </w:tcPr>
          <w:p w14:paraId="485A40A9" w14:textId="77777777" w:rsidR="0046798B" w:rsidRDefault="0046798B">
            <w:pPr>
              <w:pStyle w:val="TableParagraph"/>
              <w:spacing w:before="3"/>
              <w:rPr>
                <w:sz w:val="23"/>
              </w:rPr>
            </w:pPr>
          </w:p>
          <w:p w14:paraId="496F7A1F" w14:textId="77777777" w:rsidR="0046798B" w:rsidRDefault="00903B5C">
            <w:pPr>
              <w:pStyle w:val="TableParagraph"/>
              <w:ind w:left="115"/>
              <w:rPr>
                <w:b/>
                <w:sz w:val="20"/>
              </w:rPr>
            </w:pPr>
            <w:r>
              <w:rPr>
                <w:b/>
                <w:sz w:val="20"/>
              </w:rPr>
              <w:t>hmbac</w:t>
            </w:r>
          </w:p>
        </w:tc>
        <w:tc>
          <w:tcPr>
            <w:tcW w:w="1596" w:type="dxa"/>
          </w:tcPr>
          <w:p w14:paraId="54ACD239" w14:textId="77777777" w:rsidR="0046798B" w:rsidRDefault="00903B5C">
            <w:pPr>
              <w:pStyle w:val="TableParagraph"/>
              <w:spacing w:before="153"/>
              <w:ind w:left="114" w:right="125"/>
              <w:rPr>
                <w:sz w:val="20"/>
              </w:rPr>
            </w:pPr>
            <w:r>
              <w:rPr>
                <w:sz w:val="20"/>
              </w:rPr>
              <w:t>Ambulatory cancer treatment</w:t>
            </w:r>
          </w:p>
        </w:tc>
        <w:tc>
          <w:tcPr>
            <w:tcW w:w="1285" w:type="dxa"/>
          </w:tcPr>
          <w:p w14:paraId="0509C22E" w14:textId="77777777" w:rsidR="0046798B" w:rsidRDefault="0046798B">
            <w:pPr>
              <w:pStyle w:val="TableParagraph"/>
              <w:spacing w:before="3"/>
              <w:rPr>
                <w:sz w:val="23"/>
              </w:rPr>
            </w:pPr>
          </w:p>
          <w:p w14:paraId="626B20A5" w14:textId="77777777" w:rsidR="0046798B" w:rsidRDefault="00903B5C">
            <w:pPr>
              <w:pStyle w:val="TableParagraph"/>
              <w:ind w:left="114"/>
              <w:rPr>
                <w:sz w:val="20"/>
              </w:rPr>
            </w:pPr>
            <w:r>
              <w:rPr>
                <w:sz w:val="20"/>
              </w:rPr>
              <w:t>2006–2016</w:t>
            </w:r>
          </w:p>
        </w:tc>
        <w:tc>
          <w:tcPr>
            <w:tcW w:w="3421" w:type="dxa"/>
          </w:tcPr>
          <w:p w14:paraId="42D05426" w14:textId="77777777" w:rsidR="0046798B" w:rsidRDefault="00903B5C">
            <w:pPr>
              <w:pStyle w:val="TableParagraph"/>
              <w:spacing w:before="38"/>
              <w:ind w:left="114" w:right="159"/>
              <w:rPr>
                <w:sz w:val="20"/>
              </w:rPr>
            </w:pPr>
            <w:r>
              <w:rPr>
                <w:sz w:val="20"/>
              </w:rPr>
              <w:t>Health insurance benefit mandates: ambulatory cancer treatment (0 = no, 1</w:t>
            </w:r>
          </w:p>
          <w:p w14:paraId="4D391975" w14:textId="77777777" w:rsidR="0046798B" w:rsidRDefault="00903B5C">
            <w:pPr>
              <w:pStyle w:val="TableParagraph"/>
              <w:ind w:left="114"/>
              <w:rPr>
                <w:sz w:val="20"/>
              </w:rPr>
            </w:pPr>
            <w:r>
              <w:rPr>
                <w:sz w:val="20"/>
              </w:rPr>
              <w:t>= yes)</w:t>
            </w:r>
          </w:p>
        </w:tc>
        <w:tc>
          <w:tcPr>
            <w:tcW w:w="6482" w:type="dxa"/>
          </w:tcPr>
          <w:p w14:paraId="22928DAC"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r w:rsidR="0046798B" w14:paraId="7A3A8057" w14:textId="77777777">
        <w:trPr>
          <w:trHeight w:val="775"/>
        </w:trPr>
        <w:tc>
          <w:tcPr>
            <w:tcW w:w="1711" w:type="dxa"/>
          </w:tcPr>
          <w:p w14:paraId="3D8F7C63" w14:textId="77777777" w:rsidR="0046798B" w:rsidRDefault="0046798B">
            <w:pPr>
              <w:pStyle w:val="TableParagraph"/>
              <w:spacing w:before="3"/>
              <w:rPr>
                <w:sz w:val="23"/>
              </w:rPr>
            </w:pPr>
          </w:p>
          <w:p w14:paraId="44A3ACD1" w14:textId="77777777" w:rsidR="0046798B" w:rsidRDefault="00903B5C">
            <w:pPr>
              <w:pStyle w:val="TableParagraph"/>
              <w:spacing w:before="1"/>
              <w:ind w:left="115"/>
              <w:rPr>
                <w:b/>
                <w:sz w:val="20"/>
              </w:rPr>
            </w:pPr>
            <w:r>
              <w:rPr>
                <w:b/>
                <w:sz w:val="20"/>
              </w:rPr>
              <w:t>hmbamb</w:t>
            </w:r>
          </w:p>
        </w:tc>
        <w:tc>
          <w:tcPr>
            <w:tcW w:w="1596" w:type="dxa"/>
          </w:tcPr>
          <w:p w14:paraId="5629B95F" w14:textId="77777777" w:rsidR="0046798B" w:rsidRDefault="00903B5C">
            <w:pPr>
              <w:pStyle w:val="TableParagraph"/>
              <w:spacing w:before="153"/>
              <w:ind w:left="114" w:right="530"/>
              <w:rPr>
                <w:sz w:val="20"/>
              </w:rPr>
            </w:pPr>
            <w:r>
              <w:rPr>
                <w:sz w:val="20"/>
              </w:rPr>
              <w:t>Ambulance services</w:t>
            </w:r>
          </w:p>
        </w:tc>
        <w:tc>
          <w:tcPr>
            <w:tcW w:w="1285" w:type="dxa"/>
          </w:tcPr>
          <w:p w14:paraId="19B95D7C" w14:textId="77777777" w:rsidR="0046798B" w:rsidRDefault="0046798B">
            <w:pPr>
              <w:pStyle w:val="TableParagraph"/>
              <w:spacing w:before="3"/>
              <w:rPr>
                <w:sz w:val="23"/>
              </w:rPr>
            </w:pPr>
          </w:p>
          <w:p w14:paraId="77442E11" w14:textId="77777777" w:rsidR="0046798B" w:rsidRDefault="00903B5C">
            <w:pPr>
              <w:pStyle w:val="TableParagraph"/>
              <w:spacing w:before="1"/>
              <w:ind w:left="114"/>
              <w:rPr>
                <w:sz w:val="20"/>
              </w:rPr>
            </w:pPr>
            <w:r>
              <w:rPr>
                <w:sz w:val="20"/>
              </w:rPr>
              <w:t>2006–2016</w:t>
            </w:r>
          </w:p>
        </w:tc>
        <w:tc>
          <w:tcPr>
            <w:tcW w:w="3421" w:type="dxa"/>
          </w:tcPr>
          <w:p w14:paraId="0DA84215" w14:textId="77777777" w:rsidR="0046798B" w:rsidRDefault="00903B5C">
            <w:pPr>
              <w:pStyle w:val="TableParagraph"/>
              <w:spacing w:before="153"/>
              <w:ind w:left="114" w:right="341"/>
              <w:rPr>
                <w:sz w:val="20"/>
              </w:rPr>
            </w:pPr>
            <w:r>
              <w:rPr>
                <w:sz w:val="20"/>
              </w:rPr>
              <w:t>Health insurance benefit mandates: ambulance services (0 = no, 1 = yes)</w:t>
            </w:r>
          </w:p>
        </w:tc>
        <w:tc>
          <w:tcPr>
            <w:tcW w:w="6482" w:type="dxa"/>
          </w:tcPr>
          <w:p w14:paraId="0AFBD582"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bl>
    <w:p w14:paraId="315A7893" w14:textId="77777777" w:rsidR="0046798B" w:rsidRDefault="0046798B">
      <w:pPr>
        <w:rPr>
          <w:sz w:val="20"/>
        </w:rPr>
        <w:sectPr w:rsidR="0046798B">
          <w:pgSz w:w="15840" w:h="12240" w:orient="landscape"/>
          <w:pgMar w:top="1220" w:right="300" w:bottom="980" w:left="820" w:header="730" w:footer="787" w:gutter="0"/>
          <w:cols w:space="720"/>
        </w:sectPr>
      </w:pPr>
    </w:p>
    <w:p w14:paraId="76D079B0"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B7B077B" w14:textId="77777777">
        <w:trPr>
          <w:trHeight w:val="775"/>
        </w:trPr>
        <w:tc>
          <w:tcPr>
            <w:tcW w:w="1711" w:type="dxa"/>
          </w:tcPr>
          <w:p w14:paraId="36D9506C" w14:textId="77777777" w:rsidR="0046798B" w:rsidRDefault="0046798B">
            <w:pPr>
              <w:pStyle w:val="TableParagraph"/>
              <w:spacing w:before="9"/>
              <w:rPr>
                <w:sz w:val="23"/>
              </w:rPr>
            </w:pPr>
          </w:p>
          <w:p w14:paraId="49EEFFE6" w14:textId="77777777" w:rsidR="0046798B" w:rsidRDefault="00903B5C">
            <w:pPr>
              <w:pStyle w:val="TableParagraph"/>
              <w:ind w:left="115"/>
              <w:rPr>
                <w:b/>
                <w:sz w:val="20"/>
              </w:rPr>
            </w:pPr>
            <w:r>
              <w:rPr>
                <w:b/>
                <w:sz w:val="20"/>
              </w:rPr>
              <w:t>hmbap</w:t>
            </w:r>
          </w:p>
        </w:tc>
        <w:tc>
          <w:tcPr>
            <w:tcW w:w="1596" w:type="dxa"/>
          </w:tcPr>
          <w:p w14:paraId="70DBEB06" w14:textId="77777777" w:rsidR="0046798B" w:rsidRDefault="00903B5C">
            <w:pPr>
              <w:pStyle w:val="TableParagraph"/>
              <w:spacing w:before="158"/>
              <w:ind w:left="114" w:right="263"/>
              <w:rPr>
                <w:sz w:val="20"/>
              </w:rPr>
            </w:pPr>
            <w:r>
              <w:rPr>
                <w:sz w:val="20"/>
              </w:rPr>
              <w:t>Anti-psychotic drugs</w:t>
            </w:r>
          </w:p>
        </w:tc>
        <w:tc>
          <w:tcPr>
            <w:tcW w:w="1285" w:type="dxa"/>
          </w:tcPr>
          <w:p w14:paraId="3FD44888" w14:textId="77777777" w:rsidR="0046798B" w:rsidRDefault="0046798B">
            <w:pPr>
              <w:pStyle w:val="TableParagraph"/>
              <w:spacing w:before="9"/>
              <w:rPr>
                <w:sz w:val="23"/>
              </w:rPr>
            </w:pPr>
          </w:p>
          <w:p w14:paraId="4DEF4CEB" w14:textId="77777777" w:rsidR="0046798B" w:rsidRDefault="00903B5C">
            <w:pPr>
              <w:pStyle w:val="TableParagraph"/>
              <w:ind w:left="114"/>
              <w:rPr>
                <w:sz w:val="20"/>
              </w:rPr>
            </w:pPr>
            <w:r>
              <w:rPr>
                <w:sz w:val="20"/>
              </w:rPr>
              <w:t>2006–2016</w:t>
            </w:r>
          </w:p>
        </w:tc>
        <w:tc>
          <w:tcPr>
            <w:tcW w:w="3421" w:type="dxa"/>
          </w:tcPr>
          <w:p w14:paraId="7066A018" w14:textId="77777777" w:rsidR="0046798B" w:rsidRDefault="00903B5C">
            <w:pPr>
              <w:pStyle w:val="TableParagraph"/>
              <w:spacing w:before="158"/>
              <w:ind w:left="114" w:right="289"/>
              <w:rPr>
                <w:sz w:val="20"/>
              </w:rPr>
            </w:pPr>
            <w:r>
              <w:rPr>
                <w:sz w:val="20"/>
              </w:rPr>
              <w:t>Health insurance benefit mandates: anti-psychotic drugs (0 = no, 1 = yes)</w:t>
            </w:r>
          </w:p>
        </w:tc>
        <w:tc>
          <w:tcPr>
            <w:tcW w:w="6482" w:type="dxa"/>
          </w:tcPr>
          <w:p w14:paraId="2C18B8EC" w14:textId="77777777" w:rsidR="0046798B" w:rsidRDefault="00903B5C">
            <w:pPr>
              <w:pStyle w:val="TableParagraph"/>
              <w:spacing w:before="43"/>
              <w:ind w:left="114"/>
              <w:rPr>
                <w:sz w:val="20"/>
              </w:rPr>
            </w:pPr>
            <w:r>
              <w:rPr>
                <w:sz w:val="20"/>
              </w:rPr>
              <w:t>Sorens, Jason, Fait Muedini, and William P. Ruger. “State and Local Public Policies in 2006: A New Database.” State Politics &amp; Policy Quarterly 8.3 (2008): 309–26.</w:t>
            </w:r>
          </w:p>
        </w:tc>
      </w:tr>
      <w:tr w:rsidR="0046798B" w14:paraId="080D595D" w14:textId="77777777">
        <w:trPr>
          <w:trHeight w:val="775"/>
        </w:trPr>
        <w:tc>
          <w:tcPr>
            <w:tcW w:w="1711" w:type="dxa"/>
          </w:tcPr>
          <w:p w14:paraId="49DADA0B" w14:textId="77777777" w:rsidR="0046798B" w:rsidRDefault="0046798B">
            <w:pPr>
              <w:pStyle w:val="TableParagraph"/>
              <w:spacing w:before="8"/>
              <w:rPr>
                <w:sz w:val="23"/>
              </w:rPr>
            </w:pPr>
          </w:p>
          <w:p w14:paraId="6BEBA219" w14:textId="77777777" w:rsidR="0046798B" w:rsidRDefault="00903B5C">
            <w:pPr>
              <w:pStyle w:val="TableParagraph"/>
              <w:spacing w:before="1"/>
              <w:ind w:left="115"/>
              <w:rPr>
                <w:b/>
                <w:sz w:val="20"/>
              </w:rPr>
            </w:pPr>
            <w:r>
              <w:rPr>
                <w:b/>
                <w:sz w:val="20"/>
              </w:rPr>
              <w:t>hmbast</w:t>
            </w:r>
          </w:p>
        </w:tc>
        <w:tc>
          <w:tcPr>
            <w:tcW w:w="1596" w:type="dxa"/>
          </w:tcPr>
          <w:p w14:paraId="49B68B92" w14:textId="77777777" w:rsidR="0046798B" w:rsidRDefault="00903B5C">
            <w:pPr>
              <w:pStyle w:val="TableParagraph"/>
              <w:spacing w:before="158"/>
              <w:ind w:left="114" w:right="674"/>
              <w:rPr>
                <w:sz w:val="20"/>
              </w:rPr>
            </w:pPr>
            <w:r>
              <w:rPr>
                <w:sz w:val="20"/>
              </w:rPr>
              <w:t>Asthma education</w:t>
            </w:r>
          </w:p>
        </w:tc>
        <w:tc>
          <w:tcPr>
            <w:tcW w:w="1285" w:type="dxa"/>
          </w:tcPr>
          <w:p w14:paraId="7B154EDB" w14:textId="77777777" w:rsidR="0046798B" w:rsidRDefault="0046798B">
            <w:pPr>
              <w:pStyle w:val="TableParagraph"/>
              <w:spacing w:before="8"/>
              <w:rPr>
                <w:sz w:val="23"/>
              </w:rPr>
            </w:pPr>
          </w:p>
          <w:p w14:paraId="7B7F1A32" w14:textId="77777777" w:rsidR="0046798B" w:rsidRDefault="00903B5C">
            <w:pPr>
              <w:pStyle w:val="TableParagraph"/>
              <w:spacing w:before="1"/>
              <w:ind w:left="114"/>
              <w:rPr>
                <w:sz w:val="20"/>
              </w:rPr>
            </w:pPr>
            <w:r>
              <w:rPr>
                <w:sz w:val="20"/>
              </w:rPr>
              <w:t>2006–2008</w:t>
            </w:r>
          </w:p>
        </w:tc>
        <w:tc>
          <w:tcPr>
            <w:tcW w:w="3421" w:type="dxa"/>
          </w:tcPr>
          <w:p w14:paraId="561CED12" w14:textId="77777777" w:rsidR="0046798B" w:rsidRDefault="00903B5C">
            <w:pPr>
              <w:pStyle w:val="TableParagraph"/>
              <w:spacing w:before="158"/>
              <w:ind w:left="114" w:right="461"/>
              <w:rPr>
                <w:sz w:val="20"/>
              </w:rPr>
            </w:pPr>
            <w:r>
              <w:rPr>
                <w:sz w:val="20"/>
              </w:rPr>
              <w:t>Health insurance benefit mandates: asthma education (0 = no, 1 = yes)</w:t>
            </w:r>
          </w:p>
        </w:tc>
        <w:tc>
          <w:tcPr>
            <w:tcW w:w="6482" w:type="dxa"/>
          </w:tcPr>
          <w:p w14:paraId="2EBF9D96" w14:textId="77777777" w:rsidR="0046798B" w:rsidRDefault="00903B5C">
            <w:pPr>
              <w:pStyle w:val="TableParagraph"/>
              <w:spacing w:before="43"/>
              <w:ind w:left="114" w:right="272"/>
              <w:rPr>
                <w:sz w:val="20"/>
              </w:rPr>
            </w:pPr>
            <w:r>
              <w:rPr>
                <w:sz w:val="20"/>
              </w:rPr>
              <w:t>Sorens, Jason, Fait Muedini, and William P. Ruger. “State and Local Public Policies in 2006: A New Database.” State Politics &amp; Policy Quarterly 8.3 (2008): 309–26.</w:t>
            </w:r>
          </w:p>
        </w:tc>
      </w:tr>
      <w:tr w:rsidR="0046798B" w14:paraId="6C1F1DFD" w14:textId="77777777">
        <w:trPr>
          <w:trHeight w:val="780"/>
        </w:trPr>
        <w:tc>
          <w:tcPr>
            <w:tcW w:w="1711" w:type="dxa"/>
          </w:tcPr>
          <w:p w14:paraId="0329FE69" w14:textId="77777777" w:rsidR="0046798B" w:rsidRDefault="0046798B">
            <w:pPr>
              <w:pStyle w:val="TableParagraph"/>
              <w:spacing w:before="9"/>
              <w:rPr>
                <w:sz w:val="23"/>
              </w:rPr>
            </w:pPr>
          </w:p>
          <w:p w14:paraId="7D11A967" w14:textId="77777777" w:rsidR="0046798B" w:rsidRDefault="00903B5C">
            <w:pPr>
              <w:pStyle w:val="TableParagraph"/>
              <w:ind w:left="115"/>
              <w:rPr>
                <w:b/>
                <w:sz w:val="20"/>
              </w:rPr>
            </w:pPr>
            <w:r>
              <w:rPr>
                <w:b/>
                <w:sz w:val="20"/>
              </w:rPr>
              <w:t>hmbbci</w:t>
            </w:r>
          </w:p>
        </w:tc>
        <w:tc>
          <w:tcPr>
            <w:tcW w:w="1596" w:type="dxa"/>
          </w:tcPr>
          <w:p w14:paraId="299CDB85" w14:textId="77777777" w:rsidR="0046798B" w:rsidRDefault="00903B5C">
            <w:pPr>
              <w:pStyle w:val="TableParagraph"/>
              <w:spacing w:before="159"/>
              <w:ind w:left="114" w:right="113"/>
              <w:rPr>
                <w:sz w:val="20"/>
              </w:rPr>
            </w:pPr>
            <w:r>
              <w:rPr>
                <w:sz w:val="20"/>
              </w:rPr>
              <w:t>Bilateral cochlear implant</w:t>
            </w:r>
          </w:p>
        </w:tc>
        <w:tc>
          <w:tcPr>
            <w:tcW w:w="1285" w:type="dxa"/>
          </w:tcPr>
          <w:p w14:paraId="019E348B" w14:textId="77777777" w:rsidR="0046798B" w:rsidRDefault="0046798B">
            <w:pPr>
              <w:pStyle w:val="TableParagraph"/>
              <w:spacing w:before="9"/>
              <w:rPr>
                <w:sz w:val="23"/>
              </w:rPr>
            </w:pPr>
          </w:p>
          <w:p w14:paraId="2D5266F4" w14:textId="77777777" w:rsidR="0046798B" w:rsidRDefault="00903B5C">
            <w:pPr>
              <w:pStyle w:val="TableParagraph"/>
              <w:ind w:left="114"/>
              <w:rPr>
                <w:sz w:val="20"/>
              </w:rPr>
            </w:pPr>
            <w:r>
              <w:rPr>
                <w:sz w:val="20"/>
              </w:rPr>
              <w:t>2006–2008</w:t>
            </w:r>
          </w:p>
        </w:tc>
        <w:tc>
          <w:tcPr>
            <w:tcW w:w="3421" w:type="dxa"/>
          </w:tcPr>
          <w:p w14:paraId="4D4469CB" w14:textId="77777777" w:rsidR="0046798B" w:rsidRDefault="00903B5C">
            <w:pPr>
              <w:pStyle w:val="TableParagraph"/>
              <w:spacing w:before="44"/>
              <w:ind w:left="114" w:right="241"/>
              <w:rPr>
                <w:sz w:val="20"/>
              </w:rPr>
            </w:pPr>
            <w:r>
              <w:rPr>
                <w:sz w:val="20"/>
              </w:rPr>
              <w:t>Health insurance benefit mandates: bilateral cochlear implant (0 = no, 1 = yes)</w:t>
            </w:r>
          </w:p>
        </w:tc>
        <w:tc>
          <w:tcPr>
            <w:tcW w:w="6482" w:type="dxa"/>
          </w:tcPr>
          <w:p w14:paraId="549B7D34" w14:textId="77777777" w:rsidR="0046798B" w:rsidRDefault="00903B5C">
            <w:pPr>
              <w:pStyle w:val="TableParagraph"/>
              <w:spacing w:before="44"/>
              <w:ind w:left="114"/>
              <w:rPr>
                <w:sz w:val="20"/>
              </w:rPr>
            </w:pPr>
            <w:r>
              <w:rPr>
                <w:sz w:val="20"/>
              </w:rPr>
              <w:t>Sorens, Jason, Fait Muedini, and William P. Ruger. “State and Local Public Policies in 2006: A New Database.” State Politics &amp; Policy Quarterly 8.3 (2008): 309–26.</w:t>
            </w:r>
          </w:p>
        </w:tc>
      </w:tr>
      <w:tr w:rsidR="0046798B" w14:paraId="5F3E2BD8" w14:textId="77777777">
        <w:trPr>
          <w:trHeight w:val="775"/>
        </w:trPr>
        <w:tc>
          <w:tcPr>
            <w:tcW w:w="1711" w:type="dxa"/>
          </w:tcPr>
          <w:p w14:paraId="00CE548C" w14:textId="77777777" w:rsidR="0046798B" w:rsidRDefault="0046798B">
            <w:pPr>
              <w:pStyle w:val="TableParagraph"/>
              <w:spacing w:before="3"/>
              <w:rPr>
                <w:sz w:val="23"/>
              </w:rPr>
            </w:pPr>
          </w:p>
          <w:p w14:paraId="068E260D" w14:textId="77777777" w:rsidR="0046798B" w:rsidRDefault="00903B5C">
            <w:pPr>
              <w:pStyle w:val="TableParagraph"/>
              <w:spacing w:before="1"/>
              <w:ind w:left="115"/>
              <w:rPr>
                <w:b/>
                <w:sz w:val="20"/>
              </w:rPr>
            </w:pPr>
            <w:r>
              <w:rPr>
                <w:b/>
                <w:sz w:val="20"/>
              </w:rPr>
              <w:t>hmbbl</w:t>
            </w:r>
          </w:p>
        </w:tc>
        <w:tc>
          <w:tcPr>
            <w:tcW w:w="1596" w:type="dxa"/>
          </w:tcPr>
          <w:p w14:paraId="16567421" w14:textId="77777777" w:rsidR="0046798B" w:rsidRDefault="00903B5C">
            <w:pPr>
              <w:pStyle w:val="TableParagraph"/>
              <w:spacing w:before="153"/>
              <w:ind w:left="114" w:right="579"/>
              <w:rPr>
                <w:sz w:val="20"/>
              </w:rPr>
            </w:pPr>
            <w:r>
              <w:rPr>
                <w:sz w:val="20"/>
              </w:rPr>
              <w:t>Blood lead poisoning</w:t>
            </w:r>
          </w:p>
        </w:tc>
        <w:tc>
          <w:tcPr>
            <w:tcW w:w="1285" w:type="dxa"/>
          </w:tcPr>
          <w:p w14:paraId="0DB1C5D4" w14:textId="77777777" w:rsidR="0046798B" w:rsidRDefault="0046798B">
            <w:pPr>
              <w:pStyle w:val="TableParagraph"/>
              <w:spacing w:before="3"/>
              <w:rPr>
                <w:sz w:val="23"/>
              </w:rPr>
            </w:pPr>
          </w:p>
          <w:p w14:paraId="77FF142F" w14:textId="77777777" w:rsidR="0046798B" w:rsidRDefault="00903B5C">
            <w:pPr>
              <w:pStyle w:val="TableParagraph"/>
              <w:spacing w:before="1"/>
              <w:ind w:left="114"/>
              <w:rPr>
                <w:sz w:val="20"/>
              </w:rPr>
            </w:pPr>
            <w:r>
              <w:rPr>
                <w:sz w:val="20"/>
              </w:rPr>
              <w:t>2006–2008</w:t>
            </w:r>
          </w:p>
        </w:tc>
        <w:tc>
          <w:tcPr>
            <w:tcW w:w="3421" w:type="dxa"/>
          </w:tcPr>
          <w:p w14:paraId="0FB64DFD" w14:textId="77777777" w:rsidR="0046798B" w:rsidRDefault="00903B5C">
            <w:pPr>
              <w:pStyle w:val="TableParagraph"/>
              <w:spacing w:before="153"/>
              <w:ind w:left="114" w:right="223"/>
              <w:rPr>
                <w:sz w:val="20"/>
              </w:rPr>
            </w:pPr>
            <w:r>
              <w:rPr>
                <w:sz w:val="20"/>
              </w:rPr>
              <w:t>Health insurance benefit mandates: blood lead poisoning (0 = no, 1 = yes)</w:t>
            </w:r>
          </w:p>
        </w:tc>
        <w:tc>
          <w:tcPr>
            <w:tcW w:w="6482" w:type="dxa"/>
          </w:tcPr>
          <w:p w14:paraId="5FDA92CA"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r w:rsidR="0046798B" w14:paraId="2898850E" w14:textId="77777777">
        <w:trPr>
          <w:trHeight w:val="775"/>
        </w:trPr>
        <w:tc>
          <w:tcPr>
            <w:tcW w:w="1711" w:type="dxa"/>
          </w:tcPr>
          <w:p w14:paraId="6F24DCDA" w14:textId="77777777" w:rsidR="0046798B" w:rsidRDefault="0046798B">
            <w:pPr>
              <w:pStyle w:val="TableParagraph"/>
              <w:spacing w:before="3"/>
              <w:rPr>
                <w:sz w:val="23"/>
              </w:rPr>
            </w:pPr>
          </w:p>
          <w:p w14:paraId="743979CC" w14:textId="77777777" w:rsidR="0046798B" w:rsidRDefault="00903B5C">
            <w:pPr>
              <w:pStyle w:val="TableParagraph"/>
              <w:spacing w:before="1"/>
              <w:ind w:left="115"/>
              <w:rPr>
                <w:b/>
                <w:sz w:val="20"/>
              </w:rPr>
            </w:pPr>
            <w:r>
              <w:rPr>
                <w:b/>
                <w:sz w:val="20"/>
              </w:rPr>
              <w:t>hmbtmj</w:t>
            </w:r>
          </w:p>
        </w:tc>
        <w:tc>
          <w:tcPr>
            <w:tcW w:w="1596" w:type="dxa"/>
          </w:tcPr>
          <w:p w14:paraId="5C0288CF" w14:textId="77777777" w:rsidR="0046798B" w:rsidRDefault="0046798B">
            <w:pPr>
              <w:pStyle w:val="TableParagraph"/>
              <w:spacing w:before="3"/>
              <w:rPr>
                <w:sz w:val="23"/>
              </w:rPr>
            </w:pPr>
          </w:p>
          <w:p w14:paraId="68475738" w14:textId="77777777" w:rsidR="0046798B" w:rsidRDefault="00903B5C">
            <w:pPr>
              <w:pStyle w:val="TableParagraph"/>
              <w:spacing w:before="1"/>
              <w:ind w:left="114"/>
              <w:rPr>
                <w:sz w:val="20"/>
              </w:rPr>
            </w:pPr>
            <w:r>
              <w:rPr>
                <w:sz w:val="20"/>
              </w:rPr>
              <w:t>TMJ disorders</w:t>
            </w:r>
          </w:p>
        </w:tc>
        <w:tc>
          <w:tcPr>
            <w:tcW w:w="1285" w:type="dxa"/>
          </w:tcPr>
          <w:p w14:paraId="13EA0060" w14:textId="77777777" w:rsidR="0046798B" w:rsidRDefault="0046798B">
            <w:pPr>
              <w:pStyle w:val="TableParagraph"/>
              <w:spacing w:before="3"/>
              <w:rPr>
                <w:sz w:val="23"/>
              </w:rPr>
            </w:pPr>
          </w:p>
          <w:p w14:paraId="131D0E1D" w14:textId="77777777" w:rsidR="0046798B" w:rsidRDefault="00903B5C">
            <w:pPr>
              <w:pStyle w:val="TableParagraph"/>
              <w:spacing w:before="1"/>
              <w:ind w:left="114"/>
              <w:rPr>
                <w:sz w:val="20"/>
              </w:rPr>
            </w:pPr>
            <w:r>
              <w:rPr>
                <w:sz w:val="20"/>
              </w:rPr>
              <w:t>2006–2008</w:t>
            </w:r>
          </w:p>
        </w:tc>
        <w:tc>
          <w:tcPr>
            <w:tcW w:w="3421" w:type="dxa"/>
          </w:tcPr>
          <w:p w14:paraId="5CB31A97" w14:textId="77777777" w:rsidR="0046798B" w:rsidRDefault="00903B5C">
            <w:pPr>
              <w:pStyle w:val="TableParagraph"/>
              <w:spacing w:before="153"/>
              <w:ind w:left="114" w:right="461"/>
              <w:rPr>
                <w:sz w:val="20"/>
              </w:rPr>
            </w:pPr>
            <w:r>
              <w:rPr>
                <w:sz w:val="20"/>
              </w:rPr>
              <w:t>Health insurance benefit mandates: TMJ disorders (0 = no, 1 = yes)</w:t>
            </w:r>
          </w:p>
        </w:tc>
        <w:tc>
          <w:tcPr>
            <w:tcW w:w="6482" w:type="dxa"/>
          </w:tcPr>
          <w:p w14:paraId="5E100B90"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r w:rsidR="0046798B" w14:paraId="6D2B945F" w14:textId="77777777">
        <w:trPr>
          <w:trHeight w:val="775"/>
        </w:trPr>
        <w:tc>
          <w:tcPr>
            <w:tcW w:w="1711" w:type="dxa"/>
          </w:tcPr>
          <w:p w14:paraId="7E353995" w14:textId="77777777" w:rsidR="0046798B" w:rsidRDefault="0046798B">
            <w:pPr>
              <w:pStyle w:val="TableParagraph"/>
              <w:spacing w:before="9"/>
              <w:rPr>
                <w:sz w:val="23"/>
              </w:rPr>
            </w:pPr>
          </w:p>
          <w:p w14:paraId="5AEEFE9D" w14:textId="77777777" w:rsidR="0046798B" w:rsidRDefault="00903B5C">
            <w:pPr>
              <w:pStyle w:val="TableParagraph"/>
              <w:ind w:left="115"/>
              <w:rPr>
                <w:b/>
                <w:sz w:val="20"/>
              </w:rPr>
            </w:pPr>
            <w:r>
              <w:rPr>
                <w:b/>
                <w:sz w:val="20"/>
              </w:rPr>
              <w:t>hmbwcc</w:t>
            </w:r>
          </w:p>
        </w:tc>
        <w:tc>
          <w:tcPr>
            <w:tcW w:w="1596" w:type="dxa"/>
          </w:tcPr>
          <w:p w14:paraId="1DAAC60C" w14:textId="77777777" w:rsidR="0046798B" w:rsidRDefault="0046798B">
            <w:pPr>
              <w:pStyle w:val="TableParagraph"/>
              <w:spacing w:before="9"/>
              <w:rPr>
                <w:sz w:val="23"/>
              </w:rPr>
            </w:pPr>
          </w:p>
          <w:p w14:paraId="3B7C7B3F" w14:textId="77777777" w:rsidR="0046798B" w:rsidRDefault="00903B5C">
            <w:pPr>
              <w:pStyle w:val="TableParagraph"/>
              <w:ind w:left="114"/>
              <w:rPr>
                <w:sz w:val="20"/>
              </w:rPr>
            </w:pPr>
            <w:r>
              <w:rPr>
                <w:sz w:val="20"/>
              </w:rPr>
              <w:t>Well-child care</w:t>
            </w:r>
          </w:p>
        </w:tc>
        <w:tc>
          <w:tcPr>
            <w:tcW w:w="1285" w:type="dxa"/>
          </w:tcPr>
          <w:p w14:paraId="31910544" w14:textId="77777777" w:rsidR="0046798B" w:rsidRDefault="0046798B">
            <w:pPr>
              <w:pStyle w:val="TableParagraph"/>
              <w:spacing w:before="9"/>
              <w:rPr>
                <w:sz w:val="23"/>
              </w:rPr>
            </w:pPr>
          </w:p>
          <w:p w14:paraId="2383D254" w14:textId="77777777" w:rsidR="0046798B" w:rsidRDefault="00903B5C">
            <w:pPr>
              <w:pStyle w:val="TableParagraph"/>
              <w:ind w:left="114"/>
              <w:rPr>
                <w:sz w:val="20"/>
              </w:rPr>
            </w:pPr>
            <w:r>
              <w:rPr>
                <w:sz w:val="20"/>
              </w:rPr>
              <w:t>2000–2016</w:t>
            </w:r>
          </w:p>
        </w:tc>
        <w:tc>
          <w:tcPr>
            <w:tcW w:w="3421" w:type="dxa"/>
          </w:tcPr>
          <w:p w14:paraId="1328A514" w14:textId="77777777" w:rsidR="0046798B" w:rsidRDefault="00903B5C">
            <w:pPr>
              <w:pStyle w:val="TableParagraph"/>
              <w:spacing w:before="158"/>
              <w:ind w:left="114" w:right="476"/>
              <w:rPr>
                <w:sz w:val="20"/>
              </w:rPr>
            </w:pPr>
            <w:r>
              <w:rPr>
                <w:sz w:val="20"/>
              </w:rPr>
              <w:t>Health insurance benefit mandates: well-child care (0 = no, 1 = yes)</w:t>
            </w:r>
          </w:p>
        </w:tc>
        <w:tc>
          <w:tcPr>
            <w:tcW w:w="6482" w:type="dxa"/>
          </w:tcPr>
          <w:p w14:paraId="1951AB76" w14:textId="77777777" w:rsidR="0046798B" w:rsidRDefault="00903B5C">
            <w:pPr>
              <w:pStyle w:val="TableParagraph"/>
              <w:spacing w:before="43"/>
              <w:ind w:left="114" w:right="272"/>
              <w:rPr>
                <w:sz w:val="20"/>
              </w:rPr>
            </w:pPr>
            <w:r>
              <w:rPr>
                <w:sz w:val="20"/>
              </w:rPr>
              <w:t>Sorens, Jason, Fait Muedini, and William P. Ruger. “State and Local Public Policies in 2006: A New Database.” State Politics &amp; Policy Quarterly 8.3 (2008): 309–26.</w:t>
            </w:r>
          </w:p>
        </w:tc>
      </w:tr>
      <w:tr w:rsidR="0046798B" w14:paraId="06392EDD" w14:textId="77777777">
        <w:trPr>
          <w:trHeight w:val="775"/>
        </w:trPr>
        <w:tc>
          <w:tcPr>
            <w:tcW w:w="1711" w:type="dxa"/>
          </w:tcPr>
          <w:p w14:paraId="3BE7FDCB" w14:textId="77777777" w:rsidR="0046798B" w:rsidRDefault="0046798B">
            <w:pPr>
              <w:pStyle w:val="TableParagraph"/>
              <w:spacing w:before="8"/>
              <w:rPr>
                <w:sz w:val="23"/>
              </w:rPr>
            </w:pPr>
          </w:p>
          <w:p w14:paraId="4E002332" w14:textId="77777777" w:rsidR="0046798B" w:rsidRDefault="00903B5C">
            <w:pPr>
              <w:pStyle w:val="TableParagraph"/>
              <w:spacing w:before="1"/>
              <w:ind w:left="115"/>
              <w:rPr>
                <w:b/>
                <w:sz w:val="20"/>
              </w:rPr>
            </w:pPr>
            <w:r>
              <w:rPr>
                <w:b/>
                <w:sz w:val="20"/>
              </w:rPr>
              <w:t>hmbwt</w:t>
            </w:r>
          </w:p>
        </w:tc>
        <w:tc>
          <w:tcPr>
            <w:tcW w:w="1596" w:type="dxa"/>
          </w:tcPr>
          <w:p w14:paraId="765315D2" w14:textId="77777777" w:rsidR="0046798B" w:rsidRDefault="0046798B">
            <w:pPr>
              <w:pStyle w:val="TableParagraph"/>
              <w:spacing w:before="8"/>
              <w:rPr>
                <w:sz w:val="23"/>
              </w:rPr>
            </w:pPr>
          </w:p>
          <w:p w14:paraId="6C78FF44" w14:textId="77777777" w:rsidR="0046798B" w:rsidRDefault="00903B5C">
            <w:pPr>
              <w:pStyle w:val="TableParagraph"/>
              <w:spacing w:before="1"/>
              <w:ind w:left="114"/>
              <w:rPr>
                <w:sz w:val="20"/>
              </w:rPr>
            </w:pPr>
            <w:r>
              <w:rPr>
                <w:sz w:val="20"/>
              </w:rPr>
              <w:t>Wilm’s tumor</w:t>
            </w:r>
          </w:p>
        </w:tc>
        <w:tc>
          <w:tcPr>
            <w:tcW w:w="1285" w:type="dxa"/>
          </w:tcPr>
          <w:p w14:paraId="78E5B5C8" w14:textId="77777777" w:rsidR="0046798B" w:rsidRDefault="0046798B">
            <w:pPr>
              <w:pStyle w:val="TableParagraph"/>
              <w:spacing w:before="8"/>
              <w:rPr>
                <w:sz w:val="23"/>
              </w:rPr>
            </w:pPr>
          </w:p>
          <w:p w14:paraId="1F7BB105" w14:textId="77777777" w:rsidR="0046798B" w:rsidRDefault="00903B5C">
            <w:pPr>
              <w:pStyle w:val="TableParagraph"/>
              <w:spacing w:before="1"/>
              <w:ind w:left="114"/>
              <w:rPr>
                <w:sz w:val="20"/>
              </w:rPr>
            </w:pPr>
            <w:r>
              <w:rPr>
                <w:sz w:val="20"/>
              </w:rPr>
              <w:t>2006–2008</w:t>
            </w:r>
          </w:p>
        </w:tc>
        <w:tc>
          <w:tcPr>
            <w:tcW w:w="3421" w:type="dxa"/>
          </w:tcPr>
          <w:p w14:paraId="6742CDED" w14:textId="77777777" w:rsidR="0046798B" w:rsidRDefault="00903B5C">
            <w:pPr>
              <w:pStyle w:val="TableParagraph"/>
              <w:spacing w:before="158"/>
              <w:ind w:left="114" w:right="461"/>
              <w:rPr>
                <w:sz w:val="20"/>
              </w:rPr>
            </w:pPr>
            <w:r>
              <w:rPr>
                <w:sz w:val="20"/>
              </w:rPr>
              <w:t>Health insurance benefit mandates: Wilm’s tumor (0 = no, 1 = yes)</w:t>
            </w:r>
          </w:p>
        </w:tc>
        <w:tc>
          <w:tcPr>
            <w:tcW w:w="6482" w:type="dxa"/>
          </w:tcPr>
          <w:p w14:paraId="08E2F762" w14:textId="77777777" w:rsidR="0046798B" w:rsidRDefault="00903B5C">
            <w:pPr>
              <w:pStyle w:val="TableParagraph"/>
              <w:spacing w:before="43"/>
              <w:ind w:left="114"/>
              <w:rPr>
                <w:sz w:val="20"/>
              </w:rPr>
            </w:pPr>
            <w:r>
              <w:rPr>
                <w:sz w:val="20"/>
              </w:rPr>
              <w:t>Sorens, Jason, Fait Muedini, and William P. Ruger. “State and Local Public Policies in 2006: A New Database.” State Politics &amp; Policy Quarterly 8.3 (2008): 309–26.</w:t>
            </w:r>
          </w:p>
        </w:tc>
      </w:tr>
      <w:tr w:rsidR="0046798B" w14:paraId="3E5618B2" w14:textId="77777777">
        <w:trPr>
          <w:trHeight w:val="780"/>
        </w:trPr>
        <w:tc>
          <w:tcPr>
            <w:tcW w:w="1711" w:type="dxa"/>
          </w:tcPr>
          <w:p w14:paraId="5AC799F8" w14:textId="77777777" w:rsidR="0046798B" w:rsidRDefault="0046798B">
            <w:pPr>
              <w:pStyle w:val="TableParagraph"/>
              <w:spacing w:before="8"/>
              <w:rPr>
                <w:sz w:val="23"/>
              </w:rPr>
            </w:pPr>
          </w:p>
          <w:p w14:paraId="366A9616" w14:textId="77777777" w:rsidR="0046798B" w:rsidRDefault="00903B5C">
            <w:pPr>
              <w:pStyle w:val="TableParagraph"/>
              <w:spacing w:before="1"/>
              <w:ind w:left="115"/>
              <w:rPr>
                <w:b/>
                <w:sz w:val="20"/>
              </w:rPr>
            </w:pPr>
            <w:r>
              <w:rPr>
                <w:b/>
                <w:sz w:val="20"/>
              </w:rPr>
              <w:t>hmbaut</w:t>
            </w:r>
          </w:p>
        </w:tc>
        <w:tc>
          <w:tcPr>
            <w:tcW w:w="1596" w:type="dxa"/>
          </w:tcPr>
          <w:p w14:paraId="320C9F69" w14:textId="77777777" w:rsidR="0046798B" w:rsidRDefault="0046798B">
            <w:pPr>
              <w:pStyle w:val="TableParagraph"/>
              <w:spacing w:before="8"/>
              <w:rPr>
                <w:sz w:val="23"/>
              </w:rPr>
            </w:pPr>
          </w:p>
          <w:p w14:paraId="294C5BAF" w14:textId="77777777" w:rsidR="0046798B" w:rsidRDefault="00903B5C">
            <w:pPr>
              <w:pStyle w:val="TableParagraph"/>
              <w:spacing w:before="1"/>
              <w:ind w:left="114"/>
              <w:rPr>
                <w:sz w:val="20"/>
              </w:rPr>
            </w:pPr>
            <w:r>
              <w:rPr>
                <w:sz w:val="20"/>
              </w:rPr>
              <w:t>Autism</w:t>
            </w:r>
          </w:p>
        </w:tc>
        <w:tc>
          <w:tcPr>
            <w:tcW w:w="1285" w:type="dxa"/>
          </w:tcPr>
          <w:p w14:paraId="7166088F" w14:textId="77777777" w:rsidR="0046798B" w:rsidRDefault="0046798B">
            <w:pPr>
              <w:pStyle w:val="TableParagraph"/>
              <w:spacing w:before="8"/>
              <w:rPr>
                <w:sz w:val="23"/>
              </w:rPr>
            </w:pPr>
          </w:p>
          <w:p w14:paraId="72635ACB" w14:textId="77777777" w:rsidR="0046798B" w:rsidRDefault="00903B5C">
            <w:pPr>
              <w:pStyle w:val="TableParagraph"/>
              <w:spacing w:before="1"/>
              <w:ind w:left="114"/>
              <w:rPr>
                <w:sz w:val="20"/>
              </w:rPr>
            </w:pPr>
            <w:r>
              <w:rPr>
                <w:sz w:val="20"/>
              </w:rPr>
              <w:t>2006–2008</w:t>
            </w:r>
          </w:p>
        </w:tc>
        <w:tc>
          <w:tcPr>
            <w:tcW w:w="3421" w:type="dxa"/>
          </w:tcPr>
          <w:p w14:paraId="689F1FE5" w14:textId="77777777" w:rsidR="0046798B" w:rsidRDefault="00903B5C">
            <w:pPr>
              <w:pStyle w:val="TableParagraph"/>
              <w:spacing w:before="158"/>
              <w:ind w:left="114" w:right="461"/>
              <w:rPr>
                <w:sz w:val="20"/>
              </w:rPr>
            </w:pPr>
            <w:r>
              <w:rPr>
                <w:sz w:val="20"/>
              </w:rPr>
              <w:t>Health insurance benefit mandates: autism (0 = no, 1 = yes)</w:t>
            </w:r>
          </w:p>
        </w:tc>
        <w:tc>
          <w:tcPr>
            <w:tcW w:w="6482" w:type="dxa"/>
          </w:tcPr>
          <w:p w14:paraId="3B9781AA" w14:textId="77777777" w:rsidR="0046798B" w:rsidRDefault="00903B5C">
            <w:pPr>
              <w:pStyle w:val="TableParagraph"/>
              <w:spacing w:before="43"/>
              <w:ind w:left="114"/>
              <w:rPr>
                <w:sz w:val="20"/>
              </w:rPr>
            </w:pPr>
            <w:r>
              <w:rPr>
                <w:sz w:val="20"/>
              </w:rPr>
              <w:t>Sorens, Jason, Fait Muedini, and William P. Ruger. “State and Local Public Policies in 2006: A New Database.” State Politics &amp; Policy Quarterly 8.3 (2008): 309–26.</w:t>
            </w:r>
          </w:p>
        </w:tc>
      </w:tr>
      <w:tr w:rsidR="0046798B" w14:paraId="2B0249FA" w14:textId="77777777">
        <w:trPr>
          <w:trHeight w:val="775"/>
        </w:trPr>
        <w:tc>
          <w:tcPr>
            <w:tcW w:w="1711" w:type="dxa"/>
          </w:tcPr>
          <w:p w14:paraId="07FE3883" w14:textId="77777777" w:rsidR="0046798B" w:rsidRDefault="0046798B">
            <w:pPr>
              <w:pStyle w:val="TableParagraph"/>
              <w:spacing w:before="4"/>
              <w:rPr>
                <w:sz w:val="23"/>
              </w:rPr>
            </w:pPr>
          </w:p>
          <w:p w14:paraId="3ECAB6E2" w14:textId="77777777" w:rsidR="0046798B" w:rsidRDefault="00903B5C">
            <w:pPr>
              <w:pStyle w:val="TableParagraph"/>
              <w:ind w:left="115"/>
              <w:rPr>
                <w:b/>
                <w:sz w:val="20"/>
              </w:rPr>
            </w:pPr>
            <w:r>
              <w:rPr>
                <w:b/>
                <w:sz w:val="20"/>
              </w:rPr>
              <w:t>hmbche</w:t>
            </w:r>
          </w:p>
        </w:tc>
        <w:tc>
          <w:tcPr>
            <w:tcW w:w="1596" w:type="dxa"/>
          </w:tcPr>
          <w:p w14:paraId="01D6C5E9" w14:textId="77777777" w:rsidR="0046798B" w:rsidRDefault="0046798B">
            <w:pPr>
              <w:pStyle w:val="TableParagraph"/>
              <w:spacing w:before="4"/>
              <w:rPr>
                <w:sz w:val="23"/>
              </w:rPr>
            </w:pPr>
          </w:p>
          <w:p w14:paraId="27732BE6" w14:textId="77777777" w:rsidR="0046798B" w:rsidRDefault="00903B5C">
            <w:pPr>
              <w:pStyle w:val="TableParagraph"/>
              <w:ind w:left="114"/>
              <w:rPr>
                <w:sz w:val="20"/>
              </w:rPr>
            </w:pPr>
            <w:r>
              <w:rPr>
                <w:sz w:val="20"/>
              </w:rPr>
              <w:t>Chemotherapy</w:t>
            </w:r>
          </w:p>
        </w:tc>
        <w:tc>
          <w:tcPr>
            <w:tcW w:w="1285" w:type="dxa"/>
          </w:tcPr>
          <w:p w14:paraId="0867EF80" w14:textId="77777777" w:rsidR="0046798B" w:rsidRDefault="0046798B">
            <w:pPr>
              <w:pStyle w:val="TableParagraph"/>
              <w:spacing w:before="4"/>
              <w:rPr>
                <w:sz w:val="23"/>
              </w:rPr>
            </w:pPr>
          </w:p>
          <w:p w14:paraId="165BBCEC" w14:textId="77777777" w:rsidR="0046798B" w:rsidRDefault="00903B5C">
            <w:pPr>
              <w:pStyle w:val="TableParagraph"/>
              <w:ind w:left="114"/>
              <w:rPr>
                <w:sz w:val="20"/>
              </w:rPr>
            </w:pPr>
            <w:r>
              <w:rPr>
                <w:sz w:val="20"/>
              </w:rPr>
              <w:t>2006–2008</w:t>
            </w:r>
          </w:p>
        </w:tc>
        <w:tc>
          <w:tcPr>
            <w:tcW w:w="3421" w:type="dxa"/>
          </w:tcPr>
          <w:p w14:paraId="586B5EC8" w14:textId="77777777" w:rsidR="0046798B" w:rsidRDefault="00903B5C">
            <w:pPr>
              <w:pStyle w:val="TableParagraph"/>
              <w:spacing w:before="153"/>
              <w:ind w:left="114" w:right="461"/>
              <w:rPr>
                <w:sz w:val="20"/>
              </w:rPr>
            </w:pPr>
            <w:r>
              <w:rPr>
                <w:sz w:val="20"/>
              </w:rPr>
              <w:t>Health insurance benefit mandates: chemotherapy (0 = no, 1 = yes)</w:t>
            </w:r>
          </w:p>
        </w:tc>
        <w:tc>
          <w:tcPr>
            <w:tcW w:w="6482" w:type="dxa"/>
          </w:tcPr>
          <w:p w14:paraId="2A200F93"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r w:rsidR="0046798B" w14:paraId="7ACFD9F7" w14:textId="77777777">
        <w:trPr>
          <w:trHeight w:val="775"/>
        </w:trPr>
        <w:tc>
          <w:tcPr>
            <w:tcW w:w="1711" w:type="dxa"/>
          </w:tcPr>
          <w:p w14:paraId="11DCD1EB" w14:textId="77777777" w:rsidR="0046798B" w:rsidRDefault="0046798B">
            <w:pPr>
              <w:pStyle w:val="TableParagraph"/>
              <w:spacing w:before="3"/>
              <w:rPr>
                <w:sz w:val="23"/>
              </w:rPr>
            </w:pPr>
          </w:p>
          <w:p w14:paraId="5F6DCC88" w14:textId="77777777" w:rsidR="0046798B" w:rsidRDefault="00903B5C">
            <w:pPr>
              <w:pStyle w:val="TableParagraph"/>
              <w:ind w:left="115"/>
              <w:rPr>
                <w:b/>
                <w:sz w:val="20"/>
              </w:rPr>
            </w:pPr>
            <w:r>
              <w:rPr>
                <w:b/>
                <w:sz w:val="20"/>
              </w:rPr>
              <w:t>hmbchl</w:t>
            </w:r>
          </w:p>
        </w:tc>
        <w:tc>
          <w:tcPr>
            <w:tcW w:w="1596" w:type="dxa"/>
          </w:tcPr>
          <w:p w14:paraId="124C6509" w14:textId="77777777" w:rsidR="0046798B" w:rsidRDefault="0046798B">
            <w:pPr>
              <w:pStyle w:val="TableParagraph"/>
              <w:spacing w:before="3"/>
              <w:rPr>
                <w:sz w:val="23"/>
              </w:rPr>
            </w:pPr>
          </w:p>
          <w:p w14:paraId="17CCC5C4" w14:textId="77777777" w:rsidR="0046798B" w:rsidRDefault="00903B5C">
            <w:pPr>
              <w:pStyle w:val="TableParagraph"/>
              <w:ind w:left="114"/>
              <w:rPr>
                <w:sz w:val="20"/>
              </w:rPr>
            </w:pPr>
            <w:r>
              <w:rPr>
                <w:sz w:val="20"/>
              </w:rPr>
              <w:t>Chlamydia</w:t>
            </w:r>
          </w:p>
        </w:tc>
        <w:tc>
          <w:tcPr>
            <w:tcW w:w="1285" w:type="dxa"/>
          </w:tcPr>
          <w:p w14:paraId="25CBAC39" w14:textId="77777777" w:rsidR="0046798B" w:rsidRDefault="0046798B">
            <w:pPr>
              <w:pStyle w:val="TableParagraph"/>
              <w:spacing w:before="3"/>
              <w:rPr>
                <w:sz w:val="23"/>
              </w:rPr>
            </w:pPr>
          </w:p>
          <w:p w14:paraId="119ACD25" w14:textId="77777777" w:rsidR="0046798B" w:rsidRDefault="00903B5C">
            <w:pPr>
              <w:pStyle w:val="TableParagraph"/>
              <w:ind w:left="114"/>
              <w:rPr>
                <w:sz w:val="20"/>
              </w:rPr>
            </w:pPr>
            <w:r>
              <w:rPr>
                <w:sz w:val="20"/>
              </w:rPr>
              <w:t>2006–2008</w:t>
            </w:r>
          </w:p>
        </w:tc>
        <w:tc>
          <w:tcPr>
            <w:tcW w:w="3421" w:type="dxa"/>
          </w:tcPr>
          <w:p w14:paraId="7ABCAE06" w14:textId="77777777" w:rsidR="0046798B" w:rsidRDefault="00903B5C">
            <w:pPr>
              <w:pStyle w:val="TableParagraph"/>
              <w:spacing w:before="153"/>
              <w:ind w:left="114" w:right="461"/>
              <w:rPr>
                <w:sz w:val="20"/>
              </w:rPr>
            </w:pPr>
            <w:r>
              <w:rPr>
                <w:sz w:val="20"/>
              </w:rPr>
              <w:t>Health insurance benefit mandates: chlamydia (0 = no, 1 = yes)</w:t>
            </w:r>
          </w:p>
        </w:tc>
        <w:tc>
          <w:tcPr>
            <w:tcW w:w="6482" w:type="dxa"/>
          </w:tcPr>
          <w:p w14:paraId="336D151D"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r w:rsidR="0046798B" w14:paraId="788805C0" w14:textId="77777777">
        <w:trPr>
          <w:trHeight w:val="775"/>
        </w:trPr>
        <w:tc>
          <w:tcPr>
            <w:tcW w:w="1711" w:type="dxa"/>
          </w:tcPr>
          <w:p w14:paraId="12E9D02B" w14:textId="77777777" w:rsidR="0046798B" w:rsidRDefault="0046798B">
            <w:pPr>
              <w:pStyle w:val="TableParagraph"/>
              <w:spacing w:before="3"/>
              <w:rPr>
                <w:sz w:val="23"/>
              </w:rPr>
            </w:pPr>
          </w:p>
          <w:p w14:paraId="2EE3C9C7" w14:textId="77777777" w:rsidR="0046798B" w:rsidRDefault="00903B5C">
            <w:pPr>
              <w:pStyle w:val="TableParagraph"/>
              <w:spacing w:before="1"/>
              <w:ind w:left="115"/>
              <w:rPr>
                <w:b/>
                <w:sz w:val="20"/>
              </w:rPr>
            </w:pPr>
            <w:r>
              <w:rPr>
                <w:b/>
                <w:sz w:val="20"/>
              </w:rPr>
              <w:t>hmbcirc</w:t>
            </w:r>
          </w:p>
        </w:tc>
        <w:tc>
          <w:tcPr>
            <w:tcW w:w="1596" w:type="dxa"/>
          </w:tcPr>
          <w:p w14:paraId="73C0AE0F" w14:textId="77777777" w:rsidR="0046798B" w:rsidRDefault="0046798B">
            <w:pPr>
              <w:pStyle w:val="TableParagraph"/>
              <w:spacing w:before="3"/>
              <w:rPr>
                <w:sz w:val="23"/>
              </w:rPr>
            </w:pPr>
          </w:p>
          <w:p w14:paraId="41E25C53" w14:textId="77777777" w:rsidR="0046798B" w:rsidRDefault="00903B5C">
            <w:pPr>
              <w:pStyle w:val="TableParagraph"/>
              <w:spacing w:before="1"/>
              <w:ind w:left="114"/>
              <w:rPr>
                <w:sz w:val="20"/>
              </w:rPr>
            </w:pPr>
            <w:r>
              <w:rPr>
                <w:sz w:val="20"/>
              </w:rPr>
              <w:t>Circumcision</w:t>
            </w:r>
          </w:p>
        </w:tc>
        <w:tc>
          <w:tcPr>
            <w:tcW w:w="1285" w:type="dxa"/>
          </w:tcPr>
          <w:p w14:paraId="23FCC521" w14:textId="77777777" w:rsidR="0046798B" w:rsidRDefault="0046798B">
            <w:pPr>
              <w:pStyle w:val="TableParagraph"/>
              <w:spacing w:before="3"/>
              <w:rPr>
                <w:sz w:val="23"/>
              </w:rPr>
            </w:pPr>
          </w:p>
          <w:p w14:paraId="332348D3" w14:textId="77777777" w:rsidR="0046798B" w:rsidRDefault="00903B5C">
            <w:pPr>
              <w:pStyle w:val="TableParagraph"/>
              <w:spacing w:before="1"/>
              <w:ind w:left="114"/>
              <w:rPr>
                <w:sz w:val="20"/>
              </w:rPr>
            </w:pPr>
            <w:r>
              <w:rPr>
                <w:sz w:val="20"/>
              </w:rPr>
              <w:t>2006–2008</w:t>
            </w:r>
          </w:p>
        </w:tc>
        <w:tc>
          <w:tcPr>
            <w:tcW w:w="3421" w:type="dxa"/>
          </w:tcPr>
          <w:p w14:paraId="6BAD8537" w14:textId="77777777" w:rsidR="0046798B" w:rsidRDefault="00903B5C">
            <w:pPr>
              <w:pStyle w:val="TableParagraph"/>
              <w:spacing w:before="153"/>
              <w:ind w:left="114" w:right="461"/>
              <w:rPr>
                <w:sz w:val="20"/>
              </w:rPr>
            </w:pPr>
            <w:r>
              <w:rPr>
                <w:sz w:val="20"/>
              </w:rPr>
              <w:t>Health insurance benefit mandates: circumcision (0 = no, 1 = yes)</w:t>
            </w:r>
          </w:p>
        </w:tc>
        <w:tc>
          <w:tcPr>
            <w:tcW w:w="6482" w:type="dxa"/>
          </w:tcPr>
          <w:p w14:paraId="7ADC8284"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bl>
    <w:p w14:paraId="15518413" w14:textId="77777777" w:rsidR="0046798B" w:rsidRDefault="0046798B">
      <w:pPr>
        <w:rPr>
          <w:sz w:val="20"/>
        </w:rPr>
        <w:sectPr w:rsidR="0046798B">
          <w:pgSz w:w="15840" w:h="12240" w:orient="landscape"/>
          <w:pgMar w:top="1220" w:right="300" w:bottom="980" w:left="820" w:header="730" w:footer="787" w:gutter="0"/>
          <w:cols w:space="720"/>
        </w:sectPr>
      </w:pPr>
    </w:p>
    <w:p w14:paraId="734480FA"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3DB9196E" w14:textId="77777777">
        <w:trPr>
          <w:trHeight w:val="775"/>
        </w:trPr>
        <w:tc>
          <w:tcPr>
            <w:tcW w:w="1711" w:type="dxa"/>
          </w:tcPr>
          <w:p w14:paraId="2614D9E1" w14:textId="77777777" w:rsidR="0046798B" w:rsidRDefault="0046798B">
            <w:pPr>
              <w:pStyle w:val="TableParagraph"/>
              <w:spacing w:before="9"/>
              <w:rPr>
                <w:sz w:val="23"/>
              </w:rPr>
            </w:pPr>
          </w:p>
          <w:p w14:paraId="08F74550" w14:textId="77777777" w:rsidR="0046798B" w:rsidRDefault="00903B5C">
            <w:pPr>
              <w:pStyle w:val="TableParagraph"/>
              <w:ind w:left="115"/>
              <w:rPr>
                <w:b/>
                <w:sz w:val="20"/>
              </w:rPr>
            </w:pPr>
            <w:r>
              <w:rPr>
                <w:b/>
                <w:sz w:val="20"/>
              </w:rPr>
              <w:t>hmbcont</w:t>
            </w:r>
          </w:p>
        </w:tc>
        <w:tc>
          <w:tcPr>
            <w:tcW w:w="1596" w:type="dxa"/>
          </w:tcPr>
          <w:p w14:paraId="112AC6DD" w14:textId="77777777" w:rsidR="0046798B" w:rsidRDefault="0046798B">
            <w:pPr>
              <w:pStyle w:val="TableParagraph"/>
              <w:spacing w:before="9"/>
              <w:rPr>
                <w:sz w:val="23"/>
              </w:rPr>
            </w:pPr>
          </w:p>
          <w:p w14:paraId="311BB3A0" w14:textId="77777777" w:rsidR="0046798B" w:rsidRDefault="00903B5C">
            <w:pPr>
              <w:pStyle w:val="TableParagraph"/>
              <w:ind w:left="114"/>
              <w:rPr>
                <w:sz w:val="20"/>
              </w:rPr>
            </w:pPr>
            <w:r>
              <w:rPr>
                <w:sz w:val="20"/>
              </w:rPr>
              <w:t>Contraceptives</w:t>
            </w:r>
          </w:p>
        </w:tc>
        <w:tc>
          <w:tcPr>
            <w:tcW w:w="1285" w:type="dxa"/>
          </w:tcPr>
          <w:p w14:paraId="0EC6C277" w14:textId="77777777" w:rsidR="0046798B" w:rsidRDefault="0046798B">
            <w:pPr>
              <w:pStyle w:val="TableParagraph"/>
              <w:spacing w:before="9"/>
              <w:rPr>
                <w:sz w:val="23"/>
              </w:rPr>
            </w:pPr>
          </w:p>
          <w:p w14:paraId="7A1F11B0" w14:textId="77777777" w:rsidR="0046798B" w:rsidRDefault="00903B5C">
            <w:pPr>
              <w:pStyle w:val="TableParagraph"/>
              <w:ind w:left="114"/>
              <w:rPr>
                <w:sz w:val="20"/>
              </w:rPr>
            </w:pPr>
            <w:r>
              <w:rPr>
                <w:sz w:val="20"/>
              </w:rPr>
              <w:t>2000–2016</w:t>
            </w:r>
          </w:p>
        </w:tc>
        <w:tc>
          <w:tcPr>
            <w:tcW w:w="3421" w:type="dxa"/>
          </w:tcPr>
          <w:p w14:paraId="14F69190" w14:textId="77777777" w:rsidR="0046798B" w:rsidRDefault="00903B5C">
            <w:pPr>
              <w:pStyle w:val="TableParagraph"/>
              <w:spacing w:before="158"/>
              <w:ind w:left="114" w:right="461"/>
              <w:rPr>
                <w:sz w:val="20"/>
              </w:rPr>
            </w:pPr>
            <w:r>
              <w:rPr>
                <w:sz w:val="20"/>
              </w:rPr>
              <w:t>Health insurance benefit mandates: contraceptives (0 = no, 1 = yes)</w:t>
            </w:r>
          </w:p>
        </w:tc>
        <w:tc>
          <w:tcPr>
            <w:tcW w:w="6482" w:type="dxa"/>
          </w:tcPr>
          <w:p w14:paraId="523B0845" w14:textId="77777777" w:rsidR="0046798B" w:rsidRDefault="00903B5C">
            <w:pPr>
              <w:pStyle w:val="TableParagraph"/>
              <w:spacing w:before="43"/>
              <w:ind w:left="114" w:right="272"/>
              <w:rPr>
                <w:sz w:val="20"/>
              </w:rPr>
            </w:pPr>
            <w:r>
              <w:rPr>
                <w:sz w:val="20"/>
              </w:rPr>
              <w:t>Sorens, Jason, Fait Muedini, and William P. Ruger. “State and Local Public Policies in 2006: A New Database.” State Politics &amp; Policy Quarterly 8.3 (2008): 309–26.</w:t>
            </w:r>
          </w:p>
        </w:tc>
      </w:tr>
      <w:tr w:rsidR="0046798B" w14:paraId="49876BCD" w14:textId="77777777">
        <w:trPr>
          <w:trHeight w:val="775"/>
        </w:trPr>
        <w:tc>
          <w:tcPr>
            <w:tcW w:w="1711" w:type="dxa"/>
          </w:tcPr>
          <w:p w14:paraId="01116D0D" w14:textId="77777777" w:rsidR="0046798B" w:rsidRDefault="0046798B">
            <w:pPr>
              <w:pStyle w:val="TableParagraph"/>
              <w:spacing w:before="8"/>
              <w:rPr>
                <w:sz w:val="23"/>
              </w:rPr>
            </w:pPr>
          </w:p>
          <w:p w14:paraId="14914845" w14:textId="77777777" w:rsidR="0046798B" w:rsidRDefault="00903B5C">
            <w:pPr>
              <w:pStyle w:val="TableParagraph"/>
              <w:spacing w:before="1"/>
              <w:ind w:left="115"/>
              <w:rPr>
                <w:b/>
                <w:sz w:val="20"/>
              </w:rPr>
            </w:pPr>
            <w:r>
              <w:rPr>
                <w:b/>
                <w:sz w:val="20"/>
              </w:rPr>
              <w:t>hmbmamm</w:t>
            </w:r>
          </w:p>
        </w:tc>
        <w:tc>
          <w:tcPr>
            <w:tcW w:w="1596" w:type="dxa"/>
          </w:tcPr>
          <w:p w14:paraId="248E298E" w14:textId="77777777" w:rsidR="0046798B" w:rsidRDefault="0046798B">
            <w:pPr>
              <w:pStyle w:val="TableParagraph"/>
              <w:spacing w:before="8"/>
              <w:rPr>
                <w:sz w:val="23"/>
              </w:rPr>
            </w:pPr>
          </w:p>
          <w:p w14:paraId="7CDCEB2F" w14:textId="77777777" w:rsidR="0046798B" w:rsidRDefault="00903B5C">
            <w:pPr>
              <w:pStyle w:val="TableParagraph"/>
              <w:spacing w:before="1"/>
              <w:ind w:left="114"/>
              <w:rPr>
                <w:sz w:val="20"/>
              </w:rPr>
            </w:pPr>
            <w:r>
              <w:rPr>
                <w:sz w:val="20"/>
              </w:rPr>
              <w:t>Mammogram</w:t>
            </w:r>
          </w:p>
        </w:tc>
        <w:tc>
          <w:tcPr>
            <w:tcW w:w="1285" w:type="dxa"/>
          </w:tcPr>
          <w:p w14:paraId="42377448" w14:textId="77777777" w:rsidR="0046798B" w:rsidRDefault="0046798B">
            <w:pPr>
              <w:pStyle w:val="TableParagraph"/>
              <w:spacing w:before="8"/>
              <w:rPr>
                <w:sz w:val="23"/>
              </w:rPr>
            </w:pPr>
          </w:p>
          <w:p w14:paraId="6474B64F" w14:textId="77777777" w:rsidR="0046798B" w:rsidRDefault="00903B5C">
            <w:pPr>
              <w:pStyle w:val="TableParagraph"/>
              <w:spacing w:before="1"/>
              <w:ind w:left="114"/>
              <w:rPr>
                <w:sz w:val="20"/>
              </w:rPr>
            </w:pPr>
            <w:r>
              <w:rPr>
                <w:sz w:val="20"/>
              </w:rPr>
              <w:t>2006–2016</w:t>
            </w:r>
          </w:p>
        </w:tc>
        <w:tc>
          <w:tcPr>
            <w:tcW w:w="3421" w:type="dxa"/>
          </w:tcPr>
          <w:p w14:paraId="6C82F1D4" w14:textId="77777777" w:rsidR="0046798B" w:rsidRDefault="00903B5C">
            <w:pPr>
              <w:pStyle w:val="TableParagraph"/>
              <w:spacing w:before="158"/>
              <w:ind w:left="114" w:right="461"/>
              <w:rPr>
                <w:sz w:val="20"/>
              </w:rPr>
            </w:pPr>
            <w:r>
              <w:rPr>
                <w:sz w:val="20"/>
              </w:rPr>
              <w:t>Health insurance benefit mandates: mammogram (0 = no, 1 = yes)</w:t>
            </w:r>
          </w:p>
        </w:tc>
        <w:tc>
          <w:tcPr>
            <w:tcW w:w="6482" w:type="dxa"/>
          </w:tcPr>
          <w:p w14:paraId="768438E4" w14:textId="77777777" w:rsidR="0046798B" w:rsidRDefault="00903B5C">
            <w:pPr>
              <w:pStyle w:val="TableParagraph"/>
              <w:spacing w:before="43"/>
              <w:ind w:left="114" w:right="272"/>
              <w:rPr>
                <w:sz w:val="20"/>
              </w:rPr>
            </w:pPr>
            <w:r>
              <w:rPr>
                <w:sz w:val="20"/>
              </w:rPr>
              <w:t>Sorens, Jason, Fait Muedini, and William P. Ruger. “State and Local Public Policies in 2006: A New Database.” State Politics &amp; Policy Quarterly 8.3 (2008): 309–26.</w:t>
            </w:r>
          </w:p>
        </w:tc>
      </w:tr>
      <w:tr w:rsidR="0046798B" w14:paraId="35A87447" w14:textId="77777777">
        <w:trPr>
          <w:trHeight w:val="780"/>
        </w:trPr>
        <w:tc>
          <w:tcPr>
            <w:tcW w:w="1711" w:type="dxa"/>
          </w:tcPr>
          <w:p w14:paraId="6B3F83BE" w14:textId="77777777" w:rsidR="0046798B" w:rsidRDefault="0046798B">
            <w:pPr>
              <w:pStyle w:val="TableParagraph"/>
              <w:spacing w:before="9"/>
              <w:rPr>
                <w:sz w:val="23"/>
              </w:rPr>
            </w:pPr>
          </w:p>
          <w:p w14:paraId="7EADFBEB" w14:textId="77777777" w:rsidR="0046798B" w:rsidRDefault="00903B5C">
            <w:pPr>
              <w:pStyle w:val="TableParagraph"/>
              <w:ind w:left="115"/>
              <w:rPr>
                <w:b/>
                <w:sz w:val="20"/>
              </w:rPr>
            </w:pPr>
            <w:r>
              <w:rPr>
                <w:b/>
                <w:sz w:val="20"/>
              </w:rPr>
              <w:t>hmbmat</w:t>
            </w:r>
          </w:p>
        </w:tc>
        <w:tc>
          <w:tcPr>
            <w:tcW w:w="1596" w:type="dxa"/>
          </w:tcPr>
          <w:p w14:paraId="73A655C9" w14:textId="77777777" w:rsidR="0046798B" w:rsidRDefault="0046798B">
            <w:pPr>
              <w:pStyle w:val="TableParagraph"/>
              <w:spacing w:before="9"/>
              <w:rPr>
                <w:sz w:val="23"/>
              </w:rPr>
            </w:pPr>
          </w:p>
          <w:p w14:paraId="4F36041E" w14:textId="77777777" w:rsidR="0046798B" w:rsidRDefault="00903B5C">
            <w:pPr>
              <w:pStyle w:val="TableParagraph"/>
              <w:ind w:left="114"/>
              <w:rPr>
                <w:sz w:val="20"/>
              </w:rPr>
            </w:pPr>
            <w:r>
              <w:rPr>
                <w:sz w:val="20"/>
              </w:rPr>
              <w:t>Maternity</w:t>
            </w:r>
          </w:p>
        </w:tc>
        <w:tc>
          <w:tcPr>
            <w:tcW w:w="1285" w:type="dxa"/>
          </w:tcPr>
          <w:p w14:paraId="6648D5BA" w14:textId="77777777" w:rsidR="0046798B" w:rsidRDefault="0046798B">
            <w:pPr>
              <w:pStyle w:val="TableParagraph"/>
              <w:spacing w:before="9"/>
              <w:rPr>
                <w:sz w:val="23"/>
              </w:rPr>
            </w:pPr>
          </w:p>
          <w:p w14:paraId="133C30D1" w14:textId="77777777" w:rsidR="0046798B" w:rsidRDefault="00903B5C">
            <w:pPr>
              <w:pStyle w:val="TableParagraph"/>
              <w:ind w:left="114"/>
              <w:rPr>
                <w:sz w:val="20"/>
              </w:rPr>
            </w:pPr>
            <w:r>
              <w:rPr>
                <w:sz w:val="20"/>
              </w:rPr>
              <w:t>2000–2016</w:t>
            </w:r>
          </w:p>
        </w:tc>
        <w:tc>
          <w:tcPr>
            <w:tcW w:w="3421" w:type="dxa"/>
          </w:tcPr>
          <w:p w14:paraId="07297927" w14:textId="77777777" w:rsidR="0046798B" w:rsidRDefault="00903B5C">
            <w:pPr>
              <w:pStyle w:val="TableParagraph"/>
              <w:spacing w:before="159"/>
              <w:ind w:left="114" w:right="461"/>
              <w:rPr>
                <w:sz w:val="20"/>
              </w:rPr>
            </w:pPr>
            <w:r>
              <w:rPr>
                <w:sz w:val="20"/>
              </w:rPr>
              <w:t>Health insurance benefit mandates: maternity (0 = no, 1 = yes)</w:t>
            </w:r>
          </w:p>
        </w:tc>
        <w:tc>
          <w:tcPr>
            <w:tcW w:w="6482" w:type="dxa"/>
          </w:tcPr>
          <w:p w14:paraId="5D197B9F" w14:textId="77777777" w:rsidR="0046798B" w:rsidRDefault="00903B5C">
            <w:pPr>
              <w:pStyle w:val="TableParagraph"/>
              <w:spacing w:before="44"/>
              <w:ind w:left="114"/>
              <w:rPr>
                <w:sz w:val="20"/>
              </w:rPr>
            </w:pPr>
            <w:r>
              <w:rPr>
                <w:sz w:val="20"/>
              </w:rPr>
              <w:t>Sorens, Jason, Fait Muedini, and William P. Ruger. “State and Local Public Policies in 2006: A New Database.” State Politics &amp; Policy Quarterly 8.3 (2008): 309–26.</w:t>
            </w:r>
          </w:p>
        </w:tc>
      </w:tr>
      <w:tr w:rsidR="0046798B" w14:paraId="53BD621A" w14:textId="77777777">
        <w:trPr>
          <w:trHeight w:val="775"/>
        </w:trPr>
        <w:tc>
          <w:tcPr>
            <w:tcW w:w="1711" w:type="dxa"/>
          </w:tcPr>
          <w:p w14:paraId="1A81A8C1" w14:textId="77777777" w:rsidR="0046798B" w:rsidRDefault="0046798B">
            <w:pPr>
              <w:pStyle w:val="TableParagraph"/>
              <w:spacing w:before="3"/>
              <w:rPr>
                <w:sz w:val="23"/>
              </w:rPr>
            </w:pPr>
          </w:p>
          <w:p w14:paraId="7B33A93C" w14:textId="77777777" w:rsidR="0046798B" w:rsidRDefault="00903B5C">
            <w:pPr>
              <w:pStyle w:val="TableParagraph"/>
              <w:spacing w:before="1"/>
              <w:ind w:left="115"/>
              <w:rPr>
                <w:b/>
                <w:sz w:val="20"/>
              </w:rPr>
            </w:pPr>
            <w:r>
              <w:rPr>
                <w:b/>
                <w:sz w:val="20"/>
              </w:rPr>
              <w:t>hmbmstay</w:t>
            </w:r>
          </w:p>
        </w:tc>
        <w:tc>
          <w:tcPr>
            <w:tcW w:w="1596" w:type="dxa"/>
          </w:tcPr>
          <w:p w14:paraId="07F05AB0" w14:textId="77777777" w:rsidR="0046798B" w:rsidRDefault="0046798B">
            <w:pPr>
              <w:pStyle w:val="TableParagraph"/>
              <w:spacing w:before="3"/>
              <w:rPr>
                <w:sz w:val="23"/>
              </w:rPr>
            </w:pPr>
          </w:p>
          <w:p w14:paraId="2AD3B707" w14:textId="77777777" w:rsidR="0046798B" w:rsidRDefault="00903B5C">
            <w:pPr>
              <w:pStyle w:val="TableParagraph"/>
              <w:spacing w:before="1"/>
              <w:ind w:left="114"/>
              <w:rPr>
                <w:sz w:val="20"/>
              </w:rPr>
            </w:pPr>
            <w:r>
              <w:rPr>
                <w:sz w:val="20"/>
              </w:rPr>
              <w:t>Mastectomy stay</w:t>
            </w:r>
          </w:p>
        </w:tc>
        <w:tc>
          <w:tcPr>
            <w:tcW w:w="1285" w:type="dxa"/>
          </w:tcPr>
          <w:p w14:paraId="17215E03" w14:textId="77777777" w:rsidR="0046798B" w:rsidRDefault="0046798B">
            <w:pPr>
              <w:pStyle w:val="TableParagraph"/>
              <w:spacing w:before="3"/>
              <w:rPr>
                <w:sz w:val="23"/>
              </w:rPr>
            </w:pPr>
          </w:p>
          <w:p w14:paraId="76206417" w14:textId="77777777" w:rsidR="0046798B" w:rsidRDefault="00903B5C">
            <w:pPr>
              <w:pStyle w:val="TableParagraph"/>
              <w:spacing w:before="1"/>
              <w:ind w:left="114"/>
              <w:rPr>
                <w:sz w:val="20"/>
              </w:rPr>
            </w:pPr>
            <w:r>
              <w:rPr>
                <w:sz w:val="20"/>
              </w:rPr>
              <w:t>2006–2008</w:t>
            </w:r>
          </w:p>
        </w:tc>
        <w:tc>
          <w:tcPr>
            <w:tcW w:w="3421" w:type="dxa"/>
          </w:tcPr>
          <w:p w14:paraId="53ACBFBD" w14:textId="77777777" w:rsidR="0046798B" w:rsidRDefault="00903B5C">
            <w:pPr>
              <w:pStyle w:val="TableParagraph"/>
              <w:spacing w:before="153"/>
              <w:ind w:left="114" w:right="461"/>
              <w:rPr>
                <w:sz w:val="20"/>
              </w:rPr>
            </w:pPr>
            <w:r>
              <w:rPr>
                <w:sz w:val="20"/>
              </w:rPr>
              <w:t>Health insurance benefit mandates: mastectomy stay (0 = no, 1 = yes)</w:t>
            </w:r>
          </w:p>
        </w:tc>
        <w:tc>
          <w:tcPr>
            <w:tcW w:w="6482" w:type="dxa"/>
          </w:tcPr>
          <w:p w14:paraId="25449964" w14:textId="77777777" w:rsidR="0046798B" w:rsidRDefault="00903B5C">
            <w:pPr>
              <w:pStyle w:val="TableParagraph"/>
              <w:spacing w:before="38"/>
              <w:ind w:left="114"/>
              <w:rPr>
                <w:sz w:val="20"/>
              </w:rPr>
            </w:pPr>
            <w:r>
              <w:rPr>
                <w:sz w:val="20"/>
              </w:rPr>
              <w:t>Sorens, Jason, Fait Muedini, and William P. Ruger. “State and Local Public Policies in 2006: A New Database.” State Politics &amp; Policy Quarterly 8.3 (2008): 309–26.</w:t>
            </w:r>
          </w:p>
        </w:tc>
      </w:tr>
      <w:tr w:rsidR="0046798B" w14:paraId="24728B26" w14:textId="77777777">
        <w:trPr>
          <w:trHeight w:val="775"/>
        </w:trPr>
        <w:tc>
          <w:tcPr>
            <w:tcW w:w="1711" w:type="dxa"/>
          </w:tcPr>
          <w:p w14:paraId="236951F2" w14:textId="77777777" w:rsidR="0046798B" w:rsidRDefault="0046798B">
            <w:pPr>
              <w:pStyle w:val="TableParagraph"/>
              <w:spacing w:before="3"/>
              <w:rPr>
                <w:sz w:val="23"/>
              </w:rPr>
            </w:pPr>
          </w:p>
          <w:p w14:paraId="1A7963DE" w14:textId="77777777" w:rsidR="0046798B" w:rsidRDefault="00903B5C">
            <w:pPr>
              <w:pStyle w:val="TableParagraph"/>
              <w:spacing w:before="1"/>
              <w:ind w:left="115"/>
              <w:rPr>
                <w:b/>
                <w:sz w:val="20"/>
              </w:rPr>
            </w:pPr>
            <w:r>
              <w:rPr>
                <w:b/>
                <w:sz w:val="20"/>
              </w:rPr>
              <w:t>hmbtele</w:t>
            </w:r>
          </w:p>
        </w:tc>
        <w:tc>
          <w:tcPr>
            <w:tcW w:w="1596" w:type="dxa"/>
          </w:tcPr>
          <w:p w14:paraId="3DF902E8" w14:textId="77777777" w:rsidR="0046798B" w:rsidRDefault="0046798B">
            <w:pPr>
              <w:pStyle w:val="TableParagraph"/>
              <w:spacing w:before="3"/>
              <w:rPr>
                <w:sz w:val="23"/>
              </w:rPr>
            </w:pPr>
          </w:p>
          <w:p w14:paraId="14F14E28" w14:textId="77777777" w:rsidR="0046798B" w:rsidRDefault="00903B5C">
            <w:pPr>
              <w:pStyle w:val="TableParagraph"/>
              <w:spacing w:before="1"/>
              <w:ind w:left="114"/>
              <w:rPr>
                <w:sz w:val="20"/>
              </w:rPr>
            </w:pPr>
            <w:r>
              <w:rPr>
                <w:sz w:val="20"/>
              </w:rPr>
              <w:t>Telemedicine</w:t>
            </w:r>
          </w:p>
        </w:tc>
        <w:tc>
          <w:tcPr>
            <w:tcW w:w="1285" w:type="dxa"/>
          </w:tcPr>
          <w:p w14:paraId="08502023" w14:textId="77777777" w:rsidR="0046798B" w:rsidRDefault="0046798B">
            <w:pPr>
              <w:pStyle w:val="TableParagraph"/>
              <w:spacing w:before="3"/>
              <w:rPr>
                <w:sz w:val="23"/>
              </w:rPr>
            </w:pPr>
          </w:p>
          <w:p w14:paraId="04ED9CC2" w14:textId="77777777" w:rsidR="0046798B" w:rsidRDefault="00903B5C">
            <w:pPr>
              <w:pStyle w:val="TableParagraph"/>
              <w:spacing w:before="1"/>
              <w:ind w:left="114"/>
              <w:rPr>
                <w:sz w:val="20"/>
              </w:rPr>
            </w:pPr>
            <w:r>
              <w:rPr>
                <w:sz w:val="20"/>
              </w:rPr>
              <w:t>2006–2008</w:t>
            </w:r>
          </w:p>
        </w:tc>
        <w:tc>
          <w:tcPr>
            <w:tcW w:w="3421" w:type="dxa"/>
          </w:tcPr>
          <w:p w14:paraId="2AA3813D" w14:textId="77777777" w:rsidR="0046798B" w:rsidRDefault="00903B5C">
            <w:pPr>
              <w:pStyle w:val="TableParagraph"/>
              <w:spacing w:before="153"/>
              <w:ind w:left="114" w:right="461"/>
              <w:rPr>
                <w:sz w:val="20"/>
              </w:rPr>
            </w:pPr>
            <w:r>
              <w:rPr>
                <w:sz w:val="20"/>
              </w:rPr>
              <w:t>Health insurance benefit mandates: telemedicine (0 = no, 1 = yes)</w:t>
            </w:r>
          </w:p>
        </w:tc>
        <w:tc>
          <w:tcPr>
            <w:tcW w:w="6482" w:type="dxa"/>
          </w:tcPr>
          <w:p w14:paraId="5DA1D4EE" w14:textId="77777777" w:rsidR="0046798B" w:rsidRDefault="00903B5C">
            <w:pPr>
              <w:pStyle w:val="TableParagraph"/>
              <w:spacing w:before="38"/>
              <w:ind w:left="114" w:right="272"/>
              <w:rPr>
                <w:sz w:val="20"/>
              </w:rPr>
            </w:pPr>
            <w:r>
              <w:rPr>
                <w:sz w:val="20"/>
              </w:rPr>
              <w:t>Sorens, Jason, Fait Muedini, and William P. Ruger. “State and Local Public Policies in 2006: A New Database.” State Politics &amp; Policy Quarterly 8.3 (2008): 309–26.</w:t>
            </w:r>
          </w:p>
        </w:tc>
      </w:tr>
      <w:tr w:rsidR="0046798B" w14:paraId="1D7DB7AE" w14:textId="77777777">
        <w:trPr>
          <w:trHeight w:val="1465"/>
        </w:trPr>
        <w:tc>
          <w:tcPr>
            <w:tcW w:w="1711" w:type="dxa"/>
          </w:tcPr>
          <w:p w14:paraId="5950FEBB" w14:textId="77777777" w:rsidR="0046798B" w:rsidRDefault="0046798B">
            <w:pPr>
              <w:pStyle w:val="TableParagraph"/>
            </w:pPr>
          </w:p>
          <w:p w14:paraId="1349222E" w14:textId="77777777" w:rsidR="0046798B" w:rsidRDefault="0046798B">
            <w:pPr>
              <w:pStyle w:val="TableParagraph"/>
              <w:spacing w:before="9"/>
              <w:rPr>
                <w:sz w:val="31"/>
              </w:rPr>
            </w:pPr>
          </w:p>
          <w:p w14:paraId="77B0F4CE" w14:textId="77777777" w:rsidR="0046798B" w:rsidRDefault="00903B5C">
            <w:pPr>
              <w:pStyle w:val="TableParagraph"/>
              <w:ind w:left="115"/>
              <w:rPr>
                <w:b/>
                <w:sz w:val="20"/>
              </w:rPr>
            </w:pPr>
            <w:r>
              <w:rPr>
                <w:b/>
                <w:sz w:val="20"/>
              </w:rPr>
              <w:t>hmbindex</w:t>
            </w:r>
          </w:p>
        </w:tc>
        <w:tc>
          <w:tcPr>
            <w:tcW w:w="1596" w:type="dxa"/>
          </w:tcPr>
          <w:p w14:paraId="5AAC8895" w14:textId="77777777" w:rsidR="0046798B" w:rsidRDefault="0046798B">
            <w:pPr>
              <w:pStyle w:val="TableParagraph"/>
            </w:pPr>
          </w:p>
          <w:p w14:paraId="28009ED0" w14:textId="77777777" w:rsidR="0046798B" w:rsidRDefault="00903B5C">
            <w:pPr>
              <w:pStyle w:val="TableParagraph"/>
              <w:spacing w:before="135"/>
              <w:ind w:left="114" w:right="102"/>
              <w:rPr>
                <w:sz w:val="20"/>
              </w:rPr>
            </w:pPr>
            <w:r>
              <w:rPr>
                <w:sz w:val="20"/>
              </w:rPr>
              <w:t>Health insurance mandated benefits index</w:t>
            </w:r>
          </w:p>
        </w:tc>
        <w:tc>
          <w:tcPr>
            <w:tcW w:w="1285" w:type="dxa"/>
          </w:tcPr>
          <w:p w14:paraId="3AD94D81" w14:textId="77777777" w:rsidR="0046798B" w:rsidRDefault="0046798B">
            <w:pPr>
              <w:pStyle w:val="TableParagraph"/>
            </w:pPr>
          </w:p>
          <w:p w14:paraId="3D7F33B1" w14:textId="77777777" w:rsidR="0046798B" w:rsidRDefault="0046798B">
            <w:pPr>
              <w:pStyle w:val="TableParagraph"/>
              <w:spacing w:before="9"/>
              <w:rPr>
                <w:sz w:val="31"/>
              </w:rPr>
            </w:pPr>
          </w:p>
          <w:p w14:paraId="53EEE15F" w14:textId="77777777" w:rsidR="0046798B" w:rsidRDefault="00903B5C">
            <w:pPr>
              <w:pStyle w:val="TableParagraph"/>
              <w:ind w:left="114"/>
              <w:rPr>
                <w:sz w:val="20"/>
              </w:rPr>
            </w:pPr>
            <w:r>
              <w:rPr>
                <w:sz w:val="20"/>
              </w:rPr>
              <w:t>2006–2010</w:t>
            </w:r>
          </w:p>
        </w:tc>
        <w:tc>
          <w:tcPr>
            <w:tcW w:w="3421" w:type="dxa"/>
          </w:tcPr>
          <w:p w14:paraId="0E48CBB6" w14:textId="77777777" w:rsidR="0046798B" w:rsidRDefault="00903B5C">
            <w:pPr>
              <w:pStyle w:val="TableParagraph"/>
              <w:spacing w:before="43"/>
              <w:ind w:left="114" w:right="122"/>
              <w:rPr>
                <w:sz w:val="20"/>
              </w:rPr>
            </w:pPr>
            <w:r>
              <w:rPr>
                <w:sz w:val="20"/>
              </w:rPr>
              <w:t xml:space="preserve">Health insurance mandated benefits index (each mandate weighted by percentage added cost to average </w:t>
            </w:r>
            <w:r>
              <w:rPr>
                <w:spacing w:val="-5"/>
                <w:sz w:val="20"/>
              </w:rPr>
              <w:t xml:space="preserve">health </w:t>
            </w:r>
            <w:r>
              <w:rPr>
                <w:sz w:val="20"/>
              </w:rPr>
              <w:t>insurance policy, according to Coalition for Affordable Health Insurance)</w:t>
            </w:r>
          </w:p>
        </w:tc>
        <w:tc>
          <w:tcPr>
            <w:tcW w:w="6482" w:type="dxa"/>
          </w:tcPr>
          <w:p w14:paraId="19BBC290" w14:textId="77777777" w:rsidR="0046798B" w:rsidRDefault="0046798B">
            <w:pPr>
              <w:pStyle w:val="TableParagraph"/>
            </w:pPr>
          </w:p>
          <w:p w14:paraId="5323BFB0" w14:textId="77777777" w:rsidR="0046798B" w:rsidRDefault="00903B5C">
            <w:pPr>
              <w:pStyle w:val="TableParagraph"/>
              <w:spacing w:before="135"/>
              <w:ind w:left="114"/>
              <w:rPr>
                <w:sz w:val="20"/>
              </w:rPr>
            </w:pPr>
            <w:r>
              <w:rPr>
                <w:sz w:val="20"/>
              </w:rPr>
              <w:t>Sorens, Jason, Fait Muedini, and William P. Ruger. “State and Local Public Policies in 2006: A New Database.” State Politics &amp; Policy Quarterly 8.3 (2008): 309–26.</w:t>
            </w:r>
          </w:p>
        </w:tc>
      </w:tr>
      <w:tr w:rsidR="0046798B" w14:paraId="3AC786FF" w14:textId="77777777">
        <w:trPr>
          <w:trHeight w:val="775"/>
        </w:trPr>
        <w:tc>
          <w:tcPr>
            <w:tcW w:w="1711" w:type="dxa"/>
          </w:tcPr>
          <w:p w14:paraId="7AFC4189" w14:textId="77777777" w:rsidR="0046798B" w:rsidRDefault="0046798B">
            <w:pPr>
              <w:pStyle w:val="TableParagraph"/>
              <w:spacing w:before="8"/>
              <w:rPr>
                <w:sz w:val="23"/>
              </w:rPr>
            </w:pPr>
          </w:p>
          <w:p w14:paraId="3A6B0EDE" w14:textId="77777777" w:rsidR="0046798B" w:rsidRDefault="00903B5C">
            <w:pPr>
              <w:pStyle w:val="TableParagraph"/>
              <w:spacing w:before="1"/>
              <w:ind w:left="115"/>
              <w:rPr>
                <w:b/>
                <w:sz w:val="20"/>
              </w:rPr>
            </w:pPr>
            <w:r>
              <w:rPr>
                <w:b/>
                <w:sz w:val="20"/>
              </w:rPr>
              <w:t>hmindex</w:t>
            </w:r>
          </w:p>
        </w:tc>
        <w:tc>
          <w:tcPr>
            <w:tcW w:w="1596" w:type="dxa"/>
          </w:tcPr>
          <w:p w14:paraId="38263C48" w14:textId="77777777" w:rsidR="0046798B" w:rsidRDefault="00903B5C">
            <w:pPr>
              <w:pStyle w:val="TableParagraph"/>
              <w:spacing w:before="158"/>
              <w:ind w:left="114" w:right="102"/>
              <w:rPr>
                <w:sz w:val="20"/>
              </w:rPr>
            </w:pPr>
            <w:r>
              <w:rPr>
                <w:sz w:val="20"/>
              </w:rPr>
              <w:t>Health insurance mandates index</w:t>
            </w:r>
          </w:p>
        </w:tc>
        <w:tc>
          <w:tcPr>
            <w:tcW w:w="1285" w:type="dxa"/>
          </w:tcPr>
          <w:p w14:paraId="2DE363A2" w14:textId="77777777" w:rsidR="0046798B" w:rsidRDefault="0046798B">
            <w:pPr>
              <w:pStyle w:val="TableParagraph"/>
              <w:spacing w:before="8"/>
              <w:rPr>
                <w:sz w:val="23"/>
              </w:rPr>
            </w:pPr>
          </w:p>
          <w:p w14:paraId="077210A7" w14:textId="77777777" w:rsidR="0046798B" w:rsidRDefault="00903B5C">
            <w:pPr>
              <w:pStyle w:val="TableParagraph"/>
              <w:spacing w:before="1"/>
              <w:ind w:left="114"/>
              <w:rPr>
                <w:sz w:val="20"/>
              </w:rPr>
            </w:pPr>
            <w:r>
              <w:rPr>
                <w:sz w:val="20"/>
              </w:rPr>
              <w:t>2006–2010</w:t>
            </w:r>
          </w:p>
        </w:tc>
        <w:tc>
          <w:tcPr>
            <w:tcW w:w="3421" w:type="dxa"/>
          </w:tcPr>
          <w:p w14:paraId="3DF57F21" w14:textId="77777777" w:rsidR="0046798B" w:rsidRDefault="00903B5C">
            <w:pPr>
              <w:pStyle w:val="TableParagraph"/>
              <w:spacing w:before="158"/>
              <w:ind w:left="114" w:right="451"/>
              <w:rPr>
                <w:sz w:val="20"/>
              </w:rPr>
            </w:pPr>
            <w:r>
              <w:rPr>
                <w:sz w:val="20"/>
              </w:rPr>
              <w:t>Health insurance mandates index: hmdindex + hmpindex + hmbindex</w:t>
            </w:r>
          </w:p>
        </w:tc>
        <w:tc>
          <w:tcPr>
            <w:tcW w:w="6482" w:type="dxa"/>
          </w:tcPr>
          <w:p w14:paraId="0E1AF221" w14:textId="77777777" w:rsidR="0046798B" w:rsidRDefault="00903B5C">
            <w:pPr>
              <w:pStyle w:val="TableParagraph"/>
              <w:spacing w:before="43"/>
              <w:ind w:left="114" w:right="272"/>
              <w:rPr>
                <w:sz w:val="20"/>
              </w:rPr>
            </w:pPr>
            <w:r>
              <w:rPr>
                <w:sz w:val="20"/>
              </w:rPr>
              <w:t>Sorens, Jason, Fait Muedini, and William P. Ruger. “State and Local Public Policies in 2006: A New Database.” State Politics &amp; Policy Quarterly 8.3 (2008): 309–26.</w:t>
            </w:r>
          </w:p>
        </w:tc>
      </w:tr>
      <w:tr w:rsidR="0046798B" w14:paraId="23AA4436" w14:textId="77777777">
        <w:trPr>
          <w:trHeight w:val="1695"/>
        </w:trPr>
        <w:tc>
          <w:tcPr>
            <w:tcW w:w="1711" w:type="dxa"/>
          </w:tcPr>
          <w:p w14:paraId="1392C885" w14:textId="77777777" w:rsidR="0046798B" w:rsidRDefault="0046798B">
            <w:pPr>
              <w:pStyle w:val="TableParagraph"/>
            </w:pPr>
          </w:p>
          <w:p w14:paraId="01234EAB" w14:textId="77777777" w:rsidR="0046798B" w:rsidRDefault="0046798B">
            <w:pPr>
              <w:pStyle w:val="TableParagraph"/>
            </w:pPr>
          </w:p>
          <w:p w14:paraId="428D9A03" w14:textId="77777777" w:rsidR="0046798B" w:rsidRDefault="0046798B">
            <w:pPr>
              <w:pStyle w:val="TableParagraph"/>
              <w:spacing w:before="9"/>
              <w:rPr>
                <w:sz w:val="19"/>
              </w:rPr>
            </w:pPr>
          </w:p>
          <w:p w14:paraId="4D5A3F28" w14:textId="77777777" w:rsidR="0046798B" w:rsidRDefault="00903B5C">
            <w:pPr>
              <w:pStyle w:val="TableParagraph"/>
              <w:ind w:left="115"/>
              <w:rPr>
                <w:b/>
                <w:sz w:val="20"/>
              </w:rPr>
            </w:pPr>
            <w:r>
              <w:rPr>
                <w:b/>
                <w:sz w:val="20"/>
              </w:rPr>
              <w:t>hmindex2</w:t>
            </w:r>
          </w:p>
        </w:tc>
        <w:tc>
          <w:tcPr>
            <w:tcW w:w="1596" w:type="dxa"/>
          </w:tcPr>
          <w:p w14:paraId="1A35AD36" w14:textId="77777777" w:rsidR="0046798B" w:rsidRDefault="00903B5C">
            <w:pPr>
              <w:pStyle w:val="TableParagraph"/>
              <w:spacing w:before="43"/>
              <w:ind w:left="114" w:right="117"/>
              <w:rPr>
                <w:sz w:val="20"/>
              </w:rPr>
            </w:pPr>
            <w:r>
              <w:rPr>
                <w:sz w:val="20"/>
              </w:rPr>
              <w:t xml:space="preserve">Health </w:t>
            </w:r>
            <w:r>
              <w:rPr>
                <w:spacing w:val="-3"/>
                <w:sz w:val="20"/>
              </w:rPr>
              <w:t xml:space="preserve">insurance </w:t>
            </w:r>
            <w:r>
              <w:rPr>
                <w:sz w:val="20"/>
              </w:rPr>
              <w:t>mandates index including only “major” mandates that are available over</w:t>
            </w:r>
            <w:r>
              <w:rPr>
                <w:spacing w:val="-3"/>
                <w:sz w:val="20"/>
              </w:rPr>
              <w:t xml:space="preserve"> </w:t>
            </w:r>
            <w:r>
              <w:rPr>
                <w:sz w:val="20"/>
              </w:rPr>
              <w:t>time</w:t>
            </w:r>
          </w:p>
        </w:tc>
        <w:tc>
          <w:tcPr>
            <w:tcW w:w="1285" w:type="dxa"/>
          </w:tcPr>
          <w:p w14:paraId="1842B5A1" w14:textId="77777777" w:rsidR="0046798B" w:rsidRDefault="0046798B">
            <w:pPr>
              <w:pStyle w:val="TableParagraph"/>
            </w:pPr>
          </w:p>
          <w:p w14:paraId="523EA021" w14:textId="77777777" w:rsidR="0046798B" w:rsidRDefault="0046798B">
            <w:pPr>
              <w:pStyle w:val="TableParagraph"/>
            </w:pPr>
          </w:p>
          <w:p w14:paraId="4791E622" w14:textId="77777777" w:rsidR="0046798B" w:rsidRDefault="0046798B">
            <w:pPr>
              <w:pStyle w:val="TableParagraph"/>
              <w:spacing w:before="9"/>
              <w:rPr>
                <w:sz w:val="19"/>
              </w:rPr>
            </w:pPr>
          </w:p>
          <w:p w14:paraId="43367F84" w14:textId="77777777" w:rsidR="0046798B" w:rsidRDefault="00903B5C">
            <w:pPr>
              <w:pStyle w:val="TableParagraph"/>
              <w:ind w:left="114"/>
              <w:rPr>
                <w:sz w:val="20"/>
              </w:rPr>
            </w:pPr>
            <w:r>
              <w:rPr>
                <w:sz w:val="20"/>
              </w:rPr>
              <w:t>2006–2016</w:t>
            </w:r>
          </w:p>
        </w:tc>
        <w:tc>
          <w:tcPr>
            <w:tcW w:w="3421" w:type="dxa"/>
          </w:tcPr>
          <w:p w14:paraId="1CC6CAA4" w14:textId="77777777" w:rsidR="0046798B" w:rsidRDefault="00903B5C">
            <w:pPr>
              <w:pStyle w:val="TableParagraph"/>
              <w:spacing w:before="43"/>
              <w:ind w:left="114" w:right="266"/>
              <w:rPr>
                <w:sz w:val="20"/>
              </w:rPr>
            </w:pPr>
            <w:r>
              <w:rPr>
                <w:sz w:val="20"/>
              </w:rPr>
              <w:t>Health insurance mandates index including only “major” mandates that are available over time (hmpopti, hmpot, hmpchx, hmpacu, hmbwcc, hmbrs, hmbpd, hmbmot, hmbmhp, hmbmat, hmbivf, hmbcont, hmbas, hmbalc)</w:t>
            </w:r>
          </w:p>
        </w:tc>
        <w:tc>
          <w:tcPr>
            <w:tcW w:w="6482" w:type="dxa"/>
          </w:tcPr>
          <w:p w14:paraId="1158A755" w14:textId="77777777" w:rsidR="0046798B" w:rsidRDefault="0046798B">
            <w:pPr>
              <w:pStyle w:val="TableParagraph"/>
            </w:pPr>
          </w:p>
          <w:p w14:paraId="111832BC" w14:textId="77777777" w:rsidR="0046798B" w:rsidRDefault="0046798B">
            <w:pPr>
              <w:pStyle w:val="TableParagraph"/>
              <w:spacing w:before="9"/>
              <w:rPr>
                <w:sz w:val="21"/>
              </w:rPr>
            </w:pPr>
          </w:p>
          <w:p w14:paraId="685F1B61" w14:textId="77777777" w:rsidR="0046798B" w:rsidRDefault="00903B5C">
            <w:pPr>
              <w:pStyle w:val="TableParagraph"/>
              <w:ind w:left="114" w:right="272"/>
              <w:rPr>
                <w:sz w:val="20"/>
              </w:rPr>
            </w:pPr>
            <w:r>
              <w:rPr>
                <w:sz w:val="20"/>
              </w:rPr>
              <w:t>Sorens, Jason, Fait Muedini, and William P. Ruger. “State and Local Public Policies in 2006: A New Database.” State Politics &amp; Policy Quarterly 8.3 (2008): 309–26.</w:t>
            </w:r>
          </w:p>
        </w:tc>
      </w:tr>
      <w:tr w:rsidR="0046798B" w14:paraId="55C5DC3C" w14:textId="77777777">
        <w:trPr>
          <w:trHeight w:val="1240"/>
        </w:trPr>
        <w:tc>
          <w:tcPr>
            <w:tcW w:w="1711" w:type="dxa"/>
          </w:tcPr>
          <w:p w14:paraId="56079BA4" w14:textId="77777777" w:rsidR="0046798B" w:rsidRDefault="0046798B">
            <w:pPr>
              <w:pStyle w:val="TableParagraph"/>
            </w:pPr>
          </w:p>
          <w:p w14:paraId="7CEABC1D" w14:textId="77777777" w:rsidR="0046798B" w:rsidRDefault="0046798B">
            <w:pPr>
              <w:pStyle w:val="TableParagraph"/>
              <w:spacing w:before="8"/>
              <w:rPr>
                <w:sz w:val="21"/>
              </w:rPr>
            </w:pPr>
          </w:p>
          <w:p w14:paraId="543FA70F" w14:textId="77777777" w:rsidR="0046798B" w:rsidRDefault="00903B5C">
            <w:pPr>
              <w:pStyle w:val="TableParagraph"/>
              <w:spacing w:before="1"/>
              <w:ind w:left="115"/>
              <w:rPr>
                <w:b/>
                <w:sz w:val="20"/>
              </w:rPr>
            </w:pPr>
            <w:r>
              <w:rPr>
                <w:b/>
                <w:sz w:val="20"/>
              </w:rPr>
              <w:t>hmindex3</w:t>
            </w:r>
          </w:p>
        </w:tc>
        <w:tc>
          <w:tcPr>
            <w:tcW w:w="1596" w:type="dxa"/>
          </w:tcPr>
          <w:p w14:paraId="28F8D479" w14:textId="77777777" w:rsidR="0046798B" w:rsidRDefault="00903B5C">
            <w:pPr>
              <w:pStyle w:val="TableParagraph"/>
              <w:spacing w:before="43"/>
              <w:ind w:left="114" w:right="102"/>
              <w:rPr>
                <w:sz w:val="20"/>
              </w:rPr>
            </w:pPr>
            <w:r>
              <w:rPr>
                <w:sz w:val="20"/>
              </w:rPr>
              <w:t>Health insurance mandates index including only “major” mandates that</w:t>
            </w:r>
          </w:p>
        </w:tc>
        <w:tc>
          <w:tcPr>
            <w:tcW w:w="1285" w:type="dxa"/>
          </w:tcPr>
          <w:p w14:paraId="6CFC009E" w14:textId="77777777" w:rsidR="0046798B" w:rsidRDefault="0046798B">
            <w:pPr>
              <w:pStyle w:val="TableParagraph"/>
            </w:pPr>
          </w:p>
          <w:p w14:paraId="1AB0A55C" w14:textId="77777777" w:rsidR="0046798B" w:rsidRDefault="0046798B">
            <w:pPr>
              <w:pStyle w:val="TableParagraph"/>
              <w:spacing w:before="8"/>
              <w:rPr>
                <w:sz w:val="21"/>
              </w:rPr>
            </w:pPr>
          </w:p>
          <w:p w14:paraId="05C48CEC" w14:textId="77777777" w:rsidR="0046798B" w:rsidRDefault="00903B5C">
            <w:pPr>
              <w:pStyle w:val="TableParagraph"/>
              <w:spacing w:before="1"/>
              <w:ind w:left="114"/>
              <w:rPr>
                <w:sz w:val="20"/>
              </w:rPr>
            </w:pPr>
            <w:r>
              <w:rPr>
                <w:sz w:val="20"/>
              </w:rPr>
              <w:t>2006–2016</w:t>
            </w:r>
          </w:p>
        </w:tc>
        <w:tc>
          <w:tcPr>
            <w:tcW w:w="3421" w:type="dxa"/>
          </w:tcPr>
          <w:p w14:paraId="605EECAF" w14:textId="77777777" w:rsidR="0046798B" w:rsidRDefault="00903B5C">
            <w:pPr>
              <w:pStyle w:val="TableParagraph"/>
              <w:spacing w:before="158"/>
              <w:ind w:left="114" w:right="189"/>
              <w:rPr>
                <w:sz w:val="20"/>
              </w:rPr>
            </w:pPr>
            <w:r>
              <w:rPr>
                <w:sz w:val="20"/>
              </w:rPr>
              <w:t>Health insurance mandates index including only “major” mandates that are available over time and not subject to the federal essential benefits</w:t>
            </w:r>
          </w:p>
        </w:tc>
        <w:tc>
          <w:tcPr>
            <w:tcW w:w="6482" w:type="dxa"/>
          </w:tcPr>
          <w:p w14:paraId="34AAE332" w14:textId="77777777" w:rsidR="0046798B" w:rsidRDefault="0046798B">
            <w:pPr>
              <w:pStyle w:val="TableParagraph"/>
              <w:spacing w:before="8"/>
              <w:rPr>
                <w:sz w:val="23"/>
              </w:rPr>
            </w:pPr>
          </w:p>
          <w:p w14:paraId="1ADAC50A" w14:textId="77777777" w:rsidR="0046798B" w:rsidRDefault="00903B5C">
            <w:pPr>
              <w:pStyle w:val="TableParagraph"/>
              <w:spacing w:before="1"/>
              <w:ind w:left="114" w:right="272"/>
              <w:rPr>
                <w:sz w:val="20"/>
              </w:rPr>
            </w:pPr>
            <w:r>
              <w:rPr>
                <w:sz w:val="20"/>
              </w:rPr>
              <w:t>Sorens, Jason, Fait Muedini, and William P. Ruger. “State and Local Public Policies in 2006: A New Database.” State Politics &amp; Policy Quarterly 8.3 (2008): 309–26.</w:t>
            </w:r>
          </w:p>
        </w:tc>
      </w:tr>
    </w:tbl>
    <w:p w14:paraId="229ECE34" w14:textId="77777777" w:rsidR="0046798B" w:rsidRDefault="0046798B">
      <w:pPr>
        <w:rPr>
          <w:sz w:val="20"/>
        </w:rPr>
        <w:sectPr w:rsidR="0046798B">
          <w:pgSz w:w="15840" w:h="12240" w:orient="landscape"/>
          <w:pgMar w:top="1220" w:right="300" w:bottom="980" w:left="820" w:header="730" w:footer="787" w:gutter="0"/>
          <w:cols w:space="720"/>
        </w:sectPr>
      </w:pPr>
    </w:p>
    <w:p w14:paraId="415963A7"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737AA4CD" w14:textId="77777777">
        <w:trPr>
          <w:trHeight w:val="1696"/>
        </w:trPr>
        <w:tc>
          <w:tcPr>
            <w:tcW w:w="1711" w:type="dxa"/>
          </w:tcPr>
          <w:p w14:paraId="1D50D171" w14:textId="77777777" w:rsidR="0046798B" w:rsidRDefault="0046798B">
            <w:pPr>
              <w:pStyle w:val="TableParagraph"/>
              <w:rPr>
                <w:sz w:val="20"/>
              </w:rPr>
            </w:pPr>
          </w:p>
        </w:tc>
        <w:tc>
          <w:tcPr>
            <w:tcW w:w="1596" w:type="dxa"/>
          </w:tcPr>
          <w:p w14:paraId="407F9260" w14:textId="77777777" w:rsidR="0046798B" w:rsidRDefault="00903B5C">
            <w:pPr>
              <w:pStyle w:val="TableParagraph"/>
              <w:spacing w:before="43"/>
              <w:ind w:left="114" w:right="352"/>
              <w:rPr>
                <w:sz w:val="20"/>
              </w:rPr>
            </w:pPr>
            <w:r>
              <w:rPr>
                <w:sz w:val="20"/>
              </w:rPr>
              <w:t>are available over time and not subject to the federal essential benefits requirements</w:t>
            </w:r>
          </w:p>
        </w:tc>
        <w:tc>
          <w:tcPr>
            <w:tcW w:w="1285" w:type="dxa"/>
          </w:tcPr>
          <w:p w14:paraId="791F3ACC" w14:textId="77777777" w:rsidR="0046798B" w:rsidRDefault="0046798B">
            <w:pPr>
              <w:pStyle w:val="TableParagraph"/>
              <w:rPr>
                <w:sz w:val="20"/>
              </w:rPr>
            </w:pPr>
          </w:p>
        </w:tc>
        <w:tc>
          <w:tcPr>
            <w:tcW w:w="3421" w:type="dxa"/>
          </w:tcPr>
          <w:p w14:paraId="3E1FA0B7" w14:textId="77777777" w:rsidR="0046798B" w:rsidRDefault="00903B5C">
            <w:pPr>
              <w:pStyle w:val="TableParagraph"/>
              <w:spacing w:before="43"/>
              <w:ind w:left="114" w:right="655"/>
              <w:rPr>
                <w:sz w:val="20"/>
              </w:rPr>
            </w:pPr>
            <w:r>
              <w:rPr>
                <w:sz w:val="20"/>
              </w:rPr>
              <w:t>requirements (hmpopti, hmpchx, hmpacu, hmbivf)</w:t>
            </w:r>
          </w:p>
        </w:tc>
        <w:tc>
          <w:tcPr>
            <w:tcW w:w="6482" w:type="dxa"/>
          </w:tcPr>
          <w:p w14:paraId="5E656904" w14:textId="77777777" w:rsidR="0046798B" w:rsidRDefault="0046798B">
            <w:pPr>
              <w:pStyle w:val="TableParagraph"/>
              <w:rPr>
                <w:sz w:val="20"/>
              </w:rPr>
            </w:pPr>
          </w:p>
        </w:tc>
      </w:tr>
      <w:tr w:rsidR="00D94AF4" w14:paraId="7520032A" w14:textId="77777777" w:rsidTr="00D94AF4">
        <w:trPr>
          <w:trHeight w:val="408"/>
        </w:trPr>
        <w:tc>
          <w:tcPr>
            <w:tcW w:w="1711" w:type="dxa"/>
          </w:tcPr>
          <w:p w14:paraId="252F9969" w14:textId="77777777" w:rsidR="00D94AF4" w:rsidRPr="00D94AF4" w:rsidRDefault="00D94AF4" w:rsidP="00D94AF4">
            <w:pPr>
              <w:jc w:val="center"/>
              <w:rPr>
                <w:b/>
                <w:bCs/>
                <w:sz w:val="20"/>
                <w:szCs w:val="20"/>
              </w:rPr>
            </w:pPr>
            <w:r w:rsidRPr="00D94AF4">
              <w:rPr>
                <w:b/>
                <w:bCs/>
                <w:sz w:val="20"/>
                <w:szCs w:val="20"/>
              </w:rPr>
              <w:t>doctorsPerCapita</w:t>
            </w:r>
          </w:p>
          <w:p w14:paraId="47FF0B81" w14:textId="77777777" w:rsidR="00D94AF4" w:rsidRPr="00D94AF4" w:rsidRDefault="00D94AF4" w:rsidP="00D94AF4">
            <w:pPr>
              <w:pStyle w:val="TableParagraph"/>
              <w:jc w:val="center"/>
              <w:rPr>
                <w:b/>
                <w:bCs/>
                <w:sz w:val="20"/>
                <w:szCs w:val="20"/>
              </w:rPr>
            </w:pPr>
          </w:p>
        </w:tc>
        <w:tc>
          <w:tcPr>
            <w:tcW w:w="1596" w:type="dxa"/>
          </w:tcPr>
          <w:p w14:paraId="1E6939FE" w14:textId="4CE22B42" w:rsidR="00D94AF4" w:rsidRDefault="00D94AF4" w:rsidP="00D94AF4">
            <w:pPr>
              <w:pStyle w:val="TableParagraph"/>
              <w:spacing w:before="43"/>
              <w:ind w:left="114" w:right="352"/>
              <w:jc w:val="center"/>
              <w:rPr>
                <w:sz w:val="20"/>
              </w:rPr>
            </w:pPr>
            <w:r>
              <w:rPr>
                <w:sz w:val="20"/>
              </w:rPr>
              <w:t>Number of doctors per capita</w:t>
            </w:r>
          </w:p>
        </w:tc>
        <w:tc>
          <w:tcPr>
            <w:tcW w:w="1285" w:type="dxa"/>
          </w:tcPr>
          <w:p w14:paraId="45E28EDA" w14:textId="54C6C6C0" w:rsidR="00D94AF4" w:rsidRPr="00D94AF4" w:rsidRDefault="00D94AF4" w:rsidP="00D94AF4">
            <w:pPr>
              <w:jc w:val="center"/>
              <w:rPr>
                <w:sz w:val="20"/>
                <w:szCs w:val="20"/>
              </w:rPr>
            </w:pPr>
            <w:r w:rsidRPr="00D94AF4">
              <w:rPr>
                <w:sz w:val="20"/>
                <w:szCs w:val="20"/>
              </w:rPr>
              <w:t>decadal years from 1900-2010</w:t>
            </w:r>
          </w:p>
        </w:tc>
        <w:tc>
          <w:tcPr>
            <w:tcW w:w="3421" w:type="dxa"/>
          </w:tcPr>
          <w:p w14:paraId="30346D27" w14:textId="77777777" w:rsidR="00D94AF4" w:rsidRPr="00D94AF4" w:rsidRDefault="00D94AF4" w:rsidP="00D94AF4">
            <w:pPr>
              <w:rPr>
                <w:sz w:val="20"/>
                <w:szCs w:val="20"/>
              </w:rPr>
            </w:pPr>
            <w:r w:rsidRPr="00D94AF4">
              <w:rPr>
                <w:sz w:val="20"/>
                <w:szCs w:val="20"/>
              </w:rPr>
              <w:t>the number of doctors per capita</w:t>
            </w:r>
          </w:p>
          <w:p w14:paraId="1F8F2946" w14:textId="77777777" w:rsidR="00D94AF4" w:rsidRPr="00D94AF4" w:rsidRDefault="00D94AF4">
            <w:pPr>
              <w:pStyle w:val="TableParagraph"/>
              <w:spacing w:before="43"/>
              <w:ind w:left="114" w:right="655"/>
              <w:rPr>
                <w:sz w:val="20"/>
                <w:szCs w:val="20"/>
              </w:rPr>
            </w:pPr>
          </w:p>
        </w:tc>
        <w:tc>
          <w:tcPr>
            <w:tcW w:w="6482" w:type="dxa"/>
          </w:tcPr>
          <w:p w14:paraId="522F215E" w14:textId="3F3A3E9A" w:rsidR="00D94AF4" w:rsidRPr="00D94AF4" w:rsidRDefault="00D94AF4" w:rsidP="00214A9D">
            <w:pPr>
              <w:rPr>
                <w:sz w:val="20"/>
                <w:szCs w:val="20"/>
              </w:rPr>
            </w:pPr>
            <w:r w:rsidRPr="00D94AF4">
              <w:rPr>
                <w:sz w:val="20"/>
                <w:szCs w:val="20"/>
              </w:rPr>
              <w:t>Bullock, John G. "Education and attitudes toward redistribution in the United States." British Journal of Political Science (2020): 1-21.</w:t>
            </w:r>
          </w:p>
        </w:tc>
      </w:tr>
    </w:tbl>
    <w:p w14:paraId="43115152" w14:textId="77777777" w:rsidR="0046798B" w:rsidRDefault="0046798B">
      <w:pPr>
        <w:rPr>
          <w:sz w:val="20"/>
        </w:rPr>
        <w:sectPr w:rsidR="0046798B">
          <w:pgSz w:w="15840" w:h="12240" w:orient="landscape"/>
          <w:pgMar w:top="1220" w:right="300" w:bottom="980" w:left="820" w:header="730" w:footer="787" w:gutter="0"/>
          <w:cols w:space="720"/>
        </w:sectPr>
      </w:pPr>
    </w:p>
    <w:p w14:paraId="0A699294" w14:textId="77777777" w:rsidR="0046798B" w:rsidRDefault="0046798B">
      <w:pPr>
        <w:pStyle w:val="BodyText"/>
        <w:spacing w:before="1"/>
        <w:rPr>
          <w:sz w:val="11"/>
        </w:rPr>
      </w:pPr>
    </w:p>
    <w:p w14:paraId="0F28FECD" w14:textId="77777777" w:rsidR="0046798B" w:rsidRDefault="00903B5C">
      <w:pPr>
        <w:pStyle w:val="ListParagraph"/>
        <w:numPr>
          <w:ilvl w:val="0"/>
          <w:numId w:val="12"/>
        </w:numPr>
        <w:tabs>
          <w:tab w:val="left" w:pos="6447"/>
        </w:tabs>
        <w:spacing w:before="88"/>
        <w:ind w:left="6446" w:hanging="454"/>
        <w:jc w:val="left"/>
        <w:rPr>
          <w:b/>
          <w:sz w:val="28"/>
        </w:rPr>
      </w:pPr>
      <w:bookmarkStart w:id="16" w:name="IX._Welfare_Policy"/>
      <w:bookmarkStart w:id="17" w:name="_bookmark8"/>
      <w:bookmarkEnd w:id="16"/>
      <w:bookmarkEnd w:id="17"/>
      <w:r>
        <w:rPr>
          <w:b/>
          <w:sz w:val="28"/>
        </w:rPr>
        <w:t>Welfare Policy</w:t>
      </w:r>
    </w:p>
    <w:p w14:paraId="32C3B971" w14:textId="77777777" w:rsidR="0046798B" w:rsidRDefault="0046798B">
      <w:pPr>
        <w:pStyle w:val="BodyText"/>
        <w:spacing w:before="0"/>
        <w:rPr>
          <w:b/>
          <w:sz w:val="20"/>
        </w:rPr>
      </w:pPr>
    </w:p>
    <w:p w14:paraId="19ADFC05" w14:textId="77777777" w:rsidR="0046798B" w:rsidRDefault="0046798B">
      <w:pPr>
        <w:pStyle w:val="BodyText"/>
        <w:spacing w:before="3"/>
        <w:rPr>
          <w:b/>
          <w:sz w:val="28"/>
        </w:rPr>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807857F" w14:textId="77777777">
        <w:trPr>
          <w:trHeight w:val="590"/>
        </w:trPr>
        <w:tc>
          <w:tcPr>
            <w:tcW w:w="1711" w:type="dxa"/>
          </w:tcPr>
          <w:p w14:paraId="42AA08BC" w14:textId="77777777" w:rsidR="0046798B" w:rsidRDefault="00903B5C">
            <w:pPr>
              <w:pStyle w:val="TableParagraph"/>
              <w:spacing w:before="164"/>
              <w:ind w:left="140"/>
              <w:rPr>
                <w:b/>
              </w:rPr>
            </w:pPr>
            <w:r>
              <w:rPr>
                <w:b/>
              </w:rPr>
              <w:t>Variable Name</w:t>
            </w:r>
          </w:p>
        </w:tc>
        <w:tc>
          <w:tcPr>
            <w:tcW w:w="1596" w:type="dxa"/>
          </w:tcPr>
          <w:p w14:paraId="101DE1A0" w14:textId="77777777" w:rsidR="0046798B" w:rsidRDefault="00903B5C">
            <w:pPr>
              <w:pStyle w:val="TableParagraph"/>
              <w:spacing w:before="39" w:line="242" w:lineRule="auto"/>
              <w:ind w:left="249" w:right="229" w:firstLine="280"/>
              <w:rPr>
                <w:b/>
              </w:rPr>
            </w:pPr>
            <w:r>
              <w:rPr>
                <w:b/>
              </w:rPr>
              <w:t>Short Description</w:t>
            </w:r>
          </w:p>
        </w:tc>
        <w:tc>
          <w:tcPr>
            <w:tcW w:w="1285" w:type="dxa"/>
          </w:tcPr>
          <w:p w14:paraId="65657BFB" w14:textId="77777777" w:rsidR="0046798B" w:rsidRDefault="00903B5C">
            <w:pPr>
              <w:pStyle w:val="TableParagraph"/>
              <w:spacing w:before="164"/>
              <w:ind w:left="364"/>
              <w:rPr>
                <w:b/>
              </w:rPr>
            </w:pPr>
            <w:r>
              <w:rPr>
                <w:b/>
              </w:rPr>
              <w:t>Years</w:t>
            </w:r>
          </w:p>
        </w:tc>
        <w:tc>
          <w:tcPr>
            <w:tcW w:w="3421" w:type="dxa"/>
          </w:tcPr>
          <w:p w14:paraId="0152499E" w14:textId="77777777" w:rsidR="0046798B" w:rsidRDefault="00903B5C">
            <w:pPr>
              <w:pStyle w:val="TableParagraph"/>
              <w:spacing w:before="39"/>
              <w:ind w:left="159" w:right="146"/>
              <w:jc w:val="center"/>
              <w:rPr>
                <w:b/>
              </w:rPr>
            </w:pPr>
            <w:r>
              <w:rPr>
                <w:b/>
              </w:rPr>
              <w:t>Coding /</w:t>
            </w:r>
          </w:p>
          <w:p w14:paraId="4CDEE86C" w14:textId="77777777" w:rsidR="0046798B" w:rsidRDefault="00903B5C">
            <w:pPr>
              <w:pStyle w:val="TableParagraph"/>
              <w:spacing w:before="2"/>
              <w:ind w:left="159" w:right="150"/>
              <w:jc w:val="center"/>
              <w:rPr>
                <w:b/>
              </w:rPr>
            </w:pPr>
            <w:r>
              <w:rPr>
                <w:b/>
              </w:rPr>
              <w:t>Longer Description (if available)</w:t>
            </w:r>
          </w:p>
        </w:tc>
        <w:tc>
          <w:tcPr>
            <w:tcW w:w="6482" w:type="dxa"/>
          </w:tcPr>
          <w:p w14:paraId="1E874FA7" w14:textId="77777777" w:rsidR="0046798B" w:rsidRDefault="00903B5C">
            <w:pPr>
              <w:pStyle w:val="TableParagraph"/>
              <w:spacing w:before="164"/>
              <w:ind w:left="2852" w:right="2845"/>
              <w:jc w:val="center"/>
              <w:rPr>
                <w:b/>
              </w:rPr>
            </w:pPr>
            <w:r>
              <w:rPr>
                <w:b/>
              </w:rPr>
              <w:t>Sources</w:t>
            </w:r>
          </w:p>
        </w:tc>
      </w:tr>
      <w:tr w:rsidR="0046798B" w14:paraId="76FD9F7B" w14:textId="77777777">
        <w:trPr>
          <w:trHeight w:val="1926"/>
        </w:trPr>
        <w:tc>
          <w:tcPr>
            <w:tcW w:w="1711" w:type="dxa"/>
          </w:tcPr>
          <w:p w14:paraId="63992C15" w14:textId="77777777" w:rsidR="0046798B" w:rsidRDefault="0046798B">
            <w:pPr>
              <w:pStyle w:val="TableParagraph"/>
              <w:rPr>
                <w:b/>
              </w:rPr>
            </w:pPr>
          </w:p>
          <w:p w14:paraId="063CFE65" w14:textId="77777777" w:rsidR="0046798B" w:rsidRDefault="0046798B">
            <w:pPr>
              <w:pStyle w:val="TableParagraph"/>
              <w:rPr>
                <w:b/>
              </w:rPr>
            </w:pPr>
          </w:p>
          <w:p w14:paraId="6CF81738" w14:textId="77777777" w:rsidR="0046798B" w:rsidRDefault="0046798B">
            <w:pPr>
              <w:pStyle w:val="TableParagraph"/>
              <w:spacing w:before="9"/>
              <w:rPr>
                <w:b/>
                <w:sz w:val="29"/>
              </w:rPr>
            </w:pPr>
          </w:p>
          <w:p w14:paraId="049FB7D5" w14:textId="77777777" w:rsidR="0046798B" w:rsidRDefault="00903B5C">
            <w:pPr>
              <w:pStyle w:val="TableParagraph"/>
              <w:ind w:left="115"/>
              <w:rPr>
                <w:b/>
                <w:sz w:val="20"/>
              </w:rPr>
            </w:pPr>
            <w:r>
              <w:rPr>
                <w:b/>
                <w:sz w:val="20"/>
              </w:rPr>
              <w:t>mothersaid</w:t>
            </w:r>
          </w:p>
        </w:tc>
        <w:tc>
          <w:tcPr>
            <w:tcW w:w="1596" w:type="dxa"/>
          </w:tcPr>
          <w:p w14:paraId="7E5C1CD9" w14:textId="77777777" w:rsidR="0046798B" w:rsidRDefault="0046798B">
            <w:pPr>
              <w:pStyle w:val="TableParagraph"/>
              <w:rPr>
                <w:b/>
              </w:rPr>
            </w:pPr>
          </w:p>
          <w:p w14:paraId="2ECBB30F" w14:textId="77777777" w:rsidR="0046798B" w:rsidRDefault="0046798B">
            <w:pPr>
              <w:pStyle w:val="TableParagraph"/>
              <w:spacing w:before="9"/>
              <w:rPr>
                <w:b/>
                <w:sz w:val="31"/>
              </w:rPr>
            </w:pPr>
          </w:p>
          <w:p w14:paraId="57A11499" w14:textId="77777777" w:rsidR="0046798B" w:rsidRDefault="00903B5C">
            <w:pPr>
              <w:pStyle w:val="TableParagraph"/>
              <w:ind w:left="114" w:right="246"/>
              <w:rPr>
                <w:sz w:val="20"/>
              </w:rPr>
            </w:pPr>
            <w:r>
              <w:rPr>
                <w:sz w:val="20"/>
              </w:rPr>
              <w:t>Mothers’ aid cash assistance program</w:t>
            </w:r>
          </w:p>
        </w:tc>
        <w:tc>
          <w:tcPr>
            <w:tcW w:w="1285" w:type="dxa"/>
          </w:tcPr>
          <w:p w14:paraId="59A01CBA" w14:textId="77777777" w:rsidR="0046798B" w:rsidRDefault="0046798B">
            <w:pPr>
              <w:pStyle w:val="TableParagraph"/>
              <w:rPr>
                <w:b/>
              </w:rPr>
            </w:pPr>
          </w:p>
          <w:p w14:paraId="6E7B0208" w14:textId="77777777" w:rsidR="0046798B" w:rsidRDefault="0046798B">
            <w:pPr>
              <w:pStyle w:val="TableParagraph"/>
              <w:rPr>
                <w:b/>
              </w:rPr>
            </w:pPr>
          </w:p>
          <w:p w14:paraId="0009CD6B" w14:textId="77777777" w:rsidR="0046798B" w:rsidRDefault="0046798B">
            <w:pPr>
              <w:pStyle w:val="TableParagraph"/>
              <w:spacing w:before="9"/>
              <w:rPr>
                <w:b/>
                <w:sz w:val="29"/>
              </w:rPr>
            </w:pPr>
          </w:p>
          <w:p w14:paraId="131A338D" w14:textId="77777777" w:rsidR="0046798B" w:rsidRDefault="00903B5C">
            <w:pPr>
              <w:pStyle w:val="TableParagraph"/>
              <w:ind w:left="114"/>
              <w:rPr>
                <w:sz w:val="20"/>
              </w:rPr>
            </w:pPr>
            <w:r>
              <w:rPr>
                <w:sz w:val="20"/>
              </w:rPr>
              <w:t>1911–1931</w:t>
            </w:r>
          </w:p>
        </w:tc>
        <w:tc>
          <w:tcPr>
            <w:tcW w:w="3421" w:type="dxa"/>
          </w:tcPr>
          <w:p w14:paraId="6F386C1B" w14:textId="77777777" w:rsidR="0046798B" w:rsidRDefault="0046798B">
            <w:pPr>
              <w:pStyle w:val="TableParagraph"/>
              <w:rPr>
                <w:b/>
              </w:rPr>
            </w:pPr>
          </w:p>
          <w:p w14:paraId="62984508" w14:textId="77777777" w:rsidR="0046798B" w:rsidRDefault="0046798B">
            <w:pPr>
              <w:pStyle w:val="TableParagraph"/>
              <w:rPr>
                <w:b/>
              </w:rPr>
            </w:pPr>
          </w:p>
          <w:p w14:paraId="069D2A0A" w14:textId="77777777" w:rsidR="0046798B" w:rsidRDefault="0046798B">
            <w:pPr>
              <w:pStyle w:val="TableParagraph"/>
              <w:spacing w:before="9"/>
              <w:rPr>
                <w:b/>
                <w:sz w:val="19"/>
              </w:rPr>
            </w:pPr>
          </w:p>
          <w:p w14:paraId="566264D9" w14:textId="77777777" w:rsidR="0046798B" w:rsidRDefault="00903B5C">
            <w:pPr>
              <w:pStyle w:val="TableParagraph"/>
              <w:ind w:left="114" w:right="1475"/>
              <w:rPr>
                <w:sz w:val="20"/>
              </w:rPr>
            </w:pPr>
            <w:r>
              <w:rPr>
                <w:sz w:val="20"/>
              </w:rPr>
              <w:t>0 = policy not adopted 1 = policy adopted</w:t>
            </w:r>
          </w:p>
        </w:tc>
        <w:tc>
          <w:tcPr>
            <w:tcW w:w="6482" w:type="dxa"/>
          </w:tcPr>
          <w:p w14:paraId="17C3C0E9" w14:textId="77777777" w:rsidR="0046798B" w:rsidRDefault="00903B5C">
            <w:pPr>
              <w:pStyle w:val="TableParagraph"/>
              <w:spacing w:before="44"/>
              <w:ind w:left="114" w:right="128"/>
              <w:jc w:val="both"/>
              <w:rPr>
                <w:sz w:val="20"/>
              </w:rPr>
            </w:pPr>
            <w:r>
              <w:rPr>
                <w:sz w:val="20"/>
              </w:rPr>
              <w:t>Mallinson, Daniel J. “Building a better speed trap: Measuring policy</w:t>
            </w:r>
            <w:r>
              <w:rPr>
                <w:spacing w:val="-16"/>
                <w:sz w:val="20"/>
              </w:rPr>
              <w:t xml:space="preserve"> </w:t>
            </w:r>
            <w:r>
              <w:rPr>
                <w:sz w:val="20"/>
              </w:rPr>
              <w:t xml:space="preserve">adoption speed in the American states.” </w:t>
            </w:r>
            <w:r>
              <w:rPr>
                <w:i/>
                <w:sz w:val="20"/>
              </w:rPr>
              <w:t xml:space="preserve">State Politics &amp; Policy Quarterly </w:t>
            </w:r>
            <w:r>
              <w:rPr>
                <w:sz w:val="20"/>
              </w:rPr>
              <w:t>16.1 (2016): 98-120.</w:t>
            </w:r>
          </w:p>
          <w:p w14:paraId="4BCC6995" w14:textId="77777777" w:rsidR="0046798B" w:rsidRDefault="0046798B">
            <w:pPr>
              <w:pStyle w:val="TableParagraph"/>
              <w:spacing w:before="11"/>
              <w:rPr>
                <w:b/>
                <w:sz w:val="19"/>
              </w:rPr>
            </w:pPr>
          </w:p>
          <w:p w14:paraId="7BFB6925"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645D1FF3" w14:textId="77777777">
        <w:trPr>
          <w:trHeight w:val="1010"/>
        </w:trPr>
        <w:tc>
          <w:tcPr>
            <w:tcW w:w="1711" w:type="dxa"/>
          </w:tcPr>
          <w:p w14:paraId="7ADC3960" w14:textId="77777777" w:rsidR="0046798B" w:rsidRDefault="0046798B">
            <w:pPr>
              <w:pStyle w:val="TableParagraph"/>
              <w:rPr>
                <w:b/>
              </w:rPr>
            </w:pPr>
          </w:p>
          <w:p w14:paraId="6D921647" w14:textId="77777777" w:rsidR="0046798B" w:rsidRDefault="00903B5C">
            <w:pPr>
              <w:pStyle w:val="TableParagraph"/>
              <w:spacing w:before="135"/>
              <w:ind w:left="115"/>
              <w:rPr>
                <w:b/>
                <w:sz w:val="20"/>
              </w:rPr>
            </w:pPr>
            <w:r>
              <w:rPr>
                <w:b/>
                <w:sz w:val="20"/>
              </w:rPr>
              <w:t>adc</w:t>
            </w:r>
          </w:p>
        </w:tc>
        <w:tc>
          <w:tcPr>
            <w:tcW w:w="1596" w:type="dxa"/>
          </w:tcPr>
          <w:p w14:paraId="186D8C1E" w14:textId="77777777" w:rsidR="0046798B" w:rsidRDefault="00903B5C">
            <w:pPr>
              <w:pStyle w:val="TableParagraph"/>
              <w:spacing w:before="43"/>
              <w:ind w:left="114" w:right="135"/>
              <w:rPr>
                <w:sz w:val="20"/>
              </w:rPr>
            </w:pPr>
            <w:r>
              <w:rPr>
                <w:sz w:val="20"/>
              </w:rPr>
              <w:t>Aid to Dependent Children (Social Security)</w:t>
            </w:r>
          </w:p>
        </w:tc>
        <w:tc>
          <w:tcPr>
            <w:tcW w:w="1285" w:type="dxa"/>
          </w:tcPr>
          <w:p w14:paraId="3DA52B26" w14:textId="77777777" w:rsidR="0046798B" w:rsidRDefault="0046798B">
            <w:pPr>
              <w:pStyle w:val="TableParagraph"/>
              <w:rPr>
                <w:b/>
              </w:rPr>
            </w:pPr>
          </w:p>
          <w:p w14:paraId="047518E4" w14:textId="77777777" w:rsidR="0046798B" w:rsidRDefault="00903B5C">
            <w:pPr>
              <w:pStyle w:val="TableParagraph"/>
              <w:spacing w:before="135"/>
              <w:ind w:left="114"/>
              <w:rPr>
                <w:sz w:val="20"/>
              </w:rPr>
            </w:pPr>
            <w:r>
              <w:rPr>
                <w:sz w:val="20"/>
              </w:rPr>
              <w:t>1936–1955</w:t>
            </w:r>
          </w:p>
        </w:tc>
        <w:tc>
          <w:tcPr>
            <w:tcW w:w="3421" w:type="dxa"/>
          </w:tcPr>
          <w:p w14:paraId="1B488C44" w14:textId="77777777" w:rsidR="0046798B" w:rsidRDefault="00903B5C">
            <w:pPr>
              <w:pStyle w:val="TableParagraph"/>
              <w:spacing w:before="158"/>
              <w:ind w:left="114" w:right="96"/>
              <w:rPr>
                <w:sz w:val="20"/>
              </w:rPr>
            </w:pPr>
            <w:r>
              <w:rPr>
                <w:sz w:val="20"/>
              </w:rPr>
              <w:t>Did state adopt Aid to Dependent Children (Social Security)? (0 = no, 1 = yes)</w:t>
            </w:r>
          </w:p>
        </w:tc>
        <w:tc>
          <w:tcPr>
            <w:tcW w:w="6482" w:type="dxa"/>
          </w:tcPr>
          <w:p w14:paraId="4939D156" w14:textId="77777777" w:rsidR="0046798B" w:rsidRDefault="0046798B">
            <w:pPr>
              <w:pStyle w:val="TableParagraph"/>
              <w:spacing w:before="8"/>
              <w:rPr>
                <w:b/>
                <w:sz w:val="23"/>
              </w:rPr>
            </w:pPr>
          </w:p>
          <w:p w14:paraId="4A20B8C4" w14:textId="77777777" w:rsidR="0046798B" w:rsidRDefault="00903B5C">
            <w:pPr>
              <w:pStyle w:val="TableParagraph"/>
              <w:spacing w:before="1"/>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4B9E3D7B" w14:textId="77777777">
        <w:trPr>
          <w:trHeight w:val="775"/>
        </w:trPr>
        <w:tc>
          <w:tcPr>
            <w:tcW w:w="1711" w:type="dxa"/>
          </w:tcPr>
          <w:p w14:paraId="639FAAEE" w14:textId="77777777" w:rsidR="0046798B" w:rsidRDefault="0046798B">
            <w:pPr>
              <w:pStyle w:val="TableParagraph"/>
              <w:spacing w:before="3"/>
              <w:rPr>
                <w:b/>
                <w:sz w:val="23"/>
              </w:rPr>
            </w:pPr>
          </w:p>
          <w:p w14:paraId="7F6D5DC0" w14:textId="77777777" w:rsidR="0046798B" w:rsidRDefault="00903B5C">
            <w:pPr>
              <w:pStyle w:val="TableParagraph"/>
              <w:spacing w:before="1"/>
              <w:ind w:left="115"/>
              <w:rPr>
                <w:b/>
                <w:sz w:val="20"/>
              </w:rPr>
            </w:pPr>
            <w:r>
              <w:rPr>
                <w:b/>
                <w:sz w:val="20"/>
              </w:rPr>
              <w:t>aidperm</w:t>
            </w:r>
          </w:p>
        </w:tc>
        <w:tc>
          <w:tcPr>
            <w:tcW w:w="1596" w:type="dxa"/>
          </w:tcPr>
          <w:p w14:paraId="21B2812B" w14:textId="77777777" w:rsidR="0046798B" w:rsidRDefault="00903B5C">
            <w:pPr>
              <w:pStyle w:val="TableParagraph"/>
              <w:spacing w:before="38"/>
              <w:ind w:left="114" w:right="224"/>
              <w:rPr>
                <w:sz w:val="20"/>
              </w:rPr>
            </w:pPr>
            <w:r>
              <w:rPr>
                <w:sz w:val="20"/>
              </w:rPr>
              <w:t>Aid to permanently / totally disabled</w:t>
            </w:r>
          </w:p>
        </w:tc>
        <w:tc>
          <w:tcPr>
            <w:tcW w:w="1285" w:type="dxa"/>
          </w:tcPr>
          <w:p w14:paraId="5812102F" w14:textId="77777777" w:rsidR="0046798B" w:rsidRDefault="0046798B">
            <w:pPr>
              <w:pStyle w:val="TableParagraph"/>
              <w:spacing w:before="3"/>
              <w:rPr>
                <w:b/>
                <w:sz w:val="23"/>
              </w:rPr>
            </w:pPr>
          </w:p>
          <w:p w14:paraId="4803B271" w14:textId="77777777" w:rsidR="0046798B" w:rsidRDefault="00903B5C">
            <w:pPr>
              <w:pStyle w:val="TableParagraph"/>
              <w:spacing w:before="1"/>
              <w:ind w:left="114"/>
              <w:rPr>
                <w:sz w:val="20"/>
              </w:rPr>
            </w:pPr>
            <w:r>
              <w:rPr>
                <w:sz w:val="20"/>
              </w:rPr>
              <w:t>1950–1969</w:t>
            </w:r>
          </w:p>
        </w:tc>
        <w:tc>
          <w:tcPr>
            <w:tcW w:w="3421" w:type="dxa"/>
          </w:tcPr>
          <w:p w14:paraId="50E16AF2" w14:textId="77777777" w:rsidR="0046798B" w:rsidRDefault="00903B5C">
            <w:pPr>
              <w:pStyle w:val="TableParagraph"/>
              <w:spacing w:before="38"/>
              <w:ind w:left="114" w:right="226"/>
              <w:rPr>
                <w:sz w:val="20"/>
              </w:rPr>
            </w:pPr>
            <w:r>
              <w:rPr>
                <w:sz w:val="20"/>
              </w:rPr>
              <w:t>Did state adopt aid to the permanently/totally disabled? (0 = no, 1 = yes)</w:t>
            </w:r>
          </w:p>
        </w:tc>
        <w:tc>
          <w:tcPr>
            <w:tcW w:w="6482" w:type="dxa"/>
          </w:tcPr>
          <w:p w14:paraId="72D0B435" w14:textId="77777777" w:rsidR="0046798B" w:rsidRDefault="00903B5C">
            <w:pPr>
              <w:pStyle w:val="TableParagraph"/>
              <w:spacing w:before="15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43F78227" w14:textId="77777777">
        <w:trPr>
          <w:trHeight w:val="545"/>
        </w:trPr>
        <w:tc>
          <w:tcPr>
            <w:tcW w:w="1711" w:type="dxa"/>
          </w:tcPr>
          <w:p w14:paraId="10A964A3" w14:textId="77777777" w:rsidR="0046798B" w:rsidRDefault="00903B5C">
            <w:pPr>
              <w:pStyle w:val="TableParagraph"/>
              <w:spacing w:before="154"/>
              <w:ind w:left="115"/>
              <w:rPr>
                <w:b/>
                <w:sz w:val="20"/>
              </w:rPr>
            </w:pPr>
            <w:r>
              <w:rPr>
                <w:b/>
                <w:sz w:val="20"/>
              </w:rPr>
              <w:t>blind</w:t>
            </w:r>
          </w:p>
        </w:tc>
        <w:tc>
          <w:tcPr>
            <w:tcW w:w="1596" w:type="dxa"/>
          </w:tcPr>
          <w:p w14:paraId="4D868998" w14:textId="77777777" w:rsidR="0046798B" w:rsidRDefault="00903B5C">
            <w:pPr>
              <w:pStyle w:val="TableParagraph"/>
              <w:spacing w:before="39"/>
              <w:ind w:left="114"/>
              <w:rPr>
                <w:sz w:val="20"/>
              </w:rPr>
            </w:pPr>
            <w:r>
              <w:rPr>
                <w:sz w:val="20"/>
              </w:rPr>
              <w:t>Aid to the blind (Social Security)</w:t>
            </w:r>
          </w:p>
        </w:tc>
        <w:tc>
          <w:tcPr>
            <w:tcW w:w="1285" w:type="dxa"/>
          </w:tcPr>
          <w:p w14:paraId="3D5977E4" w14:textId="77777777" w:rsidR="0046798B" w:rsidRDefault="00903B5C">
            <w:pPr>
              <w:pStyle w:val="TableParagraph"/>
              <w:spacing w:before="154"/>
              <w:ind w:left="114"/>
              <w:rPr>
                <w:sz w:val="20"/>
              </w:rPr>
            </w:pPr>
            <w:r>
              <w:rPr>
                <w:sz w:val="20"/>
              </w:rPr>
              <w:t>1936–1982</w:t>
            </w:r>
          </w:p>
        </w:tc>
        <w:tc>
          <w:tcPr>
            <w:tcW w:w="3421" w:type="dxa"/>
          </w:tcPr>
          <w:p w14:paraId="2C594058" w14:textId="77777777" w:rsidR="0046798B" w:rsidRDefault="00903B5C">
            <w:pPr>
              <w:pStyle w:val="TableParagraph"/>
              <w:spacing w:before="39"/>
              <w:ind w:left="114" w:right="194"/>
              <w:rPr>
                <w:sz w:val="20"/>
              </w:rPr>
            </w:pPr>
            <w:r>
              <w:rPr>
                <w:sz w:val="20"/>
              </w:rPr>
              <w:t>Did state adopt aid to the blind (Social Security)? (0 = no, 1 = yes)</w:t>
            </w:r>
          </w:p>
        </w:tc>
        <w:tc>
          <w:tcPr>
            <w:tcW w:w="6482" w:type="dxa"/>
          </w:tcPr>
          <w:p w14:paraId="770633A0" w14:textId="77777777" w:rsidR="0046798B" w:rsidRDefault="00903B5C">
            <w:pPr>
              <w:pStyle w:val="TableParagraph"/>
              <w:spacing w:before="39"/>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4628F39E" w14:textId="77777777">
        <w:trPr>
          <w:trHeight w:val="775"/>
        </w:trPr>
        <w:tc>
          <w:tcPr>
            <w:tcW w:w="1711" w:type="dxa"/>
          </w:tcPr>
          <w:p w14:paraId="0948E3EB" w14:textId="77777777" w:rsidR="0046798B" w:rsidRDefault="0046798B">
            <w:pPr>
              <w:pStyle w:val="TableParagraph"/>
              <w:spacing w:before="3"/>
              <w:rPr>
                <w:b/>
                <w:sz w:val="23"/>
              </w:rPr>
            </w:pPr>
          </w:p>
          <w:p w14:paraId="4C5C685D" w14:textId="77777777" w:rsidR="0046798B" w:rsidRDefault="00903B5C">
            <w:pPr>
              <w:pStyle w:val="TableParagraph"/>
              <w:spacing w:before="1"/>
              <w:ind w:left="115"/>
              <w:rPr>
                <w:b/>
                <w:sz w:val="20"/>
              </w:rPr>
            </w:pPr>
            <w:r>
              <w:rPr>
                <w:b/>
                <w:sz w:val="20"/>
              </w:rPr>
              <w:t>oldagea</w:t>
            </w:r>
          </w:p>
        </w:tc>
        <w:tc>
          <w:tcPr>
            <w:tcW w:w="1596" w:type="dxa"/>
          </w:tcPr>
          <w:p w14:paraId="101CA841" w14:textId="77777777" w:rsidR="0046798B" w:rsidRDefault="00903B5C">
            <w:pPr>
              <w:pStyle w:val="TableParagraph"/>
              <w:spacing w:before="45" w:line="237" w:lineRule="auto"/>
              <w:ind w:left="114" w:right="105"/>
              <w:rPr>
                <w:sz w:val="20"/>
              </w:rPr>
            </w:pPr>
            <w:r>
              <w:rPr>
                <w:sz w:val="20"/>
              </w:rPr>
              <w:t>Old age assistance (Social Security)</w:t>
            </w:r>
          </w:p>
        </w:tc>
        <w:tc>
          <w:tcPr>
            <w:tcW w:w="1285" w:type="dxa"/>
          </w:tcPr>
          <w:p w14:paraId="366F91BE" w14:textId="77777777" w:rsidR="0046798B" w:rsidRDefault="0046798B">
            <w:pPr>
              <w:pStyle w:val="TableParagraph"/>
              <w:spacing w:before="3"/>
              <w:rPr>
                <w:b/>
                <w:sz w:val="23"/>
              </w:rPr>
            </w:pPr>
          </w:p>
          <w:p w14:paraId="7136EE7A" w14:textId="77777777" w:rsidR="0046798B" w:rsidRDefault="00903B5C">
            <w:pPr>
              <w:pStyle w:val="TableParagraph"/>
              <w:spacing w:before="1"/>
              <w:ind w:left="114"/>
              <w:rPr>
                <w:sz w:val="20"/>
              </w:rPr>
            </w:pPr>
            <w:r>
              <w:rPr>
                <w:sz w:val="20"/>
              </w:rPr>
              <w:t>1936–1938</w:t>
            </w:r>
          </w:p>
        </w:tc>
        <w:tc>
          <w:tcPr>
            <w:tcW w:w="3421" w:type="dxa"/>
          </w:tcPr>
          <w:p w14:paraId="6367B0F5" w14:textId="77777777" w:rsidR="0046798B" w:rsidRDefault="00903B5C">
            <w:pPr>
              <w:pStyle w:val="TableParagraph"/>
              <w:spacing w:before="162" w:line="235" w:lineRule="auto"/>
              <w:ind w:left="114" w:right="463"/>
              <w:rPr>
                <w:sz w:val="20"/>
              </w:rPr>
            </w:pPr>
            <w:r>
              <w:rPr>
                <w:sz w:val="20"/>
              </w:rPr>
              <w:t>Did state adopt old age assistance (Social Security)? (0 = no, 1 = yes)</w:t>
            </w:r>
          </w:p>
        </w:tc>
        <w:tc>
          <w:tcPr>
            <w:tcW w:w="6482" w:type="dxa"/>
          </w:tcPr>
          <w:p w14:paraId="1BFCA3E9" w14:textId="77777777" w:rsidR="0046798B" w:rsidRDefault="00903B5C">
            <w:pPr>
              <w:pStyle w:val="TableParagraph"/>
              <w:spacing w:before="162" w:line="235" w:lineRule="auto"/>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50396E61" w14:textId="77777777">
        <w:trPr>
          <w:trHeight w:val="545"/>
        </w:trPr>
        <w:tc>
          <w:tcPr>
            <w:tcW w:w="1711" w:type="dxa"/>
          </w:tcPr>
          <w:p w14:paraId="2C16C34D" w14:textId="77777777" w:rsidR="0046798B" w:rsidRDefault="00903B5C">
            <w:pPr>
              <w:pStyle w:val="TableParagraph"/>
              <w:spacing w:before="158"/>
              <w:ind w:left="115"/>
              <w:rPr>
                <w:b/>
                <w:sz w:val="20"/>
              </w:rPr>
            </w:pPr>
            <w:r>
              <w:rPr>
                <w:b/>
                <w:sz w:val="20"/>
              </w:rPr>
              <w:t>timelim</w:t>
            </w:r>
          </w:p>
        </w:tc>
        <w:tc>
          <w:tcPr>
            <w:tcW w:w="1596" w:type="dxa"/>
          </w:tcPr>
          <w:p w14:paraId="004F1EB8" w14:textId="77777777" w:rsidR="0046798B" w:rsidRDefault="00903B5C">
            <w:pPr>
              <w:pStyle w:val="TableParagraph"/>
              <w:spacing w:before="43"/>
              <w:ind w:left="114" w:right="169"/>
              <w:rPr>
                <w:sz w:val="20"/>
              </w:rPr>
            </w:pPr>
            <w:r>
              <w:rPr>
                <w:sz w:val="20"/>
              </w:rPr>
              <w:t>Time limits on welfare benefits</w:t>
            </w:r>
          </w:p>
        </w:tc>
        <w:tc>
          <w:tcPr>
            <w:tcW w:w="1285" w:type="dxa"/>
          </w:tcPr>
          <w:p w14:paraId="765A1FBB" w14:textId="77777777" w:rsidR="0046798B" w:rsidRDefault="00903B5C">
            <w:pPr>
              <w:pStyle w:val="TableParagraph"/>
              <w:spacing w:before="158"/>
              <w:ind w:left="114"/>
              <w:rPr>
                <w:sz w:val="20"/>
              </w:rPr>
            </w:pPr>
            <w:r>
              <w:rPr>
                <w:sz w:val="20"/>
              </w:rPr>
              <w:t>1993–1996</w:t>
            </w:r>
          </w:p>
        </w:tc>
        <w:tc>
          <w:tcPr>
            <w:tcW w:w="3421" w:type="dxa"/>
          </w:tcPr>
          <w:p w14:paraId="7A802D30" w14:textId="77777777" w:rsidR="0046798B" w:rsidRDefault="00903B5C">
            <w:pPr>
              <w:pStyle w:val="TableParagraph"/>
              <w:spacing w:before="43"/>
              <w:ind w:left="114" w:right="255"/>
              <w:rPr>
                <w:sz w:val="20"/>
              </w:rPr>
            </w:pPr>
            <w:r>
              <w:rPr>
                <w:sz w:val="20"/>
              </w:rPr>
              <w:t>Did state adopt time limits on welfare benefits? (0 = no, 1 = yes)</w:t>
            </w:r>
          </w:p>
        </w:tc>
        <w:tc>
          <w:tcPr>
            <w:tcW w:w="6482" w:type="dxa"/>
          </w:tcPr>
          <w:p w14:paraId="22527403" w14:textId="77777777" w:rsidR="0046798B" w:rsidRDefault="00903B5C">
            <w:pPr>
              <w:pStyle w:val="TableParagraph"/>
              <w:spacing w:before="4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69DCB707" w14:textId="77777777">
        <w:trPr>
          <w:trHeight w:val="1235"/>
        </w:trPr>
        <w:tc>
          <w:tcPr>
            <w:tcW w:w="1711" w:type="dxa"/>
          </w:tcPr>
          <w:p w14:paraId="464C7088" w14:textId="77777777" w:rsidR="0046798B" w:rsidRDefault="0046798B">
            <w:pPr>
              <w:pStyle w:val="TableParagraph"/>
              <w:rPr>
                <w:b/>
              </w:rPr>
            </w:pPr>
          </w:p>
          <w:p w14:paraId="7D85DD74" w14:textId="77777777" w:rsidR="0046798B" w:rsidRDefault="0046798B">
            <w:pPr>
              <w:pStyle w:val="TableParagraph"/>
              <w:spacing w:before="9"/>
              <w:rPr>
                <w:b/>
                <w:sz w:val="21"/>
              </w:rPr>
            </w:pPr>
          </w:p>
          <w:p w14:paraId="138DB95C" w14:textId="77777777" w:rsidR="0046798B" w:rsidRDefault="00903B5C">
            <w:pPr>
              <w:pStyle w:val="TableParagraph"/>
              <w:ind w:left="115"/>
              <w:rPr>
                <w:b/>
                <w:sz w:val="20"/>
              </w:rPr>
            </w:pPr>
            <w:r>
              <w:rPr>
                <w:b/>
                <w:sz w:val="20"/>
              </w:rPr>
              <w:t>afdc_up</w:t>
            </w:r>
          </w:p>
        </w:tc>
        <w:tc>
          <w:tcPr>
            <w:tcW w:w="1596" w:type="dxa"/>
          </w:tcPr>
          <w:p w14:paraId="3F0CA89B" w14:textId="77777777" w:rsidR="0046798B" w:rsidRDefault="0046798B">
            <w:pPr>
              <w:pStyle w:val="TableParagraph"/>
              <w:rPr>
                <w:b/>
              </w:rPr>
            </w:pPr>
          </w:p>
          <w:p w14:paraId="63AD2643" w14:textId="77777777" w:rsidR="0046798B" w:rsidRDefault="00903B5C">
            <w:pPr>
              <w:pStyle w:val="TableParagraph"/>
              <w:spacing w:before="135"/>
              <w:ind w:left="114"/>
              <w:rPr>
                <w:sz w:val="20"/>
              </w:rPr>
            </w:pPr>
            <w:r>
              <w:rPr>
                <w:sz w:val="20"/>
              </w:rPr>
              <w:t>AFDC-UP</w:t>
            </w:r>
          </w:p>
          <w:p w14:paraId="04A1BE05" w14:textId="77777777" w:rsidR="0046798B" w:rsidRDefault="00903B5C">
            <w:pPr>
              <w:pStyle w:val="TableParagraph"/>
              <w:ind w:left="114"/>
              <w:rPr>
                <w:sz w:val="20"/>
              </w:rPr>
            </w:pPr>
            <w:r>
              <w:rPr>
                <w:sz w:val="20"/>
              </w:rPr>
              <w:t>policy</w:t>
            </w:r>
          </w:p>
        </w:tc>
        <w:tc>
          <w:tcPr>
            <w:tcW w:w="1285" w:type="dxa"/>
          </w:tcPr>
          <w:p w14:paraId="4C038BF3" w14:textId="77777777" w:rsidR="0046798B" w:rsidRDefault="0046798B">
            <w:pPr>
              <w:pStyle w:val="TableParagraph"/>
              <w:rPr>
                <w:b/>
              </w:rPr>
            </w:pPr>
          </w:p>
          <w:p w14:paraId="3F1CC3B7" w14:textId="77777777" w:rsidR="0046798B" w:rsidRDefault="0046798B">
            <w:pPr>
              <w:pStyle w:val="TableParagraph"/>
              <w:spacing w:before="9"/>
              <w:rPr>
                <w:b/>
                <w:sz w:val="21"/>
              </w:rPr>
            </w:pPr>
          </w:p>
          <w:p w14:paraId="4D8D2689" w14:textId="77777777" w:rsidR="0046798B" w:rsidRDefault="00903B5C">
            <w:pPr>
              <w:pStyle w:val="TableParagraph"/>
              <w:ind w:left="114"/>
              <w:rPr>
                <w:sz w:val="20"/>
              </w:rPr>
            </w:pPr>
            <w:r>
              <w:rPr>
                <w:sz w:val="20"/>
              </w:rPr>
              <w:t>1961–1990</w:t>
            </w:r>
          </w:p>
        </w:tc>
        <w:tc>
          <w:tcPr>
            <w:tcW w:w="3421" w:type="dxa"/>
          </w:tcPr>
          <w:p w14:paraId="3B0C348E" w14:textId="77777777" w:rsidR="0046798B" w:rsidRDefault="0046798B">
            <w:pPr>
              <w:pStyle w:val="TableParagraph"/>
              <w:spacing w:before="8"/>
              <w:rPr>
                <w:b/>
                <w:sz w:val="23"/>
              </w:rPr>
            </w:pPr>
          </w:p>
          <w:p w14:paraId="5E48FCCF" w14:textId="77777777" w:rsidR="0046798B" w:rsidRDefault="00903B5C">
            <w:pPr>
              <w:pStyle w:val="TableParagraph"/>
              <w:ind w:left="114" w:right="111"/>
              <w:rPr>
                <w:sz w:val="20"/>
              </w:rPr>
            </w:pPr>
            <w:r>
              <w:rPr>
                <w:sz w:val="20"/>
              </w:rPr>
              <w:t>Does the state participate in the AFDC- UP (AFDC-Unemployed Parent) program? (0 = no, 1 = yes)</w:t>
            </w:r>
          </w:p>
        </w:tc>
        <w:tc>
          <w:tcPr>
            <w:tcW w:w="6482" w:type="dxa"/>
          </w:tcPr>
          <w:p w14:paraId="31176725"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09B0D83B" w14:textId="77777777">
        <w:trPr>
          <w:trHeight w:val="780"/>
        </w:trPr>
        <w:tc>
          <w:tcPr>
            <w:tcW w:w="1711" w:type="dxa"/>
          </w:tcPr>
          <w:p w14:paraId="53667769" w14:textId="77777777" w:rsidR="0046798B" w:rsidRDefault="00903B5C">
            <w:pPr>
              <w:pStyle w:val="TableParagraph"/>
              <w:spacing w:before="158"/>
              <w:ind w:left="115" w:right="188"/>
              <w:rPr>
                <w:b/>
                <w:sz w:val="20"/>
              </w:rPr>
            </w:pPr>
            <w:r>
              <w:rPr>
                <w:b/>
                <w:sz w:val="20"/>
              </w:rPr>
              <w:t>medicaid_statea doption</w:t>
            </w:r>
          </w:p>
        </w:tc>
        <w:tc>
          <w:tcPr>
            <w:tcW w:w="1596" w:type="dxa"/>
          </w:tcPr>
          <w:p w14:paraId="1CFFD841" w14:textId="77777777" w:rsidR="0046798B" w:rsidRDefault="00903B5C">
            <w:pPr>
              <w:pStyle w:val="TableParagraph"/>
              <w:spacing w:before="158"/>
              <w:ind w:left="114" w:right="85"/>
              <w:rPr>
                <w:sz w:val="20"/>
              </w:rPr>
            </w:pPr>
            <w:r>
              <w:rPr>
                <w:sz w:val="20"/>
              </w:rPr>
              <w:t>State adoption of Medicaid</w:t>
            </w:r>
          </w:p>
        </w:tc>
        <w:tc>
          <w:tcPr>
            <w:tcW w:w="1285" w:type="dxa"/>
          </w:tcPr>
          <w:p w14:paraId="1E17F8AD" w14:textId="77777777" w:rsidR="0046798B" w:rsidRDefault="0046798B">
            <w:pPr>
              <w:pStyle w:val="TableParagraph"/>
              <w:spacing w:before="8"/>
              <w:rPr>
                <w:b/>
                <w:sz w:val="23"/>
              </w:rPr>
            </w:pPr>
          </w:p>
          <w:p w14:paraId="18ABCE21" w14:textId="77777777" w:rsidR="0046798B" w:rsidRDefault="00903B5C">
            <w:pPr>
              <w:pStyle w:val="TableParagraph"/>
              <w:spacing w:before="1"/>
              <w:ind w:left="114"/>
              <w:rPr>
                <w:sz w:val="20"/>
              </w:rPr>
            </w:pPr>
            <w:r>
              <w:rPr>
                <w:sz w:val="20"/>
              </w:rPr>
              <w:t>1966–1983</w:t>
            </w:r>
          </w:p>
        </w:tc>
        <w:tc>
          <w:tcPr>
            <w:tcW w:w="3421" w:type="dxa"/>
          </w:tcPr>
          <w:p w14:paraId="120F9432" w14:textId="77777777" w:rsidR="0046798B" w:rsidRDefault="00903B5C">
            <w:pPr>
              <w:pStyle w:val="TableParagraph"/>
              <w:spacing w:before="158"/>
              <w:ind w:left="114" w:right="783"/>
              <w:rPr>
                <w:sz w:val="20"/>
              </w:rPr>
            </w:pPr>
            <w:r>
              <w:rPr>
                <w:sz w:val="20"/>
              </w:rPr>
              <w:t>Does the state have a Medicaid program? (0 = no, 1 = yes)</w:t>
            </w:r>
          </w:p>
        </w:tc>
        <w:tc>
          <w:tcPr>
            <w:tcW w:w="6482" w:type="dxa"/>
          </w:tcPr>
          <w:p w14:paraId="7AB4EB39" w14:textId="77777777" w:rsidR="0046798B" w:rsidRDefault="00903B5C">
            <w:pPr>
              <w:pStyle w:val="TableParagraph"/>
              <w:spacing w:before="43"/>
              <w:ind w:left="114"/>
              <w:rPr>
                <w:sz w:val="20"/>
              </w:rPr>
            </w:pPr>
            <w:r>
              <w:rPr>
                <w:sz w:val="20"/>
              </w:rPr>
              <w:t xml:space="preserve">Caughey, Devin, and Christopher Warshaw. 2015. “The Dynamics of State Policy Liberalism, 1936–2014.” </w:t>
            </w:r>
            <w:r>
              <w:rPr>
                <w:i/>
                <w:sz w:val="20"/>
              </w:rPr>
              <w:t>American Journal of Political Science</w:t>
            </w:r>
            <w:r>
              <w:rPr>
                <w:sz w:val="20"/>
              </w:rPr>
              <w:t>, September. doi: 10.1111/ajps.12219.</w:t>
            </w:r>
          </w:p>
        </w:tc>
      </w:tr>
    </w:tbl>
    <w:p w14:paraId="6063FFE9" w14:textId="77777777" w:rsidR="0046798B" w:rsidRDefault="0046798B">
      <w:pPr>
        <w:rPr>
          <w:sz w:val="20"/>
        </w:rPr>
        <w:sectPr w:rsidR="0046798B">
          <w:pgSz w:w="15840" w:h="12240" w:orient="landscape"/>
          <w:pgMar w:top="1220" w:right="300" w:bottom="980" w:left="820" w:header="730" w:footer="787" w:gutter="0"/>
          <w:cols w:space="720"/>
        </w:sectPr>
      </w:pPr>
    </w:p>
    <w:p w14:paraId="775D7B7D"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30B823F7" w14:textId="77777777">
        <w:trPr>
          <w:trHeight w:val="542"/>
        </w:trPr>
        <w:tc>
          <w:tcPr>
            <w:tcW w:w="1711" w:type="dxa"/>
            <w:tcBorders>
              <w:bottom w:val="dotted" w:sz="6" w:space="0" w:color="BEBEBE"/>
            </w:tcBorders>
          </w:tcPr>
          <w:p w14:paraId="58574F30" w14:textId="77777777" w:rsidR="0046798B" w:rsidRDefault="0046798B">
            <w:pPr>
              <w:pStyle w:val="TableParagraph"/>
              <w:rPr>
                <w:sz w:val="20"/>
              </w:rPr>
            </w:pPr>
          </w:p>
        </w:tc>
        <w:tc>
          <w:tcPr>
            <w:tcW w:w="1596" w:type="dxa"/>
            <w:tcBorders>
              <w:bottom w:val="dotted" w:sz="6" w:space="0" w:color="BEBEBE"/>
            </w:tcBorders>
          </w:tcPr>
          <w:p w14:paraId="2885CA1E" w14:textId="77777777" w:rsidR="0046798B" w:rsidRDefault="0046798B">
            <w:pPr>
              <w:pStyle w:val="TableParagraph"/>
              <w:rPr>
                <w:sz w:val="20"/>
              </w:rPr>
            </w:pPr>
          </w:p>
        </w:tc>
        <w:tc>
          <w:tcPr>
            <w:tcW w:w="1285" w:type="dxa"/>
            <w:tcBorders>
              <w:bottom w:val="dotted" w:sz="6" w:space="0" w:color="BEBEBE"/>
            </w:tcBorders>
          </w:tcPr>
          <w:p w14:paraId="2FA7A708" w14:textId="77777777" w:rsidR="0046798B" w:rsidRDefault="0046798B">
            <w:pPr>
              <w:pStyle w:val="TableParagraph"/>
              <w:rPr>
                <w:sz w:val="20"/>
              </w:rPr>
            </w:pPr>
          </w:p>
        </w:tc>
        <w:tc>
          <w:tcPr>
            <w:tcW w:w="3421" w:type="dxa"/>
            <w:tcBorders>
              <w:bottom w:val="dotted" w:sz="6" w:space="0" w:color="BEBEBE"/>
            </w:tcBorders>
          </w:tcPr>
          <w:p w14:paraId="4DBFB858" w14:textId="77777777" w:rsidR="0046798B" w:rsidRDefault="0046798B">
            <w:pPr>
              <w:pStyle w:val="TableParagraph"/>
              <w:rPr>
                <w:sz w:val="20"/>
              </w:rPr>
            </w:pPr>
          </w:p>
        </w:tc>
        <w:tc>
          <w:tcPr>
            <w:tcW w:w="6482" w:type="dxa"/>
            <w:tcBorders>
              <w:bottom w:val="dotted" w:sz="6" w:space="0" w:color="BEBEBE"/>
            </w:tcBorders>
          </w:tcPr>
          <w:p w14:paraId="4F0FEB06" w14:textId="77777777" w:rsidR="0046798B" w:rsidRDefault="00903B5C">
            <w:pPr>
              <w:pStyle w:val="TableParagraph"/>
              <w:spacing w:before="43"/>
              <w:ind w:left="114" w:right="137"/>
              <w:rPr>
                <w:sz w:val="20"/>
              </w:rPr>
            </w:pP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215E7EA2" w14:textId="77777777">
        <w:trPr>
          <w:trHeight w:val="1233"/>
        </w:trPr>
        <w:tc>
          <w:tcPr>
            <w:tcW w:w="1711" w:type="dxa"/>
            <w:tcBorders>
              <w:top w:val="dotted" w:sz="6" w:space="0" w:color="BEBEBE"/>
            </w:tcBorders>
          </w:tcPr>
          <w:p w14:paraId="23488BF4" w14:textId="77777777" w:rsidR="0046798B" w:rsidRDefault="0046798B">
            <w:pPr>
              <w:pStyle w:val="TableParagraph"/>
            </w:pPr>
          </w:p>
          <w:p w14:paraId="312DE596" w14:textId="77777777" w:rsidR="0046798B" w:rsidRDefault="0046798B">
            <w:pPr>
              <w:pStyle w:val="TableParagraph"/>
              <w:spacing w:before="6"/>
              <w:rPr>
                <w:sz w:val="21"/>
              </w:rPr>
            </w:pPr>
          </w:p>
          <w:p w14:paraId="48CD6C15" w14:textId="77777777" w:rsidR="0046798B" w:rsidRDefault="00903B5C">
            <w:pPr>
              <w:pStyle w:val="TableParagraph"/>
              <w:ind w:left="115"/>
              <w:rPr>
                <w:b/>
                <w:sz w:val="20"/>
              </w:rPr>
            </w:pPr>
            <w:r>
              <w:rPr>
                <w:b/>
                <w:sz w:val="20"/>
              </w:rPr>
              <w:t>x_chip_children</w:t>
            </w:r>
          </w:p>
        </w:tc>
        <w:tc>
          <w:tcPr>
            <w:tcW w:w="1596" w:type="dxa"/>
            <w:tcBorders>
              <w:top w:val="dotted" w:sz="6" w:space="0" w:color="BEBEBE"/>
            </w:tcBorders>
          </w:tcPr>
          <w:p w14:paraId="0BB82B23" w14:textId="77777777" w:rsidR="0046798B" w:rsidRDefault="0046798B">
            <w:pPr>
              <w:pStyle w:val="TableParagraph"/>
              <w:spacing w:before="6"/>
              <w:rPr>
                <w:sz w:val="23"/>
              </w:rPr>
            </w:pPr>
          </w:p>
          <w:p w14:paraId="335B9876" w14:textId="77777777" w:rsidR="0046798B" w:rsidRDefault="00903B5C">
            <w:pPr>
              <w:pStyle w:val="TableParagraph"/>
              <w:ind w:left="114"/>
              <w:rPr>
                <w:sz w:val="20"/>
              </w:rPr>
            </w:pPr>
            <w:r>
              <w:rPr>
                <w:sz w:val="20"/>
              </w:rPr>
              <w:t>CHIP—</w:t>
            </w:r>
          </w:p>
          <w:p w14:paraId="5BF4A9ED" w14:textId="77777777" w:rsidR="0046798B" w:rsidRDefault="00903B5C">
            <w:pPr>
              <w:pStyle w:val="TableParagraph"/>
              <w:ind w:left="114" w:right="235"/>
              <w:rPr>
                <w:sz w:val="20"/>
              </w:rPr>
            </w:pPr>
            <w:r>
              <w:rPr>
                <w:sz w:val="20"/>
              </w:rPr>
              <w:t>eligibility level for children</w:t>
            </w:r>
          </w:p>
        </w:tc>
        <w:tc>
          <w:tcPr>
            <w:tcW w:w="1285" w:type="dxa"/>
            <w:tcBorders>
              <w:top w:val="dotted" w:sz="6" w:space="0" w:color="BEBEBE"/>
            </w:tcBorders>
          </w:tcPr>
          <w:p w14:paraId="5427D8BD" w14:textId="77777777" w:rsidR="0046798B" w:rsidRDefault="0046798B">
            <w:pPr>
              <w:pStyle w:val="TableParagraph"/>
            </w:pPr>
          </w:p>
          <w:p w14:paraId="17B2BD3A" w14:textId="77777777" w:rsidR="0046798B" w:rsidRDefault="0046798B">
            <w:pPr>
              <w:pStyle w:val="TableParagraph"/>
              <w:spacing w:before="6"/>
              <w:rPr>
                <w:sz w:val="21"/>
              </w:rPr>
            </w:pPr>
          </w:p>
          <w:p w14:paraId="3F12297F" w14:textId="77777777" w:rsidR="0046798B" w:rsidRDefault="00903B5C">
            <w:pPr>
              <w:pStyle w:val="TableParagraph"/>
              <w:ind w:left="114"/>
              <w:rPr>
                <w:sz w:val="20"/>
              </w:rPr>
            </w:pPr>
            <w:r>
              <w:rPr>
                <w:sz w:val="20"/>
              </w:rPr>
              <w:t>1998–2012</w:t>
            </w:r>
          </w:p>
        </w:tc>
        <w:tc>
          <w:tcPr>
            <w:tcW w:w="3421" w:type="dxa"/>
            <w:tcBorders>
              <w:top w:val="dotted" w:sz="6" w:space="0" w:color="BEBEBE"/>
            </w:tcBorders>
          </w:tcPr>
          <w:p w14:paraId="36CEB54B" w14:textId="77777777" w:rsidR="0046798B" w:rsidRDefault="0046798B">
            <w:pPr>
              <w:pStyle w:val="TableParagraph"/>
            </w:pPr>
          </w:p>
          <w:p w14:paraId="330DD504" w14:textId="77777777" w:rsidR="0046798B" w:rsidRDefault="00903B5C">
            <w:pPr>
              <w:pStyle w:val="TableParagraph"/>
              <w:spacing w:before="133"/>
              <w:ind w:left="114" w:right="310"/>
              <w:rPr>
                <w:sz w:val="20"/>
              </w:rPr>
            </w:pPr>
            <w:r>
              <w:rPr>
                <w:sz w:val="20"/>
              </w:rPr>
              <w:t>What is the CHIP eligibility level for children?</w:t>
            </w:r>
          </w:p>
        </w:tc>
        <w:tc>
          <w:tcPr>
            <w:tcW w:w="6482" w:type="dxa"/>
            <w:tcBorders>
              <w:top w:val="dotted" w:sz="6" w:space="0" w:color="BEBEBE"/>
            </w:tcBorders>
          </w:tcPr>
          <w:p w14:paraId="34B1BAF8" w14:textId="77777777" w:rsidR="0046798B" w:rsidRDefault="00903B5C">
            <w:pPr>
              <w:pStyle w:val="TableParagraph"/>
              <w:spacing w:before="40"/>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3F33FFF9" w14:textId="77777777">
        <w:trPr>
          <w:trHeight w:val="1240"/>
        </w:trPr>
        <w:tc>
          <w:tcPr>
            <w:tcW w:w="1711" w:type="dxa"/>
          </w:tcPr>
          <w:p w14:paraId="412CCBB7" w14:textId="77777777" w:rsidR="0046798B" w:rsidRDefault="0046798B">
            <w:pPr>
              <w:pStyle w:val="TableParagraph"/>
            </w:pPr>
          </w:p>
          <w:p w14:paraId="6E901487" w14:textId="77777777" w:rsidR="0046798B" w:rsidRDefault="0046798B">
            <w:pPr>
              <w:pStyle w:val="TableParagraph"/>
              <w:spacing w:before="8"/>
              <w:rPr>
                <w:sz w:val="21"/>
              </w:rPr>
            </w:pPr>
          </w:p>
          <w:p w14:paraId="28707236" w14:textId="77777777" w:rsidR="0046798B" w:rsidRDefault="00903B5C">
            <w:pPr>
              <w:pStyle w:val="TableParagraph"/>
              <w:spacing w:before="1"/>
              <w:ind w:left="115"/>
              <w:rPr>
                <w:b/>
                <w:sz w:val="20"/>
              </w:rPr>
            </w:pPr>
            <w:r>
              <w:rPr>
                <w:b/>
                <w:sz w:val="20"/>
              </w:rPr>
              <w:t>x_chip_infants</w:t>
            </w:r>
          </w:p>
        </w:tc>
        <w:tc>
          <w:tcPr>
            <w:tcW w:w="1596" w:type="dxa"/>
          </w:tcPr>
          <w:p w14:paraId="7CDA3C22" w14:textId="77777777" w:rsidR="0046798B" w:rsidRDefault="0046798B">
            <w:pPr>
              <w:pStyle w:val="TableParagraph"/>
              <w:spacing w:before="8"/>
              <w:rPr>
                <w:sz w:val="23"/>
              </w:rPr>
            </w:pPr>
          </w:p>
          <w:p w14:paraId="5B41DF3C" w14:textId="77777777" w:rsidR="0046798B" w:rsidRDefault="00903B5C">
            <w:pPr>
              <w:pStyle w:val="TableParagraph"/>
              <w:spacing w:before="1"/>
              <w:ind w:left="114"/>
              <w:rPr>
                <w:sz w:val="20"/>
              </w:rPr>
            </w:pPr>
            <w:r>
              <w:rPr>
                <w:sz w:val="20"/>
              </w:rPr>
              <w:t>CHIP—</w:t>
            </w:r>
          </w:p>
          <w:p w14:paraId="091DD672" w14:textId="77777777" w:rsidR="0046798B" w:rsidRDefault="00903B5C">
            <w:pPr>
              <w:pStyle w:val="TableParagraph"/>
              <w:ind w:left="114" w:right="235"/>
              <w:rPr>
                <w:sz w:val="20"/>
              </w:rPr>
            </w:pPr>
            <w:r>
              <w:rPr>
                <w:sz w:val="20"/>
              </w:rPr>
              <w:t>eligibility level for infants</w:t>
            </w:r>
          </w:p>
        </w:tc>
        <w:tc>
          <w:tcPr>
            <w:tcW w:w="1285" w:type="dxa"/>
          </w:tcPr>
          <w:p w14:paraId="58B87821" w14:textId="77777777" w:rsidR="0046798B" w:rsidRDefault="0046798B">
            <w:pPr>
              <w:pStyle w:val="TableParagraph"/>
            </w:pPr>
          </w:p>
          <w:p w14:paraId="37E563FA" w14:textId="77777777" w:rsidR="0046798B" w:rsidRDefault="0046798B">
            <w:pPr>
              <w:pStyle w:val="TableParagraph"/>
              <w:spacing w:before="8"/>
              <w:rPr>
                <w:sz w:val="21"/>
              </w:rPr>
            </w:pPr>
          </w:p>
          <w:p w14:paraId="76394D6D" w14:textId="77777777" w:rsidR="0046798B" w:rsidRDefault="00903B5C">
            <w:pPr>
              <w:pStyle w:val="TableParagraph"/>
              <w:spacing w:before="1"/>
              <w:ind w:left="114"/>
              <w:rPr>
                <w:sz w:val="20"/>
              </w:rPr>
            </w:pPr>
            <w:r>
              <w:rPr>
                <w:sz w:val="20"/>
              </w:rPr>
              <w:t>1998–2012</w:t>
            </w:r>
          </w:p>
        </w:tc>
        <w:tc>
          <w:tcPr>
            <w:tcW w:w="3421" w:type="dxa"/>
          </w:tcPr>
          <w:p w14:paraId="0F5C461D" w14:textId="77777777" w:rsidR="0046798B" w:rsidRDefault="0046798B">
            <w:pPr>
              <w:pStyle w:val="TableParagraph"/>
            </w:pPr>
          </w:p>
          <w:p w14:paraId="61FA6F38" w14:textId="77777777" w:rsidR="0046798B" w:rsidRDefault="00903B5C">
            <w:pPr>
              <w:pStyle w:val="TableParagraph"/>
              <w:spacing w:before="135"/>
              <w:ind w:left="114" w:right="310"/>
              <w:rPr>
                <w:sz w:val="20"/>
              </w:rPr>
            </w:pPr>
            <w:r>
              <w:rPr>
                <w:sz w:val="20"/>
              </w:rPr>
              <w:t>What is the CHIP eligibility level for infants?</w:t>
            </w:r>
          </w:p>
        </w:tc>
        <w:tc>
          <w:tcPr>
            <w:tcW w:w="6482" w:type="dxa"/>
          </w:tcPr>
          <w:p w14:paraId="5F89A962"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5D87EB2C" w14:textId="77777777">
        <w:trPr>
          <w:trHeight w:val="1235"/>
        </w:trPr>
        <w:tc>
          <w:tcPr>
            <w:tcW w:w="1711" w:type="dxa"/>
          </w:tcPr>
          <w:p w14:paraId="48EFD876" w14:textId="77777777" w:rsidR="0046798B" w:rsidRDefault="0046798B">
            <w:pPr>
              <w:pStyle w:val="TableParagraph"/>
            </w:pPr>
          </w:p>
          <w:p w14:paraId="344FFB03" w14:textId="77777777" w:rsidR="0046798B" w:rsidRDefault="00903B5C">
            <w:pPr>
              <w:pStyle w:val="TableParagraph"/>
              <w:spacing w:before="130"/>
              <w:ind w:left="115"/>
              <w:rPr>
                <w:b/>
                <w:sz w:val="20"/>
              </w:rPr>
            </w:pPr>
            <w:r>
              <w:rPr>
                <w:b/>
                <w:sz w:val="20"/>
              </w:rPr>
              <w:t>x_chip_pregnant women</w:t>
            </w:r>
          </w:p>
        </w:tc>
        <w:tc>
          <w:tcPr>
            <w:tcW w:w="1596" w:type="dxa"/>
          </w:tcPr>
          <w:p w14:paraId="7B5D7B40" w14:textId="77777777" w:rsidR="0046798B" w:rsidRDefault="00903B5C">
            <w:pPr>
              <w:pStyle w:val="TableParagraph"/>
              <w:spacing w:before="153"/>
              <w:ind w:left="114"/>
              <w:rPr>
                <w:sz w:val="20"/>
              </w:rPr>
            </w:pPr>
            <w:r>
              <w:rPr>
                <w:sz w:val="20"/>
              </w:rPr>
              <w:t>CHIP—</w:t>
            </w:r>
          </w:p>
          <w:p w14:paraId="4C4E4C4C" w14:textId="77777777" w:rsidR="0046798B" w:rsidRDefault="00903B5C">
            <w:pPr>
              <w:pStyle w:val="TableParagraph"/>
              <w:ind w:left="114" w:right="235"/>
              <w:rPr>
                <w:sz w:val="20"/>
              </w:rPr>
            </w:pPr>
            <w:r>
              <w:rPr>
                <w:sz w:val="20"/>
              </w:rPr>
              <w:t>eligibility level for pregnant women</w:t>
            </w:r>
          </w:p>
        </w:tc>
        <w:tc>
          <w:tcPr>
            <w:tcW w:w="1285" w:type="dxa"/>
          </w:tcPr>
          <w:p w14:paraId="72D1D7CC" w14:textId="77777777" w:rsidR="0046798B" w:rsidRDefault="0046798B">
            <w:pPr>
              <w:pStyle w:val="TableParagraph"/>
            </w:pPr>
          </w:p>
          <w:p w14:paraId="7750A54B" w14:textId="77777777" w:rsidR="0046798B" w:rsidRDefault="0046798B">
            <w:pPr>
              <w:pStyle w:val="TableParagraph"/>
              <w:spacing w:before="3"/>
              <w:rPr>
                <w:sz w:val="21"/>
              </w:rPr>
            </w:pPr>
          </w:p>
          <w:p w14:paraId="6BE21592" w14:textId="77777777" w:rsidR="0046798B" w:rsidRDefault="00903B5C">
            <w:pPr>
              <w:pStyle w:val="TableParagraph"/>
              <w:spacing w:before="1"/>
              <w:ind w:left="114"/>
              <w:rPr>
                <w:sz w:val="20"/>
              </w:rPr>
            </w:pPr>
            <w:r>
              <w:rPr>
                <w:sz w:val="20"/>
              </w:rPr>
              <w:t>1998–2012</w:t>
            </w:r>
          </w:p>
        </w:tc>
        <w:tc>
          <w:tcPr>
            <w:tcW w:w="3421" w:type="dxa"/>
          </w:tcPr>
          <w:p w14:paraId="5B626E75" w14:textId="77777777" w:rsidR="0046798B" w:rsidRDefault="0046798B">
            <w:pPr>
              <w:pStyle w:val="TableParagraph"/>
            </w:pPr>
          </w:p>
          <w:p w14:paraId="6A347869" w14:textId="77777777" w:rsidR="0046798B" w:rsidRDefault="00903B5C">
            <w:pPr>
              <w:pStyle w:val="TableParagraph"/>
              <w:spacing w:before="130"/>
              <w:ind w:left="114" w:right="310"/>
              <w:rPr>
                <w:sz w:val="20"/>
              </w:rPr>
            </w:pPr>
            <w:r>
              <w:rPr>
                <w:sz w:val="20"/>
              </w:rPr>
              <w:t>What is the CHIP eligibility level for pregnant women?</w:t>
            </w:r>
          </w:p>
        </w:tc>
        <w:tc>
          <w:tcPr>
            <w:tcW w:w="6482" w:type="dxa"/>
          </w:tcPr>
          <w:p w14:paraId="79FC4249"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1A474003" w14:textId="77777777">
        <w:trPr>
          <w:trHeight w:val="1235"/>
        </w:trPr>
        <w:tc>
          <w:tcPr>
            <w:tcW w:w="1711" w:type="dxa"/>
          </w:tcPr>
          <w:p w14:paraId="4255CC2E" w14:textId="77777777" w:rsidR="0046798B" w:rsidRDefault="0046798B">
            <w:pPr>
              <w:pStyle w:val="TableParagraph"/>
            </w:pPr>
          </w:p>
          <w:p w14:paraId="7086C857" w14:textId="77777777" w:rsidR="0046798B" w:rsidRDefault="00903B5C">
            <w:pPr>
              <w:pStyle w:val="TableParagraph"/>
              <w:spacing w:before="130"/>
              <w:ind w:left="115"/>
              <w:rPr>
                <w:b/>
                <w:sz w:val="20"/>
              </w:rPr>
            </w:pPr>
            <w:r>
              <w:rPr>
                <w:b/>
                <w:sz w:val="20"/>
              </w:rPr>
              <w:t>x_chip_pregnant women_prebba</w:t>
            </w:r>
          </w:p>
        </w:tc>
        <w:tc>
          <w:tcPr>
            <w:tcW w:w="1596" w:type="dxa"/>
          </w:tcPr>
          <w:p w14:paraId="7DC0A451" w14:textId="77777777" w:rsidR="0046798B" w:rsidRDefault="0046798B">
            <w:pPr>
              <w:pStyle w:val="TableParagraph"/>
              <w:spacing w:before="3"/>
              <w:rPr>
                <w:sz w:val="23"/>
              </w:rPr>
            </w:pPr>
          </w:p>
          <w:p w14:paraId="626CBB39" w14:textId="77777777" w:rsidR="0046798B" w:rsidRDefault="00903B5C">
            <w:pPr>
              <w:pStyle w:val="TableParagraph"/>
              <w:spacing w:before="1"/>
              <w:ind w:left="114" w:right="113"/>
              <w:rPr>
                <w:sz w:val="20"/>
              </w:rPr>
            </w:pPr>
            <w:r>
              <w:rPr>
                <w:sz w:val="20"/>
              </w:rPr>
              <w:t>Medicaid— eligibility for pregnant women</w:t>
            </w:r>
          </w:p>
        </w:tc>
        <w:tc>
          <w:tcPr>
            <w:tcW w:w="1285" w:type="dxa"/>
          </w:tcPr>
          <w:p w14:paraId="00576708" w14:textId="77777777" w:rsidR="0046798B" w:rsidRDefault="0046798B">
            <w:pPr>
              <w:pStyle w:val="TableParagraph"/>
            </w:pPr>
          </w:p>
          <w:p w14:paraId="341851E8" w14:textId="77777777" w:rsidR="0046798B" w:rsidRDefault="0046798B">
            <w:pPr>
              <w:pStyle w:val="TableParagraph"/>
              <w:spacing w:before="3"/>
              <w:rPr>
                <w:sz w:val="21"/>
              </w:rPr>
            </w:pPr>
          </w:p>
          <w:p w14:paraId="240B0D5F" w14:textId="77777777" w:rsidR="0046798B" w:rsidRDefault="00903B5C">
            <w:pPr>
              <w:pStyle w:val="TableParagraph"/>
              <w:spacing w:before="1"/>
              <w:ind w:left="114"/>
              <w:rPr>
                <w:sz w:val="20"/>
              </w:rPr>
            </w:pPr>
            <w:r>
              <w:rPr>
                <w:sz w:val="20"/>
              </w:rPr>
              <w:t>1990–1997</w:t>
            </w:r>
          </w:p>
        </w:tc>
        <w:tc>
          <w:tcPr>
            <w:tcW w:w="3421" w:type="dxa"/>
          </w:tcPr>
          <w:p w14:paraId="570CC070" w14:textId="77777777" w:rsidR="0046798B" w:rsidRDefault="0046798B">
            <w:pPr>
              <w:pStyle w:val="TableParagraph"/>
            </w:pPr>
          </w:p>
          <w:p w14:paraId="1F3F7B1B" w14:textId="77777777" w:rsidR="0046798B" w:rsidRDefault="00903B5C">
            <w:pPr>
              <w:pStyle w:val="TableParagraph"/>
              <w:spacing w:before="130"/>
              <w:ind w:left="114" w:right="294"/>
              <w:rPr>
                <w:sz w:val="20"/>
              </w:rPr>
            </w:pPr>
            <w:r>
              <w:rPr>
                <w:sz w:val="20"/>
              </w:rPr>
              <w:t>What is the Medicaid eligibility level for pregnant women?</w:t>
            </w:r>
          </w:p>
        </w:tc>
        <w:tc>
          <w:tcPr>
            <w:tcW w:w="6482" w:type="dxa"/>
          </w:tcPr>
          <w:p w14:paraId="61627C4B"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508D43FF" w14:textId="77777777">
        <w:trPr>
          <w:trHeight w:val="1235"/>
        </w:trPr>
        <w:tc>
          <w:tcPr>
            <w:tcW w:w="1711" w:type="dxa"/>
          </w:tcPr>
          <w:p w14:paraId="3A6F62BF" w14:textId="77777777" w:rsidR="0046798B" w:rsidRDefault="0046798B">
            <w:pPr>
              <w:pStyle w:val="TableParagraph"/>
            </w:pPr>
          </w:p>
          <w:p w14:paraId="5E2C00F1" w14:textId="77777777" w:rsidR="0046798B" w:rsidRDefault="00903B5C">
            <w:pPr>
              <w:pStyle w:val="TableParagraph"/>
              <w:spacing w:before="139" w:line="235" w:lineRule="auto"/>
              <w:ind w:left="115" w:right="99"/>
              <w:rPr>
                <w:b/>
                <w:sz w:val="20"/>
              </w:rPr>
            </w:pPr>
            <w:r>
              <w:rPr>
                <w:b/>
                <w:sz w:val="20"/>
              </w:rPr>
              <w:t>z_ssi_afdc_famili es_payments</w:t>
            </w:r>
          </w:p>
        </w:tc>
        <w:tc>
          <w:tcPr>
            <w:tcW w:w="1596" w:type="dxa"/>
          </w:tcPr>
          <w:p w14:paraId="592D094C" w14:textId="77777777" w:rsidR="0046798B" w:rsidRDefault="0046798B">
            <w:pPr>
              <w:pStyle w:val="TableParagraph"/>
              <w:spacing w:before="10"/>
              <w:rPr>
                <w:sz w:val="23"/>
              </w:rPr>
            </w:pPr>
          </w:p>
          <w:p w14:paraId="2FCA8A18" w14:textId="77777777" w:rsidR="0046798B" w:rsidRDefault="00903B5C">
            <w:pPr>
              <w:pStyle w:val="TableParagraph"/>
              <w:spacing w:line="237" w:lineRule="auto"/>
              <w:ind w:left="114" w:right="85"/>
              <w:rPr>
                <w:sz w:val="20"/>
              </w:rPr>
            </w:pPr>
            <w:r>
              <w:rPr>
                <w:sz w:val="20"/>
              </w:rPr>
              <w:t>AFDC—benefits for average family</w:t>
            </w:r>
          </w:p>
        </w:tc>
        <w:tc>
          <w:tcPr>
            <w:tcW w:w="1285" w:type="dxa"/>
          </w:tcPr>
          <w:p w14:paraId="08207A43" w14:textId="77777777" w:rsidR="0046798B" w:rsidRDefault="0046798B">
            <w:pPr>
              <w:pStyle w:val="TableParagraph"/>
            </w:pPr>
          </w:p>
          <w:p w14:paraId="60FF1103" w14:textId="77777777" w:rsidR="0046798B" w:rsidRDefault="0046798B">
            <w:pPr>
              <w:pStyle w:val="TableParagraph"/>
              <w:spacing w:before="3"/>
              <w:rPr>
                <w:sz w:val="21"/>
              </w:rPr>
            </w:pPr>
          </w:p>
          <w:p w14:paraId="343C9488" w14:textId="77777777" w:rsidR="0046798B" w:rsidRDefault="00903B5C">
            <w:pPr>
              <w:pStyle w:val="TableParagraph"/>
              <w:spacing w:before="1"/>
              <w:ind w:left="114"/>
              <w:rPr>
                <w:sz w:val="20"/>
              </w:rPr>
            </w:pPr>
            <w:r>
              <w:rPr>
                <w:sz w:val="20"/>
              </w:rPr>
              <w:t>1936–1992</w:t>
            </w:r>
          </w:p>
        </w:tc>
        <w:tc>
          <w:tcPr>
            <w:tcW w:w="3421" w:type="dxa"/>
          </w:tcPr>
          <w:p w14:paraId="131AE33A" w14:textId="77777777" w:rsidR="0046798B" w:rsidRDefault="0046798B">
            <w:pPr>
              <w:pStyle w:val="TableParagraph"/>
              <w:spacing w:before="10"/>
              <w:rPr>
                <w:sz w:val="23"/>
              </w:rPr>
            </w:pPr>
          </w:p>
          <w:p w14:paraId="098BD5EE" w14:textId="77777777" w:rsidR="0046798B" w:rsidRDefault="00903B5C">
            <w:pPr>
              <w:pStyle w:val="TableParagraph"/>
              <w:spacing w:line="237" w:lineRule="auto"/>
              <w:ind w:left="114" w:right="205"/>
              <w:rPr>
                <w:sz w:val="20"/>
              </w:rPr>
            </w:pPr>
            <w:r>
              <w:rPr>
                <w:sz w:val="20"/>
              </w:rPr>
              <w:t>What is the average level of benefits per family under the Aid for Families with Dependent Children program?</w:t>
            </w:r>
          </w:p>
        </w:tc>
        <w:tc>
          <w:tcPr>
            <w:tcW w:w="6482" w:type="dxa"/>
          </w:tcPr>
          <w:p w14:paraId="549AC53B"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21649BF6" w14:textId="77777777">
        <w:trPr>
          <w:trHeight w:val="1235"/>
        </w:trPr>
        <w:tc>
          <w:tcPr>
            <w:tcW w:w="1711" w:type="dxa"/>
          </w:tcPr>
          <w:p w14:paraId="56766620" w14:textId="77777777" w:rsidR="0046798B" w:rsidRDefault="0046798B">
            <w:pPr>
              <w:pStyle w:val="TableParagraph"/>
            </w:pPr>
          </w:p>
          <w:p w14:paraId="1738C753" w14:textId="77777777" w:rsidR="0046798B" w:rsidRDefault="00903B5C">
            <w:pPr>
              <w:pStyle w:val="TableParagraph"/>
              <w:spacing w:before="135"/>
              <w:ind w:left="115"/>
              <w:rPr>
                <w:b/>
                <w:sz w:val="20"/>
              </w:rPr>
            </w:pPr>
            <w:r>
              <w:rPr>
                <w:b/>
                <w:sz w:val="20"/>
              </w:rPr>
              <w:t>z_ssi_blind_pay ments</w:t>
            </w:r>
          </w:p>
        </w:tc>
        <w:tc>
          <w:tcPr>
            <w:tcW w:w="1596" w:type="dxa"/>
          </w:tcPr>
          <w:p w14:paraId="78436BA1" w14:textId="77777777" w:rsidR="0046798B" w:rsidRDefault="0046798B">
            <w:pPr>
              <w:pStyle w:val="TableParagraph"/>
              <w:spacing w:before="8"/>
              <w:rPr>
                <w:sz w:val="23"/>
              </w:rPr>
            </w:pPr>
          </w:p>
          <w:p w14:paraId="4D84ED55" w14:textId="77777777" w:rsidR="0046798B" w:rsidRDefault="00903B5C">
            <w:pPr>
              <w:pStyle w:val="TableParagraph"/>
              <w:spacing w:before="1"/>
              <w:ind w:left="114" w:right="285"/>
              <w:rPr>
                <w:sz w:val="20"/>
              </w:rPr>
            </w:pPr>
            <w:r>
              <w:rPr>
                <w:sz w:val="20"/>
              </w:rPr>
              <w:t>Aid to blind— payments per recipient</w:t>
            </w:r>
          </w:p>
        </w:tc>
        <w:tc>
          <w:tcPr>
            <w:tcW w:w="1285" w:type="dxa"/>
          </w:tcPr>
          <w:p w14:paraId="7F91BACE" w14:textId="77777777" w:rsidR="0046798B" w:rsidRDefault="0046798B">
            <w:pPr>
              <w:pStyle w:val="TableParagraph"/>
            </w:pPr>
          </w:p>
          <w:p w14:paraId="14B86461" w14:textId="77777777" w:rsidR="0046798B" w:rsidRDefault="0046798B">
            <w:pPr>
              <w:pStyle w:val="TableParagraph"/>
              <w:spacing w:before="8"/>
              <w:rPr>
                <w:sz w:val="21"/>
              </w:rPr>
            </w:pPr>
          </w:p>
          <w:p w14:paraId="00EF9451" w14:textId="77777777" w:rsidR="0046798B" w:rsidRDefault="00903B5C">
            <w:pPr>
              <w:pStyle w:val="TableParagraph"/>
              <w:spacing w:before="1"/>
              <w:ind w:left="114"/>
              <w:rPr>
                <w:sz w:val="20"/>
              </w:rPr>
            </w:pPr>
            <w:r>
              <w:rPr>
                <w:sz w:val="20"/>
              </w:rPr>
              <w:t>1936–1965</w:t>
            </w:r>
          </w:p>
        </w:tc>
        <w:tc>
          <w:tcPr>
            <w:tcW w:w="3421" w:type="dxa"/>
          </w:tcPr>
          <w:p w14:paraId="021987F3" w14:textId="77777777" w:rsidR="0046798B" w:rsidRDefault="0046798B">
            <w:pPr>
              <w:pStyle w:val="TableParagraph"/>
              <w:spacing w:before="8"/>
              <w:rPr>
                <w:sz w:val="23"/>
              </w:rPr>
            </w:pPr>
          </w:p>
          <w:p w14:paraId="28812250" w14:textId="77777777" w:rsidR="0046798B" w:rsidRDefault="00903B5C">
            <w:pPr>
              <w:pStyle w:val="TableParagraph"/>
              <w:spacing w:before="1"/>
              <w:ind w:left="114" w:right="206"/>
              <w:jc w:val="both"/>
              <w:rPr>
                <w:sz w:val="20"/>
              </w:rPr>
            </w:pPr>
            <w:r>
              <w:rPr>
                <w:sz w:val="20"/>
              </w:rPr>
              <w:t xml:space="preserve">What is the average monthly payment per recipient for the permanently </w:t>
            </w:r>
            <w:r>
              <w:rPr>
                <w:spacing w:val="-4"/>
                <w:sz w:val="20"/>
              </w:rPr>
              <w:t xml:space="preserve">blind </w:t>
            </w:r>
            <w:r>
              <w:rPr>
                <w:sz w:val="20"/>
              </w:rPr>
              <w:t>or disabled?</w:t>
            </w:r>
          </w:p>
        </w:tc>
        <w:tc>
          <w:tcPr>
            <w:tcW w:w="6482" w:type="dxa"/>
          </w:tcPr>
          <w:p w14:paraId="7D0E1C67"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1B70C2F9" w14:textId="77777777">
        <w:trPr>
          <w:trHeight w:val="1235"/>
        </w:trPr>
        <w:tc>
          <w:tcPr>
            <w:tcW w:w="1711" w:type="dxa"/>
          </w:tcPr>
          <w:p w14:paraId="2BBFE3E4" w14:textId="77777777" w:rsidR="0046798B" w:rsidRDefault="0046798B">
            <w:pPr>
              <w:pStyle w:val="TableParagraph"/>
            </w:pPr>
          </w:p>
          <w:p w14:paraId="7B966C27" w14:textId="77777777" w:rsidR="0046798B" w:rsidRDefault="00903B5C">
            <w:pPr>
              <w:pStyle w:val="TableParagraph"/>
              <w:spacing w:before="135"/>
              <w:ind w:left="115" w:right="199"/>
              <w:rPr>
                <w:b/>
                <w:sz w:val="20"/>
              </w:rPr>
            </w:pPr>
            <w:r>
              <w:rPr>
                <w:b/>
                <w:sz w:val="20"/>
              </w:rPr>
              <w:t>z_ssi_blind_pay ments_post1965</w:t>
            </w:r>
          </w:p>
        </w:tc>
        <w:tc>
          <w:tcPr>
            <w:tcW w:w="1596" w:type="dxa"/>
          </w:tcPr>
          <w:p w14:paraId="54C01B90" w14:textId="77777777" w:rsidR="0046798B" w:rsidRDefault="00903B5C">
            <w:pPr>
              <w:pStyle w:val="TableParagraph"/>
              <w:spacing w:before="158"/>
              <w:ind w:left="114" w:right="235"/>
              <w:rPr>
                <w:sz w:val="20"/>
              </w:rPr>
            </w:pPr>
            <w:r>
              <w:rPr>
                <w:sz w:val="20"/>
              </w:rPr>
              <w:t>Aid to blind— payments per recipient (post- 1965)</w:t>
            </w:r>
          </w:p>
        </w:tc>
        <w:tc>
          <w:tcPr>
            <w:tcW w:w="1285" w:type="dxa"/>
          </w:tcPr>
          <w:p w14:paraId="68EE45D7" w14:textId="77777777" w:rsidR="0046798B" w:rsidRDefault="0046798B">
            <w:pPr>
              <w:pStyle w:val="TableParagraph"/>
            </w:pPr>
          </w:p>
          <w:p w14:paraId="17FA43D7" w14:textId="77777777" w:rsidR="0046798B" w:rsidRDefault="0046798B">
            <w:pPr>
              <w:pStyle w:val="TableParagraph"/>
              <w:spacing w:before="8"/>
              <w:rPr>
                <w:sz w:val="21"/>
              </w:rPr>
            </w:pPr>
          </w:p>
          <w:p w14:paraId="770956CF" w14:textId="77777777" w:rsidR="0046798B" w:rsidRDefault="00903B5C">
            <w:pPr>
              <w:pStyle w:val="TableParagraph"/>
              <w:spacing w:before="1"/>
              <w:ind w:left="114"/>
              <w:rPr>
                <w:sz w:val="20"/>
              </w:rPr>
            </w:pPr>
            <w:r>
              <w:rPr>
                <w:sz w:val="20"/>
              </w:rPr>
              <w:t>1966–1972</w:t>
            </w:r>
          </w:p>
        </w:tc>
        <w:tc>
          <w:tcPr>
            <w:tcW w:w="3421" w:type="dxa"/>
          </w:tcPr>
          <w:p w14:paraId="3C543CE2" w14:textId="77777777" w:rsidR="0046798B" w:rsidRDefault="0046798B">
            <w:pPr>
              <w:pStyle w:val="TableParagraph"/>
              <w:spacing w:before="8"/>
              <w:rPr>
                <w:sz w:val="23"/>
              </w:rPr>
            </w:pPr>
          </w:p>
          <w:p w14:paraId="06B08358" w14:textId="77777777" w:rsidR="0046798B" w:rsidRDefault="00903B5C">
            <w:pPr>
              <w:pStyle w:val="TableParagraph"/>
              <w:spacing w:before="1"/>
              <w:ind w:left="114" w:right="206"/>
              <w:jc w:val="both"/>
              <w:rPr>
                <w:sz w:val="20"/>
              </w:rPr>
            </w:pPr>
            <w:r>
              <w:rPr>
                <w:sz w:val="20"/>
              </w:rPr>
              <w:t xml:space="preserve">What is the average monthly payment per recipient for the permanently </w:t>
            </w:r>
            <w:r>
              <w:rPr>
                <w:spacing w:val="-4"/>
                <w:sz w:val="20"/>
              </w:rPr>
              <w:t xml:space="preserve">blind </w:t>
            </w:r>
            <w:r>
              <w:rPr>
                <w:sz w:val="20"/>
              </w:rPr>
              <w:t>or disabled? (post-1965)</w:t>
            </w:r>
          </w:p>
        </w:tc>
        <w:tc>
          <w:tcPr>
            <w:tcW w:w="6482" w:type="dxa"/>
          </w:tcPr>
          <w:p w14:paraId="3CAB8742"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bl>
    <w:p w14:paraId="4FF495AF" w14:textId="77777777" w:rsidR="0046798B" w:rsidRDefault="0046798B">
      <w:pPr>
        <w:rPr>
          <w:sz w:val="20"/>
        </w:rPr>
        <w:sectPr w:rsidR="0046798B">
          <w:pgSz w:w="15840" w:h="12240" w:orient="landscape"/>
          <w:pgMar w:top="1220" w:right="300" w:bottom="980" w:left="820" w:header="730" w:footer="787" w:gutter="0"/>
          <w:cols w:space="720"/>
        </w:sectPr>
      </w:pPr>
    </w:p>
    <w:p w14:paraId="751F427F"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C4EAB56" w14:textId="77777777">
        <w:trPr>
          <w:trHeight w:val="1235"/>
        </w:trPr>
        <w:tc>
          <w:tcPr>
            <w:tcW w:w="1711" w:type="dxa"/>
          </w:tcPr>
          <w:p w14:paraId="4B46FFDE" w14:textId="77777777" w:rsidR="0046798B" w:rsidRDefault="0046798B">
            <w:pPr>
              <w:pStyle w:val="TableParagraph"/>
            </w:pPr>
          </w:p>
          <w:p w14:paraId="7DD2B9B1" w14:textId="77777777" w:rsidR="0046798B" w:rsidRDefault="00903B5C">
            <w:pPr>
              <w:pStyle w:val="TableParagraph"/>
              <w:spacing w:before="135"/>
              <w:ind w:left="115" w:right="143"/>
              <w:rPr>
                <w:b/>
                <w:sz w:val="20"/>
              </w:rPr>
            </w:pPr>
            <w:r>
              <w:rPr>
                <w:b/>
                <w:sz w:val="20"/>
              </w:rPr>
              <w:t>z_ssi_disabled_p ayments</w:t>
            </w:r>
          </w:p>
        </w:tc>
        <w:tc>
          <w:tcPr>
            <w:tcW w:w="1596" w:type="dxa"/>
          </w:tcPr>
          <w:p w14:paraId="182AB789" w14:textId="77777777" w:rsidR="0046798B" w:rsidRDefault="00903B5C">
            <w:pPr>
              <w:pStyle w:val="TableParagraph"/>
              <w:spacing w:before="158"/>
              <w:ind w:left="114" w:right="380"/>
              <w:rPr>
                <w:sz w:val="20"/>
              </w:rPr>
            </w:pPr>
            <w:r>
              <w:rPr>
                <w:sz w:val="20"/>
              </w:rPr>
              <w:t>Aid to disabled— payments per recipient</w:t>
            </w:r>
          </w:p>
        </w:tc>
        <w:tc>
          <w:tcPr>
            <w:tcW w:w="1285" w:type="dxa"/>
          </w:tcPr>
          <w:p w14:paraId="39CFBC8A" w14:textId="77777777" w:rsidR="0046798B" w:rsidRDefault="0046798B">
            <w:pPr>
              <w:pStyle w:val="TableParagraph"/>
            </w:pPr>
          </w:p>
          <w:p w14:paraId="7180D5B1" w14:textId="77777777" w:rsidR="0046798B" w:rsidRDefault="0046798B">
            <w:pPr>
              <w:pStyle w:val="TableParagraph"/>
              <w:spacing w:before="9"/>
              <w:rPr>
                <w:sz w:val="21"/>
              </w:rPr>
            </w:pPr>
          </w:p>
          <w:p w14:paraId="7692E627" w14:textId="77777777" w:rsidR="0046798B" w:rsidRDefault="00903B5C">
            <w:pPr>
              <w:pStyle w:val="TableParagraph"/>
              <w:ind w:left="114"/>
              <w:rPr>
                <w:sz w:val="20"/>
              </w:rPr>
            </w:pPr>
            <w:r>
              <w:rPr>
                <w:sz w:val="20"/>
              </w:rPr>
              <w:t>1951–1965</w:t>
            </w:r>
          </w:p>
        </w:tc>
        <w:tc>
          <w:tcPr>
            <w:tcW w:w="3421" w:type="dxa"/>
          </w:tcPr>
          <w:p w14:paraId="7C9453EF" w14:textId="77777777" w:rsidR="0046798B" w:rsidRDefault="0046798B">
            <w:pPr>
              <w:pStyle w:val="TableParagraph"/>
              <w:spacing w:before="9"/>
              <w:rPr>
                <w:sz w:val="23"/>
              </w:rPr>
            </w:pPr>
          </w:p>
          <w:p w14:paraId="6164FC12" w14:textId="77777777" w:rsidR="0046798B" w:rsidRDefault="00903B5C">
            <w:pPr>
              <w:pStyle w:val="TableParagraph"/>
              <w:ind w:left="114" w:right="206"/>
              <w:jc w:val="both"/>
              <w:rPr>
                <w:sz w:val="20"/>
              </w:rPr>
            </w:pPr>
            <w:r>
              <w:rPr>
                <w:sz w:val="20"/>
              </w:rPr>
              <w:t xml:space="preserve">What is the average monthly payment per recipient for the permanently </w:t>
            </w:r>
            <w:r>
              <w:rPr>
                <w:spacing w:val="-4"/>
                <w:sz w:val="20"/>
              </w:rPr>
              <w:t xml:space="preserve">blind </w:t>
            </w:r>
            <w:r>
              <w:rPr>
                <w:sz w:val="20"/>
              </w:rPr>
              <w:t>or disabled?</w:t>
            </w:r>
          </w:p>
        </w:tc>
        <w:tc>
          <w:tcPr>
            <w:tcW w:w="6482" w:type="dxa"/>
          </w:tcPr>
          <w:p w14:paraId="7A272F4E"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4967574A" w14:textId="77777777">
        <w:trPr>
          <w:trHeight w:val="1235"/>
        </w:trPr>
        <w:tc>
          <w:tcPr>
            <w:tcW w:w="1711" w:type="dxa"/>
          </w:tcPr>
          <w:p w14:paraId="010FE095" w14:textId="77777777" w:rsidR="0046798B" w:rsidRDefault="0046798B">
            <w:pPr>
              <w:pStyle w:val="TableParagraph"/>
              <w:spacing w:before="9"/>
              <w:rPr>
                <w:sz w:val="23"/>
              </w:rPr>
            </w:pPr>
          </w:p>
          <w:p w14:paraId="59275B8A" w14:textId="77777777" w:rsidR="0046798B" w:rsidRDefault="00903B5C">
            <w:pPr>
              <w:pStyle w:val="TableParagraph"/>
              <w:ind w:left="115" w:right="114"/>
              <w:jc w:val="both"/>
              <w:rPr>
                <w:b/>
                <w:sz w:val="20"/>
              </w:rPr>
            </w:pPr>
            <w:r>
              <w:rPr>
                <w:b/>
                <w:sz w:val="20"/>
              </w:rPr>
              <w:t>z_ssi_disabled_p ayments_post196 5</w:t>
            </w:r>
          </w:p>
        </w:tc>
        <w:tc>
          <w:tcPr>
            <w:tcW w:w="1596" w:type="dxa"/>
          </w:tcPr>
          <w:p w14:paraId="55EFABCD" w14:textId="77777777" w:rsidR="0046798B" w:rsidRDefault="00903B5C">
            <w:pPr>
              <w:pStyle w:val="TableParagraph"/>
              <w:spacing w:before="43"/>
              <w:ind w:left="114" w:right="235"/>
              <w:rPr>
                <w:sz w:val="20"/>
              </w:rPr>
            </w:pPr>
            <w:r>
              <w:rPr>
                <w:sz w:val="20"/>
              </w:rPr>
              <w:t>Aid to disabled— payments per recipient (post- 1965)</w:t>
            </w:r>
          </w:p>
        </w:tc>
        <w:tc>
          <w:tcPr>
            <w:tcW w:w="1285" w:type="dxa"/>
          </w:tcPr>
          <w:p w14:paraId="669EC7A3" w14:textId="77777777" w:rsidR="0046798B" w:rsidRDefault="0046798B">
            <w:pPr>
              <w:pStyle w:val="TableParagraph"/>
            </w:pPr>
          </w:p>
          <w:p w14:paraId="745DB531" w14:textId="77777777" w:rsidR="0046798B" w:rsidRDefault="0046798B">
            <w:pPr>
              <w:pStyle w:val="TableParagraph"/>
              <w:spacing w:before="9"/>
              <w:rPr>
                <w:sz w:val="21"/>
              </w:rPr>
            </w:pPr>
          </w:p>
          <w:p w14:paraId="49FD181B" w14:textId="77777777" w:rsidR="0046798B" w:rsidRDefault="00903B5C">
            <w:pPr>
              <w:pStyle w:val="TableParagraph"/>
              <w:ind w:left="114"/>
              <w:rPr>
                <w:sz w:val="20"/>
              </w:rPr>
            </w:pPr>
            <w:r>
              <w:rPr>
                <w:sz w:val="20"/>
              </w:rPr>
              <w:t>1966–1972</w:t>
            </w:r>
          </w:p>
        </w:tc>
        <w:tc>
          <w:tcPr>
            <w:tcW w:w="3421" w:type="dxa"/>
          </w:tcPr>
          <w:p w14:paraId="0D928EAA" w14:textId="77777777" w:rsidR="0046798B" w:rsidRDefault="0046798B">
            <w:pPr>
              <w:pStyle w:val="TableParagraph"/>
              <w:spacing w:before="9"/>
              <w:rPr>
                <w:sz w:val="23"/>
              </w:rPr>
            </w:pPr>
          </w:p>
          <w:p w14:paraId="4A77D4D7" w14:textId="77777777" w:rsidR="0046798B" w:rsidRDefault="00903B5C">
            <w:pPr>
              <w:pStyle w:val="TableParagraph"/>
              <w:ind w:left="114" w:right="206"/>
              <w:jc w:val="both"/>
              <w:rPr>
                <w:sz w:val="20"/>
              </w:rPr>
            </w:pPr>
            <w:r>
              <w:rPr>
                <w:sz w:val="20"/>
              </w:rPr>
              <w:t xml:space="preserve">What is the average monthly payment per recipient for the permanently </w:t>
            </w:r>
            <w:r>
              <w:rPr>
                <w:spacing w:val="-4"/>
                <w:sz w:val="20"/>
              </w:rPr>
              <w:t xml:space="preserve">blind </w:t>
            </w:r>
            <w:r>
              <w:rPr>
                <w:sz w:val="20"/>
              </w:rPr>
              <w:t>or disabled? (post-1965)</w:t>
            </w:r>
          </w:p>
        </w:tc>
        <w:tc>
          <w:tcPr>
            <w:tcW w:w="6482" w:type="dxa"/>
          </w:tcPr>
          <w:p w14:paraId="722D2813"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05990B7B" w14:textId="77777777">
        <w:trPr>
          <w:trHeight w:val="1240"/>
        </w:trPr>
        <w:tc>
          <w:tcPr>
            <w:tcW w:w="1711" w:type="dxa"/>
          </w:tcPr>
          <w:p w14:paraId="1C8C8B6D" w14:textId="77777777" w:rsidR="0046798B" w:rsidRDefault="0046798B">
            <w:pPr>
              <w:pStyle w:val="TableParagraph"/>
            </w:pPr>
          </w:p>
          <w:p w14:paraId="56CD8A65" w14:textId="77777777" w:rsidR="0046798B" w:rsidRDefault="00903B5C">
            <w:pPr>
              <w:pStyle w:val="TableParagraph"/>
              <w:spacing w:before="135"/>
              <w:ind w:left="115" w:right="88"/>
              <w:rPr>
                <w:b/>
                <w:sz w:val="20"/>
              </w:rPr>
            </w:pPr>
            <w:r>
              <w:rPr>
                <w:b/>
                <w:sz w:val="20"/>
              </w:rPr>
              <w:t>z_ssi_ga_paymen ts_per_case</w:t>
            </w:r>
          </w:p>
        </w:tc>
        <w:tc>
          <w:tcPr>
            <w:tcW w:w="1596" w:type="dxa"/>
          </w:tcPr>
          <w:p w14:paraId="26432E91" w14:textId="77777777" w:rsidR="0046798B" w:rsidRDefault="00903B5C">
            <w:pPr>
              <w:pStyle w:val="TableParagraph"/>
              <w:spacing w:before="158"/>
              <w:ind w:left="114" w:right="380"/>
              <w:rPr>
                <w:sz w:val="20"/>
              </w:rPr>
            </w:pPr>
            <w:r>
              <w:rPr>
                <w:sz w:val="20"/>
              </w:rPr>
              <w:t>General assistance payments per case</w:t>
            </w:r>
          </w:p>
        </w:tc>
        <w:tc>
          <w:tcPr>
            <w:tcW w:w="1285" w:type="dxa"/>
          </w:tcPr>
          <w:p w14:paraId="7A5E3D66" w14:textId="77777777" w:rsidR="0046798B" w:rsidRDefault="0046798B">
            <w:pPr>
              <w:pStyle w:val="TableParagraph"/>
            </w:pPr>
          </w:p>
          <w:p w14:paraId="0C667243" w14:textId="77777777" w:rsidR="0046798B" w:rsidRDefault="0046798B">
            <w:pPr>
              <w:pStyle w:val="TableParagraph"/>
              <w:spacing w:before="9"/>
              <w:rPr>
                <w:sz w:val="21"/>
              </w:rPr>
            </w:pPr>
          </w:p>
          <w:p w14:paraId="513A1FB9" w14:textId="77777777" w:rsidR="0046798B" w:rsidRDefault="00903B5C">
            <w:pPr>
              <w:pStyle w:val="TableParagraph"/>
              <w:ind w:left="114"/>
              <w:rPr>
                <w:sz w:val="20"/>
              </w:rPr>
            </w:pPr>
            <w:r>
              <w:rPr>
                <w:sz w:val="20"/>
              </w:rPr>
              <w:t>1937–1963</w:t>
            </w:r>
          </w:p>
        </w:tc>
        <w:tc>
          <w:tcPr>
            <w:tcW w:w="3421" w:type="dxa"/>
          </w:tcPr>
          <w:p w14:paraId="3DDFDC91" w14:textId="77777777" w:rsidR="0046798B" w:rsidRDefault="0046798B">
            <w:pPr>
              <w:pStyle w:val="TableParagraph"/>
              <w:spacing w:before="9"/>
              <w:rPr>
                <w:sz w:val="23"/>
              </w:rPr>
            </w:pPr>
          </w:p>
          <w:p w14:paraId="501D70C7" w14:textId="77777777" w:rsidR="0046798B" w:rsidRDefault="00903B5C">
            <w:pPr>
              <w:pStyle w:val="TableParagraph"/>
              <w:ind w:left="114" w:right="101"/>
              <w:rPr>
                <w:sz w:val="20"/>
              </w:rPr>
            </w:pPr>
            <w:r>
              <w:rPr>
                <w:sz w:val="20"/>
              </w:rPr>
              <w:t>What is the average monthly payment per case for general assistance (an early form of welfare)?</w:t>
            </w:r>
          </w:p>
        </w:tc>
        <w:tc>
          <w:tcPr>
            <w:tcW w:w="6482" w:type="dxa"/>
          </w:tcPr>
          <w:p w14:paraId="147C74C9"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6C2DFA62" w14:textId="77777777">
        <w:trPr>
          <w:trHeight w:val="1235"/>
        </w:trPr>
        <w:tc>
          <w:tcPr>
            <w:tcW w:w="1711" w:type="dxa"/>
          </w:tcPr>
          <w:p w14:paraId="5B5A1399" w14:textId="77777777" w:rsidR="0046798B" w:rsidRDefault="0046798B">
            <w:pPr>
              <w:pStyle w:val="TableParagraph"/>
            </w:pPr>
          </w:p>
          <w:p w14:paraId="29AEAAFA" w14:textId="77777777" w:rsidR="0046798B" w:rsidRDefault="00903B5C">
            <w:pPr>
              <w:pStyle w:val="TableParagraph"/>
              <w:spacing w:before="130"/>
              <w:ind w:left="115" w:right="88"/>
              <w:rPr>
                <w:b/>
                <w:sz w:val="20"/>
              </w:rPr>
            </w:pPr>
            <w:r>
              <w:rPr>
                <w:b/>
                <w:sz w:val="20"/>
              </w:rPr>
              <w:t>z_ssi_ga_paymen ts_per_recipient</w:t>
            </w:r>
          </w:p>
        </w:tc>
        <w:tc>
          <w:tcPr>
            <w:tcW w:w="1596" w:type="dxa"/>
          </w:tcPr>
          <w:p w14:paraId="2CE1FCDB" w14:textId="77777777" w:rsidR="0046798B" w:rsidRDefault="00903B5C">
            <w:pPr>
              <w:pStyle w:val="TableParagraph"/>
              <w:spacing w:before="153"/>
              <w:ind w:left="114" w:right="380"/>
              <w:rPr>
                <w:sz w:val="20"/>
              </w:rPr>
            </w:pPr>
            <w:r>
              <w:rPr>
                <w:sz w:val="20"/>
              </w:rPr>
              <w:t>General assistance payments per recipient</w:t>
            </w:r>
          </w:p>
        </w:tc>
        <w:tc>
          <w:tcPr>
            <w:tcW w:w="1285" w:type="dxa"/>
          </w:tcPr>
          <w:p w14:paraId="74AE34B3" w14:textId="77777777" w:rsidR="0046798B" w:rsidRDefault="0046798B">
            <w:pPr>
              <w:pStyle w:val="TableParagraph"/>
            </w:pPr>
          </w:p>
          <w:p w14:paraId="5A289A62" w14:textId="77777777" w:rsidR="0046798B" w:rsidRDefault="0046798B">
            <w:pPr>
              <w:pStyle w:val="TableParagraph"/>
              <w:spacing w:before="4"/>
              <w:rPr>
                <w:sz w:val="21"/>
              </w:rPr>
            </w:pPr>
          </w:p>
          <w:p w14:paraId="62B7760B" w14:textId="77777777" w:rsidR="0046798B" w:rsidRDefault="00903B5C">
            <w:pPr>
              <w:pStyle w:val="TableParagraph"/>
              <w:ind w:left="114"/>
              <w:rPr>
                <w:sz w:val="20"/>
              </w:rPr>
            </w:pPr>
            <w:r>
              <w:rPr>
                <w:sz w:val="20"/>
              </w:rPr>
              <w:t>1964–1980</w:t>
            </w:r>
          </w:p>
        </w:tc>
        <w:tc>
          <w:tcPr>
            <w:tcW w:w="3421" w:type="dxa"/>
          </w:tcPr>
          <w:p w14:paraId="33387909" w14:textId="77777777" w:rsidR="0046798B" w:rsidRDefault="0046798B">
            <w:pPr>
              <w:pStyle w:val="TableParagraph"/>
              <w:spacing w:before="4"/>
              <w:rPr>
                <w:sz w:val="23"/>
              </w:rPr>
            </w:pPr>
          </w:p>
          <w:p w14:paraId="18881D79" w14:textId="77777777" w:rsidR="0046798B" w:rsidRDefault="00903B5C">
            <w:pPr>
              <w:pStyle w:val="TableParagraph"/>
              <w:ind w:left="114" w:right="212"/>
              <w:jc w:val="both"/>
              <w:rPr>
                <w:sz w:val="20"/>
              </w:rPr>
            </w:pPr>
            <w:r>
              <w:rPr>
                <w:sz w:val="20"/>
              </w:rPr>
              <w:t>What is the average monthly payment per recipient for general assistance (an early form of welfare)?</w:t>
            </w:r>
          </w:p>
        </w:tc>
        <w:tc>
          <w:tcPr>
            <w:tcW w:w="6482" w:type="dxa"/>
          </w:tcPr>
          <w:p w14:paraId="38DF5E35"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3325E0DE" w14:textId="77777777">
        <w:trPr>
          <w:trHeight w:val="1235"/>
        </w:trPr>
        <w:tc>
          <w:tcPr>
            <w:tcW w:w="1711" w:type="dxa"/>
          </w:tcPr>
          <w:p w14:paraId="3AEB675B" w14:textId="77777777" w:rsidR="0046798B" w:rsidRDefault="0046798B">
            <w:pPr>
              <w:pStyle w:val="TableParagraph"/>
            </w:pPr>
          </w:p>
          <w:p w14:paraId="73E8DB4F" w14:textId="77777777" w:rsidR="0046798B" w:rsidRDefault="00903B5C">
            <w:pPr>
              <w:pStyle w:val="TableParagraph"/>
              <w:spacing w:before="131"/>
              <w:ind w:left="115" w:right="99"/>
              <w:rPr>
                <w:b/>
                <w:sz w:val="20"/>
              </w:rPr>
            </w:pPr>
            <w:r>
              <w:rPr>
                <w:b/>
                <w:sz w:val="20"/>
              </w:rPr>
              <w:t>z_ssi_old_age_pa yments</w:t>
            </w:r>
          </w:p>
        </w:tc>
        <w:tc>
          <w:tcPr>
            <w:tcW w:w="1596" w:type="dxa"/>
          </w:tcPr>
          <w:p w14:paraId="473249F4" w14:textId="77777777" w:rsidR="0046798B" w:rsidRDefault="00903B5C">
            <w:pPr>
              <w:pStyle w:val="TableParagraph"/>
              <w:spacing w:before="154"/>
              <w:ind w:left="114" w:right="380"/>
              <w:rPr>
                <w:sz w:val="20"/>
              </w:rPr>
            </w:pPr>
            <w:r>
              <w:rPr>
                <w:sz w:val="20"/>
              </w:rPr>
              <w:t>Old age assistance— payments per recipient</w:t>
            </w:r>
          </w:p>
        </w:tc>
        <w:tc>
          <w:tcPr>
            <w:tcW w:w="1285" w:type="dxa"/>
          </w:tcPr>
          <w:p w14:paraId="6F4BF0FA" w14:textId="77777777" w:rsidR="0046798B" w:rsidRDefault="0046798B">
            <w:pPr>
              <w:pStyle w:val="TableParagraph"/>
            </w:pPr>
          </w:p>
          <w:p w14:paraId="4F6890C5" w14:textId="77777777" w:rsidR="0046798B" w:rsidRDefault="0046798B">
            <w:pPr>
              <w:pStyle w:val="TableParagraph"/>
              <w:spacing w:before="4"/>
              <w:rPr>
                <w:sz w:val="21"/>
              </w:rPr>
            </w:pPr>
          </w:p>
          <w:p w14:paraId="7986A968" w14:textId="77777777" w:rsidR="0046798B" w:rsidRDefault="00903B5C">
            <w:pPr>
              <w:pStyle w:val="TableParagraph"/>
              <w:ind w:left="114"/>
              <w:rPr>
                <w:sz w:val="20"/>
              </w:rPr>
            </w:pPr>
            <w:r>
              <w:rPr>
                <w:sz w:val="20"/>
              </w:rPr>
              <w:t>1936–1965</w:t>
            </w:r>
          </w:p>
        </w:tc>
        <w:tc>
          <w:tcPr>
            <w:tcW w:w="3421" w:type="dxa"/>
          </w:tcPr>
          <w:p w14:paraId="3E1E04CD" w14:textId="77777777" w:rsidR="0046798B" w:rsidRDefault="0046798B">
            <w:pPr>
              <w:pStyle w:val="TableParagraph"/>
              <w:spacing w:before="4"/>
              <w:rPr>
                <w:sz w:val="23"/>
              </w:rPr>
            </w:pPr>
          </w:p>
          <w:p w14:paraId="20AAF66E" w14:textId="77777777" w:rsidR="0046798B" w:rsidRDefault="00903B5C">
            <w:pPr>
              <w:pStyle w:val="TableParagraph"/>
              <w:ind w:left="114" w:right="239"/>
              <w:rPr>
                <w:sz w:val="20"/>
              </w:rPr>
            </w:pPr>
            <w:r>
              <w:rPr>
                <w:sz w:val="20"/>
              </w:rPr>
              <w:t>What is the average monthly payment per recipient per recipient for old age assistance?</w:t>
            </w:r>
          </w:p>
        </w:tc>
        <w:tc>
          <w:tcPr>
            <w:tcW w:w="6482" w:type="dxa"/>
          </w:tcPr>
          <w:p w14:paraId="59BC9826"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619494B0" w14:textId="77777777">
        <w:trPr>
          <w:trHeight w:val="1235"/>
        </w:trPr>
        <w:tc>
          <w:tcPr>
            <w:tcW w:w="1711" w:type="dxa"/>
          </w:tcPr>
          <w:p w14:paraId="4F30702D" w14:textId="77777777" w:rsidR="0046798B" w:rsidRDefault="0046798B">
            <w:pPr>
              <w:pStyle w:val="TableParagraph"/>
            </w:pPr>
          </w:p>
          <w:p w14:paraId="104C4BC9" w14:textId="77777777" w:rsidR="0046798B" w:rsidRDefault="00903B5C">
            <w:pPr>
              <w:pStyle w:val="TableParagraph"/>
              <w:spacing w:before="131"/>
              <w:ind w:left="115" w:right="99"/>
              <w:rPr>
                <w:b/>
                <w:sz w:val="20"/>
              </w:rPr>
            </w:pPr>
            <w:r>
              <w:rPr>
                <w:b/>
                <w:sz w:val="20"/>
              </w:rPr>
              <w:t>z_ssi_old_age_pa yments_post1965</w:t>
            </w:r>
          </w:p>
        </w:tc>
        <w:tc>
          <w:tcPr>
            <w:tcW w:w="1596" w:type="dxa"/>
          </w:tcPr>
          <w:p w14:paraId="5A0424E7" w14:textId="77777777" w:rsidR="0046798B" w:rsidRDefault="00903B5C">
            <w:pPr>
              <w:pStyle w:val="TableParagraph"/>
              <w:spacing w:before="38"/>
              <w:ind w:left="114" w:right="235"/>
              <w:rPr>
                <w:sz w:val="20"/>
              </w:rPr>
            </w:pPr>
            <w:r>
              <w:rPr>
                <w:sz w:val="20"/>
              </w:rPr>
              <w:t>Old age assistance— payments per recipient (post- 1965)</w:t>
            </w:r>
          </w:p>
        </w:tc>
        <w:tc>
          <w:tcPr>
            <w:tcW w:w="1285" w:type="dxa"/>
          </w:tcPr>
          <w:p w14:paraId="6C088550" w14:textId="77777777" w:rsidR="0046798B" w:rsidRDefault="0046798B">
            <w:pPr>
              <w:pStyle w:val="TableParagraph"/>
            </w:pPr>
          </w:p>
          <w:p w14:paraId="1DEF2E46" w14:textId="77777777" w:rsidR="0046798B" w:rsidRDefault="0046798B">
            <w:pPr>
              <w:pStyle w:val="TableParagraph"/>
              <w:spacing w:before="4"/>
              <w:rPr>
                <w:sz w:val="21"/>
              </w:rPr>
            </w:pPr>
          </w:p>
          <w:p w14:paraId="7BCEEF98" w14:textId="77777777" w:rsidR="0046798B" w:rsidRDefault="00903B5C">
            <w:pPr>
              <w:pStyle w:val="TableParagraph"/>
              <w:ind w:left="114"/>
              <w:rPr>
                <w:sz w:val="20"/>
              </w:rPr>
            </w:pPr>
            <w:r>
              <w:rPr>
                <w:sz w:val="20"/>
              </w:rPr>
              <w:t>1965–1972</w:t>
            </w:r>
          </w:p>
        </w:tc>
        <w:tc>
          <w:tcPr>
            <w:tcW w:w="3421" w:type="dxa"/>
          </w:tcPr>
          <w:p w14:paraId="4CCA94F3" w14:textId="77777777" w:rsidR="0046798B" w:rsidRDefault="0046798B">
            <w:pPr>
              <w:pStyle w:val="TableParagraph"/>
              <w:spacing w:before="4"/>
              <w:rPr>
                <w:sz w:val="23"/>
              </w:rPr>
            </w:pPr>
          </w:p>
          <w:p w14:paraId="12C11C80" w14:textId="77777777" w:rsidR="0046798B" w:rsidRDefault="00903B5C">
            <w:pPr>
              <w:pStyle w:val="TableParagraph"/>
              <w:ind w:left="114" w:right="239"/>
              <w:rPr>
                <w:sz w:val="20"/>
              </w:rPr>
            </w:pPr>
            <w:r>
              <w:rPr>
                <w:sz w:val="20"/>
              </w:rPr>
              <w:t>What is the average monthly payment per recipient per recipient for old age assistance? (post-1965)</w:t>
            </w:r>
          </w:p>
        </w:tc>
        <w:tc>
          <w:tcPr>
            <w:tcW w:w="6482" w:type="dxa"/>
          </w:tcPr>
          <w:p w14:paraId="156F1566"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48D5D4F9" w14:textId="77777777">
        <w:trPr>
          <w:trHeight w:val="1235"/>
        </w:trPr>
        <w:tc>
          <w:tcPr>
            <w:tcW w:w="1711" w:type="dxa"/>
          </w:tcPr>
          <w:p w14:paraId="1C190B57" w14:textId="77777777" w:rsidR="0046798B" w:rsidRDefault="0046798B">
            <w:pPr>
              <w:pStyle w:val="TableParagraph"/>
            </w:pPr>
          </w:p>
          <w:p w14:paraId="07D4D590" w14:textId="77777777" w:rsidR="0046798B" w:rsidRDefault="0046798B">
            <w:pPr>
              <w:pStyle w:val="TableParagraph"/>
              <w:spacing w:before="9"/>
              <w:rPr>
                <w:sz w:val="21"/>
              </w:rPr>
            </w:pPr>
          </w:p>
          <w:p w14:paraId="0B119755" w14:textId="77777777" w:rsidR="0046798B" w:rsidRDefault="00903B5C">
            <w:pPr>
              <w:pStyle w:val="TableParagraph"/>
              <w:ind w:left="115"/>
              <w:rPr>
                <w:b/>
                <w:sz w:val="20"/>
              </w:rPr>
            </w:pPr>
            <w:r>
              <w:rPr>
                <w:b/>
                <w:sz w:val="20"/>
              </w:rPr>
              <w:t>z_tanf_initialelig</w:t>
            </w:r>
          </w:p>
        </w:tc>
        <w:tc>
          <w:tcPr>
            <w:tcW w:w="1596" w:type="dxa"/>
          </w:tcPr>
          <w:p w14:paraId="3CE75D30" w14:textId="77777777" w:rsidR="0046798B" w:rsidRDefault="0046798B">
            <w:pPr>
              <w:pStyle w:val="TableParagraph"/>
            </w:pPr>
          </w:p>
          <w:p w14:paraId="12EED4F4" w14:textId="77777777" w:rsidR="0046798B" w:rsidRDefault="00903B5C">
            <w:pPr>
              <w:pStyle w:val="TableParagraph"/>
              <w:spacing w:before="135"/>
              <w:ind w:left="114" w:right="235"/>
              <w:rPr>
                <w:sz w:val="20"/>
              </w:rPr>
            </w:pPr>
            <w:r>
              <w:rPr>
                <w:sz w:val="20"/>
              </w:rPr>
              <w:t>TANF—initial eligibility level</w:t>
            </w:r>
          </w:p>
        </w:tc>
        <w:tc>
          <w:tcPr>
            <w:tcW w:w="1285" w:type="dxa"/>
          </w:tcPr>
          <w:p w14:paraId="6F6C584C" w14:textId="77777777" w:rsidR="0046798B" w:rsidRDefault="0046798B">
            <w:pPr>
              <w:pStyle w:val="TableParagraph"/>
            </w:pPr>
          </w:p>
          <w:p w14:paraId="2A845CA3" w14:textId="77777777" w:rsidR="0046798B" w:rsidRDefault="0046798B">
            <w:pPr>
              <w:pStyle w:val="TableParagraph"/>
              <w:spacing w:before="9"/>
              <w:rPr>
                <w:sz w:val="21"/>
              </w:rPr>
            </w:pPr>
          </w:p>
          <w:p w14:paraId="32E2AAF6" w14:textId="77777777" w:rsidR="0046798B" w:rsidRDefault="00903B5C">
            <w:pPr>
              <w:pStyle w:val="TableParagraph"/>
              <w:ind w:left="114"/>
              <w:rPr>
                <w:sz w:val="20"/>
              </w:rPr>
            </w:pPr>
            <w:r>
              <w:rPr>
                <w:sz w:val="20"/>
              </w:rPr>
              <w:t>1996–2013</w:t>
            </w:r>
          </w:p>
        </w:tc>
        <w:tc>
          <w:tcPr>
            <w:tcW w:w="3421" w:type="dxa"/>
          </w:tcPr>
          <w:p w14:paraId="3CC57FBA" w14:textId="77777777" w:rsidR="0046798B" w:rsidRDefault="00903B5C">
            <w:pPr>
              <w:pStyle w:val="TableParagraph"/>
              <w:spacing w:before="158"/>
              <w:ind w:left="114"/>
              <w:rPr>
                <w:sz w:val="20"/>
              </w:rPr>
            </w:pPr>
            <w:r>
              <w:rPr>
                <w:sz w:val="20"/>
              </w:rPr>
              <w:t>What is the initial eligibility level for benefits for a family of three under the Temporary Aid for Needy Families Program?</w:t>
            </w:r>
          </w:p>
        </w:tc>
        <w:tc>
          <w:tcPr>
            <w:tcW w:w="6482" w:type="dxa"/>
          </w:tcPr>
          <w:p w14:paraId="7FC1CCAC"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1A7FCF2C" w14:textId="77777777">
        <w:trPr>
          <w:trHeight w:val="545"/>
        </w:trPr>
        <w:tc>
          <w:tcPr>
            <w:tcW w:w="1711" w:type="dxa"/>
          </w:tcPr>
          <w:p w14:paraId="4E584347" w14:textId="77777777" w:rsidR="0046798B" w:rsidRDefault="00903B5C">
            <w:pPr>
              <w:pStyle w:val="TableParagraph"/>
              <w:spacing w:before="43"/>
              <w:ind w:left="115" w:right="88"/>
              <w:rPr>
                <w:b/>
                <w:sz w:val="20"/>
              </w:rPr>
            </w:pPr>
            <w:r>
              <w:rPr>
                <w:b/>
                <w:sz w:val="20"/>
              </w:rPr>
              <w:t>z_tanf_maxpaym ent</w:t>
            </w:r>
          </w:p>
        </w:tc>
        <w:tc>
          <w:tcPr>
            <w:tcW w:w="1596" w:type="dxa"/>
          </w:tcPr>
          <w:p w14:paraId="2B19C712" w14:textId="77777777" w:rsidR="0046798B" w:rsidRDefault="00903B5C">
            <w:pPr>
              <w:pStyle w:val="TableParagraph"/>
              <w:spacing w:before="43"/>
              <w:ind w:left="114" w:right="385"/>
              <w:rPr>
                <w:sz w:val="20"/>
              </w:rPr>
            </w:pPr>
            <w:r>
              <w:rPr>
                <w:sz w:val="20"/>
              </w:rPr>
              <w:t>TANF—max payment</w:t>
            </w:r>
          </w:p>
        </w:tc>
        <w:tc>
          <w:tcPr>
            <w:tcW w:w="1285" w:type="dxa"/>
          </w:tcPr>
          <w:p w14:paraId="16F6D3EF" w14:textId="77777777" w:rsidR="0046798B" w:rsidRDefault="00903B5C">
            <w:pPr>
              <w:pStyle w:val="TableParagraph"/>
              <w:spacing w:before="158"/>
              <w:ind w:left="114"/>
              <w:rPr>
                <w:sz w:val="20"/>
              </w:rPr>
            </w:pPr>
            <w:r>
              <w:rPr>
                <w:sz w:val="20"/>
              </w:rPr>
              <w:t>1990–2013</w:t>
            </w:r>
          </w:p>
        </w:tc>
        <w:tc>
          <w:tcPr>
            <w:tcW w:w="3421" w:type="dxa"/>
          </w:tcPr>
          <w:p w14:paraId="162D3BDD" w14:textId="77777777" w:rsidR="0046798B" w:rsidRDefault="00903B5C">
            <w:pPr>
              <w:pStyle w:val="TableParagraph"/>
              <w:spacing w:before="43"/>
              <w:ind w:left="114" w:right="166"/>
              <w:rPr>
                <w:sz w:val="20"/>
              </w:rPr>
            </w:pPr>
            <w:r>
              <w:rPr>
                <w:sz w:val="20"/>
              </w:rPr>
              <w:t>What is the maximum level of benefits under the Temporary Aid for Needy</w:t>
            </w:r>
          </w:p>
        </w:tc>
        <w:tc>
          <w:tcPr>
            <w:tcW w:w="6482" w:type="dxa"/>
          </w:tcPr>
          <w:p w14:paraId="605E3E10" w14:textId="77777777" w:rsidR="0046798B" w:rsidRDefault="00903B5C">
            <w:pPr>
              <w:pStyle w:val="TableParagraph"/>
              <w:spacing w:before="43"/>
              <w:ind w:left="114"/>
              <w:rPr>
                <w:sz w:val="20"/>
              </w:rPr>
            </w:pPr>
            <w:r>
              <w:rPr>
                <w:sz w:val="20"/>
              </w:rPr>
              <w:t xml:space="preserve">Caughey, Devin, and Christopher Warshaw. 2015. “The Dynamics of State Policy Liberalism, 1936–2014.” </w:t>
            </w:r>
            <w:r>
              <w:rPr>
                <w:i/>
                <w:sz w:val="20"/>
              </w:rPr>
              <w:t>American Journal of Political Science</w:t>
            </w:r>
            <w:r>
              <w:rPr>
                <w:sz w:val="20"/>
              </w:rPr>
              <w:t>,</w:t>
            </w:r>
          </w:p>
        </w:tc>
      </w:tr>
    </w:tbl>
    <w:p w14:paraId="343B78EB" w14:textId="77777777" w:rsidR="0046798B" w:rsidRDefault="0046798B">
      <w:pPr>
        <w:rPr>
          <w:sz w:val="20"/>
        </w:rPr>
        <w:sectPr w:rsidR="0046798B">
          <w:pgSz w:w="15840" w:h="12240" w:orient="landscape"/>
          <w:pgMar w:top="1220" w:right="300" w:bottom="980" w:left="820" w:header="730" w:footer="787" w:gutter="0"/>
          <w:cols w:space="720"/>
        </w:sectPr>
      </w:pPr>
    </w:p>
    <w:p w14:paraId="689A901B"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6D4FFAC6" w14:textId="77777777">
        <w:trPr>
          <w:trHeight w:val="775"/>
        </w:trPr>
        <w:tc>
          <w:tcPr>
            <w:tcW w:w="1711" w:type="dxa"/>
          </w:tcPr>
          <w:p w14:paraId="0C97599E" w14:textId="77777777" w:rsidR="0046798B" w:rsidRDefault="0046798B">
            <w:pPr>
              <w:pStyle w:val="TableParagraph"/>
              <w:rPr>
                <w:sz w:val="20"/>
              </w:rPr>
            </w:pPr>
          </w:p>
        </w:tc>
        <w:tc>
          <w:tcPr>
            <w:tcW w:w="1596" w:type="dxa"/>
          </w:tcPr>
          <w:p w14:paraId="2555B4E7" w14:textId="77777777" w:rsidR="0046798B" w:rsidRDefault="0046798B">
            <w:pPr>
              <w:pStyle w:val="TableParagraph"/>
              <w:rPr>
                <w:sz w:val="20"/>
              </w:rPr>
            </w:pPr>
          </w:p>
        </w:tc>
        <w:tc>
          <w:tcPr>
            <w:tcW w:w="1285" w:type="dxa"/>
          </w:tcPr>
          <w:p w14:paraId="6409C5BA" w14:textId="77777777" w:rsidR="0046798B" w:rsidRDefault="0046798B">
            <w:pPr>
              <w:pStyle w:val="TableParagraph"/>
              <w:rPr>
                <w:sz w:val="20"/>
              </w:rPr>
            </w:pPr>
          </w:p>
        </w:tc>
        <w:tc>
          <w:tcPr>
            <w:tcW w:w="3421" w:type="dxa"/>
          </w:tcPr>
          <w:p w14:paraId="65F3592B" w14:textId="77777777" w:rsidR="0046798B" w:rsidRDefault="00903B5C">
            <w:pPr>
              <w:pStyle w:val="TableParagraph"/>
              <w:spacing w:before="43"/>
              <w:ind w:left="114"/>
              <w:rPr>
                <w:sz w:val="20"/>
              </w:rPr>
            </w:pPr>
            <w:r>
              <w:rPr>
                <w:sz w:val="20"/>
              </w:rPr>
              <w:t>Families program for a family of three with no income?</w:t>
            </w:r>
          </w:p>
        </w:tc>
        <w:tc>
          <w:tcPr>
            <w:tcW w:w="6482" w:type="dxa"/>
          </w:tcPr>
          <w:p w14:paraId="43B0B657" w14:textId="77777777" w:rsidR="0046798B" w:rsidRDefault="00903B5C">
            <w:pPr>
              <w:pStyle w:val="TableParagraph"/>
              <w:spacing w:before="43"/>
              <w:ind w:left="114" w:right="137"/>
              <w:rPr>
                <w:sz w:val="20"/>
              </w:rPr>
            </w:pPr>
            <w:r>
              <w:rPr>
                <w:sz w:val="20"/>
              </w:rPr>
              <w:t xml:space="preserve">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75060CFE" w14:textId="77777777">
        <w:trPr>
          <w:trHeight w:val="1235"/>
        </w:trPr>
        <w:tc>
          <w:tcPr>
            <w:tcW w:w="1711" w:type="dxa"/>
          </w:tcPr>
          <w:p w14:paraId="30546F99" w14:textId="77777777" w:rsidR="0046798B" w:rsidRDefault="0046798B">
            <w:pPr>
              <w:pStyle w:val="TableParagraph"/>
            </w:pPr>
          </w:p>
          <w:p w14:paraId="324A0930" w14:textId="77777777" w:rsidR="0046798B" w:rsidRDefault="00903B5C">
            <w:pPr>
              <w:pStyle w:val="TableParagraph"/>
              <w:spacing w:before="135"/>
              <w:ind w:left="115"/>
              <w:rPr>
                <w:b/>
                <w:sz w:val="20"/>
              </w:rPr>
            </w:pPr>
            <w:r>
              <w:rPr>
                <w:b/>
                <w:sz w:val="20"/>
              </w:rPr>
              <w:t>z_tanf_payments perfamily</w:t>
            </w:r>
          </w:p>
        </w:tc>
        <w:tc>
          <w:tcPr>
            <w:tcW w:w="1596" w:type="dxa"/>
          </w:tcPr>
          <w:p w14:paraId="5D4F50A6" w14:textId="77777777" w:rsidR="0046798B" w:rsidRDefault="0046798B">
            <w:pPr>
              <w:pStyle w:val="TableParagraph"/>
              <w:spacing w:before="8"/>
              <w:rPr>
                <w:sz w:val="23"/>
              </w:rPr>
            </w:pPr>
          </w:p>
          <w:p w14:paraId="46D5E4D1" w14:textId="77777777" w:rsidR="0046798B" w:rsidRDefault="00903B5C">
            <w:pPr>
              <w:pStyle w:val="TableParagraph"/>
              <w:spacing w:before="1"/>
              <w:ind w:left="114" w:right="108"/>
              <w:rPr>
                <w:sz w:val="20"/>
              </w:rPr>
            </w:pPr>
            <w:r>
              <w:rPr>
                <w:sz w:val="20"/>
              </w:rPr>
              <w:t>TANF—average payments per family</w:t>
            </w:r>
          </w:p>
        </w:tc>
        <w:tc>
          <w:tcPr>
            <w:tcW w:w="1285" w:type="dxa"/>
          </w:tcPr>
          <w:p w14:paraId="16B81113" w14:textId="77777777" w:rsidR="0046798B" w:rsidRDefault="0046798B">
            <w:pPr>
              <w:pStyle w:val="TableParagraph"/>
            </w:pPr>
          </w:p>
          <w:p w14:paraId="2E73D601" w14:textId="77777777" w:rsidR="0046798B" w:rsidRDefault="0046798B">
            <w:pPr>
              <w:pStyle w:val="TableParagraph"/>
              <w:spacing w:before="8"/>
              <w:rPr>
                <w:sz w:val="21"/>
              </w:rPr>
            </w:pPr>
          </w:p>
          <w:p w14:paraId="2CE59E82" w14:textId="77777777" w:rsidR="0046798B" w:rsidRDefault="00903B5C">
            <w:pPr>
              <w:pStyle w:val="TableParagraph"/>
              <w:spacing w:before="1"/>
              <w:ind w:left="114"/>
              <w:rPr>
                <w:sz w:val="20"/>
              </w:rPr>
            </w:pPr>
            <w:r>
              <w:rPr>
                <w:sz w:val="20"/>
              </w:rPr>
              <w:t>2006–2010</w:t>
            </w:r>
          </w:p>
        </w:tc>
        <w:tc>
          <w:tcPr>
            <w:tcW w:w="3421" w:type="dxa"/>
          </w:tcPr>
          <w:p w14:paraId="7FFEB944" w14:textId="77777777" w:rsidR="0046798B" w:rsidRDefault="00903B5C">
            <w:pPr>
              <w:pStyle w:val="TableParagraph"/>
              <w:spacing w:before="158"/>
              <w:ind w:left="114" w:right="322"/>
              <w:rPr>
                <w:sz w:val="20"/>
              </w:rPr>
            </w:pPr>
            <w:r>
              <w:rPr>
                <w:sz w:val="20"/>
              </w:rPr>
              <w:t>What is the average monthly level of benefits per family under the Temporary Aid for Needy Families program?</w:t>
            </w:r>
          </w:p>
        </w:tc>
        <w:tc>
          <w:tcPr>
            <w:tcW w:w="6482" w:type="dxa"/>
          </w:tcPr>
          <w:p w14:paraId="6A164FF3"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bl>
    <w:p w14:paraId="042D65D0" w14:textId="77777777" w:rsidR="0046798B" w:rsidRDefault="0046798B">
      <w:pPr>
        <w:rPr>
          <w:sz w:val="20"/>
        </w:rPr>
        <w:sectPr w:rsidR="0046798B">
          <w:pgSz w:w="15840" w:h="12240" w:orient="landscape"/>
          <w:pgMar w:top="1220" w:right="300" w:bottom="980" w:left="820" w:header="730" w:footer="787" w:gutter="0"/>
          <w:cols w:space="720"/>
        </w:sectPr>
      </w:pPr>
    </w:p>
    <w:p w14:paraId="5CA781A7" w14:textId="77777777" w:rsidR="0046798B" w:rsidRDefault="0046798B">
      <w:pPr>
        <w:pStyle w:val="BodyText"/>
        <w:spacing w:before="1"/>
        <w:rPr>
          <w:sz w:val="11"/>
        </w:rPr>
      </w:pPr>
    </w:p>
    <w:p w14:paraId="2125BA23" w14:textId="77777777" w:rsidR="0046798B" w:rsidRDefault="00903B5C">
      <w:pPr>
        <w:pStyle w:val="ListParagraph"/>
        <w:numPr>
          <w:ilvl w:val="0"/>
          <w:numId w:val="12"/>
        </w:numPr>
        <w:tabs>
          <w:tab w:val="left" w:pos="4672"/>
        </w:tabs>
        <w:spacing w:before="88"/>
        <w:ind w:left="4671" w:hanging="345"/>
        <w:jc w:val="left"/>
        <w:rPr>
          <w:b/>
          <w:sz w:val="28"/>
        </w:rPr>
      </w:pPr>
      <w:bookmarkStart w:id="18" w:name="X._Rights_and_Anti-Discrimination_Protec"/>
      <w:bookmarkStart w:id="19" w:name="_bookmark9"/>
      <w:bookmarkEnd w:id="18"/>
      <w:bookmarkEnd w:id="19"/>
      <w:r>
        <w:rPr>
          <w:b/>
          <w:sz w:val="28"/>
        </w:rPr>
        <w:t>Rights and Anti-Discrimination</w:t>
      </w:r>
      <w:r>
        <w:rPr>
          <w:b/>
          <w:spacing w:val="-3"/>
          <w:sz w:val="28"/>
        </w:rPr>
        <w:t xml:space="preserve"> </w:t>
      </w:r>
      <w:r>
        <w:rPr>
          <w:b/>
          <w:sz w:val="28"/>
        </w:rPr>
        <w:t>Protections</w:t>
      </w:r>
    </w:p>
    <w:p w14:paraId="3F629BB8" w14:textId="77777777" w:rsidR="0046798B" w:rsidRDefault="0046798B">
      <w:pPr>
        <w:pStyle w:val="BodyText"/>
        <w:spacing w:before="5"/>
        <w:rPr>
          <w:b/>
          <w:sz w:val="24"/>
        </w:rPr>
      </w:pPr>
    </w:p>
    <w:p w14:paraId="44FCB4DD" w14:textId="77777777" w:rsidR="0046798B" w:rsidRDefault="00903B5C">
      <w:pPr>
        <w:ind w:left="620"/>
        <w:rPr>
          <w:b/>
        </w:rPr>
      </w:pPr>
      <w:r>
        <w:rPr>
          <w:spacing w:val="-60"/>
          <w:u w:val="single"/>
        </w:rPr>
        <w:t xml:space="preserve"> </w:t>
      </w:r>
      <w:r>
        <w:rPr>
          <w:b/>
          <w:u w:val="single"/>
        </w:rPr>
        <w:t>A. Women’s and Gender Rights Policy</w:t>
      </w:r>
    </w:p>
    <w:p w14:paraId="2DB36604" w14:textId="77777777" w:rsidR="0046798B" w:rsidRDefault="0046798B">
      <w:pPr>
        <w:pStyle w:val="BodyText"/>
        <w:spacing w:before="8" w:after="1"/>
        <w:rPr>
          <w:b/>
          <w:sz w:val="23"/>
        </w:rPr>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5702FEC" w14:textId="77777777">
        <w:trPr>
          <w:trHeight w:val="590"/>
        </w:trPr>
        <w:tc>
          <w:tcPr>
            <w:tcW w:w="1711" w:type="dxa"/>
          </w:tcPr>
          <w:p w14:paraId="565D783A" w14:textId="77777777" w:rsidR="0046798B" w:rsidRDefault="00903B5C">
            <w:pPr>
              <w:pStyle w:val="TableParagraph"/>
              <w:spacing w:before="164"/>
              <w:ind w:left="140"/>
              <w:rPr>
                <w:b/>
              </w:rPr>
            </w:pPr>
            <w:r>
              <w:rPr>
                <w:b/>
              </w:rPr>
              <w:t>Variable Name</w:t>
            </w:r>
          </w:p>
        </w:tc>
        <w:tc>
          <w:tcPr>
            <w:tcW w:w="1596" w:type="dxa"/>
          </w:tcPr>
          <w:p w14:paraId="5ADA1B91" w14:textId="77777777" w:rsidR="0046798B" w:rsidRDefault="00903B5C">
            <w:pPr>
              <w:pStyle w:val="TableParagraph"/>
              <w:spacing w:before="39" w:line="242" w:lineRule="auto"/>
              <w:ind w:left="249" w:right="229" w:firstLine="280"/>
              <w:rPr>
                <w:b/>
              </w:rPr>
            </w:pPr>
            <w:r>
              <w:rPr>
                <w:b/>
              </w:rPr>
              <w:t>Short Description</w:t>
            </w:r>
          </w:p>
        </w:tc>
        <w:tc>
          <w:tcPr>
            <w:tcW w:w="1285" w:type="dxa"/>
          </w:tcPr>
          <w:p w14:paraId="7C6062FD" w14:textId="77777777" w:rsidR="0046798B" w:rsidRDefault="00903B5C">
            <w:pPr>
              <w:pStyle w:val="TableParagraph"/>
              <w:spacing w:before="164"/>
              <w:ind w:left="374"/>
              <w:rPr>
                <w:b/>
              </w:rPr>
            </w:pPr>
            <w:r>
              <w:rPr>
                <w:b/>
              </w:rPr>
              <w:t>Dates</w:t>
            </w:r>
          </w:p>
        </w:tc>
        <w:tc>
          <w:tcPr>
            <w:tcW w:w="3421" w:type="dxa"/>
          </w:tcPr>
          <w:p w14:paraId="18C27188" w14:textId="77777777" w:rsidR="0046798B" w:rsidRDefault="00903B5C">
            <w:pPr>
              <w:pStyle w:val="TableParagraph"/>
              <w:spacing w:before="39"/>
              <w:ind w:left="159" w:right="146"/>
              <w:jc w:val="center"/>
              <w:rPr>
                <w:b/>
              </w:rPr>
            </w:pPr>
            <w:r>
              <w:rPr>
                <w:b/>
              </w:rPr>
              <w:t>Coding /</w:t>
            </w:r>
          </w:p>
          <w:p w14:paraId="768A3E5A" w14:textId="77777777" w:rsidR="0046798B" w:rsidRDefault="00903B5C">
            <w:pPr>
              <w:pStyle w:val="TableParagraph"/>
              <w:spacing w:before="3"/>
              <w:ind w:left="159" w:right="150"/>
              <w:jc w:val="center"/>
              <w:rPr>
                <w:b/>
              </w:rPr>
            </w:pPr>
            <w:r>
              <w:rPr>
                <w:b/>
              </w:rPr>
              <w:t>Longer Description (if available)</w:t>
            </w:r>
          </w:p>
        </w:tc>
        <w:tc>
          <w:tcPr>
            <w:tcW w:w="6482" w:type="dxa"/>
          </w:tcPr>
          <w:p w14:paraId="3086FBA1" w14:textId="77777777" w:rsidR="0046798B" w:rsidRDefault="00903B5C">
            <w:pPr>
              <w:pStyle w:val="TableParagraph"/>
              <w:spacing w:before="164"/>
              <w:ind w:left="2852" w:right="2845"/>
              <w:jc w:val="center"/>
              <w:rPr>
                <w:b/>
              </w:rPr>
            </w:pPr>
            <w:r>
              <w:rPr>
                <w:b/>
              </w:rPr>
              <w:t>Sources</w:t>
            </w:r>
          </w:p>
        </w:tc>
      </w:tr>
      <w:tr w:rsidR="0046798B" w14:paraId="444255FA" w14:textId="77777777">
        <w:trPr>
          <w:trHeight w:val="1470"/>
        </w:trPr>
        <w:tc>
          <w:tcPr>
            <w:tcW w:w="1711" w:type="dxa"/>
          </w:tcPr>
          <w:p w14:paraId="7BEB41CE" w14:textId="77777777" w:rsidR="0046798B" w:rsidRDefault="0046798B">
            <w:pPr>
              <w:pStyle w:val="TableParagraph"/>
              <w:rPr>
                <w:b/>
              </w:rPr>
            </w:pPr>
          </w:p>
          <w:p w14:paraId="0B486A35" w14:textId="77777777" w:rsidR="0046798B" w:rsidRDefault="0046798B">
            <w:pPr>
              <w:pStyle w:val="TableParagraph"/>
              <w:spacing w:before="8"/>
              <w:rPr>
                <w:b/>
                <w:sz w:val="31"/>
              </w:rPr>
            </w:pPr>
          </w:p>
          <w:p w14:paraId="741F3C28" w14:textId="77777777" w:rsidR="0046798B" w:rsidRDefault="00903B5C">
            <w:pPr>
              <w:pStyle w:val="TableParagraph"/>
              <w:spacing w:before="1"/>
              <w:ind w:left="115"/>
              <w:rPr>
                <w:b/>
                <w:sz w:val="20"/>
              </w:rPr>
            </w:pPr>
            <w:r>
              <w:rPr>
                <w:b/>
                <w:sz w:val="20"/>
              </w:rPr>
              <w:t>dera</w:t>
            </w:r>
          </w:p>
        </w:tc>
        <w:tc>
          <w:tcPr>
            <w:tcW w:w="1596" w:type="dxa"/>
          </w:tcPr>
          <w:p w14:paraId="6D53C09E" w14:textId="77777777" w:rsidR="0046798B" w:rsidRDefault="00903B5C">
            <w:pPr>
              <w:pStyle w:val="TableParagraph"/>
              <w:spacing w:before="43"/>
              <w:ind w:left="114" w:right="268"/>
              <w:rPr>
                <w:sz w:val="20"/>
              </w:rPr>
            </w:pPr>
            <w:r>
              <w:rPr>
                <w:sz w:val="20"/>
              </w:rPr>
              <w:t>State constitution prohibits government discrimination on basis of sex</w:t>
            </w:r>
          </w:p>
        </w:tc>
        <w:tc>
          <w:tcPr>
            <w:tcW w:w="1285" w:type="dxa"/>
          </w:tcPr>
          <w:p w14:paraId="4111516E" w14:textId="77777777" w:rsidR="0046798B" w:rsidRDefault="0046798B">
            <w:pPr>
              <w:pStyle w:val="TableParagraph"/>
              <w:rPr>
                <w:b/>
              </w:rPr>
            </w:pPr>
          </w:p>
          <w:p w14:paraId="506DAF51" w14:textId="77777777" w:rsidR="0046798B" w:rsidRDefault="0046798B">
            <w:pPr>
              <w:pStyle w:val="TableParagraph"/>
              <w:spacing w:before="8"/>
              <w:rPr>
                <w:b/>
                <w:sz w:val="31"/>
              </w:rPr>
            </w:pPr>
          </w:p>
          <w:p w14:paraId="1AEBA5C6" w14:textId="77777777" w:rsidR="0046798B" w:rsidRDefault="00903B5C">
            <w:pPr>
              <w:pStyle w:val="TableParagraph"/>
              <w:spacing w:before="1"/>
              <w:ind w:left="114"/>
              <w:rPr>
                <w:sz w:val="20"/>
              </w:rPr>
            </w:pPr>
            <w:r>
              <w:rPr>
                <w:sz w:val="20"/>
              </w:rPr>
              <w:t>1957–2016</w:t>
            </w:r>
          </w:p>
        </w:tc>
        <w:tc>
          <w:tcPr>
            <w:tcW w:w="3421" w:type="dxa"/>
          </w:tcPr>
          <w:p w14:paraId="5D434D42" w14:textId="77777777" w:rsidR="0046798B" w:rsidRDefault="00903B5C">
            <w:pPr>
              <w:pStyle w:val="TableParagraph"/>
              <w:spacing w:before="158"/>
              <w:ind w:left="114" w:right="116"/>
              <w:rPr>
                <w:sz w:val="20"/>
              </w:rPr>
            </w:pPr>
            <w:r>
              <w:rPr>
                <w:sz w:val="20"/>
              </w:rPr>
              <w:t>State constitution prohibits government discrimination on basis of sex? (0 = no,</w:t>
            </w:r>
          </w:p>
          <w:p w14:paraId="79F7BCE2" w14:textId="77777777" w:rsidR="0046798B" w:rsidRDefault="00903B5C">
            <w:pPr>
              <w:pStyle w:val="TableParagraph"/>
              <w:ind w:left="114" w:right="296"/>
              <w:rPr>
                <w:sz w:val="20"/>
              </w:rPr>
            </w:pPr>
            <w:r>
              <w:rPr>
                <w:sz w:val="20"/>
              </w:rPr>
              <w:t>0.5 = yes, in some decisions, 1 = yes, broadly)</w:t>
            </w:r>
          </w:p>
        </w:tc>
        <w:tc>
          <w:tcPr>
            <w:tcW w:w="6482" w:type="dxa"/>
          </w:tcPr>
          <w:p w14:paraId="30161720" w14:textId="77777777" w:rsidR="0046798B" w:rsidRDefault="0046798B">
            <w:pPr>
              <w:pStyle w:val="TableParagraph"/>
              <w:rPr>
                <w:b/>
              </w:rPr>
            </w:pPr>
          </w:p>
          <w:p w14:paraId="5A81E530" w14:textId="77777777" w:rsidR="0046798B" w:rsidRDefault="00903B5C">
            <w:pPr>
              <w:pStyle w:val="TableParagraph"/>
              <w:spacing w:before="135"/>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2E4E1A4" w14:textId="77777777">
        <w:trPr>
          <w:trHeight w:val="1925"/>
        </w:trPr>
        <w:tc>
          <w:tcPr>
            <w:tcW w:w="1711" w:type="dxa"/>
          </w:tcPr>
          <w:p w14:paraId="3FE9351B" w14:textId="77777777" w:rsidR="0046798B" w:rsidRDefault="0046798B">
            <w:pPr>
              <w:pStyle w:val="TableParagraph"/>
              <w:rPr>
                <w:b/>
              </w:rPr>
            </w:pPr>
          </w:p>
          <w:p w14:paraId="70A72C1D" w14:textId="77777777" w:rsidR="0046798B" w:rsidRDefault="0046798B">
            <w:pPr>
              <w:pStyle w:val="TableParagraph"/>
              <w:rPr>
                <w:b/>
              </w:rPr>
            </w:pPr>
          </w:p>
          <w:p w14:paraId="58545689" w14:textId="77777777" w:rsidR="0046798B" w:rsidRDefault="0046798B">
            <w:pPr>
              <w:pStyle w:val="TableParagraph"/>
              <w:spacing w:before="4"/>
              <w:rPr>
                <w:b/>
                <w:sz w:val="29"/>
              </w:rPr>
            </w:pPr>
          </w:p>
          <w:p w14:paraId="3688A54E" w14:textId="77777777" w:rsidR="0046798B" w:rsidRDefault="00903B5C">
            <w:pPr>
              <w:pStyle w:val="TableParagraph"/>
              <w:ind w:left="115"/>
              <w:rPr>
                <w:b/>
                <w:sz w:val="20"/>
              </w:rPr>
            </w:pPr>
            <w:r>
              <w:rPr>
                <w:b/>
                <w:sz w:val="20"/>
              </w:rPr>
              <w:t>breastfeed</w:t>
            </w:r>
          </w:p>
        </w:tc>
        <w:tc>
          <w:tcPr>
            <w:tcW w:w="1596" w:type="dxa"/>
          </w:tcPr>
          <w:p w14:paraId="333A6B84" w14:textId="77777777" w:rsidR="0046798B" w:rsidRDefault="0046798B">
            <w:pPr>
              <w:pStyle w:val="TableParagraph"/>
              <w:rPr>
                <w:b/>
              </w:rPr>
            </w:pPr>
          </w:p>
          <w:p w14:paraId="633B7A0C" w14:textId="77777777" w:rsidR="0046798B" w:rsidRDefault="0046798B">
            <w:pPr>
              <w:pStyle w:val="TableParagraph"/>
              <w:rPr>
                <w:b/>
              </w:rPr>
            </w:pPr>
          </w:p>
          <w:p w14:paraId="7BC6090E" w14:textId="77777777" w:rsidR="0046798B" w:rsidRDefault="0046798B">
            <w:pPr>
              <w:pStyle w:val="TableParagraph"/>
              <w:spacing w:before="4"/>
              <w:rPr>
                <w:b/>
                <w:sz w:val="19"/>
              </w:rPr>
            </w:pPr>
          </w:p>
          <w:p w14:paraId="77565119" w14:textId="77777777" w:rsidR="0046798B" w:rsidRDefault="00903B5C">
            <w:pPr>
              <w:pStyle w:val="TableParagraph"/>
              <w:ind w:left="114" w:right="324"/>
              <w:rPr>
                <w:sz w:val="20"/>
              </w:rPr>
            </w:pPr>
            <w:r>
              <w:rPr>
                <w:sz w:val="20"/>
              </w:rPr>
              <w:t>Allows public breastfeeding</w:t>
            </w:r>
          </w:p>
        </w:tc>
        <w:tc>
          <w:tcPr>
            <w:tcW w:w="1285" w:type="dxa"/>
          </w:tcPr>
          <w:p w14:paraId="45722564" w14:textId="77777777" w:rsidR="0046798B" w:rsidRDefault="0046798B">
            <w:pPr>
              <w:pStyle w:val="TableParagraph"/>
              <w:rPr>
                <w:b/>
              </w:rPr>
            </w:pPr>
          </w:p>
          <w:p w14:paraId="47114A2A" w14:textId="77777777" w:rsidR="0046798B" w:rsidRDefault="0046798B">
            <w:pPr>
              <w:pStyle w:val="TableParagraph"/>
              <w:rPr>
                <w:b/>
              </w:rPr>
            </w:pPr>
          </w:p>
          <w:p w14:paraId="7D57091E" w14:textId="77777777" w:rsidR="0046798B" w:rsidRDefault="0046798B">
            <w:pPr>
              <w:pStyle w:val="TableParagraph"/>
              <w:spacing w:before="4"/>
              <w:rPr>
                <w:b/>
                <w:sz w:val="29"/>
              </w:rPr>
            </w:pPr>
          </w:p>
          <w:p w14:paraId="0F05B844" w14:textId="77777777" w:rsidR="0046798B" w:rsidRDefault="00903B5C">
            <w:pPr>
              <w:pStyle w:val="TableParagraph"/>
              <w:ind w:left="114"/>
              <w:rPr>
                <w:sz w:val="20"/>
              </w:rPr>
            </w:pPr>
            <w:r>
              <w:rPr>
                <w:sz w:val="20"/>
              </w:rPr>
              <w:t>1993–2009</w:t>
            </w:r>
          </w:p>
        </w:tc>
        <w:tc>
          <w:tcPr>
            <w:tcW w:w="3421" w:type="dxa"/>
          </w:tcPr>
          <w:p w14:paraId="697ABFA0" w14:textId="77777777" w:rsidR="0046798B" w:rsidRDefault="0046798B">
            <w:pPr>
              <w:pStyle w:val="TableParagraph"/>
              <w:rPr>
                <w:b/>
              </w:rPr>
            </w:pPr>
          </w:p>
          <w:p w14:paraId="25163C70" w14:textId="77777777" w:rsidR="0046798B" w:rsidRDefault="0046798B">
            <w:pPr>
              <w:pStyle w:val="TableParagraph"/>
              <w:rPr>
                <w:b/>
              </w:rPr>
            </w:pPr>
          </w:p>
          <w:p w14:paraId="611949F6" w14:textId="77777777" w:rsidR="0046798B" w:rsidRDefault="0046798B">
            <w:pPr>
              <w:pStyle w:val="TableParagraph"/>
              <w:spacing w:before="4"/>
              <w:rPr>
                <w:b/>
                <w:sz w:val="19"/>
              </w:rPr>
            </w:pPr>
          </w:p>
          <w:p w14:paraId="223741D4" w14:textId="77777777" w:rsidR="0046798B" w:rsidRDefault="00903B5C">
            <w:pPr>
              <w:pStyle w:val="TableParagraph"/>
              <w:ind w:left="114" w:right="1475"/>
              <w:rPr>
                <w:sz w:val="20"/>
              </w:rPr>
            </w:pPr>
            <w:r>
              <w:rPr>
                <w:sz w:val="20"/>
              </w:rPr>
              <w:t>0 = policy not adopted 1 = policy adopted</w:t>
            </w:r>
          </w:p>
        </w:tc>
        <w:tc>
          <w:tcPr>
            <w:tcW w:w="6482" w:type="dxa"/>
          </w:tcPr>
          <w:p w14:paraId="3CE5253A" w14:textId="77777777" w:rsidR="0046798B" w:rsidRDefault="00903B5C">
            <w:pPr>
              <w:pStyle w:val="TableParagraph"/>
              <w:spacing w:before="38"/>
              <w:ind w:left="114" w:right="128"/>
              <w:jc w:val="both"/>
              <w:rPr>
                <w:sz w:val="20"/>
              </w:rPr>
            </w:pPr>
            <w:r>
              <w:rPr>
                <w:sz w:val="20"/>
              </w:rPr>
              <w:t>Mallinson, Daniel J. “Building a better speed trap: Measuring policy</w:t>
            </w:r>
            <w:r>
              <w:rPr>
                <w:spacing w:val="-16"/>
                <w:sz w:val="20"/>
              </w:rPr>
              <w:t xml:space="preserve"> </w:t>
            </w:r>
            <w:r>
              <w:rPr>
                <w:sz w:val="20"/>
              </w:rPr>
              <w:t xml:space="preserve">adoption speed in the American states.” </w:t>
            </w:r>
            <w:r>
              <w:rPr>
                <w:i/>
                <w:sz w:val="20"/>
              </w:rPr>
              <w:t xml:space="preserve">State Politics &amp; Policy Quarterly </w:t>
            </w:r>
            <w:r>
              <w:rPr>
                <w:sz w:val="20"/>
              </w:rPr>
              <w:t>16.1 (2016): 98-120.</w:t>
            </w:r>
          </w:p>
          <w:p w14:paraId="3DD1F94A" w14:textId="77777777" w:rsidR="0046798B" w:rsidRDefault="0046798B">
            <w:pPr>
              <w:pStyle w:val="TableParagraph"/>
              <w:rPr>
                <w:b/>
                <w:sz w:val="20"/>
              </w:rPr>
            </w:pPr>
          </w:p>
          <w:p w14:paraId="3B554FD8"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603AC8ED" w14:textId="77777777">
        <w:trPr>
          <w:trHeight w:val="545"/>
        </w:trPr>
        <w:tc>
          <w:tcPr>
            <w:tcW w:w="1711" w:type="dxa"/>
          </w:tcPr>
          <w:p w14:paraId="31B1380E" w14:textId="77777777" w:rsidR="0046798B" w:rsidRDefault="00903B5C">
            <w:pPr>
              <w:pStyle w:val="TableParagraph"/>
              <w:spacing w:before="154"/>
              <w:ind w:left="115"/>
              <w:rPr>
                <w:b/>
                <w:sz w:val="20"/>
              </w:rPr>
            </w:pPr>
            <w:r>
              <w:rPr>
                <w:b/>
                <w:sz w:val="20"/>
              </w:rPr>
              <w:t>equalpay</w:t>
            </w:r>
          </w:p>
        </w:tc>
        <w:tc>
          <w:tcPr>
            <w:tcW w:w="1596" w:type="dxa"/>
          </w:tcPr>
          <w:p w14:paraId="76C04501" w14:textId="77777777" w:rsidR="0046798B" w:rsidRDefault="00903B5C">
            <w:pPr>
              <w:pStyle w:val="TableParagraph"/>
              <w:spacing w:before="39"/>
              <w:ind w:left="114" w:right="363"/>
              <w:rPr>
                <w:sz w:val="20"/>
              </w:rPr>
            </w:pPr>
            <w:r>
              <w:rPr>
                <w:sz w:val="20"/>
              </w:rPr>
              <w:t>Equal pay for females</w:t>
            </w:r>
          </w:p>
        </w:tc>
        <w:tc>
          <w:tcPr>
            <w:tcW w:w="1285" w:type="dxa"/>
          </w:tcPr>
          <w:p w14:paraId="492421FC" w14:textId="77777777" w:rsidR="0046798B" w:rsidRDefault="00903B5C">
            <w:pPr>
              <w:pStyle w:val="TableParagraph"/>
              <w:spacing w:before="154"/>
              <w:ind w:left="114"/>
              <w:rPr>
                <w:sz w:val="20"/>
              </w:rPr>
            </w:pPr>
            <w:r>
              <w:rPr>
                <w:sz w:val="20"/>
              </w:rPr>
              <w:t>1919–1966</w:t>
            </w:r>
          </w:p>
        </w:tc>
        <w:tc>
          <w:tcPr>
            <w:tcW w:w="3421" w:type="dxa"/>
          </w:tcPr>
          <w:p w14:paraId="0A38ACAC" w14:textId="77777777" w:rsidR="0046798B" w:rsidRDefault="00903B5C">
            <w:pPr>
              <w:pStyle w:val="TableParagraph"/>
              <w:spacing w:before="39"/>
              <w:ind w:left="114" w:right="200"/>
              <w:rPr>
                <w:sz w:val="20"/>
              </w:rPr>
            </w:pPr>
            <w:r>
              <w:rPr>
                <w:sz w:val="20"/>
              </w:rPr>
              <w:t>Did state adopt equal pay for females? (0 = no, 1 = yes)</w:t>
            </w:r>
          </w:p>
        </w:tc>
        <w:tc>
          <w:tcPr>
            <w:tcW w:w="6482" w:type="dxa"/>
          </w:tcPr>
          <w:p w14:paraId="3B44FA15" w14:textId="77777777" w:rsidR="0046798B" w:rsidRDefault="00903B5C">
            <w:pPr>
              <w:pStyle w:val="TableParagraph"/>
              <w:spacing w:before="39"/>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186BBC39" w14:textId="77777777">
        <w:trPr>
          <w:trHeight w:val="775"/>
        </w:trPr>
        <w:tc>
          <w:tcPr>
            <w:tcW w:w="1711" w:type="dxa"/>
          </w:tcPr>
          <w:p w14:paraId="4A3B0902" w14:textId="77777777" w:rsidR="0046798B" w:rsidRDefault="0046798B">
            <w:pPr>
              <w:pStyle w:val="TableParagraph"/>
              <w:spacing w:before="3"/>
              <w:rPr>
                <w:b/>
                <w:sz w:val="23"/>
              </w:rPr>
            </w:pPr>
          </w:p>
          <w:p w14:paraId="55D5748E" w14:textId="77777777" w:rsidR="0046798B" w:rsidRDefault="00903B5C">
            <w:pPr>
              <w:pStyle w:val="TableParagraph"/>
              <w:spacing w:before="1"/>
              <w:ind w:left="115"/>
              <w:rPr>
                <w:b/>
                <w:sz w:val="20"/>
              </w:rPr>
            </w:pPr>
            <w:r>
              <w:rPr>
                <w:b/>
                <w:sz w:val="20"/>
              </w:rPr>
              <w:t>offwmh</w:t>
            </w:r>
          </w:p>
        </w:tc>
        <w:tc>
          <w:tcPr>
            <w:tcW w:w="1596" w:type="dxa"/>
          </w:tcPr>
          <w:p w14:paraId="78E55BD3" w14:textId="77777777" w:rsidR="0046798B" w:rsidRDefault="00903B5C">
            <w:pPr>
              <w:pStyle w:val="TableParagraph"/>
              <w:spacing w:before="45" w:line="237" w:lineRule="auto"/>
              <w:ind w:left="114" w:right="180"/>
              <w:rPr>
                <w:sz w:val="20"/>
              </w:rPr>
            </w:pPr>
            <w:r>
              <w:rPr>
                <w:sz w:val="20"/>
              </w:rPr>
              <w:t>Special agent/office for women’s health</w:t>
            </w:r>
          </w:p>
        </w:tc>
        <w:tc>
          <w:tcPr>
            <w:tcW w:w="1285" w:type="dxa"/>
          </w:tcPr>
          <w:p w14:paraId="1200B19B" w14:textId="77777777" w:rsidR="0046798B" w:rsidRDefault="0046798B">
            <w:pPr>
              <w:pStyle w:val="TableParagraph"/>
              <w:spacing w:before="3"/>
              <w:rPr>
                <w:b/>
                <w:sz w:val="23"/>
              </w:rPr>
            </w:pPr>
          </w:p>
          <w:p w14:paraId="3FAA35D7" w14:textId="77777777" w:rsidR="0046798B" w:rsidRDefault="00903B5C">
            <w:pPr>
              <w:pStyle w:val="TableParagraph"/>
              <w:spacing w:before="1"/>
              <w:ind w:left="114"/>
              <w:rPr>
                <w:sz w:val="20"/>
              </w:rPr>
            </w:pPr>
            <w:r>
              <w:rPr>
                <w:sz w:val="20"/>
              </w:rPr>
              <w:t>1993–2009</w:t>
            </w:r>
          </w:p>
        </w:tc>
        <w:tc>
          <w:tcPr>
            <w:tcW w:w="3421" w:type="dxa"/>
          </w:tcPr>
          <w:p w14:paraId="7FE04B39" w14:textId="77777777" w:rsidR="0046798B" w:rsidRDefault="00903B5C">
            <w:pPr>
              <w:pStyle w:val="TableParagraph"/>
              <w:spacing w:before="162" w:line="235" w:lineRule="auto"/>
              <w:ind w:left="114" w:right="257"/>
              <w:rPr>
                <w:sz w:val="20"/>
              </w:rPr>
            </w:pPr>
            <w:r>
              <w:rPr>
                <w:sz w:val="20"/>
              </w:rPr>
              <w:t>Did state adopt a special agent/office for women’s health? (0 = no, 1 = yes)</w:t>
            </w:r>
          </w:p>
        </w:tc>
        <w:tc>
          <w:tcPr>
            <w:tcW w:w="6482" w:type="dxa"/>
          </w:tcPr>
          <w:p w14:paraId="5AB2CCE8" w14:textId="77777777" w:rsidR="0046798B" w:rsidRDefault="00903B5C">
            <w:pPr>
              <w:pStyle w:val="TableParagraph"/>
              <w:spacing w:before="162" w:line="235" w:lineRule="auto"/>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172B5F3E" w14:textId="77777777">
        <w:trPr>
          <w:trHeight w:val="775"/>
        </w:trPr>
        <w:tc>
          <w:tcPr>
            <w:tcW w:w="1711" w:type="dxa"/>
          </w:tcPr>
          <w:p w14:paraId="7820854F" w14:textId="77777777" w:rsidR="0046798B" w:rsidRDefault="0046798B">
            <w:pPr>
              <w:pStyle w:val="TableParagraph"/>
              <w:spacing w:before="9"/>
              <w:rPr>
                <w:b/>
                <w:sz w:val="23"/>
              </w:rPr>
            </w:pPr>
          </w:p>
          <w:p w14:paraId="12A72728" w14:textId="77777777" w:rsidR="0046798B" w:rsidRDefault="00903B5C">
            <w:pPr>
              <w:pStyle w:val="TableParagraph"/>
              <w:ind w:left="115"/>
              <w:rPr>
                <w:b/>
                <w:sz w:val="20"/>
              </w:rPr>
            </w:pPr>
            <w:r>
              <w:rPr>
                <w:b/>
                <w:sz w:val="20"/>
              </w:rPr>
              <w:t>pubbrefeed</w:t>
            </w:r>
          </w:p>
        </w:tc>
        <w:tc>
          <w:tcPr>
            <w:tcW w:w="1596" w:type="dxa"/>
          </w:tcPr>
          <w:p w14:paraId="3195DBF6" w14:textId="77777777" w:rsidR="0046798B" w:rsidRDefault="00903B5C">
            <w:pPr>
              <w:pStyle w:val="TableParagraph"/>
              <w:spacing w:before="43"/>
              <w:ind w:left="114" w:right="169"/>
              <w:rPr>
                <w:sz w:val="20"/>
              </w:rPr>
            </w:pPr>
            <w:r>
              <w:rPr>
                <w:sz w:val="20"/>
              </w:rPr>
              <w:t>Allowance of breastfeeding in public</w:t>
            </w:r>
          </w:p>
        </w:tc>
        <w:tc>
          <w:tcPr>
            <w:tcW w:w="1285" w:type="dxa"/>
          </w:tcPr>
          <w:p w14:paraId="5D242935" w14:textId="77777777" w:rsidR="0046798B" w:rsidRDefault="0046798B">
            <w:pPr>
              <w:pStyle w:val="TableParagraph"/>
              <w:spacing w:before="9"/>
              <w:rPr>
                <w:b/>
                <w:sz w:val="23"/>
              </w:rPr>
            </w:pPr>
          </w:p>
          <w:p w14:paraId="4F4DC2F9" w14:textId="77777777" w:rsidR="0046798B" w:rsidRDefault="00903B5C">
            <w:pPr>
              <w:pStyle w:val="TableParagraph"/>
              <w:ind w:left="114"/>
              <w:rPr>
                <w:sz w:val="20"/>
              </w:rPr>
            </w:pPr>
            <w:r>
              <w:rPr>
                <w:sz w:val="20"/>
              </w:rPr>
              <w:t>1993–2008</w:t>
            </w:r>
          </w:p>
        </w:tc>
        <w:tc>
          <w:tcPr>
            <w:tcW w:w="3421" w:type="dxa"/>
          </w:tcPr>
          <w:p w14:paraId="753DB9CC" w14:textId="77777777" w:rsidR="0046798B" w:rsidRDefault="00903B5C">
            <w:pPr>
              <w:pStyle w:val="TableParagraph"/>
              <w:spacing w:before="43"/>
              <w:ind w:left="114" w:right="363"/>
              <w:rPr>
                <w:sz w:val="20"/>
              </w:rPr>
            </w:pPr>
            <w:r>
              <w:rPr>
                <w:sz w:val="20"/>
              </w:rPr>
              <w:t>Did state adopt a law allowing breastfeeding in public? (0 = no, 1 = yes)</w:t>
            </w:r>
          </w:p>
        </w:tc>
        <w:tc>
          <w:tcPr>
            <w:tcW w:w="6482" w:type="dxa"/>
          </w:tcPr>
          <w:p w14:paraId="5C0DC42A" w14:textId="77777777" w:rsidR="0046798B" w:rsidRDefault="00903B5C">
            <w:pPr>
              <w:pStyle w:val="TableParagraph"/>
              <w:spacing w:before="15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1B8170C8" w14:textId="77777777">
        <w:trPr>
          <w:trHeight w:val="1235"/>
        </w:trPr>
        <w:tc>
          <w:tcPr>
            <w:tcW w:w="1711" w:type="dxa"/>
          </w:tcPr>
          <w:p w14:paraId="75F19B25" w14:textId="77777777" w:rsidR="0046798B" w:rsidRDefault="0046798B">
            <w:pPr>
              <w:pStyle w:val="TableParagraph"/>
              <w:rPr>
                <w:b/>
              </w:rPr>
            </w:pPr>
          </w:p>
          <w:p w14:paraId="50D9E189" w14:textId="77777777" w:rsidR="0046798B" w:rsidRDefault="00903B5C">
            <w:pPr>
              <w:pStyle w:val="TableParagraph"/>
              <w:spacing w:before="135"/>
              <w:ind w:left="115" w:right="187"/>
              <w:rPr>
                <w:b/>
                <w:sz w:val="20"/>
              </w:rPr>
            </w:pPr>
            <w:r>
              <w:rPr>
                <w:b/>
                <w:sz w:val="20"/>
              </w:rPr>
              <w:t>genderrights_ge nder_equal_pay</w:t>
            </w:r>
          </w:p>
        </w:tc>
        <w:tc>
          <w:tcPr>
            <w:tcW w:w="1596" w:type="dxa"/>
          </w:tcPr>
          <w:p w14:paraId="51AE31CA" w14:textId="77777777" w:rsidR="0046798B" w:rsidRDefault="0046798B">
            <w:pPr>
              <w:pStyle w:val="TableParagraph"/>
              <w:rPr>
                <w:b/>
              </w:rPr>
            </w:pPr>
          </w:p>
          <w:p w14:paraId="22B8F73D" w14:textId="77777777" w:rsidR="0046798B" w:rsidRDefault="00903B5C">
            <w:pPr>
              <w:pStyle w:val="TableParagraph"/>
              <w:spacing w:before="135"/>
              <w:ind w:left="114" w:right="363"/>
              <w:rPr>
                <w:sz w:val="20"/>
              </w:rPr>
            </w:pPr>
            <w:r>
              <w:rPr>
                <w:sz w:val="20"/>
              </w:rPr>
              <w:t>Equal pay for females</w:t>
            </w:r>
          </w:p>
        </w:tc>
        <w:tc>
          <w:tcPr>
            <w:tcW w:w="1285" w:type="dxa"/>
          </w:tcPr>
          <w:p w14:paraId="2CF1A55F" w14:textId="77777777" w:rsidR="0046798B" w:rsidRDefault="0046798B">
            <w:pPr>
              <w:pStyle w:val="TableParagraph"/>
              <w:rPr>
                <w:b/>
              </w:rPr>
            </w:pPr>
          </w:p>
          <w:p w14:paraId="4D61E88E" w14:textId="77777777" w:rsidR="0046798B" w:rsidRDefault="0046798B">
            <w:pPr>
              <w:pStyle w:val="TableParagraph"/>
              <w:spacing w:before="9"/>
              <w:rPr>
                <w:b/>
                <w:sz w:val="21"/>
              </w:rPr>
            </w:pPr>
          </w:p>
          <w:p w14:paraId="40236E85" w14:textId="77777777" w:rsidR="0046798B" w:rsidRDefault="00903B5C">
            <w:pPr>
              <w:pStyle w:val="TableParagraph"/>
              <w:ind w:left="114"/>
              <w:rPr>
                <w:sz w:val="20"/>
              </w:rPr>
            </w:pPr>
            <w:r>
              <w:rPr>
                <w:sz w:val="20"/>
              </w:rPr>
              <w:t>1936–1972</w:t>
            </w:r>
          </w:p>
        </w:tc>
        <w:tc>
          <w:tcPr>
            <w:tcW w:w="3421" w:type="dxa"/>
          </w:tcPr>
          <w:p w14:paraId="2A53C37A" w14:textId="77777777" w:rsidR="0046798B" w:rsidRDefault="0046798B">
            <w:pPr>
              <w:pStyle w:val="TableParagraph"/>
              <w:spacing w:before="8"/>
              <w:rPr>
                <w:b/>
                <w:sz w:val="23"/>
              </w:rPr>
            </w:pPr>
          </w:p>
          <w:p w14:paraId="6A7EED05" w14:textId="77777777" w:rsidR="0046798B" w:rsidRDefault="00903B5C">
            <w:pPr>
              <w:pStyle w:val="TableParagraph"/>
              <w:ind w:left="114" w:right="139"/>
              <w:rPr>
                <w:sz w:val="20"/>
              </w:rPr>
            </w:pPr>
            <w:r>
              <w:rPr>
                <w:sz w:val="20"/>
              </w:rPr>
              <w:t>Does the state have a law providing for equal pay for women working in the same job? (0 = no, 1 = yes)</w:t>
            </w:r>
          </w:p>
        </w:tc>
        <w:tc>
          <w:tcPr>
            <w:tcW w:w="6482" w:type="dxa"/>
          </w:tcPr>
          <w:p w14:paraId="2257C085"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5EA2C84F" w14:textId="77777777">
        <w:trPr>
          <w:trHeight w:val="780"/>
        </w:trPr>
        <w:tc>
          <w:tcPr>
            <w:tcW w:w="1711" w:type="dxa"/>
          </w:tcPr>
          <w:p w14:paraId="4FD0608D" w14:textId="77777777" w:rsidR="0046798B" w:rsidRDefault="00903B5C">
            <w:pPr>
              <w:pStyle w:val="TableParagraph"/>
              <w:spacing w:before="158"/>
              <w:ind w:left="115"/>
              <w:rPr>
                <w:b/>
                <w:sz w:val="20"/>
              </w:rPr>
            </w:pPr>
            <w:r>
              <w:rPr>
                <w:b/>
                <w:sz w:val="20"/>
              </w:rPr>
              <w:t>genderrights_era</w:t>
            </w:r>
          </w:p>
          <w:p w14:paraId="0814EE66" w14:textId="77777777" w:rsidR="0046798B" w:rsidRDefault="00903B5C">
            <w:pPr>
              <w:pStyle w:val="TableParagraph"/>
              <w:spacing w:before="1"/>
              <w:ind w:left="115"/>
              <w:rPr>
                <w:b/>
                <w:sz w:val="20"/>
              </w:rPr>
            </w:pPr>
            <w:r>
              <w:rPr>
                <w:b/>
                <w:sz w:val="20"/>
              </w:rPr>
              <w:t>_ratification</w:t>
            </w:r>
          </w:p>
        </w:tc>
        <w:tc>
          <w:tcPr>
            <w:tcW w:w="1596" w:type="dxa"/>
          </w:tcPr>
          <w:p w14:paraId="260A651F" w14:textId="77777777" w:rsidR="0046798B" w:rsidRDefault="00903B5C">
            <w:pPr>
              <w:pStyle w:val="TableParagraph"/>
              <w:spacing w:before="43"/>
              <w:ind w:left="114" w:right="431"/>
              <w:jc w:val="both"/>
              <w:rPr>
                <w:sz w:val="20"/>
              </w:rPr>
            </w:pPr>
            <w:r>
              <w:rPr>
                <w:sz w:val="20"/>
              </w:rPr>
              <w:t>Equal Rights Amendment ratified</w:t>
            </w:r>
          </w:p>
        </w:tc>
        <w:tc>
          <w:tcPr>
            <w:tcW w:w="1285" w:type="dxa"/>
          </w:tcPr>
          <w:p w14:paraId="77D61439" w14:textId="77777777" w:rsidR="0046798B" w:rsidRDefault="0046798B">
            <w:pPr>
              <w:pStyle w:val="TableParagraph"/>
              <w:spacing w:before="9"/>
              <w:rPr>
                <w:b/>
                <w:sz w:val="23"/>
              </w:rPr>
            </w:pPr>
          </w:p>
          <w:p w14:paraId="6AD2D739" w14:textId="77777777" w:rsidR="0046798B" w:rsidRDefault="00903B5C">
            <w:pPr>
              <w:pStyle w:val="TableParagraph"/>
              <w:ind w:left="114"/>
              <w:rPr>
                <w:sz w:val="20"/>
              </w:rPr>
            </w:pPr>
            <w:r>
              <w:rPr>
                <w:sz w:val="20"/>
              </w:rPr>
              <w:t>1972–2014</w:t>
            </w:r>
          </w:p>
        </w:tc>
        <w:tc>
          <w:tcPr>
            <w:tcW w:w="3421" w:type="dxa"/>
          </w:tcPr>
          <w:p w14:paraId="3597A41D" w14:textId="77777777" w:rsidR="0046798B" w:rsidRDefault="00903B5C">
            <w:pPr>
              <w:pStyle w:val="TableParagraph"/>
              <w:spacing w:before="158"/>
              <w:ind w:left="114" w:right="244"/>
              <w:rPr>
                <w:sz w:val="20"/>
              </w:rPr>
            </w:pPr>
            <w:r>
              <w:rPr>
                <w:sz w:val="20"/>
              </w:rPr>
              <w:t>Has the state ratified the Equal Rights Amendment? (0 = no, 1 = yes)</w:t>
            </w:r>
          </w:p>
        </w:tc>
        <w:tc>
          <w:tcPr>
            <w:tcW w:w="6482" w:type="dxa"/>
          </w:tcPr>
          <w:p w14:paraId="157FB07F" w14:textId="77777777" w:rsidR="0046798B" w:rsidRDefault="00903B5C">
            <w:pPr>
              <w:pStyle w:val="TableParagraph"/>
              <w:spacing w:before="43"/>
              <w:ind w:left="114"/>
              <w:rPr>
                <w:sz w:val="20"/>
              </w:rPr>
            </w:pPr>
            <w:r>
              <w:rPr>
                <w:sz w:val="20"/>
              </w:rPr>
              <w:t xml:space="preserve">Caughey, Devin, and Christopher Warshaw. 2015. “The Dynamics of State Policy Liberalism, 1936–2014.” </w:t>
            </w:r>
            <w:r>
              <w:rPr>
                <w:i/>
                <w:sz w:val="20"/>
              </w:rPr>
              <w:t>American Journal of Political Science</w:t>
            </w:r>
            <w:r>
              <w:rPr>
                <w:sz w:val="20"/>
              </w:rPr>
              <w:t>, September. doi: 10.1111/ajps.12219.</w:t>
            </w:r>
          </w:p>
        </w:tc>
      </w:tr>
    </w:tbl>
    <w:p w14:paraId="25EB662D" w14:textId="77777777" w:rsidR="0046798B" w:rsidRDefault="0046798B">
      <w:pPr>
        <w:rPr>
          <w:sz w:val="20"/>
        </w:rPr>
        <w:sectPr w:rsidR="0046798B">
          <w:pgSz w:w="15840" w:h="12240" w:orient="landscape"/>
          <w:pgMar w:top="1220" w:right="300" w:bottom="980" w:left="820" w:header="730" w:footer="787" w:gutter="0"/>
          <w:cols w:space="720"/>
        </w:sectPr>
      </w:pPr>
    </w:p>
    <w:p w14:paraId="52BBA044" w14:textId="77777777" w:rsidR="0046798B" w:rsidRDefault="0046798B">
      <w:pPr>
        <w:pStyle w:val="BodyText"/>
        <w:rPr>
          <w:b/>
        </w:rPr>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126F351" w14:textId="77777777">
        <w:trPr>
          <w:trHeight w:val="542"/>
        </w:trPr>
        <w:tc>
          <w:tcPr>
            <w:tcW w:w="1711" w:type="dxa"/>
            <w:tcBorders>
              <w:bottom w:val="dotted" w:sz="6" w:space="0" w:color="BEBEBE"/>
            </w:tcBorders>
          </w:tcPr>
          <w:p w14:paraId="03003B55" w14:textId="77777777" w:rsidR="0046798B" w:rsidRDefault="0046798B">
            <w:pPr>
              <w:pStyle w:val="TableParagraph"/>
              <w:rPr>
                <w:sz w:val="20"/>
              </w:rPr>
            </w:pPr>
          </w:p>
        </w:tc>
        <w:tc>
          <w:tcPr>
            <w:tcW w:w="1596" w:type="dxa"/>
            <w:tcBorders>
              <w:bottom w:val="dotted" w:sz="6" w:space="0" w:color="BEBEBE"/>
            </w:tcBorders>
          </w:tcPr>
          <w:p w14:paraId="3AF0CB33" w14:textId="77777777" w:rsidR="0046798B" w:rsidRDefault="0046798B">
            <w:pPr>
              <w:pStyle w:val="TableParagraph"/>
              <w:rPr>
                <w:sz w:val="20"/>
              </w:rPr>
            </w:pPr>
          </w:p>
        </w:tc>
        <w:tc>
          <w:tcPr>
            <w:tcW w:w="1285" w:type="dxa"/>
            <w:tcBorders>
              <w:bottom w:val="dotted" w:sz="6" w:space="0" w:color="BEBEBE"/>
            </w:tcBorders>
          </w:tcPr>
          <w:p w14:paraId="42B03A86" w14:textId="77777777" w:rsidR="0046798B" w:rsidRDefault="0046798B">
            <w:pPr>
              <w:pStyle w:val="TableParagraph"/>
              <w:rPr>
                <w:sz w:val="20"/>
              </w:rPr>
            </w:pPr>
          </w:p>
        </w:tc>
        <w:tc>
          <w:tcPr>
            <w:tcW w:w="3421" w:type="dxa"/>
            <w:tcBorders>
              <w:bottom w:val="dotted" w:sz="6" w:space="0" w:color="BEBEBE"/>
            </w:tcBorders>
          </w:tcPr>
          <w:p w14:paraId="7DC1ECBC" w14:textId="77777777" w:rsidR="0046798B" w:rsidRDefault="0046798B">
            <w:pPr>
              <w:pStyle w:val="TableParagraph"/>
              <w:rPr>
                <w:sz w:val="20"/>
              </w:rPr>
            </w:pPr>
          </w:p>
        </w:tc>
        <w:tc>
          <w:tcPr>
            <w:tcW w:w="6482" w:type="dxa"/>
            <w:tcBorders>
              <w:bottom w:val="dotted" w:sz="6" w:space="0" w:color="BEBEBE"/>
            </w:tcBorders>
          </w:tcPr>
          <w:p w14:paraId="13A3E222" w14:textId="77777777" w:rsidR="0046798B" w:rsidRDefault="00903B5C">
            <w:pPr>
              <w:pStyle w:val="TableParagraph"/>
              <w:spacing w:before="43"/>
              <w:ind w:left="114" w:right="137"/>
              <w:rPr>
                <w:sz w:val="20"/>
              </w:rPr>
            </w:pP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391C9090" w14:textId="77777777">
        <w:trPr>
          <w:trHeight w:val="1233"/>
        </w:trPr>
        <w:tc>
          <w:tcPr>
            <w:tcW w:w="1711" w:type="dxa"/>
            <w:tcBorders>
              <w:top w:val="dotted" w:sz="6" w:space="0" w:color="BEBEBE"/>
            </w:tcBorders>
          </w:tcPr>
          <w:p w14:paraId="1E513069" w14:textId="77777777" w:rsidR="0046798B" w:rsidRDefault="0046798B">
            <w:pPr>
              <w:pStyle w:val="TableParagraph"/>
              <w:rPr>
                <w:b/>
              </w:rPr>
            </w:pPr>
          </w:p>
          <w:p w14:paraId="2BBAF8A6" w14:textId="77777777" w:rsidR="0046798B" w:rsidRDefault="00903B5C">
            <w:pPr>
              <w:pStyle w:val="TableParagraph"/>
              <w:spacing w:before="133"/>
              <w:ind w:left="115"/>
              <w:rPr>
                <w:b/>
                <w:sz w:val="20"/>
              </w:rPr>
            </w:pPr>
            <w:r>
              <w:rPr>
                <w:b/>
                <w:sz w:val="20"/>
              </w:rPr>
              <w:t>genderrights_jur y_service</w:t>
            </w:r>
          </w:p>
        </w:tc>
        <w:tc>
          <w:tcPr>
            <w:tcW w:w="1596" w:type="dxa"/>
            <w:tcBorders>
              <w:top w:val="dotted" w:sz="6" w:space="0" w:color="BEBEBE"/>
            </w:tcBorders>
          </w:tcPr>
          <w:p w14:paraId="3EE1BD3D" w14:textId="77777777" w:rsidR="0046798B" w:rsidRDefault="0046798B">
            <w:pPr>
              <w:pStyle w:val="TableParagraph"/>
              <w:rPr>
                <w:b/>
              </w:rPr>
            </w:pPr>
          </w:p>
          <w:p w14:paraId="7525AB31" w14:textId="77777777" w:rsidR="0046798B" w:rsidRDefault="00903B5C">
            <w:pPr>
              <w:pStyle w:val="TableParagraph"/>
              <w:spacing w:before="133"/>
              <w:ind w:left="114" w:right="208"/>
              <w:rPr>
                <w:sz w:val="20"/>
              </w:rPr>
            </w:pPr>
            <w:r>
              <w:rPr>
                <w:sz w:val="20"/>
              </w:rPr>
              <w:t>Jury service for women</w:t>
            </w:r>
          </w:p>
        </w:tc>
        <w:tc>
          <w:tcPr>
            <w:tcW w:w="1285" w:type="dxa"/>
            <w:tcBorders>
              <w:top w:val="dotted" w:sz="6" w:space="0" w:color="BEBEBE"/>
            </w:tcBorders>
          </w:tcPr>
          <w:p w14:paraId="4125756E" w14:textId="77777777" w:rsidR="0046798B" w:rsidRDefault="0046798B">
            <w:pPr>
              <w:pStyle w:val="TableParagraph"/>
              <w:rPr>
                <w:b/>
              </w:rPr>
            </w:pPr>
          </w:p>
          <w:p w14:paraId="5516D5E6" w14:textId="77777777" w:rsidR="0046798B" w:rsidRDefault="0046798B">
            <w:pPr>
              <w:pStyle w:val="TableParagraph"/>
              <w:spacing w:before="6"/>
              <w:rPr>
                <w:b/>
                <w:sz w:val="21"/>
              </w:rPr>
            </w:pPr>
          </w:p>
          <w:p w14:paraId="6818C9B2" w14:textId="77777777" w:rsidR="0046798B" w:rsidRDefault="00903B5C">
            <w:pPr>
              <w:pStyle w:val="TableParagraph"/>
              <w:ind w:left="114"/>
              <w:rPr>
                <w:sz w:val="20"/>
              </w:rPr>
            </w:pPr>
            <w:r>
              <w:rPr>
                <w:sz w:val="20"/>
              </w:rPr>
              <w:t>1936–1967</w:t>
            </w:r>
          </w:p>
        </w:tc>
        <w:tc>
          <w:tcPr>
            <w:tcW w:w="3421" w:type="dxa"/>
            <w:tcBorders>
              <w:top w:val="dotted" w:sz="6" w:space="0" w:color="BEBEBE"/>
            </w:tcBorders>
          </w:tcPr>
          <w:p w14:paraId="19FE9625" w14:textId="77777777" w:rsidR="0046798B" w:rsidRDefault="0046798B">
            <w:pPr>
              <w:pStyle w:val="TableParagraph"/>
              <w:rPr>
                <w:b/>
              </w:rPr>
            </w:pPr>
          </w:p>
          <w:p w14:paraId="56D2D32B" w14:textId="77777777" w:rsidR="0046798B" w:rsidRDefault="00903B5C">
            <w:pPr>
              <w:pStyle w:val="TableParagraph"/>
              <w:spacing w:before="133"/>
              <w:ind w:left="114"/>
              <w:rPr>
                <w:sz w:val="20"/>
              </w:rPr>
            </w:pPr>
            <w:r>
              <w:rPr>
                <w:sz w:val="20"/>
              </w:rPr>
              <w:t>Can women serve on juries? (0 = no, 1</w:t>
            </w:r>
          </w:p>
          <w:p w14:paraId="70FC0EA1" w14:textId="77777777" w:rsidR="0046798B" w:rsidRDefault="00903B5C">
            <w:pPr>
              <w:pStyle w:val="TableParagraph"/>
              <w:ind w:left="114"/>
              <w:rPr>
                <w:sz w:val="20"/>
              </w:rPr>
            </w:pPr>
            <w:r>
              <w:rPr>
                <w:sz w:val="20"/>
              </w:rPr>
              <w:t>= yes)</w:t>
            </w:r>
          </w:p>
        </w:tc>
        <w:tc>
          <w:tcPr>
            <w:tcW w:w="6482" w:type="dxa"/>
            <w:tcBorders>
              <w:top w:val="dotted" w:sz="6" w:space="0" w:color="BEBEBE"/>
            </w:tcBorders>
          </w:tcPr>
          <w:p w14:paraId="10CA39EA" w14:textId="77777777" w:rsidR="0046798B" w:rsidRDefault="00903B5C">
            <w:pPr>
              <w:pStyle w:val="TableParagraph"/>
              <w:spacing w:before="40"/>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30D56BBC" w14:textId="77777777">
        <w:trPr>
          <w:trHeight w:val="1240"/>
        </w:trPr>
        <w:tc>
          <w:tcPr>
            <w:tcW w:w="1711" w:type="dxa"/>
          </w:tcPr>
          <w:p w14:paraId="17E2B3E4" w14:textId="77777777" w:rsidR="0046798B" w:rsidRDefault="0046798B">
            <w:pPr>
              <w:pStyle w:val="TableParagraph"/>
              <w:rPr>
                <w:b/>
              </w:rPr>
            </w:pPr>
          </w:p>
          <w:p w14:paraId="6F1BE18E" w14:textId="77777777" w:rsidR="0046798B" w:rsidRDefault="00903B5C">
            <w:pPr>
              <w:pStyle w:val="TableParagraph"/>
              <w:spacing w:before="135"/>
              <w:ind w:left="115" w:right="132"/>
              <w:rPr>
                <w:b/>
                <w:sz w:val="20"/>
              </w:rPr>
            </w:pPr>
            <w:r>
              <w:rPr>
                <w:b/>
                <w:sz w:val="20"/>
              </w:rPr>
              <w:t>genderrights_sta te_eras</w:t>
            </w:r>
          </w:p>
        </w:tc>
        <w:tc>
          <w:tcPr>
            <w:tcW w:w="1596" w:type="dxa"/>
          </w:tcPr>
          <w:p w14:paraId="1BA8F97A" w14:textId="77777777" w:rsidR="0046798B" w:rsidRDefault="0046798B">
            <w:pPr>
              <w:pStyle w:val="TableParagraph"/>
              <w:rPr>
                <w:b/>
              </w:rPr>
            </w:pPr>
          </w:p>
          <w:p w14:paraId="3C777E95" w14:textId="77777777" w:rsidR="0046798B" w:rsidRDefault="00903B5C">
            <w:pPr>
              <w:pStyle w:val="TableParagraph"/>
              <w:spacing w:before="135"/>
              <w:ind w:left="114" w:right="569"/>
              <w:rPr>
                <w:sz w:val="20"/>
              </w:rPr>
            </w:pPr>
            <w:r>
              <w:rPr>
                <w:sz w:val="20"/>
              </w:rPr>
              <w:t>State equal rights law</w:t>
            </w:r>
          </w:p>
        </w:tc>
        <w:tc>
          <w:tcPr>
            <w:tcW w:w="1285" w:type="dxa"/>
          </w:tcPr>
          <w:p w14:paraId="4F3FFBFC" w14:textId="77777777" w:rsidR="0046798B" w:rsidRDefault="0046798B">
            <w:pPr>
              <w:pStyle w:val="TableParagraph"/>
              <w:rPr>
                <w:b/>
              </w:rPr>
            </w:pPr>
          </w:p>
          <w:p w14:paraId="64B2D4ED" w14:textId="77777777" w:rsidR="0046798B" w:rsidRDefault="0046798B">
            <w:pPr>
              <w:pStyle w:val="TableParagraph"/>
              <w:spacing w:before="8"/>
              <w:rPr>
                <w:b/>
                <w:sz w:val="21"/>
              </w:rPr>
            </w:pPr>
          </w:p>
          <w:p w14:paraId="3B9F74E5" w14:textId="77777777" w:rsidR="0046798B" w:rsidRDefault="00903B5C">
            <w:pPr>
              <w:pStyle w:val="TableParagraph"/>
              <w:spacing w:before="1"/>
              <w:ind w:left="114"/>
              <w:rPr>
                <w:sz w:val="20"/>
              </w:rPr>
            </w:pPr>
            <w:r>
              <w:rPr>
                <w:sz w:val="20"/>
              </w:rPr>
              <w:t>1971–2014</w:t>
            </w:r>
          </w:p>
        </w:tc>
        <w:tc>
          <w:tcPr>
            <w:tcW w:w="3421" w:type="dxa"/>
          </w:tcPr>
          <w:p w14:paraId="6F544523" w14:textId="77777777" w:rsidR="0046798B" w:rsidRDefault="0046798B">
            <w:pPr>
              <w:pStyle w:val="TableParagraph"/>
              <w:spacing w:before="8"/>
              <w:rPr>
                <w:b/>
                <w:sz w:val="23"/>
              </w:rPr>
            </w:pPr>
          </w:p>
          <w:p w14:paraId="0EED48A7" w14:textId="77777777" w:rsidR="0046798B" w:rsidRDefault="00903B5C">
            <w:pPr>
              <w:pStyle w:val="TableParagraph"/>
              <w:spacing w:before="1"/>
              <w:ind w:left="114" w:right="661"/>
              <w:rPr>
                <w:sz w:val="20"/>
              </w:rPr>
            </w:pPr>
            <w:r>
              <w:rPr>
                <w:sz w:val="20"/>
              </w:rPr>
              <w:t>Has the state passed a state-level equivalent to the Equal Rights Amendment? (0 = no, 1 = yes)</w:t>
            </w:r>
          </w:p>
        </w:tc>
        <w:tc>
          <w:tcPr>
            <w:tcW w:w="6482" w:type="dxa"/>
          </w:tcPr>
          <w:p w14:paraId="4008E8BD"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1E6EBFBC" w14:textId="77777777">
        <w:trPr>
          <w:trHeight w:val="1235"/>
        </w:trPr>
        <w:tc>
          <w:tcPr>
            <w:tcW w:w="1711" w:type="dxa"/>
          </w:tcPr>
          <w:p w14:paraId="0692D34F" w14:textId="77777777" w:rsidR="0046798B" w:rsidRDefault="0046798B">
            <w:pPr>
              <w:pStyle w:val="TableParagraph"/>
              <w:spacing w:before="3"/>
              <w:rPr>
                <w:b/>
                <w:sz w:val="23"/>
              </w:rPr>
            </w:pPr>
          </w:p>
          <w:p w14:paraId="49C1202A" w14:textId="77777777" w:rsidR="0046798B" w:rsidRDefault="00903B5C">
            <w:pPr>
              <w:pStyle w:val="TableParagraph"/>
              <w:spacing w:before="1"/>
              <w:ind w:left="115" w:right="88"/>
              <w:rPr>
                <w:b/>
                <w:sz w:val="20"/>
              </w:rPr>
            </w:pPr>
            <w:r>
              <w:rPr>
                <w:b/>
                <w:sz w:val="20"/>
              </w:rPr>
              <w:t>genderrights_ge nder_discriminat ion</w:t>
            </w:r>
          </w:p>
        </w:tc>
        <w:tc>
          <w:tcPr>
            <w:tcW w:w="1596" w:type="dxa"/>
          </w:tcPr>
          <w:p w14:paraId="10FBDA61" w14:textId="77777777" w:rsidR="0046798B" w:rsidRDefault="0046798B">
            <w:pPr>
              <w:pStyle w:val="TableParagraph"/>
              <w:spacing w:before="3"/>
              <w:rPr>
                <w:b/>
                <w:sz w:val="23"/>
              </w:rPr>
            </w:pPr>
          </w:p>
          <w:p w14:paraId="28F57D07" w14:textId="77777777" w:rsidR="0046798B" w:rsidRDefault="00903B5C">
            <w:pPr>
              <w:pStyle w:val="TableParagraph"/>
              <w:spacing w:before="1"/>
              <w:ind w:left="114" w:right="296"/>
              <w:rPr>
                <w:sz w:val="20"/>
              </w:rPr>
            </w:pPr>
            <w:r>
              <w:rPr>
                <w:sz w:val="20"/>
              </w:rPr>
              <w:t>Gender discrimination laws</w:t>
            </w:r>
          </w:p>
        </w:tc>
        <w:tc>
          <w:tcPr>
            <w:tcW w:w="1285" w:type="dxa"/>
          </w:tcPr>
          <w:p w14:paraId="6CCA3B73" w14:textId="77777777" w:rsidR="0046798B" w:rsidRDefault="0046798B">
            <w:pPr>
              <w:pStyle w:val="TableParagraph"/>
              <w:rPr>
                <w:b/>
              </w:rPr>
            </w:pPr>
          </w:p>
          <w:p w14:paraId="255796AD" w14:textId="77777777" w:rsidR="0046798B" w:rsidRDefault="0046798B">
            <w:pPr>
              <w:pStyle w:val="TableParagraph"/>
              <w:spacing w:before="3"/>
              <w:rPr>
                <w:b/>
                <w:sz w:val="21"/>
              </w:rPr>
            </w:pPr>
          </w:p>
          <w:p w14:paraId="2C3C33E7" w14:textId="77777777" w:rsidR="0046798B" w:rsidRDefault="00903B5C">
            <w:pPr>
              <w:pStyle w:val="TableParagraph"/>
              <w:spacing w:before="1"/>
              <w:ind w:left="114"/>
              <w:rPr>
                <w:sz w:val="20"/>
              </w:rPr>
            </w:pPr>
            <w:r>
              <w:rPr>
                <w:sz w:val="20"/>
              </w:rPr>
              <w:t>1961–1964</w:t>
            </w:r>
          </w:p>
        </w:tc>
        <w:tc>
          <w:tcPr>
            <w:tcW w:w="3421" w:type="dxa"/>
          </w:tcPr>
          <w:p w14:paraId="1CA00295" w14:textId="77777777" w:rsidR="0046798B" w:rsidRDefault="0046798B">
            <w:pPr>
              <w:pStyle w:val="TableParagraph"/>
              <w:spacing w:before="3"/>
              <w:rPr>
                <w:b/>
                <w:sz w:val="23"/>
              </w:rPr>
            </w:pPr>
          </w:p>
          <w:p w14:paraId="418FC38E" w14:textId="77777777" w:rsidR="0046798B" w:rsidRDefault="00903B5C">
            <w:pPr>
              <w:pStyle w:val="TableParagraph"/>
              <w:spacing w:before="1"/>
              <w:ind w:left="114" w:right="227"/>
              <w:rPr>
                <w:sz w:val="20"/>
              </w:rPr>
            </w:pPr>
            <w:r>
              <w:rPr>
                <w:sz w:val="20"/>
              </w:rPr>
              <w:t>Does the state ban hiring discrimination on the basis of gender? (0 = no, 1 = yes)</w:t>
            </w:r>
          </w:p>
        </w:tc>
        <w:tc>
          <w:tcPr>
            <w:tcW w:w="6482" w:type="dxa"/>
          </w:tcPr>
          <w:p w14:paraId="434DE59E"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12AF1A0C" w14:textId="77777777">
        <w:trPr>
          <w:trHeight w:val="1235"/>
        </w:trPr>
        <w:tc>
          <w:tcPr>
            <w:tcW w:w="1711" w:type="dxa"/>
          </w:tcPr>
          <w:p w14:paraId="19BE40E7" w14:textId="77777777" w:rsidR="0046798B" w:rsidRDefault="00903B5C">
            <w:pPr>
              <w:pStyle w:val="TableParagraph"/>
              <w:spacing w:before="153"/>
              <w:ind w:left="115" w:right="88"/>
              <w:rPr>
                <w:b/>
                <w:sz w:val="20"/>
              </w:rPr>
            </w:pPr>
            <w:r>
              <w:rPr>
                <w:b/>
                <w:sz w:val="20"/>
              </w:rPr>
              <w:t>genderrights_ge nder_discriminat ion_laws_post19 64</w:t>
            </w:r>
          </w:p>
        </w:tc>
        <w:tc>
          <w:tcPr>
            <w:tcW w:w="1596" w:type="dxa"/>
          </w:tcPr>
          <w:p w14:paraId="32CC9AD6" w14:textId="77777777" w:rsidR="0046798B" w:rsidRDefault="0046798B">
            <w:pPr>
              <w:pStyle w:val="TableParagraph"/>
              <w:spacing w:before="3"/>
              <w:rPr>
                <w:b/>
                <w:sz w:val="23"/>
              </w:rPr>
            </w:pPr>
          </w:p>
          <w:p w14:paraId="6E5CD111" w14:textId="77777777" w:rsidR="0046798B" w:rsidRDefault="00903B5C">
            <w:pPr>
              <w:pStyle w:val="TableParagraph"/>
              <w:spacing w:before="1"/>
              <w:ind w:left="114" w:right="102"/>
              <w:rPr>
                <w:sz w:val="20"/>
              </w:rPr>
            </w:pPr>
            <w:r>
              <w:rPr>
                <w:sz w:val="20"/>
              </w:rPr>
              <w:t>Gender discrimination laws (post-1964)</w:t>
            </w:r>
          </w:p>
        </w:tc>
        <w:tc>
          <w:tcPr>
            <w:tcW w:w="1285" w:type="dxa"/>
          </w:tcPr>
          <w:p w14:paraId="79CD6465" w14:textId="77777777" w:rsidR="0046798B" w:rsidRDefault="0046798B">
            <w:pPr>
              <w:pStyle w:val="TableParagraph"/>
              <w:rPr>
                <w:b/>
              </w:rPr>
            </w:pPr>
          </w:p>
          <w:p w14:paraId="57917432" w14:textId="77777777" w:rsidR="0046798B" w:rsidRDefault="0046798B">
            <w:pPr>
              <w:pStyle w:val="TableParagraph"/>
              <w:spacing w:before="3"/>
              <w:rPr>
                <w:b/>
                <w:sz w:val="21"/>
              </w:rPr>
            </w:pPr>
          </w:p>
          <w:p w14:paraId="02238599" w14:textId="77777777" w:rsidR="0046798B" w:rsidRDefault="00903B5C">
            <w:pPr>
              <w:pStyle w:val="TableParagraph"/>
              <w:spacing w:before="1"/>
              <w:ind w:left="114"/>
              <w:rPr>
                <w:sz w:val="20"/>
              </w:rPr>
            </w:pPr>
            <w:r>
              <w:rPr>
                <w:sz w:val="20"/>
              </w:rPr>
              <w:t>1965–2014</w:t>
            </w:r>
          </w:p>
        </w:tc>
        <w:tc>
          <w:tcPr>
            <w:tcW w:w="3421" w:type="dxa"/>
          </w:tcPr>
          <w:p w14:paraId="27C8F37C" w14:textId="77777777" w:rsidR="0046798B" w:rsidRDefault="0046798B">
            <w:pPr>
              <w:pStyle w:val="TableParagraph"/>
              <w:spacing w:before="3"/>
              <w:rPr>
                <w:b/>
                <w:sz w:val="23"/>
              </w:rPr>
            </w:pPr>
          </w:p>
          <w:p w14:paraId="633198AA" w14:textId="77777777" w:rsidR="0046798B" w:rsidRDefault="00903B5C">
            <w:pPr>
              <w:pStyle w:val="TableParagraph"/>
              <w:spacing w:before="1"/>
              <w:ind w:left="114" w:right="242"/>
              <w:rPr>
                <w:sz w:val="20"/>
              </w:rPr>
            </w:pPr>
            <w:r>
              <w:rPr>
                <w:sz w:val="20"/>
              </w:rPr>
              <w:t>Does the state ban hiring discrimination on the basis of gender? (post-1964) (0 = no, 1 = yes)</w:t>
            </w:r>
          </w:p>
        </w:tc>
        <w:tc>
          <w:tcPr>
            <w:tcW w:w="6482" w:type="dxa"/>
          </w:tcPr>
          <w:p w14:paraId="00BAA095"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6A8B51E5" w14:textId="77777777">
        <w:trPr>
          <w:trHeight w:val="545"/>
        </w:trPr>
        <w:tc>
          <w:tcPr>
            <w:tcW w:w="1711" w:type="dxa"/>
          </w:tcPr>
          <w:p w14:paraId="6286EE63" w14:textId="77777777" w:rsidR="0046798B" w:rsidRDefault="00903B5C">
            <w:pPr>
              <w:pStyle w:val="TableParagraph"/>
              <w:spacing w:before="158"/>
              <w:ind w:left="115"/>
              <w:rPr>
                <w:b/>
                <w:sz w:val="20"/>
              </w:rPr>
            </w:pPr>
            <w:r>
              <w:rPr>
                <w:b/>
                <w:sz w:val="20"/>
              </w:rPr>
              <w:t>gender_gap</w:t>
            </w:r>
          </w:p>
        </w:tc>
        <w:tc>
          <w:tcPr>
            <w:tcW w:w="1596" w:type="dxa"/>
          </w:tcPr>
          <w:p w14:paraId="6D7441DD" w14:textId="77777777" w:rsidR="0046798B" w:rsidRDefault="00903B5C">
            <w:pPr>
              <w:pStyle w:val="TableParagraph"/>
              <w:spacing w:before="158"/>
              <w:ind w:left="114"/>
              <w:rPr>
                <w:sz w:val="20"/>
              </w:rPr>
            </w:pPr>
            <w:r>
              <w:rPr>
                <w:sz w:val="20"/>
              </w:rPr>
              <w:t>Gender pay gap</w:t>
            </w:r>
          </w:p>
        </w:tc>
        <w:tc>
          <w:tcPr>
            <w:tcW w:w="1285" w:type="dxa"/>
          </w:tcPr>
          <w:p w14:paraId="200FA10A" w14:textId="77777777" w:rsidR="0046798B" w:rsidRDefault="00903B5C">
            <w:pPr>
              <w:pStyle w:val="TableParagraph"/>
              <w:spacing w:before="43"/>
              <w:ind w:left="114"/>
              <w:rPr>
                <w:sz w:val="20"/>
              </w:rPr>
            </w:pPr>
            <w:r>
              <w:rPr>
                <w:sz w:val="20"/>
              </w:rPr>
              <w:t>2005, 2010,</w:t>
            </w:r>
          </w:p>
          <w:p w14:paraId="12A1C9E3" w14:textId="77777777" w:rsidR="0046798B" w:rsidRDefault="00903B5C">
            <w:pPr>
              <w:pStyle w:val="TableParagraph"/>
              <w:ind w:left="114"/>
              <w:rPr>
                <w:sz w:val="20"/>
              </w:rPr>
            </w:pPr>
            <w:r>
              <w:rPr>
                <w:sz w:val="20"/>
              </w:rPr>
              <w:t>2019</w:t>
            </w:r>
          </w:p>
        </w:tc>
        <w:tc>
          <w:tcPr>
            <w:tcW w:w="3421" w:type="dxa"/>
          </w:tcPr>
          <w:p w14:paraId="63CAC75B" w14:textId="77777777" w:rsidR="0046798B" w:rsidRDefault="00903B5C">
            <w:pPr>
              <w:pStyle w:val="TableParagraph"/>
              <w:spacing w:before="43"/>
              <w:ind w:left="114" w:right="516"/>
              <w:rPr>
                <w:sz w:val="20"/>
              </w:rPr>
            </w:pPr>
            <w:r>
              <w:rPr>
                <w:sz w:val="20"/>
              </w:rPr>
              <w:t>Size of the gender wage gap in the state, expressed as a percentage</w:t>
            </w:r>
          </w:p>
        </w:tc>
        <w:tc>
          <w:tcPr>
            <w:tcW w:w="6482" w:type="dxa"/>
          </w:tcPr>
          <w:p w14:paraId="754EC93E" w14:textId="77777777" w:rsidR="0046798B" w:rsidRDefault="00903B5C">
            <w:pPr>
              <w:pStyle w:val="TableParagraph"/>
              <w:spacing w:before="43"/>
              <w:ind w:left="114" w:right="1610"/>
              <w:rPr>
                <w:sz w:val="20"/>
              </w:rPr>
            </w:pPr>
            <w:r>
              <w:rPr>
                <w:sz w:val="20"/>
              </w:rPr>
              <w:t xml:space="preserve">“Zippia’s Annual Gender Pay Gap Report for 2019.” </w:t>
            </w:r>
            <w:hyperlink r:id="rId849" w:anchor="by-state">
              <w:r>
                <w:rPr>
                  <w:color w:val="0462C1"/>
                  <w:sz w:val="20"/>
                  <w:u w:val="single" w:color="0462C1"/>
                </w:rPr>
                <w:t>https://www.zippia.com/research/gender-pay-gap/#by-state</w:t>
              </w:r>
            </w:hyperlink>
          </w:p>
        </w:tc>
      </w:tr>
    </w:tbl>
    <w:p w14:paraId="7DD1C07D" w14:textId="77777777" w:rsidR="0046798B" w:rsidRDefault="0046798B">
      <w:pPr>
        <w:pStyle w:val="BodyText"/>
        <w:spacing w:before="2"/>
        <w:rPr>
          <w:b/>
          <w:sz w:val="16"/>
        </w:rPr>
      </w:pPr>
    </w:p>
    <w:p w14:paraId="72D276BD" w14:textId="77777777" w:rsidR="0046798B" w:rsidRDefault="00903B5C">
      <w:pPr>
        <w:pStyle w:val="ListParagraph"/>
        <w:numPr>
          <w:ilvl w:val="0"/>
          <w:numId w:val="4"/>
        </w:numPr>
        <w:tabs>
          <w:tab w:val="left" w:pos="901"/>
        </w:tabs>
        <w:spacing w:before="90"/>
        <w:ind w:hanging="280"/>
        <w:rPr>
          <w:b/>
          <w:sz w:val="24"/>
        </w:rPr>
      </w:pPr>
      <w:r>
        <w:rPr>
          <w:b/>
          <w:sz w:val="24"/>
          <w:u w:val="single"/>
        </w:rPr>
        <w:t>Abortion and Reproductive Rights Policy</w:t>
      </w:r>
    </w:p>
    <w:p w14:paraId="0F223044" w14:textId="77777777" w:rsidR="0046798B" w:rsidRDefault="0046798B">
      <w:pPr>
        <w:pStyle w:val="BodyText"/>
        <w:spacing w:before="2"/>
        <w:rPr>
          <w:b/>
          <w:sz w:val="24"/>
        </w:rPr>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AE9BB4F" w14:textId="77777777">
        <w:trPr>
          <w:trHeight w:val="590"/>
        </w:trPr>
        <w:tc>
          <w:tcPr>
            <w:tcW w:w="1711" w:type="dxa"/>
          </w:tcPr>
          <w:p w14:paraId="2DA26111" w14:textId="77777777" w:rsidR="0046798B" w:rsidRDefault="00903B5C">
            <w:pPr>
              <w:pStyle w:val="TableParagraph"/>
              <w:spacing w:before="164"/>
              <w:ind w:left="140"/>
              <w:rPr>
                <w:b/>
              </w:rPr>
            </w:pPr>
            <w:r>
              <w:rPr>
                <w:b/>
              </w:rPr>
              <w:t>Variable Name</w:t>
            </w:r>
          </w:p>
        </w:tc>
        <w:tc>
          <w:tcPr>
            <w:tcW w:w="1596" w:type="dxa"/>
          </w:tcPr>
          <w:p w14:paraId="4972A423" w14:textId="77777777" w:rsidR="0046798B" w:rsidRDefault="00903B5C">
            <w:pPr>
              <w:pStyle w:val="TableParagraph"/>
              <w:spacing w:before="41" w:line="237" w:lineRule="auto"/>
              <w:ind w:left="249" w:right="229" w:firstLine="280"/>
              <w:rPr>
                <w:b/>
              </w:rPr>
            </w:pPr>
            <w:r>
              <w:rPr>
                <w:b/>
              </w:rPr>
              <w:t>Short Description</w:t>
            </w:r>
          </w:p>
        </w:tc>
        <w:tc>
          <w:tcPr>
            <w:tcW w:w="1285" w:type="dxa"/>
          </w:tcPr>
          <w:p w14:paraId="4E0FC02F" w14:textId="77777777" w:rsidR="0046798B" w:rsidRDefault="00903B5C">
            <w:pPr>
              <w:pStyle w:val="TableParagraph"/>
              <w:spacing w:before="164"/>
              <w:ind w:left="364"/>
              <w:rPr>
                <w:b/>
              </w:rPr>
            </w:pPr>
            <w:r>
              <w:rPr>
                <w:b/>
              </w:rPr>
              <w:t>Years</w:t>
            </w:r>
          </w:p>
        </w:tc>
        <w:tc>
          <w:tcPr>
            <w:tcW w:w="3421" w:type="dxa"/>
          </w:tcPr>
          <w:p w14:paraId="4D4CB360" w14:textId="77777777" w:rsidR="0046798B" w:rsidRDefault="00903B5C">
            <w:pPr>
              <w:pStyle w:val="TableParagraph"/>
              <w:spacing w:before="39" w:line="251" w:lineRule="exact"/>
              <w:ind w:left="153" w:right="150"/>
              <w:jc w:val="center"/>
              <w:rPr>
                <w:b/>
              </w:rPr>
            </w:pPr>
            <w:r>
              <w:rPr>
                <w:b/>
              </w:rPr>
              <w:t>Coding /</w:t>
            </w:r>
          </w:p>
          <w:p w14:paraId="128A3DB9" w14:textId="77777777" w:rsidR="0046798B" w:rsidRDefault="00903B5C">
            <w:pPr>
              <w:pStyle w:val="TableParagraph"/>
              <w:spacing w:line="251" w:lineRule="exact"/>
              <w:ind w:left="159" w:right="150"/>
              <w:jc w:val="center"/>
              <w:rPr>
                <w:b/>
              </w:rPr>
            </w:pPr>
            <w:r>
              <w:rPr>
                <w:b/>
              </w:rPr>
              <w:t>Longer Description (if available)</w:t>
            </w:r>
          </w:p>
        </w:tc>
        <w:tc>
          <w:tcPr>
            <w:tcW w:w="6482" w:type="dxa"/>
          </w:tcPr>
          <w:p w14:paraId="5C6E9F7F" w14:textId="77777777" w:rsidR="0046798B" w:rsidRDefault="00903B5C">
            <w:pPr>
              <w:pStyle w:val="TableParagraph"/>
              <w:spacing w:before="164"/>
              <w:ind w:left="2852" w:right="2845"/>
              <w:jc w:val="center"/>
              <w:rPr>
                <w:b/>
              </w:rPr>
            </w:pPr>
            <w:r>
              <w:rPr>
                <w:b/>
              </w:rPr>
              <w:t>Sources</w:t>
            </w:r>
          </w:p>
        </w:tc>
      </w:tr>
      <w:tr w:rsidR="0046798B" w14:paraId="73C42C98" w14:textId="77777777">
        <w:trPr>
          <w:trHeight w:val="1695"/>
        </w:trPr>
        <w:tc>
          <w:tcPr>
            <w:tcW w:w="1711" w:type="dxa"/>
          </w:tcPr>
          <w:p w14:paraId="13C375F5" w14:textId="77777777" w:rsidR="0046798B" w:rsidRDefault="0046798B">
            <w:pPr>
              <w:pStyle w:val="TableParagraph"/>
              <w:rPr>
                <w:b/>
              </w:rPr>
            </w:pPr>
          </w:p>
          <w:p w14:paraId="4C90EA94" w14:textId="77777777" w:rsidR="0046798B" w:rsidRDefault="0046798B">
            <w:pPr>
              <w:pStyle w:val="TableParagraph"/>
              <w:rPr>
                <w:b/>
              </w:rPr>
            </w:pPr>
          </w:p>
          <w:p w14:paraId="6E8420E8" w14:textId="77777777" w:rsidR="0046798B" w:rsidRDefault="0046798B">
            <w:pPr>
              <w:pStyle w:val="TableParagraph"/>
              <w:spacing w:before="9"/>
              <w:rPr>
                <w:b/>
                <w:sz w:val="19"/>
              </w:rPr>
            </w:pPr>
          </w:p>
          <w:p w14:paraId="5DEF48C2" w14:textId="77777777" w:rsidR="0046798B" w:rsidRDefault="00903B5C">
            <w:pPr>
              <w:pStyle w:val="TableParagraph"/>
              <w:ind w:left="115"/>
              <w:rPr>
                <w:b/>
                <w:sz w:val="20"/>
              </w:rPr>
            </w:pPr>
            <w:r>
              <w:rPr>
                <w:b/>
                <w:sz w:val="20"/>
              </w:rPr>
              <w:t>admittpriv</w:t>
            </w:r>
          </w:p>
        </w:tc>
        <w:tc>
          <w:tcPr>
            <w:tcW w:w="1596" w:type="dxa"/>
          </w:tcPr>
          <w:p w14:paraId="3FC72AA5" w14:textId="77777777" w:rsidR="0046798B" w:rsidRDefault="0046798B">
            <w:pPr>
              <w:pStyle w:val="TableParagraph"/>
              <w:spacing w:before="9"/>
              <w:rPr>
                <w:b/>
                <w:sz w:val="23"/>
              </w:rPr>
            </w:pPr>
          </w:p>
          <w:p w14:paraId="56BBD28F" w14:textId="77777777" w:rsidR="0046798B" w:rsidRDefault="00903B5C">
            <w:pPr>
              <w:pStyle w:val="TableParagraph"/>
              <w:ind w:left="114" w:right="257"/>
              <w:rPr>
                <w:sz w:val="20"/>
              </w:rPr>
            </w:pPr>
            <w:r>
              <w:rPr>
                <w:sz w:val="20"/>
              </w:rPr>
              <w:t>Requirement that abortion clinics must have admitting privileges</w:t>
            </w:r>
          </w:p>
        </w:tc>
        <w:tc>
          <w:tcPr>
            <w:tcW w:w="1285" w:type="dxa"/>
          </w:tcPr>
          <w:p w14:paraId="7E8990E3" w14:textId="77777777" w:rsidR="0046798B" w:rsidRDefault="0046798B">
            <w:pPr>
              <w:pStyle w:val="TableParagraph"/>
              <w:rPr>
                <w:b/>
              </w:rPr>
            </w:pPr>
          </w:p>
          <w:p w14:paraId="7E88459A" w14:textId="77777777" w:rsidR="0046798B" w:rsidRDefault="0046798B">
            <w:pPr>
              <w:pStyle w:val="TableParagraph"/>
              <w:rPr>
                <w:b/>
              </w:rPr>
            </w:pPr>
          </w:p>
          <w:p w14:paraId="4CE32FF0" w14:textId="77777777" w:rsidR="0046798B" w:rsidRDefault="0046798B">
            <w:pPr>
              <w:pStyle w:val="TableParagraph"/>
              <w:spacing w:before="9"/>
              <w:rPr>
                <w:b/>
                <w:sz w:val="19"/>
              </w:rPr>
            </w:pPr>
          </w:p>
          <w:p w14:paraId="42B2E1EE" w14:textId="77777777" w:rsidR="0046798B" w:rsidRDefault="00903B5C">
            <w:pPr>
              <w:pStyle w:val="TableParagraph"/>
              <w:ind w:left="114"/>
              <w:rPr>
                <w:sz w:val="20"/>
              </w:rPr>
            </w:pPr>
            <w:r>
              <w:rPr>
                <w:sz w:val="20"/>
              </w:rPr>
              <w:t>2011–2013</w:t>
            </w:r>
          </w:p>
        </w:tc>
        <w:tc>
          <w:tcPr>
            <w:tcW w:w="3421" w:type="dxa"/>
          </w:tcPr>
          <w:p w14:paraId="639235D6" w14:textId="77777777" w:rsidR="0046798B" w:rsidRDefault="0046798B">
            <w:pPr>
              <w:pStyle w:val="TableParagraph"/>
              <w:rPr>
                <w:b/>
              </w:rPr>
            </w:pPr>
          </w:p>
          <w:p w14:paraId="7B282C6E" w14:textId="77777777" w:rsidR="0046798B" w:rsidRDefault="0046798B">
            <w:pPr>
              <w:pStyle w:val="TableParagraph"/>
              <w:spacing w:before="9"/>
              <w:rPr>
                <w:b/>
                <w:sz w:val="31"/>
              </w:rPr>
            </w:pPr>
          </w:p>
          <w:p w14:paraId="4F3D620F" w14:textId="77777777" w:rsidR="0046798B" w:rsidRDefault="00903B5C">
            <w:pPr>
              <w:pStyle w:val="TableParagraph"/>
              <w:ind w:left="114" w:right="1475"/>
              <w:rPr>
                <w:sz w:val="20"/>
              </w:rPr>
            </w:pPr>
            <w:r>
              <w:rPr>
                <w:sz w:val="20"/>
              </w:rPr>
              <w:t>0 = policy not adopted 1 = policy adopted</w:t>
            </w:r>
          </w:p>
        </w:tc>
        <w:tc>
          <w:tcPr>
            <w:tcW w:w="6482" w:type="dxa"/>
          </w:tcPr>
          <w:p w14:paraId="00E7BB16" w14:textId="77777777" w:rsidR="0046798B" w:rsidRDefault="00903B5C">
            <w:pPr>
              <w:pStyle w:val="TableParagraph"/>
              <w:spacing w:before="43"/>
              <w:ind w:left="114" w:right="445"/>
              <w:rPr>
                <w:sz w:val="20"/>
              </w:rPr>
            </w:pPr>
            <w:r>
              <w:rPr>
                <w:color w:val="212121"/>
                <w:sz w:val="20"/>
              </w:rPr>
              <w:t xml:space="preserve">Kreitzer, Rebecca J. “Politics and morality in state abortion policy.” </w:t>
            </w:r>
            <w:r>
              <w:rPr>
                <w:i/>
                <w:color w:val="212121"/>
                <w:sz w:val="20"/>
              </w:rPr>
              <w:t xml:space="preserve">State Politics &amp; Policy Quarterly </w:t>
            </w:r>
            <w:r>
              <w:rPr>
                <w:color w:val="212121"/>
                <w:sz w:val="20"/>
              </w:rPr>
              <w:t>15.1 (2015): 41</w:t>
            </w:r>
            <w:r>
              <w:rPr>
                <w:sz w:val="20"/>
              </w:rPr>
              <w:t>–</w:t>
            </w:r>
            <w:r>
              <w:rPr>
                <w:color w:val="212121"/>
                <w:sz w:val="20"/>
              </w:rPr>
              <w:t>66.</w:t>
            </w:r>
          </w:p>
          <w:p w14:paraId="5500E21B" w14:textId="77777777" w:rsidR="0046798B" w:rsidRDefault="0046798B">
            <w:pPr>
              <w:pStyle w:val="TableParagraph"/>
              <w:rPr>
                <w:b/>
                <w:sz w:val="20"/>
              </w:rPr>
            </w:pPr>
          </w:p>
          <w:p w14:paraId="1DEEF89C" w14:textId="77777777" w:rsidR="0046798B" w:rsidRDefault="00903B5C">
            <w:pPr>
              <w:pStyle w:val="TableParagraph"/>
              <w:ind w:left="114" w:right="156"/>
              <w:rPr>
                <w:sz w:val="20"/>
              </w:rPr>
            </w:pPr>
            <w:r>
              <w:rPr>
                <w:sz w:val="20"/>
              </w:rPr>
              <w:t xml:space="preserve">Frederick J. Boehmke; Mark Brockway; Bruce Desmarais; Jeffrey J. Harden; Scott LaCombe; Fridolin Linder; Hanna Wallach, 2018, “State Policy Innovation and Diffusion (SPID) Database v1.0”, </w:t>
            </w:r>
            <w:hyperlink r:id="rId850">
              <w:r>
                <w:rPr>
                  <w:color w:val="0462C1"/>
                  <w:sz w:val="20"/>
                  <w:u w:val="single" w:color="0462C1"/>
                </w:rPr>
                <w:t>https://doi.org/10.7910/DVN/CVYSR7</w:t>
              </w:r>
            </w:hyperlink>
          </w:p>
        </w:tc>
      </w:tr>
    </w:tbl>
    <w:p w14:paraId="47EFBEB3" w14:textId="77777777" w:rsidR="0046798B" w:rsidRDefault="0046798B">
      <w:pPr>
        <w:rPr>
          <w:sz w:val="20"/>
        </w:rPr>
        <w:sectPr w:rsidR="0046798B">
          <w:pgSz w:w="15840" w:h="12240" w:orient="landscape"/>
          <w:pgMar w:top="1220" w:right="300" w:bottom="980" w:left="820" w:header="730" w:footer="787" w:gutter="0"/>
          <w:cols w:space="720"/>
        </w:sectPr>
      </w:pPr>
    </w:p>
    <w:p w14:paraId="5373C00E"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0963988" w14:textId="77777777">
        <w:trPr>
          <w:trHeight w:val="1696"/>
        </w:trPr>
        <w:tc>
          <w:tcPr>
            <w:tcW w:w="1711" w:type="dxa"/>
          </w:tcPr>
          <w:p w14:paraId="1A9BA990" w14:textId="77777777" w:rsidR="0046798B" w:rsidRDefault="0046798B">
            <w:pPr>
              <w:pStyle w:val="TableParagraph"/>
            </w:pPr>
          </w:p>
          <w:p w14:paraId="60C4AFEF" w14:textId="77777777" w:rsidR="0046798B" w:rsidRDefault="0046798B">
            <w:pPr>
              <w:pStyle w:val="TableParagraph"/>
            </w:pPr>
          </w:p>
          <w:p w14:paraId="749E4D9F" w14:textId="77777777" w:rsidR="0046798B" w:rsidRDefault="0046798B">
            <w:pPr>
              <w:pStyle w:val="TableParagraph"/>
              <w:spacing w:before="9"/>
              <w:rPr>
                <w:sz w:val="19"/>
              </w:rPr>
            </w:pPr>
          </w:p>
          <w:p w14:paraId="7814B8E1" w14:textId="77777777" w:rsidR="0046798B" w:rsidRDefault="00903B5C">
            <w:pPr>
              <w:pStyle w:val="TableParagraph"/>
              <w:ind w:left="115"/>
              <w:rPr>
                <w:b/>
                <w:sz w:val="20"/>
              </w:rPr>
            </w:pPr>
            <w:r>
              <w:rPr>
                <w:b/>
                <w:sz w:val="20"/>
              </w:rPr>
              <w:t>const_protect</w:t>
            </w:r>
          </w:p>
        </w:tc>
        <w:tc>
          <w:tcPr>
            <w:tcW w:w="1596" w:type="dxa"/>
          </w:tcPr>
          <w:p w14:paraId="4E059423" w14:textId="77777777" w:rsidR="0046798B" w:rsidRDefault="0046798B">
            <w:pPr>
              <w:pStyle w:val="TableParagraph"/>
            </w:pPr>
          </w:p>
          <w:p w14:paraId="4710DB0E" w14:textId="77777777" w:rsidR="0046798B" w:rsidRDefault="00903B5C">
            <w:pPr>
              <w:pStyle w:val="TableParagraph"/>
              <w:spacing w:before="135"/>
              <w:ind w:left="114" w:right="258"/>
              <w:rPr>
                <w:sz w:val="20"/>
              </w:rPr>
            </w:pPr>
            <w:r>
              <w:rPr>
                <w:sz w:val="20"/>
              </w:rPr>
              <w:t>The state constitution protects access to abortion</w:t>
            </w:r>
          </w:p>
        </w:tc>
        <w:tc>
          <w:tcPr>
            <w:tcW w:w="1285" w:type="dxa"/>
          </w:tcPr>
          <w:p w14:paraId="6CB087D8" w14:textId="77777777" w:rsidR="0046798B" w:rsidRDefault="0046798B">
            <w:pPr>
              <w:pStyle w:val="TableParagraph"/>
            </w:pPr>
          </w:p>
          <w:p w14:paraId="4B58488D" w14:textId="77777777" w:rsidR="0046798B" w:rsidRDefault="0046798B">
            <w:pPr>
              <w:pStyle w:val="TableParagraph"/>
            </w:pPr>
          </w:p>
          <w:p w14:paraId="14E43665" w14:textId="77777777" w:rsidR="0046798B" w:rsidRDefault="0046798B">
            <w:pPr>
              <w:pStyle w:val="TableParagraph"/>
              <w:spacing w:before="9"/>
              <w:rPr>
                <w:sz w:val="19"/>
              </w:rPr>
            </w:pPr>
          </w:p>
          <w:p w14:paraId="12078D1F" w14:textId="77777777" w:rsidR="0046798B" w:rsidRDefault="00903B5C">
            <w:pPr>
              <w:pStyle w:val="TableParagraph"/>
              <w:ind w:left="114"/>
              <w:rPr>
                <w:sz w:val="20"/>
              </w:rPr>
            </w:pPr>
            <w:r>
              <w:rPr>
                <w:sz w:val="20"/>
              </w:rPr>
              <w:t>1981–2002</w:t>
            </w:r>
          </w:p>
        </w:tc>
        <w:tc>
          <w:tcPr>
            <w:tcW w:w="3421" w:type="dxa"/>
          </w:tcPr>
          <w:p w14:paraId="46BD9C3A" w14:textId="77777777" w:rsidR="0046798B" w:rsidRDefault="0046798B">
            <w:pPr>
              <w:pStyle w:val="TableParagraph"/>
            </w:pPr>
          </w:p>
          <w:p w14:paraId="731F3F39" w14:textId="77777777" w:rsidR="0046798B" w:rsidRDefault="0046798B">
            <w:pPr>
              <w:pStyle w:val="TableParagraph"/>
              <w:spacing w:before="9"/>
              <w:rPr>
                <w:sz w:val="31"/>
              </w:rPr>
            </w:pPr>
          </w:p>
          <w:p w14:paraId="10C96BF7" w14:textId="77777777" w:rsidR="0046798B" w:rsidRDefault="00903B5C">
            <w:pPr>
              <w:pStyle w:val="TableParagraph"/>
              <w:ind w:left="114" w:right="1475"/>
              <w:rPr>
                <w:sz w:val="20"/>
              </w:rPr>
            </w:pPr>
            <w:r>
              <w:rPr>
                <w:sz w:val="20"/>
              </w:rPr>
              <w:t>0 = policy not adopted 1 = policy adopted</w:t>
            </w:r>
          </w:p>
        </w:tc>
        <w:tc>
          <w:tcPr>
            <w:tcW w:w="6482" w:type="dxa"/>
          </w:tcPr>
          <w:p w14:paraId="1A3F98C2" w14:textId="77777777" w:rsidR="0046798B" w:rsidRDefault="00903B5C">
            <w:pPr>
              <w:pStyle w:val="TableParagraph"/>
              <w:spacing w:before="43"/>
              <w:ind w:left="114" w:right="445"/>
              <w:rPr>
                <w:sz w:val="20"/>
              </w:rPr>
            </w:pPr>
            <w:r>
              <w:rPr>
                <w:color w:val="212121"/>
                <w:sz w:val="20"/>
              </w:rPr>
              <w:t xml:space="preserve">Kreitzer, Rebecca J. “Politics and morality in state abortion policy.” </w:t>
            </w:r>
            <w:r>
              <w:rPr>
                <w:i/>
                <w:color w:val="212121"/>
                <w:sz w:val="20"/>
              </w:rPr>
              <w:t xml:space="preserve">State Politics &amp; Policy Quarterly </w:t>
            </w:r>
            <w:r>
              <w:rPr>
                <w:color w:val="212121"/>
                <w:sz w:val="20"/>
              </w:rPr>
              <w:t>15.1 (2015): 41</w:t>
            </w:r>
            <w:r>
              <w:rPr>
                <w:sz w:val="20"/>
              </w:rPr>
              <w:t>–</w:t>
            </w:r>
            <w:r>
              <w:rPr>
                <w:color w:val="212121"/>
                <w:sz w:val="20"/>
              </w:rPr>
              <w:t>66.</w:t>
            </w:r>
          </w:p>
          <w:p w14:paraId="14D3FC88" w14:textId="77777777" w:rsidR="0046798B" w:rsidRDefault="0046798B">
            <w:pPr>
              <w:pStyle w:val="TableParagraph"/>
              <w:rPr>
                <w:sz w:val="20"/>
              </w:rPr>
            </w:pPr>
          </w:p>
          <w:p w14:paraId="238BADC6" w14:textId="77777777" w:rsidR="0046798B" w:rsidRDefault="00903B5C">
            <w:pPr>
              <w:pStyle w:val="TableParagraph"/>
              <w:ind w:left="114" w:right="156"/>
              <w:rPr>
                <w:sz w:val="20"/>
              </w:rPr>
            </w:pPr>
            <w:r>
              <w:rPr>
                <w:sz w:val="20"/>
              </w:rPr>
              <w:t xml:space="preserve">Frederick J. Boehmke; Mark Brockway; Bruce Desmarais; Jeffrey J. Harden; Scott LaCombe; Fridolin Linder; Hanna Wallach, 2018, “State Policy Innovation and Diffusion (SPID) Database v1.0”, </w:t>
            </w:r>
            <w:hyperlink r:id="rId851">
              <w:r>
                <w:rPr>
                  <w:color w:val="0462C1"/>
                  <w:sz w:val="20"/>
                  <w:u w:val="single" w:color="0462C1"/>
                </w:rPr>
                <w:t>https://doi.org/10.7910/DVN/CVYSR7</w:t>
              </w:r>
            </w:hyperlink>
          </w:p>
        </w:tc>
      </w:tr>
      <w:tr w:rsidR="0046798B" w14:paraId="6F2139F8" w14:textId="77777777">
        <w:trPr>
          <w:trHeight w:val="1695"/>
        </w:trPr>
        <w:tc>
          <w:tcPr>
            <w:tcW w:w="1711" w:type="dxa"/>
          </w:tcPr>
          <w:p w14:paraId="5E29DD83" w14:textId="77777777" w:rsidR="0046798B" w:rsidRDefault="0046798B">
            <w:pPr>
              <w:pStyle w:val="TableParagraph"/>
            </w:pPr>
          </w:p>
          <w:p w14:paraId="0723D2E5" w14:textId="77777777" w:rsidR="0046798B" w:rsidRDefault="0046798B">
            <w:pPr>
              <w:pStyle w:val="TableParagraph"/>
            </w:pPr>
          </w:p>
          <w:p w14:paraId="045E48AD" w14:textId="77777777" w:rsidR="0046798B" w:rsidRDefault="0046798B">
            <w:pPr>
              <w:pStyle w:val="TableParagraph"/>
              <w:spacing w:before="8"/>
              <w:rPr>
                <w:sz w:val="19"/>
              </w:rPr>
            </w:pPr>
          </w:p>
          <w:p w14:paraId="3016D224" w14:textId="77777777" w:rsidR="0046798B" w:rsidRDefault="00903B5C">
            <w:pPr>
              <w:pStyle w:val="TableParagraph"/>
              <w:spacing w:before="1"/>
              <w:ind w:left="115"/>
              <w:rPr>
                <w:b/>
                <w:sz w:val="20"/>
              </w:rPr>
            </w:pPr>
            <w:r>
              <w:rPr>
                <w:b/>
                <w:sz w:val="20"/>
              </w:rPr>
              <w:t>contr_eq</w:t>
            </w:r>
          </w:p>
        </w:tc>
        <w:tc>
          <w:tcPr>
            <w:tcW w:w="1596" w:type="dxa"/>
          </w:tcPr>
          <w:p w14:paraId="768878E1" w14:textId="77777777" w:rsidR="0046798B" w:rsidRDefault="0046798B">
            <w:pPr>
              <w:pStyle w:val="TableParagraph"/>
            </w:pPr>
          </w:p>
          <w:p w14:paraId="6C924CB7" w14:textId="77777777" w:rsidR="0046798B" w:rsidRDefault="0046798B">
            <w:pPr>
              <w:pStyle w:val="TableParagraph"/>
            </w:pPr>
          </w:p>
          <w:p w14:paraId="439607C9" w14:textId="77777777" w:rsidR="0046798B" w:rsidRDefault="0046798B">
            <w:pPr>
              <w:pStyle w:val="TableParagraph"/>
              <w:spacing w:before="8"/>
              <w:rPr>
                <w:sz w:val="19"/>
              </w:rPr>
            </w:pPr>
          </w:p>
          <w:p w14:paraId="6DB574DF" w14:textId="77777777" w:rsidR="0046798B" w:rsidRDefault="00903B5C">
            <w:pPr>
              <w:pStyle w:val="TableParagraph"/>
              <w:spacing w:before="1"/>
              <w:ind w:left="114" w:right="330"/>
              <w:rPr>
                <w:sz w:val="20"/>
              </w:rPr>
            </w:pPr>
            <w:r>
              <w:rPr>
                <w:sz w:val="20"/>
              </w:rPr>
              <w:t>Contraceptive equality</w:t>
            </w:r>
          </w:p>
        </w:tc>
        <w:tc>
          <w:tcPr>
            <w:tcW w:w="1285" w:type="dxa"/>
          </w:tcPr>
          <w:p w14:paraId="65517A75" w14:textId="77777777" w:rsidR="0046798B" w:rsidRDefault="0046798B">
            <w:pPr>
              <w:pStyle w:val="TableParagraph"/>
            </w:pPr>
          </w:p>
          <w:p w14:paraId="01D3C6A1" w14:textId="77777777" w:rsidR="0046798B" w:rsidRDefault="0046798B">
            <w:pPr>
              <w:pStyle w:val="TableParagraph"/>
            </w:pPr>
          </w:p>
          <w:p w14:paraId="3477C616" w14:textId="77777777" w:rsidR="0046798B" w:rsidRDefault="0046798B">
            <w:pPr>
              <w:pStyle w:val="TableParagraph"/>
              <w:spacing w:before="8"/>
              <w:rPr>
                <w:sz w:val="19"/>
              </w:rPr>
            </w:pPr>
          </w:p>
          <w:p w14:paraId="71F70B4A" w14:textId="77777777" w:rsidR="0046798B" w:rsidRDefault="00903B5C">
            <w:pPr>
              <w:pStyle w:val="TableParagraph"/>
              <w:spacing w:before="1"/>
              <w:ind w:left="114"/>
              <w:rPr>
                <w:sz w:val="20"/>
              </w:rPr>
            </w:pPr>
            <w:r>
              <w:rPr>
                <w:sz w:val="20"/>
              </w:rPr>
              <w:t>1998–2010</w:t>
            </w:r>
          </w:p>
        </w:tc>
        <w:tc>
          <w:tcPr>
            <w:tcW w:w="3421" w:type="dxa"/>
          </w:tcPr>
          <w:p w14:paraId="2D7909CC" w14:textId="77777777" w:rsidR="0046798B" w:rsidRDefault="0046798B">
            <w:pPr>
              <w:pStyle w:val="TableParagraph"/>
            </w:pPr>
          </w:p>
          <w:p w14:paraId="1779B0F4" w14:textId="77777777" w:rsidR="0046798B" w:rsidRDefault="0046798B">
            <w:pPr>
              <w:pStyle w:val="TableParagraph"/>
              <w:spacing w:before="8"/>
              <w:rPr>
                <w:sz w:val="31"/>
              </w:rPr>
            </w:pPr>
          </w:p>
          <w:p w14:paraId="32862BF3"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6050E2AA" w14:textId="77777777" w:rsidR="0046798B" w:rsidRDefault="00903B5C">
            <w:pPr>
              <w:pStyle w:val="TableParagraph"/>
              <w:spacing w:before="43"/>
              <w:ind w:left="114" w:right="445"/>
              <w:rPr>
                <w:sz w:val="20"/>
              </w:rPr>
            </w:pPr>
            <w:r>
              <w:rPr>
                <w:color w:val="212121"/>
                <w:sz w:val="20"/>
              </w:rPr>
              <w:t xml:space="preserve">Kreitzer, Rebecca J. “Politics and morality in state abortion policy.” </w:t>
            </w:r>
            <w:r>
              <w:rPr>
                <w:i/>
                <w:color w:val="212121"/>
                <w:sz w:val="20"/>
              </w:rPr>
              <w:t xml:space="preserve">State Politics &amp; Policy Quarterly </w:t>
            </w:r>
            <w:r>
              <w:rPr>
                <w:color w:val="212121"/>
                <w:sz w:val="20"/>
              </w:rPr>
              <w:t>15.1 (2015): 41</w:t>
            </w:r>
            <w:r>
              <w:rPr>
                <w:sz w:val="20"/>
              </w:rPr>
              <w:t>–</w:t>
            </w:r>
            <w:r>
              <w:rPr>
                <w:color w:val="212121"/>
                <w:sz w:val="20"/>
              </w:rPr>
              <w:t>66.</w:t>
            </w:r>
          </w:p>
          <w:p w14:paraId="1A148859" w14:textId="77777777" w:rsidR="0046798B" w:rsidRDefault="0046798B">
            <w:pPr>
              <w:pStyle w:val="TableParagraph"/>
              <w:rPr>
                <w:sz w:val="20"/>
              </w:rPr>
            </w:pPr>
          </w:p>
          <w:p w14:paraId="20BF8A16" w14:textId="77777777" w:rsidR="0046798B" w:rsidRDefault="00903B5C">
            <w:pPr>
              <w:pStyle w:val="TableParagraph"/>
              <w:ind w:left="114" w:right="156"/>
              <w:rPr>
                <w:sz w:val="20"/>
              </w:rPr>
            </w:pPr>
            <w:r>
              <w:rPr>
                <w:sz w:val="20"/>
              </w:rPr>
              <w:t xml:space="preserve">Frederick J. Boehmke; Mark Brockway; Bruce Desmarais; Jeffrey J. Harden; Scott LaCombe; Fridolin Linder; Hanna Wallach, 2018, “State Policy Innovation and Diffusion (SPID) Database v1.0”, </w:t>
            </w:r>
            <w:hyperlink r:id="rId852">
              <w:r>
                <w:rPr>
                  <w:color w:val="0462C1"/>
                  <w:sz w:val="20"/>
                  <w:u w:val="single" w:color="0462C1"/>
                </w:rPr>
                <w:t>https://doi.org/10.7910/DVN/CVYSR7</w:t>
              </w:r>
            </w:hyperlink>
          </w:p>
        </w:tc>
      </w:tr>
      <w:tr w:rsidR="0046798B" w14:paraId="447E5CFE" w14:textId="77777777">
        <w:trPr>
          <w:trHeight w:val="1700"/>
        </w:trPr>
        <w:tc>
          <w:tcPr>
            <w:tcW w:w="1711" w:type="dxa"/>
          </w:tcPr>
          <w:p w14:paraId="68B9BFF9" w14:textId="77777777" w:rsidR="0046798B" w:rsidRDefault="0046798B">
            <w:pPr>
              <w:pStyle w:val="TableParagraph"/>
            </w:pPr>
          </w:p>
          <w:p w14:paraId="3906AE6A" w14:textId="77777777" w:rsidR="0046798B" w:rsidRDefault="0046798B">
            <w:pPr>
              <w:pStyle w:val="TableParagraph"/>
            </w:pPr>
          </w:p>
          <w:p w14:paraId="505DF51E" w14:textId="77777777" w:rsidR="0046798B" w:rsidRDefault="0046798B">
            <w:pPr>
              <w:pStyle w:val="TableParagraph"/>
              <w:spacing w:before="9"/>
              <w:rPr>
                <w:sz w:val="19"/>
              </w:rPr>
            </w:pPr>
          </w:p>
          <w:p w14:paraId="3F916D38" w14:textId="77777777" w:rsidR="0046798B" w:rsidRDefault="00903B5C">
            <w:pPr>
              <w:pStyle w:val="TableParagraph"/>
              <w:ind w:left="115"/>
              <w:rPr>
                <w:b/>
                <w:sz w:val="20"/>
              </w:rPr>
            </w:pPr>
            <w:r>
              <w:rPr>
                <w:b/>
                <w:sz w:val="20"/>
              </w:rPr>
              <w:t>emcont_avail</w:t>
            </w:r>
          </w:p>
        </w:tc>
        <w:tc>
          <w:tcPr>
            <w:tcW w:w="1596" w:type="dxa"/>
          </w:tcPr>
          <w:p w14:paraId="4917D7B5" w14:textId="77777777" w:rsidR="0046798B" w:rsidRDefault="0046798B">
            <w:pPr>
              <w:pStyle w:val="TableParagraph"/>
            </w:pPr>
          </w:p>
          <w:p w14:paraId="32BB16D8" w14:textId="77777777" w:rsidR="0046798B" w:rsidRDefault="00903B5C">
            <w:pPr>
              <w:pStyle w:val="TableParagraph"/>
              <w:spacing w:before="135"/>
              <w:ind w:left="114" w:right="335"/>
              <w:rPr>
                <w:sz w:val="20"/>
              </w:rPr>
            </w:pPr>
            <w:r>
              <w:rPr>
                <w:sz w:val="20"/>
              </w:rPr>
              <w:t>Requires availability of emergency contraception</w:t>
            </w:r>
          </w:p>
        </w:tc>
        <w:tc>
          <w:tcPr>
            <w:tcW w:w="1285" w:type="dxa"/>
          </w:tcPr>
          <w:p w14:paraId="4E681903" w14:textId="77777777" w:rsidR="0046798B" w:rsidRDefault="0046798B">
            <w:pPr>
              <w:pStyle w:val="TableParagraph"/>
            </w:pPr>
          </w:p>
          <w:p w14:paraId="0A9458F1" w14:textId="77777777" w:rsidR="0046798B" w:rsidRDefault="0046798B">
            <w:pPr>
              <w:pStyle w:val="TableParagraph"/>
            </w:pPr>
          </w:p>
          <w:p w14:paraId="7824C8A6" w14:textId="77777777" w:rsidR="0046798B" w:rsidRDefault="0046798B">
            <w:pPr>
              <w:pStyle w:val="TableParagraph"/>
              <w:spacing w:before="9"/>
              <w:rPr>
                <w:sz w:val="19"/>
              </w:rPr>
            </w:pPr>
          </w:p>
          <w:p w14:paraId="363283DD" w14:textId="77777777" w:rsidR="0046798B" w:rsidRDefault="00903B5C">
            <w:pPr>
              <w:pStyle w:val="TableParagraph"/>
              <w:ind w:left="114"/>
              <w:rPr>
                <w:sz w:val="20"/>
              </w:rPr>
            </w:pPr>
            <w:r>
              <w:rPr>
                <w:sz w:val="20"/>
              </w:rPr>
              <w:t>1997–2009</w:t>
            </w:r>
          </w:p>
        </w:tc>
        <w:tc>
          <w:tcPr>
            <w:tcW w:w="3421" w:type="dxa"/>
          </w:tcPr>
          <w:p w14:paraId="4AF97CFE" w14:textId="77777777" w:rsidR="0046798B" w:rsidRDefault="0046798B">
            <w:pPr>
              <w:pStyle w:val="TableParagraph"/>
            </w:pPr>
          </w:p>
          <w:p w14:paraId="603CEF98" w14:textId="77777777" w:rsidR="0046798B" w:rsidRDefault="0046798B">
            <w:pPr>
              <w:pStyle w:val="TableParagraph"/>
              <w:spacing w:before="9"/>
              <w:rPr>
                <w:sz w:val="31"/>
              </w:rPr>
            </w:pPr>
          </w:p>
          <w:p w14:paraId="1CC07376" w14:textId="77777777" w:rsidR="0046798B" w:rsidRDefault="00903B5C">
            <w:pPr>
              <w:pStyle w:val="TableParagraph"/>
              <w:ind w:left="114" w:right="1475"/>
              <w:rPr>
                <w:sz w:val="20"/>
              </w:rPr>
            </w:pPr>
            <w:r>
              <w:rPr>
                <w:sz w:val="20"/>
              </w:rPr>
              <w:t>0 = policy not adopted 1 = policy adopted</w:t>
            </w:r>
          </w:p>
        </w:tc>
        <w:tc>
          <w:tcPr>
            <w:tcW w:w="6482" w:type="dxa"/>
          </w:tcPr>
          <w:p w14:paraId="1E1A3628" w14:textId="77777777" w:rsidR="0046798B" w:rsidRDefault="00903B5C">
            <w:pPr>
              <w:pStyle w:val="TableParagraph"/>
              <w:spacing w:before="43"/>
              <w:ind w:left="114" w:right="445"/>
              <w:rPr>
                <w:sz w:val="20"/>
              </w:rPr>
            </w:pPr>
            <w:r>
              <w:rPr>
                <w:color w:val="212121"/>
                <w:sz w:val="20"/>
              </w:rPr>
              <w:t xml:space="preserve">Kreitzer, Rebecca J. “Politics and morality in state abortion policy.” </w:t>
            </w:r>
            <w:r>
              <w:rPr>
                <w:i/>
                <w:color w:val="212121"/>
                <w:sz w:val="20"/>
              </w:rPr>
              <w:t xml:space="preserve">State Politics &amp; Policy Quarterly </w:t>
            </w:r>
            <w:r>
              <w:rPr>
                <w:color w:val="212121"/>
                <w:sz w:val="20"/>
              </w:rPr>
              <w:t>15.1 (2015): 41</w:t>
            </w:r>
            <w:r>
              <w:rPr>
                <w:sz w:val="20"/>
              </w:rPr>
              <w:t>–</w:t>
            </w:r>
            <w:r>
              <w:rPr>
                <w:color w:val="212121"/>
                <w:sz w:val="20"/>
              </w:rPr>
              <w:t>66.</w:t>
            </w:r>
          </w:p>
          <w:p w14:paraId="6E9C7086" w14:textId="77777777" w:rsidR="0046798B" w:rsidRDefault="0046798B">
            <w:pPr>
              <w:pStyle w:val="TableParagraph"/>
              <w:rPr>
                <w:sz w:val="20"/>
              </w:rPr>
            </w:pPr>
          </w:p>
          <w:p w14:paraId="0295B646" w14:textId="77777777" w:rsidR="0046798B" w:rsidRDefault="00903B5C">
            <w:pPr>
              <w:pStyle w:val="TableParagraph"/>
              <w:ind w:left="114" w:right="156"/>
              <w:rPr>
                <w:sz w:val="20"/>
              </w:rPr>
            </w:pPr>
            <w:r>
              <w:rPr>
                <w:sz w:val="20"/>
              </w:rPr>
              <w:t xml:space="preserve">Frederick J. Boehmke; Mark Brockway; Bruce Desmarais; Jeffrey J. Harden; Scott LaCombe; Fridolin Linder; Hanna Wallach, 2018, “State Policy Innovation and Diffusion (SPID) Database v1.0”, </w:t>
            </w:r>
            <w:hyperlink r:id="rId853">
              <w:r>
                <w:rPr>
                  <w:color w:val="0462C1"/>
                  <w:sz w:val="20"/>
                  <w:u w:val="single" w:color="0462C1"/>
                </w:rPr>
                <w:t>https://doi.org/10.7910/DVN/CVYSR7</w:t>
              </w:r>
            </w:hyperlink>
          </w:p>
        </w:tc>
      </w:tr>
      <w:tr w:rsidR="0046798B" w14:paraId="6A5A3010" w14:textId="77777777">
        <w:trPr>
          <w:trHeight w:val="1696"/>
        </w:trPr>
        <w:tc>
          <w:tcPr>
            <w:tcW w:w="1711" w:type="dxa"/>
          </w:tcPr>
          <w:p w14:paraId="3EC253A4" w14:textId="77777777" w:rsidR="0046798B" w:rsidRDefault="0046798B">
            <w:pPr>
              <w:pStyle w:val="TableParagraph"/>
            </w:pPr>
          </w:p>
          <w:p w14:paraId="400FA37A" w14:textId="77777777" w:rsidR="0046798B" w:rsidRDefault="0046798B">
            <w:pPr>
              <w:pStyle w:val="TableParagraph"/>
            </w:pPr>
          </w:p>
          <w:p w14:paraId="32FF648D" w14:textId="77777777" w:rsidR="0046798B" w:rsidRDefault="0046798B">
            <w:pPr>
              <w:pStyle w:val="TableParagraph"/>
              <w:spacing w:before="4"/>
              <w:rPr>
                <w:sz w:val="19"/>
              </w:rPr>
            </w:pPr>
          </w:p>
          <w:p w14:paraId="0AC137EA" w14:textId="77777777" w:rsidR="0046798B" w:rsidRDefault="00903B5C">
            <w:pPr>
              <w:pStyle w:val="TableParagraph"/>
              <w:ind w:left="115"/>
              <w:rPr>
                <w:b/>
                <w:sz w:val="20"/>
              </w:rPr>
            </w:pPr>
            <w:r>
              <w:rPr>
                <w:b/>
                <w:sz w:val="20"/>
              </w:rPr>
              <w:t>foca</w:t>
            </w:r>
          </w:p>
        </w:tc>
        <w:tc>
          <w:tcPr>
            <w:tcW w:w="1596" w:type="dxa"/>
          </w:tcPr>
          <w:p w14:paraId="318AB272" w14:textId="77777777" w:rsidR="0046798B" w:rsidRDefault="0046798B">
            <w:pPr>
              <w:pStyle w:val="TableParagraph"/>
            </w:pPr>
          </w:p>
          <w:p w14:paraId="30ECA039" w14:textId="77777777" w:rsidR="0046798B" w:rsidRDefault="0046798B">
            <w:pPr>
              <w:pStyle w:val="TableParagraph"/>
              <w:spacing w:before="4"/>
              <w:rPr>
                <w:sz w:val="31"/>
              </w:rPr>
            </w:pPr>
          </w:p>
          <w:p w14:paraId="00CB7843" w14:textId="77777777" w:rsidR="0046798B" w:rsidRDefault="00903B5C">
            <w:pPr>
              <w:pStyle w:val="TableParagraph"/>
              <w:ind w:left="114" w:right="224"/>
              <w:rPr>
                <w:sz w:val="20"/>
              </w:rPr>
            </w:pPr>
            <w:r>
              <w:rPr>
                <w:sz w:val="20"/>
              </w:rPr>
              <w:t xml:space="preserve">Codifies </w:t>
            </w:r>
            <w:r>
              <w:rPr>
                <w:i/>
                <w:sz w:val="20"/>
              </w:rPr>
              <w:t xml:space="preserve">Roe v. Wade </w:t>
            </w:r>
            <w:r>
              <w:rPr>
                <w:sz w:val="20"/>
              </w:rPr>
              <w:t>in state</w:t>
            </w:r>
          </w:p>
        </w:tc>
        <w:tc>
          <w:tcPr>
            <w:tcW w:w="1285" w:type="dxa"/>
          </w:tcPr>
          <w:p w14:paraId="18D155BE" w14:textId="77777777" w:rsidR="0046798B" w:rsidRDefault="0046798B">
            <w:pPr>
              <w:pStyle w:val="TableParagraph"/>
            </w:pPr>
          </w:p>
          <w:p w14:paraId="31D324BB" w14:textId="77777777" w:rsidR="0046798B" w:rsidRDefault="0046798B">
            <w:pPr>
              <w:pStyle w:val="TableParagraph"/>
            </w:pPr>
          </w:p>
          <w:p w14:paraId="0C34DC96" w14:textId="77777777" w:rsidR="0046798B" w:rsidRDefault="0046798B">
            <w:pPr>
              <w:pStyle w:val="TableParagraph"/>
              <w:spacing w:before="4"/>
              <w:rPr>
                <w:sz w:val="19"/>
              </w:rPr>
            </w:pPr>
          </w:p>
          <w:p w14:paraId="62FF1CA0" w14:textId="77777777" w:rsidR="0046798B" w:rsidRDefault="00903B5C">
            <w:pPr>
              <w:pStyle w:val="TableParagraph"/>
              <w:ind w:left="114"/>
              <w:rPr>
                <w:sz w:val="20"/>
              </w:rPr>
            </w:pPr>
            <w:r>
              <w:rPr>
                <w:sz w:val="20"/>
              </w:rPr>
              <w:t>1973–2006</w:t>
            </w:r>
          </w:p>
        </w:tc>
        <w:tc>
          <w:tcPr>
            <w:tcW w:w="3421" w:type="dxa"/>
          </w:tcPr>
          <w:p w14:paraId="6FFA1C2C" w14:textId="77777777" w:rsidR="0046798B" w:rsidRDefault="0046798B">
            <w:pPr>
              <w:pStyle w:val="TableParagraph"/>
            </w:pPr>
          </w:p>
          <w:p w14:paraId="6917B7AC" w14:textId="77777777" w:rsidR="0046798B" w:rsidRDefault="0046798B">
            <w:pPr>
              <w:pStyle w:val="TableParagraph"/>
              <w:spacing w:before="4"/>
              <w:rPr>
                <w:sz w:val="31"/>
              </w:rPr>
            </w:pPr>
          </w:p>
          <w:p w14:paraId="4DEE2CB5" w14:textId="77777777" w:rsidR="0046798B" w:rsidRDefault="00903B5C">
            <w:pPr>
              <w:pStyle w:val="TableParagraph"/>
              <w:ind w:left="114" w:right="1475"/>
              <w:rPr>
                <w:sz w:val="20"/>
              </w:rPr>
            </w:pPr>
            <w:r>
              <w:rPr>
                <w:sz w:val="20"/>
              </w:rPr>
              <w:t>0 = policy not adopted 1 = policy adopted</w:t>
            </w:r>
          </w:p>
        </w:tc>
        <w:tc>
          <w:tcPr>
            <w:tcW w:w="6482" w:type="dxa"/>
          </w:tcPr>
          <w:p w14:paraId="4535F2D2" w14:textId="77777777" w:rsidR="0046798B" w:rsidRDefault="00903B5C">
            <w:pPr>
              <w:pStyle w:val="TableParagraph"/>
              <w:spacing w:before="39"/>
              <w:ind w:left="114" w:right="445"/>
              <w:rPr>
                <w:sz w:val="20"/>
              </w:rPr>
            </w:pPr>
            <w:r>
              <w:rPr>
                <w:color w:val="212121"/>
                <w:sz w:val="20"/>
              </w:rPr>
              <w:t xml:space="preserve">Kreitzer, Rebecca J. “Politics and morality in state abortion policy.” </w:t>
            </w:r>
            <w:r>
              <w:rPr>
                <w:i/>
                <w:color w:val="212121"/>
                <w:sz w:val="20"/>
              </w:rPr>
              <w:t xml:space="preserve">State Politics &amp; Policy Quarterly </w:t>
            </w:r>
            <w:r>
              <w:rPr>
                <w:color w:val="212121"/>
                <w:sz w:val="20"/>
              </w:rPr>
              <w:t>15.1 (2015): 41</w:t>
            </w:r>
            <w:r>
              <w:rPr>
                <w:sz w:val="20"/>
              </w:rPr>
              <w:t>–</w:t>
            </w:r>
            <w:r>
              <w:rPr>
                <w:color w:val="212121"/>
                <w:sz w:val="20"/>
              </w:rPr>
              <w:t>66.</w:t>
            </w:r>
          </w:p>
          <w:p w14:paraId="41B13EAD" w14:textId="77777777" w:rsidR="0046798B" w:rsidRDefault="0046798B">
            <w:pPr>
              <w:pStyle w:val="TableParagraph"/>
              <w:spacing w:before="11"/>
              <w:rPr>
                <w:sz w:val="19"/>
              </w:rPr>
            </w:pPr>
          </w:p>
          <w:p w14:paraId="47BE4B43" w14:textId="77777777" w:rsidR="0046798B" w:rsidRDefault="00903B5C">
            <w:pPr>
              <w:pStyle w:val="TableParagraph"/>
              <w:ind w:left="114" w:right="156"/>
              <w:rPr>
                <w:sz w:val="20"/>
              </w:rPr>
            </w:pPr>
            <w:r>
              <w:rPr>
                <w:sz w:val="20"/>
              </w:rPr>
              <w:t xml:space="preserve">Frederick J. Boehmke; Mark Brockway; Bruce Desmarais; Jeffrey J. Harden; Scott LaCombe; Fridolin Linder; Hanna Wallach, 2018, “State Policy Innovation and Diffusion (SPID) Database v1.0”, </w:t>
            </w:r>
            <w:hyperlink r:id="rId854">
              <w:r>
                <w:rPr>
                  <w:color w:val="0462C1"/>
                  <w:sz w:val="20"/>
                  <w:u w:val="single" w:color="0462C1"/>
                </w:rPr>
                <w:t>https://doi.org/10.7910/DVN/CVYSR7</w:t>
              </w:r>
            </w:hyperlink>
          </w:p>
        </w:tc>
      </w:tr>
      <w:tr w:rsidR="0046798B" w14:paraId="1AE7A288" w14:textId="77777777">
        <w:trPr>
          <w:trHeight w:val="1695"/>
        </w:trPr>
        <w:tc>
          <w:tcPr>
            <w:tcW w:w="1711" w:type="dxa"/>
          </w:tcPr>
          <w:p w14:paraId="20F2D724" w14:textId="77777777" w:rsidR="0046798B" w:rsidRDefault="0046798B">
            <w:pPr>
              <w:pStyle w:val="TableParagraph"/>
            </w:pPr>
          </w:p>
          <w:p w14:paraId="1F344730" w14:textId="77777777" w:rsidR="0046798B" w:rsidRDefault="0046798B">
            <w:pPr>
              <w:pStyle w:val="TableParagraph"/>
            </w:pPr>
          </w:p>
          <w:p w14:paraId="339BBE60" w14:textId="77777777" w:rsidR="0046798B" w:rsidRDefault="0046798B">
            <w:pPr>
              <w:pStyle w:val="TableParagraph"/>
              <w:spacing w:before="3"/>
              <w:rPr>
                <w:sz w:val="19"/>
              </w:rPr>
            </w:pPr>
          </w:p>
          <w:p w14:paraId="78E33CB7" w14:textId="77777777" w:rsidR="0046798B" w:rsidRDefault="00903B5C">
            <w:pPr>
              <w:pStyle w:val="TableParagraph"/>
              <w:spacing w:before="1"/>
              <w:ind w:left="115"/>
              <w:rPr>
                <w:b/>
                <w:sz w:val="20"/>
              </w:rPr>
            </w:pPr>
            <w:r>
              <w:rPr>
                <w:b/>
                <w:sz w:val="20"/>
              </w:rPr>
              <w:t>funds_avail</w:t>
            </w:r>
          </w:p>
        </w:tc>
        <w:tc>
          <w:tcPr>
            <w:tcW w:w="1596" w:type="dxa"/>
          </w:tcPr>
          <w:p w14:paraId="409D4280" w14:textId="77777777" w:rsidR="0046798B" w:rsidRDefault="0046798B">
            <w:pPr>
              <w:pStyle w:val="TableParagraph"/>
            </w:pPr>
          </w:p>
          <w:p w14:paraId="6C0CF274" w14:textId="77777777" w:rsidR="0046798B" w:rsidRDefault="0046798B">
            <w:pPr>
              <w:pStyle w:val="TableParagraph"/>
              <w:spacing w:before="3"/>
              <w:rPr>
                <w:sz w:val="21"/>
              </w:rPr>
            </w:pPr>
          </w:p>
          <w:p w14:paraId="47BE30B2" w14:textId="77777777" w:rsidR="0046798B" w:rsidRDefault="00903B5C">
            <w:pPr>
              <w:pStyle w:val="TableParagraph"/>
              <w:ind w:left="114" w:right="374"/>
              <w:rPr>
                <w:sz w:val="20"/>
              </w:rPr>
            </w:pPr>
            <w:r>
              <w:rPr>
                <w:sz w:val="20"/>
              </w:rPr>
              <w:t>Requires contraceptive equality</w:t>
            </w:r>
          </w:p>
        </w:tc>
        <w:tc>
          <w:tcPr>
            <w:tcW w:w="1285" w:type="dxa"/>
          </w:tcPr>
          <w:p w14:paraId="665EED82" w14:textId="77777777" w:rsidR="0046798B" w:rsidRDefault="0046798B">
            <w:pPr>
              <w:pStyle w:val="TableParagraph"/>
            </w:pPr>
          </w:p>
          <w:p w14:paraId="62CA940D" w14:textId="77777777" w:rsidR="0046798B" w:rsidRDefault="0046798B">
            <w:pPr>
              <w:pStyle w:val="TableParagraph"/>
            </w:pPr>
          </w:p>
          <w:p w14:paraId="109EB248" w14:textId="77777777" w:rsidR="0046798B" w:rsidRDefault="0046798B">
            <w:pPr>
              <w:pStyle w:val="TableParagraph"/>
              <w:spacing w:before="3"/>
              <w:rPr>
                <w:sz w:val="19"/>
              </w:rPr>
            </w:pPr>
          </w:p>
          <w:p w14:paraId="332A3BCA" w14:textId="77777777" w:rsidR="0046798B" w:rsidRDefault="00903B5C">
            <w:pPr>
              <w:pStyle w:val="TableParagraph"/>
              <w:spacing w:before="1"/>
              <w:ind w:left="114"/>
              <w:rPr>
                <w:sz w:val="20"/>
              </w:rPr>
            </w:pPr>
            <w:r>
              <w:rPr>
                <w:sz w:val="20"/>
              </w:rPr>
              <w:t>1982–1995</w:t>
            </w:r>
          </w:p>
        </w:tc>
        <w:tc>
          <w:tcPr>
            <w:tcW w:w="3421" w:type="dxa"/>
          </w:tcPr>
          <w:p w14:paraId="764480BB" w14:textId="77777777" w:rsidR="0046798B" w:rsidRDefault="0046798B">
            <w:pPr>
              <w:pStyle w:val="TableParagraph"/>
            </w:pPr>
          </w:p>
          <w:p w14:paraId="3D0B89A8" w14:textId="77777777" w:rsidR="0046798B" w:rsidRDefault="0046798B">
            <w:pPr>
              <w:pStyle w:val="TableParagraph"/>
              <w:spacing w:before="3"/>
              <w:rPr>
                <w:sz w:val="31"/>
              </w:rPr>
            </w:pPr>
          </w:p>
          <w:p w14:paraId="7EACD874" w14:textId="77777777" w:rsidR="0046798B" w:rsidRDefault="00903B5C">
            <w:pPr>
              <w:pStyle w:val="TableParagraph"/>
              <w:ind w:left="114" w:right="1475"/>
              <w:rPr>
                <w:sz w:val="20"/>
              </w:rPr>
            </w:pPr>
            <w:r>
              <w:rPr>
                <w:sz w:val="20"/>
              </w:rPr>
              <w:t>0 = policy not adopted 1 = policy adopted</w:t>
            </w:r>
          </w:p>
        </w:tc>
        <w:tc>
          <w:tcPr>
            <w:tcW w:w="6482" w:type="dxa"/>
          </w:tcPr>
          <w:p w14:paraId="47F8E5F5" w14:textId="77777777" w:rsidR="0046798B" w:rsidRDefault="00903B5C">
            <w:pPr>
              <w:pStyle w:val="TableParagraph"/>
              <w:spacing w:before="38"/>
              <w:ind w:left="114" w:right="445"/>
              <w:rPr>
                <w:sz w:val="20"/>
              </w:rPr>
            </w:pPr>
            <w:r>
              <w:rPr>
                <w:color w:val="212121"/>
                <w:sz w:val="20"/>
              </w:rPr>
              <w:t xml:space="preserve">Kreitzer, Rebecca J. “Politics and morality in state abortion policy.” </w:t>
            </w:r>
            <w:r>
              <w:rPr>
                <w:i/>
                <w:color w:val="212121"/>
                <w:sz w:val="20"/>
              </w:rPr>
              <w:t xml:space="preserve">State Politics &amp; Policy Quarterly </w:t>
            </w:r>
            <w:r>
              <w:rPr>
                <w:color w:val="212121"/>
                <w:sz w:val="20"/>
              </w:rPr>
              <w:t>15.1 (2015): 41</w:t>
            </w:r>
            <w:r>
              <w:rPr>
                <w:sz w:val="20"/>
              </w:rPr>
              <w:t>–</w:t>
            </w:r>
            <w:r>
              <w:rPr>
                <w:color w:val="212121"/>
                <w:sz w:val="20"/>
              </w:rPr>
              <w:t>66.</w:t>
            </w:r>
          </w:p>
          <w:p w14:paraId="329ABFBF" w14:textId="77777777" w:rsidR="0046798B" w:rsidRDefault="0046798B">
            <w:pPr>
              <w:pStyle w:val="TableParagraph"/>
              <w:rPr>
                <w:sz w:val="20"/>
              </w:rPr>
            </w:pPr>
          </w:p>
          <w:p w14:paraId="75BAD0C2" w14:textId="77777777" w:rsidR="0046798B" w:rsidRDefault="00903B5C">
            <w:pPr>
              <w:pStyle w:val="TableParagraph"/>
              <w:ind w:left="114" w:right="156"/>
              <w:rPr>
                <w:sz w:val="20"/>
              </w:rPr>
            </w:pPr>
            <w:r>
              <w:rPr>
                <w:sz w:val="20"/>
              </w:rPr>
              <w:t xml:space="preserve">Frederick J. Boehmke; Mark Brockway; Bruce Desmarais; Jeffrey J. Harden; Scott LaCombe; Fridolin Linder; Hanna Wallach, 2018, “State Policy Innovation and Diffusion (SPID) Database v1.0”, </w:t>
            </w:r>
            <w:hyperlink r:id="rId855">
              <w:r>
                <w:rPr>
                  <w:color w:val="0462C1"/>
                  <w:sz w:val="20"/>
                  <w:u w:val="single" w:color="0462C1"/>
                </w:rPr>
                <w:t>https://doi.org/10.7910/DVN/CVYSR7</w:t>
              </w:r>
            </w:hyperlink>
          </w:p>
        </w:tc>
      </w:tr>
      <w:tr w:rsidR="0046798B" w14:paraId="0C6765AA" w14:textId="77777777">
        <w:trPr>
          <w:trHeight w:val="775"/>
        </w:trPr>
        <w:tc>
          <w:tcPr>
            <w:tcW w:w="1711" w:type="dxa"/>
          </w:tcPr>
          <w:p w14:paraId="4352FF37" w14:textId="77777777" w:rsidR="0046798B" w:rsidRDefault="0046798B">
            <w:pPr>
              <w:pStyle w:val="TableParagraph"/>
              <w:spacing w:before="3"/>
              <w:rPr>
                <w:sz w:val="23"/>
              </w:rPr>
            </w:pPr>
          </w:p>
          <w:p w14:paraId="6215C994" w14:textId="77777777" w:rsidR="0046798B" w:rsidRDefault="00903B5C">
            <w:pPr>
              <w:pStyle w:val="TableParagraph"/>
              <w:spacing w:before="1"/>
              <w:ind w:left="115"/>
              <w:rPr>
                <w:b/>
                <w:sz w:val="20"/>
              </w:rPr>
            </w:pPr>
            <w:r>
              <w:rPr>
                <w:b/>
                <w:sz w:val="20"/>
              </w:rPr>
              <w:t>fundslife</w:t>
            </w:r>
          </w:p>
        </w:tc>
        <w:tc>
          <w:tcPr>
            <w:tcW w:w="1596" w:type="dxa"/>
          </w:tcPr>
          <w:p w14:paraId="78E3227B" w14:textId="77777777" w:rsidR="0046798B" w:rsidRDefault="00903B5C">
            <w:pPr>
              <w:pStyle w:val="TableParagraph"/>
              <w:spacing w:before="38"/>
              <w:ind w:left="114" w:right="85"/>
              <w:rPr>
                <w:sz w:val="20"/>
              </w:rPr>
            </w:pPr>
            <w:r>
              <w:rPr>
                <w:sz w:val="20"/>
              </w:rPr>
              <w:t>Bans public funding to be used for abortion</w:t>
            </w:r>
          </w:p>
        </w:tc>
        <w:tc>
          <w:tcPr>
            <w:tcW w:w="1285" w:type="dxa"/>
          </w:tcPr>
          <w:p w14:paraId="3CAEC238" w14:textId="77777777" w:rsidR="0046798B" w:rsidRDefault="0046798B">
            <w:pPr>
              <w:pStyle w:val="TableParagraph"/>
              <w:spacing w:before="3"/>
              <w:rPr>
                <w:sz w:val="23"/>
              </w:rPr>
            </w:pPr>
          </w:p>
          <w:p w14:paraId="175DA9CD" w14:textId="77777777" w:rsidR="0046798B" w:rsidRDefault="00903B5C">
            <w:pPr>
              <w:pStyle w:val="TableParagraph"/>
              <w:spacing w:before="1"/>
              <w:ind w:left="114"/>
              <w:rPr>
                <w:sz w:val="20"/>
              </w:rPr>
            </w:pPr>
            <w:r>
              <w:rPr>
                <w:sz w:val="20"/>
              </w:rPr>
              <w:t>1977–1990</w:t>
            </w:r>
          </w:p>
        </w:tc>
        <w:tc>
          <w:tcPr>
            <w:tcW w:w="3421" w:type="dxa"/>
          </w:tcPr>
          <w:p w14:paraId="7F47CD93" w14:textId="77777777" w:rsidR="0046798B" w:rsidRDefault="00903B5C">
            <w:pPr>
              <w:pStyle w:val="TableParagraph"/>
              <w:spacing w:before="153"/>
              <w:ind w:left="114" w:right="1475"/>
              <w:rPr>
                <w:sz w:val="20"/>
              </w:rPr>
            </w:pPr>
            <w:r>
              <w:rPr>
                <w:sz w:val="20"/>
              </w:rPr>
              <w:t>0 = policy not adopted 1 = policy adopted</w:t>
            </w:r>
          </w:p>
        </w:tc>
        <w:tc>
          <w:tcPr>
            <w:tcW w:w="6482" w:type="dxa"/>
          </w:tcPr>
          <w:p w14:paraId="00A671C6" w14:textId="77777777" w:rsidR="0046798B" w:rsidRDefault="00903B5C">
            <w:pPr>
              <w:pStyle w:val="TableParagraph"/>
              <w:spacing w:before="38"/>
              <w:ind w:left="114" w:right="445"/>
              <w:rPr>
                <w:sz w:val="20"/>
              </w:rPr>
            </w:pPr>
            <w:r>
              <w:rPr>
                <w:color w:val="212121"/>
                <w:sz w:val="20"/>
              </w:rPr>
              <w:t xml:space="preserve">Kreitzer, Rebecca J. “Politics and morality in state abortion policy.” </w:t>
            </w:r>
            <w:r>
              <w:rPr>
                <w:i/>
                <w:color w:val="212121"/>
                <w:sz w:val="20"/>
              </w:rPr>
              <w:t xml:space="preserve">State Politics &amp; Policy Quarterly </w:t>
            </w:r>
            <w:r>
              <w:rPr>
                <w:color w:val="212121"/>
                <w:sz w:val="20"/>
              </w:rPr>
              <w:t>15.1 (2015): 41</w:t>
            </w:r>
            <w:r>
              <w:rPr>
                <w:sz w:val="20"/>
              </w:rPr>
              <w:t>–</w:t>
            </w:r>
            <w:r>
              <w:rPr>
                <w:color w:val="212121"/>
                <w:sz w:val="20"/>
              </w:rPr>
              <w:t>66.</w:t>
            </w:r>
          </w:p>
        </w:tc>
      </w:tr>
    </w:tbl>
    <w:p w14:paraId="75B3EF17" w14:textId="77777777" w:rsidR="0046798B" w:rsidRDefault="0046798B">
      <w:pPr>
        <w:rPr>
          <w:sz w:val="20"/>
        </w:rPr>
        <w:sectPr w:rsidR="0046798B">
          <w:pgSz w:w="15840" w:h="12240" w:orient="landscape"/>
          <w:pgMar w:top="1220" w:right="300" w:bottom="980" w:left="820" w:header="730" w:footer="787" w:gutter="0"/>
          <w:cols w:space="720"/>
        </w:sectPr>
      </w:pPr>
    </w:p>
    <w:p w14:paraId="12E843E0"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7630247F" w14:textId="77777777">
        <w:trPr>
          <w:trHeight w:val="1005"/>
        </w:trPr>
        <w:tc>
          <w:tcPr>
            <w:tcW w:w="1711" w:type="dxa"/>
          </w:tcPr>
          <w:p w14:paraId="7380A3A4" w14:textId="77777777" w:rsidR="0046798B" w:rsidRDefault="0046798B">
            <w:pPr>
              <w:pStyle w:val="TableParagraph"/>
              <w:rPr>
                <w:sz w:val="20"/>
              </w:rPr>
            </w:pPr>
          </w:p>
        </w:tc>
        <w:tc>
          <w:tcPr>
            <w:tcW w:w="1596" w:type="dxa"/>
          </w:tcPr>
          <w:p w14:paraId="2912BE6B" w14:textId="77777777" w:rsidR="0046798B" w:rsidRDefault="0046798B">
            <w:pPr>
              <w:pStyle w:val="TableParagraph"/>
              <w:rPr>
                <w:sz w:val="20"/>
              </w:rPr>
            </w:pPr>
          </w:p>
        </w:tc>
        <w:tc>
          <w:tcPr>
            <w:tcW w:w="1285" w:type="dxa"/>
          </w:tcPr>
          <w:p w14:paraId="4F1FE1D1" w14:textId="77777777" w:rsidR="0046798B" w:rsidRDefault="0046798B">
            <w:pPr>
              <w:pStyle w:val="TableParagraph"/>
              <w:rPr>
                <w:sz w:val="20"/>
              </w:rPr>
            </w:pPr>
          </w:p>
        </w:tc>
        <w:tc>
          <w:tcPr>
            <w:tcW w:w="3421" w:type="dxa"/>
          </w:tcPr>
          <w:p w14:paraId="1526EBB1" w14:textId="77777777" w:rsidR="0046798B" w:rsidRDefault="0046798B">
            <w:pPr>
              <w:pStyle w:val="TableParagraph"/>
              <w:rPr>
                <w:sz w:val="20"/>
              </w:rPr>
            </w:pPr>
          </w:p>
        </w:tc>
        <w:tc>
          <w:tcPr>
            <w:tcW w:w="6482" w:type="dxa"/>
          </w:tcPr>
          <w:p w14:paraId="112C93D6" w14:textId="77777777" w:rsidR="0046798B" w:rsidRDefault="00903B5C">
            <w:pPr>
              <w:pStyle w:val="TableParagraph"/>
              <w:spacing w:before="43"/>
              <w:ind w:left="114" w:right="156"/>
              <w:rPr>
                <w:sz w:val="20"/>
              </w:rPr>
            </w:pPr>
            <w:r>
              <w:rPr>
                <w:sz w:val="20"/>
              </w:rPr>
              <w:t xml:space="preserve">Frederick J. Boehmke; Mark Brockway; Bruce Desmarais; Jeffrey J. Harden; Scott LaCombe; Fridolin Linder; Hanna Wallach, 2018, “State Policy Innovation and Diffusion (SPID) Database v1.0”, </w:t>
            </w:r>
            <w:hyperlink r:id="rId856">
              <w:r>
                <w:rPr>
                  <w:color w:val="0462C1"/>
                  <w:sz w:val="20"/>
                  <w:u w:val="single" w:color="0462C1"/>
                </w:rPr>
                <w:t>https://doi.org/10.7910/DVN/CVYSR7</w:t>
              </w:r>
            </w:hyperlink>
          </w:p>
        </w:tc>
      </w:tr>
      <w:tr w:rsidR="0046798B" w14:paraId="6BAC8D3D" w14:textId="77777777">
        <w:trPr>
          <w:trHeight w:val="1695"/>
        </w:trPr>
        <w:tc>
          <w:tcPr>
            <w:tcW w:w="1711" w:type="dxa"/>
          </w:tcPr>
          <w:p w14:paraId="2FF51F56" w14:textId="77777777" w:rsidR="0046798B" w:rsidRDefault="0046798B">
            <w:pPr>
              <w:pStyle w:val="TableParagraph"/>
            </w:pPr>
          </w:p>
          <w:p w14:paraId="69C0022D" w14:textId="77777777" w:rsidR="0046798B" w:rsidRDefault="0046798B">
            <w:pPr>
              <w:pStyle w:val="TableParagraph"/>
            </w:pPr>
          </w:p>
          <w:p w14:paraId="062073AF" w14:textId="77777777" w:rsidR="0046798B" w:rsidRDefault="0046798B">
            <w:pPr>
              <w:pStyle w:val="TableParagraph"/>
              <w:spacing w:before="9"/>
              <w:rPr>
                <w:sz w:val="19"/>
              </w:rPr>
            </w:pPr>
          </w:p>
          <w:p w14:paraId="2602B34D" w14:textId="77777777" w:rsidR="0046798B" w:rsidRDefault="00903B5C">
            <w:pPr>
              <w:pStyle w:val="TableParagraph"/>
              <w:ind w:left="115"/>
              <w:rPr>
                <w:b/>
                <w:sz w:val="20"/>
              </w:rPr>
            </w:pPr>
            <w:r>
              <w:rPr>
                <w:b/>
                <w:sz w:val="20"/>
              </w:rPr>
              <w:t>fundslifehea</w:t>
            </w:r>
          </w:p>
        </w:tc>
        <w:tc>
          <w:tcPr>
            <w:tcW w:w="1596" w:type="dxa"/>
          </w:tcPr>
          <w:p w14:paraId="50A569B0" w14:textId="77777777" w:rsidR="0046798B" w:rsidRDefault="0046798B">
            <w:pPr>
              <w:pStyle w:val="TableParagraph"/>
              <w:spacing w:before="8"/>
              <w:rPr>
                <w:sz w:val="23"/>
              </w:rPr>
            </w:pPr>
          </w:p>
          <w:p w14:paraId="74D4612C" w14:textId="77777777" w:rsidR="0046798B" w:rsidRDefault="00903B5C">
            <w:pPr>
              <w:pStyle w:val="TableParagraph"/>
              <w:spacing w:before="1"/>
              <w:ind w:left="114" w:right="429"/>
              <w:rPr>
                <w:sz w:val="20"/>
              </w:rPr>
            </w:pPr>
            <w:r>
              <w:rPr>
                <w:sz w:val="20"/>
              </w:rPr>
              <w:t>Bans public funding for abortion, but with more exceptions</w:t>
            </w:r>
          </w:p>
        </w:tc>
        <w:tc>
          <w:tcPr>
            <w:tcW w:w="1285" w:type="dxa"/>
          </w:tcPr>
          <w:p w14:paraId="12A0C5D4" w14:textId="77777777" w:rsidR="0046798B" w:rsidRDefault="0046798B">
            <w:pPr>
              <w:pStyle w:val="TableParagraph"/>
            </w:pPr>
          </w:p>
          <w:p w14:paraId="3CD21EC6" w14:textId="77777777" w:rsidR="0046798B" w:rsidRDefault="0046798B">
            <w:pPr>
              <w:pStyle w:val="TableParagraph"/>
            </w:pPr>
          </w:p>
          <w:p w14:paraId="63F353B7" w14:textId="77777777" w:rsidR="0046798B" w:rsidRDefault="0046798B">
            <w:pPr>
              <w:pStyle w:val="TableParagraph"/>
              <w:spacing w:before="9"/>
              <w:rPr>
                <w:sz w:val="19"/>
              </w:rPr>
            </w:pPr>
          </w:p>
          <w:p w14:paraId="08DF7FC1" w14:textId="77777777" w:rsidR="0046798B" w:rsidRDefault="00903B5C">
            <w:pPr>
              <w:pStyle w:val="TableParagraph"/>
              <w:ind w:left="114"/>
              <w:rPr>
                <w:sz w:val="20"/>
              </w:rPr>
            </w:pPr>
            <w:r>
              <w:rPr>
                <w:sz w:val="20"/>
              </w:rPr>
              <w:t>1985–2002</w:t>
            </w:r>
          </w:p>
        </w:tc>
        <w:tc>
          <w:tcPr>
            <w:tcW w:w="3421" w:type="dxa"/>
          </w:tcPr>
          <w:p w14:paraId="0134D4A7" w14:textId="77777777" w:rsidR="0046798B" w:rsidRDefault="0046798B">
            <w:pPr>
              <w:pStyle w:val="TableParagraph"/>
            </w:pPr>
          </w:p>
          <w:p w14:paraId="62CEAD5C" w14:textId="77777777" w:rsidR="0046798B" w:rsidRDefault="0046798B">
            <w:pPr>
              <w:pStyle w:val="TableParagraph"/>
              <w:spacing w:before="9"/>
              <w:rPr>
                <w:sz w:val="31"/>
              </w:rPr>
            </w:pPr>
          </w:p>
          <w:p w14:paraId="2DDD8016" w14:textId="77777777" w:rsidR="0046798B" w:rsidRDefault="00903B5C">
            <w:pPr>
              <w:pStyle w:val="TableParagraph"/>
              <w:ind w:left="114" w:right="1475"/>
              <w:rPr>
                <w:sz w:val="20"/>
              </w:rPr>
            </w:pPr>
            <w:r>
              <w:rPr>
                <w:sz w:val="20"/>
              </w:rPr>
              <w:t>0 = policy not adopted 1 = policy adopted</w:t>
            </w:r>
          </w:p>
        </w:tc>
        <w:tc>
          <w:tcPr>
            <w:tcW w:w="6482" w:type="dxa"/>
          </w:tcPr>
          <w:p w14:paraId="25878CE2" w14:textId="77777777" w:rsidR="0046798B" w:rsidRDefault="00903B5C">
            <w:pPr>
              <w:pStyle w:val="TableParagraph"/>
              <w:spacing w:before="43"/>
              <w:ind w:left="114" w:right="445"/>
              <w:rPr>
                <w:sz w:val="20"/>
              </w:rPr>
            </w:pPr>
            <w:r>
              <w:rPr>
                <w:color w:val="212121"/>
                <w:sz w:val="20"/>
              </w:rPr>
              <w:t xml:space="preserve">Kreitzer, Rebecca J. “Politics and morality in state abortion policy.” </w:t>
            </w:r>
            <w:r>
              <w:rPr>
                <w:i/>
                <w:color w:val="212121"/>
                <w:sz w:val="20"/>
              </w:rPr>
              <w:t xml:space="preserve">State Politics &amp; Policy Quarterly </w:t>
            </w:r>
            <w:r>
              <w:rPr>
                <w:color w:val="212121"/>
                <w:sz w:val="20"/>
              </w:rPr>
              <w:t>15.1 (2015): 41</w:t>
            </w:r>
            <w:r>
              <w:rPr>
                <w:sz w:val="20"/>
              </w:rPr>
              <w:t>–</w:t>
            </w:r>
            <w:r>
              <w:rPr>
                <w:color w:val="212121"/>
                <w:sz w:val="20"/>
              </w:rPr>
              <w:t>66.</w:t>
            </w:r>
          </w:p>
          <w:p w14:paraId="5C34791D" w14:textId="77777777" w:rsidR="0046798B" w:rsidRDefault="0046798B">
            <w:pPr>
              <w:pStyle w:val="TableParagraph"/>
              <w:rPr>
                <w:sz w:val="20"/>
              </w:rPr>
            </w:pPr>
          </w:p>
          <w:p w14:paraId="64174485" w14:textId="77777777" w:rsidR="0046798B" w:rsidRDefault="00903B5C">
            <w:pPr>
              <w:pStyle w:val="TableParagraph"/>
              <w:spacing w:before="1"/>
              <w:ind w:left="114" w:right="156"/>
              <w:rPr>
                <w:sz w:val="20"/>
              </w:rPr>
            </w:pPr>
            <w:r>
              <w:rPr>
                <w:sz w:val="20"/>
              </w:rPr>
              <w:t xml:space="preserve">Frederick J. Boehmke; Mark Brockway; Bruce Desmarais; Jeffrey J. Harden; Scott LaCombe; Fridolin Linder; Hanna Wallach, 2018, “State Policy Innovation and Diffusion (SPID) Database v1.0”, </w:t>
            </w:r>
            <w:hyperlink r:id="rId857">
              <w:r>
                <w:rPr>
                  <w:color w:val="0462C1"/>
                  <w:sz w:val="20"/>
                  <w:u w:val="single" w:color="0462C1"/>
                </w:rPr>
                <w:t>https://doi.org/10.7910/DVN/CVYSR7</w:t>
              </w:r>
            </w:hyperlink>
          </w:p>
        </w:tc>
      </w:tr>
      <w:tr w:rsidR="0046798B" w14:paraId="712B5F5B" w14:textId="77777777">
        <w:trPr>
          <w:trHeight w:val="1700"/>
        </w:trPr>
        <w:tc>
          <w:tcPr>
            <w:tcW w:w="1711" w:type="dxa"/>
          </w:tcPr>
          <w:p w14:paraId="55B33EB7" w14:textId="77777777" w:rsidR="0046798B" w:rsidRDefault="0046798B">
            <w:pPr>
              <w:pStyle w:val="TableParagraph"/>
            </w:pPr>
          </w:p>
          <w:p w14:paraId="5879DF80" w14:textId="77777777" w:rsidR="0046798B" w:rsidRDefault="0046798B">
            <w:pPr>
              <w:pStyle w:val="TableParagraph"/>
            </w:pPr>
          </w:p>
          <w:p w14:paraId="5680165A" w14:textId="77777777" w:rsidR="0046798B" w:rsidRDefault="0046798B">
            <w:pPr>
              <w:pStyle w:val="TableParagraph"/>
              <w:spacing w:before="9"/>
              <w:rPr>
                <w:sz w:val="19"/>
              </w:rPr>
            </w:pPr>
          </w:p>
          <w:p w14:paraId="0AE66745" w14:textId="77777777" w:rsidR="0046798B" w:rsidRDefault="00903B5C">
            <w:pPr>
              <w:pStyle w:val="TableParagraph"/>
              <w:ind w:left="115"/>
              <w:rPr>
                <w:b/>
                <w:sz w:val="20"/>
              </w:rPr>
            </w:pPr>
            <w:r>
              <w:rPr>
                <w:b/>
                <w:sz w:val="20"/>
              </w:rPr>
              <w:t>gagrule</w:t>
            </w:r>
          </w:p>
        </w:tc>
        <w:tc>
          <w:tcPr>
            <w:tcW w:w="1596" w:type="dxa"/>
          </w:tcPr>
          <w:p w14:paraId="44147D1C" w14:textId="77777777" w:rsidR="0046798B" w:rsidRDefault="0046798B">
            <w:pPr>
              <w:pStyle w:val="TableParagraph"/>
              <w:spacing w:before="9"/>
              <w:rPr>
                <w:sz w:val="23"/>
              </w:rPr>
            </w:pPr>
          </w:p>
          <w:p w14:paraId="61107A1B" w14:textId="77777777" w:rsidR="0046798B" w:rsidRDefault="00903B5C">
            <w:pPr>
              <w:pStyle w:val="TableParagraph"/>
              <w:ind w:left="114" w:right="147"/>
              <w:rPr>
                <w:sz w:val="20"/>
              </w:rPr>
            </w:pPr>
            <w:r>
              <w:rPr>
                <w:sz w:val="20"/>
              </w:rPr>
              <w:t>Public employees can’t provide information on abortion</w:t>
            </w:r>
          </w:p>
        </w:tc>
        <w:tc>
          <w:tcPr>
            <w:tcW w:w="1285" w:type="dxa"/>
          </w:tcPr>
          <w:p w14:paraId="50293CF8" w14:textId="77777777" w:rsidR="0046798B" w:rsidRDefault="0046798B">
            <w:pPr>
              <w:pStyle w:val="TableParagraph"/>
            </w:pPr>
          </w:p>
          <w:p w14:paraId="5914C3CB" w14:textId="77777777" w:rsidR="0046798B" w:rsidRDefault="0046798B">
            <w:pPr>
              <w:pStyle w:val="TableParagraph"/>
            </w:pPr>
          </w:p>
          <w:p w14:paraId="0CA82A73" w14:textId="77777777" w:rsidR="0046798B" w:rsidRDefault="0046798B">
            <w:pPr>
              <w:pStyle w:val="TableParagraph"/>
              <w:spacing w:before="9"/>
              <w:rPr>
                <w:sz w:val="19"/>
              </w:rPr>
            </w:pPr>
          </w:p>
          <w:p w14:paraId="2A71403E" w14:textId="77777777" w:rsidR="0046798B" w:rsidRDefault="00903B5C">
            <w:pPr>
              <w:pStyle w:val="TableParagraph"/>
              <w:ind w:left="114"/>
              <w:rPr>
                <w:sz w:val="20"/>
              </w:rPr>
            </w:pPr>
            <w:r>
              <w:rPr>
                <w:sz w:val="20"/>
              </w:rPr>
              <w:t>1991–2010</w:t>
            </w:r>
          </w:p>
        </w:tc>
        <w:tc>
          <w:tcPr>
            <w:tcW w:w="3421" w:type="dxa"/>
          </w:tcPr>
          <w:p w14:paraId="55BA426B" w14:textId="77777777" w:rsidR="0046798B" w:rsidRDefault="0046798B">
            <w:pPr>
              <w:pStyle w:val="TableParagraph"/>
            </w:pPr>
          </w:p>
          <w:p w14:paraId="6592F00A" w14:textId="77777777" w:rsidR="0046798B" w:rsidRDefault="0046798B">
            <w:pPr>
              <w:pStyle w:val="TableParagraph"/>
              <w:spacing w:before="9"/>
              <w:rPr>
                <w:sz w:val="31"/>
              </w:rPr>
            </w:pPr>
          </w:p>
          <w:p w14:paraId="510FA26C" w14:textId="77777777" w:rsidR="0046798B" w:rsidRDefault="00903B5C">
            <w:pPr>
              <w:pStyle w:val="TableParagraph"/>
              <w:ind w:left="114" w:right="1475"/>
              <w:rPr>
                <w:sz w:val="20"/>
              </w:rPr>
            </w:pPr>
            <w:r>
              <w:rPr>
                <w:sz w:val="20"/>
              </w:rPr>
              <w:t>0 = policy not adopted 1 = policy adopted</w:t>
            </w:r>
          </w:p>
        </w:tc>
        <w:tc>
          <w:tcPr>
            <w:tcW w:w="6482" w:type="dxa"/>
          </w:tcPr>
          <w:p w14:paraId="5FD6ED90" w14:textId="77777777" w:rsidR="0046798B" w:rsidRDefault="00903B5C">
            <w:pPr>
              <w:pStyle w:val="TableParagraph"/>
              <w:spacing w:before="43"/>
              <w:ind w:left="114" w:right="445"/>
              <w:rPr>
                <w:sz w:val="20"/>
              </w:rPr>
            </w:pPr>
            <w:r>
              <w:rPr>
                <w:color w:val="212121"/>
                <w:sz w:val="20"/>
              </w:rPr>
              <w:t xml:space="preserve">Kreitzer, Rebecca J. “Politics and morality in state abortion policy.” </w:t>
            </w:r>
            <w:r>
              <w:rPr>
                <w:i/>
                <w:color w:val="212121"/>
                <w:sz w:val="20"/>
              </w:rPr>
              <w:t xml:space="preserve">State Politics &amp; Policy Quarterly </w:t>
            </w:r>
            <w:r>
              <w:rPr>
                <w:color w:val="212121"/>
                <w:sz w:val="20"/>
              </w:rPr>
              <w:t>15.1 (2015): 41</w:t>
            </w:r>
            <w:r>
              <w:rPr>
                <w:sz w:val="20"/>
              </w:rPr>
              <w:t>–</w:t>
            </w:r>
            <w:r>
              <w:rPr>
                <w:color w:val="212121"/>
                <w:sz w:val="20"/>
              </w:rPr>
              <w:t>66.</w:t>
            </w:r>
          </w:p>
          <w:p w14:paraId="53648F78" w14:textId="77777777" w:rsidR="0046798B" w:rsidRDefault="0046798B">
            <w:pPr>
              <w:pStyle w:val="TableParagraph"/>
              <w:rPr>
                <w:sz w:val="20"/>
              </w:rPr>
            </w:pPr>
          </w:p>
          <w:p w14:paraId="53E0C67C" w14:textId="77777777" w:rsidR="0046798B" w:rsidRDefault="00903B5C">
            <w:pPr>
              <w:pStyle w:val="TableParagraph"/>
              <w:ind w:left="114" w:right="156"/>
              <w:rPr>
                <w:sz w:val="20"/>
              </w:rPr>
            </w:pPr>
            <w:r>
              <w:rPr>
                <w:sz w:val="20"/>
              </w:rPr>
              <w:t xml:space="preserve">Frederick J. Boehmke; Mark Brockway; Bruce Desmarais; Jeffrey J. Harden; Scott LaCombe; Fridolin Linder; Hanna Wallach, 2018, “State Policy Innovation and Diffusion (SPID) Database v1.0”, </w:t>
            </w:r>
            <w:hyperlink r:id="rId858">
              <w:r>
                <w:rPr>
                  <w:color w:val="0462C1"/>
                  <w:sz w:val="20"/>
                  <w:u w:val="single" w:color="0462C1"/>
                </w:rPr>
                <w:t>https://doi.org/10.7910/DVN/CVYSR7</w:t>
              </w:r>
            </w:hyperlink>
          </w:p>
        </w:tc>
      </w:tr>
      <w:tr w:rsidR="0046798B" w14:paraId="22D6A0F1" w14:textId="77777777">
        <w:trPr>
          <w:trHeight w:val="1695"/>
        </w:trPr>
        <w:tc>
          <w:tcPr>
            <w:tcW w:w="1711" w:type="dxa"/>
          </w:tcPr>
          <w:p w14:paraId="27F61DDF" w14:textId="77777777" w:rsidR="0046798B" w:rsidRDefault="0046798B">
            <w:pPr>
              <w:pStyle w:val="TableParagraph"/>
            </w:pPr>
          </w:p>
          <w:p w14:paraId="27E4B893" w14:textId="77777777" w:rsidR="0046798B" w:rsidRDefault="0046798B">
            <w:pPr>
              <w:pStyle w:val="TableParagraph"/>
            </w:pPr>
          </w:p>
          <w:p w14:paraId="0C899A99" w14:textId="77777777" w:rsidR="0046798B" w:rsidRDefault="0046798B">
            <w:pPr>
              <w:pStyle w:val="TableParagraph"/>
              <w:spacing w:before="4"/>
              <w:rPr>
                <w:sz w:val="19"/>
              </w:rPr>
            </w:pPr>
          </w:p>
          <w:p w14:paraId="15FCA618" w14:textId="77777777" w:rsidR="0046798B" w:rsidRDefault="00903B5C">
            <w:pPr>
              <w:pStyle w:val="TableParagraph"/>
              <w:ind w:left="115"/>
              <w:rPr>
                <w:b/>
                <w:sz w:val="20"/>
              </w:rPr>
            </w:pPr>
            <w:r>
              <w:rPr>
                <w:b/>
                <w:sz w:val="20"/>
              </w:rPr>
              <w:t>gap</w:t>
            </w:r>
          </w:p>
        </w:tc>
        <w:tc>
          <w:tcPr>
            <w:tcW w:w="1596" w:type="dxa"/>
          </w:tcPr>
          <w:p w14:paraId="187C9746" w14:textId="77777777" w:rsidR="0046798B" w:rsidRDefault="0046798B">
            <w:pPr>
              <w:pStyle w:val="TableParagraph"/>
            </w:pPr>
          </w:p>
          <w:p w14:paraId="7EC426E0" w14:textId="77777777" w:rsidR="0046798B" w:rsidRDefault="00903B5C">
            <w:pPr>
              <w:pStyle w:val="TableParagraph"/>
              <w:spacing w:before="130"/>
              <w:ind w:left="114" w:right="191"/>
              <w:rPr>
                <w:sz w:val="20"/>
              </w:rPr>
            </w:pPr>
            <w:r>
              <w:rPr>
                <w:sz w:val="20"/>
              </w:rPr>
              <w:t>Pharmacists are not allowed to deny prescriptions</w:t>
            </w:r>
          </w:p>
        </w:tc>
        <w:tc>
          <w:tcPr>
            <w:tcW w:w="1285" w:type="dxa"/>
          </w:tcPr>
          <w:p w14:paraId="46146665" w14:textId="77777777" w:rsidR="0046798B" w:rsidRDefault="0046798B">
            <w:pPr>
              <w:pStyle w:val="TableParagraph"/>
            </w:pPr>
          </w:p>
          <w:p w14:paraId="17A916D2" w14:textId="77777777" w:rsidR="0046798B" w:rsidRDefault="0046798B">
            <w:pPr>
              <w:pStyle w:val="TableParagraph"/>
            </w:pPr>
          </w:p>
          <w:p w14:paraId="4CDD3FDE" w14:textId="77777777" w:rsidR="0046798B" w:rsidRDefault="0046798B">
            <w:pPr>
              <w:pStyle w:val="TableParagraph"/>
              <w:spacing w:before="4"/>
              <w:rPr>
                <w:sz w:val="19"/>
              </w:rPr>
            </w:pPr>
          </w:p>
          <w:p w14:paraId="5EE80FB9" w14:textId="77777777" w:rsidR="0046798B" w:rsidRDefault="00903B5C">
            <w:pPr>
              <w:pStyle w:val="TableParagraph"/>
              <w:ind w:left="114"/>
              <w:rPr>
                <w:sz w:val="20"/>
              </w:rPr>
            </w:pPr>
            <w:r>
              <w:rPr>
                <w:sz w:val="20"/>
              </w:rPr>
              <w:t>2005–2009</w:t>
            </w:r>
          </w:p>
        </w:tc>
        <w:tc>
          <w:tcPr>
            <w:tcW w:w="3421" w:type="dxa"/>
          </w:tcPr>
          <w:p w14:paraId="07B01184" w14:textId="77777777" w:rsidR="0046798B" w:rsidRDefault="0046798B">
            <w:pPr>
              <w:pStyle w:val="TableParagraph"/>
            </w:pPr>
          </w:p>
          <w:p w14:paraId="089C9840" w14:textId="77777777" w:rsidR="0046798B" w:rsidRDefault="0046798B">
            <w:pPr>
              <w:pStyle w:val="TableParagraph"/>
              <w:spacing w:before="3"/>
              <w:rPr>
                <w:sz w:val="31"/>
              </w:rPr>
            </w:pPr>
          </w:p>
          <w:p w14:paraId="7A897190"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05D6A8DD" w14:textId="77777777" w:rsidR="0046798B" w:rsidRDefault="00903B5C">
            <w:pPr>
              <w:pStyle w:val="TableParagraph"/>
              <w:spacing w:before="38"/>
              <w:ind w:left="114" w:right="445"/>
              <w:rPr>
                <w:sz w:val="20"/>
              </w:rPr>
            </w:pPr>
            <w:r>
              <w:rPr>
                <w:color w:val="212121"/>
                <w:sz w:val="20"/>
              </w:rPr>
              <w:t xml:space="preserve">Kreitzer, Rebecca J. “Politics and morality in state abortion policy.” </w:t>
            </w:r>
            <w:r>
              <w:rPr>
                <w:i/>
                <w:color w:val="212121"/>
                <w:sz w:val="20"/>
              </w:rPr>
              <w:t xml:space="preserve">State Politics &amp; Policy Quarterly </w:t>
            </w:r>
            <w:r>
              <w:rPr>
                <w:color w:val="212121"/>
                <w:sz w:val="20"/>
              </w:rPr>
              <w:t>15.1 (2015): 41</w:t>
            </w:r>
            <w:r>
              <w:rPr>
                <w:sz w:val="20"/>
              </w:rPr>
              <w:t>–</w:t>
            </w:r>
            <w:r>
              <w:rPr>
                <w:color w:val="212121"/>
                <w:sz w:val="20"/>
              </w:rPr>
              <w:t>66.</w:t>
            </w:r>
          </w:p>
          <w:p w14:paraId="1718CA07" w14:textId="77777777" w:rsidR="0046798B" w:rsidRDefault="0046798B">
            <w:pPr>
              <w:pStyle w:val="TableParagraph"/>
              <w:rPr>
                <w:sz w:val="20"/>
              </w:rPr>
            </w:pPr>
          </w:p>
          <w:p w14:paraId="2D0B3AAC" w14:textId="77777777" w:rsidR="0046798B" w:rsidRDefault="00903B5C">
            <w:pPr>
              <w:pStyle w:val="TableParagraph"/>
              <w:spacing w:before="1"/>
              <w:ind w:left="114" w:right="156"/>
              <w:rPr>
                <w:sz w:val="20"/>
              </w:rPr>
            </w:pPr>
            <w:r>
              <w:rPr>
                <w:sz w:val="20"/>
              </w:rPr>
              <w:t xml:space="preserve">Frederick J. Boehmke; Mark Brockway; Bruce Desmarais; Jeffrey J. Harden; Scott LaCombe; Fridolin Linder; Hanna Wallach, 2018, “State Policy Innovation and Diffusion (SPID) Database v1.0”, </w:t>
            </w:r>
            <w:hyperlink r:id="rId859">
              <w:r>
                <w:rPr>
                  <w:color w:val="0462C1"/>
                  <w:sz w:val="20"/>
                  <w:u w:val="single" w:color="0462C1"/>
                </w:rPr>
                <w:t>https://doi.org/10.7910/DVN/CVYSR7</w:t>
              </w:r>
            </w:hyperlink>
          </w:p>
        </w:tc>
      </w:tr>
      <w:tr w:rsidR="0046798B" w14:paraId="463397B3" w14:textId="77777777">
        <w:trPr>
          <w:trHeight w:val="1695"/>
        </w:trPr>
        <w:tc>
          <w:tcPr>
            <w:tcW w:w="1711" w:type="dxa"/>
          </w:tcPr>
          <w:p w14:paraId="1EE909D5" w14:textId="77777777" w:rsidR="0046798B" w:rsidRDefault="0046798B">
            <w:pPr>
              <w:pStyle w:val="TableParagraph"/>
            </w:pPr>
          </w:p>
          <w:p w14:paraId="6D2AE068" w14:textId="77777777" w:rsidR="0046798B" w:rsidRDefault="0046798B">
            <w:pPr>
              <w:pStyle w:val="TableParagraph"/>
            </w:pPr>
          </w:p>
          <w:p w14:paraId="20EFE02F" w14:textId="77777777" w:rsidR="0046798B" w:rsidRDefault="0046798B">
            <w:pPr>
              <w:pStyle w:val="TableParagraph"/>
              <w:spacing w:before="4"/>
              <w:rPr>
                <w:sz w:val="19"/>
              </w:rPr>
            </w:pPr>
          </w:p>
          <w:p w14:paraId="2D781BDB" w14:textId="77777777" w:rsidR="0046798B" w:rsidRDefault="00903B5C">
            <w:pPr>
              <w:pStyle w:val="TableParagraph"/>
              <w:ind w:left="115"/>
              <w:rPr>
                <w:b/>
                <w:sz w:val="20"/>
              </w:rPr>
            </w:pPr>
            <w:r>
              <w:rPr>
                <w:b/>
                <w:sz w:val="20"/>
              </w:rPr>
              <w:t>ide</w:t>
            </w:r>
          </w:p>
        </w:tc>
        <w:tc>
          <w:tcPr>
            <w:tcW w:w="1596" w:type="dxa"/>
          </w:tcPr>
          <w:p w14:paraId="73D15D8C" w14:textId="77777777" w:rsidR="0046798B" w:rsidRDefault="0046798B">
            <w:pPr>
              <w:pStyle w:val="TableParagraph"/>
            </w:pPr>
          </w:p>
          <w:p w14:paraId="41FEBE84" w14:textId="77777777" w:rsidR="0046798B" w:rsidRDefault="0046798B">
            <w:pPr>
              <w:pStyle w:val="TableParagraph"/>
              <w:spacing w:before="4"/>
              <w:rPr>
                <w:sz w:val="21"/>
              </w:rPr>
            </w:pPr>
          </w:p>
          <w:p w14:paraId="64DFB521" w14:textId="77777777" w:rsidR="0046798B" w:rsidRDefault="00903B5C">
            <w:pPr>
              <w:pStyle w:val="TableParagraph"/>
              <w:ind w:left="114" w:right="385"/>
              <w:rPr>
                <w:sz w:val="20"/>
              </w:rPr>
            </w:pPr>
            <w:r>
              <w:rPr>
                <w:sz w:val="20"/>
              </w:rPr>
              <w:t>Ban on intact dilation and extraction</w:t>
            </w:r>
          </w:p>
        </w:tc>
        <w:tc>
          <w:tcPr>
            <w:tcW w:w="1285" w:type="dxa"/>
          </w:tcPr>
          <w:p w14:paraId="75349165" w14:textId="77777777" w:rsidR="0046798B" w:rsidRDefault="0046798B">
            <w:pPr>
              <w:pStyle w:val="TableParagraph"/>
            </w:pPr>
          </w:p>
          <w:p w14:paraId="7CBACACC" w14:textId="77777777" w:rsidR="0046798B" w:rsidRDefault="0046798B">
            <w:pPr>
              <w:pStyle w:val="TableParagraph"/>
            </w:pPr>
          </w:p>
          <w:p w14:paraId="2502DEBC" w14:textId="77777777" w:rsidR="0046798B" w:rsidRDefault="0046798B">
            <w:pPr>
              <w:pStyle w:val="TableParagraph"/>
              <w:spacing w:before="4"/>
              <w:rPr>
                <w:sz w:val="19"/>
              </w:rPr>
            </w:pPr>
          </w:p>
          <w:p w14:paraId="7A27980D" w14:textId="77777777" w:rsidR="0046798B" w:rsidRDefault="00903B5C">
            <w:pPr>
              <w:pStyle w:val="TableParagraph"/>
              <w:ind w:left="114"/>
              <w:rPr>
                <w:sz w:val="20"/>
              </w:rPr>
            </w:pPr>
            <w:r>
              <w:rPr>
                <w:sz w:val="20"/>
              </w:rPr>
              <w:t>1995–2000</w:t>
            </w:r>
          </w:p>
        </w:tc>
        <w:tc>
          <w:tcPr>
            <w:tcW w:w="3421" w:type="dxa"/>
          </w:tcPr>
          <w:p w14:paraId="5C012F0B" w14:textId="77777777" w:rsidR="0046798B" w:rsidRDefault="0046798B">
            <w:pPr>
              <w:pStyle w:val="TableParagraph"/>
            </w:pPr>
          </w:p>
          <w:p w14:paraId="3476B0CF" w14:textId="77777777" w:rsidR="0046798B" w:rsidRDefault="0046798B">
            <w:pPr>
              <w:pStyle w:val="TableParagraph"/>
              <w:spacing w:before="4"/>
              <w:rPr>
                <w:sz w:val="31"/>
              </w:rPr>
            </w:pPr>
          </w:p>
          <w:p w14:paraId="4869B9AF" w14:textId="77777777" w:rsidR="0046798B" w:rsidRDefault="00903B5C">
            <w:pPr>
              <w:pStyle w:val="TableParagraph"/>
              <w:ind w:left="114" w:right="1475"/>
              <w:rPr>
                <w:sz w:val="20"/>
              </w:rPr>
            </w:pPr>
            <w:r>
              <w:rPr>
                <w:sz w:val="20"/>
              </w:rPr>
              <w:t>0 = policy not adopted 1 = policy adopted</w:t>
            </w:r>
          </w:p>
        </w:tc>
        <w:tc>
          <w:tcPr>
            <w:tcW w:w="6482" w:type="dxa"/>
          </w:tcPr>
          <w:p w14:paraId="1B05492A" w14:textId="77777777" w:rsidR="0046798B" w:rsidRDefault="00903B5C">
            <w:pPr>
              <w:pStyle w:val="TableParagraph"/>
              <w:spacing w:before="38"/>
              <w:ind w:left="114" w:right="445"/>
              <w:rPr>
                <w:sz w:val="20"/>
              </w:rPr>
            </w:pPr>
            <w:r>
              <w:rPr>
                <w:color w:val="212121"/>
                <w:sz w:val="20"/>
              </w:rPr>
              <w:t xml:space="preserve">Kreitzer, Rebecca J. “Politics and morality in state abortion policy.” </w:t>
            </w:r>
            <w:r>
              <w:rPr>
                <w:i/>
                <w:color w:val="212121"/>
                <w:sz w:val="20"/>
              </w:rPr>
              <w:t xml:space="preserve">State Politics &amp; Policy Quarterly </w:t>
            </w:r>
            <w:r>
              <w:rPr>
                <w:color w:val="212121"/>
                <w:sz w:val="20"/>
              </w:rPr>
              <w:t>15.1 (2015): 41</w:t>
            </w:r>
            <w:r>
              <w:rPr>
                <w:sz w:val="20"/>
              </w:rPr>
              <w:t>–</w:t>
            </w:r>
            <w:r>
              <w:rPr>
                <w:color w:val="212121"/>
                <w:sz w:val="20"/>
              </w:rPr>
              <w:t>66.</w:t>
            </w:r>
          </w:p>
          <w:p w14:paraId="34D49AE3" w14:textId="77777777" w:rsidR="0046798B" w:rsidRDefault="0046798B">
            <w:pPr>
              <w:pStyle w:val="TableParagraph"/>
              <w:rPr>
                <w:sz w:val="20"/>
              </w:rPr>
            </w:pPr>
          </w:p>
          <w:p w14:paraId="5B46CD01" w14:textId="77777777" w:rsidR="0046798B" w:rsidRDefault="00903B5C">
            <w:pPr>
              <w:pStyle w:val="TableParagraph"/>
              <w:ind w:left="114" w:right="156"/>
              <w:rPr>
                <w:sz w:val="20"/>
              </w:rPr>
            </w:pPr>
            <w:r>
              <w:rPr>
                <w:sz w:val="20"/>
              </w:rPr>
              <w:t xml:space="preserve">Frederick J. Boehmke; Mark Brockway; Bruce Desmarais; Jeffrey J. Harden; Scott LaCombe; Fridolin Linder; Hanna Wallach, 2018, “State Policy Innovation and Diffusion (SPID) Database v1.0”, </w:t>
            </w:r>
            <w:hyperlink r:id="rId860">
              <w:r>
                <w:rPr>
                  <w:color w:val="0462C1"/>
                  <w:sz w:val="20"/>
                  <w:u w:val="single" w:color="0462C1"/>
                </w:rPr>
                <w:t>https://doi.org/10.7910/DVN/CVYSR7</w:t>
              </w:r>
            </w:hyperlink>
          </w:p>
        </w:tc>
      </w:tr>
      <w:tr w:rsidR="0046798B" w14:paraId="331DEA6B" w14:textId="77777777">
        <w:trPr>
          <w:trHeight w:val="1235"/>
        </w:trPr>
        <w:tc>
          <w:tcPr>
            <w:tcW w:w="1711" w:type="dxa"/>
          </w:tcPr>
          <w:p w14:paraId="444F7CED" w14:textId="77777777" w:rsidR="0046798B" w:rsidRDefault="0046798B">
            <w:pPr>
              <w:pStyle w:val="TableParagraph"/>
            </w:pPr>
          </w:p>
          <w:p w14:paraId="38787434" w14:textId="77777777" w:rsidR="0046798B" w:rsidRDefault="0046798B">
            <w:pPr>
              <w:pStyle w:val="TableParagraph"/>
              <w:spacing w:before="3"/>
              <w:rPr>
                <w:sz w:val="21"/>
              </w:rPr>
            </w:pPr>
          </w:p>
          <w:p w14:paraId="000EBC25" w14:textId="77777777" w:rsidR="0046798B" w:rsidRDefault="00903B5C">
            <w:pPr>
              <w:pStyle w:val="TableParagraph"/>
              <w:spacing w:before="1"/>
              <w:ind w:left="115"/>
              <w:rPr>
                <w:b/>
                <w:sz w:val="20"/>
              </w:rPr>
            </w:pPr>
            <w:r>
              <w:rPr>
                <w:b/>
                <w:sz w:val="20"/>
              </w:rPr>
              <w:t>infconsent</w:t>
            </w:r>
          </w:p>
        </w:tc>
        <w:tc>
          <w:tcPr>
            <w:tcW w:w="1596" w:type="dxa"/>
          </w:tcPr>
          <w:p w14:paraId="50549555" w14:textId="77777777" w:rsidR="0046798B" w:rsidRDefault="00903B5C">
            <w:pPr>
              <w:pStyle w:val="TableParagraph"/>
              <w:spacing w:before="38"/>
              <w:ind w:left="114" w:right="369"/>
              <w:rPr>
                <w:sz w:val="20"/>
              </w:rPr>
            </w:pPr>
            <w:r>
              <w:rPr>
                <w:sz w:val="20"/>
              </w:rPr>
              <w:t>Requires informed consent procedure for abortions</w:t>
            </w:r>
          </w:p>
        </w:tc>
        <w:tc>
          <w:tcPr>
            <w:tcW w:w="1285" w:type="dxa"/>
          </w:tcPr>
          <w:p w14:paraId="57F1B911" w14:textId="77777777" w:rsidR="0046798B" w:rsidRDefault="0046798B">
            <w:pPr>
              <w:pStyle w:val="TableParagraph"/>
            </w:pPr>
          </w:p>
          <w:p w14:paraId="6F55AAD2" w14:textId="77777777" w:rsidR="0046798B" w:rsidRDefault="0046798B">
            <w:pPr>
              <w:pStyle w:val="TableParagraph"/>
              <w:spacing w:before="3"/>
              <w:rPr>
                <w:sz w:val="21"/>
              </w:rPr>
            </w:pPr>
          </w:p>
          <w:p w14:paraId="44873ED6" w14:textId="77777777" w:rsidR="0046798B" w:rsidRDefault="00903B5C">
            <w:pPr>
              <w:pStyle w:val="TableParagraph"/>
              <w:spacing w:before="1"/>
              <w:ind w:left="114"/>
              <w:rPr>
                <w:sz w:val="20"/>
              </w:rPr>
            </w:pPr>
            <w:r>
              <w:rPr>
                <w:sz w:val="20"/>
              </w:rPr>
              <w:t>1973–2013</w:t>
            </w:r>
          </w:p>
        </w:tc>
        <w:tc>
          <w:tcPr>
            <w:tcW w:w="3421" w:type="dxa"/>
          </w:tcPr>
          <w:p w14:paraId="13827E06" w14:textId="77777777" w:rsidR="0046798B" w:rsidRDefault="0046798B">
            <w:pPr>
              <w:pStyle w:val="TableParagraph"/>
            </w:pPr>
          </w:p>
          <w:p w14:paraId="10295D56" w14:textId="77777777" w:rsidR="0046798B" w:rsidRDefault="00903B5C">
            <w:pPr>
              <w:pStyle w:val="TableParagraph"/>
              <w:spacing w:before="130"/>
              <w:ind w:left="114" w:right="1475"/>
              <w:rPr>
                <w:sz w:val="20"/>
              </w:rPr>
            </w:pPr>
            <w:r>
              <w:rPr>
                <w:sz w:val="20"/>
              </w:rPr>
              <w:t>0 = policy not adopted 1 = policy adopted</w:t>
            </w:r>
          </w:p>
        </w:tc>
        <w:tc>
          <w:tcPr>
            <w:tcW w:w="6482" w:type="dxa"/>
          </w:tcPr>
          <w:p w14:paraId="1DEE65B7" w14:textId="77777777" w:rsidR="0046798B" w:rsidRDefault="00903B5C">
            <w:pPr>
              <w:pStyle w:val="TableParagraph"/>
              <w:spacing w:before="38"/>
              <w:ind w:left="114" w:right="445"/>
              <w:rPr>
                <w:sz w:val="20"/>
              </w:rPr>
            </w:pPr>
            <w:r>
              <w:rPr>
                <w:color w:val="212121"/>
                <w:sz w:val="20"/>
              </w:rPr>
              <w:t xml:space="preserve">Kreitzer, Rebecca J. “Politics and morality in state abortion policy.” </w:t>
            </w:r>
            <w:r>
              <w:rPr>
                <w:i/>
                <w:color w:val="212121"/>
                <w:sz w:val="20"/>
              </w:rPr>
              <w:t xml:space="preserve">State Politics &amp; Policy Quarterly </w:t>
            </w:r>
            <w:r>
              <w:rPr>
                <w:color w:val="212121"/>
                <w:sz w:val="20"/>
              </w:rPr>
              <w:t>15.1 (2015): 41</w:t>
            </w:r>
            <w:r>
              <w:rPr>
                <w:sz w:val="20"/>
              </w:rPr>
              <w:t>–</w:t>
            </w:r>
            <w:r>
              <w:rPr>
                <w:color w:val="212121"/>
                <w:sz w:val="20"/>
              </w:rPr>
              <w:t>66.</w:t>
            </w:r>
          </w:p>
          <w:p w14:paraId="5DC0DD2B" w14:textId="77777777" w:rsidR="0046798B" w:rsidRDefault="0046798B">
            <w:pPr>
              <w:pStyle w:val="TableParagraph"/>
              <w:rPr>
                <w:sz w:val="20"/>
              </w:rPr>
            </w:pPr>
          </w:p>
          <w:p w14:paraId="4AF1A398"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w:t>
            </w:r>
          </w:p>
        </w:tc>
      </w:tr>
    </w:tbl>
    <w:p w14:paraId="1DB6C970" w14:textId="77777777" w:rsidR="0046798B" w:rsidRDefault="0046798B">
      <w:pPr>
        <w:rPr>
          <w:sz w:val="20"/>
        </w:rPr>
        <w:sectPr w:rsidR="0046798B">
          <w:pgSz w:w="15840" w:h="12240" w:orient="landscape"/>
          <w:pgMar w:top="1220" w:right="300" w:bottom="980" w:left="820" w:header="730" w:footer="787" w:gutter="0"/>
          <w:cols w:space="720"/>
        </w:sectPr>
      </w:pPr>
    </w:p>
    <w:p w14:paraId="085A9ADE"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013B3A54" w14:textId="77777777">
        <w:trPr>
          <w:trHeight w:val="542"/>
        </w:trPr>
        <w:tc>
          <w:tcPr>
            <w:tcW w:w="1711" w:type="dxa"/>
            <w:tcBorders>
              <w:bottom w:val="dotted" w:sz="6" w:space="0" w:color="BEBEBE"/>
            </w:tcBorders>
          </w:tcPr>
          <w:p w14:paraId="16F3ED93" w14:textId="77777777" w:rsidR="0046798B" w:rsidRDefault="0046798B">
            <w:pPr>
              <w:pStyle w:val="TableParagraph"/>
              <w:rPr>
                <w:sz w:val="20"/>
              </w:rPr>
            </w:pPr>
          </w:p>
        </w:tc>
        <w:tc>
          <w:tcPr>
            <w:tcW w:w="1596" w:type="dxa"/>
            <w:tcBorders>
              <w:bottom w:val="dotted" w:sz="6" w:space="0" w:color="BEBEBE"/>
            </w:tcBorders>
          </w:tcPr>
          <w:p w14:paraId="26EDD95A" w14:textId="77777777" w:rsidR="0046798B" w:rsidRDefault="0046798B">
            <w:pPr>
              <w:pStyle w:val="TableParagraph"/>
              <w:rPr>
                <w:sz w:val="20"/>
              </w:rPr>
            </w:pPr>
          </w:p>
        </w:tc>
        <w:tc>
          <w:tcPr>
            <w:tcW w:w="1285" w:type="dxa"/>
            <w:tcBorders>
              <w:bottom w:val="dotted" w:sz="6" w:space="0" w:color="BEBEBE"/>
            </w:tcBorders>
          </w:tcPr>
          <w:p w14:paraId="0DB806F9" w14:textId="77777777" w:rsidR="0046798B" w:rsidRDefault="0046798B">
            <w:pPr>
              <w:pStyle w:val="TableParagraph"/>
              <w:rPr>
                <w:sz w:val="20"/>
              </w:rPr>
            </w:pPr>
          </w:p>
        </w:tc>
        <w:tc>
          <w:tcPr>
            <w:tcW w:w="3421" w:type="dxa"/>
            <w:tcBorders>
              <w:bottom w:val="dotted" w:sz="6" w:space="0" w:color="BEBEBE"/>
            </w:tcBorders>
          </w:tcPr>
          <w:p w14:paraId="67F0378D" w14:textId="77777777" w:rsidR="0046798B" w:rsidRDefault="0046798B">
            <w:pPr>
              <w:pStyle w:val="TableParagraph"/>
              <w:rPr>
                <w:sz w:val="20"/>
              </w:rPr>
            </w:pPr>
          </w:p>
        </w:tc>
        <w:tc>
          <w:tcPr>
            <w:tcW w:w="6482" w:type="dxa"/>
            <w:tcBorders>
              <w:bottom w:val="dotted" w:sz="6" w:space="0" w:color="BEBEBE"/>
            </w:tcBorders>
          </w:tcPr>
          <w:p w14:paraId="059005CD" w14:textId="77777777" w:rsidR="0046798B" w:rsidRDefault="00903B5C">
            <w:pPr>
              <w:pStyle w:val="TableParagraph"/>
              <w:spacing w:before="43"/>
              <w:ind w:left="114" w:right="2377"/>
              <w:rPr>
                <w:sz w:val="20"/>
              </w:rPr>
            </w:pPr>
            <w:r>
              <w:rPr>
                <w:sz w:val="20"/>
              </w:rPr>
              <w:t xml:space="preserve">Innovation and Diffusion (SPID) Database v1.0”, </w:t>
            </w:r>
            <w:hyperlink r:id="rId861">
              <w:r>
                <w:rPr>
                  <w:color w:val="0462C1"/>
                  <w:sz w:val="20"/>
                  <w:u w:val="single" w:color="0462C1"/>
                </w:rPr>
                <w:t>https://doi.org/10.7910/DVN/CVYSR7</w:t>
              </w:r>
            </w:hyperlink>
          </w:p>
        </w:tc>
      </w:tr>
      <w:tr w:rsidR="0046798B" w14:paraId="4DCFAF61" w14:textId="77777777">
        <w:trPr>
          <w:trHeight w:val="1693"/>
        </w:trPr>
        <w:tc>
          <w:tcPr>
            <w:tcW w:w="1711" w:type="dxa"/>
            <w:tcBorders>
              <w:top w:val="dotted" w:sz="6" w:space="0" w:color="BEBEBE"/>
            </w:tcBorders>
          </w:tcPr>
          <w:p w14:paraId="58396C79" w14:textId="77777777" w:rsidR="0046798B" w:rsidRDefault="0046798B">
            <w:pPr>
              <w:pStyle w:val="TableParagraph"/>
            </w:pPr>
          </w:p>
          <w:p w14:paraId="2E03547F" w14:textId="77777777" w:rsidR="0046798B" w:rsidRDefault="0046798B">
            <w:pPr>
              <w:pStyle w:val="TableParagraph"/>
            </w:pPr>
          </w:p>
          <w:p w14:paraId="50CD58B6" w14:textId="77777777" w:rsidR="0046798B" w:rsidRDefault="0046798B">
            <w:pPr>
              <w:pStyle w:val="TableParagraph"/>
              <w:spacing w:before="6"/>
              <w:rPr>
                <w:sz w:val="19"/>
              </w:rPr>
            </w:pPr>
          </w:p>
          <w:p w14:paraId="70D13061" w14:textId="77777777" w:rsidR="0046798B" w:rsidRDefault="00903B5C">
            <w:pPr>
              <w:pStyle w:val="TableParagraph"/>
              <w:ind w:left="115"/>
              <w:rPr>
                <w:b/>
                <w:sz w:val="20"/>
              </w:rPr>
            </w:pPr>
            <w:r>
              <w:rPr>
                <w:b/>
                <w:sz w:val="20"/>
              </w:rPr>
              <w:t>ins_stateexch</w:t>
            </w:r>
          </w:p>
        </w:tc>
        <w:tc>
          <w:tcPr>
            <w:tcW w:w="1596" w:type="dxa"/>
            <w:tcBorders>
              <w:top w:val="dotted" w:sz="6" w:space="0" w:color="BEBEBE"/>
            </w:tcBorders>
          </w:tcPr>
          <w:p w14:paraId="2439F984" w14:textId="77777777" w:rsidR="0046798B" w:rsidRDefault="0046798B">
            <w:pPr>
              <w:pStyle w:val="TableParagraph"/>
            </w:pPr>
          </w:p>
          <w:p w14:paraId="5F261597" w14:textId="77777777" w:rsidR="0046798B" w:rsidRDefault="0046798B">
            <w:pPr>
              <w:pStyle w:val="TableParagraph"/>
              <w:spacing w:before="6"/>
              <w:rPr>
                <w:sz w:val="21"/>
              </w:rPr>
            </w:pPr>
          </w:p>
          <w:p w14:paraId="53173D7C" w14:textId="77777777" w:rsidR="0046798B" w:rsidRDefault="00903B5C">
            <w:pPr>
              <w:pStyle w:val="TableParagraph"/>
              <w:ind w:left="114" w:right="108"/>
              <w:rPr>
                <w:sz w:val="20"/>
              </w:rPr>
            </w:pPr>
            <w:r>
              <w:rPr>
                <w:sz w:val="20"/>
              </w:rPr>
              <w:t>Bans abortion coverage in state exchanges</w:t>
            </w:r>
          </w:p>
        </w:tc>
        <w:tc>
          <w:tcPr>
            <w:tcW w:w="1285" w:type="dxa"/>
            <w:tcBorders>
              <w:top w:val="dotted" w:sz="6" w:space="0" w:color="BEBEBE"/>
            </w:tcBorders>
          </w:tcPr>
          <w:p w14:paraId="3D9EB303" w14:textId="77777777" w:rsidR="0046798B" w:rsidRDefault="0046798B">
            <w:pPr>
              <w:pStyle w:val="TableParagraph"/>
            </w:pPr>
          </w:p>
          <w:p w14:paraId="0C464253" w14:textId="77777777" w:rsidR="0046798B" w:rsidRDefault="0046798B">
            <w:pPr>
              <w:pStyle w:val="TableParagraph"/>
            </w:pPr>
          </w:p>
          <w:p w14:paraId="7E6B2185" w14:textId="77777777" w:rsidR="0046798B" w:rsidRDefault="0046798B">
            <w:pPr>
              <w:pStyle w:val="TableParagraph"/>
              <w:spacing w:before="6"/>
              <w:rPr>
                <w:sz w:val="19"/>
              </w:rPr>
            </w:pPr>
          </w:p>
          <w:p w14:paraId="6EF1F46F" w14:textId="77777777" w:rsidR="0046798B" w:rsidRDefault="00903B5C">
            <w:pPr>
              <w:pStyle w:val="TableParagraph"/>
              <w:ind w:left="114"/>
              <w:rPr>
                <w:sz w:val="20"/>
              </w:rPr>
            </w:pPr>
            <w:r>
              <w:rPr>
                <w:sz w:val="20"/>
              </w:rPr>
              <w:t>2011–2013</w:t>
            </w:r>
          </w:p>
        </w:tc>
        <w:tc>
          <w:tcPr>
            <w:tcW w:w="3421" w:type="dxa"/>
            <w:tcBorders>
              <w:top w:val="dotted" w:sz="6" w:space="0" w:color="BEBEBE"/>
            </w:tcBorders>
          </w:tcPr>
          <w:p w14:paraId="533B2FBF" w14:textId="77777777" w:rsidR="0046798B" w:rsidRDefault="0046798B">
            <w:pPr>
              <w:pStyle w:val="TableParagraph"/>
            </w:pPr>
          </w:p>
          <w:p w14:paraId="20A3A21B" w14:textId="77777777" w:rsidR="0046798B" w:rsidRDefault="0046798B">
            <w:pPr>
              <w:pStyle w:val="TableParagraph"/>
              <w:spacing w:before="6"/>
              <w:rPr>
                <w:sz w:val="31"/>
              </w:rPr>
            </w:pPr>
          </w:p>
          <w:p w14:paraId="408EB8FB" w14:textId="77777777" w:rsidR="0046798B" w:rsidRDefault="00903B5C">
            <w:pPr>
              <w:pStyle w:val="TableParagraph"/>
              <w:ind w:left="114" w:right="1475"/>
              <w:rPr>
                <w:sz w:val="20"/>
              </w:rPr>
            </w:pPr>
            <w:r>
              <w:rPr>
                <w:sz w:val="20"/>
              </w:rPr>
              <w:t>0 = policy not adopted 1 = policy adopted</w:t>
            </w:r>
          </w:p>
        </w:tc>
        <w:tc>
          <w:tcPr>
            <w:tcW w:w="6482" w:type="dxa"/>
            <w:tcBorders>
              <w:top w:val="dotted" w:sz="6" w:space="0" w:color="BEBEBE"/>
            </w:tcBorders>
          </w:tcPr>
          <w:p w14:paraId="3E5B407D" w14:textId="77777777" w:rsidR="0046798B" w:rsidRDefault="00903B5C">
            <w:pPr>
              <w:pStyle w:val="TableParagraph"/>
              <w:spacing w:before="40"/>
              <w:ind w:left="114" w:right="445"/>
              <w:rPr>
                <w:sz w:val="20"/>
              </w:rPr>
            </w:pPr>
            <w:r>
              <w:rPr>
                <w:color w:val="212121"/>
                <w:sz w:val="20"/>
              </w:rPr>
              <w:t xml:space="preserve">Kreitzer, Rebecca J. “Politics and morality in state abortion policy.” </w:t>
            </w:r>
            <w:r>
              <w:rPr>
                <w:i/>
                <w:color w:val="212121"/>
                <w:sz w:val="20"/>
              </w:rPr>
              <w:t xml:space="preserve">State Politics &amp; Policy Quarterly </w:t>
            </w:r>
            <w:r>
              <w:rPr>
                <w:color w:val="212121"/>
                <w:sz w:val="20"/>
              </w:rPr>
              <w:t>15.1 (2015): 41</w:t>
            </w:r>
            <w:r>
              <w:rPr>
                <w:sz w:val="20"/>
              </w:rPr>
              <w:t>–</w:t>
            </w:r>
            <w:r>
              <w:rPr>
                <w:color w:val="212121"/>
                <w:sz w:val="20"/>
              </w:rPr>
              <w:t>66.</w:t>
            </w:r>
          </w:p>
          <w:p w14:paraId="4DC5C3F1" w14:textId="77777777" w:rsidR="0046798B" w:rsidRDefault="0046798B">
            <w:pPr>
              <w:pStyle w:val="TableParagraph"/>
              <w:rPr>
                <w:sz w:val="20"/>
              </w:rPr>
            </w:pPr>
          </w:p>
          <w:p w14:paraId="36FAC7CC" w14:textId="77777777" w:rsidR="0046798B" w:rsidRDefault="00903B5C">
            <w:pPr>
              <w:pStyle w:val="TableParagraph"/>
              <w:spacing w:before="1"/>
              <w:ind w:left="114" w:right="156"/>
              <w:rPr>
                <w:sz w:val="20"/>
              </w:rPr>
            </w:pPr>
            <w:r>
              <w:rPr>
                <w:sz w:val="20"/>
              </w:rPr>
              <w:t xml:space="preserve">Frederick J. Boehmke; Mark Brockway; Bruce Desmarais; Jeffrey J. Harden; Scott LaCombe; Fridolin Linder; Hanna Wallach, 2018, “State Policy Innovation and Diffusion (SPID) Database v1.0”, </w:t>
            </w:r>
            <w:hyperlink r:id="rId862">
              <w:r>
                <w:rPr>
                  <w:color w:val="0462C1"/>
                  <w:sz w:val="20"/>
                  <w:u w:val="single" w:color="0462C1"/>
                </w:rPr>
                <w:t>https://doi.org/10.7910/DVN/CVYSR7</w:t>
              </w:r>
            </w:hyperlink>
          </w:p>
        </w:tc>
      </w:tr>
      <w:tr w:rsidR="0046798B" w14:paraId="39770D5A" w14:textId="77777777">
        <w:trPr>
          <w:trHeight w:val="1700"/>
        </w:trPr>
        <w:tc>
          <w:tcPr>
            <w:tcW w:w="1711" w:type="dxa"/>
          </w:tcPr>
          <w:p w14:paraId="33880703" w14:textId="77777777" w:rsidR="0046798B" w:rsidRDefault="0046798B">
            <w:pPr>
              <w:pStyle w:val="TableParagraph"/>
            </w:pPr>
          </w:p>
          <w:p w14:paraId="0481D1B7" w14:textId="77777777" w:rsidR="0046798B" w:rsidRDefault="0046798B">
            <w:pPr>
              <w:pStyle w:val="TableParagraph"/>
            </w:pPr>
          </w:p>
          <w:p w14:paraId="035701DF" w14:textId="77777777" w:rsidR="0046798B" w:rsidRDefault="0046798B">
            <w:pPr>
              <w:pStyle w:val="TableParagraph"/>
              <w:spacing w:before="9"/>
              <w:rPr>
                <w:sz w:val="19"/>
              </w:rPr>
            </w:pPr>
          </w:p>
          <w:p w14:paraId="3BEF77D1" w14:textId="77777777" w:rsidR="0046798B" w:rsidRDefault="00903B5C">
            <w:pPr>
              <w:pStyle w:val="TableParagraph"/>
              <w:ind w:left="115"/>
              <w:rPr>
                <w:b/>
                <w:sz w:val="20"/>
              </w:rPr>
            </w:pPr>
            <w:r>
              <w:rPr>
                <w:b/>
                <w:sz w:val="20"/>
              </w:rPr>
              <w:t>insprivate</w:t>
            </w:r>
          </w:p>
        </w:tc>
        <w:tc>
          <w:tcPr>
            <w:tcW w:w="1596" w:type="dxa"/>
          </w:tcPr>
          <w:p w14:paraId="6CD4626B" w14:textId="77777777" w:rsidR="0046798B" w:rsidRDefault="00903B5C">
            <w:pPr>
              <w:pStyle w:val="TableParagraph"/>
              <w:spacing w:before="158"/>
              <w:ind w:left="114" w:right="402"/>
              <w:rPr>
                <w:sz w:val="20"/>
              </w:rPr>
            </w:pPr>
            <w:r>
              <w:rPr>
                <w:sz w:val="20"/>
              </w:rPr>
              <w:t>Ban on insurance coverage by private insurance for abortions</w:t>
            </w:r>
          </w:p>
        </w:tc>
        <w:tc>
          <w:tcPr>
            <w:tcW w:w="1285" w:type="dxa"/>
          </w:tcPr>
          <w:p w14:paraId="2AD08661" w14:textId="77777777" w:rsidR="0046798B" w:rsidRDefault="0046798B">
            <w:pPr>
              <w:pStyle w:val="TableParagraph"/>
            </w:pPr>
          </w:p>
          <w:p w14:paraId="1CBFF31C" w14:textId="77777777" w:rsidR="0046798B" w:rsidRDefault="0046798B">
            <w:pPr>
              <w:pStyle w:val="TableParagraph"/>
            </w:pPr>
          </w:p>
          <w:p w14:paraId="0ADE31AC" w14:textId="77777777" w:rsidR="0046798B" w:rsidRDefault="0046798B">
            <w:pPr>
              <w:pStyle w:val="TableParagraph"/>
              <w:spacing w:before="9"/>
              <w:rPr>
                <w:sz w:val="19"/>
              </w:rPr>
            </w:pPr>
          </w:p>
          <w:p w14:paraId="09244551" w14:textId="77777777" w:rsidR="0046798B" w:rsidRDefault="00903B5C">
            <w:pPr>
              <w:pStyle w:val="TableParagraph"/>
              <w:ind w:left="114"/>
              <w:rPr>
                <w:sz w:val="20"/>
              </w:rPr>
            </w:pPr>
            <w:r>
              <w:rPr>
                <w:sz w:val="20"/>
              </w:rPr>
              <w:t>1978–2013</w:t>
            </w:r>
          </w:p>
        </w:tc>
        <w:tc>
          <w:tcPr>
            <w:tcW w:w="3421" w:type="dxa"/>
          </w:tcPr>
          <w:p w14:paraId="4F83DFE2" w14:textId="77777777" w:rsidR="0046798B" w:rsidRDefault="0046798B">
            <w:pPr>
              <w:pStyle w:val="TableParagraph"/>
            </w:pPr>
          </w:p>
          <w:p w14:paraId="1130C86E" w14:textId="77777777" w:rsidR="0046798B" w:rsidRDefault="0046798B">
            <w:pPr>
              <w:pStyle w:val="TableParagraph"/>
              <w:spacing w:before="9"/>
              <w:rPr>
                <w:sz w:val="31"/>
              </w:rPr>
            </w:pPr>
          </w:p>
          <w:p w14:paraId="1785E9F2" w14:textId="77777777" w:rsidR="0046798B" w:rsidRDefault="00903B5C">
            <w:pPr>
              <w:pStyle w:val="TableParagraph"/>
              <w:ind w:left="114" w:right="1475"/>
              <w:rPr>
                <w:sz w:val="20"/>
              </w:rPr>
            </w:pPr>
            <w:r>
              <w:rPr>
                <w:sz w:val="20"/>
              </w:rPr>
              <w:t>0 = policy not adopted 1 = policy adopted</w:t>
            </w:r>
          </w:p>
        </w:tc>
        <w:tc>
          <w:tcPr>
            <w:tcW w:w="6482" w:type="dxa"/>
          </w:tcPr>
          <w:p w14:paraId="076CB56B" w14:textId="77777777" w:rsidR="0046798B" w:rsidRDefault="00903B5C">
            <w:pPr>
              <w:pStyle w:val="TableParagraph"/>
              <w:spacing w:before="43"/>
              <w:ind w:left="114" w:right="445"/>
              <w:rPr>
                <w:sz w:val="20"/>
              </w:rPr>
            </w:pPr>
            <w:r>
              <w:rPr>
                <w:color w:val="212121"/>
                <w:sz w:val="20"/>
              </w:rPr>
              <w:t xml:space="preserve">Kreitzer, Rebecca J. “Politics and morality in state abortion policy.” </w:t>
            </w:r>
            <w:r>
              <w:rPr>
                <w:i/>
                <w:color w:val="212121"/>
                <w:sz w:val="20"/>
              </w:rPr>
              <w:t xml:space="preserve">State Politics &amp; Policy Quarterly </w:t>
            </w:r>
            <w:r>
              <w:rPr>
                <w:color w:val="212121"/>
                <w:sz w:val="20"/>
              </w:rPr>
              <w:t>15.1 (2015): 41</w:t>
            </w:r>
            <w:r>
              <w:rPr>
                <w:sz w:val="20"/>
              </w:rPr>
              <w:t>–</w:t>
            </w:r>
            <w:r>
              <w:rPr>
                <w:color w:val="212121"/>
                <w:sz w:val="20"/>
              </w:rPr>
              <w:t>66.</w:t>
            </w:r>
          </w:p>
          <w:p w14:paraId="70788ECD" w14:textId="77777777" w:rsidR="0046798B" w:rsidRDefault="0046798B">
            <w:pPr>
              <w:pStyle w:val="TableParagraph"/>
              <w:rPr>
                <w:sz w:val="20"/>
              </w:rPr>
            </w:pPr>
          </w:p>
          <w:p w14:paraId="5C0B52DF" w14:textId="77777777" w:rsidR="0046798B" w:rsidRDefault="00903B5C">
            <w:pPr>
              <w:pStyle w:val="TableParagraph"/>
              <w:ind w:left="114" w:right="156"/>
              <w:rPr>
                <w:sz w:val="20"/>
              </w:rPr>
            </w:pPr>
            <w:r>
              <w:rPr>
                <w:sz w:val="20"/>
              </w:rPr>
              <w:t xml:space="preserve">Frederick J. Boehmke; Mark Brockway; Bruce Desmarais; Jeffrey J. Harden; Scott LaCombe; Fridolin Linder; Hanna Wallach, 2018, “State Policy Innovation and Diffusion (SPID) Database v1.0”, </w:t>
            </w:r>
            <w:hyperlink r:id="rId863">
              <w:r>
                <w:rPr>
                  <w:color w:val="0462C1"/>
                  <w:sz w:val="20"/>
                  <w:u w:val="single" w:color="0462C1"/>
                </w:rPr>
                <w:t>https://doi.org/10.7910/DVN/CVYSR7</w:t>
              </w:r>
            </w:hyperlink>
          </w:p>
        </w:tc>
      </w:tr>
      <w:tr w:rsidR="0046798B" w14:paraId="386C04BA" w14:textId="77777777">
        <w:trPr>
          <w:trHeight w:val="1693"/>
        </w:trPr>
        <w:tc>
          <w:tcPr>
            <w:tcW w:w="1711" w:type="dxa"/>
            <w:tcBorders>
              <w:bottom w:val="dotted" w:sz="6" w:space="0" w:color="BEBEBE"/>
            </w:tcBorders>
          </w:tcPr>
          <w:p w14:paraId="27481575" w14:textId="77777777" w:rsidR="0046798B" w:rsidRDefault="0046798B">
            <w:pPr>
              <w:pStyle w:val="TableParagraph"/>
            </w:pPr>
          </w:p>
          <w:p w14:paraId="136BE23A" w14:textId="77777777" w:rsidR="0046798B" w:rsidRDefault="0046798B">
            <w:pPr>
              <w:pStyle w:val="TableParagraph"/>
            </w:pPr>
          </w:p>
          <w:p w14:paraId="2CD291CE" w14:textId="77777777" w:rsidR="0046798B" w:rsidRDefault="0046798B">
            <w:pPr>
              <w:pStyle w:val="TableParagraph"/>
              <w:spacing w:before="4"/>
              <w:rPr>
                <w:sz w:val="19"/>
              </w:rPr>
            </w:pPr>
          </w:p>
          <w:p w14:paraId="2530514C" w14:textId="77777777" w:rsidR="0046798B" w:rsidRDefault="00903B5C">
            <w:pPr>
              <w:pStyle w:val="TableParagraph"/>
              <w:ind w:left="115"/>
              <w:rPr>
                <w:b/>
                <w:sz w:val="20"/>
              </w:rPr>
            </w:pPr>
            <w:r>
              <w:rPr>
                <w:b/>
                <w:sz w:val="20"/>
              </w:rPr>
              <w:t>inspublic</w:t>
            </w:r>
          </w:p>
        </w:tc>
        <w:tc>
          <w:tcPr>
            <w:tcW w:w="1596" w:type="dxa"/>
            <w:tcBorders>
              <w:bottom w:val="dotted" w:sz="6" w:space="0" w:color="BEBEBE"/>
            </w:tcBorders>
          </w:tcPr>
          <w:p w14:paraId="49AB92B2" w14:textId="77777777" w:rsidR="0046798B" w:rsidRDefault="0046798B">
            <w:pPr>
              <w:pStyle w:val="TableParagraph"/>
              <w:spacing w:before="4"/>
              <w:rPr>
                <w:sz w:val="23"/>
              </w:rPr>
            </w:pPr>
          </w:p>
          <w:p w14:paraId="56279872" w14:textId="77777777" w:rsidR="0046798B" w:rsidRDefault="00903B5C">
            <w:pPr>
              <w:pStyle w:val="TableParagraph"/>
              <w:ind w:left="114" w:right="135"/>
              <w:rPr>
                <w:sz w:val="20"/>
              </w:rPr>
            </w:pPr>
            <w:r>
              <w:rPr>
                <w:sz w:val="20"/>
              </w:rPr>
              <w:t>Ban on insurance coverage by public insurance for abortions</w:t>
            </w:r>
          </w:p>
        </w:tc>
        <w:tc>
          <w:tcPr>
            <w:tcW w:w="1285" w:type="dxa"/>
            <w:tcBorders>
              <w:bottom w:val="dotted" w:sz="6" w:space="0" w:color="BEBEBE"/>
            </w:tcBorders>
          </w:tcPr>
          <w:p w14:paraId="481028D4" w14:textId="77777777" w:rsidR="0046798B" w:rsidRDefault="0046798B">
            <w:pPr>
              <w:pStyle w:val="TableParagraph"/>
            </w:pPr>
          </w:p>
          <w:p w14:paraId="2EFB1792" w14:textId="77777777" w:rsidR="0046798B" w:rsidRDefault="0046798B">
            <w:pPr>
              <w:pStyle w:val="TableParagraph"/>
            </w:pPr>
          </w:p>
          <w:p w14:paraId="71C40B9C" w14:textId="77777777" w:rsidR="0046798B" w:rsidRDefault="0046798B">
            <w:pPr>
              <w:pStyle w:val="TableParagraph"/>
              <w:spacing w:before="4"/>
              <w:rPr>
                <w:sz w:val="19"/>
              </w:rPr>
            </w:pPr>
          </w:p>
          <w:p w14:paraId="08FE5C22" w14:textId="77777777" w:rsidR="0046798B" w:rsidRDefault="00903B5C">
            <w:pPr>
              <w:pStyle w:val="TableParagraph"/>
              <w:ind w:left="114"/>
              <w:rPr>
                <w:sz w:val="20"/>
              </w:rPr>
            </w:pPr>
            <w:r>
              <w:rPr>
                <w:sz w:val="20"/>
              </w:rPr>
              <w:t>1978–2011</w:t>
            </w:r>
          </w:p>
        </w:tc>
        <w:tc>
          <w:tcPr>
            <w:tcW w:w="3421" w:type="dxa"/>
            <w:tcBorders>
              <w:bottom w:val="dotted" w:sz="6" w:space="0" w:color="BEBEBE"/>
            </w:tcBorders>
          </w:tcPr>
          <w:p w14:paraId="21212C97" w14:textId="77777777" w:rsidR="0046798B" w:rsidRDefault="0046798B">
            <w:pPr>
              <w:pStyle w:val="TableParagraph"/>
            </w:pPr>
          </w:p>
          <w:p w14:paraId="10B86517" w14:textId="77777777" w:rsidR="0046798B" w:rsidRDefault="0046798B">
            <w:pPr>
              <w:pStyle w:val="TableParagraph"/>
              <w:spacing w:before="4"/>
              <w:rPr>
                <w:sz w:val="31"/>
              </w:rPr>
            </w:pPr>
          </w:p>
          <w:p w14:paraId="0D0ADABB" w14:textId="77777777" w:rsidR="0046798B" w:rsidRDefault="00903B5C">
            <w:pPr>
              <w:pStyle w:val="TableParagraph"/>
              <w:ind w:left="114" w:right="1475"/>
              <w:rPr>
                <w:sz w:val="20"/>
              </w:rPr>
            </w:pPr>
            <w:r>
              <w:rPr>
                <w:sz w:val="20"/>
              </w:rPr>
              <w:t>0 = policy not adopted 1 = policy adopted</w:t>
            </w:r>
          </w:p>
        </w:tc>
        <w:tc>
          <w:tcPr>
            <w:tcW w:w="6482" w:type="dxa"/>
            <w:tcBorders>
              <w:bottom w:val="dotted" w:sz="6" w:space="0" w:color="BEBEBE"/>
            </w:tcBorders>
          </w:tcPr>
          <w:p w14:paraId="7475F453" w14:textId="77777777" w:rsidR="0046798B" w:rsidRDefault="00903B5C">
            <w:pPr>
              <w:pStyle w:val="TableParagraph"/>
              <w:spacing w:before="38"/>
              <w:ind w:left="114" w:right="445"/>
              <w:rPr>
                <w:sz w:val="20"/>
              </w:rPr>
            </w:pPr>
            <w:r>
              <w:rPr>
                <w:color w:val="212121"/>
                <w:sz w:val="20"/>
              </w:rPr>
              <w:t xml:space="preserve">Kreitzer, Rebecca J. “Politics and morality in state abortion policy.” </w:t>
            </w:r>
            <w:r>
              <w:rPr>
                <w:i/>
                <w:color w:val="212121"/>
                <w:sz w:val="20"/>
              </w:rPr>
              <w:t xml:space="preserve">State Politics &amp; Policy Quarterly </w:t>
            </w:r>
            <w:r>
              <w:rPr>
                <w:color w:val="212121"/>
                <w:sz w:val="20"/>
              </w:rPr>
              <w:t>15.1 (2015): 41</w:t>
            </w:r>
            <w:r>
              <w:rPr>
                <w:sz w:val="20"/>
              </w:rPr>
              <w:t>–</w:t>
            </w:r>
            <w:r>
              <w:rPr>
                <w:color w:val="212121"/>
                <w:sz w:val="20"/>
              </w:rPr>
              <w:t>66.</w:t>
            </w:r>
          </w:p>
          <w:p w14:paraId="6C2AFD6D" w14:textId="77777777" w:rsidR="0046798B" w:rsidRDefault="0046798B">
            <w:pPr>
              <w:pStyle w:val="TableParagraph"/>
              <w:rPr>
                <w:sz w:val="20"/>
              </w:rPr>
            </w:pPr>
          </w:p>
          <w:p w14:paraId="48492061" w14:textId="77777777" w:rsidR="0046798B" w:rsidRDefault="00903B5C">
            <w:pPr>
              <w:pStyle w:val="TableParagraph"/>
              <w:ind w:left="114" w:right="156"/>
              <w:rPr>
                <w:sz w:val="20"/>
              </w:rPr>
            </w:pPr>
            <w:r>
              <w:rPr>
                <w:sz w:val="20"/>
              </w:rPr>
              <w:t xml:space="preserve">Frederick J. Boehmke; Mark Brockway; Bruce Desmarais; Jeffrey J. Harden; Scott LaCombe; Fridolin Linder; Hanna Wallach, 2018, “State Policy Innovation and Diffusion (SPID) Database v1.0”, </w:t>
            </w:r>
            <w:hyperlink r:id="rId864">
              <w:r>
                <w:rPr>
                  <w:color w:val="0462C1"/>
                  <w:sz w:val="20"/>
                  <w:u w:val="single" w:color="0462C1"/>
                </w:rPr>
                <w:t>https://doi.org/10.7910/DVN/CVYSR7</w:t>
              </w:r>
            </w:hyperlink>
          </w:p>
        </w:tc>
      </w:tr>
      <w:tr w:rsidR="0046798B" w14:paraId="64EE9029" w14:textId="77777777">
        <w:trPr>
          <w:trHeight w:val="1693"/>
        </w:trPr>
        <w:tc>
          <w:tcPr>
            <w:tcW w:w="1711" w:type="dxa"/>
            <w:tcBorders>
              <w:top w:val="dotted" w:sz="6" w:space="0" w:color="BEBEBE"/>
            </w:tcBorders>
          </w:tcPr>
          <w:p w14:paraId="22FE2518" w14:textId="77777777" w:rsidR="0046798B" w:rsidRDefault="0046798B">
            <w:pPr>
              <w:pStyle w:val="TableParagraph"/>
            </w:pPr>
          </w:p>
          <w:p w14:paraId="0AE1D52D" w14:textId="77777777" w:rsidR="0046798B" w:rsidRDefault="0046798B">
            <w:pPr>
              <w:pStyle w:val="TableParagraph"/>
            </w:pPr>
          </w:p>
          <w:p w14:paraId="14BBCF74" w14:textId="77777777" w:rsidR="0046798B" w:rsidRDefault="0046798B">
            <w:pPr>
              <w:pStyle w:val="TableParagraph"/>
              <w:spacing w:before="1"/>
              <w:rPr>
                <w:sz w:val="19"/>
              </w:rPr>
            </w:pPr>
          </w:p>
          <w:p w14:paraId="04126026" w14:textId="77777777" w:rsidR="0046798B" w:rsidRDefault="00903B5C">
            <w:pPr>
              <w:pStyle w:val="TableParagraph"/>
              <w:ind w:left="115"/>
              <w:rPr>
                <w:b/>
                <w:sz w:val="20"/>
              </w:rPr>
            </w:pPr>
            <w:r>
              <w:rPr>
                <w:b/>
                <w:sz w:val="20"/>
              </w:rPr>
              <w:t>inswaiver</w:t>
            </w:r>
          </w:p>
        </w:tc>
        <w:tc>
          <w:tcPr>
            <w:tcW w:w="1596" w:type="dxa"/>
            <w:tcBorders>
              <w:top w:val="dotted" w:sz="6" w:space="0" w:color="BEBEBE"/>
            </w:tcBorders>
          </w:tcPr>
          <w:p w14:paraId="4FFF3E76" w14:textId="77777777" w:rsidR="0046798B" w:rsidRDefault="0046798B">
            <w:pPr>
              <w:pStyle w:val="TableParagraph"/>
            </w:pPr>
          </w:p>
          <w:p w14:paraId="0E0C189A" w14:textId="77777777" w:rsidR="0046798B" w:rsidRDefault="00903B5C">
            <w:pPr>
              <w:pStyle w:val="TableParagraph"/>
              <w:spacing w:before="128"/>
              <w:ind w:left="114" w:right="546"/>
              <w:rPr>
                <w:sz w:val="20"/>
              </w:rPr>
            </w:pPr>
            <w:r>
              <w:rPr>
                <w:sz w:val="20"/>
              </w:rPr>
              <w:t>Requires waivers for abortion coverage</w:t>
            </w:r>
          </w:p>
        </w:tc>
        <w:tc>
          <w:tcPr>
            <w:tcW w:w="1285" w:type="dxa"/>
            <w:tcBorders>
              <w:top w:val="dotted" w:sz="6" w:space="0" w:color="BEBEBE"/>
            </w:tcBorders>
          </w:tcPr>
          <w:p w14:paraId="0118765C" w14:textId="77777777" w:rsidR="0046798B" w:rsidRDefault="0046798B">
            <w:pPr>
              <w:pStyle w:val="TableParagraph"/>
            </w:pPr>
          </w:p>
          <w:p w14:paraId="2281538F" w14:textId="77777777" w:rsidR="0046798B" w:rsidRDefault="0046798B">
            <w:pPr>
              <w:pStyle w:val="TableParagraph"/>
            </w:pPr>
          </w:p>
          <w:p w14:paraId="566F47E7" w14:textId="77777777" w:rsidR="0046798B" w:rsidRDefault="0046798B">
            <w:pPr>
              <w:pStyle w:val="TableParagraph"/>
              <w:spacing w:before="1"/>
              <w:rPr>
                <w:sz w:val="19"/>
              </w:rPr>
            </w:pPr>
          </w:p>
          <w:p w14:paraId="06263BAE" w14:textId="77777777" w:rsidR="0046798B" w:rsidRDefault="00903B5C">
            <w:pPr>
              <w:pStyle w:val="TableParagraph"/>
              <w:ind w:left="114"/>
              <w:rPr>
                <w:sz w:val="20"/>
              </w:rPr>
            </w:pPr>
            <w:r>
              <w:rPr>
                <w:sz w:val="20"/>
              </w:rPr>
              <w:t>1978–2013</w:t>
            </w:r>
          </w:p>
        </w:tc>
        <w:tc>
          <w:tcPr>
            <w:tcW w:w="3421" w:type="dxa"/>
            <w:tcBorders>
              <w:top w:val="dotted" w:sz="6" w:space="0" w:color="BEBEBE"/>
            </w:tcBorders>
          </w:tcPr>
          <w:p w14:paraId="03CC3A69" w14:textId="77777777" w:rsidR="0046798B" w:rsidRDefault="0046798B">
            <w:pPr>
              <w:pStyle w:val="TableParagraph"/>
            </w:pPr>
          </w:p>
          <w:p w14:paraId="4CE98A76" w14:textId="77777777" w:rsidR="0046798B" w:rsidRDefault="0046798B">
            <w:pPr>
              <w:pStyle w:val="TableParagraph"/>
              <w:spacing w:before="1"/>
              <w:rPr>
                <w:sz w:val="31"/>
              </w:rPr>
            </w:pPr>
          </w:p>
          <w:p w14:paraId="3671B32D" w14:textId="77777777" w:rsidR="0046798B" w:rsidRDefault="00903B5C">
            <w:pPr>
              <w:pStyle w:val="TableParagraph"/>
              <w:ind w:left="114" w:right="1475"/>
              <w:rPr>
                <w:sz w:val="20"/>
              </w:rPr>
            </w:pPr>
            <w:r>
              <w:rPr>
                <w:sz w:val="20"/>
              </w:rPr>
              <w:t>0 = policy not adopted 1 = policy adopted</w:t>
            </w:r>
          </w:p>
        </w:tc>
        <w:tc>
          <w:tcPr>
            <w:tcW w:w="6482" w:type="dxa"/>
            <w:tcBorders>
              <w:top w:val="dotted" w:sz="6" w:space="0" w:color="BEBEBE"/>
            </w:tcBorders>
          </w:tcPr>
          <w:p w14:paraId="42F384D0" w14:textId="77777777" w:rsidR="0046798B" w:rsidRDefault="00903B5C">
            <w:pPr>
              <w:pStyle w:val="TableParagraph"/>
              <w:spacing w:before="35"/>
              <w:ind w:left="114" w:right="445"/>
              <w:rPr>
                <w:sz w:val="20"/>
              </w:rPr>
            </w:pPr>
            <w:r>
              <w:rPr>
                <w:color w:val="212121"/>
                <w:sz w:val="20"/>
              </w:rPr>
              <w:t xml:space="preserve">Kreitzer, Rebecca J. “Politics and morality in state abortion policy.” </w:t>
            </w:r>
            <w:r>
              <w:rPr>
                <w:i/>
                <w:color w:val="212121"/>
                <w:sz w:val="20"/>
              </w:rPr>
              <w:t xml:space="preserve">State Politics &amp; Policy Quarterly </w:t>
            </w:r>
            <w:r>
              <w:rPr>
                <w:color w:val="212121"/>
                <w:sz w:val="20"/>
              </w:rPr>
              <w:t>15.1 (2015): 41</w:t>
            </w:r>
            <w:r>
              <w:rPr>
                <w:sz w:val="20"/>
              </w:rPr>
              <w:t>–</w:t>
            </w:r>
            <w:r>
              <w:rPr>
                <w:color w:val="212121"/>
                <w:sz w:val="20"/>
              </w:rPr>
              <w:t>66.</w:t>
            </w:r>
          </w:p>
          <w:p w14:paraId="133AF3A3" w14:textId="77777777" w:rsidR="0046798B" w:rsidRDefault="0046798B">
            <w:pPr>
              <w:pStyle w:val="TableParagraph"/>
              <w:spacing w:before="1"/>
              <w:rPr>
                <w:sz w:val="20"/>
              </w:rPr>
            </w:pPr>
          </w:p>
          <w:p w14:paraId="57A1600C" w14:textId="77777777" w:rsidR="0046798B" w:rsidRDefault="00903B5C">
            <w:pPr>
              <w:pStyle w:val="TableParagraph"/>
              <w:ind w:left="114" w:right="156"/>
              <w:rPr>
                <w:sz w:val="20"/>
              </w:rPr>
            </w:pPr>
            <w:r>
              <w:rPr>
                <w:sz w:val="20"/>
              </w:rPr>
              <w:t xml:space="preserve">Frederick J. Boehmke; Mark Brockway; Bruce Desmarais; Jeffrey J. Harden; Scott LaCombe; Fridolin Linder; Hanna Wallach, 2018, “State Policy Innovation and Diffusion (SPID) Database v1.0”, </w:t>
            </w:r>
            <w:hyperlink r:id="rId865">
              <w:r>
                <w:rPr>
                  <w:color w:val="0462C1"/>
                  <w:sz w:val="20"/>
                  <w:u w:val="single" w:color="0462C1"/>
                </w:rPr>
                <w:t>https://doi.org/10.7910/DVN/CVYSR7</w:t>
              </w:r>
            </w:hyperlink>
          </w:p>
        </w:tc>
      </w:tr>
      <w:tr w:rsidR="0046798B" w14:paraId="5E73685B" w14:textId="77777777">
        <w:trPr>
          <w:trHeight w:val="1695"/>
        </w:trPr>
        <w:tc>
          <w:tcPr>
            <w:tcW w:w="1711" w:type="dxa"/>
          </w:tcPr>
          <w:p w14:paraId="2F1D7300" w14:textId="77777777" w:rsidR="0046798B" w:rsidRDefault="0046798B">
            <w:pPr>
              <w:pStyle w:val="TableParagraph"/>
            </w:pPr>
          </w:p>
          <w:p w14:paraId="17D19561" w14:textId="77777777" w:rsidR="0046798B" w:rsidRDefault="0046798B">
            <w:pPr>
              <w:pStyle w:val="TableParagraph"/>
            </w:pPr>
          </w:p>
          <w:p w14:paraId="5E5C5D90" w14:textId="77777777" w:rsidR="0046798B" w:rsidRDefault="0046798B">
            <w:pPr>
              <w:pStyle w:val="TableParagraph"/>
              <w:spacing w:before="4"/>
              <w:rPr>
                <w:sz w:val="19"/>
              </w:rPr>
            </w:pPr>
          </w:p>
          <w:p w14:paraId="187E476A" w14:textId="77777777" w:rsidR="0046798B" w:rsidRDefault="00903B5C">
            <w:pPr>
              <w:pStyle w:val="TableParagraph"/>
              <w:ind w:left="115"/>
              <w:rPr>
                <w:b/>
                <w:sz w:val="20"/>
              </w:rPr>
            </w:pPr>
            <w:r>
              <w:rPr>
                <w:b/>
                <w:sz w:val="20"/>
              </w:rPr>
              <w:t>medicalrest</w:t>
            </w:r>
          </w:p>
        </w:tc>
        <w:tc>
          <w:tcPr>
            <w:tcW w:w="1596" w:type="dxa"/>
          </w:tcPr>
          <w:p w14:paraId="3F8668C7" w14:textId="77777777" w:rsidR="0046798B" w:rsidRDefault="0046798B">
            <w:pPr>
              <w:pStyle w:val="TableParagraph"/>
            </w:pPr>
          </w:p>
          <w:p w14:paraId="226E67C5" w14:textId="77777777" w:rsidR="0046798B" w:rsidRDefault="0046798B">
            <w:pPr>
              <w:pStyle w:val="TableParagraph"/>
              <w:spacing w:before="4"/>
              <w:rPr>
                <w:sz w:val="21"/>
              </w:rPr>
            </w:pPr>
          </w:p>
          <w:p w14:paraId="008FC35E" w14:textId="77777777" w:rsidR="0046798B" w:rsidRDefault="00903B5C">
            <w:pPr>
              <w:pStyle w:val="TableParagraph"/>
              <w:ind w:left="114" w:right="246"/>
              <w:rPr>
                <w:sz w:val="20"/>
              </w:rPr>
            </w:pPr>
            <w:r>
              <w:rPr>
                <w:sz w:val="20"/>
              </w:rPr>
              <w:t>Restrictions on medical abortions</w:t>
            </w:r>
          </w:p>
        </w:tc>
        <w:tc>
          <w:tcPr>
            <w:tcW w:w="1285" w:type="dxa"/>
          </w:tcPr>
          <w:p w14:paraId="2646959D" w14:textId="77777777" w:rsidR="0046798B" w:rsidRDefault="0046798B">
            <w:pPr>
              <w:pStyle w:val="TableParagraph"/>
            </w:pPr>
          </w:p>
          <w:p w14:paraId="7CE65ECE" w14:textId="77777777" w:rsidR="0046798B" w:rsidRDefault="0046798B">
            <w:pPr>
              <w:pStyle w:val="TableParagraph"/>
            </w:pPr>
          </w:p>
          <w:p w14:paraId="2CD00813" w14:textId="77777777" w:rsidR="0046798B" w:rsidRDefault="0046798B">
            <w:pPr>
              <w:pStyle w:val="TableParagraph"/>
              <w:spacing w:before="4"/>
              <w:rPr>
                <w:sz w:val="19"/>
              </w:rPr>
            </w:pPr>
          </w:p>
          <w:p w14:paraId="43D28D1B" w14:textId="77777777" w:rsidR="0046798B" w:rsidRDefault="00903B5C">
            <w:pPr>
              <w:pStyle w:val="TableParagraph"/>
              <w:ind w:left="114"/>
              <w:rPr>
                <w:sz w:val="20"/>
              </w:rPr>
            </w:pPr>
            <w:r>
              <w:rPr>
                <w:sz w:val="20"/>
              </w:rPr>
              <w:t>2001–2013</w:t>
            </w:r>
          </w:p>
        </w:tc>
        <w:tc>
          <w:tcPr>
            <w:tcW w:w="3421" w:type="dxa"/>
          </w:tcPr>
          <w:p w14:paraId="7F7C143B" w14:textId="77777777" w:rsidR="0046798B" w:rsidRDefault="0046798B">
            <w:pPr>
              <w:pStyle w:val="TableParagraph"/>
            </w:pPr>
          </w:p>
          <w:p w14:paraId="562109F4" w14:textId="77777777" w:rsidR="0046798B" w:rsidRDefault="0046798B">
            <w:pPr>
              <w:pStyle w:val="TableParagraph"/>
              <w:spacing w:before="4"/>
              <w:rPr>
                <w:sz w:val="31"/>
              </w:rPr>
            </w:pPr>
          </w:p>
          <w:p w14:paraId="4C87AC7B" w14:textId="77777777" w:rsidR="0046798B" w:rsidRDefault="00903B5C">
            <w:pPr>
              <w:pStyle w:val="TableParagraph"/>
              <w:ind w:left="114" w:right="1475"/>
              <w:rPr>
                <w:sz w:val="20"/>
              </w:rPr>
            </w:pPr>
            <w:r>
              <w:rPr>
                <w:sz w:val="20"/>
              </w:rPr>
              <w:t>0 = policy not adopted 1 = policy adopted</w:t>
            </w:r>
          </w:p>
        </w:tc>
        <w:tc>
          <w:tcPr>
            <w:tcW w:w="6482" w:type="dxa"/>
          </w:tcPr>
          <w:p w14:paraId="0BF0D888" w14:textId="77777777" w:rsidR="0046798B" w:rsidRDefault="00903B5C">
            <w:pPr>
              <w:pStyle w:val="TableParagraph"/>
              <w:spacing w:before="38"/>
              <w:ind w:left="114" w:right="445"/>
              <w:rPr>
                <w:sz w:val="20"/>
              </w:rPr>
            </w:pPr>
            <w:r>
              <w:rPr>
                <w:color w:val="212121"/>
                <w:sz w:val="20"/>
              </w:rPr>
              <w:t xml:space="preserve">Kreitzer, Rebecca J. “Politics and morality in state abortion policy.” </w:t>
            </w:r>
            <w:r>
              <w:rPr>
                <w:i/>
                <w:color w:val="212121"/>
                <w:sz w:val="20"/>
              </w:rPr>
              <w:t xml:space="preserve">State Politics &amp; Policy Quarterly </w:t>
            </w:r>
            <w:r>
              <w:rPr>
                <w:color w:val="212121"/>
                <w:sz w:val="20"/>
              </w:rPr>
              <w:t>15.1 (2015): 41</w:t>
            </w:r>
            <w:r>
              <w:rPr>
                <w:sz w:val="20"/>
              </w:rPr>
              <w:t>–</w:t>
            </w:r>
            <w:r>
              <w:rPr>
                <w:color w:val="212121"/>
                <w:sz w:val="20"/>
              </w:rPr>
              <w:t>66.</w:t>
            </w:r>
          </w:p>
          <w:p w14:paraId="31AF97D3" w14:textId="77777777" w:rsidR="0046798B" w:rsidRDefault="0046798B">
            <w:pPr>
              <w:pStyle w:val="TableParagraph"/>
              <w:rPr>
                <w:sz w:val="20"/>
              </w:rPr>
            </w:pPr>
          </w:p>
          <w:p w14:paraId="386038E5" w14:textId="77777777" w:rsidR="0046798B" w:rsidRDefault="00903B5C">
            <w:pPr>
              <w:pStyle w:val="TableParagraph"/>
              <w:ind w:left="114" w:right="156"/>
              <w:rPr>
                <w:sz w:val="20"/>
              </w:rPr>
            </w:pPr>
            <w:r>
              <w:rPr>
                <w:sz w:val="20"/>
              </w:rPr>
              <w:t xml:space="preserve">Frederick J. Boehmke; Mark Brockway; Bruce Desmarais; Jeffrey J. Harden; Scott LaCombe; Fridolin Linder; Hanna Wallach, 2018, “State Policy Innovation and Diffusion (SPID) Database v1.0”, </w:t>
            </w:r>
            <w:hyperlink r:id="rId866">
              <w:r>
                <w:rPr>
                  <w:color w:val="0462C1"/>
                  <w:sz w:val="20"/>
                  <w:u w:val="single" w:color="0462C1"/>
                </w:rPr>
                <w:t>https://doi.org/10.7910/DVN/CVYSR7</w:t>
              </w:r>
            </w:hyperlink>
          </w:p>
        </w:tc>
      </w:tr>
    </w:tbl>
    <w:p w14:paraId="0C77499F" w14:textId="77777777" w:rsidR="0046798B" w:rsidRDefault="0046798B">
      <w:pPr>
        <w:rPr>
          <w:sz w:val="20"/>
        </w:rPr>
        <w:sectPr w:rsidR="0046798B">
          <w:pgSz w:w="15840" w:h="12240" w:orient="landscape"/>
          <w:pgMar w:top="1220" w:right="300" w:bottom="980" w:left="820" w:header="730" w:footer="787" w:gutter="0"/>
          <w:cols w:space="720"/>
        </w:sectPr>
      </w:pPr>
    </w:p>
    <w:p w14:paraId="57501514"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5861573" w14:textId="77777777">
        <w:trPr>
          <w:trHeight w:val="1696"/>
        </w:trPr>
        <w:tc>
          <w:tcPr>
            <w:tcW w:w="1711" w:type="dxa"/>
          </w:tcPr>
          <w:p w14:paraId="36458293" w14:textId="77777777" w:rsidR="0046798B" w:rsidRDefault="0046798B">
            <w:pPr>
              <w:pStyle w:val="TableParagraph"/>
            </w:pPr>
          </w:p>
          <w:p w14:paraId="23AF00DE" w14:textId="77777777" w:rsidR="0046798B" w:rsidRDefault="0046798B">
            <w:pPr>
              <w:pStyle w:val="TableParagraph"/>
            </w:pPr>
          </w:p>
          <w:p w14:paraId="0BC118B9" w14:textId="77777777" w:rsidR="0046798B" w:rsidRDefault="0046798B">
            <w:pPr>
              <w:pStyle w:val="TableParagraph"/>
              <w:spacing w:before="9"/>
              <w:rPr>
                <w:sz w:val="19"/>
              </w:rPr>
            </w:pPr>
          </w:p>
          <w:p w14:paraId="09DE1D0B" w14:textId="77777777" w:rsidR="0046798B" w:rsidRDefault="00903B5C">
            <w:pPr>
              <w:pStyle w:val="TableParagraph"/>
              <w:ind w:left="115"/>
              <w:rPr>
                <w:b/>
                <w:sz w:val="20"/>
              </w:rPr>
            </w:pPr>
            <w:r>
              <w:rPr>
                <w:b/>
                <w:sz w:val="20"/>
              </w:rPr>
              <w:t>license_plates</w:t>
            </w:r>
          </w:p>
        </w:tc>
        <w:tc>
          <w:tcPr>
            <w:tcW w:w="1596" w:type="dxa"/>
          </w:tcPr>
          <w:p w14:paraId="290CEC70" w14:textId="77777777" w:rsidR="0046798B" w:rsidRDefault="0046798B">
            <w:pPr>
              <w:pStyle w:val="TableParagraph"/>
            </w:pPr>
          </w:p>
          <w:p w14:paraId="6FD75C6D" w14:textId="77777777" w:rsidR="0046798B" w:rsidRDefault="0046798B">
            <w:pPr>
              <w:pStyle w:val="TableParagraph"/>
              <w:spacing w:before="9"/>
              <w:rPr>
                <w:sz w:val="21"/>
              </w:rPr>
            </w:pPr>
          </w:p>
          <w:p w14:paraId="3401B656" w14:textId="77777777" w:rsidR="0046798B" w:rsidRDefault="00903B5C">
            <w:pPr>
              <w:pStyle w:val="TableParagraph"/>
              <w:ind w:left="114" w:right="324"/>
              <w:rPr>
                <w:sz w:val="20"/>
              </w:rPr>
            </w:pPr>
            <w:r>
              <w:rPr>
                <w:sz w:val="20"/>
              </w:rPr>
              <w:t>Allow pro- choice license plates</w:t>
            </w:r>
          </w:p>
        </w:tc>
        <w:tc>
          <w:tcPr>
            <w:tcW w:w="1285" w:type="dxa"/>
          </w:tcPr>
          <w:p w14:paraId="40BCDB15" w14:textId="77777777" w:rsidR="0046798B" w:rsidRDefault="0046798B">
            <w:pPr>
              <w:pStyle w:val="TableParagraph"/>
            </w:pPr>
          </w:p>
          <w:p w14:paraId="282D864D" w14:textId="77777777" w:rsidR="0046798B" w:rsidRDefault="0046798B">
            <w:pPr>
              <w:pStyle w:val="TableParagraph"/>
            </w:pPr>
          </w:p>
          <w:p w14:paraId="7586115C" w14:textId="77777777" w:rsidR="0046798B" w:rsidRDefault="0046798B">
            <w:pPr>
              <w:pStyle w:val="TableParagraph"/>
              <w:spacing w:before="9"/>
              <w:rPr>
                <w:sz w:val="19"/>
              </w:rPr>
            </w:pPr>
          </w:p>
          <w:p w14:paraId="3354EB03" w14:textId="77777777" w:rsidR="0046798B" w:rsidRDefault="00903B5C">
            <w:pPr>
              <w:pStyle w:val="TableParagraph"/>
              <w:ind w:left="114"/>
              <w:rPr>
                <w:sz w:val="20"/>
              </w:rPr>
            </w:pPr>
            <w:r>
              <w:rPr>
                <w:sz w:val="20"/>
              </w:rPr>
              <w:t>2003–2010</w:t>
            </w:r>
          </w:p>
        </w:tc>
        <w:tc>
          <w:tcPr>
            <w:tcW w:w="3421" w:type="dxa"/>
          </w:tcPr>
          <w:p w14:paraId="5BC89DD7" w14:textId="77777777" w:rsidR="0046798B" w:rsidRDefault="0046798B">
            <w:pPr>
              <w:pStyle w:val="TableParagraph"/>
            </w:pPr>
          </w:p>
          <w:p w14:paraId="3A5C3372" w14:textId="77777777" w:rsidR="0046798B" w:rsidRDefault="0046798B">
            <w:pPr>
              <w:pStyle w:val="TableParagraph"/>
              <w:spacing w:before="9"/>
              <w:rPr>
                <w:sz w:val="31"/>
              </w:rPr>
            </w:pPr>
          </w:p>
          <w:p w14:paraId="7E2E7D4B" w14:textId="77777777" w:rsidR="0046798B" w:rsidRDefault="00903B5C">
            <w:pPr>
              <w:pStyle w:val="TableParagraph"/>
              <w:ind w:left="114" w:right="1475"/>
              <w:rPr>
                <w:sz w:val="20"/>
              </w:rPr>
            </w:pPr>
            <w:r>
              <w:rPr>
                <w:sz w:val="20"/>
              </w:rPr>
              <w:t>0 = policy not adopted 1 = policy adopted</w:t>
            </w:r>
          </w:p>
        </w:tc>
        <w:tc>
          <w:tcPr>
            <w:tcW w:w="6482" w:type="dxa"/>
          </w:tcPr>
          <w:p w14:paraId="5889A121" w14:textId="77777777" w:rsidR="0046798B" w:rsidRDefault="00903B5C">
            <w:pPr>
              <w:pStyle w:val="TableParagraph"/>
              <w:spacing w:before="43"/>
              <w:ind w:left="114" w:right="445"/>
              <w:rPr>
                <w:sz w:val="20"/>
              </w:rPr>
            </w:pPr>
            <w:r>
              <w:rPr>
                <w:color w:val="212121"/>
                <w:sz w:val="20"/>
              </w:rPr>
              <w:t xml:space="preserve">Kreitzer, Rebecca J. “Politics and morality in state abortion policy.” </w:t>
            </w:r>
            <w:r>
              <w:rPr>
                <w:i/>
                <w:color w:val="212121"/>
                <w:sz w:val="20"/>
              </w:rPr>
              <w:t xml:space="preserve">State Politics &amp; Policy Quarterly </w:t>
            </w:r>
            <w:r>
              <w:rPr>
                <w:color w:val="212121"/>
                <w:sz w:val="20"/>
              </w:rPr>
              <w:t>15.1 (2015): 41</w:t>
            </w:r>
            <w:r>
              <w:rPr>
                <w:sz w:val="20"/>
              </w:rPr>
              <w:t>–</w:t>
            </w:r>
            <w:r>
              <w:rPr>
                <w:color w:val="212121"/>
                <w:sz w:val="20"/>
              </w:rPr>
              <w:t>66.</w:t>
            </w:r>
          </w:p>
          <w:p w14:paraId="32F744A2" w14:textId="77777777" w:rsidR="0046798B" w:rsidRDefault="0046798B">
            <w:pPr>
              <w:pStyle w:val="TableParagraph"/>
              <w:rPr>
                <w:sz w:val="20"/>
              </w:rPr>
            </w:pPr>
          </w:p>
          <w:p w14:paraId="5310C5EE" w14:textId="77777777" w:rsidR="0046798B" w:rsidRDefault="00903B5C">
            <w:pPr>
              <w:pStyle w:val="TableParagraph"/>
              <w:ind w:left="114" w:right="156"/>
              <w:rPr>
                <w:sz w:val="20"/>
              </w:rPr>
            </w:pPr>
            <w:r>
              <w:rPr>
                <w:sz w:val="20"/>
              </w:rPr>
              <w:t xml:space="preserve">Frederick J. Boehmke; Mark Brockway; Bruce Desmarais; Jeffrey J. Harden; Scott LaCombe; Fridolin Linder; Hanna Wallach, 2018, “State Policy Innovation and Diffusion (SPID) Database v1.0”, </w:t>
            </w:r>
            <w:hyperlink r:id="rId867">
              <w:r>
                <w:rPr>
                  <w:color w:val="0462C1"/>
                  <w:sz w:val="20"/>
                  <w:u w:val="single" w:color="0462C1"/>
                </w:rPr>
                <w:t>https://doi.org/10.7910/DVN/CVYSR7</w:t>
              </w:r>
            </w:hyperlink>
          </w:p>
        </w:tc>
      </w:tr>
      <w:tr w:rsidR="0046798B" w14:paraId="0938A2CC" w14:textId="77777777">
        <w:trPr>
          <w:trHeight w:val="1695"/>
        </w:trPr>
        <w:tc>
          <w:tcPr>
            <w:tcW w:w="1711" w:type="dxa"/>
          </w:tcPr>
          <w:p w14:paraId="43F1BC63" w14:textId="77777777" w:rsidR="0046798B" w:rsidRDefault="0046798B">
            <w:pPr>
              <w:pStyle w:val="TableParagraph"/>
            </w:pPr>
          </w:p>
          <w:p w14:paraId="2BD4F31D" w14:textId="77777777" w:rsidR="0046798B" w:rsidRDefault="0046798B">
            <w:pPr>
              <w:pStyle w:val="TableParagraph"/>
            </w:pPr>
          </w:p>
          <w:p w14:paraId="237F6E83" w14:textId="77777777" w:rsidR="0046798B" w:rsidRDefault="0046798B">
            <w:pPr>
              <w:pStyle w:val="TableParagraph"/>
              <w:spacing w:before="8"/>
              <w:rPr>
                <w:sz w:val="19"/>
              </w:rPr>
            </w:pPr>
          </w:p>
          <w:p w14:paraId="6ABF5C4C" w14:textId="77777777" w:rsidR="0046798B" w:rsidRDefault="00903B5C">
            <w:pPr>
              <w:pStyle w:val="TableParagraph"/>
              <w:spacing w:before="1"/>
              <w:ind w:left="115"/>
              <w:rPr>
                <w:b/>
                <w:sz w:val="20"/>
              </w:rPr>
            </w:pPr>
            <w:r>
              <w:rPr>
                <w:b/>
                <w:sz w:val="20"/>
              </w:rPr>
              <w:t>licenseplate</w:t>
            </w:r>
          </w:p>
        </w:tc>
        <w:tc>
          <w:tcPr>
            <w:tcW w:w="1596" w:type="dxa"/>
          </w:tcPr>
          <w:p w14:paraId="4A44BF1A" w14:textId="77777777" w:rsidR="0046798B" w:rsidRDefault="0046798B">
            <w:pPr>
              <w:pStyle w:val="TableParagraph"/>
            </w:pPr>
          </w:p>
          <w:p w14:paraId="4A642D13" w14:textId="77777777" w:rsidR="0046798B" w:rsidRDefault="0046798B">
            <w:pPr>
              <w:pStyle w:val="TableParagraph"/>
              <w:spacing w:before="8"/>
              <w:rPr>
                <w:sz w:val="31"/>
              </w:rPr>
            </w:pPr>
          </w:p>
          <w:p w14:paraId="00220993" w14:textId="77777777" w:rsidR="0046798B" w:rsidRDefault="00903B5C">
            <w:pPr>
              <w:pStyle w:val="TableParagraph"/>
              <w:spacing w:before="1"/>
              <w:ind w:left="114" w:right="229"/>
              <w:rPr>
                <w:sz w:val="20"/>
              </w:rPr>
            </w:pPr>
            <w:r>
              <w:rPr>
                <w:sz w:val="20"/>
              </w:rPr>
              <w:t>Allow pro-life license plates</w:t>
            </w:r>
          </w:p>
        </w:tc>
        <w:tc>
          <w:tcPr>
            <w:tcW w:w="1285" w:type="dxa"/>
          </w:tcPr>
          <w:p w14:paraId="34D5ED72" w14:textId="77777777" w:rsidR="0046798B" w:rsidRDefault="0046798B">
            <w:pPr>
              <w:pStyle w:val="TableParagraph"/>
            </w:pPr>
          </w:p>
          <w:p w14:paraId="0E030C3B" w14:textId="77777777" w:rsidR="0046798B" w:rsidRDefault="0046798B">
            <w:pPr>
              <w:pStyle w:val="TableParagraph"/>
            </w:pPr>
          </w:p>
          <w:p w14:paraId="25F8DED2" w14:textId="77777777" w:rsidR="0046798B" w:rsidRDefault="0046798B">
            <w:pPr>
              <w:pStyle w:val="TableParagraph"/>
              <w:spacing w:before="8"/>
              <w:rPr>
                <w:sz w:val="19"/>
              </w:rPr>
            </w:pPr>
          </w:p>
          <w:p w14:paraId="5788D848" w14:textId="77777777" w:rsidR="0046798B" w:rsidRDefault="00903B5C">
            <w:pPr>
              <w:pStyle w:val="TableParagraph"/>
              <w:spacing w:before="1"/>
              <w:ind w:left="114"/>
              <w:rPr>
                <w:sz w:val="20"/>
              </w:rPr>
            </w:pPr>
            <w:r>
              <w:rPr>
                <w:sz w:val="20"/>
              </w:rPr>
              <w:t>2000–2013</w:t>
            </w:r>
          </w:p>
        </w:tc>
        <w:tc>
          <w:tcPr>
            <w:tcW w:w="3421" w:type="dxa"/>
          </w:tcPr>
          <w:p w14:paraId="37DE32A0" w14:textId="77777777" w:rsidR="0046798B" w:rsidRDefault="0046798B">
            <w:pPr>
              <w:pStyle w:val="TableParagraph"/>
            </w:pPr>
          </w:p>
          <w:p w14:paraId="6248F040" w14:textId="77777777" w:rsidR="0046798B" w:rsidRDefault="0046798B">
            <w:pPr>
              <w:pStyle w:val="TableParagraph"/>
              <w:spacing w:before="8"/>
              <w:rPr>
                <w:sz w:val="31"/>
              </w:rPr>
            </w:pPr>
          </w:p>
          <w:p w14:paraId="2335B612"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5E969CD1" w14:textId="77777777" w:rsidR="0046798B" w:rsidRDefault="00903B5C">
            <w:pPr>
              <w:pStyle w:val="TableParagraph"/>
              <w:spacing w:before="43"/>
              <w:ind w:left="114" w:right="445"/>
              <w:rPr>
                <w:sz w:val="20"/>
              </w:rPr>
            </w:pPr>
            <w:r>
              <w:rPr>
                <w:color w:val="212121"/>
                <w:sz w:val="20"/>
              </w:rPr>
              <w:t xml:space="preserve">Kreitzer, Rebecca J. “Politics and morality in state abortion policy.” </w:t>
            </w:r>
            <w:r>
              <w:rPr>
                <w:i/>
                <w:color w:val="212121"/>
                <w:sz w:val="20"/>
              </w:rPr>
              <w:t xml:space="preserve">State Politics &amp; Policy Quarterly </w:t>
            </w:r>
            <w:r>
              <w:rPr>
                <w:color w:val="212121"/>
                <w:sz w:val="20"/>
              </w:rPr>
              <w:t>15.1 (2015): 41</w:t>
            </w:r>
            <w:r>
              <w:rPr>
                <w:sz w:val="20"/>
              </w:rPr>
              <w:t>–</w:t>
            </w:r>
            <w:r>
              <w:rPr>
                <w:color w:val="212121"/>
                <w:sz w:val="20"/>
              </w:rPr>
              <w:t>66.</w:t>
            </w:r>
          </w:p>
          <w:p w14:paraId="530AD451" w14:textId="77777777" w:rsidR="0046798B" w:rsidRDefault="0046798B">
            <w:pPr>
              <w:pStyle w:val="TableParagraph"/>
              <w:rPr>
                <w:sz w:val="20"/>
              </w:rPr>
            </w:pPr>
          </w:p>
          <w:p w14:paraId="618011D2" w14:textId="77777777" w:rsidR="0046798B" w:rsidRDefault="00903B5C">
            <w:pPr>
              <w:pStyle w:val="TableParagraph"/>
              <w:ind w:left="114" w:right="156"/>
              <w:rPr>
                <w:sz w:val="20"/>
              </w:rPr>
            </w:pPr>
            <w:r>
              <w:rPr>
                <w:sz w:val="20"/>
              </w:rPr>
              <w:t xml:space="preserve">Frederick J. Boehmke; Mark Brockway; Bruce Desmarais; Jeffrey J. Harden; Scott LaCombe; Fridolin Linder; Hanna Wallach, 2018, “State Policy Innovation and Diffusion (SPID) Database v1.0”, </w:t>
            </w:r>
            <w:hyperlink r:id="rId868">
              <w:r>
                <w:rPr>
                  <w:color w:val="0462C1"/>
                  <w:sz w:val="20"/>
                  <w:u w:val="single" w:color="0462C1"/>
                </w:rPr>
                <w:t>https://doi.org/10.7910/DVN/CVYSR7</w:t>
              </w:r>
            </w:hyperlink>
          </w:p>
        </w:tc>
      </w:tr>
      <w:tr w:rsidR="0046798B" w14:paraId="56C85914" w14:textId="77777777">
        <w:trPr>
          <w:trHeight w:val="1700"/>
        </w:trPr>
        <w:tc>
          <w:tcPr>
            <w:tcW w:w="1711" w:type="dxa"/>
          </w:tcPr>
          <w:p w14:paraId="5CCA2919" w14:textId="77777777" w:rsidR="0046798B" w:rsidRDefault="0046798B">
            <w:pPr>
              <w:pStyle w:val="TableParagraph"/>
            </w:pPr>
          </w:p>
          <w:p w14:paraId="52979EBD" w14:textId="77777777" w:rsidR="0046798B" w:rsidRDefault="0046798B">
            <w:pPr>
              <w:pStyle w:val="TableParagraph"/>
            </w:pPr>
          </w:p>
          <w:p w14:paraId="1DB19FC4" w14:textId="77777777" w:rsidR="0046798B" w:rsidRDefault="0046798B">
            <w:pPr>
              <w:pStyle w:val="TableParagraph"/>
              <w:spacing w:before="9"/>
              <w:rPr>
                <w:sz w:val="19"/>
              </w:rPr>
            </w:pPr>
          </w:p>
          <w:p w14:paraId="424AD348" w14:textId="77777777" w:rsidR="0046798B" w:rsidRDefault="00903B5C">
            <w:pPr>
              <w:pStyle w:val="TableParagraph"/>
              <w:ind w:left="115"/>
              <w:rPr>
                <w:b/>
                <w:sz w:val="20"/>
              </w:rPr>
            </w:pPr>
            <w:r>
              <w:rPr>
                <w:b/>
                <w:sz w:val="20"/>
              </w:rPr>
              <w:t>clinic_access</w:t>
            </w:r>
          </w:p>
        </w:tc>
        <w:tc>
          <w:tcPr>
            <w:tcW w:w="1596" w:type="dxa"/>
          </w:tcPr>
          <w:p w14:paraId="4B984A05" w14:textId="77777777" w:rsidR="0046798B" w:rsidRDefault="0046798B">
            <w:pPr>
              <w:pStyle w:val="TableParagraph"/>
            </w:pPr>
          </w:p>
          <w:p w14:paraId="2C5C8BFE" w14:textId="77777777" w:rsidR="0046798B" w:rsidRDefault="0046798B">
            <w:pPr>
              <w:pStyle w:val="TableParagraph"/>
              <w:spacing w:before="9"/>
              <w:rPr>
                <w:sz w:val="21"/>
              </w:rPr>
            </w:pPr>
          </w:p>
          <w:p w14:paraId="75735182" w14:textId="77777777" w:rsidR="0046798B" w:rsidRDefault="00903B5C">
            <w:pPr>
              <w:pStyle w:val="TableParagraph"/>
              <w:ind w:left="114" w:right="186"/>
              <w:jc w:val="both"/>
              <w:rPr>
                <w:sz w:val="20"/>
              </w:rPr>
            </w:pPr>
            <w:r>
              <w:rPr>
                <w:sz w:val="20"/>
              </w:rPr>
              <w:t>No-protest zone around abortion clinic</w:t>
            </w:r>
          </w:p>
        </w:tc>
        <w:tc>
          <w:tcPr>
            <w:tcW w:w="1285" w:type="dxa"/>
          </w:tcPr>
          <w:p w14:paraId="640AD7F1" w14:textId="77777777" w:rsidR="0046798B" w:rsidRDefault="0046798B">
            <w:pPr>
              <w:pStyle w:val="TableParagraph"/>
            </w:pPr>
          </w:p>
          <w:p w14:paraId="0F0B322A" w14:textId="77777777" w:rsidR="0046798B" w:rsidRDefault="0046798B">
            <w:pPr>
              <w:pStyle w:val="TableParagraph"/>
            </w:pPr>
          </w:p>
          <w:p w14:paraId="3B90212B" w14:textId="77777777" w:rsidR="0046798B" w:rsidRDefault="0046798B">
            <w:pPr>
              <w:pStyle w:val="TableParagraph"/>
              <w:spacing w:before="9"/>
              <w:rPr>
                <w:sz w:val="19"/>
              </w:rPr>
            </w:pPr>
          </w:p>
          <w:p w14:paraId="23553308" w14:textId="77777777" w:rsidR="0046798B" w:rsidRDefault="00903B5C">
            <w:pPr>
              <w:pStyle w:val="TableParagraph"/>
              <w:ind w:left="114"/>
              <w:rPr>
                <w:sz w:val="20"/>
              </w:rPr>
            </w:pPr>
            <w:r>
              <w:rPr>
                <w:sz w:val="20"/>
              </w:rPr>
              <w:t>1973–2005</w:t>
            </w:r>
          </w:p>
        </w:tc>
        <w:tc>
          <w:tcPr>
            <w:tcW w:w="3421" w:type="dxa"/>
          </w:tcPr>
          <w:p w14:paraId="16938D87" w14:textId="77777777" w:rsidR="0046798B" w:rsidRDefault="0046798B">
            <w:pPr>
              <w:pStyle w:val="TableParagraph"/>
            </w:pPr>
          </w:p>
          <w:p w14:paraId="35A942CB" w14:textId="77777777" w:rsidR="0046798B" w:rsidRDefault="0046798B">
            <w:pPr>
              <w:pStyle w:val="TableParagraph"/>
              <w:spacing w:before="9"/>
              <w:rPr>
                <w:sz w:val="31"/>
              </w:rPr>
            </w:pPr>
          </w:p>
          <w:p w14:paraId="39743BEA" w14:textId="77777777" w:rsidR="0046798B" w:rsidRDefault="00903B5C">
            <w:pPr>
              <w:pStyle w:val="TableParagraph"/>
              <w:ind w:left="114" w:right="1475"/>
              <w:rPr>
                <w:sz w:val="20"/>
              </w:rPr>
            </w:pPr>
            <w:r>
              <w:rPr>
                <w:sz w:val="20"/>
              </w:rPr>
              <w:t>0 = policy not adopted 1 = policy adopted</w:t>
            </w:r>
          </w:p>
        </w:tc>
        <w:tc>
          <w:tcPr>
            <w:tcW w:w="6482" w:type="dxa"/>
          </w:tcPr>
          <w:p w14:paraId="3B2B5580" w14:textId="77777777" w:rsidR="0046798B" w:rsidRDefault="00903B5C">
            <w:pPr>
              <w:pStyle w:val="TableParagraph"/>
              <w:spacing w:before="43"/>
              <w:ind w:left="114" w:right="445"/>
              <w:rPr>
                <w:sz w:val="20"/>
              </w:rPr>
            </w:pPr>
            <w:r>
              <w:rPr>
                <w:color w:val="212121"/>
                <w:sz w:val="20"/>
              </w:rPr>
              <w:t xml:space="preserve">Kreitzer, Rebecca J. “Politics and morality in state abortion policy.” </w:t>
            </w:r>
            <w:r>
              <w:rPr>
                <w:i/>
                <w:color w:val="212121"/>
                <w:sz w:val="20"/>
              </w:rPr>
              <w:t xml:space="preserve">State Politics &amp; Policy Quarterly </w:t>
            </w:r>
            <w:r>
              <w:rPr>
                <w:color w:val="212121"/>
                <w:sz w:val="20"/>
              </w:rPr>
              <w:t>15.1 (2015): 41</w:t>
            </w:r>
            <w:r>
              <w:rPr>
                <w:sz w:val="20"/>
              </w:rPr>
              <w:t>–</w:t>
            </w:r>
            <w:r>
              <w:rPr>
                <w:color w:val="212121"/>
                <w:sz w:val="20"/>
              </w:rPr>
              <w:t>66.</w:t>
            </w:r>
          </w:p>
          <w:p w14:paraId="087BF302" w14:textId="77777777" w:rsidR="0046798B" w:rsidRDefault="0046798B">
            <w:pPr>
              <w:pStyle w:val="TableParagraph"/>
              <w:rPr>
                <w:sz w:val="20"/>
              </w:rPr>
            </w:pPr>
          </w:p>
          <w:p w14:paraId="16264F99" w14:textId="77777777" w:rsidR="0046798B" w:rsidRDefault="00903B5C">
            <w:pPr>
              <w:pStyle w:val="TableParagraph"/>
              <w:ind w:left="114" w:right="156"/>
              <w:rPr>
                <w:sz w:val="20"/>
              </w:rPr>
            </w:pPr>
            <w:r>
              <w:rPr>
                <w:sz w:val="20"/>
              </w:rPr>
              <w:t xml:space="preserve">Frederick J. Boehmke; Mark Brockway; Bruce Desmarais; Jeffrey J. Harden; Scott LaCombe; Fridolin Linder; Hanna Wallach, 2018, “State Policy Innovation and Diffusion (SPID) Database v1.0”, </w:t>
            </w:r>
            <w:hyperlink r:id="rId869">
              <w:r>
                <w:rPr>
                  <w:color w:val="0462C1"/>
                  <w:sz w:val="20"/>
                  <w:u w:val="single" w:color="0462C1"/>
                </w:rPr>
                <w:t>https://doi.org/10.7910/DVN/CVYSR7</w:t>
              </w:r>
            </w:hyperlink>
          </w:p>
        </w:tc>
      </w:tr>
      <w:tr w:rsidR="0046798B" w14:paraId="63BCAE8E" w14:textId="77777777">
        <w:trPr>
          <w:trHeight w:val="1696"/>
        </w:trPr>
        <w:tc>
          <w:tcPr>
            <w:tcW w:w="1711" w:type="dxa"/>
          </w:tcPr>
          <w:p w14:paraId="5F0E2C74" w14:textId="77777777" w:rsidR="0046798B" w:rsidRDefault="0046798B">
            <w:pPr>
              <w:pStyle w:val="TableParagraph"/>
            </w:pPr>
          </w:p>
          <w:p w14:paraId="3DCC5653" w14:textId="77777777" w:rsidR="0046798B" w:rsidRDefault="0046798B">
            <w:pPr>
              <w:pStyle w:val="TableParagraph"/>
            </w:pPr>
          </w:p>
          <w:p w14:paraId="6318957A" w14:textId="77777777" w:rsidR="0046798B" w:rsidRDefault="0046798B">
            <w:pPr>
              <w:pStyle w:val="TableParagraph"/>
              <w:spacing w:before="4"/>
              <w:rPr>
                <w:sz w:val="19"/>
              </w:rPr>
            </w:pPr>
          </w:p>
          <w:p w14:paraId="412B55AB" w14:textId="77777777" w:rsidR="0046798B" w:rsidRDefault="00903B5C">
            <w:pPr>
              <w:pStyle w:val="TableParagraph"/>
              <w:ind w:left="115"/>
              <w:rPr>
                <w:b/>
                <w:sz w:val="20"/>
              </w:rPr>
            </w:pPr>
            <w:r>
              <w:rPr>
                <w:b/>
                <w:sz w:val="20"/>
              </w:rPr>
              <w:t>fetaldispos</w:t>
            </w:r>
          </w:p>
        </w:tc>
        <w:tc>
          <w:tcPr>
            <w:tcW w:w="1596" w:type="dxa"/>
          </w:tcPr>
          <w:p w14:paraId="36824DA0" w14:textId="77777777" w:rsidR="0046798B" w:rsidRDefault="0046798B">
            <w:pPr>
              <w:pStyle w:val="TableParagraph"/>
            </w:pPr>
          </w:p>
          <w:p w14:paraId="3FE8B80F" w14:textId="77777777" w:rsidR="0046798B" w:rsidRDefault="0046798B">
            <w:pPr>
              <w:pStyle w:val="TableParagraph"/>
              <w:spacing w:before="4"/>
              <w:rPr>
                <w:sz w:val="21"/>
              </w:rPr>
            </w:pPr>
          </w:p>
          <w:p w14:paraId="5DE9F57C" w14:textId="77777777" w:rsidR="0046798B" w:rsidRDefault="00903B5C">
            <w:pPr>
              <w:pStyle w:val="TableParagraph"/>
              <w:ind w:left="114" w:right="130"/>
              <w:rPr>
                <w:sz w:val="20"/>
              </w:rPr>
            </w:pPr>
            <w:r>
              <w:rPr>
                <w:sz w:val="20"/>
              </w:rPr>
              <w:t>Disposal of fetal remains regulation</w:t>
            </w:r>
          </w:p>
        </w:tc>
        <w:tc>
          <w:tcPr>
            <w:tcW w:w="1285" w:type="dxa"/>
          </w:tcPr>
          <w:p w14:paraId="737B6E4F" w14:textId="77777777" w:rsidR="0046798B" w:rsidRDefault="0046798B">
            <w:pPr>
              <w:pStyle w:val="TableParagraph"/>
            </w:pPr>
          </w:p>
          <w:p w14:paraId="6143CBDA" w14:textId="77777777" w:rsidR="0046798B" w:rsidRDefault="0046798B">
            <w:pPr>
              <w:pStyle w:val="TableParagraph"/>
            </w:pPr>
          </w:p>
          <w:p w14:paraId="00F04D7B" w14:textId="77777777" w:rsidR="0046798B" w:rsidRDefault="0046798B">
            <w:pPr>
              <w:pStyle w:val="TableParagraph"/>
              <w:spacing w:before="4"/>
              <w:rPr>
                <w:sz w:val="19"/>
              </w:rPr>
            </w:pPr>
          </w:p>
          <w:p w14:paraId="1DD90EA6" w14:textId="77777777" w:rsidR="0046798B" w:rsidRDefault="00903B5C">
            <w:pPr>
              <w:pStyle w:val="TableParagraph"/>
              <w:ind w:left="114"/>
              <w:rPr>
                <w:sz w:val="20"/>
              </w:rPr>
            </w:pPr>
            <w:r>
              <w:rPr>
                <w:sz w:val="20"/>
              </w:rPr>
              <w:t>1980–2013</w:t>
            </w:r>
          </w:p>
        </w:tc>
        <w:tc>
          <w:tcPr>
            <w:tcW w:w="3421" w:type="dxa"/>
          </w:tcPr>
          <w:p w14:paraId="2B13BB2B" w14:textId="77777777" w:rsidR="0046798B" w:rsidRDefault="0046798B">
            <w:pPr>
              <w:pStyle w:val="TableParagraph"/>
            </w:pPr>
          </w:p>
          <w:p w14:paraId="2F001CD4" w14:textId="77777777" w:rsidR="0046798B" w:rsidRDefault="0046798B">
            <w:pPr>
              <w:pStyle w:val="TableParagraph"/>
              <w:spacing w:before="4"/>
              <w:rPr>
                <w:sz w:val="31"/>
              </w:rPr>
            </w:pPr>
          </w:p>
          <w:p w14:paraId="325EB5B0" w14:textId="77777777" w:rsidR="0046798B" w:rsidRDefault="00903B5C">
            <w:pPr>
              <w:pStyle w:val="TableParagraph"/>
              <w:ind w:left="114" w:right="1475"/>
              <w:rPr>
                <w:sz w:val="20"/>
              </w:rPr>
            </w:pPr>
            <w:r>
              <w:rPr>
                <w:sz w:val="20"/>
              </w:rPr>
              <w:t>0 = policy not adopted 1 = policy adopted</w:t>
            </w:r>
          </w:p>
        </w:tc>
        <w:tc>
          <w:tcPr>
            <w:tcW w:w="6482" w:type="dxa"/>
          </w:tcPr>
          <w:p w14:paraId="766CF9C3" w14:textId="77777777" w:rsidR="0046798B" w:rsidRDefault="00903B5C">
            <w:pPr>
              <w:pStyle w:val="TableParagraph"/>
              <w:spacing w:before="39"/>
              <w:ind w:left="114" w:right="445"/>
              <w:rPr>
                <w:sz w:val="20"/>
              </w:rPr>
            </w:pPr>
            <w:r>
              <w:rPr>
                <w:color w:val="212121"/>
                <w:sz w:val="20"/>
              </w:rPr>
              <w:t xml:space="preserve">Kreitzer, Rebecca J. “Politics and morality in state abortion policy.” </w:t>
            </w:r>
            <w:r>
              <w:rPr>
                <w:i/>
                <w:color w:val="212121"/>
                <w:sz w:val="20"/>
              </w:rPr>
              <w:t xml:space="preserve">State Politics &amp; Policy Quarterly </w:t>
            </w:r>
            <w:r>
              <w:rPr>
                <w:color w:val="212121"/>
                <w:sz w:val="20"/>
              </w:rPr>
              <w:t>15.1 (2015): 41</w:t>
            </w:r>
            <w:r>
              <w:rPr>
                <w:sz w:val="20"/>
              </w:rPr>
              <w:t>–</w:t>
            </w:r>
            <w:r>
              <w:rPr>
                <w:color w:val="212121"/>
                <w:sz w:val="20"/>
              </w:rPr>
              <w:t>66.</w:t>
            </w:r>
          </w:p>
          <w:p w14:paraId="4DB6A7B6" w14:textId="77777777" w:rsidR="0046798B" w:rsidRDefault="0046798B">
            <w:pPr>
              <w:pStyle w:val="TableParagraph"/>
              <w:spacing w:before="11"/>
              <w:rPr>
                <w:sz w:val="19"/>
              </w:rPr>
            </w:pPr>
          </w:p>
          <w:p w14:paraId="734CC8B5" w14:textId="77777777" w:rsidR="0046798B" w:rsidRDefault="00903B5C">
            <w:pPr>
              <w:pStyle w:val="TableParagraph"/>
              <w:ind w:left="114" w:right="156"/>
              <w:rPr>
                <w:sz w:val="20"/>
              </w:rPr>
            </w:pPr>
            <w:r>
              <w:rPr>
                <w:sz w:val="20"/>
              </w:rPr>
              <w:t xml:space="preserve">Frederick J. Boehmke; Mark Brockway; Bruce Desmarais; Jeffrey J. Harden; Scott LaCombe; Fridolin Linder; Hanna Wallach, 2018, “State Policy Innovation and Diffusion (SPID) Database v1.0”, </w:t>
            </w:r>
            <w:hyperlink r:id="rId870">
              <w:r>
                <w:rPr>
                  <w:color w:val="0462C1"/>
                  <w:sz w:val="20"/>
                  <w:u w:val="single" w:color="0462C1"/>
                </w:rPr>
                <w:t>https://doi.org/10.7910/DVN/CVYSR7</w:t>
              </w:r>
            </w:hyperlink>
          </w:p>
        </w:tc>
      </w:tr>
      <w:tr w:rsidR="0046798B" w14:paraId="2797B878" w14:textId="77777777">
        <w:trPr>
          <w:trHeight w:val="1695"/>
        </w:trPr>
        <w:tc>
          <w:tcPr>
            <w:tcW w:w="1711" w:type="dxa"/>
          </w:tcPr>
          <w:p w14:paraId="58815F84" w14:textId="77777777" w:rsidR="0046798B" w:rsidRDefault="0046798B">
            <w:pPr>
              <w:pStyle w:val="TableParagraph"/>
            </w:pPr>
          </w:p>
          <w:p w14:paraId="763A344D" w14:textId="77777777" w:rsidR="0046798B" w:rsidRDefault="0046798B">
            <w:pPr>
              <w:pStyle w:val="TableParagraph"/>
            </w:pPr>
          </w:p>
          <w:p w14:paraId="31F556A6" w14:textId="77777777" w:rsidR="0046798B" w:rsidRDefault="0046798B">
            <w:pPr>
              <w:pStyle w:val="TableParagraph"/>
              <w:spacing w:before="3"/>
              <w:rPr>
                <w:sz w:val="19"/>
              </w:rPr>
            </w:pPr>
          </w:p>
          <w:p w14:paraId="2C09EEB4" w14:textId="77777777" w:rsidR="0046798B" w:rsidRDefault="00903B5C">
            <w:pPr>
              <w:pStyle w:val="TableParagraph"/>
              <w:spacing w:before="1"/>
              <w:ind w:left="115"/>
              <w:rPr>
                <w:b/>
                <w:sz w:val="20"/>
              </w:rPr>
            </w:pPr>
            <w:r>
              <w:rPr>
                <w:b/>
                <w:sz w:val="20"/>
              </w:rPr>
              <w:t>fetalheart</w:t>
            </w:r>
          </w:p>
        </w:tc>
        <w:tc>
          <w:tcPr>
            <w:tcW w:w="1596" w:type="dxa"/>
          </w:tcPr>
          <w:p w14:paraId="14174569" w14:textId="77777777" w:rsidR="0046798B" w:rsidRDefault="0046798B">
            <w:pPr>
              <w:pStyle w:val="TableParagraph"/>
            </w:pPr>
          </w:p>
          <w:p w14:paraId="5BCE94B3" w14:textId="77777777" w:rsidR="0046798B" w:rsidRDefault="0046798B">
            <w:pPr>
              <w:pStyle w:val="TableParagraph"/>
              <w:spacing w:before="3"/>
              <w:rPr>
                <w:sz w:val="21"/>
              </w:rPr>
            </w:pPr>
          </w:p>
          <w:p w14:paraId="1F2B82C7" w14:textId="77777777" w:rsidR="0046798B" w:rsidRDefault="00903B5C">
            <w:pPr>
              <w:pStyle w:val="TableParagraph"/>
              <w:ind w:left="114" w:right="335"/>
              <w:rPr>
                <w:sz w:val="20"/>
              </w:rPr>
            </w:pPr>
            <w:r>
              <w:rPr>
                <w:sz w:val="20"/>
              </w:rPr>
              <w:t>Bans abortion after fetal heartbeat</w:t>
            </w:r>
          </w:p>
        </w:tc>
        <w:tc>
          <w:tcPr>
            <w:tcW w:w="1285" w:type="dxa"/>
          </w:tcPr>
          <w:p w14:paraId="6344C769" w14:textId="77777777" w:rsidR="0046798B" w:rsidRDefault="0046798B">
            <w:pPr>
              <w:pStyle w:val="TableParagraph"/>
            </w:pPr>
          </w:p>
          <w:p w14:paraId="60A2ED0C" w14:textId="77777777" w:rsidR="0046798B" w:rsidRDefault="0046798B">
            <w:pPr>
              <w:pStyle w:val="TableParagraph"/>
            </w:pPr>
          </w:p>
          <w:p w14:paraId="656CC065" w14:textId="77777777" w:rsidR="0046798B" w:rsidRDefault="0046798B">
            <w:pPr>
              <w:pStyle w:val="TableParagraph"/>
              <w:spacing w:before="3"/>
              <w:rPr>
                <w:sz w:val="19"/>
              </w:rPr>
            </w:pPr>
          </w:p>
          <w:p w14:paraId="181DD722" w14:textId="77777777" w:rsidR="0046798B" w:rsidRDefault="00903B5C">
            <w:pPr>
              <w:pStyle w:val="TableParagraph"/>
              <w:spacing w:before="1"/>
              <w:ind w:left="114"/>
              <w:rPr>
                <w:sz w:val="20"/>
              </w:rPr>
            </w:pPr>
            <w:r>
              <w:rPr>
                <w:sz w:val="20"/>
              </w:rPr>
              <w:t>2013</w:t>
            </w:r>
          </w:p>
        </w:tc>
        <w:tc>
          <w:tcPr>
            <w:tcW w:w="3421" w:type="dxa"/>
          </w:tcPr>
          <w:p w14:paraId="4BD2F12B" w14:textId="77777777" w:rsidR="0046798B" w:rsidRDefault="0046798B">
            <w:pPr>
              <w:pStyle w:val="TableParagraph"/>
            </w:pPr>
          </w:p>
          <w:p w14:paraId="767AD2D6" w14:textId="77777777" w:rsidR="0046798B" w:rsidRDefault="0046798B">
            <w:pPr>
              <w:pStyle w:val="TableParagraph"/>
              <w:spacing w:before="3"/>
              <w:rPr>
                <w:sz w:val="31"/>
              </w:rPr>
            </w:pPr>
          </w:p>
          <w:p w14:paraId="60F7623D" w14:textId="77777777" w:rsidR="0046798B" w:rsidRDefault="00903B5C">
            <w:pPr>
              <w:pStyle w:val="TableParagraph"/>
              <w:ind w:left="114" w:right="1475"/>
              <w:rPr>
                <w:sz w:val="20"/>
              </w:rPr>
            </w:pPr>
            <w:r>
              <w:rPr>
                <w:sz w:val="20"/>
              </w:rPr>
              <w:t>0 = policy not adopted 1 = policy adopted</w:t>
            </w:r>
          </w:p>
        </w:tc>
        <w:tc>
          <w:tcPr>
            <w:tcW w:w="6482" w:type="dxa"/>
          </w:tcPr>
          <w:p w14:paraId="0D8099CD" w14:textId="77777777" w:rsidR="0046798B" w:rsidRDefault="00903B5C">
            <w:pPr>
              <w:pStyle w:val="TableParagraph"/>
              <w:spacing w:before="38"/>
              <w:ind w:left="114" w:right="445"/>
              <w:rPr>
                <w:sz w:val="20"/>
              </w:rPr>
            </w:pPr>
            <w:r>
              <w:rPr>
                <w:color w:val="212121"/>
                <w:sz w:val="20"/>
              </w:rPr>
              <w:t xml:space="preserve">Kreitzer, Rebecca J. “Politics and morality in state abortion policy.” </w:t>
            </w:r>
            <w:r>
              <w:rPr>
                <w:i/>
                <w:color w:val="212121"/>
                <w:sz w:val="20"/>
              </w:rPr>
              <w:t xml:space="preserve">State Politics &amp; Policy Quarterly </w:t>
            </w:r>
            <w:r>
              <w:rPr>
                <w:color w:val="212121"/>
                <w:sz w:val="20"/>
              </w:rPr>
              <w:t>15.1 (2015): 41</w:t>
            </w:r>
            <w:r>
              <w:rPr>
                <w:sz w:val="20"/>
              </w:rPr>
              <w:t>–</w:t>
            </w:r>
            <w:r>
              <w:rPr>
                <w:color w:val="212121"/>
                <w:sz w:val="20"/>
              </w:rPr>
              <w:t>66.</w:t>
            </w:r>
          </w:p>
          <w:p w14:paraId="19990692" w14:textId="77777777" w:rsidR="0046798B" w:rsidRDefault="0046798B">
            <w:pPr>
              <w:pStyle w:val="TableParagraph"/>
              <w:rPr>
                <w:sz w:val="20"/>
              </w:rPr>
            </w:pPr>
          </w:p>
          <w:p w14:paraId="1E9DD241" w14:textId="77777777" w:rsidR="0046798B" w:rsidRDefault="00903B5C">
            <w:pPr>
              <w:pStyle w:val="TableParagraph"/>
              <w:ind w:left="114" w:right="156"/>
              <w:rPr>
                <w:sz w:val="20"/>
              </w:rPr>
            </w:pPr>
            <w:r>
              <w:rPr>
                <w:sz w:val="20"/>
              </w:rPr>
              <w:t xml:space="preserve">Frederick J. Boehmke; Mark Brockway; Bruce Desmarais; Jeffrey J. Harden; Scott LaCombe; Fridolin Linder; Hanna Wallach, 2018, “State Policy Innovation and Diffusion (SPID) Database v1.0”, </w:t>
            </w:r>
            <w:hyperlink r:id="rId871">
              <w:r>
                <w:rPr>
                  <w:color w:val="0462C1"/>
                  <w:sz w:val="20"/>
                  <w:u w:val="single" w:color="0462C1"/>
                </w:rPr>
                <w:t>https://doi.org/10.7910/DVN/CVYSR7</w:t>
              </w:r>
            </w:hyperlink>
          </w:p>
        </w:tc>
      </w:tr>
      <w:tr w:rsidR="0046798B" w14:paraId="4FCD0173" w14:textId="77777777">
        <w:trPr>
          <w:trHeight w:val="775"/>
        </w:trPr>
        <w:tc>
          <w:tcPr>
            <w:tcW w:w="1711" w:type="dxa"/>
          </w:tcPr>
          <w:p w14:paraId="028C978F" w14:textId="77777777" w:rsidR="0046798B" w:rsidRDefault="0046798B">
            <w:pPr>
              <w:pStyle w:val="TableParagraph"/>
              <w:spacing w:before="3"/>
              <w:rPr>
                <w:sz w:val="23"/>
              </w:rPr>
            </w:pPr>
          </w:p>
          <w:p w14:paraId="669EF2C2" w14:textId="77777777" w:rsidR="0046798B" w:rsidRDefault="00903B5C">
            <w:pPr>
              <w:pStyle w:val="TableParagraph"/>
              <w:spacing w:before="1"/>
              <w:ind w:left="115"/>
              <w:rPr>
                <w:b/>
                <w:sz w:val="20"/>
              </w:rPr>
            </w:pPr>
            <w:r>
              <w:rPr>
                <w:b/>
                <w:sz w:val="20"/>
              </w:rPr>
              <w:t>fetalhomic</w:t>
            </w:r>
          </w:p>
        </w:tc>
        <w:tc>
          <w:tcPr>
            <w:tcW w:w="1596" w:type="dxa"/>
          </w:tcPr>
          <w:p w14:paraId="7AD3E3F4" w14:textId="77777777" w:rsidR="0046798B" w:rsidRDefault="00903B5C">
            <w:pPr>
              <w:pStyle w:val="TableParagraph"/>
              <w:spacing w:before="153"/>
              <w:ind w:left="114" w:right="127"/>
              <w:rPr>
                <w:sz w:val="20"/>
              </w:rPr>
            </w:pPr>
            <w:r>
              <w:rPr>
                <w:sz w:val="20"/>
              </w:rPr>
              <w:t>Establishing fetal personhood</w:t>
            </w:r>
          </w:p>
        </w:tc>
        <w:tc>
          <w:tcPr>
            <w:tcW w:w="1285" w:type="dxa"/>
          </w:tcPr>
          <w:p w14:paraId="2DDCF291" w14:textId="77777777" w:rsidR="0046798B" w:rsidRDefault="0046798B">
            <w:pPr>
              <w:pStyle w:val="TableParagraph"/>
              <w:spacing w:before="3"/>
              <w:rPr>
                <w:sz w:val="23"/>
              </w:rPr>
            </w:pPr>
          </w:p>
          <w:p w14:paraId="10525FF3" w14:textId="77777777" w:rsidR="0046798B" w:rsidRDefault="00903B5C">
            <w:pPr>
              <w:pStyle w:val="TableParagraph"/>
              <w:spacing w:before="1"/>
              <w:ind w:left="114"/>
              <w:rPr>
                <w:sz w:val="20"/>
              </w:rPr>
            </w:pPr>
            <w:r>
              <w:rPr>
                <w:sz w:val="20"/>
              </w:rPr>
              <w:t>1970–2013</w:t>
            </w:r>
          </w:p>
        </w:tc>
        <w:tc>
          <w:tcPr>
            <w:tcW w:w="3421" w:type="dxa"/>
          </w:tcPr>
          <w:p w14:paraId="43379464" w14:textId="77777777" w:rsidR="0046798B" w:rsidRDefault="00903B5C">
            <w:pPr>
              <w:pStyle w:val="TableParagraph"/>
              <w:spacing w:before="153"/>
              <w:ind w:left="114" w:right="1475"/>
              <w:rPr>
                <w:sz w:val="20"/>
              </w:rPr>
            </w:pPr>
            <w:r>
              <w:rPr>
                <w:sz w:val="20"/>
              </w:rPr>
              <w:t>0 = policy not adopted 1 = policy adopted</w:t>
            </w:r>
          </w:p>
        </w:tc>
        <w:tc>
          <w:tcPr>
            <w:tcW w:w="6482" w:type="dxa"/>
          </w:tcPr>
          <w:p w14:paraId="46449320" w14:textId="77777777" w:rsidR="0046798B" w:rsidRDefault="00903B5C">
            <w:pPr>
              <w:pStyle w:val="TableParagraph"/>
              <w:spacing w:before="38"/>
              <w:ind w:left="114" w:right="445"/>
              <w:rPr>
                <w:sz w:val="20"/>
              </w:rPr>
            </w:pPr>
            <w:r>
              <w:rPr>
                <w:color w:val="212121"/>
                <w:sz w:val="20"/>
              </w:rPr>
              <w:t xml:space="preserve">Kreitzer, Rebecca J. “Politics and morality in state abortion policy.” </w:t>
            </w:r>
            <w:r>
              <w:rPr>
                <w:i/>
                <w:color w:val="212121"/>
                <w:sz w:val="20"/>
              </w:rPr>
              <w:t xml:space="preserve">State Politics &amp; Policy Quarterly </w:t>
            </w:r>
            <w:r>
              <w:rPr>
                <w:color w:val="212121"/>
                <w:sz w:val="20"/>
              </w:rPr>
              <w:t>15.1 (2015): 41</w:t>
            </w:r>
            <w:r>
              <w:rPr>
                <w:sz w:val="20"/>
              </w:rPr>
              <w:t>–</w:t>
            </w:r>
            <w:r>
              <w:rPr>
                <w:color w:val="212121"/>
                <w:sz w:val="20"/>
              </w:rPr>
              <w:t>66.</w:t>
            </w:r>
          </w:p>
        </w:tc>
      </w:tr>
    </w:tbl>
    <w:p w14:paraId="06BD75EB" w14:textId="77777777" w:rsidR="0046798B" w:rsidRDefault="0046798B">
      <w:pPr>
        <w:rPr>
          <w:sz w:val="20"/>
        </w:rPr>
        <w:sectPr w:rsidR="0046798B">
          <w:pgSz w:w="15840" w:h="12240" w:orient="landscape"/>
          <w:pgMar w:top="1220" w:right="300" w:bottom="980" w:left="820" w:header="730" w:footer="787" w:gutter="0"/>
          <w:cols w:space="720"/>
        </w:sectPr>
      </w:pPr>
    </w:p>
    <w:p w14:paraId="2D616362"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6190CEB9" w14:textId="77777777">
        <w:trPr>
          <w:trHeight w:val="1005"/>
        </w:trPr>
        <w:tc>
          <w:tcPr>
            <w:tcW w:w="1711" w:type="dxa"/>
          </w:tcPr>
          <w:p w14:paraId="0C2E641F" w14:textId="77777777" w:rsidR="0046798B" w:rsidRDefault="0046798B">
            <w:pPr>
              <w:pStyle w:val="TableParagraph"/>
              <w:rPr>
                <w:sz w:val="20"/>
              </w:rPr>
            </w:pPr>
          </w:p>
        </w:tc>
        <w:tc>
          <w:tcPr>
            <w:tcW w:w="1596" w:type="dxa"/>
          </w:tcPr>
          <w:p w14:paraId="6AC3B19B" w14:textId="77777777" w:rsidR="0046798B" w:rsidRDefault="0046798B">
            <w:pPr>
              <w:pStyle w:val="TableParagraph"/>
              <w:rPr>
                <w:sz w:val="20"/>
              </w:rPr>
            </w:pPr>
          </w:p>
        </w:tc>
        <w:tc>
          <w:tcPr>
            <w:tcW w:w="1285" w:type="dxa"/>
          </w:tcPr>
          <w:p w14:paraId="708177EC" w14:textId="77777777" w:rsidR="0046798B" w:rsidRDefault="0046798B">
            <w:pPr>
              <w:pStyle w:val="TableParagraph"/>
              <w:rPr>
                <w:sz w:val="20"/>
              </w:rPr>
            </w:pPr>
          </w:p>
        </w:tc>
        <w:tc>
          <w:tcPr>
            <w:tcW w:w="3421" w:type="dxa"/>
          </w:tcPr>
          <w:p w14:paraId="31E2992A" w14:textId="77777777" w:rsidR="0046798B" w:rsidRDefault="0046798B">
            <w:pPr>
              <w:pStyle w:val="TableParagraph"/>
              <w:rPr>
                <w:sz w:val="20"/>
              </w:rPr>
            </w:pPr>
          </w:p>
        </w:tc>
        <w:tc>
          <w:tcPr>
            <w:tcW w:w="6482" w:type="dxa"/>
          </w:tcPr>
          <w:p w14:paraId="5D1AA09F" w14:textId="77777777" w:rsidR="0046798B" w:rsidRDefault="00903B5C">
            <w:pPr>
              <w:pStyle w:val="TableParagraph"/>
              <w:spacing w:before="43"/>
              <w:ind w:left="114" w:right="156"/>
              <w:rPr>
                <w:sz w:val="20"/>
              </w:rPr>
            </w:pPr>
            <w:r>
              <w:rPr>
                <w:sz w:val="20"/>
              </w:rPr>
              <w:t xml:space="preserve">Frederick J. Boehmke; Mark Brockway; Bruce Desmarais; Jeffrey J. Harden; Scott LaCombe; Fridolin Linder; Hanna Wallach, 2018, “State Policy Innovation and Diffusion (SPID) Database v1.0”, </w:t>
            </w:r>
            <w:hyperlink r:id="rId872">
              <w:r>
                <w:rPr>
                  <w:color w:val="0462C1"/>
                  <w:sz w:val="20"/>
                  <w:u w:val="single" w:color="0462C1"/>
                </w:rPr>
                <w:t>https://doi.org/10.7910/DVN/CVYSR7</w:t>
              </w:r>
            </w:hyperlink>
          </w:p>
        </w:tc>
      </w:tr>
      <w:tr w:rsidR="0046798B" w14:paraId="1B62A75B" w14:textId="77777777">
        <w:trPr>
          <w:trHeight w:val="1695"/>
        </w:trPr>
        <w:tc>
          <w:tcPr>
            <w:tcW w:w="1711" w:type="dxa"/>
          </w:tcPr>
          <w:p w14:paraId="0B577CAE" w14:textId="77777777" w:rsidR="0046798B" w:rsidRDefault="0046798B">
            <w:pPr>
              <w:pStyle w:val="TableParagraph"/>
            </w:pPr>
          </w:p>
          <w:p w14:paraId="3656E126" w14:textId="77777777" w:rsidR="0046798B" w:rsidRDefault="0046798B">
            <w:pPr>
              <w:pStyle w:val="TableParagraph"/>
            </w:pPr>
          </w:p>
          <w:p w14:paraId="3E0842A6" w14:textId="77777777" w:rsidR="0046798B" w:rsidRDefault="0046798B">
            <w:pPr>
              <w:pStyle w:val="TableParagraph"/>
              <w:spacing w:before="9"/>
              <w:rPr>
                <w:sz w:val="19"/>
              </w:rPr>
            </w:pPr>
          </w:p>
          <w:p w14:paraId="5DF1BDF5" w14:textId="77777777" w:rsidR="0046798B" w:rsidRDefault="00903B5C">
            <w:pPr>
              <w:pStyle w:val="TableParagraph"/>
              <w:ind w:left="115"/>
              <w:rPr>
                <w:b/>
                <w:sz w:val="20"/>
              </w:rPr>
            </w:pPr>
            <w:r>
              <w:rPr>
                <w:b/>
                <w:sz w:val="20"/>
              </w:rPr>
              <w:t>fetalpain</w:t>
            </w:r>
          </w:p>
        </w:tc>
        <w:tc>
          <w:tcPr>
            <w:tcW w:w="1596" w:type="dxa"/>
          </w:tcPr>
          <w:p w14:paraId="1E11502D" w14:textId="77777777" w:rsidR="0046798B" w:rsidRDefault="0046798B">
            <w:pPr>
              <w:pStyle w:val="TableParagraph"/>
            </w:pPr>
          </w:p>
          <w:p w14:paraId="193D7E9B" w14:textId="77777777" w:rsidR="0046798B" w:rsidRDefault="00903B5C">
            <w:pPr>
              <w:pStyle w:val="TableParagraph"/>
              <w:spacing w:before="135"/>
              <w:ind w:left="114" w:right="369"/>
              <w:rPr>
                <w:sz w:val="20"/>
              </w:rPr>
            </w:pPr>
            <w:r>
              <w:rPr>
                <w:sz w:val="20"/>
              </w:rPr>
              <w:t>Requires anesthetic for fetus for abortions</w:t>
            </w:r>
          </w:p>
        </w:tc>
        <w:tc>
          <w:tcPr>
            <w:tcW w:w="1285" w:type="dxa"/>
          </w:tcPr>
          <w:p w14:paraId="672EB2E2" w14:textId="77777777" w:rsidR="0046798B" w:rsidRDefault="0046798B">
            <w:pPr>
              <w:pStyle w:val="TableParagraph"/>
            </w:pPr>
          </w:p>
          <w:p w14:paraId="0591793F" w14:textId="77777777" w:rsidR="0046798B" w:rsidRDefault="0046798B">
            <w:pPr>
              <w:pStyle w:val="TableParagraph"/>
            </w:pPr>
          </w:p>
          <w:p w14:paraId="38E52401" w14:textId="77777777" w:rsidR="0046798B" w:rsidRDefault="0046798B">
            <w:pPr>
              <w:pStyle w:val="TableParagraph"/>
              <w:spacing w:before="9"/>
              <w:rPr>
                <w:sz w:val="19"/>
              </w:rPr>
            </w:pPr>
          </w:p>
          <w:p w14:paraId="49A30418" w14:textId="77777777" w:rsidR="0046798B" w:rsidRDefault="00903B5C">
            <w:pPr>
              <w:pStyle w:val="TableParagraph"/>
              <w:ind w:left="114"/>
              <w:rPr>
                <w:sz w:val="20"/>
              </w:rPr>
            </w:pPr>
            <w:r>
              <w:rPr>
                <w:sz w:val="20"/>
              </w:rPr>
              <w:t>2011–2013</w:t>
            </w:r>
          </w:p>
        </w:tc>
        <w:tc>
          <w:tcPr>
            <w:tcW w:w="3421" w:type="dxa"/>
          </w:tcPr>
          <w:p w14:paraId="0DE0DC5F" w14:textId="77777777" w:rsidR="0046798B" w:rsidRDefault="0046798B">
            <w:pPr>
              <w:pStyle w:val="TableParagraph"/>
            </w:pPr>
          </w:p>
          <w:p w14:paraId="0672DF37" w14:textId="77777777" w:rsidR="0046798B" w:rsidRDefault="0046798B">
            <w:pPr>
              <w:pStyle w:val="TableParagraph"/>
              <w:spacing w:before="9"/>
              <w:rPr>
                <w:sz w:val="31"/>
              </w:rPr>
            </w:pPr>
          </w:p>
          <w:p w14:paraId="7FE9E504" w14:textId="77777777" w:rsidR="0046798B" w:rsidRDefault="00903B5C">
            <w:pPr>
              <w:pStyle w:val="TableParagraph"/>
              <w:ind w:left="114" w:right="1475"/>
              <w:rPr>
                <w:sz w:val="20"/>
              </w:rPr>
            </w:pPr>
            <w:r>
              <w:rPr>
                <w:sz w:val="20"/>
              </w:rPr>
              <w:t>0 = policy not adopted 1 = policy adopted</w:t>
            </w:r>
          </w:p>
        </w:tc>
        <w:tc>
          <w:tcPr>
            <w:tcW w:w="6482" w:type="dxa"/>
          </w:tcPr>
          <w:p w14:paraId="4B03D8D1" w14:textId="77777777" w:rsidR="0046798B" w:rsidRDefault="00903B5C">
            <w:pPr>
              <w:pStyle w:val="TableParagraph"/>
              <w:spacing w:before="43"/>
              <w:ind w:left="114" w:right="445"/>
              <w:rPr>
                <w:sz w:val="20"/>
              </w:rPr>
            </w:pPr>
            <w:r>
              <w:rPr>
                <w:color w:val="212121"/>
                <w:sz w:val="20"/>
              </w:rPr>
              <w:t xml:space="preserve">Kreitzer, Rebecca J. “Politics and morality in state abortion policy.” </w:t>
            </w:r>
            <w:r>
              <w:rPr>
                <w:i/>
                <w:color w:val="212121"/>
                <w:sz w:val="20"/>
              </w:rPr>
              <w:t xml:space="preserve">State Politics &amp; Policy Quarterly </w:t>
            </w:r>
            <w:r>
              <w:rPr>
                <w:color w:val="212121"/>
                <w:sz w:val="20"/>
              </w:rPr>
              <w:t>15.1 (2015): 41</w:t>
            </w:r>
            <w:r>
              <w:rPr>
                <w:sz w:val="20"/>
              </w:rPr>
              <w:t>–</w:t>
            </w:r>
            <w:r>
              <w:rPr>
                <w:color w:val="212121"/>
                <w:sz w:val="20"/>
              </w:rPr>
              <w:t>66.</w:t>
            </w:r>
          </w:p>
          <w:p w14:paraId="6DA1A842" w14:textId="77777777" w:rsidR="0046798B" w:rsidRDefault="0046798B">
            <w:pPr>
              <w:pStyle w:val="TableParagraph"/>
              <w:rPr>
                <w:sz w:val="20"/>
              </w:rPr>
            </w:pPr>
          </w:p>
          <w:p w14:paraId="6DC0E01D" w14:textId="77777777" w:rsidR="0046798B" w:rsidRDefault="00903B5C">
            <w:pPr>
              <w:pStyle w:val="TableParagraph"/>
              <w:spacing w:before="1"/>
              <w:ind w:left="114" w:right="156"/>
              <w:rPr>
                <w:sz w:val="20"/>
              </w:rPr>
            </w:pPr>
            <w:r>
              <w:rPr>
                <w:sz w:val="20"/>
              </w:rPr>
              <w:t xml:space="preserve">Frederick J. Boehmke; Mark Brockway; Bruce Desmarais; Jeffrey J. Harden; Scott LaCombe; Fridolin Linder; Hanna Wallach, 2018, “State Policy Innovation and Diffusion (SPID) Database v1.0”, </w:t>
            </w:r>
            <w:hyperlink r:id="rId873">
              <w:r>
                <w:rPr>
                  <w:color w:val="0462C1"/>
                  <w:sz w:val="20"/>
                  <w:u w:val="single" w:color="0462C1"/>
                </w:rPr>
                <w:t>https://doi.org/10.7910/DVN/CVYSR7</w:t>
              </w:r>
            </w:hyperlink>
          </w:p>
        </w:tc>
      </w:tr>
      <w:tr w:rsidR="0046798B" w14:paraId="6C399C1F" w14:textId="77777777">
        <w:trPr>
          <w:trHeight w:val="1930"/>
        </w:trPr>
        <w:tc>
          <w:tcPr>
            <w:tcW w:w="1711" w:type="dxa"/>
          </w:tcPr>
          <w:p w14:paraId="32BB1A69" w14:textId="77777777" w:rsidR="0046798B" w:rsidRDefault="0046798B">
            <w:pPr>
              <w:pStyle w:val="TableParagraph"/>
            </w:pPr>
          </w:p>
          <w:p w14:paraId="4EF10B81" w14:textId="77777777" w:rsidR="0046798B" w:rsidRDefault="0046798B">
            <w:pPr>
              <w:pStyle w:val="TableParagraph"/>
            </w:pPr>
          </w:p>
          <w:p w14:paraId="10533A25" w14:textId="77777777" w:rsidR="0046798B" w:rsidRDefault="0046798B">
            <w:pPr>
              <w:pStyle w:val="TableParagraph"/>
              <w:spacing w:before="9"/>
              <w:rPr>
                <w:sz w:val="29"/>
              </w:rPr>
            </w:pPr>
          </w:p>
          <w:p w14:paraId="63EA4E98" w14:textId="77777777" w:rsidR="0046798B" w:rsidRDefault="00903B5C">
            <w:pPr>
              <w:pStyle w:val="TableParagraph"/>
              <w:ind w:left="115"/>
              <w:rPr>
                <w:b/>
                <w:sz w:val="20"/>
              </w:rPr>
            </w:pPr>
            <w:r>
              <w:rPr>
                <w:b/>
                <w:sz w:val="20"/>
              </w:rPr>
              <w:t>continsurance</w:t>
            </w:r>
          </w:p>
        </w:tc>
        <w:tc>
          <w:tcPr>
            <w:tcW w:w="1596" w:type="dxa"/>
          </w:tcPr>
          <w:p w14:paraId="2ED5FD0E" w14:textId="77777777" w:rsidR="0046798B" w:rsidRDefault="0046798B">
            <w:pPr>
              <w:pStyle w:val="TableParagraph"/>
            </w:pPr>
          </w:p>
          <w:p w14:paraId="6259C1C6" w14:textId="77777777" w:rsidR="0046798B" w:rsidRDefault="0046798B">
            <w:pPr>
              <w:pStyle w:val="TableParagraph"/>
              <w:spacing w:before="9"/>
              <w:rPr>
                <w:sz w:val="21"/>
              </w:rPr>
            </w:pPr>
          </w:p>
          <w:p w14:paraId="286BB1E8" w14:textId="77777777" w:rsidR="0046798B" w:rsidRDefault="00903B5C">
            <w:pPr>
              <w:pStyle w:val="TableParagraph"/>
              <w:ind w:left="114" w:right="363"/>
              <w:rPr>
                <w:sz w:val="20"/>
              </w:rPr>
            </w:pPr>
            <w:r>
              <w:rPr>
                <w:sz w:val="20"/>
              </w:rPr>
              <w:t>Mandates contraception coverage by insurance</w:t>
            </w:r>
          </w:p>
        </w:tc>
        <w:tc>
          <w:tcPr>
            <w:tcW w:w="1285" w:type="dxa"/>
          </w:tcPr>
          <w:p w14:paraId="4694D71D" w14:textId="77777777" w:rsidR="0046798B" w:rsidRDefault="0046798B">
            <w:pPr>
              <w:pStyle w:val="TableParagraph"/>
            </w:pPr>
          </w:p>
          <w:p w14:paraId="570D5876" w14:textId="77777777" w:rsidR="0046798B" w:rsidRDefault="0046798B">
            <w:pPr>
              <w:pStyle w:val="TableParagraph"/>
            </w:pPr>
          </w:p>
          <w:p w14:paraId="36079A68" w14:textId="77777777" w:rsidR="0046798B" w:rsidRDefault="0046798B">
            <w:pPr>
              <w:pStyle w:val="TableParagraph"/>
              <w:spacing w:before="9"/>
              <w:rPr>
                <w:sz w:val="29"/>
              </w:rPr>
            </w:pPr>
          </w:p>
          <w:p w14:paraId="5CBB6511" w14:textId="77777777" w:rsidR="0046798B" w:rsidRDefault="00903B5C">
            <w:pPr>
              <w:pStyle w:val="TableParagraph"/>
              <w:ind w:left="114"/>
              <w:rPr>
                <w:sz w:val="20"/>
              </w:rPr>
            </w:pPr>
            <w:r>
              <w:rPr>
                <w:sz w:val="20"/>
              </w:rPr>
              <w:t>1996–2010</w:t>
            </w:r>
          </w:p>
        </w:tc>
        <w:tc>
          <w:tcPr>
            <w:tcW w:w="3421" w:type="dxa"/>
          </w:tcPr>
          <w:p w14:paraId="1C211C7D" w14:textId="77777777" w:rsidR="0046798B" w:rsidRDefault="0046798B">
            <w:pPr>
              <w:pStyle w:val="TableParagraph"/>
            </w:pPr>
          </w:p>
          <w:p w14:paraId="3D4E9CAF" w14:textId="77777777" w:rsidR="0046798B" w:rsidRDefault="0046798B">
            <w:pPr>
              <w:pStyle w:val="TableParagraph"/>
            </w:pPr>
          </w:p>
          <w:p w14:paraId="0BDDC509" w14:textId="77777777" w:rsidR="0046798B" w:rsidRDefault="0046798B">
            <w:pPr>
              <w:pStyle w:val="TableParagraph"/>
              <w:spacing w:before="9"/>
              <w:rPr>
                <w:sz w:val="19"/>
              </w:rPr>
            </w:pPr>
          </w:p>
          <w:p w14:paraId="55DCAD7B" w14:textId="77777777" w:rsidR="0046798B" w:rsidRDefault="00903B5C">
            <w:pPr>
              <w:pStyle w:val="TableParagraph"/>
              <w:ind w:left="114" w:right="1475"/>
              <w:rPr>
                <w:sz w:val="20"/>
              </w:rPr>
            </w:pPr>
            <w:r>
              <w:rPr>
                <w:sz w:val="20"/>
              </w:rPr>
              <w:t>0 = policy not adopted 1 = policy adopted</w:t>
            </w:r>
          </w:p>
        </w:tc>
        <w:tc>
          <w:tcPr>
            <w:tcW w:w="6482" w:type="dxa"/>
          </w:tcPr>
          <w:p w14:paraId="0DF81EE7" w14:textId="77777777" w:rsidR="0046798B" w:rsidRDefault="00903B5C">
            <w:pPr>
              <w:pStyle w:val="TableParagraph"/>
              <w:spacing w:before="43"/>
              <w:ind w:left="114" w:right="129"/>
              <w:jc w:val="both"/>
              <w:rPr>
                <w:sz w:val="20"/>
              </w:rPr>
            </w:pPr>
            <w:r>
              <w:rPr>
                <w:color w:val="212121"/>
                <w:sz w:val="20"/>
              </w:rPr>
              <w:t>Mallinson, Daniel J. “Building a better speed trap: Measuring policy</w:t>
            </w:r>
            <w:r>
              <w:rPr>
                <w:color w:val="212121"/>
                <w:spacing w:val="-23"/>
                <w:sz w:val="20"/>
              </w:rPr>
              <w:t xml:space="preserve"> </w:t>
            </w:r>
            <w:r>
              <w:rPr>
                <w:color w:val="212121"/>
                <w:sz w:val="20"/>
              </w:rPr>
              <w:t xml:space="preserve">adoption speed in the American states.” </w:t>
            </w:r>
            <w:r>
              <w:rPr>
                <w:i/>
                <w:color w:val="212121"/>
                <w:sz w:val="20"/>
              </w:rPr>
              <w:t xml:space="preserve">State Politics &amp; Policy Quarterly </w:t>
            </w:r>
            <w:r>
              <w:rPr>
                <w:color w:val="212121"/>
                <w:sz w:val="20"/>
              </w:rPr>
              <w:t>16.1 (2016): 98</w:t>
            </w:r>
            <w:r>
              <w:rPr>
                <w:sz w:val="20"/>
              </w:rPr>
              <w:t>–</w:t>
            </w:r>
            <w:r>
              <w:rPr>
                <w:color w:val="212121"/>
                <w:sz w:val="20"/>
              </w:rPr>
              <w:t>120.</w:t>
            </w:r>
          </w:p>
          <w:p w14:paraId="02C647E2" w14:textId="77777777" w:rsidR="0046798B" w:rsidRDefault="0046798B">
            <w:pPr>
              <w:pStyle w:val="TableParagraph"/>
              <w:rPr>
                <w:sz w:val="20"/>
              </w:rPr>
            </w:pPr>
          </w:p>
          <w:p w14:paraId="0BC052EA" w14:textId="77777777" w:rsidR="0046798B" w:rsidRDefault="00903B5C">
            <w:pPr>
              <w:pStyle w:val="TableParagraph"/>
              <w:ind w:left="114" w:right="156"/>
              <w:rPr>
                <w:sz w:val="20"/>
              </w:rPr>
            </w:pPr>
            <w:r>
              <w:rPr>
                <w:sz w:val="20"/>
              </w:rPr>
              <w:t xml:space="preserve">Frederick J. Boehmke; Mark Brockway; Bruce Desmarais; Jeffrey J. Harden; Scott LaCombe; Fridolin Linder; Hanna Wallach, 2018, “State Policy Innovation and Diffusion (SPID) Database v1.0”, </w:t>
            </w:r>
            <w:hyperlink r:id="rId874">
              <w:r>
                <w:rPr>
                  <w:color w:val="0462C1"/>
                  <w:sz w:val="20"/>
                  <w:u w:val="single" w:color="0462C1"/>
                </w:rPr>
                <w:t>https://doi.org/10.7910/DVN/CVYSR7</w:t>
              </w:r>
            </w:hyperlink>
          </w:p>
        </w:tc>
      </w:tr>
      <w:tr w:rsidR="0046798B" w14:paraId="16515E66" w14:textId="77777777">
        <w:trPr>
          <w:trHeight w:val="1926"/>
        </w:trPr>
        <w:tc>
          <w:tcPr>
            <w:tcW w:w="1711" w:type="dxa"/>
          </w:tcPr>
          <w:p w14:paraId="79273C2C" w14:textId="77777777" w:rsidR="0046798B" w:rsidRDefault="0046798B">
            <w:pPr>
              <w:pStyle w:val="TableParagraph"/>
            </w:pPr>
          </w:p>
          <w:p w14:paraId="713C5CB1" w14:textId="77777777" w:rsidR="0046798B" w:rsidRDefault="0046798B">
            <w:pPr>
              <w:pStyle w:val="TableParagraph"/>
            </w:pPr>
          </w:p>
          <w:p w14:paraId="33BCE41E" w14:textId="77777777" w:rsidR="0046798B" w:rsidRDefault="0046798B">
            <w:pPr>
              <w:pStyle w:val="TableParagraph"/>
              <w:spacing w:before="4"/>
              <w:rPr>
                <w:sz w:val="29"/>
              </w:rPr>
            </w:pPr>
          </w:p>
          <w:p w14:paraId="70882970" w14:textId="77777777" w:rsidR="0046798B" w:rsidRDefault="00903B5C">
            <w:pPr>
              <w:pStyle w:val="TableParagraph"/>
              <w:ind w:left="115"/>
              <w:rPr>
                <w:b/>
                <w:sz w:val="20"/>
              </w:rPr>
            </w:pPr>
            <w:r>
              <w:rPr>
                <w:b/>
                <w:sz w:val="20"/>
              </w:rPr>
              <w:t>infertility</w:t>
            </w:r>
          </w:p>
        </w:tc>
        <w:tc>
          <w:tcPr>
            <w:tcW w:w="1596" w:type="dxa"/>
          </w:tcPr>
          <w:p w14:paraId="32AAA606" w14:textId="77777777" w:rsidR="0046798B" w:rsidRDefault="0046798B">
            <w:pPr>
              <w:pStyle w:val="TableParagraph"/>
            </w:pPr>
          </w:p>
          <w:p w14:paraId="57B0033A" w14:textId="77777777" w:rsidR="0046798B" w:rsidRDefault="0046798B">
            <w:pPr>
              <w:pStyle w:val="TableParagraph"/>
              <w:spacing w:before="4"/>
              <w:rPr>
                <w:sz w:val="21"/>
              </w:rPr>
            </w:pPr>
          </w:p>
          <w:p w14:paraId="1678BA1D" w14:textId="77777777" w:rsidR="0046798B" w:rsidRDefault="00903B5C">
            <w:pPr>
              <w:pStyle w:val="TableParagraph"/>
              <w:ind w:left="114" w:right="174"/>
              <w:rPr>
                <w:sz w:val="20"/>
              </w:rPr>
            </w:pPr>
            <w:r>
              <w:rPr>
                <w:sz w:val="20"/>
              </w:rPr>
              <w:t>Requirement that insurance provide fertility services</w:t>
            </w:r>
          </w:p>
        </w:tc>
        <w:tc>
          <w:tcPr>
            <w:tcW w:w="1285" w:type="dxa"/>
          </w:tcPr>
          <w:p w14:paraId="3088AF8C" w14:textId="77777777" w:rsidR="0046798B" w:rsidRDefault="0046798B">
            <w:pPr>
              <w:pStyle w:val="TableParagraph"/>
            </w:pPr>
          </w:p>
          <w:p w14:paraId="06C34C81" w14:textId="77777777" w:rsidR="0046798B" w:rsidRDefault="0046798B">
            <w:pPr>
              <w:pStyle w:val="TableParagraph"/>
            </w:pPr>
          </w:p>
          <w:p w14:paraId="0D5A9EA6" w14:textId="77777777" w:rsidR="0046798B" w:rsidRDefault="0046798B">
            <w:pPr>
              <w:pStyle w:val="TableParagraph"/>
              <w:spacing w:before="4"/>
              <w:rPr>
                <w:sz w:val="29"/>
              </w:rPr>
            </w:pPr>
          </w:p>
          <w:p w14:paraId="6884F91B" w14:textId="77777777" w:rsidR="0046798B" w:rsidRDefault="00903B5C">
            <w:pPr>
              <w:pStyle w:val="TableParagraph"/>
              <w:ind w:left="114"/>
              <w:rPr>
                <w:sz w:val="20"/>
              </w:rPr>
            </w:pPr>
            <w:r>
              <w:rPr>
                <w:sz w:val="20"/>
              </w:rPr>
              <w:t>1987–2002</w:t>
            </w:r>
          </w:p>
        </w:tc>
        <w:tc>
          <w:tcPr>
            <w:tcW w:w="3421" w:type="dxa"/>
          </w:tcPr>
          <w:p w14:paraId="5055607E" w14:textId="77777777" w:rsidR="0046798B" w:rsidRDefault="0046798B">
            <w:pPr>
              <w:pStyle w:val="TableParagraph"/>
            </w:pPr>
          </w:p>
          <w:p w14:paraId="766399E3" w14:textId="77777777" w:rsidR="0046798B" w:rsidRDefault="0046798B">
            <w:pPr>
              <w:pStyle w:val="TableParagraph"/>
            </w:pPr>
          </w:p>
          <w:p w14:paraId="66138AAE" w14:textId="77777777" w:rsidR="0046798B" w:rsidRDefault="0046798B">
            <w:pPr>
              <w:pStyle w:val="TableParagraph"/>
              <w:spacing w:before="4"/>
              <w:rPr>
                <w:sz w:val="19"/>
              </w:rPr>
            </w:pPr>
          </w:p>
          <w:p w14:paraId="16BC20BC" w14:textId="77777777" w:rsidR="0046798B" w:rsidRDefault="00903B5C">
            <w:pPr>
              <w:pStyle w:val="TableParagraph"/>
              <w:ind w:left="114" w:right="1475"/>
              <w:rPr>
                <w:sz w:val="20"/>
              </w:rPr>
            </w:pPr>
            <w:r>
              <w:rPr>
                <w:sz w:val="20"/>
              </w:rPr>
              <w:t>0 = policy not adopted 1 = policy adopted</w:t>
            </w:r>
          </w:p>
        </w:tc>
        <w:tc>
          <w:tcPr>
            <w:tcW w:w="6482" w:type="dxa"/>
          </w:tcPr>
          <w:p w14:paraId="4A4098E0" w14:textId="77777777" w:rsidR="0046798B" w:rsidRDefault="00903B5C">
            <w:pPr>
              <w:pStyle w:val="TableParagraph"/>
              <w:spacing w:before="38"/>
              <w:ind w:left="114" w:right="129"/>
              <w:jc w:val="both"/>
              <w:rPr>
                <w:sz w:val="20"/>
              </w:rPr>
            </w:pPr>
            <w:r>
              <w:rPr>
                <w:color w:val="212121"/>
                <w:sz w:val="20"/>
              </w:rPr>
              <w:t>Mallinson, Daniel J. “Building a better speed trap: Measuring policy</w:t>
            </w:r>
            <w:r>
              <w:rPr>
                <w:color w:val="212121"/>
                <w:spacing w:val="-23"/>
                <w:sz w:val="20"/>
              </w:rPr>
              <w:t xml:space="preserve"> </w:t>
            </w:r>
            <w:r>
              <w:rPr>
                <w:color w:val="212121"/>
                <w:sz w:val="20"/>
              </w:rPr>
              <w:t xml:space="preserve">adoption speed in the American states.” </w:t>
            </w:r>
            <w:r>
              <w:rPr>
                <w:i/>
                <w:color w:val="212121"/>
                <w:sz w:val="20"/>
              </w:rPr>
              <w:t xml:space="preserve">State Politics &amp; Policy Quarterly </w:t>
            </w:r>
            <w:r>
              <w:rPr>
                <w:color w:val="212121"/>
                <w:sz w:val="20"/>
              </w:rPr>
              <w:t>16.1 (2016): 98</w:t>
            </w:r>
            <w:r>
              <w:rPr>
                <w:sz w:val="20"/>
              </w:rPr>
              <w:t>–</w:t>
            </w:r>
            <w:r>
              <w:rPr>
                <w:color w:val="212121"/>
                <w:sz w:val="20"/>
              </w:rPr>
              <w:t>120.</w:t>
            </w:r>
          </w:p>
          <w:p w14:paraId="2B359547" w14:textId="77777777" w:rsidR="0046798B" w:rsidRDefault="0046798B">
            <w:pPr>
              <w:pStyle w:val="TableParagraph"/>
              <w:rPr>
                <w:sz w:val="20"/>
              </w:rPr>
            </w:pPr>
          </w:p>
          <w:p w14:paraId="41AC9EB5" w14:textId="77777777" w:rsidR="0046798B" w:rsidRDefault="00903B5C">
            <w:pPr>
              <w:pStyle w:val="TableParagraph"/>
              <w:spacing w:before="1"/>
              <w:ind w:left="114" w:right="156"/>
              <w:rPr>
                <w:sz w:val="20"/>
              </w:rPr>
            </w:pPr>
            <w:r>
              <w:rPr>
                <w:sz w:val="20"/>
              </w:rPr>
              <w:t xml:space="preserve">Frederick J. Boehmke; Mark Brockway; Bruce Desmarais; Jeffrey J. Harden; Scott LaCombe; Fridolin Linder; Hanna Wallach, 2018, “State Policy Innovation and Diffusion (SPID) Database v1.0”, </w:t>
            </w:r>
            <w:hyperlink r:id="rId875">
              <w:r>
                <w:rPr>
                  <w:color w:val="0462C1"/>
                  <w:sz w:val="20"/>
                  <w:u w:val="single" w:color="0462C1"/>
                </w:rPr>
                <w:t>https://doi.org/10.7910/DVN/CVYSR7</w:t>
              </w:r>
            </w:hyperlink>
          </w:p>
        </w:tc>
      </w:tr>
      <w:tr w:rsidR="0046798B" w14:paraId="3BF55B7B" w14:textId="77777777">
        <w:trPr>
          <w:trHeight w:val="1925"/>
        </w:trPr>
        <w:tc>
          <w:tcPr>
            <w:tcW w:w="1711" w:type="dxa"/>
          </w:tcPr>
          <w:p w14:paraId="4A9F1DF6" w14:textId="77777777" w:rsidR="0046798B" w:rsidRDefault="0046798B">
            <w:pPr>
              <w:pStyle w:val="TableParagraph"/>
            </w:pPr>
          </w:p>
          <w:p w14:paraId="554D34F7" w14:textId="77777777" w:rsidR="0046798B" w:rsidRDefault="0046798B">
            <w:pPr>
              <w:pStyle w:val="TableParagraph"/>
            </w:pPr>
          </w:p>
          <w:p w14:paraId="0DF5D654" w14:textId="77777777" w:rsidR="0046798B" w:rsidRDefault="0046798B">
            <w:pPr>
              <w:pStyle w:val="TableParagraph"/>
              <w:spacing w:before="3"/>
              <w:rPr>
                <w:sz w:val="29"/>
              </w:rPr>
            </w:pPr>
          </w:p>
          <w:p w14:paraId="2B2C0BE4" w14:textId="77777777" w:rsidR="0046798B" w:rsidRDefault="00903B5C">
            <w:pPr>
              <w:pStyle w:val="TableParagraph"/>
              <w:ind w:left="115"/>
              <w:rPr>
                <w:b/>
                <w:sz w:val="20"/>
              </w:rPr>
            </w:pPr>
            <w:r>
              <w:rPr>
                <w:b/>
                <w:sz w:val="20"/>
              </w:rPr>
              <w:t>trap</w:t>
            </w:r>
          </w:p>
        </w:tc>
        <w:tc>
          <w:tcPr>
            <w:tcW w:w="1596" w:type="dxa"/>
          </w:tcPr>
          <w:p w14:paraId="53D0E638" w14:textId="77777777" w:rsidR="0046798B" w:rsidRDefault="0046798B">
            <w:pPr>
              <w:pStyle w:val="TableParagraph"/>
              <w:spacing w:before="3"/>
              <w:rPr>
                <w:sz w:val="23"/>
              </w:rPr>
            </w:pPr>
          </w:p>
          <w:p w14:paraId="101CDB9F" w14:textId="77777777" w:rsidR="0046798B" w:rsidRDefault="00903B5C">
            <w:pPr>
              <w:pStyle w:val="TableParagraph"/>
              <w:ind w:left="114" w:right="324"/>
              <w:rPr>
                <w:sz w:val="20"/>
              </w:rPr>
            </w:pPr>
            <w:r>
              <w:rPr>
                <w:sz w:val="20"/>
              </w:rPr>
              <w:t>Targeted Regulation of Abortion Providers (TRAP) Laws</w:t>
            </w:r>
          </w:p>
        </w:tc>
        <w:tc>
          <w:tcPr>
            <w:tcW w:w="1285" w:type="dxa"/>
          </w:tcPr>
          <w:p w14:paraId="3E221E1B" w14:textId="77777777" w:rsidR="0046798B" w:rsidRDefault="0046798B">
            <w:pPr>
              <w:pStyle w:val="TableParagraph"/>
            </w:pPr>
          </w:p>
          <w:p w14:paraId="3DE9C641" w14:textId="77777777" w:rsidR="0046798B" w:rsidRDefault="0046798B">
            <w:pPr>
              <w:pStyle w:val="TableParagraph"/>
            </w:pPr>
          </w:p>
          <w:p w14:paraId="4C677A4A" w14:textId="77777777" w:rsidR="0046798B" w:rsidRDefault="0046798B">
            <w:pPr>
              <w:pStyle w:val="TableParagraph"/>
              <w:spacing w:before="3"/>
              <w:rPr>
                <w:sz w:val="29"/>
              </w:rPr>
            </w:pPr>
          </w:p>
          <w:p w14:paraId="38CB3815" w14:textId="77777777" w:rsidR="0046798B" w:rsidRDefault="00903B5C">
            <w:pPr>
              <w:pStyle w:val="TableParagraph"/>
              <w:ind w:left="114"/>
              <w:rPr>
                <w:sz w:val="20"/>
              </w:rPr>
            </w:pPr>
            <w:r>
              <w:rPr>
                <w:sz w:val="20"/>
              </w:rPr>
              <w:t>1978–2005</w:t>
            </w:r>
          </w:p>
        </w:tc>
        <w:tc>
          <w:tcPr>
            <w:tcW w:w="3421" w:type="dxa"/>
          </w:tcPr>
          <w:p w14:paraId="6733573E" w14:textId="77777777" w:rsidR="0046798B" w:rsidRDefault="0046798B">
            <w:pPr>
              <w:pStyle w:val="TableParagraph"/>
            </w:pPr>
          </w:p>
          <w:p w14:paraId="37A6C8A8" w14:textId="77777777" w:rsidR="0046798B" w:rsidRDefault="0046798B">
            <w:pPr>
              <w:pStyle w:val="TableParagraph"/>
            </w:pPr>
          </w:p>
          <w:p w14:paraId="146C946C" w14:textId="77777777" w:rsidR="0046798B" w:rsidRDefault="0046798B">
            <w:pPr>
              <w:pStyle w:val="TableParagraph"/>
              <w:spacing w:before="3"/>
              <w:rPr>
                <w:sz w:val="19"/>
              </w:rPr>
            </w:pPr>
          </w:p>
          <w:p w14:paraId="2486C056" w14:textId="77777777" w:rsidR="0046798B" w:rsidRDefault="00903B5C">
            <w:pPr>
              <w:pStyle w:val="TableParagraph"/>
              <w:ind w:left="114" w:right="1475"/>
              <w:rPr>
                <w:sz w:val="20"/>
              </w:rPr>
            </w:pPr>
            <w:r>
              <w:rPr>
                <w:sz w:val="20"/>
              </w:rPr>
              <w:t>0 = policy not adopted 1 = policy adopted</w:t>
            </w:r>
          </w:p>
        </w:tc>
        <w:tc>
          <w:tcPr>
            <w:tcW w:w="6482" w:type="dxa"/>
          </w:tcPr>
          <w:p w14:paraId="608D798F" w14:textId="77777777" w:rsidR="0046798B" w:rsidRDefault="00903B5C">
            <w:pPr>
              <w:pStyle w:val="TableParagraph"/>
              <w:spacing w:before="38"/>
              <w:ind w:left="114" w:right="129"/>
              <w:jc w:val="both"/>
              <w:rPr>
                <w:sz w:val="20"/>
              </w:rPr>
            </w:pPr>
            <w:r>
              <w:rPr>
                <w:color w:val="212121"/>
                <w:sz w:val="20"/>
              </w:rPr>
              <w:t>Mallinson, Daniel J. “Building a better speed trap: Measuring policy</w:t>
            </w:r>
            <w:r>
              <w:rPr>
                <w:color w:val="212121"/>
                <w:spacing w:val="-23"/>
                <w:sz w:val="20"/>
              </w:rPr>
              <w:t xml:space="preserve"> </w:t>
            </w:r>
            <w:r>
              <w:rPr>
                <w:color w:val="212121"/>
                <w:sz w:val="20"/>
              </w:rPr>
              <w:t xml:space="preserve">adoption speed in the American states.” </w:t>
            </w:r>
            <w:r>
              <w:rPr>
                <w:i/>
                <w:color w:val="212121"/>
                <w:sz w:val="20"/>
              </w:rPr>
              <w:t xml:space="preserve">State Politics &amp; Policy Quarterly </w:t>
            </w:r>
            <w:r>
              <w:rPr>
                <w:color w:val="212121"/>
                <w:sz w:val="20"/>
              </w:rPr>
              <w:t>16.1 (2016): 98</w:t>
            </w:r>
            <w:r>
              <w:rPr>
                <w:sz w:val="20"/>
              </w:rPr>
              <w:t>–</w:t>
            </w:r>
            <w:r>
              <w:rPr>
                <w:color w:val="212121"/>
                <w:sz w:val="20"/>
              </w:rPr>
              <w:t>120.</w:t>
            </w:r>
          </w:p>
          <w:p w14:paraId="2E7D4661" w14:textId="77777777" w:rsidR="0046798B" w:rsidRDefault="0046798B">
            <w:pPr>
              <w:pStyle w:val="TableParagraph"/>
              <w:rPr>
                <w:sz w:val="20"/>
              </w:rPr>
            </w:pPr>
          </w:p>
          <w:p w14:paraId="1701D281" w14:textId="77777777" w:rsidR="0046798B" w:rsidRDefault="00903B5C">
            <w:pPr>
              <w:pStyle w:val="TableParagraph"/>
              <w:ind w:left="114" w:right="156"/>
              <w:rPr>
                <w:sz w:val="20"/>
              </w:rPr>
            </w:pPr>
            <w:r>
              <w:rPr>
                <w:sz w:val="20"/>
              </w:rPr>
              <w:t xml:space="preserve">Frederick J. Boehmke; Mark Brockway; Bruce Desmarais; Jeffrey J. Harden; Scott LaCombe; Fridolin Linder; Hanna Wallach, 2018, “State Policy Innovation and Diffusion (SPID) Database v1.0”, </w:t>
            </w:r>
            <w:hyperlink r:id="rId876">
              <w:r>
                <w:rPr>
                  <w:color w:val="0462C1"/>
                  <w:sz w:val="20"/>
                  <w:u w:val="single" w:color="0462C1"/>
                </w:rPr>
                <w:t>https://doi.org/10.7910/DVN/CVYSR7</w:t>
              </w:r>
            </w:hyperlink>
          </w:p>
        </w:tc>
      </w:tr>
      <w:tr w:rsidR="0046798B" w14:paraId="66517879" w14:textId="77777777">
        <w:trPr>
          <w:trHeight w:val="775"/>
        </w:trPr>
        <w:tc>
          <w:tcPr>
            <w:tcW w:w="1711" w:type="dxa"/>
          </w:tcPr>
          <w:p w14:paraId="4EC35580" w14:textId="77777777" w:rsidR="0046798B" w:rsidRDefault="0046798B">
            <w:pPr>
              <w:pStyle w:val="TableParagraph"/>
              <w:spacing w:before="3"/>
              <w:rPr>
                <w:sz w:val="23"/>
              </w:rPr>
            </w:pPr>
          </w:p>
          <w:p w14:paraId="36B3E4D8" w14:textId="77777777" w:rsidR="0046798B" w:rsidRDefault="00903B5C">
            <w:pPr>
              <w:pStyle w:val="TableParagraph"/>
              <w:spacing w:before="1"/>
              <w:ind w:left="115"/>
              <w:rPr>
                <w:b/>
                <w:sz w:val="20"/>
              </w:rPr>
            </w:pPr>
            <w:r>
              <w:rPr>
                <w:b/>
                <w:sz w:val="20"/>
              </w:rPr>
              <w:t>abor_optout_inst</w:t>
            </w:r>
          </w:p>
        </w:tc>
        <w:tc>
          <w:tcPr>
            <w:tcW w:w="1596" w:type="dxa"/>
          </w:tcPr>
          <w:p w14:paraId="2E5F080A" w14:textId="77777777" w:rsidR="0046798B" w:rsidRDefault="00903B5C">
            <w:pPr>
              <w:pStyle w:val="TableParagraph"/>
              <w:spacing w:before="153"/>
              <w:ind w:left="114"/>
              <w:rPr>
                <w:sz w:val="20"/>
              </w:rPr>
            </w:pPr>
            <w:r>
              <w:rPr>
                <w:sz w:val="20"/>
              </w:rPr>
              <w:t>Institutional abortion opt-out</w:t>
            </w:r>
          </w:p>
        </w:tc>
        <w:tc>
          <w:tcPr>
            <w:tcW w:w="1285" w:type="dxa"/>
          </w:tcPr>
          <w:p w14:paraId="0EC42BBF" w14:textId="77777777" w:rsidR="0046798B" w:rsidRDefault="0046798B">
            <w:pPr>
              <w:pStyle w:val="TableParagraph"/>
              <w:spacing w:before="3"/>
              <w:rPr>
                <w:sz w:val="23"/>
              </w:rPr>
            </w:pPr>
          </w:p>
          <w:p w14:paraId="16CEF623" w14:textId="77777777" w:rsidR="0046798B" w:rsidRDefault="00903B5C">
            <w:pPr>
              <w:pStyle w:val="TableParagraph"/>
              <w:spacing w:before="1"/>
              <w:ind w:left="114"/>
              <w:rPr>
                <w:sz w:val="20"/>
              </w:rPr>
            </w:pPr>
            <w:r>
              <w:rPr>
                <w:sz w:val="20"/>
              </w:rPr>
              <w:t>2017</w:t>
            </w:r>
          </w:p>
        </w:tc>
        <w:tc>
          <w:tcPr>
            <w:tcW w:w="3421" w:type="dxa"/>
          </w:tcPr>
          <w:p w14:paraId="1CC55597" w14:textId="77777777" w:rsidR="0046798B" w:rsidRDefault="00903B5C">
            <w:pPr>
              <w:pStyle w:val="TableParagraph"/>
              <w:spacing w:before="38"/>
              <w:ind w:left="114"/>
              <w:rPr>
                <w:sz w:val="20"/>
              </w:rPr>
            </w:pPr>
            <w:r>
              <w:rPr>
                <w:sz w:val="20"/>
              </w:rPr>
              <w:t>Institutional providers may opt-out of providing abortion procedures</w:t>
            </w:r>
          </w:p>
        </w:tc>
        <w:tc>
          <w:tcPr>
            <w:tcW w:w="6482" w:type="dxa"/>
          </w:tcPr>
          <w:p w14:paraId="59713029" w14:textId="77777777" w:rsidR="0046798B" w:rsidRDefault="00903B5C">
            <w:pPr>
              <w:pStyle w:val="TableParagraph"/>
              <w:spacing w:before="153"/>
              <w:ind w:left="114" w:right="217"/>
              <w:rPr>
                <w:sz w:val="20"/>
              </w:rPr>
            </w:pPr>
            <w:r>
              <w:rPr>
                <w:sz w:val="20"/>
              </w:rPr>
              <w:t xml:space="preserve">Guttmacher Institute. 2017. “An Overview of Abortion Laws.” Retrieved from: </w:t>
            </w:r>
            <w:hyperlink r:id="rId877">
              <w:r>
                <w:rPr>
                  <w:color w:val="0462C1"/>
                  <w:sz w:val="20"/>
                  <w:u w:val="single" w:color="0462C1"/>
                </w:rPr>
                <w:t>http://www.guttmacher.org/statecenter/spibs/spib_OAL.pdf</w:t>
              </w:r>
              <w:r>
                <w:rPr>
                  <w:sz w:val="20"/>
                </w:rPr>
                <w:t>.</w:t>
              </w:r>
            </w:hyperlink>
          </w:p>
        </w:tc>
      </w:tr>
    </w:tbl>
    <w:p w14:paraId="5E87A328" w14:textId="77777777" w:rsidR="0046798B" w:rsidRDefault="0046798B">
      <w:pPr>
        <w:rPr>
          <w:sz w:val="20"/>
        </w:rPr>
        <w:sectPr w:rsidR="0046798B">
          <w:pgSz w:w="15840" w:h="12240" w:orient="landscape"/>
          <w:pgMar w:top="1220" w:right="300" w:bottom="980" w:left="820" w:header="730" w:footer="787" w:gutter="0"/>
          <w:cols w:space="720"/>
        </w:sectPr>
      </w:pPr>
    </w:p>
    <w:p w14:paraId="148B1046"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F38BA61" w14:textId="77777777">
        <w:trPr>
          <w:trHeight w:val="542"/>
        </w:trPr>
        <w:tc>
          <w:tcPr>
            <w:tcW w:w="1711" w:type="dxa"/>
            <w:tcBorders>
              <w:bottom w:val="dotted" w:sz="6" w:space="0" w:color="BEBEBE"/>
            </w:tcBorders>
          </w:tcPr>
          <w:p w14:paraId="35FBFFA2" w14:textId="77777777" w:rsidR="0046798B" w:rsidRDefault="0046798B">
            <w:pPr>
              <w:pStyle w:val="TableParagraph"/>
              <w:rPr>
                <w:sz w:val="20"/>
              </w:rPr>
            </w:pPr>
          </w:p>
        </w:tc>
        <w:tc>
          <w:tcPr>
            <w:tcW w:w="1596" w:type="dxa"/>
            <w:tcBorders>
              <w:bottom w:val="dotted" w:sz="6" w:space="0" w:color="BEBEBE"/>
            </w:tcBorders>
          </w:tcPr>
          <w:p w14:paraId="1F8AB827" w14:textId="77777777" w:rsidR="0046798B" w:rsidRDefault="0046798B">
            <w:pPr>
              <w:pStyle w:val="TableParagraph"/>
              <w:rPr>
                <w:sz w:val="20"/>
              </w:rPr>
            </w:pPr>
          </w:p>
        </w:tc>
        <w:tc>
          <w:tcPr>
            <w:tcW w:w="1285" w:type="dxa"/>
            <w:tcBorders>
              <w:bottom w:val="dotted" w:sz="6" w:space="0" w:color="BEBEBE"/>
            </w:tcBorders>
          </w:tcPr>
          <w:p w14:paraId="27C782E4" w14:textId="77777777" w:rsidR="0046798B" w:rsidRDefault="0046798B">
            <w:pPr>
              <w:pStyle w:val="TableParagraph"/>
              <w:rPr>
                <w:sz w:val="20"/>
              </w:rPr>
            </w:pPr>
          </w:p>
        </w:tc>
        <w:tc>
          <w:tcPr>
            <w:tcW w:w="3421" w:type="dxa"/>
            <w:tcBorders>
              <w:bottom w:val="dotted" w:sz="6" w:space="0" w:color="BEBEBE"/>
            </w:tcBorders>
          </w:tcPr>
          <w:p w14:paraId="2BF52CB0" w14:textId="77777777" w:rsidR="0046798B" w:rsidRDefault="00903B5C">
            <w:pPr>
              <w:pStyle w:val="TableParagraph"/>
              <w:spacing w:before="43"/>
              <w:ind w:left="114" w:right="150"/>
              <w:rPr>
                <w:sz w:val="20"/>
              </w:rPr>
            </w:pPr>
            <w:r>
              <w:rPr>
                <w:sz w:val="20"/>
              </w:rPr>
              <w:t>Note: 0 = no; 1 = yes; 8 = private only; 9 = religious only</w:t>
            </w:r>
          </w:p>
        </w:tc>
        <w:tc>
          <w:tcPr>
            <w:tcW w:w="6482" w:type="dxa"/>
            <w:tcBorders>
              <w:bottom w:val="dotted" w:sz="6" w:space="0" w:color="BEBEBE"/>
            </w:tcBorders>
          </w:tcPr>
          <w:p w14:paraId="77C016D4" w14:textId="77777777" w:rsidR="0046798B" w:rsidRDefault="0046798B">
            <w:pPr>
              <w:pStyle w:val="TableParagraph"/>
              <w:rPr>
                <w:sz w:val="20"/>
              </w:rPr>
            </w:pPr>
          </w:p>
        </w:tc>
      </w:tr>
      <w:tr w:rsidR="0046798B" w14:paraId="4B45DFDB" w14:textId="77777777">
        <w:trPr>
          <w:trHeight w:val="1002"/>
        </w:trPr>
        <w:tc>
          <w:tcPr>
            <w:tcW w:w="1711" w:type="dxa"/>
            <w:tcBorders>
              <w:top w:val="dotted" w:sz="6" w:space="0" w:color="BEBEBE"/>
            </w:tcBorders>
          </w:tcPr>
          <w:p w14:paraId="5E52DC59" w14:textId="77777777" w:rsidR="0046798B" w:rsidRDefault="0046798B">
            <w:pPr>
              <w:pStyle w:val="TableParagraph"/>
            </w:pPr>
          </w:p>
          <w:p w14:paraId="2BDC3C9E" w14:textId="77777777" w:rsidR="0046798B" w:rsidRDefault="00903B5C">
            <w:pPr>
              <w:pStyle w:val="TableParagraph"/>
              <w:spacing w:before="133"/>
              <w:ind w:left="115"/>
              <w:rPr>
                <w:b/>
                <w:sz w:val="20"/>
              </w:rPr>
            </w:pPr>
            <w:r>
              <w:rPr>
                <w:b/>
                <w:sz w:val="20"/>
              </w:rPr>
              <w:t>abor_pubfund</w:t>
            </w:r>
          </w:p>
        </w:tc>
        <w:tc>
          <w:tcPr>
            <w:tcW w:w="1596" w:type="dxa"/>
            <w:tcBorders>
              <w:top w:val="dotted" w:sz="6" w:space="0" w:color="BEBEBE"/>
            </w:tcBorders>
          </w:tcPr>
          <w:p w14:paraId="3B0E3DA9" w14:textId="77777777" w:rsidR="0046798B" w:rsidRDefault="0046798B">
            <w:pPr>
              <w:pStyle w:val="TableParagraph"/>
              <w:spacing w:before="6"/>
              <w:rPr>
                <w:sz w:val="23"/>
              </w:rPr>
            </w:pPr>
          </w:p>
          <w:p w14:paraId="2C604214" w14:textId="77777777" w:rsidR="0046798B" w:rsidRDefault="00903B5C">
            <w:pPr>
              <w:pStyle w:val="TableParagraph"/>
              <w:ind w:left="114" w:right="229"/>
              <w:rPr>
                <w:sz w:val="20"/>
              </w:rPr>
            </w:pPr>
            <w:r>
              <w:rPr>
                <w:sz w:val="20"/>
              </w:rPr>
              <w:t>Public funding of abortions</w:t>
            </w:r>
          </w:p>
        </w:tc>
        <w:tc>
          <w:tcPr>
            <w:tcW w:w="1285" w:type="dxa"/>
            <w:tcBorders>
              <w:top w:val="dotted" w:sz="6" w:space="0" w:color="BEBEBE"/>
            </w:tcBorders>
          </w:tcPr>
          <w:p w14:paraId="03D3D043" w14:textId="77777777" w:rsidR="0046798B" w:rsidRDefault="0046798B">
            <w:pPr>
              <w:pStyle w:val="TableParagraph"/>
            </w:pPr>
          </w:p>
          <w:p w14:paraId="6FE94964" w14:textId="77777777" w:rsidR="0046798B" w:rsidRDefault="00903B5C">
            <w:pPr>
              <w:pStyle w:val="TableParagraph"/>
              <w:spacing w:before="133"/>
              <w:ind w:left="114"/>
              <w:rPr>
                <w:sz w:val="20"/>
              </w:rPr>
            </w:pPr>
            <w:r>
              <w:rPr>
                <w:sz w:val="20"/>
              </w:rPr>
              <w:t>2017</w:t>
            </w:r>
          </w:p>
        </w:tc>
        <w:tc>
          <w:tcPr>
            <w:tcW w:w="3421" w:type="dxa"/>
            <w:tcBorders>
              <w:top w:val="dotted" w:sz="6" w:space="0" w:color="BEBEBE"/>
            </w:tcBorders>
          </w:tcPr>
          <w:p w14:paraId="63B1843A" w14:textId="77777777" w:rsidR="0046798B" w:rsidRDefault="00903B5C">
            <w:pPr>
              <w:pStyle w:val="TableParagraph"/>
              <w:spacing w:before="40"/>
              <w:ind w:left="114"/>
              <w:rPr>
                <w:sz w:val="20"/>
              </w:rPr>
            </w:pPr>
            <w:r>
              <w:rPr>
                <w:sz w:val="20"/>
              </w:rPr>
              <w:t>Public funding of all or most medically necessary abortions</w:t>
            </w:r>
          </w:p>
          <w:p w14:paraId="2C2A8B80" w14:textId="77777777" w:rsidR="0046798B" w:rsidRDefault="0046798B">
            <w:pPr>
              <w:pStyle w:val="TableParagraph"/>
              <w:rPr>
                <w:sz w:val="20"/>
              </w:rPr>
            </w:pPr>
          </w:p>
          <w:p w14:paraId="77366C96" w14:textId="77777777" w:rsidR="0046798B" w:rsidRDefault="00903B5C">
            <w:pPr>
              <w:pStyle w:val="TableParagraph"/>
              <w:spacing w:before="1"/>
              <w:ind w:left="114"/>
              <w:rPr>
                <w:sz w:val="20"/>
              </w:rPr>
            </w:pPr>
            <w:r>
              <w:rPr>
                <w:sz w:val="20"/>
              </w:rPr>
              <w:t>Note: 0 = no; 1 = yes</w:t>
            </w:r>
          </w:p>
        </w:tc>
        <w:tc>
          <w:tcPr>
            <w:tcW w:w="6482" w:type="dxa"/>
            <w:tcBorders>
              <w:top w:val="dotted" w:sz="6" w:space="0" w:color="BEBEBE"/>
            </w:tcBorders>
          </w:tcPr>
          <w:p w14:paraId="7DF0B471" w14:textId="77777777" w:rsidR="0046798B" w:rsidRDefault="0046798B">
            <w:pPr>
              <w:pStyle w:val="TableParagraph"/>
              <w:spacing w:before="6"/>
              <w:rPr>
                <w:sz w:val="23"/>
              </w:rPr>
            </w:pPr>
          </w:p>
          <w:p w14:paraId="1647604B" w14:textId="77777777" w:rsidR="0046798B" w:rsidRDefault="00903B5C">
            <w:pPr>
              <w:pStyle w:val="TableParagraph"/>
              <w:ind w:left="114" w:right="217"/>
              <w:rPr>
                <w:sz w:val="20"/>
              </w:rPr>
            </w:pPr>
            <w:r>
              <w:rPr>
                <w:sz w:val="20"/>
              </w:rPr>
              <w:t xml:space="preserve">Guttmacher Institute. 2017. “An Overview of Abortion Laws.” Retrieved from: </w:t>
            </w:r>
            <w:hyperlink r:id="rId878">
              <w:r>
                <w:rPr>
                  <w:color w:val="0462C1"/>
                  <w:sz w:val="20"/>
                  <w:u w:val="single" w:color="0462C1"/>
                </w:rPr>
                <w:t>http://www.guttmacher.org/statecenter/spibs/spib_OAL.pdf</w:t>
              </w:r>
              <w:r>
                <w:rPr>
                  <w:sz w:val="20"/>
                </w:rPr>
                <w:t>.</w:t>
              </w:r>
            </w:hyperlink>
          </w:p>
        </w:tc>
      </w:tr>
      <w:tr w:rsidR="0046798B" w14:paraId="3CEE1C59" w14:textId="77777777">
        <w:trPr>
          <w:trHeight w:val="1931"/>
        </w:trPr>
        <w:tc>
          <w:tcPr>
            <w:tcW w:w="1711" w:type="dxa"/>
          </w:tcPr>
          <w:p w14:paraId="52A9C0C1" w14:textId="77777777" w:rsidR="0046798B" w:rsidRDefault="0046798B">
            <w:pPr>
              <w:pStyle w:val="TableParagraph"/>
            </w:pPr>
          </w:p>
          <w:p w14:paraId="5554910A" w14:textId="77777777" w:rsidR="0046798B" w:rsidRDefault="0046798B">
            <w:pPr>
              <w:pStyle w:val="TableParagraph"/>
            </w:pPr>
          </w:p>
          <w:p w14:paraId="284D202D" w14:textId="77777777" w:rsidR="0046798B" w:rsidRDefault="0046798B">
            <w:pPr>
              <w:pStyle w:val="TableParagraph"/>
              <w:spacing w:before="9"/>
              <w:rPr>
                <w:sz w:val="29"/>
              </w:rPr>
            </w:pPr>
          </w:p>
          <w:p w14:paraId="31D81545" w14:textId="77777777" w:rsidR="0046798B" w:rsidRDefault="00903B5C">
            <w:pPr>
              <w:pStyle w:val="TableParagraph"/>
              <w:ind w:left="115"/>
              <w:rPr>
                <w:b/>
                <w:sz w:val="20"/>
              </w:rPr>
            </w:pPr>
            <w:r>
              <w:rPr>
                <w:b/>
                <w:sz w:val="20"/>
              </w:rPr>
              <w:t>abor_secphys</w:t>
            </w:r>
          </w:p>
        </w:tc>
        <w:tc>
          <w:tcPr>
            <w:tcW w:w="1596" w:type="dxa"/>
          </w:tcPr>
          <w:p w14:paraId="49B4D760" w14:textId="77777777" w:rsidR="0046798B" w:rsidRDefault="0046798B">
            <w:pPr>
              <w:pStyle w:val="TableParagraph"/>
            </w:pPr>
          </w:p>
          <w:p w14:paraId="39B75983" w14:textId="77777777" w:rsidR="0046798B" w:rsidRDefault="0046798B">
            <w:pPr>
              <w:pStyle w:val="TableParagraph"/>
              <w:spacing w:before="9"/>
              <w:rPr>
                <w:sz w:val="31"/>
              </w:rPr>
            </w:pPr>
          </w:p>
          <w:p w14:paraId="49F1D60C" w14:textId="77777777" w:rsidR="0046798B" w:rsidRDefault="00903B5C">
            <w:pPr>
              <w:pStyle w:val="TableParagraph"/>
              <w:ind w:left="114" w:right="124"/>
              <w:rPr>
                <w:sz w:val="20"/>
              </w:rPr>
            </w:pPr>
            <w:r>
              <w:rPr>
                <w:sz w:val="20"/>
              </w:rPr>
              <w:t>Abortion second physician requirement</w:t>
            </w:r>
          </w:p>
        </w:tc>
        <w:tc>
          <w:tcPr>
            <w:tcW w:w="1285" w:type="dxa"/>
          </w:tcPr>
          <w:p w14:paraId="5DAD73EF" w14:textId="77777777" w:rsidR="0046798B" w:rsidRDefault="0046798B">
            <w:pPr>
              <w:pStyle w:val="TableParagraph"/>
            </w:pPr>
          </w:p>
          <w:p w14:paraId="62456F0A" w14:textId="77777777" w:rsidR="0046798B" w:rsidRDefault="0046798B">
            <w:pPr>
              <w:pStyle w:val="TableParagraph"/>
            </w:pPr>
          </w:p>
          <w:p w14:paraId="1CC1BCF5" w14:textId="77777777" w:rsidR="0046798B" w:rsidRDefault="0046798B">
            <w:pPr>
              <w:pStyle w:val="TableParagraph"/>
              <w:spacing w:before="9"/>
              <w:rPr>
                <w:sz w:val="29"/>
              </w:rPr>
            </w:pPr>
          </w:p>
          <w:p w14:paraId="4F7AD32D" w14:textId="77777777" w:rsidR="0046798B" w:rsidRDefault="00903B5C">
            <w:pPr>
              <w:pStyle w:val="TableParagraph"/>
              <w:ind w:left="114"/>
              <w:rPr>
                <w:sz w:val="20"/>
              </w:rPr>
            </w:pPr>
            <w:r>
              <w:rPr>
                <w:sz w:val="20"/>
              </w:rPr>
              <w:t>2017</w:t>
            </w:r>
          </w:p>
        </w:tc>
        <w:tc>
          <w:tcPr>
            <w:tcW w:w="3421" w:type="dxa"/>
          </w:tcPr>
          <w:p w14:paraId="36044CD3" w14:textId="77777777" w:rsidR="0046798B" w:rsidRDefault="00903B5C">
            <w:pPr>
              <w:pStyle w:val="TableParagraph"/>
              <w:spacing w:before="44"/>
              <w:ind w:left="114" w:right="156"/>
              <w:rPr>
                <w:sz w:val="20"/>
              </w:rPr>
            </w:pPr>
            <w:r>
              <w:rPr>
                <w:sz w:val="20"/>
              </w:rPr>
              <w:t>Number of weeks after which a second physician must participate</w:t>
            </w:r>
          </w:p>
          <w:p w14:paraId="5E040E92" w14:textId="77777777" w:rsidR="0046798B" w:rsidRDefault="0046798B">
            <w:pPr>
              <w:pStyle w:val="TableParagraph"/>
              <w:spacing w:before="11"/>
              <w:rPr>
                <w:sz w:val="19"/>
              </w:rPr>
            </w:pPr>
          </w:p>
          <w:p w14:paraId="5CAFE1A9" w14:textId="77777777" w:rsidR="0046798B" w:rsidRDefault="00903B5C">
            <w:pPr>
              <w:pStyle w:val="TableParagraph"/>
              <w:ind w:left="114" w:right="188"/>
              <w:rPr>
                <w:sz w:val="20"/>
              </w:rPr>
            </w:pPr>
            <w:r>
              <w:rPr>
                <w:sz w:val="20"/>
              </w:rPr>
              <w:t>Note: “second trimester” was recoded to 13 weeks; “third trimester” was recoded to 28 weeks; “point of viability” is coded as V; missing value indicates no such requirement</w:t>
            </w:r>
          </w:p>
        </w:tc>
        <w:tc>
          <w:tcPr>
            <w:tcW w:w="6482" w:type="dxa"/>
          </w:tcPr>
          <w:p w14:paraId="6270FC70" w14:textId="77777777" w:rsidR="0046798B" w:rsidRDefault="0046798B">
            <w:pPr>
              <w:pStyle w:val="TableParagraph"/>
            </w:pPr>
          </w:p>
          <w:p w14:paraId="2391520B" w14:textId="77777777" w:rsidR="0046798B" w:rsidRDefault="0046798B">
            <w:pPr>
              <w:pStyle w:val="TableParagraph"/>
            </w:pPr>
          </w:p>
          <w:p w14:paraId="1905456B" w14:textId="77777777" w:rsidR="0046798B" w:rsidRDefault="0046798B">
            <w:pPr>
              <w:pStyle w:val="TableParagraph"/>
              <w:spacing w:before="9"/>
              <w:rPr>
                <w:sz w:val="19"/>
              </w:rPr>
            </w:pPr>
          </w:p>
          <w:p w14:paraId="7A44D00B" w14:textId="77777777" w:rsidR="0046798B" w:rsidRDefault="00903B5C">
            <w:pPr>
              <w:pStyle w:val="TableParagraph"/>
              <w:ind w:left="114" w:right="217"/>
              <w:rPr>
                <w:sz w:val="20"/>
              </w:rPr>
            </w:pPr>
            <w:r>
              <w:rPr>
                <w:sz w:val="20"/>
              </w:rPr>
              <w:t xml:space="preserve">Guttmacher Institute. 2017. “An Overview of Abortion Laws.” Retrieved from: </w:t>
            </w:r>
            <w:hyperlink r:id="rId879">
              <w:r>
                <w:rPr>
                  <w:color w:val="0462C1"/>
                  <w:sz w:val="20"/>
                  <w:u w:val="single" w:color="0462C1"/>
                </w:rPr>
                <w:t>http://www.guttmacher.org/statecenter/spibs/spib_OAL.pdf</w:t>
              </w:r>
              <w:r>
                <w:rPr>
                  <w:sz w:val="20"/>
                </w:rPr>
                <w:t>.</w:t>
              </w:r>
            </w:hyperlink>
          </w:p>
        </w:tc>
      </w:tr>
      <w:tr w:rsidR="0046798B" w14:paraId="18897BFA" w14:textId="77777777">
        <w:trPr>
          <w:trHeight w:val="1005"/>
        </w:trPr>
        <w:tc>
          <w:tcPr>
            <w:tcW w:w="1711" w:type="dxa"/>
          </w:tcPr>
          <w:p w14:paraId="15C260F8" w14:textId="77777777" w:rsidR="0046798B" w:rsidRDefault="0046798B">
            <w:pPr>
              <w:pStyle w:val="TableParagraph"/>
            </w:pPr>
          </w:p>
          <w:p w14:paraId="5D0ECD61" w14:textId="77777777" w:rsidR="0046798B" w:rsidRDefault="00903B5C">
            <w:pPr>
              <w:pStyle w:val="TableParagraph"/>
              <w:spacing w:before="130"/>
              <w:ind w:left="115"/>
              <w:rPr>
                <w:b/>
                <w:sz w:val="20"/>
              </w:rPr>
            </w:pPr>
            <w:r>
              <w:rPr>
                <w:b/>
                <w:sz w:val="20"/>
              </w:rPr>
              <w:t>aborparc</w:t>
            </w:r>
          </w:p>
        </w:tc>
        <w:tc>
          <w:tcPr>
            <w:tcW w:w="1596" w:type="dxa"/>
          </w:tcPr>
          <w:p w14:paraId="1BE9E06D" w14:textId="77777777" w:rsidR="0046798B" w:rsidRDefault="00903B5C">
            <w:pPr>
              <w:pStyle w:val="TableParagraph"/>
              <w:spacing w:before="38"/>
              <w:ind w:left="114" w:right="396"/>
              <w:rPr>
                <w:sz w:val="20"/>
              </w:rPr>
            </w:pPr>
            <w:r>
              <w:rPr>
                <w:sz w:val="20"/>
              </w:rPr>
              <w:t>One-parent consent for abortion by a minor</w:t>
            </w:r>
          </w:p>
        </w:tc>
        <w:tc>
          <w:tcPr>
            <w:tcW w:w="1285" w:type="dxa"/>
          </w:tcPr>
          <w:p w14:paraId="7653756F" w14:textId="77777777" w:rsidR="0046798B" w:rsidRDefault="0046798B">
            <w:pPr>
              <w:pStyle w:val="TableParagraph"/>
            </w:pPr>
          </w:p>
          <w:p w14:paraId="7ACD1A3B" w14:textId="77777777" w:rsidR="0046798B" w:rsidRDefault="00903B5C">
            <w:pPr>
              <w:pStyle w:val="TableParagraph"/>
              <w:spacing w:before="130"/>
              <w:ind w:left="114"/>
              <w:rPr>
                <w:sz w:val="20"/>
              </w:rPr>
            </w:pPr>
            <w:r>
              <w:rPr>
                <w:sz w:val="20"/>
              </w:rPr>
              <w:t>1981–1999</w:t>
            </w:r>
          </w:p>
        </w:tc>
        <w:tc>
          <w:tcPr>
            <w:tcW w:w="3421" w:type="dxa"/>
          </w:tcPr>
          <w:p w14:paraId="297453D4" w14:textId="77777777" w:rsidR="0046798B" w:rsidRDefault="0046798B">
            <w:pPr>
              <w:pStyle w:val="TableParagraph"/>
              <w:spacing w:before="3"/>
              <w:rPr>
                <w:sz w:val="23"/>
              </w:rPr>
            </w:pPr>
          </w:p>
          <w:p w14:paraId="6EC0B25F" w14:textId="77777777" w:rsidR="0046798B" w:rsidRDefault="00903B5C">
            <w:pPr>
              <w:pStyle w:val="TableParagraph"/>
              <w:spacing w:before="1"/>
              <w:ind w:left="114" w:right="216"/>
              <w:rPr>
                <w:sz w:val="20"/>
              </w:rPr>
            </w:pPr>
            <w:r>
              <w:rPr>
                <w:sz w:val="20"/>
              </w:rPr>
              <w:t>Did state adopt one-parent consent for abortion by a minor? (0 = no, 1 = yes)</w:t>
            </w:r>
          </w:p>
        </w:tc>
        <w:tc>
          <w:tcPr>
            <w:tcW w:w="6482" w:type="dxa"/>
          </w:tcPr>
          <w:p w14:paraId="7187D5DA" w14:textId="77777777" w:rsidR="0046798B" w:rsidRDefault="0046798B">
            <w:pPr>
              <w:pStyle w:val="TableParagraph"/>
              <w:spacing w:before="3"/>
              <w:rPr>
                <w:sz w:val="23"/>
              </w:rPr>
            </w:pPr>
          </w:p>
          <w:p w14:paraId="03240968" w14:textId="77777777" w:rsidR="0046798B" w:rsidRDefault="00903B5C">
            <w:pPr>
              <w:pStyle w:val="TableParagraph"/>
              <w:spacing w:before="1"/>
              <w:ind w:left="114" w:right="661"/>
              <w:rPr>
                <w:sz w:val="20"/>
              </w:rPr>
            </w:pPr>
            <w:r>
              <w:rPr>
                <w:sz w:val="20"/>
              </w:rPr>
              <w:t xml:space="preserve">Boehmke, Frederick J., and Paul Skinner. “State Policy Innovativeness Revisited.” </w:t>
            </w:r>
            <w:r>
              <w:rPr>
                <w:i/>
                <w:sz w:val="20"/>
              </w:rPr>
              <w:t xml:space="preserve">State Politics &amp; Policy Quarterly </w:t>
            </w:r>
            <w:r>
              <w:rPr>
                <w:sz w:val="20"/>
              </w:rPr>
              <w:t>12.3 (2012): 303–29.</w:t>
            </w:r>
          </w:p>
        </w:tc>
      </w:tr>
      <w:tr w:rsidR="0046798B" w14:paraId="57F7645A" w14:textId="77777777">
        <w:trPr>
          <w:trHeight w:val="1005"/>
        </w:trPr>
        <w:tc>
          <w:tcPr>
            <w:tcW w:w="1711" w:type="dxa"/>
          </w:tcPr>
          <w:p w14:paraId="6D65EB34" w14:textId="77777777" w:rsidR="0046798B" w:rsidRDefault="0046798B">
            <w:pPr>
              <w:pStyle w:val="TableParagraph"/>
            </w:pPr>
          </w:p>
          <w:p w14:paraId="79FD225F" w14:textId="77777777" w:rsidR="0046798B" w:rsidRDefault="00903B5C">
            <w:pPr>
              <w:pStyle w:val="TableParagraph"/>
              <w:spacing w:before="130"/>
              <w:ind w:left="115"/>
              <w:rPr>
                <w:b/>
                <w:sz w:val="20"/>
              </w:rPr>
            </w:pPr>
            <w:r>
              <w:rPr>
                <w:b/>
                <w:sz w:val="20"/>
              </w:rPr>
              <w:t>aborparn</w:t>
            </w:r>
          </w:p>
        </w:tc>
        <w:tc>
          <w:tcPr>
            <w:tcW w:w="1596" w:type="dxa"/>
          </w:tcPr>
          <w:p w14:paraId="7F1C99B5" w14:textId="77777777" w:rsidR="0046798B" w:rsidRDefault="00903B5C">
            <w:pPr>
              <w:pStyle w:val="TableParagraph"/>
              <w:spacing w:before="38"/>
              <w:ind w:left="114"/>
              <w:rPr>
                <w:sz w:val="20"/>
              </w:rPr>
            </w:pPr>
            <w:r>
              <w:rPr>
                <w:sz w:val="20"/>
              </w:rPr>
              <w:t>One-parent notification for abortion by a minor</w:t>
            </w:r>
          </w:p>
        </w:tc>
        <w:tc>
          <w:tcPr>
            <w:tcW w:w="1285" w:type="dxa"/>
          </w:tcPr>
          <w:p w14:paraId="0741B70F" w14:textId="77777777" w:rsidR="0046798B" w:rsidRDefault="0046798B">
            <w:pPr>
              <w:pStyle w:val="TableParagraph"/>
            </w:pPr>
          </w:p>
          <w:p w14:paraId="7F186920" w14:textId="77777777" w:rsidR="0046798B" w:rsidRDefault="00903B5C">
            <w:pPr>
              <w:pStyle w:val="TableParagraph"/>
              <w:spacing w:before="130"/>
              <w:ind w:left="114"/>
              <w:rPr>
                <w:sz w:val="20"/>
              </w:rPr>
            </w:pPr>
            <w:r>
              <w:rPr>
                <w:sz w:val="20"/>
              </w:rPr>
              <w:t>1981–2000</w:t>
            </w:r>
          </w:p>
        </w:tc>
        <w:tc>
          <w:tcPr>
            <w:tcW w:w="3421" w:type="dxa"/>
          </w:tcPr>
          <w:p w14:paraId="6685F70B" w14:textId="77777777" w:rsidR="0046798B" w:rsidRDefault="00903B5C">
            <w:pPr>
              <w:pStyle w:val="TableParagraph"/>
              <w:spacing w:before="153"/>
              <w:ind w:left="114" w:right="189"/>
              <w:rPr>
                <w:sz w:val="20"/>
              </w:rPr>
            </w:pPr>
            <w:r>
              <w:rPr>
                <w:sz w:val="20"/>
              </w:rPr>
              <w:t>Did state adopt one-parent notification for abortion by a minor? (0 = no, 1 = yes)</w:t>
            </w:r>
          </w:p>
        </w:tc>
        <w:tc>
          <w:tcPr>
            <w:tcW w:w="6482" w:type="dxa"/>
          </w:tcPr>
          <w:p w14:paraId="3C635C1B" w14:textId="77777777" w:rsidR="0046798B" w:rsidRDefault="0046798B">
            <w:pPr>
              <w:pStyle w:val="TableParagraph"/>
              <w:spacing w:before="3"/>
              <w:rPr>
                <w:sz w:val="23"/>
              </w:rPr>
            </w:pPr>
          </w:p>
          <w:p w14:paraId="4AD13BFE" w14:textId="77777777" w:rsidR="0046798B" w:rsidRDefault="00903B5C">
            <w:pPr>
              <w:pStyle w:val="TableParagraph"/>
              <w:spacing w:before="1"/>
              <w:ind w:left="114" w:right="661"/>
              <w:rPr>
                <w:sz w:val="20"/>
              </w:rPr>
            </w:pPr>
            <w:r>
              <w:rPr>
                <w:sz w:val="20"/>
              </w:rPr>
              <w:t xml:space="preserve">Boehmke, Frederick J., and Paul Skinner. “State Policy Innovativeness Revisited.” </w:t>
            </w:r>
            <w:r>
              <w:rPr>
                <w:i/>
                <w:sz w:val="20"/>
              </w:rPr>
              <w:t xml:space="preserve">State Politics &amp; Policy Quarterly </w:t>
            </w:r>
            <w:r>
              <w:rPr>
                <w:sz w:val="20"/>
              </w:rPr>
              <w:t>12.3 (2012): 303–29.</w:t>
            </w:r>
          </w:p>
        </w:tc>
      </w:tr>
      <w:tr w:rsidR="0046798B" w14:paraId="419BE33F" w14:textId="77777777">
        <w:trPr>
          <w:trHeight w:val="545"/>
        </w:trPr>
        <w:tc>
          <w:tcPr>
            <w:tcW w:w="1711" w:type="dxa"/>
          </w:tcPr>
          <w:p w14:paraId="48D1ABCF" w14:textId="77777777" w:rsidR="0046798B" w:rsidRDefault="00903B5C">
            <w:pPr>
              <w:pStyle w:val="TableParagraph"/>
              <w:spacing w:before="158"/>
              <w:ind w:left="115"/>
              <w:rPr>
                <w:b/>
                <w:sz w:val="20"/>
              </w:rPr>
            </w:pPr>
            <w:r>
              <w:rPr>
                <w:b/>
                <w:sz w:val="20"/>
              </w:rPr>
              <w:t>aborpreroe</w:t>
            </w:r>
          </w:p>
        </w:tc>
        <w:tc>
          <w:tcPr>
            <w:tcW w:w="1596" w:type="dxa"/>
          </w:tcPr>
          <w:p w14:paraId="2EB8F93F" w14:textId="77777777" w:rsidR="0046798B" w:rsidRDefault="00903B5C">
            <w:pPr>
              <w:pStyle w:val="TableParagraph"/>
              <w:spacing w:before="43"/>
              <w:ind w:left="114" w:right="357"/>
              <w:rPr>
                <w:sz w:val="20"/>
              </w:rPr>
            </w:pPr>
            <w:r>
              <w:rPr>
                <w:sz w:val="20"/>
              </w:rPr>
              <w:t>Abortion pre- Roe</w:t>
            </w:r>
          </w:p>
        </w:tc>
        <w:tc>
          <w:tcPr>
            <w:tcW w:w="1285" w:type="dxa"/>
          </w:tcPr>
          <w:p w14:paraId="093E9F96" w14:textId="77777777" w:rsidR="0046798B" w:rsidRDefault="00903B5C">
            <w:pPr>
              <w:pStyle w:val="TableParagraph"/>
              <w:spacing w:before="158"/>
              <w:ind w:left="114"/>
              <w:rPr>
                <w:sz w:val="20"/>
              </w:rPr>
            </w:pPr>
            <w:r>
              <w:rPr>
                <w:sz w:val="20"/>
              </w:rPr>
              <w:t>1966–1972</w:t>
            </w:r>
          </w:p>
        </w:tc>
        <w:tc>
          <w:tcPr>
            <w:tcW w:w="3421" w:type="dxa"/>
          </w:tcPr>
          <w:p w14:paraId="427CEBB9" w14:textId="77777777" w:rsidR="0046798B" w:rsidRDefault="00903B5C">
            <w:pPr>
              <w:pStyle w:val="TableParagraph"/>
              <w:spacing w:before="43"/>
              <w:ind w:left="114" w:right="187"/>
              <w:rPr>
                <w:sz w:val="20"/>
              </w:rPr>
            </w:pPr>
            <w:r>
              <w:rPr>
                <w:sz w:val="20"/>
              </w:rPr>
              <w:t>Did state adopt abortion pre-Roe? (0 = no, 1 = yes)</w:t>
            </w:r>
          </w:p>
        </w:tc>
        <w:tc>
          <w:tcPr>
            <w:tcW w:w="6482" w:type="dxa"/>
          </w:tcPr>
          <w:p w14:paraId="4D6BF4D1" w14:textId="77777777" w:rsidR="0046798B" w:rsidRDefault="00903B5C">
            <w:pPr>
              <w:pStyle w:val="TableParagraph"/>
              <w:spacing w:before="43"/>
              <w:ind w:left="114" w:right="661"/>
              <w:rPr>
                <w:sz w:val="20"/>
              </w:rPr>
            </w:pPr>
            <w:r>
              <w:rPr>
                <w:sz w:val="20"/>
              </w:rPr>
              <w:t xml:space="preserve">Boehmke, Frederick J., and Paul Skinner. “State Policy Innovativeness Revisited.” </w:t>
            </w:r>
            <w:r>
              <w:rPr>
                <w:i/>
                <w:sz w:val="20"/>
              </w:rPr>
              <w:t xml:space="preserve">State Politics &amp; Policy Quarterly </w:t>
            </w:r>
            <w:r>
              <w:rPr>
                <w:sz w:val="20"/>
              </w:rPr>
              <w:t>12.3 (2012): 303–29.</w:t>
            </w:r>
          </w:p>
        </w:tc>
      </w:tr>
      <w:tr w:rsidR="0046798B" w14:paraId="69604220" w14:textId="77777777">
        <w:trPr>
          <w:trHeight w:val="1695"/>
        </w:trPr>
        <w:tc>
          <w:tcPr>
            <w:tcW w:w="1711" w:type="dxa"/>
          </w:tcPr>
          <w:p w14:paraId="1469C241" w14:textId="77777777" w:rsidR="0046798B" w:rsidRDefault="0046798B">
            <w:pPr>
              <w:pStyle w:val="TableParagraph"/>
            </w:pPr>
          </w:p>
          <w:p w14:paraId="384DED56" w14:textId="77777777" w:rsidR="0046798B" w:rsidRDefault="0046798B">
            <w:pPr>
              <w:pStyle w:val="TableParagraph"/>
            </w:pPr>
          </w:p>
          <w:p w14:paraId="2096DF26" w14:textId="77777777" w:rsidR="0046798B" w:rsidRDefault="0046798B">
            <w:pPr>
              <w:pStyle w:val="TableParagraph"/>
              <w:spacing w:before="9"/>
              <w:rPr>
                <w:sz w:val="19"/>
              </w:rPr>
            </w:pPr>
          </w:p>
          <w:p w14:paraId="56FB85A7" w14:textId="77777777" w:rsidR="0046798B" w:rsidRDefault="00903B5C">
            <w:pPr>
              <w:pStyle w:val="TableParagraph"/>
              <w:ind w:left="115"/>
              <w:rPr>
                <w:b/>
                <w:sz w:val="20"/>
              </w:rPr>
            </w:pPr>
            <w:r>
              <w:rPr>
                <w:b/>
                <w:sz w:val="20"/>
              </w:rPr>
              <w:t>contrains</w:t>
            </w:r>
          </w:p>
        </w:tc>
        <w:tc>
          <w:tcPr>
            <w:tcW w:w="1596" w:type="dxa"/>
          </w:tcPr>
          <w:p w14:paraId="0A433123" w14:textId="77777777" w:rsidR="0046798B" w:rsidRDefault="00903B5C">
            <w:pPr>
              <w:pStyle w:val="TableParagraph"/>
              <w:spacing w:before="43"/>
              <w:ind w:left="114" w:right="297"/>
              <w:rPr>
                <w:sz w:val="20"/>
              </w:rPr>
            </w:pPr>
            <w:r>
              <w:rPr>
                <w:sz w:val="20"/>
              </w:rPr>
              <w:t>Insurers that cover prescription drugs cannot exclude FDA- approved contraceptives</w:t>
            </w:r>
          </w:p>
        </w:tc>
        <w:tc>
          <w:tcPr>
            <w:tcW w:w="1285" w:type="dxa"/>
          </w:tcPr>
          <w:p w14:paraId="4EC0BA8B" w14:textId="77777777" w:rsidR="0046798B" w:rsidRDefault="0046798B">
            <w:pPr>
              <w:pStyle w:val="TableParagraph"/>
            </w:pPr>
          </w:p>
          <w:p w14:paraId="52C1547D" w14:textId="77777777" w:rsidR="0046798B" w:rsidRDefault="0046798B">
            <w:pPr>
              <w:pStyle w:val="TableParagraph"/>
            </w:pPr>
          </w:p>
          <w:p w14:paraId="5DD33220" w14:textId="77777777" w:rsidR="0046798B" w:rsidRDefault="0046798B">
            <w:pPr>
              <w:pStyle w:val="TableParagraph"/>
              <w:spacing w:before="9"/>
              <w:rPr>
                <w:sz w:val="19"/>
              </w:rPr>
            </w:pPr>
          </w:p>
          <w:p w14:paraId="0A36D2FD" w14:textId="77777777" w:rsidR="0046798B" w:rsidRDefault="00903B5C">
            <w:pPr>
              <w:pStyle w:val="TableParagraph"/>
              <w:ind w:left="114"/>
              <w:rPr>
                <w:sz w:val="20"/>
              </w:rPr>
            </w:pPr>
            <w:r>
              <w:rPr>
                <w:sz w:val="20"/>
              </w:rPr>
              <w:t>1996–2007</w:t>
            </w:r>
          </w:p>
        </w:tc>
        <w:tc>
          <w:tcPr>
            <w:tcW w:w="3421" w:type="dxa"/>
          </w:tcPr>
          <w:p w14:paraId="7448F3D2" w14:textId="77777777" w:rsidR="0046798B" w:rsidRDefault="0046798B">
            <w:pPr>
              <w:pStyle w:val="TableParagraph"/>
            </w:pPr>
          </w:p>
          <w:p w14:paraId="2DBEBD2C" w14:textId="77777777" w:rsidR="0046798B" w:rsidRDefault="00903B5C">
            <w:pPr>
              <w:pStyle w:val="TableParagraph"/>
              <w:spacing w:before="135"/>
              <w:ind w:left="114" w:right="100"/>
              <w:rPr>
                <w:sz w:val="20"/>
              </w:rPr>
            </w:pPr>
            <w:r>
              <w:rPr>
                <w:sz w:val="20"/>
              </w:rPr>
              <w:t>Did state adopt a policy that insurers covering prescription drugs cannot exclude FDA-approved contraceptives? (0 = no, 1 = yes)</w:t>
            </w:r>
          </w:p>
        </w:tc>
        <w:tc>
          <w:tcPr>
            <w:tcW w:w="6482" w:type="dxa"/>
          </w:tcPr>
          <w:p w14:paraId="096BFA75" w14:textId="77777777" w:rsidR="0046798B" w:rsidRDefault="0046798B">
            <w:pPr>
              <w:pStyle w:val="TableParagraph"/>
            </w:pPr>
          </w:p>
          <w:p w14:paraId="0E741A32" w14:textId="77777777" w:rsidR="0046798B" w:rsidRDefault="0046798B">
            <w:pPr>
              <w:pStyle w:val="TableParagraph"/>
              <w:spacing w:before="9"/>
              <w:rPr>
                <w:sz w:val="31"/>
              </w:rPr>
            </w:pPr>
          </w:p>
          <w:p w14:paraId="171DB2C7" w14:textId="77777777" w:rsidR="0046798B" w:rsidRDefault="00903B5C">
            <w:pPr>
              <w:pStyle w:val="TableParagraph"/>
              <w:ind w:left="114" w:right="661"/>
              <w:rPr>
                <w:sz w:val="20"/>
              </w:rPr>
            </w:pPr>
            <w:r>
              <w:rPr>
                <w:sz w:val="20"/>
              </w:rPr>
              <w:t xml:space="preserve">Boehmke, Frederick J., and Paul Skinner. “State Policy Innovativeness Revisited.” </w:t>
            </w:r>
            <w:r>
              <w:rPr>
                <w:i/>
                <w:sz w:val="20"/>
              </w:rPr>
              <w:t xml:space="preserve">State Politics &amp; Policy Quarterly </w:t>
            </w:r>
            <w:r>
              <w:rPr>
                <w:sz w:val="20"/>
              </w:rPr>
              <w:t>12.3 (2012): 303–29.</w:t>
            </w:r>
          </w:p>
        </w:tc>
      </w:tr>
      <w:tr w:rsidR="0046798B" w14:paraId="760F4781" w14:textId="77777777">
        <w:trPr>
          <w:trHeight w:val="1235"/>
        </w:trPr>
        <w:tc>
          <w:tcPr>
            <w:tcW w:w="1711" w:type="dxa"/>
          </w:tcPr>
          <w:p w14:paraId="2CD5AA8E" w14:textId="77777777" w:rsidR="0046798B" w:rsidRDefault="0046798B">
            <w:pPr>
              <w:pStyle w:val="TableParagraph"/>
            </w:pPr>
          </w:p>
          <w:p w14:paraId="1BFCD6C4" w14:textId="77777777" w:rsidR="0046798B" w:rsidRDefault="00903B5C">
            <w:pPr>
              <w:pStyle w:val="TableParagraph"/>
              <w:spacing w:before="135"/>
              <w:ind w:left="115"/>
              <w:rPr>
                <w:b/>
                <w:sz w:val="20"/>
              </w:rPr>
            </w:pPr>
            <w:r>
              <w:rPr>
                <w:b/>
                <w:sz w:val="20"/>
              </w:rPr>
              <w:t>abortion_consent</w:t>
            </w:r>
          </w:p>
          <w:p w14:paraId="4DC7D420" w14:textId="77777777" w:rsidR="0046798B" w:rsidRDefault="00903B5C">
            <w:pPr>
              <w:pStyle w:val="TableParagraph"/>
              <w:ind w:left="115"/>
              <w:rPr>
                <w:b/>
                <w:sz w:val="20"/>
              </w:rPr>
            </w:pPr>
            <w:r>
              <w:rPr>
                <w:b/>
                <w:sz w:val="20"/>
              </w:rPr>
              <w:t>_1973_1991</w:t>
            </w:r>
          </w:p>
        </w:tc>
        <w:tc>
          <w:tcPr>
            <w:tcW w:w="1596" w:type="dxa"/>
          </w:tcPr>
          <w:p w14:paraId="0621AEF0" w14:textId="77777777" w:rsidR="0046798B" w:rsidRDefault="0046798B">
            <w:pPr>
              <w:pStyle w:val="TableParagraph"/>
              <w:spacing w:before="8"/>
              <w:rPr>
                <w:sz w:val="23"/>
              </w:rPr>
            </w:pPr>
          </w:p>
          <w:p w14:paraId="5540E276" w14:textId="77777777" w:rsidR="0046798B" w:rsidRDefault="00903B5C">
            <w:pPr>
              <w:pStyle w:val="TableParagraph"/>
              <w:spacing w:before="1"/>
              <w:ind w:left="114" w:right="124"/>
              <w:rPr>
                <w:sz w:val="20"/>
              </w:rPr>
            </w:pPr>
            <w:r>
              <w:rPr>
                <w:sz w:val="20"/>
              </w:rPr>
              <w:t>Forced counseling before abortions</w:t>
            </w:r>
          </w:p>
        </w:tc>
        <w:tc>
          <w:tcPr>
            <w:tcW w:w="1285" w:type="dxa"/>
          </w:tcPr>
          <w:p w14:paraId="353CA854" w14:textId="77777777" w:rsidR="0046798B" w:rsidRDefault="0046798B">
            <w:pPr>
              <w:pStyle w:val="TableParagraph"/>
            </w:pPr>
          </w:p>
          <w:p w14:paraId="731261B9" w14:textId="77777777" w:rsidR="0046798B" w:rsidRDefault="0046798B">
            <w:pPr>
              <w:pStyle w:val="TableParagraph"/>
              <w:spacing w:before="8"/>
              <w:rPr>
                <w:sz w:val="21"/>
              </w:rPr>
            </w:pPr>
          </w:p>
          <w:p w14:paraId="233BF3CA" w14:textId="77777777" w:rsidR="0046798B" w:rsidRDefault="00903B5C">
            <w:pPr>
              <w:pStyle w:val="TableParagraph"/>
              <w:spacing w:before="1"/>
              <w:ind w:left="114"/>
              <w:rPr>
                <w:sz w:val="20"/>
              </w:rPr>
            </w:pPr>
            <w:r>
              <w:rPr>
                <w:sz w:val="20"/>
              </w:rPr>
              <w:t>1973–1991</w:t>
            </w:r>
          </w:p>
        </w:tc>
        <w:tc>
          <w:tcPr>
            <w:tcW w:w="3421" w:type="dxa"/>
          </w:tcPr>
          <w:p w14:paraId="4E045058" w14:textId="77777777" w:rsidR="0046798B" w:rsidRDefault="0046798B">
            <w:pPr>
              <w:pStyle w:val="TableParagraph"/>
              <w:spacing w:before="8"/>
              <w:rPr>
                <w:sz w:val="23"/>
              </w:rPr>
            </w:pPr>
          </w:p>
          <w:p w14:paraId="168B1025" w14:textId="77777777" w:rsidR="0046798B" w:rsidRDefault="00903B5C">
            <w:pPr>
              <w:pStyle w:val="TableParagraph"/>
              <w:spacing w:before="1"/>
              <w:ind w:left="114" w:right="348"/>
              <w:rPr>
                <w:sz w:val="20"/>
              </w:rPr>
            </w:pPr>
            <w:r>
              <w:rPr>
                <w:sz w:val="20"/>
              </w:rPr>
              <w:t>Does the state mandate counseling before an abortion (pre-</w:t>
            </w:r>
            <w:r>
              <w:rPr>
                <w:i/>
                <w:sz w:val="20"/>
              </w:rPr>
              <w:t>Casey</w:t>
            </w:r>
            <w:r>
              <w:rPr>
                <w:sz w:val="20"/>
              </w:rPr>
              <w:t>)? (0 = no, 1 = yes)</w:t>
            </w:r>
          </w:p>
        </w:tc>
        <w:tc>
          <w:tcPr>
            <w:tcW w:w="6482" w:type="dxa"/>
          </w:tcPr>
          <w:p w14:paraId="6FF71C8D"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bl>
    <w:p w14:paraId="43370A7D" w14:textId="77777777" w:rsidR="0046798B" w:rsidRDefault="0046798B">
      <w:pPr>
        <w:rPr>
          <w:sz w:val="20"/>
        </w:rPr>
        <w:sectPr w:rsidR="0046798B">
          <w:pgSz w:w="15840" w:h="12240" w:orient="landscape"/>
          <w:pgMar w:top="1220" w:right="300" w:bottom="980" w:left="820" w:header="730" w:footer="787" w:gutter="0"/>
          <w:cols w:space="720"/>
        </w:sectPr>
      </w:pPr>
    </w:p>
    <w:p w14:paraId="319A232B"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05C53D12" w14:textId="77777777">
        <w:trPr>
          <w:trHeight w:val="1235"/>
        </w:trPr>
        <w:tc>
          <w:tcPr>
            <w:tcW w:w="1711" w:type="dxa"/>
          </w:tcPr>
          <w:p w14:paraId="01440696" w14:textId="77777777" w:rsidR="0046798B" w:rsidRDefault="0046798B">
            <w:pPr>
              <w:pStyle w:val="TableParagraph"/>
            </w:pPr>
          </w:p>
          <w:p w14:paraId="29BD536E" w14:textId="77777777" w:rsidR="0046798B" w:rsidRDefault="00903B5C">
            <w:pPr>
              <w:pStyle w:val="TableParagraph"/>
              <w:spacing w:before="135"/>
              <w:ind w:left="115"/>
              <w:rPr>
                <w:b/>
                <w:sz w:val="20"/>
              </w:rPr>
            </w:pPr>
            <w:r>
              <w:rPr>
                <w:b/>
                <w:sz w:val="20"/>
              </w:rPr>
              <w:t>abortion_consent</w:t>
            </w:r>
          </w:p>
          <w:p w14:paraId="5F365982" w14:textId="77777777" w:rsidR="0046798B" w:rsidRDefault="00903B5C">
            <w:pPr>
              <w:pStyle w:val="TableParagraph"/>
              <w:ind w:left="115"/>
              <w:rPr>
                <w:b/>
                <w:sz w:val="20"/>
              </w:rPr>
            </w:pPr>
            <w:r>
              <w:rPr>
                <w:b/>
                <w:sz w:val="20"/>
              </w:rPr>
              <w:t>_1992_2014</w:t>
            </w:r>
          </w:p>
        </w:tc>
        <w:tc>
          <w:tcPr>
            <w:tcW w:w="1596" w:type="dxa"/>
          </w:tcPr>
          <w:p w14:paraId="4314BE8F" w14:textId="77777777" w:rsidR="0046798B" w:rsidRDefault="0046798B">
            <w:pPr>
              <w:pStyle w:val="TableParagraph"/>
              <w:spacing w:before="9"/>
              <w:rPr>
                <w:sz w:val="23"/>
              </w:rPr>
            </w:pPr>
          </w:p>
          <w:p w14:paraId="0DDF4C85" w14:textId="77777777" w:rsidR="0046798B" w:rsidRDefault="00903B5C">
            <w:pPr>
              <w:pStyle w:val="TableParagraph"/>
              <w:ind w:left="114" w:right="124"/>
              <w:rPr>
                <w:sz w:val="20"/>
              </w:rPr>
            </w:pPr>
            <w:r>
              <w:rPr>
                <w:sz w:val="20"/>
              </w:rPr>
              <w:t>Forced counseling before abortions</w:t>
            </w:r>
          </w:p>
        </w:tc>
        <w:tc>
          <w:tcPr>
            <w:tcW w:w="1285" w:type="dxa"/>
          </w:tcPr>
          <w:p w14:paraId="4A873241" w14:textId="77777777" w:rsidR="0046798B" w:rsidRDefault="0046798B">
            <w:pPr>
              <w:pStyle w:val="TableParagraph"/>
            </w:pPr>
          </w:p>
          <w:p w14:paraId="3F9FBA56" w14:textId="77777777" w:rsidR="0046798B" w:rsidRDefault="0046798B">
            <w:pPr>
              <w:pStyle w:val="TableParagraph"/>
              <w:spacing w:before="9"/>
              <w:rPr>
                <w:sz w:val="21"/>
              </w:rPr>
            </w:pPr>
          </w:p>
          <w:p w14:paraId="6DBC3D19" w14:textId="77777777" w:rsidR="0046798B" w:rsidRDefault="00903B5C">
            <w:pPr>
              <w:pStyle w:val="TableParagraph"/>
              <w:ind w:left="114"/>
              <w:rPr>
                <w:sz w:val="20"/>
              </w:rPr>
            </w:pPr>
            <w:r>
              <w:rPr>
                <w:sz w:val="20"/>
              </w:rPr>
              <w:t>1992–2014</w:t>
            </w:r>
          </w:p>
        </w:tc>
        <w:tc>
          <w:tcPr>
            <w:tcW w:w="3421" w:type="dxa"/>
          </w:tcPr>
          <w:p w14:paraId="6980C956" w14:textId="77777777" w:rsidR="0046798B" w:rsidRDefault="0046798B">
            <w:pPr>
              <w:pStyle w:val="TableParagraph"/>
              <w:spacing w:before="9"/>
              <w:rPr>
                <w:sz w:val="23"/>
              </w:rPr>
            </w:pPr>
          </w:p>
          <w:p w14:paraId="0CB8DFC2" w14:textId="77777777" w:rsidR="0046798B" w:rsidRDefault="00903B5C">
            <w:pPr>
              <w:pStyle w:val="TableParagraph"/>
              <w:ind w:left="114" w:right="270"/>
              <w:rPr>
                <w:sz w:val="20"/>
              </w:rPr>
            </w:pPr>
            <w:r>
              <w:rPr>
                <w:sz w:val="20"/>
              </w:rPr>
              <w:t>Does the state mandate counseling before an abortion (post-</w:t>
            </w:r>
            <w:r>
              <w:rPr>
                <w:i/>
                <w:sz w:val="20"/>
              </w:rPr>
              <w:t>Casey</w:t>
            </w:r>
            <w:r>
              <w:rPr>
                <w:sz w:val="20"/>
              </w:rPr>
              <w:t>)? (0 = no, 1 = yes)</w:t>
            </w:r>
          </w:p>
        </w:tc>
        <w:tc>
          <w:tcPr>
            <w:tcW w:w="6482" w:type="dxa"/>
          </w:tcPr>
          <w:p w14:paraId="2B6CBE17"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4C6B5FE3" w14:textId="77777777">
        <w:trPr>
          <w:trHeight w:val="1235"/>
        </w:trPr>
        <w:tc>
          <w:tcPr>
            <w:tcW w:w="1711" w:type="dxa"/>
          </w:tcPr>
          <w:p w14:paraId="7AC47E4D" w14:textId="77777777" w:rsidR="0046798B" w:rsidRDefault="0046798B">
            <w:pPr>
              <w:pStyle w:val="TableParagraph"/>
            </w:pPr>
          </w:p>
          <w:p w14:paraId="5F2E5AF7" w14:textId="77777777" w:rsidR="0046798B" w:rsidRDefault="00903B5C">
            <w:pPr>
              <w:pStyle w:val="TableParagraph"/>
              <w:spacing w:before="136"/>
              <w:ind w:left="115" w:right="121"/>
              <w:rPr>
                <w:b/>
                <w:sz w:val="20"/>
              </w:rPr>
            </w:pPr>
            <w:r>
              <w:rPr>
                <w:b/>
                <w:sz w:val="20"/>
              </w:rPr>
              <w:t>abortion_medica id</w:t>
            </w:r>
          </w:p>
        </w:tc>
        <w:tc>
          <w:tcPr>
            <w:tcW w:w="1596" w:type="dxa"/>
          </w:tcPr>
          <w:p w14:paraId="10648D7A" w14:textId="77777777" w:rsidR="0046798B" w:rsidRDefault="0046798B">
            <w:pPr>
              <w:pStyle w:val="TableParagraph"/>
            </w:pPr>
          </w:p>
          <w:p w14:paraId="7C942954" w14:textId="77777777" w:rsidR="0046798B" w:rsidRDefault="00903B5C">
            <w:pPr>
              <w:pStyle w:val="TableParagraph"/>
              <w:spacing w:before="136"/>
              <w:ind w:left="114" w:right="413"/>
              <w:rPr>
                <w:sz w:val="20"/>
              </w:rPr>
            </w:pPr>
            <w:r>
              <w:rPr>
                <w:sz w:val="20"/>
              </w:rPr>
              <w:t>Medicaid for abortion</w:t>
            </w:r>
          </w:p>
        </w:tc>
        <w:tc>
          <w:tcPr>
            <w:tcW w:w="1285" w:type="dxa"/>
          </w:tcPr>
          <w:p w14:paraId="5B027B91" w14:textId="77777777" w:rsidR="0046798B" w:rsidRDefault="0046798B">
            <w:pPr>
              <w:pStyle w:val="TableParagraph"/>
            </w:pPr>
          </w:p>
          <w:p w14:paraId="094B53DA" w14:textId="77777777" w:rsidR="0046798B" w:rsidRDefault="0046798B">
            <w:pPr>
              <w:pStyle w:val="TableParagraph"/>
              <w:spacing w:before="9"/>
              <w:rPr>
                <w:sz w:val="21"/>
              </w:rPr>
            </w:pPr>
          </w:p>
          <w:p w14:paraId="29DC946F" w14:textId="77777777" w:rsidR="0046798B" w:rsidRDefault="00903B5C">
            <w:pPr>
              <w:pStyle w:val="TableParagraph"/>
              <w:ind w:left="114"/>
              <w:rPr>
                <w:sz w:val="20"/>
              </w:rPr>
            </w:pPr>
            <w:r>
              <w:rPr>
                <w:sz w:val="20"/>
              </w:rPr>
              <w:t>1981–2014</w:t>
            </w:r>
          </w:p>
        </w:tc>
        <w:tc>
          <w:tcPr>
            <w:tcW w:w="3421" w:type="dxa"/>
          </w:tcPr>
          <w:p w14:paraId="0E372FAF" w14:textId="77777777" w:rsidR="0046798B" w:rsidRDefault="0046798B">
            <w:pPr>
              <w:pStyle w:val="TableParagraph"/>
            </w:pPr>
          </w:p>
          <w:p w14:paraId="762CF961" w14:textId="77777777" w:rsidR="0046798B" w:rsidRDefault="00903B5C">
            <w:pPr>
              <w:pStyle w:val="TableParagraph"/>
              <w:spacing w:before="136"/>
              <w:ind w:left="114" w:right="261"/>
              <w:rPr>
                <w:sz w:val="20"/>
              </w:rPr>
            </w:pPr>
            <w:r>
              <w:rPr>
                <w:sz w:val="20"/>
              </w:rPr>
              <w:t>Does the state’s Medicaid system pay for abortions? (0 = no, 1 = yes)</w:t>
            </w:r>
          </w:p>
        </w:tc>
        <w:tc>
          <w:tcPr>
            <w:tcW w:w="6482" w:type="dxa"/>
          </w:tcPr>
          <w:p w14:paraId="3667EFE8"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06FE5123" w14:textId="77777777">
        <w:trPr>
          <w:trHeight w:val="1240"/>
        </w:trPr>
        <w:tc>
          <w:tcPr>
            <w:tcW w:w="1711" w:type="dxa"/>
          </w:tcPr>
          <w:p w14:paraId="4E4A61AE" w14:textId="77777777" w:rsidR="0046798B" w:rsidRDefault="0046798B">
            <w:pPr>
              <w:pStyle w:val="TableParagraph"/>
            </w:pPr>
          </w:p>
          <w:p w14:paraId="16921E5D" w14:textId="77777777" w:rsidR="0046798B" w:rsidRDefault="00903B5C">
            <w:pPr>
              <w:pStyle w:val="TableParagraph"/>
              <w:spacing w:before="135"/>
              <w:ind w:left="115"/>
              <w:rPr>
                <w:b/>
                <w:sz w:val="20"/>
              </w:rPr>
            </w:pPr>
            <w:r>
              <w:rPr>
                <w:b/>
                <w:sz w:val="20"/>
              </w:rPr>
              <w:t>abortion_partial</w:t>
            </w:r>
          </w:p>
          <w:p w14:paraId="7EA39A91" w14:textId="77777777" w:rsidR="0046798B" w:rsidRDefault="00903B5C">
            <w:pPr>
              <w:pStyle w:val="TableParagraph"/>
              <w:ind w:left="115"/>
              <w:rPr>
                <w:b/>
                <w:sz w:val="20"/>
              </w:rPr>
            </w:pPr>
            <w:r>
              <w:rPr>
                <w:b/>
                <w:sz w:val="20"/>
              </w:rPr>
              <w:t>_birth</w:t>
            </w:r>
          </w:p>
        </w:tc>
        <w:tc>
          <w:tcPr>
            <w:tcW w:w="1596" w:type="dxa"/>
          </w:tcPr>
          <w:p w14:paraId="656DA323" w14:textId="77777777" w:rsidR="0046798B" w:rsidRDefault="0046798B">
            <w:pPr>
              <w:pStyle w:val="TableParagraph"/>
            </w:pPr>
          </w:p>
          <w:p w14:paraId="3A18564C" w14:textId="77777777" w:rsidR="0046798B" w:rsidRDefault="00903B5C">
            <w:pPr>
              <w:pStyle w:val="TableParagraph"/>
              <w:spacing w:before="135"/>
              <w:ind w:left="114" w:right="446"/>
              <w:rPr>
                <w:sz w:val="20"/>
              </w:rPr>
            </w:pPr>
            <w:r>
              <w:rPr>
                <w:sz w:val="20"/>
              </w:rPr>
              <w:t>Partial birth abortion ban</w:t>
            </w:r>
          </w:p>
        </w:tc>
        <w:tc>
          <w:tcPr>
            <w:tcW w:w="1285" w:type="dxa"/>
          </w:tcPr>
          <w:p w14:paraId="52B3809E" w14:textId="77777777" w:rsidR="0046798B" w:rsidRDefault="0046798B">
            <w:pPr>
              <w:pStyle w:val="TableParagraph"/>
            </w:pPr>
          </w:p>
          <w:p w14:paraId="4B5A1386" w14:textId="77777777" w:rsidR="0046798B" w:rsidRDefault="0046798B">
            <w:pPr>
              <w:pStyle w:val="TableParagraph"/>
              <w:spacing w:before="9"/>
              <w:rPr>
                <w:sz w:val="21"/>
              </w:rPr>
            </w:pPr>
          </w:p>
          <w:p w14:paraId="59ABEB9F" w14:textId="77777777" w:rsidR="0046798B" w:rsidRDefault="00903B5C">
            <w:pPr>
              <w:pStyle w:val="TableParagraph"/>
              <w:ind w:left="114"/>
              <w:rPr>
                <w:sz w:val="20"/>
              </w:rPr>
            </w:pPr>
            <w:r>
              <w:rPr>
                <w:sz w:val="20"/>
              </w:rPr>
              <w:t>1997–2007</w:t>
            </w:r>
          </w:p>
        </w:tc>
        <w:tc>
          <w:tcPr>
            <w:tcW w:w="3421" w:type="dxa"/>
          </w:tcPr>
          <w:p w14:paraId="337B1AD7" w14:textId="77777777" w:rsidR="0046798B" w:rsidRDefault="0046798B">
            <w:pPr>
              <w:pStyle w:val="TableParagraph"/>
            </w:pPr>
          </w:p>
          <w:p w14:paraId="14C1690C" w14:textId="77777777" w:rsidR="0046798B" w:rsidRDefault="00903B5C">
            <w:pPr>
              <w:pStyle w:val="TableParagraph"/>
              <w:spacing w:before="135"/>
              <w:ind w:left="114" w:right="267"/>
              <w:rPr>
                <w:sz w:val="20"/>
              </w:rPr>
            </w:pPr>
            <w:r>
              <w:rPr>
                <w:sz w:val="20"/>
              </w:rPr>
              <w:t>Does the state ban late-term or partial birth abortions? (0 = no, 1 = yes)</w:t>
            </w:r>
          </w:p>
        </w:tc>
        <w:tc>
          <w:tcPr>
            <w:tcW w:w="6482" w:type="dxa"/>
          </w:tcPr>
          <w:p w14:paraId="5AE7BB03"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49DE01E6" w14:textId="77777777">
        <w:trPr>
          <w:trHeight w:val="1235"/>
        </w:trPr>
        <w:tc>
          <w:tcPr>
            <w:tcW w:w="1711" w:type="dxa"/>
          </w:tcPr>
          <w:p w14:paraId="657B6688" w14:textId="77777777" w:rsidR="0046798B" w:rsidRDefault="0046798B">
            <w:pPr>
              <w:pStyle w:val="TableParagraph"/>
            </w:pPr>
          </w:p>
          <w:p w14:paraId="4A195FCC" w14:textId="77777777" w:rsidR="0046798B" w:rsidRDefault="00903B5C">
            <w:pPr>
              <w:pStyle w:val="TableParagraph"/>
              <w:spacing w:before="130"/>
              <w:ind w:left="115"/>
              <w:rPr>
                <w:b/>
                <w:sz w:val="20"/>
              </w:rPr>
            </w:pPr>
            <w:r>
              <w:rPr>
                <w:b/>
                <w:sz w:val="20"/>
              </w:rPr>
              <w:t>abortion_reform</w:t>
            </w:r>
          </w:p>
          <w:p w14:paraId="4A7D00A2" w14:textId="77777777" w:rsidR="0046798B" w:rsidRDefault="00903B5C">
            <w:pPr>
              <w:pStyle w:val="TableParagraph"/>
              <w:ind w:left="115"/>
              <w:rPr>
                <w:b/>
                <w:sz w:val="20"/>
              </w:rPr>
            </w:pPr>
            <w:r>
              <w:rPr>
                <w:b/>
                <w:sz w:val="20"/>
              </w:rPr>
              <w:t>_preroe</w:t>
            </w:r>
          </w:p>
        </w:tc>
        <w:tc>
          <w:tcPr>
            <w:tcW w:w="1596" w:type="dxa"/>
          </w:tcPr>
          <w:p w14:paraId="388E136E" w14:textId="77777777" w:rsidR="0046798B" w:rsidRDefault="0046798B">
            <w:pPr>
              <w:pStyle w:val="TableParagraph"/>
            </w:pPr>
          </w:p>
          <w:p w14:paraId="3D8C2EDD" w14:textId="77777777" w:rsidR="0046798B" w:rsidRDefault="00903B5C">
            <w:pPr>
              <w:pStyle w:val="TableParagraph"/>
              <w:spacing w:before="130"/>
              <w:ind w:left="114" w:right="299"/>
              <w:rPr>
                <w:sz w:val="20"/>
              </w:rPr>
            </w:pPr>
            <w:r>
              <w:rPr>
                <w:sz w:val="20"/>
              </w:rPr>
              <w:t>Legal abortion pre-Roe</w:t>
            </w:r>
          </w:p>
        </w:tc>
        <w:tc>
          <w:tcPr>
            <w:tcW w:w="1285" w:type="dxa"/>
          </w:tcPr>
          <w:p w14:paraId="45EEAE33" w14:textId="77777777" w:rsidR="0046798B" w:rsidRDefault="0046798B">
            <w:pPr>
              <w:pStyle w:val="TableParagraph"/>
            </w:pPr>
          </w:p>
          <w:p w14:paraId="709DB32A" w14:textId="77777777" w:rsidR="0046798B" w:rsidRDefault="0046798B">
            <w:pPr>
              <w:pStyle w:val="TableParagraph"/>
              <w:spacing w:before="4"/>
              <w:rPr>
                <w:sz w:val="21"/>
              </w:rPr>
            </w:pPr>
          </w:p>
          <w:p w14:paraId="6CEF4DE3" w14:textId="77777777" w:rsidR="0046798B" w:rsidRDefault="00903B5C">
            <w:pPr>
              <w:pStyle w:val="TableParagraph"/>
              <w:ind w:left="114"/>
              <w:rPr>
                <w:sz w:val="20"/>
              </w:rPr>
            </w:pPr>
            <w:r>
              <w:rPr>
                <w:sz w:val="20"/>
              </w:rPr>
              <w:t>1967–1973</w:t>
            </w:r>
          </w:p>
        </w:tc>
        <w:tc>
          <w:tcPr>
            <w:tcW w:w="3421" w:type="dxa"/>
          </w:tcPr>
          <w:p w14:paraId="338BF294" w14:textId="77777777" w:rsidR="0046798B" w:rsidRDefault="0046798B">
            <w:pPr>
              <w:pStyle w:val="TableParagraph"/>
            </w:pPr>
          </w:p>
          <w:p w14:paraId="1AE5EE03" w14:textId="77777777" w:rsidR="0046798B" w:rsidRDefault="00903B5C">
            <w:pPr>
              <w:pStyle w:val="TableParagraph"/>
              <w:spacing w:before="130"/>
              <w:ind w:left="114"/>
              <w:rPr>
                <w:sz w:val="20"/>
              </w:rPr>
            </w:pPr>
            <w:r>
              <w:rPr>
                <w:sz w:val="20"/>
              </w:rPr>
              <w:t>Did the state allow abortion before Roe</w:t>
            </w:r>
          </w:p>
          <w:p w14:paraId="01E89F31" w14:textId="77777777" w:rsidR="0046798B" w:rsidRDefault="00903B5C">
            <w:pPr>
              <w:pStyle w:val="TableParagraph"/>
              <w:ind w:left="114"/>
              <w:rPr>
                <w:sz w:val="20"/>
              </w:rPr>
            </w:pPr>
            <w:r>
              <w:rPr>
                <w:sz w:val="20"/>
              </w:rPr>
              <w:t>v. Wade? (0 = no, 1 = yes)</w:t>
            </w:r>
          </w:p>
        </w:tc>
        <w:tc>
          <w:tcPr>
            <w:tcW w:w="6482" w:type="dxa"/>
          </w:tcPr>
          <w:p w14:paraId="542FD3D2"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4B294085" w14:textId="77777777">
        <w:trPr>
          <w:trHeight w:val="1235"/>
        </w:trPr>
        <w:tc>
          <w:tcPr>
            <w:tcW w:w="1711" w:type="dxa"/>
          </w:tcPr>
          <w:p w14:paraId="64FBA088" w14:textId="77777777" w:rsidR="0046798B" w:rsidRDefault="0046798B">
            <w:pPr>
              <w:pStyle w:val="TableParagraph"/>
              <w:spacing w:before="4"/>
              <w:rPr>
                <w:sz w:val="23"/>
              </w:rPr>
            </w:pPr>
          </w:p>
          <w:p w14:paraId="244A624A" w14:textId="77777777" w:rsidR="0046798B" w:rsidRDefault="00903B5C">
            <w:pPr>
              <w:pStyle w:val="TableParagraph"/>
              <w:ind w:left="115"/>
              <w:rPr>
                <w:b/>
                <w:sz w:val="20"/>
              </w:rPr>
            </w:pPr>
            <w:r>
              <w:rPr>
                <w:b/>
                <w:sz w:val="20"/>
              </w:rPr>
              <w:t>w_abortion_pare ntal_notice_1983</w:t>
            </w:r>
          </w:p>
          <w:p w14:paraId="54A98567" w14:textId="77777777" w:rsidR="0046798B" w:rsidRDefault="00903B5C">
            <w:pPr>
              <w:pStyle w:val="TableParagraph"/>
              <w:ind w:left="115"/>
              <w:rPr>
                <w:b/>
                <w:sz w:val="20"/>
              </w:rPr>
            </w:pPr>
            <w:r>
              <w:rPr>
                <w:b/>
                <w:sz w:val="20"/>
              </w:rPr>
              <w:t>_2014</w:t>
            </w:r>
          </w:p>
        </w:tc>
        <w:tc>
          <w:tcPr>
            <w:tcW w:w="1596" w:type="dxa"/>
          </w:tcPr>
          <w:p w14:paraId="066F9611" w14:textId="77777777" w:rsidR="0046798B" w:rsidRDefault="0046798B">
            <w:pPr>
              <w:pStyle w:val="TableParagraph"/>
              <w:spacing w:before="4"/>
              <w:rPr>
                <w:sz w:val="23"/>
              </w:rPr>
            </w:pPr>
          </w:p>
          <w:p w14:paraId="01DCAEE5" w14:textId="77777777" w:rsidR="0046798B" w:rsidRDefault="00903B5C">
            <w:pPr>
              <w:pStyle w:val="TableParagraph"/>
              <w:ind w:left="114" w:right="107"/>
              <w:rPr>
                <w:sz w:val="20"/>
              </w:rPr>
            </w:pPr>
            <w:r>
              <w:rPr>
                <w:sz w:val="20"/>
              </w:rPr>
              <w:t>Parental notification/cons ent required</w:t>
            </w:r>
          </w:p>
        </w:tc>
        <w:tc>
          <w:tcPr>
            <w:tcW w:w="1285" w:type="dxa"/>
          </w:tcPr>
          <w:p w14:paraId="0A2E3AD2" w14:textId="77777777" w:rsidR="0046798B" w:rsidRDefault="0046798B">
            <w:pPr>
              <w:pStyle w:val="TableParagraph"/>
            </w:pPr>
          </w:p>
          <w:p w14:paraId="2A93438A" w14:textId="77777777" w:rsidR="0046798B" w:rsidRDefault="0046798B">
            <w:pPr>
              <w:pStyle w:val="TableParagraph"/>
              <w:spacing w:before="4"/>
              <w:rPr>
                <w:sz w:val="21"/>
              </w:rPr>
            </w:pPr>
          </w:p>
          <w:p w14:paraId="6E92C6E8" w14:textId="77777777" w:rsidR="0046798B" w:rsidRDefault="00903B5C">
            <w:pPr>
              <w:pStyle w:val="TableParagraph"/>
              <w:ind w:left="114"/>
              <w:rPr>
                <w:sz w:val="20"/>
              </w:rPr>
            </w:pPr>
            <w:r>
              <w:rPr>
                <w:sz w:val="20"/>
              </w:rPr>
              <w:t>1983–2014</w:t>
            </w:r>
          </w:p>
        </w:tc>
        <w:tc>
          <w:tcPr>
            <w:tcW w:w="3421" w:type="dxa"/>
          </w:tcPr>
          <w:p w14:paraId="0FE5B5AC" w14:textId="77777777" w:rsidR="0046798B" w:rsidRDefault="00903B5C">
            <w:pPr>
              <w:pStyle w:val="TableParagraph"/>
              <w:spacing w:before="154"/>
              <w:ind w:left="114" w:right="130"/>
              <w:rPr>
                <w:sz w:val="20"/>
              </w:rPr>
            </w:pPr>
            <w:r>
              <w:rPr>
                <w:sz w:val="20"/>
              </w:rPr>
              <w:t>Does the state require parental notification or consent prior to a minor obtaining an abortion? (0 = neither, 1 = notification, 2 = consent)</w:t>
            </w:r>
          </w:p>
        </w:tc>
        <w:tc>
          <w:tcPr>
            <w:tcW w:w="6482" w:type="dxa"/>
          </w:tcPr>
          <w:p w14:paraId="7A773B42"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3ED746E6" w14:textId="77777777">
        <w:trPr>
          <w:trHeight w:val="2156"/>
        </w:trPr>
        <w:tc>
          <w:tcPr>
            <w:tcW w:w="1711" w:type="dxa"/>
          </w:tcPr>
          <w:p w14:paraId="089D1DBD" w14:textId="77777777" w:rsidR="0046798B" w:rsidRDefault="0046798B">
            <w:pPr>
              <w:pStyle w:val="TableParagraph"/>
            </w:pPr>
          </w:p>
          <w:p w14:paraId="0E8A92F6" w14:textId="77777777" w:rsidR="0046798B" w:rsidRDefault="0046798B">
            <w:pPr>
              <w:pStyle w:val="TableParagraph"/>
            </w:pPr>
          </w:p>
          <w:p w14:paraId="75349CCA" w14:textId="77777777" w:rsidR="0046798B" w:rsidRDefault="0046798B">
            <w:pPr>
              <w:pStyle w:val="TableParagraph"/>
            </w:pPr>
          </w:p>
          <w:p w14:paraId="7E6FDEC6" w14:textId="77777777" w:rsidR="0046798B" w:rsidRDefault="0046798B">
            <w:pPr>
              <w:pStyle w:val="TableParagraph"/>
              <w:spacing w:before="4"/>
              <w:rPr>
                <w:sz w:val="17"/>
              </w:rPr>
            </w:pPr>
          </w:p>
          <w:p w14:paraId="24C259A0" w14:textId="77777777" w:rsidR="0046798B" w:rsidRDefault="00903B5C">
            <w:pPr>
              <w:pStyle w:val="TableParagraph"/>
              <w:ind w:left="115"/>
              <w:rPr>
                <w:b/>
                <w:sz w:val="20"/>
              </w:rPr>
            </w:pPr>
            <w:r>
              <w:rPr>
                <w:b/>
                <w:sz w:val="20"/>
              </w:rPr>
              <w:t>w_ec_access</w:t>
            </w:r>
          </w:p>
        </w:tc>
        <w:tc>
          <w:tcPr>
            <w:tcW w:w="1596" w:type="dxa"/>
          </w:tcPr>
          <w:p w14:paraId="4EF5272A" w14:textId="77777777" w:rsidR="0046798B" w:rsidRDefault="0046798B">
            <w:pPr>
              <w:pStyle w:val="TableParagraph"/>
            </w:pPr>
          </w:p>
          <w:p w14:paraId="2DEC6082" w14:textId="77777777" w:rsidR="0046798B" w:rsidRDefault="0046798B">
            <w:pPr>
              <w:pStyle w:val="TableParagraph"/>
            </w:pPr>
          </w:p>
          <w:p w14:paraId="603F246E" w14:textId="77777777" w:rsidR="0046798B" w:rsidRDefault="0046798B">
            <w:pPr>
              <w:pStyle w:val="TableParagraph"/>
              <w:spacing w:before="4"/>
              <w:rPr>
                <w:sz w:val="29"/>
              </w:rPr>
            </w:pPr>
          </w:p>
          <w:p w14:paraId="71657B8E" w14:textId="77777777" w:rsidR="0046798B" w:rsidRDefault="00903B5C">
            <w:pPr>
              <w:pStyle w:val="TableParagraph"/>
              <w:ind w:left="114" w:right="297"/>
              <w:rPr>
                <w:sz w:val="20"/>
              </w:rPr>
            </w:pPr>
            <w:r>
              <w:rPr>
                <w:sz w:val="20"/>
              </w:rPr>
              <w:t>Access for contraceptives</w:t>
            </w:r>
          </w:p>
        </w:tc>
        <w:tc>
          <w:tcPr>
            <w:tcW w:w="1285" w:type="dxa"/>
          </w:tcPr>
          <w:p w14:paraId="5D41F07E" w14:textId="77777777" w:rsidR="0046798B" w:rsidRDefault="0046798B">
            <w:pPr>
              <w:pStyle w:val="TableParagraph"/>
            </w:pPr>
          </w:p>
          <w:p w14:paraId="45B3FFFE" w14:textId="77777777" w:rsidR="0046798B" w:rsidRDefault="0046798B">
            <w:pPr>
              <w:pStyle w:val="TableParagraph"/>
            </w:pPr>
          </w:p>
          <w:p w14:paraId="25709488" w14:textId="77777777" w:rsidR="0046798B" w:rsidRDefault="0046798B">
            <w:pPr>
              <w:pStyle w:val="TableParagraph"/>
            </w:pPr>
          </w:p>
          <w:p w14:paraId="6AFEF667" w14:textId="77777777" w:rsidR="0046798B" w:rsidRDefault="0046798B">
            <w:pPr>
              <w:pStyle w:val="TableParagraph"/>
              <w:spacing w:before="4"/>
              <w:rPr>
                <w:sz w:val="17"/>
              </w:rPr>
            </w:pPr>
          </w:p>
          <w:p w14:paraId="523FB4D1" w14:textId="77777777" w:rsidR="0046798B" w:rsidRDefault="00903B5C">
            <w:pPr>
              <w:pStyle w:val="TableParagraph"/>
              <w:ind w:left="114"/>
              <w:rPr>
                <w:sz w:val="20"/>
              </w:rPr>
            </w:pPr>
            <w:r>
              <w:rPr>
                <w:sz w:val="20"/>
              </w:rPr>
              <w:t>1974–2014</w:t>
            </w:r>
          </w:p>
        </w:tc>
        <w:tc>
          <w:tcPr>
            <w:tcW w:w="3421" w:type="dxa"/>
          </w:tcPr>
          <w:p w14:paraId="7108A93D" w14:textId="77777777" w:rsidR="0046798B" w:rsidRDefault="00903B5C">
            <w:pPr>
              <w:pStyle w:val="TableParagraph"/>
              <w:spacing w:before="38"/>
              <w:ind w:left="114" w:right="139"/>
              <w:rPr>
                <w:sz w:val="20"/>
              </w:rPr>
            </w:pPr>
            <w:r>
              <w:rPr>
                <w:sz w:val="20"/>
              </w:rPr>
              <w:t xml:space="preserve">Can pharmacies dispense emergency contraception without a prescription? (0 = the state has restricted access to EC by allowing pharmacists to refuse to dispense it; 1 = there </w:t>
            </w:r>
            <w:r>
              <w:rPr>
                <w:spacing w:val="-3"/>
                <w:sz w:val="20"/>
              </w:rPr>
              <w:t xml:space="preserve">is </w:t>
            </w:r>
            <w:r>
              <w:rPr>
                <w:sz w:val="20"/>
              </w:rPr>
              <w:t xml:space="preserve">no law </w:t>
            </w:r>
            <w:r>
              <w:rPr>
                <w:spacing w:val="-3"/>
                <w:sz w:val="20"/>
              </w:rPr>
              <w:t xml:space="preserve">either </w:t>
            </w:r>
            <w:r>
              <w:rPr>
                <w:sz w:val="20"/>
              </w:rPr>
              <w:t>restricting or expanding access; 2 = the state has expanded access by allowing pharmacists to dispense EC without a prescription)</w:t>
            </w:r>
          </w:p>
        </w:tc>
        <w:tc>
          <w:tcPr>
            <w:tcW w:w="6482" w:type="dxa"/>
          </w:tcPr>
          <w:p w14:paraId="745177E7" w14:textId="77777777" w:rsidR="0046798B" w:rsidRDefault="0046798B">
            <w:pPr>
              <w:pStyle w:val="TableParagraph"/>
            </w:pPr>
          </w:p>
          <w:p w14:paraId="7471C4BD" w14:textId="77777777" w:rsidR="0046798B" w:rsidRDefault="0046798B">
            <w:pPr>
              <w:pStyle w:val="TableParagraph"/>
              <w:spacing w:before="4"/>
              <w:rPr>
                <w:sz w:val="21"/>
              </w:rPr>
            </w:pPr>
          </w:p>
          <w:p w14:paraId="4B956F2F" w14:textId="77777777" w:rsidR="0046798B" w:rsidRDefault="00903B5C">
            <w:pPr>
              <w:pStyle w:val="TableParagraph"/>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4E041467" w14:textId="77777777">
        <w:trPr>
          <w:trHeight w:val="775"/>
        </w:trPr>
        <w:tc>
          <w:tcPr>
            <w:tcW w:w="1711" w:type="dxa"/>
          </w:tcPr>
          <w:p w14:paraId="63C7C3D0" w14:textId="77777777" w:rsidR="0046798B" w:rsidRDefault="0046798B">
            <w:pPr>
              <w:pStyle w:val="TableParagraph"/>
              <w:spacing w:before="8"/>
              <w:rPr>
                <w:sz w:val="23"/>
              </w:rPr>
            </w:pPr>
          </w:p>
          <w:p w14:paraId="01AFEFBD" w14:textId="77777777" w:rsidR="0046798B" w:rsidRDefault="00903B5C">
            <w:pPr>
              <w:pStyle w:val="TableParagraph"/>
              <w:spacing w:before="1"/>
              <w:ind w:left="115"/>
              <w:rPr>
                <w:b/>
                <w:sz w:val="20"/>
              </w:rPr>
            </w:pPr>
            <w:r>
              <w:rPr>
                <w:b/>
                <w:sz w:val="20"/>
              </w:rPr>
              <w:t>pcons</w:t>
            </w:r>
          </w:p>
        </w:tc>
        <w:tc>
          <w:tcPr>
            <w:tcW w:w="1596" w:type="dxa"/>
          </w:tcPr>
          <w:p w14:paraId="558CCBB9" w14:textId="77777777" w:rsidR="0046798B" w:rsidRDefault="00903B5C">
            <w:pPr>
              <w:pStyle w:val="TableParagraph"/>
              <w:spacing w:before="43"/>
              <w:ind w:left="114" w:right="147"/>
              <w:rPr>
                <w:sz w:val="20"/>
              </w:rPr>
            </w:pPr>
            <w:r>
              <w:rPr>
                <w:sz w:val="20"/>
              </w:rPr>
              <w:t>State requires parental consent for minor’s</w:t>
            </w:r>
          </w:p>
        </w:tc>
        <w:tc>
          <w:tcPr>
            <w:tcW w:w="1285" w:type="dxa"/>
          </w:tcPr>
          <w:p w14:paraId="15705C8B" w14:textId="77777777" w:rsidR="0046798B" w:rsidRDefault="0046798B">
            <w:pPr>
              <w:pStyle w:val="TableParagraph"/>
              <w:spacing w:before="8"/>
              <w:rPr>
                <w:sz w:val="23"/>
              </w:rPr>
            </w:pPr>
          </w:p>
          <w:p w14:paraId="129AECEF" w14:textId="77777777" w:rsidR="0046798B" w:rsidRDefault="00903B5C">
            <w:pPr>
              <w:pStyle w:val="TableParagraph"/>
              <w:spacing w:before="1"/>
              <w:ind w:left="114"/>
              <w:rPr>
                <w:sz w:val="20"/>
              </w:rPr>
            </w:pPr>
            <w:r>
              <w:rPr>
                <w:sz w:val="20"/>
              </w:rPr>
              <w:t>2000–2016</w:t>
            </w:r>
          </w:p>
        </w:tc>
        <w:tc>
          <w:tcPr>
            <w:tcW w:w="3421" w:type="dxa"/>
          </w:tcPr>
          <w:p w14:paraId="5C803549" w14:textId="77777777" w:rsidR="0046798B" w:rsidRDefault="00903B5C">
            <w:pPr>
              <w:pStyle w:val="TableParagraph"/>
              <w:spacing w:before="158"/>
              <w:ind w:left="114" w:right="261"/>
              <w:rPr>
                <w:sz w:val="20"/>
              </w:rPr>
            </w:pPr>
            <w:r>
              <w:rPr>
                <w:sz w:val="20"/>
              </w:rPr>
              <w:t>State requires parental consent for minor’s decision to have an abortion?</w:t>
            </w:r>
          </w:p>
        </w:tc>
        <w:tc>
          <w:tcPr>
            <w:tcW w:w="6482" w:type="dxa"/>
          </w:tcPr>
          <w:p w14:paraId="3D890EA8" w14:textId="77777777" w:rsidR="0046798B" w:rsidRDefault="00903B5C">
            <w:pPr>
              <w:pStyle w:val="TableParagraph"/>
              <w:spacing w:before="4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0D8F974D" w14:textId="77777777" w:rsidR="0046798B" w:rsidRDefault="0046798B">
      <w:pPr>
        <w:rPr>
          <w:sz w:val="20"/>
        </w:rPr>
        <w:sectPr w:rsidR="0046798B">
          <w:pgSz w:w="15840" w:h="12240" w:orient="landscape"/>
          <w:pgMar w:top="1220" w:right="300" w:bottom="980" w:left="820" w:header="730" w:footer="787" w:gutter="0"/>
          <w:cols w:space="720"/>
        </w:sectPr>
      </w:pPr>
    </w:p>
    <w:p w14:paraId="58AC1D51"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2EC90F69" w14:textId="77777777">
        <w:trPr>
          <w:trHeight w:val="542"/>
        </w:trPr>
        <w:tc>
          <w:tcPr>
            <w:tcW w:w="1711" w:type="dxa"/>
            <w:tcBorders>
              <w:bottom w:val="dotted" w:sz="6" w:space="0" w:color="BEBEBE"/>
            </w:tcBorders>
          </w:tcPr>
          <w:p w14:paraId="5DED9D0B" w14:textId="77777777" w:rsidR="0046798B" w:rsidRDefault="0046798B">
            <w:pPr>
              <w:pStyle w:val="TableParagraph"/>
              <w:rPr>
                <w:sz w:val="20"/>
              </w:rPr>
            </w:pPr>
          </w:p>
        </w:tc>
        <w:tc>
          <w:tcPr>
            <w:tcW w:w="1596" w:type="dxa"/>
            <w:tcBorders>
              <w:bottom w:val="dotted" w:sz="6" w:space="0" w:color="BEBEBE"/>
            </w:tcBorders>
          </w:tcPr>
          <w:p w14:paraId="7FAE890E" w14:textId="77777777" w:rsidR="0046798B" w:rsidRDefault="00903B5C">
            <w:pPr>
              <w:pStyle w:val="TableParagraph"/>
              <w:spacing w:before="43"/>
              <w:ind w:left="114" w:right="152"/>
              <w:rPr>
                <w:sz w:val="20"/>
              </w:rPr>
            </w:pPr>
            <w:r>
              <w:rPr>
                <w:sz w:val="20"/>
              </w:rPr>
              <w:t>decision to have an abortion</w:t>
            </w:r>
          </w:p>
        </w:tc>
        <w:tc>
          <w:tcPr>
            <w:tcW w:w="1285" w:type="dxa"/>
            <w:tcBorders>
              <w:bottom w:val="dotted" w:sz="6" w:space="0" w:color="BEBEBE"/>
            </w:tcBorders>
          </w:tcPr>
          <w:p w14:paraId="65CCEB06" w14:textId="77777777" w:rsidR="0046798B" w:rsidRDefault="0046798B">
            <w:pPr>
              <w:pStyle w:val="TableParagraph"/>
              <w:rPr>
                <w:sz w:val="20"/>
              </w:rPr>
            </w:pPr>
          </w:p>
        </w:tc>
        <w:tc>
          <w:tcPr>
            <w:tcW w:w="3421" w:type="dxa"/>
            <w:tcBorders>
              <w:bottom w:val="dotted" w:sz="6" w:space="0" w:color="BEBEBE"/>
            </w:tcBorders>
          </w:tcPr>
          <w:p w14:paraId="016138A6" w14:textId="77777777" w:rsidR="0046798B" w:rsidRDefault="00903B5C">
            <w:pPr>
              <w:pStyle w:val="TableParagraph"/>
              <w:spacing w:before="43"/>
              <w:ind w:left="114" w:right="218"/>
              <w:rPr>
                <w:sz w:val="20"/>
              </w:rPr>
            </w:pPr>
            <w:r>
              <w:rPr>
                <w:sz w:val="20"/>
              </w:rPr>
              <w:t>(0 = no, 1 = yes) (note: does not count if attending physician may waive)</w:t>
            </w:r>
          </w:p>
        </w:tc>
        <w:tc>
          <w:tcPr>
            <w:tcW w:w="6482" w:type="dxa"/>
            <w:tcBorders>
              <w:bottom w:val="dotted" w:sz="6" w:space="0" w:color="BEBEBE"/>
            </w:tcBorders>
          </w:tcPr>
          <w:p w14:paraId="09C6E843" w14:textId="77777777" w:rsidR="0046798B" w:rsidRDefault="0046798B">
            <w:pPr>
              <w:pStyle w:val="TableParagraph"/>
              <w:rPr>
                <w:sz w:val="20"/>
              </w:rPr>
            </w:pPr>
          </w:p>
        </w:tc>
      </w:tr>
      <w:tr w:rsidR="0046798B" w14:paraId="1741A8F0" w14:textId="77777777">
        <w:trPr>
          <w:trHeight w:val="772"/>
        </w:trPr>
        <w:tc>
          <w:tcPr>
            <w:tcW w:w="1711" w:type="dxa"/>
            <w:tcBorders>
              <w:top w:val="dotted" w:sz="6" w:space="0" w:color="BEBEBE"/>
            </w:tcBorders>
          </w:tcPr>
          <w:p w14:paraId="7260EF8B" w14:textId="77777777" w:rsidR="0046798B" w:rsidRDefault="0046798B">
            <w:pPr>
              <w:pStyle w:val="TableParagraph"/>
              <w:spacing w:before="6"/>
              <w:rPr>
                <w:sz w:val="23"/>
              </w:rPr>
            </w:pPr>
          </w:p>
          <w:p w14:paraId="0BD29921" w14:textId="77777777" w:rsidR="0046798B" w:rsidRDefault="00903B5C">
            <w:pPr>
              <w:pStyle w:val="TableParagraph"/>
              <w:ind w:left="115"/>
              <w:rPr>
                <w:b/>
                <w:sz w:val="20"/>
              </w:rPr>
            </w:pPr>
            <w:r>
              <w:rPr>
                <w:b/>
                <w:sz w:val="20"/>
              </w:rPr>
              <w:t>pgestlim</w:t>
            </w:r>
          </w:p>
        </w:tc>
        <w:tc>
          <w:tcPr>
            <w:tcW w:w="1596" w:type="dxa"/>
            <w:tcBorders>
              <w:top w:val="dotted" w:sz="6" w:space="0" w:color="BEBEBE"/>
            </w:tcBorders>
          </w:tcPr>
          <w:p w14:paraId="294938F8" w14:textId="77777777" w:rsidR="0046798B" w:rsidRDefault="00903B5C">
            <w:pPr>
              <w:pStyle w:val="TableParagraph"/>
              <w:spacing w:before="155"/>
              <w:ind w:left="114"/>
              <w:rPr>
                <w:sz w:val="20"/>
              </w:rPr>
            </w:pPr>
            <w:r>
              <w:rPr>
                <w:sz w:val="20"/>
              </w:rPr>
              <w:t>Gestational limit on abortions</w:t>
            </w:r>
          </w:p>
        </w:tc>
        <w:tc>
          <w:tcPr>
            <w:tcW w:w="1285" w:type="dxa"/>
            <w:tcBorders>
              <w:top w:val="dotted" w:sz="6" w:space="0" w:color="BEBEBE"/>
            </w:tcBorders>
          </w:tcPr>
          <w:p w14:paraId="791B3B7C" w14:textId="77777777" w:rsidR="0046798B" w:rsidRDefault="0046798B">
            <w:pPr>
              <w:pStyle w:val="TableParagraph"/>
              <w:spacing w:before="6"/>
              <w:rPr>
                <w:sz w:val="23"/>
              </w:rPr>
            </w:pPr>
          </w:p>
          <w:p w14:paraId="24C6097F" w14:textId="77777777" w:rsidR="0046798B" w:rsidRDefault="00903B5C">
            <w:pPr>
              <w:pStyle w:val="TableParagraph"/>
              <w:ind w:left="114"/>
              <w:rPr>
                <w:sz w:val="20"/>
              </w:rPr>
            </w:pPr>
            <w:r>
              <w:rPr>
                <w:sz w:val="20"/>
              </w:rPr>
              <w:t>2000–2016</w:t>
            </w:r>
          </w:p>
        </w:tc>
        <w:tc>
          <w:tcPr>
            <w:tcW w:w="3421" w:type="dxa"/>
            <w:tcBorders>
              <w:top w:val="dotted" w:sz="6" w:space="0" w:color="BEBEBE"/>
            </w:tcBorders>
          </w:tcPr>
          <w:p w14:paraId="5C6713F1" w14:textId="77777777" w:rsidR="0046798B" w:rsidRDefault="00903B5C">
            <w:pPr>
              <w:pStyle w:val="TableParagraph"/>
              <w:spacing w:before="155"/>
              <w:ind w:left="114" w:right="125"/>
              <w:rPr>
                <w:sz w:val="20"/>
              </w:rPr>
            </w:pPr>
            <w:r>
              <w:rPr>
                <w:sz w:val="20"/>
              </w:rPr>
              <w:t>Gestational limit on abortions? (0 = no, 1 = yes)</w:t>
            </w:r>
          </w:p>
        </w:tc>
        <w:tc>
          <w:tcPr>
            <w:tcW w:w="6482" w:type="dxa"/>
            <w:tcBorders>
              <w:top w:val="dotted" w:sz="6" w:space="0" w:color="BEBEBE"/>
            </w:tcBorders>
          </w:tcPr>
          <w:p w14:paraId="7974F756" w14:textId="77777777" w:rsidR="0046798B" w:rsidRDefault="00903B5C">
            <w:pPr>
              <w:pStyle w:val="TableParagraph"/>
              <w:spacing w:before="40"/>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D7EF2BD" w14:textId="77777777">
        <w:trPr>
          <w:trHeight w:val="1010"/>
        </w:trPr>
        <w:tc>
          <w:tcPr>
            <w:tcW w:w="1711" w:type="dxa"/>
          </w:tcPr>
          <w:p w14:paraId="4CFABB0E" w14:textId="77777777" w:rsidR="0046798B" w:rsidRDefault="0046798B">
            <w:pPr>
              <w:pStyle w:val="TableParagraph"/>
            </w:pPr>
          </w:p>
          <w:p w14:paraId="49E6E6F2" w14:textId="77777777" w:rsidR="0046798B" w:rsidRDefault="00903B5C">
            <w:pPr>
              <w:pStyle w:val="TableParagraph"/>
              <w:spacing w:before="136"/>
              <w:ind w:left="115"/>
              <w:rPr>
                <w:b/>
                <w:sz w:val="20"/>
              </w:rPr>
            </w:pPr>
            <w:r>
              <w:rPr>
                <w:b/>
                <w:sz w:val="20"/>
              </w:rPr>
              <w:t>phosp</w:t>
            </w:r>
          </w:p>
        </w:tc>
        <w:tc>
          <w:tcPr>
            <w:tcW w:w="1596" w:type="dxa"/>
          </w:tcPr>
          <w:p w14:paraId="3A36AA1B" w14:textId="77777777" w:rsidR="0046798B" w:rsidRDefault="00903B5C">
            <w:pPr>
              <w:pStyle w:val="TableParagraph"/>
              <w:spacing w:before="43"/>
              <w:ind w:left="114" w:right="202"/>
              <w:rPr>
                <w:sz w:val="20"/>
              </w:rPr>
            </w:pPr>
            <w:r>
              <w:rPr>
                <w:sz w:val="20"/>
              </w:rPr>
              <w:t>Some abortions required to be performed in a hospital</w:t>
            </w:r>
          </w:p>
        </w:tc>
        <w:tc>
          <w:tcPr>
            <w:tcW w:w="1285" w:type="dxa"/>
          </w:tcPr>
          <w:p w14:paraId="5E289FA1" w14:textId="77777777" w:rsidR="0046798B" w:rsidRDefault="0046798B">
            <w:pPr>
              <w:pStyle w:val="TableParagraph"/>
            </w:pPr>
          </w:p>
          <w:p w14:paraId="5780CAD0" w14:textId="77777777" w:rsidR="0046798B" w:rsidRDefault="00903B5C">
            <w:pPr>
              <w:pStyle w:val="TableParagraph"/>
              <w:spacing w:before="136"/>
              <w:ind w:left="114"/>
              <w:rPr>
                <w:sz w:val="20"/>
              </w:rPr>
            </w:pPr>
            <w:r>
              <w:rPr>
                <w:sz w:val="20"/>
              </w:rPr>
              <w:t>2006–2016</w:t>
            </w:r>
          </w:p>
        </w:tc>
        <w:tc>
          <w:tcPr>
            <w:tcW w:w="3421" w:type="dxa"/>
          </w:tcPr>
          <w:p w14:paraId="02F179EA" w14:textId="77777777" w:rsidR="0046798B" w:rsidRDefault="00903B5C">
            <w:pPr>
              <w:pStyle w:val="TableParagraph"/>
              <w:spacing w:before="159"/>
              <w:ind w:left="114" w:right="335"/>
              <w:rPr>
                <w:sz w:val="20"/>
              </w:rPr>
            </w:pPr>
            <w:r>
              <w:rPr>
                <w:sz w:val="20"/>
              </w:rPr>
              <w:t>Some abortions required to be performed in a hospital? (0 = no, 1 = yes)</w:t>
            </w:r>
          </w:p>
        </w:tc>
        <w:tc>
          <w:tcPr>
            <w:tcW w:w="6482" w:type="dxa"/>
          </w:tcPr>
          <w:p w14:paraId="04DEAC26" w14:textId="77777777" w:rsidR="0046798B" w:rsidRDefault="00903B5C">
            <w:pPr>
              <w:pStyle w:val="TableParagraph"/>
              <w:spacing w:before="159"/>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8555F8E" w14:textId="77777777">
        <w:trPr>
          <w:trHeight w:val="1005"/>
        </w:trPr>
        <w:tc>
          <w:tcPr>
            <w:tcW w:w="1711" w:type="dxa"/>
          </w:tcPr>
          <w:p w14:paraId="3A3331B1" w14:textId="77777777" w:rsidR="0046798B" w:rsidRDefault="0046798B">
            <w:pPr>
              <w:pStyle w:val="TableParagraph"/>
            </w:pPr>
          </w:p>
          <w:p w14:paraId="5906135D" w14:textId="77777777" w:rsidR="0046798B" w:rsidRDefault="00903B5C">
            <w:pPr>
              <w:pStyle w:val="TableParagraph"/>
              <w:spacing w:before="130"/>
              <w:ind w:left="115"/>
              <w:rPr>
                <w:b/>
                <w:sz w:val="20"/>
              </w:rPr>
            </w:pPr>
            <w:r>
              <w:rPr>
                <w:b/>
                <w:sz w:val="20"/>
              </w:rPr>
              <w:t>plicphys</w:t>
            </w:r>
          </w:p>
        </w:tc>
        <w:tc>
          <w:tcPr>
            <w:tcW w:w="1596" w:type="dxa"/>
          </w:tcPr>
          <w:p w14:paraId="5921BC3D" w14:textId="77777777" w:rsidR="0046798B" w:rsidRDefault="00903B5C">
            <w:pPr>
              <w:pStyle w:val="TableParagraph"/>
              <w:spacing w:before="38"/>
              <w:ind w:left="114" w:right="130"/>
              <w:rPr>
                <w:sz w:val="20"/>
              </w:rPr>
            </w:pPr>
            <w:r>
              <w:rPr>
                <w:sz w:val="20"/>
              </w:rPr>
              <w:t>Abortion must be performed by licensed physician</w:t>
            </w:r>
          </w:p>
        </w:tc>
        <w:tc>
          <w:tcPr>
            <w:tcW w:w="1285" w:type="dxa"/>
          </w:tcPr>
          <w:p w14:paraId="7E3F47BF" w14:textId="77777777" w:rsidR="0046798B" w:rsidRDefault="0046798B">
            <w:pPr>
              <w:pStyle w:val="TableParagraph"/>
            </w:pPr>
          </w:p>
          <w:p w14:paraId="5CB0778D" w14:textId="77777777" w:rsidR="0046798B" w:rsidRDefault="00903B5C">
            <w:pPr>
              <w:pStyle w:val="TableParagraph"/>
              <w:spacing w:before="130"/>
              <w:ind w:left="114"/>
              <w:rPr>
                <w:sz w:val="20"/>
              </w:rPr>
            </w:pPr>
            <w:r>
              <w:rPr>
                <w:sz w:val="20"/>
              </w:rPr>
              <w:t>2000–2016</w:t>
            </w:r>
          </w:p>
        </w:tc>
        <w:tc>
          <w:tcPr>
            <w:tcW w:w="3421" w:type="dxa"/>
          </w:tcPr>
          <w:p w14:paraId="78E73E27" w14:textId="77777777" w:rsidR="0046798B" w:rsidRDefault="0046798B">
            <w:pPr>
              <w:pStyle w:val="TableParagraph"/>
              <w:spacing w:before="3"/>
              <w:rPr>
                <w:sz w:val="23"/>
              </w:rPr>
            </w:pPr>
          </w:p>
          <w:p w14:paraId="5A484784" w14:textId="77777777" w:rsidR="0046798B" w:rsidRDefault="00903B5C">
            <w:pPr>
              <w:pStyle w:val="TableParagraph"/>
              <w:spacing w:before="1"/>
              <w:ind w:left="114" w:right="341"/>
              <w:rPr>
                <w:sz w:val="20"/>
              </w:rPr>
            </w:pPr>
            <w:r>
              <w:rPr>
                <w:sz w:val="20"/>
              </w:rPr>
              <w:t>Abortion must be performed by licensed physician? (0 = no, 1 = yes)</w:t>
            </w:r>
          </w:p>
        </w:tc>
        <w:tc>
          <w:tcPr>
            <w:tcW w:w="6482" w:type="dxa"/>
          </w:tcPr>
          <w:p w14:paraId="21EC7BC8" w14:textId="77777777" w:rsidR="0046798B" w:rsidRDefault="00903B5C">
            <w:pPr>
              <w:pStyle w:val="TableParagraph"/>
              <w:spacing w:before="15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41D6D83" w14:textId="77777777">
        <w:trPr>
          <w:trHeight w:val="1695"/>
        </w:trPr>
        <w:tc>
          <w:tcPr>
            <w:tcW w:w="1711" w:type="dxa"/>
          </w:tcPr>
          <w:p w14:paraId="4E3F9165" w14:textId="77777777" w:rsidR="0046798B" w:rsidRDefault="0046798B">
            <w:pPr>
              <w:pStyle w:val="TableParagraph"/>
            </w:pPr>
          </w:p>
          <w:p w14:paraId="77B99C1D" w14:textId="77777777" w:rsidR="0046798B" w:rsidRDefault="0046798B">
            <w:pPr>
              <w:pStyle w:val="TableParagraph"/>
            </w:pPr>
          </w:p>
          <w:p w14:paraId="26A70F3B" w14:textId="77777777" w:rsidR="0046798B" w:rsidRDefault="0046798B">
            <w:pPr>
              <w:pStyle w:val="TableParagraph"/>
              <w:spacing w:before="4"/>
              <w:rPr>
                <w:sz w:val="19"/>
              </w:rPr>
            </w:pPr>
          </w:p>
          <w:p w14:paraId="7200064C" w14:textId="77777777" w:rsidR="0046798B" w:rsidRDefault="00903B5C">
            <w:pPr>
              <w:pStyle w:val="TableParagraph"/>
              <w:ind w:left="115"/>
              <w:rPr>
                <w:b/>
                <w:sz w:val="20"/>
              </w:rPr>
            </w:pPr>
            <w:r>
              <w:rPr>
                <w:b/>
                <w:sz w:val="20"/>
              </w:rPr>
              <w:t>pnotif</w:t>
            </w:r>
          </w:p>
        </w:tc>
        <w:tc>
          <w:tcPr>
            <w:tcW w:w="1596" w:type="dxa"/>
          </w:tcPr>
          <w:p w14:paraId="05FE96D6" w14:textId="77777777" w:rsidR="0046798B" w:rsidRDefault="00903B5C">
            <w:pPr>
              <w:pStyle w:val="TableParagraph"/>
              <w:spacing w:before="38"/>
              <w:ind w:left="114" w:right="152"/>
              <w:rPr>
                <w:sz w:val="20"/>
              </w:rPr>
            </w:pPr>
            <w:r>
              <w:rPr>
                <w:sz w:val="20"/>
              </w:rPr>
              <w:t>State requires parental notification and/or consent for minor’s decision to have an abortion?</w:t>
            </w:r>
          </w:p>
        </w:tc>
        <w:tc>
          <w:tcPr>
            <w:tcW w:w="1285" w:type="dxa"/>
          </w:tcPr>
          <w:p w14:paraId="12ED41B9" w14:textId="77777777" w:rsidR="0046798B" w:rsidRDefault="0046798B">
            <w:pPr>
              <w:pStyle w:val="TableParagraph"/>
            </w:pPr>
          </w:p>
          <w:p w14:paraId="32FF0F9A" w14:textId="77777777" w:rsidR="0046798B" w:rsidRDefault="0046798B">
            <w:pPr>
              <w:pStyle w:val="TableParagraph"/>
            </w:pPr>
          </w:p>
          <w:p w14:paraId="7E066607" w14:textId="77777777" w:rsidR="0046798B" w:rsidRDefault="0046798B">
            <w:pPr>
              <w:pStyle w:val="TableParagraph"/>
              <w:spacing w:before="4"/>
              <w:rPr>
                <w:sz w:val="19"/>
              </w:rPr>
            </w:pPr>
          </w:p>
          <w:p w14:paraId="568507A3" w14:textId="77777777" w:rsidR="0046798B" w:rsidRDefault="00903B5C">
            <w:pPr>
              <w:pStyle w:val="TableParagraph"/>
              <w:ind w:left="114"/>
              <w:rPr>
                <w:sz w:val="20"/>
              </w:rPr>
            </w:pPr>
            <w:r>
              <w:rPr>
                <w:sz w:val="20"/>
              </w:rPr>
              <w:t>2000–2016</w:t>
            </w:r>
          </w:p>
        </w:tc>
        <w:tc>
          <w:tcPr>
            <w:tcW w:w="3421" w:type="dxa"/>
          </w:tcPr>
          <w:p w14:paraId="4882E409" w14:textId="77777777" w:rsidR="0046798B" w:rsidRDefault="0046798B">
            <w:pPr>
              <w:pStyle w:val="TableParagraph"/>
              <w:spacing w:before="3"/>
              <w:rPr>
                <w:sz w:val="23"/>
              </w:rPr>
            </w:pPr>
          </w:p>
          <w:p w14:paraId="607315B8" w14:textId="77777777" w:rsidR="0046798B" w:rsidRDefault="00903B5C">
            <w:pPr>
              <w:pStyle w:val="TableParagraph"/>
              <w:spacing w:before="1"/>
              <w:ind w:left="114" w:right="227"/>
              <w:rPr>
                <w:sz w:val="20"/>
              </w:rPr>
            </w:pPr>
            <w:r>
              <w:rPr>
                <w:sz w:val="20"/>
              </w:rPr>
              <w:t>State requires parental notification and/or consent for minor’s decision to have an abortion? (0 = no, 1 = yes) (note: does not count if attending physician may waive)</w:t>
            </w:r>
          </w:p>
        </w:tc>
        <w:tc>
          <w:tcPr>
            <w:tcW w:w="6482" w:type="dxa"/>
          </w:tcPr>
          <w:p w14:paraId="3A1515A0" w14:textId="77777777" w:rsidR="0046798B" w:rsidRDefault="0046798B">
            <w:pPr>
              <w:pStyle w:val="TableParagraph"/>
            </w:pPr>
          </w:p>
          <w:p w14:paraId="55EB7689" w14:textId="77777777" w:rsidR="0046798B" w:rsidRDefault="0046798B">
            <w:pPr>
              <w:pStyle w:val="TableParagraph"/>
              <w:spacing w:before="3"/>
              <w:rPr>
                <w:sz w:val="21"/>
              </w:rPr>
            </w:pPr>
          </w:p>
          <w:p w14:paraId="452F56B0"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FEB093C" w14:textId="77777777">
        <w:trPr>
          <w:trHeight w:val="1235"/>
        </w:trPr>
        <w:tc>
          <w:tcPr>
            <w:tcW w:w="1711" w:type="dxa"/>
          </w:tcPr>
          <w:p w14:paraId="37FF10AF" w14:textId="77777777" w:rsidR="0046798B" w:rsidRDefault="0046798B">
            <w:pPr>
              <w:pStyle w:val="TableParagraph"/>
            </w:pPr>
          </w:p>
          <w:p w14:paraId="4F2FD819" w14:textId="77777777" w:rsidR="0046798B" w:rsidRDefault="0046798B">
            <w:pPr>
              <w:pStyle w:val="TableParagraph"/>
              <w:spacing w:before="9"/>
              <w:rPr>
                <w:sz w:val="21"/>
              </w:rPr>
            </w:pPr>
          </w:p>
          <w:p w14:paraId="79821EB4" w14:textId="77777777" w:rsidR="0046798B" w:rsidRDefault="00903B5C">
            <w:pPr>
              <w:pStyle w:val="TableParagraph"/>
              <w:ind w:left="115"/>
              <w:rPr>
                <w:b/>
                <w:sz w:val="20"/>
              </w:rPr>
            </w:pPr>
            <w:r>
              <w:rPr>
                <w:b/>
                <w:sz w:val="20"/>
              </w:rPr>
              <w:t>pparbth</w:t>
            </w:r>
          </w:p>
        </w:tc>
        <w:tc>
          <w:tcPr>
            <w:tcW w:w="1596" w:type="dxa"/>
          </w:tcPr>
          <w:p w14:paraId="0FE0E79D" w14:textId="77777777" w:rsidR="0046798B" w:rsidRDefault="00903B5C">
            <w:pPr>
              <w:pStyle w:val="TableParagraph"/>
              <w:spacing w:before="45" w:line="237" w:lineRule="auto"/>
              <w:ind w:left="114" w:right="396"/>
              <w:rPr>
                <w:sz w:val="20"/>
              </w:rPr>
            </w:pPr>
            <w:r>
              <w:rPr>
                <w:sz w:val="20"/>
              </w:rPr>
              <w:t>State has law prohibiting partial birth abortion in effect</w:t>
            </w:r>
          </w:p>
        </w:tc>
        <w:tc>
          <w:tcPr>
            <w:tcW w:w="1285" w:type="dxa"/>
          </w:tcPr>
          <w:p w14:paraId="42222E34" w14:textId="77777777" w:rsidR="0046798B" w:rsidRDefault="0046798B">
            <w:pPr>
              <w:pStyle w:val="TableParagraph"/>
            </w:pPr>
          </w:p>
          <w:p w14:paraId="34535543" w14:textId="77777777" w:rsidR="0046798B" w:rsidRDefault="0046798B">
            <w:pPr>
              <w:pStyle w:val="TableParagraph"/>
              <w:spacing w:before="9"/>
              <w:rPr>
                <w:sz w:val="21"/>
              </w:rPr>
            </w:pPr>
          </w:p>
          <w:p w14:paraId="7BFAB30B" w14:textId="77777777" w:rsidR="0046798B" w:rsidRDefault="00903B5C">
            <w:pPr>
              <w:pStyle w:val="TableParagraph"/>
              <w:ind w:left="114"/>
              <w:rPr>
                <w:sz w:val="20"/>
              </w:rPr>
            </w:pPr>
            <w:r>
              <w:rPr>
                <w:sz w:val="20"/>
              </w:rPr>
              <w:t>2000–2016</w:t>
            </w:r>
          </w:p>
        </w:tc>
        <w:tc>
          <w:tcPr>
            <w:tcW w:w="3421" w:type="dxa"/>
          </w:tcPr>
          <w:p w14:paraId="5BB3A6AE" w14:textId="77777777" w:rsidR="0046798B" w:rsidRDefault="0046798B">
            <w:pPr>
              <w:pStyle w:val="TableParagraph"/>
            </w:pPr>
          </w:p>
          <w:p w14:paraId="160E3A74" w14:textId="77777777" w:rsidR="0046798B" w:rsidRDefault="00903B5C">
            <w:pPr>
              <w:pStyle w:val="TableParagraph"/>
              <w:spacing w:before="136"/>
              <w:ind w:left="114"/>
              <w:rPr>
                <w:sz w:val="20"/>
              </w:rPr>
            </w:pPr>
            <w:r>
              <w:rPr>
                <w:sz w:val="20"/>
              </w:rPr>
              <w:t>State has law prohibiting partial birth abortion in effect? (0 = no, 1 = yes)</w:t>
            </w:r>
          </w:p>
        </w:tc>
        <w:tc>
          <w:tcPr>
            <w:tcW w:w="6482" w:type="dxa"/>
          </w:tcPr>
          <w:p w14:paraId="3AE5346E" w14:textId="77777777" w:rsidR="0046798B" w:rsidRDefault="0046798B">
            <w:pPr>
              <w:pStyle w:val="TableParagraph"/>
              <w:spacing w:before="9"/>
              <w:rPr>
                <w:sz w:val="23"/>
              </w:rPr>
            </w:pPr>
          </w:p>
          <w:p w14:paraId="061933F6"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330B601" w14:textId="77777777">
        <w:trPr>
          <w:trHeight w:val="2156"/>
        </w:trPr>
        <w:tc>
          <w:tcPr>
            <w:tcW w:w="1711" w:type="dxa"/>
          </w:tcPr>
          <w:p w14:paraId="46CE045C" w14:textId="77777777" w:rsidR="0046798B" w:rsidRDefault="0046798B">
            <w:pPr>
              <w:pStyle w:val="TableParagraph"/>
            </w:pPr>
          </w:p>
          <w:p w14:paraId="688A14C9" w14:textId="77777777" w:rsidR="0046798B" w:rsidRDefault="0046798B">
            <w:pPr>
              <w:pStyle w:val="TableParagraph"/>
            </w:pPr>
          </w:p>
          <w:p w14:paraId="144C5B48" w14:textId="77777777" w:rsidR="0046798B" w:rsidRDefault="0046798B">
            <w:pPr>
              <w:pStyle w:val="TableParagraph"/>
            </w:pPr>
          </w:p>
          <w:p w14:paraId="5056A116" w14:textId="77777777" w:rsidR="0046798B" w:rsidRDefault="0046798B">
            <w:pPr>
              <w:pStyle w:val="TableParagraph"/>
              <w:spacing w:before="9"/>
              <w:rPr>
                <w:sz w:val="17"/>
              </w:rPr>
            </w:pPr>
          </w:p>
          <w:p w14:paraId="266EB138" w14:textId="77777777" w:rsidR="0046798B" w:rsidRDefault="00903B5C">
            <w:pPr>
              <w:pStyle w:val="TableParagraph"/>
              <w:ind w:left="115"/>
              <w:rPr>
                <w:b/>
                <w:sz w:val="20"/>
              </w:rPr>
            </w:pPr>
            <w:r>
              <w:rPr>
                <w:b/>
                <w:sz w:val="20"/>
              </w:rPr>
              <w:t>pprivins</w:t>
            </w:r>
          </w:p>
        </w:tc>
        <w:tc>
          <w:tcPr>
            <w:tcW w:w="1596" w:type="dxa"/>
          </w:tcPr>
          <w:p w14:paraId="7F917E37" w14:textId="77777777" w:rsidR="0046798B" w:rsidRDefault="00903B5C">
            <w:pPr>
              <w:pStyle w:val="TableParagraph"/>
              <w:spacing w:before="43"/>
              <w:ind w:left="114" w:right="180"/>
              <w:rPr>
                <w:sz w:val="20"/>
              </w:rPr>
            </w:pPr>
            <w:r>
              <w:rPr>
                <w:sz w:val="20"/>
              </w:rPr>
              <w:t>State restricts coverage of abortion in private insurance plans to cases in which woman’s life would be endangered</w:t>
            </w:r>
          </w:p>
        </w:tc>
        <w:tc>
          <w:tcPr>
            <w:tcW w:w="1285" w:type="dxa"/>
          </w:tcPr>
          <w:p w14:paraId="0BA4121F" w14:textId="77777777" w:rsidR="0046798B" w:rsidRDefault="0046798B">
            <w:pPr>
              <w:pStyle w:val="TableParagraph"/>
            </w:pPr>
          </w:p>
          <w:p w14:paraId="3057F8C5" w14:textId="77777777" w:rsidR="0046798B" w:rsidRDefault="0046798B">
            <w:pPr>
              <w:pStyle w:val="TableParagraph"/>
            </w:pPr>
          </w:p>
          <w:p w14:paraId="39EF5850" w14:textId="77777777" w:rsidR="0046798B" w:rsidRDefault="0046798B">
            <w:pPr>
              <w:pStyle w:val="TableParagraph"/>
            </w:pPr>
          </w:p>
          <w:p w14:paraId="2E1BB820" w14:textId="77777777" w:rsidR="0046798B" w:rsidRDefault="0046798B">
            <w:pPr>
              <w:pStyle w:val="TableParagraph"/>
              <w:spacing w:before="9"/>
              <w:rPr>
                <w:sz w:val="17"/>
              </w:rPr>
            </w:pPr>
          </w:p>
          <w:p w14:paraId="78736CE7" w14:textId="77777777" w:rsidR="0046798B" w:rsidRDefault="00903B5C">
            <w:pPr>
              <w:pStyle w:val="TableParagraph"/>
              <w:ind w:left="114"/>
              <w:rPr>
                <w:sz w:val="20"/>
              </w:rPr>
            </w:pPr>
            <w:r>
              <w:rPr>
                <w:sz w:val="20"/>
              </w:rPr>
              <w:t>2000–2016</w:t>
            </w:r>
          </w:p>
        </w:tc>
        <w:tc>
          <w:tcPr>
            <w:tcW w:w="3421" w:type="dxa"/>
          </w:tcPr>
          <w:p w14:paraId="7F25CC7B" w14:textId="77777777" w:rsidR="0046798B" w:rsidRDefault="0046798B">
            <w:pPr>
              <w:pStyle w:val="TableParagraph"/>
            </w:pPr>
          </w:p>
          <w:p w14:paraId="6822808B" w14:textId="77777777" w:rsidR="0046798B" w:rsidRDefault="0046798B">
            <w:pPr>
              <w:pStyle w:val="TableParagraph"/>
              <w:spacing w:before="9"/>
              <w:rPr>
                <w:sz w:val="21"/>
              </w:rPr>
            </w:pPr>
          </w:p>
          <w:p w14:paraId="0EAA4A10" w14:textId="77777777" w:rsidR="0046798B" w:rsidRDefault="00903B5C">
            <w:pPr>
              <w:pStyle w:val="TableParagraph"/>
              <w:ind w:left="114" w:right="245"/>
              <w:rPr>
                <w:sz w:val="20"/>
              </w:rPr>
            </w:pPr>
            <w:r>
              <w:rPr>
                <w:sz w:val="20"/>
              </w:rPr>
              <w:t>State restricts coverage of abortion in private insurance plans to cases in which woman’s life would be endangered (and other limited cases)? (0 = no, 1 = yes)</w:t>
            </w:r>
          </w:p>
        </w:tc>
        <w:tc>
          <w:tcPr>
            <w:tcW w:w="6482" w:type="dxa"/>
          </w:tcPr>
          <w:p w14:paraId="35E7FB10" w14:textId="77777777" w:rsidR="0046798B" w:rsidRDefault="0046798B">
            <w:pPr>
              <w:pStyle w:val="TableParagraph"/>
            </w:pPr>
          </w:p>
          <w:p w14:paraId="1F9777F2" w14:textId="77777777" w:rsidR="0046798B" w:rsidRDefault="0046798B">
            <w:pPr>
              <w:pStyle w:val="TableParagraph"/>
            </w:pPr>
          </w:p>
          <w:p w14:paraId="10E13E4E" w14:textId="77777777" w:rsidR="0046798B" w:rsidRDefault="0046798B">
            <w:pPr>
              <w:pStyle w:val="TableParagraph"/>
              <w:spacing w:before="9"/>
              <w:rPr>
                <w:sz w:val="19"/>
              </w:rPr>
            </w:pPr>
          </w:p>
          <w:p w14:paraId="2C200370" w14:textId="77777777" w:rsidR="0046798B" w:rsidRDefault="00903B5C">
            <w:pPr>
              <w:pStyle w:val="TableParagraph"/>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6075166" w14:textId="77777777">
        <w:trPr>
          <w:trHeight w:val="775"/>
        </w:trPr>
        <w:tc>
          <w:tcPr>
            <w:tcW w:w="1711" w:type="dxa"/>
          </w:tcPr>
          <w:p w14:paraId="5EC327CB" w14:textId="77777777" w:rsidR="0046798B" w:rsidRDefault="0046798B">
            <w:pPr>
              <w:pStyle w:val="TableParagraph"/>
              <w:spacing w:before="8"/>
              <w:rPr>
                <w:sz w:val="23"/>
              </w:rPr>
            </w:pPr>
          </w:p>
          <w:p w14:paraId="7FDA7201" w14:textId="77777777" w:rsidR="0046798B" w:rsidRDefault="00903B5C">
            <w:pPr>
              <w:pStyle w:val="TableParagraph"/>
              <w:spacing w:before="1"/>
              <w:ind w:left="115"/>
              <w:rPr>
                <w:b/>
                <w:sz w:val="20"/>
              </w:rPr>
            </w:pPr>
            <w:r>
              <w:rPr>
                <w:b/>
                <w:sz w:val="20"/>
              </w:rPr>
              <w:t>ppubfund</w:t>
            </w:r>
          </w:p>
        </w:tc>
        <w:tc>
          <w:tcPr>
            <w:tcW w:w="1596" w:type="dxa"/>
          </w:tcPr>
          <w:p w14:paraId="7A5499B4" w14:textId="77777777" w:rsidR="0046798B" w:rsidRDefault="00903B5C">
            <w:pPr>
              <w:pStyle w:val="TableParagraph"/>
              <w:spacing w:before="43"/>
              <w:ind w:left="114" w:right="180"/>
              <w:rPr>
                <w:sz w:val="20"/>
              </w:rPr>
            </w:pPr>
            <w:r>
              <w:rPr>
                <w:sz w:val="20"/>
              </w:rPr>
              <w:t>State uses own funds to pay for abortions</w:t>
            </w:r>
          </w:p>
        </w:tc>
        <w:tc>
          <w:tcPr>
            <w:tcW w:w="1285" w:type="dxa"/>
          </w:tcPr>
          <w:p w14:paraId="1A998CA6" w14:textId="77777777" w:rsidR="0046798B" w:rsidRDefault="0046798B">
            <w:pPr>
              <w:pStyle w:val="TableParagraph"/>
              <w:spacing w:before="8"/>
              <w:rPr>
                <w:sz w:val="23"/>
              </w:rPr>
            </w:pPr>
          </w:p>
          <w:p w14:paraId="0FB57255" w14:textId="77777777" w:rsidR="0046798B" w:rsidRDefault="00903B5C">
            <w:pPr>
              <w:pStyle w:val="TableParagraph"/>
              <w:spacing w:before="1"/>
              <w:ind w:left="114"/>
              <w:rPr>
                <w:sz w:val="20"/>
              </w:rPr>
            </w:pPr>
            <w:r>
              <w:rPr>
                <w:sz w:val="20"/>
              </w:rPr>
              <w:t>2000–2016</w:t>
            </w:r>
          </w:p>
        </w:tc>
        <w:tc>
          <w:tcPr>
            <w:tcW w:w="3421" w:type="dxa"/>
          </w:tcPr>
          <w:p w14:paraId="3EEFD8EE" w14:textId="77777777" w:rsidR="0046798B" w:rsidRDefault="00903B5C">
            <w:pPr>
              <w:pStyle w:val="TableParagraph"/>
              <w:spacing w:before="43"/>
              <w:ind w:left="114" w:right="572"/>
              <w:rPr>
                <w:sz w:val="20"/>
              </w:rPr>
            </w:pPr>
            <w:r>
              <w:rPr>
                <w:sz w:val="20"/>
              </w:rPr>
              <w:t>State uses own funds to pay for abortions beyond required federal minimum? (0 = no, 1 = yes)</w:t>
            </w:r>
          </w:p>
        </w:tc>
        <w:tc>
          <w:tcPr>
            <w:tcW w:w="6482" w:type="dxa"/>
          </w:tcPr>
          <w:p w14:paraId="12620931" w14:textId="77777777" w:rsidR="0046798B" w:rsidRDefault="00903B5C">
            <w:pPr>
              <w:pStyle w:val="TableParagraph"/>
              <w:spacing w:before="4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71CAA386" w14:textId="77777777" w:rsidR="0046798B" w:rsidRDefault="0046798B">
      <w:pPr>
        <w:rPr>
          <w:sz w:val="20"/>
        </w:rPr>
        <w:sectPr w:rsidR="0046798B">
          <w:pgSz w:w="15840" w:h="12240" w:orient="landscape"/>
          <w:pgMar w:top="1220" w:right="300" w:bottom="980" w:left="820" w:header="730" w:footer="787" w:gutter="0"/>
          <w:cols w:space="720"/>
        </w:sectPr>
      </w:pPr>
    </w:p>
    <w:p w14:paraId="05F033FC"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2A194074" w14:textId="77777777">
        <w:trPr>
          <w:trHeight w:val="775"/>
        </w:trPr>
        <w:tc>
          <w:tcPr>
            <w:tcW w:w="1711" w:type="dxa"/>
          </w:tcPr>
          <w:p w14:paraId="6B06F807" w14:textId="77777777" w:rsidR="0046798B" w:rsidRDefault="0046798B">
            <w:pPr>
              <w:pStyle w:val="TableParagraph"/>
              <w:rPr>
                <w:sz w:val="20"/>
              </w:rPr>
            </w:pPr>
          </w:p>
        </w:tc>
        <w:tc>
          <w:tcPr>
            <w:tcW w:w="1596" w:type="dxa"/>
          </w:tcPr>
          <w:p w14:paraId="05660834" w14:textId="77777777" w:rsidR="0046798B" w:rsidRDefault="00903B5C">
            <w:pPr>
              <w:pStyle w:val="TableParagraph"/>
              <w:spacing w:before="43"/>
              <w:ind w:left="114" w:right="146"/>
              <w:rPr>
                <w:sz w:val="20"/>
              </w:rPr>
            </w:pPr>
            <w:r>
              <w:rPr>
                <w:sz w:val="20"/>
              </w:rPr>
              <w:t>beyond required federal minimum</w:t>
            </w:r>
          </w:p>
        </w:tc>
        <w:tc>
          <w:tcPr>
            <w:tcW w:w="1285" w:type="dxa"/>
          </w:tcPr>
          <w:p w14:paraId="3655567C" w14:textId="77777777" w:rsidR="0046798B" w:rsidRDefault="0046798B">
            <w:pPr>
              <w:pStyle w:val="TableParagraph"/>
              <w:rPr>
                <w:sz w:val="20"/>
              </w:rPr>
            </w:pPr>
          </w:p>
        </w:tc>
        <w:tc>
          <w:tcPr>
            <w:tcW w:w="3421" w:type="dxa"/>
          </w:tcPr>
          <w:p w14:paraId="02E3913E" w14:textId="77777777" w:rsidR="0046798B" w:rsidRDefault="0046798B">
            <w:pPr>
              <w:pStyle w:val="TableParagraph"/>
              <w:rPr>
                <w:sz w:val="20"/>
              </w:rPr>
            </w:pPr>
          </w:p>
        </w:tc>
        <w:tc>
          <w:tcPr>
            <w:tcW w:w="6482" w:type="dxa"/>
          </w:tcPr>
          <w:p w14:paraId="6F47A1DB" w14:textId="77777777" w:rsidR="0046798B" w:rsidRDefault="0046798B">
            <w:pPr>
              <w:pStyle w:val="TableParagraph"/>
              <w:rPr>
                <w:sz w:val="20"/>
              </w:rPr>
            </w:pPr>
          </w:p>
        </w:tc>
      </w:tr>
      <w:tr w:rsidR="0046798B" w14:paraId="0C217F52" w14:textId="77777777">
        <w:trPr>
          <w:trHeight w:val="1235"/>
        </w:trPr>
        <w:tc>
          <w:tcPr>
            <w:tcW w:w="1711" w:type="dxa"/>
          </w:tcPr>
          <w:p w14:paraId="25CA704B" w14:textId="77777777" w:rsidR="0046798B" w:rsidRDefault="0046798B">
            <w:pPr>
              <w:pStyle w:val="TableParagraph"/>
            </w:pPr>
          </w:p>
          <w:p w14:paraId="6242B207" w14:textId="77777777" w:rsidR="0046798B" w:rsidRDefault="0046798B">
            <w:pPr>
              <w:pStyle w:val="TableParagraph"/>
              <w:spacing w:before="8"/>
              <w:rPr>
                <w:sz w:val="21"/>
              </w:rPr>
            </w:pPr>
          </w:p>
          <w:p w14:paraId="33B4AD01" w14:textId="77777777" w:rsidR="0046798B" w:rsidRDefault="00903B5C">
            <w:pPr>
              <w:pStyle w:val="TableParagraph"/>
              <w:spacing w:before="1"/>
              <w:ind w:left="115"/>
              <w:rPr>
                <w:b/>
                <w:sz w:val="20"/>
              </w:rPr>
            </w:pPr>
            <w:r>
              <w:rPr>
                <w:b/>
                <w:sz w:val="20"/>
              </w:rPr>
              <w:t>psecphys</w:t>
            </w:r>
          </w:p>
        </w:tc>
        <w:tc>
          <w:tcPr>
            <w:tcW w:w="1596" w:type="dxa"/>
          </w:tcPr>
          <w:p w14:paraId="355DDFDF" w14:textId="77777777" w:rsidR="0046798B" w:rsidRDefault="00903B5C">
            <w:pPr>
              <w:pStyle w:val="TableParagraph"/>
              <w:spacing w:before="43"/>
              <w:ind w:left="114" w:right="202"/>
              <w:rPr>
                <w:sz w:val="20"/>
              </w:rPr>
            </w:pPr>
            <w:r>
              <w:rPr>
                <w:sz w:val="20"/>
              </w:rPr>
              <w:t>Some abortions require involvement of second physician</w:t>
            </w:r>
          </w:p>
        </w:tc>
        <w:tc>
          <w:tcPr>
            <w:tcW w:w="1285" w:type="dxa"/>
          </w:tcPr>
          <w:p w14:paraId="6D62460D" w14:textId="77777777" w:rsidR="0046798B" w:rsidRDefault="0046798B">
            <w:pPr>
              <w:pStyle w:val="TableParagraph"/>
            </w:pPr>
          </w:p>
          <w:p w14:paraId="6E264AF8" w14:textId="77777777" w:rsidR="0046798B" w:rsidRDefault="0046798B">
            <w:pPr>
              <w:pStyle w:val="TableParagraph"/>
              <w:spacing w:before="8"/>
              <w:rPr>
                <w:sz w:val="21"/>
              </w:rPr>
            </w:pPr>
          </w:p>
          <w:p w14:paraId="4E16FBD0" w14:textId="77777777" w:rsidR="0046798B" w:rsidRDefault="00903B5C">
            <w:pPr>
              <w:pStyle w:val="TableParagraph"/>
              <w:spacing w:before="1"/>
              <w:ind w:left="114"/>
              <w:rPr>
                <w:sz w:val="20"/>
              </w:rPr>
            </w:pPr>
            <w:r>
              <w:rPr>
                <w:sz w:val="20"/>
              </w:rPr>
              <w:t>2000–2016</w:t>
            </w:r>
          </w:p>
        </w:tc>
        <w:tc>
          <w:tcPr>
            <w:tcW w:w="3421" w:type="dxa"/>
          </w:tcPr>
          <w:p w14:paraId="62C72DCE" w14:textId="77777777" w:rsidR="0046798B" w:rsidRDefault="0046798B">
            <w:pPr>
              <w:pStyle w:val="TableParagraph"/>
            </w:pPr>
          </w:p>
          <w:p w14:paraId="0E353079" w14:textId="77777777" w:rsidR="0046798B" w:rsidRDefault="00903B5C">
            <w:pPr>
              <w:pStyle w:val="TableParagraph"/>
              <w:spacing w:before="135"/>
              <w:ind w:left="114" w:right="144"/>
              <w:rPr>
                <w:sz w:val="20"/>
              </w:rPr>
            </w:pPr>
            <w:r>
              <w:rPr>
                <w:sz w:val="20"/>
              </w:rPr>
              <w:t>Some abortions require involvement of second physician? (0 = no, 1 = yes)</w:t>
            </w:r>
          </w:p>
        </w:tc>
        <w:tc>
          <w:tcPr>
            <w:tcW w:w="6482" w:type="dxa"/>
          </w:tcPr>
          <w:p w14:paraId="2991565E" w14:textId="77777777" w:rsidR="0046798B" w:rsidRDefault="0046798B">
            <w:pPr>
              <w:pStyle w:val="TableParagraph"/>
              <w:spacing w:before="8"/>
              <w:rPr>
                <w:sz w:val="23"/>
              </w:rPr>
            </w:pPr>
          </w:p>
          <w:p w14:paraId="47AB27C5"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30A628D" w14:textId="77777777">
        <w:trPr>
          <w:trHeight w:val="780"/>
        </w:trPr>
        <w:tc>
          <w:tcPr>
            <w:tcW w:w="1711" w:type="dxa"/>
          </w:tcPr>
          <w:p w14:paraId="7C1E1C97" w14:textId="77777777" w:rsidR="0046798B" w:rsidRDefault="0046798B">
            <w:pPr>
              <w:pStyle w:val="TableParagraph"/>
              <w:spacing w:before="8"/>
              <w:rPr>
                <w:sz w:val="23"/>
              </w:rPr>
            </w:pPr>
          </w:p>
          <w:p w14:paraId="2A3BC8B7" w14:textId="77777777" w:rsidR="0046798B" w:rsidRDefault="00903B5C">
            <w:pPr>
              <w:pStyle w:val="TableParagraph"/>
              <w:spacing w:before="1"/>
              <w:ind w:left="115"/>
              <w:rPr>
                <w:b/>
                <w:sz w:val="20"/>
              </w:rPr>
            </w:pPr>
            <w:r>
              <w:rPr>
                <w:b/>
                <w:sz w:val="20"/>
              </w:rPr>
              <w:t>pwait</w:t>
            </w:r>
          </w:p>
        </w:tc>
        <w:tc>
          <w:tcPr>
            <w:tcW w:w="1596" w:type="dxa"/>
          </w:tcPr>
          <w:p w14:paraId="528FD1B2" w14:textId="77777777" w:rsidR="0046798B" w:rsidRDefault="00903B5C">
            <w:pPr>
              <w:pStyle w:val="TableParagraph"/>
              <w:spacing w:before="43"/>
              <w:ind w:left="114" w:right="224"/>
              <w:rPr>
                <w:sz w:val="20"/>
              </w:rPr>
            </w:pPr>
            <w:r>
              <w:rPr>
                <w:sz w:val="20"/>
              </w:rPr>
              <w:t>State mandated waiting period before abortion</w:t>
            </w:r>
          </w:p>
        </w:tc>
        <w:tc>
          <w:tcPr>
            <w:tcW w:w="1285" w:type="dxa"/>
          </w:tcPr>
          <w:p w14:paraId="726C82DC" w14:textId="77777777" w:rsidR="0046798B" w:rsidRDefault="0046798B">
            <w:pPr>
              <w:pStyle w:val="TableParagraph"/>
              <w:spacing w:before="8"/>
              <w:rPr>
                <w:sz w:val="23"/>
              </w:rPr>
            </w:pPr>
          </w:p>
          <w:p w14:paraId="47E53306" w14:textId="77777777" w:rsidR="0046798B" w:rsidRDefault="00903B5C">
            <w:pPr>
              <w:pStyle w:val="TableParagraph"/>
              <w:spacing w:before="1"/>
              <w:ind w:left="114"/>
              <w:rPr>
                <w:sz w:val="20"/>
              </w:rPr>
            </w:pPr>
            <w:r>
              <w:rPr>
                <w:sz w:val="20"/>
              </w:rPr>
              <w:t>2000–2016</w:t>
            </w:r>
          </w:p>
        </w:tc>
        <w:tc>
          <w:tcPr>
            <w:tcW w:w="3421" w:type="dxa"/>
          </w:tcPr>
          <w:p w14:paraId="3EE345D2" w14:textId="77777777" w:rsidR="0046798B" w:rsidRDefault="00903B5C">
            <w:pPr>
              <w:pStyle w:val="TableParagraph"/>
              <w:spacing w:before="158"/>
              <w:ind w:left="114" w:right="278"/>
              <w:rPr>
                <w:sz w:val="20"/>
              </w:rPr>
            </w:pPr>
            <w:r>
              <w:rPr>
                <w:sz w:val="20"/>
              </w:rPr>
              <w:t>State mandated waiting period before abortion? (0 = no, 1 = yes)</w:t>
            </w:r>
          </w:p>
        </w:tc>
        <w:tc>
          <w:tcPr>
            <w:tcW w:w="6482" w:type="dxa"/>
          </w:tcPr>
          <w:p w14:paraId="2FFA5E8F"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D789738" w14:textId="77777777">
        <w:trPr>
          <w:trHeight w:val="1005"/>
        </w:trPr>
        <w:tc>
          <w:tcPr>
            <w:tcW w:w="1711" w:type="dxa"/>
          </w:tcPr>
          <w:p w14:paraId="30738374" w14:textId="77777777" w:rsidR="0046798B" w:rsidRDefault="0046798B">
            <w:pPr>
              <w:pStyle w:val="TableParagraph"/>
            </w:pPr>
          </w:p>
          <w:p w14:paraId="5A86D6E0" w14:textId="77777777" w:rsidR="0046798B" w:rsidRDefault="00903B5C">
            <w:pPr>
              <w:pStyle w:val="TableParagraph"/>
              <w:spacing w:before="130"/>
              <w:ind w:left="115"/>
              <w:rPr>
                <w:b/>
                <w:sz w:val="20"/>
              </w:rPr>
            </w:pPr>
            <w:r>
              <w:rPr>
                <w:b/>
                <w:sz w:val="20"/>
              </w:rPr>
              <w:t>pabor</w:t>
            </w:r>
          </w:p>
        </w:tc>
        <w:tc>
          <w:tcPr>
            <w:tcW w:w="1596" w:type="dxa"/>
          </w:tcPr>
          <w:p w14:paraId="01EE3222" w14:textId="77777777" w:rsidR="0046798B" w:rsidRDefault="00903B5C">
            <w:pPr>
              <w:pStyle w:val="TableParagraph"/>
              <w:spacing w:before="38"/>
              <w:ind w:left="114" w:right="224"/>
              <w:rPr>
                <w:sz w:val="20"/>
              </w:rPr>
            </w:pPr>
            <w:r>
              <w:rPr>
                <w:sz w:val="20"/>
              </w:rPr>
              <w:t>First principal component: abortion access variables</w:t>
            </w:r>
          </w:p>
        </w:tc>
        <w:tc>
          <w:tcPr>
            <w:tcW w:w="1285" w:type="dxa"/>
          </w:tcPr>
          <w:p w14:paraId="2A060544" w14:textId="77777777" w:rsidR="0046798B" w:rsidRDefault="0046798B">
            <w:pPr>
              <w:pStyle w:val="TableParagraph"/>
            </w:pPr>
          </w:p>
          <w:p w14:paraId="4404BD0C" w14:textId="77777777" w:rsidR="0046798B" w:rsidRDefault="00903B5C">
            <w:pPr>
              <w:pStyle w:val="TableParagraph"/>
              <w:spacing w:before="130"/>
              <w:ind w:left="114"/>
              <w:rPr>
                <w:sz w:val="20"/>
              </w:rPr>
            </w:pPr>
            <w:r>
              <w:rPr>
                <w:sz w:val="20"/>
              </w:rPr>
              <w:t>2006–2010</w:t>
            </w:r>
          </w:p>
        </w:tc>
        <w:tc>
          <w:tcPr>
            <w:tcW w:w="3421" w:type="dxa"/>
          </w:tcPr>
          <w:p w14:paraId="04D560CF" w14:textId="77777777" w:rsidR="0046798B" w:rsidRDefault="00903B5C">
            <w:pPr>
              <w:pStyle w:val="TableParagraph"/>
              <w:spacing w:before="38"/>
              <w:ind w:left="114" w:right="183"/>
              <w:rPr>
                <w:sz w:val="20"/>
              </w:rPr>
            </w:pPr>
            <w:r>
              <w:rPr>
                <w:sz w:val="20"/>
              </w:rPr>
              <w:t>First principal component: constructed from plicphys, phosp, psecphys, pgestlim, pparbth, ppubfund, pprivins, pcouns, pwait, pminors</w:t>
            </w:r>
          </w:p>
        </w:tc>
        <w:tc>
          <w:tcPr>
            <w:tcW w:w="6482" w:type="dxa"/>
          </w:tcPr>
          <w:p w14:paraId="08EFAAD0" w14:textId="77777777" w:rsidR="0046798B" w:rsidRDefault="00903B5C">
            <w:pPr>
              <w:pStyle w:val="TableParagraph"/>
              <w:spacing w:before="15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4CDA45A" w14:textId="77777777">
        <w:trPr>
          <w:trHeight w:val="775"/>
        </w:trPr>
        <w:tc>
          <w:tcPr>
            <w:tcW w:w="1711" w:type="dxa"/>
          </w:tcPr>
          <w:p w14:paraId="464E3F3F" w14:textId="77777777" w:rsidR="0046798B" w:rsidRDefault="0046798B">
            <w:pPr>
              <w:pStyle w:val="TableParagraph"/>
              <w:spacing w:before="4"/>
              <w:rPr>
                <w:sz w:val="23"/>
              </w:rPr>
            </w:pPr>
          </w:p>
          <w:p w14:paraId="42DD3020" w14:textId="77777777" w:rsidR="0046798B" w:rsidRDefault="00903B5C">
            <w:pPr>
              <w:pStyle w:val="TableParagraph"/>
              <w:ind w:left="115"/>
              <w:rPr>
                <w:b/>
                <w:sz w:val="20"/>
              </w:rPr>
            </w:pPr>
            <w:r>
              <w:rPr>
                <w:b/>
                <w:sz w:val="20"/>
              </w:rPr>
              <w:t>pminors</w:t>
            </w:r>
          </w:p>
        </w:tc>
        <w:tc>
          <w:tcPr>
            <w:tcW w:w="1596" w:type="dxa"/>
          </w:tcPr>
          <w:p w14:paraId="3A8C061B" w14:textId="77777777" w:rsidR="0046798B" w:rsidRDefault="00903B5C">
            <w:pPr>
              <w:pStyle w:val="TableParagraph"/>
              <w:spacing w:before="38"/>
              <w:ind w:left="114" w:right="191"/>
              <w:rPr>
                <w:sz w:val="20"/>
              </w:rPr>
            </w:pPr>
            <w:r>
              <w:rPr>
                <w:sz w:val="20"/>
              </w:rPr>
              <w:t>Parental notification and consent index</w:t>
            </w:r>
          </w:p>
        </w:tc>
        <w:tc>
          <w:tcPr>
            <w:tcW w:w="1285" w:type="dxa"/>
          </w:tcPr>
          <w:p w14:paraId="28D3026A" w14:textId="77777777" w:rsidR="0046798B" w:rsidRDefault="0046798B">
            <w:pPr>
              <w:pStyle w:val="TableParagraph"/>
              <w:spacing w:before="4"/>
              <w:rPr>
                <w:sz w:val="23"/>
              </w:rPr>
            </w:pPr>
          </w:p>
          <w:p w14:paraId="421076B9" w14:textId="77777777" w:rsidR="0046798B" w:rsidRDefault="00903B5C">
            <w:pPr>
              <w:pStyle w:val="TableParagraph"/>
              <w:ind w:left="114"/>
              <w:rPr>
                <w:sz w:val="20"/>
              </w:rPr>
            </w:pPr>
            <w:r>
              <w:rPr>
                <w:sz w:val="20"/>
              </w:rPr>
              <w:t>2000–2016</w:t>
            </w:r>
          </w:p>
        </w:tc>
        <w:tc>
          <w:tcPr>
            <w:tcW w:w="3421" w:type="dxa"/>
          </w:tcPr>
          <w:p w14:paraId="0CA7655C" w14:textId="77777777" w:rsidR="0046798B" w:rsidRDefault="00903B5C">
            <w:pPr>
              <w:pStyle w:val="TableParagraph"/>
              <w:spacing w:before="153"/>
              <w:ind w:left="114" w:right="100"/>
              <w:rPr>
                <w:sz w:val="20"/>
              </w:rPr>
            </w:pPr>
            <w:r>
              <w:rPr>
                <w:sz w:val="20"/>
              </w:rPr>
              <w:t>Parental notification and consent index: pnotif + pcons</w:t>
            </w:r>
          </w:p>
        </w:tc>
        <w:tc>
          <w:tcPr>
            <w:tcW w:w="6482" w:type="dxa"/>
          </w:tcPr>
          <w:p w14:paraId="0CE83F36" w14:textId="77777777" w:rsidR="0046798B" w:rsidRDefault="00903B5C">
            <w:pPr>
              <w:pStyle w:val="TableParagraph"/>
              <w:spacing w:before="38"/>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65D5481" w14:textId="77777777">
        <w:trPr>
          <w:trHeight w:val="1235"/>
        </w:trPr>
        <w:tc>
          <w:tcPr>
            <w:tcW w:w="1711" w:type="dxa"/>
          </w:tcPr>
          <w:p w14:paraId="2026F135" w14:textId="77777777" w:rsidR="0046798B" w:rsidRDefault="0046798B">
            <w:pPr>
              <w:pStyle w:val="TableParagraph"/>
            </w:pPr>
          </w:p>
          <w:p w14:paraId="11002FEF" w14:textId="77777777" w:rsidR="0046798B" w:rsidRDefault="0046798B">
            <w:pPr>
              <w:pStyle w:val="TableParagraph"/>
              <w:spacing w:before="9"/>
              <w:rPr>
                <w:sz w:val="21"/>
              </w:rPr>
            </w:pPr>
          </w:p>
          <w:p w14:paraId="4F3BA7B5" w14:textId="77777777" w:rsidR="0046798B" w:rsidRDefault="00903B5C">
            <w:pPr>
              <w:pStyle w:val="TableParagraph"/>
              <w:ind w:left="115"/>
              <w:rPr>
                <w:b/>
                <w:sz w:val="20"/>
              </w:rPr>
            </w:pPr>
            <w:r>
              <w:rPr>
                <w:b/>
                <w:sz w:val="20"/>
              </w:rPr>
              <w:t>abortionrate</w:t>
            </w:r>
          </w:p>
        </w:tc>
        <w:tc>
          <w:tcPr>
            <w:tcW w:w="1596" w:type="dxa"/>
          </w:tcPr>
          <w:p w14:paraId="3E9DBA53" w14:textId="77777777" w:rsidR="0046798B" w:rsidRDefault="0046798B">
            <w:pPr>
              <w:pStyle w:val="TableParagraph"/>
            </w:pPr>
          </w:p>
          <w:p w14:paraId="4401C763" w14:textId="77777777" w:rsidR="0046798B" w:rsidRDefault="0046798B">
            <w:pPr>
              <w:pStyle w:val="TableParagraph"/>
              <w:spacing w:before="9"/>
              <w:rPr>
                <w:sz w:val="21"/>
              </w:rPr>
            </w:pPr>
          </w:p>
          <w:p w14:paraId="134AF483" w14:textId="77777777" w:rsidR="0046798B" w:rsidRDefault="00903B5C">
            <w:pPr>
              <w:pStyle w:val="TableParagraph"/>
              <w:ind w:left="114"/>
              <w:rPr>
                <w:sz w:val="20"/>
              </w:rPr>
            </w:pPr>
            <w:r>
              <w:rPr>
                <w:sz w:val="20"/>
              </w:rPr>
              <w:t>Abortion rate</w:t>
            </w:r>
          </w:p>
        </w:tc>
        <w:tc>
          <w:tcPr>
            <w:tcW w:w="1285" w:type="dxa"/>
          </w:tcPr>
          <w:p w14:paraId="3D930D5F" w14:textId="77777777" w:rsidR="0046798B" w:rsidRDefault="0046798B">
            <w:pPr>
              <w:pStyle w:val="TableParagraph"/>
            </w:pPr>
          </w:p>
          <w:p w14:paraId="4D74CFCD" w14:textId="77777777" w:rsidR="0046798B" w:rsidRDefault="0046798B">
            <w:pPr>
              <w:pStyle w:val="TableParagraph"/>
              <w:spacing w:before="9"/>
              <w:rPr>
                <w:sz w:val="21"/>
              </w:rPr>
            </w:pPr>
          </w:p>
          <w:p w14:paraId="1554C098" w14:textId="77777777" w:rsidR="0046798B" w:rsidRDefault="00903B5C">
            <w:pPr>
              <w:pStyle w:val="TableParagraph"/>
              <w:ind w:left="114"/>
              <w:rPr>
                <w:sz w:val="20"/>
              </w:rPr>
            </w:pPr>
            <w:r>
              <w:rPr>
                <w:sz w:val="20"/>
              </w:rPr>
              <w:t>1975–1996</w:t>
            </w:r>
          </w:p>
        </w:tc>
        <w:tc>
          <w:tcPr>
            <w:tcW w:w="3421" w:type="dxa"/>
          </w:tcPr>
          <w:p w14:paraId="6F6D47E1" w14:textId="77777777" w:rsidR="0046798B" w:rsidRDefault="00903B5C">
            <w:pPr>
              <w:pStyle w:val="TableParagraph"/>
              <w:spacing w:before="43"/>
              <w:ind w:left="114" w:right="150"/>
              <w:rPr>
                <w:sz w:val="20"/>
              </w:rPr>
            </w:pPr>
            <w:r>
              <w:rPr>
                <w:sz w:val="20"/>
              </w:rPr>
              <w:t>Abortion rate per 1,000 women aged 15–44. For an explanation of why data are problematic after 2000/2001, see source (the Guttmacher Institute). Data for 1993, 1994, 1995 are unavailable.</w:t>
            </w:r>
          </w:p>
        </w:tc>
        <w:tc>
          <w:tcPr>
            <w:tcW w:w="6482" w:type="dxa"/>
          </w:tcPr>
          <w:p w14:paraId="4E6B7993" w14:textId="77777777" w:rsidR="0046798B" w:rsidRDefault="0046798B">
            <w:pPr>
              <w:pStyle w:val="TableParagraph"/>
            </w:pPr>
          </w:p>
          <w:p w14:paraId="0C23D98B" w14:textId="77777777" w:rsidR="0046798B" w:rsidRDefault="00903B5C">
            <w:pPr>
              <w:pStyle w:val="TableParagraph"/>
              <w:spacing w:before="135"/>
              <w:ind w:left="114" w:right="217"/>
              <w:rPr>
                <w:sz w:val="20"/>
              </w:rPr>
            </w:pPr>
            <w:r>
              <w:rPr>
                <w:sz w:val="20"/>
              </w:rPr>
              <w:t xml:space="preserve">Originally provided by Stateminder: A data visualization project from Georgetown University. </w:t>
            </w:r>
            <w:hyperlink r:id="rId880">
              <w:r>
                <w:rPr>
                  <w:color w:val="0462C1"/>
                  <w:sz w:val="20"/>
                  <w:u w:val="single" w:color="0462C1"/>
                </w:rPr>
                <w:t xml:space="preserve">http://stateminder.org/ </w:t>
              </w:r>
            </w:hyperlink>
            <w:r>
              <w:rPr>
                <w:color w:val="0462C1"/>
                <w:sz w:val="20"/>
                <w:u w:val="single" w:color="0462C1"/>
              </w:rPr>
              <w:t>(no longer accessible online)</w:t>
            </w:r>
          </w:p>
        </w:tc>
      </w:tr>
    </w:tbl>
    <w:p w14:paraId="557FBCBE" w14:textId="77777777" w:rsidR="0046798B" w:rsidRDefault="0046798B">
      <w:pPr>
        <w:pStyle w:val="BodyText"/>
        <w:spacing w:before="2"/>
        <w:rPr>
          <w:sz w:val="16"/>
        </w:rPr>
      </w:pPr>
    </w:p>
    <w:p w14:paraId="2078A3BC" w14:textId="77777777" w:rsidR="0046798B" w:rsidRDefault="00903B5C">
      <w:pPr>
        <w:pStyle w:val="ListParagraph"/>
        <w:numPr>
          <w:ilvl w:val="0"/>
          <w:numId w:val="4"/>
        </w:numPr>
        <w:tabs>
          <w:tab w:val="left" w:pos="916"/>
        </w:tabs>
        <w:spacing w:before="90"/>
        <w:ind w:left="915" w:hanging="295"/>
        <w:rPr>
          <w:b/>
          <w:sz w:val="24"/>
        </w:rPr>
      </w:pPr>
      <w:r>
        <w:rPr>
          <w:b/>
          <w:sz w:val="24"/>
          <w:u w:val="single"/>
        </w:rPr>
        <w:t>LGBTQ</w:t>
      </w:r>
      <w:r>
        <w:rPr>
          <w:b/>
          <w:spacing w:val="-2"/>
          <w:sz w:val="24"/>
          <w:u w:val="single"/>
        </w:rPr>
        <w:t xml:space="preserve"> </w:t>
      </w:r>
      <w:r>
        <w:rPr>
          <w:b/>
          <w:sz w:val="24"/>
          <w:u w:val="single"/>
        </w:rPr>
        <w:t>Rights</w:t>
      </w:r>
    </w:p>
    <w:p w14:paraId="4F2E2D8D" w14:textId="77777777" w:rsidR="0046798B" w:rsidRDefault="0046798B">
      <w:pPr>
        <w:pStyle w:val="BodyText"/>
        <w:spacing w:before="2"/>
        <w:rPr>
          <w:b/>
          <w:sz w:val="24"/>
        </w:rPr>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D623E03" w14:textId="77777777">
        <w:trPr>
          <w:trHeight w:val="590"/>
        </w:trPr>
        <w:tc>
          <w:tcPr>
            <w:tcW w:w="1711" w:type="dxa"/>
          </w:tcPr>
          <w:p w14:paraId="3996544A" w14:textId="77777777" w:rsidR="0046798B" w:rsidRDefault="00903B5C">
            <w:pPr>
              <w:pStyle w:val="TableParagraph"/>
              <w:spacing w:before="164"/>
              <w:ind w:left="140"/>
              <w:rPr>
                <w:b/>
              </w:rPr>
            </w:pPr>
            <w:r>
              <w:rPr>
                <w:b/>
              </w:rPr>
              <w:t>Variable Name</w:t>
            </w:r>
          </w:p>
        </w:tc>
        <w:tc>
          <w:tcPr>
            <w:tcW w:w="1596" w:type="dxa"/>
          </w:tcPr>
          <w:p w14:paraId="572C5B18" w14:textId="77777777" w:rsidR="0046798B" w:rsidRDefault="00903B5C">
            <w:pPr>
              <w:pStyle w:val="TableParagraph"/>
              <w:spacing w:before="41" w:line="237" w:lineRule="auto"/>
              <w:ind w:left="249" w:right="229" w:firstLine="280"/>
              <w:rPr>
                <w:b/>
              </w:rPr>
            </w:pPr>
            <w:r>
              <w:rPr>
                <w:b/>
              </w:rPr>
              <w:t>Short Description</w:t>
            </w:r>
          </w:p>
        </w:tc>
        <w:tc>
          <w:tcPr>
            <w:tcW w:w="1285" w:type="dxa"/>
          </w:tcPr>
          <w:p w14:paraId="5BAF9B1B" w14:textId="77777777" w:rsidR="0046798B" w:rsidRDefault="00903B5C">
            <w:pPr>
              <w:pStyle w:val="TableParagraph"/>
              <w:spacing w:before="164"/>
              <w:ind w:left="364"/>
              <w:rPr>
                <w:b/>
              </w:rPr>
            </w:pPr>
            <w:r>
              <w:rPr>
                <w:b/>
              </w:rPr>
              <w:t>Years</w:t>
            </w:r>
          </w:p>
        </w:tc>
        <w:tc>
          <w:tcPr>
            <w:tcW w:w="3421" w:type="dxa"/>
          </w:tcPr>
          <w:p w14:paraId="7ADE5085" w14:textId="77777777" w:rsidR="0046798B" w:rsidRDefault="00903B5C">
            <w:pPr>
              <w:pStyle w:val="TableParagraph"/>
              <w:spacing w:before="39" w:line="252" w:lineRule="exact"/>
              <w:ind w:left="159" w:right="146"/>
              <w:jc w:val="center"/>
              <w:rPr>
                <w:b/>
              </w:rPr>
            </w:pPr>
            <w:r>
              <w:rPr>
                <w:b/>
              </w:rPr>
              <w:t>Coding /</w:t>
            </w:r>
          </w:p>
          <w:p w14:paraId="3DC3E5DE" w14:textId="77777777" w:rsidR="0046798B" w:rsidRDefault="00903B5C">
            <w:pPr>
              <w:pStyle w:val="TableParagraph"/>
              <w:spacing w:line="252" w:lineRule="exact"/>
              <w:ind w:left="159" w:right="150"/>
              <w:jc w:val="center"/>
              <w:rPr>
                <w:b/>
              </w:rPr>
            </w:pPr>
            <w:r>
              <w:rPr>
                <w:b/>
              </w:rPr>
              <w:t>Longer Description (if available)</w:t>
            </w:r>
          </w:p>
        </w:tc>
        <w:tc>
          <w:tcPr>
            <w:tcW w:w="6482" w:type="dxa"/>
          </w:tcPr>
          <w:p w14:paraId="1F5650B0" w14:textId="77777777" w:rsidR="0046798B" w:rsidRDefault="00903B5C">
            <w:pPr>
              <w:pStyle w:val="TableParagraph"/>
              <w:spacing w:before="164"/>
              <w:ind w:left="2852" w:right="2845"/>
              <w:jc w:val="center"/>
              <w:rPr>
                <w:b/>
              </w:rPr>
            </w:pPr>
            <w:r>
              <w:rPr>
                <w:b/>
              </w:rPr>
              <w:t>Sources</w:t>
            </w:r>
          </w:p>
        </w:tc>
      </w:tr>
      <w:tr w:rsidR="0046798B" w14:paraId="2CB1B9E0" w14:textId="77777777">
        <w:trPr>
          <w:trHeight w:val="1925"/>
        </w:trPr>
        <w:tc>
          <w:tcPr>
            <w:tcW w:w="1711" w:type="dxa"/>
          </w:tcPr>
          <w:p w14:paraId="4CF1DD45" w14:textId="77777777" w:rsidR="0046798B" w:rsidRDefault="0046798B">
            <w:pPr>
              <w:pStyle w:val="TableParagraph"/>
              <w:rPr>
                <w:b/>
              </w:rPr>
            </w:pPr>
          </w:p>
          <w:p w14:paraId="75C27448" w14:textId="77777777" w:rsidR="0046798B" w:rsidRDefault="0046798B">
            <w:pPr>
              <w:pStyle w:val="TableParagraph"/>
              <w:rPr>
                <w:b/>
              </w:rPr>
            </w:pPr>
          </w:p>
          <w:p w14:paraId="3FF3F4A7" w14:textId="77777777" w:rsidR="0046798B" w:rsidRDefault="0046798B">
            <w:pPr>
              <w:pStyle w:val="TableParagraph"/>
              <w:spacing w:before="9"/>
              <w:rPr>
                <w:b/>
                <w:sz w:val="29"/>
              </w:rPr>
            </w:pPr>
          </w:p>
          <w:p w14:paraId="0CFD864F" w14:textId="77777777" w:rsidR="0046798B" w:rsidRDefault="00903B5C">
            <w:pPr>
              <w:pStyle w:val="TableParagraph"/>
              <w:ind w:left="115"/>
              <w:rPr>
                <w:b/>
                <w:sz w:val="20"/>
              </w:rPr>
            </w:pPr>
            <w:r>
              <w:rPr>
                <w:b/>
                <w:sz w:val="20"/>
              </w:rPr>
              <w:t>gayhate</w:t>
            </w:r>
          </w:p>
        </w:tc>
        <w:tc>
          <w:tcPr>
            <w:tcW w:w="1596" w:type="dxa"/>
          </w:tcPr>
          <w:p w14:paraId="75163DCB" w14:textId="77777777" w:rsidR="0046798B" w:rsidRDefault="0046798B">
            <w:pPr>
              <w:pStyle w:val="TableParagraph"/>
              <w:rPr>
                <w:b/>
              </w:rPr>
            </w:pPr>
          </w:p>
          <w:p w14:paraId="714D7E51" w14:textId="77777777" w:rsidR="0046798B" w:rsidRDefault="0046798B">
            <w:pPr>
              <w:pStyle w:val="TableParagraph"/>
              <w:spacing w:before="9"/>
              <w:rPr>
                <w:b/>
                <w:sz w:val="21"/>
              </w:rPr>
            </w:pPr>
          </w:p>
          <w:p w14:paraId="44F3E715" w14:textId="77777777" w:rsidR="0046798B" w:rsidRDefault="00903B5C">
            <w:pPr>
              <w:pStyle w:val="TableParagraph"/>
              <w:ind w:left="114" w:right="197"/>
              <w:rPr>
                <w:sz w:val="20"/>
              </w:rPr>
            </w:pPr>
            <w:r>
              <w:rPr>
                <w:sz w:val="20"/>
              </w:rPr>
              <w:t>Laws establishing anti-LGBT hate crimes</w:t>
            </w:r>
          </w:p>
        </w:tc>
        <w:tc>
          <w:tcPr>
            <w:tcW w:w="1285" w:type="dxa"/>
          </w:tcPr>
          <w:p w14:paraId="5BF4DBA1" w14:textId="77777777" w:rsidR="0046798B" w:rsidRDefault="0046798B">
            <w:pPr>
              <w:pStyle w:val="TableParagraph"/>
              <w:rPr>
                <w:b/>
              </w:rPr>
            </w:pPr>
          </w:p>
          <w:p w14:paraId="5B9AA8DF" w14:textId="77777777" w:rsidR="0046798B" w:rsidRDefault="0046798B">
            <w:pPr>
              <w:pStyle w:val="TableParagraph"/>
              <w:rPr>
                <w:b/>
              </w:rPr>
            </w:pPr>
          </w:p>
          <w:p w14:paraId="574D56BD" w14:textId="77777777" w:rsidR="0046798B" w:rsidRDefault="0046798B">
            <w:pPr>
              <w:pStyle w:val="TableParagraph"/>
              <w:spacing w:before="9"/>
              <w:rPr>
                <w:b/>
                <w:sz w:val="29"/>
              </w:rPr>
            </w:pPr>
          </w:p>
          <w:p w14:paraId="4D0587CC" w14:textId="77777777" w:rsidR="0046798B" w:rsidRDefault="00903B5C">
            <w:pPr>
              <w:pStyle w:val="TableParagraph"/>
              <w:ind w:left="114"/>
              <w:rPr>
                <w:sz w:val="20"/>
              </w:rPr>
            </w:pPr>
            <w:r>
              <w:rPr>
                <w:sz w:val="20"/>
              </w:rPr>
              <w:t>1989–2005</w:t>
            </w:r>
          </w:p>
        </w:tc>
        <w:tc>
          <w:tcPr>
            <w:tcW w:w="3421" w:type="dxa"/>
          </w:tcPr>
          <w:p w14:paraId="68376F9A" w14:textId="77777777" w:rsidR="0046798B" w:rsidRDefault="0046798B">
            <w:pPr>
              <w:pStyle w:val="TableParagraph"/>
              <w:rPr>
                <w:b/>
              </w:rPr>
            </w:pPr>
          </w:p>
          <w:p w14:paraId="31C166A0" w14:textId="77777777" w:rsidR="0046798B" w:rsidRDefault="0046798B">
            <w:pPr>
              <w:pStyle w:val="TableParagraph"/>
              <w:rPr>
                <w:b/>
              </w:rPr>
            </w:pPr>
          </w:p>
          <w:p w14:paraId="638ACF61" w14:textId="77777777" w:rsidR="0046798B" w:rsidRDefault="0046798B">
            <w:pPr>
              <w:pStyle w:val="TableParagraph"/>
              <w:spacing w:before="9"/>
              <w:rPr>
                <w:b/>
                <w:sz w:val="19"/>
              </w:rPr>
            </w:pPr>
          </w:p>
          <w:p w14:paraId="5F42B279" w14:textId="77777777" w:rsidR="0046798B" w:rsidRDefault="00903B5C">
            <w:pPr>
              <w:pStyle w:val="TableParagraph"/>
              <w:ind w:left="114" w:right="1475"/>
              <w:rPr>
                <w:sz w:val="20"/>
              </w:rPr>
            </w:pPr>
            <w:r>
              <w:rPr>
                <w:sz w:val="20"/>
              </w:rPr>
              <w:t>0 = policy not adopted 1 = policy adopted</w:t>
            </w:r>
          </w:p>
        </w:tc>
        <w:tc>
          <w:tcPr>
            <w:tcW w:w="6482" w:type="dxa"/>
          </w:tcPr>
          <w:p w14:paraId="1CC5BDED" w14:textId="77777777" w:rsidR="0046798B" w:rsidRDefault="00903B5C">
            <w:pPr>
              <w:pStyle w:val="TableParagraph"/>
              <w:spacing w:before="43"/>
              <w:ind w:left="114" w:right="156"/>
              <w:rPr>
                <w:sz w:val="20"/>
              </w:rPr>
            </w:pPr>
            <w:r>
              <w:rPr>
                <w:sz w:val="20"/>
              </w:rPr>
              <w:t xml:space="preserve">Boushey, Graeme. “Targeted for diffusion? How the use and acceptance of stereotypes shape the diffusion of criminal justice policy innovations in the American states.” </w:t>
            </w:r>
            <w:r>
              <w:rPr>
                <w:i/>
                <w:sz w:val="20"/>
              </w:rPr>
              <w:t xml:space="preserve">American Political Science Review </w:t>
            </w:r>
            <w:r>
              <w:rPr>
                <w:sz w:val="20"/>
              </w:rPr>
              <w:t>110.1 (2016): 198-214.</w:t>
            </w:r>
          </w:p>
          <w:p w14:paraId="6913EB23" w14:textId="77777777" w:rsidR="0046798B" w:rsidRDefault="0046798B">
            <w:pPr>
              <w:pStyle w:val="TableParagraph"/>
              <w:rPr>
                <w:b/>
                <w:sz w:val="20"/>
              </w:rPr>
            </w:pPr>
          </w:p>
          <w:p w14:paraId="3C3086D7"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bl>
    <w:p w14:paraId="3934A310" w14:textId="77777777" w:rsidR="0046798B" w:rsidRDefault="0046798B">
      <w:pPr>
        <w:rPr>
          <w:sz w:val="20"/>
        </w:rPr>
        <w:sectPr w:rsidR="0046798B">
          <w:pgSz w:w="15840" w:h="12240" w:orient="landscape"/>
          <w:pgMar w:top="1220" w:right="300" w:bottom="980" w:left="820" w:header="730" w:footer="787" w:gutter="0"/>
          <w:cols w:space="720"/>
        </w:sectPr>
      </w:pPr>
    </w:p>
    <w:p w14:paraId="33606ABD"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7B18326E" w14:textId="77777777">
        <w:trPr>
          <w:trHeight w:val="1005"/>
        </w:trPr>
        <w:tc>
          <w:tcPr>
            <w:tcW w:w="1711" w:type="dxa"/>
          </w:tcPr>
          <w:p w14:paraId="14EBAAE8" w14:textId="77777777" w:rsidR="0046798B" w:rsidRDefault="0046798B">
            <w:pPr>
              <w:pStyle w:val="TableParagraph"/>
            </w:pPr>
          </w:p>
          <w:p w14:paraId="30083C61" w14:textId="77777777" w:rsidR="0046798B" w:rsidRDefault="00903B5C">
            <w:pPr>
              <w:pStyle w:val="TableParagraph"/>
              <w:spacing w:before="135"/>
              <w:ind w:left="115"/>
              <w:rPr>
                <w:b/>
                <w:sz w:val="20"/>
              </w:rPr>
            </w:pPr>
            <w:r>
              <w:rPr>
                <w:b/>
                <w:sz w:val="20"/>
              </w:rPr>
              <w:t>gaymarban</w:t>
            </w:r>
          </w:p>
        </w:tc>
        <w:tc>
          <w:tcPr>
            <w:tcW w:w="1596" w:type="dxa"/>
          </w:tcPr>
          <w:p w14:paraId="4701349F" w14:textId="77777777" w:rsidR="0046798B" w:rsidRDefault="00903B5C">
            <w:pPr>
              <w:pStyle w:val="TableParagraph"/>
              <w:spacing w:before="43"/>
              <w:ind w:left="114" w:right="318"/>
              <w:rPr>
                <w:sz w:val="20"/>
              </w:rPr>
            </w:pPr>
            <w:r>
              <w:rPr>
                <w:sz w:val="20"/>
              </w:rPr>
              <w:t>Constitutional amendment banning gay marriage</w:t>
            </w:r>
          </w:p>
        </w:tc>
        <w:tc>
          <w:tcPr>
            <w:tcW w:w="1285" w:type="dxa"/>
          </w:tcPr>
          <w:p w14:paraId="144C9A5F" w14:textId="77777777" w:rsidR="0046798B" w:rsidRDefault="0046798B">
            <w:pPr>
              <w:pStyle w:val="TableParagraph"/>
            </w:pPr>
          </w:p>
          <w:p w14:paraId="59CAE37C" w14:textId="77777777" w:rsidR="0046798B" w:rsidRDefault="00903B5C">
            <w:pPr>
              <w:pStyle w:val="TableParagraph"/>
              <w:spacing w:before="135"/>
              <w:ind w:left="114"/>
              <w:rPr>
                <w:sz w:val="20"/>
              </w:rPr>
            </w:pPr>
            <w:r>
              <w:rPr>
                <w:sz w:val="20"/>
              </w:rPr>
              <w:t>1994–2008</w:t>
            </w:r>
          </w:p>
        </w:tc>
        <w:tc>
          <w:tcPr>
            <w:tcW w:w="3421" w:type="dxa"/>
          </w:tcPr>
          <w:p w14:paraId="5785F5FF" w14:textId="77777777" w:rsidR="0046798B" w:rsidRDefault="00903B5C">
            <w:pPr>
              <w:pStyle w:val="TableParagraph"/>
              <w:spacing w:before="158"/>
              <w:ind w:left="114" w:right="244"/>
              <w:rPr>
                <w:sz w:val="20"/>
              </w:rPr>
            </w:pPr>
            <w:r>
              <w:rPr>
                <w:sz w:val="20"/>
              </w:rPr>
              <w:t>Did state adopt a constitutional amendment banning gay marriage? (0</w:t>
            </w:r>
          </w:p>
          <w:p w14:paraId="493B0B55" w14:textId="77777777" w:rsidR="0046798B" w:rsidRDefault="00903B5C">
            <w:pPr>
              <w:pStyle w:val="TableParagraph"/>
              <w:ind w:left="114"/>
              <w:rPr>
                <w:sz w:val="20"/>
              </w:rPr>
            </w:pPr>
            <w:r>
              <w:rPr>
                <w:sz w:val="20"/>
              </w:rPr>
              <w:t>= no, 1 = yes)</w:t>
            </w:r>
          </w:p>
        </w:tc>
        <w:tc>
          <w:tcPr>
            <w:tcW w:w="6482" w:type="dxa"/>
          </w:tcPr>
          <w:p w14:paraId="792E9198" w14:textId="77777777" w:rsidR="0046798B" w:rsidRDefault="0046798B">
            <w:pPr>
              <w:pStyle w:val="TableParagraph"/>
              <w:spacing w:before="9"/>
              <w:rPr>
                <w:sz w:val="23"/>
              </w:rPr>
            </w:pPr>
          </w:p>
          <w:p w14:paraId="0A946CA2" w14:textId="77777777" w:rsidR="0046798B" w:rsidRDefault="00903B5C">
            <w:pPr>
              <w:pStyle w:val="TableParagraph"/>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3BBBBDF2" w14:textId="77777777">
        <w:trPr>
          <w:trHeight w:val="1235"/>
        </w:trPr>
        <w:tc>
          <w:tcPr>
            <w:tcW w:w="1711" w:type="dxa"/>
          </w:tcPr>
          <w:p w14:paraId="6A538CE9" w14:textId="77777777" w:rsidR="0046798B" w:rsidRDefault="0046798B">
            <w:pPr>
              <w:pStyle w:val="TableParagraph"/>
            </w:pPr>
          </w:p>
          <w:p w14:paraId="2251B6AA" w14:textId="77777777" w:rsidR="0046798B" w:rsidRDefault="0046798B">
            <w:pPr>
              <w:pStyle w:val="TableParagraph"/>
              <w:spacing w:before="9"/>
              <w:rPr>
                <w:sz w:val="21"/>
              </w:rPr>
            </w:pPr>
          </w:p>
          <w:p w14:paraId="33D96070" w14:textId="77777777" w:rsidR="0046798B" w:rsidRDefault="00903B5C">
            <w:pPr>
              <w:pStyle w:val="TableParagraph"/>
              <w:ind w:left="115"/>
              <w:rPr>
                <w:b/>
                <w:sz w:val="20"/>
              </w:rPr>
            </w:pPr>
            <w:r>
              <w:rPr>
                <w:b/>
                <w:sz w:val="20"/>
              </w:rPr>
              <w:t>ssame</w:t>
            </w:r>
          </w:p>
        </w:tc>
        <w:tc>
          <w:tcPr>
            <w:tcW w:w="1596" w:type="dxa"/>
          </w:tcPr>
          <w:p w14:paraId="355589DF" w14:textId="77777777" w:rsidR="0046798B" w:rsidRDefault="00903B5C">
            <w:pPr>
              <w:pStyle w:val="TableParagraph"/>
              <w:spacing w:before="43"/>
              <w:ind w:left="114" w:right="135"/>
              <w:rPr>
                <w:sz w:val="20"/>
              </w:rPr>
            </w:pPr>
            <w:r>
              <w:rPr>
                <w:sz w:val="20"/>
              </w:rPr>
              <w:t>Same-sex civil union, marriage, or extensive domestic partnership</w:t>
            </w:r>
          </w:p>
        </w:tc>
        <w:tc>
          <w:tcPr>
            <w:tcW w:w="1285" w:type="dxa"/>
          </w:tcPr>
          <w:p w14:paraId="2D96FA0B" w14:textId="77777777" w:rsidR="0046798B" w:rsidRDefault="0046798B">
            <w:pPr>
              <w:pStyle w:val="TableParagraph"/>
            </w:pPr>
          </w:p>
          <w:p w14:paraId="14033D28" w14:textId="77777777" w:rsidR="0046798B" w:rsidRDefault="0046798B">
            <w:pPr>
              <w:pStyle w:val="TableParagraph"/>
              <w:spacing w:before="9"/>
              <w:rPr>
                <w:sz w:val="21"/>
              </w:rPr>
            </w:pPr>
          </w:p>
          <w:p w14:paraId="5B4DF41B" w14:textId="77777777" w:rsidR="0046798B" w:rsidRDefault="00903B5C">
            <w:pPr>
              <w:pStyle w:val="TableParagraph"/>
              <w:ind w:left="114"/>
              <w:rPr>
                <w:sz w:val="20"/>
              </w:rPr>
            </w:pPr>
            <w:r>
              <w:rPr>
                <w:sz w:val="20"/>
              </w:rPr>
              <w:t>2000–2016</w:t>
            </w:r>
          </w:p>
        </w:tc>
        <w:tc>
          <w:tcPr>
            <w:tcW w:w="3421" w:type="dxa"/>
          </w:tcPr>
          <w:p w14:paraId="589AA213" w14:textId="77777777" w:rsidR="0046798B" w:rsidRDefault="00903B5C">
            <w:pPr>
              <w:pStyle w:val="TableParagraph"/>
              <w:spacing w:before="43"/>
              <w:ind w:left="114" w:right="202"/>
              <w:rPr>
                <w:sz w:val="20"/>
              </w:rPr>
            </w:pPr>
            <w:r>
              <w:rPr>
                <w:sz w:val="20"/>
              </w:rPr>
              <w:t>-1 = “super-DOMA”, 0 = no same-sex unions, 0.5 = limited domestic partnership, 1 = same-sex civil union, marriage, or extensive domestic partnership</w:t>
            </w:r>
          </w:p>
        </w:tc>
        <w:tc>
          <w:tcPr>
            <w:tcW w:w="6482" w:type="dxa"/>
          </w:tcPr>
          <w:p w14:paraId="3F488CD1" w14:textId="77777777" w:rsidR="0046798B" w:rsidRDefault="0046798B">
            <w:pPr>
              <w:pStyle w:val="TableParagraph"/>
              <w:spacing w:before="8"/>
              <w:rPr>
                <w:sz w:val="23"/>
              </w:rPr>
            </w:pPr>
          </w:p>
          <w:p w14:paraId="5D4F0691"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267B014" w14:textId="77777777">
        <w:trPr>
          <w:trHeight w:val="1700"/>
        </w:trPr>
        <w:tc>
          <w:tcPr>
            <w:tcW w:w="1711" w:type="dxa"/>
          </w:tcPr>
          <w:p w14:paraId="2C72BB84" w14:textId="77777777" w:rsidR="0046798B" w:rsidRDefault="0046798B">
            <w:pPr>
              <w:pStyle w:val="TableParagraph"/>
            </w:pPr>
          </w:p>
          <w:p w14:paraId="48907F2F" w14:textId="77777777" w:rsidR="0046798B" w:rsidRDefault="0046798B">
            <w:pPr>
              <w:pStyle w:val="TableParagraph"/>
            </w:pPr>
          </w:p>
          <w:p w14:paraId="6A6C0BCF" w14:textId="77777777" w:rsidR="0046798B" w:rsidRDefault="0046798B">
            <w:pPr>
              <w:pStyle w:val="TableParagraph"/>
              <w:spacing w:before="9"/>
              <w:rPr>
                <w:sz w:val="19"/>
              </w:rPr>
            </w:pPr>
          </w:p>
          <w:p w14:paraId="4E0DE6F4" w14:textId="77777777" w:rsidR="0046798B" w:rsidRDefault="00903B5C">
            <w:pPr>
              <w:pStyle w:val="TableParagraph"/>
              <w:ind w:left="115"/>
              <w:rPr>
                <w:b/>
                <w:sz w:val="20"/>
              </w:rPr>
            </w:pPr>
            <w:r>
              <w:rPr>
                <w:b/>
                <w:sz w:val="20"/>
              </w:rPr>
              <w:t>sstmrrge</w:t>
            </w:r>
          </w:p>
        </w:tc>
        <w:tc>
          <w:tcPr>
            <w:tcW w:w="1596" w:type="dxa"/>
          </w:tcPr>
          <w:p w14:paraId="066207EB" w14:textId="77777777" w:rsidR="0046798B" w:rsidRDefault="0046798B">
            <w:pPr>
              <w:pStyle w:val="TableParagraph"/>
            </w:pPr>
          </w:p>
          <w:p w14:paraId="79D67DB6" w14:textId="77777777" w:rsidR="0046798B" w:rsidRDefault="0046798B">
            <w:pPr>
              <w:pStyle w:val="TableParagraph"/>
              <w:spacing w:before="9"/>
              <w:rPr>
                <w:sz w:val="31"/>
              </w:rPr>
            </w:pPr>
          </w:p>
          <w:p w14:paraId="34A1A9ED" w14:textId="77777777" w:rsidR="0046798B" w:rsidRDefault="00903B5C">
            <w:pPr>
              <w:pStyle w:val="TableParagraph"/>
              <w:ind w:left="114" w:right="291"/>
              <w:rPr>
                <w:sz w:val="20"/>
              </w:rPr>
            </w:pPr>
            <w:r>
              <w:rPr>
                <w:sz w:val="20"/>
              </w:rPr>
              <w:t>State marriage laws</w:t>
            </w:r>
          </w:p>
        </w:tc>
        <w:tc>
          <w:tcPr>
            <w:tcW w:w="1285" w:type="dxa"/>
          </w:tcPr>
          <w:p w14:paraId="3900B7D9" w14:textId="77777777" w:rsidR="0046798B" w:rsidRDefault="0046798B">
            <w:pPr>
              <w:pStyle w:val="TableParagraph"/>
            </w:pPr>
          </w:p>
          <w:p w14:paraId="6B99D5FF" w14:textId="77777777" w:rsidR="0046798B" w:rsidRDefault="0046798B">
            <w:pPr>
              <w:pStyle w:val="TableParagraph"/>
            </w:pPr>
          </w:p>
          <w:p w14:paraId="07B3937F" w14:textId="77777777" w:rsidR="0046798B" w:rsidRDefault="0046798B">
            <w:pPr>
              <w:pStyle w:val="TableParagraph"/>
              <w:spacing w:before="9"/>
              <w:rPr>
                <w:sz w:val="19"/>
              </w:rPr>
            </w:pPr>
          </w:p>
          <w:p w14:paraId="0F2E2C5B" w14:textId="77777777" w:rsidR="0046798B" w:rsidRDefault="00903B5C">
            <w:pPr>
              <w:pStyle w:val="TableParagraph"/>
              <w:ind w:left="114"/>
              <w:rPr>
                <w:sz w:val="20"/>
              </w:rPr>
            </w:pPr>
            <w:r>
              <w:rPr>
                <w:sz w:val="20"/>
              </w:rPr>
              <w:t>2000–2016</w:t>
            </w:r>
          </w:p>
        </w:tc>
        <w:tc>
          <w:tcPr>
            <w:tcW w:w="3421" w:type="dxa"/>
          </w:tcPr>
          <w:p w14:paraId="796861E4" w14:textId="77777777" w:rsidR="0046798B" w:rsidRDefault="00903B5C">
            <w:pPr>
              <w:pStyle w:val="TableParagraph"/>
              <w:spacing w:before="43"/>
              <w:ind w:left="114"/>
              <w:rPr>
                <w:sz w:val="20"/>
              </w:rPr>
            </w:pPr>
            <w:r>
              <w:rPr>
                <w:sz w:val="20"/>
              </w:rPr>
              <w:t>State marriage laws (0 = no domestic partnerships, civil unions, or same sex marriage; 1 = limited domestic partnerships only; 2 = civil unions or equivalent, conferring all or most of the benefits of marriage; 3 = same-sex marriage)</w:t>
            </w:r>
          </w:p>
        </w:tc>
        <w:tc>
          <w:tcPr>
            <w:tcW w:w="6482" w:type="dxa"/>
          </w:tcPr>
          <w:p w14:paraId="348068EE" w14:textId="77777777" w:rsidR="0046798B" w:rsidRDefault="0046798B">
            <w:pPr>
              <w:pStyle w:val="TableParagraph"/>
            </w:pPr>
          </w:p>
          <w:p w14:paraId="3D464B1A" w14:textId="77777777" w:rsidR="0046798B" w:rsidRDefault="0046798B">
            <w:pPr>
              <w:pStyle w:val="TableParagraph"/>
              <w:spacing w:before="9"/>
              <w:rPr>
                <w:sz w:val="21"/>
              </w:rPr>
            </w:pPr>
          </w:p>
          <w:p w14:paraId="4CBBF9B7"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8B33DBB" w14:textId="77777777">
        <w:trPr>
          <w:trHeight w:val="1465"/>
        </w:trPr>
        <w:tc>
          <w:tcPr>
            <w:tcW w:w="1711" w:type="dxa"/>
          </w:tcPr>
          <w:p w14:paraId="3EDADDDC" w14:textId="77777777" w:rsidR="0046798B" w:rsidRDefault="0046798B">
            <w:pPr>
              <w:pStyle w:val="TableParagraph"/>
            </w:pPr>
          </w:p>
          <w:p w14:paraId="6D7E1EA8" w14:textId="77777777" w:rsidR="0046798B" w:rsidRDefault="0046798B">
            <w:pPr>
              <w:pStyle w:val="TableParagraph"/>
              <w:spacing w:before="4"/>
              <w:rPr>
                <w:sz w:val="31"/>
              </w:rPr>
            </w:pPr>
          </w:p>
          <w:p w14:paraId="1A6AF5CA" w14:textId="77777777" w:rsidR="0046798B" w:rsidRDefault="00903B5C">
            <w:pPr>
              <w:pStyle w:val="TableParagraph"/>
              <w:ind w:left="115"/>
              <w:rPr>
                <w:b/>
                <w:sz w:val="20"/>
              </w:rPr>
            </w:pPr>
            <w:r>
              <w:rPr>
                <w:b/>
                <w:sz w:val="20"/>
              </w:rPr>
              <w:t>superdoma</w:t>
            </w:r>
          </w:p>
        </w:tc>
        <w:tc>
          <w:tcPr>
            <w:tcW w:w="1596" w:type="dxa"/>
          </w:tcPr>
          <w:p w14:paraId="14640972" w14:textId="77777777" w:rsidR="0046798B" w:rsidRDefault="00903B5C">
            <w:pPr>
              <w:pStyle w:val="TableParagraph"/>
              <w:spacing w:before="38"/>
              <w:ind w:left="114" w:right="285"/>
              <w:rPr>
                <w:sz w:val="20"/>
              </w:rPr>
            </w:pPr>
            <w:r>
              <w:rPr>
                <w:sz w:val="20"/>
              </w:rPr>
              <w:t>State prohibits all legal relationships approximating benefits of marriage</w:t>
            </w:r>
          </w:p>
        </w:tc>
        <w:tc>
          <w:tcPr>
            <w:tcW w:w="1285" w:type="dxa"/>
          </w:tcPr>
          <w:p w14:paraId="5CCB23B1" w14:textId="77777777" w:rsidR="0046798B" w:rsidRDefault="0046798B">
            <w:pPr>
              <w:pStyle w:val="TableParagraph"/>
            </w:pPr>
          </w:p>
          <w:p w14:paraId="78252FDD" w14:textId="77777777" w:rsidR="0046798B" w:rsidRDefault="0046798B">
            <w:pPr>
              <w:pStyle w:val="TableParagraph"/>
              <w:spacing w:before="4"/>
              <w:rPr>
                <w:sz w:val="31"/>
              </w:rPr>
            </w:pPr>
          </w:p>
          <w:p w14:paraId="45AA2713" w14:textId="77777777" w:rsidR="0046798B" w:rsidRDefault="00903B5C">
            <w:pPr>
              <w:pStyle w:val="TableParagraph"/>
              <w:ind w:left="114"/>
              <w:rPr>
                <w:sz w:val="20"/>
              </w:rPr>
            </w:pPr>
            <w:r>
              <w:rPr>
                <w:sz w:val="20"/>
              </w:rPr>
              <w:t>2000–2016</w:t>
            </w:r>
          </w:p>
        </w:tc>
        <w:tc>
          <w:tcPr>
            <w:tcW w:w="3421" w:type="dxa"/>
          </w:tcPr>
          <w:p w14:paraId="2BA9CC0F" w14:textId="77777777" w:rsidR="0046798B" w:rsidRDefault="0046798B">
            <w:pPr>
              <w:pStyle w:val="TableParagraph"/>
            </w:pPr>
          </w:p>
          <w:p w14:paraId="2C063238" w14:textId="77777777" w:rsidR="0046798B" w:rsidRDefault="00903B5C">
            <w:pPr>
              <w:pStyle w:val="TableParagraph"/>
              <w:spacing w:before="130"/>
              <w:ind w:left="114" w:right="373"/>
              <w:jc w:val="both"/>
              <w:rPr>
                <w:sz w:val="20"/>
              </w:rPr>
            </w:pPr>
            <w:r>
              <w:rPr>
                <w:sz w:val="20"/>
              </w:rPr>
              <w:t>State prohibits all legal relationships approximating benefits of marriage? (“super-DOMA”) (0 = no, 1 = yes)</w:t>
            </w:r>
          </w:p>
        </w:tc>
        <w:tc>
          <w:tcPr>
            <w:tcW w:w="6482" w:type="dxa"/>
          </w:tcPr>
          <w:p w14:paraId="04C14EDC" w14:textId="77777777" w:rsidR="0046798B" w:rsidRDefault="0046798B">
            <w:pPr>
              <w:pStyle w:val="TableParagraph"/>
            </w:pPr>
          </w:p>
          <w:p w14:paraId="06FB1076" w14:textId="77777777" w:rsidR="0046798B" w:rsidRDefault="00903B5C">
            <w:pPr>
              <w:pStyle w:val="TableParagraph"/>
              <w:spacing w:before="130"/>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5C464FB" w14:textId="77777777">
        <w:trPr>
          <w:trHeight w:val="2155"/>
        </w:trPr>
        <w:tc>
          <w:tcPr>
            <w:tcW w:w="1711" w:type="dxa"/>
          </w:tcPr>
          <w:p w14:paraId="3F5417FC" w14:textId="77777777" w:rsidR="0046798B" w:rsidRDefault="0046798B">
            <w:pPr>
              <w:pStyle w:val="TableParagraph"/>
            </w:pPr>
          </w:p>
          <w:p w14:paraId="1828EB5A" w14:textId="77777777" w:rsidR="0046798B" w:rsidRDefault="0046798B">
            <w:pPr>
              <w:pStyle w:val="TableParagraph"/>
            </w:pPr>
          </w:p>
          <w:p w14:paraId="74D99623" w14:textId="77777777" w:rsidR="0046798B" w:rsidRDefault="0046798B">
            <w:pPr>
              <w:pStyle w:val="TableParagraph"/>
            </w:pPr>
          </w:p>
          <w:p w14:paraId="5A61B0A1" w14:textId="77777777" w:rsidR="0046798B" w:rsidRDefault="0046798B">
            <w:pPr>
              <w:pStyle w:val="TableParagraph"/>
              <w:spacing w:before="4"/>
              <w:rPr>
                <w:sz w:val="17"/>
              </w:rPr>
            </w:pPr>
          </w:p>
          <w:p w14:paraId="70C1EA53" w14:textId="77777777" w:rsidR="0046798B" w:rsidRDefault="00903B5C">
            <w:pPr>
              <w:pStyle w:val="TableParagraph"/>
              <w:ind w:left="115"/>
              <w:rPr>
                <w:b/>
                <w:sz w:val="20"/>
              </w:rPr>
            </w:pPr>
            <w:r>
              <w:rPr>
                <w:b/>
                <w:sz w:val="20"/>
              </w:rPr>
              <w:t>smconres</w:t>
            </w:r>
          </w:p>
        </w:tc>
        <w:tc>
          <w:tcPr>
            <w:tcW w:w="1596" w:type="dxa"/>
          </w:tcPr>
          <w:p w14:paraId="5A476A30" w14:textId="77777777" w:rsidR="0046798B" w:rsidRDefault="0046798B">
            <w:pPr>
              <w:pStyle w:val="TableParagraph"/>
            </w:pPr>
          </w:p>
          <w:p w14:paraId="00C18CFB" w14:textId="77777777" w:rsidR="0046798B" w:rsidRDefault="0046798B">
            <w:pPr>
              <w:pStyle w:val="TableParagraph"/>
            </w:pPr>
          </w:p>
          <w:p w14:paraId="1C4A2EFC" w14:textId="77777777" w:rsidR="0046798B" w:rsidRDefault="0046798B">
            <w:pPr>
              <w:pStyle w:val="TableParagraph"/>
              <w:spacing w:before="3"/>
              <w:rPr>
                <w:sz w:val="19"/>
              </w:rPr>
            </w:pPr>
          </w:p>
          <w:p w14:paraId="64F93D0E" w14:textId="77777777" w:rsidR="0046798B" w:rsidRDefault="00903B5C">
            <w:pPr>
              <w:pStyle w:val="TableParagraph"/>
              <w:spacing w:before="1"/>
              <w:ind w:left="114" w:right="363"/>
              <w:rPr>
                <w:sz w:val="20"/>
              </w:rPr>
            </w:pPr>
            <w:r>
              <w:rPr>
                <w:sz w:val="20"/>
              </w:rPr>
              <w:t>Marriage constitutional restrictions</w:t>
            </w:r>
          </w:p>
        </w:tc>
        <w:tc>
          <w:tcPr>
            <w:tcW w:w="1285" w:type="dxa"/>
          </w:tcPr>
          <w:p w14:paraId="48A840AD" w14:textId="77777777" w:rsidR="0046798B" w:rsidRDefault="0046798B">
            <w:pPr>
              <w:pStyle w:val="TableParagraph"/>
            </w:pPr>
          </w:p>
          <w:p w14:paraId="79C6154B" w14:textId="77777777" w:rsidR="0046798B" w:rsidRDefault="0046798B">
            <w:pPr>
              <w:pStyle w:val="TableParagraph"/>
            </w:pPr>
          </w:p>
          <w:p w14:paraId="3F2BE664" w14:textId="77777777" w:rsidR="0046798B" w:rsidRDefault="0046798B">
            <w:pPr>
              <w:pStyle w:val="TableParagraph"/>
            </w:pPr>
          </w:p>
          <w:p w14:paraId="123265D2" w14:textId="77777777" w:rsidR="0046798B" w:rsidRDefault="0046798B">
            <w:pPr>
              <w:pStyle w:val="TableParagraph"/>
              <w:spacing w:before="4"/>
              <w:rPr>
                <w:sz w:val="17"/>
              </w:rPr>
            </w:pPr>
          </w:p>
          <w:p w14:paraId="3278D473" w14:textId="77777777" w:rsidR="0046798B" w:rsidRDefault="00903B5C">
            <w:pPr>
              <w:pStyle w:val="TableParagraph"/>
              <w:ind w:left="114"/>
              <w:rPr>
                <w:sz w:val="20"/>
              </w:rPr>
            </w:pPr>
            <w:r>
              <w:rPr>
                <w:sz w:val="20"/>
              </w:rPr>
              <w:t>2000–2016</w:t>
            </w:r>
          </w:p>
        </w:tc>
        <w:tc>
          <w:tcPr>
            <w:tcW w:w="3421" w:type="dxa"/>
          </w:tcPr>
          <w:p w14:paraId="607B0B3A" w14:textId="77777777" w:rsidR="0046798B" w:rsidRDefault="00903B5C">
            <w:pPr>
              <w:pStyle w:val="TableParagraph"/>
              <w:spacing w:before="38"/>
              <w:ind w:left="114" w:right="87"/>
              <w:rPr>
                <w:sz w:val="20"/>
              </w:rPr>
            </w:pPr>
            <w:r>
              <w:rPr>
                <w:sz w:val="20"/>
              </w:rPr>
              <w:t>Marriage constitutional restrictions (0 = no restrictions on marriage definition; 1</w:t>
            </w:r>
          </w:p>
          <w:p w14:paraId="6B6AACE6" w14:textId="77777777" w:rsidR="0046798B" w:rsidRDefault="00903B5C">
            <w:pPr>
              <w:pStyle w:val="TableParagraph"/>
              <w:ind w:left="114" w:right="189"/>
              <w:rPr>
                <w:sz w:val="20"/>
              </w:rPr>
            </w:pPr>
            <w:r>
              <w:rPr>
                <w:sz w:val="20"/>
              </w:rPr>
              <w:t>= state has laws that ban same-sex marriage but the laws are not in the constitution, or the constitution merely permits but does not require laws banning same-sex marriage; 2 = constitutional restrictions banning same-sex marriage)</w:t>
            </w:r>
          </w:p>
        </w:tc>
        <w:tc>
          <w:tcPr>
            <w:tcW w:w="6482" w:type="dxa"/>
          </w:tcPr>
          <w:p w14:paraId="7677E4EB" w14:textId="77777777" w:rsidR="0046798B" w:rsidRDefault="0046798B">
            <w:pPr>
              <w:pStyle w:val="TableParagraph"/>
            </w:pPr>
          </w:p>
          <w:p w14:paraId="709604D4" w14:textId="77777777" w:rsidR="0046798B" w:rsidRDefault="0046798B">
            <w:pPr>
              <w:pStyle w:val="TableParagraph"/>
            </w:pPr>
          </w:p>
          <w:p w14:paraId="464423CA" w14:textId="77777777" w:rsidR="0046798B" w:rsidRDefault="0046798B">
            <w:pPr>
              <w:pStyle w:val="TableParagraph"/>
              <w:spacing w:before="3"/>
              <w:rPr>
                <w:sz w:val="19"/>
              </w:rPr>
            </w:pPr>
          </w:p>
          <w:p w14:paraId="3F1DD014"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7E0A227" w14:textId="77777777">
        <w:trPr>
          <w:trHeight w:val="775"/>
        </w:trPr>
        <w:tc>
          <w:tcPr>
            <w:tcW w:w="1711" w:type="dxa"/>
          </w:tcPr>
          <w:p w14:paraId="0A62E999" w14:textId="77777777" w:rsidR="0046798B" w:rsidRDefault="0046798B">
            <w:pPr>
              <w:pStyle w:val="TableParagraph"/>
              <w:spacing w:before="4"/>
              <w:rPr>
                <w:sz w:val="23"/>
              </w:rPr>
            </w:pPr>
          </w:p>
          <w:p w14:paraId="0FA8422A" w14:textId="77777777" w:rsidR="0046798B" w:rsidRDefault="00903B5C">
            <w:pPr>
              <w:pStyle w:val="TableParagraph"/>
              <w:ind w:left="115"/>
              <w:rPr>
                <w:b/>
                <w:sz w:val="20"/>
              </w:rPr>
            </w:pPr>
            <w:r>
              <w:rPr>
                <w:b/>
                <w:sz w:val="20"/>
              </w:rPr>
              <w:t>ssodomy</w:t>
            </w:r>
          </w:p>
        </w:tc>
        <w:tc>
          <w:tcPr>
            <w:tcW w:w="1596" w:type="dxa"/>
          </w:tcPr>
          <w:p w14:paraId="44FF05D9" w14:textId="77777777" w:rsidR="0046798B" w:rsidRDefault="0046798B">
            <w:pPr>
              <w:pStyle w:val="TableParagraph"/>
              <w:spacing w:before="4"/>
              <w:rPr>
                <w:sz w:val="23"/>
              </w:rPr>
            </w:pPr>
          </w:p>
          <w:p w14:paraId="06901F57" w14:textId="77777777" w:rsidR="0046798B" w:rsidRDefault="00903B5C">
            <w:pPr>
              <w:pStyle w:val="TableParagraph"/>
              <w:ind w:left="114"/>
              <w:rPr>
                <w:sz w:val="20"/>
              </w:rPr>
            </w:pPr>
            <w:r>
              <w:rPr>
                <w:sz w:val="20"/>
              </w:rPr>
              <w:t>Sodomy law</w:t>
            </w:r>
          </w:p>
        </w:tc>
        <w:tc>
          <w:tcPr>
            <w:tcW w:w="1285" w:type="dxa"/>
          </w:tcPr>
          <w:p w14:paraId="620F0759" w14:textId="77777777" w:rsidR="0046798B" w:rsidRDefault="0046798B">
            <w:pPr>
              <w:pStyle w:val="TableParagraph"/>
              <w:spacing w:before="4"/>
              <w:rPr>
                <w:sz w:val="23"/>
              </w:rPr>
            </w:pPr>
          </w:p>
          <w:p w14:paraId="7599CAC1" w14:textId="77777777" w:rsidR="0046798B" w:rsidRDefault="00903B5C">
            <w:pPr>
              <w:pStyle w:val="TableParagraph"/>
              <w:ind w:left="114"/>
              <w:rPr>
                <w:sz w:val="20"/>
              </w:rPr>
            </w:pPr>
            <w:r>
              <w:rPr>
                <w:sz w:val="20"/>
              </w:rPr>
              <w:t>2000–2016</w:t>
            </w:r>
          </w:p>
        </w:tc>
        <w:tc>
          <w:tcPr>
            <w:tcW w:w="3421" w:type="dxa"/>
          </w:tcPr>
          <w:p w14:paraId="28043DC2" w14:textId="77777777" w:rsidR="0046798B" w:rsidRDefault="0046798B">
            <w:pPr>
              <w:pStyle w:val="TableParagraph"/>
              <w:spacing w:before="4"/>
              <w:rPr>
                <w:sz w:val="23"/>
              </w:rPr>
            </w:pPr>
          </w:p>
          <w:p w14:paraId="45C207D4" w14:textId="77777777" w:rsidR="0046798B" w:rsidRDefault="00903B5C">
            <w:pPr>
              <w:pStyle w:val="TableParagraph"/>
              <w:ind w:left="114"/>
              <w:rPr>
                <w:sz w:val="20"/>
              </w:rPr>
            </w:pPr>
            <w:r>
              <w:rPr>
                <w:sz w:val="20"/>
              </w:rPr>
              <w:t>Sodomy law? (0 = no, 1 = yes)</w:t>
            </w:r>
          </w:p>
        </w:tc>
        <w:tc>
          <w:tcPr>
            <w:tcW w:w="6482" w:type="dxa"/>
          </w:tcPr>
          <w:p w14:paraId="3FB32D60" w14:textId="77777777" w:rsidR="0046798B" w:rsidRDefault="00903B5C">
            <w:pPr>
              <w:pStyle w:val="TableParagraph"/>
              <w:spacing w:before="38"/>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FB905B2" w14:textId="77777777">
        <w:trPr>
          <w:trHeight w:val="775"/>
        </w:trPr>
        <w:tc>
          <w:tcPr>
            <w:tcW w:w="1711" w:type="dxa"/>
          </w:tcPr>
          <w:p w14:paraId="5FB989AF" w14:textId="77777777" w:rsidR="0046798B" w:rsidRDefault="00903B5C">
            <w:pPr>
              <w:pStyle w:val="TableParagraph"/>
              <w:spacing w:before="158"/>
              <w:ind w:left="115"/>
              <w:rPr>
                <w:b/>
                <w:sz w:val="20"/>
              </w:rPr>
            </w:pPr>
            <w:r>
              <w:rPr>
                <w:b/>
                <w:sz w:val="20"/>
              </w:rPr>
              <w:t>gayrights_ban_s odomy</w:t>
            </w:r>
          </w:p>
        </w:tc>
        <w:tc>
          <w:tcPr>
            <w:tcW w:w="1596" w:type="dxa"/>
          </w:tcPr>
          <w:p w14:paraId="6BE3DE68" w14:textId="77777777" w:rsidR="0046798B" w:rsidRDefault="0046798B">
            <w:pPr>
              <w:pStyle w:val="TableParagraph"/>
              <w:spacing w:before="8"/>
              <w:rPr>
                <w:sz w:val="23"/>
              </w:rPr>
            </w:pPr>
          </w:p>
          <w:p w14:paraId="1FD821D6" w14:textId="77777777" w:rsidR="0046798B" w:rsidRDefault="00903B5C">
            <w:pPr>
              <w:pStyle w:val="TableParagraph"/>
              <w:spacing w:before="1"/>
              <w:ind w:left="114"/>
              <w:rPr>
                <w:sz w:val="20"/>
              </w:rPr>
            </w:pPr>
            <w:r>
              <w:rPr>
                <w:sz w:val="20"/>
              </w:rPr>
              <w:t>Sodomy ban</w:t>
            </w:r>
          </w:p>
        </w:tc>
        <w:tc>
          <w:tcPr>
            <w:tcW w:w="1285" w:type="dxa"/>
          </w:tcPr>
          <w:p w14:paraId="4196D181" w14:textId="77777777" w:rsidR="0046798B" w:rsidRDefault="0046798B">
            <w:pPr>
              <w:pStyle w:val="TableParagraph"/>
              <w:spacing w:before="8"/>
              <w:rPr>
                <w:sz w:val="23"/>
              </w:rPr>
            </w:pPr>
          </w:p>
          <w:p w14:paraId="51F015A2" w14:textId="77777777" w:rsidR="0046798B" w:rsidRDefault="00903B5C">
            <w:pPr>
              <w:pStyle w:val="TableParagraph"/>
              <w:spacing w:before="1"/>
              <w:ind w:left="114"/>
              <w:rPr>
                <w:sz w:val="20"/>
              </w:rPr>
            </w:pPr>
            <w:r>
              <w:rPr>
                <w:sz w:val="20"/>
              </w:rPr>
              <w:t>1962–2003</w:t>
            </w:r>
          </w:p>
        </w:tc>
        <w:tc>
          <w:tcPr>
            <w:tcW w:w="3421" w:type="dxa"/>
          </w:tcPr>
          <w:p w14:paraId="027AC48B" w14:textId="77777777" w:rsidR="0046798B" w:rsidRDefault="00903B5C">
            <w:pPr>
              <w:pStyle w:val="TableParagraph"/>
              <w:spacing w:before="158"/>
              <w:ind w:left="114" w:right="164"/>
              <w:rPr>
                <w:sz w:val="20"/>
              </w:rPr>
            </w:pPr>
            <w:r>
              <w:rPr>
                <w:sz w:val="20"/>
              </w:rPr>
              <w:t>Does the state forbid sodomy? (0 = no, 1 = yes)</w:t>
            </w:r>
          </w:p>
        </w:tc>
        <w:tc>
          <w:tcPr>
            <w:tcW w:w="6482" w:type="dxa"/>
          </w:tcPr>
          <w:p w14:paraId="3AD2B00F" w14:textId="77777777" w:rsidR="0046798B" w:rsidRDefault="00903B5C">
            <w:pPr>
              <w:pStyle w:val="TableParagraph"/>
              <w:spacing w:before="43"/>
              <w:ind w:left="114"/>
              <w:rPr>
                <w:sz w:val="20"/>
              </w:rPr>
            </w:pPr>
            <w:r>
              <w:rPr>
                <w:sz w:val="20"/>
              </w:rPr>
              <w:t xml:space="preserve">Caughey, Devin, and Christopher Warshaw. 2015. “The Dynamics of State Policy Liberalism, 1936–2014.” </w:t>
            </w:r>
            <w:r>
              <w:rPr>
                <w:i/>
                <w:sz w:val="20"/>
              </w:rPr>
              <w:t>American Journal of Political Science</w:t>
            </w:r>
            <w:r>
              <w:rPr>
                <w:sz w:val="20"/>
              </w:rPr>
              <w:t>, September. doi: 10.1111/ajps.12219.</w:t>
            </w:r>
          </w:p>
        </w:tc>
      </w:tr>
    </w:tbl>
    <w:p w14:paraId="381C4AC4" w14:textId="77777777" w:rsidR="0046798B" w:rsidRDefault="0046798B">
      <w:pPr>
        <w:rPr>
          <w:sz w:val="20"/>
        </w:rPr>
        <w:sectPr w:rsidR="0046798B">
          <w:pgSz w:w="15840" w:h="12240" w:orient="landscape"/>
          <w:pgMar w:top="1220" w:right="300" w:bottom="980" w:left="820" w:header="730" w:footer="787" w:gutter="0"/>
          <w:cols w:space="720"/>
        </w:sectPr>
      </w:pPr>
    </w:p>
    <w:p w14:paraId="306D1786"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45B550F" w14:textId="77777777">
        <w:trPr>
          <w:trHeight w:val="542"/>
        </w:trPr>
        <w:tc>
          <w:tcPr>
            <w:tcW w:w="1711" w:type="dxa"/>
            <w:tcBorders>
              <w:bottom w:val="dotted" w:sz="6" w:space="0" w:color="BEBEBE"/>
            </w:tcBorders>
          </w:tcPr>
          <w:p w14:paraId="642C2CBF" w14:textId="77777777" w:rsidR="0046798B" w:rsidRDefault="0046798B">
            <w:pPr>
              <w:pStyle w:val="TableParagraph"/>
              <w:rPr>
                <w:sz w:val="20"/>
              </w:rPr>
            </w:pPr>
          </w:p>
        </w:tc>
        <w:tc>
          <w:tcPr>
            <w:tcW w:w="1596" w:type="dxa"/>
            <w:tcBorders>
              <w:bottom w:val="dotted" w:sz="6" w:space="0" w:color="BEBEBE"/>
            </w:tcBorders>
          </w:tcPr>
          <w:p w14:paraId="0DBD76A7" w14:textId="77777777" w:rsidR="0046798B" w:rsidRDefault="0046798B">
            <w:pPr>
              <w:pStyle w:val="TableParagraph"/>
              <w:rPr>
                <w:sz w:val="20"/>
              </w:rPr>
            </w:pPr>
          </w:p>
        </w:tc>
        <w:tc>
          <w:tcPr>
            <w:tcW w:w="1285" w:type="dxa"/>
            <w:tcBorders>
              <w:bottom w:val="dotted" w:sz="6" w:space="0" w:color="BEBEBE"/>
            </w:tcBorders>
          </w:tcPr>
          <w:p w14:paraId="387DA149" w14:textId="77777777" w:rsidR="0046798B" w:rsidRDefault="0046798B">
            <w:pPr>
              <w:pStyle w:val="TableParagraph"/>
              <w:rPr>
                <w:sz w:val="20"/>
              </w:rPr>
            </w:pPr>
          </w:p>
        </w:tc>
        <w:tc>
          <w:tcPr>
            <w:tcW w:w="3421" w:type="dxa"/>
            <w:tcBorders>
              <w:bottom w:val="dotted" w:sz="6" w:space="0" w:color="BEBEBE"/>
            </w:tcBorders>
          </w:tcPr>
          <w:p w14:paraId="46A14556" w14:textId="77777777" w:rsidR="0046798B" w:rsidRDefault="0046798B">
            <w:pPr>
              <w:pStyle w:val="TableParagraph"/>
              <w:rPr>
                <w:sz w:val="20"/>
              </w:rPr>
            </w:pPr>
          </w:p>
        </w:tc>
        <w:tc>
          <w:tcPr>
            <w:tcW w:w="6482" w:type="dxa"/>
            <w:tcBorders>
              <w:bottom w:val="dotted" w:sz="6" w:space="0" w:color="BEBEBE"/>
            </w:tcBorders>
          </w:tcPr>
          <w:p w14:paraId="33EDC996" w14:textId="77777777" w:rsidR="0046798B" w:rsidRDefault="00903B5C">
            <w:pPr>
              <w:pStyle w:val="TableParagraph"/>
              <w:spacing w:before="43"/>
              <w:ind w:left="114" w:right="137"/>
              <w:rPr>
                <w:sz w:val="20"/>
              </w:rPr>
            </w:pP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36F64C63" w14:textId="77777777">
        <w:trPr>
          <w:trHeight w:val="1233"/>
        </w:trPr>
        <w:tc>
          <w:tcPr>
            <w:tcW w:w="1711" w:type="dxa"/>
            <w:tcBorders>
              <w:top w:val="dotted" w:sz="6" w:space="0" w:color="BEBEBE"/>
            </w:tcBorders>
          </w:tcPr>
          <w:p w14:paraId="7EDB0AEB" w14:textId="77777777" w:rsidR="0046798B" w:rsidRDefault="0046798B">
            <w:pPr>
              <w:pStyle w:val="TableParagraph"/>
            </w:pPr>
          </w:p>
          <w:p w14:paraId="343EDDD8" w14:textId="77777777" w:rsidR="0046798B" w:rsidRDefault="00903B5C">
            <w:pPr>
              <w:pStyle w:val="TableParagraph"/>
              <w:spacing w:before="133"/>
              <w:ind w:left="115" w:right="121"/>
              <w:rPr>
                <w:b/>
                <w:sz w:val="20"/>
              </w:rPr>
            </w:pPr>
            <w:r>
              <w:rPr>
                <w:b/>
                <w:sz w:val="20"/>
              </w:rPr>
              <w:t>gayrights_hatecr imes</w:t>
            </w:r>
          </w:p>
        </w:tc>
        <w:tc>
          <w:tcPr>
            <w:tcW w:w="1596" w:type="dxa"/>
            <w:tcBorders>
              <w:top w:val="dotted" w:sz="6" w:space="0" w:color="BEBEBE"/>
            </w:tcBorders>
          </w:tcPr>
          <w:p w14:paraId="6AD186B3" w14:textId="77777777" w:rsidR="0046798B" w:rsidRDefault="0046798B">
            <w:pPr>
              <w:pStyle w:val="TableParagraph"/>
            </w:pPr>
          </w:p>
          <w:p w14:paraId="03297C10" w14:textId="77777777" w:rsidR="0046798B" w:rsidRDefault="0046798B">
            <w:pPr>
              <w:pStyle w:val="TableParagraph"/>
              <w:spacing w:before="6"/>
              <w:rPr>
                <w:sz w:val="21"/>
              </w:rPr>
            </w:pPr>
          </w:p>
          <w:p w14:paraId="69892F2D" w14:textId="77777777" w:rsidR="0046798B" w:rsidRDefault="00903B5C">
            <w:pPr>
              <w:pStyle w:val="TableParagraph"/>
              <w:ind w:left="114"/>
              <w:rPr>
                <w:sz w:val="20"/>
              </w:rPr>
            </w:pPr>
            <w:r>
              <w:rPr>
                <w:sz w:val="20"/>
              </w:rPr>
              <w:t>Hate crimes ban</w:t>
            </w:r>
          </w:p>
        </w:tc>
        <w:tc>
          <w:tcPr>
            <w:tcW w:w="1285" w:type="dxa"/>
            <w:tcBorders>
              <w:top w:val="dotted" w:sz="6" w:space="0" w:color="BEBEBE"/>
            </w:tcBorders>
          </w:tcPr>
          <w:p w14:paraId="4EE3C87C" w14:textId="77777777" w:rsidR="0046798B" w:rsidRDefault="0046798B">
            <w:pPr>
              <w:pStyle w:val="TableParagraph"/>
            </w:pPr>
          </w:p>
          <w:p w14:paraId="138F268D" w14:textId="77777777" w:rsidR="0046798B" w:rsidRDefault="0046798B">
            <w:pPr>
              <w:pStyle w:val="TableParagraph"/>
              <w:spacing w:before="6"/>
              <w:rPr>
                <w:sz w:val="21"/>
              </w:rPr>
            </w:pPr>
          </w:p>
          <w:p w14:paraId="75C6991B" w14:textId="77777777" w:rsidR="0046798B" w:rsidRDefault="00903B5C">
            <w:pPr>
              <w:pStyle w:val="TableParagraph"/>
              <w:ind w:left="114"/>
              <w:rPr>
                <w:sz w:val="20"/>
              </w:rPr>
            </w:pPr>
            <w:r>
              <w:rPr>
                <w:sz w:val="20"/>
              </w:rPr>
              <w:t>1999–2014</w:t>
            </w:r>
          </w:p>
        </w:tc>
        <w:tc>
          <w:tcPr>
            <w:tcW w:w="3421" w:type="dxa"/>
            <w:tcBorders>
              <w:top w:val="dotted" w:sz="6" w:space="0" w:color="BEBEBE"/>
            </w:tcBorders>
          </w:tcPr>
          <w:p w14:paraId="5EEC8F40" w14:textId="77777777" w:rsidR="0046798B" w:rsidRDefault="0046798B">
            <w:pPr>
              <w:pStyle w:val="TableParagraph"/>
            </w:pPr>
          </w:p>
          <w:p w14:paraId="34408090" w14:textId="77777777" w:rsidR="0046798B" w:rsidRDefault="00903B5C">
            <w:pPr>
              <w:pStyle w:val="TableParagraph"/>
              <w:spacing w:before="133"/>
              <w:ind w:left="114" w:right="155"/>
              <w:rPr>
                <w:sz w:val="20"/>
              </w:rPr>
            </w:pPr>
            <w:r>
              <w:rPr>
                <w:sz w:val="20"/>
              </w:rPr>
              <w:t>Are hate crimes explicitly illegal in the state? (0 = no, 1 = yes)</w:t>
            </w:r>
          </w:p>
        </w:tc>
        <w:tc>
          <w:tcPr>
            <w:tcW w:w="6482" w:type="dxa"/>
            <w:tcBorders>
              <w:top w:val="dotted" w:sz="6" w:space="0" w:color="BEBEBE"/>
            </w:tcBorders>
          </w:tcPr>
          <w:p w14:paraId="2990E6E3" w14:textId="77777777" w:rsidR="0046798B" w:rsidRDefault="00903B5C">
            <w:pPr>
              <w:pStyle w:val="TableParagraph"/>
              <w:spacing w:before="40"/>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2DE59378" w14:textId="77777777">
        <w:trPr>
          <w:trHeight w:val="1240"/>
        </w:trPr>
        <w:tc>
          <w:tcPr>
            <w:tcW w:w="1711" w:type="dxa"/>
          </w:tcPr>
          <w:p w14:paraId="21DD351A" w14:textId="77777777" w:rsidR="0046798B" w:rsidRDefault="0046798B">
            <w:pPr>
              <w:pStyle w:val="TableParagraph"/>
              <w:spacing w:before="8"/>
              <w:rPr>
                <w:sz w:val="23"/>
              </w:rPr>
            </w:pPr>
          </w:p>
          <w:p w14:paraId="3E4AF6B2" w14:textId="77777777" w:rsidR="0046798B" w:rsidRDefault="00903B5C">
            <w:pPr>
              <w:pStyle w:val="TableParagraph"/>
              <w:spacing w:before="1"/>
              <w:ind w:left="115" w:right="139"/>
              <w:jc w:val="both"/>
              <w:rPr>
                <w:b/>
                <w:sz w:val="20"/>
              </w:rPr>
            </w:pPr>
            <w:r>
              <w:rPr>
                <w:b/>
                <w:sz w:val="20"/>
              </w:rPr>
              <w:t>w_gayrights_civi lunions_marriag e</w:t>
            </w:r>
          </w:p>
        </w:tc>
        <w:tc>
          <w:tcPr>
            <w:tcW w:w="1596" w:type="dxa"/>
          </w:tcPr>
          <w:p w14:paraId="5CE6D2BE" w14:textId="77777777" w:rsidR="0046798B" w:rsidRDefault="0046798B">
            <w:pPr>
              <w:pStyle w:val="TableParagraph"/>
            </w:pPr>
          </w:p>
          <w:p w14:paraId="1E2FB930" w14:textId="77777777" w:rsidR="0046798B" w:rsidRDefault="00903B5C">
            <w:pPr>
              <w:pStyle w:val="TableParagraph"/>
              <w:spacing w:before="135"/>
              <w:ind w:left="114" w:right="129"/>
              <w:rPr>
                <w:sz w:val="20"/>
              </w:rPr>
            </w:pPr>
            <w:r>
              <w:rPr>
                <w:sz w:val="20"/>
              </w:rPr>
              <w:t>Civil unions and gay marriage</w:t>
            </w:r>
          </w:p>
        </w:tc>
        <w:tc>
          <w:tcPr>
            <w:tcW w:w="1285" w:type="dxa"/>
          </w:tcPr>
          <w:p w14:paraId="27E02B13" w14:textId="77777777" w:rsidR="0046798B" w:rsidRDefault="0046798B">
            <w:pPr>
              <w:pStyle w:val="TableParagraph"/>
            </w:pPr>
          </w:p>
          <w:p w14:paraId="5DE13A10" w14:textId="77777777" w:rsidR="0046798B" w:rsidRDefault="0046798B">
            <w:pPr>
              <w:pStyle w:val="TableParagraph"/>
              <w:spacing w:before="8"/>
              <w:rPr>
                <w:sz w:val="21"/>
              </w:rPr>
            </w:pPr>
          </w:p>
          <w:p w14:paraId="247D6090" w14:textId="77777777" w:rsidR="0046798B" w:rsidRDefault="00903B5C">
            <w:pPr>
              <w:pStyle w:val="TableParagraph"/>
              <w:spacing w:before="1"/>
              <w:ind w:left="114"/>
              <w:rPr>
                <w:sz w:val="20"/>
              </w:rPr>
            </w:pPr>
            <w:r>
              <w:rPr>
                <w:sz w:val="20"/>
              </w:rPr>
              <w:t>2000–2012</w:t>
            </w:r>
          </w:p>
        </w:tc>
        <w:tc>
          <w:tcPr>
            <w:tcW w:w="3421" w:type="dxa"/>
          </w:tcPr>
          <w:p w14:paraId="78EE4B9A" w14:textId="77777777" w:rsidR="0046798B" w:rsidRDefault="0046798B">
            <w:pPr>
              <w:pStyle w:val="TableParagraph"/>
              <w:spacing w:before="8"/>
              <w:rPr>
                <w:sz w:val="23"/>
              </w:rPr>
            </w:pPr>
          </w:p>
          <w:p w14:paraId="68D7443C" w14:textId="77777777" w:rsidR="0046798B" w:rsidRDefault="00903B5C">
            <w:pPr>
              <w:pStyle w:val="TableParagraph"/>
              <w:spacing w:before="1"/>
              <w:ind w:left="114" w:right="132"/>
              <w:jc w:val="both"/>
              <w:rPr>
                <w:sz w:val="20"/>
              </w:rPr>
            </w:pPr>
            <w:r>
              <w:rPr>
                <w:sz w:val="20"/>
              </w:rPr>
              <w:t>Does the state allow civil unions or gay marriage? (0 = no; 1 = civil unions; 2 = gay marriage)</w:t>
            </w:r>
          </w:p>
        </w:tc>
        <w:tc>
          <w:tcPr>
            <w:tcW w:w="6482" w:type="dxa"/>
          </w:tcPr>
          <w:p w14:paraId="2561A437"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3D5C3379" w14:textId="77777777">
        <w:trPr>
          <w:trHeight w:val="1925"/>
        </w:trPr>
        <w:tc>
          <w:tcPr>
            <w:tcW w:w="1711" w:type="dxa"/>
          </w:tcPr>
          <w:p w14:paraId="5B5732FE" w14:textId="77777777" w:rsidR="0046798B" w:rsidRDefault="0046798B">
            <w:pPr>
              <w:pStyle w:val="TableParagraph"/>
            </w:pPr>
          </w:p>
          <w:p w14:paraId="3B4C104B" w14:textId="77777777" w:rsidR="0046798B" w:rsidRDefault="0046798B">
            <w:pPr>
              <w:pStyle w:val="TableParagraph"/>
              <w:spacing w:before="3"/>
              <w:rPr>
                <w:sz w:val="31"/>
              </w:rPr>
            </w:pPr>
          </w:p>
          <w:p w14:paraId="7019D4CD" w14:textId="77777777" w:rsidR="0046798B" w:rsidRDefault="00903B5C">
            <w:pPr>
              <w:pStyle w:val="TableParagraph"/>
              <w:spacing w:before="1"/>
              <w:ind w:left="115" w:right="183"/>
              <w:jc w:val="both"/>
              <w:rPr>
                <w:b/>
                <w:sz w:val="20"/>
              </w:rPr>
            </w:pPr>
            <w:r>
              <w:rPr>
                <w:b/>
                <w:sz w:val="20"/>
              </w:rPr>
              <w:t>w_gayrights_em ployment_discri mit</w:t>
            </w:r>
          </w:p>
        </w:tc>
        <w:tc>
          <w:tcPr>
            <w:tcW w:w="1596" w:type="dxa"/>
          </w:tcPr>
          <w:p w14:paraId="2A05A839" w14:textId="77777777" w:rsidR="0046798B" w:rsidRDefault="0046798B">
            <w:pPr>
              <w:pStyle w:val="TableParagraph"/>
            </w:pPr>
          </w:p>
          <w:p w14:paraId="36134DFA" w14:textId="77777777" w:rsidR="0046798B" w:rsidRDefault="0046798B">
            <w:pPr>
              <w:pStyle w:val="TableParagraph"/>
              <w:spacing w:before="3"/>
              <w:rPr>
                <w:sz w:val="21"/>
              </w:rPr>
            </w:pPr>
          </w:p>
          <w:p w14:paraId="1DA33D4C" w14:textId="77777777" w:rsidR="0046798B" w:rsidRDefault="00903B5C">
            <w:pPr>
              <w:pStyle w:val="TableParagraph"/>
              <w:spacing w:before="1"/>
              <w:ind w:left="114" w:right="280"/>
              <w:rPr>
                <w:sz w:val="20"/>
              </w:rPr>
            </w:pPr>
            <w:r>
              <w:rPr>
                <w:sz w:val="20"/>
              </w:rPr>
              <w:t>Employment discrimination protections for gays</w:t>
            </w:r>
          </w:p>
        </w:tc>
        <w:tc>
          <w:tcPr>
            <w:tcW w:w="1285" w:type="dxa"/>
          </w:tcPr>
          <w:p w14:paraId="1A735F68" w14:textId="77777777" w:rsidR="0046798B" w:rsidRDefault="0046798B">
            <w:pPr>
              <w:pStyle w:val="TableParagraph"/>
            </w:pPr>
          </w:p>
          <w:p w14:paraId="571FE79B" w14:textId="77777777" w:rsidR="0046798B" w:rsidRDefault="0046798B">
            <w:pPr>
              <w:pStyle w:val="TableParagraph"/>
            </w:pPr>
          </w:p>
          <w:p w14:paraId="7E050271" w14:textId="77777777" w:rsidR="0046798B" w:rsidRDefault="0046798B">
            <w:pPr>
              <w:pStyle w:val="TableParagraph"/>
              <w:spacing w:before="4"/>
              <w:rPr>
                <w:sz w:val="29"/>
              </w:rPr>
            </w:pPr>
          </w:p>
          <w:p w14:paraId="213BA0CA" w14:textId="77777777" w:rsidR="0046798B" w:rsidRDefault="00903B5C">
            <w:pPr>
              <w:pStyle w:val="TableParagraph"/>
              <w:ind w:left="114"/>
              <w:rPr>
                <w:sz w:val="20"/>
              </w:rPr>
            </w:pPr>
            <w:r>
              <w:rPr>
                <w:sz w:val="20"/>
              </w:rPr>
              <w:t>1982–2014</w:t>
            </w:r>
          </w:p>
        </w:tc>
        <w:tc>
          <w:tcPr>
            <w:tcW w:w="3421" w:type="dxa"/>
          </w:tcPr>
          <w:p w14:paraId="0794230D" w14:textId="77777777" w:rsidR="0046798B" w:rsidRDefault="00903B5C">
            <w:pPr>
              <w:pStyle w:val="TableParagraph"/>
              <w:spacing w:before="38"/>
              <w:ind w:left="114" w:right="159"/>
              <w:rPr>
                <w:sz w:val="20"/>
              </w:rPr>
            </w:pPr>
            <w:r>
              <w:rPr>
                <w:sz w:val="20"/>
              </w:rPr>
              <w:t>Does the state forbid employment discrimination on the basis of sexual orientation and/or sexual identity? (0 = no; 1 = indicates a ban on discrimination based on sexual orientation; 2 = indicates a ban based on sexual orientation and gender identity)</w:t>
            </w:r>
          </w:p>
        </w:tc>
        <w:tc>
          <w:tcPr>
            <w:tcW w:w="6482" w:type="dxa"/>
          </w:tcPr>
          <w:p w14:paraId="59117001" w14:textId="77777777" w:rsidR="0046798B" w:rsidRDefault="0046798B">
            <w:pPr>
              <w:pStyle w:val="TableParagraph"/>
            </w:pPr>
          </w:p>
          <w:p w14:paraId="0D02BEBE" w14:textId="77777777" w:rsidR="0046798B" w:rsidRDefault="00903B5C">
            <w:pPr>
              <w:pStyle w:val="TableParagraph"/>
              <w:spacing w:before="130"/>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78952CBB" w14:textId="77777777">
        <w:trPr>
          <w:trHeight w:val="1696"/>
        </w:trPr>
        <w:tc>
          <w:tcPr>
            <w:tcW w:w="1711" w:type="dxa"/>
          </w:tcPr>
          <w:p w14:paraId="152F887E" w14:textId="77777777" w:rsidR="0046798B" w:rsidRDefault="0046798B">
            <w:pPr>
              <w:pStyle w:val="TableParagraph"/>
            </w:pPr>
          </w:p>
          <w:p w14:paraId="5B9413F3" w14:textId="77777777" w:rsidR="0046798B" w:rsidRDefault="0046798B">
            <w:pPr>
              <w:pStyle w:val="TableParagraph"/>
              <w:spacing w:before="4"/>
              <w:rPr>
                <w:sz w:val="21"/>
              </w:rPr>
            </w:pPr>
          </w:p>
          <w:p w14:paraId="5ACE4ABC" w14:textId="77777777" w:rsidR="0046798B" w:rsidRDefault="00903B5C">
            <w:pPr>
              <w:pStyle w:val="TableParagraph"/>
              <w:ind w:left="115" w:right="39"/>
              <w:rPr>
                <w:b/>
                <w:sz w:val="20"/>
              </w:rPr>
            </w:pPr>
            <w:r>
              <w:rPr>
                <w:b/>
                <w:sz w:val="20"/>
              </w:rPr>
              <w:t>w_gayrights_pub lic_accomodatio ns</w:t>
            </w:r>
          </w:p>
        </w:tc>
        <w:tc>
          <w:tcPr>
            <w:tcW w:w="1596" w:type="dxa"/>
          </w:tcPr>
          <w:p w14:paraId="3715F8FF" w14:textId="77777777" w:rsidR="0046798B" w:rsidRDefault="0046798B">
            <w:pPr>
              <w:pStyle w:val="TableParagraph"/>
              <w:spacing w:before="4"/>
              <w:rPr>
                <w:sz w:val="23"/>
              </w:rPr>
            </w:pPr>
          </w:p>
          <w:p w14:paraId="60FE1B49" w14:textId="77777777" w:rsidR="0046798B" w:rsidRDefault="00903B5C">
            <w:pPr>
              <w:pStyle w:val="TableParagraph"/>
              <w:ind w:left="114" w:right="96"/>
              <w:rPr>
                <w:sz w:val="20"/>
              </w:rPr>
            </w:pPr>
            <w:r>
              <w:rPr>
                <w:sz w:val="20"/>
              </w:rPr>
              <w:t>Ban on discrimination against gays in public accommodations</w:t>
            </w:r>
          </w:p>
        </w:tc>
        <w:tc>
          <w:tcPr>
            <w:tcW w:w="1285" w:type="dxa"/>
          </w:tcPr>
          <w:p w14:paraId="0F69B8C2" w14:textId="77777777" w:rsidR="0046798B" w:rsidRDefault="0046798B">
            <w:pPr>
              <w:pStyle w:val="TableParagraph"/>
            </w:pPr>
          </w:p>
          <w:p w14:paraId="65E199E7" w14:textId="77777777" w:rsidR="0046798B" w:rsidRDefault="0046798B">
            <w:pPr>
              <w:pStyle w:val="TableParagraph"/>
            </w:pPr>
          </w:p>
          <w:p w14:paraId="1ADA324C" w14:textId="77777777" w:rsidR="0046798B" w:rsidRDefault="0046798B">
            <w:pPr>
              <w:pStyle w:val="TableParagraph"/>
              <w:spacing w:before="4"/>
              <w:rPr>
                <w:sz w:val="19"/>
              </w:rPr>
            </w:pPr>
          </w:p>
          <w:p w14:paraId="3FC85F5B" w14:textId="77777777" w:rsidR="0046798B" w:rsidRDefault="00903B5C">
            <w:pPr>
              <w:pStyle w:val="TableParagraph"/>
              <w:ind w:left="114"/>
              <w:rPr>
                <w:sz w:val="20"/>
              </w:rPr>
            </w:pPr>
            <w:r>
              <w:rPr>
                <w:sz w:val="20"/>
              </w:rPr>
              <w:t>1989–2014</w:t>
            </w:r>
          </w:p>
        </w:tc>
        <w:tc>
          <w:tcPr>
            <w:tcW w:w="3421" w:type="dxa"/>
          </w:tcPr>
          <w:p w14:paraId="04FF066C" w14:textId="77777777" w:rsidR="0046798B" w:rsidRDefault="00903B5C">
            <w:pPr>
              <w:pStyle w:val="TableParagraph"/>
              <w:spacing w:before="38"/>
              <w:ind w:left="114" w:right="142"/>
              <w:rPr>
                <w:sz w:val="20"/>
              </w:rPr>
            </w:pPr>
            <w:r>
              <w:rPr>
                <w:sz w:val="20"/>
              </w:rPr>
              <w:t xml:space="preserve">Does the state ban discrimination against gays by public accommodations? (0 = no; 1 = indicates a ban on discrimination </w:t>
            </w:r>
            <w:r>
              <w:rPr>
                <w:spacing w:val="-3"/>
                <w:sz w:val="20"/>
              </w:rPr>
              <w:t xml:space="preserve">based </w:t>
            </w:r>
            <w:r>
              <w:rPr>
                <w:sz w:val="20"/>
              </w:rPr>
              <w:t>on sexual orientation; 2 = indicates a ban based on sexual orientation and gender</w:t>
            </w:r>
            <w:r>
              <w:rPr>
                <w:spacing w:val="-2"/>
                <w:sz w:val="20"/>
              </w:rPr>
              <w:t xml:space="preserve"> </w:t>
            </w:r>
            <w:r>
              <w:rPr>
                <w:sz w:val="20"/>
              </w:rPr>
              <w:t>identity)</w:t>
            </w:r>
          </w:p>
        </w:tc>
        <w:tc>
          <w:tcPr>
            <w:tcW w:w="6482" w:type="dxa"/>
          </w:tcPr>
          <w:p w14:paraId="46A600FA" w14:textId="77777777" w:rsidR="0046798B" w:rsidRDefault="0046798B">
            <w:pPr>
              <w:pStyle w:val="TableParagraph"/>
              <w:spacing w:before="4"/>
              <w:rPr>
                <w:sz w:val="23"/>
              </w:rPr>
            </w:pPr>
          </w:p>
          <w:p w14:paraId="698042F2" w14:textId="77777777" w:rsidR="0046798B" w:rsidRDefault="00903B5C">
            <w:pPr>
              <w:pStyle w:val="TableParagraph"/>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4CB76481" w14:textId="77777777">
        <w:trPr>
          <w:trHeight w:val="775"/>
        </w:trPr>
        <w:tc>
          <w:tcPr>
            <w:tcW w:w="1711" w:type="dxa"/>
          </w:tcPr>
          <w:p w14:paraId="0DE1F494" w14:textId="77777777" w:rsidR="0046798B" w:rsidRDefault="0046798B">
            <w:pPr>
              <w:pStyle w:val="TableParagraph"/>
              <w:spacing w:before="3"/>
              <w:rPr>
                <w:sz w:val="23"/>
              </w:rPr>
            </w:pPr>
          </w:p>
          <w:p w14:paraId="307081F2" w14:textId="77777777" w:rsidR="0046798B" w:rsidRDefault="00903B5C">
            <w:pPr>
              <w:pStyle w:val="TableParagraph"/>
              <w:ind w:left="115"/>
              <w:rPr>
                <w:b/>
                <w:sz w:val="20"/>
              </w:rPr>
            </w:pPr>
            <w:r>
              <w:rPr>
                <w:b/>
                <w:sz w:val="20"/>
              </w:rPr>
              <w:t>giexorder</w:t>
            </w:r>
          </w:p>
        </w:tc>
        <w:tc>
          <w:tcPr>
            <w:tcW w:w="1596" w:type="dxa"/>
          </w:tcPr>
          <w:p w14:paraId="6735F2E2" w14:textId="77777777" w:rsidR="0046798B" w:rsidRDefault="00903B5C">
            <w:pPr>
              <w:pStyle w:val="TableParagraph"/>
              <w:spacing w:before="153"/>
              <w:ind w:left="114"/>
              <w:rPr>
                <w:sz w:val="20"/>
              </w:rPr>
            </w:pPr>
            <w:r>
              <w:rPr>
                <w:sz w:val="20"/>
              </w:rPr>
              <w:t>Gender identity executive order</w:t>
            </w:r>
          </w:p>
        </w:tc>
        <w:tc>
          <w:tcPr>
            <w:tcW w:w="1285" w:type="dxa"/>
          </w:tcPr>
          <w:p w14:paraId="1BB3BD5E" w14:textId="77777777" w:rsidR="0046798B" w:rsidRDefault="0046798B">
            <w:pPr>
              <w:pStyle w:val="TableParagraph"/>
              <w:spacing w:before="3"/>
              <w:rPr>
                <w:sz w:val="23"/>
              </w:rPr>
            </w:pPr>
          </w:p>
          <w:p w14:paraId="59747CE3" w14:textId="77777777" w:rsidR="0046798B" w:rsidRDefault="00903B5C">
            <w:pPr>
              <w:pStyle w:val="TableParagraph"/>
              <w:ind w:left="114"/>
              <w:rPr>
                <w:sz w:val="20"/>
              </w:rPr>
            </w:pPr>
            <w:r>
              <w:rPr>
                <w:sz w:val="20"/>
              </w:rPr>
              <w:t>1960–2013</w:t>
            </w:r>
          </w:p>
        </w:tc>
        <w:tc>
          <w:tcPr>
            <w:tcW w:w="3421" w:type="dxa"/>
          </w:tcPr>
          <w:p w14:paraId="64E80414" w14:textId="77777777" w:rsidR="0046798B" w:rsidRDefault="00903B5C">
            <w:pPr>
              <w:pStyle w:val="TableParagraph"/>
              <w:spacing w:before="38"/>
              <w:ind w:left="114" w:right="188"/>
              <w:rPr>
                <w:sz w:val="20"/>
              </w:rPr>
            </w:pPr>
            <w:r>
              <w:rPr>
                <w:sz w:val="20"/>
              </w:rPr>
              <w:t>Does state have an executive order prohibiting discrimination on the basis of gender identity? (0 = no, 1 = yes)</w:t>
            </w:r>
          </w:p>
        </w:tc>
        <w:tc>
          <w:tcPr>
            <w:tcW w:w="6482" w:type="dxa"/>
          </w:tcPr>
          <w:p w14:paraId="33F15785" w14:textId="77777777" w:rsidR="0046798B" w:rsidRDefault="00903B5C">
            <w:pPr>
              <w:pStyle w:val="TableParagraph"/>
              <w:spacing w:before="153"/>
              <w:ind w:left="114" w:right="100"/>
              <w:rPr>
                <w:sz w:val="20"/>
              </w:rPr>
            </w:pPr>
            <w:r>
              <w:rPr>
                <w:sz w:val="20"/>
              </w:rPr>
              <w:t xml:space="preserve">Sellers, Mitchell D. “Gubernatorial Use of Executive Orders: Unilateral Action and Policy Adoption.” </w:t>
            </w:r>
            <w:r>
              <w:rPr>
                <w:i/>
                <w:sz w:val="20"/>
              </w:rPr>
              <w:t xml:space="preserve">Journal of Public Policy </w:t>
            </w:r>
            <w:r>
              <w:rPr>
                <w:sz w:val="20"/>
              </w:rPr>
              <w:t>37.3 (2017): 315–339.</w:t>
            </w:r>
          </w:p>
        </w:tc>
      </w:tr>
      <w:tr w:rsidR="0046798B" w14:paraId="010807E3" w14:textId="77777777">
        <w:trPr>
          <w:trHeight w:val="775"/>
        </w:trPr>
        <w:tc>
          <w:tcPr>
            <w:tcW w:w="1711" w:type="dxa"/>
          </w:tcPr>
          <w:p w14:paraId="329784E0" w14:textId="77777777" w:rsidR="0046798B" w:rsidRDefault="0046798B">
            <w:pPr>
              <w:pStyle w:val="TableParagraph"/>
              <w:spacing w:before="9"/>
              <w:rPr>
                <w:sz w:val="23"/>
              </w:rPr>
            </w:pPr>
          </w:p>
          <w:p w14:paraId="79D1614F" w14:textId="77777777" w:rsidR="0046798B" w:rsidRDefault="00903B5C">
            <w:pPr>
              <w:pStyle w:val="TableParagraph"/>
              <w:ind w:left="115"/>
              <w:rPr>
                <w:b/>
                <w:sz w:val="20"/>
              </w:rPr>
            </w:pPr>
            <w:r>
              <w:rPr>
                <w:b/>
                <w:sz w:val="20"/>
              </w:rPr>
              <w:t>gilaw</w:t>
            </w:r>
          </w:p>
        </w:tc>
        <w:tc>
          <w:tcPr>
            <w:tcW w:w="1596" w:type="dxa"/>
          </w:tcPr>
          <w:p w14:paraId="708F0F07" w14:textId="77777777" w:rsidR="0046798B" w:rsidRDefault="00903B5C">
            <w:pPr>
              <w:pStyle w:val="TableParagraph"/>
              <w:spacing w:before="158"/>
              <w:ind w:left="114"/>
              <w:rPr>
                <w:sz w:val="20"/>
              </w:rPr>
            </w:pPr>
            <w:r>
              <w:rPr>
                <w:sz w:val="20"/>
              </w:rPr>
              <w:t>Gender identity law</w:t>
            </w:r>
          </w:p>
        </w:tc>
        <w:tc>
          <w:tcPr>
            <w:tcW w:w="1285" w:type="dxa"/>
          </w:tcPr>
          <w:p w14:paraId="3B407F25" w14:textId="77777777" w:rsidR="0046798B" w:rsidRDefault="0046798B">
            <w:pPr>
              <w:pStyle w:val="TableParagraph"/>
              <w:spacing w:before="9"/>
              <w:rPr>
                <w:sz w:val="23"/>
              </w:rPr>
            </w:pPr>
          </w:p>
          <w:p w14:paraId="345A952B" w14:textId="77777777" w:rsidR="0046798B" w:rsidRDefault="00903B5C">
            <w:pPr>
              <w:pStyle w:val="TableParagraph"/>
              <w:ind w:left="114"/>
              <w:rPr>
                <w:sz w:val="20"/>
              </w:rPr>
            </w:pPr>
            <w:r>
              <w:rPr>
                <w:sz w:val="20"/>
              </w:rPr>
              <w:t>1960–2013</w:t>
            </w:r>
          </w:p>
        </w:tc>
        <w:tc>
          <w:tcPr>
            <w:tcW w:w="3421" w:type="dxa"/>
          </w:tcPr>
          <w:p w14:paraId="12196D96" w14:textId="77777777" w:rsidR="0046798B" w:rsidRDefault="00903B5C">
            <w:pPr>
              <w:pStyle w:val="TableParagraph"/>
              <w:spacing w:before="43"/>
              <w:ind w:left="114" w:right="316"/>
              <w:rPr>
                <w:sz w:val="20"/>
              </w:rPr>
            </w:pPr>
            <w:r>
              <w:rPr>
                <w:sz w:val="20"/>
              </w:rPr>
              <w:t>Does state have a law prohibiting discrimination on the basis of gender identity? (0 = no, 1 = yes)</w:t>
            </w:r>
          </w:p>
        </w:tc>
        <w:tc>
          <w:tcPr>
            <w:tcW w:w="6482" w:type="dxa"/>
          </w:tcPr>
          <w:p w14:paraId="748DDA99" w14:textId="77777777" w:rsidR="0046798B" w:rsidRDefault="00903B5C">
            <w:pPr>
              <w:pStyle w:val="TableParagraph"/>
              <w:spacing w:before="158"/>
              <w:ind w:left="114" w:right="100"/>
              <w:rPr>
                <w:sz w:val="20"/>
              </w:rPr>
            </w:pPr>
            <w:r>
              <w:rPr>
                <w:sz w:val="20"/>
              </w:rPr>
              <w:t xml:space="preserve">Sellers, Mitchell D. “Gubernatorial Use of Executive Orders: Unilateral Action and Policy Adoption.” </w:t>
            </w:r>
            <w:r>
              <w:rPr>
                <w:i/>
                <w:sz w:val="20"/>
              </w:rPr>
              <w:t xml:space="preserve">Journal of Public Policy </w:t>
            </w:r>
            <w:r>
              <w:rPr>
                <w:sz w:val="20"/>
              </w:rPr>
              <w:t>37.3 (2017): 315–339.</w:t>
            </w:r>
          </w:p>
        </w:tc>
      </w:tr>
      <w:tr w:rsidR="0046798B" w14:paraId="63B88A26" w14:textId="77777777">
        <w:trPr>
          <w:trHeight w:val="775"/>
        </w:trPr>
        <w:tc>
          <w:tcPr>
            <w:tcW w:w="1711" w:type="dxa"/>
          </w:tcPr>
          <w:p w14:paraId="2C233CF3" w14:textId="77777777" w:rsidR="0046798B" w:rsidRDefault="0046798B">
            <w:pPr>
              <w:pStyle w:val="TableParagraph"/>
              <w:spacing w:before="8"/>
              <w:rPr>
                <w:sz w:val="23"/>
              </w:rPr>
            </w:pPr>
          </w:p>
          <w:p w14:paraId="5EE5F391" w14:textId="77777777" w:rsidR="0046798B" w:rsidRDefault="00903B5C">
            <w:pPr>
              <w:pStyle w:val="TableParagraph"/>
              <w:spacing w:before="1"/>
              <w:ind w:left="115"/>
              <w:rPr>
                <w:b/>
                <w:sz w:val="20"/>
              </w:rPr>
            </w:pPr>
            <w:r>
              <w:rPr>
                <w:b/>
                <w:sz w:val="20"/>
              </w:rPr>
              <w:t>soexorder</w:t>
            </w:r>
          </w:p>
        </w:tc>
        <w:tc>
          <w:tcPr>
            <w:tcW w:w="1596" w:type="dxa"/>
          </w:tcPr>
          <w:p w14:paraId="36BDFD59" w14:textId="77777777" w:rsidR="0046798B" w:rsidRDefault="00903B5C">
            <w:pPr>
              <w:pStyle w:val="TableParagraph"/>
              <w:spacing w:before="43"/>
              <w:ind w:left="114" w:right="213"/>
              <w:rPr>
                <w:sz w:val="20"/>
              </w:rPr>
            </w:pPr>
            <w:r>
              <w:rPr>
                <w:sz w:val="20"/>
              </w:rPr>
              <w:t>Sexual orientation executive order</w:t>
            </w:r>
          </w:p>
        </w:tc>
        <w:tc>
          <w:tcPr>
            <w:tcW w:w="1285" w:type="dxa"/>
          </w:tcPr>
          <w:p w14:paraId="31ACFE46" w14:textId="77777777" w:rsidR="0046798B" w:rsidRDefault="0046798B">
            <w:pPr>
              <w:pStyle w:val="TableParagraph"/>
              <w:spacing w:before="8"/>
              <w:rPr>
                <w:sz w:val="23"/>
              </w:rPr>
            </w:pPr>
          </w:p>
          <w:p w14:paraId="54A38D15" w14:textId="77777777" w:rsidR="0046798B" w:rsidRDefault="00903B5C">
            <w:pPr>
              <w:pStyle w:val="TableParagraph"/>
              <w:spacing w:before="1"/>
              <w:ind w:left="114"/>
              <w:rPr>
                <w:sz w:val="20"/>
              </w:rPr>
            </w:pPr>
            <w:r>
              <w:rPr>
                <w:sz w:val="20"/>
              </w:rPr>
              <w:t>1960–2013</w:t>
            </w:r>
          </w:p>
        </w:tc>
        <w:tc>
          <w:tcPr>
            <w:tcW w:w="3421" w:type="dxa"/>
          </w:tcPr>
          <w:p w14:paraId="21684DAD" w14:textId="77777777" w:rsidR="0046798B" w:rsidRDefault="00903B5C">
            <w:pPr>
              <w:pStyle w:val="TableParagraph"/>
              <w:spacing w:before="43"/>
              <w:ind w:left="114" w:right="168"/>
              <w:rPr>
                <w:sz w:val="20"/>
              </w:rPr>
            </w:pPr>
            <w:r>
              <w:rPr>
                <w:sz w:val="20"/>
              </w:rPr>
              <w:t>Does state have an executive order prohibiting discrimination on the basis of sexual orientation? (0 = no, 1 = yes)</w:t>
            </w:r>
          </w:p>
        </w:tc>
        <w:tc>
          <w:tcPr>
            <w:tcW w:w="6482" w:type="dxa"/>
          </w:tcPr>
          <w:p w14:paraId="3978A0AB" w14:textId="77777777" w:rsidR="0046798B" w:rsidRDefault="00903B5C">
            <w:pPr>
              <w:pStyle w:val="TableParagraph"/>
              <w:spacing w:before="158"/>
              <w:ind w:left="114" w:right="100"/>
              <w:rPr>
                <w:sz w:val="20"/>
              </w:rPr>
            </w:pPr>
            <w:r>
              <w:rPr>
                <w:sz w:val="20"/>
              </w:rPr>
              <w:t xml:space="preserve">Sellers, Mitchell D. “Gubernatorial Use of Executive Orders: Unilateral Action and Policy Adoption.” </w:t>
            </w:r>
            <w:r>
              <w:rPr>
                <w:i/>
                <w:sz w:val="20"/>
              </w:rPr>
              <w:t xml:space="preserve">Journal of Public Policy </w:t>
            </w:r>
            <w:r>
              <w:rPr>
                <w:sz w:val="20"/>
              </w:rPr>
              <w:t>37.3 (2017): 315–339.</w:t>
            </w:r>
          </w:p>
        </w:tc>
      </w:tr>
    </w:tbl>
    <w:p w14:paraId="3998BF54" w14:textId="77777777" w:rsidR="0046798B" w:rsidRDefault="0046798B">
      <w:pPr>
        <w:rPr>
          <w:sz w:val="20"/>
        </w:rPr>
        <w:sectPr w:rsidR="0046798B">
          <w:pgSz w:w="15840" w:h="12240" w:orient="landscape"/>
          <w:pgMar w:top="1220" w:right="300" w:bottom="980" w:left="820" w:header="730" w:footer="787" w:gutter="0"/>
          <w:cols w:space="720"/>
        </w:sectPr>
      </w:pPr>
    </w:p>
    <w:p w14:paraId="33F0C618"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60831755" w14:textId="77777777">
        <w:trPr>
          <w:trHeight w:val="775"/>
        </w:trPr>
        <w:tc>
          <w:tcPr>
            <w:tcW w:w="1711" w:type="dxa"/>
          </w:tcPr>
          <w:p w14:paraId="36EC529F" w14:textId="77777777" w:rsidR="0046798B" w:rsidRDefault="0046798B">
            <w:pPr>
              <w:pStyle w:val="TableParagraph"/>
              <w:spacing w:before="9"/>
              <w:rPr>
                <w:sz w:val="23"/>
              </w:rPr>
            </w:pPr>
          </w:p>
          <w:p w14:paraId="232A77AE" w14:textId="77777777" w:rsidR="0046798B" w:rsidRDefault="00903B5C">
            <w:pPr>
              <w:pStyle w:val="TableParagraph"/>
              <w:ind w:left="115"/>
              <w:rPr>
                <w:b/>
                <w:sz w:val="20"/>
              </w:rPr>
            </w:pPr>
            <w:r>
              <w:rPr>
                <w:b/>
                <w:sz w:val="20"/>
              </w:rPr>
              <w:t>solaw</w:t>
            </w:r>
          </w:p>
        </w:tc>
        <w:tc>
          <w:tcPr>
            <w:tcW w:w="1596" w:type="dxa"/>
          </w:tcPr>
          <w:p w14:paraId="2F3E007D" w14:textId="77777777" w:rsidR="0046798B" w:rsidRDefault="00903B5C">
            <w:pPr>
              <w:pStyle w:val="TableParagraph"/>
              <w:spacing w:before="158"/>
              <w:ind w:left="114" w:right="246"/>
              <w:rPr>
                <w:sz w:val="20"/>
              </w:rPr>
            </w:pPr>
            <w:r>
              <w:rPr>
                <w:sz w:val="20"/>
              </w:rPr>
              <w:t>Sexual orientation law</w:t>
            </w:r>
          </w:p>
        </w:tc>
        <w:tc>
          <w:tcPr>
            <w:tcW w:w="1285" w:type="dxa"/>
          </w:tcPr>
          <w:p w14:paraId="78A590AD" w14:textId="77777777" w:rsidR="0046798B" w:rsidRDefault="0046798B">
            <w:pPr>
              <w:pStyle w:val="TableParagraph"/>
              <w:spacing w:before="9"/>
              <w:rPr>
                <w:sz w:val="23"/>
              </w:rPr>
            </w:pPr>
          </w:p>
          <w:p w14:paraId="02AC31D1" w14:textId="77777777" w:rsidR="0046798B" w:rsidRDefault="00903B5C">
            <w:pPr>
              <w:pStyle w:val="TableParagraph"/>
              <w:ind w:left="114"/>
              <w:rPr>
                <w:sz w:val="20"/>
              </w:rPr>
            </w:pPr>
            <w:r>
              <w:rPr>
                <w:sz w:val="20"/>
              </w:rPr>
              <w:t>1960–2013</w:t>
            </w:r>
          </w:p>
        </w:tc>
        <w:tc>
          <w:tcPr>
            <w:tcW w:w="3421" w:type="dxa"/>
          </w:tcPr>
          <w:p w14:paraId="22FFC0DF" w14:textId="77777777" w:rsidR="0046798B" w:rsidRDefault="00903B5C">
            <w:pPr>
              <w:pStyle w:val="TableParagraph"/>
              <w:spacing w:before="43"/>
              <w:ind w:left="114" w:right="349"/>
              <w:rPr>
                <w:sz w:val="20"/>
              </w:rPr>
            </w:pPr>
            <w:r>
              <w:rPr>
                <w:sz w:val="20"/>
              </w:rPr>
              <w:t>Does state have a law prohibiting discrimination on the basis of sexual orientation? (0 = no, 1 = yes)</w:t>
            </w:r>
          </w:p>
        </w:tc>
        <w:tc>
          <w:tcPr>
            <w:tcW w:w="6482" w:type="dxa"/>
          </w:tcPr>
          <w:p w14:paraId="4896E95B" w14:textId="77777777" w:rsidR="0046798B" w:rsidRDefault="00903B5C">
            <w:pPr>
              <w:pStyle w:val="TableParagraph"/>
              <w:spacing w:before="158"/>
              <w:ind w:left="114" w:right="100"/>
              <w:rPr>
                <w:sz w:val="20"/>
              </w:rPr>
            </w:pPr>
            <w:r>
              <w:rPr>
                <w:sz w:val="20"/>
              </w:rPr>
              <w:t xml:space="preserve">Sellers, Mitchell D. “Gubernatorial Use of Executive Orders: Unilateral Action and Policy Adoption.” </w:t>
            </w:r>
            <w:r>
              <w:rPr>
                <w:i/>
                <w:sz w:val="20"/>
              </w:rPr>
              <w:t xml:space="preserve">Journal of Public Policy </w:t>
            </w:r>
            <w:r>
              <w:rPr>
                <w:sz w:val="20"/>
              </w:rPr>
              <w:t>37.3 (2017): 315–339.</w:t>
            </w:r>
          </w:p>
        </w:tc>
      </w:tr>
      <w:tr w:rsidR="0046798B" w14:paraId="1423A3D5" w14:textId="77777777">
        <w:trPr>
          <w:trHeight w:val="2386"/>
        </w:trPr>
        <w:tc>
          <w:tcPr>
            <w:tcW w:w="1711" w:type="dxa"/>
          </w:tcPr>
          <w:p w14:paraId="2022F877" w14:textId="77777777" w:rsidR="0046798B" w:rsidRDefault="0046798B">
            <w:pPr>
              <w:pStyle w:val="TableParagraph"/>
            </w:pPr>
          </w:p>
          <w:p w14:paraId="78A2A5E0" w14:textId="77777777" w:rsidR="0046798B" w:rsidRDefault="0046798B">
            <w:pPr>
              <w:pStyle w:val="TableParagraph"/>
            </w:pPr>
          </w:p>
          <w:p w14:paraId="12C26881" w14:textId="77777777" w:rsidR="0046798B" w:rsidRDefault="0046798B">
            <w:pPr>
              <w:pStyle w:val="TableParagraph"/>
            </w:pPr>
          </w:p>
          <w:p w14:paraId="472FE685" w14:textId="77777777" w:rsidR="0046798B" w:rsidRDefault="0046798B">
            <w:pPr>
              <w:pStyle w:val="TableParagraph"/>
              <w:spacing w:before="9"/>
              <w:rPr>
                <w:sz w:val="27"/>
              </w:rPr>
            </w:pPr>
          </w:p>
          <w:p w14:paraId="13AB4500" w14:textId="77777777" w:rsidR="0046798B" w:rsidRDefault="00903B5C">
            <w:pPr>
              <w:pStyle w:val="TableParagraph"/>
              <w:ind w:left="115"/>
              <w:rPr>
                <w:b/>
                <w:sz w:val="20"/>
              </w:rPr>
            </w:pPr>
            <w:r>
              <w:rPr>
                <w:b/>
                <w:sz w:val="20"/>
              </w:rPr>
              <w:t>hate_crime_law</w:t>
            </w:r>
          </w:p>
        </w:tc>
        <w:tc>
          <w:tcPr>
            <w:tcW w:w="1596" w:type="dxa"/>
          </w:tcPr>
          <w:p w14:paraId="2C82CBD2" w14:textId="77777777" w:rsidR="0046798B" w:rsidRDefault="0046798B">
            <w:pPr>
              <w:pStyle w:val="TableParagraph"/>
            </w:pPr>
          </w:p>
          <w:p w14:paraId="30D20152" w14:textId="77777777" w:rsidR="0046798B" w:rsidRDefault="0046798B">
            <w:pPr>
              <w:pStyle w:val="TableParagraph"/>
              <w:spacing w:before="8"/>
              <w:rPr>
                <w:sz w:val="31"/>
              </w:rPr>
            </w:pPr>
          </w:p>
          <w:p w14:paraId="03896BF4" w14:textId="77777777" w:rsidR="0046798B" w:rsidRDefault="00903B5C">
            <w:pPr>
              <w:pStyle w:val="TableParagraph"/>
              <w:spacing w:before="1"/>
              <w:ind w:left="114" w:right="141"/>
              <w:rPr>
                <w:sz w:val="20"/>
              </w:rPr>
            </w:pPr>
            <w:r>
              <w:rPr>
                <w:sz w:val="20"/>
              </w:rPr>
              <w:t>State has passed a law establishing illegality of hate crimes</w:t>
            </w:r>
          </w:p>
        </w:tc>
        <w:tc>
          <w:tcPr>
            <w:tcW w:w="1285" w:type="dxa"/>
          </w:tcPr>
          <w:p w14:paraId="49FF15DB" w14:textId="77777777" w:rsidR="0046798B" w:rsidRDefault="0046798B">
            <w:pPr>
              <w:pStyle w:val="TableParagraph"/>
            </w:pPr>
          </w:p>
          <w:p w14:paraId="59F63E76" w14:textId="77777777" w:rsidR="0046798B" w:rsidRDefault="0046798B">
            <w:pPr>
              <w:pStyle w:val="TableParagraph"/>
            </w:pPr>
          </w:p>
          <w:p w14:paraId="56C70EC8" w14:textId="77777777" w:rsidR="0046798B" w:rsidRDefault="0046798B">
            <w:pPr>
              <w:pStyle w:val="TableParagraph"/>
            </w:pPr>
          </w:p>
          <w:p w14:paraId="2D8EE74C" w14:textId="77777777" w:rsidR="0046798B" w:rsidRDefault="0046798B">
            <w:pPr>
              <w:pStyle w:val="TableParagraph"/>
              <w:spacing w:before="9"/>
              <w:rPr>
                <w:sz w:val="27"/>
              </w:rPr>
            </w:pPr>
          </w:p>
          <w:p w14:paraId="5E4C23E0" w14:textId="77777777" w:rsidR="0046798B" w:rsidRDefault="00903B5C">
            <w:pPr>
              <w:pStyle w:val="TableParagraph"/>
              <w:ind w:left="114"/>
              <w:rPr>
                <w:sz w:val="20"/>
              </w:rPr>
            </w:pPr>
            <w:r>
              <w:rPr>
                <w:sz w:val="20"/>
              </w:rPr>
              <w:t>2019</w:t>
            </w:r>
          </w:p>
        </w:tc>
        <w:tc>
          <w:tcPr>
            <w:tcW w:w="3421" w:type="dxa"/>
          </w:tcPr>
          <w:p w14:paraId="2A093D57" w14:textId="77777777" w:rsidR="0046798B" w:rsidRDefault="00903B5C">
            <w:pPr>
              <w:pStyle w:val="TableParagraph"/>
              <w:spacing w:before="43"/>
              <w:ind w:left="114" w:right="248"/>
              <w:rPr>
                <w:sz w:val="20"/>
              </w:rPr>
            </w:pPr>
            <w:r>
              <w:rPr>
                <w:sz w:val="20"/>
              </w:rPr>
              <w:t>0 = the state does not have hate-crime laws pertaining to members of the LGBT community, OR does not have any hate-crime laws at all</w:t>
            </w:r>
          </w:p>
          <w:p w14:paraId="3F82FAD6" w14:textId="77777777" w:rsidR="0046798B" w:rsidRDefault="00903B5C">
            <w:pPr>
              <w:pStyle w:val="TableParagraph"/>
              <w:spacing w:before="1"/>
              <w:ind w:left="114" w:right="254"/>
              <w:rPr>
                <w:sz w:val="20"/>
              </w:rPr>
            </w:pPr>
            <w:r>
              <w:rPr>
                <w:sz w:val="20"/>
              </w:rPr>
              <w:t>1 = the state has a hate-crime law that applies to sexual orientation only (LGB)</w:t>
            </w:r>
          </w:p>
          <w:p w14:paraId="1EDDC17B" w14:textId="77777777" w:rsidR="0046798B" w:rsidRDefault="00903B5C">
            <w:pPr>
              <w:pStyle w:val="TableParagraph"/>
              <w:ind w:left="114" w:right="254"/>
              <w:rPr>
                <w:sz w:val="20"/>
              </w:rPr>
            </w:pPr>
            <w:r>
              <w:rPr>
                <w:sz w:val="20"/>
              </w:rPr>
              <w:t>2 = the state has a hate-crime law that applies to sexual orientation AND gender identity (LGBT)</w:t>
            </w:r>
          </w:p>
        </w:tc>
        <w:tc>
          <w:tcPr>
            <w:tcW w:w="6482" w:type="dxa"/>
          </w:tcPr>
          <w:p w14:paraId="3C544814" w14:textId="77777777" w:rsidR="0046798B" w:rsidRDefault="0046798B">
            <w:pPr>
              <w:pStyle w:val="TableParagraph"/>
            </w:pPr>
          </w:p>
          <w:p w14:paraId="085DEA2E" w14:textId="77777777" w:rsidR="0046798B" w:rsidRDefault="0046798B">
            <w:pPr>
              <w:pStyle w:val="TableParagraph"/>
            </w:pPr>
          </w:p>
          <w:p w14:paraId="15EDA20F" w14:textId="77777777" w:rsidR="0046798B" w:rsidRDefault="0046798B">
            <w:pPr>
              <w:pStyle w:val="TableParagraph"/>
            </w:pPr>
          </w:p>
          <w:p w14:paraId="586EC787" w14:textId="77777777" w:rsidR="0046798B" w:rsidRDefault="0046798B">
            <w:pPr>
              <w:pStyle w:val="TableParagraph"/>
              <w:spacing w:before="9"/>
              <w:rPr>
                <w:sz w:val="17"/>
              </w:rPr>
            </w:pPr>
          </w:p>
          <w:p w14:paraId="2CE97B15" w14:textId="77777777" w:rsidR="0046798B" w:rsidRDefault="00903B5C">
            <w:pPr>
              <w:pStyle w:val="TableParagraph"/>
              <w:ind w:left="114" w:right="1355"/>
              <w:rPr>
                <w:sz w:val="20"/>
              </w:rPr>
            </w:pPr>
            <w:r>
              <w:rPr>
                <w:sz w:val="20"/>
              </w:rPr>
              <w:t xml:space="preserve">Movement Advancement Project (MAP), “Hate Crime Laws.” </w:t>
            </w:r>
            <w:hyperlink r:id="rId881">
              <w:r>
                <w:rPr>
                  <w:color w:val="0462C1"/>
                  <w:sz w:val="20"/>
                  <w:u w:val="single" w:color="0462C1"/>
                </w:rPr>
                <w:t>http://www.lgbtmap.org/equality-maps/hate_crime_laws</w:t>
              </w:r>
            </w:hyperlink>
          </w:p>
        </w:tc>
      </w:tr>
      <w:tr w:rsidR="0046798B" w14:paraId="037E175C" w14:textId="77777777">
        <w:trPr>
          <w:trHeight w:val="3075"/>
        </w:trPr>
        <w:tc>
          <w:tcPr>
            <w:tcW w:w="1711" w:type="dxa"/>
          </w:tcPr>
          <w:p w14:paraId="3650D5A1" w14:textId="77777777" w:rsidR="0046798B" w:rsidRDefault="0046798B">
            <w:pPr>
              <w:pStyle w:val="TableParagraph"/>
            </w:pPr>
          </w:p>
          <w:p w14:paraId="5620649E" w14:textId="77777777" w:rsidR="0046798B" w:rsidRDefault="0046798B">
            <w:pPr>
              <w:pStyle w:val="TableParagraph"/>
            </w:pPr>
          </w:p>
          <w:p w14:paraId="33C0E727" w14:textId="77777777" w:rsidR="0046798B" w:rsidRDefault="0046798B">
            <w:pPr>
              <w:pStyle w:val="TableParagraph"/>
            </w:pPr>
          </w:p>
          <w:p w14:paraId="0A709046" w14:textId="77777777" w:rsidR="0046798B" w:rsidRDefault="0046798B">
            <w:pPr>
              <w:pStyle w:val="TableParagraph"/>
            </w:pPr>
          </w:p>
          <w:p w14:paraId="1B5B7D63" w14:textId="77777777" w:rsidR="0046798B" w:rsidRDefault="0046798B">
            <w:pPr>
              <w:pStyle w:val="TableParagraph"/>
            </w:pPr>
          </w:p>
          <w:p w14:paraId="1FE5FC09" w14:textId="77777777" w:rsidR="0046798B" w:rsidRDefault="00903B5C">
            <w:pPr>
              <w:pStyle w:val="TableParagraph"/>
              <w:spacing w:before="158"/>
              <w:ind w:left="115"/>
              <w:rPr>
                <w:b/>
                <w:sz w:val="20"/>
              </w:rPr>
            </w:pPr>
            <w:r>
              <w:rPr>
                <w:b/>
                <w:sz w:val="20"/>
              </w:rPr>
              <w:t>exec_order</w:t>
            </w:r>
          </w:p>
        </w:tc>
        <w:tc>
          <w:tcPr>
            <w:tcW w:w="1596" w:type="dxa"/>
          </w:tcPr>
          <w:p w14:paraId="55029A2B" w14:textId="77777777" w:rsidR="0046798B" w:rsidRDefault="0046798B">
            <w:pPr>
              <w:pStyle w:val="TableParagraph"/>
            </w:pPr>
          </w:p>
          <w:p w14:paraId="5FE1469A" w14:textId="77777777" w:rsidR="0046798B" w:rsidRDefault="0046798B">
            <w:pPr>
              <w:pStyle w:val="TableParagraph"/>
            </w:pPr>
          </w:p>
          <w:p w14:paraId="605E59C2" w14:textId="77777777" w:rsidR="0046798B" w:rsidRDefault="0046798B">
            <w:pPr>
              <w:pStyle w:val="TableParagraph"/>
            </w:pPr>
          </w:p>
          <w:p w14:paraId="1EA6632F" w14:textId="77777777" w:rsidR="0046798B" w:rsidRDefault="0046798B">
            <w:pPr>
              <w:pStyle w:val="TableParagraph"/>
              <w:spacing w:before="9"/>
              <w:rPr>
                <w:sz w:val="27"/>
              </w:rPr>
            </w:pPr>
          </w:p>
          <w:p w14:paraId="7037D7A4" w14:textId="77777777" w:rsidR="0046798B" w:rsidRDefault="00903B5C">
            <w:pPr>
              <w:pStyle w:val="TableParagraph"/>
              <w:ind w:left="114" w:right="65"/>
              <w:rPr>
                <w:sz w:val="20"/>
              </w:rPr>
            </w:pPr>
            <w:r>
              <w:rPr>
                <w:sz w:val="20"/>
              </w:rPr>
              <w:t>Governor issued an executive order prohibiting discrimination</w:t>
            </w:r>
          </w:p>
        </w:tc>
        <w:tc>
          <w:tcPr>
            <w:tcW w:w="1285" w:type="dxa"/>
          </w:tcPr>
          <w:p w14:paraId="2958990E" w14:textId="77777777" w:rsidR="0046798B" w:rsidRDefault="0046798B">
            <w:pPr>
              <w:pStyle w:val="TableParagraph"/>
            </w:pPr>
          </w:p>
          <w:p w14:paraId="46F465E8" w14:textId="77777777" w:rsidR="0046798B" w:rsidRDefault="0046798B">
            <w:pPr>
              <w:pStyle w:val="TableParagraph"/>
            </w:pPr>
          </w:p>
          <w:p w14:paraId="28F65B7C" w14:textId="77777777" w:rsidR="0046798B" w:rsidRDefault="0046798B">
            <w:pPr>
              <w:pStyle w:val="TableParagraph"/>
            </w:pPr>
          </w:p>
          <w:p w14:paraId="0E207499" w14:textId="77777777" w:rsidR="0046798B" w:rsidRDefault="0046798B">
            <w:pPr>
              <w:pStyle w:val="TableParagraph"/>
            </w:pPr>
          </w:p>
          <w:p w14:paraId="0E25CF2D" w14:textId="77777777" w:rsidR="0046798B" w:rsidRDefault="0046798B">
            <w:pPr>
              <w:pStyle w:val="TableParagraph"/>
            </w:pPr>
          </w:p>
          <w:p w14:paraId="5B89B0A9" w14:textId="77777777" w:rsidR="0046798B" w:rsidRDefault="00903B5C">
            <w:pPr>
              <w:pStyle w:val="TableParagraph"/>
              <w:spacing w:before="158"/>
              <w:ind w:left="114"/>
              <w:rPr>
                <w:sz w:val="20"/>
              </w:rPr>
            </w:pPr>
            <w:r>
              <w:rPr>
                <w:sz w:val="20"/>
              </w:rPr>
              <w:t>2019</w:t>
            </w:r>
          </w:p>
        </w:tc>
        <w:tc>
          <w:tcPr>
            <w:tcW w:w="3421" w:type="dxa"/>
          </w:tcPr>
          <w:p w14:paraId="4C4B2FE4" w14:textId="77777777" w:rsidR="0046798B" w:rsidRDefault="00903B5C">
            <w:pPr>
              <w:pStyle w:val="TableParagraph"/>
              <w:spacing w:before="43"/>
              <w:ind w:left="114" w:right="543"/>
              <w:rPr>
                <w:sz w:val="20"/>
              </w:rPr>
            </w:pPr>
            <w:r>
              <w:rPr>
                <w:sz w:val="20"/>
              </w:rPr>
              <w:t>0 = no executive orders have been issued</w:t>
            </w:r>
          </w:p>
          <w:p w14:paraId="7B791843" w14:textId="77777777" w:rsidR="0046798B" w:rsidRDefault="00903B5C">
            <w:pPr>
              <w:pStyle w:val="TableParagraph"/>
              <w:ind w:left="114" w:right="298"/>
              <w:rPr>
                <w:sz w:val="20"/>
              </w:rPr>
            </w:pPr>
            <w:r>
              <w:rPr>
                <w:sz w:val="20"/>
              </w:rPr>
              <w:t>1 = executive order was issued, but it applied to discrimination based on sexual orientation only (LGB)</w:t>
            </w:r>
          </w:p>
          <w:p w14:paraId="6FA4CBC1" w14:textId="77777777" w:rsidR="0046798B" w:rsidRDefault="00903B5C">
            <w:pPr>
              <w:pStyle w:val="TableParagraph"/>
              <w:ind w:left="114" w:right="111"/>
              <w:rPr>
                <w:sz w:val="20"/>
              </w:rPr>
            </w:pPr>
            <w:r>
              <w:rPr>
                <w:sz w:val="20"/>
              </w:rPr>
              <w:t>2 = executive order applied to discrimination based on sexual orientation and gender identity (LGBT)</w:t>
            </w:r>
          </w:p>
          <w:p w14:paraId="2029B06A" w14:textId="77777777" w:rsidR="0046798B" w:rsidRDefault="0046798B">
            <w:pPr>
              <w:pStyle w:val="TableParagraph"/>
              <w:spacing w:before="1"/>
              <w:rPr>
                <w:sz w:val="20"/>
              </w:rPr>
            </w:pPr>
          </w:p>
          <w:p w14:paraId="7A618B60" w14:textId="77777777" w:rsidR="0046798B" w:rsidRDefault="00903B5C">
            <w:pPr>
              <w:pStyle w:val="TableParagraph"/>
              <w:ind w:left="114" w:right="350"/>
              <w:rPr>
                <w:sz w:val="20"/>
              </w:rPr>
            </w:pPr>
            <w:r>
              <w:rPr>
                <w:sz w:val="20"/>
              </w:rPr>
              <w:t>Note: This variable indicates only whether an exec. order was issued at one time; it does not account for any orders that were later rescinded.</w:t>
            </w:r>
          </w:p>
        </w:tc>
        <w:tc>
          <w:tcPr>
            <w:tcW w:w="6482" w:type="dxa"/>
          </w:tcPr>
          <w:p w14:paraId="0B2CDCE9" w14:textId="77777777" w:rsidR="0046798B" w:rsidRDefault="0046798B">
            <w:pPr>
              <w:pStyle w:val="TableParagraph"/>
            </w:pPr>
          </w:p>
          <w:p w14:paraId="53239403" w14:textId="77777777" w:rsidR="0046798B" w:rsidRDefault="0046798B">
            <w:pPr>
              <w:pStyle w:val="TableParagraph"/>
            </w:pPr>
          </w:p>
          <w:p w14:paraId="16F207DE" w14:textId="77777777" w:rsidR="0046798B" w:rsidRDefault="0046798B">
            <w:pPr>
              <w:pStyle w:val="TableParagraph"/>
            </w:pPr>
          </w:p>
          <w:p w14:paraId="5E247BC8" w14:textId="77777777" w:rsidR="0046798B" w:rsidRDefault="0046798B">
            <w:pPr>
              <w:pStyle w:val="TableParagraph"/>
            </w:pPr>
          </w:p>
          <w:p w14:paraId="38AD80F9" w14:textId="77777777" w:rsidR="0046798B" w:rsidRDefault="0046798B">
            <w:pPr>
              <w:pStyle w:val="TableParagraph"/>
              <w:spacing w:before="9"/>
              <w:rPr>
                <w:sz w:val="25"/>
              </w:rPr>
            </w:pPr>
          </w:p>
          <w:p w14:paraId="733997B6" w14:textId="77777777" w:rsidR="0046798B" w:rsidRDefault="00903B5C">
            <w:pPr>
              <w:pStyle w:val="TableParagraph"/>
              <w:ind w:left="114" w:right="217"/>
              <w:rPr>
                <w:sz w:val="20"/>
              </w:rPr>
            </w:pPr>
            <w:r>
              <w:rPr>
                <w:sz w:val="20"/>
              </w:rPr>
              <w:t xml:space="preserve">“LGBTQ Americans Aren’t Fully Protected from Discrimination in 30 States.” </w:t>
            </w:r>
            <w:hyperlink r:id="rId882">
              <w:r>
                <w:rPr>
                  <w:color w:val="0462C1"/>
                  <w:sz w:val="20"/>
                  <w:u w:val="single" w:color="0462C1"/>
                </w:rPr>
                <w:t>https://www.freedomforallamericans.org/states/</w:t>
              </w:r>
            </w:hyperlink>
          </w:p>
        </w:tc>
      </w:tr>
      <w:tr w:rsidR="0046798B" w14:paraId="4722EEB1" w14:textId="77777777">
        <w:trPr>
          <w:trHeight w:val="2161"/>
        </w:trPr>
        <w:tc>
          <w:tcPr>
            <w:tcW w:w="1711" w:type="dxa"/>
          </w:tcPr>
          <w:p w14:paraId="1752C9D0" w14:textId="77777777" w:rsidR="0046798B" w:rsidRDefault="0046798B">
            <w:pPr>
              <w:pStyle w:val="TableParagraph"/>
            </w:pPr>
          </w:p>
          <w:p w14:paraId="5E14FC8A" w14:textId="77777777" w:rsidR="0046798B" w:rsidRDefault="0046798B">
            <w:pPr>
              <w:pStyle w:val="TableParagraph"/>
            </w:pPr>
          </w:p>
          <w:p w14:paraId="66291B03" w14:textId="77777777" w:rsidR="0046798B" w:rsidRDefault="0046798B">
            <w:pPr>
              <w:pStyle w:val="TableParagraph"/>
            </w:pPr>
          </w:p>
          <w:p w14:paraId="51FE3CF9" w14:textId="77777777" w:rsidR="0046798B" w:rsidRDefault="0046798B">
            <w:pPr>
              <w:pStyle w:val="TableParagraph"/>
              <w:spacing w:before="9"/>
              <w:rPr>
                <w:sz w:val="17"/>
              </w:rPr>
            </w:pPr>
          </w:p>
          <w:p w14:paraId="2175F21A" w14:textId="77777777" w:rsidR="0046798B" w:rsidRDefault="00903B5C">
            <w:pPr>
              <w:pStyle w:val="TableParagraph"/>
              <w:ind w:left="115"/>
              <w:rPr>
                <w:b/>
                <w:sz w:val="20"/>
              </w:rPr>
            </w:pPr>
            <w:r>
              <w:rPr>
                <w:b/>
                <w:sz w:val="20"/>
              </w:rPr>
              <w:t>ndl_employment</w:t>
            </w:r>
          </w:p>
        </w:tc>
        <w:tc>
          <w:tcPr>
            <w:tcW w:w="1596" w:type="dxa"/>
          </w:tcPr>
          <w:p w14:paraId="44D59A86" w14:textId="77777777" w:rsidR="0046798B" w:rsidRDefault="0046798B">
            <w:pPr>
              <w:pStyle w:val="TableParagraph"/>
            </w:pPr>
          </w:p>
          <w:p w14:paraId="5195E0AB" w14:textId="77777777" w:rsidR="0046798B" w:rsidRDefault="0046798B">
            <w:pPr>
              <w:pStyle w:val="TableParagraph"/>
              <w:spacing w:before="9"/>
              <w:rPr>
                <w:sz w:val="31"/>
              </w:rPr>
            </w:pPr>
          </w:p>
          <w:p w14:paraId="7DD8DFBA" w14:textId="77777777" w:rsidR="0046798B" w:rsidRDefault="00903B5C">
            <w:pPr>
              <w:pStyle w:val="TableParagraph"/>
              <w:ind w:left="114" w:right="85"/>
              <w:rPr>
                <w:sz w:val="20"/>
              </w:rPr>
            </w:pPr>
            <w:r>
              <w:rPr>
                <w:sz w:val="20"/>
              </w:rPr>
              <w:t>State has passed a law prohibiting discrimination in employment</w:t>
            </w:r>
          </w:p>
        </w:tc>
        <w:tc>
          <w:tcPr>
            <w:tcW w:w="1285" w:type="dxa"/>
          </w:tcPr>
          <w:p w14:paraId="040BDA16" w14:textId="77777777" w:rsidR="0046798B" w:rsidRDefault="0046798B">
            <w:pPr>
              <w:pStyle w:val="TableParagraph"/>
            </w:pPr>
          </w:p>
          <w:p w14:paraId="55BA26AD" w14:textId="77777777" w:rsidR="0046798B" w:rsidRDefault="0046798B">
            <w:pPr>
              <w:pStyle w:val="TableParagraph"/>
            </w:pPr>
          </w:p>
          <w:p w14:paraId="616AACE3" w14:textId="77777777" w:rsidR="0046798B" w:rsidRDefault="0046798B">
            <w:pPr>
              <w:pStyle w:val="TableParagraph"/>
            </w:pPr>
          </w:p>
          <w:p w14:paraId="54776BD6" w14:textId="77777777" w:rsidR="0046798B" w:rsidRDefault="0046798B">
            <w:pPr>
              <w:pStyle w:val="TableParagraph"/>
              <w:spacing w:before="9"/>
              <w:rPr>
                <w:sz w:val="17"/>
              </w:rPr>
            </w:pPr>
          </w:p>
          <w:p w14:paraId="0470D5C0" w14:textId="77777777" w:rsidR="0046798B" w:rsidRDefault="00903B5C">
            <w:pPr>
              <w:pStyle w:val="TableParagraph"/>
              <w:ind w:left="114"/>
              <w:rPr>
                <w:sz w:val="20"/>
              </w:rPr>
            </w:pPr>
            <w:r>
              <w:rPr>
                <w:sz w:val="20"/>
              </w:rPr>
              <w:t>2019</w:t>
            </w:r>
          </w:p>
        </w:tc>
        <w:tc>
          <w:tcPr>
            <w:tcW w:w="3421" w:type="dxa"/>
          </w:tcPr>
          <w:p w14:paraId="77C4D487" w14:textId="77777777" w:rsidR="0046798B" w:rsidRDefault="00903B5C">
            <w:pPr>
              <w:pStyle w:val="TableParagraph"/>
              <w:spacing w:before="43"/>
              <w:ind w:left="114" w:right="281"/>
              <w:rPr>
                <w:sz w:val="20"/>
              </w:rPr>
            </w:pPr>
            <w:r>
              <w:rPr>
                <w:sz w:val="20"/>
              </w:rPr>
              <w:t>0 = state does not have any employment non-discrimination laws 1 = the state has an employment non- discrimination law that applies to sexual orientation only (LGB)</w:t>
            </w:r>
          </w:p>
          <w:p w14:paraId="551A3E92" w14:textId="77777777" w:rsidR="0046798B" w:rsidRDefault="00903B5C">
            <w:pPr>
              <w:pStyle w:val="TableParagraph"/>
              <w:ind w:left="114" w:right="119"/>
              <w:rPr>
                <w:sz w:val="20"/>
              </w:rPr>
            </w:pPr>
            <w:r>
              <w:rPr>
                <w:sz w:val="20"/>
              </w:rPr>
              <w:t>2 = the state has an employment non- discrimination law that applies to sexual orientation AND gender identity (LGBT)</w:t>
            </w:r>
          </w:p>
        </w:tc>
        <w:tc>
          <w:tcPr>
            <w:tcW w:w="6482" w:type="dxa"/>
          </w:tcPr>
          <w:p w14:paraId="6ADF46DF" w14:textId="77777777" w:rsidR="0046798B" w:rsidRDefault="0046798B">
            <w:pPr>
              <w:pStyle w:val="TableParagraph"/>
            </w:pPr>
          </w:p>
          <w:p w14:paraId="12AEBF11" w14:textId="77777777" w:rsidR="0046798B" w:rsidRDefault="0046798B">
            <w:pPr>
              <w:pStyle w:val="TableParagraph"/>
            </w:pPr>
          </w:p>
          <w:p w14:paraId="54E4B1F0" w14:textId="77777777" w:rsidR="0046798B" w:rsidRDefault="0046798B">
            <w:pPr>
              <w:pStyle w:val="TableParagraph"/>
              <w:spacing w:before="9"/>
              <w:rPr>
                <w:sz w:val="29"/>
              </w:rPr>
            </w:pPr>
          </w:p>
          <w:p w14:paraId="648B17F5" w14:textId="77777777" w:rsidR="0046798B" w:rsidRDefault="00903B5C">
            <w:pPr>
              <w:pStyle w:val="TableParagraph"/>
              <w:ind w:left="114" w:right="672"/>
              <w:rPr>
                <w:sz w:val="20"/>
              </w:rPr>
            </w:pPr>
            <w:r>
              <w:rPr>
                <w:sz w:val="20"/>
              </w:rPr>
              <w:t xml:space="preserve">Movement Advancement Project (MAP), “Non-Discrimination Laws.” </w:t>
            </w:r>
            <w:hyperlink r:id="rId883">
              <w:r>
                <w:rPr>
                  <w:color w:val="0462C1"/>
                  <w:sz w:val="20"/>
                  <w:u w:val="single" w:color="0462C1"/>
                </w:rPr>
                <w:t>http://www.lgbtmap.org/equality-maps/non_discrimination_laws</w:t>
              </w:r>
            </w:hyperlink>
          </w:p>
        </w:tc>
      </w:tr>
      <w:tr w:rsidR="0046798B" w14:paraId="6A282D36" w14:textId="77777777">
        <w:trPr>
          <w:trHeight w:val="545"/>
        </w:trPr>
        <w:tc>
          <w:tcPr>
            <w:tcW w:w="1711" w:type="dxa"/>
          </w:tcPr>
          <w:p w14:paraId="222BCA3A" w14:textId="77777777" w:rsidR="0046798B" w:rsidRDefault="00903B5C">
            <w:pPr>
              <w:pStyle w:val="TableParagraph"/>
              <w:spacing w:before="153"/>
              <w:ind w:left="115"/>
              <w:rPr>
                <w:b/>
                <w:sz w:val="20"/>
              </w:rPr>
            </w:pPr>
            <w:r>
              <w:rPr>
                <w:b/>
                <w:sz w:val="20"/>
              </w:rPr>
              <w:t>ndl_housing</w:t>
            </w:r>
          </w:p>
        </w:tc>
        <w:tc>
          <w:tcPr>
            <w:tcW w:w="1596" w:type="dxa"/>
          </w:tcPr>
          <w:p w14:paraId="04F9E951" w14:textId="77777777" w:rsidR="0046798B" w:rsidRDefault="00903B5C">
            <w:pPr>
              <w:pStyle w:val="TableParagraph"/>
              <w:spacing w:before="38"/>
              <w:ind w:left="114" w:right="85"/>
              <w:rPr>
                <w:sz w:val="20"/>
              </w:rPr>
            </w:pPr>
            <w:r>
              <w:rPr>
                <w:sz w:val="20"/>
              </w:rPr>
              <w:t>State has passed a law prohibiting</w:t>
            </w:r>
          </w:p>
        </w:tc>
        <w:tc>
          <w:tcPr>
            <w:tcW w:w="1285" w:type="dxa"/>
          </w:tcPr>
          <w:p w14:paraId="02787E87" w14:textId="77777777" w:rsidR="0046798B" w:rsidRDefault="00903B5C">
            <w:pPr>
              <w:pStyle w:val="TableParagraph"/>
              <w:spacing w:before="153"/>
              <w:ind w:left="114"/>
              <w:rPr>
                <w:sz w:val="20"/>
              </w:rPr>
            </w:pPr>
            <w:r>
              <w:rPr>
                <w:sz w:val="20"/>
              </w:rPr>
              <w:t>2019</w:t>
            </w:r>
          </w:p>
        </w:tc>
        <w:tc>
          <w:tcPr>
            <w:tcW w:w="3421" w:type="dxa"/>
          </w:tcPr>
          <w:p w14:paraId="639ABA10" w14:textId="77777777" w:rsidR="0046798B" w:rsidRDefault="00903B5C">
            <w:pPr>
              <w:pStyle w:val="TableParagraph"/>
              <w:spacing w:before="38"/>
              <w:ind w:left="114" w:right="439"/>
              <w:rPr>
                <w:sz w:val="20"/>
              </w:rPr>
            </w:pPr>
            <w:r>
              <w:rPr>
                <w:sz w:val="20"/>
              </w:rPr>
              <w:t>0 = state does not have any housing non-discrimination laws</w:t>
            </w:r>
          </w:p>
        </w:tc>
        <w:tc>
          <w:tcPr>
            <w:tcW w:w="6482" w:type="dxa"/>
          </w:tcPr>
          <w:p w14:paraId="41E0DA6C" w14:textId="77777777" w:rsidR="0046798B" w:rsidRDefault="00903B5C">
            <w:pPr>
              <w:pStyle w:val="TableParagraph"/>
              <w:spacing w:before="38"/>
              <w:ind w:left="114" w:right="672"/>
              <w:rPr>
                <w:sz w:val="20"/>
              </w:rPr>
            </w:pPr>
            <w:r>
              <w:rPr>
                <w:sz w:val="20"/>
              </w:rPr>
              <w:t xml:space="preserve">Movement Advancement Project (MAP), “Non-Discrimination Laws.” </w:t>
            </w:r>
            <w:hyperlink r:id="rId884">
              <w:r>
                <w:rPr>
                  <w:color w:val="0462C1"/>
                  <w:sz w:val="20"/>
                  <w:u w:val="single" w:color="0462C1"/>
                </w:rPr>
                <w:t>http://www.lgbtmap.org/equality-maps/non_discrimination_laws</w:t>
              </w:r>
            </w:hyperlink>
          </w:p>
        </w:tc>
      </w:tr>
    </w:tbl>
    <w:p w14:paraId="225B5180" w14:textId="77777777" w:rsidR="0046798B" w:rsidRDefault="0046798B">
      <w:pPr>
        <w:rPr>
          <w:sz w:val="20"/>
        </w:rPr>
        <w:sectPr w:rsidR="0046798B">
          <w:pgSz w:w="15840" w:h="12240" w:orient="landscape"/>
          <w:pgMar w:top="1220" w:right="300" w:bottom="980" w:left="820" w:header="730" w:footer="787" w:gutter="0"/>
          <w:cols w:space="720"/>
        </w:sectPr>
      </w:pPr>
    </w:p>
    <w:p w14:paraId="24527005"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010B101" w14:textId="77777777">
        <w:trPr>
          <w:trHeight w:val="1696"/>
        </w:trPr>
        <w:tc>
          <w:tcPr>
            <w:tcW w:w="1711" w:type="dxa"/>
          </w:tcPr>
          <w:p w14:paraId="09A04577" w14:textId="77777777" w:rsidR="0046798B" w:rsidRDefault="0046798B">
            <w:pPr>
              <w:pStyle w:val="TableParagraph"/>
              <w:rPr>
                <w:sz w:val="20"/>
              </w:rPr>
            </w:pPr>
          </w:p>
        </w:tc>
        <w:tc>
          <w:tcPr>
            <w:tcW w:w="1596" w:type="dxa"/>
          </w:tcPr>
          <w:p w14:paraId="64958AF2" w14:textId="77777777" w:rsidR="0046798B" w:rsidRDefault="00903B5C">
            <w:pPr>
              <w:pStyle w:val="TableParagraph"/>
              <w:spacing w:before="43"/>
              <w:ind w:left="114" w:right="91"/>
              <w:rPr>
                <w:sz w:val="20"/>
              </w:rPr>
            </w:pPr>
            <w:r>
              <w:rPr>
                <w:sz w:val="20"/>
              </w:rPr>
              <w:t>discrimination in housing</w:t>
            </w:r>
          </w:p>
        </w:tc>
        <w:tc>
          <w:tcPr>
            <w:tcW w:w="1285" w:type="dxa"/>
          </w:tcPr>
          <w:p w14:paraId="58003FE7" w14:textId="77777777" w:rsidR="0046798B" w:rsidRDefault="0046798B">
            <w:pPr>
              <w:pStyle w:val="TableParagraph"/>
              <w:rPr>
                <w:sz w:val="20"/>
              </w:rPr>
            </w:pPr>
          </w:p>
        </w:tc>
        <w:tc>
          <w:tcPr>
            <w:tcW w:w="3421" w:type="dxa"/>
          </w:tcPr>
          <w:p w14:paraId="1CA06087" w14:textId="77777777" w:rsidR="0046798B" w:rsidRDefault="00903B5C">
            <w:pPr>
              <w:pStyle w:val="TableParagraph"/>
              <w:spacing w:before="43"/>
              <w:ind w:left="114" w:right="610"/>
              <w:rPr>
                <w:sz w:val="20"/>
              </w:rPr>
            </w:pPr>
            <w:r>
              <w:rPr>
                <w:sz w:val="20"/>
              </w:rPr>
              <w:t>1 = the state has a housing non- discrimination law that applies to sexual orientation only (LGB)</w:t>
            </w:r>
          </w:p>
          <w:p w14:paraId="4FA3EC31" w14:textId="77777777" w:rsidR="0046798B" w:rsidRDefault="00903B5C">
            <w:pPr>
              <w:pStyle w:val="TableParagraph"/>
              <w:ind w:left="114" w:right="119"/>
              <w:rPr>
                <w:sz w:val="20"/>
              </w:rPr>
            </w:pPr>
            <w:r>
              <w:rPr>
                <w:sz w:val="20"/>
              </w:rPr>
              <w:t>2 = the state has a housing non- discrimination law that applies to sexual orientation AND gender identity (LGBT)</w:t>
            </w:r>
          </w:p>
        </w:tc>
        <w:tc>
          <w:tcPr>
            <w:tcW w:w="6482" w:type="dxa"/>
          </w:tcPr>
          <w:p w14:paraId="5EA8E2C6" w14:textId="77777777" w:rsidR="0046798B" w:rsidRDefault="0046798B">
            <w:pPr>
              <w:pStyle w:val="TableParagraph"/>
              <w:rPr>
                <w:sz w:val="20"/>
              </w:rPr>
            </w:pPr>
          </w:p>
        </w:tc>
      </w:tr>
      <w:tr w:rsidR="0046798B" w14:paraId="381381FC" w14:textId="77777777">
        <w:trPr>
          <w:trHeight w:val="2615"/>
        </w:trPr>
        <w:tc>
          <w:tcPr>
            <w:tcW w:w="1711" w:type="dxa"/>
          </w:tcPr>
          <w:p w14:paraId="6B633C7E" w14:textId="77777777" w:rsidR="0046798B" w:rsidRDefault="0046798B">
            <w:pPr>
              <w:pStyle w:val="TableParagraph"/>
            </w:pPr>
          </w:p>
          <w:p w14:paraId="59149267" w14:textId="77777777" w:rsidR="0046798B" w:rsidRDefault="0046798B">
            <w:pPr>
              <w:pStyle w:val="TableParagraph"/>
            </w:pPr>
          </w:p>
          <w:p w14:paraId="0541512A" w14:textId="77777777" w:rsidR="0046798B" w:rsidRDefault="0046798B">
            <w:pPr>
              <w:pStyle w:val="TableParagraph"/>
            </w:pPr>
          </w:p>
          <w:p w14:paraId="35D36045" w14:textId="77777777" w:rsidR="0046798B" w:rsidRDefault="0046798B">
            <w:pPr>
              <w:pStyle w:val="TableParagraph"/>
              <w:spacing w:before="9"/>
              <w:rPr>
                <w:sz w:val="27"/>
              </w:rPr>
            </w:pPr>
          </w:p>
          <w:p w14:paraId="092110C2" w14:textId="77777777" w:rsidR="0046798B" w:rsidRDefault="00903B5C">
            <w:pPr>
              <w:pStyle w:val="TableParagraph"/>
              <w:ind w:left="115" w:right="176"/>
              <w:rPr>
                <w:b/>
                <w:sz w:val="20"/>
              </w:rPr>
            </w:pPr>
            <w:r>
              <w:rPr>
                <w:b/>
                <w:sz w:val="20"/>
              </w:rPr>
              <w:t>ndl_public_acco mm</w:t>
            </w:r>
          </w:p>
        </w:tc>
        <w:tc>
          <w:tcPr>
            <w:tcW w:w="1596" w:type="dxa"/>
          </w:tcPr>
          <w:p w14:paraId="548CA636" w14:textId="77777777" w:rsidR="0046798B" w:rsidRDefault="0046798B">
            <w:pPr>
              <w:pStyle w:val="TableParagraph"/>
            </w:pPr>
          </w:p>
          <w:p w14:paraId="32D14740" w14:textId="77777777" w:rsidR="0046798B" w:rsidRDefault="0046798B">
            <w:pPr>
              <w:pStyle w:val="TableParagraph"/>
            </w:pPr>
          </w:p>
          <w:p w14:paraId="21A72FBA" w14:textId="77777777" w:rsidR="0046798B" w:rsidRDefault="0046798B">
            <w:pPr>
              <w:pStyle w:val="TableParagraph"/>
              <w:spacing w:before="8"/>
              <w:rPr>
                <w:sz w:val="19"/>
              </w:rPr>
            </w:pPr>
          </w:p>
          <w:p w14:paraId="25DEC55E" w14:textId="77777777" w:rsidR="0046798B" w:rsidRDefault="00903B5C">
            <w:pPr>
              <w:pStyle w:val="TableParagraph"/>
              <w:spacing w:before="1"/>
              <w:ind w:left="114" w:right="85"/>
              <w:rPr>
                <w:sz w:val="20"/>
              </w:rPr>
            </w:pPr>
            <w:r>
              <w:rPr>
                <w:sz w:val="20"/>
              </w:rPr>
              <w:t>State has passed a law prohibiting discrimination in public accommodations</w:t>
            </w:r>
          </w:p>
        </w:tc>
        <w:tc>
          <w:tcPr>
            <w:tcW w:w="1285" w:type="dxa"/>
          </w:tcPr>
          <w:p w14:paraId="6E4675F8" w14:textId="77777777" w:rsidR="0046798B" w:rsidRDefault="0046798B">
            <w:pPr>
              <w:pStyle w:val="TableParagraph"/>
            </w:pPr>
          </w:p>
          <w:p w14:paraId="2028AE98" w14:textId="77777777" w:rsidR="0046798B" w:rsidRDefault="0046798B">
            <w:pPr>
              <w:pStyle w:val="TableParagraph"/>
            </w:pPr>
          </w:p>
          <w:p w14:paraId="53BECEAA" w14:textId="77777777" w:rsidR="0046798B" w:rsidRDefault="0046798B">
            <w:pPr>
              <w:pStyle w:val="TableParagraph"/>
            </w:pPr>
          </w:p>
          <w:p w14:paraId="5A0B3A9B" w14:textId="77777777" w:rsidR="0046798B" w:rsidRDefault="0046798B">
            <w:pPr>
              <w:pStyle w:val="TableParagraph"/>
            </w:pPr>
          </w:p>
          <w:p w14:paraId="7BD426E5" w14:textId="77777777" w:rsidR="0046798B" w:rsidRDefault="00903B5C">
            <w:pPr>
              <w:pStyle w:val="TableParagraph"/>
              <w:spacing w:before="181"/>
              <w:ind w:left="114"/>
              <w:rPr>
                <w:sz w:val="20"/>
              </w:rPr>
            </w:pPr>
            <w:r>
              <w:rPr>
                <w:sz w:val="20"/>
              </w:rPr>
              <w:t>2019</w:t>
            </w:r>
          </w:p>
        </w:tc>
        <w:tc>
          <w:tcPr>
            <w:tcW w:w="3421" w:type="dxa"/>
          </w:tcPr>
          <w:p w14:paraId="14E51030" w14:textId="77777777" w:rsidR="0046798B" w:rsidRDefault="00903B5C">
            <w:pPr>
              <w:pStyle w:val="TableParagraph"/>
              <w:spacing w:before="43"/>
              <w:ind w:left="114" w:right="349"/>
              <w:rPr>
                <w:sz w:val="20"/>
              </w:rPr>
            </w:pPr>
            <w:r>
              <w:rPr>
                <w:sz w:val="20"/>
              </w:rPr>
              <w:t>0 = state does not have any public- accommodations non-discrimination laws</w:t>
            </w:r>
          </w:p>
          <w:p w14:paraId="32AAB19E" w14:textId="77777777" w:rsidR="0046798B" w:rsidRDefault="00903B5C">
            <w:pPr>
              <w:pStyle w:val="TableParagraph"/>
              <w:ind w:left="114" w:right="338"/>
              <w:rPr>
                <w:sz w:val="20"/>
              </w:rPr>
            </w:pPr>
            <w:r>
              <w:rPr>
                <w:sz w:val="20"/>
              </w:rPr>
              <w:t>1 = the state has a public- accommodations non-discrimination law that applies to sexual orientation only (LGB)</w:t>
            </w:r>
          </w:p>
          <w:p w14:paraId="596CCC5E" w14:textId="77777777" w:rsidR="0046798B" w:rsidRDefault="00903B5C">
            <w:pPr>
              <w:pStyle w:val="TableParagraph"/>
              <w:spacing w:before="1"/>
              <w:ind w:left="114" w:right="338"/>
              <w:rPr>
                <w:sz w:val="20"/>
              </w:rPr>
            </w:pPr>
            <w:r>
              <w:rPr>
                <w:sz w:val="20"/>
              </w:rPr>
              <w:t>2 = the state has a public- accommodations non-discrimination law that applies to sexual orientation AND gender identity (LGBT)</w:t>
            </w:r>
          </w:p>
        </w:tc>
        <w:tc>
          <w:tcPr>
            <w:tcW w:w="6482" w:type="dxa"/>
          </w:tcPr>
          <w:p w14:paraId="3DE92769" w14:textId="77777777" w:rsidR="0046798B" w:rsidRDefault="0046798B">
            <w:pPr>
              <w:pStyle w:val="TableParagraph"/>
            </w:pPr>
          </w:p>
          <w:p w14:paraId="3499CB40" w14:textId="77777777" w:rsidR="0046798B" w:rsidRDefault="0046798B">
            <w:pPr>
              <w:pStyle w:val="TableParagraph"/>
            </w:pPr>
          </w:p>
          <w:p w14:paraId="0B172381" w14:textId="77777777" w:rsidR="0046798B" w:rsidRDefault="0046798B">
            <w:pPr>
              <w:pStyle w:val="TableParagraph"/>
            </w:pPr>
          </w:p>
          <w:p w14:paraId="11B9C9C2" w14:textId="77777777" w:rsidR="0046798B" w:rsidRDefault="0046798B">
            <w:pPr>
              <w:pStyle w:val="TableParagraph"/>
              <w:spacing w:before="9"/>
              <w:rPr>
                <w:sz w:val="27"/>
              </w:rPr>
            </w:pPr>
          </w:p>
          <w:p w14:paraId="1F7DCC4E" w14:textId="77777777" w:rsidR="0046798B" w:rsidRDefault="00903B5C">
            <w:pPr>
              <w:pStyle w:val="TableParagraph"/>
              <w:ind w:left="114" w:right="672"/>
              <w:rPr>
                <w:sz w:val="20"/>
              </w:rPr>
            </w:pPr>
            <w:r>
              <w:rPr>
                <w:sz w:val="20"/>
              </w:rPr>
              <w:t xml:space="preserve">Movement Advancement Project (MAP), “Non-Discrimination Laws.” </w:t>
            </w:r>
            <w:hyperlink r:id="rId885">
              <w:r>
                <w:rPr>
                  <w:color w:val="0462C1"/>
                  <w:sz w:val="20"/>
                  <w:u w:val="single" w:color="0462C1"/>
                </w:rPr>
                <w:t>http://www.lgbtmap.org/equality-maps/non_discrimination_laws</w:t>
              </w:r>
            </w:hyperlink>
          </w:p>
        </w:tc>
      </w:tr>
      <w:tr w:rsidR="0046798B" w14:paraId="2FEDF2D1" w14:textId="77777777">
        <w:trPr>
          <w:trHeight w:val="2155"/>
        </w:trPr>
        <w:tc>
          <w:tcPr>
            <w:tcW w:w="1711" w:type="dxa"/>
          </w:tcPr>
          <w:p w14:paraId="5F6E7C7B" w14:textId="77777777" w:rsidR="0046798B" w:rsidRDefault="0046798B">
            <w:pPr>
              <w:pStyle w:val="TableParagraph"/>
            </w:pPr>
          </w:p>
          <w:p w14:paraId="2CAA7604" w14:textId="77777777" w:rsidR="0046798B" w:rsidRDefault="0046798B">
            <w:pPr>
              <w:pStyle w:val="TableParagraph"/>
            </w:pPr>
          </w:p>
          <w:p w14:paraId="227E508C" w14:textId="77777777" w:rsidR="0046798B" w:rsidRDefault="0046798B">
            <w:pPr>
              <w:pStyle w:val="TableParagraph"/>
            </w:pPr>
          </w:p>
          <w:p w14:paraId="62E4BD36" w14:textId="77777777" w:rsidR="0046798B" w:rsidRDefault="0046798B">
            <w:pPr>
              <w:pStyle w:val="TableParagraph"/>
              <w:spacing w:before="9"/>
              <w:rPr>
                <w:sz w:val="17"/>
              </w:rPr>
            </w:pPr>
          </w:p>
          <w:p w14:paraId="7C3B9CDA" w14:textId="77777777" w:rsidR="0046798B" w:rsidRDefault="00903B5C">
            <w:pPr>
              <w:pStyle w:val="TableParagraph"/>
              <w:ind w:left="115"/>
              <w:rPr>
                <w:b/>
                <w:sz w:val="20"/>
              </w:rPr>
            </w:pPr>
            <w:r>
              <w:rPr>
                <w:b/>
                <w:sz w:val="20"/>
              </w:rPr>
              <w:t>ndl_credit</w:t>
            </w:r>
          </w:p>
        </w:tc>
        <w:tc>
          <w:tcPr>
            <w:tcW w:w="1596" w:type="dxa"/>
          </w:tcPr>
          <w:p w14:paraId="15FD480A" w14:textId="77777777" w:rsidR="0046798B" w:rsidRDefault="0046798B">
            <w:pPr>
              <w:pStyle w:val="TableParagraph"/>
            </w:pPr>
          </w:p>
          <w:p w14:paraId="30C17064" w14:textId="77777777" w:rsidR="0046798B" w:rsidRDefault="0046798B">
            <w:pPr>
              <w:pStyle w:val="TableParagraph"/>
              <w:spacing w:before="8"/>
              <w:rPr>
                <w:sz w:val="21"/>
              </w:rPr>
            </w:pPr>
          </w:p>
          <w:p w14:paraId="08016E1E" w14:textId="77777777" w:rsidR="0046798B" w:rsidRDefault="00903B5C">
            <w:pPr>
              <w:pStyle w:val="TableParagraph"/>
              <w:spacing w:before="1"/>
              <w:ind w:left="114" w:right="85"/>
              <w:rPr>
                <w:sz w:val="20"/>
              </w:rPr>
            </w:pPr>
            <w:r>
              <w:rPr>
                <w:sz w:val="20"/>
              </w:rPr>
              <w:t>State has passed a law prohibiting discrimination in credit and lending practices</w:t>
            </w:r>
          </w:p>
        </w:tc>
        <w:tc>
          <w:tcPr>
            <w:tcW w:w="1285" w:type="dxa"/>
          </w:tcPr>
          <w:p w14:paraId="39EA3ACF" w14:textId="77777777" w:rsidR="0046798B" w:rsidRDefault="0046798B">
            <w:pPr>
              <w:pStyle w:val="TableParagraph"/>
            </w:pPr>
          </w:p>
          <w:p w14:paraId="69DEDCBB" w14:textId="77777777" w:rsidR="0046798B" w:rsidRDefault="0046798B">
            <w:pPr>
              <w:pStyle w:val="TableParagraph"/>
            </w:pPr>
          </w:p>
          <w:p w14:paraId="25C6E15B" w14:textId="77777777" w:rsidR="0046798B" w:rsidRDefault="0046798B">
            <w:pPr>
              <w:pStyle w:val="TableParagraph"/>
            </w:pPr>
          </w:p>
          <w:p w14:paraId="59C0175B" w14:textId="77777777" w:rsidR="0046798B" w:rsidRDefault="0046798B">
            <w:pPr>
              <w:pStyle w:val="TableParagraph"/>
              <w:spacing w:before="9"/>
              <w:rPr>
                <w:sz w:val="17"/>
              </w:rPr>
            </w:pPr>
          </w:p>
          <w:p w14:paraId="394CD9D9" w14:textId="77777777" w:rsidR="0046798B" w:rsidRDefault="00903B5C">
            <w:pPr>
              <w:pStyle w:val="TableParagraph"/>
              <w:ind w:left="114"/>
              <w:rPr>
                <w:sz w:val="20"/>
              </w:rPr>
            </w:pPr>
            <w:r>
              <w:rPr>
                <w:sz w:val="20"/>
              </w:rPr>
              <w:t>2019</w:t>
            </w:r>
          </w:p>
        </w:tc>
        <w:tc>
          <w:tcPr>
            <w:tcW w:w="3421" w:type="dxa"/>
          </w:tcPr>
          <w:p w14:paraId="544E20DD" w14:textId="77777777" w:rsidR="0046798B" w:rsidRDefault="00903B5C">
            <w:pPr>
              <w:pStyle w:val="TableParagraph"/>
              <w:spacing w:before="43"/>
              <w:ind w:left="114" w:right="187"/>
              <w:rPr>
                <w:sz w:val="20"/>
              </w:rPr>
            </w:pPr>
            <w:r>
              <w:rPr>
                <w:sz w:val="20"/>
              </w:rPr>
              <w:t>0 = state does not have any credit non- discrimination laws</w:t>
            </w:r>
          </w:p>
          <w:p w14:paraId="544F9F9E" w14:textId="77777777" w:rsidR="0046798B" w:rsidRDefault="00903B5C">
            <w:pPr>
              <w:pStyle w:val="TableParagraph"/>
              <w:ind w:left="114" w:right="610"/>
              <w:rPr>
                <w:sz w:val="20"/>
              </w:rPr>
            </w:pPr>
            <w:r>
              <w:rPr>
                <w:sz w:val="20"/>
              </w:rPr>
              <w:t>1 = the state has a credit non- discrimination law that applies to sexual orientation only (LGB)</w:t>
            </w:r>
          </w:p>
          <w:p w14:paraId="0DAB485E" w14:textId="77777777" w:rsidR="0046798B" w:rsidRDefault="00903B5C">
            <w:pPr>
              <w:pStyle w:val="TableParagraph"/>
              <w:spacing w:before="1"/>
              <w:ind w:left="114" w:right="119"/>
              <w:rPr>
                <w:sz w:val="20"/>
              </w:rPr>
            </w:pPr>
            <w:r>
              <w:rPr>
                <w:sz w:val="20"/>
              </w:rPr>
              <w:t>2 = the state has a credit non- discrimination law that applies to sexual orientation AND gender identity (LGBT)</w:t>
            </w:r>
          </w:p>
        </w:tc>
        <w:tc>
          <w:tcPr>
            <w:tcW w:w="6482" w:type="dxa"/>
          </w:tcPr>
          <w:p w14:paraId="7F03FB10" w14:textId="77777777" w:rsidR="0046798B" w:rsidRDefault="0046798B">
            <w:pPr>
              <w:pStyle w:val="TableParagraph"/>
            </w:pPr>
          </w:p>
          <w:p w14:paraId="56C38880" w14:textId="77777777" w:rsidR="0046798B" w:rsidRDefault="0046798B">
            <w:pPr>
              <w:pStyle w:val="TableParagraph"/>
            </w:pPr>
          </w:p>
          <w:p w14:paraId="265881B9" w14:textId="77777777" w:rsidR="0046798B" w:rsidRDefault="0046798B">
            <w:pPr>
              <w:pStyle w:val="TableParagraph"/>
              <w:spacing w:before="9"/>
              <w:rPr>
                <w:sz w:val="29"/>
              </w:rPr>
            </w:pPr>
          </w:p>
          <w:p w14:paraId="2C756D46" w14:textId="77777777" w:rsidR="0046798B" w:rsidRDefault="00903B5C">
            <w:pPr>
              <w:pStyle w:val="TableParagraph"/>
              <w:ind w:left="114" w:right="672"/>
              <w:rPr>
                <w:sz w:val="20"/>
              </w:rPr>
            </w:pPr>
            <w:r>
              <w:rPr>
                <w:sz w:val="20"/>
              </w:rPr>
              <w:t xml:space="preserve">Movement Advancement Project (MAP), “Non-Discrimination Laws.” </w:t>
            </w:r>
            <w:hyperlink r:id="rId886">
              <w:r>
                <w:rPr>
                  <w:color w:val="0462C1"/>
                  <w:sz w:val="20"/>
                  <w:u w:val="single" w:color="0462C1"/>
                </w:rPr>
                <w:t>http://www.lgbtmap.org/equality-maps/non_discrimination_laws</w:t>
              </w:r>
            </w:hyperlink>
          </w:p>
        </w:tc>
      </w:tr>
      <w:tr w:rsidR="0046798B" w14:paraId="3F7D520D" w14:textId="77777777">
        <w:trPr>
          <w:trHeight w:val="2621"/>
        </w:trPr>
        <w:tc>
          <w:tcPr>
            <w:tcW w:w="1711" w:type="dxa"/>
          </w:tcPr>
          <w:p w14:paraId="56891457" w14:textId="77777777" w:rsidR="0046798B" w:rsidRDefault="0046798B">
            <w:pPr>
              <w:pStyle w:val="TableParagraph"/>
            </w:pPr>
          </w:p>
          <w:p w14:paraId="63DE3455" w14:textId="77777777" w:rsidR="0046798B" w:rsidRDefault="0046798B">
            <w:pPr>
              <w:pStyle w:val="TableParagraph"/>
            </w:pPr>
          </w:p>
          <w:p w14:paraId="5E8A7BD7" w14:textId="77777777" w:rsidR="0046798B" w:rsidRDefault="0046798B">
            <w:pPr>
              <w:pStyle w:val="TableParagraph"/>
            </w:pPr>
          </w:p>
          <w:p w14:paraId="01BDD494" w14:textId="77777777" w:rsidR="0046798B" w:rsidRDefault="0046798B">
            <w:pPr>
              <w:pStyle w:val="TableParagraph"/>
              <w:spacing w:before="9"/>
              <w:rPr>
                <w:sz w:val="27"/>
              </w:rPr>
            </w:pPr>
          </w:p>
          <w:p w14:paraId="6A90F3B3" w14:textId="77777777" w:rsidR="0046798B" w:rsidRDefault="00903B5C">
            <w:pPr>
              <w:pStyle w:val="TableParagraph"/>
              <w:ind w:left="115"/>
              <w:rPr>
                <w:b/>
                <w:sz w:val="20"/>
              </w:rPr>
            </w:pPr>
            <w:r>
              <w:rPr>
                <w:b/>
                <w:w w:val="95"/>
                <w:sz w:val="20"/>
              </w:rPr>
              <w:t xml:space="preserve">ndl_state_emplo </w:t>
            </w:r>
            <w:r>
              <w:rPr>
                <w:b/>
                <w:sz w:val="20"/>
              </w:rPr>
              <w:t>yees</w:t>
            </w:r>
          </w:p>
        </w:tc>
        <w:tc>
          <w:tcPr>
            <w:tcW w:w="1596" w:type="dxa"/>
          </w:tcPr>
          <w:p w14:paraId="55E2143D" w14:textId="77777777" w:rsidR="0046798B" w:rsidRDefault="0046798B">
            <w:pPr>
              <w:pStyle w:val="TableParagraph"/>
            </w:pPr>
          </w:p>
          <w:p w14:paraId="5D2F3C74" w14:textId="77777777" w:rsidR="0046798B" w:rsidRDefault="0046798B">
            <w:pPr>
              <w:pStyle w:val="TableParagraph"/>
            </w:pPr>
          </w:p>
          <w:p w14:paraId="782F153D" w14:textId="77777777" w:rsidR="0046798B" w:rsidRDefault="0046798B">
            <w:pPr>
              <w:pStyle w:val="TableParagraph"/>
              <w:spacing w:before="9"/>
              <w:rPr>
                <w:sz w:val="19"/>
              </w:rPr>
            </w:pPr>
          </w:p>
          <w:p w14:paraId="414EC2F7" w14:textId="77777777" w:rsidR="0046798B" w:rsidRDefault="00903B5C">
            <w:pPr>
              <w:pStyle w:val="TableParagraph"/>
              <w:ind w:left="114" w:right="85"/>
              <w:rPr>
                <w:sz w:val="20"/>
              </w:rPr>
            </w:pPr>
            <w:r>
              <w:rPr>
                <w:sz w:val="20"/>
              </w:rPr>
              <w:t>State has passed a law prohibiting discrimination against state employees</w:t>
            </w:r>
          </w:p>
        </w:tc>
        <w:tc>
          <w:tcPr>
            <w:tcW w:w="1285" w:type="dxa"/>
          </w:tcPr>
          <w:p w14:paraId="059A56AD" w14:textId="77777777" w:rsidR="0046798B" w:rsidRDefault="0046798B">
            <w:pPr>
              <w:pStyle w:val="TableParagraph"/>
            </w:pPr>
          </w:p>
          <w:p w14:paraId="0CFBCF44" w14:textId="77777777" w:rsidR="0046798B" w:rsidRDefault="0046798B">
            <w:pPr>
              <w:pStyle w:val="TableParagraph"/>
            </w:pPr>
          </w:p>
          <w:p w14:paraId="334B21D2" w14:textId="77777777" w:rsidR="0046798B" w:rsidRDefault="0046798B">
            <w:pPr>
              <w:pStyle w:val="TableParagraph"/>
            </w:pPr>
          </w:p>
          <w:p w14:paraId="645D3F04" w14:textId="77777777" w:rsidR="0046798B" w:rsidRDefault="0046798B">
            <w:pPr>
              <w:pStyle w:val="TableParagraph"/>
            </w:pPr>
          </w:p>
          <w:p w14:paraId="68477277" w14:textId="77777777" w:rsidR="0046798B" w:rsidRDefault="00903B5C">
            <w:pPr>
              <w:pStyle w:val="TableParagraph"/>
              <w:spacing w:before="182"/>
              <w:ind w:left="114"/>
              <w:rPr>
                <w:sz w:val="20"/>
              </w:rPr>
            </w:pPr>
            <w:r>
              <w:rPr>
                <w:sz w:val="20"/>
              </w:rPr>
              <w:t>2019</w:t>
            </w:r>
          </w:p>
        </w:tc>
        <w:tc>
          <w:tcPr>
            <w:tcW w:w="3421" w:type="dxa"/>
          </w:tcPr>
          <w:p w14:paraId="17FF1C4B" w14:textId="77777777" w:rsidR="0046798B" w:rsidRDefault="00903B5C">
            <w:pPr>
              <w:pStyle w:val="TableParagraph"/>
              <w:spacing w:before="43"/>
              <w:ind w:left="114" w:right="427"/>
              <w:rPr>
                <w:sz w:val="20"/>
              </w:rPr>
            </w:pPr>
            <w:r>
              <w:rPr>
                <w:sz w:val="20"/>
              </w:rPr>
              <w:t>0 = state does not have any non- discrimination laws protecting state employees</w:t>
            </w:r>
          </w:p>
          <w:p w14:paraId="30ED33A7" w14:textId="77777777" w:rsidR="0046798B" w:rsidRDefault="00903B5C">
            <w:pPr>
              <w:pStyle w:val="TableParagraph"/>
              <w:ind w:left="114" w:right="276"/>
              <w:rPr>
                <w:sz w:val="20"/>
              </w:rPr>
            </w:pPr>
            <w:r>
              <w:rPr>
                <w:sz w:val="20"/>
              </w:rPr>
              <w:t>1 = the state has a non-discrimination law protecting state employees that applies to sexual orientation only (LGB)</w:t>
            </w:r>
          </w:p>
          <w:p w14:paraId="16E34F4F" w14:textId="77777777" w:rsidR="0046798B" w:rsidRDefault="00903B5C">
            <w:pPr>
              <w:pStyle w:val="TableParagraph"/>
              <w:spacing w:before="1"/>
              <w:ind w:left="114" w:right="276"/>
              <w:rPr>
                <w:sz w:val="20"/>
              </w:rPr>
            </w:pPr>
            <w:r>
              <w:rPr>
                <w:sz w:val="20"/>
              </w:rPr>
              <w:t>2 = the state has a non-discrimination law protecting state employees that applies to sexual orientation AND gender identity (LGBT)</w:t>
            </w:r>
          </w:p>
        </w:tc>
        <w:tc>
          <w:tcPr>
            <w:tcW w:w="6482" w:type="dxa"/>
          </w:tcPr>
          <w:p w14:paraId="296641AC" w14:textId="77777777" w:rsidR="0046798B" w:rsidRDefault="0046798B">
            <w:pPr>
              <w:pStyle w:val="TableParagraph"/>
            </w:pPr>
          </w:p>
          <w:p w14:paraId="52F23142" w14:textId="77777777" w:rsidR="0046798B" w:rsidRDefault="0046798B">
            <w:pPr>
              <w:pStyle w:val="TableParagraph"/>
            </w:pPr>
          </w:p>
          <w:p w14:paraId="30589FA6" w14:textId="77777777" w:rsidR="0046798B" w:rsidRDefault="0046798B">
            <w:pPr>
              <w:pStyle w:val="TableParagraph"/>
            </w:pPr>
          </w:p>
          <w:p w14:paraId="52F161A5" w14:textId="77777777" w:rsidR="0046798B" w:rsidRDefault="0046798B">
            <w:pPr>
              <w:pStyle w:val="TableParagraph"/>
              <w:spacing w:before="9"/>
              <w:rPr>
                <w:sz w:val="27"/>
              </w:rPr>
            </w:pPr>
          </w:p>
          <w:p w14:paraId="113BD594" w14:textId="77777777" w:rsidR="0046798B" w:rsidRDefault="00903B5C">
            <w:pPr>
              <w:pStyle w:val="TableParagraph"/>
              <w:ind w:left="114" w:right="672"/>
              <w:rPr>
                <w:sz w:val="20"/>
              </w:rPr>
            </w:pPr>
            <w:r>
              <w:rPr>
                <w:sz w:val="20"/>
              </w:rPr>
              <w:t xml:space="preserve">Movement Advancement Project (MAP), “Non-Discrimination Laws.” </w:t>
            </w:r>
            <w:hyperlink r:id="rId887">
              <w:r>
                <w:rPr>
                  <w:color w:val="0462C1"/>
                  <w:sz w:val="20"/>
                  <w:u w:val="single" w:color="0462C1"/>
                </w:rPr>
                <w:t>http://www.lgbtmap.org/equality-maps/non_discrimination_laws</w:t>
              </w:r>
            </w:hyperlink>
          </w:p>
        </w:tc>
      </w:tr>
    </w:tbl>
    <w:p w14:paraId="45C19AE8" w14:textId="77777777" w:rsidR="0046798B" w:rsidRDefault="0046798B">
      <w:pPr>
        <w:rPr>
          <w:sz w:val="20"/>
        </w:rPr>
        <w:sectPr w:rsidR="0046798B">
          <w:pgSz w:w="15840" w:h="12240" w:orient="landscape"/>
          <w:pgMar w:top="1220" w:right="300" w:bottom="980" w:left="820" w:header="730" w:footer="787" w:gutter="0"/>
          <w:cols w:space="720"/>
        </w:sectPr>
      </w:pPr>
    </w:p>
    <w:p w14:paraId="2F609C7C" w14:textId="77777777" w:rsidR="0046798B" w:rsidRDefault="0046798B">
      <w:pPr>
        <w:pStyle w:val="BodyText"/>
        <w:spacing w:before="0"/>
        <w:rPr>
          <w:sz w:val="20"/>
        </w:rPr>
      </w:pPr>
    </w:p>
    <w:p w14:paraId="28601199" w14:textId="77777777" w:rsidR="0046798B" w:rsidRDefault="0046798B">
      <w:pPr>
        <w:pStyle w:val="BodyText"/>
        <w:rPr>
          <w:sz w:val="22"/>
        </w:rPr>
      </w:pPr>
    </w:p>
    <w:p w14:paraId="088FD82D" w14:textId="77777777" w:rsidR="0046798B" w:rsidRDefault="00903B5C">
      <w:pPr>
        <w:pStyle w:val="ListParagraph"/>
        <w:numPr>
          <w:ilvl w:val="0"/>
          <w:numId w:val="4"/>
        </w:numPr>
        <w:tabs>
          <w:tab w:val="left" w:pos="916"/>
        </w:tabs>
        <w:ind w:left="915" w:hanging="295"/>
        <w:rPr>
          <w:b/>
          <w:sz w:val="24"/>
        </w:rPr>
      </w:pPr>
      <w:r>
        <w:rPr>
          <w:b/>
          <w:sz w:val="24"/>
          <w:u w:val="single"/>
        </w:rPr>
        <w:t>Racial Anti-Discrimination</w:t>
      </w:r>
      <w:r>
        <w:rPr>
          <w:b/>
          <w:spacing w:val="-2"/>
          <w:sz w:val="24"/>
          <w:u w:val="single"/>
        </w:rPr>
        <w:t xml:space="preserve"> </w:t>
      </w:r>
      <w:r>
        <w:rPr>
          <w:b/>
          <w:sz w:val="24"/>
          <w:u w:val="single"/>
        </w:rPr>
        <w:t>Laws</w:t>
      </w:r>
    </w:p>
    <w:p w14:paraId="1164F5AA" w14:textId="77777777" w:rsidR="0046798B" w:rsidRDefault="0046798B">
      <w:pPr>
        <w:pStyle w:val="BodyText"/>
        <w:spacing w:before="2" w:after="1"/>
        <w:rPr>
          <w:b/>
          <w:sz w:val="24"/>
        </w:rPr>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738C3290" w14:textId="77777777">
        <w:trPr>
          <w:trHeight w:val="590"/>
        </w:trPr>
        <w:tc>
          <w:tcPr>
            <w:tcW w:w="1711" w:type="dxa"/>
          </w:tcPr>
          <w:p w14:paraId="693140E3" w14:textId="77777777" w:rsidR="0046798B" w:rsidRDefault="00903B5C">
            <w:pPr>
              <w:pStyle w:val="TableParagraph"/>
              <w:spacing w:before="164"/>
              <w:ind w:left="140"/>
              <w:rPr>
                <w:b/>
              </w:rPr>
            </w:pPr>
            <w:r>
              <w:rPr>
                <w:b/>
              </w:rPr>
              <w:t>Variable Name</w:t>
            </w:r>
          </w:p>
        </w:tc>
        <w:tc>
          <w:tcPr>
            <w:tcW w:w="1596" w:type="dxa"/>
          </w:tcPr>
          <w:p w14:paraId="21934545" w14:textId="77777777" w:rsidR="0046798B" w:rsidRDefault="00903B5C">
            <w:pPr>
              <w:pStyle w:val="TableParagraph"/>
              <w:spacing w:before="41" w:line="237" w:lineRule="auto"/>
              <w:ind w:left="249" w:right="229" w:firstLine="280"/>
              <w:rPr>
                <w:b/>
              </w:rPr>
            </w:pPr>
            <w:r>
              <w:rPr>
                <w:b/>
              </w:rPr>
              <w:t>Short Description</w:t>
            </w:r>
          </w:p>
        </w:tc>
        <w:tc>
          <w:tcPr>
            <w:tcW w:w="1285" w:type="dxa"/>
          </w:tcPr>
          <w:p w14:paraId="29D524C3" w14:textId="77777777" w:rsidR="0046798B" w:rsidRDefault="00903B5C">
            <w:pPr>
              <w:pStyle w:val="TableParagraph"/>
              <w:spacing w:before="164"/>
              <w:ind w:left="364"/>
              <w:rPr>
                <w:b/>
              </w:rPr>
            </w:pPr>
            <w:r>
              <w:rPr>
                <w:b/>
              </w:rPr>
              <w:t>Years</w:t>
            </w:r>
          </w:p>
        </w:tc>
        <w:tc>
          <w:tcPr>
            <w:tcW w:w="3421" w:type="dxa"/>
          </w:tcPr>
          <w:p w14:paraId="70F00542" w14:textId="77777777" w:rsidR="0046798B" w:rsidRDefault="00903B5C">
            <w:pPr>
              <w:pStyle w:val="TableParagraph"/>
              <w:spacing w:before="39" w:line="251" w:lineRule="exact"/>
              <w:ind w:left="159" w:right="146"/>
              <w:jc w:val="center"/>
              <w:rPr>
                <w:b/>
              </w:rPr>
            </w:pPr>
            <w:r>
              <w:rPr>
                <w:b/>
              </w:rPr>
              <w:t>Coding /</w:t>
            </w:r>
          </w:p>
          <w:p w14:paraId="4306AC90" w14:textId="77777777" w:rsidR="0046798B" w:rsidRDefault="00903B5C">
            <w:pPr>
              <w:pStyle w:val="TableParagraph"/>
              <w:spacing w:line="251" w:lineRule="exact"/>
              <w:ind w:left="159" w:right="150"/>
              <w:jc w:val="center"/>
              <w:rPr>
                <w:b/>
              </w:rPr>
            </w:pPr>
            <w:r>
              <w:rPr>
                <w:b/>
              </w:rPr>
              <w:t>Longer Description (if available)</w:t>
            </w:r>
          </w:p>
        </w:tc>
        <w:tc>
          <w:tcPr>
            <w:tcW w:w="6482" w:type="dxa"/>
          </w:tcPr>
          <w:p w14:paraId="7216E641" w14:textId="77777777" w:rsidR="0046798B" w:rsidRDefault="00903B5C">
            <w:pPr>
              <w:pStyle w:val="TableParagraph"/>
              <w:spacing w:before="164"/>
              <w:ind w:left="2852" w:right="2845"/>
              <w:jc w:val="center"/>
              <w:rPr>
                <w:b/>
              </w:rPr>
            </w:pPr>
            <w:r>
              <w:rPr>
                <w:b/>
              </w:rPr>
              <w:t>Sources</w:t>
            </w:r>
          </w:p>
        </w:tc>
      </w:tr>
      <w:tr w:rsidR="0046798B" w14:paraId="38C7FA2D" w14:textId="77777777">
        <w:trPr>
          <w:trHeight w:val="1466"/>
        </w:trPr>
        <w:tc>
          <w:tcPr>
            <w:tcW w:w="1711" w:type="dxa"/>
          </w:tcPr>
          <w:p w14:paraId="647CAE54" w14:textId="77777777" w:rsidR="0046798B" w:rsidRDefault="0046798B">
            <w:pPr>
              <w:pStyle w:val="TableParagraph"/>
              <w:rPr>
                <w:b/>
              </w:rPr>
            </w:pPr>
          </w:p>
          <w:p w14:paraId="1E38BBA3" w14:textId="77777777" w:rsidR="0046798B" w:rsidRDefault="0046798B">
            <w:pPr>
              <w:pStyle w:val="TableParagraph"/>
              <w:spacing w:before="9"/>
              <w:rPr>
                <w:b/>
                <w:sz w:val="21"/>
              </w:rPr>
            </w:pPr>
          </w:p>
          <w:p w14:paraId="01831E02" w14:textId="77777777" w:rsidR="0046798B" w:rsidRDefault="00903B5C">
            <w:pPr>
              <w:pStyle w:val="TableParagraph"/>
              <w:ind w:left="115" w:right="99"/>
              <w:rPr>
                <w:b/>
                <w:sz w:val="20"/>
              </w:rPr>
            </w:pPr>
            <w:r>
              <w:rPr>
                <w:b/>
                <w:sz w:val="20"/>
              </w:rPr>
              <w:t>anti_discriminati on</w:t>
            </w:r>
          </w:p>
        </w:tc>
        <w:tc>
          <w:tcPr>
            <w:tcW w:w="1596" w:type="dxa"/>
          </w:tcPr>
          <w:p w14:paraId="1E22D246" w14:textId="77777777" w:rsidR="0046798B" w:rsidRDefault="00903B5C">
            <w:pPr>
              <w:pStyle w:val="TableParagraph"/>
              <w:spacing w:before="159"/>
              <w:ind w:left="114" w:right="163"/>
              <w:rPr>
                <w:sz w:val="20"/>
              </w:rPr>
            </w:pPr>
            <w:r>
              <w:rPr>
                <w:sz w:val="20"/>
              </w:rPr>
              <w:t>Anti- discrimination law (later updated in 1995 law)</w:t>
            </w:r>
          </w:p>
        </w:tc>
        <w:tc>
          <w:tcPr>
            <w:tcW w:w="1285" w:type="dxa"/>
          </w:tcPr>
          <w:p w14:paraId="38E98CF7" w14:textId="77777777" w:rsidR="0046798B" w:rsidRDefault="0046798B">
            <w:pPr>
              <w:pStyle w:val="TableParagraph"/>
              <w:rPr>
                <w:b/>
              </w:rPr>
            </w:pPr>
          </w:p>
          <w:p w14:paraId="72D1B449" w14:textId="77777777" w:rsidR="0046798B" w:rsidRDefault="0046798B">
            <w:pPr>
              <w:pStyle w:val="TableParagraph"/>
              <w:spacing w:before="9"/>
              <w:rPr>
                <w:b/>
                <w:sz w:val="31"/>
              </w:rPr>
            </w:pPr>
          </w:p>
          <w:p w14:paraId="71FE40DD" w14:textId="77777777" w:rsidR="0046798B" w:rsidRDefault="00903B5C">
            <w:pPr>
              <w:pStyle w:val="TableParagraph"/>
              <w:ind w:left="114"/>
              <w:rPr>
                <w:sz w:val="20"/>
              </w:rPr>
            </w:pPr>
            <w:r>
              <w:rPr>
                <w:sz w:val="20"/>
              </w:rPr>
              <w:t>1968–1970</w:t>
            </w:r>
          </w:p>
        </w:tc>
        <w:tc>
          <w:tcPr>
            <w:tcW w:w="3421" w:type="dxa"/>
          </w:tcPr>
          <w:p w14:paraId="420B514D" w14:textId="77777777" w:rsidR="0046798B" w:rsidRDefault="0046798B">
            <w:pPr>
              <w:pStyle w:val="TableParagraph"/>
              <w:rPr>
                <w:b/>
              </w:rPr>
            </w:pPr>
          </w:p>
          <w:p w14:paraId="473AC9EB" w14:textId="77777777" w:rsidR="0046798B" w:rsidRDefault="0046798B">
            <w:pPr>
              <w:pStyle w:val="TableParagraph"/>
              <w:spacing w:before="9"/>
              <w:rPr>
                <w:b/>
                <w:sz w:val="21"/>
              </w:rPr>
            </w:pPr>
          </w:p>
          <w:p w14:paraId="35611922" w14:textId="77777777" w:rsidR="0046798B" w:rsidRDefault="00903B5C">
            <w:pPr>
              <w:pStyle w:val="TableParagraph"/>
              <w:ind w:left="114" w:right="1475"/>
              <w:rPr>
                <w:sz w:val="20"/>
              </w:rPr>
            </w:pPr>
            <w:r>
              <w:rPr>
                <w:sz w:val="20"/>
              </w:rPr>
              <w:t>0 = policy not adopted 1 = policy adopted</w:t>
            </w:r>
          </w:p>
        </w:tc>
        <w:tc>
          <w:tcPr>
            <w:tcW w:w="6482" w:type="dxa"/>
          </w:tcPr>
          <w:p w14:paraId="690E023E" w14:textId="77777777" w:rsidR="0046798B" w:rsidRDefault="00903B5C">
            <w:pPr>
              <w:pStyle w:val="TableParagraph"/>
              <w:spacing w:before="44"/>
              <w:ind w:left="114"/>
              <w:rPr>
                <w:sz w:val="20"/>
              </w:rPr>
            </w:pPr>
            <w:r>
              <w:rPr>
                <w:sz w:val="20"/>
              </w:rPr>
              <w:t xml:space="preserve">Uniform Law Commission website: </w:t>
            </w:r>
            <w:hyperlink r:id="rId888">
              <w:r>
                <w:rPr>
                  <w:color w:val="0462C1"/>
                  <w:sz w:val="20"/>
                  <w:u w:val="single" w:color="0462C1"/>
                </w:rPr>
                <w:t>http://www.uniformlaws.org/</w:t>
              </w:r>
            </w:hyperlink>
          </w:p>
          <w:p w14:paraId="5978FD02" w14:textId="77777777" w:rsidR="0046798B" w:rsidRDefault="0046798B">
            <w:pPr>
              <w:pStyle w:val="TableParagraph"/>
              <w:spacing w:before="11"/>
              <w:rPr>
                <w:b/>
                <w:sz w:val="19"/>
              </w:rPr>
            </w:pPr>
          </w:p>
          <w:p w14:paraId="118F1291"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6D89F97E" w14:textId="77777777">
        <w:trPr>
          <w:trHeight w:val="775"/>
        </w:trPr>
        <w:tc>
          <w:tcPr>
            <w:tcW w:w="1711" w:type="dxa"/>
          </w:tcPr>
          <w:p w14:paraId="6AD55E59" w14:textId="77777777" w:rsidR="0046798B" w:rsidRDefault="0046798B">
            <w:pPr>
              <w:pStyle w:val="TableParagraph"/>
              <w:spacing w:before="8"/>
              <w:rPr>
                <w:b/>
                <w:sz w:val="23"/>
              </w:rPr>
            </w:pPr>
          </w:p>
          <w:p w14:paraId="1691598C" w14:textId="77777777" w:rsidR="0046798B" w:rsidRDefault="00903B5C">
            <w:pPr>
              <w:pStyle w:val="TableParagraph"/>
              <w:spacing w:before="1"/>
              <w:ind w:left="115"/>
              <w:rPr>
                <w:b/>
                <w:sz w:val="20"/>
              </w:rPr>
            </w:pPr>
            <w:r>
              <w:rPr>
                <w:b/>
                <w:sz w:val="20"/>
              </w:rPr>
              <w:t>antimis</w:t>
            </w:r>
          </w:p>
        </w:tc>
        <w:tc>
          <w:tcPr>
            <w:tcW w:w="1596" w:type="dxa"/>
          </w:tcPr>
          <w:p w14:paraId="612501D6" w14:textId="77777777" w:rsidR="0046798B" w:rsidRDefault="00903B5C">
            <w:pPr>
              <w:pStyle w:val="TableParagraph"/>
              <w:spacing w:before="43"/>
              <w:ind w:left="114" w:right="296"/>
              <w:rPr>
                <w:sz w:val="20"/>
              </w:rPr>
            </w:pPr>
            <w:r>
              <w:rPr>
                <w:sz w:val="20"/>
              </w:rPr>
              <w:t>Anti- miscegenation laws</w:t>
            </w:r>
          </w:p>
        </w:tc>
        <w:tc>
          <w:tcPr>
            <w:tcW w:w="1285" w:type="dxa"/>
          </w:tcPr>
          <w:p w14:paraId="63C44E80" w14:textId="77777777" w:rsidR="0046798B" w:rsidRDefault="0046798B">
            <w:pPr>
              <w:pStyle w:val="TableParagraph"/>
              <w:spacing w:before="8"/>
              <w:rPr>
                <w:b/>
                <w:sz w:val="23"/>
              </w:rPr>
            </w:pPr>
          </w:p>
          <w:p w14:paraId="7D046395" w14:textId="77777777" w:rsidR="0046798B" w:rsidRDefault="00903B5C">
            <w:pPr>
              <w:pStyle w:val="TableParagraph"/>
              <w:spacing w:before="1"/>
              <w:ind w:left="114"/>
              <w:rPr>
                <w:sz w:val="20"/>
              </w:rPr>
            </w:pPr>
            <w:r>
              <w:rPr>
                <w:sz w:val="20"/>
              </w:rPr>
              <w:t>1900–1913</w:t>
            </w:r>
          </w:p>
        </w:tc>
        <w:tc>
          <w:tcPr>
            <w:tcW w:w="3421" w:type="dxa"/>
          </w:tcPr>
          <w:p w14:paraId="2C6D383A" w14:textId="77777777" w:rsidR="0046798B" w:rsidRDefault="00903B5C">
            <w:pPr>
              <w:pStyle w:val="TableParagraph"/>
              <w:spacing w:before="158"/>
              <w:ind w:left="114" w:right="1475"/>
              <w:rPr>
                <w:sz w:val="20"/>
              </w:rPr>
            </w:pPr>
            <w:r>
              <w:rPr>
                <w:sz w:val="20"/>
              </w:rPr>
              <w:t>0 = policy not adopted 1 = policy adopted</w:t>
            </w:r>
          </w:p>
        </w:tc>
        <w:tc>
          <w:tcPr>
            <w:tcW w:w="6482" w:type="dxa"/>
          </w:tcPr>
          <w:p w14:paraId="7512CE87" w14:textId="77777777" w:rsidR="0046798B" w:rsidRDefault="00903B5C">
            <w:pPr>
              <w:pStyle w:val="TableParagraph"/>
              <w:spacing w:before="15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567F5122" w14:textId="77777777">
        <w:trPr>
          <w:trHeight w:val="780"/>
        </w:trPr>
        <w:tc>
          <w:tcPr>
            <w:tcW w:w="1711" w:type="dxa"/>
          </w:tcPr>
          <w:p w14:paraId="613538B4" w14:textId="77777777" w:rsidR="0046798B" w:rsidRDefault="0046798B">
            <w:pPr>
              <w:pStyle w:val="TableParagraph"/>
              <w:spacing w:before="9"/>
              <w:rPr>
                <w:b/>
                <w:sz w:val="23"/>
              </w:rPr>
            </w:pPr>
          </w:p>
          <w:p w14:paraId="51CD3AD0" w14:textId="77777777" w:rsidR="0046798B" w:rsidRDefault="00903B5C">
            <w:pPr>
              <w:pStyle w:val="TableParagraph"/>
              <w:ind w:left="115"/>
              <w:rPr>
                <w:b/>
                <w:sz w:val="20"/>
              </w:rPr>
            </w:pPr>
            <w:r>
              <w:rPr>
                <w:b/>
                <w:sz w:val="20"/>
              </w:rPr>
              <w:t>fhpriv</w:t>
            </w:r>
          </w:p>
        </w:tc>
        <w:tc>
          <w:tcPr>
            <w:tcW w:w="1596" w:type="dxa"/>
          </w:tcPr>
          <w:p w14:paraId="49562D35" w14:textId="77777777" w:rsidR="0046798B" w:rsidRDefault="00903B5C">
            <w:pPr>
              <w:pStyle w:val="TableParagraph"/>
              <w:spacing w:before="43"/>
              <w:ind w:left="114" w:right="446"/>
              <w:rPr>
                <w:sz w:val="20"/>
              </w:rPr>
            </w:pPr>
            <w:r>
              <w:rPr>
                <w:sz w:val="20"/>
              </w:rPr>
              <w:t>Fair housing (private housing)</w:t>
            </w:r>
          </w:p>
        </w:tc>
        <w:tc>
          <w:tcPr>
            <w:tcW w:w="1285" w:type="dxa"/>
          </w:tcPr>
          <w:p w14:paraId="0A111676" w14:textId="77777777" w:rsidR="0046798B" w:rsidRDefault="0046798B">
            <w:pPr>
              <w:pStyle w:val="TableParagraph"/>
              <w:spacing w:before="9"/>
              <w:rPr>
                <w:b/>
                <w:sz w:val="23"/>
              </w:rPr>
            </w:pPr>
          </w:p>
          <w:p w14:paraId="4C9755ED" w14:textId="77777777" w:rsidR="0046798B" w:rsidRDefault="00903B5C">
            <w:pPr>
              <w:pStyle w:val="TableParagraph"/>
              <w:ind w:left="114"/>
              <w:rPr>
                <w:sz w:val="20"/>
              </w:rPr>
            </w:pPr>
            <w:r>
              <w:rPr>
                <w:sz w:val="20"/>
              </w:rPr>
              <w:t>1959–1965</w:t>
            </w:r>
          </w:p>
        </w:tc>
        <w:tc>
          <w:tcPr>
            <w:tcW w:w="3421" w:type="dxa"/>
          </w:tcPr>
          <w:p w14:paraId="64C8539D" w14:textId="77777777" w:rsidR="0046798B" w:rsidRDefault="00903B5C">
            <w:pPr>
              <w:pStyle w:val="TableParagraph"/>
              <w:spacing w:before="158"/>
              <w:ind w:left="114" w:right="355"/>
              <w:rPr>
                <w:sz w:val="20"/>
              </w:rPr>
            </w:pPr>
            <w:r>
              <w:rPr>
                <w:sz w:val="20"/>
              </w:rPr>
              <w:t>Did state adopt fair housing laws for private housing? (0 = no, 1 = yes)</w:t>
            </w:r>
          </w:p>
        </w:tc>
        <w:tc>
          <w:tcPr>
            <w:tcW w:w="6482" w:type="dxa"/>
          </w:tcPr>
          <w:p w14:paraId="743CAB2A" w14:textId="77777777" w:rsidR="0046798B" w:rsidRDefault="00903B5C">
            <w:pPr>
              <w:pStyle w:val="TableParagraph"/>
              <w:spacing w:before="15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315C263B" w14:textId="77777777">
        <w:trPr>
          <w:trHeight w:val="545"/>
        </w:trPr>
        <w:tc>
          <w:tcPr>
            <w:tcW w:w="1711" w:type="dxa"/>
          </w:tcPr>
          <w:p w14:paraId="6D586E53" w14:textId="77777777" w:rsidR="0046798B" w:rsidRDefault="00903B5C">
            <w:pPr>
              <w:pStyle w:val="TableParagraph"/>
              <w:spacing w:before="153"/>
              <w:ind w:left="115"/>
              <w:rPr>
                <w:b/>
                <w:sz w:val="20"/>
              </w:rPr>
            </w:pPr>
            <w:r>
              <w:rPr>
                <w:b/>
                <w:sz w:val="20"/>
              </w:rPr>
              <w:t>fhpub</w:t>
            </w:r>
          </w:p>
        </w:tc>
        <w:tc>
          <w:tcPr>
            <w:tcW w:w="1596" w:type="dxa"/>
          </w:tcPr>
          <w:p w14:paraId="748D5259" w14:textId="77777777" w:rsidR="0046798B" w:rsidRDefault="00903B5C">
            <w:pPr>
              <w:pStyle w:val="TableParagraph"/>
              <w:spacing w:before="38"/>
              <w:ind w:left="114" w:right="135"/>
              <w:rPr>
                <w:sz w:val="20"/>
              </w:rPr>
            </w:pPr>
            <w:r>
              <w:rPr>
                <w:sz w:val="20"/>
              </w:rPr>
              <w:t>Fair housing (public housing)</w:t>
            </w:r>
          </w:p>
        </w:tc>
        <w:tc>
          <w:tcPr>
            <w:tcW w:w="1285" w:type="dxa"/>
          </w:tcPr>
          <w:p w14:paraId="6C9D0542" w14:textId="77777777" w:rsidR="0046798B" w:rsidRDefault="00903B5C">
            <w:pPr>
              <w:pStyle w:val="TableParagraph"/>
              <w:spacing w:before="153"/>
              <w:ind w:left="114"/>
              <w:rPr>
                <w:sz w:val="20"/>
              </w:rPr>
            </w:pPr>
            <w:r>
              <w:rPr>
                <w:sz w:val="20"/>
              </w:rPr>
              <w:t>1937–1961</w:t>
            </w:r>
          </w:p>
        </w:tc>
        <w:tc>
          <w:tcPr>
            <w:tcW w:w="3421" w:type="dxa"/>
          </w:tcPr>
          <w:p w14:paraId="5EDFA897" w14:textId="77777777" w:rsidR="0046798B" w:rsidRDefault="00903B5C">
            <w:pPr>
              <w:pStyle w:val="TableParagraph"/>
              <w:spacing w:before="38"/>
              <w:ind w:left="114" w:right="355"/>
              <w:rPr>
                <w:sz w:val="20"/>
              </w:rPr>
            </w:pPr>
            <w:r>
              <w:rPr>
                <w:sz w:val="20"/>
              </w:rPr>
              <w:t>Did state adopt fair housing laws for public housing? (0 = no, 1 = yes)</w:t>
            </w:r>
          </w:p>
        </w:tc>
        <w:tc>
          <w:tcPr>
            <w:tcW w:w="6482" w:type="dxa"/>
          </w:tcPr>
          <w:p w14:paraId="45538D2F" w14:textId="77777777" w:rsidR="0046798B" w:rsidRDefault="00903B5C">
            <w:pPr>
              <w:pStyle w:val="TableParagraph"/>
              <w:spacing w:before="3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6D1F1209" w14:textId="77777777">
        <w:trPr>
          <w:trHeight w:val="775"/>
        </w:trPr>
        <w:tc>
          <w:tcPr>
            <w:tcW w:w="1711" w:type="dxa"/>
          </w:tcPr>
          <w:p w14:paraId="37337D53" w14:textId="77777777" w:rsidR="0046798B" w:rsidRDefault="0046798B">
            <w:pPr>
              <w:pStyle w:val="TableParagraph"/>
              <w:spacing w:before="4"/>
              <w:rPr>
                <w:b/>
                <w:sz w:val="23"/>
              </w:rPr>
            </w:pPr>
          </w:p>
          <w:p w14:paraId="4D5BB577" w14:textId="77777777" w:rsidR="0046798B" w:rsidRDefault="00903B5C">
            <w:pPr>
              <w:pStyle w:val="TableParagraph"/>
              <w:ind w:left="115"/>
              <w:rPr>
                <w:b/>
                <w:sz w:val="20"/>
              </w:rPr>
            </w:pPr>
            <w:r>
              <w:rPr>
                <w:b/>
                <w:sz w:val="20"/>
              </w:rPr>
              <w:t>fhurb</w:t>
            </w:r>
          </w:p>
        </w:tc>
        <w:tc>
          <w:tcPr>
            <w:tcW w:w="1596" w:type="dxa"/>
          </w:tcPr>
          <w:p w14:paraId="524D67AD" w14:textId="77777777" w:rsidR="0046798B" w:rsidRDefault="00903B5C">
            <w:pPr>
              <w:pStyle w:val="TableParagraph"/>
              <w:spacing w:before="38"/>
              <w:ind w:left="114" w:right="247"/>
              <w:rPr>
                <w:sz w:val="20"/>
              </w:rPr>
            </w:pPr>
            <w:r>
              <w:rPr>
                <w:sz w:val="20"/>
              </w:rPr>
              <w:t>Fair housing (urban renewal areas)</w:t>
            </w:r>
          </w:p>
        </w:tc>
        <w:tc>
          <w:tcPr>
            <w:tcW w:w="1285" w:type="dxa"/>
          </w:tcPr>
          <w:p w14:paraId="7E8F42B1" w14:textId="77777777" w:rsidR="0046798B" w:rsidRDefault="0046798B">
            <w:pPr>
              <w:pStyle w:val="TableParagraph"/>
              <w:spacing w:before="4"/>
              <w:rPr>
                <w:b/>
                <w:sz w:val="23"/>
              </w:rPr>
            </w:pPr>
          </w:p>
          <w:p w14:paraId="58FE8140" w14:textId="77777777" w:rsidR="0046798B" w:rsidRDefault="00903B5C">
            <w:pPr>
              <w:pStyle w:val="TableParagraph"/>
              <w:ind w:left="114"/>
              <w:rPr>
                <w:sz w:val="20"/>
              </w:rPr>
            </w:pPr>
            <w:r>
              <w:rPr>
                <w:sz w:val="20"/>
              </w:rPr>
              <w:t>1945–1963</w:t>
            </w:r>
          </w:p>
        </w:tc>
        <w:tc>
          <w:tcPr>
            <w:tcW w:w="3421" w:type="dxa"/>
          </w:tcPr>
          <w:p w14:paraId="36B16551" w14:textId="77777777" w:rsidR="0046798B" w:rsidRDefault="00903B5C">
            <w:pPr>
              <w:pStyle w:val="TableParagraph"/>
              <w:spacing w:before="154"/>
              <w:ind w:left="114" w:right="213"/>
              <w:rPr>
                <w:sz w:val="20"/>
              </w:rPr>
            </w:pPr>
            <w:r>
              <w:rPr>
                <w:sz w:val="20"/>
              </w:rPr>
              <w:t>Did state adopt fair housing laws for urban renewal areas? (0 = no, 1 = yes)</w:t>
            </w:r>
          </w:p>
        </w:tc>
        <w:tc>
          <w:tcPr>
            <w:tcW w:w="6482" w:type="dxa"/>
          </w:tcPr>
          <w:p w14:paraId="4E88B1F0" w14:textId="77777777" w:rsidR="0046798B" w:rsidRDefault="00903B5C">
            <w:pPr>
              <w:pStyle w:val="TableParagraph"/>
              <w:spacing w:before="154"/>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62DC7BCB" w14:textId="77777777">
        <w:trPr>
          <w:trHeight w:val="2155"/>
        </w:trPr>
        <w:tc>
          <w:tcPr>
            <w:tcW w:w="1711" w:type="dxa"/>
          </w:tcPr>
          <w:p w14:paraId="5C03D8E8" w14:textId="77777777" w:rsidR="0046798B" w:rsidRDefault="0046798B">
            <w:pPr>
              <w:pStyle w:val="TableParagraph"/>
              <w:rPr>
                <w:b/>
              </w:rPr>
            </w:pPr>
          </w:p>
          <w:p w14:paraId="1AA51D04" w14:textId="77777777" w:rsidR="0046798B" w:rsidRDefault="0046798B">
            <w:pPr>
              <w:pStyle w:val="TableParagraph"/>
              <w:rPr>
                <w:b/>
              </w:rPr>
            </w:pPr>
          </w:p>
          <w:p w14:paraId="4B56E909" w14:textId="77777777" w:rsidR="0046798B" w:rsidRDefault="0046798B">
            <w:pPr>
              <w:pStyle w:val="TableParagraph"/>
              <w:rPr>
                <w:b/>
              </w:rPr>
            </w:pPr>
          </w:p>
          <w:p w14:paraId="6036DC27" w14:textId="77777777" w:rsidR="0046798B" w:rsidRDefault="0046798B">
            <w:pPr>
              <w:pStyle w:val="TableParagraph"/>
              <w:spacing w:before="4"/>
              <w:rPr>
                <w:b/>
                <w:sz w:val="17"/>
              </w:rPr>
            </w:pPr>
          </w:p>
          <w:p w14:paraId="33A8B4DC" w14:textId="77777777" w:rsidR="0046798B" w:rsidRDefault="00903B5C">
            <w:pPr>
              <w:pStyle w:val="TableParagraph"/>
              <w:ind w:left="115"/>
              <w:rPr>
                <w:b/>
                <w:sz w:val="20"/>
              </w:rPr>
            </w:pPr>
            <w:r>
              <w:rPr>
                <w:b/>
                <w:sz w:val="20"/>
              </w:rPr>
              <w:t>segoss</w:t>
            </w:r>
          </w:p>
        </w:tc>
        <w:tc>
          <w:tcPr>
            <w:tcW w:w="1596" w:type="dxa"/>
          </w:tcPr>
          <w:p w14:paraId="6A2F3CF4" w14:textId="77777777" w:rsidR="0046798B" w:rsidRDefault="00903B5C">
            <w:pPr>
              <w:pStyle w:val="TableParagraph"/>
              <w:spacing w:before="43"/>
              <w:ind w:left="114" w:right="134"/>
              <w:rPr>
                <w:sz w:val="20"/>
              </w:rPr>
            </w:pPr>
            <w:r>
              <w:rPr>
                <w:sz w:val="20"/>
              </w:rPr>
              <w:t>Provisions by the states maintaining segregated educational systems for out- of-state study by African- Americans</w:t>
            </w:r>
          </w:p>
        </w:tc>
        <w:tc>
          <w:tcPr>
            <w:tcW w:w="1285" w:type="dxa"/>
          </w:tcPr>
          <w:p w14:paraId="31423F19" w14:textId="77777777" w:rsidR="0046798B" w:rsidRDefault="0046798B">
            <w:pPr>
              <w:pStyle w:val="TableParagraph"/>
              <w:rPr>
                <w:b/>
              </w:rPr>
            </w:pPr>
          </w:p>
          <w:p w14:paraId="557B6F7B" w14:textId="77777777" w:rsidR="0046798B" w:rsidRDefault="0046798B">
            <w:pPr>
              <w:pStyle w:val="TableParagraph"/>
              <w:rPr>
                <w:b/>
              </w:rPr>
            </w:pPr>
          </w:p>
          <w:p w14:paraId="7B70B3DF" w14:textId="77777777" w:rsidR="0046798B" w:rsidRDefault="0046798B">
            <w:pPr>
              <w:pStyle w:val="TableParagraph"/>
              <w:rPr>
                <w:b/>
              </w:rPr>
            </w:pPr>
          </w:p>
          <w:p w14:paraId="2DB16B52" w14:textId="77777777" w:rsidR="0046798B" w:rsidRDefault="0046798B">
            <w:pPr>
              <w:pStyle w:val="TableParagraph"/>
              <w:spacing w:before="4"/>
              <w:rPr>
                <w:b/>
                <w:sz w:val="17"/>
              </w:rPr>
            </w:pPr>
          </w:p>
          <w:p w14:paraId="0A6F05A1" w14:textId="77777777" w:rsidR="0046798B" w:rsidRDefault="00903B5C">
            <w:pPr>
              <w:pStyle w:val="TableParagraph"/>
              <w:ind w:left="114"/>
              <w:rPr>
                <w:sz w:val="20"/>
              </w:rPr>
            </w:pPr>
            <w:r>
              <w:rPr>
                <w:sz w:val="20"/>
              </w:rPr>
              <w:t>1927–1943</w:t>
            </w:r>
          </w:p>
        </w:tc>
        <w:tc>
          <w:tcPr>
            <w:tcW w:w="3421" w:type="dxa"/>
          </w:tcPr>
          <w:p w14:paraId="6037A6FC" w14:textId="77777777" w:rsidR="0046798B" w:rsidRDefault="0046798B">
            <w:pPr>
              <w:pStyle w:val="TableParagraph"/>
              <w:rPr>
                <w:b/>
              </w:rPr>
            </w:pPr>
          </w:p>
          <w:p w14:paraId="520E05E9" w14:textId="77777777" w:rsidR="0046798B" w:rsidRDefault="0046798B">
            <w:pPr>
              <w:pStyle w:val="TableParagraph"/>
              <w:spacing w:before="4"/>
              <w:rPr>
                <w:b/>
                <w:sz w:val="31"/>
              </w:rPr>
            </w:pPr>
          </w:p>
          <w:p w14:paraId="7F0598DA" w14:textId="77777777" w:rsidR="0046798B" w:rsidRDefault="00903B5C">
            <w:pPr>
              <w:pStyle w:val="TableParagraph"/>
              <w:ind w:left="114" w:right="126"/>
              <w:rPr>
                <w:sz w:val="20"/>
              </w:rPr>
            </w:pPr>
            <w:r>
              <w:rPr>
                <w:sz w:val="20"/>
              </w:rPr>
              <w:t>Did state adopt provisions maintaining segregated educational systems for out- of-state study by African-Americans? (0 = no, 1 = yes)</w:t>
            </w:r>
          </w:p>
        </w:tc>
        <w:tc>
          <w:tcPr>
            <w:tcW w:w="6482" w:type="dxa"/>
          </w:tcPr>
          <w:p w14:paraId="14C5E1E7" w14:textId="77777777" w:rsidR="0046798B" w:rsidRDefault="0046798B">
            <w:pPr>
              <w:pStyle w:val="TableParagraph"/>
              <w:rPr>
                <w:b/>
              </w:rPr>
            </w:pPr>
          </w:p>
          <w:p w14:paraId="06781464" w14:textId="77777777" w:rsidR="0046798B" w:rsidRDefault="0046798B">
            <w:pPr>
              <w:pStyle w:val="TableParagraph"/>
              <w:rPr>
                <w:b/>
              </w:rPr>
            </w:pPr>
          </w:p>
          <w:p w14:paraId="47B30004" w14:textId="77777777" w:rsidR="0046798B" w:rsidRDefault="0046798B">
            <w:pPr>
              <w:pStyle w:val="TableParagraph"/>
              <w:spacing w:before="4"/>
              <w:rPr>
                <w:b/>
                <w:sz w:val="29"/>
              </w:rPr>
            </w:pPr>
          </w:p>
          <w:p w14:paraId="3914826E" w14:textId="77777777" w:rsidR="0046798B" w:rsidRDefault="00903B5C">
            <w:pPr>
              <w:pStyle w:val="TableParagraph"/>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4418F1FC" w14:textId="77777777">
        <w:trPr>
          <w:trHeight w:val="1235"/>
        </w:trPr>
        <w:tc>
          <w:tcPr>
            <w:tcW w:w="1711" w:type="dxa"/>
          </w:tcPr>
          <w:p w14:paraId="3F85FFAD" w14:textId="77777777" w:rsidR="0046798B" w:rsidRDefault="0046798B">
            <w:pPr>
              <w:pStyle w:val="TableParagraph"/>
              <w:rPr>
                <w:b/>
              </w:rPr>
            </w:pPr>
          </w:p>
          <w:p w14:paraId="12AE5D07" w14:textId="77777777" w:rsidR="0046798B" w:rsidRDefault="0046798B">
            <w:pPr>
              <w:pStyle w:val="TableParagraph"/>
              <w:spacing w:before="8"/>
              <w:rPr>
                <w:b/>
                <w:sz w:val="21"/>
              </w:rPr>
            </w:pPr>
          </w:p>
          <w:p w14:paraId="46338C77" w14:textId="77777777" w:rsidR="0046798B" w:rsidRDefault="00903B5C">
            <w:pPr>
              <w:pStyle w:val="TableParagraph"/>
              <w:spacing w:before="1"/>
              <w:ind w:left="115"/>
              <w:rPr>
                <w:b/>
                <w:sz w:val="20"/>
              </w:rPr>
            </w:pPr>
            <w:r>
              <w:rPr>
                <w:b/>
                <w:sz w:val="20"/>
              </w:rPr>
              <w:t>vaaban</w:t>
            </w:r>
          </w:p>
        </w:tc>
        <w:tc>
          <w:tcPr>
            <w:tcW w:w="1596" w:type="dxa"/>
          </w:tcPr>
          <w:p w14:paraId="42A0908A" w14:textId="77777777" w:rsidR="0046798B" w:rsidRDefault="0046798B">
            <w:pPr>
              <w:pStyle w:val="TableParagraph"/>
              <w:rPr>
                <w:b/>
              </w:rPr>
            </w:pPr>
          </w:p>
          <w:p w14:paraId="24D5D9C6" w14:textId="77777777" w:rsidR="0046798B" w:rsidRDefault="00903B5C">
            <w:pPr>
              <w:pStyle w:val="TableParagraph"/>
              <w:spacing w:before="135"/>
              <w:ind w:left="114" w:right="229"/>
              <w:rPr>
                <w:sz w:val="20"/>
              </w:rPr>
            </w:pPr>
            <w:r>
              <w:rPr>
                <w:sz w:val="20"/>
              </w:rPr>
              <w:t>Affirmative action ban</w:t>
            </w:r>
          </w:p>
        </w:tc>
        <w:tc>
          <w:tcPr>
            <w:tcW w:w="1285" w:type="dxa"/>
          </w:tcPr>
          <w:p w14:paraId="3B103A07" w14:textId="77777777" w:rsidR="0046798B" w:rsidRDefault="0046798B">
            <w:pPr>
              <w:pStyle w:val="TableParagraph"/>
              <w:rPr>
                <w:b/>
              </w:rPr>
            </w:pPr>
          </w:p>
          <w:p w14:paraId="788EE1C0" w14:textId="77777777" w:rsidR="0046798B" w:rsidRDefault="0046798B">
            <w:pPr>
              <w:pStyle w:val="TableParagraph"/>
              <w:spacing w:before="8"/>
              <w:rPr>
                <w:b/>
                <w:sz w:val="21"/>
              </w:rPr>
            </w:pPr>
          </w:p>
          <w:p w14:paraId="1C778055" w14:textId="77777777" w:rsidR="0046798B" w:rsidRDefault="00903B5C">
            <w:pPr>
              <w:pStyle w:val="TableParagraph"/>
              <w:spacing w:before="1"/>
              <w:ind w:left="114"/>
              <w:rPr>
                <w:sz w:val="20"/>
              </w:rPr>
            </w:pPr>
            <w:r>
              <w:rPr>
                <w:sz w:val="20"/>
              </w:rPr>
              <w:t>2000–2016</w:t>
            </w:r>
          </w:p>
        </w:tc>
        <w:tc>
          <w:tcPr>
            <w:tcW w:w="3421" w:type="dxa"/>
          </w:tcPr>
          <w:p w14:paraId="2F8300D7" w14:textId="77777777" w:rsidR="0046798B" w:rsidRDefault="00903B5C">
            <w:pPr>
              <w:pStyle w:val="TableParagraph"/>
              <w:spacing w:before="43"/>
              <w:ind w:left="114" w:right="146"/>
              <w:rPr>
                <w:sz w:val="20"/>
              </w:rPr>
            </w:pPr>
            <w:r>
              <w:rPr>
                <w:sz w:val="20"/>
              </w:rPr>
              <w:t>Affirmative action ban: Are all racial preferences in public services banned in the state? (0 = no, 0.5 = in education only, 1 = yes, by statute or executive order, 2 = yes, in constitution)</w:t>
            </w:r>
          </w:p>
        </w:tc>
        <w:tc>
          <w:tcPr>
            <w:tcW w:w="6482" w:type="dxa"/>
          </w:tcPr>
          <w:p w14:paraId="4FC40847" w14:textId="77777777" w:rsidR="0046798B" w:rsidRDefault="0046798B">
            <w:pPr>
              <w:pStyle w:val="TableParagraph"/>
              <w:spacing w:before="8"/>
              <w:rPr>
                <w:b/>
                <w:sz w:val="23"/>
              </w:rPr>
            </w:pPr>
          </w:p>
          <w:p w14:paraId="2E7E7345"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0C083B2C" w14:textId="77777777" w:rsidR="0046798B" w:rsidRDefault="0046798B">
      <w:pPr>
        <w:rPr>
          <w:sz w:val="20"/>
        </w:rPr>
        <w:sectPr w:rsidR="0046798B">
          <w:pgSz w:w="15840" w:h="12240" w:orient="landscape"/>
          <w:pgMar w:top="1220" w:right="300" w:bottom="980" w:left="820" w:header="730" w:footer="787" w:gutter="0"/>
          <w:cols w:space="720"/>
        </w:sectPr>
      </w:pPr>
    </w:p>
    <w:p w14:paraId="32D2CCAB"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7D0BCC26" w14:textId="77777777">
        <w:trPr>
          <w:trHeight w:val="1235"/>
        </w:trPr>
        <w:tc>
          <w:tcPr>
            <w:tcW w:w="1711" w:type="dxa"/>
          </w:tcPr>
          <w:p w14:paraId="5C02931D" w14:textId="77777777" w:rsidR="0046798B" w:rsidRDefault="0046798B">
            <w:pPr>
              <w:pStyle w:val="TableParagraph"/>
            </w:pPr>
          </w:p>
          <w:p w14:paraId="69D294F4" w14:textId="77777777" w:rsidR="0046798B" w:rsidRDefault="00903B5C">
            <w:pPr>
              <w:pStyle w:val="TableParagraph"/>
              <w:spacing w:before="135"/>
              <w:ind w:left="115" w:right="155"/>
              <w:rPr>
                <w:b/>
                <w:sz w:val="20"/>
              </w:rPr>
            </w:pPr>
            <w:r>
              <w:rPr>
                <w:b/>
                <w:sz w:val="20"/>
              </w:rPr>
              <w:t>race_boehmke_f hpub</w:t>
            </w:r>
          </w:p>
        </w:tc>
        <w:tc>
          <w:tcPr>
            <w:tcW w:w="1596" w:type="dxa"/>
          </w:tcPr>
          <w:p w14:paraId="4EA9312D" w14:textId="77777777" w:rsidR="0046798B" w:rsidRDefault="0046798B">
            <w:pPr>
              <w:pStyle w:val="TableParagraph"/>
            </w:pPr>
          </w:p>
          <w:p w14:paraId="4BD071B3" w14:textId="77777777" w:rsidR="0046798B" w:rsidRDefault="00903B5C">
            <w:pPr>
              <w:pStyle w:val="TableParagraph"/>
              <w:spacing w:before="135"/>
              <w:ind w:left="114" w:right="135"/>
              <w:rPr>
                <w:sz w:val="20"/>
              </w:rPr>
            </w:pPr>
            <w:r>
              <w:rPr>
                <w:sz w:val="20"/>
              </w:rPr>
              <w:t>Fair housing (public housing)</w:t>
            </w:r>
          </w:p>
        </w:tc>
        <w:tc>
          <w:tcPr>
            <w:tcW w:w="1285" w:type="dxa"/>
          </w:tcPr>
          <w:p w14:paraId="16A6BE84" w14:textId="77777777" w:rsidR="0046798B" w:rsidRDefault="0046798B">
            <w:pPr>
              <w:pStyle w:val="TableParagraph"/>
            </w:pPr>
          </w:p>
          <w:p w14:paraId="15E7834E" w14:textId="77777777" w:rsidR="0046798B" w:rsidRDefault="0046798B">
            <w:pPr>
              <w:pStyle w:val="TableParagraph"/>
              <w:spacing w:before="9"/>
              <w:rPr>
                <w:sz w:val="21"/>
              </w:rPr>
            </w:pPr>
          </w:p>
          <w:p w14:paraId="6DA50766" w14:textId="77777777" w:rsidR="0046798B" w:rsidRDefault="00903B5C">
            <w:pPr>
              <w:pStyle w:val="TableParagraph"/>
              <w:ind w:left="114"/>
              <w:rPr>
                <w:sz w:val="20"/>
              </w:rPr>
            </w:pPr>
            <w:r>
              <w:rPr>
                <w:sz w:val="20"/>
              </w:rPr>
              <w:t>1937–1965</w:t>
            </w:r>
          </w:p>
        </w:tc>
        <w:tc>
          <w:tcPr>
            <w:tcW w:w="3421" w:type="dxa"/>
          </w:tcPr>
          <w:p w14:paraId="6F19B981" w14:textId="77777777" w:rsidR="0046798B" w:rsidRDefault="0046798B">
            <w:pPr>
              <w:pStyle w:val="TableParagraph"/>
            </w:pPr>
          </w:p>
          <w:p w14:paraId="48EE87F8" w14:textId="77777777" w:rsidR="0046798B" w:rsidRDefault="00903B5C">
            <w:pPr>
              <w:pStyle w:val="TableParagraph"/>
              <w:spacing w:before="135"/>
              <w:ind w:left="114" w:right="405"/>
              <w:rPr>
                <w:sz w:val="20"/>
              </w:rPr>
            </w:pPr>
            <w:r>
              <w:rPr>
                <w:sz w:val="20"/>
              </w:rPr>
              <w:t>Does the state ban discrimination in public housing? (0 = no, 1 = yes)</w:t>
            </w:r>
          </w:p>
        </w:tc>
        <w:tc>
          <w:tcPr>
            <w:tcW w:w="6482" w:type="dxa"/>
          </w:tcPr>
          <w:p w14:paraId="01E3038C"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39440FF9" w14:textId="77777777">
        <w:trPr>
          <w:trHeight w:val="1235"/>
        </w:trPr>
        <w:tc>
          <w:tcPr>
            <w:tcW w:w="1711" w:type="dxa"/>
          </w:tcPr>
          <w:p w14:paraId="48A3DA26" w14:textId="77777777" w:rsidR="0046798B" w:rsidRDefault="0046798B">
            <w:pPr>
              <w:pStyle w:val="TableParagraph"/>
            </w:pPr>
          </w:p>
          <w:p w14:paraId="50F4B673" w14:textId="77777777" w:rsidR="0046798B" w:rsidRDefault="00903B5C">
            <w:pPr>
              <w:pStyle w:val="TableParagraph"/>
              <w:spacing w:before="136"/>
              <w:ind w:left="115" w:right="155"/>
              <w:rPr>
                <w:b/>
                <w:sz w:val="20"/>
              </w:rPr>
            </w:pPr>
            <w:r>
              <w:rPr>
                <w:b/>
                <w:sz w:val="20"/>
              </w:rPr>
              <w:t>race_boehmke_f hurb</w:t>
            </w:r>
          </w:p>
        </w:tc>
        <w:tc>
          <w:tcPr>
            <w:tcW w:w="1596" w:type="dxa"/>
          </w:tcPr>
          <w:p w14:paraId="57084107" w14:textId="77777777" w:rsidR="0046798B" w:rsidRDefault="0046798B">
            <w:pPr>
              <w:pStyle w:val="TableParagraph"/>
              <w:spacing w:before="9"/>
              <w:rPr>
                <w:sz w:val="23"/>
              </w:rPr>
            </w:pPr>
          </w:p>
          <w:p w14:paraId="72B38EEB" w14:textId="77777777" w:rsidR="0046798B" w:rsidRDefault="00903B5C">
            <w:pPr>
              <w:pStyle w:val="TableParagraph"/>
              <w:ind w:left="114" w:right="247"/>
              <w:rPr>
                <w:sz w:val="20"/>
              </w:rPr>
            </w:pPr>
            <w:r>
              <w:rPr>
                <w:sz w:val="20"/>
              </w:rPr>
              <w:t>Fair housing (urban renewal areas)</w:t>
            </w:r>
          </w:p>
        </w:tc>
        <w:tc>
          <w:tcPr>
            <w:tcW w:w="1285" w:type="dxa"/>
          </w:tcPr>
          <w:p w14:paraId="6D7EC45B" w14:textId="77777777" w:rsidR="0046798B" w:rsidRDefault="0046798B">
            <w:pPr>
              <w:pStyle w:val="TableParagraph"/>
            </w:pPr>
          </w:p>
          <w:p w14:paraId="333FC1FB" w14:textId="77777777" w:rsidR="0046798B" w:rsidRDefault="0046798B">
            <w:pPr>
              <w:pStyle w:val="TableParagraph"/>
              <w:spacing w:before="9"/>
              <w:rPr>
                <w:sz w:val="21"/>
              </w:rPr>
            </w:pPr>
          </w:p>
          <w:p w14:paraId="30019BD1" w14:textId="77777777" w:rsidR="0046798B" w:rsidRDefault="00903B5C">
            <w:pPr>
              <w:pStyle w:val="TableParagraph"/>
              <w:ind w:left="114"/>
              <w:rPr>
                <w:sz w:val="20"/>
              </w:rPr>
            </w:pPr>
            <w:r>
              <w:rPr>
                <w:sz w:val="20"/>
              </w:rPr>
              <w:t>1945–1964</w:t>
            </w:r>
          </w:p>
        </w:tc>
        <w:tc>
          <w:tcPr>
            <w:tcW w:w="3421" w:type="dxa"/>
          </w:tcPr>
          <w:p w14:paraId="48C36E67" w14:textId="77777777" w:rsidR="0046798B" w:rsidRDefault="0046798B">
            <w:pPr>
              <w:pStyle w:val="TableParagraph"/>
            </w:pPr>
          </w:p>
          <w:p w14:paraId="0C6F3838" w14:textId="77777777" w:rsidR="0046798B" w:rsidRDefault="00903B5C">
            <w:pPr>
              <w:pStyle w:val="TableParagraph"/>
              <w:spacing w:before="136"/>
              <w:ind w:left="114" w:right="539"/>
              <w:rPr>
                <w:sz w:val="20"/>
              </w:rPr>
            </w:pPr>
            <w:r>
              <w:rPr>
                <w:sz w:val="20"/>
              </w:rPr>
              <w:t>Does the state have urban renewal areas? (0 = no, 1 = yes)</w:t>
            </w:r>
          </w:p>
        </w:tc>
        <w:tc>
          <w:tcPr>
            <w:tcW w:w="6482" w:type="dxa"/>
          </w:tcPr>
          <w:p w14:paraId="21CC64CF"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272EDC7E" w14:textId="77777777">
        <w:trPr>
          <w:trHeight w:val="1470"/>
        </w:trPr>
        <w:tc>
          <w:tcPr>
            <w:tcW w:w="1711" w:type="dxa"/>
          </w:tcPr>
          <w:p w14:paraId="032594D5" w14:textId="77777777" w:rsidR="0046798B" w:rsidRDefault="0046798B">
            <w:pPr>
              <w:pStyle w:val="TableParagraph"/>
            </w:pPr>
          </w:p>
          <w:p w14:paraId="53CB6CE5" w14:textId="77777777" w:rsidR="0046798B" w:rsidRDefault="0046798B">
            <w:pPr>
              <w:pStyle w:val="TableParagraph"/>
              <w:spacing w:before="9"/>
              <w:rPr>
                <w:sz w:val="21"/>
              </w:rPr>
            </w:pPr>
          </w:p>
          <w:p w14:paraId="3E1D6BE7" w14:textId="77777777" w:rsidR="0046798B" w:rsidRDefault="00903B5C">
            <w:pPr>
              <w:pStyle w:val="TableParagraph"/>
              <w:ind w:left="115" w:right="121"/>
              <w:rPr>
                <w:b/>
                <w:sz w:val="20"/>
              </w:rPr>
            </w:pPr>
            <w:r>
              <w:rPr>
                <w:b/>
                <w:sz w:val="20"/>
              </w:rPr>
              <w:t>w_race_fair_hou sing_private</w:t>
            </w:r>
          </w:p>
        </w:tc>
        <w:tc>
          <w:tcPr>
            <w:tcW w:w="1596" w:type="dxa"/>
          </w:tcPr>
          <w:p w14:paraId="09C15E2E" w14:textId="77777777" w:rsidR="0046798B" w:rsidRDefault="0046798B">
            <w:pPr>
              <w:pStyle w:val="TableParagraph"/>
            </w:pPr>
          </w:p>
          <w:p w14:paraId="5A46B558" w14:textId="77777777" w:rsidR="0046798B" w:rsidRDefault="00903B5C">
            <w:pPr>
              <w:pStyle w:val="TableParagraph"/>
              <w:spacing w:before="135"/>
              <w:ind w:left="114" w:right="446"/>
              <w:rPr>
                <w:sz w:val="20"/>
              </w:rPr>
            </w:pPr>
            <w:r>
              <w:rPr>
                <w:sz w:val="20"/>
              </w:rPr>
              <w:t>Fair housing (private housing)</w:t>
            </w:r>
          </w:p>
        </w:tc>
        <w:tc>
          <w:tcPr>
            <w:tcW w:w="1285" w:type="dxa"/>
          </w:tcPr>
          <w:p w14:paraId="65A7D85E" w14:textId="77777777" w:rsidR="0046798B" w:rsidRDefault="0046798B">
            <w:pPr>
              <w:pStyle w:val="TableParagraph"/>
            </w:pPr>
          </w:p>
          <w:p w14:paraId="73248176" w14:textId="77777777" w:rsidR="0046798B" w:rsidRDefault="0046798B">
            <w:pPr>
              <w:pStyle w:val="TableParagraph"/>
              <w:spacing w:before="9"/>
              <w:rPr>
                <w:sz w:val="31"/>
              </w:rPr>
            </w:pPr>
          </w:p>
          <w:p w14:paraId="5A877A9C" w14:textId="77777777" w:rsidR="0046798B" w:rsidRDefault="00903B5C">
            <w:pPr>
              <w:pStyle w:val="TableParagraph"/>
              <w:ind w:left="114"/>
              <w:rPr>
                <w:sz w:val="20"/>
              </w:rPr>
            </w:pPr>
            <w:r>
              <w:rPr>
                <w:sz w:val="20"/>
              </w:rPr>
              <w:t>1959–1968</w:t>
            </w:r>
          </w:p>
        </w:tc>
        <w:tc>
          <w:tcPr>
            <w:tcW w:w="3421" w:type="dxa"/>
          </w:tcPr>
          <w:p w14:paraId="1A779E7F" w14:textId="77777777" w:rsidR="0046798B" w:rsidRDefault="00903B5C">
            <w:pPr>
              <w:pStyle w:val="TableParagraph"/>
              <w:spacing w:before="43"/>
              <w:ind w:left="114" w:right="127"/>
              <w:rPr>
                <w:sz w:val="20"/>
              </w:rPr>
            </w:pPr>
            <w:r>
              <w:rPr>
                <w:sz w:val="20"/>
              </w:rPr>
              <w:t>Does the state ban discrimination in private housing? (0 = no; 1 = any fair housing law; 2 = includes owner- occupied housing, OR excludes owner- occupied housing, but includes all real estate broker activities)</w:t>
            </w:r>
          </w:p>
        </w:tc>
        <w:tc>
          <w:tcPr>
            <w:tcW w:w="6482" w:type="dxa"/>
          </w:tcPr>
          <w:p w14:paraId="7A083038" w14:textId="77777777" w:rsidR="0046798B" w:rsidRDefault="00903B5C">
            <w:pPr>
              <w:pStyle w:val="TableParagraph"/>
              <w:spacing w:before="15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6206B438" w14:textId="77777777">
        <w:trPr>
          <w:trHeight w:val="1235"/>
        </w:trPr>
        <w:tc>
          <w:tcPr>
            <w:tcW w:w="1711" w:type="dxa"/>
          </w:tcPr>
          <w:p w14:paraId="4BCD82E6" w14:textId="77777777" w:rsidR="0046798B" w:rsidRDefault="0046798B">
            <w:pPr>
              <w:pStyle w:val="TableParagraph"/>
              <w:spacing w:before="4"/>
              <w:rPr>
                <w:sz w:val="23"/>
              </w:rPr>
            </w:pPr>
          </w:p>
          <w:p w14:paraId="26238314" w14:textId="77777777" w:rsidR="0046798B" w:rsidRDefault="00903B5C">
            <w:pPr>
              <w:pStyle w:val="TableParagraph"/>
              <w:ind w:left="115" w:right="159"/>
              <w:jc w:val="both"/>
              <w:rPr>
                <w:b/>
                <w:sz w:val="20"/>
              </w:rPr>
            </w:pPr>
            <w:r>
              <w:rPr>
                <w:b/>
                <w:sz w:val="20"/>
              </w:rPr>
              <w:t>race_fair_emplo yment_commissi ons</w:t>
            </w:r>
          </w:p>
        </w:tc>
        <w:tc>
          <w:tcPr>
            <w:tcW w:w="1596" w:type="dxa"/>
          </w:tcPr>
          <w:p w14:paraId="3B6861B8" w14:textId="77777777" w:rsidR="0046798B" w:rsidRDefault="0046798B">
            <w:pPr>
              <w:pStyle w:val="TableParagraph"/>
              <w:spacing w:before="4"/>
              <w:rPr>
                <w:sz w:val="23"/>
              </w:rPr>
            </w:pPr>
          </w:p>
          <w:p w14:paraId="2E79A650" w14:textId="77777777" w:rsidR="0046798B" w:rsidRDefault="00903B5C">
            <w:pPr>
              <w:pStyle w:val="TableParagraph"/>
              <w:ind w:left="114" w:right="452"/>
              <w:rPr>
                <w:sz w:val="20"/>
              </w:rPr>
            </w:pPr>
            <w:r>
              <w:rPr>
                <w:sz w:val="20"/>
              </w:rPr>
              <w:t>Fair employment laws</w:t>
            </w:r>
          </w:p>
        </w:tc>
        <w:tc>
          <w:tcPr>
            <w:tcW w:w="1285" w:type="dxa"/>
          </w:tcPr>
          <w:p w14:paraId="0BEE1612" w14:textId="77777777" w:rsidR="0046798B" w:rsidRDefault="0046798B">
            <w:pPr>
              <w:pStyle w:val="TableParagraph"/>
            </w:pPr>
          </w:p>
          <w:p w14:paraId="47D15D32" w14:textId="77777777" w:rsidR="0046798B" w:rsidRDefault="0046798B">
            <w:pPr>
              <w:pStyle w:val="TableParagraph"/>
              <w:spacing w:before="4"/>
              <w:rPr>
                <w:sz w:val="21"/>
              </w:rPr>
            </w:pPr>
          </w:p>
          <w:p w14:paraId="45F12AE5" w14:textId="77777777" w:rsidR="0046798B" w:rsidRDefault="00903B5C">
            <w:pPr>
              <w:pStyle w:val="TableParagraph"/>
              <w:ind w:left="114"/>
              <w:rPr>
                <w:sz w:val="20"/>
              </w:rPr>
            </w:pPr>
            <w:r>
              <w:rPr>
                <w:sz w:val="20"/>
              </w:rPr>
              <w:t>1945–1964</w:t>
            </w:r>
          </w:p>
        </w:tc>
        <w:tc>
          <w:tcPr>
            <w:tcW w:w="3421" w:type="dxa"/>
          </w:tcPr>
          <w:p w14:paraId="500763F7" w14:textId="77777777" w:rsidR="0046798B" w:rsidRDefault="0046798B">
            <w:pPr>
              <w:pStyle w:val="TableParagraph"/>
            </w:pPr>
          </w:p>
          <w:p w14:paraId="4692CD3A" w14:textId="77777777" w:rsidR="0046798B" w:rsidRDefault="00903B5C">
            <w:pPr>
              <w:pStyle w:val="TableParagraph"/>
              <w:spacing w:before="130"/>
              <w:ind w:left="114" w:right="211"/>
              <w:rPr>
                <w:sz w:val="20"/>
              </w:rPr>
            </w:pPr>
            <w:r>
              <w:rPr>
                <w:sz w:val="20"/>
              </w:rPr>
              <w:t>Does the state have a fair employment law? (0 = no, 1 = yes)</w:t>
            </w:r>
          </w:p>
        </w:tc>
        <w:tc>
          <w:tcPr>
            <w:tcW w:w="6482" w:type="dxa"/>
          </w:tcPr>
          <w:p w14:paraId="08D80363"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17613272" w14:textId="77777777">
        <w:trPr>
          <w:trHeight w:val="1235"/>
        </w:trPr>
        <w:tc>
          <w:tcPr>
            <w:tcW w:w="1711" w:type="dxa"/>
          </w:tcPr>
          <w:p w14:paraId="363CBE95" w14:textId="77777777" w:rsidR="0046798B" w:rsidRDefault="0046798B">
            <w:pPr>
              <w:pStyle w:val="TableParagraph"/>
              <w:spacing w:before="4"/>
              <w:rPr>
                <w:sz w:val="23"/>
              </w:rPr>
            </w:pPr>
          </w:p>
          <w:p w14:paraId="536825BB" w14:textId="77777777" w:rsidR="0046798B" w:rsidRDefault="00903B5C">
            <w:pPr>
              <w:pStyle w:val="TableParagraph"/>
              <w:ind w:left="115" w:right="88"/>
              <w:rPr>
                <w:b/>
                <w:sz w:val="20"/>
              </w:rPr>
            </w:pPr>
            <w:r>
              <w:rPr>
                <w:b/>
                <w:sz w:val="20"/>
              </w:rPr>
              <w:t>race_fair_emplo y_comm_post196 4</w:t>
            </w:r>
          </w:p>
        </w:tc>
        <w:tc>
          <w:tcPr>
            <w:tcW w:w="1596" w:type="dxa"/>
          </w:tcPr>
          <w:p w14:paraId="5D7C5B56" w14:textId="77777777" w:rsidR="0046798B" w:rsidRDefault="0046798B">
            <w:pPr>
              <w:pStyle w:val="TableParagraph"/>
              <w:spacing w:before="4"/>
              <w:rPr>
                <w:sz w:val="23"/>
              </w:rPr>
            </w:pPr>
          </w:p>
          <w:p w14:paraId="06C8DB5F" w14:textId="77777777" w:rsidR="0046798B" w:rsidRDefault="00903B5C">
            <w:pPr>
              <w:pStyle w:val="TableParagraph"/>
              <w:ind w:left="114" w:right="117"/>
              <w:rPr>
                <w:sz w:val="20"/>
              </w:rPr>
            </w:pPr>
            <w:r>
              <w:rPr>
                <w:sz w:val="20"/>
              </w:rPr>
              <w:t>Fair employment laws</w:t>
            </w:r>
            <w:r>
              <w:rPr>
                <w:spacing w:val="13"/>
                <w:sz w:val="20"/>
              </w:rPr>
              <w:t xml:space="preserve"> </w:t>
            </w:r>
            <w:r>
              <w:rPr>
                <w:spacing w:val="-3"/>
                <w:sz w:val="20"/>
              </w:rPr>
              <w:t>(post-1964)</w:t>
            </w:r>
          </w:p>
        </w:tc>
        <w:tc>
          <w:tcPr>
            <w:tcW w:w="1285" w:type="dxa"/>
          </w:tcPr>
          <w:p w14:paraId="629478EB" w14:textId="77777777" w:rsidR="0046798B" w:rsidRDefault="0046798B">
            <w:pPr>
              <w:pStyle w:val="TableParagraph"/>
            </w:pPr>
          </w:p>
          <w:p w14:paraId="74EFAC0E" w14:textId="77777777" w:rsidR="0046798B" w:rsidRDefault="0046798B">
            <w:pPr>
              <w:pStyle w:val="TableParagraph"/>
              <w:spacing w:before="4"/>
              <w:rPr>
                <w:sz w:val="21"/>
              </w:rPr>
            </w:pPr>
          </w:p>
          <w:p w14:paraId="29A88960" w14:textId="77777777" w:rsidR="0046798B" w:rsidRDefault="00903B5C">
            <w:pPr>
              <w:pStyle w:val="TableParagraph"/>
              <w:ind w:left="114"/>
              <w:rPr>
                <w:sz w:val="20"/>
              </w:rPr>
            </w:pPr>
            <w:r>
              <w:rPr>
                <w:sz w:val="20"/>
              </w:rPr>
              <w:t>1965–2014</w:t>
            </w:r>
          </w:p>
        </w:tc>
        <w:tc>
          <w:tcPr>
            <w:tcW w:w="3421" w:type="dxa"/>
          </w:tcPr>
          <w:p w14:paraId="41AAFE1E" w14:textId="77777777" w:rsidR="0046798B" w:rsidRDefault="0046798B">
            <w:pPr>
              <w:pStyle w:val="TableParagraph"/>
            </w:pPr>
          </w:p>
          <w:p w14:paraId="57E3A15C" w14:textId="77777777" w:rsidR="0046798B" w:rsidRDefault="00903B5C">
            <w:pPr>
              <w:pStyle w:val="TableParagraph"/>
              <w:spacing w:before="131"/>
              <w:ind w:left="114" w:right="211"/>
              <w:rPr>
                <w:sz w:val="20"/>
              </w:rPr>
            </w:pPr>
            <w:r>
              <w:rPr>
                <w:sz w:val="20"/>
              </w:rPr>
              <w:t>Does the state have a fair employment law (post-1964)? (0 = no, 1 = yes)</w:t>
            </w:r>
          </w:p>
        </w:tc>
        <w:tc>
          <w:tcPr>
            <w:tcW w:w="6482" w:type="dxa"/>
          </w:tcPr>
          <w:p w14:paraId="52B225CE" w14:textId="77777777" w:rsidR="0046798B" w:rsidRDefault="00903B5C">
            <w:pPr>
              <w:pStyle w:val="TableParagraph"/>
              <w:spacing w:before="39"/>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5D904A79" w14:textId="77777777">
        <w:trPr>
          <w:trHeight w:val="1235"/>
        </w:trPr>
        <w:tc>
          <w:tcPr>
            <w:tcW w:w="1711" w:type="dxa"/>
          </w:tcPr>
          <w:p w14:paraId="06D8F464" w14:textId="77777777" w:rsidR="0046798B" w:rsidRDefault="0046798B">
            <w:pPr>
              <w:pStyle w:val="TableParagraph"/>
              <w:spacing w:before="4"/>
              <w:rPr>
                <w:sz w:val="23"/>
              </w:rPr>
            </w:pPr>
          </w:p>
          <w:p w14:paraId="4C2463EA" w14:textId="77777777" w:rsidR="0046798B" w:rsidRDefault="00903B5C">
            <w:pPr>
              <w:pStyle w:val="TableParagraph"/>
              <w:ind w:left="115" w:right="114"/>
              <w:jc w:val="both"/>
              <w:rPr>
                <w:b/>
                <w:sz w:val="20"/>
              </w:rPr>
            </w:pPr>
            <w:r>
              <w:rPr>
                <w:b/>
                <w:sz w:val="20"/>
              </w:rPr>
              <w:t>race_interracial_ marriage_banne d</w:t>
            </w:r>
          </w:p>
        </w:tc>
        <w:tc>
          <w:tcPr>
            <w:tcW w:w="1596" w:type="dxa"/>
          </w:tcPr>
          <w:p w14:paraId="2B19DBB4" w14:textId="77777777" w:rsidR="0046798B" w:rsidRDefault="0046798B">
            <w:pPr>
              <w:pStyle w:val="TableParagraph"/>
              <w:spacing w:before="4"/>
              <w:rPr>
                <w:sz w:val="23"/>
              </w:rPr>
            </w:pPr>
          </w:p>
          <w:p w14:paraId="1A0E5E1C" w14:textId="77777777" w:rsidR="0046798B" w:rsidRDefault="00903B5C">
            <w:pPr>
              <w:pStyle w:val="TableParagraph"/>
              <w:ind w:left="114" w:right="641"/>
              <w:rPr>
                <w:sz w:val="20"/>
              </w:rPr>
            </w:pPr>
            <w:r>
              <w:rPr>
                <w:sz w:val="20"/>
              </w:rPr>
              <w:t>Ban on interracial marriage</w:t>
            </w:r>
          </w:p>
        </w:tc>
        <w:tc>
          <w:tcPr>
            <w:tcW w:w="1285" w:type="dxa"/>
          </w:tcPr>
          <w:p w14:paraId="343D2A38" w14:textId="77777777" w:rsidR="0046798B" w:rsidRDefault="0046798B">
            <w:pPr>
              <w:pStyle w:val="TableParagraph"/>
            </w:pPr>
          </w:p>
          <w:p w14:paraId="29897C37" w14:textId="77777777" w:rsidR="0046798B" w:rsidRDefault="0046798B">
            <w:pPr>
              <w:pStyle w:val="TableParagraph"/>
              <w:spacing w:before="4"/>
              <w:rPr>
                <w:sz w:val="21"/>
              </w:rPr>
            </w:pPr>
          </w:p>
          <w:p w14:paraId="1A6F039A" w14:textId="77777777" w:rsidR="0046798B" w:rsidRDefault="00903B5C">
            <w:pPr>
              <w:pStyle w:val="TableParagraph"/>
              <w:ind w:left="114"/>
              <w:rPr>
                <w:sz w:val="20"/>
              </w:rPr>
            </w:pPr>
            <w:r>
              <w:rPr>
                <w:sz w:val="20"/>
              </w:rPr>
              <w:t>1936–1967</w:t>
            </w:r>
          </w:p>
        </w:tc>
        <w:tc>
          <w:tcPr>
            <w:tcW w:w="3421" w:type="dxa"/>
          </w:tcPr>
          <w:p w14:paraId="2FE9F893" w14:textId="77777777" w:rsidR="0046798B" w:rsidRDefault="0046798B">
            <w:pPr>
              <w:pStyle w:val="TableParagraph"/>
            </w:pPr>
          </w:p>
          <w:p w14:paraId="3DF1D9C6" w14:textId="77777777" w:rsidR="0046798B" w:rsidRDefault="00903B5C">
            <w:pPr>
              <w:pStyle w:val="TableParagraph"/>
              <w:spacing w:before="130"/>
              <w:ind w:left="114" w:right="163"/>
              <w:rPr>
                <w:sz w:val="20"/>
              </w:rPr>
            </w:pPr>
            <w:r>
              <w:rPr>
                <w:sz w:val="20"/>
              </w:rPr>
              <w:t>Does the state have a law banning interracial marriages? (0 = no, 1 = yes)</w:t>
            </w:r>
          </w:p>
        </w:tc>
        <w:tc>
          <w:tcPr>
            <w:tcW w:w="6482" w:type="dxa"/>
          </w:tcPr>
          <w:p w14:paraId="023C4784" w14:textId="77777777" w:rsidR="0046798B" w:rsidRDefault="00903B5C">
            <w:pPr>
              <w:pStyle w:val="TableParagraph"/>
              <w:spacing w:before="39"/>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2738D713" w14:textId="77777777">
        <w:trPr>
          <w:trHeight w:val="1235"/>
        </w:trPr>
        <w:tc>
          <w:tcPr>
            <w:tcW w:w="1711" w:type="dxa"/>
          </w:tcPr>
          <w:p w14:paraId="0385F4A8" w14:textId="77777777" w:rsidR="0046798B" w:rsidRDefault="0046798B">
            <w:pPr>
              <w:pStyle w:val="TableParagraph"/>
            </w:pPr>
          </w:p>
          <w:p w14:paraId="45077C57" w14:textId="77777777" w:rsidR="0046798B" w:rsidRDefault="00903B5C">
            <w:pPr>
              <w:pStyle w:val="TableParagraph"/>
              <w:spacing w:before="135"/>
              <w:ind w:left="115" w:right="110"/>
              <w:rPr>
                <w:b/>
                <w:sz w:val="20"/>
              </w:rPr>
            </w:pPr>
            <w:r>
              <w:rPr>
                <w:b/>
                <w:sz w:val="20"/>
              </w:rPr>
              <w:t>race_school_segr egation</w:t>
            </w:r>
          </w:p>
        </w:tc>
        <w:tc>
          <w:tcPr>
            <w:tcW w:w="1596" w:type="dxa"/>
          </w:tcPr>
          <w:p w14:paraId="4B39EEFF" w14:textId="77777777" w:rsidR="0046798B" w:rsidRDefault="0046798B">
            <w:pPr>
              <w:pStyle w:val="TableParagraph"/>
              <w:spacing w:before="9"/>
              <w:rPr>
                <w:sz w:val="23"/>
              </w:rPr>
            </w:pPr>
          </w:p>
          <w:p w14:paraId="08927ADE" w14:textId="77777777" w:rsidR="0046798B" w:rsidRDefault="00903B5C">
            <w:pPr>
              <w:pStyle w:val="TableParagraph"/>
              <w:ind w:left="114" w:right="324"/>
              <w:rPr>
                <w:sz w:val="20"/>
              </w:rPr>
            </w:pPr>
            <w:r>
              <w:rPr>
                <w:sz w:val="20"/>
              </w:rPr>
              <w:t>Requires segregation in schools</w:t>
            </w:r>
          </w:p>
        </w:tc>
        <w:tc>
          <w:tcPr>
            <w:tcW w:w="1285" w:type="dxa"/>
          </w:tcPr>
          <w:p w14:paraId="76803C09" w14:textId="77777777" w:rsidR="0046798B" w:rsidRDefault="0046798B">
            <w:pPr>
              <w:pStyle w:val="TableParagraph"/>
            </w:pPr>
          </w:p>
          <w:p w14:paraId="308C179D" w14:textId="77777777" w:rsidR="0046798B" w:rsidRDefault="0046798B">
            <w:pPr>
              <w:pStyle w:val="TableParagraph"/>
              <w:spacing w:before="9"/>
              <w:rPr>
                <w:sz w:val="21"/>
              </w:rPr>
            </w:pPr>
          </w:p>
          <w:p w14:paraId="09729CB5" w14:textId="77777777" w:rsidR="0046798B" w:rsidRDefault="00903B5C">
            <w:pPr>
              <w:pStyle w:val="TableParagraph"/>
              <w:ind w:left="114"/>
              <w:rPr>
                <w:sz w:val="20"/>
              </w:rPr>
            </w:pPr>
            <w:r>
              <w:rPr>
                <w:sz w:val="20"/>
              </w:rPr>
              <w:t>1936–1953</w:t>
            </w:r>
          </w:p>
        </w:tc>
        <w:tc>
          <w:tcPr>
            <w:tcW w:w="3421" w:type="dxa"/>
          </w:tcPr>
          <w:p w14:paraId="0CF287DA" w14:textId="77777777" w:rsidR="0046798B" w:rsidRDefault="0046798B">
            <w:pPr>
              <w:pStyle w:val="TableParagraph"/>
            </w:pPr>
          </w:p>
          <w:p w14:paraId="4F525D3B" w14:textId="77777777" w:rsidR="0046798B" w:rsidRDefault="00903B5C">
            <w:pPr>
              <w:pStyle w:val="TableParagraph"/>
              <w:spacing w:before="135"/>
              <w:ind w:left="114" w:right="361"/>
              <w:rPr>
                <w:sz w:val="20"/>
              </w:rPr>
            </w:pPr>
            <w:r>
              <w:rPr>
                <w:sz w:val="20"/>
              </w:rPr>
              <w:t>Does the state require segregation in public schools? (0 = no, 1 = yes)</w:t>
            </w:r>
          </w:p>
        </w:tc>
        <w:tc>
          <w:tcPr>
            <w:tcW w:w="6482" w:type="dxa"/>
          </w:tcPr>
          <w:p w14:paraId="25CF92A0"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bl>
    <w:p w14:paraId="4A9FAA4D" w14:textId="77777777" w:rsidR="0046798B" w:rsidRDefault="0046798B">
      <w:pPr>
        <w:rPr>
          <w:sz w:val="20"/>
        </w:rPr>
        <w:sectPr w:rsidR="0046798B">
          <w:pgSz w:w="15840" w:h="12240" w:orient="landscape"/>
          <w:pgMar w:top="1220" w:right="300" w:bottom="980" w:left="820" w:header="730" w:footer="787" w:gutter="0"/>
          <w:cols w:space="720"/>
        </w:sectPr>
      </w:pPr>
    </w:p>
    <w:p w14:paraId="6A5520DD"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672186C0" w14:textId="77777777">
        <w:trPr>
          <w:trHeight w:val="2156"/>
        </w:trPr>
        <w:tc>
          <w:tcPr>
            <w:tcW w:w="1711" w:type="dxa"/>
          </w:tcPr>
          <w:p w14:paraId="5EDAB6C5" w14:textId="77777777" w:rsidR="0046798B" w:rsidRDefault="0046798B">
            <w:pPr>
              <w:pStyle w:val="TableParagraph"/>
            </w:pPr>
          </w:p>
          <w:p w14:paraId="07A28068" w14:textId="77777777" w:rsidR="0046798B" w:rsidRDefault="0046798B">
            <w:pPr>
              <w:pStyle w:val="TableParagraph"/>
            </w:pPr>
          </w:p>
          <w:p w14:paraId="0024CB49" w14:textId="77777777" w:rsidR="0046798B" w:rsidRDefault="0046798B">
            <w:pPr>
              <w:pStyle w:val="TableParagraph"/>
              <w:spacing w:before="9"/>
              <w:rPr>
                <w:sz w:val="19"/>
              </w:rPr>
            </w:pPr>
          </w:p>
          <w:p w14:paraId="1E975729" w14:textId="77777777" w:rsidR="0046798B" w:rsidRDefault="00903B5C">
            <w:pPr>
              <w:pStyle w:val="TableParagraph"/>
              <w:ind w:left="115" w:right="104"/>
              <w:jc w:val="both"/>
              <w:rPr>
                <w:b/>
                <w:sz w:val="20"/>
              </w:rPr>
            </w:pPr>
            <w:r>
              <w:rPr>
                <w:b/>
                <w:sz w:val="20"/>
              </w:rPr>
              <w:t>w_race_disc_pub lic_accommodati on</w:t>
            </w:r>
          </w:p>
        </w:tc>
        <w:tc>
          <w:tcPr>
            <w:tcW w:w="1596" w:type="dxa"/>
          </w:tcPr>
          <w:p w14:paraId="2EF776BF" w14:textId="77777777" w:rsidR="0046798B" w:rsidRDefault="0046798B">
            <w:pPr>
              <w:pStyle w:val="TableParagraph"/>
            </w:pPr>
          </w:p>
          <w:p w14:paraId="66933DC0" w14:textId="77777777" w:rsidR="0046798B" w:rsidRDefault="0046798B">
            <w:pPr>
              <w:pStyle w:val="TableParagraph"/>
              <w:spacing w:before="9"/>
              <w:rPr>
                <w:sz w:val="21"/>
              </w:rPr>
            </w:pPr>
          </w:p>
          <w:p w14:paraId="39B4C9B7" w14:textId="77777777" w:rsidR="0046798B" w:rsidRDefault="00903B5C">
            <w:pPr>
              <w:pStyle w:val="TableParagraph"/>
              <w:ind w:left="114" w:right="110"/>
              <w:rPr>
                <w:sz w:val="20"/>
              </w:rPr>
            </w:pPr>
            <w:r>
              <w:rPr>
                <w:sz w:val="20"/>
              </w:rPr>
              <w:t>Banning discrimination in public accommodations (pre-CRA)</w:t>
            </w:r>
          </w:p>
        </w:tc>
        <w:tc>
          <w:tcPr>
            <w:tcW w:w="1285" w:type="dxa"/>
          </w:tcPr>
          <w:p w14:paraId="67AB3896" w14:textId="77777777" w:rsidR="0046798B" w:rsidRDefault="0046798B">
            <w:pPr>
              <w:pStyle w:val="TableParagraph"/>
            </w:pPr>
          </w:p>
          <w:p w14:paraId="2EA6BACB" w14:textId="77777777" w:rsidR="0046798B" w:rsidRDefault="0046798B">
            <w:pPr>
              <w:pStyle w:val="TableParagraph"/>
            </w:pPr>
          </w:p>
          <w:p w14:paraId="4D58D197" w14:textId="77777777" w:rsidR="0046798B" w:rsidRDefault="0046798B">
            <w:pPr>
              <w:pStyle w:val="TableParagraph"/>
            </w:pPr>
          </w:p>
          <w:p w14:paraId="636D7182" w14:textId="77777777" w:rsidR="0046798B" w:rsidRDefault="0046798B">
            <w:pPr>
              <w:pStyle w:val="TableParagraph"/>
              <w:spacing w:before="9"/>
              <w:rPr>
                <w:sz w:val="17"/>
              </w:rPr>
            </w:pPr>
          </w:p>
          <w:p w14:paraId="78A87864" w14:textId="77777777" w:rsidR="0046798B" w:rsidRDefault="00903B5C">
            <w:pPr>
              <w:pStyle w:val="TableParagraph"/>
              <w:ind w:left="114"/>
              <w:rPr>
                <w:sz w:val="20"/>
              </w:rPr>
            </w:pPr>
            <w:r>
              <w:rPr>
                <w:sz w:val="20"/>
              </w:rPr>
              <w:t>1936–1963</w:t>
            </w:r>
          </w:p>
        </w:tc>
        <w:tc>
          <w:tcPr>
            <w:tcW w:w="3421" w:type="dxa"/>
          </w:tcPr>
          <w:p w14:paraId="721F914E" w14:textId="77777777" w:rsidR="0046798B" w:rsidRDefault="00903B5C">
            <w:pPr>
              <w:pStyle w:val="TableParagraph"/>
              <w:spacing w:before="43"/>
              <w:ind w:left="114" w:right="192"/>
              <w:rPr>
                <w:sz w:val="20"/>
              </w:rPr>
            </w:pPr>
            <w:r>
              <w:rPr>
                <w:sz w:val="20"/>
              </w:rPr>
              <w:t>Did the state pass a law (with administrative enforcement) banning discrimination in public accommodations (pre-CRA)? (0 = no; 1 = indicates that individuals had to bring lawsuits to enforce the ban on discrimination; 2 = indicates that there was a state agency that enforced the ban on discrimination)</w:t>
            </w:r>
          </w:p>
        </w:tc>
        <w:tc>
          <w:tcPr>
            <w:tcW w:w="6482" w:type="dxa"/>
          </w:tcPr>
          <w:p w14:paraId="40165CA4" w14:textId="77777777" w:rsidR="0046798B" w:rsidRDefault="0046798B">
            <w:pPr>
              <w:pStyle w:val="TableParagraph"/>
            </w:pPr>
          </w:p>
          <w:p w14:paraId="34ECCA6F" w14:textId="77777777" w:rsidR="0046798B" w:rsidRDefault="0046798B">
            <w:pPr>
              <w:pStyle w:val="TableParagraph"/>
              <w:spacing w:before="9"/>
              <w:rPr>
                <w:sz w:val="21"/>
              </w:rPr>
            </w:pPr>
          </w:p>
          <w:p w14:paraId="7B1EC968" w14:textId="77777777" w:rsidR="0046798B" w:rsidRDefault="00903B5C">
            <w:pPr>
              <w:pStyle w:val="TableParagraph"/>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74BEC7AB" w14:textId="77777777">
        <w:trPr>
          <w:trHeight w:val="2155"/>
        </w:trPr>
        <w:tc>
          <w:tcPr>
            <w:tcW w:w="1711" w:type="dxa"/>
          </w:tcPr>
          <w:p w14:paraId="0C3B6A37" w14:textId="77777777" w:rsidR="0046798B" w:rsidRDefault="0046798B">
            <w:pPr>
              <w:pStyle w:val="TableParagraph"/>
            </w:pPr>
          </w:p>
          <w:p w14:paraId="5E667A20" w14:textId="77777777" w:rsidR="0046798B" w:rsidRDefault="0046798B">
            <w:pPr>
              <w:pStyle w:val="TableParagraph"/>
            </w:pPr>
          </w:p>
          <w:p w14:paraId="1C67F5AB" w14:textId="77777777" w:rsidR="0046798B" w:rsidRDefault="0046798B">
            <w:pPr>
              <w:pStyle w:val="TableParagraph"/>
              <w:spacing w:before="9"/>
              <w:rPr>
                <w:sz w:val="29"/>
              </w:rPr>
            </w:pPr>
          </w:p>
          <w:p w14:paraId="5B486501" w14:textId="77777777" w:rsidR="0046798B" w:rsidRDefault="00903B5C">
            <w:pPr>
              <w:pStyle w:val="TableParagraph"/>
              <w:ind w:left="115" w:right="88"/>
              <w:rPr>
                <w:b/>
                <w:sz w:val="20"/>
              </w:rPr>
            </w:pPr>
            <w:r>
              <w:rPr>
                <w:b/>
                <w:sz w:val="20"/>
              </w:rPr>
              <w:t>w_race_disc_pub lic_accom2</w:t>
            </w:r>
          </w:p>
        </w:tc>
        <w:tc>
          <w:tcPr>
            <w:tcW w:w="1596" w:type="dxa"/>
          </w:tcPr>
          <w:p w14:paraId="0357C6EF" w14:textId="77777777" w:rsidR="0046798B" w:rsidRDefault="0046798B">
            <w:pPr>
              <w:pStyle w:val="TableParagraph"/>
            </w:pPr>
          </w:p>
          <w:p w14:paraId="5977840F" w14:textId="77777777" w:rsidR="0046798B" w:rsidRDefault="0046798B">
            <w:pPr>
              <w:pStyle w:val="TableParagraph"/>
              <w:spacing w:before="9"/>
              <w:rPr>
                <w:sz w:val="21"/>
              </w:rPr>
            </w:pPr>
          </w:p>
          <w:p w14:paraId="591206FE" w14:textId="77777777" w:rsidR="0046798B" w:rsidRDefault="00903B5C">
            <w:pPr>
              <w:pStyle w:val="TableParagraph"/>
              <w:ind w:left="114" w:right="110"/>
              <w:rPr>
                <w:sz w:val="20"/>
              </w:rPr>
            </w:pPr>
            <w:r>
              <w:rPr>
                <w:sz w:val="20"/>
              </w:rPr>
              <w:t>Banning discrimination in public accommodations (post-CRA)</w:t>
            </w:r>
          </w:p>
        </w:tc>
        <w:tc>
          <w:tcPr>
            <w:tcW w:w="1285" w:type="dxa"/>
          </w:tcPr>
          <w:p w14:paraId="23A32C6C" w14:textId="77777777" w:rsidR="0046798B" w:rsidRDefault="0046798B">
            <w:pPr>
              <w:pStyle w:val="TableParagraph"/>
            </w:pPr>
          </w:p>
          <w:p w14:paraId="45EBDF29" w14:textId="77777777" w:rsidR="0046798B" w:rsidRDefault="0046798B">
            <w:pPr>
              <w:pStyle w:val="TableParagraph"/>
            </w:pPr>
          </w:p>
          <w:p w14:paraId="04DCFD04" w14:textId="77777777" w:rsidR="0046798B" w:rsidRDefault="0046798B">
            <w:pPr>
              <w:pStyle w:val="TableParagraph"/>
            </w:pPr>
          </w:p>
          <w:p w14:paraId="2CE3431E" w14:textId="77777777" w:rsidR="0046798B" w:rsidRDefault="0046798B">
            <w:pPr>
              <w:pStyle w:val="TableParagraph"/>
              <w:spacing w:before="9"/>
              <w:rPr>
                <w:sz w:val="17"/>
              </w:rPr>
            </w:pPr>
          </w:p>
          <w:p w14:paraId="2592A660" w14:textId="77777777" w:rsidR="0046798B" w:rsidRDefault="00903B5C">
            <w:pPr>
              <w:pStyle w:val="TableParagraph"/>
              <w:ind w:left="114"/>
              <w:rPr>
                <w:sz w:val="20"/>
              </w:rPr>
            </w:pPr>
            <w:r>
              <w:rPr>
                <w:sz w:val="20"/>
              </w:rPr>
              <w:t>1964–2010</w:t>
            </w:r>
          </w:p>
        </w:tc>
        <w:tc>
          <w:tcPr>
            <w:tcW w:w="3421" w:type="dxa"/>
          </w:tcPr>
          <w:p w14:paraId="06056780" w14:textId="77777777" w:rsidR="0046798B" w:rsidRDefault="00903B5C">
            <w:pPr>
              <w:pStyle w:val="TableParagraph"/>
              <w:spacing w:before="43"/>
              <w:ind w:left="114" w:right="153"/>
              <w:rPr>
                <w:sz w:val="20"/>
              </w:rPr>
            </w:pPr>
            <w:r>
              <w:rPr>
                <w:sz w:val="20"/>
              </w:rPr>
              <w:t>Did the state pass a law (with administrative enforcement) banning discrimination in public accommodations (post-CRA)? (0 = no; 1 = indicates that individuals had to bring lawsuits to enforce the ban on discrimination; 2 = indicates that there was a state agency that enforced the ban on discrimination)</w:t>
            </w:r>
          </w:p>
        </w:tc>
        <w:tc>
          <w:tcPr>
            <w:tcW w:w="6482" w:type="dxa"/>
          </w:tcPr>
          <w:p w14:paraId="18605CF0" w14:textId="77777777" w:rsidR="0046798B" w:rsidRDefault="0046798B">
            <w:pPr>
              <w:pStyle w:val="TableParagraph"/>
            </w:pPr>
          </w:p>
          <w:p w14:paraId="43DA28F2" w14:textId="77777777" w:rsidR="0046798B" w:rsidRDefault="0046798B">
            <w:pPr>
              <w:pStyle w:val="TableParagraph"/>
              <w:spacing w:before="9"/>
              <w:rPr>
                <w:sz w:val="21"/>
              </w:rPr>
            </w:pPr>
          </w:p>
          <w:p w14:paraId="2361A9E0" w14:textId="77777777" w:rsidR="0046798B" w:rsidRDefault="00903B5C">
            <w:pPr>
              <w:pStyle w:val="TableParagraph"/>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bl>
    <w:p w14:paraId="55FEEE65" w14:textId="77777777" w:rsidR="0046798B" w:rsidRDefault="0046798B">
      <w:pPr>
        <w:rPr>
          <w:sz w:val="20"/>
        </w:rPr>
        <w:sectPr w:rsidR="0046798B">
          <w:pgSz w:w="15840" w:h="12240" w:orient="landscape"/>
          <w:pgMar w:top="1220" w:right="300" w:bottom="980" w:left="820" w:header="730" w:footer="787" w:gutter="0"/>
          <w:cols w:space="720"/>
        </w:sectPr>
      </w:pPr>
    </w:p>
    <w:p w14:paraId="300C7B86" w14:textId="77777777" w:rsidR="0046798B" w:rsidRDefault="0046798B">
      <w:pPr>
        <w:pStyle w:val="BodyText"/>
        <w:spacing w:before="1"/>
        <w:rPr>
          <w:sz w:val="11"/>
        </w:rPr>
      </w:pPr>
    </w:p>
    <w:p w14:paraId="69EB8D8F" w14:textId="77777777" w:rsidR="0046798B" w:rsidRDefault="00903B5C">
      <w:pPr>
        <w:pStyle w:val="ListParagraph"/>
        <w:numPr>
          <w:ilvl w:val="0"/>
          <w:numId w:val="12"/>
        </w:numPr>
        <w:tabs>
          <w:tab w:val="left" w:pos="6537"/>
        </w:tabs>
        <w:spacing w:before="88"/>
        <w:ind w:left="6536" w:hanging="454"/>
        <w:jc w:val="left"/>
        <w:rPr>
          <w:b/>
          <w:sz w:val="28"/>
        </w:rPr>
      </w:pPr>
      <w:bookmarkStart w:id="20" w:name="XI._Environment"/>
      <w:bookmarkStart w:id="21" w:name="_bookmark10"/>
      <w:bookmarkEnd w:id="20"/>
      <w:bookmarkEnd w:id="21"/>
      <w:r>
        <w:rPr>
          <w:b/>
          <w:sz w:val="28"/>
        </w:rPr>
        <w:t>Environment</w:t>
      </w:r>
    </w:p>
    <w:p w14:paraId="0CA2848A" w14:textId="77777777" w:rsidR="0046798B" w:rsidRDefault="0046798B">
      <w:pPr>
        <w:pStyle w:val="BodyText"/>
        <w:spacing w:before="7"/>
        <w:rPr>
          <w:b/>
          <w:sz w:val="16"/>
        </w:rPr>
      </w:pPr>
    </w:p>
    <w:p w14:paraId="51C35096" w14:textId="77777777" w:rsidR="0046798B" w:rsidRDefault="00903B5C">
      <w:pPr>
        <w:pStyle w:val="ListParagraph"/>
        <w:numPr>
          <w:ilvl w:val="0"/>
          <w:numId w:val="3"/>
        </w:numPr>
        <w:tabs>
          <w:tab w:val="left" w:pos="916"/>
        </w:tabs>
        <w:spacing w:before="90"/>
        <w:rPr>
          <w:b/>
          <w:sz w:val="24"/>
        </w:rPr>
      </w:pPr>
      <w:r>
        <w:rPr>
          <w:b/>
          <w:sz w:val="24"/>
          <w:u w:val="single"/>
        </w:rPr>
        <w:t>Environmental</w:t>
      </w:r>
      <w:r>
        <w:rPr>
          <w:b/>
          <w:spacing w:val="-3"/>
          <w:sz w:val="24"/>
          <w:u w:val="single"/>
        </w:rPr>
        <w:t xml:space="preserve"> </w:t>
      </w:r>
      <w:r>
        <w:rPr>
          <w:b/>
          <w:sz w:val="24"/>
          <w:u w:val="single"/>
        </w:rPr>
        <w:t>Policy</w:t>
      </w:r>
    </w:p>
    <w:p w14:paraId="4CF77C02" w14:textId="77777777" w:rsidR="0046798B" w:rsidRDefault="0046798B">
      <w:pPr>
        <w:pStyle w:val="BodyText"/>
        <w:spacing w:before="8" w:after="1"/>
        <w:rPr>
          <w:b/>
          <w:sz w:val="23"/>
        </w:rPr>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710B1727" w14:textId="77777777">
        <w:trPr>
          <w:trHeight w:val="590"/>
        </w:trPr>
        <w:tc>
          <w:tcPr>
            <w:tcW w:w="1711" w:type="dxa"/>
          </w:tcPr>
          <w:p w14:paraId="4D5D39AF" w14:textId="77777777" w:rsidR="0046798B" w:rsidRDefault="00903B5C">
            <w:pPr>
              <w:pStyle w:val="TableParagraph"/>
              <w:spacing w:before="164"/>
              <w:ind w:left="140"/>
              <w:rPr>
                <w:b/>
              </w:rPr>
            </w:pPr>
            <w:r>
              <w:rPr>
                <w:b/>
              </w:rPr>
              <w:t>Variable Name</w:t>
            </w:r>
          </w:p>
        </w:tc>
        <w:tc>
          <w:tcPr>
            <w:tcW w:w="1596" w:type="dxa"/>
          </w:tcPr>
          <w:p w14:paraId="0C7ACA11" w14:textId="77777777" w:rsidR="0046798B" w:rsidRDefault="00903B5C">
            <w:pPr>
              <w:pStyle w:val="TableParagraph"/>
              <w:spacing w:before="39" w:line="242" w:lineRule="auto"/>
              <w:ind w:left="249" w:right="229" w:firstLine="280"/>
              <w:rPr>
                <w:b/>
              </w:rPr>
            </w:pPr>
            <w:r>
              <w:rPr>
                <w:b/>
              </w:rPr>
              <w:t>Short Description</w:t>
            </w:r>
          </w:p>
        </w:tc>
        <w:tc>
          <w:tcPr>
            <w:tcW w:w="1285" w:type="dxa"/>
          </w:tcPr>
          <w:p w14:paraId="5DA69955" w14:textId="77777777" w:rsidR="0046798B" w:rsidRDefault="00903B5C">
            <w:pPr>
              <w:pStyle w:val="TableParagraph"/>
              <w:spacing w:before="164"/>
              <w:ind w:left="364"/>
              <w:rPr>
                <w:b/>
              </w:rPr>
            </w:pPr>
            <w:r>
              <w:rPr>
                <w:b/>
              </w:rPr>
              <w:t>Years</w:t>
            </w:r>
          </w:p>
        </w:tc>
        <w:tc>
          <w:tcPr>
            <w:tcW w:w="3421" w:type="dxa"/>
          </w:tcPr>
          <w:p w14:paraId="5B5543B2" w14:textId="77777777" w:rsidR="0046798B" w:rsidRDefault="00903B5C">
            <w:pPr>
              <w:pStyle w:val="TableParagraph"/>
              <w:spacing w:before="39"/>
              <w:ind w:left="159" w:right="146"/>
              <w:jc w:val="center"/>
              <w:rPr>
                <w:b/>
              </w:rPr>
            </w:pPr>
            <w:r>
              <w:rPr>
                <w:b/>
              </w:rPr>
              <w:t>Coding /</w:t>
            </w:r>
          </w:p>
          <w:p w14:paraId="7112DA21" w14:textId="77777777" w:rsidR="0046798B" w:rsidRDefault="00903B5C">
            <w:pPr>
              <w:pStyle w:val="TableParagraph"/>
              <w:spacing w:before="3"/>
              <w:ind w:left="159" w:right="150"/>
              <w:jc w:val="center"/>
              <w:rPr>
                <w:b/>
              </w:rPr>
            </w:pPr>
            <w:r>
              <w:rPr>
                <w:b/>
              </w:rPr>
              <w:t>Longer Description (if available)</w:t>
            </w:r>
          </w:p>
        </w:tc>
        <w:tc>
          <w:tcPr>
            <w:tcW w:w="6482" w:type="dxa"/>
          </w:tcPr>
          <w:p w14:paraId="7B47155A" w14:textId="77777777" w:rsidR="0046798B" w:rsidRDefault="00903B5C">
            <w:pPr>
              <w:pStyle w:val="TableParagraph"/>
              <w:spacing w:before="164"/>
              <w:ind w:left="2852" w:right="2845"/>
              <w:jc w:val="center"/>
              <w:rPr>
                <w:b/>
              </w:rPr>
            </w:pPr>
            <w:r>
              <w:rPr>
                <w:b/>
              </w:rPr>
              <w:t>Sources</w:t>
            </w:r>
          </w:p>
        </w:tc>
      </w:tr>
      <w:tr w:rsidR="0046798B" w14:paraId="7D09E3E3" w14:textId="77777777">
        <w:trPr>
          <w:trHeight w:val="2160"/>
        </w:trPr>
        <w:tc>
          <w:tcPr>
            <w:tcW w:w="1711" w:type="dxa"/>
          </w:tcPr>
          <w:p w14:paraId="51841DF1" w14:textId="77777777" w:rsidR="0046798B" w:rsidRDefault="0046798B">
            <w:pPr>
              <w:pStyle w:val="TableParagraph"/>
              <w:rPr>
                <w:b/>
              </w:rPr>
            </w:pPr>
          </w:p>
          <w:p w14:paraId="547D7A3F" w14:textId="77777777" w:rsidR="0046798B" w:rsidRDefault="0046798B">
            <w:pPr>
              <w:pStyle w:val="TableParagraph"/>
              <w:rPr>
                <w:b/>
              </w:rPr>
            </w:pPr>
          </w:p>
          <w:p w14:paraId="6CC7989A" w14:textId="77777777" w:rsidR="0046798B" w:rsidRDefault="0046798B">
            <w:pPr>
              <w:pStyle w:val="TableParagraph"/>
              <w:spacing w:before="8"/>
              <w:rPr>
                <w:b/>
                <w:sz w:val="29"/>
              </w:rPr>
            </w:pPr>
          </w:p>
          <w:p w14:paraId="4036445B" w14:textId="77777777" w:rsidR="0046798B" w:rsidRDefault="00903B5C">
            <w:pPr>
              <w:pStyle w:val="TableParagraph"/>
              <w:spacing w:before="1"/>
              <w:ind w:left="115" w:right="165"/>
              <w:rPr>
                <w:b/>
                <w:sz w:val="20"/>
              </w:rPr>
            </w:pPr>
            <w:r>
              <w:rPr>
                <w:b/>
                <w:sz w:val="20"/>
              </w:rPr>
              <w:t>bldstds_yearado pted</w:t>
            </w:r>
          </w:p>
        </w:tc>
        <w:tc>
          <w:tcPr>
            <w:tcW w:w="1596" w:type="dxa"/>
          </w:tcPr>
          <w:p w14:paraId="7CE92CFF" w14:textId="77777777" w:rsidR="0046798B" w:rsidRDefault="0046798B">
            <w:pPr>
              <w:pStyle w:val="TableParagraph"/>
              <w:rPr>
                <w:b/>
              </w:rPr>
            </w:pPr>
          </w:p>
          <w:p w14:paraId="18703FF4" w14:textId="77777777" w:rsidR="0046798B" w:rsidRDefault="0046798B">
            <w:pPr>
              <w:pStyle w:val="TableParagraph"/>
              <w:rPr>
                <w:b/>
              </w:rPr>
            </w:pPr>
          </w:p>
          <w:p w14:paraId="25523D4C" w14:textId="77777777" w:rsidR="0046798B" w:rsidRDefault="0046798B">
            <w:pPr>
              <w:pStyle w:val="TableParagraph"/>
              <w:spacing w:before="8"/>
              <w:rPr>
                <w:b/>
                <w:sz w:val="19"/>
              </w:rPr>
            </w:pPr>
          </w:p>
          <w:p w14:paraId="5F06554A" w14:textId="77777777" w:rsidR="0046798B" w:rsidRDefault="00903B5C">
            <w:pPr>
              <w:pStyle w:val="TableParagraph"/>
              <w:spacing w:before="1"/>
              <w:ind w:left="114" w:right="229"/>
              <w:rPr>
                <w:sz w:val="20"/>
              </w:rPr>
            </w:pPr>
            <w:r>
              <w:rPr>
                <w:sz w:val="20"/>
              </w:rPr>
              <w:t>Environmental building standards</w:t>
            </w:r>
          </w:p>
        </w:tc>
        <w:tc>
          <w:tcPr>
            <w:tcW w:w="1285" w:type="dxa"/>
          </w:tcPr>
          <w:p w14:paraId="1102D911" w14:textId="77777777" w:rsidR="0046798B" w:rsidRDefault="0046798B">
            <w:pPr>
              <w:pStyle w:val="TableParagraph"/>
              <w:rPr>
                <w:b/>
              </w:rPr>
            </w:pPr>
          </w:p>
          <w:p w14:paraId="354E2B35" w14:textId="77777777" w:rsidR="0046798B" w:rsidRDefault="0046798B">
            <w:pPr>
              <w:pStyle w:val="TableParagraph"/>
              <w:rPr>
                <w:b/>
              </w:rPr>
            </w:pPr>
          </w:p>
          <w:p w14:paraId="12DC556A" w14:textId="77777777" w:rsidR="0046798B" w:rsidRDefault="0046798B">
            <w:pPr>
              <w:pStyle w:val="TableParagraph"/>
              <w:rPr>
                <w:b/>
              </w:rPr>
            </w:pPr>
          </w:p>
          <w:p w14:paraId="29C59016" w14:textId="77777777" w:rsidR="0046798B" w:rsidRDefault="0046798B">
            <w:pPr>
              <w:pStyle w:val="TableParagraph"/>
              <w:spacing w:before="9"/>
              <w:rPr>
                <w:b/>
                <w:sz w:val="17"/>
              </w:rPr>
            </w:pPr>
          </w:p>
          <w:p w14:paraId="1B3567E6" w14:textId="77777777" w:rsidR="0046798B" w:rsidRDefault="00903B5C">
            <w:pPr>
              <w:pStyle w:val="TableParagraph"/>
              <w:ind w:left="114"/>
              <w:rPr>
                <w:sz w:val="20"/>
              </w:rPr>
            </w:pPr>
            <w:r>
              <w:rPr>
                <w:sz w:val="20"/>
              </w:rPr>
              <w:t>1991–2008</w:t>
            </w:r>
          </w:p>
        </w:tc>
        <w:tc>
          <w:tcPr>
            <w:tcW w:w="3421" w:type="dxa"/>
          </w:tcPr>
          <w:p w14:paraId="6ADF961A" w14:textId="77777777" w:rsidR="0046798B" w:rsidRDefault="0046798B">
            <w:pPr>
              <w:pStyle w:val="TableParagraph"/>
              <w:rPr>
                <w:b/>
              </w:rPr>
            </w:pPr>
          </w:p>
          <w:p w14:paraId="1E8E6273" w14:textId="77777777" w:rsidR="0046798B" w:rsidRDefault="0046798B">
            <w:pPr>
              <w:pStyle w:val="TableParagraph"/>
              <w:rPr>
                <w:b/>
              </w:rPr>
            </w:pPr>
          </w:p>
          <w:p w14:paraId="5763AB1F" w14:textId="77777777" w:rsidR="0046798B" w:rsidRDefault="0046798B">
            <w:pPr>
              <w:pStyle w:val="TableParagraph"/>
              <w:spacing w:before="8"/>
              <w:rPr>
                <w:b/>
                <w:sz w:val="29"/>
              </w:rPr>
            </w:pPr>
          </w:p>
          <w:p w14:paraId="25A899D5"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5022447D" w14:textId="77777777" w:rsidR="0046798B" w:rsidRDefault="00903B5C">
            <w:pPr>
              <w:pStyle w:val="TableParagraph"/>
              <w:spacing w:before="43"/>
              <w:ind w:left="114" w:right="361"/>
              <w:rPr>
                <w:sz w:val="20"/>
              </w:rPr>
            </w:pPr>
            <w:r>
              <w:rPr>
                <w:sz w:val="20"/>
              </w:rPr>
              <w:t xml:space="preserve">Matisoff, Daniel C., and Jason Edwards. “Kindred spirits or intergovernmental competition? The innovation and diffusion of energy policies in the American states (1990–2008).” </w:t>
            </w:r>
            <w:r>
              <w:rPr>
                <w:i/>
                <w:sz w:val="20"/>
              </w:rPr>
              <w:t xml:space="preserve">Environmental Politics </w:t>
            </w:r>
            <w:r>
              <w:rPr>
                <w:sz w:val="20"/>
              </w:rPr>
              <w:t>23.5 (2014): 795–817.</w:t>
            </w:r>
          </w:p>
          <w:p w14:paraId="4DAA4D85" w14:textId="77777777" w:rsidR="0046798B" w:rsidRDefault="0046798B">
            <w:pPr>
              <w:pStyle w:val="TableParagraph"/>
              <w:rPr>
                <w:b/>
                <w:sz w:val="20"/>
              </w:rPr>
            </w:pPr>
          </w:p>
          <w:p w14:paraId="196CC68E"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473FD354" w14:textId="77777777">
        <w:trPr>
          <w:trHeight w:val="2616"/>
        </w:trPr>
        <w:tc>
          <w:tcPr>
            <w:tcW w:w="1711" w:type="dxa"/>
          </w:tcPr>
          <w:p w14:paraId="7F788567" w14:textId="77777777" w:rsidR="0046798B" w:rsidRDefault="0046798B">
            <w:pPr>
              <w:pStyle w:val="TableParagraph"/>
              <w:rPr>
                <w:b/>
              </w:rPr>
            </w:pPr>
          </w:p>
          <w:p w14:paraId="4DA2D00E" w14:textId="77777777" w:rsidR="0046798B" w:rsidRDefault="0046798B">
            <w:pPr>
              <w:pStyle w:val="TableParagraph"/>
              <w:rPr>
                <w:b/>
              </w:rPr>
            </w:pPr>
          </w:p>
          <w:p w14:paraId="7A148ADD" w14:textId="77777777" w:rsidR="0046798B" w:rsidRDefault="0046798B">
            <w:pPr>
              <w:pStyle w:val="TableParagraph"/>
              <w:rPr>
                <w:b/>
              </w:rPr>
            </w:pPr>
          </w:p>
          <w:p w14:paraId="01204211" w14:textId="77777777" w:rsidR="0046798B" w:rsidRDefault="0046798B">
            <w:pPr>
              <w:pStyle w:val="TableParagraph"/>
              <w:spacing w:before="4"/>
              <w:rPr>
                <w:b/>
                <w:sz w:val="27"/>
              </w:rPr>
            </w:pPr>
          </w:p>
          <w:p w14:paraId="4D932A5E" w14:textId="77777777" w:rsidR="0046798B" w:rsidRDefault="00903B5C">
            <w:pPr>
              <w:pStyle w:val="TableParagraph"/>
              <w:ind w:left="115" w:right="122"/>
              <w:rPr>
                <w:b/>
                <w:sz w:val="20"/>
              </w:rPr>
            </w:pPr>
            <w:r>
              <w:rPr>
                <w:b/>
                <w:sz w:val="20"/>
              </w:rPr>
              <w:t>corporateeff_yea radopted</w:t>
            </w:r>
          </w:p>
        </w:tc>
        <w:tc>
          <w:tcPr>
            <w:tcW w:w="1596" w:type="dxa"/>
          </w:tcPr>
          <w:p w14:paraId="21CD27BA" w14:textId="77777777" w:rsidR="0046798B" w:rsidRDefault="00903B5C">
            <w:pPr>
              <w:pStyle w:val="TableParagraph"/>
              <w:spacing w:before="38"/>
              <w:ind w:left="114" w:right="247"/>
              <w:rPr>
                <w:sz w:val="20"/>
              </w:rPr>
            </w:pPr>
            <w:r>
              <w:rPr>
                <w:sz w:val="20"/>
              </w:rPr>
              <w:t>Corporate tax credits for efficiency; financial incentives for certain energy- efficient equipment installed and placed into service</w:t>
            </w:r>
          </w:p>
        </w:tc>
        <w:tc>
          <w:tcPr>
            <w:tcW w:w="1285" w:type="dxa"/>
          </w:tcPr>
          <w:p w14:paraId="5679C5C3" w14:textId="77777777" w:rsidR="0046798B" w:rsidRDefault="0046798B">
            <w:pPr>
              <w:pStyle w:val="TableParagraph"/>
              <w:rPr>
                <w:b/>
              </w:rPr>
            </w:pPr>
          </w:p>
          <w:p w14:paraId="18A4B6B7" w14:textId="77777777" w:rsidR="0046798B" w:rsidRDefault="0046798B">
            <w:pPr>
              <w:pStyle w:val="TableParagraph"/>
              <w:rPr>
                <w:b/>
              </w:rPr>
            </w:pPr>
          </w:p>
          <w:p w14:paraId="02023B0A" w14:textId="77777777" w:rsidR="0046798B" w:rsidRDefault="0046798B">
            <w:pPr>
              <w:pStyle w:val="TableParagraph"/>
              <w:rPr>
                <w:b/>
              </w:rPr>
            </w:pPr>
          </w:p>
          <w:p w14:paraId="2A9F96B9" w14:textId="77777777" w:rsidR="0046798B" w:rsidRDefault="0046798B">
            <w:pPr>
              <w:pStyle w:val="TableParagraph"/>
              <w:rPr>
                <w:b/>
              </w:rPr>
            </w:pPr>
          </w:p>
          <w:p w14:paraId="4765F181" w14:textId="77777777" w:rsidR="0046798B" w:rsidRDefault="00903B5C">
            <w:pPr>
              <w:pStyle w:val="TableParagraph"/>
              <w:spacing w:before="177"/>
              <w:ind w:left="114"/>
              <w:rPr>
                <w:sz w:val="20"/>
              </w:rPr>
            </w:pPr>
            <w:r>
              <w:rPr>
                <w:sz w:val="20"/>
              </w:rPr>
              <w:t>1990–2008</w:t>
            </w:r>
          </w:p>
        </w:tc>
        <w:tc>
          <w:tcPr>
            <w:tcW w:w="3421" w:type="dxa"/>
          </w:tcPr>
          <w:p w14:paraId="2CEEB87B" w14:textId="77777777" w:rsidR="0046798B" w:rsidRDefault="0046798B">
            <w:pPr>
              <w:pStyle w:val="TableParagraph"/>
              <w:rPr>
                <w:b/>
              </w:rPr>
            </w:pPr>
          </w:p>
          <w:p w14:paraId="5D281F9F" w14:textId="77777777" w:rsidR="0046798B" w:rsidRDefault="0046798B">
            <w:pPr>
              <w:pStyle w:val="TableParagraph"/>
              <w:rPr>
                <w:b/>
              </w:rPr>
            </w:pPr>
          </w:p>
          <w:p w14:paraId="675207E7" w14:textId="77777777" w:rsidR="0046798B" w:rsidRDefault="0046798B">
            <w:pPr>
              <w:pStyle w:val="TableParagraph"/>
              <w:rPr>
                <w:b/>
              </w:rPr>
            </w:pPr>
          </w:p>
          <w:p w14:paraId="51060D65" w14:textId="77777777" w:rsidR="0046798B" w:rsidRDefault="0046798B">
            <w:pPr>
              <w:pStyle w:val="TableParagraph"/>
              <w:spacing w:before="4"/>
              <w:rPr>
                <w:b/>
                <w:sz w:val="27"/>
              </w:rPr>
            </w:pPr>
          </w:p>
          <w:p w14:paraId="703CCBC8" w14:textId="77777777" w:rsidR="0046798B" w:rsidRDefault="00903B5C">
            <w:pPr>
              <w:pStyle w:val="TableParagraph"/>
              <w:ind w:left="114" w:right="1475"/>
              <w:rPr>
                <w:sz w:val="20"/>
              </w:rPr>
            </w:pPr>
            <w:r>
              <w:rPr>
                <w:sz w:val="20"/>
              </w:rPr>
              <w:t>0 = policy not adopted 1 = policy adopted</w:t>
            </w:r>
          </w:p>
        </w:tc>
        <w:tc>
          <w:tcPr>
            <w:tcW w:w="6482" w:type="dxa"/>
          </w:tcPr>
          <w:p w14:paraId="6762ADAB" w14:textId="77777777" w:rsidR="0046798B" w:rsidRDefault="0046798B">
            <w:pPr>
              <w:pStyle w:val="TableParagraph"/>
              <w:spacing w:before="4"/>
              <w:rPr>
                <w:b/>
                <w:sz w:val="23"/>
              </w:rPr>
            </w:pPr>
          </w:p>
          <w:p w14:paraId="4FAD5642" w14:textId="77777777" w:rsidR="0046798B" w:rsidRDefault="00903B5C">
            <w:pPr>
              <w:pStyle w:val="TableParagraph"/>
              <w:ind w:left="114" w:right="361"/>
              <w:rPr>
                <w:sz w:val="20"/>
              </w:rPr>
            </w:pPr>
            <w:r>
              <w:rPr>
                <w:sz w:val="20"/>
              </w:rPr>
              <w:t xml:space="preserve">Matisoff, Daniel C., and Jason Edwards. “Kindred spirits or intergovernmental competition? The innovation and diffusion of energy policies in the American states (1990–2008).” </w:t>
            </w:r>
            <w:r>
              <w:rPr>
                <w:i/>
                <w:sz w:val="20"/>
              </w:rPr>
              <w:t xml:space="preserve">Environmental Politics </w:t>
            </w:r>
            <w:r>
              <w:rPr>
                <w:sz w:val="20"/>
              </w:rPr>
              <w:t>23.5 (2014): 795–817.</w:t>
            </w:r>
          </w:p>
          <w:p w14:paraId="47D2F359" w14:textId="77777777" w:rsidR="0046798B" w:rsidRDefault="0046798B">
            <w:pPr>
              <w:pStyle w:val="TableParagraph"/>
              <w:rPr>
                <w:b/>
                <w:sz w:val="20"/>
              </w:rPr>
            </w:pPr>
          </w:p>
          <w:p w14:paraId="02CE8137"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614794CB" w14:textId="77777777">
        <w:trPr>
          <w:trHeight w:val="2155"/>
        </w:trPr>
        <w:tc>
          <w:tcPr>
            <w:tcW w:w="1711" w:type="dxa"/>
          </w:tcPr>
          <w:p w14:paraId="769B07C5" w14:textId="77777777" w:rsidR="0046798B" w:rsidRDefault="0046798B">
            <w:pPr>
              <w:pStyle w:val="TableParagraph"/>
              <w:rPr>
                <w:b/>
              </w:rPr>
            </w:pPr>
          </w:p>
          <w:p w14:paraId="348601A2" w14:textId="77777777" w:rsidR="0046798B" w:rsidRDefault="0046798B">
            <w:pPr>
              <w:pStyle w:val="TableParagraph"/>
              <w:rPr>
                <w:b/>
              </w:rPr>
            </w:pPr>
          </w:p>
          <w:p w14:paraId="13F98171" w14:textId="77777777" w:rsidR="0046798B" w:rsidRDefault="0046798B">
            <w:pPr>
              <w:pStyle w:val="TableParagraph"/>
              <w:spacing w:before="3"/>
              <w:rPr>
                <w:b/>
                <w:sz w:val="29"/>
              </w:rPr>
            </w:pPr>
          </w:p>
          <w:p w14:paraId="65E77A81" w14:textId="77777777" w:rsidR="0046798B" w:rsidRDefault="00903B5C">
            <w:pPr>
              <w:pStyle w:val="TableParagraph"/>
              <w:ind w:left="115" w:right="111"/>
              <w:rPr>
                <w:b/>
                <w:sz w:val="20"/>
              </w:rPr>
            </w:pPr>
            <w:r>
              <w:rPr>
                <w:b/>
                <w:sz w:val="20"/>
              </w:rPr>
              <w:t>corporaterenew_ yearadopted</w:t>
            </w:r>
          </w:p>
        </w:tc>
        <w:tc>
          <w:tcPr>
            <w:tcW w:w="1596" w:type="dxa"/>
          </w:tcPr>
          <w:p w14:paraId="7C539860" w14:textId="77777777" w:rsidR="0046798B" w:rsidRDefault="0046798B">
            <w:pPr>
              <w:pStyle w:val="TableParagraph"/>
              <w:rPr>
                <w:b/>
              </w:rPr>
            </w:pPr>
          </w:p>
          <w:p w14:paraId="2E09A232" w14:textId="77777777" w:rsidR="0046798B" w:rsidRDefault="0046798B">
            <w:pPr>
              <w:pStyle w:val="TableParagraph"/>
              <w:rPr>
                <w:b/>
              </w:rPr>
            </w:pPr>
          </w:p>
          <w:p w14:paraId="42A033CD" w14:textId="77777777" w:rsidR="0046798B" w:rsidRDefault="0046798B">
            <w:pPr>
              <w:pStyle w:val="TableParagraph"/>
              <w:spacing w:before="3"/>
              <w:rPr>
                <w:b/>
                <w:sz w:val="19"/>
              </w:rPr>
            </w:pPr>
          </w:p>
          <w:p w14:paraId="16F01EEF" w14:textId="77777777" w:rsidR="0046798B" w:rsidRDefault="00903B5C">
            <w:pPr>
              <w:pStyle w:val="TableParagraph"/>
              <w:ind w:left="114" w:right="274"/>
              <w:rPr>
                <w:sz w:val="20"/>
              </w:rPr>
            </w:pPr>
            <w:r>
              <w:rPr>
                <w:sz w:val="20"/>
              </w:rPr>
              <w:t>Tax credits for renewable technologies</w:t>
            </w:r>
          </w:p>
        </w:tc>
        <w:tc>
          <w:tcPr>
            <w:tcW w:w="1285" w:type="dxa"/>
          </w:tcPr>
          <w:p w14:paraId="14DF7A0A" w14:textId="77777777" w:rsidR="0046798B" w:rsidRDefault="0046798B">
            <w:pPr>
              <w:pStyle w:val="TableParagraph"/>
              <w:rPr>
                <w:b/>
              </w:rPr>
            </w:pPr>
          </w:p>
          <w:p w14:paraId="5C59827C" w14:textId="77777777" w:rsidR="0046798B" w:rsidRDefault="0046798B">
            <w:pPr>
              <w:pStyle w:val="TableParagraph"/>
              <w:rPr>
                <w:b/>
              </w:rPr>
            </w:pPr>
          </w:p>
          <w:p w14:paraId="70EFB95E" w14:textId="77777777" w:rsidR="0046798B" w:rsidRDefault="0046798B">
            <w:pPr>
              <w:pStyle w:val="TableParagraph"/>
              <w:rPr>
                <w:b/>
              </w:rPr>
            </w:pPr>
          </w:p>
          <w:p w14:paraId="37A741B0" w14:textId="77777777" w:rsidR="0046798B" w:rsidRDefault="0046798B">
            <w:pPr>
              <w:pStyle w:val="TableParagraph"/>
              <w:spacing w:before="3"/>
              <w:rPr>
                <w:b/>
                <w:sz w:val="17"/>
              </w:rPr>
            </w:pPr>
          </w:p>
          <w:p w14:paraId="268FBE34" w14:textId="77777777" w:rsidR="0046798B" w:rsidRDefault="00903B5C">
            <w:pPr>
              <w:pStyle w:val="TableParagraph"/>
              <w:ind w:left="114"/>
              <w:rPr>
                <w:sz w:val="20"/>
              </w:rPr>
            </w:pPr>
            <w:r>
              <w:rPr>
                <w:sz w:val="20"/>
              </w:rPr>
              <w:t>1990–2008</w:t>
            </w:r>
          </w:p>
        </w:tc>
        <w:tc>
          <w:tcPr>
            <w:tcW w:w="3421" w:type="dxa"/>
          </w:tcPr>
          <w:p w14:paraId="73808C62" w14:textId="77777777" w:rsidR="0046798B" w:rsidRDefault="0046798B">
            <w:pPr>
              <w:pStyle w:val="TableParagraph"/>
              <w:rPr>
                <w:b/>
              </w:rPr>
            </w:pPr>
          </w:p>
          <w:p w14:paraId="25966DFC" w14:textId="77777777" w:rsidR="0046798B" w:rsidRDefault="0046798B">
            <w:pPr>
              <w:pStyle w:val="TableParagraph"/>
              <w:rPr>
                <w:b/>
              </w:rPr>
            </w:pPr>
          </w:p>
          <w:p w14:paraId="1706230F" w14:textId="77777777" w:rsidR="0046798B" w:rsidRDefault="0046798B">
            <w:pPr>
              <w:pStyle w:val="TableParagraph"/>
              <w:spacing w:before="3"/>
              <w:rPr>
                <w:b/>
                <w:sz w:val="29"/>
              </w:rPr>
            </w:pPr>
          </w:p>
          <w:p w14:paraId="617BA700" w14:textId="77777777" w:rsidR="0046798B" w:rsidRDefault="00903B5C">
            <w:pPr>
              <w:pStyle w:val="TableParagraph"/>
              <w:ind w:left="114" w:right="1475"/>
              <w:rPr>
                <w:sz w:val="20"/>
              </w:rPr>
            </w:pPr>
            <w:r>
              <w:rPr>
                <w:sz w:val="20"/>
              </w:rPr>
              <w:t>0 = policy not adopted 1 = policy adopted</w:t>
            </w:r>
          </w:p>
        </w:tc>
        <w:tc>
          <w:tcPr>
            <w:tcW w:w="6482" w:type="dxa"/>
          </w:tcPr>
          <w:p w14:paraId="5FC29FD0" w14:textId="77777777" w:rsidR="0046798B" w:rsidRDefault="00903B5C">
            <w:pPr>
              <w:pStyle w:val="TableParagraph"/>
              <w:spacing w:before="38"/>
              <w:ind w:left="114" w:right="361"/>
              <w:rPr>
                <w:sz w:val="20"/>
              </w:rPr>
            </w:pPr>
            <w:r>
              <w:rPr>
                <w:sz w:val="20"/>
              </w:rPr>
              <w:t xml:space="preserve">Matisoff, Daniel C., and Jason Edwards. “Kindred spirits or intergovernmental competition? The innovation and diffusion of energy policies in the American states (1990–2008).” </w:t>
            </w:r>
            <w:r>
              <w:rPr>
                <w:i/>
                <w:sz w:val="20"/>
              </w:rPr>
              <w:t xml:space="preserve">Environmental Politics </w:t>
            </w:r>
            <w:r>
              <w:rPr>
                <w:sz w:val="20"/>
              </w:rPr>
              <w:t>23.5 (2014): 795–817.</w:t>
            </w:r>
          </w:p>
          <w:p w14:paraId="4879CF38" w14:textId="77777777" w:rsidR="0046798B" w:rsidRDefault="0046798B">
            <w:pPr>
              <w:pStyle w:val="TableParagraph"/>
              <w:rPr>
                <w:b/>
                <w:sz w:val="20"/>
              </w:rPr>
            </w:pPr>
          </w:p>
          <w:p w14:paraId="040F7D53"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18D64CF" w14:textId="77777777">
        <w:trPr>
          <w:trHeight w:val="545"/>
        </w:trPr>
        <w:tc>
          <w:tcPr>
            <w:tcW w:w="1711" w:type="dxa"/>
          </w:tcPr>
          <w:p w14:paraId="12242011" w14:textId="77777777" w:rsidR="0046798B" w:rsidRDefault="00903B5C">
            <w:pPr>
              <w:pStyle w:val="TableParagraph"/>
              <w:spacing w:before="38"/>
              <w:ind w:left="115" w:right="111"/>
              <w:rPr>
                <w:b/>
                <w:sz w:val="20"/>
              </w:rPr>
            </w:pPr>
            <w:r>
              <w:rPr>
                <w:b/>
                <w:sz w:val="20"/>
              </w:rPr>
              <w:t>netmeter_yearad opted</w:t>
            </w:r>
          </w:p>
        </w:tc>
        <w:tc>
          <w:tcPr>
            <w:tcW w:w="1596" w:type="dxa"/>
          </w:tcPr>
          <w:p w14:paraId="0EEEEA5F" w14:textId="77777777" w:rsidR="0046798B" w:rsidRDefault="00903B5C">
            <w:pPr>
              <w:pStyle w:val="TableParagraph"/>
              <w:spacing w:before="38"/>
              <w:ind w:left="114" w:right="269"/>
              <w:rPr>
                <w:sz w:val="20"/>
              </w:rPr>
            </w:pPr>
            <w:r>
              <w:rPr>
                <w:sz w:val="20"/>
              </w:rPr>
              <w:t>Implement on- site renewable</w:t>
            </w:r>
          </w:p>
        </w:tc>
        <w:tc>
          <w:tcPr>
            <w:tcW w:w="1285" w:type="dxa"/>
          </w:tcPr>
          <w:p w14:paraId="7EA1E8D8" w14:textId="77777777" w:rsidR="0046798B" w:rsidRDefault="00903B5C">
            <w:pPr>
              <w:pStyle w:val="TableParagraph"/>
              <w:spacing w:before="153"/>
              <w:ind w:left="114"/>
              <w:rPr>
                <w:sz w:val="20"/>
              </w:rPr>
            </w:pPr>
            <w:r>
              <w:rPr>
                <w:sz w:val="20"/>
              </w:rPr>
              <w:t>1990–2008</w:t>
            </w:r>
          </w:p>
        </w:tc>
        <w:tc>
          <w:tcPr>
            <w:tcW w:w="3421" w:type="dxa"/>
          </w:tcPr>
          <w:p w14:paraId="246E985D" w14:textId="77777777" w:rsidR="0046798B" w:rsidRDefault="00903B5C">
            <w:pPr>
              <w:pStyle w:val="TableParagraph"/>
              <w:spacing w:before="38"/>
              <w:ind w:left="114" w:right="1475"/>
              <w:rPr>
                <w:sz w:val="20"/>
              </w:rPr>
            </w:pPr>
            <w:r>
              <w:rPr>
                <w:sz w:val="20"/>
              </w:rPr>
              <w:t>0 = policy not adopted 1 = policy adopted</w:t>
            </w:r>
          </w:p>
        </w:tc>
        <w:tc>
          <w:tcPr>
            <w:tcW w:w="6482" w:type="dxa"/>
          </w:tcPr>
          <w:p w14:paraId="41D7DEDC" w14:textId="77777777" w:rsidR="0046798B" w:rsidRDefault="00903B5C">
            <w:pPr>
              <w:pStyle w:val="TableParagraph"/>
              <w:spacing w:before="38"/>
              <w:ind w:left="114" w:right="589"/>
              <w:rPr>
                <w:sz w:val="20"/>
              </w:rPr>
            </w:pPr>
            <w:r>
              <w:rPr>
                <w:sz w:val="20"/>
              </w:rPr>
              <w:t>Matisoff, Daniel C., and Jason Edwards. “Kindred spirits or intergovernmental competition? The innovation and diffusion of energy</w:t>
            </w:r>
          </w:p>
        </w:tc>
      </w:tr>
    </w:tbl>
    <w:p w14:paraId="7861063A" w14:textId="77777777" w:rsidR="0046798B" w:rsidRDefault="0046798B">
      <w:pPr>
        <w:rPr>
          <w:sz w:val="20"/>
        </w:rPr>
        <w:sectPr w:rsidR="0046798B">
          <w:pgSz w:w="15840" w:h="12240" w:orient="landscape"/>
          <w:pgMar w:top="1220" w:right="300" w:bottom="980" w:left="820" w:header="730" w:footer="787" w:gutter="0"/>
          <w:cols w:space="720"/>
        </w:sectPr>
      </w:pPr>
    </w:p>
    <w:p w14:paraId="3D38E5A4"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220163C9" w14:textId="77777777">
        <w:trPr>
          <w:trHeight w:val="1696"/>
        </w:trPr>
        <w:tc>
          <w:tcPr>
            <w:tcW w:w="1711" w:type="dxa"/>
          </w:tcPr>
          <w:p w14:paraId="4ACEA71C" w14:textId="77777777" w:rsidR="0046798B" w:rsidRDefault="0046798B">
            <w:pPr>
              <w:pStyle w:val="TableParagraph"/>
              <w:rPr>
                <w:sz w:val="20"/>
              </w:rPr>
            </w:pPr>
          </w:p>
        </w:tc>
        <w:tc>
          <w:tcPr>
            <w:tcW w:w="1596" w:type="dxa"/>
          </w:tcPr>
          <w:p w14:paraId="74EDB18A" w14:textId="77777777" w:rsidR="0046798B" w:rsidRDefault="00903B5C">
            <w:pPr>
              <w:pStyle w:val="TableParagraph"/>
              <w:spacing w:before="43"/>
              <w:ind w:left="114" w:right="607"/>
              <w:rPr>
                <w:sz w:val="20"/>
              </w:rPr>
            </w:pPr>
            <w:r>
              <w:rPr>
                <w:sz w:val="20"/>
              </w:rPr>
              <w:t>energy generation</w:t>
            </w:r>
          </w:p>
        </w:tc>
        <w:tc>
          <w:tcPr>
            <w:tcW w:w="1285" w:type="dxa"/>
          </w:tcPr>
          <w:p w14:paraId="5DC0E933" w14:textId="77777777" w:rsidR="0046798B" w:rsidRDefault="0046798B">
            <w:pPr>
              <w:pStyle w:val="TableParagraph"/>
              <w:rPr>
                <w:sz w:val="20"/>
              </w:rPr>
            </w:pPr>
          </w:p>
        </w:tc>
        <w:tc>
          <w:tcPr>
            <w:tcW w:w="3421" w:type="dxa"/>
          </w:tcPr>
          <w:p w14:paraId="4CBF4349" w14:textId="77777777" w:rsidR="0046798B" w:rsidRDefault="0046798B">
            <w:pPr>
              <w:pStyle w:val="TableParagraph"/>
              <w:rPr>
                <w:sz w:val="20"/>
              </w:rPr>
            </w:pPr>
          </w:p>
        </w:tc>
        <w:tc>
          <w:tcPr>
            <w:tcW w:w="6482" w:type="dxa"/>
          </w:tcPr>
          <w:p w14:paraId="608527BA" w14:textId="77777777" w:rsidR="0046798B" w:rsidRDefault="00903B5C">
            <w:pPr>
              <w:pStyle w:val="TableParagraph"/>
              <w:spacing w:before="43"/>
              <w:ind w:left="114" w:right="361"/>
              <w:rPr>
                <w:sz w:val="20"/>
              </w:rPr>
            </w:pPr>
            <w:r>
              <w:rPr>
                <w:sz w:val="20"/>
              </w:rPr>
              <w:t xml:space="preserve">policies in the American states (1990–2008).” </w:t>
            </w:r>
            <w:r>
              <w:rPr>
                <w:i/>
                <w:sz w:val="20"/>
              </w:rPr>
              <w:t xml:space="preserve">Environmental Politics </w:t>
            </w:r>
            <w:r>
              <w:rPr>
                <w:sz w:val="20"/>
              </w:rPr>
              <w:t>23.5 (2014): 795–817.</w:t>
            </w:r>
          </w:p>
          <w:p w14:paraId="6F51ED19" w14:textId="77777777" w:rsidR="0046798B" w:rsidRDefault="0046798B">
            <w:pPr>
              <w:pStyle w:val="TableParagraph"/>
              <w:rPr>
                <w:sz w:val="20"/>
              </w:rPr>
            </w:pPr>
          </w:p>
          <w:p w14:paraId="3501D2D1"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4D5FC2DE" w14:textId="77777777">
        <w:trPr>
          <w:trHeight w:val="2155"/>
        </w:trPr>
        <w:tc>
          <w:tcPr>
            <w:tcW w:w="1711" w:type="dxa"/>
          </w:tcPr>
          <w:p w14:paraId="2A5DD0EA" w14:textId="77777777" w:rsidR="0046798B" w:rsidRDefault="0046798B">
            <w:pPr>
              <w:pStyle w:val="TableParagraph"/>
            </w:pPr>
          </w:p>
          <w:p w14:paraId="6C247201" w14:textId="77777777" w:rsidR="0046798B" w:rsidRDefault="0046798B">
            <w:pPr>
              <w:pStyle w:val="TableParagraph"/>
            </w:pPr>
          </w:p>
          <w:p w14:paraId="4D3677C4" w14:textId="77777777" w:rsidR="0046798B" w:rsidRDefault="0046798B">
            <w:pPr>
              <w:pStyle w:val="TableParagraph"/>
              <w:spacing w:before="8"/>
              <w:rPr>
                <w:sz w:val="29"/>
              </w:rPr>
            </w:pPr>
          </w:p>
          <w:p w14:paraId="3D9D6728" w14:textId="77777777" w:rsidR="0046798B" w:rsidRDefault="00903B5C">
            <w:pPr>
              <w:pStyle w:val="TableParagraph"/>
              <w:spacing w:before="1"/>
              <w:ind w:left="115" w:right="88"/>
              <w:rPr>
                <w:b/>
                <w:sz w:val="20"/>
              </w:rPr>
            </w:pPr>
            <w:r>
              <w:rPr>
                <w:b/>
                <w:sz w:val="20"/>
              </w:rPr>
              <w:t>personaltax_year adopted</w:t>
            </w:r>
          </w:p>
        </w:tc>
        <w:tc>
          <w:tcPr>
            <w:tcW w:w="1596" w:type="dxa"/>
          </w:tcPr>
          <w:p w14:paraId="5A8B31E9" w14:textId="77777777" w:rsidR="0046798B" w:rsidRDefault="0046798B">
            <w:pPr>
              <w:pStyle w:val="TableParagraph"/>
            </w:pPr>
          </w:p>
          <w:p w14:paraId="2906A351" w14:textId="77777777" w:rsidR="0046798B" w:rsidRDefault="0046798B">
            <w:pPr>
              <w:pStyle w:val="TableParagraph"/>
              <w:spacing w:before="8"/>
              <w:rPr>
                <w:sz w:val="31"/>
              </w:rPr>
            </w:pPr>
          </w:p>
          <w:p w14:paraId="7EB434F0" w14:textId="77777777" w:rsidR="0046798B" w:rsidRDefault="00903B5C">
            <w:pPr>
              <w:pStyle w:val="TableParagraph"/>
              <w:spacing w:before="1"/>
              <w:ind w:left="114" w:right="224"/>
              <w:rPr>
                <w:sz w:val="20"/>
              </w:rPr>
            </w:pPr>
            <w:r>
              <w:rPr>
                <w:sz w:val="20"/>
              </w:rPr>
              <w:t>Residential tax credits for renewable energy systems</w:t>
            </w:r>
          </w:p>
        </w:tc>
        <w:tc>
          <w:tcPr>
            <w:tcW w:w="1285" w:type="dxa"/>
          </w:tcPr>
          <w:p w14:paraId="625FC536" w14:textId="77777777" w:rsidR="0046798B" w:rsidRDefault="0046798B">
            <w:pPr>
              <w:pStyle w:val="TableParagraph"/>
            </w:pPr>
          </w:p>
          <w:p w14:paraId="0F1D835C" w14:textId="77777777" w:rsidR="0046798B" w:rsidRDefault="0046798B">
            <w:pPr>
              <w:pStyle w:val="TableParagraph"/>
            </w:pPr>
          </w:p>
          <w:p w14:paraId="7A45129F" w14:textId="77777777" w:rsidR="0046798B" w:rsidRDefault="0046798B">
            <w:pPr>
              <w:pStyle w:val="TableParagraph"/>
            </w:pPr>
          </w:p>
          <w:p w14:paraId="46E8526D" w14:textId="77777777" w:rsidR="0046798B" w:rsidRDefault="0046798B">
            <w:pPr>
              <w:pStyle w:val="TableParagraph"/>
              <w:spacing w:before="9"/>
              <w:rPr>
                <w:sz w:val="17"/>
              </w:rPr>
            </w:pPr>
          </w:p>
          <w:p w14:paraId="59AEF264" w14:textId="77777777" w:rsidR="0046798B" w:rsidRDefault="00903B5C">
            <w:pPr>
              <w:pStyle w:val="TableParagraph"/>
              <w:ind w:left="114"/>
              <w:rPr>
                <w:sz w:val="20"/>
              </w:rPr>
            </w:pPr>
            <w:r>
              <w:rPr>
                <w:sz w:val="20"/>
              </w:rPr>
              <w:t>1990–2008</w:t>
            </w:r>
          </w:p>
        </w:tc>
        <w:tc>
          <w:tcPr>
            <w:tcW w:w="3421" w:type="dxa"/>
          </w:tcPr>
          <w:p w14:paraId="2795DB85" w14:textId="77777777" w:rsidR="0046798B" w:rsidRDefault="0046798B">
            <w:pPr>
              <w:pStyle w:val="TableParagraph"/>
            </w:pPr>
          </w:p>
          <w:p w14:paraId="3B133417" w14:textId="77777777" w:rsidR="0046798B" w:rsidRDefault="0046798B">
            <w:pPr>
              <w:pStyle w:val="TableParagraph"/>
            </w:pPr>
          </w:p>
          <w:p w14:paraId="6AC227BA" w14:textId="77777777" w:rsidR="0046798B" w:rsidRDefault="0046798B">
            <w:pPr>
              <w:pStyle w:val="TableParagraph"/>
              <w:spacing w:before="8"/>
              <w:rPr>
                <w:sz w:val="29"/>
              </w:rPr>
            </w:pPr>
          </w:p>
          <w:p w14:paraId="357AEE73"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481A907D" w14:textId="77777777" w:rsidR="0046798B" w:rsidRDefault="00903B5C">
            <w:pPr>
              <w:pStyle w:val="TableParagraph"/>
              <w:spacing w:before="43"/>
              <w:ind w:left="114" w:right="361"/>
              <w:rPr>
                <w:sz w:val="20"/>
              </w:rPr>
            </w:pPr>
            <w:r>
              <w:rPr>
                <w:sz w:val="20"/>
              </w:rPr>
              <w:t xml:space="preserve">Matisoff, Daniel C., and Jason Edwards. “Kindred spirits or intergovernmental competition? The innovation and diffusion of energy policies in the American states (1990–2008).” </w:t>
            </w:r>
            <w:r>
              <w:rPr>
                <w:i/>
                <w:sz w:val="20"/>
              </w:rPr>
              <w:t xml:space="preserve">Environmental Politics </w:t>
            </w:r>
            <w:r>
              <w:rPr>
                <w:sz w:val="20"/>
              </w:rPr>
              <w:t>23.5 (2014): 795–817.</w:t>
            </w:r>
          </w:p>
          <w:p w14:paraId="3E25D5AA" w14:textId="77777777" w:rsidR="0046798B" w:rsidRDefault="0046798B">
            <w:pPr>
              <w:pStyle w:val="TableParagraph"/>
              <w:rPr>
                <w:sz w:val="20"/>
              </w:rPr>
            </w:pPr>
          </w:p>
          <w:p w14:paraId="4C82B4D2"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694815A0" w14:textId="77777777">
        <w:trPr>
          <w:trHeight w:val="2160"/>
        </w:trPr>
        <w:tc>
          <w:tcPr>
            <w:tcW w:w="1711" w:type="dxa"/>
          </w:tcPr>
          <w:p w14:paraId="6DC38BAC" w14:textId="77777777" w:rsidR="0046798B" w:rsidRDefault="0046798B">
            <w:pPr>
              <w:pStyle w:val="TableParagraph"/>
            </w:pPr>
          </w:p>
          <w:p w14:paraId="01D23B33" w14:textId="77777777" w:rsidR="0046798B" w:rsidRDefault="0046798B">
            <w:pPr>
              <w:pStyle w:val="TableParagraph"/>
            </w:pPr>
          </w:p>
          <w:p w14:paraId="7935D4C9" w14:textId="77777777" w:rsidR="0046798B" w:rsidRDefault="0046798B">
            <w:pPr>
              <w:pStyle w:val="TableParagraph"/>
              <w:spacing w:before="9"/>
              <w:rPr>
                <w:sz w:val="29"/>
              </w:rPr>
            </w:pPr>
          </w:p>
          <w:p w14:paraId="21312B3E" w14:textId="77777777" w:rsidR="0046798B" w:rsidRDefault="00903B5C">
            <w:pPr>
              <w:pStyle w:val="TableParagraph"/>
              <w:ind w:left="115" w:right="144"/>
              <w:rPr>
                <w:b/>
                <w:sz w:val="20"/>
              </w:rPr>
            </w:pPr>
            <w:r>
              <w:rPr>
                <w:b/>
                <w:sz w:val="20"/>
              </w:rPr>
              <w:t>personaltaxeff_y earadopted</w:t>
            </w:r>
          </w:p>
        </w:tc>
        <w:tc>
          <w:tcPr>
            <w:tcW w:w="1596" w:type="dxa"/>
          </w:tcPr>
          <w:p w14:paraId="7654BC9E" w14:textId="77777777" w:rsidR="0046798B" w:rsidRDefault="0046798B">
            <w:pPr>
              <w:pStyle w:val="TableParagraph"/>
            </w:pPr>
          </w:p>
          <w:p w14:paraId="2BD4E419" w14:textId="77777777" w:rsidR="0046798B" w:rsidRDefault="0046798B">
            <w:pPr>
              <w:pStyle w:val="TableParagraph"/>
            </w:pPr>
          </w:p>
          <w:p w14:paraId="213F5FBC" w14:textId="77777777" w:rsidR="0046798B" w:rsidRDefault="0046798B">
            <w:pPr>
              <w:pStyle w:val="TableParagraph"/>
              <w:spacing w:before="9"/>
              <w:rPr>
                <w:sz w:val="19"/>
              </w:rPr>
            </w:pPr>
          </w:p>
          <w:p w14:paraId="1748822C" w14:textId="77777777" w:rsidR="0046798B" w:rsidRDefault="00903B5C">
            <w:pPr>
              <w:pStyle w:val="TableParagraph"/>
              <w:ind w:left="114" w:right="257"/>
              <w:rPr>
                <w:sz w:val="20"/>
              </w:rPr>
            </w:pPr>
            <w:r>
              <w:rPr>
                <w:sz w:val="20"/>
              </w:rPr>
              <w:t>Residential tax credits for efficiency</w:t>
            </w:r>
          </w:p>
        </w:tc>
        <w:tc>
          <w:tcPr>
            <w:tcW w:w="1285" w:type="dxa"/>
          </w:tcPr>
          <w:p w14:paraId="53B6816A" w14:textId="77777777" w:rsidR="0046798B" w:rsidRDefault="0046798B">
            <w:pPr>
              <w:pStyle w:val="TableParagraph"/>
            </w:pPr>
          </w:p>
          <w:p w14:paraId="1B8F9886" w14:textId="77777777" w:rsidR="0046798B" w:rsidRDefault="0046798B">
            <w:pPr>
              <w:pStyle w:val="TableParagraph"/>
            </w:pPr>
          </w:p>
          <w:p w14:paraId="6EDB1E6D" w14:textId="77777777" w:rsidR="0046798B" w:rsidRDefault="0046798B">
            <w:pPr>
              <w:pStyle w:val="TableParagraph"/>
            </w:pPr>
          </w:p>
          <w:p w14:paraId="672B1BF4" w14:textId="77777777" w:rsidR="0046798B" w:rsidRDefault="0046798B">
            <w:pPr>
              <w:pStyle w:val="TableParagraph"/>
              <w:spacing w:before="9"/>
              <w:rPr>
                <w:sz w:val="17"/>
              </w:rPr>
            </w:pPr>
          </w:p>
          <w:p w14:paraId="7BDC5041" w14:textId="77777777" w:rsidR="0046798B" w:rsidRDefault="00903B5C">
            <w:pPr>
              <w:pStyle w:val="TableParagraph"/>
              <w:ind w:left="114"/>
              <w:rPr>
                <w:sz w:val="20"/>
              </w:rPr>
            </w:pPr>
            <w:r>
              <w:rPr>
                <w:sz w:val="20"/>
              </w:rPr>
              <w:t>1990–2008</w:t>
            </w:r>
          </w:p>
        </w:tc>
        <w:tc>
          <w:tcPr>
            <w:tcW w:w="3421" w:type="dxa"/>
          </w:tcPr>
          <w:p w14:paraId="4DFFCE0A" w14:textId="77777777" w:rsidR="0046798B" w:rsidRDefault="0046798B">
            <w:pPr>
              <w:pStyle w:val="TableParagraph"/>
            </w:pPr>
          </w:p>
          <w:p w14:paraId="69903C5B" w14:textId="77777777" w:rsidR="0046798B" w:rsidRDefault="0046798B">
            <w:pPr>
              <w:pStyle w:val="TableParagraph"/>
            </w:pPr>
          </w:p>
          <w:p w14:paraId="5D687062" w14:textId="77777777" w:rsidR="0046798B" w:rsidRDefault="0046798B">
            <w:pPr>
              <w:pStyle w:val="TableParagraph"/>
              <w:spacing w:before="9"/>
              <w:rPr>
                <w:sz w:val="29"/>
              </w:rPr>
            </w:pPr>
          </w:p>
          <w:p w14:paraId="0AAC4D13" w14:textId="77777777" w:rsidR="0046798B" w:rsidRDefault="00903B5C">
            <w:pPr>
              <w:pStyle w:val="TableParagraph"/>
              <w:ind w:left="114" w:right="1475"/>
              <w:rPr>
                <w:sz w:val="20"/>
              </w:rPr>
            </w:pPr>
            <w:r>
              <w:rPr>
                <w:sz w:val="20"/>
              </w:rPr>
              <w:t>0 = policy not adopted 1 = policy adopted</w:t>
            </w:r>
          </w:p>
        </w:tc>
        <w:tc>
          <w:tcPr>
            <w:tcW w:w="6482" w:type="dxa"/>
          </w:tcPr>
          <w:p w14:paraId="0F1593D8" w14:textId="77777777" w:rsidR="0046798B" w:rsidRDefault="00903B5C">
            <w:pPr>
              <w:pStyle w:val="TableParagraph"/>
              <w:spacing w:before="43"/>
              <w:ind w:left="114" w:right="361"/>
              <w:rPr>
                <w:sz w:val="20"/>
              </w:rPr>
            </w:pPr>
            <w:r>
              <w:rPr>
                <w:sz w:val="20"/>
              </w:rPr>
              <w:t xml:space="preserve">Matisoff, Daniel C., and Jason Edwards. “Kindred spirits or intergovernmental competition? The innovation and diffusion of energy policies in the American states (1990–2008).” </w:t>
            </w:r>
            <w:r>
              <w:rPr>
                <w:i/>
                <w:sz w:val="20"/>
              </w:rPr>
              <w:t xml:space="preserve">Environmental Politics </w:t>
            </w:r>
            <w:r>
              <w:rPr>
                <w:sz w:val="20"/>
              </w:rPr>
              <w:t>23.5 (2014): 795–817.</w:t>
            </w:r>
          </w:p>
          <w:p w14:paraId="49D572F3" w14:textId="77777777" w:rsidR="0046798B" w:rsidRDefault="0046798B">
            <w:pPr>
              <w:pStyle w:val="TableParagraph"/>
              <w:rPr>
                <w:sz w:val="20"/>
              </w:rPr>
            </w:pPr>
          </w:p>
          <w:p w14:paraId="1CA7B7EF"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418E09F1" w14:textId="77777777">
        <w:trPr>
          <w:trHeight w:val="2155"/>
        </w:trPr>
        <w:tc>
          <w:tcPr>
            <w:tcW w:w="1711" w:type="dxa"/>
          </w:tcPr>
          <w:p w14:paraId="0D72981C" w14:textId="77777777" w:rsidR="0046798B" w:rsidRDefault="0046798B">
            <w:pPr>
              <w:pStyle w:val="TableParagraph"/>
            </w:pPr>
          </w:p>
          <w:p w14:paraId="00421CC1" w14:textId="77777777" w:rsidR="0046798B" w:rsidRDefault="0046798B">
            <w:pPr>
              <w:pStyle w:val="TableParagraph"/>
            </w:pPr>
          </w:p>
          <w:p w14:paraId="0355BC88" w14:textId="77777777" w:rsidR="0046798B" w:rsidRDefault="0046798B">
            <w:pPr>
              <w:pStyle w:val="TableParagraph"/>
              <w:spacing w:before="4"/>
              <w:rPr>
                <w:sz w:val="29"/>
              </w:rPr>
            </w:pPr>
          </w:p>
          <w:p w14:paraId="0B2E6B87" w14:textId="77777777" w:rsidR="0046798B" w:rsidRDefault="00903B5C">
            <w:pPr>
              <w:pStyle w:val="TableParagraph"/>
              <w:ind w:left="115" w:right="88"/>
              <w:rPr>
                <w:b/>
                <w:sz w:val="20"/>
              </w:rPr>
            </w:pPr>
            <w:r>
              <w:rPr>
                <w:b/>
                <w:sz w:val="20"/>
              </w:rPr>
              <w:t>pubbenefits_year adopted</w:t>
            </w:r>
          </w:p>
        </w:tc>
        <w:tc>
          <w:tcPr>
            <w:tcW w:w="1596" w:type="dxa"/>
          </w:tcPr>
          <w:p w14:paraId="0EDFCBC9" w14:textId="77777777" w:rsidR="0046798B" w:rsidRDefault="0046798B">
            <w:pPr>
              <w:pStyle w:val="TableParagraph"/>
            </w:pPr>
          </w:p>
          <w:p w14:paraId="3A9991FC" w14:textId="77777777" w:rsidR="0046798B" w:rsidRDefault="0046798B">
            <w:pPr>
              <w:pStyle w:val="TableParagraph"/>
            </w:pPr>
          </w:p>
          <w:p w14:paraId="308235F8" w14:textId="77777777" w:rsidR="0046798B" w:rsidRDefault="0046798B">
            <w:pPr>
              <w:pStyle w:val="TableParagraph"/>
              <w:spacing w:before="4"/>
              <w:rPr>
                <w:sz w:val="29"/>
              </w:rPr>
            </w:pPr>
          </w:p>
          <w:p w14:paraId="0E5D3CEB" w14:textId="77777777" w:rsidR="0046798B" w:rsidRDefault="00903B5C">
            <w:pPr>
              <w:pStyle w:val="TableParagraph"/>
              <w:ind w:left="114" w:right="324"/>
              <w:rPr>
                <w:sz w:val="20"/>
              </w:rPr>
            </w:pPr>
            <w:r>
              <w:rPr>
                <w:sz w:val="20"/>
              </w:rPr>
              <w:t>Collect public benefit fund</w:t>
            </w:r>
          </w:p>
        </w:tc>
        <w:tc>
          <w:tcPr>
            <w:tcW w:w="1285" w:type="dxa"/>
          </w:tcPr>
          <w:p w14:paraId="29F6C456" w14:textId="77777777" w:rsidR="0046798B" w:rsidRDefault="0046798B">
            <w:pPr>
              <w:pStyle w:val="TableParagraph"/>
            </w:pPr>
          </w:p>
          <w:p w14:paraId="7AD6DD39" w14:textId="77777777" w:rsidR="0046798B" w:rsidRDefault="0046798B">
            <w:pPr>
              <w:pStyle w:val="TableParagraph"/>
            </w:pPr>
          </w:p>
          <w:p w14:paraId="1FF1C693" w14:textId="77777777" w:rsidR="0046798B" w:rsidRDefault="0046798B">
            <w:pPr>
              <w:pStyle w:val="TableParagraph"/>
            </w:pPr>
          </w:p>
          <w:p w14:paraId="195BBA6A" w14:textId="77777777" w:rsidR="0046798B" w:rsidRDefault="0046798B">
            <w:pPr>
              <w:pStyle w:val="TableParagraph"/>
              <w:spacing w:before="4"/>
              <w:rPr>
                <w:sz w:val="17"/>
              </w:rPr>
            </w:pPr>
          </w:p>
          <w:p w14:paraId="6F0B3325" w14:textId="77777777" w:rsidR="0046798B" w:rsidRDefault="00903B5C">
            <w:pPr>
              <w:pStyle w:val="TableParagraph"/>
              <w:ind w:left="114"/>
              <w:rPr>
                <w:sz w:val="20"/>
              </w:rPr>
            </w:pPr>
            <w:r>
              <w:rPr>
                <w:sz w:val="20"/>
              </w:rPr>
              <w:t>1996–2005</w:t>
            </w:r>
          </w:p>
        </w:tc>
        <w:tc>
          <w:tcPr>
            <w:tcW w:w="3421" w:type="dxa"/>
          </w:tcPr>
          <w:p w14:paraId="1BB60CF4" w14:textId="77777777" w:rsidR="0046798B" w:rsidRDefault="0046798B">
            <w:pPr>
              <w:pStyle w:val="TableParagraph"/>
            </w:pPr>
          </w:p>
          <w:p w14:paraId="321B9F85" w14:textId="77777777" w:rsidR="0046798B" w:rsidRDefault="0046798B">
            <w:pPr>
              <w:pStyle w:val="TableParagraph"/>
            </w:pPr>
          </w:p>
          <w:p w14:paraId="68C3719A" w14:textId="77777777" w:rsidR="0046798B" w:rsidRDefault="0046798B">
            <w:pPr>
              <w:pStyle w:val="TableParagraph"/>
              <w:spacing w:before="4"/>
              <w:rPr>
                <w:sz w:val="29"/>
              </w:rPr>
            </w:pPr>
          </w:p>
          <w:p w14:paraId="2CEA1B4E" w14:textId="77777777" w:rsidR="0046798B" w:rsidRDefault="00903B5C">
            <w:pPr>
              <w:pStyle w:val="TableParagraph"/>
              <w:ind w:left="114" w:right="1475"/>
              <w:rPr>
                <w:sz w:val="20"/>
              </w:rPr>
            </w:pPr>
            <w:r>
              <w:rPr>
                <w:sz w:val="20"/>
              </w:rPr>
              <w:t>0 = policy not adopted 1 = policy adopted</w:t>
            </w:r>
          </w:p>
        </w:tc>
        <w:tc>
          <w:tcPr>
            <w:tcW w:w="6482" w:type="dxa"/>
          </w:tcPr>
          <w:p w14:paraId="2C264A91" w14:textId="77777777" w:rsidR="0046798B" w:rsidRDefault="00903B5C">
            <w:pPr>
              <w:pStyle w:val="TableParagraph"/>
              <w:spacing w:before="38"/>
              <w:ind w:left="114" w:right="361"/>
              <w:rPr>
                <w:sz w:val="20"/>
              </w:rPr>
            </w:pPr>
            <w:r>
              <w:rPr>
                <w:sz w:val="20"/>
              </w:rPr>
              <w:t xml:space="preserve">Matisoff, Daniel C., and Jason Edwards. “Kindred spirits or intergovernmental competition? The innovation and diffusion of energy policies in the American states (1990–2008).” </w:t>
            </w:r>
            <w:r>
              <w:rPr>
                <w:i/>
                <w:sz w:val="20"/>
              </w:rPr>
              <w:t xml:space="preserve">Environmental Politics </w:t>
            </w:r>
            <w:r>
              <w:rPr>
                <w:sz w:val="20"/>
              </w:rPr>
              <w:t>23.5 (2014): 795–817.</w:t>
            </w:r>
          </w:p>
          <w:p w14:paraId="54075E3D" w14:textId="77777777" w:rsidR="0046798B" w:rsidRDefault="0046798B">
            <w:pPr>
              <w:pStyle w:val="TableParagraph"/>
              <w:rPr>
                <w:sz w:val="20"/>
              </w:rPr>
            </w:pPr>
          </w:p>
          <w:p w14:paraId="39B72187"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68FF4C69" w14:textId="77777777">
        <w:trPr>
          <w:trHeight w:val="1005"/>
        </w:trPr>
        <w:tc>
          <w:tcPr>
            <w:tcW w:w="1711" w:type="dxa"/>
          </w:tcPr>
          <w:p w14:paraId="01202A7C" w14:textId="77777777" w:rsidR="0046798B" w:rsidRDefault="0046798B">
            <w:pPr>
              <w:pStyle w:val="TableParagraph"/>
            </w:pPr>
          </w:p>
          <w:p w14:paraId="4A0A98E9" w14:textId="77777777" w:rsidR="0046798B" w:rsidRDefault="00903B5C">
            <w:pPr>
              <w:pStyle w:val="TableParagraph"/>
              <w:spacing w:before="130"/>
              <w:ind w:left="115"/>
              <w:rPr>
                <w:b/>
                <w:sz w:val="20"/>
              </w:rPr>
            </w:pPr>
            <w:r>
              <w:rPr>
                <w:b/>
                <w:sz w:val="20"/>
              </w:rPr>
              <w:t>rps_yearadopted</w:t>
            </w:r>
          </w:p>
        </w:tc>
        <w:tc>
          <w:tcPr>
            <w:tcW w:w="1596" w:type="dxa"/>
          </w:tcPr>
          <w:p w14:paraId="1398EF86" w14:textId="77777777" w:rsidR="0046798B" w:rsidRDefault="00903B5C">
            <w:pPr>
              <w:pStyle w:val="TableParagraph"/>
              <w:spacing w:before="153"/>
              <w:ind w:left="114" w:right="563"/>
              <w:rPr>
                <w:sz w:val="20"/>
              </w:rPr>
            </w:pPr>
            <w:r>
              <w:rPr>
                <w:sz w:val="20"/>
              </w:rPr>
              <w:t>Renewable portfolio standard</w:t>
            </w:r>
          </w:p>
        </w:tc>
        <w:tc>
          <w:tcPr>
            <w:tcW w:w="1285" w:type="dxa"/>
          </w:tcPr>
          <w:p w14:paraId="6D29B48E" w14:textId="77777777" w:rsidR="0046798B" w:rsidRDefault="0046798B">
            <w:pPr>
              <w:pStyle w:val="TableParagraph"/>
            </w:pPr>
          </w:p>
          <w:p w14:paraId="7400935C" w14:textId="77777777" w:rsidR="0046798B" w:rsidRDefault="00903B5C">
            <w:pPr>
              <w:pStyle w:val="TableParagraph"/>
              <w:spacing w:before="130"/>
              <w:ind w:left="114"/>
              <w:rPr>
                <w:sz w:val="20"/>
              </w:rPr>
            </w:pPr>
            <w:r>
              <w:rPr>
                <w:sz w:val="20"/>
              </w:rPr>
              <w:t>1997–2008</w:t>
            </w:r>
          </w:p>
        </w:tc>
        <w:tc>
          <w:tcPr>
            <w:tcW w:w="3421" w:type="dxa"/>
          </w:tcPr>
          <w:p w14:paraId="5522204A" w14:textId="77777777" w:rsidR="0046798B" w:rsidRDefault="0046798B">
            <w:pPr>
              <w:pStyle w:val="TableParagraph"/>
              <w:spacing w:before="3"/>
              <w:rPr>
                <w:sz w:val="23"/>
              </w:rPr>
            </w:pPr>
          </w:p>
          <w:p w14:paraId="193D9811"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6AFF8E34" w14:textId="77777777" w:rsidR="0046798B" w:rsidRDefault="00903B5C">
            <w:pPr>
              <w:pStyle w:val="TableParagraph"/>
              <w:spacing w:before="38"/>
              <w:ind w:left="114" w:right="361"/>
              <w:rPr>
                <w:sz w:val="20"/>
              </w:rPr>
            </w:pPr>
            <w:r>
              <w:rPr>
                <w:sz w:val="20"/>
              </w:rPr>
              <w:t xml:space="preserve">Matisoff, Daniel C., and Jason Edwards. “Kindred spirits or intergovernmental competition? The innovation and diffusion of energy policies in the American states (1990–2008).” </w:t>
            </w:r>
            <w:r>
              <w:rPr>
                <w:i/>
                <w:sz w:val="20"/>
              </w:rPr>
              <w:t xml:space="preserve">Environmental Politics </w:t>
            </w:r>
            <w:r>
              <w:rPr>
                <w:sz w:val="20"/>
              </w:rPr>
              <w:t>23.5 (2014): 795–817.</w:t>
            </w:r>
          </w:p>
        </w:tc>
      </w:tr>
    </w:tbl>
    <w:p w14:paraId="25234B29" w14:textId="77777777" w:rsidR="0046798B" w:rsidRDefault="0046798B">
      <w:pPr>
        <w:rPr>
          <w:sz w:val="20"/>
        </w:rPr>
        <w:sectPr w:rsidR="0046798B">
          <w:pgSz w:w="15840" w:h="12240" w:orient="landscape"/>
          <w:pgMar w:top="1220" w:right="300" w:bottom="980" w:left="820" w:header="730" w:footer="787" w:gutter="0"/>
          <w:cols w:space="720"/>
        </w:sectPr>
      </w:pPr>
    </w:p>
    <w:p w14:paraId="560736C4"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59E36FFA" w14:textId="77777777">
        <w:trPr>
          <w:trHeight w:val="1235"/>
        </w:trPr>
        <w:tc>
          <w:tcPr>
            <w:tcW w:w="1711" w:type="dxa"/>
          </w:tcPr>
          <w:p w14:paraId="6DCCD2FE" w14:textId="77777777" w:rsidR="0046798B" w:rsidRDefault="0046798B">
            <w:pPr>
              <w:pStyle w:val="TableParagraph"/>
              <w:rPr>
                <w:sz w:val="20"/>
              </w:rPr>
            </w:pPr>
          </w:p>
        </w:tc>
        <w:tc>
          <w:tcPr>
            <w:tcW w:w="1596" w:type="dxa"/>
          </w:tcPr>
          <w:p w14:paraId="65C759A6" w14:textId="77777777" w:rsidR="0046798B" w:rsidRDefault="0046798B">
            <w:pPr>
              <w:pStyle w:val="TableParagraph"/>
              <w:rPr>
                <w:sz w:val="20"/>
              </w:rPr>
            </w:pPr>
          </w:p>
        </w:tc>
        <w:tc>
          <w:tcPr>
            <w:tcW w:w="1285" w:type="dxa"/>
          </w:tcPr>
          <w:p w14:paraId="2BC72D6B" w14:textId="77777777" w:rsidR="0046798B" w:rsidRDefault="0046798B">
            <w:pPr>
              <w:pStyle w:val="TableParagraph"/>
              <w:rPr>
                <w:sz w:val="20"/>
              </w:rPr>
            </w:pPr>
          </w:p>
        </w:tc>
        <w:tc>
          <w:tcPr>
            <w:tcW w:w="3421" w:type="dxa"/>
          </w:tcPr>
          <w:p w14:paraId="13261BDE" w14:textId="77777777" w:rsidR="0046798B" w:rsidRDefault="0046798B">
            <w:pPr>
              <w:pStyle w:val="TableParagraph"/>
              <w:rPr>
                <w:sz w:val="20"/>
              </w:rPr>
            </w:pPr>
          </w:p>
        </w:tc>
        <w:tc>
          <w:tcPr>
            <w:tcW w:w="6482" w:type="dxa"/>
          </w:tcPr>
          <w:p w14:paraId="3807DDC1" w14:textId="77777777" w:rsidR="0046798B" w:rsidRDefault="0046798B">
            <w:pPr>
              <w:pStyle w:val="TableParagraph"/>
              <w:spacing w:before="9"/>
              <w:rPr>
                <w:sz w:val="23"/>
              </w:rPr>
            </w:pPr>
          </w:p>
          <w:p w14:paraId="20D3013E"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7BD0C6DF" w14:textId="77777777">
        <w:trPr>
          <w:trHeight w:val="545"/>
        </w:trPr>
        <w:tc>
          <w:tcPr>
            <w:tcW w:w="1711" w:type="dxa"/>
          </w:tcPr>
          <w:p w14:paraId="054BBC77" w14:textId="77777777" w:rsidR="0046798B" w:rsidRDefault="00903B5C">
            <w:pPr>
              <w:pStyle w:val="TableParagraph"/>
              <w:spacing w:before="158"/>
              <w:ind w:left="115"/>
              <w:rPr>
                <w:b/>
                <w:sz w:val="20"/>
              </w:rPr>
            </w:pPr>
            <w:r>
              <w:rPr>
                <w:b/>
                <w:sz w:val="20"/>
              </w:rPr>
              <w:t>bottle</w:t>
            </w:r>
          </w:p>
        </w:tc>
        <w:tc>
          <w:tcPr>
            <w:tcW w:w="1596" w:type="dxa"/>
          </w:tcPr>
          <w:p w14:paraId="4589D142" w14:textId="77777777" w:rsidR="0046798B" w:rsidRDefault="00903B5C">
            <w:pPr>
              <w:pStyle w:val="TableParagraph"/>
              <w:spacing w:before="43"/>
              <w:ind w:left="114" w:right="335"/>
              <w:rPr>
                <w:sz w:val="20"/>
              </w:rPr>
            </w:pPr>
            <w:r>
              <w:rPr>
                <w:sz w:val="20"/>
              </w:rPr>
              <w:t>Bottle deposit law</w:t>
            </w:r>
          </w:p>
        </w:tc>
        <w:tc>
          <w:tcPr>
            <w:tcW w:w="1285" w:type="dxa"/>
          </w:tcPr>
          <w:p w14:paraId="532DBB60" w14:textId="77777777" w:rsidR="0046798B" w:rsidRDefault="00903B5C">
            <w:pPr>
              <w:pStyle w:val="TableParagraph"/>
              <w:spacing w:before="158"/>
              <w:ind w:left="114"/>
              <w:rPr>
                <w:sz w:val="20"/>
              </w:rPr>
            </w:pPr>
            <w:r>
              <w:rPr>
                <w:sz w:val="20"/>
              </w:rPr>
              <w:t>1971–2002</w:t>
            </w:r>
          </w:p>
        </w:tc>
        <w:tc>
          <w:tcPr>
            <w:tcW w:w="3421" w:type="dxa"/>
          </w:tcPr>
          <w:p w14:paraId="1C7A2905" w14:textId="77777777" w:rsidR="0046798B" w:rsidRDefault="00903B5C">
            <w:pPr>
              <w:pStyle w:val="TableParagraph"/>
              <w:spacing w:before="43"/>
              <w:ind w:left="114"/>
              <w:rPr>
                <w:sz w:val="20"/>
              </w:rPr>
            </w:pPr>
            <w:r>
              <w:rPr>
                <w:sz w:val="20"/>
              </w:rPr>
              <w:t>Did state adopt a bottle deposit law? (0</w:t>
            </w:r>
          </w:p>
          <w:p w14:paraId="158461D0" w14:textId="77777777" w:rsidR="0046798B" w:rsidRDefault="00903B5C">
            <w:pPr>
              <w:pStyle w:val="TableParagraph"/>
              <w:spacing w:before="1"/>
              <w:ind w:left="114"/>
              <w:rPr>
                <w:sz w:val="20"/>
              </w:rPr>
            </w:pPr>
            <w:r>
              <w:rPr>
                <w:sz w:val="20"/>
              </w:rPr>
              <w:t>= no, 1 = yes)</w:t>
            </w:r>
          </w:p>
        </w:tc>
        <w:tc>
          <w:tcPr>
            <w:tcW w:w="6482" w:type="dxa"/>
          </w:tcPr>
          <w:p w14:paraId="12A9167F" w14:textId="77777777" w:rsidR="0046798B" w:rsidRDefault="00903B5C">
            <w:pPr>
              <w:pStyle w:val="TableParagraph"/>
              <w:spacing w:before="4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611F1F03" w14:textId="77777777">
        <w:trPr>
          <w:trHeight w:val="550"/>
        </w:trPr>
        <w:tc>
          <w:tcPr>
            <w:tcW w:w="1711" w:type="dxa"/>
          </w:tcPr>
          <w:p w14:paraId="136A56D2" w14:textId="77777777" w:rsidR="0046798B" w:rsidRDefault="00903B5C">
            <w:pPr>
              <w:pStyle w:val="TableParagraph"/>
              <w:spacing w:before="158"/>
              <w:ind w:left="115"/>
              <w:rPr>
                <w:b/>
                <w:sz w:val="20"/>
              </w:rPr>
            </w:pPr>
            <w:r>
              <w:rPr>
                <w:b/>
                <w:sz w:val="20"/>
              </w:rPr>
              <w:t>elecdereg</w:t>
            </w:r>
          </w:p>
        </w:tc>
        <w:tc>
          <w:tcPr>
            <w:tcW w:w="1596" w:type="dxa"/>
          </w:tcPr>
          <w:p w14:paraId="719168DD" w14:textId="77777777" w:rsidR="0046798B" w:rsidRDefault="00903B5C">
            <w:pPr>
              <w:pStyle w:val="TableParagraph"/>
              <w:spacing w:before="43"/>
              <w:ind w:left="114" w:right="452"/>
              <w:rPr>
                <w:sz w:val="20"/>
              </w:rPr>
            </w:pPr>
            <w:r>
              <w:rPr>
                <w:sz w:val="20"/>
              </w:rPr>
              <w:t>Electricity deregulation</w:t>
            </w:r>
          </w:p>
        </w:tc>
        <w:tc>
          <w:tcPr>
            <w:tcW w:w="1285" w:type="dxa"/>
          </w:tcPr>
          <w:p w14:paraId="7270D76D" w14:textId="77777777" w:rsidR="0046798B" w:rsidRDefault="00903B5C">
            <w:pPr>
              <w:pStyle w:val="TableParagraph"/>
              <w:spacing w:before="158"/>
              <w:ind w:left="114"/>
              <w:rPr>
                <w:sz w:val="20"/>
              </w:rPr>
            </w:pPr>
            <w:r>
              <w:rPr>
                <w:sz w:val="20"/>
              </w:rPr>
              <w:t>1996–1999</w:t>
            </w:r>
          </w:p>
        </w:tc>
        <w:tc>
          <w:tcPr>
            <w:tcW w:w="3421" w:type="dxa"/>
          </w:tcPr>
          <w:p w14:paraId="6E055539" w14:textId="77777777" w:rsidR="0046798B" w:rsidRDefault="00903B5C">
            <w:pPr>
              <w:pStyle w:val="TableParagraph"/>
              <w:spacing w:before="43"/>
              <w:ind w:left="114" w:right="813"/>
              <w:rPr>
                <w:sz w:val="20"/>
              </w:rPr>
            </w:pPr>
            <w:r>
              <w:rPr>
                <w:sz w:val="20"/>
              </w:rPr>
              <w:t>Did state adopt electricity deregulation? (0 = no, 1 = yes)</w:t>
            </w:r>
          </w:p>
        </w:tc>
        <w:tc>
          <w:tcPr>
            <w:tcW w:w="6482" w:type="dxa"/>
          </w:tcPr>
          <w:p w14:paraId="5DA369CF" w14:textId="77777777" w:rsidR="0046798B" w:rsidRDefault="00903B5C">
            <w:pPr>
              <w:pStyle w:val="TableParagraph"/>
              <w:spacing w:before="4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325104FC" w14:textId="77777777">
        <w:trPr>
          <w:trHeight w:val="1005"/>
        </w:trPr>
        <w:tc>
          <w:tcPr>
            <w:tcW w:w="1711" w:type="dxa"/>
          </w:tcPr>
          <w:p w14:paraId="01F596C0" w14:textId="77777777" w:rsidR="0046798B" w:rsidRDefault="0046798B">
            <w:pPr>
              <w:pStyle w:val="TableParagraph"/>
            </w:pPr>
          </w:p>
          <w:p w14:paraId="45A5035D" w14:textId="77777777" w:rsidR="0046798B" w:rsidRDefault="00903B5C">
            <w:pPr>
              <w:pStyle w:val="TableParagraph"/>
              <w:spacing w:before="130"/>
              <w:ind w:left="115"/>
              <w:rPr>
                <w:b/>
                <w:sz w:val="20"/>
              </w:rPr>
            </w:pPr>
            <w:r>
              <w:rPr>
                <w:b/>
                <w:sz w:val="20"/>
              </w:rPr>
              <w:t>environ</w:t>
            </w:r>
          </w:p>
        </w:tc>
        <w:tc>
          <w:tcPr>
            <w:tcW w:w="1596" w:type="dxa"/>
          </w:tcPr>
          <w:p w14:paraId="667EE8CB" w14:textId="77777777" w:rsidR="0046798B" w:rsidRDefault="00903B5C">
            <w:pPr>
              <w:pStyle w:val="TableParagraph"/>
              <w:spacing w:before="38"/>
              <w:ind w:left="114" w:right="296"/>
              <w:rPr>
                <w:sz w:val="20"/>
              </w:rPr>
            </w:pPr>
            <w:r>
              <w:rPr>
                <w:sz w:val="20"/>
              </w:rPr>
              <w:t>Strategic planning for environmental protection</w:t>
            </w:r>
          </w:p>
        </w:tc>
        <w:tc>
          <w:tcPr>
            <w:tcW w:w="1285" w:type="dxa"/>
          </w:tcPr>
          <w:p w14:paraId="2DB594B4" w14:textId="77777777" w:rsidR="0046798B" w:rsidRDefault="0046798B">
            <w:pPr>
              <w:pStyle w:val="TableParagraph"/>
            </w:pPr>
          </w:p>
          <w:p w14:paraId="2A1698E1" w14:textId="77777777" w:rsidR="0046798B" w:rsidRDefault="00903B5C">
            <w:pPr>
              <w:pStyle w:val="TableParagraph"/>
              <w:spacing w:before="130"/>
              <w:ind w:left="114"/>
              <w:rPr>
                <w:sz w:val="20"/>
              </w:rPr>
            </w:pPr>
            <w:r>
              <w:rPr>
                <w:sz w:val="20"/>
              </w:rPr>
              <w:t>1978–1991</w:t>
            </w:r>
          </w:p>
        </w:tc>
        <w:tc>
          <w:tcPr>
            <w:tcW w:w="3421" w:type="dxa"/>
          </w:tcPr>
          <w:p w14:paraId="3FF3C143" w14:textId="77777777" w:rsidR="0046798B" w:rsidRDefault="00903B5C">
            <w:pPr>
              <w:pStyle w:val="TableParagraph"/>
              <w:spacing w:before="153"/>
              <w:ind w:left="114" w:right="180"/>
              <w:rPr>
                <w:sz w:val="20"/>
              </w:rPr>
            </w:pPr>
            <w:r>
              <w:rPr>
                <w:sz w:val="20"/>
              </w:rPr>
              <w:t>Did state adopt strategic planning for environmental protection? (0 = no, 1 = yes)</w:t>
            </w:r>
          </w:p>
        </w:tc>
        <w:tc>
          <w:tcPr>
            <w:tcW w:w="6482" w:type="dxa"/>
          </w:tcPr>
          <w:p w14:paraId="0549F2CC" w14:textId="77777777" w:rsidR="0046798B" w:rsidRDefault="0046798B">
            <w:pPr>
              <w:pStyle w:val="TableParagraph"/>
              <w:spacing w:before="3"/>
              <w:rPr>
                <w:sz w:val="23"/>
              </w:rPr>
            </w:pPr>
          </w:p>
          <w:p w14:paraId="00F42C38" w14:textId="77777777" w:rsidR="0046798B" w:rsidRDefault="00903B5C">
            <w:pPr>
              <w:pStyle w:val="TableParagraph"/>
              <w:spacing w:before="1"/>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670E08AF" w14:textId="77777777">
        <w:trPr>
          <w:trHeight w:val="775"/>
        </w:trPr>
        <w:tc>
          <w:tcPr>
            <w:tcW w:w="1711" w:type="dxa"/>
          </w:tcPr>
          <w:p w14:paraId="69390A91" w14:textId="77777777" w:rsidR="0046798B" w:rsidRDefault="0046798B">
            <w:pPr>
              <w:pStyle w:val="TableParagraph"/>
              <w:spacing w:before="3"/>
              <w:rPr>
                <w:sz w:val="23"/>
              </w:rPr>
            </w:pPr>
          </w:p>
          <w:p w14:paraId="4C574BE8" w14:textId="77777777" w:rsidR="0046798B" w:rsidRDefault="00903B5C">
            <w:pPr>
              <w:pStyle w:val="TableParagraph"/>
              <w:spacing w:before="1"/>
              <w:ind w:left="115"/>
              <w:rPr>
                <w:b/>
                <w:sz w:val="20"/>
              </w:rPr>
            </w:pPr>
            <w:r>
              <w:rPr>
                <w:b/>
                <w:sz w:val="20"/>
              </w:rPr>
              <w:t>natreso</w:t>
            </w:r>
          </w:p>
        </w:tc>
        <w:tc>
          <w:tcPr>
            <w:tcW w:w="1596" w:type="dxa"/>
          </w:tcPr>
          <w:p w14:paraId="4C07E2BD" w14:textId="77777777" w:rsidR="0046798B" w:rsidRDefault="00903B5C">
            <w:pPr>
              <w:pStyle w:val="TableParagraph"/>
              <w:spacing w:before="38"/>
              <w:ind w:left="114" w:right="91"/>
              <w:rPr>
                <w:sz w:val="20"/>
              </w:rPr>
            </w:pPr>
            <w:r>
              <w:rPr>
                <w:sz w:val="20"/>
              </w:rPr>
              <w:t>Strategic planning for natural resources</w:t>
            </w:r>
          </w:p>
        </w:tc>
        <w:tc>
          <w:tcPr>
            <w:tcW w:w="1285" w:type="dxa"/>
          </w:tcPr>
          <w:p w14:paraId="6592563B" w14:textId="77777777" w:rsidR="0046798B" w:rsidRDefault="0046798B">
            <w:pPr>
              <w:pStyle w:val="TableParagraph"/>
              <w:spacing w:before="3"/>
              <w:rPr>
                <w:sz w:val="23"/>
              </w:rPr>
            </w:pPr>
          </w:p>
          <w:p w14:paraId="3A031304" w14:textId="77777777" w:rsidR="0046798B" w:rsidRDefault="00903B5C">
            <w:pPr>
              <w:pStyle w:val="TableParagraph"/>
              <w:spacing w:before="1"/>
              <w:ind w:left="114"/>
              <w:rPr>
                <w:sz w:val="20"/>
              </w:rPr>
            </w:pPr>
            <w:r>
              <w:rPr>
                <w:sz w:val="20"/>
              </w:rPr>
              <w:t>1975–1991</w:t>
            </w:r>
          </w:p>
        </w:tc>
        <w:tc>
          <w:tcPr>
            <w:tcW w:w="3421" w:type="dxa"/>
          </w:tcPr>
          <w:p w14:paraId="22FD446A" w14:textId="77777777" w:rsidR="0046798B" w:rsidRDefault="00903B5C">
            <w:pPr>
              <w:pStyle w:val="TableParagraph"/>
              <w:spacing w:before="153"/>
              <w:ind w:left="114" w:right="305"/>
              <w:rPr>
                <w:sz w:val="20"/>
              </w:rPr>
            </w:pPr>
            <w:r>
              <w:rPr>
                <w:sz w:val="20"/>
              </w:rPr>
              <w:t>Did state adopt strategic planning for natural resources? (0 = no, 1 = yes)</w:t>
            </w:r>
          </w:p>
        </w:tc>
        <w:tc>
          <w:tcPr>
            <w:tcW w:w="6482" w:type="dxa"/>
          </w:tcPr>
          <w:p w14:paraId="693666AE" w14:textId="77777777" w:rsidR="0046798B" w:rsidRDefault="00903B5C">
            <w:pPr>
              <w:pStyle w:val="TableParagraph"/>
              <w:spacing w:before="15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363BDEAD" w14:textId="77777777">
        <w:trPr>
          <w:trHeight w:val="775"/>
        </w:trPr>
        <w:tc>
          <w:tcPr>
            <w:tcW w:w="1711" w:type="dxa"/>
          </w:tcPr>
          <w:p w14:paraId="20701BDC" w14:textId="77777777" w:rsidR="0046798B" w:rsidRDefault="0046798B">
            <w:pPr>
              <w:pStyle w:val="TableParagraph"/>
              <w:spacing w:before="8"/>
              <w:rPr>
                <w:sz w:val="23"/>
              </w:rPr>
            </w:pPr>
          </w:p>
          <w:p w14:paraId="07E98B2F" w14:textId="77777777" w:rsidR="0046798B" w:rsidRDefault="00903B5C">
            <w:pPr>
              <w:pStyle w:val="TableParagraph"/>
              <w:spacing w:before="1"/>
              <w:ind w:left="115"/>
              <w:rPr>
                <w:b/>
                <w:sz w:val="20"/>
              </w:rPr>
            </w:pPr>
            <w:r>
              <w:rPr>
                <w:b/>
                <w:sz w:val="20"/>
              </w:rPr>
              <w:t>renewport</w:t>
            </w:r>
          </w:p>
        </w:tc>
        <w:tc>
          <w:tcPr>
            <w:tcW w:w="1596" w:type="dxa"/>
          </w:tcPr>
          <w:p w14:paraId="258D4FC2" w14:textId="77777777" w:rsidR="0046798B" w:rsidRDefault="00903B5C">
            <w:pPr>
              <w:pStyle w:val="TableParagraph"/>
              <w:spacing w:before="43"/>
              <w:ind w:left="114" w:right="180"/>
              <w:rPr>
                <w:sz w:val="20"/>
              </w:rPr>
            </w:pPr>
            <w:r>
              <w:rPr>
                <w:sz w:val="20"/>
              </w:rPr>
              <w:t>State renewable portfolio standards</w:t>
            </w:r>
          </w:p>
        </w:tc>
        <w:tc>
          <w:tcPr>
            <w:tcW w:w="1285" w:type="dxa"/>
          </w:tcPr>
          <w:p w14:paraId="39399C78" w14:textId="77777777" w:rsidR="0046798B" w:rsidRDefault="0046798B">
            <w:pPr>
              <w:pStyle w:val="TableParagraph"/>
              <w:spacing w:before="8"/>
              <w:rPr>
                <w:sz w:val="23"/>
              </w:rPr>
            </w:pPr>
          </w:p>
          <w:p w14:paraId="72347D02" w14:textId="77777777" w:rsidR="0046798B" w:rsidRDefault="00903B5C">
            <w:pPr>
              <w:pStyle w:val="TableParagraph"/>
              <w:spacing w:before="1"/>
              <w:ind w:left="114"/>
              <w:rPr>
                <w:sz w:val="20"/>
              </w:rPr>
            </w:pPr>
            <w:r>
              <w:rPr>
                <w:sz w:val="20"/>
              </w:rPr>
              <w:t>1991–2004</w:t>
            </w:r>
          </w:p>
        </w:tc>
        <w:tc>
          <w:tcPr>
            <w:tcW w:w="3421" w:type="dxa"/>
          </w:tcPr>
          <w:p w14:paraId="62ACB8A0" w14:textId="77777777" w:rsidR="0046798B" w:rsidRDefault="00903B5C">
            <w:pPr>
              <w:pStyle w:val="TableParagraph"/>
              <w:spacing w:before="158"/>
              <w:ind w:left="114" w:right="307"/>
              <w:rPr>
                <w:sz w:val="20"/>
              </w:rPr>
            </w:pPr>
            <w:r>
              <w:rPr>
                <w:sz w:val="20"/>
              </w:rPr>
              <w:t>Did state adopt state renewable portfolio standards? (0 = no, 1 = yes)</w:t>
            </w:r>
          </w:p>
        </w:tc>
        <w:tc>
          <w:tcPr>
            <w:tcW w:w="6482" w:type="dxa"/>
          </w:tcPr>
          <w:p w14:paraId="1733B88E" w14:textId="77777777" w:rsidR="0046798B" w:rsidRDefault="00903B5C">
            <w:pPr>
              <w:pStyle w:val="TableParagraph"/>
              <w:spacing w:before="15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148F2428" w14:textId="77777777">
        <w:trPr>
          <w:trHeight w:val="775"/>
        </w:trPr>
        <w:tc>
          <w:tcPr>
            <w:tcW w:w="1711" w:type="dxa"/>
          </w:tcPr>
          <w:p w14:paraId="31DA6A71" w14:textId="77777777" w:rsidR="0046798B" w:rsidRDefault="0046798B">
            <w:pPr>
              <w:pStyle w:val="TableParagraph"/>
              <w:spacing w:before="9"/>
              <w:rPr>
                <w:sz w:val="23"/>
              </w:rPr>
            </w:pPr>
          </w:p>
          <w:p w14:paraId="2332317E" w14:textId="77777777" w:rsidR="0046798B" w:rsidRDefault="00903B5C">
            <w:pPr>
              <w:pStyle w:val="TableParagraph"/>
              <w:ind w:left="115"/>
              <w:rPr>
                <w:b/>
                <w:sz w:val="20"/>
              </w:rPr>
            </w:pPr>
            <w:r>
              <w:rPr>
                <w:b/>
                <w:sz w:val="20"/>
              </w:rPr>
              <w:t>soil</w:t>
            </w:r>
          </w:p>
        </w:tc>
        <w:tc>
          <w:tcPr>
            <w:tcW w:w="1596" w:type="dxa"/>
          </w:tcPr>
          <w:p w14:paraId="57A16A57" w14:textId="77777777" w:rsidR="0046798B" w:rsidRDefault="00903B5C">
            <w:pPr>
              <w:pStyle w:val="TableParagraph"/>
              <w:spacing w:before="43"/>
              <w:ind w:left="114" w:right="430"/>
              <w:rPr>
                <w:sz w:val="20"/>
              </w:rPr>
            </w:pPr>
            <w:r>
              <w:rPr>
                <w:sz w:val="20"/>
              </w:rPr>
              <w:t>Soil conservation districts</w:t>
            </w:r>
          </w:p>
        </w:tc>
        <w:tc>
          <w:tcPr>
            <w:tcW w:w="1285" w:type="dxa"/>
          </w:tcPr>
          <w:p w14:paraId="667974F4" w14:textId="77777777" w:rsidR="0046798B" w:rsidRDefault="0046798B">
            <w:pPr>
              <w:pStyle w:val="TableParagraph"/>
              <w:spacing w:before="9"/>
              <w:rPr>
                <w:sz w:val="23"/>
              </w:rPr>
            </w:pPr>
          </w:p>
          <w:p w14:paraId="5C889D50" w14:textId="77777777" w:rsidR="0046798B" w:rsidRDefault="00903B5C">
            <w:pPr>
              <w:pStyle w:val="TableParagraph"/>
              <w:ind w:left="114"/>
              <w:rPr>
                <w:sz w:val="20"/>
              </w:rPr>
            </w:pPr>
            <w:r>
              <w:rPr>
                <w:sz w:val="20"/>
              </w:rPr>
              <w:t>1937–1974</w:t>
            </w:r>
          </w:p>
        </w:tc>
        <w:tc>
          <w:tcPr>
            <w:tcW w:w="3421" w:type="dxa"/>
          </w:tcPr>
          <w:p w14:paraId="0007FCC1" w14:textId="77777777" w:rsidR="0046798B" w:rsidRDefault="00903B5C">
            <w:pPr>
              <w:pStyle w:val="TableParagraph"/>
              <w:spacing w:before="158"/>
              <w:ind w:left="114" w:right="655"/>
              <w:rPr>
                <w:sz w:val="20"/>
              </w:rPr>
            </w:pPr>
            <w:r>
              <w:rPr>
                <w:sz w:val="20"/>
              </w:rPr>
              <w:t>Did state adopt soil conservation districts? (0 = no, 1 = yes)</w:t>
            </w:r>
          </w:p>
        </w:tc>
        <w:tc>
          <w:tcPr>
            <w:tcW w:w="6482" w:type="dxa"/>
          </w:tcPr>
          <w:p w14:paraId="4D7820CD" w14:textId="77777777" w:rsidR="0046798B" w:rsidRDefault="00903B5C">
            <w:pPr>
              <w:pStyle w:val="TableParagraph"/>
              <w:spacing w:before="15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48505FBC" w14:textId="77777777">
        <w:trPr>
          <w:trHeight w:val="3076"/>
        </w:trPr>
        <w:tc>
          <w:tcPr>
            <w:tcW w:w="1711" w:type="dxa"/>
          </w:tcPr>
          <w:p w14:paraId="526ABED0" w14:textId="77777777" w:rsidR="0046798B" w:rsidRDefault="0046798B">
            <w:pPr>
              <w:pStyle w:val="TableParagraph"/>
            </w:pPr>
          </w:p>
          <w:p w14:paraId="642718D0" w14:textId="77777777" w:rsidR="0046798B" w:rsidRDefault="0046798B">
            <w:pPr>
              <w:pStyle w:val="TableParagraph"/>
            </w:pPr>
          </w:p>
          <w:p w14:paraId="4AEFC8F1" w14:textId="77777777" w:rsidR="0046798B" w:rsidRDefault="0046798B">
            <w:pPr>
              <w:pStyle w:val="TableParagraph"/>
            </w:pPr>
          </w:p>
          <w:p w14:paraId="6BFC962C" w14:textId="77777777" w:rsidR="0046798B" w:rsidRDefault="0046798B">
            <w:pPr>
              <w:pStyle w:val="TableParagraph"/>
            </w:pPr>
          </w:p>
          <w:p w14:paraId="541A00E8" w14:textId="77777777" w:rsidR="0046798B" w:rsidRDefault="0046798B">
            <w:pPr>
              <w:pStyle w:val="TableParagraph"/>
              <w:spacing w:before="9"/>
              <w:rPr>
                <w:sz w:val="25"/>
              </w:rPr>
            </w:pPr>
          </w:p>
          <w:p w14:paraId="04A1A5EB" w14:textId="77777777" w:rsidR="0046798B" w:rsidRDefault="00903B5C">
            <w:pPr>
              <w:pStyle w:val="TableParagraph"/>
              <w:ind w:left="115" w:right="132"/>
              <w:rPr>
                <w:b/>
                <w:sz w:val="20"/>
              </w:rPr>
            </w:pPr>
            <w:r>
              <w:rPr>
                <w:b/>
                <w:sz w:val="20"/>
              </w:rPr>
              <w:t>environmental_c ovenants_act</w:t>
            </w:r>
          </w:p>
        </w:tc>
        <w:tc>
          <w:tcPr>
            <w:tcW w:w="1596" w:type="dxa"/>
          </w:tcPr>
          <w:p w14:paraId="4866CF7C" w14:textId="77777777" w:rsidR="0046798B" w:rsidRDefault="00903B5C">
            <w:pPr>
              <w:pStyle w:val="TableParagraph"/>
              <w:spacing w:before="43"/>
              <w:ind w:left="114" w:right="158"/>
              <w:rPr>
                <w:sz w:val="20"/>
              </w:rPr>
            </w:pPr>
            <w:r>
              <w:rPr>
                <w:sz w:val="20"/>
              </w:rPr>
              <w:t>Provides clear rules for a perpetual real estate interest— an environmental covenant—to regulate the use of brownfields when real estate is transferred from one owner to another</w:t>
            </w:r>
          </w:p>
        </w:tc>
        <w:tc>
          <w:tcPr>
            <w:tcW w:w="1285" w:type="dxa"/>
          </w:tcPr>
          <w:p w14:paraId="2B329AD8" w14:textId="77777777" w:rsidR="0046798B" w:rsidRDefault="0046798B">
            <w:pPr>
              <w:pStyle w:val="TableParagraph"/>
            </w:pPr>
          </w:p>
          <w:p w14:paraId="4F6B1F4B" w14:textId="77777777" w:rsidR="0046798B" w:rsidRDefault="0046798B">
            <w:pPr>
              <w:pStyle w:val="TableParagraph"/>
            </w:pPr>
          </w:p>
          <w:p w14:paraId="5B9C5D61" w14:textId="77777777" w:rsidR="0046798B" w:rsidRDefault="0046798B">
            <w:pPr>
              <w:pStyle w:val="TableParagraph"/>
            </w:pPr>
          </w:p>
          <w:p w14:paraId="18B749FA" w14:textId="77777777" w:rsidR="0046798B" w:rsidRDefault="0046798B">
            <w:pPr>
              <w:pStyle w:val="TableParagraph"/>
            </w:pPr>
          </w:p>
          <w:p w14:paraId="4A9DB956" w14:textId="77777777" w:rsidR="0046798B" w:rsidRDefault="0046798B">
            <w:pPr>
              <w:pStyle w:val="TableParagraph"/>
            </w:pPr>
          </w:p>
          <w:p w14:paraId="1FDBF6F4" w14:textId="77777777" w:rsidR="0046798B" w:rsidRDefault="00903B5C">
            <w:pPr>
              <w:pStyle w:val="TableParagraph"/>
              <w:spacing w:before="159"/>
              <w:ind w:left="114"/>
              <w:rPr>
                <w:sz w:val="20"/>
              </w:rPr>
            </w:pPr>
            <w:r>
              <w:rPr>
                <w:sz w:val="20"/>
              </w:rPr>
              <w:t>2004–2010</w:t>
            </w:r>
          </w:p>
        </w:tc>
        <w:tc>
          <w:tcPr>
            <w:tcW w:w="3421" w:type="dxa"/>
          </w:tcPr>
          <w:p w14:paraId="549DB8E5" w14:textId="77777777" w:rsidR="0046798B" w:rsidRDefault="0046798B">
            <w:pPr>
              <w:pStyle w:val="TableParagraph"/>
            </w:pPr>
          </w:p>
          <w:p w14:paraId="41CB0341" w14:textId="77777777" w:rsidR="0046798B" w:rsidRDefault="0046798B">
            <w:pPr>
              <w:pStyle w:val="TableParagraph"/>
            </w:pPr>
          </w:p>
          <w:p w14:paraId="2448BB31" w14:textId="77777777" w:rsidR="0046798B" w:rsidRDefault="0046798B">
            <w:pPr>
              <w:pStyle w:val="TableParagraph"/>
            </w:pPr>
          </w:p>
          <w:p w14:paraId="154213D4" w14:textId="77777777" w:rsidR="0046798B" w:rsidRDefault="0046798B">
            <w:pPr>
              <w:pStyle w:val="TableParagraph"/>
            </w:pPr>
          </w:p>
          <w:p w14:paraId="22FF7B5E" w14:textId="77777777" w:rsidR="0046798B" w:rsidRDefault="0046798B">
            <w:pPr>
              <w:pStyle w:val="TableParagraph"/>
              <w:spacing w:before="9"/>
              <w:rPr>
                <w:sz w:val="25"/>
              </w:rPr>
            </w:pPr>
          </w:p>
          <w:p w14:paraId="3E2C8656" w14:textId="77777777" w:rsidR="0046798B" w:rsidRDefault="00903B5C">
            <w:pPr>
              <w:pStyle w:val="TableParagraph"/>
              <w:ind w:left="114" w:right="1475"/>
              <w:rPr>
                <w:sz w:val="20"/>
              </w:rPr>
            </w:pPr>
            <w:r>
              <w:rPr>
                <w:sz w:val="20"/>
              </w:rPr>
              <w:t>0 = policy not adopted 1 = policy adopted</w:t>
            </w:r>
          </w:p>
        </w:tc>
        <w:tc>
          <w:tcPr>
            <w:tcW w:w="6482" w:type="dxa"/>
          </w:tcPr>
          <w:p w14:paraId="4D2A6C21" w14:textId="77777777" w:rsidR="0046798B" w:rsidRDefault="0046798B">
            <w:pPr>
              <w:pStyle w:val="TableParagraph"/>
            </w:pPr>
          </w:p>
          <w:p w14:paraId="6F83147D" w14:textId="77777777" w:rsidR="0046798B" w:rsidRDefault="0046798B">
            <w:pPr>
              <w:pStyle w:val="TableParagraph"/>
            </w:pPr>
          </w:p>
          <w:p w14:paraId="12B5EBD6" w14:textId="77777777" w:rsidR="0046798B" w:rsidRDefault="0046798B">
            <w:pPr>
              <w:pStyle w:val="TableParagraph"/>
              <w:spacing w:before="9"/>
              <w:rPr>
                <w:sz w:val="29"/>
              </w:rPr>
            </w:pPr>
          </w:p>
          <w:p w14:paraId="68251DEC" w14:textId="77777777" w:rsidR="0046798B" w:rsidRDefault="00903B5C">
            <w:pPr>
              <w:pStyle w:val="TableParagraph"/>
              <w:ind w:left="114"/>
              <w:rPr>
                <w:sz w:val="20"/>
              </w:rPr>
            </w:pPr>
            <w:r>
              <w:rPr>
                <w:sz w:val="20"/>
              </w:rPr>
              <w:t xml:space="preserve">Uniform Law Commission website: </w:t>
            </w:r>
            <w:hyperlink r:id="rId889">
              <w:r>
                <w:rPr>
                  <w:color w:val="0462C1"/>
                  <w:sz w:val="20"/>
                  <w:u w:val="single" w:color="0462C1"/>
                </w:rPr>
                <w:t>http://www.uniformlaws.org/</w:t>
              </w:r>
            </w:hyperlink>
          </w:p>
          <w:p w14:paraId="72F9D4E0" w14:textId="77777777" w:rsidR="0046798B" w:rsidRDefault="0046798B">
            <w:pPr>
              <w:pStyle w:val="TableParagraph"/>
              <w:rPr>
                <w:sz w:val="20"/>
              </w:rPr>
            </w:pPr>
          </w:p>
          <w:p w14:paraId="75689606"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bl>
    <w:p w14:paraId="4E759D5E" w14:textId="77777777" w:rsidR="0046798B" w:rsidRDefault="0046798B">
      <w:pPr>
        <w:rPr>
          <w:sz w:val="20"/>
        </w:rPr>
        <w:sectPr w:rsidR="0046798B">
          <w:pgSz w:w="15840" w:h="12240" w:orient="landscape"/>
          <w:pgMar w:top="1220" w:right="300" w:bottom="980" w:left="820" w:header="730" w:footer="787" w:gutter="0"/>
          <w:cols w:space="720"/>
        </w:sectPr>
      </w:pPr>
    </w:p>
    <w:p w14:paraId="1122F279"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CCDF95A" w14:textId="77777777">
        <w:trPr>
          <w:trHeight w:val="3306"/>
        </w:trPr>
        <w:tc>
          <w:tcPr>
            <w:tcW w:w="1711" w:type="dxa"/>
          </w:tcPr>
          <w:p w14:paraId="04BCBED6" w14:textId="77777777" w:rsidR="0046798B" w:rsidRDefault="0046798B">
            <w:pPr>
              <w:pStyle w:val="TableParagraph"/>
            </w:pPr>
          </w:p>
          <w:p w14:paraId="57F1D808" w14:textId="77777777" w:rsidR="0046798B" w:rsidRDefault="0046798B">
            <w:pPr>
              <w:pStyle w:val="TableParagraph"/>
            </w:pPr>
          </w:p>
          <w:p w14:paraId="73F97EE6" w14:textId="77777777" w:rsidR="0046798B" w:rsidRDefault="0046798B">
            <w:pPr>
              <w:pStyle w:val="TableParagraph"/>
            </w:pPr>
          </w:p>
          <w:p w14:paraId="45862F25" w14:textId="77777777" w:rsidR="0046798B" w:rsidRDefault="0046798B">
            <w:pPr>
              <w:pStyle w:val="TableParagraph"/>
            </w:pPr>
          </w:p>
          <w:p w14:paraId="47CB865E" w14:textId="77777777" w:rsidR="0046798B" w:rsidRDefault="0046798B">
            <w:pPr>
              <w:pStyle w:val="TableParagraph"/>
              <w:spacing w:before="9"/>
              <w:rPr>
                <w:sz w:val="25"/>
              </w:rPr>
            </w:pPr>
          </w:p>
          <w:p w14:paraId="65EE9B83" w14:textId="77777777" w:rsidR="0046798B" w:rsidRDefault="00903B5C">
            <w:pPr>
              <w:pStyle w:val="TableParagraph"/>
              <w:ind w:left="115" w:right="200"/>
              <w:jc w:val="both"/>
              <w:rPr>
                <w:b/>
                <w:sz w:val="20"/>
              </w:rPr>
            </w:pPr>
            <w:r>
              <w:rPr>
                <w:b/>
                <w:sz w:val="20"/>
              </w:rPr>
              <w:t xml:space="preserve">transboundary_ </w:t>
            </w:r>
            <w:r>
              <w:rPr>
                <w:b/>
                <w:spacing w:val="-1"/>
                <w:sz w:val="20"/>
              </w:rPr>
              <w:t xml:space="preserve">pollution_recipr </w:t>
            </w:r>
            <w:r>
              <w:rPr>
                <w:b/>
                <w:sz w:val="20"/>
              </w:rPr>
              <w:t>oc</w:t>
            </w:r>
          </w:p>
        </w:tc>
        <w:tc>
          <w:tcPr>
            <w:tcW w:w="1596" w:type="dxa"/>
          </w:tcPr>
          <w:p w14:paraId="0DD0E8DA" w14:textId="77777777" w:rsidR="0046798B" w:rsidRDefault="00903B5C">
            <w:pPr>
              <w:pStyle w:val="TableParagraph"/>
              <w:spacing w:before="43"/>
              <w:ind w:left="114" w:right="119"/>
              <w:rPr>
                <w:sz w:val="20"/>
              </w:rPr>
            </w:pPr>
            <w:r>
              <w:rPr>
                <w:sz w:val="20"/>
              </w:rPr>
              <w:t>Overcomes procedural obstacles that prevent a pollution victim in one state or province from seeking enforceable remedies in the state or province where the pollution originated</w:t>
            </w:r>
          </w:p>
        </w:tc>
        <w:tc>
          <w:tcPr>
            <w:tcW w:w="1285" w:type="dxa"/>
          </w:tcPr>
          <w:p w14:paraId="2281BB21" w14:textId="77777777" w:rsidR="0046798B" w:rsidRDefault="0046798B">
            <w:pPr>
              <w:pStyle w:val="TableParagraph"/>
            </w:pPr>
          </w:p>
          <w:p w14:paraId="65F4A2D9" w14:textId="77777777" w:rsidR="0046798B" w:rsidRDefault="0046798B">
            <w:pPr>
              <w:pStyle w:val="TableParagraph"/>
            </w:pPr>
          </w:p>
          <w:p w14:paraId="75185212" w14:textId="77777777" w:rsidR="0046798B" w:rsidRDefault="0046798B">
            <w:pPr>
              <w:pStyle w:val="TableParagraph"/>
            </w:pPr>
          </w:p>
          <w:p w14:paraId="41116451" w14:textId="77777777" w:rsidR="0046798B" w:rsidRDefault="0046798B">
            <w:pPr>
              <w:pStyle w:val="TableParagraph"/>
            </w:pPr>
          </w:p>
          <w:p w14:paraId="534240EE" w14:textId="77777777" w:rsidR="0046798B" w:rsidRDefault="0046798B">
            <w:pPr>
              <w:pStyle w:val="TableParagraph"/>
            </w:pPr>
          </w:p>
          <w:p w14:paraId="2FC1CB92" w14:textId="77777777" w:rsidR="0046798B" w:rsidRDefault="0046798B">
            <w:pPr>
              <w:pStyle w:val="TableParagraph"/>
              <w:spacing w:before="9"/>
              <w:rPr>
                <w:sz w:val="23"/>
              </w:rPr>
            </w:pPr>
          </w:p>
          <w:p w14:paraId="38AB631A" w14:textId="77777777" w:rsidR="0046798B" w:rsidRDefault="00903B5C">
            <w:pPr>
              <w:pStyle w:val="TableParagraph"/>
              <w:spacing w:before="1"/>
              <w:ind w:left="114"/>
              <w:rPr>
                <w:sz w:val="20"/>
              </w:rPr>
            </w:pPr>
            <w:r>
              <w:rPr>
                <w:sz w:val="20"/>
              </w:rPr>
              <w:t>1983–1992</w:t>
            </w:r>
          </w:p>
        </w:tc>
        <w:tc>
          <w:tcPr>
            <w:tcW w:w="3421" w:type="dxa"/>
          </w:tcPr>
          <w:p w14:paraId="2205A5BA" w14:textId="77777777" w:rsidR="0046798B" w:rsidRDefault="0046798B">
            <w:pPr>
              <w:pStyle w:val="TableParagraph"/>
            </w:pPr>
          </w:p>
          <w:p w14:paraId="4DB39CC6" w14:textId="77777777" w:rsidR="0046798B" w:rsidRDefault="0046798B">
            <w:pPr>
              <w:pStyle w:val="TableParagraph"/>
            </w:pPr>
          </w:p>
          <w:p w14:paraId="7E92275A" w14:textId="77777777" w:rsidR="0046798B" w:rsidRDefault="0046798B">
            <w:pPr>
              <w:pStyle w:val="TableParagraph"/>
            </w:pPr>
          </w:p>
          <w:p w14:paraId="47FC9637" w14:textId="77777777" w:rsidR="0046798B" w:rsidRDefault="0046798B">
            <w:pPr>
              <w:pStyle w:val="TableParagraph"/>
            </w:pPr>
          </w:p>
          <w:p w14:paraId="401B92D3" w14:textId="77777777" w:rsidR="0046798B" w:rsidRDefault="0046798B">
            <w:pPr>
              <w:pStyle w:val="TableParagraph"/>
            </w:pPr>
          </w:p>
          <w:p w14:paraId="7CDC7021" w14:textId="77777777" w:rsidR="0046798B" w:rsidRDefault="00903B5C">
            <w:pPr>
              <w:pStyle w:val="TableParagraph"/>
              <w:spacing w:before="159"/>
              <w:ind w:left="114" w:right="1475"/>
              <w:rPr>
                <w:sz w:val="20"/>
              </w:rPr>
            </w:pPr>
            <w:r>
              <w:rPr>
                <w:sz w:val="20"/>
              </w:rPr>
              <w:t>0 = policy not adopted 1 = policy adopted</w:t>
            </w:r>
          </w:p>
        </w:tc>
        <w:tc>
          <w:tcPr>
            <w:tcW w:w="6482" w:type="dxa"/>
          </w:tcPr>
          <w:p w14:paraId="2FC6AD22" w14:textId="77777777" w:rsidR="0046798B" w:rsidRDefault="0046798B">
            <w:pPr>
              <w:pStyle w:val="TableParagraph"/>
            </w:pPr>
          </w:p>
          <w:p w14:paraId="73ECB0AA" w14:textId="77777777" w:rsidR="0046798B" w:rsidRDefault="0046798B">
            <w:pPr>
              <w:pStyle w:val="TableParagraph"/>
            </w:pPr>
          </w:p>
          <w:p w14:paraId="5A425641" w14:textId="77777777" w:rsidR="0046798B" w:rsidRDefault="0046798B">
            <w:pPr>
              <w:pStyle w:val="TableParagraph"/>
            </w:pPr>
          </w:p>
          <w:p w14:paraId="3DF3D60D" w14:textId="77777777" w:rsidR="0046798B" w:rsidRDefault="0046798B">
            <w:pPr>
              <w:pStyle w:val="TableParagraph"/>
              <w:spacing w:before="9"/>
              <w:rPr>
                <w:sz w:val="17"/>
              </w:rPr>
            </w:pPr>
          </w:p>
          <w:p w14:paraId="4E6793C7" w14:textId="77777777" w:rsidR="0046798B" w:rsidRDefault="00903B5C">
            <w:pPr>
              <w:pStyle w:val="TableParagraph"/>
              <w:ind w:left="114"/>
              <w:rPr>
                <w:sz w:val="20"/>
              </w:rPr>
            </w:pPr>
            <w:r>
              <w:rPr>
                <w:sz w:val="20"/>
              </w:rPr>
              <w:t xml:space="preserve">Uniform Law Commission website: </w:t>
            </w:r>
            <w:hyperlink r:id="rId890">
              <w:r>
                <w:rPr>
                  <w:color w:val="0462C1"/>
                  <w:sz w:val="20"/>
                  <w:u w:val="single" w:color="0462C1"/>
                </w:rPr>
                <w:t>http://www.uniformlaws.org/</w:t>
              </w:r>
            </w:hyperlink>
          </w:p>
          <w:p w14:paraId="769D1813" w14:textId="77777777" w:rsidR="0046798B" w:rsidRDefault="0046798B">
            <w:pPr>
              <w:pStyle w:val="TableParagraph"/>
              <w:rPr>
                <w:sz w:val="20"/>
              </w:rPr>
            </w:pPr>
          </w:p>
          <w:p w14:paraId="03B1887E"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52AE3399" w14:textId="77777777">
        <w:trPr>
          <w:trHeight w:val="1925"/>
        </w:trPr>
        <w:tc>
          <w:tcPr>
            <w:tcW w:w="1711" w:type="dxa"/>
          </w:tcPr>
          <w:p w14:paraId="14E3D8A6" w14:textId="77777777" w:rsidR="0046798B" w:rsidRDefault="0046798B">
            <w:pPr>
              <w:pStyle w:val="TableParagraph"/>
            </w:pPr>
          </w:p>
          <w:p w14:paraId="03FB21D0" w14:textId="77777777" w:rsidR="0046798B" w:rsidRDefault="0046798B">
            <w:pPr>
              <w:pStyle w:val="TableParagraph"/>
            </w:pPr>
          </w:p>
          <w:p w14:paraId="544CE34E" w14:textId="77777777" w:rsidR="0046798B" w:rsidRDefault="0046798B">
            <w:pPr>
              <w:pStyle w:val="TableParagraph"/>
              <w:spacing w:before="9"/>
              <w:rPr>
                <w:sz w:val="29"/>
              </w:rPr>
            </w:pPr>
          </w:p>
          <w:p w14:paraId="24B910C3" w14:textId="77777777" w:rsidR="0046798B" w:rsidRDefault="00903B5C">
            <w:pPr>
              <w:pStyle w:val="TableParagraph"/>
              <w:ind w:left="115"/>
              <w:rPr>
                <w:b/>
                <w:sz w:val="20"/>
              </w:rPr>
            </w:pPr>
            <w:r>
              <w:rPr>
                <w:b/>
                <w:sz w:val="20"/>
              </w:rPr>
              <w:t>ewaste</w:t>
            </w:r>
          </w:p>
        </w:tc>
        <w:tc>
          <w:tcPr>
            <w:tcW w:w="1596" w:type="dxa"/>
          </w:tcPr>
          <w:p w14:paraId="6AC4D21E" w14:textId="77777777" w:rsidR="0046798B" w:rsidRDefault="0046798B">
            <w:pPr>
              <w:pStyle w:val="TableParagraph"/>
            </w:pPr>
          </w:p>
          <w:p w14:paraId="1BBDBB77" w14:textId="77777777" w:rsidR="0046798B" w:rsidRDefault="0046798B">
            <w:pPr>
              <w:pStyle w:val="TableParagraph"/>
              <w:spacing w:before="9"/>
              <w:rPr>
                <w:sz w:val="31"/>
              </w:rPr>
            </w:pPr>
          </w:p>
          <w:p w14:paraId="58CD93BA" w14:textId="77777777" w:rsidR="0046798B" w:rsidRDefault="00903B5C">
            <w:pPr>
              <w:pStyle w:val="TableParagraph"/>
              <w:ind w:left="114" w:right="391"/>
              <w:rPr>
                <w:sz w:val="20"/>
              </w:rPr>
            </w:pPr>
            <w:r>
              <w:rPr>
                <w:sz w:val="20"/>
              </w:rPr>
              <w:t>State e-waste disposal programs</w:t>
            </w:r>
          </w:p>
        </w:tc>
        <w:tc>
          <w:tcPr>
            <w:tcW w:w="1285" w:type="dxa"/>
          </w:tcPr>
          <w:p w14:paraId="61A93C0E" w14:textId="77777777" w:rsidR="0046798B" w:rsidRDefault="0046798B">
            <w:pPr>
              <w:pStyle w:val="TableParagraph"/>
            </w:pPr>
          </w:p>
          <w:p w14:paraId="3471DE19" w14:textId="77777777" w:rsidR="0046798B" w:rsidRDefault="0046798B">
            <w:pPr>
              <w:pStyle w:val="TableParagraph"/>
            </w:pPr>
          </w:p>
          <w:p w14:paraId="0F6225F9" w14:textId="77777777" w:rsidR="0046798B" w:rsidRDefault="0046798B">
            <w:pPr>
              <w:pStyle w:val="TableParagraph"/>
              <w:spacing w:before="9"/>
              <w:rPr>
                <w:sz w:val="29"/>
              </w:rPr>
            </w:pPr>
          </w:p>
          <w:p w14:paraId="43578079" w14:textId="77777777" w:rsidR="0046798B" w:rsidRDefault="00903B5C">
            <w:pPr>
              <w:pStyle w:val="TableParagraph"/>
              <w:ind w:left="114"/>
              <w:rPr>
                <w:sz w:val="20"/>
              </w:rPr>
            </w:pPr>
            <w:r>
              <w:rPr>
                <w:sz w:val="20"/>
              </w:rPr>
              <w:t>2003–2011</w:t>
            </w:r>
          </w:p>
        </w:tc>
        <w:tc>
          <w:tcPr>
            <w:tcW w:w="3421" w:type="dxa"/>
          </w:tcPr>
          <w:p w14:paraId="0EE87295" w14:textId="77777777" w:rsidR="0046798B" w:rsidRDefault="0046798B">
            <w:pPr>
              <w:pStyle w:val="TableParagraph"/>
            </w:pPr>
          </w:p>
          <w:p w14:paraId="068082B1" w14:textId="77777777" w:rsidR="0046798B" w:rsidRDefault="0046798B">
            <w:pPr>
              <w:pStyle w:val="TableParagraph"/>
            </w:pPr>
          </w:p>
          <w:p w14:paraId="0B227B7F" w14:textId="77777777" w:rsidR="0046798B" w:rsidRDefault="0046798B">
            <w:pPr>
              <w:pStyle w:val="TableParagraph"/>
              <w:spacing w:before="9"/>
              <w:rPr>
                <w:sz w:val="19"/>
              </w:rPr>
            </w:pPr>
          </w:p>
          <w:p w14:paraId="44E87DA5" w14:textId="77777777" w:rsidR="0046798B" w:rsidRDefault="00903B5C">
            <w:pPr>
              <w:pStyle w:val="TableParagraph"/>
              <w:ind w:left="114" w:right="1475"/>
              <w:rPr>
                <w:sz w:val="20"/>
              </w:rPr>
            </w:pPr>
            <w:r>
              <w:rPr>
                <w:sz w:val="20"/>
              </w:rPr>
              <w:t>0 = policy not adopted 1 = policy adopted</w:t>
            </w:r>
          </w:p>
        </w:tc>
        <w:tc>
          <w:tcPr>
            <w:tcW w:w="6482" w:type="dxa"/>
          </w:tcPr>
          <w:p w14:paraId="2628F9DC" w14:textId="77777777" w:rsidR="0046798B" w:rsidRDefault="00903B5C">
            <w:pPr>
              <w:pStyle w:val="TableParagraph"/>
              <w:spacing w:before="43"/>
              <w:ind w:left="114" w:right="128"/>
              <w:jc w:val="both"/>
              <w:rPr>
                <w:sz w:val="20"/>
              </w:rPr>
            </w:pPr>
            <w:r>
              <w:rPr>
                <w:sz w:val="20"/>
              </w:rPr>
              <w:t>Mallinson, Daniel J. “Building a better speed trap: Measuring policy</w:t>
            </w:r>
            <w:r>
              <w:rPr>
                <w:spacing w:val="-16"/>
                <w:sz w:val="20"/>
              </w:rPr>
              <w:t xml:space="preserve"> </w:t>
            </w:r>
            <w:r>
              <w:rPr>
                <w:sz w:val="20"/>
              </w:rPr>
              <w:t xml:space="preserve">adoption speed in the American states.” </w:t>
            </w:r>
            <w:r>
              <w:rPr>
                <w:i/>
                <w:sz w:val="20"/>
              </w:rPr>
              <w:t xml:space="preserve">State Politics &amp; Policy Quarterly </w:t>
            </w:r>
            <w:r>
              <w:rPr>
                <w:sz w:val="20"/>
              </w:rPr>
              <w:t>16.1 (2016): 98-120.</w:t>
            </w:r>
          </w:p>
          <w:p w14:paraId="0D063B60" w14:textId="77777777" w:rsidR="0046798B" w:rsidRDefault="0046798B">
            <w:pPr>
              <w:pStyle w:val="TableParagraph"/>
              <w:rPr>
                <w:sz w:val="20"/>
              </w:rPr>
            </w:pPr>
          </w:p>
          <w:p w14:paraId="43208C2B"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37721918" w14:textId="77777777">
        <w:trPr>
          <w:trHeight w:val="1235"/>
        </w:trPr>
        <w:tc>
          <w:tcPr>
            <w:tcW w:w="1711" w:type="dxa"/>
          </w:tcPr>
          <w:p w14:paraId="7FFE5696" w14:textId="77777777" w:rsidR="0046798B" w:rsidRDefault="0046798B">
            <w:pPr>
              <w:pStyle w:val="TableParagraph"/>
              <w:spacing w:before="9"/>
              <w:rPr>
                <w:sz w:val="23"/>
              </w:rPr>
            </w:pPr>
          </w:p>
          <w:p w14:paraId="5B4CA8CF" w14:textId="77777777" w:rsidR="0046798B" w:rsidRDefault="00903B5C">
            <w:pPr>
              <w:pStyle w:val="TableParagraph"/>
              <w:ind w:left="115"/>
              <w:rPr>
                <w:b/>
                <w:sz w:val="20"/>
              </w:rPr>
            </w:pPr>
            <w:r>
              <w:rPr>
                <w:b/>
                <w:sz w:val="20"/>
              </w:rPr>
              <w:t>environment_air</w:t>
            </w:r>
          </w:p>
          <w:p w14:paraId="26F4F1D4" w14:textId="77777777" w:rsidR="0046798B" w:rsidRDefault="00903B5C">
            <w:pPr>
              <w:pStyle w:val="TableParagraph"/>
              <w:ind w:left="115" w:right="121"/>
              <w:rPr>
                <w:b/>
                <w:sz w:val="20"/>
              </w:rPr>
            </w:pPr>
            <w:r>
              <w:rPr>
                <w:b/>
                <w:sz w:val="20"/>
              </w:rPr>
              <w:t>_pollution_contr o</w:t>
            </w:r>
          </w:p>
        </w:tc>
        <w:tc>
          <w:tcPr>
            <w:tcW w:w="1596" w:type="dxa"/>
          </w:tcPr>
          <w:p w14:paraId="1DEE29AF" w14:textId="77777777" w:rsidR="0046798B" w:rsidRDefault="0046798B">
            <w:pPr>
              <w:pStyle w:val="TableParagraph"/>
              <w:spacing w:before="9"/>
              <w:rPr>
                <w:sz w:val="23"/>
              </w:rPr>
            </w:pPr>
          </w:p>
          <w:p w14:paraId="54C1E5FB" w14:textId="77777777" w:rsidR="0046798B" w:rsidRDefault="00903B5C">
            <w:pPr>
              <w:pStyle w:val="TableParagraph"/>
              <w:ind w:left="114" w:right="85"/>
              <w:rPr>
                <w:sz w:val="20"/>
              </w:rPr>
            </w:pPr>
            <w:r>
              <w:rPr>
                <w:sz w:val="20"/>
              </w:rPr>
              <w:t>Air pollution control acts (pre- CAA)</w:t>
            </w:r>
          </w:p>
        </w:tc>
        <w:tc>
          <w:tcPr>
            <w:tcW w:w="1285" w:type="dxa"/>
          </w:tcPr>
          <w:p w14:paraId="2DA0ABFF" w14:textId="77777777" w:rsidR="0046798B" w:rsidRDefault="0046798B">
            <w:pPr>
              <w:pStyle w:val="TableParagraph"/>
            </w:pPr>
          </w:p>
          <w:p w14:paraId="07F31900" w14:textId="77777777" w:rsidR="0046798B" w:rsidRDefault="0046798B">
            <w:pPr>
              <w:pStyle w:val="TableParagraph"/>
              <w:spacing w:before="9"/>
              <w:rPr>
                <w:sz w:val="21"/>
              </w:rPr>
            </w:pPr>
          </w:p>
          <w:p w14:paraId="1412D3CB" w14:textId="77777777" w:rsidR="0046798B" w:rsidRDefault="00903B5C">
            <w:pPr>
              <w:pStyle w:val="TableParagraph"/>
              <w:ind w:left="114"/>
              <w:rPr>
                <w:sz w:val="20"/>
              </w:rPr>
            </w:pPr>
            <w:r>
              <w:rPr>
                <w:sz w:val="20"/>
              </w:rPr>
              <w:t>1947–1967</w:t>
            </w:r>
          </w:p>
        </w:tc>
        <w:tc>
          <w:tcPr>
            <w:tcW w:w="3421" w:type="dxa"/>
          </w:tcPr>
          <w:p w14:paraId="3153CE77" w14:textId="77777777" w:rsidR="0046798B" w:rsidRDefault="0046798B">
            <w:pPr>
              <w:pStyle w:val="TableParagraph"/>
              <w:spacing w:before="9"/>
              <w:rPr>
                <w:sz w:val="23"/>
              </w:rPr>
            </w:pPr>
          </w:p>
          <w:p w14:paraId="77247C26" w14:textId="77777777" w:rsidR="0046798B" w:rsidRDefault="00903B5C">
            <w:pPr>
              <w:pStyle w:val="TableParagraph"/>
              <w:ind w:left="114" w:right="332"/>
              <w:rPr>
                <w:sz w:val="20"/>
              </w:rPr>
            </w:pPr>
            <w:r>
              <w:rPr>
                <w:sz w:val="20"/>
              </w:rPr>
              <w:t>Does the state have an air pollution control act (pre-Clean Air Act)? (0 = no, 1 = yes)</w:t>
            </w:r>
          </w:p>
        </w:tc>
        <w:tc>
          <w:tcPr>
            <w:tcW w:w="6482" w:type="dxa"/>
          </w:tcPr>
          <w:p w14:paraId="4DBBC49A" w14:textId="77777777" w:rsidR="0046798B" w:rsidRDefault="00903B5C">
            <w:pPr>
              <w:pStyle w:val="TableParagraph"/>
              <w:spacing w:before="44"/>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58BB3799" w14:textId="77777777">
        <w:trPr>
          <w:trHeight w:val="1240"/>
        </w:trPr>
        <w:tc>
          <w:tcPr>
            <w:tcW w:w="1711" w:type="dxa"/>
          </w:tcPr>
          <w:p w14:paraId="2F397CB2" w14:textId="77777777" w:rsidR="0046798B" w:rsidRDefault="0046798B">
            <w:pPr>
              <w:pStyle w:val="TableParagraph"/>
            </w:pPr>
          </w:p>
          <w:p w14:paraId="4B717D5F" w14:textId="77777777" w:rsidR="0046798B" w:rsidRDefault="00903B5C">
            <w:pPr>
              <w:pStyle w:val="TableParagraph"/>
              <w:spacing w:before="136"/>
              <w:ind w:left="115" w:right="99"/>
              <w:rPr>
                <w:b/>
                <w:sz w:val="20"/>
              </w:rPr>
            </w:pPr>
            <w:r>
              <w:rPr>
                <w:b/>
                <w:sz w:val="20"/>
              </w:rPr>
              <w:t>environment_bot tlebill</w:t>
            </w:r>
          </w:p>
        </w:tc>
        <w:tc>
          <w:tcPr>
            <w:tcW w:w="1596" w:type="dxa"/>
          </w:tcPr>
          <w:p w14:paraId="5BE39501" w14:textId="77777777" w:rsidR="0046798B" w:rsidRDefault="0046798B">
            <w:pPr>
              <w:pStyle w:val="TableParagraph"/>
            </w:pPr>
          </w:p>
          <w:p w14:paraId="44D82BFE" w14:textId="77777777" w:rsidR="0046798B" w:rsidRDefault="0046798B">
            <w:pPr>
              <w:pStyle w:val="TableParagraph"/>
              <w:spacing w:before="9"/>
              <w:rPr>
                <w:sz w:val="21"/>
              </w:rPr>
            </w:pPr>
          </w:p>
          <w:p w14:paraId="341C86F1" w14:textId="77777777" w:rsidR="0046798B" w:rsidRDefault="00903B5C">
            <w:pPr>
              <w:pStyle w:val="TableParagraph"/>
              <w:ind w:left="114"/>
              <w:rPr>
                <w:sz w:val="20"/>
              </w:rPr>
            </w:pPr>
            <w:r>
              <w:rPr>
                <w:sz w:val="20"/>
              </w:rPr>
              <w:t>Bottle bill</w:t>
            </w:r>
          </w:p>
        </w:tc>
        <w:tc>
          <w:tcPr>
            <w:tcW w:w="1285" w:type="dxa"/>
          </w:tcPr>
          <w:p w14:paraId="457192F5" w14:textId="77777777" w:rsidR="0046798B" w:rsidRDefault="0046798B">
            <w:pPr>
              <w:pStyle w:val="TableParagraph"/>
            </w:pPr>
          </w:p>
          <w:p w14:paraId="311F9ED1" w14:textId="77777777" w:rsidR="0046798B" w:rsidRDefault="0046798B">
            <w:pPr>
              <w:pStyle w:val="TableParagraph"/>
              <w:spacing w:before="9"/>
              <w:rPr>
                <w:sz w:val="21"/>
              </w:rPr>
            </w:pPr>
          </w:p>
          <w:p w14:paraId="251C7B4A" w14:textId="77777777" w:rsidR="0046798B" w:rsidRDefault="00903B5C">
            <w:pPr>
              <w:pStyle w:val="TableParagraph"/>
              <w:ind w:left="114"/>
              <w:rPr>
                <w:sz w:val="20"/>
              </w:rPr>
            </w:pPr>
            <w:r>
              <w:rPr>
                <w:sz w:val="20"/>
              </w:rPr>
              <w:t>1970–2014</w:t>
            </w:r>
          </w:p>
        </w:tc>
        <w:tc>
          <w:tcPr>
            <w:tcW w:w="3421" w:type="dxa"/>
          </w:tcPr>
          <w:p w14:paraId="50B284AC" w14:textId="77777777" w:rsidR="0046798B" w:rsidRDefault="00903B5C">
            <w:pPr>
              <w:pStyle w:val="TableParagraph"/>
              <w:spacing w:before="159"/>
              <w:ind w:left="114" w:right="167"/>
              <w:rPr>
                <w:sz w:val="20"/>
              </w:rPr>
            </w:pPr>
            <w:r>
              <w:rPr>
                <w:sz w:val="20"/>
              </w:rPr>
              <w:t>Does the state require a deposit on bottles paid by the consumer and refunded when the consumer recycles? (0 = no, 1 = yes)</w:t>
            </w:r>
          </w:p>
        </w:tc>
        <w:tc>
          <w:tcPr>
            <w:tcW w:w="6482" w:type="dxa"/>
          </w:tcPr>
          <w:p w14:paraId="6B989C90"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5F78F702" w14:textId="77777777">
        <w:trPr>
          <w:trHeight w:val="1235"/>
        </w:trPr>
        <w:tc>
          <w:tcPr>
            <w:tcW w:w="1711" w:type="dxa"/>
          </w:tcPr>
          <w:p w14:paraId="2150C904" w14:textId="77777777" w:rsidR="0046798B" w:rsidRDefault="0046798B">
            <w:pPr>
              <w:pStyle w:val="TableParagraph"/>
              <w:spacing w:before="4"/>
              <w:rPr>
                <w:sz w:val="23"/>
              </w:rPr>
            </w:pPr>
          </w:p>
          <w:p w14:paraId="333C6F87" w14:textId="77777777" w:rsidR="0046798B" w:rsidRDefault="00903B5C">
            <w:pPr>
              <w:pStyle w:val="TableParagraph"/>
              <w:ind w:left="115" w:right="105"/>
              <w:jc w:val="both"/>
              <w:rPr>
                <w:b/>
                <w:sz w:val="20"/>
              </w:rPr>
            </w:pPr>
            <w:r>
              <w:rPr>
                <w:b/>
                <w:sz w:val="20"/>
              </w:rPr>
              <w:t>environment_ca_ car_emissions_st a</w:t>
            </w:r>
          </w:p>
        </w:tc>
        <w:tc>
          <w:tcPr>
            <w:tcW w:w="1596" w:type="dxa"/>
          </w:tcPr>
          <w:p w14:paraId="308F560D" w14:textId="77777777" w:rsidR="0046798B" w:rsidRDefault="0046798B">
            <w:pPr>
              <w:pStyle w:val="TableParagraph"/>
              <w:spacing w:before="4"/>
              <w:rPr>
                <w:sz w:val="23"/>
              </w:rPr>
            </w:pPr>
          </w:p>
          <w:p w14:paraId="05E4F98F" w14:textId="77777777" w:rsidR="0046798B" w:rsidRDefault="00903B5C">
            <w:pPr>
              <w:pStyle w:val="TableParagraph"/>
              <w:ind w:left="114" w:right="663"/>
              <w:rPr>
                <w:sz w:val="20"/>
              </w:rPr>
            </w:pPr>
            <w:r>
              <w:rPr>
                <w:sz w:val="20"/>
              </w:rPr>
              <w:t>CA car emissions standard</w:t>
            </w:r>
          </w:p>
        </w:tc>
        <w:tc>
          <w:tcPr>
            <w:tcW w:w="1285" w:type="dxa"/>
          </w:tcPr>
          <w:p w14:paraId="3C468558" w14:textId="77777777" w:rsidR="0046798B" w:rsidRDefault="0046798B">
            <w:pPr>
              <w:pStyle w:val="TableParagraph"/>
            </w:pPr>
          </w:p>
          <w:p w14:paraId="787642C1" w14:textId="77777777" w:rsidR="0046798B" w:rsidRDefault="0046798B">
            <w:pPr>
              <w:pStyle w:val="TableParagraph"/>
              <w:spacing w:before="4"/>
              <w:rPr>
                <w:sz w:val="21"/>
              </w:rPr>
            </w:pPr>
          </w:p>
          <w:p w14:paraId="6BEBD262" w14:textId="77777777" w:rsidR="0046798B" w:rsidRDefault="00903B5C">
            <w:pPr>
              <w:pStyle w:val="TableParagraph"/>
              <w:ind w:left="114"/>
              <w:rPr>
                <w:sz w:val="20"/>
              </w:rPr>
            </w:pPr>
            <w:r>
              <w:rPr>
                <w:sz w:val="20"/>
              </w:rPr>
              <w:t>2003–2012</w:t>
            </w:r>
          </w:p>
        </w:tc>
        <w:tc>
          <w:tcPr>
            <w:tcW w:w="3421" w:type="dxa"/>
          </w:tcPr>
          <w:p w14:paraId="50F2E593" w14:textId="77777777" w:rsidR="0046798B" w:rsidRDefault="00903B5C">
            <w:pPr>
              <w:pStyle w:val="TableParagraph"/>
              <w:spacing w:before="153"/>
              <w:ind w:left="114" w:right="326"/>
              <w:jc w:val="both"/>
              <w:rPr>
                <w:sz w:val="20"/>
              </w:rPr>
            </w:pPr>
            <w:r>
              <w:rPr>
                <w:sz w:val="20"/>
              </w:rPr>
              <w:t>Does the state adopt California’s car emissions standards (which are more stringent than the federal level)? (0 = no, 1 = yes)</w:t>
            </w:r>
          </w:p>
        </w:tc>
        <w:tc>
          <w:tcPr>
            <w:tcW w:w="6482" w:type="dxa"/>
          </w:tcPr>
          <w:p w14:paraId="115E0881"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bl>
    <w:p w14:paraId="3EA8DFC5" w14:textId="77777777" w:rsidR="0046798B" w:rsidRDefault="0046798B">
      <w:pPr>
        <w:rPr>
          <w:sz w:val="20"/>
        </w:rPr>
        <w:sectPr w:rsidR="0046798B">
          <w:pgSz w:w="15840" w:h="12240" w:orient="landscape"/>
          <w:pgMar w:top="1220" w:right="300" w:bottom="980" w:left="820" w:header="730" w:footer="787" w:gutter="0"/>
          <w:cols w:space="720"/>
        </w:sectPr>
      </w:pPr>
    </w:p>
    <w:p w14:paraId="6F9D4C73"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AC51491" w14:textId="77777777">
        <w:trPr>
          <w:trHeight w:val="1235"/>
        </w:trPr>
        <w:tc>
          <w:tcPr>
            <w:tcW w:w="1711" w:type="dxa"/>
          </w:tcPr>
          <w:p w14:paraId="008AC75A" w14:textId="77777777" w:rsidR="0046798B" w:rsidRDefault="0046798B">
            <w:pPr>
              <w:pStyle w:val="TableParagraph"/>
            </w:pPr>
          </w:p>
          <w:p w14:paraId="670E66A3" w14:textId="77777777" w:rsidR="0046798B" w:rsidRDefault="00903B5C">
            <w:pPr>
              <w:pStyle w:val="TableParagraph"/>
              <w:spacing w:before="135"/>
              <w:ind w:left="115" w:right="144"/>
              <w:rPr>
                <w:b/>
                <w:sz w:val="20"/>
              </w:rPr>
            </w:pPr>
            <w:r>
              <w:rPr>
                <w:b/>
                <w:sz w:val="20"/>
              </w:rPr>
              <w:t>environment_ele ctronic_waste</w:t>
            </w:r>
          </w:p>
        </w:tc>
        <w:tc>
          <w:tcPr>
            <w:tcW w:w="1596" w:type="dxa"/>
          </w:tcPr>
          <w:p w14:paraId="2E847C18" w14:textId="77777777" w:rsidR="0046798B" w:rsidRDefault="0046798B">
            <w:pPr>
              <w:pStyle w:val="TableParagraph"/>
              <w:spacing w:before="9"/>
              <w:rPr>
                <w:sz w:val="23"/>
              </w:rPr>
            </w:pPr>
          </w:p>
          <w:p w14:paraId="2B9973D8" w14:textId="77777777" w:rsidR="0046798B" w:rsidRDefault="00903B5C">
            <w:pPr>
              <w:pStyle w:val="TableParagraph"/>
              <w:ind w:left="114" w:right="124"/>
              <w:rPr>
                <w:sz w:val="20"/>
              </w:rPr>
            </w:pPr>
            <w:r>
              <w:rPr>
                <w:sz w:val="20"/>
              </w:rPr>
              <w:t>Electronic waste recycling program</w:t>
            </w:r>
          </w:p>
        </w:tc>
        <w:tc>
          <w:tcPr>
            <w:tcW w:w="1285" w:type="dxa"/>
          </w:tcPr>
          <w:p w14:paraId="38FDF81E" w14:textId="77777777" w:rsidR="0046798B" w:rsidRDefault="0046798B">
            <w:pPr>
              <w:pStyle w:val="TableParagraph"/>
            </w:pPr>
          </w:p>
          <w:p w14:paraId="022457CA" w14:textId="77777777" w:rsidR="0046798B" w:rsidRDefault="0046798B">
            <w:pPr>
              <w:pStyle w:val="TableParagraph"/>
              <w:spacing w:before="9"/>
              <w:rPr>
                <w:sz w:val="21"/>
              </w:rPr>
            </w:pPr>
          </w:p>
          <w:p w14:paraId="47489F66" w14:textId="77777777" w:rsidR="0046798B" w:rsidRDefault="00903B5C">
            <w:pPr>
              <w:pStyle w:val="TableParagraph"/>
              <w:ind w:left="114"/>
              <w:rPr>
                <w:sz w:val="20"/>
              </w:rPr>
            </w:pPr>
            <w:r>
              <w:rPr>
                <w:sz w:val="20"/>
              </w:rPr>
              <w:t>2000–2014</w:t>
            </w:r>
          </w:p>
        </w:tc>
        <w:tc>
          <w:tcPr>
            <w:tcW w:w="3421" w:type="dxa"/>
          </w:tcPr>
          <w:p w14:paraId="4817DCAE" w14:textId="77777777" w:rsidR="0046798B" w:rsidRDefault="0046798B">
            <w:pPr>
              <w:pStyle w:val="TableParagraph"/>
              <w:spacing w:before="9"/>
              <w:rPr>
                <w:sz w:val="23"/>
              </w:rPr>
            </w:pPr>
          </w:p>
          <w:p w14:paraId="5679DAC6" w14:textId="77777777" w:rsidR="0046798B" w:rsidRDefault="00903B5C">
            <w:pPr>
              <w:pStyle w:val="TableParagraph"/>
              <w:ind w:left="114" w:right="204"/>
              <w:rPr>
                <w:sz w:val="20"/>
              </w:rPr>
            </w:pPr>
            <w:r>
              <w:rPr>
                <w:sz w:val="20"/>
              </w:rPr>
              <w:t>Does the state have a recycling program for electronic waste? (0 = no, 1 = yes)</w:t>
            </w:r>
          </w:p>
        </w:tc>
        <w:tc>
          <w:tcPr>
            <w:tcW w:w="6482" w:type="dxa"/>
          </w:tcPr>
          <w:p w14:paraId="1BCAB66C"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40DD7CBB" w14:textId="77777777">
        <w:trPr>
          <w:trHeight w:val="1235"/>
        </w:trPr>
        <w:tc>
          <w:tcPr>
            <w:tcW w:w="1711" w:type="dxa"/>
          </w:tcPr>
          <w:p w14:paraId="05B2D586" w14:textId="77777777" w:rsidR="0046798B" w:rsidRDefault="0046798B">
            <w:pPr>
              <w:pStyle w:val="TableParagraph"/>
            </w:pPr>
          </w:p>
          <w:p w14:paraId="38B616CC" w14:textId="77777777" w:rsidR="0046798B" w:rsidRDefault="00903B5C">
            <w:pPr>
              <w:pStyle w:val="TableParagraph"/>
              <w:spacing w:before="136"/>
              <w:ind w:left="115" w:right="166"/>
              <w:rPr>
                <w:b/>
                <w:sz w:val="20"/>
              </w:rPr>
            </w:pPr>
            <w:r>
              <w:rPr>
                <w:b/>
                <w:sz w:val="20"/>
              </w:rPr>
              <w:t>environment_gh g_cap</w:t>
            </w:r>
          </w:p>
        </w:tc>
        <w:tc>
          <w:tcPr>
            <w:tcW w:w="1596" w:type="dxa"/>
          </w:tcPr>
          <w:p w14:paraId="3C9574E3" w14:textId="77777777" w:rsidR="0046798B" w:rsidRDefault="0046798B">
            <w:pPr>
              <w:pStyle w:val="TableParagraph"/>
            </w:pPr>
          </w:p>
          <w:p w14:paraId="4CB20E11" w14:textId="77777777" w:rsidR="0046798B" w:rsidRDefault="00903B5C">
            <w:pPr>
              <w:pStyle w:val="TableParagraph"/>
              <w:spacing w:before="136"/>
              <w:ind w:left="114" w:right="180"/>
              <w:rPr>
                <w:sz w:val="20"/>
              </w:rPr>
            </w:pPr>
            <w:r>
              <w:rPr>
                <w:sz w:val="20"/>
              </w:rPr>
              <w:t>Greenhouse gas cap</w:t>
            </w:r>
          </w:p>
        </w:tc>
        <w:tc>
          <w:tcPr>
            <w:tcW w:w="1285" w:type="dxa"/>
          </w:tcPr>
          <w:p w14:paraId="65D287B4" w14:textId="77777777" w:rsidR="0046798B" w:rsidRDefault="0046798B">
            <w:pPr>
              <w:pStyle w:val="TableParagraph"/>
            </w:pPr>
          </w:p>
          <w:p w14:paraId="58ACE2F3" w14:textId="77777777" w:rsidR="0046798B" w:rsidRDefault="0046798B">
            <w:pPr>
              <w:pStyle w:val="TableParagraph"/>
              <w:spacing w:before="9"/>
              <w:rPr>
                <w:sz w:val="21"/>
              </w:rPr>
            </w:pPr>
          </w:p>
          <w:p w14:paraId="7B8B66F4" w14:textId="77777777" w:rsidR="0046798B" w:rsidRDefault="00903B5C">
            <w:pPr>
              <w:pStyle w:val="TableParagraph"/>
              <w:ind w:left="114"/>
              <w:rPr>
                <w:sz w:val="20"/>
              </w:rPr>
            </w:pPr>
            <w:r>
              <w:rPr>
                <w:sz w:val="20"/>
              </w:rPr>
              <w:t>2006–2014</w:t>
            </w:r>
          </w:p>
        </w:tc>
        <w:tc>
          <w:tcPr>
            <w:tcW w:w="3421" w:type="dxa"/>
          </w:tcPr>
          <w:p w14:paraId="2DF9A750" w14:textId="77777777" w:rsidR="0046798B" w:rsidRDefault="0046798B">
            <w:pPr>
              <w:pStyle w:val="TableParagraph"/>
              <w:spacing w:before="9"/>
              <w:rPr>
                <w:sz w:val="23"/>
              </w:rPr>
            </w:pPr>
          </w:p>
          <w:p w14:paraId="5D946786" w14:textId="77777777" w:rsidR="0046798B" w:rsidRDefault="00903B5C">
            <w:pPr>
              <w:pStyle w:val="TableParagraph"/>
              <w:ind w:left="114" w:right="182"/>
              <w:rPr>
                <w:sz w:val="20"/>
              </w:rPr>
            </w:pPr>
            <w:r>
              <w:rPr>
                <w:sz w:val="20"/>
              </w:rPr>
              <w:t>Does the state have a binding cap on greenhouse gas emissions in the utility sector? (0 = no, 1 = yes)</w:t>
            </w:r>
          </w:p>
        </w:tc>
        <w:tc>
          <w:tcPr>
            <w:tcW w:w="6482" w:type="dxa"/>
          </w:tcPr>
          <w:p w14:paraId="21547A1D"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5C669E48" w14:textId="77777777">
        <w:trPr>
          <w:trHeight w:val="1240"/>
        </w:trPr>
        <w:tc>
          <w:tcPr>
            <w:tcW w:w="1711" w:type="dxa"/>
          </w:tcPr>
          <w:p w14:paraId="0C06F5BE" w14:textId="77777777" w:rsidR="0046798B" w:rsidRDefault="0046798B">
            <w:pPr>
              <w:pStyle w:val="TableParagraph"/>
            </w:pPr>
          </w:p>
          <w:p w14:paraId="020E2B68" w14:textId="77777777" w:rsidR="0046798B" w:rsidRDefault="00903B5C">
            <w:pPr>
              <w:pStyle w:val="TableParagraph"/>
              <w:spacing w:before="135"/>
              <w:ind w:left="115" w:right="87"/>
              <w:rPr>
                <w:b/>
                <w:sz w:val="20"/>
              </w:rPr>
            </w:pPr>
            <w:r>
              <w:rPr>
                <w:b/>
                <w:sz w:val="20"/>
              </w:rPr>
              <w:t>environment_pu blicbenefit_funds</w:t>
            </w:r>
          </w:p>
        </w:tc>
        <w:tc>
          <w:tcPr>
            <w:tcW w:w="1596" w:type="dxa"/>
          </w:tcPr>
          <w:p w14:paraId="74A3DCCA" w14:textId="77777777" w:rsidR="0046798B" w:rsidRDefault="0046798B">
            <w:pPr>
              <w:pStyle w:val="TableParagraph"/>
            </w:pPr>
          </w:p>
          <w:p w14:paraId="4D5A3170" w14:textId="77777777" w:rsidR="0046798B" w:rsidRDefault="00903B5C">
            <w:pPr>
              <w:pStyle w:val="TableParagraph"/>
              <w:spacing w:before="135"/>
              <w:ind w:left="114" w:right="335"/>
              <w:rPr>
                <w:sz w:val="20"/>
              </w:rPr>
            </w:pPr>
            <w:r>
              <w:rPr>
                <w:sz w:val="20"/>
              </w:rPr>
              <w:t>Public benefit fund</w:t>
            </w:r>
          </w:p>
        </w:tc>
        <w:tc>
          <w:tcPr>
            <w:tcW w:w="1285" w:type="dxa"/>
          </w:tcPr>
          <w:p w14:paraId="1827706E" w14:textId="77777777" w:rsidR="0046798B" w:rsidRDefault="0046798B">
            <w:pPr>
              <w:pStyle w:val="TableParagraph"/>
            </w:pPr>
          </w:p>
          <w:p w14:paraId="3C10DE2A" w14:textId="77777777" w:rsidR="0046798B" w:rsidRDefault="0046798B">
            <w:pPr>
              <w:pStyle w:val="TableParagraph"/>
              <w:spacing w:before="9"/>
              <w:rPr>
                <w:sz w:val="21"/>
              </w:rPr>
            </w:pPr>
          </w:p>
          <w:p w14:paraId="6E27BF8E" w14:textId="77777777" w:rsidR="0046798B" w:rsidRDefault="00903B5C">
            <w:pPr>
              <w:pStyle w:val="TableParagraph"/>
              <w:ind w:left="114"/>
              <w:rPr>
                <w:sz w:val="20"/>
              </w:rPr>
            </w:pPr>
            <w:r>
              <w:rPr>
                <w:sz w:val="20"/>
              </w:rPr>
              <w:t>1996–2014</w:t>
            </w:r>
          </w:p>
        </w:tc>
        <w:tc>
          <w:tcPr>
            <w:tcW w:w="3421" w:type="dxa"/>
          </w:tcPr>
          <w:p w14:paraId="05ECA3AD" w14:textId="77777777" w:rsidR="0046798B" w:rsidRDefault="0046798B">
            <w:pPr>
              <w:pStyle w:val="TableParagraph"/>
              <w:spacing w:before="9"/>
              <w:rPr>
                <w:sz w:val="23"/>
              </w:rPr>
            </w:pPr>
          </w:p>
          <w:p w14:paraId="624FC557" w14:textId="77777777" w:rsidR="0046798B" w:rsidRDefault="00903B5C">
            <w:pPr>
              <w:pStyle w:val="TableParagraph"/>
              <w:ind w:left="114" w:right="228"/>
              <w:rPr>
                <w:sz w:val="20"/>
              </w:rPr>
            </w:pPr>
            <w:r>
              <w:rPr>
                <w:sz w:val="20"/>
              </w:rPr>
              <w:t>Does the state have a public benefit fund for renewable energy and energy efficiency? (0 = no, 1 = yes)</w:t>
            </w:r>
          </w:p>
        </w:tc>
        <w:tc>
          <w:tcPr>
            <w:tcW w:w="6482" w:type="dxa"/>
          </w:tcPr>
          <w:p w14:paraId="29527BDD"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34655F8A" w14:textId="77777777">
        <w:trPr>
          <w:trHeight w:val="1235"/>
        </w:trPr>
        <w:tc>
          <w:tcPr>
            <w:tcW w:w="1711" w:type="dxa"/>
          </w:tcPr>
          <w:p w14:paraId="67D3178E" w14:textId="77777777" w:rsidR="0046798B" w:rsidRDefault="0046798B">
            <w:pPr>
              <w:pStyle w:val="TableParagraph"/>
            </w:pPr>
          </w:p>
          <w:p w14:paraId="283B95E7" w14:textId="77777777" w:rsidR="0046798B" w:rsidRDefault="00903B5C">
            <w:pPr>
              <w:pStyle w:val="TableParagraph"/>
              <w:spacing w:before="130"/>
              <w:ind w:left="115" w:right="132"/>
              <w:rPr>
                <w:b/>
                <w:sz w:val="20"/>
              </w:rPr>
            </w:pPr>
            <w:r>
              <w:rPr>
                <w:b/>
                <w:sz w:val="20"/>
              </w:rPr>
              <w:t>environment_sta te_nepas</w:t>
            </w:r>
          </w:p>
        </w:tc>
        <w:tc>
          <w:tcPr>
            <w:tcW w:w="1596" w:type="dxa"/>
          </w:tcPr>
          <w:p w14:paraId="10F2874D" w14:textId="77777777" w:rsidR="0046798B" w:rsidRDefault="0046798B">
            <w:pPr>
              <w:pStyle w:val="TableParagraph"/>
            </w:pPr>
          </w:p>
          <w:p w14:paraId="433D5A48" w14:textId="77777777" w:rsidR="0046798B" w:rsidRDefault="00903B5C">
            <w:pPr>
              <w:pStyle w:val="TableParagraph"/>
              <w:spacing w:before="130"/>
              <w:ind w:left="114" w:right="229"/>
              <w:rPr>
                <w:sz w:val="20"/>
              </w:rPr>
            </w:pPr>
            <w:r>
              <w:rPr>
                <w:sz w:val="20"/>
              </w:rPr>
              <w:t>Environmental Protection Act</w:t>
            </w:r>
          </w:p>
        </w:tc>
        <w:tc>
          <w:tcPr>
            <w:tcW w:w="1285" w:type="dxa"/>
          </w:tcPr>
          <w:p w14:paraId="23BD56AC" w14:textId="77777777" w:rsidR="0046798B" w:rsidRDefault="0046798B">
            <w:pPr>
              <w:pStyle w:val="TableParagraph"/>
            </w:pPr>
          </w:p>
          <w:p w14:paraId="31B2C825" w14:textId="77777777" w:rsidR="0046798B" w:rsidRDefault="0046798B">
            <w:pPr>
              <w:pStyle w:val="TableParagraph"/>
              <w:spacing w:before="4"/>
              <w:rPr>
                <w:sz w:val="21"/>
              </w:rPr>
            </w:pPr>
          </w:p>
          <w:p w14:paraId="32B50E1B" w14:textId="77777777" w:rsidR="0046798B" w:rsidRDefault="00903B5C">
            <w:pPr>
              <w:pStyle w:val="TableParagraph"/>
              <w:ind w:left="114"/>
              <w:rPr>
                <w:sz w:val="20"/>
              </w:rPr>
            </w:pPr>
            <w:r>
              <w:rPr>
                <w:sz w:val="20"/>
              </w:rPr>
              <w:t>1969–2014</w:t>
            </w:r>
          </w:p>
        </w:tc>
        <w:tc>
          <w:tcPr>
            <w:tcW w:w="3421" w:type="dxa"/>
          </w:tcPr>
          <w:p w14:paraId="66EAF367" w14:textId="77777777" w:rsidR="0046798B" w:rsidRDefault="0046798B">
            <w:pPr>
              <w:pStyle w:val="TableParagraph"/>
              <w:spacing w:before="4"/>
              <w:rPr>
                <w:sz w:val="23"/>
              </w:rPr>
            </w:pPr>
          </w:p>
          <w:p w14:paraId="5E88AF33" w14:textId="77777777" w:rsidR="0046798B" w:rsidRDefault="00903B5C">
            <w:pPr>
              <w:pStyle w:val="TableParagraph"/>
              <w:ind w:left="114" w:right="238"/>
              <w:rPr>
                <w:sz w:val="20"/>
              </w:rPr>
            </w:pPr>
            <w:r>
              <w:rPr>
                <w:sz w:val="20"/>
              </w:rPr>
              <w:t>Does the state have its own version of the federal National Environmental Policy Act? (0 = no, 1 = yes)</w:t>
            </w:r>
          </w:p>
        </w:tc>
        <w:tc>
          <w:tcPr>
            <w:tcW w:w="6482" w:type="dxa"/>
          </w:tcPr>
          <w:p w14:paraId="3CB6303D"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03C96E07" w14:textId="77777777">
        <w:trPr>
          <w:trHeight w:val="1235"/>
        </w:trPr>
        <w:tc>
          <w:tcPr>
            <w:tcW w:w="1711" w:type="dxa"/>
          </w:tcPr>
          <w:p w14:paraId="300F00A2" w14:textId="77777777" w:rsidR="0046798B" w:rsidRDefault="0046798B">
            <w:pPr>
              <w:pStyle w:val="TableParagraph"/>
            </w:pPr>
          </w:p>
          <w:p w14:paraId="4A9815FA" w14:textId="77777777" w:rsidR="0046798B" w:rsidRDefault="00903B5C">
            <w:pPr>
              <w:pStyle w:val="TableParagraph"/>
              <w:spacing w:before="131"/>
              <w:ind w:left="115"/>
              <w:rPr>
                <w:b/>
                <w:sz w:val="20"/>
              </w:rPr>
            </w:pPr>
            <w:r>
              <w:rPr>
                <w:b/>
                <w:sz w:val="20"/>
              </w:rPr>
              <w:t>regulation_utilit y_jurisdiction</w:t>
            </w:r>
          </w:p>
        </w:tc>
        <w:tc>
          <w:tcPr>
            <w:tcW w:w="1596" w:type="dxa"/>
          </w:tcPr>
          <w:p w14:paraId="478FEA77" w14:textId="77777777" w:rsidR="0046798B" w:rsidRDefault="0046798B">
            <w:pPr>
              <w:pStyle w:val="TableParagraph"/>
            </w:pPr>
          </w:p>
          <w:p w14:paraId="7722BE7B" w14:textId="77777777" w:rsidR="0046798B" w:rsidRDefault="00903B5C">
            <w:pPr>
              <w:pStyle w:val="TableParagraph"/>
              <w:spacing w:before="131"/>
              <w:ind w:left="114" w:right="641"/>
              <w:rPr>
                <w:sz w:val="20"/>
              </w:rPr>
            </w:pPr>
            <w:r>
              <w:rPr>
                <w:sz w:val="20"/>
              </w:rPr>
              <w:t>Utility regulation</w:t>
            </w:r>
          </w:p>
        </w:tc>
        <w:tc>
          <w:tcPr>
            <w:tcW w:w="1285" w:type="dxa"/>
          </w:tcPr>
          <w:p w14:paraId="0AF25A11" w14:textId="77777777" w:rsidR="0046798B" w:rsidRDefault="0046798B">
            <w:pPr>
              <w:pStyle w:val="TableParagraph"/>
            </w:pPr>
          </w:p>
          <w:p w14:paraId="0E75E883" w14:textId="77777777" w:rsidR="0046798B" w:rsidRDefault="0046798B">
            <w:pPr>
              <w:pStyle w:val="TableParagraph"/>
              <w:spacing w:before="4"/>
              <w:rPr>
                <w:sz w:val="21"/>
              </w:rPr>
            </w:pPr>
          </w:p>
          <w:p w14:paraId="5C65B51E" w14:textId="77777777" w:rsidR="0046798B" w:rsidRDefault="00903B5C">
            <w:pPr>
              <w:pStyle w:val="TableParagraph"/>
              <w:ind w:left="114"/>
              <w:rPr>
                <w:sz w:val="20"/>
              </w:rPr>
            </w:pPr>
            <w:r>
              <w:rPr>
                <w:sz w:val="20"/>
              </w:rPr>
              <w:t>1936–1960</w:t>
            </w:r>
          </w:p>
        </w:tc>
        <w:tc>
          <w:tcPr>
            <w:tcW w:w="3421" w:type="dxa"/>
          </w:tcPr>
          <w:p w14:paraId="44E21D56" w14:textId="77777777" w:rsidR="0046798B" w:rsidRDefault="0046798B">
            <w:pPr>
              <w:pStyle w:val="TableParagraph"/>
              <w:spacing w:before="4"/>
              <w:rPr>
                <w:sz w:val="23"/>
              </w:rPr>
            </w:pPr>
          </w:p>
          <w:p w14:paraId="318C3320" w14:textId="77777777" w:rsidR="0046798B" w:rsidRDefault="00903B5C">
            <w:pPr>
              <w:pStyle w:val="TableParagraph"/>
              <w:ind w:left="114" w:right="155"/>
              <w:rPr>
                <w:sz w:val="20"/>
              </w:rPr>
            </w:pPr>
            <w:r>
              <w:rPr>
                <w:sz w:val="20"/>
              </w:rPr>
              <w:t>Does the state have a state commission with rate-setting authority over electricity utilities? (0 = no, 1 = yes)</w:t>
            </w:r>
          </w:p>
        </w:tc>
        <w:tc>
          <w:tcPr>
            <w:tcW w:w="6482" w:type="dxa"/>
          </w:tcPr>
          <w:p w14:paraId="6A922605"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4A371703" w14:textId="77777777">
        <w:trPr>
          <w:trHeight w:val="2156"/>
        </w:trPr>
        <w:tc>
          <w:tcPr>
            <w:tcW w:w="1711" w:type="dxa"/>
          </w:tcPr>
          <w:p w14:paraId="618EBEB5" w14:textId="77777777" w:rsidR="0046798B" w:rsidRDefault="0046798B">
            <w:pPr>
              <w:pStyle w:val="TableParagraph"/>
            </w:pPr>
          </w:p>
          <w:p w14:paraId="3C37207D" w14:textId="77777777" w:rsidR="0046798B" w:rsidRDefault="0046798B">
            <w:pPr>
              <w:pStyle w:val="TableParagraph"/>
            </w:pPr>
          </w:p>
          <w:p w14:paraId="29E6231E" w14:textId="77777777" w:rsidR="0046798B" w:rsidRDefault="0046798B">
            <w:pPr>
              <w:pStyle w:val="TableParagraph"/>
              <w:spacing w:before="4"/>
              <w:rPr>
                <w:sz w:val="19"/>
              </w:rPr>
            </w:pPr>
          </w:p>
          <w:p w14:paraId="7CDE0937" w14:textId="77777777" w:rsidR="0046798B" w:rsidRDefault="00903B5C">
            <w:pPr>
              <w:pStyle w:val="TableParagraph"/>
              <w:ind w:left="115" w:right="116"/>
              <w:jc w:val="both"/>
              <w:rPr>
                <w:b/>
                <w:sz w:val="20"/>
              </w:rPr>
            </w:pPr>
            <w:r>
              <w:rPr>
                <w:b/>
                <w:sz w:val="20"/>
              </w:rPr>
              <w:t>w_environment_ endangered_spec ies</w:t>
            </w:r>
          </w:p>
        </w:tc>
        <w:tc>
          <w:tcPr>
            <w:tcW w:w="1596" w:type="dxa"/>
          </w:tcPr>
          <w:p w14:paraId="6D148295" w14:textId="77777777" w:rsidR="0046798B" w:rsidRDefault="0046798B">
            <w:pPr>
              <w:pStyle w:val="TableParagraph"/>
            </w:pPr>
          </w:p>
          <w:p w14:paraId="46E274DB" w14:textId="77777777" w:rsidR="0046798B" w:rsidRDefault="0046798B">
            <w:pPr>
              <w:pStyle w:val="TableParagraph"/>
            </w:pPr>
          </w:p>
          <w:p w14:paraId="78A9D098" w14:textId="77777777" w:rsidR="0046798B" w:rsidRDefault="0046798B">
            <w:pPr>
              <w:pStyle w:val="TableParagraph"/>
              <w:spacing w:before="4"/>
              <w:rPr>
                <w:sz w:val="29"/>
              </w:rPr>
            </w:pPr>
          </w:p>
          <w:p w14:paraId="25B44BA9" w14:textId="77777777" w:rsidR="0046798B" w:rsidRDefault="00903B5C">
            <w:pPr>
              <w:pStyle w:val="TableParagraph"/>
              <w:ind w:left="114" w:right="496"/>
              <w:rPr>
                <w:sz w:val="20"/>
              </w:rPr>
            </w:pPr>
            <w:r>
              <w:rPr>
                <w:sz w:val="20"/>
              </w:rPr>
              <w:t>Endangered Species Act</w:t>
            </w:r>
          </w:p>
        </w:tc>
        <w:tc>
          <w:tcPr>
            <w:tcW w:w="1285" w:type="dxa"/>
          </w:tcPr>
          <w:p w14:paraId="10C7505D" w14:textId="77777777" w:rsidR="0046798B" w:rsidRDefault="0046798B">
            <w:pPr>
              <w:pStyle w:val="TableParagraph"/>
            </w:pPr>
          </w:p>
          <w:p w14:paraId="4962BB94" w14:textId="77777777" w:rsidR="0046798B" w:rsidRDefault="0046798B">
            <w:pPr>
              <w:pStyle w:val="TableParagraph"/>
            </w:pPr>
          </w:p>
          <w:p w14:paraId="6BC2F4A7" w14:textId="77777777" w:rsidR="0046798B" w:rsidRDefault="0046798B">
            <w:pPr>
              <w:pStyle w:val="TableParagraph"/>
            </w:pPr>
          </w:p>
          <w:p w14:paraId="3130AD58" w14:textId="77777777" w:rsidR="0046798B" w:rsidRDefault="0046798B">
            <w:pPr>
              <w:pStyle w:val="TableParagraph"/>
              <w:spacing w:before="4"/>
              <w:rPr>
                <w:sz w:val="17"/>
              </w:rPr>
            </w:pPr>
          </w:p>
          <w:p w14:paraId="3376DA6B" w14:textId="77777777" w:rsidR="0046798B" w:rsidRDefault="00903B5C">
            <w:pPr>
              <w:pStyle w:val="TableParagraph"/>
              <w:ind w:left="114"/>
              <w:rPr>
                <w:sz w:val="20"/>
              </w:rPr>
            </w:pPr>
            <w:r>
              <w:rPr>
                <w:sz w:val="20"/>
              </w:rPr>
              <w:t>1969–2014</w:t>
            </w:r>
          </w:p>
        </w:tc>
        <w:tc>
          <w:tcPr>
            <w:tcW w:w="3421" w:type="dxa"/>
          </w:tcPr>
          <w:p w14:paraId="71A5FF5A" w14:textId="77777777" w:rsidR="0046798B" w:rsidRDefault="00903B5C">
            <w:pPr>
              <w:pStyle w:val="TableParagraph"/>
              <w:spacing w:before="38"/>
              <w:ind w:left="114" w:right="103"/>
              <w:rPr>
                <w:sz w:val="20"/>
              </w:rPr>
            </w:pPr>
            <w:r>
              <w:rPr>
                <w:sz w:val="20"/>
              </w:rPr>
              <w:t>Does the state have an endangered species act? (0 = state allows federal endangered species act to hold instead of state provisions/there are no state provisions; 1 = state has a less stringent protection program in place; 2 = state’s program meets or exceeds federal guidelines under section 6 of the US ESA)</w:t>
            </w:r>
          </w:p>
        </w:tc>
        <w:tc>
          <w:tcPr>
            <w:tcW w:w="6482" w:type="dxa"/>
          </w:tcPr>
          <w:p w14:paraId="084220A7" w14:textId="77777777" w:rsidR="0046798B" w:rsidRDefault="0046798B">
            <w:pPr>
              <w:pStyle w:val="TableParagraph"/>
            </w:pPr>
          </w:p>
          <w:p w14:paraId="6BEB4B01" w14:textId="77777777" w:rsidR="0046798B" w:rsidRDefault="0046798B">
            <w:pPr>
              <w:pStyle w:val="TableParagraph"/>
              <w:spacing w:before="4"/>
              <w:rPr>
                <w:sz w:val="21"/>
              </w:rPr>
            </w:pPr>
          </w:p>
          <w:p w14:paraId="3CA9693D" w14:textId="77777777" w:rsidR="0046798B" w:rsidRDefault="00903B5C">
            <w:pPr>
              <w:pStyle w:val="TableParagraph"/>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4B723EEF" w14:textId="77777777">
        <w:trPr>
          <w:trHeight w:val="775"/>
        </w:trPr>
        <w:tc>
          <w:tcPr>
            <w:tcW w:w="1711" w:type="dxa"/>
          </w:tcPr>
          <w:p w14:paraId="3E7A9D5D" w14:textId="77777777" w:rsidR="0046798B" w:rsidRDefault="00903B5C">
            <w:pPr>
              <w:pStyle w:val="TableParagraph"/>
              <w:spacing w:before="158"/>
              <w:ind w:left="115" w:right="132"/>
              <w:rPr>
                <w:b/>
                <w:sz w:val="20"/>
              </w:rPr>
            </w:pPr>
            <w:r>
              <w:rPr>
                <w:b/>
                <w:sz w:val="20"/>
              </w:rPr>
              <w:t>w_environment_ solar_taxcredit</w:t>
            </w:r>
          </w:p>
        </w:tc>
        <w:tc>
          <w:tcPr>
            <w:tcW w:w="1596" w:type="dxa"/>
          </w:tcPr>
          <w:p w14:paraId="00F3D95F" w14:textId="77777777" w:rsidR="0046798B" w:rsidRDefault="0046798B">
            <w:pPr>
              <w:pStyle w:val="TableParagraph"/>
              <w:spacing w:before="8"/>
              <w:rPr>
                <w:sz w:val="23"/>
              </w:rPr>
            </w:pPr>
          </w:p>
          <w:p w14:paraId="25E6CA29" w14:textId="77777777" w:rsidR="0046798B" w:rsidRDefault="00903B5C">
            <w:pPr>
              <w:pStyle w:val="TableParagraph"/>
              <w:spacing w:before="1"/>
              <w:ind w:left="114"/>
              <w:rPr>
                <w:sz w:val="20"/>
              </w:rPr>
            </w:pPr>
            <w:r>
              <w:rPr>
                <w:sz w:val="20"/>
              </w:rPr>
              <w:t>Solar tax credit</w:t>
            </w:r>
          </w:p>
        </w:tc>
        <w:tc>
          <w:tcPr>
            <w:tcW w:w="1285" w:type="dxa"/>
          </w:tcPr>
          <w:p w14:paraId="21E646A9" w14:textId="77777777" w:rsidR="0046798B" w:rsidRDefault="0046798B">
            <w:pPr>
              <w:pStyle w:val="TableParagraph"/>
              <w:spacing w:before="8"/>
              <w:rPr>
                <w:sz w:val="23"/>
              </w:rPr>
            </w:pPr>
          </w:p>
          <w:p w14:paraId="1A31967A" w14:textId="77777777" w:rsidR="0046798B" w:rsidRDefault="00903B5C">
            <w:pPr>
              <w:pStyle w:val="TableParagraph"/>
              <w:spacing w:before="1"/>
              <w:ind w:left="114"/>
              <w:rPr>
                <w:sz w:val="20"/>
              </w:rPr>
            </w:pPr>
            <w:r>
              <w:rPr>
                <w:sz w:val="20"/>
              </w:rPr>
              <w:t>1975–2014</w:t>
            </w:r>
          </w:p>
        </w:tc>
        <w:tc>
          <w:tcPr>
            <w:tcW w:w="3421" w:type="dxa"/>
          </w:tcPr>
          <w:p w14:paraId="7B6696AD" w14:textId="77777777" w:rsidR="0046798B" w:rsidRDefault="00903B5C">
            <w:pPr>
              <w:pStyle w:val="TableParagraph"/>
              <w:spacing w:before="43"/>
              <w:ind w:left="114" w:right="270"/>
              <w:rPr>
                <w:sz w:val="20"/>
              </w:rPr>
            </w:pPr>
            <w:r>
              <w:rPr>
                <w:sz w:val="20"/>
              </w:rPr>
              <w:t>Does the state have a tax credit for residential solar installations? (0 = no legislation; 1 = state approved local</w:t>
            </w:r>
          </w:p>
        </w:tc>
        <w:tc>
          <w:tcPr>
            <w:tcW w:w="6482" w:type="dxa"/>
          </w:tcPr>
          <w:p w14:paraId="29AF76EE" w14:textId="77777777" w:rsidR="0046798B" w:rsidRDefault="00903B5C">
            <w:pPr>
              <w:pStyle w:val="TableParagraph"/>
              <w:spacing w:before="43"/>
              <w:ind w:left="114"/>
              <w:rPr>
                <w:sz w:val="20"/>
              </w:rPr>
            </w:pPr>
            <w:r>
              <w:rPr>
                <w:sz w:val="20"/>
              </w:rPr>
              <w:t xml:space="preserve">Caughey, Devin, and Christopher Warshaw. 2015. “The Dynamics of State Policy Liberalism, 1936–2014.” </w:t>
            </w:r>
            <w:r>
              <w:rPr>
                <w:i/>
                <w:sz w:val="20"/>
              </w:rPr>
              <w:t>American Journal of Political Science</w:t>
            </w:r>
            <w:r>
              <w:rPr>
                <w:sz w:val="20"/>
              </w:rPr>
              <w:t>, September. doi: 10.1111/ajps.12219.</w:t>
            </w:r>
          </w:p>
        </w:tc>
      </w:tr>
    </w:tbl>
    <w:p w14:paraId="78E532AF" w14:textId="77777777" w:rsidR="0046798B" w:rsidRDefault="0046798B">
      <w:pPr>
        <w:rPr>
          <w:sz w:val="20"/>
        </w:rPr>
        <w:sectPr w:rsidR="0046798B">
          <w:pgSz w:w="15840" w:h="12240" w:orient="landscape"/>
          <w:pgMar w:top="1220" w:right="300" w:bottom="980" w:left="820" w:header="730" w:footer="787" w:gutter="0"/>
          <w:cols w:space="720"/>
        </w:sectPr>
      </w:pPr>
    </w:p>
    <w:p w14:paraId="0BD657F1"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0CF2142" w14:textId="77777777">
        <w:trPr>
          <w:trHeight w:val="542"/>
        </w:trPr>
        <w:tc>
          <w:tcPr>
            <w:tcW w:w="1711" w:type="dxa"/>
            <w:tcBorders>
              <w:bottom w:val="dotted" w:sz="6" w:space="0" w:color="BEBEBE"/>
            </w:tcBorders>
          </w:tcPr>
          <w:p w14:paraId="38F86F79" w14:textId="77777777" w:rsidR="0046798B" w:rsidRDefault="0046798B">
            <w:pPr>
              <w:pStyle w:val="TableParagraph"/>
              <w:rPr>
                <w:sz w:val="20"/>
              </w:rPr>
            </w:pPr>
          </w:p>
        </w:tc>
        <w:tc>
          <w:tcPr>
            <w:tcW w:w="1596" w:type="dxa"/>
            <w:tcBorders>
              <w:bottom w:val="dotted" w:sz="6" w:space="0" w:color="BEBEBE"/>
            </w:tcBorders>
          </w:tcPr>
          <w:p w14:paraId="2DD95444" w14:textId="77777777" w:rsidR="0046798B" w:rsidRDefault="0046798B">
            <w:pPr>
              <w:pStyle w:val="TableParagraph"/>
              <w:rPr>
                <w:sz w:val="20"/>
              </w:rPr>
            </w:pPr>
          </w:p>
        </w:tc>
        <w:tc>
          <w:tcPr>
            <w:tcW w:w="1285" w:type="dxa"/>
            <w:tcBorders>
              <w:bottom w:val="dotted" w:sz="6" w:space="0" w:color="BEBEBE"/>
            </w:tcBorders>
          </w:tcPr>
          <w:p w14:paraId="05829058" w14:textId="77777777" w:rsidR="0046798B" w:rsidRDefault="0046798B">
            <w:pPr>
              <w:pStyle w:val="TableParagraph"/>
              <w:rPr>
                <w:sz w:val="20"/>
              </w:rPr>
            </w:pPr>
          </w:p>
        </w:tc>
        <w:tc>
          <w:tcPr>
            <w:tcW w:w="3421" w:type="dxa"/>
            <w:tcBorders>
              <w:bottom w:val="dotted" w:sz="6" w:space="0" w:color="BEBEBE"/>
            </w:tcBorders>
          </w:tcPr>
          <w:p w14:paraId="7CE83910" w14:textId="77777777" w:rsidR="0046798B" w:rsidRDefault="00903B5C">
            <w:pPr>
              <w:pStyle w:val="TableParagraph"/>
              <w:spacing w:before="43"/>
              <w:ind w:left="114" w:right="431"/>
              <w:rPr>
                <w:sz w:val="20"/>
              </w:rPr>
            </w:pPr>
            <w:r>
              <w:rPr>
                <w:sz w:val="20"/>
              </w:rPr>
              <w:t>option; 2 = state mandated credit or exemption system)</w:t>
            </w:r>
          </w:p>
        </w:tc>
        <w:tc>
          <w:tcPr>
            <w:tcW w:w="6482" w:type="dxa"/>
            <w:tcBorders>
              <w:bottom w:val="dotted" w:sz="6" w:space="0" w:color="BEBEBE"/>
            </w:tcBorders>
          </w:tcPr>
          <w:p w14:paraId="73E20462" w14:textId="77777777" w:rsidR="0046798B" w:rsidRDefault="00903B5C">
            <w:pPr>
              <w:pStyle w:val="TableParagraph"/>
              <w:spacing w:before="43"/>
              <w:ind w:left="114" w:right="137"/>
              <w:rPr>
                <w:sz w:val="20"/>
              </w:rPr>
            </w:pP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39A45D66" w14:textId="77777777">
        <w:trPr>
          <w:trHeight w:val="1693"/>
        </w:trPr>
        <w:tc>
          <w:tcPr>
            <w:tcW w:w="1711" w:type="dxa"/>
            <w:tcBorders>
              <w:top w:val="dotted" w:sz="6" w:space="0" w:color="BEBEBE"/>
            </w:tcBorders>
          </w:tcPr>
          <w:p w14:paraId="653BABFA" w14:textId="77777777" w:rsidR="0046798B" w:rsidRDefault="0046798B">
            <w:pPr>
              <w:pStyle w:val="TableParagraph"/>
            </w:pPr>
          </w:p>
          <w:p w14:paraId="3D418F34" w14:textId="77777777" w:rsidR="0046798B" w:rsidRDefault="0046798B">
            <w:pPr>
              <w:pStyle w:val="TableParagraph"/>
            </w:pPr>
          </w:p>
          <w:p w14:paraId="171FA19F" w14:textId="77777777" w:rsidR="0046798B" w:rsidRDefault="0046798B">
            <w:pPr>
              <w:pStyle w:val="TableParagraph"/>
              <w:spacing w:before="6"/>
              <w:rPr>
                <w:sz w:val="19"/>
              </w:rPr>
            </w:pPr>
          </w:p>
          <w:p w14:paraId="33882189" w14:textId="77777777" w:rsidR="0046798B" w:rsidRDefault="00903B5C">
            <w:pPr>
              <w:pStyle w:val="TableParagraph"/>
              <w:ind w:left="115"/>
              <w:rPr>
                <w:b/>
                <w:sz w:val="20"/>
              </w:rPr>
            </w:pPr>
            <w:r>
              <w:rPr>
                <w:b/>
                <w:sz w:val="20"/>
              </w:rPr>
              <w:t>fcap</w:t>
            </w:r>
          </w:p>
        </w:tc>
        <w:tc>
          <w:tcPr>
            <w:tcW w:w="1596" w:type="dxa"/>
            <w:tcBorders>
              <w:top w:val="dotted" w:sz="6" w:space="0" w:color="BEBEBE"/>
            </w:tcBorders>
          </w:tcPr>
          <w:p w14:paraId="087B5745" w14:textId="77777777" w:rsidR="0046798B" w:rsidRDefault="0046798B">
            <w:pPr>
              <w:pStyle w:val="TableParagraph"/>
              <w:spacing w:before="6"/>
              <w:rPr>
                <w:sz w:val="23"/>
              </w:rPr>
            </w:pPr>
          </w:p>
          <w:p w14:paraId="7ECFA504" w14:textId="77777777" w:rsidR="0046798B" w:rsidRDefault="00903B5C">
            <w:pPr>
              <w:pStyle w:val="TableParagraph"/>
              <w:ind w:left="114" w:right="224"/>
              <w:rPr>
                <w:sz w:val="20"/>
              </w:rPr>
            </w:pPr>
            <w:r>
              <w:rPr>
                <w:sz w:val="20"/>
              </w:rPr>
              <w:t>Active cap on greenhouse gas emissions from electric power producers</w:t>
            </w:r>
          </w:p>
        </w:tc>
        <w:tc>
          <w:tcPr>
            <w:tcW w:w="1285" w:type="dxa"/>
            <w:tcBorders>
              <w:top w:val="dotted" w:sz="6" w:space="0" w:color="BEBEBE"/>
            </w:tcBorders>
          </w:tcPr>
          <w:p w14:paraId="7EFA7812" w14:textId="77777777" w:rsidR="0046798B" w:rsidRDefault="0046798B">
            <w:pPr>
              <w:pStyle w:val="TableParagraph"/>
            </w:pPr>
          </w:p>
          <w:p w14:paraId="69DD40D9" w14:textId="77777777" w:rsidR="0046798B" w:rsidRDefault="0046798B">
            <w:pPr>
              <w:pStyle w:val="TableParagraph"/>
            </w:pPr>
          </w:p>
          <w:p w14:paraId="680DBDD7" w14:textId="77777777" w:rsidR="0046798B" w:rsidRDefault="0046798B">
            <w:pPr>
              <w:pStyle w:val="TableParagraph"/>
              <w:spacing w:before="6"/>
              <w:rPr>
                <w:sz w:val="19"/>
              </w:rPr>
            </w:pPr>
          </w:p>
          <w:p w14:paraId="7238C85B" w14:textId="77777777" w:rsidR="0046798B" w:rsidRDefault="00903B5C">
            <w:pPr>
              <w:pStyle w:val="TableParagraph"/>
              <w:ind w:left="114"/>
              <w:rPr>
                <w:sz w:val="20"/>
              </w:rPr>
            </w:pPr>
            <w:r>
              <w:rPr>
                <w:sz w:val="20"/>
              </w:rPr>
              <w:t>2000–2014</w:t>
            </w:r>
          </w:p>
        </w:tc>
        <w:tc>
          <w:tcPr>
            <w:tcW w:w="3421" w:type="dxa"/>
            <w:tcBorders>
              <w:top w:val="dotted" w:sz="6" w:space="0" w:color="BEBEBE"/>
            </w:tcBorders>
          </w:tcPr>
          <w:p w14:paraId="076B3071" w14:textId="77777777" w:rsidR="0046798B" w:rsidRDefault="00903B5C">
            <w:pPr>
              <w:pStyle w:val="TableParagraph"/>
              <w:spacing w:before="40"/>
              <w:ind w:left="114" w:right="875"/>
              <w:jc w:val="both"/>
              <w:rPr>
                <w:sz w:val="20"/>
              </w:rPr>
            </w:pPr>
            <w:r>
              <w:rPr>
                <w:sz w:val="20"/>
              </w:rPr>
              <w:t>Active cap on greenhouse gas emissions from electric power producers? (0 = no, 1 = yes)</w:t>
            </w:r>
          </w:p>
          <w:p w14:paraId="362E0963" w14:textId="77777777" w:rsidR="0046798B" w:rsidRDefault="0046798B">
            <w:pPr>
              <w:pStyle w:val="TableParagraph"/>
              <w:spacing w:before="1"/>
              <w:rPr>
                <w:sz w:val="20"/>
              </w:rPr>
            </w:pPr>
          </w:p>
          <w:p w14:paraId="1F2AE67F" w14:textId="77777777" w:rsidR="0046798B" w:rsidRDefault="00903B5C">
            <w:pPr>
              <w:pStyle w:val="TableParagraph"/>
              <w:ind w:left="114" w:right="461"/>
              <w:rPr>
                <w:sz w:val="20"/>
              </w:rPr>
            </w:pPr>
            <w:r>
              <w:rPr>
                <w:sz w:val="20"/>
              </w:rPr>
              <w:t>(note: setting a goal or initiating a process doesn’t count—only actual regulations in force)</w:t>
            </w:r>
          </w:p>
        </w:tc>
        <w:tc>
          <w:tcPr>
            <w:tcW w:w="6482" w:type="dxa"/>
            <w:tcBorders>
              <w:top w:val="dotted" w:sz="6" w:space="0" w:color="BEBEBE"/>
            </w:tcBorders>
          </w:tcPr>
          <w:p w14:paraId="4BD94D35" w14:textId="77777777" w:rsidR="0046798B" w:rsidRDefault="0046798B">
            <w:pPr>
              <w:pStyle w:val="TableParagraph"/>
            </w:pPr>
          </w:p>
          <w:p w14:paraId="6A73D77F" w14:textId="77777777" w:rsidR="0046798B" w:rsidRDefault="0046798B">
            <w:pPr>
              <w:pStyle w:val="TableParagraph"/>
              <w:spacing w:before="6"/>
              <w:rPr>
                <w:sz w:val="21"/>
              </w:rPr>
            </w:pPr>
          </w:p>
          <w:p w14:paraId="791F1CE4" w14:textId="77777777" w:rsidR="0046798B" w:rsidRDefault="00903B5C">
            <w:pPr>
              <w:pStyle w:val="TableParagraph"/>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7267D6A" w14:textId="77777777">
        <w:trPr>
          <w:trHeight w:val="1700"/>
        </w:trPr>
        <w:tc>
          <w:tcPr>
            <w:tcW w:w="1711" w:type="dxa"/>
          </w:tcPr>
          <w:p w14:paraId="719FF495" w14:textId="77777777" w:rsidR="0046798B" w:rsidRDefault="0046798B">
            <w:pPr>
              <w:pStyle w:val="TableParagraph"/>
            </w:pPr>
          </w:p>
          <w:p w14:paraId="2076F2DD" w14:textId="77777777" w:rsidR="0046798B" w:rsidRDefault="0046798B">
            <w:pPr>
              <w:pStyle w:val="TableParagraph"/>
            </w:pPr>
          </w:p>
          <w:p w14:paraId="0E4FD025" w14:textId="77777777" w:rsidR="0046798B" w:rsidRDefault="0046798B">
            <w:pPr>
              <w:pStyle w:val="TableParagraph"/>
              <w:spacing w:before="9"/>
              <w:rPr>
                <w:sz w:val="19"/>
              </w:rPr>
            </w:pPr>
          </w:p>
          <w:p w14:paraId="26F0D656" w14:textId="77777777" w:rsidR="0046798B" w:rsidRDefault="00903B5C">
            <w:pPr>
              <w:pStyle w:val="TableParagraph"/>
              <w:ind w:left="115"/>
              <w:rPr>
                <w:b/>
                <w:sz w:val="20"/>
              </w:rPr>
            </w:pPr>
            <w:r>
              <w:rPr>
                <w:b/>
                <w:sz w:val="20"/>
              </w:rPr>
              <w:t>flandu</w:t>
            </w:r>
          </w:p>
        </w:tc>
        <w:tc>
          <w:tcPr>
            <w:tcW w:w="1596" w:type="dxa"/>
          </w:tcPr>
          <w:p w14:paraId="005B723E" w14:textId="77777777" w:rsidR="0046798B" w:rsidRDefault="0046798B">
            <w:pPr>
              <w:pStyle w:val="TableParagraph"/>
            </w:pPr>
          </w:p>
          <w:p w14:paraId="4F3A7590" w14:textId="77777777" w:rsidR="0046798B" w:rsidRDefault="0046798B">
            <w:pPr>
              <w:pStyle w:val="TableParagraph"/>
              <w:spacing w:before="9"/>
              <w:rPr>
                <w:sz w:val="31"/>
              </w:rPr>
            </w:pPr>
          </w:p>
          <w:p w14:paraId="10BCE245" w14:textId="77777777" w:rsidR="0046798B" w:rsidRDefault="00903B5C">
            <w:pPr>
              <w:pStyle w:val="TableParagraph"/>
              <w:ind w:left="114" w:right="213"/>
              <w:rPr>
                <w:sz w:val="20"/>
              </w:rPr>
            </w:pPr>
            <w:r>
              <w:rPr>
                <w:sz w:val="20"/>
              </w:rPr>
              <w:t>Court land use decisions index</w:t>
            </w:r>
          </w:p>
        </w:tc>
        <w:tc>
          <w:tcPr>
            <w:tcW w:w="1285" w:type="dxa"/>
          </w:tcPr>
          <w:p w14:paraId="39412179" w14:textId="77777777" w:rsidR="0046798B" w:rsidRDefault="0046798B">
            <w:pPr>
              <w:pStyle w:val="TableParagraph"/>
            </w:pPr>
          </w:p>
          <w:p w14:paraId="12ADDF79" w14:textId="77777777" w:rsidR="0046798B" w:rsidRDefault="0046798B">
            <w:pPr>
              <w:pStyle w:val="TableParagraph"/>
            </w:pPr>
          </w:p>
          <w:p w14:paraId="3362E77F" w14:textId="77777777" w:rsidR="0046798B" w:rsidRDefault="0046798B">
            <w:pPr>
              <w:pStyle w:val="TableParagraph"/>
              <w:spacing w:before="9"/>
              <w:rPr>
                <w:sz w:val="19"/>
              </w:rPr>
            </w:pPr>
          </w:p>
          <w:p w14:paraId="7457B200" w14:textId="77777777" w:rsidR="0046798B" w:rsidRDefault="00903B5C">
            <w:pPr>
              <w:pStyle w:val="TableParagraph"/>
              <w:ind w:left="114"/>
              <w:rPr>
                <w:sz w:val="20"/>
              </w:rPr>
            </w:pPr>
            <w:r>
              <w:rPr>
                <w:sz w:val="20"/>
              </w:rPr>
              <w:t>2000–2016</w:t>
            </w:r>
          </w:p>
        </w:tc>
        <w:tc>
          <w:tcPr>
            <w:tcW w:w="3421" w:type="dxa"/>
          </w:tcPr>
          <w:p w14:paraId="6354930C" w14:textId="77777777" w:rsidR="0046798B" w:rsidRDefault="00903B5C">
            <w:pPr>
              <w:pStyle w:val="TableParagraph"/>
              <w:spacing w:before="43"/>
              <w:ind w:left="114" w:right="88"/>
              <w:rPr>
                <w:sz w:val="20"/>
              </w:rPr>
            </w:pPr>
            <w:r>
              <w:rPr>
                <w:sz w:val="20"/>
              </w:rPr>
              <w:t>Court land-use decisions index: number of state appellate decisions containing the phrase “land use,” cumulative from 1/1/1920, divided by state population (then multiplied by 1,000,000)</w:t>
            </w:r>
          </w:p>
          <w:p w14:paraId="3E9A26AD" w14:textId="77777777" w:rsidR="0046798B" w:rsidRDefault="0046798B">
            <w:pPr>
              <w:pStyle w:val="TableParagraph"/>
              <w:rPr>
                <w:sz w:val="20"/>
              </w:rPr>
            </w:pPr>
          </w:p>
          <w:p w14:paraId="3ACA833B" w14:textId="77777777" w:rsidR="0046798B" w:rsidRDefault="00903B5C">
            <w:pPr>
              <w:pStyle w:val="TableParagraph"/>
              <w:ind w:left="114"/>
              <w:rPr>
                <w:sz w:val="20"/>
              </w:rPr>
            </w:pPr>
            <w:r>
              <w:rPr>
                <w:sz w:val="20"/>
              </w:rPr>
              <w:t>(flandum / apop) * 1000000</w:t>
            </w:r>
          </w:p>
        </w:tc>
        <w:tc>
          <w:tcPr>
            <w:tcW w:w="6482" w:type="dxa"/>
          </w:tcPr>
          <w:p w14:paraId="061933BF" w14:textId="77777777" w:rsidR="0046798B" w:rsidRDefault="0046798B">
            <w:pPr>
              <w:pStyle w:val="TableParagraph"/>
            </w:pPr>
          </w:p>
          <w:p w14:paraId="0FE2DA8A" w14:textId="77777777" w:rsidR="0046798B" w:rsidRDefault="0046798B">
            <w:pPr>
              <w:pStyle w:val="TableParagraph"/>
              <w:spacing w:before="9"/>
              <w:rPr>
                <w:sz w:val="21"/>
              </w:rPr>
            </w:pPr>
          </w:p>
          <w:p w14:paraId="0CE6A3CC"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32265E7" w14:textId="77777777">
        <w:trPr>
          <w:trHeight w:val="775"/>
        </w:trPr>
        <w:tc>
          <w:tcPr>
            <w:tcW w:w="1711" w:type="dxa"/>
          </w:tcPr>
          <w:p w14:paraId="6AA5F6BD" w14:textId="77777777" w:rsidR="0046798B" w:rsidRDefault="0046798B">
            <w:pPr>
              <w:pStyle w:val="TableParagraph"/>
              <w:spacing w:before="4"/>
              <w:rPr>
                <w:sz w:val="23"/>
              </w:rPr>
            </w:pPr>
          </w:p>
          <w:p w14:paraId="7BF7A971" w14:textId="77777777" w:rsidR="0046798B" w:rsidRDefault="00903B5C">
            <w:pPr>
              <w:pStyle w:val="TableParagraph"/>
              <w:ind w:left="115"/>
              <w:rPr>
                <w:b/>
                <w:sz w:val="20"/>
              </w:rPr>
            </w:pPr>
            <w:r>
              <w:rPr>
                <w:b/>
                <w:sz w:val="20"/>
              </w:rPr>
              <w:t>fsmlp</w:t>
            </w:r>
          </w:p>
        </w:tc>
        <w:tc>
          <w:tcPr>
            <w:tcW w:w="1596" w:type="dxa"/>
          </w:tcPr>
          <w:p w14:paraId="672C4CC2" w14:textId="77777777" w:rsidR="0046798B" w:rsidRDefault="00903B5C">
            <w:pPr>
              <w:pStyle w:val="TableParagraph"/>
              <w:spacing w:before="153"/>
              <w:ind w:left="114" w:right="224"/>
              <w:rPr>
                <w:sz w:val="20"/>
              </w:rPr>
            </w:pPr>
            <w:r>
              <w:rPr>
                <w:sz w:val="20"/>
              </w:rPr>
              <w:t>State mandated local plans</w:t>
            </w:r>
          </w:p>
        </w:tc>
        <w:tc>
          <w:tcPr>
            <w:tcW w:w="1285" w:type="dxa"/>
          </w:tcPr>
          <w:p w14:paraId="2989A04B" w14:textId="77777777" w:rsidR="0046798B" w:rsidRDefault="0046798B">
            <w:pPr>
              <w:pStyle w:val="TableParagraph"/>
              <w:spacing w:before="4"/>
              <w:rPr>
                <w:sz w:val="23"/>
              </w:rPr>
            </w:pPr>
          </w:p>
          <w:p w14:paraId="1FD733B7" w14:textId="77777777" w:rsidR="0046798B" w:rsidRDefault="00903B5C">
            <w:pPr>
              <w:pStyle w:val="TableParagraph"/>
              <w:ind w:left="114"/>
              <w:rPr>
                <w:sz w:val="20"/>
              </w:rPr>
            </w:pPr>
            <w:r>
              <w:rPr>
                <w:sz w:val="20"/>
              </w:rPr>
              <w:t>2002–2009</w:t>
            </w:r>
          </w:p>
        </w:tc>
        <w:tc>
          <w:tcPr>
            <w:tcW w:w="3421" w:type="dxa"/>
          </w:tcPr>
          <w:p w14:paraId="1DE7BE7C" w14:textId="77777777" w:rsidR="0046798B" w:rsidRDefault="00903B5C">
            <w:pPr>
              <w:pStyle w:val="TableParagraph"/>
              <w:spacing w:before="153"/>
              <w:ind w:left="114" w:right="146"/>
              <w:rPr>
                <w:sz w:val="20"/>
              </w:rPr>
            </w:pPr>
            <w:r>
              <w:rPr>
                <w:sz w:val="20"/>
              </w:rPr>
              <w:t>State mandated local plans (0 = no, 1 = yes)</w:t>
            </w:r>
          </w:p>
        </w:tc>
        <w:tc>
          <w:tcPr>
            <w:tcW w:w="6482" w:type="dxa"/>
          </w:tcPr>
          <w:p w14:paraId="5E836E11" w14:textId="77777777" w:rsidR="0046798B" w:rsidRDefault="00903B5C">
            <w:pPr>
              <w:pStyle w:val="TableParagraph"/>
              <w:spacing w:before="38"/>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3BE0090" w14:textId="77777777">
        <w:trPr>
          <w:trHeight w:val="775"/>
        </w:trPr>
        <w:tc>
          <w:tcPr>
            <w:tcW w:w="1711" w:type="dxa"/>
          </w:tcPr>
          <w:p w14:paraId="09AC460F" w14:textId="77777777" w:rsidR="0046798B" w:rsidRDefault="0046798B">
            <w:pPr>
              <w:pStyle w:val="TableParagraph"/>
              <w:spacing w:before="3"/>
              <w:rPr>
                <w:sz w:val="23"/>
              </w:rPr>
            </w:pPr>
          </w:p>
          <w:p w14:paraId="310859BC" w14:textId="77777777" w:rsidR="0046798B" w:rsidRDefault="00903B5C">
            <w:pPr>
              <w:pStyle w:val="TableParagraph"/>
              <w:spacing w:before="1"/>
              <w:ind w:left="115"/>
              <w:rPr>
                <w:b/>
                <w:sz w:val="20"/>
              </w:rPr>
            </w:pPr>
            <w:r>
              <w:rPr>
                <w:b/>
                <w:sz w:val="20"/>
              </w:rPr>
              <w:t>fswp</w:t>
            </w:r>
          </w:p>
        </w:tc>
        <w:tc>
          <w:tcPr>
            <w:tcW w:w="1596" w:type="dxa"/>
          </w:tcPr>
          <w:p w14:paraId="28674230" w14:textId="77777777" w:rsidR="0046798B" w:rsidRDefault="00903B5C">
            <w:pPr>
              <w:pStyle w:val="TableParagraph"/>
              <w:spacing w:before="38"/>
              <w:ind w:left="114" w:right="369"/>
              <w:rPr>
                <w:sz w:val="20"/>
              </w:rPr>
            </w:pPr>
            <w:r>
              <w:rPr>
                <w:sz w:val="20"/>
              </w:rPr>
              <w:t>State wetland restoration program</w:t>
            </w:r>
          </w:p>
        </w:tc>
        <w:tc>
          <w:tcPr>
            <w:tcW w:w="1285" w:type="dxa"/>
          </w:tcPr>
          <w:p w14:paraId="1C62EA74" w14:textId="77777777" w:rsidR="0046798B" w:rsidRDefault="0046798B">
            <w:pPr>
              <w:pStyle w:val="TableParagraph"/>
              <w:spacing w:before="3"/>
              <w:rPr>
                <w:sz w:val="23"/>
              </w:rPr>
            </w:pPr>
          </w:p>
          <w:p w14:paraId="19C934C4" w14:textId="77777777" w:rsidR="0046798B" w:rsidRDefault="00903B5C">
            <w:pPr>
              <w:pStyle w:val="TableParagraph"/>
              <w:spacing w:before="1"/>
              <w:ind w:left="114"/>
              <w:rPr>
                <w:sz w:val="20"/>
              </w:rPr>
            </w:pPr>
            <w:r>
              <w:rPr>
                <w:sz w:val="20"/>
              </w:rPr>
              <w:t>2006–2010</w:t>
            </w:r>
          </w:p>
        </w:tc>
        <w:tc>
          <w:tcPr>
            <w:tcW w:w="3421" w:type="dxa"/>
          </w:tcPr>
          <w:p w14:paraId="56FA07C3" w14:textId="77777777" w:rsidR="0046798B" w:rsidRDefault="00903B5C">
            <w:pPr>
              <w:pStyle w:val="TableParagraph"/>
              <w:spacing w:before="153"/>
              <w:ind w:left="114" w:right="181"/>
              <w:rPr>
                <w:sz w:val="20"/>
              </w:rPr>
            </w:pPr>
            <w:r>
              <w:rPr>
                <w:sz w:val="20"/>
              </w:rPr>
              <w:t>State wetland restoration program (0 = no, 1 = yes)</w:t>
            </w:r>
          </w:p>
        </w:tc>
        <w:tc>
          <w:tcPr>
            <w:tcW w:w="6482" w:type="dxa"/>
          </w:tcPr>
          <w:p w14:paraId="5108A565" w14:textId="77777777" w:rsidR="0046798B" w:rsidRDefault="00903B5C">
            <w:pPr>
              <w:pStyle w:val="TableParagraph"/>
              <w:spacing w:before="3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45C373F" w14:textId="77777777">
        <w:trPr>
          <w:trHeight w:val="1235"/>
        </w:trPr>
        <w:tc>
          <w:tcPr>
            <w:tcW w:w="1711" w:type="dxa"/>
          </w:tcPr>
          <w:p w14:paraId="3B286B3B" w14:textId="77777777" w:rsidR="0046798B" w:rsidRDefault="0046798B">
            <w:pPr>
              <w:pStyle w:val="TableParagraph"/>
            </w:pPr>
          </w:p>
          <w:p w14:paraId="18A684E3" w14:textId="77777777" w:rsidR="0046798B" w:rsidRDefault="0046798B">
            <w:pPr>
              <w:pStyle w:val="TableParagraph"/>
              <w:spacing w:before="3"/>
              <w:rPr>
                <w:sz w:val="21"/>
              </w:rPr>
            </w:pPr>
          </w:p>
          <w:p w14:paraId="4744B2C2" w14:textId="77777777" w:rsidR="0046798B" w:rsidRDefault="00903B5C">
            <w:pPr>
              <w:pStyle w:val="TableParagraph"/>
              <w:spacing w:before="1"/>
              <w:ind w:left="115"/>
              <w:rPr>
                <w:b/>
                <w:sz w:val="20"/>
              </w:rPr>
            </w:pPr>
            <w:r>
              <w:rPr>
                <w:b/>
                <w:sz w:val="20"/>
              </w:rPr>
              <w:t>fwtldrps</w:t>
            </w:r>
          </w:p>
        </w:tc>
        <w:tc>
          <w:tcPr>
            <w:tcW w:w="1596" w:type="dxa"/>
          </w:tcPr>
          <w:p w14:paraId="318AA275" w14:textId="77777777" w:rsidR="0046798B" w:rsidRDefault="00903B5C">
            <w:pPr>
              <w:pStyle w:val="TableParagraph"/>
              <w:spacing w:before="43"/>
              <w:ind w:left="114" w:right="196"/>
              <w:rPr>
                <w:sz w:val="20"/>
              </w:rPr>
            </w:pPr>
            <w:r>
              <w:rPr>
                <w:sz w:val="20"/>
              </w:rPr>
              <w:t>Wetland regulatory protection statutes, stricter than federal</w:t>
            </w:r>
          </w:p>
        </w:tc>
        <w:tc>
          <w:tcPr>
            <w:tcW w:w="1285" w:type="dxa"/>
          </w:tcPr>
          <w:p w14:paraId="2E871E26" w14:textId="77777777" w:rsidR="0046798B" w:rsidRDefault="0046798B">
            <w:pPr>
              <w:pStyle w:val="TableParagraph"/>
            </w:pPr>
          </w:p>
          <w:p w14:paraId="109C61C3" w14:textId="77777777" w:rsidR="0046798B" w:rsidRDefault="0046798B">
            <w:pPr>
              <w:pStyle w:val="TableParagraph"/>
              <w:spacing w:before="3"/>
              <w:rPr>
                <w:sz w:val="21"/>
              </w:rPr>
            </w:pPr>
          </w:p>
          <w:p w14:paraId="5A5F3407" w14:textId="77777777" w:rsidR="0046798B" w:rsidRDefault="00903B5C">
            <w:pPr>
              <w:pStyle w:val="TableParagraph"/>
              <w:spacing w:before="1"/>
              <w:ind w:left="114"/>
              <w:rPr>
                <w:sz w:val="20"/>
              </w:rPr>
            </w:pPr>
            <w:r>
              <w:rPr>
                <w:sz w:val="20"/>
              </w:rPr>
              <w:t>2000–2010</w:t>
            </w:r>
          </w:p>
        </w:tc>
        <w:tc>
          <w:tcPr>
            <w:tcW w:w="3421" w:type="dxa"/>
          </w:tcPr>
          <w:p w14:paraId="115BE79B" w14:textId="77777777" w:rsidR="0046798B" w:rsidRDefault="0046798B">
            <w:pPr>
              <w:pStyle w:val="TableParagraph"/>
              <w:spacing w:before="1"/>
              <w:rPr>
                <w:sz w:val="24"/>
              </w:rPr>
            </w:pPr>
          </w:p>
          <w:p w14:paraId="0DD0F0D7" w14:textId="77777777" w:rsidR="0046798B" w:rsidRDefault="00903B5C">
            <w:pPr>
              <w:pStyle w:val="TableParagraph"/>
              <w:spacing w:line="235" w:lineRule="auto"/>
              <w:ind w:left="114" w:right="166"/>
              <w:rPr>
                <w:sz w:val="20"/>
              </w:rPr>
            </w:pPr>
            <w:r>
              <w:rPr>
                <w:sz w:val="20"/>
              </w:rPr>
              <w:t>Wetland regulatory protection statutes, stricter than federal statutes (0 = none,</w:t>
            </w:r>
          </w:p>
          <w:p w14:paraId="23B41F2E" w14:textId="77777777" w:rsidR="0046798B" w:rsidRDefault="00903B5C">
            <w:pPr>
              <w:pStyle w:val="TableParagraph"/>
              <w:ind w:left="114"/>
              <w:rPr>
                <w:sz w:val="20"/>
              </w:rPr>
            </w:pPr>
            <w:r>
              <w:rPr>
                <w:sz w:val="20"/>
              </w:rPr>
              <w:t>0.5 = local/coastal, 1 = statewide)</w:t>
            </w:r>
          </w:p>
        </w:tc>
        <w:tc>
          <w:tcPr>
            <w:tcW w:w="6482" w:type="dxa"/>
          </w:tcPr>
          <w:p w14:paraId="501CEE98" w14:textId="77777777" w:rsidR="0046798B" w:rsidRDefault="0046798B">
            <w:pPr>
              <w:pStyle w:val="TableParagraph"/>
              <w:spacing w:before="10"/>
              <w:rPr>
                <w:sz w:val="23"/>
              </w:rPr>
            </w:pPr>
          </w:p>
          <w:p w14:paraId="00FA109E" w14:textId="77777777" w:rsidR="0046798B" w:rsidRDefault="00903B5C">
            <w:pPr>
              <w:pStyle w:val="TableParagraph"/>
              <w:spacing w:line="237" w:lineRule="auto"/>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99791D2" w14:textId="77777777">
        <w:trPr>
          <w:trHeight w:val="1235"/>
        </w:trPr>
        <w:tc>
          <w:tcPr>
            <w:tcW w:w="1711" w:type="dxa"/>
          </w:tcPr>
          <w:p w14:paraId="30C0280E" w14:textId="77777777" w:rsidR="0046798B" w:rsidRDefault="0046798B">
            <w:pPr>
              <w:pStyle w:val="TableParagraph"/>
            </w:pPr>
          </w:p>
          <w:p w14:paraId="56CD80F5" w14:textId="77777777" w:rsidR="0046798B" w:rsidRDefault="0046798B">
            <w:pPr>
              <w:pStyle w:val="TableParagraph"/>
              <w:spacing w:before="8"/>
              <w:rPr>
                <w:sz w:val="21"/>
              </w:rPr>
            </w:pPr>
          </w:p>
          <w:p w14:paraId="24D90D5C" w14:textId="77777777" w:rsidR="0046798B" w:rsidRDefault="00903B5C">
            <w:pPr>
              <w:pStyle w:val="TableParagraph"/>
              <w:spacing w:before="1"/>
              <w:ind w:left="115"/>
              <w:rPr>
                <w:b/>
                <w:sz w:val="20"/>
              </w:rPr>
            </w:pPr>
            <w:r>
              <w:rPr>
                <w:b/>
                <w:sz w:val="20"/>
              </w:rPr>
              <w:t>fblight</w:t>
            </w:r>
          </w:p>
        </w:tc>
        <w:tc>
          <w:tcPr>
            <w:tcW w:w="1596" w:type="dxa"/>
          </w:tcPr>
          <w:p w14:paraId="35E25631" w14:textId="77777777" w:rsidR="0046798B" w:rsidRDefault="0046798B">
            <w:pPr>
              <w:pStyle w:val="TableParagraph"/>
            </w:pPr>
          </w:p>
          <w:p w14:paraId="4711727D" w14:textId="77777777" w:rsidR="0046798B" w:rsidRDefault="0046798B">
            <w:pPr>
              <w:pStyle w:val="TableParagraph"/>
              <w:spacing w:before="8"/>
              <w:rPr>
                <w:sz w:val="21"/>
              </w:rPr>
            </w:pPr>
          </w:p>
          <w:p w14:paraId="0361F357" w14:textId="77777777" w:rsidR="0046798B" w:rsidRDefault="00903B5C">
            <w:pPr>
              <w:pStyle w:val="TableParagraph"/>
              <w:spacing w:before="1"/>
              <w:ind w:left="114"/>
              <w:rPr>
                <w:sz w:val="20"/>
              </w:rPr>
            </w:pPr>
            <w:r>
              <w:rPr>
                <w:sz w:val="20"/>
              </w:rPr>
              <w:t>Blight</w:t>
            </w:r>
          </w:p>
        </w:tc>
        <w:tc>
          <w:tcPr>
            <w:tcW w:w="1285" w:type="dxa"/>
          </w:tcPr>
          <w:p w14:paraId="5FC1007C" w14:textId="77777777" w:rsidR="0046798B" w:rsidRDefault="0046798B">
            <w:pPr>
              <w:pStyle w:val="TableParagraph"/>
            </w:pPr>
          </w:p>
          <w:p w14:paraId="0A3C7183" w14:textId="77777777" w:rsidR="0046798B" w:rsidRDefault="0046798B">
            <w:pPr>
              <w:pStyle w:val="TableParagraph"/>
              <w:spacing w:before="8"/>
              <w:rPr>
                <w:sz w:val="21"/>
              </w:rPr>
            </w:pPr>
          </w:p>
          <w:p w14:paraId="4BDB679C" w14:textId="77777777" w:rsidR="0046798B" w:rsidRDefault="00903B5C">
            <w:pPr>
              <w:pStyle w:val="TableParagraph"/>
              <w:spacing w:before="1"/>
              <w:ind w:left="114"/>
              <w:rPr>
                <w:sz w:val="20"/>
              </w:rPr>
            </w:pPr>
            <w:r>
              <w:rPr>
                <w:sz w:val="20"/>
              </w:rPr>
              <w:t>2000–2016</w:t>
            </w:r>
          </w:p>
        </w:tc>
        <w:tc>
          <w:tcPr>
            <w:tcW w:w="3421" w:type="dxa"/>
          </w:tcPr>
          <w:p w14:paraId="3B22AE47" w14:textId="77777777" w:rsidR="0046798B" w:rsidRDefault="00903B5C">
            <w:pPr>
              <w:pStyle w:val="TableParagraph"/>
              <w:spacing w:before="43"/>
              <w:ind w:left="114"/>
              <w:rPr>
                <w:sz w:val="20"/>
              </w:rPr>
            </w:pPr>
            <w:r>
              <w:rPr>
                <w:sz w:val="20"/>
              </w:rPr>
              <w:t>Blight (1 = implemented stricter definition either explicitly or implicitly,</w:t>
            </w:r>
          </w:p>
          <w:p w14:paraId="3C84B522" w14:textId="77777777" w:rsidR="0046798B" w:rsidRDefault="00903B5C">
            <w:pPr>
              <w:pStyle w:val="TableParagraph"/>
              <w:ind w:left="114"/>
              <w:rPr>
                <w:sz w:val="20"/>
              </w:rPr>
            </w:pPr>
            <w:r>
              <w:rPr>
                <w:sz w:val="20"/>
              </w:rPr>
              <w:t>0.5 = retained vague definition but required higher standard of proof, 0 = otherwise)</w:t>
            </w:r>
          </w:p>
        </w:tc>
        <w:tc>
          <w:tcPr>
            <w:tcW w:w="6482" w:type="dxa"/>
          </w:tcPr>
          <w:p w14:paraId="4A259CF0" w14:textId="77777777" w:rsidR="0046798B" w:rsidRDefault="0046798B">
            <w:pPr>
              <w:pStyle w:val="TableParagraph"/>
              <w:spacing w:before="8"/>
              <w:rPr>
                <w:sz w:val="23"/>
              </w:rPr>
            </w:pPr>
          </w:p>
          <w:p w14:paraId="200276E2"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0BCC9DB" w14:textId="77777777">
        <w:trPr>
          <w:trHeight w:val="1005"/>
        </w:trPr>
        <w:tc>
          <w:tcPr>
            <w:tcW w:w="1711" w:type="dxa"/>
          </w:tcPr>
          <w:p w14:paraId="66C1F755" w14:textId="77777777" w:rsidR="0046798B" w:rsidRDefault="0046798B">
            <w:pPr>
              <w:pStyle w:val="TableParagraph"/>
            </w:pPr>
          </w:p>
          <w:p w14:paraId="3A3A741C" w14:textId="77777777" w:rsidR="0046798B" w:rsidRDefault="00903B5C">
            <w:pPr>
              <w:pStyle w:val="TableParagraph"/>
              <w:spacing w:before="135"/>
              <w:ind w:left="115"/>
              <w:rPr>
                <w:b/>
                <w:sz w:val="20"/>
              </w:rPr>
            </w:pPr>
            <w:r>
              <w:rPr>
                <w:b/>
                <w:sz w:val="20"/>
              </w:rPr>
              <w:t>fesasap</w:t>
            </w:r>
          </w:p>
        </w:tc>
        <w:tc>
          <w:tcPr>
            <w:tcW w:w="1596" w:type="dxa"/>
          </w:tcPr>
          <w:p w14:paraId="6F853627" w14:textId="77777777" w:rsidR="0046798B" w:rsidRDefault="00903B5C">
            <w:pPr>
              <w:pStyle w:val="TableParagraph"/>
              <w:spacing w:before="158"/>
              <w:ind w:left="114" w:right="496"/>
              <w:rPr>
                <w:sz w:val="20"/>
              </w:rPr>
            </w:pPr>
            <w:r>
              <w:rPr>
                <w:sz w:val="20"/>
              </w:rPr>
              <w:t>Endangered species regulations</w:t>
            </w:r>
          </w:p>
        </w:tc>
        <w:tc>
          <w:tcPr>
            <w:tcW w:w="1285" w:type="dxa"/>
          </w:tcPr>
          <w:p w14:paraId="647B6A28" w14:textId="77777777" w:rsidR="0046798B" w:rsidRDefault="0046798B">
            <w:pPr>
              <w:pStyle w:val="TableParagraph"/>
            </w:pPr>
          </w:p>
          <w:p w14:paraId="6DA46143" w14:textId="77777777" w:rsidR="0046798B" w:rsidRDefault="00903B5C">
            <w:pPr>
              <w:pStyle w:val="TableParagraph"/>
              <w:spacing w:before="135"/>
              <w:ind w:left="114"/>
              <w:rPr>
                <w:sz w:val="20"/>
              </w:rPr>
            </w:pPr>
            <w:r>
              <w:rPr>
                <w:sz w:val="20"/>
              </w:rPr>
              <w:t>2006–2014</w:t>
            </w:r>
          </w:p>
        </w:tc>
        <w:tc>
          <w:tcPr>
            <w:tcW w:w="3421" w:type="dxa"/>
          </w:tcPr>
          <w:p w14:paraId="56343449" w14:textId="77777777" w:rsidR="0046798B" w:rsidRDefault="00903B5C">
            <w:pPr>
              <w:pStyle w:val="TableParagraph"/>
              <w:spacing w:before="43"/>
              <w:ind w:left="114" w:right="112"/>
              <w:rPr>
                <w:sz w:val="20"/>
              </w:rPr>
            </w:pPr>
            <w:r>
              <w:rPr>
                <w:sz w:val="20"/>
              </w:rPr>
              <w:t>Endangered species regulations (0 = no act or statute, 1= act or statute, but only in regard to animals, 2 = act or statute in regard to both animals and plants)</w:t>
            </w:r>
          </w:p>
        </w:tc>
        <w:tc>
          <w:tcPr>
            <w:tcW w:w="6482" w:type="dxa"/>
          </w:tcPr>
          <w:p w14:paraId="2BC6B28E"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659888FC" w14:textId="77777777" w:rsidR="0046798B" w:rsidRDefault="0046798B">
      <w:pPr>
        <w:rPr>
          <w:sz w:val="20"/>
        </w:rPr>
        <w:sectPr w:rsidR="0046798B">
          <w:pgSz w:w="15840" w:h="12240" w:orient="landscape"/>
          <w:pgMar w:top="1220" w:right="300" w:bottom="980" w:left="820" w:header="730" w:footer="787" w:gutter="0"/>
          <w:cols w:space="720"/>
        </w:sectPr>
      </w:pPr>
    </w:p>
    <w:p w14:paraId="27CC0EC1"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2C8F6BE6" w14:textId="77777777">
        <w:trPr>
          <w:trHeight w:val="1005"/>
        </w:trPr>
        <w:tc>
          <w:tcPr>
            <w:tcW w:w="1711" w:type="dxa"/>
          </w:tcPr>
          <w:p w14:paraId="5A5ED3EF" w14:textId="77777777" w:rsidR="0046798B" w:rsidRDefault="0046798B">
            <w:pPr>
              <w:pStyle w:val="TableParagraph"/>
            </w:pPr>
          </w:p>
          <w:p w14:paraId="02F55F28" w14:textId="77777777" w:rsidR="0046798B" w:rsidRDefault="00903B5C">
            <w:pPr>
              <w:pStyle w:val="TableParagraph"/>
              <w:spacing w:before="135"/>
              <w:ind w:left="115"/>
              <w:rPr>
                <w:b/>
                <w:sz w:val="20"/>
              </w:rPr>
            </w:pPr>
            <w:r>
              <w:rPr>
                <w:b/>
                <w:sz w:val="20"/>
              </w:rPr>
              <w:t>fgfsp</w:t>
            </w:r>
          </w:p>
        </w:tc>
        <w:tc>
          <w:tcPr>
            <w:tcW w:w="1596" w:type="dxa"/>
          </w:tcPr>
          <w:p w14:paraId="1A502127" w14:textId="77777777" w:rsidR="0046798B" w:rsidRDefault="00903B5C">
            <w:pPr>
              <w:pStyle w:val="TableParagraph"/>
              <w:spacing w:before="43"/>
              <w:ind w:left="114" w:right="135"/>
              <w:rPr>
                <w:sz w:val="20"/>
              </w:rPr>
            </w:pPr>
            <w:r>
              <w:rPr>
                <w:sz w:val="20"/>
              </w:rPr>
              <w:t>Guidelines for a state development plan</w:t>
            </w:r>
          </w:p>
        </w:tc>
        <w:tc>
          <w:tcPr>
            <w:tcW w:w="1285" w:type="dxa"/>
          </w:tcPr>
          <w:p w14:paraId="0F14A1AD" w14:textId="77777777" w:rsidR="0046798B" w:rsidRDefault="0046798B">
            <w:pPr>
              <w:pStyle w:val="TableParagraph"/>
            </w:pPr>
          </w:p>
          <w:p w14:paraId="258B1F6C" w14:textId="77777777" w:rsidR="0046798B" w:rsidRDefault="00903B5C">
            <w:pPr>
              <w:pStyle w:val="TableParagraph"/>
              <w:spacing w:before="135"/>
              <w:ind w:left="114"/>
              <w:rPr>
                <w:sz w:val="20"/>
              </w:rPr>
            </w:pPr>
            <w:r>
              <w:rPr>
                <w:sz w:val="20"/>
              </w:rPr>
              <w:t>2002–2010</w:t>
            </w:r>
          </w:p>
        </w:tc>
        <w:tc>
          <w:tcPr>
            <w:tcW w:w="3421" w:type="dxa"/>
          </w:tcPr>
          <w:p w14:paraId="65414733" w14:textId="77777777" w:rsidR="0046798B" w:rsidRDefault="00903B5C">
            <w:pPr>
              <w:pStyle w:val="TableParagraph"/>
              <w:spacing w:before="43"/>
              <w:ind w:left="114" w:right="94"/>
              <w:rPr>
                <w:sz w:val="20"/>
              </w:rPr>
            </w:pPr>
            <w:r>
              <w:rPr>
                <w:sz w:val="20"/>
              </w:rPr>
              <w:t>Guidelines for a state development plan (0 = none, 1 = yes but no land-use element, 2 = yes and include land-use element)</w:t>
            </w:r>
          </w:p>
        </w:tc>
        <w:tc>
          <w:tcPr>
            <w:tcW w:w="6482" w:type="dxa"/>
          </w:tcPr>
          <w:p w14:paraId="14556EFC" w14:textId="77777777" w:rsidR="0046798B" w:rsidRDefault="00903B5C">
            <w:pPr>
              <w:pStyle w:val="TableParagraph"/>
              <w:spacing w:before="158"/>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5F63AA9" w14:textId="77777777">
        <w:trPr>
          <w:trHeight w:val="2616"/>
        </w:trPr>
        <w:tc>
          <w:tcPr>
            <w:tcW w:w="1711" w:type="dxa"/>
          </w:tcPr>
          <w:p w14:paraId="152B32CB" w14:textId="77777777" w:rsidR="0046798B" w:rsidRDefault="0046798B">
            <w:pPr>
              <w:pStyle w:val="TableParagraph"/>
            </w:pPr>
          </w:p>
          <w:p w14:paraId="3548603A" w14:textId="77777777" w:rsidR="0046798B" w:rsidRDefault="0046798B">
            <w:pPr>
              <w:pStyle w:val="TableParagraph"/>
            </w:pPr>
          </w:p>
          <w:p w14:paraId="34A059AD" w14:textId="77777777" w:rsidR="0046798B" w:rsidRDefault="0046798B">
            <w:pPr>
              <w:pStyle w:val="TableParagraph"/>
            </w:pPr>
          </w:p>
          <w:p w14:paraId="069D1C11" w14:textId="77777777" w:rsidR="0046798B" w:rsidRDefault="0046798B">
            <w:pPr>
              <w:pStyle w:val="TableParagraph"/>
            </w:pPr>
          </w:p>
          <w:p w14:paraId="544A5FF6" w14:textId="77777777" w:rsidR="0046798B" w:rsidRDefault="00903B5C">
            <w:pPr>
              <w:pStyle w:val="TableParagraph"/>
              <w:spacing w:before="182"/>
              <w:ind w:left="115"/>
              <w:rPr>
                <w:b/>
                <w:sz w:val="20"/>
              </w:rPr>
            </w:pPr>
            <w:r>
              <w:rPr>
                <w:b/>
                <w:sz w:val="20"/>
              </w:rPr>
              <w:t>frenew</w:t>
            </w:r>
          </w:p>
        </w:tc>
        <w:tc>
          <w:tcPr>
            <w:tcW w:w="1596" w:type="dxa"/>
          </w:tcPr>
          <w:p w14:paraId="44504B84" w14:textId="77777777" w:rsidR="0046798B" w:rsidRDefault="0046798B">
            <w:pPr>
              <w:pStyle w:val="TableParagraph"/>
            </w:pPr>
          </w:p>
          <w:p w14:paraId="576DD70D" w14:textId="77777777" w:rsidR="0046798B" w:rsidRDefault="0046798B">
            <w:pPr>
              <w:pStyle w:val="TableParagraph"/>
            </w:pPr>
          </w:p>
          <w:p w14:paraId="2BDFEE3B" w14:textId="77777777" w:rsidR="0046798B" w:rsidRDefault="0046798B">
            <w:pPr>
              <w:pStyle w:val="TableParagraph"/>
              <w:spacing w:before="9"/>
              <w:rPr>
                <w:sz w:val="19"/>
              </w:rPr>
            </w:pPr>
          </w:p>
          <w:p w14:paraId="48C32579" w14:textId="77777777" w:rsidR="0046798B" w:rsidRDefault="00903B5C">
            <w:pPr>
              <w:pStyle w:val="TableParagraph"/>
              <w:ind w:left="114" w:right="213"/>
              <w:rPr>
                <w:sz w:val="20"/>
              </w:rPr>
            </w:pPr>
            <w:r>
              <w:rPr>
                <w:sz w:val="20"/>
              </w:rPr>
              <w:t>Mandatory renewable portfolio standard for electric utilities</w:t>
            </w:r>
          </w:p>
        </w:tc>
        <w:tc>
          <w:tcPr>
            <w:tcW w:w="1285" w:type="dxa"/>
          </w:tcPr>
          <w:p w14:paraId="01817D36" w14:textId="77777777" w:rsidR="0046798B" w:rsidRDefault="0046798B">
            <w:pPr>
              <w:pStyle w:val="TableParagraph"/>
            </w:pPr>
          </w:p>
          <w:p w14:paraId="5FAD2375" w14:textId="77777777" w:rsidR="0046798B" w:rsidRDefault="0046798B">
            <w:pPr>
              <w:pStyle w:val="TableParagraph"/>
            </w:pPr>
          </w:p>
          <w:p w14:paraId="10362B1B" w14:textId="77777777" w:rsidR="0046798B" w:rsidRDefault="0046798B">
            <w:pPr>
              <w:pStyle w:val="TableParagraph"/>
            </w:pPr>
          </w:p>
          <w:p w14:paraId="09206375" w14:textId="77777777" w:rsidR="0046798B" w:rsidRDefault="0046798B">
            <w:pPr>
              <w:pStyle w:val="TableParagraph"/>
            </w:pPr>
          </w:p>
          <w:p w14:paraId="3A943F45" w14:textId="77777777" w:rsidR="0046798B" w:rsidRDefault="00903B5C">
            <w:pPr>
              <w:pStyle w:val="TableParagraph"/>
              <w:spacing w:before="182"/>
              <w:ind w:left="114"/>
              <w:rPr>
                <w:sz w:val="20"/>
              </w:rPr>
            </w:pPr>
            <w:r>
              <w:rPr>
                <w:sz w:val="20"/>
              </w:rPr>
              <w:t>2000–2016</w:t>
            </w:r>
          </w:p>
        </w:tc>
        <w:tc>
          <w:tcPr>
            <w:tcW w:w="3421" w:type="dxa"/>
          </w:tcPr>
          <w:p w14:paraId="644C03A5" w14:textId="77777777" w:rsidR="0046798B" w:rsidRDefault="00903B5C">
            <w:pPr>
              <w:pStyle w:val="TableParagraph"/>
              <w:spacing w:before="43"/>
              <w:ind w:left="114" w:right="777"/>
              <w:rPr>
                <w:sz w:val="20"/>
              </w:rPr>
            </w:pPr>
            <w:r>
              <w:rPr>
                <w:sz w:val="20"/>
              </w:rPr>
              <w:t>Mandatory renewable portfolio standard for electric utilities</w:t>
            </w:r>
          </w:p>
          <w:p w14:paraId="5334B904" w14:textId="77777777" w:rsidR="0046798B" w:rsidRDefault="0046798B">
            <w:pPr>
              <w:pStyle w:val="TableParagraph"/>
              <w:rPr>
                <w:sz w:val="20"/>
              </w:rPr>
            </w:pPr>
          </w:p>
          <w:p w14:paraId="28AAB3C2" w14:textId="77777777" w:rsidR="0046798B" w:rsidRDefault="00903B5C">
            <w:pPr>
              <w:pStyle w:val="TableParagraph"/>
              <w:spacing w:before="1"/>
              <w:ind w:left="114" w:right="355"/>
              <w:rPr>
                <w:sz w:val="20"/>
              </w:rPr>
            </w:pPr>
            <w:r>
              <w:rPr>
                <w:sz w:val="20"/>
              </w:rPr>
              <w:t>If yes, minimum percentage of retail sales for which required</w:t>
            </w:r>
          </w:p>
          <w:p w14:paraId="37BEE322" w14:textId="77777777" w:rsidR="0046798B" w:rsidRDefault="0046798B">
            <w:pPr>
              <w:pStyle w:val="TableParagraph"/>
              <w:spacing w:before="11"/>
              <w:rPr>
                <w:sz w:val="19"/>
              </w:rPr>
            </w:pPr>
          </w:p>
          <w:p w14:paraId="311C5809" w14:textId="77777777" w:rsidR="0046798B" w:rsidRDefault="00903B5C">
            <w:pPr>
              <w:pStyle w:val="TableParagraph"/>
              <w:ind w:left="114" w:right="285"/>
              <w:rPr>
                <w:sz w:val="20"/>
              </w:rPr>
            </w:pPr>
            <w:r>
              <w:rPr>
                <w:sz w:val="20"/>
              </w:rPr>
              <w:t>If no, zero (halved if applies only to investor-owned utilities, or averaged among standards for all types of utilities; scored “1” and then adjusted in year of enactment)</w:t>
            </w:r>
          </w:p>
        </w:tc>
        <w:tc>
          <w:tcPr>
            <w:tcW w:w="6482" w:type="dxa"/>
          </w:tcPr>
          <w:p w14:paraId="276A0C17" w14:textId="77777777" w:rsidR="0046798B" w:rsidRDefault="0046798B">
            <w:pPr>
              <w:pStyle w:val="TableParagraph"/>
            </w:pPr>
          </w:p>
          <w:p w14:paraId="2A5E9863" w14:textId="77777777" w:rsidR="0046798B" w:rsidRDefault="0046798B">
            <w:pPr>
              <w:pStyle w:val="TableParagraph"/>
            </w:pPr>
          </w:p>
          <w:p w14:paraId="0A08D321" w14:textId="77777777" w:rsidR="0046798B" w:rsidRDefault="0046798B">
            <w:pPr>
              <w:pStyle w:val="TableParagraph"/>
            </w:pPr>
          </w:p>
          <w:p w14:paraId="0F983F34" w14:textId="77777777" w:rsidR="0046798B" w:rsidRDefault="0046798B">
            <w:pPr>
              <w:pStyle w:val="TableParagraph"/>
              <w:spacing w:before="9"/>
              <w:rPr>
                <w:sz w:val="17"/>
              </w:rPr>
            </w:pPr>
          </w:p>
          <w:p w14:paraId="5EBD79CB"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2DE14B3" w14:textId="77777777">
        <w:trPr>
          <w:trHeight w:val="1470"/>
        </w:trPr>
        <w:tc>
          <w:tcPr>
            <w:tcW w:w="1711" w:type="dxa"/>
          </w:tcPr>
          <w:p w14:paraId="72353E08" w14:textId="77777777" w:rsidR="0046798B" w:rsidRDefault="0046798B">
            <w:pPr>
              <w:pStyle w:val="TableParagraph"/>
            </w:pPr>
          </w:p>
          <w:p w14:paraId="7F99B489" w14:textId="77777777" w:rsidR="0046798B" w:rsidRDefault="0046798B">
            <w:pPr>
              <w:pStyle w:val="TableParagraph"/>
              <w:spacing w:before="9"/>
              <w:rPr>
                <w:sz w:val="31"/>
              </w:rPr>
            </w:pPr>
          </w:p>
          <w:p w14:paraId="46AFE0E2" w14:textId="77777777" w:rsidR="0046798B" w:rsidRDefault="00903B5C">
            <w:pPr>
              <w:pStyle w:val="TableParagraph"/>
              <w:ind w:left="115"/>
              <w:rPr>
                <w:b/>
                <w:sz w:val="20"/>
              </w:rPr>
            </w:pPr>
            <w:r>
              <w:rPr>
                <w:b/>
                <w:sz w:val="20"/>
              </w:rPr>
              <w:t>frpsexc</w:t>
            </w:r>
          </w:p>
        </w:tc>
        <w:tc>
          <w:tcPr>
            <w:tcW w:w="1596" w:type="dxa"/>
          </w:tcPr>
          <w:p w14:paraId="64531458" w14:textId="77777777" w:rsidR="0046798B" w:rsidRDefault="0046798B">
            <w:pPr>
              <w:pStyle w:val="TableParagraph"/>
              <w:spacing w:before="9"/>
              <w:rPr>
                <w:sz w:val="23"/>
              </w:rPr>
            </w:pPr>
          </w:p>
          <w:p w14:paraId="6240506E" w14:textId="77777777" w:rsidR="0046798B" w:rsidRDefault="00903B5C">
            <w:pPr>
              <w:pStyle w:val="TableParagraph"/>
              <w:ind w:left="114" w:right="563"/>
              <w:rPr>
                <w:sz w:val="20"/>
              </w:rPr>
            </w:pPr>
            <w:r>
              <w:rPr>
                <w:sz w:val="20"/>
              </w:rPr>
              <w:t>Renewable portfolio standard exceptions</w:t>
            </w:r>
          </w:p>
        </w:tc>
        <w:tc>
          <w:tcPr>
            <w:tcW w:w="1285" w:type="dxa"/>
          </w:tcPr>
          <w:p w14:paraId="585A6B58" w14:textId="77777777" w:rsidR="0046798B" w:rsidRDefault="0046798B">
            <w:pPr>
              <w:pStyle w:val="TableParagraph"/>
            </w:pPr>
          </w:p>
          <w:p w14:paraId="1FD4F194" w14:textId="77777777" w:rsidR="0046798B" w:rsidRDefault="0046798B">
            <w:pPr>
              <w:pStyle w:val="TableParagraph"/>
              <w:spacing w:before="9"/>
              <w:rPr>
                <w:sz w:val="31"/>
              </w:rPr>
            </w:pPr>
          </w:p>
          <w:p w14:paraId="47446FBD" w14:textId="77777777" w:rsidR="0046798B" w:rsidRDefault="00903B5C">
            <w:pPr>
              <w:pStyle w:val="TableParagraph"/>
              <w:ind w:left="114"/>
              <w:rPr>
                <w:sz w:val="20"/>
              </w:rPr>
            </w:pPr>
            <w:r>
              <w:rPr>
                <w:sz w:val="20"/>
              </w:rPr>
              <w:t>2000–2016</w:t>
            </w:r>
          </w:p>
        </w:tc>
        <w:tc>
          <w:tcPr>
            <w:tcW w:w="3421" w:type="dxa"/>
          </w:tcPr>
          <w:p w14:paraId="277F8F9C" w14:textId="77777777" w:rsidR="0046798B" w:rsidRDefault="00903B5C">
            <w:pPr>
              <w:pStyle w:val="TableParagraph"/>
              <w:spacing w:before="43"/>
              <w:ind w:left="114" w:right="420"/>
              <w:rPr>
                <w:sz w:val="20"/>
              </w:rPr>
            </w:pPr>
            <w:r>
              <w:rPr>
                <w:sz w:val="20"/>
              </w:rPr>
              <w:t>Renewable portfolio standard exceptions (1.5 = large or existing hydropower excluded, 0.5 = natural gas, coal gasification, or nuclear included, 1 = otherwise, phase-ins linearly interpolated)</w:t>
            </w:r>
          </w:p>
        </w:tc>
        <w:tc>
          <w:tcPr>
            <w:tcW w:w="6482" w:type="dxa"/>
          </w:tcPr>
          <w:p w14:paraId="63B5275D" w14:textId="77777777" w:rsidR="0046798B" w:rsidRDefault="0046798B">
            <w:pPr>
              <w:pStyle w:val="TableParagraph"/>
            </w:pPr>
          </w:p>
          <w:p w14:paraId="37B416DE" w14:textId="77777777" w:rsidR="0046798B" w:rsidRDefault="00903B5C">
            <w:pPr>
              <w:pStyle w:val="TableParagraph"/>
              <w:spacing w:before="135"/>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0E20EF9" w14:textId="77777777">
        <w:trPr>
          <w:trHeight w:val="775"/>
        </w:trPr>
        <w:tc>
          <w:tcPr>
            <w:tcW w:w="1711" w:type="dxa"/>
          </w:tcPr>
          <w:p w14:paraId="6CCCC688" w14:textId="77777777" w:rsidR="0046798B" w:rsidRDefault="0046798B">
            <w:pPr>
              <w:pStyle w:val="TableParagraph"/>
              <w:spacing w:before="4"/>
              <w:rPr>
                <w:sz w:val="23"/>
              </w:rPr>
            </w:pPr>
          </w:p>
          <w:p w14:paraId="06E92F65" w14:textId="77777777" w:rsidR="0046798B" w:rsidRDefault="00903B5C">
            <w:pPr>
              <w:pStyle w:val="TableParagraph"/>
              <w:ind w:left="115"/>
              <w:rPr>
                <w:b/>
                <w:sz w:val="20"/>
              </w:rPr>
            </w:pPr>
            <w:r>
              <w:rPr>
                <w:b/>
                <w:sz w:val="20"/>
              </w:rPr>
              <w:t>fsspr</w:t>
            </w:r>
          </w:p>
        </w:tc>
        <w:tc>
          <w:tcPr>
            <w:tcW w:w="1596" w:type="dxa"/>
          </w:tcPr>
          <w:p w14:paraId="3ACBDD08" w14:textId="77777777" w:rsidR="0046798B" w:rsidRDefault="00903B5C">
            <w:pPr>
              <w:pStyle w:val="TableParagraph"/>
              <w:spacing w:before="154"/>
              <w:ind w:left="114" w:right="141"/>
              <w:rPr>
                <w:sz w:val="20"/>
              </w:rPr>
            </w:pPr>
            <w:r>
              <w:rPr>
                <w:sz w:val="20"/>
              </w:rPr>
              <w:t>Strength of state planning role</w:t>
            </w:r>
          </w:p>
        </w:tc>
        <w:tc>
          <w:tcPr>
            <w:tcW w:w="1285" w:type="dxa"/>
          </w:tcPr>
          <w:p w14:paraId="39EB3D3F" w14:textId="77777777" w:rsidR="0046798B" w:rsidRDefault="0046798B">
            <w:pPr>
              <w:pStyle w:val="TableParagraph"/>
              <w:spacing w:before="4"/>
              <w:rPr>
                <w:sz w:val="23"/>
              </w:rPr>
            </w:pPr>
          </w:p>
          <w:p w14:paraId="10995C5A" w14:textId="77777777" w:rsidR="0046798B" w:rsidRDefault="00903B5C">
            <w:pPr>
              <w:pStyle w:val="TableParagraph"/>
              <w:ind w:left="114"/>
              <w:rPr>
                <w:sz w:val="20"/>
              </w:rPr>
            </w:pPr>
            <w:r>
              <w:rPr>
                <w:sz w:val="20"/>
              </w:rPr>
              <w:t>2002–2009</w:t>
            </w:r>
          </w:p>
        </w:tc>
        <w:tc>
          <w:tcPr>
            <w:tcW w:w="3421" w:type="dxa"/>
          </w:tcPr>
          <w:p w14:paraId="6678A097" w14:textId="77777777" w:rsidR="0046798B" w:rsidRDefault="00903B5C">
            <w:pPr>
              <w:pStyle w:val="TableParagraph"/>
              <w:spacing w:before="154"/>
              <w:ind w:left="114" w:right="263"/>
              <w:rPr>
                <w:sz w:val="20"/>
              </w:rPr>
            </w:pPr>
            <w:r>
              <w:rPr>
                <w:sz w:val="20"/>
              </w:rPr>
              <w:t>Strength of state planning role (1 = weak, 2 = significant, 3 = substantial)</w:t>
            </w:r>
          </w:p>
        </w:tc>
        <w:tc>
          <w:tcPr>
            <w:tcW w:w="6482" w:type="dxa"/>
          </w:tcPr>
          <w:p w14:paraId="3CB5AE07" w14:textId="77777777" w:rsidR="0046798B" w:rsidRDefault="00903B5C">
            <w:pPr>
              <w:pStyle w:val="TableParagraph"/>
              <w:spacing w:before="39"/>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74EA040" w14:textId="77777777">
        <w:trPr>
          <w:trHeight w:val="775"/>
        </w:trPr>
        <w:tc>
          <w:tcPr>
            <w:tcW w:w="1711" w:type="dxa"/>
          </w:tcPr>
          <w:p w14:paraId="1B65246D" w14:textId="77777777" w:rsidR="0046798B" w:rsidRDefault="0046798B">
            <w:pPr>
              <w:pStyle w:val="TableParagraph"/>
              <w:spacing w:before="3"/>
              <w:rPr>
                <w:sz w:val="23"/>
              </w:rPr>
            </w:pPr>
          </w:p>
          <w:p w14:paraId="12332565" w14:textId="77777777" w:rsidR="0046798B" w:rsidRDefault="00903B5C">
            <w:pPr>
              <w:pStyle w:val="TableParagraph"/>
              <w:spacing w:before="1"/>
              <w:ind w:left="115"/>
              <w:rPr>
                <w:b/>
                <w:sz w:val="20"/>
              </w:rPr>
            </w:pPr>
            <w:r>
              <w:rPr>
                <w:b/>
                <w:sz w:val="20"/>
              </w:rPr>
              <w:t>jdrse</w:t>
            </w:r>
          </w:p>
        </w:tc>
        <w:tc>
          <w:tcPr>
            <w:tcW w:w="1596" w:type="dxa"/>
          </w:tcPr>
          <w:p w14:paraId="4F2E4538" w14:textId="77777777" w:rsidR="0046798B" w:rsidRDefault="00903B5C">
            <w:pPr>
              <w:pStyle w:val="TableParagraph"/>
              <w:spacing w:before="38"/>
              <w:ind w:left="114" w:right="191"/>
              <w:rPr>
                <w:sz w:val="20"/>
              </w:rPr>
            </w:pPr>
            <w:r>
              <w:rPr>
                <w:sz w:val="20"/>
              </w:rPr>
              <w:t>Deregulation of retail sales of electricity</w:t>
            </w:r>
          </w:p>
        </w:tc>
        <w:tc>
          <w:tcPr>
            <w:tcW w:w="1285" w:type="dxa"/>
          </w:tcPr>
          <w:p w14:paraId="3D2251A8" w14:textId="77777777" w:rsidR="0046798B" w:rsidRDefault="0046798B">
            <w:pPr>
              <w:pStyle w:val="TableParagraph"/>
              <w:spacing w:before="3"/>
              <w:rPr>
                <w:sz w:val="23"/>
              </w:rPr>
            </w:pPr>
          </w:p>
          <w:p w14:paraId="68A36B7A" w14:textId="77777777" w:rsidR="0046798B" w:rsidRDefault="00903B5C">
            <w:pPr>
              <w:pStyle w:val="TableParagraph"/>
              <w:spacing w:before="1"/>
              <w:ind w:left="114"/>
              <w:rPr>
                <w:sz w:val="20"/>
              </w:rPr>
            </w:pPr>
            <w:r>
              <w:rPr>
                <w:sz w:val="20"/>
              </w:rPr>
              <w:t>1990–2016</w:t>
            </w:r>
          </w:p>
        </w:tc>
        <w:tc>
          <w:tcPr>
            <w:tcW w:w="3421" w:type="dxa"/>
          </w:tcPr>
          <w:p w14:paraId="605F122B" w14:textId="77777777" w:rsidR="0046798B" w:rsidRDefault="00903B5C">
            <w:pPr>
              <w:pStyle w:val="TableParagraph"/>
              <w:spacing w:before="153"/>
              <w:ind w:left="114" w:right="900"/>
              <w:rPr>
                <w:sz w:val="20"/>
              </w:rPr>
            </w:pPr>
            <w:r>
              <w:rPr>
                <w:sz w:val="20"/>
              </w:rPr>
              <w:t>Deregulation of retail sales of electricity (0 = no, 1 = yes)</w:t>
            </w:r>
          </w:p>
        </w:tc>
        <w:tc>
          <w:tcPr>
            <w:tcW w:w="6482" w:type="dxa"/>
          </w:tcPr>
          <w:p w14:paraId="3A48D636" w14:textId="77777777" w:rsidR="0046798B" w:rsidRDefault="00903B5C">
            <w:pPr>
              <w:pStyle w:val="TableParagraph"/>
              <w:spacing w:before="3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A35736A" w14:textId="77777777">
        <w:trPr>
          <w:trHeight w:val="775"/>
        </w:trPr>
        <w:tc>
          <w:tcPr>
            <w:tcW w:w="1711" w:type="dxa"/>
          </w:tcPr>
          <w:p w14:paraId="3E66676E" w14:textId="77777777" w:rsidR="0046798B" w:rsidRDefault="0046798B">
            <w:pPr>
              <w:pStyle w:val="TableParagraph"/>
              <w:spacing w:before="3"/>
              <w:rPr>
                <w:sz w:val="23"/>
              </w:rPr>
            </w:pPr>
          </w:p>
          <w:p w14:paraId="799AB8EE" w14:textId="77777777" w:rsidR="0046798B" w:rsidRDefault="00903B5C">
            <w:pPr>
              <w:pStyle w:val="TableParagraph"/>
              <w:ind w:left="115"/>
              <w:rPr>
                <w:b/>
                <w:sz w:val="20"/>
              </w:rPr>
            </w:pPr>
            <w:r>
              <w:rPr>
                <w:b/>
                <w:sz w:val="20"/>
              </w:rPr>
              <w:t>jdrsng</w:t>
            </w:r>
          </w:p>
        </w:tc>
        <w:tc>
          <w:tcPr>
            <w:tcW w:w="1596" w:type="dxa"/>
          </w:tcPr>
          <w:p w14:paraId="3FB577B9" w14:textId="77777777" w:rsidR="0046798B" w:rsidRDefault="00903B5C">
            <w:pPr>
              <w:pStyle w:val="TableParagraph"/>
              <w:spacing w:before="38"/>
              <w:ind w:left="114" w:right="191"/>
              <w:rPr>
                <w:sz w:val="20"/>
              </w:rPr>
            </w:pPr>
            <w:r>
              <w:rPr>
                <w:sz w:val="20"/>
              </w:rPr>
              <w:t>Deregulation of retail sales of natural gas</w:t>
            </w:r>
          </w:p>
        </w:tc>
        <w:tc>
          <w:tcPr>
            <w:tcW w:w="1285" w:type="dxa"/>
          </w:tcPr>
          <w:p w14:paraId="2FBED863" w14:textId="77777777" w:rsidR="0046798B" w:rsidRDefault="0046798B">
            <w:pPr>
              <w:pStyle w:val="TableParagraph"/>
              <w:spacing w:before="3"/>
              <w:rPr>
                <w:sz w:val="23"/>
              </w:rPr>
            </w:pPr>
          </w:p>
          <w:p w14:paraId="4780222F" w14:textId="77777777" w:rsidR="0046798B" w:rsidRDefault="00903B5C">
            <w:pPr>
              <w:pStyle w:val="TableParagraph"/>
              <w:ind w:left="114"/>
              <w:rPr>
                <w:sz w:val="20"/>
              </w:rPr>
            </w:pPr>
            <w:r>
              <w:rPr>
                <w:sz w:val="20"/>
              </w:rPr>
              <w:t>1990–2016</w:t>
            </w:r>
          </w:p>
        </w:tc>
        <w:tc>
          <w:tcPr>
            <w:tcW w:w="3421" w:type="dxa"/>
          </w:tcPr>
          <w:p w14:paraId="19AC4536" w14:textId="77777777" w:rsidR="0046798B" w:rsidRDefault="00903B5C">
            <w:pPr>
              <w:pStyle w:val="TableParagraph"/>
              <w:spacing w:before="38"/>
              <w:ind w:left="114" w:right="294"/>
              <w:rPr>
                <w:sz w:val="20"/>
              </w:rPr>
            </w:pPr>
            <w:r>
              <w:rPr>
                <w:sz w:val="20"/>
              </w:rPr>
              <w:t>Deregulation of retail sales of natural gas (0 = no unbundling, 1 = partial unbundling, 2 = unbundling)</w:t>
            </w:r>
          </w:p>
        </w:tc>
        <w:tc>
          <w:tcPr>
            <w:tcW w:w="6482" w:type="dxa"/>
          </w:tcPr>
          <w:p w14:paraId="00E7DDD2" w14:textId="77777777" w:rsidR="0046798B" w:rsidRDefault="00903B5C">
            <w:pPr>
              <w:pStyle w:val="TableParagraph"/>
              <w:spacing w:before="38"/>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4F999734" w14:textId="77777777" w:rsidR="0046798B" w:rsidRDefault="0046798B">
      <w:pPr>
        <w:pStyle w:val="BodyText"/>
        <w:spacing w:before="2"/>
        <w:rPr>
          <w:sz w:val="16"/>
        </w:rPr>
      </w:pPr>
    </w:p>
    <w:p w14:paraId="524A8832" w14:textId="77777777" w:rsidR="0046798B" w:rsidRDefault="00903B5C">
      <w:pPr>
        <w:pStyle w:val="ListParagraph"/>
        <w:numPr>
          <w:ilvl w:val="0"/>
          <w:numId w:val="3"/>
        </w:numPr>
        <w:tabs>
          <w:tab w:val="left" w:pos="901"/>
        </w:tabs>
        <w:spacing w:before="90"/>
        <w:ind w:left="900" w:hanging="280"/>
        <w:rPr>
          <w:b/>
          <w:sz w:val="24"/>
        </w:rPr>
      </w:pPr>
      <w:r>
        <w:rPr>
          <w:b/>
          <w:sz w:val="24"/>
          <w:u w:val="single"/>
        </w:rPr>
        <w:t>Energy Consumption</w:t>
      </w:r>
    </w:p>
    <w:p w14:paraId="1057CBFF" w14:textId="77777777" w:rsidR="0046798B" w:rsidRDefault="0046798B">
      <w:pPr>
        <w:pStyle w:val="BodyText"/>
        <w:spacing w:before="2"/>
        <w:rPr>
          <w:b/>
          <w:sz w:val="24"/>
        </w:rPr>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302"/>
      </w:tblGrid>
      <w:tr w:rsidR="0046798B" w14:paraId="58AF5042" w14:textId="77777777">
        <w:trPr>
          <w:trHeight w:val="590"/>
        </w:trPr>
        <w:tc>
          <w:tcPr>
            <w:tcW w:w="1711" w:type="dxa"/>
          </w:tcPr>
          <w:p w14:paraId="1339A359" w14:textId="77777777" w:rsidR="0046798B" w:rsidRDefault="00903B5C">
            <w:pPr>
              <w:pStyle w:val="TableParagraph"/>
              <w:spacing w:before="164"/>
              <w:ind w:left="140"/>
              <w:rPr>
                <w:b/>
              </w:rPr>
            </w:pPr>
            <w:r>
              <w:rPr>
                <w:b/>
              </w:rPr>
              <w:t>Variable Name</w:t>
            </w:r>
          </w:p>
        </w:tc>
        <w:tc>
          <w:tcPr>
            <w:tcW w:w="1596" w:type="dxa"/>
          </w:tcPr>
          <w:p w14:paraId="253C392B" w14:textId="77777777" w:rsidR="0046798B" w:rsidRDefault="00903B5C">
            <w:pPr>
              <w:pStyle w:val="TableParagraph"/>
              <w:spacing w:before="41" w:line="237" w:lineRule="auto"/>
              <w:ind w:left="249" w:right="229" w:firstLine="280"/>
              <w:rPr>
                <w:b/>
              </w:rPr>
            </w:pPr>
            <w:r>
              <w:rPr>
                <w:b/>
              </w:rPr>
              <w:t>Short Description</w:t>
            </w:r>
          </w:p>
        </w:tc>
        <w:tc>
          <w:tcPr>
            <w:tcW w:w="1285" w:type="dxa"/>
          </w:tcPr>
          <w:p w14:paraId="1269E411" w14:textId="77777777" w:rsidR="0046798B" w:rsidRDefault="00903B5C">
            <w:pPr>
              <w:pStyle w:val="TableParagraph"/>
              <w:spacing w:before="164"/>
              <w:ind w:left="364"/>
              <w:rPr>
                <w:b/>
              </w:rPr>
            </w:pPr>
            <w:r>
              <w:rPr>
                <w:b/>
              </w:rPr>
              <w:t>Years</w:t>
            </w:r>
          </w:p>
        </w:tc>
        <w:tc>
          <w:tcPr>
            <w:tcW w:w="3421" w:type="dxa"/>
          </w:tcPr>
          <w:p w14:paraId="035F118F" w14:textId="77777777" w:rsidR="0046798B" w:rsidRDefault="00903B5C">
            <w:pPr>
              <w:pStyle w:val="TableParagraph"/>
              <w:spacing w:before="39" w:line="251" w:lineRule="exact"/>
              <w:ind w:left="159" w:right="146"/>
              <w:jc w:val="center"/>
              <w:rPr>
                <w:b/>
              </w:rPr>
            </w:pPr>
            <w:r>
              <w:rPr>
                <w:b/>
              </w:rPr>
              <w:t>Coding /</w:t>
            </w:r>
          </w:p>
          <w:p w14:paraId="713142F5" w14:textId="77777777" w:rsidR="0046798B" w:rsidRDefault="00903B5C">
            <w:pPr>
              <w:pStyle w:val="TableParagraph"/>
              <w:spacing w:line="251" w:lineRule="exact"/>
              <w:ind w:left="159" w:right="150"/>
              <w:jc w:val="center"/>
              <w:rPr>
                <w:b/>
              </w:rPr>
            </w:pPr>
            <w:r>
              <w:rPr>
                <w:b/>
              </w:rPr>
              <w:t>Longer Description (if available)</w:t>
            </w:r>
          </w:p>
        </w:tc>
        <w:tc>
          <w:tcPr>
            <w:tcW w:w="6302" w:type="dxa"/>
          </w:tcPr>
          <w:p w14:paraId="09E2B10F" w14:textId="77777777" w:rsidR="0046798B" w:rsidRDefault="00903B5C">
            <w:pPr>
              <w:pStyle w:val="TableParagraph"/>
              <w:spacing w:before="164"/>
              <w:ind w:left="2762" w:right="2755"/>
              <w:jc w:val="center"/>
              <w:rPr>
                <w:b/>
              </w:rPr>
            </w:pPr>
            <w:r>
              <w:rPr>
                <w:b/>
              </w:rPr>
              <w:t>Sources</w:t>
            </w:r>
          </w:p>
        </w:tc>
      </w:tr>
    </w:tbl>
    <w:p w14:paraId="58A6DC93" w14:textId="77777777" w:rsidR="0046798B" w:rsidRDefault="0046798B">
      <w:pPr>
        <w:jc w:val="center"/>
        <w:sectPr w:rsidR="0046798B">
          <w:pgSz w:w="15840" w:h="12240" w:orient="landscape"/>
          <w:pgMar w:top="1220" w:right="300" w:bottom="980" w:left="820" w:header="730" w:footer="787" w:gutter="0"/>
          <w:cols w:space="720"/>
        </w:sectPr>
      </w:pPr>
    </w:p>
    <w:p w14:paraId="1468E320"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302"/>
      </w:tblGrid>
      <w:tr w:rsidR="0046798B" w14:paraId="18812FD7" w14:textId="77777777">
        <w:trPr>
          <w:trHeight w:val="1696"/>
        </w:trPr>
        <w:tc>
          <w:tcPr>
            <w:tcW w:w="1711" w:type="dxa"/>
          </w:tcPr>
          <w:p w14:paraId="16DDEF6F" w14:textId="77777777" w:rsidR="0046798B" w:rsidRDefault="0046798B">
            <w:pPr>
              <w:pStyle w:val="TableParagraph"/>
            </w:pPr>
          </w:p>
          <w:p w14:paraId="5B3740A0" w14:textId="77777777" w:rsidR="0046798B" w:rsidRDefault="0046798B">
            <w:pPr>
              <w:pStyle w:val="TableParagraph"/>
              <w:spacing w:before="9"/>
              <w:rPr>
                <w:sz w:val="31"/>
              </w:rPr>
            </w:pPr>
          </w:p>
          <w:p w14:paraId="71B72904" w14:textId="77777777" w:rsidR="0046798B" w:rsidRDefault="00903B5C">
            <w:pPr>
              <w:pStyle w:val="TableParagraph"/>
              <w:ind w:left="115" w:right="110"/>
              <w:rPr>
                <w:b/>
                <w:sz w:val="20"/>
              </w:rPr>
            </w:pPr>
            <w:r>
              <w:rPr>
                <w:b/>
                <w:sz w:val="20"/>
              </w:rPr>
              <w:t>bus_energy_cons um</w:t>
            </w:r>
          </w:p>
        </w:tc>
        <w:tc>
          <w:tcPr>
            <w:tcW w:w="1596" w:type="dxa"/>
          </w:tcPr>
          <w:p w14:paraId="1AAD7810" w14:textId="77777777" w:rsidR="0046798B" w:rsidRDefault="0046798B">
            <w:pPr>
              <w:pStyle w:val="TableParagraph"/>
            </w:pPr>
          </w:p>
          <w:p w14:paraId="0BE3D02A" w14:textId="77777777" w:rsidR="0046798B" w:rsidRDefault="0046798B">
            <w:pPr>
              <w:pStyle w:val="TableParagraph"/>
              <w:spacing w:before="9"/>
              <w:rPr>
                <w:sz w:val="21"/>
              </w:rPr>
            </w:pPr>
          </w:p>
          <w:p w14:paraId="3DB58046" w14:textId="77777777" w:rsidR="0046798B" w:rsidRDefault="00903B5C">
            <w:pPr>
              <w:pStyle w:val="TableParagraph"/>
              <w:ind w:left="114" w:right="380"/>
              <w:rPr>
                <w:sz w:val="20"/>
              </w:rPr>
            </w:pPr>
            <w:r>
              <w:rPr>
                <w:sz w:val="20"/>
              </w:rPr>
              <w:t>Commercial sector energy consumption</w:t>
            </w:r>
          </w:p>
        </w:tc>
        <w:tc>
          <w:tcPr>
            <w:tcW w:w="1285" w:type="dxa"/>
          </w:tcPr>
          <w:p w14:paraId="7706CCED" w14:textId="77777777" w:rsidR="0046798B" w:rsidRDefault="0046798B">
            <w:pPr>
              <w:pStyle w:val="TableParagraph"/>
            </w:pPr>
          </w:p>
          <w:p w14:paraId="5AF09595" w14:textId="77777777" w:rsidR="0046798B" w:rsidRDefault="0046798B">
            <w:pPr>
              <w:pStyle w:val="TableParagraph"/>
            </w:pPr>
          </w:p>
          <w:p w14:paraId="5AA76E23" w14:textId="77777777" w:rsidR="0046798B" w:rsidRDefault="0046798B">
            <w:pPr>
              <w:pStyle w:val="TableParagraph"/>
              <w:spacing w:before="9"/>
              <w:rPr>
                <w:sz w:val="19"/>
              </w:rPr>
            </w:pPr>
          </w:p>
          <w:p w14:paraId="64391BF7" w14:textId="77777777" w:rsidR="0046798B" w:rsidRDefault="00903B5C">
            <w:pPr>
              <w:pStyle w:val="TableParagraph"/>
              <w:ind w:left="114"/>
              <w:rPr>
                <w:sz w:val="20"/>
              </w:rPr>
            </w:pPr>
            <w:r>
              <w:rPr>
                <w:sz w:val="20"/>
              </w:rPr>
              <w:t>1960–2017</w:t>
            </w:r>
          </w:p>
        </w:tc>
        <w:tc>
          <w:tcPr>
            <w:tcW w:w="3421" w:type="dxa"/>
          </w:tcPr>
          <w:p w14:paraId="7DF2B81B" w14:textId="77777777" w:rsidR="0046798B" w:rsidRDefault="0046798B">
            <w:pPr>
              <w:pStyle w:val="TableParagraph"/>
            </w:pPr>
          </w:p>
          <w:p w14:paraId="638DDACB" w14:textId="77777777" w:rsidR="0046798B" w:rsidRDefault="00903B5C">
            <w:pPr>
              <w:pStyle w:val="TableParagraph"/>
              <w:spacing w:before="135"/>
              <w:ind w:left="114" w:right="211"/>
              <w:rPr>
                <w:sz w:val="20"/>
              </w:rPr>
            </w:pPr>
            <w:r>
              <w:rPr>
                <w:sz w:val="20"/>
              </w:rPr>
              <w:t>Total energy consumption for the commercial end-use sector is the sum of all energy sources consumed by the sector (in billion BTU)</w:t>
            </w:r>
          </w:p>
        </w:tc>
        <w:tc>
          <w:tcPr>
            <w:tcW w:w="6302" w:type="dxa"/>
          </w:tcPr>
          <w:p w14:paraId="540F88AB" w14:textId="77777777" w:rsidR="0046798B" w:rsidRDefault="00903B5C">
            <w:pPr>
              <w:pStyle w:val="TableParagraph"/>
              <w:spacing w:before="43"/>
              <w:ind w:left="114" w:right="1084"/>
              <w:rPr>
                <w:sz w:val="20"/>
              </w:rPr>
            </w:pPr>
            <w:r>
              <w:rPr>
                <w:sz w:val="20"/>
              </w:rPr>
              <w:t xml:space="preserve">Provided by the U.S. Energy Information Administration: </w:t>
            </w:r>
            <w:hyperlink r:id="rId891">
              <w:r>
                <w:rPr>
                  <w:sz w:val="20"/>
                  <w:u w:val="single"/>
                </w:rPr>
                <w:t>https://www.eia.gov/state/seds/seds-data-complete.php?sid=US</w:t>
              </w:r>
            </w:hyperlink>
          </w:p>
          <w:p w14:paraId="72FAE9AD" w14:textId="77777777" w:rsidR="0046798B" w:rsidRDefault="0046798B">
            <w:pPr>
              <w:pStyle w:val="TableParagraph"/>
              <w:rPr>
                <w:sz w:val="20"/>
              </w:rPr>
            </w:pPr>
          </w:p>
          <w:p w14:paraId="1EE37EB9" w14:textId="77777777" w:rsidR="0046798B" w:rsidRDefault="00903B5C">
            <w:pPr>
              <w:pStyle w:val="TableParagraph"/>
              <w:ind w:left="114" w:right="120"/>
              <w:rPr>
                <w:sz w:val="13"/>
              </w:rPr>
            </w:pPr>
            <w:r>
              <w:rPr>
                <w:sz w:val="20"/>
              </w:rPr>
              <w:t>Notes: Total net energy consumption is calculated by adding coal, natural gas, all petroleum products, fuel ethanol, geothermal energy and heat pumps, hydroelectricity, wood, waste, electricity and supplemental gaseous fuels consumed by the commercial sector.</w:t>
            </w:r>
            <w:r>
              <w:rPr>
                <w:sz w:val="13"/>
              </w:rPr>
              <w:t>xiii</w:t>
            </w:r>
          </w:p>
        </w:tc>
      </w:tr>
      <w:tr w:rsidR="0046798B" w14:paraId="6D59D2C4" w14:textId="77777777">
        <w:trPr>
          <w:trHeight w:val="1695"/>
        </w:trPr>
        <w:tc>
          <w:tcPr>
            <w:tcW w:w="1711" w:type="dxa"/>
          </w:tcPr>
          <w:p w14:paraId="2F14FA29" w14:textId="77777777" w:rsidR="0046798B" w:rsidRDefault="0046798B">
            <w:pPr>
              <w:pStyle w:val="TableParagraph"/>
            </w:pPr>
          </w:p>
          <w:p w14:paraId="52CDD36E" w14:textId="77777777" w:rsidR="0046798B" w:rsidRDefault="0046798B">
            <w:pPr>
              <w:pStyle w:val="TableParagraph"/>
              <w:spacing w:before="8"/>
              <w:rPr>
                <w:sz w:val="31"/>
              </w:rPr>
            </w:pPr>
          </w:p>
          <w:p w14:paraId="3D350950" w14:textId="77777777" w:rsidR="0046798B" w:rsidRDefault="00903B5C">
            <w:pPr>
              <w:pStyle w:val="TableParagraph"/>
              <w:spacing w:before="1"/>
              <w:ind w:left="115" w:right="110"/>
              <w:rPr>
                <w:b/>
                <w:sz w:val="20"/>
              </w:rPr>
            </w:pPr>
            <w:r>
              <w:rPr>
                <w:b/>
                <w:sz w:val="20"/>
              </w:rPr>
              <w:t>bus_energy_cons um_pc</w:t>
            </w:r>
          </w:p>
        </w:tc>
        <w:tc>
          <w:tcPr>
            <w:tcW w:w="1596" w:type="dxa"/>
          </w:tcPr>
          <w:p w14:paraId="36B3208C" w14:textId="77777777" w:rsidR="0046798B" w:rsidRDefault="0046798B">
            <w:pPr>
              <w:pStyle w:val="TableParagraph"/>
            </w:pPr>
          </w:p>
          <w:p w14:paraId="10F47693" w14:textId="77777777" w:rsidR="0046798B" w:rsidRDefault="00903B5C">
            <w:pPr>
              <w:pStyle w:val="TableParagraph"/>
              <w:spacing w:before="135"/>
              <w:ind w:left="114" w:right="113"/>
              <w:rPr>
                <w:sz w:val="20"/>
              </w:rPr>
            </w:pPr>
            <w:r>
              <w:rPr>
                <w:sz w:val="20"/>
              </w:rPr>
              <w:t>Commercial sector energy consumption per capita</w:t>
            </w:r>
          </w:p>
        </w:tc>
        <w:tc>
          <w:tcPr>
            <w:tcW w:w="1285" w:type="dxa"/>
          </w:tcPr>
          <w:p w14:paraId="0D75A578" w14:textId="77777777" w:rsidR="0046798B" w:rsidRDefault="0046798B">
            <w:pPr>
              <w:pStyle w:val="TableParagraph"/>
            </w:pPr>
          </w:p>
          <w:p w14:paraId="7559ABAE" w14:textId="77777777" w:rsidR="0046798B" w:rsidRDefault="0046798B">
            <w:pPr>
              <w:pStyle w:val="TableParagraph"/>
            </w:pPr>
          </w:p>
          <w:p w14:paraId="0C1C302B" w14:textId="77777777" w:rsidR="0046798B" w:rsidRDefault="0046798B">
            <w:pPr>
              <w:pStyle w:val="TableParagraph"/>
              <w:spacing w:before="8"/>
              <w:rPr>
                <w:sz w:val="19"/>
              </w:rPr>
            </w:pPr>
          </w:p>
          <w:p w14:paraId="3070A223" w14:textId="77777777" w:rsidR="0046798B" w:rsidRDefault="00903B5C">
            <w:pPr>
              <w:pStyle w:val="TableParagraph"/>
              <w:spacing w:before="1"/>
              <w:ind w:left="114"/>
              <w:rPr>
                <w:sz w:val="20"/>
              </w:rPr>
            </w:pPr>
            <w:r>
              <w:rPr>
                <w:sz w:val="20"/>
              </w:rPr>
              <w:t>1960–2017</w:t>
            </w:r>
          </w:p>
        </w:tc>
        <w:tc>
          <w:tcPr>
            <w:tcW w:w="3421" w:type="dxa"/>
          </w:tcPr>
          <w:p w14:paraId="6C08DB40" w14:textId="77777777" w:rsidR="0046798B" w:rsidRDefault="0046798B">
            <w:pPr>
              <w:pStyle w:val="TableParagraph"/>
              <w:spacing w:before="8"/>
              <w:rPr>
                <w:sz w:val="23"/>
              </w:rPr>
            </w:pPr>
          </w:p>
          <w:p w14:paraId="2AD00B7B" w14:textId="77777777" w:rsidR="0046798B" w:rsidRDefault="00903B5C">
            <w:pPr>
              <w:pStyle w:val="TableParagraph"/>
              <w:spacing w:before="1"/>
              <w:ind w:left="114" w:right="133"/>
              <w:rPr>
                <w:sz w:val="20"/>
              </w:rPr>
            </w:pPr>
            <w:r>
              <w:rPr>
                <w:sz w:val="20"/>
              </w:rPr>
              <w:t xml:space="preserve">Total energy consumption for the commercial end-use sector per capita </w:t>
            </w:r>
            <w:r>
              <w:rPr>
                <w:spacing w:val="-10"/>
                <w:sz w:val="20"/>
              </w:rPr>
              <w:t xml:space="preserve">is </w:t>
            </w:r>
            <w:r>
              <w:rPr>
                <w:sz w:val="20"/>
              </w:rPr>
              <w:t>the sum of all energy sources consumed by the sector divided by the total population (in billion</w:t>
            </w:r>
            <w:r>
              <w:rPr>
                <w:spacing w:val="-4"/>
                <w:sz w:val="20"/>
              </w:rPr>
              <w:t xml:space="preserve"> </w:t>
            </w:r>
            <w:r>
              <w:rPr>
                <w:sz w:val="20"/>
              </w:rPr>
              <w:t>BTU)</w:t>
            </w:r>
          </w:p>
        </w:tc>
        <w:tc>
          <w:tcPr>
            <w:tcW w:w="6302" w:type="dxa"/>
          </w:tcPr>
          <w:p w14:paraId="0A553073" w14:textId="77777777" w:rsidR="0046798B" w:rsidRDefault="00903B5C">
            <w:pPr>
              <w:pStyle w:val="TableParagraph"/>
              <w:spacing w:before="43"/>
              <w:ind w:left="114" w:right="1084"/>
              <w:rPr>
                <w:sz w:val="20"/>
              </w:rPr>
            </w:pPr>
            <w:r>
              <w:rPr>
                <w:sz w:val="20"/>
              </w:rPr>
              <w:t xml:space="preserve">Provided by the U.S. Energy Information Administration: </w:t>
            </w:r>
            <w:hyperlink r:id="rId892">
              <w:r>
                <w:rPr>
                  <w:sz w:val="20"/>
                  <w:u w:val="single"/>
                </w:rPr>
                <w:t>https://www.eia.gov/state/seds/seds-data-complete.php?sid=US</w:t>
              </w:r>
            </w:hyperlink>
          </w:p>
          <w:p w14:paraId="01305930" w14:textId="77777777" w:rsidR="0046798B" w:rsidRDefault="0046798B">
            <w:pPr>
              <w:pStyle w:val="TableParagraph"/>
              <w:rPr>
                <w:sz w:val="20"/>
              </w:rPr>
            </w:pPr>
          </w:p>
          <w:p w14:paraId="36DA3CC3" w14:textId="77777777" w:rsidR="0046798B" w:rsidRDefault="00903B5C">
            <w:pPr>
              <w:pStyle w:val="TableParagraph"/>
              <w:ind w:left="114" w:right="120"/>
              <w:rPr>
                <w:sz w:val="13"/>
              </w:rPr>
            </w:pPr>
            <w:r>
              <w:rPr>
                <w:sz w:val="20"/>
              </w:rPr>
              <w:t>Notes: Total net energy consumption is calculated by adding coal, natural gas, all petroleum products, fuel ethanol, geothermal energy and heat pumps, hydroelectricity, wood, waste, electricity and supplemental gaseous fuels consumed by the commercial sector.</w:t>
            </w:r>
            <w:r>
              <w:rPr>
                <w:sz w:val="13"/>
              </w:rPr>
              <w:t>xiv</w:t>
            </w:r>
          </w:p>
        </w:tc>
      </w:tr>
      <w:tr w:rsidR="0046798B" w14:paraId="7C19001E" w14:textId="77777777">
        <w:trPr>
          <w:trHeight w:val="3306"/>
        </w:trPr>
        <w:tc>
          <w:tcPr>
            <w:tcW w:w="1711" w:type="dxa"/>
          </w:tcPr>
          <w:p w14:paraId="29F78AE9" w14:textId="77777777" w:rsidR="0046798B" w:rsidRDefault="0046798B">
            <w:pPr>
              <w:pStyle w:val="TableParagraph"/>
            </w:pPr>
          </w:p>
          <w:p w14:paraId="1898E117" w14:textId="77777777" w:rsidR="0046798B" w:rsidRDefault="0046798B">
            <w:pPr>
              <w:pStyle w:val="TableParagraph"/>
            </w:pPr>
          </w:p>
          <w:p w14:paraId="3BFFFE08" w14:textId="77777777" w:rsidR="0046798B" w:rsidRDefault="0046798B">
            <w:pPr>
              <w:pStyle w:val="TableParagraph"/>
            </w:pPr>
          </w:p>
          <w:p w14:paraId="66C1481A" w14:textId="77777777" w:rsidR="0046798B" w:rsidRDefault="0046798B">
            <w:pPr>
              <w:pStyle w:val="TableParagraph"/>
            </w:pPr>
          </w:p>
          <w:p w14:paraId="1FF80D6D" w14:textId="77777777" w:rsidR="0046798B" w:rsidRDefault="0046798B">
            <w:pPr>
              <w:pStyle w:val="TableParagraph"/>
            </w:pPr>
          </w:p>
          <w:p w14:paraId="0A27CB5E" w14:textId="77777777" w:rsidR="0046798B" w:rsidRDefault="0046798B">
            <w:pPr>
              <w:pStyle w:val="TableParagraph"/>
              <w:spacing w:before="9"/>
              <w:rPr>
                <w:sz w:val="23"/>
              </w:rPr>
            </w:pPr>
          </w:p>
          <w:p w14:paraId="33B1948A" w14:textId="77777777" w:rsidR="0046798B" w:rsidRDefault="00903B5C">
            <w:pPr>
              <w:pStyle w:val="TableParagraph"/>
              <w:ind w:left="115"/>
              <w:rPr>
                <w:b/>
                <w:sz w:val="20"/>
              </w:rPr>
            </w:pPr>
            <w:r>
              <w:rPr>
                <w:b/>
                <w:sz w:val="20"/>
              </w:rPr>
              <w:t>cons_fossil</w:t>
            </w:r>
          </w:p>
        </w:tc>
        <w:tc>
          <w:tcPr>
            <w:tcW w:w="1596" w:type="dxa"/>
          </w:tcPr>
          <w:p w14:paraId="3E9C3F3C" w14:textId="77777777" w:rsidR="0046798B" w:rsidRDefault="0046798B">
            <w:pPr>
              <w:pStyle w:val="TableParagraph"/>
            </w:pPr>
          </w:p>
          <w:p w14:paraId="0B32B71E" w14:textId="77777777" w:rsidR="0046798B" w:rsidRDefault="0046798B">
            <w:pPr>
              <w:pStyle w:val="TableParagraph"/>
            </w:pPr>
          </w:p>
          <w:p w14:paraId="33A7B6F7" w14:textId="77777777" w:rsidR="0046798B" w:rsidRDefault="0046798B">
            <w:pPr>
              <w:pStyle w:val="TableParagraph"/>
            </w:pPr>
          </w:p>
          <w:p w14:paraId="4422FCFE" w14:textId="77777777" w:rsidR="0046798B" w:rsidRDefault="0046798B">
            <w:pPr>
              <w:pStyle w:val="TableParagraph"/>
            </w:pPr>
          </w:p>
          <w:p w14:paraId="0D507F42" w14:textId="77777777" w:rsidR="0046798B" w:rsidRDefault="0046798B">
            <w:pPr>
              <w:pStyle w:val="TableParagraph"/>
              <w:spacing w:before="9"/>
              <w:rPr>
                <w:sz w:val="25"/>
              </w:rPr>
            </w:pPr>
          </w:p>
          <w:p w14:paraId="642EB86D" w14:textId="77777777" w:rsidR="0046798B" w:rsidRDefault="00903B5C">
            <w:pPr>
              <w:pStyle w:val="TableParagraph"/>
              <w:ind w:left="114" w:right="418"/>
              <w:rPr>
                <w:sz w:val="20"/>
              </w:rPr>
            </w:pPr>
            <w:r>
              <w:rPr>
                <w:sz w:val="20"/>
              </w:rPr>
              <w:t>Fossil fuels, total consumption</w:t>
            </w:r>
          </w:p>
        </w:tc>
        <w:tc>
          <w:tcPr>
            <w:tcW w:w="1285" w:type="dxa"/>
          </w:tcPr>
          <w:p w14:paraId="6F66294D" w14:textId="77777777" w:rsidR="0046798B" w:rsidRDefault="0046798B">
            <w:pPr>
              <w:pStyle w:val="TableParagraph"/>
            </w:pPr>
          </w:p>
          <w:p w14:paraId="3D4B6AE8" w14:textId="77777777" w:rsidR="0046798B" w:rsidRDefault="0046798B">
            <w:pPr>
              <w:pStyle w:val="TableParagraph"/>
            </w:pPr>
          </w:p>
          <w:p w14:paraId="11510A8B" w14:textId="77777777" w:rsidR="0046798B" w:rsidRDefault="0046798B">
            <w:pPr>
              <w:pStyle w:val="TableParagraph"/>
            </w:pPr>
          </w:p>
          <w:p w14:paraId="6D0E3C2D" w14:textId="77777777" w:rsidR="0046798B" w:rsidRDefault="0046798B">
            <w:pPr>
              <w:pStyle w:val="TableParagraph"/>
            </w:pPr>
          </w:p>
          <w:p w14:paraId="562787B4" w14:textId="77777777" w:rsidR="0046798B" w:rsidRDefault="0046798B">
            <w:pPr>
              <w:pStyle w:val="TableParagraph"/>
            </w:pPr>
          </w:p>
          <w:p w14:paraId="458DD9E2" w14:textId="77777777" w:rsidR="0046798B" w:rsidRDefault="00903B5C">
            <w:pPr>
              <w:pStyle w:val="TableParagraph"/>
              <w:spacing w:before="158"/>
              <w:ind w:left="114"/>
              <w:rPr>
                <w:sz w:val="20"/>
              </w:rPr>
            </w:pPr>
            <w:r>
              <w:rPr>
                <w:sz w:val="20"/>
              </w:rPr>
              <w:t>1960–2009;</w:t>
            </w:r>
          </w:p>
          <w:p w14:paraId="6DEC969B" w14:textId="77777777" w:rsidR="0046798B" w:rsidRDefault="00903B5C">
            <w:pPr>
              <w:pStyle w:val="TableParagraph"/>
              <w:spacing w:before="1"/>
              <w:ind w:left="114"/>
              <w:rPr>
                <w:sz w:val="20"/>
              </w:rPr>
            </w:pPr>
            <w:r>
              <w:rPr>
                <w:sz w:val="20"/>
              </w:rPr>
              <w:t>2010–2017</w:t>
            </w:r>
          </w:p>
        </w:tc>
        <w:tc>
          <w:tcPr>
            <w:tcW w:w="3421" w:type="dxa"/>
          </w:tcPr>
          <w:p w14:paraId="285A9A8B" w14:textId="77777777" w:rsidR="0046798B" w:rsidRDefault="00903B5C">
            <w:pPr>
              <w:pStyle w:val="TableParagraph"/>
              <w:spacing w:before="43"/>
              <w:ind w:left="114" w:right="916"/>
              <w:rPr>
                <w:sz w:val="20"/>
              </w:rPr>
            </w:pPr>
            <w:r>
              <w:rPr>
                <w:sz w:val="20"/>
              </w:rPr>
              <w:t>State’s total yearly fossil-fuel consumption</w:t>
            </w:r>
          </w:p>
          <w:p w14:paraId="36E77F11" w14:textId="77777777" w:rsidR="0046798B" w:rsidRDefault="0046798B">
            <w:pPr>
              <w:pStyle w:val="TableParagraph"/>
              <w:rPr>
                <w:sz w:val="20"/>
              </w:rPr>
            </w:pPr>
          </w:p>
          <w:p w14:paraId="6A028E55" w14:textId="77777777" w:rsidR="0046798B" w:rsidRDefault="00903B5C">
            <w:pPr>
              <w:pStyle w:val="TableParagraph"/>
              <w:ind w:left="114" w:right="216"/>
              <w:rPr>
                <w:sz w:val="20"/>
              </w:rPr>
            </w:pPr>
            <w:r>
              <w:rPr>
                <w:sz w:val="20"/>
              </w:rPr>
              <w:t>For 1960–2009: units are billion BTU For 2010–2017: units are trillion BTU</w:t>
            </w:r>
          </w:p>
          <w:p w14:paraId="7F1B46F0" w14:textId="77777777" w:rsidR="0046798B" w:rsidRDefault="0046798B">
            <w:pPr>
              <w:pStyle w:val="TableParagraph"/>
              <w:rPr>
                <w:sz w:val="20"/>
              </w:rPr>
            </w:pPr>
          </w:p>
          <w:p w14:paraId="547D7340" w14:textId="77777777" w:rsidR="0046798B" w:rsidRDefault="00903B5C">
            <w:pPr>
              <w:pStyle w:val="TableParagraph"/>
              <w:ind w:left="114" w:right="122"/>
              <w:rPr>
                <w:sz w:val="20"/>
              </w:rPr>
            </w:pPr>
            <w:r>
              <w:rPr>
                <w:sz w:val="20"/>
              </w:rPr>
              <w:t>In the fossil fuel subtotal, the double- counting of supplemental gaseous fuels is removed, and fuel ethanol is excluded from petroleum consumption. Fuel ethanol and energy losses and co- products from fuel ethanol production are covered in the renewable energy subtotal.</w:t>
            </w:r>
          </w:p>
        </w:tc>
        <w:tc>
          <w:tcPr>
            <w:tcW w:w="6302" w:type="dxa"/>
          </w:tcPr>
          <w:p w14:paraId="6BBB4713" w14:textId="77777777" w:rsidR="0046798B" w:rsidRDefault="0046798B">
            <w:pPr>
              <w:pStyle w:val="TableParagraph"/>
            </w:pPr>
          </w:p>
          <w:p w14:paraId="0AA2822A" w14:textId="77777777" w:rsidR="0046798B" w:rsidRDefault="0046798B">
            <w:pPr>
              <w:pStyle w:val="TableParagraph"/>
            </w:pPr>
          </w:p>
          <w:p w14:paraId="17684C38" w14:textId="77777777" w:rsidR="0046798B" w:rsidRDefault="0046798B">
            <w:pPr>
              <w:pStyle w:val="TableParagraph"/>
            </w:pPr>
          </w:p>
          <w:p w14:paraId="1740B459" w14:textId="77777777" w:rsidR="0046798B" w:rsidRDefault="0046798B">
            <w:pPr>
              <w:pStyle w:val="TableParagraph"/>
            </w:pPr>
          </w:p>
          <w:p w14:paraId="2853700F" w14:textId="77777777" w:rsidR="0046798B" w:rsidRDefault="0046798B">
            <w:pPr>
              <w:pStyle w:val="TableParagraph"/>
              <w:spacing w:before="9"/>
              <w:rPr>
                <w:sz w:val="25"/>
              </w:rPr>
            </w:pPr>
          </w:p>
          <w:p w14:paraId="23FEABFE" w14:textId="77777777" w:rsidR="0046798B" w:rsidRDefault="00903B5C">
            <w:pPr>
              <w:pStyle w:val="TableParagraph"/>
              <w:ind w:left="114" w:right="1084"/>
              <w:rPr>
                <w:sz w:val="20"/>
              </w:rPr>
            </w:pPr>
            <w:r>
              <w:rPr>
                <w:sz w:val="20"/>
              </w:rPr>
              <w:t xml:space="preserve">Provided by the U.S. Energy Information Administration: </w:t>
            </w:r>
            <w:hyperlink r:id="rId893">
              <w:r>
                <w:rPr>
                  <w:sz w:val="20"/>
                  <w:u w:val="single"/>
                </w:rPr>
                <w:t>https://www.eia.gov/state/seds/seds-data-complete.php?sid=US</w:t>
              </w:r>
            </w:hyperlink>
          </w:p>
        </w:tc>
      </w:tr>
      <w:tr w:rsidR="0046798B" w14:paraId="550E7E96" w14:textId="77777777">
        <w:trPr>
          <w:trHeight w:val="2390"/>
        </w:trPr>
        <w:tc>
          <w:tcPr>
            <w:tcW w:w="1711" w:type="dxa"/>
          </w:tcPr>
          <w:p w14:paraId="66267EB9" w14:textId="77777777" w:rsidR="0046798B" w:rsidRDefault="0046798B">
            <w:pPr>
              <w:pStyle w:val="TableParagraph"/>
            </w:pPr>
          </w:p>
          <w:p w14:paraId="6DD87AE9" w14:textId="77777777" w:rsidR="0046798B" w:rsidRDefault="0046798B">
            <w:pPr>
              <w:pStyle w:val="TableParagraph"/>
            </w:pPr>
          </w:p>
          <w:p w14:paraId="24F03894" w14:textId="77777777" w:rsidR="0046798B" w:rsidRDefault="0046798B">
            <w:pPr>
              <w:pStyle w:val="TableParagraph"/>
            </w:pPr>
          </w:p>
          <w:p w14:paraId="2EB74A07" w14:textId="77777777" w:rsidR="0046798B" w:rsidRDefault="0046798B">
            <w:pPr>
              <w:pStyle w:val="TableParagraph"/>
              <w:spacing w:before="9"/>
              <w:rPr>
                <w:sz w:val="27"/>
              </w:rPr>
            </w:pPr>
          </w:p>
          <w:p w14:paraId="489FB43A" w14:textId="77777777" w:rsidR="0046798B" w:rsidRDefault="00903B5C">
            <w:pPr>
              <w:pStyle w:val="TableParagraph"/>
              <w:ind w:left="115"/>
              <w:rPr>
                <w:b/>
                <w:sz w:val="20"/>
              </w:rPr>
            </w:pPr>
            <w:r>
              <w:rPr>
                <w:b/>
                <w:sz w:val="20"/>
              </w:rPr>
              <w:t>cons_renewable</w:t>
            </w:r>
          </w:p>
        </w:tc>
        <w:tc>
          <w:tcPr>
            <w:tcW w:w="1596" w:type="dxa"/>
          </w:tcPr>
          <w:p w14:paraId="31D1EC10" w14:textId="77777777" w:rsidR="0046798B" w:rsidRDefault="0046798B">
            <w:pPr>
              <w:pStyle w:val="TableParagraph"/>
            </w:pPr>
          </w:p>
          <w:p w14:paraId="5D59F73B" w14:textId="77777777" w:rsidR="0046798B" w:rsidRDefault="0046798B">
            <w:pPr>
              <w:pStyle w:val="TableParagraph"/>
            </w:pPr>
          </w:p>
          <w:p w14:paraId="5F6E6EF8" w14:textId="77777777" w:rsidR="0046798B" w:rsidRDefault="0046798B">
            <w:pPr>
              <w:pStyle w:val="TableParagraph"/>
              <w:spacing w:before="8"/>
              <w:rPr>
                <w:sz w:val="29"/>
              </w:rPr>
            </w:pPr>
          </w:p>
          <w:p w14:paraId="2AA40673" w14:textId="77777777" w:rsidR="0046798B" w:rsidRDefault="00903B5C">
            <w:pPr>
              <w:pStyle w:val="TableParagraph"/>
              <w:ind w:left="114" w:right="418"/>
              <w:rPr>
                <w:sz w:val="20"/>
              </w:rPr>
            </w:pPr>
            <w:r>
              <w:rPr>
                <w:sz w:val="20"/>
              </w:rPr>
              <w:t>Renewable energy consumption</w:t>
            </w:r>
          </w:p>
        </w:tc>
        <w:tc>
          <w:tcPr>
            <w:tcW w:w="1285" w:type="dxa"/>
          </w:tcPr>
          <w:p w14:paraId="719821E5" w14:textId="77777777" w:rsidR="0046798B" w:rsidRDefault="0046798B">
            <w:pPr>
              <w:pStyle w:val="TableParagraph"/>
            </w:pPr>
          </w:p>
          <w:p w14:paraId="74595044" w14:textId="77777777" w:rsidR="0046798B" w:rsidRDefault="0046798B">
            <w:pPr>
              <w:pStyle w:val="TableParagraph"/>
            </w:pPr>
          </w:p>
          <w:p w14:paraId="21692722" w14:textId="77777777" w:rsidR="0046798B" w:rsidRDefault="0046798B">
            <w:pPr>
              <w:pStyle w:val="TableParagraph"/>
            </w:pPr>
          </w:p>
          <w:p w14:paraId="5A0F0284" w14:textId="77777777" w:rsidR="0046798B" w:rsidRDefault="0046798B">
            <w:pPr>
              <w:pStyle w:val="TableParagraph"/>
              <w:spacing w:before="9"/>
              <w:rPr>
                <w:sz w:val="17"/>
              </w:rPr>
            </w:pPr>
          </w:p>
          <w:p w14:paraId="0CE06084" w14:textId="77777777" w:rsidR="0046798B" w:rsidRDefault="00903B5C">
            <w:pPr>
              <w:pStyle w:val="TableParagraph"/>
              <w:ind w:left="114"/>
              <w:rPr>
                <w:sz w:val="20"/>
              </w:rPr>
            </w:pPr>
            <w:r>
              <w:rPr>
                <w:sz w:val="20"/>
              </w:rPr>
              <w:t>1960–2009;</w:t>
            </w:r>
          </w:p>
          <w:p w14:paraId="16E36446" w14:textId="77777777" w:rsidR="0046798B" w:rsidRDefault="00903B5C">
            <w:pPr>
              <w:pStyle w:val="TableParagraph"/>
              <w:ind w:left="114"/>
              <w:rPr>
                <w:sz w:val="20"/>
              </w:rPr>
            </w:pPr>
            <w:r>
              <w:rPr>
                <w:sz w:val="20"/>
              </w:rPr>
              <w:t>2010–2017</w:t>
            </w:r>
          </w:p>
        </w:tc>
        <w:tc>
          <w:tcPr>
            <w:tcW w:w="3421" w:type="dxa"/>
          </w:tcPr>
          <w:p w14:paraId="2C8A8D60" w14:textId="77777777" w:rsidR="0046798B" w:rsidRDefault="00903B5C">
            <w:pPr>
              <w:pStyle w:val="TableParagraph"/>
              <w:spacing w:before="43"/>
              <w:ind w:left="114" w:right="295"/>
              <w:rPr>
                <w:sz w:val="20"/>
              </w:rPr>
            </w:pPr>
            <w:r>
              <w:rPr>
                <w:sz w:val="20"/>
              </w:rPr>
              <w:t>State’s total yearly renewable-energy consumption</w:t>
            </w:r>
          </w:p>
          <w:p w14:paraId="5A5E5B57" w14:textId="77777777" w:rsidR="0046798B" w:rsidRDefault="0046798B">
            <w:pPr>
              <w:pStyle w:val="TableParagraph"/>
              <w:rPr>
                <w:sz w:val="20"/>
              </w:rPr>
            </w:pPr>
          </w:p>
          <w:p w14:paraId="70E2ECAC" w14:textId="77777777" w:rsidR="0046798B" w:rsidRDefault="00903B5C">
            <w:pPr>
              <w:pStyle w:val="TableParagraph"/>
              <w:ind w:left="114" w:right="216"/>
              <w:rPr>
                <w:sz w:val="20"/>
              </w:rPr>
            </w:pPr>
            <w:r>
              <w:rPr>
                <w:sz w:val="20"/>
              </w:rPr>
              <w:t>For 1960–2009: units are billion BTU For 2010–2017: units are trillion BTU</w:t>
            </w:r>
          </w:p>
          <w:p w14:paraId="4C9E7B0B" w14:textId="77777777" w:rsidR="0046798B" w:rsidRDefault="0046798B">
            <w:pPr>
              <w:pStyle w:val="TableParagraph"/>
              <w:rPr>
                <w:sz w:val="20"/>
              </w:rPr>
            </w:pPr>
          </w:p>
          <w:p w14:paraId="76E338DF" w14:textId="77777777" w:rsidR="0046798B" w:rsidRDefault="00903B5C">
            <w:pPr>
              <w:pStyle w:val="TableParagraph"/>
              <w:ind w:left="114" w:right="177"/>
              <w:rPr>
                <w:sz w:val="20"/>
              </w:rPr>
            </w:pPr>
            <w:r>
              <w:rPr>
                <w:sz w:val="20"/>
              </w:rPr>
              <w:t>Fuel ethanol and energy losses and co- products from fuel ethanol production are covered in the renewable energy subtotal.</w:t>
            </w:r>
          </w:p>
        </w:tc>
        <w:tc>
          <w:tcPr>
            <w:tcW w:w="6302" w:type="dxa"/>
          </w:tcPr>
          <w:p w14:paraId="0609C817" w14:textId="77777777" w:rsidR="0046798B" w:rsidRDefault="0046798B">
            <w:pPr>
              <w:pStyle w:val="TableParagraph"/>
            </w:pPr>
          </w:p>
          <w:p w14:paraId="404DBE3F" w14:textId="77777777" w:rsidR="0046798B" w:rsidRDefault="0046798B">
            <w:pPr>
              <w:pStyle w:val="TableParagraph"/>
            </w:pPr>
          </w:p>
          <w:p w14:paraId="018850F4" w14:textId="77777777" w:rsidR="0046798B" w:rsidRDefault="0046798B">
            <w:pPr>
              <w:pStyle w:val="TableParagraph"/>
              <w:spacing w:before="8"/>
              <w:rPr>
                <w:sz w:val="29"/>
              </w:rPr>
            </w:pPr>
          </w:p>
          <w:p w14:paraId="659660DA" w14:textId="77777777" w:rsidR="0046798B" w:rsidRDefault="00903B5C">
            <w:pPr>
              <w:pStyle w:val="TableParagraph"/>
              <w:ind w:left="114" w:right="1084"/>
              <w:rPr>
                <w:sz w:val="20"/>
              </w:rPr>
            </w:pPr>
            <w:r>
              <w:rPr>
                <w:sz w:val="20"/>
              </w:rPr>
              <w:t xml:space="preserve">Provided by the U.S. Energy Information Administration: </w:t>
            </w:r>
            <w:hyperlink r:id="rId894">
              <w:r>
                <w:rPr>
                  <w:sz w:val="20"/>
                  <w:u w:val="single"/>
                </w:rPr>
                <w:t>https://www.eia.gov/state/seds/seds-data-complete.php?sid=US</w:t>
              </w:r>
            </w:hyperlink>
          </w:p>
        </w:tc>
      </w:tr>
    </w:tbl>
    <w:p w14:paraId="281B1B4F" w14:textId="77777777" w:rsidR="0046798B" w:rsidRDefault="0046798B">
      <w:pPr>
        <w:rPr>
          <w:sz w:val="20"/>
        </w:rPr>
        <w:sectPr w:rsidR="0046798B">
          <w:pgSz w:w="15840" w:h="12240" w:orient="landscape"/>
          <w:pgMar w:top="1220" w:right="300" w:bottom="980" w:left="820" w:header="730" w:footer="787" w:gutter="0"/>
          <w:cols w:space="720"/>
        </w:sectPr>
      </w:pPr>
    </w:p>
    <w:p w14:paraId="32F35EDF"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302"/>
      </w:tblGrid>
      <w:tr w:rsidR="0046798B" w14:paraId="55F9D2AF" w14:textId="77777777">
        <w:trPr>
          <w:trHeight w:val="3766"/>
        </w:trPr>
        <w:tc>
          <w:tcPr>
            <w:tcW w:w="1711" w:type="dxa"/>
          </w:tcPr>
          <w:p w14:paraId="3D8B5B31" w14:textId="77777777" w:rsidR="0046798B" w:rsidRDefault="0046798B">
            <w:pPr>
              <w:pStyle w:val="TableParagraph"/>
            </w:pPr>
          </w:p>
          <w:p w14:paraId="263639E6" w14:textId="77777777" w:rsidR="0046798B" w:rsidRDefault="0046798B">
            <w:pPr>
              <w:pStyle w:val="TableParagraph"/>
            </w:pPr>
          </w:p>
          <w:p w14:paraId="0957F0E5" w14:textId="77777777" w:rsidR="0046798B" w:rsidRDefault="0046798B">
            <w:pPr>
              <w:pStyle w:val="TableParagraph"/>
            </w:pPr>
          </w:p>
          <w:p w14:paraId="0DC1277C" w14:textId="77777777" w:rsidR="0046798B" w:rsidRDefault="0046798B">
            <w:pPr>
              <w:pStyle w:val="TableParagraph"/>
            </w:pPr>
          </w:p>
          <w:p w14:paraId="46146C8E" w14:textId="77777777" w:rsidR="0046798B" w:rsidRDefault="0046798B">
            <w:pPr>
              <w:pStyle w:val="TableParagraph"/>
            </w:pPr>
          </w:p>
          <w:p w14:paraId="18955962" w14:textId="77777777" w:rsidR="0046798B" w:rsidRDefault="0046798B">
            <w:pPr>
              <w:pStyle w:val="TableParagraph"/>
            </w:pPr>
          </w:p>
          <w:p w14:paraId="3492B741" w14:textId="77777777" w:rsidR="0046798B" w:rsidRDefault="0046798B">
            <w:pPr>
              <w:pStyle w:val="TableParagraph"/>
              <w:spacing w:before="9"/>
              <w:rPr>
                <w:sz w:val="21"/>
              </w:rPr>
            </w:pPr>
          </w:p>
          <w:p w14:paraId="7B8D0A5B" w14:textId="77777777" w:rsidR="0046798B" w:rsidRDefault="00903B5C">
            <w:pPr>
              <w:pStyle w:val="TableParagraph"/>
              <w:spacing w:before="1"/>
              <w:ind w:left="115"/>
              <w:rPr>
                <w:b/>
                <w:sz w:val="20"/>
              </w:rPr>
            </w:pPr>
            <w:r>
              <w:rPr>
                <w:b/>
                <w:sz w:val="20"/>
              </w:rPr>
              <w:t>res_energy_price</w:t>
            </w:r>
          </w:p>
        </w:tc>
        <w:tc>
          <w:tcPr>
            <w:tcW w:w="1596" w:type="dxa"/>
          </w:tcPr>
          <w:p w14:paraId="6CD34BC7" w14:textId="77777777" w:rsidR="0046798B" w:rsidRDefault="0046798B">
            <w:pPr>
              <w:pStyle w:val="TableParagraph"/>
            </w:pPr>
          </w:p>
          <w:p w14:paraId="010F01EA" w14:textId="77777777" w:rsidR="0046798B" w:rsidRDefault="0046798B">
            <w:pPr>
              <w:pStyle w:val="TableParagraph"/>
            </w:pPr>
          </w:p>
          <w:p w14:paraId="37C921C9" w14:textId="77777777" w:rsidR="0046798B" w:rsidRDefault="0046798B">
            <w:pPr>
              <w:pStyle w:val="TableParagraph"/>
            </w:pPr>
          </w:p>
          <w:p w14:paraId="3A21E334" w14:textId="77777777" w:rsidR="0046798B" w:rsidRDefault="0046798B">
            <w:pPr>
              <w:pStyle w:val="TableParagraph"/>
            </w:pPr>
          </w:p>
          <w:p w14:paraId="41161643" w14:textId="77777777" w:rsidR="0046798B" w:rsidRDefault="0046798B">
            <w:pPr>
              <w:pStyle w:val="TableParagraph"/>
            </w:pPr>
          </w:p>
          <w:p w14:paraId="0760D00D" w14:textId="77777777" w:rsidR="0046798B" w:rsidRDefault="0046798B">
            <w:pPr>
              <w:pStyle w:val="TableParagraph"/>
              <w:spacing w:before="9"/>
              <w:rPr>
                <w:sz w:val="23"/>
              </w:rPr>
            </w:pPr>
          </w:p>
          <w:p w14:paraId="281A2FAE" w14:textId="77777777" w:rsidR="0046798B" w:rsidRDefault="00903B5C">
            <w:pPr>
              <w:pStyle w:val="TableParagraph"/>
              <w:spacing w:before="1"/>
              <w:ind w:left="114" w:right="380"/>
              <w:rPr>
                <w:sz w:val="20"/>
              </w:rPr>
            </w:pPr>
            <w:r>
              <w:rPr>
                <w:sz w:val="20"/>
              </w:rPr>
              <w:t>Residential sector energy price</w:t>
            </w:r>
          </w:p>
        </w:tc>
        <w:tc>
          <w:tcPr>
            <w:tcW w:w="1285" w:type="dxa"/>
          </w:tcPr>
          <w:p w14:paraId="0FA3FF74" w14:textId="77777777" w:rsidR="0046798B" w:rsidRDefault="0046798B">
            <w:pPr>
              <w:pStyle w:val="TableParagraph"/>
            </w:pPr>
          </w:p>
          <w:p w14:paraId="218BC56E" w14:textId="77777777" w:rsidR="0046798B" w:rsidRDefault="0046798B">
            <w:pPr>
              <w:pStyle w:val="TableParagraph"/>
            </w:pPr>
          </w:p>
          <w:p w14:paraId="0A21E0F6" w14:textId="77777777" w:rsidR="0046798B" w:rsidRDefault="0046798B">
            <w:pPr>
              <w:pStyle w:val="TableParagraph"/>
            </w:pPr>
          </w:p>
          <w:p w14:paraId="50BFE23B" w14:textId="77777777" w:rsidR="0046798B" w:rsidRDefault="0046798B">
            <w:pPr>
              <w:pStyle w:val="TableParagraph"/>
            </w:pPr>
          </w:p>
          <w:p w14:paraId="6C56D95B" w14:textId="77777777" w:rsidR="0046798B" w:rsidRDefault="0046798B">
            <w:pPr>
              <w:pStyle w:val="TableParagraph"/>
            </w:pPr>
          </w:p>
          <w:p w14:paraId="5ADD75C9" w14:textId="77777777" w:rsidR="0046798B" w:rsidRDefault="0046798B">
            <w:pPr>
              <w:pStyle w:val="TableParagraph"/>
            </w:pPr>
          </w:p>
          <w:p w14:paraId="7CFC986D" w14:textId="77777777" w:rsidR="0046798B" w:rsidRDefault="0046798B">
            <w:pPr>
              <w:pStyle w:val="TableParagraph"/>
              <w:spacing w:before="9"/>
              <w:rPr>
                <w:sz w:val="21"/>
              </w:rPr>
            </w:pPr>
          </w:p>
          <w:p w14:paraId="017089D5" w14:textId="77777777" w:rsidR="0046798B" w:rsidRDefault="00903B5C">
            <w:pPr>
              <w:pStyle w:val="TableParagraph"/>
              <w:spacing w:before="1"/>
              <w:ind w:left="114"/>
              <w:rPr>
                <w:sz w:val="20"/>
              </w:rPr>
            </w:pPr>
            <w:r>
              <w:rPr>
                <w:sz w:val="20"/>
              </w:rPr>
              <w:t>1970–2017</w:t>
            </w:r>
          </w:p>
        </w:tc>
        <w:tc>
          <w:tcPr>
            <w:tcW w:w="3421" w:type="dxa"/>
          </w:tcPr>
          <w:p w14:paraId="55646A26" w14:textId="77777777" w:rsidR="0046798B" w:rsidRDefault="0046798B">
            <w:pPr>
              <w:pStyle w:val="TableParagraph"/>
            </w:pPr>
          </w:p>
          <w:p w14:paraId="08490F5F" w14:textId="77777777" w:rsidR="0046798B" w:rsidRDefault="0046798B">
            <w:pPr>
              <w:pStyle w:val="TableParagraph"/>
            </w:pPr>
          </w:p>
          <w:p w14:paraId="75DF6D1A" w14:textId="77777777" w:rsidR="0046798B" w:rsidRDefault="0046798B">
            <w:pPr>
              <w:pStyle w:val="TableParagraph"/>
              <w:spacing w:before="9"/>
              <w:rPr>
                <w:sz w:val="29"/>
              </w:rPr>
            </w:pPr>
          </w:p>
          <w:p w14:paraId="17696420" w14:textId="77777777" w:rsidR="0046798B" w:rsidRDefault="00903B5C">
            <w:pPr>
              <w:pStyle w:val="TableParagraph"/>
              <w:ind w:left="114" w:right="211"/>
              <w:rPr>
                <w:sz w:val="20"/>
              </w:rPr>
            </w:pPr>
            <w:r>
              <w:rPr>
                <w:sz w:val="20"/>
              </w:rPr>
              <w:t>The variable is the state-level total energy average price estimator that considers the ratio of the money directly spent by consumers to purchase energy and the use of energy as a source of heat or power. See calculation method and notes for additional information. (In dollars per million BTU)</w:t>
            </w:r>
          </w:p>
        </w:tc>
        <w:tc>
          <w:tcPr>
            <w:tcW w:w="6302" w:type="dxa"/>
          </w:tcPr>
          <w:p w14:paraId="4132E5D5" w14:textId="77777777" w:rsidR="0046798B" w:rsidRDefault="00903B5C">
            <w:pPr>
              <w:pStyle w:val="TableParagraph"/>
              <w:spacing w:before="43"/>
              <w:ind w:left="114" w:right="1084"/>
              <w:rPr>
                <w:sz w:val="20"/>
              </w:rPr>
            </w:pPr>
            <w:r>
              <w:rPr>
                <w:sz w:val="20"/>
              </w:rPr>
              <w:t xml:space="preserve">Provided by the U.S. Energy Information Administration: </w:t>
            </w:r>
            <w:hyperlink r:id="rId895">
              <w:r>
                <w:rPr>
                  <w:color w:val="0462C1"/>
                  <w:sz w:val="20"/>
                  <w:u w:val="single" w:color="0462C1"/>
                </w:rPr>
                <w:t>https://www.eia.gov/state/seds/seds-data-complete.php?sid=US</w:t>
              </w:r>
            </w:hyperlink>
          </w:p>
          <w:p w14:paraId="58A7FDC9" w14:textId="77777777" w:rsidR="0046798B" w:rsidRDefault="0046798B">
            <w:pPr>
              <w:pStyle w:val="TableParagraph"/>
              <w:rPr>
                <w:sz w:val="20"/>
              </w:rPr>
            </w:pPr>
          </w:p>
          <w:p w14:paraId="3FBFE6F4" w14:textId="77777777" w:rsidR="0046798B" w:rsidRDefault="00903B5C">
            <w:pPr>
              <w:pStyle w:val="TableParagraph"/>
              <w:ind w:left="114" w:right="154"/>
              <w:rPr>
                <w:sz w:val="20"/>
              </w:rPr>
            </w:pPr>
            <w:r>
              <w:rPr>
                <w:sz w:val="20"/>
              </w:rPr>
              <w:t xml:space="preserve">Some data originally provided by Stateminder: A data visualization project from Georgetown University. </w:t>
            </w:r>
            <w:hyperlink r:id="rId896">
              <w:r>
                <w:rPr>
                  <w:sz w:val="20"/>
                </w:rPr>
                <w:t>www.stateminder.org</w:t>
              </w:r>
            </w:hyperlink>
            <w:r>
              <w:rPr>
                <w:sz w:val="20"/>
              </w:rPr>
              <w:t xml:space="preserve"> (no longer accessible online)</w:t>
            </w:r>
          </w:p>
          <w:p w14:paraId="400BFDCD" w14:textId="77777777" w:rsidR="0046798B" w:rsidRDefault="0046798B">
            <w:pPr>
              <w:pStyle w:val="TableParagraph"/>
              <w:spacing w:before="1"/>
              <w:rPr>
                <w:sz w:val="20"/>
              </w:rPr>
            </w:pPr>
          </w:p>
          <w:p w14:paraId="27146F2D" w14:textId="77777777" w:rsidR="0046798B" w:rsidRDefault="00903B5C">
            <w:pPr>
              <w:pStyle w:val="TableParagraph"/>
              <w:ind w:left="114" w:right="98"/>
              <w:rPr>
                <w:sz w:val="20"/>
              </w:rPr>
            </w:pPr>
            <w:r>
              <w:rPr>
                <w:sz w:val="20"/>
              </w:rPr>
              <w:t>Notes: Total energy average price is derived by dividing the total energy total expenditures in the residential sector by the total energy consumed by the residential sector, across each state, and multiplying the result by a thousand. Data is adjusted for process fuel, intermediate products, and fuels with no direct cost. Residential sector is defined as an energy-consuming sector that consists of living quarters for private households. Energy is defined as the capacity for doing work as measured by the capability of doing work (potential energy) or the conversion of this capability to motion (kinetic energy).</w:t>
            </w:r>
          </w:p>
        </w:tc>
      </w:tr>
      <w:tr w:rsidR="0046798B" w14:paraId="40082DA5" w14:textId="77777777">
        <w:trPr>
          <w:trHeight w:val="3536"/>
        </w:trPr>
        <w:tc>
          <w:tcPr>
            <w:tcW w:w="1711" w:type="dxa"/>
          </w:tcPr>
          <w:p w14:paraId="6C146C66" w14:textId="77777777" w:rsidR="0046798B" w:rsidRDefault="0046798B">
            <w:pPr>
              <w:pStyle w:val="TableParagraph"/>
            </w:pPr>
          </w:p>
          <w:p w14:paraId="668F6350" w14:textId="77777777" w:rsidR="0046798B" w:rsidRDefault="0046798B">
            <w:pPr>
              <w:pStyle w:val="TableParagraph"/>
            </w:pPr>
          </w:p>
          <w:p w14:paraId="25E1E163" w14:textId="77777777" w:rsidR="0046798B" w:rsidRDefault="0046798B">
            <w:pPr>
              <w:pStyle w:val="TableParagraph"/>
            </w:pPr>
          </w:p>
          <w:p w14:paraId="659046F7" w14:textId="77777777" w:rsidR="0046798B" w:rsidRDefault="0046798B">
            <w:pPr>
              <w:pStyle w:val="TableParagraph"/>
            </w:pPr>
          </w:p>
          <w:p w14:paraId="6AFF4DD1" w14:textId="77777777" w:rsidR="0046798B" w:rsidRDefault="0046798B">
            <w:pPr>
              <w:pStyle w:val="TableParagraph"/>
            </w:pPr>
          </w:p>
          <w:p w14:paraId="5F592DD4" w14:textId="77777777" w:rsidR="0046798B" w:rsidRDefault="0046798B">
            <w:pPr>
              <w:pStyle w:val="TableParagraph"/>
            </w:pPr>
          </w:p>
          <w:p w14:paraId="7B401539" w14:textId="77777777" w:rsidR="0046798B" w:rsidRDefault="00903B5C">
            <w:pPr>
              <w:pStyle w:val="TableParagraph"/>
              <w:spacing w:before="136"/>
              <w:ind w:left="115"/>
              <w:rPr>
                <w:b/>
                <w:sz w:val="20"/>
              </w:rPr>
            </w:pPr>
            <w:r>
              <w:rPr>
                <w:b/>
                <w:sz w:val="20"/>
              </w:rPr>
              <w:t>co2emissions</w:t>
            </w:r>
          </w:p>
        </w:tc>
        <w:tc>
          <w:tcPr>
            <w:tcW w:w="1596" w:type="dxa"/>
          </w:tcPr>
          <w:p w14:paraId="647B2B88" w14:textId="77777777" w:rsidR="0046798B" w:rsidRDefault="0046798B">
            <w:pPr>
              <w:pStyle w:val="TableParagraph"/>
            </w:pPr>
          </w:p>
          <w:p w14:paraId="6441FC1C" w14:textId="77777777" w:rsidR="0046798B" w:rsidRDefault="0046798B">
            <w:pPr>
              <w:pStyle w:val="TableParagraph"/>
            </w:pPr>
          </w:p>
          <w:p w14:paraId="5271BA1A" w14:textId="77777777" w:rsidR="0046798B" w:rsidRDefault="0046798B">
            <w:pPr>
              <w:pStyle w:val="TableParagraph"/>
            </w:pPr>
          </w:p>
          <w:p w14:paraId="6FFD61EA" w14:textId="77777777" w:rsidR="0046798B" w:rsidRDefault="0046798B">
            <w:pPr>
              <w:pStyle w:val="TableParagraph"/>
            </w:pPr>
          </w:p>
          <w:p w14:paraId="66A2527B" w14:textId="77777777" w:rsidR="0046798B" w:rsidRDefault="0046798B">
            <w:pPr>
              <w:pStyle w:val="TableParagraph"/>
              <w:spacing w:before="9"/>
              <w:rPr>
                <w:sz w:val="25"/>
              </w:rPr>
            </w:pPr>
          </w:p>
          <w:p w14:paraId="7C4317EA" w14:textId="77777777" w:rsidR="0046798B" w:rsidRDefault="00903B5C">
            <w:pPr>
              <w:pStyle w:val="TableParagraph"/>
              <w:ind w:left="114" w:right="224"/>
              <w:rPr>
                <w:sz w:val="20"/>
              </w:rPr>
            </w:pPr>
            <w:r>
              <w:rPr>
                <w:sz w:val="20"/>
              </w:rPr>
              <w:t>Total CO</w:t>
            </w:r>
            <w:r>
              <w:rPr>
                <w:sz w:val="13"/>
              </w:rPr>
              <w:t xml:space="preserve">2 </w:t>
            </w:r>
            <w:r>
              <w:rPr>
                <w:sz w:val="20"/>
              </w:rPr>
              <w:t>emissions from fossil fuels (in metric tons)</w:t>
            </w:r>
          </w:p>
        </w:tc>
        <w:tc>
          <w:tcPr>
            <w:tcW w:w="1285" w:type="dxa"/>
          </w:tcPr>
          <w:p w14:paraId="34F9670B" w14:textId="77777777" w:rsidR="0046798B" w:rsidRDefault="0046798B">
            <w:pPr>
              <w:pStyle w:val="TableParagraph"/>
            </w:pPr>
          </w:p>
          <w:p w14:paraId="5EF2CE5C" w14:textId="77777777" w:rsidR="0046798B" w:rsidRDefault="0046798B">
            <w:pPr>
              <w:pStyle w:val="TableParagraph"/>
            </w:pPr>
          </w:p>
          <w:p w14:paraId="23E3968F" w14:textId="77777777" w:rsidR="0046798B" w:rsidRDefault="0046798B">
            <w:pPr>
              <w:pStyle w:val="TableParagraph"/>
            </w:pPr>
          </w:p>
          <w:p w14:paraId="6D13BE71" w14:textId="77777777" w:rsidR="0046798B" w:rsidRDefault="0046798B">
            <w:pPr>
              <w:pStyle w:val="TableParagraph"/>
            </w:pPr>
          </w:p>
          <w:p w14:paraId="297DF4BB" w14:textId="77777777" w:rsidR="0046798B" w:rsidRDefault="0046798B">
            <w:pPr>
              <w:pStyle w:val="TableParagraph"/>
            </w:pPr>
          </w:p>
          <w:p w14:paraId="60227130" w14:textId="77777777" w:rsidR="0046798B" w:rsidRDefault="0046798B">
            <w:pPr>
              <w:pStyle w:val="TableParagraph"/>
              <w:spacing w:before="9"/>
              <w:rPr>
                <w:sz w:val="23"/>
              </w:rPr>
            </w:pPr>
          </w:p>
          <w:p w14:paraId="245D34AD" w14:textId="77777777" w:rsidR="0046798B" w:rsidRDefault="00903B5C">
            <w:pPr>
              <w:pStyle w:val="TableParagraph"/>
              <w:spacing w:before="1"/>
              <w:ind w:left="114"/>
              <w:rPr>
                <w:sz w:val="20"/>
              </w:rPr>
            </w:pPr>
            <w:r>
              <w:rPr>
                <w:sz w:val="20"/>
              </w:rPr>
              <w:t>1960–2001;</w:t>
            </w:r>
          </w:p>
          <w:p w14:paraId="26BA9C74" w14:textId="77777777" w:rsidR="0046798B" w:rsidRDefault="00903B5C">
            <w:pPr>
              <w:pStyle w:val="TableParagraph"/>
              <w:ind w:left="114"/>
              <w:rPr>
                <w:sz w:val="20"/>
              </w:rPr>
            </w:pPr>
            <w:r>
              <w:rPr>
                <w:sz w:val="20"/>
              </w:rPr>
              <w:t>2005–2016</w:t>
            </w:r>
          </w:p>
        </w:tc>
        <w:tc>
          <w:tcPr>
            <w:tcW w:w="3421" w:type="dxa"/>
          </w:tcPr>
          <w:p w14:paraId="6010CC2E" w14:textId="77777777" w:rsidR="0046798B" w:rsidRDefault="0046798B">
            <w:pPr>
              <w:pStyle w:val="TableParagraph"/>
            </w:pPr>
          </w:p>
          <w:p w14:paraId="7F75E9D5" w14:textId="77777777" w:rsidR="0046798B" w:rsidRDefault="0046798B">
            <w:pPr>
              <w:pStyle w:val="TableParagraph"/>
              <w:spacing w:before="9"/>
              <w:rPr>
                <w:sz w:val="31"/>
              </w:rPr>
            </w:pPr>
          </w:p>
          <w:p w14:paraId="69988A83" w14:textId="77777777" w:rsidR="0046798B" w:rsidRDefault="00903B5C">
            <w:pPr>
              <w:pStyle w:val="TableParagraph"/>
              <w:ind w:left="114" w:right="127"/>
              <w:rPr>
                <w:sz w:val="20"/>
              </w:rPr>
            </w:pPr>
            <w:r>
              <w:rPr>
                <w:sz w:val="20"/>
              </w:rPr>
              <w:t>For 1960–2001: Original data was only the amount of carbon (C) and calculation has been done to convert carbon into carbon dioxide (CO</w:t>
            </w:r>
            <w:r>
              <w:rPr>
                <w:sz w:val="13"/>
              </w:rPr>
              <w:t>2</w:t>
            </w:r>
            <w:r>
              <w:rPr>
                <w:sz w:val="20"/>
              </w:rPr>
              <w:t>): To convert to carbon dioxide, multiply by 44/12 (= 3.67).</w:t>
            </w:r>
          </w:p>
          <w:p w14:paraId="1C06A06E" w14:textId="77777777" w:rsidR="0046798B" w:rsidRDefault="0046798B">
            <w:pPr>
              <w:pStyle w:val="TableParagraph"/>
              <w:rPr>
                <w:sz w:val="20"/>
              </w:rPr>
            </w:pPr>
          </w:p>
          <w:p w14:paraId="45455176" w14:textId="77777777" w:rsidR="0046798B" w:rsidRDefault="00903B5C">
            <w:pPr>
              <w:pStyle w:val="TableParagraph"/>
              <w:spacing w:before="1"/>
              <w:ind w:left="114" w:right="238"/>
              <w:rPr>
                <w:sz w:val="20"/>
              </w:rPr>
            </w:pPr>
            <w:r>
              <w:rPr>
                <w:sz w:val="20"/>
              </w:rPr>
              <w:t>For 2005–2016: values are a state’s total yearly carbon dioxide emissions, unadjusted, in million metric tons</w:t>
            </w:r>
          </w:p>
        </w:tc>
        <w:tc>
          <w:tcPr>
            <w:tcW w:w="6302" w:type="dxa"/>
          </w:tcPr>
          <w:p w14:paraId="0F52E9DF" w14:textId="77777777" w:rsidR="0046798B" w:rsidRDefault="00903B5C">
            <w:pPr>
              <w:pStyle w:val="TableParagraph"/>
              <w:spacing w:before="43"/>
              <w:ind w:left="114" w:right="123"/>
              <w:rPr>
                <w:sz w:val="20"/>
              </w:rPr>
            </w:pPr>
            <w:r>
              <w:rPr>
                <w:sz w:val="20"/>
              </w:rPr>
              <w:t>Blasing, T.J., C.T. Broniak, and G. Marland. 2004. Estimates of Annual Fossil-Fuel CO</w:t>
            </w:r>
            <w:r>
              <w:rPr>
                <w:sz w:val="13"/>
              </w:rPr>
              <w:t xml:space="preserve">2 </w:t>
            </w:r>
            <w:r>
              <w:rPr>
                <w:sz w:val="20"/>
              </w:rPr>
              <w:t>Emitted for Each State in the U.S.A. and the District of Columbia for Each Year from 1960 through 2001. Carbon Dioxide Information Analysis Center, Oak Ridge National Laboratory, U.S. Department of Energy, Oak Ridge, TN, U.S.A. doi 10.3334/CDIAC/00003.</w:t>
            </w:r>
          </w:p>
          <w:p w14:paraId="7AE2C6DB" w14:textId="77777777" w:rsidR="0046798B" w:rsidRDefault="0046798B">
            <w:pPr>
              <w:pStyle w:val="TableParagraph"/>
              <w:spacing w:before="1"/>
              <w:rPr>
                <w:sz w:val="20"/>
              </w:rPr>
            </w:pPr>
          </w:p>
          <w:p w14:paraId="68F3BE43" w14:textId="77777777" w:rsidR="0046798B" w:rsidRDefault="00797354">
            <w:pPr>
              <w:pStyle w:val="TableParagraph"/>
              <w:ind w:left="114"/>
              <w:rPr>
                <w:sz w:val="20"/>
              </w:rPr>
            </w:pPr>
            <w:hyperlink r:id="rId897">
              <w:r w:rsidR="00903B5C">
                <w:rPr>
                  <w:sz w:val="20"/>
                  <w:u w:val="single"/>
                </w:rPr>
                <w:t>http://cdiac.ornl.gov/ftp/trends/emis_mon/stateemis/percapbystate.csv</w:t>
              </w:r>
            </w:hyperlink>
          </w:p>
          <w:p w14:paraId="69D6F02C" w14:textId="77777777" w:rsidR="0046798B" w:rsidRDefault="0046798B">
            <w:pPr>
              <w:pStyle w:val="TableParagraph"/>
              <w:rPr>
                <w:sz w:val="20"/>
              </w:rPr>
            </w:pPr>
          </w:p>
          <w:p w14:paraId="75C8AE09" w14:textId="77777777" w:rsidR="0046798B" w:rsidRDefault="00903B5C">
            <w:pPr>
              <w:pStyle w:val="TableParagraph"/>
              <w:ind w:left="114" w:right="177"/>
              <w:rPr>
                <w:sz w:val="20"/>
              </w:rPr>
            </w:pPr>
            <w:r>
              <w:rPr>
                <w:sz w:val="20"/>
              </w:rPr>
              <w:t xml:space="preserve">Originally provided by Stateminder: A data visualization project from Georgetown University. </w:t>
            </w:r>
            <w:hyperlink r:id="rId898">
              <w:r>
                <w:rPr>
                  <w:sz w:val="20"/>
                </w:rPr>
                <w:t>www.stateminder.org</w:t>
              </w:r>
            </w:hyperlink>
            <w:r>
              <w:rPr>
                <w:sz w:val="20"/>
              </w:rPr>
              <w:t xml:space="preserve"> (no longer accessible online)</w:t>
            </w:r>
          </w:p>
          <w:p w14:paraId="2EC9783F" w14:textId="77777777" w:rsidR="0046798B" w:rsidRDefault="0046798B">
            <w:pPr>
              <w:pStyle w:val="TableParagraph"/>
              <w:rPr>
                <w:sz w:val="20"/>
              </w:rPr>
            </w:pPr>
          </w:p>
          <w:p w14:paraId="0216CECD" w14:textId="77777777" w:rsidR="0046798B" w:rsidRDefault="00903B5C">
            <w:pPr>
              <w:pStyle w:val="TableParagraph"/>
              <w:spacing w:before="1"/>
              <w:ind w:left="114" w:right="131"/>
              <w:rPr>
                <w:sz w:val="20"/>
              </w:rPr>
            </w:pPr>
            <w:r>
              <w:rPr>
                <w:sz w:val="20"/>
              </w:rPr>
              <w:t>U.S. Energy Information Administration. “Energy-Related Carbon Dioxide Emissions by State, 2005–2016.”</w:t>
            </w:r>
            <w:r>
              <w:rPr>
                <w:color w:val="0462C1"/>
                <w:sz w:val="20"/>
                <w:u w:val="single" w:color="0462C1"/>
              </w:rPr>
              <w:t xml:space="preserve"> </w:t>
            </w:r>
            <w:hyperlink r:id="rId899">
              <w:r>
                <w:rPr>
                  <w:color w:val="0462C1"/>
                  <w:sz w:val="20"/>
                  <w:u w:val="single" w:color="0462C1"/>
                </w:rPr>
                <w:t>https://www.eia.gov/environment/emissions/state/analysis/</w:t>
              </w:r>
            </w:hyperlink>
          </w:p>
        </w:tc>
      </w:tr>
      <w:tr w:rsidR="0046798B" w14:paraId="68878132" w14:textId="77777777">
        <w:trPr>
          <w:trHeight w:val="775"/>
        </w:trPr>
        <w:tc>
          <w:tcPr>
            <w:tcW w:w="1711" w:type="dxa"/>
          </w:tcPr>
          <w:p w14:paraId="14CBDC00" w14:textId="77777777" w:rsidR="0046798B" w:rsidRDefault="00903B5C">
            <w:pPr>
              <w:pStyle w:val="TableParagraph"/>
              <w:spacing w:before="158"/>
              <w:ind w:left="115" w:right="177"/>
              <w:rPr>
                <w:b/>
                <w:sz w:val="20"/>
              </w:rPr>
            </w:pPr>
            <w:r>
              <w:rPr>
                <w:b/>
                <w:sz w:val="20"/>
              </w:rPr>
              <w:t>energy_efficienc y_rank</w:t>
            </w:r>
          </w:p>
        </w:tc>
        <w:tc>
          <w:tcPr>
            <w:tcW w:w="1596" w:type="dxa"/>
          </w:tcPr>
          <w:p w14:paraId="6BC3BA4C" w14:textId="77777777" w:rsidR="0046798B" w:rsidRDefault="00903B5C">
            <w:pPr>
              <w:pStyle w:val="TableParagraph"/>
              <w:spacing w:before="43"/>
              <w:ind w:left="114" w:right="141"/>
              <w:rPr>
                <w:sz w:val="20"/>
              </w:rPr>
            </w:pPr>
            <w:r>
              <w:rPr>
                <w:sz w:val="20"/>
              </w:rPr>
              <w:t>State ranking by energy efficiency</w:t>
            </w:r>
          </w:p>
        </w:tc>
        <w:tc>
          <w:tcPr>
            <w:tcW w:w="1285" w:type="dxa"/>
          </w:tcPr>
          <w:p w14:paraId="4ECEEEB1" w14:textId="77777777" w:rsidR="0046798B" w:rsidRDefault="0046798B">
            <w:pPr>
              <w:pStyle w:val="TableParagraph"/>
              <w:spacing w:before="9"/>
              <w:rPr>
                <w:sz w:val="23"/>
              </w:rPr>
            </w:pPr>
          </w:p>
          <w:p w14:paraId="73A7EA84" w14:textId="77777777" w:rsidR="0046798B" w:rsidRDefault="00903B5C">
            <w:pPr>
              <w:pStyle w:val="TableParagraph"/>
              <w:ind w:left="114"/>
              <w:rPr>
                <w:sz w:val="20"/>
              </w:rPr>
            </w:pPr>
            <w:r>
              <w:rPr>
                <w:sz w:val="20"/>
              </w:rPr>
              <w:t>2017</w:t>
            </w:r>
          </w:p>
        </w:tc>
        <w:tc>
          <w:tcPr>
            <w:tcW w:w="3421" w:type="dxa"/>
          </w:tcPr>
          <w:p w14:paraId="0BDCD194" w14:textId="77777777" w:rsidR="0046798B" w:rsidRDefault="00903B5C">
            <w:pPr>
              <w:pStyle w:val="TableParagraph"/>
              <w:spacing w:before="158"/>
              <w:ind w:left="114" w:right="322"/>
              <w:rPr>
                <w:sz w:val="20"/>
              </w:rPr>
            </w:pPr>
            <w:r>
              <w:rPr>
                <w:sz w:val="20"/>
              </w:rPr>
              <w:t>Ranking of the state based on energy efficiency scorecard</w:t>
            </w:r>
          </w:p>
        </w:tc>
        <w:tc>
          <w:tcPr>
            <w:tcW w:w="6302" w:type="dxa"/>
          </w:tcPr>
          <w:p w14:paraId="3160C58D" w14:textId="77777777" w:rsidR="0046798B" w:rsidRDefault="00903B5C">
            <w:pPr>
              <w:pStyle w:val="TableParagraph"/>
              <w:spacing w:before="158"/>
              <w:ind w:left="114" w:right="149"/>
              <w:rPr>
                <w:sz w:val="20"/>
              </w:rPr>
            </w:pPr>
            <w:r>
              <w:rPr>
                <w:sz w:val="20"/>
              </w:rPr>
              <w:t xml:space="preserve">American Council for an Energy-Efficient Economy. 2017. “The 2017 State Energy Efficiency Scorecard.” </w:t>
            </w:r>
            <w:hyperlink r:id="rId900">
              <w:r>
                <w:rPr>
                  <w:sz w:val="20"/>
                  <w:u w:val="single"/>
                </w:rPr>
                <w:t>http://aceee.org/research-report/u1710</w:t>
              </w:r>
            </w:hyperlink>
          </w:p>
        </w:tc>
      </w:tr>
      <w:tr w:rsidR="0046798B" w14:paraId="506BDF69" w14:textId="77777777">
        <w:trPr>
          <w:trHeight w:val="550"/>
        </w:trPr>
        <w:tc>
          <w:tcPr>
            <w:tcW w:w="1711" w:type="dxa"/>
          </w:tcPr>
          <w:p w14:paraId="3174463D" w14:textId="77777777" w:rsidR="0046798B" w:rsidRDefault="00903B5C">
            <w:pPr>
              <w:pStyle w:val="TableParagraph"/>
              <w:spacing w:before="43"/>
              <w:ind w:left="115" w:right="177"/>
              <w:rPr>
                <w:b/>
                <w:sz w:val="20"/>
              </w:rPr>
            </w:pPr>
            <w:r>
              <w:rPr>
                <w:b/>
                <w:sz w:val="20"/>
              </w:rPr>
              <w:t>energy_efficienc y_score</w:t>
            </w:r>
          </w:p>
        </w:tc>
        <w:tc>
          <w:tcPr>
            <w:tcW w:w="1596" w:type="dxa"/>
          </w:tcPr>
          <w:p w14:paraId="54B75B4A" w14:textId="77777777" w:rsidR="0046798B" w:rsidRDefault="00903B5C">
            <w:pPr>
              <w:pStyle w:val="TableParagraph"/>
              <w:spacing w:before="43"/>
              <w:ind w:left="114" w:right="180"/>
              <w:rPr>
                <w:sz w:val="20"/>
              </w:rPr>
            </w:pPr>
            <w:r>
              <w:rPr>
                <w:sz w:val="20"/>
              </w:rPr>
              <w:t>State energy efficiency score</w:t>
            </w:r>
          </w:p>
        </w:tc>
        <w:tc>
          <w:tcPr>
            <w:tcW w:w="1285" w:type="dxa"/>
          </w:tcPr>
          <w:p w14:paraId="19360A84" w14:textId="77777777" w:rsidR="0046798B" w:rsidRDefault="00903B5C">
            <w:pPr>
              <w:pStyle w:val="TableParagraph"/>
              <w:spacing w:before="158"/>
              <w:ind w:left="114"/>
              <w:rPr>
                <w:sz w:val="20"/>
              </w:rPr>
            </w:pPr>
            <w:r>
              <w:rPr>
                <w:sz w:val="20"/>
              </w:rPr>
              <w:t>2017</w:t>
            </w:r>
          </w:p>
        </w:tc>
        <w:tc>
          <w:tcPr>
            <w:tcW w:w="3421" w:type="dxa"/>
          </w:tcPr>
          <w:p w14:paraId="493E1B41" w14:textId="77777777" w:rsidR="0046798B" w:rsidRDefault="00903B5C">
            <w:pPr>
              <w:pStyle w:val="TableParagraph"/>
              <w:spacing w:before="43"/>
              <w:ind w:left="114" w:right="228"/>
              <w:rPr>
                <w:sz w:val="20"/>
              </w:rPr>
            </w:pPr>
            <w:r>
              <w:rPr>
                <w:sz w:val="20"/>
              </w:rPr>
              <w:t>Score from the state energy efficiency scorecard</w:t>
            </w:r>
          </w:p>
        </w:tc>
        <w:tc>
          <w:tcPr>
            <w:tcW w:w="6302" w:type="dxa"/>
          </w:tcPr>
          <w:p w14:paraId="6EA87A61" w14:textId="77777777" w:rsidR="0046798B" w:rsidRDefault="00903B5C">
            <w:pPr>
              <w:pStyle w:val="TableParagraph"/>
              <w:spacing w:before="43"/>
              <w:ind w:left="114" w:right="149"/>
              <w:rPr>
                <w:sz w:val="20"/>
              </w:rPr>
            </w:pPr>
            <w:r>
              <w:rPr>
                <w:sz w:val="20"/>
              </w:rPr>
              <w:t xml:space="preserve">American Council for an Energy-Efficient Economy. 2017. “The 2017 State Energy Efficiency Scorecard.” </w:t>
            </w:r>
            <w:hyperlink r:id="rId901">
              <w:r>
                <w:rPr>
                  <w:sz w:val="20"/>
                  <w:u w:val="single"/>
                </w:rPr>
                <w:t>http://aceee.org/research-report/u1710</w:t>
              </w:r>
            </w:hyperlink>
          </w:p>
        </w:tc>
      </w:tr>
    </w:tbl>
    <w:p w14:paraId="5566A8DE" w14:textId="77777777" w:rsidR="0046798B" w:rsidRDefault="0046798B">
      <w:pPr>
        <w:rPr>
          <w:sz w:val="20"/>
        </w:rPr>
        <w:sectPr w:rsidR="0046798B">
          <w:pgSz w:w="15840" w:h="12240" w:orient="landscape"/>
          <w:pgMar w:top="1220" w:right="300" w:bottom="980" w:left="820" w:header="730" w:footer="787" w:gutter="0"/>
          <w:cols w:space="720"/>
        </w:sectPr>
      </w:pPr>
    </w:p>
    <w:p w14:paraId="5E6931CD"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302"/>
      </w:tblGrid>
      <w:tr w:rsidR="0046798B" w14:paraId="69E5FC82" w14:textId="77777777">
        <w:trPr>
          <w:trHeight w:val="775"/>
        </w:trPr>
        <w:tc>
          <w:tcPr>
            <w:tcW w:w="1711" w:type="dxa"/>
          </w:tcPr>
          <w:p w14:paraId="04A8678F" w14:textId="77777777" w:rsidR="0046798B" w:rsidRDefault="0046798B">
            <w:pPr>
              <w:pStyle w:val="TableParagraph"/>
              <w:spacing w:before="9"/>
              <w:rPr>
                <w:sz w:val="23"/>
              </w:rPr>
            </w:pPr>
          </w:p>
          <w:p w14:paraId="4B998382" w14:textId="77777777" w:rsidR="0046798B" w:rsidRDefault="00903B5C">
            <w:pPr>
              <w:pStyle w:val="TableParagraph"/>
              <w:ind w:left="115"/>
              <w:rPr>
                <w:b/>
                <w:sz w:val="20"/>
              </w:rPr>
            </w:pPr>
            <w:r>
              <w:rPr>
                <w:b/>
                <w:sz w:val="20"/>
              </w:rPr>
              <w:t>fgastax1</w:t>
            </w:r>
          </w:p>
        </w:tc>
        <w:tc>
          <w:tcPr>
            <w:tcW w:w="1596" w:type="dxa"/>
          </w:tcPr>
          <w:p w14:paraId="5B56F2A8" w14:textId="77777777" w:rsidR="0046798B" w:rsidRDefault="00903B5C">
            <w:pPr>
              <w:pStyle w:val="TableParagraph"/>
              <w:spacing w:before="43"/>
              <w:ind w:left="114" w:right="97"/>
              <w:rPr>
                <w:sz w:val="20"/>
              </w:rPr>
            </w:pPr>
            <w:r>
              <w:rPr>
                <w:sz w:val="20"/>
              </w:rPr>
              <w:t>Gasoline tax rate per gallon in dollars</w:t>
            </w:r>
          </w:p>
        </w:tc>
        <w:tc>
          <w:tcPr>
            <w:tcW w:w="1285" w:type="dxa"/>
          </w:tcPr>
          <w:p w14:paraId="31A80E78" w14:textId="77777777" w:rsidR="0046798B" w:rsidRDefault="0046798B">
            <w:pPr>
              <w:pStyle w:val="TableParagraph"/>
              <w:spacing w:before="9"/>
              <w:rPr>
                <w:sz w:val="23"/>
              </w:rPr>
            </w:pPr>
          </w:p>
          <w:p w14:paraId="173FD99A" w14:textId="77777777" w:rsidR="0046798B" w:rsidRDefault="00903B5C">
            <w:pPr>
              <w:pStyle w:val="TableParagraph"/>
              <w:ind w:left="114"/>
              <w:rPr>
                <w:sz w:val="20"/>
              </w:rPr>
            </w:pPr>
            <w:r>
              <w:rPr>
                <w:sz w:val="20"/>
              </w:rPr>
              <w:t>2000–2013</w:t>
            </w:r>
          </w:p>
        </w:tc>
        <w:tc>
          <w:tcPr>
            <w:tcW w:w="3421" w:type="dxa"/>
          </w:tcPr>
          <w:p w14:paraId="078BB1C8" w14:textId="77777777" w:rsidR="0046798B" w:rsidRDefault="00903B5C">
            <w:pPr>
              <w:pStyle w:val="TableParagraph"/>
              <w:spacing w:before="43"/>
              <w:ind w:left="114" w:right="216"/>
              <w:rPr>
                <w:sz w:val="20"/>
              </w:rPr>
            </w:pPr>
            <w:r>
              <w:rPr>
                <w:sz w:val="20"/>
              </w:rPr>
              <w:t>Gasoline tax rate per gallon in dollars, including sales, excise, storage, and franchise taxes</w:t>
            </w:r>
          </w:p>
        </w:tc>
        <w:tc>
          <w:tcPr>
            <w:tcW w:w="6302" w:type="dxa"/>
          </w:tcPr>
          <w:p w14:paraId="152FE80D"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2AB0DE3" w14:textId="77777777">
        <w:trPr>
          <w:trHeight w:val="775"/>
        </w:trPr>
        <w:tc>
          <w:tcPr>
            <w:tcW w:w="1711" w:type="dxa"/>
          </w:tcPr>
          <w:p w14:paraId="3714F380" w14:textId="77777777" w:rsidR="0046798B" w:rsidRDefault="0046798B">
            <w:pPr>
              <w:pStyle w:val="TableParagraph"/>
              <w:spacing w:before="8"/>
              <w:rPr>
                <w:sz w:val="23"/>
              </w:rPr>
            </w:pPr>
          </w:p>
          <w:p w14:paraId="39CE3B09" w14:textId="77777777" w:rsidR="0046798B" w:rsidRDefault="00903B5C">
            <w:pPr>
              <w:pStyle w:val="TableParagraph"/>
              <w:spacing w:before="1"/>
              <w:ind w:left="115"/>
              <w:rPr>
                <w:b/>
                <w:sz w:val="20"/>
              </w:rPr>
            </w:pPr>
            <w:r>
              <w:rPr>
                <w:b/>
                <w:sz w:val="20"/>
              </w:rPr>
              <w:t>frps</w:t>
            </w:r>
          </w:p>
        </w:tc>
        <w:tc>
          <w:tcPr>
            <w:tcW w:w="1596" w:type="dxa"/>
          </w:tcPr>
          <w:p w14:paraId="37BB9153" w14:textId="77777777" w:rsidR="0046798B" w:rsidRDefault="00903B5C">
            <w:pPr>
              <w:pStyle w:val="TableParagraph"/>
              <w:spacing w:before="43"/>
              <w:ind w:left="114" w:right="280"/>
              <w:rPr>
                <w:sz w:val="20"/>
              </w:rPr>
            </w:pPr>
            <w:r>
              <w:rPr>
                <w:sz w:val="20"/>
              </w:rPr>
              <w:t>Renewable portfolio standard index</w:t>
            </w:r>
          </w:p>
        </w:tc>
        <w:tc>
          <w:tcPr>
            <w:tcW w:w="1285" w:type="dxa"/>
          </w:tcPr>
          <w:p w14:paraId="31C2FAD0" w14:textId="77777777" w:rsidR="0046798B" w:rsidRDefault="0046798B">
            <w:pPr>
              <w:pStyle w:val="TableParagraph"/>
              <w:spacing w:before="8"/>
              <w:rPr>
                <w:sz w:val="23"/>
              </w:rPr>
            </w:pPr>
          </w:p>
          <w:p w14:paraId="201CD95A" w14:textId="77777777" w:rsidR="0046798B" w:rsidRDefault="00903B5C">
            <w:pPr>
              <w:pStyle w:val="TableParagraph"/>
              <w:spacing w:before="1"/>
              <w:ind w:left="114"/>
              <w:rPr>
                <w:sz w:val="20"/>
              </w:rPr>
            </w:pPr>
            <w:r>
              <w:rPr>
                <w:sz w:val="20"/>
              </w:rPr>
              <w:t>2000–2016</w:t>
            </w:r>
          </w:p>
        </w:tc>
        <w:tc>
          <w:tcPr>
            <w:tcW w:w="3421" w:type="dxa"/>
          </w:tcPr>
          <w:p w14:paraId="0DCB18BB" w14:textId="77777777" w:rsidR="0046798B" w:rsidRDefault="00903B5C">
            <w:pPr>
              <w:pStyle w:val="TableParagraph"/>
              <w:spacing w:before="158"/>
              <w:ind w:left="114" w:right="416"/>
              <w:rPr>
                <w:sz w:val="20"/>
              </w:rPr>
            </w:pPr>
            <w:r>
              <w:rPr>
                <w:sz w:val="20"/>
              </w:rPr>
              <w:t>Renewable portfolio standard index (frenew * frpsexc)</w:t>
            </w:r>
          </w:p>
        </w:tc>
        <w:tc>
          <w:tcPr>
            <w:tcW w:w="6302" w:type="dxa"/>
          </w:tcPr>
          <w:p w14:paraId="438078E7"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84AEC7D" w14:textId="77777777">
        <w:trPr>
          <w:trHeight w:val="780"/>
        </w:trPr>
        <w:tc>
          <w:tcPr>
            <w:tcW w:w="1711" w:type="dxa"/>
          </w:tcPr>
          <w:p w14:paraId="67407A61" w14:textId="77777777" w:rsidR="0046798B" w:rsidRDefault="0046798B">
            <w:pPr>
              <w:pStyle w:val="TableParagraph"/>
              <w:spacing w:before="9"/>
              <w:rPr>
                <w:sz w:val="23"/>
              </w:rPr>
            </w:pPr>
          </w:p>
          <w:p w14:paraId="2FA3CEEE" w14:textId="77777777" w:rsidR="0046798B" w:rsidRDefault="00903B5C">
            <w:pPr>
              <w:pStyle w:val="TableParagraph"/>
              <w:ind w:left="115"/>
              <w:rPr>
                <w:b/>
                <w:sz w:val="20"/>
              </w:rPr>
            </w:pPr>
            <w:r>
              <w:rPr>
                <w:b/>
                <w:sz w:val="20"/>
              </w:rPr>
              <w:t>findex</w:t>
            </w:r>
          </w:p>
        </w:tc>
        <w:tc>
          <w:tcPr>
            <w:tcW w:w="1596" w:type="dxa"/>
          </w:tcPr>
          <w:p w14:paraId="3A464552" w14:textId="77777777" w:rsidR="0046798B" w:rsidRDefault="00903B5C">
            <w:pPr>
              <w:pStyle w:val="TableParagraph"/>
              <w:spacing w:before="159"/>
              <w:ind w:left="114" w:right="124"/>
              <w:rPr>
                <w:sz w:val="20"/>
              </w:rPr>
            </w:pPr>
            <w:r>
              <w:rPr>
                <w:sz w:val="20"/>
              </w:rPr>
              <w:t>Eminent domain reform index</w:t>
            </w:r>
          </w:p>
        </w:tc>
        <w:tc>
          <w:tcPr>
            <w:tcW w:w="1285" w:type="dxa"/>
          </w:tcPr>
          <w:p w14:paraId="34DE31DB" w14:textId="77777777" w:rsidR="0046798B" w:rsidRDefault="0046798B">
            <w:pPr>
              <w:pStyle w:val="TableParagraph"/>
              <w:spacing w:before="9"/>
              <w:rPr>
                <w:sz w:val="23"/>
              </w:rPr>
            </w:pPr>
          </w:p>
          <w:p w14:paraId="4B2B7AF2" w14:textId="77777777" w:rsidR="0046798B" w:rsidRDefault="00903B5C">
            <w:pPr>
              <w:pStyle w:val="TableParagraph"/>
              <w:ind w:left="114"/>
              <w:rPr>
                <w:sz w:val="20"/>
              </w:rPr>
            </w:pPr>
            <w:r>
              <w:rPr>
                <w:sz w:val="20"/>
              </w:rPr>
              <w:t>2000–2016</w:t>
            </w:r>
          </w:p>
        </w:tc>
        <w:tc>
          <w:tcPr>
            <w:tcW w:w="3421" w:type="dxa"/>
          </w:tcPr>
          <w:p w14:paraId="5E186E54" w14:textId="77777777" w:rsidR="0046798B" w:rsidRDefault="00903B5C">
            <w:pPr>
              <w:pStyle w:val="TableParagraph"/>
              <w:spacing w:before="44"/>
              <w:ind w:left="114" w:right="70"/>
              <w:rPr>
                <w:sz w:val="20"/>
              </w:rPr>
            </w:pPr>
            <w:r>
              <w:rPr>
                <w:sz w:val="20"/>
              </w:rPr>
              <w:t>Eminent domain reform index ((mreform + mprivate + mblight) * (1 + (0.5 * mconst)))</w:t>
            </w:r>
          </w:p>
        </w:tc>
        <w:tc>
          <w:tcPr>
            <w:tcW w:w="6302" w:type="dxa"/>
          </w:tcPr>
          <w:p w14:paraId="6A4D733D" w14:textId="77777777" w:rsidR="0046798B" w:rsidRDefault="00903B5C">
            <w:pPr>
              <w:pStyle w:val="TableParagraph"/>
              <w:spacing w:before="44"/>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437D7B4" w14:textId="77777777">
        <w:trPr>
          <w:trHeight w:val="1465"/>
        </w:trPr>
        <w:tc>
          <w:tcPr>
            <w:tcW w:w="1711" w:type="dxa"/>
          </w:tcPr>
          <w:p w14:paraId="2D5F3E85" w14:textId="77777777" w:rsidR="0046798B" w:rsidRDefault="0046798B">
            <w:pPr>
              <w:pStyle w:val="TableParagraph"/>
            </w:pPr>
          </w:p>
          <w:p w14:paraId="39EE3641" w14:textId="77777777" w:rsidR="0046798B" w:rsidRDefault="0046798B">
            <w:pPr>
              <w:pStyle w:val="TableParagraph"/>
              <w:spacing w:before="4"/>
              <w:rPr>
                <w:sz w:val="31"/>
              </w:rPr>
            </w:pPr>
          </w:p>
          <w:p w14:paraId="02A42F76" w14:textId="77777777" w:rsidR="0046798B" w:rsidRDefault="00903B5C">
            <w:pPr>
              <w:pStyle w:val="TableParagraph"/>
              <w:ind w:left="115"/>
              <w:rPr>
                <w:b/>
                <w:sz w:val="20"/>
              </w:rPr>
            </w:pPr>
            <w:r>
              <w:rPr>
                <w:b/>
                <w:sz w:val="20"/>
              </w:rPr>
              <w:t>flandum</w:t>
            </w:r>
          </w:p>
        </w:tc>
        <w:tc>
          <w:tcPr>
            <w:tcW w:w="1596" w:type="dxa"/>
          </w:tcPr>
          <w:p w14:paraId="6FBD7F28" w14:textId="77777777" w:rsidR="0046798B" w:rsidRDefault="00903B5C">
            <w:pPr>
              <w:pStyle w:val="TableParagraph"/>
              <w:spacing w:before="38"/>
              <w:ind w:left="114" w:right="108"/>
              <w:rPr>
                <w:sz w:val="20"/>
              </w:rPr>
            </w:pPr>
            <w:r>
              <w:rPr>
                <w:sz w:val="20"/>
              </w:rPr>
              <w:t>State appellate decisions containing phrase “land use,” cumulative from 1/1/1920</w:t>
            </w:r>
          </w:p>
        </w:tc>
        <w:tc>
          <w:tcPr>
            <w:tcW w:w="1285" w:type="dxa"/>
          </w:tcPr>
          <w:p w14:paraId="53C411B3" w14:textId="77777777" w:rsidR="0046798B" w:rsidRDefault="0046798B">
            <w:pPr>
              <w:pStyle w:val="TableParagraph"/>
            </w:pPr>
          </w:p>
          <w:p w14:paraId="23E7EDA6" w14:textId="77777777" w:rsidR="0046798B" w:rsidRDefault="0046798B">
            <w:pPr>
              <w:pStyle w:val="TableParagraph"/>
              <w:spacing w:before="4"/>
              <w:rPr>
                <w:sz w:val="31"/>
              </w:rPr>
            </w:pPr>
          </w:p>
          <w:p w14:paraId="1394C92E" w14:textId="77777777" w:rsidR="0046798B" w:rsidRDefault="00903B5C">
            <w:pPr>
              <w:pStyle w:val="TableParagraph"/>
              <w:ind w:left="114"/>
              <w:rPr>
                <w:sz w:val="20"/>
              </w:rPr>
            </w:pPr>
            <w:r>
              <w:rPr>
                <w:sz w:val="20"/>
              </w:rPr>
              <w:t>2000–2016</w:t>
            </w:r>
          </w:p>
        </w:tc>
        <w:tc>
          <w:tcPr>
            <w:tcW w:w="3421" w:type="dxa"/>
          </w:tcPr>
          <w:p w14:paraId="4DF6B550" w14:textId="77777777" w:rsidR="0046798B" w:rsidRDefault="0046798B">
            <w:pPr>
              <w:pStyle w:val="TableParagraph"/>
            </w:pPr>
          </w:p>
          <w:p w14:paraId="0C96A278" w14:textId="77777777" w:rsidR="0046798B" w:rsidRDefault="00903B5C">
            <w:pPr>
              <w:pStyle w:val="TableParagraph"/>
              <w:spacing w:before="130"/>
              <w:ind w:left="114" w:right="432"/>
              <w:jc w:val="both"/>
              <w:rPr>
                <w:sz w:val="20"/>
              </w:rPr>
            </w:pPr>
            <w:r>
              <w:rPr>
                <w:sz w:val="20"/>
              </w:rPr>
              <w:t>State appellate decisions containing phrase “land use,” cumulative from 1/1/1920</w:t>
            </w:r>
          </w:p>
        </w:tc>
        <w:tc>
          <w:tcPr>
            <w:tcW w:w="6302" w:type="dxa"/>
          </w:tcPr>
          <w:p w14:paraId="09E3985C" w14:textId="77777777" w:rsidR="0046798B" w:rsidRDefault="0046798B">
            <w:pPr>
              <w:pStyle w:val="TableParagraph"/>
            </w:pPr>
          </w:p>
          <w:p w14:paraId="7B58AED3" w14:textId="77777777" w:rsidR="0046798B" w:rsidRDefault="00903B5C">
            <w:pPr>
              <w:pStyle w:val="TableParagraph"/>
              <w:spacing w:before="130"/>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8AB3A36" w14:textId="77777777">
        <w:trPr>
          <w:trHeight w:val="1005"/>
        </w:trPr>
        <w:tc>
          <w:tcPr>
            <w:tcW w:w="1711" w:type="dxa"/>
          </w:tcPr>
          <w:p w14:paraId="3D5AE264" w14:textId="77777777" w:rsidR="0046798B" w:rsidRDefault="0046798B">
            <w:pPr>
              <w:pStyle w:val="TableParagraph"/>
            </w:pPr>
          </w:p>
          <w:p w14:paraId="62ABF38A" w14:textId="77777777" w:rsidR="0046798B" w:rsidRDefault="00903B5C">
            <w:pPr>
              <w:pStyle w:val="TableParagraph"/>
              <w:spacing w:before="130"/>
              <w:ind w:left="115"/>
              <w:rPr>
                <w:b/>
                <w:sz w:val="20"/>
              </w:rPr>
            </w:pPr>
            <w:r>
              <w:rPr>
                <w:b/>
                <w:sz w:val="20"/>
              </w:rPr>
              <w:t>fwrluri</w:t>
            </w:r>
          </w:p>
        </w:tc>
        <w:tc>
          <w:tcPr>
            <w:tcW w:w="1596" w:type="dxa"/>
          </w:tcPr>
          <w:p w14:paraId="79AACD78" w14:textId="77777777" w:rsidR="0046798B" w:rsidRDefault="00903B5C">
            <w:pPr>
              <w:pStyle w:val="TableParagraph"/>
              <w:spacing w:before="38"/>
              <w:ind w:left="114" w:right="224"/>
              <w:rPr>
                <w:sz w:val="20"/>
              </w:rPr>
            </w:pPr>
            <w:r>
              <w:rPr>
                <w:sz w:val="20"/>
              </w:rPr>
              <w:t>Wharton residential land use regulatory index</w:t>
            </w:r>
          </w:p>
        </w:tc>
        <w:tc>
          <w:tcPr>
            <w:tcW w:w="1285" w:type="dxa"/>
          </w:tcPr>
          <w:p w14:paraId="28997AB8" w14:textId="77777777" w:rsidR="0046798B" w:rsidRDefault="0046798B">
            <w:pPr>
              <w:pStyle w:val="TableParagraph"/>
            </w:pPr>
          </w:p>
          <w:p w14:paraId="23059DB7" w14:textId="77777777" w:rsidR="0046798B" w:rsidRDefault="00903B5C">
            <w:pPr>
              <w:pStyle w:val="TableParagraph"/>
              <w:spacing w:before="130"/>
              <w:ind w:left="114"/>
              <w:rPr>
                <w:sz w:val="20"/>
              </w:rPr>
            </w:pPr>
            <w:r>
              <w:rPr>
                <w:sz w:val="20"/>
              </w:rPr>
              <w:t>2005</w:t>
            </w:r>
          </w:p>
        </w:tc>
        <w:tc>
          <w:tcPr>
            <w:tcW w:w="3421" w:type="dxa"/>
          </w:tcPr>
          <w:p w14:paraId="29804A27" w14:textId="77777777" w:rsidR="0046798B" w:rsidRDefault="0046798B">
            <w:pPr>
              <w:pStyle w:val="TableParagraph"/>
              <w:spacing w:before="4"/>
              <w:rPr>
                <w:sz w:val="23"/>
              </w:rPr>
            </w:pPr>
          </w:p>
          <w:p w14:paraId="39A97763" w14:textId="77777777" w:rsidR="0046798B" w:rsidRDefault="00903B5C">
            <w:pPr>
              <w:pStyle w:val="TableParagraph"/>
              <w:ind w:left="114" w:right="111"/>
              <w:rPr>
                <w:sz w:val="20"/>
              </w:rPr>
            </w:pPr>
            <w:r>
              <w:rPr>
                <w:sz w:val="20"/>
              </w:rPr>
              <w:t>Wharton residential land use regulatory index</w:t>
            </w:r>
          </w:p>
        </w:tc>
        <w:tc>
          <w:tcPr>
            <w:tcW w:w="6302" w:type="dxa"/>
          </w:tcPr>
          <w:p w14:paraId="3555D3CD" w14:textId="77777777" w:rsidR="0046798B" w:rsidRDefault="00903B5C">
            <w:pPr>
              <w:pStyle w:val="TableParagraph"/>
              <w:spacing w:before="153"/>
              <w:ind w:left="114" w:right="9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B40154F" w14:textId="77777777">
        <w:trPr>
          <w:trHeight w:val="775"/>
        </w:trPr>
        <w:tc>
          <w:tcPr>
            <w:tcW w:w="1711" w:type="dxa"/>
          </w:tcPr>
          <w:p w14:paraId="1BE5022F" w14:textId="77777777" w:rsidR="0046798B" w:rsidRDefault="0046798B">
            <w:pPr>
              <w:pStyle w:val="TableParagraph"/>
              <w:spacing w:before="9"/>
              <w:rPr>
                <w:sz w:val="23"/>
              </w:rPr>
            </w:pPr>
          </w:p>
          <w:p w14:paraId="3B919360" w14:textId="77777777" w:rsidR="0046798B" w:rsidRDefault="00903B5C">
            <w:pPr>
              <w:pStyle w:val="TableParagraph"/>
              <w:ind w:left="115"/>
              <w:rPr>
                <w:b/>
                <w:sz w:val="20"/>
              </w:rPr>
            </w:pPr>
            <w:r>
              <w:rPr>
                <w:b/>
                <w:sz w:val="20"/>
              </w:rPr>
              <w:t>fwrlurim</w:t>
            </w:r>
          </w:p>
        </w:tc>
        <w:tc>
          <w:tcPr>
            <w:tcW w:w="1596" w:type="dxa"/>
          </w:tcPr>
          <w:p w14:paraId="5ACF9C98" w14:textId="77777777" w:rsidR="0046798B" w:rsidRDefault="00903B5C">
            <w:pPr>
              <w:pStyle w:val="TableParagraph"/>
              <w:spacing w:before="43"/>
              <w:ind w:left="114" w:right="257"/>
              <w:rPr>
                <w:sz w:val="20"/>
              </w:rPr>
            </w:pPr>
            <w:r>
              <w:rPr>
                <w:sz w:val="20"/>
              </w:rPr>
              <w:t>Model-derived extension of Wharton index</w:t>
            </w:r>
          </w:p>
        </w:tc>
        <w:tc>
          <w:tcPr>
            <w:tcW w:w="1285" w:type="dxa"/>
          </w:tcPr>
          <w:p w14:paraId="69B76170" w14:textId="77777777" w:rsidR="0046798B" w:rsidRDefault="0046798B">
            <w:pPr>
              <w:pStyle w:val="TableParagraph"/>
              <w:spacing w:before="9"/>
              <w:rPr>
                <w:sz w:val="23"/>
              </w:rPr>
            </w:pPr>
          </w:p>
          <w:p w14:paraId="3B21E6F2" w14:textId="77777777" w:rsidR="0046798B" w:rsidRDefault="00903B5C">
            <w:pPr>
              <w:pStyle w:val="TableParagraph"/>
              <w:ind w:left="114"/>
              <w:rPr>
                <w:sz w:val="20"/>
              </w:rPr>
            </w:pPr>
            <w:r>
              <w:rPr>
                <w:sz w:val="20"/>
              </w:rPr>
              <w:t>2000–2013</w:t>
            </w:r>
          </w:p>
        </w:tc>
        <w:tc>
          <w:tcPr>
            <w:tcW w:w="3421" w:type="dxa"/>
          </w:tcPr>
          <w:p w14:paraId="1EA5A2EA" w14:textId="77777777" w:rsidR="0046798B" w:rsidRDefault="00903B5C">
            <w:pPr>
              <w:pStyle w:val="TableParagraph"/>
              <w:spacing w:before="43"/>
              <w:ind w:left="114" w:right="238"/>
              <w:rPr>
                <w:sz w:val="20"/>
              </w:rPr>
            </w:pPr>
            <w:r>
              <w:rPr>
                <w:sz w:val="20"/>
              </w:rPr>
              <w:t>Model-derived extension of fwrluri (based on regression results of fwrluri on various predictors)</w:t>
            </w:r>
          </w:p>
        </w:tc>
        <w:tc>
          <w:tcPr>
            <w:tcW w:w="6302" w:type="dxa"/>
          </w:tcPr>
          <w:p w14:paraId="5367AC0B"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747E6671" w14:textId="77777777" w:rsidR="0046798B" w:rsidRDefault="0046798B">
      <w:pPr>
        <w:rPr>
          <w:sz w:val="20"/>
        </w:rPr>
        <w:sectPr w:rsidR="0046798B">
          <w:pgSz w:w="15840" w:h="12240" w:orient="landscape"/>
          <w:pgMar w:top="1220" w:right="300" w:bottom="980" w:left="820" w:header="730" w:footer="787" w:gutter="0"/>
          <w:cols w:space="720"/>
        </w:sectPr>
      </w:pPr>
    </w:p>
    <w:p w14:paraId="302CE8B9" w14:textId="77777777" w:rsidR="0046798B" w:rsidRDefault="0046798B">
      <w:pPr>
        <w:pStyle w:val="BodyText"/>
        <w:spacing w:before="1"/>
        <w:rPr>
          <w:sz w:val="11"/>
        </w:rPr>
      </w:pPr>
    </w:p>
    <w:p w14:paraId="45E8DBCC" w14:textId="77777777" w:rsidR="0046798B" w:rsidRDefault="00903B5C">
      <w:pPr>
        <w:pStyle w:val="ListParagraph"/>
        <w:numPr>
          <w:ilvl w:val="0"/>
          <w:numId w:val="12"/>
        </w:numPr>
        <w:tabs>
          <w:tab w:val="left" w:pos="5922"/>
        </w:tabs>
        <w:spacing w:before="88"/>
        <w:ind w:left="5922" w:hanging="565"/>
        <w:jc w:val="left"/>
        <w:rPr>
          <w:b/>
          <w:sz w:val="28"/>
        </w:rPr>
      </w:pPr>
      <w:bookmarkStart w:id="22" w:name="XII._Drug_and_Alcohol_Policy"/>
      <w:bookmarkStart w:id="23" w:name="_bookmark11"/>
      <w:bookmarkEnd w:id="22"/>
      <w:bookmarkEnd w:id="23"/>
      <w:r>
        <w:rPr>
          <w:b/>
          <w:sz w:val="28"/>
        </w:rPr>
        <w:t>Drug and Alcohol</w:t>
      </w:r>
      <w:r>
        <w:rPr>
          <w:b/>
          <w:spacing w:val="-2"/>
          <w:sz w:val="28"/>
        </w:rPr>
        <w:t xml:space="preserve"> </w:t>
      </w:r>
      <w:r>
        <w:rPr>
          <w:b/>
          <w:sz w:val="28"/>
        </w:rPr>
        <w:t>Policy</w:t>
      </w:r>
    </w:p>
    <w:p w14:paraId="1144EBBE" w14:textId="77777777" w:rsidR="0046798B" w:rsidRDefault="0046798B">
      <w:pPr>
        <w:pStyle w:val="BodyText"/>
        <w:spacing w:before="7"/>
        <w:rPr>
          <w:b/>
          <w:sz w:val="16"/>
        </w:rPr>
      </w:pPr>
    </w:p>
    <w:p w14:paraId="1C148834" w14:textId="77777777" w:rsidR="0046798B" w:rsidRDefault="00903B5C">
      <w:pPr>
        <w:pStyle w:val="ListParagraph"/>
        <w:numPr>
          <w:ilvl w:val="0"/>
          <w:numId w:val="2"/>
        </w:numPr>
        <w:tabs>
          <w:tab w:val="left" w:pos="916"/>
        </w:tabs>
        <w:spacing w:before="90"/>
        <w:rPr>
          <w:b/>
          <w:sz w:val="24"/>
        </w:rPr>
      </w:pPr>
      <w:r>
        <w:rPr>
          <w:b/>
          <w:sz w:val="24"/>
          <w:u w:val="single"/>
        </w:rPr>
        <w:t>Drug, Alcohol, and Smoking</w:t>
      </w:r>
      <w:r>
        <w:rPr>
          <w:b/>
          <w:spacing w:val="1"/>
          <w:sz w:val="24"/>
          <w:u w:val="single"/>
        </w:rPr>
        <w:t xml:space="preserve"> </w:t>
      </w:r>
      <w:r>
        <w:rPr>
          <w:b/>
          <w:sz w:val="24"/>
          <w:u w:val="single"/>
        </w:rPr>
        <w:t>Policy</w:t>
      </w:r>
    </w:p>
    <w:p w14:paraId="5ABA04DC" w14:textId="77777777" w:rsidR="0046798B" w:rsidRDefault="0046798B">
      <w:pPr>
        <w:pStyle w:val="BodyText"/>
        <w:spacing w:before="8" w:after="1"/>
        <w:rPr>
          <w:b/>
          <w:sz w:val="23"/>
        </w:rPr>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3C3300D2" w14:textId="77777777">
        <w:trPr>
          <w:trHeight w:val="590"/>
        </w:trPr>
        <w:tc>
          <w:tcPr>
            <w:tcW w:w="1711" w:type="dxa"/>
          </w:tcPr>
          <w:p w14:paraId="2D596130" w14:textId="77777777" w:rsidR="0046798B" w:rsidRDefault="00903B5C">
            <w:pPr>
              <w:pStyle w:val="TableParagraph"/>
              <w:spacing w:before="164"/>
              <w:ind w:left="140"/>
              <w:rPr>
                <w:b/>
              </w:rPr>
            </w:pPr>
            <w:r>
              <w:rPr>
                <w:b/>
              </w:rPr>
              <w:t>Variable Name</w:t>
            </w:r>
          </w:p>
        </w:tc>
        <w:tc>
          <w:tcPr>
            <w:tcW w:w="1596" w:type="dxa"/>
          </w:tcPr>
          <w:p w14:paraId="58F22C2D" w14:textId="77777777" w:rsidR="0046798B" w:rsidRDefault="00903B5C">
            <w:pPr>
              <w:pStyle w:val="TableParagraph"/>
              <w:spacing w:before="39" w:line="242" w:lineRule="auto"/>
              <w:ind w:left="249" w:right="229" w:firstLine="280"/>
              <w:rPr>
                <w:b/>
              </w:rPr>
            </w:pPr>
            <w:r>
              <w:rPr>
                <w:b/>
              </w:rPr>
              <w:t>Short Description</w:t>
            </w:r>
          </w:p>
        </w:tc>
        <w:tc>
          <w:tcPr>
            <w:tcW w:w="1285" w:type="dxa"/>
          </w:tcPr>
          <w:p w14:paraId="5D95ADF6" w14:textId="77777777" w:rsidR="0046798B" w:rsidRDefault="00903B5C">
            <w:pPr>
              <w:pStyle w:val="TableParagraph"/>
              <w:spacing w:before="164"/>
              <w:ind w:left="364"/>
              <w:rPr>
                <w:b/>
              </w:rPr>
            </w:pPr>
            <w:r>
              <w:rPr>
                <w:b/>
              </w:rPr>
              <w:t>Years</w:t>
            </w:r>
          </w:p>
        </w:tc>
        <w:tc>
          <w:tcPr>
            <w:tcW w:w="3421" w:type="dxa"/>
          </w:tcPr>
          <w:p w14:paraId="523F9A9F" w14:textId="77777777" w:rsidR="0046798B" w:rsidRDefault="00903B5C">
            <w:pPr>
              <w:pStyle w:val="TableParagraph"/>
              <w:spacing w:before="39"/>
              <w:ind w:left="159" w:right="146"/>
              <w:jc w:val="center"/>
              <w:rPr>
                <w:b/>
              </w:rPr>
            </w:pPr>
            <w:r>
              <w:rPr>
                <w:b/>
              </w:rPr>
              <w:t>Coding /</w:t>
            </w:r>
          </w:p>
          <w:p w14:paraId="6D1BA0F2" w14:textId="77777777" w:rsidR="0046798B" w:rsidRDefault="00903B5C">
            <w:pPr>
              <w:pStyle w:val="TableParagraph"/>
              <w:spacing w:before="3"/>
              <w:ind w:left="159" w:right="150"/>
              <w:jc w:val="center"/>
              <w:rPr>
                <w:b/>
              </w:rPr>
            </w:pPr>
            <w:r>
              <w:rPr>
                <w:b/>
              </w:rPr>
              <w:t>Longer Description (if available)</w:t>
            </w:r>
          </w:p>
        </w:tc>
        <w:tc>
          <w:tcPr>
            <w:tcW w:w="6482" w:type="dxa"/>
          </w:tcPr>
          <w:p w14:paraId="57FA664A" w14:textId="77777777" w:rsidR="0046798B" w:rsidRDefault="00903B5C">
            <w:pPr>
              <w:pStyle w:val="TableParagraph"/>
              <w:spacing w:before="164"/>
              <w:ind w:left="2852" w:right="2845"/>
              <w:jc w:val="center"/>
              <w:rPr>
                <w:b/>
              </w:rPr>
            </w:pPr>
            <w:r>
              <w:rPr>
                <w:b/>
              </w:rPr>
              <w:t>Sources</w:t>
            </w:r>
          </w:p>
        </w:tc>
      </w:tr>
      <w:tr w:rsidR="0046798B" w14:paraId="13EED705" w14:textId="77777777">
        <w:trPr>
          <w:trHeight w:val="2160"/>
        </w:trPr>
        <w:tc>
          <w:tcPr>
            <w:tcW w:w="1711" w:type="dxa"/>
          </w:tcPr>
          <w:p w14:paraId="0BB34D43" w14:textId="77777777" w:rsidR="0046798B" w:rsidRDefault="0046798B">
            <w:pPr>
              <w:pStyle w:val="TableParagraph"/>
              <w:rPr>
                <w:b/>
              </w:rPr>
            </w:pPr>
          </w:p>
          <w:p w14:paraId="78A7B610" w14:textId="77777777" w:rsidR="0046798B" w:rsidRDefault="0046798B">
            <w:pPr>
              <w:pStyle w:val="TableParagraph"/>
              <w:rPr>
                <w:b/>
              </w:rPr>
            </w:pPr>
          </w:p>
          <w:p w14:paraId="550082E4" w14:textId="77777777" w:rsidR="0046798B" w:rsidRDefault="0046798B">
            <w:pPr>
              <w:pStyle w:val="TableParagraph"/>
              <w:rPr>
                <w:b/>
              </w:rPr>
            </w:pPr>
          </w:p>
          <w:p w14:paraId="0FAA4111" w14:textId="77777777" w:rsidR="0046798B" w:rsidRDefault="0046798B">
            <w:pPr>
              <w:pStyle w:val="TableParagraph"/>
              <w:spacing w:before="9"/>
              <w:rPr>
                <w:b/>
                <w:sz w:val="17"/>
              </w:rPr>
            </w:pPr>
          </w:p>
          <w:p w14:paraId="118EF3A8" w14:textId="77777777" w:rsidR="0046798B" w:rsidRDefault="00903B5C">
            <w:pPr>
              <w:pStyle w:val="TableParagraph"/>
              <w:ind w:left="115"/>
              <w:rPr>
                <w:b/>
                <w:sz w:val="20"/>
              </w:rPr>
            </w:pPr>
            <w:r>
              <w:rPr>
                <w:b/>
                <w:sz w:val="20"/>
              </w:rPr>
              <w:t>comsrvdy</w:t>
            </w:r>
          </w:p>
        </w:tc>
        <w:tc>
          <w:tcPr>
            <w:tcW w:w="1596" w:type="dxa"/>
          </w:tcPr>
          <w:p w14:paraId="34263CA3" w14:textId="77777777" w:rsidR="0046798B" w:rsidRDefault="0046798B">
            <w:pPr>
              <w:pStyle w:val="TableParagraph"/>
              <w:rPr>
                <w:b/>
              </w:rPr>
            </w:pPr>
          </w:p>
          <w:p w14:paraId="39F1136E" w14:textId="77777777" w:rsidR="0046798B" w:rsidRDefault="0046798B">
            <w:pPr>
              <w:pStyle w:val="TableParagraph"/>
              <w:spacing w:before="8"/>
              <w:rPr>
                <w:b/>
                <w:sz w:val="31"/>
              </w:rPr>
            </w:pPr>
          </w:p>
          <w:p w14:paraId="7083311C" w14:textId="77777777" w:rsidR="0046798B" w:rsidRDefault="00903B5C">
            <w:pPr>
              <w:pStyle w:val="TableParagraph"/>
              <w:spacing w:before="1"/>
              <w:ind w:left="114" w:right="185"/>
              <w:rPr>
                <w:sz w:val="20"/>
              </w:rPr>
            </w:pPr>
            <w:r>
              <w:rPr>
                <w:sz w:val="20"/>
              </w:rPr>
              <w:t>Mandated community service after 1st DUI</w:t>
            </w:r>
          </w:p>
        </w:tc>
        <w:tc>
          <w:tcPr>
            <w:tcW w:w="1285" w:type="dxa"/>
          </w:tcPr>
          <w:p w14:paraId="73FFEA51" w14:textId="77777777" w:rsidR="0046798B" w:rsidRDefault="0046798B">
            <w:pPr>
              <w:pStyle w:val="TableParagraph"/>
              <w:rPr>
                <w:b/>
              </w:rPr>
            </w:pPr>
          </w:p>
          <w:p w14:paraId="3BCD1C0A" w14:textId="77777777" w:rsidR="0046798B" w:rsidRDefault="0046798B">
            <w:pPr>
              <w:pStyle w:val="TableParagraph"/>
              <w:rPr>
                <w:b/>
              </w:rPr>
            </w:pPr>
          </w:p>
          <w:p w14:paraId="46B973CA" w14:textId="77777777" w:rsidR="0046798B" w:rsidRDefault="0046798B">
            <w:pPr>
              <w:pStyle w:val="TableParagraph"/>
              <w:rPr>
                <w:b/>
              </w:rPr>
            </w:pPr>
          </w:p>
          <w:p w14:paraId="539BE326" w14:textId="77777777" w:rsidR="0046798B" w:rsidRDefault="0046798B">
            <w:pPr>
              <w:pStyle w:val="TableParagraph"/>
              <w:spacing w:before="9"/>
              <w:rPr>
                <w:b/>
                <w:sz w:val="17"/>
              </w:rPr>
            </w:pPr>
          </w:p>
          <w:p w14:paraId="1E660FAF" w14:textId="77777777" w:rsidR="0046798B" w:rsidRDefault="00903B5C">
            <w:pPr>
              <w:pStyle w:val="TableParagraph"/>
              <w:ind w:left="114"/>
              <w:rPr>
                <w:sz w:val="20"/>
              </w:rPr>
            </w:pPr>
            <w:r>
              <w:rPr>
                <w:sz w:val="20"/>
              </w:rPr>
              <w:t>1987–2005</w:t>
            </w:r>
          </w:p>
        </w:tc>
        <w:tc>
          <w:tcPr>
            <w:tcW w:w="3421" w:type="dxa"/>
          </w:tcPr>
          <w:p w14:paraId="4C746F1C" w14:textId="77777777" w:rsidR="0046798B" w:rsidRDefault="0046798B">
            <w:pPr>
              <w:pStyle w:val="TableParagraph"/>
              <w:rPr>
                <w:b/>
              </w:rPr>
            </w:pPr>
          </w:p>
          <w:p w14:paraId="29D76A67" w14:textId="77777777" w:rsidR="0046798B" w:rsidRDefault="0046798B">
            <w:pPr>
              <w:pStyle w:val="TableParagraph"/>
              <w:rPr>
                <w:b/>
              </w:rPr>
            </w:pPr>
          </w:p>
          <w:p w14:paraId="4819B41B" w14:textId="77777777" w:rsidR="0046798B" w:rsidRDefault="0046798B">
            <w:pPr>
              <w:pStyle w:val="TableParagraph"/>
              <w:spacing w:before="8"/>
              <w:rPr>
                <w:b/>
                <w:sz w:val="29"/>
              </w:rPr>
            </w:pPr>
          </w:p>
          <w:p w14:paraId="1D1F3C9D"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52650D7A" w14:textId="77777777" w:rsidR="0046798B" w:rsidRDefault="00903B5C">
            <w:pPr>
              <w:pStyle w:val="TableParagraph"/>
              <w:spacing w:before="43"/>
              <w:ind w:left="114" w:right="467"/>
              <w:rPr>
                <w:sz w:val="20"/>
              </w:rPr>
            </w:pPr>
            <w:r>
              <w:rPr>
                <w:sz w:val="20"/>
              </w:rPr>
              <w:t>Silver, Diana, and Macinko, James. State Health Policy Research Dataset (SHEPRD): 1980-2010. Ann Arbor, MI: Inter-university Consortium for Political and Social Research [distributor], 2014-09-24. https://doi.org/10.3886/ICPSR34789.v3</w:t>
            </w:r>
          </w:p>
          <w:p w14:paraId="09C2F53D" w14:textId="77777777" w:rsidR="0046798B" w:rsidRDefault="0046798B">
            <w:pPr>
              <w:pStyle w:val="TableParagraph"/>
              <w:rPr>
                <w:b/>
                <w:sz w:val="20"/>
              </w:rPr>
            </w:pPr>
          </w:p>
          <w:p w14:paraId="1746D890"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520A655C" w14:textId="77777777">
        <w:trPr>
          <w:trHeight w:val="2155"/>
        </w:trPr>
        <w:tc>
          <w:tcPr>
            <w:tcW w:w="1711" w:type="dxa"/>
          </w:tcPr>
          <w:p w14:paraId="4CBB91F7" w14:textId="77777777" w:rsidR="0046798B" w:rsidRDefault="0046798B">
            <w:pPr>
              <w:pStyle w:val="TableParagraph"/>
              <w:rPr>
                <w:b/>
              </w:rPr>
            </w:pPr>
          </w:p>
          <w:p w14:paraId="52DB7E95" w14:textId="77777777" w:rsidR="0046798B" w:rsidRDefault="0046798B">
            <w:pPr>
              <w:pStyle w:val="TableParagraph"/>
              <w:rPr>
                <w:b/>
              </w:rPr>
            </w:pPr>
          </w:p>
          <w:p w14:paraId="4993E967" w14:textId="77777777" w:rsidR="0046798B" w:rsidRDefault="0046798B">
            <w:pPr>
              <w:pStyle w:val="TableParagraph"/>
              <w:rPr>
                <w:b/>
              </w:rPr>
            </w:pPr>
          </w:p>
          <w:p w14:paraId="4A6DF500" w14:textId="77777777" w:rsidR="0046798B" w:rsidRDefault="0046798B">
            <w:pPr>
              <w:pStyle w:val="TableParagraph"/>
              <w:spacing w:before="4"/>
              <w:rPr>
                <w:b/>
                <w:sz w:val="17"/>
              </w:rPr>
            </w:pPr>
          </w:p>
          <w:p w14:paraId="775CE002" w14:textId="77777777" w:rsidR="0046798B" w:rsidRDefault="00903B5C">
            <w:pPr>
              <w:pStyle w:val="TableParagraph"/>
              <w:ind w:left="115"/>
              <w:rPr>
                <w:b/>
                <w:sz w:val="20"/>
              </w:rPr>
            </w:pPr>
            <w:r>
              <w:rPr>
                <w:b/>
                <w:sz w:val="20"/>
              </w:rPr>
              <w:t>hostliability</w:t>
            </w:r>
          </w:p>
        </w:tc>
        <w:tc>
          <w:tcPr>
            <w:tcW w:w="1596" w:type="dxa"/>
          </w:tcPr>
          <w:p w14:paraId="410A92DB" w14:textId="77777777" w:rsidR="0046798B" w:rsidRDefault="0046798B">
            <w:pPr>
              <w:pStyle w:val="TableParagraph"/>
              <w:rPr>
                <w:b/>
              </w:rPr>
            </w:pPr>
          </w:p>
          <w:p w14:paraId="4DB0A536" w14:textId="77777777" w:rsidR="0046798B" w:rsidRDefault="0046798B">
            <w:pPr>
              <w:pStyle w:val="TableParagraph"/>
              <w:spacing w:before="4"/>
              <w:rPr>
                <w:b/>
                <w:sz w:val="21"/>
              </w:rPr>
            </w:pPr>
          </w:p>
          <w:p w14:paraId="0CBEF7AA" w14:textId="77777777" w:rsidR="0046798B" w:rsidRDefault="00903B5C">
            <w:pPr>
              <w:pStyle w:val="TableParagraph"/>
              <w:ind w:left="114" w:right="213"/>
              <w:rPr>
                <w:sz w:val="20"/>
              </w:rPr>
            </w:pPr>
            <w:r>
              <w:rPr>
                <w:sz w:val="20"/>
              </w:rPr>
              <w:t>Laws impose liability against hosts of underage drinking events</w:t>
            </w:r>
          </w:p>
        </w:tc>
        <w:tc>
          <w:tcPr>
            <w:tcW w:w="1285" w:type="dxa"/>
          </w:tcPr>
          <w:p w14:paraId="152FEF94" w14:textId="77777777" w:rsidR="0046798B" w:rsidRDefault="0046798B">
            <w:pPr>
              <w:pStyle w:val="TableParagraph"/>
              <w:rPr>
                <w:b/>
              </w:rPr>
            </w:pPr>
          </w:p>
          <w:p w14:paraId="6B06CACB" w14:textId="77777777" w:rsidR="0046798B" w:rsidRDefault="0046798B">
            <w:pPr>
              <w:pStyle w:val="TableParagraph"/>
              <w:rPr>
                <w:b/>
              </w:rPr>
            </w:pPr>
          </w:p>
          <w:p w14:paraId="7E9EB944" w14:textId="77777777" w:rsidR="0046798B" w:rsidRDefault="0046798B">
            <w:pPr>
              <w:pStyle w:val="TableParagraph"/>
              <w:rPr>
                <w:b/>
              </w:rPr>
            </w:pPr>
          </w:p>
          <w:p w14:paraId="2A3658B8" w14:textId="77777777" w:rsidR="0046798B" w:rsidRDefault="0046798B">
            <w:pPr>
              <w:pStyle w:val="TableParagraph"/>
              <w:spacing w:before="4"/>
              <w:rPr>
                <w:b/>
                <w:sz w:val="17"/>
              </w:rPr>
            </w:pPr>
          </w:p>
          <w:p w14:paraId="01F65DCB" w14:textId="77777777" w:rsidR="0046798B" w:rsidRDefault="00903B5C">
            <w:pPr>
              <w:pStyle w:val="TableParagraph"/>
              <w:ind w:left="114"/>
              <w:rPr>
                <w:sz w:val="20"/>
              </w:rPr>
            </w:pPr>
            <w:r>
              <w:rPr>
                <w:sz w:val="20"/>
              </w:rPr>
              <w:t>1998–2009</w:t>
            </w:r>
          </w:p>
        </w:tc>
        <w:tc>
          <w:tcPr>
            <w:tcW w:w="3421" w:type="dxa"/>
          </w:tcPr>
          <w:p w14:paraId="6378EB24" w14:textId="77777777" w:rsidR="0046798B" w:rsidRDefault="0046798B">
            <w:pPr>
              <w:pStyle w:val="TableParagraph"/>
              <w:rPr>
                <w:b/>
              </w:rPr>
            </w:pPr>
          </w:p>
          <w:p w14:paraId="30E1BF57" w14:textId="77777777" w:rsidR="0046798B" w:rsidRDefault="0046798B">
            <w:pPr>
              <w:pStyle w:val="TableParagraph"/>
              <w:rPr>
                <w:b/>
              </w:rPr>
            </w:pPr>
          </w:p>
          <w:p w14:paraId="5F762F5D" w14:textId="77777777" w:rsidR="0046798B" w:rsidRDefault="0046798B">
            <w:pPr>
              <w:pStyle w:val="TableParagraph"/>
              <w:spacing w:before="4"/>
              <w:rPr>
                <w:b/>
                <w:sz w:val="29"/>
              </w:rPr>
            </w:pPr>
          </w:p>
          <w:p w14:paraId="5403FCEB" w14:textId="77777777" w:rsidR="0046798B" w:rsidRDefault="00903B5C">
            <w:pPr>
              <w:pStyle w:val="TableParagraph"/>
              <w:ind w:left="114" w:right="1475"/>
              <w:rPr>
                <w:sz w:val="20"/>
              </w:rPr>
            </w:pPr>
            <w:r>
              <w:rPr>
                <w:sz w:val="20"/>
              </w:rPr>
              <w:t>0 = policy not adopted 1 = policy adopted</w:t>
            </w:r>
          </w:p>
        </w:tc>
        <w:tc>
          <w:tcPr>
            <w:tcW w:w="6482" w:type="dxa"/>
          </w:tcPr>
          <w:p w14:paraId="380AA00F" w14:textId="77777777" w:rsidR="0046798B" w:rsidRDefault="00903B5C">
            <w:pPr>
              <w:pStyle w:val="TableParagraph"/>
              <w:spacing w:before="38"/>
              <w:ind w:left="114" w:right="467"/>
              <w:rPr>
                <w:sz w:val="20"/>
              </w:rPr>
            </w:pPr>
            <w:r>
              <w:rPr>
                <w:sz w:val="20"/>
              </w:rPr>
              <w:t>Silver, Diana, and Macinko, James. State Health Policy Research Dataset (SHEPRD): 1980-2010. Ann Arbor, MI: Inter-university Consortium for Political and Social Research [distributor], 2014-09-24. https://doi.org/10.3886/ICPSR34789.v3</w:t>
            </w:r>
          </w:p>
          <w:p w14:paraId="0AAB2D61" w14:textId="77777777" w:rsidR="0046798B" w:rsidRDefault="0046798B">
            <w:pPr>
              <w:pStyle w:val="TableParagraph"/>
              <w:spacing w:before="1"/>
              <w:rPr>
                <w:b/>
                <w:sz w:val="20"/>
              </w:rPr>
            </w:pPr>
          </w:p>
          <w:p w14:paraId="63F8921E"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450EB8F1" w14:textId="77777777">
        <w:trPr>
          <w:trHeight w:val="2156"/>
        </w:trPr>
        <w:tc>
          <w:tcPr>
            <w:tcW w:w="1711" w:type="dxa"/>
          </w:tcPr>
          <w:p w14:paraId="73DF59CE" w14:textId="77777777" w:rsidR="0046798B" w:rsidRDefault="0046798B">
            <w:pPr>
              <w:pStyle w:val="TableParagraph"/>
              <w:rPr>
                <w:b/>
              </w:rPr>
            </w:pPr>
          </w:p>
          <w:p w14:paraId="5A851671" w14:textId="77777777" w:rsidR="0046798B" w:rsidRDefault="0046798B">
            <w:pPr>
              <w:pStyle w:val="TableParagraph"/>
              <w:rPr>
                <w:b/>
              </w:rPr>
            </w:pPr>
          </w:p>
          <w:p w14:paraId="3EBAC864" w14:textId="77777777" w:rsidR="0046798B" w:rsidRDefault="0046798B">
            <w:pPr>
              <w:pStyle w:val="TableParagraph"/>
              <w:rPr>
                <w:b/>
              </w:rPr>
            </w:pPr>
          </w:p>
          <w:p w14:paraId="1EA667EA" w14:textId="77777777" w:rsidR="0046798B" w:rsidRDefault="0046798B">
            <w:pPr>
              <w:pStyle w:val="TableParagraph"/>
              <w:spacing w:before="4"/>
              <w:rPr>
                <w:b/>
                <w:sz w:val="17"/>
              </w:rPr>
            </w:pPr>
          </w:p>
          <w:p w14:paraId="70ED4FB3" w14:textId="77777777" w:rsidR="0046798B" w:rsidRDefault="00903B5C">
            <w:pPr>
              <w:pStyle w:val="TableParagraph"/>
              <w:ind w:left="115"/>
              <w:rPr>
                <w:b/>
                <w:sz w:val="20"/>
              </w:rPr>
            </w:pPr>
            <w:r>
              <w:rPr>
                <w:b/>
                <w:sz w:val="20"/>
              </w:rPr>
              <w:t>mprisdm</w:t>
            </w:r>
          </w:p>
        </w:tc>
        <w:tc>
          <w:tcPr>
            <w:tcW w:w="1596" w:type="dxa"/>
          </w:tcPr>
          <w:p w14:paraId="5B17821B" w14:textId="77777777" w:rsidR="0046798B" w:rsidRDefault="0046798B">
            <w:pPr>
              <w:pStyle w:val="TableParagraph"/>
              <w:rPr>
                <w:b/>
              </w:rPr>
            </w:pPr>
          </w:p>
          <w:p w14:paraId="2FE73E38" w14:textId="77777777" w:rsidR="0046798B" w:rsidRDefault="0046798B">
            <w:pPr>
              <w:pStyle w:val="TableParagraph"/>
              <w:rPr>
                <w:b/>
              </w:rPr>
            </w:pPr>
          </w:p>
          <w:p w14:paraId="554AC036" w14:textId="77777777" w:rsidR="0046798B" w:rsidRDefault="0046798B">
            <w:pPr>
              <w:pStyle w:val="TableParagraph"/>
              <w:spacing w:before="4"/>
              <w:rPr>
                <w:b/>
                <w:sz w:val="19"/>
              </w:rPr>
            </w:pPr>
          </w:p>
          <w:p w14:paraId="2FBCB79A" w14:textId="77777777" w:rsidR="0046798B" w:rsidRDefault="00903B5C">
            <w:pPr>
              <w:pStyle w:val="TableParagraph"/>
              <w:ind w:left="114" w:right="124"/>
              <w:rPr>
                <w:sz w:val="20"/>
              </w:rPr>
            </w:pPr>
            <w:r>
              <w:rPr>
                <w:sz w:val="20"/>
              </w:rPr>
              <w:t>Mandates prison time for first DUI</w:t>
            </w:r>
          </w:p>
        </w:tc>
        <w:tc>
          <w:tcPr>
            <w:tcW w:w="1285" w:type="dxa"/>
          </w:tcPr>
          <w:p w14:paraId="75DC5C91" w14:textId="77777777" w:rsidR="0046798B" w:rsidRDefault="0046798B">
            <w:pPr>
              <w:pStyle w:val="TableParagraph"/>
              <w:rPr>
                <w:b/>
              </w:rPr>
            </w:pPr>
          </w:p>
          <w:p w14:paraId="21D82DC6" w14:textId="77777777" w:rsidR="0046798B" w:rsidRDefault="0046798B">
            <w:pPr>
              <w:pStyle w:val="TableParagraph"/>
              <w:rPr>
                <w:b/>
              </w:rPr>
            </w:pPr>
          </w:p>
          <w:p w14:paraId="7D60CB95" w14:textId="77777777" w:rsidR="0046798B" w:rsidRDefault="0046798B">
            <w:pPr>
              <w:pStyle w:val="TableParagraph"/>
              <w:rPr>
                <w:b/>
              </w:rPr>
            </w:pPr>
          </w:p>
          <w:p w14:paraId="056F1E59" w14:textId="77777777" w:rsidR="0046798B" w:rsidRDefault="0046798B">
            <w:pPr>
              <w:pStyle w:val="TableParagraph"/>
              <w:spacing w:before="4"/>
              <w:rPr>
                <w:b/>
                <w:sz w:val="17"/>
              </w:rPr>
            </w:pPr>
          </w:p>
          <w:p w14:paraId="12EC02B1" w14:textId="77777777" w:rsidR="0046798B" w:rsidRDefault="00903B5C">
            <w:pPr>
              <w:pStyle w:val="TableParagraph"/>
              <w:ind w:left="114"/>
              <w:rPr>
                <w:sz w:val="20"/>
              </w:rPr>
            </w:pPr>
            <w:r>
              <w:rPr>
                <w:sz w:val="20"/>
              </w:rPr>
              <w:t>1982–2003</w:t>
            </w:r>
          </w:p>
        </w:tc>
        <w:tc>
          <w:tcPr>
            <w:tcW w:w="3421" w:type="dxa"/>
          </w:tcPr>
          <w:p w14:paraId="03300949" w14:textId="77777777" w:rsidR="0046798B" w:rsidRDefault="0046798B">
            <w:pPr>
              <w:pStyle w:val="TableParagraph"/>
              <w:rPr>
                <w:b/>
              </w:rPr>
            </w:pPr>
          </w:p>
          <w:p w14:paraId="64E0E5D9" w14:textId="77777777" w:rsidR="0046798B" w:rsidRDefault="0046798B">
            <w:pPr>
              <w:pStyle w:val="TableParagraph"/>
              <w:rPr>
                <w:b/>
              </w:rPr>
            </w:pPr>
          </w:p>
          <w:p w14:paraId="22DE95BF" w14:textId="77777777" w:rsidR="0046798B" w:rsidRDefault="0046798B">
            <w:pPr>
              <w:pStyle w:val="TableParagraph"/>
              <w:spacing w:before="4"/>
              <w:rPr>
                <w:b/>
                <w:sz w:val="29"/>
              </w:rPr>
            </w:pPr>
          </w:p>
          <w:p w14:paraId="502377AF" w14:textId="77777777" w:rsidR="0046798B" w:rsidRDefault="00903B5C">
            <w:pPr>
              <w:pStyle w:val="TableParagraph"/>
              <w:ind w:left="114" w:right="1475"/>
              <w:rPr>
                <w:sz w:val="20"/>
              </w:rPr>
            </w:pPr>
            <w:r>
              <w:rPr>
                <w:sz w:val="20"/>
              </w:rPr>
              <w:t>0 = policy not adopted 1 = policy adopted</w:t>
            </w:r>
          </w:p>
        </w:tc>
        <w:tc>
          <w:tcPr>
            <w:tcW w:w="6482" w:type="dxa"/>
          </w:tcPr>
          <w:p w14:paraId="7BB3505C" w14:textId="77777777" w:rsidR="0046798B" w:rsidRDefault="00903B5C">
            <w:pPr>
              <w:pStyle w:val="TableParagraph"/>
              <w:spacing w:before="38"/>
              <w:ind w:left="114" w:right="467"/>
              <w:rPr>
                <w:sz w:val="20"/>
              </w:rPr>
            </w:pPr>
            <w:r>
              <w:rPr>
                <w:sz w:val="20"/>
              </w:rPr>
              <w:t>Silver, Diana, and Macinko, James. State Health Policy Research Dataset (SHEPRD): 1980-2010. Ann Arbor, MI: Inter-university Consortium for Political and Social Research [distributor], 2014-09-24. https://doi.org/10.3886/ICPSR34789.v3</w:t>
            </w:r>
          </w:p>
          <w:p w14:paraId="291EC6D2" w14:textId="77777777" w:rsidR="0046798B" w:rsidRDefault="0046798B">
            <w:pPr>
              <w:pStyle w:val="TableParagraph"/>
              <w:rPr>
                <w:b/>
                <w:sz w:val="20"/>
              </w:rPr>
            </w:pPr>
          </w:p>
          <w:p w14:paraId="1CBE2143"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51828CB6" w14:textId="77777777">
        <w:trPr>
          <w:trHeight w:val="1005"/>
        </w:trPr>
        <w:tc>
          <w:tcPr>
            <w:tcW w:w="1711" w:type="dxa"/>
          </w:tcPr>
          <w:p w14:paraId="60D9D8D4" w14:textId="77777777" w:rsidR="0046798B" w:rsidRDefault="0046798B">
            <w:pPr>
              <w:pStyle w:val="TableParagraph"/>
              <w:rPr>
                <w:b/>
              </w:rPr>
            </w:pPr>
          </w:p>
          <w:p w14:paraId="206030B5" w14:textId="77777777" w:rsidR="0046798B" w:rsidRDefault="00903B5C">
            <w:pPr>
              <w:pStyle w:val="TableParagraph"/>
              <w:spacing w:before="130"/>
              <w:ind w:left="115"/>
              <w:rPr>
                <w:b/>
                <w:sz w:val="20"/>
              </w:rPr>
            </w:pPr>
            <w:r>
              <w:rPr>
                <w:b/>
                <w:sz w:val="20"/>
              </w:rPr>
              <w:t>preconvictdays</w:t>
            </w:r>
          </w:p>
        </w:tc>
        <w:tc>
          <w:tcPr>
            <w:tcW w:w="1596" w:type="dxa"/>
          </w:tcPr>
          <w:p w14:paraId="2539549D" w14:textId="77777777" w:rsidR="0046798B" w:rsidRDefault="00903B5C">
            <w:pPr>
              <w:pStyle w:val="TableParagraph"/>
              <w:spacing w:before="38"/>
              <w:ind w:left="114" w:right="296"/>
              <w:jc w:val="both"/>
              <w:rPr>
                <w:sz w:val="20"/>
              </w:rPr>
            </w:pPr>
            <w:r>
              <w:rPr>
                <w:sz w:val="20"/>
              </w:rPr>
              <w:t>Length license suspension for first DUI, pre- conviction</w:t>
            </w:r>
          </w:p>
        </w:tc>
        <w:tc>
          <w:tcPr>
            <w:tcW w:w="1285" w:type="dxa"/>
          </w:tcPr>
          <w:p w14:paraId="236FE21B" w14:textId="77777777" w:rsidR="0046798B" w:rsidRDefault="0046798B">
            <w:pPr>
              <w:pStyle w:val="TableParagraph"/>
              <w:rPr>
                <w:b/>
              </w:rPr>
            </w:pPr>
          </w:p>
          <w:p w14:paraId="1641DBD6" w14:textId="77777777" w:rsidR="0046798B" w:rsidRDefault="00903B5C">
            <w:pPr>
              <w:pStyle w:val="TableParagraph"/>
              <w:spacing w:before="130"/>
              <w:ind w:left="114"/>
              <w:rPr>
                <w:sz w:val="20"/>
              </w:rPr>
            </w:pPr>
            <w:r>
              <w:rPr>
                <w:sz w:val="20"/>
              </w:rPr>
              <w:t>1980–2004</w:t>
            </w:r>
          </w:p>
        </w:tc>
        <w:tc>
          <w:tcPr>
            <w:tcW w:w="3421" w:type="dxa"/>
          </w:tcPr>
          <w:p w14:paraId="779B52CB" w14:textId="77777777" w:rsidR="0046798B" w:rsidRDefault="0046798B">
            <w:pPr>
              <w:pStyle w:val="TableParagraph"/>
              <w:spacing w:before="3"/>
              <w:rPr>
                <w:b/>
                <w:sz w:val="23"/>
              </w:rPr>
            </w:pPr>
          </w:p>
          <w:p w14:paraId="1CC41C7A"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2A8528FF" w14:textId="77777777" w:rsidR="0046798B" w:rsidRDefault="00903B5C">
            <w:pPr>
              <w:pStyle w:val="TableParagraph"/>
              <w:spacing w:before="38"/>
              <w:ind w:left="114" w:right="467"/>
              <w:rPr>
                <w:sz w:val="20"/>
              </w:rPr>
            </w:pPr>
            <w:r>
              <w:rPr>
                <w:sz w:val="20"/>
              </w:rPr>
              <w:t>Silver, Diana, and Macinko, James. State Health Policy Research Dataset (SHEPRD): 1980-2010. Ann Arbor, MI: Inter-university Consortium for Political and Social Research [distributor], 2014-09-24. https://doi.org/10.3886/ICPSR34789.v3</w:t>
            </w:r>
          </w:p>
        </w:tc>
      </w:tr>
    </w:tbl>
    <w:p w14:paraId="185D064D" w14:textId="77777777" w:rsidR="0046798B" w:rsidRDefault="0046798B">
      <w:pPr>
        <w:rPr>
          <w:sz w:val="20"/>
        </w:rPr>
        <w:sectPr w:rsidR="0046798B">
          <w:pgSz w:w="15840" w:h="12240" w:orient="landscape"/>
          <w:pgMar w:top="1220" w:right="300" w:bottom="980" w:left="820" w:header="730" w:footer="787" w:gutter="0"/>
          <w:cols w:space="720"/>
        </w:sectPr>
      </w:pPr>
    </w:p>
    <w:p w14:paraId="43C765D4"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A5CD19C" w14:textId="77777777">
        <w:trPr>
          <w:trHeight w:val="1235"/>
        </w:trPr>
        <w:tc>
          <w:tcPr>
            <w:tcW w:w="1711" w:type="dxa"/>
          </w:tcPr>
          <w:p w14:paraId="539A5626" w14:textId="77777777" w:rsidR="0046798B" w:rsidRDefault="0046798B">
            <w:pPr>
              <w:pStyle w:val="TableParagraph"/>
              <w:rPr>
                <w:sz w:val="20"/>
              </w:rPr>
            </w:pPr>
          </w:p>
        </w:tc>
        <w:tc>
          <w:tcPr>
            <w:tcW w:w="1596" w:type="dxa"/>
          </w:tcPr>
          <w:p w14:paraId="62E7CB5E" w14:textId="77777777" w:rsidR="0046798B" w:rsidRDefault="0046798B">
            <w:pPr>
              <w:pStyle w:val="TableParagraph"/>
              <w:rPr>
                <w:sz w:val="20"/>
              </w:rPr>
            </w:pPr>
          </w:p>
        </w:tc>
        <w:tc>
          <w:tcPr>
            <w:tcW w:w="1285" w:type="dxa"/>
          </w:tcPr>
          <w:p w14:paraId="7171ADA3" w14:textId="77777777" w:rsidR="0046798B" w:rsidRDefault="0046798B">
            <w:pPr>
              <w:pStyle w:val="TableParagraph"/>
              <w:rPr>
                <w:sz w:val="20"/>
              </w:rPr>
            </w:pPr>
          </w:p>
        </w:tc>
        <w:tc>
          <w:tcPr>
            <w:tcW w:w="3421" w:type="dxa"/>
          </w:tcPr>
          <w:p w14:paraId="311F33E9" w14:textId="77777777" w:rsidR="0046798B" w:rsidRDefault="0046798B">
            <w:pPr>
              <w:pStyle w:val="TableParagraph"/>
              <w:rPr>
                <w:sz w:val="20"/>
              </w:rPr>
            </w:pPr>
          </w:p>
        </w:tc>
        <w:tc>
          <w:tcPr>
            <w:tcW w:w="6482" w:type="dxa"/>
          </w:tcPr>
          <w:p w14:paraId="1517487D" w14:textId="77777777" w:rsidR="0046798B" w:rsidRDefault="0046798B">
            <w:pPr>
              <w:pStyle w:val="TableParagraph"/>
              <w:spacing w:before="9"/>
              <w:rPr>
                <w:sz w:val="23"/>
              </w:rPr>
            </w:pPr>
          </w:p>
          <w:p w14:paraId="3944AAE4"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65423AB4" w14:textId="77777777">
        <w:trPr>
          <w:trHeight w:val="2156"/>
        </w:trPr>
        <w:tc>
          <w:tcPr>
            <w:tcW w:w="1711" w:type="dxa"/>
          </w:tcPr>
          <w:p w14:paraId="75E20CE9" w14:textId="77777777" w:rsidR="0046798B" w:rsidRDefault="0046798B">
            <w:pPr>
              <w:pStyle w:val="TableParagraph"/>
            </w:pPr>
          </w:p>
          <w:p w14:paraId="7C162C2B" w14:textId="77777777" w:rsidR="0046798B" w:rsidRDefault="0046798B">
            <w:pPr>
              <w:pStyle w:val="TableParagraph"/>
            </w:pPr>
          </w:p>
          <w:p w14:paraId="79A9729E" w14:textId="77777777" w:rsidR="0046798B" w:rsidRDefault="0046798B">
            <w:pPr>
              <w:pStyle w:val="TableParagraph"/>
            </w:pPr>
          </w:p>
          <w:p w14:paraId="749F011F" w14:textId="77777777" w:rsidR="0046798B" w:rsidRDefault="0046798B">
            <w:pPr>
              <w:pStyle w:val="TableParagraph"/>
              <w:spacing w:before="9"/>
              <w:rPr>
                <w:sz w:val="17"/>
              </w:rPr>
            </w:pPr>
          </w:p>
          <w:p w14:paraId="12FAE77E" w14:textId="77777777" w:rsidR="0046798B" w:rsidRDefault="00903B5C">
            <w:pPr>
              <w:pStyle w:val="TableParagraph"/>
              <w:ind w:left="115"/>
              <w:rPr>
                <w:b/>
                <w:sz w:val="20"/>
              </w:rPr>
            </w:pPr>
            <w:r>
              <w:rPr>
                <w:b/>
                <w:sz w:val="20"/>
              </w:rPr>
              <w:t>prisondayswag</w:t>
            </w:r>
          </w:p>
        </w:tc>
        <w:tc>
          <w:tcPr>
            <w:tcW w:w="1596" w:type="dxa"/>
          </w:tcPr>
          <w:p w14:paraId="3E8F8F89" w14:textId="77777777" w:rsidR="0046798B" w:rsidRDefault="0046798B">
            <w:pPr>
              <w:pStyle w:val="TableParagraph"/>
            </w:pPr>
          </w:p>
          <w:p w14:paraId="24824E8B" w14:textId="77777777" w:rsidR="0046798B" w:rsidRDefault="0046798B">
            <w:pPr>
              <w:pStyle w:val="TableParagraph"/>
            </w:pPr>
          </w:p>
          <w:p w14:paraId="360BE0D2" w14:textId="77777777" w:rsidR="0046798B" w:rsidRDefault="0046798B">
            <w:pPr>
              <w:pStyle w:val="TableParagraph"/>
              <w:spacing w:before="9"/>
              <w:rPr>
                <w:sz w:val="19"/>
              </w:rPr>
            </w:pPr>
          </w:p>
          <w:p w14:paraId="00BCA638" w14:textId="77777777" w:rsidR="0046798B" w:rsidRDefault="00903B5C">
            <w:pPr>
              <w:pStyle w:val="TableParagraph"/>
              <w:ind w:left="114" w:right="157"/>
              <w:rPr>
                <w:sz w:val="20"/>
              </w:rPr>
            </w:pPr>
            <w:r>
              <w:rPr>
                <w:sz w:val="20"/>
              </w:rPr>
              <w:t>Mandatory days spent in prison for first DUI</w:t>
            </w:r>
          </w:p>
        </w:tc>
        <w:tc>
          <w:tcPr>
            <w:tcW w:w="1285" w:type="dxa"/>
          </w:tcPr>
          <w:p w14:paraId="60416239" w14:textId="77777777" w:rsidR="0046798B" w:rsidRDefault="0046798B">
            <w:pPr>
              <w:pStyle w:val="TableParagraph"/>
            </w:pPr>
          </w:p>
          <w:p w14:paraId="4762012B" w14:textId="77777777" w:rsidR="0046798B" w:rsidRDefault="0046798B">
            <w:pPr>
              <w:pStyle w:val="TableParagraph"/>
            </w:pPr>
          </w:p>
          <w:p w14:paraId="15D3B979" w14:textId="77777777" w:rsidR="0046798B" w:rsidRDefault="0046798B">
            <w:pPr>
              <w:pStyle w:val="TableParagraph"/>
            </w:pPr>
          </w:p>
          <w:p w14:paraId="767F0B2E" w14:textId="77777777" w:rsidR="0046798B" w:rsidRDefault="0046798B">
            <w:pPr>
              <w:pStyle w:val="TableParagraph"/>
              <w:spacing w:before="9"/>
              <w:rPr>
                <w:sz w:val="17"/>
              </w:rPr>
            </w:pPr>
          </w:p>
          <w:p w14:paraId="02DCD4B5" w14:textId="77777777" w:rsidR="0046798B" w:rsidRDefault="00903B5C">
            <w:pPr>
              <w:pStyle w:val="TableParagraph"/>
              <w:ind w:left="114"/>
              <w:rPr>
                <w:sz w:val="20"/>
              </w:rPr>
            </w:pPr>
            <w:r>
              <w:rPr>
                <w:sz w:val="20"/>
              </w:rPr>
              <w:t>1980–2003</w:t>
            </w:r>
          </w:p>
        </w:tc>
        <w:tc>
          <w:tcPr>
            <w:tcW w:w="3421" w:type="dxa"/>
          </w:tcPr>
          <w:p w14:paraId="6CD8D3EE" w14:textId="77777777" w:rsidR="0046798B" w:rsidRDefault="0046798B">
            <w:pPr>
              <w:pStyle w:val="TableParagraph"/>
            </w:pPr>
          </w:p>
          <w:p w14:paraId="554749CC" w14:textId="77777777" w:rsidR="0046798B" w:rsidRDefault="0046798B">
            <w:pPr>
              <w:pStyle w:val="TableParagraph"/>
            </w:pPr>
          </w:p>
          <w:p w14:paraId="2AE6FD17" w14:textId="77777777" w:rsidR="0046798B" w:rsidRDefault="0046798B">
            <w:pPr>
              <w:pStyle w:val="TableParagraph"/>
              <w:spacing w:before="9"/>
              <w:rPr>
                <w:sz w:val="29"/>
              </w:rPr>
            </w:pPr>
          </w:p>
          <w:p w14:paraId="7A8816FF" w14:textId="77777777" w:rsidR="0046798B" w:rsidRDefault="00903B5C">
            <w:pPr>
              <w:pStyle w:val="TableParagraph"/>
              <w:ind w:left="114" w:right="1475"/>
              <w:rPr>
                <w:sz w:val="20"/>
              </w:rPr>
            </w:pPr>
            <w:r>
              <w:rPr>
                <w:sz w:val="20"/>
              </w:rPr>
              <w:t>0 = policy not adopted 1 = policy adopted</w:t>
            </w:r>
          </w:p>
        </w:tc>
        <w:tc>
          <w:tcPr>
            <w:tcW w:w="6482" w:type="dxa"/>
          </w:tcPr>
          <w:p w14:paraId="51E724F4" w14:textId="77777777" w:rsidR="0046798B" w:rsidRDefault="00903B5C">
            <w:pPr>
              <w:pStyle w:val="TableParagraph"/>
              <w:spacing w:before="43"/>
              <w:ind w:left="114" w:right="467"/>
              <w:rPr>
                <w:sz w:val="20"/>
              </w:rPr>
            </w:pPr>
            <w:r>
              <w:rPr>
                <w:sz w:val="20"/>
              </w:rPr>
              <w:t>Silver, Diana, and Macinko, James. State Health Policy Research Dataset (SHEPRD): 1980-2010. Ann Arbor, MI: Inter-university Consortium for Political and Social Research [distributor], 2014-09-24. https://doi.org/10.3886/ICPSR34789.v3</w:t>
            </w:r>
          </w:p>
          <w:p w14:paraId="2B818945" w14:textId="77777777" w:rsidR="0046798B" w:rsidRDefault="0046798B">
            <w:pPr>
              <w:pStyle w:val="TableParagraph"/>
              <w:rPr>
                <w:sz w:val="20"/>
              </w:rPr>
            </w:pPr>
          </w:p>
          <w:p w14:paraId="237BF3BC"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4952053A" w14:textId="77777777">
        <w:trPr>
          <w:trHeight w:val="2160"/>
        </w:trPr>
        <w:tc>
          <w:tcPr>
            <w:tcW w:w="1711" w:type="dxa"/>
          </w:tcPr>
          <w:p w14:paraId="38D2E934" w14:textId="77777777" w:rsidR="0046798B" w:rsidRDefault="0046798B">
            <w:pPr>
              <w:pStyle w:val="TableParagraph"/>
            </w:pPr>
          </w:p>
          <w:p w14:paraId="0E493341" w14:textId="77777777" w:rsidR="0046798B" w:rsidRDefault="0046798B">
            <w:pPr>
              <w:pStyle w:val="TableParagraph"/>
            </w:pPr>
          </w:p>
          <w:p w14:paraId="29400368" w14:textId="77777777" w:rsidR="0046798B" w:rsidRDefault="0046798B">
            <w:pPr>
              <w:pStyle w:val="TableParagraph"/>
            </w:pPr>
          </w:p>
          <w:p w14:paraId="17CF6880" w14:textId="77777777" w:rsidR="0046798B" w:rsidRDefault="0046798B">
            <w:pPr>
              <w:pStyle w:val="TableParagraph"/>
              <w:spacing w:before="9"/>
              <w:rPr>
                <w:sz w:val="17"/>
              </w:rPr>
            </w:pPr>
          </w:p>
          <w:p w14:paraId="0AE8C76D" w14:textId="77777777" w:rsidR="0046798B" w:rsidRDefault="00903B5C">
            <w:pPr>
              <w:pStyle w:val="TableParagraph"/>
              <w:ind w:left="115"/>
              <w:rPr>
                <w:b/>
                <w:sz w:val="20"/>
              </w:rPr>
            </w:pPr>
            <w:r>
              <w:rPr>
                <w:b/>
                <w:sz w:val="20"/>
              </w:rPr>
              <w:t>keg_reg</w:t>
            </w:r>
          </w:p>
        </w:tc>
        <w:tc>
          <w:tcPr>
            <w:tcW w:w="1596" w:type="dxa"/>
          </w:tcPr>
          <w:p w14:paraId="1F375AAB" w14:textId="77777777" w:rsidR="0046798B" w:rsidRDefault="0046798B">
            <w:pPr>
              <w:pStyle w:val="TableParagraph"/>
            </w:pPr>
          </w:p>
          <w:p w14:paraId="299E2332" w14:textId="77777777" w:rsidR="0046798B" w:rsidRDefault="0046798B">
            <w:pPr>
              <w:pStyle w:val="TableParagraph"/>
              <w:spacing w:before="9"/>
              <w:rPr>
                <w:sz w:val="21"/>
              </w:rPr>
            </w:pPr>
          </w:p>
          <w:p w14:paraId="32B8FD2C" w14:textId="77777777" w:rsidR="0046798B" w:rsidRDefault="00903B5C">
            <w:pPr>
              <w:pStyle w:val="TableParagraph"/>
              <w:ind w:left="114" w:right="324"/>
              <w:rPr>
                <w:sz w:val="20"/>
              </w:rPr>
            </w:pPr>
            <w:r>
              <w:rPr>
                <w:sz w:val="20"/>
              </w:rPr>
              <w:t>Required registration of beer keg purchases</w:t>
            </w:r>
          </w:p>
        </w:tc>
        <w:tc>
          <w:tcPr>
            <w:tcW w:w="1285" w:type="dxa"/>
          </w:tcPr>
          <w:p w14:paraId="7DD549D0" w14:textId="77777777" w:rsidR="0046798B" w:rsidRDefault="0046798B">
            <w:pPr>
              <w:pStyle w:val="TableParagraph"/>
            </w:pPr>
          </w:p>
          <w:p w14:paraId="7A7D9FAE" w14:textId="77777777" w:rsidR="0046798B" w:rsidRDefault="0046798B">
            <w:pPr>
              <w:pStyle w:val="TableParagraph"/>
            </w:pPr>
          </w:p>
          <w:p w14:paraId="4063BE70" w14:textId="77777777" w:rsidR="0046798B" w:rsidRDefault="0046798B">
            <w:pPr>
              <w:pStyle w:val="TableParagraph"/>
            </w:pPr>
          </w:p>
          <w:p w14:paraId="4D8D9BA3" w14:textId="77777777" w:rsidR="0046798B" w:rsidRDefault="0046798B">
            <w:pPr>
              <w:pStyle w:val="TableParagraph"/>
              <w:spacing w:before="9"/>
              <w:rPr>
                <w:sz w:val="17"/>
              </w:rPr>
            </w:pPr>
          </w:p>
          <w:p w14:paraId="4C98AAF5" w14:textId="77777777" w:rsidR="0046798B" w:rsidRDefault="00903B5C">
            <w:pPr>
              <w:pStyle w:val="TableParagraph"/>
              <w:ind w:left="114"/>
              <w:rPr>
                <w:sz w:val="20"/>
              </w:rPr>
            </w:pPr>
            <w:r>
              <w:rPr>
                <w:sz w:val="20"/>
              </w:rPr>
              <w:t>1980–2008</w:t>
            </w:r>
          </w:p>
        </w:tc>
        <w:tc>
          <w:tcPr>
            <w:tcW w:w="3421" w:type="dxa"/>
          </w:tcPr>
          <w:p w14:paraId="17E364AE" w14:textId="77777777" w:rsidR="0046798B" w:rsidRDefault="0046798B">
            <w:pPr>
              <w:pStyle w:val="TableParagraph"/>
            </w:pPr>
          </w:p>
          <w:p w14:paraId="099A1B5D" w14:textId="77777777" w:rsidR="0046798B" w:rsidRDefault="0046798B">
            <w:pPr>
              <w:pStyle w:val="TableParagraph"/>
            </w:pPr>
          </w:p>
          <w:p w14:paraId="78188271" w14:textId="77777777" w:rsidR="0046798B" w:rsidRDefault="0046798B">
            <w:pPr>
              <w:pStyle w:val="TableParagraph"/>
              <w:spacing w:before="9"/>
              <w:rPr>
                <w:sz w:val="29"/>
              </w:rPr>
            </w:pPr>
          </w:p>
          <w:p w14:paraId="5F512A13" w14:textId="77777777" w:rsidR="0046798B" w:rsidRDefault="00903B5C">
            <w:pPr>
              <w:pStyle w:val="TableParagraph"/>
              <w:ind w:left="114" w:right="1475"/>
              <w:rPr>
                <w:sz w:val="20"/>
              </w:rPr>
            </w:pPr>
            <w:r>
              <w:rPr>
                <w:sz w:val="20"/>
              </w:rPr>
              <w:t>0 = policy not adopted 1 = policy adopted</w:t>
            </w:r>
          </w:p>
        </w:tc>
        <w:tc>
          <w:tcPr>
            <w:tcW w:w="6482" w:type="dxa"/>
          </w:tcPr>
          <w:p w14:paraId="47C81303" w14:textId="77777777" w:rsidR="0046798B" w:rsidRDefault="00903B5C">
            <w:pPr>
              <w:pStyle w:val="TableParagraph"/>
              <w:spacing w:before="43"/>
              <w:ind w:left="114" w:right="467"/>
              <w:rPr>
                <w:sz w:val="20"/>
              </w:rPr>
            </w:pPr>
            <w:r>
              <w:rPr>
                <w:sz w:val="20"/>
              </w:rPr>
              <w:t>Silver, Diana, and Macinko, James. State Health Policy Research Dataset (SHEPRD): 1980-2010. Ann Arbor, MI: Inter-university Consortium for Political and Social Research [distributor], 2014-09-24. https://doi.org/10.3886/ICPSR34789.v3</w:t>
            </w:r>
          </w:p>
          <w:p w14:paraId="618E3A72" w14:textId="77777777" w:rsidR="0046798B" w:rsidRDefault="0046798B">
            <w:pPr>
              <w:pStyle w:val="TableParagraph"/>
              <w:rPr>
                <w:sz w:val="20"/>
              </w:rPr>
            </w:pPr>
          </w:p>
          <w:p w14:paraId="286517E2"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28522D4E" w14:textId="77777777">
        <w:trPr>
          <w:trHeight w:val="2155"/>
        </w:trPr>
        <w:tc>
          <w:tcPr>
            <w:tcW w:w="1711" w:type="dxa"/>
          </w:tcPr>
          <w:p w14:paraId="6A9F70E3" w14:textId="77777777" w:rsidR="0046798B" w:rsidRDefault="0046798B">
            <w:pPr>
              <w:pStyle w:val="TableParagraph"/>
            </w:pPr>
          </w:p>
          <w:p w14:paraId="01BAA71C" w14:textId="77777777" w:rsidR="0046798B" w:rsidRDefault="0046798B">
            <w:pPr>
              <w:pStyle w:val="TableParagraph"/>
            </w:pPr>
          </w:p>
          <w:p w14:paraId="70A98D33" w14:textId="77777777" w:rsidR="0046798B" w:rsidRDefault="0046798B">
            <w:pPr>
              <w:pStyle w:val="TableParagraph"/>
            </w:pPr>
          </w:p>
          <w:p w14:paraId="339AC7EE" w14:textId="77777777" w:rsidR="0046798B" w:rsidRDefault="0046798B">
            <w:pPr>
              <w:pStyle w:val="TableParagraph"/>
              <w:spacing w:before="4"/>
              <w:rPr>
                <w:sz w:val="17"/>
              </w:rPr>
            </w:pPr>
          </w:p>
          <w:p w14:paraId="53F4BD51" w14:textId="77777777" w:rsidR="0046798B" w:rsidRDefault="00903B5C">
            <w:pPr>
              <w:pStyle w:val="TableParagraph"/>
              <w:ind w:left="115"/>
              <w:rPr>
                <w:b/>
                <w:sz w:val="20"/>
              </w:rPr>
            </w:pPr>
            <w:r>
              <w:rPr>
                <w:b/>
                <w:sz w:val="20"/>
              </w:rPr>
              <w:t>minfine</w:t>
            </w:r>
          </w:p>
        </w:tc>
        <w:tc>
          <w:tcPr>
            <w:tcW w:w="1596" w:type="dxa"/>
          </w:tcPr>
          <w:p w14:paraId="6F0FADAE" w14:textId="77777777" w:rsidR="0046798B" w:rsidRDefault="0046798B">
            <w:pPr>
              <w:pStyle w:val="TableParagraph"/>
            </w:pPr>
          </w:p>
          <w:p w14:paraId="4786E392" w14:textId="77777777" w:rsidR="0046798B" w:rsidRDefault="0046798B">
            <w:pPr>
              <w:pStyle w:val="TableParagraph"/>
            </w:pPr>
          </w:p>
          <w:p w14:paraId="1CD53F84" w14:textId="77777777" w:rsidR="0046798B" w:rsidRDefault="0046798B">
            <w:pPr>
              <w:pStyle w:val="TableParagraph"/>
              <w:spacing w:before="3"/>
              <w:rPr>
                <w:sz w:val="19"/>
              </w:rPr>
            </w:pPr>
          </w:p>
          <w:p w14:paraId="3BF27EE0" w14:textId="77777777" w:rsidR="0046798B" w:rsidRDefault="00903B5C">
            <w:pPr>
              <w:pStyle w:val="TableParagraph"/>
              <w:spacing w:before="1"/>
              <w:ind w:left="114" w:right="290"/>
              <w:rPr>
                <w:sz w:val="20"/>
              </w:rPr>
            </w:pPr>
            <w:r>
              <w:rPr>
                <w:sz w:val="20"/>
              </w:rPr>
              <w:t>Minimum fine for first DUI</w:t>
            </w:r>
          </w:p>
        </w:tc>
        <w:tc>
          <w:tcPr>
            <w:tcW w:w="1285" w:type="dxa"/>
          </w:tcPr>
          <w:p w14:paraId="60FA1BA2" w14:textId="77777777" w:rsidR="0046798B" w:rsidRDefault="0046798B">
            <w:pPr>
              <w:pStyle w:val="TableParagraph"/>
            </w:pPr>
          </w:p>
          <w:p w14:paraId="760301E5" w14:textId="77777777" w:rsidR="0046798B" w:rsidRDefault="0046798B">
            <w:pPr>
              <w:pStyle w:val="TableParagraph"/>
            </w:pPr>
          </w:p>
          <w:p w14:paraId="6C6CAB8B" w14:textId="77777777" w:rsidR="0046798B" w:rsidRDefault="0046798B">
            <w:pPr>
              <w:pStyle w:val="TableParagraph"/>
            </w:pPr>
          </w:p>
          <w:p w14:paraId="1FFDEF5B" w14:textId="77777777" w:rsidR="0046798B" w:rsidRDefault="0046798B">
            <w:pPr>
              <w:pStyle w:val="TableParagraph"/>
              <w:spacing w:before="4"/>
              <w:rPr>
                <w:sz w:val="17"/>
              </w:rPr>
            </w:pPr>
          </w:p>
          <w:p w14:paraId="6BD43346" w14:textId="77777777" w:rsidR="0046798B" w:rsidRDefault="00903B5C">
            <w:pPr>
              <w:pStyle w:val="TableParagraph"/>
              <w:ind w:left="114"/>
              <w:rPr>
                <w:sz w:val="20"/>
              </w:rPr>
            </w:pPr>
            <w:r>
              <w:rPr>
                <w:sz w:val="20"/>
              </w:rPr>
              <w:t>1980–2001</w:t>
            </w:r>
          </w:p>
        </w:tc>
        <w:tc>
          <w:tcPr>
            <w:tcW w:w="3421" w:type="dxa"/>
          </w:tcPr>
          <w:p w14:paraId="46BFEDA1" w14:textId="77777777" w:rsidR="0046798B" w:rsidRDefault="0046798B">
            <w:pPr>
              <w:pStyle w:val="TableParagraph"/>
            </w:pPr>
          </w:p>
          <w:p w14:paraId="4C0C143A" w14:textId="77777777" w:rsidR="0046798B" w:rsidRDefault="0046798B">
            <w:pPr>
              <w:pStyle w:val="TableParagraph"/>
            </w:pPr>
          </w:p>
          <w:p w14:paraId="0670CDA4" w14:textId="77777777" w:rsidR="0046798B" w:rsidRDefault="0046798B">
            <w:pPr>
              <w:pStyle w:val="TableParagraph"/>
              <w:spacing w:before="4"/>
              <w:rPr>
                <w:sz w:val="29"/>
              </w:rPr>
            </w:pPr>
          </w:p>
          <w:p w14:paraId="308DB484" w14:textId="77777777" w:rsidR="0046798B" w:rsidRDefault="00903B5C">
            <w:pPr>
              <w:pStyle w:val="TableParagraph"/>
              <w:ind w:left="114" w:right="1475"/>
              <w:rPr>
                <w:sz w:val="20"/>
              </w:rPr>
            </w:pPr>
            <w:r>
              <w:rPr>
                <w:sz w:val="20"/>
              </w:rPr>
              <w:t>0 = policy not adopted 1 = policy adopted</w:t>
            </w:r>
          </w:p>
        </w:tc>
        <w:tc>
          <w:tcPr>
            <w:tcW w:w="6482" w:type="dxa"/>
          </w:tcPr>
          <w:p w14:paraId="4752FEAD" w14:textId="77777777" w:rsidR="0046798B" w:rsidRDefault="00903B5C">
            <w:pPr>
              <w:pStyle w:val="TableParagraph"/>
              <w:spacing w:before="38"/>
              <w:ind w:left="114" w:right="467"/>
              <w:rPr>
                <w:sz w:val="20"/>
              </w:rPr>
            </w:pPr>
            <w:r>
              <w:rPr>
                <w:sz w:val="20"/>
              </w:rPr>
              <w:t>Silver, Diana, and Macinko, James. State Health Policy Research Dataset (SHEPRD): 1980-2010. Ann Arbor, MI: Inter-university Consortium for Political and Social Research [distributor], 2014-09-24. https://doi.org/10.3886/ICPSR34789.v3</w:t>
            </w:r>
          </w:p>
          <w:p w14:paraId="5600FAB4" w14:textId="77777777" w:rsidR="0046798B" w:rsidRDefault="0046798B">
            <w:pPr>
              <w:pStyle w:val="TableParagraph"/>
              <w:rPr>
                <w:sz w:val="20"/>
              </w:rPr>
            </w:pPr>
          </w:p>
          <w:p w14:paraId="7E9EACA5"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20112CCB" w14:textId="77777777">
        <w:trPr>
          <w:trHeight w:val="1235"/>
        </w:trPr>
        <w:tc>
          <w:tcPr>
            <w:tcW w:w="1711" w:type="dxa"/>
          </w:tcPr>
          <w:p w14:paraId="73A0CA72" w14:textId="77777777" w:rsidR="0046798B" w:rsidRDefault="0046798B">
            <w:pPr>
              <w:pStyle w:val="TableParagraph"/>
            </w:pPr>
          </w:p>
          <w:p w14:paraId="7A8371B2" w14:textId="77777777" w:rsidR="0046798B" w:rsidRDefault="0046798B">
            <w:pPr>
              <w:pStyle w:val="TableParagraph"/>
              <w:spacing w:before="4"/>
              <w:rPr>
                <w:sz w:val="21"/>
              </w:rPr>
            </w:pPr>
          </w:p>
          <w:p w14:paraId="1FADA44A" w14:textId="77777777" w:rsidR="0046798B" w:rsidRDefault="00903B5C">
            <w:pPr>
              <w:pStyle w:val="TableParagraph"/>
              <w:ind w:left="115"/>
              <w:rPr>
                <w:b/>
                <w:sz w:val="20"/>
              </w:rPr>
            </w:pPr>
            <w:r>
              <w:rPr>
                <w:b/>
                <w:sz w:val="20"/>
              </w:rPr>
              <w:t>sundayban</w:t>
            </w:r>
          </w:p>
        </w:tc>
        <w:tc>
          <w:tcPr>
            <w:tcW w:w="1596" w:type="dxa"/>
          </w:tcPr>
          <w:p w14:paraId="638470A4" w14:textId="77777777" w:rsidR="0046798B" w:rsidRDefault="0046798B">
            <w:pPr>
              <w:pStyle w:val="TableParagraph"/>
              <w:spacing w:before="4"/>
              <w:rPr>
                <w:sz w:val="23"/>
              </w:rPr>
            </w:pPr>
          </w:p>
          <w:p w14:paraId="6AE22189" w14:textId="77777777" w:rsidR="0046798B" w:rsidRDefault="00903B5C">
            <w:pPr>
              <w:pStyle w:val="TableParagraph"/>
              <w:ind w:left="114" w:right="85"/>
              <w:rPr>
                <w:sz w:val="20"/>
              </w:rPr>
            </w:pPr>
            <w:r>
              <w:rPr>
                <w:sz w:val="20"/>
              </w:rPr>
              <w:t>Banning alcohol sales on Sundays</w:t>
            </w:r>
          </w:p>
        </w:tc>
        <w:tc>
          <w:tcPr>
            <w:tcW w:w="1285" w:type="dxa"/>
          </w:tcPr>
          <w:p w14:paraId="002D7C6F" w14:textId="77777777" w:rsidR="0046798B" w:rsidRDefault="0046798B">
            <w:pPr>
              <w:pStyle w:val="TableParagraph"/>
            </w:pPr>
          </w:p>
          <w:p w14:paraId="6C0B64F2" w14:textId="77777777" w:rsidR="0046798B" w:rsidRDefault="0046798B">
            <w:pPr>
              <w:pStyle w:val="TableParagraph"/>
              <w:spacing w:before="4"/>
              <w:rPr>
                <w:sz w:val="21"/>
              </w:rPr>
            </w:pPr>
          </w:p>
          <w:p w14:paraId="0C2C81B8" w14:textId="77777777" w:rsidR="0046798B" w:rsidRDefault="00903B5C">
            <w:pPr>
              <w:pStyle w:val="TableParagraph"/>
              <w:ind w:left="114"/>
              <w:rPr>
                <w:sz w:val="20"/>
              </w:rPr>
            </w:pPr>
            <w:r>
              <w:rPr>
                <w:sz w:val="20"/>
              </w:rPr>
              <w:t>1998–1999</w:t>
            </w:r>
          </w:p>
        </w:tc>
        <w:tc>
          <w:tcPr>
            <w:tcW w:w="3421" w:type="dxa"/>
          </w:tcPr>
          <w:p w14:paraId="22791DA1" w14:textId="77777777" w:rsidR="0046798B" w:rsidRDefault="0046798B">
            <w:pPr>
              <w:pStyle w:val="TableParagraph"/>
            </w:pPr>
          </w:p>
          <w:p w14:paraId="1B725C4B" w14:textId="77777777" w:rsidR="0046798B" w:rsidRDefault="00903B5C">
            <w:pPr>
              <w:pStyle w:val="TableParagraph"/>
              <w:spacing w:before="130"/>
              <w:ind w:left="114" w:right="1475"/>
              <w:rPr>
                <w:sz w:val="20"/>
              </w:rPr>
            </w:pPr>
            <w:r>
              <w:rPr>
                <w:sz w:val="20"/>
              </w:rPr>
              <w:t>0 = policy not adopted 1 = policy adopted</w:t>
            </w:r>
          </w:p>
        </w:tc>
        <w:tc>
          <w:tcPr>
            <w:tcW w:w="6482" w:type="dxa"/>
          </w:tcPr>
          <w:p w14:paraId="0D4B6292" w14:textId="77777777" w:rsidR="0046798B" w:rsidRDefault="00903B5C">
            <w:pPr>
              <w:pStyle w:val="TableParagraph"/>
              <w:spacing w:before="38"/>
              <w:ind w:left="114" w:right="467"/>
              <w:rPr>
                <w:sz w:val="20"/>
              </w:rPr>
            </w:pPr>
            <w:r>
              <w:rPr>
                <w:sz w:val="20"/>
              </w:rPr>
              <w:t>Silver, Diana, and Macinko, James. State Health Policy Research Dataset (SHEPRD): 1980-2010. Ann Arbor, MI: Inter-university Consortium for Political and Social Research [distributor], 2014-09-24. https://doi.org/10.3886/ICPSR34789.v3</w:t>
            </w:r>
          </w:p>
        </w:tc>
      </w:tr>
    </w:tbl>
    <w:p w14:paraId="4DF03299" w14:textId="77777777" w:rsidR="0046798B" w:rsidRDefault="0046798B">
      <w:pPr>
        <w:rPr>
          <w:sz w:val="20"/>
        </w:rPr>
        <w:sectPr w:rsidR="0046798B">
          <w:pgSz w:w="15840" w:h="12240" w:orient="landscape"/>
          <w:pgMar w:top="1220" w:right="300" w:bottom="980" w:left="820" w:header="730" w:footer="787" w:gutter="0"/>
          <w:cols w:space="720"/>
        </w:sectPr>
      </w:pPr>
    </w:p>
    <w:p w14:paraId="12D20308"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0FA3C018" w14:textId="77777777">
        <w:trPr>
          <w:trHeight w:val="1005"/>
        </w:trPr>
        <w:tc>
          <w:tcPr>
            <w:tcW w:w="1711" w:type="dxa"/>
          </w:tcPr>
          <w:p w14:paraId="1DCB0F84" w14:textId="77777777" w:rsidR="0046798B" w:rsidRDefault="0046798B">
            <w:pPr>
              <w:pStyle w:val="TableParagraph"/>
              <w:rPr>
                <w:sz w:val="20"/>
              </w:rPr>
            </w:pPr>
          </w:p>
        </w:tc>
        <w:tc>
          <w:tcPr>
            <w:tcW w:w="1596" w:type="dxa"/>
          </w:tcPr>
          <w:p w14:paraId="121F0AFB" w14:textId="77777777" w:rsidR="0046798B" w:rsidRDefault="0046798B">
            <w:pPr>
              <w:pStyle w:val="TableParagraph"/>
              <w:rPr>
                <w:sz w:val="20"/>
              </w:rPr>
            </w:pPr>
          </w:p>
        </w:tc>
        <w:tc>
          <w:tcPr>
            <w:tcW w:w="1285" w:type="dxa"/>
          </w:tcPr>
          <w:p w14:paraId="4BF4F25C" w14:textId="77777777" w:rsidR="0046798B" w:rsidRDefault="0046798B">
            <w:pPr>
              <w:pStyle w:val="TableParagraph"/>
              <w:rPr>
                <w:sz w:val="20"/>
              </w:rPr>
            </w:pPr>
          </w:p>
        </w:tc>
        <w:tc>
          <w:tcPr>
            <w:tcW w:w="3421" w:type="dxa"/>
          </w:tcPr>
          <w:p w14:paraId="0F028F96" w14:textId="77777777" w:rsidR="0046798B" w:rsidRDefault="0046798B">
            <w:pPr>
              <w:pStyle w:val="TableParagraph"/>
              <w:rPr>
                <w:sz w:val="20"/>
              </w:rPr>
            </w:pPr>
          </w:p>
        </w:tc>
        <w:tc>
          <w:tcPr>
            <w:tcW w:w="6482" w:type="dxa"/>
          </w:tcPr>
          <w:p w14:paraId="704B3100" w14:textId="77777777" w:rsidR="0046798B" w:rsidRDefault="00903B5C">
            <w:pPr>
              <w:pStyle w:val="TableParagraph"/>
              <w:spacing w:before="43"/>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5CC9CEB6" w14:textId="77777777">
        <w:trPr>
          <w:trHeight w:val="2156"/>
        </w:trPr>
        <w:tc>
          <w:tcPr>
            <w:tcW w:w="1711" w:type="dxa"/>
          </w:tcPr>
          <w:p w14:paraId="180D0C32" w14:textId="77777777" w:rsidR="0046798B" w:rsidRDefault="0046798B">
            <w:pPr>
              <w:pStyle w:val="TableParagraph"/>
            </w:pPr>
          </w:p>
          <w:p w14:paraId="4799ABD6" w14:textId="77777777" w:rsidR="0046798B" w:rsidRDefault="0046798B">
            <w:pPr>
              <w:pStyle w:val="TableParagraph"/>
            </w:pPr>
          </w:p>
          <w:p w14:paraId="6D620A21" w14:textId="77777777" w:rsidR="0046798B" w:rsidRDefault="0046798B">
            <w:pPr>
              <w:pStyle w:val="TableParagraph"/>
            </w:pPr>
          </w:p>
          <w:p w14:paraId="652B8893" w14:textId="77777777" w:rsidR="0046798B" w:rsidRDefault="0046798B">
            <w:pPr>
              <w:pStyle w:val="TableParagraph"/>
              <w:spacing w:before="9"/>
              <w:rPr>
                <w:sz w:val="17"/>
              </w:rPr>
            </w:pPr>
          </w:p>
          <w:p w14:paraId="52236184" w14:textId="77777777" w:rsidR="0046798B" w:rsidRDefault="00903B5C">
            <w:pPr>
              <w:pStyle w:val="TableParagraph"/>
              <w:ind w:left="115"/>
              <w:rPr>
                <w:b/>
                <w:sz w:val="20"/>
              </w:rPr>
            </w:pPr>
            <w:r>
              <w:rPr>
                <w:b/>
                <w:sz w:val="20"/>
              </w:rPr>
              <w:t>advertban</w:t>
            </w:r>
          </w:p>
        </w:tc>
        <w:tc>
          <w:tcPr>
            <w:tcW w:w="1596" w:type="dxa"/>
          </w:tcPr>
          <w:p w14:paraId="3260F74B" w14:textId="77777777" w:rsidR="0046798B" w:rsidRDefault="0046798B">
            <w:pPr>
              <w:pStyle w:val="TableParagraph"/>
            </w:pPr>
          </w:p>
          <w:p w14:paraId="4CFBD921" w14:textId="77777777" w:rsidR="0046798B" w:rsidRDefault="0046798B">
            <w:pPr>
              <w:pStyle w:val="TableParagraph"/>
            </w:pPr>
          </w:p>
          <w:p w14:paraId="74C59B81" w14:textId="77777777" w:rsidR="0046798B" w:rsidRDefault="0046798B">
            <w:pPr>
              <w:pStyle w:val="TableParagraph"/>
              <w:spacing w:before="9"/>
              <w:rPr>
                <w:sz w:val="19"/>
              </w:rPr>
            </w:pPr>
          </w:p>
          <w:p w14:paraId="5BEB9FDE" w14:textId="77777777" w:rsidR="0046798B" w:rsidRDefault="00903B5C">
            <w:pPr>
              <w:pStyle w:val="TableParagraph"/>
              <w:ind w:left="114" w:right="557"/>
              <w:rPr>
                <w:sz w:val="20"/>
              </w:rPr>
            </w:pPr>
            <w:r>
              <w:rPr>
                <w:sz w:val="20"/>
              </w:rPr>
              <w:t>Banning of cigarette advertising</w:t>
            </w:r>
          </w:p>
        </w:tc>
        <w:tc>
          <w:tcPr>
            <w:tcW w:w="1285" w:type="dxa"/>
          </w:tcPr>
          <w:p w14:paraId="7960F929" w14:textId="77777777" w:rsidR="0046798B" w:rsidRDefault="0046798B">
            <w:pPr>
              <w:pStyle w:val="TableParagraph"/>
            </w:pPr>
          </w:p>
          <w:p w14:paraId="1843A138" w14:textId="77777777" w:rsidR="0046798B" w:rsidRDefault="0046798B">
            <w:pPr>
              <w:pStyle w:val="TableParagraph"/>
            </w:pPr>
          </w:p>
          <w:p w14:paraId="758C969D" w14:textId="77777777" w:rsidR="0046798B" w:rsidRDefault="0046798B">
            <w:pPr>
              <w:pStyle w:val="TableParagraph"/>
            </w:pPr>
          </w:p>
          <w:p w14:paraId="2D7B0ADC" w14:textId="77777777" w:rsidR="0046798B" w:rsidRDefault="0046798B">
            <w:pPr>
              <w:pStyle w:val="TableParagraph"/>
              <w:spacing w:before="9"/>
              <w:rPr>
                <w:sz w:val="17"/>
              </w:rPr>
            </w:pPr>
          </w:p>
          <w:p w14:paraId="645C5D48" w14:textId="77777777" w:rsidR="0046798B" w:rsidRDefault="00903B5C">
            <w:pPr>
              <w:pStyle w:val="TableParagraph"/>
              <w:ind w:left="114"/>
              <w:rPr>
                <w:sz w:val="20"/>
              </w:rPr>
            </w:pPr>
            <w:r>
              <w:rPr>
                <w:sz w:val="20"/>
              </w:rPr>
              <w:t>1989–2001</w:t>
            </w:r>
          </w:p>
        </w:tc>
        <w:tc>
          <w:tcPr>
            <w:tcW w:w="3421" w:type="dxa"/>
          </w:tcPr>
          <w:p w14:paraId="4673784F" w14:textId="77777777" w:rsidR="0046798B" w:rsidRDefault="0046798B">
            <w:pPr>
              <w:pStyle w:val="TableParagraph"/>
            </w:pPr>
          </w:p>
          <w:p w14:paraId="56DB50C7" w14:textId="77777777" w:rsidR="0046798B" w:rsidRDefault="0046798B">
            <w:pPr>
              <w:pStyle w:val="TableParagraph"/>
            </w:pPr>
          </w:p>
          <w:p w14:paraId="36B6D994" w14:textId="77777777" w:rsidR="0046798B" w:rsidRDefault="0046798B">
            <w:pPr>
              <w:pStyle w:val="TableParagraph"/>
              <w:spacing w:before="9"/>
              <w:rPr>
                <w:sz w:val="29"/>
              </w:rPr>
            </w:pPr>
          </w:p>
          <w:p w14:paraId="1FC5E333" w14:textId="77777777" w:rsidR="0046798B" w:rsidRDefault="00903B5C">
            <w:pPr>
              <w:pStyle w:val="TableParagraph"/>
              <w:ind w:left="114" w:right="1475"/>
              <w:rPr>
                <w:sz w:val="20"/>
              </w:rPr>
            </w:pPr>
            <w:r>
              <w:rPr>
                <w:sz w:val="20"/>
              </w:rPr>
              <w:t>0 = policy not adopted 1 = policy adopted</w:t>
            </w:r>
          </w:p>
        </w:tc>
        <w:tc>
          <w:tcPr>
            <w:tcW w:w="6482" w:type="dxa"/>
          </w:tcPr>
          <w:p w14:paraId="05A9EC9B" w14:textId="77777777" w:rsidR="0046798B" w:rsidRDefault="00903B5C">
            <w:pPr>
              <w:pStyle w:val="TableParagraph"/>
              <w:spacing w:before="43"/>
              <w:ind w:left="114" w:right="467"/>
              <w:rPr>
                <w:sz w:val="20"/>
              </w:rPr>
            </w:pPr>
            <w:r>
              <w:rPr>
                <w:sz w:val="20"/>
              </w:rPr>
              <w:t>Silver, Diana, and Macinko, James. State Health Policy Research Dataset (SHEPRD): 1980-2010. Ann Arbor, MI: Inter-university Consortium for Political and Social Research [distributor], 2014-09-24. https://doi.org/10.3886/ICPSR34789.v3</w:t>
            </w:r>
          </w:p>
          <w:p w14:paraId="62E697F3" w14:textId="77777777" w:rsidR="0046798B" w:rsidRDefault="0046798B">
            <w:pPr>
              <w:pStyle w:val="TableParagraph"/>
              <w:rPr>
                <w:sz w:val="20"/>
              </w:rPr>
            </w:pPr>
          </w:p>
          <w:p w14:paraId="43603479"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0B373731" w14:textId="77777777">
        <w:trPr>
          <w:trHeight w:val="2160"/>
        </w:trPr>
        <w:tc>
          <w:tcPr>
            <w:tcW w:w="1711" w:type="dxa"/>
          </w:tcPr>
          <w:p w14:paraId="450C0444" w14:textId="77777777" w:rsidR="0046798B" w:rsidRDefault="0046798B">
            <w:pPr>
              <w:pStyle w:val="TableParagraph"/>
            </w:pPr>
          </w:p>
          <w:p w14:paraId="790C90F9" w14:textId="77777777" w:rsidR="0046798B" w:rsidRDefault="0046798B">
            <w:pPr>
              <w:pStyle w:val="TableParagraph"/>
            </w:pPr>
          </w:p>
          <w:p w14:paraId="72228C5A" w14:textId="77777777" w:rsidR="0046798B" w:rsidRDefault="0046798B">
            <w:pPr>
              <w:pStyle w:val="TableParagraph"/>
            </w:pPr>
          </w:p>
          <w:p w14:paraId="326F481D" w14:textId="77777777" w:rsidR="0046798B" w:rsidRDefault="0046798B">
            <w:pPr>
              <w:pStyle w:val="TableParagraph"/>
              <w:spacing w:before="9"/>
              <w:rPr>
                <w:sz w:val="17"/>
              </w:rPr>
            </w:pPr>
          </w:p>
          <w:p w14:paraId="722E5E45" w14:textId="77777777" w:rsidR="0046798B" w:rsidRDefault="00903B5C">
            <w:pPr>
              <w:pStyle w:val="TableParagraph"/>
              <w:ind w:left="115"/>
              <w:rPr>
                <w:b/>
                <w:sz w:val="20"/>
              </w:rPr>
            </w:pPr>
            <w:r>
              <w:rPr>
                <w:b/>
                <w:sz w:val="20"/>
              </w:rPr>
              <w:t>barbanstate</w:t>
            </w:r>
          </w:p>
        </w:tc>
        <w:tc>
          <w:tcPr>
            <w:tcW w:w="1596" w:type="dxa"/>
          </w:tcPr>
          <w:p w14:paraId="77E35FD2" w14:textId="77777777" w:rsidR="0046798B" w:rsidRDefault="0046798B">
            <w:pPr>
              <w:pStyle w:val="TableParagraph"/>
            </w:pPr>
          </w:p>
          <w:p w14:paraId="68DFE4B6" w14:textId="77777777" w:rsidR="0046798B" w:rsidRDefault="0046798B">
            <w:pPr>
              <w:pStyle w:val="TableParagraph"/>
            </w:pPr>
          </w:p>
          <w:p w14:paraId="705609D5" w14:textId="77777777" w:rsidR="0046798B" w:rsidRDefault="0046798B">
            <w:pPr>
              <w:pStyle w:val="TableParagraph"/>
              <w:spacing w:before="9"/>
              <w:rPr>
                <w:sz w:val="29"/>
              </w:rPr>
            </w:pPr>
          </w:p>
          <w:p w14:paraId="2FC429EA" w14:textId="77777777" w:rsidR="0046798B" w:rsidRDefault="00903B5C">
            <w:pPr>
              <w:pStyle w:val="TableParagraph"/>
              <w:ind w:left="114" w:right="390"/>
              <w:rPr>
                <w:sz w:val="20"/>
              </w:rPr>
            </w:pPr>
            <w:r>
              <w:rPr>
                <w:sz w:val="20"/>
              </w:rPr>
              <w:t>Full smoking ban in bars</w:t>
            </w:r>
          </w:p>
        </w:tc>
        <w:tc>
          <w:tcPr>
            <w:tcW w:w="1285" w:type="dxa"/>
          </w:tcPr>
          <w:p w14:paraId="1388C177" w14:textId="77777777" w:rsidR="0046798B" w:rsidRDefault="0046798B">
            <w:pPr>
              <w:pStyle w:val="TableParagraph"/>
            </w:pPr>
          </w:p>
          <w:p w14:paraId="0072A257" w14:textId="77777777" w:rsidR="0046798B" w:rsidRDefault="0046798B">
            <w:pPr>
              <w:pStyle w:val="TableParagraph"/>
            </w:pPr>
          </w:p>
          <w:p w14:paraId="48CA883F" w14:textId="77777777" w:rsidR="0046798B" w:rsidRDefault="0046798B">
            <w:pPr>
              <w:pStyle w:val="TableParagraph"/>
            </w:pPr>
          </w:p>
          <w:p w14:paraId="1CD9ABE9" w14:textId="77777777" w:rsidR="0046798B" w:rsidRDefault="0046798B">
            <w:pPr>
              <w:pStyle w:val="TableParagraph"/>
              <w:spacing w:before="9"/>
              <w:rPr>
                <w:sz w:val="17"/>
              </w:rPr>
            </w:pPr>
          </w:p>
          <w:p w14:paraId="65A4D279" w14:textId="77777777" w:rsidR="0046798B" w:rsidRDefault="00903B5C">
            <w:pPr>
              <w:pStyle w:val="TableParagraph"/>
              <w:ind w:left="114"/>
              <w:rPr>
                <w:sz w:val="20"/>
              </w:rPr>
            </w:pPr>
            <w:r>
              <w:rPr>
                <w:sz w:val="20"/>
              </w:rPr>
              <w:t>1980–2010</w:t>
            </w:r>
          </w:p>
        </w:tc>
        <w:tc>
          <w:tcPr>
            <w:tcW w:w="3421" w:type="dxa"/>
          </w:tcPr>
          <w:p w14:paraId="7F2B5B12" w14:textId="77777777" w:rsidR="0046798B" w:rsidRDefault="0046798B">
            <w:pPr>
              <w:pStyle w:val="TableParagraph"/>
            </w:pPr>
          </w:p>
          <w:p w14:paraId="3D51D00E" w14:textId="77777777" w:rsidR="0046798B" w:rsidRDefault="0046798B">
            <w:pPr>
              <w:pStyle w:val="TableParagraph"/>
            </w:pPr>
          </w:p>
          <w:p w14:paraId="06A76F26" w14:textId="77777777" w:rsidR="0046798B" w:rsidRDefault="0046798B">
            <w:pPr>
              <w:pStyle w:val="TableParagraph"/>
              <w:spacing w:before="9"/>
              <w:rPr>
                <w:sz w:val="29"/>
              </w:rPr>
            </w:pPr>
          </w:p>
          <w:p w14:paraId="605FB1E9" w14:textId="77777777" w:rsidR="0046798B" w:rsidRDefault="00903B5C">
            <w:pPr>
              <w:pStyle w:val="TableParagraph"/>
              <w:ind w:left="114" w:right="1475"/>
              <w:rPr>
                <w:sz w:val="20"/>
              </w:rPr>
            </w:pPr>
            <w:r>
              <w:rPr>
                <w:sz w:val="20"/>
              </w:rPr>
              <w:t>0 = policy not adopted 1 = policy adopted</w:t>
            </w:r>
          </w:p>
        </w:tc>
        <w:tc>
          <w:tcPr>
            <w:tcW w:w="6482" w:type="dxa"/>
          </w:tcPr>
          <w:p w14:paraId="52391ED2" w14:textId="77777777" w:rsidR="0046798B" w:rsidRDefault="00903B5C">
            <w:pPr>
              <w:pStyle w:val="TableParagraph"/>
              <w:spacing w:before="43"/>
              <w:ind w:left="114" w:right="467"/>
              <w:rPr>
                <w:sz w:val="20"/>
              </w:rPr>
            </w:pPr>
            <w:r>
              <w:rPr>
                <w:sz w:val="20"/>
              </w:rPr>
              <w:t>Silver, Diana, and Macinko, James. State Health Policy Research Dataset (SHEPRD): 1980-2010. Ann Arbor, MI: Inter-university Consortium for Political and Social Research [distributor], 2014-09-24. https://doi.org/10.3886/ICPSR34789.v3</w:t>
            </w:r>
          </w:p>
          <w:p w14:paraId="74603CB2" w14:textId="77777777" w:rsidR="0046798B" w:rsidRDefault="0046798B">
            <w:pPr>
              <w:pStyle w:val="TableParagraph"/>
              <w:rPr>
                <w:sz w:val="20"/>
              </w:rPr>
            </w:pPr>
          </w:p>
          <w:p w14:paraId="2B0573C6"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6E11D830" w14:textId="77777777">
        <w:trPr>
          <w:trHeight w:val="2155"/>
        </w:trPr>
        <w:tc>
          <w:tcPr>
            <w:tcW w:w="1711" w:type="dxa"/>
          </w:tcPr>
          <w:p w14:paraId="604D187C" w14:textId="77777777" w:rsidR="0046798B" w:rsidRDefault="0046798B">
            <w:pPr>
              <w:pStyle w:val="TableParagraph"/>
            </w:pPr>
          </w:p>
          <w:p w14:paraId="08B1240B" w14:textId="77777777" w:rsidR="0046798B" w:rsidRDefault="0046798B">
            <w:pPr>
              <w:pStyle w:val="TableParagraph"/>
            </w:pPr>
          </w:p>
          <w:p w14:paraId="0EC0690E" w14:textId="77777777" w:rsidR="0046798B" w:rsidRDefault="0046798B">
            <w:pPr>
              <w:pStyle w:val="TableParagraph"/>
              <w:spacing w:before="3"/>
              <w:rPr>
                <w:sz w:val="29"/>
              </w:rPr>
            </w:pPr>
          </w:p>
          <w:p w14:paraId="068AF443" w14:textId="77777777" w:rsidR="0046798B" w:rsidRDefault="00903B5C">
            <w:pPr>
              <w:pStyle w:val="TableParagraph"/>
              <w:spacing w:before="1"/>
              <w:ind w:left="115"/>
              <w:rPr>
                <w:b/>
                <w:sz w:val="20"/>
              </w:rPr>
            </w:pPr>
            <w:r>
              <w:rPr>
                <w:b/>
                <w:sz w:val="20"/>
              </w:rPr>
              <w:t>restaurantbansta te</w:t>
            </w:r>
          </w:p>
        </w:tc>
        <w:tc>
          <w:tcPr>
            <w:tcW w:w="1596" w:type="dxa"/>
          </w:tcPr>
          <w:p w14:paraId="1BC96E55" w14:textId="77777777" w:rsidR="0046798B" w:rsidRDefault="0046798B">
            <w:pPr>
              <w:pStyle w:val="TableParagraph"/>
            </w:pPr>
          </w:p>
          <w:p w14:paraId="199A6B01" w14:textId="77777777" w:rsidR="0046798B" w:rsidRDefault="0046798B">
            <w:pPr>
              <w:pStyle w:val="TableParagraph"/>
            </w:pPr>
          </w:p>
          <w:p w14:paraId="5407BAB6" w14:textId="77777777" w:rsidR="0046798B" w:rsidRDefault="0046798B">
            <w:pPr>
              <w:pStyle w:val="TableParagraph"/>
              <w:spacing w:before="3"/>
              <w:rPr>
                <w:sz w:val="19"/>
              </w:rPr>
            </w:pPr>
          </w:p>
          <w:p w14:paraId="4792BE8B" w14:textId="77777777" w:rsidR="0046798B" w:rsidRDefault="00903B5C">
            <w:pPr>
              <w:pStyle w:val="TableParagraph"/>
              <w:spacing w:before="1"/>
              <w:ind w:left="114" w:right="130"/>
              <w:rPr>
                <w:sz w:val="20"/>
              </w:rPr>
            </w:pPr>
            <w:r>
              <w:rPr>
                <w:sz w:val="20"/>
              </w:rPr>
              <w:t>Smoking ban in all restaurants in state</w:t>
            </w:r>
          </w:p>
        </w:tc>
        <w:tc>
          <w:tcPr>
            <w:tcW w:w="1285" w:type="dxa"/>
          </w:tcPr>
          <w:p w14:paraId="63A4BFF2" w14:textId="77777777" w:rsidR="0046798B" w:rsidRDefault="0046798B">
            <w:pPr>
              <w:pStyle w:val="TableParagraph"/>
            </w:pPr>
          </w:p>
          <w:p w14:paraId="4264A4DE" w14:textId="77777777" w:rsidR="0046798B" w:rsidRDefault="0046798B">
            <w:pPr>
              <w:pStyle w:val="TableParagraph"/>
            </w:pPr>
          </w:p>
          <w:p w14:paraId="2A15BF74" w14:textId="77777777" w:rsidR="0046798B" w:rsidRDefault="0046798B">
            <w:pPr>
              <w:pStyle w:val="TableParagraph"/>
            </w:pPr>
          </w:p>
          <w:p w14:paraId="1F5E80B6" w14:textId="77777777" w:rsidR="0046798B" w:rsidRDefault="0046798B">
            <w:pPr>
              <w:pStyle w:val="TableParagraph"/>
              <w:spacing w:before="3"/>
              <w:rPr>
                <w:sz w:val="17"/>
              </w:rPr>
            </w:pPr>
          </w:p>
          <w:p w14:paraId="077C891B" w14:textId="77777777" w:rsidR="0046798B" w:rsidRDefault="00903B5C">
            <w:pPr>
              <w:pStyle w:val="TableParagraph"/>
              <w:spacing w:before="1"/>
              <w:ind w:left="114"/>
              <w:rPr>
                <w:sz w:val="20"/>
              </w:rPr>
            </w:pPr>
            <w:r>
              <w:rPr>
                <w:sz w:val="20"/>
              </w:rPr>
              <w:t>1980–2010</w:t>
            </w:r>
          </w:p>
        </w:tc>
        <w:tc>
          <w:tcPr>
            <w:tcW w:w="3421" w:type="dxa"/>
          </w:tcPr>
          <w:p w14:paraId="4FA4931F" w14:textId="77777777" w:rsidR="0046798B" w:rsidRDefault="0046798B">
            <w:pPr>
              <w:pStyle w:val="TableParagraph"/>
            </w:pPr>
          </w:p>
          <w:p w14:paraId="77ACDC95" w14:textId="77777777" w:rsidR="0046798B" w:rsidRDefault="0046798B">
            <w:pPr>
              <w:pStyle w:val="TableParagraph"/>
            </w:pPr>
          </w:p>
          <w:p w14:paraId="3D97358B" w14:textId="77777777" w:rsidR="0046798B" w:rsidRDefault="0046798B">
            <w:pPr>
              <w:pStyle w:val="TableParagraph"/>
              <w:spacing w:before="3"/>
              <w:rPr>
                <w:sz w:val="29"/>
              </w:rPr>
            </w:pPr>
          </w:p>
          <w:p w14:paraId="6CEDE13F"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7CE72039" w14:textId="77777777" w:rsidR="0046798B" w:rsidRDefault="00903B5C">
            <w:pPr>
              <w:pStyle w:val="TableParagraph"/>
              <w:spacing w:before="38"/>
              <w:ind w:left="114" w:right="467"/>
              <w:rPr>
                <w:sz w:val="20"/>
              </w:rPr>
            </w:pPr>
            <w:r>
              <w:rPr>
                <w:sz w:val="20"/>
              </w:rPr>
              <w:t>Silver, Diana, and Macinko, James. State Health Policy Research Dataset (SHEPRD): 1980-2010. Ann Arbor, MI: Inter-university Consortium for Political and Social Research [distributor], 2014-09-24. https://doi.org/10.3886/ICPSR34789.v3</w:t>
            </w:r>
          </w:p>
          <w:p w14:paraId="49CC321A" w14:textId="77777777" w:rsidR="0046798B" w:rsidRDefault="0046798B">
            <w:pPr>
              <w:pStyle w:val="TableParagraph"/>
              <w:rPr>
                <w:sz w:val="20"/>
              </w:rPr>
            </w:pPr>
          </w:p>
          <w:p w14:paraId="39AAF1FA"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5202FE75" w14:textId="77777777">
        <w:trPr>
          <w:trHeight w:val="1695"/>
        </w:trPr>
        <w:tc>
          <w:tcPr>
            <w:tcW w:w="1711" w:type="dxa"/>
          </w:tcPr>
          <w:p w14:paraId="3D9F9782" w14:textId="77777777" w:rsidR="0046798B" w:rsidRDefault="0046798B">
            <w:pPr>
              <w:pStyle w:val="TableParagraph"/>
            </w:pPr>
          </w:p>
          <w:p w14:paraId="2E8429A0" w14:textId="77777777" w:rsidR="0046798B" w:rsidRDefault="0046798B">
            <w:pPr>
              <w:pStyle w:val="TableParagraph"/>
            </w:pPr>
          </w:p>
          <w:p w14:paraId="1F3D98F9" w14:textId="77777777" w:rsidR="0046798B" w:rsidRDefault="0046798B">
            <w:pPr>
              <w:pStyle w:val="TableParagraph"/>
              <w:spacing w:before="4"/>
              <w:rPr>
                <w:sz w:val="19"/>
              </w:rPr>
            </w:pPr>
          </w:p>
          <w:p w14:paraId="192244A1" w14:textId="77777777" w:rsidR="0046798B" w:rsidRDefault="00903B5C">
            <w:pPr>
              <w:pStyle w:val="TableParagraph"/>
              <w:ind w:left="115"/>
              <w:rPr>
                <w:b/>
                <w:sz w:val="20"/>
              </w:rPr>
            </w:pPr>
            <w:r>
              <w:rPr>
                <w:b/>
                <w:sz w:val="20"/>
              </w:rPr>
              <w:t>worksitebanstate</w:t>
            </w:r>
          </w:p>
        </w:tc>
        <w:tc>
          <w:tcPr>
            <w:tcW w:w="1596" w:type="dxa"/>
          </w:tcPr>
          <w:p w14:paraId="52AF827E" w14:textId="77777777" w:rsidR="0046798B" w:rsidRDefault="0046798B">
            <w:pPr>
              <w:pStyle w:val="TableParagraph"/>
            </w:pPr>
          </w:p>
          <w:p w14:paraId="322E09D8" w14:textId="77777777" w:rsidR="0046798B" w:rsidRDefault="0046798B">
            <w:pPr>
              <w:pStyle w:val="TableParagraph"/>
              <w:spacing w:before="4"/>
              <w:rPr>
                <w:sz w:val="21"/>
              </w:rPr>
            </w:pPr>
          </w:p>
          <w:p w14:paraId="2B3C76CA" w14:textId="77777777" w:rsidR="0046798B" w:rsidRDefault="00903B5C">
            <w:pPr>
              <w:pStyle w:val="TableParagraph"/>
              <w:ind w:left="114" w:right="185"/>
              <w:rPr>
                <w:sz w:val="20"/>
              </w:rPr>
            </w:pPr>
            <w:r>
              <w:rPr>
                <w:sz w:val="20"/>
              </w:rPr>
              <w:t>Smoking ban in all indoor workplaces</w:t>
            </w:r>
          </w:p>
        </w:tc>
        <w:tc>
          <w:tcPr>
            <w:tcW w:w="1285" w:type="dxa"/>
          </w:tcPr>
          <w:p w14:paraId="49A5FC9F" w14:textId="77777777" w:rsidR="0046798B" w:rsidRDefault="0046798B">
            <w:pPr>
              <w:pStyle w:val="TableParagraph"/>
            </w:pPr>
          </w:p>
          <w:p w14:paraId="7FD94669" w14:textId="77777777" w:rsidR="0046798B" w:rsidRDefault="0046798B">
            <w:pPr>
              <w:pStyle w:val="TableParagraph"/>
            </w:pPr>
          </w:p>
          <w:p w14:paraId="4D6F2480" w14:textId="77777777" w:rsidR="0046798B" w:rsidRDefault="0046798B">
            <w:pPr>
              <w:pStyle w:val="TableParagraph"/>
              <w:spacing w:before="4"/>
              <w:rPr>
                <w:sz w:val="19"/>
              </w:rPr>
            </w:pPr>
          </w:p>
          <w:p w14:paraId="3BD8342B" w14:textId="77777777" w:rsidR="0046798B" w:rsidRDefault="00903B5C">
            <w:pPr>
              <w:pStyle w:val="TableParagraph"/>
              <w:ind w:left="114"/>
              <w:rPr>
                <w:sz w:val="20"/>
              </w:rPr>
            </w:pPr>
            <w:r>
              <w:rPr>
                <w:sz w:val="20"/>
              </w:rPr>
              <w:t>2003–2010</w:t>
            </w:r>
          </w:p>
        </w:tc>
        <w:tc>
          <w:tcPr>
            <w:tcW w:w="3421" w:type="dxa"/>
          </w:tcPr>
          <w:p w14:paraId="70561E26" w14:textId="77777777" w:rsidR="0046798B" w:rsidRDefault="0046798B">
            <w:pPr>
              <w:pStyle w:val="TableParagraph"/>
            </w:pPr>
          </w:p>
          <w:p w14:paraId="32CF916A" w14:textId="77777777" w:rsidR="0046798B" w:rsidRDefault="0046798B">
            <w:pPr>
              <w:pStyle w:val="TableParagraph"/>
              <w:spacing w:before="4"/>
              <w:rPr>
                <w:sz w:val="31"/>
              </w:rPr>
            </w:pPr>
          </w:p>
          <w:p w14:paraId="600A61DA" w14:textId="77777777" w:rsidR="0046798B" w:rsidRDefault="00903B5C">
            <w:pPr>
              <w:pStyle w:val="TableParagraph"/>
              <w:ind w:left="114" w:right="1475"/>
              <w:rPr>
                <w:sz w:val="20"/>
              </w:rPr>
            </w:pPr>
            <w:r>
              <w:rPr>
                <w:sz w:val="20"/>
              </w:rPr>
              <w:t>0 = policy not adopted 1 = policy adopted</w:t>
            </w:r>
          </w:p>
        </w:tc>
        <w:tc>
          <w:tcPr>
            <w:tcW w:w="6482" w:type="dxa"/>
          </w:tcPr>
          <w:p w14:paraId="0958D9F1" w14:textId="77777777" w:rsidR="0046798B" w:rsidRDefault="00903B5C">
            <w:pPr>
              <w:pStyle w:val="TableParagraph"/>
              <w:spacing w:before="38"/>
              <w:ind w:left="114" w:right="467"/>
              <w:rPr>
                <w:sz w:val="20"/>
              </w:rPr>
            </w:pPr>
            <w:r>
              <w:rPr>
                <w:sz w:val="20"/>
              </w:rPr>
              <w:t>Silver, Diana, and Macinko, James. State Health Policy Research Dataset (SHEPRD): 1980-2010. Ann Arbor, MI: Inter-university Consortium for Political and Social Research [distributor], 2014-09-24. https://doi.org/10.3886/ICPSR34789.v3</w:t>
            </w:r>
          </w:p>
          <w:p w14:paraId="30AD9BB0" w14:textId="77777777" w:rsidR="0046798B" w:rsidRDefault="0046798B">
            <w:pPr>
              <w:pStyle w:val="TableParagraph"/>
              <w:rPr>
                <w:sz w:val="20"/>
              </w:rPr>
            </w:pPr>
          </w:p>
          <w:p w14:paraId="0F3A7E11"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w:t>
            </w:r>
          </w:p>
        </w:tc>
      </w:tr>
    </w:tbl>
    <w:p w14:paraId="57E8B5C1" w14:textId="77777777" w:rsidR="0046798B" w:rsidRDefault="0046798B">
      <w:pPr>
        <w:rPr>
          <w:sz w:val="20"/>
        </w:rPr>
        <w:sectPr w:rsidR="0046798B">
          <w:pgSz w:w="15840" w:h="12240" w:orient="landscape"/>
          <w:pgMar w:top="1220" w:right="300" w:bottom="980" w:left="820" w:header="730" w:footer="787" w:gutter="0"/>
          <w:cols w:space="720"/>
        </w:sectPr>
      </w:pPr>
    </w:p>
    <w:p w14:paraId="1591927F"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E163D28" w14:textId="77777777">
        <w:trPr>
          <w:trHeight w:val="542"/>
        </w:trPr>
        <w:tc>
          <w:tcPr>
            <w:tcW w:w="1711" w:type="dxa"/>
            <w:tcBorders>
              <w:bottom w:val="dotted" w:sz="6" w:space="0" w:color="BEBEBE"/>
            </w:tcBorders>
          </w:tcPr>
          <w:p w14:paraId="0CADBC66" w14:textId="77777777" w:rsidR="0046798B" w:rsidRDefault="0046798B">
            <w:pPr>
              <w:pStyle w:val="TableParagraph"/>
              <w:rPr>
                <w:sz w:val="20"/>
              </w:rPr>
            </w:pPr>
          </w:p>
        </w:tc>
        <w:tc>
          <w:tcPr>
            <w:tcW w:w="1596" w:type="dxa"/>
            <w:tcBorders>
              <w:bottom w:val="dotted" w:sz="6" w:space="0" w:color="BEBEBE"/>
            </w:tcBorders>
          </w:tcPr>
          <w:p w14:paraId="0021599E" w14:textId="77777777" w:rsidR="0046798B" w:rsidRDefault="0046798B">
            <w:pPr>
              <w:pStyle w:val="TableParagraph"/>
              <w:rPr>
                <w:sz w:val="20"/>
              </w:rPr>
            </w:pPr>
          </w:p>
        </w:tc>
        <w:tc>
          <w:tcPr>
            <w:tcW w:w="1285" w:type="dxa"/>
            <w:tcBorders>
              <w:bottom w:val="dotted" w:sz="6" w:space="0" w:color="BEBEBE"/>
            </w:tcBorders>
          </w:tcPr>
          <w:p w14:paraId="1A77BD98" w14:textId="77777777" w:rsidR="0046798B" w:rsidRDefault="0046798B">
            <w:pPr>
              <w:pStyle w:val="TableParagraph"/>
              <w:rPr>
                <w:sz w:val="20"/>
              </w:rPr>
            </w:pPr>
          </w:p>
        </w:tc>
        <w:tc>
          <w:tcPr>
            <w:tcW w:w="3421" w:type="dxa"/>
            <w:tcBorders>
              <w:bottom w:val="dotted" w:sz="6" w:space="0" w:color="BEBEBE"/>
            </w:tcBorders>
          </w:tcPr>
          <w:p w14:paraId="7EB136B9" w14:textId="77777777" w:rsidR="0046798B" w:rsidRDefault="0046798B">
            <w:pPr>
              <w:pStyle w:val="TableParagraph"/>
              <w:rPr>
                <w:sz w:val="20"/>
              </w:rPr>
            </w:pPr>
          </w:p>
        </w:tc>
        <w:tc>
          <w:tcPr>
            <w:tcW w:w="6482" w:type="dxa"/>
            <w:tcBorders>
              <w:bottom w:val="dotted" w:sz="6" w:space="0" w:color="BEBEBE"/>
            </w:tcBorders>
          </w:tcPr>
          <w:p w14:paraId="6F8D62DA" w14:textId="77777777" w:rsidR="0046798B" w:rsidRDefault="00903B5C">
            <w:pPr>
              <w:pStyle w:val="TableParagraph"/>
              <w:spacing w:before="43"/>
              <w:ind w:left="114" w:right="2377"/>
              <w:rPr>
                <w:sz w:val="20"/>
              </w:rPr>
            </w:pPr>
            <w:r>
              <w:rPr>
                <w:sz w:val="20"/>
              </w:rPr>
              <w:t>Innovation and Diffusion (SPID) Database v1.0”, https://doi.org/10.7910/DVN/CVYSR7</w:t>
            </w:r>
          </w:p>
        </w:tc>
      </w:tr>
      <w:tr w:rsidR="0046798B" w14:paraId="6918CF84" w14:textId="77777777">
        <w:trPr>
          <w:trHeight w:val="1463"/>
        </w:trPr>
        <w:tc>
          <w:tcPr>
            <w:tcW w:w="1711" w:type="dxa"/>
            <w:tcBorders>
              <w:top w:val="dotted" w:sz="6" w:space="0" w:color="BEBEBE"/>
            </w:tcBorders>
          </w:tcPr>
          <w:p w14:paraId="5634FA07" w14:textId="77777777" w:rsidR="0046798B" w:rsidRDefault="0046798B">
            <w:pPr>
              <w:pStyle w:val="TableParagraph"/>
            </w:pPr>
          </w:p>
          <w:p w14:paraId="4968B7DB" w14:textId="77777777" w:rsidR="0046798B" w:rsidRDefault="0046798B">
            <w:pPr>
              <w:pStyle w:val="TableParagraph"/>
              <w:spacing w:before="6"/>
              <w:rPr>
                <w:sz w:val="21"/>
              </w:rPr>
            </w:pPr>
          </w:p>
          <w:p w14:paraId="51623A2E" w14:textId="77777777" w:rsidR="0046798B" w:rsidRDefault="00903B5C">
            <w:pPr>
              <w:pStyle w:val="TableParagraph"/>
              <w:ind w:left="115" w:right="110"/>
              <w:rPr>
                <w:b/>
                <w:sz w:val="20"/>
              </w:rPr>
            </w:pPr>
            <w:r>
              <w:rPr>
                <w:b/>
                <w:sz w:val="20"/>
              </w:rPr>
              <w:t>alcoholism_and_ intoxication_trea</w:t>
            </w:r>
          </w:p>
        </w:tc>
        <w:tc>
          <w:tcPr>
            <w:tcW w:w="1596" w:type="dxa"/>
            <w:tcBorders>
              <w:top w:val="dotted" w:sz="6" w:space="0" w:color="BEBEBE"/>
            </w:tcBorders>
          </w:tcPr>
          <w:p w14:paraId="405EC696" w14:textId="77777777" w:rsidR="0046798B" w:rsidRDefault="0046798B">
            <w:pPr>
              <w:pStyle w:val="TableParagraph"/>
              <w:spacing w:before="6"/>
              <w:rPr>
                <w:sz w:val="23"/>
              </w:rPr>
            </w:pPr>
          </w:p>
          <w:p w14:paraId="0EF53419" w14:textId="77777777" w:rsidR="0046798B" w:rsidRDefault="00903B5C">
            <w:pPr>
              <w:pStyle w:val="TableParagraph"/>
              <w:ind w:left="114" w:right="157"/>
              <w:rPr>
                <w:sz w:val="20"/>
              </w:rPr>
            </w:pPr>
            <w:r>
              <w:rPr>
                <w:sz w:val="20"/>
              </w:rPr>
              <w:t>Legal framework for public intoxication law</w:t>
            </w:r>
          </w:p>
        </w:tc>
        <w:tc>
          <w:tcPr>
            <w:tcW w:w="1285" w:type="dxa"/>
            <w:tcBorders>
              <w:top w:val="dotted" w:sz="6" w:space="0" w:color="BEBEBE"/>
            </w:tcBorders>
          </w:tcPr>
          <w:p w14:paraId="6FDC611F" w14:textId="77777777" w:rsidR="0046798B" w:rsidRDefault="0046798B">
            <w:pPr>
              <w:pStyle w:val="TableParagraph"/>
            </w:pPr>
          </w:p>
          <w:p w14:paraId="7486CB62" w14:textId="77777777" w:rsidR="0046798B" w:rsidRDefault="0046798B">
            <w:pPr>
              <w:pStyle w:val="TableParagraph"/>
              <w:spacing w:before="6"/>
              <w:rPr>
                <w:sz w:val="31"/>
              </w:rPr>
            </w:pPr>
          </w:p>
          <w:p w14:paraId="723568CF" w14:textId="77777777" w:rsidR="0046798B" w:rsidRDefault="00903B5C">
            <w:pPr>
              <w:pStyle w:val="TableParagraph"/>
              <w:ind w:left="114"/>
              <w:rPr>
                <w:sz w:val="20"/>
              </w:rPr>
            </w:pPr>
            <w:r>
              <w:rPr>
                <w:sz w:val="20"/>
              </w:rPr>
              <w:t>1972–1975</w:t>
            </w:r>
          </w:p>
        </w:tc>
        <w:tc>
          <w:tcPr>
            <w:tcW w:w="3421" w:type="dxa"/>
            <w:tcBorders>
              <w:top w:val="dotted" w:sz="6" w:space="0" w:color="BEBEBE"/>
            </w:tcBorders>
          </w:tcPr>
          <w:p w14:paraId="0602B0EF" w14:textId="77777777" w:rsidR="0046798B" w:rsidRDefault="0046798B">
            <w:pPr>
              <w:pStyle w:val="TableParagraph"/>
            </w:pPr>
          </w:p>
          <w:p w14:paraId="304A6B4F" w14:textId="77777777" w:rsidR="0046798B" w:rsidRDefault="0046798B">
            <w:pPr>
              <w:pStyle w:val="TableParagraph"/>
              <w:spacing w:before="6"/>
              <w:rPr>
                <w:sz w:val="21"/>
              </w:rPr>
            </w:pPr>
          </w:p>
          <w:p w14:paraId="32038F2A" w14:textId="77777777" w:rsidR="0046798B" w:rsidRDefault="00903B5C">
            <w:pPr>
              <w:pStyle w:val="TableParagraph"/>
              <w:ind w:left="114" w:right="1475"/>
              <w:rPr>
                <w:sz w:val="20"/>
              </w:rPr>
            </w:pPr>
            <w:r>
              <w:rPr>
                <w:sz w:val="20"/>
              </w:rPr>
              <w:t>0 = policy not adopted 1 = policy adopted</w:t>
            </w:r>
          </w:p>
        </w:tc>
        <w:tc>
          <w:tcPr>
            <w:tcW w:w="6482" w:type="dxa"/>
            <w:tcBorders>
              <w:top w:val="dotted" w:sz="6" w:space="0" w:color="BEBEBE"/>
            </w:tcBorders>
          </w:tcPr>
          <w:p w14:paraId="4D981373" w14:textId="77777777" w:rsidR="0046798B" w:rsidRDefault="00903B5C">
            <w:pPr>
              <w:pStyle w:val="TableParagraph"/>
              <w:spacing w:before="40"/>
              <w:ind w:left="114"/>
              <w:rPr>
                <w:sz w:val="20"/>
              </w:rPr>
            </w:pPr>
            <w:r>
              <w:rPr>
                <w:sz w:val="20"/>
              </w:rPr>
              <w:t xml:space="preserve">Uniform Law Commission website: </w:t>
            </w:r>
            <w:hyperlink r:id="rId902">
              <w:r>
                <w:rPr>
                  <w:color w:val="0462C1"/>
                  <w:sz w:val="20"/>
                  <w:u w:val="single" w:color="0462C1"/>
                </w:rPr>
                <w:t>http://www.uniformlaws.org/</w:t>
              </w:r>
            </w:hyperlink>
          </w:p>
          <w:p w14:paraId="5E2F10C5" w14:textId="77777777" w:rsidR="0046798B" w:rsidRDefault="0046798B">
            <w:pPr>
              <w:pStyle w:val="TableParagraph"/>
              <w:rPr>
                <w:sz w:val="20"/>
              </w:rPr>
            </w:pPr>
          </w:p>
          <w:p w14:paraId="4EA34848"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0FDA1256" w14:textId="77777777">
        <w:trPr>
          <w:trHeight w:val="2160"/>
        </w:trPr>
        <w:tc>
          <w:tcPr>
            <w:tcW w:w="1711" w:type="dxa"/>
          </w:tcPr>
          <w:p w14:paraId="77DDE13A" w14:textId="77777777" w:rsidR="0046798B" w:rsidRDefault="0046798B">
            <w:pPr>
              <w:pStyle w:val="TableParagraph"/>
            </w:pPr>
          </w:p>
          <w:p w14:paraId="16166BF4" w14:textId="77777777" w:rsidR="0046798B" w:rsidRDefault="0046798B">
            <w:pPr>
              <w:pStyle w:val="TableParagraph"/>
            </w:pPr>
          </w:p>
          <w:p w14:paraId="7538291C" w14:textId="77777777" w:rsidR="0046798B" w:rsidRDefault="0046798B">
            <w:pPr>
              <w:pStyle w:val="TableParagraph"/>
              <w:spacing w:before="9"/>
              <w:rPr>
                <w:sz w:val="29"/>
              </w:rPr>
            </w:pPr>
          </w:p>
          <w:p w14:paraId="068DFD3A" w14:textId="77777777" w:rsidR="0046798B" w:rsidRDefault="00903B5C">
            <w:pPr>
              <w:pStyle w:val="TableParagraph"/>
              <w:ind w:left="115" w:right="154"/>
              <w:rPr>
                <w:b/>
                <w:sz w:val="20"/>
              </w:rPr>
            </w:pPr>
            <w:r>
              <w:rPr>
                <w:b/>
                <w:sz w:val="20"/>
              </w:rPr>
              <w:t>controlled_subst ances_act</w:t>
            </w:r>
          </w:p>
        </w:tc>
        <w:tc>
          <w:tcPr>
            <w:tcW w:w="1596" w:type="dxa"/>
          </w:tcPr>
          <w:p w14:paraId="10385CD6" w14:textId="77777777" w:rsidR="0046798B" w:rsidRDefault="00903B5C">
            <w:pPr>
              <w:pStyle w:val="TableParagraph"/>
              <w:spacing w:before="43"/>
              <w:ind w:left="114" w:right="163"/>
              <w:rPr>
                <w:sz w:val="20"/>
              </w:rPr>
            </w:pPr>
            <w:r>
              <w:rPr>
                <w:sz w:val="20"/>
              </w:rPr>
              <w:t>Drug policy under which the manufacture, importation, possession, use and distribution of certain substances is regulated</w:t>
            </w:r>
          </w:p>
        </w:tc>
        <w:tc>
          <w:tcPr>
            <w:tcW w:w="1285" w:type="dxa"/>
          </w:tcPr>
          <w:p w14:paraId="5D4E2B26" w14:textId="77777777" w:rsidR="0046798B" w:rsidRDefault="0046798B">
            <w:pPr>
              <w:pStyle w:val="TableParagraph"/>
            </w:pPr>
          </w:p>
          <w:p w14:paraId="1ADA2D7E" w14:textId="77777777" w:rsidR="0046798B" w:rsidRDefault="0046798B">
            <w:pPr>
              <w:pStyle w:val="TableParagraph"/>
            </w:pPr>
          </w:p>
          <w:p w14:paraId="3F1008B3" w14:textId="77777777" w:rsidR="0046798B" w:rsidRDefault="0046798B">
            <w:pPr>
              <w:pStyle w:val="TableParagraph"/>
            </w:pPr>
          </w:p>
          <w:p w14:paraId="652A9145" w14:textId="77777777" w:rsidR="0046798B" w:rsidRDefault="0046798B">
            <w:pPr>
              <w:pStyle w:val="TableParagraph"/>
              <w:spacing w:before="9"/>
              <w:rPr>
                <w:sz w:val="17"/>
              </w:rPr>
            </w:pPr>
          </w:p>
          <w:p w14:paraId="2D13E088" w14:textId="77777777" w:rsidR="0046798B" w:rsidRDefault="00903B5C">
            <w:pPr>
              <w:pStyle w:val="TableParagraph"/>
              <w:ind w:left="114"/>
              <w:rPr>
                <w:sz w:val="20"/>
              </w:rPr>
            </w:pPr>
            <w:r>
              <w:rPr>
                <w:sz w:val="20"/>
              </w:rPr>
              <w:t>1971–1992</w:t>
            </w:r>
          </w:p>
        </w:tc>
        <w:tc>
          <w:tcPr>
            <w:tcW w:w="3421" w:type="dxa"/>
          </w:tcPr>
          <w:p w14:paraId="6E997A6D" w14:textId="77777777" w:rsidR="0046798B" w:rsidRDefault="0046798B">
            <w:pPr>
              <w:pStyle w:val="TableParagraph"/>
            </w:pPr>
          </w:p>
          <w:p w14:paraId="10FA8A35" w14:textId="77777777" w:rsidR="0046798B" w:rsidRDefault="0046798B">
            <w:pPr>
              <w:pStyle w:val="TableParagraph"/>
            </w:pPr>
          </w:p>
          <w:p w14:paraId="7694C83A" w14:textId="77777777" w:rsidR="0046798B" w:rsidRDefault="0046798B">
            <w:pPr>
              <w:pStyle w:val="TableParagraph"/>
              <w:spacing w:before="9"/>
              <w:rPr>
                <w:sz w:val="29"/>
              </w:rPr>
            </w:pPr>
          </w:p>
          <w:p w14:paraId="44D24305" w14:textId="77777777" w:rsidR="0046798B" w:rsidRDefault="00903B5C">
            <w:pPr>
              <w:pStyle w:val="TableParagraph"/>
              <w:ind w:left="114" w:right="1475"/>
              <w:rPr>
                <w:sz w:val="20"/>
              </w:rPr>
            </w:pPr>
            <w:r>
              <w:rPr>
                <w:sz w:val="20"/>
              </w:rPr>
              <w:t>0 = policy not adopted 1 = policy adopted</w:t>
            </w:r>
          </w:p>
        </w:tc>
        <w:tc>
          <w:tcPr>
            <w:tcW w:w="6482" w:type="dxa"/>
          </w:tcPr>
          <w:p w14:paraId="5161EAA9" w14:textId="77777777" w:rsidR="0046798B" w:rsidRDefault="0046798B">
            <w:pPr>
              <w:pStyle w:val="TableParagraph"/>
            </w:pPr>
          </w:p>
          <w:p w14:paraId="3474390D" w14:textId="77777777" w:rsidR="0046798B" w:rsidRDefault="00903B5C">
            <w:pPr>
              <w:pStyle w:val="TableParagraph"/>
              <w:spacing w:before="135"/>
              <w:ind w:left="114"/>
              <w:rPr>
                <w:sz w:val="20"/>
              </w:rPr>
            </w:pPr>
            <w:r>
              <w:rPr>
                <w:sz w:val="20"/>
              </w:rPr>
              <w:t xml:space="preserve">Uniform Law Commission website: </w:t>
            </w:r>
            <w:hyperlink r:id="rId903">
              <w:r>
                <w:rPr>
                  <w:color w:val="0462C1"/>
                  <w:sz w:val="20"/>
                  <w:u w:val="single" w:color="0462C1"/>
                </w:rPr>
                <w:t>http://www.uniformlaws.org/</w:t>
              </w:r>
            </w:hyperlink>
          </w:p>
          <w:p w14:paraId="69BD7186" w14:textId="77777777" w:rsidR="0046798B" w:rsidRDefault="0046798B">
            <w:pPr>
              <w:pStyle w:val="TableParagraph"/>
              <w:rPr>
                <w:sz w:val="20"/>
              </w:rPr>
            </w:pPr>
          </w:p>
          <w:p w14:paraId="23B91EAA"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70F2A740" w14:textId="77777777">
        <w:trPr>
          <w:trHeight w:val="545"/>
        </w:trPr>
        <w:tc>
          <w:tcPr>
            <w:tcW w:w="1711" w:type="dxa"/>
          </w:tcPr>
          <w:p w14:paraId="3BFE3805" w14:textId="77777777" w:rsidR="0046798B" w:rsidRDefault="00903B5C">
            <w:pPr>
              <w:pStyle w:val="TableParagraph"/>
              <w:spacing w:before="153"/>
              <w:ind w:left="115"/>
              <w:rPr>
                <w:b/>
                <w:sz w:val="20"/>
              </w:rPr>
            </w:pPr>
            <w:r>
              <w:rPr>
                <w:b/>
                <w:sz w:val="20"/>
              </w:rPr>
              <w:t>alcbevcon</w:t>
            </w:r>
          </w:p>
        </w:tc>
        <w:tc>
          <w:tcPr>
            <w:tcW w:w="1596" w:type="dxa"/>
          </w:tcPr>
          <w:p w14:paraId="22B7FC4C" w14:textId="77777777" w:rsidR="0046798B" w:rsidRDefault="00903B5C">
            <w:pPr>
              <w:pStyle w:val="TableParagraph"/>
              <w:spacing w:before="38"/>
              <w:ind w:left="114" w:right="113"/>
              <w:rPr>
                <w:sz w:val="20"/>
              </w:rPr>
            </w:pPr>
            <w:r>
              <w:rPr>
                <w:sz w:val="20"/>
              </w:rPr>
              <w:t>Alcoholic beverage control</w:t>
            </w:r>
          </w:p>
        </w:tc>
        <w:tc>
          <w:tcPr>
            <w:tcW w:w="1285" w:type="dxa"/>
          </w:tcPr>
          <w:p w14:paraId="0756B958" w14:textId="77777777" w:rsidR="0046798B" w:rsidRDefault="00903B5C">
            <w:pPr>
              <w:pStyle w:val="TableParagraph"/>
              <w:spacing w:before="153"/>
              <w:ind w:left="114"/>
              <w:rPr>
                <w:sz w:val="20"/>
              </w:rPr>
            </w:pPr>
            <w:r>
              <w:rPr>
                <w:sz w:val="20"/>
              </w:rPr>
              <w:t>1926–1980</w:t>
            </w:r>
          </w:p>
        </w:tc>
        <w:tc>
          <w:tcPr>
            <w:tcW w:w="3421" w:type="dxa"/>
          </w:tcPr>
          <w:p w14:paraId="25110E42" w14:textId="77777777" w:rsidR="0046798B" w:rsidRDefault="00903B5C">
            <w:pPr>
              <w:pStyle w:val="TableParagraph"/>
              <w:spacing w:before="38"/>
              <w:ind w:left="114" w:right="511"/>
              <w:rPr>
                <w:sz w:val="20"/>
              </w:rPr>
            </w:pPr>
            <w:r>
              <w:rPr>
                <w:sz w:val="20"/>
              </w:rPr>
              <w:t>Did state adopt alcoholic beverage control? (0 = no, 1 = yes)</w:t>
            </w:r>
          </w:p>
        </w:tc>
        <w:tc>
          <w:tcPr>
            <w:tcW w:w="6482" w:type="dxa"/>
          </w:tcPr>
          <w:p w14:paraId="1A5CB0AD" w14:textId="77777777" w:rsidR="0046798B" w:rsidRDefault="00903B5C">
            <w:pPr>
              <w:pStyle w:val="TableParagraph"/>
              <w:spacing w:before="3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79433EC2" w14:textId="77777777">
        <w:trPr>
          <w:trHeight w:val="775"/>
        </w:trPr>
        <w:tc>
          <w:tcPr>
            <w:tcW w:w="1711" w:type="dxa"/>
          </w:tcPr>
          <w:p w14:paraId="28072A41" w14:textId="77777777" w:rsidR="0046798B" w:rsidRDefault="0046798B">
            <w:pPr>
              <w:pStyle w:val="TableParagraph"/>
              <w:spacing w:before="3"/>
              <w:rPr>
                <w:sz w:val="23"/>
              </w:rPr>
            </w:pPr>
          </w:p>
          <w:p w14:paraId="35ECB796" w14:textId="77777777" w:rsidR="0046798B" w:rsidRDefault="00903B5C">
            <w:pPr>
              <w:pStyle w:val="TableParagraph"/>
              <w:spacing w:before="1"/>
              <w:ind w:left="115"/>
              <w:rPr>
                <w:b/>
                <w:sz w:val="20"/>
              </w:rPr>
            </w:pPr>
            <w:r>
              <w:rPr>
                <w:b/>
                <w:sz w:val="20"/>
              </w:rPr>
              <w:t>alctreat</w:t>
            </w:r>
          </w:p>
        </w:tc>
        <w:tc>
          <w:tcPr>
            <w:tcW w:w="1596" w:type="dxa"/>
          </w:tcPr>
          <w:p w14:paraId="554BC344" w14:textId="77777777" w:rsidR="0046798B" w:rsidRDefault="00903B5C">
            <w:pPr>
              <w:pStyle w:val="TableParagraph"/>
              <w:spacing w:before="38"/>
              <w:ind w:left="114" w:right="680"/>
              <w:jc w:val="both"/>
              <w:rPr>
                <w:sz w:val="20"/>
              </w:rPr>
            </w:pPr>
            <w:r>
              <w:rPr>
                <w:sz w:val="20"/>
              </w:rPr>
              <w:t>Alcoholic treatment agency</w:t>
            </w:r>
          </w:p>
        </w:tc>
        <w:tc>
          <w:tcPr>
            <w:tcW w:w="1285" w:type="dxa"/>
          </w:tcPr>
          <w:p w14:paraId="568EF65F" w14:textId="77777777" w:rsidR="0046798B" w:rsidRDefault="0046798B">
            <w:pPr>
              <w:pStyle w:val="TableParagraph"/>
              <w:spacing w:before="3"/>
              <w:rPr>
                <w:sz w:val="23"/>
              </w:rPr>
            </w:pPr>
          </w:p>
          <w:p w14:paraId="458E7F37" w14:textId="77777777" w:rsidR="0046798B" w:rsidRDefault="00903B5C">
            <w:pPr>
              <w:pStyle w:val="TableParagraph"/>
              <w:spacing w:before="1"/>
              <w:ind w:left="114"/>
              <w:rPr>
                <w:sz w:val="20"/>
              </w:rPr>
            </w:pPr>
            <w:r>
              <w:rPr>
                <w:sz w:val="20"/>
              </w:rPr>
              <w:t>1943–2002</w:t>
            </w:r>
          </w:p>
        </w:tc>
        <w:tc>
          <w:tcPr>
            <w:tcW w:w="3421" w:type="dxa"/>
          </w:tcPr>
          <w:p w14:paraId="06B33F9E" w14:textId="77777777" w:rsidR="0046798B" w:rsidRDefault="00903B5C">
            <w:pPr>
              <w:pStyle w:val="TableParagraph"/>
              <w:spacing w:before="153"/>
              <w:ind w:left="114" w:right="477"/>
              <w:rPr>
                <w:sz w:val="20"/>
              </w:rPr>
            </w:pPr>
            <w:r>
              <w:rPr>
                <w:sz w:val="20"/>
              </w:rPr>
              <w:t>Did state adopt alcoholic treatment agencies? (0 = no, 1 = yes)</w:t>
            </w:r>
          </w:p>
        </w:tc>
        <w:tc>
          <w:tcPr>
            <w:tcW w:w="6482" w:type="dxa"/>
          </w:tcPr>
          <w:p w14:paraId="259C53B0" w14:textId="77777777" w:rsidR="0046798B" w:rsidRDefault="00903B5C">
            <w:pPr>
              <w:pStyle w:val="TableParagraph"/>
              <w:spacing w:before="15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569F658E" w14:textId="77777777">
        <w:trPr>
          <w:trHeight w:val="545"/>
        </w:trPr>
        <w:tc>
          <w:tcPr>
            <w:tcW w:w="1711" w:type="dxa"/>
          </w:tcPr>
          <w:p w14:paraId="23CB7EAE" w14:textId="77777777" w:rsidR="0046798B" w:rsidRDefault="00903B5C">
            <w:pPr>
              <w:pStyle w:val="TableParagraph"/>
              <w:spacing w:before="158"/>
              <w:ind w:left="115"/>
              <w:rPr>
                <w:b/>
                <w:sz w:val="20"/>
              </w:rPr>
            </w:pPr>
            <w:r>
              <w:rPr>
                <w:b/>
                <w:sz w:val="20"/>
              </w:rPr>
              <w:t>cigtax</w:t>
            </w:r>
          </w:p>
        </w:tc>
        <w:tc>
          <w:tcPr>
            <w:tcW w:w="1596" w:type="dxa"/>
          </w:tcPr>
          <w:p w14:paraId="50C7A9C2" w14:textId="77777777" w:rsidR="0046798B" w:rsidRDefault="00903B5C">
            <w:pPr>
              <w:pStyle w:val="TableParagraph"/>
              <w:spacing w:before="158"/>
              <w:ind w:left="114"/>
              <w:rPr>
                <w:sz w:val="20"/>
              </w:rPr>
            </w:pPr>
            <w:r>
              <w:rPr>
                <w:sz w:val="20"/>
              </w:rPr>
              <w:t>Cigarette tax</w:t>
            </w:r>
          </w:p>
        </w:tc>
        <w:tc>
          <w:tcPr>
            <w:tcW w:w="1285" w:type="dxa"/>
          </w:tcPr>
          <w:p w14:paraId="16C85B6F" w14:textId="77777777" w:rsidR="0046798B" w:rsidRDefault="00903B5C">
            <w:pPr>
              <w:pStyle w:val="TableParagraph"/>
              <w:spacing w:before="158"/>
              <w:ind w:left="114"/>
              <w:rPr>
                <w:sz w:val="20"/>
              </w:rPr>
            </w:pPr>
            <w:r>
              <w:rPr>
                <w:sz w:val="20"/>
              </w:rPr>
              <w:t>1921–1964</w:t>
            </w:r>
          </w:p>
        </w:tc>
        <w:tc>
          <w:tcPr>
            <w:tcW w:w="3421" w:type="dxa"/>
          </w:tcPr>
          <w:p w14:paraId="1F6870A4" w14:textId="77777777" w:rsidR="0046798B" w:rsidRDefault="00903B5C">
            <w:pPr>
              <w:pStyle w:val="TableParagraph"/>
              <w:spacing w:before="43"/>
              <w:ind w:left="114" w:right="126"/>
              <w:rPr>
                <w:sz w:val="20"/>
              </w:rPr>
            </w:pPr>
            <w:r>
              <w:rPr>
                <w:sz w:val="20"/>
              </w:rPr>
              <w:t>Did state adopt a cigarette tax? (0 = no, 1 = yes)</w:t>
            </w:r>
          </w:p>
        </w:tc>
        <w:tc>
          <w:tcPr>
            <w:tcW w:w="6482" w:type="dxa"/>
          </w:tcPr>
          <w:p w14:paraId="04B609B7" w14:textId="77777777" w:rsidR="0046798B" w:rsidRDefault="00903B5C">
            <w:pPr>
              <w:pStyle w:val="TableParagraph"/>
              <w:spacing w:before="4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2B59F569" w14:textId="77777777">
        <w:trPr>
          <w:trHeight w:val="545"/>
        </w:trPr>
        <w:tc>
          <w:tcPr>
            <w:tcW w:w="1711" w:type="dxa"/>
          </w:tcPr>
          <w:p w14:paraId="3C07DBA4" w14:textId="77777777" w:rsidR="0046798B" w:rsidRDefault="00903B5C">
            <w:pPr>
              <w:pStyle w:val="TableParagraph"/>
              <w:spacing w:before="158"/>
              <w:ind w:left="115"/>
              <w:rPr>
                <w:b/>
                <w:sz w:val="20"/>
              </w:rPr>
            </w:pPr>
            <w:r>
              <w:rPr>
                <w:b/>
                <w:sz w:val="20"/>
              </w:rPr>
              <w:t>dui08</w:t>
            </w:r>
          </w:p>
        </w:tc>
        <w:tc>
          <w:tcPr>
            <w:tcW w:w="1596" w:type="dxa"/>
          </w:tcPr>
          <w:p w14:paraId="1482015E" w14:textId="77777777" w:rsidR="0046798B" w:rsidRDefault="00903B5C">
            <w:pPr>
              <w:pStyle w:val="TableParagraph"/>
              <w:spacing w:before="43"/>
              <w:ind w:left="114" w:right="174"/>
              <w:rPr>
                <w:sz w:val="20"/>
              </w:rPr>
            </w:pPr>
            <w:r>
              <w:rPr>
                <w:sz w:val="20"/>
              </w:rPr>
              <w:t>.08 per se penalty for DUI</w:t>
            </w:r>
          </w:p>
        </w:tc>
        <w:tc>
          <w:tcPr>
            <w:tcW w:w="1285" w:type="dxa"/>
          </w:tcPr>
          <w:p w14:paraId="5A7B1E02" w14:textId="77777777" w:rsidR="0046798B" w:rsidRDefault="00903B5C">
            <w:pPr>
              <w:pStyle w:val="TableParagraph"/>
              <w:spacing w:before="158"/>
              <w:ind w:left="114"/>
              <w:rPr>
                <w:sz w:val="20"/>
              </w:rPr>
            </w:pPr>
            <w:r>
              <w:rPr>
                <w:sz w:val="20"/>
              </w:rPr>
              <w:t>1983–2001</w:t>
            </w:r>
          </w:p>
        </w:tc>
        <w:tc>
          <w:tcPr>
            <w:tcW w:w="3421" w:type="dxa"/>
          </w:tcPr>
          <w:p w14:paraId="403B08AB" w14:textId="77777777" w:rsidR="0046798B" w:rsidRDefault="00903B5C">
            <w:pPr>
              <w:pStyle w:val="TableParagraph"/>
              <w:spacing w:before="43"/>
              <w:ind w:left="114" w:right="322"/>
              <w:rPr>
                <w:sz w:val="20"/>
              </w:rPr>
            </w:pPr>
            <w:r>
              <w:rPr>
                <w:sz w:val="20"/>
              </w:rPr>
              <w:t>Did state adopt .08 per se penalty for DUI? (0 = no, 1 = yes)</w:t>
            </w:r>
          </w:p>
        </w:tc>
        <w:tc>
          <w:tcPr>
            <w:tcW w:w="6482" w:type="dxa"/>
          </w:tcPr>
          <w:p w14:paraId="33C86F13" w14:textId="77777777" w:rsidR="0046798B" w:rsidRDefault="00903B5C">
            <w:pPr>
              <w:pStyle w:val="TableParagraph"/>
              <w:spacing w:before="4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524183A9" w14:textId="77777777">
        <w:trPr>
          <w:trHeight w:val="775"/>
        </w:trPr>
        <w:tc>
          <w:tcPr>
            <w:tcW w:w="1711" w:type="dxa"/>
          </w:tcPr>
          <w:p w14:paraId="352877E4" w14:textId="77777777" w:rsidR="0046798B" w:rsidRDefault="0046798B">
            <w:pPr>
              <w:pStyle w:val="TableParagraph"/>
              <w:spacing w:before="8"/>
              <w:rPr>
                <w:sz w:val="23"/>
              </w:rPr>
            </w:pPr>
          </w:p>
          <w:p w14:paraId="6C8C28E3" w14:textId="77777777" w:rsidR="0046798B" w:rsidRDefault="00903B5C">
            <w:pPr>
              <w:pStyle w:val="TableParagraph"/>
              <w:spacing w:before="1"/>
              <w:ind w:left="115"/>
              <w:rPr>
                <w:b/>
                <w:sz w:val="20"/>
              </w:rPr>
            </w:pPr>
            <w:r>
              <w:rPr>
                <w:b/>
                <w:sz w:val="20"/>
              </w:rPr>
              <w:t>kegreg</w:t>
            </w:r>
          </w:p>
        </w:tc>
        <w:tc>
          <w:tcPr>
            <w:tcW w:w="1596" w:type="dxa"/>
          </w:tcPr>
          <w:p w14:paraId="58097C1B" w14:textId="77777777" w:rsidR="0046798B" w:rsidRDefault="00903B5C">
            <w:pPr>
              <w:pStyle w:val="TableParagraph"/>
              <w:spacing w:before="43"/>
              <w:ind w:left="114" w:right="485"/>
              <w:rPr>
                <w:sz w:val="20"/>
              </w:rPr>
            </w:pPr>
            <w:r>
              <w:rPr>
                <w:sz w:val="20"/>
              </w:rPr>
              <w:t>Beer keg registration requirement</w:t>
            </w:r>
          </w:p>
        </w:tc>
        <w:tc>
          <w:tcPr>
            <w:tcW w:w="1285" w:type="dxa"/>
          </w:tcPr>
          <w:p w14:paraId="7EEB0A85" w14:textId="77777777" w:rsidR="0046798B" w:rsidRDefault="0046798B">
            <w:pPr>
              <w:pStyle w:val="TableParagraph"/>
              <w:spacing w:before="8"/>
              <w:rPr>
                <w:sz w:val="23"/>
              </w:rPr>
            </w:pPr>
          </w:p>
          <w:p w14:paraId="19FF940B" w14:textId="77777777" w:rsidR="0046798B" w:rsidRDefault="00903B5C">
            <w:pPr>
              <w:pStyle w:val="TableParagraph"/>
              <w:spacing w:before="1"/>
              <w:ind w:left="114"/>
              <w:rPr>
                <w:sz w:val="20"/>
              </w:rPr>
            </w:pPr>
            <w:r>
              <w:rPr>
                <w:sz w:val="20"/>
              </w:rPr>
              <w:t>1978–1999</w:t>
            </w:r>
          </w:p>
        </w:tc>
        <w:tc>
          <w:tcPr>
            <w:tcW w:w="3421" w:type="dxa"/>
          </w:tcPr>
          <w:p w14:paraId="7CDF2A0E" w14:textId="77777777" w:rsidR="0046798B" w:rsidRDefault="00903B5C">
            <w:pPr>
              <w:pStyle w:val="TableParagraph"/>
              <w:spacing w:before="158"/>
              <w:ind w:left="114" w:right="372"/>
              <w:rPr>
                <w:sz w:val="20"/>
              </w:rPr>
            </w:pPr>
            <w:r>
              <w:rPr>
                <w:sz w:val="20"/>
              </w:rPr>
              <w:t>Did state adopt beer keg registration requirement? (0 = no, 1 = yes)</w:t>
            </w:r>
          </w:p>
        </w:tc>
        <w:tc>
          <w:tcPr>
            <w:tcW w:w="6482" w:type="dxa"/>
          </w:tcPr>
          <w:p w14:paraId="185D66E8" w14:textId="77777777" w:rsidR="0046798B" w:rsidRDefault="00903B5C">
            <w:pPr>
              <w:pStyle w:val="TableParagraph"/>
              <w:spacing w:before="15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46647118" w14:textId="77777777">
        <w:trPr>
          <w:trHeight w:val="780"/>
        </w:trPr>
        <w:tc>
          <w:tcPr>
            <w:tcW w:w="1711" w:type="dxa"/>
          </w:tcPr>
          <w:p w14:paraId="3664B8C5" w14:textId="77777777" w:rsidR="0046798B" w:rsidRDefault="0046798B">
            <w:pPr>
              <w:pStyle w:val="TableParagraph"/>
              <w:spacing w:before="9"/>
              <w:rPr>
                <w:sz w:val="23"/>
              </w:rPr>
            </w:pPr>
          </w:p>
          <w:p w14:paraId="51113741" w14:textId="77777777" w:rsidR="0046798B" w:rsidRDefault="00903B5C">
            <w:pPr>
              <w:pStyle w:val="TableParagraph"/>
              <w:ind w:left="115"/>
              <w:rPr>
                <w:b/>
                <w:sz w:val="20"/>
              </w:rPr>
            </w:pPr>
            <w:r>
              <w:rPr>
                <w:b/>
                <w:sz w:val="20"/>
              </w:rPr>
              <w:t>medmar</w:t>
            </w:r>
          </w:p>
        </w:tc>
        <w:tc>
          <w:tcPr>
            <w:tcW w:w="1596" w:type="dxa"/>
          </w:tcPr>
          <w:p w14:paraId="1C81A2B7" w14:textId="77777777" w:rsidR="0046798B" w:rsidRDefault="00903B5C">
            <w:pPr>
              <w:pStyle w:val="TableParagraph"/>
              <w:spacing w:before="43"/>
              <w:ind w:left="114" w:right="102"/>
              <w:rPr>
                <w:sz w:val="20"/>
              </w:rPr>
            </w:pPr>
            <w:r>
              <w:rPr>
                <w:sz w:val="20"/>
              </w:rPr>
              <w:t>Symbolic medical marijuana policy</w:t>
            </w:r>
          </w:p>
        </w:tc>
        <w:tc>
          <w:tcPr>
            <w:tcW w:w="1285" w:type="dxa"/>
          </w:tcPr>
          <w:p w14:paraId="344C01C0" w14:textId="77777777" w:rsidR="0046798B" w:rsidRDefault="0046798B">
            <w:pPr>
              <w:pStyle w:val="TableParagraph"/>
              <w:spacing w:before="9"/>
              <w:rPr>
                <w:sz w:val="23"/>
              </w:rPr>
            </w:pPr>
          </w:p>
          <w:p w14:paraId="62EBF039" w14:textId="77777777" w:rsidR="0046798B" w:rsidRDefault="00903B5C">
            <w:pPr>
              <w:pStyle w:val="TableParagraph"/>
              <w:ind w:left="114"/>
              <w:rPr>
                <w:sz w:val="20"/>
              </w:rPr>
            </w:pPr>
            <w:r>
              <w:rPr>
                <w:sz w:val="20"/>
              </w:rPr>
              <w:t>1978–2008</w:t>
            </w:r>
          </w:p>
        </w:tc>
        <w:tc>
          <w:tcPr>
            <w:tcW w:w="3421" w:type="dxa"/>
          </w:tcPr>
          <w:p w14:paraId="106BB3DF" w14:textId="77777777" w:rsidR="0046798B" w:rsidRDefault="00903B5C">
            <w:pPr>
              <w:pStyle w:val="TableParagraph"/>
              <w:spacing w:before="158"/>
              <w:ind w:left="114" w:right="463"/>
              <w:rPr>
                <w:sz w:val="20"/>
              </w:rPr>
            </w:pPr>
            <w:r>
              <w:rPr>
                <w:sz w:val="20"/>
              </w:rPr>
              <w:t>Did state adopt symbolic medical marijuana policy? (0 = no, 1 = yes)</w:t>
            </w:r>
          </w:p>
        </w:tc>
        <w:tc>
          <w:tcPr>
            <w:tcW w:w="6482" w:type="dxa"/>
          </w:tcPr>
          <w:p w14:paraId="0EE01A7A" w14:textId="77777777" w:rsidR="0046798B" w:rsidRDefault="00903B5C">
            <w:pPr>
              <w:pStyle w:val="TableParagraph"/>
              <w:spacing w:before="15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520043ED" w14:textId="77777777">
        <w:trPr>
          <w:trHeight w:val="1005"/>
        </w:trPr>
        <w:tc>
          <w:tcPr>
            <w:tcW w:w="1711" w:type="dxa"/>
          </w:tcPr>
          <w:p w14:paraId="16537718" w14:textId="77777777" w:rsidR="0046798B" w:rsidRDefault="0046798B">
            <w:pPr>
              <w:pStyle w:val="TableParagraph"/>
            </w:pPr>
          </w:p>
          <w:p w14:paraId="1B0C913D" w14:textId="77777777" w:rsidR="0046798B" w:rsidRDefault="00903B5C">
            <w:pPr>
              <w:pStyle w:val="TableParagraph"/>
              <w:spacing w:before="130"/>
              <w:ind w:left="115"/>
              <w:rPr>
                <w:b/>
                <w:sz w:val="20"/>
              </w:rPr>
            </w:pPr>
            <w:r>
              <w:rPr>
                <w:b/>
                <w:sz w:val="20"/>
              </w:rPr>
              <w:t>methpre</w:t>
            </w:r>
          </w:p>
        </w:tc>
        <w:tc>
          <w:tcPr>
            <w:tcW w:w="1596" w:type="dxa"/>
          </w:tcPr>
          <w:p w14:paraId="4C2C8981" w14:textId="77777777" w:rsidR="0046798B" w:rsidRDefault="00903B5C">
            <w:pPr>
              <w:pStyle w:val="TableParagraph"/>
              <w:spacing w:before="38"/>
              <w:ind w:left="114" w:right="246"/>
              <w:rPr>
                <w:sz w:val="20"/>
              </w:rPr>
            </w:pPr>
            <w:r>
              <w:rPr>
                <w:sz w:val="20"/>
              </w:rPr>
              <w:t>Restrictions on OTC</w:t>
            </w:r>
          </w:p>
          <w:p w14:paraId="63A40A7B" w14:textId="77777777" w:rsidR="0046798B" w:rsidRDefault="00903B5C">
            <w:pPr>
              <w:pStyle w:val="TableParagraph"/>
              <w:ind w:left="114" w:right="485"/>
              <w:rPr>
                <w:sz w:val="20"/>
              </w:rPr>
            </w:pPr>
            <w:r>
              <w:rPr>
                <w:sz w:val="20"/>
              </w:rPr>
              <w:t>medications with</w:t>
            </w:r>
          </w:p>
        </w:tc>
        <w:tc>
          <w:tcPr>
            <w:tcW w:w="1285" w:type="dxa"/>
          </w:tcPr>
          <w:p w14:paraId="2732EAC0" w14:textId="77777777" w:rsidR="0046798B" w:rsidRDefault="0046798B">
            <w:pPr>
              <w:pStyle w:val="TableParagraph"/>
            </w:pPr>
          </w:p>
          <w:p w14:paraId="676487F6" w14:textId="77777777" w:rsidR="0046798B" w:rsidRDefault="00903B5C">
            <w:pPr>
              <w:pStyle w:val="TableParagraph"/>
              <w:spacing w:before="130"/>
              <w:ind w:left="114"/>
              <w:rPr>
                <w:sz w:val="20"/>
              </w:rPr>
            </w:pPr>
            <w:r>
              <w:rPr>
                <w:sz w:val="20"/>
              </w:rPr>
              <w:t>1996–2005</w:t>
            </w:r>
          </w:p>
        </w:tc>
        <w:tc>
          <w:tcPr>
            <w:tcW w:w="3421" w:type="dxa"/>
          </w:tcPr>
          <w:p w14:paraId="16C0DBC2" w14:textId="77777777" w:rsidR="0046798B" w:rsidRDefault="00903B5C">
            <w:pPr>
              <w:pStyle w:val="TableParagraph"/>
              <w:spacing w:before="153"/>
              <w:ind w:left="114" w:right="391"/>
              <w:jc w:val="both"/>
              <w:rPr>
                <w:sz w:val="20"/>
              </w:rPr>
            </w:pPr>
            <w:r>
              <w:rPr>
                <w:sz w:val="20"/>
              </w:rPr>
              <w:t>Did state adopt restrictions on OTC medications with methamphetamine precursors? (0 = no, 1 = yes)</w:t>
            </w:r>
          </w:p>
        </w:tc>
        <w:tc>
          <w:tcPr>
            <w:tcW w:w="6482" w:type="dxa"/>
          </w:tcPr>
          <w:p w14:paraId="7FBB70D2" w14:textId="77777777" w:rsidR="0046798B" w:rsidRDefault="0046798B">
            <w:pPr>
              <w:pStyle w:val="TableParagraph"/>
              <w:spacing w:before="3"/>
              <w:rPr>
                <w:sz w:val="23"/>
              </w:rPr>
            </w:pPr>
          </w:p>
          <w:p w14:paraId="54E43634" w14:textId="77777777" w:rsidR="0046798B" w:rsidRDefault="00903B5C">
            <w:pPr>
              <w:pStyle w:val="TableParagraph"/>
              <w:spacing w:before="1"/>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bl>
    <w:p w14:paraId="6F3ACF89" w14:textId="77777777" w:rsidR="0046798B" w:rsidRDefault="0046798B">
      <w:pPr>
        <w:rPr>
          <w:sz w:val="20"/>
        </w:rPr>
        <w:sectPr w:rsidR="0046798B">
          <w:pgSz w:w="15840" w:h="12240" w:orient="landscape"/>
          <w:pgMar w:top="1220" w:right="300" w:bottom="980" w:left="820" w:header="730" w:footer="787" w:gutter="0"/>
          <w:cols w:space="720"/>
        </w:sectPr>
      </w:pPr>
    </w:p>
    <w:p w14:paraId="3E389EF3"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5EBA23B3" w14:textId="77777777">
        <w:trPr>
          <w:trHeight w:val="542"/>
        </w:trPr>
        <w:tc>
          <w:tcPr>
            <w:tcW w:w="1711" w:type="dxa"/>
            <w:tcBorders>
              <w:bottom w:val="dotted" w:sz="6" w:space="0" w:color="BEBEBE"/>
            </w:tcBorders>
          </w:tcPr>
          <w:p w14:paraId="1D36A493" w14:textId="77777777" w:rsidR="0046798B" w:rsidRDefault="0046798B">
            <w:pPr>
              <w:pStyle w:val="TableParagraph"/>
              <w:rPr>
                <w:sz w:val="20"/>
              </w:rPr>
            </w:pPr>
          </w:p>
        </w:tc>
        <w:tc>
          <w:tcPr>
            <w:tcW w:w="1596" w:type="dxa"/>
            <w:tcBorders>
              <w:bottom w:val="dotted" w:sz="6" w:space="0" w:color="BEBEBE"/>
            </w:tcBorders>
          </w:tcPr>
          <w:p w14:paraId="54545C24" w14:textId="77777777" w:rsidR="0046798B" w:rsidRDefault="00903B5C">
            <w:pPr>
              <w:pStyle w:val="TableParagraph"/>
              <w:spacing w:before="43"/>
              <w:ind w:left="114" w:right="163"/>
              <w:rPr>
                <w:sz w:val="20"/>
              </w:rPr>
            </w:pPr>
            <w:r>
              <w:rPr>
                <w:sz w:val="20"/>
              </w:rPr>
              <w:t>methamphetami ne precursors</w:t>
            </w:r>
          </w:p>
        </w:tc>
        <w:tc>
          <w:tcPr>
            <w:tcW w:w="1285" w:type="dxa"/>
            <w:tcBorders>
              <w:bottom w:val="dotted" w:sz="6" w:space="0" w:color="BEBEBE"/>
            </w:tcBorders>
          </w:tcPr>
          <w:p w14:paraId="435FA885" w14:textId="77777777" w:rsidR="0046798B" w:rsidRDefault="0046798B">
            <w:pPr>
              <w:pStyle w:val="TableParagraph"/>
              <w:rPr>
                <w:sz w:val="20"/>
              </w:rPr>
            </w:pPr>
          </w:p>
        </w:tc>
        <w:tc>
          <w:tcPr>
            <w:tcW w:w="3421" w:type="dxa"/>
            <w:tcBorders>
              <w:bottom w:val="dotted" w:sz="6" w:space="0" w:color="BEBEBE"/>
            </w:tcBorders>
          </w:tcPr>
          <w:p w14:paraId="47D0CF2E" w14:textId="77777777" w:rsidR="0046798B" w:rsidRDefault="0046798B">
            <w:pPr>
              <w:pStyle w:val="TableParagraph"/>
              <w:rPr>
                <w:sz w:val="20"/>
              </w:rPr>
            </w:pPr>
          </w:p>
        </w:tc>
        <w:tc>
          <w:tcPr>
            <w:tcW w:w="6482" w:type="dxa"/>
            <w:tcBorders>
              <w:bottom w:val="dotted" w:sz="6" w:space="0" w:color="BEBEBE"/>
            </w:tcBorders>
          </w:tcPr>
          <w:p w14:paraId="30A901E3" w14:textId="77777777" w:rsidR="0046798B" w:rsidRDefault="0046798B">
            <w:pPr>
              <w:pStyle w:val="TableParagraph"/>
              <w:rPr>
                <w:sz w:val="20"/>
              </w:rPr>
            </w:pPr>
          </w:p>
        </w:tc>
      </w:tr>
      <w:tr w:rsidR="0046798B" w14:paraId="412FC236" w14:textId="77777777">
        <w:trPr>
          <w:trHeight w:val="542"/>
        </w:trPr>
        <w:tc>
          <w:tcPr>
            <w:tcW w:w="1711" w:type="dxa"/>
            <w:tcBorders>
              <w:top w:val="dotted" w:sz="6" w:space="0" w:color="BEBEBE"/>
            </w:tcBorders>
          </w:tcPr>
          <w:p w14:paraId="25F879BF" w14:textId="77777777" w:rsidR="0046798B" w:rsidRDefault="00903B5C">
            <w:pPr>
              <w:pStyle w:val="TableParagraph"/>
              <w:spacing w:before="155"/>
              <w:ind w:left="115"/>
              <w:rPr>
                <w:b/>
                <w:sz w:val="20"/>
              </w:rPr>
            </w:pPr>
            <w:r>
              <w:rPr>
                <w:b/>
                <w:sz w:val="20"/>
              </w:rPr>
              <w:t>mlda21</w:t>
            </w:r>
          </w:p>
        </w:tc>
        <w:tc>
          <w:tcPr>
            <w:tcW w:w="1596" w:type="dxa"/>
            <w:tcBorders>
              <w:top w:val="dotted" w:sz="6" w:space="0" w:color="BEBEBE"/>
            </w:tcBorders>
          </w:tcPr>
          <w:p w14:paraId="4863678F" w14:textId="77777777" w:rsidR="0046798B" w:rsidRDefault="00903B5C">
            <w:pPr>
              <w:pStyle w:val="TableParagraph"/>
              <w:spacing w:before="40"/>
              <w:ind w:left="114" w:right="196"/>
              <w:rPr>
                <w:sz w:val="20"/>
              </w:rPr>
            </w:pPr>
            <w:r>
              <w:rPr>
                <w:sz w:val="20"/>
              </w:rPr>
              <w:t>Minimum legal drinking age 21</w:t>
            </w:r>
          </w:p>
        </w:tc>
        <w:tc>
          <w:tcPr>
            <w:tcW w:w="1285" w:type="dxa"/>
            <w:tcBorders>
              <w:top w:val="dotted" w:sz="6" w:space="0" w:color="BEBEBE"/>
            </w:tcBorders>
          </w:tcPr>
          <w:p w14:paraId="2888A441" w14:textId="77777777" w:rsidR="0046798B" w:rsidRDefault="00903B5C">
            <w:pPr>
              <w:pStyle w:val="TableParagraph"/>
              <w:spacing w:before="155"/>
              <w:ind w:left="114"/>
              <w:rPr>
                <w:sz w:val="20"/>
              </w:rPr>
            </w:pPr>
            <w:r>
              <w:rPr>
                <w:sz w:val="20"/>
              </w:rPr>
              <w:t>1933–1988</w:t>
            </w:r>
          </w:p>
        </w:tc>
        <w:tc>
          <w:tcPr>
            <w:tcW w:w="3421" w:type="dxa"/>
            <w:tcBorders>
              <w:top w:val="dotted" w:sz="6" w:space="0" w:color="BEBEBE"/>
            </w:tcBorders>
          </w:tcPr>
          <w:p w14:paraId="1D121A25" w14:textId="77777777" w:rsidR="0046798B" w:rsidRDefault="00903B5C">
            <w:pPr>
              <w:pStyle w:val="TableParagraph"/>
              <w:spacing w:before="40"/>
              <w:ind w:left="114" w:right="557"/>
              <w:rPr>
                <w:sz w:val="20"/>
              </w:rPr>
            </w:pPr>
            <w:r>
              <w:rPr>
                <w:sz w:val="20"/>
              </w:rPr>
              <w:t>Did state adopt minimum legal drinking age 21? (0 = no, 1 = yes)</w:t>
            </w:r>
          </w:p>
        </w:tc>
        <w:tc>
          <w:tcPr>
            <w:tcW w:w="6482" w:type="dxa"/>
            <w:tcBorders>
              <w:top w:val="dotted" w:sz="6" w:space="0" w:color="BEBEBE"/>
            </w:tcBorders>
          </w:tcPr>
          <w:p w14:paraId="5A81D0AF" w14:textId="77777777" w:rsidR="0046798B" w:rsidRDefault="00903B5C">
            <w:pPr>
              <w:pStyle w:val="TableParagraph"/>
              <w:spacing w:before="40"/>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36A29D14" w14:textId="77777777">
        <w:trPr>
          <w:trHeight w:val="550"/>
        </w:trPr>
        <w:tc>
          <w:tcPr>
            <w:tcW w:w="1711" w:type="dxa"/>
          </w:tcPr>
          <w:p w14:paraId="603A5606" w14:textId="77777777" w:rsidR="0046798B" w:rsidRDefault="00903B5C">
            <w:pPr>
              <w:pStyle w:val="TableParagraph"/>
              <w:spacing w:before="158"/>
              <w:ind w:left="115"/>
              <w:rPr>
                <w:b/>
                <w:sz w:val="20"/>
              </w:rPr>
            </w:pPr>
            <w:r>
              <w:rPr>
                <w:b/>
                <w:sz w:val="20"/>
              </w:rPr>
              <w:t>smokeban</w:t>
            </w:r>
          </w:p>
        </w:tc>
        <w:tc>
          <w:tcPr>
            <w:tcW w:w="1596" w:type="dxa"/>
          </w:tcPr>
          <w:p w14:paraId="39031E2A" w14:textId="77777777" w:rsidR="0046798B" w:rsidRDefault="00903B5C">
            <w:pPr>
              <w:pStyle w:val="TableParagraph"/>
              <w:spacing w:before="43"/>
              <w:ind w:left="114" w:right="424"/>
              <w:rPr>
                <w:sz w:val="20"/>
              </w:rPr>
            </w:pPr>
            <w:r>
              <w:rPr>
                <w:sz w:val="20"/>
              </w:rPr>
              <w:t>Statewide smoking ban</w:t>
            </w:r>
          </w:p>
        </w:tc>
        <w:tc>
          <w:tcPr>
            <w:tcW w:w="1285" w:type="dxa"/>
          </w:tcPr>
          <w:p w14:paraId="47A90002" w14:textId="77777777" w:rsidR="0046798B" w:rsidRDefault="00903B5C">
            <w:pPr>
              <w:pStyle w:val="TableParagraph"/>
              <w:spacing w:before="158"/>
              <w:ind w:left="114"/>
              <w:rPr>
                <w:sz w:val="20"/>
              </w:rPr>
            </w:pPr>
            <w:r>
              <w:rPr>
                <w:sz w:val="20"/>
              </w:rPr>
              <w:t>1995–2009</w:t>
            </w:r>
          </w:p>
        </w:tc>
        <w:tc>
          <w:tcPr>
            <w:tcW w:w="3421" w:type="dxa"/>
          </w:tcPr>
          <w:p w14:paraId="397222E5" w14:textId="77777777" w:rsidR="0046798B" w:rsidRDefault="00903B5C">
            <w:pPr>
              <w:pStyle w:val="TableParagraph"/>
              <w:spacing w:before="43"/>
              <w:ind w:left="114" w:right="94"/>
              <w:rPr>
                <w:sz w:val="20"/>
              </w:rPr>
            </w:pPr>
            <w:r>
              <w:rPr>
                <w:sz w:val="20"/>
              </w:rPr>
              <w:t>Did state adopt statewide smoking ban? (0 = no, 1 = yes)</w:t>
            </w:r>
          </w:p>
        </w:tc>
        <w:tc>
          <w:tcPr>
            <w:tcW w:w="6482" w:type="dxa"/>
          </w:tcPr>
          <w:p w14:paraId="6AB180AF" w14:textId="77777777" w:rsidR="0046798B" w:rsidRDefault="00903B5C">
            <w:pPr>
              <w:pStyle w:val="TableParagraph"/>
              <w:spacing w:before="4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64C2C0A2" w14:textId="77777777">
        <w:trPr>
          <w:trHeight w:val="1005"/>
        </w:trPr>
        <w:tc>
          <w:tcPr>
            <w:tcW w:w="1711" w:type="dxa"/>
          </w:tcPr>
          <w:p w14:paraId="1770EA80" w14:textId="77777777" w:rsidR="0046798B" w:rsidRDefault="0046798B">
            <w:pPr>
              <w:pStyle w:val="TableParagraph"/>
            </w:pPr>
          </w:p>
          <w:p w14:paraId="61E0E8FF" w14:textId="77777777" w:rsidR="0046798B" w:rsidRDefault="00903B5C">
            <w:pPr>
              <w:pStyle w:val="TableParagraph"/>
              <w:spacing w:before="130"/>
              <w:ind w:left="115"/>
              <w:rPr>
                <w:b/>
                <w:sz w:val="20"/>
              </w:rPr>
            </w:pPr>
            <w:r>
              <w:rPr>
                <w:b/>
                <w:sz w:val="20"/>
              </w:rPr>
              <w:t>zerotol</w:t>
            </w:r>
          </w:p>
        </w:tc>
        <w:tc>
          <w:tcPr>
            <w:tcW w:w="1596" w:type="dxa"/>
          </w:tcPr>
          <w:p w14:paraId="0C5756D5" w14:textId="77777777" w:rsidR="0046798B" w:rsidRDefault="00903B5C">
            <w:pPr>
              <w:pStyle w:val="TableParagraph"/>
              <w:spacing w:before="38"/>
              <w:ind w:left="114" w:right="211"/>
              <w:rPr>
                <w:sz w:val="20"/>
              </w:rPr>
            </w:pPr>
            <w:r>
              <w:rPr>
                <w:sz w:val="20"/>
              </w:rPr>
              <w:t>Zero tolerance (&lt;.02 BAC) for</w:t>
            </w:r>
          </w:p>
          <w:p w14:paraId="0DAAD4D7" w14:textId="77777777" w:rsidR="0046798B" w:rsidRDefault="00903B5C">
            <w:pPr>
              <w:pStyle w:val="TableParagraph"/>
              <w:ind w:left="114" w:right="719"/>
              <w:rPr>
                <w:sz w:val="20"/>
              </w:rPr>
            </w:pPr>
            <w:r>
              <w:rPr>
                <w:sz w:val="20"/>
              </w:rPr>
              <w:t>underage drinking</w:t>
            </w:r>
          </w:p>
        </w:tc>
        <w:tc>
          <w:tcPr>
            <w:tcW w:w="1285" w:type="dxa"/>
          </w:tcPr>
          <w:p w14:paraId="6DB3FD11" w14:textId="77777777" w:rsidR="0046798B" w:rsidRDefault="0046798B">
            <w:pPr>
              <w:pStyle w:val="TableParagraph"/>
            </w:pPr>
          </w:p>
          <w:p w14:paraId="2D006186" w14:textId="77777777" w:rsidR="0046798B" w:rsidRDefault="00903B5C">
            <w:pPr>
              <w:pStyle w:val="TableParagraph"/>
              <w:spacing w:before="130"/>
              <w:ind w:left="114"/>
              <w:rPr>
                <w:sz w:val="20"/>
              </w:rPr>
            </w:pPr>
            <w:r>
              <w:rPr>
                <w:sz w:val="20"/>
              </w:rPr>
              <w:t>1983–1998</w:t>
            </w:r>
          </w:p>
        </w:tc>
        <w:tc>
          <w:tcPr>
            <w:tcW w:w="3421" w:type="dxa"/>
          </w:tcPr>
          <w:p w14:paraId="02AA1E56" w14:textId="77777777" w:rsidR="0046798B" w:rsidRDefault="00903B5C">
            <w:pPr>
              <w:pStyle w:val="TableParagraph"/>
              <w:spacing w:before="153"/>
              <w:ind w:left="114" w:right="87"/>
              <w:rPr>
                <w:sz w:val="20"/>
              </w:rPr>
            </w:pPr>
            <w:r>
              <w:rPr>
                <w:sz w:val="20"/>
              </w:rPr>
              <w:t>Did state adopt zero tolerance (&lt;.02 BAC) for underage drinking? (0 = no, 1</w:t>
            </w:r>
          </w:p>
          <w:p w14:paraId="535A75C0" w14:textId="77777777" w:rsidR="0046798B" w:rsidRDefault="00903B5C">
            <w:pPr>
              <w:pStyle w:val="TableParagraph"/>
              <w:ind w:left="114"/>
              <w:rPr>
                <w:sz w:val="20"/>
              </w:rPr>
            </w:pPr>
            <w:r>
              <w:rPr>
                <w:sz w:val="20"/>
              </w:rPr>
              <w:t>= yes)</w:t>
            </w:r>
          </w:p>
        </w:tc>
        <w:tc>
          <w:tcPr>
            <w:tcW w:w="6482" w:type="dxa"/>
          </w:tcPr>
          <w:p w14:paraId="50641C8B" w14:textId="77777777" w:rsidR="0046798B" w:rsidRDefault="0046798B">
            <w:pPr>
              <w:pStyle w:val="TableParagraph"/>
              <w:spacing w:before="3"/>
              <w:rPr>
                <w:sz w:val="23"/>
              </w:rPr>
            </w:pPr>
          </w:p>
          <w:p w14:paraId="2BA7F084" w14:textId="77777777" w:rsidR="0046798B" w:rsidRDefault="00903B5C">
            <w:pPr>
              <w:pStyle w:val="TableParagraph"/>
              <w:spacing w:before="1"/>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4C33ECA8" w14:textId="77777777">
        <w:trPr>
          <w:trHeight w:val="775"/>
        </w:trPr>
        <w:tc>
          <w:tcPr>
            <w:tcW w:w="1711" w:type="dxa"/>
          </w:tcPr>
          <w:p w14:paraId="1E64E809" w14:textId="77777777" w:rsidR="0046798B" w:rsidRDefault="0046798B">
            <w:pPr>
              <w:pStyle w:val="TableParagraph"/>
              <w:spacing w:before="4"/>
              <w:rPr>
                <w:sz w:val="23"/>
              </w:rPr>
            </w:pPr>
          </w:p>
          <w:p w14:paraId="20266B4D" w14:textId="77777777" w:rsidR="0046798B" w:rsidRDefault="00903B5C">
            <w:pPr>
              <w:pStyle w:val="TableParagraph"/>
              <w:ind w:left="115"/>
              <w:rPr>
                <w:b/>
                <w:sz w:val="20"/>
              </w:rPr>
            </w:pPr>
            <w:r>
              <w:rPr>
                <w:b/>
                <w:sz w:val="20"/>
              </w:rPr>
              <w:t>beer_tax</w:t>
            </w:r>
          </w:p>
        </w:tc>
        <w:tc>
          <w:tcPr>
            <w:tcW w:w="1596" w:type="dxa"/>
          </w:tcPr>
          <w:p w14:paraId="7CEF2E21" w14:textId="77777777" w:rsidR="0046798B" w:rsidRDefault="0046798B">
            <w:pPr>
              <w:pStyle w:val="TableParagraph"/>
              <w:spacing w:before="4"/>
              <w:rPr>
                <w:sz w:val="23"/>
              </w:rPr>
            </w:pPr>
          </w:p>
          <w:p w14:paraId="7EC99AED" w14:textId="77777777" w:rsidR="0046798B" w:rsidRDefault="00903B5C">
            <w:pPr>
              <w:pStyle w:val="TableParagraph"/>
              <w:ind w:left="114"/>
              <w:rPr>
                <w:sz w:val="20"/>
              </w:rPr>
            </w:pPr>
            <w:r>
              <w:rPr>
                <w:sz w:val="20"/>
              </w:rPr>
              <w:t>Beer tax rate</w:t>
            </w:r>
          </w:p>
        </w:tc>
        <w:tc>
          <w:tcPr>
            <w:tcW w:w="1285" w:type="dxa"/>
          </w:tcPr>
          <w:p w14:paraId="17496884" w14:textId="77777777" w:rsidR="0046798B" w:rsidRDefault="0046798B">
            <w:pPr>
              <w:pStyle w:val="TableParagraph"/>
              <w:spacing w:before="4"/>
              <w:rPr>
                <w:sz w:val="23"/>
              </w:rPr>
            </w:pPr>
          </w:p>
          <w:p w14:paraId="763B5183" w14:textId="77777777" w:rsidR="0046798B" w:rsidRDefault="00903B5C">
            <w:pPr>
              <w:pStyle w:val="TableParagraph"/>
              <w:ind w:left="114"/>
              <w:rPr>
                <w:sz w:val="20"/>
              </w:rPr>
            </w:pPr>
            <w:r>
              <w:rPr>
                <w:sz w:val="20"/>
              </w:rPr>
              <w:t>2009–2013</w:t>
            </w:r>
          </w:p>
        </w:tc>
        <w:tc>
          <w:tcPr>
            <w:tcW w:w="3421" w:type="dxa"/>
          </w:tcPr>
          <w:p w14:paraId="5CB30C51" w14:textId="77777777" w:rsidR="0046798B" w:rsidRDefault="00903B5C">
            <w:pPr>
              <w:pStyle w:val="TableParagraph"/>
              <w:spacing w:before="38"/>
              <w:ind w:left="114"/>
              <w:rPr>
                <w:sz w:val="20"/>
              </w:rPr>
            </w:pPr>
            <w:r>
              <w:rPr>
                <w:sz w:val="20"/>
              </w:rPr>
              <w:t>State tax on beer in dollars per gallon</w:t>
            </w:r>
          </w:p>
          <w:p w14:paraId="5BEC77D6" w14:textId="77777777" w:rsidR="0046798B" w:rsidRDefault="0046798B">
            <w:pPr>
              <w:pStyle w:val="TableParagraph"/>
              <w:rPr>
                <w:sz w:val="20"/>
              </w:rPr>
            </w:pPr>
          </w:p>
          <w:p w14:paraId="19BE229D" w14:textId="77777777" w:rsidR="0046798B" w:rsidRDefault="00903B5C">
            <w:pPr>
              <w:pStyle w:val="TableParagraph"/>
              <w:ind w:left="114"/>
              <w:rPr>
                <w:sz w:val="20"/>
              </w:rPr>
            </w:pPr>
            <w:r>
              <w:rPr>
                <w:sz w:val="20"/>
              </w:rPr>
              <w:t>Note: 2012 data coded on 9/1/2011</w:t>
            </w:r>
          </w:p>
        </w:tc>
        <w:tc>
          <w:tcPr>
            <w:tcW w:w="6482" w:type="dxa"/>
          </w:tcPr>
          <w:p w14:paraId="2E429AA8" w14:textId="77777777" w:rsidR="0046798B" w:rsidRDefault="00903B5C">
            <w:pPr>
              <w:pStyle w:val="TableParagraph"/>
              <w:spacing w:before="153"/>
              <w:ind w:left="114" w:right="111"/>
              <w:rPr>
                <w:i/>
                <w:sz w:val="20"/>
              </w:rPr>
            </w:pPr>
            <w:r>
              <w:rPr>
                <w:sz w:val="20"/>
              </w:rPr>
              <w:t xml:space="preserve">Tax Foundation. “How High Are Beer Taxes in Your State?” </w:t>
            </w:r>
            <w:r>
              <w:rPr>
                <w:i/>
                <w:sz w:val="20"/>
              </w:rPr>
              <w:t>Center for State Tax Policy.</w:t>
            </w:r>
          </w:p>
        </w:tc>
      </w:tr>
      <w:tr w:rsidR="0046798B" w14:paraId="77CC2CDF" w14:textId="77777777">
        <w:trPr>
          <w:trHeight w:val="1005"/>
        </w:trPr>
        <w:tc>
          <w:tcPr>
            <w:tcW w:w="1711" w:type="dxa"/>
          </w:tcPr>
          <w:p w14:paraId="7F0AC9C3" w14:textId="77777777" w:rsidR="0046798B" w:rsidRDefault="0046798B">
            <w:pPr>
              <w:pStyle w:val="TableParagraph"/>
            </w:pPr>
          </w:p>
          <w:p w14:paraId="5BEB2AC9" w14:textId="77777777" w:rsidR="0046798B" w:rsidRDefault="00903B5C">
            <w:pPr>
              <w:pStyle w:val="TableParagraph"/>
              <w:spacing w:before="135"/>
              <w:ind w:left="115"/>
              <w:rPr>
                <w:b/>
                <w:sz w:val="20"/>
              </w:rPr>
            </w:pPr>
            <w:r>
              <w:rPr>
                <w:b/>
                <w:sz w:val="20"/>
              </w:rPr>
              <w:t>beer_tax_rank</w:t>
            </w:r>
          </w:p>
        </w:tc>
        <w:tc>
          <w:tcPr>
            <w:tcW w:w="1596" w:type="dxa"/>
          </w:tcPr>
          <w:p w14:paraId="67D53F0D" w14:textId="77777777" w:rsidR="0046798B" w:rsidRDefault="0046798B">
            <w:pPr>
              <w:pStyle w:val="TableParagraph"/>
              <w:spacing w:before="8"/>
              <w:rPr>
                <w:sz w:val="23"/>
              </w:rPr>
            </w:pPr>
          </w:p>
          <w:p w14:paraId="7AE0D459" w14:textId="77777777" w:rsidR="0046798B" w:rsidRDefault="00903B5C">
            <w:pPr>
              <w:pStyle w:val="TableParagraph"/>
              <w:spacing w:before="1"/>
              <w:ind w:left="114" w:right="163"/>
              <w:rPr>
                <w:sz w:val="20"/>
              </w:rPr>
            </w:pPr>
            <w:r>
              <w:rPr>
                <w:sz w:val="20"/>
              </w:rPr>
              <w:t>Ranking of beer tax rate</w:t>
            </w:r>
          </w:p>
        </w:tc>
        <w:tc>
          <w:tcPr>
            <w:tcW w:w="1285" w:type="dxa"/>
          </w:tcPr>
          <w:p w14:paraId="1E3F597D" w14:textId="77777777" w:rsidR="0046798B" w:rsidRDefault="0046798B">
            <w:pPr>
              <w:pStyle w:val="TableParagraph"/>
            </w:pPr>
          </w:p>
          <w:p w14:paraId="7F58CD53" w14:textId="77777777" w:rsidR="0046798B" w:rsidRDefault="00903B5C">
            <w:pPr>
              <w:pStyle w:val="TableParagraph"/>
              <w:spacing w:before="135"/>
              <w:ind w:left="114"/>
              <w:rPr>
                <w:sz w:val="20"/>
              </w:rPr>
            </w:pPr>
            <w:r>
              <w:rPr>
                <w:sz w:val="20"/>
              </w:rPr>
              <w:t>2009–2013</w:t>
            </w:r>
          </w:p>
        </w:tc>
        <w:tc>
          <w:tcPr>
            <w:tcW w:w="3421" w:type="dxa"/>
          </w:tcPr>
          <w:p w14:paraId="0CC9DCD8" w14:textId="77777777" w:rsidR="0046798B" w:rsidRDefault="00903B5C">
            <w:pPr>
              <w:pStyle w:val="TableParagraph"/>
              <w:spacing w:before="43"/>
              <w:ind w:left="114" w:right="322"/>
              <w:rPr>
                <w:sz w:val="20"/>
              </w:rPr>
            </w:pPr>
            <w:r>
              <w:rPr>
                <w:sz w:val="20"/>
              </w:rPr>
              <w:t>Ranking of beer tax rate amongst the states</w:t>
            </w:r>
          </w:p>
          <w:p w14:paraId="372A0F54" w14:textId="77777777" w:rsidR="0046798B" w:rsidRDefault="0046798B">
            <w:pPr>
              <w:pStyle w:val="TableParagraph"/>
              <w:rPr>
                <w:sz w:val="20"/>
              </w:rPr>
            </w:pPr>
          </w:p>
          <w:p w14:paraId="639AE095" w14:textId="77777777" w:rsidR="0046798B" w:rsidRDefault="00903B5C">
            <w:pPr>
              <w:pStyle w:val="TableParagraph"/>
              <w:ind w:left="114"/>
              <w:rPr>
                <w:sz w:val="20"/>
              </w:rPr>
            </w:pPr>
            <w:r>
              <w:rPr>
                <w:sz w:val="20"/>
              </w:rPr>
              <w:t>Note: 2012 data coded on 9/1/2011</w:t>
            </w:r>
          </w:p>
        </w:tc>
        <w:tc>
          <w:tcPr>
            <w:tcW w:w="6482" w:type="dxa"/>
          </w:tcPr>
          <w:p w14:paraId="47A69084" w14:textId="77777777" w:rsidR="0046798B" w:rsidRDefault="0046798B">
            <w:pPr>
              <w:pStyle w:val="TableParagraph"/>
              <w:spacing w:before="8"/>
              <w:rPr>
                <w:sz w:val="23"/>
              </w:rPr>
            </w:pPr>
          </w:p>
          <w:p w14:paraId="5C02F05E" w14:textId="77777777" w:rsidR="0046798B" w:rsidRDefault="00903B5C">
            <w:pPr>
              <w:pStyle w:val="TableParagraph"/>
              <w:spacing w:before="1"/>
              <w:ind w:left="114" w:right="111"/>
              <w:rPr>
                <w:i/>
                <w:sz w:val="20"/>
              </w:rPr>
            </w:pPr>
            <w:r>
              <w:rPr>
                <w:sz w:val="20"/>
              </w:rPr>
              <w:t xml:space="preserve">Tax Foundation. “How High Are Beer Taxes in Your State?” </w:t>
            </w:r>
            <w:r>
              <w:rPr>
                <w:i/>
                <w:sz w:val="20"/>
              </w:rPr>
              <w:t>Center for State Tax Policy.</w:t>
            </w:r>
          </w:p>
        </w:tc>
      </w:tr>
      <w:tr w:rsidR="0046798B" w14:paraId="25514FA1" w14:textId="77777777">
        <w:trPr>
          <w:trHeight w:val="1005"/>
        </w:trPr>
        <w:tc>
          <w:tcPr>
            <w:tcW w:w="1711" w:type="dxa"/>
          </w:tcPr>
          <w:p w14:paraId="6EE26856" w14:textId="77777777" w:rsidR="0046798B" w:rsidRDefault="0046798B">
            <w:pPr>
              <w:pStyle w:val="TableParagraph"/>
            </w:pPr>
          </w:p>
          <w:p w14:paraId="7EC998DC" w14:textId="77777777" w:rsidR="0046798B" w:rsidRDefault="00903B5C">
            <w:pPr>
              <w:pStyle w:val="TableParagraph"/>
              <w:spacing w:before="135"/>
              <w:ind w:left="115"/>
              <w:rPr>
                <w:b/>
                <w:sz w:val="20"/>
              </w:rPr>
            </w:pPr>
            <w:r>
              <w:rPr>
                <w:b/>
                <w:sz w:val="20"/>
              </w:rPr>
              <w:t>spirit_tax</w:t>
            </w:r>
          </w:p>
        </w:tc>
        <w:tc>
          <w:tcPr>
            <w:tcW w:w="1596" w:type="dxa"/>
          </w:tcPr>
          <w:p w14:paraId="16FA263D" w14:textId="77777777" w:rsidR="0046798B" w:rsidRDefault="0046798B">
            <w:pPr>
              <w:pStyle w:val="TableParagraph"/>
            </w:pPr>
          </w:p>
          <w:p w14:paraId="15999E72" w14:textId="77777777" w:rsidR="0046798B" w:rsidRDefault="00903B5C">
            <w:pPr>
              <w:pStyle w:val="TableParagraph"/>
              <w:spacing w:before="135"/>
              <w:ind w:left="114"/>
              <w:rPr>
                <w:sz w:val="20"/>
              </w:rPr>
            </w:pPr>
            <w:r>
              <w:rPr>
                <w:sz w:val="20"/>
              </w:rPr>
              <w:t>Spirit tax rate</w:t>
            </w:r>
          </w:p>
        </w:tc>
        <w:tc>
          <w:tcPr>
            <w:tcW w:w="1285" w:type="dxa"/>
          </w:tcPr>
          <w:p w14:paraId="41603C4D" w14:textId="77777777" w:rsidR="0046798B" w:rsidRDefault="0046798B">
            <w:pPr>
              <w:pStyle w:val="TableParagraph"/>
              <w:spacing w:before="8"/>
              <w:rPr>
                <w:sz w:val="23"/>
              </w:rPr>
            </w:pPr>
          </w:p>
          <w:p w14:paraId="23F63B5A" w14:textId="77777777" w:rsidR="0046798B" w:rsidRDefault="00903B5C">
            <w:pPr>
              <w:pStyle w:val="TableParagraph"/>
              <w:spacing w:before="1"/>
              <w:ind w:left="114"/>
              <w:rPr>
                <w:sz w:val="20"/>
              </w:rPr>
            </w:pPr>
            <w:r>
              <w:rPr>
                <w:sz w:val="20"/>
              </w:rPr>
              <w:t>2007, 2009–</w:t>
            </w:r>
          </w:p>
          <w:p w14:paraId="384FBC52" w14:textId="77777777" w:rsidR="0046798B" w:rsidRDefault="00903B5C">
            <w:pPr>
              <w:pStyle w:val="TableParagraph"/>
              <w:ind w:left="114"/>
              <w:rPr>
                <w:sz w:val="20"/>
              </w:rPr>
            </w:pPr>
            <w:r>
              <w:rPr>
                <w:sz w:val="20"/>
              </w:rPr>
              <w:t>2013</w:t>
            </w:r>
          </w:p>
        </w:tc>
        <w:tc>
          <w:tcPr>
            <w:tcW w:w="3421" w:type="dxa"/>
          </w:tcPr>
          <w:p w14:paraId="65F85A59" w14:textId="77777777" w:rsidR="0046798B" w:rsidRDefault="00903B5C">
            <w:pPr>
              <w:pStyle w:val="TableParagraph"/>
              <w:spacing w:before="43"/>
              <w:ind w:left="114"/>
              <w:rPr>
                <w:sz w:val="20"/>
              </w:rPr>
            </w:pPr>
            <w:r>
              <w:rPr>
                <w:sz w:val="20"/>
              </w:rPr>
              <w:t>State tax on spirits in dollars per gallon</w:t>
            </w:r>
          </w:p>
          <w:p w14:paraId="03AEE9E5" w14:textId="77777777" w:rsidR="0046798B" w:rsidRDefault="0046798B">
            <w:pPr>
              <w:pStyle w:val="TableParagraph"/>
              <w:rPr>
                <w:sz w:val="20"/>
              </w:rPr>
            </w:pPr>
          </w:p>
          <w:p w14:paraId="684F9655" w14:textId="77777777" w:rsidR="0046798B" w:rsidRDefault="00903B5C">
            <w:pPr>
              <w:pStyle w:val="TableParagraph"/>
              <w:ind w:left="114" w:right="405"/>
              <w:rPr>
                <w:sz w:val="20"/>
              </w:rPr>
            </w:pPr>
            <w:r>
              <w:rPr>
                <w:sz w:val="20"/>
              </w:rPr>
              <w:t>Note: 2012 data coded on 9/1/2011; 2010 data coded on 9/1/2010</w:t>
            </w:r>
          </w:p>
        </w:tc>
        <w:tc>
          <w:tcPr>
            <w:tcW w:w="6482" w:type="dxa"/>
          </w:tcPr>
          <w:p w14:paraId="50473829" w14:textId="77777777" w:rsidR="0046798B" w:rsidRDefault="0046798B">
            <w:pPr>
              <w:pStyle w:val="TableParagraph"/>
              <w:spacing w:before="8"/>
              <w:rPr>
                <w:sz w:val="23"/>
              </w:rPr>
            </w:pPr>
          </w:p>
          <w:p w14:paraId="57424B58" w14:textId="77777777" w:rsidR="0046798B" w:rsidRDefault="00903B5C">
            <w:pPr>
              <w:pStyle w:val="TableParagraph"/>
              <w:spacing w:before="1"/>
              <w:ind w:left="114" w:right="111"/>
              <w:rPr>
                <w:i/>
                <w:sz w:val="20"/>
              </w:rPr>
            </w:pPr>
            <w:r>
              <w:rPr>
                <w:sz w:val="20"/>
              </w:rPr>
              <w:t xml:space="preserve">Tax Foundation. “How High Are Beer Taxes in Your State?” </w:t>
            </w:r>
            <w:r>
              <w:rPr>
                <w:i/>
                <w:sz w:val="20"/>
              </w:rPr>
              <w:t>Center for State Tax Policy.</w:t>
            </w:r>
          </w:p>
        </w:tc>
      </w:tr>
      <w:tr w:rsidR="0046798B" w14:paraId="1D5EFF65" w14:textId="77777777">
        <w:trPr>
          <w:trHeight w:val="1235"/>
        </w:trPr>
        <w:tc>
          <w:tcPr>
            <w:tcW w:w="1711" w:type="dxa"/>
          </w:tcPr>
          <w:p w14:paraId="3B68931A" w14:textId="77777777" w:rsidR="0046798B" w:rsidRDefault="0046798B">
            <w:pPr>
              <w:pStyle w:val="TableParagraph"/>
            </w:pPr>
          </w:p>
          <w:p w14:paraId="35E02E74" w14:textId="77777777" w:rsidR="0046798B" w:rsidRDefault="0046798B">
            <w:pPr>
              <w:pStyle w:val="TableParagraph"/>
              <w:spacing w:before="8"/>
              <w:rPr>
                <w:sz w:val="21"/>
              </w:rPr>
            </w:pPr>
          </w:p>
          <w:p w14:paraId="7462E218" w14:textId="77777777" w:rsidR="0046798B" w:rsidRDefault="00903B5C">
            <w:pPr>
              <w:pStyle w:val="TableParagraph"/>
              <w:spacing w:before="1"/>
              <w:ind w:left="115"/>
              <w:rPr>
                <w:b/>
                <w:sz w:val="20"/>
              </w:rPr>
            </w:pPr>
            <w:r>
              <w:rPr>
                <w:b/>
                <w:sz w:val="20"/>
              </w:rPr>
              <w:t>spirit_tax_rank</w:t>
            </w:r>
          </w:p>
        </w:tc>
        <w:tc>
          <w:tcPr>
            <w:tcW w:w="1596" w:type="dxa"/>
          </w:tcPr>
          <w:p w14:paraId="10889747" w14:textId="77777777" w:rsidR="0046798B" w:rsidRDefault="0046798B">
            <w:pPr>
              <w:pStyle w:val="TableParagraph"/>
            </w:pPr>
          </w:p>
          <w:p w14:paraId="63202947" w14:textId="77777777" w:rsidR="0046798B" w:rsidRDefault="00903B5C">
            <w:pPr>
              <w:pStyle w:val="TableParagraph"/>
              <w:spacing w:before="135"/>
              <w:ind w:left="114" w:right="96"/>
              <w:rPr>
                <w:sz w:val="20"/>
              </w:rPr>
            </w:pPr>
            <w:r>
              <w:rPr>
                <w:sz w:val="20"/>
              </w:rPr>
              <w:t>Ranking of spirit tax rate</w:t>
            </w:r>
          </w:p>
        </w:tc>
        <w:tc>
          <w:tcPr>
            <w:tcW w:w="1285" w:type="dxa"/>
          </w:tcPr>
          <w:p w14:paraId="63DC6241" w14:textId="77777777" w:rsidR="0046798B" w:rsidRDefault="0046798B">
            <w:pPr>
              <w:pStyle w:val="TableParagraph"/>
            </w:pPr>
          </w:p>
          <w:p w14:paraId="18B2532C" w14:textId="77777777" w:rsidR="0046798B" w:rsidRDefault="00903B5C">
            <w:pPr>
              <w:pStyle w:val="TableParagraph"/>
              <w:spacing w:before="135"/>
              <w:ind w:left="114"/>
              <w:rPr>
                <w:sz w:val="20"/>
              </w:rPr>
            </w:pPr>
            <w:r>
              <w:rPr>
                <w:sz w:val="20"/>
              </w:rPr>
              <w:t>2007, 2009–</w:t>
            </w:r>
          </w:p>
          <w:p w14:paraId="0C2D869F" w14:textId="77777777" w:rsidR="0046798B" w:rsidRDefault="00903B5C">
            <w:pPr>
              <w:pStyle w:val="TableParagraph"/>
              <w:ind w:left="114"/>
              <w:rPr>
                <w:sz w:val="20"/>
              </w:rPr>
            </w:pPr>
            <w:r>
              <w:rPr>
                <w:sz w:val="20"/>
              </w:rPr>
              <w:t>2013</w:t>
            </w:r>
          </w:p>
        </w:tc>
        <w:tc>
          <w:tcPr>
            <w:tcW w:w="3421" w:type="dxa"/>
          </w:tcPr>
          <w:p w14:paraId="499227C0" w14:textId="77777777" w:rsidR="0046798B" w:rsidRDefault="00903B5C">
            <w:pPr>
              <w:pStyle w:val="TableParagraph"/>
              <w:spacing w:before="43"/>
              <w:ind w:left="114" w:right="255"/>
              <w:rPr>
                <w:sz w:val="20"/>
              </w:rPr>
            </w:pPr>
            <w:r>
              <w:rPr>
                <w:sz w:val="20"/>
              </w:rPr>
              <w:t>Ranking of spirit tax rate amongst the states</w:t>
            </w:r>
          </w:p>
          <w:p w14:paraId="070BCE1D" w14:textId="77777777" w:rsidR="0046798B" w:rsidRDefault="0046798B">
            <w:pPr>
              <w:pStyle w:val="TableParagraph"/>
              <w:rPr>
                <w:sz w:val="20"/>
              </w:rPr>
            </w:pPr>
          </w:p>
          <w:p w14:paraId="6AEEEE72" w14:textId="77777777" w:rsidR="0046798B" w:rsidRDefault="00903B5C">
            <w:pPr>
              <w:pStyle w:val="TableParagraph"/>
              <w:ind w:left="114" w:right="405"/>
              <w:rPr>
                <w:sz w:val="20"/>
              </w:rPr>
            </w:pPr>
            <w:r>
              <w:rPr>
                <w:sz w:val="20"/>
              </w:rPr>
              <w:t>Note: 2012 data coded on 9/1/2011; 2010 data coded on 9/1/2010</w:t>
            </w:r>
          </w:p>
        </w:tc>
        <w:tc>
          <w:tcPr>
            <w:tcW w:w="6482" w:type="dxa"/>
          </w:tcPr>
          <w:p w14:paraId="6B3E894B" w14:textId="77777777" w:rsidR="0046798B" w:rsidRDefault="0046798B">
            <w:pPr>
              <w:pStyle w:val="TableParagraph"/>
            </w:pPr>
          </w:p>
          <w:p w14:paraId="5925E214" w14:textId="77777777" w:rsidR="0046798B" w:rsidRDefault="00903B5C">
            <w:pPr>
              <w:pStyle w:val="TableParagraph"/>
              <w:spacing w:before="135"/>
              <w:ind w:left="114" w:right="111"/>
              <w:rPr>
                <w:i/>
                <w:sz w:val="20"/>
              </w:rPr>
            </w:pPr>
            <w:r>
              <w:rPr>
                <w:sz w:val="20"/>
              </w:rPr>
              <w:t xml:space="preserve">Tax Foundation. “How High Are Beer Taxes in Your State?” </w:t>
            </w:r>
            <w:r>
              <w:rPr>
                <w:i/>
                <w:sz w:val="20"/>
              </w:rPr>
              <w:t>Center for State Tax Policy.</w:t>
            </w:r>
          </w:p>
        </w:tc>
      </w:tr>
      <w:tr w:rsidR="0046798B" w14:paraId="23C45F49" w14:textId="77777777">
        <w:trPr>
          <w:trHeight w:val="780"/>
        </w:trPr>
        <w:tc>
          <w:tcPr>
            <w:tcW w:w="1711" w:type="dxa"/>
          </w:tcPr>
          <w:p w14:paraId="60788F45" w14:textId="77777777" w:rsidR="0046798B" w:rsidRDefault="0046798B">
            <w:pPr>
              <w:pStyle w:val="TableParagraph"/>
              <w:spacing w:before="8"/>
              <w:rPr>
                <w:sz w:val="23"/>
              </w:rPr>
            </w:pPr>
          </w:p>
          <w:p w14:paraId="0C1D3225" w14:textId="77777777" w:rsidR="0046798B" w:rsidRDefault="00903B5C">
            <w:pPr>
              <w:pStyle w:val="TableParagraph"/>
              <w:spacing w:before="1"/>
              <w:ind w:left="115"/>
              <w:rPr>
                <w:b/>
                <w:sz w:val="20"/>
              </w:rPr>
            </w:pPr>
            <w:r>
              <w:rPr>
                <w:b/>
                <w:sz w:val="20"/>
              </w:rPr>
              <w:t>wine_tax</w:t>
            </w:r>
          </w:p>
        </w:tc>
        <w:tc>
          <w:tcPr>
            <w:tcW w:w="1596" w:type="dxa"/>
          </w:tcPr>
          <w:p w14:paraId="57197461" w14:textId="77777777" w:rsidR="0046798B" w:rsidRDefault="0046798B">
            <w:pPr>
              <w:pStyle w:val="TableParagraph"/>
              <w:spacing w:before="8"/>
              <w:rPr>
                <w:sz w:val="23"/>
              </w:rPr>
            </w:pPr>
          </w:p>
          <w:p w14:paraId="06929D43" w14:textId="77777777" w:rsidR="0046798B" w:rsidRDefault="00903B5C">
            <w:pPr>
              <w:pStyle w:val="TableParagraph"/>
              <w:spacing w:before="1"/>
              <w:ind w:left="114"/>
              <w:rPr>
                <w:sz w:val="20"/>
              </w:rPr>
            </w:pPr>
            <w:r>
              <w:rPr>
                <w:sz w:val="20"/>
              </w:rPr>
              <w:t>Wine tax rate</w:t>
            </w:r>
          </w:p>
        </w:tc>
        <w:tc>
          <w:tcPr>
            <w:tcW w:w="1285" w:type="dxa"/>
          </w:tcPr>
          <w:p w14:paraId="41A7B5A8" w14:textId="77777777" w:rsidR="0046798B" w:rsidRDefault="0046798B">
            <w:pPr>
              <w:pStyle w:val="TableParagraph"/>
              <w:spacing w:before="8"/>
              <w:rPr>
                <w:sz w:val="23"/>
              </w:rPr>
            </w:pPr>
          </w:p>
          <w:p w14:paraId="59F0CF36" w14:textId="77777777" w:rsidR="0046798B" w:rsidRDefault="00903B5C">
            <w:pPr>
              <w:pStyle w:val="TableParagraph"/>
              <w:spacing w:before="1"/>
              <w:ind w:left="114"/>
              <w:rPr>
                <w:sz w:val="20"/>
              </w:rPr>
            </w:pPr>
            <w:r>
              <w:rPr>
                <w:sz w:val="20"/>
              </w:rPr>
              <w:t>2009–2013</w:t>
            </w:r>
          </w:p>
        </w:tc>
        <w:tc>
          <w:tcPr>
            <w:tcW w:w="3421" w:type="dxa"/>
          </w:tcPr>
          <w:p w14:paraId="064A3B03" w14:textId="77777777" w:rsidR="0046798B" w:rsidRDefault="00903B5C">
            <w:pPr>
              <w:pStyle w:val="TableParagraph"/>
              <w:spacing w:before="43"/>
              <w:ind w:left="114"/>
              <w:rPr>
                <w:sz w:val="20"/>
              </w:rPr>
            </w:pPr>
            <w:r>
              <w:rPr>
                <w:sz w:val="20"/>
              </w:rPr>
              <w:t>State tax on wine in dollars per gallon</w:t>
            </w:r>
          </w:p>
          <w:p w14:paraId="68C6A73F" w14:textId="77777777" w:rsidR="0046798B" w:rsidRDefault="0046798B">
            <w:pPr>
              <w:pStyle w:val="TableParagraph"/>
              <w:rPr>
                <w:sz w:val="20"/>
              </w:rPr>
            </w:pPr>
          </w:p>
          <w:p w14:paraId="280B0ED4" w14:textId="77777777" w:rsidR="0046798B" w:rsidRDefault="00903B5C">
            <w:pPr>
              <w:pStyle w:val="TableParagraph"/>
              <w:ind w:left="114"/>
              <w:rPr>
                <w:sz w:val="20"/>
              </w:rPr>
            </w:pPr>
            <w:r>
              <w:rPr>
                <w:sz w:val="20"/>
              </w:rPr>
              <w:t>Note: 2012 data coded on 9/1/2011</w:t>
            </w:r>
          </w:p>
        </w:tc>
        <w:tc>
          <w:tcPr>
            <w:tcW w:w="6482" w:type="dxa"/>
          </w:tcPr>
          <w:p w14:paraId="4B44A6EB" w14:textId="77777777" w:rsidR="0046798B" w:rsidRDefault="00903B5C">
            <w:pPr>
              <w:pStyle w:val="TableParagraph"/>
              <w:spacing w:before="158"/>
              <w:ind w:left="114" w:right="111"/>
              <w:rPr>
                <w:i/>
                <w:sz w:val="20"/>
              </w:rPr>
            </w:pPr>
            <w:r>
              <w:rPr>
                <w:sz w:val="20"/>
              </w:rPr>
              <w:t xml:space="preserve">Tax Foundation. “How High Are Beer Taxes in Your State?” </w:t>
            </w:r>
            <w:r>
              <w:rPr>
                <w:i/>
                <w:sz w:val="20"/>
              </w:rPr>
              <w:t>Center for State Tax Policy.</w:t>
            </w:r>
          </w:p>
        </w:tc>
      </w:tr>
      <w:tr w:rsidR="0046798B" w14:paraId="49B65373" w14:textId="77777777">
        <w:trPr>
          <w:trHeight w:val="1005"/>
        </w:trPr>
        <w:tc>
          <w:tcPr>
            <w:tcW w:w="1711" w:type="dxa"/>
          </w:tcPr>
          <w:p w14:paraId="3F884C29" w14:textId="77777777" w:rsidR="0046798B" w:rsidRDefault="0046798B">
            <w:pPr>
              <w:pStyle w:val="TableParagraph"/>
            </w:pPr>
          </w:p>
          <w:p w14:paraId="6ADE9629" w14:textId="77777777" w:rsidR="0046798B" w:rsidRDefault="00903B5C">
            <w:pPr>
              <w:pStyle w:val="TableParagraph"/>
              <w:spacing w:before="130"/>
              <w:ind w:left="115"/>
              <w:rPr>
                <w:b/>
                <w:sz w:val="20"/>
              </w:rPr>
            </w:pPr>
            <w:r>
              <w:rPr>
                <w:b/>
                <w:sz w:val="20"/>
              </w:rPr>
              <w:t>wine_tax_rank</w:t>
            </w:r>
          </w:p>
        </w:tc>
        <w:tc>
          <w:tcPr>
            <w:tcW w:w="1596" w:type="dxa"/>
          </w:tcPr>
          <w:p w14:paraId="783397DB" w14:textId="77777777" w:rsidR="0046798B" w:rsidRDefault="0046798B">
            <w:pPr>
              <w:pStyle w:val="TableParagraph"/>
              <w:spacing w:before="4"/>
              <w:rPr>
                <w:sz w:val="23"/>
              </w:rPr>
            </w:pPr>
          </w:p>
          <w:p w14:paraId="6E559B3A" w14:textId="77777777" w:rsidR="0046798B" w:rsidRDefault="00903B5C">
            <w:pPr>
              <w:pStyle w:val="TableParagraph"/>
              <w:ind w:left="114" w:right="118"/>
              <w:rPr>
                <w:sz w:val="20"/>
              </w:rPr>
            </w:pPr>
            <w:r>
              <w:rPr>
                <w:sz w:val="20"/>
              </w:rPr>
              <w:t>Ranking of wine tax rate</w:t>
            </w:r>
          </w:p>
        </w:tc>
        <w:tc>
          <w:tcPr>
            <w:tcW w:w="1285" w:type="dxa"/>
          </w:tcPr>
          <w:p w14:paraId="6530E4D9" w14:textId="77777777" w:rsidR="0046798B" w:rsidRDefault="0046798B">
            <w:pPr>
              <w:pStyle w:val="TableParagraph"/>
            </w:pPr>
          </w:p>
          <w:p w14:paraId="1FC83E83" w14:textId="77777777" w:rsidR="0046798B" w:rsidRDefault="00903B5C">
            <w:pPr>
              <w:pStyle w:val="TableParagraph"/>
              <w:spacing w:before="130"/>
              <w:ind w:left="114"/>
              <w:rPr>
                <w:sz w:val="20"/>
              </w:rPr>
            </w:pPr>
            <w:r>
              <w:rPr>
                <w:sz w:val="20"/>
              </w:rPr>
              <w:t>2009–2013</w:t>
            </w:r>
          </w:p>
        </w:tc>
        <w:tc>
          <w:tcPr>
            <w:tcW w:w="3421" w:type="dxa"/>
          </w:tcPr>
          <w:p w14:paraId="6012EDB9" w14:textId="77777777" w:rsidR="0046798B" w:rsidRDefault="00903B5C">
            <w:pPr>
              <w:pStyle w:val="TableParagraph"/>
              <w:spacing w:before="38"/>
              <w:ind w:left="114" w:right="277"/>
              <w:rPr>
                <w:sz w:val="20"/>
              </w:rPr>
            </w:pPr>
            <w:r>
              <w:rPr>
                <w:sz w:val="20"/>
              </w:rPr>
              <w:t>Ranking of wine tax rate amongst the states</w:t>
            </w:r>
          </w:p>
          <w:p w14:paraId="5136ACA5" w14:textId="77777777" w:rsidR="0046798B" w:rsidRDefault="0046798B">
            <w:pPr>
              <w:pStyle w:val="TableParagraph"/>
              <w:rPr>
                <w:sz w:val="20"/>
              </w:rPr>
            </w:pPr>
          </w:p>
          <w:p w14:paraId="398A18FF" w14:textId="77777777" w:rsidR="0046798B" w:rsidRDefault="00903B5C">
            <w:pPr>
              <w:pStyle w:val="TableParagraph"/>
              <w:ind w:left="114"/>
              <w:rPr>
                <w:sz w:val="20"/>
              </w:rPr>
            </w:pPr>
            <w:r>
              <w:rPr>
                <w:sz w:val="20"/>
              </w:rPr>
              <w:t>Note: 2012 data coded on 9/1/2011</w:t>
            </w:r>
          </w:p>
        </w:tc>
        <w:tc>
          <w:tcPr>
            <w:tcW w:w="6482" w:type="dxa"/>
          </w:tcPr>
          <w:p w14:paraId="01EDCD6D" w14:textId="77777777" w:rsidR="0046798B" w:rsidRDefault="0046798B">
            <w:pPr>
              <w:pStyle w:val="TableParagraph"/>
              <w:spacing w:before="4"/>
              <w:rPr>
                <w:sz w:val="23"/>
              </w:rPr>
            </w:pPr>
          </w:p>
          <w:p w14:paraId="1AEE7976" w14:textId="77777777" w:rsidR="0046798B" w:rsidRDefault="00903B5C">
            <w:pPr>
              <w:pStyle w:val="TableParagraph"/>
              <w:ind w:left="114" w:right="111"/>
              <w:rPr>
                <w:i/>
                <w:sz w:val="20"/>
              </w:rPr>
            </w:pPr>
            <w:r>
              <w:rPr>
                <w:sz w:val="20"/>
              </w:rPr>
              <w:t xml:space="preserve">Tax Foundation. “How High Are Beer Taxes in Your State?” </w:t>
            </w:r>
            <w:r>
              <w:rPr>
                <w:i/>
                <w:sz w:val="20"/>
              </w:rPr>
              <w:t>Center for State Tax Policy.</w:t>
            </w:r>
          </w:p>
        </w:tc>
      </w:tr>
      <w:tr w:rsidR="0046798B" w14:paraId="408E04D2" w14:textId="77777777">
        <w:trPr>
          <w:trHeight w:val="775"/>
        </w:trPr>
        <w:tc>
          <w:tcPr>
            <w:tcW w:w="1711" w:type="dxa"/>
          </w:tcPr>
          <w:p w14:paraId="72AC3A5E" w14:textId="77777777" w:rsidR="0046798B" w:rsidRDefault="0046798B">
            <w:pPr>
              <w:pStyle w:val="TableParagraph"/>
              <w:spacing w:before="4"/>
              <w:rPr>
                <w:sz w:val="23"/>
              </w:rPr>
            </w:pPr>
          </w:p>
          <w:p w14:paraId="54480EF3" w14:textId="77777777" w:rsidR="0046798B" w:rsidRDefault="00903B5C">
            <w:pPr>
              <w:pStyle w:val="TableParagraph"/>
              <w:ind w:left="115"/>
              <w:rPr>
                <w:b/>
                <w:sz w:val="20"/>
              </w:rPr>
            </w:pPr>
            <w:r>
              <w:rPr>
                <w:b/>
                <w:sz w:val="20"/>
              </w:rPr>
              <w:t>cdship</w:t>
            </w:r>
          </w:p>
        </w:tc>
        <w:tc>
          <w:tcPr>
            <w:tcW w:w="1596" w:type="dxa"/>
          </w:tcPr>
          <w:p w14:paraId="6B726235" w14:textId="77777777" w:rsidR="0046798B" w:rsidRDefault="00903B5C">
            <w:pPr>
              <w:pStyle w:val="TableParagraph"/>
              <w:spacing w:before="153"/>
              <w:ind w:left="114" w:right="463"/>
              <w:rPr>
                <w:sz w:val="20"/>
              </w:rPr>
            </w:pPr>
            <w:r>
              <w:rPr>
                <w:sz w:val="20"/>
              </w:rPr>
              <w:t>State ban on direct wine</w:t>
            </w:r>
          </w:p>
        </w:tc>
        <w:tc>
          <w:tcPr>
            <w:tcW w:w="1285" w:type="dxa"/>
          </w:tcPr>
          <w:p w14:paraId="1E2E749B" w14:textId="77777777" w:rsidR="0046798B" w:rsidRDefault="0046798B">
            <w:pPr>
              <w:pStyle w:val="TableParagraph"/>
              <w:spacing w:before="4"/>
              <w:rPr>
                <w:sz w:val="23"/>
              </w:rPr>
            </w:pPr>
          </w:p>
          <w:p w14:paraId="773C20C4" w14:textId="77777777" w:rsidR="0046798B" w:rsidRDefault="00903B5C">
            <w:pPr>
              <w:pStyle w:val="TableParagraph"/>
              <w:ind w:left="114"/>
              <w:rPr>
                <w:sz w:val="20"/>
              </w:rPr>
            </w:pPr>
            <w:r>
              <w:rPr>
                <w:sz w:val="20"/>
              </w:rPr>
              <w:t>2000–2016</w:t>
            </w:r>
          </w:p>
        </w:tc>
        <w:tc>
          <w:tcPr>
            <w:tcW w:w="3421" w:type="dxa"/>
          </w:tcPr>
          <w:p w14:paraId="58C203D3" w14:textId="77777777" w:rsidR="0046798B" w:rsidRDefault="00903B5C">
            <w:pPr>
              <w:pStyle w:val="TableParagraph"/>
              <w:spacing w:before="38"/>
              <w:ind w:left="114" w:right="483"/>
              <w:rPr>
                <w:sz w:val="20"/>
              </w:rPr>
            </w:pPr>
            <w:r>
              <w:rPr>
                <w:sz w:val="20"/>
              </w:rPr>
              <w:t>State ban on direct wine shipments from wineries?</w:t>
            </w:r>
          </w:p>
        </w:tc>
        <w:tc>
          <w:tcPr>
            <w:tcW w:w="6482" w:type="dxa"/>
          </w:tcPr>
          <w:p w14:paraId="2619A2FA" w14:textId="77777777" w:rsidR="0046798B" w:rsidRDefault="00903B5C">
            <w:pPr>
              <w:pStyle w:val="TableParagraph"/>
              <w:spacing w:before="3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235BC861" w14:textId="77777777" w:rsidR="0046798B" w:rsidRDefault="0046798B">
      <w:pPr>
        <w:rPr>
          <w:sz w:val="20"/>
        </w:rPr>
        <w:sectPr w:rsidR="0046798B">
          <w:pgSz w:w="15840" w:h="12240" w:orient="landscape"/>
          <w:pgMar w:top="1220" w:right="300" w:bottom="980" w:left="820" w:header="730" w:footer="787" w:gutter="0"/>
          <w:cols w:space="720"/>
        </w:sectPr>
      </w:pPr>
    </w:p>
    <w:p w14:paraId="1322EDC9"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58967551" w14:textId="77777777">
        <w:trPr>
          <w:trHeight w:val="1465"/>
        </w:trPr>
        <w:tc>
          <w:tcPr>
            <w:tcW w:w="1711" w:type="dxa"/>
          </w:tcPr>
          <w:p w14:paraId="3E08E281" w14:textId="77777777" w:rsidR="0046798B" w:rsidRDefault="0046798B">
            <w:pPr>
              <w:pStyle w:val="TableParagraph"/>
              <w:rPr>
                <w:sz w:val="20"/>
              </w:rPr>
            </w:pPr>
          </w:p>
        </w:tc>
        <w:tc>
          <w:tcPr>
            <w:tcW w:w="1596" w:type="dxa"/>
          </w:tcPr>
          <w:p w14:paraId="75E64853" w14:textId="77777777" w:rsidR="0046798B" w:rsidRDefault="00903B5C">
            <w:pPr>
              <w:pStyle w:val="TableParagraph"/>
              <w:spacing w:before="43"/>
              <w:ind w:left="114" w:right="202"/>
              <w:rPr>
                <w:sz w:val="20"/>
              </w:rPr>
            </w:pPr>
            <w:r>
              <w:rPr>
                <w:sz w:val="20"/>
              </w:rPr>
              <w:t>shipments from wineries</w:t>
            </w:r>
          </w:p>
        </w:tc>
        <w:tc>
          <w:tcPr>
            <w:tcW w:w="1285" w:type="dxa"/>
          </w:tcPr>
          <w:p w14:paraId="1E7193B6" w14:textId="77777777" w:rsidR="0046798B" w:rsidRDefault="0046798B">
            <w:pPr>
              <w:pStyle w:val="TableParagraph"/>
              <w:rPr>
                <w:sz w:val="20"/>
              </w:rPr>
            </w:pPr>
          </w:p>
        </w:tc>
        <w:tc>
          <w:tcPr>
            <w:tcW w:w="3421" w:type="dxa"/>
          </w:tcPr>
          <w:p w14:paraId="063C74D4" w14:textId="77777777" w:rsidR="0046798B" w:rsidRDefault="00903B5C">
            <w:pPr>
              <w:pStyle w:val="TableParagraph"/>
              <w:spacing w:before="43"/>
              <w:ind w:left="114"/>
              <w:rPr>
                <w:sz w:val="20"/>
              </w:rPr>
            </w:pPr>
            <w:r>
              <w:rPr>
                <w:sz w:val="20"/>
              </w:rPr>
              <w:t>(0 = none, 0.1 = ban only on in-state winery shipments, 0.5 = free shipping limited to small wineries/labels under contract with distributor prohibited, 0.9</w:t>
            </w:r>
          </w:p>
          <w:p w14:paraId="585A95F9" w14:textId="77777777" w:rsidR="0046798B" w:rsidRDefault="00903B5C">
            <w:pPr>
              <w:pStyle w:val="TableParagraph"/>
              <w:ind w:left="114"/>
              <w:rPr>
                <w:sz w:val="20"/>
              </w:rPr>
            </w:pPr>
            <w:r>
              <w:rPr>
                <w:sz w:val="20"/>
              </w:rPr>
              <w:t>= out-of-state/off-site/distributor prohibited, 1 = all)</w:t>
            </w:r>
          </w:p>
        </w:tc>
        <w:tc>
          <w:tcPr>
            <w:tcW w:w="6482" w:type="dxa"/>
          </w:tcPr>
          <w:p w14:paraId="26384AB3" w14:textId="77777777" w:rsidR="0046798B" w:rsidRDefault="0046798B">
            <w:pPr>
              <w:pStyle w:val="TableParagraph"/>
              <w:rPr>
                <w:sz w:val="20"/>
              </w:rPr>
            </w:pPr>
          </w:p>
        </w:tc>
      </w:tr>
      <w:tr w:rsidR="0046798B" w14:paraId="32870BA1" w14:textId="77777777">
        <w:trPr>
          <w:trHeight w:val="775"/>
        </w:trPr>
        <w:tc>
          <w:tcPr>
            <w:tcW w:w="1711" w:type="dxa"/>
          </w:tcPr>
          <w:p w14:paraId="1F1F786C" w14:textId="77777777" w:rsidR="0046798B" w:rsidRDefault="0046798B">
            <w:pPr>
              <w:pStyle w:val="TableParagraph"/>
              <w:spacing w:before="9"/>
              <w:rPr>
                <w:sz w:val="23"/>
              </w:rPr>
            </w:pPr>
          </w:p>
          <w:p w14:paraId="155B9277" w14:textId="77777777" w:rsidR="0046798B" w:rsidRDefault="00903B5C">
            <w:pPr>
              <w:pStyle w:val="TableParagraph"/>
              <w:ind w:left="115"/>
              <w:rPr>
                <w:b/>
                <w:sz w:val="20"/>
              </w:rPr>
            </w:pPr>
            <w:r>
              <w:rPr>
                <w:b/>
                <w:sz w:val="20"/>
              </w:rPr>
              <w:t>chappy</w:t>
            </w:r>
          </w:p>
        </w:tc>
        <w:tc>
          <w:tcPr>
            <w:tcW w:w="1596" w:type="dxa"/>
          </w:tcPr>
          <w:p w14:paraId="750EA0CA" w14:textId="77777777" w:rsidR="0046798B" w:rsidRDefault="0046798B">
            <w:pPr>
              <w:pStyle w:val="TableParagraph"/>
              <w:spacing w:before="9"/>
              <w:rPr>
                <w:sz w:val="23"/>
              </w:rPr>
            </w:pPr>
          </w:p>
          <w:p w14:paraId="4D3B631D" w14:textId="77777777" w:rsidR="0046798B" w:rsidRDefault="00903B5C">
            <w:pPr>
              <w:pStyle w:val="TableParagraph"/>
              <w:ind w:left="114"/>
              <w:rPr>
                <w:sz w:val="20"/>
              </w:rPr>
            </w:pPr>
            <w:r>
              <w:rPr>
                <w:sz w:val="20"/>
              </w:rPr>
              <w:t>Happy hour ban</w:t>
            </w:r>
          </w:p>
        </w:tc>
        <w:tc>
          <w:tcPr>
            <w:tcW w:w="1285" w:type="dxa"/>
          </w:tcPr>
          <w:p w14:paraId="7A562194" w14:textId="77777777" w:rsidR="0046798B" w:rsidRDefault="0046798B">
            <w:pPr>
              <w:pStyle w:val="TableParagraph"/>
              <w:spacing w:before="9"/>
              <w:rPr>
                <w:sz w:val="23"/>
              </w:rPr>
            </w:pPr>
          </w:p>
          <w:p w14:paraId="555326FF" w14:textId="77777777" w:rsidR="0046798B" w:rsidRDefault="00903B5C">
            <w:pPr>
              <w:pStyle w:val="TableParagraph"/>
              <w:ind w:left="114"/>
              <w:rPr>
                <w:sz w:val="20"/>
              </w:rPr>
            </w:pPr>
            <w:r>
              <w:rPr>
                <w:sz w:val="20"/>
              </w:rPr>
              <w:t>2000–2015</w:t>
            </w:r>
          </w:p>
        </w:tc>
        <w:tc>
          <w:tcPr>
            <w:tcW w:w="3421" w:type="dxa"/>
          </w:tcPr>
          <w:p w14:paraId="720BE4C4" w14:textId="77777777" w:rsidR="0046798B" w:rsidRDefault="00903B5C">
            <w:pPr>
              <w:pStyle w:val="TableParagraph"/>
              <w:spacing w:before="159"/>
              <w:ind w:left="114" w:right="202"/>
              <w:rPr>
                <w:sz w:val="20"/>
              </w:rPr>
            </w:pPr>
            <w:r>
              <w:rPr>
                <w:sz w:val="20"/>
              </w:rPr>
              <w:t>Happy hour ban? (0 = no, 1 = yes, ban on free or reduced-price drinks)</w:t>
            </w:r>
          </w:p>
        </w:tc>
        <w:tc>
          <w:tcPr>
            <w:tcW w:w="6482" w:type="dxa"/>
          </w:tcPr>
          <w:p w14:paraId="4D543521" w14:textId="77777777" w:rsidR="0046798B" w:rsidRDefault="00903B5C">
            <w:pPr>
              <w:pStyle w:val="TableParagraph"/>
              <w:spacing w:before="44"/>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62B7E4F" w14:textId="77777777">
        <w:trPr>
          <w:trHeight w:val="780"/>
        </w:trPr>
        <w:tc>
          <w:tcPr>
            <w:tcW w:w="1711" w:type="dxa"/>
          </w:tcPr>
          <w:p w14:paraId="01D5F4C3" w14:textId="77777777" w:rsidR="0046798B" w:rsidRDefault="0046798B">
            <w:pPr>
              <w:pStyle w:val="TableParagraph"/>
              <w:spacing w:before="8"/>
              <w:rPr>
                <w:sz w:val="23"/>
              </w:rPr>
            </w:pPr>
          </w:p>
          <w:p w14:paraId="081B8515" w14:textId="77777777" w:rsidR="0046798B" w:rsidRDefault="00903B5C">
            <w:pPr>
              <w:pStyle w:val="TableParagraph"/>
              <w:spacing w:before="1"/>
              <w:ind w:left="115"/>
              <w:rPr>
                <w:b/>
                <w:sz w:val="20"/>
              </w:rPr>
            </w:pPr>
            <w:r>
              <w:rPr>
                <w:b/>
                <w:sz w:val="20"/>
              </w:rPr>
              <w:t>cbeertex</w:t>
            </w:r>
          </w:p>
        </w:tc>
        <w:tc>
          <w:tcPr>
            <w:tcW w:w="1596" w:type="dxa"/>
          </w:tcPr>
          <w:p w14:paraId="22CD1880" w14:textId="77777777" w:rsidR="0046798B" w:rsidRDefault="00903B5C">
            <w:pPr>
              <w:pStyle w:val="TableParagraph"/>
              <w:spacing w:before="158"/>
              <w:ind w:left="114" w:right="230"/>
              <w:rPr>
                <w:sz w:val="20"/>
              </w:rPr>
            </w:pPr>
            <w:r>
              <w:rPr>
                <w:sz w:val="20"/>
              </w:rPr>
              <w:t>Beer excise tax rates</w:t>
            </w:r>
          </w:p>
        </w:tc>
        <w:tc>
          <w:tcPr>
            <w:tcW w:w="1285" w:type="dxa"/>
          </w:tcPr>
          <w:p w14:paraId="3131B4DE" w14:textId="77777777" w:rsidR="0046798B" w:rsidRDefault="0046798B">
            <w:pPr>
              <w:pStyle w:val="TableParagraph"/>
              <w:spacing w:before="8"/>
              <w:rPr>
                <w:sz w:val="23"/>
              </w:rPr>
            </w:pPr>
          </w:p>
          <w:p w14:paraId="5AF47317" w14:textId="77777777" w:rsidR="0046798B" w:rsidRDefault="00903B5C">
            <w:pPr>
              <w:pStyle w:val="TableParagraph"/>
              <w:spacing w:before="1"/>
              <w:ind w:left="114"/>
              <w:rPr>
                <w:sz w:val="20"/>
              </w:rPr>
            </w:pPr>
            <w:r>
              <w:rPr>
                <w:sz w:val="20"/>
              </w:rPr>
              <w:t>1937–2016</w:t>
            </w:r>
          </w:p>
        </w:tc>
        <w:tc>
          <w:tcPr>
            <w:tcW w:w="3421" w:type="dxa"/>
          </w:tcPr>
          <w:p w14:paraId="6EF011A8" w14:textId="77777777" w:rsidR="0046798B" w:rsidRDefault="00903B5C">
            <w:pPr>
              <w:pStyle w:val="TableParagraph"/>
              <w:spacing w:before="158"/>
              <w:ind w:left="114" w:right="661"/>
              <w:rPr>
                <w:sz w:val="20"/>
              </w:rPr>
            </w:pPr>
            <w:r>
              <w:rPr>
                <w:sz w:val="20"/>
              </w:rPr>
              <w:t>Beer excise tax rates (dollars per gallon, off-premises sales)</w:t>
            </w:r>
          </w:p>
        </w:tc>
        <w:tc>
          <w:tcPr>
            <w:tcW w:w="6482" w:type="dxa"/>
          </w:tcPr>
          <w:p w14:paraId="0AE24987"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066A0D0" w14:textId="77777777">
        <w:trPr>
          <w:trHeight w:val="1235"/>
        </w:trPr>
        <w:tc>
          <w:tcPr>
            <w:tcW w:w="1711" w:type="dxa"/>
          </w:tcPr>
          <w:p w14:paraId="6D99745D" w14:textId="77777777" w:rsidR="0046798B" w:rsidRDefault="0046798B">
            <w:pPr>
              <w:pStyle w:val="TableParagraph"/>
            </w:pPr>
          </w:p>
          <w:p w14:paraId="3312018E" w14:textId="77777777" w:rsidR="0046798B" w:rsidRDefault="0046798B">
            <w:pPr>
              <w:pStyle w:val="TableParagraph"/>
              <w:spacing w:before="3"/>
              <w:rPr>
                <w:sz w:val="21"/>
              </w:rPr>
            </w:pPr>
          </w:p>
          <w:p w14:paraId="54D28278" w14:textId="77777777" w:rsidR="0046798B" w:rsidRDefault="00903B5C">
            <w:pPr>
              <w:pStyle w:val="TableParagraph"/>
              <w:spacing w:before="1"/>
              <w:ind w:left="115"/>
              <w:rPr>
                <w:b/>
                <w:sz w:val="20"/>
              </w:rPr>
            </w:pPr>
            <w:r>
              <w:rPr>
                <w:b/>
                <w:sz w:val="20"/>
              </w:rPr>
              <w:t>cbeerdry</w:t>
            </w:r>
          </w:p>
        </w:tc>
        <w:tc>
          <w:tcPr>
            <w:tcW w:w="1596" w:type="dxa"/>
          </w:tcPr>
          <w:p w14:paraId="2AE4264A" w14:textId="77777777" w:rsidR="0046798B" w:rsidRDefault="00903B5C">
            <w:pPr>
              <w:pStyle w:val="TableParagraph"/>
              <w:spacing w:before="38"/>
              <w:ind w:left="114" w:right="141"/>
              <w:rPr>
                <w:sz w:val="20"/>
              </w:rPr>
            </w:pPr>
            <w:r>
              <w:rPr>
                <w:sz w:val="20"/>
              </w:rPr>
              <w:t>Percentage of state population living in counties that are dry for beer</w:t>
            </w:r>
          </w:p>
        </w:tc>
        <w:tc>
          <w:tcPr>
            <w:tcW w:w="1285" w:type="dxa"/>
          </w:tcPr>
          <w:p w14:paraId="0D9D9F8E" w14:textId="77777777" w:rsidR="0046798B" w:rsidRDefault="0046798B">
            <w:pPr>
              <w:pStyle w:val="TableParagraph"/>
            </w:pPr>
          </w:p>
          <w:p w14:paraId="72FEC6AD" w14:textId="77777777" w:rsidR="0046798B" w:rsidRDefault="0046798B">
            <w:pPr>
              <w:pStyle w:val="TableParagraph"/>
              <w:spacing w:before="3"/>
              <w:rPr>
                <w:sz w:val="21"/>
              </w:rPr>
            </w:pPr>
          </w:p>
          <w:p w14:paraId="3318CE9D" w14:textId="77777777" w:rsidR="0046798B" w:rsidRDefault="00903B5C">
            <w:pPr>
              <w:pStyle w:val="TableParagraph"/>
              <w:spacing w:before="1"/>
              <w:ind w:left="114"/>
              <w:rPr>
                <w:sz w:val="20"/>
              </w:rPr>
            </w:pPr>
            <w:r>
              <w:rPr>
                <w:sz w:val="20"/>
              </w:rPr>
              <w:t>1969–1998</w:t>
            </w:r>
          </w:p>
        </w:tc>
        <w:tc>
          <w:tcPr>
            <w:tcW w:w="3421" w:type="dxa"/>
          </w:tcPr>
          <w:p w14:paraId="59BB28F0" w14:textId="77777777" w:rsidR="0046798B" w:rsidRDefault="0046798B">
            <w:pPr>
              <w:pStyle w:val="TableParagraph"/>
            </w:pPr>
          </w:p>
          <w:p w14:paraId="7C1E5919" w14:textId="77777777" w:rsidR="0046798B" w:rsidRDefault="00903B5C">
            <w:pPr>
              <w:pStyle w:val="TableParagraph"/>
              <w:spacing w:before="130"/>
              <w:ind w:left="114" w:right="138"/>
              <w:rPr>
                <w:sz w:val="20"/>
              </w:rPr>
            </w:pPr>
            <w:r>
              <w:rPr>
                <w:sz w:val="20"/>
              </w:rPr>
              <w:t>Percentage of state population living in counties that are dry for beer</w:t>
            </w:r>
          </w:p>
        </w:tc>
        <w:tc>
          <w:tcPr>
            <w:tcW w:w="6482" w:type="dxa"/>
          </w:tcPr>
          <w:p w14:paraId="334D1316" w14:textId="77777777" w:rsidR="0046798B" w:rsidRDefault="0046798B">
            <w:pPr>
              <w:pStyle w:val="TableParagraph"/>
              <w:spacing w:before="3"/>
              <w:rPr>
                <w:sz w:val="23"/>
              </w:rPr>
            </w:pPr>
          </w:p>
          <w:p w14:paraId="2EE20856"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3FA7CD0" w14:textId="77777777">
        <w:trPr>
          <w:trHeight w:val="2155"/>
        </w:trPr>
        <w:tc>
          <w:tcPr>
            <w:tcW w:w="1711" w:type="dxa"/>
          </w:tcPr>
          <w:p w14:paraId="6C340FAC" w14:textId="77777777" w:rsidR="0046798B" w:rsidRDefault="0046798B">
            <w:pPr>
              <w:pStyle w:val="TableParagraph"/>
            </w:pPr>
          </w:p>
          <w:p w14:paraId="244A1799" w14:textId="77777777" w:rsidR="0046798B" w:rsidRDefault="0046798B">
            <w:pPr>
              <w:pStyle w:val="TableParagraph"/>
            </w:pPr>
          </w:p>
          <w:p w14:paraId="49780174" w14:textId="77777777" w:rsidR="0046798B" w:rsidRDefault="0046798B">
            <w:pPr>
              <w:pStyle w:val="TableParagraph"/>
            </w:pPr>
          </w:p>
          <w:p w14:paraId="1BDC93D0" w14:textId="77777777" w:rsidR="0046798B" w:rsidRDefault="0046798B">
            <w:pPr>
              <w:pStyle w:val="TableParagraph"/>
              <w:spacing w:before="4"/>
              <w:rPr>
                <w:sz w:val="17"/>
              </w:rPr>
            </w:pPr>
          </w:p>
          <w:p w14:paraId="781F4FC7" w14:textId="77777777" w:rsidR="0046798B" w:rsidRDefault="00903B5C">
            <w:pPr>
              <w:pStyle w:val="TableParagraph"/>
              <w:ind w:left="115"/>
              <w:rPr>
                <w:b/>
                <w:sz w:val="20"/>
              </w:rPr>
            </w:pPr>
            <w:r>
              <w:rPr>
                <w:b/>
                <w:sz w:val="20"/>
              </w:rPr>
              <w:t>cbret</w:t>
            </w:r>
          </w:p>
        </w:tc>
        <w:tc>
          <w:tcPr>
            <w:tcW w:w="1596" w:type="dxa"/>
          </w:tcPr>
          <w:p w14:paraId="64446E7E" w14:textId="77777777" w:rsidR="0046798B" w:rsidRDefault="0046798B">
            <w:pPr>
              <w:pStyle w:val="TableParagraph"/>
            </w:pPr>
          </w:p>
          <w:p w14:paraId="304FB283" w14:textId="77777777" w:rsidR="0046798B" w:rsidRDefault="0046798B">
            <w:pPr>
              <w:pStyle w:val="TableParagraph"/>
              <w:spacing w:before="3"/>
              <w:rPr>
                <w:sz w:val="31"/>
              </w:rPr>
            </w:pPr>
          </w:p>
          <w:p w14:paraId="7C802427" w14:textId="77777777" w:rsidR="0046798B" w:rsidRDefault="00903B5C">
            <w:pPr>
              <w:pStyle w:val="TableParagraph"/>
              <w:spacing w:before="1"/>
              <w:ind w:left="114"/>
              <w:rPr>
                <w:sz w:val="20"/>
              </w:rPr>
            </w:pPr>
            <w:r>
              <w:rPr>
                <w:sz w:val="20"/>
              </w:rPr>
              <w:t>Exclusive state control of retail sales of some types of beer</w:t>
            </w:r>
          </w:p>
        </w:tc>
        <w:tc>
          <w:tcPr>
            <w:tcW w:w="1285" w:type="dxa"/>
          </w:tcPr>
          <w:p w14:paraId="5AF7E0D4" w14:textId="77777777" w:rsidR="0046798B" w:rsidRDefault="0046798B">
            <w:pPr>
              <w:pStyle w:val="TableParagraph"/>
            </w:pPr>
          </w:p>
          <w:p w14:paraId="72791E2C" w14:textId="77777777" w:rsidR="0046798B" w:rsidRDefault="0046798B">
            <w:pPr>
              <w:pStyle w:val="TableParagraph"/>
            </w:pPr>
          </w:p>
          <w:p w14:paraId="2B87732C" w14:textId="77777777" w:rsidR="0046798B" w:rsidRDefault="0046798B">
            <w:pPr>
              <w:pStyle w:val="TableParagraph"/>
            </w:pPr>
          </w:p>
          <w:p w14:paraId="065A3C20" w14:textId="77777777" w:rsidR="0046798B" w:rsidRDefault="0046798B">
            <w:pPr>
              <w:pStyle w:val="TableParagraph"/>
              <w:spacing w:before="4"/>
              <w:rPr>
                <w:sz w:val="17"/>
              </w:rPr>
            </w:pPr>
          </w:p>
          <w:p w14:paraId="4EC142A2" w14:textId="77777777" w:rsidR="0046798B" w:rsidRDefault="00903B5C">
            <w:pPr>
              <w:pStyle w:val="TableParagraph"/>
              <w:ind w:left="114"/>
              <w:rPr>
                <w:sz w:val="20"/>
              </w:rPr>
            </w:pPr>
            <w:r>
              <w:rPr>
                <w:sz w:val="20"/>
              </w:rPr>
              <w:t>1937–2015</w:t>
            </w:r>
          </w:p>
        </w:tc>
        <w:tc>
          <w:tcPr>
            <w:tcW w:w="3421" w:type="dxa"/>
          </w:tcPr>
          <w:p w14:paraId="672624BB" w14:textId="77777777" w:rsidR="0046798B" w:rsidRDefault="00903B5C">
            <w:pPr>
              <w:pStyle w:val="TableParagraph"/>
              <w:spacing w:before="38"/>
              <w:ind w:left="114" w:right="122"/>
              <w:rPr>
                <w:sz w:val="20"/>
              </w:rPr>
            </w:pPr>
            <w:r>
              <w:rPr>
                <w:sz w:val="20"/>
              </w:rPr>
              <w:t>Exclusive state control of retail sales of some types of beer</w:t>
            </w:r>
          </w:p>
          <w:p w14:paraId="3D5BF8A5" w14:textId="77777777" w:rsidR="0046798B" w:rsidRDefault="0046798B">
            <w:pPr>
              <w:pStyle w:val="TableParagraph"/>
              <w:rPr>
                <w:sz w:val="20"/>
              </w:rPr>
            </w:pPr>
          </w:p>
          <w:p w14:paraId="0C5E9C33" w14:textId="77777777" w:rsidR="0046798B" w:rsidRDefault="00903B5C">
            <w:pPr>
              <w:pStyle w:val="TableParagraph"/>
              <w:ind w:left="114"/>
              <w:rPr>
                <w:sz w:val="20"/>
              </w:rPr>
            </w:pPr>
            <w:r>
              <w:rPr>
                <w:sz w:val="20"/>
              </w:rPr>
              <w:t>0 = no, 0.5 = only some very high- alcohol beers (&gt;12% ABV), 1 = yes,</w:t>
            </w:r>
            <w:r>
              <w:rPr>
                <w:spacing w:val="1"/>
                <w:sz w:val="20"/>
              </w:rPr>
              <w:t xml:space="preserve"> </w:t>
            </w:r>
            <w:r>
              <w:rPr>
                <w:spacing w:val="-13"/>
                <w:sz w:val="20"/>
              </w:rPr>
              <w:t>5</w:t>
            </w:r>
          </w:p>
          <w:p w14:paraId="249B043B" w14:textId="77777777" w:rsidR="0046798B" w:rsidRDefault="00903B5C">
            <w:pPr>
              <w:pStyle w:val="TableParagraph"/>
              <w:spacing w:before="1"/>
              <w:ind w:left="114" w:right="150"/>
              <w:rPr>
                <w:sz w:val="20"/>
              </w:rPr>
            </w:pPr>
            <w:r>
              <w:rPr>
                <w:sz w:val="20"/>
              </w:rPr>
              <w:t>= total prohibition; +1.5 = near- absolute on-premises prohibition,</w:t>
            </w:r>
            <w:r>
              <w:rPr>
                <w:spacing w:val="-2"/>
                <w:sz w:val="20"/>
              </w:rPr>
              <w:t xml:space="preserve"> </w:t>
            </w:r>
            <w:r>
              <w:rPr>
                <w:spacing w:val="-3"/>
                <w:sz w:val="20"/>
              </w:rPr>
              <w:t>+0.5</w:t>
            </w:r>
          </w:p>
          <w:p w14:paraId="69FE0BA5" w14:textId="77777777" w:rsidR="0046798B" w:rsidRDefault="00903B5C">
            <w:pPr>
              <w:pStyle w:val="TableParagraph"/>
              <w:ind w:left="114" w:right="276"/>
              <w:rPr>
                <w:sz w:val="20"/>
              </w:rPr>
            </w:pPr>
            <w:r>
              <w:rPr>
                <w:sz w:val="20"/>
              </w:rPr>
              <w:t>= on-premises limitation (restaurants, bars, private clubs)</w:t>
            </w:r>
          </w:p>
        </w:tc>
        <w:tc>
          <w:tcPr>
            <w:tcW w:w="6482" w:type="dxa"/>
          </w:tcPr>
          <w:p w14:paraId="5211AC55" w14:textId="77777777" w:rsidR="0046798B" w:rsidRDefault="0046798B">
            <w:pPr>
              <w:pStyle w:val="TableParagraph"/>
            </w:pPr>
          </w:p>
          <w:p w14:paraId="0B0D083B" w14:textId="77777777" w:rsidR="0046798B" w:rsidRDefault="0046798B">
            <w:pPr>
              <w:pStyle w:val="TableParagraph"/>
            </w:pPr>
          </w:p>
          <w:p w14:paraId="0E0180A0" w14:textId="77777777" w:rsidR="0046798B" w:rsidRDefault="0046798B">
            <w:pPr>
              <w:pStyle w:val="TableParagraph"/>
              <w:spacing w:before="3"/>
              <w:rPr>
                <w:sz w:val="19"/>
              </w:rPr>
            </w:pPr>
          </w:p>
          <w:p w14:paraId="6AB02EA6"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A51E5F7" w14:textId="77777777">
        <w:trPr>
          <w:trHeight w:val="502"/>
        </w:trPr>
        <w:tc>
          <w:tcPr>
            <w:tcW w:w="1711" w:type="dxa"/>
            <w:tcBorders>
              <w:bottom w:val="nil"/>
            </w:tcBorders>
          </w:tcPr>
          <w:p w14:paraId="3B92D742" w14:textId="77777777" w:rsidR="0046798B" w:rsidRDefault="0046798B">
            <w:pPr>
              <w:pStyle w:val="TableParagraph"/>
              <w:rPr>
                <w:sz w:val="20"/>
              </w:rPr>
            </w:pPr>
          </w:p>
        </w:tc>
        <w:tc>
          <w:tcPr>
            <w:tcW w:w="1596" w:type="dxa"/>
            <w:tcBorders>
              <w:bottom w:val="nil"/>
            </w:tcBorders>
          </w:tcPr>
          <w:p w14:paraId="0B58D273" w14:textId="77777777" w:rsidR="0046798B" w:rsidRDefault="0046798B">
            <w:pPr>
              <w:pStyle w:val="TableParagraph"/>
              <w:rPr>
                <w:sz w:val="20"/>
              </w:rPr>
            </w:pPr>
          </w:p>
        </w:tc>
        <w:tc>
          <w:tcPr>
            <w:tcW w:w="1285" w:type="dxa"/>
            <w:tcBorders>
              <w:bottom w:val="nil"/>
            </w:tcBorders>
          </w:tcPr>
          <w:p w14:paraId="698E4697" w14:textId="77777777" w:rsidR="0046798B" w:rsidRDefault="0046798B">
            <w:pPr>
              <w:pStyle w:val="TableParagraph"/>
              <w:rPr>
                <w:sz w:val="20"/>
              </w:rPr>
            </w:pPr>
          </w:p>
        </w:tc>
        <w:tc>
          <w:tcPr>
            <w:tcW w:w="3421" w:type="dxa"/>
            <w:tcBorders>
              <w:bottom w:val="nil"/>
            </w:tcBorders>
          </w:tcPr>
          <w:p w14:paraId="1236ED45" w14:textId="77777777" w:rsidR="0046798B" w:rsidRDefault="00903B5C">
            <w:pPr>
              <w:pStyle w:val="TableParagraph"/>
              <w:spacing w:before="39" w:line="230" w:lineRule="atLeast"/>
              <w:ind w:left="114" w:right="389"/>
              <w:rPr>
                <w:sz w:val="20"/>
              </w:rPr>
            </w:pPr>
            <w:r>
              <w:rPr>
                <w:sz w:val="20"/>
              </w:rPr>
              <w:t>Exclusive state control of wholesale sales of some types of beer</w:t>
            </w:r>
          </w:p>
        </w:tc>
        <w:tc>
          <w:tcPr>
            <w:tcW w:w="6482" w:type="dxa"/>
            <w:tcBorders>
              <w:bottom w:val="nil"/>
            </w:tcBorders>
          </w:tcPr>
          <w:p w14:paraId="60391E72" w14:textId="77777777" w:rsidR="0046798B" w:rsidRDefault="0046798B">
            <w:pPr>
              <w:pStyle w:val="TableParagraph"/>
              <w:rPr>
                <w:sz w:val="20"/>
              </w:rPr>
            </w:pPr>
          </w:p>
        </w:tc>
      </w:tr>
      <w:tr w:rsidR="0046798B" w14:paraId="0911B3FC" w14:textId="77777777">
        <w:trPr>
          <w:trHeight w:val="1653"/>
        </w:trPr>
        <w:tc>
          <w:tcPr>
            <w:tcW w:w="1711" w:type="dxa"/>
            <w:tcBorders>
              <w:top w:val="nil"/>
            </w:tcBorders>
          </w:tcPr>
          <w:p w14:paraId="02EFF373" w14:textId="77777777" w:rsidR="0046798B" w:rsidRDefault="0046798B">
            <w:pPr>
              <w:pStyle w:val="TableParagraph"/>
            </w:pPr>
          </w:p>
          <w:p w14:paraId="4A5B3787" w14:textId="77777777" w:rsidR="0046798B" w:rsidRDefault="0046798B">
            <w:pPr>
              <w:pStyle w:val="TableParagraph"/>
              <w:spacing w:before="7"/>
              <w:rPr>
                <w:sz w:val="17"/>
              </w:rPr>
            </w:pPr>
          </w:p>
          <w:p w14:paraId="286E0B17" w14:textId="77777777" w:rsidR="0046798B" w:rsidRDefault="00903B5C">
            <w:pPr>
              <w:pStyle w:val="TableParagraph"/>
              <w:ind w:left="115"/>
              <w:rPr>
                <w:b/>
                <w:sz w:val="20"/>
              </w:rPr>
            </w:pPr>
            <w:r>
              <w:rPr>
                <w:b/>
                <w:sz w:val="20"/>
              </w:rPr>
              <w:t>cbwhol</w:t>
            </w:r>
          </w:p>
        </w:tc>
        <w:tc>
          <w:tcPr>
            <w:tcW w:w="1596" w:type="dxa"/>
            <w:tcBorders>
              <w:top w:val="nil"/>
            </w:tcBorders>
          </w:tcPr>
          <w:p w14:paraId="20AC420E" w14:textId="77777777" w:rsidR="0046798B" w:rsidRDefault="00903B5C">
            <w:pPr>
              <w:pStyle w:val="TableParagraph"/>
              <w:ind w:left="114" w:right="124"/>
              <w:rPr>
                <w:sz w:val="20"/>
              </w:rPr>
            </w:pPr>
            <w:r>
              <w:rPr>
                <w:sz w:val="20"/>
              </w:rPr>
              <w:t>Exclusive state control of wholesale sales of some types of beer</w:t>
            </w:r>
          </w:p>
        </w:tc>
        <w:tc>
          <w:tcPr>
            <w:tcW w:w="1285" w:type="dxa"/>
            <w:tcBorders>
              <w:top w:val="nil"/>
            </w:tcBorders>
          </w:tcPr>
          <w:p w14:paraId="0B6EDE9E" w14:textId="77777777" w:rsidR="0046798B" w:rsidRDefault="0046798B">
            <w:pPr>
              <w:pStyle w:val="TableParagraph"/>
            </w:pPr>
          </w:p>
          <w:p w14:paraId="375F0A79" w14:textId="77777777" w:rsidR="0046798B" w:rsidRDefault="0046798B">
            <w:pPr>
              <w:pStyle w:val="TableParagraph"/>
              <w:spacing w:before="7"/>
              <w:rPr>
                <w:sz w:val="17"/>
              </w:rPr>
            </w:pPr>
          </w:p>
          <w:p w14:paraId="54218AD7" w14:textId="77777777" w:rsidR="0046798B" w:rsidRDefault="00903B5C">
            <w:pPr>
              <w:pStyle w:val="TableParagraph"/>
              <w:ind w:left="114"/>
              <w:rPr>
                <w:sz w:val="20"/>
              </w:rPr>
            </w:pPr>
            <w:r>
              <w:rPr>
                <w:sz w:val="20"/>
              </w:rPr>
              <w:t>1937–2015</w:t>
            </w:r>
          </w:p>
        </w:tc>
        <w:tc>
          <w:tcPr>
            <w:tcW w:w="3421" w:type="dxa"/>
            <w:tcBorders>
              <w:top w:val="nil"/>
            </w:tcBorders>
          </w:tcPr>
          <w:p w14:paraId="25D82D81" w14:textId="77777777" w:rsidR="0046798B" w:rsidRDefault="0046798B">
            <w:pPr>
              <w:pStyle w:val="TableParagraph"/>
              <w:spacing w:before="7"/>
              <w:rPr>
                <w:sz w:val="19"/>
              </w:rPr>
            </w:pPr>
          </w:p>
          <w:p w14:paraId="715667B5" w14:textId="77777777" w:rsidR="0046798B" w:rsidRDefault="00903B5C">
            <w:pPr>
              <w:pStyle w:val="TableParagraph"/>
              <w:ind w:left="114" w:right="102"/>
              <w:rPr>
                <w:sz w:val="20"/>
              </w:rPr>
            </w:pPr>
            <w:r>
              <w:rPr>
                <w:sz w:val="20"/>
              </w:rPr>
              <w:t>0 = no, 0.5 = only some very high- alcohol beers (&gt;12% ABV/W), 1 = yes;</w:t>
            </w:r>
          </w:p>
          <w:p w14:paraId="1AD56D4A" w14:textId="77777777" w:rsidR="0046798B" w:rsidRDefault="00903B5C">
            <w:pPr>
              <w:pStyle w:val="TableParagraph"/>
              <w:spacing w:before="1"/>
              <w:ind w:left="114" w:right="427"/>
              <w:rPr>
                <w:sz w:val="20"/>
              </w:rPr>
            </w:pPr>
            <w:r>
              <w:rPr>
                <w:sz w:val="20"/>
              </w:rPr>
              <w:t>+1.5 = near-absolute on-premises prohibition, +0.5 = on-premises limitation (restaurants, bars, private clubs)</w:t>
            </w:r>
          </w:p>
        </w:tc>
        <w:tc>
          <w:tcPr>
            <w:tcW w:w="6482" w:type="dxa"/>
            <w:tcBorders>
              <w:top w:val="nil"/>
            </w:tcBorders>
          </w:tcPr>
          <w:p w14:paraId="08CE5DF8" w14:textId="77777777" w:rsidR="0046798B" w:rsidRDefault="0046798B">
            <w:pPr>
              <w:pStyle w:val="TableParagraph"/>
              <w:spacing w:before="7"/>
              <w:rPr>
                <w:sz w:val="19"/>
              </w:rPr>
            </w:pPr>
          </w:p>
          <w:p w14:paraId="6FF79B67"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07327DE0" w14:textId="77777777" w:rsidR="0046798B" w:rsidRDefault="0046798B">
      <w:pPr>
        <w:rPr>
          <w:sz w:val="20"/>
        </w:rPr>
        <w:sectPr w:rsidR="0046798B">
          <w:pgSz w:w="15840" w:h="12240" w:orient="landscape"/>
          <w:pgMar w:top="1220" w:right="300" w:bottom="980" w:left="820" w:header="730" w:footer="787" w:gutter="0"/>
          <w:cols w:space="720"/>
        </w:sectPr>
      </w:pPr>
    </w:p>
    <w:p w14:paraId="3713BE1C"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5C32CAE0" w14:textId="77777777">
        <w:trPr>
          <w:trHeight w:val="1235"/>
        </w:trPr>
        <w:tc>
          <w:tcPr>
            <w:tcW w:w="1711" w:type="dxa"/>
          </w:tcPr>
          <w:p w14:paraId="0B7119CF" w14:textId="77777777" w:rsidR="0046798B" w:rsidRDefault="0046798B">
            <w:pPr>
              <w:pStyle w:val="TableParagraph"/>
            </w:pPr>
          </w:p>
          <w:p w14:paraId="0CF7C151" w14:textId="77777777" w:rsidR="0046798B" w:rsidRDefault="0046798B">
            <w:pPr>
              <w:pStyle w:val="TableParagraph"/>
              <w:spacing w:before="9"/>
              <w:rPr>
                <w:sz w:val="21"/>
              </w:rPr>
            </w:pPr>
          </w:p>
          <w:p w14:paraId="17BFECDC" w14:textId="77777777" w:rsidR="0046798B" w:rsidRDefault="00903B5C">
            <w:pPr>
              <w:pStyle w:val="TableParagraph"/>
              <w:ind w:left="115"/>
              <w:rPr>
                <w:b/>
                <w:sz w:val="20"/>
              </w:rPr>
            </w:pPr>
            <w:r>
              <w:rPr>
                <w:b/>
                <w:sz w:val="20"/>
              </w:rPr>
              <w:t>cbeerp</w:t>
            </w:r>
          </w:p>
        </w:tc>
        <w:tc>
          <w:tcPr>
            <w:tcW w:w="1596" w:type="dxa"/>
          </w:tcPr>
          <w:p w14:paraId="38EE82BF" w14:textId="77777777" w:rsidR="0046798B" w:rsidRDefault="00903B5C">
            <w:pPr>
              <w:pStyle w:val="TableParagraph"/>
              <w:spacing w:before="43"/>
              <w:ind w:left="114" w:right="165"/>
              <w:rPr>
                <w:sz w:val="20"/>
              </w:rPr>
            </w:pPr>
            <w:r>
              <w:rPr>
                <w:sz w:val="20"/>
              </w:rPr>
              <w:t>Net-of-tax beer price per gallon, off-premises, 2008, in 2008</w:t>
            </w:r>
          </w:p>
          <w:p w14:paraId="311AB686" w14:textId="77777777" w:rsidR="0046798B" w:rsidRDefault="00903B5C">
            <w:pPr>
              <w:pStyle w:val="TableParagraph"/>
              <w:ind w:left="114"/>
              <w:rPr>
                <w:sz w:val="20"/>
              </w:rPr>
            </w:pPr>
            <w:r>
              <w:rPr>
                <w:sz w:val="20"/>
              </w:rPr>
              <w:t>dollars</w:t>
            </w:r>
          </w:p>
        </w:tc>
        <w:tc>
          <w:tcPr>
            <w:tcW w:w="1285" w:type="dxa"/>
          </w:tcPr>
          <w:p w14:paraId="68D9040D" w14:textId="77777777" w:rsidR="0046798B" w:rsidRDefault="0046798B">
            <w:pPr>
              <w:pStyle w:val="TableParagraph"/>
            </w:pPr>
          </w:p>
          <w:p w14:paraId="687D4A9A" w14:textId="77777777" w:rsidR="0046798B" w:rsidRDefault="0046798B">
            <w:pPr>
              <w:pStyle w:val="TableParagraph"/>
              <w:spacing w:before="9"/>
              <w:rPr>
                <w:sz w:val="21"/>
              </w:rPr>
            </w:pPr>
          </w:p>
          <w:p w14:paraId="29A3D4A8" w14:textId="77777777" w:rsidR="0046798B" w:rsidRDefault="00903B5C">
            <w:pPr>
              <w:pStyle w:val="TableParagraph"/>
              <w:ind w:left="114"/>
              <w:rPr>
                <w:sz w:val="20"/>
              </w:rPr>
            </w:pPr>
            <w:r>
              <w:rPr>
                <w:sz w:val="20"/>
              </w:rPr>
              <w:t>1937–2016</w:t>
            </w:r>
          </w:p>
        </w:tc>
        <w:tc>
          <w:tcPr>
            <w:tcW w:w="3421" w:type="dxa"/>
          </w:tcPr>
          <w:p w14:paraId="0D21FB4A" w14:textId="77777777" w:rsidR="0046798B" w:rsidRDefault="0046798B">
            <w:pPr>
              <w:pStyle w:val="TableParagraph"/>
            </w:pPr>
          </w:p>
          <w:p w14:paraId="6BB1F995" w14:textId="77777777" w:rsidR="0046798B" w:rsidRDefault="00903B5C">
            <w:pPr>
              <w:pStyle w:val="TableParagraph"/>
              <w:spacing w:before="135"/>
              <w:ind w:left="114"/>
              <w:rPr>
                <w:sz w:val="20"/>
              </w:rPr>
            </w:pPr>
            <w:r>
              <w:rPr>
                <w:sz w:val="20"/>
              </w:rPr>
              <w:t>Net-of-tax beer price per gallon, off- premises, 2008, in 2008 dollars</w:t>
            </w:r>
          </w:p>
        </w:tc>
        <w:tc>
          <w:tcPr>
            <w:tcW w:w="6482" w:type="dxa"/>
          </w:tcPr>
          <w:p w14:paraId="25C0AFB5" w14:textId="77777777" w:rsidR="0046798B" w:rsidRDefault="0046798B">
            <w:pPr>
              <w:pStyle w:val="TableParagraph"/>
              <w:spacing w:before="9"/>
              <w:rPr>
                <w:sz w:val="23"/>
              </w:rPr>
            </w:pPr>
          </w:p>
          <w:p w14:paraId="6C217FDA" w14:textId="77777777" w:rsidR="0046798B" w:rsidRDefault="00903B5C">
            <w:pPr>
              <w:pStyle w:val="TableParagraph"/>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FADCEEF" w14:textId="77777777">
        <w:trPr>
          <w:trHeight w:val="1005"/>
        </w:trPr>
        <w:tc>
          <w:tcPr>
            <w:tcW w:w="1711" w:type="dxa"/>
          </w:tcPr>
          <w:p w14:paraId="239DD6CF" w14:textId="77777777" w:rsidR="0046798B" w:rsidRDefault="0046798B">
            <w:pPr>
              <w:pStyle w:val="TableParagraph"/>
            </w:pPr>
          </w:p>
          <w:p w14:paraId="79467818" w14:textId="77777777" w:rsidR="0046798B" w:rsidRDefault="00903B5C">
            <w:pPr>
              <w:pStyle w:val="TableParagraph"/>
              <w:spacing w:before="136"/>
              <w:ind w:left="115"/>
              <w:rPr>
                <w:b/>
                <w:sz w:val="20"/>
              </w:rPr>
            </w:pPr>
            <w:r>
              <w:rPr>
                <w:b/>
                <w:sz w:val="20"/>
              </w:rPr>
              <w:t>cbeert</w:t>
            </w:r>
          </w:p>
        </w:tc>
        <w:tc>
          <w:tcPr>
            <w:tcW w:w="1596" w:type="dxa"/>
          </w:tcPr>
          <w:p w14:paraId="1F7A3A11" w14:textId="77777777" w:rsidR="0046798B" w:rsidRDefault="00903B5C">
            <w:pPr>
              <w:pStyle w:val="TableParagraph"/>
              <w:spacing w:before="43"/>
              <w:ind w:left="114" w:right="308"/>
              <w:rPr>
                <w:sz w:val="20"/>
              </w:rPr>
            </w:pPr>
            <w:r>
              <w:rPr>
                <w:sz w:val="20"/>
              </w:rPr>
              <w:t>Beer taxes per gallon, off- premises, in 2008 dollars</w:t>
            </w:r>
          </w:p>
        </w:tc>
        <w:tc>
          <w:tcPr>
            <w:tcW w:w="1285" w:type="dxa"/>
          </w:tcPr>
          <w:p w14:paraId="2F124FB4" w14:textId="77777777" w:rsidR="0046798B" w:rsidRDefault="0046798B">
            <w:pPr>
              <w:pStyle w:val="TableParagraph"/>
            </w:pPr>
          </w:p>
          <w:p w14:paraId="6C8888B3" w14:textId="77777777" w:rsidR="0046798B" w:rsidRDefault="00903B5C">
            <w:pPr>
              <w:pStyle w:val="TableParagraph"/>
              <w:spacing w:before="136"/>
              <w:ind w:left="114"/>
              <w:rPr>
                <w:sz w:val="20"/>
              </w:rPr>
            </w:pPr>
            <w:r>
              <w:rPr>
                <w:sz w:val="20"/>
              </w:rPr>
              <w:t>1937–2015</w:t>
            </w:r>
          </w:p>
        </w:tc>
        <w:tc>
          <w:tcPr>
            <w:tcW w:w="3421" w:type="dxa"/>
          </w:tcPr>
          <w:p w14:paraId="4CF132D6" w14:textId="77777777" w:rsidR="0046798B" w:rsidRDefault="0046798B">
            <w:pPr>
              <w:pStyle w:val="TableParagraph"/>
              <w:spacing w:before="9"/>
              <w:rPr>
                <w:sz w:val="23"/>
              </w:rPr>
            </w:pPr>
          </w:p>
          <w:p w14:paraId="5C3826AA" w14:textId="77777777" w:rsidR="0046798B" w:rsidRDefault="00903B5C">
            <w:pPr>
              <w:pStyle w:val="TableParagraph"/>
              <w:ind w:left="114" w:right="216"/>
              <w:rPr>
                <w:sz w:val="20"/>
              </w:rPr>
            </w:pPr>
            <w:r>
              <w:rPr>
                <w:sz w:val="20"/>
              </w:rPr>
              <w:t>Beer taxes per gallon, off-premises, in 2008 dollars</w:t>
            </w:r>
          </w:p>
        </w:tc>
        <w:tc>
          <w:tcPr>
            <w:tcW w:w="6482" w:type="dxa"/>
          </w:tcPr>
          <w:p w14:paraId="71302950"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4638645" w14:textId="77777777">
        <w:trPr>
          <w:trHeight w:val="780"/>
        </w:trPr>
        <w:tc>
          <w:tcPr>
            <w:tcW w:w="1711" w:type="dxa"/>
          </w:tcPr>
          <w:p w14:paraId="29E87DD1" w14:textId="77777777" w:rsidR="0046798B" w:rsidRDefault="0046798B">
            <w:pPr>
              <w:pStyle w:val="TableParagraph"/>
              <w:spacing w:before="8"/>
              <w:rPr>
                <w:sz w:val="23"/>
              </w:rPr>
            </w:pPr>
          </w:p>
          <w:p w14:paraId="572F9058" w14:textId="77777777" w:rsidR="0046798B" w:rsidRDefault="00903B5C">
            <w:pPr>
              <w:pStyle w:val="TableParagraph"/>
              <w:spacing w:before="1"/>
              <w:ind w:left="115"/>
              <w:rPr>
                <w:b/>
                <w:sz w:val="20"/>
              </w:rPr>
            </w:pPr>
            <w:r>
              <w:rPr>
                <w:b/>
                <w:sz w:val="20"/>
              </w:rPr>
              <w:t>cbeertav</w:t>
            </w:r>
          </w:p>
        </w:tc>
        <w:tc>
          <w:tcPr>
            <w:tcW w:w="1596" w:type="dxa"/>
          </w:tcPr>
          <w:p w14:paraId="56C15C81" w14:textId="77777777" w:rsidR="0046798B" w:rsidRDefault="00903B5C">
            <w:pPr>
              <w:pStyle w:val="TableParagraph"/>
              <w:spacing w:before="158"/>
              <w:ind w:left="114" w:right="130"/>
              <w:rPr>
                <w:sz w:val="20"/>
              </w:rPr>
            </w:pPr>
            <w:r>
              <w:rPr>
                <w:sz w:val="20"/>
              </w:rPr>
              <w:t>Beer ad valorem tax rates</w:t>
            </w:r>
          </w:p>
        </w:tc>
        <w:tc>
          <w:tcPr>
            <w:tcW w:w="1285" w:type="dxa"/>
          </w:tcPr>
          <w:p w14:paraId="5306A737" w14:textId="77777777" w:rsidR="0046798B" w:rsidRDefault="0046798B">
            <w:pPr>
              <w:pStyle w:val="TableParagraph"/>
              <w:spacing w:before="8"/>
              <w:rPr>
                <w:sz w:val="23"/>
              </w:rPr>
            </w:pPr>
          </w:p>
          <w:p w14:paraId="4149C777" w14:textId="77777777" w:rsidR="0046798B" w:rsidRDefault="00903B5C">
            <w:pPr>
              <w:pStyle w:val="TableParagraph"/>
              <w:spacing w:before="1"/>
              <w:ind w:left="114"/>
              <w:rPr>
                <w:sz w:val="20"/>
              </w:rPr>
            </w:pPr>
            <w:r>
              <w:rPr>
                <w:sz w:val="20"/>
              </w:rPr>
              <w:t>1937–2016</w:t>
            </w:r>
          </w:p>
        </w:tc>
        <w:tc>
          <w:tcPr>
            <w:tcW w:w="3421" w:type="dxa"/>
          </w:tcPr>
          <w:p w14:paraId="4675FBF1" w14:textId="77777777" w:rsidR="0046798B" w:rsidRDefault="00903B5C">
            <w:pPr>
              <w:pStyle w:val="TableParagraph"/>
              <w:spacing w:before="43"/>
              <w:ind w:left="114" w:right="383"/>
              <w:rPr>
                <w:sz w:val="20"/>
              </w:rPr>
            </w:pPr>
            <w:r>
              <w:rPr>
                <w:sz w:val="20"/>
              </w:rPr>
              <w:t>Beer ad valorem tax rates (%, off- premises; if sales tax is not charged, that amount is deducted)</w:t>
            </w:r>
          </w:p>
        </w:tc>
        <w:tc>
          <w:tcPr>
            <w:tcW w:w="6482" w:type="dxa"/>
          </w:tcPr>
          <w:p w14:paraId="374F32FB"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72E6386" w14:textId="77777777">
        <w:trPr>
          <w:trHeight w:val="775"/>
        </w:trPr>
        <w:tc>
          <w:tcPr>
            <w:tcW w:w="1711" w:type="dxa"/>
          </w:tcPr>
          <w:p w14:paraId="29230306" w14:textId="77777777" w:rsidR="0046798B" w:rsidRDefault="0046798B">
            <w:pPr>
              <w:pStyle w:val="TableParagraph"/>
              <w:spacing w:before="3"/>
              <w:rPr>
                <w:sz w:val="23"/>
              </w:rPr>
            </w:pPr>
          </w:p>
          <w:p w14:paraId="3F37BDB1" w14:textId="77777777" w:rsidR="0046798B" w:rsidRDefault="00903B5C">
            <w:pPr>
              <w:pStyle w:val="TableParagraph"/>
              <w:spacing w:before="1"/>
              <w:ind w:left="115"/>
              <w:rPr>
                <w:b/>
                <w:sz w:val="20"/>
              </w:rPr>
            </w:pPr>
            <w:r>
              <w:rPr>
                <w:b/>
                <w:sz w:val="20"/>
              </w:rPr>
              <w:t>cblue</w:t>
            </w:r>
          </w:p>
        </w:tc>
        <w:tc>
          <w:tcPr>
            <w:tcW w:w="1596" w:type="dxa"/>
          </w:tcPr>
          <w:p w14:paraId="58751833" w14:textId="77777777" w:rsidR="0046798B" w:rsidRDefault="00903B5C">
            <w:pPr>
              <w:pStyle w:val="TableParagraph"/>
              <w:spacing w:before="38"/>
              <w:ind w:left="114" w:right="91"/>
              <w:rPr>
                <w:sz w:val="20"/>
              </w:rPr>
            </w:pPr>
            <w:r>
              <w:rPr>
                <w:sz w:val="20"/>
              </w:rPr>
              <w:t>Bans on off- premises Sunday sales of alcohol</w:t>
            </w:r>
          </w:p>
        </w:tc>
        <w:tc>
          <w:tcPr>
            <w:tcW w:w="1285" w:type="dxa"/>
          </w:tcPr>
          <w:p w14:paraId="1F2E41C2" w14:textId="77777777" w:rsidR="0046798B" w:rsidRDefault="0046798B">
            <w:pPr>
              <w:pStyle w:val="TableParagraph"/>
              <w:spacing w:before="3"/>
              <w:rPr>
                <w:sz w:val="23"/>
              </w:rPr>
            </w:pPr>
          </w:p>
          <w:p w14:paraId="4C9D722A" w14:textId="77777777" w:rsidR="0046798B" w:rsidRDefault="00903B5C">
            <w:pPr>
              <w:pStyle w:val="TableParagraph"/>
              <w:spacing w:before="1"/>
              <w:ind w:left="114"/>
              <w:rPr>
                <w:sz w:val="20"/>
              </w:rPr>
            </w:pPr>
            <w:r>
              <w:rPr>
                <w:sz w:val="20"/>
              </w:rPr>
              <w:t>1997–2015</w:t>
            </w:r>
          </w:p>
        </w:tc>
        <w:tc>
          <w:tcPr>
            <w:tcW w:w="3421" w:type="dxa"/>
          </w:tcPr>
          <w:p w14:paraId="4F31820F" w14:textId="77777777" w:rsidR="0046798B" w:rsidRDefault="00903B5C">
            <w:pPr>
              <w:pStyle w:val="TableParagraph"/>
              <w:spacing w:before="153"/>
              <w:ind w:left="114" w:right="260"/>
              <w:rPr>
                <w:sz w:val="20"/>
              </w:rPr>
            </w:pPr>
            <w:r>
              <w:rPr>
                <w:sz w:val="20"/>
              </w:rPr>
              <w:t>Bans on off-premises Sunday sales of alcohol</w:t>
            </w:r>
          </w:p>
        </w:tc>
        <w:tc>
          <w:tcPr>
            <w:tcW w:w="6482" w:type="dxa"/>
          </w:tcPr>
          <w:p w14:paraId="39575A42" w14:textId="77777777" w:rsidR="0046798B" w:rsidRDefault="00903B5C">
            <w:pPr>
              <w:pStyle w:val="TableParagraph"/>
              <w:spacing w:before="3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736E231" w14:textId="77777777">
        <w:trPr>
          <w:trHeight w:val="1005"/>
        </w:trPr>
        <w:tc>
          <w:tcPr>
            <w:tcW w:w="1711" w:type="dxa"/>
          </w:tcPr>
          <w:p w14:paraId="79AD0BCE" w14:textId="77777777" w:rsidR="0046798B" w:rsidRDefault="0046798B">
            <w:pPr>
              <w:pStyle w:val="TableParagraph"/>
            </w:pPr>
          </w:p>
          <w:p w14:paraId="7EAACEE6" w14:textId="77777777" w:rsidR="0046798B" w:rsidRDefault="00903B5C">
            <w:pPr>
              <w:pStyle w:val="TableParagraph"/>
              <w:spacing w:before="130"/>
              <w:ind w:left="115"/>
              <w:rPr>
                <w:b/>
                <w:sz w:val="20"/>
              </w:rPr>
            </w:pPr>
            <w:r>
              <w:rPr>
                <w:b/>
                <w:sz w:val="20"/>
              </w:rPr>
              <w:t>cblue2</w:t>
            </w:r>
          </w:p>
        </w:tc>
        <w:tc>
          <w:tcPr>
            <w:tcW w:w="1596" w:type="dxa"/>
          </w:tcPr>
          <w:p w14:paraId="79D05180" w14:textId="77777777" w:rsidR="0046798B" w:rsidRDefault="00903B5C">
            <w:pPr>
              <w:pStyle w:val="TableParagraph"/>
              <w:spacing w:before="38"/>
              <w:ind w:left="114" w:right="91"/>
              <w:rPr>
                <w:sz w:val="20"/>
              </w:rPr>
            </w:pPr>
            <w:r>
              <w:rPr>
                <w:sz w:val="20"/>
              </w:rPr>
              <w:t>Bans on off- premises Sunday sales of alcohol, with local option</w:t>
            </w:r>
          </w:p>
        </w:tc>
        <w:tc>
          <w:tcPr>
            <w:tcW w:w="1285" w:type="dxa"/>
          </w:tcPr>
          <w:p w14:paraId="47D396C2" w14:textId="77777777" w:rsidR="0046798B" w:rsidRDefault="0046798B">
            <w:pPr>
              <w:pStyle w:val="TableParagraph"/>
            </w:pPr>
          </w:p>
          <w:p w14:paraId="1B4B62AD" w14:textId="77777777" w:rsidR="0046798B" w:rsidRDefault="00903B5C">
            <w:pPr>
              <w:pStyle w:val="TableParagraph"/>
              <w:spacing w:before="130"/>
              <w:ind w:left="114"/>
              <w:rPr>
                <w:sz w:val="20"/>
              </w:rPr>
            </w:pPr>
            <w:r>
              <w:rPr>
                <w:sz w:val="20"/>
              </w:rPr>
              <w:t>1997–2015</w:t>
            </w:r>
          </w:p>
        </w:tc>
        <w:tc>
          <w:tcPr>
            <w:tcW w:w="3421" w:type="dxa"/>
          </w:tcPr>
          <w:p w14:paraId="3615444A" w14:textId="77777777" w:rsidR="0046798B" w:rsidRDefault="0046798B">
            <w:pPr>
              <w:pStyle w:val="TableParagraph"/>
              <w:spacing w:before="4"/>
              <w:rPr>
                <w:sz w:val="23"/>
              </w:rPr>
            </w:pPr>
          </w:p>
          <w:p w14:paraId="68E9A29F" w14:textId="77777777" w:rsidR="0046798B" w:rsidRDefault="00903B5C">
            <w:pPr>
              <w:pStyle w:val="TableParagraph"/>
              <w:ind w:left="114" w:right="260"/>
              <w:rPr>
                <w:sz w:val="20"/>
              </w:rPr>
            </w:pPr>
            <w:r>
              <w:rPr>
                <w:sz w:val="20"/>
              </w:rPr>
              <w:t>Bans on off-premises Sunday sales of alcohol, with local option</w:t>
            </w:r>
          </w:p>
        </w:tc>
        <w:tc>
          <w:tcPr>
            <w:tcW w:w="6482" w:type="dxa"/>
          </w:tcPr>
          <w:p w14:paraId="6610A27F" w14:textId="77777777" w:rsidR="0046798B" w:rsidRDefault="00903B5C">
            <w:pPr>
              <w:pStyle w:val="TableParagraph"/>
              <w:spacing w:before="15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C4FB06F" w14:textId="77777777">
        <w:trPr>
          <w:trHeight w:val="775"/>
        </w:trPr>
        <w:tc>
          <w:tcPr>
            <w:tcW w:w="1711" w:type="dxa"/>
          </w:tcPr>
          <w:p w14:paraId="7F903588" w14:textId="77777777" w:rsidR="0046798B" w:rsidRDefault="0046798B">
            <w:pPr>
              <w:pStyle w:val="TableParagraph"/>
              <w:spacing w:before="9"/>
              <w:rPr>
                <w:sz w:val="23"/>
              </w:rPr>
            </w:pPr>
          </w:p>
          <w:p w14:paraId="5A62AA66" w14:textId="77777777" w:rsidR="0046798B" w:rsidRDefault="00903B5C">
            <w:pPr>
              <w:pStyle w:val="TableParagraph"/>
              <w:ind w:left="115"/>
              <w:rPr>
                <w:b/>
                <w:sz w:val="20"/>
              </w:rPr>
            </w:pPr>
            <w:r>
              <w:rPr>
                <w:b/>
                <w:sz w:val="20"/>
              </w:rPr>
              <w:t>cbluelaw</w:t>
            </w:r>
          </w:p>
        </w:tc>
        <w:tc>
          <w:tcPr>
            <w:tcW w:w="1596" w:type="dxa"/>
          </w:tcPr>
          <w:p w14:paraId="162FFEF9" w14:textId="77777777" w:rsidR="0046798B" w:rsidRDefault="0046798B">
            <w:pPr>
              <w:pStyle w:val="TableParagraph"/>
              <w:spacing w:before="9"/>
              <w:rPr>
                <w:sz w:val="23"/>
              </w:rPr>
            </w:pPr>
          </w:p>
          <w:p w14:paraId="4A5549DC" w14:textId="77777777" w:rsidR="0046798B" w:rsidRDefault="00903B5C">
            <w:pPr>
              <w:pStyle w:val="TableParagraph"/>
              <w:ind w:left="114"/>
              <w:rPr>
                <w:sz w:val="20"/>
              </w:rPr>
            </w:pPr>
            <w:r>
              <w:rPr>
                <w:sz w:val="20"/>
              </w:rPr>
              <w:t>Blue law index</w:t>
            </w:r>
          </w:p>
        </w:tc>
        <w:tc>
          <w:tcPr>
            <w:tcW w:w="1285" w:type="dxa"/>
          </w:tcPr>
          <w:p w14:paraId="44FF47A0" w14:textId="77777777" w:rsidR="0046798B" w:rsidRDefault="0046798B">
            <w:pPr>
              <w:pStyle w:val="TableParagraph"/>
              <w:spacing w:before="9"/>
              <w:rPr>
                <w:sz w:val="23"/>
              </w:rPr>
            </w:pPr>
          </w:p>
          <w:p w14:paraId="106BA2A4" w14:textId="77777777" w:rsidR="0046798B" w:rsidRDefault="00903B5C">
            <w:pPr>
              <w:pStyle w:val="TableParagraph"/>
              <w:ind w:left="114"/>
              <w:rPr>
                <w:sz w:val="20"/>
              </w:rPr>
            </w:pPr>
            <w:r>
              <w:rPr>
                <w:sz w:val="20"/>
              </w:rPr>
              <w:t>1997–2015</w:t>
            </w:r>
          </w:p>
        </w:tc>
        <w:tc>
          <w:tcPr>
            <w:tcW w:w="3421" w:type="dxa"/>
          </w:tcPr>
          <w:p w14:paraId="0C4B1512" w14:textId="77777777" w:rsidR="0046798B" w:rsidRDefault="00903B5C">
            <w:pPr>
              <w:pStyle w:val="TableParagraph"/>
              <w:spacing w:before="158"/>
              <w:ind w:left="114"/>
              <w:rPr>
                <w:sz w:val="20"/>
              </w:rPr>
            </w:pPr>
            <w:r>
              <w:rPr>
                <w:sz w:val="20"/>
              </w:rPr>
              <w:t>Blue law index</w:t>
            </w:r>
          </w:p>
          <w:p w14:paraId="3773FC73" w14:textId="77777777" w:rsidR="0046798B" w:rsidRDefault="00903B5C">
            <w:pPr>
              <w:pStyle w:val="TableParagraph"/>
              <w:spacing w:before="1"/>
              <w:ind w:left="164"/>
              <w:rPr>
                <w:sz w:val="20"/>
              </w:rPr>
            </w:pPr>
            <w:r>
              <w:rPr>
                <w:sz w:val="20"/>
              </w:rPr>
              <w:t>= cblue – (0.5 * cblue2)</w:t>
            </w:r>
          </w:p>
        </w:tc>
        <w:tc>
          <w:tcPr>
            <w:tcW w:w="6482" w:type="dxa"/>
          </w:tcPr>
          <w:p w14:paraId="77A8A85B" w14:textId="77777777" w:rsidR="0046798B" w:rsidRDefault="00903B5C">
            <w:pPr>
              <w:pStyle w:val="TableParagraph"/>
              <w:spacing w:before="4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586517E" w14:textId="77777777">
        <w:trPr>
          <w:trHeight w:val="1005"/>
        </w:trPr>
        <w:tc>
          <w:tcPr>
            <w:tcW w:w="1711" w:type="dxa"/>
          </w:tcPr>
          <w:p w14:paraId="38305217" w14:textId="77777777" w:rsidR="0046798B" w:rsidRDefault="0046798B">
            <w:pPr>
              <w:pStyle w:val="TableParagraph"/>
            </w:pPr>
          </w:p>
          <w:p w14:paraId="30CA05F0" w14:textId="77777777" w:rsidR="0046798B" w:rsidRDefault="00903B5C">
            <w:pPr>
              <w:pStyle w:val="TableParagraph"/>
              <w:spacing w:before="135"/>
              <w:ind w:left="115"/>
              <w:rPr>
                <w:b/>
                <w:sz w:val="20"/>
              </w:rPr>
            </w:pPr>
            <w:r>
              <w:rPr>
                <w:b/>
                <w:sz w:val="20"/>
              </w:rPr>
              <w:t>calcdist</w:t>
            </w:r>
          </w:p>
        </w:tc>
        <w:tc>
          <w:tcPr>
            <w:tcW w:w="1596" w:type="dxa"/>
          </w:tcPr>
          <w:p w14:paraId="515289E6" w14:textId="77777777" w:rsidR="0046798B" w:rsidRDefault="00903B5C">
            <w:pPr>
              <w:pStyle w:val="TableParagraph"/>
              <w:spacing w:before="43"/>
              <w:ind w:left="114" w:right="529"/>
              <w:rPr>
                <w:sz w:val="20"/>
              </w:rPr>
            </w:pPr>
            <w:r>
              <w:rPr>
                <w:sz w:val="20"/>
              </w:rPr>
              <w:t>Sum of 6 alcohol distribution variables</w:t>
            </w:r>
          </w:p>
        </w:tc>
        <w:tc>
          <w:tcPr>
            <w:tcW w:w="1285" w:type="dxa"/>
          </w:tcPr>
          <w:p w14:paraId="668121DB" w14:textId="77777777" w:rsidR="0046798B" w:rsidRDefault="0046798B">
            <w:pPr>
              <w:pStyle w:val="TableParagraph"/>
            </w:pPr>
          </w:p>
          <w:p w14:paraId="02FCBE95" w14:textId="77777777" w:rsidR="0046798B" w:rsidRDefault="00903B5C">
            <w:pPr>
              <w:pStyle w:val="TableParagraph"/>
              <w:spacing w:before="135"/>
              <w:ind w:left="114"/>
              <w:rPr>
                <w:sz w:val="20"/>
              </w:rPr>
            </w:pPr>
            <w:r>
              <w:rPr>
                <w:sz w:val="20"/>
              </w:rPr>
              <w:t>1937–2015</w:t>
            </w:r>
          </w:p>
        </w:tc>
        <w:tc>
          <w:tcPr>
            <w:tcW w:w="3421" w:type="dxa"/>
          </w:tcPr>
          <w:p w14:paraId="3527FC72" w14:textId="77777777" w:rsidR="0046798B" w:rsidRDefault="00903B5C">
            <w:pPr>
              <w:pStyle w:val="TableParagraph"/>
              <w:spacing w:before="158"/>
              <w:ind w:left="114"/>
              <w:rPr>
                <w:sz w:val="20"/>
              </w:rPr>
            </w:pPr>
            <w:r>
              <w:rPr>
                <w:sz w:val="20"/>
              </w:rPr>
              <w:t>Sum of 6 alcohol distribution variables</w:t>
            </w:r>
          </w:p>
          <w:p w14:paraId="5A0C8299" w14:textId="77777777" w:rsidR="0046798B" w:rsidRDefault="00903B5C">
            <w:pPr>
              <w:pStyle w:val="TableParagraph"/>
              <w:ind w:left="114" w:right="452" w:firstLine="50"/>
              <w:rPr>
                <w:sz w:val="20"/>
              </w:rPr>
            </w:pPr>
            <w:r>
              <w:rPr>
                <w:sz w:val="20"/>
              </w:rPr>
              <w:t>= cbret + cbwhol + cwret + csret + cwwhol + cswhol</w:t>
            </w:r>
          </w:p>
        </w:tc>
        <w:tc>
          <w:tcPr>
            <w:tcW w:w="6482" w:type="dxa"/>
          </w:tcPr>
          <w:p w14:paraId="2CFB089E"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57C01CF" w14:textId="77777777">
        <w:trPr>
          <w:trHeight w:val="2385"/>
        </w:trPr>
        <w:tc>
          <w:tcPr>
            <w:tcW w:w="1711" w:type="dxa"/>
          </w:tcPr>
          <w:p w14:paraId="7CF11C2C" w14:textId="77777777" w:rsidR="0046798B" w:rsidRDefault="0046798B">
            <w:pPr>
              <w:pStyle w:val="TableParagraph"/>
            </w:pPr>
          </w:p>
          <w:p w14:paraId="48D2B62D" w14:textId="77777777" w:rsidR="0046798B" w:rsidRDefault="0046798B">
            <w:pPr>
              <w:pStyle w:val="TableParagraph"/>
            </w:pPr>
          </w:p>
          <w:p w14:paraId="56A3AF4B" w14:textId="77777777" w:rsidR="0046798B" w:rsidRDefault="0046798B">
            <w:pPr>
              <w:pStyle w:val="TableParagraph"/>
            </w:pPr>
          </w:p>
          <w:p w14:paraId="6088AD01" w14:textId="77777777" w:rsidR="0046798B" w:rsidRDefault="0046798B">
            <w:pPr>
              <w:pStyle w:val="TableParagraph"/>
              <w:spacing w:before="9"/>
              <w:rPr>
                <w:sz w:val="27"/>
              </w:rPr>
            </w:pPr>
          </w:p>
          <w:p w14:paraId="7661FA9E" w14:textId="77777777" w:rsidR="0046798B" w:rsidRDefault="00903B5C">
            <w:pPr>
              <w:pStyle w:val="TableParagraph"/>
              <w:ind w:left="115"/>
              <w:rPr>
                <w:b/>
                <w:sz w:val="20"/>
              </w:rPr>
            </w:pPr>
            <w:r>
              <w:rPr>
                <w:b/>
                <w:sz w:val="20"/>
              </w:rPr>
              <w:t>cgroc</w:t>
            </w:r>
          </w:p>
        </w:tc>
        <w:tc>
          <w:tcPr>
            <w:tcW w:w="1596" w:type="dxa"/>
          </w:tcPr>
          <w:p w14:paraId="27D877E3" w14:textId="77777777" w:rsidR="0046798B" w:rsidRDefault="0046798B">
            <w:pPr>
              <w:pStyle w:val="TableParagraph"/>
            </w:pPr>
          </w:p>
          <w:p w14:paraId="367BF5F0" w14:textId="77777777" w:rsidR="0046798B" w:rsidRDefault="0046798B">
            <w:pPr>
              <w:pStyle w:val="TableParagraph"/>
            </w:pPr>
          </w:p>
          <w:p w14:paraId="4C96D40D" w14:textId="77777777" w:rsidR="0046798B" w:rsidRDefault="0046798B">
            <w:pPr>
              <w:pStyle w:val="TableParagraph"/>
              <w:spacing w:before="8"/>
              <w:rPr>
                <w:sz w:val="29"/>
              </w:rPr>
            </w:pPr>
          </w:p>
          <w:p w14:paraId="5151C4B9" w14:textId="77777777" w:rsidR="0046798B" w:rsidRDefault="00903B5C">
            <w:pPr>
              <w:pStyle w:val="TableParagraph"/>
              <w:ind w:left="114" w:right="219"/>
              <w:rPr>
                <w:sz w:val="20"/>
              </w:rPr>
            </w:pPr>
            <w:r>
              <w:rPr>
                <w:sz w:val="20"/>
              </w:rPr>
              <w:t>Off-premises alcohol sales in grocery stores</w:t>
            </w:r>
          </w:p>
        </w:tc>
        <w:tc>
          <w:tcPr>
            <w:tcW w:w="1285" w:type="dxa"/>
          </w:tcPr>
          <w:p w14:paraId="48F4CA6B" w14:textId="77777777" w:rsidR="0046798B" w:rsidRDefault="0046798B">
            <w:pPr>
              <w:pStyle w:val="TableParagraph"/>
            </w:pPr>
          </w:p>
          <w:p w14:paraId="72064335" w14:textId="77777777" w:rsidR="0046798B" w:rsidRDefault="0046798B">
            <w:pPr>
              <w:pStyle w:val="TableParagraph"/>
            </w:pPr>
          </w:p>
          <w:p w14:paraId="754D4E5F" w14:textId="77777777" w:rsidR="0046798B" w:rsidRDefault="0046798B">
            <w:pPr>
              <w:pStyle w:val="TableParagraph"/>
            </w:pPr>
          </w:p>
          <w:p w14:paraId="31C4981C" w14:textId="77777777" w:rsidR="0046798B" w:rsidRDefault="0046798B">
            <w:pPr>
              <w:pStyle w:val="TableParagraph"/>
              <w:spacing w:before="9"/>
              <w:rPr>
                <w:sz w:val="27"/>
              </w:rPr>
            </w:pPr>
          </w:p>
          <w:p w14:paraId="5E0C3EEA" w14:textId="77777777" w:rsidR="0046798B" w:rsidRDefault="00903B5C">
            <w:pPr>
              <w:pStyle w:val="TableParagraph"/>
              <w:ind w:left="114"/>
              <w:rPr>
                <w:sz w:val="20"/>
              </w:rPr>
            </w:pPr>
            <w:r>
              <w:rPr>
                <w:sz w:val="20"/>
              </w:rPr>
              <w:t>1937–2016</w:t>
            </w:r>
          </w:p>
        </w:tc>
        <w:tc>
          <w:tcPr>
            <w:tcW w:w="3421" w:type="dxa"/>
          </w:tcPr>
          <w:p w14:paraId="16D6818F" w14:textId="77777777" w:rsidR="0046798B" w:rsidRDefault="00903B5C">
            <w:pPr>
              <w:pStyle w:val="TableParagraph"/>
              <w:spacing w:before="43"/>
              <w:ind w:left="114" w:right="278"/>
              <w:rPr>
                <w:sz w:val="20"/>
              </w:rPr>
            </w:pPr>
            <w:r>
              <w:rPr>
                <w:sz w:val="20"/>
              </w:rPr>
              <w:t>Off-premises alcohol sales in grocery stores</w:t>
            </w:r>
          </w:p>
          <w:p w14:paraId="3E3509AA" w14:textId="77777777" w:rsidR="0046798B" w:rsidRDefault="0046798B">
            <w:pPr>
              <w:pStyle w:val="TableParagraph"/>
              <w:rPr>
                <w:sz w:val="20"/>
              </w:rPr>
            </w:pPr>
          </w:p>
          <w:p w14:paraId="13C099E0" w14:textId="77777777" w:rsidR="0046798B" w:rsidRDefault="00903B5C">
            <w:pPr>
              <w:pStyle w:val="TableParagraph"/>
              <w:ind w:left="114" w:right="131"/>
              <w:rPr>
                <w:sz w:val="20"/>
              </w:rPr>
            </w:pPr>
            <w:r>
              <w:rPr>
                <w:sz w:val="20"/>
              </w:rPr>
              <w:t>0 = neither wine nor spirits (beer only), 1 = wine only, 2 = wine and spirits, -1</w:t>
            </w:r>
          </w:p>
          <w:p w14:paraId="5EDBD50E" w14:textId="77777777" w:rsidR="0046798B" w:rsidRDefault="00903B5C">
            <w:pPr>
              <w:pStyle w:val="TableParagraph"/>
              <w:ind w:left="114" w:right="175"/>
              <w:rPr>
                <w:sz w:val="20"/>
              </w:rPr>
            </w:pPr>
            <w:r>
              <w:rPr>
                <w:sz w:val="20"/>
              </w:rPr>
              <w:t>= no beer, 0.5 = Maryland/New Jersey systems; *0.4 if limitation (&gt;1) on # of licenses for chains *or* separate enclosure requirement; then take max score possible</w:t>
            </w:r>
          </w:p>
        </w:tc>
        <w:tc>
          <w:tcPr>
            <w:tcW w:w="6482" w:type="dxa"/>
          </w:tcPr>
          <w:p w14:paraId="32895A25" w14:textId="77777777" w:rsidR="0046798B" w:rsidRDefault="0046798B">
            <w:pPr>
              <w:pStyle w:val="TableParagraph"/>
            </w:pPr>
          </w:p>
          <w:p w14:paraId="5A541209" w14:textId="77777777" w:rsidR="0046798B" w:rsidRDefault="0046798B">
            <w:pPr>
              <w:pStyle w:val="TableParagraph"/>
            </w:pPr>
          </w:p>
          <w:p w14:paraId="6644BFE1" w14:textId="77777777" w:rsidR="0046798B" w:rsidRDefault="0046798B">
            <w:pPr>
              <w:pStyle w:val="TableParagraph"/>
              <w:spacing w:before="8"/>
              <w:rPr>
                <w:sz w:val="29"/>
              </w:rPr>
            </w:pPr>
          </w:p>
          <w:p w14:paraId="7682080E"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315E64CD" w14:textId="77777777" w:rsidR="0046798B" w:rsidRDefault="0046798B">
      <w:pPr>
        <w:rPr>
          <w:sz w:val="20"/>
        </w:rPr>
        <w:sectPr w:rsidR="0046798B">
          <w:pgSz w:w="15840" w:h="12240" w:orient="landscape"/>
          <w:pgMar w:top="1220" w:right="300" w:bottom="980" w:left="820" w:header="730" w:footer="787" w:gutter="0"/>
          <w:cols w:space="720"/>
        </w:sectPr>
      </w:pPr>
    </w:p>
    <w:p w14:paraId="0D4DD708"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38D7D301" w14:textId="77777777">
        <w:trPr>
          <w:trHeight w:val="1005"/>
        </w:trPr>
        <w:tc>
          <w:tcPr>
            <w:tcW w:w="1711" w:type="dxa"/>
          </w:tcPr>
          <w:p w14:paraId="7E3EF71D" w14:textId="77777777" w:rsidR="0046798B" w:rsidRDefault="0046798B">
            <w:pPr>
              <w:pStyle w:val="TableParagraph"/>
            </w:pPr>
          </w:p>
          <w:p w14:paraId="509B0FFE" w14:textId="77777777" w:rsidR="0046798B" w:rsidRDefault="00903B5C">
            <w:pPr>
              <w:pStyle w:val="TableParagraph"/>
              <w:spacing w:before="135"/>
              <w:ind w:left="115"/>
              <w:rPr>
                <w:b/>
                <w:sz w:val="20"/>
              </w:rPr>
            </w:pPr>
            <w:r>
              <w:rPr>
                <w:b/>
                <w:sz w:val="20"/>
              </w:rPr>
              <w:t>ckeg</w:t>
            </w:r>
          </w:p>
        </w:tc>
        <w:tc>
          <w:tcPr>
            <w:tcW w:w="1596" w:type="dxa"/>
          </w:tcPr>
          <w:p w14:paraId="67C151DF" w14:textId="77777777" w:rsidR="0046798B" w:rsidRDefault="00903B5C">
            <w:pPr>
              <w:pStyle w:val="TableParagraph"/>
              <w:spacing w:before="43"/>
              <w:ind w:left="114" w:right="202"/>
              <w:rPr>
                <w:sz w:val="20"/>
              </w:rPr>
            </w:pPr>
            <w:r>
              <w:rPr>
                <w:sz w:val="20"/>
              </w:rPr>
              <w:t>Statewide beer keg registration requirement, or kegs banned</w:t>
            </w:r>
          </w:p>
        </w:tc>
        <w:tc>
          <w:tcPr>
            <w:tcW w:w="1285" w:type="dxa"/>
          </w:tcPr>
          <w:p w14:paraId="7E6EC69A" w14:textId="77777777" w:rsidR="0046798B" w:rsidRDefault="0046798B">
            <w:pPr>
              <w:pStyle w:val="TableParagraph"/>
            </w:pPr>
          </w:p>
          <w:p w14:paraId="7AC6060A" w14:textId="77777777" w:rsidR="0046798B" w:rsidRDefault="00903B5C">
            <w:pPr>
              <w:pStyle w:val="TableParagraph"/>
              <w:spacing w:before="135"/>
              <w:ind w:left="114"/>
              <w:rPr>
                <w:sz w:val="20"/>
              </w:rPr>
            </w:pPr>
            <w:r>
              <w:rPr>
                <w:sz w:val="20"/>
              </w:rPr>
              <w:t>1970–2015</w:t>
            </w:r>
          </w:p>
        </w:tc>
        <w:tc>
          <w:tcPr>
            <w:tcW w:w="3421" w:type="dxa"/>
          </w:tcPr>
          <w:p w14:paraId="19E2B6D4" w14:textId="77777777" w:rsidR="0046798B" w:rsidRDefault="00903B5C">
            <w:pPr>
              <w:pStyle w:val="TableParagraph"/>
              <w:spacing w:before="158"/>
              <w:ind w:left="114" w:right="170"/>
              <w:rPr>
                <w:sz w:val="20"/>
              </w:rPr>
            </w:pPr>
            <w:r>
              <w:rPr>
                <w:sz w:val="20"/>
              </w:rPr>
              <w:t>Statewide beer keg registration requirement, or kegs banned (0 = no, 1</w:t>
            </w:r>
          </w:p>
          <w:p w14:paraId="298CACF9" w14:textId="77777777" w:rsidR="0046798B" w:rsidRDefault="00903B5C">
            <w:pPr>
              <w:pStyle w:val="TableParagraph"/>
              <w:ind w:left="114"/>
              <w:rPr>
                <w:sz w:val="20"/>
              </w:rPr>
            </w:pPr>
            <w:r>
              <w:rPr>
                <w:sz w:val="20"/>
              </w:rPr>
              <w:t>= yes, 5 = all kegs banned)</w:t>
            </w:r>
          </w:p>
        </w:tc>
        <w:tc>
          <w:tcPr>
            <w:tcW w:w="6482" w:type="dxa"/>
          </w:tcPr>
          <w:p w14:paraId="14D48AA7" w14:textId="77777777" w:rsidR="0046798B" w:rsidRDefault="00903B5C">
            <w:pPr>
              <w:pStyle w:val="TableParagraph"/>
              <w:spacing w:before="158"/>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1D258BE" w14:textId="77777777">
        <w:trPr>
          <w:trHeight w:val="775"/>
        </w:trPr>
        <w:tc>
          <w:tcPr>
            <w:tcW w:w="1711" w:type="dxa"/>
          </w:tcPr>
          <w:p w14:paraId="4AC698E4" w14:textId="77777777" w:rsidR="0046798B" w:rsidRDefault="0046798B">
            <w:pPr>
              <w:pStyle w:val="TableParagraph"/>
              <w:spacing w:before="8"/>
              <w:rPr>
                <w:sz w:val="23"/>
              </w:rPr>
            </w:pPr>
          </w:p>
          <w:p w14:paraId="3FE44044" w14:textId="77777777" w:rsidR="0046798B" w:rsidRDefault="00903B5C">
            <w:pPr>
              <w:pStyle w:val="TableParagraph"/>
              <w:spacing w:before="1"/>
              <w:ind w:left="115"/>
              <w:rPr>
                <w:b/>
                <w:sz w:val="20"/>
              </w:rPr>
            </w:pPr>
            <w:r>
              <w:rPr>
                <w:b/>
                <w:sz w:val="20"/>
              </w:rPr>
              <w:t>clnmaxpen</w:t>
            </w:r>
          </w:p>
        </w:tc>
        <w:tc>
          <w:tcPr>
            <w:tcW w:w="1596" w:type="dxa"/>
          </w:tcPr>
          <w:p w14:paraId="32823796" w14:textId="77777777" w:rsidR="0046798B" w:rsidRDefault="00903B5C">
            <w:pPr>
              <w:pStyle w:val="TableParagraph"/>
              <w:spacing w:before="43"/>
              <w:ind w:left="114" w:right="229"/>
              <w:rPr>
                <w:sz w:val="20"/>
              </w:rPr>
            </w:pPr>
            <w:r>
              <w:rPr>
                <w:sz w:val="20"/>
              </w:rPr>
              <w:t>Log maximum marijuana penalty</w:t>
            </w:r>
          </w:p>
        </w:tc>
        <w:tc>
          <w:tcPr>
            <w:tcW w:w="1285" w:type="dxa"/>
          </w:tcPr>
          <w:p w14:paraId="489B48E3" w14:textId="77777777" w:rsidR="0046798B" w:rsidRDefault="0046798B">
            <w:pPr>
              <w:pStyle w:val="TableParagraph"/>
              <w:spacing w:before="8"/>
              <w:rPr>
                <w:sz w:val="23"/>
              </w:rPr>
            </w:pPr>
          </w:p>
          <w:p w14:paraId="08480CAD" w14:textId="77777777" w:rsidR="0046798B" w:rsidRDefault="00903B5C">
            <w:pPr>
              <w:pStyle w:val="TableParagraph"/>
              <w:spacing w:before="1"/>
              <w:ind w:left="114"/>
              <w:rPr>
                <w:sz w:val="20"/>
              </w:rPr>
            </w:pPr>
            <w:r>
              <w:rPr>
                <w:sz w:val="20"/>
              </w:rPr>
              <w:t>2000–2016</w:t>
            </w:r>
          </w:p>
        </w:tc>
        <w:tc>
          <w:tcPr>
            <w:tcW w:w="3421" w:type="dxa"/>
          </w:tcPr>
          <w:p w14:paraId="4F1B0504" w14:textId="77777777" w:rsidR="0046798B" w:rsidRDefault="0046798B">
            <w:pPr>
              <w:pStyle w:val="TableParagraph"/>
              <w:spacing w:before="8"/>
              <w:rPr>
                <w:sz w:val="23"/>
              </w:rPr>
            </w:pPr>
          </w:p>
          <w:p w14:paraId="5A9C3ED2" w14:textId="77777777" w:rsidR="0046798B" w:rsidRDefault="00903B5C">
            <w:pPr>
              <w:pStyle w:val="TableParagraph"/>
              <w:spacing w:before="1"/>
              <w:ind w:left="114"/>
              <w:rPr>
                <w:sz w:val="20"/>
              </w:rPr>
            </w:pPr>
            <w:r>
              <w:rPr>
                <w:sz w:val="20"/>
              </w:rPr>
              <w:t>Log of maximum marijuana penalty</w:t>
            </w:r>
          </w:p>
        </w:tc>
        <w:tc>
          <w:tcPr>
            <w:tcW w:w="6482" w:type="dxa"/>
          </w:tcPr>
          <w:p w14:paraId="3722EC5C" w14:textId="77777777" w:rsidR="0046798B" w:rsidRDefault="00903B5C">
            <w:pPr>
              <w:pStyle w:val="TableParagraph"/>
              <w:spacing w:before="4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35C6A0D" w14:textId="77777777">
        <w:trPr>
          <w:trHeight w:val="2160"/>
        </w:trPr>
        <w:tc>
          <w:tcPr>
            <w:tcW w:w="1711" w:type="dxa"/>
          </w:tcPr>
          <w:p w14:paraId="0DA34A44" w14:textId="77777777" w:rsidR="0046798B" w:rsidRDefault="0046798B">
            <w:pPr>
              <w:pStyle w:val="TableParagraph"/>
            </w:pPr>
          </w:p>
          <w:p w14:paraId="4C64D2FE" w14:textId="77777777" w:rsidR="0046798B" w:rsidRDefault="0046798B">
            <w:pPr>
              <w:pStyle w:val="TableParagraph"/>
            </w:pPr>
          </w:p>
          <w:p w14:paraId="52FF2E44" w14:textId="77777777" w:rsidR="0046798B" w:rsidRDefault="0046798B">
            <w:pPr>
              <w:pStyle w:val="TableParagraph"/>
            </w:pPr>
          </w:p>
          <w:p w14:paraId="229ED84C" w14:textId="77777777" w:rsidR="0046798B" w:rsidRDefault="0046798B">
            <w:pPr>
              <w:pStyle w:val="TableParagraph"/>
              <w:spacing w:before="9"/>
              <w:rPr>
                <w:sz w:val="17"/>
              </w:rPr>
            </w:pPr>
          </w:p>
          <w:p w14:paraId="42DC9D2C" w14:textId="77777777" w:rsidR="0046798B" w:rsidRDefault="00903B5C">
            <w:pPr>
              <w:pStyle w:val="TableParagraph"/>
              <w:ind w:left="115"/>
              <w:rPr>
                <w:b/>
                <w:sz w:val="20"/>
              </w:rPr>
            </w:pPr>
            <w:r>
              <w:rPr>
                <w:b/>
                <w:sz w:val="20"/>
              </w:rPr>
              <w:t>cmcmisd</w:t>
            </w:r>
          </w:p>
        </w:tc>
        <w:tc>
          <w:tcPr>
            <w:tcW w:w="1596" w:type="dxa"/>
          </w:tcPr>
          <w:p w14:paraId="2486785A" w14:textId="77777777" w:rsidR="0046798B" w:rsidRDefault="0046798B">
            <w:pPr>
              <w:pStyle w:val="TableParagraph"/>
            </w:pPr>
          </w:p>
          <w:p w14:paraId="55C3E697" w14:textId="77777777" w:rsidR="0046798B" w:rsidRDefault="0046798B">
            <w:pPr>
              <w:pStyle w:val="TableParagraph"/>
              <w:spacing w:before="8"/>
              <w:rPr>
                <w:sz w:val="21"/>
              </w:rPr>
            </w:pPr>
          </w:p>
          <w:p w14:paraId="57721D26" w14:textId="77777777" w:rsidR="0046798B" w:rsidRDefault="00903B5C">
            <w:pPr>
              <w:pStyle w:val="TableParagraph"/>
              <w:spacing w:before="1"/>
              <w:ind w:left="114" w:right="302"/>
              <w:rPr>
                <w:sz w:val="20"/>
              </w:rPr>
            </w:pPr>
            <w:r>
              <w:rPr>
                <w:sz w:val="20"/>
              </w:rPr>
              <w:t>“Low-level” cultivation a misdemeanor (criminal non- felony)</w:t>
            </w:r>
          </w:p>
        </w:tc>
        <w:tc>
          <w:tcPr>
            <w:tcW w:w="1285" w:type="dxa"/>
          </w:tcPr>
          <w:p w14:paraId="4FD52308" w14:textId="77777777" w:rsidR="0046798B" w:rsidRDefault="0046798B">
            <w:pPr>
              <w:pStyle w:val="TableParagraph"/>
            </w:pPr>
          </w:p>
          <w:p w14:paraId="3EADB6C8" w14:textId="77777777" w:rsidR="0046798B" w:rsidRDefault="0046798B">
            <w:pPr>
              <w:pStyle w:val="TableParagraph"/>
            </w:pPr>
          </w:p>
          <w:p w14:paraId="2949FE6F" w14:textId="77777777" w:rsidR="0046798B" w:rsidRDefault="0046798B">
            <w:pPr>
              <w:pStyle w:val="TableParagraph"/>
            </w:pPr>
          </w:p>
          <w:p w14:paraId="16B2B1C2" w14:textId="77777777" w:rsidR="0046798B" w:rsidRDefault="0046798B">
            <w:pPr>
              <w:pStyle w:val="TableParagraph"/>
              <w:spacing w:before="9"/>
              <w:rPr>
                <w:sz w:val="17"/>
              </w:rPr>
            </w:pPr>
          </w:p>
          <w:p w14:paraId="605A1340" w14:textId="77777777" w:rsidR="0046798B" w:rsidRDefault="00903B5C">
            <w:pPr>
              <w:pStyle w:val="TableParagraph"/>
              <w:ind w:left="114"/>
              <w:rPr>
                <w:sz w:val="20"/>
              </w:rPr>
            </w:pPr>
            <w:r>
              <w:rPr>
                <w:sz w:val="20"/>
              </w:rPr>
              <w:t>2000–2016</w:t>
            </w:r>
          </w:p>
        </w:tc>
        <w:tc>
          <w:tcPr>
            <w:tcW w:w="3421" w:type="dxa"/>
          </w:tcPr>
          <w:p w14:paraId="7AA16BCB" w14:textId="77777777" w:rsidR="0046798B" w:rsidRDefault="00903B5C">
            <w:pPr>
              <w:pStyle w:val="TableParagraph"/>
              <w:spacing w:before="43"/>
              <w:ind w:left="114" w:right="156"/>
              <w:rPr>
                <w:sz w:val="20"/>
              </w:rPr>
            </w:pPr>
            <w:r>
              <w:rPr>
                <w:sz w:val="20"/>
              </w:rPr>
              <w:t>“Low-level” cultivation (more than 1 oz./30 g. useable/2 plants possession/cultivation but less than some higher statutory threshold, first offense) a misdemeanor (criminal non- felony)?</w:t>
            </w:r>
          </w:p>
          <w:p w14:paraId="1DB13A04" w14:textId="77777777" w:rsidR="0046798B" w:rsidRDefault="0046798B">
            <w:pPr>
              <w:pStyle w:val="TableParagraph"/>
              <w:rPr>
                <w:sz w:val="20"/>
              </w:rPr>
            </w:pPr>
          </w:p>
          <w:p w14:paraId="330B7B41" w14:textId="77777777" w:rsidR="0046798B" w:rsidRDefault="00903B5C">
            <w:pPr>
              <w:pStyle w:val="TableParagraph"/>
              <w:spacing w:before="1"/>
              <w:ind w:left="114" w:right="120"/>
              <w:rPr>
                <w:sz w:val="20"/>
              </w:rPr>
            </w:pPr>
            <w:r>
              <w:rPr>
                <w:sz w:val="20"/>
              </w:rPr>
              <w:t>0 = no, 1 = yes, 2 = decriminalized, 5 = legal</w:t>
            </w:r>
          </w:p>
        </w:tc>
        <w:tc>
          <w:tcPr>
            <w:tcW w:w="6482" w:type="dxa"/>
          </w:tcPr>
          <w:p w14:paraId="5A84313F" w14:textId="77777777" w:rsidR="0046798B" w:rsidRDefault="0046798B">
            <w:pPr>
              <w:pStyle w:val="TableParagraph"/>
            </w:pPr>
          </w:p>
          <w:p w14:paraId="1C62266A" w14:textId="77777777" w:rsidR="0046798B" w:rsidRDefault="0046798B">
            <w:pPr>
              <w:pStyle w:val="TableParagraph"/>
            </w:pPr>
          </w:p>
          <w:p w14:paraId="7C6872E4" w14:textId="77777777" w:rsidR="0046798B" w:rsidRDefault="0046798B">
            <w:pPr>
              <w:pStyle w:val="TableParagraph"/>
              <w:spacing w:before="8"/>
              <w:rPr>
                <w:sz w:val="19"/>
              </w:rPr>
            </w:pPr>
          </w:p>
          <w:p w14:paraId="4E0C927B" w14:textId="77777777" w:rsidR="0046798B" w:rsidRDefault="00903B5C">
            <w:pPr>
              <w:pStyle w:val="TableParagraph"/>
              <w:spacing w:before="1"/>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08FE77F" w14:textId="77777777">
        <w:trPr>
          <w:trHeight w:val="775"/>
        </w:trPr>
        <w:tc>
          <w:tcPr>
            <w:tcW w:w="1711" w:type="dxa"/>
          </w:tcPr>
          <w:p w14:paraId="1B5D47BF" w14:textId="77777777" w:rsidR="0046798B" w:rsidRDefault="0046798B">
            <w:pPr>
              <w:pStyle w:val="TableParagraph"/>
              <w:spacing w:before="4"/>
              <w:rPr>
                <w:sz w:val="23"/>
              </w:rPr>
            </w:pPr>
          </w:p>
          <w:p w14:paraId="649627C0" w14:textId="77777777" w:rsidR="0046798B" w:rsidRDefault="00903B5C">
            <w:pPr>
              <w:pStyle w:val="TableParagraph"/>
              <w:ind w:left="115"/>
              <w:rPr>
                <w:b/>
                <w:sz w:val="20"/>
              </w:rPr>
            </w:pPr>
            <w:r>
              <w:rPr>
                <w:b/>
                <w:sz w:val="20"/>
              </w:rPr>
              <w:t>cmmisd</w:t>
            </w:r>
          </w:p>
        </w:tc>
        <w:tc>
          <w:tcPr>
            <w:tcW w:w="1596" w:type="dxa"/>
          </w:tcPr>
          <w:p w14:paraId="6F7FE7E2" w14:textId="77777777" w:rsidR="0046798B" w:rsidRDefault="00903B5C">
            <w:pPr>
              <w:pStyle w:val="TableParagraph"/>
              <w:spacing w:before="38"/>
              <w:ind w:left="114" w:right="374"/>
              <w:rPr>
                <w:sz w:val="20"/>
              </w:rPr>
            </w:pPr>
            <w:r>
              <w:rPr>
                <w:sz w:val="20"/>
              </w:rPr>
              <w:t>Marijuana misdemeanor index</w:t>
            </w:r>
          </w:p>
        </w:tc>
        <w:tc>
          <w:tcPr>
            <w:tcW w:w="1285" w:type="dxa"/>
          </w:tcPr>
          <w:p w14:paraId="18EFC1F7" w14:textId="77777777" w:rsidR="0046798B" w:rsidRDefault="0046798B">
            <w:pPr>
              <w:pStyle w:val="TableParagraph"/>
              <w:spacing w:before="4"/>
              <w:rPr>
                <w:sz w:val="23"/>
              </w:rPr>
            </w:pPr>
          </w:p>
          <w:p w14:paraId="40F0D3C2" w14:textId="77777777" w:rsidR="0046798B" w:rsidRDefault="00903B5C">
            <w:pPr>
              <w:pStyle w:val="TableParagraph"/>
              <w:ind w:left="114"/>
              <w:rPr>
                <w:sz w:val="20"/>
              </w:rPr>
            </w:pPr>
            <w:r>
              <w:rPr>
                <w:sz w:val="20"/>
              </w:rPr>
              <w:t>2000–2016</w:t>
            </w:r>
          </w:p>
        </w:tc>
        <w:tc>
          <w:tcPr>
            <w:tcW w:w="3421" w:type="dxa"/>
          </w:tcPr>
          <w:p w14:paraId="71F887B3" w14:textId="77777777" w:rsidR="0046798B" w:rsidRDefault="00903B5C">
            <w:pPr>
              <w:pStyle w:val="TableParagraph"/>
              <w:spacing w:before="153"/>
              <w:ind w:left="114" w:right="833"/>
              <w:rPr>
                <w:sz w:val="20"/>
              </w:rPr>
            </w:pPr>
            <w:r>
              <w:rPr>
                <w:sz w:val="20"/>
              </w:rPr>
              <w:t>Marijuana misdemeanor index (cmpmisd + cmcmisd)</w:t>
            </w:r>
          </w:p>
        </w:tc>
        <w:tc>
          <w:tcPr>
            <w:tcW w:w="6482" w:type="dxa"/>
          </w:tcPr>
          <w:p w14:paraId="667AD024" w14:textId="77777777" w:rsidR="0046798B" w:rsidRDefault="00903B5C">
            <w:pPr>
              <w:pStyle w:val="TableParagraph"/>
              <w:spacing w:before="38"/>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B3DA182" w14:textId="77777777">
        <w:trPr>
          <w:trHeight w:val="1005"/>
        </w:trPr>
        <w:tc>
          <w:tcPr>
            <w:tcW w:w="1711" w:type="dxa"/>
          </w:tcPr>
          <w:p w14:paraId="7BB0B49F" w14:textId="77777777" w:rsidR="0046798B" w:rsidRDefault="0046798B">
            <w:pPr>
              <w:pStyle w:val="TableParagraph"/>
            </w:pPr>
          </w:p>
          <w:p w14:paraId="450E2E86" w14:textId="77777777" w:rsidR="0046798B" w:rsidRDefault="00903B5C">
            <w:pPr>
              <w:pStyle w:val="TableParagraph"/>
              <w:spacing w:before="131"/>
              <w:ind w:left="115"/>
              <w:rPr>
                <w:b/>
                <w:sz w:val="20"/>
              </w:rPr>
            </w:pPr>
            <w:r>
              <w:rPr>
                <w:b/>
                <w:sz w:val="20"/>
              </w:rPr>
              <w:t>cmedmj</w:t>
            </w:r>
          </w:p>
        </w:tc>
        <w:tc>
          <w:tcPr>
            <w:tcW w:w="1596" w:type="dxa"/>
          </w:tcPr>
          <w:p w14:paraId="4C1BA0C6" w14:textId="77777777" w:rsidR="0046798B" w:rsidRDefault="00903B5C">
            <w:pPr>
              <w:pStyle w:val="TableParagraph"/>
              <w:spacing w:before="153"/>
              <w:ind w:left="114" w:right="652"/>
              <w:rPr>
                <w:sz w:val="20"/>
              </w:rPr>
            </w:pPr>
            <w:r>
              <w:rPr>
                <w:sz w:val="20"/>
              </w:rPr>
              <w:t>Medical marijuana exception</w:t>
            </w:r>
          </w:p>
        </w:tc>
        <w:tc>
          <w:tcPr>
            <w:tcW w:w="1285" w:type="dxa"/>
          </w:tcPr>
          <w:p w14:paraId="5AF39A74" w14:textId="77777777" w:rsidR="0046798B" w:rsidRDefault="0046798B">
            <w:pPr>
              <w:pStyle w:val="TableParagraph"/>
            </w:pPr>
          </w:p>
          <w:p w14:paraId="4E793BC4" w14:textId="77777777" w:rsidR="0046798B" w:rsidRDefault="00903B5C">
            <w:pPr>
              <w:pStyle w:val="TableParagraph"/>
              <w:spacing w:before="131"/>
              <w:ind w:left="114"/>
              <w:rPr>
                <w:sz w:val="20"/>
              </w:rPr>
            </w:pPr>
            <w:r>
              <w:rPr>
                <w:sz w:val="20"/>
              </w:rPr>
              <w:t>1937–2016</w:t>
            </w:r>
          </w:p>
        </w:tc>
        <w:tc>
          <w:tcPr>
            <w:tcW w:w="3421" w:type="dxa"/>
          </w:tcPr>
          <w:p w14:paraId="1BF6B010" w14:textId="77777777" w:rsidR="0046798B" w:rsidRDefault="00903B5C">
            <w:pPr>
              <w:pStyle w:val="TableParagraph"/>
              <w:spacing w:before="38"/>
              <w:ind w:left="114"/>
              <w:rPr>
                <w:sz w:val="20"/>
              </w:rPr>
            </w:pPr>
            <w:r>
              <w:rPr>
                <w:sz w:val="20"/>
              </w:rPr>
              <w:t>Medical marijuana exception? (0 = no,</w:t>
            </w:r>
          </w:p>
          <w:p w14:paraId="61CD11D4" w14:textId="77777777" w:rsidR="0046798B" w:rsidRDefault="00903B5C">
            <w:pPr>
              <w:pStyle w:val="TableParagraph"/>
              <w:ind w:left="114" w:right="156"/>
              <w:jc w:val="both"/>
              <w:rPr>
                <w:sz w:val="20"/>
              </w:rPr>
            </w:pPr>
            <w:r>
              <w:rPr>
                <w:sz w:val="20"/>
              </w:rPr>
              <w:t>0.2 = only right to assert in court, 0.5 = lawful possession but not dispensation, 1 = full exception with registry)</w:t>
            </w:r>
          </w:p>
        </w:tc>
        <w:tc>
          <w:tcPr>
            <w:tcW w:w="6482" w:type="dxa"/>
          </w:tcPr>
          <w:p w14:paraId="1331DED1" w14:textId="77777777" w:rsidR="0046798B" w:rsidRDefault="00903B5C">
            <w:pPr>
              <w:pStyle w:val="TableParagraph"/>
              <w:spacing w:before="15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E847B32" w14:textId="77777777">
        <w:trPr>
          <w:trHeight w:val="775"/>
        </w:trPr>
        <w:tc>
          <w:tcPr>
            <w:tcW w:w="1711" w:type="dxa"/>
          </w:tcPr>
          <w:p w14:paraId="0669F12A" w14:textId="77777777" w:rsidR="0046798B" w:rsidRDefault="0046798B">
            <w:pPr>
              <w:pStyle w:val="TableParagraph"/>
              <w:spacing w:before="3"/>
              <w:rPr>
                <w:sz w:val="23"/>
              </w:rPr>
            </w:pPr>
          </w:p>
          <w:p w14:paraId="29559254" w14:textId="77777777" w:rsidR="0046798B" w:rsidRDefault="00903B5C">
            <w:pPr>
              <w:pStyle w:val="TableParagraph"/>
              <w:spacing w:before="1"/>
              <w:ind w:left="115"/>
              <w:rPr>
                <w:b/>
                <w:sz w:val="20"/>
              </w:rPr>
            </w:pPr>
            <w:r>
              <w:rPr>
                <w:b/>
                <w:sz w:val="20"/>
              </w:rPr>
              <w:t>cmjindex</w:t>
            </w:r>
          </w:p>
        </w:tc>
        <w:tc>
          <w:tcPr>
            <w:tcW w:w="1596" w:type="dxa"/>
          </w:tcPr>
          <w:p w14:paraId="52DB7196" w14:textId="77777777" w:rsidR="0046798B" w:rsidRDefault="00903B5C">
            <w:pPr>
              <w:pStyle w:val="TableParagraph"/>
              <w:spacing w:before="162" w:line="235" w:lineRule="auto"/>
              <w:ind w:left="114" w:right="291"/>
              <w:rPr>
                <w:sz w:val="20"/>
              </w:rPr>
            </w:pPr>
            <w:r>
              <w:rPr>
                <w:sz w:val="20"/>
              </w:rPr>
              <w:t>Marijuana law index</w:t>
            </w:r>
          </w:p>
        </w:tc>
        <w:tc>
          <w:tcPr>
            <w:tcW w:w="1285" w:type="dxa"/>
          </w:tcPr>
          <w:p w14:paraId="47A175DD" w14:textId="77777777" w:rsidR="0046798B" w:rsidRDefault="0046798B">
            <w:pPr>
              <w:pStyle w:val="TableParagraph"/>
              <w:spacing w:before="3"/>
              <w:rPr>
                <w:sz w:val="23"/>
              </w:rPr>
            </w:pPr>
          </w:p>
          <w:p w14:paraId="1833681E" w14:textId="77777777" w:rsidR="0046798B" w:rsidRDefault="00903B5C">
            <w:pPr>
              <w:pStyle w:val="TableParagraph"/>
              <w:spacing w:before="1"/>
              <w:ind w:left="114"/>
              <w:rPr>
                <w:sz w:val="20"/>
              </w:rPr>
            </w:pPr>
            <w:r>
              <w:rPr>
                <w:sz w:val="20"/>
              </w:rPr>
              <w:t>2000–2014</w:t>
            </w:r>
          </w:p>
        </w:tc>
        <w:tc>
          <w:tcPr>
            <w:tcW w:w="3421" w:type="dxa"/>
          </w:tcPr>
          <w:p w14:paraId="072E0FA8" w14:textId="77777777" w:rsidR="0046798B" w:rsidRDefault="00903B5C">
            <w:pPr>
              <w:pStyle w:val="TableParagraph"/>
              <w:spacing w:before="45" w:line="237" w:lineRule="auto"/>
              <w:ind w:left="114" w:right="111"/>
              <w:rPr>
                <w:sz w:val="20"/>
              </w:rPr>
            </w:pPr>
            <w:r>
              <w:rPr>
                <w:sz w:val="20"/>
              </w:rPr>
              <w:t>Marijuana law index (1</w:t>
            </w:r>
            <w:r>
              <w:rPr>
                <w:sz w:val="13"/>
              </w:rPr>
              <w:t xml:space="preserve">st </w:t>
            </w:r>
            <w:r>
              <w:rPr>
                <w:sz w:val="20"/>
              </w:rPr>
              <w:t>unrotated principal component: clnmaxpen, cmmindex, cmmms, cmmisd, cmpdecr)</w:t>
            </w:r>
          </w:p>
        </w:tc>
        <w:tc>
          <w:tcPr>
            <w:tcW w:w="6482" w:type="dxa"/>
          </w:tcPr>
          <w:p w14:paraId="0D1B61D2" w14:textId="77777777" w:rsidR="0046798B" w:rsidRDefault="00903B5C">
            <w:pPr>
              <w:pStyle w:val="TableParagraph"/>
              <w:spacing w:before="45" w:line="237" w:lineRule="auto"/>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EB32931" w14:textId="77777777">
        <w:trPr>
          <w:trHeight w:val="1465"/>
        </w:trPr>
        <w:tc>
          <w:tcPr>
            <w:tcW w:w="1711" w:type="dxa"/>
          </w:tcPr>
          <w:p w14:paraId="6B77190F" w14:textId="77777777" w:rsidR="0046798B" w:rsidRDefault="0046798B">
            <w:pPr>
              <w:pStyle w:val="TableParagraph"/>
            </w:pPr>
          </w:p>
          <w:p w14:paraId="530943DE" w14:textId="77777777" w:rsidR="0046798B" w:rsidRDefault="0046798B">
            <w:pPr>
              <w:pStyle w:val="TableParagraph"/>
              <w:spacing w:before="8"/>
              <w:rPr>
                <w:sz w:val="31"/>
              </w:rPr>
            </w:pPr>
          </w:p>
          <w:p w14:paraId="257D7963" w14:textId="77777777" w:rsidR="0046798B" w:rsidRDefault="00903B5C">
            <w:pPr>
              <w:pStyle w:val="TableParagraph"/>
              <w:spacing w:before="1"/>
              <w:ind w:left="115"/>
              <w:rPr>
                <w:b/>
                <w:sz w:val="20"/>
              </w:rPr>
            </w:pPr>
            <w:r>
              <w:rPr>
                <w:b/>
                <w:sz w:val="20"/>
              </w:rPr>
              <w:t>cmmamt</w:t>
            </w:r>
          </w:p>
        </w:tc>
        <w:tc>
          <w:tcPr>
            <w:tcW w:w="1596" w:type="dxa"/>
          </w:tcPr>
          <w:p w14:paraId="59A6875B" w14:textId="77777777" w:rsidR="0046798B" w:rsidRDefault="00903B5C">
            <w:pPr>
              <w:pStyle w:val="TableParagraph"/>
              <w:spacing w:before="43"/>
              <w:ind w:left="114" w:right="229"/>
              <w:rPr>
                <w:sz w:val="20"/>
              </w:rPr>
            </w:pPr>
            <w:r>
              <w:rPr>
                <w:sz w:val="20"/>
              </w:rPr>
              <w:t>Maximum amount of marijuana permitted for medical purposes</w:t>
            </w:r>
          </w:p>
        </w:tc>
        <w:tc>
          <w:tcPr>
            <w:tcW w:w="1285" w:type="dxa"/>
          </w:tcPr>
          <w:p w14:paraId="64A39755" w14:textId="77777777" w:rsidR="0046798B" w:rsidRDefault="0046798B">
            <w:pPr>
              <w:pStyle w:val="TableParagraph"/>
            </w:pPr>
          </w:p>
          <w:p w14:paraId="72F17995" w14:textId="77777777" w:rsidR="0046798B" w:rsidRDefault="0046798B">
            <w:pPr>
              <w:pStyle w:val="TableParagraph"/>
              <w:spacing w:before="8"/>
              <w:rPr>
                <w:sz w:val="31"/>
              </w:rPr>
            </w:pPr>
          </w:p>
          <w:p w14:paraId="34D243F0" w14:textId="77777777" w:rsidR="0046798B" w:rsidRDefault="00903B5C">
            <w:pPr>
              <w:pStyle w:val="TableParagraph"/>
              <w:spacing w:before="1"/>
              <w:ind w:left="114"/>
              <w:rPr>
                <w:sz w:val="20"/>
              </w:rPr>
            </w:pPr>
            <w:r>
              <w:rPr>
                <w:sz w:val="20"/>
              </w:rPr>
              <w:t>1937–2016</w:t>
            </w:r>
          </w:p>
        </w:tc>
        <w:tc>
          <w:tcPr>
            <w:tcW w:w="3421" w:type="dxa"/>
          </w:tcPr>
          <w:p w14:paraId="01851CF1" w14:textId="77777777" w:rsidR="0046798B" w:rsidRDefault="00903B5C">
            <w:pPr>
              <w:pStyle w:val="TableParagraph"/>
              <w:spacing w:before="158"/>
              <w:ind w:left="114" w:right="315"/>
              <w:rPr>
                <w:sz w:val="20"/>
              </w:rPr>
            </w:pPr>
            <w:r>
              <w:rPr>
                <w:sz w:val="20"/>
              </w:rPr>
              <w:t>Maximum amount of marijuana permitted for medical purposes? (0 = no maximum/Maryland, where still technically illegal, 1 = law defines maximum)</w:t>
            </w:r>
          </w:p>
        </w:tc>
        <w:tc>
          <w:tcPr>
            <w:tcW w:w="6482" w:type="dxa"/>
          </w:tcPr>
          <w:p w14:paraId="6AB3F95A" w14:textId="77777777" w:rsidR="0046798B" w:rsidRDefault="0046798B">
            <w:pPr>
              <w:pStyle w:val="TableParagraph"/>
            </w:pPr>
          </w:p>
          <w:p w14:paraId="1571ED8E" w14:textId="77777777" w:rsidR="0046798B" w:rsidRDefault="00903B5C">
            <w:pPr>
              <w:pStyle w:val="TableParagraph"/>
              <w:spacing w:before="135"/>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15DDBA3" w14:textId="77777777">
        <w:trPr>
          <w:trHeight w:val="1235"/>
        </w:trPr>
        <w:tc>
          <w:tcPr>
            <w:tcW w:w="1711" w:type="dxa"/>
          </w:tcPr>
          <w:p w14:paraId="4A401704" w14:textId="77777777" w:rsidR="0046798B" w:rsidRDefault="0046798B">
            <w:pPr>
              <w:pStyle w:val="TableParagraph"/>
            </w:pPr>
          </w:p>
          <w:p w14:paraId="17BFC29B" w14:textId="77777777" w:rsidR="0046798B" w:rsidRDefault="0046798B">
            <w:pPr>
              <w:pStyle w:val="TableParagraph"/>
              <w:spacing w:before="8"/>
              <w:rPr>
                <w:sz w:val="21"/>
              </w:rPr>
            </w:pPr>
          </w:p>
          <w:p w14:paraId="32997918" w14:textId="77777777" w:rsidR="0046798B" w:rsidRDefault="00903B5C">
            <w:pPr>
              <w:pStyle w:val="TableParagraph"/>
              <w:spacing w:before="1"/>
              <w:ind w:left="115"/>
              <w:rPr>
                <w:b/>
                <w:sz w:val="20"/>
              </w:rPr>
            </w:pPr>
            <w:r>
              <w:rPr>
                <w:b/>
                <w:sz w:val="20"/>
              </w:rPr>
              <w:t>cmmaxpen</w:t>
            </w:r>
          </w:p>
        </w:tc>
        <w:tc>
          <w:tcPr>
            <w:tcW w:w="1596" w:type="dxa"/>
          </w:tcPr>
          <w:p w14:paraId="44C75DD1" w14:textId="77777777" w:rsidR="0046798B" w:rsidRDefault="00903B5C">
            <w:pPr>
              <w:pStyle w:val="TableParagraph"/>
              <w:spacing w:before="43"/>
              <w:ind w:left="114" w:right="124"/>
              <w:rPr>
                <w:sz w:val="20"/>
              </w:rPr>
            </w:pPr>
            <w:r>
              <w:rPr>
                <w:sz w:val="20"/>
              </w:rPr>
              <w:t>Maximum possible prison term for any single marijuana offense (not</w:t>
            </w:r>
          </w:p>
        </w:tc>
        <w:tc>
          <w:tcPr>
            <w:tcW w:w="1285" w:type="dxa"/>
          </w:tcPr>
          <w:p w14:paraId="2F66FB6F" w14:textId="77777777" w:rsidR="0046798B" w:rsidRDefault="0046798B">
            <w:pPr>
              <w:pStyle w:val="TableParagraph"/>
            </w:pPr>
          </w:p>
          <w:p w14:paraId="1CC8A95E" w14:textId="77777777" w:rsidR="0046798B" w:rsidRDefault="0046798B">
            <w:pPr>
              <w:pStyle w:val="TableParagraph"/>
              <w:spacing w:before="8"/>
              <w:rPr>
                <w:sz w:val="21"/>
              </w:rPr>
            </w:pPr>
          </w:p>
          <w:p w14:paraId="59163F08" w14:textId="77777777" w:rsidR="0046798B" w:rsidRDefault="00903B5C">
            <w:pPr>
              <w:pStyle w:val="TableParagraph"/>
              <w:spacing w:before="1"/>
              <w:ind w:left="114"/>
              <w:rPr>
                <w:sz w:val="20"/>
              </w:rPr>
            </w:pPr>
            <w:r>
              <w:rPr>
                <w:sz w:val="20"/>
              </w:rPr>
              <w:t>2000–2016</w:t>
            </w:r>
          </w:p>
        </w:tc>
        <w:tc>
          <w:tcPr>
            <w:tcW w:w="3421" w:type="dxa"/>
          </w:tcPr>
          <w:p w14:paraId="457D0579" w14:textId="77777777" w:rsidR="0046798B" w:rsidRDefault="0046798B">
            <w:pPr>
              <w:pStyle w:val="TableParagraph"/>
              <w:spacing w:before="8"/>
              <w:rPr>
                <w:sz w:val="23"/>
              </w:rPr>
            </w:pPr>
          </w:p>
          <w:p w14:paraId="6847DE8D" w14:textId="77777777" w:rsidR="0046798B" w:rsidRDefault="00903B5C">
            <w:pPr>
              <w:pStyle w:val="TableParagraph"/>
              <w:spacing w:before="1"/>
              <w:ind w:left="114" w:right="151"/>
              <w:jc w:val="both"/>
              <w:rPr>
                <w:sz w:val="20"/>
              </w:rPr>
            </w:pPr>
            <w:r>
              <w:rPr>
                <w:sz w:val="20"/>
              </w:rPr>
              <w:t>Maximum possible prison term for any single marijuana offense (not including sale to minors), in years</w:t>
            </w:r>
          </w:p>
        </w:tc>
        <w:tc>
          <w:tcPr>
            <w:tcW w:w="6482" w:type="dxa"/>
          </w:tcPr>
          <w:p w14:paraId="2831C122" w14:textId="77777777" w:rsidR="0046798B" w:rsidRDefault="0046798B">
            <w:pPr>
              <w:pStyle w:val="TableParagraph"/>
              <w:spacing w:before="8"/>
              <w:rPr>
                <w:sz w:val="23"/>
              </w:rPr>
            </w:pPr>
          </w:p>
          <w:p w14:paraId="17CAFD23"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68BFF7B2" w14:textId="77777777" w:rsidR="0046798B" w:rsidRDefault="0046798B">
      <w:pPr>
        <w:rPr>
          <w:sz w:val="20"/>
        </w:rPr>
        <w:sectPr w:rsidR="0046798B">
          <w:pgSz w:w="15840" w:h="12240" w:orient="landscape"/>
          <w:pgMar w:top="1220" w:right="300" w:bottom="980" w:left="820" w:header="730" w:footer="787" w:gutter="0"/>
          <w:cols w:space="720"/>
        </w:sectPr>
      </w:pPr>
    </w:p>
    <w:p w14:paraId="278E4EB1"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0395908" w14:textId="77777777">
        <w:trPr>
          <w:trHeight w:val="542"/>
        </w:trPr>
        <w:tc>
          <w:tcPr>
            <w:tcW w:w="1711" w:type="dxa"/>
            <w:tcBorders>
              <w:bottom w:val="dotted" w:sz="6" w:space="0" w:color="BEBEBE"/>
            </w:tcBorders>
          </w:tcPr>
          <w:p w14:paraId="196DACC7" w14:textId="77777777" w:rsidR="0046798B" w:rsidRDefault="0046798B">
            <w:pPr>
              <w:pStyle w:val="TableParagraph"/>
              <w:rPr>
                <w:sz w:val="20"/>
              </w:rPr>
            </w:pPr>
          </w:p>
        </w:tc>
        <w:tc>
          <w:tcPr>
            <w:tcW w:w="1596" w:type="dxa"/>
            <w:tcBorders>
              <w:bottom w:val="dotted" w:sz="6" w:space="0" w:color="BEBEBE"/>
            </w:tcBorders>
          </w:tcPr>
          <w:p w14:paraId="1F8A04EB" w14:textId="77777777" w:rsidR="0046798B" w:rsidRDefault="00903B5C">
            <w:pPr>
              <w:pStyle w:val="TableParagraph"/>
              <w:spacing w:before="43"/>
              <w:ind w:left="114" w:right="102"/>
              <w:rPr>
                <w:sz w:val="20"/>
              </w:rPr>
            </w:pPr>
            <w:r>
              <w:rPr>
                <w:sz w:val="20"/>
              </w:rPr>
              <w:t>including sale to minors), in years</w:t>
            </w:r>
          </w:p>
        </w:tc>
        <w:tc>
          <w:tcPr>
            <w:tcW w:w="1285" w:type="dxa"/>
            <w:tcBorders>
              <w:bottom w:val="dotted" w:sz="6" w:space="0" w:color="BEBEBE"/>
            </w:tcBorders>
          </w:tcPr>
          <w:p w14:paraId="0CEB6ECF" w14:textId="77777777" w:rsidR="0046798B" w:rsidRDefault="0046798B">
            <w:pPr>
              <w:pStyle w:val="TableParagraph"/>
              <w:rPr>
                <w:sz w:val="20"/>
              </w:rPr>
            </w:pPr>
          </w:p>
        </w:tc>
        <w:tc>
          <w:tcPr>
            <w:tcW w:w="3421" w:type="dxa"/>
            <w:tcBorders>
              <w:bottom w:val="dotted" w:sz="6" w:space="0" w:color="BEBEBE"/>
            </w:tcBorders>
          </w:tcPr>
          <w:p w14:paraId="3F06C0F5" w14:textId="77777777" w:rsidR="0046798B" w:rsidRDefault="0046798B">
            <w:pPr>
              <w:pStyle w:val="TableParagraph"/>
              <w:rPr>
                <w:sz w:val="20"/>
              </w:rPr>
            </w:pPr>
          </w:p>
        </w:tc>
        <w:tc>
          <w:tcPr>
            <w:tcW w:w="6482" w:type="dxa"/>
            <w:tcBorders>
              <w:bottom w:val="dotted" w:sz="6" w:space="0" w:color="BEBEBE"/>
            </w:tcBorders>
          </w:tcPr>
          <w:p w14:paraId="012554F8" w14:textId="77777777" w:rsidR="0046798B" w:rsidRDefault="0046798B">
            <w:pPr>
              <w:pStyle w:val="TableParagraph"/>
              <w:rPr>
                <w:sz w:val="20"/>
              </w:rPr>
            </w:pPr>
          </w:p>
        </w:tc>
      </w:tr>
      <w:tr w:rsidR="0046798B" w14:paraId="2172EB0A" w14:textId="77777777">
        <w:trPr>
          <w:trHeight w:val="1233"/>
        </w:trPr>
        <w:tc>
          <w:tcPr>
            <w:tcW w:w="1711" w:type="dxa"/>
            <w:tcBorders>
              <w:top w:val="dotted" w:sz="6" w:space="0" w:color="BEBEBE"/>
            </w:tcBorders>
          </w:tcPr>
          <w:p w14:paraId="03193E76" w14:textId="77777777" w:rsidR="0046798B" w:rsidRDefault="0046798B">
            <w:pPr>
              <w:pStyle w:val="TableParagraph"/>
            </w:pPr>
          </w:p>
          <w:p w14:paraId="7A7DD678" w14:textId="77777777" w:rsidR="0046798B" w:rsidRDefault="0046798B">
            <w:pPr>
              <w:pStyle w:val="TableParagraph"/>
              <w:spacing w:before="6"/>
              <w:rPr>
                <w:sz w:val="21"/>
              </w:rPr>
            </w:pPr>
          </w:p>
          <w:p w14:paraId="4899B87D" w14:textId="77777777" w:rsidR="0046798B" w:rsidRDefault="00903B5C">
            <w:pPr>
              <w:pStyle w:val="TableParagraph"/>
              <w:ind w:left="115"/>
              <w:rPr>
                <w:b/>
                <w:sz w:val="20"/>
              </w:rPr>
            </w:pPr>
            <w:r>
              <w:rPr>
                <w:b/>
                <w:sz w:val="20"/>
              </w:rPr>
              <w:t>cmmdisp</w:t>
            </w:r>
          </w:p>
        </w:tc>
        <w:tc>
          <w:tcPr>
            <w:tcW w:w="1596" w:type="dxa"/>
            <w:tcBorders>
              <w:top w:val="dotted" w:sz="6" w:space="0" w:color="BEBEBE"/>
            </w:tcBorders>
          </w:tcPr>
          <w:p w14:paraId="4C476229" w14:textId="77777777" w:rsidR="0046798B" w:rsidRDefault="00903B5C">
            <w:pPr>
              <w:pStyle w:val="TableParagraph"/>
              <w:spacing w:before="40"/>
              <w:ind w:left="114" w:right="347"/>
              <w:rPr>
                <w:sz w:val="20"/>
              </w:rPr>
            </w:pPr>
            <w:r>
              <w:rPr>
                <w:sz w:val="20"/>
              </w:rPr>
              <w:t>Medical marijuana dispensaries: effective hard cap or ban</w:t>
            </w:r>
          </w:p>
        </w:tc>
        <w:tc>
          <w:tcPr>
            <w:tcW w:w="1285" w:type="dxa"/>
            <w:tcBorders>
              <w:top w:val="dotted" w:sz="6" w:space="0" w:color="BEBEBE"/>
            </w:tcBorders>
          </w:tcPr>
          <w:p w14:paraId="698D950F" w14:textId="77777777" w:rsidR="0046798B" w:rsidRDefault="0046798B">
            <w:pPr>
              <w:pStyle w:val="TableParagraph"/>
            </w:pPr>
          </w:p>
          <w:p w14:paraId="779C5C4D" w14:textId="77777777" w:rsidR="0046798B" w:rsidRDefault="0046798B">
            <w:pPr>
              <w:pStyle w:val="TableParagraph"/>
              <w:spacing w:before="6"/>
              <w:rPr>
                <w:sz w:val="21"/>
              </w:rPr>
            </w:pPr>
          </w:p>
          <w:p w14:paraId="448DFFD7" w14:textId="77777777" w:rsidR="0046798B" w:rsidRDefault="00903B5C">
            <w:pPr>
              <w:pStyle w:val="TableParagraph"/>
              <w:ind w:left="114"/>
              <w:rPr>
                <w:sz w:val="20"/>
              </w:rPr>
            </w:pPr>
            <w:r>
              <w:rPr>
                <w:sz w:val="20"/>
              </w:rPr>
              <w:t>1937–2016</w:t>
            </w:r>
          </w:p>
        </w:tc>
        <w:tc>
          <w:tcPr>
            <w:tcW w:w="3421" w:type="dxa"/>
            <w:tcBorders>
              <w:top w:val="dotted" w:sz="6" w:space="0" w:color="BEBEBE"/>
            </w:tcBorders>
          </w:tcPr>
          <w:p w14:paraId="169CBD57" w14:textId="77777777" w:rsidR="0046798B" w:rsidRDefault="00903B5C">
            <w:pPr>
              <w:pStyle w:val="TableParagraph"/>
              <w:spacing w:before="40"/>
              <w:ind w:left="114" w:right="226"/>
              <w:rPr>
                <w:sz w:val="20"/>
              </w:rPr>
            </w:pPr>
            <w:r>
              <w:rPr>
                <w:sz w:val="20"/>
              </w:rPr>
              <w:t>Medical marijuana dispensaries: effective hard cap or ban? (0 = ban/no legal protection, 0.5 = hard statewide cap, 1 = no ban/some legal protection for dispensaries)</w:t>
            </w:r>
          </w:p>
        </w:tc>
        <w:tc>
          <w:tcPr>
            <w:tcW w:w="6482" w:type="dxa"/>
            <w:tcBorders>
              <w:top w:val="dotted" w:sz="6" w:space="0" w:color="BEBEBE"/>
            </w:tcBorders>
          </w:tcPr>
          <w:p w14:paraId="16186B1B" w14:textId="77777777" w:rsidR="0046798B" w:rsidRDefault="0046798B">
            <w:pPr>
              <w:pStyle w:val="TableParagraph"/>
              <w:spacing w:before="6"/>
              <w:rPr>
                <w:sz w:val="23"/>
              </w:rPr>
            </w:pPr>
          </w:p>
          <w:p w14:paraId="41D19CA3"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9311E9F" w14:textId="77777777">
        <w:trPr>
          <w:trHeight w:val="1010"/>
        </w:trPr>
        <w:tc>
          <w:tcPr>
            <w:tcW w:w="1711" w:type="dxa"/>
          </w:tcPr>
          <w:p w14:paraId="50AF9F98" w14:textId="77777777" w:rsidR="0046798B" w:rsidRDefault="0046798B">
            <w:pPr>
              <w:pStyle w:val="TableParagraph"/>
            </w:pPr>
          </w:p>
          <w:p w14:paraId="7C8A7690" w14:textId="77777777" w:rsidR="0046798B" w:rsidRDefault="00903B5C">
            <w:pPr>
              <w:pStyle w:val="TableParagraph"/>
              <w:spacing w:before="135"/>
              <w:ind w:left="115"/>
              <w:rPr>
                <w:b/>
                <w:sz w:val="20"/>
              </w:rPr>
            </w:pPr>
            <w:r>
              <w:rPr>
                <w:b/>
                <w:sz w:val="20"/>
              </w:rPr>
              <w:t>cmmhc</w:t>
            </w:r>
          </w:p>
        </w:tc>
        <w:tc>
          <w:tcPr>
            <w:tcW w:w="1596" w:type="dxa"/>
          </w:tcPr>
          <w:p w14:paraId="66F3652D" w14:textId="77777777" w:rsidR="0046798B" w:rsidRDefault="00903B5C">
            <w:pPr>
              <w:pStyle w:val="TableParagraph"/>
              <w:spacing w:before="43"/>
              <w:ind w:left="114" w:right="158"/>
              <w:rPr>
                <w:sz w:val="20"/>
              </w:rPr>
            </w:pPr>
            <w:r>
              <w:rPr>
                <w:sz w:val="20"/>
              </w:rPr>
              <w:t>Medical marijuana home cultivation permitted</w:t>
            </w:r>
          </w:p>
        </w:tc>
        <w:tc>
          <w:tcPr>
            <w:tcW w:w="1285" w:type="dxa"/>
          </w:tcPr>
          <w:p w14:paraId="227D5AB9" w14:textId="77777777" w:rsidR="0046798B" w:rsidRDefault="0046798B">
            <w:pPr>
              <w:pStyle w:val="TableParagraph"/>
            </w:pPr>
          </w:p>
          <w:p w14:paraId="3E0E29D9" w14:textId="77777777" w:rsidR="0046798B" w:rsidRDefault="00903B5C">
            <w:pPr>
              <w:pStyle w:val="TableParagraph"/>
              <w:spacing w:before="135"/>
              <w:ind w:left="114"/>
              <w:rPr>
                <w:sz w:val="20"/>
              </w:rPr>
            </w:pPr>
            <w:r>
              <w:rPr>
                <w:sz w:val="20"/>
              </w:rPr>
              <w:t>1937–2016</w:t>
            </w:r>
          </w:p>
        </w:tc>
        <w:tc>
          <w:tcPr>
            <w:tcW w:w="3421" w:type="dxa"/>
          </w:tcPr>
          <w:p w14:paraId="40683DFA" w14:textId="77777777" w:rsidR="0046798B" w:rsidRDefault="0046798B">
            <w:pPr>
              <w:pStyle w:val="TableParagraph"/>
              <w:spacing w:before="8"/>
              <w:rPr>
                <w:sz w:val="23"/>
              </w:rPr>
            </w:pPr>
          </w:p>
          <w:p w14:paraId="7A1E78FB" w14:textId="77777777" w:rsidR="0046798B" w:rsidRDefault="00903B5C">
            <w:pPr>
              <w:pStyle w:val="TableParagraph"/>
              <w:spacing w:before="1"/>
              <w:ind w:left="114" w:right="372"/>
              <w:rPr>
                <w:sz w:val="20"/>
              </w:rPr>
            </w:pPr>
            <w:r>
              <w:rPr>
                <w:sz w:val="20"/>
              </w:rPr>
              <w:t>Medical marijuana home cultivation permitted? (0 = no, 1 = yes)</w:t>
            </w:r>
          </w:p>
        </w:tc>
        <w:tc>
          <w:tcPr>
            <w:tcW w:w="6482" w:type="dxa"/>
          </w:tcPr>
          <w:p w14:paraId="7E143B3A"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CDB77B5" w14:textId="77777777">
        <w:trPr>
          <w:trHeight w:val="775"/>
        </w:trPr>
        <w:tc>
          <w:tcPr>
            <w:tcW w:w="1711" w:type="dxa"/>
          </w:tcPr>
          <w:p w14:paraId="1C70B206" w14:textId="77777777" w:rsidR="0046798B" w:rsidRDefault="0046798B">
            <w:pPr>
              <w:pStyle w:val="TableParagraph"/>
              <w:spacing w:before="4"/>
              <w:rPr>
                <w:sz w:val="23"/>
              </w:rPr>
            </w:pPr>
          </w:p>
          <w:p w14:paraId="2A6A581D" w14:textId="77777777" w:rsidR="0046798B" w:rsidRDefault="00903B5C">
            <w:pPr>
              <w:pStyle w:val="TableParagraph"/>
              <w:ind w:left="115"/>
              <w:rPr>
                <w:b/>
                <w:sz w:val="20"/>
              </w:rPr>
            </w:pPr>
            <w:r>
              <w:rPr>
                <w:b/>
                <w:sz w:val="20"/>
              </w:rPr>
              <w:t>cmmindex</w:t>
            </w:r>
          </w:p>
        </w:tc>
        <w:tc>
          <w:tcPr>
            <w:tcW w:w="1596" w:type="dxa"/>
          </w:tcPr>
          <w:p w14:paraId="4CC31266" w14:textId="77777777" w:rsidR="0046798B" w:rsidRDefault="00903B5C">
            <w:pPr>
              <w:pStyle w:val="TableParagraph"/>
              <w:spacing w:before="153"/>
              <w:ind w:left="114" w:right="158"/>
              <w:rPr>
                <w:sz w:val="20"/>
              </w:rPr>
            </w:pPr>
            <w:r>
              <w:rPr>
                <w:sz w:val="20"/>
              </w:rPr>
              <w:t>Medical marijuana index</w:t>
            </w:r>
          </w:p>
        </w:tc>
        <w:tc>
          <w:tcPr>
            <w:tcW w:w="1285" w:type="dxa"/>
          </w:tcPr>
          <w:p w14:paraId="72A59FEE" w14:textId="77777777" w:rsidR="0046798B" w:rsidRDefault="0046798B">
            <w:pPr>
              <w:pStyle w:val="TableParagraph"/>
              <w:spacing w:before="4"/>
              <w:rPr>
                <w:sz w:val="23"/>
              </w:rPr>
            </w:pPr>
          </w:p>
          <w:p w14:paraId="56F5553C" w14:textId="77777777" w:rsidR="0046798B" w:rsidRDefault="00903B5C">
            <w:pPr>
              <w:pStyle w:val="TableParagraph"/>
              <w:ind w:left="114"/>
              <w:rPr>
                <w:sz w:val="20"/>
              </w:rPr>
            </w:pPr>
            <w:r>
              <w:rPr>
                <w:sz w:val="20"/>
              </w:rPr>
              <w:t>1937–2016</w:t>
            </w:r>
          </w:p>
        </w:tc>
        <w:tc>
          <w:tcPr>
            <w:tcW w:w="3421" w:type="dxa"/>
          </w:tcPr>
          <w:p w14:paraId="1CD3CEAB" w14:textId="77777777" w:rsidR="0046798B" w:rsidRDefault="00903B5C">
            <w:pPr>
              <w:pStyle w:val="TableParagraph"/>
              <w:spacing w:before="38"/>
              <w:ind w:left="114" w:right="377"/>
              <w:rPr>
                <w:sz w:val="20"/>
              </w:rPr>
            </w:pPr>
            <w:r>
              <w:rPr>
                <w:sz w:val="20"/>
              </w:rPr>
              <w:t>Medical marijuana index: cmedmj * cmmscope – 0.1 * cmmamt + 0.1 * cmmhc – 0.1 * cmmdisp</w:t>
            </w:r>
          </w:p>
        </w:tc>
        <w:tc>
          <w:tcPr>
            <w:tcW w:w="6482" w:type="dxa"/>
          </w:tcPr>
          <w:p w14:paraId="04AC30DE" w14:textId="77777777" w:rsidR="0046798B" w:rsidRDefault="00903B5C">
            <w:pPr>
              <w:pStyle w:val="TableParagraph"/>
              <w:spacing w:before="38"/>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D69E7B4" w14:textId="77777777">
        <w:trPr>
          <w:trHeight w:val="1465"/>
        </w:trPr>
        <w:tc>
          <w:tcPr>
            <w:tcW w:w="1711" w:type="dxa"/>
          </w:tcPr>
          <w:p w14:paraId="6A8C4A65" w14:textId="77777777" w:rsidR="0046798B" w:rsidRDefault="0046798B">
            <w:pPr>
              <w:pStyle w:val="TableParagraph"/>
            </w:pPr>
          </w:p>
          <w:p w14:paraId="230EF742" w14:textId="77777777" w:rsidR="0046798B" w:rsidRDefault="0046798B">
            <w:pPr>
              <w:pStyle w:val="TableParagraph"/>
              <w:spacing w:before="4"/>
              <w:rPr>
                <w:sz w:val="31"/>
              </w:rPr>
            </w:pPr>
          </w:p>
          <w:p w14:paraId="10306E67" w14:textId="77777777" w:rsidR="0046798B" w:rsidRDefault="00903B5C">
            <w:pPr>
              <w:pStyle w:val="TableParagraph"/>
              <w:ind w:left="115"/>
              <w:rPr>
                <w:b/>
                <w:sz w:val="20"/>
              </w:rPr>
            </w:pPr>
            <w:r>
              <w:rPr>
                <w:b/>
                <w:sz w:val="20"/>
              </w:rPr>
              <w:t>cmmms</w:t>
            </w:r>
          </w:p>
        </w:tc>
        <w:tc>
          <w:tcPr>
            <w:tcW w:w="1596" w:type="dxa"/>
          </w:tcPr>
          <w:p w14:paraId="2D082D93" w14:textId="77777777" w:rsidR="0046798B" w:rsidRDefault="00903B5C">
            <w:pPr>
              <w:pStyle w:val="TableParagraph"/>
              <w:spacing w:before="38"/>
              <w:ind w:left="114" w:right="333"/>
              <w:rPr>
                <w:sz w:val="20"/>
              </w:rPr>
            </w:pPr>
            <w:r>
              <w:rPr>
                <w:sz w:val="20"/>
              </w:rPr>
              <w:t>Mandatory minimums for “low-level” marijuana cultivation or sale</w:t>
            </w:r>
          </w:p>
        </w:tc>
        <w:tc>
          <w:tcPr>
            <w:tcW w:w="1285" w:type="dxa"/>
          </w:tcPr>
          <w:p w14:paraId="2DC9372C" w14:textId="77777777" w:rsidR="0046798B" w:rsidRDefault="0046798B">
            <w:pPr>
              <w:pStyle w:val="TableParagraph"/>
            </w:pPr>
          </w:p>
          <w:p w14:paraId="1B565380" w14:textId="77777777" w:rsidR="0046798B" w:rsidRDefault="0046798B">
            <w:pPr>
              <w:pStyle w:val="TableParagraph"/>
              <w:spacing w:before="4"/>
              <w:rPr>
                <w:sz w:val="31"/>
              </w:rPr>
            </w:pPr>
          </w:p>
          <w:p w14:paraId="59CE1809" w14:textId="77777777" w:rsidR="0046798B" w:rsidRDefault="00903B5C">
            <w:pPr>
              <w:pStyle w:val="TableParagraph"/>
              <w:ind w:left="114"/>
              <w:rPr>
                <w:sz w:val="20"/>
              </w:rPr>
            </w:pPr>
            <w:r>
              <w:rPr>
                <w:sz w:val="20"/>
              </w:rPr>
              <w:t>2000–2016</w:t>
            </w:r>
          </w:p>
        </w:tc>
        <w:tc>
          <w:tcPr>
            <w:tcW w:w="3421" w:type="dxa"/>
          </w:tcPr>
          <w:p w14:paraId="527CF67F" w14:textId="77777777" w:rsidR="0046798B" w:rsidRDefault="00903B5C">
            <w:pPr>
              <w:pStyle w:val="TableParagraph"/>
              <w:spacing w:before="38"/>
              <w:ind w:left="114" w:right="227"/>
              <w:rPr>
                <w:sz w:val="20"/>
              </w:rPr>
            </w:pPr>
            <w:r>
              <w:rPr>
                <w:sz w:val="20"/>
              </w:rPr>
              <w:t>Mandatory minimums for “low-level” (less than 1 oz./30 g.) marijuana cultivation or sale (not including special penalties for minor sales)?</w:t>
            </w:r>
          </w:p>
          <w:p w14:paraId="1F094F30" w14:textId="77777777" w:rsidR="0046798B" w:rsidRDefault="0046798B">
            <w:pPr>
              <w:pStyle w:val="TableParagraph"/>
              <w:rPr>
                <w:sz w:val="20"/>
              </w:rPr>
            </w:pPr>
          </w:p>
          <w:p w14:paraId="432FB13D" w14:textId="77777777" w:rsidR="0046798B" w:rsidRDefault="00903B5C">
            <w:pPr>
              <w:pStyle w:val="TableParagraph"/>
              <w:ind w:left="114"/>
              <w:rPr>
                <w:sz w:val="20"/>
              </w:rPr>
            </w:pPr>
            <w:r>
              <w:rPr>
                <w:sz w:val="20"/>
              </w:rPr>
              <w:t>0 = no; if yes, number of years</w:t>
            </w:r>
          </w:p>
        </w:tc>
        <w:tc>
          <w:tcPr>
            <w:tcW w:w="6482" w:type="dxa"/>
          </w:tcPr>
          <w:p w14:paraId="17AF51F8" w14:textId="77777777" w:rsidR="0046798B" w:rsidRDefault="0046798B">
            <w:pPr>
              <w:pStyle w:val="TableParagraph"/>
            </w:pPr>
          </w:p>
          <w:p w14:paraId="3BE864A5" w14:textId="77777777" w:rsidR="0046798B" w:rsidRDefault="00903B5C">
            <w:pPr>
              <w:pStyle w:val="TableParagraph"/>
              <w:spacing w:before="130"/>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C2F74DB" w14:textId="77777777">
        <w:trPr>
          <w:trHeight w:val="1005"/>
        </w:trPr>
        <w:tc>
          <w:tcPr>
            <w:tcW w:w="1711" w:type="dxa"/>
          </w:tcPr>
          <w:p w14:paraId="42EAD575" w14:textId="77777777" w:rsidR="0046798B" w:rsidRDefault="0046798B">
            <w:pPr>
              <w:pStyle w:val="TableParagraph"/>
            </w:pPr>
          </w:p>
          <w:p w14:paraId="460BC704" w14:textId="77777777" w:rsidR="0046798B" w:rsidRDefault="00903B5C">
            <w:pPr>
              <w:pStyle w:val="TableParagraph"/>
              <w:spacing w:before="136"/>
              <w:ind w:left="115"/>
              <w:rPr>
                <w:b/>
                <w:sz w:val="20"/>
              </w:rPr>
            </w:pPr>
            <w:r>
              <w:rPr>
                <w:b/>
                <w:sz w:val="20"/>
              </w:rPr>
              <w:t>cmmreg</w:t>
            </w:r>
          </w:p>
        </w:tc>
        <w:tc>
          <w:tcPr>
            <w:tcW w:w="1596" w:type="dxa"/>
          </w:tcPr>
          <w:p w14:paraId="4CDEB24E" w14:textId="77777777" w:rsidR="0046798B" w:rsidRDefault="00903B5C">
            <w:pPr>
              <w:pStyle w:val="TableParagraph"/>
              <w:spacing w:before="44"/>
              <w:ind w:left="114" w:right="246"/>
              <w:rPr>
                <w:sz w:val="20"/>
              </w:rPr>
            </w:pPr>
            <w:r>
              <w:rPr>
                <w:sz w:val="20"/>
              </w:rPr>
              <w:t>Medical marijuana patient registry required</w:t>
            </w:r>
          </w:p>
        </w:tc>
        <w:tc>
          <w:tcPr>
            <w:tcW w:w="1285" w:type="dxa"/>
          </w:tcPr>
          <w:p w14:paraId="166B299D" w14:textId="77777777" w:rsidR="0046798B" w:rsidRDefault="0046798B">
            <w:pPr>
              <w:pStyle w:val="TableParagraph"/>
            </w:pPr>
          </w:p>
          <w:p w14:paraId="28282642" w14:textId="77777777" w:rsidR="0046798B" w:rsidRDefault="00903B5C">
            <w:pPr>
              <w:pStyle w:val="TableParagraph"/>
              <w:spacing w:before="136"/>
              <w:ind w:left="114"/>
              <w:rPr>
                <w:sz w:val="20"/>
              </w:rPr>
            </w:pPr>
            <w:r>
              <w:rPr>
                <w:sz w:val="20"/>
              </w:rPr>
              <w:t>1937–2016</w:t>
            </w:r>
          </w:p>
        </w:tc>
        <w:tc>
          <w:tcPr>
            <w:tcW w:w="3421" w:type="dxa"/>
          </w:tcPr>
          <w:p w14:paraId="27506AA0" w14:textId="77777777" w:rsidR="0046798B" w:rsidRDefault="0046798B">
            <w:pPr>
              <w:pStyle w:val="TableParagraph"/>
              <w:spacing w:before="9"/>
              <w:rPr>
                <w:sz w:val="23"/>
              </w:rPr>
            </w:pPr>
          </w:p>
          <w:p w14:paraId="53173BE3" w14:textId="77777777" w:rsidR="0046798B" w:rsidRDefault="00903B5C">
            <w:pPr>
              <w:pStyle w:val="TableParagraph"/>
              <w:ind w:left="114" w:right="516"/>
              <w:rPr>
                <w:sz w:val="20"/>
              </w:rPr>
            </w:pPr>
            <w:r>
              <w:rPr>
                <w:sz w:val="20"/>
              </w:rPr>
              <w:t>Medical marijuana patient registry required? (0 = no, 1 = yes)</w:t>
            </w:r>
          </w:p>
        </w:tc>
        <w:tc>
          <w:tcPr>
            <w:tcW w:w="6482" w:type="dxa"/>
          </w:tcPr>
          <w:p w14:paraId="3D616368" w14:textId="77777777" w:rsidR="0046798B" w:rsidRDefault="00903B5C">
            <w:pPr>
              <w:pStyle w:val="TableParagraph"/>
              <w:spacing w:before="159"/>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1885F9E" w14:textId="77777777">
        <w:trPr>
          <w:trHeight w:val="1235"/>
        </w:trPr>
        <w:tc>
          <w:tcPr>
            <w:tcW w:w="1711" w:type="dxa"/>
          </w:tcPr>
          <w:p w14:paraId="23A2DADD" w14:textId="77777777" w:rsidR="0046798B" w:rsidRDefault="0046798B">
            <w:pPr>
              <w:pStyle w:val="TableParagraph"/>
            </w:pPr>
          </w:p>
          <w:p w14:paraId="39B319F1" w14:textId="77777777" w:rsidR="0046798B" w:rsidRDefault="0046798B">
            <w:pPr>
              <w:pStyle w:val="TableParagraph"/>
              <w:spacing w:before="9"/>
              <w:rPr>
                <w:sz w:val="21"/>
              </w:rPr>
            </w:pPr>
          </w:p>
          <w:p w14:paraId="26F6FB3C" w14:textId="77777777" w:rsidR="0046798B" w:rsidRDefault="00903B5C">
            <w:pPr>
              <w:pStyle w:val="TableParagraph"/>
              <w:ind w:left="115"/>
              <w:rPr>
                <w:b/>
                <w:sz w:val="20"/>
              </w:rPr>
            </w:pPr>
            <w:r>
              <w:rPr>
                <w:b/>
                <w:sz w:val="20"/>
              </w:rPr>
              <w:t>cmmscope</w:t>
            </w:r>
          </w:p>
        </w:tc>
        <w:tc>
          <w:tcPr>
            <w:tcW w:w="1596" w:type="dxa"/>
          </w:tcPr>
          <w:p w14:paraId="6C10E79D" w14:textId="77777777" w:rsidR="0046798B" w:rsidRDefault="00903B5C">
            <w:pPr>
              <w:pStyle w:val="TableParagraph"/>
              <w:spacing w:before="158"/>
              <w:ind w:left="114" w:right="652"/>
              <w:rPr>
                <w:sz w:val="20"/>
              </w:rPr>
            </w:pPr>
            <w:r>
              <w:rPr>
                <w:sz w:val="20"/>
              </w:rPr>
              <w:t>Scope of medical marijuana exception</w:t>
            </w:r>
          </w:p>
        </w:tc>
        <w:tc>
          <w:tcPr>
            <w:tcW w:w="1285" w:type="dxa"/>
          </w:tcPr>
          <w:p w14:paraId="5F92626D" w14:textId="77777777" w:rsidR="0046798B" w:rsidRDefault="0046798B">
            <w:pPr>
              <w:pStyle w:val="TableParagraph"/>
            </w:pPr>
          </w:p>
          <w:p w14:paraId="0DD6DB20" w14:textId="77777777" w:rsidR="0046798B" w:rsidRDefault="0046798B">
            <w:pPr>
              <w:pStyle w:val="TableParagraph"/>
              <w:spacing w:before="9"/>
              <w:rPr>
                <w:sz w:val="21"/>
              </w:rPr>
            </w:pPr>
          </w:p>
          <w:p w14:paraId="06A100D8" w14:textId="77777777" w:rsidR="0046798B" w:rsidRDefault="00903B5C">
            <w:pPr>
              <w:pStyle w:val="TableParagraph"/>
              <w:ind w:left="114"/>
              <w:rPr>
                <w:sz w:val="20"/>
              </w:rPr>
            </w:pPr>
            <w:r>
              <w:rPr>
                <w:sz w:val="20"/>
              </w:rPr>
              <w:t>1937–2016</w:t>
            </w:r>
          </w:p>
        </w:tc>
        <w:tc>
          <w:tcPr>
            <w:tcW w:w="3421" w:type="dxa"/>
          </w:tcPr>
          <w:p w14:paraId="69AA0401" w14:textId="77777777" w:rsidR="0046798B" w:rsidRDefault="00903B5C">
            <w:pPr>
              <w:pStyle w:val="TableParagraph"/>
              <w:spacing w:before="43"/>
              <w:ind w:left="114" w:right="211"/>
              <w:rPr>
                <w:sz w:val="20"/>
              </w:rPr>
            </w:pPr>
            <w:r>
              <w:rPr>
                <w:sz w:val="20"/>
              </w:rPr>
              <w:t>Scope of medical marijuana exception (0 = no exception, 0.5 = limited, specific set of disorders, 0.75 = broad set of disorders including pain and/or nausea, 1 = full physician discretion)</w:t>
            </w:r>
          </w:p>
        </w:tc>
        <w:tc>
          <w:tcPr>
            <w:tcW w:w="6482" w:type="dxa"/>
          </w:tcPr>
          <w:p w14:paraId="3A689AA4" w14:textId="77777777" w:rsidR="0046798B" w:rsidRDefault="0046798B">
            <w:pPr>
              <w:pStyle w:val="TableParagraph"/>
              <w:spacing w:before="9"/>
              <w:rPr>
                <w:sz w:val="23"/>
              </w:rPr>
            </w:pPr>
          </w:p>
          <w:p w14:paraId="5A015E38" w14:textId="77777777" w:rsidR="0046798B" w:rsidRDefault="00903B5C">
            <w:pPr>
              <w:pStyle w:val="TableParagraph"/>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D0645A7" w14:textId="77777777">
        <w:trPr>
          <w:trHeight w:val="1235"/>
        </w:trPr>
        <w:tc>
          <w:tcPr>
            <w:tcW w:w="1711" w:type="dxa"/>
          </w:tcPr>
          <w:p w14:paraId="67C8D8A2" w14:textId="77777777" w:rsidR="0046798B" w:rsidRDefault="0046798B">
            <w:pPr>
              <w:pStyle w:val="TableParagraph"/>
            </w:pPr>
          </w:p>
          <w:p w14:paraId="1F2BAD73" w14:textId="77777777" w:rsidR="0046798B" w:rsidRDefault="0046798B">
            <w:pPr>
              <w:pStyle w:val="TableParagraph"/>
              <w:spacing w:before="9"/>
              <w:rPr>
                <w:sz w:val="21"/>
              </w:rPr>
            </w:pPr>
          </w:p>
          <w:p w14:paraId="69A9D79C" w14:textId="77777777" w:rsidR="0046798B" w:rsidRDefault="00903B5C">
            <w:pPr>
              <w:pStyle w:val="TableParagraph"/>
              <w:ind w:left="115"/>
              <w:rPr>
                <w:b/>
                <w:sz w:val="20"/>
              </w:rPr>
            </w:pPr>
            <w:r>
              <w:rPr>
                <w:b/>
                <w:sz w:val="20"/>
              </w:rPr>
              <w:t>cmpdecr</w:t>
            </w:r>
          </w:p>
        </w:tc>
        <w:tc>
          <w:tcPr>
            <w:tcW w:w="1596" w:type="dxa"/>
          </w:tcPr>
          <w:p w14:paraId="33C17CC6" w14:textId="77777777" w:rsidR="0046798B" w:rsidRDefault="00903B5C">
            <w:pPr>
              <w:pStyle w:val="TableParagraph"/>
              <w:spacing w:before="43"/>
              <w:ind w:left="114" w:right="248"/>
              <w:rPr>
                <w:sz w:val="20"/>
              </w:rPr>
            </w:pPr>
            <w:r>
              <w:rPr>
                <w:sz w:val="20"/>
              </w:rPr>
              <w:t>First offense of “low-level” marijuana possession decriminalized</w:t>
            </w:r>
          </w:p>
        </w:tc>
        <w:tc>
          <w:tcPr>
            <w:tcW w:w="1285" w:type="dxa"/>
          </w:tcPr>
          <w:p w14:paraId="20DC907F" w14:textId="77777777" w:rsidR="0046798B" w:rsidRDefault="0046798B">
            <w:pPr>
              <w:pStyle w:val="TableParagraph"/>
            </w:pPr>
          </w:p>
          <w:p w14:paraId="48A02670" w14:textId="77777777" w:rsidR="0046798B" w:rsidRDefault="0046798B">
            <w:pPr>
              <w:pStyle w:val="TableParagraph"/>
              <w:spacing w:before="9"/>
              <w:rPr>
                <w:sz w:val="21"/>
              </w:rPr>
            </w:pPr>
          </w:p>
          <w:p w14:paraId="42EF6969" w14:textId="77777777" w:rsidR="0046798B" w:rsidRDefault="00903B5C">
            <w:pPr>
              <w:pStyle w:val="TableParagraph"/>
              <w:ind w:left="114"/>
              <w:rPr>
                <w:sz w:val="20"/>
              </w:rPr>
            </w:pPr>
            <w:r>
              <w:rPr>
                <w:sz w:val="20"/>
              </w:rPr>
              <w:t>2000–2016</w:t>
            </w:r>
          </w:p>
        </w:tc>
        <w:tc>
          <w:tcPr>
            <w:tcW w:w="3421" w:type="dxa"/>
          </w:tcPr>
          <w:p w14:paraId="75ABA8FF" w14:textId="77777777" w:rsidR="0046798B" w:rsidRDefault="0046798B">
            <w:pPr>
              <w:pStyle w:val="TableParagraph"/>
              <w:spacing w:before="9"/>
              <w:rPr>
                <w:sz w:val="23"/>
              </w:rPr>
            </w:pPr>
          </w:p>
          <w:p w14:paraId="557F4642" w14:textId="77777777" w:rsidR="0046798B" w:rsidRDefault="00903B5C">
            <w:pPr>
              <w:pStyle w:val="TableParagraph"/>
              <w:ind w:left="114" w:right="222"/>
              <w:rPr>
                <w:sz w:val="20"/>
              </w:rPr>
            </w:pPr>
            <w:r>
              <w:rPr>
                <w:sz w:val="20"/>
              </w:rPr>
              <w:t>First offense of “low-level” marijuana possession decriminalized? (0 = misdemeanor, 1 = yes, 5 = fully legal)</w:t>
            </w:r>
          </w:p>
        </w:tc>
        <w:tc>
          <w:tcPr>
            <w:tcW w:w="6482" w:type="dxa"/>
          </w:tcPr>
          <w:p w14:paraId="0EB72321" w14:textId="77777777" w:rsidR="0046798B" w:rsidRDefault="0046798B">
            <w:pPr>
              <w:pStyle w:val="TableParagraph"/>
              <w:spacing w:before="9"/>
              <w:rPr>
                <w:sz w:val="23"/>
              </w:rPr>
            </w:pPr>
          </w:p>
          <w:p w14:paraId="22CB519A"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24AB072A" w14:textId="77777777" w:rsidR="0046798B" w:rsidRDefault="0046798B">
      <w:pPr>
        <w:rPr>
          <w:sz w:val="20"/>
        </w:rPr>
        <w:sectPr w:rsidR="0046798B">
          <w:pgSz w:w="15840" w:h="12240" w:orient="landscape"/>
          <w:pgMar w:top="1220" w:right="300" w:bottom="980" w:left="820" w:header="730" w:footer="787" w:gutter="0"/>
          <w:cols w:space="720"/>
        </w:sectPr>
      </w:pPr>
    </w:p>
    <w:p w14:paraId="503E9486"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077F96D4" w14:textId="77777777">
        <w:trPr>
          <w:trHeight w:val="775"/>
        </w:trPr>
        <w:tc>
          <w:tcPr>
            <w:tcW w:w="1711" w:type="dxa"/>
          </w:tcPr>
          <w:p w14:paraId="0BD4B059" w14:textId="77777777" w:rsidR="0046798B" w:rsidRDefault="0046798B">
            <w:pPr>
              <w:pStyle w:val="TableParagraph"/>
              <w:spacing w:before="9"/>
              <w:rPr>
                <w:sz w:val="23"/>
              </w:rPr>
            </w:pPr>
          </w:p>
          <w:p w14:paraId="797E0DBC" w14:textId="77777777" w:rsidR="0046798B" w:rsidRDefault="00903B5C">
            <w:pPr>
              <w:pStyle w:val="TableParagraph"/>
              <w:ind w:left="115"/>
              <w:rPr>
                <w:b/>
                <w:sz w:val="20"/>
              </w:rPr>
            </w:pPr>
            <w:r>
              <w:rPr>
                <w:b/>
                <w:sz w:val="20"/>
              </w:rPr>
              <w:t>cmpleg</w:t>
            </w:r>
          </w:p>
        </w:tc>
        <w:tc>
          <w:tcPr>
            <w:tcW w:w="1596" w:type="dxa"/>
          </w:tcPr>
          <w:p w14:paraId="73E1E978" w14:textId="77777777" w:rsidR="0046798B" w:rsidRDefault="00903B5C">
            <w:pPr>
              <w:pStyle w:val="TableParagraph"/>
              <w:spacing w:before="43"/>
              <w:ind w:left="114" w:right="157"/>
              <w:rPr>
                <w:sz w:val="20"/>
              </w:rPr>
            </w:pPr>
            <w:r>
              <w:rPr>
                <w:sz w:val="20"/>
              </w:rPr>
              <w:t>“Low-level” marijuana possession legal</w:t>
            </w:r>
          </w:p>
        </w:tc>
        <w:tc>
          <w:tcPr>
            <w:tcW w:w="1285" w:type="dxa"/>
          </w:tcPr>
          <w:p w14:paraId="3CC68A51" w14:textId="77777777" w:rsidR="0046798B" w:rsidRDefault="0046798B">
            <w:pPr>
              <w:pStyle w:val="TableParagraph"/>
              <w:spacing w:before="9"/>
              <w:rPr>
                <w:sz w:val="23"/>
              </w:rPr>
            </w:pPr>
          </w:p>
          <w:p w14:paraId="27B52AA8" w14:textId="77777777" w:rsidR="0046798B" w:rsidRDefault="00903B5C">
            <w:pPr>
              <w:pStyle w:val="TableParagraph"/>
              <w:ind w:left="114"/>
              <w:rPr>
                <w:sz w:val="20"/>
              </w:rPr>
            </w:pPr>
            <w:r>
              <w:rPr>
                <w:sz w:val="20"/>
              </w:rPr>
              <w:t>2000–2016</w:t>
            </w:r>
          </w:p>
        </w:tc>
        <w:tc>
          <w:tcPr>
            <w:tcW w:w="3421" w:type="dxa"/>
          </w:tcPr>
          <w:p w14:paraId="6C3231B7" w14:textId="77777777" w:rsidR="0046798B" w:rsidRDefault="00903B5C">
            <w:pPr>
              <w:pStyle w:val="TableParagraph"/>
              <w:spacing w:before="158"/>
              <w:ind w:left="114" w:right="522"/>
              <w:rPr>
                <w:sz w:val="20"/>
              </w:rPr>
            </w:pPr>
            <w:r>
              <w:rPr>
                <w:sz w:val="20"/>
              </w:rPr>
              <w:t>“Low-level” marijuana possession legal? (0 = no, 1 = yes)</w:t>
            </w:r>
          </w:p>
        </w:tc>
        <w:tc>
          <w:tcPr>
            <w:tcW w:w="6482" w:type="dxa"/>
          </w:tcPr>
          <w:p w14:paraId="5CAA2CA5" w14:textId="77777777" w:rsidR="0046798B" w:rsidRDefault="00903B5C">
            <w:pPr>
              <w:pStyle w:val="TableParagraph"/>
              <w:spacing w:before="4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6054F14" w14:textId="77777777">
        <w:trPr>
          <w:trHeight w:val="1235"/>
        </w:trPr>
        <w:tc>
          <w:tcPr>
            <w:tcW w:w="1711" w:type="dxa"/>
          </w:tcPr>
          <w:p w14:paraId="44C9F12C" w14:textId="77777777" w:rsidR="0046798B" w:rsidRDefault="0046798B">
            <w:pPr>
              <w:pStyle w:val="TableParagraph"/>
            </w:pPr>
          </w:p>
          <w:p w14:paraId="1235FAA1" w14:textId="77777777" w:rsidR="0046798B" w:rsidRDefault="0046798B">
            <w:pPr>
              <w:pStyle w:val="TableParagraph"/>
              <w:spacing w:before="8"/>
              <w:rPr>
                <w:sz w:val="21"/>
              </w:rPr>
            </w:pPr>
          </w:p>
          <w:p w14:paraId="3BDCBD91" w14:textId="77777777" w:rsidR="0046798B" w:rsidRDefault="00903B5C">
            <w:pPr>
              <w:pStyle w:val="TableParagraph"/>
              <w:spacing w:before="1"/>
              <w:ind w:left="115"/>
              <w:rPr>
                <w:b/>
                <w:sz w:val="20"/>
              </w:rPr>
            </w:pPr>
            <w:r>
              <w:rPr>
                <w:b/>
                <w:sz w:val="20"/>
              </w:rPr>
              <w:t>cmpmisd</w:t>
            </w:r>
          </w:p>
        </w:tc>
        <w:tc>
          <w:tcPr>
            <w:tcW w:w="1596" w:type="dxa"/>
          </w:tcPr>
          <w:p w14:paraId="1E613DAB" w14:textId="77777777" w:rsidR="0046798B" w:rsidRDefault="00903B5C">
            <w:pPr>
              <w:pStyle w:val="TableParagraph"/>
              <w:spacing w:before="43"/>
              <w:ind w:left="114" w:right="248"/>
              <w:rPr>
                <w:sz w:val="20"/>
              </w:rPr>
            </w:pPr>
            <w:r>
              <w:rPr>
                <w:sz w:val="20"/>
              </w:rPr>
              <w:t>First offense of “high-level” marijuana possession a misdemeanor</w:t>
            </w:r>
          </w:p>
        </w:tc>
        <w:tc>
          <w:tcPr>
            <w:tcW w:w="1285" w:type="dxa"/>
          </w:tcPr>
          <w:p w14:paraId="1387825F" w14:textId="77777777" w:rsidR="0046798B" w:rsidRDefault="0046798B">
            <w:pPr>
              <w:pStyle w:val="TableParagraph"/>
            </w:pPr>
          </w:p>
          <w:p w14:paraId="50A1214C" w14:textId="77777777" w:rsidR="0046798B" w:rsidRDefault="0046798B">
            <w:pPr>
              <w:pStyle w:val="TableParagraph"/>
              <w:spacing w:before="8"/>
              <w:rPr>
                <w:sz w:val="21"/>
              </w:rPr>
            </w:pPr>
          </w:p>
          <w:p w14:paraId="50872F95" w14:textId="77777777" w:rsidR="0046798B" w:rsidRDefault="00903B5C">
            <w:pPr>
              <w:pStyle w:val="TableParagraph"/>
              <w:spacing w:before="1"/>
              <w:ind w:left="114"/>
              <w:rPr>
                <w:sz w:val="20"/>
              </w:rPr>
            </w:pPr>
            <w:r>
              <w:rPr>
                <w:sz w:val="20"/>
              </w:rPr>
              <w:t>2000–2016</w:t>
            </w:r>
          </w:p>
        </w:tc>
        <w:tc>
          <w:tcPr>
            <w:tcW w:w="3421" w:type="dxa"/>
          </w:tcPr>
          <w:p w14:paraId="6D395233" w14:textId="77777777" w:rsidR="0046798B" w:rsidRDefault="00903B5C">
            <w:pPr>
              <w:pStyle w:val="TableParagraph"/>
              <w:spacing w:before="158"/>
              <w:ind w:left="114" w:right="185"/>
              <w:rPr>
                <w:sz w:val="20"/>
              </w:rPr>
            </w:pPr>
            <w:r>
              <w:rPr>
                <w:sz w:val="20"/>
              </w:rPr>
              <w:t>First offense of “high-level” marijuana possession a misdemeanor (criminal non-felony)? (0 = no, 1 = yes, 2 = decriminalized)</w:t>
            </w:r>
          </w:p>
        </w:tc>
        <w:tc>
          <w:tcPr>
            <w:tcW w:w="6482" w:type="dxa"/>
          </w:tcPr>
          <w:p w14:paraId="4B135E05" w14:textId="77777777" w:rsidR="0046798B" w:rsidRDefault="0046798B">
            <w:pPr>
              <w:pStyle w:val="TableParagraph"/>
              <w:spacing w:before="8"/>
              <w:rPr>
                <w:sz w:val="23"/>
              </w:rPr>
            </w:pPr>
          </w:p>
          <w:p w14:paraId="410ACA72"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E9D4F80" w14:textId="77777777">
        <w:trPr>
          <w:trHeight w:val="780"/>
        </w:trPr>
        <w:tc>
          <w:tcPr>
            <w:tcW w:w="1711" w:type="dxa"/>
          </w:tcPr>
          <w:p w14:paraId="24B7A00A" w14:textId="77777777" w:rsidR="0046798B" w:rsidRDefault="0046798B">
            <w:pPr>
              <w:pStyle w:val="TableParagraph"/>
              <w:spacing w:before="8"/>
              <w:rPr>
                <w:sz w:val="23"/>
              </w:rPr>
            </w:pPr>
          </w:p>
          <w:p w14:paraId="33835715" w14:textId="77777777" w:rsidR="0046798B" w:rsidRDefault="00903B5C">
            <w:pPr>
              <w:pStyle w:val="TableParagraph"/>
              <w:spacing w:before="1"/>
              <w:ind w:left="115"/>
              <w:rPr>
                <w:b/>
                <w:sz w:val="20"/>
              </w:rPr>
            </w:pPr>
            <w:r>
              <w:rPr>
                <w:b/>
                <w:sz w:val="20"/>
              </w:rPr>
              <w:t>cmsale</w:t>
            </w:r>
          </w:p>
        </w:tc>
        <w:tc>
          <w:tcPr>
            <w:tcW w:w="1596" w:type="dxa"/>
          </w:tcPr>
          <w:p w14:paraId="50B083FD" w14:textId="77777777" w:rsidR="0046798B" w:rsidRDefault="00903B5C">
            <w:pPr>
              <w:pStyle w:val="TableParagraph"/>
              <w:spacing w:before="158"/>
              <w:ind w:left="114" w:right="146"/>
              <w:rPr>
                <w:sz w:val="20"/>
              </w:rPr>
            </w:pPr>
            <w:r>
              <w:rPr>
                <w:sz w:val="20"/>
              </w:rPr>
              <w:t>Some marijuana sales legal</w:t>
            </w:r>
          </w:p>
        </w:tc>
        <w:tc>
          <w:tcPr>
            <w:tcW w:w="1285" w:type="dxa"/>
          </w:tcPr>
          <w:p w14:paraId="1EC46611" w14:textId="77777777" w:rsidR="0046798B" w:rsidRDefault="0046798B">
            <w:pPr>
              <w:pStyle w:val="TableParagraph"/>
              <w:spacing w:before="8"/>
              <w:rPr>
                <w:sz w:val="23"/>
              </w:rPr>
            </w:pPr>
          </w:p>
          <w:p w14:paraId="6F8C55E4" w14:textId="77777777" w:rsidR="0046798B" w:rsidRDefault="00903B5C">
            <w:pPr>
              <w:pStyle w:val="TableParagraph"/>
              <w:spacing w:before="1"/>
              <w:ind w:left="114"/>
              <w:rPr>
                <w:sz w:val="20"/>
              </w:rPr>
            </w:pPr>
            <w:r>
              <w:rPr>
                <w:sz w:val="20"/>
              </w:rPr>
              <w:t>2000–2016</w:t>
            </w:r>
          </w:p>
        </w:tc>
        <w:tc>
          <w:tcPr>
            <w:tcW w:w="3421" w:type="dxa"/>
          </w:tcPr>
          <w:p w14:paraId="75C8031C" w14:textId="77777777" w:rsidR="0046798B" w:rsidRDefault="00903B5C">
            <w:pPr>
              <w:pStyle w:val="TableParagraph"/>
              <w:spacing w:before="158"/>
              <w:ind w:left="114"/>
              <w:rPr>
                <w:sz w:val="20"/>
              </w:rPr>
            </w:pPr>
            <w:r>
              <w:rPr>
                <w:sz w:val="20"/>
              </w:rPr>
              <w:t>Some marijuana sales legal? (0 = no, 1</w:t>
            </w:r>
          </w:p>
          <w:p w14:paraId="152C4FF9" w14:textId="77777777" w:rsidR="0046798B" w:rsidRDefault="00903B5C">
            <w:pPr>
              <w:pStyle w:val="TableParagraph"/>
              <w:ind w:left="114"/>
              <w:rPr>
                <w:sz w:val="20"/>
              </w:rPr>
            </w:pPr>
            <w:r>
              <w:rPr>
                <w:sz w:val="20"/>
              </w:rPr>
              <w:t>= yes)</w:t>
            </w:r>
          </w:p>
        </w:tc>
        <w:tc>
          <w:tcPr>
            <w:tcW w:w="6482" w:type="dxa"/>
          </w:tcPr>
          <w:p w14:paraId="6004AE3D" w14:textId="77777777" w:rsidR="0046798B" w:rsidRDefault="00903B5C">
            <w:pPr>
              <w:pStyle w:val="TableParagraph"/>
              <w:spacing w:before="4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23C521E" w14:textId="77777777">
        <w:trPr>
          <w:trHeight w:val="1005"/>
        </w:trPr>
        <w:tc>
          <w:tcPr>
            <w:tcW w:w="1711" w:type="dxa"/>
          </w:tcPr>
          <w:p w14:paraId="63FFA635" w14:textId="77777777" w:rsidR="0046798B" w:rsidRDefault="0046798B">
            <w:pPr>
              <w:pStyle w:val="TableParagraph"/>
            </w:pPr>
          </w:p>
          <w:p w14:paraId="61982EBF" w14:textId="77777777" w:rsidR="0046798B" w:rsidRDefault="00903B5C">
            <w:pPr>
              <w:pStyle w:val="TableParagraph"/>
              <w:spacing w:before="130"/>
              <w:ind w:left="115"/>
              <w:rPr>
                <w:b/>
                <w:sz w:val="20"/>
              </w:rPr>
            </w:pPr>
            <w:r>
              <w:rPr>
                <w:b/>
                <w:sz w:val="20"/>
              </w:rPr>
              <w:t>csalvia</w:t>
            </w:r>
          </w:p>
        </w:tc>
        <w:tc>
          <w:tcPr>
            <w:tcW w:w="1596" w:type="dxa"/>
          </w:tcPr>
          <w:p w14:paraId="26463A04" w14:textId="77777777" w:rsidR="0046798B" w:rsidRDefault="00903B5C">
            <w:pPr>
              <w:pStyle w:val="TableParagraph"/>
              <w:spacing w:before="38"/>
              <w:ind w:left="114" w:right="279"/>
              <w:rPr>
                <w:sz w:val="20"/>
              </w:rPr>
            </w:pPr>
            <w:r>
              <w:rPr>
                <w:sz w:val="20"/>
              </w:rPr>
              <w:t>Salvia divinorum ban for adult consumption</w:t>
            </w:r>
          </w:p>
        </w:tc>
        <w:tc>
          <w:tcPr>
            <w:tcW w:w="1285" w:type="dxa"/>
          </w:tcPr>
          <w:p w14:paraId="6F2C831E" w14:textId="77777777" w:rsidR="0046798B" w:rsidRDefault="0046798B">
            <w:pPr>
              <w:pStyle w:val="TableParagraph"/>
            </w:pPr>
          </w:p>
          <w:p w14:paraId="19AF03AC" w14:textId="77777777" w:rsidR="0046798B" w:rsidRDefault="00903B5C">
            <w:pPr>
              <w:pStyle w:val="TableParagraph"/>
              <w:spacing w:before="130"/>
              <w:ind w:left="114"/>
              <w:rPr>
                <w:sz w:val="20"/>
              </w:rPr>
            </w:pPr>
            <w:r>
              <w:rPr>
                <w:sz w:val="20"/>
              </w:rPr>
              <w:t>1937–2016</w:t>
            </w:r>
          </w:p>
        </w:tc>
        <w:tc>
          <w:tcPr>
            <w:tcW w:w="3421" w:type="dxa"/>
          </w:tcPr>
          <w:p w14:paraId="6A2C9501" w14:textId="77777777" w:rsidR="0046798B" w:rsidRDefault="00903B5C">
            <w:pPr>
              <w:pStyle w:val="TableParagraph"/>
              <w:spacing w:before="153"/>
              <w:ind w:left="114" w:right="89"/>
              <w:rPr>
                <w:sz w:val="20"/>
              </w:rPr>
            </w:pPr>
            <w:r>
              <w:rPr>
                <w:sz w:val="20"/>
              </w:rPr>
              <w:t>Salvia divinorum ban for adult consumption? (0 = no, 0.5 = partial, 1 = yes)</w:t>
            </w:r>
          </w:p>
        </w:tc>
        <w:tc>
          <w:tcPr>
            <w:tcW w:w="6482" w:type="dxa"/>
          </w:tcPr>
          <w:p w14:paraId="4B5D380E" w14:textId="77777777" w:rsidR="0046798B" w:rsidRDefault="00903B5C">
            <w:pPr>
              <w:pStyle w:val="TableParagraph"/>
              <w:spacing w:before="15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AE22C3E" w14:textId="77777777">
        <w:trPr>
          <w:trHeight w:val="1465"/>
        </w:trPr>
        <w:tc>
          <w:tcPr>
            <w:tcW w:w="1711" w:type="dxa"/>
          </w:tcPr>
          <w:p w14:paraId="6F272B5A" w14:textId="77777777" w:rsidR="0046798B" w:rsidRDefault="0046798B">
            <w:pPr>
              <w:pStyle w:val="TableParagraph"/>
            </w:pPr>
          </w:p>
          <w:p w14:paraId="4CB70F76" w14:textId="77777777" w:rsidR="0046798B" w:rsidRDefault="0046798B">
            <w:pPr>
              <w:pStyle w:val="TableParagraph"/>
              <w:spacing w:before="4"/>
              <w:rPr>
                <w:sz w:val="31"/>
              </w:rPr>
            </w:pPr>
          </w:p>
          <w:p w14:paraId="25D8EDC5" w14:textId="77777777" w:rsidR="0046798B" w:rsidRDefault="00903B5C">
            <w:pPr>
              <w:pStyle w:val="TableParagraph"/>
              <w:ind w:left="115"/>
              <w:rPr>
                <w:b/>
                <w:sz w:val="20"/>
              </w:rPr>
            </w:pPr>
            <w:r>
              <w:rPr>
                <w:b/>
                <w:sz w:val="20"/>
              </w:rPr>
              <w:t>cspirwet</w:t>
            </w:r>
          </w:p>
        </w:tc>
        <w:tc>
          <w:tcPr>
            <w:tcW w:w="1596" w:type="dxa"/>
          </w:tcPr>
          <w:p w14:paraId="0E26787C" w14:textId="77777777" w:rsidR="0046798B" w:rsidRDefault="00903B5C">
            <w:pPr>
              <w:pStyle w:val="TableParagraph"/>
              <w:spacing w:before="38"/>
              <w:ind w:left="114" w:right="141"/>
              <w:rPr>
                <w:sz w:val="20"/>
              </w:rPr>
            </w:pPr>
            <w:r>
              <w:rPr>
                <w:sz w:val="20"/>
              </w:rPr>
              <w:t>Percentage of state population living in counties that are wet (distilled spirits)</w:t>
            </w:r>
          </w:p>
        </w:tc>
        <w:tc>
          <w:tcPr>
            <w:tcW w:w="1285" w:type="dxa"/>
          </w:tcPr>
          <w:p w14:paraId="74E8DF52" w14:textId="77777777" w:rsidR="0046798B" w:rsidRDefault="0046798B">
            <w:pPr>
              <w:pStyle w:val="TableParagraph"/>
            </w:pPr>
          </w:p>
          <w:p w14:paraId="24CC486C" w14:textId="77777777" w:rsidR="0046798B" w:rsidRDefault="0046798B">
            <w:pPr>
              <w:pStyle w:val="TableParagraph"/>
              <w:spacing w:before="4"/>
              <w:rPr>
                <w:sz w:val="31"/>
              </w:rPr>
            </w:pPr>
          </w:p>
          <w:p w14:paraId="4C0325FC" w14:textId="77777777" w:rsidR="0046798B" w:rsidRDefault="00903B5C">
            <w:pPr>
              <w:pStyle w:val="TableParagraph"/>
              <w:ind w:left="114"/>
              <w:rPr>
                <w:sz w:val="20"/>
              </w:rPr>
            </w:pPr>
            <w:r>
              <w:rPr>
                <w:sz w:val="20"/>
              </w:rPr>
              <w:t>1971–1984</w:t>
            </w:r>
          </w:p>
        </w:tc>
        <w:tc>
          <w:tcPr>
            <w:tcW w:w="3421" w:type="dxa"/>
          </w:tcPr>
          <w:p w14:paraId="2FD50AB7" w14:textId="77777777" w:rsidR="0046798B" w:rsidRDefault="0046798B">
            <w:pPr>
              <w:pStyle w:val="TableParagraph"/>
            </w:pPr>
          </w:p>
          <w:p w14:paraId="1B08E3FA" w14:textId="77777777" w:rsidR="0046798B" w:rsidRDefault="0046798B">
            <w:pPr>
              <w:pStyle w:val="TableParagraph"/>
              <w:spacing w:before="4"/>
              <w:rPr>
                <w:sz w:val="21"/>
              </w:rPr>
            </w:pPr>
          </w:p>
          <w:p w14:paraId="3F1EAAF6" w14:textId="77777777" w:rsidR="0046798B" w:rsidRDefault="00903B5C">
            <w:pPr>
              <w:pStyle w:val="TableParagraph"/>
              <w:ind w:left="114" w:right="138"/>
              <w:rPr>
                <w:sz w:val="20"/>
              </w:rPr>
            </w:pPr>
            <w:r>
              <w:rPr>
                <w:sz w:val="20"/>
              </w:rPr>
              <w:t>Percentage of state population living in counties that are wet (distilled spirits)</w:t>
            </w:r>
          </w:p>
        </w:tc>
        <w:tc>
          <w:tcPr>
            <w:tcW w:w="6482" w:type="dxa"/>
          </w:tcPr>
          <w:p w14:paraId="1691819A" w14:textId="77777777" w:rsidR="0046798B" w:rsidRDefault="0046798B">
            <w:pPr>
              <w:pStyle w:val="TableParagraph"/>
            </w:pPr>
          </w:p>
          <w:p w14:paraId="6725A970" w14:textId="77777777" w:rsidR="0046798B" w:rsidRDefault="00903B5C">
            <w:pPr>
              <w:pStyle w:val="TableParagraph"/>
              <w:spacing w:before="130"/>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8220D85" w14:textId="77777777">
        <w:trPr>
          <w:trHeight w:val="1695"/>
        </w:trPr>
        <w:tc>
          <w:tcPr>
            <w:tcW w:w="1711" w:type="dxa"/>
          </w:tcPr>
          <w:p w14:paraId="41C81858" w14:textId="77777777" w:rsidR="0046798B" w:rsidRDefault="0046798B">
            <w:pPr>
              <w:pStyle w:val="TableParagraph"/>
            </w:pPr>
          </w:p>
          <w:p w14:paraId="345ACF4C" w14:textId="77777777" w:rsidR="0046798B" w:rsidRDefault="0046798B">
            <w:pPr>
              <w:pStyle w:val="TableParagraph"/>
            </w:pPr>
          </w:p>
          <w:p w14:paraId="1ACF5C98" w14:textId="77777777" w:rsidR="0046798B" w:rsidRDefault="0046798B">
            <w:pPr>
              <w:pStyle w:val="TableParagraph"/>
              <w:spacing w:before="3"/>
              <w:rPr>
                <w:sz w:val="19"/>
              </w:rPr>
            </w:pPr>
          </w:p>
          <w:p w14:paraId="201FFFB9" w14:textId="77777777" w:rsidR="0046798B" w:rsidRDefault="00903B5C">
            <w:pPr>
              <w:pStyle w:val="TableParagraph"/>
              <w:spacing w:before="1"/>
              <w:ind w:left="115"/>
              <w:rPr>
                <w:b/>
                <w:sz w:val="20"/>
              </w:rPr>
            </w:pPr>
            <w:r>
              <w:rPr>
                <w:b/>
                <w:sz w:val="20"/>
              </w:rPr>
              <w:t>csret</w:t>
            </w:r>
          </w:p>
        </w:tc>
        <w:tc>
          <w:tcPr>
            <w:tcW w:w="1596" w:type="dxa"/>
          </w:tcPr>
          <w:p w14:paraId="06A22125" w14:textId="77777777" w:rsidR="0046798B" w:rsidRDefault="0046798B">
            <w:pPr>
              <w:pStyle w:val="TableParagraph"/>
            </w:pPr>
          </w:p>
          <w:p w14:paraId="14DE401E" w14:textId="77777777" w:rsidR="0046798B" w:rsidRDefault="00903B5C">
            <w:pPr>
              <w:pStyle w:val="TableParagraph"/>
              <w:spacing w:before="137" w:line="237" w:lineRule="auto"/>
              <w:ind w:left="114" w:right="135"/>
              <w:rPr>
                <w:sz w:val="20"/>
              </w:rPr>
            </w:pPr>
            <w:r>
              <w:rPr>
                <w:sz w:val="20"/>
              </w:rPr>
              <w:t>Exclusive state control of retail sale of some types of spirits</w:t>
            </w:r>
          </w:p>
        </w:tc>
        <w:tc>
          <w:tcPr>
            <w:tcW w:w="1285" w:type="dxa"/>
          </w:tcPr>
          <w:p w14:paraId="2D4E70CD" w14:textId="77777777" w:rsidR="0046798B" w:rsidRDefault="0046798B">
            <w:pPr>
              <w:pStyle w:val="TableParagraph"/>
            </w:pPr>
          </w:p>
          <w:p w14:paraId="354A4143" w14:textId="77777777" w:rsidR="0046798B" w:rsidRDefault="0046798B">
            <w:pPr>
              <w:pStyle w:val="TableParagraph"/>
            </w:pPr>
          </w:p>
          <w:p w14:paraId="7CB68A8B" w14:textId="77777777" w:rsidR="0046798B" w:rsidRDefault="0046798B">
            <w:pPr>
              <w:pStyle w:val="TableParagraph"/>
              <w:spacing w:before="3"/>
              <w:rPr>
                <w:sz w:val="19"/>
              </w:rPr>
            </w:pPr>
          </w:p>
          <w:p w14:paraId="01EDE339" w14:textId="77777777" w:rsidR="0046798B" w:rsidRDefault="00903B5C">
            <w:pPr>
              <w:pStyle w:val="TableParagraph"/>
              <w:spacing w:before="1"/>
              <w:ind w:left="114"/>
              <w:rPr>
                <w:sz w:val="20"/>
              </w:rPr>
            </w:pPr>
            <w:r>
              <w:rPr>
                <w:sz w:val="20"/>
              </w:rPr>
              <w:t>1937–2015</w:t>
            </w:r>
          </w:p>
        </w:tc>
        <w:tc>
          <w:tcPr>
            <w:tcW w:w="3421" w:type="dxa"/>
          </w:tcPr>
          <w:p w14:paraId="1E32A467" w14:textId="77777777" w:rsidR="0046798B" w:rsidRDefault="00903B5C">
            <w:pPr>
              <w:pStyle w:val="TableParagraph"/>
              <w:spacing w:before="43"/>
              <w:ind w:left="114" w:right="200"/>
              <w:rPr>
                <w:sz w:val="20"/>
              </w:rPr>
            </w:pPr>
            <w:r>
              <w:rPr>
                <w:sz w:val="20"/>
              </w:rPr>
              <w:t>Exclusive state control of retail sale of some types of spirits</w:t>
            </w:r>
          </w:p>
          <w:p w14:paraId="17D9BAB8" w14:textId="77777777" w:rsidR="0046798B" w:rsidRDefault="0046798B">
            <w:pPr>
              <w:pStyle w:val="TableParagraph"/>
              <w:spacing w:before="6"/>
              <w:rPr>
                <w:sz w:val="19"/>
              </w:rPr>
            </w:pPr>
          </w:p>
          <w:p w14:paraId="16DCF146" w14:textId="77777777" w:rsidR="0046798B" w:rsidRDefault="00903B5C">
            <w:pPr>
              <w:pStyle w:val="TableParagraph"/>
              <w:spacing w:before="1"/>
              <w:ind w:left="114" w:right="285"/>
              <w:rPr>
                <w:sz w:val="20"/>
              </w:rPr>
            </w:pPr>
            <w:r>
              <w:rPr>
                <w:sz w:val="20"/>
              </w:rPr>
              <w:t>0 = no, 1 = yes; +1.5 = near-absolute on-premises prohibition, +0.5 = on- premises limitation (restaurants, bars, private clubs)</w:t>
            </w:r>
          </w:p>
        </w:tc>
        <w:tc>
          <w:tcPr>
            <w:tcW w:w="6482" w:type="dxa"/>
          </w:tcPr>
          <w:p w14:paraId="3520C865" w14:textId="77777777" w:rsidR="0046798B" w:rsidRDefault="0046798B">
            <w:pPr>
              <w:pStyle w:val="TableParagraph"/>
            </w:pPr>
          </w:p>
          <w:p w14:paraId="45B4ACD9" w14:textId="77777777" w:rsidR="0046798B" w:rsidRDefault="0046798B">
            <w:pPr>
              <w:pStyle w:val="TableParagraph"/>
              <w:spacing w:before="10"/>
              <w:rPr>
                <w:sz w:val="21"/>
              </w:rPr>
            </w:pPr>
          </w:p>
          <w:p w14:paraId="3F57D8B9" w14:textId="77777777" w:rsidR="0046798B" w:rsidRDefault="00903B5C">
            <w:pPr>
              <w:pStyle w:val="TableParagraph"/>
              <w:spacing w:line="237" w:lineRule="auto"/>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830DBD6" w14:textId="77777777">
        <w:trPr>
          <w:trHeight w:val="1695"/>
        </w:trPr>
        <w:tc>
          <w:tcPr>
            <w:tcW w:w="1711" w:type="dxa"/>
          </w:tcPr>
          <w:p w14:paraId="3D6D78C4" w14:textId="77777777" w:rsidR="0046798B" w:rsidRDefault="0046798B">
            <w:pPr>
              <w:pStyle w:val="TableParagraph"/>
            </w:pPr>
          </w:p>
          <w:p w14:paraId="2BBEBBB0" w14:textId="77777777" w:rsidR="0046798B" w:rsidRDefault="0046798B">
            <w:pPr>
              <w:pStyle w:val="TableParagraph"/>
            </w:pPr>
          </w:p>
          <w:p w14:paraId="4F332986" w14:textId="77777777" w:rsidR="0046798B" w:rsidRDefault="0046798B">
            <w:pPr>
              <w:pStyle w:val="TableParagraph"/>
              <w:spacing w:before="9"/>
              <w:rPr>
                <w:sz w:val="19"/>
              </w:rPr>
            </w:pPr>
          </w:p>
          <w:p w14:paraId="78CCEAAB" w14:textId="77777777" w:rsidR="0046798B" w:rsidRDefault="00903B5C">
            <w:pPr>
              <w:pStyle w:val="TableParagraph"/>
              <w:ind w:left="115"/>
              <w:rPr>
                <w:b/>
                <w:sz w:val="20"/>
              </w:rPr>
            </w:pPr>
            <w:r>
              <w:rPr>
                <w:b/>
                <w:sz w:val="20"/>
              </w:rPr>
              <w:t>cswhol</w:t>
            </w:r>
          </w:p>
        </w:tc>
        <w:tc>
          <w:tcPr>
            <w:tcW w:w="1596" w:type="dxa"/>
          </w:tcPr>
          <w:p w14:paraId="68539F06" w14:textId="77777777" w:rsidR="0046798B" w:rsidRDefault="0046798B">
            <w:pPr>
              <w:pStyle w:val="TableParagraph"/>
              <w:spacing w:before="8"/>
              <w:rPr>
                <w:sz w:val="23"/>
              </w:rPr>
            </w:pPr>
          </w:p>
          <w:p w14:paraId="6B08A196" w14:textId="77777777" w:rsidR="0046798B" w:rsidRDefault="00903B5C">
            <w:pPr>
              <w:pStyle w:val="TableParagraph"/>
              <w:spacing w:before="1"/>
              <w:ind w:left="114" w:right="138"/>
              <w:rPr>
                <w:sz w:val="20"/>
              </w:rPr>
            </w:pPr>
            <w:r>
              <w:rPr>
                <w:sz w:val="20"/>
              </w:rPr>
              <w:t xml:space="preserve">Exclusive state control of wholesale sale of some types </w:t>
            </w:r>
            <w:r>
              <w:rPr>
                <w:spacing w:val="-8"/>
                <w:sz w:val="20"/>
              </w:rPr>
              <w:t xml:space="preserve">of </w:t>
            </w:r>
            <w:r>
              <w:rPr>
                <w:sz w:val="20"/>
              </w:rPr>
              <w:t>spirits</w:t>
            </w:r>
          </w:p>
        </w:tc>
        <w:tc>
          <w:tcPr>
            <w:tcW w:w="1285" w:type="dxa"/>
          </w:tcPr>
          <w:p w14:paraId="452BF3B9" w14:textId="77777777" w:rsidR="0046798B" w:rsidRDefault="0046798B">
            <w:pPr>
              <w:pStyle w:val="TableParagraph"/>
            </w:pPr>
          </w:p>
          <w:p w14:paraId="4231E057" w14:textId="77777777" w:rsidR="0046798B" w:rsidRDefault="0046798B">
            <w:pPr>
              <w:pStyle w:val="TableParagraph"/>
            </w:pPr>
          </w:p>
          <w:p w14:paraId="0E78452C" w14:textId="77777777" w:rsidR="0046798B" w:rsidRDefault="0046798B">
            <w:pPr>
              <w:pStyle w:val="TableParagraph"/>
              <w:spacing w:before="9"/>
              <w:rPr>
                <w:sz w:val="19"/>
              </w:rPr>
            </w:pPr>
          </w:p>
          <w:p w14:paraId="37025B1D" w14:textId="77777777" w:rsidR="0046798B" w:rsidRDefault="00903B5C">
            <w:pPr>
              <w:pStyle w:val="TableParagraph"/>
              <w:ind w:left="114"/>
              <w:rPr>
                <w:sz w:val="20"/>
              </w:rPr>
            </w:pPr>
            <w:r>
              <w:rPr>
                <w:sz w:val="20"/>
              </w:rPr>
              <w:t>1937–2015</w:t>
            </w:r>
          </w:p>
        </w:tc>
        <w:tc>
          <w:tcPr>
            <w:tcW w:w="3421" w:type="dxa"/>
          </w:tcPr>
          <w:p w14:paraId="706E2EDD" w14:textId="77777777" w:rsidR="0046798B" w:rsidRDefault="00903B5C">
            <w:pPr>
              <w:pStyle w:val="TableParagraph"/>
              <w:spacing w:before="43"/>
              <w:ind w:left="114" w:right="389"/>
              <w:rPr>
                <w:sz w:val="20"/>
              </w:rPr>
            </w:pPr>
            <w:r>
              <w:rPr>
                <w:sz w:val="20"/>
              </w:rPr>
              <w:t>Exclusive state control of wholesale sale of some types of spirits</w:t>
            </w:r>
          </w:p>
          <w:p w14:paraId="4E08D17D" w14:textId="77777777" w:rsidR="0046798B" w:rsidRDefault="0046798B">
            <w:pPr>
              <w:pStyle w:val="TableParagraph"/>
              <w:rPr>
                <w:sz w:val="20"/>
              </w:rPr>
            </w:pPr>
          </w:p>
          <w:p w14:paraId="43599655" w14:textId="77777777" w:rsidR="0046798B" w:rsidRDefault="00903B5C">
            <w:pPr>
              <w:pStyle w:val="TableParagraph"/>
              <w:ind w:left="114" w:right="285"/>
              <w:rPr>
                <w:sz w:val="20"/>
              </w:rPr>
            </w:pPr>
            <w:r>
              <w:rPr>
                <w:sz w:val="20"/>
              </w:rPr>
              <w:t>0 = no, 1 = yes; +1.5 = near-absolute on-premises prohibition, +0.5 = on- premises limitation (restaurants, bars, private clubs)</w:t>
            </w:r>
          </w:p>
        </w:tc>
        <w:tc>
          <w:tcPr>
            <w:tcW w:w="6482" w:type="dxa"/>
          </w:tcPr>
          <w:p w14:paraId="5EE90043" w14:textId="77777777" w:rsidR="0046798B" w:rsidRDefault="0046798B">
            <w:pPr>
              <w:pStyle w:val="TableParagraph"/>
            </w:pPr>
          </w:p>
          <w:p w14:paraId="2BBBEBD3" w14:textId="77777777" w:rsidR="0046798B" w:rsidRDefault="0046798B">
            <w:pPr>
              <w:pStyle w:val="TableParagraph"/>
              <w:spacing w:before="8"/>
              <w:rPr>
                <w:sz w:val="21"/>
              </w:rPr>
            </w:pPr>
          </w:p>
          <w:p w14:paraId="6352BD31"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056E952F" w14:textId="77777777" w:rsidR="0046798B" w:rsidRDefault="0046798B">
      <w:pPr>
        <w:rPr>
          <w:sz w:val="20"/>
        </w:rPr>
        <w:sectPr w:rsidR="0046798B">
          <w:pgSz w:w="15840" w:h="12240" w:orient="landscape"/>
          <w:pgMar w:top="1220" w:right="300" w:bottom="980" w:left="820" w:header="730" w:footer="787" w:gutter="0"/>
          <w:cols w:space="720"/>
        </w:sectPr>
      </w:pPr>
    </w:p>
    <w:p w14:paraId="7E5DEA09"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665C2CE6" w14:textId="77777777">
        <w:trPr>
          <w:trHeight w:val="1005"/>
        </w:trPr>
        <w:tc>
          <w:tcPr>
            <w:tcW w:w="1711" w:type="dxa"/>
          </w:tcPr>
          <w:p w14:paraId="73E863C9" w14:textId="77777777" w:rsidR="0046798B" w:rsidRDefault="0046798B">
            <w:pPr>
              <w:pStyle w:val="TableParagraph"/>
            </w:pPr>
          </w:p>
          <w:p w14:paraId="3549146D" w14:textId="77777777" w:rsidR="0046798B" w:rsidRDefault="00903B5C">
            <w:pPr>
              <w:pStyle w:val="TableParagraph"/>
              <w:spacing w:before="135"/>
              <w:ind w:left="115"/>
              <w:rPr>
                <w:b/>
                <w:sz w:val="20"/>
              </w:rPr>
            </w:pPr>
            <w:r>
              <w:rPr>
                <w:b/>
                <w:sz w:val="20"/>
              </w:rPr>
              <w:t>ctrain</w:t>
            </w:r>
          </w:p>
        </w:tc>
        <w:tc>
          <w:tcPr>
            <w:tcW w:w="1596" w:type="dxa"/>
          </w:tcPr>
          <w:p w14:paraId="4FA15D8F" w14:textId="77777777" w:rsidR="0046798B" w:rsidRDefault="00903B5C">
            <w:pPr>
              <w:pStyle w:val="TableParagraph"/>
              <w:spacing w:before="43"/>
              <w:ind w:left="114" w:right="191"/>
              <w:rPr>
                <w:sz w:val="20"/>
              </w:rPr>
            </w:pPr>
            <w:r>
              <w:rPr>
                <w:sz w:val="20"/>
              </w:rPr>
              <w:t>Mandatory alcoholic beverage server training law</w:t>
            </w:r>
          </w:p>
        </w:tc>
        <w:tc>
          <w:tcPr>
            <w:tcW w:w="1285" w:type="dxa"/>
          </w:tcPr>
          <w:p w14:paraId="7C8F071E" w14:textId="77777777" w:rsidR="0046798B" w:rsidRDefault="0046798B">
            <w:pPr>
              <w:pStyle w:val="TableParagraph"/>
            </w:pPr>
          </w:p>
          <w:p w14:paraId="161117BE" w14:textId="77777777" w:rsidR="0046798B" w:rsidRDefault="00903B5C">
            <w:pPr>
              <w:pStyle w:val="TableParagraph"/>
              <w:spacing w:before="135"/>
              <w:ind w:left="114"/>
              <w:rPr>
                <w:sz w:val="20"/>
              </w:rPr>
            </w:pPr>
            <w:r>
              <w:rPr>
                <w:sz w:val="20"/>
              </w:rPr>
              <w:t>1937–2015</w:t>
            </w:r>
          </w:p>
        </w:tc>
        <w:tc>
          <w:tcPr>
            <w:tcW w:w="3421" w:type="dxa"/>
          </w:tcPr>
          <w:p w14:paraId="28C881A8" w14:textId="77777777" w:rsidR="0046798B" w:rsidRDefault="00903B5C">
            <w:pPr>
              <w:pStyle w:val="TableParagraph"/>
              <w:spacing w:before="158"/>
              <w:ind w:left="114" w:right="306"/>
              <w:rPr>
                <w:sz w:val="20"/>
              </w:rPr>
            </w:pPr>
            <w:r>
              <w:rPr>
                <w:sz w:val="20"/>
              </w:rPr>
              <w:t>Mandatory alcoholic beverage server training law (0 = none, 0.5 = manager/licensee only, 1 = server)</w:t>
            </w:r>
          </w:p>
        </w:tc>
        <w:tc>
          <w:tcPr>
            <w:tcW w:w="6482" w:type="dxa"/>
          </w:tcPr>
          <w:p w14:paraId="2F22D543"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6827DE6" w14:textId="77777777">
        <w:trPr>
          <w:trHeight w:val="1695"/>
        </w:trPr>
        <w:tc>
          <w:tcPr>
            <w:tcW w:w="1711" w:type="dxa"/>
          </w:tcPr>
          <w:p w14:paraId="79337148" w14:textId="77777777" w:rsidR="0046798B" w:rsidRDefault="0046798B">
            <w:pPr>
              <w:pStyle w:val="TableParagraph"/>
            </w:pPr>
          </w:p>
          <w:p w14:paraId="458DCF6B" w14:textId="77777777" w:rsidR="0046798B" w:rsidRDefault="0046798B">
            <w:pPr>
              <w:pStyle w:val="TableParagraph"/>
            </w:pPr>
          </w:p>
          <w:p w14:paraId="6C5B03E0" w14:textId="77777777" w:rsidR="0046798B" w:rsidRDefault="0046798B">
            <w:pPr>
              <w:pStyle w:val="TableParagraph"/>
              <w:spacing w:before="9"/>
              <w:rPr>
                <w:sz w:val="19"/>
              </w:rPr>
            </w:pPr>
          </w:p>
          <w:p w14:paraId="7AB09791" w14:textId="77777777" w:rsidR="0046798B" w:rsidRDefault="00903B5C">
            <w:pPr>
              <w:pStyle w:val="TableParagraph"/>
              <w:ind w:left="115"/>
              <w:rPr>
                <w:b/>
                <w:sz w:val="20"/>
              </w:rPr>
            </w:pPr>
            <w:r>
              <w:rPr>
                <w:b/>
                <w:sz w:val="20"/>
              </w:rPr>
              <w:t>cwret</w:t>
            </w:r>
          </w:p>
        </w:tc>
        <w:tc>
          <w:tcPr>
            <w:tcW w:w="1596" w:type="dxa"/>
          </w:tcPr>
          <w:p w14:paraId="63B384CB" w14:textId="77777777" w:rsidR="0046798B" w:rsidRDefault="0046798B">
            <w:pPr>
              <w:pStyle w:val="TableParagraph"/>
            </w:pPr>
          </w:p>
          <w:p w14:paraId="78FA47F8" w14:textId="77777777" w:rsidR="0046798B" w:rsidRDefault="00903B5C">
            <w:pPr>
              <w:pStyle w:val="TableParagraph"/>
              <w:spacing w:before="135"/>
              <w:ind w:left="114"/>
              <w:rPr>
                <w:sz w:val="20"/>
              </w:rPr>
            </w:pPr>
            <w:r>
              <w:rPr>
                <w:sz w:val="20"/>
              </w:rPr>
              <w:t>Exclusive state control of retail sales of some types of wine</w:t>
            </w:r>
          </w:p>
        </w:tc>
        <w:tc>
          <w:tcPr>
            <w:tcW w:w="1285" w:type="dxa"/>
          </w:tcPr>
          <w:p w14:paraId="34A7E856" w14:textId="77777777" w:rsidR="0046798B" w:rsidRDefault="0046798B">
            <w:pPr>
              <w:pStyle w:val="TableParagraph"/>
            </w:pPr>
          </w:p>
          <w:p w14:paraId="2888ECCE" w14:textId="77777777" w:rsidR="0046798B" w:rsidRDefault="0046798B">
            <w:pPr>
              <w:pStyle w:val="TableParagraph"/>
            </w:pPr>
          </w:p>
          <w:p w14:paraId="27F17234" w14:textId="77777777" w:rsidR="0046798B" w:rsidRDefault="0046798B">
            <w:pPr>
              <w:pStyle w:val="TableParagraph"/>
              <w:spacing w:before="9"/>
              <w:rPr>
                <w:sz w:val="19"/>
              </w:rPr>
            </w:pPr>
          </w:p>
          <w:p w14:paraId="74B706C9" w14:textId="77777777" w:rsidR="0046798B" w:rsidRDefault="00903B5C">
            <w:pPr>
              <w:pStyle w:val="TableParagraph"/>
              <w:ind w:left="114"/>
              <w:rPr>
                <w:sz w:val="20"/>
              </w:rPr>
            </w:pPr>
            <w:r>
              <w:rPr>
                <w:sz w:val="20"/>
              </w:rPr>
              <w:t>1937–2015</w:t>
            </w:r>
          </w:p>
        </w:tc>
        <w:tc>
          <w:tcPr>
            <w:tcW w:w="3421" w:type="dxa"/>
          </w:tcPr>
          <w:p w14:paraId="2C8C3B51" w14:textId="77777777" w:rsidR="0046798B" w:rsidRDefault="00903B5C">
            <w:pPr>
              <w:pStyle w:val="TableParagraph"/>
              <w:spacing w:before="43"/>
              <w:ind w:left="114" w:right="122"/>
              <w:rPr>
                <w:sz w:val="20"/>
              </w:rPr>
            </w:pPr>
            <w:r>
              <w:rPr>
                <w:sz w:val="20"/>
              </w:rPr>
              <w:t>Exclusive state control of retail sales of some types of wine</w:t>
            </w:r>
          </w:p>
          <w:p w14:paraId="1ACC544A" w14:textId="77777777" w:rsidR="0046798B" w:rsidRDefault="0046798B">
            <w:pPr>
              <w:pStyle w:val="TableParagraph"/>
              <w:rPr>
                <w:sz w:val="20"/>
              </w:rPr>
            </w:pPr>
          </w:p>
          <w:p w14:paraId="2BCA67C3" w14:textId="77777777" w:rsidR="0046798B" w:rsidRDefault="00903B5C">
            <w:pPr>
              <w:pStyle w:val="TableParagraph"/>
              <w:spacing w:before="1"/>
              <w:ind w:left="114" w:right="285"/>
              <w:rPr>
                <w:sz w:val="20"/>
              </w:rPr>
            </w:pPr>
            <w:r>
              <w:rPr>
                <w:sz w:val="20"/>
              </w:rPr>
              <w:t>0 = no, 1 = yes; +1.5 = near-absolute on-premises prohibition, +0.5 = on- premises limitation (restaurants, bars, private clubs)</w:t>
            </w:r>
          </w:p>
        </w:tc>
        <w:tc>
          <w:tcPr>
            <w:tcW w:w="6482" w:type="dxa"/>
          </w:tcPr>
          <w:p w14:paraId="0EFB6541" w14:textId="77777777" w:rsidR="0046798B" w:rsidRDefault="0046798B">
            <w:pPr>
              <w:pStyle w:val="TableParagraph"/>
            </w:pPr>
          </w:p>
          <w:p w14:paraId="5D68380B" w14:textId="77777777" w:rsidR="0046798B" w:rsidRDefault="0046798B">
            <w:pPr>
              <w:pStyle w:val="TableParagraph"/>
              <w:spacing w:before="9"/>
              <w:rPr>
                <w:sz w:val="21"/>
              </w:rPr>
            </w:pPr>
          </w:p>
          <w:p w14:paraId="023AD824"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B608DC3" w14:textId="77777777">
        <w:trPr>
          <w:trHeight w:val="1700"/>
        </w:trPr>
        <w:tc>
          <w:tcPr>
            <w:tcW w:w="1711" w:type="dxa"/>
          </w:tcPr>
          <w:p w14:paraId="7724A976" w14:textId="77777777" w:rsidR="0046798B" w:rsidRDefault="0046798B">
            <w:pPr>
              <w:pStyle w:val="TableParagraph"/>
            </w:pPr>
          </w:p>
          <w:p w14:paraId="5485FA98" w14:textId="77777777" w:rsidR="0046798B" w:rsidRDefault="0046798B">
            <w:pPr>
              <w:pStyle w:val="TableParagraph"/>
            </w:pPr>
          </w:p>
          <w:p w14:paraId="32EB7442" w14:textId="77777777" w:rsidR="0046798B" w:rsidRDefault="0046798B">
            <w:pPr>
              <w:pStyle w:val="TableParagraph"/>
              <w:spacing w:before="9"/>
              <w:rPr>
                <w:sz w:val="19"/>
              </w:rPr>
            </w:pPr>
          </w:p>
          <w:p w14:paraId="0DD7D60E" w14:textId="77777777" w:rsidR="0046798B" w:rsidRDefault="00903B5C">
            <w:pPr>
              <w:pStyle w:val="TableParagraph"/>
              <w:ind w:left="115"/>
              <w:rPr>
                <w:b/>
                <w:sz w:val="20"/>
              </w:rPr>
            </w:pPr>
            <w:r>
              <w:rPr>
                <w:b/>
                <w:sz w:val="20"/>
              </w:rPr>
              <w:t>cwwhol</w:t>
            </w:r>
          </w:p>
        </w:tc>
        <w:tc>
          <w:tcPr>
            <w:tcW w:w="1596" w:type="dxa"/>
          </w:tcPr>
          <w:p w14:paraId="2C3B94E7" w14:textId="77777777" w:rsidR="0046798B" w:rsidRDefault="0046798B">
            <w:pPr>
              <w:pStyle w:val="TableParagraph"/>
              <w:spacing w:before="9"/>
              <w:rPr>
                <w:sz w:val="23"/>
              </w:rPr>
            </w:pPr>
          </w:p>
          <w:p w14:paraId="04CC3624" w14:textId="77777777" w:rsidR="0046798B" w:rsidRDefault="00903B5C">
            <w:pPr>
              <w:pStyle w:val="TableParagraph"/>
              <w:ind w:left="114" w:right="138"/>
              <w:rPr>
                <w:sz w:val="20"/>
              </w:rPr>
            </w:pPr>
            <w:r>
              <w:rPr>
                <w:sz w:val="20"/>
              </w:rPr>
              <w:t xml:space="preserve">Exclusive state control of wholesale sale of some types </w:t>
            </w:r>
            <w:r>
              <w:rPr>
                <w:spacing w:val="-8"/>
                <w:sz w:val="20"/>
              </w:rPr>
              <w:t xml:space="preserve">of </w:t>
            </w:r>
            <w:r>
              <w:rPr>
                <w:sz w:val="20"/>
              </w:rPr>
              <w:t>wine</w:t>
            </w:r>
          </w:p>
        </w:tc>
        <w:tc>
          <w:tcPr>
            <w:tcW w:w="1285" w:type="dxa"/>
          </w:tcPr>
          <w:p w14:paraId="2945BCD9" w14:textId="77777777" w:rsidR="0046798B" w:rsidRDefault="0046798B">
            <w:pPr>
              <w:pStyle w:val="TableParagraph"/>
            </w:pPr>
          </w:p>
          <w:p w14:paraId="736AAC64" w14:textId="77777777" w:rsidR="0046798B" w:rsidRDefault="0046798B">
            <w:pPr>
              <w:pStyle w:val="TableParagraph"/>
            </w:pPr>
          </w:p>
          <w:p w14:paraId="5E64772E" w14:textId="77777777" w:rsidR="0046798B" w:rsidRDefault="0046798B">
            <w:pPr>
              <w:pStyle w:val="TableParagraph"/>
              <w:spacing w:before="9"/>
              <w:rPr>
                <w:sz w:val="19"/>
              </w:rPr>
            </w:pPr>
          </w:p>
          <w:p w14:paraId="4F3D0D7B" w14:textId="77777777" w:rsidR="0046798B" w:rsidRDefault="00903B5C">
            <w:pPr>
              <w:pStyle w:val="TableParagraph"/>
              <w:ind w:left="114"/>
              <w:rPr>
                <w:sz w:val="20"/>
              </w:rPr>
            </w:pPr>
            <w:r>
              <w:rPr>
                <w:sz w:val="20"/>
              </w:rPr>
              <w:t>1937–2015</w:t>
            </w:r>
          </w:p>
        </w:tc>
        <w:tc>
          <w:tcPr>
            <w:tcW w:w="3421" w:type="dxa"/>
          </w:tcPr>
          <w:p w14:paraId="743B057E" w14:textId="77777777" w:rsidR="0046798B" w:rsidRDefault="00903B5C">
            <w:pPr>
              <w:pStyle w:val="TableParagraph"/>
              <w:spacing w:before="43"/>
              <w:ind w:left="114" w:right="389"/>
              <w:rPr>
                <w:sz w:val="20"/>
              </w:rPr>
            </w:pPr>
            <w:r>
              <w:rPr>
                <w:sz w:val="20"/>
              </w:rPr>
              <w:t>Exclusive state control of wholesale sale of some types of wine</w:t>
            </w:r>
          </w:p>
          <w:p w14:paraId="174E9C80" w14:textId="77777777" w:rsidR="0046798B" w:rsidRDefault="0046798B">
            <w:pPr>
              <w:pStyle w:val="TableParagraph"/>
              <w:rPr>
                <w:sz w:val="20"/>
              </w:rPr>
            </w:pPr>
          </w:p>
          <w:p w14:paraId="3DD6995E" w14:textId="77777777" w:rsidR="0046798B" w:rsidRDefault="00903B5C">
            <w:pPr>
              <w:pStyle w:val="TableParagraph"/>
              <w:ind w:left="114" w:right="285"/>
              <w:rPr>
                <w:sz w:val="20"/>
              </w:rPr>
            </w:pPr>
            <w:r>
              <w:rPr>
                <w:sz w:val="20"/>
              </w:rPr>
              <w:t>0 = no, 1 = yes; +1.5 = near-absolute on-premises prohibition, +0.5 = on- premises limitation (restaurants, bars, private clubs)</w:t>
            </w:r>
          </w:p>
        </w:tc>
        <w:tc>
          <w:tcPr>
            <w:tcW w:w="6482" w:type="dxa"/>
          </w:tcPr>
          <w:p w14:paraId="6CC66DD5" w14:textId="77777777" w:rsidR="0046798B" w:rsidRDefault="0046798B">
            <w:pPr>
              <w:pStyle w:val="TableParagraph"/>
            </w:pPr>
          </w:p>
          <w:p w14:paraId="1370778C" w14:textId="77777777" w:rsidR="0046798B" w:rsidRDefault="0046798B">
            <w:pPr>
              <w:pStyle w:val="TableParagraph"/>
              <w:spacing w:before="9"/>
              <w:rPr>
                <w:sz w:val="21"/>
              </w:rPr>
            </w:pPr>
          </w:p>
          <w:p w14:paraId="5CA6F060"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E10686E" w14:textId="77777777">
        <w:trPr>
          <w:trHeight w:val="1005"/>
        </w:trPr>
        <w:tc>
          <w:tcPr>
            <w:tcW w:w="1711" w:type="dxa"/>
          </w:tcPr>
          <w:p w14:paraId="122B211F" w14:textId="77777777" w:rsidR="0046798B" w:rsidRDefault="0046798B">
            <w:pPr>
              <w:pStyle w:val="TableParagraph"/>
            </w:pPr>
          </w:p>
          <w:p w14:paraId="1BA26D58" w14:textId="77777777" w:rsidR="0046798B" w:rsidRDefault="00903B5C">
            <w:pPr>
              <w:pStyle w:val="TableParagraph"/>
              <w:spacing w:before="130"/>
              <w:ind w:left="115"/>
              <w:rPr>
                <w:b/>
                <w:sz w:val="20"/>
              </w:rPr>
            </w:pPr>
            <w:r>
              <w:rPr>
                <w:b/>
                <w:sz w:val="20"/>
              </w:rPr>
              <w:t>cpbeer</w:t>
            </w:r>
          </w:p>
        </w:tc>
        <w:tc>
          <w:tcPr>
            <w:tcW w:w="1596" w:type="dxa"/>
          </w:tcPr>
          <w:p w14:paraId="41497C98" w14:textId="77777777" w:rsidR="0046798B" w:rsidRDefault="00903B5C">
            <w:pPr>
              <w:pStyle w:val="TableParagraph"/>
              <w:spacing w:before="38"/>
              <w:ind w:left="114" w:right="207"/>
              <w:rPr>
                <w:sz w:val="20"/>
              </w:rPr>
            </w:pPr>
            <w:r>
              <w:rPr>
                <w:sz w:val="20"/>
              </w:rPr>
              <w:t>ACCRA beer prices, adjusted annual state average</w:t>
            </w:r>
          </w:p>
        </w:tc>
        <w:tc>
          <w:tcPr>
            <w:tcW w:w="1285" w:type="dxa"/>
          </w:tcPr>
          <w:p w14:paraId="3B3DB2D4" w14:textId="77777777" w:rsidR="0046798B" w:rsidRDefault="0046798B">
            <w:pPr>
              <w:pStyle w:val="TableParagraph"/>
            </w:pPr>
          </w:p>
          <w:p w14:paraId="4902402A" w14:textId="77777777" w:rsidR="0046798B" w:rsidRDefault="00903B5C">
            <w:pPr>
              <w:pStyle w:val="TableParagraph"/>
              <w:spacing w:before="130"/>
              <w:ind w:left="114"/>
              <w:rPr>
                <w:sz w:val="20"/>
              </w:rPr>
            </w:pPr>
            <w:r>
              <w:rPr>
                <w:sz w:val="20"/>
              </w:rPr>
              <w:t>1982–2003</w:t>
            </w:r>
          </w:p>
        </w:tc>
        <w:tc>
          <w:tcPr>
            <w:tcW w:w="3421" w:type="dxa"/>
          </w:tcPr>
          <w:p w14:paraId="76645A3B" w14:textId="77777777" w:rsidR="0046798B" w:rsidRDefault="00903B5C">
            <w:pPr>
              <w:pStyle w:val="TableParagraph"/>
              <w:spacing w:before="153"/>
              <w:ind w:left="114" w:right="161"/>
              <w:rPr>
                <w:sz w:val="20"/>
              </w:rPr>
            </w:pPr>
            <w:r>
              <w:rPr>
                <w:sz w:val="20"/>
              </w:rPr>
              <w:t>ACCRA (American Chamber of Commerce Research Association) beer prices, adjusted annual state average</w:t>
            </w:r>
          </w:p>
        </w:tc>
        <w:tc>
          <w:tcPr>
            <w:tcW w:w="6482" w:type="dxa"/>
          </w:tcPr>
          <w:p w14:paraId="02E67483" w14:textId="77777777" w:rsidR="0046798B" w:rsidRDefault="00903B5C">
            <w:pPr>
              <w:pStyle w:val="TableParagraph"/>
              <w:spacing w:before="15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8B797D5" w14:textId="77777777">
        <w:trPr>
          <w:trHeight w:val="1005"/>
        </w:trPr>
        <w:tc>
          <w:tcPr>
            <w:tcW w:w="1711" w:type="dxa"/>
          </w:tcPr>
          <w:p w14:paraId="36832F90" w14:textId="77777777" w:rsidR="0046798B" w:rsidRDefault="0046798B">
            <w:pPr>
              <w:pStyle w:val="TableParagraph"/>
            </w:pPr>
          </w:p>
          <w:p w14:paraId="61C46B7F" w14:textId="77777777" w:rsidR="0046798B" w:rsidRDefault="00903B5C">
            <w:pPr>
              <w:pStyle w:val="TableParagraph"/>
              <w:spacing w:before="130"/>
              <w:ind w:left="115"/>
              <w:rPr>
                <w:b/>
                <w:sz w:val="20"/>
              </w:rPr>
            </w:pPr>
            <w:r>
              <w:rPr>
                <w:b/>
                <w:sz w:val="20"/>
              </w:rPr>
              <w:t>cpbeerc</w:t>
            </w:r>
          </w:p>
        </w:tc>
        <w:tc>
          <w:tcPr>
            <w:tcW w:w="1596" w:type="dxa"/>
          </w:tcPr>
          <w:p w14:paraId="475CCC37" w14:textId="77777777" w:rsidR="0046798B" w:rsidRDefault="00903B5C">
            <w:pPr>
              <w:pStyle w:val="TableParagraph"/>
              <w:spacing w:before="38"/>
              <w:ind w:left="114" w:right="340"/>
              <w:jc w:val="both"/>
              <w:rPr>
                <w:sz w:val="20"/>
              </w:rPr>
            </w:pPr>
            <w:r>
              <w:rPr>
                <w:sz w:val="20"/>
              </w:rPr>
              <w:t>State average beer prices, in constant 2008 dollars</w:t>
            </w:r>
          </w:p>
        </w:tc>
        <w:tc>
          <w:tcPr>
            <w:tcW w:w="1285" w:type="dxa"/>
          </w:tcPr>
          <w:p w14:paraId="4E133518" w14:textId="77777777" w:rsidR="0046798B" w:rsidRDefault="0046798B">
            <w:pPr>
              <w:pStyle w:val="TableParagraph"/>
            </w:pPr>
          </w:p>
          <w:p w14:paraId="51E8AEC3" w14:textId="77777777" w:rsidR="0046798B" w:rsidRDefault="00903B5C">
            <w:pPr>
              <w:pStyle w:val="TableParagraph"/>
              <w:spacing w:before="130"/>
              <w:ind w:left="114"/>
              <w:rPr>
                <w:sz w:val="20"/>
              </w:rPr>
            </w:pPr>
            <w:r>
              <w:rPr>
                <w:sz w:val="20"/>
              </w:rPr>
              <w:t>1982–2003</w:t>
            </w:r>
          </w:p>
        </w:tc>
        <w:tc>
          <w:tcPr>
            <w:tcW w:w="3421" w:type="dxa"/>
          </w:tcPr>
          <w:p w14:paraId="66854EE5" w14:textId="77777777" w:rsidR="0046798B" w:rsidRDefault="0046798B">
            <w:pPr>
              <w:pStyle w:val="TableParagraph"/>
              <w:spacing w:before="3"/>
              <w:rPr>
                <w:sz w:val="23"/>
              </w:rPr>
            </w:pPr>
          </w:p>
          <w:p w14:paraId="2330A227" w14:textId="77777777" w:rsidR="0046798B" w:rsidRDefault="00903B5C">
            <w:pPr>
              <w:pStyle w:val="TableParagraph"/>
              <w:spacing w:before="1"/>
              <w:ind w:left="114" w:right="311"/>
              <w:rPr>
                <w:sz w:val="20"/>
              </w:rPr>
            </w:pPr>
            <w:r>
              <w:rPr>
                <w:sz w:val="20"/>
              </w:rPr>
              <w:t>State average beer prices, in constant 2008 dollars</w:t>
            </w:r>
          </w:p>
        </w:tc>
        <w:tc>
          <w:tcPr>
            <w:tcW w:w="6482" w:type="dxa"/>
          </w:tcPr>
          <w:p w14:paraId="1BC9686B" w14:textId="77777777" w:rsidR="0046798B" w:rsidRDefault="00903B5C">
            <w:pPr>
              <w:pStyle w:val="TableParagraph"/>
              <w:spacing w:before="15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BB61825" w14:textId="77777777">
        <w:trPr>
          <w:trHeight w:val="1005"/>
        </w:trPr>
        <w:tc>
          <w:tcPr>
            <w:tcW w:w="1711" w:type="dxa"/>
          </w:tcPr>
          <w:p w14:paraId="56487A61" w14:textId="77777777" w:rsidR="0046798B" w:rsidRDefault="0046798B">
            <w:pPr>
              <w:pStyle w:val="TableParagraph"/>
            </w:pPr>
          </w:p>
          <w:p w14:paraId="358BB753" w14:textId="77777777" w:rsidR="0046798B" w:rsidRDefault="00903B5C">
            <w:pPr>
              <w:pStyle w:val="TableParagraph"/>
              <w:spacing w:before="130"/>
              <w:ind w:left="115"/>
              <w:rPr>
                <w:b/>
                <w:sz w:val="20"/>
              </w:rPr>
            </w:pPr>
            <w:r>
              <w:rPr>
                <w:b/>
                <w:sz w:val="20"/>
              </w:rPr>
              <w:t>cpspirits</w:t>
            </w:r>
          </w:p>
        </w:tc>
        <w:tc>
          <w:tcPr>
            <w:tcW w:w="1596" w:type="dxa"/>
          </w:tcPr>
          <w:p w14:paraId="4C04CE0F" w14:textId="77777777" w:rsidR="0046798B" w:rsidRDefault="00903B5C">
            <w:pPr>
              <w:pStyle w:val="TableParagraph"/>
              <w:spacing w:before="39"/>
              <w:ind w:left="114" w:right="207"/>
              <w:rPr>
                <w:sz w:val="20"/>
              </w:rPr>
            </w:pPr>
            <w:r>
              <w:rPr>
                <w:sz w:val="20"/>
              </w:rPr>
              <w:t>ACCRA spirits prices, adjusted annual state average</w:t>
            </w:r>
          </w:p>
        </w:tc>
        <w:tc>
          <w:tcPr>
            <w:tcW w:w="1285" w:type="dxa"/>
          </w:tcPr>
          <w:p w14:paraId="6F61E64B" w14:textId="77777777" w:rsidR="0046798B" w:rsidRDefault="0046798B">
            <w:pPr>
              <w:pStyle w:val="TableParagraph"/>
            </w:pPr>
          </w:p>
          <w:p w14:paraId="19CCCB14" w14:textId="77777777" w:rsidR="0046798B" w:rsidRDefault="00903B5C">
            <w:pPr>
              <w:pStyle w:val="TableParagraph"/>
              <w:spacing w:before="130"/>
              <w:ind w:left="114"/>
              <w:rPr>
                <w:sz w:val="20"/>
              </w:rPr>
            </w:pPr>
            <w:r>
              <w:rPr>
                <w:sz w:val="20"/>
              </w:rPr>
              <w:t>1973–2003</w:t>
            </w:r>
          </w:p>
        </w:tc>
        <w:tc>
          <w:tcPr>
            <w:tcW w:w="3421" w:type="dxa"/>
          </w:tcPr>
          <w:p w14:paraId="60976D3E" w14:textId="77777777" w:rsidR="0046798B" w:rsidRDefault="0046798B">
            <w:pPr>
              <w:pStyle w:val="TableParagraph"/>
              <w:spacing w:before="4"/>
              <w:rPr>
                <w:sz w:val="23"/>
              </w:rPr>
            </w:pPr>
          </w:p>
          <w:p w14:paraId="2C46DF75" w14:textId="77777777" w:rsidR="0046798B" w:rsidRDefault="00903B5C">
            <w:pPr>
              <w:pStyle w:val="TableParagraph"/>
              <w:ind w:left="114" w:right="171"/>
              <w:rPr>
                <w:sz w:val="20"/>
              </w:rPr>
            </w:pPr>
            <w:r>
              <w:rPr>
                <w:sz w:val="20"/>
              </w:rPr>
              <w:t>ACCRA spirits prices, adjusted annual state average</w:t>
            </w:r>
          </w:p>
        </w:tc>
        <w:tc>
          <w:tcPr>
            <w:tcW w:w="6482" w:type="dxa"/>
          </w:tcPr>
          <w:p w14:paraId="35F74F9D" w14:textId="77777777" w:rsidR="0046798B" w:rsidRDefault="00903B5C">
            <w:pPr>
              <w:pStyle w:val="TableParagraph"/>
              <w:spacing w:before="154"/>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B733D12" w14:textId="77777777">
        <w:trPr>
          <w:trHeight w:val="1005"/>
        </w:trPr>
        <w:tc>
          <w:tcPr>
            <w:tcW w:w="1711" w:type="dxa"/>
          </w:tcPr>
          <w:p w14:paraId="43C922AD" w14:textId="77777777" w:rsidR="0046798B" w:rsidRDefault="0046798B">
            <w:pPr>
              <w:pStyle w:val="TableParagraph"/>
            </w:pPr>
          </w:p>
          <w:p w14:paraId="16441B98" w14:textId="77777777" w:rsidR="0046798B" w:rsidRDefault="00903B5C">
            <w:pPr>
              <w:pStyle w:val="TableParagraph"/>
              <w:spacing w:before="135"/>
              <w:ind w:left="115"/>
              <w:rPr>
                <w:b/>
                <w:sz w:val="20"/>
              </w:rPr>
            </w:pPr>
            <w:r>
              <w:rPr>
                <w:b/>
                <w:sz w:val="20"/>
              </w:rPr>
              <w:t>cpspiritsc</w:t>
            </w:r>
          </w:p>
        </w:tc>
        <w:tc>
          <w:tcPr>
            <w:tcW w:w="1596" w:type="dxa"/>
          </w:tcPr>
          <w:p w14:paraId="4DE35A67" w14:textId="77777777" w:rsidR="0046798B" w:rsidRDefault="00903B5C">
            <w:pPr>
              <w:pStyle w:val="TableParagraph"/>
              <w:spacing w:before="43"/>
              <w:ind w:left="114" w:right="179"/>
              <w:rPr>
                <w:sz w:val="20"/>
              </w:rPr>
            </w:pPr>
            <w:r>
              <w:rPr>
                <w:sz w:val="20"/>
              </w:rPr>
              <w:t>State average spirits prices, in constant 2008 dollars</w:t>
            </w:r>
          </w:p>
        </w:tc>
        <w:tc>
          <w:tcPr>
            <w:tcW w:w="1285" w:type="dxa"/>
          </w:tcPr>
          <w:p w14:paraId="26100680" w14:textId="77777777" w:rsidR="0046798B" w:rsidRDefault="0046798B">
            <w:pPr>
              <w:pStyle w:val="TableParagraph"/>
            </w:pPr>
          </w:p>
          <w:p w14:paraId="4FD61140" w14:textId="77777777" w:rsidR="0046798B" w:rsidRDefault="00903B5C">
            <w:pPr>
              <w:pStyle w:val="TableParagraph"/>
              <w:spacing w:before="135"/>
              <w:ind w:left="114"/>
              <w:rPr>
                <w:sz w:val="20"/>
              </w:rPr>
            </w:pPr>
            <w:r>
              <w:rPr>
                <w:sz w:val="20"/>
              </w:rPr>
              <w:t>1973–2003</w:t>
            </w:r>
          </w:p>
        </w:tc>
        <w:tc>
          <w:tcPr>
            <w:tcW w:w="3421" w:type="dxa"/>
          </w:tcPr>
          <w:p w14:paraId="6260994B" w14:textId="77777777" w:rsidR="0046798B" w:rsidRDefault="0046798B">
            <w:pPr>
              <w:pStyle w:val="TableParagraph"/>
              <w:spacing w:before="9"/>
              <w:rPr>
                <w:sz w:val="23"/>
              </w:rPr>
            </w:pPr>
          </w:p>
          <w:p w14:paraId="2EE5B24E" w14:textId="77777777" w:rsidR="0046798B" w:rsidRDefault="00903B5C">
            <w:pPr>
              <w:pStyle w:val="TableParagraph"/>
              <w:ind w:left="114" w:right="166"/>
              <w:rPr>
                <w:sz w:val="20"/>
              </w:rPr>
            </w:pPr>
            <w:r>
              <w:rPr>
                <w:sz w:val="20"/>
              </w:rPr>
              <w:t>State average spirits prices, in constant 2008 dollars</w:t>
            </w:r>
          </w:p>
        </w:tc>
        <w:tc>
          <w:tcPr>
            <w:tcW w:w="6482" w:type="dxa"/>
          </w:tcPr>
          <w:p w14:paraId="3CF62EEE"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7EB5D1D" w14:textId="77777777">
        <w:trPr>
          <w:trHeight w:val="775"/>
        </w:trPr>
        <w:tc>
          <w:tcPr>
            <w:tcW w:w="1711" w:type="dxa"/>
          </w:tcPr>
          <w:p w14:paraId="1EFAC8DD" w14:textId="77777777" w:rsidR="0046798B" w:rsidRDefault="0046798B">
            <w:pPr>
              <w:pStyle w:val="TableParagraph"/>
              <w:spacing w:before="8"/>
              <w:rPr>
                <w:sz w:val="23"/>
              </w:rPr>
            </w:pPr>
          </w:p>
          <w:p w14:paraId="15F87A4A" w14:textId="77777777" w:rsidR="0046798B" w:rsidRDefault="00903B5C">
            <w:pPr>
              <w:pStyle w:val="TableParagraph"/>
              <w:spacing w:before="1"/>
              <w:ind w:left="115"/>
              <w:rPr>
                <w:b/>
                <w:sz w:val="20"/>
              </w:rPr>
            </w:pPr>
            <w:r>
              <w:rPr>
                <w:b/>
                <w:sz w:val="20"/>
              </w:rPr>
              <w:t>cpwine</w:t>
            </w:r>
          </w:p>
        </w:tc>
        <w:tc>
          <w:tcPr>
            <w:tcW w:w="1596" w:type="dxa"/>
          </w:tcPr>
          <w:p w14:paraId="78781E9A" w14:textId="77777777" w:rsidR="0046798B" w:rsidRDefault="00903B5C">
            <w:pPr>
              <w:pStyle w:val="TableParagraph"/>
              <w:spacing w:before="158"/>
              <w:ind w:left="114" w:right="207"/>
              <w:rPr>
                <w:sz w:val="20"/>
              </w:rPr>
            </w:pPr>
            <w:r>
              <w:rPr>
                <w:sz w:val="20"/>
              </w:rPr>
              <w:t>ACCRA wine prices, adjusted</w:t>
            </w:r>
          </w:p>
        </w:tc>
        <w:tc>
          <w:tcPr>
            <w:tcW w:w="1285" w:type="dxa"/>
          </w:tcPr>
          <w:p w14:paraId="333B0337" w14:textId="77777777" w:rsidR="0046798B" w:rsidRDefault="0046798B">
            <w:pPr>
              <w:pStyle w:val="TableParagraph"/>
              <w:spacing w:before="8"/>
              <w:rPr>
                <w:sz w:val="23"/>
              </w:rPr>
            </w:pPr>
          </w:p>
          <w:p w14:paraId="79F725D3" w14:textId="77777777" w:rsidR="0046798B" w:rsidRDefault="00903B5C">
            <w:pPr>
              <w:pStyle w:val="TableParagraph"/>
              <w:spacing w:before="1"/>
              <w:ind w:left="114"/>
              <w:rPr>
                <w:sz w:val="20"/>
              </w:rPr>
            </w:pPr>
            <w:r>
              <w:rPr>
                <w:sz w:val="20"/>
              </w:rPr>
              <w:t>1982–2003</w:t>
            </w:r>
          </w:p>
        </w:tc>
        <w:tc>
          <w:tcPr>
            <w:tcW w:w="3421" w:type="dxa"/>
          </w:tcPr>
          <w:p w14:paraId="19730F7C" w14:textId="77777777" w:rsidR="0046798B" w:rsidRDefault="00903B5C">
            <w:pPr>
              <w:pStyle w:val="TableParagraph"/>
              <w:spacing w:before="158"/>
              <w:ind w:left="114" w:right="272"/>
              <w:rPr>
                <w:sz w:val="20"/>
              </w:rPr>
            </w:pPr>
            <w:r>
              <w:rPr>
                <w:sz w:val="20"/>
              </w:rPr>
              <w:t>ACCRA wine prices, adjusted annual state average</w:t>
            </w:r>
          </w:p>
        </w:tc>
        <w:tc>
          <w:tcPr>
            <w:tcW w:w="6482" w:type="dxa"/>
          </w:tcPr>
          <w:p w14:paraId="6E25B706"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5B5FE5CB" w14:textId="77777777" w:rsidR="0046798B" w:rsidRDefault="0046798B">
      <w:pPr>
        <w:rPr>
          <w:sz w:val="20"/>
        </w:rPr>
        <w:sectPr w:rsidR="0046798B">
          <w:pgSz w:w="15840" w:h="12240" w:orient="landscape"/>
          <w:pgMar w:top="1220" w:right="300" w:bottom="980" w:left="820" w:header="730" w:footer="787" w:gutter="0"/>
          <w:cols w:space="720"/>
        </w:sectPr>
      </w:pPr>
    </w:p>
    <w:p w14:paraId="08FF88CC"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5C5A22C" w14:textId="77777777">
        <w:trPr>
          <w:trHeight w:val="542"/>
        </w:trPr>
        <w:tc>
          <w:tcPr>
            <w:tcW w:w="1711" w:type="dxa"/>
            <w:tcBorders>
              <w:bottom w:val="dotted" w:sz="6" w:space="0" w:color="BEBEBE"/>
            </w:tcBorders>
          </w:tcPr>
          <w:p w14:paraId="4E2FAABD" w14:textId="77777777" w:rsidR="0046798B" w:rsidRDefault="0046798B">
            <w:pPr>
              <w:pStyle w:val="TableParagraph"/>
              <w:rPr>
                <w:sz w:val="20"/>
              </w:rPr>
            </w:pPr>
          </w:p>
        </w:tc>
        <w:tc>
          <w:tcPr>
            <w:tcW w:w="1596" w:type="dxa"/>
            <w:tcBorders>
              <w:bottom w:val="dotted" w:sz="6" w:space="0" w:color="BEBEBE"/>
            </w:tcBorders>
          </w:tcPr>
          <w:p w14:paraId="15B5EA15" w14:textId="77777777" w:rsidR="0046798B" w:rsidRDefault="00903B5C">
            <w:pPr>
              <w:pStyle w:val="TableParagraph"/>
              <w:spacing w:before="43"/>
              <w:ind w:left="114" w:right="502"/>
              <w:rPr>
                <w:sz w:val="20"/>
              </w:rPr>
            </w:pPr>
            <w:r>
              <w:rPr>
                <w:sz w:val="20"/>
              </w:rPr>
              <w:t>annual state average</w:t>
            </w:r>
          </w:p>
        </w:tc>
        <w:tc>
          <w:tcPr>
            <w:tcW w:w="1285" w:type="dxa"/>
            <w:tcBorders>
              <w:bottom w:val="dotted" w:sz="6" w:space="0" w:color="BEBEBE"/>
            </w:tcBorders>
          </w:tcPr>
          <w:p w14:paraId="7EE1DDCC" w14:textId="77777777" w:rsidR="0046798B" w:rsidRDefault="0046798B">
            <w:pPr>
              <w:pStyle w:val="TableParagraph"/>
              <w:rPr>
                <w:sz w:val="20"/>
              </w:rPr>
            </w:pPr>
          </w:p>
        </w:tc>
        <w:tc>
          <w:tcPr>
            <w:tcW w:w="3421" w:type="dxa"/>
            <w:tcBorders>
              <w:bottom w:val="dotted" w:sz="6" w:space="0" w:color="BEBEBE"/>
            </w:tcBorders>
          </w:tcPr>
          <w:p w14:paraId="3A06E7D3" w14:textId="77777777" w:rsidR="0046798B" w:rsidRDefault="0046798B">
            <w:pPr>
              <w:pStyle w:val="TableParagraph"/>
              <w:rPr>
                <w:sz w:val="20"/>
              </w:rPr>
            </w:pPr>
          </w:p>
        </w:tc>
        <w:tc>
          <w:tcPr>
            <w:tcW w:w="6482" w:type="dxa"/>
            <w:tcBorders>
              <w:bottom w:val="dotted" w:sz="6" w:space="0" w:color="BEBEBE"/>
            </w:tcBorders>
          </w:tcPr>
          <w:p w14:paraId="35F8684A" w14:textId="77777777" w:rsidR="0046798B" w:rsidRDefault="0046798B">
            <w:pPr>
              <w:pStyle w:val="TableParagraph"/>
              <w:rPr>
                <w:sz w:val="20"/>
              </w:rPr>
            </w:pPr>
          </w:p>
        </w:tc>
      </w:tr>
      <w:tr w:rsidR="0046798B" w14:paraId="3AE7441D" w14:textId="77777777">
        <w:trPr>
          <w:trHeight w:val="1002"/>
        </w:trPr>
        <w:tc>
          <w:tcPr>
            <w:tcW w:w="1711" w:type="dxa"/>
            <w:tcBorders>
              <w:top w:val="dotted" w:sz="6" w:space="0" w:color="BEBEBE"/>
            </w:tcBorders>
          </w:tcPr>
          <w:p w14:paraId="59EB29CE" w14:textId="77777777" w:rsidR="0046798B" w:rsidRDefault="0046798B">
            <w:pPr>
              <w:pStyle w:val="TableParagraph"/>
            </w:pPr>
          </w:p>
          <w:p w14:paraId="2DAFAA0A" w14:textId="77777777" w:rsidR="0046798B" w:rsidRDefault="00903B5C">
            <w:pPr>
              <w:pStyle w:val="TableParagraph"/>
              <w:spacing w:before="133"/>
              <w:ind w:left="115"/>
              <w:rPr>
                <w:b/>
                <w:sz w:val="20"/>
              </w:rPr>
            </w:pPr>
            <w:r>
              <w:rPr>
                <w:b/>
                <w:sz w:val="20"/>
              </w:rPr>
              <w:t>cpwinec</w:t>
            </w:r>
          </w:p>
        </w:tc>
        <w:tc>
          <w:tcPr>
            <w:tcW w:w="1596" w:type="dxa"/>
            <w:tcBorders>
              <w:top w:val="dotted" w:sz="6" w:space="0" w:color="BEBEBE"/>
            </w:tcBorders>
          </w:tcPr>
          <w:p w14:paraId="471B122E" w14:textId="77777777" w:rsidR="0046798B" w:rsidRDefault="00903B5C">
            <w:pPr>
              <w:pStyle w:val="TableParagraph"/>
              <w:spacing w:before="40"/>
              <w:ind w:left="114" w:right="280"/>
              <w:rPr>
                <w:sz w:val="20"/>
              </w:rPr>
            </w:pPr>
            <w:r>
              <w:rPr>
                <w:sz w:val="20"/>
              </w:rPr>
              <w:t>State average wine prices, in constant 2008 dollars</w:t>
            </w:r>
          </w:p>
        </w:tc>
        <w:tc>
          <w:tcPr>
            <w:tcW w:w="1285" w:type="dxa"/>
            <w:tcBorders>
              <w:top w:val="dotted" w:sz="6" w:space="0" w:color="BEBEBE"/>
            </w:tcBorders>
          </w:tcPr>
          <w:p w14:paraId="749552AA" w14:textId="77777777" w:rsidR="0046798B" w:rsidRDefault="0046798B">
            <w:pPr>
              <w:pStyle w:val="TableParagraph"/>
            </w:pPr>
          </w:p>
          <w:p w14:paraId="1F912970" w14:textId="77777777" w:rsidR="0046798B" w:rsidRDefault="00903B5C">
            <w:pPr>
              <w:pStyle w:val="TableParagraph"/>
              <w:spacing w:before="133"/>
              <w:ind w:left="114"/>
              <w:rPr>
                <w:sz w:val="20"/>
              </w:rPr>
            </w:pPr>
            <w:r>
              <w:rPr>
                <w:sz w:val="20"/>
              </w:rPr>
              <w:t>1982–2003</w:t>
            </w:r>
          </w:p>
        </w:tc>
        <w:tc>
          <w:tcPr>
            <w:tcW w:w="3421" w:type="dxa"/>
            <w:tcBorders>
              <w:top w:val="dotted" w:sz="6" w:space="0" w:color="BEBEBE"/>
            </w:tcBorders>
          </w:tcPr>
          <w:p w14:paraId="1EEF73E6" w14:textId="77777777" w:rsidR="0046798B" w:rsidRDefault="0046798B">
            <w:pPr>
              <w:pStyle w:val="TableParagraph"/>
              <w:spacing w:before="6"/>
              <w:rPr>
                <w:sz w:val="23"/>
              </w:rPr>
            </w:pPr>
          </w:p>
          <w:p w14:paraId="633DF999" w14:textId="77777777" w:rsidR="0046798B" w:rsidRDefault="00903B5C">
            <w:pPr>
              <w:pStyle w:val="TableParagraph"/>
              <w:ind w:left="114" w:right="267"/>
              <w:rPr>
                <w:sz w:val="20"/>
              </w:rPr>
            </w:pPr>
            <w:r>
              <w:rPr>
                <w:sz w:val="20"/>
              </w:rPr>
              <w:t>State average wine prices, in constant 2008 dollars</w:t>
            </w:r>
          </w:p>
        </w:tc>
        <w:tc>
          <w:tcPr>
            <w:tcW w:w="6482" w:type="dxa"/>
            <w:tcBorders>
              <w:top w:val="dotted" w:sz="6" w:space="0" w:color="BEBEBE"/>
            </w:tcBorders>
          </w:tcPr>
          <w:p w14:paraId="5B9D4184" w14:textId="77777777" w:rsidR="0046798B" w:rsidRDefault="00903B5C">
            <w:pPr>
              <w:pStyle w:val="TableParagraph"/>
              <w:spacing w:before="155"/>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75E249B" w14:textId="77777777">
        <w:trPr>
          <w:trHeight w:val="1240"/>
        </w:trPr>
        <w:tc>
          <w:tcPr>
            <w:tcW w:w="1711" w:type="dxa"/>
          </w:tcPr>
          <w:p w14:paraId="552CDA3C" w14:textId="77777777" w:rsidR="0046798B" w:rsidRDefault="0046798B">
            <w:pPr>
              <w:pStyle w:val="TableParagraph"/>
            </w:pPr>
          </w:p>
          <w:p w14:paraId="34BD1780" w14:textId="77777777" w:rsidR="0046798B" w:rsidRDefault="0046798B">
            <w:pPr>
              <w:pStyle w:val="TableParagraph"/>
              <w:spacing w:before="9"/>
              <w:rPr>
                <w:sz w:val="21"/>
              </w:rPr>
            </w:pPr>
          </w:p>
          <w:p w14:paraId="553B4BF6" w14:textId="77777777" w:rsidR="0046798B" w:rsidRDefault="00903B5C">
            <w:pPr>
              <w:pStyle w:val="TableParagraph"/>
              <w:ind w:left="115"/>
              <w:rPr>
                <w:b/>
                <w:sz w:val="20"/>
              </w:rPr>
            </w:pPr>
            <w:r>
              <w:rPr>
                <w:b/>
                <w:sz w:val="20"/>
              </w:rPr>
              <w:t>cwinep</w:t>
            </w:r>
          </w:p>
        </w:tc>
        <w:tc>
          <w:tcPr>
            <w:tcW w:w="1596" w:type="dxa"/>
          </w:tcPr>
          <w:p w14:paraId="5EDDFAA0" w14:textId="77777777" w:rsidR="0046798B" w:rsidRDefault="00903B5C">
            <w:pPr>
              <w:pStyle w:val="TableParagraph"/>
              <w:spacing w:before="44"/>
              <w:ind w:left="114" w:right="165"/>
              <w:rPr>
                <w:sz w:val="20"/>
              </w:rPr>
            </w:pPr>
            <w:r>
              <w:rPr>
                <w:sz w:val="20"/>
              </w:rPr>
              <w:t>Net-of-tax wine price per gallon, off-premises, 2008, in 2008</w:t>
            </w:r>
          </w:p>
          <w:p w14:paraId="04E4B94D" w14:textId="77777777" w:rsidR="0046798B" w:rsidRDefault="00903B5C">
            <w:pPr>
              <w:pStyle w:val="TableParagraph"/>
              <w:ind w:left="114"/>
              <w:rPr>
                <w:sz w:val="20"/>
              </w:rPr>
            </w:pPr>
            <w:r>
              <w:rPr>
                <w:sz w:val="20"/>
              </w:rPr>
              <w:t>dollars</w:t>
            </w:r>
          </w:p>
        </w:tc>
        <w:tc>
          <w:tcPr>
            <w:tcW w:w="1285" w:type="dxa"/>
          </w:tcPr>
          <w:p w14:paraId="55A56509" w14:textId="77777777" w:rsidR="0046798B" w:rsidRDefault="0046798B">
            <w:pPr>
              <w:pStyle w:val="TableParagraph"/>
            </w:pPr>
          </w:p>
          <w:p w14:paraId="4521EE99" w14:textId="77777777" w:rsidR="0046798B" w:rsidRDefault="0046798B">
            <w:pPr>
              <w:pStyle w:val="TableParagraph"/>
              <w:spacing w:before="9"/>
              <w:rPr>
                <w:sz w:val="21"/>
              </w:rPr>
            </w:pPr>
          </w:p>
          <w:p w14:paraId="41CB45BD" w14:textId="77777777" w:rsidR="0046798B" w:rsidRDefault="00903B5C">
            <w:pPr>
              <w:pStyle w:val="TableParagraph"/>
              <w:ind w:left="114"/>
              <w:rPr>
                <w:sz w:val="20"/>
              </w:rPr>
            </w:pPr>
            <w:r>
              <w:rPr>
                <w:sz w:val="20"/>
              </w:rPr>
              <w:t>1937–2016</w:t>
            </w:r>
          </w:p>
        </w:tc>
        <w:tc>
          <w:tcPr>
            <w:tcW w:w="3421" w:type="dxa"/>
          </w:tcPr>
          <w:p w14:paraId="2E3F3B8D" w14:textId="77777777" w:rsidR="0046798B" w:rsidRDefault="0046798B">
            <w:pPr>
              <w:pStyle w:val="TableParagraph"/>
            </w:pPr>
          </w:p>
          <w:p w14:paraId="4ADC6C89" w14:textId="77777777" w:rsidR="0046798B" w:rsidRDefault="00903B5C">
            <w:pPr>
              <w:pStyle w:val="TableParagraph"/>
              <w:spacing w:before="136"/>
              <w:ind w:left="114"/>
              <w:rPr>
                <w:sz w:val="20"/>
              </w:rPr>
            </w:pPr>
            <w:r>
              <w:rPr>
                <w:sz w:val="20"/>
              </w:rPr>
              <w:t>Net-of-tax wine price per gallon, off- premises, 2008, in 2008 dollars</w:t>
            </w:r>
          </w:p>
        </w:tc>
        <w:tc>
          <w:tcPr>
            <w:tcW w:w="6482" w:type="dxa"/>
          </w:tcPr>
          <w:p w14:paraId="053C9538" w14:textId="77777777" w:rsidR="0046798B" w:rsidRDefault="0046798B">
            <w:pPr>
              <w:pStyle w:val="TableParagraph"/>
              <w:spacing w:before="9"/>
              <w:rPr>
                <w:sz w:val="23"/>
              </w:rPr>
            </w:pPr>
          </w:p>
          <w:p w14:paraId="003549D5"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F44D736" w14:textId="77777777">
        <w:trPr>
          <w:trHeight w:val="1005"/>
        </w:trPr>
        <w:tc>
          <w:tcPr>
            <w:tcW w:w="1711" w:type="dxa"/>
          </w:tcPr>
          <w:p w14:paraId="11AF18F1" w14:textId="77777777" w:rsidR="0046798B" w:rsidRDefault="0046798B">
            <w:pPr>
              <w:pStyle w:val="TableParagraph"/>
            </w:pPr>
          </w:p>
          <w:p w14:paraId="055C941A" w14:textId="77777777" w:rsidR="0046798B" w:rsidRDefault="00903B5C">
            <w:pPr>
              <w:pStyle w:val="TableParagraph"/>
              <w:spacing w:before="130"/>
              <w:ind w:left="115"/>
              <w:rPr>
                <w:b/>
                <w:sz w:val="20"/>
              </w:rPr>
            </w:pPr>
            <w:r>
              <w:rPr>
                <w:b/>
                <w:sz w:val="20"/>
              </w:rPr>
              <w:t>cwinet</w:t>
            </w:r>
          </w:p>
        </w:tc>
        <w:tc>
          <w:tcPr>
            <w:tcW w:w="1596" w:type="dxa"/>
          </w:tcPr>
          <w:p w14:paraId="4BAA581B" w14:textId="77777777" w:rsidR="0046798B" w:rsidRDefault="00903B5C">
            <w:pPr>
              <w:pStyle w:val="TableParagraph"/>
              <w:spacing w:before="38"/>
              <w:ind w:left="114" w:right="252"/>
              <w:rPr>
                <w:sz w:val="20"/>
              </w:rPr>
            </w:pPr>
            <w:r>
              <w:rPr>
                <w:sz w:val="20"/>
              </w:rPr>
              <w:t>Wine taxes per gallon, off- premises, in 2008 dollars</w:t>
            </w:r>
          </w:p>
        </w:tc>
        <w:tc>
          <w:tcPr>
            <w:tcW w:w="1285" w:type="dxa"/>
          </w:tcPr>
          <w:p w14:paraId="6102EBB7" w14:textId="77777777" w:rsidR="0046798B" w:rsidRDefault="0046798B">
            <w:pPr>
              <w:pStyle w:val="TableParagraph"/>
            </w:pPr>
          </w:p>
          <w:p w14:paraId="4819AAB7" w14:textId="77777777" w:rsidR="0046798B" w:rsidRDefault="00903B5C">
            <w:pPr>
              <w:pStyle w:val="TableParagraph"/>
              <w:spacing w:before="130"/>
              <w:ind w:left="114"/>
              <w:rPr>
                <w:sz w:val="20"/>
              </w:rPr>
            </w:pPr>
            <w:r>
              <w:rPr>
                <w:sz w:val="20"/>
              </w:rPr>
              <w:t>1969–2015</w:t>
            </w:r>
          </w:p>
        </w:tc>
        <w:tc>
          <w:tcPr>
            <w:tcW w:w="3421" w:type="dxa"/>
          </w:tcPr>
          <w:p w14:paraId="1BB70327" w14:textId="77777777" w:rsidR="0046798B" w:rsidRDefault="0046798B">
            <w:pPr>
              <w:pStyle w:val="TableParagraph"/>
              <w:spacing w:before="4"/>
              <w:rPr>
                <w:sz w:val="23"/>
              </w:rPr>
            </w:pPr>
          </w:p>
          <w:p w14:paraId="5700AC62" w14:textId="77777777" w:rsidR="0046798B" w:rsidRDefault="00903B5C">
            <w:pPr>
              <w:pStyle w:val="TableParagraph"/>
              <w:ind w:left="114" w:right="161"/>
              <w:rPr>
                <w:sz w:val="20"/>
              </w:rPr>
            </w:pPr>
            <w:r>
              <w:rPr>
                <w:sz w:val="20"/>
              </w:rPr>
              <w:t>Wine taxes per gallon, off-premises, in 2008 dollars</w:t>
            </w:r>
          </w:p>
        </w:tc>
        <w:tc>
          <w:tcPr>
            <w:tcW w:w="6482" w:type="dxa"/>
          </w:tcPr>
          <w:p w14:paraId="4FE214CD" w14:textId="77777777" w:rsidR="0046798B" w:rsidRDefault="00903B5C">
            <w:pPr>
              <w:pStyle w:val="TableParagraph"/>
              <w:spacing w:before="15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BBFD4F5" w14:textId="77777777">
        <w:trPr>
          <w:trHeight w:val="1005"/>
        </w:trPr>
        <w:tc>
          <w:tcPr>
            <w:tcW w:w="1711" w:type="dxa"/>
          </w:tcPr>
          <w:p w14:paraId="7F010B2E" w14:textId="77777777" w:rsidR="0046798B" w:rsidRDefault="0046798B">
            <w:pPr>
              <w:pStyle w:val="TableParagraph"/>
            </w:pPr>
          </w:p>
          <w:p w14:paraId="6616D85F" w14:textId="77777777" w:rsidR="0046798B" w:rsidRDefault="00903B5C">
            <w:pPr>
              <w:pStyle w:val="TableParagraph"/>
              <w:spacing w:before="130"/>
              <w:ind w:left="115"/>
              <w:rPr>
                <w:b/>
                <w:sz w:val="20"/>
              </w:rPr>
            </w:pPr>
            <w:r>
              <w:rPr>
                <w:b/>
                <w:sz w:val="20"/>
              </w:rPr>
              <w:t>cwinetav</w:t>
            </w:r>
          </w:p>
        </w:tc>
        <w:tc>
          <w:tcPr>
            <w:tcW w:w="1596" w:type="dxa"/>
          </w:tcPr>
          <w:p w14:paraId="1577ADAC" w14:textId="77777777" w:rsidR="0046798B" w:rsidRDefault="00903B5C">
            <w:pPr>
              <w:pStyle w:val="TableParagraph"/>
              <w:spacing w:before="153"/>
              <w:ind w:left="114" w:right="407"/>
              <w:rPr>
                <w:sz w:val="20"/>
              </w:rPr>
            </w:pPr>
            <w:r>
              <w:rPr>
                <w:sz w:val="20"/>
              </w:rPr>
              <w:t>Wine ad valorem tax rates/markup</w:t>
            </w:r>
          </w:p>
        </w:tc>
        <w:tc>
          <w:tcPr>
            <w:tcW w:w="1285" w:type="dxa"/>
          </w:tcPr>
          <w:p w14:paraId="2B4E6E4F" w14:textId="77777777" w:rsidR="0046798B" w:rsidRDefault="0046798B">
            <w:pPr>
              <w:pStyle w:val="TableParagraph"/>
            </w:pPr>
          </w:p>
          <w:p w14:paraId="7AEAA9D5" w14:textId="77777777" w:rsidR="0046798B" w:rsidRDefault="00903B5C">
            <w:pPr>
              <w:pStyle w:val="TableParagraph"/>
              <w:spacing w:before="130"/>
              <w:ind w:left="114"/>
              <w:rPr>
                <w:sz w:val="20"/>
              </w:rPr>
            </w:pPr>
            <w:r>
              <w:rPr>
                <w:sz w:val="20"/>
              </w:rPr>
              <w:t>1937–2015</w:t>
            </w:r>
          </w:p>
        </w:tc>
        <w:tc>
          <w:tcPr>
            <w:tcW w:w="3421" w:type="dxa"/>
          </w:tcPr>
          <w:p w14:paraId="1782481E" w14:textId="77777777" w:rsidR="0046798B" w:rsidRDefault="00903B5C">
            <w:pPr>
              <w:pStyle w:val="TableParagraph"/>
              <w:spacing w:before="38"/>
              <w:ind w:left="114" w:right="196"/>
              <w:rPr>
                <w:sz w:val="20"/>
              </w:rPr>
            </w:pPr>
            <w:r>
              <w:rPr>
                <w:sz w:val="20"/>
              </w:rPr>
              <w:t>Wine ad valorem tax rates/markup (%, off-premises; markup over 15% only included; if sales tax is not charged, that amount is deducted)</w:t>
            </w:r>
          </w:p>
        </w:tc>
        <w:tc>
          <w:tcPr>
            <w:tcW w:w="6482" w:type="dxa"/>
          </w:tcPr>
          <w:p w14:paraId="7C156490" w14:textId="77777777" w:rsidR="0046798B" w:rsidRDefault="00903B5C">
            <w:pPr>
              <w:pStyle w:val="TableParagraph"/>
              <w:spacing w:before="15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32F90A4" w14:textId="77777777">
        <w:trPr>
          <w:trHeight w:val="1005"/>
        </w:trPr>
        <w:tc>
          <w:tcPr>
            <w:tcW w:w="1711" w:type="dxa"/>
          </w:tcPr>
          <w:p w14:paraId="6959A387" w14:textId="77777777" w:rsidR="0046798B" w:rsidRDefault="0046798B">
            <w:pPr>
              <w:pStyle w:val="TableParagraph"/>
            </w:pPr>
          </w:p>
          <w:p w14:paraId="2EE35ACB" w14:textId="77777777" w:rsidR="0046798B" w:rsidRDefault="00903B5C">
            <w:pPr>
              <w:pStyle w:val="TableParagraph"/>
              <w:spacing w:before="136"/>
              <w:ind w:left="115"/>
              <w:rPr>
                <w:b/>
                <w:sz w:val="20"/>
              </w:rPr>
            </w:pPr>
            <w:r>
              <w:rPr>
                <w:b/>
                <w:sz w:val="20"/>
              </w:rPr>
              <w:t>cwinetex</w:t>
            </w:r>
          </w:p>
        </w:tc>
        <w:tc>
          <w:tcPr>
            <w:tcW w:w="1596" w:type="dxa"/>
          </w:tcPr>
          <w:p w14:paraId="631EF509" w14:textId="77777777" w:rsidR="0046798B" w:rsidRDefault="0046798B">
            <w:pPr>
              <w:pStyle w:val="TableParagraph"/>
            </w:pPr>
          </w:p>
          <w:p w14:paraId="35AB4B90" w14:textId="77777777" w:rsidR="0046798B" w:rsidRDefault="00903B5C">
            <w:pPr>
              <w:pStyle w:val="TableParagraph"/>
              <w:spacing w:before="136"/>
              <w:ind w:left="114"/>
              <w:rPr>
                <w:sz w:val="20"/>
              </w:rPr>
            </w:pPr>
            <w:r>
              <w:rPr>
                <w:sz w:val="20"/>
              </w:rPr>
              <w:t>Wine excise tax</w:t>
            </w:r>
          </w:p>
        </w:tc>
        <w:tc>
          <w:tcPr>
            <w:tcW w:w="1285" w:type="dxa"/>
          </w:tcPr>
          <w:p w14:paraId="077E9F5E" w14:textId="77777777" w:rsidR="0046798B" w:rsidRDefault="0046798B">
            <w:pPr>
              <w:pStyle w:val="TableParagraph"/>
            </w:pPr>
          </w:p>
          <w:p w14:paraId="1FB49AA3" w14:textId="77777777" w:rsidR="0046798B" w:rsidRDefault="00903B5C">
            <w:pPr>
              <w:pStyle w:val="TableParagraph"/>
              <w:spacing w:before="136"/>
              <w:ind w:left="114"/>
              <w:rPr>
                <w:sz w:val="20"/>
              </w:rPr>
            </w:pPr>
            <w:r>
              <w:rPr>
                <w:sz w:val="20"/>
              </w:rPr>
              <w:t>1969–2015</w:t>
            </w:r>
          </w:p>
        </w:tc>
        <w:tc>
          <w:tcPr>
            <w:tcW w:w="3421" w:type="dxa"/>
          </w:tcPr>
          <w:p w14:paraId="6E9D2F9C" w14:textId="77777777" w:rsidR="0046798B" w:rsidRDefault="00903B5C">
            <w:pPr>
              <w:pStyle w:val="TableParagraph"/>
              <w:spacing w:before="43"/>
              <w:ind w:left="114" w:right="101"/>
              <w:rPr>
                <w:sz w:val="20"/>
              </w:rPr>
            </w:pPr>
            <w:r>
              <w:rPr>
                <w:sz w:val="20"/>
              </w:rPr>
              <w:t>Wine excise tax (dollars per gallon of wine, less than 14% alcohol by volume, off-premise sales; if sales tax is not applied, that amount is deducted)</w:t>
            </w:r>
          </w:p>
        </w:tc>
        <w:tc>
          <w:tcPr>
            <w:tcW w:w="6482" w:type="dxa"/>
          </w:tcPr>
          <w:p w14:paraId="1F38700E"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DCBA06A" w14:textId="77777777">
        <w:trPr>
          <w:trHeight w:val="1235"/>
        </w:trPr>
        <w:tc>
          <w:tcPr>
            <w:tcW w:w="1711" w:type="dxa"/>
          </w:tcPr>
          <w:p w14:paraId="62CCCF53" w14:textId="77777777" w:rsidR="0046798B" w:rsidRDefault="0046798B">
            <w:pPr>
              <w:pStyle w:val="TableParagraph"/>
            </w:pPr>
          </w:p>
          <w:p w14:paraId="663A84A2" w14:textId="77777777" w:rsidR="0046798B" w:rsidRDefault="0046798B">
            <w:pPr>
              <w:pStyle w:val="TableParagraph"/>
              <w:spacing w:before="9"/>
              <w:rPr>
                <w:sz w:val="21"/>
              </w:rPr>
            </w:pPr>
          </w:p>
          <w:p w14:paraId="6DFF20C0" w14:textId="77777777" w:rsidR="0046798B" w:rsidRDefault="00903B5C">
            <w:pPr>
              <w:pStyle w:val="TableParagraph"/>
              <w:ind w:left="115"/>
              <w:rPr>
                <w:b/>
                <w:sz w:val="20"/>
              </w:rPr>
            </w:pPr>
            <w:r>
              <w:rPr>
                <w:b/>
                <w:sz w:val="20"/>
              </w:rPr>
              <w:t>cspirp</w:t>
            </w:r>
          </w:p>
        </w:tc>
        <w:tc>
          <w:tcPr>
            <w:tcW w:w="1596" w:type="dxa"/>
          </w:tcPr>
          <w:p w14:paraId="6F986726" w14:textId="77777777" w:rsidR="0046798B" w:rsidRDefault="00903B5C">
            <w:pPr>
              <w:pStyle w:val="TableParagraph"/>
              <w:spacing w:before="43"/>
              <w:ind w:left="114" w:right="179"/>
              <w:rPr>
                <w:sz w:val="20"/>
              </w:rPr>
            </w:pPr>
            <w:r>
              <w:rPr>
                <w:sz w:val="20"/>
              </w:rPr>
              <w:t>Net-of-tax spirits price per gallon, off- premises,</w:t>
            </w:r>
            <w:r>
              <w:rPr>
                <w:spacing w:val="6"/>
                <w:sz w:val="20"/>
              </w:rPr>
              <w:t xml:space="preserve"> </w:t>
            </w:r>
            <w:r>
              <w:rPr>
                <w:spacing w:val="-4"/>
                <w:sz w:val="20"/>
              </w:rPr>
              <w:t>2008,</w:t>
            </w:r>
          </w:p>
          <w:p w14:paraId="44BA1151" w14:textId="77777777" w:rsidR="0046798B" w:rsidRDefault="00903B5C">
            <w:pPr>
              <w:pStyle w:val="TableParagraph"/>
              <w:ind w:left="114"/>
              <w:rPr>
                <w:sz w:val="20"/>
              </w:rPr>
            </w:pPr>
            <w:r>
              <w:rPr>
                <w:sz w:val="20"/>
              </w:rPr>
              <w:t>in 2008</w:t>
            </w:r>
            <w:r>
              <w:rPr>
                <w:spacing w:val="-5"/>
                <w:sz w:val="20"/>
              </w:rPr>
              <w:t xml:space="preserve"> </w:t>
            </w:r>
            <w:r>
              <w:rPr>
                <w:sz w:val="20"/>
              </w:rPr>
              <w:t>dollars</w:t>
            </w:r>
          </w:p>
        </w:tc>
        <w:tc>
          <w:tcPr>
            <w:tcW w:w="1285" w:type="dxa"/>
          </w:tcPr>
          <w:p w14:paraId="31373BA6" w14:textId="77777777" w:rsidR="0046798B" w:rsidRDefault="0046798B">
            <w:pPr>
              <w:pStyle w:val="TableParagraph"/>
            </w:pPr>
          </w:p>
          <w:p w14:paraId="2EF8265F" w14:textId="77777777" w:rsidR="0046798B" w:rsidRDefault="0046798B">
            <w:pPr>
              <w:pStyle w:val="TableParagraph"/>
              <w:spacing w:before="9"/>
              <w:rPr>
                <w:sz w:val="21"/>
              </w:rPr>
            </w:pPr>
          </w:p>
          <w:p w14:paraId="00E4E6E7" w14:textId="77777777" w:rsidR="0046798B" w:rsidRDefault="00903B5C">
            <w:pPr>
              <w:pStyle w:val="TableParagraph"/>
              <w:ind w:left="114"/>
              <w:rPr>
                <w:sz w:val="20"/>
              </w:rPr>
            </w:pPr>
            <w:r>
              <w:rPr>
                <w:sz w:val="20"/>
              </w:rPr>
              <w:t>1937–2016</w:t>
            </w:r>
          </w:p>
        </w:tc>
        <w:tc>
          <w:tcPr>
            <w:tcW w:w="3421" w:type="dxa"/>
          </w:tcPr>
          <w:p w14:paraId="687ADDF8" w14:textId="77777777" w:rsidR="0046798B" w:rsidRDefault="0046798B">
            <w:pPr>
              <w:pStyle w:val="TableParagraph"/>
            </w:pPr>
          </w:p>
          <w:p w14:paraId="4CA259D2" w14:textId="77777777" w:rsidR="0046798B" w:rsidRDefault="00903B5C">
            <w:pPr>
              <w:pStyle w:val="TableParagraph"/>
              <w:spacing w:before="135"/>
              <w:ind w:left="114"/>
              <w:rPr>
                <w:sz w:val="20"/>
              </w:rPr>
            </w:pPr>
            <w:r>
              <w:rPr>
                <w:sz w:val="20"/>
              </w:rPr>
              <w:t>Net-of-tax spirits price per gallon, off- premises, 2008, in 2008 dollars</w:t>
            </w:r>
          </w:p>
        </w:tc>
        <w:tc>
          <w:tcPr>
            <w:tcW w:w="6482" w:type="dxa"/>
          </w:tcPr>
          <w:p w14:paraId="0B5CB3B8" w14:textId="77777777" w:rsidR="0046798B" w:rsidRDefault="0046798B">
            <w:pPr>
              <w:pStyle w:val="TableParagraph"/>
              <w:spacing w:before="8"/>
              <w:rPr>
                <w:sz w:val="23"/>
              </w:rPr>
            </w:pPr>
          </w:p>
          <w:p w14:paraId="7E6758EE"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54969B9" w14:textId="77777777">
        <w:trPr>
          <w:trHeight w:val="1005"/>
        </w:trPr>
        <w:tc>
          <w:tcPr>
            <w:tcW w:w="1711" w:type="dxa"/>
          </w:tcPr>
          <w:p w14:paraId="67D5E962" w14:textId="77777777" w:rsidR="0046798B" w:rsidRDefault="0046798B">
            <w:pPr>
              <w:pStyle w:val="TableParagraph"/>
            </w:pPr>
          </w:p>
          <w:p w14:paraId="14673D81" w14:textId="77777777" w:rsidR="0046798B" w:rsidRDefault="00903B5C">
            <w:pPr>
              <w:pStyle w:val="TableParagraph"/>
              <w:spacing w:before="135"/>
              <w:ind w:left="115"/>
              <w:rPr>
                <w:b/>
                <w:sz w:val="20"/>
              </w:rPr>
            </w:pPr>
            <w:r>
              <w:rPr>
                <w:b/>
                <w:sz w:val="20"/>
              </w:rPr>
              <w:t>cspirt</w:t>
            </w:r>
          </w:p>
        </w:tc>
        <w:tc>
          <w:tcPr>
            <w:tcW w:w="1596" w:type="dxa"/>
          </w:tcPr>
          <w:p w14:paraId="57AF3CBA" w14:textId="77777777" w:rsidR="0046798B" w:rsidRDefault="00903B5C">
            <w:pPr>
              <w:pStyle w:val="TableParagraph"/>
              <w:spacing w:before="43"/>
              <w:ind w:left="114" w:right="163"/>
              <w:rPr>
                <w:sz w:val="20"/>
              </w:rPr>
            </w:pPr>
            <w:r>
              <w:rPr>
                <w:sz w:val="20"/>
              </w:rPr>
              <w:t>Spirits taxes per gallon, off- premises, in 2008 dollars</w:t>
            </w:r>
          </w:p>
        </w:tc>
        <w:tc>
          <w:tcPr>
            <w:tcW w:w="1285" w:type="dxa"/>
          </w:tcPr>
          <w:p w14:paraId="78B9949E" w14:textId="77777777" w:rsidR="0046798B" w:rsidRDefault="0046798B">
            <w:pPr>
              <w:pStyle w:val="TableParagraph"/>
            </w:pPr>
          </w:p>
          <w:p w14:paraId="02876491" w14:textId="77777777" w:rsidR="0046798B" w:rsidRDefault="00903B5C">
            <w:pPr>
              <w:pStyle w:val="TableParagraph"/>
              <w:spacing w:before="135"/>
              <w:ind w:left="114"/>
              <w:rPr>
                <w:sz w:val="20"/>
              </w:rPr>
            </w:pPr>
            <w:r>
              <w:rPr>
                <w:sz w:val="20"/>
              </w:rPr>
              <w:t>1937–2015</w:t>
            </w:r>
          </w:p>
        </w:tc>
        <w:tc>
          <w:tcPr>
            <w:tcW w:w="3421" w:type="dxa"/>
          </w:tcPr>
          <w:p w14:paraId="1F29C932" w14:textId="77777777" w:rsidR="0046798B" w:rsidRDefault="0046798B">
            <w:pPr>
              <w:pStyle w:val="TableParagraph"/>
              <w:spacing w:before="8"/>
              <w:rPr>
                <w:sz w:val="23"/>
              </w:rPr>
            </w:pPr>
          </w:p>
          <w:p w14:paraId="211857B0" w14:textId="77777777" w:rsidR="0046798B" w:rsidRDefault="00903B5C">
            <w:pPr>
              <w:pStyle w:val="TableParagraph"/>
              <w:ind w:left="114" w:right="277"/>
              <w:rPr>
                <w:sz w:val="20"/>
              </w:rPr>
            </w:pPr>
            <w:r>
              <w:rPr>
                <w:sz w:val="20"/>
              </w:rPr>
              <w:t>Spirits taxes per gallon, off-premises, in 2008 dollars</w:t>
            </w:r>
          </w:p>
        </w:tc>
        <w:tc>
          <w:tcPr>
            <w:tcW w:w="6482" w:type="dxa"/>
          </w:tcPr>
          <w:p w14:paraId="3DE8C138"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30174F4" w14:textId="77777777">
        <w:trPr>
          <w:trHeight w:val="780"/>
        </w:trPr>
        <w:tc>
          <w:tcPr>
            <w:tcW w:w="1711" w:type="dxa"/>
          </w:tcPr>
          <w:p w14:paraId="0C6992A9" w14:textId="77777777" w:rsidR="0046798B" w:rsidRDefault="0046798B">
            <w:pPr>
              <w:pStyle w:val="TableParagraph"/>
              <w:spacing w:before="8"/>
              <w:rPr>
                <w:sz w:val="23"/>
              </w:rPr>
            </w:pPr>
          </w:p>
          <w:p w14:paraId="492C1691" w14:textId="77777777" w:rsidR="0046798B" w:rsidRDefault="00903B5C">
            <w:pPr>
              <w:pStyle w:val="TableParagraph"/>
              <w:spacing w:before="1"/>
              <w:ind w:left="115"/>
              <w:rPr>
                <w:b/>
                <w:sz w:val="20"/>
              </w:rPr>
            </w:pPr>
            <w:r>
              <w:rPr>
                <w:b/>
                <w:sz w:val="20"/>
              </w:rPr>
              <w:t>cspirtav</w:t>
            </w:r>
          </w:p>
        </w:tc>
        <w:tc>
          <w:tcPr>
            <w:tcW w:w="1596" w:type="dxa"/>
          </w:tcPr>
          <w:p w14:paraId="3B6A82DB" w14:textId="77777777" w:rsidR="0046798B" w:rsidRDefault="00903B5C">
            <w:pPr>
              <w:pStyle w:val="TableParagraph"/>
              <w:spacing w:before="43"/>
              <w:ind w:left="114" w:right="407"/>
              <w:rPr>
                <w:sz w:val="20"/>
              </w:rPr>
            </w:pPr>
            <w:r>
              <w:rPr>
                <w:sz w:val="20"/>
              </w:rPr>
              <w:t>Spirits ad valorem tax rates/markup</w:t>
            </w:r>
          </w:p>
        </w:tc>
        <w:tc>
          <w:tcPr>
            <w:tcW w:w="1285" w:type="dxa"/>
          </w:tcPr>
          <w:p w14:paraId="002ADEA9" w14:textId="77777777" w:rsidR="0046798B" w:rsidRDefault="0046798B">
            <w:pPr>
              <w:pStyle w:val="TableParagraph"/>
              <w:spacing w:before="8"/>
              <w:rPr>
                <w:sz w:val="23"/>
              </w:rPr>
            </w:pPr>
          </w:p>
          <w:p w14:paraId="07AC975F" w14:textId="77777777" w:rsidR="0046798B" w:rsidRDefault="00903B5C">
            <w:pPr>
              <w:pStyle w:val="TableParagraph"/>
              <w:spacing w:before="1"/>
              <w:ind w:left="114"/>
              <w:rPr>
                <w:sz w:val="20"/>
              </w:rPr>
            </w:pPr>
            <w:r>
              <w:rPr>
                <w:sz w:val="20"/>
              </w:rPr>
              <w:t>1937–2015</w:t>
            </w:r>
          </w:p>
        </w:tc>
        <w:tc>
          <w:tcPr>
            <w:tcW w:w="3421" w:type="dxa"/>
          </w:tcPr>
          <w:p w14:paraId="0337BDCE" w14:textId="77777777" w:rsidR="0046798B" w:rsidRDefault="00903B5C">
            <w:pPr>
              <w:pStyle w:val="TableParagraph"/>
              <w:spacing w:before="43"/>
              <w:ind w:left="114" w:right="70"/>
              <w:rPr>
                <w:sz w:val="20"/>
              </w:rPr>
            </w:pPr>
            <w:r>
              <w:rPr>
                <w:sz w:val="20"/>
              </w:rPr>
              <w:t>Spirits ad valorem tax rates/markup (%, off-premises; markup over 15% over delivery cost/45% over shipping point,</w:t>
            </w:r>
          </w:p>
        </w:tc>
        <w:tc>
          <w:tcPr>
            <w:tcW w:w="6482" w:type="dxa"/>
          </w:tcPr>
          <w:p w14:paraId="0C7942B9" w14:textId="77777777" w:rsidR="0046798B" w:rsidRDefault="00903B5C">
            <w:pPr>
              <w:pStyle w:val="TableParagraph"/>
              <w:spacing w:before="4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09F06B9F" w14:textId="77777777" w:rsidR="0046798B" w:rsidRDefault="0046798B">
      <w:pPr>
        <w:rPr>
          <w:sz w:val="20"/>
        </w:rPr>
        <w:sectPr w:rsidR="0046798B">
          <w:pgSz w:w="15840" w:h="12240" w:orient="landscape"/>
          <w:pgMar w:top="1220" w:right="300" w:bottom="980" w:left="820" w:header="730" w:footer="787" w:gutter="0"/>
          <w:cols w:space="720"/>
        </w:sectPr>
      </w:pPr>
    </w:p>
    <w:p w14:paraId="675D7A8A"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2BB1BDCE" w14:textId="77777777">
        <w:trPr>
          <w:trHeight w:val="542"/>
        </w:trPr>
        <w:tc>
          <w:tcPr>
            <w:tcW w:w="1711" w:type="dxa"/>
            <w:tcBorders>
              <w:bottom w:val="dotted" w:sz="6" w:space="0" w:color="BEBEBE"/>
            </w:tcBorders>
          </w:tcPr>
          <w:p w14:paraId="083300CA" w14:textId="77777777" w:rsidR="0046798B" w:rsidRDefault="0046798B">
            <w:pPr>
              <w:pStyle w:val="TableParagraph"/>
              <w:rPr>
                <w:sz w:val="20"/>
              </w:rPr>
            </w:pPr>
          </w:p>
        </w:tc>
        <w:tc>
          <w:tcPr>
            <w:tcW w:w="1596" w:type="dxa"/>
            <w:tcBorders>
              <w:bottom w:val="dotted" w:sz="6" w:space="0" w:color="BEBEBE"/>
            </w:tcBorders>
          </w:tcPr>
          <w:p w14:paraId="27B1F424" w14:textId="77777777" w:rsidR="0046798B" w:rsidRDefault="0046798B">
            <w:pPr>
              <w:pStyle w:val="TableParagraph"/>
              <w:rPr>
                <w:sz w:val="20"/>
              </w:rPr>
            </w:pPr>
          </w:p>
        </w:tc>
        <w:tc>
          <w:tcPr>
            <w:tcW w:w="1285" w:type="dxa"/>
            <w:tcBorders>
              <w:bottom w:val="dotted" w:sz="6" w:space="0" w:color="BEBEBE"/>
            </w:tcBorders>
          </w:tcPr>
          <w:p w14:paraId="70EFC9BD" w14:textId="77777777" w:rsidR="0046798B" w:rsidRDefault="0046798B">
            <w:pPr>
              <w:pStyle w:val="TableParagraph"/>
              <w:rPr>
                <w:sz w:val="20"/>
              </w:rPr>
            </w:pPr>
          </w:p>
        </w:tc>
        <w:tc>
          <w:tcPr>
            <w:tcW w:w="3421" w:type="dxa"/>
            <w:tcBorders>
              <w:bottom w:val="dotted" w:sz="6" w:space="0" w:color="BEBEBE"/>
            </w:tcBorders>
          </w:tcPr>
          <w:p w14:paraId="3A1B4E7F" w14:textId="77777777" w:rsidR="0046798B" w:rsidRDefault="00903B5C">
            <w:pPr>
              <w:pStyle w:val="TableParagraph"/>
              <w:spacing w:before="43"/>
              <w:ind w:left="114" w:right="116"/>
              <w:rPr>
                <w:sz w:val="20"/>
              </w:rPr>
            </w:pPr>
            <w:r>
              <w:rPr>
                <w:sz w:val="20"/>
              </w:rPr>
              <w:t>FOB only considered; if sales tax is not charged, that amount is deducted)</w:t>
            </w:r>
          </w:p>
        </w:tc>
        <w:tc>
          <w:tcPr>
            <w:tcW w:w="6482" w:type="dxa"/>
            <w:tcBorders>
              <w:bottom w:val="dotted" w:sz="6" w:space="0" w:color="BEBEBE"/>
            </w:tcBorders>
          </w:tcPr>
          <w:p w14:paraId="449F3B46" w14:textId="77777777" w:rsidR="0046798B" w:rsidRDefault="0046798B">
            <w:pPr>
              <w:pStyle w:val="TableParagraph"/>
              <w:rPr>
                <w:sz w:val="20"/>
              </w:rPr>
            </w:pPr>
          </w:p>
        </w:tc>
      </w:tr>
      <w:tr w:rsidR="0046798B" w14:paraId="1BBD1D8E" w14:textId="77777777">
        <w:trPr>
          <w:trHeight w:val="772"/>
        </w:trPr>
        <w:tc>
          <w:tcPr>
            <w:tcW w:w="1711" w:type="dxa"/>
            <w:tcBorders>
              <w:top w:val="dotted" w:sz="6" w:space="0" w:color="BEBEBE"/>
            </w:tcBorders>
          </w:tcPr>
          <w:p w14:paraId="5CCB455A" w14:textId="77777777" w:rsidR="0046798B" w:rsidRDefault="0046798B">
            <w:pPr>
              <w:pStyle w:val="TableParagraph"/>
              <w:spacing w:before="6"/>
              <w:rPr>
                <w:sz w:val="23"/>
              </w:rPr>
            </w:pPr>
          </w:p>
          <w:p w14:paraId="7D306C67" w14:textId="77777777" w:rsidR="0046798B" w:rsidRDefault="00903B5C">
            <w:pPr>
              <w:pStyle w:val="TableParagraph"/>
              <w:ind w:left="115"/>
              <w:rPr>
                <w:b/>
                <w:sz w:val="20"/>
              </w:rPr>
            </w:pPr>
            <w:r>
              <w:rPr>
                <w:b/>
                <w:sz w:val="20"/>
              </w:rPr>
              <w:t>cspirtex</w:t>
            </w:r>
          </w:p>
        </w:tc>
        <w:tc>
          <w:tcPr>
            <w:tcW w:w="1596" w:type="dxa"/>
            <w:tcBorders>
              <w:top w:val="dotted" w:sz="6" w:space="0" w:color="BEBEBE"/>
            </w:tcBorders>
          </w:tcPr>
          <w:p w14:paraId="45BB9C09" w14:textId="77777777" w:rsidR="0046798B" w:rsidRDefault="0046798B">
            <w:pPr>
              <w:pStyle w:val="TableParagraph"/>
              <w:spacing w:before="6"/>
              <w:rPr>
                <w:sz w:val="23"/>
              </w:rPr>
            </w:pPr>
          </w:p>
          <w:p w14:paraId="495DDF68" w14:textId="77777777" w:rsidR="0046798B" w:rsidRDefault="00903B5C">
            <w:pPr>
              <w:pStyle w:val="TableParagraph"/>
              <w:ind w:left="114"/>
              <w:rPr>
                <w:sz w:val="20"/>
              </w:rPr>
            </w:pPr>
            <w:r>
              <w:rPr>
                <w:sz w:val="20"/>
              </w:rPr>
              <w:t>Spirits excise tax</w:t>
            </w:r>
          </w:p>
        </w:tc>
        <w:tc>
          <w:tcPr>
            <w:tcW w:w="1285" w:type="dxa"/>
            <w:tcBorders>
              <w:top w:val="dotted" w:sz="6" w:space="0" w:color="BEBEBE"/>
            </w:tcBorders>
          </w:tcPr>
          <w:p w14:paraId="31508654" w14:textId="77777777" w:rsidR="0046798B" w:rsidRDefault="0046798B">
            <w:pPr>
              <w:pStyle w:val="TableParagraph"/>
              <w:spacing w:before="6"/>
              <w:rPr>
                <w:sz w:val="23"/>
              </w:rPr>
            </w:pPr>
          </w:p>
          <w:p w14:paraId="793E0D6B" w14:textId="77777777" w:rsidR="0046798B" w:rsidRDefault="00903B5C">
            <w:pPr>
              <w:pStyle w:val="TableParagraph"/>
              <w:ind w:left="114"/>
              <w:rPr>
                <w:sz w:val="20"/>
              </w:rPr>
            </w:pPr>
            <w:r>
              <w:rPr>
                <w:sz w:val="20"/>
              </w:rPr>
              <w:t>1937–2015</w:t>
            </w:r>
          </w:p>
        </w:tc>
        <w:tc>
          <w:tcPr>
            <w:tcW w:w="3421" w:type="dxa"/>
            <w:tcBorders>
              <w:top w:val="dotted" w:sz="6" w:space="0" w:color="BEBEBE"/>
            </w:tcBorders>
          </w:tcPr>
          <w:p w14:paraId="5C95B7F5" w14:textId="77777777" w:rsidR="0046798B" w:rsidRDefault="00903B5C">
            <w:pPr>
              <w:pStyle w:val="TableParagraph"/>
              <w:spacing w:before="40"/>
              <w:ind w:left="114" w:right="189"/>
              <w:jc w:val="both"/>
              <w:rPr>
                <w:sz w:val="20"/>
              </w:rPr>
            </w:pPr>
            <w:r>
              <w:rPr>
                <w:sz w:val="20"/>
              </w:rPr>
              <w:t>Spirits excise tax (dollars per gallon of spirits, off-premise sales; if sales tax is not applied, that amount is deducted)</w:t>
            </w:r>
          </w:p>
        </w:tc>
        <w:tc>
          <w:tcPr>
            <w:tcW w:w="6482" w:type="dxa"/>
            <w:tcBorders>
              <w:top w:val="dotted" w:sz="6" w:space="0" w:color="BEBEBE"/>
            </w:tcBorders>
          </w:tcPr>
          <w:p w14:paraId="76BF1608" w14:textId="77777777" w:rsidR="0046798B" w:rsidRDefault="00903B5C">
            <w:pPr>
              <w:pStyle w:val="TableParagraph"/>
              <w:spacing w:before="40"/>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B35AB6F" w14:textId="77777777">
        <w:trPr>
          <w:trHeight w:val="1240"/>
        </w:trPr>
        <w:tc>
          <w:tcPr>
            <w:tcW w:w="1711" w:type="dxa"/>
          </w:tcPr>
          <w:p w14:paraId="412392BF" w14:textId="77777777" w:rsidR="0046798B" w:rsidRDefault="0046798B">
            <w:pPr>
              <w:pStyle w:val="TableParagraph"/>
            </w:pPr>
          </w:p>
          <w:p w14:paraId="0CC19224" w14:textId="77777777" w:rsidR="0046798B" w:rsidRDefault="0046798B">
            <w:pPr>
              <w:pStyle w:val="TableParagraph"/>
              <w:spacing w:before="9"/>
              <w:rPr>
                <w:sz w:val="21"/>
              </w:rPr>
            </w:pPr>
          </w:p>
          <w:p w14:paraId="79102001" w14:textId="77777777" w:rsidR="0046798B" w:rsidRDefault="00903B5C">
            <w:pPr>
              <w:pStyle w:val="TableParagraph"/>
              <w:ind w:left="115"/>
              <w:rPr>
                <w:b/>
                <w:sz w:val="20"/>
              </w:rPr>
            </w:pPr>
            <w:r>
              <w:rPr>
                <w:b/>
                <w:sz w:val="20"/>
              </w:rPr>
              <w:t>rdrivls</w:t>
            </w:r>
          </w:p>
        </w:tc>
        <w:tc>
          <w:tcPr>
            <w:tcW w:w="1596" w:type="dxa"/>
          </w:tcPr>
          <w:p w14:paraId="7AA8B7A7" w14:textId="77777777" w:rsidR="0046798B" w:rsidRDefault="00903B5C">
            <w:pPr>
              <w:pStyle w:val="TableParagraph"/>
              <w:spacing w:before="43"/>
              <w:ind w:left="114" w:right="180"/>
              <w:rPr>
                <w:sz w:val="20"/>
              </w:rPr>
            </w:pPr>
            <w:r>
              <w:rPr>
                <w:sz w:val="20"/>
              </w:rPr>
              <w:t>Driver’s license suspensions for drug offenses not related to driving</w:t>
            </w:r>
          </w:p>
        </w:tc>
        <w:tc>
          <w:tcPr>
            <w:tcW w:w="1285" w:type="dxa"/>
          </w:tcPr>
          <w:p w14:paraId="359A7416" w14:textId="77777777" w:rsidR="0046798B" w:rsidRDefault="0046798B">
            <w:pPr>
              <w:pStyle w:val="TableParagraph"/>
            </w:pPr>
          </w:p>
          <w:p w14:paraId="0164318F" w14:textId="77777777" w:rsidR="0046798B" w:rsidRDefault="0046798B">
            <w:pPr>
              <w:pStyle w:val="TableParagraph"/>
              <w:spacing w:before="9"/>
              <w:rPr>
                <w:sz w:val="21"/>
              </w:rPr>
            </w:pPr>
          </w:p>
          <w:p w14:paraId="7BCDEBF3" w14:textId="77777777" w:rsidR="0046798B" w:rsidRDefault="00903B5C">
            <w:pPr>
              <w:pStyle w:val="TableParagraph"/>
              <w:ind w:left="114"/>
              <w:rPr>
                <w:sz w:val="20"/>
              </w:rPr>
            </w:pPr>
            <w:r>
              <w:rPr>
                <w:sz w:val="20"/>
              </w:rPr>
              <w:t>2008–2016</w:t>
            </w:r>
          </w:p>
        </w:tc>
        <w:tc>
          <w:tcPr>
            <w:tcW w:w="3421" w:type="dxa"/>
          </w:tcPr>
          <w:p w14:paraId="25E1C18A" w14:textId="77777777" w:rsidR="0046798B" w:rsidRDefault="0046798B">
            <w:pPr>
              <w:pStyle w:val="TableParagraph"/>
              <w:spacing w:before="9"/>
              <w:rPr>
                <w:sz w:val="23"/>
              </w:rPr>
            </w:pPr>
          </w:p>
          <w:p w14:paraId="60CA9EAD" w14:textId="77777777" w:rsidR="0046798B" w:rsidRDefault="00903B5C">
            <w:pPr>
              <w:pStyle w:val="TableParagraph"/>
              <w:ind w:left="114" w:right="198"/>
              <w:rPr>
                <w:sz w:val="20"/>
              </w:rPr>
            </w:pPr>
            <w:r>
              <w:rPr>
                <w:sz w:val="20"/>
              </w:rPr>
              <w:t>Driver’s license suspensions for drug offenses not related to driving (0 = no, 1 = yes)</w:t>
            </w:r>
          </w:p>
        </w:tc>
        <w:tc>
          <w:tcPr>
            <w:tcW w:w="6482" w:type="dxa"/>
          </w:tcPr>
          <w:p w14:paraId="583640FE" w14:textId="77777777" w:rsidR="0046798B" w:rsidRDefault="0046798B">
            <w:pPr>
              <w:pStyle w:val="TableParagraph"/>
              <w:spacing w:before="9"/>
              <w:rPr>
                <w:sz w:val="23"/>
              </w:rPr>
            </w:pPr>
          </w:p>
          <w:p w14:paraId="34682A90" w14:textId="77777777" w:rsidR="0046798B" w:rsidRDefault="00903B5C">
            <w:pPr>
              <w:pStyle w:val="TableParagraph"/>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BCC0C74" w14:textId="77777777">
        <w:trPr>
          <w:trHeight w:val="1465"/>
        </w:trPr>
        <w:tc>
          <w:tcPr>
            <w:tcW w:w="1711" w:type="dxa"/>
          </w:tcPr>
          <w:p w14:paraId="74FE81FC" w14:textId="77777777" w:rsidR="0046798B" w:rsidRDefault="0046798B">
            <w:pPr>
              <w:pStyle w:val="TableParagraph"/>
            </w:pPr>
          </w:p>
          <w:p w14:paraId="62CD9762" w14:textId="77777777" w:rsidR="0046798B" w:rsidRDefault="0046798B">
            <w:pPr>
              <w:pStyle w:val="TableParagraph"/>
              <w:spacing w:before="4"/>
              <w:rPr>
                <w:sz w:val="31"/>
              </w:rPr>
            </w:pPr>
          </w:p>
          <w:p w14:paraId="043567BE" w14:textId="77777777" w:rsidR="0046798B" w:rsidRDefault="00903B5C">
            <w:pPr>
              <w:pStyle w:val="TableParagraph"/>
              <w:ind w:left="115"/>
              <w:rPr>
                <w:b/>
                <w:sz w:val="20"/>
              </w:rPr>
            </w:pPr>
            <w:r>
              <w:rPr>
                <w:b/>
                <w:sz w:val="20"/>
              </w:rPr>
              <w:t>ibanbar</w:t>
            </w:r>
          </w:p>
        </w:tc>
        <w:tc>
          <w:tcPr>
            <w:tcW w:w="1596" w:type="dxa"/>
          </w:tcPr>
          <w:p w14:paraId="0FD98F09" w14:textId="77777777" w:rsidR="0046798B" w:rsidRDefault="0046798B">
            <w:pPr>
              <w:pStyle w:val="TableParagraph"/>
            </w:pPr>
          </w:p>
          <w:p w14:paraId="285109CA" w14:textId="77777777" w:rsidR="0046798B" w:rsidRDefault="0046798B">
            <w:pPr>
              <w:pStyle w:val="TableParagraph"/>
              <w:spacing w:before="4"/>
              <w:rPr>
                <w:sz w:val="21"/>
              </w:rPr>
            </w:pPr>
          </w:p>
          <w:p w14:paraId="47F142BB" w14:textId="77777777" w:rsidR="0046798B" w:rsidRDefault="00903B5C">
            <w:pPr>
              <w:pStyle w:val="TableParagraph"/>
              <w:ind w:left="114" w:right="190"/>
              <w:rPr>
                <w:sz w:val="20"/>
              </w:rPr>
            </w:pPr>
            <w:r>
              <w:rPr>
                <w:sz w:val="20"/>
              </w:rPr>
              <w:t>Smoking ban— bars</w:t>
            </w:r>
          </w:p>
        </w:tc>
        <w:tc>
          <w:tcPr>
            <w:tcW w:w="1285" w:type="dxa"/>
          </w:tcPr>
          <w:p w14:paraId="0D99CA31" w14:textId="77777777" w:rsidR="0046798B" w:rsidRDefault="0046798B">
            <w:pPr>
              <w:pStyle w:val="TableParagraph"/>
            </w:pPr>
          </w:p>
          <w:p w14:paraId="5FEE6D80" w14:textId="77777777" w:rsidR="0046798B" w:rsidRDefault="0046798B">
            <w:pPr>
              <w:pStyle w:val="TableParagraph"/>
              <w:spacing w:before="4"/>
              <w:rPr>
                <w:sz w:val="31"/>
              </w:rPr>
            </w:pPr>
          </w:p>
          <w:p w14:paraId="58EBAE13" w14:textId="77777777" w:rsidR="0046798B" w:rsidRDefault="00903B5C">
            <w:pPr>
              <w:pStyle w:val="TableParagraph"/>
              <w:ind w:left="114"/>
              <w:rPr>
                <w:sz w:val="20"/>
              </w:rPr>
            </w:pPr>
            <w:r>
              <w:rPr>
                <w:sz w:val="20"/>
              </w:rPr>
              <w:t>2000–2016</w:t>
            </w:r>
          </w:p>
        </w:tc>
        <w:tc>
          <w:tcPr>
            <w:tcW w:w="3421" w:type="dxa"/>
          </w:tcPr>
          <w:p w14:paraId="6482024A" w14:textId="77777777" w:rsidR="0046798B" w:rsidRDefault="00903B5C">
            <w:pPr>
              <w:pStyle w:val="TableParagraph"/>
              <w:spacing w:before="38"/>
              <w:ind w:left="114" w:right="108"/>
              <w:rPr>
                <w:sz w:val="20"/>
              </w:rPr>
            </w:pPr>
            <w:r>
              <w:rPr>
                <w:sz w:val="20"/>
              </w:rPr>
              <w:t>Smoking ban—bars (0 = no or few regulations, 0.5 = some nonsmoking areas required/some bars exempted/more than scattered local bans, 0.75 = smoking only in ventilated areas, 1 = total or near-total ban)</w:t>
            </w:r>
          </w:p>
        </w:tc>
        <w:tc>
          <w:tcPr>
            <w:tcW w:w="6482" w:type="dxa"/>
          </w:tcPr>
          <w:p w14:paraId="6A9EC698" w14:textId="77777777" w:rsidR="0046798B" w:rsidRDefault="0046798B">
            <w:pPr>
              <w:pStyle w:val="TableParagraph"/>
            </w:pPr>
          </w:p>
          <w:p w14:paraId="68359CC4" w14:textId="77777777" w:rsidR="0046798B" w:rsidRDefault="00903B5C">
            <w:pPr>
              <w:pStyle w:val="TableParagraph"/>
              <w:spacing w:before="130"/>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701AA40" w14:textId="77777777">
        <w:trPr>
          <w:trHeight w:val="1235"/>
        </w:trPr>
        <w:tc>
          <w:tcPr>
            <w:tcW w:w="1711" w:type="dxa"/>
          </w:tcPr>
          <w:p w14:paraId="0E06A4A5" w14:textId="77777777" w:rsidR="0046798B" w:rsidRDefault="0046798B">
            <w:pPr>
              <w:pStyle w:val="TableParagraph"/>
            </w:pPr>
          </w:p>
          <w:p w14:paraId="2FE71400" w14:textId="77777777" w:rsidR="0046798B" w:rsidRDefault="0046798B">
            <w:pPr>
              <w:pStyle w:val="TableParagraph"/>
              <w:spacing w:before="4"/>
              <w:rPr>
                <w:sz w:val="21"/>
              </w:rPr>
            </w:pPr>
          </w:p>
          <w:p w14:paraId="4EF71778" w14:textId="77777777" w:rsidR="0046798B" w:rsidRDefault="00903B5C">
            <w:pPr>
              <w:pStyle w:val="TableParagraph"/>
              <w:ind w:left="115"/>
              <w:rPr>
                <w:b/>
                <w:sz w:val="20"/>
              </w:rPr>
            </w:pPr>
            <w:r>
              <w:rPr>
                <w:b/>
                <w:sz w:val="20"/>
              </w:rPr>
              <w:t>ibangov</w:t>
            </w:r>
          </w:p>
        </w:tc>
        <w:tc>
          <w:tcPr>
            <w:tcW w:w="1596" w:type="dxa"/>
          </w:tcPr>
          <w:p w14:paraId="784C3DC4" w14:textId="77777777" w:rsidR="0046798B" w:rsidRDefault="0046798B">
            <w:pPr>
              <w:pStyle w:val="TableParagraph"/>
              <w:spacing w:before="4"/>
              <w:rPr>
                <w:sz w:val="23"/>
              </w:rPr>
            </w:pPr>
          </w:p>
          <w:p w14:paraId="1FEA8CFA" w14:textId="77777777" w:rsidR="0046798B" w:rsidRDefault="00903B5C">
            <w:pPr>
              <w:pStyle w:val="TableParagraph"/>
              <w:ind w:left="114" w:right="190"/>
              <w:rPr>
                <w:sz w:val="20"/>
              </w:rPr>
            </w:pPr>
            <w:r>
              <w:rPr>
                <w:sz w:val="20"/>
              </w:rPr>
              <w:t>Smoking ban— government buildings</w:t>
            </w:r>
          </w:p>
        </w:tc>
        <w:tc>
          <w:tcPr>
            <w:tcW w:w="1285" w:type="dxa"/>
          </w:tcPr>
          <w:p w14:paraId="042F2791" w14:textId="77777777" w:rsidR="0046798B" w:rsidRDefault="0046798B">
            <w:pPr>
              <w:pStyle w:val="TableParagraph"/>
            </w:pPr>
          </w:p>
          <w:p w14:paraId="200DA9DD" w14:textId="77777777" w:rsidR="0046798B" w:rsidRDefault="0046798B">
            <w:pPr>
              <w:pStyle w:val="TableParagraph"/>
              <w:spacing w:before="4"/>
              <w:rPr>
                <w:sz w:val="21"/>
              </w:rPr>
            </w:pPr>
          </w:p>
          <w:p w14:paraId="473A4200" w14:textId="77777777" w:rsidR="0046798B" w:rsidRDefault="00903B5C">
            <w:pPr>
              <w:pStyle w:val="TableParagraph"/>
              <w:ind w:left="114"/>
              <w:rPr>
                <w:sz w:val="20"/>
              </w:rPr>
            </w:pPr>
            <w:r>
              <w:rPr>
                <w:sz w:val="20"/>
              </w:rPr>
              <w:t>2000–2016</w:t>
            </w:r>
          </w:p>
        </w:tc>
        <w:tc>
          <w:tcPr>
            <w:tcW w:w="3421" w:type="dxa"/>
          </w:tcPr>
          <w:p w14:paraId="2102D51D" w14:textId="77777777" w:rsidR="0046798B" w:rsidRDefault="00903B5C">
            <w:pPr>
              <w:pStyle w:val="TableParagraph"/>
              <w:spacing w:before="38"/>
              <w:ind w:left="114" w:right="152"/>
              <w:rPr>
                <w:sz w:val="20"/>
              </w:rPr>
            </w:pPr>
            <w:r>
              <w:rPr>
                <w:sz w:val="20"/>
              </w:rPr>
              <w:t>Smoking ban—government buildings (0 = none, 0.5 = some exceptions/more than scattered local bans, 0.75 = ventilated areas only, 1 = total/near- total ban)</w:t>
            </w:r>
          </w:p>
        </w:tc>
        <w:tc>
          <w:tcPr>
            <w:tcW w:w="6482" w:type="dxa"/>
          </w:tcPr>
          <w:p w14:paraId="04B68E95" w14:textId="77777777" w:rsidR="0046798B" w:rsidRDefault="0046798B">
            <w:pPr>
              <w:pStyle w:val="TableParagraph"/>
              <w:spacing w:before="4"/>
              <w:rPr>
                <w:sz w:val="23"/>
              </w:rPr>
            </w:pPr>
          </w:p>
          <w:p w14:paraId="6A88A3D2" w14:textId="77777777" w:rsidR="0046798B" w:rsidRDefault="00903B5C">
            <w:pPr>
              <w:pStyle w:val="TableParagraph"/>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6BF5FB7" w14:textId="77777777">
        <w:trPr>
          <w:trHeight w:val="1465"/>
        </w:trPr>
        <w:tc>
          <w:tcPr>
            <w:tcW w:w="1711" w:type="dxa"/>
          </w:tcPr>
          <w:p w14:paraId="35ED0F80" w14:textId="77777777" w:rsidR="0046798B" w:rsidRDefault="0046798B">
            <w:pPr>
              <w:pStyle w:val="TableParagraph"/>
            </w:pPr>
          </w:p>
          <w:p w14:paraId="62786875" w14:textId="77777777" w:rsidR="0046798B" w:rsidRDefault="0046798B">
            <w:pPr>
              <w:pStyle w:val="TableParagraph"/>
              <w:spacing w:before="8"/>
              <w:rPr>
                <w:sz w:val="31"/>
              </w:rPr>
            </w:pPr>
          </w:p>
          <w:p w14:paraId="404C2ADE" w14:textId="77777777" w:rsidR="0046798B" w:rsidRDefault="00903B5C">
            <w:pPr>
              <w:pStyle w:val="TableParagraph"/>
              <w:spacing w:before="1"/>
              <w:ind w:left="115"/>
              <w:rPr>
                <w:b/>
                <w:sz w:val="20"/>
              </w:rPr>
            </w:pPr>
            <w:r>
              <w:rPr>
                <w:b/>
                <w:sz w:val="20"/>
              </w:rPr>
              <w:t>ibanrest</w:t>
            </w:r>
          </w:p>
        </w:tc>
        <w:tc>
          <w:tcPr>
            <w:tcW w:w="1596" w:type="dxa"/>
          </w:tcPr>
          <w:p w14:paraId="451562BC" w14:textId="77777777" w:rsidR="0046798B" w:rsidRDefault="0046798B">
            <w:pPr>
              <w:pStyle w:val="TableParagraph"/>
            </w:pPr>
          </w:p>
          <w:p w14:paraId="6079A933" w14:textId="77777777" w:rsidR="0046798B" w:rsidRDefault="0046798B">
            <w:pPr>
              <w:pStyle w:val="TableParagraph"/>
              <w:spacing w:before="1"/>
            </w:pPr>
          </w:p>
          <w:p w14:paraId="365D00BD" w14:textId="77777777" w:rsidR="0046798B" w:rsidRDefault="00903B5C">
            <w:pPr>
              <w:pStyle w:val="TableParagraph"/>
              <w:spacing w:line="235" w:lineRule="auto"/>
              <w:ind w:left="114" w:right="190"/>
              <w:rPr>
                <w:sz w:val="20"/>
              </w:rPr>
            </w:pPr>
            <w:r>
              <w:rPr>
                <w:sz w:val="20"/>
              </w:rPr>
              <w:t>Smoking ban— restaurants</w:t>
            </w:r>
          </w:p>
        </w:tc>
        <w:tc>
          <w:tcPr>
            <w:tcW w:w="1285" w:type="dxa"/>
          </w:tcPr>
          <w:p w14:paraId="28F22C20" w14:textId="77777777" w:rsidR="0046798B" w:rsidRDefault="0046798B">
            <w:pPr>
              <w:pStyle w:val="TableParagraph"/>
            </w:pPr>
          </w:p>
          <w:p w14:paraId="6D939CD1" w14:textId="77777777" w:rsidR="0046798B" w:rsidRDefault="0046798B">
            <w:pPr>
              <w:pStyle w:val="TableParagraph"/>
              <w:spacing w:before="8"/>
              <w:rPr>
                <w:sz w:val="31"/>
              </w:rPr>
            </w:pPr>
          </w:p>
          <w:p w14:paraId="52F3EBEB" w14:textId="77777777" w:rsidR="0046798B" w:rsidRDefault="00903B5C">
            <w:pPr>
              <w:pStyle w:val="TableParagraph"/>
              <w:spacing w:before="1"/>
              <w:ind w:left="114"/>
              <w:rPr>
                <w:sz w:val="20"/>
              </w:rPr>
            </w:pPr>
            <w:r>
              <w:rPr>
                <w:sz w:val="20"/>
              </w:rPr>
              <w:t>2000–2016</w:t>
            </w:r>
          </w:p>
        </w:tc>
        <w:tc>
          <w:tcPr>
            <w:tcW w:w="3421" w:type="dxa"/>
          </w:tcPr>
          <w:p w14:paraId="72AE8915" w14:textId="77777777" w:rsidR="0046798B" w:rsidRDefault="00903B5C">
            <w:pPr>
              <w:pStyle w:val="TableParagraph"/>
              <w:spacing w:before="43"/>
              <w:ind w:left="114" w:right="303"/>
              <w:rPr>
                <w:sz w:val="20"/>
              </w:rPr>
            </w:pPr>
            <w:r>
              <w:rPr>
                <w:sz w:val="20"/>
              </w:rPr>
              <w:t>Smoking ban—restaurants (0 = no or few regulations, 0.5 = some nonsmoking areas required or more than scattered local bans, 0.75 = smoking only in ventilated areas, 1 = total or near-total ban)</w:t>
            </w:r>
          </w:p>
        </w:tc>
        <w:tc>
          <w:tcPr>
            <w:tcW w:w="6482" w:type="dxa"/>
          </w:tcPr>
          <w:p w14:paraId="2CCDEE5B" w14:textId="77777777" w:rsidR="0046798B" w:rsidRDefault="0046798B">
            <w:pPr>
              <w:pStyle w:val="TableParagraph"/>
            </w:pPr>
          </w:p>
          <w:p w14:paraId="733DD91F" w14:textId="77777777" w:rsidR="0046798B" w:rsidRDefault="00903B5C">
            <w:pPr>
              <w:pStyle w:val="TableParagraph"/>
              <w:spacing w:before="137" w:line="237" w:lineRule="auto"/>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F8D1562" w14:textId="77777777">
        <w:trPr>
          <w:trHeight w:val="1695"/>
        </w:trPr>
        <w:tc>
          <w:tcPr>
            <w:tcW w:w="1711" w:type="dxa"/>
          </w:tcPr>
          <w:p w14:paraId="16C7C739" w14:textId="77777777" w:rsidR="0046798B" w:rsidRDefault="0046798B">
            <w:pPr>
              <w:pStyle w:val="TableParagraph"/>
            </w:pPr>
          </w:p>
          <w:p w14:paraId="0932A416" w14:textId="77777777" w:rsidR="0046798B" w:rsidRDefault="0046798B">
            <w:pPr>
              <w:pStyle w:val="TableParagraph"/>
            </w:pPr>
          </w:p>
          <w:p w14:paraId="76CD9351" w14:textId="77777777" w:rsidR="0046798B" w:rsidRDefault="0046798B">
            <w:pPr>
              <w:pStyle w:val="TableParagraph"/>
              <w:spacing w:before="8"/>
              <w:rPr>
                <w:sz w:val="19"/>
              </w:rPr>
            </w:pPr>
          </w:p>
          <w:p w14:paraId="47997486" w14:textId="77777777" w:rsidR="0046798B" w:rsidRDefault="00903B5C">
            <w:pPr>
              <w:pStyle w:val="TableParagraph"/>
              <w:ind w:left="115"/>
              <w:rPr>
                <w:b/>
                <w:sz w:val="20"/>
              </w:rPr>
            </w:pPr>
            <w:r>
              <w:rPr>
                <w:b/>
                <w:sz w:val="20"/>
              </w:rPr>
              <w:t>ibanwork</w:t>
            </w:r>
          </w:p>
        </w:tc>
        <w:tc>
          <w:tcPr>
            <w:tcW w:w="1596" w:type="dxa"/>
          </w:tcPr>
          <w:p w14:paraId="65181A4F" w14:textId="77777777" w:rsidR="0046798B" w:rsidRDefault="0046798B">
            <w:pPr>
              <w:pStyle w:val="TableParagraph"/>
            </w:pPr>
          </w:p>
          <w:p w14:paraId="68B63C89" w14:textId="77777777" w:rsidR="0046798B" w:rsidRDefault="0046798B">
            <w:pPr>
              <w:pStyle w:val="TableParagraph"/>
              <w:spacing w:before="8"/>
              <w:rPr>
                <w:sz w:val="21"/>
              </w:rPr>
            </w:pPr>
          </w:p>
          <w:p w14:paraId="323D4CEE" w14:textId="77777777" w:rsidR="0046798B" w:rsidRDefault="00903B5C">
            <w:pPr>
              <w:pStyle w:val="TableParagraph"/>
              <w:spacing w:before="1"/>
              <w:ind w:left="114" w:right="190"/>
              <w:rPr>
                <w:sz w:val="20"/>
              </w:rPr>
            </w:pPr>
            <w:r>
              <w:rPr>
                <w:sz w:val="20"/>
              </w:rPr>
              <w:t>Smoking ban— private workplaces</w:t>
            </w:r>
          </w:p>
        </w:tc>
        <w:tc>
          <w:tcPr>
            <w:tcW w:w="1285" w:type="dxa"/>
          </w:tcPr>
          <w:p w14:paraId="74BD1548" w14:textId="77777777" w:rsidR="0046798B" w:rsidRDefault="0046798B">
            <w:pPr>
              <w:pStyle w:val="TableParagraph"/>
            </w:pPr>
          </w:p>
          <w:p w14:paraId="14E66EA9" w14:textId="77777777" w:rsidR="0046798B" w:rsidRDefault="0046798B">
            <w:pPr>
              <w:pStyle w:val="TableParagraph"/>
            </w:pPr>
          </w:p>
          <w:p w14:paraId="672FF47A" w14:textId="77777777" w:rsidR="0046798B" w:rsidRDefault="0046798B">
            <w:pPr>
              <w:pStyle w:val="TableParagraph"/>
              <w:spacing w:before="8"/>
              <w:rPr>
                <w:sz w:val="19"/>
              </w:rPr>
            </w:pPr>
          </w:p>
          <w:p w14:paraId="35C2D72B" w14:textId="77777777" w:rsidR="0046798B" w:rsidRDefault="00903B5C">
            <w:pPr>
              <w:pStyle w:val="TableParagraph"/>
              <w:ind w:left="114"/>
              <w:rPr>
                <w:sz w:val="20"/>
              </w:rPr>
            </w:pPr>
            <w:r>
              <w:rPr>
                <w:sz w:val="20"/>
              </w:rPr>
              <w:t>2000–2016</w:t>
            </w:r>
          </w:p>
        </w:tc>
        <w:tc>
          <w:tcPr>
            <w:tcW w:w="3421" w:type="dxa"/>
          </w:tcPr>
          <w:p w14:paraId="0EC56736" w14:textId="77777777" w:rsidR="0046798B" w:rsidRDefault="00903B5C">
            <w:pPr>
              <w:pStyle w:val="TableParagraph"/>
              <w:spacing w:before="43"/>
              <w:ind w:left="114" w:right="120"/>
              <w:rPr>
                <w:sz w:val="20"/>
              </w:rPr>
            </w:pPr>
            <w:r>
              <w:rPr>
                <w:sz w:val="20"/>
              </w:rPr>
              <w:t>Smoking ban—private workplaces (0 = no regulation, 0.25 = minimal regulation, 0.5 = numerous exceptions/designated areas/more than scattered local bans, 0.75 = few exceptions (such as ventilated areas), 1</w:t>
            </w:r>
          </w:p>
          <w:p w14:paraId="46154D3F" w14:textId="77777777" w:rsidR="0046798B" w:rsidRDefault="00903B5C">
            <w:pPr>
              <w:pStyle w:val="TableParagraph"/>
              <w:ind w:left="114"/>
              <w:rPr>
                <w:sz w:val="20"/>
              </w:rPr>
            </w:pPr>
            <w:r>
              <w:rPr>
                <w:sz w:val="20"/>
              </w:rPr>
              <w:t>= total/near total ban)</w:t>
            </w:r>
          </w:p>
        </w:tc>
        <w:tc>
          <w:tcPr>
            <w:tcW w:w="6482" w:type="dxa"/>
          </w:tcPr>
          <w:p w14:paraId="3A41406E" w14:textId="77777777" w:rsidR="0046798B" w:rsidRDefault="0046798B">
            <w:pPr>
              <w:pStyle w:val="TableParagraph"/>
            </w:pPr>
          </w:p>
          <w:p w14:paraId="74518DEE" w14:textId="77777777" w:rsidR="0046798B" w:rsidRDefault="0046798B">
            <w:pPr>
              <w:pStyle w:val="TableParagraph"/>
              <w:spacing w:before="8"/>
              <w:rPr>
                <w:sz w:val="21"/>
              </w:rPr>
            </w:pPr>
          </w:p>
          <w:p w14:paraId="77BED8B8"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701F7EF" w14:textId="77777777">
        <w:trPr>
          <w:trHeight w:val="775"/>
        </w:trPr>
        <w:tc>
          <w:tcPr>
            <w:tcW w:w="1711" w:type="dxa"/>
          </w:tcPr>
          <w:p w14:paraId="127A4B43" w14:textId="77777777" w:rsidR="0046798B" w:rsidRDefault="0046798B">
            <w:pPr>
              <w:pStyle w:val="TableParagraph"/>
              <w:spacing w:before="8"/>
              <w:rPr>
                <w:sz w:val="23"/>
              </w:rPr>
            </w:pPr>
          </w:p>
          <w:p w14:paraId="78A60A26" w14:textId="77777777" w:rsidR="0046798B" w:rsidRDefault="00903B5C">
            <w:pPr>
              <w:pStyle w:val="TableParagraph"/>
              <w:spacing w:before="1"/>
              <w:ind w:left="115"/>
              <w:rPr>
                <w:b/>
                <w:sz w:val="20"/>
              </w:rPr>
            </w:pPr>
            <w:r>
              <w:rPr>
                <w:b/>
                <w:sz w:val="20"/>
              </w:rPr>
              <w:t>ismplaw</w:t>
            </w:r>
          </w:p>
        </w:tc>
        <w:tc>
          <w:tcPr>
            <w:tcW w:w="1596" w:type="dxa"/>
          </w:tcPr>
          <w:p w14:paraId="14E05895" w14:textId="77777777" w:rsidR="0046798B" w:rsidRDefault="00903B5C">
            <w:pPr>
              <w:pStyle w:val="TableParagraph"/>
              <w:spacing w:before="158"/>
              <w:ind w:left="114" w:right="213"/>
              <w:rPr>
                <w:sz w:val="20"/>
              </w:rPr>
            </w:pPr>
            <w:r>
              <w:rPr>
                <w:sz w:val="20"/>
              </w:rPr>
              <w:t>Regulations for “smoker</w:t>
            </w:r>
          </w:p>
        </w:tc>
        <w:tc>
          <w:tcPr>
            <w:tcW w:w="1285" w:type="dxa"/>
          </w:tcPr>
          <w:p w14:paraId="7DB2FA82" w14:textId="77777777" w:rsidR="0046798B" w:rsidRDefault="0046798B">
            <w:pPr>
              <w:pStyle w:val="TableParagraph"/>
              <w:spacing w:before="8"/>
              <w:rPr>
                <w:sz w:val="23"/>
              </w:rPr>
            </w:pPr>
          </w:p>
          <w:p w14:paraId="564137C6" w14:textId="77777777" w:rsidR="0046798B" w:rsidRDefault="00903B5C">
            <w:pPr>
              <w:pStyle w:val="TableParagraph"/>
              <w:spacing w:before="1"/>
              <w:ind w:left="114"/>
              <w:rPr>
                <w:sz w:val="20"/>
              </w:rPr>
            </w:pPr>
            <w:r>
              <w:rPr>
                <w:sz w:val="20"/>
              </w:rPr>
              <w:t>2000–2016</w:t>
            </w:r>
          </w:p>
        </w:tc>
        <w:tc>
          <w:tcPr>
            <w:tcW w:w="3421" w:type="dxa"/>
          </w:tcPr>
          <w:p w14:paraId="1F058C29" w14:textId="77777777" w:rsidR="0046798B" w:rsidRDefault="00903B5C">
            <w:pPr>
              <w:pStyle w:val="TableParagraph"/>
              <w:spacing w:before="43"/>
              <w:ind w:left="114" w:right="155"/>
              <w:rPr>
                <w:sz w:val="20"/>
              </w:rPr>
            </w:pPr>
            <w:r>
              <w:rPr>
                <w:sz w:val="20"/>
              </w:rPr>
              <w:t>Regulations for “smoker protection” in employment?</w:t>
            </w:r>
          </w:p>
        </w:tc>
        <w:tc>
          <w:tcPr>
            <w:tcW w:w="6482" w:type="dxa"/>
          </w:tcPr>
          <w:p w14:paraId="32DEC395"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11914645" w14:textId="77777777" w:rsidR="0046798B" w:rsidRDefault="0046798B">
      <w:pPr>
        <w:rPr>
          <w:sz w:val="20"/>
        </w:rPr>
        <w:sectPr w:rsidR="0046798B">
          <w:pgSz w:w="15840" w:h="12240" w:orient="landscape"/>
          <w:pgMar w:top="1220" w:right="300" w:bottom="980" w:left="820" w:header="730" w:footer="787" w:gutter="0"/>
          <w:cols w:space="720"/>
        </w:sectPr>
      </w:pPr>
    </w:p>
    <w:p w14:paraId="0D41929F"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3651070D" w14:textId="77777777">
        <w:trPr>
          <w:trHeight w:val="1235"/>
        </w:trPr>
        <w:tc>
          <w:tcPr>
            <w:tcW w:w="1711" w:type="dxa"/>
          </w:tcPr>
          <w:p w14:paraId="27A2912A" w14:textId="77777777" w:rsidR="0046798B" w:rsidRDefault="0046798B">
            <w:pPr>
              <w:pStyle w:val="TableParagraph"/>
              <w:rPr>
                <w:sz w:val="20"/>
              </w:rPr>
            </w:pPr>
          </w:p>
        </w:tc>
        <w:tc>
          <w:tcPr>
            <w:tcW w:w="1596" w:type="dxa"/>
          </w:tcPr>
          <w:p w14:paraId="22A7C2F7" w14:textId="77777777" w:rsidR="0046798B" w:rsidRDefault="00903B5C">
            <w:pPr>
              <w:pStyle w:val="TableParagraph"/>
              <w:spacing w:before="43"/>
              <w:ind w:left="114" w:right="346"/>
              <w:rPr>
                <w:sz w:val="20"/>
              </w:rPr>
            </w:pPr>
            <w:r>
              <w:rPr>
                <w:sz w:val="20"/>
              </w:rPr>
              <w:t>protection” in employment</w:t>
            </w:r>
          </w:p>
        </w:tc>
        <w:tc>
          <w:tcPr>
            <w:tcW w:w="1285" w:type="dxa"/>
          </w:tcPr>
          <w:p w14:paraId="18EF34E1" w14:textId="77777777" w:rsidR="0046798B" w:rsidRDefault="0046798B">
            <w:pPr>
              <w:pStyle w:val="TableParagraph"/>
              <w:rPr>
                <w:sz w:val="20"/>
              </w:rPr>
            </w:pPr>
          </w:p>
        </w:tc>
        <w:tc>
          <w:tcPr>
            <w:tcW w:w="3421" w:type="dxa"/>
          </w:tcPr>
          <w:p w14:paraId="2BCC6997" w14:textId="77777777" w:rsidR="0046798B" w:rsidRDefault="00903B5C">
            <w:pPr>
              <w:pStyle w:val="TableParagraph"/>
              <w:spacing w:before="43"/>
              <w:ind w:left="114" w:right="216"/>
              <w:rPr>
                <w:sz w:val="20"/>
              </w:rPr>
            </w:pPr>
            <w:r>
              <w:rPr>
                <w:sz w:val="20"/>
              </w:rPr>
              <w:t>0 = no; 0.5 = yes, but (implicitly or explicitly) insurance discrimination or incentives to stop smoking allowed; 1</w:t>
            </w:r>
          </w:p>
          <w:p w14:paraId="5BFB9521" w14:textId="77777777" w:rsidR="0046798B" w:rsidRDefault="00903B5C">
            <w:pPr>
              <w:pStyle w:val="TableParagraph"/>
              <w:ind w:left="114" w:right="437"/>
              <w:rPr>
                <w:sz w:val="20"/>
              </w:rPr>
            </w:pPr>
            <w:r>
              <w:rPr>
                <w:sz w:val="20"/>
              </w:rPr>
              <w:t>= yes, and insurance discrimination banned</w:t>
            </w:r>
          </w:p>
        </w:tc>
        <w:tc>
          <w:tcPr>
            <w:tcW w:w="6482" w:type="dxa"/>
          </w:tcPr>
          <w:p w14:paraId="5D94F392" w14:textId="77777777" w:rsidR="0046798B" w:rsidRDefault="0046798B">
            <w:pPr>
              <w:pStyle w:val="TableParagraph"/>
              <w:rPr>
                <w:sz w:val="20"/>
              </w:rPr>
            </w:pPr>
          </w:p>
        </w:tc>
      </w:tr>
      <w:tr w:rsidR="0046798B" w14:paraId="4BD25F0F" w14:textId="77777777">
        <w:trPr>
          <w:trHeight w:val="1235"/>
        </w:trPr>
        <w:tc>
          <w:tcPr>
            <w:tcW w:w="1711" w:type="dxa"/>
          </w:tcPr>
          <w:p w14:paraId="5D883D7C" w14:textId="77777777" w:rsidR="0046798B" w:rsidRDefault="0046798B">
            <w:pPr>
              <w:pStyle w:val="TableParagraph"/>
            </w:pPr>
          </w:p>
          <w:p w14:paraId="4EABADFD" w14:textId="77777777" w:rsidR="0046798B" w:rsidRDefault="0046798B">
            <w:pPr>
              <w:pStyle w:val="TableParagraph"/>
              <w:spacing w:before="9"/>
              <w:rPr>
                <w:sz w:val="21"/>
              </w:rPr>
            </w:pPr>
          </w:p>
          <w:p w14:paraId="2B3EAAFD" w14:textId="77777777" w:rsidR="0046798B" w:rsidRDefault="00903B5C">
            <w:pPr>
              <w:pStyle w:val="TableParagraph"/>
              <w:ind w:left="115"/>
              <w:rPr>
                <w:b/>
                <w:sz w:val="20"/>
              </w:rPr>
            </w:pPr>
            <w:r>
              <w:rPr>
                <w:b/>
                <w:sz w:val="20"/>
              </w:rPr>
              <w:t>iminage</w:t>
            </w:r>
          </w:p>
        </w:tc>
        <w:tc>
          <w:tcPr>
            <w:tcW w:w="1596" w:type="dxa"/>
          </w:tcPr>
          <w:p w14:paraId="1E326ADA" w14:textId="77777777" w:rsidR="0046798B" w:rsidRDefault="00903B5C">
            <w:pPr>
              <w:pStyle w:val="TableParagraph"/>
              <w:spacing w:before="158"/>
              <w:ind w:left="114" w:right="213"/>
              <w:rPr>
                <w:sz w:val="20"/>
              </w:rPr>
            </w:pPr>
            <w:r>
              <w:rPr>
                <w:sz w:val="20"/>
              </w:rPr>
              <w:t>Minimum legal sale age of 21 for tobacco products</w:t>
            </w:r>
          </w:p>
        </w:tc>
        <w:tc>
          <w:tcPr>
            <w:tcW w:w="1285" w:type="dxa"/>
          </w:tcPr>
          <w:p w14:paraId="0F39F6DA" w14:textId="77777777" w:rsidR="0046798B" w:rsidRDefault="0046798B">
            <w:pPr>
              <w:pStyle w:val="TableParagraph"/>
            </w:pPr>
          </w:p>
          <w:p w14:paraId="3DBFD1E0" w14:textId="77777777" w:rsidR="0046798B" w:rsidRDefault="0046798B">
            <w:pPr>
              <w:pStyle w:val="TableParagraph"/>
              <w:spacing w:before="9"/>
              <w:rPr>
                <w:sz w:val="21"/>
              </w:rPr>
            </w:pPr>
          </w:p>
          <w:p w14:paraId="02E35F90" w14:textId="77777777" w:rsidR="0046798B" w:rsidRDefault="00903B5C">
            <w:pPr>
              <w:pStyle w:val="TableParagraph"/>
              <w:ind w:left="114"/>
              <w:rPr>
                <w:sz w:val="20"/>
              </w:rPr>
            </w:pPr>
            <w:r>
              <w:rPr>
                <w:sz w:val="20"/>
              </w:rPr>
              <w:t>2000–2016</w:t>
            </w:r>
          </w:p>
        </w:tc>
        <w:tc>
          <w:tcPr>
            <w:tcW w:w="3421" w:type="dxa"/>
          </w:tcPr>
          <w:p w14:paraId="67D5BAFA" w14:textId="77777777" w:rsidR="0046798B" w:rsidRDefault="00903B5C">
            <w:pPr>
              <w:pStyle w:val="TableParagraph"/>
              <w:spacing w:before="43"/>
              <w:ind w:left="114" w:right="189"/>
              <w:rPr>
                <w:sz w:val="20"/>
              </w:rPr>
            </w:pPr>
            <w:r>
              <w:rPr>
                <w:sz w:val="20"/>
              </w:rPr>
              <w:t>Minimum legal sale age of 21 for tobacco products (0 = no, 0.5 = significant local minimums that represent more than 20% of state pop., 1 = yes)</w:t>
            </w:r>
          </w:p>
        </w:tc>
        <w:tc>
          <w:tcPr>
            <w:tcW w:w="6482" w:type="dxa"/>
          </w:tcPr>
          <w:p w14:paraId="0D72F459" w14:textId="77777777" w:rsidR="0046798B" w:rsidRDefault="0046798B">
            <w:pPr>
              <w:pStyle w:val="TableParagraph"/>
              <w:spacing w:before="9"/>
              <w:rPr>
                <w:sz w:val="23"/>
              </w:rPr>
            </w:pPr>
          </w:p>
          <w:p w14:paraId="0E14B78D"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52CF08D" w14:textId="77777777">
        <w:trPr>
          <w:trHeight w:val="780"/>
        </w:trPr>
        <w:tc>
          <w:tcPr>
            <w:tcW w:w="1711" w:type="dxa"/>
          </w:tcPr>
          <w:p w14:paraId="60959D30" w14:textId="77777777" w:rsidR="0046798B" w:rsidRDefault="0046798B">
            <w:pPr>
              <w:pStyle w:val="TableParagraph"/>
              <w:spacing w:before="9"/>
              <w:rPr>
                <w:sz w:val="23"/>
              </w:rPr>
            </w:pPr>
          </w:p>
          <w:p w14:paraId="66BC1300" w14:textId="77777777" w:rsidR="0046798B" w:rsidRDefault="00903B5C">
            <w:pPr>
              <w:pStyle w:val="TableParagraph"/>
              <w:ind w:left="115"/>
              <w:rPr>
                <w:b/>
                <w:sz w:val="20"/>
              </w:rPr>
            </w:pPr>
            <w:r>
              <w:rPr>
                <w:b/>
                <w:sz w:val="20"/>
              </w:rPr>
              <w:t>inetpurc</w:t>
            </w:r>
          </w:p>
        </w:tc>
        <w:tc>
          <w:tcPr>
            <w:tcW w:w="1596" w:type="dxa"/>
          </w:tcPr>
          <w:p w14:paraId="5831DBAA" w14:textId="77777777" w:rsidR="0046798B" w:rsidRDefault="00903B5C">
            <w:pPr>
              <w:pStyle w:val="TableParagraph"/>
              <w:spacing w:before="43"/>
              <w:ind w:left="114" w:right="246"/>
              <w:rPr>
                <w:sz w:val="20"/>
              </w:rPr>
            </w:pPr>
            <w:r>
              <w:rPr>
                <w:sz w:val="20"/>
              </w:rPr>
              <w:t>Regulations on Internet purchases</w:t>
            </w:r>
          </w:p>
        </w:tc>
        <w:tc>
          <w:tcPr>
            <w:tcW w:w="1285" w:type="dxa"/>
          </w:tcPr>
          <w:p w14:paraId="0BC4DB7B" w14:textId="77777777" w:rsidR="0046798B" w:rsidRDefault="0046798B">
            <w:pPr>
              <w:pStyle w:val="TableParagraph"/>
              <w:spacing w:before="9"/>
              <w:rPr>
                <w:sz w:val="23"/>
              </w:rPr>
            </w:pPr>
          </w:p>
          <w:p w14:paraId="1A24C58B" w14:textId="77777777" w:rsidR="0046798B" w:rsidRDefault="00903B5C">
            <w:pPr>
              <w:pStyle w:val="TableParagraph"/>
              <w:ind w:left="114"/>
              <w:rPr>
                <w:sz w:val="20"/>
              </w:rPr>
            </w:pPr>
            <w:r>
              <w:rPr>
                <w:sz w:val="20"/>
              </w:rPr>
              <w:t>2000–2016</w:t>
            </w:r>
          </w:p>
        </w:tc>
        <w:tc>
          <w:tcPr>
            <w:tcW w:w="3421" w:type="dxa"/>
          </w:tcPr>
          <w:p w14:paraId="0FBB2065" w14:textId="77777777" w:rsidR="0046798B" w:rsidRDefault="00903B5C">
            <w:pPr>
              <w:pStyle w:val="TableParagraph"/>
              <w:spacing w:before="158"/>
              <w:ind w:left="114" w:right="92"/>
              <w:rPr>
                <w:sz w:val="20"/>
              </w:rPr>
            </w:pPr>
            <w:r>
              <w:rPr>
                <w:sz w:val="20"/>
              </w:rPr>
              <w:t>Regulations on Internet purchases? (0 = no, or minimal; 1 = yes)</w:t>
            </w:r>
          </w:p>
        </w:tc>
        <w:tc>
          <w:tcPr>
            <w:tcW w:w="6482" w:type="dxa"/>
          </w:tcPr>
          <w:p w14:paraId="18D66D54"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FDD0FE0" w14:textId="77777777">
        <w:trPr>
          <w:trHeight w:val="1005"/>
        </w:trPr>
        <w:tc>
          <w:tcPr>
            <w:tcW w:w="1711" w:type="dxa"/>
          </w:tcPr>
          <w:p w14:paraId="58154489" w14:textId="77777777" w:rsidR="0046798B" w:rsidRDefault="0046798B">
            <w:pPr>
              <w:pStyle w:val="TableParagraph"/>
            </w:pPr>
          </w:p>
          <w:p w14:paraId="42F32A97" w14:textId="77777777" w:rsidR="0046798B" w:rsidRDefault="00903B5C">
            <w:pPr>
              <w:pStyle w:val="TableParagraph"/>
              <w:spacing w:before="130"/>
              <w:ind w:left="115"/>
              <w:rPr>
                <w:b/>
                <w:sz w:val="20"/>
              </w:rPr>
            </w:pPr>
            <w:r>
              <w:rPr>
                <w:b/>
                <w:sz w:val="20"/>
              </w:rPr>
              <w:t>ivend</w:t>
            </w:r>
          </w:p>
        </w:tc>
        <w:tc>
          <w:tcPr>
            <w:tcW w:w="1596" w:type="dxa"/>
          </w:tcPr>
          <w:p w14:paraId="05B5AF23" w14:textId="77777777" w:rsidR="0046798B" w:rsidRDefault="00903B5C">
            <w:pPr>
              <w:pStyle w:val="TableParagraph"/>
              <w:spacing w:before="153"/>
              <w:ind w:left="114" w:right="246"/>
              <w:rPr>
                <w:sz w:val="20"/>
              </w:rPr>
            </w:pPr>
            <w:r>
              <w:rPr>
                <w:sz w:val="20"/>
              </w:rPr>
              <w:t>Regulations on vending machines</w:t>
            </w:r>
          </w:p>
        </w:tc>
        <w:tc>
          <w:tcPr>
            <w:tcW w:w="1285" w:type="dxa"/>
          </w:tcPr>
          <w:p w14:paraId="260C81BF" w14:textId="77777777" w:rsidR="0046798B" w:rsidRDefault="0046798B">
            <w:pPr>
              <w:pStyle w:val="TableParagraph"/>
            </w:pPr>
          </w:p>
          <w:p w14:paraId="48DA406C" w14:textId="77777777" w:rsidR="0046798B" w:rsidRDefault="00903B5C">
            <w:pPr>
              <w:pStyle w:val="TableParagraph"/>
              <w:spacing w:before="130"/>
              <w:ind w:left="114"/>
              <w:rPr>
                <w:sz w:val="20"/>
              </w:rPr>
            </w:pPr>
            <w:r>
              <w:rPr>
                <w:sz w:val="20"/>
              </w:rPr>
              <w:t>2000–2016</w:t>
            </w:r>
          </w:p>
        </w:tc>
        <w:tc>
          <w:tcPr>
            <w:tcW w:w="3421" w:type="dxa"/>
          </w:tcPr>
          <w:p w14:paraId="77E6465F" w14:textId="77777777" w:rsidR="0046798B" w:rsidRDefault="00903B5C">
            <w:pPr>
              <w:pStyle w:val="TableParagraph"/>
              <w:spacing w:before="38"/>
              <w:ind w:left="114" w:right="192"/>
              <w:rPr>
                <w:sz w:val="20"/>
              </w:rPr>
            </w:pPr>
            <w:r>
              <w:rPr>
                <w:sz w:val="20"/>
              </w:rPr>
              <w:t>Regulations on vending machines (0 = age restrictions/supervision requirements only, 0.5 = “hard” location restrictions, 1 = banned)</w:t>
            </w:r>
          </w:p>
        </w:tc>
        <w:tc>
          <w:tcPr>
            <w:tcW w:w="6482" w:type="dxa"/>
          </w:tcPr>
          <w:p w14:paraId="5826B43B" w14:textId="77777777" w:rsidR="0046798B" w:rsidRDefault="00903B5C">
            <w:pPr>
              <w:pStyle w:val="TableParagraph"/>
              <w:spacing w:before="15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EEEA478" w14:textId="77777777">
        <w:trPr>
          <w:trHeight w:val="1235"/>
        </w:trPr>
        <w:tc>
          <w:tcPr>
            <w:tcW w:w="1711" w:type="dxa"/>
          </w:tcPr>
          <w:p w14:paraId="3EB6F96A" w14:textId="77777777" w:rsidR="0046798B" w:rsidRDefault="0046798B">
            <w:pPr>
              <w:pStyle w:val="TableParagraph"/>
            </w:pPr>
          </w:p>
          <w:p w14:paraId="0C8B26B6" w14:textId="77777777" w:rsidR="0046798B" w:rsidRDefault="0046798B">
            <w:pPr>
              <w:pStyle w:val="TableParagraph"/>
              <w:spacing w:before="3"/>
              <w:rPr>
                <w:sz w:val="21"/>
              </w:rPr>
            </w:pPr>
          </w:p>
          <w:p w14:paraId="5158C75E" w14:textId="77777777" w:rsidR="0046798B" w:rsidRDefault="00903B5C">
            <w:pPr>
              <w:pStyle w:val="TableParagraph"/>
              <w:spacing w:before="1"/>
              <w:ind w:left="115"/>
              <w:rPr>
                <w:b/>
                <w:sz w:val="20"/>
              </w:rPr>
            </w:pPr>
            <w:r>
              <w:rPr>
                <w:b/>
                <w:sz w:val="20"/>
              </w:rPr>
              <w:t>icigtaxraw</w:t>
            </w:r>
          </w:p>
        </w:tc>
        <w:tc>
          <w:tcPr>
            <w:tcW w:w="1596" w:type="dxa"/>
          </w:tcPr>
          <w:p w14:paraId="55E54447" w14:textId="77777777" w:rsidR="0046798B" w:rsidRDefault="00903B5C">
            <w:pPr>
              <w:pStyle w:val="TableParagraph"/>
              <w:spacing w:before="38"/>
              <w:ind w:left="114" w:right="119"/>
              <w:rPr>
                <w:sz w:val="20"/>
              </w:rPr>
            </w:pPr>
            <w:r>
              <w:rPr>
                <w:sz w:val="20"/>
              </w:rPr>
              <w:t>Cigarette tax per pack of 20, including maximum local taxes, in dollars</w:t>
            </w:r>
          </w:p>
        </w:tc>
        <w:tc>
          <w:tcPr>
            <w:tcW w:w="1285" w:type="dxa"/>
          </w:tcPr>
          <w:p w14:paraId="57793D8B" w14:textId="77777777" w:rsidR="0046798B" w:rsidRDefault="0046798B">
            <w:pPr>
              <w:pStyle w:val="TableParagraph"/>
            </w:pPr>
          </w:p>
          <w:p w14:paraId="613AF0F5" w14:textId="77777777" w:rsidR="0046798B" w:rsidRDefault="0046798B">
            <w:pPr>
              <w:pStyle w:val="TableParagraph"/>
              <w:spacing w:before="3"/>
              <w:rPr>
                <w:sz w:val="21"/>
              </w:rPr>
            </w:pPr>
          </w:p>
          <w:p w14:paraId="2D3AE3B0" w14:textId="77777777" w:rsidR="0046798B" w:rsidRDefault="00903B5C">
            <w:pPr>
              <w:pStyle w:val="TableParagraph"/>
              <w:spacing w:before="1"/>
              <w:ind w:left="114"/>
              <w:rPr>
                <w:sz w:val="20"/>
              </w:rPr>
            </w:pPr>
            <w:r>
              <w:rPr>
                <w:sz w:val="20"/>
              </w:rPr>
              <w:t>2000–2016</w:t>
            </w:r>
          </w:p>
        </w:tc>
        <w:tc>
          <w:tcPr>
            <w:tcW w:w="3421" w:type="dxa"/>
          </w:tcPr>
          <w:p w14:paraId="473D9401" w14:textId="77777777" w:rsidR="0046798B" w:rsidRDefault="0046798B">
            <w:pPr>
              <w:pStyle w:val="TableParagraph"/>
            </w:pPr>
          </w:p>
          <w:p w14:paraId="2063C5A1" w14:textId="77777777" w:rsidR="0046798B" w:rsidRDefault="00903B5C">
            <w:pPr>
              <w:pStyle w:val="TableParagraph"/>
              <w:spacing w:before="130"/>
              <w:ind w:left="114" w:right="194"/>
              <w:rPr>
                <w:sz w:val="20"/>
              </w:rPr>
            </w:pPr>
            <w:r>
              <w:rPr>
                <w:sz w:val="20"/>
              </w:rPr>
              <w:t>Cigarette tax per pack of 20, including maximum local taxes, in dollars</w:t>
            </w:r>
          </w:p>
        </w:tc>
        <w:tc>
          <w:tcPr>
            <w:tcW w:w="6482" w:type="dxa"/>
          </w:tcPr>
          <w:p w14:paraId="2EA16E1B" w14:textId="77777777" w:rsidR="0046798B" w:rsidRDefault="0046798B">
            <w:pPr>
              <w:pStyle w:val="TableParagraph"/>
              <w:spacing w:before="3"/>
              <w:rPr>
                <w:sz w:val="23"/>
              </w:rPr>
            </w:pPr>
          </w:p>
          <w:p w14:paraId="0209D9A1"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BAF0350" w14:textId="77777777">
        <w:trPr>
          <w:trHeight w:val="775"/>
        </w:trPr>
        <w:tc>
          <w:tcPr>
            <w:tcW w:w="1711" w:type="dxa"/>
          </w:tcPr>
          <w:p w14:paraId="3428652A" w14:textId="77777777" w:rsidR="0046798B" w:rsidRDefault="0046798B">
            <w:pPr>
              <w:pStyle w:val="TableParagraph"/>
              <w:spacing w:before="8"/>
              <w:rPr>
                <w:sz w:val="23"/>
              </w:rPr>
            </w:pPr>
          </w:p>
          <w:p w14:paraId="0CBDD760" w14:textId="77777777" w:rsidR="0046798B" w:rsidRDefault="00903B5C">
            <w:pPr>
              <w:pStyle w:val="TableParagraph"/>
              <w:spacing w:before="1"/>
              <w:ind w:left="115"/>
              <w:rPr>
                <w:b/>
                <w:sz w:val="20"/>
              </w:rPr>
            </w:pPr>
            <w:r>
              <w:rPr>
                <w:b/>
                <w:sz w:val="20"/>
              </w:rPr>
              <w:t>icigtax</w:t>
            </w:r>
          </w:p>
        </w:tc>
        <w:tc>
          <w:tcPr>
            <w:tcW w:w="1596" w:type="dxa"/>
          </w:tcPr>
          <w:p w14:paraId="69FC2C8E" w14:textId="77777777" w:rsidR="0046798B" w:rsidRDefault="00903B5C">
            <w:pPr>
              <w:pStyle w:val="TableParagraph"/>
              <w:spacing w:before="158"/>
              <w:ind w:left="114" w:right="347"/>
              <w:rPr>
                <w:sz w:val="20"/>
              </w:rPr>
            </w:pPr>
            <w:r>
              <w:rPr>
                <w:sz w:val="20"/>
              </w:rPr>
              <w:t>Real cigarette tax per pack</w:t>
            </w:r>
          </w:p>
        </w:tc>
        <w:tc>
          <w:tcPr>
            <w:tcW w:w="1285" w:type="dxa"/>
          </w:tcPr>
          <w:p w14:paraId="0A4623A6" w14:textId="77777777" w:rsidR="0046798B" w:rsidRDefault="0046798B">
            <w:pPr>
              <w:pStyle w:val="TableParagraph"/>
              <w:spacing w:before="8"/>
              <w:rPr>
                <w:sz w:val="23"/>
              </w:rPr>
            </w:pPr>
          </w:p>
          <w:p w14:paraId="3FD24589" w14:textId="77777777" w:rsidR="0046798B" w:rsidRDefault="00903B5C">
            <w:pPr>
              <w:pStyle w:val="TableParagraph"/>
              <w:spacing w:before="1"/>
              <w:ind w:left="114"/>
              <w:rPr>
                <w:sz w:val="20"/>
              </w:rPr>
            </w:pPr>
            <w:r>
              <w:rPr>
                <w:sz w:val="20"/>
              </w:rPr>
              <w:t>2000–2016</w:t>
            </w:r>
          </w:p>
        </w:tc>
        <w:tc>
          <w:tcPr>
            <w:tcW w:w="3421" w:type="dxa"/>
          </w:tcPr>
          <w:p w14:paraId="00C27563" w14:textId="77777777" w:rsidR="0046798B" w:rsidRDefault="00903B5C">
            <w:pPr>
              <w:pStyle w:val="TableParagraph"/>
              <w:spacing w:before="158"/>
              <w:ind w:left="114" w:right="184"/>
              <w:rPr>
                <w:sz w:val="20"/>
              </w:rPr>
            </w:pPr>
            <w:r>
              <w:rPr>
                <w:sz w:val="20"/>
              </w:rPr>
              <w:t>Real cigarette tax per pack (icigtaxraw in 2015 dollars)</w:t>
            </w:r>
          </w:p>
        </w:tc>
        <w:tc>
          <w:tcPr>
            <w:tcW w:w="6482" w:type="dxa"/>
          </w:tcPr>
          <w:p w14:paraId="3F1DF78F" w14:textId="77777777" w:rsidR="0046798B" w:rsidRDefault="00903B5C">
            <w:pPr>
              <w:pStyle w:val="TableParagraph"/>
              <w:spacing w:before="45" w:line="237" w:lineRule="auto"/>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F1927EB" w14:textId="77777777">
        <w:trPr>
          <w:trHeight w:val="1695"/>
        </w:trPr>
        <w:tc>
          <w:tcPr>
            <w:tcW w:w="1711" w:type="dxa"/>
          </w:tcPr>
          <w:p w14:paraId="041EFB9E" w14:textId="77777777" w:rsidR="0046798B" w:rsidRDefault="0046798B">
            <w:pPr>
              <w:pStyle w:val="TableParagraph"/>
            </w:pPr>
          </w:p>
          <w:p w14:paraId="33A79113" w14:textId="77777777" w:rsidR="0046798B" w:rsidRDefault="0046798B">
            <w:pPr>
              <w:pStyle w:val="TableParagraph"/>
            </w:pPr>
          </w:p>
          <w:p w14:paraId="3E7553FA" w14:textId="77777777" w:rsidR="0046798B" w:rsidRDefault="0046798B">
            <w:pPr>
              <w:pStyle w:val="TableParagraph"/>
              <w:spacing w:before="9"/>
              <w:rPr>
                <w:sz w:val="19"/>
              </w:rPr>
            </w:pPr>
          </w:p>
          <w:p w14:paraId="36238200" w14:textId="77777777" w:rsidR="0046798B" w:rsidRDefault="00903B5C">
            <w:pPr>
              <w:pStyle w:val="TableParagraph"/>
              <w:ind w:left="115"/>
              <w:rPr>
                <w:b/>
                <w:sz w:val="20"/>
              </w:rPr>
            </w:pPr>
            <w:r>
              <w:rPr>
                <w:b/>
                <w:sz w:val="20"/>
              </w:rPr>
              <w:t>iindex</w:t>
            </w:r>
          </w:p>
        </w:tc>
        <w:tc>
          <w:tcPr>
            <w:tcW w:w="1596" w:type="dxa"/>
          </w:tcPr>
          <w:p w14:paraId="0B3F0E39" w14:textId="77777777" w:rsidR="0046798B" w:rsidRDefault="00903B5C">
            <w:pPr>
              <w:pStyle w:val="TableParagraph"/>
              <w:spacing w:before="43"/>
              <w:ind w:left="114" w:right="102"/>
              <w:rPr>
                <w:sz w:val="20"/>
              </w:rPr>
            </w:pPr>
            <w:r>
              <w:rPr>
                <w:sz w:val="20"/>
              </w:rPr>
              <w:t>First, unrotated principal component: icigtax, ibanrest, ibanbar, ibanwork, ivend, inetpurc</w:t>
            </w:r>
          </w:p>
        </w:tc>
        <w:tc>
          <w:tcPr>
            <w:tcW w:w="1285" w:type="dxa"/>
          </w:tcPr>
          <w:p w14:paraId="0D115A7B" w14:textId="77777777" w:rsidR="0046798B" w:rsidRDefault="0046798B">
            <w:pPr>
              <w:pStyle w:val="TableParagraph"/>
            </w:pPr>
          </w:p>
          <w:p w14:paraId="6DC8D5E1" w14:textId="77777777" w:rsidR="0046798B" w:rsidRDefault="0046798B">
            <w:pPr>
              <w:pStyle w:val="TableParagraph"/>
            </w:pPr>
          </w:p>
          <w:p w14:paraId="4CC21797" w14:textId="77777777" w:rsidR="0046798B" w:rsidRDefault="0046798B">
            <w:pPr>
              <w:pStyle w:val="TableParagraph"/>
              <w:spacing w:before="9"/>
              <w:rPr>
                <w:sz w:val="19"/>
              </w:rPr>
            </w:pPr>
          </w:p>
          <w:p w14:paraId="4D0FE9A0" w14:textId="77777777" w:rsidR="0046798B" w:rsidRDefault="00903B5C">
            <w:pPr>
              <w:pStyle w:val="TableParagraph"/>
              <w:ind w:left="114"/>
              <w:rPr>
                <w:sz w:val="20"/>
              </w:rPr>
            </w:pPr>
            <w:r>
              <w:rPr>
                <w:sz w:val="20"/>
              </w:rPr>
              <w:t>2000-2014</w:t>
            </w:r>
          </w:p>
        </w:tc>
        <w:tc>
          <w:tcPr>
            <w:tcW w:w="3421" w:type="dxa"/>
          </w:tcPr>
          <w:p w14:paraId="76827CEF" w14:textId="77777777" w:rsidR="0046798B" w:rsidRDefault="0046798B">
            <w:pPr>
              <w:pStyle w:val="TableParagraph"/>
            </w:pPr>
          </w:p>
          <w:p w14:paraId="06FFC68D" w14:textId="77777777" w:rsidR="0046798B" w:rsidRDefault="0046798B">
            <w:pPr>
              <w:pStyle w:val="TableParagraph"/>
              <w:spacing w:before="9"/>
              <w:rPr>
                <w:sz w:val="21"/>
              </w:rPr>
            </w:pPr>
          </w:p>
          <w:p w14:paraId="1D70CE17" w14:textId="77777777" w:rsidR="0046798B" w:rsidRDefault="00903B5C">
            <w:pPr>
              <w:pStyle w:val="TableParagraph"/>
              <w:ind w:left="114" w:right="355"/>
              <w:rPr>
                <w:sz w:val="20"/>
              </w:rPr>
            </w:pPr>
            <w:r>
              <w:rPr>
                <w:sz w:val="20"/>
              </w:rPr>
              <w:t>First, unrotated principal component (using R 2.15): icigtax, ibanrest, ibanbar, ibanwork, ivend, inetpurc</w:t>
            </w:r>
          </w:p>
        </w:tc>
        <w:tc>
          <w:tcPr>
            <w:tcW w:w="6482" w:type="dxa"/>
          </w:tcPr>
          <w:p w14:paraId="0B9F0B0C" w14:textId="77777777" w:rsidR="0046798B" w:rsidRDefault="0046798B">
            <w:pPr>
              <w:pStyle w:val="TableParagraph"/>
            </w:pPr>
          </w:p>
          <w:p w14:paraId="6F7771CC" w14:textId="77777777" w:rsidR="0046798B" w:rsidRDefault="0046798B">
            <w:pPr>
              <w:pStyle w:val="TableParagraph"/>
              <w:spacing w:before="9"/>
              <w:rPr>
                <w:sz w:val="21"/>
              </w:rPr>
            </w:pPr>
          </w:p>
          <w:p w14:paraId="54557FEA"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7369ED7" w14:textId="77777777">
        <w:trPr>
          <w:trHeight w:val="1235"/>
        </w:trPr>
        <w:tc>
          <w:tcPr>
            <w:tcW w:w="1711" w:type="dxa"/>
          </w:tcPr>
          <w:p w14:paraId="331D6280" w14:textId="77777777" w:rsidR="0046798B" w:rsidRDefault="0046798B">
            <w:pPr>
              <w:pStyle w:val="TableParagraph"/>
            </w:pPr>
          </w:p>
          <w:p w14:paraId="0958935B" w14:textId="77777777" w:rsidR="0046798B" w:rsidRDefault="0046798B">
            <w:pPr>
              <w:pStyle w:val="TableParagraph"/>
              <w:spacing w:before="8"/>
              <w:rPr>
                <w:sz w:val="21"/>
              </w:rPr>
            </w:pPr>
          </w:p>
          <w:p w14:paraId="2619CF25" w14:textId="77777777" w:rsidR="0046798B" w:rsidRDefault="00903B5C">
            <w:pPr>
              <w:pStyle w:val="TableParagraph"/>
              <w:spacing w:before="1"/>
              <w:ind w:left="115"/>
              <w:rPr>
                <w:b/>
                <w:sz w:val="20"/>
              </w:rPr>
            </w:pPr>
            <w:r>
              <w:rPr>
                <w:b/>
                <w:sz w:val="20"/>
              </w:rPr>
              <w:t>cig_taxes_binary</w:t>
            </w:r>
          </w:p>
        </w:tc>
        <w:tc>
          <w:tcPr>
            <w:tcW w:w="1596" w:type="dxa"/>
          </w:tcPr>
          <w:p w14:paraId="472C840D" w14:textId="77777777" w:rsidR="0046798B" w:rsidRDefault="0046798B">
            <w:pPr>
              <w:pStyle w:val="TableParagraph"/>
            </w:pPr>
          </w:p>
          <w:p w14:paraId="11D2B6C0" w14:textId="77777777" w:rsidR="0046798B" w:rsidRDefault="0046798B">
            <w:pPr>
              <w:pStyle w:val="TableParagraph"/>
              <w:spacing w:before="8"/>
              <w:rPr>
                <w:sz w:val="21"/>
              </w:rPr>
            </w:pPr>
          </w:p>
          <w:p w14:paraId="5BB996ED" w14:textId="77777777" w:rsidR="0046798B" w:rsidRDefault="00903B5C">
            <w:pPr>
              <w:pStyle w:val="TableParagraph"/>
              <w:spacing w:before="1"/>
              <w:ind w:left="114"/>
              <w:rPr>
                <w:sz w:val="20"/>
              </w:rPr>
            </w:pPr>
            <w:r>
              <w:rPr>
                <w:sz w:val="20"/>
              </w:rPr>
              <w:t>Cigarette tax</w:t>
            </w:r>
          </w:p>
        </w:tc>
        <w:tc>
          <w:tcPr>
            <w:tcW w:w="1285" w:type="dxa"/>
          </w:tcPr>
          <w:p w14:paraId="79DFDE42" w14:textId="77777777" w:rsidR="0046798B" w:rsidRDefault="0046798B">
            <w:pPr>
              <w:pStyle w:val="TableParagraph"/>
            </w:pPr>
          </w:p>
          <w:p w14:paraId="1C5E73DA" w14:textId="77777777" w:rsidR="0046798B" w:rsidRDefault="0046798B">
            <w:pPr>
              <w:pStyle w:val="TableParagraph"/>
              <w:spacing w:before="8"/>
              <w:rPr>
                <w:sz w:val="21"/>
              </w:rPr>
            </w:pPr>
          </w:p>
          <w:p w14:paraId="6E8F3EFF" w14:textId="77777777" w:rsidR="0046798B" w:rsidRDefault="00903B5C">
            <w:pPr>
              <w:pStyle w:val="TableParagraph"/>
              <w:spacing w:before="1"/>
              <w:ind w:left="114"/>
              <w:rPr>
                <w:sz w:val="20"/>
              </w:rPr>
            </w:pPr>
            <w:r>
              <w:rPr>
                <w:sz w:val="20"/>
              </w:rPr>
              <w:t>1936–1946</w:t>
            </w:r>
          </w:p>
        </w:tc>
        <w:tc>
          <w:tcPr>
            <w:tcW w:w="3421" w:type="dxa"/>
          </w:tcPr>
          <w:p w14:paraId="08709D73" w14:textId="77777777" w:rsidR="0046798B" w:rsidRDefault="0046798B">
            <w:pPr>
              <w:pStyle w:val="TableParagraph"/>
            </w:pPr>
          </w:p>
          <w:p w14:paraId="6354EBF7" w14:textId="77777777" w:rsidR="0046798B" w:rsidRDefault="00903B5C">
            <w:pPr>
              <w:pStyle w:val="TableParagraph"/>
              <w:spacing w:before="135"/>
              <w:ind w:left="114" w:right="87"/>
              <w:rPr>
                <w:sz w:val="20"/>
              </w:rPr>
            </w:pPr>
            <w:r>
              <w:rPr>
                <w:sz w:val="20"/>
              </w:rPr>
              <w:t>Does the state have a cigarette tax? (0 = no, 1 = yes)</w:t>
            </w:r>
          </w:p>
        </w:tc>
        <w:tc>
          <w:tcPr>
            <w:tcW w:w="6482" w:type="dxa"/>
          </w:tcPr>
          <w:p w14:paraId="4BED3C7F"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bl>
    <w:p w14:paraId="35787B9E" w14:textId="77777777" w:rsidR="0046798B" w:rsidRDefault="0046798B">
      <w:pPr>
        <w:rPr>
          <w:sz w:val="20"/>
        </w:rPr>
        <w:sectPr w:rsidR="0046798B">
          <w:pgSz w:w="15840" w:h="12240" w:orient="landscape"/>
          <w:pgMar w:top="1220" w:right="300" w:bottom="980" w:left="820" w:header="730" w:footer="787" w:gutter="0"/>
          <w:cols w:space="720"/>
        </w:sectPr>
      </w:pPr>
    </w:p>
    <w:p w14:paraId="6A2B2A3F"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20A4848A" w14:textId="77777777">
        <w:trPr>
          <w:trHeight w:val="1926"/>
        </w:trPr>
        <w:tc>
          <w:tcPr>
            <w:tcW w:w="1711" w:type="dxa"/>
          </w:tcPr>
          <w:p w14:paraId="1500A887" w14:textId="77777777" w:rsidR="0046798B" w:rsidRDefault="0046798B">
            <w:pPr>
              <w:pStyle w:val="TableParagraph"/>
            </w:pPr>
          </w:p>
          <w:p w14:paraId="554DFD43" w14:textId="77777777" w:rsidR="0046798B" w:rsidRDefault="0046798B">
            <w:pPr>
              <w:pStyle w:val="TableParagraph"/>
            </w:pPr>
          </w:p>
          <w:p w14:paraId="2BF9D25A" w14:textId="77777777" w:rsidR="0046798B" w:rsidRDefault="0046798B">
            <w:pPr>
              <w:pStyle w:val="TableParagraph"/>
              <w:spacing w:before="9"/>
              <w:rPr>
                <w:sz w:val="29"/>
              </w:rPr>
            </w:pPr>
          </w:p>
          <w:p w14:paraId="2A078676" w14:textId="77777777" w:rsidR="0046798B" w:rsidRDefault="00903B5C">
            <w:pPr>
              <w:pStyle w:val="TableParagraph"/>
              <w:ind w:left="115"/>
              <w:rPr>
                <w:b/>
                <w:sz w:val="20"/>
              </w:rPr>
            </w:pPr>
            <w:r>
              <w:rPr>
                <w:b/>
                <w:sz w:val="20"/>
              </w:rPr>
              <w:t>z_cigarette_taxes</w:t>
            </w:r>
          </w:p>
        </w:tc>
        <w:tc>
          <w:tcPr>
            <w:tcW w:w="1596" w:type="dxa"/>
          </w:tcPr>
          <w:p w14:paraId="7DBE2671" w14:textId="77777777" w:rsidR="0046798B" w:rsidRDefault="0046798B">
            <w:pPr>
              <w:pStyle w:val="TableParagraph"/>
            </w:pPr>
          </w:p>
          <w:p w14:paraId="02D5CB7E" w14:textId="77777777" w:rsidR="0046798B" w:rsidRDefault="0046798B">
            <w:pPr>
              <w:pStyle w:val="TableParagraph"/>
            </w:pPr>
          </w:p>
          <w:p w14:paraId="5EEC5FC9" w14:textId="77777777" w:rsidR="0046798B" w:rsidRDefault="0046798B">
            <w:pPr>
              <w:pStyle w:val="TableParagraph"/>
              <w:spacing w:before="9"/>
              <w:rPr>
                <w:sz w:val="19"/>
              </w:rPr>
            </w:pPr>
          </w:p>
          <w:p w14:paraId="2D239902" w14:textId="77777777" w:rsidR="0046798B" w:rsidRDefault="00903B5C">
            <w:pPr>
              <w:pStyle w:val="TableParagraph"/>
              <w:ind w:left="114" w:right="424"/>
              <w:rPr>
                <w:sz w:val="20"/>
              </w:rPr>
            </w:pPr>
            <w:r>
              <w:rPr>
                <w:sz w:val="20"/>
              </w:rPr>
              <w:t>Cigarette tax rate</w:t>
            </w:r>
          </w:p>
        </w:tc>
        <w:tc>
          <w:tcPr>
            <w:tcW w:w="1285" w:type="dxa"/>
          </w:tcPr>
          <w:p w14:paraId="49B1BD4A" w14:textId="77777777" w:rsidR="0046798B" w:rsidRDefault="0046798B">
            <w:pPr>
              <w:pStyle w:val="TableParagraph"/>
            </w:pPr>
          </w:p>
          <w:p w14:paraId="42B79860" w14:textId="77777777" w:rsidR="0046798B" w:rsidRDefault="0046798B">
            <w:pPr>
              <w:pStyle w:val="TableParagraph"/>
            </w:pPr>
          </w:p>
          <w:p w14:paraId="185D6236" w14:textId="77777777" w:rsidR="0046798B" w:rsidRDefault="0046798B">
            <w:pPr>
              <w:pStyle w:val="TableParagraph"/>
              <w:spacing w:before="9"/>
              <w:rPr>
                <w:sz w:val="29"/>
              </w:rPr>
            </w:pPr>
          </w:p>
          <w:p w14:paraId="518D6218" w14:textId="77777777" w:rsidR="0046798B" w:rsidRDefault="00903B5C">
            <w:pPr>
              <w:pStyle w:val="TableParagraph"/>
              <w:ind w:left="114"/>
              <w:rPr>
                <w:sz w:val="20"/>
              </w:rPr>
            </w:pPr>
            <w:r>
              <w:rPr>
                <w:sz w:val="20"/>
              </w:rPr>
              <w:t>1947–2014</w:t>
            </w:r>
          </w:p>
        </w:tc>
        <w:tc>
          <w:tcPr>
            <w:tcW w:w="3421" w:type="dxa"/>
          </w:tcPr>
          <w:p w14:paraId="37F92090" w14:textId="77777777" w:rsidR="0046798B" w:rsidRDefault="0046798B">
            <w:pPr>
              <w:pStyle w:val="TableParagraph"/>
            </w:pPr>
          </w:p>
          <w:p w14:paraId="6B631917" w14:textId="77777777" w:rsidR="0046798B" w:rsidRDefault="0046798B">
            <w:pPr>
              <w:pStyle w:val="TableParagraph"/>
            </w:pPr>
          </w:p>
          <w:p w14:paraId="53C66CF5" w14:textId="77777777" w:rsidR="0046798B" w:rsidRDefault="0046798B">
            <w:pPr>
              <w:pStyle w:val="TableParagraph"/>
              <w:spacing w:before="9"/>
              <w:rPr>
                <w:sz w:val="19"/>
              </w:rPr>
            </w:pPr>
          </w:p>
          <w:p w14:paraId="7E4ED887" w14:textId="77777777" w:rsidR="0046798B" w:rsidRDefault="00903B5C">
            <w:pPr>
              <w:pStyle w:val="TableParagraph"/>
              <w:ind w:left="114" w:right="477"/>
              <w:rPr>
                <w:sz w:val="20"/>
              </w:rPr>
            </w:pPr>
            <w:r>
              <w:rPr>
                <w:sz w:val="20"/>
              </w:rPr>
              <w:t>What is the state’s tax on a pack of cigarettes?</w:t>
            </w:r>
          </w:p>
        </w:tc>
        <w:tc>
          <w:tcPr>
            <w:tcW w:w="6482" w:type="dxa"/>
          </w:tcPr>
          <w:p w14:paraId="31D5B7F8"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p w14:paraId="6EFF618F" w14:textId="77777777" w:rsidR="0046798B" w:rsidRDefault="0046798B">
            <w:pPr>
              <w:pStyle w:val="TableParagraph"/>
              <w:spacing w:before="1"/>
              <w:rPr>
                <w:sz w:val="20"/>
              </w:rPr>
            </w:pPr>
          </w:p>
          <w:p w14:paraId="564E9B31" w14:textId="77777777" w:rsidR="0046798B" w:rsidRDefault="00903B5C">
            <w:pPr>
              <w:pStyle w:val="TableParagraph"/>
              <w:ind w:left="114" w:right="184"/>
              <w:rPr>
                <w:sz w:val="20"/>
              </w:rPr>
            </w:pPr>
            <w:r>
              <w:rPr>
                <w:sz w:val="20"/>
              </w:rPr>
              <w:t xml:space="preserve">For 2019: “How High Are Cigarette Taxes in Your State?” (provided by The Tax Foundation) </w:t>
            </w:r>
            <w:hyperlink r:id="rId904">
              <w:r>
                <w:rPr>
                  <w:color w:val="0462C1"/>
                  <w:sz w:val="20"/>
                  <w:u w:val="single" w:color="0462C1"/>
                </w:rPr>
                <w:t>https://taxfoundation.org/2019-state-cigarette-tax-rankings/</w:t>
              </w:r>
            </w:hyperlink>
          </w:p>
        </w:tc>
      </w:tr>
      <w:tr w:rsidR="0046798B" w14:paraId="0D0F93A8" w14:textId="77777777">
        <w:trPr>
          <w:trHeight w:val="1235"/>
        </w:trPr>
        <w:tc>
          <w:tcPr>
            <w:tcW w:w="1711" w:type="dxa"/>
          </w:tcPr>
          <w:p w14:paraId="627D5E86" w14:textId="77777777" w:rsidR="0046798B" w:rsidRDefault="0046798B">
            <w:pPr>
              <w:pStyle w:val="TableParagraph"/>
            </w:pPr>
          </w:p>
          <w:p w14:paraId="7EA023F3" w14:textId="77777777" w:rsidR="0046798B" w:rsidRDefault="00903B5C">
            <w:pPr>
              <w:pStyle w:val="TableParagraph"/>
              <w:spacing w:before="135"/>
              <w:ind w:left="115" w:right="99"/>
              <w:rPr>
                <w:b/>
                <w:sz w:val="20"/>
              </w:rPr>
            </w:pPr>
            <w:r>
              <w:rPr>
                <w:b/>
                <w:sz w:val="20"/>
              </w:rPr>
              <w:t>drugs_boehmke_ kegreg</w:t>
            </w:r>
          </w:p>
        </w:tc>
        <w:tc>
          <w:tcPr>
            <w:tcW w:w="1596" w:type="dxa"/>
          </w:tcPr>
          <w:p w14:paraId="60902958" w14:textId="77777777" w:rsidR="0046798B" w:rsidRDefault="0046798B">
            <w:pPr>
              <w:pStyle w:val="TableParagraph"/>
              <w:spacing w:before="8"/>
              <w:rPr>
                <w:sz w:val="23"/>
              </w:rPr>
            </w:pPr>
          </w:p>
          <w:p w14:paraId="158F0FC7" w14:textId="77777777" w:rsidR="0046798B" w:rsidRDefault="00903B5C">
            <w:pPr>
              <w:pStyle w:val="TableParagraph"/>
              <w:spacing w:before="1"/>
              <w:ind w:left="114" w:right="485"/>
              <w:rPr>
                <w:sz w:val="20"/>
              </w:rPr>
            </w:pPr>
            <w:r>
              <w:rPr>
                <w:sz w:val="20"/>
              </w:rPr>
              <w:t>Beer keg registration requirement</w:t>
            </w:r>
          </w:p>
        </w:tc>
        <w:tc>
          <w:tcPr>
            <w:tcW w:w="1285" w:type="dxa"/>
          </w:tcPr>
          <w:p w14:paraId="2C5D13F8" w14:textId="77777777" w:rsidR="0046798B" w:rsidRDefault="0046798B">
            <w:pPr>
              <w:pStyle w:val="TableParagraph"/>
            </w:pPr>
          </w:p>
          <w:p w14:paraId="09D3E04C" w14:textId="77777777" w:rsidR="0046798B" w:rsidRDefault="0046798B">
            <w:pPr>
              <w:pStyle w:val="TableParagraph"/>
              <w:spacing w:before="8"/>
              <w:rPr>
                <w:sz w:val="21"/>
              </w:rPr>
            </w:pPr>
          </w:p>
          <w:p w14:paraId="205076DD" w14:textId="77777777" w:rsidR="0046798B" w:rsidRDefault="00903B5C">
            <w:pPr>
              <w:pStyle w:val="TableParagraph"/>
              <w:spacing w:before="1"/>
              <w:ind w:left="114"/>
              <w:rPr>
                <w:sz w:val="20"/>
              </w:rPr>
            </w:pPr>
            <w:r>
              <w:rPr>
                <w:sz w:val="20"/>
              </w:rPr>
              <w:t>1978–2013</w:t>
            </w:r>
          </w:p>
        </w:tc>
        <w:tc>
          <w:tcPr>
            <w:tcW w:w="3421" w:type="dxa"/>
          </w:tcPr>
          <w:p w14:paraId="49ECB90D" w14:textId="77777777" w:rsidR="0046798B" w:rsidRDefault="0046798B">
            <w:pPr>
              <w:pStyle w:val="TableParagraph"/>
              <w:spacing w:before="8"/>
              <w:rPr>
                <w:sz w:val="23"/>
              </w:rPr>
            </w:pPr>
          </w:p>
          <w:p w14:paraId="19840D7A" w14:textId="77777777" w:rsidR="0046798B" w:rsidRDefault="00903B5C">
            <w:pPr>
              <w:pStyle w:val="TableParagraph"/>
              <w:spacing w:before="1"/>
              <w:ind w:left="114" w:right="109"/>
              <w:rPr>
                <w:sz w:val="20"/>
              </w:rPr>
            </w:pPr>
            <w:r>
              <w:rPr>
                <w:sz w:val="20"/>
              </w:rPr>
              <w:t>Does the state require the registration upon purchase of a beer keg? (0 = no, 1</w:t>
            </w:r>
          </w:p>
          <w:p w14:paraId="7A05CE6B" w14:textId="77777777" w:rsidR="0046798B" w:rsidRDefault="00903B5C">
            <w:pPr>
              <w:pStyle w:val="TableParagraph"/>
              <w:ind w:left="114"/>
              <w:rPr>
                <w:sz w:val="20"/>
              </w:rPr>
            </w:pPr>
            <w:r>
              <w:rPr>
                <w:sz w:val="20"/>
              </w:rPr>
              <w:t>= yes)</w:t>
            </w:r>
          </w:p>
        </w:tc>
        <w:tc>
          <w:tcPr>
            <w:tcW w:w="6482" w:type="dxa"/>
          </w:tcPr>
          <w:p w14:paraId="4BCCDB8D"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67970F2A" w14:textId="77777777">
        <w:trPr>
          <w:trHeight w:val="1240"/>
        </w:trPr>
        <w:tc>
          <w:tcPr>
            <w:tcW w:w="1711" w:type="dxa"/>
          </w:tcPr>
          <w:p w14:paraId="29A048EF" w14:textId="77777777" w:rsidR="0046798B" w:rsidRDefault="0046798B">
            <w:pPr>
              <w:pStyle w:val="TableParagraph"/>
            </w:pPr>
          </w:p>
          <w:p w14:paraId="051AB572" w14:textId="77777777" w:rsidR="0046798B" w:rsidRDefault="00903B5C">
            <w:pPr>
              <w:pStyle w:val="TableParagraph"/>
              <w:spacing w:before="135"/>
              <w:ind w:left="115" w:right="99"/>
              <w:rPr>
                <w:b/>
                <w:sz w:val="20"/>
              </w:rPr>
            </w:pPr>
            <w:r>
              <w:rPr>
                <w:b/>
                <w:sz w:val="20"/>
              </w:rPr>
              <w:t>drugs_boehmke_ mlda21</w:t>
            </w:r>
          </w:p>
        </w:tc>
        <w:tc>
          <w:tcPr>
            <w:tcW w:w="1596" w:type="dxa"/>
          </w:tcPr>
          <w:p w14:paraId="6CAF87DD" w14:textId="77777777" w:rsidR="0046798B" w:rsidRDefault="0046798B">
            <w:pPr>
              <w:pStyle w:val="TableParagraph"/>
            </w:pPr>
          </w:p>
          <w:p w14:paraId="24FC24FE" w14:textId="77777777" w:rsidR="0046798B" w:rsidRDefault="00903B5C">
            <w:pPr>
              <w:pStyle w:val="TableParagraph"/>
              <w:spacing w:before="135"/>
              <w:ind w:left="114" w:right="196"/>
              <w:rPr>
                <w:sz w:val="20"/>
              </w:rPr>
            </w:pPr>
            <w:r>
              <w:rPr>
                <w:sz w:val="20"/>
              </w:rPr>
              <w:t>Minimum legal drinking age 21</w:t>
            </w:r>
          </w:p>
        </w:tc>
        <w:tc>
          <w:tcPr>
            <w:tcW w:w="1285" w:type="dxa"/>
          </w:tcPr>
          <w:p w14:paraId="7823F9EA" w14:textId="77777777" w:rsidR="0046798B" w:rsidRDefault="0046798B">
            <w:pPr>
              <w:pStyle w:val="TableParagraph"/>
            </w:pPr>
          </w:p>
          <w:p w14:paraId="17377774" w14:textId="77777777" w:rsidR="0046798B" w:rsidRDefault="0046798B">
            <w:pPr>
              <w:pStyle w:val="TableParagraph"/>
              <w:spacing w:before="8"/>
              <w:rPr>
                <w:sz w:val="21"/>
              </w:rPr>
            </w:pPr>
          </w:p>
          <w:p w14:paraId="45EE50EB" w14:textId="77777777" w:rsidR="0046798B" w:rsidRDefault="00903B5C">
            <w:pPr>
              <w:pStyle w:val="TableParagraph"/>
              <w:spacing w:before="1"/>
              <w:ind w:left="114"/>
              <w:rPr>
                <w:sz w:val="20"/>
              </w:rPr>
            </w:pPr>
            <w:r>
              <w:rPr>
                <w:sz w:val="20"/>
              </w:rPr>
              <w:t>1936–1985</w:t>
            </w:r>
          </w:p>
        </w:tc>
        <w:tc>
          <w:tcPr>
            <w:tcW w:w="3421" w:type="dxa"/>
          </w:tcPr>
          <w:p w14:paraId="62A30E8D" w14:textId="77777777" w:rsidR="0046798B" w:rsidRDefault="0046798B">
            <w:pPr>
              <w:pStyle w:val="TableParagraph"/>
            </w:pPr>
          </w:p>
          <w:p w14:paraId="2472267E" w14:textId="77777777" w:rsidR="0046798B" w:rsidRDefault="00903B5C">
            <w:pPr>
              <w:pStyle w:val="TableParagraph"/>
              <w:spacing w:before="135"/>
              <w:ind w:left="114" w:right="322"/>
              <w:rPr>
                <w:sz w:val="20"/>
              </w:rPr>
            </w:pPr>
            <w:r>
              <w:rPr>
                <w:sz w:val="20"/>
              </w:rPr>
              <w:t>Does the state have a minimum legal drinking age of 21? (0 = no, 1 = yes)</w:t>
            </w:r>
          </w:p>
        </w:tc>
        <w:tc>
          <w:tcPr>
            <w:tcW w:w="6482" w:type="dxa"/>
          </w:tcPr>
          <w:p w14:paraId="4A3B7F7F"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34513C7D" w14:textId="77777777">
        <w:trPr>
          <w:trHeight w:val="1233"/>
        </w:trPr>
        <w:tc>
          <w:tcPr>
            <w:tcW w:w="1711" w:type="dxa"/>
            <w:tcBorders>
              <w:bottom w:val="dotted" w:sz="6" w:space="0" w:color="BEBEBE"/>
            </w:tcBorders>
          </w:tcPr>
          <w:p w14:paraId="292DAAE8" w14:textId="77777777" w:rsidR="0046798B" w:rsidRDefault="0046798B">
            <w:pPr>
              <w:pStyle w:val="TableParagraph"/>
            </w:pPr>
          </w:p>
          <w:p w14:paraId="5802484B" w14:textId="77777777" w:rsidR="0046798B" w:rsidRDefault="00903B5C">
            <w:pPr>
              <w:pStyle w:val="TableParagraph"/>
              <w:spacing w:before="130"/>
              <w:ind w:left="115" w:right="99"/>
              <w:rPr>
                <w:b/>
                <w:sz w:val="20"/>
              </w:rPr>
            </w:pPr>
            <w:r>
              <w:rPr>
                <w:b/>
                <w:sz w:val="20"/>
              </w:rPr>
              <w:t>drugs_boehmke_ zerotol</w:t>
            </w:r>
          </w:p>
        </w:tc>
        <w:tc>
          <w:tcPr>
            <w:tcW w:w="1596" w:type="dxa"/>
            <w:tcBorders>
              <w:bottom w:val="dotted" w:sz="6" w:space="0" w:color="BEBEBE"/>
            </w:tcBorders>
          </w:tcPr>
          <w:p w14:paraId="6A9C400F" w14:textId="77777777" w:rsidR="0046798B" w:rsidRDefault="0046798B">
            <w:pPr>
              <w:pStyle w:val="TableParagraph"/>
              <w:spacing w:before="3"/>
              <w:rPr>
                <w:sz w:val="23"/>
              </w:rPr>
            </w:pPr>
          </w:p>
          <w:p w14:paraId="07525EFD" w14:textId="77777777" w:rsidR="0046798B" w:rsidRDefault="00903B5C">
            <w:pPr>
              <w:pStyle w:val="TableParagraph"/>
              <w:spacing w:before="1"/>
              <w:ind w:left="114" w:right="291"/>
              <w:rPr>
                <w:sz w:val="20"/>
              </w:rPr>
            </w:pPr>
            <w:r>
              <w:rPr>
                <w:sz w:val="20"/>
              </w:rPr>
              <w:t>Zero tolerance for underage drinking</w:t>
            </w:r>
          </w:p>
        </w:tc>
        <w:tc>
          <w:tcPr>
            <w:tcW w:w="1285" w:type="dxa"/>
            <w:tcBorders>
              <w:bottom w:val="dotted" w:sz="6" w:space="0" w:color="BEBEBE"/>
            </w:tcBorders>
          </w:tcPr>
          <w:p w14:paraId="7E12B3B9" w14:textId="77777777" w:rsidR="0046798B" w:rsidRDefault="0046798B">
            <w:pPr>
              <w:pStyle w:val="TableParagraph"/>
            </w:pPr>
          </w:p>
          <w:p w14:paraId="2E85B9AB" w14:textId="77777777" w:rsidR="0046798B" w:rsidRDefault="0046798B">
            <w:pPr>
              <w:pStyle w:val="TableParagraph"/>
              <w:spacing w:before="3"/>
              <w:rPr>
                <w:sz w:val="21"/>
              </w:rPr>
            </w:pPr>
          </w:p>
          <w:p w14:paraId="5B309987" w14:textId="77777777" w:rsidR="0046798B" w:rsidRDefault="00903B5C">
            <w:pPr>
              <w:pStyle w:val="TableParagraph"/>
              <w:spacing w:before="1"/>
              <w:ind w:left="114"/>
              <w:rPr>
                <w:sz w:val="20"/>
              </w:rPr>
            </w:pPr>
            <w:r>
              <w:rPr>
                <w:sz w:val="20"/>
              </w:rPr>
              <w:t>1983–1995</w:t>
            </w:r>
          </w:p>
        </w:tc>
        <w:tc>
          <w:tcPr>
            <w:tcW w:w="3421" w:type="dxa"/>
            <w:tcBorders>
              <w:bottom w:val="dotted" w:sz="6" w:space="0" w:color="BEBEBE"/>
            </w:tcBorders>
          </w:tcPr>
          <w:p w14:paraId="727ECA06" w14:textId="77777777" w:rsidR="0046798B" w:rsidRDefault="00903B5C">
            <w:pPr>
              <w:pStyle w:val="TableParagraph"/>
              <w:spacing w:before="153"/>
              <w:ind w:left="114" w:right="224"/>
              <w:rPr>
                <w:sz w:val="20"/>
              </w:rPr>
            </w:pPr>
            <w:r>
              <w:rPr>
                <w:sz w:val="20"/>
              </w:rPr>
              <w:t>Does the state have a zero-tolerance law for blood alcohol levels &lt;0.02 for individuals under age 21? (0 = no, 1 = yes)</w:t>
            </w:r>
          </w:p>
        </w:tc>
        <w:tc>
          <w:tcPr>
            <w:tcW w:w="6482" w:type="dxa"/>
            <w:tcBorders>
              <w:bottom w:val="dotted" w:sz="6" w:space="0" w:color="BEBEBE"/>
            </w:tcBorders>
          </w:tcPr>
          <w:p w14:paraId="05193D4C"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6CBA1960" w14:textId="77777777">
        <w:trPr>
          <w:trHeight w:val="1233"/>
        </w:trPr>
        <w:tc>
          <w:tcPr>
            <w:tcW w:w="1711" w:type="dxa"/>
            <w:tcBorders>
              <w:top w:val="dotted" w:sz="6" w:space="0" w:color="BEBEBE"/>
            </w:tcBorders>
          </w:tcPr>
          <w:p w14:paraId="2B8A63E0" w14:textId="77777777" w:rsidR="0046798B" w:rsidRDefault="0046798B">
            <w:pPr>
              <w:pStyle w:val="TableParagraph"/>
              <w:spacing w:before="1"/>
              <w:rPr>
                <w:sz w:val="23"/>
              </w:rPr>
            </w:pPr>
          </w:p>
          <w:p w14:paraId="77264164" w14:textId="77777777" w:rsidR="0046798B" w:rsidRDefault="00903B5C">
            <w:pPr>
              <w:pStyle w:val="TableParagraph"/>
              <w:ind w:left="115" w:right="153"/>
              <w:jc w:val="both"/>
              <w:rPr>
                <w:b/>
                <w:sz w:val="20"/>
              </w:rPr>
            </w:pPr>
            <w:r>
              <w:rPr>
                <w:b/>
                <w:sz w:val="20"/>
              </w:rPr>
              <w:t>drugs_marijuan a_decriminalizat ion</w:t>
            </w:r>
          </w:p>
        </w:tc>
        <w:tc>
          <w:tcPr>
            <w:tcW w:w="1596" w:type="dxa"/>
            <w:tcBorders>
              <w:top w:val="dotted" w:sz="6" w:space="0" w:color="BEBEBE"/>
            </w:tcBorders>
          </w:tcPr>
          <w:p w14:paraId="11A7A24D" w14:textId="77777777" w:rsidR="0046798B" w:rsidRDefault="0046798B">
            <w:pPr>
              <w:pStyle w:val="TableParagraph"/>
              <w:spacing w:before="1"/>
              <w:rPr>
                <w:sz w:val="23"/>
              </w:rPr>
            </w:pPr>
          </w:p>
          <w:p w14:paraId="670A18F2" w14:textId="77777777" w:rsidR="0046798B" w:rsidRDefault="00903B5C">
            <w:pPr>
              <w:pStyle w:val="TableParagraph"/>
              <w:ind w:left="114" w:right="108"/>
              <w:rPr>
                <w:sz w:val="20"/>
              </w:rPr>
            </w:pPr>
            <w:r>
              <w:rPr>
                <w:sz w:val="20"/>
              </w:rPr>
              <w:t>Decriminalizatio n of marijuana possession</w:t>
            </w:r>
          </w:p>
        </w:tc>
        <w:tc>
          <w:tcPr>
            <w:tcW w:w="1285" w:type="dxa"/>
            <w:tcBorders>
              <w:top w:val="dotted" w:sz="6" w:space="0" w:color="BEBEBE"/>
            </w:tcBorders>
          </w:tcPr>
          <w:p w14:paraId="096BE5DE" w14:textId="77777777" w:rsidR="0046798B" w:rsidRDefault="0046798B">
            <w:pPr>
              <w:pStyle w:val="TableParagraph"/>
            </w:pPr>
          </w:p>
          <w:p w14:paraId="0B5E22FC" w14:textId="77777777" w:rsidR="0046798B" w:rsidRDefault="0046798B">
            <w:pPr>
              <w:pStyle w:val="TableParagraph"/>
              <w:spacing w:before="1"/>
              <w:rPr>
                <w:sz w:val="21"/>
              </w:rPr>
            </w:pPr>
          </w:p>
          <w:p w14:paraId="3570CCE7" w14:textId="77777777" w:rsidR="0046798B" w:rsidRDefault="00903B5C">
            <w:pPr>
              <w:pStyle w:val="TableParagraph"/>
              <w:ind w:left="114"/>
              <w:rPr>
                <w:sz w:val="20"/>
              </w:rPr>
            </w:pPr>
            <w:r>
              <w:rPr>
                <w:sz w:val="20"/>
              </w:rPr>
              <w:t>1973–2014</w:t>
            </w:r>
          </w:p>
        </w:tc>
        <w:tc>
          <w:tcPr>
            <w:tcW w:w="3421" w:type="dxa"/>
            <w:tcBorders>
              <w:top w:val="dotted" w:sz="6" w:space="0" w:color="BEBEBE"/>
            </w:tcBorders>
          </w:tcPr>
          <w:p w14:paraId="43718BF7" w14:textId="77777777" w:rsidR="0046798B" w:rsidRDefault="0046798B">
            <w:pPr>
              <w:pStyle w:val="TableParagraph"/>
            </w:pPr>
          </w:p>
          <w:p w14:paraId="76135898" w14:textId="77777777" w:rsidR="0046798B" w:rsidRDefault="00903B5C">
            <w:pPr>
              <w:pStyle w:val="TableParagraph"/>
              <w:spacing w:before="128"/>
              <w:ind w:left="114" w:right="150"/>
              <w:rPr>
                <w:sz w:val="20"/>
              </w:rPr>
            </w:pPr>
            <w:r>
              <w:rPr>
                <w:sz w:val="20"/>
              </w:rPr>
              <w:t>Is marijuana possession a criminal act? (0 = no, 1 = yes)</w:t>
            </w:r>
          </w:p>
        </w:tc>
        <w:tc>
          <w:tcPr>
            <w:tcW w:w="6482" w:type="dxa"/>
            <w:tcBorders>
              <w:top w:val="dotted" w:sz="6" w:space="0" w:color="BEBEBE"/>
            </w:tcBorders>
          </w:tcPr>
          <w:p w14:paraId="5F3AC590" w14:textId="77777777" w:rsidR="0046798B" w:rsidRDefault="00903B5C">
            <w:pPr>
              <w:pStyle w:val="TableParagraph"/>
              <w:spacing w:before="35"/>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55088D45" w14:textId="77777777">
        <w:trPr>
          <w:trHeight w:val="1235"/>
        </w:trPr>
        <w:tc>
          <w:tcPr>
            <w:tcW w:w="1711" w:type="dxa"/>
          </w:tcPr>
          <w:p w14:paraId="3A6C5F94" w14:textId="77777777" w:rsidR="0046798B" w:rsidRDefault="0046798B">
            <w:pPr>
              <w:pStyle w:val="TableParagraph"/>
            </w:pPr>
          </w:p>
          <w:p w14:paraId="6A9B733A" w14:textId="77777777" w:rsidR="0046798B" w:rsidRDefault="00903B5C">
            <w:pPr>
              <w:pStyle w:val="TableParagraph"/>
              <w:spacing w:before="130"/>
              <w:ind w:left="115" w:right="210"/>
              <w:rPr>
                <w:b/>
                <w:sz w:val="20"/>
              </w:rPr>
            </w:pPr>
            <w:r>
              <w:rPr>
                <w:b/>
                <w:sz w:val="20"/>
              </w:rPr>
              <w:t>drugs_medical_ marijuana</w:t>
            </w:r>
          </w:p>
        </w:tc>
        <w:tc>
          <w:tcPr>
            <w:tcW w:w="1596" w:type="dxa"/>
          </w:tcPr>
          <w:p w14:paraId="68A05654" w14:textId="77777777" w:rsidR="0046798B" w:rsidRDefault="0046798B">
            <w:pPr>
              <w:pStyle w:val="TableParagraph"/>
            </w:pPr>
          </w:p>
          <w:p w14:paraId="6A1CC1AF" w14:textId="77777777" w:rsidR="0046798B" w:rsidRDefault="00903B5C">
            <w:pPr>
              <w:pStyle w:val="TableParagraph"/>
              <w:spacing w:before="130"/>
              <w:ind w:left="114" w:right="652"/>
              <w:rPr>
                <w:sz w:val="20"/>
              </w:rPr>
            </w:pPr>
            <w:r>
              <w:rPr>
                <w:sz w:val="20"/>
              </w:rPr>
              <w:t>Medical marijuana</w:t>
            </w:r>
          </w:p>
        </w:tc>
        <w:tc>
          <w:tcPr>
            <w:tcW w:w="1285" w:type="dxa"/>
          </w:tcPr>
          <w:p w14:paraId="6C3F495D" w14:textId="77777777" w:rsidR="0046798B" w:rsidRDefault="0046798B">
            <w:pPr>
              <w:pStyle w:val="TableParagraph"/>
            </w:pPr>
          </w:p>
          <w:p w14:paraId="52EE591D" w14:textId="77777777" w:rsidR="0046798B" w:rsidRDefault="0046798B">
            <w:pPr>
              <w:pStyle w:val="TableParagraph"/>
              <w:spacing w:before="3"/>
              <w:rPr>
                <w:sz w:val="21"/>
              </w:rPr>
            </w:pPr>
          </w:p>
          <w:p w14:paraId="1CDD8FC5" w14:textId="77777777" w:rsidR="0046798B" w:rsidRDefault="00903B5C">
            <w:pPr>
              <w:pStyle w:val="TableParagraph"/>
              <w:spacing w:before="1"/>
              <w:ind w:left="114"/>
              <w:rPr>
                <w:sz w:val="20"/>
              </w:rPr>
            </w:pPr>
            <w:r>
              <w:rPr>
                <w:sz w:val="20"/>
              </w:rPr>
              <w:t>1996–2014</w:t>
            </w:r>
          </w:p>
        </w:tc>
        <w:tc>
          <w:tcPr>
            <w:tcW w:w="3421" w:type="dxa"/>
          </w:tcPr>
          <w:p w14:paraId="7AE1310F" w14:textId="77777777" w:rsidR="0046798B" w:rsidRDefault="0046798B">
            <w:pPr>
              <w:pStyle w:val="TableParagraph"/>
            </w:pPr>
          </w:p>
          <w:p w14:paraId="2C240B01" w14:textId="77777777" w:rsidR="0046798B" w:rsidRDefault="00903B5C">
            <w:pPr>
              <w:pStyle w:val="TableParagraph"/>
              <w:spacing w:before="130"/>
              <w:ind w:left="114" w:right="194"/>
              <w:rPr>
                <w:sz w:val="20"/>
              </w:rPr>
            </w:pPr>
            <w:r>
              <w:rPr>
                <w:sz w:val="20"/>
              </w:rPr>
              <w:t>Is it legal to use marijuana for medical purposes? (0 = no, 1 = yes)</w:t>
            </w:r>
          </w:p>
        </w:tc>
        <w:tc>
          <w:tcPr>
            <w:tcW w:w="6482" w:type="dxa"/>
          </w:tcPr>
          <w:p w14:paraId="7DC6F742"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619475DA" w14:textId="77777777">
        <w:trPr>
          <w:trHeight w:val="775"/>
        </w:trPr>
        <w:tc>
          <w:tcPr>
            <w:tcW w:w="1711" w:type="dxa"/>
          </w:tcPr>
          <w:p w14:paraId="4420784B" w14:textId="77777777" w:rsidR="0046798B" w:rsidRDefault="00903B5C">
            <w:pPr>
              <w:pStyle w:val="TableParagraph"/>
              <w:spacing w:before="158"/>
              <w:ind w:left="115" w:right="154"/>
              <w:rPr>
                <w:b/>
                <w:sz w:val="20"/>
              </w:rPr>
            </w:pPr>
            <w:r>
              <w:rPr>
                <w:b/>
                <w:sz w:val="20"/>
              </w:rPr>
              <w:t>drugs_smoking_ ban_restaurants</w:t>
            </w:r>
          </w:p>
        </w:tc>
        <w:tc>
          <w:tcPr>
            <w:tcW w:w="1596" w:type="dxa"/>
          </w:tcPr>
          <w:p w14:paraId="2CB3A220" w14:textId="77777777" w:rsidR="0046798B" w:rsidRDefault="00903B5C">
            <w:pPr>
              <w:pStyle w:val="TableParagraph"/>
              <w:spacing w:before="158"/>
              <w:ind w:left="114" w:right="190"/>
              <w:rPr>
                <w:sz w:val="20"/>
              </w:rPr>
            </w:pPr>
            <w:r>
              <w:rPr>
                <w:sz w:val="20"/>
              </w:rPr>
              <w:t>Smoking ban— restaurants</w:t>
            </w:r>
          </w:p>
        </w:tc>
        <w:tc>
          <w:tcPr>
            <w:tcW w:w="1285" w:type="dxa"/>
          </w:tcPr>
          <w:p w14:paraId="025F670B" w14:textId="77777777" w:rsidR="0046798B" w:rsidRDefault="0046798B">
            <w:pPr>
              <w:pStyle w:val="TableParagraph"/>
              <w:spacing w:before="8"/>
              <w:rPr>
                <w:sz w:val="23"/>
              </w:rPr>
            </w:pPr>
          </w:p>
          <w:p w14:paraId="2100B411" w14:textId="77777777" w:rsidR="0046798B" w:rsidRDefault="00903B5C">
            <w:pPr>
              <w:pStyle w:val="TableParagraph"/>
              <w:spacing w:before="1"/>
              <w:ind w:left="114"/>
              <w:rPr>
                <w:sz w:val="20"/>
              </w:rPr>
            </w:pPr>
            <w:r>
              <w:rPr>
                <w:sz w:val="20"/>
              </w:rPr>
              <w:t>1995–2014</w:t>
            </w:r>
          </w:p>
        </w:tc>
        <w:tc>
          <w:tcPr>
            <w:tcW w:w="3421" w:type="dxa"/>
          </w:tcPr>
          <w:p w14:paraId="3308A3F4" w14:textId="77777777" w:rsidR="0046798B" w:rsidRDefault="00903B5C">
            <w:pPr>
              <w:pStyle w:val="TableParagraph"/>
              <w:spacing w:before="158"/>
              <w:ind w:left="114" w:right="871"/>
              <w:rPr>
                <w:sz w:val="20"/>
              </w:rPr>
            </w:pPr>
            <w:r>
              <w:rPr>
                <w:sz w:val="20"/>
              </w:rPr>
              <w:t>Does the state ban smoking in restaurants? (0 = no, 1 = yes)</w:t>
            </w:r>
          </w:p>
        </w:tc>
        <w:tc>
          <w:tcPr>
            <w:tcW w:w="6482" w:type="dxa"/>
          </w:tcPr>
          <w:p w14:paraId="6D86A5D3" w14:textId="77777777" w:rsidR="0046798B" w:rsidRDefault="00903B5C">
            <w:pPr>
              <w:pStyle w:val="TableParagraph"/>
              <w:spacing w:before="43"/>
              <w:ind w:left="114"/>
              <w:rPr>
                <w:sz w:val="20"/>
              </w:rPr>
            </w:pPr>
            <w:r>
              <w:rPr>
                <w:sz w:val="20"/>
              </w:rPr>
              <w:t xml:space="preserve">Caughey, Devin, and Christopher Warshaw. 2015. “The Dynamics of State Policy Liberalism, 1936–2014.” </w:t>
            </w:r>
            <w:r>
              <w:rPr>
                <w:i/>
                <w:sz w:val="20"/>
              </w:rPr>
              <w:t>American Journal of Political Science</w:t>
            </w:r>
            <w:r>
              <w:rPr>
                <w:sz w:val="20"/>
              </w:rPr>
              <w:t>, September. doi: 10.1111/ajps.12219.</w:t>
            </w:r>
          </w:p>
        </w:tc>
      </w:tr>
    </w:tbl>
    <w:p w14:paraId="177A231C" w14:textId="77777777" w:rsidR="0046798B" w:rsidRDefault="0046798B">
      <w:pPr>
        <w:rPr>
          <w:sz w:val="20"/>
        </w:rPr>
        <w:sectPr w:rsidR="0046798B">
          <w:pgSz w:w="15840" w:h="12240" w:orient="landscape"/>
          <w:pgMar w:top="1220" w:right="300" w:bottom="980" w:left="820" w:header="730" w:footer="787" w:gutter="0"/>
          <w:cols w:space="720"/>
        </w:sectPr>
      </w:pPr>
    </w:p>
    <w:p w14:paraId="43A1A6C3"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2811894F" w14:textId="77777777">
        <w:trPr>
          <w:trHeight w:val="542"/>
        </w:trPr>
        <w:tc>
          <w:tcPr>
            <w:tcW w:w="1711" w:type="dxa"/>
            <w:tcBorders>
              <w:bottom w:val="dotted" w:sz="6" w:space="0" w:color="BEBEBE"/>
            </w:tcBorders>
          </w:tcPr>
          <w:p w14:paraId="2B876C85" w14:textId="77777777" w:rsidR="0046798B" w:rsidRDefault="0046798B">
            <w:pPr>
              <w:pStyle w:val="TableParagraph"/>
              <w:rPr>
                <w:sz w:val="20"/>
              </w:rPr>
            </w:pPr>
          </w:p>
        </w:tc>
        <w:tc>
          <w:tcPr>
            <w:tcW w:w="1596" w:type="dxa"/>
            <w:tcBorders>
              <w:bottom w:val="dotted" w:sz="6" w:space="0" w:color="BEBEBE"/>
            </w:tcBorders>
          </w:tcPr>
          <w:p w14:paraId="055AF074" w14:textId="77777777" w:rsidR="0046798B" w:rsidRDefault="0046798B">
            <w:pPr>
              <w:pStyle w:val="TableParagraph"/>
              <w:rPr>
                <w:sz w:val="20"/>
              </w:rPr>
            </w:pPr>
          </w:p>
        </w:tc>
        <w:tc>
          <w:tcPr>
            <w:tcW w:w="1285" w:type="dxa"/>
            <w:tcBorders>
              <w:bottom w:val="dotted" w:sz="6" w:space="0" w:color="BEBEBE"/>
            </w:tcBorders>
          </w:tcPr>
          <w:p w14:paraId="0CC74638" w14:textId="77777777" w:rsidR="0046798B" w:rsidRDefault="0046798B">
            <w:pPr>
              <w:pStyle w:val="TableParagraph"/>
              <w:rPr>
                <w:sz w:val="20"/>
              </w:rPr>
            </w:pPr>
          </w:p>
        </w:tc>
        <w:tc>
          <w:tcPr>
            <w:tcW w:w="3421" w:type="dxa"/>
            <w:tcBorders>
              <w:bottom w:val="dotted" w:sz="6" w:space="0" w:color="BEBEBE"/>
            </w:tcBorders>
          </w:tcPr>
          <w:p w14:paraId="53DD8F09" w14:textId="77777777" w:rsidR="0046798B" w:rsidRDefault="0046798B">
            <w:pPr>
              <w:pStyle w:val="TableParagraph"/>
              <w:rPr>
                <w:sz w:val="20"/>
              </w:rPr>
            </w:pPr>
          </w:p>
        </w:tc>
        <w:tc>
          <w:tcPr>
            <w:tcW w:w="6482" w:type="dxa"/>
            <w:tcBorders>
              <w:bottom w:val="dotted" w:sz="6" w:space="0" w:color="BEBEBE"/>
            </w:tcBorders>
          </w:tcPr>
          <w:p w14:paraId="75C52B0D" w14:textId="77777777" w:rsidR="0046798B" w:rsidRDefault="00903B5C">
            <w:pPr>
              <w:pStyle w:val="TableParagraph"/>
              <w:spacing w:before="43"/>
              <w:ind w:left="114" w:right="137"/>
              <w:rPr>
                <w:sz w:val="20"/>
              </w:rPr>
            </w:pP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2BFF49FE" w14:textId="77777777">
        <w:trPr>
          <w:trHeight w:val="1233"/>
        </w:trPr>
        <w:tc>
          <w:tcPr>
            <w:tcW w:w="1711" w:type="dxa"/>
            <w:tcBorders>
              <w:top w:val="dotted" w:sz="6" w:space="0" w:color="BEBEBE"/>
            </w:tcBorders>
          </w:tcPr>
          <w:p w14:paraId="43CD71A4" w14:textId="77777777" w:rsidR="0046798B" w:rsidRDefault="0046798B">
            <w:pPr>
              <w:pStyle w:val="TableParagraph"/>
            </w:pPr>
          </w:p>
          <w:p w14:paraId="3B8D8788" w14:textId="77777777" w:rsidR="0046798B" w:rsidRDefault="00903B5C">
            <w:pPr>
              <w:pStyle w:val="TableParagraph"/>
              <w:spacing w:before="133"/>
              <w:ind w:left="115" w:right="154"/>
              <w:rPr>
                <w:b/>
                <w:sz w:val="20"/>
              </w:rPr>
            </w:pPr>
            <w:r>
              <w:rPr>
                <w:b/>
                <w:sz w:val="20"/>
              </w:rPr>
              <w:t>drugs_smoking_ ban_workplaces</w:t>
            </w:r>
          </w:p>
        </w:tc>
        <w:tc>
          <w:tcPr>
            <w:tcW w:w="1596" w:type="dxa"/>
            <w:tcBorders>
              <w:top w:val="dotted" w:sz="6" w:space="0" w:color="BEBEBE"/>
            </w:tcBorders>
          </w:tcPr>
          <w:p w14:paraId="3F9535E9" w14:textId="77777777" w:rsidR="0046798B" w:rsidRDefault="0046798B">
            <w:pPr>
              <w:pStyle w:val="TableParagraph"/>
            </w:pPr>
          </w:p>
          <w:p w14:paraId="5A420CC0" w14:textId="77777777" w:rsidR="0046798B" w:rsidRDefault="00903B5C">
            <w:pPr>
              <w:pStyle w:val="TableParagraph"/>
              <w:spacing w:before="133"/>
              <w:ind w:left="114" w:right="190"/>
              <w:rPr>
                <w:sz w:val="20"/>
              </w:rPr>
            </w:pPr>
            <w:r>
              <w:rPr>
                <w:sz w:val="20"/>
              </w:rPr>
              <w:t>Smoking ban— workplaces</w:t>
            </w:r>
          </w:p>
        </w:tc>
        <w:tc>
          <w:tcPr>
            <w:tcW w:w="1285" w:type="dxa"/>
            <w:tcBorders>
              <w:top w:val="dotted" w:sz="6" w:space="0" w:color="BEBEBE"/>
            </w:tcBorders>
          </w:tcPr>
          <w:p w14:paraId="32F00B2D" w14:textId="77777777" w:rsidR="0046798B" w:rsidRDefault="0046798B">
            <w:pPr>
              <w:pStyle w:val="TableParagraph"/>
            </w:pPr>
          </w:p>
          <w:p w14:paraId="3DE986A1" w14:textId="77777777" w:rsidR="0046798B" w:rsidRDefault="0046798B">
            <w:pPr>
              <w:pStyle w:val="TableParagraph"/>
              <w:spacing w:before="6"/>
              <w:rPr>
                <w:sz w:val="21"/>
              </w:rPr>
            </w:pPr>
          </w:p>
          <w:p w14:paraId="42DE9AB1" w14:textId="77777777" w:rsidR="0046798B" w:rsidRDefault="00903B5C">
            <w:pPr>
              <w:pStyle w:val="TableParagraph"/>
              <w:ind w:left="114"/>
              <w:rPr>
                <w:sz w:val="20"/>
              </w:rPr>
            </w:pPr>
            <w:r>
              <w:rPr>
                <w:sz w:val="20"/>
              </w:rPr>
              <w:t>1995–2014</w:t>
            </w:r>
          </w:p>
        </w:tc>
        <w:tc>
          <w:tcPr>
            <w:tcW w:w="3421" w:type="dxa"/>
            <w:tcBorders>
              <w:top w:val="dotted" w:sz="6" w:space="0" w:color="BEBEBE"/>
            </w:tcBorders>
          </w:tcPr>
          <w:p w14:paraId="70E147B9" w14:textId="77777777" w:rsidR="0046798B" w:rsidRDefault="0046798B">
            <w:pPr>
              <w:pStyle w:val="TableParagraph"/>
            </w:pPr>
          </w:p>
          <w:p w14:paraId="0D8972BB" w14:textId="77777777" w:rsidR="0046798B" w:rsidRDefault="00903B5C">
            <w:pPr>
              <w:pStyle w:val="TableParagraph"/>
              <w:spacing w:before="133"/>
              <w:ind w:left="114" w:right="621"/>
              <w:rPr>
                <w:sz w:val="20"/>
              </w:rPr>
            </w:pPr>
            <w:r>
              <w:rPr>
                <w:sz w:val="20"/>
              </w:rPr>
              <w:t>Does the state ban smoking in all workplaces? (0 = no, 1 = yes)</w:t>
            </w:r>
          </w:p>
        </w:tc>
        <w:tc>
          <w:tcPr>
            <w:tcW w:w="6482" w:type="dxa"/>
            <w:tcBorders>
              <w:top w:val="dotted" w:sz="6" w:space="0" w:color="BEBEBE"/>
            </w:tcBorders>
          </w:tcPr>
          <w:p w14:paraId="6D032069" w14:textId="77777777" w:rsidR="0046798B" w:rsidRDefault="00903B5C">
            <w:pPr>
              <w:pStyle w:val="TableParagraph"/>
              <w:spacing w:before="40"/>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3C0811D6" w14:textId="77777777">
        <w:trPr>
          <w:trHeight w:val="780"/>
        </w:trPr>
        <w:tc>
          <w:tcPr>
            <w:tcW w:w="1711" w:type="dxa"/>
          </w:tcPr>
          <w:p w14:paraId="7BC653D6" w14:textId="77777777" w:rsidR="0046798B" w:rsidRDefault="0046798B">
            <w:pPr>
              <w:pStyle w:val="TableParagraph"/>
              <w:spacing w:before="8"/>
              <w:rPr>
                <w:sz w:val="23"/>
              </w:rPr>
            </w:pPr>
          </w:p>
          <w:p w14:paraId="028B2C49" w14:textId="77777777" w:rsidR="0046798B" w:rsidRDefault="00903B5C">
            <w:pPr>
              <w:pStyle w:val="TableParagraph"/>
              <w:spacing w:before="1"/>
              <w:ind w:left="115"/>
              <w:rPr>
                <w:b/>
                <w:sz w:val="20"/>
              </w:rPr>
            </w:pPr>
            <w:r>
              <w:rPr>
                <w:b/>
                <w:sz w:val="20"/>
              </w:rPr>
              <w:t>dry_counties</w:t>
            </w:r>
          </w:p>
        </w:tc>
        <w:tc>
          <w:tcPr>
            <w:tcW w:w="1596" w:type="dxa"/>
          </w:tcPr>
          <w:p w14:paraId="302EA398" w14:textId="77777777" w:rsidR="0046798B" w:rsidRDefault="00903B5C">
            <w:pPr>
              <w:pStyle w:val="TableParagraph"/>
              <w:spacing w:before="43"/>
              <w:ind w:left="114" w:right="194"/>
              <w:jc w:val="both"/>
              <w:rPr>
                <w:sz w:val="20"/>
              </w:rPr>
            </w:pPr>
            <w:r>
              <w:rPr>
                <w:sz w:val="20"/>
              </w:rPr>
              <w:t>Number of “dry counties” in the state</w:t>
            </w:r>
          </w:p>
        </w:tc>
        <w:tc>
          <w:tcPr>
            <w:tcW w:w="1285" w:type="dxa"/>
          </w:tcPr>
          <w:p w14:paraId="0846C51B" w14:textId="77777777" w:rsidR="0046798B" w:rsidRDefault="0046798B">
            <w:pPr>
              <w:pStyle w:val="TableParagraph"/>
              <w:spacing w:before="8"/>
              <w:rPr>
                <w:sz w:val="23"/>
              </w:rPr>
            </w:pPr>
          </w:p>
          <w:p w14:paraId="1E0460D9" w14:textId="77777777" w:rsidR="0046798B" w:rsidRDefault="00903B5C">
            <w:pPr>
              <w:pStyle w:val="TableParagraph"/>
              <w:spacing w:before="1"/>
              <w:ind w:left="114"/>
              <w:rPr>
                <w:sz w:val="20"/>
              </w:rPr>
            </w:pPr>
            <w:r>
              <w:rPr>
                <w:sz w:val="20"/>
              </w:rPr>
              <w:t>2008</w:t>
            </w:r>
          </w:p>
        </w:tc>
        <w:tc>
          <w:tcPr>
            <w:tcW w:w="3421" w:type="dxa"/>
          </w:tcPr>
          <w:p w14:paraId="2904159D" w14:textId="77777777" w:rsidR="0046798B" w:rsidRDefault="00903B5C">
            <w:pPr>
              <w:pStyle w:val="TableParagraph"/>
              <w:spacing w:before="158"/>
              <w:ind w:left="114" w:right="205"/>
              <w:rPr>
                <w:sz w:val="20"/>
              </w:rPr>
            </w:pPr>
            <w:r>
              <w:rPr>
                <w:sz w:val="20"/>
              </w:rPr>
              <w:t>Number of counties that prohibit the sale of alcohol (beer excluded)</w:t>
            </w:r>
          </w:p>
        </w:tc>
        <w:tc>
          <w:tcPr>
            <w:tcW w:w="6482" w:type="dxa"/>
          </w:tcPr>
          <w:p w14:paraId="1CBDE507" w14:textId="77777777" w:rsidR="0046798B" w:rsidRDefault="00903B5C">
            <w:pPr>
              <w:pStyle w:val="TableParagraph"/>
              <w:spacing w:before="43"/>
              <w:ind w:left="114" w:right="216"/>
              <w:rPr>
                <w:sz w:val="20"/>
              </w:rPr>
            </w:pPr>
            <w:r>
              <w:rPr>
                <w:sz w:val="20"/>
              </w:rPr>
              <w:t xml:space="preserve">Frendreis, John, and Raymond Tatalovich. “‘A Hundred Miles of Dry’: Religion and the Persistence of Prohibition in the U.S. States.” </w:t>
            </w:r>
            <w:r>
              <w:rPr>
                <w:i/>
                <w:sz w:val="20"/>
              </w:rPr>
              <w:t xml:space="preserve">State Politics and Policy Quarterly </w:t>
            </w:r>
            <w:r>
              <w:rPr>
                <w:sz w:val="20"/>
              </w:rPr>
              <w:t>10.3 (2010): 302-319.</w:t>
            </w:r>
          </w:p>
        </w:tc>
      </w:tr>
      <w:tr w:rsidR="0046798B" w14:paraId="04556AC2" w14:textId="77777777">
        <w:trPr>
          <w:trHeight w:val="775"/>
        </w:trPr>
        <w:tc>
          <w:tcPr>
            <w:tcW w:w="1711" w:type="dxa"/>
          </w:tcPr>
          <w:p w14:paraId="1CA125D9" w14:textId="77777777" w:rsidR="0046798B" w:rsidRDefault="0046798B">
            <w:pPr>
              <w:pStyle w:val="TableParagraph"/>
              <w:spacing w:before="4"/>
              <w:rPr>
                <w:sz w:val="23"/>
              </w:rPr>
            </w:pPr>
          </w:p>
          <w:p w14:paraId="6D35A6E8" w14:textId="77777777" w:rsidR="0046798B" w:rsidRDefault="00903B5C">
            <w:pPr>
              <w:pStyle w:val="TableParagraph"/>
              <w:ind w:left="115"/>
              <w:rPr>
                <w:b/>
                <w:sz w:val="20"/>
              </w:rPr>
            </w:pPr>
            <w:r>
              <w:rPr>
                <w:b/>
                <w:sz w:val="20"/>
              </w:rPr>
              <w:t>moist_counties</w:t>
            </w:r>
          </w:p>
        </w:tc>
        <w:tc>
          <w:tcPr>
            <w:tcW w:w="1596" w:type="dxa"/>
          </w:tcPr>
          <w:p w14:paraId="3E511183" w14:textId="77777777" w:rsidR="0046798B" w:rsidRDefault="00903B5C">
            <w:pPr>
              <w:pStyle w:val="TableParagraph"/>
              <w:spacing w:before="38"/>
              <w:ind w:left="114" w:right="113"/>
              <w:rPr>
                <w:sz w:val="20"/>
              </w:rPr>
            </w:pPr>
            <w:r>
              <w:rPr>
                <w:sz w:val="20"/>
              </w:rPr>
              <w:t>Number of “moist counties” in the state</w:t>
            </w:r>
          </w:p>
        </w:tc>
        <w:tc>
          <w:tcPr>
            <w:tcW w:w="1285" w:type="dxa"/>
          </w:tcPr>
          <w:p w14:paraId="4719928D" w14:textId="77777777" w:rsidR="0046798B" w:rsidRDefault="0046798B">
            <w:pPr>
              <w:pStyle w:val="TableParagraph"/>
              <w:spacing w:before="4"/>
              <w:rPr>
                <w:sz w:val="23"/>
              </w:rPr>
            </w:pPr>
          </w:p>
          <w:p w14:paraId="3B17FB66" w14:textId="77777777" w:rsidR="0046798B" w:rsidRDefault="00903B5C">
            <w:pPr>
              <w:pStyle w:val="TableParagraph"/>
              <w:ind w:left="114"/>
              <w:rPr>
                <w:sz w:val="20"/>
              </w:rPr>
            </w:pPr>
            <w:r>
              <w:rPr>
                <w:sz w:val="20"/>
              </w:rPr>
              <w:t>2008</w:t>
            </w:r>
          </w:p>
        </w:tc>
        <w:tc>
          <w:tcPr>
            <w:tcW w:w="3421" w:type="dxa"/>
          </w:tcPr>
          <w:p w14:paraId="2214392B" w14:textId="77777777" w:rsidR="0046798B" w:rsidRDefault="00903B5C">
            <w:pPr>
              <w:pStyle w:val="TableParagraph"/>
              <w:spacing w:before="38"/>
              <w:ind w:left="114" w:right="141"/>
              <w:jc w:val="both"/>
              <w:rPr>
                <w:sz w:val="20"/>
              </w:rPr>
            </w:pPr>
            <w:r>
              <w:rPr>
                <w:sz w:val="20"/>
              </w:rPr>
              <w:t>Number of counties that are considered “dry,” yet allow certain jurisdictions to sell alcohol (beer excluded)</w:t>
            </w:r>
          </w:p>
        </w:tc>
        <w:tc>
          <w:tcPr>
            <w:tcW w:w="6482" w:type="dxa"/>
          </w:tcPr>
          <w:p w14:paraId="7CE1FA8A" w14:textId="77777777" w:rsidR="0046798B" w:rsidRDefault="00903B5C">
            <w:pPr>
              <w:pStyle w:val="TableParagraph"/>
              <w:spacing w:before="38"/>
              <w:ind w:left="114" w:right="216"/>
              <w:rPr>
                <w:sz w:val="20"/>
              </w:rPr>
            </w:pPr>
            <w:r>
              <w:rPr>
                <w:sz w:val="20"/>
              </w:rPr>
              <w:t xml:space="preserve">Frendreis, John, and Raymond Tatalovich. “‘A Hundred Miles of Dry’: Religion and the Persistence of Prohibition in the U.S. States.” </w:t>
            </w:r>
            <w:r>
              <w:rPr>
                <w:i/>
                <w:sz w:val="20"/>
              </w:rPr>
              <w:t xml:space="preserve">State Politics and Policy Quarterly </w:t>
            </w:r>
            <w:r>
              <w:rPr>
                <w:sz w:val="20"/>
              </w:rPr>
              <w:t>10.3 (2010): 302-319.</w:t>
            </w:r>
          </w:p>
        </w:tc>
      </w:tr>
      <w:tr w:rsidR="0046798B" w14:paraId="6AEC96CA" w14:textId="77777777">
        <w:trPr>
          <w:trHeight w:val="1925"/>
        </w:trPr>
        <w:tc>
          <w:tcPr>
            <w:tcW w:w="1711" w:type="dxa"/>
          </w:tcPr>
          <w:p w14:paraId="5BED5A3C" w14:textId="77777777" w:rsidR="0046798B" w:rsidRDefault="0046798B">
            <w:pPr>
              <w:pStyle w:val="TableParagraph"/>
            </w:pPr>
          </w:p>
          <w:p w14:paraId="3BAB8DC2" w14:textId="77777777" w:rsidR="0046798B" w:rsidRDefault="0046798B">
            <w:pPr>
              <w:pStyle w:val="TableParagraph"/>
            </w:pPr>
          </w:p>
          <w:p w14:paraId="3F6A1CC6" w14:textId="77777777" w:rsidR="0046798B" w:rsidRDefault="0046798B">
            <w:pPr>
              <w:pStyle w:val="TableParagraph"/>
              <w:spacing w:before="4"/>
              <w:rPr>
                <w:sz w:val="29"/>
              </w:rPr>
            </w:pPr>
          </w:p>
          <w:p w14:paraId="64DEB4D7" w14:textId="77777777" w:rsidR="0046798B" w:rsidRDefault="00903B5C">
            <w:pPr>
              <w:pStyle w:val="TableParagraph"/>
              <w:ind w:left="115"/>
              <w:rPr>
                <w:b/>
                <w:sz w:val="20"/>
              </w:rPr>
            </w:pPr>
            <w:r>
              <w:rPr>
                <w:b/>
                <w:sz w:val="20"/>
              </w:rPr>
              <w:t>dui</w:t>
            </w:r>
          </w:p>
        </w:tc>
        <w:tc>
          <w:tcPr>
            <w:tcW w:w="1596" w:type="dxa"/>
          </w:tcPr>
          <w:p w14:paraId="4ECC7EEF" w14:textId="77777777" w:rsidR="0046798B" w:rsidRDefault="0046798B">
            <w:pPr>
              <w:pStyle w:val="TableParagraph"/>
            </w:pPr>
          </w:p>
          <w:p w14:paraId="162E8712" w14:textId="77777777" w:rsidR="0046798B" w:rsidRDefault="00903B5C">
            <w:pPr>
              <w:pStyle w:val="TableParagraph"/>
              <w:spacing w:before="130"/>
              <w:ind w:left="114" w:right="191"/>
              <w:rPr>
                <w:sz w:val="20"/>
              </w:rPr>
            </w:pPr>
            <w:r>
              <w:rPr>
                <w:sz w:val="20"/>
              </w:rPr>
              <w:t>Establishes drunk driving threshold of .08 blood alcohol level</w:t>
            </w:r>
          </w:p>
        </w:tc>
        <w:tc>
          <w:tcPr>
            <w:tcW w:w="1285" w:type="dxa"/>
          </w:tcPr>
          <w:p w14:paraId="120074C4" w14:textId="77777777" w:rsidR="0046798B" w:rsidRDefault="0046798B">
            <w:pPr>
              <w:pStyle w:val="TableParagraph"/>
            </w:pPr>
          </w:p>
          <w:p w14:paraId="368C31A9" w14:textId="77777777" w:rsidR="0046798B" w:rsidRDefault="0046798B">
            <w:pPr>
              <w:pStyle w:val="TableParagraph"/>
            </w:pPr>
          </w:p>
          <w:p w14:paraId="3B59EB8C" w14:textId="77777777" w:rsidR="0046798B" w:rsidRDefault="0046798B">
            <w:pPr>
              <w:pStyle w:val="TableParagraph"/>
              <w:spacing w:before="4"/>
              <w:rPr>
                <w:sz w:val="29"/>
              </w:rPr>
            </w:pPr>
          </w:p>
          <w:p w14:paraId="03AE3AD2" w14:textId="77777777" w:rsidR="0046798B" w:rsidRDefault="00903B5C">
            <w:pPr>
              <w:pStyle w:val="TableParagraph"/>
              <w:ind w:left="114"/>
              <w:rPr>
                <w:sz w:val="20"/>
              </w:rPr>
            </w:pPr>
            <w:r>
              <w:rPr>
                <w:sz w:val="20"/>
              </w:rPr>
              <w:t>1983–2004</w:t>
            </w:r>
          </w:p>
        </w:tc>
        <w:tc>
          <w:tcPr>
            <w:tcW w:w="3421" w:type="dxa"/>
          </w:tcPr>
          <w:p w14:paraId="4E133F6A" w14:textId="77777777" w:rsidR="0046798B" w:rsidRDefault="0046798B">
            <w:pPr>
              <w:pStyle w:val="TableParagraph"/>
            </w:pPr>
          </w:p>
          <w:p w14:paraId="53749707" w14:textId="77777777" w:rsidR="0046798B" w:rsidRDefault="0046798B">
            <w:pPr>
              <w:pStyle w:val="TableParagraph"/>
            </w:pPr>
          </w:p>
          <w:p w14:paraId="3AD2D95C" w14:textId="77777777" w:rsidR="0046798B" w:rsidRDefault="0046798B">
            <w:pPr>
              <w:pStyle w:val="TableParagraph"/>
              <w:spacing w:before="4"/>
              <w:rPr>
                <w:sz w:val="19"/>
              </w:rPr>
            </w:pPr>
          </w:p>
          <w:p w14:paraId="45E974E4" w14:textId="77777777" w:rsidR="0046798B" w:rsidRDefault="00903B5C">
            <w:pPr>
              <w:pStyle w:val="TableParagraph"/>
              <w:ind w:left="114" w:right="1475"/>
              <w:rPr>
                <w:sz w:val="20"/>
              </w:rPr>
            </w:pPr>
            <w:r>
              <w:rPr>
                <w:sz w:val="20"/>
              </w:rPr>
              <w:t>0 = policy not adopted 1 = policy adopted</w:t>
            </w:r>
          </w:p>
        </w:tc>
        <w:tc>
          <w:tcPr>
            <w:tcW w:w="6482" w:type="dxa"/>
          </w:tcPr>
          <w:p w14:paraId="283619D5" w14:textId="77777777" w:rsidR="0046798B" w:rsidRDefault="00903B5C">
            <w:pPr>
              <w:pStyle w:val="TableParagraph"/>
              <w:spacing w:before="38"/>
              <w:ind w:left="114"/>
              <w:rPr>
                <w:sz w:val="20"/>
              </w:rPr>
            </w:pPr>
            <w:r>
              <w:rPr>
                <w:sz w:val="20"/>
              </w:rPr>
              <w:t xml:space="preserve">Boushey, Graeme. “Targeted for diffusion? How the use and acceptance of stereotypes shape the diffusion of criminal justice policy innovations in the American States.” </w:t>
            </w:r>
            <w:r>
              <w:rPr>
                <w:i/>
                <w:sz w:val="20"/>
              </w:rPr>
              <w:t xml:space="preserve">American Political Science Review </w:t>
            </w:r>
            <w:r>
              <w:rPr>
                <w:sz w:val="20"/>
              </w:rPr>
              <w:t>110.1 (2016): 198-214.</w:t>
            </w:r>
          </w:p>
          <w:p w14:paraId="3E89D366" w14:textId="77777777" w:rsidR="0046798B" w:rsidRDefault="0046798B">
            <w:pPr>
              <w:pStyle w:val="TableParagraph"/>
              <w:rPr>
                <w:sz w:val="20"/>
              </w:rPr>
            </w:pPr>
          </w:p>
          <w:p w14:paraId="487FD3C9"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4CE0FC8D" w14:textId="77777777">
        <w:trPr>
          <w:trHeight w:val="1695"/>
        </w:trPr>
        <w:tc>
          <w:tcPr>
            <w:tcW w:w="1711" w:type="dxa"/>
          </w:tcPr>
          <w:p w14:paraId="1161BC3F" w14:textId="77777777" w:rsidR="0046798B" w:rsidRDefault="0046798B">
            <w:pPr>
              <w:pStyle w:val="TableParagraph"/>
            </w:pPr>
          </w:p>
          <w:p w14:paraId="6D7F6FE9" w14:textId="77777777" w:rsidR="0046798B" w:rsidRDefault="0046798B">
            <w:pPr>
              <w:pStyle w:val="TableParagraph"/>
            </w:pPr>
          </w:p>
          <w:p w14:paraId="4CF5323C" w14:textId="77777777" w:rsidR="0046798B" w:rsidRDefault="0046798B">
            <w:pPr>
              <w:pStyle w:val="TableParagraph"/>
              <w:spacing w:before="3"/>
              <w:rPr>
                <w:sz w:val="19"/>
              </w:rPr>
            </w:pPr>
          </w:p>
          <w:p w14:paraId="7594F38C" w14:textId="77777777" w:rsidR="0046798B" w:rsidRDefault="00903B5C">
            <w:pPr>
              <w:pStyle w:val="TableParagraph"/>
              <w:spacing w:before="1"/>
              <w:ind w:left="115"/>
              <w:rPr>
                <w:b/>
                <w:sz w:val="20"/>
              </w:rPr>
            </w:pPr>
            <w:r>
              <w:rPr>
                <w:b/>
                <w:sz w:val="20"/>
              </w:rPr>
              <w:t>dwi_reform</w:t>
            </w:r>
          </w:p>
        </w:tc>
        <w:tc>
          <w:tcPr>
            <w:tcW w:w="1596" w:type="dxa"/>
          </w:tcPr>
          <w:p w14:paraId="6E503433" w14:textId="77777777" w:rsidR="0046798B" w:rsidRDefault="0046798B">
            <w:pPr>
              <w:pStyle w:val="TableParagraph"/>
              <w:spacing w:before="10"/>
              <w:rPr>
                <w:sz w:val="23"/>
              </w:rPr>
            </w:pPr>
          </w:p>
          <w:p w14:paraId="15EF6990" w14:textId="77777777" w:rsidR="0046798B" w:rsidRDefault="00903B5C">
            <w:pPr>
              <w:pStyle w:val="TableParagraph"/>
              <w:spacing w:line="237" w:lineRule="auto"/>
              <w:ind w:left="114" w:right="135"/>
              <w:rPr>
                <w:sz w:val="20"/>
              </w:rPr>
            </w:pPr>
            <w:r>
              <w:rPr>
                <w:sz w:val="20"/>
              </w:rPr>
              <w:t>State reform for driving intoxication limits</w:t>
            </w:r>
          </w:p>
        </w:tc>
        <w:tc>
          <w:tcPr>
            <w:tcW w:w="1285" w:type="dxa"/>
          </w:tcPr>
          <w:p w14:paraId="1CB1757B" w14:textId="77777777" w:rsidR="0046798B" w:rsidRDefault="0046798B">
            <w:pPr>
              <w:pStyle w:val="TableParagraph"/>
            </w:pPr>
          </w:p>
          <w:p w14:paraId="5EF4C40D" w14:textId="77777777" w:rsidR="0046798B" w:rsidRDefault="0046798B">
            <w:pPr>
              <w:pStyle w:val="TableParagraph"/>
            </w:pPr>
          </w:p>
          <w:p w14:paraId="6F1214CA" w14:textId="77777777" w:rsidR="0046798B" w:rsidRDefault="0046798B">
            <w:pPr>
              <w:pStyle w:val="TableParagraph"/>
              <w:spacing w:before="3"/>
              <w:rPr>
                <w:sz w:val="19"/>
              </w:rPr>
            </w:pPr>
          </w:p>
          <w:p w14:paraId="23B48312" w14:textId="77777777" w:rsidR="0046798B" w:rsidRDefault="00903B5C">
            <w:pPr>
              <w:pStyle w:val="TableParagraph"/>
              <w:spacing w:before="1"/>
              <w:ind w:left="114"/>
              <w:rPr>
                <w:sz w:val="20"/>
              </w:rPr>
            </w:pPr>
            <w:r>
              <w:rPr>
                <w:sz w:val="20"/>
              </w:rPr>
              <w:t>1983–2002</w:t>
            </w:r>
          </w:p>
        </w:tc>
        <w:tc>
          <w:tcPr>
            <w:tcW w:w="3421" w:type="dxa"/>
          </w:tcPr>
          <w:p w14:paraId="5F14FC6A" w14:textId="77777777" w:rsidR="0046798B" w:rsidRDefault="0046798B">
            <w:pPr>
              <w:pStyle w:val="TableParagraph"/>
            </w:pPr>
          </w:p>
          <w:p w14:paraId="43245529" w14:textId="77777777" w:rsidR="0046798B" w:rsidRDefault="0046798B">
            <w:pPr>
              <w:pStyle w:val="TableParagraph"/>
              <w:spacing w:before="1"/>
              <w:rPr>
                <w:sz w:val="32"/>
              </w:rPr>
            </w:pPr>
          </w:p>
          <w:p w14:paraId="63E3D9E3" w14:textId="77777777" w:rsidR="0046798B" w:rsidRDefault="00903B5C">
            <w:pPr>
              <w:pStyle w:val="TableParagraph"/>
              <w:spacing w:line="235" w:lineRule="auto"/>
              <w:ind w:left="114" w:right="1475"/>
              <w:rPr>
                <w:sz w:val="20"/>
              </w:rPr>
            </w:pPr>
            <w:r>
              <w:rPr>
                <w:sz w:val="20"/>
              </w:rPr>
              <w:t>0 = policy not adopted 1 = policy adopted</w:t>
            </w:r>
          </w:p>
        </w:tc>
        <w:tc>
          <w:tcPr>
            <w:tcW w:w="6482" w:type="dxa"/>
          </w:tcPr>
          <w:p w14:paraId="372ACB0F" w14:textId="77777777" w:rsidR="0046798B" w:rsidRDefault="00903B5C">
            <w:pPr>
              <w:pStyle w:val="TableParagraph"/>
              <w:spacing w:before="43"/>
              <w:ind w:left="114" w:right="583"/>
              <w:rPr>
                <w:sz w:val="20"/>
              </w:rPr>
            </w:pPr>
            <w:r>
              <w:rPr>
                <w:sz w:val="20"/>
              </w:rPr>
              <w:t xml:space="preserve">Makse, Todd, and Craig Volden. “The role of policy attributes in the diffusion of innovations.” </w:t>
            </w:r>
            <w:r>
              <w:rPr>
                <w:i/>
                <w:sz w:val="20"/>
              </w:rPr>
              <w:t xml:space="preserve">The Journal of Politics </w:t>
            </w:r>
            <w:r>
              <w:rPr>
                <w:sz w:val="20"/>
              </w:rPr>
              <w:t>73.1 (2011): 108-124.</w:t>
            </w:r>
          </w:p>
          <w:p w14:paraId="7FBCC002" w14:textId="77777777" w:rsidR="0046798B" w:rsidRDefault="0046798B">
            <w:pPr>
              <w:pStyle w:val="TableParagraph"/>
              <w:spacing w:before="6"/>
              <w:rPr>
                <w:sz w:val="19"/>
              </w:rPr>
            </w:pPr>
          </w:p>
          <w:p w14:paraId="071F0A76"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5A3CF7A7" w14:textId="77777777">
        <w:trPr>
          <w:trHeight w:val="1925"/>
        </w:trPr>
        <w:tc>
          <w:tcPr>
            <w:tcW w:w="1711" w:type="dxa"/>
          </w:tcPr>
          <w:p w14:paraId="6E458317" w14:textId="77777777" w:rsidR="0046798B" w:rsidRDefault="0046798B">
            <w:pPr>
              <w:pStyle w:val="TableParagraph"/>
            </w:pPr>
          </w:p>
          <w:p w14:paraId="7BC2E956" w14:textId="77777777" w:rsidR="0046798B" w:rsidRDefault="0046798B">
            <w:pPr>
              <w:pStyle w:val="TableParagraph"/>
            </w:pPr>
          </w:p>
          <w:p w14:paraId="7F7E7C4D" w14:textId="77777777" w:rsidR="0046798B" w:rsidRDefault="0046798B">
            <w:pPr>
              <w:pStyle w:val="TableParagraph"/>
              <w:spacing w:before="9"/>
              <w:rPr>
                <w:sz w:val="29"/>
              </w:rPr>
            </w:pPr>
          </w:p>
          <w:p w14:paraId="3273A41D" w14:textId="77777777" w:rsidR="0046798B" w:rsidRDefault="00903B5C">
            <w:pPr>
              <w:pStyle w:val="TableParagraph"/>
              <w:ind w:left="115"/>
              <w:rPr>
                <w:b/>
                <w:sz w:val="20"/>
              </w:rPr>
            </w:pPr>
            <w:r>
              <w:rPr>
                <w:b/>
                <w:sz w:val="20"/>
              </w:rPr>
              <w:t>goodsam911</w:t>
            </w:r>
          </w:p>
        </w:tc>
        <w:tc>
          <w:tcPr>
            <w:tcW w:w="1596" w:type="dxa"/>
          </w:tcPr>
          <w:p w14:paraId="196BB60B" w14:textId="77777777" w:rsidR="0046798B" w:rsidRDefault="0046798B">
            <w:pPr>
              <w:pStyle w:val="TableParagraph"/>
            </w:pPr>
          </w:p>
          <w:p w14:paraId="54337EBD" w14:textId="77777777" w:rsidR="0046798B" w:rsidRDefault="00903B5C">
            <w:pPr>
              <w:pStyle w:val="TableParagraph"/>
              <w:spacing w:before="135"/>
              <w:ind w:left="114" w:right="113"/>
              <w:rPr>
                <w:sz w:val="20"/>
              </w:rPr>
            </w:pPr>
            <w:r>
              <w:rPr>
                <w:sz w:val="20"/>
              </w:rPr>
              <w:t>Good Samaritan protection for reporting overdose</w:t>
            </w:r>
          </w:p>
        </w:tc>
        <w:tc>
          <w:tcPr>
            <w:tcW w:w="1285" w:type="dxa"/>
          </w:tcPr>
          <w:p w14:paraId="56920215" w14:textId="77777777" w:rsidR="0046798B" w:rsidRDefault="0046798B">
            <w:pPr>
              <w:pStyle w:val="TableParagraph"/>
            </w:pPr>
          </w:p>
          <w:p w14:paraId="3A66CF46" w14:textId="77777777" w:rsidR="0046798B" w:rsidRDefault="0046798B">
            <w:pPr>
              <w:pStyle w:val="TableParagraph"/>
            </w:pPr>
          </w:p>
          <w:p w14:paraId="152A7CA2" w14:textId="77777777" w:rsidR="0046798B" w:rsidRDefault="0046798B">
            <w:pPr>
              <w:pStyle w:val="TableParagraph"/>
              <w:spacing w:before="9"/>
              <w:rPr>
                <w:sz w:val="29"/>
              </w:rPr>
            </w:pPr>
          </w:p>
          <w:p w14:paraId="19FC2247" w14:textId="77777777" w:rsidR="0046798B" w:rsidRDefault="00903B5C">
            <w:pPr>
              <w:pStyle w:val="TableParagraph"/>
              <w:ind w:left="114"/>
              <w:rPr>
                <w:sz w:val="20"/>
              </w:rPr>
            </w:pPr>
            <w:r>
              <w:rPr>
                <w:sz w:val="20"/>
              </w:rPr>
              <w:t>2007–2013</w:t>
            </w:r>
          </w:p>
        </w:tc>
        <w:tc>
          <w:tcPr>
            <w:tcW w:w="3421" w:type="dxa"/>
          </w:tcPr>
          <w:p w14:paraId="78BBC5F2" w14:textId="77777777" w:rsidR="0046798B" w:rsidRDefault="0046798B">
            <w:pPr>
              <w:pStyle w:val="TableParagraph"/>
            </w:pPr>
          </w:p>
          <w:p w14:paraId="56A5D20B" w14:textId="77777777" w:rsidR="0046798B" w:rsidRDefault="0046798B">
            <w:pPr>
              <w:pStyle w:val="TableParagraph"/>
            </w:pPr>
          </w:p>
          <w:p w14:paraId="3277D706" w14:textId="77777777" w:rsidR="0046798B" w:rsidRDefault="0046798B">
            <w:pPr>
              <w:pStyle w:val="TableParagraph"/>
              <w:spacing w:before="9"/>
              <w:rPr>
                <w:sz w:val="19"/>
              </w:rPr>
            </w:pPr>
          </w:p>
          <w:p w14:paraId="3A80D1A7" w14:textId="77777777" w:rsidR="0046798B" w:rsidRDefault="00903B5C">
            <w:pPr>
              <w:pStyle w:val="TableParagraph"/>
              <w:ind w:left="114" w:right="1475"/>
              <w:rPr>
                <w:sz w:val="20"/>
              </w:rPr>
            </w:pPr>
            <w:r>
              <w:rPr>
                <w:sz w:val="20"/>
              </w:rPr>
              <w:t>0 = policy not adopted 1 = policy adopted</w:t>
            </w:r>
          </w:p>
        </w:tc>
        <w:tc>
          <w:tcPr>
            <w:tcW w:w="6482" w:type="dxa"/>
          </w:tcPr>
          <w:p w14:paraId="7AF7D0A7" w14:textId="77777777" w:rsidR="0046798B" w:rsidRDefault="00903B5C">
            <w:pPr>
              <w:pStyle w:val="TableParagraph"/>
              <w:spacing w:before="43"/>
              <w:ind w:left="114" w:right="128"/>
              <w:jc w:val="both"/>
              <w:rPr>
                <w:sz w:val="20"/>
              </w:rPr>
            </w:pPr>
            <w:r>
              <w:rPr>
                <w:sz w:val="20"/>
              </w:rPr>
              <w:t>Mallinson, Daniel J. “Building a better speed trap: Measuring policy</w:t>
            </w:r>
            <w:r>
              <w:rPr>
                <w:spacing w:val="-16"/>
                <w:sz w:val="20"/>
              </w:rPr>
              <w:t xml:space="preserve"> </w:t>
            </w:r>
            <w:r>
              <w:rPr>
                <w:sz w:val="20"/>
              </w:rPr>
              <w:t xml:space="preserve">adoption speed in the American states.” </w:t>
            </w:r>
            <w:r>
              <w:rPr>
                <w:i/>
                <w:sz w:val="20"/>
              </w:rPr>
              <w:t xml:space="preserve">State Politics &amp; Policy Quarterly </w:t>
            </w:r>
            <w:r>
              <w:rPr>
                <w:sz w:val="20"/>
              </w:rPr>
              <w:t>16.1 (2016): 98-120.</w:t>
            </w:r>
          </w:p>
          <w:p w14:paraId="100C8078" w14:textId="77777777" w:rsidR="0046798B" w:rsidRDefault="0046798B">
            <w:pPr>
              <w:pStyle w:val="TableParagraph"/>
              <w:rPr>
                <w:sz w:val="20"/>
              </w:rPr>
            </w:pPr>
          </w:p>
          <w:p w14:paraId="4AA9415A"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bl>
    <w:p w14:paraId="6FF5B953" w14:textId="77777777" w:rsidR="0046798B" w:rsidRDefault="0046798B">
      <w:pPr>
        <w:rPr>
          <w:sz w:val="20"/>
        </w:rPr>
        <w:sectPr w:rsidR="0046798B">
          <w:pgSz w:w="15840" w:h="12240" w:orient="landscape"/>
          <w:pgMar w:top="1220" w:right="300" w:bottom="980" w:left="820" w:header="730" w:footer="787" w:gutter="0"/>
          <w:cols w:space="720"/>
        </w:sectPr>
      </w:pPr>
    </w:p>
    <w:p w14:paraId="40D3A86D" w14:textId="77777777" w:rsidR="0046798B" w:rsidRDefault="0046798B">
      <w:pPr>
        <w:pStyle w:val="BodyText"/>
        <w:spacing w:before="2"/>
        <w:rPr>
          <w:sz w:val="11"/>
        </w:rPr>
      </w:pPr>
    </w:p>
    <w:p w14:paraId="12F1406E" w14:textId="77777777" w:rsidR="0046798B" w:rsidRDefault="00903B5C">
      <w:pPr>
        <w:pStyle w:val="ListParagraph"/>
        <w:numPr>
          <w:ilvl w:val="0"/>
          <w:numId w:val="2"/>
        </w:numPr>
        <w:tabs>
          <w:tab w:val="left" w:pos="901"/>
        </w:tabs>
        <w:spacing w:before="90"/>
        <w:ind w:left="900" w:hanging="280"/>
        <w:rPr>
          <w:b/>
          <w:sz w:val="24"/>
        </w:rPr>
      </w:pPr>
      <w:r>
        <w:rPr>
          <w:b/>
          <w:sz w:val="24"/>
          <w:u w:val="single"/>
        </w:rPr>
        <w:t>Gambling</w:t>
      </w:r>
      <w:r>
        <w:rPr>
          <w:b/>
          <w:spacing w:val="-1"/>
          <w:sz w:val="24"/>
          <w:u w:val="single"/>
        </w:rPr>
        <w:t xml:space="preserve"> </w:t>
      </w:r>
      <w:r>
        <w:rPr>
          <w:b/>
          <w:sz w:val="24"/>
          <w:u w:val="single"/>
        </w:rPr>
        <w:t>Policy</w:t>
      </w:r>
    </w:p>
    <w:p w14:paraId="4C4185D7" w14:textId="77777777" w:rsidR="0046798B" w:rsidRDefault="0046798B">
      <w:pPr>
        <w:pStyle w:val="BodyText"/>
        <w:spacing w:before="8" w:after="1"/>
        <w:rPr>
          <w:b/>
          <w:sz w:val="23"/>
        </w:rPr>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2000D99A" w14:textId="77777777">
        <w:trPr>
          <w:trHeight w:val="595"/>
        </w:trPr>
        <w:tc>
          <w:tcPr>
            <w:tcW w:w="1711" w:type="dxa"/>
          </w:tcPr>
          <w:p w14:paraId="08B866B2" w14:textId="77777777" w:rsidR="0046798B" w:rsidRDefault="00903B5C">
            <w:pPr>
              <w:pStyle w:val="TableParagraph"/>
              <w:spacing w:before="169"/>
              <w:ind w:left="140"/>
              <w:rPr>
                <w:b/>
              </w:rPr>
            </w:pPr>
            <w:r>
              <w:rPr>
                <w:b/>
              </w:rPr>
              <w:t>Variable Name</w:t>
            </w:r>
          </w:p>
        </w:tc>
        <w:tc>
          <w:tcPr>
            <w:tcW w:w="1596" w:type="dxa"/>
          </w:tcPr>
          <w:p w14:paraId="2548691F" w14:textId="77777777" w:rsidR="0046798B" w:rsidRDefault="00903B5C">
            <w:pPr>
              <w:pStyle w:val="TableParagraph"/>
              <w:spacing w:before="46" w:line="237" w:lineRule="auto"/>
              <w:ind w:left="249" w:right="229" w:firstLine="280"/>
              <w:rPr>
                <w:b/>
              </w:rPr>
            </w:pPr>
            <w:r>
              <w:rPr>
                <w:b/>
              </w:rPr>
              <w:t>Short Description</w:t>
            </w:r>
          </w:p>
        </w:tc>
        <w:tc>
          <w:tcPr>
            <w:tcW w:w="1285" w:type="dxa"/>
          </w:tcPr>
          <w:p w14:paraId="65F5956A" w14:textId="77777777" w:rsidR="0046798B" w:rsidRDefault="00903B5C">
            <w:pPr>
              <w:pStyle w:val="TableParagraph"/>
              <w:spacing w:before="169"/>
              <w:ind w:left="364"/>
              <w:rPr>
                <w:b/>
              </w:rPr>
            </w:pPr>
            <w:r>
              <w:rPr>
                <w:b/>
              </w:rPr>
              <w:t>Years</w:t>
            </w:r>
          </w:p>
        </w:tc>
        <w:tc>
          <w:tcPr>
            <w:tcW w:w="3421" w:type="dxa"/>
          </w:tcPr>
          <w:p w14:paraId="1971E478" w14:textId="77777777" w:rsidR="0046798B" w:rsidRDefault="00903B5C">
            <w:pPr>
              <w:pStyle w:val="TableParagraph"/>
              <w:spacing w:before="44" w:line="251" w:lineRule="exact"/>
              <w:ind w:left="159" w:right="146"/>
              <w:jc w:val="center"/>
              <w:rPr>
                <w:b/>
              </w:rPr>
            </w:pPr>
            <w:r>
              <w:rPr>
                <w:b/>
              </w:rPr>
              <w:t>Coding /</w:t>
            </w:r>
          </w:p>
          <w:p w14:paraId="415684B8" w14:textId="77777777" w:rsidR="0046798B" w:rsidRDefault="00903B5C">
            <w:pPr>
              <w:pStyle w:val="TableParagraph"/>
              <w:spacing w:line="251" w:lineRule="exact"/>
              <w:ind w:left="159" w:right="150"/>
              <w:jc w:val="center"/>
              <w:rPr>
                <w:b/>
              </w:rPr>
            </w:pPr>
            <w:r>
              <w:rPr>
                <w:b/>
              </w:rPr>
              <w:t>Longer Description (if available)</w:t>
            </w:r>
          </w:p>
        </w:tc>
        <w:tc>
          <w:tcPr>
            <w:tcW w:w="6482" w:type="dxa"/>
          </w:tcPr>
          <w:p w14:paraId="2F2E585E" w14:textId="77777777" w:rsidR="0046798B" w:rsidRDefault="00903B5C">
            <w:pPr>
              <w:pStyle w:val="TableParagraph"/>
              <w:spacing w:before="169"/>
              <w:ind w:left="2852" w:right="2845"/>
              <w:jc w:val="center"/>
              <w:rPr>
                <w:b/>
              </w:rPr>
            </w:pPr>
            <w:r>
              <w:rPr>
                <w:b/>
              </w:rPr>
              <w:t>Sources</w:t>
            </w:r>
          </w:p>
        </w:tc>
      </w:tr>
      <w:tr w:rsidR="0046798B" w14:paraId="6F431A53" w14:textId="77777777">
        <w:trPr>
          <w:trHeight w:val="1235"/>
        </w:trPr>
        <w:tc>
          <w:tcPr>
            <w:tcW w:w="1711" w:type="dxa"/>
          </w:tcPr>
          <w:p w14:paraId="5BA8BF69" w14:textId="77777777" w:rsidR="0046798B" w:rsidRDefault="0046798B">
            <w:pPr>
              <w:pStyle w:val="TableParagraph"/>
              <w:rPr>
                <w:b/>
              </w:rPr>
            </w:pPr>
          </w:p>
          <w:p w14:paraId="73C41082" w14:textId="77777777" w:rsidR="0046798B" w:rsidRDefault="0046798B">
            <w:pPr>
              <w:pStyle w:val="TableParagraph"/>
              <w:spacing w:before="4"/>
              <w:rPr>
                <w:b/>
                <w:sz w:val="21"/>
              </w:rPr>
            </w:pPr>
          </w:p>
          <w:p w14:paraId="43BA449C" w14:textId="77777777" w:rsidR="0046798B" w:rsidRDefault="00903B5C">
            <w:pPr>
              <w:pStyle w:val="TableParagraph"/>
              <w:ind w:left="115"/>
              <w:rPr>
                <w:b/>
                <w:sz w:val="20"/>
              </w:rPr>
            </w:pPr>
            <w:r>
              <w:rPr>
                <w:b/>
                <w:sz w:val="20"/>
              </w:rPr>
              <w:t>dcasino</w:t>
            </w:r>
          </w:p>
        </w:tc>
        <w:tc>
          <w:tcPr>
            <w:tcW w:w="1596" w:type="dxa"/>
          </w:tcPr>
          <w:p w14:paraId="5BE6F866" w14:textId="77777777" w:rsidR="0046798B" w:rsidRDefault="00903B5C">
            <w:pPr>
              <w:pStyle w:val="TableParagraph"/>
              <w:spacing w:before="38"/>
              <w:ind w:left="114" w:right="150"/>
              <w:rPr>
                <w:sz w:val="20"/>
              </w:rPr>
            </w:pPr>
            <w:r>
              <w:rPr>
                <w:sz w:val="20"/>
              </w:rPr>
              <w:t>Some commercial (non-Indian) casino gambling legal</w:t>
            </w:r>
          </w:p>
        </w:tc>
        <w:tc>
          <w:tcPr>
            <w:tcW w:w="1285" w:type="dxa"/>
          </w:tcPr>
          <w:p w14:paraId="46D45831" w14:textId="77777777" w:rsidR="0046798B" w:rsidRDefault="0046798B">
            <w:pPr>
              <w:pStyle w:val="TableParagraph"/>
              <w:rPr>
                <w:b/>
              </w:rPr>
            </w:pPr>
          </w:p>
          <w:p w14:paraId="5B48224C" w14:textId="77777777" w:rsidR="0046798B" w:rsidRDefault="0046798B">
            <w:pPr>
              <w:pStyle w:val="TableParagraph"/>
              <w:spacing w:before="4"/>
              <w:rPr>
                <w:b/>
                <w:sz w:val="21"/>
              </w:rPr>
            </w:pPr>
          </w:p>
          <w:p w14:paraId="795896EC" w14:textId="77777777" w:rsidR="0046798B" w:rsidRDefault="00903B5C">
            <w:pPr>
              <w:pStyle w:val="TableParagraph"/>
              <w:ind w:left="114"/>
              <w:rPr>
                <w:sz w:val="20"/>
              </w:rPr>
            </w:pPr>
            <w:r>
              <w:rPr>
                <w:sz w:val="20"/>
              </w:rPr>
              <w:t>1962–2016</w:t>
            </w:r>
          </w:p>
        </w:tc>
        <w:tc>
          <w:tcPr>
            <w:tcW w:w="3421" w:type="dxa"/>
          </w:tcPr>
          <w:p w14:paraId="56A2C95A" w14:textId="77777777" w:rsidR="0046798B" w:rsidRDefault="0046798B">
            <w:pPr>
              <w:pStyle w:val="TableParagraph"/>
              <w:rPr>
                <w:b/>
              </w:rPr>
            </w:pPr>
          </w:p>
          <w:p w14:paraId="3E137802" w14:textId="77777777" w:rsidR="0046798B" w:rsidRDefault="00903B5C">
            <w:pPr>
              <w:pStyle w:val="TableParagraph"/>
              <w:spacing w:before="131"/>
              <w:ind w:left="114" w:right="205"/>
              <w:rPr>
                <w:sz w:val="20"/>
              </w:rPr>
            </w:pPr>
            <w:r>
              <w:rPr>
                <w:sz w:val="20"/>
              </w:rPr>
              <w:t>Some commercial (non-Indian) casino gambling legal? (0 = no, 1 = yes)</w:t>
            </w:r>
          </w:p>
        </w:tc>
        <w:tc>
          <w:tcPr>
            <w:tcW w:w="6482" w:type="dxa"/>
          </w:tcPr>
          <w:p w14:paraId="0BEFB74D" w14:textId="77777777" w:rsidR="0046798B" w:rsidRDefault="0046798B">
            <w:pPr>
              <w:pStyle w:val="TableParagraph"/>
              <w:spacing w:before="4"/>
              <w:rPr>
                <w:b/>
                <w:sz w:val="23"/>
              </w:rPr>
            </w:pPr>
          </w:p>
          <w:p w14:paraId="0657BEE5" w14:textId="77777777" w:rsidR="0046798B" w:rsidRDefault="00903B5C">
            <w:pPr>
              <w:pStyle w:val="TableParagraph"/>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8ABBEE3" w14:textId="77777777">
        <w:trPr>
          <w:trHeight w:val="775"/>
        </w:trPr>
        <w:tc>
          <w:tcPr>
            <w:tcW w:w="1711" w:type="dxa"/>
          </w:tcPr>
          <w:p w14:paraId="7C55D8C3" w14:textId="77777777" w:rsidR="0046798B" w:rsidRDefault="0046798B">
            <w:pPr>
              <w:pStyle w:val="TableParagraph"/>
              <w:spacing w:before="9"/>
              <w:rPr>
                <w:b/>
                <w:sz w:val="23"/>
              </w:rPr>
            </w:pPr>
          </w:p>
          <w:p w14:paraId="04699F5D" w14:textId="77777777" w:rsidR="0046798B" w:rsidRDefault="00903B5C">
            <w:pPr>
              <w:pStyle w:val="TableParagraph"/>
              <w:ind w:left="115"/>
              <w:rPr>
                <w:b/>
                <w:sz w:val="20"/>
              </w:rPr>
            </w:pPr>
            <w:r>
              <w:rPr>
                <w:b/>
                <w:sz w:val="20"/>
              </w:rPr>
              <w:t>dchargam</w:t>
            </w:r>
          </w:p>
        </w:tc>
        <w:tc>
          <w:tcPr>
            <w:tcW w:w="1596" w:type="dxa"/>
          </w:tcPr>
          <w:p w14:paraId="63136343" w14:textId="77777777" w:rsidR="0046798B" w:rsidRDefault="00903B5C">
            <w:pPr>
              <w:pStyle w:val="TableParagraph"/>
              <w:spacing w:before="43"/>
              <w:ind w:left="114" w:right="619"/>
              <w:rPr>
                <w:sz w:val="20"/>
              </w:rPr>
            </w:pPr>
            <w:r>
              <w:rPr>
                <w:sz w:val="20"/>
              </w:rPr>
              <w:t>Charitable gaming permitted</w:t>
            </w:r>
          </w:p>
        </w:tc>
        <w:tc>
          <w:tcPr>
            <w:tcW w:w="1285" w:type="dxa"/>
          </w:tcPr>
          <w:p w14:paraId="79D3EF2E" w14:textId="77777777" w:rsidR="0046798B" w:rsidRDefault="0046798B">
            <w:pPr>
              <w:pStyle w:val="TableParagraph"/>
              <w:spacing w:before="9"/>
              <w:rPr>
                <w:b/>
                <w:sz w:val="23"/>
              </w:rPr>
            </w:pPr>
          </w:p>
          <w:p w14:paraId="528BC2DA" w14:textId="77777777" w:rsidR="0046798B" w:rsidRDefault="00903B5C">
            <w:pPr>
              <w:pStyle w:val="TableParagraph"/>
              <w:ind w:left="114"/>
              <w:rPr>
                <w:sz w:val="20"/>
              </w:rPr>
            </w:pPr>
            <w:r>
              <w:rPr>
                <w:sz w:val="20"/>
              </w:rPr>
              <w:t>1962–2016</w:t>
            </w:r>
          </w:p>
        </w:tc>
        <w:tc>
          <w:tcPr>
            <w:tcW w:w="3421" w:type="dxa"/>
          </w:tcPr>
          <w:p w14:paraId="56BF0ADF" w14:textId="77777777" w:rsidR="0046798B" w:rsidRDefault="00903B5C">
            <w:pPr>
              <w:pStyle w:val="TableParagraph"/>
              <w:spacing w:before="158"/>
              <w:ind w:left="114"/>
              <w:rPr>
                <w:sz w:val="20"/>
              </w:rPr>
            </w:pPr>
            <w:r>
              <w:rPr>
                <w:sz w:val="20"/>
              </w:rPr>
              <w:t>Charitable gaming permitted? (0 = no,</w:t>
            </w:r>
          </w:p>
          <w:p w14:paraId="7A10F981" w14:textId="77777777" w:rsidR="0046798B" w:rsidRDefault="00903B5C">
            <w:pPr>
              <w:pStyle w:val="TableParagraph"/>
              <w:ind w:left="114"/>
              <w:rPr>
                <w:sz w:val="20"/>
              </w:rPr>
            </w:pPr>
            <w:r>
              <w:rPr>
                <w:sz w:val="20"/>
              </w:rPr>
              <w:t>0.5 = annual events only, 1 = yes)</w:t>
            </w:r>
          </w:p>
        </w:tc>
        <w:tc>
          <w:tcPr>
            <w:tcW w:w="6482" w:type="dxa"/>
          </w:tcPr>
          <w:p w14:paraId="7840CAA9"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4810D80" w14:textId="77777777">
        <w:trPr>
          <w:trHeight w:val="775"/>
        </w:trPr>
        <w:tc>
          <w:tcPr>
            <w:tcW w:w="1711" w:type="dxa"/>
          </w:tcPr>
          <w:p w14:paraId="1FC6F04B" w14:textId="77777777" w:rsidR="0046798B" w:rsidRDefault="0046798B">
            <w:pPr>
              <w:pStyle w:val="TableParagraph"/>
              <w:spacing w:before="8"/>
              <w:rPr>
                <w:b/>
                <w:sz w:val="23"/>
              </w:rPr>
            </w:pPr>
          </w:p>
          <w:p w14:paraId="2DFD4151" w14:textId="77777777" w:rsidR="0046798B" w:rsidRDefault="00903B5C">
            <w:pPr>
              <w:pStyle w:val="TableParagraph"/>
              <w:spacing w:before="1"/>
              <w:ind w:left="115"/>
              <w:rPr>
                <w:b/>
                <w:sz w:val="20"/>
              </w:rPr>
            </w:pPr>
            <w:r>
              <w:rPr>
                <w:b/>
                <w:sz w:val="20"/>
              </w:rPr>
              <w:t>dgamfel</w:t>
            </w:r>
          </w:p>
        </w:tc>
        <w:tc>
          <w:tcPr>
            <w:tcW w:w="1596" w:type="dxa"/>
          </w:tcPr>
          <w:p w14:paraId="67BF929F" w14:textId="77777777" w:rsidR="0046798B" w:rsidRDefault="00903B5C">
            <w:pPr>
              <w:pStyle w:val="TableParagraph"/>
              <w:spacing w:before="43"/>
              <w:ind w:left="114" w:right="374"/>
              <w:rPr>
                <w:sz w:val="20"/>
              </w:rPr>
            </w:pPr>
            <w:r>
              <w:rPr>
                <w:sz w:val="20"/>
              </w:rPr>
              <w:t>Aggravated gambling is a felony</w:t>
            </w:r>
          </w:p>
        </w:tc>
        <w:tc>
          <w:tcPr>
            <w:tcW w:w="1285" w:type="dxa"/>
          </w:tcPr>
          <w:p w14:paraId="3B68C191" w14:textId="77777777" w:rsidR="0046798B" w:rsidRDefault="0046798B">
            <w:pPr>
              <w:pStyle w:val="TableParagraph"/>
              <w:spacing w:before="8"/>
              <w:rPr>
                <w:b/>
                <w:sz w:val="23"/>
              </w:rPr>
            </w:pPr>
          </w:p>
          <w:p w14:paraId="3CD6AF6B" w14:textId="77777777" w:rsidR="0046798B" w:rsidRDefault="00903B5C">
            <w:pPr>
              <w:pStyle w:val="TableParagraph"/>
              <w:spacing w:before="1"/>
              <w:ind w:left="114"/>
              <w:rPr>
                <w:sz w:val="20"/>
              </w:rPr>
            </w:pPr>
            <w:r>
              <w:rPr>
                <w:sz w:val="20"/>
              </w:rPr>
              <w:t>2000–2016</w:t>
            </w:r>
          </w:p>
        </w:tc>
        <w:tc>
          <w:tcPr>
            <w:tcW w:w="3421" w:type="dxa"/>
          </w:tcPr>
          <w:p w14:paraId="13146A40" w14:textId="77777777" w:rsidR="0046798B" w:rsidRDefault="00903B5C">
            <w:pPr>
              <w:pStyle w:val="TableParagraph"/>
              <w:spacing w:before="158"/>
              <w:ind w:left="114" w:right="276"/>
              <w:rPr>
                <w:sz w:val="20"/>
              </w:rPr>
            </w:pPr>
            <w:r>
              <w:rPr>
                <w:sz w:val="20"/>
              </w:rPr>
              <w:t>Aggravated gambling is a felony (0 = no, 1 = yes)</w:t>
            </w:r>
          </w:p>
        </w:tc>
        <w:tc>
          <w:tcPr>
            <w:tcW w:w="6482" w:type="dxa"/>
          </w:tcPr>
          <w:p w14:paraId="113CCC94"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0F28D8D" w14:textId="77777777">
        <w:trPr>
          <w:trHeight w:val="1010"/>
        </w:trPr>
        <w:tc>
          <w:tcPr>
            <w:tcW w:w="1711" w:type="dxa"/>
          </w:tcPr>
          <w:p w14:paraId="45EFC922" w14:textId="77777777" w:rsidR="0046798B" w:rsidRDefault="0046798B">
            <w:pPr>
              <w:pStyle w:val="TableParagraph"/>
              <w:rPr>
                <w:b/>
              </w:rPr>
            </w:pPr>
          </w:p>
          <w:p w14:paraId="1B03EAD4" w14:textId="77777777" w:rsidR="0046798B" w:rsidRDefault="00903B5C">
            <w:pPr>
              <w:pStyle w:val="TableParagraph"/>
              <w:spacing w:before="135"/>
              <w:ind w:left="115"/>
              <w:rPr>
                <w:b/>
                <w:sz w:val="20"/>
              </w:rPr>
            </w:pPr>
            <w:r>
              <w:rPr>
                <w:b/>
                <w:sz w:val="20"/>
              </w:rPr>
              <w:t>dintgam</w:t>
            </w:r>
          </w:p>
        </w:tc>
        <w:tc>
          <w:tcPr>
            <w:tcW w:w="1596" w:type="dxa"/>
          </w:tcPr>
          <w:p w14:paraId="005499D1" w14:textId="77777777" w:rsidR="0046798B" w:rsidRDefault="00903B5C">
            <w:pPr>
              <w:pStyle w:val="TableParagraph"/>
              <w:spacing w:before="43"/>
              <w:ind w:left="114" w:right="229"/>
              <w:rPr>
                <w:sz w:val="20"/>
              </w:rPr>
            </w:pPr>
            <w:r>
              <w:rPr>
                <w:sz w:val="20"/>
              </w:rPr>
              <w:t>Express prohibition on Internet gambling</w:t>
            </w:r>
          </w:p>
        </w:tc>
        <w:tc>
          <w:tcPr>
            <w:tcW w:w="1285" w:type="dxa"/>
          </w:tcPr>
          <w:p w14:paraId="489D8F63" w14:textId="77777777" w:rsidR="0046798B" w:rsidRDefault="0046798B">
            <w:pPr>
              <w:pStyle w:val="TableParagraph"/>
              <w:rPr>
                <w:b/>
              </w:rPr>
            </w:pPr>
          </w:p>
          <w:p w14:paraId="5F92A61A" w14:textId="77777777" w:rsidR="0046798B" w:rsidRDefault="00903B5C">
            <w:pPr>
              <w:pStyle w:val="TableParagraph"/>
              <w:spacing w:before="135"/>
              <w:ind w:left="114"/>
              <w:rPr>
                <w:sz w:val="20"/>
              </w:rPr>
            </w:pPr>
            <w:r>
              <w:rPr>
                <w:sz w:val="20"/>
              </w:rPr>
              <w:t>1957–2016</w:t>
            </w:r>
          </w:p>
        </w:tc>
        <w:tc>
          <w:tcPr>
            <w:tcW w:w="3421" w:type="dxa"/>
          </w:tcPr>
          <w:p w14:paraId="17FB1335" w14:textId="77777777" w:rsidR="0046798B" w:rsidRDefault="00903B5C">
            <w:pPr>
              <w:pStyle w:val="TableParagraph"/>
              <w:spacing w:before="43"/>
              <w:ind w:left="114" w:right="117"/>
              <w:rPr>
                <w:sz w:val="20"/>
              </w:rPr>
            </w:pPr>
            <w:r>
              <w:rPr>
                <w:sz w:val="20"/>
              </w:rPr>
              <w:t>Express prohibition on Internet gambling? (-1 = express authorization of some form of Internet gambling, 0 = no, 1 = yes)</w:t>
            </w:r>
          </w:p>
        </w:tc>
        <w:tc>
          <w:tcPr>
            <w:tcW w:w="6482" w:type="dxa"/>
          </w:tcPr>
          <w:p w14:paraId="161C90FA"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30D71F7" w14:textId="77777777">
        <w:trPr>
          <w:trHeight w:val="775"/>
        </w:trPr>
        <w:tc>
          <w:tcPr>
            <w:tcW w:w="1711" w:type="dxa"/>
          </w:tcPr>
          <w:p w14:paraId="542D460B" w14:textId="77777777" w:rsidR="0046798B" w:rsidRDefault="0046798B">
            <w:pPr>
              <w:pStyle w:val="TableParagraph"/>
              <w:spacing w:before="4"/>
              <w:rPr>
                <w:b/>
                <w:sz w:val="23"/>
              </w:rPr>
            </w:pPr>
          </w:p>
          <w:p w14:paraId="67E4FC72" w14:textId="77777777" w:rsidR="0046798B" w:rsidRDefault="00903B5C">
            <w:pPr>
              <w:pStyle w:val="TableParagraph"/>
              <w:ind w:left="115"/>
              <w:rPr>
                <w:b/>
                <w:sz w:val="20"/>
              </w:rPr>
            </w:pPr>
            <w:r>
              <w:rPr>
                <w:b/>
                <w:sz w:val="20"/>
              </w:rPr>
              <w:t>dparimut</w:t>
            </w:r>
          </w:p>
        </w:tc>
        <w:tc>
          <w:tcPr>
            <w:tcW w:w="1596" w:type="dxa"/>
          </w:tcPr>
          <w:p w14:paraId="56B58332" w14:textId="77777777" w:rsidR="0046798B" w:rsidRDefault="00903B5C">
            <w:pPr>
              <w:pStyle w:val="TableParagraph"/>
              <w:spacing w:before="38"/>
              <w:ind w:left="114" w:right="157"/>
              <w:rPr>
                <w:sz w:val="20"/>
              </w:rPr>
            </w:pPr>
            <w:r>
              <w:rPr>
                <w:sz w:val="20"/>
              </w:rPr>
              <w:t>Pari-mutuel wagering taking place</w:t>
            </w:r>
          </w:p>
        </w:tc>
        <w:tc>
          <w:tcPr>
            <w:tcW w:w="1285" w:type="dxa"/>
          </w:tcPr>
          <w:p w14:paraId="0C76F094" w14:textId="77777777" w:rsidR="0046798B" w:rsidRDefault="0046798B">
            <w:pPr>
              <w:pStyle w:val="TableParagraph"/>
              <w:spacing w:before="4"/>
              <w:rPr>
                <w:b/>
                <w:sz w:val="23"/>
              </w:rPr>
            </w:pPr>
          </w:p>
          <w:p w14:paraId="49F82852" w14:textId="77777777" w:rsidR="0046798B" w:rsidRDefault="00903B5C">
            <w:pPr>
              <w:pStyle w:val="TableParagraph"/>
              <w:ind w:left="114"/>
              <w:rPr>
                <w:sz w:val="20"/>
              </w:rPr>
            </w:pPr>
            <w:r>
              <w:rPr>
                <w:sz w:val="20"/>
              </w:rPr>
              <w:t>1962–2016</w:t>
            </w:r>
          </w:p>
        </w:tc>
        <w:tc>
          <w:tcPr>
            <w:tcW w:w="3421" w:type="dxa"/>
          </w:tcPr>
          <w:p w14:paraId="502FA15D" w14:textId="77777777" w:rsidR="0046798B" w:rsidRDefault="00903B5C">
            <w:pPr>
              <w:pStyle w:val="TableParagraph"/>
              <w:spacing w:before="154"/>
              <w:ind w:left="114"/>
              <w:rPr>
                <w:sz w:val="20"/>
              </w:rPr>
            </w:pPr>
            <w:r>
              <w:rPr>
                <w:sz w:val="20"/>
              </w:rPr>
              <w:t>Pari-mutuel wagering taking place? (0</w:t>
            </w:r>
          </w:p>
          <w:p w14:paraId="4E4E42E1" w14:textId="77777777" w:rsidR="0046798B" w:rsidRDefault="00903B5C">
            <w:pPr>
              <w:pStyle w:val="TableParagraph"/>
              <w:ind w:left="114"/>
              <w:rPr>
                <w:sz w:val="20"/>
              </w:rPr>
            </w:pPr>
            <w:r>
              <w:rPr>
                <w:sz w:val="20"/>
              </w:rPr>
              <w:t>= no, 1 = yes)</w:t>
            </w:r>
          </w:p>
        </w:tc>
        <w:tc>
          <w:tcPr>
            <w:tcW w:w="6482" w:type="dxa"/>
          </w:tcPr>
          <w:p w14:paraId="2B688044" w14:textId="77777777" w:rsidR="0046798B" w:rsidRDefault="00903B5C">
            <w:pPr>
              <w:pStyle w:val="TableParagraph"/>
              <w:spacing w:before="38"/>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EC0C027" w14:textId="77777777">
        <w:trPr>
          <w:trHeight w:val="1005"/>
        </w:trPr>
        <w:tc>
          <w:tcPr>
            <w:tcW w:w="1711" w:type="dxa"/>
          </w:tcPr>
          <w:p w14:paraId="15D9F297" w14:textId="77777777" w:rsidR="0046798B" w:rsidRDefault="0046798B">
            <w:pPr>
              <w:pStyle w:val="TableParagraph"/>
              <w:rPr>
                <w:b/>
              </w:rPr>
            </w:pPr>
          </w:p>
          <w:p w14:paraId="653C46DF" w14:textId="77777777" w:rsidR="0046798B" w:rsidRDefault="00903B5C">
            <w:pPr>
              <w:pStyle w:val="TableParagraph"/>
              <w:spacing w:before="130"/>
              <w:ind w:left="115"/>
              <w:rPr>
                <w:b/>
                <w:sz w:val="20"/>
              </w:rPr>
            </w:pPr>
            <w:r>
              <w:rPr>
                <w:b/>
                <w:sz w:val="20"/>
              </w:rPr>
              <w:t>dslots</w:t>
            </w:r>
          </w:p>
        </w:tc>
        <w:tc>
          <w:tcPr>
            <w:tcW w:w="1596" w:type="dxa"/>
          </w:tcPr>
          <w:p w14:paraId="5477C5CF" w14:textId="77777777" w:rsidR="0046798B" w:rsidRDefault="00903B5C">
            <w:pPr>
              <w:pStyle w:val="TableParagraph"/>
              <w:spacing w:before="38"/>
              <w:ind w:left="114" w:right="235"/>
              <w:rPr>
                <w:sz w:val="20"/>
              </w:rPr>
            </w:pPr>
            <w:r>
              <w:rPr>
                <w:sz w:val="20"/>
              </w:rPr>
              <w:t>Slot/video games legal outside casinos and tracks</w:t>
            </w:r>
          </w:p>
        </w:tc>
        <w:tc>
          <w:tcPr>
            <w:tcW w:w="1285" w:type="dxa"/>
          </w:tcPr>
          <w:p w14:paraId="11EC6627" w14:textId="77777777" w:rsidR="0046798B" w:rsidRDefault="0046798B">
            <w:pPr>
              <w:pStyle w:val="TableParagraph"/>
              <w:rPr>
                <w:b/>
              </w:rPr>
            </w:pPr>
          </w:p>
          <w:p w14:paraId="35179260" w14:textId="77777777" w:rsidR="0046798B" w:rsidRDefault="00903B5C">
            <w:pPr>
              <w:pStyle w:val="TableParagraph"/>
              <w:spacing w:before="130"/>
              <w:ind w:left="114"/>
              <w:rPr>
                <w:sz w:val="20"/>
              </w:rPr>
            </w:pPr>
            <w:r>
              <w:rPr>
                <w:sz w:val="20"/>
              </w:rPr>
              <w:t>1962–2016</w:t>
            </w:r>
          </w:p>
        </w:tc>
        <w:tc>
          <w:tcPr>
            <w:tcW w:w="3421" w:type="dxa"/>
          </w:tcPr>
          <w:p w14:paraId="64574D28" w14:textId="77777777" w:rsidR="0046798B" w:rsidRDefault="00903B5C">
            <w:pPr>
              <w:pStyle w:val="TableParagraph"/>
              <w:spacing w:before="38"/>
              <w:ind w:left="114" w:right="188"/>
              <w:rPr>
                <w:sz w:val="20"/>
              </w:rPr>
            </w:pPr>
            <w:r>
              <w:rPr>
                <w:sz w:val="20"/>
              </w:rPr>
              <w:t>Slot/video games legal outside casinos and tracks? (0 = no, 0.25 = in strictly limited locations with half of revenue going to charity, 1 = yes)</w:t>
            </w:r>
          </w:p>
        </w:tc>
        <w:tc>
          <w:tcPr>
            <w:tcW w:w="6482" w:type="dxa"/>
          </w:tcPr>
          <w:p w14:paraId="0437E109" w14:textId="77777777" w:rsidR="0046798B" w:rsidRDefault="00903B5C">
            <w:pPr>
              <w:pStyle w:val="TableParagraph"/>
              <w:spacing w:before="15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ECD1C3C" w14:textId="77777777">
        <w:trPr>
          <w:trHeight w:val="775"/>
        </w:trPr>
        <w:tc>
          <w:tcPr>
            <w:tcW w:w="1711" w:type="dxa"/>
          </w:tcPr>
          <w:p w14:paraId="7398869C" w14:textId="77777777" w:rsidR="0046798B" w:rsidRDefault="0046798B">
            <w:pPr>
              <w:pStyle w:val="TableParagraph"/>
              <w:spacing w:before="3"/>
              <w:rPr>
                <w:b/>
                <w:sz w:val="23"/>
              </w:rPr>
            </w:pPr>
          </w:p>
          <w:p w14:paraId="3D7104FC" w14:textId="77777777" w:rsidR="0046798B" w:rsidRDefault="00903B5C">
            <w:pPr>
              <w:pStyle w:val="TableParagraph"/>
              <w:spacing w:before="1"/>
              <w:ind w:left="115"/>
              <w:rPr>
                <w:b/>
                <w:sz w:val="20"/>
              </w:rPr>
            </w:pPr>
            <w:r>
              <w:rPr>
                <w:b/>
                <w:sz w:val="20"/>
              </w:rPr>
              <w:t>dsocgam</w:t>
            </w:r>
          </w:p>
        </w:tc>
        <w:tc>
          <w:tcPr>
            <w:tcW w:w="1596" w:type="dxa"/>
          </w:tcPr>
          <w:p w14:paraId="33D90A32" w14:textId="77777777" w:rsidR="0046798B" w:rsidRDefault="00903B5C">
            <w:pPr>
              <w:pStyle w:val="TableParagraph"/>
              <w:spacing w:before="153"/>
              <w:ind w:left="114" w:right="146"/>
              <w:rPr>
                <w:sz w:val="20"/>
              </w:rPr>
            </w:pPr>
            <w:r>
              <w:rPr>
                <w:sz w:val="20"/>
              </w:rPr>
              <w:t>Social gambling allowed</w:t>
            </w:r>
          </w:p>
        </w:tc>
        <w:tc>
          <w:tcPr>
            <w:tcW w:w="1285" w:type="dxa"/>
          </w:tcPr>
          <w:p w14:paraId="2868E10E" w14:textId="77777777" w:rsidR="0046798B" w:rsidRDefault="0046798B">
            <w:pPr>
              <w:pStyle w:val="TableParagraph"/>
              <w:spacing w:before="3"/>
              <w:rPr>
                <w:b/>
                <w:sz w:val="23"/>
              </w:rPr>
            </w:pPr>
          </w:p>
          <w:p w14:paraId="5A8E9519" w14:textId="77777777" w:rsidR="0046798B" w:rsidRDefault="00903B5C">
            <w:pPr>
              <w:pStyle w:val="TableParagraph"/>
              <w:spacing w:before="1"/>
              <w:ind w:left="114"/>
              <w:rPr>
                <w:sz w:val="20"/>
              </w:rPr>
            </w:pPr>
            <w:r>
              <w:rPr>
                <w:sz w:val="20"/>
              </w:rPr>
              <w:t>2000–2016</w:t>
            </w:r>
          </w:p>
        </w:tc>
        <w:tc>
          <w:tcPr>
            <w:tcW w:w="3421" w:type="dxa"/>
          </w:tcPr>
          <w:p w14:paraId="2AFAD712" w14:textId="77777777" w:rsidR="0046798B" w:rsidRDefault="00903B5C">
            <w:pPr>
              <w:pStyle w:val="TableParagraph"/>
              <w:spacing w:before="153"/>
              <w:ind w:left="114"/>
              <w:rPr>
                <w:sz w:val="20"/>
              </w:rPr>
            </w:pPr>
            <w:r>
              <w:rPr>
                <w:sz w:val="20"/>
              </w:rPr>
              <w:t>Social gambling allowed? (0 = no, 0.5</w:t>
            </w:r>
          </w:p>
          <w:p w14:paraId="74199218" w14:textId="77777777" w:rsidR="0046798B" w:rsidRDefault="00903B5C">
            <w:pPr>
              <w:pStyle w:val="TableParagraph"/>
              <w:ind w:left="114"/>
              <w:rPr>
                <w:sz w:val="20"/>
              </w:rPr>
            </w:pPr>
            <w:r>
              <w:rPr>
                <w:sz w:val="20"/>
              </w:rPr>
              <w:t>= stakes limit, 1=yes)</w:t>
            </w:r>
          </w:p>
        </w:tc>
        <w:tc>
          <w:tcPr>
            <w:tcW w:w="6482" w:type="dxa"/>
          </w:tcPr>
          <w:p w14:paraId="1406AAA4" w14:textId="77777777" w:rsidR="0046798B" w:rsidRDefault="00903B5C">
            <w:pPr>
              <w:pStyle w:val="TableParagraph"/>
              <w:spacing w:before="38"/>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0FD8D48" w14:textId="77777777">
        <w:trPr>
          <w:trHeight w:val="775"/>
        </w:trPr>
        <w:tc>
          <w:tcPr>
            <w:tcW w:w="1711" w:type="dxa"/>
          </w:tcPr>
          <w:p w14:paraId="7DC10EA6" w14:textId="77777777" w:rsidR="0046798B" w:rsidRDefault="0046798B">
            <w:pPr>
              <w:pStyle w:val="TableParagraph"/>
              <w:spacing w:before="9"/>
              <w:rPr>
                <w:b/>
                <w:sz w:val="23"/>
              </w:rPr>
            </w:pPr>
          </w:p>
          <w:p w14:paraId="725BE2DF" w14:textId="77777777" w:rsidR="0046798B" w:rsidRDefault="00903B5C">
            <w:pPr>
              <w:pStyle w:val="TableParagraph"/>
              <w:ind w:left="115"/>
              <w:rPr>
                <w:b/>
                <w:sz w:val="20"/>
              </w:rPr>
            </w:pPr>
            <w:r>
              <w:rPr>
                <w:b/>
                <w:sz w:val="20"/>
              </w:rPr>
              <w:t>dsports</w:t>
            </w:r>
          </w:p>
        </w:tc>
        <w:tc>
          <w:tcPr>
            <w:tcW w:w="1596" w:type="dxa"/>
          </w:tcPr>
          <w:p w14:paraId="4A1B8CDB" w14:textId="77777777" w:rsidR="0046798B" w:rsidRDefault="00903B5C">
            <w:pPr>
              <w:pStyle w:val="TableParagraph"/>
              <w:spacing w:before="158"/>
              <w:ind w:left="114" w:right="357"/>
              <w:rPr>
                <w:sz w:val="20"/>
              </w:rPr>
            </w:pPr>
            <w:r>
              <w:rPr>
                <w:sz w:val="20"/>
              </w:rPr>
              <w:t>Private sports betting legal</w:t>
            </w:r>
          </w:p>
        </w:tc>
        <w:tc>
          <w:tcPr>
            <w:tcW w:w="1285" w:type="dxa"/>
          </w:tcPr>
          <w:p w14:paraId="1DF7938A" w14:textId="77777777" w:rsidR="0046798B" w:rsidRDefault="0046798B">
            <w:pPr>
              <w:pStyle w:val="TableParagraph"/>
              <w:spacing w:before="9"/>
              <w:rPr>
                <w:b/>
                <w:sz w:val="23"/>
              </w:rPr>
            </w:pPr>
          </w:p>
          <w:p w14:paraId="3DE3D0C7" w14:textId="77777777" w:rsidR="0046798B" w:rsidRDefault="00903B5C">
            <w:pPr>
              <w:pStyle w:val="TableParagraph"/>
              <w:ind w:left="114"/>
              <w:rPr>
                <w:sz w:val="20"/>
              </w:rPr>
            </w:pPr>
            <w:r>
              <w:rPr>
                <w:sz w:val="20"/>
              </w:rPr>
              <w:t>1962–2016</w:t>
            </w:r>
          </w:p>
        </w:tc>
        <w:tc>
          <w:tcPr>
            <w:tcW w:w="3421" w:type="dxa"/>
          </w:tcPr>
          <w:p w14:paraId="67CD2C3F" w14:textId="77777777" w:rsidR="0046798B" w:rsidRDefault="00903B5C">
            <w:pPr>
              <w:pStyle w:val="TableParagraph"/>
              <w:spacing w:before="158"/>
              <w:ind w:left="114"/>
              <w:rPr>
                <w:sz w:val="20"/>
              </w:rPr>
            </w:pPr>
            <w:r>
              <w:rPr>
                <w:sz w:val="20"/>
              </w:rPr>
              <w:t>Private sports betting legal? (0 = no,</w:t>
            </w:r>
          </w:p>
          <w:p w14:paraId="45275171" w14:textId="77777777" w:rsidR="0046798B" w:rsidRDefault="00903B5C">
            <w:pPr>
              <w:pStyle w:val="TableParagraph"/>
              <w:ind w:left="114"/>
              <w:rPr>
                <w:sz w:val="20"/>
              </w:rPr>
            </w:pPr>
            <w:r>
              <w:rPr>
                <w:sz w:val="20"/>
              </w:rPr>
              <w:t>0.5 = limited games, 1=yes)</w:t>
            </w:r>
          </w:p>
        </w:tc>
        <w:tc>
          <w:tcPr>
            <w:tcW w:w="6482" w:type="dxa"/>
          </w:tcPr>
          <w:p w14:paraId="106C2CC0"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C009301" w14:textId="77777777">
        <w:trPr>
          <w:trHeight w:val="775"/>
        </w:trPr>
        <w:tc>
          <w:tcPr>
            <w:tcW w:w="1711" w:type="dxa"/>
          </w:tcPr>
          <w:p w14:paraId="3A21BA3B" w14:textId="77777777" w:rsidR="0046798B" w:rsidRDefault="0046798B">
            <w:pPr>
              <w:pStyle w:val="TableParagraph"/>
              <w:spacing w:before="8"/>
              <w:rPr>
                <w:b/>
                <w:sz w:val="23"/>
              </w:rPr>
            </w:pPr>
          </w:p>
          <w:p w14:paraId="3AF23051" w14:textId="77777777" w:rsidR="0046798B" w:rsidRDefault="00903B5C">
            <w:pPr>
              <w:pStyle w:val="TableParagraph"/>
              <w:spacing w:before="1"/>
              <w:ind w:left="115"/>
              <w:rPr>
                <w:b/>
                <w:sz w:val="20"/>
              </w:rPr>
            </w:pPr>
            <w:r>
              <w:rPr>
                <w:b/>
                <w:sz w:val="20"/>
              </w:rPr>
              <w:t>dtrack</w:t>
            </w:r>
          </w:p>
        </w:tc>
        <w:tc>
          <w:tcPr>
            <w:tcW w:w="1596" w:type="dxa"/>
          </w:tcPr>
          <w:p w14:paraId="783466D1" w14:textId="77777777" w:rsidR="0046798B" w:rsidRDefault="00903B5C">
            <w:pPr>
              <w:pStyle w:val="TableParagraph"/>
              <w:spacing w:before="158"/>
              <w:ind w:left="114" w:right="213"/>
              <w:rPr>
                <w:sz w:val="20"/>
              </w:rPr>
            </w:pPr>
            <w:r>
              <w:rPr>
                <w:sz w:val="20"/>
              </w:rPr>
              <w:t>Some racetrack gaming legal</w:t>
            </w:r>
          </w:p>
        </w:tc>
        <w:tc>
          <w:tcPr>
            <w:tcW w:w="1285" w:type="dxa"/>
          </w:tcPr>
          <w:p w14:paraId="0D596680" w14:textId="77777777" w:rsidR="0046798B" w:rsidRDefault="0046798B">
            <w:pPr>
              <w:pStyle w:val="TableParagraph"/>
              <w:spacing w:before="8"/>
              <w:rPr>
                <w:b/>
                <w:sz w:val="23"/>
              </w:rPr>
            </w:pPr>
          </w:p>
          <w:p w14:paraId="39BDF8AB" w14:textId="77777777" w:rsidR="0046798B" w:rsidRDefault="00903B5C">
            <w:pPr>
              <w:pStyle w:val="TableParagraph"/>
              <w:spacing w:before="1"/>
              <w:ind w:left="114"/>
              <w:rPr>
                <w:sz w:val="20"/>
              </w:rPr>
            </w:pPr>
            <w:r>
              <w:rPr>
                <w:sz w:val="20"/>
              </w:rPr>
              <w:t>1962–2016</w:t>
            </w:r>
          </w:p>
        </w:tc>
        <w:tc>
          <w:tcPr>
            <w:tcW w:w="3421" w:type="dxa"/>
          </w:tcPr>
          <w:p w14:paraId="47F98C7D" w14:textId="77777777" w:rsidR="0046798B" w:rsidRDefault="00903B5C">
            <w:pPr>
              <w:pStyle w:val="TableParagraph"/>
              <w:spacing w:before="158"/>
              <w:ind w:left="114" w:right="182"/>
              <w:rPr>
                <w:sz w:val="20"/>
              </w:rPr>
            </w:pPr>
            <w:r>
              <w:rPr>
                <w:sz w:val="20"/>
              </w:rPr>
              <w:t>Some racetrack gaming legal? (0 = no, 1 = yes)</w:t>
            </w:r>
          </w:p>
        </w:tc>
        <w:tc>
          <w:tcPr>
            <w:tcW w:w="6482" w:type="dxa"/>
          </w:tcPr>
          <w:p w14:paraId="4B8F857B"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1D14669B" w14:textId="77777777" w:rsidR="0046798B" w:rsidRDefault="0046798B">
      <w:pPr>
        <w:rPr>
          <w:sz w:val="20"/>
        </w:rPr>
        <w:sectPr w:rsidR="0046798B">
          <w:pgSz w:w="15840" w:h="12240" w:orient="landscape"/>
          <w:pgMar w:top="1220" w:right="300" w:bottom="980" w:left="820" w:header="730" w:footer="787" w:gutter="0"/>
          <w:cols w:space="720"/>
        </w:sectPr>
      </w:pPr>
    </w:p>
    <w:p w14:paraId="32B10899"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7AD1A5E2" w14:textId="77777777">
        <w:trPr>
          <w:trHeight w:val="1235"/>
        </w:trPr>
        <w:tc>
          <w:tcPr>
            <w:tcW w:w="1711" w:type="dxa"/>
          </w:tcPr>
          <w:p w14:paraId="4CA3A994" w14:textId="77777777" w:rsidR="0046798B" w:rsidRDefault="0046798B">
            <w:pPr>
              <w:pStyle w:val="TableParagraph"/>
            </w:pPr>
          </w:p>
          <w:p w14:paraId="3DAD5DFE" w14:textId="77777777" w:rsidR="0046798B" w:rsidRDefault="00903B5C">
            <w:pPr>
              <w:pStyle w:val="TableParagraph"/>
              <w:spacing w:before="135"/>
              <w:ind w:left="115" w:right="132"/>
              <w:rPr>
                <w:b/>
                <w:sz w:val="20"/>
              </w:rPr>
            </w:pPr>
            <w:r>
              <w:rPr>
                <w:b/>
                <w:sz w:val="20"/>
              </w:rPr>
              <w:t>gambling_casino s</w:t>
            </w:r>
          </w:p>
        </w:tc>
        <w:tc>
          <w:tcPr>
            <w:tcW w:w="1596" w:type="dxa"/>
          </w:tcPr>
          <w:p w14:paraId="3EFBC133" w14:textId="77777777" w:rsidR="0046798B" w:rsidRDefault="0046798B">
            <w:pPr>
              <w:pStyle w:val="TableParagraph"/>
            </w:pPr>
          </w:p>
          <w:p w14:paraId="5B2F98E4" w14:textId="77777777" w:rsidR="0046798B" w:rsidRDefault="0046798B">
            <w:pPr>
              <w:pStyle w:val="TableParagraph"/>
              <w:spacing w:before="9"/>
              <w:rPr>
                <w:sz w:val="21"/>
              </w:rPr>
            </w:pPr>
          </w:p>
          <w:p w14:paraId="4C095B16" w14:textId="77777777" w:rsidR="0046798B" w:rsidRDefault="00903B5C">
            <w:pPr>
              <w:pStyle w:val="TableParagraph"/>
              <w:ind w:left="114"/>
              <w:rPr>
                <w:sz w:val="20"/>
              </w:rPr>
            </w:pPr>
            <w:r>
              <w:rPr>
                <w:sz w:val="20"/>
              </w:rPr>
              <w:t>Casinos allowed</w:t>
            </w:r>
          </w:p>
        </w:tc>
        <w:tc>
          <w:tcPr>
            <w:tcW w:w="1285" w:type="dxa"/>
          </w:tcPr>
          <w:p w14:paraId="1DF8494A" w14:textId="77777777" w:rsidR="0046798B" w:rsidRDefault="0046798B">
            <w:pPr>
              <w:pStyle w:val="TableParagraph"/>
            </w:pPr>
          </w:p>
          <w:p w14:paraId="59205DBE" w14:textId="77777777" w:rsidR="0046798B" w:rsidRDefault="0046798B">
            <w:pPr>
              <w:pStyle w:val="TableParagraph"/>
              <w:spacing w:before="9"/>
              <w:rPr>
                <w:sz w:val="21"/>
              </w:rPr>
            </w:pPr>
          </w:p>
          <w:p w14:paraId="49B93543" w14:textId="77777777" w:rsidR="0046798B" w:rsidRDefault="00903B5C">
            <w:pPr>
              <w:pStyle w:val="TableParagraph"/>
              <w:ind w:left="114"/>
              <w:rPr>
                <w:sz w:val="20"/>
              </w:rPr>
            </w:pPr>
            <w:r>
              <w:rPr>
                <w:sz w:val="20"/>
              </w:rPr>
              <w:t>1977–2012</w:t>
            </w:r>
          </w:p>
        </w:tc>
        <w:tc>
          <w:tcPr>
            <w:tcW w:w="3421" w:type="dxa"/>
          </w:tcPr>
          <w:p w14:paraId="613D331D" w14:textId="77777777" w:rsidR="0046798B" w:rsidRDefault="0046798B">
            <w:pPr>
              <w:pStyle w:val="TableParagraph"/>
            </w:pPr>
          </w:p>
          <w:p w14:paraId="03DECF55" w14:textId="77777777" w:rsidR="0046798B" w:rsidRDefault="00903B5C">
            <w:pPr>
              <w:pStyle w:val="TableParagraph"/>
              <w:spacing w:before="135"/>
              <w:ind w:left="114"/>
              <w:rPr>
                <w:sz w:val="20"/>
              </w:rPr>
            </w:pPr>
            <w:r>
              <w:rPr>
                <w:sz w:val="20"/>
              </w:rPr>
              <w:t>Does the state allow casinos? (0 = no, 1</w:t>
            </w:r>
          </w:p>
          <w:p w14:paraId="15C4A3A8" w14:textId="77777777" w:rsidR="0046798B" w:rsidRDefault="00903B5C">
            <w:pPr>
              <w:pStyle w:val="TableParagraph"/>
              <w:ind w:left="114"/>
              <w:rPr>
                <w:sz w:val="20"/>
              </w:rPr>
            </w:pPr>
            <w:r>
              <w:rPr>
                <w:sz w:val="20"/>
              </w:rPr>
              <w:t>= yes)</w:t>
            </w:r>
          </w:p>
        </w:tc>
        <w:tc>
          <w:tcPr>
            <w:tcW w:w="6482" w:type="dxa"/>
          </w:tcPr>
          <w:p w14:paraId="33C72B37"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78D41A4E" w14:textId="77777777">
        <w:trPr>
          <w:trHeight w:val="1235"/>
        </w:trPr>
        <w:tc>
          <w:tcPr>
            <w:tcW w:w="1711" w:type="dxa"/>
          </w:tcPr>
          <w:p w14:paraId="57D5C530" w14:textId="77777777" w:rsidR="0046798B" w:rsidRDefault="0046798B">
            <w:pPr>
              <w:pStyle w:val="TableParagraph"/>
            </w:pPr>
          </w:p>
          <w:p w14:paraId="3EFAA678" w14:textId="77777777" w:rsidR="0046798B" w:rsidRDefault="00903B5C">
            <w:pPr>
              <w:pStyle w:val="TableParagraph"/>
              <w:spacing w:before="136"/>
              <w:ind w:left="115"/>
              <w:rPr>
                <w:b/>
                <w:sz w:val="20"/>
              </w:rPr>
            </w:pPr>
            <w:r>
              <w:rPr>
                <w:b/>
                <w:sz w:val="20"/>
              </w:rPr>
              <w:t>gambling_lottery</w:t>
            </w:r>
          </w:p>
          <w:p w14:paraId="30D10FE1" w14:textId="77777777" w:rsidR="0046798B" w:rsidRDefault="00903B5C">
            <w:pPr>
              <w:pStyle w:val="TableParagraph"/>
              <w:ind w:left="115"/>
              <w:rPr>
                <w:b/>
                <w:sz w:val="20"/>
              </w:rPr>
            </w:pPr>
            <w:r>
              <w:rPr>
                <w:b/>
                <w:sz w:val="20"/>
              </w:rPr>
              <w:t>_adoption</w:t>
            </w:r>
          </w:p>
        </w:tc>
        <w:tc>
          <w:tcPr>
            <w:tcW w:w="1596" w:type="dxa"/>
          </w:tcPr>
          <w:p w14:paraId="5F5AECC0" w14:textId="77777777" w:rsidR="0046798B" w:rsidRDefault="0046798B">
            <w:pPr>
              <w:pStyle w:val="TableParagraph"/>
            </w:pPr>
          </w:p>
          <w:p w14:paraId="3E395C90" w14:textId="77777777" w:rsidR="0046798B" w:rsidRDefault="0046798B">
            <w:pPr>
              <w:pStyle w:val="TableParagraph"/>
              <w:spacing w:before="9"/>
              <w:rPr>
                <w:sz w:val="21"/>
              </w:rPr>
            </w:pPr>
          </w:p>
          <w:p w14:paraId="39A0DFD9" w14:textId="77777777" w:rsidR="0046798B" w:rsidRDefault="00903B5C">
            <w:pPr>
              <w:pStyle w:val="TableParagraph"/>
              <w:ind w:left="114"/>
              <w:rPr>
                <w:sz w:val="20"/>
              </w:rPr>
            </w:pPr>
            <w:r>
              <w:rPr>
                <w:sz w:val="20"/>
              </w:rPr>
              <w:t>Lottery allowed</w:t>
            </w:r>
          </w:p>
        </w:tc>
        <w:tc>
          <w:tcPr>
            <w:tcW w:w="1285" w:type="dxa"/>
          </w:tcPr>
          <w:p w14:paraId="6BB85202" w14:textId="77777777" w:rsidR="0046798B" w:rsidRDefault="0046798B">
            <w:pPr>
              <w:pStyle w:val="TableParagraph"/>
            </w:pPr>
          </w:p>
          <w:p w14:paraId="192F1030" w14:textId="77777777" w:rsidR="0046798B" w:rsidRDefault="0046798B">
            <w:pPr>
              <w:pStyle w:val="TableParagraph"/>
              <w:spacing w:before="9"/>
              <w:rPr>
                <w:sz w:val="21"/>
              </w:rPr>
            </w:pPr>
          </w:p>
          <w:p w14:paraId="3D8CC5D9" w14:textId="77777777" w:rsidR="0046798B" w:rsidRDefault="00903B5C">
            <w:pPr>
              <w:pStyle w:val="TableParagraph"/>
              <w:ind w:left="114"/>
              <w:rPr>
                <w:sz w:val="20"/>
              </w:rPr>
            </w:pPr>
            <w:r>
              <w:rPr>
                <w:sz w:val="20"/>
              </w:rPr>
              <w:t>1964–2014</w:t>
            </w:r>
          </w:p>
        </w:tc>
        <w:tc>
          <w:tcPr>
            <w:tcW w:w="3421" w:type="dxa"/>
          </w:tcPr>
          <w:p w14:paraId="5C8EE973" w14:textId="77777777" w:rsidR="0046798B" w:rsidRDefault="0046798B">
            <w:pPr>
              <w:pStyle w:val="TableParagraph"/>
            </w:pPr>
          </w:p>
          <w:p w14:paraId="719ED5E3" w14:textId="77777777" w:rsidR="0046798B" w:rsidRDefault="00903B5C">
            <w:pPr>
              <w:pStyle w:val="TableParagraph"/>
              <w:spacing w:before="136"/>
              <w:ind w:left="114"/>
              <w:rPr>
                <w:sz w:val="20"/>
              </w:rPr>
            </w:pPr>
            <w:r>
              <w:rPr>
                <w:sz w:val="20"/>
              </w:rPr>
              <w:t>Does the state have a lottery? (0 = no, 1</w:t>
            </w:r>
          </w:p>
          <w:p w14:paraId="758061FE" w14:textId="77777777" w:rsidR="0046798B" w:rsidRDefault="00903B5C">
            <w:pPr>
              <w:pStyle w:val="TableParagraph"/>
              <w:ind w:left="114"/>
              <w:rPr>
                <w:sz w:val="20"/>
              </w:rPr>
            </w:pPr>
            <w:r>
              <w:rPr>
                <w:sz w:val="20"/>
              </w:rPr>
              <w:t>= yes)</w:t>
            </w:r>
          </w:p>
        </w:tc>
        <w:tc>
          <w:tcPr>
            <w:tcW w:w="6482" w:type="dxa"/>
          </w:tcPr>
          <w:p w14:paraId="593C4947"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1D4683DC" w14:textId="77777777">
        <w:trPr>
          <w:trHeight w:val="550"/>
        </w:trPr>
        <w:tc>
          <w:tcPr>
            <w:tcW w:w="1711" w:type="dxa"/>
          </w:tcPr>
          <w:p w14:paraId="7C0229A7" w14:textId="77777777" w:rsidR="0046798B" w:rsidRDefault="00903B5C">
            <w:pPr>
              <w:pStyle w:val="TableParagraph"/>
              <w:spacing w:before="158"/>
              <w:ind w:left="115"/>
              <w:rPr>
                <w:b/>
                <w:sz w:val="20"/>
              </w:rPr>
            </w:pPr>
            <w:r>
              <w:rPr>
                <w:b/>
                <w:sz w:val="20"/>
              </w:rPr>
              <w:t>indgaming</w:t>
            </w:r>
          </w:p>
        </w:tc>
        <w:tc>
          <w:tcPr>
            <w:tcW w:w="1596" w:type="dxa"/>
          </w:tcPr>
          <w:p w14:paraId="7A04EDAA" w14:textId="77777777" w:rsidR="0046798B" w:rsidRDefault="00903B5C">
            <w:pPr>
              <w:pStyle w:val="TableParagraph"/>
              <w:spacing w:before="43"/>
              <w:ind w:left="114" w:right="380"/>
              <w:rPr>
                <w:sz w:val="20"/>
              </w:rPr>
            </w:pPr>
            <w:r>
              <w:rPr>
                <w:sz w:val="20"/>
              </w:rPr>
              <w:t>State allows tribal gaming</w:t>
            </w:r>
          </w:p>
        </w:tc>
        <w:tc>
          <w:tcPr>
            <w:tcW w:w="1285" w:type="dxa"/>
          </w:tcPr>
          <w:p w14:paraId="2A1E98A8" w14:textId="77777777" w:rsidR="0046798B" w:rsidRDefault="00903B5C">
            <w:pPr>
              <w:pStyle w:val="TableParagraph"/>
              <w:spacing w:before="158"/>
              <w:ind w:left="114"/>
              <w:rPr>
                <w:sz w:val="20"/>
              </w:rPr>
            </w:pPr>
            <w:r>
              <w:rPr>
                <w:sz w:val="20"/>
              </w:rPr>
              <w:t>1990–1995</w:t>
            </w:r>
          </w:p>
        </w:tc>
        <w:tc>
          <w:tcPr>
            <w:tcW w:w="3421" w:type="dxa"/>
          </w:tcPr>
          <w:p w14:paraId="72D32F48" w14:textId="77777777" w:rsidR="0046798B" w:rsidRDefault="00903B5C">
            <w:pPr>
              <w:pStyle w:val="TableParagraph"/>
              <w:spacing w:before="43"/>
              <w:ind w:left="114" w:right="176"/>
              <w:rPr>
                <w:sz w:val="20"/>
              </w:rPr>
            </w:pPr>
            <w:r>
              <w:rPr>
                <w:sz w:val="20"/>
              </w:rPr>
              <w:t>Did state adopt tribal gaming? (0 = no, 1 = yes)</w:t>
            </w:r>
          </w:p>
        </w:tc>
        <w:tc>
          <w:tcPr>
            <w:tcW w:w="6482" w:type="dxa"/>
          </w:tcPr>
          <w:p w14:paraId="2AC9DD96" w14:textId="77777777" w:rsidR="0046798B" w:rsidRDefault="00903B5C">
            <w:pPr>
              <w:pStyle w:val="TableParagraph"/>
              <w:spacing w:before="4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6927412E" w14:textId="77777777">
        <w:trPr>
          <w:trHeight w:val="545"/>
        </w:trPr>
        <w:tc>
          <w:tcPr>
            <w:tcW w:w="1711" w:type="dxa"/>
          </w:tcPr>
          <w:p w14:paraId="353D4386" w14:textId="77777777" w:rsidR="0046798B" w:rsidRDefault="00903B5C">
            <w:pPr>
              <w:pStyle w:val="TableParagraph"/>
              <w:spacing w:before="153"/>
              <w:ind w:left="115"/>
              <w:rPr>
                <w:b/>
                <w:sz w:val="20"/>
              </w:rPr>
            </w:pPr>
            <w:r>
              <w:rPr>
                <w:b/>
                <w:sz w:val="20"/>
              </w:rPr>
              <w:t>lott</w:t>
            </w:r>
          </w:p>
        </w:tc>
        <w:tc>
          <w:tcPr>
            <w:tcW w:w="1596" w:type="dxa"/>
          </w:tcPr>
          <w:p w14:paraId="0A5432CA" w14:textId="77777777" w:rsidR="0046798B" w:rsidRDefault="00903B5C">
            <w:pPr>
              <w:pStyle w:val="TableParagraph"/>
              <w:spacing w:before="153"/>
              <w:ind w:left="114"/>
              <w:rPr>
                <w:sz w:val="20"/>
              </w:rPr>
            </w:pPr>
            <w:r>
              <w:rPr>
                <w:sz w:val="20"/>
              </w:rPr>
              <w:t>Lottery</w:t>
            </w:r>
          </w:p>
        </w:tc>
        <w:tc>
          <w:tcPr>
            <w:tcW w:w="1285" w:type="dxa"/>
          </w:tcPr>
          <w:p w14:paraId="5B2D3152" w14:textId="77777777" w:rsidR="0046798B" w:rsidRDefault="00903B5C">
            <w:pPr>
              <w:pStyle w:val="TableParagraph"/>
              <w:spacing w:before="153"/>
              <w:ind w:left="114"/>
              <w:rPr>
                <w:sz w:val="20"/>
              </w:rPr>
            </w:pPr>
            <w:r>
              <w:rPr>
                <w:sz w:val="20"/>
              </w:rPr>
              <w:t>1964–1993</w:t>
            </w:r>
          </w:p>
        </w:tc>
        <w:tc>
          <w:tcPr>
            <w:tcW w:w="3421" w:type="dxa"/>
          </w:tcPr>
          <w:p w14:paraId="6FC9EAA2" w14:textId="77777777" w:rsidR="0046798B" w:rsidRDefault="00903B5C">
            <w:pPr>
              <w:pStyle w:val="TableParagraph"/>
              <w:spacing w:before="38"/>
              <w:ind w:left="114" w:right="413"/>
              <w:rPr>
                <w:sz w:val="20"/>
              </w:rPr>
            </w:pPr>
            <w:r>
              <w:rPr>
                <w:sz w:val="20"/>
              </w:rPr>
              <w:t>Did state adopt lottery? (0 = no, 1 = yes)</w:t>
            </w:r>
          </w:p>
        </w:tc>
        <w:tc>
          <w:tcPr>
            <w:tcW w:w="6482" w:type="dxa"/>
          </w:tcPr>
          <w:p w14:paraId="303B2C82" w14:textId="77777777" w:rsidR="0046798B" w:rsidRDefault="00903B5C">
            <w:pPr>
              <w:pStyle w:val="TableParagraph"/>
              <w:spacing w:before="3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bl>
    <w:p w14:paraId="21FC6644" w14:textId="77777777" w:rsidR="0046798B" w:rsidRDefault="0046798B">
      <w:pPr>
        <w:rPr>
          <w:sz w:val="20"/>
        </w:rPr>
        <w:sectPr w:rsidR="0046798B">
          <w:pgSz w:w="15840" w:h="12240" w:orient="landscape"/>
          <w:pgMar w:top="1220" w:right="300" w:bottom="980" w:left="820" w:header="730" w:footer="787" w:gutter="0"/>
          <w:cols w:space="720"/>
        </w:sectPr>
      </w:pPr>
    </w:p>
    <w:p w14:paraId="6AEC0F66" w14:textId="77777777" w:rsidR="0046798B" w:rsidRDefault="0046798B">
      <w:pPr>
        <w:pStyle w:val="BodyText"/>
        <w:spacing w:before="1"/>
        <w:rPr>
          <w:sz w:val="11"/>
        </w:rPr>
      </w:pPr>
    </w:p>
    <w:p w14:paraId="7D17ADF1" w14:textId="77777777" w:rsidR="0046798B" w:rsidRDefault="00903B5C">
      <w:pPr>
        <w:pStyle w:val="ListParagraph"/>
        <w:numPr>
          <w:ilvl w:val="0"/>
          <w:numId w:val="12"/>
        </w:numPr>
        <w:tabs>
          <w:tab w:val="left" w:pos="6671"/>
        </w:tabs>
        <w:spacing w:before="88"/>
        <w:ind w:left="6670" w:hanging="668"/>
        <w:jc w:val="left"/>
        <w:rPr>
          <w:b/>
          <w:sz w:val="28"/>
        </w:rPr>
      </w:pPr>
      <w:bookmarkStart w:id="24" w:name="XIII._Gun_Control"/>
      <w:bookmarkStart w:id="25" w:name="_bookmark12"/>
      <w:bookmarkEnd w:id="24"/>
      <w:bookmarkEnd w:id="25"/>
      <w:r>
        <w:rPr>
          <w:b/>
          <w:sz w:val="28"/>
        </w:rPr>
        <w:t>Gun</w:t>
      </w:r>
      <w:r>
        <w:rPr>
          <w:b/>
          <w:spacing w:val="-3"/>
          <w:sz w:val="28"/>
        </w:rPr>
        <w:t xml:space="preserve"> </w:t>
      </w:r>
      <w:r>
        <w:rPr>
          <w:b/>
          <w:sz w:val="28"/>
        </w:rPr>
        <w:t>Control</w:t>
      </w:r>
    </w:p>
    <w:p w14:paraId="1078FA5A" w14:textId="77777777" w:rsidR="0046798B" w:rsidRDefault="0046798B">
      <w:pPr>
        <w:pStyle w:val="BodyText"/>
        <w:spacing w:before="0"/>
        <w:rPr>
          <w:b/>
          <w:sz w:val="20"/>
        </w:rPr>
      </w:pPr>
    </w:p>
    <w:p w14:paraId="0C2915A8" w14:textId="77777777" w:rsidR="0046798B" w:rsidRDefault="0046798B">
      <w:pPr>
        <w:pStyle w:val="BodyText"/>
        <w:spacing w:before="0"/>
        <w:rPr>
          <w:b/>
          <w:sz w:val="20"/>
        </w:rPr>
      </w:pPr>
    </w:p>
    <w:p w14:paraId="1F308209" w14:textId="77777777" w:rsidR="0046798B" w:rsidRDefault="0046798B">
      <w:pPr>
        <w:pStyle w:val="BodyText"/>
        <w:spacing w:before="2"/>
        <w:rPr>
          <w:b/>
          <w:sz w:val="12"/>
        </w:rPr>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014FA589" w14:textId="77777777">
        <w:trPr>
          <w:trHeight w:val="590"/>
        </w:trPr>
        <w:tc>
          <w:tcPr>
            <w:tcW w:w="1711" w:type="dxa"/>
          </w:tcPr>
          <w:p w14:paraId="22F948FF" w14:textId="77777777" w:rsidR="0046798B" w:rsidRDefault="00903B5C">
            <w:pPr>
              <w:pStyle w:val="TableParagraph"/>
              <w:spacing w:before="164"/>
              <w:ind w:left="140"/>
              <w:rPr>
                <w:b/>
              </w:rPr>
            </w:pPr>
            <w:r>
              <w:rPr>
                <w:b/>
              </w:rPr>
              <w:t>Variable Name</w:t>
            </w:r>
          </w:p>
        </w:tc>
        <w:tc>
          <w:tcPr>
            <w:tcW w:w="1596" w:type="dxa"/>
          </w:tcPr>
          <w:p w14:paraId="50721B2E" w14:textId="77777777" w:rsidR="0046798B" w:rsidRDefault="00903B5C">
            <w:pPr>
              <w:pStyle w:val="TableParagraph"/>
              <w:spacing w:before="39" w:line="242" w:lineRule="auto"/>
              <w:ind w:left="249" w:right="229" w:firstLine="280"/>
              <w:rPr>
                <w:b/>
              </w:rPr>
            </w:pPr>
            <w:r>
              <w:rPr>
                <w:b/>
              </w:rPr>
              <w:t>Short Description</w:t>
            </w:r>
          </w:p>
        </w:tc>
        <w:tc>
          <w:tcPr>
            <w:tcW w:w="1285" w:type="dxa"/>
          </w:tcPr>
          <w:p w14:paraId="4489848F" w14:textId="77777777" w:rsidR="0046798B" w:rsidRDefault="00903B5C">
            <w:pPr>
              <w:pStyle w:val="TableParagraph"/>
              <w:spacing w:before="164"/>
              <w:ind w:left="364"/>
              <w:rPr>
                <w:b/>
              </w:rPr>
            </w:pPr>
            <w:r>
              <w:rPr>
                <w:b/>
              </w:rPr>
              <w:t>Years</w:t>
            </w:r>
          </w:p>
        </w:tc>
        <w:tc>
          <w:tcPr>
            <w:tcW w:w="3421" w:type="dxa"/>
          </w:tcPr>
          <w:p w14:paraId="6AAF3B69" w14:textId="77777777" w:rsidR="0046798B" w:rsidRDefault="00903B5C">
            <w:pPr>
              <w:pStyle w:val="TableParagraph"/>
              <w:spacing w:before="39"/>
              <w:ind w:left="159" w:right="146"/>
              <w:jc w:val="center"/>
              <w:rPr>
                <w:b/>
              </w:rPr>
            </w:pPr>
            <w:r>
              <w:rPr>
                <w:b/>
              </w:rPr>
              <w:t>Coding /</w:t>
            </w:r>
          </w:p>
          <w:p w14:paraId="5F8726B3" w14:textId="77777777" w:rsidR="0046798B" w:rsidRDefault="00903B5C">
            <w:pPr>
              <w:pStyle w:val="TableParagraph"/>
              <w:spacing w:before="2"/>
              <w:ind w:left="159" w:right="150"/>
              <w:jc w:val="center"/>
              <w:rPr>
                <w:b/>
              </w:rPr>
            </w:pPr>
            <w:r>
              <w:rPr>
                <w:b/>
              </w:rPr>
              <w:t>Longer Description (if available)</w:t>
            </w:r>
          </w:p>
        </w:tc>
        <w:tc>
          <w:tcPr>
            <w:tcW w:w="6482" w:type="dxa"/>
          </w:tcPr>
          <w:p w14:paraId="5EE48F05" w14:textId="77777777" w:rsidR="0046798B" w:rsidRDefault="00903B5C">
            <w:pPr>
              <w:pStyle w:val="TableParagraph"/>
              <w:spacing w:before="164"/>
              <w:ind w:left="2852" w:right="2845"/>
              <w:jc w:val="center"/>
              <w:rPr>
                <w:b/>
              </w:rPr>
            </w:pPr>
            <w:r>
              <w:rPr>
                <w:b/>
              </w:rPr>
              <w:t>Sources</w:t>
            </w:r>
          </w:p>
        </w:tc>
      </w:tr>
      <w:tr w:rsidR="0046798B" w14:paraId="6A0665AF" w14:textId="77777777">
        <w:trPr>
          <w:trHeight w:val="780"/>
        </w:trPr>
        <w:tc>
          <w:tcPr>
            <w:tcW w:w="1711" w:type="dxa"/>
          </w:tcPr>
          <w:p w14:paraId="678E2FC4" w14:textId="77777777" w:rsidR="0046798B" w:rsidRDefault="0046798B">
            <w:pPr>
              <w:pStyle w:val="TableParagraph"/>
              <w:spacing w:before="9"/>
              <w:rPr>
                <w:b/>
                <w:sz w:val="23"/>
              </w:rPr>
            </w:pPr>
          </w:p>
          <w:p w14:paraId="54CB587B" w14:textId="77777777" w:rsidR="0046798B" w:rsidRDefault="00903B5C">
            <w:pPr>
              <w:pStyle w:val="TableParagraph"/>
              <w:ind w:left="115"/>
              <w:rPr>
                <w:b/>
                <w:sz w:val="20"/>
              </w:rPr>
            </w:pPr>
            <w:r>
              <w:rPr>
                <w:b/>
                <w:sz w:val="20"/>
              </w:rPr>
              <w:t>bradycamp</w:t>
            </w:r>
          </w:p>
        </w:tc>
        <w:tc>
          <w:tcPr>
            <w:tcW w:w="1596" w:type="dxa"/>
          </w:tcPr>
          <w:p w14:paraId="180E49AB" w14:textId="77777777" w:rsidR="0046798B" w:rsidRDefault="00903B5C">
            <w:pPr>
              <w:pStyle w:val="TableParagraph"/>
              <w:spacing w:before="44"/>
              <w:ind w:left="114" w:right="231"/>
              <w:jc w:val="both"/>
              <w:rPr>
                <w:sz w:val="20"/>
              </w:rPr>
            </w:pPr>
            <w:r>
              <w:rPr>
                <w:sz w:val="20"/>
              </w:rPr>
              <w:t>Child access to guns protection law</w:t>
            </w:r>
          </w:p>
        </w:tc>
        <w:tc>
          <w:tcPr>
            <w:tcW w:w="1285" w:type="dxa"/>
          </w:tcPr>
          <w:p w14:paraId="772CD692" w14:textId="77777777" w:rsidR="0046798B" w:rsidRDefault="0046798B">
            <w:pPr>
              <w:pStyle w:val="TableParagraph"/>
              <w:spacing w:before="9"/>
              <w:rPr>
                <w:b/>
                <w:sz w:val="23"/>
              </w:rPr>
            </w:pPr>
          </w:p>
          <w:p w14:paraId="0E309AC0" w14:textId="77777777" w:rsidR="0046798B" w:rsidRDefault="00903B5C">
            <w:pPr>
              <w:pStyle w:val="TableParagraph"/>
              <w:ind w:left="114"/>
              <w:rPr>
                <w:sz w:val="20"/>
              </w:rPr>
            </w:pPr>
            <w:r>
              <w:rPr>
                <w:sz w:val="20"/>
              </w:rPr>
              <w:t>1989–2000</w:t>
            </w:r>
          </w:p>
        </w:tc>
        <w:tc>
          <w:tcPr>
            <w:tcW w:w="3421" w:type="dxa"/>
          </w:tcPr>
          <w:p w14:paraId="79AD6707" w14:textId="77777777" w:rsidR="0046798B" w:rsidRDefault="00903B5C">
            <w:pPr>
              <w:pStyle w:val="TableParagraph"/>
              <w:spacing w:before="159"/>
              <w:ind w:left="114" w:right="283"/>
              <w:rPr>
                <w:sz w:val="20"/>
              </w:rPr>
            </w:pPr>
            <w:r>
              <w:rPr>
                <w:sz w:val="20"/>
              </w:rPr>
              <w:t>Did state adopt a child access to guns protection law? (0 = no, 1 = yes)</w:t>
            </w:r>
          </w:p>
        </w:tc>
        <w:tc>
          <w:tcPr>
            <w:tcW w:w="6482" w:type="dxa"/>
          </w:tcPr>
          <w:p w14:paraId="0C5668FD" w14:textId="77777777" w:rsidR="0046798B" w:rsidRDefault="00903B5C">
            <w:pPr>
              <w:pStyle w:val="TableParagraph"/>
              <w:spacing w:before="159"/>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1432A48D" w14:textId="77777777">
        <w:trPr>
          <w:trHeight w:val="1695"/>
        </w:trPr>
        <w:tc>
          <w:tcPr>
            <w:tcW w:w="1711" w:type="dxa"/>
          </w:tcPr>
          <w:p w14:paraId="1277D81F" w14:textId="77777777" w:rsidR="0046798B" w:rsidRDefault="0046798B">
            <w:pPr>
              <w:pStyle w:val="TableParagraph"/>
              <w:rPr>
                <w:b/>
              </w:rPr>
            </w:pPr>
          </w:p>
          <w:p w14:paraId="1AAAE62B" w14:textId="77777777" w:rsidR="0046798B" w:rsidRDefault="0046798B">
            <w:pPr>
              <w:pStyle w:val="TableParagraph"/>
              <w:rPr>
                <w:b/>
              </w:rPr>
            </w:pPr>
          </w:p>
          <w:p w14:paraId="294CCF59" w14:textId="77777777" w:rsidR="0046798B" w:rsidRDefault="0046798B">
            <w:pPr>
              <w:pStyle w:val="TableParagraph"/>
              <w:spacing w:before="4"/>
              <w:rPr>
                <w:b/>
                <w:sz w:val="19"/>
              </w:rPr>
            </w:pPr>
          </w:p>
          <w:p w14:paraId="02BB4701" w14:textId="77777777" w:rsidR="0046798B" w:rsidRDefault="00903B5C">
            <w:pPr>
              <w:pStyle w:val="TableParagraph"/>
              <w:ind w:left="115"/>
              <w:rPr>
                <w:b/>
                <w:sz w:val="20"/>
              </w:rPr>
            </w:pPr>
            <w:r>
              <w:rPr>
                <w:b/>
                <w:sz w:val="20"/>
              </w:rPr>
              <w:t>concealed_carry</w:t>
            </w:r>
          </w:p>
        </w:tc>
        <w:tc>
          <w:tcPr>
            <w:tcW w:w="1596" w:type="dxa"/>
          </w:tcPr>
          <w:p w14:paraId="659F9148" w14:textId="77777777" w:rsidR="0046798B" w:rsidRDefault="0046798B">
            <w:pPr>
              <w:pStyle w:val="TableParagraph"/>
              <w:rPr>
                <w:b/>
              </w:rPr>
            </w:pPr>
          </w:p>
          <w:p w14:paraId="35955F89" w14:textId="77777777" w:rsidR="0046798B" w:rsidRDefault="00903B5C">
            <w:pPr>
              <w:pStyle w:val="TableParagraph"/>
              <w:spacing w:before="130"/>
              <w:ind w:left="114" w:right="135"/>
              <w:rPr>
                <w:sz w:val="20"/>
              </w:rPr>
            </w:pPr>
            <w:r>
              <w:rPr>
                <w:sz w:val="20"/>
              </w:rPr>
              <w:t>State permit for conceal and carry</w:t>
            </w:r>
          </w:p>
        </w:tc>
        <w:tc>
          <w:tcPr>
            <w:tcW w:w="1285" w:type="dxa"/>
          </w:tcPr>
          <w:p w14:paraId="3E7ED639" w14:textId="77777777" w:rsidR="0046798B" w:rsidRDefault="0046798B">
            <w:pPr>
              <w:pStyle w:val="TableParagraph"/>
              <w:rPr>
                <w:b/>
              </w:rPr>
            </w:pPr>
          </w:p>
          <w:p w14:paraId="22ED1F2D" w14:textId="77777777" w:rsidR="0046798B" w:rsidRDefault="0046798B">
            <w:pPr>
              <w:pStyle w:val="TableParagraph"/>
              <w:rPr>
                <w:b/>
              </w:rPr>
            </w:pPr>
          </w:p>
          <w:p w14:paraId="7DD1CC59" w14:textId="77777777" w:rsidR="0046798B" w:rsidRDefault="0046798B">
            <w:pPr>
              <w:pStyle w:val="TableParagraph"/>
              <w:spacing w:before="4"/>
              <w:rPr>
                <w:b/>
                <w:sz w:val="19"/>
              </w:rPr>
            </w:pPr>
          </w:p>
          <w:p w14:paraId="74996BB7" w14:textId="77777777" w:rsidR="0046798B" w:rsidRDefault="00903B5C">
            <w:pPr>
              <w:pStyle w:val="TableParagraph"/>
              <w:ind w:left="114"/>
              <w:rPr>
                <w:sz w:val="20"/>
              </w:rPr>
            </w:pPr>
            <w:r>
              <w:rPr>
                <w:sz w:val="20"/>
              </w:rPr>
              <w:t>1975–2001</w:t>
            </w:r>
          </w:p>
        </w:tc>
        <w:tc>
          <w:tcPr>
            <w:tcW w:w="3421" w:type="dxa"/>
          </w:tcPr>
          <w:p w14:paraId="3CC62F36" w14:textId="77777777" w:rsidR="0046798B" w:rsidRDefault="0046798B">
            <w:pPr>
              <w:pStyle w:val="TableParagraph"/>
              <w:rPr>
                <w:b/>
              </w:rPr>
            </w:pPr>
          </w:p>
          <w:p w14:paraId="1A0DFB78" w14:textId="77777777" w:rsidR="0046798B" w:rsidRDefault="0046798B">
            <w:pPr>
              <w:pStyle w:val="TableParagraph"/>
              <w:spacing w:before="4"/>
              <w:rPr>
                <w:b/>
                <w:sz w:val="31"/>
              </w:rPr>
            </w:pPr>
          </w:p>
          <w:p w14:paraId="2574DDB2" w14:textId="77777777" w:rsidR="0046798B" w:rsidRDefault="00903B5C">
            <w:pPr>
              <w:pStyle w:val="TableParagraph"/>
              <w:ind w:left="114" w:right="1475"/>
              <w:rPr>
                <w:sz w:val="20"/>
              </w:rPr>
            </w:pPr>
            <w:r>
              <w:rPr>
                <w:sz w:val="20"/>
              </w:rPr>
              <w:t>0 = policy not adopted 1 = policy adopted</w:t>
            </w:r>
          </w:p>
        </w:tc>
        <w:tc>
          <w:tcPr>
            <w:tcW w:w="6482" w:type="dxa"/>
          </w:tcPr>
          <w:p w14:paraId="0F69CADC" w14:textId="77777777" w:rsidR="0046798B" w:rsidRDefault="00903B5C">
            <w:pPr>
              <w:pStyle w:val="TableParagraph"/>
              <w:spacing w:before="38"/>
              <w:ind w:left="114" w:right="583"/>
              <w:rPr>
                <w:sz w:val="20"/>
              </w:rPr>
            </w:pPr>
            <w:r>
              <w:rPr>
                <w:sz w:val="20"/>
              </w:rPr>
              <w:t xml:space="preserve">Makse, Todd, and Craig Volden. “The role of policy attributes in the diffusion of innovations.” </w:t>
            </w:r>
            <w:r>
              <w:rPr>
                <w:i/>
                <w:sz w:val="20"/>
              </w:rPr>
              <w:t xml:space="preserve">The Journal of Politics </w:t>
            </w:r>
            <w:r>
              <w:rPr>
                <w:sz w:val="20"/>
              </w:rPr>
              <w:t>73.1 (2011): 108-124.</w:t>
            </w:r>
          </w:p>
          <w:p w14:paraId="6898218D" w14:textId="77777777" w:rsidR="0046798B" w:rsidRDefault="0046798B">
            <w:pPr>
              <w:pStyle w:val="TableParagraph"/>
              <w:rPr>
                <w:b/>
                <w:sz w:val="20"/>
              </w:rPr>
            </w:pPr>
          </w:p>
          <w:p w14:paraId="2F4C10F0"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3F05E36E" w14:textId="77777777">
        <w:trPr>
          <w:trHeight w:val="1235"/>
        </w:trPr>
        <w:tc>
          <w:tcPr>
            <w:tcW w:w="1711" w:type="dxa"/>
          </w:tcPr>
          <w:p w14:paraId="75DF7522" w14:textId="77777777" w:rsidR="0046798B" w:rsidRDefault="0046798B">
            <w:pPr>
              <w:pStyle w:val="TableParagraph"/>
              <w:rPr>
                <w:b/>
              </w:rPr>
            </w:pPr>
          </w:p>
          <w:p w14:paraId="189D973C" w14:textId="77777777" w:rsidR="0046798B" w:rsidRDefault="00903B5C">
            <w:pPr>
              <w:pStyle w:val="TableParagraph"/>
              <w:spacing w:before="130"/>
              <w:ind w:left="115" w:right="176"/>
              <w:rPr>
                <w:b/>
                <w:sz w:val="20"/>
              </w:rPr>
            </w:pPr>
            <w:r>
              <w:rPr>
                <w:b/>
                <w:sz w:val="20"/>
              </w:rPr>
              <w:t>guncontrol_assa ultweapon_ban</w:t>
            </w:r>
          </w:p>
        </w:tc>
        <w:tc>
          <w:tcPr>
            <w:tcW w:w="1596" w:type="dxa"/>
          </w:tcPr>
          <w:p w14:paraId="70BF9244" w14:textId="77777777" w:rsidR="0046798B" w:rsidRDefault="0046798B">
            <w:pPr>
              <w:pStyle w:val="TableParagraph"/>
              <w:rPr>
                <w:b/>
              </w:rPr>
            </w:pPr>
          </w:p>
          <w:p w14:paraId="005B20C2" w14:textId="77777777" w:rsidR="0046798B" w:rsidRDefault="00903B5C">
            <w:pPr>
              <w:pStyle w:val="TableParagraph"/>
              <w:spacing w:before="130"/>
              <w:ind w:left="114" w:right="180"/>
              <w:rPr>
                <w:sz w:val="20"/>
              </w:rPr>
            </w:pPr>
            <w:r>
              <w:rPr>
                <w:sz w:val="20"/>
              </w:rPr>
              <w:t>Assault weapon ban</w:t>
            </w:r>
          </w:p>
        </w:tc>
        <w:tc>
          <w:tcPr>
            <w:tcW w:w="1285" w:type="dxa"/>
          </w:tcPr>
          <w:p w14:paraId="4304753D" w14:textId="77777777" w:rsidR="0046798B" w:rsidRDefault="0046798B">
            <w:pPr>
              <w:pStyle w:val="TableParagraph"/>
              <w:rPr>
                <w:b/>
              </w:rPr>
            </w:pPr>
          </w:p>
          <w:p w14:paraId="1D1278EF" w14:textId="77777777" w:rsidR="0046798B" w:rsidRDefault="0046798B">
            <w:pPr>
              <w:pStyle w:val="TableParagraph"/>
              <w:spacing w:before="4"/>
              <w:rPr>
                <w:b/>
                <w:sz w:val="21"/>
              </w:rPr>
            </w:pPr>
          </w:p>
          <w:p w14:paraId="68B62D88" w14:textId="77777777" w:rsidR="0046798B" w:rsidRDefault="00903B5C">
            <w:pPr>
              <w:pStyle w:val="TableParagraph"/>
              <w:ind w:left="114"/>
              <w:rPr>
                <w:sz w:val="20"/>
              </w:rPr>
            </w:pPr>
            <w:r>
              <w:rPr>
                <w:sz w:val="20"/>
              </w:rPr>
              <w:t>1989–2014</w:t>
            </w:r>
          </w:p>
        </w:tc>
        <w:tc>
          <w:tcPr>
            <w:tcW w:w="3421" w:type="dxa"/>
          </w:tcPr>
          <w:p w14:paraId="2FFDA9E7" w14:textId="77777777" w:rsidR="0046798B" w:rsidRDefault="0046798B">
            <w:pPr>
              <w:pStyle w:val="TableParagraph"/>
              <w:rPr>
                <w:b/>
              </w:rPr>
            </w:pPr>
          </w:p>
          <w:p w14:paraId="316BC12F" w14:textId="77777777" w:rsidR="0046798B" w:rsidRDefault="00903B5C">
            <w:pPr>
              <w:pStyle w:val="TableParagraph"/>
              <w:spacing w:before="130"/>
              <w:ind w:left="114" w:right="505"/>
              <w:rPr>
                <w:sz w:val="20"/>
              </w:rPr>
            </w:pPr>
            <w:r>
              <w:rPr>
                <w:sz w:val="20"/>
              </w:rPr>
              <w:t>Are assault weapons banned in the state? (0 = no, 1 = yes)</w:t>
            </w:r>
          </w:p>
        </w:tc>
        <w:tc>
          <w:tcPr>
            <w:tcW w:w="6482" w:type="dxa"/>
          </w:tcPr>
          <w:p w14:paraId="0DDEFFBE"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631DA87B" w14:textId="77777777">
        <w:trPr>
          <w:trHeight w:val="1235"/>
        </w:trPr>
        <w:tc>
          <w:tcPr>
            <w:tcW w:w="1711" w:type="dxa"/>
          </w:tcPr>
          <w:p w14:paraId="5FF2D0C5" w14:textId="77777777" w:rsidR="0046798B" w:rsidRDefault="0046798B">
            <w:pPr>
              <w:pStyle w:val="TableParagraph"/>
              <w:rPr>
                <w:b/>
              </w:rPr>
            </w:pPr>
          </w:p>
          <w:p w14:paraId="013FFF4B" w14:textId="77777777" w:rsidR="0046798B" w:rsidRDefault="00903B5C">
            <w:pPr>
              <w:pStyle w:val="TableParagraph"/>
              <w:spacing w:before="136"/>
              <w:ind w:left="115"/>
              <w:rPr>
                <w:b/>
                <w:sz w:val="20"/>
              </w:rPr>
            </w:pPr>
            <w:r>
              <w:rPr>
                <w:b/>
                <w:sz w:val="20"/>
              </w:rPr>
              <w:t>guncontrol_licen ses_dealers</w:t>
            </w:r>
          </w:p>
        </w:tc>
        <w:tc>
          <w:tcPr>
            <w:tcW w:w="1596" w:type="dxa"/>
          </w:tcPr>
          <w:p w14:paraId="0F319F0A" w14:textId="77777777" w:rsidR="0046798B" w:rsidRDefault="0046798B">
            <w:pPr>
              <w:pStyle w:val="TableParagraph"/>
              <w:rPr>
                <w:b/>
              </w:rPr>
            </w:pPr>
          </w:p>
          <w:p w14:paraId="7DAEFE59" w14:textId="77777777" w:rsidR="0046798B" w:rsidRDefault="00903B5C">
            <w:pPr>
              <w:pStyle w:val="TableParagraph"/>
              <w:spacing w:before="136"/>
              <w:ind w:left="114" w:right="569"/>
              <w:rPr>
                <w:sz w:val="20"/>
              </w:rPr>
            </w:pPr>
            <w:r>
              <w:rPr>
                <w:sz w:val="20"/>
              </w:rPr>
              <w:t>Gun dealer licenses</w:t>
            </w:r>
          </w:p>
        </w:tc>
        <w:tc>
          <w:tcPr>
            <w:tcW w:w="1285" w:type="dxa"/>
          </w:tcPr>
          <w:p w14:paraId="3D609F1F" w14:textId="77777777" w:rsidR="0046798B" w:rsidRDefault="0046798B">
            <w:pPr>
              <w:pStyle w:val="TableParagraph"/>
              <w:rPr>
                <w:b/>
              </w:rPr>
            </w:pPr>
          </w:p>
          <w:p w14:paraId="3EC53104" w14:textId="77777777" w:rsidR="0046798B" w:rsidRDefault="0046798B">
            <w:pPr>
              <w:pStyle w:val="TableParagraph"/>
              <w:spacing w:before="9"/>
              <w:rPr>
                <w:b/>
                <w:sz w:val="21"/>
              </w:rPr>
            </w:pPr>
          </w:p>
          <w:p w14:paraId="2DF64E9B" w14:textId="77777777" w:rsidR="0046798B" w:rsidRDefault="00903B5C">
            <w:pPr>
              <w:pStyle w:val="TableParagraph"/>
              <w:ind w:left="114"/>
              <w:rPr>
                <w:sz w:val="20"/>
              </w:rPr>
            </w:pPr>
            <w:r>
              <w:rPr>
                <w:sz w:val="20"/>
              </w:rPr>
              <w:t>1936–2014</w:t>
            </w:r>
          </w:p>
        </w:tc>
        <w:tc>
          <w:tcPr>
            <w:tcW w:w="3421" w:type="dxa"/>
          </w:tcPr>
          <w:p w14:paraId="5D325637" w14:textId="77777777" w:rsidR="0046798B" w:rsidRDefault="0046798B">
            <w:pPr>
              <w:pStyle w:val="TableParagraph"/>
              <w:spacing w:before="11"/>
              <w:rPr>
                <w:b/>
                <w:sz w:val="23"/>
              </w:rPr>
            </w:pPr>
          </w:p>
          <w:p w14:paraId="6F2267E0" w14:textId="77777777" w:rsidR="0046798B" w:rsidRDefault="00903B5C">
            <w:pPr>
              <w:pStyle w:val="TableParagraph"/>
              <w:spacing w:line="237" w:lineRule="auto"/>
              <w:ind w:left="114" w:right="539"/>
              <w:rPr>
                <w:sz w:val="20"/>
              </w:rPr>
            </w:pPr>
            <w:r>
              <w:rPr>
                <w:sz w:val="20"/>
              </w:rPr>
              <w:t>Does the state have any license requirements for manufacturers or dealers? (0 = no, 1 = yes)</w:t>
            </w:r>
          </w:p>
        </w:tc>
        <w:tc>
          <w:tcPr>
            <w:tcW w:w="6482" w:type="dxa"/>
          </w:tcPr>
          <w:p w14:paraId="15F7EBCC" w14:textId="77777777" w:rsidR="0046798B" w:rsidRDefault="00903B5C">
            <w:pPr>
              <w:pStyle w:val="TableParagraph"/>
              <w:spacing w:before="45" w:line="237" w:lineRule="auto"/>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196B957A" w14:textId="77777777">
        <w:trPr>
          <w:trHeight w:val="1235"/>
        </w:trPr>
        <w:tc>
          <w:tcPr>
            <w:tcW w:w="1711" w:type="dxa"/>
          </w:tcPr>
          <w:p w14:paraId="03D55971" w14:textId="77777777" w:rsidR="0046798B" w:rsidRDefault="0046798B">
            <w:pPr>
              <w:pStyle w:val="TableParagraph"/>
              <w:rPr>
                <w:b/>
              </w:rPr>
            </w:pPr>
          </w:p>
          <w:p w14:paraId="2AD506F7" w14:textId="77777777" w:rsidR="0046798B" w:rsidRDefault="00903B5C">
            <w:pPr>
              <w:pStyle w:val="TableParagraph"/>
              <w:spacing w:before="135"/>
              <w:ind w:left="115"/>
              <w:rPr>
                <w:b/>
                <w:sz w:val="20"/>
              </w:rPr>
            </w:pPr>
            <w:r>
              <w:rPr>
                <w:b/>
                <w:sz w:val="20"/>
              </w:rPr>
              <w:t>guncontrol_open carry</w:t>
            </w:r>
          </w:p>
        </w:tc>
        <w:tc>
          <w:tcPr>
            <w:tcW w:w="1596" w:type="dxa"/>
          </w:tcPr>
          <w:p w14:paraId="4978ED13" w14:textId="77777777" w:rsidR="0046798B" w:rsidRDefault="0046798B">
            <w:pPr>
              <w:pStyle w:val="TableParagraph"/>
              <w:rPr>
                <w:b/>
              </w:rPr>
            </w:pPr>
          </w:p>
          <w:p w14:paraId="3F2BC659" w14:textId="77777777" w:rsidR="0046798B" w:rsidRDefault="00903B5C">
            <w:pPr>
              <w:pStyle w:val="TableParagraph"/>
              <w:spacing w:before="135"/>
              <w:ind w:left="114" w:right="219"/>
              <w:rPr>
                <w:sz w:val="20"/>
              </w:rPr>
            </w:pPr>
            <w:r>
              <w:rPr>
                <w:sz w:val="20"/>
              </w:rPr>
              <w:t>Open carry law for guns</w:t>
            </w:r>
          </w:p>
        </w:tc>
        <w:tc>
          <w:tcPr>
            <w:tcW w:w="1285" w:type="dxa"/>
          </w:tcPr>
          <w:p w14:paraId="0D651303" w14:textId="77777777" w:rsidR="0046798B" w:rsidRDefault="0046798B">
            <w:pPr>
              <w:pStyle w:val="TableParagraph"/>
              <w:rPr>
                <w:b/>
              </w:rPr>
            </w:pPr>
          </w:p>
          <w:p w14:paraId="799702EC" w14:textId="77777777" w:rsidR="0046798B" w:rsidRDefault="0046798B">
            <w:pPr>
              <w:pStyle w:val="TableParagraph"/>
              <w:spacing w:before="9"/>
              <w:rPr>
                <w:b/>
                <w:sz w:val="21"/>
              </w:rPr>
            </w:pPr>
          </w:p>
          <w:p w14:paraId="315817B7" w14:textId="77777777" w:rsidR="0046798B" w:rsidRDefault="00903B5C">
            <w:pPr>
              <w:pStyle w:val="TableParagraph"/>
              <w:ind w:left="114"/>
              <w:rPr>
                <w:sz w:val="20"/>
              </w:rPr>
            </w:pPr>
            <w:r>
              <w:rPr>
                <w:sz w:val="20"/>
              </w:rPr>
              <w:t>1961–2014</w:t>
            </w:r>
          </w:p>
        </w:tc>
        <w:tc>
          <w:tcPr>
            <w:tcW w:w="3421" w:type="dxa"/>
          </w:tcPr>
          <w:p w14:paraId="1B928440" w14:textId="77777777" w:rsidR="0046798B" w:rsidRDefault="0046798B">
            <w:pPr>
              <w:pStyle w:val="TableParagraph"/>
              <w:rPr>
                <w:b/>
              </w:rPr>
            </w:pPr>
          </w:p>
          <w:p w14:paraId="5EE84AA3" w14:textId="77777777" w:rsidR="0046798B" w:rsidRDefault="00903B5C">
            <w:pPr>
              <w:pStyle w:val="TableParagraph"/>
              <w:spacing w:before="135"/>
              <w:ind w:left="114"/>
              <w:rPr>
                <w:sz w:val="20"/>
              </w:rPr>
            </w:pPr>
            <w:r>
              <w:rPr>
                <w:sz w:val="20"/>
              </w:rPr>
              <w:t>Is there an open carry law for guns? (0</w:t>
            </w:r>
          </w:p>
          <w:p w14:paraId="108442AF" w14:textId="77777777" w:rsidR="0046798B" w:rsidRDefault="00903B5C">
            <w:pPr>
              <w:pStyle w:val="TableParagraph"/>
              <w:ind w:left="114"/>
              <w:rPr>
                <w:sz w:val="20"/>
              </w:rPr>
            </w:pPr>
            <w:r>
              <w:rPr>
                <w:sz w:val="20"/>
              </w:rPr>
              <w:t>= no, 1 = yes)</w:t>
            </w:r>
          </w:p>
        </w:tc>
        <w:tc>
          <w:tcPr>
            <w:tcW w:w="6482" w:type="dxa"/>
          </w:tcPr>
          <w:p w14:paraId="3CFEE387"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2C9659A0" w14:textId="77777777">
        <w:trPr>
          <w:trHeight w:val="1235"/>
        </w:trPr>
        <w:tc>
          <w:tcPr>
            <w:tcW w:w="1711" w:type="dxa"/>
          </w:tcPr>
          <w:p w14:paraId="4F521E38" w14:textId="77777777" w:rsidR="0046798B" w:rsidRDefault="0046798B">
            <w:pPr>
              <w:pStyle w:val="TableParagraph"/>
              <w:rPr>
                <w:b/>
              </w:rPr>
            </w:pPr>
          </w:p>
          <w:p w14:paraId="1C5E2D54" w14:textId="77777777" w:rsidR="0046798B" w:rsidRDefault="00903B5C">
            <w:pPr>
              <w:pStyle w:val="TableParagraph"/>
              <w:spacing w:before="135"/>
              <w:ind w:left="115"/>
              <w:rPr>
                <w:b/>
                <w:sz w:val="20"/>
              </w:rPr>
            </w:pPr>
            <w:r>
              <w:rPr>
                <w:b/>
                <w:sz w:val="20"/>
              </w:rPr>
              <w:t>guncontrol_satni ghtspecial_ban</w:t>
            </w:r>
          </w:p>
        </w:tc>
        <w:tc>
          <w:tcPr>
            <w:tcW w:w="1596" w:type="dxa"/>
          </w:tcPr>
          <w:p w14:paraId="63FDA0F7" w14:textId="77777777" w:rsidR="0046798B" w:rsidRDefault="0046798B">
            <w:pPr>
              <w:pStyle w:val="TableParagraph"/>
              <w:rPr>
                <w:b/>
              </w:rPr>
            </w:pPr>
          </w:p>
          <w:p w14:paraId="14151F71" w14:textId="77777777" w:rsidR="0046798B" w:rsidRDefault="00903B5C">
            <w:pPr>
              <w:pStyle w:val="TableParagraph"/>
              <w:spacing w:before="135"/>
              <w:ind w:left="114" w:right="235"/>
              <w:rPr>
                <w:sz w:val="20"/>
              </w:rPr>
            </w:pPr>
            <w:r>
              <w:rPr>
                <w:sz w:val="20"/>
              </w:rPr>
              <w:t>Saturday Night Special</w:t>
            </w:r>
          </w:p>
        </w:tc>
        <w:tc>
          <w:tcPr>
            <w:tcW w:w="1285" w:type="dxa"/>
          </w:tcPr>
          <w:p w14:paraId="0963E142" w14:textId="77777777" w:rsidR="0046798B" w:rsidRDefault="0046798B">
            <w:pPr>
              <w:pStyle w:val="TableParagraph"/>
              <w:rPr>
                <w:b/>
              </w:rPr>
            </w:pPr>
          </w:p>
          <w:p w14:paraId="57C56516" w14:textId="77777777" w:rsidR="0046798B" w:rsidRDefault="0046798B">
            <w:pPr>
              <w:pStyle w:val="TableParagraph"/>
              <w:spacing w:before="9"/>
              <w:rPr>
                <w:b/>
                <w:sz w:val="21"/>
              </w:rPr>
            </w:pPr>
          </w:p>
          <w:p w14:paraId="4AC3DB1A" w14:textId="77777777" w:rsidR="0046798B" w:rsidRDefault="00903B5C">
            <w:pPr>
              <w:pStyle w:val="TableParagraph"/>
              <w:ind w:left="114"/>
              <w:rPr>
                <w:sz w:val="20"/>
              </w:rPr>
            </w:pPr>
            <w:r>
              <w:rPr>
                <w:sz w:val="20"/>
              </w:rPr>
              <w:t>1974–2013</w:t>
            </w:r>
          </w:p>
        </w:tc>
        <w:tc>
          <w:tcPr>
            <w:tcW w:w="3421" w:type="dxa"/>
          </w:tcPr>
          <w:p w14:paraId="56B953AE" w14:textId="77777777" w:rsidR="0046798B" w:rsidRDefault="0046798B">
            <w:pPr>
              <w:pStyle w:val="TableParagraph"/>
              <w:rPr>
                <w:b/>
              </w:rPr>
            </w:pPr>
          </w:p>
          <w:p w14:paraId="1ECC0EE2" w14:textId="77777777" w:rsidR="0046798B" w:rsidRDefault="00903B5C">
            <w:pPr>
              <w:pStyle w:val="TableParagraph"/>
              <w:spacing w:before="135"/>
              <w:ind w:left="114" w:right="318"/>
              <w:rPr>
                <w:sz w:val="20"/>
              </w:rPr>
            </w:pPr>
            <w:r>
              <w:rPr>
                <w:sz w:val="20"/>
              </w:rPr>
              <w:t>Does the state ban “Saturday Night Special” handguns? (0 = no, 1 = yes)</w:t>
            </w:r>
          </w:p>
        </w:tc>
        <w:tc>
          <w:tcPr>
            <w:tcW w:w="6482" w:type="dxa"/>
          </w:tcPr>
          <w:p w14:paraId="1563B152"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bl>
    <w:p w14:paraId="1EF929DE" w14:textId="77777777" w:rsidR="0046798B" w:rsidRDefault="0046798B">
      <w:pPr>
        <w:rPr>
          <w:sz w:val="20"/>
        </w:rPr>
        <w:sectPr w:rsidR="0046798B">
          <w:pgSz w:w="15840" w:h="12240" w:orient="landscape"/>
          <w:pgMar w:top="1220" w:right="300" w:bottom="980" w:left="820" w:header="730" w:footer="787" w:gutter="0"/>
          <w:cols w:space="720"/>
        </w:sectPr>
      </w:pPr>
    </w:p>
    <w:p w14:paraId="57C7DBD9"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2BBD2B19" w14:textId="77777777">
        <w:trPr>
          <w:trHeight w:val="1235"/>
        </w:trPr>
        <w:tc>
          <w:tcPr>
            <w:tcW w:w="1711" w:type="dxa"/>
          </w:tcPr>
          <w:p w14:paraId="294A087F" w14:textId="77777777" w:rsidR="0046798B" w:rsidRDefault="0046798B">
            <w:pPr>
              <w:pStyle w:val="TableParagraph"/>
            </w:pPr>
          </w:p>
          <w:p w14:paraId="1834C2DC" w14:textId="77777777" w:rsidR="0046798B" w:rsidRDefault="00903B5C">
            <w:pPr>
              <w:pStyle w:val="TableParagraph"/>
              <w:spacing w:before="135"/>
              <w:ind w:left="115"/>
              <w:rPr>
                <w:b/>
                <w:sz w:val="20"/>
              </w:rPr>
            </w:pPr>
            <w:r>
              <w:rPr>
                <w:b/>
                <w:sz w:val="20"/>
              </w:rPr>
              <w:t>w_guncontrol_bc</w:t>
            </w:r>
          </w:p>
          <w:p w14:paraId="3B2439C7" w14:textId="77777777" w:rsidR="0046798B" w:rsidRDefault="00903B5C">
            <w:pPr>
              <w:pStyle w:val="TableParagraph"/>
              <w:ind w:left="115"/>
              <w:rPr>
                <w:b/>
                <w:sz w:val="20"/>
              </w:rPr>
            </w:pPr>
            <w:r>
              <w:rPr>
                <w:b/>
                <w:sz w:val="20"/>
              </w:rPr>
              <w:t>_dealers</w:t>
            </w:r>
          </w:p>
        </w:tc>
        <w:tc>
          <w:tcPr>
            <w:tcW w:w="1596" w:type="dxa"/>
          </w:tcPr>
          <w:p w14:paraId="77C9688C" w14:textId="77777777" w:rsidR="0046798B" w:rsidRDefault="00903B5C">
            <w:pPr>
              <w:pStyle w:val="TableParagraph"/>
              <w:spacing w:before="158"/>
              <w:ind w:left="114" w:right="224"/>
              <w:rPr>
                <w:sz w:val="20"/>
              </w:rPr>
            </w:pPr>
            <w:r>
              <w:rPr>
                <w:sz w:val="20"/>
              </w:rPr>
              <w:t>Background check gun purchases from dealers</w:t>
            </w:r>
          </w:p>
        </w:tc>
        <w:tc>
          <w:tcPr>
            <w:tcW w:w="1285" w:type="dxa"/>
          </w:tcPr>
          <w:p w14:paraId="04BCBA39" w14:textId="77777777" w:rsidR="0046798B" w:rsidRDefault="0046798B">
            <w:pPr>
              <w:pStyle w:val="TableParagraph"/>
            </w:pPr>
          </w:p>
          <w:p w14:paraId="5740DDD2" w14:textId="77777777" w:rsidR="0046798B" w:rsidRDefault="0046798B">
            <w:pPr>
              <w:pStyle w:val="TableParagraph"/>
              <w:spacing w:before="9"/>
              <w:rPr>
                <w:sz w:val="21"/>
              </w:rPr>
            </w:pPr>
          </w:p>
          <w:p w14:paraId="6E8A9535" w14:textId="77777777" w:rsidR="0046798B" w:rsidRDefault="00903B5C">
            <w:pPr>
              <w:pStyle w:val="TableParagraph"/>
              <w:ind w:left="114"/>
              <w:rPr>
                <w:sz w:val="20"/>
              </w:rPr>
            </w:pPr>
            <w:r>
              <w:rPr>
                <w:sz w:val="20"/>
              </w:rPr>
              <w:t>1936–1993</w:t>
            </w:r>
          </w:p>
        </w:tc>
        <w:tc>
          <w:tcPr>
            <w:tcW w:w="3421" w:type="dxa"/>
          </w:tcPr>
          <w:p w14:paraId="558AFCE0" w14:textId="77777777" w:rsidR="0046798B" w:rsidRDefault="00903B5C">
            <w:pPr>
              <w:pStyle w:val="TableParagraph"/>
              <w:spacing w:before="43"/>
              <w:ind w:left="114" w:right="102"/>
              <w:rPr>
                <w:sz w:val="20"/>
              </w:rPr>
            </w:pPr>
            <w:r>
              <w:rPr>
                <w:sz w:val="20"/>
              </w:rPr>
              <w:t>Does the state require a background check on gun purchases from dealers? (0 = no; 1 = background check required for handguns; 2 = required for rifles/long guns)</w:t>
            </w:r>
          </w:p>
        </w:tc>
        <w:tc>
          <w:tcPr>
            <w:tcW w:w="6482" w:type="dxa"/>
          </w:tcPr>
          <w:p w14:paraId="5014097F"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6C0AB2BF" w14:textId="77777777">
        <w:trPr>
          <w:trHeight w:val="1235"/>
        </w:trPr>
        <w:tc>
          <w:tcPr>
            <w:tcW w:w="1711" w:type="dxa"/>
          </w:tcPr>
          <w:p w14:paraId="132B2F62" w14:textId="77777777" w:rsidR="0046798B" w:rsidRDefault="0046798B">
            <w:pPr>
              <w:pStyle w:val="TableParagraph"/>
            </w:pPr>
          </w:p>
          <w:p w14:paraId="7AC57925" w14:textId="77777777" w:rsidR="0046798B" w:rsidRDefault="00903B5C">
            <w:pPr>
              <w:pStyle w:val="TableParagraph"/>
              <w:spacing w:before="136"/>
              <w:ind w:left="115"/>
              <w:rPr>
                <w:b/>
                <w:sz w:val="20"/>
              </w:rPr>
            </w:pPr>
            <w:r>
              <w:rPr>
                <w:b/>
                <w:sz w:val="20"/>
              </w:rPr>
              <w:t>w_guncontrol_bc</w:t>
            </w:r>
          </w:p>
          <w:p w14:paraId="04C589A4" w14:textId="77777777" w:rsidR="0046798B" w:rsidRDefault="00903B5C">
            <w:pPr>
              <w:pStyle w:val="TableParagraph"/>
              <w:ind w:left="115"/>
              <w:rPr>
                <w:b/>
                <w:sz w:val="20"/>
              </w:rPr>
            </w:pPr>
            <w:r>
              <w:rPr>
                <w:b/>
                <w:sz w:val="20"/>
              </w:rPr>
              <w:t>_privatesales</w:t>
            </w:r>
          </w:p>
        </w:tc>
        <w:tc>
          <w:tcPr>
            <w:tcW w:w="1596" w:type="dxa"/>
          </w:tcPr>
          <w:p w14:paraId="293DFC2C" w14:textId="77777777" w:rsidR="0046798B" w:rsidRDefault="0046798B">
            <w:pPr>
              <w:pStyle w:val="TableParagraph"/>
              <w:spacing w:before="9"/>
              <w:rPr>
                <w:sz w:val="23"/>
              </w:rPr>
            </w:pPr>
          </w:p>
          <w:p w14:paraId="49FFE22D" w14:textId="77777777" w:rsidR="0046798B" w:rsidRDefault="00903B5C">
            <w:pPr>
              <w:pStyle w:val="TableParagraph"/>
              <w:ind w:left="114" w:right="97"/>
              <w:rPr>
                <w:sz w:val="20"/>
              </w:rPr>
            </w:pPr>
            <w:r>
              <w:rPr>
                <w:sz w:val="20"/>
              </w:rPr>
              <w:t>Background check for private sales</w:t>
            </w:r>
          </w:p>
        </w:tc>
        <w:tc>
          <w:tcPr>
            <w:tcW w:w="1285" w:type="dxa"/>
          </w:tcPr>
          <w:p w14:paraId="7894A90B" w14:textId="77777777" w:rsidR="0046798B" w:rsidRDefault="0046798B">
            <w:pPr>
              <w:pStyle w:val="TableParagraph"/>
            </w:pPr>
          </w:p>
          <w:p w14:paraId="7A25FCE2" w14:textId="77777777" w:rsidR="0046798B" w:rsidRDefault="0046798B">
            <w:pPr>
              <w:pStyle w:val="TableParagraph"/>
              <w:spacing w:before="9"/>
              <w:rPr>
                <w:sz w:val="21"/>
              </w:rPr>
            </w:pPr>
          </w:p>
          <w:p w14:paraId="1E636DE7" w14:textId="77777777" w:rsidR="0046798B" w:rsidRDefault="00903B5C">
            <w:pPr>
              <w:pStyle w:val="TableParagraph"/>
              <w:ind w:left="114"/>
              <w:rPr>
                <w:sz w:val="20"/>
              </w:rPr>
            </w:pPr>
            <w:r>
              <w:rPr>
                <w:sz w:val="20"/>
              </w:rPr>
              <w:t>1936–2014</w:t>
            </w:r>
          </w:p>
        </w:tc>
        <w:tc>
          <w:tcPr>
            <w:tcW w:w="3421" w:type="dxa"/>
          </w:tcPr>
          <w:p w14:paraId="677BFDDF" w14:textId="77777777" w:rsidR="0046798B" w:rsidRDefault="00903B5C">
            <w:pPr>
              <w:pStyle w:val="TableParagraph"/>
              <w:spacing w:before="43"/>
              <w:ind w:left="114" w:right="198"/>
              <w:rPr>
                <w:sz w:val="20"/>
              </w:rPr>
            </w:pPr>
            <w:r>
              <w:rPr>
                <w:sz w:val="20"/>
              </w:rPr>
              <w:t>Does the state require a background check on privately-sold guns? (0 = no; 1 = background check required for handguns; 2 = required for rifles/long guns)</w:t>
            </w:r>
          </w:p>
        </w:tc>
        <w:tc>
          <w:tcPr>
            <w:tcW w:w="6482" w:type="dxa"/>
          </w:tcPr>
          <w:p w14:paraId="1AC754BE"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706BC32A" w14:textId="77777777">
        <w:trPr>
          <w:trHeight w:val="1240"/>
        </w:trPr>
        <w:tc>
          <w:tcPr>
            <w:tcW w:w="1711" w:type="dxa"/>
          </w:tcPr>
          <w:p w14:paraId="71782C4A" w14:textId="77777777" w:rsidR="0046798B" w:rsidRDefault="0046798B">
            <w:pPr>
              <w:pStyle w:val="TableParagraph"/>
            </w:pPr>
          </w:p>
          <w:p w14:paraId="2A480A18" w14:textId="77777777" w:rsidR="0046798B" w:rsidRDefault="00903B5C">
            <w:pPr>
              <w:pStyle w:val="TableParagraph"/>
              <w:spacing w:before="135"/>
              <w:ind w:left="115"/>
              <w:rPr>
                <w:b/>
                <w:sz w:val="20"/>
              </w:rPr>
            </w:pPr>
            <w:r>
              <w:rPr>
                <w:b/>
                <w:sz w:val="20"/>
              </w:rPr>
              <w:t>w_guncontrol_re gistration_requir</w:t>
            </w:r>
          </w:p>
        </w:tc>
        <w:tc>
          <w:tcPr>
            <w:tcW w:w="1596" w:type="dxa"/>
          </w:tcPr>
          <w:p w14:paraId="28B81443" w14:textId="77777777" w:rsidR="0046798B" w:rsidRDefault="0046798B">
            <w:pPr>
              <w:pStyle w:val="TableParagraph"/>
            </w:pPr>
          </w:p>
          <w:p w14:paraId="38EE0424" w14:textId="77777777" w:rsidR="0046798B" w:rsidRDefault="0046798B">
            <w:pPr>
              <w:pStyle w:val="TableParagraph"/>
              <w:spacing w:before="9"/>
              <w:rPr>
                <w:sz w:val="21"/>
              </w:rPr>
            </w:pPr>
          </w:p>
          <w:p w14:paraId="1E219C97" w14:textId="77777777" w:rsidR="0046798B" w:rsidRDefault="00903B5C">
            <w:pPr>
              <w:pStyle w:val="TableParagraph"/>
              <w:ind w:left="114"/>
              <w:rPr>
                <w:sz w:val="20"/>
              </w:rPr>
            </w:pPr>
            <w:r>
              <w:rPr>
                <w:sz w:val="20"/>
              </w:rPr>
              <w:t>Gun registration</w:t>
            </w:r>
          </w:p>
        </w:tc>
        <w:tc>
          <w:tcPr>
            <w:tcW w:w="1285" w:type="dxa"/>
          </w:tcPr>
          <w:p w14:paraId="0A811996" w14:textId="77777777" w:rsidR="0046798B" w:rsidRDefault="0046798B">
            <w:pPr>
              <w:pStyle w:val="TableParagraph"/>
            </w:pPr>
          </w:p>
          <w:p w14:paraId="15BF42F9" w14:textId="77777777" w:rsidR="0046798B" w:rsidRDefault="0046798B">
            <w:pPr>
              <w:pStyle w:val="TableParagraph"/>
              <w:spacing w:before="9"/>
              <w:rPr>
                <w:sz w:val="21"/>
              </w:rPr>
            </w:pPr>
          </w:p>
          <w:p w14:paraId="6578F5C3" w14:textId="77777777" w:rsidR="0046798B" w:rsidRDefault="00903B5C">
            <w:pPr>
              <w:pStyle w:val="TableParagraph"/>
              <w:ind w:left="114"/>
              <w:rPr>
                <w:sz w:val="20"/>
              </w:rPr>
            </w:pPr>
            <w:r>
              <w:rPr>
                <w:sz w:val="20"/>
              </w:rPr>
              <w:t>1936–2014</w:t>
            </w:r>
          </w:p>
        </w:tc>
        <w:tc>
          <w:tcPr>
            <w:tcW w:w="3421" w:type="dxa"/>
          </w:tcPr>
          <w:p w14:paraId="6C793997" w14:textId="77777777" w:rsidR="0046798B" w:rsidRDefault="00903B5C">
            <w:pPr>
              <w:pStyle w:val="TableParagraph"/>
              <w:spacing w:before="43"/>
              <w:ind w:left="114" w:right="174"/>
              <w:rPr>
                <w:sz w:val="20"/>
              </w:rPr>
            </w:pPr>
            <w:r>
              <w:rPr>
                <w:sz w:val="20"/>
              </w:rPr>
              <w:t>Does the state have registration requirement for guns? (0 = no; 1 = law applies to handguns only; 2 = law applies to all firearms, including rifles and shotguns)</w:t>
            </w:r>
          </w:p>
        </w:tc>
        <w:tc>
          <w:tcPr>
            <w:tcW w:w="6482" w:type="dxa"/>
          </w:tcPr>
          <w:p w14:paraId="01A34A73"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2F515E22" w14:textId="77777777">
        <w:trPr>
          <w:trHeight w:val="1235"/>
        </w:trPr>
        <w:tc>
          <w:tcPr>
            <w:tcW w:w="1711" w:type="dxa"/>
          </w:tcPr>
          <w:p w14:paraId="712B1499" w14:textId="77777777" w:rsidR="0046798B" w:rsidRDefault="0046798B">
            <w:pPr>
              <w:pStyle w:val="TableParagraph"/>
            </w:pPr>
          </w:p>
          <w:p w14:paraId="1CC21E01" w14:textId="77777777" w:rsidR="0046798B" w:rsidRDefault="00903B5C">
            <w:pPr>
              <w:pStyle w:val="TableParagraph"/>
              <w:spacing w:before="130"/>
              <w:ind w:left="115"/>
              <w:rPr>
                <w:b/>
                <w:sz w:val="20"/>
              </w:rPr>
            </w:pPr>
            <w:r>
              <w:rPr>
                <w:b/>
                <w:sz w:val="20"/>
              </w:rPr>
              <w:t>w_guncontrol_w aitingperiod</w:t>
            </w:r>
          </w:p>
        </w:tc>
        <w:tc>
          <w:tcPr>
            <w:tcW w:w="1596" w:type="dxa"/>
          </w:tcPr>
          <w:p w14:paraId="5E05DFE8" w14:textId="77777777" w:rsidR="0046798B" w:rsidRDefault="0046798B">
            <w:pPr>
              <w:pStyle w:val="TableParagraph"/>
              <w:spacing w:before="4"/>
              <w:rPr>
                <w:sz w:val="23"/>
              </w:rPr>
            </w:pPr>
          </w:p>
          <w:p w14:paraId="226BB56E" w14:textId="77777777" w:rsidR="0046798B" w:rsidRDefault="00903B5C">
            <w:pPr>
              <w:pStyle w:val="TableParagraph"/>
              <w:ind w:left="114" w:right="246"/>
              <w:rPr>
                <w:sz w:val="20"/>
              </w:rPr>
            </w:pPr>
            <w:r>
              <w:rPr>
                <w:sz w:val="20"/>
              </w:rPr>
              <w:t>Waiting period for gun purchases</w:t>
            </w:r>
          </w:p>
        </w:tc>
        <w:tc>
          <w:tcPr>
            <w:tcW w:w="1285" w:type="dxa"/>
          </w:tcPr>
          <w:p w14:paraId="191BF0E4" w14:textId="77777777" w:rsidR="0046798B" w:rsidRDefault="0046798B">
            <w:pPr>
              <w:pStyle w:val="TableParagraph"/>
            </w:pPr>
          </w:p>
          <w:p w14:paraId="5FF50995" w14:textId="77777777" w:rsidR="0046798B" w:rsidRDefault="0046798B">
            <w:pPr>
              <w:pStyle w:val="TableParagraph"/>
              <w:spacing w:before="4"/>
              <w:rPr>
                <w:sz w:val="21"/>
              </w:rPr>
            </w:pPr>
          </w:p>
          <w:p w14:paraId="567D8027" w14:textId="77777777" w:rsidR="0046798B" w:rsidRDefault="00903B5C">
            <w:pPr>
              <w:pStyle w:val="TableParagraph"/>
              <w:ind w:left="114"/>
              <w:rPr>
                <w:sz w:val="20"/>
              </w:rPr>
            </w:pPr>
            <w:r>
              <w:rPr>
                <w:sz w:val="20"/>
              </w:rPr>
              <w:t>1936–2014</w:t>
            </w:r>
          </w:p>
        </w:tc>
        <w:tc>
          <w:tcPr>
            <w:tcW w:w="3421" w:type="dxa"/>
          </w:tcPr>
          <w:p w14:paraId="27AA4F02" w14:textId="77777777" w:rsidR="0046798B" w:rsidRDefault="00903B5C">
            <w:pPr>
              <w:pStyle w:val="TableParagraph"/>
              <w:spacing w:before="153"/>
              <w:ind w:left="114" w:right="111"/>
              <w:jc w:val="both"/>
              <w:rPr>
                <w:sz w:val="20"/>
              </w:rPr>
            </w:pPr>
            <w:r>
              <w:rPr>
                <w:sz w:val="20"/>
              </w:rPr>
              <w:t>Does the state have a waiting period for gun purchases? (0 = no; 1 = law applies to handguns only; 2 = law applies to all firearms, including rifles and shotguns)</w:t>
            </w:r>
          </w:p>
        </w:tc>
        <w:tc>
          <w:tcPr>
            <w:tcW w:w="6482" w:type="dxa"/>
          </w:tcPr>
          <w:p w14:paraId="4BA5B659"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16C98D98" w14:textId="77777777">
        <w:trPr>
          <w:trHeight w:val="1465"/>
        </w:trPr>
        <w:tc>
          <w:tcPr>
            <w:tcW w:w="1711" w:type="dxa"/>
          </w:tcPr>
          <w:p w14:paraId="5F95041C" w14:textId="77777777" w:rsidR="0046798B" w:rsidRDefault="0046798B">
            <w:pPr>
              <w:pStyle w:val="TableParagraph"/>
            </w:pPr>
          </w:p>
          <w:p w14:paraId="72CB8421" w14:textId="77777777" w:rsidR="0046798B" w:rsidRDefault="0046798B">
            <w:pPr>
              <w:pStyle w:val="TableParagraph"/>
              <w:spacing w:before="4"/>
              <w:rPr>
                <w:sz w:val="31"/>
              </w:rPr>
            </w:pPr>
          </w:p>
          <w:p w14:paraId="0498DDA7" w14:textId="77777777" w:rsidR="0046798B" w:rsidRDefault="00903B5C">
            <w:pPr>
              <w:pStyle w:val="TableParagraph"/>
              <w:ind w:left="115"/>
              <w:rPr>
                <w:b/>
                <w:sz w:val="20"/>
              </w:rPr>
            </w:pPr>
            <w:r>
              <w:rPr>
                <w:b/>
                <w:sz w:val="20"/>
              </w:rPr>
              <w:t>fguns</w:t>
            </w:r>
          </w:p>
        </w:tc>
        <w:tc>
          <w:tcPr>
            <w:tcW w:w="1596" w:type="dxa"/>
          </w:tcPr>
          <w:p w14:paraId="777C064A" w14:textId="77777777" w:rsidR="0046798B" w:rsidRDefault="00903B5C">
            <w:pPr>
              <w:pStyle w:val="TableParagraph"/>
              <w:spacing w:before="38"/>
              <w:ind w:left="114" w:right="91"/>
              <w:rPr>
                <w:sz w:val="20"/>
              </w:rPr>
            </w:pPr>
            <w:r>
              <w:rPr>
                <w:sz w:val="20"/>
              </w:rPr>
              <w:t>Law bans employers from banning guns on certain company property, such as parking lots</w:t>
            </w:r>
          </w:p>
        </w:tc>
        <w:tc>
          <w:tcPr>
            <w:tcW w:w="1285" w:type="dxa"/>
          </w:tcPr>
          <w:p w14:paraId="6C0A2EAE" w14:textId="77777777" w:rsidR="0046798B" w:rsidRDefault="0046798B">
            <w:pPr>
              <w:pStyle w:val="TableParagraph"/>
            </w:pPr>
          </w:p>
          <w:p w14:paraId="5DADB555" w14:textId="77777777" w:rsidR="0046798B" w:rsidRDefault="0046798B">
            <w:pPr>
              <w:pStyle w:val="TableParagraph"/>
              <w:spacing w:before="4"/>
              <w:rPr>
                <w:sz w:val="31"/>
              </w:rPr>
            </w:pPr>
          </w:p>
          <w:p w14:paraId="6C125BE9" w14:textId="77777777" w:rsidR="0046798B" w:rsidRDefault="00903B5C">
            <w:pPr>
              <w:pStyle w:val="TableParagraph"/>
              <w:ind w:left="114"/>
              <w:rPr>
                <w:sz w:val="20"/>
              </w:rPr>
            </w:pPr>
            <w:r>
              <w:rPr>
                <w:sz w:val="20"/>
              </w:rPr>
              <w:t>2000–2016</w:t>
            </w:r>
          </w:p>
        </w:tc>
        <w:tc>
          <w:tcPr>
            <w:tcW w:w="3421" w:type="dxa"/>
          </w:tcPr>
          <w:p w14:paraId="175CF847" w14:textId="77777777" w:rsidR="0046798B" w:rsidRDefault="0046798B">
            <w:pPr>
              <w:pStyle w:val="TableParagraph"/>
            </w:pPr>
          </w:p>
          <w:p w14:paraId="64AD6E5E" w14:textId="77777777" w:rsidR="0046798B" w:rsidRDefault="00903B5C">
            <w:pPr>
              <w:pStyle w:val="TableParagraph"/>
              <w:spacing w:before="131"/>
              <w:ind w:left="114" w:right="229"/>
              <w:rPr>
                <w:sz w:val="20"/>
              </w:rPr>
            </w:pPr>
            <w:r>
              <w:rPr>
                <w:sz w:val="20"/>
              </w:rPr>
              <w:t>Law bans employers from banning guns on certain company property, such as parking lots? (0 = no, 1 = yes)</w:t>
            </w:r>
          </w:p>
        </w:tc>
        <w:tc>
          <w:tcPr>
            <w:tcW w:w="6482" w:type="dxa"/>
          </w:tcPr>
          <w:p w14:paraId="6C6FFD4A" w14:textId="77777777" w:rsidR="0046798B" w:rsidRDefault="0046798B">
            <w:pPr>
              <w:pStyle w:val="TableParagraph"/>
            </w:pPr>
          </w:p>
          <w:p w14:paraId="1F54E45D" w14:textId="77777777" w:rsidR="0046798B" w:rsidRDefault="00903B5C">
            <w:pPr>
              <w:pStyle w:val="TableParagraph"/>
              <w:spacing w:before="13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21A1D85" w14:textId="77777777">
        <w:trPr>
          <w:trHeight w:val="1005"/>
        </w:trPr>
        <w:tc>
          <w:tcPr>
            <w:tcW w:w="1711" w:type="dxa"/>
          </w:tcPr>
          <w:p w14:paraId="4D49B079" w14:textId="77777777" w:rsidR="0046798B" w:rsidRDefault="0046798B">
            <w:pPr>
              <w:pStyle w:val="TableParagraph"/>
            </w:pPr>
          </w:p>
          <w:p w14:paraId="1F03EAE6" w14:textId="77777777" w:rsidR="0046798B" w:rsidRDefault="00903B5C">
            <w:pPr>
              <w:pStyle w:val="TableParagraph"/>
              <w:spacing w:before="130"/>
              <w:ind w:left="115"/>
              <w:rPr>
                <w:b/>
                <w:sz w:val="20"/>
              </w:rPr>
            </w:pPr>
            <w:r>
              <w:rPr>
                <w:b/>
                <w:sz w:val="20"/>
              </w:rPr>
              <w:t>bipcraw</w:t>
            </w:r>
          </w:p>
        </w:tc>
        <w:tc>
          <w:tcPr>
            <w:tcW w:w="1596" w:type="dxa"/>
          </w:tcPr>
          <w:p w14:paraId="74574455" w14:textId="77777777" w:rsidR="0046798B" w:rsidRDefault="00903B5C">
            <w:pPr>
              <w:pStyle w:val="TableParagraph"/>
              <w:spacing w:before="39"/>
              <w:ind w:left="114" w:right="279"/>
              <w:rPr>
                <w:sz w:val="20"/>
              </w:rPr>
            </w:pPr>
            <w:r>
              <w:rPr>
                <w:sz w:val="20"/>
              </w:rPr>
              <w:t>Initial permit cost in dollars, excluding training costs</w:t>
            </w:r>
          </w:p>
        </w:tc>
        <w:tc>
          <w:tcPr>
            <w:tcW w:w="1285" w:type="dxa"/>
          </w:tcPr>
          <w:p w14:paraId="52E5555B" w14:textId="77777777" w:rsidR="0046798B" w:rsidRDefault="0046798B">
            <w:pPr>
              <w:pStyle w:val="TableParagraph"/>
            </w:pPr>
          </w:p>
          <w:p w14:paraId="4308743A" w14:textId="77777777" w:rsidR="0046798B" w:rsidRDefault="00903B5C">
            <w:pPr>
              <w:pStyle w:val="TableParagraph"/>
              <w:spacing w:before="130"/>
              <w:ind w:left="114"/>
              <w:rPr>
                <w:sz w:val="20"/>
              </w:rPr>
            </w:pPr>
            <w:r>
              <w:rPr>
                <w:sz w:val="20"/>
              </w:rPr>
              <w:t>1986–2016</w:t>
            </w:r>
          </w:p>
        </w:tc>
        <w:tc>
          <w:tcPr>
            <w:tcW w:w="3421" w:type="dxa"/>
          </w:tcPr>
          <w:p w14:paraId="365FABB0" w14:textId="77777777" w:rsidR="0046798B" w:rsidRDefault="00903B5C">
            <w:pPr>
              <w:pStyle w:val="TableParagraph"/>
              <w:spacing w:before="154"/>
              <w:ind w:left="114" w:right="186"/>
              <w:jc w:val="both"/>
              <w:rPr>
                <w:sz w:val="20"/>
              </w:rPr>
            </w:pPr>
            <w:r>
              <w:rPr>
                <w:sz w:val="20"/>
              </w:rPr>
              <w:t>Initial permit cost in dollars, excluding training costs (n/a = no permits issued, 0 = permits not required)</w:t>
            </w:r>
          </w:p>
        </w:tc>
        <w:tc>
          <w:tcPr>
            <w:tcW w:w="6482" w:type="dxa"/>
          </w:tcPr>
          <w:p w14:paraId="0F4A57E1" w14:textId="77777777" w:rsidR="0046798B" w:rsidRDefault="00903B5C">
            <w:pPr>
              <w:pStyle w:val="TableParagraph"/>
              <w:spacing w:before="154"/>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0A14B9A" w14:textId="77777777">
        <w:trPr>
          <w:trHeight w:val="1005"/>
        </w:trPr>
        <w:tc>
          <w:tcPr>
            <w:tcW w:w="1711" w:type="dxa"/>
          </w:tcPr>
          <w:p w14:paraId="2EEB356F" w14:textId="77777777" w:rsidR="0046798B" w:rsidRDefault="0046798B">
            <w:pPr>
              <w:pStyle w:val="TableParagraph"/>
            </w:pPr>
          </w:p>
          <w:p w14:paraId="106DAD0F" w14:textId="77777777" w:rsidR="0046798B" w:rsidRDefault="00903B5C">
            <w:pPr>
              <w:pStyle w:val="TableParagraph"/>
              <w:spacing w:before="135"/>
              <w:ind w:left="115"/>
              <w:rPr>
                <w:b/>
                <w:sz w:val="20"/>
              </w:rPr>
            </w:pPr>
            <w:r>
              <w:rPr>
                <w:b/>
                <w:sz w:val="20"/>
              </w:rPr>
              <w:t>bipc</w:t>
            </w:r>
          </w:p>
        </w:tc>
        <w:tc>
          <w:tcPr>
            <w:tcW w:w="1596" w:type="dxa"/>
          </w:tcPr>
          <w:p w14:paraId="5A94C1BC" w14:textId="77777777" w:rsidR="0046798B" w:rsidRDefault="00903B5C">
            <w:pPr>
              <w:pStyle w:val="TableParagraph"/>
              <w:spacing w:before="158"/>
              <w:ind w:left="114" w:right="229"/>
              <w:rPr>
                <w:sz w:val="20"/>
              </w:rPr>
            </w:pPr>
            <w:r>
              <w:rPr>
                <w:sz w:val="20"/>
              </w:rPr>
              <w:t>Initial permit cost in 2006 dollars</w:t>
            </w:r>
          </w:p>
        </w:tc>
        <w:tc>
          <w:tcPr>
            <w:tcW w:w="1285" w:type="dxa"/>
          </w:tcPr>
          <w:p w14:paraId="17D9265C" w14:textId="77777777" w:rsidR="0046798B" w:rsidRDefault="0046798B">
            <w:pPr>
              <w:pStyle w:val="TableParagraph"/>
            </w:pPr>
          </w:p>
          <w:p w14:paraId="00A161D4" w14:textId="77777777" w:rsidR="0046798B" w:rsidRDefault="00903B5C">
            <w:pPr>
              <w:pStyle w:val="TableParagraph"/>
              <w:spacing w:before="135"/>
              <w:ind w:left="114"/>
              <w:rPr>
                <w:sz w:val="20"/>
              </w:rPr>
            </w:pPr>
            <w:r>
              <w:rPr>
                <w:sz w:val="20"/>
              </w:rPr>
              <w:t>1986–2016</w:t>
            </w:r>
          </w:p>
        </w:tc>
        <w:tc>
          <w:tcPr>
            <w:tcW w:w="3421" w:type="dxa"/>
          </w:tcPr>
          <w:p w14:paraId="4A32C3A7" w14:textId="77777777" w:rsidR="0046798B" w:rsidRDefault="00903B5C">
            <w:pPr>
              <w:pStyle w:val="TableParagraph"/>
              <w:spacing w:before="43"/>
              <w:ind w:left="114" w:right="244"/>
              <w:rPr>
                <w:sz w:val="20"/>
              </w:rPr>
            </w:pPr>
            <w:r>
              <w:rPr>
                <w:sz w:val="20"/>
              </w:rPr>
              <w:t>Initial permit cost in 2006 dollars (twice the maximum cost in any other state if no permits issued, 0 = permits not required)</w:t>
            </w:r>
          </w:p>
        </w:tc>
        <w:tc>
          <w:tcPr>
            <w:tcW w:w="6482" w:type="dxa"/>
          </w:tcPr>
          <w:p w14:paraId="1888BC02"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2F462BF" w14:textId="77777777">
        <w:trPr>
          <w:trHeight w:val="775"/>
        </w:trPr>
        <w:tc>
          <w:tcPr>
            <w:tcW w:w="1711" w:type="dxa"/>
          </w:tcPr>
          <w:p w14:paraId="56DE3999" w14:textId="77777777" w:rsidR="0046798B" w:rsidRDefault="0046798B">
            <w:pPr>
              <w:pStyle w:val="TableParagraph"/>
              <w:spacing w:before="8"/>
              <w:rPr>
                <w:sz w:val="23"/>
              </w:rPr>
            </w:pPr>
          </w:p>
          <w:p w14:paraId="26547694" w14:textId="77777777" w:rsidR="0046798B" w:rsidRDefault="00903B5C">
            <w:pPr>
              <w:pStyle w:val="TableParagraph"/>
              <w:spacing w:before="1"/>
              <w:ind w:left="115"/>
              <w:rPr>
                <w:b/>
                <w:sz w:val="20"/>
              </w:rPr>
            </w:pPr>
            <w:r>
              <w:rPr>
                <w:b/>
                <w:sz w:val="20"/>
              </w:rPr>
              <w:t>bipt</w:t>
            </w:r>
          </w:p>
        </w:tc>
        <w:tc>
          <w:tcPr>
            <w:tcW w:w="1596" w:type="dxa"/>
          </w:tcPr>
          <w:p w14:paraId="1155D6FF" w14:textId="77777777" w:rsidR="0046798B" w:rsidRDefault="00903B5C">
            <w:pPr>
              <w:pStyle w:val="TableParagraph"/>
              <w:spacing w:before="158"/>
              <w:ind w:left="114" w:right="229"/>
              <w:rPr>
                <w:sz w:val="20"/>
              </w:rPr>
            </w:pPr>
            <w:r>
              <w:rPr>
                <w:sz w:val="20"/>
              </w:rPr>
              <w:t>Initial permit term</w:t>
            </w:r>
          </w:p>
        </w:tc>
        <w:tc>
          <w:tcPr>
            <w:tcW w:w="1285" w:type="dxa"/>
          </w:tcPr>
          <w:p w14:paraId="2525B633" w14:textId="77777777" w:rsidR="0046798B" w:rsidRDefault="0046798B">
            <w:pPr>
              <w:pStyle w:val="TableParagraph"/>
              <w:spacing w:before="8"/>
              <w:rPr>
                <w:sz w:val="23"/>
              </w:rPr>
            </w:pPr>
          </w:p>
          <w:p w14:paraId="32CB99E5" w14:textId="77777777" w:rsidR="0046798B" w:rsidRDefault="00903B5C">
            <w:pPr>
              <w:pStyle w:val="TableParagraph"/>
              <w:spacing w:before="1"/>
              <w:ind w:left="114"/>
              <w:rPr>
                <w:sz w:val="20"/>
              </w:rPr>
            </w:pPr>
            <w:r>
              <w:rPr>
                <w:sz w:val="20"/>
              </w:rPr>
              <w:t>1986–2016</w:t>
            </w:r>
          </w:p>
        </w:tc>
        <w:tc>
          <w:tcPr>
            <w:tcW w:w="3421" w:type="dxa"/>
          </w:tcPr>
          <w:p w14:paraId="47DBB816" w14:textId="77777777" w:rsidR="0046798B" w:rsidRDefault="00903B5C">
            <w:pPr>
              <w:pStyle w:val="TableParagraph"/>
              <w:spacing w:before="158"/>
              <w:ind w:left="114" w:right="531"/>
              <w:rPr>
                <w:sz w:val="20"/>
              </w:rPr>
            </w:pPr>
            <w:r>
              <w:rPr>
                <w:sz w:val="20"/>
              </w:rPr>
              <w:t>Initial permit term (0 = no permits issued, 25 = permits not required)</w:t>
            </w:r>
          </w:p>
        </w:tc>
        <w:tc>
          <w:tcPr>
            <w:tcW w:w="6482" w:type="dxa"/>
          </w:tcPr>
          <w:p w14:paraId="53321249" w14:textId="77777777" w:rsidR="0046798B" w:rsidRDefault="00903B5C">
            <w:pPr>
              <w:pStyle w:val="TableParagraph"/>
              <w:spacing w:before="4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347D0644" w14:textId="77777777" w:rsidR="0046798B" w:rsidRDefault="0046798B">
      <w:pPr>
        <w:rPr>
          <w:sz w:val="20"/>
        </w:rPr>
        <w:sectPr w:rsidR="0046798B">
          <w:pgSz w:w="15840" w:h="12240" w:orient="landscape"/>
          <w:pgMar w:top="1220" w:right="300" w:bottom="980" w:left="820" w:header="730" w:footer="787" w:gutter="0"/>
          <w:cols w:space="720"/>
        </w:sectPr>
      </w:pPr>
    </w:p>
    <w:p w14:paraId="3B66201E"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385DAE2D" w14:textId="77777777">
        <w:trPr>
          <w:trHeight w:val="2156"/>
        </w:trPr>
        <w:tc>
          <w:tcPr>
            <w:tcW w:w="1711" w:type="dxa"/>
          </w:tcPr>
          <w:p w14:paraId="57EAE854" w14:textId="77777777" w:rsidR="0046798B" w:rsidRDefault="0046798B">
            <w:pPr>
              <w:pStyle w:val="TableParagraph"/>
            </w:pPr>
          </w:p>
          <w:p w14:paraId="69DFB8A7" w14:textId="77777777" w:rsidR="0046798B" w:rsidRDefault="0046798B">
            <w:pPr>
              <w:pStyle w:val="TableParagraph"/>
            </w:pPr>
          </w:p>
          <w:p w14:paraId="46BBCC37" w14:textId="77777777" w:rsidR="0046798B" w:rsidRDefault="0046798B">
            <w:pPr>
              <w:pStyle w:val="TableParagraph"/>
            </w:pPr>
          </w:p>
          <w:p w14:paraId="2D9622E3" w14:textId="77777777" w:rsidR="0046798B" w:rsidRDefault="0046798B">
            <w:pPr>
              <w:pStyle w:val="TableParagraph"/>
              <w:spacing w:before="9"/>
              <w:rPr>
                <w:sz w:val="17"/>
              </w:rPr>
            </w:pPr>
          </w:p>
          <w:p w14:paraId="73C52E30" w14:textId="77777777" w:rsidR="0046798B" w:rsidRDefault="00903B5C">
            <w:pPr>
              <w:pStyle w:val="TableParagraph"/>
              <w:ind w:left="115"/>
              <w:rPr>
                <w:b/>
                <w:sz w:val="20"/>
              </w:rPr>
            </w:pPr>
            <w:r>
              <w:rPr>
                <w:b/>
                <w:sz w:val="20"/>
              </w:rPr>
              <w:t>bjourn</w:t>
            </w:r>
          </w:p>
        </w:tc>
        <w:tc>
          <w:tcPr>
            <w:tcW w:w="1596" w:type="dxa"/>
          </w:tcPr>
          <w:p w14:paraId="6E89CB77" w14:textId="77777777" w:rsidR="0046798B" w:rsidRDefault="0046798B">
            <w:pPr>
              <w:pStyle w:val="TableParagraph"/>
            </w:pPr>
          </w:p>
          <w:p w14:paraId="374F80F4" w14:textId="77777777" w:rsidR="0046798B" w:rsidRDefault="0046798B">
            <w:pPr>
              <w:pStyle w:val="TableParagraph"/>
            </w:pPr>
          </w:p>
          <w:p w14:paraId="0012D9B3" w14:textId="77777777" w:rsidR="0046798B" w:rsidRDefault="0046798B">
            <w:pPr>
              <w:pStyle w:val="TableParagraph"/>
              <w:spacing w:before="9"/>
              <w:rPr>
                <w:sz w:val="29"/>
              </w:rPr>
            </w:pPr>
          </w:p>
          <w:p w14:paraId="6E365F52" w14:textId="77777777" w:rsidR="0046798B" w:rsidRDefault="00903B5C">
            <w:pPr>
              <w:pStyle w:val="TableParagraph"/>
              <w:ind w:left="114" w:right="263"/>
              <w:rPr>
                <w:sz w:val="20"/>
              </w:rPr>
            </w:pPr>
            <w:r>
              <w:rPr>
                <w:sz w:val="20"/>
              </w:rPr>
              <w:t>Carry in motor vehicles</w:t>
            </w:r>
          </w:p>
        </w:tc>
        <w:tc>
          <w:tcPr>
            <w:tcW w:w="1285" w:type="dxa"/>
          </w:tcPr>
          <w:p w14:paraId="36F3CEF1" w14:textId="77777777" w:rsidR="0046798B" w:rsidRDefault="0046798B">
            <w:pPr>
              <w:pStyle w:val="TableParagraph"/>
            </w:pPr>
          </w:p>
          <w:p w14:paraId="4256C84B" w14:textId="77777777" w:rsidR="0046798B" w:rsidRDefault="0046798B">
            <w:pPr>
              <w:pStyle w:val="TableParagraph"/>
            </w:pPr>
          </w:p>
          <w:p w14:paraId="164ECFCC" w14:textId="77777777" w:rsidR="0046798B" w:rsidRDefault="0046798B">
            <w:pPr>
              <w:pStyle w:val="TableParagraph"/>
            </w:pPr>
          </w:p>
          <w:p w14:paraId="688683D2" w14:textId="77777777" w:rsidR="0046798B" w:rsidRDefault="0046798B">
            <w:pPr>
              <w:pStyle w:val="TableParagraph"/>
              <w:spacing w:before="9"/>
              <w:rPr>
                <w:sz w:val="17"/>
              </w:rPr>
            </w:pPr>
          </w:p>
          <w:p w14:paraId="0B7C10C5" w14:textId="77777777" w:rsidR="0046798B" w:rsidRDefault="00903B5C">
            <w:pPr>
              <w:pStyle w:val="TableParagraph"/>
              <w:ind w:left="114"/>
              <w:rPr>
                <w:sz w:val="20"/>
              </w:rPr>
            </w:pPr>
            <w:r>
              <w:rPr>
                <w:sz w:val="20"/>
              </w:rPr>
              <w:t>1986–2016</w:t>
            </w:r>
          </w:p>
        </w:tc>
        <w:tc>
          <w:tcPr>
            <w:tcW w:w="3421" w:type="dxa"/>
          </w:tcPr>
          <w:p w14:paraId="319C043F" w14:textId="77777777" w:rsidR="0046798B" w:rsidRDefault="00903B5C">
            <w:pPr>
              <w:pStyle w:val="TableParagraph"/>
              <w:spacing w:before="43"/>
              <w:ind w:left="114" w:right="110"/>
              <w:rPr>
                <w:sz w:val="20"/>
              </w:rPr>
            </w:pPr>
            <w:r>
              <w:rPr>
                <w:sz w:val="20"/>
              </w:rPr>
              <w:t xml:space="preserve">Carry in motor vehicles (peaceable journey) (0 = not permitted unless locked in container, 0.5 = permitted with CC permit/license but only if in plain view, 1 = only with concealed carry permit (unless in locked </w:t>
            </w:r>
            <w:r>
              <w:rPr>
                <w:spacing w:val="-2"/>
                <w:sz w:val="20"/>
              </w:rPr>
              <w:t xml:space="preserve">container </w:t>
            </w:r>
            <w:r>
              <w:rPr>
                <w:sz w:val="20"/>
              </w:rPr>
              <w:t>or glove box), 2 = either “plain view” or “concealed” restrictions, 3 = no restrictions even if concealed)</w:t>
            </w:r>
          </w:p>
        </w:tc>
        <w:tc>
          <w:tcPr>
            <w:tcW w:w="6482" w:type="dxa"/>
          </w:tcPr>
          <w:p w14:paraId="495BC4F2" w14:textId="77777777" w:rsidR="0046798B" w:rsidRDefault="0046798B">
            <w:pPr>
              <w:pStyle w:val="TableParagraph"/>
            </w:pPr>
          </w:p>
          <w:p w14:paraId="609F4C82" w14:textId="77777777" w:rsidR="0046798B" w:rsidRDefault="0046798B">
            <w:pPr>
              <w:pStyle w:val="TableParagraph"/>
            </w:pPr>
          </w:p>
          <w:p w14:paraId="5A46F3D6" w14:textId="77777777" w:rsidR="0046798B" w:rsidRDefault="0046798B">
            <w:pPr>
              <w:pStyle w:val="TableParagraph"/>
              <w:spacing w:before="9"/>
              <w:rPr>
                <w:sz w:val="19"/>
              </w:rPr>
            </w:pPr>
          </w:p>
          <w:p w14:paraId="6F05460F"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4FF0AB2" w14:textId="77777777">
        <w:trPr>
          <w:trHeight w:val="1005"/>
        </w:trPr>
        <w:tc>
          <w:tcPr>
            <w:tcW w:w="1711" w:type="dxa"/>
          </w:tcPr>
          <w:p w14:paraId="7CEFD095" w14:textId="77777777" w:rsidR="0046798B" w:rsidRDefault="0046798B">
            <w:pPr>
              <w:pStyle w:val="TableParagraph"/>
            </w:pPr>
          </w:p>
          <w:p w14:paraId="1721D4F9" w14:textId="77777777" w:rsidR="0046798B" w:rsidRDefault="00903B5C">
            <w:pPr>
              <w:pStyle w:val="TableParagraph"/>
              <w:spacing w:before="135"/>
              <w:ind w:left="115"/>
              <w:rPr>
                <w:b/>
                <w:sz w:val="20"/>
              </w:rPr>
            </w:pPr>
            <w:r>
              <w:rPr>
                <w:b/>
                <w:sz w:val="20"/>
              </w:rPr>
              <w:t>bprecc</w:t>
            </w:r>
          </w:p>
        </w:tc>
        <w:tc>
          <w:tcPr>
            <w:tcW w:w="1596" w:type="dxa"/>
          </w:tcPr>
          <w:p w14:paraId="07F41D37" w14:textId="77777777" w:rsidR="0046798B" w:rsidRDefault="00903B5C">
            <w:pPr>
              <w:pStyle w:val="TableParagraph"/>
              <w:spacing w:before="43"/>
              <w:ind w:left="114" w:right="91"/>
              <w:rPr>
                <w:sz w:val="20"/>
              </w:rPr>
            </w:pPr>
            <w:r>
              <w:rPr>
                <w:sz w:val="20"/>
              </w:rPr>
              <w:t>State preemption of local concealed carry ordinances</w:t>
            </w:r>
          </w:p>
        </w:tc>
        <w:tc>
          <w:tcPr>
            <w:tcW w:w="1285" w:type="dxa"/>
          </w:tcPr>
          <w:p w14:paraId="3B1188C5" w14:textId="77777777" w:rsidR="0046798B" w:rsidRDefault="0046798B">
            <w:pPr>
              <w:pStyle w:val="TableParagraph"/>
            </w:pPr>
          </w:p>
          <w:p w14:paraId="2AB8B37A" w14:textId="77777777" w:rsidR="0046798B" w:rsidRDefault="00903B5C">
            <w:pPr>
              <w:pStyle w:val="TableParagraph"/>
              <w:spacing w:before="135"/>
              <w:ind w:left="114"/>
              <w:rPr>
                <w:sz w:val="20"/>
              </w:rPr>
            </w:pPr>
            <w:r>
              <w:rPr>
                <w:sz w:val="20"/>
              </w:rPr>
              <w:t>1986–2016</w:t>
            </w:r>
          </w:p>
        </w:tc>
        <w:tc>
          <w:tcPr>
            <w:tcW w:w="3421" w:type="dxa"/>
          </w:tcPr>
          <w:p w14:paraId="0ACA14DB" w14:textId="77777777" w:rsidR="0046798B" w:rsidRDefault="00903B5C">
            <w:pPr>
              <w:pStyle w:val="TableParagraph"/>
              <w:spacing w:before="43"/>
              <w:ind w:left="114" w:right="116"/>
              <w:rPr>
                <w:sz w:val="20"/>
              </w:rPr>
            </w:pPr>
            <w:r>
              <w:rPr>
                <w:sz w:val="20"/>
              </w:rPr>
              <w:t>State preemption of local concealed carry ordinances? (0 = no, 0.5 = limited/special legislation for particular localities, 1 = yes)</w:t>
            </w:r>
          </w:p>
        </w:tc>
        <w:tc>
          <w:tcPr>
            <w:tcW w:w="6482" w:type="dxa"/>
          </w:tcPr>
          <w:p w14:paraId="058EDE9E"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E9CDEFC" w14:textId="77777777">
        <w:trPr>
          <w:trHeight w:val="1010"/>
        </w:trPr>
        <w:tc>
          <w:tcPr>
            <w:tcW w:w="1711" w:type="dxa"/>
          </w:tcPr>
          <w:p w14:paraId="574A2A73" w14:textId="77777777" w:rsidR="0046798B" w:rsidRDefault="0046798B">
            <w:pPr>
              <w:pStyle w:val="TableParagraph"/>
            </w:pPr>
          </w:p>
          <w:p w14:paraId="534B6B2C" w14:textId="77777777" w:rsidR="0046798B" w:rsidRDefault="00903B5C">
            <w:pPr>
              <w:pStyle w:val="TableParagraph"/>
              <w:spacing w:before="135"/>
              <w:ind w:left="115"/>
              <w:rPr>
                <w:b/>
                <w:sz w:val="20"/>
              </w:rPr>
            </w:pPr>
            <w:r>
              <w:rPr>
                <w:b/>
                <w:sz w:val="20"/>
              </w:rPr>
              <w:t>bpreoc</w:t>
            </w:r>
          </w:p>
        </w:tc>
        <w:tc>
          <w:tcPr>
            <w:tcW w:w="1596" w:type="dxa"/>
          </w:tcPr>
          <w:p w14:paraId="0F5B5852" w14:textId="77777777" w:rsidR="0046798B" w:rsidRDefault="00903B5C">
            <w:pPr>
              <w:pStyle w:val="TableParagraph"/>
              <w:spacing w:before="158"/>
              <w:ind w:left="114" w:right="91"/>
              <w:rPr>
                <w:sz w:val="20"/>
              </w:rPr>
            </w:pPr>
            <w:r>
              <w:rPr>
                <w:sz w:val="20"/>
              </w:rPr>
              <w:t>State preemption of local open carry ordinances</w:t>
            </w:r>
          </w:p>
        </w:tc>
        <w:tc>
          <w:tcPr>
            <w:tcW w:w="1285" w:type="dxa"/>
          </w:tcPr>
          <w:p w14:paraId="3E57F364" w14:textId="77777777" w:rsidR="0046798B" w:rsidRDefault="0046798B">
            <w:pPr>
              <w:pStyle w:val="TableParagraph"/>
            </w:pPr>
          </w:p>
          <w:p w14:paraId="4F21269C" w14:textId="77777777" w:rsidR="0046798B" w:rsidRDefault="00903B5C">
            <w:pPr>
              <w:pStyle w:val="TableParagraph"/>
              <w:spacing w:before="135"/>
              <w:ind w:left="114"/>
              <w:rPr>
                <w:sz w:val="20"/>
              </w:rPr>
            </w:pPr>
            <w:r>
              <w:rPr>
                <w:sz w:val="20"/>
              </w:rPr>
              <w:t>1986–2016</w:t>
            </w:r>
          </w:p>
        </w:tc>
        <w:tc>
          <w:tcPr>
            <w:tcW w:w="3421" w:type="dxa"/>
          </w:tcPr>
          <w:p w14:paraId="45D2FBFF" w14:textId="77777777" w:rsidR="0046798B" w:rsidRDefault="00903B5C">
            <w:pPr>
              <w:pStyle w:val="TableParagraph"/>
              <w:spacing w:before="43"/>
              <w:ind w:left="114" w:right="116"/>
              <w:rPr>
                <w:sz w:val="20"/>
              </w:rPr>
            </w:pPr>
            <w:r>
              <w:rPr>
                <w:sz w:val="20"/>
              </w:rPr>
              <w:t>State preemption of local open carry ordinances? (0 = no, 0.5 = limited/special legislation for particular localities, 1 = yes)</w:t>
            </w:r>
          </w:p>
        </w:tc>
        <w:tc>
          <w:tcPr>
            <w:tcW w:w="6482" w:type="dxa"/>
          </w:tcPr>
          <w:p w14:paraId="4A1A50DC"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2129AD5" w14:textId="77777777">
        <w:trPr>
          <w:trHeight w:val="1463"/>
        </w:trPr>
        <w:tc>
          <w:tcPr>
            <w:tcW w:w="1711" w:type="dxa"/>
            <w:tcBorders>
              <w:bottom w:val="dotted" w:sz="6" w:space="0" w:color="BEBEBE"/>
            </w:tcBorders>
          </w:tcPr>
          <w:p w14:paraId="13236C4D" w14:textId="77777777" w:rsidR="0046798B" w:rsidRDefault="0046798B">
            <w:pPr>
              <w:pStyle w:val="TableParagraph"/>
            </w:pPr>
          </w:p>
          <w:p w14:paraId="50FE7819" w14:textId="77777777" w:rsidR="0046798B" w:rsidRDefault="0046798B">
            <w:pPr>
              <w:pStyle w:val="TableParagraph"/>
              <w:spacing w:before="3"/>
              <w:rPr>
                <w:sz w:val="31"/>
              </w:rPr>
            </w:pPr>
          </w:p>
          <w:p w14:paraId="4D5244C7" w14:textId="77777777" w:rsidR="0046798B" w:rsidRDefault="00903B5C">
            <w:pPr>
              <w:pStyle w:val="TableParagraph"/>
              <w:spacing w:before="1"/>
              <w:ind w:left="115"/>
              <w:rPr>
                <w:b/>
                <w:sz w:val="20"/>
              </w:rPr>
            </w:pPr>
            <w:r>
              <w:rPr>
                <w:b/>
                <w:sz w:val="20"/>
              </w:rPr>
              <w:t>baow</w:t>
            </w:r>
          </w:p>
        </w:tc>
        <w:tc>
          <w:tcPr>
            <w:tcW w:w="1596" w:type="dxa"/>
            <w:tcBorders>
              <w:bottom w:val="dotted" w:sz="6" w:space="0" w:color="BEBEBE"/>
            </w:tcBorders>
          </w:tcPr>
          <w:p w14:paraId="68255D22" w14:textId="77777777" w:rsidR="0046798B" w:rsidRDefault="0046798B">
            <w:pPr>
              <w:pStyle w:val="TableParagraph"/>
            </w:pPr>
          </w:p>
          <w:p w14:paraId="7C72CF31" w14:textId="77777777" w:rsidR="0046798B" w:rsidRDefault="00903B5C">
            <w:pPr>
              <w:pStyle w:val="TableParagraph"/>
              <w:spacing w:before="130"/>
              <w:ind w:left="114"/>
              <w:rPr>
                <w:sz w:val="20"/>
              </w:rPr>
            </w:pPr>
            <w:r>
              <w:rPr>
                <w:sz w:val="20"/>
              </w:rPr>
              <w:t>AOW (Any</w:t>
            </w:r>
          </w:p>
          <w:p w14:paraId="5B8395F1" w14:textId="77777777" w:rsidR="0046798B" w:rsidRDefault="00903B5C">
            <w:pPr>
              <w:pStyle w:val="TableParagraph"/>
              <w:ind w:left="114" w:right="263"/>
              <w:rPr>
                <w:sz w:val="20"/>
              </w:rPr>
            </w:pPr>
            <w:r>
              <w:rPr>
                <w:sz w:val="20"/>
              </w:rPr>
              <w:t>Other Class III Weapon)</w:t>
            </w:r>
          </w:p>
        </w:tc>
        <w:tc>
          <w:tcPr>
            <w:tcW w:w="1285" w:type="dxa"/>
            <w:tcBorders>
              <w:bottom w:val="dotted" w:sz="6" w:space="0" w:color="BEBEBE"/>
            </w:tcBorders>
          </w:tcPr>
          <w:p w14:paraId="621C243A" w14:textId="77777777" w:rsidR="0046798B" w:rsidRDefault="0046798B">
            <w:pPr>
              <w:pStyle w:val="TableParagraph"/>
            </w:pPr>
          </w:p>
          <w:p w14:paraId="6CA6B190" w14:textId="77777777" w:rsidR="0046798B" w:rsidRDefault="0046798B">
            <w:pPr>
              <w:pStyle w:val="TableParagraph"/>
              <w:spacing w:before="3"/>
              <w:rPr>
                <w:sz w:val="31"/>
              </w:rPr>
            </w:pPr>
          </w:p>
          <w:p w14:paraId="51F6E21D" w14:textId="77777777" w:rsidR="0046798B" w:rsidRDefault="00903B5C">
            <w:pPr>
              <w:pStyle w:val="TableParagraph"/>
              <w:spacing w:before="1"/>
              <w:ind w:left="114"/>
              <w:rPr>
                <w:sz w:val="20"/>
              </w:rPr>
            </w:pPr>
            <w:r>
              <w:rPr>
                <w:sz w:val="20"/>
              </w:rPr>
              <w:t>1986–2016</w:t>
            </w:r>
          </w:p>
        </w:tc>
        <w:tc>
          <w:tcPr>
            <w:tcW w:w="3421" w:type="dxa"/>
            <w:tcBorders>
              <w:bottom w:val="dotted" w:sz="6" w:space="0" w:color="BEBEBE"/>
            </w:tcBorders>
          </w:tcPr>
          <w:p w14:paraId="074D55AB" w14:textId="77777777" w:rsidR="0046798B" w:rsidRDefault="00903B5C">
            <w:pPr>
              <w:pStyle w:val="TableParagraph"/>
              <w:spacing w:before="38"/>
              <w:ind w:left="114"/>
              <w:rPr>
                <w:sz w:val="20"/>
              </w:rPr>
            </w:pPr>
            <w:r>
              <w:rPr>
                <w:sz w:val="20"/>
              </w:rPr>
              <w:t>AOW (Any Other Class III Weapon) (0</w:t>
            </w:r>
          </w:p>
          <w:p w14:paraId="3CDC4083" w14:textId="77777777" w:rsidR="0046798B" w:rsidRDefault="00903B5C">
            <w:pPr>
              <w:pStyle w:val="TableParagraph"/>
              <w:ind w:left="114" w:right="164"/>
              <w:rPr>
                <w:sz w:val="20"/>
              </w:rPr>
            </w:pPr>
            <w:r>
              <w:rPr>
                <w:sz w:val="20"/>
              </w:rPr>
              <w:t>= prohibited in state law; .5 = not prohibited but regulated at state-local level OR not prohibited in law but virtually prohibited in practice; 1 = not prohibited by state law)</w:t>
            </w:r>
          </w:p>
        </w:tc>
        <w:tc>
          <w:tcPr>
            <w:tcW w:w="6482" w:type="dxa"/>
            <w:tcBorders>
              <w:bottom w:val="dotted" w:sz="6" w:space="0" w:color="BEBEBE"/>
            </w:tcBorders>
          </w:tcPr>
          <w:p w14:paraId="68A3AEB0" w14:textId="77777777" w:rsidR="0046798B" w:rsidRDefault="0046798B">
            <w:pPr>
              <w:pStyle w:val="TableParagraph"/>
            </w:pPr>
          </w:p>
          <w:p w14:paraId="6A71929E" w14:textId="77777777" w:rsidR="0046798B" w:rsidRDefault="00903B5C">
            <w:pPr>
              <w:pStyle w:val="TableParagraph"/>
              <w:spacing w:before="130"/>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5EE59C9" w14:textId="77777777">
        <w:trPr>
          <w:trHeight w:val="772"/>
        </w:trPr>
        <w:tc>
          <w:tcPr>
            <w:tcW w:w="1711" w:type="dxa"/>
            <w:tcBorders>
              <w:top w:val="dotted" w:sz="6" w:space="0" w:color="BEBEBE"/>
            </w:tcBorders>
          </w:tcPr>
          <w:p w14:paraId="3ECA9247" w14:textId="77777777" w:rsidR="0046798B" w:rsidRDefault="0046798B">
            <w:pPr>
              <w:pStyle w:val="TableParagraph"/>
              <w:spacing w:before="1"/>
              <w:rPr>
                <w:sz w:val="23"/>
              </w:rPr>
            </w:pPr>
          </w:p>
          <w:p w14:paraId="7C5A90C5" w14:textId="77777777" w:rsidR="0046798B" w:rsidRDefault="00903B5C">
            <w:pPr>
              <w:pStyle w:val="TableParagraph"/>
              <w:ind w:left="115"/>
              <w:rPr>
                <w:b/>
                <w:sz w:val="20"/>
              </w:rPr>
            </w:pPr>
            <w:r>
              <w:rPr>
                <w:b/>
                <w:sz w:val="20"/>
              </w:rPr>
              <w:t>basslt</w:t>
            </w:r>
          </w:p>
        </w:tc>
        <w:tc>
          <w:tcPr>
            <w:tcW w:w="1596" w:type="dxa"/>
            <w:tcBorders>
              <w:top w:val="dotted" w:sz="6" w:space="0" w:color="BEBEBE"/>
            </w:tcBorders>
          </w:tcPr>
          <w:p w14:paraId="3970D3BF" w14:textId="77777777" w:rsidR="0046798B" w:rsidRDefault="00903B5C">
            <w:pPr>
              <w:pStyle w:val="TableParagraph"/>
              <w:spacing w:before="150"/>
              <w:ind w:left="114" w:right="102"/>
              <w:rPr>
                <w:sz w:val="20"/>
              </w:rPr>
            </w:pPr>
            <w:r>
              <w:rPr>
                <w:sz w:val="20"/>
              </w:rPr>
              <w:t>Assault weapons ban</w:t>
            </w:r>
          </w:p>
        </w:tc>
        <w:tc>
          <w:tcPr>
            <w:tcW w:w="1285" w:type="dxa"/>
            <w:tcBorders>
              <w:top w:val="dotted" w:sz="6" w:space="0" w:color="BEBEBE"/>
            </w:tcBorders>
          </w:tcPr>
          <w:p w14:paraId="38781BBB" w14:textId="77777777" w:rsidR="0046798B" w:rsidRDefault="0046798B">
            <w:pPr>
              <w:pStyle w:val="TableParagraph"/>
              <w:spacing w:before="1"/>
              <w:rPr>
                <w:sz w:val="23"/>
              </w:rPr>
            </w:pPr>
          </w:p>
          <w:p w14:paraId="72CCAA80" w14:textId="77777777" w:rsidR="0046798B" w:rsidRDefault="00903B5C">
            <w:pPr>
              <w:pStyle w:val="TableParagraph"/>
              <w:ind w:left="114"/>
              <w:rPr>
                <w:sz w:val="20"/>
              </w:rPr>
            </w:pPr>
            <w:r>
              <w:rPr>
                <w:sz w:val="20"/>
              </w:rPr>
              <w:t>1986–2016</w:t>
            </w:r>
          </w:p>
        </w:tc>
        <w:tc>
          <w:tcPr>
            <w:tcW w:w="3421" w:type="dxa"/>
            <w:tcBorders>
              <w:top w:val="dotted" w:sz="6" w:space="0" w:color="BEBEBE"/>
            </w:tcBorders>
          </w:tcPr>
          <w:p w14:paraId="30B5DAF9" w14:textId="77777777" w:rsidR="0046798B" w:rsidRDefault="00903B5C">
            <w:pPr>
              <w:pStyle w:val="TableParagraph"/>
              <w:spacing w:before="150"/>
              <w:ind w:left="114" w:right="357"/>
              <w:rPr>
                <w:sz w:val="20"/>
              </w:rPr>
            </w:pPr>
            <w:r>
              <w:rPr>
                <w:sz w:val="20"/>
              </w:rPr>
              <w:t>Assault weapons ban? (0 = no, 0.5 = locally, 1 = yes)</w:t>
            </w:r>
          </w:p>
        </w:tc>
        <w:tc>
          <w:tcPr>
            <w:tcW w:w="6482" w:type="dxa"/>
            <w:tcBorders>
              <w:top w:val="dotted" w:sz="6" w:space="0" w:color="BEBEBE"/>
            </w:tcBorders>
          </w:tcPr>
          <w:p w14:paraId="4B9E60A4" w14:textId="77777777" w:rsidR="0046798B" w:rsidRDefault="00903B5C">
            <w:pPr>
              <w:pStyle w:val="TableParagraph"/>
              <w:spacing w:before="35"/>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E1B5F2B" w14:textId="77777777">
        <w:trPr>
          <w:trHeight w:val="1005"/>
        </w:trPr>
        <w:tc>
          <w:tcPr>
            <w:tcW w:w="1711" w:type="dxa"/>
          </w:tcPr>
          <w:p w14:paraId="73F71E34" w14:textId="77777777" w:rsidR="0046798B" w:rsidRDefault="0046798B">
            <w:pPr>
              <w:pStyle w:val="TableParagraph"/>
            </w:pPr>
          </w:p>
          <w:p w14:paraId="6A4E94D8" w14:textId="77777777" w:rsidR="0046798B" w:rsidRDefault="00903B5C">
            <w:pPr>
              <w:pStyle w:val="TableParagraph"/>
              <w:spacing w:before="130"/>
              <w:ind w:left="115"/>
              <w:rPr>
                <w:b/>
                <w:sz w:val="20"/>
              </w:rPr>
            </w:pPr>
            <w:r>
              <w:rPr>
                <w:b/>
                <w:sz w:val="20"/>
              </w:rPr>
              <w:t>baurnh</w:t>
            </w:r>
          </w:p>
        </w:tc>
        <w:tc>
          <w:tcPr>
            <w:tcW w:w="1596" w:type="dxa"/>
          </w:tcPr>
          <w:p w14:paraId="63B1084B" w14:textId="77777777" w:rsidR="0046798B" w:rsidRDefault="00903B5C">
            <w:pPr>
              <w:pStyle w:val="TableParagraph"/>
              <w:spacing w:before="39"/>
              <w:ind w:left="114" w:right="169"/>
              <w:rPr>
                <w:sz w:val="20"/>
              </w:rPr>
            </w:pPr>
            <w:r>
              <w:rPr>
                <w:sz w:val="20"/>
              </w:rPr>
              <w:t>Authorized user requirement for new handguns, aka smartguns</w:t>
            </w:r>
          </w:p>
        </w:tc>
        <w:tc>
          <w:tcPr>
            <w:tcW w:w="1285" w:type="dxa"/>
          </w:tcPr>
          <w:p w14:paraId="19981FAE" w14:textId="77777777" w:rsidR="0046798B" w:rsidRDefault="0046798B">
            <w:pPr>
              <w:pStyle w:val="TableParagraph"/>
            </w:pPr>
          </w:p>
          <w:p w14:paraId="7C042867" w14:textId="77777777" w:rsidR="0046798B" w:rsidRDefault="00903B5C">
            <w:pPr>
              <w:pStyle w:val="TableParagraph"/>
              <w:spacing w:before="130"/>
              <w:ind w:left="114"/>
              <w:rPr>
                <w:sz w:val="20"/>
              </w:rPr>
            </w:pPr>
            <w:r>
              <w:rPr>
                <w:sz w:val="20"/>
              </w:rPr>
              <w:t>2000–2014</w:t>
            </w:r>
          </w:p>
        </w:tc>
        <w:tc>
          <w:tcPr>
            <w:tcW w:w="3421" w:type="dxa"/>
          </w:tcPr>
          <w:p w14:paraId="468F0196" w14:textId="77777777" w:rsidR="0046798B" w:rsidRDefault="00903B5C">
            <w:pPr>
              <w:pStyle w:val="TableParagraph"/>
              <w:spacing w:before="154"/>
              <w:ind w:left="114" w:right="179"/>
              <w:rPr>
                <w:sz w:val="20"/>
              </w:rPr>
            </w:pPr>
            <w:r>
              <w:rPr>
                <w:sz w:val="20"/>
              </w:rPr>
              <w:t>Authorized user requirement for new handguns, aka smartguns? (0 = no, 1 = yes)</w:t>
            </w:r>
          </w:p>
        </w:tc>
        <w:tc>
          <w:tcPr>
            <w:tcW w:w="6482" w:type="dxa"/>
          </w:tcPr>
          <w:p w14:paraId="773CAF3B" w14:textId="77777777" w:rsidR="0046798B" w:rsidRDefault="00903B5C">
            <w:pPr>
              <w:pStyle w:val="TableParagraph"/>
              <w:spacing w:before="154"/>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7861D4C" w14:textId="77777777">
        <w:trPr>
          <w:trHeight w:val="1235"/>
        </w:trPr>
        <w:tc>
          <w:tcPr>
            <w:tcW w:w="1711" w:type="dxa"/>
          </w:tcPr>
          <w:p w14:paraId="2B1EF4D3" w14:textId="77777777" w:rsidR="0046798B" w:rsidRDefault="0046798B">
            <w:pPr>
              <w:pStyle w:val="TableParagraph"/>
            </w:pPr>
          </w:p>
          <w:p w14:paraId="5DA31466" w14:textId="77777777" w:rsidR="0046798B" w:rsidRDefault="0046798B">
            <w:pPr>
              <w:pStyle w:val="TableParagraph"/>
              <w:spacing w:before="9"/>
              <w:rPr>
                <w:sz w:val="21"/>
              </w:rPr>
            </w:pPr>
          </w:p>
          <w:p w14:paraId="54526D69" w14:textId="77777777" w:rsidR="0046798B" w:rsidRDefault="00903B5C">
            <w:pPr>
              <w:pStyle w:val="TableParagraph"/>
              <w:ind w:left="115"/>
              <w:rPr>
                <w:b/>
                <w:sz w:val="20"/>
              </w:rPr>
            </w:pPr>
            <w:r>
              <w:rPr>
                <w:b/>
                <w:sz w:val="20"/>
              </w:rPr>
              <w:t>bballist</w:t>
            </w:r>
          </w:p>
        </w:tc>
        <w:tc>
          <w:tcPr>
            <w:tcW w:w="1596" w:type="dxa"/>
          </w:tcPr>
          <w:p w14:paraId="793C459C" w14:textId="77777777" w:rsidR="0046798B" w:rsidRDefault="00903B5C">
            <w:pPr>
              <w:pStyle w:val="TableParagraph"/>
              <w:spacing w:before="43"/>
              <w:ind w:left="114" w:right="385"/>
              <w:rPr>
                <w:sz w:val="20"/>
              </w:rPr>
            </w:pPr>
            <w:r>
              <w:rPr>
                <w:sz w:val="20"/>
              </w:rPr>
              <w:t>Ballistic identification OR</w:t>
            </w:r>
          </w:p>
          <w:p w14:paraId="1847642A" w14:textId="77777777" w:rsidR="0046798B" w:rsidRDefault="00903B5C">
            <w:pPr>
              <w:pStyle w:val="TableParagraph"/>
              <w:ind w:left="114" w:right="252"/>
              <w:rPr>
                <w:sz w:val="20"/>
              </w:rPr>
            </w:pPr>
            <w:r>
              <w:rPr>
                <w:sz w:val="20"/>
              </w:rPr>
              <w:t>microstamping requirements</w:t>
            </w:r>
          </w:p>
        </w:tc>
        <w:tc>
          <w:tcPr>
            <w:tcW w:w="1285" w:type="dxa"/>
          </w:tcPr>
          <w:p w14:paraId="05DA67B8" w14:textId="77777777" w:rsidR="0046798B" w:rsidRDefault="0046798B">
            <w:pPr>
              <w:pStyle w:val="TableParagraph"/>
            </w:pPr>
          </w:p>
          <w:p w14:paraId="26C9A3C2" w14:textId="77777777" w:rsidR="0046798B" w:rsidRDefault="0046798B">
            <w:pPr>
              <w:pStyle w:val="TableParagraph"/>
              <w:spacing w:before="9"/>
              <w:rPr>
                <w:sz w:val="21"/>
              </w:rPr>
            </w:pPr>
          </w:p>
          <w:p w14:paraId="209C1FDF" w14:textId="77777777" w:rsidR="0046798B" w:rsidRDefault="00903B5C">
            <w:pPr>
              <w:pStyle w:val="TableParagraph"/>
              <w:ind w:left="114"/>
              <w:rPr>
                <w:sz w:val="20"/>
              </w:rPr>
            </w:pPr>
            <w:r>
              <w:rPr>
                <w:sz w:val="20"/>
              </w:rPr>
              <w:t>1986–2016</w:t>
            </w:r>
          </w:p>
        </w:tc>
        <w:tc>
          <w:tcPr>
            <w:tcW w:w="3421" w:type="dxa"/>
          </w:tcPr>
          <w:p w14:paraId="207F720D" w14:textId="77777777" w:rsidR="0046798B" w:rsidRDefault="0046798B">
            <w:pPr>
              <w:pStyle w:val="TableParagraph"/>
              <w:spacing w:before="9"/>
              <w:rPr>
                <w:sz w:val="23"/>
              </w:rPr>
            </w:pPr>
          </w:p>
          <w:p w14:paraId="54470D80" w14:textId="77777777" w:rsidR="0046798B" w:rsidRDefault="00903B5C">
            <w:pPr>
              <w:pStyle w:val="TableParagraph"/>
              <w:ind w:left="114" w:right="214"/>
              <w:rPr>
                <w:sz w:val="20"/>
              </w:rPr>
            </w:pPr>
            <w:r>
              <w:rPr>
                <w:sz w:val="20"/>
              </w:rPr>
              <w:t>Ballistic identification OR microstamping requirements? (0 = no, 1 = yes)</w:t>
            </w:r>
          </w:p>
        </w:tc>
        <w:tc>
          <w:tcPr>
            <w:tcW w:w="6482" w:type="dxa"/>
          </w:tcPr>
          <w:p w14:paraId="44DDCADB" w14:textId="77777777" w:rsidR="0046798B" w:rsidRDefault="0046798B">
            <w:pPr>
              <w:pStyle w:val="TableParagraph"/>
              <w:spacing w:before="9"/>
              <w:rPr>
                <w:sz w:val="23"/>
              </w:rPr>
            </w:pPr>
          </w:p>
          <w:p w14:paraId="0BBC07DB"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7F1EC40C" w14:textId="77777777" w:rsidR="0046798B" w:rsidRDefault="0046798B">
      <w:pPr>
        <w:rPr>
          <w:sz w:val="20"/>
        </w:rPr>
        <w:sectPr w:rsidR="0046798B">
          <w:pgSz w:w="15840" w:h="12240" w:orient="landscape"/>
          <w:pgMar w:top="1220" w:right="300" w:bottom="980" w:left="820" w:header="730" w:footer="787" w:gutter="0"/>
          <w:cols w:space="720"/>
        </w:sectPr>
      </w:pPr>
    </w:p>
    <w:p w14:paraId="5A53FF96"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A53F940" w14:textId="77777777">
        <w:trPr>
          <w:trHeight w:val="1235"/>
        </w:trPr>
        <w:tc>
          <w:tcPr>
            <w:tcW w:w="1711" w:type="dxa"/>
          </w:tcPr>
          <w:p w14:paraId="638107D0" w14:textId="77777777" w:rsidR="0046798B" w:rsidRDefault="0046798B">
            <w:pPr>
              <w:pStyle w:val="TableParagraph"/>
            </w:pPr>
          </w:p>
          <w:p w14:paraId="6815AD19" w14:textId="77777777" w:rsidR="0046798B" w:rsidRDefault="0046798B">
            <w:pPr>
              <w:pStyle w:val="TableParagraph"/>
              <w:spacing w:before="9"/>
              <w:rPr>
                <w:sz w:val="21"/>
              </w:rPr>
            </w:pPr>
          </w:p>
          <w:p w14:paraId="229E7F8F" w14:textId="77777777" w:rsidR="0046798B" w:rsidRDefault="00903B5C">
            <w:pPr>
              <w:pStyle w:val="TableParagraph"/>
              <w:ind w:left="115"/>
              <w:rPr>
                <w:b/>
                <w:sz w:val="20"/>
              </w:rPr>
            </w:pPr>
            <w:r>
              <w:rPr>
                <w:b/>
                <w:sz w:val="20"/>
              </w:rPr>
              <w:t>bcci</w:t>
            </w:r>
          </w:p>
        </w:tc>
        <w:tc>
          <w:tcPr>
            <w:tcW w:w="1596" w:type="dxa"/>
          </w:tcPr>
          <w:p w14:paraId="359064DF" w14:textId="77777777" w:rsidR="0046798B" w:rsidRDefault="0046798B">
            <w:pPr>
              <w:pStyle w:val="TableParagraph"/>
            </w:pPr>
          </w:p>
          <w:p w14:paraId="7F7A8345" w14:textId="77777777" w:rsidR="0046798B" w:rsidRDefault="00903B5C">
            <w:pPr>
              <w:pStyle w:val="TableParagraph"/>
              <w:spacing w:before="135"/>
              <w:ind w:left="114" w:right="147"/>
              <w:rPr>
                <w:sz w:val="20"/>
              </w:rPr>
            </w:pPr>
            <w:r>
              <w:rPr>
                <w:sz w:val="20"/>
              </w:rPr>
              <w:t>Concealed carry index</w:t>
            </w:r>
          </w:p>
        </w:tc>
        <w:tc>
          <w:tcPr>
            <w:tcW w:w="1285" w:type="dxa"/>
          </w:tcPr>
          <w:p w14:paraId="1A0ADA1E" w14:textId="77777777" w:rsidR="0046798B" w:rsidRDefault="0046798B">
            <w:pPr>
              <w:pStyle w:val="TableParagraph"/>
            </w:pPr>
          </w:p>
          <w:p w14:paraId="2D5E61AE" w14:textId="77777777" w:rsidR="0046798B" w:rsidRDefault="0046798B">
            <w:pPr>
              <w:pStyle w:val="TableParagraph"/>
              <w:spacing w:before="9"/>
              <w:rPr>
                <w:sz w:val="21"/>
              </w:rPr>
            </w:pPr>
          </w:p>
          <w:p w14:paraId="18D60D35" w14:textId="77777777" w:rsidR="0046798B" w:rsidRDefault="00903B5C">
            <w:pPr>
              <w:pStyle w:val="TableParagraph"/>
              <w:ind w:left="114"/>
              <w:rPr>
                <w:sz w:val="20"/>
              </w:rPr>
            </w:pPr>
            <w:r>
              <w:rPr>
                <w:sz w:val="20"/>
              </w:rPr>
              <w:t>1986–2016</w:t>
            </w:r>
          </w:p>
        </w:tc>
        <w:tc>
          <w:tcPr>
            <w:tcW w:w="3421" w:type="dxa"/>
          </w:tcPr>
          <w:p w14:paraId="66C5582F" w14:textId="77777777" w:rsidR="0046798B" w:rsidRDefault="00903B5C">
            <w:pPr>
              <w:pStyle w:val="TableParagraph"/>
              <w:spacing w:before="43"/>
              <w:ind w:left="114" w:right="125"/>
              <w:rPr>
                <w:sz w:val="20"/>
              </w:rPr>
            </w:pPr>
            <w:r>
              <w:rPr>
                <w:sz w:val="20"/>
              </w:rPr>
              <w:t xml:space="preserve">Concealed carry index (see “Carry indices” page for construction: </w:t>
            </w:r>
            <w:hyperlink r:id="rId905">
              <w:r>
                <w:rPr>
                  <w:color w:val="0462C1"/>
                  <w:sz w:val="20"/>
                  <w:u w:val="single" w:color="0462C1"/>
                </w:rPr>
                <w:t>http://www.statepolicyindex.com/wp-</w:t>
              </w:r>
            </w:hyperlink>
            <w:r>
              <w:rPr>
                <w:color w:val="0462C1"/>
                <w:sz w:val="20"/>
              </w:rPr>
              <w:t xml:space="preserve"> </w:t>
            </w:r>
            <w:hyperlink r:id="rId906">
              <w:r>
                <w:rPr>
                  <w:color w:val="0462C1"/>
                  <w:sz w:val="20"/>
                  <w:u w:val="single" w:color="0462C1"/>
                </w:rPr>
                <w:t>content/uploads/2019/06/b_guns_17_m</w:t>
              </w:r>
            </w:hyperlink>
            <w:r>
              <w:rPr>
                <w:color w:val="0462C1"/>
                <w:sz w:val="20"/>
              </w:rPr>
              <w:t xml:space="preserve"> </w:t>
            </w:r>
            <w:hyperlink r:id="rId907">
              <w:r>
                <w:rPr>
                  <w:color w:val="0462C1"/>
                  <w:sz w:val="20"/>
                  <w:u w:val="single" w:color="0462C1"/>
                </w:rPr>
                <w:t>etadata_carry_indices.txt</w:t>
              </w:r>
            </w:hyperlink>
            <w:r>
              <w:rPr>
                <w:sz w:val="20"/>
              </w:rPr>
              <w:t>)</w:t>
            </w:r>
          </w:p>
        </w:tc>
        <w:tc>
          <w:tcPr>
            <w:tcW w:w="6482" w:type="dxa"/>
          </w:tcPr>
          <w:p w14:paraId="3BD4EA2D" w14:textId="77777777" w:rsidR="0046798B" w:rsidRDefault="0046798B">
            <w:pPr>
              <w:pStyle w:val="TableParagraph"/>
              <w:spacing w:before="9"/>
              <w:rPr>
                <w:sz w:val="23"/>
              </w:rPr>
            </w:pPr>
          </w:p>
          <w:p w14:paraId="722897C9"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0F3991B" w14:textId="77777777">
        <w:trPr>
          <w:trHeight w:val="1235"/>
        </w:trPr>
        <w:tc>
          <w:tcPr>
            <w:tcW w:w="1711" w:type="dxa"/>
          </w:tcPr>
          <w:p w14:paraId="228DD036" w14:textId="77777777" w:rsidR="0046798B" w:rsidRDefault="0046798B">
            <w:pPr>
              <w:pStyle w:val="TableParagraph"/>
            </w:pPr>
          </w:p>
          <w:p w14:paraId="357977CB" w14:textId="77777777" w:rsidR="0046798B" w:rsidRDefault="0046798B">
            <w:pPr>
              <w:pStyle w:val="TableParagraph"/>
              <w:spacing w:before="9"/>
              <w:rPr>
                <w:sz w:val="21"/>
              </w:rPr>
            </w:pPr>
          </w:p>
          <w:p w14:paraId="0FF567DD" w14:textId="77777777" w:rsidR="0046798B" w:rsidRDefault="00903B5C">
            <w:pPr>
              <w:pStyle w:val="TableParagraph"/>
              <w:ind w:left="115"/>
              <w:rPr>
                <w:b/>
                <w:sz w:val="20"/>
              </w:rPr>
            </w:pPr>
            <w:r>
              <w:rPr>
                <w:b/>
                <w:sz w:val="20"/>
              </w:rPr>
              <w:t>bccpin</w:t>
            </w:r>
          </w:p>
        </w:tc>
        <w:tc>
          <w:tcPr>
            <w:tcW w:w="1596" w:type="dxa"/>
          </w:tcPr>
          <w:p w14:paraId="549E36D7" w14:textId="77777777" w:rsidR="0046798B" w:rsidRDefault="0046798B">
            <w:pPr>
              <w:pStyle w:val="TableParagraph"/>
              <w:spacing w:before="9"/>
              <w:rPr>
                <w:sz w:val="23"/>
              </w:rPr>
            </w:pPr>
          </w:p>
          <w:p w14:paraId="54AAC0BA" w14:textId="77777777" w:rsidR="0046798B" w:rsidRDefault="00903B5C">
            <w:pPr>
              <w:pStyle w:val="TableParagraph"/>
              <w:ind w:left="114" w:right="110"/>
              <w:jc w:val="both"/>
              <w:rPr>
                <w:sz w:val="20"/>
              </w:rPr>
            </w:pPr>
            <w:r>
              <w:rPr>
                <w:sz w:val="20"/>
              </w:rPr>
              <w:t>Concealed carry permits issued to nonresidents</w:t>
            </w:r>
          </w:p>
        </w:tc>
        <w:tc>
          <w:tcPr>
            <w:tcW w:w="1285" w:type="dxa"/>
          </w:tcPr>
          <w:p w14:paraId="35B08B9E" w14:textId="77777777" w:rsidR="0046798B" w:rsidRDefault="0046798B">
            <w:pPr>
              <w:pStyle w:val="TableParagraph"/>
            </w:pPr>
          </w:p>
          <w:p w14:paraId="50E90364" w14:textId="77777777" w:rsidR="0046798B" w:rsidRDefault="0046798B">
            <w:pPr>
              <w:pStyle w:val="TableParagraph"/>
              <w:spacing w:before="9"/>
              <w:rPr>
                <w:sz w:val="21"/>
              </w:rPr>
            </w:pPr>
          </w:p>
          <w:p w14:paraId="1633E8C0" w14:textId="77777777" w:rsidR="0046798B" w:rsidRDefault="00903B5C">
            <w:pPr>
              <w:pStyle w:val="TableParagraph"/>
              <w:ind w:left="114"/>
              <w:rPr>
                <w:sz w:val="20"/>
              </w:rPr>
            </w:pPr>
            <w:r>
              <w:rPr>
                <w:sz w:val="20"/>
              </w:rPr>
              <w:t>1986–2016</w:t>
            </w:r>
          </w:p>
        </w:tc>
        <w:tc>
          <w:tcPr>
            <w:tcW w:w="3421" w:type="dxa"/>
          </w:tcPr>
          <w:p w14:paraId="6074C3EC" w14:textId="77777777" w:rsidR="0046798B" w:rsidRDefault="00903B5C">
            <w:pPr>
              <w:pStyle w:val="TableParagraph"/>
              <w:spacing w:before="43"/>
              <w:ind w:left="114" w:right="121"/>
              <w:rPr>
                <w:sz w:val="20"/>
              </w:rPr>
            </w:pPr>
            <w:r>
              <w:rPr>
                <w:sz w:val="20"/>
              </w:rPr>
              <w:t>Concealed carry permits issued to nonresidents? (0 = no, 0.5 = yes for property owners/employed in state/may issue, 1 = yes, 2 = permit not needed for</w:t>
            </w:r>
            <w:r>
              <w:rPr>
                <w:spacing w:val="-2"/>
                <w:sz w:val="20"/>
              </w:rPr>
              <w:t xml:space="preserve"> </w:t>
            </w:r>
            <w:r>
              <w:rPr>
                <w:sz w:val="20"/>
              </w:rPr>
              <w:t>CC)</w:t>
            </w:r>
          </w:p>
        </w:tc>
        <w:tc>
          <w:tcPr>
            <w:tcW w:w="6482" w:type="dxa"/>
          </w:tcPr>
          <w:p w14:paraId="7A8D1B15" w14:textId="77777777" w:rsidR="0046798B" w:rsidRDefault="0046798B">
            <w:pPr>
              <w:pStyle w:val="TableParagraph"/>
              <w:spacing w:before="9"/>
              <w:rPr>
                <w:sz w:val="23"/>
              </w:rPr>
            </w:pPr>
          </w:p>
          <w:p w14:paraId="1254F97B" w14:textId="77777777" w:rsidR="0046798B" w:rsidRDefault="00903B5C">
            <w:pPr>
              <w:pStyle w:val="TableParagraph"/>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4DE06DC" w14:textId="77777777">
        <w:trPr>
          <w:trHeight w:val="780"/>
        </w:trPr>
        <w:tc>
          <w:tcPr>
            <w:tcW w:w="1711" w:type="dxa"/>
          </w:tcPr>
          <w:p w14:paraId="7C458E33" w14:textId="77777777" w:rsidR="0046798B" w:rsidRDefault="0046798B">
            <w:pPr>
              <w:pStyle w:val="TableParagraph"/>
              <w:spacing w:before="9"/>
              <w:rPr>
                <w:sz w:val="23"/>
              </w:rPr>
            </w:pPr>
          </w:p>
          <w:p w14:paraId="136D423A" w14:textId="77777777" w:rsidR="0046798B" w:rsidRDefault="00903B5C">
            <w:pPr>
              <w:pStyle w:val="TableParagraph"/>
              <w:ind w:left="115"/>
              <w:rPr>
                <w:b/>
                <w:sz w:val="20"/>
              </w:rPr>
            </w:pPr>
            <w:r>
              <w:rPr>
                <w:b/>
                <w:sz w:val="20"/>
              </w:rPr>
              <w:t>bccpir</w:t>
            </w:r>
          </w:p>
        </w:tc>
        <w:tc>
          <w:tcPr>
            <w:tcW w:w="1596" w:type="dxa"/>
          </w:tcPr>
          <w:p w14:paraId="61925CBF" w14:textId="77777777" w:rsidR="0046798B" w:rsidRDefault="00903B5C">
            <w:pPr>
              <w:pStyle w:val="TableParagraph"/>
              <w:spacing w:before="43"/>
              <w:ind w:left="114" w:right="110"/>
              <w:jc w:val="both"/>
              <w:rPr>
                <w:sz w:val="20"/>
              </w:rPr>
            </w:pPr>
            <w:r>
              <w:rPr>
                <w:sz w:val="20"/>
              </w:rPr>
              <w:t>Concealed carry permits issued to residents</w:t>
            </w:r>
          </w:p>
        </w:tc>
        <w:tc>
          <w:tcPr>
            <w:tcW w:w="1285" w:type="dxa"/>
          </w:tcPr>
          <w:p w14:paraId="46FCF5A3" w14:textId="77777777" w:rsidR="0046798B" w:rsidRDefault="0046798B">
            <w:pPr>
              <w:pStyle w:val="TableParagraph"/>
              <w:spacing w:before="9"/>
              <w:rPr>
                <w:sz w:val="23"/>
              </w:rPr>
            </w:pPr>
          </w:p>
          <w:p w14:paraId="7168376B" w14:textId="77777777" w:rsidR="0046798B" w:rsidRDefault="00903B5C">
            <w:pPr>
              <w:pStyle w:val="TableParagraph"/>
              <w:ind w:left="114"/>
              <w:rPr>
                <w:sz w:val="20"/>
              </w:rPr>
            </w:pPr>
            <w:r>
              <w:rPr>
                <w:sz w:val="20"/>
              </w:rPr>
              <w:t>1986–2016</w:t>
            </w:r>
          </w:p>
        </w:tc>
        <w:tc>
          <w:tcPr>
            <w:tcW w:w="3421" w:type="dxa"/>
          </w:tcPr>
          <w:p w14:paraId="4622EF78" w14:textId="77777777" w:rsidR="0046798B" w:rsidRDefault="00903B5C">
            <w:pPr>
              <w:pStyle w:val="TableParagraph"/>
              <w:spacing w:before="43"/>
              <w:ind w:left="114" w:right="233"/>
              <w:rPr>
                <w:sz w:val="20"/>
              </w:rPr>
            </w:pPr>
            <w:r>
              <w:rPr>
                <w:sz w:val="20"/>
              </w:rPr>
              <w:t>Concealed carry permits issued to residents? (0 = no, 1 = yes, 2 = permit not needed for CC)</w:t>
            </w:r>
          </w:p>
        </w:tc>
        <w:tc>
          <w:tcPr>
            <w:tcW w:w="6482" w:type="dxa"/>
          </w:tcPr>
          <w:p w14:paraId="4549A224"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5BED3D6" w14:textId="77777777">
        <w:trPr>
          <w:trHeight w:val="2615"/>
        </w:trPr>
        <w:tc>
          <w:tcPr>
            <w:tcW w:w="1711" w:type="dxa"/>
          </w:tcPr>
          <w:p w14:paraId="44BA0036" w14:textId="77777777" w:rsidR="0046798B" w:rsidRDefault="0046798B">
            <w:pPr>
              <w:pStyle w:val="TableParagraph"/>
            </w:pPr>
          </w:p>
          <w:p w14:paraId="2EA6ECBD" w14:textId="77777777" w:rsidR="0046798B" w:rsidRDefault="0046798B">
            <w:pPr>
              <w:pStyle w:val="TableParagraph"/>
            </w:pPr>
          </w:p>
          <w:p w14:paraId="54D4CF53" w14:textId="77777777" w:rsidR="0046798B" w:rsidRDefault="0046798B">
            <w:pPr>
              <w:pStyle w:val="TableParagraph"/>
            </w:pPr>
          </w:p>
          <w:p w14:paraId="032273A1" w14:textId="77777777" w:rsidR="0046798B" w:rsidRDefault="0046798B">
            <w:pPr>
              <w:pStyle w:val="TableParagraph"/>
            </w:pPr>
          </w:p>
          <w:p w14:paraId="5BBA9E1C" w14:textId="77777777" w:rsidR="0046798B" w:rsidRDefault="00903B5C">
            <w:pPr>
              <w:pStyle w:val="TableParagraph"/>
              <w:spacing w:before="176"/>
              <w:ind w:left="115"/>
              <w:rPr>
                <w:b/>
                <w:sz w:val="20"/>
              </w:rPr>
            </w:pPr>
            <w:r>
              <w:rPr>
                <w:b/>
                <w:sz w:val="20"/>
              </w:rPr>
              <w:t>bchild</w:t>
            </w:r>
          </w:p>
        </w:tc>
        <w:tc>
          <w:tcPr>
            <w:tcW w:w="1596" w:type="dxa"/>
          </w:tcPr>
          <w:p w14:paraId="215081FA" w14:textId="77777777" w:rsidR="0046798B" w:rsidRDefault="0046798B">
            <w:pPr>
              <w:pStyle w:val="TableParagraph"/>
            </w:pPr>
          </w:p>
          <w:p w14:paraId="28970A38" w14:textId="77777777" w:rsidR="0046798B" w:rsidRDefault="0046798B">
            <w:pPr>
              <w:pStyle w:val="TableParagraph"/>
            </w:pPr>
          </w:p>
          <w:p w14:paraId="456FDB3D" w14:textId="77777777" w:rsidR="0046798B" w:rsidRDefault="0046798B">
            <w:pPr>
              <w:pStyle w:val="TableParagraph"/>
            </w:pPr>
          </w:p>
          <w:p w14:paraId="6F3A8547" w14:textId="77777777" w:rsidR="0046798B" w:rsidRDefault="0046798B">
            <w:pPr>
              <w:pStyle w:val="TableParagraph"/>
              <w:spacing w:before="4"/>
              <w:rPr>
                <w:sz w:val="27"/>
              </w:rPr>
            </w:pPr>
          </w:p>
          <w:p w14:paraId="3317F7FE" w14:textId="77777777" w:rsidR="0046798B" w:rsidRDefault="00903B5C">
            <w:pPr>
              <w:pStyle w:val="TableParagraph"/>
              <w:ind w:left="114" w:right="180"/>
              <w:rPr>
                <w:sz w:val="20"/>
              </w:rPr>
            </w:pPr>
            <w:r>
              <w:rPr>
                <w:sz w:val="20"/>
              </w:rPr>
              <w:t>Child access prevention laws</w:t>
            </w:r>
          </w:p>
        </w:tc>
        <w:tc>
          <w:tcPr>
            <w:tcW w:w="1285" w:type="dxa"/>
          </w:tcPr>
          <w:p w14:paraId="3991A736" w14:textId="77777777" w:rsidR="0046798B" w:rsidRDefault="0046798B">
            <w:pPr>
              <w:pStyle w:val="TableParagraph"/>
            </w:pPr>
          </w:p>
          <w:p w14:paraId="23C89797" w14:textId="77777777" w:rsidR="0046798B" w:rsidRDefault="0046798B">
            <w:pPr>
              <w:pStyle w:val="TableParagraph"/>
            </w:pPr>
          </w:p>
          <w:p w14:paraId="616C2E95" w14:textId="77777777" w:rsidR="0046798B" w:rsidRDefault="0046798B">
            <w:pPr>
              <w:pStyle w:val="TableParagraph"/>
            </w:pPr>
          </w:p>
          <w:p w14:paraId="0E43E2D9" w14:textId="77777777" w:rsidR="0046798B" w:rsidRDefault="0046798B">
            <w:pPr>
              <w:pStyle w:val="TableParagraph"/>
            </w:pPr>
          </w:p>
          <w:p w14:paraId="5D6254B4" w14:textId="77777777" w:rsidR="0046798B" w:rsidRDefault="00903B5C">
            <w:pPr>
              <w:pStyle w:val="TableParagraph"/>
              <w:spacing w:before="176"/>
              <w:ind w:left="114"/>
              <w:rPr>
                <w:sz w:val="20"/>
              </w:rPr>
            </w:pPr>
            <w:r>
              <w:rPr>
                <w:sz w:val="20"/>
              </w:rPr>
              <w:t>2006–2014</w:t>
            </w:r>
          </w:p>
        </w:tc>
        <w:tc>
          <w:tcPr>
            <w:tcW w:w="3421" w:type="dxa"/>
          </w:tcPr>
          <w:p w14:paraId="20586E3C" w14:textId="77777777" w:rsidR="0046798B" w:rsidRDefault="00903B5C">
            <w:pPr>
              <w:pStyle w:val="TableParagraph"/>
              <w:spacing w:before="38"/>
              <w:ind w:left="114" w:right="117"/>
              <w:rPr>
                <w:sz w:val="20"/>
              </w:rPr>
            </w:pPr>
            <w:r>
              <w:rPr>
                <w:sz w:val="20"/>
              </w:rPr>
              <w:t>Child access prevention laws? (0 = none, 1 = criminal liability if access provided knowingly, intentionally, or recklessly/child must use gun, 2 = criminal liability if child actually gains access, 3 = criminal liability if child may gain access)</w:t>
            </w:r>
          </w:p>
          <w:p w14:paraId="7B89BC66" w14:textId="77777777" w:rsidR="0046798B" w:rsidRDefault="0046798B">
            <w:pPr>
              <w:pStyle w:val="TableParagraph"/>
              <w:spacing w:before="1"/>
              <w:rPr>
                <w:sz w:val="20"/>
              </w:rPr>
            </w:pPr>
          </w:p>
          <w:p w14:paraId="6E0D95A1" w14:textId="77777777" w:rsidR="0046798B" w:rsidRDefault="00903B5C">
            <w:pPr>
              <w:pStyle w:val="TableParagraph"/>
              <w:ind w:left="114" w:right="121"/>
              <w:rPr>
                <w:sz w:val="20"/>
              </w:rPr>
            </w:pPr>
            <w:r>
              <w:rPr>
                <w:sz w:val="20"/>
              </w:rPr>
              <w:t>Note: multiplied by 0.5 if local only, multiplied by 0.5 if gun must be loaded and/or a handgun for liability to attach</w:t>
            </w:r>
          </w:p>
        </w:tc>
        <w:tc>
          <w:tcPr>
            <w:tcW w:w="6482" w:type="dxa"/>
          </w:tcPr>
          <w:p w14:paraId="1A323601" w14:textId="77777777" w:rsidR="0046798B" w:rsidRDefault="0046798B">
            <w:pPr>
              <w:pStyle w:val="TableParagraph"/>
            </w:pPr>
          </w:p>
          <w:p w14:paraId="134E893A" w14:textId="77777777" w:rsidR="0046798B" w:rsidRDefault="0046798B">
            <w:pPr>
              <w:pStyle w:val="TableParagraph"/>
            </w:pPr>
          </w:p>
          <w:p w14:paraId="46F326C6" w14:textId="77777777" w:rsidR="0046798B" w:rsidRDefault="0046798B">
            <w:pPr>
              <w:pStyle w:val="TableParagraph"/>
            </w:pPr>
          </w:p>
          <w:p w14:paraId="79235650" w14:textId="77777777" w:rsidR="0046798B" w:rsidRDefault="0046798B">
            <w:pPr>
              <w:pStyle w:val="TableParagraph"/>
              <w:spacing w:before="4"/>
              <w:rPr>
                <w:sz w:val="17"/>
              </w:rPr>
            </w:pPr>
          </w:p>
          <w:p w14:paraId="5BB339D7"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39B48D7" w14:textId="77777777">
        <w:trPr>
          <w:trHeight w:val="1465"/>
        </w:trPr>
        <w:tc>
          <w:tcPr>
            <w:tcW w:w="1711" w:type="dxa"/>
          </w:tcPr>
          <w:p w14:paraId="04D16D59" w14:textId="77777777" w:rsidR="0046798B" w:rsidRDefault="0046798B">
            <w:pPr>
              <w:pStyle w:val="TableParagraph"/>
            </w:pPr>
          </w:p>
          <w:p w14:paraId="715C9013" w14:textId="77777777" w:rsidR="0046798B" w:rsidRDefault="0046798B">
            <w:pPr>
              <w:pStyle w:val="TableParagraph"/>
              <w:spacing w:before="4"/>
              <w:rPr>
                <w:sz w:val="31"/>
              </w:rPr>
            </w:pPr>
          </w:p>
          <w:p w14:paraId="07101135" w14:textId="77777777" w:rsidR="0046798B" w:rsidRDefault="00903B5C">
            <w:pPr>
              <w:pStyle w:val="TableParagraph"/>
              <w:ind w:left="115"/>
              <w:rPr>
                <w:b/>
                <w:sz w:val="20"/>
              </w:rPr>
            </w:pPr>
            <w:r>
              <w:rPr>
                <w:b/>
                <w:sz w:val="20"/>
              </w:rPr>
              <w:t>bconst</w:t>
            </w:r>
          </w:p>
        </w:tc>
        <w:tc>
          <w:tcPr>
            <w:tcW w:w="1596" w:type="dxa"/>
          </w:tcPr>
          <w:p w14:paraId="0E70CBBD" w14:textId="77777777" w:rsidR="0046798B" w:rsidRDefault="00903B5C">
            <w:pPr>
              <w:pStyle w:val="TableParagraph"/>
              <w:spacing w:before="38"/>
              <w:ind w:left="114" w:right="135"/>
              <w:rPr>
                <w:sz w:val="20"/>
              </w:rPr>
            </w:pPr>
            <w:r>
              <w:rPr>
                <w:sz w:val="20"/>
              </w:rPr>
              <w:t>State constitution contains individual right to keep and bear arms</w:t>
            </w:r>
          </w:p>
        </w:tc>
        <w:tc>
          <w:tcPr>
            <w:tcW w:w="1285" w:type="dxa"/>
          </w:tcPr>
          <w:p w14:paraId="1844CEF4" w14:textId="77777777" w:rsidR="0046798B" w:rsidRDefault="0046798B">
            <w:pPr>
              <w:pStyle w:val="TableParagraph"/>
            </w:pPr>
          </w:p>
          <w:p w14:paraId="22C43072" w14:textId="77777777" w:rsidR="0046798B" w:rsidRDefault="0046798B">
            <w:pPr>
              <w:pStyle w:val="TableParagraph"/>
              <w:spacing w:before="4"/>
              <w:rPr>
                <w:sz w:val="31"/>
              </w:rPr>
            </w:pPr>
          </w:p>
          <w:p w14:paraId="5B835C08" w14:textId="77777777" w:rsidR="0046798B" w:rsidRDefault="00903B5C">
            <w:pPr>
              <w:pStyle w:val="TableParagraph"/>
              <w:ind w:left="114"/>
              <w:rPr>
                <w:sz w:val="20"/>
              </w:rPr>
            </w:pPr>
            <w:r>
              <w:rPr>
                <w:sz w:val="20"/>
              </w:rPr>
              <w:t>1986–2016</w:t>
            </w:r>
          </w:p>
        </w:tc>
        <w:tc>
          <w:tcPr>
            <w:tcW w:w="3421" w:type="dxa"/>
          </w:tcPr>
          <w:p w14:paraId="596E77D8" w14:textId="77777777" w:rsidR="0046798B" w:rsidRDefault="0046798B">
            <w:pPr>
              <w:pStyle w:val="TableParagraph"/>
            </w:pPr>
          </w:p>
          <w:p w14:paraId="7DF88A9B" w14:textId="77777777" w:rsidR="0046798B" w:rsidRDefault="00903B5C">
            <w:pPr>
              <w:pStyle w:val="TableParagraph"/>
              <w:spacing w:before="130"/>
              <w:ind w:left="114" w:right="176"/>
              <w:rPr>
                <w:sz w:val="20"/>
              </w:rPr>
            </w:pPr>
            <w:r>
              <w:rPr>
                <w:sz w:val="20"/>
              </w:rPr>
              <w:t>State constitution contains individual right to keep and bear arms? (0 = no, 1</w:t>
            </w:r>
          </w:p>
          <w:p w14:paraId="42EA6727" w14:textId="77777777" w:rsidR="0046798B" w:rsidRDefault="00903B5C">
            <w:pPr>
              <w:pStyle w:val="TableParagraph"/>
              <w:spacing w:before="1"/>
              <w:ind w:left="114"/>
              <w:rPr>
                <w:sz w:val="20"/>
              </w:rPr>
            </w:pPr>
            <w:r>
              <w:rPr>
                <w:sz w:val="20"/>
              </w:rPr>
              <w:t>= yes)</w:t>
            </w:r>
          </w:p>
        </w:tc>
        <w:tc>
          <w:tcPr>
            <w:tcW w:w="6482" w:type="dxa"/>
          </w:tcPr>
          <w:p w14:paraId="35840CF9" w14:textId="77777777" w:rsidR="0046798B" w:rsidRDefault="0046798B">
            <w:pPr>
              <w:pStyle w:val="TableParagraph"/>
            </w:pPr>
          </w:p>
          <w:p w14:paraId="25F28313" w14:textId="77777777" w:rsidR="0046798B" w:rsidRDefault="00903B5C">
            <w:pPr>
              <w:pStyle w:val="TableParagraph"/>
              <w:spacing w:before="130"/>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99FAF58" w14:textId="77777777">
        <w:trPr>
          <w:trHeight w:val="775"/>
        </w:trPr>
        <w:tc>
          <w:tcPr>
            <w:tcW w:w="1711" w:type="dxa"/>
          </w:tcPr>
          <w:p w14:paraId="5746513F" w14:textId="77777777" w:rsidR="0046798B" w:rsidRDefault="0046798B">
            <w:pPr>
              <w:pStyle w:val="TableParagraph"/>
              <w:spacing w:before="4"/>
              <w:rPr>
                <w:sz w:val="23"/>
              </w:rPr>
            </w:pPr>
          </w:p>
          <w:p w14:paraId="3FA7C25E" w14:textId="77777777" w:rsidR="0046798B" w:rsidRDefault="00903B5C">
            <w:pPr>
              <w:pStyle w:val="TableParagraph"/>
              <w:ind w:left="115"/>
              <w:rPr>
                <w:b/>
                <w:sz w:val="20"/>
              </w:rPr>
            </w:pPr>
            <w:r>
              <w:rPr>
                <w:b/>
                <w:sz w:val="20"/>
              </w:rPr>
              <w:t>bdealer</w:t>
            </w:r>
          </w:p>
        </w:tc>
        <w:tc>
          <w:tcPr>
            <w:tcW w:w="1596" w:type="dxa"/>
          </w:tcPr>
          <w:p w14:paraId="21D859E1" w14:textId="77777777" w:rsidR="0046798B" w:rsidRDefault="00903B5C">
            <w:pPr>
              <w:pStyle w:val="TableParagraph"/>
              <w:spacing w:before="38"/>
              <w:ind w:left="114" w:right="443"/>
              <w:jc w:val="both"/>
              <w:rPr>
                <w:sz w:val="20"/>
              </w:rPr>
            </w:pPr>
            <w:r>
              <w:rPr>
                <w:sz w:val="20"/>
              </w:rPr>
              <w:t>Licensing or regulation of gun dealers</w:t>
            </w:r>
          </w:p>
        </w:tc>
        <w:tc>
          <w:tcPr>
            <w:tcW w:w="1285" w:type="dxa"/>
          </w:tcPr>
          <w:p w14:paraId="03FCDC64" w14:textId="77777777" w:rsidR="0046798B" w:rsidRDefault="0046798B">
            <w:pPr>
              <w:pStyle w:val="TableParagraph"/>
              <w:spacing w:before="4"/>
              <w:rPr>
                <w:sz w:val="23"/>
              </w:rPr>
            </w:pPr>
          </w:p>
          <w:p w14:paraId="169F9F07" w14:textId="77777777" w:rsidR="0046798B" w:rsidRDefault="00903B5C">
            <w:pPr>
              <w:pStyle w:val="TableParagraph"/>
              <w:ind w:left="114"/>
              <w:rPr>
                <w:sz w:val="20"/>
              </w:rPr>
            </w:pPr>
            <w:r>
              <w:rPr>
                <w:sz w:val="20"/>
              </w:rPr>
              <w:t>1986–2016</w:t>
            </w:r>
          </w:p>
        </w:tc>
        <w:tc>
          <w:tcPr>
            <w:tcW w:w="3421" w:type="dxa"/>
          </w:tcPr>
          <w:p w14:paraId="04A499F3" w14:textId="77777777" w:rsidR="0046798B" w:rsidRDefault="00903B5C">
            <w:pPr>
              <w:pStyle w:val="TableParagraph"/>
              <w:spacing w:before="38"/>
              <w:ind w:left="114" w:right="139"/>
              <w:rPr>
                <w:sz w:val="20"/>
              </w:rPr>
            </w:pPr>
            <w:r>
              <w:rPr>
                <w:sz w:val="20"/>
              </w:rPr>
              <w:t>Licensing or regulation of gun dealers? (0 = no, 0.5 = locally or only warning to purchasers, 1 = yes)</w:t>
            </w:r>
          </w:p>
        </w:tc>
        <w:tc>
          <w:tcPr>
            <w:tcW w:w="6482" w:type="dxa"/>
          </w:tcPr>
          <w:p w14:paraId="39B2C0EA" w14:textId="77777777" w:rsidR="0046798B" w:rsidRDefault="00903B5C">
            <w:pPr>
              <w:pStyle w:val="TableParagraph"/>
              <w:spacing w:before="3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25FFEB4" w14:textId="77777777">
        <w:trPr>
          <w:trHeight w:val="775"/>
        </w:trPr>
        <w:tc>
          <w:tcPr>
            <w:tcW w:w="1711" w:type="dxa"/>
          </w:tcPr>
          <w:p w14:paraId="1E1690BF" w14:textId="77777777" w:rsidR="0046798B" w:rsidRDefault="0046798B">
            <w:pPr>
              <w:pStyle w:val="TableParagraph"/>
              <w:spacing w:before="8"/>
              <w:rPr>
                <w:sz w:val="23"/>
              </w:rPr>
            </w:pPr>
          </w:p>
          <w:p w14:paraId="62BBB7B1" w14:textId="77777777" w:rsidR="0046798B" w:rsidRDefault="00903B5C">
            <w:pPr>
              <w:pStyle w:val="TableParagraph"/>
              <w:spacing w:before="1"/>
              <w:ind w:left="115"/>
              <w:rPr>
                <w:b/>
                <w:sz w:val="20"/>
              </w:rPr>
            </w:pPr>
            <w:r>
              <w:rPr>
                <w:b/>
                <w:sz w:val="20"/>
              </w:rPr>
              <w:t>bdesign</w:t>
            </w:r>
          </w:p>
        </w:tc>
        <w:tc>
          <w:tcPr>
            <w:tcW w:w="1596" w:type="dxa"/>
          </w:tcPr>
          <w:p w14:paraId="5682E601" w14:textId="77777777" w:rsidR="0046798B" w:rsidRDefault="00903B5C">
            <w:pPr>
              <w:pStyle w:val="TableParagraph"/>
              <w:spacing w:before="43"/>
              <w:ind w:left="114" w:right="357"/>
              <w:rPr>
                <w:sz w:val="20"/>
              </w:rPr>
            </w:pPr>
            <w:r>
              <w:rPr>
                <w:sz w:val="20"/>
              </w:rPr>
              <w:t>Design safety standards for handguns</w:t>
            </w:r>
          </w:p>
        </w:tc>
        <w:tc>
          <w:tcPr>
            <w:tcW w:w="1285" w:type="dxa"/>
          </w:tcPr>
          <w:p w14:paraId="76BE92FF" w14:textId="77777777" w:rsidR="0046798B" w:rsidRDefault="0046798B">
            <w:pPr>
              <w:pStyle w:val="TableParagraph"/>
              <w:spacing w:before="8"/>
              <w:rPr>
                <w:sz w:val="23"/>
              </w:rPr>
            </w:pPr>
          </w:p>
          <w:p w14:paraId="081A2A4A" w14:textId="77777777" w:rsidR="0046798B" w:rsidRDefault="00903B5C">
            <w:pPr>
              <w:pStyle w:val="TableParagraph"/>
              <w:spacing w:before="1"/>
              <w:ind w:left="114"/>
              <w:rPr>
                <w:sz w:val="20"/>
              </w:rPr>
            </w:pPr>
            <w:r>
              <w:rPr>
                <w:sz w:val="20"/>
              </w:rPr>
              <w:t>1986–2016</w:t>
            </w:r>
          </w:p>
        </w:tc>
        <w:tc>
          <w:tcPr>
            <w:tcW w:w="3421" w:type="dxa"/>
          </w:tcPr>
          <w:p w14:paraId="6ED510DA" w14:textId="77777777" w:rsidR="0046798B" w:rsidRDefault="00903B5C">
            <w:pPr>
              <w:pStyle w:val="TableParagraph"/>
              <w:spacing w:before="43"/>
              <w:ind w:left="114" w:right="277"/>
              <w:rPr>
                <w:sz w:val="20"/>
              </w:rPr>
            </w:pPr>
            <w:r>
              <w:rPr>
                <w:sz w:val="20"/>
              </w:rPr>
              <w:t>Design safety standards for handguns (“Saturday night special” ban)? (0 = no, 1 = yes)</w:t>
            </w:r>
          </w:p>
        </w:tc>
        <w:tc>
          <w:tcPr>
            <w:tcW w:w="6482" w:type="dxa"/>
          </w:tcPr>
          <w:p w14:paraId="7EF46F55" w14:textId="77777777" w:rsidR="0046798B" w:rsidRDefault="00903B5C">
            <w:pPr>
              <w:pStyle w:val="TableParagraph"/>
              <w:spacing w:before="4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37BAE561" w14:textId="77777777" w:rsidR="0046798B" w:rsidRDefault="0046798B">
      <w:pPr>
        <w:rPr>
          <w:sz w:val="20"/>
        </w:rPr>
        <w:sectPr w:rsidR="0046798B">
          <w:pgSz w:w="15840" w:h="12240" w:orient="landscape"/>
          <w:pgMar w:top="1220" w:right="300" w:bottom="980" w:left="820" w:header="730" w:footer="787" w:gutter="0"/>
          <w:cols w:space="720"/>
        </w:sectPr>
      </w:pPr>
    </w:p>
    <w:p w14:paraId="17FE979B"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7CD37674" w14:textId="77777777">
        <w:trPr>
          <w:trHeight w:val="1235"/>
        </w:trPr>
        <w:tc>
          <w:tcPr>
            <w:tcW w:w="1711" w:type="dxa"/>
          </w:tcPr>
          <w:p w14:paraId="1D0AC5DD" w14:textId="77777777" w:rsidR="0046798B" w:rsidRDefault="0046798B">
            <w:pPr>
              <w:pStyle w:val="TableParagraph"/>
            </w:pPr>
          </w:p>
          <w:p w14:paraId="41557DBC" w14:textId="77777777" w:rsidR="0046798B" w:rsidRDefault="0046798B">
            <w:pPr>
              <w:pStyle w:val="TableParagraph"/>
              <w:spacing w:before="9"/>
              <w:rPr>
                <w:sz w:val="21"/>
              </w:rPr>
            </w:pPr>
          </w:p>
          <w:p w14:paraId="07C575F5" w14:textId="77777777" w:rsidR="0046798B" w:rsidRDefault="00903B5C">
            <w:pPr>
              <w:pStyle w:val="TableParagraph"/>
              <w:ind w:left="115"/>
              <w:rPr>
                <w:b/>
                <w:sz w:val="20"/>
              </w:rPr>
            </w:pPr>
            <w:r>
              <w:rPr>
                <w:b/>
                <w:sz w:val="20"/>
              </w:rPr>
              <w:t>bdtr</w:t>
            </w:r>
          </w:p>
        </w:tc>
        <w:tc>
          <w:tcPr>
            <w:tcW w:w="1596" w:type="dxa"/>
          </w:tcPr>
          <w:p w14:paraId="3D4AF79E" w14:textId="77777777" w:rsidR="0046798B" w:rsidRDefault="00903B5C">
            <w:pPr>
              <w:pStyle w:val="TableParagraph"/>
              <w:spacing w:before="43"/>
              <w:ind w:left="114" w:right="213"/>
              <w:rPr>
                <w:sz w:val="20"/>
              </w:rPr>
            </w:pPr>
            <w:r>
              <w:rPr>
                <w:sz w:val="20"/>
              </w:rPr>
              <w:t>Law specifying no duty to retreat before using deadly force?</w:t>
            </w:r>
          </w:p>
        </w:tc>
        <w:tc>
          <w:tcPr>
            <w:tcW w:w="1285" w:type="dxa"/>
          </w:tcPr>
          <w:p w14:paraId="000A4A69" w14:textId="77777777" w:rsidR="0046798B" w:rsidRDefault="0046798B">
            <w:pPr>
              <w:pStyle w:val="TableParagraph"/>
            </w:pPr>
          </w:p>
          <w:p w14:paraId="25D541BD" w14:textId="77777777" w:rsidR="0046798B" w:rsidRDefault="0046798B">
            <w:pPr>
              <w:pStyle w:val="TableParagraph"/>
              <w:spacing w:before="9"/>
              <w:rPr>
                <w:sz w:val="21"/>
              </w:rPr>
            </w:pPr>
          </w:p>
          <w:p w14:paraId="0147ADDB" w14:textId="77777777" w:rsidR="0046798B" w:rsidRDefault="00903B5C">
            <w:pPr>
              <w:pStyle w:val="TableParagraph"/>
              <w:ind w:left="114"/>
              <w:rPr>
                <w:sz w:val="20"/>
              </w:rPr>
            </w:pPr>
            <w:r>
              <w:rPr>
                <w:sz w:val="20"/>
              </w:rPr>
              <w:t>1986–2016</w:t>
            </w:r>
          </w:p>
        </w:tc>
        <w:tc>
          <w:tcPr>
            <w:tcW w:w="3421" w:type="dxa"/>
          </w:tcPr>
          <w:p w14:paraId="35E56288" w14:textId="77777777" w:rsidR="0046798B" w:rsidRDefault="00903B5C">
            <w:pPr>
              <w:pStyle w:val="TableParagraph"/>
              <w:spacing w:before="43"/>
              <w:ind w:left="114" w:right="282"/>
              <w:rPr>
                <w:sz w:val="20"/>
              </w:rPr>
            </w:pPr>
            <w:r>
              <w:rPr>
                <w:sz w:val="20"/>
              </w:rPr>
              <w:t>Law specifying no duty to retreat before using deadly force? (0 = none,</w:t>
            </w:r>
          </w:p>
          <w:p w14:paraId="3C01C92F" w14:textId="77777777" w:rsidR="0046798B" w:rsidRDefault="00903B5C">
            <w:pPr>
              <w:pStyle w:val="TableParagraph"/>
              <w:ind w:left="114" w:right="119"/>
              <w:rPr>
                <w:sz w:val="20"/>
              </w:rPr>
            </w:pPr>
            <w:r>
              <w:rPr>
                <w:sz w:val="20"/>
              </w:rPr>
              <w:t>0.5 = only in home (aka castle doctrine), 0.75 = home and vehicle, 1 = yes, applying everywhere)</w:t>
            </w:r>
          </w:p>
        </w:tc>
        <w:tc>
          <w:tcPr>
            <w:tcW w:w="6482" w:type="dxa"/>
          </w:tcPr>
          <w:p w14:paraId="2B8FE3D8" w14:textId="77777777" w:rsidR="0046798B" w:rsidRDefault="0046798B">
            <w:pPr>
              <w:pStyle w:val="TableParagraph"/>
              <w:spacing w:before="9"/>
              <w:rPr>
                <w:sz w:val="23"/>
              </w:rPr>
            </w:pPr>
          </w:p>
          <w:p w14:paraId="4A24B228"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4AE1278" w14:textId="77777777">
        <w:trPr>
          <w:trHeight w:val="775"/>
        </w:trPr>
        <w:tc>
          <w:tcPr>
            <w:tcW w:w="1711" w:type="dxa"/>
          </w:tcPr>
          <w:p w14:paraId="57743CBF" w14:textId="77777777" w:rsidR="0046798B" w:rsidRDefault="0046798B">
            <w:pPr>
              <w:pStyle w:val="TableParagraph"/>
              <w:spacing w:before="9"/>
              <w:rPr>
                <w:sz w:val="23"/>
              </w:rPr>
            </w:pPr>
          </w:p>
          <w:p w14:paraId="214B47ED" w14:textId="77777777" w:rsidR="0046798B" w:rsidRDefault="00903B5C">
            <w:pPr>
              <w:pStyle w:val="TableParagraph"/>
              <w:ind w:left="115"/>
              <w:rPr>
                <w:b/>
                <w:sz w:val="20"/>
              </w:rPr>
            </w:pPr>
            <w:r>
              <w:rPr>
                <w:b/>
                <w:sz w:val="20"/>
              </w:rPr>
              <w:t>bgunban</w:t>
            </w:r>
          </w:p>
        </w:tc>
        <w:tc>
          <w:tcPr>
            <w:tcW w:w="1596" w:type="dxa"/>
          </w:tcPr>
          <w:p w14:paraId="60130F16" w14:textId="77777777" w:rsidR="0046798B" w:rsidRDefault="00903B5C">
            <w:pPr>
              <w:pStyle w:val="TableParagraph"/>
              <w:spacing w:before="158"/>
              <w:ind w:left="114" w:right="102"/>
              <w:rPr>
                <w:sz w:val="20"/>
              </w:rPr>
            </w:pPr>
            <w:r>
              <w:rPr>
                <w:sz w:val="20"/>
              </w:rPr>
              <w:t>Local gun ban in place</w:t>
            </w:r>
          </w:p>
        </w:tc>
        <w:tc>
          <w:tcPr>
            <w:tcW w:w="1285" w:type="dxa"/>
          </w:tcPr>
          <w:p w14:paraId="56369D7A" w14:textId="77777777" w:rsidR="0046798B" w:rsidRDefault="0046798B">
            <w:pPr>
              <w:pStyle w:val="TableParagraph"/>
              <w:spacing w:before="9"/>
              <w:rPr>
                <w:sz w:val="23"/>
              </w:rPr>
            </w:pPr>
          </w:p>
          <w:p w14:paraId="08442D09" w14:textId="77777777" w:rsidR="0046798B" w:rsidRDefault="00903B5C">
            <w:pPr>
              <w:pStyle w:val="TableParagraph"/>
              <w:ind w:left="114"/>
              <w:rPr>
                <w:sz w:val="20"/>
              </w:rPr>
            </w:pPr>
            <w:r>
              <w:rPr>
                <w:sz w:val="20"/>
              </w:rPr>
              <w:t>1986–2016</w:t>
            </w:r>
          </w:p>
        </w:tc>
        <w:tc>
          <w:tcPr>
            <w:tcW w:w="3421" w:type="dxa"/>
          </w:tcPr>
          <w:p w14:paraId="3A807255" w14:textId="77777777" w:rsidR="0046798B" w:rsidRDefault="00903B5C">
            <w:pPr>
              <w:pStyle w:val="TableParagraph"/>
              <w:spacing w:before="158"/>
              <w:ind w:left="114"/>
              <w:rPr>
                <w:sz w:val="20"/>
              </w:rPr>
            </w:pPr>
            <w:r>
              <w:rPr>
                <w:sz w:val="20"/>
              </w:rPr>
              <w:t>Local gun ban in place? (0 = none, 0.5</w:t>
            </w:r>
          </w:p>
          <w:p w14:paraId="6CAF0C54" w14:textId="77777777" w:rsidR="0046798B" w:rsidRDefault="00903B5C">
            <w:pPr>
              <w:pStyle w:val="TableParagraph"/>
              <w:spacing w:before="1"/>
              <w:ind w:left="114"/>
              <w:rPr>
                <w:sz w:val="20"/>
              </w:rPr>
            </w:pPr>
            <w:r>
              <w:rPr>
                <w:sz w:val="20"/>
              </w:rPr>
              <w:t>= sale only, 1 = sale and possession)</w:t>
            </w:r>
          </w:p>
        </w:tc>
        <w:tc>
          <w:tcPr>
            <w:tcW w:w="6482" w:type="dxa"/>
          </w:tcPr>
          <w:p w14:paraId="1278F079" w14:textId="77777777" w:rsidR="0046798B" w:rsidRDefault="00903B5C">
            <w:pPr>
              <w:pStyle w:val="TableParagraph"/>
              <w:spacing w:before="4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7CD080E" w14:textId="77777777">
        <w:trPr>
          <w:trHeight w:val="780"/>
        </w:trPr>
        <w:tc>
          <w:tcPr>
            <w:tcW w:w="1711" w:type="dxa"/>
          </w:tcPr>
          <w:p w14:paraId="65076E7E" w14:textId="77777777" w:rsidR="0046798B" w:rsidRDefault="0046798B">
            <w:pPr>
              <w:pStyle w:val="TableParagraph"/>
              <w:spacing w:before="8"/>
              <w:rPr>
                <w:sz w:val="23"/>
              </w:rPr>
            </w:pPr>
          </w:p>
          <w:p w14:paraId="6926BD00" w14:textId="77777777" w:rsidR="0046798B" w:rsidRDefault="00903B5C">
            <w:pPr>
              <w:pStyle w:val="TableParagraph"/>
              <w:spacing w:before="1"/>
              <w:ind w:left="115"/>
              <w:rPr>
                <w:b/>
                <w:sz w:val="20"/>
              </w:rPr>
            </w:pPr>
            <w:r>
              <w:rPr>
                <w:b/>
                <w:sz w:val="20"/>
              </w:rPr>
              <w:t>binsp</w:t>
            </w:r>
          </w:p>
        </w:tc>
        <w:tc>
          <w:tcPr>
            <w:tcW w:w="1596" w:type="dxa"/>
          </w:tcPr>
          <w:p w14:paraId="0E2D920E" w14:textId="77777777" w:rsidR="0046798B" w:rsidRDefault="00903B5C">
            <w:pPr>
              <w:pStyle w:val="TableParagraph"/>
              <w:spacing w:before="43"/>
              <w:ind w:left="114" w:right="335"/>
              <w:rPr>
                <w:sz w:val="20"/>
              </w:rPr>
            </w:pPr>
            <w:r>
              <w:rPr>
                <w:sz w:val="20"/>
              </w:rPr>
              <w:t>Police inspections of gun stores</w:t>
            </w:r>
          </w:p>
        </w:tc>
        <w:tc>
          <w:tcPr>
            <w:tcW w:w="1285" w:type="dxa"/>
          </w:tcPr>
          <w:p w14:paraId="0548C987" w14:textId="77777777" w:rsidR="0046798B" w:rsidRDefault="0046798B">
            <w:pPr>
              <w:pStyle w:val="TableParagraph"/>
              <w:spacing w:before="8"/>
              <w:rPr>
                <w:sz w:val="23"/>
              </w:rPr>
            </w:pPr>
          </w:p>
          <w:p w14:paraId="5467FA7C" w14:textId="77777777" w:rsidR="0046798B" w:rsidRDefault="00903B5C">
            <w:pPr>
              <w:pStyle w:val="TableParagraph"/>
              <w:spacing w:before="1"/>
              <w:ind w:left="114"/>
              <w:rPr>
                <w:sz w:val="20"/>
              </w:rPr>
            </w:pPr>
            <w:r>
              <w:rPr>
                <w:sz w:val="20"/>
              </w:rPr>
              <w:t>2000–2010</w:t>
            </w:r>
          </w:p>
        </w:tc>
        <w:tc>
          <w:tcPr>
            <w:tcW w:w="3421" w:type="dxa"/>
          </w:tcPr>
          <w:p w14:paraId="34015AF6" w14:textId="77777777" w:rsidR="0046798B" w:rsidRDefault="00903B5C">
            <w:pPr>
              <w:pStyle w:val="TableParagraph"/>
              <w:spacing w:before="158"/>
              <w:ind w:left="114" w:right="364"/>
              <w:rPr>
                <w:sz w:val="20"/>
              </w:rPr>
            </w:pPr>
            <w:r>
              <w:rPr>
                <w:sz w:val="20"/>
              </w:rPr>
              <w:t>Police inspections of gun stores (0 = none, 0.5 = permitted, 1 = required)</w:t>
            </w:r>
          </w:p>
        </w:tc>
        <w:tc>
          <w:tcPr>
            <w:tcW w:w="6482" w:type="dxa"/>
          </w:tcPr>
          <w:p w14:paraId="330B6922"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65A795B" w14:textId="77777777">
        <w:trPr>
          <w:trHeight w:val="1005"/>
        </w:trPr>
        <w:tc>
          <w:tcPr>
            <w:tcW w:w="1711" w:type="dxa"/>
          </w:tcPr>
          <w:p w14:paraId="6FBADE98" w14:textId="77777777" w:rsidR="0046798B" w:rsidRDefault="0046798B">
            <w:pPr>
              <w:pStyle w:val="TableParagraph"/>
            </w:pPr>
          </w:p>
          <w:p w14:paraId="6EFA616E" w14:textId="77777777" w:rsidR="0046798B" w:rsidRDefault="00903B5C">
            <w:pPr>
              <w:pStyle w:val="TableParagraph"/>
              <w:spacing w:before="130"/>
              <w:ind w:left="115"/>
              <w:rPr>
                <w:b/>
                <w:sz w:val="20"/>
              </w:rPr>
            </w:pPr>
            <w:r>
              <w:rPr>
                <w:b/>
                <w:sz w:val="20"/>
              </w:rPr>
              <w:t>blicens</w:t>
            </w:r>
          </w:p>
        </w:tc>
        <w:tc>
          <w:tcPr>
            <w:tcW w:w="1596" w:type="dxa"/>
          </w:tcPr>
          <w:p w14:paraId="1678AEAD" w14:textId="77777777" w:rsidR="0046798B" w:rsidRDefault="00903B5C">
            <w:pPr>
              <w:pStyle w:val="TableParagraph"/>
              <w:spacing w:before="38"/>
              <w:ind w:left="114" w:right="307"/>
              <w:rPr>
                <w:sz w:val="20"/>
              </w:rPr>
            </w:pPr>
            <w:r>
              <w:rPr>
                <w:sz w:val="20"/>
              </w:rPr>
              <w:t>Licensing or permitting of gun owners or purchasers</w:t>
            </w:r>
          </w:p>
        </w:tc>
        <w:tc>
          <w:tcPr>
            <w:tcW w:w="1285" w:type="dxa"/>
          </w:tcPr>
          <w:p w14:paraId="2ED1E41D" w14:textId="77777777" w:rsidR="0046798B" w:rsidRDefault="0046798B">
            <w:pPr>
              <w:pStyle w:val="TableParagraph"/>
            </w:pPr>
          </w:p>
          <w:p w14:paraId="4528E807" w14:textId="77777777" w:rsidR="0046798B" w:rsidRDefault="00903B5C">
            <w:pPr>
              <w:pStyle w:val="TableParagraph"/>
              <w:spacing w:before="130"/>
              <w:ind w:left="114"/>
              <w:rPr>
                <w:sz w:val="20"/>
              </w:rPr>
            </w:pPr>
            <w:r>
              <w:rPr>
                <w:sz w:val="20"/>
              </w:rPr>
              <w:t>1986–2016</w:t>
            </w:r>
          </w:p>
        </w:tc>
        <w:tc>
          <w:tcPr>
            <w:tcW w:w="3421" w:type="dxa"/>
          </w:tcPr>
          <w:p w14:paraId="4D5A36EC" w14:textId="77777777" w:rsidR="0046798B" w:rsidRDefault="00903B5C">
            <w:pPr>
              <w:pStyle w:val="TableParagraph"/>
              <w:spacing w:before="38"/>
              <w:ind w:left="114" w:right="157"/>
              <w:rPr>
                <w:sz w:val="20"/>
              </w:rPr>
            </w:pPr>
            <w:r>
              <w:rPr>
                <w:sz w:val="20"/>
              </w:rPr>
              <w:t>Licensing or permitting of gun owners or purchasers? (0 = no, 0.5 = handguns only, 1 = all guns; multiplied by 0.5 if locally only)</w:t>
            </w:r>
          </w:p>
        </w:tc>
        <w:tc>
          <w:tcPr>
            <w:tcW w:w="6482" w:type="dxa"/>
          </w:tcPr>
          <w:p w14:paraId="18F9E888" w14:textId="77777777" w:rsidR="0046798B" w:rsidRDefault="00903B5C">
            <w:pPr>
              <w:pStyle w:val="TableParagraph"/>
              <w:spacing w:before="15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A41CD85" w14:textId="77777777">
        <w:trPr>
          <w:trHeight w:val="1005"/>
        </w:trPr>
        <w:tc>
          <w:tcPr>
            <w:tcW w:w="1711" w:type="dxa"/>
          </w:tcPr>
          <w:p w14:paraId="17EE6AA2" w14:textId="77777777" w:rsidR="0046798B" w:rsidRDefault="0046798B">
            <w:pPr>
              <w:pStyle w:val="TableParagraph"/>
            </w:pPr>
          </w:p>
          <w:p w14:paraId="307D82C6" w14:textId="77777777" w:rsidR="0046798B" w:rsidRDefault="00903B5C">
            <w:pPr>
              <w:pStyle w:val="TableParagraph"/>
              <w:spacing w:before="130"/>
              <w:ind w:left="115"/>
              <w:rPr>
                <w:b/>
                <w:sz w:val="20"/>
              </w:rPr>
            </w:pPr>
            <w:r>
              <w:rPr>
                <w:b/>
                <w:sz w:val="20"/>
              </w:rPr>
              <w:t>blicst</w:t>
            </w:r>
          </w:p>
        </w:tc>
        <w:tc>
          <w:tcPr>
            <w:tcW w:w="1596" w:type="dxa"/>
          </w:tcPr>
          <w:p w14:paraId="5A0EA910" w14:textId="77777777" w:rsidR="0046798B" w:rsidRDefault="00903B5C">
            <w:pPr>
              <w:pStyle w:val="TableParagraph"/>
              <w:spacing w:before="38"/>
              <w:ind w:left="114" w:right="152"/>
              <w:rPr>
                <w:sz w:val="20"/>
              </w:rPr>
            </w:pPr>
            <w:r>
              <w:rPr>
                <w:sz w:val="20"/>
              </w:rPr>
              <w:t>Safety training for licensees/permit ees</w:t>
            </w:r>
          </w:p>
        </w:tc>
        <w:tc>
          <w:tcPr>
            <w:tcW w:w="1285" w:type="dxa"/>
          </w:tcPr>
          <w:p w14:paraId="7F78C16C" w14:textId="77777777" w:rsidR="0046798B" w:rsidRDefault="0046798B">
            <w:pPr>
              <w:pStyle w:val="TableParagraph"/>
            </w:pPr>
          </w:p>
          <w:p w14:paraId="56A13AAD" w14:textId="77777777" w:rsidR="0046798B" w:rsidRDefault="00903B5C">
            <w:pPr>
              <w:pStyle w:val="TableParagraph"/>
              <w:spacing w:before="130"/>
              <w:ind w:left="114"/>
              <w:rPr>
                <w:sz w:val="20"/>
              </w:rPr>
            </w:pPr>
            <w:r>
              <w:rPr>
                <w:sz w:val="20"/>
              </w:rPr>
              <w:t>1986–2016</w:t>
            </w:r>
          </w:p>
        </w:tc>
        <w:tc>
          <w:tcPr>
            <w:tcW w:w="3421" w:type="dxa"/>
          </w:tcPr>
          <w:p w14:paraId="0254F52A" w14:textId="77777777" w:rsidR="0046798B" w:rsidRDefault="00903B5C">
            <w:pPr>
              <w:pStyle w:val="TableParagraph"/>
              <w:spacing w:before="153"/>
              <w:ind w:left="114" w:right="117"/>
              <w:rPr>
                <w:sz w:val="20"/>
              </w:rPr>
            </w:pPr>
            <w:r>
              <w:rPr>
                <w:sz w:val="20"/>
              </w:rPr>
              <w:t>Safety training for licensees/permitees? (0 = no, 0.5 = examination only, 1 = yes)</w:t>
            </w:r>
          </w:p>
        </w:tc>
        <w:tc>
          <w:tcPr>
            <w:tcW w:w="6482" w:type="dxa"/>
          </w:tcPr>
          <w:p w14:paraId="104DF878" w14:textId="77777777" w:rsidR="0046798B" w:rsidRDefault="00903B5C">
            <w:pPr>
              <w:pStyle w:val="TableParagraph"/>
              <w:spacing w:before="15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C112A23" w14:textId="77777777">
        <w:trPr>
          <w:trHeight w:val="775"/>
        </w:trPr>
        <w:tc>
          <w:tcPr>
            <w:tcW w:w="1711" w:type="dxa"/>
          </w:tcPr>
          <w:p w14:paraId="69761B17" w14:textId="77777777" w:rsidR="0046798B" w:rsidRDefault="0046798B">
            <w:pPr>
              <w:pStyle w:val="TableParagraph"/>
              <w:spacing w:before="9"/>
              <w:rPr>
                <w:sz w:val="23"/>
              </w:rPr>
            </w:pPr>
          </w:p>
          <w:p w14:paraId="72FA2EE6" w14:textId="77777777" w:rsidR="0046798B" w:rsidRDefault="00903B5C">
            <w:pPr>
              <w:pStyle w:val="TableParagraph"/>
              <w:ind w:left="115"/>
              <w:rPr>
                <w:b/>
                <w:sz w:val="20"/>
              </w:rPr>
            </w:pPr>
            <w:r>
              <w:rPr>
                <w:b/>
                <w:sz w:val="20"/>
              </w:rPr>
              <w:t>blic</w:t>
            </w:r>
          </w:p>
        </w:tc>
        <w:tc>
          <w:tcPr>
            <w:tcW w:w="1596" w:type="dxa"/>
          </w:tcPr>
          <w:p w14:paraId="02E61CD4" w14:textId="77777777" w:rsidR="0046798B" w:rsidRDefault="0046798B">
            <w:pPr>
              <w:pStyle w:val="TableParagraph"/>
              <w:spacing w:before="9"/>
              <w:rPr>
                <w:sz w:val="23"/>
              </w:rPr>
            </w:pPr>
          </w:p>
          <w:p w14:paraId="50EC9A73" w14:textId="77777777" w:rsidR="0046798B" w:rsidRDefault="00903B5C">
            <w:pPr>
              <w:pStyle w:val="TableParagraph"/>
              <w:ind w:left="114"/>
              <w:rPr>
                <w:sz w:val="20"/>
              </w:rPr>
            </w:pPr>
            <w:r>
              <w:rPr>
                <w:sz w:val="20"/>
              </w:rPr>
              <w:t>Licensing index</w:t>
            </w:r>
          </w:p>
        </w:tc>
        <w:tc>
          <w:tcPr>
            <w:tcW w:w="1285" w:type="dxa"/>
          </w:tcPr>
          <w:p w14:paraId="1FEE18C8" w14:textId="77777777" w:rsidR="0046798B" w:rsidRDefault="0046798B">
            <w:pPr>
              <w:pStyle w:val="TableParagraph"/>
              <w:spacing w:before="9"/>
              <w:rPr>
                <w:sz w:val="23"/>
              </w:rPr>
            </w:pPr>
          </w:p>
          <w:p w14:paraId="0C396376" w14:textId="77777777" w:rsidR="0046798B" w:rsidRDefault="00903B5C">
            <w:pPr>
              <w:pStyle w:val="TableParagraph"/>
              <w:ind w:left="114"/>
              <w:rPr>
                <w:sz w:val="20"/>
              </w:rPr>
            </w:pPr>
            <w:r>
              <w:rPr>
                <w:sz w:val="20"/>
              </w:rPr>
              <w:t>1986–2016</w:t>
            </w:r>
          </w:p>
        </w:tc>
        <w:tc>
          <w:tcPr>
            <w:tcW w:w="3421" w:type="dxa"/>
          </w:tcPr>
          <w:p w14:paraId="10A95F31" w14:textId="77777777" w:rsidR="0046798B" w:rsidRDefault="00903B5C">
            <w:pPr>
              <w:pStyle w:val="TableParagraph"/>
              <w:spacing w:before="43"/>
              <w:ind w:left="114" w:right="111"/>
              <w:rPr>
                <w:sz w:val="20"/>
              </w:rPr>
            </w:pPr>
            <w:r>
              <w:rPr>
                <w:sz w:val="20"/>
              </w:rPr>
              <w:t>Licensing and safety training combined measure</w:t>
            </w:r>
          </w:p>
          <w:p w14:paraId="4CB58C8D" w14:textId="77777777" w:rsidR="0046798B" w:rsidRDefault="00903B5C">
            <w:pPr>
              <w:pStyle w:val="TableParagraph"/>
              <w:spacing w:before="1"/>
              <w:ind w:left="164"/>
              <w:rPr>
                <w:sz w:val="20"/>
              </w:rPr>
            </w:pPr>
            <w:r>
              <w:rPr>
                <w:sz w:val="20"/>
              </w:rPr>
              <w:t>= blicens * (blicst + 1)</w:t>
            </w:r>
          </w:p>
        </w:tc>
        <w:tc>
          <w:tcPr>
            <w:tcW w:w="6482" w:type="dxa"/>
          </w:tcPr>
          <w:p w14:paraId="6BDDEE70"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CBC7638" w14:textId="77777777">
        <w:trPr>
          <w:trHeight w:val="1005"/>
        </w:trPr>
        <w:tc>
          <w:tcPr>
            <w:tcW w:w="1711" w:type="dxa"/>
          </w:tcPr>
          <w:p w14:paraId="798A4678" w14:textId="77777777" w:rsidR="0046798B" w:rsidRDefault="0046798B">
            <w:pPr>
              <w:pStyle w:val="TableParagraph"/>
            </w:pPr>
          </w:p>
          <w:p w14:paraId="48BE6DEB" w14:textId="77777777" w:rsidR="0046798B" w:rsidRDefault="00903B5C">
            <w:pPr>
              <w:pStyle w:val="TableParagraph"/>
              <w:spacing w:before="135"/>
              <w:ind w:left="115"/>
              <w:rPr>
                <w:b/>
                <w:sz w:val="20"/>
              </w:rPr>
            </w:pPr>
            <w:r>
              <w:rPr>
                <w:b/>
                <w:sz w:val="20"/>
              </w:rPr>
              <w:t>blocks</w:t>
            </w:r>
          </w:p>
        </w:tc>
        <w:tc>
          <w:tcPr>
            <w:tcW w:w="1596" w:type="dxa"/>
          </w:tcPr>
          <w:p w14:paraId="4C8BA1D1" w14:textId="77777777" w:rsidR="0046798B" w:rsidRDefault="0046798B">
            <w:pPr>
              <w:pStyle w:val="TableParagraph"/>
              <w:spacing w:before="8"/>
              <w:rPr>
                <w:sz w:val="23"/>
              </w:rPr>
            </w:pPr>
          </w:p>
          <w:p w14:paraId="23CBB9C7" w14:textId="77777777" w:rsidR="0046798B" w:rsidRDefault="00903B5C">
            <w:pPr>
              <w:pStyle w:val="TableParagraph"/>
              <w:spacing w:before="1"/>
              <w:ind w:left="114" w:right="135"/>
              <w:rPr>
                <w:sz w:val="20"/>
              </w:rPr>
            </w:pPr>
            <w:r>
              <w:rPr>
                <w:sz w:val="20"/>
              </w:rPr>
              <w:t>Built-in locking devices required</w:t>
            </w:r>
          </w:p>
        </w:tc>
        <w:tc>
          <w:tcPr>
            <w:tcW w:w="1285" w:type="dxa"/>
          </w:tcPr>
          <w:p w14:paraId="59A2BB84" w14:textId="77777777" w:rsidR="0046798B" w:rsidRDefault="0046798B">
            <w:pPr>
              <w:pStyle w:val="TableParagraph"/>
            </w:pPr>
          </w:p>
          <w:p w14:paraId="5300A7F2" w14:textId="77777777" w:rsidR="0046798B" w:rsidRDefault="00903B5C">
            <w:pPr>
              <w:pStyle w:val="TableParagraph"/>
              <w:spacing w:before="135"/>
              <w:ind w:left="114"/>
              <w:rPr>
                <w:sz w:val="20"/>
              </w:rPr>
            </w:pPr>
            <w:r>
              <w:rPr>
                <w:sz w:val="20"/>
              </w:rPr>
              <w:t>1986–2016</w:t>
            </w:r>
          </w:p>
        </w:tc>
        <w:tc>
          <w:tcPr>
            <w:tcW w:w="3421" w:type="dxa"/>
          </w:tcPr>
          <w:p w14:paraId="5B37C574" w14:textId="77777777" w:rsidR="0046798B" w:rsidRDefault="00903B5C">
            <w:pPr>
              <w:pStyle w:val="TableParagraph"/>
              <w:spacing w:before="43"/>
              <w:ind w:left="114" w:right="186"/>
              <w:jc w:val="both"/>
              <w:rPr>
                <w:sz w:val="20"/>
              </w:rPr>
            </w:pPr>
            <w:r>
              <w:rPr>
                <w:sz w:val="20"/>
              </w:rPr>
              <w:t>Built-in locking devices required? (0 = no, 1 = yes with sale, 2 = yes and must be stored in a locked container or with lock in place)</w:t>
            </w:r>
          </w:p>
        </w:tc>
        <w:tc>
          <w:tcPr>
            <w:tcW w:w="6482" w:type="dxa"/>
          </w:tcPr>
          <w:p w14:paraId="059EEB7B" w14:textId="77777777" w:rsidR="0046798B" w:rsidRDefault="00903B5C">
            <w:pPr>
              <w:pStyle w:val="TableParagraph"/>
              <w:spacing w:before="158"/>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41D1756" w14:textId="77777777">
        <w:trPr>
          <w:trHeight w:val="775"/>
        </w:trPr>
        <w:tc>
          <w:tcPr>
            <w:tcW w:w="1711" w:type="dxa"/>
          </w:tcPr>
          <w:p w14:paraId="25102673" w14:textId="77777777" w:rsidR="0046798B" w:rsidRDefault="0046798B">
            <w:pPr>
              <w:pStyle w:val="TableParagraph"/>
              <w:spacing w:before="8"/>
              <w:rPr>
                <w:sz w:val="23"/>
              </w:rPr>
            </w:pPr>
          </w:p>
          <w:p w14:paraId="779FD706" w14:textId="77777777" w:rsidR="0046798B" w:rsidRDefault="00903B5C">
            <w:pPr>
              <w:pStyle w:val="TableParagraph"/>
              <w:spacing w:before="1"/>
              <w:ind w:left="115"/>
              <w:rPr>
                <w:b/>
                <w:sz w:val="20"/>
              </w:rPr>
            </w:pPr>
            <w:r>
              <w:rPr>
                <w:b/>
                <w:sz w:val="20"/>
              </w:rPr>
              <w:t>bmags</w:t>
            </w:r>
          </w:p>
        </w:tc>
        <w:tc>
          <w:tcPr>
            <w:tcW w:w="1596" w:type="dxa"/>
          </w:tcPr>
          <w:p w14:paraId="4A090BCC" w14:textId="77777777" w:rsidR="0046798B" w:rsidRDefault="00903B5C">
            <w:pPr>
              <w:pStyle w:val="TableParagraph"/>
              <w:spacing w:before="43"/>
              <w:ind w:left="114" w:right="269"/>
              <w:rPr>
                <w:sz w:val="20"/>
              </w:rPr>
            </w:pPr>
            <w:r>
              <w:rPr>
                <w:sz w:val="20"/>
              </w:rPr>
              <w:t>Large capacity ammunition magazines ban</w:t>
            </w:r>
          </w:p>
        </w:tc>
        <w:tc>
          <w:tcPr>
            <w:tcW w:w="1285" w:type="dxa"/>
          </w:tcPr>
          <w:p w14:paraId="58166C72" w14:textId="77777777" w:rsidR="0046798B" w:rsidRDefault="0046798B">
            <w:pPr>
              <w:pStyle w:val="TableParagraph"/>
              <w:spacing w:before="8"/>
              <w:rPr>
                <w:sz w:val="23"/>
              </w:rPr>
            </w:pPr>
          </w:p>
          <w:p w14:paraId="6F4B3B5C" w14:textId="77777777" w:rsidR="0046798B" w:rsidRDefault="00903B5C">
            <w:pPr>
              <w:pStyle w:val="TableParagraph"/>
              <w:spacing w:before="1"/>
              <w:ind w:left="114"/>
              <w:rPr>
                <w:sz w:val="20"/>
              </w:rPr>
            </w:pPr>
            <w:r>
              <w:rPr>
                <w:sz w:val="20"/>
              </w:rPr>
              <w:t>1986–2016</w:t>
            </w:r>
          </w:p>
        </w:tc>
        <w:tc>
          <w:tcPr>
            <w:tcW w:w="3421" w:type="dxa"/>
          </w:tcPr>
          <w:p w14:paraId="3431327B" w14:textId="77777777" w:rsidR="0046798B" w:rsidRDefault="00903B5C">
            <w:pPr>
              <w:pStyle w:val="TableParagraph"/>
              <w:spacing w:before="158"/>
              <w:ind w:left="114" w:right="183"/>
              <w:rPr>
                <w:sz w:val="20"/>
              </w:rPr>
            </w:pPr>
            <w:r>
              <w:rPr>
                <w:sz w:val="20"/>
              </w:rPr>
              <w:t>Large capacity ammunition magazines ban? (0 = no, 0.5 = locally, 1 = yes)</w:t>
            </w:r>
          </w:p>
        </w:tc>
        <w:tc>
          <w:tcPr>
            <w:tcW w:w="6482" w:type="dxa"/>
          </w:tcPr>
          <w:p w14:paraId="5E6A6E7A"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6B25FB4" w14:textId="77777777">
        <w:trPr>
          <w:trHeight w:val="1240"/>
        </w:trPr>
        <w:tc>
          <w:tcPr>
            <w:tcW w:w="1711" w:type="dxa"/>
          </w:tcPr>
          <w:p w14:paraId="5B150FFD" w14:textId="77777777" w:rsidR="0046798B" w:rsidRDefault="0046798B">
            <w:pPr>
              <w:pStyle w:val="TableParagraph"/>
            </w:pPr>
          </w:p>
          <w:p w14:paraId="52133D44" w14:textId="77777777" w:rsidR="0046798B" w:rsidRDefault="0046798B">
            <w:pPr>
              <w:pStyle w:val="TableParagraph"/>
              <w:spacing w:before="9"/>
              <w:rPr>
                <w:sz w:val="21"/>
              </w:rPr>
            </w:pPr>
          </w:p>
          <w:p w14:paraId="47224A2C" w14:textId="77777777" w:rsidR="0046798B" w:rsidRDefault="00903B5C">
            <w:pPr>
              <w:pStyle w:val="TableParagraph"/>
              <w:ind w:left="115"/>
              <w:rPr>
                <w:b/>
                <w:sz w:val="20"/>
              </w:rPr>
            </w:pPr>
            <w:r>
              <w:rPr>
                <w:b/>
                <w:sz w:val="20"/>
              </w:rPr>
              <w:t>bmg</w:t>
            </w:r>
          </w:p>
        </w:tc>
        <w:tc>
          <w:tcPr>
            <w:tcW w:w="1596" w:type="dxa"/>
          </w:tcPr>
          <w:p w14:paraId="0984461D" w14:textId="77777777" w:rsidR="0046798B" w:rsidRDefault="0046798B">
            <w:pPr>
              <w:pStyle w:val="TableParagraph"/>
            </w:pPr>
          </w:p>
          <w:p w14:paraId="32828EFE" w14:textId="77777777" w:rsidR="0046798B" w:rsidRDefault="0046798B">
            <w:pPr>
              <w:pStyle w:val="TableParagraph"/>
              <w:spacing w:before="9"/>
              <w:rPr>
                <w:sz w:val="21"/>
              </w:rPr>
            </w:pPr>
          </w:p>
          <w:p w14:paraId="55B4728D" w14:textId="77777777" w:rsidR="0046798B" w:rsidRDefault="00903B5C">
            <w:pPr>
              <w:pStyle w:val="TableParagraph"/>
              <w:ind w:left="114"/>
              <w:rPr>
                <w:sz w:val="20"/>
              </w:rPr>
            </w:pPr>
            <w:r>
              <w:rPr>
                <w:sz w:val="20"/>
              </w:rPr>
              <w:t>Machine Guns</w:t>
            </w:r>
          </w:p>
        </w:tc>
        <w:tc>
          <w:tcPr>
            <w:tcW w:w="1285" w:type="dxa"/>
          </w:tcPr>
          <w:p w14:paraId="069B619E" w14:textId="77777777" w:rsidR="0046798B" w:rsidRDefault="0046798B">
            <w:pPr>
              <w:pStyle w:val="TableParagraph"/>
            </w:pPr>
          </w:p>
          <w:p w14:paraId="11FCAE70" w14:textId="77777777" w:rsidR="0046798B" w:rsidRDefault="0046798B">
            <w:pPr>
              <w:pStyle w:val="TableParagraph"/>
              <w:spacing w:before="9"/>
              <w:rPr>
                <w:sz w:val="21"/>
              </w:rPr>
            </w:pPr>
          </w:p>
          <w:p w14:paraId="25BCAF78" w14:textId="77777777" w:rsidR="0046798B" w:rsidRDefault="00903B5C">
            <w:pPr>
              <w:pStyle w:val="TableParagraph"/>
              <w:ind w:left="114"/>
              <w:rPr>
                <w:sz w:val="20"/>
              </w:rPr>
            </w:pPr>
            <w:r>
              <w:rPr>
                <w:sz w:val="20"/>
              </w:rPr>
              <w:t>1986–2016</w:t>
            </w:r>
          </w:p>
        </w:tc>
        <w:tc>
          <w:tcPr>
            <w:tcW w:w="3421" w:type="dxa"/>
          </w:tcPr>
          <w:p w14:paraId="52A44B96" w14:textId="77777777" w:rsidR="0046798B" w:rsidRDefault="00903B5C">
            <w:pPr>
              <w:pStyle w:val="TableParagraph"/>
              <w:spacing w:before="43"/>
              <w:ind w:left="114" w:right="115"/>
              <w:rPr>
                <w:sz w:val="20"/>
              </w:rPr>
            </w:pPr>
            <w:r>
              <w:rPr>
                <w:sz w:val="20"/>
              </w:rPr>
              <w:t>Machine guns (0 = prohibited in state law; .5 = not prohibited but regulated at state-local level OR not prohibited in law but virtually prohibited in practice; 1 = not prohibited by state law)</w:t>
            </w:r>
          </w:p>
        </w:tc>
        <w:tc>
          <w:tcPr>
            <w:tcW w:w="6482" w:type="dxa"/>
          </w:tcPr>
          <w:p w14:paraId="03F48DCA" w14:textId="77777777" w:rsidR="0046798B" w:rsidRDefault="0046798B">
            <w:pPr>
              <w:pStyle w:val="TableParagraph"/>
              <w:spacing w:before="9"/>
              <w:rPr>
                <w:sz w:val="23"/>
              </w:rPr>
            </w:pPr>
          </w:p>
          <w:p w14:paraId="57F03F1F"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740E5541" w14:textId="77777777" w:rsidR="0046798B" w:rsidRDefault="0046798B">
      <w:pPr>
        <w:rPr>
          <w:sz w:val="20"/>
        </w:rPr>
        <w:sectPr w:rsidR="0046798B">
          <w:pgSz w:w="15840" w:h="12240" w:orient="landscape"/>
          <w:pgMar w:top="1220" w:right="300" w:bottom="980" w:left="820" w:header="730" w:footer="787" w:gutter="0"/>
          <w:cols w:space="720"/>
        </w:sectPr>
      </w:pPr>
    </w:p>
    <w:p w14:paraId="64E988C9"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6D73B1C3" w14:textId="77777777">
        <w:trPr>
          <w:trHeight w:val="1465"/>
        </w:trPr>
        <w:tc>
          <w:tcPr>
            <w:tcW w:w="1711" w:type="dxa"/>
          </w:tcPr>
          <w:p w14:paraId="6E316FB1" w14:textId="77777777" w:rsidR="0046798B" w:rsidRDefault="0046798B">
            <w:pPr>
              <w:pStyle w:val="TableParagraph"/>
            </w:pPr>
          </w:p>
          <w:p w14:paraId="7996CFFC" w14:textId="77777777" w:rsidR="0046798B" w:rsidRDefault="0046798B">
            <w:pPr>
              <w:pStyle w:val="TableParagraph"/>
              <w:spacing w:before="9"/>
              <w:rPr>
                <w:sz w:val="31"/>
              </w:rPr>
            </w:pPr>
          </w:p>
          <w:p w14:paraId="29B5EBF6" w14:textId="77777777" w:rsidR="0046798B" w:rsidRDefault="00903B5C">
            <w:pPr>
              <w:pStyle w:val="TableParagraph"/>
              <w:ind w:left="115"/>
              <w:rPr>
                <w:b/>
                <w:sz w:val="20"/>
              </w:rPr>
            </w:pPr>
            <w:r>
              <w:rPr>
                <w:b/>
                <w:sz w:val="20"/>
              </w:rPr>
              <w:t>bminage</w:t>
            </w:r>
          </w:p>
        </w:tc>
        <w:tc>
          <w:tcPr>
            <w:tcW w:w="1596" w:type="dxa"/>
          </w:tcPr>
          <w:p w14:paraId="432A081F" w14:textId="77777777" w:rsidR="0046798B" w:rsidRDefault="00903B5C">
            <w:pPr>
              <w:pStyle w:val="TableParagraph"/>
              <w:spacing w:before="43"/>
              <w:ind w:left="114" w:right="135"/>
              <w:rPr>
                <w:sz w:val="20"/>
              </w:rPr>
            </w:pPr>
            <w:r>
              <w:rPr>
                <w:sz w:val="20"/>
              </w:rPr>
              <w:t>Stricter minimum age to purchase or possess firearms than federal standard</w:t>
            </w:r>
          </w:p>
        </w:tc>
        <w:tc>
          <w:tcPr>
            <w:tcW w:w="1285" w:type="dxa"/>
          </w:tcPr>
          <w:p w14:paraId="3E86593D" w14:textId="77777777" w:rsidR="0046798B" w:rsidRDefault="0046798B">
            <w:pPr>
              <w:pStyle w:val="TableParagraph"/>
            </w:pPr>
          </w:p>
          <w:p w14:paraId="431A5A0B" w14:textId="77777777" w:rsidR="0046798B" w:rsidRDefault="0046798B">
            <w:pPr>
              <w:pStyle w:val="TableParagraph"/>
              <w:spacing w:before="9"/>
              <w:rPr>
                <w:sz w:val="31"/>
              </w:rPr>
            </w:pPr>
          </w:p>
          <w:p w14:paraId="64FD2C83" w14:textId="77777777" w:rsidR="0046798B" w:rsidRDefault="00903B5C">
            <w:pPr>
              <w:pStyle w:val="TableParagraph"/>
              <w:ind w:left="114"/>
              <w:rPr>
                <w:sz w:val="20"/>
              </w:rPr>
            </w:pPr>
            <w:r>
              <w:rPr>
                <w:sz w:val="20"/>
              </w:rPr>
              <w:t>1986–2016</w:t>
            </w:r>
          </w:p>
        </w:tc>
        <w:tc>
          <w:tcPr>
            <w:tcW w:w="3421" w:type="dxa"/>
          </w:tcPr>
          <w:p w14:paraId="5FA19998" w14:textId="77777777" w:rsidR="0046798B" w:rsidRDefault="0046798B">
            <w:pPr>
              <w:pStyle w:val="TableParagraph"/>
            </w:pPr>
          </w:p>
          <w:p w14:paraId="558E4DA9" w14:textId="77777777" w:rsidR="0046798B" w:rsidRDefault="00903B5C">
            <w:pPr>
              <w:pStyle w:val="TableParagraph"/>
              <w:spacing w:before="135"/>
              <w:ind w:left="114" w:right="144"/>
              <w:rPr>
                <w:sz w:val="20"/>
              </w:rPr>
            </w:pPr>
            <w:r>
              <w:rPr>
                <w:sz w:val="20"/>
              </w:rPr>
              <w:t>Stricter minimum age to purchase or possess firearms than federal standard? (0 = no, 1 = yes)</w:t>
            </w:r>
          </w:p>
        </w:tc>
        <w:tc>
          <w:tcPr>
            <w:tcW w:w="6482" w:type="dxa"/>
          </w:tcPr>
          <w:p w14:paraId="4F462662" w14:textId="77777777" w:rsidR="0046798B" w:rsidRDefault="0046798B">
            <w:pPr>
              <w:pStyle w:val="TableParagraph"/>
            </w:pPr>
          </w:p>
          <w:p w14:paraId="513B5D36" w14:textId="77777777" w:rsidR="0046798B" w:rsidRDefault="00903B5C">
            <w:pPr>
              <w:pStyle w:val="TableParagraph"/>
              <w:spacing w:before="135"/>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2E41FC4" w14:textId="77777777">
        <w:trPr>
          <w:trHeight w:val="775"/>
        </w:trPr>
        <w:tc>
          <w:tcPr>
            <w:tcW w:w="1711" w:type="dxa"/>
          </w:tcPr>
          <w:p w14:paraId="0A777B2E" w14:textId="77777777" w:rsidR="0046798B" w:rsidRDefault="0046798B">
            <w:pPr>
              <w:pStyle w:val="TableParagraph"/>
              <w:spacing w:before="9"/>
              <w:rPr>
                <w:sz w:val="23"/>
              </w:rPr>
            </w:pPr>
          </w:p>
          <w:p w14:paraId="24BD5892" w14:textId="77777777" w:rsidR="0046798B" w:rsidRDefault="00903B5C">
            <w:pPr>
              <w:pStyle w:val="TableParagraph"/>
              <w:ind w:left="115"/>
              <w:rPr>
                <w:b/>
                <w:sz w:val="20"/>
              </w:rPr>
            </w:pPr>
            <w:r>
              <w:rPr>
                <w:b/>
                <w:sz w:val="20"/>
              </w:rPr>
              <w:t>bmult</w:t>
            </w:r>
          </w:p>
        </w:tc>
        <w:tc>
          <w:tcPr>
            <w:tcW w:w="1596" w:type="dxa"/>
          </w:tcPr>
          <w:p w14:paraId="0EFBB01C" w14:textId="77777777" w:rsidR="0046798B" w:rsidRDefault="00903B5C">
            <w:pPr>
              <w:pStyle w:val="TableParagraph"/>
              <w:spacing w:before="159"/>
              <w:ind w:left="114" w:right="296"/>
              <w:rPr>
                <w:sz w:val="20"/>
              </w:rPr>
            </w:pPr>
            <w:r>
              <w:rPr>
                <w:sz w:val="20"/>
              </w:rPr>
              <w:t>One handgun per month law</w:t>
            </w:r>
          </w:p>
        </w:tc>
        <w:tc>
          <w:tcPr>
            <w:tcW w:w="1285" w:type="dxa"/>
          </w:tcPr>
          <w:p w14:paraId="689FD831" w14:textId="77777777" w:rsidR="0046798B" w:rsidRDefault="0046798B">
            <w:pPr>
              <w:pStyle w:val="TableParagraph"/>
              <w:spacing w:before="9"/>
              <w:rPr>
                <w:sz w:val="23"/>
              </w:rPr>
            </w:pPr>
          </w:p>
          <w:p w14:paraId="5735CE94" w14:textId="77777777" w:rsidR="0046798B" w:rsidRDefault="00903B5C">
            <w:pPr>
              <w:pStyle w:val="TableParagraph"/>
              <w:ind w:left="114"/>
              <w:rPr>
                <w:sz w:val="20"/>
              </w:rPr>
            </w:pPr>
            <w:r>
              <w:rPr>
                <w:sz w:val="20"/>
              </w:rPr>
              <w:t>1986–2016</w:t>
            </w:r>
          </w:p>
        </w:tc>
        <w:tc>
          <w:tcPr>
            <w:tcW w:w="3421" w:type="dxa"/>
          </w:tcPr>
          <w:p w14:paraId="4642EA7E" w14:textId="77777777" w:rsidR="0046798B" w:rsidRDefault="00903B5C">
            <w:pPr>
              <w:pStyle w:val="TableParagraph"/>
              <w:spacing w:before="159"/>
              <w:ind w:left="114" w:right="231"/>
              <w:rPr>
                <w:sz w:val="20"/>
              </w:rPr>
            </w:pPr>
            <w:r>
              <w:rPr>
                <w:sz w:val="20"/>
              </w:rPr>
              <w:t>One handgun per month law? (0 = no, 1 = yes)</w:t>
            </w:r>
          </w:p>
        </w:tc>
        <w:tc>
          <w:tcPr>
            <w:tcW w:w="6482" w:type="dxa"/>
          </w:tcPr>
          <w:p w14:paraId="102ABEBD" w14:textId="77777777" w:rsidR="0046798B" w:rsidRDefault="00903B5C">
            <w:pPr>
              <w:pStyle w:val="TableParagraph"/>
              <w:spacing w:before="44"/>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DF21D77" w14:textId="77777777">
        <w:trPr>
          <w:trHeight w:val="1010"/>
        </w:trPr>
        <w:tc>
          <w:tcPr>
            <w:tcW w:w="1711" w:type="dxa"/>
          </w:tcPr>
          <w:p w14:paraId="14A38A82" w14:textId="77777777" w:rsidR="0046798B" w:rsidRDefault="0046798B">
            <w:pPr>
              <w:pStyle w:val="TableParagraph"/>
            </w:pPr>
          </w:p>
          <w:p w14:paraId="61054AB5" w14:textId="77777777" w:rsidR="0046798B" w:rsidRDefault="00903B5C">
            <w:pPr>
              <w:pStyle w:val="TableParagraph"/>
              <w:spacing w:before="135"/>
              <w:ind w:left="115"/>
              <w:rPr>
                <w:b/>
                <w:sz w:val="20"/>
              </w:rPr>
            </w:pPr>
            <w:r>
              <w:rPr>
                <w:b/>
                <w:sz w:val="20"/>
              </w:rPr>
              <w:t>bnpg</w:t>
            </w:r>
          </w:p>
        </w:tc>
        <w:tc>
          <w:tcPr>
            <w:tcW w:w="1596" w:type="dxa"/>
          </w:tcPr>
          <w:p w14:paraId="230FE569" w14:textId="77777777" w:rsidR="0046798B" w:rsidRDefault="00903B5C">
            <w:pPr>
              <w:pStyle w:val="TableParagraph"/>
              <w:spacing w:before="43"/>
              <w:ind w:left="114" w:right="441"/>
              <w:rPr>
                <w:sz w:val="20"/>
              </w:rPr>
            </w:pPr>
            <w:r>
              <w:rPr>
                <w:sz w:val="20"/>
              </w:rPr>
              <w:t>Non-powder guns use or possession regulated</w:t>
            </w:r>
          </w:p>
        </w:tc>
        <w:tc>
          <w:tcPr>
            <w:tcW w:w="1285" w:type="dxa"/>
          </w:tcPr>
          <w:p w14:paraId="33E0B6F3" w14:textId="77777777" w:rsidR="0046798B" w:rsidRDefault="0046798B">
            <w:pPr>
              <w:pStyle w:val="TableParagraph"/>
            </w:pPr>
          </w:p>
          <w:p w14:paraId="4ED75EE5" w14:textId="77777777" w:rsidR="0046798B" w:rsidRDefault="00903B5C">
            <w:pPr>
              <w:pStyle w:val="TableParagraph"/>
              <w:spacing w:before="135"/>
              <w:ind w:left="114"/>
              <w:rPr>
                <w:sz w:val="20"/>
              </w:rPr>
            </w:pPr>
            <w:r>
              <w:rPr>
                <w:sz w:val="20"/>
              </w:rPr>
              <w:t>2000–2014</w:t>
            </w:r>
          </w:p>
        </w:tc>
        <w:tc>
          <w:tcPr>
            <w:tcW w:w="3421" w:type="dxa"/>
          </w:tcPr>
          <w:p w14:paraId="37605022" w14:textId="77777777" w:rsidR="0046798B" w:rsidRDefault="00903B5C">
            <w:pPr>
              <w:pStyle w:val="TableParagraph"/>
              <w:spacing w:before="158"/>
              <w:ind w:left="114" w:right="332"/>
              <w:jc w:val="both"/>
              <w:rPr>
                <w:sz w:val="20"/>
              </w:rPr>
            </w:pPr>
            <w:r>
              <w:rPr>
                <w:sz w:val="20"/>
              </w:rPr>
              <w:t>Non-powder guns use or possession regulated? (0 = no or just deals with young minors, 0.5 = locally, 1 = yes)</w:t>
            </w:r>
          </w:p>
        </w:tc>
        <w:tc>
          <w:tcPr>
            <w:tcW w:w="6482" w:type="dxa"/>
          </w:tcPr>
          <w:p w14:paraId="04EEF322"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2C1BB2E" w14:textId="77777777">
        <w:trPr>
          <w:trHeight w:val="1235"/>
        </w:trPr>
        <w:tc>
          <w:tcPr>
            <w:tcW w:w="1711" w:type="dxa"/>
          </w:tcPr>
          <w:p w14:paraId="2C614E53" w14:textId="77777777" w:rsidR="0046798B" w:rsidRDefault="0046798B">
            <w:pPr>
              <w:pStyle w:val="TableParagraph"/>
            </w:pPr>
          </w:p>
          <w:p w14:paraId="2C0695CD" w14:textId="77777777" w:rsidR="0046798B" w:rsidRDefault="0046798B">
            <w:pPr>
              <w:pStyle w:val="TableParagraph"/>
              <w:spacing w:before="3"/>
              <w:rPr>
                <w:sz w:val="21"/>
              </w:rPr>
            </w:pPr>
          </w:p>
          <w:p w14:paraId="13ADB689" w14:textId="77777777" w:rsidR="0046798B" w:rsidRDefault="00903B5C">
            <w:pPr>
              <w:pStyle w:val="TableParagraph"/>
              <w:spacing w:before="1"/>
              <w:ind w:left="115"/>
              <w:rPr>
                <w:b/>
                <w:sz w:val="20"/>
              </w:rPr>
            </w:pPr>
            <w:r>
              <w:rPr>
                <w:b/>
                <w:sz w:val="20"/>
              </w:rPr>
              <w:t>boci</w:t>
            </w:r>
          </w:p>
        </w:tc>
        <w:tc>
          <w:tcPr>
            <w:tcW w:w="1596" w:type="dxa"/>
          </w:tcPr>
          <w:p w14:paraId="0A40702D" w14:textId="77777777" w:rsidR="0046798B" w:rsidRDefault="0046798B">
            <w:pPr>
              <w:pStyle w:val="TableParagraph"/>
            </w:pPr>
          </w:p>
          <w:p w14:paraId="651C2FFC" w14:textId="77777777" w:rsidR="0046798B" w:rsidRDefault="00903B5C">
            <w:pPr>
              <w:pStyle w:val="TableParagraph"/>
              <w:spacing w:before="130"/>
              <w:ind w:left="114" w:right="558"/>
              <w:rPr>
                <w:sz w:val="20"/>
              </w:rPr>
            </w:pPr>
            <w:r>
              <w:rPr>
                <w:sz w:val="20"/>
              </w:rPr>
              <w:t>Open carry index</w:t>
            </w:r>
          </w:p>
        </w:tc>
        <w:tc>
          <w:tcPr>
            <w:tcW w:w="1285" w:type="dxa"/>
          </w:tcPr>
          <w:p w14:paraId="0569B4E3" w14:textId="77777777" w:rsidR="0046798B" w:rsidRDefault="0046798B">
            <w:pPr>
              <w:pStyle w:val="TableParagraph"/>
            </w:pPr>
          </w:p>
          <w:p w14:paraId="434D0FE1" w14:textId="77777777" w:rsidR="0046798B" w:rsidRDefault="0046798B">
            <w:pPr>
              <w:pStyle w:val="TableParagraph"/>
              <w:spacing w:before="3"/>
              <w:rPr>
                <w:sz w:val="21"/>
              </w:rPr>
            </w:pPr>
          </w:p>
          <w:p w14:paraId="7E66F30A" w14:textId="77777777" w:rsidR="0046798B" w:rsidRDefault="00903B5C">
            <w:pPr>
              <w:pStyle w:val="TableParagraph"/>
              <w:spacing w:before="1"/>
              <w:ind w:left="114"/>
              <w:rPr>
                <w:sz w:val="20"/>
              </w:rPr>
            </w:pPr>
            <w:r>
              <w:rPr>
                <w:sz w:val="20"/>
              </w:rPr>
              <w:t>1986–2016</w:t>
            </w:r>
          </w:p>
        </w:tc>
        <w:tc>
          <w:tcPr>
            <w:tcW w:w="3421" w:type="dxa"/>
          </w:tcPr>
          <w:p w14:paraId="4E86D1B3" w14:textId="77777777" w:rsidR="0046798B" w:rsidRDefault="00903B5C">
            <w:pPr>
              <w:pStyle w:val="TableParagraph"/>
              <w:spacing w:before="38"/>
              <w:ind w:left="114" w:right="125"/>
              <w:rPr>
                <w:sz w:val="20"/>
              </w:rPr>
            </w:pPr>
            <w:r>
              <w:rPr>
                <w:sz w:val="20"/>
              </w:rPr>
              <w:t xml:space="preserve">Open carry index (see “Carry indices” page for construction: </w:t>
            </w:r>
            <w:hyperlink r:id="rId908">
              <w:r>
                <w:rPr>
                  <w:color w:val="0462C1"/>
                  <w:sz w:val="20"/>
                  <w:u w:val="single" w:color="0462C1"/>
                </w:rPr>
                <w:t>http://www.statepolicyindex.com/wp-</w:t>
              </w:r>
            </w:hyperlink>
            <w:r>
              <w:rPr>
                <w:color w:val="0462C1"/>
                <w:sz w:val="20"/>
              </w:rPr>
              <w:t xml:space="preserve"> </w:t>
            </w:r>
            <w:hyperlink r:id="rId909">
              <w:r>
                <w:rPr>
                  <w:color w:val="0462C1"/>
                  <w:sz w:val="20"/>
                  <w:u w:val="single" w:color="0462C1"/>
                </w:rPr>
                <w:t>content/uploads/2019/06/b_guns_17_m</w:t>
              </w:r>
            </w:hyperlink>
            <w:r>
              <w:rPr>
                <w:color w:val="0462C1"/>
                <w:sz w:val="20"/>
              </w:rPr>
              <w:t xml:space="preserve"> </w:t>
            </w:r>
            <w:hyperlink r:id="rId910">
              <w:r>
                <w:rPr>
                  <w:color w:val="0462C1"/>
                  <w:sz w:val="20"/>
                  <w:u w:val="single" w:color="0462C1"/>
                </w:rPr>
                <w:t>etadata_carry_indices.txt</w:t>
              </w:r>
            </w:hyperlink>
            <w:r>
              <w:rPr>
                <w:sz w:val="20"/>
              </w:rPr>
              <w:t>)</w:t>
            </w:r>
          </w:p>
        </w:tc>
        <w:tc>
          <w:tcPr>
            <w:tcW w:w="6482" w:type="dxa"/>
          </w:tcPr>
          <w:p w14:paraId="25279EAA" w14:textId="77777777" w:rsidR="0046798B" w:rsidRDefault="0046798B">
            <w:pPr>
              <w:pStyle w:val="TableParagraph"/>
              <w:spacing w:before="3"/>
              <w:rPr>
                <w:sz w:val="23"/>
              </w:rPr>
            </w:pPr>
          </w:p>
          <w:p w14:paraId="7BFEA30A"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1B9CE5C" w14:textId="77777777">
        <w:trPr>
          <w:trHeight w:val="775"/>
        </w:trPr>
        <w:tc>
          <w:tcPr>
            <w:tcW w:w="1711" w:type="dxa"/>
          </w:tcPr>
          <w:p w14:paraId="0D36B9FE" w14:textId="77777777" w:rsidR="0046798B" w:rsidRDefault="0046798B">
            <w:pPr>
              <w:pStyle w:val="TableParagraph"/>
              <w:spacing w:before="3"/>
              <w:rPr>
                <w:sz w:val="23"/>
              </w:rPr>
            </w:pPr>
          </w:p>
          <w:p w14:paraId="0789F681" w14:textId="77777777" w:rsidR="0046798B" w:rsidRDefault="00903B5C">
            <w:pPr>
              <w:pStyle w:val="TableParagraph"/>
              <w:spacing w:before="1"/>
              <w:ind w:left="115"/>
              <w:rPr>
                <w:b/>
                <w:sz w:val="20"/>
              </w:rPr>
            </w:pPr>
            <w:r>
              <w:rPr>
                <w:b/>
                <w:sz w:val="20"/>
              </w:rPr>
              <w:t>bopen</w:t>
            </w:r>
          </w:p>
        </w:tc>
        <w:tc>
          <w:tcPr>
            <w:tcW w:w="1596" w:type="dxa"/>
          </w:tcPr>
          <w:p w14:paraId="52C2734D" w14:textId="77777777" w:rsidR="0046798B" w:rsidRDefault="00903B5C">
            <w:pPr>
              <w:pStyle w:val="TableParagraph"/>
              <w:spacing w:before="153"/>
              <w:ind w:left="114" w:right="180"/>
              <w:rPr>
                <w:sz w:val="20"/>
              </w:rPr>
            </w:pPr>
            <w:r>
              <w:rPr>
                <w:sz w:val="20"/>
              </w:rPr>
              <w:t>Open carry of loaded handgun</w:t>
            </w:r>
          </w:p>
        </w:tc>
        <w:tc>
          <w:tcPr>
            <w:tcW w:w="1285" w:type="dxa"/>
          </w:tcPr>
          <w:p w14:paraId="08CE32E8" w14:textId="77777777" w:rsidR="0046798B" w:rsidRDefault="0046798B">
            <w:pPr>
              <w:pStyle w:val="TableParagraph"/>
              <w:spacing w:before="3"/>
              <w:rPr>
                <w:sz w:val="23"/>
              </w:rPr>
            </w:pPr>
          </w:p>
          <w:p w14:paraId="6983B144" w14:textId="77777777" w:rsidR="0046798B" w:rsidRDefault="00903B5C">
            <w:pPr>
              <w:pStyle w:val="TableParagraph"/>
              <w:spacing w:before="1"/>
              <w:ind w:left="114"/>
              <w:rPr>
                <w:sz w:val="20"/>
              </w:rPr>
            </w:pPr>
            <w:r>
              <w:rPr>
                <w:sz w:val="20"/>
              </w:rPr>
              <w:t>1986–2016</w:t>
            </w:r>
          </w:p>
        </w:tc>
        <w:tc>
          <w:tcPr>
            <w:tcW w:w="3421" w:type="dxa"/>
          </w:tcPr>
          <w:p w14:paraId="7C346660" w14:textId="77777777" w:rsidR="0046798B" w:rsidRDefault="00903B5C">
            <w:pPr>
              <w:pStyle w:val="TableParagraph"/>
              <w:spacing w:before="38"/>
              <w:ind w:left="114" w:right="151"/>
              <w:jc w:val="both"/>
              <w:rPr>
                <w:sz w:val="20"/>
              </w:rPr>
            </w:pPr>
            <w:r>
              <w:rPr>
                <w:sz w:val="20"/>
              </w:rPr>
              <w:t>Open carry of loaded handgun (0 = not generally permitted, 1 = permitted with permit, 2 = permitted without permit)</w:t>
            </w:r>
          </w:p>
        </w:tc>
        <w:tc>
          <w:tcPr>
            <w:tcW w:w="6482" w:type="dxa"/>
          </w:tcPr>
          <w:p w14:paraId="01486791" w14:textId="77777777" w:rsidR="0046798B" w:rsidRDefault="00903B5C">
            <w:pPr>
              <w:pStyle w:val="TableParagraph"/>
              <w:spacing w:before="3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C7AAA11" w14:textId="77777777">
        <w:trPr>
          <w:trHeight w:val="775"/>
        </w:trPr>
        <w:tc>
          <w:tcPr>
            <w:tcW w:w="1711" w:type="dxa"/>
          </w:tcPr>
          <w:p w14:paraId="602E9176" w14:textId="77777777" w:rsidR="0046798B" w:rsidRDefault="0046798B">
            <w:pPr>
              <w:pStyle w:val="TableParagraph"/>
              <w:spacing w:before="8"/>
              <w:rPr>
                <w:sz w:val="23"/>
              </w:rPr>
            </w:pPr>
          </w:p>
          <w:p w14:paraId="758F52B3" w14:textId="77777777" w:rsidR="0046798B" w:rsidRDefault="00903B5C">
            <w:pPr>
              <w:pStyle w:val="TableParagraph"/>
              <w:spacing w:before="1"/>
              <w:ind w:left="115"/>
              <w:rPr>
                <w:b/>
                <w:sz w:val="20"/>
              </w:rPr>
            </w:pPr>
            <w:r>
              <w:rPr>
                <w:b/>
                <w:sz w:val="20"/>
              </w:rPr>
              <w:t>botheft</w:t>
            </w:r>
          </w:p>
        </w:tc>
        <w:tc>
          <w:tcPr>
            <w:tcW w:w="1596" w:type="dxa"/>
          </w:tcPr>
          <w:p w14:paraId="1664A061" w14:textId="77777777" w:rsidR="0046798B" w:rsidRDefault="00903B5C">
            <w:pPr>
              <w:pStyle w:val="TableParagraph"/>
              <w:spacing w:before="43"/>
              <w:ind w:left="114" w:right="113"/>
              <w:rPr>
                <w:sz w:val="20"/>
              </w:rPr>
            </w:pPr>
            <w:r>
              <w:rPr>
                <w:sz w:val="20"/>
              </w:rPr>
              <w:t>Owners required to report lost or stolen guns</w:t>
            </w:r>
          </w:p>
        </w:tc>
        <w:tc>
          <w:tcPr>
            <w:tcW w:w="1285" w:type="dxa"/>
          </w:tcPr>
          <w:p w14:paraId="2D696CC0" w14:textId="77777777" w:rsidR="0046798B" w:rsidRDefault="0046798B">
            <w:pPr>
              <w:pStyle w:val="TableParagraph"/>
              <w:spacing w:before="8"/>
              <w:rPr>
                <w:sz w:val="23"/>
              </w:rPr>
            </w:pPr>
          </w:p>
          <w:p w14:paraId="407DCE7A" w14:textId="77777777" w:rsidR="0046798B" w:rsidRDefault="00903B5C">
            <w:pPr>
              <w:pStyle w:val="TableParagraph"/>
              <w:spacing w:before="1"/>
              <w:ind w:left="114"/>
              <w:rPr>
                <w:sz w:val="20"/>
              </w:rPr>
            </w:pPr>
            <w:r>
              <w:rPr>
                <w:sz w:val="20"/>
              </w:rPr>
              <w:t>1986–2016</w:t>
            </w:r>
          </w:p>
        </w:tc>
        <w:tc>
          <w:tcPr>
            <w:tcW w:w="3421" w:type="dxa"/>
          </w:tcPr>
          <w:p w14:paraId="3566F829" w14:textId="77777777" w:rsidR="0046798B" w:rsidRDefault="00903B5C">
            <w:pPr>
              <w:pStyle w:val="TableParagraph"/>
              <w:spacing w:before="158"/>
              <w:ind w:left="114" w:right="122"/>
              <w:rPr>
                <w:sz w:val="20"/>
              </w:rPr>
            </w:pPr>
            <w:r>
              <w:rPr>
                <w:sz w:val="20"/>
              </w:rPr>
              <w:t>Owners required to report lost or stolen guns? (0 = no, 1 = yes)</w:t>
            </w:r>
          </w:p>
        </w:tc>
        <w:tc>
          <w:tcPr>
            <w:tcW w:w="6482" w:type="dxa"/>
          </w:tcPr>
          <w:p w14:paraId="4A4B0E91"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7BD263A" w14:textId="77777777">
        <w:trPr>
          <w:trHeight w:val="2386"/>
        </w:trPr>
        <w:tc>
          <w:tcPr>
            <w:tcW w:w="1711" w:type="dxa"/>
          </w:tcPr>
          <w:p w14:paraId="48DB1C67" w14:textId="77777777" w:rsidR="0046798B" w:rsidRDefault="0046798B">
            <w:pPr>
              <w:pStyle w:val="TableParagraph"/>
            </w:pPr>
          </w:p>
          <w:p w14:paraId="18DD672C" w14:textId="77777777" w:rsidR="0046798B" w:rsidRDefault="0046798B">
            <w:pPr>
              <w:pStyle w:val="TableParagraph"/>
            </w:pPr>
          </w:p>
          <w:p w14:paraId="00CBCEF7" w14:textId="77777777" w:rsidR="0046798B" w:rsidRDefault="0046798B">
            <w:pPr>
              <w:pStyle w:val="TableParagraph"/>
            </w:pPr>
          </w:p>
          <w:p w14:paraId="25CF9440" w14:textId="77777777" w:rsidR="0046798B" w:rsidRDefault="0046798B">
            <w:pPr>
              <w:pStyle w:val="TableParagraph"/>
              <w:spacing w:before="9"/>
              <w:rPr>
                <w:sz w:val="27"/>
              </w:rPr>
            </w:pPr>
          </w:p>
          <w:p w14:paraId="27772FC6" w14:textId="77777777" w:rsidR="0046798B" w:rsidRDefault="00903B5C">
            <w:pPr>
              <w:pStyle w:val="TableParagraph"/>
              <w:ind w:left="115"/>
              <w:rPr>
                <w:b/>
                <w:sz w:val="20"/>
              </w:rPr>
            </w:pPr>
            <w:r>
              <w:rPr>
                <w:b/>
                <w:sz w:val="20"/>
              </w:rPr>
              <w:t>bplaces</w:t>
            </w:r>
          </w:p>
        </w:tc>
        <w:tc>
          <w:tcPr>
            <w:tcW w:w="1596" w:type="dxa"/>
          </w:tcPr>
          <w:p w14:paraId="227079B7" w14:textId="77777777" w:rsidR="0046798B" w:rsidRDefault="00903B5C">
            <w:pPr>
              <w:pStyle w:val="TableParagraph"/>
              <w:spacing w:before="43"/>
              <w:ind w:left="114" w:right="113"/>
              <w:rPr>
                <w:sz w:val="20"/>
              </w:rPr>
            </w:pPr>
            <w:r>
              <w:rPr>
                <w:sz w:val="20"/>
              </w:rPr>
              <w:t>Loaded handgun carry permitted in bars, banks, casinos, hospitals, places of worship, public demonstrations, parks, and athletic events</w:t>
            </w:r>
          </w:p>
        </w:tc>
        <w:tc>
          <w:tcPr>
            <w:tcW w:w="1285" w:type="dxa"/>
          </w:tcPr>
          <w:p w14:paraId="4FFA14D8" w14:textId="77777777" w:rsidR="0046798B" w:rsidRDefault="0046798B">
            <w:pPr>
              <w:pStyle w:val="TableParagraph"/>
            </w:pPr>
          </w:p>
          <w:p w14:paraId="47FE7CDF" w14:textId="77777777" w:rsidR="0046798B" w:rsidRDefault="0046798B">
            <w:pPr>
              <w:pStyle w:val="TableParagraph"/>
            </w:pPr>
          </w:p>
          <w:p w14:paraId="09094371" w14:textId="77777777" w:rsidR="0046798B" w:rsidRDefault="0046798B">
            <w:pPr>
              <w:pStyle w:val="TableParagraph"/>
            </w:pPr>
          </w:p>
          <w:p w14:paraId="436D0404" w14:textId="77777777" w:rsidR="0046798B" w:rsidRDefault="0046798B">
            <w:pPr>
              <w:pStyle w:val="TableParagraph"/>
              <w:spacing w:before="9"/>
              <w:rPr>
                <w:sz w:val="27"/>
              </w:rPr>
            </w:pPr>
          </w:p>
          <w:p w14:paraId="483FEF9C" w14:textId="77777777" w:rsidR="0046798B" w:rsidRDefault="00903B5C">
            <w:pPr>
              <w:pStyle w:val="TableParagraph"/>
              <w:ind w:left="114"/>
              <w:rPr>
                <w:sz w:val="20"/>
              </w:rPr>
            </w:pPr>
            <w:r>
              <w:rPr>
                <w:sz w:val="20"/>
              </w:rPr>
              <w:t>1986–2016</w:t>
            </w:r>
          </w:p>
        </w:tc>
        <w:tc>
          <w:tcPr>
            <w:tcW w:w="3421" w:type="dxa"/>
          </w:tcPr>
          <w:p w14:paraId="57D80B90" w14:textId="77777777" w:rsidR="0046798B" w:rsidRDefault="0046798B">
            <w:pPr>
              <w:pStyle w:val="TableParagraph"/>
            </w:pPr>
          </w:p>
          <w:p w14:paraId="16406FA1" w14:textId="77777777" w:rsidR="0046798B" w:rsidRDefault="0046798B">
            <w:pPr>
              <w:pStyle w:val="TableParagraph"/>
              <w:spacing w:before="9"/>
              <w:rPr>
                <w:sz w:val="31"/>
              </w:rPr>
            </w:pPr>
          </w:p>
          <w:p w14:paraId="41071E93" w14:textId="77777777" w:rsidR="0046798B" w:rsidRDefault="00903B5C">
            <w:pPr>
              <w:pStyle w:val="TableParagraph"/>
              <w:ind w:left="114" w:right="174"/>
              <w:rPr>
                <w:sz w:val="20"/>
              </w:rPr>
            </w:pPr>
            <w:r>
              <w:rPr>
                <w:sz w:val="20"/>
              </w:rPr>
              <w:t>Is loaded handgun carry permitted in bars, banks, casinos, hospitals, places of worship, public demonstrations, parks, and athletic events? (0 = no, 1 = yes)</w:t>
            </w:r>
          </w:p>
        </w:tc>
        <w:tc>
          <w:tcPr>
            <w:tcW w:w="6482" w:type="dxa"/>
          </w:tcPr>
          <w:p w14:paraId="492CB1E3" w14:textId="77777777" w:rsidR="0046798B" w:rsidRDefault="0046798B">
            <w:pPr>
              <w:pStyle w:val="TableParagraph"/>
            </w:pPr>
          </w:p>
          <w:p w14:paraId="52B12C0D" w14:textId="77777777" w:rsidR="0046798B" w:rsidRDefault="0046798B">
            <w:pPr>
              <w:pStyle w:val="TableParagraph"/>
            </w:pPr>
          </w:p>
          <w:p w14:paraId="71F3DFB6" w14:textId="77777777" w:rsidR="0046798B" w:rsidRDefault="0046798B">
            <w:pPr>
              <w:pStyle w:val="TableParagraph"/>
              <w:spacing w:before="9"/>
              <w:rPr>
                <w:sz w:val="29"/>
              </w:rPr>
            </w:pPr>
          </w:p>
          <w:p w14:paraId="33DA4606"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FD89298" w14:textId="77777777">
        <w:trPr>
          <w:trHeight w:val="775"/>
        </w:trPr>
        <w:tc>
          <w:tcPr>
            <w:tcW w:w="1711" w:type="dxa"/>
          </w:tcPr>
          <w:p w14:paraId="0E7054F1" w14:textId="77777777" w:rsidR="0046798B" w:rsidRDefault="0046798B">
            <w:pPr>
              <w:pStyle w:val="TableParagraph"/>
              <w:spacing w:before="8"/>
              <w:rPr>
                <w:sz w:val="23"/>
              </w:rPr>
            </w:pPr>
          </w:p>
          <w:p w14:paraId="06775B2D" w14:textId="77777777" w:rsidR="0046798B" w:rsidRDefault="00903B5C">
            <w:pPr>
              <w:pStyle w:val="TableParagraph"/>
              <w:spacing w:before="1"/>
              <w:ind w:left="115"/>
              <w:rPr>
                <w:b/>
                <w:sz w:val="20"/>
              </w:rPr>
            </w:pPr>
            <w:r>
              <w:rPr>
                <w:b/>
                <w:sz w:val="20"/>
              </w:rPr>
              <w:t>bpriv</w:t>
            </w:r>
          </w:p>
        </w:tc>
        <w:tc>
          <w:tcPr>
            <w:tcW w:w="1596" w:type="dxa"/>
          </w:tcPr>
          <w:p w14:paraId="2BF1749D" w14:textId="77777777" w:rsidR="0046798B" w:rsidRDefault="00903B5C">
            <w:pPr>
              <w:pStyle w:val="TableParagraph"/>
              <w:spacing w:before="158"/>
              <w:ind w:left="114" w:right="191"/>
              <w:rPr>
                <w:sz w:val="20"/>
              </w:rPr>
            </w:pPr>
            <w:r>
              <w:rPr>
                <w:sz w:val="20"/>
              </w:rPr>
              <w:t>Background checks required</w:t>
            </w:r>
          </w:p>
        </w:tc>
        <w:tc>
          <w:tcPr>
            <w:tcW w:w="1285" w:type="dxa"/>
          </w:tcPr>
          <w:p w14:paraId="69136567" w14:textId="77777777" w:rsidR="0046798B" w:rsidRDefault="0046798B">
            <w:pPr>
              <w:pStyle w:val="TableParagraph"/>
              <w:spacing w:before="8"/>
              <w:rPr>
                <w:sz w:val="23"/>
              </w:rPr>
            </w:pPr>
          </w:p>
          <w:p w14:paraId="28260D5E" w14:textId="77777777" w:rsidR="0046798B" w:rsidRDefault="00903B5C">
            <w:pPr>
              <w:pStyle w:val="TableParagraph"/>
              <w:spacing w:before="1"/>
              <w:ind w:left="114"/>
              <w:rPr>
                <w:sz w:val="20"/>
              </w:rPr>
            </w:pPr>
            <w:r>
              <w:rPr>
                <w:sz w:val="20"/>
              </w:rPr>
              <w:t>1986–2016</w:t>
            </w:r>
          </w:p>
        </w:tc>
        <w:tc>
          <w:tcPr>
            <w:tcW w:w="3421" w:type="dxa"/>
          </w:tcPr>
          <w:p w14:paraId="56DB86AB" w14:textId="77777777" w:rsidR="0046798B" w:rsidRDefault="00903B5C">
            <w:pPr>
              <w:pStyle w:val="TableParagraph"/>
              <w:spacing w:before="43"/>
              <w:ind w:left="114" w:right="189"/>
              <w:rPr>
                <w:sz w:val="20"/>
              </w:rPr>
            </w:pPr>
            <w:r>
              <w:rPr>
                <w:sz w:val="20"/>
              </w:rPr>
              <w:t>Background checks required at private sales or gun shows? (0 = no, 0.5 = locally or some firearms, 1 = yes)</w:t>
            </w:r>
          </w:p>
        </w:tc>
        <w:tc>
          <w:tcPr>
            <w:tcW w:w="6482" w:type="dxa"/>
          </w:tcPr>
          <w:p w14:paraId="3ECA3ED0"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627CB3AC" w14:textId="77777777" w:rsidR="0046798B" w:rsidRDefault="0046798B">
      <w:pPr>
        <w:rPr>
          <w:sz w:val="20"/>
        </w:rPr>
        <w:sectPr w:rsidR="0046798B">
          <w:pgSz w:w="15840" w:h="12240" w:orient="landscape"/>
          <w:pgMar w:top="1220" w:right="300" w:bottom="980" w:left="820" w:header="730" w:footer="787" w:gutter="0"/>
          <w:cols w:space="720"/>
        </w:sectPr>
      </w:pPr>
    </w:p>
    <w:p w14:paraId="6505C166"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03A81C1C" w14:textId="77777777">
        <w:trPr>
          <w:trHeight w:val="542"/>
        </w:trPr>
        <w:tc>
          <w:tcPr>
            <w:tcW w:w="1711" w:type="dxa"/>
            <w:tcBorders>
              <w:bottom w:val="dotted" w:sz="6" w:space="0" w:color="BEBEBE"/>
            </w:tcBorders>
          </w:tcPr>
          <w:p w14:paraId="28D93FD2" w14:textId="77777777" w:rsidR="0046798B" w:rsidRDefault="0046798B">
            <w:pPr>
              <w:pStyle w:val="TableParagraph"/>
              <w:rPr>
                <w:sz w:val="20"/>
              </w:rPr>
            </w:pPr>
          </w:p>
        </w:tc>
        <w:tc>
          <w:tcPr>
            <w:tcW w:w="1596" w:type="dxa"/>
            <w:tcBorders>
              <w:bottom w:val="dotted" w:sz="6" w:space="0" w:color="BEBEBE"/>
            </w:tcBorders>
          </w:tcPr>
          <w:p w14:paraId="317225FE" w14:textId="77777777" w:rsidR="0046798B" w:rsidRDefault="00903B5C">
            <w:pPr>
              <w:pStyle w:val="TableParagraph"/>
              <w:spacing w:before="43"/>
              <w:ind w:left="114" w:right="263"/>
              <w:rPr>
                <w:sz w:val="20"/>
              </w:rPr>
            </w:pPr>
            <w:r>
              <w:rPr>
                <w:sz w:val="20"/>
              </w:rPr>
              <w:t>at private sales or gun shows</w:t>
            </w:r>
          </w:p>
        </w:tc>
        <w:tc>
          <w:tcPr>
            <w:tcW w:w="1285" w:type="dxa"/>
            <w:tcBorders>
              <w:bottom w:val="dotted" w:sz="6" w:space="0" w:color="BEBEBE"/>
            </w:tcBorders>
          </w:tcPr>
          <w:p w14:paraId="03285ECA" w14:textId="77777777" w:rsidR="0046798B" w:rsidRDefault="0046798B">
            <w:pPr>
              <w:pStyle w:val="TableParagraph"/>
              <w:rPr>
                <w:sz w:val="20"/>
              </w:rPr>
            </w:pPr>
          </w:p>
        </w:tc>
        <w:tc>
          <w:tcPr>
            <w:tcW w:w="3421" w:type="dxa"/>
            <w:tcBorders>
              <w:bottom w:val="dotted" w:sz="6" w:space="0" w:color="BEBEBE"/>
            </w:tcBorders>
          </w:tcPr>
          <w:p w14:paraId="3EC912DF" w14:textId="77777777" w:rsidR="0046798B" w:rsidRDefault="0046798B">
            <w:pPr>
              <w:pStyle w:val="TableParagraph"/>
              <w:rPr>
                <w:sz w:val="20"/>
              </w:rPr>
            </w:pPr>
          </w:p>
        </w:tc>
        <w:tc>
          <w:tcPr>
            <w:tcW w:w="6482" w:type="dxa"/>
            <w:tcBorders>
              <w:bottom w:val="dotted" w:sz="6" w:space="0" w:color="BEBEBE"/>
            </w:tcBorders>
          </w:tcPr>
          <w:p w14:paraId="42E5C44A" w14:textId="77777777" w:rsidR="0046798B" w:rsidRDefault="0046798B">
            <w:pPr>
              <w:pStyle w:val="TableParagraph"/>
              <w:rPr>
                <w:sz w:val="20"/>
              </w:rPr>
            </w:pPr>
          </w:p>
        </w:tc>
      </w:tr>
      <w:tr w:rsidR="0046798B" w14:paraId="13E488EA" w14:textId="77777777">
        <w:trPr>
          <w:trHeight w:val="1463"/>
        </w:trPr>
        <w:tc>
          <w:tcPr>
            <w:tcW w:w="1711" w:type="dxa"/>
            <w:tcBorders>
              <w:top w:val="dotted" w:sz="6" w:space="0" w:color="BEBEBE"/>
            </w:tcBorders>
          </w:tcPr>
          <w:p w14:paraId="634B0DC0" w14:textId="77777777" w:rsidR="0046798B" w:rsidRDefault="0046798B">
            <w:pPr>
              <w:pStyle w:val="TableParagraph"/>
            </w:pPr>
          </w:p>
          <w:p w14:paraId="515B65B3" w14:textId="77777777" w:rsidR="0046798B" w:rsidRDefault="0046798B">
            <w:pPr>
              <w:pStyle w:val="TableParagraph"/>
              <w:spacing w:before="6"/>
              <w:rPr>
                <w:sz w:val="31"/>
              </w:rPr>
            </w:pPr>
          </w:p>
          <w:p w14:paraId="3A5973E5" w14:textId="77777777" w:rsidR="0046798B" w:rsidRDefault="00903B5C">
            <w:pPr>
              <w:pStyle w:val="TableParagraph"/>
              <w:ind w:left="115"/>
              <w:rPr>
                <w:b/>
                <w:sz w:val="20"/>
              </w:rPr>
            </w:pPr>
            <w:r>
              <w:rPr>
                <w:b/>
                <w:sz w:val="20"/>
              </w:rPr>
              <w:t>bpurge</w:t>
            </w:r>
          </w:p>
        </w:tc>
        <w:tc>
          <w:tcPr>
            <w:tcW w:w="1596" w:type="dxa"/>
            <w:tcBorders>
              <w:top w:val="dotted" w:sz="6" w:space="0" w:color="BEBEBE"/>
            </w:tcBorders>
          </w:tcPr>
          <w:p w14:paraId="14BFF94D" w14:textId="77777777" w:rsidR="0046798B" w:rsidRDefault="00903B5C">
            <w:pPr>
              <w:pStyle w:val="TableParagraph"/>
              <w:spacing w:before="40"/>
              <w:ind w:left="114" w:right="347"/>
              <w:rPr>
                <w:sz w:val="20"/>
              </w:rPr>
            </w:pPr>
            <w:r>
              <w:rPr>
                <w:sz w:val="20"/>
              </w:rPr>
              <w:t>State government required to purge background check records</w:t>
            </w:r>
          </w:p>
        </w:tc>
        <w:tc>
          <w:tcPr>
            <w:tcW w:w="1285" w:type="dxa"/>
            <w:tcBorders>
              <w:top w:val="dotted" w:sz="6" w:space="0" w:color="BEBEBE"/>
            </w:tcBorders>
          </w:tcPr>
          <w:p w14:paraId="23CBC209" w14:textId="77777777" w:rsidR="0046798B" w:rsidRDefault="0046798B">
            <w:pPr>
              <w:pStyle w:val="TableParagraph"/>
            </w:pPr>
          </w:p>
          <w:p w14:paraId="5ADF9C8C" w14:textId="77777777" w:rsidR="0046798B" w:rsidRDefault="0046798B">
            <w:pPr>
              <w:pStyle w:val="TableParagraph"/>
              <w:spacing w:before="6"/>
              <w:rPr>
                <w:sz w:val="31"/>
              </w:rPr>
            </w:pPr>
          </w:p>
          <w:p w14:paraId="4F85996D" w14:textId="77777777" w:rsidR="0046798B" w:rsidRDefault="00903B5C">
            <w:pPr>
              <w:pStyle w:val="TableParagraph"/>
              <w:ind w:left="114"/>
              <w:rPr>
                <w:sz w:val="20"/>
              </w:rPr>
            </w:pPr>
            <w:r>
              <w:rPr>
                <w:sz w:val="20"/>
              </w:rPr>
              <w:t>2000–2014</w:t>
            </w:r>
          </w:p>
        </w:tc>
        <w:tc>
          <w:tcPr>
            <w:tcW w:w="3421" w:type="dxa"/>
            <w:tcBorders>
              <w:top w:val="dotted" w:sz="6" w:space="0" w:color="BEBEBE"/>
            </w:tcBorders>
          </w:tcPr>
          <w:p w14:paraId="535BBA05" w14:textId="77777777" w:rsidR="0046798B" w:rsidRDefault="0046798B">
            <w:pPr>
              <w:pStyle w:val="TableParagraph"/>
              <w:spacing w:before="6"/>
              <w:rPr>
                <w:sz w:val="23"/>
              </w:rPr>
            </w:pPr>
          </w:p>
          <w:p w14:paraId="00FC4057" w14:textId="77777777" w:rsidR="0046798B" w:rsidRDefault="00903B5C">
            <w:pPr>
              <w:pStyle w:val="TableParagraph"/>
              <w:ind w:left="114"/>
              <w:rPr>
                <w:sz w:val="20"/>
              </w:rPr>
            </w:pPr>
            <w:r>
              <w:rPr>
                <w:sz w:val="20"/>
              </w:rPr>
              <w:t>State government required to purge background check records? (0 = no,</w:t>
            </w:r>
            <w:r>
              <w:rPr>
                <w:spacing w:val="2"/>
                <w:sz w:val="20"/>
              </w:rPr>
              <w:t xml:space="preserve"> </w:t>
            </w:r>
            <w:r>
              <w:rPr>
                <w:spacing w:val="-8"/>
                <w:sz w:val="20"/>
              </w:rPr>
              <w:t>.5</w:t>
            </w:r>
          </w:p>
          <w:p w14:paraId="683CFA02" w14:textId="77777777" w:rsidR="0046798B" w:rsidRDefault="00903B5C">
            <w:pPr>
              <w:pStyle w:val="TableParagraph"/>
              <w:ind w:left="114" w:right="205"/>
              <w:rPr>
                <w:sz w:val="20"/>
              </w:rPr>
            </w:pPr>
            <w:r>
              <w:rPr>
                <w:sz w:val="20"/>
              </w:rPr>
              <w:t>= must destroy records of long gun sales but not hand gun sales, 1 =</w:t>
            </w:r>
            <w:r>
              <w:rPr>
                <w:spacing w:val="7"/>
                <w:sz w:val="20"/>
              </w:rPr>
              <w:t xml:space="preserve"> </w:t>
            </w:r>
            <w:r>
              <w:rPr>
                <w:spacing w:val="-6"/>
                <w:sz w:val="20"/>
              </w:rPr>
              <w:t>yes)</w:t>
            </w:r>
          </w:p>
        </w:tc>
        <w:tc>
          <w:tcPr>
            <w:tcW w:w="6482" w:type="dxa"/>
            <w:tcBorders>
              <w:top w:val="dotted" w:sz="6" w:space="0" w:color="BEBEBE"/>
            </w:tcBorders>
          </w:tcPr>
          <w:p w14:paraId="0650059C" w14:textId="77777777" w:rsidR="0046798B" w:rsidRDefault="0046798B">
            <w:pPr>
              <w:pStyle w:val="TableParagraph"/>
            </w:pPr>
          </w:p>
          <w:p w14:paraId="46F3D94F" w14:textId="77777777" w:rsidR="0046798B" w:rsidRDefault="00903B5C">
            <w:pPr>
              <w:pStyle w:val="TableParagraph"/>
              <w:spacing w:before="13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CBD951E" w14:textId="77777777">
        <w:trPr>
          <w:trHeight w:val="780"/>
        </w:trPr>
        <w:tc>
          <w:tcPr>
            <w:tcW w:w="1711" w:type="dxa"/>
          </w:tcPr>
          <w:p w14:paraId="41652AFC" w14:textId="77777777" w:rsidR="0046798B" w:rsidRDefault="0046798B">
            <w:pPr>
              <w:pStyle w:val="TableParagraph"/>
              <w:spacing w:before="8"/>
              <w:rPr>
                <w:sz w:val="23"/>
              </w:rPr>
            </w:pPr>
          </w:p>
          <w:p w14:paraId="612EE54E" w14:textId="77777777" w:rsidR="0046798B" w:rsidRDefault="00903B5C">
            <w:pPr>
              <w:pStyle w:val="TableParagraph"/>
              <w:spacing w:before="1"/>
              <w:ind w:left="115"/>
              <w:rPr>
                <w:b/>
                <w:sz w:val="20"/>
              </w:rPr>
            </w:pPr>
            <w:r>
              <w:rPr>
                <w:b/>
                <w:sz w:val="20"/>
              </w:rPr>
              <w:t>bregis</w:t>
            </w:r>
          </w:p>
        </w:tc>
        <w:tc>
          <w:tcPr>
            <w:tcW w:w="1596" w:type="dxa"/>
          </w:tcPr>
          <w:p w14:paraId="5F1FC06B" w14:textId="77777777" w:rsidR="0046798B" w:rsidRDefault="00903B5C">
            <w:pPr>
              <w:pStyle w:val="TableParagraph"/>
              <w:spacing w:before="158"/>
              <w:ind w:left="114" w:right="257"/>
              <w:rPr>
                <w:sz w:val="20"/>
              </w:rPr>
            </w:pPr>
            <w:r>
              <w:rPr>
                <w:sz w:val="20"/>
              </w:rPr>
              <w:t>Registration of firearms</w:t>
            </w:r>
          </w:p>
        </w:tc>
        <w:tc>
          <w:tcPr>
            <w:tcW w:w="1285" w:type="dxa"/>
          </w:tcPr>
          <w:p w14:paraId="6025B5F7" w14:textId="77777777" w:rsidR="0046798B" w:rsidRDefault="0046798B">
            <w:pPr>
              <w:pStyle w:val="TableParagraph"/>
              <w:spacing w:before="8"/>
              <w:rPr>
                <w:sz w:val="23"/>
              </w:rPr>
            </w:pPr>
          </w:p>
          <w:p w14:paraId="21C2B08E" w14:textId="77777777" w:rsidR="0046798B" w:rsidRDefault="00903B5C">
            <w:pPr>
              <w:pStyle w:val="TableParagraph"/>
              <w:spacing w:before="1"/>
              <w:ind w:left="114"/>
              <w:rPr>
                <w:sz w:val="20"/>
              </w:rPr>
            </w:pPr>
            <w:r>
              <w:rPr>
                <w:sz w:val="20"/>
              </w:rPr>
              <w:t>1986–2016</w:t>
            </w:r>
          </w:p>
        </w:tc>
        <w:tc>
          <w:tcPr>
            <w:tcW w:w="3421" w:type="dxa"/>
          </w:tcPr>
          <w:p w14:paraId="44FBF9AC" w14:textId="77777777" w:rsidR="0046798B" w:rsidRDefault="00903B5C">
            <w:pPr>
              <w:pStyle w:val="TableParagraph"/>
              <w:spacing w:before="43"/>
              <w:ind w:left="114" w:right="135"/>
              <w:rPr>
                <w:sz w:val="20"/>
              </w:rPr>
            </w:pPr>
            <w:r>
              <w:rPr>
                <w:sz w:val="20"/>
              </w:rPr>
              <w:t>Registration of firearms? (0 = no, 0.5 = some firearms, 1 = all firearms; multiplied by 0.5 if locally only)</w:t>
            </w:r>
          </w:p>
        </w:tc>
        <w:tc>
          <w:tcPr>
            <w:tcW w:w="6482" w:type="dxa"/>
          </w:tcPr>
          <w:p w14:paraId="11A61D45" w14:textId="77777777" w:rsidR="0046798B" w:rsidRDefault="00903B5C">
            <w:pPr>
              <w:pStyle w:val="TableParagraph"/>
              <w:spacing w:before="4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2411E5F" w14:textId="77777777">
        <w:trPr>
          <w:trHeight w:val="1005"/>
        </w:trPr>
        <w:tc>
          <w:tcPr>
            <w:tcW w:w="1711" w:type="dxa"/>
          </w:tcPr>
          <w:p w14:paraId="000E6A75" w14:textId="77777777" w:rsidR="0046798B" w:rsidRDefault="0046798B">
            <w:pPr>
              <w:pStyle w:val="TableParagraph"/>
            </w:pPr>
          </w:p>
          <w:p w14:paraId="4416B3B7" w14:textId="77777777" w:rsidR="0046798B" w:rsidRDefault="00903B5C">
            <w:pPr>
              <w:pStyle w:val="TableParagraph"/>
              <w:spacing w:before="130"/>
              <w:ind w:left="115"/>
              <w:rPr>
                <w:b/>
                <w:sz w:val="20"/>
              </w:rPr>
            </w:pPr>
            <w:r>
              <w:rPr>
                <w:b/>
                <w:sz w:val="20"/>
              </w:rPr>
              <w:t>bretent</w:t>
            </w:r>
          </w:p>
        </w:tc>
        <w:tc>
          <w:tcPr>
            <w:tcW w:w="1596" w:type="dxa"/>
          </w:tcPr>
          <w:p w14:paraId="35F94993" w14:textId="77777777" w:rsidR="0046798B" w:rsidRDefault="0046798B">
            <w:pPr>
              <w:pStyle w:val="TableParagraph"/>
              <w:spacing w:before="4"/>
              <w:rPr>
                <w:sz w:val="23"/>
              </w:rPr>
            </w:pPr>
          </w:p>
          <w:p w14:paraId="37886891" w14:textId="77777777" w:rsidR="0046798B" w:rsidRDefault="00903B5C">
            <w:pPr>
              <w:pStyle w:val="TableParagraph"/>
              <w:ind w:left="114" w:right="424"/>
              <w:rPr>
                <w:sz w:val="20"/>
              </w:rPr>
            </w:pPr>
            <w:r>
              <w:rPr>
                <w:sz w:val="20"/>
              </w:rPr>
              <w:t>Retention of sales records</w:t>
            </w:r>
          </w:p>
        </w:tc>
        <w:tc>
          <w:tcPr>
            <w:tcW w:w="1285" w:type="dxa"/>
          </w:tcPr>
          <w:p w14:paraId="07204631" w14:textId="77777777" w:rsidR="0046798B" w:rsidRDefault="0046798B">
            <w:pPr>
              <w:pStyle w:val="TableParagraph"/>
            </w:pPr>
          </w:p>
          <w:p w14:paraId="7C316C29" w14:textId="77777777" w:rsidR="0046798B" w:rsidRDefault="00903B5C">
            <w:pPr>
              <w:pStyle w:val="TableParagraph"/>
              <w:spacing w:before="130"/>
              <w:ind w:left="114"/>
              <w:rPr>
                <w:sz w:val="20"/>
              </w:rPr>
            </w:pPr>
            <w:r>
              <w:rPr>
                <w:sz w:val="20"/>
              </w:rPr>
              <w:t>1986–2016</w:t>
            </w:r>
          </w:p>
        </w:tc>
        <w:tc>
          <w:tcPr>
            <w:tcW w:w="3421" w:type="dxa"/>
          </w:tcPr>
          <w:p w14:paraId="0F0F611A" w14:textId="77777777" w:rsidR="0046798B" w:rsidRDefault="00903B5C">
            <w:pPr>
              <w:pStyle w:val="TableParagraph"/>
              <w:spacing w:before="38"/>
              <w:ind w:left="114" w:right="307"/>
              <w:rPr>
                <w:sz w:val="20"/>
              </w:rPr>
            </w:pPr>
            <w:r>
              <w:rPr>
                <w:sz w:val="20"/>
              </w:rPr>
              <w:t>Retention of sales records? (0 = no requirement, 0.5 = kept by seller, 1 = kept by state; multiplied by 0.5 if locally only)</w:t>
            </w:r>
          </w:p>
        </w:tc>
        <w:tc>
          <w:tcPr>
            <w:tcW w:w="6482" w:type="dxa"/>
          </w:tcPr>
          <w:p w14:paraId="5C0CCDD4" w14:textId="77777777" w:rsidR="0046798B" w:rsidRDefault="00903B5C">
            <w:pPr>
              <w:pStyle w:val="TableParagraph"/>
              <w:spacing w:before="15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B31B5FF" w14:textId="77777777">
        <w:trPr>
          <w:trHeight w:val="775"/>
        </w:trPr>
        <w:tc>
          <w:tcPr>
            <w:tcW w:w="1711" w:type="dxa"/>
          </w:tcPr>
          <w:p w14:paraId="473712FB" w14:textId="77777777" w:rsidR="0046798B" w:rsidRDefault="0046798B">
            <w:pPr>
              <w:pStyle w:val="TableParagraph"/>
              <w:spacing w:before="4"/>
              <w:rPr>
                <w:sz w:val="23"/>
              </w:rPr>
            </w:pPr>
          </w:p>
          <w:p w14:paraId="26DFF363" w14:textId="77777777" w:rsidR="0046798B" w:rsidRDefault="00903B5C">
            <w:pPr>
              <w:pStyle w:val="TableParagraph"/>
              <w:ind w:left="115"/>
              <w:rPr>
                <w:b/>
                <w:sz w:val="20"/>
              </w:rPr>
            </w:pPr>
            <w:r>
              <w:rPr>
                <w:b/>
                <w:sz w:val="20"/>
              </w:rPr>
              <w:t>brifle</w:t>
            </w:r>
          </w:p>
        </w:tc>
        <w:tc>
          <w:tcPr>
            <w:tcW w:w="1596" w:type="dxa"/>
          </w:tcPr>
          <w:p w14:paraId="7888EC63" w14:textId="77777777" w:rsidR="0046798B" w:rsidRDefault="00903B5C">
            <w:pPr>
              <w:pStyle w:val="TableParagraph"/>
              <w:spacing w:before="38"/>
              <w:ind w:left="114" w:right="197"/>
              <w:rPr>
                <w:sz w:val="20"/>
              </w:rPr>
            </w:pPr>
            <w:r>
              <w:rPr>
                <w:sz w:val="20"/>
              </w:rPr>
              <w:t>50 caliber rifles banned or regulated</w:t>
            </w:r>
          </w:p>
        </w:tc>
        <w:tc>
          <w:tcPr>
            <w:tcW w:w="1285" w:type="dxa"/>
          </w:tcPr>
          <w:p w14:paraId="37E1807C" w14:textId="77777777" w:rsidR="0046798B" w:rsidRDefault="0046798B">
            <w:pPr>
              <w:pStyle w:val="TableParagraph"/>
              <w:spacing w:before="4"/>
              <w:rPr>
                <w:sz w:val="23"/>
              </w:rPr>
            </w:pPr>
          </w:p>
          <w:p w14:paraId="610AEBE3" w14:textId="77777777" w:rsidR="0046798B" w:rsidRDefault="00903B5C">
            <w:pPr>
              <w:pStyle w:val="TableParagraph"/>
              <w:ind w:left="114"/>
              <w:rPr>
                <w:sz w:val="20"/>
              </w:rPr>
            </w:pPr>
            <w:r>
              <w:rPr>
                <w:sz w:val="20"/>
              </w:rPr>
              <w:t>1986–2016</w:t>
            </w:r>
          </w:p>
        </w:tc>
        <w:tc>
          <w:tcPr>
            <w:tcW w:w="3421" w:type="dxa"/>
          </w:tcPr>
          <w:p w14:paraId="7B08514E" w14:textId="77777777" w:rsidR="0046798B" w:rsidRDefault="00903B5C">
            <w:pPr>
              <w:pStyle w:val="TableParagraph"/>
              <w:spacing w:before="153"/>
              <w:ind w:left="114" w:right="295"/>
              <w:rPr>
                <w:sz w:val="20"/>
              </w:rPr>
            </w:pPr>
            <w:r>
              <w:rPr>
                <w:sz w:val="20"/>
              </w:rPr>
              <w:t>50 caliber rifles banned or regulated? (0 = no, 0.5 = regulated, 1 = banned)</w:t>
            </w:r>
          </w:p>
        </w:tc>
        <w:tc>
          <w:tcPr>
            <w:tcW w:w="6482" w:type="dxa"/>
          </w:tcPr>
          <w:p w14:paraId="0924287B" w14:textId="77777777" w:rsidR="0046798B" w:rsidRDefault="00903B5C">
            <w:pPr>
              <w:pStyle w:val="TableParagraph"/>
              <w:spacing w:before="3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34395F8" w14:textId="77777777">
        <w:trPr>
          <w:trHeight w:val="1465"/>
        </w:trPr>
        <w:tc>
          <w:tcPr>
            <w:tcW w:w="1711" w:type="dxa"/>
          </w:tcPr>
          <w:p w14:paraId="4D1FE422" w14:textId="77777777" w:rsidR="0046798B" w:rsidRDefault="0046798B">
            <w:pPr>
              <w:pStyle w:val="TableParagraph"/>
            </w:pPr>
          </w:p>
          <w:p w14:paraId="5B7FC6CA" w14:textId="77777777" w:rsidR="0046798B" w:rsidRDefault="0046798B">
            <w:pPr>
              <w:pStyle w:val="TableParagraph"/>
              <w:spacing w:before="9"/>
              <w:rPr>
                <w:sz w:val="31"/>
              </w:rPr>
            </w:pPr>
          </w:p>
          <w:p w14:paraId="4FFA1670" w14:textId="77777777" w:rsidR="0046798B" w:rsidRDefault="00903B5C">
            <w:pPr>
              <w:pStyle w:val="TableParagraph"/>
              <w:ind w:left="115"/>
              <w:rPr>
                <w:b/>
                <w:sz w:val="20"/>
              </w:rPr>
            </w:pPr>
            <w:r>
              <w:rPr>
                <w:b/>
                <w:sz w:val="20"/>
              </w:rPr>
              <w:t>bsbr</w:t>
            </w:r>
          </w:p>
        </w:tc>
        <w:tc>
          <w:tcPr>
            <w:tcW w:w="1596" w:type="dxa"/>
          </w:tcPr>
          <w:p w14:paraId="483BA579" w14:textId="77777777" w:rsidR="0046798B" w:rsidRDefault="0046798B">
            <w:pPr>
              <w:pStyle w:val="TableParagraph"/>
            </w:pPr>
          </w:p>
          <w:p w14:paraId="3347E42E" w14:textId="77777777" w:rsidR="0046798B" w:rsidRDefault="0046798B">
            <w:pPr>
              <w:pStyle w:val="TableParagraph"/>
              <w:spacing w:before="9"/>
              <w:rPr>
                <w:sz w:val="21"/>
              </w:rPr>
            </w:pPr>
          </w:p>
          <w:p w14:paraId="68098EA7" w14:textId="77777777" w:rsidR="0046798B" w:rsidRDefault="00903B5C">
            <w:pPr>
              <w:pStyle w:val="TableParagraph"/>
              <w:ind w:left="114" w:right="247"/>
              <w:rPr>
                <w:sz w:val="20"/>
              </w:rPr>
            </w:pPr>
            <w:r>
              <w:rPr>
                <w:sz w:val="20"/>
              </w:rPr>
              <w:t>SBR (Short Barreled Rifle)</w:t>
            </w:r>
          </w:p>
        </w:tc>
        <w:tc>
          <w:tcPr>
            <w:tcW w:w="1285" w:type="dxa"/>
          </w:tcPr>
          <w:p w14:paraId="51B2839E" w14:textId="77777777" w:rsidR="0046798B" w:rsidRDefault="0046798B">
            <w:pPr>
              <w:pStyle w:val="TableParagraph"/>
            </w:pPr>
          </w:p>
          <w:p w14:paraId="48703444" w14:textId="77777777" w:rsidR="0046798B" w:rsidRDefault="0046798B">
            <w:pPr>
              <w:pStyle w:val="TableParagraph"/>
              <w:spacing w:before="9"/>
              <w:rPr>
                <w:sz w:val="31"/>
              </w:rPr>
            </w:pPr>
          </w:p>
          <w:p w14:paraId="1391F5D0" w14:textId="77777777" w:rsidR="0046798B" w:rsidRDefault="00903B5C">
            <w:pPr>
              <w:pStyle w:val="TableParagraph"/>
              <w:ind w:left="114"/>
              <w:rPr>
                <w:sz w:val="20"/>
              </w:rPr>
            </w:pPr>
            <w:r>
              <w:rPr>
                <w:sz w:val="20"/>
              </w:rPr>
              <w:t>1986–2016</w:t>
            </w:r>
          </w:p>
        </w:tc>
        <w:tc>
          <w:tcPr>
            <w:tcW w:w="3421" w:type="dxa"/>
          </w:tcPr>
          <w:p w14:paraId="618FEF9F" w14:textId="77777777" w:rsidR="0046798B" w:rsidRDefault="00903B5C">
            <w:pPr>
              <w:pStyle w:val="TableParagraph"/>
              <w:spacing w:before="43"/>
              <w:ind w:left="114" w:right="164"/>
              <w:rPr>
                <w:sz w:val="20"/>
              </w:rPr>
            </w:pPr>
            <w:r>
              <w:rPr>
                <w:sz w:val="20"/>
              </w:rPr>
              <w:t>SBR (Short Barreled Rifle) (0 = prohibited in state law; 0.5 = not prohibited but regulated at state-local level OR not prohibited in law but virtually prohibited in practice; 1 = not prohibited by state law)</w:t>
            </w:r>
          </w:p>
        </w:tc>
        <w:tc>
          <w:tcPr>
            <w:tcW w:w="6482" w:type="dxa"/>
          </w:tcPr>
          <w:p w14:paraId="69E89667" w14:textId="77777777" w:rsidR="0046798B" w:rsidRDefault="0046798B">
            <w:pPr>
              <w:pStyle w:val="TableParagraph"/>
            </w:pPr>
          </w:p>
          <w:p w14:paraId="1ADEDFFC" w14:textId="77777777" w:rsidR="0046798B" w:rsidRDefault="00903B5C">
            <w:pPr>
              <w:pStyle w:val="TableParagraph"/>
              <w:spacing w:before="135"/>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D23CD6C" w14:textId="77777777">
        <w:trPr>
          <w:trHeight w:val="1465"/>
        </w:trPr>
        <w:tc>
          <w:tcPr>
            <w:tcW w:w="1711" w:type="dxa"/>
          </w:tcPr>
          <w:p w14:paraId="02DD399E" w14:textId="77777777" w:rsidR="0046798B" w:rsidRDefault="0046798B">
            <w:pPr>
              <w:pStyle w:val="TableParagraph"/>
            </w:pPr>
          </w:p>
          <w:p w14:paraId="7BF812E0" w14:textId="77777777" w:rsidR="0046798B" w:rsidRDefault="0046798B">
            <w:pPr>
              <w:pStyle w:val="TableParagraph"/>
              <w:spacing w:before="9"/>
              <w:rPr>
                <w:sz w:val="31"/>
              </w:rPr>
            </w:pPr>
          </w:p>
          <w:p w14:paraId="76F90938" w14:textId="77777777" w:rsidR="0046798B" w:rsidRDefault="00903B5C">
            <w:pPr>
              <w:pStyle w:val="TableParagraph"/>
              <w:ind w:left="115"/>
              <w:rPr>
                <w:b/>
                <w:sz w:val="20"/>
              </w:rPr>
            </w:pPr>
            <w:r>
              <w:rPr>
                <w:b/>
                <w:sz w:val="20"/>
              </w:rPr>
              <w:t>bsbs</w:t>
            </w:r>
          </w:p>
        </w:tc>
        <w:tc>
          <w:tcPr>
            <w:tcW w:w="1596" w:type="dxa"/>
          </w:tcPr>
          <w:p w14:paraId="4AE3A533" w14:textId="77777777" w:rsidR="0046798B" w:rsidRDefault="0046798B">
            <w:pPr>
              <w:pStyle w:val="TableParagraph"/>
            </w:pPr>
          </w:p>
          <w:p w14:paraId="1A45791C" w14:textId="77777777" w:rsidR="0046798B" w:rsidRDefault="00903B5C">
            <w:pPr>
              <w:pStyle w:val="TableParagraph"/>
              <w:spacing w:before="135"/>
              <w:ind w:left="114" w:right="229"/>
              <w:rPr>
                <w:sz w:val="20"/>
              </w:rPr>
            </w:pPr>
            <w:r>
              <w:rPr>
                <w:sz w:val="20"/>
              </w:rPr>
              <w:t>SBS (Short Barreled Shotgun)</w:t>
            </w:r>
          </w:p>
        </w:tc>
        <w:tc>
          <w:tcPr>
            <w:tcW w:w="1285" w:type="dxa"/>
          </w:tcPr>
          <w:p w14:paraId="7643EA01" w14:textId="77777777" w:rsidR="0046798B" w:rsidRDefault="0046798B">
            <w:pPr>
              <w:pStyle w:val="TableParagraph"/>
            </w:pPr>
          </w:p>
          <w:p w14:paraId="26752977" w14:textId="77777777" w:rsidR="0046798B" w:rsidRDefault="0046798B">
            <w:pPr>
              <w:pStyle w:val="TableParagraph"/>
              <w:spacing w:before="9"/>
              <w:rPr>
                <w:sz w:val="31"/>
              </w:rPr>
            </w:pPr>
          </w:p>
          <w:p w14:paraId="77C492DE" w14:textId="77777777" w:rsidR="0046798B" w:rsidRDefault="00903B5C">
            <w:pPr>
              <w:pStyle w:val="TableParagraph"/>
              <w:ind w:left="114"/>
              <w:rPr>
                <w:sz w:val="20"/>
              </w:rPr>
            </w:pPr>
            <w:r>
              <w:rPr>
                <w:sz w:val="20"/>
              </w:rPr>
              <w:t>1986–2016</w:t>
            </w:r>
          </w:p>
        </w:tc>
        <w:tc>
          <w:tcPr>
            <w:tcW w:w="3421" w:type="dxa"/>
          </w:tcPr>
          <w:p w14:paraId="4B434A48" w14:textId="77777777" w:rsidR="0046798B" w:rsidRDefault="00903B5C">
            <w:pPr>
              <w:pStyle w:val="TableParagraph"/>
              <w:spacing w:before="43"/>
              <w:ind w:left="114" w:right="164"/>
              <w:rPr>
                <w:sz w:val="20"/>
              </w:rPr>
            </w:pPr>
            <w:r>
              <w:rPr>
                <w:sz w:val="20"/>
              </w:rPr>
              <w:t>SBS (Short Barreled Shotgun) (0 = prohibited in state law; 0.5 = not prohibited but regulated at state-local level OR not prohibited in law but virtually prohibited in practice; 1 = not prohibited by state law)</w:t>
            </w:r>
          </w:p>
        </w:tc>
        <w:tc>
          <w:tcPr>
            <w:tcW w:w="6482" w:type="dxa"/>
          </w:tcPr>
          <w:p w14:paraId="6F857AE7" w14:textId="77777777" w:rsidR="0046798B" w:rsidRDefault="0046798B">
            <w:pPr>
              <w:pStyle w:val="TableParagraph"/>
            </w:pPr>
          </w:p>
          <w:p w14:paraId="6EC8EC72" w14:textId="77777777" w:rsidR="0046798B" w:rsidRDefault="00903B5C">
            <w:pPr>
              <w:pStyle w:val="TableParagraph"/>
              <w:spacing w:before="135"/>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B550F35" w14:textId="77777777">
        <w:trPr>
          <w:trHeight w:val="1465"/>
        </w:trPr>
        <w:tc>
          <w:tcPr>
            <w:tcW w:w="1711" w:type="dxa"/>
          </w:tcPr>
          <w:p w14:paraId="518C7363" w14:textId="77777777" w:rsidR="0046798B" w:rsidRDefault="0046798B">
            <w:pPr>
              <w:pStyle w:val="TableParagraph"/>
            </w:pPr>
          </w:p>
          <w:p w14:paraId="14337DED" w14:textId="77777777" w:rsidR="0046798B" w:rsidRDefault="0046798B">
            <w:pPr>
              <w:pStyle w:val="TableParagraph"/>
              <w:spacing w:before="9"/>
              <w:rPr>
                <w:sz w:val="31"/>
              </w:rPr>
            </w:pPr>
          </w:p>
          <w:p w14:paraId="1672A23A" w14:textId="77777777" w:rsidR="0046798B" w:rsidRDefault="00903B5C">
            <w:pPr>
              <w:pStyle w:val="TableParagraph"/>
              <w:ind w:left="115"/>
              <w:rPr>
                <w:b/>
                <w:sz w:val="20"/>
              </w:rPr>
            </w:pPr>
            <w:r>
              <w:rPr>
                <w:b/>
                <w:sz w:val="20"/>
              </w:rPr>
              <w:t>bsi</w:t>
            </w:r>
          </w:p>
        </w:tc>
        <w:tc>
          <w:tcPr>
            <w:tcW w:w="1596" w:type="dxa"/>
          </w:tcPr>
          <w:p w14:paraId="46C6363B" w14:textId="77777777" w:rsidR="0046798B" w:rsidRDefault="0046798B">
            <w:pPr>
              <w:pStyle w:val="TableParagraph"/>
            </w:pPr>
          </w:p>
          <w:p w14:paraId="3D1B40E3" w14:textId="77777777" w:rsidR="0046798B" w:rsidRDefault="00903B5C">
            <w:pPr>
              <w:pStyle w:val="TableParagraph"/>
              <w:spacing w:before="135"/>
              <w:ind w:left="114" w:right="165"/>
              <w:rPr>
                <w:sz w:val="20"/>
              </w:rPr>
            </w:pPr>
            <w:r>
              <w:rPr>
                <w:sz w:val="20"/>
              </w:rPr>
              <w:t>Concealed carry permits are shall-issue</w:t>
            </w:r>
          </w:p>
        </w:tc>
        <w:tc>
          <w:tcPr>
            <w:tcW w:w="1285" w:type="dxa"/>
          </w:tcPr>
          <w:p w14:paraId="59951AEE" w14:textId="77777777" w:rsidR="0046798B" w:rsidRDefault="0046798B">
            <w:pPr>
              <w:pStyle w:val="TableParagraph"/>
            </w:pPr>
          </w:p>
          <w:p w14:paraId="48370DD4" w14:textId="77777777" w:rsidR="0046798B" w:rsidRDefault="0046798B">
            <w:pPr>
              <w:pStyle w:val="TableParagraph"/>
              <w:spacing w:before="9"/>
              <w:rPr>
                <w:sz w:val="31"/>
              </w:rPr>
            </w:pPr>
          </w:p>
          <w:p w14:paraId="031A510A" w14:textId="77777777" w:rsidR="0046798B" w:rsidRDefault="00903B5C">
            <w:pPr>
              <w:pStyle w:val="TableParagraph"/>
              <w:ind w:left="114"/>
              <w:rPr>
                <w:sz w:val="20"/>
              </w:rPr>
            </w:pPr>
            <w:r>
              <w:rPr>
                <w:sz w:val="20"/>
              </w:rPr>
              <w:t>1986–2016</w:t>
            </w:r>
          </w:p>
        </w:tc>
        <w:tc>
          <w:tcPr>
            <w:tcW w:w="3421" w:type="dxa"/>
          </w:tcPr>
          <w:p w14:paraId="23A3AA00" w14:textId="77777777" w:rsidR="0046798B" w:rsidRDefault="00903B5C">
            <w:pPr>
              <w:pStyle w:val="TableParagraph"/>
              <w:spacing w:before="43"/>
              <w:ind w:left="114" w:right="222"/>
              <w:rPr>
                <w:sz w:val="20"/>
              </w:rPr>
            </w:pPr>
            <w:r>
              <w:rPr>
                <w:sz w:val="20"/>
              </w:rPr>
              <w:t>Concealed carry permits are shall- issue? (0 = no, 0.5 = theoretically yes but broad exceptions exist or theoretically may issue but effectively more like shall issue, 1 = yes, 2 = permit not needed)</w:t>
            </w:r>
          </w:p>
        </w:tc>
        <w:tc>
          <w:tcPr>
            <w:tcW w:w="6482" w:type="dxa"/>
          </w:tcPr>
          <w:p w14:paraId="58BD92C6" w14:textId="77777777" w:rsidR="0046798B" w:rsidRDefault="0046798B">
            <w:pPr>
              <w:pStyle w:val="TableParagraph"/>
            </w:pPr>
          </w:p>
          <w:p w14:paraId="7BB49F6D" w14:textId="77777777" w:rsidR="0046798B" w:rsidRDefault="00903B5C">
            <w:pPr>
              <w:pStyle w:val="TableParagraph"/>
              <w:spacing w:before="135"/>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693552C5" w14:textId="77777777" w:rsidR="0046798B" w:rsidRDefault="0046798B">
      <w:pPr>
        <w:rPr>
          <w:sz w:val="20"/>
        </w:rPr>
        <w:sectPr w:rsidR="0046798B">
          <w:pgSz w:w="15840" w:h="12240" w:orient="landscape"/>
          <w:pgMar w:top="1220" w:right="300" w:bottom="980" w:left="820" w:header="730" w:footer="787" w:gutter="0"/>
          <w:cols w:space="720"/>
        </w:sectPr>
      </w:pPr>
    </w:p>
    <w:p w14:paraId="3DB54CB2"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7C2E1832" w14:textId="77777777">
        <w:trPr>
          <w:trHeight w:val="1465"/>
        </w:trPr>
        <w:tc>
          <w:tcPr>
            <w:tcW w:w="1711" w:type="dxa"/>
          </w:tcPr>
          <w:p w14:paraId="6F4C2F8A" w14:textId="77777777" w:rsidR="0046798B" w:rsidRDefault="0046798B">
            <w:pPr>
              <w:pStyle w:val="TableParagraph"/>
            </w:pPr>
          </w:p>
          <w:p w14:paraId="58C8AA08" w14:textId="77777777" w:rsidR="0046798B" w:rsidRDefault="0046798B">
            <w:pPr>
              <w:pStyle w:val="TableParagraph"/>
              <w:spacing w:before="9"/>
              <w:rPr>
                <w:sz w:val="31"/>
              </w:rPr>
            </w:pPr>
          </w:p>
          <w:p w14:paraId="252FDA23" w14:textId="77777777" w:rsidR="0046798B" w:rsidRDefault="00903B5C">
            <w:pPr>
              <w:pStyle w:val="TableParagraph"/>
              <w:ind w:left="115"/>
              <w:rPr>
                <w:b/>
                <w:sz w:val="20"/>
              </w:rPr>
            </w:pPr>
            <w:r>
              <w:rPr>
                <w:b/>
                <w:sz w:val="20"/>
              </w:rPr>
              <w:t>bss</w:t>
            </w:r>
          </w:p>
        </w:tc>
        <w:tc>
          <w:tcPr>
            <w:tcW w:w="1596" w:type="dxa"/>
          </w:tcPr>
          <w:p w14:paraId="37D03367" w14:textId="77777777" w:rsidR="0046798B" w:rsidRDefault="0046798B">
            <w:pPr>
              <w:pStyle w:val="TableParagraph"/>
            </w:pPr>
          </w:p>
          <w:p w14:paraId="4950C338" w14:textId="77777777" w:rsidR="0046798B" w:rsidRDefault="00903B5C">
            <w:pPr>
              <w:pStyle w:val="TableParagraph"/>
              <w:spacing w:before="135"/>
              <w:ind w:left="114" w:right="596"/>
              <w:rPr>
                <w:sz w:val="20"/>
              </w:rPr>
            </w:pPr>
            <w:r>
              <w:rPr>
                <w:sz w:val="20"/>
              </w:rPr>
              <w:t>Sound suppressor (silencers)</w:t>
            </w:r>
          </w:p>
        </w:tc>
        <w:tc>
          <w:tcPr>
            <w:tcW w:w="1285" w:type="dxa"/>
          </w:tcPr>
          <w:p w14:paraId="3A5E1C27" w14:textId="77777777" w:rsidR="0046798B" w:rsidRDefault="0046798B">
            <w:pPr>
              <w:pStyle w:val="TableParagraph"/>
            </w:pPr>
          </w:p>
          <w:p w14:paraId="476AD1B8" w14:textId="77777777" w:rsidR="0046798B" w:rsidRDefault="0046798B">
            <w:pPr>
              <w:pStyle w:val="TableParagraph"/>
              <w:spacing w:before="9"/>
              <w:rPr>
                <w:sz w:val="31"/>
              </w:rPr>
            </w:pPr>
          </w:p>
          <w:p w14:paraId="67FC599B" w14:textId="77777777" w:rsidR="0046798B" w:rsidRDefault="00903B5C">
            <w:pPr>
              <w:pStyle w:val="TableParagraph"/>
              <w:ind w:left="114"/>
              <w:rPr>
                <w:sz w:val="20"/>
              </w:rPr>
            </w:pPr>
            <w:r>
              <w:rPr>
                <w:sz w:val="20"/>
              </w:rPr>
              <w:t>1986–2016</w:t>
            </w:r>
          </w:p>
        </w:tc>
        <w:tc>
          <w:tcPr>
            <w:tcW w:w="3421" w:type="dxa"/>
          </w:tcPr>
          <w:p w14:paraId="57068060" w14:textId="77777777" w:rsidR="0046798B" w:rsidRDefault="00903B5C">
            <w:pPr>
              <w:pStyle w:val="TableParagraph"/>
              <w:spacing w:before="43"/>
              <w:ind w:left="114" w:right="164"/>
              <w:rPr>
                <w:sz w:val="20"/>
              </w:rPr>
            </w:pPr>
            <w:r>
              <w:rPr>
                <w:sz w:val="20"/>
              </w:rPr>
              <w:t>Sound suppressor (silencers) (0 = prohibited in state law; 0.5 = not prohibited but regulated at state-local level OR not prohibited in law but virtually prohibited in practice; 1 = not prohibited by state law)</w:t>
            </w:r>
          </w:p>
        </w:tc>
        <w:tc>
          <w:tcPr>
            <w:tcW w:w="6482" w:type="dxa"/>
          </w:tcPr>
          <w:p w14:paraId="2F77C063" w14:textId="77777777" w:rsidR="0046798B" w:rsidRDefault="0046798B">
            <w:pPr>
              <w:pStyle w:val="TableParagraph"/>
            </w:pPr>
          </w:p>
          <w:p w14:paraId="201C63D1" w14:textId="77777777" w:rsidR="0046798B" w:rsidRDefault="00903B5C">
            <w:pPr>
              <w:pStyle w:val="TableParagraph"/>
              <w:spacing w:before="135"/>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C4E5CBF" w14:textId="77777777">
        <w:trPr>
          <w:trHeight w:val="775"/>
        </w:trPr>
        <w:tc>
          <w:tcPr>
            <w:tcW w:w="1711" w:type="dxa"/>
          </w:tcPr>
          <w:p w14:paraId="0F633D1D" w14:textId="77777777" w:rsidR="0046798B" w:rsidRDefault="0046798B">
            <w:pPr>
              <w:pStyle w:val="TableParagraph"/>
              <w:spacing w:before="9"/>
              <w:rPr>
                <w:sz w:val="23"/>
              </w:rPr>
            </w:pPr>
          </w:p>
          <w:p w14:paraId="6D2C3A41" w14:textId="77777777" w:rsidR="0046798B" w:rsidRDefault="00903B5C">
            <w:pPr>
              <w:pStyle w:val="TableParagraph"/>
              <w:ind w:left="115"/>
              <w:rPr>
                <w:b/>
                <w:sz w:val="20"/>
              </w:rPr>
            </w:pPr>
            <w:r>
              <w:rPr>
                <w:b/>
                <w:sz w:val="20"/>
              </w:rPr>
              <w:t>bssp</w:t>
            </w:r>
          </w:p>
        </w:tc>
        <w:tc>
          <w:tcPr>
            <w:tcW w:w="1596" w:type="dxa"/>
          </w:tcPr>
          <w:p w14:paraId="54C3BCB5" w14:textId="77777777" w:rsidR="0046798B" w:rsidRDefault="00903B5C">
            <w:pPr>
              <w:pStyle w:val="TableParagraph"/>
              <w:spacing w:before="44"/>
              <w:ind w:left="114" w:right="346"/>
              <w:rPr>
                <w:sz w:val="20"/>
              </w:rPr>
            </w:pPr>
            <w:r>
              <w:rPr>
                <w:sz w:val="20"/>
              </w:rPr>
              <w:t>Store security precautions required</w:t>
            </w:r>
          </w:p>
        </w:tc>
        <w:tc>
          <w:tcPr>
            <w:tcW w:w="1285" w:type="dxa"/>
          </w:tcPr>
          <w:p w14:paraId="742B5793" w14:textId="77777777" w:rsidR="0046798B" w:rsidRDefault="0046798B">
            <w:pPr>
              <w:pStyle w:val="TableParagraph"/>
              <w:spacing w:before="9"/>
              <w:rPr>
                <w:sz w:val="23"/>
              </w:rPr>
            </w:pPr>
          </w:p>
          <w:p w14:paraId="3DCB8ADA" w14:textId="77777777" w:rsidR="0046798B" w:rsidRDefault="00903B5C">
            <w:pPr>
              <w:pStyle w:val="TableParagraph"/>
              <w:ind w:left="114"/>
              <w:rPr>
                <w:sz w:val="20"/>
              </w:rPr>
            </w:pPr>
            <w:r>
              <w:rPr>
                <w:sz w:val="20"/>
              </w:rPr>
              <w:t>1986–2016</w:t>
            </w:r>
          </w:p>
        </w:tc>
        <w:tc>
          <w:tcPr>
            <w:tcW w:w="3421" w:type="dxa"/>
          </w:tcPr>
          <w:p w14:paraId="449AAF20" w14:textId="77777777" w:rsidR="0046798B" w:rsidRDefault="00903B5C">
            <w:pPr>
              <w:pStyle w:val="TableParagraph"/>
              <w:spacing w:before="159"/>
              <w:ind w:left="114"/>
              <w:rPr>
                <w:sz w:val="20"/>
              </w:rPr>
            </w:pPr>
            <w:r>
              <w:rPr>
                <w:sz w:val="20"/>
              </w:rPr>
              <w:t>Store security precautions required? (0</w:t>
            </w:r>
          </w:p>
          <w:p w14:paraId="7D3D47F9" w14:textId="77777777" w:rsidR="0046798B" w:rsidRDefault="00903B5C">
            <w:pPr>
              <w:pStyle w:val="TableParagraph"/>
              <w:ind w:left="114"/>
              <w:rPr>
                <w:sz w:val="20"/>
              </w:rPr>
            </w:pPr>
            <w:r>
              <w:rPr>
                <w:sz w:val="20"/>
              </w:rPr>
              <w:t>= no, 1 = yes)</w:t>
            </w:r>
          </w:p>
        </w:tc>
        <w:tc>
          <w:tcPr>
            <w:tcW w:w="6482" w:type="dxa"/>
          </w:tcPr>
          <w:p w14:paraId="32FF0422" w14:textId="77777777" w:rsidR="0046798B" w:rsidRDefault="00903B5C">
            <w:pPr>
              <w:pStyle w:val="TableParagraph"/>
              <w:spacing w:before="44"/>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70651FF" w14:textId="77777777">
        <w:trPr>
          <w:trHeight w:val="1240"/>
        </w:trPr>
        <w:tc>
          <w:tcPr>
            <w:tcW w:w="1711" w:type="dxa"/>
          </w:tcPr>
          <w:p w14:paraId="654907C4" w14:textId="77777777" w:rsidR="0046798B" w:rsidRDefault="0046798B">
            <w:pPr>
              <w:pStyle w:val="TableParagraph"/>
            </w:pPr>
          </w:p>
          <w:p w14:paraId="3DBBD820" w14:textId="77777777" w:rsidR="0046798B" w:rsidRDefault="0046798B">
            <w:pPr>
              <w:pStyle w:val="TableParagraph"/>
              <w:spacing w:before="9"/>
              <w:rPr>
                <w:sz w:val="21"/>
              </w:rPr>
            </w:pPr>
          </w:p>
          <w:p w14:paraId="6A5F0902" w14:textId="77777777" w:rsidR="0046798B" w:rsidRDefault="00903B5C">
            <w:pPr>
              <w:pStyle w:val="TableParagraph"/>
              <w:ind w:left="115"/>
              <w:rPr>
                <w:b/>
                <w:sz w:val="20"/>
              </w:rPr>
            </w:pPr>
            <w:r>
              <w:rPr>
                <w:b/>
                <w:sz w:val="20"/>
              </w:rPr>
              <w:t>bstheft</w:t>
            </w:r>
          </w:p>
        </w:tc>
        <w:tc>
          <w:tcPr>
            <w:tcW w:w="1596" w:type="dxa"/>
          </w:tcPr>
          <w:p w14:paraId="5AE97335" w14:textId="77777777" w:rsidR="0046798B" w:rsidRDefault="00903B5C">
            <w:pPr>
              <w:pStyle w:val="TableParagraph"/>
              <w:spacing w:before="43"/>
              <w:ind w:left="114" w:right="180"/>
              <w:rPr>
                <w:sz w:val="20"/>
              </w:rPr>
            </w:pPr>
            <w:r>
              <w:rPr>
                <w:sz w:val="20"/>
              </w:rPr>
              <w:t>Gun dealer regulation: mandatory theft reporting of all firearms</w:t>
            </w:r>
          </w:p>
        </w:tc>
        <w:tc>
          <w:tcPr>
            <w:tcW w:w="1285" w:type="dxa"/>
          </w:tcPr>
          <w:p w14:paraId="48F59E28" w14:textId="77777777" w:rsidR="0046798B" w:rsidRDefault="0046798B">
            <w:pPr>
              <w:pStyle w:val="TableParagraph"/>
            </w:pPr>
          </w:p>
          <w:p w14:paraId="11C13F93" w14:textId="77777777" w:rsidR="0046798B" w:rsidRDefault="0046798B">
            <w:pPr>
              <w:pStyle w:val="TableParagraph"/>
              <w:spacing w:before="9"/>
              <w:rPr>
                <w:sz w:val="21"/>
              </w:rPr>
            </w:pPr>
          </w:p>
          <w:p w14:paraId="3DB0921D" w14:textId="77777777" w:rsidR="0046798B" w:rsidRDefault="00903B5C">
            <w:pPr>
              <w:pStyle w:val="TableParagraph"/>
              <w:ind w:left="114"/>
              <w:rPr>
                <w:sz w:val="20"/>
              </w:rPr>
            </w:pPr>
            <w:r>
              <w:rPr>
                <w:sz w:val="20"/>
              </w:rPr>
              <w:t>1986–2016</w:t>
            </w:r>
          </w:p>
        </w:tc>
        <w:tc>
          <w:tcPr>
            <w:tcW w:w="3421" w:type="dxa"/>
          </w:tcPr>
          <w:p w14:paraId="39E246B7" w14:textId="77777777" w:rsidR="0046798B" w:rsidRDefault="0046798B">
            <w:pPr>
              <w:pStyle w:val="TableParagraph"/>
              <w:spacing w:before="8"/>
              <w:rPr>
                <w:sz w:val="23"/>
              </w:rPr>
            </w:pPr>
          </w:p>
          <w:p w14:paraId="38BFAEB3" w14:textId="77777777" w:rsidR="0046798B" w:rsidRDefault="00903B5C">
            <w:pPr>
              <w:pStyle w:val="TableParagraph"/>
              <w:spacing w:before="1"/>
              <w:ind w:left="114" w:right="117"/>
              <w:rPr>
                <w:sz w:val="20"/>
              </w:rPr>
            </w:pPr>
            <w:r>
              <w:rPr>
                <w:sz w:val="20"/>
              </w:rPr>
              <w:t>Gun dealer regulation: mandatory theft reporting of all firearms (0 = no, 1 = yes)</w:t>
            </w:r>
          </w:p>
        </w:tc>
        <w:tc>
          <w:tcPr>
            <w:tcW w:w="6482" w:type="dxa"/>
          </w:tcPr>
          <w:p w14:paraId="2C9DE929" w14:textId="77777777" w:rsidR="0046798B" w:rsidRDefault="0046798B">
            <w:pPr>
              <w:pStyle w:val="TableParagraph"/>
              <w:spacing w:before="8"/>
              <w:rPr>
                <w:sz w:val="23"/>
              </w:rPr>
            </w:pPr>
          </w:p>
          <w:p w14:paraId="4106A575"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BFA0080" w14:textId="77777777">
        <w:trPr>
          <w:trHeight w:val="1005"/>
        </w:trPr>
        <w:tc>
          <w:tcPr>
            <w:tcW w:w="1711" w:type="dxa"/>
          </w:tcPr>
          <w:p w14:paraId="08846AF9" w14:textId="77777777" w:rsidR="0046798B" w:rsidRDefault="0046798B">
            <w:pPr>
              <w:pStyle w:val="TableParagraph"/>
            </w:pPr>
          </w:p>
          <w:p w14:paraId="5B0882EF" w14:textId="77777777" w:rsidR="0046798B" w:rsidRDefault="00903B5C">
            <w:pPr>
              <w:pStyle w:val="TableParagraph"/>
              <w:spacing w:before="130"/>
              <w:ind w:left="115"/>
              <w:rPr>
                <w:b/>
                <w:sz w:val="20"/>
              </w:rPr>
            </w:pPr>
            <w:r>
              <w:rPr>
                <w:b/>
                <w:sz w:val="20"/>
              </w:rPr>
              <w:t>btrain</w:t>
            </w:r>
          </w:p>
        </w:tc>
        <w:tc>
          <w:tcPr>
            <w:tcW w:w="1596" w:type="dxa"/>
          </w:tcPr>
          <w:p w14:paraId="7093F8AB" w14:textId="77777777" w:rsidR="0046798B" w:rsidRDefault="00903B5C">
            <w:pPr>
              <w:pStyle w:val="TableParagraph"/>
              <w:spacing w:before="38"/>
              <w:ind w:left="114" w:right="135"/>
              <w:rPr>
                <w:sz w:val="20"/>
              </w:rPr>
            </w:pPr>
            <w:r>
              <w:rPr>
                <w:sz w:val="20"/>
              </w:rPr>
              <w:t>Training or testing requirement for carry permit</w:t>
            </w:r>
          </w:p>
        </w:tc>
        <w:tc>
          <w:tcPr>
            <w:tcW w:w="1285" w:type="dxa"/>
          </w:tcPr>
          <w:p w14:paraId="77B79CE6" w14:textId="77777777" w:rsidR="0046798B" w:rsidRDefault="0046798B">
            <w:pPr>
              <w:pStyle w:val="TableParagraph"/>
            </w:pPr>
          </w:p>
          <w:p w14:paraId="5A0B093B" w14:textId="77777777" w:rsidR="0046798B" w:rsidRDefault="00903B5C">
            <w:pPr>
              <w:pStyle w:val="TableParagraph"/>
              <w:spacing w:before="130"/>
              <w:ind w:left="114"/>
              <w:rPr>
                <w:sz w:val="20"/>
              </w:rPr>
            </w:pPr>
            <w:r>
              <w:rPr>
                <w:sz w:val="20"/>
              </w:rPr>
              <w:t>1986–2016</w:t>
            </w:r>
          </w:p>
        </w:tc>
        <w:tc>
          <w:tcPr>
            <w:tcW w:w="3421" w:type="dxa"/>
          </w:tcPr>
          <w:p w14:paraId="746E0900" w14:textId="77777777" w:rsidR="0046798B" w:rsidRDefault="00903B5C">
            <w:pPr>
              <w:pStyle w:val="TableParagraph"/>
              <w:spacing w:before="153"/>
              <w:ind w:left="114" w:right="128"/>
              <w:rPr>
                <w:sz w:val="20"/>
              </w:rPr>
            </w:pPr>
            <w:r>
              <w:rPr>
                <w:sz w:val="20"/>
              </w:rPr>
              <w:t>Training or testing requirement for carry permit (0 = no/may carry without permit, 1 = yes/no permits)</w:t>
            </w:r>
          </w:p>
        </w:tc>
        <w:tc>
          <w:tcPr>
            <w:tcW w:w="6482" w:type="dxa"/>
          </w:tcPr>
          <w:p w14:paraId="3C5C4CC5" w14:textId="77777777" w:rsidR="0046798B" w:rsidRDefault="00903B5C">
            <w:pPr>
              <w:pStyle w:val="TableParagraph"/>
              <w:spacing w:before="15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05D2249" w14:textId="77777777">
        <w:trPr>
          <w:trHeight w:val="775"/>
        </w:trPr>
        <w:tc>
          <w:tcPr>
            <w:tcW w:w="1711" w:type="dxa"/>
          </w:tcPr>
          <w:p w14:paraId="00F20DAA" w14:textId="77777777" w:rsidR="0046798B" w:rsidRDefault="0046798B">
            <w:pPr>
              <w:pStyle w:val="TableParagraph"/>
              <w:spacing w:before="3"/>
              <w:rPr>
                <w:sz w:val="23"/>
              </w:rPr>
            </w:pPr>
          </w:p>
          <w:p w14:paraId="6102DA18" w14:textId="77777777" w:rsidR="0046798B" w:rsidRDefault="00903B5C">
            <w:pPr>
              <w:pStyle w:val="TableParagraph"/>
              <w:spacing w:before="1"/>
              <w:ind w:left="115"/>
              <w:rPr>
                <w:b/>
                <w:sz w:val="20"/>
              </w:rPr>
            </w:pPr>
            <w:r>
              <w:rPr>
                <w:b/>
                <w:sz w:val="20"/>
              </w:rPr>
              <w:t>bwait</w:t>
            </w:r>
          </w:p>
        </w:tc>
        <w:tc>
          <w:tcPr>
            <w:tcW w:w="1596" w:type="dxa"/>
          </w:tcPr>
          <w:p w14:paraId="4575B26C" w14:textId="77777777" w:rsidR="0046798B" w:rsidRDefault="00903B5C">
            <w:pPr>
              <w:pStyle w:val="TableParagraph"/>
              <w:spacing w:before="38"/>
              <w:ind w:left="114" w:right="246"/>
              <w:rPr>
                <w:sz w:val="20"/>
              </w:rPr>
            </w:pPr>
            <w:r>
              <w:rPr>
                <w:sz w:val="20"/>
              </w:rPr>
              <w:t>Waiting period on firearms purchases</w:t>
            </w:r>
          </w:p>
        </w:tc>
        <w:tc>
          <w:tcPr>
            <w:tcW w:w="1285" w:type="dxa"/>
          </w:tcPr>
          <w:p w14:paraId="4F4AA729" w14:textId="77777777" w:rsidR="0046798B" w:rsidRDefault="0046798B">
            <w:pPr>
              <w:pStyle w:val="TableParagraph"/>
              <w:spacing w:before="3"/>
              <w:rPr>
                <w:sz w:val="23"/>
              </w:rPr>
            </w:pPr>
          </w:p>
          <w:p w14:paraId="7DFBA622" w14:textId="77777777" w:rsidR="0046798B" w:rsidRDefault="00903B5C">
            <w:pPr>
              <w:pStyle w:val="TableParagraph"/>
              <w:spacing w:before="1"/>
              <w:ind w:left="114"/>
              <w:rPr>
                <w:sz w:val="20"/>
              </w:rPr>
            </w:pPr>
            <w:r>
              <w:rPr>
                <w:sz w:val="20"/>
              </w:rPr>
              <w:t>1986–2016</w:t>
            </w:r>
          </w:p>
        </w:tc>
        <w:tc>
          <w:tcPr>
            <w:tcW w:w="3421" w:type="dxa"/>
          </w:tcPr>
          <w:p w14:paraId="3A21692D" w14:textId="77777777" w:rsidR="0046798B" w:rsidRDefault="00903B5C">
            <w:pPr>
              <w:pStyle w:val="TableParagraph"/>
              <w:spacing w:before="38"/>
              <w:ind w:left="114" w:right="178"/>
              <w:rPr>
                <w:sz w:val="20"/>
              </w:rPr>
            </w:pPr>
            <w:r>
              <w:rPr>
                <w:sz w:val="20"/>
              </w:rPr>
              <w:t>Waiting period on firearms purchases? (0 = no, 0.5 = some firearms, 1=all firearms)</w:t>
            </w:r>
          </w:p>
        </w:tc>
        <w:tc>
          <w:tcPr>
            <w:tcW w:w="6482" w:type="dxa"/>
          </w:tcPr>
          <w:p w14:paraId="2ECCC2E2" w14:textId="77777777" w:rsidR="0046798B" w:rsidRDefault="00903B5C">
            <w:pPr>
              <w:pStyle w:val="TableParagraph"/>
              <w:spacing w:before="3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0FF8F741" w14:textId="77777777" w:rsidR="0046798B" w:rsidRDefault="0046798B">
      <w:pPr>
        <w:rPr>
          <w:sz w:val="20"/>
        </w:rPr>
        <w:sectPr w:rsidR="0046798B">
          <w:pgSz w:w="15840" w:h="12240" w:orient="landscape"/>
          <w:pgMar w:top="1220" w:right="300" w:bottom="980" w:left="820" w:header="730" w:footer="787" w:gutter="0"/>
          <w:cols w:space="720"/>
        </w:sectPr>
      </w:pPr>
    </w:p>
    <w:p w14:paraId="5D323CF3" w14:textId="77777777" w:rsidR="0046798B" w:rsidRDefault="0046798B">
      <w:pPr>
        <w:pStyle w:val="BodyText"/>
        <w:spacing w:before="1"/>
        <w:rPr>
          <w:sz w:val="11"/>
        </w:rPr>
      </w:pPr>
    </w:p>
    <w:p w14:paraId="6B59114B" w14:textId="77777777" w:rsidR="0046798B" w:rsidRDefault="00903B5C">
      <w:pPr>
        <w:pStyle w:val="ListParagraph"/>
        <w:numPr>
          <w:ilvl w:val="0"/>
          <w:numId w:val="12"/>
        </w:numPr>
        <w:tabs>
          <w:tab w:val="left" w:pos="7062"/>
        </w:tabs>
        <w:spacing w:before="88"/>
        <w:ind w:left="7061" w:hanging="659"/>
        <w:jc w:val="left"/>
        <w:rPr>
          <w:b/>
          <w:sz w:val="28"/>
        </w:rPr>
      </w:pPr>
      <w:bookmarkStart w:id="26" w:name="XIV._Labor"/>
      <w:bookmarkStart w:id="27" w:name="_bookmark13"/>
      <w:bookmarkEnd w:id="26"/>
      <w:bookmarkEnd w:id="27"/>
      <w:r>
        <w:rPr>
          <w:b/>
          <w:sz w:val="28"/>
        </w:rPr>
        <w:t>Labor</w:t>
      </w:r>
    </w:p>
    <w:p w14:paraId="52F9668D" w14:textId="77777777" w:rsidR="0046798B" w:rsidRDefault="0046798B">
      <w:pPr>
        <w:pStyle w:val="BodyText"/>
        <w:spacing w:before="0"/>
        <w:rPr>
          <w:b/>
          <w:sz w:val="20"/>
        </w:rPr>
      </w:pPr>
    </w:p>
    <w:p w14:paraId="44E01640" w14:textId="77777777" w:rsidR="0046798B" w:rsidRDefault="0046798B">
      <w:pPr>
        <w:pStyle w:val="BodyText"/>
        <w:spacing w:before="0"/>
        <w:rPr>
          <w:b/>
          <w:sz w:val="20"/>
        </w:rPr>
      </w:pPr>
    </w:p>
    <w:p w14:paraId="63C265B9" w14:textId="77777777" w:rsidR="0046798B" w:rsidRDefault="0046798B">
      <w:pPr>
        <w:pStyle w:val="BodyText"/>
        <w:spacing w:before="2"/>
        <w:rPr>
          <w:b/>
          <w:sz w:val="12"/>
        </w:rPr>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D03F3E9" w14:textId="77777777">
        <w:trPr>
          <w:trHeight w:val="590"/>
        </w:trPr>
        <w:tc>
          <w:tcPr>
            <w:tcW w:w="1711" w:type="dxa"/>
          </w:tcPr>
          <w:p w14:paraId="33C54732" w14:textId="77777777" w:rsidR="0046798B" w:rsidRDefault="00903B5C">
            <w:pPr>
              <w:pStyle w:val="TableParagraph"/>
              <w:spacing w:before="164"/>
              <w:ind w:left="140"/>
              <w:rPr>
                <w:b/>
              </w:rPr>
            </w:pPr>
            <w:r>
              <w:rPr>
                <w:b/>
              </w:rPr>
              <w:t>Variable Name</w:t>
            </w:r>
          </w:p>
        </w:tc>
        <w:tc>
          <w:tcPr>
            <w:tcW w:w="1596" w:type="dxa"/>
          </w:tcPr>
          <w:p w14:paraId="32490C9A" w14:textId="77777777" w:rsidR="0046798B" w:rsidRDefault="00903B5C">
            <w:pPr>
              <w:pStyle w:val="TableParagraph"/>
              <w:spacing w:before="39" w:line="242" w:lineRule="auto"/>
              <w:ind w:left="249" w:right="229" w:firstLine="280"/>
              <w:rPr>
                <w:b/>
              </w:rPr>
            </w:pPr>
            <w:r>
              <w:rPr>
                <w:b/>
              </w:rPr>
              <w:t>Short Description</w:t>
            </w:r>
          </w:p>
        </w:tc>
        <w:tc>
          <w:tcPr>
            <w:tcW w:w="1285" w:type="dxa"/>
          </w:tcPr>
          <w:p w14:paraId="377535B4" w14:textId="77777777" w:rsidR="0046798B" w:rsidRDefault="00903B5C">
            <w:pPr>
              <w:pStyle w:val="TableParagraph"/>
              <w:spacing w:before="164"/>
              <w:ind w:left="364"/>
              <w:rPr>
                <w:b/>
              </w:rPr>
            </w:pPr>
            <w:r>
              <w:rPr>
                <w:b/>
              </w:rPr>
              <w:t>Years</w:t>
            </w:r>
          </w:p>
        </w:tc>
        <w:tc>
          <w:tcPr>
            <w:tcW w:w="3421" w:type="dxa"/>
          </w:tcPr>
          <w:p w14:paraId="269A185A" w14:textId="77777777" w:rsidR="0046798B" w:rsidRDefault="00903B5C">
            <w:pPr>
              <w:pStyle w:val="TableParagraph"/>
              <w:spacing w:before="39"/>
              <w:ind w:left="159" w:right="146"/>
              <w:jc w:val="center"/>
              <w:rPr>
                <w:b/>
              </w:rPr>
            </w:pPr>
            <w:r>
              <w:rPr>
                <w:b/>
              </w:rPr>
              <w:t>Coding /</w:t>
            </w:r>
          </w:p>
          <w:p w14:paraId="00A505FF" w14:textId="77777777" w:rsidR="0046798B" w:rsidRDefault="00903B5C">
            <w:pPr>
              <w:pStyle w:val="TableParagraph"/>
              <w:spacing w:before="2"/>
              <w:ind w:left="159" w:right="150"/>
              <w:jc w:val="center"/>
              <w:rPr>
                <w:b/>
              </w:rPr>
            </w:pPr>
            <w:r>
              <w:rPr>
                <w:b/>
              </w:rPr>
              <w:t>Longer Description (if available)</w:t>
            </w:r>
          </w:p>
        </w:tc>
        <w:tc>
          <w:tcPr>
            <w:tcW w:w="6482" w:type="dxa"/>
          </w:tcPr>
          <w:p w14:paraId="55E3BE2F" w14:textId="77777777" w:rsidR="0046798B" w:rsidRDefault="00903B5C">
            <w:pPr>
              <w:pStyle w:val="TableParagraph"/>
              <w:spacing w:before="164"/>
              <w:ind w:left="2852" w:right="2845"/>
              <w:jc w:val="center"/>
              <w:rPr>
                <w:b/>
              </w:rPr>
            </w:pPr>
            <w:r>
              <w:rPr>
                <w:b/>
              </w:rPr>
              <w:t>Sources</w:t>
            </w:r>
          </w:p>
        </w:tc>
      </w:tr>
      <w:tr w:rsidR="0046798B" w14:paraId="20385B39" w14:textId="77777777">
        <w:trPr>
          <w:trHeight w:val="550"/>
        </w:trPr>
        <w:tc>
          <w:tcPr>
            <w:tcW w:w="1711" w:type="dxa"/>
          </w:tcPr>
          <w:p w14:paraId="3BB0E0A0" w14:textId="77777777" w:rsidR="0046798B" w:rsidRDefault="00903B5C">
            <w:pPr>
              <w:pStyle w:val="TableParagraph"/>
              <w:spacing w:before="159"/>
              <w:ind w:left="115"/>
              <w:rPr>
                <w:b/>
                <w:sz w:val="20"/>
              </w:rPr>
            </w:pPr>
            <w:r>
              <w:rPr>
                <w:b/>
                <w:sz w:val="20"/>
              </w:rPr>
              <w:t>antiinj</w:t>
            </w:r>
          </w:p>
        </w:tc>
        <w:tc>
          <w:tcPr>
            <w:tcW w:w="1596" w:type="dxa"/>
          </w:tcPr>
          <w:p w14:paraId="0BA62FB2" w14:textId="77777777" w:rsidR="0046798B" w:rsidRDefault="00903B5C">
            <w:pPr>
              <w:pStyle w:val="TableParagraph"/>
              <w:spacing w:before="44"/>
              <w:ind w:left="114"/>
              <w:rPr>
                <w:sz w:val="20"/>
              </w:rPr>
            </w:pPr>
            <w:r>
              <w:rPr>
                <w:sz w:val="20"/>
              </w:rPr>
              <w:t>Anti-injunction laws</w:t>
            </w:r>
          </w:p>
        </w:tc>
        <w:tc>
          <w:tcPr>
            <w:tcW w:w="1285" w:type="dxa"/>
          </w:tcPr>
          <w:p w14:paraId="018083C7" w14:textId="77777777" w:rsidR="0046798B" w:rsidRDefault="00903B5C">
            <w:pPr>
              <w:pStyle w:val="TableParagraph"/>
              <w:spacing w:before="159"/>
              <w:ind w:left="114"/>
              <w:rPr>
                <w:sz w:val="20"/>
              </w:rPr>
            </w:pPr>
            <w:r>
              <w:rPr>
                <w:sz w:val="20"/>
              </w:rPr>
              <w:t>1913–1939</w:t>
            </w:r>
          </w:p>
        </w:tc>
        <w:tc>
          <w:tcPr>
            <w:tcW w:w="3421" w:type="dxa"/>
          </w:tcPr>
          <w:p w14:paraId="3A4C210A" w14:textId="77777777" w:rsidR="0046798B" w:rsidRDefault="00903B5C">
            <w:pPr>
              <w:pStyle w:val="TableParagraph"/>
              <w:spacing w:before="44"/>
              <w:ind w:left="114"/>
              <w:rPr>
                <w:sz w:val="20"/>
              </w:rPr>
            </w:pPr>
            <w:r>
              <w:rPr>
                <w:sz w:val="20"/>
              </w:rPr>
              <w:t>Did state adopt anti-injunction laws? (0</w:t>
            </w:r>
          </w:p>
          <w:p w14:paraId="159C5BDF" w14:textId="77777777" w:rsidR="0046798B" w:rsidRDefault="00903B5C">
            <w:pPr>
              <w:pStyle w:val="TableParagraph"/>
              <w:ind w:left="114"/>
              <w:rPr>
                <w:sz w:val="20"/>
              </w:rPr>
            </w:pPr>
            <w:r>
              <w:rPr>
                <w:sz w:val="20"/>
              </w:rPr>
              <w:t>= no, 1 = yes)</w:t>
            </w:r>
          </w:p>
        </w:tc>
        <w:tc>
          <w:tcPr>
            <w:tcW w:w="6482" w:type="dxa"/>
          </w:tcPr>
          <w:p w14:paraId="2A7D33C8" w14:textId="77777777" w:rsidR="0046798B" w:rsidRDefault="00903B5C">
            <w:pPr>
              <w:pStyle w:val="TableParagraph"/>
              <w:spacing w:before="44"/>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0AB658E7" w14:textId="77777777">
        <w:trPr>
          <w:trHeight w:val="775"/>
        </w:trPr>
        <w:tc>
          <w:tcPr>
            <w:tcW w:w="1711" w:type="dxa"/>
          </w:tcPr>
          <w:p w14:paraId="2D104BD6" w14:textId="77777777" w:rsidR="0046798B" w:rsidRDefault="0046798B">
            <w:pPr>
              <w:pStyle w:val="TableParagraph"/>
              <w:spacing w:before="3"/>
              <w:rPr>
                <w:b/>
                <w:sz w:val="23"/>
              </w:rPr>
            </w:pPr>
          </w:p>
          <w:p w14:paraId="653A1812" w14:textId="77777777" w:rsidR="0046798B" w:rsidRDefault="00903B5C">
            <w:pPr>
              <w:pStyle w:val="TableParagraph"/>
              <w:spacing w:before="1"/>
              <w:ind w:left="115"/>
              <w:rPr>
                <w:b/>
                <w:sz w:val="20"/>
              </w:rPr>
            </w:pPr>
            <w:r>
              <w:rPr>
                <w:b/>
                <w:sz w:val="20"/>
              </w:rPr>
              <w:t>fairemp</w:t>
            </w:r>
          </w:p>
        </w:tc>
        <w:tc>
          <w:tcPr>
            <w:tcW w:w="1596" w:type="dxa"/>
          </w:tcPr>
          <w:p w14:paraId="00BA67C0" w14:textId="77777777" w:rsidR="0046798B" w:rsidRDefault="00903B5C">
            <w:pPr>
              <w:pStyle w:val="TableParagraph"/>
              <w:spacing w:before="38"/>
              <w:ind w:left="114" w:right="452"/>
              <w:rPr>
                <w:sz w:val="20"/>
              </w:rPr>
            </w:pPr>
            <w:r>
              <w:rPr>
                <w:sz w:val="20"/>
              </w:rPr>
              <w:t>Fair employment laws</w:t>
            </w:r>
          </w:p>
        </w:tc>
        <w:tc>
          <w:tcPr>
            <w:tcW w:w="1285" w:type="dxa"/>
          </w:tcPr>
          <w:p w14:paraId="0A2AD1DF" w14:textId="77777777" w:rsidR="0046798B" w:rsidRDefault="0046798B">
            <w:pPr>
              <w:pStyle w:val="TableParagraph"/>
              <w:spacing w:before="3"/>
              <w:rPr>
                <w:b/>
                <w:sz w:val="23"/>
              </w:rPr>
            </w:pPr>
          </w:p>
          <w:p w14:paraId="27C2166E" w14:textId="77777777" w:rsidR="0046798B" w:rsidRDefault="00903B5C">
            <w:pPr>
              <w:pStyle w:val="TableParagraph"/>
              <w:spacing w:before="1"/>
              <w:ind w:left="114"/>
              <w:rPr>
                <w:sz w:val="20"/>
              </w:rPr>
            </w:pPr>
            <w:r>
              <w:rPr>
                <w:sz w:val="20"/>
              </w:rPr>
              <w:t>1945–1964</w:t>
            </w:r>
          </w:p>
        </w:tc>
        <w:tc>
          <w:tcPr>
            <w:tcW w:w="3421" w:type="dxa"/>
          </w:tcPr>
          <w:p w14:paraId="5BE344B3" w14:textId="77777777" w:rsidR="0046798B" w:rsidRDefault="00903B5C">
            <w:pPr>
              <w:pStyle w:val="TableParagraph"/>
              <w:spacing w:before="153"/>
              <w:ind w:left="114" w:right="183"/>
              <w:rPr>
                <w:sz w:val="20"/>
              </w:rPr>
            </w:pPr>
            <w:r>
              <w:rPr>
                <w:sz w:val="20"/>
              </w:rPr>
              <w:t>Did state adopt fair employment laws? (0 = no, 1 = yes)</w:t>
            </w:r>
          </w:p>
        </w:tc>
        <w:tc>
          <w:tcPr>
            <w:tcW w:w="6482" w:type="dxa"/>
          </w:tcPr>
          <w:p w14:paraId="38CF7B34" w14:textId="77777777" w:rsidR="0046798B" w:rsidRDefault="00903B5C">
            <w:pPr>
              <w:pStyle w:val="TableParagraph"/>
              <w:spacing w:before="15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0C67F02B" w14:textId="77777777">
        <w:trPr>
          <w:trHeight w:val="545"/>
        </w:trPr>
        <w:tc>
          <w:tcPr>
            <w:tcW w:w="1711" w:type="dxa"/>
          </w:tcPr>
          <w:p w14:paraId="107D55AF" w14:textId="77777777" w:rsidR="0046798B" w:rsidRDefault="00903B5C">
            <w:pPr>
              <w:pStyle w:val="TableParagraph"/>
              <w:spacing w:before="153"/>
              <w:ind w:left="115"/>
              <w:rPr>
                <w:b/>
                <w:sz w:val="20"/>
              </w:rPr>
            </w:pPr>
            <w:r>
              <w:rPr>
                <w:b/>
                <w:sz w:val="20"/>
              </w:rPr>
              <w:t>fairtrade</w:t>
            </w:r>
          </w:p>
        </w:tc>
        <w:tc>
          <w:tcPr>
            <w:tcW w:w="1596" w:type="dxa"/>
          </w:tcPr>
          <w:p w14:paraId="334CE428" w14:textId="77777777" w:rsidR="0046798B" w:rsidRDefault="00903B5C">
            <w:pPr>
              <w:pStyle w:val="TableParagraph"/>
              <w:spacing w:before="153"/>
              <w:ind w:left="114"/>
              <w:rPr>
                <w:sz w:val="20"/>
              </w:rPr>
            </w:pPr>
            <w:r>
              <w:rPr>
                <w:sz w:val="20"/>
              </w:rPr>
              <w:t>Fair trade laws</w:t>
            </w:r>
          </w:p>
        </w:tc>
        <w:tc>
          <w:tcPr>
            <w:tcW w:w="1285" w:type="dxa"/>
          </w:tcPr>
          <w:p w14:paraId="27D9943F" w14:textId="77777777" w:rsidR="0046798B" w:rsidRDefault="00903B5C">
            <w:pPr>
              <w:pStyle w:val="TableParagraph"/>
              <w:spacing w:before="153"/>
              <w:ind w:left="114"/>
              <w:rPr>
                <w:sz w:val="20"/>
              </w:rPr>
            </w:pPr>
            <w:r>
              <w:rPr>
                <w:sz w:val="20"/>
              </w:rPr>
              <w:t>1931–1969</w:t>
            </w:r>
          </w:p>
        </w:tc>
        <w:tc>
          <w:tcPr>
            <w:tcW w:w="3421" w:type="dxa"/>
          </w:tcPr>
          <w:p w14:paraId="6118F3D3" w14:textId="77777777" w:rsidR="0046798B" w:rsidRDefault="00903B5C">
            <w:pPr>
              <w:pStyle w:val="TableParagraph"/>
              <w:spacing w:before="38"/>
              <w:ind w:left="114" w:right="104"/>
              <w:rPr>
                <w:sz w:val="20"/>
              </w:rPr>
            </w:pPr>
            <w:r>
              <w:rPr>
                <w:sz w:val="20"/>
              </w:rPr>
              <w:t>Did state adopt fair trade laws? (0 = no, 1 = yes)</w:t>
            </w:r>
          </w:p>
        </w:tc>
        <w:tc>
          <w:tcPr>
            <w:tcW w:w="6482" w:type="dxa"/>
          </w:tcPr>
          <w:p w14:paraId="154ED5AC" w14:textId="77777777" w:rsidR="0046798B" w:rsidRDefault="00903B5C">
            <w:pPr>
              <w:pStyle w:val="TableParagraph"/>
              <w:spacing w:before="3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1D9DB5FC" w14:textId="77777777">
        <w:trPr>
          <w:trHeight w:val="545"/>
        </w:trPr>
        <w:tc>
          <w:tcPr>
            <w:tcW w:w="1711" w:type="dxa"/>
          </w:tcPr>
          <w:p w14:paraId="0A755C72" w14:textId="77777777" w:rsidR="0046798B" w:rsidRDefault="00903B5C">
            <w:pPr>
              <w:pStyle w:val="TableParagraph"/>
              <w:spacing w:before="158"/>
              <w:ind w:left="115"/>
              <w:rPr>
                <w:b/>
                <w:sz w:val="20"/>
              </w:rPr>
            </w:pPr>
            <w:r>
              <w:rPr>
                <w:b/>
                <w:sz w:val="20"/>
              </w:rPr>
              <w:t>miglab</w:t>
            </w:r>
          </w:p>
        </w:tc>
        <w:tc>
          <w:tcPr>
            <w:tcW w:w="1596" w:type="dxa"/>
          </w:tcPr>
          <w:p w14:paraId="53682514" w14:textId="77777777" w:rsidR="0046798B" w:rsidRDefault="00903B5C">
            <w:pPr>
              <w:pStyle w:val="TableParagraph"/>
              <w:spacing w:before="43"/>
              <w:ind w:left="114" w:right="180"/>
              <w:rPr>
                <w:sz w:val="20"/>
              </w:rPr>
            </w:pPr>
            <w:r>
              <w:rPr>
                <w:sz w:val="20"/>
              </w:rPr>
              <w:t>Migratory labor committee</w:t>
            </w:r>
          </w:p>
        </w:tc>
        <w:tc>
          <w:tcPr>
            <w:tcW w:w="1285" w:type="dxa"/>
          </w:tcPr>
          <w:p w14:paraId="5D635BC9" w14:textId="77777777" w:rsidR="0046798B" w:rsidRDefault="00903B5C">
            <w:pPr>
              <w:pStyle w:val="TableParagraph"/>
              <w:spacing w:before="158"/>
              <w:ind w:left="114"/>
              <w:rPr>
                <w:sz w:val="20"/>
              </w:rPr>
            </w:pPr>
            <w:r>
              <w:rPr>
                <w:sz w:val="20"/>
              </w:rPr>
              <w:t>1943–1960</w:t>
            </w:r>
          </w:p>
        </w:tc>
        <w:tc>
          <w:tcPr>
            <w:tcW w:w="3421" w:type="dxa"/>
          </w:tcPr>
          <w:p w14:paraId="47C520F6" w14:textId="77777777" w:rsidR="0046798B" w:rsidRDefault="00903B5C">
            <w:pPr>
              <w:pStyle w:val="TableParagraph"/>
              <w:spacing w:before="43"/>
              <w:ind w:left="114" w:right="627"/>
              <w:rPr>
                <w:sz w:val="20"/>
              </w:rPr>
            </w:pPr>
            <w:r>
              <w:rPr>
                <w:sz w:val="20"/>
              </w:rPr>
              <w:t>Did state adopt a migratory labor committee? (0 = no, 1 = yes)</w:t>
            </w:r>
          </w:p>
        </w:tc>
        <w:tc>
          <w:tcPr>
            <w:tcW w:w="6482" w:type="dxa"/>
          </w:tcPr>
          <w:p w14:paraId="708E4944" w14:textId="77777777" w:rsidR="0046798B" w:rsidRDefault="00903B5C">
            <w:pPr>
              <w:pStyle w:val="TableParagraph"/>
              <w:spacing w:before="4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10A30C0F" w14:textId="77777777">
        <w:trPr>
          <w:trHeight w:val="545"/>
        </w:trPr>
        <w:tc>
          <w:tcPr>
            <w:tcW w:w="1711" w:type="dxa"/>
          </w:tcPr>
          <w:p w14:paraId="465B36D3" w14:textId="77777777" w:rsidR="0046798B" w:rsidRDefault="00903B5C">
            <w:pPr>
              <w:pStyle w:val="TableParagraph"/>
              <w:spacing w:before="158"/>
              <w:ind w:left="115"/>
              <w:rPr>
                <w:b/>
                <w:sz w:val="20"/>
              </w:rPr>
            </w:pPr>
            <w:r>
              <w:rPr>
                <w:b/>
                <w:sz w:val="20"/>
              </w:rPr>
              <w:t>minwage</w:t>
            </w:r>
          </w:p>
        </w:tc>
        <w:tc>
          <w:tcPr>
            <w:tcW w:w="1596" w:type="dxa"/>
          </w:tcPr>
          <w:p w14:paraId="345311EC" w14:textId="77777777" w:rsidR="0046798B" w:rsidRDefault="00903B5C">
            <w:pPr>
              <w:pStyle w:val="TableParagraph"/>
              <w:spacing w:before="43"/>
              <w:ind w:left="114" w:right="179"/>
              <w:rPr>
                <w:sz w:val="20"/>
              </w:rPr>
            </w:pPr>
            <w:r>
              <w:rPr>
                <w:sz w:val="20"/>
              </w:rPr>
              <w:t>Minimum wage law</w:t>
            </w:r>
          </w:p>
        </w:tc>
        <w:tc>
          <w:tcPr>
            <w:tcW w:w="1285" w:type="dxa"/>
          </w:tcPr>
          <w:p w14:paraId="71E35955" w14:textId="77777777" w:rsidR="0046798B" w:rsidRDefault="00903B5C">
            <w:pPr>
              <w:pStyle w:val="TableParagraph"/>
              <w:spacing w:before="158"/>
              <w:ind w:left="114"/>
              <w:rPr>
                <w:sz w:val="20"/>
              </w:rPr>
            </w:pPr>
            <w:r>
              <w:rPr>
                <w:sz w:val="20"/>
              </w:rPr>
              <w:t>1915–1965</w:t>
            </w:r>
          </w:p>
        </w:tc>
        <w:tc>
          <w:tcPr>
            <w:tcW w:w="3421" w:type="dxa"/>
          </w:tcPr>
          <w:p w14:paraId="39E70079" w14:textId="77777777" w:rsidR="0046798B" w:rsidRDefault="00903B5C">
            <w:pPr>
              <w:pStyle w:val="TableParagraph"/>
              <w:spacing w:before="43"/>
              <w:ind w:left="114" w:right="200"/>
              <w:rPr>
                <w:sz w:val="20"/>
              </w:rPr>
            </w:pPr>
            <w:r>
              <w:rPr>
                <w:sz w:val="20"/>
              </w:rPr>
              <w:t>Did state adopt a minimum wage law? (0 = no, 1 = yes)</w:t>
            </w:r>
          </w:p>
        </w:tc>
        <w:tc>
          <w:tcPr>
            <w:tcW w:w="6482" w:type="dxa"/>
          </w:tcPr>
          <w:p w14:paraId="6E09FFB1" w14:textId="77777777" w:rsidR="0046798B" w:rsidRDefault="00903B5C">
            <w:pPr>
              <w:pStyle w:val="TableParagraph"/>
              <w:spacing w:before="4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57716EF4" w14:textId="77777777">
        <w:trPr>
          <w:trHeight w:val="550"/>
        </w:trPr>
        <w:tc>
          <w:tcPr>
            <w:tcW w:w="1711" w:type="dxa"/>
          </w:tcPr>
          <w:p w14:paraId="5A125E82" w14:textId="77777777" w:rsidR="0046798B" w:rsidRDefault="00903B5C">
            <w:pPr>
              <w:pStyle w:val="TableParagraph"/>
              <w:spacing w:before="158"/>
              <w:ind w:left="115"/>
              <w:rPr>
                <w:b/>
                <w:sz w:val="20"/>
              </w:rPr>
            </w:pPr>
            <w:r>
              <w:rPr>
                <w:b/>
                <w:sz w:val="20"/>
              </w:rPr>
              <w:t>right2work</w:t>
            </w:r>
          </w:p>
        </w:tc>
        <w:tc>
          <w:tcPr>
            <w:tcW w:w="1596" w:type="dxa"/>
          </w:tcPr>
          <w:p w14:paraId="0DC090E0" w14:textId="77777777" w:rsidR="0046798B" w:rsidRDefault="00903B5C">
            <w:pPr>
              <w:pStyle w:val="TableParagraph"/>
              <w:spacing w:before="43"/>
              <w:ind w:left="114" w:right="340"/>
              <w:rPr>
                <w:sz w:val="20"/>
              </w:rPr>
            </w:pPr>
            <w:r>
              <w:rPr>
                <w:sz w:val="20"/>
              </w:rPr>
              <w:t>Right to work legislation</w:t>
            </w:r>
          </w:p>
        </w:tc>
        <w:tc>
          <w:tcPr>
            <w:tcW w:w="1285" w:type="dxa"/>
          </w:tcPr>
          <w:p w14:paraId="2F828737" w14:textId="77777777" w:rsidR="0046798B" w:rsidRDefault="00903B5C">
            <w:pPr>
              <w:pStyle w:val="TableParagraph"/>
              <w:spacing w:before="158"/>
              <w:ind w:left="114"/>
              <w:rPr>
                <w:sz w:val="20"/>
              </w:rPr>
            </w:pPr>
            <w:r>
              <w:rPr>
                <w:sz w:val="20"/>
              </w:rPr>
              <w:t>1911–2001</w:t>
            </w:r>
          </w:p>
        </w:tc>
        <w:tc>
          <w:tcPr>
            <w:tcW w:w="3421" w:type="dxa"/>
          </w:tcPr>
          <w:p w14:paraId="3D8A1868" w14:textId="77777777" w:rsidR="0046798B" w:rsidRDefault="00903B5C">
            <w:pPr>
              <w:pStyle w:val="TableParagraph"/>
              <w:spacing w:before="43"/>
              <w:ind w:left="114" w:right="205"/>
              <w:rPr>
                <w:sz w:val="20"/>
              </w:rPr>
            </w:pPr>
            <w:r>
              <w:rPr>
                <w:sz w:val="20"/>
              </w:rPr>
              <w:t>Did state adopt right-to-work legislation? (0 = no, 1 = yes)</w:t>
            </w:r>
          </w:p>
        </w:tc>
        <w:tc>
          <w:tcPr>
            <w:tcW w:w="6482" w:type="dxa"/>
          </w:tcPr>
          <w:p w14:paraId="75D715EF" w14:textId="77777777" w:rsidR="0046798B" w:rsidRDefault="00903B5C">
            <w:pPr>
              <w:pStyle w:val="TableParagraph"/>
              <w:spacing w:before="4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5146EEF6" w14:textId="77777777">
        <w:trPr>
          <w:trHeight w:val="775"/>
        </w:trPr>
        <w:tc>
          <w:tcPr>
            <w:tcW w:w="1711" w:type="dxa"/>
          </w:tcPr>
          <w:p w14:paraId="35BA6DAB" w14:textId="77777777" w:rsidR="0046798B" w:rsidRDefault="0046798B">
            <w:pPr>
              <w:pStyle w:val="TableParagraph"/>
              <w:spacing w:before="4"/>
              <w:rPr>
                <w:b/>
                <w:sz w:val="23"/>
              </w:rPr>
            </w:pPr>
          </w:p>
          <w:p w14:paraId="4C0E0998" w14:textId="77777777" w:rsidR="0046798B" w:rsidRDefault="00903B5C">
            <w:pPr>
              <w:pStyle w:val="TableParagraph"/>
              <w:ind w:left="115"/>
              <w:rPr>
                <w:b/>
                <w:sz w:val="20"/>
              </w:rPr>
            </w:pPr>
            <w:r>
              <w:rPr>
                <w:b/>
                <w:sz w:val="20"/>
              </w:rPr>
              <w:t>sals</w:t>
            </w:r>
          </w:p>
        </w:tc>
        <w:tc>
          <w:tcPr>
            <w:tcW w:w="1596" w:type="dxa"/>
          </w:tcPr>
          <w:p w14:paraId="5192E934" w14:textId="77777777" w:rsidR="0046798B" w:rsidRDefault="00903B5C">
            <w:pPr>
              <w:pStyle w:val="TableParagraph"/>
              <w:spacing w:before="39"/>
              <w:ind w:left="114" w:right="235"/>
              <w:rPr>
                <w:sz w:val="20"/>
              </w:rPr>
            </w:pPr>
            <w:r>
              <w:rPr>
                <w:sz w:val="20"/>
              </w:rPr>
              <w:t>Seasonal agricultural labor standards</w:t>
            </w:r>
          </w:p>
        </w:tc>
        <w:tc>
          <w:tcPr>
            <w:tcW w:w="1285" w:type="dxa"/>
          </w:tcPr>
          <w:p w14:paraId="0C0959B1" w14:textId="77777777" w:rsidR="0046798B" w:rsidRDefault="0046798B">
            <w:pPr>
              <w:pStyle w:val="TableParagraph"/>
              <w:spacing w:before="4"/>
              <w:rPr>
                <w:b/>
                <w:sz w:val="23"/>
              </w:rPr>
            </w:pPr>
          </w:p>
          <w:p w14:paraId="5DC2A10F" w14:textId="77777777" w:rsidR="0046798B" w:rsidRDefault="00903B5C">
            <w:pPr>
              <w:pStyle w:val="TableParagraph"/>
              <w:ind w:left="114"/>
              <w:rPr>
                <w:sz w:val="20"/>
              </w:rPr>
            </w:pPr>
            <w:r>
              <w:rPr>
                <w:sz w:val="20"/>
              </w:rPr>
              <w:t>1945–1965</w:t>
            </w:r>
          </w:p>
        </w:tc>
        <w:tc>
          <w:tcPr>
            <w:tcW w:w="3421" w:type="dxa"/>
          </w:tcPr>
          <w:p w14:paraId="0EA99A6A" w14:textId="77777777" w:rsidR="0046798B" w:rsidRDefault="00903B5C">
            <w:pPr>
              <w:pStyle w:val="TableParagraph"/>
              <w:spacing w:before="154"/>
              <w:ind w:left="114" w:right="366"/>
              <w:rPr>
                <w:sz w:val="20"/>
              </w:rPr>
            </w:pPr>
            <w:r>
              <w:rPr>
                <w:sz w:val="20"/>
              </w:rPr>
              <w:t>Did state adopt seasonal agricultural labor standards? (0 = no, 1 = yes)</w:t>
            </w:r>
          </w:p>
        </w:tc>
        <w:tc>
          <w:tcPr>
            <w:tcW w:w="6482" w:type="dxa"/>
          </w:tcPr>
          <w:p w14:paraId="1B957F72" w14:textId="77777777" w:rsidR="0046798B" w:rsidRDefault="00903B5C">
            <w:pPr>
              <w:pStyle w:val="TableParagraph"/>
              <w:spacing w:before="154"/>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627E5AA2" w14:textId="77777777">
        <w:trPr>
          <w:trHeight w:val="1465"/>
        </w:trPr>
        <w:tc>
          <w:tcPr>
            <w:tcW w:w="1711" w:type="dxa"/>
          </w:tcPr>
          <w:p w14:paraId="294A3633" w14:textId="77777777" w:rsidR="0046798B" w:rsidRDefault="0046798B">
            <w:pPr>
              <w:pStyle w:val="TableParagraph"/>
              <w:rPr>
                <w:b/>
              </w:rPr>
            </w:pPr>
          </w:p>
          <w:p w14:paraId="1F0E0C69" w14:textId="77777777" w:rsidR="0046798B" w:rsidRDefault="0046798B">
            <w:pPr>
              <w:pStyle w:val="TableParagraph"/>
              <w:spacing w:before="4"/>
              <w:rPr>
                <w:b/>
                <w:sz w:val="31"/>
              </w:rPr>
            </w:pPr>
          </w:p>
          <w:p w14:paraId="78FECF5D" w14:textId="77777777" w:rsidR="0046798B" w:rsidRDefault="00903B5C">
            <w:pPr>
              <w:pStyle w:val="TableParagraph"/>
              <w:ind w:left="115"/>
              <w:rPr>
                <w:b/>
                <w:sz w:val="20"/>
              </w:rPr>
            </w:pPr>
            <w:r>
              <w:rPr>
                <w:b/>
                <w:sz w:val="20"/>
              </w:rPr>
              <w:t>gagexem</w:t>
            </w:r>
          </w:p>
        </w:tc>
        <w:tc>
          <w:tcPr>
            <w:tcW w:w="1596" w:type="dxa"/>
          </w:tcPr>
          <w:p w14:paraId="62661DF7" w14:textId="77777777" w:rsidR="0046798B" w:rsidRDefault="00903B5C">
            <w:pPr>
              <w:pStyle w:val="TableParagraph"/>
              <w:spacing w:before="38"/>
              <w:ind w:left="114" w:right="341"/>
              <w:rPr>
                <w:sz w:val="20"/>
              </w:rPr>
            </w:pPr>
            <w:r>
              <w:rPr>
                <w:sz w:val="20"/>
              </w:rPr>
              <w:t>Workers’ compensation optional for certain agricultural workers</w:t>
            </w:r>
          </w:p>
        </w:tc>
        <w:tc>
          <w:tcPr>
            <w:tcW w:w="1285" w:type="dxa"/>
          </w:tcPr>
          <w:p w14:paraId="02987E40" w14:textId="77777777" w:rsidR="0046798B" w:rsidRDefault="0046798B">
            <w:pPr>
              <w:pStyle w:val="TableParagraph"/>
              <w:rPr>
                <w:b/>
              </w:rPr>
            </w:pPr>
          </w:p>
          <w:p w14:paraId="2F3017D8" w14:textId="77777777" w:rsidR="0046798B" w:rsidRDefault="0046798B">
            <w:pPr>
              <w:pStyle w:val="TableParagraph"/>
              <w:spacing w:before="4"/>
              <w:rPr>
                <w:b/>
                <w:sz w:val="31"/>
              </w:rPr>
            </w:pPr>
          </w:p>
          <w:p w14:paraId="630F94F5" w14:textId="77777777" w:rsidR="0046798B" w:rsidRDefault="00903B5C">
            <w:pPr>
              <w:pStyle w:val="TableParagraph"/>
              <w:ind w:left="114"/>
              <w:rPr>
                <w:sz w:val="20"/>
              </w:rPr>
            </w:pPr>
            <w:r>
              <w:rPr>
                <w:sz w:val="20"/>
              </w:rPr>
              <w:t>2000–2015</w:t>
            </w:r>
          </w:p>
        </w:tc>
        <w:tc>
          <w:tcPr>
            <w:tcW w:w="3421" w:type="dxa"/>
          </w:tcPr>
          <w:p w14:paraId="67D26387" w14:textId="77777777" w:rsidR="0046798B" w:rsidRDefault="0046798B">
            <w:pPr>
              <w:pStyle w:val="TableParagraph"/>
              <w:rPr>
                <w:b/>
              </w:rPr>
            </w:pPr>
          </w:p>
          <w:p w14:paraId="0D411ACC" w14:textId="77777777" w:rsidR="0046798B" w:rsidRDefault="00903B5C">
            <w:pPr>
              <w:pStyle w:val="TableParagraph"/>
              <w:spacing w:before="130"/>
              <w:ind w:left="114" w:right="148"/>
              <w:rPr>
                <w:sz w:val="20"/>
              </w:rPr>
            </w:pPr>
            <w:r>
              <w:rPr>
                <w:sz w:val="20"/>
              </w:rPr>
              <w:t>Workers’ compensation optional for certain agricultural workers? (0 = no, 1</w:t>
            </w:r>
          </w:p>
          <w:p w14:paraId="15ADB50A" w14:textId="77777777" w:rsidR="0046798B" w:rsidRDefault="00903B5C">
            <w:pPr>
              <w:pStyle w:val="TableParagraph"/>
              <w:ind w:left="114"/>
              <w:rPr>
                <w:sz w:val="20"/>
              </w:rPr>
            </w:pPr>
            <w:r>
              <w:rPr>
                <w:sz w:val="20"/>
              </w:rPr>
              <w:t>= yes)</w:t>
            </w:r>
          </w:p>
        </w:tc>
        <w:tc>
          <w:tcPr>
            <w:tcW w:w="6482" w:type="dxa"/>
          </w:tcPr>
          <w:p w14:paraId="44070B90" w14:textId="77777777" w:rsidR="0046798B" w:rsidRDefault="0046798B">
            <w:pPr>
              <w:pStyle w:val="TableParagraph"/>
              <w:rPr>
                <w:b/>
              </w:rPr>
            </w:pPr>
          </w:p>
          <w:p w14:paraId="5D535F5D" w14:textId="77777777" w:rsidR="0046798B" w:rsidRDefault="00903B5C">
            <w:pPr>
              <w:pStyle w:val="TableParagraph"/>
              <w:spacing w:before="130"/>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BA4FE24" w14:textId="77777777">
        <w:trPr>
          <w:trHeight w:val="1465"/>
        </w:trPr>
        <w:tc>
          <w:tcPr>
            <w:tcW w:w="1711" w:type="dxa"/>
          </w:tcPr>
          <w:p w14:paraId="2467EF9D" w14:textId="77777777" w:rsidR="0046798B" w:rsidRDefault="0046798B">
            <w:pPr>
              <w:pStyle w:val="TableParagraph"/>
              <w:rPr>
                <w:b/>
              </w:rPr>
            </w:pPr>
          </w:p>
          <w:p w14:paraId="4260300E" w14:textId="77777777" w:rsidR="0046798B" w:rsidRDefault="0046798B">
            <w:pPr>
              <w:pStyle w:val="TableParagraph"/>
              <w:spacing w:before="4"/>
              <w:rPr>
                <w:b/>
                <w:sz w:val="31"/>
              </w:rPr>
            </w:pPr>
          </w:p>
          <w:p w14:paraId="7F2050A4" w14:textId="77777777" w:rsidR="0046798B" w:rsidRDefault="00903B5C">
            <w:pPr>
              <w:pStyle w:val="TableParagraph"/>
              <w:ind w:left="115"/>
              <w:rPr>
                <w:b/>
                <w:sz w:val="20"/>
              </w:rPr>
            </w:pPr>
            <w:r>
              <w:rPr>
                <w:b/>
                <w:sz w:val="20"/>
              </w:rPr>
              <w:t>gcomp</w:t>
            </w:r>
          </w:p>
        </w:tc>
        <w:tc>
          <w:tcPr>
            <w:tcW w:w="1596" w:type="dxa"/>
          </w:tcPr>
          <w:p w14:paraId="15C28F54" w14:textId="77777777" w:rsidR="0046798B" w:rsidRDefault="0046798B">
            <w:pPr>
              <w:pStyle w:val="TableParagraph"/>
              <w:spacing w:before="4"/>
              <w:rPr>
                <w:b/>
                <w:sz w:val="23"/>
              </w:rPr>
            </w:pPr>
          </w:p>
          <w:p w14:paraId="640144C8" w14:textId="77777777" w:rsidR="0046798B" w:rsidRDefault="00903B5C">
            <w:pPr>
              <w:pStyle w:val="TableParagraph"/>
              <w:ind w:left="114" w:right="235"/>
              <w:rPr>
                <w:sz w:val="20"/>
              </w:rPr>
            </w:pPr>
            <w:r>
              <w:rPr>
                <w:sz w:val="20"/>
              </w:rPr>
              <w:t>Workers’ compensation mandated coverage index</w:t>
            </w:r>
          </w:p>
        </w:tc>
        <w:tc>
          <w:tcPr>
            <w:tcW w:w="1285" w:type="dxa"/>
          </w:tcPr>
          <w:p w14:paraId="1FB8A07F" w14:textId="77777777" w:rsidR="0046798B" w:rsidRDefault="0046798B">
            <w:pPr>
              <w:pStyle w:val="TableParagraph"/>
              <w:rPr>
                <w:b/>
              </w:rPr>
            </w:pPr>
          </w:p>
          <w:p w14:paraId="08F1FAF0" w14:textId="77777777" w:rsidR="0046798B" w:rsidRDefault="0046798B">
            <w:pPr>
              <w:pStyle w:val="TableParagraph"/>
              <w:spacing w:before="4"/>
              <w:rPr>
                <w:b/>
                <w:sz w:val="31"/>
              </w:rPr>
            </w:pPr>
          </w:p>
          <w:p w14:paraId="463471A6" w14:textId="77777777" w:rsidR="0046798B" w:rsidRDefault="00903B5C">
            <w:pPr>
              <w:pStyle w:val="TableParagraph"/>
              <w:ind w:left="114"/>
              <w:rPr>
                <w:sz w:val="20"/>
              </w:rPr>
            </w:pPr>
            <w:r>
              <w:rPr>
                <w:sz w:val="20"/>
              </w:rPr>
              <w:t>2000–2015</w:t>
            </w:r>
          </w:p>
        </w:tc>
        <w:tc>
          <w:tcPr>
            <w:tcW w:w="3421" w:type="dxa"/>
          </w:tcPr>
          <w:p w14:paraId="64F8CA70" w14:textId="77777777" w:rsidR="0046798B" w:rsidRDefault="00903B5C">
            <w:pPr>
              <w:pStyle w:val="TableParagraph"/>
              <w:spacing w:before="38"/>
              <w:ind w:left="114" w:right="533"/>
              <w:rPr>
                <w:sz w:val="20"/>
              </w:rPr>
            </w:pPr>
            <w:r>
              <w:rPr>
                <w:sz w:val="20"/>
              </w:rPr>
              <w:t>Workers’ compensation mandated coverage index</w:t>
            </w:r>
          </w:p>
          <w:p w14:paraId="377B226C" w14:textId="77777777" w:rsidR="0046798B" w:rsidRDefault="0046798B">
            <w:pPr>
              <w:pStyle w:val="TableParagraph"/>
              <w:rPr>
                <w:b/>
                <w:sz w:val="20"/>
              </w:rPr>
            </w:pPr>
          </w:p>
          <w:p w14:paraId="09E46D1E" w14:textId="77777777" w:rsidR="0046798B" w:rsidRDefault="00903B5C">
            <w:pPr>
              <w:pStyle w:val="TableParagraph"/>
              <w:ind w:left="114" w:right="125"/>
              <w:rPr>
                <w:sz w:val="20"/>
              </w:rPr>
            </w:pPr>
            <w:r>
              <w:rPr>
                <w:sz w:val="20"/>
              </w:rPr>
              <w:t>Predicted values: robust OLS regression of gcompcov on gcompman, ln(gsbexem + 1), gagexem</w:t>
            </w:r>
          </w:p>
        </w:tc>
        <w:tc>
          <w:tcPr>
            <w:tcW w:w="6482" w:type="dxa"/>
          </w:tcPr>
          <w:p w14:paraId="1B3AD03F" w14:textId="77777777" w:rsidR="0046798B" w:rsidRDefault="0046798B">
            <w:pPr>
              <w:pStyle w:val="TableParagraph"/>
              <w:rPr>
                <w:b/>
              </w:rPr>
            </w:pPr>
          </w:p>
          <w:p w14:paraId="3A53CB24" w14:textId="77777777" w:rsidR="0046798B" w:rsidRDefault="00903B5C">
            <w:pPr>
              <w:pStyle w:val="TableParagraph"/>
              <w:spacing w:before="130"/>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43B691A8" w14:textId="77777777" w:rsidR="0046798B" w:rsidRDefault="0046798B">
      <w:pPr>
        <w:rPr>
          <w:sz w:val="20"/>
        </w:rPr>
        <w:sectPr w:rsidR="0046798B">
          <w:pgSz w:w="15840" w:h="12240" w:orient="landscape"/>
          <w:pgMar w:top="1220" w:right="300" w:bottom="980" w:left="820" w:header="730" w:footer="787" w:gutter="0"/>
          <w:cols w:space="720"/>
        </w:sectPr>
      </w:pPr>
    </w:p>
    <w:p w14:paraId="4DFEA70F"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77958687" w14:textId="77777777">
        <w:trPr>
          <w:trHeight w:val="1005"/>
        </w:trPr>
        <w:tc>
          <w:tcPr>
            <w:tcW w:w="1711" w:type="dxa"/>
          </w:tcPr>
          <w:p w14:paraId="3D5BB9CC" w14:textId="77777777" w:rsidR="0046798B" w:rsidRDefault="0046798B">
            <w:pPr>
              <w:pStyle w:val="TableParagraph"/>
            </w:pPr>
          </w:p>
          <w:p w14:paraId="02F3AEAA" w14:textId="77777777" w:rsidR="0046798B" w:rsidRDefault="00903B5C">
            <w:pPr>
              <w:pStyle w:val="TableParagraph"/>
              <w:spacing w:before="135"/>
              <w:ind w:left="115"/>
              <w:rPr>
                <w:b/>
                <w:sz w:val="20"/>
              </w:rPr>
            </w:pPr>
            <w:r>
              <w:rPr>
                <w:b/>
                <w:sz w:val="20"/>
              </w:rPr>
              <w:t>gcompcov</w:t>
            </w:r>
          </w:p>
        </w:tc>
        <w:tc>
          <w:tcPr>
            <w:tcW w:w="1596" w:type="dxa"/>
          </w:tcPr>
          <w:p w14:paraId="59806448" w14:textId="77777777" w:rsidR="0046798B" w:rsidRDefault="00903B5C">
            <w:pPr>
              <w:pStyle w:val="TableParagraph"/>
              <w:spacing w:before="43"/>
              <w:ind w:left="114" w:right="241"/>
              <w:rPr>
                <w:sz w:val="20"/>
              </w:rPr>
            </w:pPr>
            <w:r>
              <w:rPr>
                <w:sz w:val="20"/>
              </w:rPr>
              <w:t>WC-covered employees as a</w:t>
            </w:r>
          </w:p>
          <w:p w14:paraId="2D9404A9" w14:textId="77777777" w:rsidR="0046798B" w:rsidRDefault="00903B5C">
            <w:pPr>
              <w:pStyle w:val="TableParagraph"/>
              <w:ind w:left="114"/>
              <w:rPr>
                <w:sz w:val="20"/>
              </w:rPr>
            </w:pPr>
            <w:r>
              <w:rPr>
                <w:sz w:val="20"/>
              </w:rPr>
              <w:t>% of UI-covered employees</w:t>
            </w:r>
          </w:p>
        </w:tc>
        <w:tc>
          <w:tcPr>
            <w:tcW w:w="1285" w:type="dxa"/>
          </w:tcPr>
          <w:p w14:paraId="2283A475" w14:textId="77777777" w:rsidR="0046798B" w:rsidRDefault="0046798B">
            <w:pPr>
              <w:pStyle w:val="TableParagraph"/>
            </w:pPr>
          </w:p>
          <w:p w14:paraId="2F48E6E9" w14:textId="77777777" w:rsidR="0046798B" w:rsidRDefault="00903B5C">
            <w:pPr>
              <w:pStyle w:val="TableParagraph"/>
              <w:spacing w:before="135"/>
              <w:ind w:left="114"/>
              <w:rPr>
                <w:sz w:val="20"/>
              </w:rPr>
            </w:pPr>
            <w:r>
              <w:rPr>
                <w:sz w:val="20"/>
              </w:rPr>
              <w:t>2000–2015</w:t>
            </w:r>
          </w:p>
        </w:tc>
        <w:tc>
          <w:tcPr>
            <w:tcW w:w="3421" w:type="dxa"/>
          </w:tcPr>
          <w:p w14:paraId="1ACF3A49" w14:textId="77777777" w:rsidR="0046798B" w:rsidRDefault="0046798B">
            <w:pPr>
              <w:pStyle w:val="TableParagraph"/>
              <w:spacing w:before="9"/>
              <w:rPr>
                <w:sz w:val="23"/>
              </w:rPr>
            </w:pPr>
          </w:p>
          <w:p w14:paraId="1AFBBA7E" w14:textId="77777777" w:rsidR="0046798B" w:rsidRDefault="00903B5C">
            <w:pPr>
              <w:pStyle w:val="TableParagraph"/>
              <w:ind w:left="114" w:right="233"/>
              <w:rPr>
                <w:sz w:val="20"/>
              </w:rPr>
            </w:pPr>
            <w:r>
              <w:rPr>
                <w:sz w:val="20"/>
              </w:rPr>
              <w:t>WC-covered employees as a % of UI- covered employees</w:t>
            </w:r>
          </w:p>
        </w:tc>
        <w:tc>
          <w:tcPr>
            <w:tcW w:w="6482" w:type="dxa"/>
          </w:tcPr>
          <w:p w14:paraId="462E418D"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412D9CB" w14:textId="77777777">
        <w:trPr>
          <w:trHeight w:val="775"/>
        </w:trPr>
        <w:tc>
          <w:tcPr>
            <w:tcW w:w="1711" w:type="dxa"/>
          </w:tcPr>
          <w:p w14:paraId="3E56CDBF" w14:textId="77777777" w:rsidR="0046798B" w:rsidRDefault="0046798B">
            <w:pPr>
              <w:pStyle w:val="TableParagraph"/>
              <w:spacing w:before="8"/>
              <w:rPr>
                <w:sz w:val="23"/>
              </w:rPr>
            </w:pPr>
          </w:p>
          <w:p w14:paraId="231FF706" w14:textId="77777777" w:rsidR="0046798B" w:rsidRDefault="00903B5C">
            <w:pPr>
              <w:pStyle w:val="TableParagraph"/>
              <w:spacing w:before="1"/>
              <w:ind w:left="115"/>
              <w:rPr>
                <w:b/>
                <w:sz w:val="20"/>
              </w:rPr>
            </w:pPr>
            <w:r>
              <w:rPr>
                <w:b/>
                <w:sz w:val="20"/>
              </w:rPr>
              <w:t>gcompfnd</w:t>
            </w:r>
          </w:p>
        </w:tc>
        <w:tc>
          <w:tcPr>
            <w:tcW w:w="1596" w:type="dxa"/>
          </w:tcPr>
          <w:p w14:paraId="1C546478" w14:textId="77777777" w:rsidR="0046798B" w:rsidRDefault="00903B5C">
            <w:pPr>
              <w:pStyle w:val="TableParagraph"/>
              <w:spacing w:before="43"/>
              <w:ind w:left="114" w:right="335"/>
              <w:rPr>
                <w:sz w:val="20"/>
              </w:rPr>
            </w:pPr>
            <w:r>
              <w:rPr>
                <w:sz w:val="20"/>
              </w:rPr>
              <w:t>Workers’ compensation funding index</w:t>
            </w:r>
          </w:p>
        </w:tc>
        <w:tc>
          <w:tcPr>
            <w:tcW w:w="1285" w:type="dxa"/>
          </w:tcPr>
          <w:p w14:paraId="6C9F076A" w14:textId="77777777" w:rsidR="0046798B" w:rsidRDefault="0046798B">
            <w:pPr>
              <w:pStyle w:val="TableParagraph"/>
              <w:spacing w:before="8"/>
              <w:rPr>
                <w:sz w:val="23"/>
              </w:rPr>
            </w:pPr>
          </w:p>
          <w:p w14:paraId="2BEC53B6" w14:textId="77777777" w:rsidR="0046798B" w:rsidRDefault="00903B5C">
            <w:pPr>
              <w:pStyle w:val="TableParagraph"/>
              <w:spacing w:before="1"/>
              <w:ind w:left="114"/>
              <w:rPr>
                <w:sz w:val="20"/>
              </w:rPr>
            </w:pPr>
            <w:r>
              <w:rPr>
                <w:sz w:val="20"/>
              </w:rPr>
              <w:t>2000–2015</w:t>
            </w:r>
          </w:p>
        </w:tc>
        <w:tc>
          <w:tcPr>
            <w:tcW w:w="3421" w:type="dxa"/>
          </w:tcPr>
          <w:p w14:paraId="24543DAB" w14:textId="77777777" w:rsidR="0046798B" w:rsidRDefault="00903B5C">
            <w:pPr>
              <w:pStyle w:val="TableParagraph"/>
              <w:spacing w:before="158"/>
              <w:ind w:left="114" w:right="138"/>
              <w:rPr>
                <w:sz w:val="20"/>
              </w:rPr>
            </w:pPr>
            <w:r>
              <w:rPr>
                <w:sz w:val="20"/>
              </w:rPr>
              <w:t>Workers’ compensation funding index: 1 + gprivins + gselfins – gsfund</w:t>
            </w:r>
          </w:p>
        </w:tc>
        <w:tc>
          <w:tcPr>
            <w:tcW w:w="6482" w:type="dxa"/>
          </w:tcPr>
          <w:p w14:paraId="4ECE86B6" w14:textId="77777777" w:rsidR="0046798B" w:rsidRDefault="00903B5C">
            <w:pPr>
              <w:pStyle w:val="TableParagraph"/>
              <w:spacing w:before="4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58B5029" w14:textId="77777777">
        <w:trPr>
          <w:trHeight w:val="780"/>
        </w:trPr>
        <w:tc>
          <w:tcPr>
            <w:tcW w:w="1711" w:type="dxa"/>
          </w:tcPr>
          <w:p w14:paraId="423A2D3E" w14:textId="77777777" w:rsidR="0046798B" w:rsidRDefault="0046798B">
            <w:pPr>
              <w:pStyle w:val="TableParagraph"/>
              <w:spacing w:before="8"/>
              <w:rPr>
                <w:sz w:val="23"/>
              </w:rPr>
            </w:pPr>
          </w:p>
          <w:p w14:paraId="4CE67DF6" w14:textId="77777777" w:rsidR="0046798B" w:rsidRDefault="00903B5C">
            <w:pPr>
              <w:pStyle w:val="TableParagraph"/>
              <w:spacing w:before="1"/>
              <w:ind w:left="115"/>
              <w:rPr>
                <w:b/>
                <w:sz w:val="20"/>
              </w:rPr>
            </w:pPr>
            <w:r>
              <w:rPr>
                <w:b/>
                <w:sz w:val="20"/>
              </w:rPr>
              <w:t>gcompjob</w:t>
            </w:r>
          </w:p>
        </w:tc>
        <w:tc>
          <w:tcPr>
            <w:tcW w:w="1596" w:type="dxa"/>
          </w:tcPr>
          <w:p w14:paraId="417B296C" w14:textId="77777777" w:rsidR="0046798B" w:rsidRDefault="00903B5C">
            <w:pPr>
              <w:pStyle w:val="TableParagraph"/>
              <w:spacing w:before="43"/>
              <w:ind w:left="114" w:right="135"/>
              <w:rPr>
                <w:sz w:val="20"/>
              </w:rPr>
            </w:pPr>
            <w:r>
              <w:rPr>
                <w:sz w:val="20"/>
              </w:rPr>
              <w:t>Average compensation per job, dollars</w:t>
            </w:r>
          </w:p>
        </w:tc>
        <w:tc>
          <w:tcPr>
            <w:tcW w:w="1285" w:type="dxa"/>
          </w:tcPr>
          <w:p w14:paraId="2CF0F305" w14:textId="77777777" w:rsidR="0046798B" w:rsidRDefault="0046798B">
            <w:pPr>
              <w:pStyle w:val="TableParagraph"/>
              <w:spacing w:before="8"/>
              <w:rPr>
                <w:sz w:val="23"/>
              </w:rPr>
            </w:pPr>
          </w:p>
          <w:p w14:paraId="32A7D80A" w14:textId="77777777" w:rsidR="0046798B" w:rsidRDefault="00903B5C">
            <w:pPr>
              <w:pStyle w:val="TableParagraph"/>
              <w:spacing w:before="1"/>
              <w:ind w:left="114"/>
              <w:rPr>
                <w:sz w:val="20"/>
              </w:rPr>
            </w:pPr>
            <w:r>
              <w:rPr>
                <w:sz w:val="20"/>
              </w:rPr>
              <w:t>2000–2016</w:t>
            </w:r>
          </w:p>
        </w:tc>
        <w:tc>
          <w:tcPr>
            <w:tcW w:w="3421" w:type="dxa"/>
          </w:tcPr>
          <w:p w14:paraId="6C17CD93" w14:textId="77777777" w:rsidR="0046798B" w:rsidRDefault="0046798B">
            <w:pPr>
              <w:pStyle w:val="TableParagraph"/>
              <w:spacing w:before="8"/>
              <w:rPr>
                <w:sz w:val="23"/>
              </w:rPr>
            </w:pPr>
          </w:p>
          <w:p w14:paraId="6836675A" w14:textId="77777777" w:rsidR="0046798B" w:rsidRDefault="00903B5C">
            <w:pPr>
              <w:pStyle w:val="TableParagraph"/>
              <w:spacing w:before="1"/>
              <w:ind w:left="114"/>
              <w:rPr>
                <w:sz w:val="20"/>
              </w:rPr>
            </w:pPr>
            <w:r>
              <w:rPr>
                <w:sz w:val="20"/>
              </w:rPr>
              <w:t>Average compensation per job, dollars</w:t>
            </w:r>
          </w:p>
        </w:tc>
        <w:tc>
          <w:tcPr>
            <w:tcW w:w="6482" w:type="dxa"/>
          </w:tcPr>
          <w:p w14:paraId="0A27D7B7"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76B5C40" w14:textId="77777777">
        <w:trPr>
          <w:trHeight w:val="2155"/>
        </w:trPr>
        <w:tc>
          <w:tcPr>
            <w:tcW w:w="1711" w:type="dxa"/>
          </w:tcPr>
          <w:p w14:paraId="3C8F1614" w14:textId="77777777" w:rsidR="0046798B" w:rsidRDefault="0046798B">
            <w:pPr>
              <w:pStyle w:val="TableParagraph"/>
            </w:pPr>
          </w:p>
          <w:p w14:paraId="584EC74B" w14:textId="77777777" w:rsidR="0046798B" w:rsidRDefault="0046798B">
            <w:pPr>
              <w:pStyle w:val="TableParagraph"/>
            </w:pPr>
          </w:p>
          <w:p w14:paraId="614073C4" w14:textId="77777777" w:rsidR="0046798B" w:rsidRDefault="0046798B">
            <w:pPr>
              <w:pStyle w:val="TableParagraph"/>
            </w:pPr>
          </w:p>
          <w:p w14:paraId="00A61926" w14:textId="77777777" w:rsidR="0046798B" w:rsidRDefault="0046798B">
            <w:pPr>
              <w:pStyle w:val="TableParagraph"/>
              <w:spacing w:before="4"/>
              <w:rPr>
                <w:sz w:val="17"/>
              </w:rPr>
            </w:pPr>
          </w:p>
          <w:p w14:paraId="7F1F6C57" w14:textId="77777777" w:rsidR="0046798B" w:rsidRDefault="00903B5C">
            <w:pPr>
              <w:pStyle w:val="TableParagraph"/>
              <w:ind w:left="115"/>
              <w:rPr>
                <w:b/>
                <w:sz w:val="20"/>
              </w:rPr>
            </w:pPr>
            <w:r>
              <w:rPr>
                <w:b/>
                <w:sz w:val="20"/>
              </w:rPr>
              <w:t>gminraw</w:t>
            </w:r>
          </w:p>
        </w:tc>
        <w:tc>
          <w:tcPr>
            <w:tcW w:w="1596" w:type="dxa"/>
          </w:tcPr>
          <w:p w14:paraId="738C45E2" w14:textId="77777777" w:rsidR="0046798B" w:rsidRDefault="0046798B">
            <w:pPr>
              <w:pStyle w:val="TableParagraph"/>
            </w:pPr>
          </w:p>
          <w:p w14:paraId="6761D347" w14:textId="77777777" w:rsidR="0046798B" w:rsidRDefault="0046798B">
            <w:pPr>
              <w:pStyle w:val="TableParagraph"/>
            </w:pPr>
          </w:p>
          <w:p w14:paraId="2EF34574" w14:textId="77777777" w:rsidR="0046798B" w:rsidRDefault="0046798B">
            <w:pPr>
              <w:pStyle w:val="TableParagraph"/>
              <w:spacing w:before="4"/>
              <w:rPr>
                <w:sz w:val="29"/>
              </w:rPr>
            </w:pPr>
          </w:p>
          <w:p w14:paraId="45BC33E1" w14:textId="77777777" w:rsidR="0046798B" w:rsidRDefault="00903B5C">
            <w:pPr>
              <w:pStyle w:val="TableParagraph"/>
              <w:ind w:left="114" w:right="179"/>
              <w:rPr>
                <w:sz w:val="20"/>
              </w:rPr>
            </w:pPr>
            <w:r>
              <w:rPr>
                <w:sz w:val="20"/>
              </w:rPr>
              <w:t>Minimum wage rate</w:t>
            </w:r>
          </w:p>
        </w:tc>
        <w:tc>
          <w:tcPr>
            <w:tcW w:w="1285" w:type="dxa"/>
          </w:tcPr>
          <w:p w14:paraId="601F162E" w14:textId="77777777" w:rsidR="0046798B" w:rsidRDefault="0046798B">
            <w:pPr>
              <w:pStyle w:val="TableParagraph"/>
            </w:pPr>
          </w:p>
          <w:p w14:paraId="23A2BB94" w14:textId="77777777" w:rsidR="0046798B" w:rsidRDefault="0046798B">
            <w:pPr>
              <w:pStyle w:val="TableParagraph"/>
            </w:pPr>
          </w:p>
          <w:p w14:paraId="3502E094" w14:textId="77777777" w:rsidR="0046798B" w:rsidRDefault="0046798B">
            <w:pPr>
              <w:pStyle w:val="TableParagraph"/>
            </w:pPr>
          </w:p>
          <w:p w14:paraId="4A6E5000" w14:textId="77777777" w:rsidR="0046798B" w:rsidRDefault="0046798B">
            <w:pPr>
              <w:pStyle w:val="TableParagraph"/>
              <w:spacing w:before="4"/>
              <w:rPr>
                <w:sz w:val="17"/>
              </w:rPr>
            </w:pPr>
          </w:p>
          <w:p w14:paraId="04FFFFB9" w14:textId="77777777" w:rsidR="0046798B" w:rsidRDefault="00903B5C">
            <w:pPr>
              <w:pStyle w:val="TableParagraph"/>
              <w:ind w:left="114"/>
              <w:rPr>
                <w:sz w:val="20"/>
              </w:rPr>
            </w:pPr>
            <w:r>
              <w:rPr>
                <w:sz w:val="20"/>
              </w:rPr>
              <w:t>2000–2016</w:t>
            </w:r>
          </w:p>
        </w:tc>
        <w:tc>
          <w:tcPr>
            <w:tcW w:w="3421" w:type="dxa"/>
          </w:tcPr>
          <w:p w14:paraId="6C020903" w14:textId="77777777" w:rsidR="0046798B" w:rsidRDefault="00903B5C">
            <w:pPr>
              <w:pStyle w:val="TableParagraph"/>
              <w:spacing w:before="38"/>
              <w:ind w:left="114"/>
              <w:rPr>
                <w:sz w:val="20"/>
              </w:rPr>
            </w:pPr>
            <w:r>
              <w:rPr>
                <w:sz w:val="20"/>
              </w:rPr>
              <w:t>Minimum wage rate (for 12/31/2006):</w:t>
            </w:r>
          </w:p>
          <w:p w14:paraId="2520A9C2" w14:textId="77777777" w:rsidR="0046798B" w:rsidRDefault="00903B5C">
            <w:pPr>
              <w:pStyle w:val="TableParagraph"/>
              <w:ind w:left="114" w:right="383"/>
              <w:rPr>
                <w:sz w:val="20"/>
              </w:rPr>
            </w:pPr>
            <w:r>
              <w:rPr>
                <w:sz w:val="20"/>
              </w:rPr>
              <w:t>$5.15 if none or same as federal, for 12/31/2008 and 12/31/2010 and</w:t>
            </w:r>
          </w:p>
          <w:p w14:paraId="711D4014" w14:textId="77777777" w:rsidR="0046798B" w:rsidRDefault="00903B5C">
            <w:pPr>
              <w:pStyle w:val="TableParagraph"/>
              <w:ind w:left="114" w:right="305"/>
              <w:rPr>
                <w:sz w:val="20"/>
              </w:rPr>
            </w:pPr>
            <w:r>
              <w:rPr>
                <w:sz w:val="20"/>
              </w:rPr>
              <w:t>12/31/2012 and 12/31/2014 and 12/31/2016: $7.25 if none or same as federal. Rate for any increase scheduled to take effect in 2015 but later scheduled rate increases not included.</w:t>
            </w:r>
          </w:p>
        </w:tc>
        <w:tc>
          <w:tcPr>
            <w:tcW w:w="6482" w:type="dxa"/>
          </w:tcPr>
          <w:p w14:paraId="0A303FD9" w14:textId="77777777" w:rsidR="0046798B" w:rsidRDefault="0046798B">
            <w:pPr>
              <w:pStyle w:val="TableParagraph"/>
            </w:pPr>
          </w:p>
          <w:p w14:paraId="780E0F9E" w14:textId="77777777" w:rsidR="0046798B" w:rsidRDefault="0046798B">
            <w:pPr>
              <w:pStyle w:val="TableParagraph"/>
            </w:pPr>
          </w:p>
          <w:p w14:paraId="4E7A0B8C" w14:textId="77777777" w:rsidR="0046798B" w:rsidRDefault="0046798B">
            <w:pPr>
              <w:pStyle w:val="TableParagraph"/>
              <w:spacing w:before="4"/>
              <w:rPr>
                <w:sz w:val="19"/>
              </w:rPr>
            </w:pPr>
          </w:p>
          <w:p w14:paraId="3B19CA1C"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F3BFFD7" w14:textId="77777777">
        <w:trPr>
          <w:trHeight w:val="1005"/>
        </w:trPr>
        <w:tc>
          <w:tcPr>
            <w:tcW w:w="1711" w:type="dxa"/>
          </w:tcPr>
          <w:p w14:paraId="1CBEF96A" w14:textId="77777777" w:rsidR="0046798B" w:rsidRDefault="0046798B">
            <w:pPr>
              <w:pStyle w:val="TableParagraph"/>
            </w:pPr>
          </w:p>
          <w:p w14:paraId="65731C24" w14:textId="77777777" w:rsidR="0046798B" w:rsidRDefault="00903B5C">
            <w:pPr>
              <w:pStyle w:val="TableParagraph"/>
              <w:spacing w:before="131"/>
              <w:ind w:left="115"/>
              <w:rPr>
                <w:b/>
                <w:sz w:val="20"/>
              </w:rPr>
            </w:pPr>
            <w:r>
              <w:rPr>
                <w:b/>
                <w:sz w:val="20"/>
              </w:rPr>
              <w:t>gminwag</w:t>
            </w:r>
          </w:p>
        </w:tc>
        <w:tc>
          <w:tcPr>
            <w:tcW w:w="1596" w:type="dxa"/>
          </w:tcPr>
          <w:p w14:paraId="0C0B799B" w14:textId="77777777" w:rsidR="0046798B" w:rsidRDefault="00903B5C">
            <w:pPr>
              <w:pStyle w:val="TableParagraph"/>
              <w:spacing w:before="38"/>
              <w:ind w:left="114" w:right="202"/>
              <w:rPr>
                <w:sz w:val="20"/>
              </w:rPr>
            </w:pPr>
            <w:r>
              <w:rPr>
                <w:sz w:val="20"/>
              </w:rPr>
              <w:t>For states with higher than federal minimum wage</w:t>
            </w:r>
          </w:p>
        </w:tc>
        <w:tc>
          <w:tcPr>
            <w:tcW w:w="1285" w:type="dxa"/>
          </w:tcPr>
          <w:p w14:paraId="2F44F1B2" w14:textId="77777777" w:rsidR="0046798B" w:rsidRDefault="0046798B">
            <w:pPr>
              <w:pStyle w:val="TableParagraph"/>
            </w:pPr>
          </w:p>
          <w:p w14:paraId="02F910F6" w14:textId="77777777" w:rsidR="0046798B" w:rsidRDefault="00903B5C">
            <w:pPr>
              <w:pStyle w:val="TableParagraph"/>
              <w:spacing w:before="131"/>
              <w:ind w:left="114"/>
              <w:rPr>
                <w:sz w:val="20"/>
              </w:rPr>
            </w:pPr>
            <w:r>
              <w:rPr>
                <w:sz w:val="20"/>
              </w:rPr>
              <w:t>2000–2016</w:t>
            </w:r>
          </w:p>
        </w:tc>
        <w:tc>
          <w:tcPr>
            <w:tcW w:w="3421" w:type="dxa"/>
          </w:tcPr>
          <w:p w14:paraId="280C51EF" w14:textId="77777777" w:rsidR="0046798B" w:rsidRDefault="00903B5C">
            <w:pPr>
              <w:pStyle w:val="TableParagraph"/>
              <w:spacing w:before="38"/>
              <w:ind w:left="114" w:right="538"/>
              <w:rPr>
                <w:sz w:val="20"/>
              </w:rPr>
            </w:pPr>
            <w:r>
              <w:rPr>
                <w:sz w:val="20"/>
              </w:rPr>
              <w:t>For states with higher than federal minimum wage:</w:t>
            </w:r>
          </w:p>
          <w:p w14:paraId="7BB009E0" w14:textId="77777777" w:rsidR="0046798B" w:rsidRDefault="00903B5C">
            <w:pPr>
              <w:pStyle w:val="TableParagraph"/>
              <w:spacing w:before="1"/>
              <w:ind w:left="114" w:right="614"/>
              <w:rPr>
                <w:sz w:val="20"/>
              </w:rPr>
            </w:pPr>
            <w:r>
              <w:rPr>
                <w:sz w:val="20"/>
              </w:rPr>
              <w:t>(gminraw – [federal minimum] / gcompjob) * 1800; 0 = otherwise</w:t>
            </w:r>
          </w:p>
        </w:tc>
        <w:tc>
          <w:tcPr>
            <w:tcW w:w="6482" w:type="dxa"/>
          </w:tcPr>
          <w:p w14:paraId="2B77D53B" w14:textId="77777777" w:rsidR="0046798B" w:rsidRDefault="00903B5C">
            <w:pPr>
              <w:pStyle w:val="TableParagraph"/>
              <w:spacing w:before="15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67D366C" w14:textId="77777777">
        <w:trPr>
          <w:trHeight w:val="1465"/>
        </w:trPr>
        <w:tc>
          <w:tcPr>
            <w:tcW w:w="1711" w:type="dxa"/>
          </w:tcPr>
          <w:p w14:paraId="2BD2B8EB" w14:textId="77777777" w:rsidR="0046798B" w:rsidRDefault="0046798B">
            <w:pPr>
              <w:pStyle w:val="TableParagraph"/>
            </w:pPr>
          </w:p>
          <w:p w14:paraId="4E0CD2BB" w14:textId="77777777" w:rsidR="0046798B" w:rsidRDefault="0046798B">
            <w:pPr>
              <w:pStyle w:val="TableParagraph"/>
              <w:spacing w:before="4"/>
              <w:rPr>
                <w:sz w:val="31"/>
              </w:rPr>
            </w:pPr>
          </w:p>
          <w:p w14:paraId="5CFD3516" w14:textId="77777777" w:rsidR="0046798B" w:rsidRDefault="00903B5C">
            <w:pPr>
              <w:pStyle w:val="TableParagraph"/>
              <w:ind w:left="115"/>
              <w:rPr>
                <w:b/>
                <w:sz w:val="20"/>
              </w:rPr>
            </w:pPr>
            <w:r>
              <w:rPr>
                <w:b/>
                <w:sz w:val="20"/>
              </w:rPr>
              <w:t>gunion</w:t>
            </w:r>
          </w:p>
        </w:tc>
        <w:tc>
          <w:tcPr>
            <w:tcW w:w="1596" w:type="dxa"/>
          </w:tcPr>
          <w:p w14:paraId="78EA6F12" w14:textId="77777777" w:rsidR="0046798B" w:rsidRDefault="00903B5C">
            <w:pPr>
              <w:pStyle w:val="TableParagraph"/>
              <w:spacing w:before="43"/>
              <w:ind w:left="114" w:right="141"/>
              <w:rPr>
                <w:sz w:val="20"/>
              </w:rPr>
            </w:pPr>
            <w:r>
              <w:rPr>
                <w:sz w:val="20"/>
              </w:rPr>
              <w:t>Employees represented by unions as percentage of those employed, annual average</w:t>
            </w:r>
          </w:p>
        </w:tc>
        <w:tc>
          <w:tcPr>
            <w:tcW w:w="1285" w:type="dxa"/>
          </w:tcPr>
          <w:p w14:paraId="54B3FCD3" w14:textId="77777777" w:rsidR="0046798B" w:rsidRDefault="0046798B">
            <w:pPr>
              <w:pStyle w:val="TableParagraph"/>
            </w:pPr>
          </w:p>
          <w:p w14:paraId="17F70B16" w14:textId="77777777" w:rsidR="0046798B" w:rsidRDefault="0046798B">
            <w:pPr>
              <w:pStyle w:val="TableParagraph"/>
              <w:spacing w:before="4"/>
              <w:rPr>
                <w:sz w:val="31"/>
              </w:rPr>
            </w:pPr>
          </w:p>
          <w:p w14:paraId="7B711C10" w14:textId="77777777" w:rsidR="0046798B" w:rsidRDefault="00903B5C">
            <w:pPr>
              <w:pStyle w:val="TableParagraph"/>
              <w:ind w:left="114"/>
              <w:rPr>
                <w:sz w:val="20"/>
              </w:rPr>
            </w:pPr>
            <w:r>
              <w:rPr>
                <w:sz w:val="20"/>
              </w:rPr>
              <w:t>2004–2014</w:t>
            </w:r>
          </w:p>
        </w:tc>
        <w:tc>
          <w:tcPr>
            <w:tcW w:w="3421" w:type="dxa"/>
          </w:tcPr>
          <w:p w14:paraId="3D4E802F" w14:textId="77777777" w:rsidR="0046798B" w:rsidRDefault="0046798B">
            <w:pPr>
              <w:pStyle w:val="TableParagraph"/>
            </w:pPr>
          </w:p>
          <w:p w14:paraId="079853FC" w14:textId="77777777" w:rsidR="0046798B" w:rsidRDefault="00903B5C">
            <w:pPr>
              <w:pStyle w:val="TableParagraph"/>
              <w:spacing w:before="130"/>
              <w:ind w:left="114" w:right="250"/>
              <w:rPr>
                <w:sz w:val="20"/>
              </w:rPr>
            </w:pPr>
            <w:r>
              <w:rPr>
                <w:sz w:val="20"/>
              </w:rPr>
              <w:t>Employees represented by unions as percentage of those employed, annual average</w:t>
            </w:r>
          </w:p>
        </w:tc>
        <w:tc>
          <w:tcPr>
            <w:tcW w:w="6482" w:type="dxa"/>
          </w:tcPr>
          <w:p w14:paraId="79DA93E7" w14:textId="77777777" w:rsidR="0046798B" w:rsidRDefault="0046798B">
            <w:pPr>
              <w:pStyle w:val="TableParagraph"/>
            </w:pPr>
          </w:p>
          <w:p w14:paraId="51690F4F" w14:textId="77777777" w:rsidR="0046798B" w:rsidRDefault="00903B5C">
            <w:pPr>
              <w:pStyle w:val="TableParagraph"/>
              <w:spacing w:before="130"/>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C2D0C98" w14:textId="77777777">
        <w:trPr>
          <w:trHeight w:val="1235"/>
        </w:trPr>
        <w:tc>
          <w:tcPr>
            <w:tcW w:w="1711" w:type="dxa"/>
          </w:tcPr>
          <w:p w14:paraId="4C9D9637" w14:textId="77777777" w:rsidR="0046798B" w:rsidRDefault="0046798B">
            <w:pPr>
              <w:pStyle w:val="TableParagraph"/>
            </w:pPr>
          </w:p>
          <w:p w14:paraId="549892AC" w14:textId="77777777" w:rsidR="0046798B" w:rsidRDefault="0046798B">
            <w:pPr>
              <w:pStyle w:val="TableParagraph"/>
              <w:spacing w:before="9"/>
              <w:rPr>
                <w:sz w:val="21"/>
              </w:rPr>
            </w:pPr>
          </w:p>
          <w:p w14:paraId="7C3FB064" w14:textId="77777777" w:rsidR="0046798B" w:rsidRDefault="00903B5C">
            <w:pPr>
              <w:pStyle w:val="TableParagraph"/>
              <w:ind w:left="115"/>
              <w:rPr>
                <w:b/>
                <w:sz w:val="20"/>
              </w:rPr>
            </w:pPr>
            <w:r>
              <w:rPr>
                <w:b/>
                <w:sz w:val="20"/>
              </w:rPr>
              <w:t>gcompman</w:t>
            </w:r>
          </w:p>
        </w:tc>
        <w:tc>
          <w:tcPr>
            <w:tcW w:w="1596" w:type="dxa"/>
          </w:tcPr>
          <w:p w14:paraId="325ED95A" w14:textId="77777777" w:rsidR="0046798B" w:rsidRDefault="00903B5C">
            <w:pPr>
              <w:pStyle w:val="TableParagraph"/>
              <w:spacing w:before="43"/>
              <w:ind w:left="114" w:right="341"/>
              <w:rPr>
                <w:sz w:val="20"/>
              </w:rPr>
            </w:pPr>
            <w:r>
              <w:rPr>
                <w:sz w:val="20"/>
              </w:rPr>
              <w:t>Employer- provided workers’ compensation mandated</w:t>
            </w:r>
          </w:p>
        </w:tc>
        <w:tc>
          <w:tcPr>
            <w:tcW w:w="1285" w:type="dxa"/>
          </w:tcPr>
          <w:p w14:paraId="7BC51042" w14:textId="77777777" w:rsidR="0046798B" w:rsidRDefault="0046798B">
            <w:pPr>
              <w:pStyle w:val="TableParagraph"/>
            </w:pPr>
          </w:p>
          <w:p w14:paraId="520DA784" w14:textId="77777777" w:rsidR="0046798B" w:rsidRDefault="0046798B">
            <w:pPr>
              <w:pStyle w:val="TableParagraph"/>
              <w:spacing w:before="9"/>
              <w:rPr>
                <w:sz w:val="21"/>
              </w:rPr>
            </w:pPr>
          </w:p>
          <w:p w14:paraId="70E05063" w14:textId="77777777" w:rsidR="0046798B" w:rsidRDefault="00903B5C">
            <w:pPr>
              <w:pStyle w:val="TableParagraph"/>
              <w:ind w:left="114"/>
              <w:rPr>
                <w:sz w:val="20"/>
              </w:rPr>
            </w:pPr>
            <w:r>
              <w:rPr>
                <w:sz w:val="20"/>
              </w:rPr>
              <w:t>2000–2016</w:t>
            </w:r>
          </w:p>
        </w:tc>
        <w:tc>
          <w:tcPr>
            <w:tcW w:w="3421" w:type="dxa"/>
          </w:tcPr>
          <w:p w14:paraId="6878D335" w14:textId="77777777" w:rsidR="0046798B" w:rsidRDefault="0046798B">
            <w:pPr>
              <w:pStyle w:val="TableParagraph"/>
              <w:spacing w:before="8"/>
              <w:rPr>
                <w:sz w:val="23"/>
              </w:rPr>
            </w:pPr>
          </w:p>
          <w:p w14:paraId="7E4B9229" w14:textId="77777777" w:rsidR="0046798B" w:rsidRDefault="00903B5C">
            <w:pPr>
              <w:pStyle w:val="TableParagraph"/>
              <w:ind w:left="114" w:right="257"/>
              <w:rPr>
                <w:sz w:val="20"/>
              </w:rPr>
            </w:pPr>
            <w:r>
              <w:rPr>
                <w:sz w:val="20"/>
              </w:rPr>
              <w:t>Employer-provided workers’ compensation mandated? (0 = no, 1 = yes)</w:t>
            </w:r>
          </w:p>
        </w:tc>
        <w:tc>
          <w:tcPr>
            <w:tcW w:w="6482" w:type="dxa"/>
          </w:tcPr>
          <w:p w14:paraId="34331D0A" w14:textId="77777777" w:rsidR="0046798B" w:rsidRDefault="0046798B">
            <w:pPr>
              <w:pStyle w:val="TableParagraph"/>
              <w:spacing w:before="8"/>
              <w:rPr>
                <w:sz w:val="23"/>
              </w:rPr>
            </w:pPr>
          </w:p>
          <w:p w14:paraId="27EDE313"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CA3E5B8" w14:textId="77777777">
        <w:trPr>
          <w:trHeight w:val="775"/>
        </w:trPr>
        <w:tc>
          <w:tcPr>
            <w:tcW w:w="1711" w:type="dxa"/>
          </w:tcPr>
          <w:p w14:paraId="17490201" w14:textId="77777777" w:rsidR="0046798B" w:rsidRDefault="0046798B">
            <w:pPr>
              <w:pStyle w:val="TableParagraph"/>
              <w:spacing w:before="8"/>
              <w:rPr>
                <w:sz w:val="23"/>
              </w:rPr>
            </w:pPr>
          </w:p>
          <w:p w14:paraId="66DEB1A9" w14:textId="77777777" w:rsidR="0046798B" w:rsidRDefault="00903B5C">
            <w:pPr>
              <w:pStyle w:val="TableParagraph"/>
              <w:spacing w:before="1"/>
              <w:ind w:left="115"/>
              <w:rPr>
                <w:b/>
                <w:sz w:val="20"/>
              </w:rPr>
            </w:pPr>
            <w:r>
              <w:rPr>
                <w:b/>
                <w:sz w:val="20"/>
              </w:rPr>
              <w:t>gdisab</w:t>
            </w:r>
          </w:p>
        </w:tc>
        <w:tc>
          <w:tcPr>
            <w:tcW w:w="1596" w:type="dxa"/>
          </w:tcPr>
          <w:p w14:paraId="08527D4F" w14:textId="77777777" w:rsidR="0046798B" w:rsidRDefault="00903B5C">
            <w:pPr>
              <w:pStyle w:val="TableParagraph"/>
              <w:spacing w:before="158"/>
              <w:ind w:left="114" w:right="229"/>
              <w:rPr>
                <w:sz w:val="20"/>
              </w:rPr>
            </w:pPr>
            <w:r>
              <w:rPr>
                <w:sz w:val="20"/>
              </w:rPr>
              <w:t>Short-term disability</w:t>
            </w:r>
          </w:p>
        </w:tc>
        <w:tc>
          <w:tcPr>
            <w:tcW w:w="1285" w:type="dxa"/>
          </w:tcPr>
          <w:p w14:paraId="5F9DFC2A" w14:textId="77777777" w:rsidR="0046798B" w:rsidRDefault="0046798B">
            <w:pPr>
              <w:pStyle w:val="TableParagraph"/>
              <w:spacing w:before="8"/>
              <w:rPr>
                <w:sz w:val="23"/>
              </w:rPr>
            </w:pPr>
          </w:p>
          <w:p w14:paraId="4ADFC780" w14:textId="77777777" w:rsidR="0046798B" w:rsidRDefault="00903B5C">
            <w:pPr>
              <w:pStyle w:val="TableParagraph"/>
              <w:spacing w:before="1"/>
              <w:ind w:left="114"/>
              <w:rPr>
                <w:sz w:val="20"/>
              </w:rPr>
            </w:pPr>
            <w:r>
              <w:rPr>
                <w:sz w:val="20"/>
              </w:rPr>
              <w:t>2000–2016</w:t>
            </w:r>
          </w:p>
        </w:tc>
        <w:tc>
          <w:tcPr>
            <w:tcW w:w="3421" w:type="dxa"/>
          </w:tcPr>
          <w:p w14:paraId="05F55717" w14:textId="77777777" w:rsidR="0046798B" w:rsidRDefault="00903B5C">
            <w:pPr>
              <w:pStyle w:val="TableParagraph"/>
              <w:spacing w:before="158"/>
              <w:ind w:left="114" w:right="205"/>
              <w:rPr>
                <w:sz w:val="20"/>
              </w:rPr>
            </w:pPr>
            <w:r>
              <w:rPr>
                <w:sz w:val="20"/>
              </w:rPr>
              <w:t>Short-term disability insurance program? (0 = no, 1 = yes)</w:t>
            </w:r>
          </w:p>
        </w:tc>
        <w:tc>
          <w:tcPr>
            <w:tcW w:w="6482" w:type="dxa"/>
          </w:tcPr>
          <w:p w14:paraId="301ABBD0" w14:textId="77777777" w:rsidR="0046798B" w:rsidRDefault="00903B5C">
            <w:pPr>
              <w:pStyle w:val="TableParagraph"/>
              <w:spacing w:before="4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06B07E71" w14:textId="77777777" w:rsidR="0046798B" w:rsidRDefault="0046798B">
      <w:pPr>
        <w:rPr>
          <w:sz w:val="20"/>
        </w:rPr>
        <w:sectPr w:rsidR="0046798B">
          <w:pgSz w:w="15840" w:h="12240" w:orient="landscape"/>
          <w:pgMar w:top="1220" w:right="300" w:bottom="980" w:left="820" w:header="730" w:footer="787" w:gutter="0"/>
          <w:cols w:space="720"/>
        </w:sectPr>
      </w:pPr>
    </w:p>
    <w:p w14:paraId="3BEF6A2D"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0459C11C" w14:textId="77777777">
        <w:trPr>
          <w:trHeight w:val="542"/>
        </w:trPr>
        <w:tc>
          <w:tcPr>
            <w:tcW w:w="1711" w:type="dxa"/>
            <w:tcBorders>
              <w:bottom w:val="dotted" w:sz="6" w:space="0" w:color="BEBEBE"/>
            </w:tcBorders>
          </w:tcPr>
          <w:p w14:paraId="6AC911DE" w14:textId="77777777" w:rsidR="0046798B" w:rsidRDefault="0046798B">
            <w:pPr>
              <w:pStyle w:val="TableParagraph"/>
              <w:rPr>
                <w:sz w:val="20"/>
              </w:rPr>
            </w:pPr>
          </w:p>
        </w:tc>
        <w:tc>
          <w:tcPr>
            <w:tcW w:w="1596" w:type="dxa"/>
            <w:tcBorders>
              <w:bottom w:val="dotted" w:sz="6" w:space="0" w:color="BEBEBE"/>
            </w:tcBorders>
          </w:tcPr>
          <w:p w14:paraId="3EBF6377" w14:textId="77777777" w:rsidR="0046798B" w:rsidRDefault="00903B5C">
            <w:pPr>
              <w:pStyle w:val="TableParagraph"/>
              <w:spacing w:before="43"/>
              <w:ind w:left="114" w:right="685"/>
              <w:rPr>
                <w:sz w:val="20"/>
              </w:rPr>
            </w:pPr>
            <w:r>
              <w:rPr>
                <w:sz w:val="20"/>
              </w:rPr>
              <w:t>insurance program</w:t>
            </w:r>
          </w:p>
        </w:tc>
        <w:tc>
          <w:tcPr>
            <w:tcW w:w="1285" w:type="dxa"/>
            <w:tcBorders>
              <w:bottom w:val="dotted" w:sz="6" w:space="0" w:color="BEBEBE"/>
            </w:tcBorders>
          </w:tcPr>
          <w:p w14:paraId="4F57A2C6" w14:textId="77777777" w:rsidR="0046798B" w:rsidRDefault="0046798B">
            <w:pPr>
              <w:pStyle w:val="TableParagraph"/>
              <w:rPr>
                <w:sz w:val="20"/>
              </w:rPr>
            </w:pPr>
          </w:p>
        </w:tc>
        <w:tc>
          <w:tcPr>
            <w:tcW w:w="3421" w:type="dxa"/>
            <w:tcBorders>
              <w:bottom w:val="dotted" w:sz="6" w:space="0" w:color="BEBEBE"/>
            </w:tcBorders>
          </w:tcPr>
          <w:p w14:paraId="700C57E6" w14:textId="77777777" w:rsidR="0046798B" w:rsidRDefault="0046798B">
            <w:pPr>
              <w:pStyle w:val="TableParagraph"/>
              <w:rPr>
                <w:sz w:val="20"/>
              </w:rPr>
            </w:pPr>
          </w:p>
        </w:tc>
        <w:tc>
          <w:tcPr>
            <w:tcW w:w="6482" w:type="dxa"/>
            <w:tcBorders>
              <w:bottom w:val="dotted" w:sz="6" w:space="0" w:color="BEBEBE"/>
            </w:tcBorders>
          </w:tcPr>
          <w:p w14:paraId="249507D2" w14:textId="77777777" w:rsidR="0046798B" w:rsidRDefault="0046798B">
            <w:pPr>
              <w:pStyle w:val="TableParagraph"/>
              <w:rPr>
                <w:sz w:val="20"/>
              </w:rPr>
            </w:pPr>
          </w:p>
        </w:tc>
      </w:tr>
      <w:tr w:rsidR="0046798B" w14:paraId="14F8840B" w14:textId="77777777">
        <w:trPr>
          <w:trHeight w:val="1463"/>
        </w:trPr>
        <w:tc>
          <w:tcPr>
            <w:tcW w:w="1711" w:type="dxa"/>
            <w:tcBorders>
              <w:top w:val="dotted" w:sz="6" w:space="0" w:color="BEBEBE"/>
            </w:tcBorders>
          </w:tcPr>
          <w:p w14:paraId="0251FD08" w14:textId="77777777" w:rsidR="0046798B" w:rsidRDefault="0046798B">
            <w:pPr>
              <w:pStyle w:val="TableParagraph"/>
            </w:pPr>
          </w:p>
          <w:p w14:paraId="1E64D5AE" w14:textId="77777777" w:rsidR="0046798B" w:rsidRDefault="0046798B">
            <w:pPr>
              <w:pStyle w:val="TableParagraph"/>
              <w:spacing w:before="6"/>
              <w:rPr>
                <w:sz w:val="31"/>
              </w:rPr>
            </w:pPr>
          </w:p>
          <w:p w14:paraId="1D66296A" w14:textId="77777777" w:rsidR="0046798B" w:rsidRDefault="00903B5C">
            <w:pPr>
              <w:pStyle w:val="TableParagraph"/>
              <w:ind w:left="115"/>
              <w:rPr>
                <w:b/>
                <w:sz w:val="20"/>
              </w:rPr>
            </w:pPr>
            <w:r>
              <w:rPr>
                <w:b/>
                <w:sz w:val="20"/>
              </w:rPr>
              <w:t>geadl</w:t>
            </w:r>
          </w:p>
        </w:tc>
        <w:tc>
          <w:tcPr>
            <w:tcW w:w="1596" w:type="dxa"/>
            <w:tcBorders>
              <w:top w:val="dotted" w:sz="6" w:space="0" w:color="BEBEBE"/>
            </w:tcBorders>
          </w:tcPr>
          <w:p w14:paraId="734F90A3" w14:textId="77777777" w:rsidR="0046798B" w:rsidRDefault="00903B5C">
            <w:pPr>
              <w:pStyle w:val="TableParagraph"/>
              <w:spacing w:before="40"/>
              <w:ind w:left="114" w:right="209"/>
              <w:rPr>
                <w:sz w:val="20"/>
              </w:rPr>
            </w:pPr>
            <w:r>
              <w:rPr>
                <w:sz w:val="20"/>
              </w:rPr>
              <w:t>Employment anti- discrimination law covering any non-federal category</w:t>
            </w:r>
          </w:p>
        </w:tc>
        <w:tc>
          <w:tcPr>
            <w:tcW w:w="1285" w:type="dxa"/>
            <w:tcBorders>
              <w:top w:val="dotted" w:sz="6" w:space="0" w:color="BEBEBE"/>
            </w:tcBorders>
          </w:tcPr>
          <w:p w14:paraId="4E6CA1D8" w14:textId="77777777" w:rsidR="0046798B" w:rsidRDefault="0046798B">
            <w:pPr>
              <w:pStyle w:val="TableParagraph"/>
            </w:pPr>
          </w:p>
          <w:p w14:paraId="3889B336" w14:textId="77777777" w:rsidR="0046798B" w:rsidRDefault="0046798B">
            <w:pPr>
              <w:pStyle w:val="TableParagraph"/>
              <w:spacing w:before="6"/>
              <w:rPr>
                <w:sz w:val="31"/>
              </w:rPr>
            </w:pPr>
          </w:p>
          <w:p w14:paraId="15ACECFF" w14:textId="77777777" w:rsidR="0046798B" w:rsidRDefault="00903B5C">
            <w:pPr>
              <w:pStyle w:val="TableParagraph"/>
              <w:ind w:left="114"/>
              <w:rPr>
                <w:sz w:val="20"/>
              </w:rPr>
            </w:pPr>
            <w:r>
              <w:rPr>
                <w:sz w:val="20"/>
              </w:rPr>
              <w:t>2000–2016</w:t>
            </w:r>
          </w:p>
        </w:tc>
        <w:tc>
          <w:tcPr>
            <w:tcW w:w="3421" w:type="dxa"/>
            <w:tcBorders>
              <w:top w:val="dotted" w:sz="6" w:space="0" w:color="BEBEBE"/>
            </w:tcBorders>
          </w:tcPr>
          <w:p w14:paraId="260CA5F7" w14:textId="77777777" w:rsidR="0046798B" w:rsidRDefault="0046798B">
            <w:pPr>
              <w:pStyle w:val="TableParagraph"/>
            </w:pPr>
          </w:p>
          <w:p w14:paraId="4E47B877" w14:textId="77777777" w:rsidR="0046798B" w:rsidRDefault="00903B5C">
            <w:pPr>
              <w:pStyle w:val="TableParagraph"/>
              <w:spacing w:before="133"/>
              <w:ind w:left="114" w:right="223"/>
              <w:rPr>
                <w:sz w:val="20"/>
              </w:rPr>
            </w:pPr>
            <w:r>
              <w:rPr>
                <w:sz w:val="20"/>
              </w:rPr>
              <w:t>Employment anti-discrimination law covering any non-federal category? (0</w:t>
            </w:r>
          </w:p>
          <w:p w14:paraId="307C8EDD" w14:textId="77777777" w:rsidR="0046798B" w:rsidRDefault="00903B5C">
            <w:pPr>
              <w:pStyle w:val="TableParagraph"/>
              <w:ind w:left="114"/>
              <w:rPr>
                <w:sz w:val="20"/>
              </w:rPr>
            </w:pPr>
            <w:r>
              <w:rPr>
                <w:sz w:val="20"/>
              </w:rPr>
              <w:t>= no, 1 = yes)</w:t>
            </w:r>
          </w:p>
        </w:tc>
        <w:tc>
          <w:tcPr>
            <w:tcW w:w="6482" w:type="dxa"/>
            <w:tcBorders>
              <w:top w:val="dotted" w:sz="6" w:space="0" w:color="BEBEBE"/>
            </w:tcBorders>
          </w:tcPr>
          <w:p w14:paraId="358181C3" w14:textId="77777777" w:rsidR="0046798B" w:rsidRDefault="0046798B">
            <w:pPr>
              <w:pStyle w:val="TableParagraph"/>
            </w:pPr>
          </w:p>
          <w:p w14:paraId="445BE8A3" w14:textId="77777777" w:rsidR="0046798B" w:rsidRDefault="00903B5C">
            <w:pPr>
              <w:pStyle w:val="TableParagraph"/>
              <w:spacing w:before="13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E376F51" w14:textId="77777777">
        <w:trPr>
          <w:trHeight w:val="780"/>
        </w:trPr>
        <w:tc>
          <w:tcPr>
            <w:tcW w:w="1711" w:type="dxa"/>
          </w:tcPr>
          <w:p w14:paraId="1CEE50C5" w14:textId="77777777" w:rsidR="0046798B" w:rsidRDefault="0046798B">
            <w:pPr>
              <w:pStyle w:val="TableParagraph"/>
              <w:spacing w:before="8"/>
              <w:rPr>
                <w:sz w:val="23"/>
              </w:rPr>
            </w:pPr>
          </w:p>
          <w:p w14:paraId="7D9D66EF" w14:textId="77777777" w:rsidR="0046798B" w:rsidRDefault="00903B5C">
            <w:pPr>
              <w:pStyle w:val="TableParagraph"/>
              <w:spacing w:before="1"/>
              <w:ind w:left="115"/>
              <w:rPr>
                <w:b/>
                <w:sz w:val="20"/>
              </w:rPr>
            </w:pPr>
            <w:r>
              <w:rPr>
                <w:b/>
                <w:sz w:val="20"/>
              </w:rPr>
              <w:t>gleave</w:t>
            </w:r>
          </w:p>
        </w:tc>
        <w:tc>
          <w:tcPr>
            <w:tcW w:w="1596" w:type="dxa"/>
          </w:tcPr>
          <w:p w14:paraId="1A82E912" w14:textId="77777777" w:rsidR="0046798B" w:rsidRDefault="00903B5C">
            <w:pPr>
              <w:pStyle w:val="TableParagraph"/>
              <w:spacing w:before="43"/>
              <w:ind w:left="114" w:right="213"/>
              <w:rPr>
                <w:sz w:val="20"/>
              </w:rPr>
            </w:pPr>
            <w:r>
              <w:rPr>
                <w:sz w:val="20"/>
              </w:rPr>
              <w:t>Paid family leave insurance program</w:t>
            </w:r>
          </w:p>
        </w:tc>
        <w:tc>
          <w:tcPr>
            <w:tcW w:w="1285" w:type="dxa"/>
          </w:tcPr>
          <w:p w14:paraId="2B340FF6" w14:textId="77777777" w:rsidR="0046798B" w:rsidRDefault="0046798B">
            <w:pPr>
              <w:pStyle w:val="TableParagraph"/>
              <w:spacing w:before="8"/>
              <w:rPr>
                <w:sz w:val="23"/>
              </w:rPr>
            </w:pPr>
          </w:p>
          <w:p w14:paraId="07552198" w14:textId="77777777" w:rsidR="0046798B" w:rsidRDefault="00903B5C">
            <w:pPr>
              <w:pStyle w:val="TableParagraph"/>
              <w:spacing w:before="1"/>
              <w:ind w:left="114"/>
              <w:rPr>
                <w:sz w:val="20"/>
              </w:rPr>
            </w:pPr>
            <w:r>
              <w:rPr>
                <w:sz w:val="20"/>
              </w:rPr>
              <w:t>2000–2016</w:t>
            </w:r>
          </w:p>
        </w:tc>
        <w:tc>
          <w:tcPr>
            <w:tcW w:w="3421" w:type="dxa"/>
          </w:tcPr>
          <w:p w14:paraId="67F673CC" w14:textId="77777777" w:rsidR="0046798B" w:rsidRDefault="00903B5C">
            <w:pPr>
              <w:pStyle w:val="TableParagraph"/>
              <w:spacing w:before="158"/>
              <w:ind w:left="114" w:right="244"/>
              <w:rPr>
                <w:sz w:val="20"/>
              </w:rPr>
            </w:pPr>
            <w:r>
              <w:rPr>
                <w:sz w:val="20"/>
              </w:rPr>
              <w:t>Paid family leave insurance program? (0 = no, 1 = yes)</w:t>
            </w:r>
          </w:p>
        </w:tc>
        <w:tc>
          <w:tcPr>
            <w:tcW w:w="6482" w:type="dxa"/>
          </w:tcPr>
          <w:p w14:paraId="74C5400F" w14:textId="77777777" w:rsidR="0046798B" w:rsidRDefault="00903B5C">
            <w:pPr>
              <w:pStyle w:val="TableParagraph"/>
              <w:spacing w:before="4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AA09760" w14:textId="77777777">
        <w:trPr>
          <w:trHeight w:val="1005"/>
        </w:trPr>
        <w:tc>
          <w:tcPr>
            <w:tcW w:w="1711" w:type="dxa"/>
          </w:tcPr>
          <w:p w14:paraId="3FB6579C" w14:textId="77777777" w:rsidR="0046798B" w:rsidRDefault="0046798B">
            <w:pPr>
              <w:pStyle w:val="TableParagraph"/>
            </w:pPr>
          </w:p>
          <w:p w14:paraId="514BC5B3" w14:textId="77777777" w:rsidR="0046798B" w:rsidRDefault="00903B5C">
            <w:pPr>
              <w:pStyle w:val="TableParagraph"/>
              <w:spacing w:before="130"/>
              <w:ind w:left="115"/>
              <w:rPr>
                <w:b/>
                <w:sz w:val="20"/>
              </w:rPr>
            </w:pPr>
            <w:r>
              <w:rPr>
                <w:b/>
                <w:sz w:val="20"/>
              </w:rPr>
              <w:t>gnonc</w:t>
            </w:r>
          </w:p>
        </w:tc>
        <w:tc>
          <w:tcPr>
            <w:tcW w:w="1596" w:type="dxa"/>
          </w:tcPr>
          <w:p w14:paraId="62EC4F8C" w14:textId="77777777" w:rsidR="0046798B" w:rsidRDefault="00903B5C">
            <w:pPr>
              <w:pStyle w:val="TableParagraph"/>
              <w:spacing w:before="153"/>
              <w:ind w:left="114" w:right="363"/>
              <w:rPr>
                <w:sz w:val="20"/>
              </w:rPr>
            </w:pPr>
            <w:r>
              <w:rPr>
                <w:sz w:val="20"/>
              </w:rPr>
              <w:t>Non-compete agreements permitted</w:t>
            </w:r>
          </w:p>
        </w:tc>
        <w:tc>
          <w:tcPr>
            <w:tcW w:w="1285" w:type="dxa"/>
          </w:tcPr>
          <w:p w14:paraId="1EB4A0CD" w14:textId="77777777" w:rsidR="0046798B" w:rsidRDefault="0046798B">
            <w:pPr>
              <w:pStyle w:val="TableParagraph"/>
            </w:pPr>
          </w:p>
          <w:p w14:paraId="1289A461" w14:textId="77777777" w:rsidR="0046798B" w:rsidRDefault="00903B5C">
            <w:pPr>
              <w:pStyle w:val="TableParagraph"/>
              <w:spacing w:before="130"/>
              <w:ind w:left="114"/>
              <w:rPr>
                <w:sz w:val="20"/>
              </w:rPr>
            </w:pPr>
            <w:r>
              <w:rPr>
                <w:sz w:val="20"/>
              </w:rPr>
              <w:t>2000–2016</w:t>
            </w:r>
          </w:p>
        </w:tc>
        <w:tc>
          <w:tcPr>
            <w:tcW w:w="3421" w:type="dxa"/>
          </w:tcPr>
          <w:p w14:paraId="4573D0CA" w14:textId="77777777" w:rsidR="0046798B" w:rsidRDefault="00903B5C">
            <w:pPr>
              <w:pStyle w:val="TableParagraph"/>
              <w:spacing w:before="38"/>
              <w:ind w:left="114"/>
              <w:rPr>
                <w:sz w:val="20"/>
              </w:rPr>
            </w:pPr>
            <w:r>
              <w:rPr>
                <w:sz w:val="20"/>
              </w:rPr>
              <w:t>Non-compete agreements permitted? (0</w:t>
            </w:r>
          </w:p>
          <w:p w14:paraId="071DAE07" w14:textId="77777777" w:rsidR="0046798B" w:rsidRDefault="00903B5C">
            <w:pPr>
              <w:pStyle w:val="TableParagraph"/>
              <w:ind w:left="114" w:right="181"/>
              <w:rPr>
                <w:sz w:val="20"/>
              </w:rPr>
            </w:pPr>
            <w:r>
              <w:rPr>
                <w:sz w:val="20"/>
              </w:rPr>
              <w:t>= no or generally no with an exception for trade secrets; 1 = yes or statutory prohibitions relaxed by court)</w:t>
            </w:r>
          </w:p>
        </w:tc>
        <w:tc>
          <w:tcPr>
            <w:tcW w:w="6482" w:type="dxa"/>
          </w:tcPr>
          <w:p w14:paraId="18A9F173" w14:textId="77777777" w:rsidR="0046798B" w:rsidRDefault="00903B5C">
            <w:pPr>
              <w:pStyle w:val="TableParagraph"/>
              <w:spacing w:before="15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D9BBC84" w14:textId="77777777">
        <w:trPr>
          <w:trHeight w:val="775"/>
        </w:trPr>
        <w:tc>
          <w:tcPr>
            <w:tcW w:w="1711" w:type="dxa"/>
          </w:tcPr>
          <w:p w14:paraId="0DDC2C79" w14:textId="77777777" w:rsidR="0046798B" w:rsidRDefault="0046798B">
            <w:pPr>
              <w:pStyle w:val="TableParagraph"/>
              <w:spacing w:before="4"/>
              <w:rPr>
                <w:sz w:val="23"/>
              </w:rPr>
            </w:pPr>
          </w:p>
          <w:p w14:paraId="52A2D554" w14:textId="77777777" w:rsidR="0046798B" w:rsidRDefault="00903B5C">
            <w:pPr>
              <w:pStyle w:val="TableParagraph"/>
              <w:ind w:left="115"/>
              <w:rPr>
                <w:b/>
                <w:sz w:val="20"/>
              </w:rPr>
            </w:pPr>
            <w:r>
              <w:rPr>
                <w:b/>
                <w:sz w:val="20"/>
              </w:rPr>
              <w:t>gosh</w:t>
            </w:r>
          </w:p>
        </w:tc>
        <w:tc>
          <w:tcPr>
            <w:tcW w:w="1596" w:type="dxa"/>
          </w:tcPr>
          <w:p w14:paraId="4BDEDA45" w14:textId="77777777" w:rsidR="0046798B" w:rsidRDefault="00903B5C">
            <w:pPr>
              <w:pStyle w:val="TableParagraph"/>
              <w:spacing w:before="38"/>
              <w:ind w:left="114" w:right="97"/>
              <w:rPr>
                <w:sz w:val="20"/>
              </w:rPr>
            </w:pPr>
            <w:r>
              <w:rPr>
                <w:sz w:val="20"/>
              </w:rPr>
              <w:t>Occupational safety and health agency</w:t>
            </w:r>
          </w:p>
        </w:tc>
        <w:tc>
          <w:tcPr>
            <w:tcW w:w="1285" w:type="dxa"/>
          </w:tcPr>
          <w:p w14:paraId="3F687257" w14:textId="77777777" w:rsidR="0046798B" w:rsidRDefault="0046798B">
            <w:pPr>
              <w:pStyle w:val="TableParagraph"/>
              <w:spacing w:before="4"/>
              <w:rPr>
                <w:sz w:val="23"/>
              </w:rPr>
            </w:pPr>
          </w:p>
          <w:p w14:paraId="24F75550" w14:textId="77777777" w:rsidR="0046798B" w:rsidRDefault="00903B5C">
            <w:pPr>
              <w:pStyle w:val="TableParagraph"/>
              <w:ind w:left="114"/>
              <w:rPr>
                <w:sz w:val="20"/>
              </w:rPr>
            </w:pPr>
            <w:r>
              <w:rPr>
                <w:sz w:val="20"/>
              </w:rPr>
              <w:t>2014–2016</w:t>
            </w:r>
          </w:p>
        </w:tc>
        <w:tc>
          <w:tcPr>
            <w:tcW w:w="3421" w:type="dxa"/>
          </w:tcPr>
          <w:p w14:paraId="3F90B282" w14:textId="77777777" w:rsidR="0046798B" w:rsidRDefault="00903B5C">
            <w:pPr>
              <w:pStyle w:val="TableParagraph"/>
              <w:spacing w:before="38"/>
              <w:ind w:left="114"/>
              <w:rPr>
                <w:sz w:val="20"/>
              </w:rPr>
            </w:pPr>
            <w:r>
              <w:rPr>
                <w:sz w:val="20"/>
              </w:rPr>
              <w:t>Does state have its own occupational safety and health agency? (0 = no,</w:t>
            </w:r>
            <w:r>
              <w:rPr>
                <w:spacing w:val="4"/>
                <w:sz w:val="20"/>
              </w:rPr>
              <w:t xml:space="preserve"> </w:t>
            </w:r>
            <w:r>
              <w:rPr>
                <w:spacing w:val="-5"/>
                <w:sz w:val="20"/>
              </w:rPr>
              <w:t>0.5</w:t>
            </w:r>
          </w:p>
          <w:p w14:paraId="2D1CF3E7" w14:textId="77777777" w:rsidR="0046798B" w:rsidRDefault="00903B5C">
            <w:pPr>
              <w:pStyle w:val="TableParagraph"/>
              <w:ind w:left="114"/>
              <w:rPr>
                <w:sz w:val="20"/>
              </w:rPr>
            </w:pPr>
            <w:r>
              <w:rPr>
                <w:sz w:val="20"/>
              </w:rPr>
              <w:t>= for public employees only, 1 =</w:t>
            </w:r>
            <w:r>
              <w:rPr>
                <w:spacing w:val="-1"/>
                <w:sz w:val="20"/>
              </w:rPr>
              <w:t xml:space="preserve"> </w:t>
            </w:r>
            <w:r>
              <w:rPr>
                <w:sz w:val="20"/>
              </w:rPr>
              <w:t>yes)</w:t>
            </w:r>
          </w:p>
        </w:tc>
        <w:tc>
          <w:tcPr>
            <w:tcW w:w="6482" w:type="dxa"/>
          </w:tcPr>
          <w:p w14:paraId="4AC5B41E" w14:textId="77777777" w:rsidR="0046798B" w:rsidRDefault="00903B5C">
            <w:pPr>
              <w:pStyle w:val="TableParagraph"/>
              <w:spacing w:before="3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E7D525D" w14:textId="77777777">
        <w:trPr>
          <w:trHeight w:val="775"/>
        </w:trPr>
        <w:tc>
          <w:tcPr>
            <w:tcW w:w="1711" w:type="dxa"/>
          </w:tcPr>
          <w:p w14:paraId="7A9BD0B7" w14:textId="77777777" w:rsidR="0046798B" w:rsidRDefault="0046798B">
            <w:pPr>
              <w:pStyle w:val="TableParagraph"/>
              <w:spacing w:before="8"/>
              <w:rPr>
                <w:sz w:val="23"/>
              </w:rPr>
            </w:pPr>
          </w:p>
          <w:p w14:paraId="46A30899" w14:textId="77777777" w:rsidR="0046798B" w:rsidRDefault="00903B5C">
            <w:pPr>
              <w:pStyle w:val="TableParagraph"/>
              <w:spacing w:before="1"/>
              <w:ind w:left="115"/>
              <w:rPr>
                <w:b/>
                <w:sz w:val="20"/>
              </w:rPr>
            </w:pPr>
            <w:r>
              <w:rPr>
                <w:b/>
                <w:sz w:val="20"/>
              </w:rPr>
              <w:t>gprev</w:t>
            </w:r>
          </w:p>
        </w:tc>
        <w:tc>
          <w:tcPr>
            <w:tcW w:w="1596" w:type="dxa"/>
          </w:tcPr>
          <w:p w14:paraId="778DA2D4" w14:textId="77777777" w:rsidR="0046798B" w:rsidRDefault="00903B5C">
            <w:pPr>
              <w:pStyle w:val="TableParagraph"/>
              <w:spacing w:before="158"/>
              <w:ind w:left="114" w:right="157"/>
              <w:rPr>
                <w:sz w:val="20"/>
              </w:rPr>
            </w:pPr>
            <w:r>
              <w:rPr>
                <w:sz w:val="20"/>
              </w:rPr>
              <w:t>Prevailing wage law</w:t>
            </w:r>
          </w:p>
        </w:tc>
        <w:tc>
          <w:tcPr>
            <w:tcW w:w="1285" w:type="dxa"/>
          </w:tcPr>
          <w:p w14:paraId="0FACA9A3" w14:textId="77777777" w:rsidR="0046798B" w:rsidRDefault="0046798B">
            <w:pPr>
              <w:pStyle w:val="TableParagraph"/>
              <w:spacing w:before="8"/>
              <w:rPr>
                <w:sz w:val="23"/>
              </w:rPr>
            </w:pPr>
          </w:p>
          <w:p w14:paraId="6DF48730" w14:textId="77777777" w:rsidR="0046798B" w:rsidRDefault="00903B5C">
            <w:pPr>
              <w:pStyle w:val="TableParagraph"/>
              <w:spacing w:before="1"/>
              <w:ind w:left="114"/>
              <w:rPr>
                <w:sz w:val="20"/>
              </w:rPr>
            </w:pPr>
            <w:r>
              <w:rPr>
                <w:sz w:val="20"/>
              </w:rPr>
              <w:t>2000–2014</w:t>
            </w:r>
          </w:p>
        </w:tc>
        <w:tc>
          <w:tcPr>
            <w:tcW w:w="3421" w:type="dxa"/>
          </w:tcPr>
          <w:p w14:paraId="58F32663" w14:textId="77777777" w:rsidR="0046798B" w:rsidRDefault="0046798B">
            <w:pPr>
              <w:pStyle w:val="TableParagraph"/>
              <w:spacing w:before="8"/>
              <w:rPr>
                <w:sz w:val="23"/>
              </w:rPr>
            </w:pPr>
          </w:p>
          <w:p w14:paraId="031477D0" w14:textId="77777777" w:rsidR="0046798B" w:rsidRDefault="00903B5C">
            <w:pPr>
              <w:pStyle w:val="TableParagraph"/>
              <w:spacing w:before="1"/>
              <w:ind w:left="114"/>
              <w:rPr>
                <w:sz w:val="20"/>
              </w:rPr>
            </w:pPr>
            <w:r>
              <w:rPr>
                <w:sz w:val="20"/>
              </w:rPr>
              <w:t>Prevailing wage law? (0 = no, 1 = yes)</w:t>
            </w:r>
          </w:p>
        </w:tc>
        <w:tc>
          <w:tcPr>
            <w:tcW w:w="6482" w:type="dxa"/>
          </w:tcPr>
          <w:p w14:paraId="434523DB"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E5096AC" w14:textId="77777777">
        <w:trPr>
          <w:trHeight w:val="1005"/>
        </w:trPr>
        <w:tc>
          <w:tcPr>
            <w:tcW w:w="1711" w:type="dxa"/>
          </w:tcPr>
          <w:p w14:paraId="38CDA768" w14:textId="77777777" w:rsidR="0046798B" w:rsidRDefault="0046798B">
            <w:pPr>
              <w:pStyle w:val="TableParagraph"/>
            </w:pPr>
          </w:p>
          <w:p w14:paraId="449C10A8" w14:textId="77777777" w:rsidR="0046798B" w:rsidRDefault="00903B5C">
            <w:pPr>
              <w:pStyle w:val="TableParagraph"/>
              <w:spacing w:before="135"/>
              <w:ind w:left="115"/>
              <w:rPr>
                <w:b/>
                <w:sz w:val="20"/>
              </w:rPr>
            </w:pPr>
            <w:r>
              <w:rPr>
                <w:b/>
                <w:sz w:val="20"/>
              </w:rPr>
              <w:t>gprivins</w:t>
            </w:r>
          </w:p>
        </w:tc>
        <w:tc>
          <w:tcPr>
            <w:tcW w:w="1596" w:type="dxa"/>
          </w:tcPr>
          <w:p w14:paraId="3237C8A3" w14:textId="77777777" w:rsidR="0046798B" w:rsidRDefault="00903B5C">
            <w:pPr>
              <w:pStyle w:val="TableParagraph"/>
              <w:spacing w:before="43"/>
              <w:ind w:left="114" w:right="124"/>
              <w:rPr>
                <w:sz w:val="20"/>
              </w:rPr>
            </w:pPr>
            <w:r>
              <w:rPr>
                <w:sz w:val="20"/>
              </w:rPr>
              <w:t>Private workers’ compensation insurers permitted</w:t>
            </w:r>
          </w:p>
        </w:tc>
        <w:tc>
          <w:tcPr>
            <w:tcW w:w="1285" w:type="dxa"/>
          </w:tcPr>
          <w:p w14:paraId="2118D342" w14:textId="77777777" w:rsidR="0046798B" w:rsidRDefault="0046798B">
            <w:pPr>
              <w:pStyle w:val="TableParagraph"/>
            </w:pPr>
          </w:p>
          <w:p w14:paraId="506D4DBD" w14:textId="77777777" w:rsidR="0046798B" w:rsidRDefault="00903B5C">
            <w:pPr>
              <w:pStyle w:val="TableParagraph"/>
              <w:spacing w:before="135"/>
              <w:ind w:left="114"/>
              <w:rPr>
                <w:sz w:val="20"/>
              </w:rPr>
            </w:pPr>
            <w:r>
              <w:rPr>
                <w:sz w:val="20"/>
              </w:rPr>
              <w:t>2000–2015</w:t>
            </w:r>
          </w:p>
        </w:tc>
        <w:tc>
          <w:tcPr>
            <w:tcW w:w="3421" w:type="dxa"/>
          </w:tcPr>
          <w:p w14:paraId="0C4C1F6F" w14:textId="77777777" w:rsidR="0046798B" w:rsidRDefault="0046798B">
            <w:pPr>
              <w:pStyle w:val="TableParagraph"/>
              <w:spacing w:before="8"/>
              <w:rPr>
                <w:sz w:val="23"/>
              </w:rPr>
            </w:pPr>
          </w:p>
          <w:p w14:paraId="5F5E9BA5" w14:textId="77777777" w:rsidR="0046798B" w:rsidRDefault="00903B5C">
            <w:pPr>
              <w:pStyle w:val="TableParagraph"/>
              <w:spacing w:before="1"/>
              <w:ind w:left="114" w:right="105"/>
              <w:rPr>
                <w:sz w:val="20"/>
              </w:rPr>
            </w:pPr>
            <w:r>
              <w:rPr>
                <w:sz w:val="20"/>
              </w:rPr>
              <w:t>Private workers’ compensation insurers permitted? (0 = no, 1 = yes)</w:t>
            </w:r>
          </w:p>
        </w:tc>
        <w:tc>
          <w:tcPr>
            <w:tcW w:w="6482" w:type="dxa"/>
          </w:tcPr>
          <w:p w14:paraId="4B85FD3B"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1FB4476" w14:textId="77777777">
        <w:trPr>
          <w:trHeight w:val="775"/>
        </w:trPr>
        <w:tc>
          <w:tcPr>
            <w:tcW w:w="1711" w:type="dxa"/>
          </w:tcPr>
          <w:p w14:paraId="24B14750" w14:textId="77777777" w:rsidR="0046798B" w:rsidRDefault="0046798B">
            <w:pPr>
              <w:pStyle w:val="TableParagraph"/>
              <w:spacing w:before="9"/>
              <w:rPr>
                <w:sz w:val="23"/>
              </w:rPr>
            </w:pPr>
          </w:p>
          <w:p w14:paraId="4009813C" w14:textId="77777777" w:rsidR="0046798B" w:rsidRDefault="00903B5C">
            <w:pPr>
              <w:pStyle w:val="TableParagraph"/>
              <w:ind w:left="115"/>
              <w:rPr>
                <w:b/>
                <w:sz w:val="20"/>
              </w:rPr>
            </w:pPr>
            <w:r>
              <w:rPr>
                <w:b/>
                <w:sz w:val="20"/>
              </w:rPr>
              <w:t>grtw</w:t>
            </w:r>
          </w:p>
        </w:tc>
        <w:tc>
          <w:tcPr>
            <w:tcW w:w="1596" w:type="dxa"/>
          </w:tcPr>
          <w:p w14:paraId="47AFA4FA" w14:textId="77777777" w:rsidR="0046798B" w:rsidRDefault="00903B5C">
            <w:pPr>
              <w:pStyle w:val="TableParagraph"/>
              <w:spacing w:before="158"/>
              <w:ind w:left="114" w:right="102"/>
              <w:rPr>
                <w:sz w:val="20"/>
              </w:rPr>
            </w:pPr>
            <w:r>
              <w:rPr>
                <w:sz w:val="20"/>
              </w:rPr>
              <w:t>General right-to- work law</w:t>
            </w:r>
          </w:p>
        </w:tc>
        <w:tc>
          <w:tcPr>
            <w:tcW w:w="1285" w:type="dxa"/>
          </w:tcPr>
          <w:p w14:paraId="3858DDEB" w14:textId="77777777" w:rsidR="0046798B" w:rsidRDefault="0046798B">
            <w:pPr>
              <w:pStyle w:val="TableParagraph"/>
              <w:spacing w:before="9"/>
              <w:rPr>
                <w:sz w:val="23"/>
              </w:rPr>
            </w:pPr>
          </w:p>
          <w:p w14:paraId="444644B5" w14:textId="77777777" w:rsidR="0046798B" w:rsidRDefault="00903B5C">
            <w:pPr>
              <w:pStyle w:val="TableParagraph"/>
              <w:ind w:left="114"/>
              <w:rPr>
                <w:sz w:val="20"/>
              </w:rPr>
            </w:pPr>
            <w:r>
              <w:rPr>
                <w:sz w:val="20"/>
              </w:rPr>
              <w:t>2000–2016</w:t>
            </w:r>
          </w:p>
        </w:tc>
        <w:tc>
          <w:tcPr>
            <w:tcW w:w="3421" w:type="dxa"/>
          </w:tcPr>
          <w:p w14:paraId="56C6A068" w14:textId="77777777" w:rsidR="0046798B" w:rsidRDefault="00903B5C">
            <w:pPr>
              <w:pStyle w:val="TableParagraph"/>
              <w:spacing w:before="158"/>
              <w:ind w:left="114" w:right="96"/>
              <w:rPr>
                <w:sz w:val="20"/>
              </w:rPr>
            </w:pPr>
            <w:r>
              <w:rPr>
                <w:sz w:val="20"/>
              </w:rPr>
              <w:t>General right-to-work law? (0 = no, 1 = yes)</w:t>
            </w:r>
          </w:p>
        </w:tc>
        <w:tc>
          <w:tcPr>
            <w:tcW w:w="6482" w:type="dxa"/>
          </w:tcPr>
          <w:p w14:paraId="1D0488A8" w14:textId="77777777" w:rsidR="0046798B" w:rsidRDefault="00903B5C">
            <w:pPr>
              <w:pStyle w:val="TableParagraph"/>
              <w:spacing w:before="4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A4D2D01" w14:textId="77777777">
        <w:trPr>
          <w:trHeight w:val="1470"/>
        </w:trPr>
        <w:tc>
          <w:tcPr>
            <w:tcW w:w="1711" w:type="dxa"/>
          </w:tcPr>
          <w:p w14:paraId="2F7E3BE2" w14:textId="77777777" w:rsidR="0046798B" w:rsidRDefault="0046798B">
            <w:pPr>
              <w:pStyle w:val="TableParagraph"/>
            </w:pPr>
          </w:p>
          <w:p w14:paraId="18CC1EDA" w14:textId="77777777" w:rsidR="0046798B" w:rsidRDefault="0046798B">
            <w:pPr>
              <w:pStyle w:val="TableParagraph"/>
              <w:spacing w:before="9"/>
              <w:rPr>
                <w:sz w:val="31"/>
              </w:rPr>
            </w:pPr>
          </w:p>
          <w:p w14:paraId="69C84B30" w14:textId="77777777" w:rsidR="0046798B" w:rsidRDefault="00903B5C">
            <w:pPr>
              <w:pStyle w:val="TableParagraph"/>
              <w:ind w:left="115"/>
              <w:rPr>
                <w:b/>
                <w:sz w:val="20"/>
              </w:rPr>
            </w:pPr>
            <w:r>
              <w:rPr>
                <w:b/>
                <w:sz w:val="20"/>
              </w:rPr>
              <w:t>gsbexem</w:t>
            </w:r>
          </w:p>
        </w:tc>
        <w:tc>
          <w:tcPr>
            <w:tcW w:w="1596" w:type="dxa"/>
          </w:tcPr>
          <w:p w14:paraId="43F960E8" w14:textId="77777777" w:rsidR="0046798B" w:rsidRDefault="00903B5C">
            <w:pPr>
              <w:pStyle w:val="TableParagraph"/>
              <w:spacing w:before="158"/>
              <w:ind w:left="114" w:right="341"/>
              <w:rPr>
                <w:sz w:val="20"/>
              </w:rPr>
            </w:pPr>
            <w:r>
              <w:rPr>
                <w:sz w:val="20"/>
              </w:rPr>
              <w:t>Workers’ compensation optional for certain small businesses</w:t>
            </w:r>
          </w:p>
        </w:tc>
        <w:tc>
          <w:tcPr>
            <w:tcW w:w="1285" w:type="dxa"/>
          </w:tcPr>
          <w:p w14:paraId="51077068" w14:textId="77777777" w:rsidR="0046798B" w:rsidRDefault="0046798B">
            <w:pPr>
              <w:pStyle w:val="TableParagraph"/>
            </w:pPr>
          </w:p>
          <w:p w14:paraId="2570349A" w14:textId="77777777" w:rsidR="0046798B" w:rsidRDefault="0046798B">
            <w:pPr>
              <w:pStyle w:val="TableParagraph"/>
              <w:spacing w:before="9"/>
              <w:rPr>
                <w:sz w:val="31"/>
              </w:rPr>
            </w:pPr>
          </w:p>
          <w:p w14:paraId="5C9EC439" w14:textId="77777777" w:rsidR="0046798B" w:rsidRDefault="00903B5C">
            <w:pPr>
              <w:pStyle w:val="TableParagraph"/>
              <w:ind w:left="114"/>
              <w:rPr>
                <w:sz w:val="20"/>
              </w:rPr>
            </w:pPr>
            <w:r>
              <w:rPr>
                <w:sz w:val="20"/>
              </w:rPr>
              <w:t>2000–2015</w:t>
            </w:r>
          </w:p>
        </w:tc>
        <w:tc>
          <w:tcPr>
            <w:tcW w:w="3421" w:type="dxa"/>
          </w:tcPr>
          <w:p w14:paraId="51DA9519" w14:textId="77777777" w:rsidR="0046798B" w:rsidRDefault="00903B5C">
            <w:pPr>
              <w:pStyle w:val="TableParagraph"/>
              <w:spacing w:before="43"/>
              <w:ind w:left="114" w:right="372"/>
              <w:rPr>
                <w:sz w:val="20"/>
              </w:rPr>
            </w:pPr>
            <w:r>
              <w:rPr>
                <w:sz w:val="20"/>
              </w:rPr>
              <w:t>Workers’ compensation optional for certain small businesses? (0 = no exemption, 1 = fewer than three employees, 2 = fewer than four employees, 3 = fewer than five employees)</w:t>
            </w:r>
          </w:p>
        </w:tc>
        <w:tc>
          <w:tcPr>
            <w:tcW w:w="6482" w:type="dxa"/>
          </w:tcPr>
          <w:p w14:paraId="4996CA7B" w14:textId="77777777" w:rsidR="0046798B" w:rsidRDefault="0046798B">
            <w:pPr>
              <w:pStyle w:val="TableParagraph"/>
            </w:pPr>
          </w:p>
          <w:p w14:paraId="38E2A7D3" w14:textId="77777777" w:rsidR="0046798B" w:rsidRDefault="00903B5C">
            <w:pPr>
              <w:pStyle w:val="TableParagraph"/>
              <w:spacing w:before="135"/>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2DC47A06" w14:textId="77777777" w:rsidR="0046798B" w:rsidRDefault="0046798B">
      <w:pPr>
        <w:rPr>
          <w:sz w:val="20"/>
        </w:rPr>
        <w:sectPr w:rsidR="0046798B">
          <w:pgSz w:w="15840" w:h="12240" w:orient="landscape"/>
          <w:pgMar w:top="1220" w:right="300" w:bottom="980" w:left="820" w:header="730" w:footer="787" w:gutter="0"/>
          <w:cols w:space="720"/>
        </w:sectPr>
      </w:pPr>
    </w:p>
    <w:p w14:paraId="6589F8EA"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C2832CD" w14:textId="77777777">
        <w:trPr>
          <w:trHeight w:val="1235"/>
        </w:trPr>
        <w:tc>
          <w:tcPr>
            <w:tcW w:w="1711" w:type="dxa"/>
          </w:tcPr>
          <w:p w14:paraId="791F26CF" w14:textId="77777777" w:rsidR="0046798B" w:rsidRDefault="0046798B">
            <w:pPr>
              <w:pStyle w:val="TableParagraph"/>
            </w:pPr>
          </w:p>
          <w:p w14:paraId="3B20D26E" w14:textId="77777777" w:rsidR="0046798B" w:rsidRDefault="0046798B">
            <w:pPr>
              <w:pStyle w:val="TableParagraph"/>
              <w:spacing w:before="9"/>
              <w:rPr>
                <w:sz w:val="21"/>
              </w:rPr>
            </w:pPr>
          </w:p>
          <w:p w14:paraId="753589EB" w14:textId="77777777" w:rsidR="0046798B" w:rsidRDefault="00903B5C">
            <w:pPr>
              <w:pStyle w:val="TableParagraph"/>
              <w:ind w:left="115"/>
              <w:rPr>
                <w:b/>
                <w:sz w:val="20"/>
              </w:rPr>
            </w:pPr>
            <w:r>
              <w:rPr>
                <w:b/>
                <w:sz w:val="20"/>
              </w:rPr>
              <w:t>gselfins</w:t>
            </w:r>
          </w:p>
        </w:tc>
        <w:tc>
          <w:tcPr>
            <w:tcW w:w="1596" w:type="dxa"/>
          </w:tcPr>
          <w:p w14:paraId="21F8F2E9" w14:textId="77777777" w:rsidR="0046798B" w:rsidRDefault="00903B5C">
            <w:pPr>
              <w:pStyle w:val="TableParagraph"/>
              <w:spacing w:before="43"/>
              <w:ind w:left="114" w:right="257"/>
              <w:rPr>
                <w:sz w:val="20"/>
              </w:rPr>
            </w:pPr>
            <w:r>
              <w:rPr>
                <w:sz w:val="20"/>
              </w:rPr>
              <w:t>Employer self- insurance for workers’ compensation permitted</w:t>
            </w:r>
          </w:p>
        </w:tc>
        <w:tc>
          <w:tcPr>
            <w:tcW w:w="1285" w:type="dxa"/>
          </w:tcPr>
          <w:p w14:paraId="668B95E8" w14:textId="77777777" w:rsidR="0046798B" w:rsidRDefault="0046798B">
            <w:pPr>
              <w:pStyle w:val="TableParagraph"/>
            </w:pPr>
          </w:p>
          <w:p w14:paraId="1402C724" w14:textId="77777777" w:rsidR="0046798B" w:rsidRDefault="0046798B">
            <w:pPr>
              <w:pStyle w:val="TableParagraph"/>
              <w:spacing w:before="9"/>
              <w:rPr>
                <w:sz w:val="21"/>
              </w:rPr>
            </w:pPr>
          </w:p>
          <w:p w14:paraId="499E6C18" w14:textId="77777777" w:rsidR="0046798B" w:rsidRDefault="00903B5C">
            <w:pPr>
              <w:pStyle w:val="TableParagraph"/>
              <w:ind w:left="114"/>
              <w:rPr>
                <w:sz w:val="20"/>
              </w:rPr>
            </w:pPr>
            <w:r>
              <w:rPr>
                <w:sz w:val="20"/>
              </w:rPr>
              <w:t>2000–2015</w:t>
            </w:r>
          </w:p>
        </w:tc>
        <w:tc>
          <w:tcPr>
            <w:tcW w:w="3421" w:type="dxa"/>
          </w:tcPr>
          <w:p w14:paraId="5DA5C183" w14:textId="77777777" w:rsidR="0046798B" w:rsidRDefault="0046798B">
            <w:pPr>
              <w:pStyle w:val="TableParagraph"/>
              <w:spacing w:before="9"/>
              <w:rPr>
                <w:sz w:val="23"/>
              </w:rPr>
            </w:pPr>
          </w:p>
          <w:p w14:paraId="3AFDB4E7" w14:textId="77777777" w:rsidR="0046798B" w:rsidRDefault="00903B5C">
            <w:pPr>
              <w:pStyle w:val="TableParagraph"/>
              <w:ind w:left="114" w:right="281"/>
              <w:jc w:val="both"/>
              <w:rPr>
                <w:sz w:val="20"/>
              </w:rPr>
            </w:pPr>
            <w:r>
              <w:rPr>
                <w:sz w:val="20"/>
              </w:rPr>
              <w:t>Employer self-insurance for workers’ compensation permitted? (0 = no, 1 = yes)</w:t>
            </w:r>
          </w:p>
        </w:tc>
        <w:tc>
          <w:tcPr>
            <w:tcW w:w="6482" w:type="dxa"/>
          </w:tcPr>
          <w:p w14:paraId="3211D47D" w14:textId="77777777" w:rsidR="0046798B" w:rsidRDefault="0046798B">
            <w:pPr>
              <w:pStyle w:val="TableParagraph"/>
              <w:spacing w:before="9"/>
              <w:rPr>
                <w:sz w:val="23"/>
              </w:rPr>
            </w:pPr>
          </w:p>
          <w:p w14:paraId="71119FB1"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850998E" w14:textId="77777777">
        <w:trPr>
          <w:trHeight w:val="1005"/>
        </w:trPr>
        <w:tc>
          <w:tcPr>
            <w:tcW w:w="1711" w:type="dxa"/>
          </w:tcPr>
          <w:p w14:paraId="3D31B2B9" w14:textId="77777777" w:rsidR="0046798B" w:rsidRDefault="0046798B">
            <w:pPr>
              <w:pStyle w:val="TableParagraph"/>
            </w:pPr>
          </w:p>
          <w:p w14:paraId="36A22B4A" w14:textId="77777777" w:rsidR="0046798B" w:rsidRDefault="00903B5C">
            <w:pPr>
              <w:pStyle w:val="TableParagraph"/>
              <w:spacing w:before="136"/>
              <w:ind w:left="115"/>
              <w:rPr>
                <w:b/>
                <w:sz w:val="20"/>
              </w:rPr>
            </w:pPr>
            <w:r>
              <w:rPr>
                <w:b/>
                <w:sz w:val="20"/>
              </w:rPr>
              <w:t>gsfund</w:t>
            </w:r>
          </w:p>
        </w:tc>
        <w:tc>
          <w:tcPr>
            <w:tcW w:w="1596" w:type="dxa"/>
          </w:tcPr>
          <w:p w14:paraId="066385AF" w14:textId="77777777" w:rsidR="0046798B" w:rsidRDefault="00903B5C">
            <w:pPr>
              <w:pStyle w:val="TableParagraph"/>
              <w:spacing w:before="43"/>
              <w:ind w:left="114" w:right="119"/>
              <w:rPr>
                <w:sz w:val="20"/>
              </w:rPr>
            </w:pPr>
            <w:r>
              <w:rPr>
                <w:sz w:val="20"/>
              </w:rPr>
              <w:t>State funds offer workers’ compensation insurance</w:t>
            </w:r>
          </w:p>
        </w:tc>
        <w:tc>
          <w:tcPr>
            <w:tcW w:w="1285" w:type="dxa"/>
          </w:tcPr>
          <w:p w14:paraId="330C4F36" w14:textId="77777777" w:rsidR="0046798B" w:rsidRDefault="0046798B">
            <w:pPr>
              <w:pStyle w:val="TableParagraph"/>
            </w:pPr>
          </w:p>
          <w:p w14:paraId="7A478CC7" w14:textId="77777777" w:rsidR="0046798B" w:rsidRDefault="00903B5C">
            <w:pPr>
              <w:pStyle w:val="TableParagraph"/>
              <w:spacing w:before="136"/>
              <w:ind w:left="114"/>
              <w:rPr>
                <w:sz w:val="20"/>
              </w:rPr>
            </w:pPr>
            <w:r>
              <w:rPr>
                <w:sz w:val="20"/>
              </w:rPr>
              <w:t>2000–2015</w:t>
            </w:r>
          </w:p>
        </w:tc>
        <w:tc>
          <w:tcPr>
            <w:tcW w:w="3421" w:type="dxa"/>
          </w:tcPr>
          <w:p w14:paraId="25F0970B" w14:textId="77777777" w:rsidR="0046798B" w:rsidRDefault="00903B5C">
            <w:pPr>
              <w:pStyle w:val="TableParagraph"/>
              <w:spacing w:before="158"/>
              <w:ind w:left="114" w:right="268"/>
              <w:rPr>
                <w:sz w:val="20"/>
              </w:rPr>
            </w:pPr>
            <w:r>
              <w:rPr>
                <w:sz w:val="20"/>
              </w:rPr>
              <w:t>State funds offer workers’ compensation insurance? (0 = no, 1 = yes)</w:t>
            </w:r>
          </w:p>
        </w:tc>
        <w:tc>
          <w:tcPr>
            <w:tcW w:w="6482" w:type="dxa"/>
          </w:tcPr>
          <w:p w14:paraId="19DF5871"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E128AFD" w14:textId="77777777">
        <w:trPr>
          <w:trHeight w:val="1240"/>
        </w:trPr>
        <w:tc>
          <w:tcPr>
            <w:tcW w:w="1711" w:type="dxa"/>
          </w:tcPr>
          <w:p w14:paraId="371FA066" w14:textId="77777777" w:rsidR="0046798B" w:rsidRDefault="0046798B">
            <w:pPr>
              <w:pStyle w:val="TableParagraph"/>
            </w:pPr>
          </w:p>
          <w:p w14:paraId="53592B4A" w14:textId="77777777" w:rsidR="0046798B" w:rsidRDefault="0046798B">
            <w:pPr>
              <w:pStyle w:val="TableParagraph"/>
              <w:spacing w:before="9"/>
              <w:rPr>
                <w:sz w:val="21"/>
              </w:rPr>
            </w:pPr>
          </w:p>
          <w:p w14:paraId="1EDEA59A" w14:textId="77777777" w:rsidR="0046798B" w:rsidRDefault="00903B5C">
            <w:pPr>
              <w:pStyle w:val="TableParagraph"/>
              <w:ind w:left="115"/>
              <w:rPr>
                <w:b/>
                <w:sz w:val="20"/>
              </w:rPr>
            </w:pPr>
            <w:r>
              <w:rPr>
                <w:b/>
                <w:sz w:val="20"/>
              </w:rPr>
              <w:t>gverif</w:t>
            </w:r>
          </w:p>
        </w:tc>
        <w:tc>
          <w:tcPr>
            <w:tcW w:w="1596" w:type="dxa"/>
          </w:tcPr>
          <w:p w14:paraId="5E83D81D" w14:textId="77777777" w:rsidR="0046798B" w:rsidRDefault="00903B5C">
            <w:pPr>
              <w:pStyle w:val="TableParagraph"/>
              <w:spacing w:before="158"/>
              <w:ind w:left="114" w:right="313"/>
              <w:rPr>
                <w:sz w:val="20"/>
              </w:rPr>
            </w:pPr>
            <w:r>
              <w:rPr>
                <w:sz w:val="20"/>
              </w:rPr>
              <w:t>Employer verification of legal resident status</w:t>
            </w:r>
          </w:p>
        </w:tc>
        <w:tc>
          <w:tcPr>
            <w:tcW w:w="1285" w:type="dxa"/>
          </w:tcPr>
          <w:p w14:paraId="0306C235" w14:textId="77777777" w:rsidR="0046798B" w:rsidRDefault="0046798B">
            <w:pPr>
              <w:pStyle w:val="TableParagraph"/>
            </w:pPr>
          </w:p>
          <w:p w14:paraId="35550D6C" w14:textId="77777777" w:rsidR="0046798B" w:rsidRDefault="0046798B">
            <w:pPr>
              <w:pStyle w:val="TableParagraph"/>
              <w:spacing w:before="9"/>
              <w:rPr>
                <w:sz w:val="21"/>
              </w:rPr>
            </w:pPr>
          </w:p>
          <w:p w14:paraId="1AF0BB7C" w14:textId="77777777" w:rsidR="0046798B" w:rsidRDefault="00903B5C">
            <w:pPr>
              <w:pStyle w:val="TableParagraph"/>
              <w:ind w:left="114"/>
              <w:rPr>
                <w:sz w:val="20"/>
              </w:rPr>
            </w:pPr>
            <w:r>
              <w:rPr>
                <w:sz w:val="20"/>
              </w:rPr>
              <w:t>2000–2016</w:t>
            </w:r>
          </w:p>
        </w:tc>
        <w:tc>
          <w:tcPr>
            <w:tcW w:w="3421" w:type="dxa"/>
          </w:tcPr>
          <w:p w14:paraId="205546F6" w14:textId="77777777" w:rsidR="0046798B" w:rsidRDefault="00903B5C">
            <w:pPr>
              <w:pStyle w:val="TableParagraph"/>
              <w:spacing w:before="43"/>
              <w:ind w:left="114" w:right="138"/>
              <w:jc w:val="both"/>
              <w:rPr>
                <w:sz w:val="20"/>
              </w:rPr>
            </w:pPr>
            <w:r>
              <w:rPr>
                <w:sz w:val="20"/>
              </w:rPr>
              <w:t>Employer verification of legal resident status (0 = not required of some private employers other than state contractors, 1 = required of some private employers other than state contractors)</w:t>
            </w:r>
          </w:p>
        </w:tc>
        <w:tc>
          <w:tcPr>
            <w:tcW w:w="6482" w:type="dxa"/>
          </w:tcPr>
          <w:p w14:paraId="029006B7" w14:textId="77777777" w:rsidR="0046798B" w:rsidRDefault="0046798B">
            <w:pPr>
              <w:pStyle w:val="TableParagraph"/>
              <w:spacing w:before="8"/>
              <w:rPr>
                <w:sz w:val="23"/>
              </w:rPr>
            </w:pPr>
          </w:p>
          <w:p w14:paraId="6A5E488F" w14:textId="77777777" w:rsidR="0046798B" w:rsidRDefault="00903B5C">
            <w:pPr>
              <w:pStyle w:val="TableParagraph"/>
              <w:spacing w:before="1"/>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1C0C4A1" w14:textId="77777777">
        <w:trPr>
          <w:trHeight w:val="1235"/>
        </w:trPr>
        <w:tc>
          <w:tcPr>
            <w:tcW w:w="1711" w:type="dxa"/>
          </w:tcPr>
          <w:p w14:paraId="686AF21C" w14:textId="77777777" w:rsidR="0046798B" w:rsidRDefault="0046798B">
            <w:pPr>
              <w:pStyle w:val="TableParagraph"/>
            </w:pPr>
          </w:p>
          <w:p w14:paraId="69D71315" w14:textId="77777777" w:rsidR="0046798B" w:rsidRDefault="00903B5C">
            <w:pPr>
              <w:pStyle w:val="TableParagraph"/>
              <w:spacing w:before="130"/>
              <w:ind w:left="115" w:right="143"/>
              <w:rPr>
                <w:b/>
                <w:sz w:val="20"/>
              </w:rPr>
            </w:pPr>
            <w:r>
              <w:rPr>
                <w:b/>
                <w:sz w:val="20"/>
              </w:rPr>
              <w:t>labor_age_discri mination</w:t>
            </w:r>
          </w:p>
        </w:tc>
        <w:tc>
          <w:tcPr>
            <w:tcW w:w="1596" w:type="dxa"/>
          </w:tcPr>
          <w:p w14:paraId="7B03F094" w14:textId="77777777" w:rsidR="0046798B" w:rsidRDefault="0046798B">
            <w:pPr>
              <w:pStyle w:val="TableParagraph"/>
              <w:spacing w:before="3"/>
              <w:rPr>
                <w:sz w:val="23"/>
              </w:rPr>
            </w:pPr>
          </w:p>
          <w:p w14:paraId="613169CE" w14:textId="77777777" w:rsidR="0046798B" w:rsidRDefault="00903B5C">
            <w:pPr>
              <w:pStyle w:val="TableParagraph"/>
              <w:spacing w:before="1"/>
              <w:ind w:left="114" w:right="296"/>
              <w:rPr>
                <w:sz w:val="20"/>
              </w:rPr>
            </w:pPr>
            <w:r>
              <w:rPr>
                <w:sz w:val="20"/>
              </w:rPr>
              <w:t>Age discrimination ban</w:t>
            </w:r>
          </w:p>
        </w:tc>
        <w:tc>
          <w:tcPr>
            <w:tcW w:w="1285" w:type="dxa"/>
          </w:tcPr>
          <w:p w14:paraId="3FB4F068" w14:textId="77777777" w:rsidR="0046798B" w:rsidRDefault="0046798B">
            <w:pPr>
              <w:pStyle w:val="TableParagraph"/>
            </w:pPr>
          </w:p>
          <w:p w14:paraId="1B77A731" w14:textId="77777777" w:rsidR="0046798B" w:rsidRDefault="0046798B">
            <w:pPr>
              <w:pStyle w:val="TableParagraph"/>
              <w:spacing w:before="4"/>
              <w:rPr>
                <w:sz w:val="21"/>
              </w:rPr>
            </w:pPr>
          </w:p>
          <w:p w14:paraId="5855BB5F" w14:textId="77777777" w:rsidR="0046798B" w:rsidRDefault="00903B5C">
            <w:pPr>
              <w:pStyle w:val="TableParagraph"/>
              <w:ind w:left="114"/>
              <w:rPr>
                <w:sz w:val="20"/>
              </w:rPr>
            </w:pPr>
            <w:r>
              <w:rPr>
                <w:sz w:val="20"/>
              </w:rPr>
              <w:t>1936–1999</w:t>
            </w:r>
          </w:p>
        </w:tc>
        <w:tc>
          <w:tcPr>
            <w:tcW w:w="3421" w:type="dxa"/>
          </w:tcPr>
          <w:p w14:paraId="6C020AAB" w14:textId="77777777" w:rsidR="0046798B" w:rsidRDefault="0046798B">
            <w:pPr>
              <w:pStyle w:val="TableParagraph"/>
            </w:pPr>
          </w:p>
          <w:p w14:paraId="25603630" w14:textId="77777777" w:rsidR="0046798B" w:rsidRDefault="00903B5C">
            <w:pPr>
              <w:pStyle w:val="TableParagraph"/>
              <w:spacing w:before="130"/>
              <w:ind w:left="114" w:right="194"/>
              <w:rPr>
                <w:sz w:val="20"/>
              </w:rPr>
            </w:pPr>
            <w:r>
              <w:rPr>
                <w:sz w:val="20"/>
              </w:rPr>
              <w:t>Does the state ban age discrimination? (0 = no, 1 = yes)</w:t>
            </w:r>
          </w:p>
        </w:tc>
        <w:tc>
          <w:tcPr>
            <w:tcW w:w="6482" w:type="dxa"/>
          </w:tcPr>
          <w:p w14:paraId="770B90D9"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629F1517" w14:textId="77777777">
        <w:trPr>
          <w:trHeight w:val="1235"/>
        </w:trPr>
        <w:tc>
          <w:tcPr>
            <w:tcW w:w="1711" w:type="dxa"/>
          </w:tcPr>
          <w:p w14:paraId="2B440844" w14:textId="77777777" w:rsidR="0046798B" w:rsidRDefault="0046798B">
            <w:pPr>
              <w:pStyle w:val="TableParagraph"/>
            </w:pPr>
          </w:p>
          <w:p w14:paraId="6BFDDFE2" w14:textId="77777777" w:rsidR="0046798B" w:rsidRDefault="00903B5C">
            <w:pPr>
              <w:pStyle w:val="TableParagraph"/>
              <w:spacing w:before="131"/>
              <w:ind w:left="115"/>
              <w:rPr>
                <w:b/>
                <w:sz w:val="20"/>
              </w:rPr>
            </w:pPr>
            <w:r>
              <w:rPr>
                <w:b/>
                <w:sz w:val="20"/>
              </w:rPr>
              <w:t>labor_antiinjunc tion_laws</w:t>
            </w:r>
          </w:p>
        </w:tc>
        <w:tc>
          <w:tcPr>
            <w:tcW w:w="1596" w:type="dxa"/>
          </w:tcPr>
          <w:p w14:paraId="0582D060" w14:textId="77777777" w:rsidR="0046798B" w:rsidRDefault="0046798B">
            <w:pPr>
              <w:pStyle w:val="TableParagraph"/>
            </w:pPr>
          </w:p>
          <w:p w14:paraId="06809C50" w14:textId="77777777" w:rsidR="0046798B" w:rsidRDefault="00903B5C">
            <w:pPr>
              <w:pStyle w:val="TableParagraph"/>
              <w:spacing w:before="131"/>
              <w:ind w:left="114" w:right="135"/>
              <w:rPr>
                <w:sz w:val="20"/>
              </w:rPr>
            </w:pPr>
            <w:r>
              <w:rPr>
                <w:sz w:val="20"/>
              </w:rPr>
              <w:t>Anti-injunction act</w:t>
            </w:r>
          </w:p>
        </w:tc>
        <w:tc>
          <w:tcPr>
            <w:tcW w:w="1285" w:type="dxa"/>
          </w:tcPr>
          <w:p w14:paraId="0EF96DB3" w14:textId="77777777" w:rsidR="0046798B" w:rsidRDefault="0046798B">
            <w:pPr>
              <w:pStyle w:val="TableParagraph"/>
            </w:pPr>
          </w:p>
          <w:p w14:paraId="11F22E31" w14:textId="77777777" w:rsidR="0046798B" w:rsidRDefault="0046798B">
            <w:pPr>
              <w:pStyle w:val="TableParagraph"/>
              <w:spacing w:before="4"/>
              <w:rPr>
                <w:sz w:val="21"/>
              </w:rPr>
            </w:pPr>
          </w:p>
          <w:p w14:paraId="12E2D031" w14:textId="77777777" w:rsidR="0046798B" w:rsidRDefault="00903B5C">
            <w:pPr>
              <w:pStyle w:val="TableParagraph"/>
              <w:ind w:left="114"/>
              <w:rPr>
                <w:sz w:val="20"/>
              </w:rPr>
            </w:pPr>
            <w:r>
              <w:rPr>
                <w:sz w:val="20"/>
              </w:rPr>
              <w:t>1936–1966</w:t>
            </w:r>
          </w:p>
        </w:tc>
        <w:tc>
          <w:tcPr>
            <w:tcW w:w="3421" w:type="dxa"/>
          </w:tcPr>
          <w:p w14:paraId="225998BB" w14:textId="77777777" w:rsidR="0046798B" w:rsidRDefault="0046798B">
            <w:pPr>
              <w:pStyle w:val="TableParagraph"/>
            </w:pPr>
          </w:p>
          <w:p w14:paraId="624508DC" w14:textId="77777777" w:rsidR="0046798B" w:rsidRDefault="00903B5C">
            <w:pPr>
              <w:pStyle w:val="TableParagraph"/>
              <w:spacing w:before="131"/>
              <w:ind w:left="114" w:right="261"/>
              <w:rPr>
                <w:sz w:val="20"/>
              </w:rPr>
            </w:pPr>
            <w:r>
              <w:rPr>
                <w:sz w:val="20"/>
              </w:rPr>
              <w:t>Does the state have an anti-injunction law? (0 = no, 1 = yes)</w:t>
            </w:r>
          </w:p>
        </w:tc>
        <w:tc>
          <w:tcPr>
            <w:tcW w:w="6482" w:type="dxa"/>
          </w:tcPr>
          <w:p w14:paraId="0D71D257"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0FB2A2F5" w14:textId="77777777">
        <w:trPr>
          <w:trHeight w:val="1235"/>
        </w:trPr>
        <w:tc>
          <w:tcPr>
            <w:tcW w:w="1711" w:type="dxa"/>
          </w:tcPr>
          <w:p w14:paraId="0BF90A1F" w14:textId="77777777" w:rsidR="0046798B" w:rsidRDefault="0046798B">
            <w:pPr>
              <w:pStyle w:val="TableParagraph"/>
            </w:pPr>
          </w:p>
          <w:p w14:paraId="6C05F6EA" w14:textId="77777777" w:rsidR="0046798B" w:rsidRDefault="00903B5C">
            <w:pPr>
              <w:pStyle w:val="TableParagraph"/>
              <w:spacing w:before="131"/>
              <w:ind w:left="115" w:right="122"/>
              <w:rPr>
                <w:b/>
                <w:sz w:val="20"/>
              </w:rPr>
            </w:pPr>
            <w:r>
              <w:rPr>
                <w:b/>
                <w:sz w:val="20"/>
              </w:rPr>
              <w:t>labor_collective_ bargaining_stat</w:t>
            </w:r>
          </w:p>
        </w:tc>
        <w:tc>
          <w:tcPr>
            <w:tcW w:w="1596" w:type="dxa"/>
          </w:tcPr>
          <w:p w14:paraId="3BDE5CEE" w14:textId="77777777" w:rsidR="0046798B" w:rsidRDefault="0046798B">
            <w:pPr>
              <w:pStyle w:val="TableParagraph"/>
              <w:spacing w:before="3"/>
              <w:rPr>
                <w:sz w:val="23"/>
              </w:rPr>
            </w:pPr>
          </w:p>
          <w:p w14:paraId="5C9FDBEB" w14:textId="77777777" w:rsidR="0046798B" w:rsidRDefault="00903B5C">
            <w:pPr>
              <w:pStyle w:val="TableParagraph"/>
              <w:spacing w:before="1"/>
              <w:ind w:left="114" w:right="113"/>
              <w:rPr>
                <w:sz w:val="20"/>
              </w:rPr>
            </w:pPr>
            <w:r>
              <w:rPr>
                <w:sz w:val="20"/>
              </w:rPr>
              <w:t>Collective bargaining (state employees)</w:t>
            </w:r>
          </w:p>
        </w:tc>
        <w:tc>
          <w:tcPr>
            <w:tcW w:w="1285" w:type="dxa"/>
          </w:tcPr>
          <w:p w14:paraId="7BC4AED1" w14:textId="77777777" w:rsidR="0046798B" w:rsidRDefault="0046798B">
            <w:pPr>
              <w:pStyle w:val="TableParagraph"/>
            </w:pPr>
          </w:p>
          <w:p w14:paraId="43739012" w14:textId="77777777" w:rsidR="0046798B" w:rsidRDefault="0046798B">
            <w:pPr>
              <w:pStyle w:val="TableParagraph"/>
              <w:spacing w:before="4"/>
              <w:rPr>
                <w:sz w:val="21"/>
              </w:rPr>
            </w:pPr>
          </w:p>
          <w:p w14:paraId="436ADE07" w14:textId="77777777" w:rsidR="0046798B" w:rsidRDefault="00903B5C">
            <w:pPr>
              <w:pStyle w:val="TableParagraph"/>
              <w:ind w:left="114"/>
              <w:rPr>
                <w:sz w:val="20"/>
              </w:rPr>
            </w:pPr>
            <w:r>
              <w:rPr>
                <w:sz w:val="20"/>
              </w:rPr>
              <w:t>1966–1996</w:t>
            </w:r>
          </w:p>
        </w:tc>
        <w:tc>
          <w:tcPr>
            <w:tcW w:w="3421" w:type="dxa"/>
          </w:tcPr>
          <w:p w14:paraId="75D48410" w14:textId="77777777" w:rsidR="0046798B" w:rsidRDefault="0046798B">
            <w:pPr>
              <w:pStyle w:val="TableParagraph"/>
              <w:spacing w:before="3"/>
              <w:rPr>
                <w:sz w:val="23"/>
              </w:rPr>
            </w:pPr>
          </w:p>
          <w:p w14:paraId="74DB4BA0" w14:textId="77777777" w:rsidR="0046798B" w:rsidRDefault="00903B5C">
            <w:pPr>
              <w:pStyle w:val="TableParagraph"/>
              <w:spacing w:before="1"/>
              <w:ind w:left="114" w:right="211"/>
              <w:rPr>
                <w:sz w:val="20"/>
              </w:rPr>
            </w:pPr>
            <w:r>
              <w:rPr>
                <w:sz w:val="20"/>
              </w:rPr>
              <w:t>Does the state have collective bargaining rights for state government employees? (0 = no, 1 = yes)</w:t>
            </w:r>
          </w:p>
        </w:tc>
        <w:tc>
          <w:tcPr>
            <w:tcW w:w="6482" w:type="dxa"/>
          </w:tcPr>
          <w:p w14:paraId="1BF13608"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4FE31450" w14:textId="77777777">
        <w:trPr>
          <w:trHeight w:val="1235"/>
        </w:trPr>
        <w:tc>
          <w:tcPr>
            <w:tcW w:w="1711" w:type="dxa"/>
          </w:tcPr>
          <w:p w14:paraId="53224082" w14:textId="77777777" w:rsidR="0046798B" w:rsidRDefault="0046798B">
            <w:pPr>
              <w:pStyle w:val="TableParagraph"/>
            </w:pPr>
          </w:p>
          <w:p w14:paraId="64119B35" w14:textId="77777777" w:rsidR="0046798B" w:rsidRDefault="00903B5C">
            <w:pPr>
              <w:pStyle w:val="TableParagraph"/>
              <w:spacing w:before="135"/>
              <w:ind w:left="115" w:right="122"/>
              <w:rPr>
                <w:b/>
                <w:sz w:val="20"/>
              </w:rPr>
            </w:pPr>
            <w:r>
              <w:rPr>
                <w:b/>
                <w:sz w:val="20"/>
              </w:rPr>
              <w:t>labor_collective_ bargaining_teac</w:t>
            </w:r>
          </w:p>
        </w:tc>
        <w:tc>
          <w:tcPr>
            <w:tcW w:w="1596" w:type="dxa"/>
          </w:tcPr>
          <w:p w14:paraId="127C343F" w14:textId="77777777" w:rsidR="0046798B" w:rsidRDefault="0046798B">
            <w:pPr>
              <w:pStyle w:val="TableParagraph"/>
              <w:spacing w:before="8"/>
              <w:rPr>
                <w:sz w:val="23"/>
              </w:rPr>
            </w:pPr>
          </w:p>
          <w:p w14:paraId="41ED0F42" w14:textId="77777777" w:rsidR="0046798B" w:rsidRDefault="00903B5C">
            <w:pPr>
              <w:pStyle w:val="TableParagraph"/>
              <w:ind w:left="114" w:right="614"/>
              <w:jc w:val="both"/>
              <w:rPr>
                <w:sz w:val="20"/>
              </w:rPr>
            </w:pPr>
            <w:r>
              <w:rPr>
                <w:sz w:val="20"/>
              </w:rPr>
              <w:t>Collective bargaining (teachers)</w:t>
            </w:r>
          </w:p>
        </w:tc>
        <w:tc>
          <w:tcPr>
            <w:tcW w:w="1285" w:type="dxa"/>
          </w:tcPr>
          <w:p w14:paraId="3E6F1D8F" w14:textId="77777777" w:rsidR="0046798B" w:rsidRDefault="0046798B">
            <w:pPr>
              <w:pStyle w:val="TableParagraph"/>
            </w:pPr>
          </w:p>
          <w:p w14:paraId="47CDD4D6" w14:textId="77777777" w:rsidR="0046798B" w:rsidRDefault="0046798B">
            <w:pPr>
              <w:pStyle w:val="TableParagraph"/>
              <w:spacing w:before="9"/>
              <w:rPr>
                <w:sz w:val="21"/>
              </w:rPr>
            </w:pPr>
          </w:p>
          <w:p w14:paraId="3E6AE012" w14:textId="77777777" w:rsidR="0046798B" w:rsidRDefault="00903B5C">
            <w:pPr>
              <w:pStyle w:val="TableParagraph"/>
              <w:ind w:left="114"/>
              <w:rPr>
                <w:sz w:val="20"/>
              </w:rPr>
            </w:pPr>
            <w:r>
              <w:rPr>
                <w:sz w:val="20"/>
              </w:rPr>
              <w:t>1960–1996</w:t>
            </w:r>
          </w:p>
        </w:tc>
        <w:tc>
          <w:tcPr>
            <w:tcW w:w="3421" w:type="dxa"/>
          </w:tcPr>
          <w:p w14:paraId="2522F393" w14:textId="77777777" w:rsidR="0046798B" w:rsidRDefault="0046798B">
            <w:pPr>
              <w:pStyle w:val="TableParagraph"/>
              <w:spacing w:before="8"/>
              <w:rPr>
                <w:sz w:val="23"/>
              </w:rPr>
            </w:pPr>
          </w:p>
          <w:p w14:paraId="48E70A7F" w14:textId="77777777" w:rsidR="0046798B" w:rsidRDefault="00903B5C">
            <w:pPr>
              <w:pStyle w:val="TableParagraph"/>
              <w:ind w:left="114" w:right="183"/>
              <w:rPr>
                <w:sz w:val="20"/>
              </w:rPr>
            </w:pPr>
            <w:r>
              <w:rPr>
                <w:sz w:val="20"/>
              </w:rPr>
              <w:t>Does the state have collective bargaining rights for local teachers? (0</w:t>
            </w:r>
          </w:p>
          <w:p w14:paraId="628A7789" w14:textId="77777777" w:rsidR="0046798B" w:rsidRDefault="00903B5C">
            <w:pPr>
              <w:pStyle w:val="TableParagraph"/>
              <w:spacing w:before="1"/>
              <w:ind w:left="114"/>
              <w:rPr>
                <w:sz w:val="20"/>
              </w:rPr>
            </w:pPr>
            <w:r>
              <w:rPr>
                <w:sz w:val="20"/>
              </w:rPr>
              <w:t>= no, 1 = yes)</w:t>
            </w:r>
          </w:p>
        </w:tc>
        <w:tc>
          <w:tcPr>
            <w:tcW w:w="6482" w:type="dxa"/>
          </w:tcPr>
          <w:p w14:paraId="7518B4F5"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077C1914" w14:textId="77777777">
        <w:trPr>
          <w:trHeight w:val="775"/>
        </w:trPr>
        <w:tc>
          <w:tcPr>
            <w:tcW w:w="1711" w:type="dxa"/>
          </w:tcPr>
          <w:p w14:paraId="558F1DE6" w14:textId="77777777" w:rsidR="0046798B" w:rsidRDefault="00903B5C">
            <w:pPr>
              <w:pStyle w:val="TableParagraph"/>
              <w:spacing w:before="158"/>
              <w:ind w:left="115" w:right="121"/>
              <w:rPr>
                <w:b/>
                <w:sz w:val="20"/>
              </w:rPr>
            </w:pPr>
            <w:r>
              <w:rPr>
                <w:b/>
                <w:sz w:val="20"/>
              </w:rPr>
              <w:t>labor_merit_syst em</w:t>
            </w:r>
          </w:p>
        </w:tc>
        <w:tc>
          <w:tcPr>
            <w:tcW w:w="1596" w:type="dxa"/>
          </w:tcPr>
          <w:p w14:paraId="6E7ADC6A" w14:textId="77777777" w:rsidR="0046798B" w:rsidRDefault="00903B5C">
            <w:pPr>
              <w:pStyle w:val="TableParagraph"/>
              <w:spacing w:before="158"/>
              <w:ind w:left="114" w:right="118"/>
              <w:rPr>
                <w:sz w:val="20"/>
              </w:rPr>
            </w:pPr>
            <w:r>
              <w:rPr>
                <w:sz w:val="20"/>
              </w:rPr>
              <w:t>Merit system for state employees</w:t>
            </w:r>
          </w:p>
        </w:tc>
        <w:tc>
          <w:tcPr>
            <w:tcW w:w="1285" w:type="dxa"/>
          </w:tcPr>
          <w:p w14:paraId="7A66C2DE" w14:textId="77777777" w:rsidR="0046798B" w:rsidRDefault="0046798B">
            <w:pPr>
              <w:pStyle w:val="TableParagraph"/>
              <w:spacing w:before="8"/>
              <w:rPr>
                <w:sz w:val="23"/>
              </w:rPr>
            </w:pPr>
          </w:p>
          <w:p w14:paraId="534EC24C" w14:textId="77777777" w:rsidR="0046798B" w:rsidRDefault="00903B5C">
            <w:pPr>
              <w:pStyle w:val="TableParagraph"/>
              <w:spacing w:before="1"/>
              <w:ind w:left="114"/>
              <w:rPr>
                <w:sz w:val="20"/>
              </w:rPr>
            </w:pPr>
            <w:r>
              <w:rPr>
                <w:sz w:val="20"/>
              </w:rPr>
              <w:t>1936–1953</w:t>
            </w:r>
          </w:p>
        </w:tc>
        <w:tc>
          <w:tcPr>
            <w:tcW w:w="3421" w:type="dxa"/>
          </w:tcPr>
          <w:p w14:paraId="0F80BCFF" w14:textId="77777777" w:rsidR="0046798B" w:rsidRDefault="00903B5C">
            <w:pPr>
              <w:pStyle w:val="TableParagraph"/>
              <w:spacing w:before="158"/>
              <w:ind w:left="114" w:right="227"/>
              <w:rPr>
                <w:sz w:val="20"/>
              </w:rPr>
            </w:pPr>
            <w:r>
              <w:rPr>
                <w:sz w:val="20"/>
              </w:rPr>
              <w:t>Does the state have a merit system for state employees? (0 = no, 1 = yes)</w:t>
            </w:r>
          </w:p>
        </w:tc>
        <w:tc>
          <w:tcPr>
            <w:tcW w:w="6482" w:type="dxa"/>
          </w:tcPr>
          <w:p w14:paraId="58DF3EE1" w14:textId="77777777" w:rsidR="0046798B" w:rsidRDefault="00903B5C">
            <w:pPr>
              <w:pStyle w:val="TableParagraph"/>
              <w:spacing w:before="43"/>
              <w:ind w:left="114"/>
              <w:rPr>
                <w:sz w:val="20"/>
              </w:rPr>
            </w:pPr>
            <w:r>
              <w:rPr>
                <w:sz w:val="20"/>
              </w:rPr>
              <w:t xml:space="preserve">Caughey, Devin, and Christopher Warshaw. 2015. “The Dynamics of State Policy Liberalism, 1936–2014.” </w:t>
            </w:r>
            <w:r>
              <w:rPr>
                <w:i/>
                <w:sz w:val="20"/>
              </w:rPr>
              <w:t>American Journal of Political Science</w:t>
            </w:r>
            <w:r>
              <w:rPr>
                <w:sz w:val="20"/>
              </w:rPr>
              <w:t>, September. doi: 10.1111/ajps.12219.</w:t>
            </w:r>
          </w:p>
        </w:tc>
      </w:tr>
    </w:tbl>
    <w:p w14:paraId="3EDAD7DA" w14:textId="77777777" w:rsidR="0046798B" w:rsidRDefault="0046798B">
      <w:pPr>
        <w:rPr>
          <w:sz w:val="20"/>
        </w:rPr>
        <w:sectPr w:rsidR="0046798B">
          <w:pgSz w:w="15840" w:h="12240" w:orient="landscape"/>
          <w:pgMar w:top="1220" w:right="300" w:bottom="980" w:left="820" w:header="730" w:footer="787" w:gutter="0"/>
          <w:cols w:space="720"/>
        </w:sectPr>
      </w:pPr>
    </w:p>
    <w:p w14:paraId="6C9799E3"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5CB06C75" w14:textId="77777777">
        <w:trPr>
          <w:trHeight w:val="542"/>
        </w:trPr>
        <w:tc>
          <w:tcPr>
            <w:tcW w:w="1711" w:type="dxa"/>
            <w:tcBorders>
              <w:bottom w:val="dotted" w:sz="6" w:space="0" w:color="BEBEBE"/>
            </w:tcBorders>
          </w:tcPr>
          <w:p w14:paraId="0EF7958D" w14:textId="77777777" w:rsidR="0046798B" w:rsidRDefault="0046798B">
            <w:pPr>
              <w:pStyle w:val="TableParagraph"/>
              <w:rPr>
                <w:sz w:val="20"/>
              </w:rPr>
            </w:pPr>
          </w:p>
        </w:tc>
        <w:tc>
          <w:tcPr>
            <w:tcW w:w="1596" w:type="dxa"/>
            <w:tcBorders>
              <w:bottom w:val="dotted" w:sz="6" w:space="0" w:color="BEBEBE"/>
            </w:tcBorders>
          </w:tcPr>
          <w:p w14:paraId="4B30EDE8" w14:textId="77777777" w:rsidR="0046798B" w:rsidRDefault="0046798B">
            <w:pPr>
              <w:pStyle w:val="TableParagraph"/>
              <w:rPr>
                <w:sz w:val="20"/>
              </w:rPr>
            </w:pPr>
          </w:p>
        </w:tc>
        <w:tc>
          <w:tcPr>
            <w:tcW w:w="1285" w:type="dxa"/>
            <w:tcBorders>
              <w:bottom w:val="dotted" w:sz="6" w:space="0" w:color="BEBEBE"/>
            </w:tcBorders>
          </w:tcPr>
          <w:p w14:paraId="2F23B327" w14:textId="77777777" w:rsidR="0046798B" w:rsidRDefault="0046798B">
            <w:pPr>
              <w:pStyle w:val="TableParagraph"/>
              <w:rPr>
                <w:sz w:val="20"/>
              </w:rPr>
            </w:pPr>
          </w:p>
        </w:tc>
        <w:tc>
          <w:tcPr>
            <w:tcW w:w="3421" w:type="dxa"/>
            <w:tcBorders>
              <w:bottom w:val="dotted" w:sz="6" w:space="0" w:color="BEBEBE"/>
            </w:tcBorders>
          </w:tcPr>
          <w:p w14:paraId="079C98CB" w14:textId="77777777" w:rsidR="0046798B" w:rsidRDefault="0046798B">
            <w:pPr>
              <w:pStyle w:val="TableParagraph"/>
              <w:rPr>
                <w:sz w:val="20"/>
              </w:rPr>
            </w:pPr>
          </w:p>
        </w:tc>
        <w:tc>
          <w:tcPr>
            <w:tcW w:w="6482" w:type="dxa"/>
            <w:tcBorders>
              <w:bottom w:val="dotted" w:sz="6" w:space="0" w:color="BEBEBE"/>
            </w:tcBorders>
          </w:tcPr>
          <w:p w14:paraId="1D9E4B03" w14:textId="77777777" w:rsidR="0046798B" w:rsidRDefault="00903B5C">
            <w:pPr>
              <w:pStyle w:val="TableParagraph"/>
              <w:spacing w:before="43"/>
              <w:ind w:left="114" w:right="137"/>
              <w:rPr>
                <w:sz w:val="20"/>
              </w:rPr>
            </w:pP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52FC332A" w14:textId="77777777">
        <w:trPr>
          <w:trHeight w:val="1233"/>
        </w:trPr>
        <w:tc>
          <w:tcPr>
            <w:tcW w:w="1711" w:type="dxa"/>
            <w:tcBorders>
              <w:top w:val="dotted" w:sz="6" w:space="0" w:color="BEBEBE"/>
            </w:tcBorders>
          </w:tcPr>
          <w:p w14:paraId="773DB172" w14:textId="77777777" w:rsidR="0046798B" w:rsidRDefault="0046798B">
            <w:pPr>
              <w:pStyle w:val="TableParagraph"/>
            </w:pPr>
          </w:p>
          <w:p w14:paraId="14CD66AA" w14:textId="77777777" w:rsidR="0046798B" w:rsidRDefault="00903B5C">
            <w:pPr>
              <w:pStyle w:val="TableParagraph"/>
              <w:spacing w:before="133"/>
              <w:ind w:left="115" w:right="177"/>
              <w:rPr>
                <w:b/>
                <w:sz w:val="20"/>
              </w:rPr>
            </w:pPr>
            <w:r>
              <w:rPr>
                <w:b/>
                <w:sz w:val="20"/>
              </w:rPr>
              <w:t>labor_minimum wage_men</w:t>
            </w:r>
          </w:p>
        </w:tc>
        <w:tc>
          <w:tcPr>
            <w:tcW w:w="1596" w:type="dxa"/>
            <w:tcBorders>
              <w:top w:val="dotted" w:sz="6" w:space="0" w:color="BEBEBE"/>
            </w:tcBorders>
          </w:tcPr>
          <w:p w14:paraId="26E8522A" w14:textId="77777777" w:rsidR="0046798B" w:rsidRDefault="0046798B">
            <w:pPr>
              <w:pStyle w:val="TableParagraph"/>
            </w:pPr>
          </w:p>
          <w:p w14:paraId="39A4D6E5" w14:textId="77777777" w:rsidR="0046798B" w:rsidRDefault="00903B5C">
            <w:pPr>
              <w:pStyle w:val="TableParagraph"/>
              <w:spacing w:before="133"/>
              <w:ind w:left="114" w:right="179"/>
              <w:rPr>
                <w:sz w:val="20"/>
              </w:rPr>
            </w:pPr>
            <w:r>
              <w:rPr>
                <w:sz w:val="20"/>
              </w:rPr>
              <w:t>Minimum wage for men</w:t>
            </w:r>
          </w:p>
        </w:tc>
        <w:tc>
          <w:tcPr>
            <w:tcW w:w="1285" w:type="dxa"/>
            <w:tcBorders>
              <w:top w:val="dotted" w:sz="6" w:space="0" w:color="BEBEBE"/>
            </w:tcBorders>
          </w:tcPr>
          <w:p w14:paraId="03D4ED88" w14:textId="77777777" w:rsidR="0046798B" w:rsidRDefault="0046798B">
            <w:pPr>
              <w:pStyle w:val="TableParagraph"/>
            </w:pPr>
          </w:p>
          <w:p w14:paraId="1AA921D2" w14:textId="77777777" w:rsidR="0046798B" w:rsidRDefault="0046798B">
            <w:pPr>
              <w:pStyle w:val="TableParagraph"/>
              <w:spacing w:before="6"/>
              <w:rPr>
                <w:sz w:val="21"/>
              </w:rPr>
            </w:pPr>
          </w:p>
          <w:p w14:paraId="65833D98" w14:textId="77777777" w:rsidR="0046798B" w:rsidRDefault="00903B5C">
            <w:pPr>
              <w:pStyle w:val="TableParagraph"/>
              <w:ind w:left="114"/>
              <w:rPr>
                <w:sz w:val="20"/>
              </w:rPr>
            </w:pPr>
            <w:r>
              <w:rPr>
                <w:sz w:val="20"/>
              </w:rPr>
              <w:t>1944–1968</w:t>
            </w:r>
          </w:p>
        </w:tc>
        <w:tc>
          <w:tcPr>
            <w:tcW w:w="3421" w:type="dxa"/>
            <w:tcBorders>
              <w:top w:val="dotted" w:sz="6" w:space="0" w:color="BEBEBE"/>
            </w:tcBorders>
          </w:tcPr>
          <w:p w14:paraId="76DED4EB" w14:textId="77777777" w:rsidR="0046798B" w:rsidRDefault="0046798B">
            <w:pPr>
              <w:pStyle w:val="TableParagraph"/>
            </w:pPr>
          </w:p>
          <w:p w14:paraId="5D9B405E" w14:textId="77777777" w:rsidR="0046798B" w:rsidRDefault="00903B5C">
            <w:pPr>
              <w:pStyle w:val="TableParagraph"/>
              <w:spacing w:before="133"/>
              <w:ind w:left="114" w:right="289"/>
              <w:rPr>
                <w:sz w:val="20"/>
              </w:rPr>
            </w:pPr>
            <w:r>
              <w:rPr>
                <w:sz w:val="20"/>
              </w:rPr>
              <w:t>Does the state have a minimum wage for men? (0 = no, 1 = yes)</w:t>
            </w:r>
          </w:p>
        </w:tc>
        <w:tc>
          <w:tcPr>
            <w:tcW w:w="6482" w:type="dxa"/>
            <w:tcBorders>
              <w:top w:val="dotted" w:sz="6" w:space="0" w:color="BEBEBE"/>
            </w:tcBorders>
          </w:tcPr>
          <w:p w14:paraId="28013FE0" w14:textId="77777777" w:rsidR="0046798B" w:rsidRDefault="00903B5C">
            <w:pPr>
              <w:pStyle w:val="TableParagraph"/>
              <w:spacing w:before="40"/>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239CF338" w14:textId="77777777">
        <w:trPr>
          <w:trHeight w:val="1240"/>
        </w:trPr>
        <w:tc>
          <w:tcPr>
            <w:tcW w:w="1711" w:type="dxa"/>
          </w:tcPr>
          <w:p w14:paraId="3043B457" w14:textId="77777777" w:rsidR="0046798B" w:rsidRDefault="0046798B">
            <w:pPr>
              <w:pStyle w:val="TableParagraph"/>
              <w:spacing w:before="8"/>
              <w:rPr>
                <w:sz w:val="23"/>
              </w:rPr>
            </w:pPr>
          </w:p>
          <w:p w14:paraId="306A3E88" w14:textId="77777777" w:rsidR="0046798B" w:rsidRDefault="00903B5C">
            <w:pPr>
              <w:pStyle w:val="TableParagraph"/>
              <w:spacing w:before="1"/>
              <w:ind w:left="115" w:right="110"/>
              <w:rPr>
                <w:b/>
                <w:sz w:val="20"/>
              </w:rPr>
            </w:pPr>
            <w:r>
              <w:rPr>
                <w:b/>
                <w:sz w:val="20"/>
              </w:rPr>
              <w:t>labor_minimum wage_women_an ymajor</w:t>
            </w:r>
          </w:p>
        </w:tc>
        <w:tc>
          <w:tcPr>
            <w:tcW w:w="1596" w:type="dxa"/>
          </w:tcPr>
          <w:p w14:paraId="76EDA179" w14:textId="77777777" w:rsidR="0046798B" w:rsidRDefault="0046798B">
            <w:pPr>
              <w:pStyle w:val="TableParagraph"/>
            </w:pPr>
          </w:p>
          <w:p w14:paraId="15589665" w14:textId="77777777" w:rsidR="0046798B" w:rsidRDefault="00903B5C">
            <w:pPr>
              <w:pStyle w:val="TableParagraph"/>
              <w:spacing w:before="135"/>
              <w:ind w:left="114" w:right="179"/>
              <w:rPr>
                <w:sz w:val="20"/>
              </w:rPr>
            </w:pPr>
            <w:r>
              <w:rPr>
                <w:sz w:val="20"/>
              </w:rPr>
              <w:t>Minimum wage for women</w:t>
            </w:r>
          </w:p>
        </w:tc>
        <w:tc>
          <w:tcPr>
            <w:tcW w:w="1285" w:type="dxa"/>
          </w:tcPr>
          <w:p w14:paraId="028E68DA" w14:textId="77777777" w:rsidR="0046798B" w:rsidRDefault="0046798B">
            <w:pPr>
              <w:pStyle w:val="TableParagraph"/>
            </w:pPr>
          </w:p>
          <w:p w14:paraId="2C59239A" w14:textId="77777777" w:rsidR="0046798B" w:rsidRDefault="0046798B">
            <w:pPr>
              <w:pStyle w:val="TableParagraph"/>
              <w:spacing w:before="8"/>
              <w:rPr>
                <w:sz w:val="21"/>
              </w:rPr>
            </w:pPr>
          </w:p>
          <w:p w14:paraId="72B78B75" w14:textId="77777777" w:rsidR="0046798B" w:rsidRDefault="00903B5C">
            <w:pPr>
              <w:pStyle w:val="TableParagraph"/>
              <w:spacing w:before="1"/>
              <w:ind w:left="114"/>
              <w:rPr>
                <w:sz w:val="20"/>
              </w:rPr>
            </w:pPr>
            <w:r>
              <w:rPr>
                <w:sz w:val="20"/>
              </w:rPr>
              <w:t>1936–1980</w:t>
            </w:r>
          </w:p>
        </w:tc>
        <w:tc>
          <w:tcPr>
            <w:tcW w:w="3421" w:type="dxa"/>
          </w:tcPr>
          <w:p w14:paraId="066E0769" w14:textId="77777777" w:rsidR="0046798B" w:rsidRDefault="0046798B">
            <w:pPr>
              <w:pStyle w:val="TableParagraph"/>
            </w:pPr>
          </w:p>
          <w:p w14:paraId="461EFD05" w14:textId="77777777" w:rsidR="0046798B" w:rsidRDefault="00903B5C">
            <w:pPr>
              <w:pStyle w:val="TableParagraph"/>
              <w:spacing w:before="135"/>
              <w:ind w:left="114" w:right="289"/>
              <w:rPr>
                <w:sz w:val="20"/>
              </w:rPr>
            </w:pPr>
            <w:r>
              <w:rPr>
                <w:sz w:val="20"/>
              </w:rPr>
              <w:t>Does the state have a minimum wage for women? (0 = no, 1 = yes)</w:t>
            </w:r>
          </w:p>
        </w:tc>
        <w:tc>
          <w:tcPr>
            <w:tcW w:w="6482" w:type="dxa"/>
          </w:tcPr>
          <w:p w14:paraId="2DDD734C"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6565ABE4" w14:textId="77777777">
        <w:trPr>
          <w:trHeight w:val="1235"/>
        </w:trPr>
        <w:tc>
          <w:tcPr>
            <w:tcW w:w="1711" w:type="dxa"/>
          </w:tcPr>
          <w:p w14:paraId="572B5F31" w14:textId="77777777" w:rsidR="0046798B" w:rsidRDefault="0046798B">
            <w:pPr>
              <w:pStyle w:val="TableParagraph"/>
            </w:pPr>
          </w:p>
          <w:p w14:paraId="35EFCF51" w14:textId="77777777" w:rsidR="0046798B" w:rsidRDefault="00903B5C">
            <w:pPr>
              <w:pStyle w:val="TableParagraph"/>
              <w:spacing w:before="130"/>
              <w:ind w:left="115" w:right="143"/>
              <w:rPr>
                <w:b/>
                <w:sz w:val="20"/>
              </w:rPr>
            </w:pPr>
            <w:r>
              <w:rPr>
                <w:b/>
                <w:sz w:val="20"/>
              </w:rPr>
              <w:t>labor_minwage_ abovefed</w:t>
            </w:r>
          </w:p>
        </w:tc>
        <w:tc>
          <w:tcPr>
            <w:tcW w:w="1596" w:type="dxa"/>
          </w:tcPr>
          <w:p w14:paraId="4BF11B36" w14:textId="77777777" w:rsidR="0046798B" w:rsidRDefault="0046798B">
            <w:pPr>
              <w:pStyle w:val="TableParagraph"/>
              <w:spacing w:before="3"/>
              <w:rPr>
                <w:sz w:val="23"/>
              </w:rPr>
            </w:pPr>
          </w:p>
          <w:p w14:paraId="7BADB6B6" w14:textId="77777777" w:rsidR="0046798B" w:rsidRDefault="00903B5C">
            <w:pPr>
              <w:pStyle w:val="TableParagraph"/>
              <w:spacing w:before="1"/>
              <w:ind w:left="114" w:right="179"/>
              <w:rPr>
                <w:sz w:val="20"/>
              </w:rPr>
            </w:pPr>
            <w:r>
              <w:rPr>
                <w:sz w:val="20"/>
              </w:rPr>
              <w:t>Minimum wage above federal level</w:t>
            </w:r>
          </w:p>
        </w:tc>
        <w:tc>
          <w:tcPr>
            <w:tcW w:w="1285" w:type="dxa"/>
          </w:tcPr>
          <w:p w14:paraId="52476AFD" w14:textId="77777777" w:rsidR="0046798B" w:rsidRDefault="0046798B">
            <w:pPr>
              <w:pStyle w:val="TableParagraph"/>
            </w:pPr>
          </w:p>
          <w:p w14:paraId="18E043F4" w14:textId="77777777" w:rsidR="0046798B" w:rsidRDefault="0046798B">
            <w:pPr>
              <w:pStyle w:val="TableParagraph"/>
              <w:spacing w:before="3"/>
              <w:rPr>
                <w:sz w:val="21"/>
              </w:rPr>
            </w:pPr>
          </w:p>
          <w:p w14:paraId="6E9BAB86" w14:textId="77777777" w:rsidR="0046798B" w:rsidRDefault="00903B5C">
            <w:pPr>
              <w:pStyle w:val="TableParagraph"/>
              <w:spacing w:before="1"/>
              <w:ind w:left="114"/>
              <w:rPr>
                <w:sz w:val="20"/>
              </w:rPr>
            </w:pPr>
            <w:r>
              <w:rPr>
                <w:sz w:val="20"/>
              </w:rPr>
              <w:t>1968–2012</w:t>
            </w:r>
          </w:p>
        </w:tc>
        <w:tc>
          <w:tcPr>
            <w:tcW w:w="3421" w:type="dxa"/>
          </w:tcPr>
          <w:p w14:paraId="6510233F" w14:textId="77777777" w:rsidR="0046798B" w:rsidRDefault="0046798B">
            <w:pPr>
              <w:pStyle w:val="TableParagraph"/>
            </w:pPr>
          </w:p>
          <w:p w14:paraId="3725138F" w14:textId="77777777" w:rsidR="0046798B" w:rsidRDefault="00903B5C">
            <w:pPr>
              <w:pStyle w:val="TableParagraph"/>
              <w:spacing w:before="130"/>
              <w:ind w:left="114" w:right="155"/>
              <w:rPr>
                <w:sz w:val="20"/>
              </w:rPr>
            </w:pPr>
            <w:r>
              <w:rPr>
                <w:sz w:val="20"/>
              </w:rPr>
              <w:t>Is the state’s minimum wage above the federal level? (0 = no, 1 = yes)</w:t>
            </w:r>
          </w:p>
        </w:tc>
        <w:tc>
          <w:tcPr>
            <w:tcW w:w="6482" w:type="dxa"/>
          </w:tcPr>
          <w:p w14:paraId="246C2F77"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26D63A8F" w14:textId="77777777">
        <w:trPr>
          <w:trHeight w:val="1235"/>
        </w:trPr>
        <w:tc>
          <w:tcPr>
            <w:tcW w:w="1711" w:type="dxa"/>
          </w:tcPr>
          <w:p w14:paraId="0880247F" w14:textId="77777777" w:rsidR="0046798B" w:rsidRDefault="0046798B">
            <w:pPr>
              <w:pStyle w:val="TableParagraph"/>
            </w:pPr>
          </w:p>
          <w:p w14:paraId="3704C75F" w14:textId="77777777" w:rsidR="0046798B" w:rsidRDefault="00903B5C">
            <w:pPr>
              <w:pStyle w:val="TableParagraph"/>
              <w:spacing w:before="130"/>
              <w:ind w:left="115"/>
              <w:rPr>
                <w:b/>
                <w:sz w:val="20"/>
              </w:rPr>
            </w:pPr>
            <w:r>
              <w:rPr>
                <w:b/>
                <w:sz w:val="20"/>
              </w:rPr>
              <w:t>labor_prevailing</w:t>
            </w:r>
          </w:p>
          <w:p w14:paraId="4D6159EF" w14:textId="77777777" w:rsidR="0046798B" w:rsidRDefault="00903B5C">
            <w:pPr>
              <w:pStyle w:val="TableParagraph"/>
              <w:ind w:left="115"/>
              <w:rPr>
                <w:b/>
                <w:sz w:val="20"/>
              </w:rPr>
            </w:pPr>
            <w:r>
              <w:rPr>
                <w:b/>
                <w:sz w:val="20"/>
              </w:rPr>
              <w:t>_wage_laws</w:t>
            </w:r>
          </w:p>
        </w:tc>
        <w:tc>
          <w:tcPr>
            <w:tcW w:w="1596" w:type="dxa"/>
          </w:tcPr>
          <w:p w14:paraId="2AC3F82C" w14:textId="77777777" w:rsidR="0046798B" w:rsidRDefault="0046798B">
            <w:pPr>
              <w:pStyle w:val="TableParagraph"/>
            </w:pPr>
          </w:p>
          <w:p w14:paraId="3B147B5D" w14:textId="77777777" w:rsidR="0046798B" w:rsidRDefault="00903B5C">
            <w:pPr>
              <w:pStyle w:val="TableParagraph"/>
              <w:spacing w:before="130"/>
              <w:ind w:left="114" w:right="157"/>
              <w:rPr>
                <w:sz w:val="20"/>
              </w:rPr>
            </w:pPr>
            <w:r>
              <w:rPr>
                <w:sz w:val="20"/>
              </w:rPr>
              <w:t>Prevailing wage law</w:t>
            </w:r>
          </w:p>
        </w:tc>
        <w:tc>
          <w:tcPr>
            <w:tcW w:w="1285" w:type="dxa"/>
          </w:tcPr>
          <w:p w14:paraId="1BCD6E49" w14:textId="77777777" w:rsidR="0046798B" w:rsidRDefault="0046798B">
            <w:pPr>
              <w:pStyle w:val="TableParagraph"/>
            </w:pPr>
          </w:p>
          <w:p w14:paraId="330CB5A5" w14:textId="77777777" w:rsidR="0046798B" w:rsidRDefault="0046798B">
            <w:pPr>
              <w:pStyle w:val="TableParagraph"/>
              <w:spacing w:before="3"/>
              <w:rPr>
                <w:sz w:val="21"/>
              </w:rPr>
            </w:pPr>
          </w:p>
          <w:p w14:paraId="09A14D97" w14:textId="77777777" w:rsidR="0046798B" w:rsidRDefault="00903B5C">
            <w:pPr>
              <w:pStyle w:val="TableParagraph"/>
              <w:spacing w:before="1"/>
              <w:ind w:left="114"/>
              <w:rPr>
                <w:sz w:val="20"/>
              </w:rPr>
            </w:pPr>
            <w:r>
              <w:rPr>
                <w:sz w:val="20"/>
              </w:rPr>
              <w:t>1936–2014</w:t>
            </w:r>
          </w:p>
        </w:tc>
        <w:tc>
          <w:tcPr>
            <w:tcW w:w="3421" w:type="dxa"/>
          </w:tcPr>
          <w:p w14:paraId="0C2A5ABF" w14:textId="77777777" w:rsidR="0046798B" w:rsidRDefault="0046798B">
            <w:pPr>
              <w:pStyle w:val="TableParagraph"/>
            </w:pPr>
          </w:p>
          <w:p w14:paraId="4FE81067" w14:textId="77777777" w:rsidR="0046798B" w:rsidRDefault="00903B5C">
            <w:pPr>
              <w:pStyle w:val="TableParagraph"/>
              <w:spacing w:before="130"/>
              <w:ind w:left="114" w:right="394"/>
              <w:rPr>
                <w:sz w:val="20"/>
              </w:rPr>
            </w:pPr>
            <w:r>
              <w:rPr>
                <w:sz w:val="20"/>
              </w:rPr>
              <w:t>Does the state have prevailing wage laws? (0 = no, 1 = yes)</w:t>
            </w:r>
          </w:p>
        </w:tc>
        <w:tc>
          <w:tcPr>
            <w:tcW w:w="6482" w:type="dxa"/>
          </w:tcPr>
          <w:p w14:paraId="14CA100B"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670380B1" w14:textId="77777777">
        <w:trPr>
          <w:trHeight w:val="1235"/>
        </w:trPr>
        <w:tc>
          <w:tcPr>
            <w:tcW w:w="1711" w:type="dxa"/>
          </w:tcPr>
          <w:p w14:paraId="03913B26" w14:textId="77777777" w:rsidR="0046798B" w:rsidRDefault="0046798B">
            <w:pPr>
              <w:pStyle w:val="TableParagraph"/>
            </w:pPr>
          </w:p>
          <w:p w14:paraId="7596C0F2" w14:textId="77777777" w:rsidR="0046798B" w:rsidRDefault="00903B5C">
            <w:pPr>
              <w:pStyle w:val="TableParagraph"/>
              <w:spacing w:before="139" w:line="235" w:lineRule="auto"/>
              <w:ind w:left="115"/>
              <w:rPr>
                <w:b/>
                <w:sz w:val="20"/>
              </w:rPr>
            </w:pPr>
            <w:r>
              <w:rPr>
                <w:b/>
                <w:sz w:val="20"/>
              </w:rPr>
              <w:t>labor_right_to_ work</w:t>
            </w:r>
          </w:p>
        </w:tc>
        <w:tc>
          <w:tcPr>
            <w:tcW w:w="1596" w:type="dxa"/>
          </w:tcPr>
          <w:p w14:paraId="33750132" w14:textId="77777777" w:rsidR="0046798B" w:rsidRDefault="0046798B">
            <w:pPr>
              <w:pStyle w:val="TableParagraph"/>
            </w:pPr>
          </w:p>
          <w:p w14:paraId="2ABBA99E" w14:textId="77777777" w:rsidR="0046798B" w:rsidRDefault="00903B5C">
            <w:pPr>
              <w:pStyle w:val="TableParagraph"/>
              <w:spacing w:before="139" w:line="235" w:lineRule="auto"/>
              <w:ind w:left="114" w:right="340"/>
              <w:rPr>
                <w:sz w:val="20"/>
              </w:rPr>
            </w:pPr>
            <w:r>
              <w:rPr>
                <w:sz w:val="20"/>
              </w:rPr>
              <w:t>Right to work law</w:t>
            </w:r>
          </w:p>
        </w:tc>
        <w:tc>
          <w:tcPr>
            <w:tcW w:w="1285" w:type="dxa"/>
          </w:tcPr>
          <w:p w14:paraId="7C66CCB0" w14:textId="77777777" w:rsidR="0046798B" w:rsidRDefault="0046798B">
            <w:pPr>
              <w:pStyle w:val="TableParagraph"/>
            </w:pPr>
          </w:p>
          <w:p w14:paraId="0EC78848" w14:textId="77777777" w:rsidR="0046798B" w:rsidRDefault="0046798B">
            <w:pPr>
              <w:pStyle w:val="TableParagraph"/>
              <w:spacing w:before="3"/>
              <w:rPr>
                <w:sz w:val="21"/>
              </w:rPr>
            </w:pPr>
          </w:p>
          <w:p w14:paraId="17C3EDE0" w14:textId="77777777" w:rsidR="0046798B" w:rsidRDefault="00903B5C">
            <w:pPr>
              <w:pStyle w:val="TableParagraph"/>
              <w:spacing w:before="1"/>
              <w:ind w:left="114"/>
              <w:rPr>
                <w:sz w:val="20"/>
              </w:rPr>
            </w:pPr>
            <w:r>
              <w:rPr>
                <w:sz w:val="20"/>
              </w:rPr>
              <w:t>1944–2014</w:t>
            </w:r>
          </w:p>
        </w:tc>
        <w:tc>
          <w:tcPr>
            <w:tcW w:w="3421" w:type="dxa"/>
          </w:tcPr>
          <w:p w14:paraId="52897B4C" w14:textId="77777777" w:rsidR="0046798B" w:rsidRDefault="0046798B">
            <w:pPr>
              <w:pStyle w:val="TableParagraph"/>
            </w:pPr>
          </w:p>
          <w:p w14:paraId="7F4BF30A" w14:textId="77777777" w:rsidR="0046798B" w:rsidRDefault="00903B5C">
            <w:pPr>
              <w:pStyle w:val="TableParagraph"/>
              <w:spacing w:before="139" w:line="235" w:lineRule="auto"/>
              <w:ind w:left="114" w:right="270"/>
              <w:rPr>
                <w:sz w:val="20"/>
              </w:rPr>
            </w:pPr>
            <w:r>
              <w:rPr>
                <w:sz w:val="20"/>
              </w:rPr>
              <w:t>Is the state a right-to-work state? (0 = no, 1 = yes)</w:t>
            </w:r>
          </w:p>
        </w:tc>
        <w:tc>
          <w:tcPr>
            <w:tcW w:w="6482" w:type="dxa"/>
          </w:tcPr>
          <w:p w14:paraId="1FB7BE12"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2D2C9163" w14:textId="77777777">
        <w:trPr>
          <w:trHeight w:val="1235"/>
        </w:trPr>
        <w:tc>
          <w:tcPr>
            <w:tcW w:w="1711" w:type="dxa"/>
          </w:tcPr>
          <w:p w14:paraId="0C6D036F" w14:textId="77777777" w:rsidR="0046798B" w:rsidRDefault="0046798B">
            <w:pPr>
              <w:pStyle w:val="TableParagraph"/>
            </w:pPr>
          </w:p>
          <w:p w14:paraId="4D2979D6" w14:textId="77777777" w:rsidR="0046798B" w:rsidRDefault="00903B5C">
            <w:pPr>
              <w:pStyle w:val="TableParagraph"/>
              <w:spacing w:before="135"/>
              <w:ind w:left="115"/>
              <w:rPr>
                <w:b/>
                <w:sz w:val="20"/>
              </w:rPr>
            </w:pPr>
            <w:r>
              <w:rPr>
                <w:b/>
                <w:w w:val="95"/>
                <w:sz w:val="20"/>
              </w:rPr>
              <w:t xml:space="preserve">labor_state_disa </w:t>
            </w:r>
            <w:r>
              <w:rPr>
                <w:b/>
                <w:sz w:val="20"/>
              </w:rPr>
              <w:t>bility_insurance</w:t>
            </w:r>
          </w:p>
        </w:tc>
        <w:tc>
          <w:tcPr>
            <w:tcW w:w="1596" w:type="dxa"/>
          </w:tcPr>
          <w:p w14:paraId="4B33EFA4" w14:textId="77777777" w:rsidR="0046798B" w:rsidRDefault="0046798B">
            <w:pPr>
              <w:pStyle w:val="TableParagraph"/>
              <w:spacing w:before="8"/>
              <w:rPr>
                <w:sz w:val="23"/>
              </w:rPr>
            </w:pPr>
          </w:p>
          <w:p w14:paraId="227D4BCF" w14:textId="77777777" w:rsidR="0046798B" w:rsidRDefault="00903B5C">
            <w:pPr>
              <w:pStyle w:val="TableParagraph"/>
              <w:spacing w:before="1"/>
              <w:ind w:left="114" w:right="563"/>
              <w:rPr>
                <w:sz w:val="20"/>
              </w:rPr>
            </w:pPr>
            <w:r>
              <w:rPr>
                <w:sz w:val="20"/>
              </w:rPr>
              <w:t>Temporary disability insurance</w:t>
            </w:r>
          </w:p>
        </w:tc>
        <w:tc>
          <w:tcPr>
            <w:tcW w:w="1285" w:type="dxa"/>
          </w:tcPr>
          <w:p w14:paraId="3BD206E3" w14:textId="77777777" w:rsidR="0046798B" w:rsidRDefault="0046798B">
            <w:pPr>
              <w:pStyle w:val="TableParagraph"/>
            </w:pPr>
          </w:p>
          <w:p w14:paraId="035EFF45" w14:textId="77777777" w:rsidR="0046798B" w:rsidRDefault="0046798B">
            <w:pPr>
              <w:pStyle w:val="TableParagraph"/>
              <w:spacing w:before="8"/>
              <w:rPr>
                <w:sz w:val="21"/>
              </w:rPr>
            </w:pPr>
          </w:p>
          <w:p w14:paraId="6E73B482" w14:textId="77777777" w:rsidR="0046798B" w:rsidRDefault="00903B5C">
            <w:pPr>
              <w:pStyle w:val="TableParagraph"/>
              <w:spacing w:before="1"/>
              <w:ind w:left="114"/>
              <w:rPr>
                <w:sz w:val="20"/>
              </w:rPr>
            </w:pPr>
            <w:r>
              <w:rPr>
                <w:sz w:val="20"/>
              </w:rPr>
              <w:t>1945–2014</w:t>
            </w:r>
          </w:p>
        </w:tc>
        <w:tc>
          <w:tcPr>
            <w:tcW w:w="3421" w:type="dxa"/>
          </w:tcPr>
          <w:p w14:paraId="67E0D323" w14:textId="77777777" w:rsidR="0046798B" w:rsidRDefault="0046798B">
            <w:pPr>
              <w:pStyle w:val="TableParagraph"/>
              <w:spacing w:before="8"/>
              <w:rPr>
                <w:sz w:val="23"/>
              </w:rPr>
            </w:pPr>
          </w:p>
          <w:p w14:paraId="3710E5EB" w14:textId="77777777" w:rsidR="0046798B" w:rsidRDefault="00903B5C">
            <w:pPr>
              <w:pStyle w:val="TableParagraph"/>
              <w:spacing w:before="1"/>
              <w:ind w:left="114" w:right="220"/>
              <w:rPr>
                <w:sz w:val="20"/>
              </w:rPr>
            </w:pPr>
            <w:r>
              <w:rPr>
                <w:sz w:val="20"/>
              </w:rPr>
              <w:t>Does the state have a temporary disability insurance program? (0 = no, 1 = yes)</w:t>
            </w:r>
          </w:p>
        </w:tc>
        <w:tc>
          <w:tcPr>
            <w:tcW w:w="6482" w:type="dxa"/>
          </w:tcPr>
          <w:p w14:paraId="1E513A0C"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0A3C0161" w14:textId="77777777">
        <w:trPr>
          <w:trHeight w:val="1235"/>
        </w:trPr>
        <w:tc>
          <w:tcPr>
            <w:tcW w:w="1711" w:type="dxa"/>
          </w:tcPr>
          <w:p w14:paraId="21D25131" w14:textId="77777777" w:rsidR="0046798B" w:rsidRDefault="0046798B">
            <w:pPr>
              <w:pStyle w:val="TableParagraph"/>
            </w:pPr>
          </w:p>
          <w:p w14:paraId="1C81908E" w14:textId="77777777" w:rsidR="0046798B" w:rsidRDefault="00903B5C">
            <w:pPr>
              <w:pStyle w:val="TableParagraph"/>
              <w:spacing w:before="135"/>
              <w:ind w:left="115" w:right="122"/>
              <w:rPr>
                <w:b/>
                <w:sz w:val="20"/>
              </w:rPr>
            </w:pPr>
            <w:r>
              <w:rPr>
                <w:b/>
                <w:sz w:val="20"/>
              </w:rPr>
              <w:t>labor_state_retir ement_system</w:t>
            </w:r>
          </w:p>
        </w:tc>
        <w:tc>
          <w:tcPr>
            <w:tcW w:w="1596" w:type="dxa"/>
          </w:tcPr>
          <w:p w14:paraId="31936390" w14:textId="77777777" w:rsidR="0046798B" w:rsidRDefault="0046798B">
            <w:pPr>
              <w:pStyle w:val="TableParagraph"/>
              <w:spacing w:before="8"/>
              <w:rPr>
                <w:sz w:val="23"/>
              </w:rPr>
            </w:pPr>
          </w:p>
          <w:p w14:paraId="7E5F6C31" w14:textId="77777777" w:rsidR="0046798B" w:rsidRDefault="00903B5C">
            <w:pPr>
              <w:pStyle w:val="TableParagraph"/>
              <w:spacing w:before="1"/>
              <w:ind w:left="114" w:right="379"/>
              <w:rPr>
                <w:sz w:val="20"/>
              </w:rPr>
            </w:pPr>
            <w:r>
              <w:rPr>
                <w:sz w:val="20"/>
              </w:rPr>
              <w:t>State pension system established</w:t>
            </w:r>
          </w:p>
        </w:tc>
        <w:tc>
          <w:tcPr>
            <w:tcW w:w="1285" w:type="dxa"/>
          </w:tcPr>
          <w:p w14:paraId="2DC68EAF" w14:textId="77777777" w:rsidR="0046798B" w:rsidRDefault="0046798B">
            <w:pPr>
              <w:pStyle w:val="TableParagraph"/>
            </w:pPr>
          </w:p>
          <w:p w14:paraId="355CA538" w14:textId="77777777" w:rsidR="0046798B" w:rsidRDefault="0046798B">
            <w:pPr>
              <w:pStyle w:val="TableParagraph"/>
              <w:spacing w:before="8"/>
              <w:rPr>
                <w:sz w:val="21"/>
              </w:rPr>
            </w:pPr>
          </w:p>
          <w:p w14:paraId="3E3B206C" w14:textId="77777777" w:rsidR="0046798B" w:rsidRDefault="00903B5C">
            <w:pPr>
              <w:pStyle w:val="TableParagraph"/>
              <w:spacing w:before="1"/>
              <w:ind w:left="114"/>
              <w:rPr>
                <w:sz w:val="20"/>
              </w:rPr>
            </w:pPr>
            <w:r>
              <w:rPr>
                <w:sz w:val="20"/>
              </w:rPr>
              <w:t>1936–1960</w:t>
            </w:r>
          </w:p>
        </w:tc>
        <w:tc>
          <w:tcPr>
            <w:tcW w:w="3421" w:type="dxa"/>
          </w:tcPr>
          <w:p w14:paraId="7D57A938" w14:textId="77777777" w:rsidR="0046798B" w:rsidRDefault="0046798B">
            <w:pPr>
              <w:pStyle w:val="TableParagraph"/>
            </w:pPr>
          </w:p>
          <w:p w14:paraId="2703CF51" w14:textId="77777777" w:rsidR="0046798B" w:rsidRDefault="00903B5C">
            <w:pPr>
              <w:pStyle w:val="TableParagraph"/>
              <w:spacing w:before="135"/>
              <w:ind w:left="114" w:right="222"/>
              <w:rPr>
                <w:sz w:val="20"/>
              </w:rPr>
            </w:pPr>
            <w:r>
              <w:rPr>
                <w:sz w:val="20"/>
              </w:rPr>
              <w:t>Does the state have a pension system? (0 = no, 1 = yes)</w:t>
            </w:r>
          </w:p>
        </w:tc>
        <w:tc>
          <w:tcPr>
            <w:tcW w:w="6482" w:type="dxa"/>
          </w:tcPr>
          <w:p w14:paraId="58352792"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bl>
    <w:p w14:paraId="3B0DAAF3" w14:textId="77777777" w:rsidR="0046798B" w:rsidRDefault="0046798B">
      <w:pPr>
        <w:rPr>
          <w:sz w:val="20"/>
        </w:rPr>
        <w:sectPr w:rsidR="0046798B">
          <w:pgSz w:w="15840" w:h="12240" w:orient="landscape"/>
          <w:pgMar w:top="1220" w:right="300" w:bottom="980" w:left="820" w:header="730" w:footer="787" w:gutter="0"/>
          <w:cols w:space="720"/>
        </w:sectPr>
      </w:pPr>
    </w:p>
    <w:p w14:paraId="1663F569"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2AC47FF6" w14:textId="77777777">
        <w:trPr>
          <w:trHeight w:val="1235"/>
        </w:trPr>
        <w:tc>
          <w:tcPr>
            <w:tcW w:w="1711" w:type="dxa"/>
          </w:tcPr>
          <w:p w14:paraId="13CA7B6A" w14:textId="77777777" w:rsidR="0046798B" w:rsidRDefault="0046798B">
            <w:pPr>
              <w:pStyle w:val="TableParagraph"/>
            </w:pPr>
          </w:p>
          <w:p w14:paraId="59ED42CF" w14:textId="77777777" w:rsidR="0046798B" w:rsidRDefault="00903B5C">
            <w:pPr>
              <w:pStyle w:val="TableParagraph"/>
              <w:spacing w:before="135"/>
              <w:ind w:left="115" w:right="121"/>
              <w:rPr>
                <w:b/>
                <w:sz w:val="20"/>
              </w:rPr>
            </w:pPr>
            <w:r>
              <w:rPr>
                <w:b/>
                <w:sz w:val="20"/>
              </w:rPr>
              <w:t>labor_workers_c ompensation</w:t>
            </w:r>
          </w:p>
        </w:tc>
        <w:tc>
          <w:tcPr>
            <w:tcW w:w="1596" w:type="dxa"/>
          </w:tcPr>
          <w:p w14:paraId="7E28ECF7" w14:textId="77777777" w:rsidR="0046798B" w:rsidRDefault="0046798B">
            <w:pPr>
              <w:pStyle w:val="TableParagraph"/>
            </w:pPr>
          </w:p>
          <w:p w14:paraId="0317C3E8" w14:textId="77777777" w:rsidR="0046798B" w:rsidRDefault="00903B5C">
            <w:pPr>
              <w:pStyle w:val="TableParagraph"/>
              <w:spacing w:before="135"/>
              <w:ind w:left="114" w:right="341"/>
              <w:rPr>
                <w:sz w:val="20"/>
              </w:rPr>
            </w:pPr>
            <w:r>
              <w:rPr>
                <w:sz w:val="20"/>
              </w:rPr>
              <w:t>Workers’ compensation</w:t>
            </w:r>
          </w:p>
        </w:tc>
        <w:tc>
          <w:tcPr>
            <w:tcW w:w="1285" w:type="dxa"/>
          </w:tcPr>
          <w:p w14:paraId="41C35EA4" w14:textId="77777777" w:rsidR="0046798B" w:rsidRDefault="0046798B">
            <w:pPr>
              <w:pStyle w:val="TableParagraph"/>
            </w:pPr>
          </w:p>
          <w:p w14:paraId="7F129EBB" w14:textId="77777777" w:rsidR="0046798B" w:rsidRDefault="0046798B">
            <w:pPr>
              <w:pStyle w:val="TableParagraph"/>
              <w:spacing w:before="9"/>
              <w:rPr>
                <w:sz w:val="21"/>
              </w:rPr>
            </w:pPr>
          </w:p>
          <w:p w14:paraId="08606505" w14:textId="77777777" w:rsidR="0046798B" w:rsidRDefault="00903B5C">
            <w:pPr>
              <w:pStyle w:val="TableParagraph"/>
              <w:ind w:left="114"/>
              <w:rPr>
                <w:sz w:val="20"/>
              </w:rPr>
            </w:pPr>
            <w:r>
              <w:rPr>
                <w:sz w:val="20"/>
              </w:rPr>
              <w:t>1936–1947</w:t>
            </w:r>
          </w:p>
        </w:tc>
        <w:tc>
          <w:tcPr>
            <w:tcW w:w="3421" w:type="dxa"/>
          </w:tcPr>
          <w:p w14:paraId="751038AB" w14:textId="77777777" w:rsidR="0046798B" w:rsidRDefault="0046798B">
            <w:pPr>
              <w:pStyle w:val="TableParagraph"/>
            </w:pPr>
          </w:p>
          <w:p w14:paraId="0A5AFFBF" w14:textId="77777777" w:rsidR="0046798B" w:rsidRDefault="00903B5C">
            <w:pPr>
              <w:pStyle w:val="TableParagraph"/>
              <w:spacing w:before="135"/>
              <w:ind w:left="114" w:right="555"/>
              <w:rPr>
                <w:sz w:val="20"/>
              </w:rPr>
            </w:pPr>
            <w:r>
              <w:rPr>
                <w:sz w:val="20"/>
              </w:rPr>
              <w:t>Has the state established workers’ compensation? (0 = no, 1 = yes)</w:t>
            </w:r>
          </w:p>
        </w:tc>
        <w:tc>
          <w:tcPr>
            <w:tcW w:w="6482" w:type="dxa"/>
          </w:tcPr>
          <w:p w14:paraId="6011ED2B"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05391A7E" w14:textId="77777777">
        <w:trPr>
          <w:trHeight w:val="1235"/>
        </w:trPr>
        <w:tc>
          <w:tcPr>
            <w:tcW w:w="1711" w:type="dxa"/>
          </w:tcPr>
          <w:p w14:paraId="4F6DC513" w14:textId="77777777" w:rsidR="0046798B" w:rsidRDefault="0046798B">
            <w:pPr>
              <w:pStyle w:val="TableParagraph"/>
            </w:pPr>
          </w:p>
          <w:p w14:paraId="412E5965" w14:textId="77777777" w:rsidR="0046798B" w:rsidRDefault="00903B5C">
            <w:pPr>
              <w:pStyle w:val="TableParagraph"/>
              <w:spacing w:before="136"/>
              <w:ind w:left="115" w:right="99"/>
              <w:rPr>
                <w:b/>
                <w:sz w:val="20"/>
              </w:rPr>
            </w:pPr>
            <w:r>
              <w:rPr>
                <w:b/>
                <w:sz w:val="20"/>
              </w:rPr>
              <w:t>w_labor_relation s_acts</w:t>
            </w:r>
          </w:p>
        </w:tc>
        <w:tc>
          <w:tcPr>
            <w:tcW w:w="1596" w:type="dxa"/>
          </w:tcPr>
          <w:p w14:paraId="2A285C52" w14:textId="77777777" w:rsidR="0046798B" w:rsidRDefault="0046798B">
            <w:pPr>
              <w:pStyle w:val="TableParagraph"/>
            </w:pPr>
          </w:p>
          <w:p w14:paraId="696A8D74" w14:textId="77777777" w:rsidR="0046798B" w:rsidRDefault="00903B5C">
            <w:pPr>
              <w:pStyle w:val="TableParagraph"/>
              <w:spacing w:before="136"/>
              <w:ind w:left="114"/>
              <w:rPr>
                <w:sz w:val="20"/>
              </w:rPr>
            </w:pPr>
            <w:r>
              <w:rPr>
                <w:sz w:val="20"/>
              </w:rPr>
              <w:t>Labor relations acts</w:t>
            </w:r>
          </w:p>
        </w:tc>
        <w:tc>
          <w:tcPr>
            <w:tcW w:w="1285" w:type="dxa"/>
          </w:tcPr>
          <w:p w14:paraId="37C188E9" w14:textId="77777777" w:rsidR="0046798B" w:rsidRDefault="0046798B">
            <w:pPr>
              <w:pStyle w:val="TableParagraph"/>
            </w:pPr>
          </w:p>
          <w:p w14:paraId="16AE3075" w14:textId="77777777" w:rsidR="0046798B" w:rsidRDefault="0046798B">
            <w:pPr>
              <w:pStyle w:val="TableParagraph"/>
              <w:spacing w:before="9"/>
              <w:rPr>
                <w:sz w:val="21"/>
              </w:rPr>
            </w:pPr>
          </w:p>
          <w:p w14:paraId="3385BBDE" w14:textId="77777777" w:rsidR="0046798B" w:rsidRDefault="00903B5C">
            <w:pPr>
              <w:pStyle w:val="TableParagraph"/>
              <w:ind w:left="114"/>
              <w:rPr>
                <w:sz w:val="20"/>
              </w:rPr>
            </w:pPr>
            <w:r>
              <w:rPr>
                <w:sz w:val="20"/>
              </w:rPr>
              <w:t>1937–1966</w:t>
            </w:r>
          </w:p>
        </w:tc>
        <w:tc>
          <w:tcPr>
            <w:tcW w:w="3421" w:type="dxa"/>
          </w:tcPr>
          <w:p w14:paraId="2C84F271" w14:textId="77777777" w:rsidR="0046798B" w:rsidRDefault="00903B5C">
            <w:pPr>
              <w:pStyle w:val="TableParagraph"/>
              <w:spacing w:before="158"/>
              <w:ind w:left="114" w:right="241"/>
              <w:rPr>
                <w:sz w:val="20"/>
              </w:rPr>
            </w:pPr>
            <w:r>
              <w:rPr>
                <w:sz w:val="20"/>
              </w:rPr>
              <w:t>Does the state have a Labor Relations Act? (0 = no; 1 = patterned after Taft- Hartley Act; 2 = patterned after Wagner Act)</w:t>
            </w:r>
          </w:p>
        </w:tc>
        <w:tc>
          <w:tcPr>
            <w:tcW w:w="6482" w:type="dxa"/>
          </w:tcPr>
          <w:p w14:paraId="035594C6"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78B54259" w14:textId="77777777">
        <w:trPr>
          <w:trHeight w:val="1240"/>
        </w:trPr>
        <w:tc>
          <w:tcPr>
            <w:tcW w:w="1711" w:type="dxa"/>
          </w:tcPr>
          <w:p w14:paraId="7ABA0DD7" w14:textId="77777777" w:rsidR="0046798B" w:rsidRDefault="0046798B">
            <w:pPr>
              <w:pStyle w:val="TableParagraph"/>
            </w:pPr>
          </w:p>
          <w:p w14:paraId="4EB1E88A" w14:textId="77777777" w:rsidR="0046798B" w:rsidRDefault="00903B5C">
            <w:pPr>
              <w:pStyle w:val="TableParagraph"/>
              <w:spacing w:before="135"/>
              <w:ind w:left="115" w:right="166"/>
              <w:rPr>
                <w:b/>
                <w:sz w:val="20"/>
              </w:rPr>
            </w:pPr>
            <w:r>
              <w:rPr>
                <w:b/>
                <w:sz w:val="20"/>
              </w:rPr>
              <w:t>w_labor_state_a da</w:t>
            </w:r>
          </w:p>
        </w:tc>
        <w:tc>
          <w:tcPr>
            <w:tcW w:w="1596" w:type="dxa"/>
          </w:tcPr>
          <w:p w14:paraId="1A32E4A8" w14:textId="77777777" w:rsidR="0046798B" w:rsidRDefault="0046798B">
            <w:pPr>
              <w:pStyle w:val="TableParagraph"/>
              <w:spacing w:before="9"/>
              <w:rPr>
                <w:sz w:val="23"/>
              </w:rPr>
            </w:pPr>
          </w:p>
          <w:p w14:paraId="2D7AB170" w14:textId="77777777" w:rsidR="0046798B" w:rsidRDefault="00903B5C">
            <w:pPr>
              <w:pStyle w:val="TableParagraph"/>
              <w:ind w:left="114" w:right="296"/>
              <w:rPr>
                <w:sz w:val="20"/>
              </w:rPr>
            </w:pPr>
            <w:r>
              <w:rPr>
                <w:sz w:val="20"/>
              </w:rPr>
              <w:t>Disability discrimination ban</w:t>
            </w:r>
          </w:p>
        </w:tc>
        <w:tc>
          <w:tcPr>
            <w:tcW w:w="1285" w:type="dxa"/>
          </w:tcPr>
          <w:p w14:paraId="56F5D633" w14:textId="77777777" w:rsidR="0046798B" w:rsidRDefault="0046798B">
            <w:pPr>
              <w:pStyle w:val="TableParagraph"/>
            </w:pPr>
          </w:p>
          <w:p w14:paraId="30274B6E" w14:textId="77777777" w:rsidR="0046798B" w:rsidRDefault="0046798B">
            <w:pPr>
              <w:pStyle w:val="TableParagraph"/>
              <w:spacing w:before="9"/>
              <w:rPr>
                <w:sz w:val="21"/>
              </w:rPr>
            </w:pPr>
          </w:p>
          <w:p w14:paraId="6E8579D3" w14:textId="77777777" w:rsidR="0046798B" w:rsidRDefault="00903B5C">
            <w:pPr>
              <w:pStyle w:val="TableParagraph"/>
              <w:ind w:left="114"/>
              <w:rPr>
                <w:sz w:val="20"/>
              </w:rPr>
            </w:pPr>
            <w:r>
              <w:rPr>
                <w:sz w:val="20"/>
              </w:rPr>
              <w:t>1965–1990</w:t>
            </w:r>
          </w:p>
        </w:tc>
        <w:tc>
          <w:tcPr>
            <w:tcW w:w="3421" w:type="dxa"/>
          </w:tcPr>
          <w:p w14:paraId="119F7CB4" w14:textId="77777777" w:rsidR="0046798B" w:rsidRDefault="00903B5C">
            <w:pPr>
              <w:pStyle w:val="TableParagraph"/>
              <w:spacing w:before="43"/>
              <w:ind w:left="114" w:right="209"/>
              <w:rPr>
                <w:sz w:val="20"/>
              </w:rPr>
            </w:pPr>
            <w:r>
              <w:rPr>
                <w:sz w:val="20"/>
              </w:rPr>
              <w:t>Does the state ban discrimination against disabled people? (0 = no; 1 = antidiscrimination law; 2 = reasonable accommodation law; see Jolls and Prescott (2004))</w:t>
            </w:r>
          </w:p>
        </w:tc>
        <w:tc>
          <w:tcPr>
            <w:tcW w:w="6482" w:type="dxa"/>
          </w:tcPr>
          <w:p w14:paraId="2E7FD258"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6FCBE6E5" w14:textId="77777777">
        <w:trPr>
          <w:trHeight w:val="1235"/>
        </w:trPr>
        <w:tc>
          <w:tcPr>
            <w:tcW w:w="1711" w:type="dxa"/>
          </w:tcPr>
          <w:p w14:paraId="5CBF3C01" w14:textId="77777777" w:rsidR="0046798B" w:rsidRDefault="0046798B">
            <w:pPr>
              <w:pStyle w:val="TableParagraph"/>
              <w:spacing w:before="4"/>
              <w:rPr>
                <w:sz w:val="23"/>
              </w:rPr>
            </w:pPr>
          </w:p>
          <w:p w14:paraId="2F6DCCF4" w14:textId="77777777" w:rsidR="0046798B" w:rsidRDefault="00903B5C">
            <w:pPr>
              <w:pStyle w:val="TableParagraph"/>
              <w:ind w:left="115" w:right="143"/>
              <w:jc w:val="both"/>
              <w:rPr>
                <w:b/>
                <w:sz w:val="20"/>
              </w:rPr>
            </w:pPr>
            <w:r>
              <w:rPr>
                <w:b/>
                <w:spacing w:val="-1"/>
                <w:sz w:val="20"/>
              </w:rPr>
              <w:t xml:space="preserve">x_labor_childlab </w:t>
            </w:r>
            <w:r>
              <w:rPr>
                <w:b/>
                <w:sz w:val="20"/>
              </w:rPr>
              <w:t>or_ageleavescho o</w:t>
            </w:r>
          </w:p>
        </w:tc>
        <w:tc>
          <w:tcPr>
            <w:tcW w:w="1596" w:type="dxa"/>
          </w:tcPr>
          <w:p w14:paraId="225C7745" w14:textId="77777777" w:rsidR="0046798B" w:rsidRDefault="0046798B">
            <w:pPr>
              <w:pStyle w:val="TableParagraph"/>
            </w:pPr>
          </w:p>
          <w:p w14:paraId="5058689C" w14:textId="77777777" w:rsidR="0046798B" w:rsidRDefault="00903B5C">
            <w:pPr>
              <w:pStyle w:val="TableParagraph"/>
              <w:spacing w:before="130"/>
              <w:ind w:left="114" w:right="129"/>
              <w:rPr>
                <w:sz w:val="20"/>
              </w:rPr>
            </w:pPr>
            <w:r>
              <w:rPr>
                <w:sz w:val="20"/>
              </w:rPr>
              <w:t>Child labor drop out age</w:t>
            </w:r>
          </w:p>
        </w:tc>
        <w:tc>
          <w:tcPr>
            <w:tcW w:w="1285" w:type="dxa"/>
          </w:tcPr>
          <w:p w14:paraId="6AB1FAA4" w14:textId="77777777" w:rsidR="0046798B" w:rsidRDefault="0046798B">
            <w:pPr>
              <w:pStyle w:val="TableParagraph"/>
            </w:pPr>
          </w:p>
          <w:p w14:paraId="48E95AD7" w14:textId="77777777" w:rsidR="0046798B" w:rsidRDefault="0046798B">
            <w:pPr>
              <w:pStyle w:val="TableParagraph"/>
              <w:spacing w:before="4"/>
              <w:rPr>
                <w:sz w:val="21"/>
              </w:rPr>
            </w:pPr>
          </w:p>
          <w:p w14:paraId="3B4ECE36" w14:textId="77777777" w:rsidR="0046798B" w:rsidRDefault="00903B5C">
            <w:pPr>
              <w:pStyle w:val="TableParagraph"/>
              <w:ind w:left="114"/>
              <w:rPr>
                <w:sz w:val="20"/>
              </w:rPr>
            </w:pPr>
            <w:r>
              <w:rPr>
                <w:sz w:val="20"/>
              </w:rPr>
              <w:t>1935</w:t>
            </w:r>
          </w:p>
        </w:tc>
        <w:tc>
          <w:tcPr>
            <w:tcW w:w="3421" w:type="dxa"/>
          </w:tcPr>
          <w:p w14:paraId="5949BADE" w14:textId="77777777" w:rsidR="0046798B" w:rsidRDefault="0046798B">
            <w:pPr>
              <w:pStyle w:val="TableParagraph"/>
            </w:pPr>
          </w:p>
          <w:p w14:paraId="7C92BAE6" w14:textId="77777777" w:rsidR="0046798B" w:rsidRDefault="00903B5C">
            <w:pPr>
              <w:pStyle w:val="TableParagraph"/>
              <w:spacing w:before="130"/>
              <w:ind w:left="114" w:right="166"/>
              <w:rPr>
                <w:sz w:val="20"/>
              </w:rPr>
            </w:pPr>
            <w:r>
              <w:rPr>
                <w:sz w:val="20"/>
              </w:rPr>
              <w:t>What is the age minors can drop out of school (14–18)?</w:t>
            </w:r>
          </w:p>
        </w:tc>
        <w:tc>
          <w:tcPr>
            <w:tcW w:w="6482" w:type="dxa"/>
          </w:tcPr>
          <w:p w14:paraId="24190B1C"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219E7F38" w14:textId="77777777">
        <w:trPr>
          <w:trHeight w:val="1235"/>
        </w:trPr>
        <w:tc>
          <w:tcPr>
            <w:tcW w:w="1711" w:type="dxa"/>
          </w:tcPr>
          <w:p w14:paraId="7C65C218" w14:textId="77777777" w:rsidR="0046798B" w:rsidRDefault="0046798B">
            <w:pPr>
              <w:pStyle w:val="TableParagraph"/>
              <w:spacing w:before="4"/>
              <w:rPr>
                <w:sz w:val="23"/>
              </w:rPr>
            </w:pPr>
          </w:p>
          <w:p w14:paraId="66D409ED" w14:textId="77777777" w:rsidR="0046798B" w:rsidRDefault="00903B5C">
            <w:pPr>
              <w:pStyle w:val="TableParagraph"/>
              <w:ind w:left="115" w:right="143"/>
              <w:jc w:val="both"/>
              <w:rPr>
                <w:b/>
                <w:sz w:val="20"/>
              </w:rPr>
            </w:pPr>
            <w:r>
              <w:rPr>
                <w:b/>
                <w:spacing w:val="-1"/>
                <w:sz w:val="20"/>
              </w:rPr>
              <w:t xml:space="preserve">x_labor_childlab </w:t>
            </w:r>
            <w:r>
              <w:rPr>
                <w:b/>
                <w:sz w:val="20"/>
              </w:rPr>
              <w:t>or_workpermita ge</w:t>
            </w:r>
          </w:p>
        </w:tc>
        <w:tc>
          <w:tcPr>
            <w:tcW w:w="1596" w:type="dxa"/>
          </w:tcPr>
          <w:p w14:paraId="6F8DC8FF" w14:textId="77777777" w:rsidR="0046798B" w:rsidRDefault="0046798B">
            <w:pPr>
              <w:pStyle w:val="TableParagraph"/>
            </w:pPr>
          </w:p>
          <w:p w14:paraId="2D64E12A" w14:textId="77777777" w:rsidR="0046798B" w:rsidRDefault="00903B5C">
            <w:pPr>
              <w:pStyle w:val="TableParagraph"/>
              <w:spacing w:before="131"/>
              <w:ind w:left="114"/>
              <w:rPr>
                <w:sz w:val="20"/>
              </w:rPr>
            </w:pPr>
            <w:r>
              <w:rPr>
                <w:sz w:val="20"/>
              </w:rPr>
              <w:t>Child labor (14-</w:t>
            </w:r>
          </w:p>
          <w:p w14:paraId="121ECBEC" w14:textId="77777777" w:rsidR="0046798B" w:rsidRDefault="00903B5C">
            <w:pPr>
              <w:pStyle w:val="TableParagraph"/>
              <w:ind w:left="114"/>
              <w:rPr>
                <w:sz w:val="20"/>
              </w:rPr>
            </w:pPr>
            <w:r>
              <w:rPr>
                <w:sz w:val="20"/>
              </w:rPr>
              <w:t>15)</w:t>
            </w:r>
          </w:p>
        </w:tc>
        <w:tc>
          <w:tcPr>
            <w:tcW w:w="1285" w:type="dxa"/>
          </w:tcPr>
          <w:p w14:paraId="4281D109" w14:textId="77777777" w:rsidR="0046798B" w:rsidRDefault="0046798B">
            <w:pPr>
              <w:pStyle w:val="TableParagraph"/>
            </w:pPr>
          </w:p>
          <w:p w14:paraId="093D17DF" w14:textId="77777777" w:rsidR="0046798B" w:rsidRDefault="0046798B">
            <w:pPr>
              <w:pStyle w:val="TableParagraph"/>
              <w:spacing w:before="4"/>
              <w:rPr>
                <w:sz w:val="21"/>
              </w:rPr>
            </w:pPr>
          </w:p>
          <w:p w14:paraId="07C97213" w14:textId="77777777" w:rsidR="0046798B" w:rsidRDefault="00903B5C">
            <w:pPr>
              <w:pStyle w:val="TableParagraph"/>
              <w:ind w:left="114"/>
              <w:rPr>
                <w:sz w:val="20"/>
              </w:rPr>
            </w:pPr>
            <w:r>
              <w:rPr>
                <w:sz w:val="20"/>
              </w:rPr>
              <w:t>1936–1939</w:t>
            </w:r>
          </w:p>
        </w:tc>
        <w:tc>
          <w:tcPr>
            <w:tcW w:w="3421" w:type="dxa"/>
          </w:tcPr>
          <w:p w14:paraId="5629EEE2" w14:textId="77777777" w:rsidR="0046798B" w:rsidRDefault="0046798B">
            <w:pPr>
              <w:pStyle w:val="TableParagraph"/>
              <w:spacing w:before="4"/>
              <w:rPr>
                <w:sz w:val="23"/>
              </w:rPr>
            </w:pPr>
          </w:p>
          <w:p w14:paraId="21BE45D8" w14:textId="77777777" w:rsidR="0046798B" w:rsidRDefault="00903B5C">
            <w:pPr>
              <w:pStyle w:val="TableParagraph"/>
              <w:ind w:left="114" w:right="117"/>
              <w:rPr>
                <w:sz w:val="20"/>
              </w:rPr>
            </w:pPr>
            <w:r>
              <w:rPr>
                <w:sz w:val="20"/>
              </w:rPr>
              <w:t>Does the state require employment certificates for child labor (14 and 15)? (0 = no, 1 = yes)</w:t>
            </w:r>
          </w:p>
        </w:tc>
        <w:tc>
          <w:tcPr>
            <w:tcW w:w="6482" w:type="dxa"/>
          </w:tcPr>
          <w:p w14:paraId="1B8A3EF8"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796C6385" w14:textId="77777777">
        <w:trPr>
          <w:trHeight w:val="1235"/>
        </w:trPr>
        <w:tc>
          <w:tcPr>
            <w:tcW w:w="1711" w:type="dxa"/>
          </w:tcPr>
          <w:p w14:paraId="588359FD" w14:textId="77777777" w:rsidR="0046798B" w:rsidRDefault="0046798B">
            <w:pPr>
              <w:pStyle w:val="TableParagraph"/>
              <w:spacing w:before="4"/>
              <w:rPr>
                <w:sz w:val="23"/>
              </w:rPr>
            </w:pPr>
          </w:p>
          <w:p w14:paraId="42202629" w14:textId="77777777" w:rsidR="0046798B" w:rsidRDefault="00903B5C">
            <w:pPr>
              <w:pStyle w:val="TableParagraph"/>
              <w:ind w:left="115" w:right="88"/>
              <w:rPr>
                <w:b/>
                <w:sz w:val="20"/>
              </w:rPr>
            </w:pPr>
            <w:r>
              <w:rPr>
                <w:b/>
                <w:sz w:val="20"/>
              </w:rPr>
              <w:t>z_labor_unempl oyment_compens atio</w:t>
            </w:r>
          </w:p>
        </w:tc>
        <w:tc>
          <w:tcPr>
            <w:tcW w:w="1596" w:type="dxa"/>
          </w:tcPr>
          <w:p w14:paraId="6664D845" w14:textId="77777777" w:rsidR="0046798B" w:rsidRDefault="0046798B">
            <w:pPr>
              <w:pStyle w:val="TableParagraph"/>
            </w:pPr>
          </w:p>
          <w:p w14:paraId="45C9C60D" w14:textId="77777777" w:rsidR="0046798B" w:rsidRDefault="00903B5C">
            <w:pPr>
              <w:pStyle w:val="TableParagraph"/>
              <w:spacing w:before="131"/>
              <w:ind w:left="114" w:right="207"/>
              <w:rPr>
                <w:sz w:val="20"/>
              </w:rPr>
            </w:pPr>
            <w:r>
              <w:rPr>
                <w:sz w:val="20"/>
              </w:rPr>
              <w:t>Unemployment compensation</w:t>
            </w:r>
          </w:p>
        </w:tc>
        <w:tc>
          <w:tcPr>
            <w:tcW w:w="1285" w:type="dxa"/>
          </w:tcPr>
          <w:p w14:paraId="68BFCBA5" w14:textId="77777777" w:rsidR="0046798B" w:rsidRDefault="0046798B">
            <w:pPr>
              <w:pStyle w:val="TableParagraph"/>
            </w:pPr>
          </w:p>
          <w:p w14:paraId="20F45A80" w14:textId="77777777" w:rsidR="0046798B" w:rsidRDefault="0046798B">
            <w:pPr>
              <w:pStyle w:val="TableParagraph"/>
              <w:spacing w:before="4"/>
              <w:rPr>
                <w:sz w:val="21"/>
              </w:rPr>
            </w:pPr>
          </w:p>
          <w:p w14:paraId="5940A702" w14:textId="77777777" w:rsidR="0046798B" w:rsidRDefault="00903B5C">
            <w:pPr>
              <w:pStyle w:val="TableParagraph"/>
              <w:ind w:left="114"/>
              <w:rPr>
                <w:sz w:val="20"/>
              </w:rPr>
            </w:pPr>
            <w:r>
              <w:rPr>
                <w:sz w:val="20"/>
              </w:rPr>
              <w:t>1937–2014</w:t>
            </w:r>
          </w:p>
        </w:tc>
        <w:tc>
          <w:tcPr>
            <w:tcW w:w="3421" w:type="dxa"/>
          </w:tcPr>
          <w:p w14:paraId="2053CEA5" w14:textId="77777777" w:rsidR="0046798B" w:rsidRDefault="0046798B">
            <w:pPr>
              <w:pStyle w:val="TableParagraph"/>
            </w:pPr>
          </w:p>
          <w:p w14:paraId="4A2B5E64" w14:textId="77777777" w:rsidR="0046798B" w:rsidRDefault="00903B5C">
            <w:pPr>
              <w:pStyle w:val="TableParagraph"/>
              <w:spacing w:before="131"/>
              <w:ind w:left="114" w:right="227"/>
              <w:rPr>
                <w:sz w:val="20"/>
              </w:rPr>
            </w:pPr>
            <w:r>
              <w:rPr>
                <w:sz w:val="20"/>
              </w:rPr>
              <w:t>What is the maximum weekly amount of unemployment benefits?</w:t>
            </w:r>
          </w:p>
        </w:tc>
        <w:tc>
          <w:tcPr>
            <w:tcW w:w="6482" w:type="dxa"/>
          </w:tcPr>
          <w:p w14:paraId="7CD102FB"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bl>
    <w:p w14:paraId="4E32EDC3" w14:textId="77777777" w:rsidR="0046798B" w:rsidRDefault="0046798B">
      <w:pPr>
        <w:rPr>
          <w:sz w:val="20"/>
        </w:rPr>
        <w:sectPr w:rsidR="0046798B">
          <w:pgSz w:w="15840" w:h="12240" w:orient="landscape"/>
          <w:pgMar w:top="1220" w:right="300" w:bottom="980" w:left="820" w:header="730" w:footer="787" w:gutter="0"/>
          <w:cols w:space="720"/>
        </w:sectPr>
      </w:pPr>
    </w:p>
    <w:p w14:paraId="12D822D7" w14:textId="77777777" w:rsidR="0046798B" w:rsidRDefault="0046798B">
      <w:pPr>
        <w:pStyle w:val="BodyText"/>
        <w:spacing w:before="1"/>
        <w:rPr>
          <w:sz w:val="11"/>
        </w:rPr>
      </w:pPr>
    </w:p>
    <w:p w14:paraId="08BD5326" w14:textId="77777777" w:rsidR="0046798B" w:rsidRDefault="00903B5C">
      <w:pPr>
        <w:pStyle w:val="ListParagraph"/>
        <w:numPr>
          <w:ilvl w:val="0"/>
          <w:numId w:val="12"/>
        </w:numPr>
        <w:tabs>
          <w:tab w:val="left" w:pos="6462"/>
        </w:tabs>
        <w:spacing w:before="88"/>
        <w:ind w:left="6461" w:hanging="549"/>
        <w:jc w:val="left"/>
        <w:rPr>
          <w:b/>
          <w:sz w:val="28"/>
        </w:rPr>
      </w:pPr>
      <w:bookmarkStart w:id="28" w:name="XV._Transportation"/>
      <w:bookmarkStart w:id="29" w:name="_bookmark14"/>
      <w:bookmarkEnd w:id="28"/>
      <w:bookmarkEnd w:id="29"/>
      <w:r>
        <w:rPr>
          <w:b/>
          <w:sz w:val="28"/>
        </w:rPr>
        <w:t>Transportation</w:t>
      </w:r>
    </w:p>
    <w:p w14:paraId="622B7F64" w14:textId="77777777" w:rsidR="0046798B" w:rsidRDefault="0046798B">
      <w:pPr>
        <w:pStyle w:val="BodyText"/>
        <w:spacing w:before="0"/>
        <w:rPr>
          <w:b/>
          <w:sz w:val="20"/>
        </w:rPr>
      </w:pPr>
    </w:p>
    <w:p w14:paraId="39C30E13" w14:textId="77777777" w:rsidR="0046798B" w:rsidRDefault="0046798B">
      <w:pPr>
        <w:pStyle w:val="BodyText"/>
        <w:spacing w:before="0"/>
        <w:rPr>
          <w:b/>
          <w:sz w:val="20"/>
        </w:rPr>
      </w:pPr>
    </w:p>
    <w:p w14:paraId="0AFFB437" w14:textId="77777777" w:rsidR="0046798B" w:rsidRDefault="0046798B">
      <w:pPr>
        <w:pStyle w:val="BodyText"/>
        <w:spacing w:before="2"/>
        <w:rPr>
          <w:b/>
          <w:sz w:val="12"/>
        </w:rPr>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26173210" w14:textId="77777777">
        <w:trPr>
          <w:trHeight w:val="590"/>
        </w:trPr>
        <w:tc>
          <w:tcPr>
            <w:tcW w:w="1711" w:type="dxa"/>
          </w:tcPr>
          <w:p w14:paraId="0EB15622" w14:textId="77777777" w:rsidR="0046798B" w:rsidRDefault="00903B5C">
            <w:pPr>
              <w:pStyle w:val="TableParagraph"/>
              <w:spacing w:before="164"/>
              <w:ind w:left="140"/>
              <w:rPr>
                <w:b/>
              </w:rPr>
            </w:pPr>
            <w:r>
              <w:rPr>
                <w:b/>
              </w:rPr>
              <w:t>Variable Name</w:t>
            </w:r>
          </w:p>
        </w:tc>
        <w:tc>
          <w:tcPr>
            <w:tcW w:w="1596" w:type="dxa"/>
          </w:tcPr>
          <w:p w14:paraId="44421A03" w14:textId="77777777" w:rsidR="0046798B" w:rsidRDefault="00903B5C">
            <w:pPr>
              <w:pStyle w:val="TableParagraph"/>
              <w:spacing w:before="39" w:line="242" w:lineRule="auto"/>
              <w:ind w:left="249" w:right="229" w:firstLine="280"/>
              <w:rPr>
                <w:b/>
              </w:rPr>
            </w:pPr>
            <w:r>
              <w:rPr>
                <w:b/>
              </w:rPr>
              <w:t>Short Description</w:t>
            </w:r>
          </w:p>
        </w:tc>
        <w:tc>
          <w:tcPr>
            <w:tcW w:w="1285" w:type="dxa"/>
          </w:tcPr>
          <w:p w14:paraId="36ECBFC1" w14:textId="77777777" w:rsidR="0046798B" w:rsidRDefault="00903B5C">
            <w:pPr>
              <w:pStyle w:val="TableParagraph"/>
              <w:spacing w:before="164"/>
              <w:ind w:left="374"/>
              <w:rPr>
                <w:b/>
              </w:rPr>
            </w:pPr>
            <w:r>
              <w:rPr>
                <w:b/>
              </w:rPr>
              <w:t>Dates</w:t>
            </w:r>
          </w:p>
        </w:tc>
        <w:tc>
          <w:tcPr>
            <w:tcW w:w="3421" w:type="dxa"/>
          </w:tcPr>
          <w:p w14:paraId="338520B6" w14:textId="77777777" w:rsidR="0046798B" w:rsidRDefault="00903B5C">
            <w:pPr>
              <w:pStyle w:val="TableParagraph"/>
              <w:spacing w:before="39"/>
              <w:ind w:left="159" w:right="146"/>
              <w:jc w:val="center"/>
              <w:rPr>
                <w:b/>
              </w:rPr>
            </w:pPr>
            <w:r>
              <w:rPr>
                <w:b/>
              </w:rPr>
              <w:t>Coding /</w:t>
            </w:r>
          </w:p>
          <w:p w14:paraId="1544B88B" w14:textId="77777777" w:rsidR="0046798B" w:rsidRDefault="00903B5C">
            <w:pPr>
              <w:pStyle w:val="TableParagraph"/>
              <w:spacing w:before="2"/>
              <w:ind w:left="159" w:right="150"/>
              <w:jc w:val="center"/>
              <w:rPr>
                <w:b/>
              </w:rPr>
            </w:pPr>
            <w:r>
              <w:rPr>
                <w:b/>
              </w:rPr>
              <w:t>Longer Description (if available)</w:t>
            </w:r>
          </w:p>
        </w:tc>
        <w:tc>
          <w:tcPr>
            <w:tcW w:w="6482" w:type="dxa"/>
          </w:tcPr>
          <w:p w14:paraId="0868587C" w14:textId="77777777" w:rsidR="0046798B" w:rsidRDefault="00903B5C">
            <w:pPr>
              <w:pStyle w:val="TableParagraph"/>
              <w:spacing w:before="164"/>
              <w:ind w:left="2852" w:right="2845"/>
              <w:jc w:val="center"/>
              <w:rPr>
                <w:b/>
              </w:rPr>
            </w:pPr>
            <w:r>
              <w:rPr>
                <w:b/>
              </w:rPr>
              <w:t>Sources</w:t>
            </w:r>
          </w:p>
        </w:tc>
      </w:tr>
      <w:tr w:rsidR="0046798B" w14:paraId="520FB76F" w14:textId="77777777">
        <w:trPr>
          <w:trHeight w:val="2161"/>
        </w:trPr>
        <w:tc>
          <w:tcPr>
            <w:tcW w:w="1711" w:type="dxa"/>
          </w:tcPr>
          <w:p w14:paraId="62E85F4F" w14:textId="77777777" w:rsidR="0046798B" w:rsidRDefault="0046798B">
            <w:pPr>
              <w:pStyle w:val="TableParagraph"/>
              <w:rPr>
                <w:b/>
              </w:rPr>
            </w:pPr>
          </w:p>
          <w:p w14:paraId="079D4F31" w14:textId="77777777" w:rsidR="0046798B" w:rsidRDefault="0046798B">
            <w:pPr>
              <w:pStyle w:val="TableParagraph"/>
              <w:rPr>
                <w:b/>
              </w:rPr>
            </w:pPr>
          </w:p>
          <w:p w14:paraId="38F3B716" w14:textId="77777777" w:rsidR="0046798B" w:rsidRDefault="0046798B">
            <w:pPr>
              <w:pStyle w:val="TableParagraph"/>
              <w:rPr>
                <w:b/>
              </w:rPr>
            </w:pPr>
          </w:p>
          <w:p w14:paraId="78C387E0" w14:textId="77777777" w:rsidR="0046798B" w:rsidRDefault="0046798B">
            <w:pPr>
              <w:pStyle w:val="TableParagraph"/>
              <w:spacing w:before="9"/>
              <w:rPr>
                <w:b/>
                <w:sz w:val="17"/>
              </w:rPr>
            </w:pPr>
          </w:p>
          <w:p w14:paraId="0040A81F" w14:textId="77777777" w:rsidR="0046798B" w:rsidRDefault="00903B5C">
            <w:pPr>
              <w:pStyle w:val="TableParagraph"/>
              <w:ind w:left="115"/>
              <w:rPr>
                <w:b/>
                <w:sz w:val="20"/>
              </w:rPr>
            </w:pPr>
            <w:r>
              <w:rPr>
                <w:b/>
                <w:sz w:val="20"/>
              </w:rPr>
              <w:t>allpass_seatbelt</w:t>
            </w:r>
          </w:p>
        </w:tc>
        <w:tc>
          <w:tcPr>
            <w:tcW w:w="1596" w:type="dxa"/>
          </w:tcPr>
          <w:p w14:paraId="4B7E5799" w14:textId="77777777" w:rsidR="0046798B" w:rsidRDefault="0046798B">
            <w:pPr>
              <w:pStyle w:val="TableParagraph"/>
              <w:rPr>
                <w:b/>
              </w:rPr>
            </w:pPr>
          </w:p>
          <w:p w14:paraId="48F3541C" w14:textId="77777777" w:rsidR="0046798B" w:rsidRDefault="0046798B">
            <w:pPr>
              <w:pStyle w:val="TableParagraph"/>
              <w:rPr>
                <w:b/>
              </w:rPr>
            </w:pPr>
          </w:p>
          <w:p w14:paraId="39EEA1FF" w14:textId="77777777" w:rsidR="0046798B" w:rsidRDefault="0046798B">
            <w:pPr>
              <w:pStyle w:val="TableParagraph"/>
              <w:spacing w:before="9"/>
              <w:rPr>
                <w:b/>
                <w:sz w:val="19"/>
              </w:rPr>
            </w:pPr>
          </w:p>
          <w:p w14:paraId="12C975BA" w14:textId="77777777" w:rsidR="0046798B" w:rsidRDefault="00903B5C">
            <w:pPr>
              <w:pStyle w:val="TableParagraph"/>
              <w:ind w:left="114" w:right="263"/>
              <w:rPr>
                <w:sz w:val="20"/>
              </w:rPr>
            </w:pPr>
            <w:r>
              <w:rPr>
                <w:sz w:val="20"/>
              </w:rPr>
              <w:t>Requiring all passengers to wear a seatbelt</w:t>
            </w:r>
          </w:p>
        </w:tc>
        <w:tc>
          <w:tcPr>
            <w:tcW w:w="1285" w:type="dxa"/>
          </w:tcPr>
          <w:p w14:paraId="55B61BFD" w14:textId="77777777" w:rsidR="0046798B" w:rsidRDefault="0046798B">
            <w:pPr>
              <w:pStyle w:val="TableParagraph"/>
              <w:rPr>
                <w:b/>
              </w:rPr>
            </w:pPr>
          </w:p>
          <w:p w14:paraId="465C9453" w14:textId="77777777" w:rsidR="0046798B" w:rsidRDefault="0046798B">
            <w:pPr>
              <w:pStyle w:val="TableParagraph"/>
              <w:rPr>
                <w:b/>
              </w:rPr>
            </w:pPr>
          </w:p>
          <w:p w14:paraId="68B2FEB4" w14:textId="77777777" w:rsidR="0046798B" w:rsidRDefault="0046798B">
            <w:pPr>
              <w:pStyle w:val="TableParagraph"/>
              <w:rPr>
                <w:b/>
              </w:rPr>
            </w:pPr>
          </w:p>
          <w:p w14:paraId="35E23554" w14:textId="77777777" w:rsidR="0046798B" w:rsidRDefault="0046798B">
            <w:pPr>
              <w:pStyle w:val="TableParagraph"/>
              <w:spacing w:before="9"/>
              <w:rPr>
                <w:b/>
                <w:sz w:val="17"/>
              </w:rPr>
            </w:pPr>
          </w:p>
          <w:p w14:paraId="4224AD9C" w14:textId="77777777" w:rsidR="0046798B" w:rsidRDefault="00903B5C">
            <w:pPr>
              <w:pStyle w:val="TableParagraph"/>
              <w:ind w:left="114"/>
              <w:rPr>
                <w:sz w:val="20"/>
              </w:rPr>
            </w:pPr>
            <w:r>
              <w:rPr>
                <w:sz w:val="20"/>
              </w:rPr>
              <w:t>1985–2007</w:t>
            </w:r>
          </w:p>
        </w:tc>
        <w:tc>
          <w:tcPr>
            <w:tcW w:w="3421" w:type="dxa"/>
          </w:tcPr>
          <w:p w14:paraId="14250833" w14:textId="77777777" w:rsidR="0046798B" w:rsidRDefault="0046798B">
            <w:pPr>
              <w:pStyle w:val="TableParagraph"/>
              <w:rPr>
                <w:b/>
              </w:rPr>
            </w:pPr>
          </w:p>
          <w:p w14:paraId="6BB84DCA" w14:textId="77777777" w:rsidR="0046798B" w:rsidRDefault="0046798B">
            <w:pPr>
              <w:pStyle w:val="TableParagraph"/>
              <w:rPr>
                <w:b/>
              </w:rPr>
            </w:pPr>
          </w:p>
          <w:p w14:paraId="188D203E" w14:textId="77777777" w:rsidR="0046798B" w:rsidRDefault="0046798B">
            <w:pPr>
              <w:pStyle w:val="TableParagraph"/>
              <w:spacing w:before="9"/>
              <w:rPr>
                <w:b/>
                <w:sz w:val="29"/>
              </w:rPr>
            </w:pPr>
          </w:p>
          <w:p w14:paraId="791AA6B0" w14:textId="77777777" w:rsidR="0046798B" w:rsidRDefault="00903B5C">
            <w:pPr>
              <w:pStyle w:val="TableParagraph"/>
              <w:ind w:left="114" w:right="1475"/>
              <w:rPr>
                <w:sz w:val="20"/>
              </w:rPr>
            </w:pPr>
            <w:r>
              <w:rPr>
                <w:sz w:val="20"/>
              </w:rPr>
              <w:t>0 = policy not adopted 1 = policy adopted</w:t>
            </w:r>
          </w:p>
        </w:tc>
        <w:tc>
          <w:tcPr>
            <w:tcW w:w="6482" w:type="dxa"/>
          </w:tcPr>
          <w:p w14:paraId="0E79A8AC" w14:textId="77777777" w:rsidR="0046798B" w:rsidRDefault="00903B5C">
            <w:pPr>
              <w:pStyle w:val="TableParagraph"/>
              <w:spacing w:before="44"/>
              <w:ind w:left="114" w:right="467"/>
              <w:rPr>
                <w:sz w:val="20"/>
              </w:rPr>
            </w:pPr>
            <w:r>
              <w:rPr>
                <w:sz w:val="20"/>
              </w:rPr>
              <w:t>Silver, Diana, and Macinko, James. State Health Policy Research Dataset (SHEPRD): 1980-2010. Ann Arbor, MI: Inter-university Consortium for Political and Social Research [distributor], 2014-09-24. https://doi.org/10.3886/ICPSR34789.v3</w:t>
            </w:r>
          </w:p>
          <w:p w14:paraId="6C489657" w14:textId="77777777" w:rsidR="0046798B" w:rsidRDefault="0046798B">
            <w:pPr>
              <w:pStyle w:val="TableParagraph"/>
              <w:rPr>
                <w:b/>
                <w:sz w:val="20"/>
              </w:rPr>
            </w:pPr>
          </w:p>
          <w:p w14:paraId="37BC68DD"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450D8904" w14:textId="77777777">
        <w:trPr>
          <w:trHeight w:val="2155"/>
        </w:trPr>
        <w:tc>
          <w:tcPr>
            <w:tcW w:w="1711" w:type="dxa"/>
          </w:tcPr>
          <w:p w14:paraId="3FFCEC4D" w14:textId="77777777" w:rsidR="0046798B" w:rsidRDefault="0046798B">
            <w:pPr>
              <w:pStyle w:val="TableParagraph"/>
              <w:rPr>
                <w:b/>
              </w:rPr>
            </w:pPr>
          </w:p>
          <w:p w14:paraId="65020AAE" w14:textId="77777777" w:rsidR="0046798B" w:rsidRDefault="0046798B">
            <w:pPr>
              <w:pStyle w:val="TableParagraph"/>
              <w:rPr>
                <w:b/>
              </w:rPr>
            </w:pPr>
          </w:p>
          <w:p w14:paraId="1A60A4B5" w14:textId="77777777" w:rsidR="0046798B" w:rsidRDefault="0046798B">
            <w:pPr>
              <w:pStyle w:val="TableParagraph"/>
              <w:rPr>
                <w:b/>
              </w:rPr>
            </w:pPr>
          </w:p>
          <w:p w14:paraId="089B7206" w14:textId="77777777" w:rsidR="0046798B" w:rsidRDefault="0046798B">
            <w:pPr>
              <w:pStyle w:val="TableParagraph"/>
              <w:spacing w:before="4"/>
              <w:rPr>
                <w:b/>
                <w:sz w:val="17"/>
              </w:rPr>
            </w:pPr>
          </w:p>
          <w:p w14:paraId="4E72017B" w14:textId="77777777" w:rsidR="0046798B" w:rsidRDefault="00903B5C">
            <w:pPr>
              <w:pStyle w:val="TableParagraph"/>
              <w:ind w:left="115"/>
              <w:rPr>
                <w:b/>
                <w:sz w:val="20"/>
              </w:rPr>
            </w:pPr>
            <w:r>
              <w:rPr>
                <w:b/>
                <w:sz w:val="20"/>
              </w:rPr>
              <w:t>bikehelmet</w:t>
            </w:r>
          </w:p>
        </w:tc>
        <w:tc>
          <w:tcPr>
            <w:tcW w:w="1596" w:type="dxa"/>
          </w:tcPr>
          <w:p w14:paraId="06AFB975" w14:textId="77777777" w:rsidR="0046798B" w:rsidRDefault="0046798B">
            <w:pPr>
              <w:pStyle w:val="TableParagraph"/>
              <w:rPr>
                <w:b/>
              </w:rPr>
            </w:pPr>
          </w:p>
          <w:p w14:paraId="1E6A74F4" w14:textId="77777777" w:rsidR="0046798B" w:rsidRDefault="0046798B">
            <w:pPr>
              <w:pStyle w:val="TableParagraph"/>
              <w:rPr>
                <w:b/>
              </w:rPr>
            </w:pPr>
          </w:p>
          <w:p w14:paraId="75157800" w14:textId="77777777" w:rsidR="0046798B" w:rsidRDefault="0046798B">
            <w:pPr>
              <w:pStyle w:val="TableParagraph"/>
              <w:spacing w:before="4"/>
              <w:rPr>
                <w:b/>
                <w:sz w:val="19"/>
              </w:rPr>
            </w:pPr>
          </w:p>
          <w:p w14:paraId="53A97D27" w14:textId="77777777" w:rsidR="0046798B" w:rsidRDefault="00903B5C">
            <w:pPr>
              <w:pStyle w:val="TableParagraph"/>
              <w:ind w:left="114" w:right="119"/>
              <w:rPr>
                <w:sz w:val="20"/>
              </w:rPr>
            </w:pPr>
            <w:r>
              <w:rPr>
                <w:sz w:val="20"/>
              </w:rPr>
              <w:t xml:space="preserve">Requiring helmet for </w:t>
            </w:r>
            <w:r>
              <w:rPr>
                <w:spacing w:val="-4"/>
                <w:sz w:val="20"/>
              </w:rPr>
              <w:t xml:space="preserve">riding </w:t>
            </w:r>
            <w:r>
              <w:rPr>
                <w:sz w:val="20"/>
              </w:rPr>
              <w:t>bike</w:t>
            </w:r>
          </w:p>
        </w:tc>
        <w:tc>
          <w:tcPr>
            <w:tcW w:w="1285" w:type="dxa"/>
          </w:tcPr>
          <w:p w14:paraId="28332367" w14:textId="77777777" w:rsidR="0046798B" w:rsidRDefault="0046798B">
            <w:pPr>
              <w:pStyle w:val="TableParagraph"/>
              <w:rPr>
                <w:b/>
              </w:rPr>
            </w:pPr>
          </w:p>
          <w:p w14:paraId="4CE1DEEA" w14:textId="77777777" w:rsidR="0046798B" w:rsidRDefault="0046798B">
            <w:pPr>
              <w:pStyle w:val="TableParagraph"/>
              <w:rPr>
                <w:b/>
              </w:rPr>
            </w:pPr>
          </w:p>
          <w:p w14:paraId="10318F34" w14:textId="77777777" w:rsidR="0046798B" w:rsidRDefault="0046798B">
            <w:pPr>
              <w:pStyle w:val="TableParagraph"/>
              <w:rPr>
                <w:b/>
              </w:rPr>
            </w:pPr>
          </w:p>
          <w:p w14:paraId="584F6959" w14:textId="77777777" w:rsidR="0046798B" w:rsidRDefault="0046798B">
            <w:pPr>
              <w:pStyle w:val="TableParagraph"/>
              <w:spacing w:before="4"/>
              <w:rPr>
                <w:b/>
                <w:sz w:val="17"/>
              </w:rPr>
            </w:pPr>
          </w:p>
          <w:p w14:paraId="798962A8" w14:textId="77777777" w:rsidR="0046798B" w:rsidRDefault="00903B5C">
            <w:pPr>
              <w:pStyle w:val="TableParagraph"/>
              <w:ind w:left="114"/>
              <w:rPr>
                <w:sz w:val="20"/>
              </w:rPr>
            </w:pPr>
            <w:r>
              <w:rPr>
                <w:sz w:val="20"/>
              </w:rPr>
              <w:t>1989–2007</w:t>
            </w:r>
          </w:p>
        </w:tc>
        <w:tc>
          <w:tcPr>
            <w:tcW w:w="3421" w:type="dxa"/>
          </w:tcPr>
          <w:p w14:paraId="269AB361" w14:textId="77777777" w:rsidR="0046798B" w:rsidRDefault="0046798B">
            <w:pPr>
              <w:pStyle w:val="TableParagraph"/>
              <w:rPr>
                <w:b/>
              </w:rPr>
            </w:pPr>
          </w:p>
          <w:p w14:paraId="17E05CE5" w14:textId="77777777" w:rsidR="0046798B" w:rsidRDefault="0046798B">
            <w:pPr>
              <w:pStyle w:val="TableParagraph"/>
              <w:rPr>
                <w:b/>
              </w:rPr>
            </w:pPr>
          </w:p>
          <w:p w14:paraId="155869B4" w14:textId="77777777" w:rsidR="0046798B" w:rsidRDefault="0046798B">
            <w:pPr>
              <w:pStyle w:val="TableParagraph"/>
              <w:spacing w:before="4"/>
              <w:rPr>
                <w:b/>
                <w:sz w:val="29"/>
              </w:rPr>
            </w:pPr>
          </w:p>
          <w:p w14:paraId="7BDBCDD1" w14:textId="77777777" w:rsidR="0046798B" w:rsidRDefault="00903B5C">
            <w:pPr>
              <w:pStyle w:val="TableParagraph"/>
              <w:ind w:left="114" w:right="1475"/>
              <w:rPr>
                <w:sz w:val="20"/>
              </w:rPr>
            </w:pPr>
            <w:r>
              <w:rPr>
                <w:sz w:val="20"/>
              </w:rPr>
              <w:t>0 = policy not adopted 1 = policy adopted</w:t>
            </w:r>
          </w:p>
        </w:tc>
        <w:tc>
          <w:tcPr>
            <w:tcW w:w="6482" w:type="dxa"/>
          </w:tcPr>
          <w:p w14:paraId="3A73CA4E" w14:textId="77777777" w:rsidR="0046798B" w:rsidRDefault="00903B5C">
            <w:pPr>
              <w:pStyle w:val="TableParagraph"/>
              <w:spacing w:before="38"/>
              <w:ind w:left="114" w:right="467"/>
              <w:rPr>
                <w:sz w:val="20"/>
              </w:rPr>
            </w:pPr>
            <w:r>
              <w:rPr>
                <w:sz w:val="20"/>
              </w:rPr>
              <w:t>Silver, Diana, and Macinko, James. State Health Policy Research Dataset (SHEPRD): 1980-2010. Ann Arbor, MI: Inter-university Consortium for Political and Social Research [distributor], 2014-09-24. https://doi.org/10.3886/ICPSR34789.v3</w:t>
            </w:r>
          </w:p>
          <w:p w14:paraId="0724E416" w14:textId="77777777" w:rsidR="0046798B" w:rsidRDefault="0046798B">
            <w:pPr>
              <w:pStyle w:val="TableParagraph"/>
              <w:rPr>
                <w:b/>
                <w:sz w:val="20"/>
              </w:rPr>
            </w:pPr>
          </w:p>
          <w:p w14:paraId="2D4ED9FD"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A018D1B" w14:textId="77777777">
        <w:trPr>
          <w:trHeight w:val="2155"/>
        </w:trPr>
        <w:tc>
          <w:tcPr>
            <w:tcW w:w="1711" w:type="dxa"/>
          </w:tcPr>
          <w:p w14:paraId="334E2A95" w14:textId="77777777" w:rsidR="0046798B" w:rsidRDefault="0046798B">
            <w:pPr>
              <w:pStyle w:val="TableParagraph"/>
              <w:rPr>
                <w:b/>
              </w:rPr>
            </w:pPr>
          </w:p>
          <w:p w14:paraId="58C45E95" w14:textId="77777777" w:rsidR="0046798B" w:rsidRDefault="0046798B">
            <w:pPr>
              <w:pStyle w:val="TableParagraph"/>
              <w:rPr>
                <w:b/>
              </w:rPr>
            </w:pPr>
          </w:p>
          <w:p w14:paraId="006D6CC6" w14:textId="77777777" w:rsidR="0046798B" w:rsidRDefault="0046798B">
            <w:pPr>
              <w:pStyle w:val="TableParagraph"/>
              <w:spacing w:before="4"/>
              <w:rPr>
                <w:b/>
                <w:sz w:val="29"/>
              </w:rPr>
            </w:pPr>
          </w:p>
          <w:p w14:paraId="00F297F7" w14:textId="77777777" w:rsidR="0046798B" w:rsidRDefault="00903B5C">
            <w:pPr>
              <w:pStyle w:val="TableParagraph"/>
              <w:ind w:left="115" w:right="132"/>
              <w:rPr>
                <w:b/>
                <w:sz w:val="20"/>
              </w:rPr>
            </w:pPr>
            <w:r>
              <w:rPr>
                <w:b/>
                <w:sz w:val="20"/>
              </w:rPr>
              <w:t>frontpass_seatbe lt</w:t>
            </w:r>
          </w:p>
        </w:tc>
        <w:tc>
          <w:tcPr>
            <w:tcW w:w="1596" w:type="dxa"/>
          </w:tcPr>
          <w:p w14:paraId="75BC7C66" w14:textId="77777777" w:rsidR="0046798B" w:rsidRDefault="0046798B">
            <w:pPr>
              <w:pStyle w:val="TableParagraph"/>
              <w:rPr>
                <w:b/>
              </w:rPr>
            </w:pPr>
          </w:p>
          <w:p w14:paraId="5AFD5E0F" w14:textId="77777777" w:rsidR="0046798B" w:rsidRDefault="0046798B">
            <w:pPr>
              <w:pStyle w:val="TableParagraph"/>
              <w:rPr>
                <w:b/>
              </w:rPr>
            </w:pPr>
          </w:p>
          <w:p w14:paraId="450E407D" w14:textId="77777777" w:rsidR="0046798B" w:rsidRDefault="0046798B">
            <w:pPr>
              <w:pStyle w:val="TableParagraph"/>
              <w:spacing w:before="4"/>
              <w:rPr>
                <w:b/>
                <w:sz w:val="19"/>
              </w:rPr>
            </w:pPr>
          </w:p>
          <w:p w14:paraId="4ECCC97C" w14:textId="77777777" w:rsidR="0046798B" w:rsidRDefault="00903B5C">
            <w:pPr>
              <w:pStyle w:val="TableParagraph"/>
              <w:ind w:left="114" w:right="213"/>
              <w:rPr>
                <w:sz w:val="20"/>
              </w:rPr>
            </w:pPr>
            <w:r>
              <w:rPr>
                <w:sz w:val="20"/>
              </w:rPr>
              <w:t>Requiring front passengers to wear seatbelts</w:t>
            </w:r>
          </w:p>
        </w:tc>
        <w:tc>
          <w:tcPr>
            <w:tcW w:w="1285" w:type="dxa"/>
          </w:tcPr>
          <w:p w14:paraId="215A7E3A" w14:textId="77777777" w:rsidR="0046798B" w:rsidRDefault="0046798B">
            <w:pPr>
              <w:pStyle w:val="TableParagraph"/>
              <w:rPr>
                <w:b/>
              </w:rPr>
            </w:pPr>
          </w:p>
          <w:p w14:paraId="27A94B4B" w14:textId="77777777" w:rsidR="0046798B" w:rsidRDefault="0046798B">
            <w:pPr>
              <w:pStyle w:val="TableParagraph"/>
              <w:rPr>
                <w:b/>
              </w:rPr>
            </w:pPr>
          </w:p>
          <w:p w14:paraId="24BA3605" w14:textId="77777777" w:rsidR="0046798B" w:rsidRDefault="0046798B">
            <w:pPr>
              <w:pStyle w:val="TableParagraph"/>
              <w:rPr>
                <w:b/>
              </w:rPr>
            </w:pPr>
          </w:p>
          <w:p w14:paraId="16B71305" w14:textId="77777777" w:rsidR="0046798B" w:rsidRDefault="0046798B">
            <w:pPr>
              <w:pStyle w:val="TableParagraph"/>
              <w:spacing w:before="4"/>
              <w:rPr>
                <w:b/>
                <w:sz w:val="17"/>
              </w:rPr>
            </w:pPr>
          </w:p>
          <w:p w14:paraId="086158F2" w14:textId="77777777" w:rsidR="0046798B" w:rsidRDefault="00903B5C">
            <w:pPr>
              <w:pStyle w:val="TableParagraph"/>
              <w:ind w:left="114"/>
              <w:rPr>
                <w:sz w:val="20"/>
              </w:rPr>
            </w:pPr>
            <w:r>
              <w:rPr>
                <w:sz w:val="20"/>
              </w:rPr>
              <w:t>1985–1995</w:t>
            </w:r>
          </w:p>
        </w:tc>
        <w:tc>
          <w:tcPr>
            <w:tcW w:w="3421" w:type="dxa"/>
          </w:tcPr>
          <w:p w14:paraId="199E0340" w14:textId="77777777" w:rsidR="0046798B" w:rsidRDefault="0046798B">
            <w:pPr>
              <w:pStyle w:val="TableParagraph"/>
              <w:rPr>
                <w:b/>
              </w:rPr>
            </w:pPr>
          </w:p>
          <w:p w14:paraId="5DEF5EBA" w14:textId="77777777" w:rsidR="0046798B" w:rsidRDefault="0046798B">
            <w:pPr>
              <w:pStyle w:val="TableParagraph"/>
              <w:rPr>
                <w:b/>
              </w:rPr>
            </w:pPr>
          </w:p>
          <w:p w14:paraId="4311F36A" w14:textId="77777777" w:rsidR="0046798B" w:rsidRDefault="0046798B">
            <w:pPr>
              <w:pStyle w:val="TableParagraph"/>
              <w:spacing w:before="4"/>
              <w:rPr>
                <w:b/>
                <w:sz w:val="29"/>
              </w:rPr>
            </w:pPr>
          </w:p>
          <w:p w14:paraId="22B40E4A" w14:textId="77777777" w:rsidR="0046798B" w:rsidRDefault="00903B5C">
            <w:pPr>
              <w:pStyle w:val="TableParagraph"/>
              <w:ind w:left="114" w:right="1475"/>
              <w:rPr>
                <w:sz w:val="20"/>
              </w:rPr>
            </w:pPr>
            <w:r>
              <w:rPr>
                <w:sz w:val="20"/>
              </w:rPr>
              <w:t>0 = policy not adopted 1 = policy adopted</w:t>
            </w:r>
          </w:p>
        </w:tc>
        <w:tc>
          <w:tcPr>
            <w:tcW w:w="6482" w:type="dxa"/>
          </w:tcPr>
          <w:p w14:paraId="7094EC1F" w14:textId="77777777" w:rsidR="0046798B" w:rsidRDefault="00903B5C">
            <w:pPr>
              <w:pStyle w:val="TableParagraph"/>
              <w:spacing w:before="38"/>
              <w:ind w:left="114" w:right="467"/>
              <w:rPr>
                <w:sz w:val="20"/>
              </w:rPr>
            </w:pPr>
            <w:r>
              <w:rPr>
                <w:sz w:val="20"/>
              </w:rPr>
              <w:t>Silver, Diana, and Macinko, James. State Health Policy Research Dataset (SHEPRD): 1980-2010. Ann Arbor, MI: Inter-university Consortium for Political and Social Research [distributor], 2014-09-24. https://doi.org/10.3886/ICPSR34789.v3</w:t>
            </w:r>
          </w:p>
          <w:p w14:paraId="1C3346CB" w14:textId="77777777" w:rsidR="0046798B" w:rsidRDefault="0046798B">
            <w:pPr>
              <w:pStyle w:val="TableParagraph"/>
              <w:rPr>
                <w:b/>
                <w:sz w:val="20"/>
              </w:rPr>
            </w:pPr>
          </w:p>
          <w:p w14:paraId="762F9204"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0923CAD2" w14:textId="77777777">
        <w:trPr>
          <w:trHeight w:val="1235"/>
        </w:trPr>
        <w:tc>
          <w:tcPr>
            <w:tcW w:w="1711" w:type="dxa"/>
          </w:tcPr>
          <w:p w14:paraId="488EFCC8" w14:textId="77777777" w:rsidR="0046798B" w:rsidRDefault="0046798B">
            <w:pPr>
              <w:pStyle w:val="TableParagraph"/>
              <w:rPr>
                <w:b/>
              </w:rPr>
            </w:pPr>
          </w:p>
          <w:p w14:paraId="3084526F" w14:textId="77777777" w:rsidR="0046798B" w:rsidRDefault="0046798B">
            <w:pPr>
              <w:pStyle w:val="TableParagraph"/>
              <w:spacing w:before="3"/>
              <w:rPr>
                <w:b/>
                <w:sz w:val="21"/>
              </w:rPr>
            </w:pPr>
          </w:p>
          <w:p w14:paraId="5F5B34A1" w14:textId="77777777" w:rsidR="0046798B" w:rsidRDefault="00903B5C">
            <w:pPr>
              <w:pStyle w:val="TableParagraph"/>
              <w:spacing w:before="1"/>
              <w:ind w:left="115"/>
              <w:rPr>
                <w:b/>
                <w:sz w:val="20"/>
              </w:rPr>
            </w:pPr>
            <w:r>
              <w:rPr>
                <w:b/>
                <w:sz w:val="20"/>
              </w:rPr>
              <w:t>helmetlaw_17</w:t>
            </w:r>
          </w:p>
        </w:tc>
        <w:tc>
          <w:tcPr>
            <w:tcW w:w="1596" w:type="dxa"/>
          </w:tcPr>
          <w:p w14:paraId="48FEE931" w14:textId="77777777" w:rsidR="0046798B" w:rsidRDefault="00903B5C">
            <w:pPr>
              <w:pStyle w:val="TableParagraph"/>
              <w:spacing w:before="153"/>
              <w:ind w:left="114" w:right="102"/>
              <w:rPr>
                <w:sz w:val="20"/>
              </w:rPr>
            </w:pPr>
            <w:r>
              <w:rPr>
                <w:sz w:val="20"/>
              </w:rPr>
              <w:t>Motorcyclists 17 and under required to wear a helmet</w:t>
            </w:r>
          </w:p>
        </w:tc>
        <w:tc>
          <w:tcPr>
            <w:tcW w:w="1285" w:type="dxa"/>
          </w:tcPr>
          <w:p w14:paraId="7644DB6F" w14:textId="77777777" w:rsidR="0046798B" w:rsidRDefault="0046798B">
            <w:pPr>
              <w:pStyle w:val="TableParagraph"/>
              <w:rPr>
                <w:b/>
              </w:rPr>
            </w:pPr>
          </w:p>
          <w:p w14:paraId="4AA31AF9" w14:textId="77777777" w:rsidR="0046798B" w:rsidRDefault="0046798B">
            <w:pPr>
              <w:pStyle w:val="TableParagraph"/>
              <w:spacing w:before="3"/>
              <w:rPr>
                <w:b/>
                <w:sz w:val="21"/>
              </w:rPr>
            </w:pPr>
          </w:p>
          <w:p w14:paraId="6E4EA0CA" w14:textId="77777777" w:rsidR="0046798B" w:rsidRDefault="00903B5C">
            <w:pPr>
              <w:pStyle w:val="TableParagraph"/>
              <w:spacing w:before="1"/>
              <w:ind w:left="114"/>
              <w:rPr>
                <w:sz w:val="20"/>
              </w:rPr>
            </w:pPr>
            <w:r>
              <w:rPr>
                <w:sz w:val="20"/>
              </w:rPr>
              <w:t>1980–2006</w:t>
            </w:r>
          </w:p>
        </w:tc>
        <w:tc>
          <w:tcPr>
            <w:tcW w:w="3421" w:type="dxa"/>
          </w:tcPr>
          <w:p w14:paraId="597B5985" w14:textId="77777777" w:rsidR="0046798B" w:rsidRDefault="0046798B">
            <w:pPr>
              <w:pStyle w:val="TableParagraph"/>
              <w:rPr>
                <w:b/>
              </w:rPr>
            </w:pPr>
          </w:p>
          <w:p w14:paraId="6C263222" w14:textId="77777777" w:rsidR="0046798B" w:rsidRDefault="00903B5C">
            <w:pPr>
              <w:pStyle w:val="TableParagraph"/>
              <w:spacing w:before="130"/>
              <w:ind w:left="114" w:right="1475"/>
              <w:rPr>
                <w:sz w:val="20"/>
              </w:rPr>
            </w:pPr>
            <w:r>
              <w:rPr>
                <w:sz w:val="20"/>
              </w:rPr>
              <w:t>0 = policy not adopted 1 = policy adopted</w:t>
            </w:r>
          </w:p>
        </w:tc>
        <w:tc>
          <w:tcPr>
            <w:tcW w:w="6482" w:type="dxa"/>
          </w:tcPr>
          <w:p w14:paraId="105E34FF" w14:textId="77777777" w:rsidR="0046798B" w:rsidRDefault="00903B5C">
            <w:pPr>
              <w:pStyle w:val="TableParagraph"/>
              <w:spacing w:before="38"/>
              <w:ind w:left="114" w:right="467"/>
              <w:rPr>
                <w:sz w:val="20"/>
              </w:rPr>
            </w:pPr>
            <w:r>
              <w:rPr>
                <w:sz w:val="20"/>
              </w:rPr>
              <w:t>Silver, Diana, and Macinko, James. State Health Policy Research Dataset (SHEPRD): 1980-2010. Ann Arbor, MI: Inter-university Consortium for Political and Social Research [distributor], 2014-09-24. https://doi.org/10.3886/ICPSR34789.v3</w:t>
            </w:r>
          </w:p>
        </w:tc>
      </w:tr>
    </w:tbl>
    <w:p w14:paraId="3D2885E6" w14:textId="77777777" w:rsidR="0046798B" w:rsidRDefault="0046798B">
      <w:pPr>
        <w:rPr>
          <w:sz w:val="20"/>
        </w:rPr>
        <w:sectPr w:rsidR="0046798B">
          <w:pgSz w:w="15840" w:h="12240" w:orient="landscape"/>
          <w:pgMar w:top="1220" w:right="300" w:bottom="980" w:left="820" w:header="730" w:footer="787" w:gutter="0"/>
          <w:cols w:space="720"/>
        </w:sectPr>
      </w:pPr>
    </w:p>
    <w:p w14:paraId="56A59774"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5E955D8E" w14:textId="77777777">
        <w:trPr>
          <w:trHeight w:val="1005"/>
        </w:trPr>
        <w:tc>
          <w:tcPr>
            <w:tcW w:w="1711" w:type="dxa"/>
          </w:tcPr>
          <w:p w14:paraId="29B0213F" w14:textId="77777777" w:rsidR="0046798B" w:rsidRDefault="0046798B">
            <w:pPr>
              <w:pStyle w:val="TableParagraph"/>
              <w:rPr>
                <w:sz w:val="20"/>
              </w:rPr>
            </w:pPr>
          </w:p>
        </w:tc>
        <w:tc>
          <w:tcPr>
            <w:tcW w:w="1596" w:type="dxa"/>
          </w:tcPr>
          <w:p w14:paraId="64F83B23" w14:textId="77777777" w:rsidR="0046798B" w:rsidRDefault="0046798B">
            <w:pPr>
              <w:pStyle w:val="TableParagraph"/>
              <w:rPr>
                <w:sz w:val="20"/>
              </w:rPr>
            </w:pPr>
          </w:p>
        </w:tc>
        <w:tc>
          <w:tcPr>
            <w:tcW w:w="1285" w:type="dxa"/>
          </w:tcPr>
          <w:p w14:paraId="220191F9" w14:textId="77777777" w:rsidR="0046798B" w:rsidRDefault="0046798B">
            <w:pPr>
              <w:pStyle w:val="TableParagraph"/>
              <w:rPr>
                <w:sz w:val="20"/>
              </w:rPr>
            </w:pPr>
          </w:p>
        </w:tc>
        <w:tc>
          <w:tcPr>
            <w:tcW w:w="3421" w:type="dxa"/>
          </w:tcPr>
          <w:p w14:paraId="3149B248" w14:textId="77777777" w:rsidR="0046798B" w:rsidRDefault="0046798B">
            <w:pPr>
              <w:pStyle w:val="TableParagraph"/>
              <w:rPr>
                <w:sz w:val="20"/>
              </w:rPr>
            </w:pPr>
          </w:p>
        </w:tc>
        <w:tc>
          <w:tcPr>
            <w:tcW w:w="6482" w:type="dxa"/>
          </w:tcPr>
          <w:p w14:paraId="7349502A" w14:textId="77777777" w:rsidR="0046798B" w:rsidRDefault="00903B5C">
            <w:pPr>
              <w:pStyle w:val="TableParagraph"/>
              <w:spacing w:before="43"/>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0525D2B6" w14:textId="77777777">
        <w:trPr>
          <w:trHeight w:val="2156"/>
        </w:trPr>
        <w:tc>
          <w:tcPr>
            <w:tcW w:w="1711" w:type="dxa"/>
          </w:tcPr>
          <w:p w14:paraId="23330BFF" w14:textId="77777777" w:rsidR="0046798B" w:rsidRDefault="0046798B">
            <w:pPr>
              <w:pStyle w:val="TableParagraph"/>
            </w:pPr>
          </w:p>
          <w:p w14:paraId="785FEF54" w14:textId="77777777" w:rsidR="0046798B" w:rsidRDefault="0046798B">
            <w:pPr>
              <w:pStyle w:val="TableParagraph"/>
            </w:pPr>
          </w:p>
          <w:p w14:paraId="136D647A" w14:textId="77777777" w:rsidR="0046798B" w:rsidRDefault="0046798B">
            <w:pPr>
              <w:pStyle w:val="TableParagraph"/>
            </w:pPr>
          </w:p>
          <w:p w14:paraId="66B452A4" w14:textId="77777777" w:rsidR="0046798B" w:rsidRDefault="0046798B">
            <w:pPr>
              <w:pStyle w:val="TableParagraph"/>
              <w:spacing w:before="9"/>
              <w:rPr>
                <w:sz w:val="17"/>
              </w:rPr>
            </w:pPr>
          </w:p>
          <w:p w14:paraId="2ED351DE" w14:textId="77777777" w:rsidR="0046798B" w:rsidRDefault="00903B5C">
            <w:pPr>
              <w:pStyle w:val="TableParagraph"/>
              <w:ind w:left="115"/>
              <w:rPr>
                <w:b/>
                <w:sz w:val="20"/>
              </w:rPr>
            </w:pPr>
            <w:r>
              <w:rPr>
                <w:b/>
                <w:sz w:val="20"/>
              </w:rPr>
              <w:t>helmetlaw_learn</w:t>
            </w:r>
          </w:p>
        </w:tc>
        <w:tc>
          <w:tcPr>
            <w:tcW w:w="1596" w:type="dxa"/>
          </w:tcPr>
          <w:p w14:paraId="7BF887E3" w14:textId="77777777" w:rsidR="0046798B" w:rsidRDefault="00903B5C">
            <w:pPr>
              <w:pStyle w:val="TableParagraph"/>
              <w:spacing w:before="158"/>
              <w:ind w:left="114" w:right="144"/>
              <w:rPr>
                <w:sz w:val="20"/>
              </w:rPr>
            </w:pPr>
            <w:r>
              <w:rPr>
                <w:sz w:val="20"/>
              </w:rPr>
              <w:t>Those with instructional permits or licenses less than 1 year old required to wear helmet on motorcycle</w:t>
            </w:r>
          </w:p>
        </w:tc>
        <w:tc>
          <w:tcPr>
            <w:tcW w:w="1285" w:type="dxa"/>
          </w:tcPr>
          <w:p w14:paraId="0882124B" w14:textId="77777777" w:rsidR="0046798B" w:rsidRDefault="0046798B">
            <w:pPr>
              <w:pStyle w:val="TableParagraph"/>
            </w:pPr>
          </w:p>
          <w:p w14:paraId="0104806C" w14:textId="77777777" w:rsidR="0046798B" w:rsidRDefault="0046798B">
            <w:pPr>
              <w:pStyle w:val="TableParagraph"/>
            </w:pPr>
          </w:p>
          <w:p w14:paraId="24BF530D" w14:textId="77777777" w:rsidR="0046798B" w:rsidRDefault="0046798B">
            <w:pPr>
              <w:pStyle w:val="TableParagraph"/>
            </w:pPr>
          </w:p>
          <w:p w14:paraId="5AE1ECD1" w14:textId="77777777" w:rsidR="0046798B" w:rsidRDefault="0046798B">
            <w:pPr>
              <w:pStyle w:val="TableParagraph"/>
              <w:spacing w:before="9"/>
              <w:rPr>
                <w:sz w:val="17"/>
              </w:rPr>
            </w:pPr>
          </w:p>
          <w:p w14:paraId="28470420" w14:textId="77777777" w:rsidR="0046798B" w:rsidRDefault="00903B5C">
            <w:pPr>
              <w:pStyle w:val="TableParagraph"/>
              <w:ind w:left="114"/>
              <w:rPr>
                <w:sz w:val="20"/>
              </w:rPr>
            </w:pPr>
            <w:r>
              <w:rPr>
                <w:sz w:val="20"/>
              </w:rPr>
              <w:t>1980–2006</w:t>
            </w:r>
          </w:p>
        </w:tc>
        <w:tc>
          <w:tcPr>
            <w:tcW w:w="3421" w:type="dxa"/>
          </w:tcPr>
          <w:p w14:paraId="47761AE3" w14:textId="77777777" w:rsidR="0046798B" w:rsidRDefault="0046798B">
            <w:pPr>
              <w:pStyle w:val="TableParagraph"/>
            </w:pPr>
          </w:p>
          <w:p w14:paraId="18F25973" w14:textId="77777777" w:rsidR="0046798B" w:rsidRDefault="0046798B">
            <w:pPr>
              <w:pStyle w:val="TableParagraph"/>
            </w:pPr>
          </w:p>
          <w:p w14:paraId="245E423B" w14:textId="77777777" w:rsidR="0046798B" w:rsidRDefault="0046798B">
            <w:pPr>
              <w:pStyle w:val="TableParagraph"/>
              <w:spacing w:before="9"/>
              <w:rPr>
                <w:sz w:val="29"/>
              </w:rPr>
            </w:pPr>
          </w:p>
          <w:p w14:paraId="4F1FA6C7" w14:textId="77777777" w:rsidR="0046798B" w:rsidRDefault="00903B5C">
            <w:pPr>
              <w:pStyle w:val="TableParagraph"/>
              <w:ind w:left="114" w:right="1475"/>
              <w:rPr>
                <w:sz w:val="20"/>
              </w:rPr>
            </w:pPr>
            <w:r>
              <w:rPr>
                <w:sz w:val="20"/>
              </w:rPr>
              <w:t>0 = policy not adopted 1 = policy adopted</w:t>
            </w:r>
          </w:p>
        </w:tc>
        <w:tc>
          <w:tcPr>
            <w:tcW w:w="6482" w:type="dxa"/>
          </w:tcPr>
          <w:p w14:paraId="0C4DF5DD" w14:textId="77777777" w:rsidR="0046798B" w:rsidRDefault="00903B5C">
            <w:pPr>
              <w:pStyle w:val="TableParagraph"/>
              <w:spacing w:before="43"/>
              <w:ind w:left="114" w:right="467"/>
              <w:rPr>
                <w:sz w:val="20"/>
              </w:rPr>
            </w:pPr>
            <w:r>
              <w:rPr>
                <w:sz w:val="20"/>
              </w:rPr>
              <w:t>Silver, Diana, and Macinko, James. State Health Policy Research Dataset (SHEPRD): 1980-2010. Ann Arbor, MI: Inter-university Consortium for Political and Social Research [distributor], 2014-09-24. https://doi.org/10.3886/ICPSR34789.v3</w:t>
            </w:r>
          </w:p>
          <w:p w14:paraId="25DDE366" w14:textId="77777777" w:rsidR="0046798B" w:rsidRDefault="0046798B">
            <w:pPr>
              <w:pStyle w:val="TableParagraph"/>
              <w:rPr>
                <w:sz w:val="20"/>
              </w:rPr>
            </w:pPr>
          </w:p>
          <w:p w14:paraId="4C6977CD"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633BF550" w14:textId="77777777">
        <w:trPr>
          <w:trHeight w:val="2160"/>
        </w:trPr>
        <w:tc>
          <w:tcPr>
            <w:tcW w:w="1711" w:type="dxa"/>
          </w:tcPr>
          <w:p w14:paraId="17113E6D" w14:textId="77777777" w:rsidR="0046798B" w:rsidRDefault="0046798B">
            <w:pPr>
              <w:pStyle w:val="TableParagraph"/>
            </w:pPr>
          </w:p>
          <w:p w14:paraId="0B9498D1" w14:textId="77777777" w:rsidR="0046798B" w:rsidRDefault="0046798B">
            <w:pPr>
              <w:pStyle w:val="TableParagraph"/>
            </w:pPr>
          </w:p>
          <w:p w14:paraId="5EB74CC3" w14:textId="77777777" w:rsidR="0046798B" w:rsidRDefault="0046798B">
            <w:pPr>
              <w:pStyle w:val="TableParagraph"/>
            </w:pPr>
          </w:p>
          <w:p w14:paraId="3908AF94" w14:textId="77777777" w:rsidR="0046798B" w:rsidRDefault="0046798B">
            <w:pPr>
              <w:pStyle w:val="TableParagraph"/>
              <w:spacing w:before="9"/>
              <w:rPr>
                <w:sz w:val="17"/>
              </w:rPr>
            </w:pPr>
          </w:p>
          <w:p w14:paraId="1D449955" w14:textId="77777777" w:rsidR="0046798B" w:rsidRDefault="00903B5C">
            <w:pPr>
              <w:pStyle w:val="TableParagraph"/>
              <w:ind w:left="115"/>
              <w:rPr>
                <w:b/>
                <w:sz w:val="20"/>
              </w:rPr>
            </w:pPr>
            <w:r>
              <w:rPr>
                <w:b/>
                <w:sz w:val="20"/>
              </w:rPr>
              <w:t>helmetlaw_pass</w:t>
            </w:r>
          </w:p>
        </w:tc>
        <w:tc>
          <w:tcPr>
            <w:tcW w:w="1596" w:type="dxa"/>
          </w:tcPr>
          <w:p w14:paraId="6BBB202D" w14:textId="77777777" w:rsidR="0046798B" w:rsidRDefault="0046798B">
            <w:pPr>
              <w:pStyle w:val="TableParagraph"/>
            </w:pPr>
          </w:p>
          <w:p w14:paraId="04CE5770" w14:textId="77777777" w:rsidR="0046798B" w:rsidRDefault="0046798B">
            <w:pPr>
              <w:pStyle w:val="TableParagraph"/>
            </w:pPr>
          </w:p>
          <w:p w14:paraId="7AFD052D" w14:textId="77777777" w:rsidR="0046798B" w:rsidRDefault="0046798B">
            <w:pPr>
              <w:pStyle w:val="TableParagraph"/>
              <w:spacing w:before="9"/>
              <w:rPr>
                <w:sz w:val="19"/>
              </w:rPr>
            </w:pPr>
          </w:p>
          <w:p w14:paraId="57BC96F7" w14:textId="77777777" w:rsidR="0046798B" w:rsidRDefault="00903B5C">
            <w:pPr>
              <w:pStyle w:val="TableParagraph"/>
              <w:ind w:left="114" w:right="147"/>
              <w:rPr>
                <w:sz w:val="20"/>
              </w:rPr>
            </w:pPr>
            <w:r>
              <w:rPr>
                <w:sz w:val="20"/>
              </w:rPr>
              <w:t>Helmet required for motorcycle passenger</w:t>
            </w:r>
          </w:p>
        </w:tc>
        <w:tc>
          <w:tcPr>
            <w:tcW w:w="1285" w:type="dxa"/>
          </w:tcPr>
          <w:p w14:paraId="78F8793D" w14:textId="77777777" w:rsidR="0046798B" w:rsidRDefault="0046798B">
            <w:pPr>
              <w:pStyle w:val="TableParagraph"/>
            </w:pPr>
          </w:p>
          <w:p w14:paraId="6F500E7F" w14:textId="77777777" w:rsidR="0046798B" w:rsidRDefault="0046798B">
            <w:pPr>
              <w:pStyle w:val="TableParagraph"/>
            </w:pPr>
          </w:p>
          <w:p w14:paraId="6D49095B" w14:textId="77777777" w:rsidR="0046798B" w:rsidRDefault="0046798B">
            <w:pPr>
              <w:pStyle w:val="TableParagraph"/>
            </w:pPr>
          </w:p>
          <w:p w14:paraId="25F8E591" w14:textId="77777777" w:rsidR="0046798B" w:rsidRDefault="0046798B">
            <w:pPr>
              <w:pStyle w:val="TableParagraph"/>
              <w:spacing w:before="9"/>
              <w:rPr>
                <w:sz w:val="17"/>
              </w:rPr>
            </w:pPr>
          </w:p>
          <w:p w14:paraId="588BA8BE" w14:textId="77777777" w:rsidR="0046798B" w:rsidRDefault="00903B5C">
            <w:pPr>
              <w:pStyle w:val="TableParagraph"/>
              <w:ind w:left="114"/>
              <w:rPr>
                <w:sz w:val="20"/>
              </w:rPr>
            </w:pPr>
            <w:r>
              <w:rPr>
                <w:sz w:val="20"/>
              </w:rPr>
              <w:t>1980–2007</w:t>
            </w:r>
          </w:p>
        </w:tc>
        <w:tc>
          <w:tcPr>
            <w:tcW w:w="3421" w:type="dxa"/>
          </w:tcPr>
          <w:p w14:paraId="00D55C4A" w14:textId="77777777" w:rsidR="0046798B" w:rsidRDefault="0046798B">
            <w:pPr>
              <w:pStyle w:val="TableParagraph"/>
            </w:pPr>
          </w:p>
          <w:p w14:paraId="14423F81" w14:textId="77777777" w:rsidR="0046798B" w:rsidRDefault="0046798B">
            <w:pPr>
              <w:pStyle w:val="TableParagraph"/>
            </w:pPr>
          </w:p>
          <w:p w14:paraId="4C8AE951" w14:textId="77777777" w:rsidR="0046798B" w:rsidRDefault="0046798B">
            <w:pPr>
              <w:pStyle w:val="TableParagraph"/>
              <w:spacing w:before="9"/>
              <w:rPr>
                <w:sz w:val="29"/>
              </w:rPr>
            </w:pPr>
          </w:p>
          <w:p w14:paraId="0825A946" w14:textId="77777777" w:rsidR="0046798B" w:rsidRDefault="00903B5C">
            <w:pPr>
              <w:pStyle w:val="TableParagraph"/>
              <w:ind w:left="114" w:right="1475"/>
              <w:rPr>
                <w:sz w:val="20"/>
              </w:rPr>
            </w:pPr>
            <w:r>
              <w:rPr>
                <w:sz w:val="20"/>
              </w:rPr>
              <w:t>0 = policy not adopted 1 = policy adopted</w:t>
            </w:r>
          </w:p>
        </w:tc>
        <w:tc>
          <w:tcPr>
            <w:tcW w:w="6482" w:type="dxa"/>
          </w:tcPr>
          <w:p w14:paraId="27DBA052" w14:textId="77777777" w:rsidR="0046798B" w:rsidRDefault="00903B5C">
            <w:pPr>
              <w:pStyle w:val="TableParagraph"/>
              <w:spacing w:before="43"/>
              <w:ind w:left="114" w:right="467"/>
              <w:rPr>
                <w:sz w:val="20"/>
              </w:rPr>
            </w:pPr>
            <w:r>
              <w:rPr>
                <w:sz w:val="20"/>
              </w:rPr>
              <w:t>Silver, Diana, and Macinko, James. State Health Policy Research Dataset (SHEPRD): 1980-2010. Ann Arbor, MI: Inter-university Consortium for Political and Social Research [distributor], 2014-09-24. https://doi.org/10.3886/ICPSR34789.v3</w:t>
            </w:r>
          </w:p>
          <w:p w14:paraId="2FA244FA" w14:textId="77777777" w:rsidR="0046798B" w:rsidRDefault="0046798B">
            <w:pPr>
              <w:pStyle w:val="TableParagraph"/>
              <w:rPr>
                <w:sz w:val="20"/>
              </w:rPr>
            </w:pPr>
          </w:p>
          <w:p w14:paraId="7F3D06D4"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71289566" w14:textId="77777777">
        <w:trPr>
          <w:trHeight w:val="2155"/>
        </w:trPr>
        <w:tc>
          <w:tcPr>
            <w:tcW w:w="1711" w:type="dxa"/>
          </w:tcPr>
          <w:p w14:paraId="0E3EF979" w14:textId="77777777" w:rsidR="0046798B" w:rsidRDefault="0046798B">
            <w:pPr>
              <w:pStyle w:val="TableParagraph"/>
            </w:pPr>
          </w:p>
          <w:p w14:paraId="20F550A7" w14:textId="77777777" w:rsidR="0046798B" w:rsidRDefault="0046798B">
            <w:pPr>
              <w:pStyle w:val="TableParagraph"/>
            </w:pPr>
          </w:p>
          <w:p w14:paraId="7E23EB42" w14:textId="77777777" w:rsidR="0046798B" w:rsidRDefault="0046798B">
            <w:pPr>
              <w:pStyle w:val="TableParagraph"/>
            </w:pPr>
          </w:p>
          <w:p w14:paraId="430545F4" w14:textId="77777777" w:rsidR="0046798B" w:rsidRDefault="0046798B">
            <w:pPr>
              <w:pStyle w:val="TableParagraph"/>
              <w:spacing w:before="3"/>
              <w:rPr>
                <w:sz w:val="17"/>
              </w:rPr>
            </w:pPr>
          </w:p>
          <w:p w14:paraId="3C596899" w14:textId="77777777" w:rsidR="0046798B" w:rsidRDefault="00903B5C">
            <w:pPr>
              <w:pStyle w:val="TableParagraph"/>
              <w:spacing w:before="1"/>
              <w:ind w:left="115"/>
              <w:rPr>
                <w:b/>
                <w:sz w:val="20"/>
              </w:rPr>
            </w:pPr>
            <w:r>
              <w:rPr>
                <w:b/>
                <w:sz w:val="20"/>
              </w:rPr>
              <w:t>opencont</w:t>
            </w:r>
          </w:p>
        </w:tc>
        <w:tc>
          <w:tcPr>
            <w:tcW w:w="1596" w:type="dxa"/>
          </w:tcPr>
          <w:p w14:paraId="4D0E8FF2" w14:textId="77777777" w:rsidR="0046798B" w:rsidRDefault="0046798B">
            <w:pPr>
              <w:pStyle w:val="TableParagraph"/>
            </w:pPr>
          </w:p>
          <w:p w14:paraId="42B51300" w14:textId="77777777" w:rsidR="0046798B" w:rsidRDefault="0046798B">
            <w:pPr>
              <w:pStyle w:val="TableParagraph"/>
              <w:spacing w:before="3"/>
              <w:rPr>
                <w:sz w:val="31"/>
              </w:rPr>
            </w:pPr>
          </w:p>
          <w:p w14:paraId="37A6C9E8" w14:textId="77777777" w:rsidR="0046798B" w:rsidRDefault="00903B5C">
            <w:pPr>
              <w:pStyle w:val="TableParagraph"/>
              <w:spacing w:before="1"/>
              <w:ind w:left="114" w:right="290"/>
              <w:rPr>
                <w:sz w:val="20"/>
              </w:rPr>
            </w:pPr>
            <w:r>
              <w:rPr>
                <w:sz w:val="20"/>
              </w:rPr>
              <w:t>Prohibits open alcoholic containers in vehicles</w:t>
            </w:r>
          </w:p>
        </w:tc>
        <w:tc>
          <w:tcPr>
            <w:tcW w:w="1285" w:type="dxa"/>
          </w:tcPr>
          <w:p w14:paraId="149C9A22" w14:textId="77777777" w:rsidR="0046798B" w:rsidRDefault="0046798B">
            <w:pPr>
              <w:pStyle w:val="TableParagraph"/>
            </w:pPr>
          </w:p>
          <w:p w14:paraId="56D1BD74" w14:textId="77777777" w:rsidR="0046798B" w:rsidRDefault="0046798B">
            <w:pPr>
              <w:pStyle w:val="TableParagraph"/>
            </w:pPr>
          </w:p>
          <w:p w14:paraId="475DE055" w14:textId="77777777" w:rsidR="0046798B" w:rsidRDefault="0046798B">
            <w:pPr>
              <w:pStyle w:val="TableParagraph"/>
            </w:pPr>
          </w:p>
          <w:p w14:paraId="77740ADF" w14:textId="77777777" w:rsidR="0046798B" w:rsidRDefault="0046798B">
            <w:pPr>
              <w:pStyle w:val="TableParagraph"/>
              <w:spacing w:before="3"/>
              <w:rPr>
                <w:sz w:val="17"/>
              </w:rPr>
            </w:pPr>
          </w:p>
          <w:p w14:paraId="39D1FFBA" w14:textId="77777777" w:rsidR="0046798B" w:rsidRDefault="00903B5C">
            <w:pPr>
              <w:pStyle w:val="TableParagraph"/>
              <w:spacing w:before="1"/>
              <w:ind w:left="114"/>
              <w:rPr>
                <w:sz w:val="20"/>
              </w:rPr>
            </w:pPr>
            <w:r>
              <w:rPr>
                <w:sz w:val="20"/>
              </w:rPr>
              <w:t>1980–2006</w:t>
            </w:r>
          </w:p>
        </w:tc>
        <w:tc>
          <w:tcPr>
            <w:tcW w:w="3421" w:type="dxa"/>
          </w:tcPr>
          <w:p w14:paraId="484C6001" w14:textId="77777777" w:rsidR="0046798B" w:rsidRDefault="0046798B">
            <w:pPr>
              <w:pStyle w:val="TableParagraph"/>
            </w:pPr>
          </w:p>
          <w:p w14:paraId="350BF39C" w14:textId="77777777" w:rsidR="0046798B" w:rsidRDefault="0046798B">
            <w:pPr>
              <w:pStyle w:val="TableParagraph"/>
            </w:pPr>
          </w:p>
          <w:p w14:paraId="268D7B12" w14:textId="77777777" w:rsidR="0046798B" w:rsidRDefault="0046798B">
            <w:pPr>
              <w:pStyle w:val="TableParagraph"/>
              <w:spacing w:before="3"/>
              <w:rPr>
                <w:sz w:val="29"/>
              </w:rPr>
            </w:pPr>
          </w:p>
          <w:p w14:paraId="1CB71B63"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37A26122" w14:textId="77777777" w:rsidR="0046798B" w:rsidRDefault="00903B5C">
            <w:pPr>
              <w:pStyle w:val="TableParagraph"/>
              <w:spacing w:before="38"/>
              <w:ind w:left="114" w:right="467"/>
              <w:rPr>
                <w:sz w:val="20"/>
              </w:rPr>
            </w:pPr>
            <w:r>
              <w:rPr>
                <w:sz w:val="20"/>
              </w:rPr>
              <w:t>Silver, Diana, and Macinko, James. State Health Policy Research Dataset (SHEPRD): 1980-2010. Ann Arbor, MI: Inter-university Consortium for Political and Social Research [distributor], 2014-09-24. https://doi.org/10.3886/ICPSR34789.v3</w:t>
            </w:r>
          </w:p>
          <w:p w14:paraId="6B7529B8" w14:textId="77777777" w:rsidR="0046798B" w:rsidRDefault="0046798B">
            <w:pPr>
              <w:pStyle w:val="TableParagraph"/>
              <w:rPr>
                <w:sz w:val="20"/>
              </w:rPr>
            </w:pPr>
          </w:p>
          <w:p w14:paraId="08CE65EB"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DC59027" w14:textId="77777777">
        <w:trPr>
          <w:trHeight w:val="1695"/>
        </w:trPr>
        <w:tc>
          <w:tcPr>
            <w:tcW w:w="1711" w:type="dxa"/>
          </w:tcPr>
          <w:p w14:paraId="3CF870A0" w14:textId="77777777" w:rsidR="0046798B" w:rsidRDefault="0046798B">
            <w:pPr>
              <w:pStyle w:val="TableParagraph"/>
            </w:pPr>
          </w:p>
          <w:p w14:paraId="22058CA8" w14:textId="77777777" w:rsidR="0046798B" w:rsidRDefault="0046798B">
            <w:pPr>
              <w:pStyle w:val="TableParagraph"/>
              <w:spacing w:before="4"/>
              <w:rPr>
                <w:sz w:val="31"/>
              </w:rPr>
            </w:pPr>
          </w:p>
          <w:p w14:paraId="49F1DD66" w14:textId="77777777" w:rsidR="0046798B" w:rsidRDefault="00903B5C">
            <w:pPr>
              <w:pStyle w:val="TableParagraph"/>
              <w:ind w:left="115" w:right="122"/>
              <w:rPr>
                <w:b/>
                <w:sz w:val="20"/>
              </w:rPr>
            </w:pPr>
            <w:r>
              <w:rPr>
                <w:b/>
                <w:sz w:val="20"/>
              </w:rPr>
              <w:t>primaryenforce_ all</w:t>
            </w:r>
          </w:p>
        </w:tc>
        <w:tc>
          <w:tcPr>
            <w:tcW w:w="1596" w:type="dxa"/>
          </w:tcPr>
          <w:p w14:paraId="5EC7801F" w14:textId="77777777" w:rsidR="0046798B" w:rsidRDefault="0046798B">
            <w:pPr>
              <w:pStyle w:val="TableParagraph"/>
            </w:pPr>
          </w:p>
          <w:p w14:paraId="268B1EF2" w14:textId="77777777" w:rsidR="0046798B" w:rsidRDefault="00903B5C">
            <w:pPr>
              <w:pStyle w:val="TableParagraph"/>
              <w:spacing w:before="130"/>
              <w:ind w:left="114" w:right="213"/>
              <w:jc w:val="both"/>
              <w:rPr>
                <w:sz w:val="20"/>
              </w:rPr>
            </w:pPr>
            <w:r>
              <w:rPr>
                <w:sz w:val="20"/>
              </w:rPr>
              <w:t>Police may pull over drivers for driving without seatbelt</w:t>
            </w:r>
          </w:p>
        </w:tc>
        <w:tc>
          <w:tcPr>
            <w:tcW w:w="1285" w:type="dxa"/>
          </w:tcPr>
          <w:p w14:paraId="422F0327" w14:textId="77777777" w:rsidR="0046798B" w:rsidRDefault="0046798B">
            <w:pPr>
              <w:pStyle w:val="TableParagraph"/>
            </w:pPr>
          </w:p>
          <w:p w14:paraId="2098D5D2" w14:textId="77777777" w:rsidR="0046798B" w:rsidRDefault="0046798B">
            <w:pPr>
              <w:pStyle w:val="TableParagraph"/>
            </w:pPr>
          </w:p>
          <w:p w14:paraId="224FAD49" w14:textId="77777777" w:rsidR="0046798B" w:rsidRDefault="0046798B">
            <w:pPr>
              <w:pStyle w:val="TableParagraph"/>
              <w:spacing w:before="4"/>
              <w:rPr>
                <w:sz w:val="19"/>
              </w:rPr>
            </w:pPr>
          </w:p>
          <w:p w14:paraId="65B794BF" w14:textId="77777777" w:rsidR="0046798B" w:rsidRDefault="00903B5C">
            <w:pPr>
              <w:pStyle w:val="TableParagraph"/>
              <w:ind w:left="114"/>
              <w:rPr>
                <w:sz w:val="20"/>
              </w:rPr>
            </w:pPr>
            <w:r>
              <w:rPr>
                <w:sz w:val="20"/>
              </w:rPr>
              <w:t>1985–2010</w:t>
            </w:r>
          </w:p>
        </w:tc>
        <w:tc>
          <w:tcPr>
            <w:tcW w:w="3421" w:type="dxa"/>
          </w:tcPr>
          <w:p w14:paraId="4ED24B50" w14:textId="77777777" w:rsidR="0046798B" w:rsidRDefault="0046798B">
            <w:pPr>
              <w:pStyle w:val="TableParagraph"/>
            </w:pPr>
          </w:p>
          <w:p w14:paraId="74A0136D" w14:textId="77777777" w:rsidR="0046798B" w:rsidRDefault="0046798B">
            <w:pPr>
              <w:pStyle w:val="TableParagraph"/>
              <w:spacing w:before="4"/>
              <w:rPr>
                <w:sz w:val="31"/>
              </w:rPr>
            </w:pPr>
          </w:p>
          <w:p w14:paraId="3C1634DC" w14:textId="77777777" w:rsidR="0046798B" w:rsidRDefault="00903B5C">
            <w:pPr>
              <w:pStyle w:val="TableParagraph"/>
              <w:ind w:left="114" w:right="1475"/>
              <w:rPr>
                <w:sz w:val="20"/>
              </w:rPr>
            </w:pPr>
            <w:r>
              <w:rPr>
                <w:sz w:val="20"/>
              </w:rPr>
              <w:t>0 = policy not adopted 1 = policy adopted</w:t>
            </w:r>
          </w:p>
        </w:tc>
        <w:tc>
          <w:tcPr>
            <w:tcW w:w="6482" w:type="dxa"/>
          </w:tcPr>
          <w:p w14:paraId="3AF6A3EE" w14:textId="77777777" w:rsidR="0046798B" w:rsidRDefault="00903B5C">
            <w:pPr>
              <w:pStyle w:val="TableParagraph"/>
              <w:spacing w:before="38"/>
              <w:ind w:left="114" w:right="467"/>
              <w:rPr>
                <w:sz w:val="20"/>
              </w:rPr>
            </w:pPr>
            <w:r>
              <w:rPr>
                <w:sz w:val="20"/>
              </w:rPr>
              <w:t>Silver, Diana, and Macinko, James. State Health Policy Research Dataset (SHEPRD): 1980-2010. Ann Arbor, MI: Inter-university Consortium for Political and Social Research [distributor], 2014-09-24. https://doi.org/10.3886/ICPSR34789.v3</w:t>
            </w:r>
          </w:p>
          <w:p w14:paraId="22FBAA4B" w14:textId="77777777" w:rsidR="0046798B" w:rsidRDefault="0046798B">
            <w:pPr>
              <w:pStyle w:val="TableParagraph"/>
              <w:rPr>
                <w:sz w:val="20"/>
              </w:rPr>
            </w:pPr>
          </w:p>
          <w:p w14:paraId="2BC0C801"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w:t>
            </w:r>
          </w:p>
        </w:tc>
      </w:tr>
    </w:tbl>
    <w:p w14:paraId="3F37EE14" w14:textId="77777777" w:rsidR="0046798B" w:rsidRDefault="0046798B">
      <w:pPr>
        <w:rPr>
          <w:sz w:val="20"/>
        </w:rPr>
        <w:sectPr w:rsidR="0046798B">
          <w:pgSz w:w="15840" w:h="12240" w:orient="landscape"/>
          <w:pgMar w:top="1220" w:right="300" w:bottom="980" w:left="820" w:header="730" w:footer="787" w:gutter="0"/>
          <w:cols w:space="720"/>
        </w:sectPr>
      </w:pPr>
    </w:p>
    <w:p w14:paraId="5FB53ACC"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26DD4807" w14:textId="77777777">
        <w:trPr>
          <w:trHeight w:val="542"/>
        </w:trPr>
        <w:tc>
          <w:tcPr>
            <w:tcW w:w="1711" w:type="dxa"/>
            <w:tcBorders>
              <w:bottom w:val="dotted" w:sz="6" w:space="0" w:color="BEBEBE"/>
            </w:tcBorders>
          </w:tcPr>
          <w:p w14:paraId="469D9387" w14:textId="77777777" w:rsidR="0046798B" w:rsidRDefault="0046798B">
            <w:pPr>
              <w:pStyle w:val="TableParagraph"/>
              <w:rPr>
                <w:sz w:val="20"/>
              </w:rPr>
            </w:pPr>
          </w:p>
        </w:tc>
        <w:tc>
          <w:tcPr>
            <w:tcW w:w="1596" w:type="dxa"/>
            <w:tcBorders>
              <w:bottom w:val="dotted" w:sz="6" w:space="0" w:color="BEBEBE"/>
            </w:tcBorders>
          </w:tcPr>
          <w:p w14:paraId="26317FB5" w14:textId="77777777" w:rsidR="0046798B" w:rsidRDefault="0046798B">
            <w:pPr>
              <w:pStyle w:val="TableParagraph"/>
              <w:rPr>
                <w:sz w:val="20"/>
              </w:rPr>
            </w:pPr>
          </w:p>
        </w:tc>
        <w:tc>
          <w:tcPr>
            <w:tcW w:w="1285" w:type="dxa"/>
            <w:tcBorders>
              <w:bottom w:val="dotted" w:sz="6" w:space="0" w:color="BEBEBE"/>
            </w:tcBorders>
          </w:tcPr>
          <w:p w14:paraId="53FCF82D" w14:textId="77777777" w:rsidR="0046798B" w:rsidRDefault="0046798B">
            <w:pPr>
              <w:pStyle w:val="TableParagraph"/>
              <w:rPr>
                <w:sz w:val="20"/>
              </w:rPr>
            </w:pPr>
          </w:p>
        </w:tc>
        <w:tc>
          <w:tcPr>
            <w:tcW w:w="3421" w:type="dxa"/>
            <w:tcBorders>
              <w:bottom w:val="dotted" w:sz="6" w:space="0" w:color="BEBEBE"/>
            </w:tcBorders>
          </w:tcPr>
          <w:p w14:paraId="2AC9C3BF" w14:textId="77777777" w:rsidR="0046798B" w:rsidRDefault="0046798B">
            <w:pPr>
              <w:pStyle w:val="TableParagraph"/>
              <w:rPr>
                <w:sz w:val="20"/>
              </w:rPr>
            </w:pPr>
          </w:p>
        </w:tc>
        <w:tc>
          <w:tcPr>
            <w:tcW w:w="6482" w:type="dxa"/>
            <w:tcBorders>
              <w:bottom w:val="dotted" w:sz="6" w:space="0" w:color="BEBEBE"/>
            </w:tcBorders>
          </w:tcPr>
          <w:p w14:paraId="1967315C" w14:textId="77777777" w:rsidR="0046798B" w:rsidRDefault="00903B5C">
            <w:pPr>
              <w:pStyle w:val="TableParagraph"/>
              <w:spacing w:before="43"/>
              <w:ind w:left="114" w:right="2377"/>
              <w:rPr>
                <w:sz w:val="20"/>
              </w:rPr>
            </w:pPr>
            <w:r>
              <w:rPr>
                <w:sz w:val="20"/>
              </w:rPr>
              <w:t>Innovation and Diffusion (SPID) Database v1.0”, https://doi.org/10.7910/DVN/CVYSR7</w:t>
            </w:r>
          </w:p>
        </w:tc>
      </w:tr>
      <w:tr w:rsidR="0046798B" w14:paraId="4B9F652D" w14:textId="77777777">
        <w:trPr>
          <w:trHeight w:val="2153"/>
        </w:trPr>
        <w:tc>
          <w:tcPr>
            <w:tcW w:w="1711" w:type="dxa"/>
            <w:tcBorders>
              <w:top w:val="dotted" w:sz="6" w:space="0" w:color="BEBEBE"/>
            </w:tcBorders>
          </w:tcPr>
          <w:p w14:paraId="1220F176" w14:textId="77777777" w:rsidR="0046798B" w:rsidRDefault="0046798B">
            <w:pPr>
              <w:pStyle w:val="TableParagraph"/>
            </w:pPr>
          </w:p>
          <w:p w14:paraId="14DC0932" w14:textId="77777777" w:rsidR="0046798B" w:rsidRDefault="0046798B">
            <w:pPr>
              <w:pStyle w:val="TableParagraph"/>
            </w:pPr>
          </w:p>
          <w:p w14:paraId="58598806" w14:textId="77777777" w:rsidR="0046798B" w:rsidRDefault="0046798B">
            <w:pPr>
              <w:pStyle w:val="TableParagraph"/>
              <w:spacing w:before="6"/>
              <w:rPr>
                <w:sz w:val="29"/>
              </w:rPr>
            </w:pPr>
          </w:p>
          <w:p w14:paraId="7DC4253E" w14:textId="77777777" w:rsidR="0046798B" w:rsidRDefault="00903B5C">
            <w:pPr>
              <w:pStyle w:val="TableParagraph"/>
              <w:ind w:left="115" w:right="122"/>
              <w:rPr>
                <w:b/>
                <w:sz w:val="20"/>
              </w:rPr>
            </w:pPr>
            <w:r>
              <w:rPr>
                <w:b/>
                <w:sz w:val="20"/>
              </w:rPr>
              <w:t>primaryenforce_ minor</w:t>
            </w:r>
          </w:p>
        </w:tc>
        <w:tc>
          <w:tcPr>
            <w:tcW w:w="1596" w:type="dxa"/>
            <w:tcBorders>
              <w:top w:val="dotted" w:sz="6" w:space="0" w:color="BEBEBE"/>
            </w:tcBorders>
          </w:tcPr>
          <w:p w14:paraId="68D5BE45" w14:textId="77777777" w:rsidR="0046798B" w:rsidRDefault="0046798B">
            <w:pPr>
              <w:pStyle w:val="TableParagraph"/>
            </w:pPr>
          </w:p>
          <w:p w14:paraId="6AF15BEB" w14:textId="77777777" w:rsidR="0046798B" w:rsidRDefault="0046798B">
            <w:pPr>
              <w:pStyle w:val="TableParagraph"/>
              <w:spacing w:before="6"/>
              <w:rPr>
                <w:sz w:val="31"/>
              </w:rPr>
            </w:pPr>
          </w:p>
          <w:p w14:paraId="48603411" w14:textId="77777777" w:rsidR="0046798B" w:rsidRDefault="00903B5C">
            <w:pPr>
              <w:pStyle w:val="TableParagraph"/>
              <w:ind w:left="114" w:right="180"/>
              <w:rPr>
                <w:sz w:val="20"/>
              </w:rPr>
            </w:pPr>
            <w:r>
              <w:rPr>
                <w:sz w:val="20"/>
              </w:rPr>
              <w:t>Police may pull over drivers for minors riding without seatbelt</w:t>
            </w:r>
          </w:p>
        </w:tc>
        <w:tc>
          <w:tcPr>
            <w:tcW w:w="1285" w:type="dxa"/>
            <w:tcBorders>
              <w:top w:val="dotted" w:sz="6" w:space="0" w:color="BEBEBE"/>
            </w:tcBorders>
          </w:tcPr>
          <w:p w14:paraId="2DBA4705" w14:textId="77777777" w:rsidR="0046798B" w:rsidRDefault="0046798B">
            <w:pPr>
              <w:pStyle w:val="TableParagraph"/>
            </w:pPr>
          </w:p>
          <w:p w14:paraId="5E43524C" w14:textId="77777777" w:rsidR="0046798B" w:rsidRDefault="0046798B">
            <w:pPr>
              <w:pStyle w:val="TableParagraph"/>
            </w:pPr>
          </w:p>
          <w:p w14:paraId="57B91263" w14:textId="77777777" w:rsidR="0046798B" w:rsidRDefault="0046798B">
            <w:pPr>
              <w:pStyle w:val="TableParagraph"/>
            </w:pPr>
          </w:p>
          <w:p w14:paraId="72034591" w14:textId="77777777" w:rsidR="0046798B" w:rsidRDefault="0046798B">
            <w:pPr>
              <w:pStyle w:val="TableParagraph"/>
              <w:spacing w:before="6"/>
              <w:rPr>
                <w:sz w:val="17"/>
              </w:rPr>
            </w:pPr>
          </w:p>
          <w:p w14:paraId="0290B135" w14:textId="77777777" w:rsidR="0046798B" w:rsidRDefault="00903B5C">
            <w:pPr>
              <w:pStyle w:val="TableParagraph"/>
              <w:spacing w:before="1"/>
              <w:ind w:left="114"/>
              <w:rPr>
                <w:sz w:val="20"/>
              </w:rPr>
            </w:pPr>
            <w:r>
              <w:rPr>
                <w:sz w:val="20"/>
              </w:rPr>
              <w:t>1986–2007</w:t>
            </w:r>
          </w:p>
        </w:tc>
        <w:tc>
          <w:tcPr>
            <w:tcW w:w="3421" w:type="dxa"/>
            <w:tcBorders>
              <w:top w:val="dotted" w:sz="6" w:space="0" w:color="BEBEBE"/>
            </w:tcBorders>
          </w:tcPr>
          <w:p w14:paraId="03EAF687" w14:textId="77777777" w:rsidR="0046798B" w:rsidRDefault="0046798B">
            <w:pPr>
              <w:pStyle w:val="TableParagraph"/>
            </w:pPr>
          </w:p>
          <w:p w14:paraId="68005C54" w14:textId="77777777" w:rsidR="0046798B" w:rsidRDefault="0046798B">
            <w:pPr>
              <w:pStyle w:val="TableParagraph"/>
            </w:pPr>
          </w:p>
          <w:p w14:paraId="70E2F7B1" w14:textId="77777777" w:rsidR="0046798B" w:rsidRDefault="0046798B">
            <w:pPr>
              <w:pStyle w:val="TableParagraph"/>
              <w:spacing w:before="6"/>
              <w:rPr>
                <w:sz w:val="29"/>
              </w:rPr>
            </w:pPr>
          </w:p>
          <w:p w14:paraId="4E453584" w14:textId="77777777" w:rsidR="0046798B" w:rsidRDefault="00903B5C">
            <w:pPr>
              <w:pStyle w:val="TableParagraph"/>
              <w:ind w:left="114" w:right="1475"/>
              <w:rPr>
                <w:sz w:val="20"/>
              </w:rPr>
            </w:pPr>
            <w:r>
              <w:rPr>
                <w:sz w:val="20"/>
              </w:rPr>
              <w:t>0 = policy not adopted 1 = policy adopted</w:t>
            </w:r>
          </w:p>
        </w:tc>
        <w:tc>
          <w:tcPr>
            <w:tcW w:w="6482" w:type="dxa"/>
            <w:tcBorders>
              <w:top w:val="dotted" w:sz="6" w:space="0" w:color="BEBEBE"/>
            </w:tcBorders>
          </w:tcPr>
          <w:p w14:paraId="5022D84D" w14:textId="77777777" w:rsidR="0046798B" w:rsidRDefault="00903B5C">
            <w:pPr>
              <w:pStyle w:val="TableParagraph"/>
              <w:spacing w:before="40"/>
              <w:ind w:left="114" w:right="467"/>
              <w:rPr>
                <w:sz w:val="20"/>
              </w:rPr>
            </w:pPr>
            <w:r>
              <w:rPr>
                <w:sz w:val="20"/>
              </w:rPr>
              <w:t>Silver, Diana, and Macinko, James. State Health Policy Research Dataset (SHEPRD): 1980-2010. Ann Arbor, MI: Inter-university Consortium for Political and Social Research [distributor], 2014-09-24. https://doi.org/10.3886/ICPSR34789.v3</w:t>
            </w:r>
          </w:p>
          <w:p w14:paraId="63D0E986" w14:textId="77777777" w:rsidR="0046798B" w:rsidRDefault="0046798B">
            <w:pPr>
              <w:pStyle w:val="TableParagraph"/>
              <w:spacing w:before="1"/>
              <w:rPr>
                <w:sz w:val="20"/>
              </w:rPr>
            </w:pPr>
          </w:p>
          <w:p w14:paraId="609B9491"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60C203CA" w14:textId="77777777">
        <w:trPr>
          <w:trHeight w:val="2160"/>
        </w:trPr>
        <w:tc>
          <w:tcPr>
            <w:tcW w:w="1711" w:type="dxa"/>
          </w:tcPr>
          <w:p w14:paraId="3CF95BC5" w14:textId="77777777" w:rsidR="0046798B" w:rsidRDefault="0046798B">
            <w:pPr>
              <w:pStyle w:val="TableParagraph"/>
            </w:pPr>
          </w:p>
          <w:p w14:paraId="45426809" w14:textId="77777777" w:rsidR="0046798B" w:rsidRDefault="0046798B">
            <w:pPr>
              <w:pStyle w:val="TableParagraph"/>
            </w:pPr>
          </w:p>
          <w:p w14:paraId="1F9E0873" w14:textId="77777777" w:rsidR="0046798B" w:rsidRDefault="0046798B">
            <w:pPr>
              <w:pStyle w:val="TableParagraph"/>
              <w:spacing w:before="9"/>
              <w:rPr>
                <w:sz w:val="29"/>
              </w:rPr>
            </w:pPr>
          </w:p>
          <w:p w14:paraId="0CB6DBD4" w14:textId="77777777" w:rsidR="0046798B" w:rsidRDefault="00903B5C">
            <w:pPr>
              <w:pStyle w:val="TableParagraph"/>
              <w:ind w:left="115" w:right="144"/>
              <w:rPr>
                <w:b/>
                <w:sz w:val="20"/>
              </w:rPr>
            </w:pPr>
            <w:r>
              <w:rPr>
                <w:b/>
                <w:sz w:val="20"/>
              </w:rPr>
              <w:t>zerotoleranceapi s</w:t>
            </w:r>
          </w:p>
        </w:tc>
        <w:tc>
          <w:tcPr>
            <w:tcW w:w="1596" w:type="dxa"/>
          </w:tcPr>
          <w:p w14:paraId="5E1C0265" w14:textId="77777777" w:rsidR="0046798B" w:rsidRDefault="0046798B">
            <w:pPr>
              <w:pStyle w:val="TableParagraph"/>
            </w:pPr>
          </w:p>
          <w:p w14:paraId="7394C73D" w14:textId="77777777" w:rsidR="0046798B" w:rsidRDefault="0046798B">
            <w:pPr>
              <w:pStyle w:val="TableParagraph"/>
              <w:spacing w:before="9"/>
              <w:rPr>
                <w:sz w:val="21"/>
              </w:rPr>
            </w:pPr>
          </w:p>
          <w:p w14:paraId="2DAC543D" w14:textId="77777777" w:rsidR="0046798B" w:rsidRDefault="00903B5C">
            <w:pPr>
              <w:pStyle w:val="TableParagraph"/>
              <w:ind w:left="114" w:right="96"/>
              <w:rPr>
                <w:sz w:val="20"/>
              </w:rPr>
            </w:pPr>
            <w:r>
              <w:rPr>
                <w:sz w:val="20"/>
              </w:rPr>
              <w:t>Law that establishes legal BAC limit of .02 for underage drivers</w:t>
            </w:r>
          </w:p>
        </w:tc>
        <w:tc>
          <w:tcPr>
            <w:tcW w:w="1285" w:type="dxa"/>
          </w:tcPr>
          <w:p w14:paraId="47288359" w14:textId="77777777" w:rsidR="0046798B" w:rsidRDefault="0046798B">
            <w:pPr>
              <w:pStyle w:val="TableParagraph"/>
            </w:pPr>
          </w:p>
          <w:p w14:paraId="7843C957" w14:textId="77777777" w:rsidR="0046798B" w:rsidRDefault="0046798B">
            <w:pPr>
              <w:pStyle w:val="TableParagraph"/>
            </w:pPr>
          </w:p>
          <w:p w14:paraId="5B9010E8" w14:textId="77777777" w:rsidR="0046798B" w:rsidRDefault="0046798B">
            <w:pPr>
              <w:pStyle w:val="TableParagraph"/>
            </w:pPr>
          </w:p>
          <w:p w14:paraId="40E56953" w14:textId="77777777" w:rsidR="0046798B" w:rsidRDefault="0046798B">
            <w:pPr>
              <w:pStyle w:val="TableParagraph"/>
              <w:spacing w:before="9"/>
              <w:rPr>
                <w:sz w:val="17"/>
              </w:rPr>
            </w:pPr>
          </w:p>
          <w:p w14:paraId="3C067536" w14:textId="77777777" w:rsidR="0046798B" w:rsidRDefault="00903B5C">
            <w:pPr>
              <w:pStyle w:val="TableParagraph"/>
              <w:ind w:left="114"/>
              <w:rPr>
                <w:sz w:val="20"/>
              </w:rPr>
            </w:pPr>
            <w:r>
              <w:rPr>
                <w:sz w:val="20"/>
              </w:rPr>
              <w:t>1983–1998</w:t>
            </w:r>
          </w:p>
        </w:tc>
        <w:tc>
          <w:tcPr>
            <w:tcW w:w="3421" w:type="dxa"/>
          </w:tcPr>
          <w:p w14:paraId="5ECB6D36" w14:textId="77777777" w:rsidR="0046798B" w:rsidRDefault="0046798B">
            <w:pPr>
              <w:pStyle w:val="TableParagraph"/>
            </w:pPr>
          </w:p>
          <w:p w14:paraId="3D298D3B" w14:textId="77777777" w:rsidR="0046798B" w:rsidRDefault="0046798B">
            <w:pPr>
              <w:pStyle w:val="TableParagraph"/>
            </w:pPr>
          </w:p>
          <w:p w14:paraId="7E1BD763" w14:textId="77777777" w:rsidR="0046798B" w:rsidRDefault="0046798B">
            <w:pPr>
              <w:pStyle w:val="TableParagraph"/>
              <w:spacing w:before="9"/>
              <w:rPr>
                <w:sz w:val="29"/>
              </w:rPr>
            </w:pPr>
          </w:p>
          <w:p w14:paraId="0D22F1B2" w14:textId="77777777" w:rsidR="0046798B" w:rsidRDefault="00903B5C">
            <w:pPr>
              <w:pStyle w:val="TableParagraph"/>
              <w:ind w:left="114" w:right="1475"/>
              <w:rPr>
                <w:sz w:val="20"/>
              </w:rPr>
            </w:pPr>
            <w:r>
              <w:rPr>
                <w:sz w:val="20"/>
              </w:rPr>
              <w:t>0 = policy not adopted 1 = policy adopted</w:t>
            </w:r>
          </w:p>
        </w:tc>
        <w:tc>
          <w:tcPr>
            <w:tcW w:w="6482" w:type="dxa"/>
          </w:tcPr>
          <w:p w14:paraId="109EEF8A" w14:textId="77777777" w:rsidR="0046798B" w:rsidRDefault="00903B5C">
            <w:pPr>
              <w:pStyle w:val="TableParagraph"/>
              <w:spacing w:before="43"/>
              <w:ind w:left="114" w:right="467"/>
              <w:rPr>
                <w:sz w:val="20"/>
              </w:rPr>
            </w:pPr>
            <w:r>
              <w:rPr>
                <w:sz w:val="20"/>
              </w:rPr>
              <w:t>Silver, Diana, and Macinko, James. State Health Policy Research Dataset (SHEPRD): 1980-2010. Ann Arbor, MI: Inter-university Consortium for Political and Social Research [distributor], 2014-09-24. https://doi.org/10.3886/ICPSR34789.v3</w:t>
            </w:r>
          </w:p>
          <w:p w14:paraId="3C584B9D" w14:textId="77777777" w:rsidR="0046798B" w:rsidRDefault="0046798B">
            <w:pPr>
              <w:pStyle w:val="TableParagraph"/>
              <w:spacing w:before="1"/>
              <w:rPr>
                <w:sz w:val="20"/>
              </w:rPr>
            </w:pPr>
          </w:p>
          <w:p w14:paraId="22598EA5"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0EAE3DAE" w14:textId="77777777">
        <w:trPr>
          <w:trHeight w:val="2156"/>
        </w:trPr>
        <w:tc>
          <w:tcPr>
            <w:tcW w:w="1711" w:type="dxa"/>
          </w:tcPr>
          <w:p w14:paraId="0E1850E6" w14:textId="77777777" w:rsidR="0046798B" w:rsidRDefault="0046798B">
            <w:pPr>
              <w:pStyle w:val="TableParagraph"/>
            </w:pPr>
          </w:p>
          <w:p w14:paraId="55E44C56" w14:textId="77777777" w:rsidR="0046798B" w:rsidRDefault="0046798B">
            <w:pPr>
              <w:pStyle w:val="TableParagraph"/>
            </w:pPr>
          </w:p>
          <w:p w14:paraId="325175B4" w14:textId="77777777" w:rsidR="0046798B" w:rsidRDefault="0046798B">
            <w:pPr>
              <w:pStyle w:val="TableParagraph"/>
            </w:pPr>
          </w:p>
          <w:p w14:paraId="7A1D5AE5" w14:textId="77777777" w:rsidR="0046798B" w:rsidRDefault="0046798B">
            <w:pPr>
              <w:pStyle w:val="TableParagraph"/>
              <w:spacing w:before="4"/>
              <w:rPr>
                <w:sz w:val="17"/>
              </w:rPr>
            </w:pPr>
          </w:p>
          <w:p w14:paraId="53350198" w14:textId="77777777" w:rsidR="0046798B" w:rsidRDefault="00903B5C">
            <w:pPr>
              <w:pStyle w:val="TableParagraph"/>
              <w:ind w:left="115"/>
              <w:rPr>
                <w:b/>
                <w:sz w:val="20"/>
              </w:rPr>
            </w:pPr>
            <w:r>
              <w:rPr>
                <w:b/>
                <w:sz w:val="20"/>
              </w:rPr>
              <w:t>zerotolerancelaw</w:t>
            </w:r>
          </w:p>
        </w:tc>
        <w:tc>
          <w:tcPr>
            <w:tcW w:w="1596" w:type="dxa"/>
          </w:tcPr>
          <w:p w14:paraId="338B0E8B" w14:textId="77777777" w:rsidR="0046798B" w:rsidRDefault="0046798B">
            <w:pPr>
              <w:pStyle w:val="TableParagraph"/>
            </w:pPr>
          </w:p>
          <w:p w14:paraId="78B9BAAB" w14:textId="77777777" w:rsidR="0046798B" w:rsidRDefault="00903B5C">
            <w:pPr>
              <w:pStyle w:val="TableParagraph"/>
              <w:spacing w:before="131"/>
              <w:ind w:left="114" w:right="113"/>
              <w:rPr>
                <w:sz w:val="20"/>
              </w:rPr>
            </w:pPr>
            <w:r>
              <w:rPr>
                <w:sz w:val="20"/>
              </w:rPr>
              <w:t>Law that establishes legal BAC for underage drivers lower than adult drivers</w:t>
            </w:r>
          </w:p>
        </w:tc>
        <w:tc>
          <w:tcPr>
            <w:tcW w:w="1285" w:type="dxa"/>
          </w:tcPr>
          <w:p w14:paraId="083B199A" w14:textId="77777777" w:rsidR="0046798B" w:rsidRDefault="0046798B">
            <w:pPr>
              <w:pStyle w:val="TableParagraph"/>
            </w:pPr>
          </w:p>
          <w:p w14:paraId="5E51D693" w14:textId="77777777" w:rsidR="0046798B" w:rsidRDefault="0046798B">
            <w:pPr>
              <w:pStyle w:val="TableParagraph"/>
            </w:pPr>
          </w:p>
          <w:p w14:paraId="04A1B6FF" w14:textId="77777777" w:rsidR="0046798B" w:rsidRDefault="0046798B">
            <w:pPr>
              <w:pStyle w:val="TableParagraph"/>
            </w:pPr>
          </w:p>
          <w:p w14:paraId="4AF61633" w14:textId="77777777" w:rsidR="0046798B" w:rsidRDefault="0046798B">
            <w:pPr>
              <w:pStyle w:val="TableParagraph"/>
              <w:spacing w:before="4"/>
              <w:rPr>
                <w:sz w:val="17"/>
              </w:rPr>
            </w:pPr>
          </w:p>
          <w:p w14:paraId="5DBE79E4" w14:textId="77777777" w:rsidR="0046798B" w:rsidRDefault="00903B5C">
            <w:pPr>
              <w:pStyle w:val="TableParagraph"/>
              <w:ind w:left="114"/>
              <w:rPr>
                <w:sz w:val="20"/>
              </w:rPr>
            </w:pPr>
            <w:r>
              <w:rPr>
                <w:sz w:val="20"/>
              </w:rPr>
              <w:t>1984–1999</w:t>
            </w:r>
          </w:p>
        </w:tc>
        <w:tc>
          <w:tcPr>
            <w:tcW w:w="3421" w:type="dxa"/>
          </w:tcPr>
          <w:p w14:paraId="6F571816" w14:textId="77777777" w:rsidR="0046798B" w:rsidRDefault="0046798B">
            <w:pPr>
              <w:pStyle w:val="TableParagraph"/>
            </w:pPr>
          </w:p>
          <w:p w14:paraId="7B43F249" w14:textId="77777777" w:rsidR="0046798B" w:rsidRDefault="0046798B">
            <w:pPr>
              <w:pStyle w:val="TableParagraph"/>
            </w:pPr>
          </w:p>
          <w:p w14:paraId="78B2C2BE" w14:textId="77777777" w:rsidR="0046798B" w:rsidRDefault="0046798B">
            <w:pPr>
              <w:pStyle w:val="TableParagraph"/>
              <w:spacing w:before="4"/>
              <w:rPr>
                <w:sz w:val="29"/>
              </w:rPr>
            </w:pPr>
          </w:p>
          <w:p w14:paraId="7CE5E656" w14:textId="77777777" w:rsidR="0046798B" w:rsidRDefault="00903B5C">
            <w:pPr>
              <w:pStyle w:val="TableParagraph"/>
              <w:ind w:left="114" w:right="1475"/>
              <w:rPr>
                <w:sz w:val="20"/>
              </w:rPr>
            </w:pPr>
            <w:r>
              <w:rPr>
                <w:sz w:val="20"/>
              </w:rPr>
              <w:t>0 = policy not adopted 1 = policy adopted</w:t>
            </w:r>
          </w:p>
        </w:tc>
        <w:tc>
          <w:tcPr>
            <w:tcW w:w="6482" w:type="dxa"/>
          </w:tcPr>
          <w:p w14:paraId="1AC26010" w14:textId="77777777" w:rsidR="0046798B" w:rsidRDefault="00903B5C">
            <w:pPr>
              <w:pStyle w:val="TableParagraph"/>
              <w:spacing w:before="38"/>
              <w:ind w:left="114" w:right="467"/>
              <w:rPr>
                <w:sz w:val="20"/>
              </w:rPr>
            </w:pPr>
            <w:r>
              <w:rPr>
                <w:sz w:val="20"/>
              </w:rPr>
              <w:t>Silver, Diana, and Macinko, James. State Health Policy Research Dataset (SHEPRD): 1980-2010. Ann Arbor, MI: Inter-university Consortium for Political and Social Research [distributor], 2014-09-24. https://doi.org/10.3886/ICPSR34789.v3</w:t>
            </w:r>
          </w:p>
          <w:p w14:paraId="2DEC122A" w14:textId="77777777" w:rsidR="0046798B" w:rsidRDefault="0046798B">
            <w:pPr>
              <w:pStyle w:val="TableParagraph"/>
              <w:rPr>
                <w:sz w:val="20"/>
              </w:rPr>
            </w:pPr>
          </w:p>
          <w:p w14:paraId="5481B29E"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22FD00D8" w14:textId="77777777">
        <w:trPr>
          <w:trHeight w:val="545"/>
        </w:trPr>
        <w:tc>
          <w:tcPr>
            <w:tcW w:w="1711" w:type="dxa"/>
          </w:tcPr>
          <w:p w14:paraId="4D80ED5D" w14:textId="77777777" w:rsidR="0046798B" w:rsidRDefault="00903B5C">
            <w:pPr>
              <w:pStyle w:val="TableParagraph"/>
              <w:spacing w:before="153"/>
              <w:ind w:left="115"/>
              <w:rPr>
                <w:b/>
                <w:sz w:val="20"/>
              </w:rPr>
            </w:pPr>
            <w:r>
              <w:rPr>
                <w:b/>
                <w:sz w:val="20"/>
              </w:rPr>
              <w:t>autosaf</w:t>
            </w:r>
          </w:p>
        </w:tc>
        <w:tc>
          <w:tcPr>
            <w:tcW w:w="1596" w:type="dxa"/>
          </w:tcPr>
          <w:p w14:paraId="661EE89E" w14:textId="77777777" w:rsidR="0046798B" w:rsidRDefault="00903B5C">
            <w:pPr>
              <w:pStyle w:val="TableParagraph"/>
              <w:spacing w:before="38"/>
              <w:ind w:left="114" w:right="247"/>
              <w:rPr>
                <w:sz w:val="20"/>
              </w:rPr>
            </w:pPr>
            <w:r>
              <w:rPr>
                <w:sz w:val="20"/>
              </w:rPr>
              <w:t>Automobile safety compact</w:t>
            </w:r>
          </w:p>
        </w:tc>
        <w:tc>
          <w:tcPr>
            <w:tcW w:w="1285" w:type="dxa"/>
          </w:tcPr>
          <w:p w14:paraId="4ACEDB73" w14:textId="77777777" w:rsidR="0046798B" w:rsidRDefault="00903B5C">
            <w:pPr>
              <w:pStyle w:val="TableParagraph"/>
              <w:spacing w:before="153"/>
              <w:ind w:left="114"/>
              <w:rPr>
                <w:sz w:val="20"/>
              </w:rPr>
            </w:pPr>
            <w:r>
              <w:rPr>
                <w:sz w:val="20"/>
              </w:rPr>
              <w:t>1959–1971</w:t>
            </w:r>
          </w:p>
        </w:tc>
        <w:tc>
          <w:tcPr>
            <w:tcW w:w="3421" w:type="dxa"/>
          </w:tcPr>
          <w:p w14:paraId="7CC5B3C0" w14:textId="77777777" w:rsidR="0046798B" w:rsidRDefault="00903B5C">
            <w:pPr>
              <w:pStyle w:val="TableParagraph"/>
              <w:spacing w:before="38"/>
              <w:ind w:left="114" w:right="294"/>
              <w:rPr>
                <w:sz w:val="20"/>
              </w:rPr>
            </w:pPr>
            <w:r>
              <w:rPr>
                <w:sz w:val="20"/>
              </w:rPr>
              <w:t>Did state adopt the automobile safety compact? (0 = no, 1 = yes)</w:t>
            </w:r>
          </w:p>
        </w:tc>
        <w:tc>
          <w:tcPr>
            <w:tcW w:w="6482" w:type="dxa"/>
          </w:tcPr>
          <w:p w14:paraId="478DB8F2" w14:textId="77777777" w:rsidR="0046798B" w:rsidRDefault="00903B5C">
            <w:pPr>
              <w:pStyle w:val="TableParagraph"/>
              <w:spacing w:before="3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3F77EF1A" w14:textId="77777777">
        <w:trPr>
          <w:trHeight w:val="545"/>
        </w:trPr>
        <w:tc>
          <w:tcPr>
            <w:tcW w:w="1711" w:type="dxa"/>
          </w:tcPr>
          <w:p w14:paraId="5F162BA5" w14:textId="77777777" w:rsidR="0046798B" w:rsidRDefault="00903B5C">
            <w:pPr>
              <w:pStyle w:val="TableParagraph"/>
              <w:spacing w:before="153"/>
              <w:ind w:left="115"/>
              <w:rPr>
                <w:b/>
                <w:sz w:val="20"/>
              </w:rPr>
            </w:pPr>
            <w:r>
              <w:rPr>
                <w:b/>
                <w:sz w:val="20"/>
              </w:rPr>
              <w:t>childseat</w:t>
            </w:r>
          </w:p>
        </w:tc>
        <w:tc>
          <w:tcPr>
            <w:tcW w:w="1596" w:type="dxa"/>
          </w:tcPr>
          <w:p w14:paraId="70953639" w14:textId="77777777" w:rsidR="0046798B" w:rsidRDefault="00903B5C">
            <w:pPr>
              <w:pStyle w:val="TableParagraph"/>
              <w:spacing w:before="38"/>
              <w:ind w:left="114" w:right="346"/>
              <w:rPr>
                <w:sz w:val="20"/>
              </w:rPr>
            </w:pPr>
            <w:r>
              <w:rPr>
                <w:sz w:val="20"/>
              </w:rPr>
              <w:t>Child seatbelt requirement</w:t>
            </w:r>
          </w:p>
        </w:tc>
        <w:tc>
          <w:tcPr>
            <w:tcW w:w="1285" w:type="dxa"/>
          </w:tcPr>
          <w:p w14:paraId="274E2E62" w14:textId="77777777" w:rsidR="0046798B" w:rsidRDefault="00903B5C">
            <w:pPr>
              <w:pStyle w:val="TableParagraph"/>
              <w:spacing w:before="153"/>
              <w:ind w:left="114"/>
              <w:rPr>
                <w:sz w:val="20"/>
              </w:rPr>
            </w:pPr>
            <w:r>
              <w:rPr>
                <w:sz w:val="20"/>
              </w:rPr>
              <w:t>1981–1984</w:t>
            </w:r>
          </w:p>
        </w:tc>
        <w:tc>
          <w:tcPr>
            <w:tcW w:w="3421" w:type="dxa"/>
          </w:tcPr>
          <w:p w14:paraId="7D561ADF" w14:textId="77777777" w:rsidR="0046798B" w:rsidRDefault="00903B5C">
            <w:pPr>
              <w:pStyle w:val="TableParagraph"/>
              <w:spacing w:before="38"/>
              <w:ind w:left="114" w:right="846"/>
              <w:rPr>
                <w:sz w:val="20"/>
              </w:rPr>
            </w:pPr>
            <w:r>
              <w:rPr>
                <w:sz w:val="20"/>
              </w:rPr>
              <w:t>Did state adopt child seatbelt requirement? (0 = no, 1 = yes)</w:t>
            </w:r>
          </w:p>
        </w:tc>
        <w:tc>
          <w:tcPr>
            <w:tcW w:w="6482" w:type="dxa"/>
          </w:tcPr>
          <w:p w14:paraId="6B51E2D5" w14:textId="77777777" w:rsidR="0046798B" w:rsidRDefault="00903B5C">
            <w:pPr>
              <w:pStyle w:val="TableParagraph"/>
              <w:spacing w:before="3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18311897" w14:textId="77777777">
        <w:trPr>
          <w:trHeight w:val="545"/>
        </w:trPr>
        <w:tc>
          <w:tcPr>
            <w:tcW w:w="1711" w:type="dxa"/>
          </w:tcPr>
          <w:p w14:paraId="771C9DAC" w14:textId="77777777" w:rsidR="0046798B" w:rsidRDefault="00903B5C">
            <w:pPr>
              <w:pStyle w:val="TableParagraph"/>
              <w:spacing w:before="158"/>
              <w:ind w:left="115"/>
              <w:rPr>
                <w:b/>
                <w:sz w:val="20"/>
              </w:rPr>
            </w:pPr>
            <w:r>
              <w:rPr>
                <w:b/>
                <w:sz w:val="20"/>
              </w:rPr>
              <w:t>conacchwy</w:t>
            </w:r>
          </w:p>
        </w:tc>
        <w:tc>
          <w:tcPr>
            <w:tcW w:w="1596" w:type="dxa"/>
          </w:tcPr>
          <w:p w14:paraId="1FD9B889" w14:textId="77777777" w:rsidR="0046798B" w:rsidRDefault="00903B5C">
            <w:pPr>
              <w:pStyle w:val="TableParagraph"/>
              <w:spacing w:before="43"/>
              <w:ind w:left="114" w:right="124"/>
              <w:rPr>
                <w:sz w:val="20"/>
              </w:rPr>
            </w:pPr>
            <w:r>
              <w:rPr>
                <w:sz w:val="20"/>
              </w:rPr>
              <w:t>Controlled access highways</w:t>
            </w:r>
          </w:p>
        </w:tc>
        <w:tc>
          <w:tcPr>
            <w:tcW w:w="1285" w:type="dxa"/>
          </w:tcPr>
          <w:p w14:paraId="7E892CB8" w14:textId="77777777" w:rsidR="0046798B" w:rsidRDefault="00903B5C">
            <w:pPr>
              <w:pStyle w:val="TableParagraph"/>
              <w:spacing w:before="158"/>
              <w:ind w:left="114"/>
              <w:rPr>
                <w:sz w:val="20"/>
              </w:rPr>
            </w:pPr>
            <w:r>
              <w:rPr>
                <w:sz w:val="20"/>
              </w:rPr>
              <w:t>1937–1960</w:t>
            </w:r>
          </w:p>
        </w:tc>
        <w:tc>
          <w:tcPr>
            <w:tcW w:w="3421" w:type="dxa"/>
          </w:tcPr>
          <w:p w14:paraId="6F857D96" w14:textId="77777777" w:rsidR="0046798B" w:rsidRDefault="00903B5C">
            <w:pPr>
              <w:pStyle w:val="TableParagraph"/>
              <w:spacing w:before="43"/>
              <w:ind w:left="114" w:right="644"/>
              <w:rPr>
                <w:sz w:val="20"/>
              </w:rPr>
            </w:pPr>
            <w:r>
              <w:rPr>
                <w:sz w:val="20"/>
              </w:rPr>
              <w:t>Did state adopt controlled access highways? (0 = no, 1 = yes)</w:t>
            </w:r>
          </w:p>
        </w:tc>
        <w:tc>
          <w:tcPr>
            <w:tcW w:w="6482" w:type="dxa"/>
          </w:tcPr>
          <w:p w14:paraId="6F2FCF50" w14:textId="77777777" w:rsidR="0046798B" w:rsidRDefault="00903B5C">
            <w:pPr>
              <w:pStyle w:val="TableParagraph"/>
              <w:spacing w:before="4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1DF510FD" w14:textId="77777777">
        <w:trPr>
          <w:trHeight w:val="545"/>
        </w:trPr>
        <w:tc>
          <w:tcPr>
            <w:tcW w:w="1711" w:type="dxa"/>
          </w:tcPr>
          <w:p w14:paraId="2E891B51" w14:textId="77777777" w:rsidR="0046798B" w:rsidRDefault="00903B5C">
            <w:pPr>
              <w:pStyle w:val="TableParagraph"/>
              <w:spacing w:before="158"/>
              <w:ind w:left="115"/>
              <w:rPr>
                <w:b/>
                <w:sz w:val="20"/>
              </w:rPr>
            </w:pPr>
            <w:r>
              <w:rPr>
                <w:b/>
                <w:sz w:val="20"/>
              </w:rPr>
              <w:t>gdl</w:t>
            </w:r>
          </w:p>
        </w:tc>
        <w:tc>
          <w:tcPr>
            <w:tcW w:w="1596" w:type="dxa"/>
          </w:tcPr>
          <w:p w14:paraId="5CE9D0AF" w14:textId="77777777" w:rsidR="0046798B" w:rsidRDefault="00903B5C">
            <w:pPr>
              <w:pStyle w:val="TableParagraph"/>
              <w:spacing w:before="43"/>
              <w:ind w:left="114" w:right="213"/>
              <w:rPr>
                <w:sz w:val="20"/>
              </w:rPr>
            </w:pPr>
            <w:r>
              <w:rPr>
                <w:sz w:val="20"/>
              </w:rPr>
              <w:t>State graduated driver’s</w:t>
            </w:r>
          </w:p>
        </w:tc>
        <w:tc>
          <w:tcPr>
            <w:tcW w:w="1285" w:type="dxa"/>
          </w:tcPr>
          <w:p w14:paraId="10F7B6BF" w14:textId="77777777" w:rsidR="0046798B" w:rsidRDefault="00903B5C">
            <w:pPr>
              <w:pStyle w:val="TableParagraph"/>
              <w:spacing w:before="158"/>
              <w:ind w:left="114"/>
              <w:rPr>
                <w:sz w:val="20"/>
              </w:rPr>
            </w:pPr>
            <w:r>
              <w:rPr>
                <w:sz w:val="20"/>
              </w:rPr>
              <w:t>1996–2009</w:t>
            </w:r>
          </w:p>
        </w:tc>
        <w:tc>
          <w:tcPr>
            <w:tcW w:w="3421" w:type="dxa"/>
          </w:tcPr>
          <w:p w14:paraId="0A2A89D1" w14:textId="77777777" w:rsidR="0046798B" w:rsidRDefault="00903B5C">
            <w:pPr>
              <w:pStyle w:val="TableParagraph"/>
              <w:spacing w:before="43"/>
              <w:ind w:left="114" w:right="363"/>
              <w:rPr>
                <w:sz w:val="20"/>
              </w:rPr>
            </w:pPr>
            <w:r>
              <w:rPr>
                <w:sz w:val="20"/>
              </w:rPr>
              <w:t>Did state adopt graduated driver’s licensing program? (0 = no, 1 = yes)</w:t>
            </w:r>
          </w:p>
        </w:tc>
        <w:tc>
          <w:tcPr>
            <w:tcW w:w="6482" w:type="dxa"/>
          </w:tcPr>
          <w:p w14:paraId="1CF5D4E5" w14:textId="77777777" w:rsidR="0046798B" w:rsidRDefault="00903B5C">
            <w:pPr>
              <w:pStyle w:val="TableParagraph"/>
              <w:spacing w:before="4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bl>
    <w:p w14:paraId="5D996B70" w14:textId="77777777" w:rsidR="0046798B" w:rsidRDefault="0046798B">
      <w:pPr>
        <w:rPr>
          <w:sz w:val="20"/>
        </w:rPr>
        <w:sectPr w:rsidR="0046798B">
          <w:pgSz w:w="15840" w:h="12240" w:orient="landscape"/>
          <w:pgMar w:top="1220" w:right="300" w:bottom="980" w:left="820" w:header="730" w:footer="787" w:gutter="0"/>
          <w:cols w:space="720"/>
        </w:sectPr>
      </w:pPr>
    </w:p>
    <w:p w14:paraId="61BB83FF"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20F2DD3" w14:textId="77777777">
        <w:trPr>
          <w:trHeight w:val="542"/>
        </w:trPr>
        <w:tc>
          <w:tcPr>
            <w:tcW w:w="1711" w:type="dxa"/>
            <w:tcBorders>
              <w:bottom w:val="dotted" w:sz="6" w:space="0" w:color="BEBEBE"/>
            </w:tcBorders>
          </w:tcPr>
          <w:p w14:paraId="71C3C572" w14:textId="77777777" w:rsidR="0046798B" w:rsidRDefault="0046798B">
            <w:pPr>
              <w:pStyle w:val="TableParagraph"/>
              <w:rPr>
                <w:sz w:val="20"/>
              </w:rPr>
            </w:pPr>
          </w:p>
        </w:tc>
        <w:tc>
          <w:tcPr>
            <w:tcW w:w="1596" w:type="dxa"/>
            <w:tcBorders>
              <w:bottom w:val="dotted" w:sz="6" w:space="0" w:color="BEBEBE"/>
            </w:tcBorders>
          </w:tcPr>
          <w:p w14:paraId="7E7A9142" w14:textId="77777777" w:rsidR="0046798B" w:rsidRDefault="00903B5C">
            <w:pPr>
              <w:pStyle w:val="TableParagraph"/>
              <w:spacing w:before="43"/>
              <w:ind w:left="114" w:right="729"/>
              <w:rPr>
                <w:sz w:val="20"/>
              </w:rPr>
            </w:pPr>
            <w:r>
              <w:rPr>
                <w:sz w:val="20"/>
              </w:rPr>
              <w:t>licensing program</w:t>
            </w:r>
          </w:p>
        </w:tc>
        <w:tc>
          <w:tcPr>
            <w:tcW w:w="1285" w:type="dxa"/>
            <w:tcBorders>
              <w:bottom w:val="dotted" w:sz="6" w:space="0" w:color="BEBEBE"/>
            </w:tcBorders>
          </w:tcPr>
          <w:p w14:paraId="3F239214" w14:textId="77777777" w:rsidR="0046798B" w:rsidRDefault="0046798B">
            <w:pPr>
              <w:pStyle w:val="TableParagraph"/>
              <w:rPr>
                <w:sz w:val="20"/>
              </w:rPr>
            </w:pPr>
          </w:p>
        </w:tc>
        <w:tc>
          <w:tcPr>
            <w:tcW w:w="3421" w:type="dxa"/>
            <w:tcBorders>
              <w:bottom w:val="dotted" w:sz="6" w:space="0" w:color="BEBEBE"/>
            </w:tcBorders>
          </w:tcPr>
          <w:p w14:paraId="52A7E1E8" w14:textId="77777777" w:rsidR="0046798B" w:rsidRDefault="0046798B">
            <w:pPr>
              <w:pStyle w:val="TableParagraph"/>
              <w:rPr>
                <w:sz w:val="20"/>
              </w:rPr>
            </w:pPr>
          </w:p>
        </w:tc>
        <w:tc>
          <w:tcPr>
            <w:tcW w:w="6482" w:type="dxa"/>
            <w:tcBorders>
              <w:bottom w:val="dotted" w:sz="6" w:space="0" w:color="BEBEBE"/>
            </w:tcBorders>
          </w:tcPr>
          <w:p w14:paraId="0D92568E" w14:textId="77777777" w:rsidR="0046798B" w:rsidRDefault="0046798B">
            <w:pPr>
              <w:pStyle w:val="TableParagraph"/>
              <w:rPr>
                <w:sz w:val="20"/>
              </w:rPr>
            </w:pPr>
          </w:p>
        </w:tc>
      </w:tr>
      <w:tr w:rsidR="0046798B" w14:paraId="51E481D0" w14:textId="77777777">
        <w:trPr>
          <w:trHeight w:val="772"/>
        </w:trPr>
        <w:tc>
          <w:tcPr>
            <w:tcW w:w="1711" w:type="dxa"/>
            <w:tcBorders>
              <w:top w:val="dotted" w:sz="6" w:space="0" w:color="BEBEBE"/>
            </w:tcBorders>
          </w:tcPr>
          <w:p w14:paraId="5B5DBFE2" w14:textId="77777777" w:rsidR="0046798B" w:rsidRDefault="0046798B">
            <w:pPr>
              <w:pStyle w:val="TableParagraph"/>
              <w:spacing w:before="6"/>
              <w:rPr>
                <w:sz w:val="23"/>
              </w:rPr>
            </w:pPr>
          </w:p>
          <w:p w14:paraId="36971ED6" w14:textId="77777777" w:rsidR="0046798B" w:rsidRDefault="00903B5C">
            <w:pPr>
              <w:pStyle w:val="TableParagraph"/>
              <w:ind w:left="115"/>
              <w:rPr>
                <w:b/>
                <w:sz w:val="20"/>
              </w:rPr>
            </w:pPr>
            <w:r>
              <w:rPr>
                <w:b/>
                <w:sz w:val="20"/>
              </w:rPr>
              <w:t>kidhelmet</w:t>
            </w:r>
          </w:p>
        </w:tc>
        <w:tc>
          <w:tcPr>
            <w:tcW w:w="1596" w:type="dxa"/>
            <w:tcBorders>
              <w:top w:val="dotted" w:sz="6" w:space="0" w:color="BEBEBE"/>
            </w:tcBorders>
          </w:tcPr>
          <w:p w14:paraId="5E86DA7F" w14:textId="77777777" w:rsidR="0046798B" w:rsidRDefault="00903B5C">
            <w:pPr>
              <w:pStyle w:val="TableParagraph"/>
              <w:spacing w:before="40"/>
              <w:ind w:left="114" w:right="202"/>
              <w:rPr>
                <w:sz w:val="20"/>
              </w:rPr>
            </w:pPr>
            <w:r>
              <w:rPr>
                <w:sz w:val="20"/>
              </w:rPr>
              <w:t>Mandatory bicycle helmets for minors</w:t>
            </w:r>
          </w:p>
        </w:tc>
        <w:tc>
          <w:tcPr>
            <w:tcW w:w="1285" w:type="dxa"/>
            <w:tcBorders>
              <w:top w:val="dotted" w:sz="6" w:space="0" w:color="BEBEBE"/>
            </w:tcBorders>
          </w:tcPr>
          <w:p w14:paraId="76792368" w14:textId="77777777" w:rsidR="0046798B" w:rsidRDefault="0046798B">
            <w:pPr>
              <w:pStyle w:val="TableParagraph"/>
              <w:spacing w:before="6"/>
              <w:rPr>
                <w:sz w:val="23"/>
              </w:rPr>
            </w:pPr>
          </w:p>
          <w:p w14:paraId="205054DA" w14:textId="77777777" w:rsidR="0046798B" w:rsidRDefault="00903B5C">
            <w:pPr>
              <w:pStyle w:val="TableParagraph"/>
              <w:ind w:left="114"/>
              <w:rPr>
                <w:sz w:val="20"/>
              </w:rPr>
            </w:pPr>
            <w:r>
              <w:rPr>
                <w:sz w:val="20"/>
              </w:rPr>
              <w:t>1992–2007</w:t>
            </w:r>
          </w:p>
        </w:tc>
        <w:tc>
          <w:tcPr>
            <w:tcW w:w="3421" w:type="dxa"/>
            <w:tcBorders>
              <w:top w:val="dotted" w:sz="6" w:space="0" w:color="BEBEBE"/>
            </w:tcBorders>
          </w:tcPr>
          <w:p w14:paraId="44D403A4" w14:textId="77777777" w:rsidR="0046798B" w:rsidRDefault="00903B5C">
            <w:pPr>
              <w:pStyle w:val="TableParagraph"/>
              <w:spacing w:before="155"/>
              <w:ind w:left="114" w:right="302"/>
              <w:rPr>
                <w:sz w:val="20"/>
              </w:rPr>
            </w:pPr>
            <w:r>
              <w:rPr>
                <w:sz w:val="20"/>
              </w:rPr>
              <w:t>Did state adopt mandatory bicycle helmets for minors? (0 = no, 1 = yes)</w:t>
            </w:r>
          </w:p>
        </w:tc>
        <w:tc>
          <w:tcPr>
            <w:tcW w:w="6482" w:type="dxa"/>
            <w:tcBorders>
              <w:top w:val="dotted" w:sz="6" w:space="0" w:color="BEBEBE"/>
            </w:tcBorders>
          </w:tcPr>
          <w:p w14:paraId="149C7941" w14:textId="77777777" w:rsidR="0046798B" w:rsidRDefault="00903B5C">
            <w:pPr>
              <w:pStyle w:val="TableParagraph"/>
              <w:spacing w:before="155"/>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22158217" w14:textId="77777777">
        <w:trPr>
          <w:trHeight w:val="780"/>
        </w:trPr>
        <w:tc>
          <w:tcPr>
            <w:tcW w:w="1711" w:type="dxa"/>
          </w:tcPr>
          <w:p w14:paraId="4654E22D" w14:textId="77777777" w:rsidR="0046798B" w:rsidRDefault="0046798B">
            <w:pPr>
              <w:pStyle w:val="TableParagraph"/>
              <w:spacing w:before="9"/>
              <w:rPr>
                <w:sz w:val="23"/>
              </w:rPr>
            </w:pPr>
          </w:p>
          <w:p w14:paraId="4175BB7A" w14:textId="77777777" w:rsidR="0046798B" w:rsidRDefault="00903B5C">
            <w:pPr>
              <w:pStyle w:val="TableParagraph"/>
              <w:ind w:left="115"/>
              <w:rPr>
                <w:b/>
                <w:sz w:val="20"/>
              </w:rPr>
            </w:pPr>
            <w:r>
              <w:rPr>
                <w:b/>
                <w:sz w:val="20"/>
              </w:rPr>
              <w:t>motorhelm</w:t>
            </w:r>
          </w:p>
        </w:tc>
        <w:tc>
          <w:tcPr>
            <w:tcW w:w="1596" w:type="dxa"/>
          </w:tcPr>
          <w:p w14:paraId="5CA61D12" w14:textId="77777777" w:rsidR="0046798B" w:rsidRDefault="00903B5C">
            <w:pPr>
              <w:pStyle w:val="TableParagraph"/>
              <w:spacing w:before="43"/>
              <w:ind w:left="114" w:right="485"/>
              <w:rPr>
                <w:sz w:val="20"/>
              </w:rPr>
            </w:pPr>
            <w:r>
              <w:rPr>
                <w:sz w:val="20"/>
              </w:rPr>
              <w:t>Motorcycle helmet requirement</w:t>
            </w:r>
          </w:p>
        </w:tc>
        <w:tc>
          <w:tcPr>
            <w:tcW w:w="1285" w:type="dxa"/>
          </w:tcPr>
          <w:p w14:paraId="6BB62F00" w14:textId="77777777" w:rsidR="0046798B" w:rsidRDefault="0046798B">
            <w:pPr>
              <w:pStyle w:val="TableParagraph"/>
              <w:spacing w:before="9"/>
              <w:rPr>
                <w:sz w:val="23"/>
              </w:rPr>
            </w:pPr>
          </w:p>
          <w:p w14:paraId="47360FAE" w14:textId="77777777" w:rsidR="0046798B" w:rsidRDefault="00903B5C">
            <w:pPr>
              <w:pStyle w:val="TableParagraph"/>
              <w:ind w:left="114"/>
              <w:rPr>
                <w:sz w:val="20"/>
              </w:rPr>
            </w:pPr>
            <w:r>
              <w:rPr>
                <w:sz w:val="20"/>
              </w:rPr>
              <w:t>1967–1985</w:t>
            </w:r>
          </w:p>
        </w:tc>
        <w:tc>
          <w:tcPr>
            <w:tcW w:w="3421" w:type="dxa"/>
          </w:tcPr>
          <w:p w14:paraId="000469A5" w14:textId="77777777" w:rsidR="0046798B" w:rsidRDefault="00903B5C">
            <w:pPr>
              <w:pStyle w:val="TableParagraph"/>
              <w:spacing w:before="159"/>
              <w:ind w:left="114" w:right="522"/>
              <w:rPr>
                <w:sz w:val="20"/>
              </w:rPr>
            </w:pPr>
            <w:r>
              <w:rPr>
                <w:sz w:val="20"/>
              </w:rPr>
              <w:t>Did state adopt motorcycle helmet requirement? (0 = no, 1 = yes)</w:t>
            </w:r>
          </w:p>
        </w:tc>
        <w:tc>
          <w:tcPr>
            <w:tcW w:w="6482" w:type="dxa"/>
          </w:tcPr>
          <w:p w14:paraId="445593D7" w14:textId="77777777" w:rsidR="0046798B" w:rsidRDefault="00903B5C">
            <w:pPr>
              <w:pStyle w:val="TableParagraph"/>
              <w:spacing w:before="159"/>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07FACE4F" w14:textId="77777777">
        <w:trPr>
          <w:trHeight w:val="545"/>
        </w:trPr>
        <w:tc>
          <w:tcPr>
            <w:tcW w:w="1711" w:type="dxa"/>
          </w:tcPr>
          <w:p w14:paraId="2E2C6BAC" w14:textId="77777777" w:rsidR="0046798B" w:rsidRDefault="00903B5C">
            <w:pPr>
              <w:pStyle w:val="TableParagraph"/>
              <w:spacing w:before="153"/>
              <w:ind w:left="115"/>
              <w:rPr>
                <w:b/>
                <w:sz w:val="20"/>
              </w:rPr>
            </w:pPr>
            <w:r>
              <w:rPr>
                <w:b/>
                <w:sz w:val="20"/>
              </w:rPr>
              <w:t>primseat</w:t>
            </w:r>
          </w:p>
        </w:tc>
        <w:tc>
          <w:tcPr>
            <w:tcW w:w="1596" w:type="dxa"/>
          </w:tcPr>
          <w:p w14:paraId="792B6B9D" w14:textId="77777777" w:rsidR="0046798B" w:rsidRDefault="00903B5C">
            <w:pPr>
              <w:pStyle w:val="TableParagraph"/>
              <w:spacing w:before="38"/>
              <w:ind w:left="114" w:right="96"/>
              <w:rPr>
                <w:sz w:val="20"/>
              </w:rPr>
            </w:pPr>
            <w:r>
              <w:rPr>
                <w:sz w:val="20"/>
              </w:rPr>
              <w:t>Primary seat belt laws</w:t>
            </w:r>
          </w:p>
        </w:tc>
        <w:tc>
          <w:tcPr>
            <w:tcW w:w="1285" w:type="dxa"/>
          </w:tcPr>
          <w:p w14:paraId="11CC66D7" w14:textId="77777777" w:rsidR="0046798B" w:rsidRDefault="00903B5C">
            <w:pPr>
              <w:pStyle w:val="TableParagraph"/>
              <w:spacing w:before="153"/>
              <w:ind w:left="114"/>
              <w:rPr>
                <w:sz w:val="20"/>
              </w:rPr>
            </w:pPr>
            <w:r>
              <w:rPr>
                <w:sz w:val="20"/>
              </w:rPr>
              <w:t>1984–2004</w:t>
            </w:r>
          </w:p>
        </w:tc>
        <w:tc>
          <w:tcPr>
            <w:tcW w:w="3421" w:type="dxa"/>
          </w:tcPr>
          <w:p w14:paraId="699202DF" w14:textId="77777777" w:rsidR="0046798B" w:rsidRDefault="00903B5C">
            <w:pPr>
              <w:pStyle w:val="TableParagraph"/>
              <w:spacing w:before="38"/>
              <w:ind w:left="114" w:right="166"/>
              <w:rPr>
                <w:sz w:val="20"/>
              </w:rPr>
            </w:pPr>
            <w:r>
              <w:rPr>
                <w:sz w:val="20"/>
              </w:rPr>
              <w:t>Did state adopt primary seat belt laws? (0 = no, 1 = yes)</w:t>
            </w:r>
          </w:p>
        </w:tc>
        <w:tc>
          <w:tcPr>
            <w:tcW w:w="6482" w:type="dxa"/>
          </w:tcPr>
          <w:p w14:paraId="21850AC4" w14:textId="77777777" w:rsidR="0046798B" w:rsidRDefault="00903B5C">
            <w:pPr>
              <w:pStyle w:val="TableParagraph"/>
              <w:spacing w:before="3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69C234B6" w14:textId="77777777">
        <w:trPr>
          <w:trHeight w:val="775"/>
        </w:trPr>
        <w:tc>
          <w:tcPr>
            <w:tcW w:w="1711" w:type="dxa"/>
          </w:tcPr>
          <w:p w14:paraId="3BC95CA7" w14:textId="77777777" w:rsidR="0046798B" w:rsidRDefault="0046798B">
            <w:pPr>
              <w:pStyle w:val="TableParagraph"/>
              <w:spacing w:before="4"/>
              <w:rPr>
                <w:sz w:val="23"/>
              </w:rPr>
            </w:pPr>
          </w:p>
          <w:p w14:paraId="36F45619" w14:textId="77777777" w:rsidR="0046798B" w:rsidRDefault="00903B5C">
            <w:pPr>
              <w:pStyle w:val="TableParagraph"/>
              <w:ind w:left="115"/>
              <w:rPr>
                <w:b/>
                <w:sz w:val="20"/>
              </w:rPr>
            </w:pPr>
            <w:r>
              <w:rPr>
                <w:b/>
                <w:sz w:val="20"/>
              </w:rPr>
              <w:t>prkagcit</w:t>
            </w:r>
          </w:p>
        </w:tc>
        <w:tc>
          <w:tcPr>
            <w:tcW w:w="1596" w:type="dxa"/>
          </w:tcPr>
          <w:p w14:paraId="5697D858" w14:textId="77777777" w:rsidR="0046798B" w:rsidRDefault="00903B5C">
            <w:pPr>
              <w:pStyle w:val="TableParagraph"/>
              <w:spacing w:before="38"/>
              <w:ind w:left="114" w:right="213"/>
              <w:rPr>
                <w:sz w:val="20"/>
              </w:rPr>
            </w:pPr>
            <w:r>
              <w:rPr>
                <w:sz w:val="20"/>
              </w:rPr>
              <w:t>Parking agency (enabling act) for cities</w:t>
            </w:r>
          </w:p>
        </w:tc>
        <w:tc>
          <w:tcPr>
            <w:tcW w:w="1285" w:type="dxa"/>
          </w:tcPr>
          <w:p w14:paraId="1A538AF4" w14:textId="77777777" w:rsidR="0046798B" w:rsidRDefault="0046798B">
            <w:pPr>
              <w:pStyle w:val="TableParagraph"/>
              <w:spacing w:before="4"/>
              <w:rPr>
                <w:sz w:val="23"/>
              </w:rPr>
            </w:pPr>
          </w:p>
          <w:p w14:paraId="12066419" w14:textId="77777777" w:rsidR="0046798B" w:rsidRDefault="00903B5C">
            <w:pPr>
              <w:pStyle w:val="TableParagraph"/>
              <w:ind w:left="114"/>
              <w:rPr>
                <w:sz w:val="20"/>
              </w:rPr>
            </w:pPr>
            <w:r>
              <w:rPr>
                <w:sz w:val="20"/>
              </w:rPr>
              <w:t>1919–1970</w:t>
            </w:r>
          </w:p>
        </w:tc>
        <w:tc>
          <w:tcPr>
            <w:tcW w:w="3421" w:type="dxa"/>
          </w:tcPr>
          <w:p w14:paraId="1A3AC211" w14:textId="77777777" w:rsidR="0046798B" w:rsidRDefault="00903B5C">
            <w:pPr>
              <w:pStyle w:val="TableParagraph"/>
              <w:spacing w:before="38"/>
              <w:ind w:left="114" w:right="335"/>
              <w:rPr>
                <w:sz w:val="20"/>
              </w:rPr>
            </w:pPr>
            <w:r>
              <w:rPr>
                <w:sz w:val="20"/>
              </w:rPr>
              <w:t>Did state adopt parking agency (enabling act) for cities? (0 = no, 1 = yes)</w:t>
            </w:r>
          </w:p>
        </w:tc>
        <w:tc>
          <w:tcPr>
            <w:tcW w:w="6482" w:type="dxa"/>
          </w:tcPr>
          <w:p w14:paraId="5B33B561" w14:textId="77777777" w:rsidR="0046798B" w:rsidRDefault="00903B5C">
            <w:pPr>
              <w:pStyle w:val="TableParagraph"/>
              <w:spacing w:before="15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57179C1F" w14:textId="77777777">
        <w:trPr>
          <w:trHeight w:val="775"/>
        </w:trPr>
        <w:tc>
          <w:tcPr>
            <w:tcW w:w="1711" w:type="dxa"/>
          </w:tcPr>
          <w:p w14:paraId="5A6D083A" w14:textId="77777777" w:rsidR="0046798B" w:rsidRDefault="0046798B">
            <w:pPr>
              <w:pStyle w:val="TableParagraph"/>
              <w:spacing w:before="8"/>
              <w:rPr>
                <w:sz w:val="23"/>
              </w:rPr>
            </w:pPr>
          </w:p>
          <w:p w14:paraId="23E1784E" w14:textId="77777777" w:rsidR="0046798B" w:rsidRDefault="00903B5C">
            <w:pPr>
              <w:pStyle w:val="TableParagraph"/>
              <w:spacing w:before="1"/>
              <w:ind w:left="115"/>
              <w:rPr>
                <w:b/>
                <w:sz w:val="20"/>
              </w:rPr>
            </w:pPr>
            <w:r>
              <w:rPr>
                <w:b/>
                <w:sz w:val="20"/>
              </w:rPr>
              <w:t>transport</w:t>
            </w:r>
          </w:p>
        </w:tc>
        <w:tc>
          <w:tcPr>
            <w:tcW w:w="1596" w:type="dxa"/>
          </w:tcPr>
          <w:p w14:paraId="1BD11D02" w14:textId="77777777" w:rsidR="0046798B" w:rsidRDefault="00903B5C">
            <w:pPr>
              <w:pStyle w:val="TableParagraph"/>
              <w:spacing w:before="43"/>
              <w:ind w:left="114" w:right="341"/>
              <w:rPr>
                <w:sz w:val="20"/>
              </w:rPr>
            </w:pPr>
            <w:r>
              <w:rPr>
                <w:sz w:val="20"/>
              </w:rPr>
              <w:t>Strategic planning for transportation</w:t>
            </w:r>
          </w:p>
        </w:tc>
        <w:tc>
          <w:tcPr>
            <w:tcW w:w="1285" w:type="dxa"/>
          </w:tcPr>
          <w:p w14:paraId="405292F1" w14:textId="77777777" w:rsidR="0046798B" w:rsidRDefault="0046798B">
            <w:pPr>
              <w:pStyle w:val="TableParagraph"/>
              <w:spacing w:before="8"/>
              <w:rPr>
                <w:sz w:val="23"/>
              </w:rPr>
            </w:pPr>
          </w:p>
          <w:p w14:paraId="3ADC10C0" w14:textId="77777777" w:rsidR="0046798B" w:rsidRDefault="00903B5C">
            <w:pPr>
              <w:pStyle w:val="TableParagraph"/>
              <w:spacing w:before="1"/>
              <w:ind w:left="114"/>
              <w:rPr>
                <w:sz w:val="20"/>
              </w:rPr>
            </w:pPr>
            <w:r>
              <w:rPr>
                <w:sz w:val="20"/>
              </w:rPr>
              <w:t>1974–1991</w:t>
            </w:r>
          </w:p>
        </w:tc>
        <w:tc>
          <w:tcPr>
            <w:tcW w:w="3421" w:type="dxa"/>
          </w:tcPr>
          <w:p w14:paraId="277B707D" w14:textId="77777777" w:rsidR="0046798B" w:rsidRDefault="00903B5C">
            <w:pPr>
              <w:pStyle w:val="TableParagraph"/>
              <w:spacing w:before="158"/>
              <w:ind w:left="114" w:right="305"/>
              <w:rPr>
                <w:sz w:val="20"/>
              </w:rPr>
            </w:pPr>
            <w:r>
              <w:rPr>
                <w:sz w:val="20"/>
              </w:rPr>
              <w:t>Did state adopt strategic planning for transportation? (0 = no, 1 = yes)</w:t>
            </w:r>
          </w:p>
        </w:tc>
        <w:tc>
          <w:tcPr>
            <w:tcW w:w="6482" w:type="dxa"/>
          </w:tcPr>
          <w:p w14:paraId="459743FA" w14:textId="77777777" w:rsidR="0046798B" w:rsidRDefault="00903B5C">
            <w:pPr>
              <w:pStyle w:val="TableParagraph"/>
              <w:spacing w:before="15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2F30B111" w14:textId="77777777">
        <w:trPr>
          <w:trHeight w:val="1465"/>
        </w:trPr>
        <w:tc>
          <w:tcPr>
            <w:tcW w:w="1711" w:type="dxa"/>
          </w:tcPr>
          <w:p w14:paraId="3FCD23FC" w14:textId="77777777" w:rsidR="0046798B" w:rsidRDefault="0046798B">
            <w:pPr>
              <w:pStyle w:val="TableParagraph"/>
            </w:pPr>
          </w:p>
          <w:p w14:paraId="3BEA4267" w14:textId="77777777" w:rsidR="0046798B" w:rsidRDefault="0046798B">
            <w:pPr>
              <w:pStyle w:val="TableParagraph"/>
              <w:spacing w:before="8"/>
              <w:rPr>
                <w:sz w:val="21"/>
              </w:rPr>
            </w:pPr>
          </w:p>
          <w:p w14:paraId="25024AAD" w14:textId="77777777" w:rsidR="0046798B" w:rsidRDefault="00903B5C">
            <w:pPr>
              <w:pStyle w:val="TableParagraph"/>
              <w:spacing w:before="1"/>
              <w:ind w:left="115" w:right="100"/>
              <w:rPr>
                <w:b/>
                <w:sz w:val="20"/>
              </w:rPr>
            </w:pPr>
            <w:r>
              <w:rPr>
                <w:b/>
                <w:sz w:val="20"/>
              </w:rPr>
              <w:t>certificate_of_titl e_for_vessels</w:t>
            </w:r>
          </w:p>
        </w:tc>
        <w:tc>
          <w:tcPr>
            <w:tcW w:w="1596" w:type="dxa"/>
          </w:tcPr>
          <w:p w14:paraId="63F79FD8" w14:textId="77777777" w:rsidR="0046798B" w:rsidRDefault="0046798B">
            <w:pPr>
              <w:pStyle w:val="TableParagraph"/>
            </w:pPr>
          </w:p>
          <w:p w14:paraId="2DBC08DF" w14:textId="77777777" w:rsidR="0046798B" w:rsidRDefault="0046798B">
            <w:pPr>
              <w:pStyle w:val="TableParagraph"/>
              <w:spacing w:before="8"/>
              <w:rPr>
                <w:sz w:val="21"/>
              </w:rPr>
            </w:pPr>
          </w:p>
          <w:p w14:paraId="21AD1FF7" w14:textId="77777777" w:rsidR="0046798B" w:rsidRDefault="00903B5C">
            <w:pPr>
              <w:pStyle w:val="TableParagraph"/>
              <w:spacing w:before="1"/>
              <w:ind w:left="114" w:right="135"/>
              <w:rPr>
                <w:sz w:val="20"/>
              </w:rPr>
            </w:pPr>
            <w:r>
              <w:rPr>
                <w:sz w:val="20"/>
              </w:rPr>
              <w:t>Regulating titles for vehicles</w:t>
            </w:r>
          </w:p>
        </w:tc>
        <w:tc>
          <w:tcPr>
            <w:tcW w:w="1285" w:type="dxa"/>
          </w:tcPr>
          <w:p w14:paraId="09B00F1D" w14:textId="77777777" w:rsidR="0046798B" w:rsidRDefault="0046798B">
            <w:pPr>
              <w:pStyle w:val="TableParagraph"/>
            </w:pPr>
          </w:p>
          <w:p w14:paraId="424090D8" w14:textId="77777777" w:rsidR="0046798B" w:rsidRDefault="0046798B">
            <w:pPr>
              <w:pStyle w:val="TableParagraph"/>
              <w:spacing w:before="8"/>
              <w:rPr>
                <w:sz w:val="31"/>
              </w:rPr>
            </w:pPr>
          </w:p>
          <w:p w14:paraId="420188FB" w14:textId="77777777" w:rsidR="0046798B" w:rsidRDefault="00903B5C">
            <w:pPr>
              <w:pStyle w:val="TableParagraph"/>
              <w:spacing w:before="1"/>
              <w:ind w:left="114"/>
              <w:rPr>
                <w:sz w:val="20"/>
              </w:rPr>
            </w:pPr>
            <w:r>
              <w:rPr>
                <w:sz w:val="20"/>
              </w:rPr>
              <w:t>2013–2014</w:t>
            </w:r>
          </w:p>
        </w:tc>
        <w:tc>
          <w:tcPr>
            <w:tcW w:w="3421" w:type="dxa"/>
          </w:tcPr>
          <w:p w14:paraId="4FF0EF35" w14:textId="77777777" w:rsidR="0046798B" w:rsidRDefault="0046798B">
            <w:pPr>
              <w:pStyle w:val="TableParagraph"/>
            </w:pPr>
          </w:p>
          <w:p w14:paraId="69159EEA" w14:textId="77777777" w:rsidR="0046798B" w:rsidRDefault="0046798B">
            <w:pPr>
              <w:pStyle w:val="TableParagraph"/>
              <w:spacing w:before="8"/>
              <w:rPr>
                <w:sz w:val="21"/>
              </w:rPr>
            </w:pPr>
          </w:p>
          <w:p w14:paraId="7D7E6EF7"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7673F283" w14:textId="77777777" w:rsidR="0046798B" w:rsidRDefault="00903B5C">
            <w:pPr>
              <w:pStyle w:val="TableParagraph"/>
              <w:spacing w:before="43"/>
              <w:ind w:left="114"/>
              <w:rPr>
                <w:sz w:val="20"/>
              </w:rPr>
            </w:pPr>
            <w:r>
              <w:rPr>
                <w:sz w:val="20"/>
              </w:rPr>
              <w:t xml:space="preserve">Uniform Law Commission website: </w:t>
            </w:r>
            <w:hyperlink r:id="rId911">
              <w:r>
                <w:rPr>
                  <w:color w:val="0462C1"/>
                  <w:sz w:val="20"/>
                  <w:u w:val="single" w:color="0462C1"/>
                </w:rPr>
                <w:t>http://www.uniformlaws.org/</w:t>
              </w:r>
            </w:hyperlink>
          </w:p>
          <w:p w14:paraId="592B844C" w14:textId="77777777" w:rsidR="0046798B" w:rsidRDefault="0046798B">
            <w:pPr>
              <w:pStyle w:val="TableParagraph"/>
              <w:rPr>
                <w:sz w:val="20"/>
              </w:rPr>
            </w:pPr>
          </w:p>
          <w:p w14:paraId="757F496C"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754944C3" w14:textId="77777777">
        <w:trPr>
          <w:trHeight w:val="2155"/>
        </w:trPr>
        <w:tc>
          <w:tcPr>
            <w:tcW w:w="1711" w:type="dxa"/>
          </w:tcPr>
          <w:p w14:paraId="7A05A453" w14:textId="77777777" w:rsidR="0046798B" w:rsidRDefault="0046798B">
            <w:pPr>
              <w:pStyle w:val="TableParagraph"/>
            </w:pPr>
          </w:p>
          <w:p w14:paraId="457E0B79" w14:textId="77777777" w:rsidR="0046798B" w:rsidRDefault="0046798B">
            <w:pPr>
              <w:pStyle w:val="TableParagraph"/>
            </w:pPr>
          </w:p>
          <w:p w14:paraId="0F8AFC99" w14:textId="77777777" w:rsidR="0046798B" w:rsidRDefault="0046798B">
            <w:pPr>
              <w:pStyle w:val="TableParagraph"/>
            </w:pPr>
          </w:p>
          <w:p w14:paraId="620932AD" w14:textId="77777777" w:rsidR="0046798B" w:rsidRDefault="0046798B">
            <w:pPr>
              <w:pStyle w:val="TableParagraph"/>
              <w:spacing w:before="9"/>
              <w:rPr>
                <w:sz w:val="17"/>
              </w:rPr>
            </w:pPr>
          </w:p>
          <w:p w14:paraId="15EA006D" w14:textId="77777777" w:rsidR="0046798B" w:rsidRDefault="00903B5C">
            <w:pPr>
              <w:pStyle w:val="TableParagraph"/>
              <w:ind w:left="115"/>
              <w:rPr>
                <w:b/>
                <w:sz w:val="20"/>
              </w:rPr>
            </w:pPr>
            <w:r>
              <w:rPr>
                <w:b/>
                <w:sz w:val="20"/>
              </w:rPr>
              <w:t>dalprdr</w:t>
            </w:r>
          </w:p>
        </w:tc>
        <w:tc>
          <w:tcPr>
            <w:tcW w:w="1596" w:type="dxa"/>
          </w:tcPr>
          <w:p w14:paraId="4D1F0673" w14:textId="77777777" w:rsidR="0046798B" w:rsidRDefault="0046798B">
            <w:pPr>
              <w:pStyle w:val="TableParagraph"/>
            </w:pPr>
          </w:p>
          <w:p w14:paraId="3A47541A" w14:textId="77777777" w:rsidR="0046798B" w:rsidRDefault="0046798B">
            <w:pPr>
              <w:pStyle w:val="TableParagraph"/>
              <w:spacing w:before="9"/>
              <w:rPr>
                <w:sz w:val="31"/>
              </w:rPr>
            </w:pPr>
          </w:p>
          <w:p w14:paraId="5D72399E" w14:textId="77777777" w:rsidR="0046798B" w:rsidRDefault="00903B5C">
            <w:pPr>
              <w:pStyle w:val="TableParagraph"/>
              <w:ind w:left="114" w:right="252"/>
              <w:rPr>
                <w:sz w:val="20"/>
              </w:rPr>
            </w:pPr>
            <w:r>
              <w:rPr>
                <w:sz w:val="20"/>
              </w:rPr>
              <w:t>Automated license plate reader data use and retention</w:t>
            </w:r>
          </w:p>
        </w:tc>
        <w:tc>
          <w:tcPr>
            <w:tcW w:w="1285" w:type="dxa"/>
          </w:tcPr>
          <w:p w14:paraId="021949E1" w14:textId="77777777" w:rsidR="0046798B" w:rsidRDefault="0046798B">
            <w:pPr>
              <w:pStyle w:val="TableParagraph"/>
            </w:pPr>
          </w:p>
          <w:p w14:paraId="1F33EA4C" w14:textId="77777777" w:rsidR="0046798B" w:rsidRDefault="0046798B">
            <w:pPr>
              <w:pStyle w:val="TableParagraph"/>
            </w:pPr>
          </w:p>
          <w:p w14:paraId="25B029E0" w14:textId="77777777" w:rsidR="0046798B" w:rsidRDefault="0046798B">
            <w:pPr>
              <w:pStyle w:val="TableParagraph"/>
            </w:pPr>
          </w:p>
          <w:p w14:paraId="72432CB2" w14:textId="77777777" w:rsidR="0046798B" w:rsidRDefault="0046798B">
            <w:pPr>
              <w:pStyle w:val="TableParagraph"/>
              <w:spacing w:before="9"/>
              <w:rPr>
                <w:sz w:val="17"/>
              </w:rPr>
            </w:pPr>
          </w:p>
          <w:p w14:paraId="16169CF5" w14:textId="77777777" w:rsidR="0046798B" w:rsidRDefault="00903B5C">
            <w:pPr>
              <w:pStyle w:val="TableParagraph"/>
              <w:ind w:left="114"/>
              <w:rPr>
                <w:sz w:val="20"/>
              </w:rPr>
            </w:pPr>
            <w:r>
              <w:rPr>
                <w:sz w:val="20"/>
              </w:rPr>
              <w:t>1957–2016</w:t>
            </w:r>
          </w:p>
        </w:tc>
        <w:tc>
          <w:tcPr>
            <w:tcW w:w="3421" w:type="dxa"/>
          </w:tcPr>
          <w:p w14:paraId="7C9012E1" w14:textId="77777777" w:rsidR="0046798B" w:rsidRDefault="00903B5C">
            <w:pPr>
              <w:pStyle w:val="TableParagraph"/>
              <w:spacing w:before="43"/>
              <w:ind w:left="114" w:right="94"/>
              <w:rPr>
                <w:sz w:val="20"/>
              </w:rPr>
            </w:pPr>
            <w:r>
              <w:rPr>
                <w:sz w:val="20"/>
              </w:rPr>
              <w:t>Automated License Plate Reader data use and retention (0 = no limits on data use and retention; 0.5 = use and data retention limited by AG opinion/directive; 1 = data use and retention limited by statute; 2 = significant statutory limits on use of ALPRs and retention of data/ALPRs do not exist)</w:t>
            </w:r>
          </w:p>
        </w:tc>
        <w:tc>
          <w:tcPr>
            <w:tcW w:w="6482" w:type="dxa"/>
          </w:tcPr>
          <w:p w14:paraId="3E314490" w14:textId="77777777" w:rsidR="0046798B" w:rsidRDefault="0046798B">
            <w:pPr>
              <w:pStyle w:val="TableParagraph"/>
            </w:pPr>
          </w:p>
          <w:p w14:paraId="032027DA" w14:textId="77777777" w:rsidR="0046798B" w:rsidRDefault="0046798B">
            <w:pPr>
              <w:pStyle w:val="TableParagraph"/>
            </w:pPr>
          </w:p>
          <w:p w14:paraId="03A57A04" w14:textId="77777777" w:rsidR="0046798B" w:rsidRDefault="0046798B">
            <w:pPr>
              <w:pStyle w:val="TableParagraph"/>
              <w:spacing w:before="9"/>
              <w:rPr>
                <w:sz w:val="19"/>
              </w:rPr>
            </w:pPr>
          </w:p>
          <w:p w14:paraId="7E46982F"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CC5DF8B" w14:textId="77777777">
        <w:trPr>
          <w:trHeight w:val="780"/>
        </w:trPr>
        <w:tc>
          <w:tcPr>
            <w:tcW w:w="1711" w:type="dxa"/>
          </w:tcPr>
          <w:p w14:paraId="16DFEDF2" w14:textId="77777777" w:rsidR="0046798B" w:rsidRDefault="0046798B">
            <w:pPr>
              <w:pStyle w:val="TableParagraph"/>
              <w:spacing w:before="8"/>
              <w:rPr>
                <w:sz w:val="23"/>
              </w:rPr>
            </w:pPr>
          </w:p>
          <w:p w14:paraId="27B80F31" w14:textId="77777777" w:rsidR="0046798B" w:rsidRDefault="00903B5C">
            <w:pPr>
              <w:pStyle w:val="TableParagraph"/>
              <w:spacing w:before="1"/>
              <w:ind w:left="115"/>
              <w:rPr>
                <w:b/>
                <w:sz w:val="20"/>
              </w:rPr>
            </w:pPr>
            <w:r>
              <w:rPr>
                <w:b/>
                <w:sz w:val="20"/>
              </w:rPr>
              <w:t>dautopip</w:t>
            </w:r>
          </w:p>
        </w:tc>
        <w:tc>
          <w:tcPr>
            <w:tcW w:w="1596" w:type="dxa"/>
          </w:tcPr>
          <w:p w14:paraId="5B2BA011" w14:textId="77777777" w:rsidR="0046798B" w:rsidRDefault="00903B5C">
            <w:pPr>
              <w:pStyle w:val="TableParagraph"/>
              <w:spacing w:before="158"/>
              <w:ind w:left="114" w:right="235"/>
              <w:rPr>
                <w:sz w:val="20"/>
              </w:rPr>
            </w:pPr>
            <w:r>
              <w:rPr>
                <w:sz w:val="20"/>
              </w:rPr>
              <w:t>Personal injury protection</w:t>
            </w:r>
          </w:p>
        </w:tc>
        <w:tc>
          <w:tcPr>
            <w:tcW w:w="1285" w:type="dxa"/>
          </w:tcPr>
          <w:p w14:paraId="33A8A124" w14:textId="77777777" w:rsidR="0046798B" w:rsidRDefault="0046798B">
            <w:pPr>
              <w:pStyle w:val="TableParagraph"/>
              <w:spacing w:before="8"/>
              <w:rPr>
                <w:sz w:val="23"/>
              </w:rPr>
            </w:pPr>
          </w:p>
          <w:p w14:paraId="673AAA4F" w14:textId="77777777" w:rsidR="0046798B" w:rsidRDefault="00903B5C">
            <w:pPr>
              <w:pStyle w:val="TableParagraph"/>
              <w:spacing w:before="1"/>
              <w:ind w:left="114"/>
              <w:rPr>
                <w:sz w:val="20"/>
              </w:rPr>
            </w:pPr>
            <w:r>
              <w:rPr>
                <w:sz w:val="20"/>
              </w:rPr>
              <w:t>2006–2014</w:t>
            </w:r>
          </w:p>
        </w:tc>
        <w:tc>
          <w:tcPr>
            <w:tcW w:w="3421" w:type="dxa"/>
          </w:tcPr>
          <w:p w14:paraId="50A4766F" w14:textId="77777777" w:rsidR="0046798B" w:rsidRDefault="00903B5C">
            <w:pPr>
              <w:pStyle w:val="TableParagraph"/>
              <w:spacing w:before="43"/>
              <w:ind w:left="114" w:right="252"/>
              <w:rPr>
                <w:sz w:val="20"/>
              </w:rPr>
            </w:pPr>
            <w:r>
              <w:rPr>
                <w:sz w:val="20"/>
              </w:rPr>
              <w:t>Personal injury protection (no-fault auto insurance) required? (0 = no, 1 = yes)</w:t>
            </w:r>
          </w:p>
        </w:tc>
        <w:tc>
          <w:tcPr>
            <w:tcW w:w="6482" w:type="dxa"/>
          </w:tcPr>
          <w:p w14:paraId="50606314"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6E1D92D6" w14:textId="77777777" w:rsidR="0046798B" w:rsidRDefault="0046798B">
      <w:pPr>
        <w:rPr>
          <w:sz w:val="20"/>
        </w:rPr>
        <w:sectPr w:rsidR="0046798B">
          <w:pgSz w:w="15840" w:h="12240" w:orient="landscape"/>
          <w:pgMar w:top="1220" w:right="300" w:bottom="980" w:left="820" w:header="730" w:footer="787" w:gutter="0"/>
          <w:cols w:space="720"/>
        </w:sectPr>
      </w:pPr>
    </w:p>
    <w:p w14:paraId="7F97168C"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206F0774" w14:textId="77777777">
        <w:trPr>
          <w:trHeight w:val="1235"/>
        </w:trPr>
        <w:tc>
          <w:tcPr>
            <w:tcW w:w="1711" w:type="dxa"/>
          </w:tcPr>
          <w:p w14:paraId="6248EDF8" w14:textId="77777777" w:rsidR="0046798B" w:rsidRDefault="0046798B">
            <w:pPr>
              <w:pStyle w:val="TableParagraph"/>
            </w:pPr>
          </w:p>
          <w:p w14:paraId="22DE3FB4" w14:textId="77777777" w:rsidR="0046798B" w:rsidRDefault="0046798B">
            <w:pPr>
              <w:pStyle w:val="TableParagraph"/>
              <w:spacing w:before="9"/>
              <w:rPr>
                <w:sz w:val="21"/>
              </w:rPr>
            </w:pPr>
          </w:p>
          <w:p w14:paraId="433E927D" w14:textId="77777777" w:rsidR="0046798B" w:rsidRDefault="00903B5C">
            <w:pPr>
              <w:pStyle w:val="TableParagraph"/>
              <w:ind w:left="115"/>
              <w:rPr>
                <w:b/>
                <w:sz w:val="20"/>
              </w:rPr>
            </w:pPr>
            <w:r>
              <w:rPr>
                <w:b/>
                <w:sz w:val="20"/>
              </w:rPr>
              <w:t>dautouuc</w:t>
            </w:r>
          </w:p>
        </w:tc>
        <w:tc>
          <w:tcPr>
            <w:tcW w:w="1596" w:type="dxa"/>
          </w:tcPr>
          <w:p w14:paraId="5286A4CB" w14:textId="77777777" w:rsidR="0046798B" w:rsidRDefault="0046798B">
            <w:pPr>
              <w:pStyle w:val="TableParagraph"/>
              <w:spacing w:before="9"/>
              <w:rPr>
                <w:sz w:val="23"/>
              </w:rPr>
            </w:pPr>
          </w:p>
          <w:p w14:paraId="126CE25B" w14:textId="77777777" w:rsidR="0046798B" w:rsidRDefault="00903B5C">
            <w:pPr>
              <w:pStyle w:val="TableParagraph"/>
              <w:ind w:left="114" w:right="106"/>
              <w:jc w:val="both"/>
              <w:rPr>
                <w:sz w:val="20"/>
              </w:rPr>
            </w:pPr>
            <w:r>
              <w:rPr>
                <w:sz w:val="20"/>
              </w:rPr>
              <w:t>Uninsured/under insured coverage required</w:t>
            </w:r>
          </w:p>
        </w:tc>
        <w:tc>
          <w:tcPr>
            <w:tcW w:w="1285" w:type="dxa"/>
          </w:tcPr>
          <w:p w14:paraId="76347208" w14:textId="77777777" w:rsidR="0046798B" w:rsidRDefault="0046798B">
            <w:pPr>
              <w:pStyle w:val="TableParagraph"/>
            </w:pPr>
          </w:p>
          <w:p w14:paraId="550786DB" w14:textId="77777777" w:rsidR="0046798B" w:rsidRDefault="0046798B">
            <w:pPr>
              <w:pStyle w:val="TableParagraph"/>
              <w:spacing w:before="9"/>
              <w:rPr>
                <w:sz w:val="21"/>
              </w:rPr>
            </w:pPr>
          </w:p>
          <w:p w14:paraId="1CCD5368" w14:textId="77777777" w:rsidR="0046798B" w:rsidRDefault="00903B5C">
            <w:pPr>
              <w:pStyle w:val="TableParagraph"/>
              <w:ind w:left="114"/>
              <w:rPr>
                <w:sz w:val="20"/>
              </w:rPr>
            </w:pPr>
            <w:r>
              <w:rPr>
                <w:sz w:val="20"/>
              </w:rPr>
              <w:t>2000–2016</w:t>
            </w:r>
          </w:p>
        </w:tc>
        <w:tc>
          <w:tcPr>
            <w:tcW w:w="3421" w:type="dxa"/>
          </w:tcPr>
          <w:p w14:paraId="0C057A13" w14:textId="77777777" w:rsidR="0046798B" w:rsidRDefault="00903B5C">
            <w:pPr>
              <w:pStyle w:val="TableParagraph"/>
              <w:spacing w:before="43"/>
              <w:ind w:left="114" w:right="496"/>
              <w:rPr>
                <w:sz w:val="20"/>
              </w:rPr>
            </w:pPr>
            <w:r>
              <w:rPr>
                <w:sz w:val="20"/>
              </w:rPr>
              <w:t>Uninsured/underinsured coverage required? (0 = no, 0.5 = only mandatory if a liability policy is purchased, 1 = uninsured only, 2 = both)</w:t>
            </w:r>
          </w:p>
        </w:tc>
        <w:tc>
          <w:tcPr>
            <w:tcW w:w="6482" w:type="dxa"/>
          </w:tcPr>
          <w:p w14:paraId="4928F4B5" w14:textId="77777777" w:rsidR="0046798B" w:rsidRDefault="0046798B">
            <w:pPr>
              <w:pStyle w:val="TableParagraph"/>
              <w:spacing w:before="9"/>
              <w:rPr>
                <w:sz w:val="23"/>
              </w:rPr>
            </w:pPr>
          </w:p>
          <w:p w14:paraId="43409A5F"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38F4DBB" w14:textId="77777777">
        <w:trPr>
          <w:trHeight w:val="1235"/>
        </w:trPr>
        <w:tc>
          <w:tcPr>
            <w:tcW w:w="1711" w:type="dxa"/>
          </w:tcPr>
          <w:p w14:paraId="5E7DB7EB" w14:textId="77777777" w:rsidR="0046798B" w:rsidRDefault="0046798B">
            <w:pPr>
              <w:pStyle w:val="TableParagraph"/>
            </w:pPr>
          </w:p>
          <w:p w14:paraId="180596DA" w14:textId="77777777" w:rsidR="0046798B" w:rsidRDefault="0046798B">
            <w:pPr>
              <w:pStyle w:val="TableParagraph"/>
              <w:spacing w:before="9"/>
              <w:rPr>
                <w:sz w:val="21"/>
              </w:rPr>
            </w:pPr>
          </w:p>
          <w:p w14:paraId="2978F2ED" w14:textId="77777777" w:rsidR="0046798B" w:rsidRDefault="00903B5C">
            <w:pPr>
              <w:pStyle w:val="TableParagraph"/>
              <w:ind w:left="115"/>
              <w:rPr>
                <w:b/>
                <w:sz w:val="20"/>
              </w:rPr>
            </w:pPr>
            <w:r>
              <w:rPr>
                <w:b/>
                <w:sz w:val="20"/>
              </w:rPr>
              <w:t>dbeltenf</w:t>
            </w:r>
          </w:p>
        </w:tc>
        <w:tc>
          <w:tcPr>
            <w:tcW w:w="1596" w:type="dxa"/>
          </w:tcPr>
          <w:p w14:paraId="200C3DC0" w14:textId="77777777" w:rsidR="0046798B" w:rsidRDefault="00903B5C">
            <w:pPr>
              <w:pStyle w:val="TableParagraph"/>
              <w:spacing w:before="43"/>
              <w:ind w:left="114" w:right="235"/>
              <w:rPr>
                <w:sz w:val="20"/>
              </w:rPr>
            </w:pPr>
            <w:r>
              <w:rPr>
                <w:sz w:val="20"/>
              </w:rPr>
              <w:t>Standard (primary) enforcement of belt use for adults</w:t>
            </w:r>
          </w:p>
        </w:tc>
        <w:tc>
          <w:tcPr>
            <w:tcW w:w="1285" w:type="dxa"/>
          </w:tcPr>
          <w:p w14:paraId="10A9A573" w14:textId="77777777" w:rsidR="0046798B" w:rsidRDefault="0046798B">
            <w:pPr>
              <w:pStyle w:val="TableParagraph"/>
            </w:pPr>
          </w:p>
          <w:p w14:paraId="573CF72E" w14:textId="77777777" w:rsidR="0046798B" w:rsidRDefault="0046798B">
            <w:pPr>
              <w:pStyle w:val="TableParagraph"/>
              <w:spacing w:before="9"/>
              <w:rPr>
                <w:sz w:val="21"/>
              </w:rPr>
            </w:pPr>
          </w:p>
          <w:p w14:paraId="58E387B6" w14:textId="77777777" w:rsidR="0046798B" w:rsidRDefault="00903B5C">
            <w:pPr>
              <w:pStyle w:val="TableParagraph"/>
              <w:ind w:left="114"/>
              <w:rPr>
                <w:sz w:val="20"/>
              </w:rPr>
            </w:pPr>
            <w:r>
              <w:rPr>
                <w:sz w:val="20"/>
              </w:rPr>
              <w:t>2000–2016</w:t>
            </w:r>
          </w:p>
        </w:tc>
        <w:tc>
          <w:tcPr>
            <w:tcW w:w="3421" w:type="dxa"/>
          </w:tcPr>
          <w:p w14:paraId="2BDA2F74" w14:textId="77777777" w:rsidR="0046798B" w:rsidRDefault="0046798B">
            <w:pPr>
              <w:pStyle w:val="TableParagraph"/>
            </w:pPr>
          </w:p>
          <w:p w14:paraId="6C5B42EA" w14:textId="77777777" w:rsidR="0046798B" w:rsidRDefault="00903B5C">
            <w:pPr>
              <w:pStyle w:val="TableParagraph"/>
              <w:spacing w:before="136"/>
              <w:ind w:left="114" w:right="133"/>
              <w:rPr>
                <w:sz w:val="20"/>
              </w:rPr>
            </w:pPr>
            <w:r>
              <w:rPr>
                <w:sz w:val="20"/>
              </w:rPr>
              <w:t>Standard (primary) enforcement of belt use for adults? (0 = no, 1 = yes)</w:t>
            </w:r>
          </w:p>
        </w:tc>
        <w:tc>
          <w:tcPr>
            <w:tcW w:w="6482" w:type="dxa"/>
          </w:tcPr>
          <w:p w14:paraId="0422F9AE" w14:textId="77777777" w:rsidR="0046798B" w:rsidRDefault="0046798B">
            <w:pPr>
              <w:pStyle w:val="TableParagraph"/>
              <w:spacing w:before="9"/>
              <w:rPr>
                <w:sz w:val="23"/>
              </w:rPr>
            </w:pPr>
          </w:p>
          <w:p w14:paraId="4CD146A0"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4701CD5" w14:textId="77777777">
        <w:trPr>
          <w:trHeight w:val="780"/>
        </w:trPr>
        <w:tc>
          <w:tcPr>
            <w:tcW w:w="1711" w:type="dxa"/>
          </w:tcPr>
          <w:p w14:paraId="7BA5BE18" w14:textId="77777777" w:rsidR="0046798B" w:rsidRDefault="0046798B">
            <w:pPr>
              <w:pStyle w:val="TableParagraph"/>
              <w:spacing w:before="9"/>
              <w:rPr>
                <w:sz w:val="23"/>
              </w:rPr>
            </w:pPr>
          </w:p>
          <w:p w14:paraId="207AA3A5" w14:textId="77777777" w:rsidR="0046798B" w:rsidRDefault="00903B5C">
            <w:pPr>
              <w:pStyle w:val="TableParagraph"/>
              <w:ind w:left="115"/>
              <w:rPr>
                <w:b/>
                <w:sz w:val="20"/>
              </w:rPr>
            </w:pPr>
            <w:r>
              <w:rPr>
                <w:b/>
                <w:sz w:val="20"/>
              </w:rPr>
              <w:t>dbeltlaw</w:t>
            </w:r>
          </w:p>
        </w:tc>
        <w:tc>
          <w:tcPr>
            <w:tcW w:w="1596" w:type="dxa"/>
          </w:tcPr>
          <w:p w14:paraId="1BE4AD69" w14:textId="77777777" w:rsidR="0046798B" w:rsidRDefault="00903B5C">
            <w:pPr>
              <w:pStyle w:val="TableParagraph"/>
              <w:spacing w:before="158"/>
              <w:ind w:left="114" w:right="135"/>
              <w:rPr>
                <w:sz w:val="20"/>
              </w:rPr>
            </w:pPr>
            <w:r>
              <w:rPr>
                <w:sz w:val="20"/>
              </w:rPr>
              <w:t>Seat belt law for adults</w:t>
            </w:r>
          </w:p>
        </w:tc>
        <w:tc>
          <w:tcPr>
            <w:tcW w:w="1285" w:type="dxa"/>
          </w:tcPr>
          <w:p w14:paraId="2EDD5F06" w14:textId="77777777" w:rsidR="0046798B" w:rsidRDefault="0046798B">
            <w:pPr>
              <w:pStyle w:val="TableParagraph"/>
              <w:spacing w:before="9"/>
              <w:rPr>
                <w:sz w:val="23"/>
              </w:rPr>
            </w:pPr>
          </w:p>
          <w:p w14:paraId="7D9346C3" w14:textId="77777777" w:rsidR="0046798B" w:rsidRDefault="00903B5C">
            <w:pPr>
              <w:pStyle w:val="TableParagraph"/>
              <w:ind w:left="114"/>
              <w:rPr>
                <w:sz w:val="20"/>
              </w:rPr>
            </w:pPr>
            <w:r>
              <w:rPr>
                <w:sz w:val="20"/>
              </w:rPr>
              <w:t>1957–2016</w:t>
            </w:r>
          </w:p>
        </w:tc>
        <w:tc>
          <w:tcPr>
            <w:tcW w:w="3421" w:type="dxa"/>
          </w:tcPr>
          <w:p w14:paraId="160EA206" w14:textId="77777777" w:rsidR="0046798B" w:rsidRDefault="00903B5C">
            <w:pPr>
              <w:pStyle w:val="TableParagraph"/>
              <w:spacing w:before="158"/>
              <w:ind w:left="114" w:right="352"/>
              <w:rPr>
                <w:sz w:val="20"/>
              </w:rPr>
            </w:pPr>
            <w:r>
              <w:rPr>
                <w:sz w:val="20"/>
              </w:rPr>
              <w:t>Seat belt law for adults? (0 = no, 1 = yes)</w:t>
            </w:r>
          </w:p>
        </w:tc>
        <w:tc>
          <w:tcPr>
            <w:tcW w:w="6482" w:type="dxa"/>
          </w:tcPr>
          <w:p w14:paraId="4A6A8B55"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3EBE2F6" w14:textId="77777777">
        <w:trPr>
          <w:trHeight w:val="775"/>
        </w:trPr>
        <w:tc>
          <w:tcPr>
            <w:tcW w:w="1711" w:type="dxa"/>
          </w:tcPr>
          <w:p w14:paraId="0C0F193C" w14:textId="77777777" w:rsidR="0046798B" w:rsidRDefault="0046798B">
            <w:pPr>
              <w:pStyle w:val="TableParagraph"/>
              <w:spacing w:before="3"/>
              <w:rPr>
                <w:sz w:val="23"/>
              </w:rPr>
            </w:pPr>
          </w:p>
          <w:p w14:paraId="3A47BE08" w14:textId="77777777" w:rsidR="0046798B" w:rsidRDefault="00903B5C">
            <w:pPr>
              <w:pStyle w:val="TableParagraph"/>
              <w:spacing w:before="1"/>
              <w:ind w:left="115"/>
              <w:rPr>
                <w:b/>
                <w:sz w:val="20"/>
              </w:rPr>
            </w:pPr>
            <w:r>
              <w:rPr>
                <w:b/>
                <w:sz w:val="20"/>
              </w:rPr>
              <w:t>dbelt</w:t>
            </w:r>
          </w:p>
        </w:tc>
        <w:tc>
          <w:tcPr>
            <w:tcW w:w="1596" w:type="dxa"/>
          </w:tcPr>
          <w:p w14:paraId="6D520B53" w14:textId="77777777" w:rsidR="0046798B" w:rsidRDefault="0046798B">
            <w:pPr>
              <w:pStyle w:val="TableParagraph"/>
              <w:spacing w:before="3"/>
              <w:rPr>
                <w:sz w:val="23"/>
              </w:rPr>
            </w:pPr>
          </w:p>
          <w:p w14:paraId="7F8967DC" w14:textId="77777777" w:rsidR="0046798B" w:rsidRDefault="00903B5C">
            <w:pPr>
              <w:pStyle w:val="TableParagraph"/>
              <w:spacing w:before="1"/>
              <w:ind w:left="114"/>
              <w:rPr>
                <w:sz w:val="20"/>
              </w:rPr>
            </w:pPr>
            <w:r>
              <w:rPr>
                <w:sz w:val="20"/>
              </w:rPr>
              <w:t>Seat belt index</w:t>
            </w:r>
          </w:p>
        </w:tc>
        <w:tc>
          <w:tcPr>
            <w:tcW w:w="1285" w:type="dxa"/>
          </w:tcPr>
          <w:p w14:paraId="556254BD" w14:textId="77777777" w:rsidR="0046798B" w:rsidRDefault="0046798B">
            <w:pPr>
              <w:pStyle w:val="TableParagraph"/>
              <w:spacing w:before="3"/>
              <w:rPr>
                <w:sz w:val="23"/>
              </w:rPr>
            </w:pPr>
          </w:p>
          <w:p w14:paraId="3859AD34" w14:textId="77777777" w:rsidR="0046798B" w:rsidRDefault="00903B5C">
            <w:pPr>
              <w:pStyle w:val="TableParagraph"/>
              <w:spacing w:before="1"/>
              <w:ind w:left="114"/>
              <w:rPr>
                <w:sz w:val="20"/>
              </w:rPr>
            </w:pPr>
            <w:r>
              <w:rPr>
                <w:sz w:val="20"/>
              </w:rPr>
              <w:t>2000–2016</w:t>
            </w:r>
          </w:p>
        </w:tc>
        <w:tc>
          <w:tcPr>
            <w:tcW w:w="3421" w:type="dxa"/>
          </w:tcPr>
          <w:p w14:paraId="635675DC" w14:textId="77777777" w:rsidR="0046798B" w:rsidRDefault="0046798B">
            <w:pPr>
              <w:pStyle w:val="TableParagraph"/>
              <w:spacing w:before="3"/>
              <w:rPr>
                <w:sz w:val="23"/>
              </w:rPr>
            </w:pPr>
          </w:p>
          <w:p w14:paraId="06F46E30" w14:textId="77777777" w:rsidR="0046798B" w:rsidRDefault="00903B5C">
            <w:pPr>
              <w:pStyle w:val="TableParagraph"/>
              <w:spacing w:before="1"/>
              <w:ind w:left="114"/>
              <w:rPr>
                <w:sz w:val="20"/>
              </w:rPr>
            </w:pPr>
            <w:r>
              <w:rPr>
                <w:sz w:val="20"/>
              </w:rPr>
              <w:t>Seat belt index: dbeltlaw + dbeltenf</w:t>
            </w:r>
          </w:p>
        </w:tc>
        <w:tc>
          <w:tcPr>
            <w:tcW w:w="6482" w:type="dxa"/>
          </w:tcPr>
          <w:p w14:paraId="6A33E52D" w14:textId="77777777" w:rsidR="0046798B" w:rsidRDefault="00903B5C">
            <w:pPr>
              <w:pStyle w:val="TableParagraph"/>
              <w:spacing w:before="3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40F2112" w14:textId="77777777">
        <w:trPr>
          <w:trHeight w:val="775"/>
        </w:trPr>
        <w:tc>
          <w:tcPr>
            <w:tcW w:w="1711" w:type="dxa"/>
          </w:tcPr>
          <w:p w14:paraId="6B6EDB9E" w14:textId="77777777" w:rsidR="0046798B" w:rsidRDefault="0046798B">
            <w:pPr>
              <w:pStyle w:val="TableParagraph"/>
              <w:spacing w:before="4"/>
              <w:rPr>
                <w:sz w:val="23"/>
              </w:rPr>
            </w:pPr>
          </w:p>
          <w:p w14:paraId="16EC3DF4" w14:textId="77777777" w:rsidR="0046798B" w:rsidRDefault="00903B5C">
            <w:pPr>
              <w:pStyle w:val="TableParagraph"/>
              <w:ind w:left="115"/>
              <w:rPr>
                <w:b/>
                <w:sz w:val="20"/>
              </w:rPr>
            </w:pPr>
            <w:r>
              <w:rPr>
                <w:b/>
                <w:sz w:val="20"/>
              </w:rPr>
              <w:t>dbike</w:t>
            </w:r>
          </w:p>
        </w:tc>
        <w:tc>
          <w:tcPr>
            <w:tcW w:w="1596" w:type="dxa"/>
          </w:tcPr>
          <w:p w14:paraId="00116F5E" w14:textId="77777777" w:rsidR="0046798B" w:rsidRDefault="00903B5C">
            <w:pPr>
              <w:pStyle w:val="TableParagraph"/>
              <w:spacing w:before="153"/>
              <w:ind w:left="114" w:right="246"/>
              <w:rPr>
                <w:sz w:val="20"/>
              </w:rPr>
            </w:pPr>
            <w:r>
              <w:rPr>
                <w:sz w:val="20"/>
              </w:rPr>
              <w:t>Bicycle helmet law exists</w:t>
            </w:r>
          </w:p>
        </w:tc>
        <w:tc>
          <w:tcPr>
            <w:tcW w:w="1285" w:type="dxa"/>
          </w:tcPr>
          <w:p w14:paraId="37EA25B1" w14:textId="77777777" w:rsidR="0046798B" w:rsidRDefault="0046798B">
            <w:pPr>
              <w:pStyle w:val="TableParagraph"/>
              <w:spacing w:before="4"/>
              <w:rPr>
                <w:sz w:val="23"/>
              </w:rPr>
            </w:pPr>
          </w:p>
          <w:p w14:paraId="2CB4C827" w14:textId="77777777" w:rsidR="0046798B" w:rsidRDefault="00903B5C">
            <w:pPr>
              <w:pStyle w:val="TableParagraph"/>
              <w:ind w:left="114"/>
              <w:rPr>
                <w:sz w:val="20"/>
              </w:rPr>
            </w:pPr>
            <w:r>
              <w:rPr>
                <w:sz w:val="20"/>
              </w:rPr>
              <w:t>2000–2016</w:t>
            </w:r>
          </w:p>
        </w:tc>
        <w:tc>
          <w:tcPr>
            <w:tcW w:w="3421" w:type="dxa"/>
          </w:tcPr>
          <w:p w14:paraId="2E6F40E8" w14:textId="77777777" w:rsidR="0046798B" w:rsidRDefault="00903B5C">
            <w:pPr>
              <w:pStyle w:val="TableParagraph"/>
              <w:spacing w:before="153"/>
              <w:ind w:left="114" w:right="146"/>
              <w:rPr>
                <w:sz w:val="20"/>
              </w:rPr>
            </w:pPr>
            <w:r>
              <w:rPr>
                <w:sz w:val="20"/>
              </w:rPr>
              <w:t>Bicycle helmet law exists? (0 = no, 1 = yes)</w:t>
            </w:r>
          </w:p>
        </w:tc>
        <w:tc>
          <w:tcPr>
            <w:tcW w:w="6482" w:type="dxa"/>
          </w:tcPr>
          <w:p w14:paraId="7D19DBB8" w14:textId="77777777" w:rsidR="0046798B" w:rsidRDefault="00903B5C">
            <w:pPr>
              <w:pStyle w:val="TableParagraph"/>
              <w:spacing w:before="3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2236656" w14:textId="77777777">
        <w:trPr>
          <w:trHeight w:val="1005"/>
        </w:trPr>
        <w:tc>
          <w:tcPr>
            <w:tcW w:w="1711" w:type="dxa"/>
          </w:tcPr>
          <w:p w14:paraId="337499DD" w14:textId="77777777" w:rsidR="0046798B" w:rsidRDefault="0046798B">
            <w:pPr>
              <w:pStyle w:val="TableParagraph"/>
            </w:pPr>
          </w:p>
          <w:p w14:paraId="1B3F8376" w14:textId="77777777" w:rsidR="0046798B" w:rsidRDefault="00903B5C">
            <w:pPr>
              <w:pStyle w:val="TableParagraph"/>
              <w:spacing w:before="136"/>
              <w:ind w:left="115"/>
              <w:rPr>
                <w:b/>
                <w:sz w:val="20"/>
              </w:rPr>
            </w:pPr>
            <w:r>
              <w:rPr>
                <w:b/>
                <w:sz w:val="20"/>
              </w:rPr>
              <w:t>dcell</w:t>
            </w:r>
          </w:p>
        </w:tc>
        <w:tc>
          <w:tcPr>
            <w:tcW w:w="1596" w:type="dxa"/>
          </w:tcPr>
          <w:p w14:paraId="6EA306FA" w14:textId="77777777" w:rsidR="0046798B" w:rsidRDefault="00903B5C">
            <w:pPr>
              <w:pStyle w:val="TableParagraph"/>
              <w:spacing w:before="43"/>
              <w:ind w:left="114" w:right="144"/>
              <w:rPr>
                <w:sz w:val="20"/>
              </w:rPr>
            </w:pPr>
            <w:r>
              <w:rPr>
                <w:sz w:val="20"/>
              </w:rPr>
              <w:t xml:space="preserve">Statewide ban on handheld </w:t>
            </w:r>
            <w:r>
              <w:rPr>
                <w:spacing w:val="-5"/>
                <w:sz w:val="20"/>
              </w:rPr>
              <w:t xml:space="preserve">cell </w:t>
            </w:r>
            <w:r>
              <w:rPr>
                <w:sz w:val="20"/>
              </w:rPr>
              <w:t>phones for all drivers</w:t>
            </w:r>
          </w:p>
        </w:tc>
        <w:tc>
          <w:tcPr>
            <w:tcW w:w="1285" w:type="dxa"/>
          </w:tcPr>
          <w:p w14:paraId="7F4F9F1A" w14:textId="77777777" w:rsidR="0046798B" w:rsidRDefault="0046798B">
            <w:pPr>
              <w:pStyle w:val="TableParagraph"/>
            </w:pPr>
          </w:p>
          <w:p w14:paraId="2C979312" w14:textId="77777777" w:rsidR="0046798B" w:rsidRDefault="00903B5C">
            <w:pPr>
              <w:pStyle w:val="TableParagraph"/>
              <w:spacing w:before="136"/>
              <w:ind w:left="114"/>
              <w:rPr>
                <w:sz w:val="20"/>
              </w:rPr>
            </w:pPr>
            <w:r>
              <w:rPr>
                <w:sz w:val="20"/>
              </w:rPr>
              <w:t>2000–2016</w:t>
            </w:r>
          </w:p>
        </w:tc>
        <w:tc>
          <w:tcPr>
            <w:tcW w:w="3421" w:type="dxa"/>
          </w:tcPr>
          <w:p w14:paraId="4DF1DF4C" w14:textId="77777777" w:rsidR="0046798B" w:rsidRDefault="00903B5C">
            <w:pPr>
              <w:pStyle w:val="TableParagraph"/>
              <w:spacing w:before="158"/>
              <w:ind w:left="114" w:right="178"/>
              <w:jc w:val="both"/>
              <w:rPr>
                <w:sz w:val="20"/>
              </w:rPr>
            </w:pPr>
            <w:r>
              <w:rPr>
                <w:sz w:val="20"/>
              </w:rPr>
              <w:t>Statewide ban on handheld cell phones for all drivers? (0 = no, 1 = secondary, 2 = primary)</w:t>
            </w:r>
          </w:p>
        </w:tc>
        <w:tc>
          <w:tcPr>
            <w:tcW w:w="6482" w:type="dxa"/>
          </w:tcPr>
          <w:p w14:paraId="53104492"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76EB995" w14:textId="77777777">
        <w:trPr>
          <w:trHeight w:val="1005"/>
        </w:trPr>
        <w:tc>
          <w:tcPr>
            <w:tcW w:w="1711" w:type="dxa"/>
          </w:tcPr>
          <w:p w14:paraId="1319CE28" w14:textId="77777777" w:rsidR="0046798B" w:rsidRDefault="0046798B">
            <w:pPr>
              <w:pStyle w:val="TableParagraph"/>
            </w:pPr>
          </w:p>
          <w:p w14:paraId="600690FF" w14:textId="77777777" w:rsidR="0046798B" w:rsidRDefault="00903B5C">
            <w:pPr>
              <w:pStyle w:val="TableParagraph"/>
              <w:spacing w:before="135"/>
              <w:ind w:left="115"/>
              <w:rPr>
                <w:b/>
                <w:sz w:val="20"/>
              </w:rPr>
            </w:pPr>
            <w:r>
              <w:rPr>
                <w:b/>
                <w:sz w:val="20"/>
              </w:rPr>
              <w:t>dfprint</w:t>
            </w:r>
          </w:p>
        </w:tc>
        <w:tc>
          <w:tcPr>
            <w:tcW w:w="1596" w:type="dxa"/>
          </w:tcPr>
          <w:p w14:paraId="76F576E0" w14:textId="77777777" w:rsidR="0046798B" w:rsidRDefault="00903B5C">
            <w:pPr>
              <w:pStyle w:val="TableParagraph"/>
              <w:spacing w:before="43"/>
              <w:ind w:left="114" w:right="152"/>
              <w:rPr>
                <w:sz w:val="20"/>
              </w:rPr>
            </w:pPr>
            <w:r>
              <w:rPr>
                <w:sz w:val="20"/>
              </w:rPr>
              <w:t>Finger or thumb print required for driver’s license</w:t>
            </w:r>
          </w:p>
        </w:tc>
        <w:tc>
          <w:tcPr>
            <w:tcW w:w="1285" w:type="dxa"/>
          </w:tcPr>
          <w:p w14:paraId="41DE7353" w14:textId="77777777" w:rsidR="0046798B" w:rsidRDefault="0046798B">
            <w:pPr>
              <w:pStyle w:val="TableParagraph"/>
            </w:pPr>
          </w:p>
          <w:p w14:paraId="0DFB0C0D" w14:textId="77777777" w:rsidR="0046798B" w:rsidRDefault="00903B5C">
            <w:pPr>
              <w:pStyle w:val="TableParagraph"/>
              <w:spacing w:before="135"/>
              <w:ind w:left="114"/>
              <w:rPr>
                <w:sz w:val="20"/>
              </w:rPr>
            </w:pPr>
            <w:r>
              <w:rPr>
                <w:sz w:val="20"/>
              </w:rPr>
              <w:t>2000–2016</w:t>
            </w:r>
          </w:p>
        </w:tc>
        <w:tc>
          <w:tcPr>
            <w:tcW w:w="3421" w:type="dxa"/>
          </w:tcPr>
          <w:p w14:paraId="7309FA7A" w14:textId="77777777" w:rsidR="0046798B" w:rsidRDefault="00903B5C">
            <w:pPr>
              <w:pStyle w:val="TableParagraph"/>
              <w:spacing w:before="158"/>
              <w:ind w:left="114" w:right="210"/>
              <w:rPr>
                <w:sz w:val="20"/>
              </w:rPr>
            </w:pPr>
            <w:r>
              <w:rPr>
                <w:sz w:val="20"/>
              </w:rPr>
              <w:t>Finger or thumb print required for driver's license? (0 = no, 0.5 = local, 1</w:t>
            </w:r>
          </w:p>
          <w:p w14:paraId="60DB1D85" w14:textId="77777777" w:rsidR="0046798B" w:rsidRDefault="00903B5C">
            <w:pPr>
              <w:pStyle w:val="TableParagraph"/>
              <w:ind w:left="114"/>
              <w:rPr>
                <w:sz w:val="20"/>
              </w:rPr>
            </w:pPr>
            <w:r>
              <w:rPr>
                <w:sz w:val="20"/>
              </w:rPr>
              <w:t>= state)</w:t>
            </w:r>
          </w:p>
        </w:tc>
        <w:tc>
          <w:tcPr>
            <w:tcW w:w="6482" w:type="dxa"/>
          </w:tcPr>
          <w:p w14:paraId="51085341" w14:textId="77777777" w:rsidR="0046798B" w:rsidRDefault="00903B5C">
            <w:pPr>
              <w:pStyle w:val="TableParagraph"/>
              <w:spacing w:before="158"/>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F73486B" w14:textId="77777777">
        <w:trPr>
          <w:trHeight w:val="1005"/>
        </w:trPr>
        <w:tc>
          <w:tcPr>
            <w:tcW w:w="1711" w:type="dxa"/>
          </w:tcPr>
          <w:p w14:paraId="7DD26237" w14:textId="77777777" w:rsidR="0046798B" w:rsidRDefault="0046798B">
            <w:pPr>
              <w:pStyle w:val="TableParagraph"/>
            </w:pPr>
          </w:p>
          <w:p w14:paraId="0B0ED710" w14:textId="77777777" w:rsidR="0046798B" w:rsidRDefault="00903B5C">
            <w:pPr>
              <w:pStyle w:val="TableParagraph"/>
              <w:spacing w:before="135"/>
              <w:ind w:left="115"/>
              <w:rPr>
                <w:b/>
                <w:sz w:val="20"/>
              </w:rPr>
            </w:pPr>
            <w:r>
              <w:rPr>
                <w:b/>
                <w:sz w:val="20"/>
              </w:rPr>
              <w:t>dhelmall</w:t>
            </w:r>
          </w:p>
        </w:tc>
        <w:tc>
          <w:tcPr>
            <w:tcW w:w="1596" w:type="dxa"/>
          </w:tcPr>
          <w:p w14:paraId="535D36AF" w14:textId="77777777" w:rsidR="0046798B" w:rsidRDefault="00903B5C">
            <w:pPr>
              <w:pStyle w:val="TableParagraph"/>
              <w:spacing w:before="43"/>
              <w:ind w:left="114" w:right="520"/>
              <w:jc w:val="both"/>
              <w:rPr>
                <w:sz w:val="20"/>
              </w:rPr>
            </w:pPr>
            <w:r>
              <w:rPr>
                <w:sz w:val="20"/>
              </w:rPr>
              <w:t>Motorcycle helmet law covering all drivers</w:t>
            </w:r>
          </w:p>
        </w:tc>
        <w:tc>
          <w:tcPr>
            <w:tcW w:w="1285" w:type="dxa"/>
          </w:tcPr>
          <w:p w14:paraId="3A07C86B" w14:textId="77777777" w:rsidR="0046798B" w:rsidRDefault="0046798B">
            <w:pPr>
              <w:pStyle w:val="TableParagraph"/>
            </w:pPr>
          </w:p>
          <w:p w14:paraId="57A0797A" w14:textId="77777777" w:rsidR="0046798B" w:rsidRDefault="00903B5C">
            <w:pPr>
              <w:pStyle w:val="TableParagraph"/>
              <w:spacing w:before="135"/>
              <w:ind w:left="114"/>
              <w:rPr>
                <w:sz w:val="20"/>
              </w:rPr>
            </w:pPr>
            <w:r>
              <w:rPr>
                <w:sz w:val="20"/>
              </w:rPr>
              <w:t>2000–2016</w:t>
            </w:r>
          </w:p>
        </w:tc>
        <w:tc>
          <w:tcPr>
            <w:tcW w:w="3421" w:type="dxa"/>
          </w:tcPr>
          <w:p w14:paraId="42611789" w14:textId="77777777" w:rsidR="0046798B" w:rsidRDefault="0046798B">
            <w:pPr>
              <w:pStyle w:val="TableParagraph"/>
              <w:spacing w:before="8"/>
              <w:rPr>
                <w:sz w:val="23"/>
              </w:rPr>
            </w:pPr>
          </w:p>
          <w:p w14:paraId="21D0B0EC" w14:textId="77777777" w:rsidR="0046798B" w:rsidRDefault="00903B5C">
            <w:pPr>
              <w:pStyle w:val="TableParagraph"/>
              <w:spacing w:before="1"/>
              <w:ind w:left="114" w:right="422"/>
              <w:rPr>
                <w:sz w:val="20"/>
              </w:rPr>
            </w:pPr>
            <w:r>
              <w:rPr>
                <w:sz w:val="20"/>
              </w:rPr>
              <w:t>Motorcycle helmet law covering all drivers? (0 = no, 1 = yes)</w:t>
            </w:r>
          </w:p>
        </w:tc>
        <w:tc>
          <w:tcPr>
            <w:tcW w:w="6482" w:type="dxa"/>
          </w:tcPr>
          <w:p w14:paraId="5E201284"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A551C26" w14:textId="77777777">
        <w:trPr>
          <w:trHeight w:val="1010"/>
        </w:trPr>
        <w:tc>
          <w:tcPr>
            <w:tcW w:w="1711" w:type="dxa"/>
          </w:tcPr>
          <w:p w14:paraId="54ADEB04" w14:textId="77777777" w:rsidR="0046798B" w:rsidRDefault="0046798B">
            <w:pPr>
              <w:pStyle w:val="TableParagraph"/>
            </w:pPr>
          </w:p>
          <w:p w14:paraId="2F1DD07F" w14:textId="77777777" w:rsidR="0046798B" w:rsidRDefault="00903B5C">
            <w:pPr>
              <w:pStyle w:val="TableParagraph"/>
              <w:spacing w:before="135"/>
              <w:ind w:left="115"/>
              <w:rPr>
                <w:b/>
                <w:sz w:val="20"/>
              </w:rPr>
            </w:pPr>
            <w:r>
              <w:rPr>
                <w:b/>
                <w:sz w:val="20"/>
              </w:rPr>
              <w:t>dhelmpar</w:t>
            </w:r>
          </w:p>
        </w:tc>
        <w:tc>
          <w:tcPr>
            <w:tcW w:w="1596" w:type="dxa"/>
          </w:tcPr>
          <w:p w14:paraId="25D45C06" w14:textId="77777777" w:rsidR="0046798B" w:rsidRDefault="00903B5C">
            <w:pPr>
              <w:pStyle w:val="TableParagraph"/>
              <w:spacing w:before="43"/>
              <w:ind w:left="114" w:right="280"/>
              <w:rPr>
                <w:sz w:val="20"/>
              </w:rPr>
            </w:pPr>
            <w:r>
              <w:rPr>
                <w:sz w:val="20"/>
              </w:rPr>
              <w:t>Motorcycle helmet law covering some riders</w:t>
            </w:r>
          </w:p>
        </w:tc>
        <w:tc>
          <w:tcPr>
            <w:tcW w:w="1285" w:type="dxa"/>
          </w:tcPr>
          <w:p w14:paraId="5EDB1B62" w14:textId="77777777" w:rsidR="0046798B" w:rsidRDefault="0046798B">
            <w:pPr>
              <w:pStyle w:val="TableParagraph"/>
            </w:pPr>
          </w:p>
          <w:p w14:paraId="16B66A34" w14:textId="77777777" w:rsidR="0046798B" w:rsidRDefault="00903B5C">
            <w:pPr>
              <w:pStyle w:val="TableParagraph"/>
              <w:spacing w:before="135"/>
              <w:ind w:left="114"/>
              <w:rPr>
                <w:sz w:val="20"/>
              </w:rPr>
            </w:pPr>
            <w:r>
              <w:rPr>
                <w:sz w:val="20"/>
              </w:rPr>
              <w:t>2000–2016</w:t>
            </w:r>
          </w:p>
        </w:tc>
        <w:tc>
          <w:tcPr>
            <w:tcW w:w="3421" w:type="dxa"/>
          </w:tcPr>
          <w:p w14:paraId="6F14FA12" w14:textId="77777777" w:rsidR="0046798B" w:rsidRDefault="0046798B">
            <w:pPr>
              <w:pStyle w:val="TableParagraph"/>
              <w:spacing w:before="8"/>
              <w:rPr>
                <w:sz w:val="23"/>
              </w:rPr>
            </w:pPr>
          </w:p>
          <w:p w14:paraId="12CA72B0" w14:textId="77777777" w:rsidR="0046798B" w:rsidRDefault="00903B5C">
            <w:pPr>
              <w:pStyle w:val="TableParagraph"/>
              <w:spacing w:before="1"/>
              <w:ind w:left="114" w:right="200"/>
              <w:rPr>
                <w:sz w:val="20"/>
              </w:rPr>
            </w:pPr>
            <w:r>
              <w:rPr>
                <w:sz w:val="20"/>
              </w:rPr>
              <w:t>Motorcycle helmet law covering some riders? (0 = no, 1 = yes)</w:t>
            </w:r>
          </w:p>
        </w:tc>
        <w:tc>
          <w:tcPr>
            <w:tcW w:w="6482" w:type="dxa"/>
          </w:tcPr>
          <w:p w14:paraId="7B9E7E02"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7E25965F" w14:textId="77777777" w:rsidR="0046798B" w:rsidRDefault="0046798B">
      <w:pPr>
        <w:rPr>
          <w:sz w:val="20"/>
        </w:rPr>
        <w:sectPr w:rsidR="0046798B">
          <w:pgSz w:w="15840" w:h="12240" w:orient="landscape"/>
          <w:pgMar w:top="1220" w:right="300" w:bottom="980" w:left="820" w:header="730" w:footer="787" w:gutter="0"/>
          <w:cols w:space="720"/>
        </w:sectPr>
      </w:pPr>
    </w:p>
    <w:p w14:paraId="0306C00A"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31F318CD" w14:textId="77777777">
        <w:trPr>
          <w:trHeight w:val="1005"/>
        </w:trPr>
        <w:tc>
          <w:tcPr>
            <w:tcW w:w="1711" w:type="dxa"/>
          </w:tcPr>
          <w:p w14:paraId="3501E71F" w14:textId="77777777" w:rsidR="0046798B" w:rsidRDefault="0046798B">
            <w:pPr>
              <w:pStyle w:val="TableParagraph"/>
            </w:pPr>
          </w:p>
          <w:p w14:paraId="250C5F8A" w14:textId="77777777" w:rsidR="0046798B" w:rsidRDefault="00903B5C">
            <w:pPr>
              <w:pStyle w:val="TableParagraph"/>
              <w:spacing w:before="135"/>
              <w:ind w:left="115"/>
              <w:rPr>
                <w:b/>
                <w:sz w:val="20"/>
              </w:rPr>
            </w:pPr>
            <w:r>
              <w:rPr>
                <w:b/>
                <w:sz w:val="20"/>
              </w:rPr>
              <w:t>dimmdl</w:t>
            </w:r>
          </w:p>
        </w:tc>
        <w:tc>
          <w:tcPr>
            <w:tcW w:w="1596" w:type="dxa"/>
          </w:tcPr>
          <w:p w14:paraId="66BA025A" w14:textId="77777777" w:rsidR="0046798B" w:rsidRDefault="00903B5C">
            <w:pPr>
              <w:pStyle w:val="TableParagraph"/>
              <w:spacing w:before="43"/>
              <w:ind w:left="114" w:right="117"/>
              <w:rPr>
                <w:sz w:val="20"/>
              </w:rPr>
            </w:pPr>
            <w:r>
              <w:rPr>
                <w:sz w:val="20"/>
              </w:rPr>
              <w:t>Driver’s licenses available to residents without</w:t>
            </w:r>
            <w:r>
              <w:rPr>
                <w:spacing w:val="-2"/>
                <w:sz w:val="20"/>
              </w:rPr>
              <w:t xml:space="preserve"> </w:t>
            </w:r>
            <w:r>
              <w:rPr>
                <w:sz w:val="20"/>
              </w:rPr>
              <w:t>SSNs</w:t>
            </w:r>
          </w:p>
        </w:tc>
        <w:tc>
          <w:tcPr>
            <w:tcW w:w="1285" w:type="dxa"/>
          </w:tcPr>
          <w:p w14:paraId="08F93301" w14:textId="77777777" w:rsidR="0046798B" w:rsidRDefault="0046798B">
            <w:pPr>
              <w:pStyle w:val="TableParagraph"/>
            </w:pPr>
          </w:p>
          <w:p w14:paraId="5B266DF3" w14:textId="77777777" w:rsidR="0046798B" w:rsidRDefault="00903B5C">
            <w:pPr>
              <w:pStyle w:val="TableParagraph"/>
              <w:spacing w:before="135"/>
              <w:ind w:left="114"/>
              <w:rPr>
                <w:sz w:val="20"/>
              </w:rPr>
            </w:pPr>
            <w:r>
              <w:rPr>
                <w:sz w:val="20"/>
              </w:rPr>
              <w:t>2000–2016</w:t>
            </w:r>
          </w:p>
        </w:tc>
        <w:tc>
          <w:tcPr>
            <w:tcW w:w="3421" w:type="dxa"/>
          </w:tcPr>
          <w:p w14:paraId="6C54F325" w14:textId="77777777" w:rsidR="0046798B" w:rsidRDefault="0046798B">
            <w:pPr>
              <w:pStyle w:val="TableParagraph"/>
              <w:spacing w:before="9"/>
              <w:rPr>
                <w:sz w:val="23"/>
              </w:rPr>
            </w:pPr>
          </w:p>
          <w:p w14:paraId="1200B38D" w14:textId="77777777" w:rsidR="0046798B" w:rsidRDefault="00903B5C">
            <w:pPr>
              <w:pStyle w:val="TableParagraph"/>
              <w:ind w:left="114" w:right="189"/>
              <w:rPr>
                <w:sz w:val="20"/>
              </w:rPr>
            </w:pPr>
            <w:r>
              <w:rPr>
                <w:sz w:val="20"/>
              </w:rPr>
              <w:t>Driver’s licenses available to residents without SSNs? (0 = no, 1 = yes)</w:t>
            </w:r>
          </w:p>
        </w:tc>
        <w:tc>
          <w:tcPr>
            <w:tcW w:w="6482" w:type="dxa"/>
          </w:tcPr>
          <w:p w14:paraId="3FF4EB49" w14:textId="77777777" w:rsidR="0046798B" w:rsidRDefault="00903B5C">
            <w:pPr>
              <w:pStyle w:val="TableParagraph"/>
              <w:spacing w:before="158"/>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DED6FDA" w14:textId="77777777">
        <w:trPr>
          <w:trHeight w:val="775"/>
        </w:trPr>
        <w:tc>
          <w:tcPr>
            <w:tcW w:w="1711" w:type="dxa"/>
          </w:tcPr>
          <w:p w14:paraId="560B3CAC" w14:textId="77777777" w:rsidR="0046798B" w:rsidRDefault="0046798B">
            <w:pPr>
              <w:pStyle w:val="TableParagraph"/>
              <w:spacing w:before="8"/>
              <w:rPr>
                <w:sz w:val="23"/>
              </w:rPr>
            </w:pPr>
          </w:p>
          <w:p w14:paraId="08238846" w14:textId="77777777" w:rsidR="0046798B" w:rsidRDefault="00903B5C">
            <w:pPr>
              <w:pStyle w:val="TableParagraph"/>
              <w:spacing w:before="1"/>
              <w:ind w:left="115"/>
              <w:rPr>
                <w:b/>
                <w:sz w:val="20"/>
              </w:rPr>
            </w:pPr>
            <w:r>
              <w:rPr>
                <w:b/>
                <w:sz w:val="20"/>
              </w:rPr>
              <w:t>ddlicren</w:t>
            </w:r>
          </w:p>
        </w:tc>
        <w:tc>
          <w:tcPr>
            <w:tcW w:w="1596" w:type="dxa"/>
          </w:tcPr>
          <w:p w14:paraId="562FAD96" w14:textId="77777777" w:rsidR="0046798B" w:rsidRDefault="00903B5C">
            <w:pPr>
              <w:pStyle w:val="TableParagraph"/>
              <w:spacing w:before="158"/>
              <w:ind w:left="114" w:right="180"/>
              <w:rPr>
                <w:sz w:val="20"/>
              </w:rPr>
            </w:pPr>
            <w:r>
              <w:rPr>
                <w:sz w:val="20"/>
              </w:rPr>
              <w:t>Driver’s license renewal cycle</w:t>
            </w:r>
          </w:p>
        </w:tc>
        <w:tc>
          <w:tcPr>
            <w:tcW w:w="1285" w:type="dxa"/>
          </w:tcPr>
          <w:p w14:paraId="7E232A41" w14:textId="77777777" w:rsidR="0046798B" w:rsidRDefault="0046798B">
            <w:pPr>
              <w:pStyle w:val="TableParagraph"/>
              <w:spacing w:before="8"/>
              <w:rPr>
                <w:sz w:val="23"/>
              </w:rPr>
            </w:pPr>
          </w:p>
          <w:p w14:paraId="26190CDB" w14:textId="77777777" w:rsidR="0046798B" w:rsidRDefault="00903B5C">
            <w:pPr>
              <w:pStyle w:val="TableParagraph"/>
              <w:spacing w:before="1"/>
              <w:ind w:left="114"/>
              <w:rPr>
                <w:sz w:val="20"/>
              </w:rPr>
            </w:pPr>
            <w:r>
              <w:rPr>
                <w:sz w:val="20"/>
              </w:rPr>
              <w:t>2006–2017</w:t>
            </w:r>
          </w:p>
        </w:tc>
        <w:tc>
          <w:tcPr>
            <w:tcW w:w="3421" w:type="dxa"/>
          </w:tcPr>
          <w:p w14:paraId="2A0EF02C" w14:textId="77777777" w:rsidR="0046798B" w:rsidRDefault="00903B5C">
            <w:pPr>
              <w:pStyle w:val="TableParagraph"/>
              <w:spacing w:before="158"/>
              <w:ind w:left="114" w:right="578"/>
              <w:rPr>
                <w:sz w:val="20"/>
              </w:rPr>
            </w:pPr>
            <w:r>
              <w:rPr>
                <w:sz w:val="20"/>
              </w:rPr>
              <w:t>Driver’s license renewal cycle (in years, quantitative interpretation)</w:t>
            </w:r>
          </w:p>
        </w:tc>
        <w:tc>
          <w:tcPr>
            <w:tcW w:w="6482" w:type="dxa"/>
          </w:tcPr>
          <w:p w14:paraId="1A208DD2"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D5EDE14" w14:textId="77777777">
        <w:trPr>
          <w:trHeight w:val="780"/>
        </w:trPr>
        <w:tc>
          <w:tcPr>
            <w:tcW w:w="1711" w:type="dxa"/>
          </w:tcPr>
          <w:p w14:paraId="48E8F1BC" w14:textId="77777777" w:rsidR="0046798B" w:rsidRDefault="0046798B">
            <w:pPr>
              <w:pStyle w:val="TableParagraph"/>
              <w:spacing w:before="8"/>
              <w:rPr>
                <w:sz w:val="23"/>
              </w:rPr>
            </w:pPr>
          </w:p>
          <w:p w14:paraId="2B8E96BC" w14:textId="77777777" w:rsidR="0046798B" w:rsidRDefault="00903B5C">
            <w:pPr>
              <w:pStyle w:val="TableParagraph"/>
              <w:spacing w:before="1"/>
              <w:ind w:left="115"/>
              <w:rPr>
                <w:b/>
                <w:sz w:val="20"/>
              </w:rPr>
            </w:pPr>
            <w:r>
              <w:rPr>
                <w:b/>
                <w:sz w:val="20"/>
              </w:rPr>
              <w:t>ddlstr</w:t>
            </w:r>
          </w:p>
        </w:tc>
        <w:tc>
          <w:tcPr>
            <w:tcW w:w="1596" w:type="dxa"/>
          </w:tcPr>
          <w:p w14:paraId="1839712F" w14:textId="77777777" w:rsidR="0046798B" w:rsidRDefault="00903B5C">
            <w:pPr>
              <w:pStyle w:val="TableParagraph"/>
              <w:spacing w:before="43"/>
              <w:ind w:left="114" w:right="180"/>
              <w:rPr>
                <w:sz w:val="20"/>
              </w:rPr>
            </w:pPr>
            <w:r>
              <w:rPr>
                <w:sz w:val="20"/>
              </w:rPr>
              <w:t>Driver’s license renewal cycle (string)</w:t>
            </w:r>
          </w:p>
        </w:tc>
        <w:tc>
          <w:tcPr>
            <w:tcW w:w="1285" w:type="dxa"/>
          </w:tcPr>
          <w:p w14:paraId="6EB7C51B" w14:textId="77777777" w:rsidR="0046798B" w:rsidRDefault="0046798B">
            <w:pPr>
              <w:pStyle w:val="TableParagraph"/>
              <w:spacing w:before="8"/>
              <w:rPr>
                <w:sz w:val="23"/>
              </w:rPr>
            </w:pPr>
          </w:p>
          <w:p w14:paraId="1B117D05" w14:textId="77777777" w:rsidR="0046798B" w:rsidRDefault="00903B5C">
            <w:pPr>
              <w:pStyle w:val="TableParagraph"/>
              <w:spacing w:before="1"/>
              <w:ind w:left="114"/>
              <w:rPr>
                <w:sz w:val="20"/>
              </w:rPr>
            </w:pPr>
            <w:r>
              <w:rPr>
                <w:sz w:val="20"/>
              </w:rPr>
              <w:t>2006–2017</w:t>
            </w:r>
          </w:p>
        </w:tc>
        <w:tc>
          <w:tcPr>
            <w:tcW w:w="3421" w:type="dxa"/>
          </w:tcPr>
          <w:p w14:paraId="08F5E4FD" w14:textId="77777777" w:rsidR="0046798B" w:rsidRDefault="00903B5C">
            <w:pPr>
              <w:pStyle w:val="TableParagraph"/>
              <w:spacing w:before="158"/>
              <w:ind w:left="114" w:right="578"/>
              <w:rPr>
                <w:sz w:val="20"/>
              </w:rPr>
            </w:pPr>
            <w:r>
              <w:rPr>
                <w:sz w:val="20"/>
              </w:rPr>
              <w:t>Driver’s license renewal cycle (in years, with string descriptors)</w:t>
            </w:r>
          </w:p>
        </w:tc>
        <w:tc>
          <w:tcPr>
            <w:tcW w:w="6482" w:type="dxa"/>
          </w:tcPr>
          <w:p w14:paraId="5C5E6BEA"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6622B50" w14:textId="77777777">
        <w:trPr>
          <w:trHeight w:val="775"/>
        </w:trPr>
        <w:tc>
          <w:tcPr>
            <w:tcW w:w="1711" w:type="dxa"/>
          </w:tcPr>
          <w:p w14:paraId="2B7A7896" w14:textId="77777777" w:rsidR="0046798B" w:rsidRDefault="0046798B">
            <w:pPr>
              <w:pStyle w:val="TableParagraph"/>
              <w:spacing w:before="4"/>
              <w:rPr>
                <w:sz w:val="23"/>
              </w:rPr>
            </w:pPr>
          </w:p>
          <w:p w14:paraId="1470EBBC" w14:textId="77777777" w:rsidR="0046798B" w:rsidRDefault="00903B5C">
            <w:pPr>
              <w:pStyle w:val="TableParagraph"/>
              <w:ind w:left="115"/>
              <w:rPr>
                <w:b/>
                <w:sz w:val="20"/>
              </w:rPr>
            </w:pPr>
            <w:r>
              <w:rPr>
                <w:b/>
                <w:sz w:val="20"/>
              </w:rPr>
              <w:t>dliab</w:t>
            </w:r>
          </w:p>
        </w:tc>
        <w:tc>
          <w:tcPr>
            <w:tcW w:w="1596" w:type="dxa"/>
          </w:tcPr>
          <w:p w14:paraId="4B104B96" w14:textId="77777777" w:rsidR="0046798B" w:rsidRDefault="00903B5C">
            <w:pPr>
              <w:pStyle w:val="TableParagraph"/>
              <w:spacing w:before="38"/>
              <w:ind w:left="114" w:right="379"/>
              <w:rPr>
                <w:sz w:val="20"/>
              </w:rPr>
            </w:pPr>
            <w:r>
              <w:rPr>
                <w:sz w:val="20"/>
              </w:rPr>
              <w:t>Auto liability insurance required</w:t>
            </w:r>
          </w:p>
        </w:tc>
        <w:tc>
          <w:tcPr>
            <w:tcW w:w="1285" w:type="dxa"/>
          </w:tcPr>
          <w:p w14:paraId="4B308D7D" w14:textId="77777777" w:rsidR="0046798B" w:rsidRDefault="0046798B">
            <w:pPr>
              <w:pStyle w:val="TableParagraph"/>
              <w:spacing w:before="4"/>
              <w:rPr>
                <w:sz w:val="23"/>
              </w:rPr>
            </w:pPr>
          </w:p>
          <w:p w14:paraId="20B0BFA4" w14:textId="77777777" w:rsidR="0046798B" w:rsidRDefault="00903B5C">
            <w:pPr>
              <w:pStyle w:val="TableParagraph"/>
              <w:ind w:left="114"/>
              <w:rPr>
                <w:sz w:val="20"/>
              </w:rPr>
            </w:pPr>
            <w:r>
              <w:rPr>
                <w:sz w:val="20"/>
              </w:rPr>
              <w:t>2000–2016</w:t>
            </w:r>
          </w:p>
        </w:tc>
        <w:tc>
          <w:tcPr>
            <w:tcW w:w="3421" w:type="dxa"/>
          </w:tcPr>
          <w:p w14:paraId="37B4B824" w14:textId="77777777" w:rsidR="0046798B" w:rsidRDefault="00903B5C">
            <w:pPr>
              <w:pStyle w:val="TableParagraph"/>
              <w:spacing w:before="153"/>
              <w:ind w:left="114" w:right="204"/>
              <w:rPr>
                <w:sz w:val="20"/>
              </w:rPr>
            </w:pPr>
            <w:r>
              <w:rPr>
                <w:sz w:val="20"/>
              </w:rPr>
              <w:t>Auto liability insurance required? (0 = no, 1 = yes)</w:t>
            </w:r>
          </w:p>
        </w:tc>
        <w:tc>
          <w:tcPr>
            <w:tcW w:w="6482" w:type="dxa"/>
          </w:tcPr>
          <w:p w14:paraId="2B091472" w14:textId="77777777" w:rsidR="0046798B" w:rsidRDefault="00903B5C">
            <w:pPr>
              <w:pStyle w:val="TableParagraph"/>
              <w:spacing w:before="3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83AFEB9" w14:textId="77777777">
        <w:trPr>
          <w:trHeight w:val="1235"/>
        </w:trPr>
        <w:tc>
          <w:tcPr>
            <w:tcW w:w="1711" w:type="dxa"/>
          </w:tcPr>
          <w:p w14:paraId="4F2463FE" w14:textId="77777777" w:rsidR="0046798B" w:rsidRDefault="0046798B">
            <w:pPr>
              <w:pStyle w:val="TableParagraph"/>
            </w:pPr>
          </w:p>
          <w:p w14:paraId="421CEF80" w14:textId="77777777" w:rsidR="0046798B" w:rsidRDefault="0046798B">
            <w:pPr>
              <w:pStyle w:val="TableParagraph"/>
              <w:spacing w:before="3"/>
              <w:rPr>
                <w:sz w:val="21"/>
              </w:rPr>
            </w:pPr>
          </w:p>
          <w:p w14:paraId="6B1CCE60" w14:textId="77777777" w:rsidR="0046798B" w:rsidRDefault="00903B5C">
            <w:pPr>
              <w:pStyle w:val="TableParagraph"/>
              <w:spacing w:before="1"/>
              <w:ind w:left="115"/>
              <w:rPr>
                <w:b/>
                <w:sz w:val="20"/>
              </w:rPr>
            </w:pPr>
            <w:r>
              <w:rPr>
                <w:b/>
                <w:sz w:val="20"/>
              </w:rPr>
              <w:t>docont</w:t>
            </w:r>
          </w:p>
        </w:tc>
        <w:tc>
          <w:tcPr>
            <w:tcW w:w="1596" w:type="dxa"/>
          </w:tcPr>
          <w:p w14:paraId="4B2620A6" w14:textId="77777777" w:rsidR="0046798B" w:rsidRDefault="00903B5C">
            <w:pPr>
              <w:pStyle w:val="TableParagraph"/>
              <w:spacing w:before="38"/>
              <w:ind w:left="114" w:right="224"/>
              <w:rPr>
                <w:sz w:val="20"/>
              </w:rPr>
            </w:pPr>
            <w:r>
              <w:rPr>
                <w:sz w:val="20"/>
              </w:rPr>
              <w:t>Open container law for automobile drivers or passengers</w:t>
            </w:r>
          </w:p>
        </w:tc>
        <w:tc>
          <w:tcPr>
            <w:tcW w:w="1285" w:type="dxa"/>
          </w:tcPr>
          <w:p w14:paraId="10BF702D" w14:textId="77777777" w:rsidR="0046798B" w:rsidRDefault="0046798B">
            <w:pPr>
              <w:pStyle w:val="TableParagraph"/>
            </w:pPr>
          </w:p>
          <w:p w14:paraId="1B3F2918" w14:textId="77777777" w:rsidR="0046798B" w:rsidRDefault="0046798B">
            <w:pPr>
              <w:pStyle w:val="TableParagraph"/>
              <w:spacing w:before="3"/>
              <w:rPr>
                <w:sz w:val="21"/>
              </w:rPr>
            </w:pPr>
          </w:p>
          <w:p w14:paraId="611840C7" w14:textId="77777777" w:rsidR="0046798B" w:rsidRDefault="00903B5C">
            <w:pPr>
              <w:pStyle w:val="TableParagraph"/>
              <w:spacing w:before="1"/>
              <w:ind w:left="114"/>
              <w:rPr>
                <w:sz w:val="20"/>
              </w:rPr>
            </w:pPr>
            <w:r>
              <w:rPr>
                <w:sz w:val="20"/>
              </w:rPr>
              <w:t>1982–2016</w:t>
            </w:r>
          </w:p>
        </w:tc>
        <w:tc>
          <w:tcPr>
            <w:tcW w:w="3421" w:type="dxa"/>
          </w:tcPr>
          <w:p w14:paraId="7A7A01EF" w14:textId="77777777" w:rsidR="0046798B" w:rsidRDefault="0046798B">
            <w:pPr>
              <w:pStyle w:val="TableParagraph"/>
            </w:pPr>
          </w:p>
          <w:p w14:paraId="35A92064" w14:textId="77777777" w:rsidR="0046798B" w:rsidRDefault="00903B5C">
            <w:pPr>
              <w:pStyle w:val="TableParagraph"/>
              <w:spacing w:before="130"/>
              <w:ind w:left="114" w:right="124"/>
              <w:rPr>
                <w:sz w:val="20"/>
              </w:rPr>
            </w:pPr>
            <w:r>
              <w:rPr>
                <w:sz w:val="20"/>
              </w:rPr>
              <w:t>Open container law for automobile drivers or passengers? (0 = no, 1 = yes)</w:t>
            </w:r>
          </w:p>
        </w:tc>
        <w:tc>
          <w:tcPr>
            <w:tcW w:w="6482" w:type="dxa"/>
          </w:tcPr>
          <w:p w14:paraId="344C6BD4" w14:textId="77777777" w:rsidR="0046798B" w:rsidRDefault="0046798B">
            <w:pPr>
              <w:pStyle w:val="TableParagraph"/>
              <w:spacing w:before="3"/>
              <w:rPr>
                <w:sz w:val="23"/>
              </w:rPr>
            </w:pPr>
          </w:p>
          <w:p w14:paraId="72D17323" w14:textId="77777777" w:rsidR="0046798B" w:rsidRDefault="00903B5C">
            <w:pPr>
              <w:pStyle w:val="TableParagraph"/>
              <w:spacing w:before="1"/>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414458C" w14:textId="77777777">
        <w:trPr>
          <w:trHeight w:val="775"/>
        </w:trPr>
        <w:tc>
          <w:tcPr>
            <w:tcW w:w="1711" w:type="dxa"/>
          </w:tcPr>
          <w:p w14:paraId="3A4AE689" w14:textId="77777777" w:rsidR="0046798B" w:rsidRDefault="0046798B">
            <w:pPr>
              <w:pStyle w:val="TableParagraph"/>
              <w:spacing w:before="8"/>
              <w:rPr>
                <w:sz w:val="23"/>
              </w:rPr>
            </w:pPr>
          </w:p>
          <w:p w14:paraId="667ADBC0" w14:textId="77777777" w:rsidR="0046798B" w:rsidRDefault="00903B5C">
            <w:pPr>
              <w:pStyle w:val="TableParagraph"/>
              <w:spacing w:before="1"/>
              <w:ind w:left="115"/>
              <w:rPr>
                <w:b/>
                <w:sz w:val="20"/>
              </w:rPr>
            </w:pPr>
            <w:r>
              <w:rPr>
                <w:b/>
                <w:sz w:val="20"/>
              </w:rPr>
              <w:t>dsobchk</w:t>
            </w:r>
          </w:p>
        </w:tc>
        <w:tc>
          <w:tcPr>
            <w:tcW w:w="1596" w:type="dxa"/>
          </w:tcPr>
          <w:p w14:paraId="124D479E" w14:textId="77777777" w:rsidR="0046798B" w:rsidRDefault="00903B5C">
            <w:pPr>
              <w:pStyle w:val="TableParagraph"/>
              <w:spacing w:before="43"/>
              <w:ind w:left="114" w:right="241"/>
              <w:rPr>
                <w:sz w:val="20"/>
              </w:rPr>
            </w:pPr>
            <w:r>
              <w:rPr>
                <w:sz w:val="20"/>
              </w:rPr>
              <w:t>Sobriety/safety checkpoints authorized</w:t>
            </w:r>
          </w:p>
        </w:tc>
        <w:tc>
          <w:tcPr>
            <w:tcW w:w="1285" w:type="dxa"/>
          </w:tcPr>
          <w:p w14:paraId="39C13D55" w14:textId="77777777" w:rsidR="0046798B" w:rsidRDefault="0046798B">
            <w:pPr>
              <w:pStyle w:val="TableParagraph"/>
              <w:spacing w:before="8"/>
              <w:rPr>
                <w:sz w:val="23"/>
              </w:rPr>
            </w:pPr>
          </w:p>
          <w:p w14:paraId="455AC3EA" w14:textId="77777777" w:rsidR="0046798B" w:rsidRDefault="00903B5C">
            <w:pPr>
              <w:pStyle w:val="TableParagraph"/>
              <w:spacing w:before="1"/>
              <w:ind w:left="114"/>
              <w:rPr>
                <w:sz w:val="20"/>
              </w:rPr>
            </w:pPr>
            <w:r>
              <w:rPr>
                <w:sz w:val="20"/>
              </w:rPr>
              <w:t>2000–2016</w:t>
            </w:r>
          </w:p>
        </w:tc>
        <w:tc>
          <w:tcPr>
            <w:tcW w:w="3421" w:type="dxa"/>
          </w:tcPr>
          <w:p w14:paraId="461AC046" w14:textId="77777777" w:rsidR="0046798B" w:rsidRDefault="00903B5C">
            <w:pPr>
              <w:pStyle w:val="TableParagraph"/>
              <w:spacing w:before="158"/>
              <w:ind w:left="114" w:right="968"/>
              <w:rPr>
                <w:sz w:val="20"/>
              </w:rPr>
            </w:pPr>
            <w:r>
              <w:rPr>
                <w:sz w:val="20"/>
              </w:rPr>
              <w:t>Sobriety/safety checkpoints authorized? (0 = no, 1 = yes)</w:t>
            </w:r>
          </w:p>
        </w:tc>
        <w:tc>
          <w:tcPr>
            <w:tcW w:w="6482" w:type="dxa"/>
          </w:tcPr>
          <w:p w14:paraId="0B4F1639"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D6323F9" w14:textId="77777777">
        <w:trPr>
          <w:trHeight w:val="775"/>
        </w:trPr>
        <w:tc>
          <w:tcPr>
            <w:tcW w:w="1711" w:type="dxa"/>
          </w:tcPr>
          <w:p w14:paraId="48BCF895" w14:textId="77777777" w:rsidR="0046798B" w:rsidRDefault="0046798B">
            <w:pPr>
              <w:pStyle w:val="TableParagraph"/>
              <w:spacing w:before="8"/>
              <w:rPr>
                <w:sz w:val="23"/>
              </w:rPr>
            </w:pPr>
          </w:p>
          <w:p w14:paraId="14993530" w14:textId="77777777" w:rsidR="0046798B" w:rsidRDefault="00903B5C">
            <w:pPr>
              <w:pStyle w:val="TableParagraph"/>
              <w:spacing w:before="1"/>
              <w:ind w:left="115"/>
              <w:rPr>
                <w:b/>
                <w:sz w:val="20"/>
              </w:rPr>
            </w:pPr>
            <w:r>
              <w:rPr>
                <w:b/>
                <w:sz w:val="20"/>
              </w:rPr>
              <w:t>dtextban</w:t>
            </w:r>
          </w:p>
        </w:tc>
        <w:tc>
          <w:tcPr>
            <w:tcW w:w="1596" w:type="dxa"/>
          </w:tcPr>
          <w:p w14:paraId="549A29BC" w14:textId="77777777" w:rsidR="0046798B" w:rsidRDefault="00903B5C">
            <w:pPr>
              <w:pStyle w:val="TableParagraph"/>
              <w:spacing w:before="43"/>
              <w:ind w:left="114" w:right="274"/>
              <w:rPr>
                <w:sz w:val="20"/>
              </w:rPr>
            </w:pPr>
            <w:r>
              <w:rPr>
                <w:sz w:val="20"/>
              </w:rPr>
              <w:t>Statewide texting ban for all drivers</w:t>
            </w:r>
          </w:p>
        </w:tc>
        <w:tc>
          <w:tcPr>
            <w:tcW w:w="1285" w:type="dxa"/>
          </w:tcPr>
          <w:p w14:paraId="393FED16" w14:textId="77777777" w:rsidR="0046798B" w:rsidRDefault="0046798B">
            <w:pPr>
              <w:pStyle w:val="TableParagraph"/>
              <w:spacing w:before="8"/>
              <w:rPr>
                <w:sz w:val="23"/>
              </w:rPr>
            </w:pPr>
          </w:p>
          <w:p w14:paraId="64772C06" w14:textId="77777777" w:rsidR="0046798B" w:rsidRDefault="00903B5C">
            <w:pPr>
              <w:pStyle w:val="TableParagraph"/>
              <w:spacing w:before="1"/>
              <w:ind w:left="114"/>
              <w:rPr>
                <w:sz w:val="20"/>
              </w:rPr>
            </w:pPr>
            <w:r>
              <w:rPr>
                <w:sz w:val="20"/>
              </w:rPr>
              <w:t>2000–2016</w:t>
            </w:r>
          </w:p>
        </w:tc>
        <w:tc>
          <w:tcPr>
            <w:tcW w:w="3421" w:type="dxa"/>
          </w:tcPr>
          <w:p w14:paraId="4AE0C383" w14:textId="77777777" w:rsidR="0046798B" w:rsidRDefault="00903B5C">
            <w:pPr>
              <w:pStyle w:val="TableParagraph"/>
              <w:spacing w:before="158"/>
              <w:ind w:left="114"/>
              <w:rPr>
                <w:sz w:val="20"/>
              </w:rPr>
            </w:pPr>
            <w:r>
              <w:rPr>
                <w:sz w:val="20"/>
              </w:rPr>
              <w:t>Statewide texting ban for all drivers? (0</w:t>
            </w:r>
          </w:p>
          <w:p w14:paraId="2BB9508F" w14:textId="77777777" w:rsidR="0046798B" w:rsidRDefault="00903B5C">
            <w:pPr>
              <w:pStyle w:val="TableParagraph"/>
              <w:ind w:left="114"/>
              <w:rPr>
                <w:sz w:val="20"/>
              </w:rPr>
            </w:pPr>
            <w:r>
              <w:rPr>
                <w:sz w:val="20"/>
              </w:rPr>
              <w:t>= none, 1 = secondary, 2 = primary)</w:t>
            </w:r>
          </w:p>
        </w:tc>
        <w:tc>
          <w:tcPr>
            <w:tcW w:w="6482" w:type="dxa"/>
          </w:tcPr>
          <w:p w14:paraId="7F543ADD"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F6F2D3B" w14:textId="77777777">
        <w:trPr>
          <w:trHeight w:val="1235"/>
        </w:trPr>
        <w:tc>
          <w:tcPr>
            <w:tcW w:w="1711" w:type="dxa"/>
          </w:tcPr>
          <w:p w14:paraId="3F67F2AE" w14:textId="77777777" w:rsidR="0046798B" w:rsidRDefault="0046798B">
            <w:pPr>
              <w:pStyle w:val="TableParagraph"/>
            </w:pPr>
          </w:p>
          <w:p w14:paraId="11D5D448" w14:textId="77777777" w:rsidR="0046798B" w:rsidRDefault="00903B5C">
            <w:pPr>
              <w:pStyle w:val="TableParagraph"/>
              <w:spacing w:before="135"/>
              <w:ind w:left="115"/>
              <w:rPr>
                <w:b/>
                <w:sz w:val="20"/>
              </w:rPr>
            </w:pPr>
            <w:r>
              <w:rPr>
                <w:b/>
                <w:sz w:val="20"/>
              </w:rPr>
              <w:t>regulation_bicycl e_helmets</w:t>
            </w:r>
          </w:p>
        </w:tc>
        <w:tc>
          <w:tcPr>
            <w:tcW w:w="1596" w:type="dxa"/>
          </w:tcPr>
          <w:p w14:paraId="533D842E" w14:textId="77777777" w:rsidR="0046798B" w:rsidRDefault="0046798B">
            <w:pPr>
              <w:pStyle w:val="TableParagraph"/>
            </w:pPr>
          </w:p>
          <w:p w14:paraId="7A04B120" w14:textId="77777777" w:rsidR="0046798B" w:rsidRDefault="00903B5C">
            <w:pPr>
              <w:pStyle w:val="TableParagraph"/>
              <w:spacing w:before="135"/>
              <w:ind w:left="114" w:right="169"/>
              <w:rPr>
                <w:sz w:val="20"/>
              </w:rPr>
            </w:pPr>
            <w:r>
              <w:rPr>
                <w:sz w:val="20"/>
              </w:rPr>
              <w:t>Bicycle helmets required</w:t>
            </w:r>
          </w:p>
        </w:tc>
        <w:tc>
          <w:tcPr>
            <w:tcW w:w="1285" w:type="dxa"/>
          </w:tcPr>
          <w:p w14:paraId="210BFF5B" w14:textId="77777777" w:rsidR="0046798B" w:rsidRDefault="0046798B">
            <w:pPr>
              <w:pStyle w:val="TableParagraph"/>
            </w:pPr>
          </w:p>
          <w:p w14:paraId="644FFABB" w14:textId="77777777" w:rsidR="0046798B" w:rsidRDefault="0046798B">
            <w:pPr>
              <w:pStyle w:val="TableParagraph"/>
              <w:spacing w:before="9"/>
              <w:rPr>
                <w:sz w:val="21"/>
              </w:rPr>
            </w:pPr>
          </w:p>
          <w:p w14:paraId="6B52CC5F" w14:textId="77777777" w:rsidR="0046798B" w:rsidRDefault="00903B5C">
            <w:pPr>
              <w:pStyle w:val="TableParagraph"/>
              <w:ind w:left="114"/>
              <w:rPr>
                <w:sz w:val="20"/>
              </w:rPr>
            </w:pPr>
            <w:r>
              <w:rPr>
                <w:sz w:val="20"/>
              </w:rPr>
              <w:t>1985–2014</w:t>
            </w:r>
          </w:p>
        </w:tc>
        <w:tc>
          <w:tcPr>
            <w:tcW w:w="3421" w:type="dxa"/>
          </w:tcPr>
          <w:p w14:paraId="62773CB0" w14:textId="77777777" w:rsidR="0046798B" w:rsidRDefault="0046798B">
            <w:pPr>
              <w:pStyle w:val="TableParagraph"/>
              <w:spacing w:before="9"/>
              <w:rPr>
                <w:sz w:val="23"/>
              </w:rPr>
            </w:pPr>
          </w:p>
          <w:p w14:paraId="13602699" w14:textId="77777777" w:rsidR="0046798B" w:rsidRDefault="00903B5C">
            <w:pPr>
              <w:pStyle w:val="TableParagraph"/>
              <w:ind w:left="114" w:right="124"/>
              <w:rPr>
                <w:sz w:val="20"/>
              </w:rPr>
            </w:pPr>
            <w:r>
              <w:rPr>
                <w:sz w:val="20"/>
              </w:rPr>
              <w:t>Does the state require that people use helmets while on bicycles? (0 = no, 1 = yes)</w:t>
            </w:r>
          </w:p>
        </w:tc>
        <w:tc>
          <w:tcPr>
            <w:tcW w:w="6482" w:type="dxa"/>
          </w:tcPr>
          <w:p w14:paraId="6AB57C51"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7A4DEE3A" w14:textId="77777777">
        <w:trPr>
          <w:trHeight w:val="1240"/>
        </w:trPr>
        <w:tc>
          <w:tcPr>
            <w:tcW w:w="1711" w:type="dxa"/>
          </w:tcPr>
          <w:p w14:paraId="7727094C" w14:textId="77777777" w:rsidR="0046798B" w:rsidRDefault="0046798B">
            <w:pPr>
              <w:pStyle w:val="TableParagraph"/>
              <w:spacing w:before="9"/>
              <w:rPr>
                <w:sz w:val="23"/>
              </w:rPr>
            </w:pPr>
          </w:p>
          <w:p w14:paraId="2F9C92C9" w14:textId="77777777" w:rsidR="0046798B" w:rsidRDefault="00903B5C">
            <w:pPr>
              <w:pStyle w:val="TableParagraph"/>
              <w:ind w:left="115" w:right="105"/>
              <w:jc w:val="both"/>
              <w:rPr>
                <w:b/>
                <w:sz w:val="20"/>
              </w:rPr>
            </w:pPr>
            <w:r>
              <w:rPr>
                <w:b/>
                <w:sz w:val="20"/>
              </w:rPr>
              <w:t>regulation_mand atory_car_insura n</w:t>
            </w:r>
          </w:p>
        </w:tc>
        <w:tc>
          <w:tcPr>
            <w:tcW w:w="1596" w:type="dxa"/>
          </w:tcPr>
          <w:p w14:paraId="24B7EB55" w14:textId="77777777" w:rsidR="0046798B" w:rsidRDefault="0046798B">
            <w:pPr>
              <w:pStyle w:val="TableParagraph"/>
            </w:pPr>
          </w:p>
          <w:p w14:paraId="3ECBEC34" w14:textId="77777777" w:rsidR="0046798B" w:rsidRDefault="00903B5C">
            <w:pPr>
              <w:pStyle w:val="TableParagraph"/>
              <w:spacing w:before="135"/>
              <w:ind w:left="114" w:right="280"/>
              <w:rPr>
                <w:sz w:val="20"/>
              </w:rPr>
            </w:pPr>
            <w:r>
              <w:rPr>
                <w:sz w:val="20"/>
              </w:rPr>
              <w:t>Mandatory car insurance</w:t>
            </w:r>
          </w:p>
        </w:tc>
        <w:tc>
          <w:tcPr>
            <w:tcW w:w="1285" w:type="dxa"/>
          </w:tcPr>
          <w:p w14:paraId="303155F1" w14:textId="77777777" w:rsidR="0046798B" w:rsidRDefault="0046798B">
            <w:pPr>
              <w:pStyle w:val="TableParagraph"/>
            </w:pPr>
          </w:p>
          <w:p w14:paraId="6FBACA3A" w14:textId="77777777" w:rsidR="0046798B" w:rsidRDefault="0046798B">
            <w:pPr>
              <w:pStyle w:val="TableParagraph"/>
              <w:spacing w:before="9"/>
              <w:rPr>
                <w:sz w:val="21"/>
              </w:rPr>
            </w:pPr>
          </w:p>
          <w:p w14:paraId="6BECFE71" w14:textId="77777777" w:rsidR="0046798B" w:rsidRDefault="00903B5C">
            <w:pPr>
              <w:pStyle w:val="TableParagraph"/>
              <w:ind w:left="114"/>
              <w:rPr>
                <w:sz w:val="20"/>
              </w:rPr>
            </w:pPr>
            <w:r>
              <w:rPr>
                <w:sz w:val="20"/>
              </w:rPr>
              <w:t>1945–1986</w:t>
            </w:r>
          </w:p>
        </w:tc>
        <w:tc>
          <w:tcPr>
            <w:tcW w:w="3421" w:type="dxa"/>
          </w:tcPr>
          <w:p w14:paraId="7DEA1A20" w14:textId="77777777" w:rsidR="0046798B" w:rsidRDefault="0046798B">
            <w:pPr>
              <w:pStyle w:val="TableParagraph"/>
            </w:pPr>
          </w:p>
          <w:p w14:paraId="18F93F2E" w14:textId="77777777" w:rsidR="0046798B" w:rsidRDefault="00903B5C">
            <w:pPr>
              <w:pStyle w:val="TableParagraph"/>
              <w:spacing w:before="135"/>
              <w:ind w:left="114" w:right="177"/>
              <w:rPr>
                <w:sz w:val="20"/>
              </w:rPr>
            </w:pPr>
            <w:r>
              <w:rPr>
                <w:sz w:val="20"/>
              </w:rPr>
              <w:t>Does the state require drivers to obtain car insurance? (0 = no, 1 = yes)</w:t>
            </w:r>
          </w:p>
        </w:tc>
        <w:tc>
          <w:tcPr>
            <w:tcW w:w="6482" w:type="dxa"/>
          </w:tcPr>
          <w:p w14:paraId="2CF97D70"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bl>
    <w:p w14:paraId="1AB91E49" w14:textId="77777777" w:rsidR="0046798B" w:rsidRDefault="0046798B">
      <w:pPr>
        <w:rPr>
          <w:sz w:val="20"/>
        </w:rPr>
        <w:sectPr w:rsidR="0046798B">
          <w:pgSz w:w="15840" w:h="12240" w:orient="landscape"/>
          <w:pgMar w:top="1220" w:right="300" w:bottom="980" w:left="820" w:header="730" w:footer="787" w:gutter="0"/>
          <w:cols w:space="720"/>
        </w:sectPr>
      </w:pPr>
    </w:p>
    <w:p w14:paraId="4ACB89B2"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D89C520" w14:textId="77777777">
        <w:trPr>
          <w:trHeight w:val="1235"/>
        </w:trPr>
        <w:tc>
          <w:tcPr>
            <w:tcW w:w="1711" w:type="dxa"/>
          </w:tcPr>
          <w:p w14:paraId="7D6E4DD3" w14:textId="77777777" w:rsidR="0046798B" w:rsidRDefault="0046798B">
            <w:pPr>
              <w:pStyle w:val="TableParagraph"/>
            </w:pPr>
          </w:p>
          <w:p w14:paraId="0BAC8188" w14:textId="77777777" w:rsidR="0046798B" w:rsidRDefault="00903B5C">
            <w:pPr>
              <w:pStyle w:val="TableParagraph"/>
              <w:spacing w:before="135"/>
              <w:ind w:left="115" w:right="99"/>
              <w:rPr>
                <w:b/>
                <w:sz w:val="20"/>
              </w:rPr>
            </w:pPr>
            <w:r>
              <w:rPr>
                <w:b/>
                <w:sz w:val="20"/>
              </w:rPr>
              <w:t>regulation_mand atory_seatbelts</w:t>
            </w:r>
          </w:p>
        </w:tc>
        <w:tc>
          <w:tcPr>
            <w:tcW w:w="1596" w:type="dxa"/>
          </w:tcPr>
          <w:p w14:paraId="73F1E4D7" w14:textId="77777777" w:rsidR="0046798B" w:rsidRDefault="0046798B">
            <w:pPr>
              <w:pStyle w:val="TableParagraph"/>
            </w:pPr>
          </w:p>
          <w:p w14:paraId="21E51347" w14:textId="77777777" w:rsidR="0046798B" w:rsidRDefault="00903B5C">
            <w:pPr>
              <w:pStyle w:val="TableParagraph"/>
              <w:spacing w:before="135"/>
              <w:ind w:left="114" w:right="213"/>
              <w:rPr>
                <w:sz w:val="20"/>
              </w:rPr>
            </w:pPr>
            <w:r>
              <w:rPr>
                <w:sz w:val="20"/>
              </w:rPr>
              <w:t>Mandatory seat belts</w:t>
            </w:r>
          </w:p>
        </w:tc>
        <w:tc>
          <w:tcPr>
            <w:tcW w:w="1285" w:type="dxa"/>
          </w:tcPr>
          <w:p w14:paraId="6C215857" w14:textId="77777777" w:rsidR="0046798B" w:rsidRDefault="0046798B">
            <w:pPr>
              <w:pStyle w:val="TableParagraph"/>
            </w:pPr>
          </w:p>
          <w:p w14:paraId="564701BB" w14:textId="77777777" w:rsidR="0046798B" w:rsidRDefault="0046798B">
            <w:pPr>
              <w:pStyle w:val="TableParagraph"/>
              <w:spacing w:before="9"/>
              <w:rPr>
                <w:sz w:val="21"/>
              </w:rPr>
            </w:pPr>
          </w:p>
          <w:p w14:paraId="7D1A5426" w14:textId="77777777" w:rsidR="0046798B" w:rsidRDefault="00903B5C">
            <w:pPr>
              <w:pStyle w:val="TableParagraph"/>
              <w:ind w:left="114"/>
              <w:rPr>
                <w:sz w:val="20"/>
              </w:rPr>
            </w:pPr>
            <w:r>
              <w:rPr>
                <w:sz w:val="20"/>
              </w:rPr>
              <w:t>1984–2014</w:t>
            </w:r>
          </w:p>
        </w:tc>
        <w:tc>
          <w:tcPr>
            <w:tcW w:w="3421" w:type="dxa"/>
          </w:tcPr>
          <w:p w14:paraId="761B2140" w14:textId="77777777" w:rsidR="0046798B" w:rsidRDefault="0046798B">
            <w:pPr>
              <w:pStyle w:val="TableParagraph"/>
              <w:spacing w:before="9"/>
              <w:rPr>
                <w:sz w:val="23"/>
              </w:rPr>
            </w:pPr>
          </w:p>
          <w:p w14:paraId="09D78060" w14:textId="77777777" w:rsidR="0046798B" w:rsidRDefault="00903B5C">
            <w:pPr>
              <w:pStyle w:val="TableParagraph"/>
              <w:ind w:left="114" w:right="161"/>
              <w:rPr>
                <w:sz w:val="20"/>
              </w:rPr>
            </w:pPr>
            <w:r>
              <w:rPr>
                <w:sz w:val="20"/>
              </w:rPr>
              <w:t>Does the state require the usage of seat belts (either primary or secondary enforcement)? (0 = no, 1 = yes)</w:t>
            </w:r>
          </w:p>
        </w:tc>
        <w:tc>
          <w:tcPr>
            <w:tcW w:w="6482" w:type="dxa"/>
          </w:tcPr>
          <w:p w14:paraId="2B649A8C"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19B2FC7B" w14:textId="77777777">
        <w:trPr>
          <w:trHeight w:val="1235"/>
        </w:trPr>
        <w:tc>
          <w:tcPr>
            <w:tcW w:w="1711" w:type="dxa"/>
          </w:tcPr>
          <w:p w14:paraId="395C356A" w14:textId="77777777" w:rsidR="0046798B" w:rsidRDefault="0046798B">
            <w:pPr>
              <w:pStyle w:val="TableParagraph"/>
            </w:pPr>
          </w:p>
          <w:p w14:paraId="217A06B7" w14:textId="77777777" w:rsidR="0046798B" w:rsidRDefault="00903B5C">
            <w:pPr>
              <w:pStyle w:val="TableParagraph"/>
              <w:spacing w:before="136"/>
              <w:ind w:left="115" w:right="155"/>
              <w:rPr>
                <w:b/>
                <w:sz w:val="20"/>
              </w:rPr>
            </w:pPr>
            <w:r>
              <w:rPr>
                <w:b/>
                <w:sz w:val="20"/>
              </w:rPr>
              <w:t>regulation_moto rcycle_helmets</w:t>
            </w:r>
          </w:p>
        </w:tc>
        <w:tc>
          <w:tcPr>
            <w:tcW w:w="1596" w:type="dxa"/>
          </w:tcPr>
          <w:p w14:paraId="616060D6" w14:textId="77777777" w:rsidR="0046798B" w:rsidRDefault="0046798B">
            <w:pPr>
              <w:pStyle w:val="TableParagraph"/>
            </w:pPr>
          </w:p>
          <w:p w14:paraId="496FE116" w14:textId="77777777" w:rsidR="0046798B" w:rsidRDefault="00903B5C">
            <w:pPr>
              <w:pStyle w:val="TableParagraph"/>
              <w:spacing w:before="136"/>
              <w:ind w:left="114" w:right="113"/>
              <w:rPr>
                <w:sz w:val="20"/>
              </w:rPr>
            </w:pPr>
            <w:r>
              <w:rPr>
                <w:sz w:val="20"/>
              </w:rPr>
              <w:t>Motorcycle helmets required</w:t>
            </w:r>
          </w:p>
        </w:tc>
        <w:tc>
          <w:tcPr>
            <w:tcW w:w="1285" w:type="dxa"/>
          </w:tcPr>
          <w:p w14:paraId="641ADFAF" w14:textId="77777777" w:rsidR="0046798B" w:rsidRDefault="0046798B">
            <w:pPr>
              <w:pStyle w:val="TableParagraph"/>
            </w:pPr>
          </w:p>
          <w:p w14:paraId="76041C7B" w14:textId="77777777" w:rsidR="0046798B" w:rsidRDefault="0046798B">
            <w:pPr>
              <w:pStyle w:val="TableParagraph"/>
              <w:spacing w:before="9"/>
              <w:rPr>
                <w:sz w:val="21"/>
              </w:rPr>
            </w:pPr>
          </w:p>
          <w:p w14:paraId="16C587B5" w14:textId="77777777" w:rsidR="0046798B" w:rsidRDefault="00903B5C">
            <w:pPr>
              <w:pStyle w:val="TableParagraph"/>
              <w:ind w:left="114"/>
              <w:rPr>
                <w:sz w:val="20"/>
              </w:rPr>
            </w:pPr>
            <w:r>
              <w:rPr>
                <w:sz w:val="20"/>
              </w:rPr>
              <w:t>1967–2014</w:t>
            </w:r>
          </w:p>
        </w:tc>
        <w:tc>
          <w:tcPr>
            <w:tcW w:w="3421" w:type="dxa"/>
          </w:tcPr>
          <w:p w14:paraId="32F3E952" w14:textId="77777777" w:rsidR="0046798B" w:rsidRDefault="0046798B">
            <w:pPr>
              <w:pStyle w:val="TableParagraph"/>
              <w:spacing w:before="9"/>
              <w:rPr>
                <w:sz w:val="23"/>
              </w:rPr>
            </w:pPr>
          </w:p>
          <w:p w14:paraId="524ABBF7" w14:textId="77777777" w:rsidR="0046798B" w:rsidRDefault="00903B5C">
            <w:pPr>
              <w:pStyle w:val="TableParagraph"/>
              <w:ind w:left="114" w:right="239"/>
              <w:rPr>
                <w:sz w:val="20"/>
              </w:rPr>
            </w:pPr>
            <w:r>
              <w:rPr>
                <w:sz w:val="20"/>
              </w:rPr>
              <w:t>Does the state require the usage of helmets by people on motorcycles? (0</w:t>
            </w:r>
          </w:p>
          <w:p w14:paraId="1819D005" w14:textId="77777777" w:rsidR="0046798B" w:rsidRDefault="00903B5C">
            <w:pPr>
              <w:pStyle w:val="TableParagraph"/>
              <w:ind w:left="114"/>
              <w:rPr>
                <w:sz w:val="20"/>
              </w:rPr>
            </w:pPr>
            <w:r>
              <w:rPr>
                <w:sz w:val="20"/>
              </w:rPr>
              <w:t>= no, 1 = yes)</w:t>
            </w:r>
          </w:p>
        </w:tc>
        <w:tc>
          <w:tcPr>
            <w:tcW w:w="6482" w:type="dxa"/>
          </w:tcPr>
          <w:p w14:paraId="314E08C3"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7A879BF2" w14:textId="77777777">
        <w:trPr>
          <w:trHeight w:val="1240"/>
        </w:trPr>
        <w:tc>
          <w:tcPr>
            <w:tcW w:w="1711" w:type="dxa"/>
          </w:tcPr>
          <w:p w14:paraId="028CB3C8" w14:textId="77777777" w:rsidR="0046798B" w:rsidRDefault="0046798B">
            <w:pPr>
              <w:pStyle w:val="TableParagraph"/>
            </w:pPr>
          </w:p>
          <w:p w14:paraId="6AD9C2DD" w14:textId="77777777" w:rsidR="0046798B" w:rsidRDefault="00903B5C">
            <w:pPr>
              <w:pStyle w:val="TableParagraph"/>
              <w:spacing w:before="135"/>
              <w:ind w:left="115"/>
              <w:rPr>
                <w:b/>
                <w:sz w:val="20"/>
              </w:rPr>
            </w:pPr>
            <w:r>
              <w:rPr>
                <w:b/>
                <w:sz w:val="20"/>
              </w:rPr>
              <w:t>transportation_c ontrolledaccessh</w:t>
            </w:r>
          </w:p>
        </w:tc>
        <w:tc>
          <w:tcPr>
            <w:tcW w:w="1596" w:type="dxa"/>
          </w:tcPr>
          <w:p w14:paraId="3F1595DE" w14:textId="77777777" w:rsidR="0046798B" w:rsidRDefault="0046798B">
            <w:pPr>
              <w:pStyle w:val="TableParagraph"/>
            </w:pPr>
          </w:p>
          <w:p w14:paraId="3A2340B0" w14:textId="77777777" w:rsidR="0046798B" w:rsidRDefault="00903B5C">
            <w:pPr>
              <w:pStyle w:val="TableParagraph"/>
              <w:spacing w:before="135"/>
              <w:ind w:left="114" w:right="124"/>
              <w:rPr>
                <w:sz w:val="20"/>
              </w:rPr>
            </w:pPr>
            <w:r>
              <w:rPr>
                <w:sz w:val="20"/>
              </w:rPr>
              <w:t>Controlled access highways</w:t>
            </w:r>
          </w:p>
        </w:tc>
        <w:tc>
          <w:tcPr>
            <w:tcW w:w="1285" w:type="dxa"/>
          </w:tcPr>
          <w:p w14:paraId="75756E03" w14:textId="77777777" w:rsidR="0046798B" w:rsidRDefault="0046798B">
            <w:pPr>
              <w:pStyle w:val="TableParagraph"/>
            </w:pPr>
          </w:p>
          <w:p w14:paraId="350A4D45" w14:textId="77777777" w:rsidR="0046798B" w:rsidRDefault="0046798B">
            <w:pPr>
              <w:pStyle w:val="TableParagraph"/>
              <w:spacing w:before="9"/>
              <w:rPr>
                <w:sz w:val="21"/>
              </w:rPr>
            </w:pPr>
          </w:p>
          <w:p w14:paraId="6743245C" w14:textId="77777777" w:rsidR="0046798B" w:rsidRDefault="00903B5C">
            <w:pPr>
              <w:pStyle w:val="TableParagraph"/>
              <w:ind w:left="114"/>
              <w:rPr>
                <w:sz w:val="20"/>
              </w:rPr>
            </w:pPr>
            <w:r>
              <w:rPr>
                <w:sz w:val="20"/>
              </w:rPr>
              <w:t>1937–1946</w:t>
            </w:r>
          </w:p>
        </w:tc>
        <w:tc>
          <w:tcPr>
            <w:tcW w:w="3421" w:type="dxa"/>
          </w:tcPr>
          <w:p w14:paraId="15D6C487" w14:textId="77777777" w:rsidR="0046798B" w:rsidRDefault="0046798B">
            <w:pPr>
              <w:pStyle w:val="TableParagraph"/>
            </w:pPr>
          </w:p>
          <w:p w14:paraId="6B3E201E" w14:textId="77777777" w:rsidR="0046798B" w:rsidRDefault="00903B5C">
            <w:pPr>
              <w:pStyle w:val="TableParagraph"/>
              <w:spacing w:before="135"/>
              <w:ind w:left="114" w:right="306"/>
              <w:rPr>
                <w:sz w:val="20"/>
              </w:rPr>
            </w:pPr>
            <w:r>
              <w:rPr>
                <w:sz w:val="20"/>
              </w:rPr>
              <w:t>Does the state have controlled access highways? (0 = no, 1 = yes)</w:t>
            </w:r>
          </w:p>
        </w:tc>
        <w:tc>
          <w:tcPr>
            <w:tcW w:w="6482" w:type="dxa"/>
          </w:tcPr>
          <w:p w14:paraId="49631E20"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7AFCC7D6" w14:textId="77777777">
        <w:trPr>
          <w:trHeight w:val="1465"/>
        </w:trPr>
        <w:tc>
          <w:tcPr>
            <w:tcW w:w="1711" w:type="dxa"/>
          </w:tcPr>
          <w:p w14:paraId="3F768973" w14:textId="77777777" w:rsidR="0046798B" w:rsidRDefault="0046798B">
            <w:pPr>
              <w:pStyle w:val="TableParagraph"/>
            </w:pPr>
          </w:p>
          <w:p w14:paraId="4183E867" w14:textId="77777777" w:rsidR="0046798B" w:rsidRDefault="0046798B">
            <w:pPr>
              <w:pStyle w:val="TableParagraph"/>
              <w:spacing w:before="4"/>
              <w:rPr>
                <w:sz w:val="31"/>
              </w:rPr>
            </w:pPr>
          </w:p>
          <w:p w14:paraId="7C779945" w14:textId="77777777" w:rsidR="0046798B" w:rsidRDefault="00903B5C">
            <w:pPr>
              <w:pStyle w:val="TableParagraph"/>
              <w:ind w:left="115"/>
              <w:rPr>
                <w:b/>
                <w:sz w:val="20"/>
              </w:rPr>
            </w:pPr>
            <w:r>
              <w:rPr>
                <w:b/>
                <w:sz w:val="20"/>
              </w:rPr>
              <w:t>licdrivers</w:t>
            </w:r>
          </w:p>
        </w:tc>
        <w:tc>
          <w:tcPr>
            <w:tcW w:w="1596" w:type="dxa"/>
          </w:tcPr>
          <w:p w14:paraId="133FF4D0" w14:textId="77777777" w:rsidR="0046798B" w:rsidRDefault="0046798B">
            <w:pPr>
              <w:pStyle w:val="TableParagraph"/>
            </w:pPr>
          </w:p>
          <w:p w14:paraId="179F9613" w14:textId="77777777" w:rsidR="0046798B" w:rsidRDefault="0046798B">
            <w:pPr>
              <w:pStyle w:val="TableParagraph"/>
              <w:spacing w:before="4"/>
              <w:rPr>
                <w:sz w:val="31"/>
              </w:rPr>
            </w:pPr>
          </w:p>
          <w:p w14:paraId="604D0774" w14:textId="77777777" w:rsidR="0046798B" w:rsidRDefault="00903B5C">
            <w:pPr>
              <w:pStyle w:val="TableParagraph"/>
              <w:ind w:left="114"/>
              <w:rPr>
                <w:sz w:val="20"/>
              </w:rPr>
            </w:pPr>
            <w:r>
              <w:rPr>
                <w:sz w:val="20"/>
              </w:rPr>
              <w:t>Licensed drivers</w:t>
            </w:r>
          </w:p>
        </w:tc>
        <w:tc>
          <w:tcPr>
            <w:tcW w:w="1285" w:type="dxa"/>
          </w:tcPr>
          <w:p w14:paraId="0623E1F5" w14:textId="77777777" w:rsidR="0046798B" w:rsidRDefault="0046798B">
            <w:pPr>
              <w:pStyle w:val="TableParagraph"/>
            </w:pPr>
          </w:p>
          <w:p w14:paraId="29A02E4D" w14:textId="77777777" w:rsidR="0046798B" w:rsidRDefault="0046798B">
            <w:pPr>
              <w:pStyle w:val="TableParagraph"/>
              <w:spacing w:before="4"/>
              <w:rPr>
                <w:sz w:val="31"/>
              </w:rPr>
            </w:pPr>
          </w:p>
          <w:p w14:paraId="011CFF97" w14:textId="77777777" w:rsidR="0046798B" w:rsidRDefault="00903B5C">
            <w:pPr>
              <w:pStyle w:val="TableParagraph"/>
              <w:ind w:left="114"/>
              <w:rPr>
                <w:sz w:val="20"/>
              </w:rPr>
            </w:pPr>
            <w:r>
              <w:rPr>
                <w:sz w:val="20"/>
              </w:rPr>
              <w:t>1994–2010</w:t>
            </w:r>
          </w:p>
        </w:tc>
        <w:tc>
          <w:tcPr>
            <w:tcW w:w="3421" w:type="dxa"/>
          </w:tcPr>
          <w:p w14:paraId="5085FF7F" w14:textId="77777777" w:rsidR="0046798B" w:rsidRDefault="0046798B">
            <w:pPr>
              <w:pStyle w:val="TableParagraph"/>
            </w:pPr>
          </w:p>
          <w:p w14:paraId="3FA79B75" w14:textId="77777777" w:rsidR="0046798B" w:rsidRDefault="0046798B">
            <w:pPr>
              <w:pStyle w:val="TableParagraph"/>
              <w:spacing w:before="4"/>
              <w:rPr>
                <w:sz w:val="21"/>
              </w:rPr>
            </w:pPr>
          </w:p>
          <w:p w14:paraId="1C03A129" w14:textId="77777777" w:rsidR="0046798B" w:rsidRDefault="00903B5C">
            <w:pPr>
              <w:pStyle w:val="TableParagraph"/>
              <w:ind w:left="114" w:right="433"/>
              <w:rPr>
                <w:sz w:val="20"/>
              </w:rPr>
            </w:pPr>
            <w:r>
              <w:rPr>
                <w:sz w:val="20"/>
              </w:rPr>
              <w:t>Number of people with state-issued driver’s licenses</w:t>
            </w:r>
          </w:p>
        </w:tc>
        <w:tc>
          <w:tcPr>
            <w:tcW w:w="6482" w:type="dxa"/>
          </w:tcPr>
          <w:p w14:paraId="524A6A93" w14:textId="77777777" w:rsidR="0046798B" w:rsidRDefault="00903B5C">
            <w:pPr>
              <w:pStyle w:val="TableParagraph"/>
              <w:spacing w:before="38"/>
              <w:ind w:left="114" w:right="217"/>
              <w:rPr>
                <w:sz w:val="20"/>
              </w:rPr>
            </w:pPr>
            <w:r>
              <w:rPr>
                <w:sz w:val="20"/>
              </w:rPr>
              <w:t>U.S. Department of Transportation, Federal Highway Administration. Highway Statistics.</w:t>
            </w:r>
            <w:r>
              <w:rPr>
                <w:color w:val="0462C1"/>
                <w:sz w:val="20"/>
                <w:u w:val="single" w:color="0462C1"/>
              </w:rPr>
              <w:t xml:space="preserve"> </w:t>
            </w:r>
            <w:hyperlink r:id="rId912">
              <w:r>
                <w:rPr>
                  <w:color w:val="0462C1"/>
                  <w:sz w:val="20"/>
                  <w:u w:val="single" w:color="0462C1"/>
                </w:rPr>
                <w:t>http://www.fhwa.dot.gov/policyinformation/statistics.cfm</w:t>
              </w:r>
              <w:r>
                <w:rPr>
                  <w:sz w:val="20"/>
                </w:rPr>
                <w:t>.</w:t>
              </w:r>
            </w:hyperlink>
          </w:p>
          <w:p w14:paraId="0BE76A96" w14:textId="77777777" w:rsidR="0046798B" w:rsidRDefault="0046798B">
            <w:pPr>
              <w:pStyle w:val="TableParagraph"/>
              <w:rPr>
                <w:sz w:val="20"/>
              </w:rPr>
            </w:pPr>
          </w:p>
          <w:p w14:paraId="47F0C685" w14:textId="77777777" w:rsidR="0046798B" w:rsidRDefault="00903B5C">
            <w:pPr>
              <w:pStyle w:val="TableParagraph"/>
              <w:ind w:left="114" w:right="217"/>
              <w:rPr>
                <w:sz w:val="20"/>
              </w:rPr>
            </w:pPr>
            <w:r>
              <w:rPr>
                <w:sz w:val="20"/>
              </w:rPr>
              <w:t xml:space="preserve">Originally provided by Stateminder: A data visualization project from Georgetown University. </w:t>
            </w:r>
            <w:hyperlink r:id="rId913">
              <w:r>
                <w:rPr>
                  <w:color w:val="0462C1"/>
                  <w:sz w:val="20"/>
                  <w:u w:val="single" w:color="0462C1"/>
                </w:rPr>
                <w:t xml:space="preserve">http://stateminder.org/ </w:t>
              </w:r>
            </w:hyperlink>
            <w:r>
              <w:rPr>
                <w:color w:val="0462C1"/>
                <w:sz w:val="20"/>
                <w:u w:val="single" w:color="0462C1"/>
              </w:rPr>
              <w:t>(no longer accessible online)</w:t>
            </w:r>
          </w:p>
        </w:tc>
      </w:tr>
    </w:tbl>
    <w:p w14:paraId="4E8B4FAE" w14:textId="77777777" w:rsidR="0046798B" w:rsidRDefault="0046798B">
      <w:pPr>
        <w:rPr>
          <w:sz w:val="20"/>
        </w:rPr>
        <w:sectPr w:rsidR="0046798B">
          <w:pgSz w:w="15840" w:h="12240" w:orient="landscape"/>
          <w:pgMar w:top="1220" w:right="300" w:bottom="980" w:left="820" w:header="730" w:footer="787" w:gutter="0"/>
          <w:cols w:space="720"/>
        </w:sectPr>
      </w:pPr>
    </w:p>
    <w:p w14:paraId="517CB8A0" w14:textId="77777777" w:rsidR="0046798B" w:rsidRDefault="0046798B">
      <w:pPr>
        <w:pStyle w:val="BodyText"/>
        <w:spacing w:before="1"/>
        <w:rPr>
          <w:sz w:val="11"/>
        </w:rPr>
      </w:pPr>
    </w:p>
    <w:p w14:paraId="38C3B9FA" w14:textId="77777777" w:rsidR="0046798B" w:rsidRDefault="00903B5C">
      <w:pPr>
        <w:pStyle w:val="ListParagraph"/>
        <w:numPr>
          <w:ilvl w:val="0"/>
          <w:numId w:val="12"/>
        </w:numPr>
        <w:tabs>
          <w:tab w:val="left" w:pos="6367"/>
        </w:tabs>
        <w:spacing w:before="88"/>
        <w:ind w:left="6366" w:hanging="659"/>
        <w:jc w:val="left"/>
        <w:rPr>
          <w:b/>
          <w:sz w:val="28"/>
        </w:rPr>
      </w:pPr>
      <w:bookmarkStart w:id="30" w:name="XVI._Regulatory_Policy"/>
      <w:bookmarkStart w:id="31" w:name="_bookmark15"/>
      <w:bookmarkEnd w:id="30"/>
      <w:bookmarkEnd w:id="31"/>
      <w:r>
        <w:rPr>
          <w:b/>
          <w:sz w:val="28"/>
        </w:rPr>
        <w:t>Regulatory</w:t>
      </w:r>
      <w:r>
        <w:rPr>
          <w:b/>
          <w:spacing w:val="-1"/>
          <w:sz w:val="28"/>
        </w:rPr>
        <w:t xml:space="preserve"> </w:t>
      </w:r>
      <w:r>
        <w:rPr>
          <w:b/>
          <w:sz w:val="28"/>
        </w:rPr>
        <w:t>Policy</w:t>
      </w:r>
    </w:p>
    <w:p w14:paraId="47C27C38" w14:textId="77777777" w:rsidR="0046798B" w:rsidRDefault="0046798B">
      <w:pPr>
        <w:pStyle w:val="BodyText"/>
        <w:spacing w:before="7"/>
        <w:rPr>
          <w:b/>
          <w:sz w:val="16"/>
        </w:rPr>
      </w:pPr>
    </w:p>
    <w:p w14:paraId="0B24465D" w14:textId="77777777" w:rsidR="0046798B" w:rsidRDefault="00903B5C">
      <w:pPr>
        <w:pStyle w:val="ListParagraph"/>
        <w:numPr>
          <w:ilvl w:val="0"/>
          <w:numId w:val="1"/>
        </w:numPr>
        <w:tabs>
          <w:tab w:val="left" w:pos="916"/>
        </w:tabs>
        <w:spacing w:before="90"/>
        <w:rPr>
          <w:b/>
          <w:sz w:val="24"/>
        </w:rPr>
      </w:pPr>
      <w:r>
        <w:rPr>
          <w:b/>
          <w:sz w:val="24"/>
          <w:u w:val="single"/>
        </w:rPr>
        <w:t>Licensing</w:t>
      </w:r>
    </w:p>
    <w:p w14:paraId="09AC2558" w14:textId="77777777" w:rsidR="0046798B" w:rsidRDefault="0046798B">
      <w:pPr>
        <w:pStyle w:val="BodyText"/>
        <w:spacing w:before="8" w:after="1"/>
        <w:rPr>
          <w:b/>
          <w:sz w:val="23"/>
        </w:rPr>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2F4A4C4C" w14:textId="77777777">
        <w:trPr>
          <w:trHeight w:val="590"/>
        </w:trPr>
        <w:tc>
          <w:tcPr>
            <w:tcW w:w="1711" w:type="dxa"/>
          </w:tcPr>
          <w:p w14:paraId="2C21665B" w14:textId="77777777" w:rsidR="0046798B" w:rsidRDefault="00903B5C">
            <w:pPr>
              <w:pStyle w:val="TableParagraph"/>
              <w:spacing w:before="164"/>
              <w:ind w:left="140"/>
              <w:rPr>
                <w:b/>
              </w:rPr>
            </w:pPr>
            <w:r>
              <w:rPr>
                <w:b/>
              </w:rPr>
              <w:t>Variable Name</w:t>
            </w:r>
          </w:p>
        </w:tc>
        <w:tc>
          <w:tcPr>
            <w:tcW w:w="1596" w:type="dxa"/>
          </w:tcPr>
          <w:p w14:paraId="18606C2E" w14:textId="77777777" w:rsidR="0046798B" w:rsidRDefault="00903B5C">
            <w:pPr>
              <w:pStyle w:val="TableParagraph"/>
              <w:spacing w:before="39" w:line="242" w:lineRule="auto"/>
              <w:ind w:left="249" w:right="229" w:firstLine="280"/>
              <w:rPr>
                <w:b/>
              </w:rPr>
            </w:pPr>
            <w:r>
              <w:rPr>
                <w:b/>
              </w:rPr>
              <w:t>Short Description</w:t>
            </w:r>
          </w:p>
        </w:tc>
        <w:tc>
          <w:tcPr>
            <w:tcW w:w="1285" w:type="dxa"/>
          </w:tcPr>
          <w:p w14:paraId="4622E040" w14:textId="77777777" w:rsidR="0046798B" w:rsidRDefault="00903B5C">
            <w:pPr>
              <w:pStyle w:val="TableParagraph"/>
              <w:spacing w:before="164"/>
              <w:ind w:left="364"/>
              <w:rPr>
                <w:b/>
              </w:rPr>
            </w:pPr>
            <w:r>
              <w:rPr>
                <w:b/>
              </w:rPr>
              <w:t>Years</w:t>
            </w:r>
          </w:p>
        </w:tc>
        <w:tc>
          <w:tcPr>
            <w:tcW w:w="3421" w:type="dxa"/>
          </w:tcPr>
          <w:p w14:paraId="4301D24A" w14:textId="77777777" w:rsidR="0046798B" w:rsidRDefault="00903B5C">
            <w:pPr>
              <w:pStyle w:val="TableParagraph"/>
              <w:spacing w:before="39"/>
              <w:ind w:left="159" w:right="146"/>
              <w:jc w:val="center"/>
              <w:rPr>
                <w:b/>
              </w:rPr>
            </w:pPr>
            <w:r>
              <w:rPr>
                <w:b/>
              </w:rPr>
              <w:t>Coding /</w:t>
            </w:r>
          </w:p>
          <w:p w14:paraId="37ED2EF5" w14:textId="77777777" w:rsidR="0046798B" w:rsidRDefault="00903B5C">
            <w:pPr>
              <w:pStyle w:val="TableParagraph"/>
              <w:spacing w:before="3"/>
              <w:ind w:left="159" w:right="150"/>
              <w:jc w:val="center"/>
              <w:rPr>
                <w:b/>
              </w:rPr>
            </w:pPr>
            <w:r>
              <w:rPr>
                <w:b/>
              </w:rPr>
              <w:t>Longer Description (if available)</w:t>
            </w:r>
          </w:p>
        </w:tc>
        <w:tc>
          <w:tcPr>
            <w:tcW w:w="6482" w:type="dxa"/>
          </w:tcPr>
          <w:p w14:paraId="212F512F" w14:textId="77777777" w:rsidR="0046798B" w:rsidRDefault="00903B5C">
            <w:pPr>
              <w:pStyle w:val="TableParagraph"/>
              <w:spacing w:before="164"/>
              <w:ind w:left="2852" w:right="2845"/>
              <w:jc w:val="center"/>
              <w:rPr>
                <w:b/>
              </w:rPr>
            </w:pPr>
            <w:r>
              <w:rPr>
                <w:b/>
              </w:rPr>
              <w:t>Sources</w:t>
            </w:r>
          </w:p>
        </w:tc>
      </w:tr>
      <w:tr w:rsidR="0046798B" w14:paraId="2420DC84" w14:textId="77777777">
        <w:trPr>
          <w:trHeight w:val="550"/>
        </w:trPr>
        <w:tc>
          <w:tcPr>
            <w:tcW w:w="1711" w:type="dxa"/>
          </w:tcPr>
          <w:p w14:paraId="505DB961" w14:textId="77777777" w:rsidR="0046798B" w:rsidRDefault="00903B5C">
            <w:pPr>
              <w:pStyle w:val="TableParagraph"/>
              <w:spacing w:before="158"/>
              <w:ind w:left="115"/>
              <w:rPr>
                <w:b/>
                <w:sz w:val="20"/>
              </w:rPr>
            </w:pPr>
            <w:r>
              <w:rPr>
                <w:b/>
                <w:sz w:val="20"/>
              </w:rPr>
              <w:t>beaulic</w:t>
            </w:r>
          </w:p>
        </w:tc>
        <w:tc>
          <w:tcPr>
            <w:tcW w:w="1596" w:type="dxa"/>
          </w:tcPr>
          <w:p w14:paraId="369D99CD" w14:textId="77777777" w:rsidR="0046798B" w:rsidRDefault="00903B5C">
            <w:pPr>
              <w:pStyle w:val="TableParagraph"/>
              <w:spacing w:before="43"/>
              <w:ind w:left="114" w:right="452"/>
              <w:rPr>
                <w:sz w:val="20"/>
              </w:rPr>
            </w:pPr>
            <w:r>
              <w:rPr>
                <w:sz w:val="20"/>
              </w:rPr>
              <w:t>Beauticians’ licensing</w:t>
            </w:r>
          </w:p>
        </w:tc>
        <w:tc>
          <w:tcPr>
            <w:tcW w:w="1285" w:type="dxa"/>
          </w:tcPr>
          <w:p w14:paraId="572225F6" w14:textId="77777777" w:rsidR="0046798B" w:rsidRDefault="00903B5C">
            <w:pPr>
              <w:pStyle w:val="TableParagraph"/>
              <w:spacing w:before="158"/>
              <w:ind w:left="114"/>
              <w:rPr>
                <w:sz w:val="20"/>
              </w:rPr>
            </w:pPr>
            <w:r>
              <w:rPr>
                <w:sz w:val="20"/>
              </w:rPr>
              <w:t>1914–1980</w:t>
            </w:r>
          </w:p>
        </w:tc>
        <w:tc>
          <w:tcPr>
            <w:tcW w:w="3421" w:type="dxa"/>
          </w:tcPr>
          <w:p w14:paraId="54173C10" w14:textId="77777777" w:rsidR="0046798B" w:rsidRDefault="00903B5C">
            <w:pPr>
              <w:pStyle w:val="TableParagraph"/>
              <w:spacing w:before="43"/>
              <w:ind w:left="114" w:right="189"/>
              <w:rPr>
                <w:sz w:val="20"/>
              </w:rPr>
            </w:pPr>
            <w:r>
              <w:rPr>
                <w:sz w:val="20"/>
              </w:rPr>
              <w:t>Did state adopt beauticians’ licensing? (0 = no, 1 = yes)</w:t>
            </w:r>
          </w:p>
        </w:tc>
        <w:tc>
          <w:tcPr>
            <w:tcW w:w="6482" w:type="dxa"/>
          </w:tcPr>
          <w:p w14:paraId="1A6808A8" w14:textId="77777777" w:rsidR="0046798B" w:rsidRDefault="00903B5C">
            <w:pPr>
              <w:pStyle w:val="TableParagraph"/>
              <w:spacing w:before="4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782465EB" w14:textId="77777777">
        <w:trPr>
          <w:trHeight w:val="545"/>
        </w:trPr>
        <w:tc>
          <w:tcPr>
            <w:tcW w:w="1711" w:type="dxa"/>
          </w:tcPr>
          <w:p w14:paraId="1BB8725F" w14:textId="77777777" w:rsidR="0046798B" w:rsidRDefault="00903B5C">
            <w:pPr>
              <w:pStyle w:val="TableParagraph"/>
              <w:spacing w:before="153"/>
              <w:ind w:left="115"/>
              <w:rPr>
                <w:b/>
                <w:sz w:val="20"/>
              </w:rPr>
            </w:pPr>
            <w:r>
              <w:rPr>
                <w:b/>
                <w:sz w:val="20"/>
              </w:rPr>
              <w:t>intbar</w:t>
            </w:r>
          </w:p>
        </w:tc>
        <w:tc>
          <w:tcPr>
            <w:tcW w:w="1596" w:type="dxa"/>
          </w:tcPr>
          <w:p w14:paraId="0E0865C1" w14:textId="77777777" w:rsidR="0046798B" w:rsidRDefault="00903B5C">
            <w:pPr>
              <w:pStyle w:val="TableParagraph"/>
              <w:spacing w:before="153"/>
              <w:ind w:left="114"/>
              <w:rPr>
                <w:sz w:val="20"/>
              </w:rPr>
            </w:pPr>
            <w:r>
              <w:rPr>
                <w:sz w:val="20"/>
              </w:rPr>
              <w:t>Integrated bar</w:t>
            </w:r>
          </w:p>
        </w:tc>
        <w:tc>
          <w:tcPr>
            <w:tcW w:w="1285" w:type="dxa"/>
          </w:tcPr>
          <w:p w14:paraId="73345C46" w14:textId="77777777" w:rsidR="0046798B" w:rsidRDefault="00903B5C">
            <w:pPr>
              <w:pStyle w:val="TableParagraph"/>
              <w:spacing w:before="153"/>
              <w:ind w:left="114"/>
              <w:rPr>
                <w:sz w:val="20"/>
              </w:rPr>
            </w:pPr>
            <w:r>
              <w:rPr>
                <w:sz w:val="20"/>
              </w:rPr>
              <w:t>1921–1956</w:t>
            </w:r>
          </w:p>
        </w:tc>
        <w:tc>
          <w:tcPr>
            <w:tcW w:w="3421" w:type="dxa"/>
          </w:tcPr>
          <w:p w14:paraId="3AC4EE5A" w14:textId="77777777" w:rsidR="0046798B" w:rsidRDefault="00903B5C">
            <w:pPr>
              <w:pStyle w:val="TableParagraph"/>
              <w:spacing w:before="38"/>
              <w:ind w:left="114" w:right="204"/>
              <w:rPr>
                <w:sz w:val="20"/>
              </w:rPr>
            </w:pPr>
            <w:r>
              <w:rPr>
                <w:sz w:val="20"/>
              </w:rPr>
              <w:t>Did state adopt an integrated bar? (0 = no, 1 = yes)</w:t>
            </w:r>
          </w:p>
        </w:tc>
        <w:tc>
          <w:tcPr>
            <w:tcW w:w="6482" w:type="dxa"/>
          </w:tcPr>
          <w:p w14:paraId="2FF8D587" w14:textId="77777777" w:rsidR="0046798B" w:rsidRDefault="00903B5C">
            <w:pPr>
              <w:pStyle w:val="TableParagraph"/>
              <w:spacing w:before="3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4FCB24C6" w14:textId="77777777">
        <w:trPr>
          <w:trHeight w:val="775"/>
        </w:trPr>
        <w:tc>
          <w:tcPr>
            <w:tcW w:w="1711" w:type="dxa"/>
          </w:tcPr>
          <w:p w14:paraId="2766EC52" w14:textId="77777777" w:rsidR="0046798B" w:rsidRDefault="0046798B">
            <w:pPr>
              <w:pStyle w:val="TableParagraph"/>
              <w:spacing w:before="3"/>
              <w:rPr>
                <w:b/>
                <w:sz w:val="23"/>
              </w:rPr>
            </w:pPr>
          </w:p>
          <w:p w14:paraId="3284DAAF" w14:textId="77777777" w:rsidR="0046798B" w:rsidRDefault="00903B5C">
            <w:pPr>
              <w:pStyle w:val="TableParagraph"/>
              <w:spacing w:before="1"/>
              <w:ind w:left="115"/>
              <w:rPr>
                <w:b/>
                <w:sz w:val="20"/>
              </w:rPr>
            </w:pPr>
            <w:r>
              <w:rPr>
                <w:b/>
                <w:sz w:val="20"/>
              </w:rPr>
              <w:t>realest</w:t>
            </w:r>
          </w:p>
        </w:tc>
        <w:tc>
          <w:tcPr>
            <w:tcW w:w="1596" w:type="dxa"/>
          </w:tcPr>
          <w:p w14:paraId="2DC63DB2" w14:textId="77777777" w:rsidR="0046798B" w:rsidRDefault="00903B5C">
            <w:pPr>
              <w:pStyle w:val="TableParagraph"/>
              <w:spacing w:before="38"/>
              <w:ind w:left="114" w:right="580"/>
              <w:rPr>
                <w:sz w:val="20"/>
              </w:rPr>
            </w:pPr>
            <w:r>
              <w:rPr>
                <w:sz w:val="20"/>
              </w:rPr>
              <w:t>Real estate brokers’ licensing</w:t>
            </w:r>
          </w:p>
        </w:tc>
        <w:tc>
          <w:tcPr>
            <w:tcW w:w="1285" w:type="dxa"/>
          </w:tcPr>
          <w:p w14:paraId="2939B280" w14:textId="77777777" w:rsidR="0046798B" w:rsidRDefault="0046798B">
            <w:pPr>
              <w:pStyle w:val="TableParagraph"/>
              <w:spacing w:before="3"/>
              <w:rPr>
                <w:b/>
                <w:sz w:val="23"/>
              </w:rPr>
            </w:pPr>
          </w:p>
          <w:p w14:paraId="2581B45D" w14:textId="77777777" w:rsidR="0046798B" w:rsidRDefault="00903B5C">
            <w:pPr>
              <w:pStyle w:val="TableParagraph"/>
              <w:spacing w:before="1"/>
              <w:ind w:left="114"/>
              <w:rPr>
                <w:sz w:val="20"/>
              </w:rPr>
            </w:pPr>
            <w:r>
              <w:rPr>
                <w:sz w:val="20"/>
              </w:rPr>
              <w:t>1917–1964</w:t>
            </w:r>
          </w:p>
        </w:tc>
        <w:tc>
          <w:tcPr>
            <w:tcW w:w="3421" w:type="dxa"/>
          </w:tcPr>
          <w:p w14:paraId="7BF121C8" w14:textId="77777777" w:rsidR="0046798B" w:rsidRDefault="00903B5C">
            <w:pPr>
              <w:pStyle w:val="TableParagraph"/>
              <w:spacing w:before="153"/>
              <w:ind w:left="114" w:right="494"/>
              <w:rPr>
                <w:sz w:val="20"/>
              </w:rPr>
            </w:pPr>
            <w:r>
              <w:rPr>
                <w:sz w:val="20"/>
              </w:rPr>
              <w:t>Did state adopt real estate brokers’ licensing? (0 = no, 1 = yes)</w:t>
            </w:r>
          </w:p>
        </w:tc>
        <w:tc>
          <w:tcPr>
            <w:tcW w:w="6482" w:type="dxa"/>
          </w:tcPr>
          <w:p w14:paraId="6CA9F93A" w14:textId="77777777" w:rsidR="0046798B" w:rsidRDefault="00903B5C">
            <w:pPr>
              <w:pStyle w:val="TableParagraph"/>
              <w:spacing w:before="15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7AF090D2" w14:textId="77777777">
        <w:trPr>
          <w:trHeight w:val="1465"/>
        </w:trPr>
        <w:tc>
          <w:tcPr>
            <w:tcW w:w="1711" w:type="dxa"/>
          </w:tcPr>
          <w:p w14:paraId="3F4E9FC3" w14:textId="77777777" w:rsidR="0046798B" w:rsidRDefault="0046798B">
            <w:pPr>
              <w:pStyle w:val="TableParagraph"/>
              <w:rPr>
                <w:b/>
              </w:rPr>
            </w:pPr>
          </w:p>
          <w:p w14:paraId="4653E1E4" w14:textId="77777777" w:rsidR="0046798B" w:rsidRDefault="0046798B">
            <w:pPr>
              <w:pStyle w:val="TableParagraph"/>
              <w:spacing w:before="9"/>
              <w:rPr>
                <w:b/>
                <w:sz w:val="31"/>
              </w:rPr>
            </w:pPr>
          </w:p>
          <w:p w14:paraId="1B0DD0CE" w14:textId="77777777" w:rsidR="0046798B" w:rsidRDefault="00903B5C">
            <w:pPr>
              <w:pStyle w:val="TableParagraph"/>
              <w:ind w:left="115"/>
              <w:rPr>
                <w:b/>
                <w:sz w:val="20"/>
              </w:rPr>
            </w:pPr>
            <w:r>
              <w:rPr>
                <w:b/>
                <w:sz w:val="20"/>
              </w:rPr>
              <w:t>keduc</w:t>
            </w:r>
          </w:p>
        </w:tc>
        <w:tc>
          <w:tcPr>
            <w:tcW w:w="1596" w:type="dxa"/>
          </w:tcPr>
          <w:p w14:paraId="7C1034AA" w14:textId="77777777" w:rsidR="0046798B" w:rsidRDefault="00903B5C">
            <w:pPr>
              <w:pStyle w:val="TableParagraph"/>
              <w:spacing w:before="43"/>
              <w:ind w:left="114" w:right="119"/>
              <w:rPr>
                <w:sz w:val="20"/>
              </w:rPr>
            </w:pPr>
            <w:r>
              <w:rPr>
                <w:sz w:val="20"/>
              </w:rPr>
              <w:t>Summed education/experi ence requirements for all occupations licensed</w:t>
            </w:r>
          </w:p>
        </w:tc>
        <w:tc>
          <w:tcPr>
            <w:tcW w:w="1285" w:type="dxa"/>
          </w:tcPr>
          <w:p w14:paraId="14C1690D" w14:textId="77777777" w:rsidR="0046798B" w:rsidRDefault="0046798B">
            <w:pPr>
              <w:pStyle w:val="TableParagraph"/>
              <w:rPr>
                <w:b/>
              </w:rPr>
            </w:pPr>
          </w:p>
          <w:p w14:paraId="5AE7E4F9" w14:textId="77777777" w:rsidR="0046798B" w:rsidRDefault="0046798B">
            <w:pPr>
              <w:pStyle w:val="TableParagraph"/>
              <w:spacing w:before="9"/>
              <w:rPr>
                <w:b/>
                <w:sz w:val="31"/>
              </w:rPr>
            </w:pPr>
          </w:p>
          <w:p w14:paraId="0D4808B7" w14:textId="77777777" w:rsidR="0046798B" w:rsidRDefault="00903B5C">
            <w:pPr>
              <w:pStyle w:val="TableParagraph"/>
              <w:ind w:left="114"/>
              <w:rPr>
                <w:sz w:val="20"/>
              </w:rPr>
            </w:pPr>
            <w:r>
              <w:rPr>
                <w:sz w:val="20"/>
              </w:rPr>
              <w:t>2010</w:t>
            </w:r>
          </w:p>
        </w:tc>
        <w:tc>
          <w:tcPr>
            <w:tcW w:w="3421" w:type="dxa"/>
          </w:tcPr>
          <w:p w14:paraId="1F83094F" w14:textId="77777777" w:rsidR="0046798B" w:rsidRDefault="0046798B">
            <w:pPr>
              <w:pStyle w:val="TableParagraph"/>
              <w:rPr>
                <w:b/>
              </w:rPr>
            </w:pPr>
          </w:p>
          <w:p w14:paraId="0108D15A" w14:textId="77777777" w:rsidR="0046798B" w:rsidRDefault="00903B5C">
            <w:pPr>
              <w:pStyle w:val="TableParagraph"/>
              <w:spacing w:before="135"/>
              <w:ind w:left="114" w:right="694"/>
              <w:rPr>
                <w:sz w:val="20"/>
              </w:rPr>
            </w:pPr>
            <w:r>
              <w:rPr>
                <w:sz w:val="20"/>
              </w:rPr>
              <w:t>Summed education/experience requirements for all occupations licensed</w:t>
            </w:r>
          </w:p>
        </w:tc>
        <w:tc>
          <w:tcPr>
            <w:tcW w:w="6482" w:type="dxa"/>
          </w:tcPr>
          <w:p w14:paraId="4A541F45" w14:textId="77777777" w:rsidR="0046798B" w:rsidRDefault="0046798B">
            <w:pPr>
              <w:pStyle w:val="TableParagraph"/>
              <w:rPr>
                <w:b/>
              </w:rPr>
            </w:pPr>
          </w:p>
          <w:p w14:paraId="18406F0A" w14:textId="77777777" w:rsidR="0046798B" w:rsidRDefault="00903B5C">
            <w:pPr>
              <w:pStyle w:val="TableParagraph"/>
              <w:spacing w:before="135"/>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3DCE957" w14:textId="77777777">
        <w:trPr>
          <w:trHeight w:val="1005"/>
        </w:trPr>
        <w:tc>
          <w:tcPr>
            <w:tcW w:w="1711" w:type="dxa"/>
          </w:tcPr>
          <w:p w14:paraId="79F0BF59" w14:textId="77777777" w:rsidR="0046798B" w:rsidRDefault="0046798B">
            <w:pPr>
              <w:pStyle w:val="TableParagraph"/>
              <w:rPr>
                <w:b/>
              </w:rPr>
            </w:pPr>
          </w:p>
          <w:p w14:paraId="23E9AB4D" w14:textId="77777777" w:rsidR="0046798B" w:rsidRDefault="00903B5C">
            <w:pPr>
              <w:pStyle w:val="TableParagraph"/>
              <w:spacing w:before="136"/>
              <w:ind w:left="115"/>
              <w:rPr>
                <w:b/>
                <w:sz w:val="20"/>
              </w:rPr>
            </w:pPr>
            <w:r>
              <w:rPr>
                <w:b/>
                <w:sz w:val="20"/>
              </w:rPr>
              <w:t>kexam</w:t>
            </w:r>
          </w:p>
        </w:tc>
        <w:tc>
          <w:tcPr>
            <w:tcW w:w="1596" w:type="dxa"/>
          </w:tcPr>
          <w:p w14:paraId="565D6716" w14:textId="77777777" w:rsidR="0046798B" w:rsidRDefault="00903B5C">
            <w:pPr>
              <w:pStyle w:val="TableParagraph"/>
              <w:spacing w:before="44"/>
              <w:ind w:left="114" w:right="124"/>
              <w:rPr>
                <w:sz w:val="20"/>
              </w:rPr>
            </w:pPr>
            <w:r>
              <w:rPr>
                <w:sz w:val="20"/>
              </w:rPr>
              <w:t>Summed exam requirements for all occupations licensed</w:t>
            </w:r>
          </w:p>
        </w:tc>
        <w:tc>
          <w:tcPr>
            <w:tcW w:w="1285" w:type="dxa"/>
          </w:tcPr>
          <w:p w14:paraId="5848A715" w14:textId="77777777" w:rsidR="0046798B" w:rsidRDefault="0046798B">
            <w:pPr>
              <w:pStyle w:val="TableParagraph"/>
              <w:rPr>
                <w:b/>
              </w:rPr>
            </w:pPr>
          </w:p>
          <w:p w14:paraId="763EC6A3" w14:textId="77777777" w:rsidR="0046798B" w:rsidRDefault="00903B5C">
            <w:pPr>
              <w:pStyle w:val="TableParagraph"/>
              <w:spacing w:before="136"/>
              <w:ind w:left="114"/>
              <w:rPr>
                <w:sz w:val="20"/>
              </w:rPr>
            </w:pPr>
            <w:r>
              <w:rPr>
                <w:sz w:val="20"/>
              </w:rPr>
              <w:t>2010</w:t>
            </w:r>
          </w:p>
        </w:tc>
        <w:tc>
          <w:tcPr>
            <w:tcW w:w="3421" w:type="dxa"/>
          </w:tcPr>
          <w:p w14:paraId="61575EA3" w14:textId="77777777" w:rsidR="0046798B" w:rsidRDefault="0046798B">
            <w:pPr>
              <w:pStyle w:val="TableParagraph"/>
              <w:spacing w:before="9"/>
              <w:rPr>
                <w:b/>
                <w:sz w:val="23"/>
              </w:rPr>
            </w:pPr>
          </w:p>
          <w:p w14:paraId="6FD68421" w14:textId="77777777" w:rsidR="0046798B" w:rsidRDefault="00903B5C">
            <w:pPr>
              <w:pStyle w:val="TableParagraph"/>
              <w:ind w:left="114" w:right="455"/>
              <w:rPr>
                <w:sz w:val="20"/>
              </w:rPr>
            </w:pPr>
            <w:r>
              <w:rPr>
                <w:sz w:val="20"/>
              </w:rPr>
              <w:t>Summed exam requirements for all occupations licensed</w:t>
            </w:r>
          </w:p>
        </w:tc>
        <w:tc>
          <w:tcPr>
            <w:tcW w:w="6482" w:type="dxa"/>
          </w:tcPr>
          <w:p w14:paraId="1397DBEE" w14:textId="77777777" w:rsidR="0046798B" w:rsidRDefault="00903B5C">
            <w:pPr>
              <w:pStyle w:val="TableParagraph"/>
              <w:spacing w:before="159"/>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66F5F50" w14:textId="77777777">
        <w:trPr>
          <w:trHeight w:val="775"/>
        </w:trPr>
        <w:tc>
          <w:tcPr>
            <w:tcW w:w="1711" w:type="dxa"/>
          </w:tcPr>
          <w:p w14:paraId="0CF08B12" w14:textId="77777777" w:rsidR="0046798B" w:rsidRDefault="0046798B">
            <w:pPr>
              <w:pStyle w:val="TableParagraph"/>
              <w:spacing w:before="9"/>
              <w:rPr>
                <w:b/>
                <w:sz w:val="23"/>
              </w:rPr>
            </w:pPr>
          </w:p>
          <w:p w14:paraId="0313EA90" w14:textId="77777777" w:rsidR="0046798B" w:rsidRDefault="00903B5C">
            <w:pPr>
              <w:pStyle w:val="TableParagraph"/>
              <w:ind w:left="115"/>
              <w:rPr>
                <w:b/>
                <w:sz w:val="20"/>
              </w:rPr>
            </w:pPr>
            <w:r>
              <w:rPr>
                <w:b/>
                <w:sz w:val="20"/>
              </w:rPr>
              <w:t>kfees</w:t>
            </w:r>
          </w:p>
        </w:tc>
        <w:tc>
          <w:tcPr>
            <w:tcW w:w="1596" w:type="dxa"/>
          </w:tcPr>
          <w:p w14:paraId="2E1A528E" w14:textId="77777777" w:rsidR="0046798B" w:rsidRDefault="00903B5C">
            <w:pPr>
              <w:pStyle w:val="TableParagraph"/>
              <w:spacing w:before="43"/>
              <w:ind w:left="114" w:right="85"/>
              <w:rPr>
                <w:sz w:val="20"/>
              </w:rPr>
            </w:pPr>
            <w:r>
              <w:rPr>
                <w:sz w:val="20"/>
              </w:rPr>
              <w:t>Summed fees for all occupations licensed</w:t>
            </w:r>
          </w:p>
        </w:tc>
        <w:tc>
          <w:tcPr>
            <w:tcW w:w="1285" w:type="dxa"/>
          </w:tcPr>
          <w:p w14:paraId="42DDECED" w14:textId="77777777" w:rsidR="0046798B" w:rsidRDefault="0046798B">
            <w:pPr>
              <w:pStyle w:val="TableParagraph"/>
              <w:spacing w:before="9"/>
              <w:rPr>
                <w:b/>
                <w:sz w:val="23"/>
              </w:rPr>
            </w:pPr>
          </w:p>
          <w:p w14:paraId="56D71AAF" w14:textId="77777777" w:rsidR="0046798B" w:rsidRDefault="00903B5C">
            <w:pPr>
              <w:pStyle w:val="TableParagraph"/>
              <w:ind w:left="114"/>
              <w:rPr>
                <w:sz w:val="20"/>
              </w:rPr>
            </w:pPr>
            <w:r>
              <w:rPr>
                <w:sz w:val="20"/>
              </w:rPr>
              <w:t>2010</w:t>
            </w:r>
          </w:p>
        </w:tc>
        <w:tc>
          <w:tcPr>
            <w:tcW w:w="3421" w:type="dxa"/>
          </w:tcPr>
          <w:p w14:paraId="15279C92" w14:textId="77777777" w:rsidR="0046798B" w:rsidRDefault="00903B5C">
            <w:pPr>
              <w:pStyle w:val="TableParagraph"/>
              <w:spacing w:before="158"/>
              <w:ind w:left="114" w:right="655"/>
              <w:rPr>
                <w:sz w:val="20"/>
              </w:rPr>
            </w:pPr>
            <w:r>
              <w:rPr>
                <w:sz w:val="20"/>
              </w:rPr>
              <w:t>Summed fees for all occupations licensed</w:t>
            </w:r>
          </w:p>
        </w:tc>
        <w:tc>
          <w:tcPr>
            <w:tcW w:w="6482" w:type="dxa"/>
          </w:tcPr>
          <w:p w14:paraId="2BAE3D38"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560A2B4" w14:textId="77777777">
        <w:trPr>
          <w:trHeight w:val="1240"/>
        </w:trPr>
        <w:tc>
          <w:tcPr>
            <w:tcW w:w="1711" w:type="dxa"/>
          </w:tcPr>
          <w:p w14:paraId="09A87554" w14:textId="77777777" w:rsidR="0046798B" w:rsidRDefault="0046798B">
            <w:pPr>
              <w:pStyle w:val="TableParagraph"/>
              <w:rPr>
                <w:b/>
              </w:rPr>
            </w:pPr>
          </w:p>
          <w:p w14:paraId="1EA9D542" w14:textId="77777777" w:rsidR="0046798B" w:rsidRDefault="0046798B">
            <w:pPr>
              <w:pStyle w:val="TableParagraph"/>
              <w:spacing w:before="8"/>
              <w:rPr>
                <w:b/>
                <w:sz w:val="21"/>
              </w:rPr>
            </w:pPr>
          </w:p>
          <w:p w14:paraId="7467123A" w14:textId="77777777" w:rsidR="0046798B" w:rsidRDefault="00903B5C">
            <w:pPr>
              <w:pStyle w:val="TableParagraph"/>
              <w:ind w:left="115"/>
              <w:rPr>
                <w:b/>
                <w:sz w:val="20"/>
              </w:rPr>
            </w:pPr>
            <w:r>
              <w:rPr>
                <w:b/>
                <w:sz w:val="20"/>
              </w:rPr>
              <w:t>klicsurv</w:t>
            </w:r>
          </w:p>
        </w:tc>
        <w:tc>
          <w:tcPr>
            <w:tcW w:w="1596" w:type="dxa"/>
          </w:tcPr>
          <w:p w14:paraId="31331F53" w14:textId="77777777" w:rsidR="0046798B" w:rsidRDefault="00903B5C">
            <w:pPr>
              <w:pStyle w:val="TableParagraph"/>
              <w:spacing w:before="43"/>
              <w:ind w:left="114" w:right="358"/>
              <w:rPr>
                <w:sz w:val="20"/>
              </w:rPr>
            </w:pPr>
            <w:r>
              <w:rPr>
                <w:sz w:val="20"/>
              </w:rPr>
              <w:t>Percentage of workers requiring a license from survey data</w:t>
            </w:r>
          </w:p>
        </w:tc>
        <w:tc>
          <w:tcPr>
            <w:tcW w:w="1285" w:type="dxa"/>
          </w:tcPr>
          <w:p w14:paraId="11458E7E" w14:textId="77777777" w:rsidR="0046798B" w:rsidRDefault="0046798B">
            <w:pPr>
              <w:pStyle w:val="TableParagraph"/>
              <w:rPr>
                <w:b/>
              </w:rPr>
            </w:pPr>
          </w:p>
          <w:p w14:paraId="34783B5C" w14:textId="77777777" w:rsidR="0046798B" w:rsidRDefault="0046798B">
            <w:pPr>
              <w:pStyle w:val="TableParagraph"/>
              <w:spacing w:before="8"/>
              <w:rPr>
                <w:b/>
                <w:sz w:val="21"/>
              </w:rPr>
            </w:pPr>
          </w:p>
          <w:p w14:paraId="038A0C1F" w14:textId="77777777" w:rsidR="0046798B" w:rsidRDefault="00903B5C">
            <w:pPr>
              <w:pStyle w:val="TableParagraph"/>
              <w:ind w:left="114"/>
              <w:rPr>
                <w:sz w:val="20"/>
              </w:rPr>
            </w:pPr>
            <w:r>
              <w:rPr>
                <w:sz w:val="20"/>
              </w:rPr>
              <w:t>2014</w:t>
            </w:r>
          </w:p>
        </w:tc>
        <w:tc>
          <w:tcPr>
            <w:tcW w:w="3421" w:type="dxa"/>
          </w:tcPr>
          <w:p w14:paraId="61FFB09D" w14:textId="77777777" w:rsidR="0046798B" w:rsidRDefault="0046798B">
            <w:pPr>
              <w:pStyle w:val="TableParagraph"/>
              <w:rPr>
                <w:b/>
              </w:rPr>
            </w:pPr>
          </w:p>
          <w:p w14:paraId="29276F72" w14:textId="77777777" w:rsidR="0046798B" w:rsidRDefault="00903B5C">
            <w:pPr>
              <w:pStyle w:val="TableParagraph"/>
              <w:spacing w:before="135"/>
              <w:ind w:left="114" w:right="567"/>
              <w:rPr>
                <w:sz w:val="20"/>
              </w:rPr>
            </w:pPr>
            <w:r>
              <w:rPr>
                <w:sz w:val="20"/>
              </w:rPr>
              <w:t>Percentage of workers requiring a license from survey data'</w:t>
            </w:r>
          </w:p>
        </w:tc>
        <w:tc>
          <w:tcPr>
            <w:tcW w:w="6482" w:type="dxa"/>
          </w:tcPr>
          <w:p w14:paraId="68EB3E48" w14:textId="77777777" w:rsidR="0046798B" w:rsidRDefault="0046798B">
            <w:pPr>
              <w:pStyle w:val="TableParagraph"/>
              <w:spacing w:before="8"/>
              <w:rPr>
                <w:b/>
                <w:sz w:val="23"/>
              </w:rPr>
            </w:pPr>
          </w:p>
          <w:p w14:paraId="23C13024"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4FBBD2B" w14:textId="77777777">
        <w:trPr>
          <w:trHeight w:val="775"/>
        </w:trPr>
        <w:tc>
          <w:tcPr>
            <w:tcW w:w="1711" w:type="dxa"/>
          </w:tcPr>
          <w:p w14:paraId="274EB420" w14:textId="77777777" w:rsidR="0046798B" w:rsidRDefault="0046798B">
            <w:pPr>
              <w:pStyle w:val="TableParagraph"/>
              <w:spacing w:before="3"/>
              <w:rPr>
                <w:b/>
                <w:sz w:val="23"/>
              </w:rPr>
            </w:pPr>
          </w:p>
          <w:p w14:paraId="1160F636" w14:textId="77777777" w:rsidR="0046798B" w:rsidRDefault="00903B5C">
            <w:pPr>
              <w:pStyle w:val="TableParagraph"/>
              <w:spacing w:before="1"/>
              <w:ind w:left="115"/>
              <w:rPr>
                <w:b/>
                <w:sz w:val="20"/>
              </w:rPr>
            </w:pPr>
            <w:r>
              <w:rPr>
                <w:b/>
                <w:sz w:val="20"/>
              </w:rPr>
              <w:t>kloccs</w:t>
            </w:r>
          </w:p>
        </w:tc>
        <w:tc>
          <w:tcPr>
            <w:tcW w:w="1596" w:type="dxa"/>
          </w:tcPr>
          <w:p w14:paraId="4FD22D23" w14:textId="77777777" w:rsidR="0046798B" w:rsidRDefault="00903B5C">
            <w:pPr>
              <w:pStyle w:val="TableParagraph"/>
              <w:spacing w:before="38"/>
              <w:ind w:left="114" w:right="496"/>
              <w:rPr>
                <w:sz w:val="20"/>
              </w:rPr>
            </w:pPr>
            <w:r>
              <w:rPr>
                <w:sz w:val="20"/>
              </w:rPr>
              <w:t>Number of licensed occupations</w:t>
            </w:r>
          </w:p>
        </w:tc>
        <w:tc>
          <w:tcPr>
            <w:tcW w:w="1285" w:type="dxa"/>
          </w:tcPr>
          <w:p w14:paraId="4D1A8868" w14:textId="77777777" w:rsidR="0046798B" w:rsidRDefault="0046798B">
            <w:pPr>
              <w:pStyle w:val="TableParagraph"/>
              <w:spacing w:before="3"/>
              <w:rPr>
                <w:b/>
                <w:sz w:val="23"/>
              </w:rPr>
            </w:pPr>
          </w:p>
          <w:p w14:paraId="0DEFDED1" w14:textId="77777777" w:rsidR="0046798B" w:rsidRDefault="00903B5C">
            <w:pPr>
              <w:pStyle w:val="TableParagraph"/>
              <w:spacing w:before="1"/>
              <w:ind w:left="114"/>
              <w:rPr>
                <w:sz w:val="20"/>
              </w:rPr>
            </w:pPr>
            <w:r>
              <w:rPr>
                <w:sz w:val="20"/>
              </w:rPr>
              <w:t>1993</w:t>
            </w:r>
          </w:p>
        </w:tc>
        <w:tc>
          <w:tcPr>
            <w:tcW w:w="3421" w:type="dxa"/>
          </w:tcPr>
          <w:p w14:paraId="4643B405" w14:textId="77777777" w:rsidR="0046798B" w:rsidRDefault="00903B5C">
            <w:pPr>
              <w:pStyle w:val="TableParagraph"/>
              <w:spacing w:before="153"/>
              <w:ind w:left="114"/>
              <w:rPr>
                <w:sz w:val="20"/>
              </w:rPr>
            </w:pPr>
            <w:r>
              <w:rPr>
                <w:sz w:val="20"/>
              </w:rPr>
              <w:t>Number of licensed occupations</w:t>
            </w:r>
          </w:p>
        </w:tc>
        <w:tc>
          <w:tcPr>
            <w:tcW w:w="6482" w:type="dxa"/>
          </w:tcPr>
          <w:p w14:paraId="2E5DF138" w14:textId="77777777" w:rsidR="0046798B" w:rsidRDefault="00903B5C">
            <w:pPr>
              <w:pStyle w:val="TableParagraph"/>
              <w:spacing w:before="3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289513EF" w14:textId="77777777" w:rsidR="0046798B" w:rsidRDefault="0046798B">
      <w:pPr>
        <w:rPr>
          <w:sz w:val="20"/>
        </w:rPr>
        <w:sectPr w:rsidR="0046798B">
          <w:pgSz w:w="15840" w:h="12240" w:orient="landscape"/>
          <w:pgMar w:top="1220" w:right="300" w:bottom="980" w:left="820" w:header="730" w:footer="787" w:gutter="0"/>
          <w:cols w:space="720"/>
        </w:sectPr>
      </w:pPr>
    </w:p>
    <w:p w14:paraId="7A2A6E38"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5F41FA1E" w14:textId="77777777">
        <w:trPr>
          <w:trHeight w:val="1005"/>
        </w:trPr>
        <w:tc>
          <w:tcPr>
            <w:tcW w:w="1711" w:type="dxa"/>
          </w:tcPr>
          <w:p w14:paraId="48D3559A" w14:textId="77777777" w:rsidR="0046798B" w:rsidRDefault="0046798B">
            <w:pPr>
              <w:pStyle w:val="TableParagraph"/>
            </w:pPr>
          </w:p>
          <w:p w14:paraId="6E87C724" w14:textId="77777777" w:rsidR="0046798B" w:rsidRDefault="00903B5C">
            <w:pPr>
              <w:pStyle w:val="TableParagraph"/>
              <w:spacing w:before="135"/>
              <w:ind w:left="115"/>
              <w:rPr>
                <w:b/>
                <w:sz w:val="20"/>
              </w:rPr>
            </w:pPr>
            <w:r>
              <w:rPr>
                <w:b/>
                <w:sz w:val="20"/>
              </w:rPr>
              <w:t>kloccs2</w:t>
            </w:r>
          </w:p>
        </w:tc>
        <w:tc>
          <w:tcPr>
            <w:tcW w:w="1596" w:type="dxa"/>
          </w:tcPr>
          <w:p w14:paraId="69EF93E1" w14:textId="77777777" w:rsidR="0046798B" w:rsidRDefault="00903B5C">
            <w:pPr>
              <w:pStyle w:val="TableParagraph"/>
              <w:spacing w:before="43"/>
              <w:ind w:left="114" w:right="457"/>
              <w:rPr>
                <w:sz w:val="20"/>
              </w:rPr>
            </w:pPr>
            <w:r>
              <w:rPr>
                <w:sz w:val="20"/>
              </w:rPr>
              <w:t>Number of licensed occupations (smaller set)</w:t>
            </w:r>
          </w:p>
        </w:tc>
        <w:tc>
          <w:tcPr>
            <w:tcW w:w="1285" w:type="dxa"/>
          </w:tcPr>
          <w:p w14:paraId="27091CD8" w14:textId="77777777" w:rsidR="0046798B" w:rsidRDefault="0046798B">
            <w:pPr>
              <w:pStyle w:val="TableParagraph"/>
            </w:pPr>
          </w:p>
          <w:p w14:paraId="23A458D9" w14:textId="77777777" w:rsidR="0046798B" w:rsidRDefault="00903B5C">
            <w:pPr>
              <w:pStyle w:val="TableParagraph"/>
              <w:spacing w:before="135"/>
              <w:ind w:left="114"/>
              <w:rPr>
                <w:sz w:val="20"/>
              </w:rPr>
            </w:pPr>
            <w:r>
              <w:rPr>
                <w:sz w:val="20"/>
              </w:rPr>
              <w:t>1993–2014</w:t>
            </w:r>
          </w:p>
        </w:tc>
        <w:tc>
          <w:tcPr>
            <w:tcW w:w="3421" w:type="dxa"/>
          </w:tcPr>
          <w:p w14:paraId="72F13028" w14:textId="77777777" w:rsidR="0046798B" w:rsidRDefault="00903B5C">
            <w:pPr>
              <w:pStyle w:val="TableParagraph"/>
              <w:spacing w:before="43"/>
              <w:ind w:left="114" w:right="272"/>
              <w:rPr>
                <w:sz w:val="20"/>
              </w:rPr>
            </w:pPr>
            <w:r>
              <w:rPr>
                <w:sz w:val="20"/>
              </w:rPr>
              <w:t>Number of licensed occupations, smaller set for which consistent time- series is available</w:t>
            </w:r>
          </w:p>
        </w:tc>
        <w:tc>
          <w:tcPr>
            <w:tcW w:w="6482" w:type="dxa"/>
          </w:tcPr>
          <w:p w14:paraId="29D158A2" w14:textId="77777777" w:rsidR="0046798B" w:rsidRDefault="00903B5C">
            <w:pPr>
              <w:pStyle w:val="TableParagraph"/>
              <w:spacing w:before="158"/>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89B2D41" w14:textId="77777777">
        <w:trPr>
          <w:trHeight w:val="775"/>
        </w:trPr>
        <w:tc>
          <w:tcPr>
            <w:tcW w:w="1711" w:type="dxa"/>
          </w:tcPr>
          <w:p w14:paraId="012544BE" w14:textId="77777777" w:rsidR="0046798B" w:rsidRDefault="0046798B">
            <w:pPr>
              <w:pStyle w:val="TableParagraph"/>
              <w:spacing w:before="8"/>
              <w:rPr>
                <w:sz w:val="23"/>
              </w:rPr>
            </w:pPr>
          </w:p>
          <w:p w14:paraId="0DCAD976" w14:textId="77777777" w:rsidR="0046798B" w:rsidRDefault="00903B5C">
            <w:pPr>
              <w:pStyle w:val="TableParagraph"/>
              <w:spacing w:before="1"/>
              <w:ind w:left="115"/>
              <w:rPr>
                <w:b/>
                <w:sz w:val="20"/>
              </w:rPr>
            </w:pPr>
            <w:r>
              <w:rPr>
                <w:b/>
                <w:sz w:val="20"/>
              </w:rPr>
              <w:t>kewl</w:t>
            </w:r>
          </w:p>
        </w:tc>
        <w:tc>
          <w:tcPr>
            <w:tcW w:w="1596" w:type="dxa"/>
          </w:tcPr>
          <w:p w14:paraId="3A052C55" w14:textId="77777777" w:rsidR="0046798B" w:rsidRDefault="00903B5C">
            <w:pPr>
              <w:pStyle w:val="TableParagraph"/>
              <w:spacing w:before="43"/>
              <w:ind w:left="114" w:right="352"/>
              <w:rPr>
                <w:sz w:val="20"/>
              </w:rPr>
            </w:pPr>
            <w:r>
              <w:rPr>
                <w:sz w:val="20"/>
              </w:rPr>
              <w:t>Employment- weighted licensure</w:t>
            </w:r>
          </w:p>
        </w:tc>
        <w:tc>
          <w:tcPr>
            <w:tcW w:w="1285" w:type="dxa"/>
          </w:tcPr>
          <w:p w14:paraId="73827B26" w14:textId="77777777" w:rsidR="0046798B" w:rsidRDefault="0046798B">
            <w:pPr>
              <w:pStyle w:val="TableParagraph"/>
              <w:spacing w:before="8"/>
              <w:rPr>
                <w:sz w:val="23"/>
              </w:rPr>
            </w:pPr>
          </w:p>
          <w:p w14:paraId="6FBB6739" w14:textId="77777777" w:rsidR="0046798B" w:rsidRDefault="00903B5C">
            <w:pPr>
              <w:pStyle w:val="TableParagraph"/>
              <w:spacing w:before="1"/>
              <w:ind w:left="114"/>
              <w:rPr>
                <w:sz w:val="20"/>
              </w:rPr>
            </w:pPr>
            <w:r>
              <w:rPr>
                <w:sz w:val="20"/>
              </w:rPr>
              <w:t>1993–2016</w:t>
            </w:r>
          </w:p>
        </w:tc>
        <w:tc>
          <w:tcPr>
            <w:tcW w:w="3421" w:type="dxa"/>
          </w:tcPr>
          <w:p w14:paraId="0373F0D1" w14:textId="77777777" w:rsidR="0046798B" w:rsidRDefault="0046798B">
            <w:pPr>
              <w:pStyle w:val="TableParagraph"/>
              <w:spacing w:before="8"/>
              <w:rPr>
                <w:sz w:val="23"/>
              </w:rPr>
            </w:pPr>
          </w:p>
          <w:p w14:paraId="11EA4630" w14:textId="77777777" w:rsidR="0046798B" w:rsidRDefault="00903B5C">
            <w:pPr>
              <w:pStyle w:val="TableParagraph"/>
              <w:spacing w:before="1"/>
              <w:ind w:left="114"/>
              <w:rPr>
                <w:sz w:val="20"/>
              </w:rPr>
            </w:pPr>
            <w:r>
              <w:rPr>
                <w:sz w:val="20"/>
              </w:rPr>
              <w:t>Employment-weighted licensure</w:t>
            </w:r>
          </w:p>
        </w:tc>
        <w:tc>
          <w:tcPr>
            <w:tcW w:w="6482" w:type="dxa"/>
          </w:tcPr>
          <w:p w14:paraId="6393651E" w14:textId="77777777" w:rsidR="0046798B" w:rsidRDefault="00903B5C">
            <w:pPr>
              <w:pStyle w:val="TableParagraph"/>
              <w:spacing w:before="4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E7BB54E" w14:textId="77777777">
        <w:trPr>
          <w:trHeight w:val="1240"/>
        </w:trPr>
        <w:tc>
          <w:tcPr>
            <w:tcW w:w="1711" w:type="dxa"/>
          </w:tcPr>
          <w:p w14:paraId="6423EC08" w14:textId="77777777" w:rsidR="0046798B" w:rsidRDefault="0046798B">
            <w:pPr>
              <w:pStyle w:val="TableParagraph"/>
            </w:pPr>
          </w:p>
          <w:p w14:paraId="5122CB71" w14:textId="77777777" w:rsidR="0046798B" w:rsidRDefault="0046798B">
            <w:pPr>
              <w:pStyle w:val="TableParagraph"/>
              <w:spacing w:before="8"/>
              <w:rPr>
                <w:sz w:val="21"/>
              </w:rPr>
            </w:pPr>
          </w:p>
          <w:p w14:paraId="3EE39467" w14:textId="77777777" w:rsidR="0046798B" w:rsidRDefault="00903B5C">
            <w:pPr>
              <w:pStyle w:val="TableParagraph"/>
              <w:spacing w:before="1"/>
              <w:ind w:left="115"/>
              <w:rPr>
                <w:b/>
                <w:sz w:val="20"/>
              </w:rPr>
            </w:pPr>
            <w:r>
              <w:rPr>
                <w:b/>
                <w:sz w:val="20"/>
              </w:rPr>
              <w:t>knccr</w:t>
            </w:r>
          </w:p>
        </w:tc>
        <w:tc>
          <w:tcPr>
            <w:tcW w:w="1596" w:type="dxa"/>
          </w:tcPr>
          <w:p w14:paraId="3BC111E7" w14:textId="77777777" w:rsidR="0046798B" w:rsidRDefault="00903B5C">
            <w:pPr>
              <w:pStyle w:val="TableParagraph"/>
              <w:spacing w:before="43"/>
              <w:ind w:left="114" w:right="102"/>
              <w:rPr>
                <w:sz w:val="20"/>
              </w:rPr>
            </w:pPr>
            <w:r>
              <w:rPr>
                <w:sz w:val="20"/>
              </w:rPr>
              <w:t>Scope of nurse practitioner practice: consumer choice rating</w:t>
            </w:r>
          </w:p>
        </w:tc>
        <w:tc>
          <w:tcPr>
            <w:tcW w:w="1285" w:type="dxa"/>
          </w:tcPr>
          <w:p w14:paraId="78D8A6A1" w14:textId="77777777" w:rsidR="0046798B" w:rsidRDefault="0046798B">
            <w:pPr>
              <w:pStyle w:val="TableParagraph"/>
            </w:pPr>
          </w:p>
          <w:p w14:paraId="2A7D54EB" w14:textId="77777777" w:rsidR="0046798B" w:rsidRDefault="0046798B">
            <w:pPr>
              <w:pStyle w:val="TableParagraph"/>
              <w:spacing w:before="8"/>
              <w:rPr>
                <w:sz w:val="21"/>
              </w:rPr>
            </w:pPr>
          </w:p>
          <w:p w14:paraId="252F7A8A" w14:textId="77777777" w:rsidR="0046798B" w:rsidRDefault="00903B5C">
            <w:pPr>
              <w:pStyle w:val="TableParagraph"/>
              <w:spacing w:before="1"/>
              <w:ind w:left="114"/>
              <w:rPr>
                <w:sz w:val="20"/>
              </w:rPr>
            </w:pPr>
            <w:r>
              <w:rPr>
                <w:sz w:val="20"/>
              </w:rPr>
              <w:t>2006–2016</w:t>
            </w:r>
          </w:p>
        </w:tc>
        <w:tc>
          <w:tcPr>
            <w:tcW w:w="3421" w:type="dxa"/>
          </w:tcPr>
          <w:p w14:paraId="297CB855" w14:textId="77777777" w:rsidR="0046798B" w:rsidRDefault="0046798B">
            <w:pPr>
              <w:pStyle w:val="TableParagraph"/>
              <w:spacing w:before="8"/>
              <w:rPr>
                <w:sz w:val="23"/>
              </w:rPr>
            </w:pPr>
          </w:p>
          <w:p w14:paraId="30B85133" w14:textId="77777777" w:rsidR="0046798B" w:rsidRDefault="00903B5C">
            <w:pPr>
              <w:pStyle w:val="TableParagraph"/>
              <w:spacing w:before="1"/>
              <w:ind w:left="114" w:right="378"/>
              <w:rPr>
                <w:sz w:val="20"/>
              </w:rPr>
            </w:pPr>
            <w:r>
              <w:rPr>
                <w:sz w:val="20"/>
              </w:rPr>
              <w:t>Scope of nurse practitioner practice: consumer choice rating (out of 100)</w:t>
            </w:r>
          </w:p>
        </w:tc>
        <w:tc>
          <w:tcPr>
            <w:tcW w:w="6482" w:type="dxa"/>
          </w:tcPr>
          <w:p w14:paraId="2A0FCD79" w14:textId="77777777" w:rsidR="0046798B" w:rsidRDefault="0046798B">
            <w:pPr>
              <w:pStyle w:val="TableParagraph"/>
              <w:spacing w:before="8"/>
              <w:rPr>
                <w:sz w:val="23"/>
              </w:rPr>
            </w:pPr>
          </w:p>
          <w:p w14:paraId="3B4A5A6C"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A2C4E8A" w14:textId="77777777">
        <w:trPr>
          <w:trHeight w:val="2385"/>
        </w:trPr>
        <w:tc>
          <w:tcPr>
            <w:tcW w:w="1711" w:type="dxa"/>
          </w:tcPr>
          <w:p w14:paraId="5AE74388" w14:textId="77777777" w:rsidR="0046798B" w:rsidRDefault="0046798B">
            <w:pPr>
              <w:pStyle w:val="TableParagraph"/>
            </w:pPr>
          </w:p>
          <w:p w14:paraId="75169C35" w14:textId="77777777" w:rsidR="0046798B" w:rsidRDefault="0046798B">
            <w:pPr>
              <w:pStyle w:val="TableParagraph"/>
            </w:pPr>
          </w:p>
          <w:p w14:paraId="7F739B5B" w14:textId="77777777" w:rsidR="0046798B" w:rsidRDefault="0046798B">
            <w:pPr>
              <w:pStyle w:val="TableParagraph"/>
            </w:pPr>
          </w:p>
          <w:p w14:paraId="111BE6E0" w14:textId="77777777" w:rsidR="0046798B" w:rsidRDefault="0046798B">
            <w:pPr>
              <w:pStyle w:val="TableParagraph"/>
              <w:spacing w:before="4"/>
              <w:rPr>
                <w:sz w:val="27"/>
              </w:rPr>
            </w:pPr>
          </w:p>
          <w:p w14:paraId="7674D9BE" w14:textId="77777777" w:rsidR="0046798B" w:rsidRDefault="00903B5C">
            <w:pPr>
              <w:pStyle w:val="TableParagraph"/>
              <w:ind w:left="115"/>
              <w:rPr>
                <w:b/>
                <w:sz w:val="20"/>
              </w:rPr>
            </w:pPr>
            <w:r>
              <w:rPr>
                <w:b/>
                <w:sz w:val="20"/>
              </w:rPr>
              <w:t>kstat</w:t>
            </w:r>
          </w:p>
        </w:tc>
        <w:tc>
          <w:tcPr>
            <w:tcW w:w="1596" w:type="dxa"/>
          </w:tcPr>
          <w:p w14:paraId="7BD23AF7" w14:textId="77777777" w:rsidR="0046798B" w:rsidRDefault="0046798B">
            <w:pPr>
              <w:pStyle w:val="TableParagraph"/>
            </w:pPr>
          </w:p>
          <w:p w14:paraId="4B2D1A21" w14:textId="77777777" w:rsidR="0046798B" w:rsidRDefault="0046798B">
            <w:pPr>
              <w:pStyle w:val="TableParagraph"/>
              <w:spacing w:before="3"/>
              <w:rPr>
                <w:sz w:val="21"/>
              </w:rPr>
            </w:pPr>
          </w:p>
          <w:p w14:paraId="1C503C55" w14:textId="77777777" w:rsidR="0046798B" w:rsidRDefault="00903B5C">
            <w:pPr>
              <w:pStyle w:val="TableParagraph"/>
              <w:spacing w:before="1"/>
              <w:ind w:left="114" w:right="135"/>
              <w:rPr>
                <w:sz w:val="20"/>
              </w:rPr>
            </w:pPr>
            <w:r>
              <w:rPr>
                <w:sz w:val="20"/>
              </w:rPr>
              <w:t>Statutes mentioning various regulatory, licensing-related phrases</w:t>
            </w:r>
          </w:p>
        </w:tc>
        <w:tc>
          <w:tcPr>
            <w:tcW w:w="1285" w:type="dxa"/>
          </w:tcPr>
          <w:p w14:paraId="4D274246" w14:textId="77777777" w:rsidR="0046798B" w:rsidRDefault="0046798B">
            <w:pPr>
              <w:pStyle w:val="TableParagraph"/>
            </w:pPr>
          </w:p>
          <w:p w14:paraId="76265683" w14:textId="77777777" w:rsidR="0046798B" w:rsidRDefault="0046798B">
            <w:pPr>
              <w:pStyle w:val="TableParagraph"/>
            </w:pPr>
          </w:p>
          <w:p w14:paraId="37D1CCB0" w14:textId="77777777" w:rsidR="0046798B" w:rsidRDefault="0046798B">
            <w:pPr>
              <w:pStyle w:val="TableParagraph"/>
            </w:pPr>
          </w:p>
          <w:p w14:paraId="06A64166" w14:textId="77777777" w:rsidR="0046798B" w:rsidRDefault="0046798B">
            <w:pPr>
              <w:pStyle w:val="TableParagraph"/>
              <w:spacing w:before="4"/>
              <w:rPr>
                <w:sz w:val="27"/>
              </w:rPr>
            </w:pPr>
          </w:p>
          <w:p w14:paraId="3327A824" w14:textId="77777777" w:rsidR="0046798B" w:rsidRDefault="00903B5C">
            <w:pPr>
              <w:pStyle w:val="TableParagraph"/>
              <w:ind w:left="114"/>
              <w:rPr>
                <w:sz w:val="20"/>
              </w:rPr>
            </w:pPr>
            <w:r>
              <w:rPr>
                <w:sz w:val="20"/>
              </w:rPr>
              <w:t>2014–2016</w:t>
            </w:r>
          </w:p>
        </w:tc>
        <w:tc>
          <w:tcPr>
            <w:tcW w:w="3421" w:type="dxa"/>
          </w:tcPr>
          <w:p w14:paraId="136A4EDD" w14:textId="77777777" w:rsidR="0046798B" w:rsidRDefault="00903B5C">
            <w:pPr>
              <w:pStyle w:val="TableParagraph"/>
              <w:spacing w:before="38"/>
              <w:ind w:left="114" w:right="156"/>
              <w:rPr>
                <w:sz w:val="20"/>
              </w:rPr>
            </w:pPr>
            <w:r>
              <w:rPr>
                <w:sz w:val="20"/>
              </w:rPr>
              <w:t>Statutes mentioning the following phrases: “no person shall practice,” “shall not practice,” “no person may practice,” “may not practice,” “no person shall act as,” “no person may act as,” “shall not act as,” “may not act as,” “must obtain a license,” “must obtain certification” (excluding red- flagged statutes)</w:t>
            </w:r>
          </w:p>
        </w:tc>
        <w:tc>
          <w:tcPr>
            <w:tcW w:w="6482" w:type="dxa"/>
          </w:tcPr>
          <w:p w14:paraId="70602955" w14:textId="77777777" w:rsidR="0046798B" w:rsidRDefault="0046798B">
            <w:pPr>
              <w:pStyle w:val="TableParagraph"/>
            </w:pPr>
          </w:p>
          <w:p w14:paraId="341E92CC" w14:textId="77777777" w:rsidR="0046798B" w:rsidRDefault="0046798B">
            <w:pPr>
              <w:pStyle w:val="TableParagraph"/>
            </w:pPr>
          </w:p>
          <w:p w14:paraId="13F26BC3" w14:textId="77777777" w:rsidR="0046798B" w:rsidRDefault="0046798B">
            <w:pPr>
              <w:pStyle w:val="TableParagraph"/>
              <w:spacing w:before="4"/>
              <w:rPr>
                <w:sz w:val="29"/>
              </w:rPr>
            </w:pPr>
          </w:p>
          <w:p w14:paraId="561CCE89"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69ABCC5" w14:textId="77777777">
        <w:trPr>
          <w:trHeight w:val="1695"/>
        </w:trPr>
        <w:tc>
          <w:tcPr>
            <w:tcW w:w="1711" w:type="dxa"/>
          </w:tcPr>
          <w:p w14:paraId="00CDC5C6" w14:textId="77777777" w:rsidR="0046798B" w:rsidRDefault="0046798B">
            <w:pPr>
              <w:pStyle w:val="TableParagraph"/>
            </w:pPr>
          </w:p>
          <w:p w14:paraId="7128F4E6" w14:textId="77777777" w:rsidR="0046798B" w:rsidRDefault="0046798B">
            <w:pPr>
              <w:pStyle w:val="TableParagraph"/>
            </w:pPr>
          </w:p>
          <w:p w14:paraId="4B480FB2" w14:textId="77777777" w:rsidR="0046798B" w:rsidRDefault="0046798B">
            <w:pPr>
              <w:pStyle w:val="TableParagraph"/>
              <w:spacing w:before="3"/>
              <w:rPr>
                <w:sz w:val="19"/>
              </w:rPr>
            </w:pPr>
          </w:p>
          <w:p w14:paraId="268EF383" w14:textId="77777777" w:rsidR="0046798B" w:rsidRDefault="00903B5C">
            <w:pPr>
              <w:pStyle w:val="TableParagraph"/>
              <w:spacing w:before="1"/>
              <w:ind w:left="115"/>
              <w:rPr>
                <w:b/>
                <w:sz w:val="20"/>
              </w:rPr>
            </w:pPr>
            <w:r>
              <w:rPr>
                <w:b/>
                <w:sz w:val="20"/>
              </w:rPr>
              <w:t>kstat2</w:t>
            </w:r>
          </w:p>
        </w:tc>
        <w:tc>
          <w:tcPr>
            <w:tcW w:w="1596" w:type="dxa"/>
          </w:tcPr>
          <w:p w14:paraId="5520A5E1" w14:textId="77777777" w:rsidR="0046798B" w:rsidRDefault="00903B5C">
            <w:pPr>
              <w:pStyle w:val="TableParagraph"/>
              <w:spacing w:before="38"/>
              <w:ind w:left="114" w:right="102"/>
              <w:rPr>
                <w:sz w:val="20"/>
              </w:rPr>
            </w:pPr>
            <w:r>
              <w:rPr>
                <w:sz w:val="20"/>
              </w:rPr>
              <w:t>Statutes mentioning the following phrases: “license required,” “certification required”</w:t>
            </w:r>
          </w:p>
        </w:tc>
        <w:tc>
          <w:tcPr>
            <w:tcW w:w="1285" w:type="dxa"/>
          </w:tcPr>
          <w:p w14:paraId="608898E7" w14:textId="77777777" w:rsidR="0046798B" w:rsidRDefault="0046798B">
            <w:pPr>
              <w:pStyle w:val="TableParagraph"/>
            </w:pPr>
          </w:p>
          <w:p w14:paraId="735ED2E5" w14:textId="77777777" w:rsidR="0046798B" w:rsidRDefault="0046798B">
            <w:pPr>
              <w:pStyle w:val="TableParagraph"/>
            </w:pPr>
          </w:p>
          <w:p w14:paraId="17CD9A7F" w14:textId="77777777" w:rsidR="0046798B" w:rsidRDefault="0046798B">
            <w:pPr>
              <w:pStyle w:val="TableParagraph"/>
              <w:spacing w:before="3"/>
              <w:rPr>
                <w:sz w:val="19"/>
              </w:rPr>
            </w:pPr>
          </w:p>
          <w:p w14:paraId="45ACC4FD" w14:textId="77777777" w:rsidR="0046798B" w:rsidRDefault="00903B5C">
            <w:pPr>
              <w:pStyle w:val="TableParagraph"/>
              <w:spacing w:before="1"/>
              <w:ind w:left="114"/>
              <w:rPr>
                <w:sz w:val="20"/>
              </w:rPr>
            </w:pPr>
            <w:r>
              <w:rPr>
                <w:sz w:val="20"/>
              </w:rPr>
              <w:t>2014–2016</w:t>
            </w:r>
          </w:p>
        </w:tc>
        <w:tc>
          <w:tcPr>
            <w:tcW w:w="3421" w:type="dxa"/>
          </w:tcPr>
          <w:p w14:paraId="100E095C" w14:textId="77777777" w:rsidR="0046798B" w:rsidRDefault="0046798B">
            <w:pPr>
              <w:pStyle w:val="TableParagraph"/>
              <w:spacing w:before="3"/>
              <w:rPr>
                <w:sz w:val="23"/>
              </w:rPr>
            </w:pPr>
          </w:p>
          <w:p w14:paraId="0589D409" w14:textId="77777777" w:rsidR="0046798B" w:rsidRDefault="00903B5C">
            <w:pPr>
              <w:pStyle w:val="TableParagraph"/>
              <w:spacing w:before="1"/>
              <w:ind w:left="114" w:right="149"/>
              <w:rPr>
                <w:sz w:val="20"/>
              </w:rPr>
            </w:pPr>
            <w:r>
              <w:rPr>
                <w:sz w:val="20"/>
              </w:rPr>
              <w:t>Statutes mentioning following phrases: “license required,” “certification required” (excluding red-flagged statutes and obvious cross-references)</w:t>
            </w:r>
          </w:p>
        </w:tc>
        <w:tc>
          <w:tcPr>
            <w:tcW w:w="6482" w:type="dxa"/>
          </w:tcPr>
          <w:p w14:paraId="139806EF" w14:textId="77777777" w:rsidR="0046798B" w:rsidRDefault="0046798B">
            <w:pPr>
              <w:pStyle w:val="TableParagraph"/>
            </w:pPr>
          </w:p>
          <w:p w14:paraId="4A4EB200" w14:textId="77777777" w:rsidR="0046798B" w:rsidRDefault="0046798B">
            <w:pPr>
              <w:pStyle w:val="TableParagraph"/>
              <w:spacing w:before="3"/>
              <w:rPr>
                <w:sz w:val="21"/>
              </w:rPr>
            </w:pPr>
          </w:p>
          <w:p w14:paraId="480F8629"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73CC8A9" w14:textId="77777777">
        <w:trPr>
          <w:trHeight w:val="1465"/>
        </w:trPr>
        <w:tc>
          <w:tcPr>
            <w:tcW w:w="1711" w:type="dxa"/>
          </w:tcPr>
          <w:p w14:paraId="49489E4B" w14:textId="77777777" w:rsidR="0046798B" w:rsidRDefault="0046798B">
            <w:pPr>
              <w:pStyle w:val="TableParagraph"/>
            </w:pPr>
          </w:p>
          <w:p w14:paraId="01ED7D17" w14:textId="77777777" w:rsidR="0046798B" w:rsidRDefault="0046798B">
            <w:pPr>
              <w:pStyle w:val="TableParagraph"/>
              <w:spacing w:before="4"/>
              <w:rPr>
                <w:sz w:val="31"/>
              </w:rPr>
            </w:pPr>
          </w:p>
          <w:p w14:paraId="0EE486AB" w14:textId="77777777" w:rsidR="0046798B" w:rsidRDefault="00903B5C">
            <w:pPr>
              <w:pStyle w:val="TableParagraph"/>
              <w:ind w:left="115"/>
              <w:rPr>
                <w:b/>
                <w:sz w:val="20"/>
              </w:rPr>
            </w:pPr>
            <w:r>
              <w:rPr>
                <w:b/>
                <w:sz w:val="20"/>
              </w:rPr>
              <w:t>kstatsum</w:t>
            </w:r>
          </w:p>
        </w:tc>
        <w:tc>
          <w:tcPr>
            <w:tcW w:w="1596" w:type="dxa"/>
          </w:tcPr>
          <w:p w14:paraId="700F0126" w14:textId="77777777" w:rsidR="0046798B" w:rsidRDefault="00903B5C">
            <w:pPr>
              <w:pStyle w:val="TableParagraph"/>
              <w:spacing w:before="38"/>
              <w:ind w:left="114" w:right="502"/>
              <w:rPr>
                <w:sz w:val="20"/>
              </w:rPr>
            </w:pPr>
            <w:r>
              <w:rPr>
                <w:sz w:val="20"/>
              </w:rPr>
              <w:t>Index of statutory mentions of regulatory keywords</w:t>
            </w:r>
          </w:p>
        </w:tc>
        <w:tc>
          <w:tcPr>
            <w:tcW w:w="1285" w:type="dxa"/>
          </w:tcPr>
          <w:p w14:paraId="0AABF409" w14:textId="77777777" w:rsidR="0046798B" w:rsidRDefault="0046798B">
            <w:pPr>
              <w:pStyle w:val="TableParagraph"/>
            </w:pPr>
          </w:p>
          <w:p w14:paraId="01BDC009" w14:textId="77777777" w:rsidR="0046798B" w:rsidRDefault="0046798B">
            <w:pPr>
              <w:pStyle w:val="TableParagraph"/>
              <w:spacing w:before="4"/>
              <w:rPr>
                <w:sz w:val="31"/>
              </w:rPr>
            </w:pPr>
          </w:p>
          <w:p w14:paraId="677CC6AD" w14:textId="77777777" w:rsidR="0046798B" w:rsidRDefault="00903B5C">
            <w:pPr>
              <w:pStyle w:val="TableParagraph"/>
              <w:ind w:left="114"/>
              <w:rPr>
                <w:sz w:val="20"/>
              </w:rPr>
            </w:pPr>
            <w:r>
              <w:rPr>
                <w:sz w:val="20"/>
              </w:rPr>
              <w:t>2014–2016</w:t>
            </w:r>
          </w:p>
        </w:tc>
        <w:tc>
          <w:tcPr>
            <w:tcW w:w="3421" w:type="dxa"/>
          </w:tcPr>
          <w:p w14:paraId="38DEB789" w14:textId="77777777" w:rsidR="0046798B" w:rsidRDefault="0046798B">
            <w:pPr>
              <w:pStyle w:val="TableParagraph"/>
            </w:pPr>
          </w:p>
          <w:p w14:paraId="5333E7B2" w14:textId="77777777" w:rsidR="0046798B" w:rsidRDefault="00903B5C">
            <w:pPr>
              <w:pStyle w:val="TableParagraph"/>
              <w:spacing w:before="130"/>
              <w:ind w:left="114" w:right="120"/>
              <w:rPr>
                <w:sz w:val="20"/>
              </w:rPr>
            </w:pPr>
            <w:r>
              <w:rPr>
                <w:sz w:val="20"/>
              </w:rPr>
              <w:t>Index of statutory mentions of regulatory keywords (kstat + kstat2 / 2)</w:t>
            </w:r>
          </w:p>
        </w:tc>
        <w:tc>
          <w:tcPr>
            <w:tcW w:w="6482" w:type="dxa"/>
          </w:tcPr>
          <w:p w14:paraId="094C8B35" w14:textId="77777777" w:rsidR="0046798B" w:rsidRDefault="0046798B">
            <w:pPr>
              <w:pStyle w:val="TableParagraph"/>
            </w:pPr>
          </w:p>
          <w:p w14:paraId="5885272D" w14:textId="77777777" w:rsidR="0046798B" w:rsidRDefault="00903B5C">
            <w:pPr>
              <w:pStyle w:val="TableParagraph"/>
              <w:spacing w:before="130"/>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41EAB0AB" w14:textId="77777777" w:rsidR="0046798B" w:rsidRDefault="0046798B">
      <w:pPr>
        <w:rPr>
          <w:sz w:val="20"/>
        </w:rPr>
        <w:sectPr w:rsidR="0046798B">
          <w:pgSz w:w="15840" w:h="12240" w:orient="landscape"/>
          <w:pgMar w:top="1220" w:right="300" w:bottom="980" w:left="820" w:header="730" w:footer="787" w:gutter="0"/>
          <w:cols w:space="720"/>
        </w:sectPr>
      </w:pPr>
    </w:p>
    <w:p w14:paraId="63886F94"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CCDC11E" w14:textId="77777777">
        <w:trPr>
          <w:trHeight w:val="1235"/>
        </w:trPr>
        <w:tc>
          <w:tcPr>
            <w:tcW w:w="1711" w:type="dxa"/>
          </w:tcPr>
          <w:p w14:paraId="042D6A58" w14:textId="77777777" w:rsidR="0046798B" w:rsidRDefault="0046798B">
            <w:pPr>
              <w:pStyle w:val="TableParagraph"/>
            </w:pPr>
          </w:p>
          <w:p w14:paraId="5D5562D2" w14:textId="77777777" w:rsidR="0046798B" w:rsidRDefault="0046798B">
            <w:pPr>
              <w:pStyle w:val="TableParagraph"/>
              <w:spacing w:before="9"/>
              <w:rPr>
                <w:sz w:val="21"/>
              </w:rPr>
            </w:pPr>
          </w:p>
          <w:p w14:paraId="2FBCFC9D" w14:textId="77777777" w:rsidR="0046798B" w:rsidRDefault="00903B5C">
            <w:pPr>
              <w:pStyle w:val="TableParagraph"/>
              <w:ind w:left="115"/>
              <w:rPr>
                <w:b/>
                <w:sz w:val="20"/>
              </w:rPr>
            </w:pPr>
            <w:r>
              <w:rPr>
                <w:b/>
                <w:sz w:val="20"/>
              </w:rPr>
              <w:t>kdhind</w:t>
            </w:r>
          </w:p>
        </w:tc>
        <w:tc>
          <w:tcPr>
            <w:tcW w:w="1596" w:type="dxa"/>
          </w:tcPr>
          <w:p w14:paraId="0033E336" w14:textId="77777777" w:rsidR="0046798B" w:rsidRDefault="00903B5C">
            <w:pPr>
              <w:pStyle w:val="TableParagraph"/>
              <w:spacing w:before="43"/>
              <w:ind w:left="114" w:right="110"/>
              <w:rPr>
                <w:sz w:val="20"/>
              </w:rPr>
            </w:pPr>
            <w:r>
              <w:rPr>
                <w:sz w:val="20"/>
              </w:rPr>
              <w:t xml:space="preserve">Dental hygienists initiate </w:t>
            </w:r>
            <w:r>
              <w:rPr>
                <w:spacing w:val="-3"/>
                <w:sz w:val="20"/>
              </w:rPr>
              <w:t xml:space="preserve">treatment </w:t>
            </w:r>
            <w:r>
              <w:rPr>
                <w:sz w:val="20"/>
              </w:rPr>
              <w:t>without dentist authorization</w:t>
            </w:r>
          </w:p>
        </w:tc>
        <w:tc>
          <w:tcPr>
            <w:tcW w:w="1285" w:type="dxa"/>
          </w:tcPr>
          <w:p w14:paraId="61A04FBA" w14:textId="77777777" w:rsidR="0046798B" w:rsidRDefault="0046798B">
            <w:pPr>
              <w:pStyle w:val="TableParagraph"/>
            </w:pPr>
          </w:p>
          <w:p w14:paraId="5E1F8CDA" w14:textId="77777777" w:rsidR="0046798B" w:rsidRDefault="0046798B">
            <w:pPr>
              <w:pStyle w:val="TableParagraph"/>
              <w:spacing w:before="9"/>
              <w:rPr>
                <w:sz w:val="21"/>
              </w:rPr>
            </w:pPr>
          </w:p>
          <w:p w14:paraId="7B6B8034" w14:textId="77777777" w:rsidR="0046798B" w:rsidRDefault="00903B5C">
            <w:pPr>
              <w:pStyle w:val="TableParagraph"/>
              <w:ind w:left="114"/>
              <w:rPr>
                <w:sz w:val="20"/>
              </w:rPr>
            </w:pPr>
            <w:r>
              <w:rPr>
                <w:sz w:val="20"/>
              </w:rPr>
              <w:t>2000–2016</w:t>
            </w:r>
          </w:p>
        </w:tc>
        <w:tc>
          <w:tcPr>
            <w:tcW w:w="3421" w:type="dxa"/>
          </w:tcPr>
          <w:p w14:paraId="66223224" w14:textId="77777777" w:rsidR="0046798B" w:rsidRDefault="00903B5C">
            <w:pPr>
              <w:pStyle w:val="TableParagraph"/>
              <w:spacing w:before="43"/>
              <w:ind w:left="114"/>
              <w:rPr>
                <w:sz w:val="20"/>
              </w:rPr>
            </w:pPr>
            <w:r>
              <w:rPr>
                <w:sz w:val="20"/>
              </w:rPr>
              <w:t xml:space="preserve">May dental hygienists initiate </w:t>
            </w:r>
            <w:r>
              <w:rPr>
                <w:spacing w:val="-3"/>
                <w:sz w:val="20"/>
              </w:rPr>
              <w:t xml:space="preserve">treatment </w:t>
            </w:r>
            <w:r>
              <w:rPr>
                <w:sz w:val="20"/>
              </w:rPr>
              <w:t>without dentist authorization? (0 =</w:t>
            </w:r>
            <w:r>
              <w:rPr>
                <w:spacing w:val="-2"/>
                <w:sz w:val="20"/>
              </w:rPr>
              <w:t xml:space="preserve"> </w:t>
            </w:r>
            <w:r>
              <w:rPr>
                <w:sz w:val="20"/>
              </w:rPr>
              <w:t>no,</w:t>
            </w:r>
          </w:p>
          <w:p w14:paraId="48EA749B" w14:textId="77777777" w:rsidR="0046798B" w:rsidRDefault="00903B5C">
            <w:pPr>
              <w:pStyle w:val="TableParagraph"/>
              <w:ind w:left="114" w:right="150"/>
              <w:rPr>
                <w:sz w:val="20"/>
              </w:rPr>
            </w:pPr>
            <w:r>
              <w:rPr>
                <w:sz w:val="20"/>
              </w:rPr>
              <w:t xml:space="preserve">0.5 = collaborative agreement </w:t>
            </w:r>
            <w:r>
              <w:rPr>
                <w:spacing w:val="-3"/>
                <w:sz w:val="20"/>
              </w:rPr>
              <w:t xml:space="preserve">required </w:t>
            </w:r>
            <w:r>
              <w:rPr>
                <w:sz w:val="20"/>
              </w:rPr>
              <w:t>or significant locational restrictions,</w:t>
            </w:r>
            <w:r>
              <w:rPr>
                <w:spacing w:val="-7"/>
                <w:sz w:val="20"/>
              </w:rPr>
              <w:t xml:space="preserve"> </w:t>
            </w:r>
            <w:r>
              <w:rPr>
                <w:sz w:val="20"/>
              </w:rPr>
              <w:t>1</w:t>
            </w:r>
          </w:p>
          <w:p w14:paraId="65883CDE" w14:textId="77777777" w:rsidR="0046798B" w:rsidRDefault="00903B5C">
            <w:pPr>
              <w:pStyle w:val="TableParagraph"/>
              <w:ind w:left="114"/>
              <w:rPr>
                <w:sz w:val="20"/>
              </w:rPr>
            </w:pPr>
            <w:r>
              <w:rPr>
                <w:sz w:val="20"/>
              </w:rPr>
              <w:t>= yes)</w:t>
            </w:r>
          </w:p>
        </w:tc>
        <w:tc>
          <w:tcPr>
            <w:tcW w:w="6482" w:type="dxa"/>
          </w:tcPr>
          <w:p w14:paraId="3693F354" w14:textId="77777777" w:rsidR="0046798B" w:rsidRDefault="0046798B">
            <w:pPr>
              <w:pStyle w:val="TableParagraph"/>
              <w:spacing w:before="9"/>
              <w:rPr>
                <w:sz w:val="23"/>
              </w:rPr>
            </w:pPr>
          </w:p>
          <w:p w14:paraId="64EABFD2" w14:textId="77777777" w:rsidR="0046798B" w:rsidRDefault="00903B5C">
            <w:pPr>
              <w:pStyle w:val="TableParagraph"/>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E44F8D3" w14:textId="77777777">
        <w:trPr>
          <w:trHeight w:val="1005"/>
        </w:trPr>
        <w:tc>
          <w:tcPr>
            <w:tcW w:w="1711" w:type="dxa"/>
          </w:tcPr>
          <w:p w14:paraId="1C766FF8" w14:textId="77777777" w:rsidR="0046798B" w:rsidRDefault="0046798B">
            <w:pPr>
              <w:pStyle w:val="TableParagraph"/>
            </w:pPr>
          </w:p>
          <w:p w14:paraId="06B24F4B" w14:textId="77777777" w:rsidR="0046798B" w:rsidRDefault="00903B5C">
            <w:pPr>
              <w:pStyle w:val="TableParagraph"/>
              <w:spacing w:before="136"/>
              <w:ind w:left="115"/>
              <w:rPr>
                <w:b/>
                <w:sz w:val="20"/>
              </w:rPr>
            </w:pPr>
            <w:r>
              <w:rPr>
                <w:b/>
                <w:sz w:val="20"/>
              </w:rPr>
              <w:t>knce</w:t>
            </w:r>
          </w:p>
        </w:tc>
        <w:tc>
          <w:tcPr>
            <w:tcW w:w="1596" w:type="dxa"/>
          </w:tcPr>
          <w:p w14:paraId="0198ADB1" w14:textId="77777777" w:rsidR="0046798B" w:rsidRDefault="00903B5C">
            <w:pPr>
              <w:pStyle w:val="TableParagraph"/>
              <w:spacing w:before="158"/>
              <w:ind w:left="114" w:right="474"/>
              <w:rPr>
                <w:sz w:val="20"/>
              </w:rPr>
            </w:pPr>
            <w:r>
              <w:rPr>
                <w:sz w:val="20"/>
              </w:rPr>
              <w:t>Nursing consultation exception</w:t>
            </w:r>
          </w:p>
        </w:tc>
        <w:tc>
          <w:tcPr>
            <w:tcW w:w="1285" w:type="dxa"/>
          </w:tcPr>
          <w:p w14:paraId="594C10AD" w14:textId="77777777" w:rsidR="0046798B" w:rsidRDefault="0046798B">
            <w:pPr>
              <w:pStyle w:val="TableParagraph"/>
            </w:pPr>
          </w:p>
          <w:p w14:paraId="5628B196" w14:textId="77777777" w:rsidR="0046798B" w:rsidRDefault="00903B5C">
            <w:pPr>
              <w:pStyle w:val="TableParagraph"/>
              <w:spacing w:before="136"/>
              <w:ind w:left="114"/>
              <w:rPr>
                <w:sz w:val="20"/>
              </w:rPr>
            </w:pPr>
            <w:r>
              <w:rPr>
                <w:sz w:val="20"/>
              </w:rPr>
              <w:t>2010–2010</w:t>
            </w:r>
          </w:p>
        </w:tc>
        <w:tc>
          <w:tcPr>
            <w:tcW w:w="3421" w:type="dxa"/>
          </w:tcPr>
          <w:p w14:paraId="7231ACA5" w14:textId="77777777" w:rsidR="0046798B" w:rsidRDefault="00903B5C">
            <w:pPr>
              <w:pStyle w:val="TableParagraph"/>
              <w:spacing w:before="43"/>
              <w:ind w:left="114" w:right="115"/>
              <w:rPr>
                <w:sz w:val="20"/>
              </w:rPr>
            </w:pPr>
            <w:r>
              <w:rPr>
                <w:sz w:val="20"/>
              </w:rPr>
              <w:t>Nursing consultation exception: state explicitly permits nurses to practice in- state if licensed elsewhere? (0 = no, 0.5</w:t>
            </w:r>
          </w:p>
          <w:p w14:paraId="76B91805" w14:textId="77777777" w:rsidR="0046798B" w:rsidRDefault="00903B5C">
            <w:pPr>
              <w:pStyle w:val="TableParagraph"/>
              <w:spacing w:before="1"/>
              <w:ind w:left="114"/>
              <w:rPr>
                <w:sz w:val="20"/>
              </w:rPr>
            </w:pPr>
            <w:r>
              <w:rPr>
                <w:sz w:val="20"/>
              </w:rPr>
              <w:t>= with time limits, 1 = yes)</w:t>
            </w:r>
          </w:p>
        </w:tc>
        <w:tc>
          <w:tcPr>
            <w:tcW w:w="6482" w:type="dxa"/>
          </w:tcPr>
          <w:p w14:paraId="35DB6F2E"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BF4CFB8" w14:textId="77777777">
        <w:trPr>
          <w:trHeight w:val="780"/>
        </w:trPr>
        <w:tc>
          <w:tcPr>
            <w:tcW w:w="1711" w:type="dxa"/>
          </w:tcPr>
          <w:p w14:paraId="770A8A92" w14:textId="77777777" w:rsidR="0046798B" w:rsidRDefault="0046798B">
            <w:pPr>
              <w:pStyle w:val="TableParagraph"/>
              <w:spacing w:before="8"/>
              <w:rPr>
                <w:sz w:val="23"/>
              </w:rPr>
            </w:pPr>
          </w:p>
          <w:p w14:paraId="6A72EDA9" w14:textId="77777777" w:rsidR="0046798B" w:rsidRDefault="00903B5C">
            <w:pPr>
              <w:pStyle w:val="TableParagraph"/>
              <w:spacing w:before="1"/>
              <w:ind w:left="115"/>
              <w:rPr>
                <w:b/>
                <w:sz w:val="20"/>
              </w:rPr>
            </w:pPr>
            <w:r>
              <w:rPr>
                <w:b/>
                <w:sz w:val="20"/>
              </w:rPr>
              <w:t>knlc</w:t>
            </w:r>
          </w:p>
        </w:tc>
        <w:tc>
          <w:tcPr>
            <w:tcW w:w="1596" w:type="dxa"/>
          </w:tcPr>
          <w:p w14:paraId="56145884" w14:textId="77777777" w:rsidR="0046798B" w:rsidRDefault="00903B5C">
            <w:pPr>
              <w:pStyle w:val="TableParagraph"/>
              <w:spacing w:before="43"/>
              <w:ind w:left="114" w:right="246"/>
              <w:rPr>
                <w:sz w:val="20"/>
              </w:rPr>
            </w:pPr>
            <w:r>
              <w:rPr>
                <w:sz w:val="20"/>
              </w:rPr>
              <w:t>Member of nurse licensure compact</w:t>
            </w:r>
          </w:p>
        </w:tc>
        <w:tc>
          <w:tcPr>
            <w:tcW w:w="1285" w:type="dxa"/>
          </w:tcPr>
          <w:p w14:paraId="65949DE9" w14:textId="77777777" w:rsidR="0046798B" w:rsidRDefault="0046798B">
            <w:pPr>
              <w:pStyle w:val="TableParagraph"/>
              <w:spacing w:before="8"/>
              <w:rPr>
                <w:sz w:val="23"/>
              </w:rPr>
            </w:pPr>
          </w:p>
          <w:p w14:paraId="117AEB4F" w14:textId="77777777" w:rsidR="0046798B" w:rsidRDefault="00903B5C">
            <w:pPr>
              <w:pStyle w:val="TableParagraph"/>
              <w:spacing w:before="1"/>
              <w:ind w:left="114"/>
              <w:rPr>
                <w:sz w:val="20"/>
              </w:rPr>
            </w:pPr>
            <w:r>
              <w:rPr>
                <w:sz w:val="20"/>
              </w:rPr>
              <w:t>2000–2016</w:t>
            </w:r>
          </w:p>
        </w:tc>
        <w:tc>
          <w:tcPr>
            <w:tcW w:w="3421" w:type="dxa"/>
          </w:tcPr>
          <w:p w14:paraId="33A1EC40" w14:textId="77777777" w:rsidR="0046798B" w:rsidRDefault="00903B5C">
            <w:pPr>
              <w:pStyle w:val="TableParagraph"/>
              <w:spacing w:before="43"/>
              <w:ind w:left="114" w:right="169"/>
              <w:jc w:val="both"/>
              <w:rPr>
                <w:sz w:val="20"/>
              </w:rPr>
            </w:pPr>
            <w:r>
              <w:rPr>
                <w:sz w:val="20"/>
              </w:rPr>
              <w:t>Member of Nurse Licensure Compact, permitting multistate practice? (0 = no, 1 = yes)</w:t>
            </w:r>
          </w:p>
        </w:tc>
        <w:tc>
          <w:tcPr>
            <w:tcW w:w="6482" w:type="dxa"/>
          </w:tcPr>
          <w:p w14:paraId="65F10FB7"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A3CA23B" w14:textId="77777777">
        <w:trPr>
          <w:trHeight w:val="1465"/>
        </w:trPr>
        <w:tc>
          <w:tcPr>
            <w:tcW w:w="1711" w:type="dxa"/>
          </w:tcPr>
          <w:p w14:paraId="29D1C9CB" w14:textId="77777777" w:rsidR="0046798B" w:rsidRDefault="0046798B">
            <w:pPr>
              <w:pStyle w:val="TableParagraph"/>
            </w:pPr>
          </w:p>
          <w:p w14:paraId="703745A3" w14:textId="77777777" w:rsidR="0046798B" w:rsidRDefault="0046798B">
            <w:pPr>
              <w:pStyle w:val="TableParagraph"/>
              <w:spacing w:before="3"/>
              <w:rPr>
                <w:sz w:val="31"/>
              </w:rPr>
            </w:pPr>
          </w:p>
          <w:p w14:paraId="137776B4" w14:textId="77777777" w:rsidR="0046798B" w:rsidRDefault="00903B5C">
            <w:pPr>
              <w:pStyle w:val="TableParagraph"/>
              <w:spacing w:before="1"/>
              <w:ind w:left="115"/>
              <w:rPr>
                <w:b/>
                <w:sz w:val="20"/>
              </w:rPr>
            </w:pPr>
            <w:r>
              <w:rPr>
                <w:b/>
                <w:sz w:val="20"/>
              </w:rPr>
              <w:t>knpind</w:t>
            </w:r>
          </w:p>
        </w:tc>
        <w:tc>
          <w:tcPr>
            <w:tcW w:w="1596" w:type="dxa"/>
          </w:tcPr>
          <w:p w14:paraId="69118DDC" w14:textId="77777777" w:rsidR="0046798B" w:rsidRDefault="00903B5C">
            <w:pPr>
              <w:pStyle w:val="TableParagraph"/>
              <w:spacing w:before="38"/>
              <w:ind w:left="114" w:right="319"/>
              <w:rPr>
                <w:sz w:val="20"/>
              </w:rPr>
            </w:pPr>
            <w:r>
              <w:rPr>
                <w:sz w:val="20"/>
              </w:rPr>
              <w:t>Nurse practitioners allowed to practice independently from MDs</w:t>
            </w:r>
          </w:p>
        </w:tc>
        <w:tc>
          <w:tcPr>
            <w:tcW w:w="1285" w:type="dxa"/>
          </w:tcPr>
          <w:p w14:paraId="617C3325" w14:textId="77777777" w:rsidR="0046798B" w:rsidRDefault="0046798B">
            <w:pPr>
              <w:pStyle w:val="TableParagraph"/>
            </w:pPr>
          </w:p>
          <w:p w14:paraId="74C306CD" w14:textId="77777777" w:rsidR="0046798B" w:rsidRDefault="0046798B">
            <w:pPr>
              <w:pStyle w:val="TableParagraph"/>
              <w:spacing w:before="3"/>
              <w:rPr>
                <w:sz w:val="31"/>
              </w:rPr>
            </w:pPr>
          </w:p>
          <w:p w14:paraId="78E8EA0B" w14:textId="77777777" w:rsidR="0046798B" w:rsidRDefault="00903B5C">
            <w:pPr>
              <w:pStyle w:val="TableParagraph"/>
              <w:spacing w:before="1"/>
              <w:ind w:left="114"/>
              <w:rPr>
                <w:sz w:val="20"/>
              </w:rPr>
            </w:pPr>
            <w:r>
              <w:rPr>
                <w:sz w:val="20"/>
              </w:rPr>
              <w:t>2000–2016</w:t>
            </w:r>
          </w:p>
        </w:tc>
        <w:tc>
          <w:tcPr>
            <w:tcW w:w="3421" w:type="dxa"/>
          </w:tcPr>
          <w:p w14:paraId="1A67A6B4" w14:textId="77777777" w:rsidR="0046798B" w:rsidRDefault="0046798B">
            <w:pPr>
              <w:pStyle w:val="TableParagraph"/>
            </w:pPr>
          </w:p>
          <w:p w14:paraId="157300DD" w14:textId="77777777" w:rsidR="0046798B" w:rsidRDefault="00903B5C">
            <w:pPr>
              <w:pStyle w:val="TableParagraph"/>
              <w:spacing w:before="130"/>
              <w:ind w:left="114" w:right="104"/>
              <w:rPr>
                <w:sz w:val="20"/>
              </w:rPr>
            </w:pPr>
            <w:r>
              <w:rPr>
                <w:sz w:val="20"/>
              </w:rPr>
              <w:t>Are nurse practitioners allowed to practice independently from MDs? (0 = no, 1 = yes)</w:t>
            </w:r>
          </w:p>
        </w:tc>
        <w:tc>
          <w:tcPr>
            <w:tcW w:w="6482" w:type="dxa"/>
          </w:tcPr>
          <w:p w14:paraId="77F4DDF9" w14:textId="77777777" w:rsidR="0046798B" w:rsidRDefault="0046798B">
            <w:pPr>
              <w:pStyle w:val="TableParagraph"/>
            </w:pPr>
          </w:p>
          <w:p w14:paraId="07F4826F" w14:textId="77777777" w:rsidR="0046798B" w:rsidRDefault="00903B5C">
            <w:pPr>
              <w:pStyle w:val="TableParagraph"/>
              <w:spacing w:before="130"/>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3210A8F" w14:textId="77777777">
        <w:trPr>
          <w:trHeight w:val="1005"/>
        </w:trPr>
        <w:tc>
          <w:tcPr>
            <w:tcW w:w="1711" w:type="dxa"/>
          </w:tcPr>
          <w:p w14:paraId="13289D55" w14:textId="77777777" w:rsidR="0046798B" w:rsidRDefault="0046798B">
            <w:pPr>
              <w:pStyle w:val="TableParagraph"/>
            </w:pPr>
          </w:p>
          <w:p w14:paraId="18288EF0" w14:textId="77777777" w:rsidR="0046798B" w:rsidRDefault="00903B5C">
            <w:pPr>
              <w:pStyle w:val="TableParagraph"/>
              <w:spacing w:before="130"/>
              <w:ind w:left="115"/>
              <w:rPr>
                <w:b/>
                <w:sz w:val="20"/>
              </w:rPr>
            </w:pPr>
            <w:r>
              <w:rPr>
                <w:b/>
                <w:sz w:val="20"/>
              </w:rPr>
              <w:t>knpindex</w:t>
            </w:r>
          </w:p>
        </w:tc>
        <w:tc>
          <w:tcPr>
            <w:tcW w:w="1596" w:type="dxa"/>
          </w:tcPr>
          <w:p w14:paraId="6700447C" w14:textId="77777777" w:rsidR="0046798B" w:rsidRDefault="00903B5C">
            <w:pPr>
              <w:pStyle w:val="TableParagraph"/>
              <w:spacing w:before="38"/>
              <w:ind w:left="114" w:right="352"/>
              <w:rPr>
                <w:sz w:val="20"/>
              </w:rPr>
            </w:pPr>
            <w:r>
              <w:rPr>
                <w:sz w:val="20"/>
              </w:rPr>
              <w:t>Nurse practitioner independence index</w:t>
            </w:r>
          </w:p>
        </w:tc>
        <w:tc>
          <w:tcPr>
            <w:tcW w:w="1285" w:type="dxa"/>
          </w:tcPr>
          <w:p w14:paraId="105024D6" w14:textId="77777777" w:rsidR="0046798B" w:rsidRDefault="0046798B">
            <w:pPr>
              <w:pStyle w:val="TableParagraph"/>
            </w:pPr>
          </w:p>
          <w:p w14:paraId="6DA1ECC6" w14:textId="77777777" w:rsidR="0046798B" w:rsidRDefault="00903B5C">
            <w:pPr>
              <w:pStyle w:val="TableParagraph"/>
              <w:spacing w:before="130"/>
              <w:ind w:left="114"/>
              <w:rPr>
                <w:sz w:val="20"/>
              </w:rPr>
            </w:pPr>
            <w:r>
              <w:rPr>
                <w:sz w:val="20"/>
              </w:rPr>
              <w:t>2000–2016</w:t>
            </w:r>
          </w:p>
        </w:tc>
        <w:tc>
          <w:tcPr>
            <w:tcW w:w="3421" w:type="dxa"/>
          </w:tcPr>
          <w:p w14:paraId="78054942" w14:textId="77777777" w:rsidR="0046798B" w:rsidRDefault="00903B5C">
            <w:pPr>
              <w:pStyle w:val="TableParagraph"/>
              <w:spacing w:before="153"/>
              <w:ind w:left="114" w:right="183"/>
              <w:rPr>
                <w:sz w:val="20"/>
              </w:rPr>
            </w:pPr>
            <w:r>
              <w:rPr>
                <w:sz w:val="20"/>
              </w:rPr>
              <w:t>Nurse practitioner independence index (2 = full authority; otherwise = knpind</w:t>
            </w:r>
          </w:p>
          <w:p w14:paraId="7DD86761" w14:textId="77777777" w:rsidR="0046798B" w:rsidRDefault="00903B5C">
            <w:pPr>
              <w:pStyle w:val="TableParagraph"/>
              <w:spacing w:before="1"/>
              <w:ind w:left="114"/>
              <w:rPr>
                <w:sz w:val="20"/>
              </w:rPr>
            </w:pPr>
            <w:r>
              <w:rPr>
                <w:sz w:val="20"/>
              </w:rPr>
              <w:t>* knps)</w:t>
            </w:r>
          </w:p>
        </w:tc>
        <w:tc>
          <w:tcPr>
            <w:tcW w:w="6482" w:type="dxa"/>
          </w:tcPr>
          <w:p w14:paraId="7202DE8F" w14:textId="77777777" w:rsidR="0046798B" w:rsidRDefault="00903B5C">
            <w:pPr>
              <w:pStyle w:val="TableParagraph"/>
              <w:spacing w:before="15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4E3313E" w14:textId="77777777">
        <w:trPr>
          <w:trHeight w:val="2155"/>
        </w:trPr>
        <w:tc>
          <w:tcPr>
            <w:tcW w:w="1711" w:type="dxa"/>
          </w:tcPr>
          <w:p w14:paraId="559EFE78" w14:textId="77777777" w:rsidR="0046798B" w:rsidRDefault="0046798B">
            <w:pPr>
              <w:pStyle w:val="TableParagraph"/>
            </w:pPr>
          </w:p>
          <w:p w14:paraId="4F95186F" w14:textId="77777777" w:rsidR="0046798B" w:rsidRDefault="0046798B">
            <w:pPr>
              <w:pStyle w:val="TableParagraph"/>
            </w:pPr>
          </w:p>
          <w:p w14:paraId="25D7482C" w14:textId="77777777" w:rsidR="0046798B" w:rsidRDefault="0046798B">
            <w:pPr>
              <w:pStyle w:val="TableParagraph"/>
            </w:pPr>
          </w:p>
          <w:p w14:paraId="4EF87E66" w14:textId="77777777" w:rsidR="0046798B" w:rsidRDefault="0046798B">
            <w:pPr>
              <w:pStyle w:val="TableParagraph"/>
              <w:spacing w:before="4"/>
              <w:rPr>
                <w:sz w:val="17"/>
              </w:rPr>
            </w:pPr>
          </w:p>
          <w:p w14:paraId="2E15F4A9" w14:textId="77777777" w:rsidR="0046798B" w:rsidRDefault="00903B5C">
            <w:pPr>
              <w:pStyle w:val="TableParagraph"/>
              <w:ind w:left="115"/>
              <w:rPr>
                <w:b/>
                <w:sz w:val="20"/>
              </w:rPr>
            </w:pPr>
            <w:r>
              <w:rPr>
                <w:b/>
                <w:sz w:val="20"/>
              </w:rPr>
              <w:t>knps</w:t>
            </w:r>
          </w:p>
        </w:tc>
        <w:tc>
          <w:tcPr>
            <w:tcW w:w="1596" w:type="dxa"/>
          </w:tcPr>
          <w:p w14:paraId="1B57B690" w14:textId="77777777" w:rsidR="0046798B" w:rsidRDefault="0046798B">
            <w:pPr>
              <w:pStyle w:val="TableParagraph"/>
            </w:pPr>
          </w:p>
          <w:p w14:paraId="0F036A83" w14:textId="77777777" w:rsidR="0046798B" w:rsidRDefault="0046798B">
            <w:pPr>
              <w:pStyle w:val="TableParagraph"/>
              <w:spacing w:before="3"/>
              <w:rPr>
                <w:sz w:val="21"/>
              </w:rPr>
            </w:pPr>
          </w:p>
          <w:p w14:paraId="1119DFE9" w14:textId="77777777" w:rsidR="0046798B" w:rsidRDefault="00903B5C">
            <w:pPr>
              <w:pStyle w:val="TableParagraph"/>
              <w:spacing w:before="1"/>
              <w:ind w:left="114" w:right="452"/>
              <w:rPr>
                <w:sz w:val="20"/>
              </w:rPr>
            </w:pPr>
            <w:r>
              <w:rPr>
                <w:sz w:val="20"/>
              </w:rPr>
              <w:t>Nurse practitioners prescribe controlled substances</w:t>
            </w:r>
          </w:p>
        </w:tc>
        <w:tc>
          <w:tcPr>
            <w:tcW w:w="1285" w:type="dxa"/>
          </w:tcPr>
          <w:p w14:paraId="28AFA997" w14:textId="77777777" w:rsidR="0046798B" w:rsidRDefault="0046798B">
            <w:pPr>
              <w:pStyle w:val="TableParagraph"/>
            </w:pPr>
          </w:p>
          <w:p w14:paraId="7609C551" w14:textId="77777777" w:rsidR="0046798B" w:rsidRDefault="0046798B">
            <w:pPr>
              <w:pStyle w:val="TableParagraph"/>
            </w:pPr>
          </w:p>
          <w:p w14:paraId="6FE3AEDB" w14:textId="77777777" w:rsidR="0046798B" w:rsidRDefault="0046798B">
            <w:pPr>
              <w:pStyle w:val="TableParagraph"/>
            </w:pPr>
          </w:p>
          <w:p w14:paraId="0CB80046" w14:textId="77777777" w:rsidR="0046798B" w:rsidRDefault="0046798B">
            <w:pPr>
              <w:pStyle w:val="TableParagraph"/>
              <w:spacing w:before="4"/>
              <w:rPr>
                <w:sz w:val="17"/>
              </w:rPr>
            </w:pPr>
          </w:p>
          <w:p w14:paraId="09EF2286" w14:textId="77777777" w:rsidR="0046798B" w:rsidRDefault="00903B5C">
            <w:pPr>
              <w:pStyle w:val="TableParagraph"/>
              <w:ind w:left="114"/>
              <w:rPr>
                <w:sz w:val="20"/>
              </w:rPr>
            </w:pPr>
            <w:r>
              <w:rPr>
                <w:sz w:val="20"/>
              </w:rPr>
              <w:t>2000–2016</w:t>
            </w:r>
          </w:p>
        </w:tc>
        <w:tc>
          <w:tcPr>
            <w:tcW w:w="3421" w:type="dxa"/>
          </w:tcPr>
          <w:p w14:paraId="360C1EC9" w14:textId="77777777" w:rsidR="0046798B" w:rsidRDefault="00903B5C">
            <w:pPr>
              <w:pStyle w:val="TableParagraph"/>
              <w:spacing w:before="43"/>
              <w:ind w:left="114" w:right="177"/>
              <w:rPr>
                <w:sz w:val="20"/>
              </w:rPr>
            </w:pPr>
            <w:r>
              <w:rPr>
                <w:sz w:val="20"/>
              </w:rPr>
              <w:t>May nurse practitioners prescribe controlled substances? (0 = no; 0.25 = with physician oversight may dispense or advise but may not write; 0.45 = only schedules 4 &amp; 5 with physician oversight; 0.5 = with physician oversight only; 0.9 = only schedules 4 &amp; 5 independently, others with physician oversight; 1 = yes)</w:t>
            </w:r>
          </w:p>
        </w:tc>
        <w:tc>
          <w:tcPr>
            <w:tcW w:w="6482" w:type="dxa"/>
          </w:tcPr>
          <w:p w14:paraId="0A05D007" w14:textId="77777777" w:rsidR="0046798B" w:rsidRDefault="0046798B">
            <w:pPr>
              <w:pStyle w:val="TableParagraph"/>
            </w:pPr>
          </w:p>
          <w:p w14:paraId="1C0A4934" w14:textId="77777777" w:rsidR="0046798B" w:rsidRDefault="0046798B">
            <w:pPr>
              <w:pStyle w:val="TableParagraph"/>
            </w:pPr>
          </w:p>
          <w:p w14:paraId="51A70D42" w14:textId="77777777" w:rsidR="0046798B" w:rsidRDefault="0046798B">
            <w:pPr>
              <w:pStyle w:val="TableParagraph"/>
              <w:spacing w:before="3"/>
              <w:rPr>
                <w:sz w:val="19"/>
              </w:rPr>
            </w:pPr>
          </w:p>
          <w:p w14:paraId="10B46DC1" w14:textId="77777777" w:rsidR="0046798B" w:rsidRDefault="00903B5C">
            <w:pPr>
              <w:pStyle w:val="TableParagraph"/>
              <w:spacing w:before="1"/>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32655E3" w14:textId="77777777">
        <w:trPr>
          <w:trHeight w:val="1235"/>
        </w:trPr>
        <w:tc>
          <w:tcPr>
            <w:tcW w:w="1711" w:type="dxa"/>
          </w:tcPr>
          <w:p w14:paraId="4AE51733" w14:textId="77777777" w:rsidR="0046798B" w:rsidRDefault="0046798B">
            <w:pPr>
              <w:pStyle w:val="TableParagraph"/>
            </w:pPr>
          </w:p>
          <w:p w14:paraId="51B7ED26" w14:textId="77777777" w:rsidR="0046798B" w:rsidRDefault="0046798B">
            <w:pPr>
              <w:pStyle w:val="TableParagraph"/>
              <w:spacing w:before="9"/>
              <w:rPr>
                <w:sz w:val="21"/>
              </w:rPr>
            </w:pPr>
          </w:p>
          <w:p w14:paraId="18119AAE" w14:textId="77777777" w:rsidR="0046798B" w:rsidRDefault="00903B5C">
            <w:pPr>
              <w:pStyle w:val="TableParagraph"/>
              <w:ind w:left="115"/>
              <w:rPr>
                <w:b/>
                <w:sz w:val="20"/>
              </w:rPr>
            </w:pPr>
            <w:r>
              <w:rPr>
                <w:b/>
                <w:sz w:val="20"/>
              </w:rPr>
              <w:t>kpacs</w:t>
            </w:r>
          </w:p>
        </w:tc>
        <w:tc>
          <w:tcPr>
            <w:tcW w:w="1596" w:type="dxa"/>
          </w:tcPr>
          <w:p w14:paraId="7667D0D0" w14:textId="77777777" w:rsidR="0046798B" w:rsidRDefault="00903B5C">
            <w:pPr>
              <w:pStyle w:val="TableParagraph"/>
              <w:spacing w:before="43"/>
              <w:ind w:left="114" w:right="612"/>
              <w:jc w:val="both"/>
              <w:rPr>
                <w:sz w:val="20"/>
              </w:rPr>
            </w:pPr>
            <w:r>
              <w:rPr>
                <w:sz w:val="20"/>
              </w:rPr>
              <w:t>Physician assistants prescribe controlled substances</w:t>
            </w:r>
          </w:p>
        </w:tc>
        <w:tc>
          <w:tcPr>
            <w:tcW w:w="1285" w:type="dxa"/>
          </w:tcPr>
          <w:p w14:paraId="07C29FF8" w14:textId="77777777" w:rsidR="0046798B" w:rsidRDefault="0046798B">
            <w:pPr>
              <w:pStyle w:val="TableParagraph"/>
            </w:pPr>
          </w:p>
          <w:p w14:paraId="507FAFDB" w14:textId="77777777" w:rsidR="0046798B" w:rsidRDefault="0046798B">
            <w:pPr>
              <w:pStyle w:val="TableParagraph"/>
              <w:spacing w:before="9"/>
              <w:rPr>
                <w:sz w:val="21"/>
              </w:rPr>
            </w:pPr>
          </w:p>
          <w:p w14:paraId="4D8A3854" w14:textId="77777777" w:rsidR="0046798B" w:rsidRDefault="00903B5C">
            <w:pPr>
              <w:pStyle w:val="TableParagraph"/>
              <w:ind w:left="114"/>
              <w:rPr>
                <w:sz w:val="20"/>
              </w:rPr>
            </w:pPr>
            <w:r>
              <w:rPr>
                <w:sz w:val="20"/>
              </w:rPr>
              <w:t>2000–2016</w:t>
            </w:r>
          </w:p>
        </w:tc>
        <w:tc>
          <w:tcPr>
            <w:tcW w:w="3421" w:type="dxa"/>
          </w:tcPr>
          <w:p w14:paraId="4A9FCB34" w14:textId="77777777" w:rsidR="0046798B" w:rsidRDefault="0046798B">
            <w:pPr>
              <w:pStyle w:val="TableParagraph"/>
              <w:spacing w:before="9"/>
              <w:rPr>
                <w:sz w:val="23"/>
              </w:rPr>
            </w:pPr>
          </w:p>
          <w:p w14:paraId="6F4357D0" w14:textId="77777777" w:rsidR="0046798B" w:rsidRDefault="00903B5C">
            <w:pPr>
              <w:pStyle w:val="TableParagraph"/>
              <w:ind w:left="114" w:right="329"/>
              <w:rPr>
                <w:sz w:val="20"/>
              </w:rPr>
            </w:pPr>
            <w:r>
              <w:rPr>
                <w:sz w:val="20"/>
              </w:rPr>
              <w:t>May physician assistants prescribe controlled substances? (0 = no, 0.5 = limited, 1 = yes, all schedules)</w:t>
            </w:r>
          </w:p>
        </w:tc>
        <w:tc>
          <w:tcPr>
            <w:tcW w:w="6482" w:type="dxa"/>
          </w:tcPr>
          <w:p w14:paraId="058CC32C" w14:textId="77777777" w:rsidR="0046798B" w:rsidRDefault="0046798B">
            <w:pPr>
              <w:pStyle w:val="TableParagraph"/>
              <w:spacing w:before="9"/>
              <w:rPr>
                <w:sz w:val="23"/>
              </w:rPr>
            </w:pPr>
          </w:p>
          <w:p w14:paraId="04282529"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40B99D96" w14:textId="77777777" w:rsidR="0046798B" w:rsidRDefault="0046798B">
      <w:pPr>
        <w:rPr>
          <w:sz w:val="20"/>
        </w:rPr>
        <w:sectPr w:rsidR="0046798B">
          <w:pgSz w:w="15840" w:h="12240" w:orient="landscape"/>
          <w:pgMar w:top="1220" w:right="300" w:bottom="980" w:left="820" w:header="730" w:footer="787" w:gutter="0"/>
          <w:cols w:space="720"/>
        </w:sectPr>
      </w:pPr>
    </w:p>
    <w:p w14:paraId="2BDF5F35"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571B5056" w14:textId="77777777">
        <w:trPr>
          <w:trHeight w:val="1696"/>
        </w:trPr>
        <w:tc>
          <w:tcPr>
            <w:tcW w:w="1711" w:type="dxa"/>
          </w:tcPr>
          <w:p w14:paraId="33543452" w14:textId="77777777" w:rsidR="0046798B" w:rsidRDefault="0046798B">
            <w:pPr>
              <w:pStyle w:val="TableParagraph"/>
            </w:pPr>
          </w:p>
          <w:p w14:paraId="4067ECE1" w14:textId="77777777" w:rsidR="0046798B" w:rsidRDefault="0046798B">
            <w:pPr>
              <w:pStyle w:val="TableParagraph"/>
            </w:pPr>
          </w:p>
          <w:p w14:paraId="6DF74B54" w14:textId="77777777" w:rsidR="0046798B" w:rsidRDefault="0046798B">
            <w:pPr>
              <w:pStyle w:val="TableParagraph"/>
              <w:spacing w:before="9"/>
              <w:rPr>
                <w:sz w:val="19"/>
              </w:rPr>
            </w:pPr>
          </w:p>
          <w:p w14:paraId="4311BC51" w14:textId="77777777" w:rsidR="0046798B" w:rsidRDefault="00903B5C">
            <w:pPr>
              <w:pStyle w:val="TableParagraph"/>
              <w:ind w:left="115"/>
              <w:rPr>
                <w:b/>
                <w:sz w:val="20"/>
              </w:rPr>
            </w:pPr>
            <w:r>
              <w:rPr>
                <w:b/>
                <w:sz w:val="20"/>
              </w:rPr>
              <w:t>ksunrise</w:t>
            </w:r>
          </w:p>
        </w:tc>
        <w:tc>
          <w:tcPr>
            <w:tcW w:w="1596" w:type="dxa"/>
          </w:tcPr>
          <w:p w14:paraId="1A72515C" w14:textId="77777777" w:rsidR="0046798B" w:rsidRDefault="00903B5C">
            <w:pPr>
              <w:pStyle w:val="TableParagraph"/>
              <w:spacing w:before="43"/>
              <w:ind w:left="114" w:right="430"/>
              <w:rPr>
                <w:sz w:val="20"/>
              </w:rPr>
            </w:pPr>
            <w:r>
              <w:rPr>
                <w:sz w:val="20"/>
              </w:rPr>
              <w:t>Independent commission reviews new occupational licensing legislative proposals</w:t>
            </w:r>
          </w:p>
        </w:tc>
        <w:tc>
          <w:tcPr>
            <w:tcW w:w="1285" w:type="dxa"/>
          </w:tcPr>
          <w:p w14:paraId="2EA7F969" w14:textId="77777777" w:rsidR="0046798B" w:rsidRDefault="0046798B">
            <w:pPr>
              <w:pStyle w:val="TableParagraph"/>
            </w:pPr>
          </w:p>
          <w:p w14:paraId="7D17F374" w14:textId="77777777" w:rsidR="0046798B" w:rsidRDefault="0046798B">
            <w:pPr>
              <w:pStyle w:val="TableParagraph"/>
            </w:pPr>
          </w:p>
          <w:p w14:paraId="1AE39FD4" w14:textId="77777777" w:rsidR="0046798B" w:rsidRDefault="0046798B">
            <w:pPr>
              <w:pStyle w:val="TableParagraph"/>
              <w:spacing w:before="9"/>
              <w:rPr>
                <w:sz w:val="19"/>
              </w:rPr>
            </w:pPr>
          </w:p>
          <w:p w14:paraId="29775711" w14:textId="77777777" w:rsidR="0046798B" w:rsidRDefault="00903B5C">
            <w:pPr>
              <w:pStyle w:val="TableParagraph"/>
              <w:ind w:left="114"/>
              <w:rPr>
                <w:sz w:val="20"/>
              </w:rPr>
            </w:pPr>
            <w:r>
              <w:rPr>
                <w:sz w:val="20"/>
              </w:rPr>
              <w:t>1984–2014</w:t>
            </w:r>
          </w:p>
        </w:tc>
        <w:tc>
          <w:tcPr>
            <w:tcW w:w="3421" w:type="dxa"/>
          </w:tcPr>
          <w:p w14:paraId="6253F2DA" w14:textId="77777777" w:rsidR="0046798B" w:rsidRDefault="0046798B">
            <w:pPr>
              <w:pStyle w:val="TableParagraph"/>
            </w:pPr>
          </w:p>
          <w:p w14:paraId="49988091" w14:textId="77777777" w:rsidR="0046798B" w:rsidRDefault="00903B5C">
            <w:pPr>
              <w:pStyle w:val="TableParagraph"/>
              <w:spacing w:before="135"/>
              <w:ind w:left="114" w:right="216"/>
              <w:rPr>
                <w:sz w:val="20"/>
              </w:rPr>
            </w:pPr>
            <w:r>
              <w:rPr>
                <w:sz w:val="20"/>
              </w:rPr>
              <w:t>Independent commission reviews new occupational licensing legislative proposals? (0 = no, 0.5 = limited, 1 = yes)</w:t>
            </w:r>
          </w:p>
        </w:tc>
        <w:tc>
          <w:tcPr>
            <w:tcW w:w="6482" w:type="dxa"/>
          </w:tcPr>
          <w:p w14:paraId="7A891FAD" w14:textId="77777777" w:rsidR="0046798B" w:rsidRDefault="0046798B">
            <w:pPr>
              <w:pStyle w:val="TableParagraph"/>
            </w:pPr>
          </w:p>
          <w:p w14:paraId="79912A5A" w14:textId="77777777" w:rsidR="0046798B" w:rsidRDefault="0046798B">
            <w:pPr>
              <w:pStyle w:val="TableParagraph"/>
              <w:spacing w:before="9"/>
              <w:rPr>
                <w:sz w:val="21"/>
              </w:rPr>
            </w:pPr>
          </w:p>
          <w:p w14:paraId="5112BE4C" w14:textId="77777777" w:rsidR="0046798B" w:rsidRDefault="00903B5C">
            <w:pPr>
              <w:pStyle w:val="TableParagraph"/>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352D84D" w14:textId="77777777">
        <w:trPr>
          <w:trHeight w:val="1235"/>
        </w:trPr>
        <w:tc>
          <w:tcPr>
            <w:tcW w:w="1711" w:type="dxa"/>
          </w:tcPr>
          <w:p w14:paraId="4DE5CE34" w14:textId="77777777" w:rsidR="0046798B" w:rsidRDefault="0046798B">
            <w:pPr>
              <w:pStyle w:val="TableParagraph"/>
            </w:pPr>
          </w:p>
          <w:p w14:paraId="04248E5D" w14:textId="77777777" w:rsidR="0046798B" w:rsidRDefault="0046798B">
            <w:pPr>
              <w:pStyle w:val="TableParagraph"/>
              <w:spacing w:before="8"/>
              <w:rPr>
                <w:sz w:val="21"/>
              </w:rPr>
            </w:pPr>
          </w:p>
          <w:p w14:paraId="097647BA" w14:textId="77777777" w:rsidR="0046798B" w:rsidRDefault="00903B5C">
            <w:pPr>
              <w:pStyle w:val="TableParagraph"/>
              <w:spacing w:before="1"/>
              <w:ind w:left="115"/>
              <w:rPr>
                <w:b/>
                <w:sz w:val="20"/>
              </w:rPr>
            </w:pPr>
            <w:r>
              <w:rPr>
                <w:b/>
                <w:sz w:val="20"/>
              </w:rPr>
              <w:t>ksunset</w:t>
            </w:r>
          </w:p>
        </w:tc>
        <w:tc>
          <w:tcPr>
            <w:tcW w:w="1596" w:type="dxa"/>
          </w:tcPr>
          <w:p w14:paraId="19AA580E" w14:textId="77777777" w:rsidR="0046798B" w:rsidRDefault="00903B5C">
            <w:pPr>
              <w:pStyle w:val="TableParagraph"/>
              <w:spacing w:before="158"/>
              <w:ind w:left="114" w:right="280"/>
              <w:rPr>
                <w:sz w:val="20"/>
              </w:rPr>
            </w:pPr>
            <w:r>
              <w:rPr>
                <w:sz w:val="20"/>
              </w:rPr>
              <w:t>State licensing agencies automatically abolished</w:t>
            </w:r>
          </w:p>
        </w:tc>
        <w:tc>
          <w:tcPr>
            <w:tcW w:w="1285" w:type="dxa"/>
          </w:tcPr>
          <w:p w14:paraId="3700CE61" w14:textId="77777777" w:rsidR="0046798B" w:rsidRDefault="0046798B">
            <w:pPr>
              <w:pStyle w:val="TableParagraph"/>
            </w:pPr>
          </w:p>
          <w:p w14:paraId="34FA290B" w14:textId="77777777" w:rsidR="0046798B" w:rsidRDefault="0046798B">
            <w:pPr>
              <w:pStyle w:val="TableParagraph"/>
              <w:spacing w:before="8"/>
              <w:rPr>
                <w:sz w:val="21"/>
              </w:rPr>
            </w:pPr>
          </w:p>
          <w:p w14:paraId="7C05619C" w14:textId="77777777" w:rsidR="0046798B" w:rsidRDefault="00903B5C">
            <w:pPr>
              <w:pStyle w:val="TableParagraph"/>
              <w:spacing w:before="1"/>
              <w:ind w:left="114"/>
              <w:rPr>
                <w:sz w:val="20"/>
              </w:rPr>
            </w:pPr>
            <w:r>
              <w:rPr>
                <w:sz w:val="20"/>
              </w:rPr>
              <w:t>1984–2014</w:t>
            </w:r>
          </w:p>
        </w:tc>
        <w:tc>
          <w:tcPr>
            <w:tcW w:w="3421" w:type="dxa"/>
          </w:tcPr>
          <w:p w14:paraId="757E9CF9" w14:textId="77777777" w:rsidR="0046798B" w:rsidRDefault="00903B5C">
            <w:pPr>
              <w:pStyle w:val="TableParagraph"/>
              <w:spacing w:before="43"/>
              <w:ind w:left="114" w:right="228"/>
              <w:rPr>
                <w:sz w:val="20"/>
              </w:rPr>
            </w:pPr>
            <w:r>
              <w:rPr>
                <w:sz w:val="20"/>
              </w:rPr>
              <w:t>State licensing agencies automatically abolished unless legislatively reauthorized following independent sunset review? (0 = no, 0.5 = only for specified programs, 1 = yes)</w:t>
            </w:r>
          </w:p>
        </w:tc>
        <w:tc>
          <w:tcPr>
            <w:tcW w:w="6482" w:type="dxa"/>
          </w:tcPr>
          <w:p w14:paraId="1558EDAD" w14:textId="77777777" w:rsidR="0046798B" w:rsidRDefault="0046798B">
            <w:pPr>
              <w:pStyle w:val="TableParagraph"/>
              <w:spacing w:before="8"/>
              <w:rPr>
                <w:sz w:val="23"/>
              </w:rPr>
            </w:pPr>
          </w:p>
          <w:p w14:paraId="0FA2CB02"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8F8D141" w14:textId="77777777">
        <w:trPr>
          <w:trHeight w:val="1010"/>
        </w:trPr>
        <w:tc>
          <w:tcPr>
            <w:tcW w:w="1711" w:type="dxa"/>
          </w:tcPr>
          <w:p w14:paraId="4C40F43D" w14:textId="77777777" w:rsidR="0046798B" w:rsidRDefault="0046798B">
            <w:pPr>
              <w:pStyle w:val="TableParagraph"/>
            </w:pPr>
          </w:p>
          <w:p w14:paraId="72E6A225" w14:textId="77777777" w:rsidR="0046798B" w:rsidRDefault="00903B5C">
            <w:pPr>
              <w:pStyle w:val="TableParagraph"/>
              <w:spacing w:before="135"/>
              <w:ind w:left="115"/>
              <w:rPr>
                <w:b/>
                <w:sz w:val="20"/>
              </w:rPr>
            </w:pPr>
            <w:r>
              <w:rPr>
                <w:b/>
                <w:sz w:val="20"/>
              </w:rPr>
              <w:t>kttack</w:t>
            </w:r>
          </w:p>
        </w:tc>
        <w:tc>
          <w:tcPr>
            <w:tcW w:w="1596" w:type="dxa"/>
          </w:tcPr>
          <w:p w14:paraId="14E76B6B" w14:textId="77777777" w:rsidR="0046798B" w:rsidRDefault="00903B5C">
            <w:pPr>
              <w:pStyle w:val="TableParagraph"/>
              <w:spacing w:before="43"/>
              <w:ind w:left="114" w:right="407"/>
              <w:rPr>
                <w:sz w:val="20"/>
              </w:rPr>
            </w:pPr>
            <w:r>
              <w:rPr>
                <w:sz w:val="20"/>
              </w:rPr>
              <w:t>Thumbtack grade for licensing requirements</w:t>
            </w:r>
          </w:p>
        </w:tc>
        <w:tc>
          <w:tcPr>
            <w:tcW w:w="1285" w:type="dxa"/>
          </w:tcPr>
          <w:p w14:paraId="0D1092A9" w14:textId="77777777" w:rsidR="0046798B" w:rsidRDefault="0046798B">
            <w:pPr>
              <w:pStyle w:val="TableParagraph"/>
            </w:pPr>
          </w:p>
          <w:p w14:paraId="4FD70601" w14:textId="77777777" w:rsidR="0046798B" w:rsidRDefault="00903B5C">
            <w:pPr>
              <w:pStyle w:val="TableParagraph"/>
              <w:spacing w:before="135"/>
              <w:ind w:left="114"/>
              <w:rPr>
                <w:sz w:val="20"/>
              </w:rPr>
            </w:pPr>
            <w:r>
              <w:rPr>
                <w:sz w:val="20"/>
              </w:rPr>
              <w:t>2012–2015</w:t>
            </w:r>
          </w:p>
        </w:tc>
        <w:tc>
          <w:tcPr>
            <w:tcW w:w="3421" w:type="dxa"/>
          </w:tcPr>
          <w:p w14:paraId="070E3F71" w14:textId="77777777" w:rsidR="0046798B" w:rsidRDefault="00903B5C">
            <w:pPr>
              <w:pStyle w:val="TableParagraph"/>
              <w:spacing w:before="158"/>
              <w:ind w:left="114" w:right="165"/>
              <w:rPr>
                <w:sz w:val="20"/>
              </w:rPr>
            </w:pPr>
            <w:r>
              <w:rPr>
                <w:sz w:val="20"/>
              </w:rPr>
              <w:t>Thumbtack grade for licensing requirements (1 = A+, 2 = A, 3 = A-, 4</w:t>
            </w:r>
          </w:p>
          <w:p w14:paraId="48A474D1" w14:textId="77777777" w:rsidR="0046798B" w:rsidRDefault="00903B5C">
            <w:pPr>
              <w:pStyle w:val="TableParagraph"/>
              <w:ind w:left="114"/>
              <w:rPr>
                <w:sz w:val="20"/>
              </w:rPr>
            </w:pPr>
            <w:r>
              <w:rPr>
                <w:sz w:val="20"/>
              </w:rPr>
              <w:t>= B+, etc., 14 = F)</w:t>
            </w:r>
          </w:p>
        </w:tc>
        <w:tc>
          <w:tcPr>
            <w:tcW w:w="6482" w:type="dxa"/>
          </w:tcPr>
          <w:p w14:paraId="68225A8D" w14:textId="77777777" w:rsidR="0046798B" w:rsidRDefault="00903B5C">
            <w:pPr>
              <w:pStyle w:val="TableParagraph"/>
              <w:spacing w:before="158"/>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D0F5813" w14:textId="77777777">
        <w:trPr>
          <w:trHeight w:val="1693"/>
        </w:trPr>
        <w:tc>
          <w:tcPr>
            <w:tcW w:w="1711" w:type="dxa"/>
            <w:tcBorders>
              <w:bottom w:val="dotted" w:sz="6" w:space="0" w:color="BEBEBE"/>
            </w:tcBorders>
          </w:tcPr>
          <w:p w14:paraId="4C807205" w14:textId="77777777" w:rsidR="0046798B" w:rsidRDefault="0046798B">
            <w:pPr>
              <w:pStyle w:val="TableParagraph"/>
            </w:pPr>
          </w:p>
          <w:p w14:paraId="76A307A0" w14:textId="77777777" w:rsidR="0046798B" w:rsidRDefault="0046798B">
            <w:pPr>
              <w:pStyle w:val="TableParagraph"/>
            </w:pPr>
          </w:p>
          <w:p w14:paraId="67686ED9" w14:textId="77777777" w:rsidR="0046798B" w:rsidRDefault="0046798B">
            <w:pPr>
              <w:pStyle w:val="TableParagraph"/>
              <w:spacing w:before="4"/>
              <w:rPr>
                <w:sz w:val="19"/>
              </w:rPr>
            </w:pPr>
          </w:p>
          <w:p w14:paraId="2C716010" w14:textId="77777777" w:rsidR="0046798B" w:rsidRDefault="00903B5C">
            <w:pPr>
              <w:pStyle w:val="TableParagraph"/>
              <w:ind w:left="115"/>
              <w:rPr>
                <w:b/>
                <w:sz w:val="20"/>
              </w:rPr>
            </w:pPr>
            <w:r>
              <w:rPr>
                <w:b/>
                <w:sz w:val="20"/>
              </w:rPr>
              <w:t>nmoverlic</w:t>
            </w:r>
          </w:p>
        </w:tc>
        <w:tc>
          <w:tcPr>
            <w:tcW w:w="1596" w:type="dxa"/>
            <w:tcBorders>
              <w:bottom w:val="dotted" w:sz="6" w:space="0" w:color="BEBEBE"/>
            </w:tcBorders>
          </w:tcPr>
          <w:p w14:paraId="147F0880" w14:textId="77777777" w:rsidR="0046798B" w:rsidRDefault="00903B5C">
            <w:pPr>
              <w:pStyle w:val="TableParagraph"/>
              <w:spacing w:before="38"/>
              <w:ind w:left="114" w:right="121"/>
              <w:rPr>
                <w:sz w:val="20"/>
              </w:rPr>
            </w:pPr>
            <w:r>
              <w:rPr>
                <w:sz w:val="20"/>
              </w:rPr>
              <w:t xml:space="preserve">Household goods moving companies must obtain </w:t>
            </w:r>
            <w:r>
              <w:rPr>
                <w:spacing w:val="-3"/>
                <w:sz w:val="20"/>
              </w:rPr>
              <w:t xml:space="preserve">certificate </w:t>
            </w:r>
            <w:r>
              <w:rPr>
                <w:sz w:val="20"/>
              </w:rPr>
              <w:t xml:space="preserve">of public convenience </w:t>
            </w:r>
            <w:r>
              <w:rPr>
                <w:spacing w:val="-5"/>
                <w:sz w:val="20"/>
              </w:rPr>
              <w:t xml:space="preserve">and </w:t>
            </w:r>
            <w:r>
              <w:rPr>
                <w:sz w:val="20"/>
              </w:rPr>
              <w:t>necessity</w:t>
            </w:r>
          </w:p>
        </w:tc>
        <w:tc>
          <w:tcPr>
            <w:tcW w:w="1285" w:type="dxa"/>
            <w:tcBorders>
              <w:bottom w:val="dotted" w:sz="6" w:space="0" w:color="BEBEBE"/>
            </w:tcBorders>
          </w:tcPr>
          <w:p w14:paraId="6875E34D" w14:textId="77777777" w:rsidR="0046798B" w:rsidRDefault="0046798B">
            <w:pPr>
              <w:pStyle w:val="TableParagraph"/>
            </w:pPr>
          </w:p>
          <w:p w14:paraId="0D9DE1C9" w14:textId="77777777" w:rsidR="0046798B" w:rsidRDefault="0046798B">
            <w:pPr>
              <w:pStyle w:val="TableParagraph"/>
            </w:pPr>
          </w:p>
          <w:p w14:paraId="7CEB8334" w14:textId="77777777" w:rsidR="0046798B" w:rsidRDefault="0046798B">
            <w:pPr>
              <w:pStyle w:val="TableParagraph"/>
              <w:spacing w:before="4"/>
              <w:rPr>
                <w:sz w:val="19"/>
              </w:rPr>
            </w:pPr>
          </w:p>
          <w:p w14:paraId="72156204" w14:textId="77777777" w:rsidR="0046798B" w:rsidRDefault="00903B5C">
            <w:pPr>
              <w:pStyle w:val="TableParagraph"/>
              <w:ind w:left="114"/>
              <w:rPr>
                <w:sz w:val="20"/>
              </w:rPr>
            </w:pPr>
            <w:r>
              <w:rPr>
                <w:sz w:val="20"/>
              </w:rPr>
              <w:t>2000–2016</w:t>
            </w:r>
          </w:p>
        </w:tc>
        <w:tc>
          <w:tcPr>
            <w:tcW w:w="3421" w:type="dxa"/>
            <w:tcBorders>
              <w:bottom w:val="dotted" w:sz="6" w:space="0" w:color="BEBEBE"/>
            </w:tcBorders>
          </w:tcPr>
          <w:p w14:paraId="395E24AC" w14:textId="77777777" w:rsidR="0046798B" w:rsidRDefault="0046798B">
            <w:pPr>
              <w:pStyle w:val="TableParagraph"/>
            </w:pPr>
          </w:p>
          <w:p w14:paraId="6BB19FA4" w14:textId="77777777" w:rsidR="0046798B" w:rsidRDefault="00903B5C">
            <w:pPr>
              <w:pStyle w:val="TableParagraph"/>
              <w:spacing w:before="130"/>
              <w:ind w:left="114" w:right="237"/>
              <w:rPr>
                <w:sz w:val="20"/>
              </w:rPr>
            </w:pPr>
            <w:r>
              <w:rPr>
                <w:sz w:val="20"/>
              </w:rPr>
              <w:t>Household goods moving companies must obtain certificate of public convenience and necessity? (0 = no, 1</w:t>
            </w:r>
          </w:p>
          <w:p w14:paraId="18464985" w14:textId="77777777" w:rsidR="0046798B" w:rsidRDefault="00903B5C">
            <w:pPr>
              <w:pStyle w:val="TableParagraph"/>
              <w:ind w:left="114"/>
              <w:rPr>
                <w:sz w:val="20"/>
              </w:rPr>
            </w:pPr>
            <w:r>
              <w:rPr>
                <w:sz w:val="20"/>
              </w:rPr>
              <w:t>= yes)</w:t>
            </w:r>
          </w:p>
        </w:tc>
        <w:tc>
          <w:tcPr>
            <w:tcW w:w="6482" w:type="dxa"/>
            <w:tcBorders>
              <w:bottom w:val="dotted" w:sz="6" w:space="0" w:color="BEBEBE"/>
            </w:tcBorders>
          </w:tcPr>
          <w:p w14:paraId="5B7F3F5E" w14:textId="77777777" w:rsidR="0046798B" w:rsidRDefault="0046798B">
            <w:pPr>
              <w:pStyle w:val="TableParagraph"/>
            </w:pPr>
          </w:p>
          <w:p w14:paraId="3BAEE100" w14:textId="77777777" w:rsidR="0046798B" w:rsidRDefault="0046798B">
            <w:pPr>
              <w:pStyle w:val="TableParagraph"/>
              <w:spacing w:before="4"/>
              <w:rPr>
                <w:sz w:val="21"/>
              </w:rPr>
            </w:pPr>
          </w:p>
          <w:p w14:paraId="3EFA8D66"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3DCD744" w14:textId="77777777">
        <w:trPr>
          <w:trHeight w:val="1233"/>
        </w:trPr>
        <w:tc>
          <w:tcPr>
            <w:tcW w:w="1711" w:type="dxa"/>
            <w:tcBorders>
              <w:top w:val="dotted" w:sz="6" w:space="0" w:color="BEBEBE"/>
            </w:tcBorders>
          </w:tcPr>
          <w:p w14:paraId="40B29876" w14:textId="77777777" w:rsidR="0046798B" w:rsidRDefault="0046798B">
            <w:pPr>
              <w:pStyle w:val="TableParagraph"/>
            </w:pPr>
          </w:p>
          <w:p w14:paraId="1E8FAC41" w14:textId="77777777" w:rsidR="0046798B" w:rsidRDefault="00903B5C">
            <w:pPr>
              <w:pStyle w:val="TableParagraph"/>
              <w:spacing w:before="128"/>
              <w:ind w:left="115"/>
              <w:rPr>
                <w:b/>
                <w:sz w:val="20"/>
              </w:rPr>
            </w:pPr>
            <w:r>
              <w:rPr>
                <w:b/>
                <w:w w:val="95"/>
                <w:sz w:val="20"/>
              </w:rPr>
              <w:t xml:space="preserve">licenses_account </w:t>
            </w:r>
            <w:r>
              <w:rPr>
                <w:b/>
                <w:sz w:val="20"/>
              </w:rPr>
              <w:t>ants</w:t>
            </w:r>
          </w:p>
        </w:tc>
        <w:tc>
          <w:tcPr>
            <w:tcW w:w="1596" w:type="dxa"/>
            <w:tcBorders>
              <w:top w:val="dotted" w:sz="6" w:space="0" w:color="BEBEBE"/>
            </w:tcBorders>
          </w:tcPr>
          <w:p w14:paraId="08CFF4BC" w14:textId="77777777" w:rsidR="0046798B" w:rsidRDefault="0046798B">
            <w:pPr>
              <w:pStyle w:val="TableParagraph"/>
            </w:pPr>
          </w:p>
          <w:p w14:paraId="2CEC8FD6" w14:textId="77777777" w:rsidR="0046798B" w:rsidRDefault="00903B5C">
            <w:pPr>
              <w:pStyle w:val="TableParagraph"/>
              <w:spacing w:before="128"/>
              <w:ind w:left="114" w:right="530"/>
              <w:rPr>
                <w:sz w:val="20"/>
              </w:rPr>
            </w:pPr>
            <w:r>
              <w:rPr>
                <w:sz w:val="20"/>
              </w:rPr>
              <w:t>Accountant licensing</w:t>
            </w:r>
          </w:p>
        </w:tc>
        <w:tc>
          <w:tcPr>
            <w:tcW w:w="1285" w:type="dxa"/>
            <w:tcBorders>
              <w:top w:val="dotted" w:sz="6" w:space="0" w:color="BEBEBE"/>
            </w:tcBorders>
          </w:tcPr>
          <w:p w14:paraId="0A56DFC9" w14:textId="77777777" w:rsidR="0046798B" w:rsidRDefault="0046798B">
            <w:pPr>
              <w:pStyle w:val="TableParagraph"/>
            </w:pPr>
          </w:p>
          <w:p w14:paraId="41D3C9BB" w14:textId="77777777" w:rsidR="0046798B" w:rsidRDefault="0046798B">
            <w:pPr>
              <w:pStyle w:val="TableParagraph"/>
              <w:spacing w:before="1"/>
              <w:rPr>
                <w:sz w:val="21"/>
              </w:rPr>
            </w:pPr>
          </w:p>
          <w:p w14:paraId="74EEEF1C" w14:textId="77777777" w:rsidR="0046798B" w:rsidRDefault="00903B5C">
            <w:pPr>
              <w:pStyle w:val="TableParagraph"/>
              <w:ind w:left="114"/>
              <w:rPr>
                <w:sz w:val="20"/>
              </w:rPr>
            </w:pPr>
            <w:r>
              <w:rPr>
                <w:sz w:val="20"/>
              </w:rPr>
              <w:t>1936–1951</w:t>
            </w:r>
          </w:p>
        </w:tc>
        <w:tc>
          <w:tcPr>
            <w:tcW w:w="3421" w:type="dxa"/>
            <w:tcBorders>
              <w:top w:val="dotted" w:sz="6" w:space="0" w:color="BEBEBE"/>
            </w:tcBorders>
          </w:tcPr>
          <w:p w14:paraId="0D57FFC2" w14:textId="77777777" w:rsidR="0046798B" w:rsidRDefault="0046798B">
            <w:pPr>
              <w:pStyle w:val="TableParagraph"/>
            </w:pPr>
          </w:p>
          <w:p w14:paraId="03FB6F40" w14:textId="77777777" w:rsidR="0046798B" w:rsidRDefault="00903B5C">
            <w:pPr>
              <w:pStyle w:val="TableParagraph"/>
              <w:spacing w:before="128"/>
              <w:ind w:left="114" w:right="189"/>
              <w:rPr>
                <w:sz w:val="20"/>
              </w:rPr>
            </w:pPr>
            <w:r>
              <w:rPr>
                <w:sz w:val="20"/>
              </w:rPr>
              <w:t>State license required for accountants? (0 = no, 1 = yes)</w:t>
            </w:r>
          </w:p>
        </w:tc>
        <w:tc>
          <w:tcPr>
            <w:tcW w:w="6482" w:type="dxa"/>
            <w:tcBorders>
              <w:top w:val="dotted" w:sz="6" w:space="0" w:color="BEBEBE"/>
            </w:tcBorders>
          </w:tcPr>
          <w:p w14:paraId="5FE79F73" w14:textId="77777777" w:rsidR="0046798B" w:rsidRDefault="00903B5C">
            <w:pPr>
              <w:pStyle w:val="TableParagraph"/>
              <w:spacing w:before="35"/>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21DF916D" w14:textId="77777777">
        <w:trPr>
          <w:trHeight w:val="1235"/>
        </w:trPr>
        <w:tc>
          <w:tcPr>
            <w:tcW w:w="1711" w:type="dxa"/>
          </w:tcPr>
          <w:p w14:paraId="5A3B3966" w14:textId="77777777" w:rsidR="0046798B" w:rsidRDefault="0046798B">
            <w:pPr>
              <w:pStyle w:val="TableParagraph"/>
            </w:pPr>
          </w:p>
          <w:p w14:paraId="2D15D4E6" w14:textId="77777777" w:rsidR="0046798B" w:rsidRDefault="00903B5C">
            <w:pPr>
              <w:pStyle w:val="TableParagraph"/>
              <w:spacing w:before="130"/>
              <w:ind w:left="115" w:right="133"/>
              <w:rPr>
                <w:b/>
                <w:sz w:val="20"/>
              </w:rPr>
            </w:pPr>
            <w:r>
              <w:rPr>
                <w:b/>
                <w:sz w:val="20"/>
              </w:rPr>
              <w:t>licenses_architec ts</w:t>
            </w:r>
          </w:p>
        </w:tc>
        <w:tc>
          <w:tcPr>
            <w:tcW w:w="1596" w:type="dxa"/>
          </w:tcPr>
          <w:p w14:paraId="39954309" w14:textId="77777777" w:rsidR="0046798B" w:rsidRDefault="0046798B">
            <w:pPr>
              <w:pStyle w:val="TableParagraph"/>
            </w:pPr>
          </w:p>
          <w:p w14:paraId="2E39950D" w14:textId="77777777" w:rsidR="0046798B" w:rsidRDefault="00903B5C">
            <w:pPr>
              <w:pStyle w:val="TableParagraph"/>
              <w:spacing w:before="130"/>
              <w:ind w:left="114" w:right="707"/>
              <w:rPr>
                <w:sz w:val="20"/>
              </w:rPr>
            </w:pPr>
            <w:r>
              <w:rPr>
                <w:sz w:val="20"/>
              </w:rPr>
              <w:t>Architect licensing</w:t>
            </w:r>
          </w:p>
        </w:tc>
        <w:tc>
          <w:tcPr>
            <w:tcW w:w="1285" w:type="dxa"/>
          </w:tcPr>
          <w:p w14:paraId="7217D2F6" w14:textId="77777777" w:rsidR="0046798B" w:rsidRDefault="0046798B">
            <w:pPr>
              <w:pStyle w:val="TableParagraph"/>
            </w:pPr>
          </w:p>
          <w:p w14:paraId="17050CE6" w14:textId="77777777" w:rsidR="0046798B" w:rsidRDefault="0046798B">
            <w:pPr>
              <w:pStyle w:val="TableParagraph"/>
              <w:spacing w:before="3"/>
              <w:rPr>
                <w:sz w:val="21"/>
              </w:rPr>
            </w:pPr>
          </w:p>
          <w:p w14:paraId="37CC8BD4" w14:textId="77777777" w:rsidR="0046798B" w:rsidRDefault="00903B5C">
            <w:pPr>
              <w:pStyle w:val="TableParagraph"/>
              <w:spacing w:before="1"/>
              <w:ind w:left="114"/>
              <w:rPr>
                <w:sz w:val="20"/>
              </w:rPr>
            </w:pPr>
            <w:r>
              <w:rPr>
                <w:sz w:val="20"/>
              </w:rPr>
              <w:t>1936–1951</w:t>
            </w:r>
          </w:p>
        </w:tc>
        <w:tc>
          <w:tcPr>
            <w:tcW w:w="3421" w:type="dxa"/>
          </w:tcPr>
          <w:p w14:paraId="3D1D074D" w14:textId="77777777" w:rsidR="0046798B" w:rsidRDefault="0046798B">
            <w:pPr>
              <w:pStyle w:val="TableParagraph"/>
            </w:pPr>
          </w:p>
          <w:p w14:paraId="1DADF329" w14:textId="77777777" w:rsidR="0046798B" w:rsidRDefault="00903B5C">
            <w:pPr>
              <w:pStyle w:val="TableParagraph"/>
              <w:spacing w:before="130"/>
              <w:ind w:left="114"/>
              <w:rPr>
                <w:sz w:val="20"/>
              </w:rPr>
            </w:pPr>
            <w:r>
              <w:rPr>
                <w:sz w:val="20"/>
              </w:rPr>
              <w:t>State license required for architects? (0</w:t>
            </w:r>
          </w:p>
          <w:p w14:paraId="35562BBC" w14:textId="77777777" w:rsidR="0046798B" w:rsidRDefault="00903B5C">
            <w:pPr>
              <w:pStyle w:val="TableParagraph"/>
              <w:ind w:left="114"/>
              <w:rPr>
                <w:sz w:val="20"/>
              </w:rPr>
            </w:pPr>
            <w:r>
              <w:rPr>
                <w:sz w:val="20"/>
              </w:rPr>
              <w:t>= no, 1 = yes)</w:t>
            </w:r>
          </w:p>
        </w:tc>
        <w:tc>
          <w:tcPr>
            <w:tcW w:w="6482" w:type="dxa"/>
          </w:tcPr>
          <w:p w14:paraId="45D89BD8"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7FCBD880" w14:textId="77777777">
        <w:trPr>
          <w:trHeight w:val="775"/>
        </w:trPr>
        <w:tc>
          <w:tcPr>
            <w:tcW w:w="1711" w:type="dxa"/>
          </w:tcPr>
          <w:p w14:paraId="18DAC1EA" w14:textId="77777777" w:rsidR="0046798B" w:rsidRDefault="00903B5C">
            <w:pPr>
              <w:pStyle w:val="TableParagraph"/>
              <w:spacing w:before="158"/>
              <w:ind w:left="115" w:right="143"/>
              <w:rPr>
                <w:b/>
                <w:sz w:val="20"/>
              </w:rPr>
            </w:pPr>
            <w:r>
              <w:rPr>
                <w:b/>
                <w:sz w:val="20"/>
              </w:rPr>
              <w:t>licenses_beautici ans</w:t>
            </w:r>
          </w:p>
        </w:tc>
        <w:tc>
          <w:tcPr>
            <w:tcW w:w="1596" w:type="dxa"/>
          </w:tcPr>
          <w:p w14:paraId="1B4DF425" w14:textId="77777777" w:rsidR="0046798B" w:rsidRDefault="00903B5C">
            <w:pPr>
              <w:pStyle w:val="TableParagraph"/>
              <w:spacing w:before="158"/>
              <w:ind w:left="114" w:right="596"/>
              <w:rPr>
                <w:sz w:val="20"/>
              </w:rPr>
            </w:pPr>
            <w:r>
              <w:rPr>
                <w:sz w:val="20"/>
              </w:rPr>
              <w:t>Beautician licensing</w:t>
            </w:r>
          </w:p>
        </w:tc>
        <w:tc>
          <w:tcPr>
            <w:tcW w:w="1285" w:type="dxa"/>
          </w:tcPr>
          <w:p w14:paraId="189BE385" w14:textId="77777777" w:rsidR="0046798B" w:rsidRDefault="0046798B">
            <w:pPr>
              <w:pStyle w:val="TableParagraph"/>
              <w:spacing w:before="8"/>
              <w:rPr>
                <w:sz w:val="23"/>
              </w:rPr>
            </w:pPr>
          </w:p>
          <w:p w14:paraId="2F742202" w14:textId="77777777" w:rsidR="0046798B" w:rsidRDefault="00903B5C">
            <w:pPr>
              <w:pStyle w:val="TableParagraph"/>
              <w:spacing w:before="1"/>
              <w:ind w:left="114"/>
              <w:rPr>
                <w:sz w:val="20"/>
              </w:rPr>
            </w:pPr>
            <w:r>
              <w:rPr>
                <w:sz w:val="20"/>
              </w:rPr>
              <w:t>1936–1951</w:t>
            </w:r>
          </w:p>
        </w:tc>
        <w:tc>
          <w:tcPr>
            <w:tcW w:w="3421" w:type="dxa"/>
          </w:tcPr>
          <w:p w14:paraId="15498584" w14:textId="77777777" w:rsidR="0046798B" w:rsidRDefault="00903B5C">
            <w:pPr>
              <w:pStyle w:val="TableParagraph"/>
              <w:spacing w:before="158"/>
              <w:ind w:left="114" w:right="233"/>
              <w:rPr>
                <w:sz w:val="20"/>
              </w:rPr>
            </w:pPr>
            <w:r>
              <w:rPr>
                <w:sz w:val="20"/>
              </w:rPr>
              <w:t>State license required for beauticians? (0 = no, 1 = yes)</w:t>
            </w:r>
          </w:p>
        </w:tc>
        <w:tc>
          <w:tcPr>
            <w:tcW w:w="6482" w:type="dxa"/>
          </w:tcPr>
          <w:p w14:paraId="4093C3D0" w14:textId="77777777" w:rsidR="0046798B" w:rsidRDefault="00903B5C">
            <w:pPr>
              <w:pStyle w:val="TableParagraph"/>
              <w:spacing w:before="43"/>
              <w:ind w:left="114" w:right="322"/>
              <w:rPr>
                <w:sz w:val="20"/>
              </w:rPr>
            </w:pPr>
            <w:r>
              <w:rPr>
                <w:sz w:val="20"/>
              </w:rPr>
              <w:t xml:space="preserve">Caughey, Devin, and Christopher Warshaw. 2015. “The Dynamics of State Policy Liberalism, 1936–2014.” </w:t>
            </w:r>
            <w:r>
              <w:rPr>
                <w:i/>
                <w:sz w:val="20"/>
              </w:rPr>
              <w:t>American Journal of Political Science</w:t>
            </w:r>
            <w:r>
              <w:rPr>
                <w:sz w:val="20"/>
              </w:rPr>
              <w:t>, September. doi: 10.1111/ajps.12219.</w:t>
            </w:r>
          </w:p>
        </w:tc>
      </w:tr>
    </w:tbl>
    <w:p w14:paraId="4A3DB3D1" w14:textId="77777777" w:rsidR="0046798B" w:rsidRDefault="0046798B">
      <w:pPr>
        <w:rPr>
          <w:sz w:val="20"/>
        </w:rPr>
        <w:sectPr w:rsidR="0046798B">
          <w:pgSz w:w="15840" w:h="12240" w:orient="landscape"/>
          <w:pgMar w:top="1220" w:right="300" w:bottom="980" w:left="820" w:header="730" w:footer="787" w:gutter="0"/>
          <w:cols w:space="720"/>
        </w:sectPr>
      </w:pPr>
    </w:p>
    <w:p w14:paraId="3C282295"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6B511C2C" w14:textId="77777777">
        <w:trPr>
          <w:trHeight w:val="542"/>
        </w:trPr>
        <w:tc>
          <w:tcPr>
            <w:tcW w:w="1711" w:type="dxa"/>
            <w:tcBorders>
              <w:bottom w:val="dotted" w:sz="6" w:space="0" w:color="BEBEBE"/>
            </w:tcBorders>
          </w:tcPr>
          <w:p w14:paraId="6AC376CF" w14:textId="77777777" w:rsidR="0046798B" w:rsidRDefault="0046798B">
            <w:pPr>
              <w:pStyle w:val="TableParagraph"/>
              <w:rPr>
                <w:sz w:val="20"/>
              </w:rPr>
            </w:pPr>
          </w:p>
        </w:tc>
        <w:tc>
          <w:tcPr>
            <w:tcW w:w="1596" w:type="dxa"/>
            <w:tcBorders>
              <w:bottom w:val="dotted" w:sz="6" w:space="0" w:color="BEBEBE"/>
            </w:tcBorders>
          </w:tcPr>
          <w:p w14:paraId="67B1C461" w14:textId="77777777" w:rsidR="0046798B" w:rsidRDefault="0046798B">
            <w:pPr>
              <w:pStyle w:val="TableParagraph"/>
              <w:rPr>
                <w:sz w:val="20"/>
              </w:rPr>
            </w:pPr>
          </w:p>
        </w:tc>
        <w:tc>
          <w:tcPr>
            <w:tcW w:w="1285" w:type="dxa"/>
            <w:tcBorders>
              <w:bottom w:val="dotted" w:sz="6" w:space="0" w:color="BEBEBE"/>
            </w:tcBorders>
          </w:tcPr>
          <w:p w14:paraId="29C7ADA2" w14:textId="77777777" w:rsidR="0046798B" w:rsidRDefault="0046798B">
            <w:pPr>
              <w:pStyle w:val="TableParagraph"/>
              <w:rPr>
                <w:sz w:val="20"/>
              </w:rPr>
            </w:pPr>
          </w:p>
        </w:tc>
        <w:tc>
          <w:tcPr>
            <w:tcW w:w="3421" w:type="dxa"/>
            <w:tcBorders>
              <w:bottom w:val="dotted" w:sz="6" w:space="0" w:color="BEBEBE"/>
            </w:tcBorders>
          </w:tcPr>
          <w:p w14:paraId="6C5CE502" w14:textId="77777777" w:rsidR="0046798B" w:rsidRDefault="0046798B">
            <w:pPr>
              <w:pStyle w:val="TableParagraph"/>
              <w:rPr>
                <w:sz w:val="20"/>
              </w:rPr>
            </w:pPr>
          </w:p>
        </w:tc>
        <w:tc>
          <w:tcPr>
            <w:tcW w:w="6482" w:type="dxa"/>
            <w:tcBorders>
              <w:bottom w:val="dotted" w:sz="6" w:space="0" w:color="BEBEBE"/>
            </w:tcBorders>
          </w:tcPr>
          <w:p w14:paraId="42CA70AB" w14:textId="77777777" w:rsidR="0046798B" w:rsidRDefault="00903B5C">
            <w:pPr>
              <w:pStyle w:val="TableParagraph"/>
              <w:spacing w:before="43"/>
              <w:ind w:left="114" w:right="137"/>
              <w:rPr>
                <w:sz w:val="20"/>
              </w:rPr>
            </w:pP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2F36EC7B" w14:textId="77777777">
        <w:trPr>
          <w:trHeight w:val="1233"/>
        </w:trPr>
        <w:tc>
          <w:tcPr>
            <w:tcW w:w="1711" w:type="dxa"/>
            <w:tcBorders>
              <w:top w:val="dotted" w:sz="6" w:space="0" w:color="BEBEBE"/>
            </w:tcBorders>
          </w:tcPr>
          <w:p w14:paraId="21B2ABD6" w14:textId="77777777" w:rsidR="0046798B" w:rsidRDefault="0046798B">
            <w:pPr>
              <w:pStyle w:val="TableParagraph"/>
            </w:pPr>
          </w:p>
          <w:p w14:paraId="5E77014A" w14:textId="77777777" w:rsidR="0046798B" w:rsidRDefault="00903B5C">
            <w:pPr>
              <w:pStyle w:val="TableParagraph"/>
              <w:spacing w:before="133"/>
              <w:ind w:left="115" w:right="177"/>
              <w:rPr>
                <w:b/>
                <w:sz w:val="20"/>
              </w:rPr>
            </w:pPr>
            <w:r>
              <w:rPr>
                <w:b/>
                <w:sz w:val="20"/>
              </w:rPr>
              <w:t>licenses_chiropr actors</w:t>
            </w:r>
          </w:p>
        </w:tc>
        <w:tc>
          <w:tcPr>
            <w:tcW w:w="1596" w:type="dxa"/>
            <w:tcBorders>
              <w:top w:val="dotted" w:sz="6" w:space="0" w:color="BEBEBE"/>
            </w:tcBorders>
          </w:tcPr>
          <w:p w14:paraId="167957D7" w14:textId="77777777" w:rsidR="0046798B" w:rsidRDefault="0046798B">
            <w:pPr>
              <w:pStyle w:val="TableParagraph"/>
            </w:pPr>
          </w:p>
          <w:p w14:paraId="482B926B" w14:textId="77777777" w:rsidR="0046798B" w:rsidRDefault="00903B5C">
            <w:pPr>
              <w:pStyle w:val="TableParagraph"/>
              <w:spacing w:before="133"/>
              <w:ind w:left="114" w:right="430"/>
              <w:rPr>
                <w:sz w:val="20"/>
              </w:rPr>
            </w:pPr>
            <w:r>
              <w:rPr>
                <w:sz w:val="20"/>
              </w:rPr>
              <w:t>Chiropractor licensing</w:t>
            </w:r>
          </w:p>
        </w:tc>
        <w:tc>
          <w:tcPr>
            <w:tcW w:w="1285" w:type="dxa"/>
            <w:tcBorders>
              <w:top w:val="dotted" w:sz="6" w:space="0" w:color="BEBEBE"/>
            </w:tcBorders>
          </w:tcPr>
          <w:p w14:paraId="4A9CFF5E" w14:textId="77777777" w:rsidR="0046798B" w:rsidRDefault="0046798B">
            <w:pPr>
              <w:pStyle w:val="TableParagraph"/>
            </w:pPr>
          </w:p>
          <w:p w14:paraId="03FD9397" w14:textId="77777777" w:rsidR="0046798B" w:rsidRDefault="0046798B">
            <w:pPr>
              <w:pStyle w:val="TableParagraph"/>
              <w:spacing w:before="6"/>
              <w:rPr>
                <w:sz w:val="21"/>
              </w:rPr>
            </w:pPr>
          </w:p>
          <w:p w14:paraId="3213C48C" w14:textId="77777777" w:rsidR="0046798B" w:rsidRDefault="00903B5C">
            <w:pPr>
              <w:pStyle w:val="TableParagraph"/>
              <w:ind w:left="114"/>
              <w:rPr>
                <w:sz w:val="20"/>
              </w:rPr>
            </w:pPr>
            <w:r>
              <w:rPr>
                <w:sz w:val="20"/>
              </w:rPr>
              <w:t>1936–1951</w:t>
            </w:r>
          </w:p>
        </w:tc>
        <w:tc>
          <w:tcPr>
            <w:tcW w:w="3421" w:type="dxa"/>
            <w:tcBorders>
              <w:top w:val="dotted" w:sz="6" w:space="0" w:color="BEBEBE"/>
            </w:tcBorders>
          </w:tcPr>
          <w:p w14:paraId="3B680DA5" w14:textId="77777777" w:rsidR="0046798B" w:rsidRDefault="0046798B">
            <w:pPr>
              <w:pStyle w:val="TableParagraph"/>
            </w:pPr>
          </w:p>
          <w:p w14:paraId="21E0442A" w14:textId="77777777" w:rsidR="0046798B" w:rsidRDefault="00903B5C">
            <w:pPr>
              <w:pStyle w:val="TableParagraph"/>
              <w:spacing w:before="133"/>
              <w:ind w:left="114" w:right="757"/>
              <w:rPr>
                <w:sz w:val="20"/>
              </w:rPr>
            </w:pPr>
            <w:r>
              <w:rPr>
                <w:sz w:val="20"/>
              </w:rPr>
              <w:t>State license required for chiropractors? (0 = no, 1 = yes)</w:t>
            </w:r>
          </w:p>
        </w:tc>
        <w:tc>
          <w:tcPr>
            <w:tcW w:w="6482" w:type="dxa"/>
            <w:tcBorders>
              <w:top w:val="dotted" w:sz="6" w:space="0" w:color="BEBEBE"/>
            </w:tcBorders>
          </w:tcPr>
          <w:p w14:paraId="33A3D534" w14:textId="77777777" w:rsidR="0046798B" w:rsidRDefault="00903B5C">
            <w:pPr>
              <w:pStyle w:val="TableParagraph"/>
              <w:spacing w:before="40"/>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1A88504C" w14:textId="77777777">
        <w:trPr>
          <w:trHeight w:val="1240"/>
        </w:trPr>
        <w:tc>
          <w:tcPr>
            <w:tcW w:w="1711" w:type="dxa"/>
          </w:tcPr>
          <w:p w14:paraId="691AF430" w14:textId="77777777" w:rsidR="0046798B" w:rsidRDefault="0046798B">
            <w:pPr>
              <w:pStyle w:val="TableParagraph"/>
            </w:pPr>
          </w:p>
          <w:p w14:paraId="4A16B68B" w14:textId="77777777" w:rsidR="0046798B" w:rsidRDefault="0046798B">
            <w:pPr>
              <w:pStyle w:val="TableParagraph"/>
              <w:spacing w:before="8"/>
              <w:rPr>
                <w:sz w:val="21"/>
              </w:rPr>
            </w:pPr>
          </w:p>
          <w:p w14:paraId="6465DBEB" w14:textId="77777777" w:rsidR="0046798B" w:rsidRDefault="00903B5C">
            <w:pPr>
              <w:pStyle w:val="TableParagraph"/>
              <w:spacing w:before="1"/>
              <w:ind w:left="115"/>
              <w:rPr>
                <w:b/>
                <w:sz w:val="20"/>
              </w:rPr>
            </w:pPr>
            <w:r>
              <w:rPr>
                <w:b/>
                <w:sz w:val="20"/>
              </w:rPr>
              <w:t>licenses_dentists</w:t>
            </w:r>
          </w:p>
        </w:tc>
        <w:tc>
          <w:tcPr>
            <w:tcW w:w="1596" w:type="dxa"/>
          </w:tcPr>
          <w:p w14:paraId="32B2B604" w14:textId="77777777" w:rsidR="0046798B" w:rsidRDefault="0046798B">
            <w:pPr>
              <w:pStyle w:val="TableParagraph"/>
            </w:pPr>
          </w:p>
          <w:p w14:paraId="0CFD83A9" w14:textId="77777777" w:rsidR="0046798B" w:rsidRDefault="0046798B">
            <w:pPr>
              <w:pStyle w:val="TableParagraph"/>
              <w:spacing w:before="8"/>
              <w:rPr>
                <w:sz w:val="21"/>
              </w:rPr>
            </w:pPr>
          </w:p>
          <w:p w14:paraId="74B09374" w14:textId="77777777" w:rsidR="0046798B" w:rsidRDefault="00903B5C">
            <w:pPr>
              <w:pStyle w:val="TableParagraph"/>
              <w:spacing w:before="1"/>
              <w:ind w:left="114"/>
              <w:rPr>
                <w:sz w:val="20"/>
              </w:rPr>
            </w:pPr>
            <w:r>
              <w:rPr>
                <w:sz w:val="20"/>
              </w:rPr>
              <w:t>Dentist licensing</w:t>
            </w:r>
          </w:p>
        </w:tc>
        <w:tc>
          <w:tcPr>
            <w:tcW w:w="1285" w:type="dxa"/>
          </w:tcPr>
          <w:p w14:paraId="3515B7A9" w14:textId="77777777" w:rsidR="0046798B" w:rsidRDefault="0046798B">
            <w:pPr>
              <w:pStyle w:val="TableParagraph"/>
            </w:pPr>
          </w:p>
          <w:p w14:paraId="1D33A53D" w14:textId="77777777" w:rsidR="0046798B" w:rsidRDefault="0046798B">
            <w:pPr>
              <w:pStyle w:val="TableParagraph"/>
              <w:spacing w:before="8"/>
              <w:rPr>
                <w:sz w:val="21"/>
              </w:rPr>
            </w:pPr>
          </w:p>
          <w:p w14:paraId="6156DCA4" w14:textId="77777777" w:rsidR="0046798B" w:rsidRDefault="00903B5C">
            <w:pPr>
              <w:pStyle w:val="TableParagraph"/>
              <w:spacing w:before="1"/>
              <w:ind w:left="114"/>
              <w:rPr>
                <w:sz w:val="20"/>
              </w:rPr>
            </w:pPr>
            <w:r>
              <w:rPr>
                <w:sz w:val="20"/>
              </w:rPr>
              <w:t>1936–1951</w:t>
            </w:r>
          </w:p>
        </w:tc>
        <w:tc>
          <w:tcPr>
            <w:tcW w:w="3421" w:type="dxa"/>
          </w:tcPr>
          <w:p w14:paraId="5C5B645B" w14:textId="77777777" w:rsidR="0046798B" w:rsidRDefault="0046798B">
            <w:pPr>
              <w:pStyle w:val="TableParagraph"/>
            </w:pPr>
          </w:p>
          <w:p w14:paraId="3925DCA9" w14:textId="77777777" w:rsidR="0046798B" w:rsidRDefault="00903B5C">
            <w:pPr>
              <w:pStyle w:val="TableParagraph"/>
              <w:spacing w:before="135"/>
              <w:ind w:left="114" w:right="143"/>
              <w:rPr>
                <w:sz w:val="20"/>
              </w:rPr>
            </w:pPr>
            <w:r>
              <w:rPr>
                <w:sz w:val="20"/>
              </w:rPr>
              <w:t>State license required for dentists? (0 = no, 1 = yes)</w:t>
            </w:r>
          </w:p>
        </w:tc>
        <w:tc>
          <w:tcPr>
            <w:tcW w:w="6482" w:type="dxa"/>
          </w:tcPr>
          <w:p w14:paraId="7C8F24EB"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6BE6728D" w14:textId="77777777">
        <w:trPr>
          <w:trHeight w:val="1235"/>
        </w:trPr>
        <w:tc>
          <w:tcPr>
            <w:tcW w:w="1711" w:type="dxa"/>
          </w:tcPr>
          <w:p w14:paraId="7A7D3013" w14:textId="77777777" w:rsidR="0046798B" w:rsidRDefault="0046798B">
            <w:pPr>
              <w:pStyle w:val="TableParagraph"/>
            </w:pPr>
          </w:p>
          <w:p w14:paraId="2FAA3925" w14:textId="77777777" w:rsidR="0046798B" w:rsidRDefault="00903B5C">
            <w:pPr>
              <w:pStyle w:val="TableParagraph"/>
              <w:spacing w:before="130"/>
              <w:ind w:left="115" w:right="88"/>
              <w:rPr>
                <w:b/>
                <w:sz w:val="20"/>
              </w:rPr>
            </w:pPr>
            <w:r>
              <w:rPr>
                <w:b/>
                <w:sz w:val="20"/>
              </w:rPr>
              <w:t>licenses_engineer s</w:t>
            </w:r>
          </w:p>
        </w:tc>
        <w:tc>
          <w:tcPr>
            <w:tcW w:w="1596" w:type="dxa"/>
          </w:tcPr>
          <w:p w14:paraId="305F1E2E" w14:textId="77777777" w:rsidR="0046798B" w:rsidRDefault="0046798B">
            <w:pPr>
              <w:pStyle w:val="TableParagraph"/>
            </w:pPr>
          </w:p>
          <w:p w14:paraId="4C15871A" w14:textId="77777777" w:rsidR="0046798B" w:rsidRDefault="00903B5C">
            <w:pPr>
              <w:pStyle w:val="TableParagraph"/>
              <w:spacing w:before="130"/>
              <w:ind w:left="114" w:right="729"/>
              <w:rPr>
                <w:sz w:val="20"/>
              </w:rPr>
            </w:pPr>
            <w:r>
              <w:rPr>
                <w:sz w:val="20"/>
              </w:rPr>
              <w:t>Engineer licensing</w:t>
            </w:r>
          </w:p>
        </w:tc>
        <w:tc>
          <w:tcPr>
            <w:tcW w:w="1285" w:type="dxa"/>
          </w:tcPr>
          <w:p w14:paraId="70ECD9B8" w14:textId="77777777" w:rsidR="0046798B" w:rsidRDefault="0046798B">
            <w:pPr>
              <w:pStyle w:val="TableParagraph"/>
            </w:pPr>
          </w:p>
          <w:p w14:paraId="4969498D" w14:textId="77777777" w:rsidR="0046798B" w:rsidRDefault="0046798B">
            <w:pPr>
              <w:pStyle w:val="TableParagraph"/>
              <w:spacing w:before="3"/>
              <w:rPr>
                <w:sz w:val="21"/>
              </w:rPr>
            </w:pPr>
          </w:p>
          <w:p w14:paraId="67377AAA" w14:textId="77777777" w:rsidR="0046798B" w:rsidRDefault="00903B5C">
            <w:pPr>
              <w:pStyle w:val="TableParagraph"/>
              <w:spacing w:before="1"/>
              <w:ind w:left="114"/>
              <w:rPr>
                <w:sz w:val="20"/>
              </w:rPr>
            </w:pPr>
            <w:r>
              <w:rPr>
                <w:sz w:val="20"/>
              </w:rPr>
              <w:t>1936–1951</w:t>
            </w:r>
          </w:p>
        </w:tc>
        <w:tc>
          <w:tcPr>
            <w:tcW w:w="3421" w:type="dxa"/>
          </w:tcPr>
          <w:p w14:paraId="5669C0CB" w14:textId="77777777" w:rsidR="0046798B" w:rsidRDefault="0046798B">
            <w:pPr>
              <w:pStyle w:val="TableParagraph"/>
            </w:pPr>
          </w:p>
          <w:p w14:paraId="3216214F" w14:textId="77777777" w:rsidR="0046798B" w:rsidRDefault="00903B5C">
            <w:pPr>
              <w:pStyle w:val="TableParagraph"/>
              <w:spacing w:before="130"/>
              <w:ind w:left="114"/>
              <w:rPr>
                <w:sz w:val="20"/>
              </w:rPr>
            </w:pPr>
            <w:r>
              <w:rPr>
                <w:sz w:val="20"/>
              </w:rPr>
              <w:t>State license required for engineers? (0</w:t>
            </w:r>
          </w:p>
          <w:p w14:paraId="1608AD51" w14:textId="77777777" w:rsidR="0046798B" w:rsidRDefault="00903B5C">
            <w:pPr>
              <w:pStyle w:val="TableParagraph"/>
              <w:ind w:left="114"/>
              <w:rPr>
                <w:sz w:val="20"/>
              </w:rPr>
            </w:pPr>
            <w:r>
              <w:rPr>
                <w:sz w:val="20"/>
              </w:rPr>
              <w:t>= no, 1 = yes)</w:t>
            </w:r>
          </w:p>
        </w:tc>
        <w:tc>
          <w:tcPr>
            <w:tcW w:w="6482" w:type="dxa"/>
          </w:tcPr>
          <w:p w14:paraId="65EDB931"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51DB5FCA" w14:textId="77777777">
        <w:trPr>
          <w:trHeight w:val="1235"/>
        </w:trPr>
        <w:tc>
          <w:tcPr>
            <w:tcW w:w="1711" w:type="dxa"/>
          </w:tcPr>
          <w:p w14:paraId="02C57EB1" w14:textId="77777777" w:rsidR="0046798B" w:rsidRDefault="0046798B">
            <w:pPr>
              <w:pStyle w:val="TableParagraph"/>
            </w:pPr>
          </w:p>
          <w:p w14:paraId="6D99FC54" w14:textId="77777777" w:rsidR="0046798B" w:rsidRDefault="0046798B">
            <w:pPr>
              <w:pStyle w:val="TableParagraph"/>
              <w:spacing w:before="3"/>
              <w:rPr>
                <w:sz w:val="21"/>
              </w:rPr>
            </w:pPr>
          </w:p>
          <w:p w14:paraId="47720CEB" w14:textId="77777777" w:rsidR="0046798B" w:rsidRDefault="00903B5C">
            <w:pPr>
              <w:pStyle w:val="TableParagraph"/>
              <w:spacing w:before="1"/>
              <w:ind w:left="115"/>
              <w:rPr>
                <w:b/>
                <w:sz w:val="20"/>
              </w:rPr>
            </w:pPr>
            <w:r>
              <w:rPr>
                <w:b/>
                <w:sz w:val="20"/>
              </w:rPr>
              <w:t>licenses_nurses</w:t>
            </w:r>
          </w:p>
        </w:tc>
        <w:tc>
          <w:tcPr>
            <w:tcW w:w="1596" w:type="dxa"/>
          </w:tcPr>
          <w:p w14:paraId="7D665B39" w14:textId="77777777" w:rsidR="0046798B" w:rsidRDefault="0046798B">
            <w:pPr>
              <w:pStyle w:val="TableParagraph"/>
            </w:pPr>
          </w:p>
          <w:p w14:paraId="5AC6A153" w14:textId="77777777" w:rsidR="0046798B" w:rsidRDefault="0046798B">
            <w:pPr>
              <w:pStyle w:val="TableParagraph"/>
              <w:spacing w:before="3"/>
              <w:rPr>
                <w:sz w:val="21"/>
              </w:rPr>
            </w:pPr>
          </w:p>
          <w:p w14:paraId="1127E4AB" w14:textId="77777777" w:rsidR="0046798B" w:rsidRDefault="00903B5C">
            <w:pPr>
              <w:pStyle w:val="TableParagraph"/>
              <w:spacing w:before="1"/>
              <w:ind w:left="114"/>
              <w:rPr>
                <w:sz w:val="20"/>
              </w:rPr>
            </w:pPr>
            <w:r>
              <w:rPr>
                <w:sz w:val="20"/>
              </w:rPr>
              <w:t>Nurse licensing</w:t>
            </w:r>
          </w:p>
        </w:tc>
        <w:tc>
          <w:tcPr>
            <w:tcW w:w="1285" w:type="dxa"/>
          </w:tcPr>
          <w:p w14:paraId="427C1CBB" w14:textId="77777777" w:rsidR="0046798B" w:rsidRDefault="0046798B">
            <w:pPr>
              <w:pStyle w:val="TableParagraph"/>
            </w:pPr>
          </w:p>
          <w:p w14:paraId="2E671D02" w14:textId="77777777" w:rsidR="0046798B" w:rsidRDefault="0046798B">
            <w:pPr>
              <w:pStyle w:val="TableParagraph"/>
              <w:spacing w:before="3"/>
              <w:rPr>
                <w:sz w:val="21"/>
              </w:rPr>
            </w:pPr>
          </w:p>
          <w:p w14:paraId="44D09EDB" w14:textId="77777777" w:rsidR="0046798B" w:rsidRDefault="00903B5C">
            <w:pPr>
              <w:pStyle w:val="TableParagraph"/>
              <w:spacing w:before="1"/>
              <w:ind w:left="114"/>
              <w:rPr>
                <w:sz w:val="20"/>
              </w:rPr>
            </w:pPr>
            <w:r>
              <w:rPr>
                <w:sz w:val="20"/>
              </w:rPr>
              <w:t>1936–1951</w:t>
            </w:r>
          </w:p>
        </w:tc>
        <w:tc>
          <w:tcPr>
            <w:tcW w:w="3421" w:type="dxa"/>
          </w:tcPr>
          <w:p w14:paraId="126B1C31" w14:textId="77777777" w:rsidR="0046798B" w:rsidRDefault="0046798B">
            <w:pPr>
              <w:pStyle w:val="TableParagraph"/>
            </w:pPr>
          </w:p>
          <w:p w14:paraId="3225351B" w14:textId="77777777" w:rsidR="0046798B" w:rsidRDefault="00903B5C">
            <w:pPr>
              <w:pStyle w:val="TableParagraph"/>
              <w:spacing w:before="130"/>
              <w:ind w:left="114" w:right="243"/>
              <w:rPr>
                <w:sz w:val="20"/>
              </w:rPr>
            </w:pPr>
            <w:r>
              <w:rPr>
                <w:sz w:val="20"/>
              </w:rPr>
              <w:t>State license required for nurses? (0 = no, 1 = yes)</w:t>
            </w:r>
          </w:p>
        </w:tc>
        <w:tc>
          <w:tcPr>
            <w:tcW w:w="6482" w:type="dxa"/>
          </w:tcPr>
          <w:p w14:paraId="58731437"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75D628CE" w14:textId="77777777">
        <w:trPr>
          <w:trHeight w:val="1235"/>
        </w:trPr>
        <w:tc>
          <w:tcPr>
            <w:tcW w:w="1711" w:type="dxa"/>
          </w:tcPr>
          <w:p w14:paraId="67F6B21B" w14:textId="77777777" w:rsidR="0046798B" w:rsidRDefault="0046798B">
            <w:pPr>
              <w:pStyle w:val="TableParagraph"/>
            </w:pPr>
          </w:p>
          <w:p w14:paraId="7E1B9AF5" w14:textId="77777777" w:rsidR="0046798B" w:rsidRDefault="00903B5C">
            <w:pPr>
              <w:pStyle w:val="TableParagraph"/>
              <w:spacing w:before="139" w:line="235" w:lineRule="auto"/>
              <w:ind w:left="115" w:right="143"/>
              <w:rPr>
                <w:b/>
                <w:sz w:val="20"/>
              </w:rPr>
            </w:pPr>
            <w:r>
              <w:rPr>
                <w:b/>
                <w:sz w:val="20"/>
              </w:rPr>
              <w:t>licenses_pharma cists</w:t>
            </w:r>
          </w:p>
        </w:tc>
        <w:tc>
          <w:tcPr>
            <w:tcW w:w="1596" w:type="dxa"/>
          </w:tcPr>
          <w:p w14:paraId="0414B174" w14:textId="77777777" w:rsidR="0046798B" w:rsidRDefault="0046798B">
            <w:pPr>
              <w:pStyle w:val="TableParagraph"/>
            </w:pPr>
          </w:p>
          <w:p w14:paraId="28E859C7" w14:textId="77777777" w:rsidR="0046798B" w:rsidRDefault="00903B5C">
            <w:pPr>
              <w:pStyle w:val="TableParagraph"/>
              <w:spacing w:before="139" w:line="235" w:lineRule="auto"/>
              <w:ind w:left="114" w:right="563"/>
              <w:rPr>
                <w:sz w:val="20"/>
              </w:rPr>
            </w:pPr>
            <w:r>
              <w:rPr>
                <w:sz w:val="20"/>
              </w:rPr>
              <w:t>Pharmacist licensing</w:t>
            </w:r>
          </w:p>
        </w:tc>
        <w:tc>
          <w:tcPr>
            <w:tcW w:w="1285" w:type="dxa"/>
          </w:tcPr>
          <w:p w14:paraId="74C8E854" w14:textId="77777777" w:rsidR="0046798B" w:rsidRDefault="0046798B">
            <w:pPr>
              <w:pStyle w:val="TableParagraph"/>
            </w:pPr>
          </w:p>
          <w:p w14:paraId="5A85D1D4" w14:textId="77777777" w:rsidR="0046798B" w:rsidRDefault="0046798B">
            <w:pPr>
              <w:pStyle w:val="TableParagraph"/>
              <w:spacing w:before="3"/>
              <w:rPr>
                <w:sz w:val="21"/>
              </w:rPr>
            </w:pPr>
          </w:p>
          <w:p w14:paraId="5ACFA0D5" w14:textId="77777777" w:rsidR="0046798B" w:rsidRDefault="00903B5C">
            <w:pPr>
              <w:pStyle w:val="TableParagraph"/>
              <w:spacing w:before="1"/>
              <w:ind w:left="114"/>
              <w:rPr>
                <w:sz w:val="20"/>
              </w:rPr>
            </w:pPr>
            <w:r>
              <w:rPr>
                <w:sz w:val="20"/>
              </w:rPr>
              <w:t>1936–1951</w:t>
            </w:r>
          </w:p>
        </w:tc>
        <w:tc>
          <w:tcPr>
            <w:tcW w:w="3421" w:type="dxa"/>
          </w:tcPr>
          <w:p w14:paraId="6A59FE04" w14:textId="77777777" w:rsidR="0046798B" w:rsidRDefault="0046798B">
            <w:pPr>
              <w:pStyle w:val="TableParagraph"/>
            </w:pPr>
          </w:p>
          <w:p w14:paraId="1972DC36" w14:textId="77777777" w:rsidR="0046798B" w:rsidRDefault="00903B5C">
            <w:pPr>
              <w:pStyle w:val="TableParagraph"/>
              <w:spacing w:before="139" w:line="235" w:lineRule="auto"/>
              <w:ind w:left="114" w:right="178"/>
              <w:rPr>
                <w:sz w:val="20"/>
              </w:rPr>
            </w:pPr>
            <w:r>
              <w:rPr>
                <w:sz w:val="20"/>
              </w:rPr>
              <w:t>State license required for pharmacists? (0 = no, 1 = yes)</w:t>
            </w:r>
          </w:p>
        </w:tc>
        <w:tc>
          <w:tcPr>
            <w:tcW w:w="6482" w:type="dxa"/>
          </w:tcPr>
          <w:p w14:paraId="6676C7A6"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3CF9CEDC" w14:textId="77777777">
        <w:trPr>
          <w:trHeight w:val="1235"/>
        </w:trPr>
        <w:tc>
          <w:tcPr>
            <w:tcW w:w="1711" w:type="dxa"/>
          </w:tcPr>
          <w:p w14:paraId="33E8708E" w14:textId="77777777" w:rsidR="0046798B" w:rsidRDefault="0046798B">
            <w:pPr>
              <w:pStyle w:val="TableParagraph"/>
            </w:pPr>
          </w:p>
          <w:p w14:paraId="7732CC07" w14:textId="77777777" w:rsidR="0046798B" w:rsidRDefault="00903B5C">
            <w:pPr>
              <w:pStyle w:val="TableParagraph"/>
              <w:spacing w:before="135"/>
              <w:ind w:left="115" w:right="155"/>
              <w:rPr>
                <w:b/>
                <w:sz w:val="20"/>
              </w:rPr>
            </w:pPr>
            <w:r>
              <w:rPr>
                <w:b/>
                <w:sz w:val="20"/>
              </w:rPr>
              <w:t>licenses_real_est ate</w:t>
            </w:r>
          </w:p>
        </w:tc>
        <w:tc>
          <w:tcPr>
            <w:tcW w:w="1596" w:type="dxa"/>
          </w:tcPr>
          <w:p w14:paraId="72CA1D94" w14:textId="77777777" w:rsidR="0046798B" w:rsidRDefault="0046798B">
            <w:pPr>
              <w:pStyle w:val="TableParagraph"/>
            </w:pPr>
          </w:p>
          <w:p w14:paraId="4EDDAC7A" w14:textId="77777777" w:rsidR="0046798B" w:rsidRDefault="00903B5C">
            <w:pPr>
              <w:pStyle w:val="TableParagraph"/>
              <w:spacing w:before="135"/>
              <w:ind w:left="114" w:right="580"/>
              <w:rPr>
                <w:sz w:val="20"/>
              </w:rPr>
            </w:pPr>
            <w:r>
              <w:rPr>
                <w:sz w:val="20"/>
              </w:rPr>
              <w:t>Real estate licensing</w:t>
            </w:r>
          </w:p>
        </w:tc>
        <w:tc>
          <w:tcPr>
            <w:tcW w:w="1285" w:type="dxa"/>
          </w:tcPr>
          <w:p w14:paraId="292EABF3" w14:textId="77777777" w:rsidR="0046798B" w:rsidRDefault="0046798B">
            <w:pPr>
              <w:pStyle w:val="TableParagraph"/>
            </w:pPr>
          </w:p>
          <w:p w14:paraId="7E8744C4" w14:textId="77777777" w:rsidR="0046798B" w:rsidRDefault="0046798B">
            <w:pPr>
              <w:pStyle w:val="TableParagraph"/>
              <w:spacing w:before="8"/>
              <w:rPr>
                <w:sz w:val="21"/>
              </w:rPr>
            </w:pPr>
          </w:p>
          <w:p w14:paraId="26661BF3" w14:textId="77777777" w:rsidR="0046798B" w:rsidRDefault="00903B5C">
            <w:pPr>
              <w:pStyle w:val="TableParagraph"/>
              <w:spacing w:before="1"/>
              <w:ind w:left="114"/>
              <w:rPr>
                <w:sz w:val="20"/>
              </w:rPr>
            </w:pPr>
            <w:r>
              <w:rPr>
                <w:sz w:val="20"/>
              </w:rPr>
              <w:t>1936–1951</w:t>
            </w:r>
          </w:p>
        </w:tc>
        <w:tc>
          <w:tcPr>
            <w:tcW w:w="3421" w:type="dxa"/>
          </w:tcPr>
          <w:p w14:paraId="364AFFC9" w14:textId="77777777" w:rsidR="0046798B" w:rsidRDefault="0046798B">
            <w:pPr>
              <w:pStyle w:val="TableParagraph"/>
            </w:pPr>
          </w:p>
          <w:p w14:paraId="764398EF" w14:textId="77777777" w:rsidR="0046798B" w:rsidRDefault="0046798B">
            <w:pPr>
              <w:pStyle w:val="TableParagraph"/>
              <w:spacing w:before="8"/>
              <w:rPr>
                <w:sz w:val="21"/>
              </w:rPr>
            </w:pPr>
          </w:p>
          <w:p w14:paraId="1A4EFDA4" w14:textId="77777777" w:rsidR="0046798B" w:rsidRDefault="00903B5C">
            <w:pPr>
              <w:pStyle w:val="TableParagraph"/>
              <w:spacing w:before="1"/>
              <w:ind w:left="114"/>
              <w:rPr>
                <w:sz w:val="20"/>
              </w:rPr>
            </w:pPr>
            <w:r>
              <w:rPr>
                <w:sz w:val="20"/>
              </w:rPr>
              <w:t>Real estate licensing (0 = no, 1 = yes)</w:t>
            </w:r>
          </w:p>
        </w:tc>
        <w:tc>
          <w:tcPr>
            <w:tcW w:w="6482" w:type="dxa"/>
          </w:tcPr>
          <w:p w14:paraId="636536F2"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bl>
    <w:p w14:paraId="5681ABCE" w14:textId="77777777" w:rsidR="0046798B" w:rsidRDefault="0046798B">
      <w:pPr>
        <w:pStyle w:val="BodyText"/>
        <w:spacing w:before="2"/>
        <w:rPr>
          <w:sz w:val="16"/>
        </w:rPr>
      </w:pPr>
    </w:p>
    <w:p w14:paraId="47A8EE87" w14:textId="77777777" w:rsidR="0046798B" w:rsidRDefault="00903B5C">
      <w:pPr>
        <w:pStyle w:val="ListParagraph"/>
        <w:numPr>
          <w:ilvl w:val="0"/>
          <w:numId w:val="1"/>
        </w:numPr>
        <w:tabs>
          <w:tab w:val="left" w:pos="901"/>
        </w:tabs>
        <w:spacing w:before="90"/>
        <w:ind w:left="900" w:hanging="280"/>
        <w:rPr>
          <w:b/>
          <w:sz w:val="24"/>
        </w:rPr>
      </w:pPr>
      <w:r>
        <w:rPr>
          <w:b/>
          <w:sz w:val="24"/>
          <w:u w:val="single"/>
        </w:rPr>
        <w:t>Miscellaneous Regulatory Policy</w:t>
      </w:r>
    </w:p>
    <w:p w14:paraId="36D39213" w14:textId="77777777" w:rsidR="0046798B" w:rsidRDefault="0046798B">
      <w:pPr>
        <w:sectPr w:rsidR="0046798B">
          <w:pgSz w:w="15840" w:h="12240" w:orient="landscape"/>
          <w:pgMar w:top="1220" w:right="300" w:bottom="980" w:left="820" w:header="730" w:footer="787" w:gutter="0"/>
          <w:cols w:space="720"/>
        </w:sectPr>
      </w:pPr>
    </w:p>
    <w:p w14:paraId="6D97C55B"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7045CD84" w14:textId="77777777">
        <w:trPr>
          <w:trHeight w:val="590"/>
        </w:trPr>
        <w:tc>
          <w:tcPr>
            <w:tcW w:w="1711" w:type="dxa"/>
          </w:tcPr>
          <w:p w14:paraId="727B27D2" w14:textId="77777777" w:rsidR="0046798B" w:rsidRDefault="00903B5C">
            <w:pPr>
              <w:pStyle w:val="TableParagraph"/>
              <w:spacing w:before="165"/>
              <w:ind w:left="140"/>
              <w:rPr>
                <w:b/>
              </w:rPr>
            </w:pPr>
            <w:r>
              <w:rPr>
                <w:b/>
              </w:rPr>
              <w:t>Variable Name</w:t>
            </w:r>
          </w:p>
        </w:tc>
        <w:tc>
          <w:tcPr>
            <w:tcW w:w="1596" w:type="dxa"/>
          </w:tcPr>
          <w:p w14:paraId="79B3958D" w14:textId="77777777" w:rsidR="0046798B" w:rsidRDefault="00903B5C">
            <w:pPr>
              <w:pStyle w:val="TableParagraph"/>
              <w:spacing w:before="39" w:line="242" w:lineRule="auto"/>
              <w:ind w:left="249" w:right="229" w:firstLine="280"/>
              <w:rPr>
                <w:b/>
              </w:rPr>
            </w:pPr>
            <w:r>
              <w:rPr>
                <w:b/>
              </w:rPr>
              <w:t>Short Description</w:t>
            </w:r>
          </w:p>
        </w:tc>
        <w:tc>
          <w:tcPr>
            <w:tcW w:w="1285" w:type="dxa"/>
          </w:tcPr>
          <w:p w14:paraId="797D4292" w14:textId="77777777" w:rsidR="0046798B" w:rsidRDefault="00903B5C">
            <w:pPr>
              <w:pStyle w:val="TableParagraph"/>
              <w:spacing w:before="165"/>
              <w:ind w:left="364"/>
              <w:rPr>
                <w:b/>
              </w:rPr>
            </w:pPr>
            <w:r>
              <w:rPr>
                <w:b/>
              </w:rPr>
              <w:t>Years</w:t>
            </w:r>
          </w:p>
        </w:tc>
        <w:tc>
          <w:tcPr>
            <w:tcW w:w="3421" w:type="dxa"/>
          </w:tcPr>
          <w:p w14:paraId="556FE116" w14:textId="77777777" w:rsidR="0046798B" w:rsidRDefault="00903B5C">
            <w:pPr>
              <w:pStyle w:val="TableParagraph"/>
              <w:spacing w:before="39"/>
              <w:ind w:left="159" w:right="146"/>
              <w:jc w:val="center"/>
              <w:rPr>
                <w:b/>
              </w:rPr>
            </w:pPr>
            <w:r>
              <w:rPr>
                <w:b/>
              </w:rPr>
              <w:t>Coding /</w:t>
            </w:r>
          </w:p>
          <w:p w14:paraId="401AE12F" w14:textId="77777777" w:rsidR="0046798B" w:rsidRDefault="00903B5C">
            <w:pPr>
              <w:pStyle w:val="TableParagraph"/>
              <w:spacing w:before="3"/>
              <w:ind w:left="159" w:right="150"/>
              <w:jc w:val="center"/>
              <w:rPr>
                <w:b/>
              </w:rPr>
            </w:pPr>
            <w:r>
              <w:rPr>
                <w:b/>
              </w:rPr>
              <w:t>Longer Description (if available)</w:t>
            </w:r>
          </w:p>
        </w:tc>
        <w:tc>
          <w:tcPr>
            <w:tcW w:w="6482" w:type="dxa"/>
          </w:tcPr>
          <w:p w14:paraId="623D99E5" w14:textId="77777777" w:rsidR="0046798B" w:rsidRDefault="00903B5C">
            <w:pPr>
              <w:pStyle w:val="TableParagraph"/>
              <w:spacing w:before="165"/>
              <w:ind w:left="2852" w:right="2845"/>
              <w:jc w:val="center"/>
              <w:rPr>
                <w:b/>
              </w:rPr>
            </w:pPr>
            <w:r>
              <w:rPr>
                <w:b/>
              </w:rPr>
              <w:t>Sources</w:t>
            </w:r>
          </w:p>
        </w:tc>
      </w:tr>
      <w:tr w:rsidR="0046798B" w14:paraId="6739C738" w14:textId="77777777">
        <w:trPr>
          <w:trHeight w:val="550"/>
        </w:trPr>
        <w:tc>
          <w:tcPr>
            <w:tcW w:w="1711" w:type="dxa"/>
          </w:tcPr>
          <w:p w14:paraId="40EA2D4D" w14:textId="77777777" w:rsidR="0046798B" w:rsidRDefault="00903B5C">
            <w:pPr>
              <w:pStyle w:val="TableParagraph"/>
              <w:spacing w:before="158"/>
              <w:ind w:left="115"/>
              <w:rPr>
                <w:b/>
                <w:sz w:val="20"/>
              </w:rPr>
            </w:pPr>
            <w:r>
              <w:rPr>
                <w:b/>
                <w:sz w:val="20"/>
              </w:rPr>
              <w:t>adcom</w:t>
            </w:r>
          </w:p>
        </w:tc>
        <w:tc>
          <w:tcPr>
            <w:tcW w:w="1596" w:type="dxa"/>
          </w:tcPr>
          <w:p w14:paraId="72D8AF9F" w14:textId="77777777" w:rsidR="0046798B" w:rsidRDefault="00903B5C">
            <w:pPr>
              <w:pStyle w:val="TableParagraph"/>
              <w:spacing w:before="43"/>
              <w:ind w:left="114" w:right="407"/>
              <w:rPr>
                <w:sz w:val="20"/>
              </w:rPr>
            </w:pPr>
            <w:r>
              <w:rPr>
                <w:sz w:val="20"/>
              </w:rPr>
              <w:t>Advertising commissions</w:t>
            </w:r>
          </w:p>
        </w:tc>
        <w:tc>
          <w:tcPr>
            <w:tcW w:w="1285" w:type="dxa"/>
          </w:tcPr>
          <w:p w14:paraId="7DD65FFE" w14:textId="77777777" w:rsidR="0046798B" w:rsidRDefault="00903B5C">
            <w:pPr>
              <w:pStyle w:val="TableParagraph"/>
              <w:spacing w:before="158"/>
              <w:ind w:left="114"/>
              <w:rPr>
                <w:sz w:val="20"/>
              </w:rPr>
            </w:pPr>
            <w:r>
              <w:rPr>
                <w:sz w:val="20"/>
              </w:rPr>
              <w:t>1925–1939</w:t>
            </w:r>
          </w:p>
        </w:tc>
        <w:tc>
          <w:tcPr>
            <w:tcW w:w="3421" w:type="dxa"/>
          </w:tcPr>
          <w:p w14:paraId="242D8F95" w14:textId="77777777" w:rsidR="0046798B" w:rsidRDefault="00903B5C">
            <w:pPr>
              <w:pStyle w:val="TableParagraph"/>
              <w:spacing w:before="43"/>
              <w:ind w:left="114" w:right="768"/>
              <w:rPr>
                <w:sz w:val="20"/>
              </w:rPr>
            </w:pPr>
            <w:r>
              <w:rPr>
                <w:sz w:val="20"/>
              </w:rPr>
              <w:t>Did state adopt advertising commissions? (0 = no, 1 = yes)</w:t>
            </w:r>
          </w:p>
        </w:tc>
        <w:tc>
          <w:tcPr>
            <w:tcW w:w="6482" w:type="dxa"/>
          </w:tcPr>
          <w:p w14:paraId="02EA07CC" w14:textId="77777777" w:rsidR="0046798B" w:rsidRDefault="00903B5C">
            <w:pPr>
              <w:pStyle w:val="TableParagraph"/>
              <w:spacing w:before="4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37A385A0" w14:textId="77777777">
        <w:trPr>
          <w:trHeight w:val="1005"/>
        </w:trPr>
        <w:tc>
          <w:tcPr>
            <w:tcW w:w="1711" w:type="dxa"/>
          </w:tcPr>
          <w:p w14:paraId="2E9C8C55" w14:textId="77777777" w:rsidR="0046798B" w:rsidRDefault="0046798B">
            <w:pPr>
              <w:pStyle w:val="TableParagraph"/>
            </w:pPr>
          </w:p>
          <w:p w14:paraId="46C07351" w14:textId="77777777" w:rsidR="0046798B" w:rsidRDefault="00903B5C">
            <w:pPr>
              <w:pStyle w:val="TableParagraph"/>
              <w:spacing w:before="131"/>
              <w:ind w:left="115"/>
              <w:rPr>
                <w:b/>
                <w:sz w:val="20"/>
              </w:rPr>
            </w:pPr>
            <w:r>
              <w:rPr>
                <w:b/>
                <w:sz w:val="20"/>
              </w:rPr>
              <w:t>ccreceipt</w:t>
            </w:r>
          </w:p>
        </w:tc>
        <w:tc>
          <w:tcPr>
            <w:tcW w:w="1596" w:type="dxa"/>
          </w:tcPr>
          <w:p w14:paraId="6014CD7B" w14:textId="77777777" w:rsidR="0046798B" w:rsidRDefault="00903B5C">
            <w:pPr>
              <w:pStyle w:val="TableParagraph"/>
              <w:spacing w:before="38"/>
              <w:ind w:left="114" w:right="113"/>
              <w:rPr>
                <w:sz w:val="20"/>
              </w:rPr>
            </w:pPr>
            <w:r>
              <w:rPr>
                <w:sz w:val="20"/>
              </w:rPr>
              <w:t>Restrictions on displaying credit card numbers on sales receipts</w:t>
            </w:r>
          </w:p>
        </w:tc>
        <w:tc>
          <w:tcPr>
            <w:tcW w:w="1285" w:type="dxa"/>
          </w:tcPr>
          <w:p w14:paraId="191BC678" w14:textId="77777777" w:rsidR="0046798B" w:rsidRDefault="0046798B">
            <w:pPr>
              <w:pStyle w:val="TableParagraph"/>
            </w:pPr>
          </w:p>
          <w:p w14:paraId="5999BAD1" w14:textId="77777777" w:rsidR="0046798B" w:rsidRDefault="00903B5C">
            <w:pPr>
              <w:pStyle w:val="TableParagraph"/>
              <w:spacing w:before="131"/>
              <w:ind w:left="114"/>
              <w:rPr>
                <w:sz w:val="20"/>
              </w:rPr>
            </w:pPr>
            <w:r>
              <w:rPr>
                <w:sz w:val="20"/>
              </w:rPr>
              <w:t>1999–2008</w:t>
            </w:r>
          </w:p>
        </w:tc>
        <w:tc>
          <w:tcPr>
            <w:tcW w:w="3421" w:type="dxa"/>
          </w:tcPr>
          <w:p w14:paraId="79A0B9DE" w14:textId="77777777" w:rsidR="0046798B" w:rsidRDefault="00903B5C">
            <w:pPr>
              <w:pStyle w:val="TableParagraph"/>
              <w:spacing w:before="153"/>
              <w:ind w:left="114" w:right="116"/>
              <w:rPr>
                <w:sz w:val="20"/>
              </w:rPr>
            </w:pPr>
            <w:r>
              <w:rPr>
                <w:sz w:val="20"/>
              </w:rPr>
              <w:t>Did state adopt restrictions on displaying credit card numbers on sales receipts? (0 = no, 1 = yes)</w:t>
            </w:r>
          </w:p>
        </w:tc>
        <w:tc>
          <w:tcPr>
            <w:tcW w:w="6482" w:type="dxa"/>
          </w:tcPr>
          <w:p w14:paraId="2607609A" w14:textId="77777777" w:rsidR="0046798B" w:rsidRDefault="0046798B">
            <w:pPr>
              <w:pStyle w:val="TableParagraph"/>
              <w:spacing w:before="4"/>
              <w:rPr>
                <w:sz w:val="23"/>
              </w:rPr>
            </w:pPr>
          </w:p>
          <w:p w14:paraId="0411BD9B" w14:textId="77777777" w:rsidR="0046798B" w:rsidRDefault="00903B5C">
            <w:pPr>
              <w:pStyle w:val="TableParagraph"/>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7186419C" w14:textId="77777777">
        <w:trPr>
          <w:trHeight w:val="775"/>
        </w:trPr>
        <w:tc>
          <w:tcPr>
            <w:tcW w:w="1711" w:type="dxa"/>
          </w:tcPr>
          <w:p w14:paraId="174A2C4F" w14:textId="77777777" w:rsidR="0046798B" w:rsidRDefault="0046798B">
            <w:pPr>
              <w:pStyle w:val="TableParagraph"/>
              <w:spacing w:before="3"/>
              <w:rPr>
                <w:sz w:val="23"/>
              </w:rPr>
            </w:pPr>
          </w:p>
          <w:p w14:paraId="13929CBB" w14:textId="77777777" w:rsidR="0046798B" w:rsidRDefault="00903B5C">
            <w:pPr>
              <w:pStyle w:val="TableParagraph"/>
              <w:spacing w:before="1"/>
              <w:ind w:left="115"/>
              <w:rPr>
                <w:b/>
                <w:sz w:val="20"/>
              </w:rPr>
            </w:pPr>
            <w:r>
              <w:rPr>
                <w:b/>
                <w:sz w:val="20"/>
              </w:rPr>
              <w:t>citzon</w:t>
            </w:r>
          </w:p>
        </w:tc>
        <w:tc>
          <w:tcPr>
            <w:tcW w:w="1596" w:type="dxa"/>
          </w:tcPr>
          <w:p w14:paraId="7A937717" w14:textId="77777777" w:rsidR="0046798B" w:rsidRDefault="00903B5C">
            <w:pPr>
              <w:pStyle w:val="TableParagraph"/>
              <w:spacing w:before="38"/>
              <w:ind w:left="114" w:right="196"/>
              <w:rPr>
                <w:sz w:val="20"/>
              </w:rPr>
            </w:pPr>
            <w:r>
              <w:rPr>
                <w:sz w:val="20"/>
              </w:rPr>
              <w:t>Zoning in cities (enabling legislation)</w:t>
            </w:r>
          </w:p>
        </w:tc>
        <w:tc>
          <w:tcPr>
            <w:tcW w:w="1285" w:type="dxa"/>
          </w:tcPr>
          <w:p w14:paraId="064CA04D" w14:textId="77777777" w:rsidR="0046798B" w:rsidRDefault="0046798B">
            <w:pPr>
              <w:pStyle w:val="TableParagraph"/>
              <w:spacing w:before="3"/>
              <w:rPr>
                <w:sz w:val="23"/>
              </w:rPr>
            </w:pPr>
          </w:p>
          <w:p w14:paraId="44AE4FA9" w14:textId="77777777" w:rsidR="0046798B" w:rsidRDefault="00903B5C">
            <w:pPr>
              <w:pStyle w:val="TableParagraph"/>
              <w:spacing w:before="1"/>
              <w:ind w:left="114"/>
              <w:rPr>
                <w:sz w:val="20"/>
              </w:rPr>
            </w:pPr>
            <w:r>
              <w:rPr>
                <w:sz w:val="20"/>
              </w:rPr>
              <w:t>1913–1957</w:t>
            </w:r>
          </w:p>
        </w:tc>
        <w:tc>
          <w:tcPr>
            <w:tcW w:w="3421" w:type="dxa"/>
          </w:tcPr>
          <w:p w14:paraId="6E32EE3E" w14:textId="77777777" w:rsidR="0046798B" w:rsidRDefault="00903B5C">
            <w:pPr>
              <w:pStyle w:val="TableParagraph"/>
              <w:spacing w:before="153"/>
              <w:ind w:left="114" w:right="444"/>
              <w:rPr>
                <w:sz w:val="20"/>
              </w:rPr>
            </w:pPr>
            <w:r>
              <w:rPr>
                <w:sz w:val="20"/>
              </w:rPr>
              <w:t>Did state adopt legislation enabling zoning in cities? (0 = no, 1 = yes)</w:t>
            </w:r>
          </w:p>
        </w:tc>
        <w:tc>
          <w:tcPr>
            <w:tcW w:w="6482" w:type="dxa"/>
          </w:tcPr>
          <w:p w14:paraId="32EAB749" w14:textId="77777777" w:rsidR="0046798B" w:rsidRDefault="00903B5C">
            <w:pPr>
              <w:pStyle w:val="TableParagraph"/>
              <w:spacing w:before="15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10C906E2" w14:textId="77777777">
        <w:trPr>
          <w:trHeight w:val="1925"/>
        </w:trPr>
        <w:tc>
          <w:tcPr>
            <w:tcW w:w="1711" w:type="dxa"/>
          </w:tcPr>
          <w:p w14:paraId="468FF28F" w14:textId="77777777" w:rsidR="0046798B" w:rsidRDefault="0046798B">
            <w:pPr>
              <w:pStyle w:val="TableParagraph"/>
            </w:pPr>
          </w:p>
          <w:p w14:paraId="1B593F94" w14:textId="77777777" w:rsidR="0046798B" w:rsidRDefault="0046798B">
            <w:pPr>
              <w:pStyle w:val="TableParagraph"/>
            </w:pPr>
          </w:p>
          <w:p w14:paraId="49E8CC42" w14:textId="77777777" w:rsidR="0046798B" w:rsidRDefault="0046798B">
            <w:pPr>
              <w:pStyle w:val="TableParagraph"/>
              <w:spacing w:before="8"/>
              <w:rPr>
                <w:sz w:val="29"/>
              </w:rPr>
            </w:pPr>
          </w:p>
          <w:p w14:paraId="02F0E25D" w14:textId="77777777" w:rsidR="0046798B" w:rsidRDefault="00903B5C">
            <w:pPr>
              <w:pStyle w:val="TableParagraph"/>
              <w:spacing w:before="1"/>
              <w:ind w:left="115"/>
              <w:rPr>
                <w:b/>
                <w:sz w:val="20"/>
              </w:rPr>
            </w:pPr>
            <w:r>
              <w:rPr>
                <w:b/>
                <w:sz w:val="20"/>
              </w:rPr>
              <w:t>cogrowman</w:t>
            </w:r>
          </w:p>
        </w:tc>
        <w:tc>
          <w:tcPr>
            <w:tcW w:w="1596" w:type="dxa"/>
          </w:tcPr>
          <w:p w14:paraId="6E28A9DA" w14:textId="77777777" w:rsidR="0046798B" w:rsidRDefault="00903B5C">
            <w:pPr>
              <w:pStyle w:val="TableParagraph"/>
              <w:spacing w:before="43"/>
              <w:ind w:left="114" w:right="113"/>
              <w:rPr>
                <w:sz w:val="20"/>
              </w:rPr>
            </w:pPr>
            <w:r>
              <w:rPr>
                <w:sz w:val="20"/>
              </w:rPr>
              <w:t>Planning laws requiring loc/reg planners to coordinate growth management plan developments</w:t>
            </w:r>
          </w:p>
        </w:tc>
        <w:tc>
          <w:tcPr>
            <w:tcW w:w="1285" w:type="dxa"/>
          </w:tcPr>
          <w:p w14:paraId="29090683" w14:textId="77777777" w:rsidR="0046798B" w:rsidRDefault="0046798B">
            <w:pPr>
              <w:pStyle w:val="TableParagraph"/>
            </w:pPr>
          </w:p>
          <w:p w14:paraId="5A4B92CD" w14:textId="77777777" w:rsidR="0046798B" w:rsidRDefault="0046798B">
            <w:pPr>
              <w:pStyle w:val="TableParagraph"/>
            </w:pPr>
          </w:p>
          <w:p w14:paraId="204B99B1" w14:textId="77777777" w:rsidR="0046798B" w:rsidRDefault="0046798B">
            <w:pPr>
              <w:pStyle w:val="TableParagraph"/>
              <w:spacing w:before="8"/>
              <w:rPr>
                <w:sz w:val="29"/>
              </w:rPr>
            </w:pPr>
          </w:p>
          <w:p w14:paraId="0F53DF44" w14:textId="77777777" w:rsidR="0046798B" w:rsidRDefault="00903B5C">
            <w:pPr>
              <w:pStyle w:val="TableParagraph"/>
              <w:spacing w:before="1"/>
              <w:ind w:left="114"/>
              <w:rPr>
                <w:sz w:val="20"/>
              </w:rPr>
            </w:pPr>
            <w:r>
              <w:rPr>
                <w:sz w:val="20"/>
              </w:rPr>
              <w:t>1961–1998</w:t>
            </w:r>
          </w:p>
        </w:tc>
        <w:tc>
          <w:tcPr>
            <w:tcW w:w="3421" w:type="dxa"/>
          </w:tcPr>
          <w:p w14:paraId="1FA8DD84" w14:textId="77777777" w:rsidR="0046798B" w:rsidRDefault="0046798B">
            <w:pPr>
              <w:pStyle w:val="TableParagraph"/>
            </w:pPr>
          </w:p>
          <w:p w14:paraId="2C46D211" w14:textId="77777777" w:rsidR="0046798B" w:rsidRDefault="0046798B">
            <w:pPr>
              <w:pStyle w:val="TableParagraph"/>
              <w:spacing w:before="8"/>
              <w:rPr>
                <w:sz w:val="21"/>
              </w:rPr>
            </w:pPr>
          </w:p>
          <w:p w14:paraId="33F5AA19" w14:textId="77777777" w:rsidR="0046798B" w:rsidRDefault="00903B5C">
            <w:pPr>
              <w:pStyle w:val="TableParagraph"/>
              <w:spacing w:before="1"/>
              <w:ind w:left="114" w:right="116"/>
              <w:rPr>
                <w:sz w:val="20"/>
              </w:rPr>
            </w:pPr>
            <w:r>
              <w:rPr>
                <w:sz w:val="20"/>
              </w:rPr>
              <w:t>Did state adopt planning laws requiring local/regional planners to coordinate growth management plan developments? (0 = no, 1 = yes)</w:t>
            </w:r>
          </w:p>
        </w:tc>
        <w:tc>
          <w:tcPr>
            <w:tcW w:w="6482" w:type="dxa"/>
          </w:tcPr>
          <w:p w14:paraId="728B4557" w14:textId="77777777" w:rsidR="0046798B" w:rsidRDefault="0046798B">
            <w:pPr>
              <w:pStyle w:val="TableParagraph"/>
            </w:pPr>
          </w:p>
          <w:p w14:paraId="63F006A6" w14:textId="77777777" w:rsidR="0046798B" w:rsidRDefault="0046798B">
            <w:pPr>
              <w:pStyle w:val="TableParagraph"/>
            </w:pPr>
          </w:p>
          <w:p w14:paraId="0A3C0BD0" w14:textId="77777777" w:rsidR="0046798B" w:rsidRDefault="0046798B">
            <w:pPr>
              <w:pStyle w:val="TableParagraph"/>
              <w:spacing w:before="8"/>
              <w:rPr>
                <w:sz w:val="19"/>
              </w:rPr>
            </w:pPr>
          </w:p>
          <w:p w14:paraId="3C9DE78E" w14:textId="77777777" w:rsidR="0046798B" w:rsidRDefault="00903B5C">
            <w:pPr>
              <w:pStyle w:val="TableParagraph"/>
              <w:spacing w:before="1"/>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57F8D321" w14:textId="77777777">
        <w:trPr>
          <w:trHeight w:val="1465"/>
        </w:trPr>
        <w:tc>
          <w:tcPr>
            <w:tcW w:w="1711" w:type="dxa"/>
          </w:tcPr>
          <w:p w14:paraId="0B19CCD8" w14:textId="77777777" w:rsidR="0046798B" w:rsidRDefault="0046798B">
            <w:pPr>
              <w:pStyle w:val="TableParagraph"/>
            </w:pPr>
          </w:p>
          <w:p w14:paraId="77D42B8B" w14:textId="77777777" w:rsidR="0046798B" w:rsidRDefault="0046798B">
            <w:pPr>
              <w:pStyle w:val="TableParagraph"/>
              <w:spacing w:before="9"/>
              <w:rPr>
                <w:sz w:val="31"/>
              </w:rPr>
            </w:pPr>
          </w:p>
          <w:p w14:paraId="219772BA" w14:textId="77777777" w:rsidR="0046798B" w:rsidRDefault="00903B5C">
            <w:pPr>
              <w:pStyle w:val="TableParagraph"/>
              <w:ind w:left="115"/>
              <w:rPr>
                <w:b/>
                <w:sz w:val="20"/>
              </w:rPr>
            </w:pPr>
            <w:r>
              <w:rPr>
                <w:b/>
                <w:sz w:val="20"/>
              </w:rPr>
              <w:t>credfreez</w:t>
            </w:r>
          </w:p>
        </w:tc>
        <w:tc>
          <w:tcPr>
            <w:tcW w:w="1596" w:type="dxa"/>
          </w:tcPr>
          <w:p w14:paraId="4A190D88" w14:textId="77777777" w:rsidR="0046798B" w:rsidRDefault="00903B5C">
            <w:pPr>
              <w:pStyle w:val="TableParagraph"/>
              <w:spacing w:before="43"/>
              <w:ind w:left="114" w:right="241"/>
              <w:rPr>
                <w:sz w:val="20"/>
              </w:rPr>
            </w:pPr>
            <w:r>
              <w:rPr>
                <w:sz w:val="20"/>
              </w:rPr>
              <w:t>Limits credit agencies from issuing a credit report without consumer consent</w:t>
            </w:r>
          </w:p>
        </w:tc>
        <w:tc>
          <w:tcPr>
            <w:tcW w:w="1285" w:type="dxa"/>
          </w:tcPr>
          <w:p w14:paraId="3E28EA94" w14:textId="77777777" w:rsidR="0046798B" w:rsidRDefault="0046798B">
            <w:pPr>
              <w:pStyle w:val="TableParagraph"/>
            </w:pPr>
          </w:p>
          <w:p w14:paraId="42BC173E" w14:textId="77777777" w:rsidR="0046798B" w:rsidRDefault="0046798B">
            <w:pPr>
              <w:pStyle w:val="TableParagraph"/>
              <w:spacing w:before="9"/>
              <w:rPr>
                <w:sz w:val="31"/>
              </w:rPr>
            </w:pPr>
          </w:p>
          <w:p w14:paraId="44D47971" w14:textId="77777777" w:rsidR="0046798B" w:rsidRDefault="00903B5C">
            <w:pPr>
              <w:pStyle w:val="TableParagraph"/>
              <w:ind w:left="114"/>
              <w:rPr>
                <w:sz w:val="20"/>
              </w:rPr>
            </w:pPr>
            <w:r>
              <w:rPr>
                <w:sz w:val="20"/>
              </w:rPr>
              <w:t>2001–2006</w:t>
            </w:r>
          </w:p>
        </w:tc>
        <w:tc>
          <w:tcPr>
            <w:tcW w:w="3421" w:type="dxa"/>
          </w:tcPr>
          <w:p w14:paraId="2643CEAD" w14:textId="77777777" w:rsidR="0046798B" w:rsidRDefault="0046798B">
            <w:pPr>
              <w:pStyle w:val="TableParagraph"/>
              <w:spacing w:before="9"/>
              <w:rPr>
                <w:sz w:val="23"/>
              </w:rPr>
            </w:pPr>
          </w:p>
          <w:p w14:paraId="125C8889" w14:textId="77777777" w:rsidR="0046798B" w:rsidRDefault="00903B5C">
            <w:pPr>
              <w:pStyle w:val="TableParagraph"/>
              <w:ind w:left="114" w:right="96"/>
              <w:rPr>
                <w:sz w:val="20"/>
              </w:rPr>
            </w:pPr>
            <w:r>
              <w:rPr>
                <w:sz w:val="20"/>
              </w:rPr>
              <w:t>Did state adopt law limiting credit agencies from issuing a credit report without consumer consent? (0 = no, 1 = yes)</w:t>
            </w:r>
          </w:p>
        </w:tc>
        <w:tc>
          <w:tcPr>
            <w:tcW w:w="6482" w:type="dxa"/>
          </w:tcPr>
          <w:p w14:paraId="02EEA067" w14:textId="77777777" w:rsidR="0046798B" w:rsidRDefault="0046798B">
            <w:pPr>
              <w:pStyle w:val="TableParagraph"/>
            </w:pPr>
          </w:p>
          <w:p w14:paraId="178C3E7A" w14:textId="77777777" w:rsidR="0046798B" w:rsidRDefault="0046798B">
            <w:pPr>
              <w:pStyle w:val="TableParagraph"/>
              <w:spacing w:before="9"/>
              <w:rPr>
                <w:sz w:val="21"/>
              </w:rPr>
            </w:pPr>
          </w:p>
          <w:p w14:paraId="7A45847E" w14:textId="77777777" w:rsidR="0046798B" w:rsidRDefault="00903B5C">
            <w:pPr>
              <w:pStyle w:val="TableParagraph"/>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0BE77A38" w14:textId="77777777">
        <w:trPr>
          <w:trHeight w:val="1005"/>
        </w:trPr>
        <w:tc>
          <w:tcPr>
            <w:tcW w:w="1711" w:type="dxa"/>
          </w:tcPr>
          <w:p w14:paraId="7FC86E7A" w14:textId="77777777" w:rsidR="0046798B" w:rsidRDefault="0046798B">
            <w:pPr>
              <w:pStyle w:val="TableParagraph"/>
            </w:pPr>
          </w:p>
          <w:p w14:paraId="47434830" w14:textId="77777777" w:rsidR="0046798B" w:rsidRDefault="00903B5C">
            <w:pPr>
              <w:pStyle w:val="TableParagraph"/>
              <w:spacing w:before="135"/>
              <w:ind w:left="115"/>
              <w:rPr>
                <w:b/>
                <w:sz w:val="20"/>
              </w:rPr>
            </w:pPr>
            <w:r>
              <w:rPr>
                <w:b/>
                <w:sz w:val="20"/>
              </w:rPr>
              <w:t>econdev</w:t>
            </w:r>
          </w:p>
        </w:tc>
        <w:tc>
          <w:tcPr>
            <w:tcW w:w="1596" w:type="dxa"/>
          </w:tcPr>
          <w:p w14:paraId="7B353BAA" w14:textId="77777777" w:rsidR="0046798B" w:rsidRDefault="00903B5C">
            <w:pPr>
              <w:pStyle w:val="TableParagraph"/>
              <w:spacing w:before="43"/>
              <w:ind w:left="114" w:right="419"/>
              <w:rPr>
                <w:sz w:val="20"/>
              </w:rPr>
            </w:pPr>
            <w:r>
              <w:rPr>
                <w:sz w:val="20"/>
              </w:rPr>
              <w:t>Strategic planning for economic development</w:t>
            </w:r>
          </w:p>
        </w:tc>
        <w:tc>
          <w:tcPr>
            <w:tcW w:w="1285" w:type="dxa"/>
          </w:tcPr>
          <w:p w14:paraId="443EEDFB" w14:textId="77777777" w:rsidR="0046798B" w:rsidRDefault="0046798B">
            <w:pPr>
              <w:pStyle w:val="TableParagraph"/>
            </w:pPr>
          </w:p>
          <w:p w14:paraId="3D3C8E86" w14:textId="77777777" w:rsidR="0046798B" w:rsidRDefault="00903B5C">
            <w:pPr>
              <w:pStyle w:val="TableParagraph"/>
              <w:spacing w:before="135"/>
              <w:ind w:left="114"/>
              <w:rPr>
                <w:sz w:val="20"/>
              </w:rPr>
            </w:pPr>
            <w:r>
              <w:rPr>
                <w:sz w:val="20"/>
              </w:rPr>
              <w:t>1981–1992</w:t>
            </w:r>
          </w:p>
        </w:tc>
        <w:tc>
          <w:tcPr>
            <w:tcW w:w="3421" w:type="dxa"/>
          </w:tcPr>
          <w:p w14:paraId="57348A70" w14:textId="77777777" w:rsidR="0046798B" w:rsidRDefault="00903B5C">
            <w:pPr>
              <w:pStyle w:val="TableParagraph"/>
              <w:spacing w:before="158"/>
              <w:ind w:left="114" w:right="317"/>
              <w:jc w:val="both"/>
              <w:rPr>
                <w:sz w:val="20"/>
              </w:rPr>
            </w:pPr>
            <w:r>
              <w:rPr>
                <w:sz w:val="20"/>
              </w:rPr>
              <w:t>Did state adopt strategic planning for economic development? (0 = no, 1 = yes)</w:t>
            </w:r>
          </w:p>
        </w:tc>
        <w:tc>
          <w:tcPr>
            <w:tcW w:w="6482" w:type="dxa"/>
          </w:tcPr>
          <w:p w14:paraId="15AFC9C6" w14:textId="77777777" w:rsidR="0046798B" w:rsidRDefault="0046798B">
            <w:pPr>
              <w:pStyle w:val="TableParagraph"/>
              <w:spacing w:before="9"/>
              <w:rPr>
                <w:sz w:val="23"/>
              </w:rPr>
            </w:pPr>
          </w:p>
          <w:p w14:paraId="13DC77AA" w14:textId="77777777" w:rsidR="0046798B" w:rsidRDefault="00903B5C">
            <w:pPr>
              <w:pStyle w:val="TableParagraph"/>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34BD1B53" w14:textId="77777777">
        <w:trPr>
          <w:trHeight w:val="550"/>
        </w:trPr>
        <w:tc>
          <w:tcPr>
            <w:tcW w:w="1711" w:type="dxa"/>
          </w:tcPr>
          <w:p w14:paraId="4A48786E" w14:textId="77777777" w:rsidR="0046798B" w:rsidRDefault="00903B5C">
            <w:pPr>
              <w:pStyle w:val="TableParagraph"/>
              <w:spacing w:before="158"/>
              <w:ind w:left="115"/>
              <w:rPr>
                <w:b/>
                <w:sz w:val="20"/>
              </w:rPr>
            </w:pPr>
            <w:r>
              <w:rPr>
                <w:b/>
                <w:sz w:val="20"/>
              </w:rPr>
              <w:t>enterzone</w:t>
            </w:r>
          </w:p>
        </w:tc>
        <w:tc>
          <w:tcPr>
            <w:tcW w:w="1596" w:type="dxa"/>
          </w:tcPr>
          <w:p w14:paraId="5940F5BE" w14:textId="77777777" w:rsidR="0046798B" w:rsidRDefault="00903B5C">
            <w:pPr>
              <w:pStyle w:val="TableParagraph"/>
              <w:spacing w:before="43"/>
              <w:ind w:left="114" w:right="213"/>
              <w:rPr>
                <w:sz w:val="20"/>
              </w:rPr>
            </w:pPr>
            <w:r>
              <w:rPr>
                <w:sz w:val="20"/>
              </w:rPr>
              <w:t>State enterprise zones</w:t>
            </w:r>
          </w:p>
        </w:tc>
        <w:tc>
          <w:tcPr>
            <w:tcW w:w="1285" w:type="dxa"/>
          </w:tcPr>
          <w:p w14:paraId="2C205570" w14:textId="77777777" w:rsidR="0046798B" w:rsidRDefault="00903B5C">
            <w:pPr>
              <w:pStyle w:val="TableParagraph"/>
              <w:spacing w:before="158"/>
              <w:ind w:left="114"/>
              <w:rPr>
                <w:sz w:val="20"/>
              </w:rPr>
            </w:pPr>
            <w:r>
              <w:rPr>
                <w:sz w:val="20"/>
              </w:rPr>
              <w:t>1981–1992</w:t>
            </w:r>
          </w:p>
        </w:tc>
        <w:tc>
          <w:tcPr>
            <w:tcW w:w="3421" w:type="dxa"/>
          </w:tcPr>
          <w:p w14:paraId="6F7A743D" w14:textId="77777777" w:rsidR="0046798B" w:rsidRDefault="00903B5C">
            <w:pPr>
              <w:pStyle w:val="TableParagraph"/>
              <w:spacing w:before="43"/>
              <w:ind w:left="114" w:right="217"/>
              <w:rPr>
                <w:sz w:val="20"/>
              </w:rPr>
            </w:pPr>
            <w:r>
              <w:rPr>
                <w:sz w:val="20"/>
              </w:rPr>
              <w:t>Did state adopt state enterprise zones? (0 = no, 1 = yes)</w:t>
            </w:r>
          </w:p>
        </w:tc>
        <w:tc>
          <w:tcPr>
            <w:tcW w:w="6482" w:type="dxa"/>
          </w:tcPr>
          <w:p w14:paraId="47CA3E19" w14:textId="77777777" w:rsidR="0046798B" w:rsidRDefault="00903B5C">
            <w:pPr>
              <w:pStyle w:val="TableParagraph"/>
              <w:spacing w:before="4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499C4C47" w14:textId="77777777">
        <w:trPr>
          <w:trHeight w:val="1005"/>
        </w:trPr>
        <w:tc>
          <w:tcPr>
            <w:tcW w:w="1711" w:type="dxa"/>
          </w:tcPr>
          <w:p w14:paraId="55CE1B9D" w14:textId="77777777" w:rsidR="0046798B" w:rsidRDefault="0046798B">
            <w:pPr>
              <w:pStyle w:val="TableParagraph"/>
            </w:pPr>
          </w:p>
          <w:p w14:paraId="5F06356B" w14:textId="77777777" w:rsidR="0046798B" w:rsidRDefault="00903B5C">
            <w:pPr>
              <w:pStyle w:val="TableParagraph"/>
              <w:spacing w:before="130"/>
              <w:ind w:left="115"/>
              <w:rPr>
                <w:b/>
                <w:sz w:val="20"/>
              </w:rPr>
            </w:pPr>
            <w:r>
              <w:rPr>
                <w:b/>
                <w:sz w:val="20"/>
              </w:rPr>
              <w:t>foia</w:t>
            </w:r>
          </w:p>
        </w:tc>
        <w:tc>
          <w:tcPr>
            <w:tcW w:w="1596" w:type="dxa"/>
          </w:tcPr>
          <w:p w14:paraId="0C3C2C7B" w14:textId="77777777" w:rsidR="0046798B" w:rsidRDefault="00903B5C">
            <w:pPr>
              <w:pStyle w:val="TableParagraph"/>
              <w:spacing w:before="38"/>
              <w:ind w:left="114" w:right="207"/>
              <w:rPr>
                <w:sz w:val="20"/>
              </w:rPr>
            </w:pPr>
            <w:r>
              <w:rPr>
                <w:sz w:val="20"/>
              </w:rPr>
              <w:t>Open Records / Freedom of Information Acts</w:t>
            </w:r>
          </w:p>
        </w:tc>
        <w:tc>
          <w:tcPr>
            <w:tcW w:w="1285" w:type="dxa"/>
          </w:tcPr>
          <w:p w14:paraId="7B831FA8" w14:textId="77777777" w:rsidR="0046798B" w:rsidRDefault="0046798B">
            <w:pPr>
              <w:pStyle w:val="TableParagraph"/>
            </w:pPr>
          </w:p>
          <w:p w14:paraId="706259FA" w14:textId="77777777" w:rsidR="0046798B" w:rsidRDefault="00903B5C">
            <w:pPr>
              <w:pStyle w:val="TableParagraph"/>
              <w:spacing w:before="130"/>
              <w:ind w:left="114"/>
              <w:rPr>
                <w:sz w:val="20"/>
              </w:rPr>
            </w:pPr>
            <w:r>
              <w:rPr>
                <w:sz w:val="20"/>
              </w:rPr>
              <w:t>1900–2003</w:t>
            </w:r>
          </w:p>
        </w:tc>
        <w:tc>
          <w:tcPr>
            <w:tcW w:w="3421" w:type="dxa"/>
          </w:tcPr>
          <w:p w14:paraId="0822C608" w14:textId="77777777" w:rsidR="0046798B" w:rsidRDefault="0046798B">
            <w:pPr>
              <w:pStyle w:val="TableParagraph"/>
              <w:spacing w:before="3"/>
              <w:rPr>
                <w:sz w:val="23"/>
              </w:rPr>
            </w:pPr>
          </w:p>
          <w:p w14:paraId="3913DE46"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4A42F434" w14:textId="77777777" w:rsidR="0046798B" w:rsidRDefault="0046798B">
            <w:pPr>
              <w:pStyle w:val="TableParagraph"/>
              <w:spacing w:before="3"/>
              <w:rPr>
                <w:sz w:val="23"/>
              </w:rPr>
            </w:pPr>
          </w:p>
          <w:p w14:paraId="059F4164" w14:textId="77777777" w:rsidR="0046798B" w:rsidRDefault="00903B5C">
            <w:pPr>
              <w:pStyle w:val="TableParagraph"/>
              <w:spacing w:before="1"/>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bl>
    <w:p w14:paraId="0C272D6B" w14:textId="77777777" w:rsidR="0046798B" w:rsidRDefault="0046798B">
      <w:pPr>
        <w:rPr>
          <w:sz w:val="20"/>
        </w:rPr>
        <w:sectPr w:rsidR="0046798B">
          <w:pgSz w:w="15840" w:h="12240" w:orient="landscape"/>
          <w:pgMar w:top="1220" w:right="300" w:bottom="980" w:left="820" w:header="730" w:footer="787" w:gutter="0"/>
          <w:cols w:space="720"/>
        </w:sectPr>
      </w:pPr>
    </w:p>
    <w:p w14:paraId="56060B61"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5389966" w14:textId="77777777">
        <w:trPr>
          <w:trHeight w:val="542"/>
        </w:trPr>
        <w:tc>
          <w:tcPr>
            <w:tcW w:w="1711" w:type="dxa"/>
            <w:tcBorders>
              <w:bottom w:val="dotted" w:sz="6" w:space="0" w:color="BEBEBE"/>
            </w:tcBorders>
          </w:tcPr>
          <w:p w14:paraId="40EF7A34" w14:textId="77777777" w:rsidR="0046798B" w:rsidRDefault="00903B5C">
            <w:pPr>
              <w:pStyle w:val="TableParagraph"/>
              <w:spacing w:before="158"/>
              <w:ind w:left="115"/>
              <w:rPr>
                <w:b/>
                <w:sz w:val="20"/>
              </w:rPr>
            </w:pPr>
            <w:r>
              <w:rPr>
                <w:b/>
                <w:sz w:val="20"/>
              </w:rPr>
              <w:t>humrel</w:t>
            </w:r>
          </w:p>
        </w:tc>
        <w:tc>
          <w:tcPr>
            <w:tcW w:w="1596" w:type="dxa"/>
            <w:tcBorders>
              <w:bottom w:val="dotted" w:sz="6" w:space="0" w:color="BEBEBE"/>
            </w:tcBorders>
          </w:tcPr>
          <w:p w14:paraId="3E30014C" w14:textId="77777777" w:rsidR="0046798B" w:rsidRDefault="00903B5C">
            <w:pPr>
              <w:pStyle w:val="TableParagraph"/>
              <w:spacing w:before="43"/>
              <w:ind w:left="114" w:right="124"/>
              <w:rPr>
                <w:sz w:val="20"/>
              </w:rPr>
            </w:pPr>
            <w:r>
              <w:rPr>
                <w:sz w:val="20"/>
              </w:rPr>
              <w:t>Human relations commission</w:t>
            </w:r>
          </w:p>
        </w:tc>
        <w:tc>
          <w:tcPr>
            <w:tcW w:w="1285" w:type="dxa"/>
            <w:tcBorders>
              <w:bottom w:val="dotted" w:sz="6" w:space="0" w:color="BEBEBE"/>
            </w:tcBorders>
          </w:tcPr>
          <w:p w14:paraId="52AE835F" w14:textId="77777777" w:rsidR="0046798B" w:rsidRDefault="00903B5C">
            <w:pPr>
              <w:pStyle w:val="TableParagraph"/>
              <w:spacing w:before="158"/>
              <w:ind w:left="114"/>
              <w:rPr>
                <w:sz w:val="20"/>
              </w:rPr>
            </w:pPr>
            <w:r>
              <w:rPr>
                <w:sz w:val="20"/>
              </w:rPr>
              <w:t>1945–1993</w:t>
            </w:r>
          </w:p>
        </w:tc>
        <w:tc>
          <w:tcPr>
            <w:tcW w:w="3421" w:type="dxa"/>
            <w:tcBorders>
              <w:bottom w:val="dotted" w:sz="6" w:space="0" w:color="BEBEBE"/>
            </w:tcBorders>
          </w:tcPr>
          <w:p w14:paraId="0BF2A749" w14:textId="77777777" w:rsidR="0046798B" w:rsidRDefault="00903B5C">
            <w:pPr>
              <w:pStyle w:val="TableParagraph"/>
              <w:spacing w:before="43"/>
              <w:ind w:left="114" w:right="594"/>
              <w:rPr>
                <w:sz w:val="20"/>
              </w:rPr>
            </w:pPr>
            <w:r>
              <w:rPr>
                <w:sz w:val="20"/>
              </w:rPr>
              <w:t>Did state adopt a human relations commission? (0 = no, 1 = yes)</w:t>
            </w:r>
          </w:p>
        </w:tc>
        <w:tc>
          <w:tcPr>
            <w:tcW w:w="6482" w:type="dxa"/>
            <w:tcBorders>
              <w:bottom w:val="dotted" w:sz="6" w:space="0" w:color="BEBEBE"/>
            </w:tcBorders>
          </w:tcPr>
          <w:p w14:paraId="770851D7" w14:textId="77777777" w:rsidR="0046798B" w:rsidRDefault="00903B5C">
            <w:pPr>
              <w:pStyle w:val="TableParagraph"/>
              <w:spacing w:before="4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79E9A940" w14:textId="77777777">
        <w:trPr>
          <w:trHeight w:val="772"/>
        </w:trPr>
        <w:tc>
          <w:tcPr>
            <w:tcW w:w="1711" w:type="dxa"/>
            <w:tcBorders>
              <w:top w:val="dotted" w:sz="6" w:space="0" w:color="BEBEBE"/>
            </w:tcBorders>
          </w:tcPr>
          <w:p w14:paraId="37618DEF" w14:textId="77777777" w:rsidR="0046798B" w:rsidRDefault="0046798B">
            <w:pPr>
              <w:pStyle w:val="TableParagraph"/>
              <w:spacing w:before="6"/>
              <w:rPr>
                <w:sz w:val="23"/>
              </w:rPr>
            </w:pPr>
          </w:p>
          <w:p w14:paraId="348EE649" w14:textId="77777777" w:rsidR="0046798B" w:rsidRDefault="00903B5C">
            <w:pPr>
              <w:pStyle w:val="TableParagraph"/>
              <w:ind w:left="115"/>
              <w:rPr>
                <w:b/>
                <w:sz w:val="20"/>
              </w:rPr>
            </w:pPr>
            <w:r>
              <w:rPr>
                <w:b/>
                <w:sz w:val="20"/>
              </w:rPr>
              <w:t>idas</w:t>
            </w:r>
          </w:p>
        </w:tc>
        <w:tc>
          <w:tcPr>
            <w:tcW w:w="1596" w:type="dxa"/>
            <w:tcBorders>
              <w:top w:val="dotted" w:sz="6" w:space="0" w:color="BEBEBE"/>
            </w:tcBorders>
          </w:tcPr>
          <w:p w14:paraId="69255DE7" w14:textId="77777777" w:rsidR="0046798B" w:rsidRDefault="00903B5C">
            <w:pPr>
              <w:pStyle w:val="TableParagraph"/>
              <w:spacing w:before="40"/>
              <w:ind w:left="114" w:right="419"/>
              <w:rPr>
                <w:sz w:val="20"/>
              </w:rPr>
            </w:pPr>
            <w:r>
              <w:rPr>
                <w:sz w:val="20"/>
              </w:rPr>
              <w:t>Individual development accounts</w:t>
            </w:r>
          </w:p>
        </w:tc>
        <w:tc>
          <w:tcPr>
            <w:tcW w:w="1285" w:type="dxa"/>
            <w:tcBorders>
              <w:top w:val="dotted" w:sz="6" w:space="0" w:color="BEBEBE"/>
            </w:tcBorders>
          </w:tcPr>
          <w:p w14:paraId="59904986" w14:textId="77777777" w:rsidR="0046798B" w:rsidRDefault="0046798B">
            <w:pPr>
              <w:pStyle w:val="TableParagraph"/>
              <w:spacing w:before="6"/>
              <w:rPr>
                <w:sz w:val="23"/>
              </w:rPr>
            </w:pPr>
          </w:p>
          <w:p w14:paraId="0F617505" w14:textId="77777777" w:rsidR="0046798B" w:rsidRDefault="00903B5C">
            <w:pPr>
              <w:pStyle w:val="TableParagraph"/>
              <w:ind w:left="114"/>
              <w:rPr>
                <w:sz w:val="20"/>
              </w:rPr>
            </w:pPr>
            <w:r>
              <w:rPr>
                <w:sz w:val="20"/>
              </w:rPr>
              <w:t>1993–2001</w:t>
            </w:r>
          </w:p>
        </w:tc>
        <w:tc>
          <w:tcPr>
            <w:tcW w:w="3421" w:type="dxa"/>
            <w:tcBorders>
              <w:top w:val="dotted" w:sz="6" w:space="0" w:color="BEBEBE"/>
            </w:tcBorders>
          </w:tcPr>
          <w:p w14:paraId="28D30467" w14:textId="77777777" w:rsidR="0046798B" w:rsidRDefault="00903B5C">
            <w:pPr>
              <w:pStyle w:val="TableParagraph"/>
              <w:spacing w:before="155"/>
              <w:ind w:left="114" w:right="122"/>
              <w:rPr>
                <w:sz w:val="20"/>
              </w:rPr>
            </w:pPr>
            <w:r>
              <w:rPr>
                <w:sz w:val="20"/>
              </w:rPr>
              <w:t>Did state adopt individual development accounts? (0 = no, 1 = yes)</w:t>
            </w:r>
          </w:p>
        </w:tc>
        <w:tc>
          <w:tcPr>
            <w:tcW w:w="6482" w:type="dxa"/>
            <w:tcBorders>
              <w:top w:val="dotted" w:sz="6" w:space="0" w:color="BEBEBE"/>
            </w:tcBorders>
          </w:tcPr>
          <w:p w14:paraId="425CB71D" w14:textId="77777777" w:rsidR="0046798B" w:rsidRDefault="00903B5C">
            <w:pPr>
              <w:pStyle w:val="TableParagraph"/>
              <w:spacing w:before="155"/>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1CEA8C50" w14:textId="77777777">
        <w:trPr>
          <w:trHeight w:val="550"/>
        </w:trPr>
        <w:tc>
          <w:tcPr>
            <w:tcW w:w="1711" w:type="dxa"/>
          </w:tcPr>
          <w:p w14:paraId="140EF4AA" w14:textId="77777777" w:rsidR="0046798B" w:rsidRDefault="00903B5C">
            <w:pPr>
              <w:pStyle w:val="TableParagraph"/>
              <w:spacing w:before="159"/>
              <w:ind w:left="115"/>
              <w:rPr>
                <w:b/>
                <w:sz w:val="20"/>
              </w:rPr>
            </w:pPr>
            <w:r>
              <w:rPr>
                <w:b/>
                <w:sz w:val="20"/>
              </w:rPr>
              <w:t>lemon</w:t>
            </w:r>
          </w:p>
        </w:tc>
        <w:tc>
          <w:tcPr>
            <w:tcW w:w="1596" w:type="dxa"/>
          </w:tcPr>
          <w:p w14:paraId="1CCCCD57" w14:textId="77777777" w:rsidR="0046798B" w:rsidRDefault="00903B5C">
            <w:pPr>
              <w:pStyle w:val="TableParagraph"/>
              <w:spacing w:before="159"/>
              <w:ind w:left="114"/>
              <w:rPr>
                <w:sz w:val="20"/>
              </w:rPr>
            </w:pPr>
            <w:r>
              <w:rPr>
                <w:sz w:val="20"/>
              </w:rPr>
              <w:t>Lemon laws</w:t>
            </w:r>
          </w:p>
        </w:tc>
        <w:tc>
          <w:tcPr>
            <w:tcW w:w="1285" w:type="dxa"/>
          </w:tcPr>
          <w:p w14:paraId="77EE4331" w14:textId="77777777" w:rsidR="0046798B" w:rsidRDefault="00903B5C">
            <w:pPr>
              <w:pStyle w:val="TableParagraph"/>
              <w:spacing w:before="159"/>
              <w:ind w:left="114"/>
              <w:rPr>
                <w:sz w:val="20"/>
              </w:rPr>
            </w:pPr>
            <w:r>
              <w:rPr>
                <w:sz w:val="20"/>
              </w:rPr>
              <w:t>1982–1984</w:t>
            </w:r>
          </w:p>
        </w:tc>
        <w:tc>
          <w:tcPr>
            <w:tcW w:w="3421" w:type="dxa"/>
          </w:tcPr>
          <w:p w14:paraId="0A949EAC" w14:textId="77777777" w:rsidR="0046798B" w:rsidRDefault="00903B5C">
            <w:pPr>
              <w:pStyle w:val="TableParagraph"/>
              <w:spacing w:before="43"/>
              <w:ind w:left="114"/>
              <w:rPr>
                <w:sz w:val="20"/>
              </w:rPr>
            </w:pPr>
            <w:r>
              <w:rPr>
                <w:sz w:val="20"/>
              </w:rPr>
              <w:t>Did state adopt lemon laws? (0 = no, 1</w:t>
            </w:r>
          </w:p>
          <w:p w14:paraId="0297E74F" w14:textId="77777777" w:rsidR="0046798B" w:rsidRDefault="00903B5C">
            <w:pPr>
              <w:pStyle w:val="TableParagraph"/>
              <w:spacing w:before="1"/>
              <w:ind w:left="114"/>
              <w:rPr>
                <w:sz w:val="20"/>
              </w:rPr>
            </w:pPr>
            <w:r>
              <w:rPr>
                <w:sz w:val="20"/>
              </w:rPr>
              <w:t>= yes)</w:t>
            </w:r>
          </w:p>
        </w:tc>
        <w:tc>
          <w:tcPr>
            <w:tcW w:w="6482" w:type="dxa"/>
          </w:tcPr>
          <w:p w14:paraId="1891655E" w14:textId="77777777" w:rsidR="0046798B" w:rsidRDefault="00903B5C">
            <w:pPr>
              <w:pStyle w:val="TableParagraph"/>
              <w:spacing w:before="4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42EC300C" w14:textId="77777777">
        <w:trPr>
          <w:trHeight w:val="545"/>
        </w:trPr>
        <w:tc>
          <w:tcPr>
            <w:tcW w:w="1711" w:type="dxa"/>
          </w:tcPr>
          <w:p w14:paraId="6D159647" w14:textId="77777777" w:rsidR="0046798B" w:rsidRDefault="00903B5C">
            <w:pPr>
              <w:pStyle w:val="TableParagraph"/>
              <w:spacing w:before="153"/>
              <w:ind w:left="115"/>
              <w:rPr>
                <w:b/>
                <w:sz w:val="20"/>
              </w:rPr>
            </w:pPr>
            <w:r>
              <w:rPr>
                <w:b/>
                <w:sz w:val="20"/>
              </w:rPr>
              <w:t>livingwill</w:t>
            </w:r>
          </w:p>
        </w:tc>
        <w:tc>
          <w:tcPr>
            <w:tcW w:w="1596" w:type="dxa"/>
          </w:tcPr>
          <w:p w14:paraId="70330AFD" w14:textId="77777777" w:rsidR="0046798B" w:rsidRDefault="00903B5C">
            <w:pPr>
              <w:pStyle w:val="TableParagraph"/>
              <w:spacing w:before="153"/>
              <w:ind w:left="114"/>
              <w:rPr>
                <w:sz w:val="20"/>
              </w:rPr>
            </w:pPr>
            <w:r>
              <w:rPr>
                <w:sz w:val="20"/>
              </w:rPr>
              <w:t>Living wills</w:t>
            </w:r>
          </w:p>
        </w:tc>
        <w:tc>
          <w:tcPr>
            <w:tcW w:w="1285" w:type="dxa"/>
          </w:tcPr>
          <w:p w14:paraId="71398D02" w14:textId="77777777" w:rsidR="0046798B" w:rsidRDefault="00903B5C">
            <w:pPr>
              <w:pStyle w:val="TableParagraph"/>
              <w:spacing w:before="153"/>
              <w:ind w:left="114"/>
              <w:rPr>
                <w:sz w:val="20"/>
              </w:rPr>
            </w:pPr>
            <w:r>
              <w:rPr>
                <w:sz w:val="20"/>
              </w:rPr>
              <w:t>1976–1986</w:t>
            </w:r>
          </w:p>
        </w:tc>
        <w:tc>
          <w:tcPr>
            <w:tcW w:w="3421" w:type="dxa"/>
          </w:tcPr>
          <w:p w14:paraId="47E384BB" w14:textId="77777777" w:rsidR="0046798B" w:rsidRDefault="00903B5C">
            <w:pPr>
              <w:pStyle w:val="TableParagraph"/>
              <w:spacing w:before="38"/>
              <w:ind w:left="114"/>
              <w:rPr>
                <w:sz w:val="20"/>
              </w:rPr>
            </w:pPr>
            <w:r>
              <w:rPr>
                <w:sz w:val="20"/>
              </w:rPr>
              <w:t>Did state adopt living wills? (0 = no, 1</w:t>
            </w:r>
          </w:p>
          <w:p w14:paraId="7E67CF46" w14:textId="77777777" w:rsidR="0046798B" w:rsidRDefault="00903B5C">
            <w:pPr>
              <w:pStyle w:val="TableParagraph"/>
              <w:ind w:left="114"/>
              <w:rPr>
                <w:sz w:val="20"/>
              </w:rPr>
            </w:pPr>
            <w:r>
              <w:rPr>
                <w:sz w:val="20"/>
              </w:rPr>
              <w:t>= yes)</w:t>
            </w:r>
          </w:p>
        </w:tc>
        <w:tc>
          <w:tcPr>
            <w:tcW w:w="6482" w:type="dxa"/>
          </w:tcPr>
          <w:p w14:paraId="6F87AC5C" w14:textId="77777777" w:rsidR="0046798B" w:rsidRDefault="00903B5C">
            <w:pPr>
              <w:pStyle w:val="TableParagraph"/>
              <w:spacing w:before="3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313E8BB3" w14:textId="77777777">
        <w:trPr>
          <w:trHeight w:val="545"/>
        </w:trPr>
        <w:tc>
          <w:tcPr>
            <w:tcW w:w="1711" w:type="dxa"/>
          </w:tcPr>
          <w:p w14:paraId="79FC021D" w14:textId="77777777" w:rsidR="0046798B" w:rsidRDefault="00903B5C">
            <w:pPr>
              <w:pStyle w:val="TableParagraph"/>
              <w:spacing w:before="153"/>
              <w:ind w:left="115"/>
              <w:rPr>
                <w:b/>
                <w:sz w:val="20"/>
              </w:rPr>
            </w:pPr>
            <w:r>
              <w:rPr>
                <w:b/>
                <w:sz w:val="20"/>
              </w:rPr>
              <w:t>pestcomp</w:t>
            </w:r>
          </w:p>
        </w:tc>
        <w:tc>
          <w:tcPr>
            <w:tcW w:w="1596" w:type="dxa"/>
          </w:tcPr>
          <w:p w14:paraId="53EA16DC" w14:textId="77777777" w:rsidR="0046798B" w:rsidRDefault="00903B5C">
            <w:pPr>
              <w:pStyle w:val="TableParagraph"/>
              <w:spacing w:before="38"/>
              <w:ind w:left="114" w:right="158"/>
              <w:rPr>
                <w:sz w:val="20"/>
              </w:rPr>
            </w:pPr>
            <w:r>
              <w:rPr>
                <w:sz w:val="20"/>
              </w:rPr>
              <w:t>Interstate pest control compact</w:t>
            </w:r>
          </w:p>
        </w:tc>
        <w:tc>
          <w:tcPr>
            <w:tcW w:w="1285" w:type="dxa"/>
          </w:tcPr>
          <w:p w14:paraId="567BC75E" w14:textId="77777777" w:rsidR="0046798B" w:rsidRDefault="00903B5C">
            <w:pPr>
              <w:pStyle w:val="TableParagraph"/>
              <w:spacing w:before="153"/>
              <w:ind w:left="114"/>
              <w:rPr>
                <w:sz w:val="20"/>
              </w:rPr>
            </w:pPr>
            <w:r>
              <w:rPr>
                <w:sz w:val="20"/>
              </w:rPr>
              <w:t>1968–2009</w:t>
            </w:r>
          </w:p>
        </w:tc>
        <w:tc>
          <w:tcPr>
            <w:tcW w:w="3421" w:type="dxa"/>
          </w:tcPr>
          <w:p w14:paraId="659C4BFF" w14:textId="77777777" w:rsidR="0046798B" w:rsidRDefault="00903B5C">
            <w:pPr>
              <w:pStyle w:val="TableParagraph"/>
              <w:spacing w:before="38"/>
              <w:ind w:left="114" w:right="133"/>
              <w:rPr>
                <w:sz w:val="20"/>
              </w:rPr>
            </w:pPr>
            <w:r>
              <w:rPr>
                <w:sz w:val="20"/>
              </w:rPr>
              <w:t>Did state join the interstate pest control compact? (0 = no, 1 = yes)</w:t>
            </w:r>
          </w:p>
        </w:tc>
        <w:tc>
          <w:tcPr>
            <w:tcW w:w="6482" w:type="dxa"/>
          </w:tcPr>
          <w:p w14:paraId="381C503A" w14:textId="77777777" w:rsidR="0046798B" w:rsidRDefault="00903B5C">
            <w:pPr>
              <w:pStyle w:val="TableParagraph"/>
              <w:spacing w:before="3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666619B8" w14:textId="77777777">
        <w:trPr>
          <w:trHeight w:val="545"/>
        </w:trPr>
        <w:tc>
          <w:tcPr>
            <w:tcW w:w="1711" w:type="dxa"/>
          </w:tcPr>
          <w:p w14:paraId="47822892" w14:textId="77777777" w:rsidR="0046798B" w:rsidRDefault="00903B5C">
            <w:pPr>
              <w:pStyle w:val="TableParagraph"/>
              <w:spacing w:before="158"/>
              <w:ind w:left="115"/>
              <w:rPr>
                <w:b/>
                <w:sz w:val="20"/>
              </w:rPr>
            </w:pPr>
            <w:r>
              <w:rPr>
                <w:b/>
                <w:sz w:val="20"/>
              </w:rPr>
              <w:t>pldvpag</w:t>
            </w:r>
          </w:p>
        </w:tc>
        <w:tc>
          <w:tcPr>
            <w:tcW w:w="1596" w:type="dxa"/>
          </w:tcPr>
          <w:p w14:paraId="675B3B02" w14:textId="77777777" w:rsidR="0046798B" w:rsidRDefault="00903B5C">
            <w:pPr>
              <w:pStyle w:val="TableParagraph"/>
              <w:spacing w:before="43"/>
              <w:ind w:left="114" w:right="152"/>
              <w:rPr>
                <w:sz w:val="20"/>
              </w:rPr>
            </w:pPr>
            <w:r>
              <w:rPr>
                <w:sz w:val="20"/>
              </w:rPr>
              <w:t>Planning/develo pment agency</w:t>
            </w:r>
          </w:p>
        </w:tc>
        <w:tc>
          <w:tcPr>
            <w:tcW w:w="1285" w:type="dxa"/>
          </w:tcPr>
          <w:p w14:paraId="31F3B0FE" w14:textId="77777777" w:rsidR="0046798B" w:rsidRDefault="00903B5C">
            <w:pPr>
              <w:pStyle w:val="TableParagraph"/>
              <w:spacing w:before="158"/>
              <w:ind w:left="114"/>
              <w:rPr>
                <w:sz w:val="20"/>
              </w:rPr>
            </w:pPr>
            <w:r>
              <w:rPr>
                <w:sz w:val="20"/>
              </w:rPr>
              <w:t>1935–1978</w:t>
            </w:r>
          </w:p>
        </w:tc>
        <w:tc>
          <w:tcPr>
            <w:tcW w:w="3421" w:type="dxa"/>
          </w:tcPr>
          <w:p w14:paraId="6CD9BE03" w14:textId="77777777" w:rsidR="0046798B" w:rsidRDefault="00903B5C">
            <w:pPr>
              <w:pStyle w:val="TableParagraph"/>
              <w:spacing w:before="43"/>
              <w:ind w:left="114" w:right="88"/>
              <w:rPr>
                <w:sz w:val="20"/>
              </w:rPr>
            </w:pPr>
            <w:r>
              <w:rPr>
                <w:sz w:val="20"/>
              </w:rPr>
              <w:t>Did state adopt a planning/development agency? (0 = no, 1 = yes)</w:t>
            </w:r>
          </w:p>
        </w:tc>
        <w:tc>
          <w:tcPr>
            <w:tcW w:w="6482" w:type="dxa"/>
          </w:tcPr>
          <w:p w14:paraId="785B6CB3" w14:textId="77777777" w:rsidR="0046798B" w:rsidRDefault="00903B5C">
            <w:pPr>
              <w:pStyle w:val="TableParagraph"/>
              <w:spacing w:before="4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7E8A48B8" w14:textId="77777777">
        <w:trPr>
          <w:trHeight w:val="775"/>
        </w:trPr>
        <w:tc>
          <w:tcPr>
            <w:tcW w:w="1711" w:type="dxa"/>
          </w:tcPr>
          <w:p w14:paraId="75F58A12" w14:textId="77777777" w:rsidR="0046798B" w:rsidRDefault="0046798B">
            <w:pPr>
              <w:pStyle w:val="TableParagraph"/>
              <w:spacing w:before="8"/>
              <w:rPr>
                <w:sz w:val="23"/>
              </w:rPr>
            </w:pPr>
          </w:p>
          <w:p w14:paraId="67BED9C2" w14:textId="77777777" w:rsidR="0046798B" w:rsidRDefault="00903B5C">
            <w:pPr>
              <w:pStyle w:val="TableParagraph"/>
              <w:spacing w:before="1"/>
              <w:ind w:left="115"/>
              <w:rPr>
                <w:b/>
                <w:sz w:val="20"/>
              </w:rPr>
            </w:pPr>
            <w:r>
              <w:rPr>
                <w:b/>
                <w:sz w:val="20"/>
              </w:rPr>
              <w:t>pubhouen</w:t>
            </w:r>
          </w:p>
        </w:tc>
        <w:tc>
          <w:tcPr>
            <w:tcW w:w="1596" w:type="dxa"/>
          </w:tcPr>
          <w:p w14:paraId="1FB4E62F" w14:textId="77777777" w:rsidR="0046798B" w:rsidRDefault="00903B5C">
            <w:pPr>
              <w:pStyle w:val="TableParagraph"/>
              <w:spacing w:before="43"/>
              <w:ind w:left="114" w:right="257"/>
              <w:rPr>
                <w:sz w:val="20"/>
              </w:rPr>
            </w:pPr>
            <w:r>
              <w:rPr>
                <w:sz w:val="20"/>
              </w:rPr>
              <w:t>Public housing (enabling legislation)</w:t>
            </w:r>
          </w:p>
        </w:tc>
        <w:tc>
          <w:tcPr>
            <w:tcW w:w="1285" w:type="dxa"/>
          </w:tcPr>
          <w:p w14:paraId="79EF5277" w14:textId="77777777" w:rsidR="0046798B" w:rsidRDefault="0046798B">
            <w:pPr>
              <w:pStyle w:val="TableParagraph"/>
              <w:spacing w:before="8"/>
              <w:rPr>
                <w:sz w:val="23"/>
              </w:rPr>
            </w:pPr>
          </w:p>
          <w:p w14:paraId="6D3BA4AD" w14:textId="77777777" w:rsidR="0046798B" w:rsidRDefault="00903B5C">
            <w:pPr>
              <w:pStyle w:val="TableParagraph"/>
              <w:spacing w:before="1"/>
              <w:ind w:left="114"/>
              <w:rPr>
                <w:sz w:val="20"/>
              </w:rPr>
            </w:pPr>
            <w:r>
              <w:rPr>
                <w:sz w:val="20"/>
              </w:rPr>
              <w:t>1933–1950</w:t>
            </w:r>
          </w:p>
        </w:tc>
        <w:tc>
          <w:tcPr>
            <w:tcW w:w="3421" w:type="dxa"/>
          </w:tcPr>
          <w:p w14:paraId="24296E05" w14:textId="77777777" w:rsidR="0046798B" w:rsidRDefault="00903B5C">
            <w:pPr>
              <w:pStyle w:val="TableParagraph"/>
              <w:spacing w:before="158"/>
              <w:ind w:left="114" w:right="444"/>
              <w:rPr>
                <w:sz w:val="20"/>
              </w:rPr>
            </w:pPr>
            <w:r>
              <w:rPr>
                <w:sz w:val="20"/>
              </w:rPr>
              <w:t>Did state adopt legislation enabling public housing? (0 = no, 1 = yes)</w:t>
            </w:r>
          </w:p>
        </w:tc>
        <w:tc>
          <w:tcPr>
            <w:tcW w:w="6482" w:type="dxa"/>
          </w:tcPr>
          <w:p w14:paraId="646E8251" w14:textId="77777777" w:rsidR="0046798B" w:rsidRDefault="00903B5C">
            <w:pPr>
              <w:pStyle w:val="TableParagraph"/>
              <w:spacing w:before="158"/>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4711693E" w14:textId="77777777">
        <w:trPr>
          <w:trHeight w:val="550"/>
        </w:trPr>
        <w:tc>
          <w:tcPr>
            <w:tcW w:w="1711" w:type="dxa"/>
          </w:tcPr>
          <w:p w14:paraId="1A14BF3F" w14:textId="77777777" w:rsidR="0046798B" w:rsidRDefault="00903B5C">
            <w:pPr>
              <w:pStyle w:val="TableParagraph"/>
              <w:spacing w:before="158"/>
              <w:ind w:left="115"/>
              <w:rPr>
                <w:b/>
                <w:sz w:val="20"/>
              </w:rPr>
            </w:pPr>
            <w:r>
              <w:rPr>
                <w:b/>
                <w:sz w:val="20"/>
              </w:rPr>
              <w:t>retainag</w:t>
            </w:r>
          </w:p>
        </w:tc>
        <w:tc>
          <w:tcPr>
            <w:tcW w:w="1596" w:type="dxa"/>
          </w:tcPr>
          <w:p w14:paraId="28F985DE" w14:textId="77777777" w:rsidR="0046798B" w:rsidRDefault="00903B5C">
            <w:pPr>
              <w:pStyle w:val="TableParagraph"/>
              <w:spacing w:before="43"/>
              <w:ind w:left="114" w:right="619"/>
              <w:rPr>
                <w:sz w:val="20"/>
              </w:rPr>
            </w:pPr>
            <w:r>
              <w:rPr>
                <w:sz w:val="20"/>
              </w:rPr>
              <w:t>Retainers agreement</w:t>
            </w:r>
          </w:p>
        </w:tc>
        <w:tc>
          <w:tcPr>
            <w:tcW w:w="1285" w:type="dxa"/>
          </w:tcPr>
          <w:p w14:paraId="07914F0C" w14:textId="77777777" w:rsidR="0046798B" w:rsidRDefault="00903B5C">
            <w:pPr>
              <w:pStyle w:val="TableParagraph"/>
              <w:spacing w:before="158"/>
              <w:ind w:left="114"/>
              <w:rPr>
                <w:sz w:val="20"/>
              </w:rPr>
            </w:pPr>
            <w:r>
              <w:rPr>
                <w:sz w:val="20"/>
              </w:rPr>
              <w:t>1957–1965</w:t>
            </w:r>
          </w:p>
        </w:tc>
        <w:tc>
          <w:tcPr>
            <w:tcW w:w="3421" w:type="dxa"/>
          </w:tcPr>
          <w:p w14:paraId="6C923814" w14:textId="77777777" w:rsidR="0046798B" w:rsidRDefault="00903B5C">
            <w:pPr>
              <w:pStyle w:val="TableParagraph"/>
              <w:spacing w:before="43"/>
              <w:ind w:left="114" w:right="217"/>
              <w:rPr>
                <w:sz w:val="20"/>
              </w:rPr>
            </w:pPr>
            <w:r>
              <w:rPr>
                <w:sz w:val="20"/>
              </w:rPr>
              <w:t>Did state adopt a retainers agreement? (0 = no, 1 = yes)</w:t>
            </w:r>
          </w:p>
        </w:tc>
        <w:tc>
          <w:tcPr>
            <w:tcW w:w="6482" w:type="dxa"/>
          </w:tcPr>
          <w:p w14:paraId="407E445D" w14:textId="77777777" w:rsidR="0046798B" w:rsidRDefault="00903B5C">
            <w:pPr>
              <w:pStyle w:val="TableParagraph"/>
              <w:spacing w:before="4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057083BB" w14:textId="77777777">
        <w:trPr>
          <w:trHeight w:val="775"/>
        </w:trPr>
        <w:tc>
          <w:tcPr>
            <w:tcW w:w="1711" w:type="dxa"/>
          </w:tcPr>
          <w:p w14:paraId="01FF57FA" w14:textId="77777777" w:rsidR="0046798B" w:rsidRDefault="0046798B">
            <w:pPr>
              <w:pStyle w:val="TableParagraph"/>
              <w:spacing w:before="4"/>
              <w:rPr>
                <w:sz w:val="23"/>
              </w:rPr>
            </w:pPr>
          </w:p>
          <w:p w14:paraId="3BDECD3D" w14:textId="77777777" w:rsidR="0046798B" w:rsidRDefault="00903B5C">
            <w:pPr>
              <w:pStyle w:val="TableParagraph"/>
              <w:ind w:left="115"/>
              <w:rPr>
                <w:b/>
                <w:sz w:val="20"/>
              </w:rPr>
            </w:pPr>
            <w:r>
              <w:rPr>
                <w:b/>
                <w:sz w:val="20"/>
              </w:rPr>
              <w:t>revenue</w:t>
            </w:r>
          </w:p>
        </w:tc>
        <w:tc>
          <w:tcPr>
            <w:tcW w:w="1596" w:type="dxa"/>
          </w:tcPr>
          <w:p w14:paraId="6D747893" w14:textId="77777777" w:rsidR="0046798B" w:rsidRDefault="00903B5C">
            <w:pPr>
              <w:pStyle w:val="TableParagraph"/>
              <w:spacing w:before="38"/>
              <w:ind w:left="114" w:right="468"/>
              <w:rPr>
                <w:sz w:val="20"/>
              </w:rPr>
            </w:pPr>
            <w:r>
              <w:rPr>
                <w:sz w:val="20"/>
              </w:rPr>
              <w:t>Strategic planning for revenue</w:t>
            </w:r>
          </w:p>
        </w:tc>
        <w:tc>
          <w:tcPr>
            <w:tcW w:w="1285" w:type="dxa"/>
          </w:tcPr>
          <w:p w14:paraId="284280F6" w14:textId="77777777" w:rsidR="0046798B" w:rsidRDefault="0046798B">
            <w:pPr>
              <w:pStyle w:val="TableParagraph"/>
              <w:spacing w:before="4"/>
              <w:rPr>
                <w:sz w:val="23"/>
              </w:rPr>
            </w:pPr>
          </w:p>
          <w:p w14:paraId="1A5A2407" w14:textId="77777777" w:rsidR="0046798B" w:rsidRDefault="00903B5C">
            <w:pPr>
              <w:pStyle w:val="TableParagraph"/>
              <w:ind w:left="114"/>
              <w:rPr>
                <w:sz w:val="20"/>
              </w:rPr>
            </w:pPr>
            <w:r>
              <w:rPr>
                <w:sz w:val="20"/>
              </w:rPr>
              <w:t>1981–1991</w:t>
            </w:r>
          </w:p>
        </w:tc>
        <w:tc>
          <w:tcPr>
            <w:tcW w:w="3421" w:type="dxa"/>
          </w:tcPr>
          <w:p w14:paraId="0F24DF09" w14:textId="77777777" w:rsidR="0046798B" w:rsidRDefault="00903B5C">
            <w:pPr>
              <w:pStyle w:val="TableParagraph"/>
              <w:spacing w:before="153"/>
              <w:ind w:left="114" w:right="305"/>
              <w:rPr>
                <w:sz w:val="20"/>
              </w:rPr>
            </w:pPr>
            <w:r>
              <w:rPr>
                <w:sz w:val="20"/>
              </w:rPr>
              <w:t>Did state adopt strategic planning for revenue? (0 = no, 1 = yes)</w:t>
            </w:r>
          </w:p>
        </w:tc>
        <w:tc>
          <w:tcPr>
            <w:tcW w:w="6482" w:type="dxa"/>
          </w:tcPr>
          <w:p w14:paraId="148D227B" w14:textId="77777777" w:rsidR="0046798B" w:rsidRDefault="00903B5C">
            <w:pPr>
              <w:pStyle w:val="TableParagraph"/>
              <w:spacing w:before="15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00731BCB" w14:textId="77777777">
        <w:trPr>
          <w:trHeight w:val="775"/>
        </w:trPr>
        <w:tc>
          <w:tcPr>
            <w:tcW w:w="1711" w:type="dxa"/>
          </w:tcPr>
          <w:p w14:paraId="487A5581" w14:textId="77777777" w:rsidR="0046798B" w:rsidRDefault="0046798B">
            <w:pPr>
              <w:pStyle w:val="TableParagraph"/>
              <w:spacing w:before="3"/>
              <w:rPr>
                <w:sz w:val="23"/>
              </w:rPr>
            </w:pPr>
          </w:p>
          <w:p w14:paraId="182F1506" w14:textId="77777777" w:rsidR="0046798B" w:rsidRDefault="00903B5C">
            <w:pPr>
              <w:pStyle w:val="TableParagraph"/>
              <w:spacing w:before="1"/>
              <w:ind w:left="115"/>
              <w:rPr>
                <w:b/>
                <w:sz w:val="20"/>
              </w:rPr>
            </w:pPr>
            <w:r>
              <w:rPr>
                <w:b/>
                <w:sz w:val="20"/>
              </w:rPr>
              <w:t>urbrenen</w:t>
            </w:r>
          </w:p>
        </w:tc>
        <w:tc>
          <w:tcPr>
            <w:tcW w:w="1596" w:type="dxa"/>
          </w:tcPr>
          <w:p w14:paraId="614654E1" w14:textId="77777777" w:rsidR="0046798B" w:rsidRDefault="00903B5C">
            <w:pPr>
              <w:pStyle w:val="TableParagraph"/>
              <w:spacing w:before="38"/>
              <w:ind w:left="114" w:right="269"/>
              <w:rPr>
                <w:sz w:val="20"/>
              </w:rPr>
            </w:pPr>
            <w:r>
              <w:rPr>
                <w:sz w:val="20"/>
              </w:rPr>
              <w:t>Urban renewal (enabling legislation)</w:t>
            </w:r>
          </w:p>
        </w:tc>
        <w:tc>
          <w:tcPr>
            <w:tcW w:w="1285" w:type="dxa"/>
          </w:tcPr>
          <w:p w14:paraId="62332370" w14:textId="77777777" w:rsidR="0046798B" w:rsidRDefault="0046798B">
            <w:pPr>
              <w:pStyle w:val="TableParagraph"/>
              <w:spacing w:before="3"/>
              <w:rPr>
                <w:sz w:val="23"/>
              </w:rPr>
            </w:pPr>
          </w:p>
          <w:p w14:paraId="5EE36883" w14:textId="77777777" w:rsidR="0046798B" w:rsidRDefault="00903B5C">
            <w:pPr>
              <w:pStyle w:val="TableParagraph"/>
              <w:spacing w:before="1"/>
              <w:ind w:left="114"/>
              <w:rPr>
                <w:sz w:val="20"/>
              </w:rPr>
            </w:pPr>
            <w:r>
              <w:rPr>
                <w:sz w:val="20"/>
              </w:rPr>
              <w:t>1941–1952</w:t>
            </w:r>
          </w:p>
        </w:tc>
        <w:tc>
          <w:tcPr>
            <w:tcW w:w="3421" w:type="dxa"/>
          </w:tcPr>
          <w:p w14:paraId="552D47D9" w14:textId="77777777" w:rsidR="0046798B" w:rsidRDefault="00903B5C">
            <w:pPr>
              <w:pStyle w:val="TableParagraph"/>
              <w:spacing w:before="153"/>
              <w:ind w:left="114" w:right="444"/>
              <w:rPr>
                <w:sz w:val="20"/>
              </w:rPr>
            </w:pPr>
            <w:r>
              <w:rPr>
                <w:sz w:val="20"/>
              </w:rPr>
              <w:t>Did state adopt legislation enabling urban renewal? (0 = no, 1 = yes)</w:t>
            </w:r>
          </w:p>
        </w:tc>
        <w:tc>
          <w:tcPr>
            <w:tcW w:w="6482" w:type="dxa"/>
          </w:tcPr>
          <w:p w14:paraId="452A3D01" w14:textId="77777777" w:rsidR="0046798B" w:rsidRDefault="00903B5C">
            <w:pPr>
              <w:pStyle w:val="TableParagraph"/>
              <w:spacing w:before="153"/>
              <w:ind w:left="114" w:right="683"/>
              <w:rPr>
                <w:sz w:val="20"/>
              </w:rPr>
            </w:pPr>
            <w:r>
              <w:rPr>
                <w:sz w:val="20"/>
              </w:rPr>
              <w:t xml:space="preserve">Boehmke, Frederick J., and Paul Skinner. “State policy innovativeness revisited.” </w:t>
            </w:r>
            <w:r>
              <w:rPr>
                <w:i/>
                <w:sz w:val="20"/>
              </w:rPr>
              <w:t xml:space="preserve">State Politics &amp; Policy Quarterly </w:t>
            </w:r>
            <w:r>
              <w:rPr>
                <w:sz w:val="20"/>
              </w:rPr>
              <w:t>12.3 (2012): 303-329.</w:t>
            </w:r>
          </w:p>
        </w:tc>
      </w:tr>
      <w:tr w:rsidR="0046798B" w14:paraId="7EF96A65" w14:textId="77777777">
        <w:trPr>
          <w:trHeight w:val="1465"/>
        </w:trPr>
        <w:tc>
          <w:tcPr>
            <w:tcW w:w="1711" w:type="dxa"/>
          </w:tcPr>
          <w:p w14:paraId="5AFDF8B6" w14:textId="77777777" w:rsidR="0046798B" w:rsidRDefault="0046798B">
            <w:pPr>
              <w:pStyle w:val="TableParagraph"/>
            </w:pPr>
          </w:p>
          <w:p w14:paraId="5C3B4046" w14:textId="77777777" w:rsidR="0046798B" w:rsidRDefault="0046798B">
            <w:pPr>
              <w:pStyle w:val="TableParagraph"/>
              <w:spacing w:before="4"/>
              <w:rPr>
                <w:sz w:val="21"/>
              </w:rPr>
            </w:pPr>
          </w:p>
          <w:p w14:paraId="681DA0C8" w14:textId="77777777" w:rsidR="0046798B" w:rsidRDefault="00903B5C">
            <w:pPr>
              <w:pStyle w:val="TableParagraph"/>
              <w:ind w:left="115" w:right="88"/>
              <w:rPr>
                <w:b/>
                <w:sz w:val="20"/>
              </w:rPr>
            </w:pPr>
            <w:r>
              <w:rPr>
                <w:b/>
                <w:sz w:val="20"/>
              </w:rPr>
              <w:t>article_1_of_the_ uniform_busines</w:t>
            </w:r>
          </w:p>
        </w:tc>
        <w:tc>
          <w:tcPr>
            <w:tcW w:w="1596" w:type="dxa"/>
          </w:tcPr>
          <w:p w14:paraId="53AE1350" w14:textId="77777777" w:rsidR="0046798B" w:rsidRDefault="00903B5C">
            <w:pPr>
              <w:pStyle w:val="TableParagraph"/>
              <w:spacing w:before="154"/>
              <w:ind w:left="114" w:right="191"/>
              <w:rPr>
                <w:sz w:val="20"/>
              </w:rPr>
            </w:pPr>
            <w:r>
              <w:rPr>
                <w:sz w:val="20"/>
              </w:rPr>
              <w:t>Harmonizes the language of all of the uniform unincorporated entity acts</w:t>
            </w:r>
          </w:p>
        </w:tc>
        <w:tc>
          <w:tcPr>
            <w:tcW w:w="1285" w:type="dxa"/>
          </w:tcPr>
          <w:p w14:paraId="5827CB2A" w14:textId="77777777" w:rsidR="0046798B" w:rsidRDefault="0046798B">
            <w:pPr>
              <w:pStyle w:val="TableParagraph"/>
            </w:pPr>
          </w:p>
          <w:p w14:paraId="09A9E1B4" w14:textId="77777777" w:rsidR="0046798B" w:rsidRDefault="0046798B">
            <w:pPr>
              <w:pStyle w:val="TableParagraph"/>
              <w:spacing w:before="4"/>
              <w:rPr>
                <w:sz w:val="31"/>
              </w:rPr>
            </w:pPr>
          </w:p>
          <w:p w14:paraId="554468E4" w14:textId="77777777" w:rsidR="0046798B" w:rsidRDefault="00903B5C">
            <w:pPr>
              <w:pStyle w:val="TableParagraph"/>
              <w:ind w:left="114"/>
              <w:rPr>
                <w:sz w:val="20"/>
              </w:rPr>
            </w:pPr>
            <w:r>
              <w:rPr>
                <w:sz w:val="20"/>
              </w:rPr>
              <w:t>2015</w:t>
            </w:r>
          </w:p>
        </w:tc>
        <w:tc>
          <w:tcPr>
            <w:tcW w:w="3421" w:type="dxa"/>
          </w:tcPr>
          <w:p w14:paraId="3C78DD01" w14:textId="77777777" w:rsidR="0046798B" w:rsidRDefault="0046798B">
            <w:pPr>
              <w:pStyle w:val="TableParagraph"/>
            </w:pPr>
          </w:p>
          <w:p w14:paraId="03C3319B" w14:textId="77777777" w:rsidR="0046798B" w:rsidRDefault="0046798B">
            <w:pPr>
              <w:pStyle w:val="TableParagraph"/>
              <w:spacing w:before="4"/>
              <w:rPr>
                <w:sz w:val="21"/>
              </w:rPr>
            </w:pPr>
          </w:p>
          <w:p w14:paraId="7252AA4C" w14:textId="77777777" w:rsidR="0046798B" w:rsidRDefault="00903B5C">
            <w:pPr>
              <w:pStyle w:val="TableParagraph"/>
              <w:ind w:left="114" w:right="1475"/>
              <w:rPr>
                <w:sz w:val="20"/>
              </w:rPr>
            </w:pPr>
            <w:r>
              <w:rPr>
                <w:sz w:val="20"/>
              </w:rPr>
              <w:t>0 = policy not adopted 1 = policy adopted</w:t>
            </w:r>
          </w:p>
        </w:tc>
        <w:tc>
          <w:tcPr>
            <w:tcW w:w="6482" w:type="dxa"/>
          </w:tcPr>
          <w:p w14:paraId="685C1F24" w14:textId="77777777" w:rsidR="0046798B" w:rsidRDefault="00903B5C">
            <w:pPr>
              <w:pStyle w:val="TableParagraph"/>
              <w:spacing w:before="39"/>
              <w:ind w:left="114"/>
              <w:rPr>
                <w:sz w:val="20"/>
              </w:rPr>
            </w:pPr>
            <w:r>
              <w:rPr>
                <w:sz w:val="20"/>
              </w:rPr>
              <w:t xml:space="preserve">Uniform Law Commission website: </w:t>
            </w:r>
            <w:hyperlink r:id="rId914">
              <w:r>
                <w:rPr>
                  <w:color w:val="0462C1"/>
                  <w:sz w:val="20"/>
                  <w:u w:val="single" w:color="0462C1"/>
                </w:rPr>
                <w:t>http://www.uniformlaws.org/</w:t>
              </w:r>
            </w:hyperlink>
          </w:p>
          <w:p w14:paraId="312399E5" w14:textId="77777777" w:rsidR="0046798B" w:rsidRDefault="0046798B">
            <w:pPr>
              <w:pStyle w:val="TableParagraph"/>
              <w:spacing w:before="11"/>
              <w:rPr>
                <w:sz w:val="19"/>
              </w:rPr>
            </w:pPr>
          </w:p>
          <w:p w14:paraId="3DD3BCA9"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35E3FFC8" w14:textId="77777777">
        <w:trPr>
          <w:trHeight w:val="1235"/>
        </w:trPr>
        <w:tc>
          <w:tcPr>
            <w:tcW w:w="1711" w:type="dxa"/>
          </w:tcPr>
          <w:p w14:paraId="41739E13" w14:textId="77777777" w:rsidR="0046798B" w:rsidRDefault="0046798B">
            <w:pPr>
              <w:pStyle w:val="TableParagraph"/>
            </w:pPr>
          </w:p>
          <w:p w14:paraId="0B8422A3" w14:textId="77777777" w:rsidR="0046798B" w:rsidRDefault="00903B5C">
            <w:pPr>
              <w:pStyle w:val="TableParagraph"/>
              <w:spacing w:before="135"/>
              <w:ind w:left="115" w:right="154"/>
              <w:rPr>
                <w:b/>
                <w:sz w:val="20"/>
              </w:rPr>
            </w:pPr>
            <w:r>
              <w:rPr>
                <w:b/>
                <w:sz w:val="20"/>
              </w:rPr>
              <w:t>assignment_of_r ents_act</w:t>
            </w:r>
          </w:p>
        </w:tc>
        <w:tc>
          <w:tcPr>
            <w:tcW w:w="1596" w:type="dxa"/>
          </w:tcPr>
          <w:p w14:paraId="6731719F" w14:textId="77777777" w:rsidR="0046798B" w:rsidRDefault="00903B5C">
            <w:pPr>
              <w:pStyle w:val="TableParagraph"/>
              <w:spacing w:before="43"/>
              <w:ind w:left="114" w:right="180"/>
              <w:rPr>
                <w:sz w:val="20"/>
              </w:rPr>
            </w:pPr>
            <w:r>
              <w:rPr>
                <w:sz w:val="20"/>
              </w:rPr>
              <w:t>Establishes a comprehensive statutory model for the creation, perfection, and</w:t>
            </w:r>
          </w:p>
        </w:tc>
        <w:tc>
          <w:tcPr>
            <w:tcW w:w="1285" w:type="dxa"/>
          </w:tcPr>
          <w:p w14:paraId="6EE0D99E" w14:textId="77777777" w:rsidR="0046798B" w:rsidRDefault="0046798B">
            <w:pPr>
              <w:pStyle w:val="TableParagraph"/>
            </w:pPr>
          </w:p>
          <w:p w14:paraId="43098214" w14:textId="77777777" w:rsidR="0046798B" w:rsidRDefault="0046798B">
            <w:pPr>
              <w:pStyle w:val="TableParagraph"/>
              <w:spacing w:before="8"/>
              <w:rPr>
                <w:sz w:val="21"/>
              </w:rPr>
            </w:pPr>
          </w:p>
          <w:p w14:paraId="5ED00085" w14:textId="77777777" w:rsidR="0046798B" w:rsidRDefault="00903B5C">
            <w:pPr>
              <w:pStyle w:val="TableParagraph"/>
              <w:spacing w:before="1"/>
              <w:ind w:left="114"/>
              <w:rPr>
                <w:sz w:val="20"/>
              </w:rPr>
            </w:pPr>
            <w:r>
              <w:rPr>
                <w:sz w:val="20"/>
              </w:rPr>
              <w:t>2007–2013</w:t>
            </w:r>
          </w:p>
        </w:tc>
        <w:tc>
          <w:tcPr>
            <w:tcW w:w="3421" w:type="dxa"/>
          </w:tcPr>
          <w:p w14:paraId="6CB0E48D" w14:textId="77777777" w:rsidR="0046798B" w:rsidRDefault="0046798B">
            <w:pPr>
              <w:pStyle w:val="TableParagraph"/>
            </w:pPr>
          </w:p>
          <w:p w14:paraId="593CE730" w14:textId="77777777" w:rsidR="0046798B" w:rsidRDefault="00903B5C">
            <w:pPr>
              <w:pStyle w:val="TableParagraph"/>
              <w:spacing w:before="135"/>
              <w:ind w:left="114" w:right="1475"/>
              <w:rPr>
                <w:sz w:val="20"/>
              </w:rPr>
            </w:pPr>
            <w:r>
              <w:rPr>
                <w:sz w:val="20"/>
              </w:rPr>
              <w:t>0 = policy not adopted 1 = policy adopted</w:t>
            </w:r>
          </w:p>
        </w:tc>
        <w:tc>
          <w:tcPr>
            <w:tcW w:w="6482" w:type="dxa"/>
          </w:tcPr>
          <w:p w14:paraId="107E00EB" w14:textId="77777777" w:rsidR="0046798B" w:rsidRDefault="00903B5C">
            <w:pPr>
              <w:pStyle w:val="TableParagraph"/>
              <w:spacing w:before="158"/>
              <w:ind w:left="114"/>
              <w:rPr>
                <w:sz w:val="20"/>
              </w:rPr>
            </w:pPr>
            <w:r>
              <w:rPr>
                <w:sz w:val="20"/>
              </w:rPr>
              <w:t xml:space="preserve">Uniform Law Commission website: </w:t>
            </w:r>
            <w:hyperlink r:id="rId915">
              <w:r>
                <w:rPr>
                  <w:color w:val="0462C1"/>
                  <w:sz w:val="20"/>
                  <w:u w:val="single" w:color="0462C1"/>
                </w:rPr>
                <w:t>http://www.uniformlaws.org/</w:t>
              </w:r>
            </w:hyperlink>
          </w:p>
          <w:p w14:paraId="4CF6011A" w14:textId="77777777" w:rsidR="0046798B" w:rsidRDefault="0046798B">
            <w:pPr>
              <w:pStyle w:val="TableParagraph"/>
              <w:rPr>
                <w:sz w:val="20"/>
              </w:rPr>
            </w:pPr>
          </w:p>
          <w:p w14:paraId="14951219"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w:t>
            </w:r>
          </w:p>
        </w:tc>
      </w:tr>
    </w:tbl>
    <w:p w14:paraId="06D86610" w14:textId="77777777" w:rsidR="0046798B" w:rsidRDefault="0046798B">
      <w:pPr>
        <w:rPr>
          <w:sz w:val="20"/>
        </w:rPr>
        <w:sectPr w:rsidR="0046798B">
          <w:pgSz w:w="15840" w:h="12240" w:orient="landscape"/>
          <w:pgMar w:top="1220" w:right="300" w:bottom="980" w:left="820" w:header="730" w:footer="787" w:gutter="0"/>
          <w:cols w:space="720"/>
        </w:sectPr>
      </w:pPr>
    </w:p>
    <w:p w14:paraId="36D03573"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6C6F7C12" w14:textId="77777777">
        <w:trPr>
          <w:trHeight w:val="775"/>
        </w:trPr>
        <w:tc>
          <w:tcPr>
            <w:tcW w:w="1711" w:type="dxa"/>
          </w:tcPr>
          <w:p w14:paraId="6C9F5B1C" w14:textId="77777777" w:rsidR="0046798B" w:rsidRDefault="0046798B">
            <w:pPr>
              <w:pStyle w:val="TableParagraph"/>
              <w:rPr>
                <w:sz w:val="20"/>
              </w:rPr>
            </w:pPr>
          </w:p>
        </w:tc>
        <w:tc>
          <w:tcPr>
            <w:tcW w:w="1596" w:type="dxa"/>
          </w:tcPr>
          <w:p w14:paraId="38773550" w14:textId="77777777" w:rsidR="0046798B" w:rsidRDefault="00903B5C">
            <w:pPr>
              <w:pStyle w:val="TableParagraph"/>
              <w:spacing w:before="43"/>
              <w:ind w:left="114" w:right="102"/>
              <w:rPr>
                <w:sz w:val="20"/>
              </w:rPr>
            </w:pPr>
            <w:r>
              <w:rPr>
                <w:sz w:val="20"/>
              </w:rPr>
              <w:t>enforcement of security interests in rents</w:t>
            </w:r>
          </w:p>
        </w:tc>
        <w:tc>
          <w:tcPr>
            <w:tcW w:w="1285" w:type="dxa"/>
          </w:tcPr>
          <w:p w14:paraId="50450684" w14:textId="77777777" w:rsidR="0046798B" w:rsidRDefault="0046798B">
            <w:pPr>
              <w:pStyle w:val="TableParagraph"/>
              <w:rPr>
                <w:sz w:val="20"/>
              </w:rPr>
            </w:pPr>
          </w:p>
        </w:tc>
        <w:tc>
          <w:tcPr>
            <w:tcW w:w="3421" w:type="dxa"/>
          </w:tcPr>
          <w:p w14:paraId="0317E899" w14:textId="77777777" w:rsidR="0046798B" w:rsidRDefault="0046798B">
            <w:pPr>
              <w:pStyle w:val="TableParagraph"/>
              <w:rPr>
                <w:sz w:val="20"/>
              </w:rPr>
            </w:pPr>
          </w:p>
        </w:tc>
        <w:tc>
          <w:tcPr>
            <w:tcW w:w="6482" w:type="dxa"/>
          </w:tcPr>
          <w:p w14:paraId="4742E59C" w14:textId="77777777" w:rsidR="0046798B" w:rsidRDefault="00903B5C">
            <w:pPr>
              <w:pStyle w:val="TableParagraph"/>
              <w:spacing w:before="43"/>
              <w:ind w:left="114" w:right="2377"/>
              <w:rPr>
                <w:sz w:val="20"/>
              </w:rPr>
            </w:pPr>
            <w:r>
              <w:rPr>
                <w:sz w:val="20"/>
              </w:rPr>
              <w:t>Innovation and Diffusion (SPID) Database v1.0”, https://doi.org/10.7910/DVN/CVYSR7</w:t>
            </w:r>
          </w:p>
        </w:tc>
      </w:tr>
      <w:tr w:rsidR="0046798B" w14:paraId="60126DF9" w14:textId="77777777">
        <w:trPr>
          <w:trHeight w:val="1465"/>
        </w:trPr>
        <w:tc>
          <w:tcPr>
            <w:tcW w:w="1711" w:type="dxa"/>
          </w:tcPr>
          <w:p w14:paraId="0BF7ACB0" w14:textId="77777777" w:rsidR="0046798B" w:rsidRDefault="0046798B">
            <w:pPr>
              <w:pStyle w:val="TableParagraph"/>
            </w:pPr>
          </w:p>
          <w:p w14:paraId="37A89003" w14:textId="77777777" w:rsidR="0046798B" w:rsidRDefault="0046798B">
            <w:pPr>
              <w:pStyle w:val="TableParagraph"/>
              <w:spacing w:before="8"/>
              <w:rPr>
                <w:sz w:val="21"/>
              </w:rPr>
            </w:pPr>
          </w:p>
          <w:p w14:paraId="58A9A625" w14:textId="77777777" w:rsidR="0046798B" w:rsidRDefault="00903B5C">
            <w:pPr>
              <w:pStyle w:val="TableParagraph"/>
              <w:spacing w:before="1"/>
              <w:ind w:left="115" w:right="110"/>
              <w:rPr>
                <w:b/>
                <w:sz w:val="20"/>
              </w:rPr>
            </w:pPr>
            <w:r>
              <w:rPr>
                <w:b/>
                <w:sz w:val="20"/>
              </w:rPr>
              <w:t>business_organiz ations_code</w:t>
            </w:r>
          </w:p>
        </w:tc>
        <w:tc>
          <w:tcPr>
            <w:tcW w:w="1596" w:type="dxa"/>
          </w:tcPr>
          <w:p w14:paraId="7F57B839" w14:textId="77777777" w:rsidR="0046798B" w:rsidRDefault="00903B5C">
            <w:pPr>
              <w:pStyle w:val="TableParagraph"/>
              <w:spacing w:before="43"/>
              <w:ind w:left="114" w:right="129"/>
              <w:rPr>
                <w:sz w:val="20"/>
              </w:rPr>
            </w:pPr>
            <w:r>
              <w:rPr>
                <w:sz w:val="20"/>
              </w:rPr>
              <w:t xml:space="preserve">Creates </w:t>
            </w:r>
            <w:r>
              <w:rPr>
                <w:spacing w:val="-3"/>
                <w:sz w:val="20"/>
              </w:rPr>
              <w:t xml:space="preserve">statutory </w:t>
            </w:r>
            <w:r>
              <w:rPr>
                <w:sz w:val="20"/>
              </w:rPr>
              <w:t>structure for organizing business and nonprofit entities</w:t>
            </w:r>
          </w:p>
        </w:tc>
        <w:tc>
          <w:tcPr>
            <w:tcW w:w="1285" w:type="dxa"/>
          </w:tcPr>
          <w:p w14:paraId="63435A4A" w14:textId="77777777" w:rsidR="0046798B" w:rsidRDefault="0046798B">
            <w:pPr>
              <w:pStyle w:val="TableParagraph"/>
            </w:pPr>
          </w:p>
          <w:p w14:paraId="29EBC531" w14:textId="77777777" w:rsidR="0046798B" w:rsidRDefault="0046798B">
            <w:pPr>
              <w:pStyle w:val="TableParagraph"/>
              <w:spacing w:before="8"/>
              <w:rPr>
                <w:sz w:val="31"/>
              </w:rPr>
            </w:pPr>
          </w:p>
          <w:p w14:paraId="54F8A963" w14:textId="77777777" w:rsidR="0046798B" w:rsidRDefault="00903B5C">
            <w:pPr>
              <w:pStyle w:val="TableParagraph"/>
              <w:spacing w:before="1"/>
              <w:ind w:left="114"/>
              <w:rPr>
                <w:sz w:val="20"/>
              </w:rPr>
            </w:pPr>
            <w:r>
              <w:rPr>
                <w:sz w:val="20"/>
              </w:rPr>
              <w:t>2015</w:t>
            </w:r>
          </w:p>
        </w:tc>
        <w:tc>
          <w:tcPr>
            <w:tcW w:w="3421" w:type="dxa"/>
          </w:tcPr>
          <w:p w14:paraId="62872AD5" w14:textId="77777777" w:rsidR="0046798B" w:rsidRDefault="0046798B">
            <w:pPr>
              <w:pStyle w:val="TableParagraph"/>
            </w:pPr>
          </w:p>
          <w:p w14:paraId="76830E7C" w14:textId="77777777" w:rsidR="0046798B" w:rsidRDefault="0046798B">
            <w:pPr>
              <w:pStyle w:val="TableParagraph"/>
              <w:spacing w:before="8"/>
              <w:rPr>
                <w:sz w:val="21"/>
              </w:rPr>
            </w:pPr>
          </w:p>
          <w:p w14:paraId="1CCF9479"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627FAF4F" w14:textId="77777777" w:rsidR="0046798B" w:rsidRDefault="00903B5C">
            <w:pPr>
              <w:pStyle w:val="TableParagraph"/>
              <w:spacing w:before="43"/>
              <w:ind w:left="114"/>
              <w:rPr>
                <w:sz w:val="20"/>
              </w:rPr>
            </w:pPr>
            <w:r>
              <w:rPr>
                <w:sz w:val="20"/>
              </w:rPr>
              <w:t xml:space="preserve">Uniform Law Commission website: </w:t>
            </w:r>
            <w:hyperlink r:id="rId916">
              <w:r>
                <w:rPr>
                  <w:color w:val="0462C1"/>
                  <w:sz w:val="20"/>
                  <w:u w:val="single" w:color="0462C1"/>
                </w:rPr>
                <w:t>http://www.uniformlaws.org/</w:t>
              </w:r>
            </w:hyperlink>
          </w:p>
          <w:p w14:paraId="5775633B" w14:textId="77777777" w:rsidR="0046798B" w:rsidRDefault="0046798B">
            <w:pPr>
              <w:pStyle w:val="TableParagraph"/>
              <w:rPr>
                <w:sz w:val="20"/>
              </w:rPr>
            </w:pPr>
          </w:p>
          <w:p w14:paraId="4D6CC019"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662D5F3E" w14:textId="77777777">
        <w:trPr>
          <w:trHeight w:val="1470"/>
        </w:trPr>
        <w:tc>
          <w:tcPr>
            <w:tcW w:w="1711" w:type="dxa"/>
          </w:tcPr>
          <w:p w14:paraId="3E11E311" w14:textId="77777777" w:rsidR="0046798B" w:rsidRDefault="0046798B">
            <w:pPr>
              <w:pStyle w:val="TableParagraph"/>
            </w:pPr>
          </w:p>
          <w:p w14:paraId="4F40D572" w14:textId="77777777" w:rsidR="0046798B" w:rsidRDefault="00903B5C">
            <w:pPr>
              <w:pStyle w:val="TableParagraph"/>
              <w:spacing w:before="135"/>
              <w:ind w:left="115"/>
              <w:rPr>
                <w:b/>
                <w:sz w:val="20"/>
              </w:rPr>
            </w:pPr>
            <w:r>
              <w:rPr>
                <w:b/>
                <w:sz w:val="20"/>
              </w:rPr>
              <w:t>commercial_real</w:t>
            </w:r>
          </w:p>
          <w:p w14:paraId="05496131" w14:textId="77777777" w:rsidR="0046798B" w:rsidRDefault="00903B5C">
            <w:pPr>
              <w:pStyle w:val="TableParagraph"/>
              <w:ind w:left="115"/>
              <w:rPr>
                <w:b/>
                <w:sz w:val="20"/>
              </w:rPr>
            </w:pPr>
            <w:r>
              <w:rPr>
                <w:b/>
                <w:sz w:val="20"/>
              </w:rPr>
              <w:t>_estate_receivers</w:t>
            </w:r>
          </w:p>
        </w:tc>
        <w:tc>
          <w:tcPr>
            <w:tcW w:w="1596" w:type="dxa"/>
          </w:tcPr>
          <w:p w14:paraId="6B22420E" w14:textId="77777777" w:rsidR="0046798B" w:rsidRDefault="00903B5C">
            <w:pPr>
              <w:pStyle w:val="TableParagraph"/>
              <w:spacing w:before="43"/>
              <w:ind w:left="114" w:right="169"/>
              <w:rPr>
                <w:sz w:val="20"/>
              </w:rPr>
            </w:pPr>
            <w:r>
              <w:rPr>
                <w:sz w:val="20"/>
              </w:rPr>
              <w:t>Provides a standard set of rules for courts to apply for real estate receivership</w:t>
            </w:r>
          </w:p>
        </w:tc>
        <w:tc>
          <w:tcPr>
            <w:tcW w:w="1285" w:type="dxa"/>
          </w:tcPr>
          <w:p w14:paraId="1C4D0834" w14:textId="77777777" w:rsidR="0046798B" w:rsidRDefault="0046798B">
            <w:pPr>
              <w:pStyle w:val="TableParagraph"/>
            </w:pPr>
          </w:p>
          <w:p w14:paraId="524062C5" w14:textId="77777777" w:rsidR="0046798B" w:rsidRDefault="0046798B">
            <w:pPr>
              <w:pStyle w:val="TableParagraph"/>
              <w:spacing w:before="9"/>
              <w:rPr>
                <w:sz w:val="31"/>
              </w:rPr>
            </w:pPr>
          </w:p>
          <w:p w14:paraId="0B19FC08" w14:textId="77777777" w:rsidR="0046798B" w:rsidRDefault="00903B5C">
            <w:pPr>
              <w:pStyle w:val="TableParagraph"/>
              <w:ind w:left="114"/>
              <w:rPr>
                <w:sz w:val="20"/>
              </w:rPr>
            </w:pPr>
            <w:r>
              <w:rPr>
                <w:sz w:val="20"/>
              </w:rPr>
              <w:t>2017</w:t>
            </w:r>
          </w:p>
        </w:tc>
        <w:tc>
          <w:tcPr>
            <w:tcW w:w="3421" w:type="dxa"/>
          </w:tcPr>
          <w:p w14:paraId="7EE677EC" w14:textId="77777777" w:rsidR="0046798B" w:rsidRDefault="0046798B">
            <w:pPr>
              <w:pStyle w:val="TableParagraph"/>
            </w:pPr>
          </w:p>
          <w:p w14:paraId="6A93A1B3" w14:textId="77777777" w:rsidR="0046798B" w:rsidRDefault="0046798B">
            <w:pPr>
              <w:pStyle w:val="TableParagraph"/>
              <w:spacing w:before="9"/>
              <w:rPr>
                <w:sz w:val="21"/>
              </w:rPr>
            </w:pPr>
          </w:p>
          <w:p w14:paraId="3CAF51BB" w14:textId="77777777" w:rsidR="0046798B" w:rsidRDefault="00903B5C">
            <w:pPr>
              <w:pStyle w:val="TableParagraph"/>
              <w:ind w:left="114" w:right="1475"/>
              <w:rPr>
                <w:sz w:val="20"/>
              </w:rPr>
            </w:pPr>
            <w:r>
              <w:rPr>
                <w:sz w:val="20"/>
              </w:rPr>
              <w:t>0 = policy not adopted 1 = policy adopted</w:t>
            </w:r>
          </w:p>
        </w:tc>
        <w:tc>
          <w:tcPr>
            <w:tcW w:w="6482" w:type="dxa"/>
          </w:tcPr>
          <w:p w14:paraId="2CDF3685" w14:textId="77777777" w:rsidR="0046798B" w:rsidRDefault="00903B5C">
            <w:pPr>
              <w:pStyle w:val="TableParagraph"/>
              <w:spacing w:before="43"/>
              <w:ind w:left="114"/>
              <w:rPr>
                <w:sz w:val="20"/>
              </w:rPr>
            </w:pPr>
            <w:r>
              <w:rPr>
                <w:sz w:val="20"/>
              </w:rPr>
              <w:t xml:space="preserve">Uniform Law Commission website: </w:t>
            </w:r>
            <w:hyperlink r:id="rId917">
              <w:r>
                <w:rPr>
                  <w:color w:val="0462C1"/>
                  <w:sz w:val="20"/>
                  <w:u w:val="single" w:color="0462C1"/>
                </w:rPr>
                <w:t>http://www.uniformlaws.org/</w:t>
              </w:r>
            </w:hyperlink>
          </w:p>
          <w:p w14:paraId="0A3B6004" w14:textId="77777777" w:rsidR="0046798B" w:rsidRDefault="0046798B">
            <w:pPr>
              <w:pStyle w:val="TableParagraph"/>
              <w:rPr>
                <w:sz w:val="20"/>
              </w:rPr>
            </w:pPr>
          </w:p>
          <w:p w14:paraId="22DF28CF"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41AEF5E0" w14:textId="77777777">
        <w:trPr>
          <w:trHeight w:val="1695"/>
        </w:trPr>
        <w:tc>
          <w:tcPr>
            <w:tcW w:w="1711" w:type="dxa"/>
          </w:tcPr>
          <w:p w14:paraId="75ABC9C0" w14:textId="77777777" w:rsidR="0046798B" w:rsidRDefault="0046798B">
            <w:pPr>
              <w:pStyle w:val="TableParagraph"/>
            </w:pPr>
          </w:p>
          <w:p w14:paraId="5A67D118" w14:textId="77777777" w:rsidR="0046798B" w:rsidRDefault="00903B5C">
            <w:pPr>
              <w:pStyle w:val="TableParagraph"/>
              <w:spacing w:before="130"/>
              <w:ind w:left="115"/>
              <w:rPr>
                <w:b/>
                <w:sz w:val="20"/>
              </w:rPr>
            </w:pPr>
            <w:r>
              <w:rPr>
                <w:b/>
                <w:sz w:val="20"/>
              </w:rPr>
              <w:t>common_interest</w:t>
            </w:r>
          </w:p>
          <w:p w14:paraId="5BCD79C8" w14:textId="77777777" w:rsidR="0046798B" w:rsidRDefault="00903B5C">
            <w:pPr>
              <w:pStyle w:val="TableParagraph"/>
              <w:ind w:left="115" w:right="110"/>
              <w:rPr>
                <w:b/>
                <w:sz w:val="20"/>
              </w:rPr>
            </w:pPr>
            <w:r>
              <w:rPr>
                <w:b/>
                <w:sz w:val="20"/>
              </w:rPr>
              <w:t>_owners_bill_of_ r</w:t>
            </w:r>
          </w:p>
        </w:tc>
        <w:tc>
          <w:tcPr>
            <w:tcW w:w="1596" w:type="dxa"/>
          </w:tcPr>
          <w:p w14:paraId="74C5D55B" w14:textId="77777777" w:rsidR="0046798B" w:rsidRDefault="00903B5C">
            <w:pPr>
              <w:pStyle w:val="TableParagraph"/>
              <w:spacing w:before="38"/>
              <w:ind w:left="114" w:right="191"/>
              <w:rPr>
                <w:sz w:val="20"/>
              </w:rPr>
            </w:pPr>
            <w:r>
              <w:rPr>
                <w:sz w:val="20"/>
              </w:rPr>
              <w:t>Governs the formation, management, and termination of common interest communities</w:t>
            </w:r>
          </w:p>
        </w:tc>
        <w:tc>
          <w:tcPr>
            <w:tcW w:w="1285" w:type="dxa"/>
          </w:tcPr>
          <w:p w14:paraId="6496ECE2" w14:textId="77777777" w:rsidR="0046798B" w:rsidRDefault="0046798B">
            <w:pPr>
              <w:pStyle w:val="TableParagraph"/>
            </w:pPr>
          </w:p>
          <w:p w14:paraId="0D0A7871" w14:textId="77777777" w:rsidR="0046798B" w:rsidRDefault="0046798B">
            <w:pPr>
              <w:pStyle w:val="TableParagraph"/>
            </w:pPr>
          </w:p>
          <w:p w14:paraId="65BB2E76" w14:textId="77777777" w:rsidR="0046798B" w:rsidRDefault="0046798B">
            <w:pPr>
              <w:pStyle w:val="TableParagraph"/>
              <w:spacing w:before="4"/>
              <w:rPr>
                <w:sz w:val="19"/>
              </w:rPr>
            </w:pPr>
          </w:p>
          <w:p w14:paraId="58F25389" w14:textId="77777777" w:rsidR="0046798B" w:rsidRDefault="00903B5C">
            <w:pPr>
              <w:pStyle w:val="TableParagraph"/>
              <w:ind w:left="114"/>
              <w:rPr>
                <w:sz w:val="20"/>
              </w:rPr>
            </w:pPr>
            <w:r>
              <w:rPr>
                <w:sz w:val="20"/>
              </w:rPr>
              <w:t>2010</w:t>
            </w:r>
          </w:p>
        </w:tc>
        <w:tc>
          <w:tcPr>
            <w:tcW w:w="3421" w:type="dxa"/>
          </w:tcPr>
          <w:p w14:paraId="637B9379" w14:textId="77777777" w:rsidR="0046798B" w:rsidRDefault="0046798B">
            <w:pPr>
              <w:pStyle w:val="TableParagraph"/>
            </w:pPr>
          </w:p>
          <w:p w14:paraId="16D56798" w14:textId="77777777" w:rsidR="0046798B" w:rsidRDefault="0046798B">
            <w:pPr>
              <w:pStyle w:val="TableParagraph"/>
              <w:spacing w:before="4"/>
              <w:rPr>
                <w:sz w:val="31"/>
              </w:rPr>
            </w:pPr>
          </w:p>
          <w:p w14:paraId="13F3F582" w14:textId="77777777" w:rsidR="0046798B" w:rsidRDefault="00903B5C">
            <w:pPr>
              <w:pStyle w:val="TableParagraph"/>
              <w:ind w:left="114" w:right="1475"/>
              <w:rPr>
                <w:sz w:val="20"/>
              </w:rPr>
            </w:pPr>
            <w:r>
              <w:rPr>
                <w:sz w:val="20"/>
              </w:rPr>
              <w:t>0 = policy not adopted 1 = policy adopted</w:t>
            </w:r>
          </w:p>
        </w:tc>
        <w:tc>
          <w:tcPr>
            <w:tcW w:w="6482" w:type="dxa"/>
          </w:tcPr>
          <w:p w14:paraId="111E340D" w14:textId="77777777" w:rsidR="0046798B" w:rsidRDefault="00903B5C">
            <w:pPr>
              <w:pStyle w:val="TableParagraph"/>
              <w:spacing w:before="153"/>
              <w:ind w:left="114"/>
              <w:rPr>
                <w:sz w:val="20"/>
              </w:rPr>
            </w:pPr>
            <w:r>
              <w:rPr>
                <w:sz w:val="20"/>
              </w:rPr>
              <w:t xml:space="preserve">Uniform Law Commission website: </w:t>
            </w:r>
            <w:hyperlink r:id="rId918">
              <w:r>
                <w:rPr>
                  <w:color w:val="0462C1"/>
                  <w:sz w:val="20"/>
                  <w:u w:val="single" w:color="0462C1"/>
                </w:rPr>
                <w:t>http://www.uniformlaws.org/</w:t>
              </w:r>
            </w:hyperlink>
          </w:p>
          <w:p w14:paraId="4EBF9690" w14:textId="77777777" w:rsidR="0046798B" w:rsidRDefault="0046798B">
            <w:pPr>
              <w:pStyle w:val="TableParagraph"/>
              <w:rPr>
                <w:sz w:val="20"/>
              </w:rPr>
            </w:pPr>
          </w:p>
          <w:p w14:paraId="26FFE2DD"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4DCAA5E2" w14:textId="77777777">
        <w:trPr>
          <w:trHeight w:val="1925"/>
        </w:trPr>
        <w:tc>
          <w:tcPr>
            <w:tcW w:w="1711" w:type="dxa"/>
          </w:tcPr>
          <w:p w14:paraId="701B780D" w14:textId="77777777" w:rsidR="0046798B" w:rsidRDefault="0046798B">
            <w:pPr>
              <w:pStyle w:val="TableParagraph"/>
            </w:pPr>
          </w:p>
          <w:p w14:paraId="68D97737" w14:textId="77777777" w:rsidR="0046798B" w:rsidRDefault="0046798B">
            <w:pPr>
              <w:pStyle w:val="TableParagraph"/>
              <w:spacing w:before="3"/>
              <w:rPr>
                <w:sz w:val="21"/>
              </w:rPr>
            </w:pPr>
          </w:p>
          <w:p w14:paraId="79BF79C7" w14:textId="77777777" w:rsidR="0046798B" w:rsidRDefault="00903B5C">
            <w:pPr>
              <w:pStyle w:val="TableParagraph"/>
              <w:spacing w:before="1"/>
              <w:ind w:left="115"/>
              <w:rPr>
                <w:b/>
                <w:sz w:val="20"/>
              </w:rPr>
            </w:pPr>
            <w:r>
              <w:rPr>
                <w:b/>
                <w:sz w:val="20"/>
              </w:rPr>
              <w:t>common_interest</w:t>
            </w:r>
          </w:p>
          <w:p w14:paraId="41AFD0B6" w14:textId="77777777" w:rsidR="0046798B" w:rsidRDefault="00903B5C">
            <w:pPr>
              <w:pStyle w:val="TableParagraph"/>
              <w:ind w:left="115" w:right="166"/>
              <w:rPr>
                <w:b/>
                <w:sz w:val="20"/>
              </w:rPr>
            </w:pPr>
            <w:r>
              <w:rPr>
                <w:b/>
                <w:w w:val="95"/>
                <w:sz w:val="20"/>
              </w:rPr>
              <w:t xml:space="preserve">_ownership_act_ </w:t>
            </w:r>
            <w:r>
              <w:rPr>
                <w:b/>
                <w:sz w:val="20"/>
              </w:rPr>
              <w:t>1</w:t>
            </w:r>
          </w:p>
        </w:tc>
        <w:tc>
          <w:tcPr>
            <w:tcW w:w="1596" w:type="dxa"/>
          </w:tcPr>
          <w:p w14:paraId="10E6B50E" w14:textId="77777777" w:rsidR="0046798B" w:rsidRDefault="00903B5C">
            <w:pPr>
              <w:pStyle w:val="TableParagraph"/>
              <w:spacing w:before="38"/>
              <w:ind w:left="114" w:right="191"/>
              <w:rPr>
                <w:sz w:val="20"/>
              </w:rPr>
            </w:pPr>
            <w:r>
              <w:rPr>
                <w:sz w:val="20"/>
              </w:rPr>
              <w:t>Governs the formation, management, and termination of common interest communities (1982 version)</w:t>
            </w:r>
          </w:p>
        </w:tc>
        <w:tc>
          <w:tcPr>
            <w:tcW w:w="1285" w:type="dxa"/>
          </w:tcPr>
          <w:p w14:paraId="7DBC92E1" w14:textId="77777777" w:rsidR="0046798B" w:rsidRDefault="0046798B">
            <w:pPr>
              <w:pStyle w:val="TableParagraph"/>
            </w:pPr>
          </w:p>
          <w:p w14:paraId="465BB5CD" w14:textId="77777777" w:rsidR="0046798B" w:rsidRDefault="0046798B">
            <w:pPr>
              <w:pStyle w:val="TableParagraph"/>
            </w:pPr>
          </w:p>
          <w:p w14:paraId="475A6140" w14:textId="77777777" w:rsidR="0046798B" w:rsidRDefault="0046798B">
            <w:pPr>
              <w:pStyle w:val="TableParagraph"/>
              <w:spacing w:before="3"/>
              <w:rPr>
                <w:sz w:val="29"/>
              </w:rPr>
            </w:pPr>
          </w:p>
          <w:p w14:paraId="71519DAD" w14:textId="77777777" w:rsidR="0046798B" w:rsidRDefault="00903B5C">
            <w:pPr>
              <w:pStyle w:val="TableParagraph"/>
              <w:spacing w:before="1"/>
              <w:ind w:left="114"/>
              <w:rPr>
                <w:sz w:val="20"/>
              </w:rPr>
            </w:pPr>
            <w:r>
              <w:rPr>
                <w:sz w:val="20"/>
              </w:rPr>
              <w:t>1983–1993</w:t>
            </w:r>
          </w:p>
        </w:tc>
        <w:tc>
          <w:tcPr>
            <w:tcW w:w="3421" w:type="dxa"/>
          </w:tcPr>
          <w:p w14:paraId="631AF659" w14:textId="77777777" w:rsidR="0046798B" w:rsidRDefault="0046798B">
            <w:pPr>
              <w:pStyle w:val="TableParagraph"/>
            </w:pPr>
          </w:p>
          <w:p w14:paraId="1C69A1F4" w14:textId="77777777" w:rsidR="0046798B" w:rsidRDefault="0046798B">
            <w:pPr>
              <w:pStyle w:val="TableParagraph"/>
            </w:pPr>
          </w:p>
          <w:p w14:paraId="1B76DD84" w14:textId="77777777" w:rsidR="0046798B" w:rsidRDefault="0046798B">
            <w:pPr>
              <w:pStyle w:val="TableParagraph"/>
              <w:spacing w:before="3"/>
              <w:rPr>
                <w:sz w:val="19"/>
              </w:rPr>
            </w:pPr>
          </w:p>
          <w:p w14:paraId="3A1CDC8E"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004617FE" w14:textId="77777777" w:rsidR="0046798B" w:rsidRDefault="0046798B">
            <w:pPr>
              <w:pStyle w:val="TableParagraph"/>
              <w:spacing w:before="3"/>
              <w:rPr>
                <w:sz w:val="23"/>
              </w:rPr>
            </w:pPr>
          </w:p>
          <w:p w14:paraId="1C132E09" w14:textId="77777777" w:rsidR="0046798B" w:rsidRDefault="00903B5C">
            <w:pPr>
              <w:pStyle w:val="TableParagraph"/>
              <w:spacing w:before="1"/>
              <w:ind w:left="114"/>
              <w:rPr>
                <w:sz w:val="20"/>
              </w:rPr>
            </w:pPr>
            <w:r>
              <w:rPr>
                <w:sz w:val="20"/>
              </w:rPr>
              <w:t xml:space="preserve">Uniform Law Commission website: </w:t>
            </w:r>
            <w:hyperlink r:id="rId919">
              <w:r>
                <w:rPr>
                  <w:color w:val="0462C1"/>
                  <w:sz w:val="20"/>
                  <w:u w:val="single" w:color="0462C1"/>
                </w:rPr>
                <w:t>http://www.uniformlaws.org/</w:t>
              </w:r>
            </w:hyperlink>
          </w:p>
          <w:p w14:paraId="26D9E30B" w14:textId="77777777" w:rsidR="0046798B" w:rsidRDefault="0046798B">
            <w:pPr>
              <w:pStyle w:val="TableParagraph"/>
              <w:spacing w:before="11"/>
              <w:rPr>
                <w:sz w:val="19"/>
              </w:rPr>
            </w:pPr>
          </w:p>
          <w:p w14:paraId="0FE7E1B5"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4B475B4B" w14:textId="77777777">
        <w:trPr>
          <w:trHeight w:val="1925"/>
        </w:trPr>
        <w:tc>
          <w:tcPr>
            <w:tcW w:w="1711" w:type="dxa"/>
          </w:tcPr>
          <w:p w14:paraId="724AB3BA" w14:textId="77777777" w:rsidR="0046798B" w:rsidRDefault="0046798B">
            <w:pPr>
              <w:pStyle w:val="TableParagraph"/>
            </w:pPr>
          </w:p>
          <w:p w14:paraId="36DDE49A" w14:textId="77777777" w:rsidR="0046798B" w:rsidRDefault="00903B5C">
            <w:pPr>
              <w:pStyle w:val="TableParagraph"/>
              <w:spacing w:before="130"/>
              <w:ind w:left="115"/>
              <w:rPr>
                <w:b/>
                <w:sz w:val="20"/>
              </w:rPr>
            </w:pPr>
            <w:r>
              <w:rPr>
                <w:b/>
                <w:sz w:val="20"/>
              </w:rPr>
              <w:t>common_interest</w:t>
            </w:r>
          </w:p>
          <w:p w14:paraId="7997AF80" w14:textId="77777777" w:rsidR="0046798B" w:rsidRDefault="00903B5C">
            <w:pPr>
              <w:pStyle w:val="TableParagraph"/>
              <w:ind w:left="115" w:right="166"/>
              <w:rPr>
                <w:b/>
                <w:sz w:val="20"/>
              </w:rPr>
            </w:pPr>
            <w:r>
              <w:rPr>
                <w:b/>
                <w:w w:val="95"/>
                <w:sz w:val="20"/>
              </w:rPr>
              <w:t xml:space="preserve">_ownership_act_ </w:t>
            </w:r>
            <w:r>
              <w:rPr>
                <w:b/>
                <w:sz w:val="20"/>
              </w:rPr>
              <w:t>2</w:t>
            </w:r>
          </w:p>
        </w:tc>
        <w:tc>
          <w:tcPr>
            <w:tcW w:w="1596" w:type="dxa"/>
          </w:tcPr>
          <w:p w14:paraId="4B34AD3F" w14:textId="77777777" w:rsidR="0046798B" w:rsidRDefault="00903B5C">
            <w:pPr>
              <w:pStyle w:val="TableParagraph"/>
              <w:spacing w:before="38"/>
              <w:ind w:left="114" w:right="191"/>
              <w:rPr>
                <w:sz w:val="20"/>
              </w:rPr>
            </w:pPr>
            <w:r>
              <w:rPr>
                <w:sz w:val="20"/>
              </w:rPr>
              <w:t>Governs the formation, management, and termination of common interest communities (2008 version)</w:t>
            </w:r>
          </w:p>
        </w:tc>
        <w:tc>
          <w:tcPr>
            <w:tcW w:w="1285" w:type="dxa"/>
          </w:tcPr>
          <w:p w14:paraId="3EE72B85" w14:textId="77777777" w:rsidR="0046798B" w:rsidRDefault="0046798B">
            <w:pPr>
              <w:pStyle w:val="TableParagraph"/>
            </w:pPr>
          </w:p>
          <w:p w14:paraId="457D5ACB" w14:textId="77777777" w:rsidR="0046798B" w:rsidRDefault="0046798B">
            <w:pPr>
              <w:pStyle w:val="TableParagraph"/>
            </w:pPr>
          </w:p>
          <w:p w14:paraId="7510F08A" w14:textId="77777777" w:rsidR="0046798B" w:rsidRDefault="0046798B">
            <w:pPr>
              <w:pStyle w:val="TableParagraph"/>
              <w:spacing w:before="4"/>
              <w:rPr>
                <w:sz w:val="29"/>
              </w:rPr>
            </w:pPr>
          </w:p>
          <w:p w14:paraId="25E8D353" w14:textId="77777777" w:rsidR="0046798B" w:rsidRDefault="00903B5C">
            <w:pPr>
              <w:pStyle w:val="TableParagraph"/>
              <w:ind w:left="114"/>
              <w:rPr>
                <w:sz w:val="20"/>
              </w:rPr>
            </w:pPr>
            <w:r>
              <w:rPr>
                <w:sz w:val="20"/>
              </w:rPr>
              <w:t>2009–2010</w:t>
            </w:r>
          </w:p>
        </w:tc>
        <w:tc>
          <w:tcPr>
            <w:tcW w:w="3421" w:type="dxa"/>
          </w:tcPr>
          <w:p w14:paraId="6FFFCDEC" w14:textId="77777777" w:rsidR="0046798B" w:rsidRDefault="0046798B">
            <w:pPr>
              <w:pStyle w:val="TableParagraph"/>
            </w:pPr>
          </w:p>
          <w:p w14:paraId="438BCE78" w14:textId="77777777" w:rsidR="0046798B" w:rsidRDefault="0046798B">
            <w:pPr>
              <w:pStyle w:val="TableParagraph"/>
            </w:pPr>
          </w:p>
          <w:p w14:paraId="657CB59F" w14:textId="77777777" w:rsidR="0046798B" w:rsidRDefault="0046798B">
            <w:pPr>
              <w:pStyle w:val="TableParagraph"/>
              <w:spacing w:before="4"/>
              <w:rPr>
                <w:sz w:val="19"/>
              </w:rPr>
            </w:pPr>
          </w:p>
          <w:p w14:paraId="7C508168" w14:textId="77777777" w:rsidR="0046798B" w:rsidRDefault="00903B5C">
            <w:pPr>
              <w:pStyle w:val="TableParagraph"/>
              <w:ind w:left="114" w:right="1475"/>
              <w:rPr>
                <w:sz w:val="20"/>
              </w:rPr>
            </w:pPr>
            <w:r>
              <w:rPr>
                <w:sz w:val="20"/>
              </w:rPr>
              <w:t>0 = policy not adopted 1 = policy adopted</w:t>
            </w:r>
          </w:p>
        </w:tc>
        <w:tc>
          <w:tcPr>
            <w:tcW w:w="6482" w:type="dxa"/>
          </w:tcPr>
          <w:p w14:paraId="37815B28" w14:textId="77777777" w:rsidR="0046798B" w:rsidRDefault="0046798B">
            <w:pPr>
              <w:pStyle w:val="TableParagraph"/>
              <w:spacing w:before="4"/>
              <w:rPr>
                <w:sz w:val="23"/>
              </w:rPr>
            </w:pPr>
          </w:p>
          <w:p w14:paraId="7892E86B" w14:textId="77777777" w:rsidR="0046798B" w:rsidRDefault="00903B5C">
            <w:pPr>
              <w:pStyle w:val="TableParagraph"/>
              <w:ind w:left="114"/>
              <w:rPr>
                <w:sz w:val="20"/>
              </w:rPr>
            </w:pPr>
            <w:r>
              <w:rPr>
                <w:sz w:val="20"/>
              </w:rPr>
              <w:t xml:space="preserve">Uniform Law Commission website: </w:t>
            </w:r>
            <w:hyperlink r:id="rId920">
              <w:r>
                <w:rPr>
                  <w:color w:val="0462C1"/>
                  <w:sz w:val="20"/>
                  <w:u w:val="single" w:color="0462C1"/>
                </w:rPr>
                <w:t>http://www.uniformlaws.org/</w:t>
              </w:r>
            </w:hyperlink>
          </w:p>
          <w:p w14:paraId="36EB3760" w14:textId="77777777" w:rsidR="0046798B" w:rsidRDefault="0046798B">
            <w:pPr>
              <w:pStyle w:val="TableParagraph"/>
              <w:rPr>
                <w:sz w:val="20"/>
              </w:rPr>
            </w:pPr>
          </w:p>
          <w:p w14:paraId="78B823EE"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bl>
    <w:p w14:paraId="0B863393" w14:textId="77777777" w:rsidR="0046798B" w:rsidRDefault="0046798B">
      <w:pPr>
        <w:rPr>
          <w:sz w:val="20"/>
        </w:rPr>
        <w:sectPr w:rsidR="0046798B">
          <w:pgSz w:w="15840" w:h="12240" w:orient="landscape"/>
          <w:pgMar w:top="1220" w:right="300" w:bottom="980" w:left="820" w:header="730" w:footer="787" w:gutter="0"/>
          <w:cols w:space="720"/>
        </w:sectPr>
      </w:pPr>
    </w:p>
    <w:p w14:paraId="36755463"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6CD40CCC" w14:textId="77777777">
        <w:trPr>
          <w:trHeight w:val="1465"/>
        </w:trPr>
        <w:tc>
          <w:tcPr>
            <w:tcW w:w="1711" w:type="dxa"/>
          </w:tcPr>
          <w:p w14:paraId="4E332677" w14:textId="77777777" w:rsidR="0046798B" w:rsidRDefault="0046798B">
            <w:pPr>
              <w:pStyle w:val="TableParagraph"/>
            </w:pPr>
          </w:p>
          <w:p w14:paraId="1B578E88" w14:textId="77777777" w:rsidR="0046798B" w:rsidRDefault="00903B5C">
            <w:pPr>
              <w:pStyle w:val="TableParagraph"/>
              <w:spacing w:before="135"/>
              <w:ind w:left="115" w:right="110"/>
              <w:rPr>
                <w:b/>
                <w:sz w:val="20"/>
              </w:rPr>
            </w:pPr>
            <w:r>
              <w:rPr>
                <w:b/>
                <w:sz w:val="20"/>
              </w:rPr>
              <w:t>computer_infor mation_transacti on</w:t>
            </w:r>
          </w:p>
        </w:tc>
        <w:tc>
          <w:tcPr>
            <w:tcW w:w="1596" w:type="dxa"/>
          </w:tcPr>
          <w:p w14:paraId="0903AF15" w14:textId="77777777" w:rsidR="0046798B" w:rsidRDefault="00903B5C">
            <w:pPr>
              <w:pStyle w:val="TableParagraph"/>
              <w:spacing w:before="43"/>
              <w:ind w:left="114" w:right="219"/>
              <w:rPr>
                <w:sz w:val="20"/>
              </w:rPr>
            </w:pPr>
            <w:r>
              <w:rPr>
                <w:sz w:val="20"/>
              </w:rPr>
              <w:t>Contract law to regulate transactions in computer information products</w:t>
            </w:r>
          </w:p>
        </w:tc>
        <w:tc>
          <w:tcPr>
            <w:tcW w:w="1285" w:type="dxa"/>
          </w:tcPr>
          <w:p w14:paraId="6D606A87" w14:textId="77777777" w:rsidR="0046798B" w:rsidRDefault="0046798B">
            <w:pPr>
              <w:pStyle w:val="TableParagraph"/>
            </w:pPr>
          </w:p>
          <w:p w14:paraId="26E3BC33" w14:textId="77777777" w:rsidR="0046798B" w:rsidRDefault="0046798B">
            <w:pPr>
              <w:pStyle w:val="TableParagraph"/>
              <w:spacing w:before="9"/>
              <w:rPr>
                <w:sz w:val="31"/>
              </w:rPr>
            </w:pPr>
          </w:p>
          <w:p w14:paraId="09B7AD73" w14:textId="77777777" w:rsidR="0046798B" w:rsidRDefault="00903B5C">
            <w:pPr>
              <w:pStyle w:val="TableParagraph"/>
              <w:ind w:left="114"/>
              <w:rPr>
                <w:sz w:val="20"/>
              </w:rPr>
            </w:pPr>
            <w:r>
              <w:rPr>
                <w:sz w:val="20"/>
              </w:rPr>
              <w:t>2000</w:t>
            </w:r>
          </w:p>
        </w:tc>
        <w:tc>
          <w:tcPr>
            <w:tcW w:w="3421" w:type="dxa"/>
          </w:tcPr>
          <w:p w14:paraId="6685BBBD" w14:textId="77777777" w:rsidR="0046798B" w:rsidRDefault="0046798B">
            <w:pPr>
              <w:pStyle w:val="TableParagraph"/>
            </w:pPr>
          </w:p>
          <w:p w14:paraId="33802CE2" w14:textId="77777777" w:rsidR="0046798B" w:rsidRDefault="0046798B">
            <w:pPr>
              <w:pStyle w:val="TableParagraph"/>
              <w:spacing w:before="9"/>
              <w:rPr>
                <w:sz w:val="21"/>
              </w:rPr>
            </w:pPr>
          </w:p>
          <w:p w14:paraId="5746B12B" w14:textId="77777777" w:rsidR="0046798B" w:rsidRDefault="00903B5C">
            <w:pPr>
              <w:pStyle w:val="TableParagraph"/>
              <w:ind w:left="114" w:right="1475"/>
              <w:rPr>
                <w:sz w:val="20"/>
              </w:rPr>
            </w:pPr>
            <w:r>
              <w:rPr>
                <w:sz w:val="20"/>
              </w:rPr>
              <w:t>0 = policy not adopted 1 = policy adopted</w:t>
            </w:r>
          </w:p>
        </w:tc>
        <w:tc>
          <w:tcPr>
            <w:tcW w:w="6482" w:type="dxa"/>
          </w:tcPr>
          <w:p w14:paraId="4E079B02" w14:textId="77777777" w:rsidR="0046798B" w:rsidRDefault="00903B5C">
            <w:pPr>
              <w:pStyle w:val="TableParagraph"/>
              <w:spacing w:before="43"/>
              <w:ind w:left="114"/>
              <w:rPr>
                <w:sz w:val="20"/>
              </w:rPr>
            </w:pPr>
            <w:r>
              <w:rPr>
                <w:sz w:val="20"/>
              </w:rPr>
              <w:t xml:space="preserve">Uniform Law Commission website: </w:t>
            </w:r>
            <w:hyperlink r:id="rId921">
              <w:r>
                <w:rPr>
                  <w:color w:val="0462C1"/>
                  <w:sz w:val="20"/>
                  <w:u w:val="single" w:color="0462C1"/>
                </w:rPr>
                <w:t>http://www.uniformlaws.org/</w:t>
              </w:r>
            </w:hyperlink>
          </w:p>
          <w:p w14:paraId="14D27425" w14:textId="77777777" w:rsidR="0046798B" w:rsidRDefault="0046798B">
            <w:pPr>
              <w:pStyle w:val="TableParagraph"/>
              <w:rPr>
                <w:sz w:val="20"/>
              </w:rPr>
            </w:pPr>
          </w:p>
          <w:p w14:paraId="68BE6FCD"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4DB68F5D" w14:textId="77777777">
        <w:trPr>
          <w:trHeight w:val="1466"/>
        </w:trPr>
        <w:tc>
          <w:tcPr>
            <w:tcW w:w="1711" w:type="dxa"/>
          </w:tcPr>
          <w:p w14:paraId="1DFBDB95" w14:textId="77777777" w:rsidR="0046798B" w:rsidRDefault="0046798B">
            <w:pPr>
              <w:pStyle w:val="TableParagraph"/>
            </w:pPr>
          </w:p>
          <w:p w14:paraId="6223A524" w14:textId="77777777" w:rsidR="0046798B" w:rsidRDefault="0046798B">
            <w:pPr>
              <w:pStyle w:val="TableParagraph"/>
              <w:spacing w:before="9"/>
              <w:rPr>
                <w:sz w:val="21"/>
              </w:rPr>
            </w:pPr>
          </w:p>
          <w:p w14:paraId="0C8330E5" w14:textId="77777777" w:rsidR="0046798B" w:rsidRDefault="00903B5C">
            <w:pPr>
              <w:pStyle w:val="TableParagraph"/>
              <w:ind w:left="115" w:right="99"/>
              <w:rPr>
                <w:b/>
                <w:sz w:val="20"/>
              </w:rPr>
            </w:pPr>
            <w:r>
              <w:rPr>
                <w:b/>
                <w:sz w:val="20"/>
              </w:rPr>
              <w:t>condominium_ac t</w:t>
            </w:r>
          </w:p>
        </w:tc>
        <w:tc>
          <w:tcPr>
            <w:tcW w:w="1596" w:type="dxa"/>
          </w:tcPr>
          <w:p w14:paraId="1FF77A5D" w14:textId="77777777" w:rsidR="0046798B" w:rsidRDefault="00903B5C">
            <w:pPr>
              <w:pStyle w:val="TableParagraph"/>
              <w:spacing w:before="44"/>
              <w:ind w:left="114" w:right="124"/>
              <w:rPr>
                <w:sz w:val="20"/>
              </w:rPr>
            </w:pPr>
            <w:r>
              <w:rPr>
                <w:sz w:val="20"/>
              </w:rPr>
              <w:t>Provisions for creation, management, and termination of condominium associations</w:t>
            </w:r>
          </w:p>
        </w:tc>
        <w:tc>
          <w:tcPr>
            <w:tcW w:w="1285" w:type="dxa"/>
          </w:tcPr>
          <w:p w14:paraId="741E0BF6" w14:textId="77777777" w:rsidR="0046798B" w:rsidRDefault="0046798B">
            <w:pPr>
              <w:pStyle w:val="TableParagraph"/>
            </w:pPr>
          </w:p>
          <w:p w14:paraId="3FBDD5D4" w14:textId="77777777" w:rsidR="0046798B" w:rsidRDefault="0046798B">
            <w:pPr>
              <w:pStyle w:val="TableParagraph"/>
              <w:spacing w:before="9"/>
              <w:rPr>
                <w:sz w:val="31"/>
              </w:rPr>
            </w:pPr>
          </w:p>
          <w:p w14:paraId="70C0EA6C" w14:textId="77777777" w:rsidR="0046798B" w:rsidRDefault="00903B5C">
            <w:pPr>
              <w:pStyle w:val="TableParagraph"/>
              <w:ind w:left="114"/>
              <w:rPr>
                <w:sz w:val="20"/>
              </w:rPr>
            </w:pPr>
            <w:r>
              <w:rPr>
                <w:sz w:val="20"/>
              </w:rPr>
              <w:t>1980–2010</w:t>
            </w:r>
          </w:p>
        </w:tc>
        <w:tc>
          <w:tcPr>
            <w:tcW w:w="3421" w:type="dxa"/>
          </w:tcPr>
          <w:p w14:paraId="33EE2B38" w14:textId="77777777" w:rsidR="0046798B" w:rsidRDefault="0046798B">
            <w:pPr>
              <w:pStyle w:val="TableParagraph"/>
            </w:pPr>
          </w:p>
          <w:p w14:paraId="52FCD218" w14:textId="77777777" w:rsidR="0046798B" w:rsidRDefault="0046798B">
            <w:pPr>
              <w:pStyle w:val="TableParagraph"/>
              <w:spacing w:before="9"/>
              <w:rPr>
                <w:sz w:val="21"/>
              </w:rPr>
            </w:pPr>
          </w:p>
          <w:p w14:paraId="4814B8E3" w14:textId="77777777" w:rsidR="0046798B" w:rsidRDefault="00903B5C">
            <w:pPr>
              <w:pStyle w:val="TableParagraph"/>
              <w:ind w:left="114" w:right="1475"/>
              <w:rPr>
                <w:sz w:val="20"/>
              </w:rPr>
            </w:pPr>
            <w:r>
              <w:rPr>
                <w:sz w:val="20"/>
              </w:rPr>
              <w:t>0 = policy not adopted 1 = policy adopted</w:t>
            </w:r>
          </w:p>
        </w:tc>
        <w:tc>
          <w:tcPr>
            <w:tcW w:w="6482" w:type="dxa"/>
          </w:tcPr>
          <w:p w14:paraId="5E05B1F5" w14:textId="77777777" w:rsidR="0046798B" w:rsidRDefault="00903B5C">
            <w:pPr>
              <w:pStyle w:val="TableParagraph"/>
              <w:spacing w:before="44"/>
              <w:ind w:left="114"/>
              <w:rPr>
                <w:sz w:val="20"/>
              </w:rPr>
            </w:pPr>
            <w:r>
              <w:rPr>
                <w:sz w:val="20"/>
              </w:rPr>
              <w:t xml:space="preserve">Uniform Law Commission website: </w:t>
            </w:r>
            <w:hyperlink r:id="rId922">
              <w:r>
                <w:rPr>
                  <w:color w:val="0462C1"/>
                  <w:sz w:val="20"/>
                  <w:u w:val="single" w:color="0462C1"/>
                </w:rPr>
                <w:t>http://www.uniformlaws.org/</w:t>
              </w:r>
            </w:hyperlink>
          </w:p>
          <w:p w14:paraId="1B88E783" w14:textId="77777777" w:rsidR="0046798B" w:rsidRDefault="0046798B">
            <w:pPr>
              <w:pStyle w:val="TableParagraph"/>
              <w:spacing w:before="11"/>
              <w:rPr>
                <w:sz w:val="19"/>
              </w:rPr>
            </w:pPr>
          </w:p>
          <w:p w14:paraId="6E264874"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662810F5" w14:textId="77777777">
        <w:trPr>
          <w:trHeight w:val="1930"/>
        </w:trPr>
        <w:tc>
          <w:tcPr>
            <w:tcW w:w="1711" w:type="dxa"/>
          </w:tcPr>
          <w:p w14:paraId="6FA6BB1F" w14:textId="77777777" w:rsidR="0046798B" w:rsidRDefault="0046798B">
            <w:pPr>
              <w:pStyle w:val="TableParagraph"/>
            </w:pPr>
          </w:p>
          <w:p w14:paraId="6A659A62" w14:textId="77777777" w:rsidR="0046798B" w:rsidRDefault="0046798B">
            <w:pPr>
              <w:pStyle w:val="TableParagraph"/>
            </w:pPr>
          </w:p>
          <w:p w14:paraId="56E080D6" w14:textId="77777777" w:rsidR="0046798B" w:rsidRDefault="0046798B">
            <w:pPr>
              <w:pStyle w:val="TableParagraph"/>
              <w:spacing w:before="8"/>
              <w:rPr>
                <w:sz w:val="19"/>
              </w:rPr>
            </w:pPr>
          </w:p>
          <w:p w14:paraId="7DBB6668" w14:textId="77777777" w:rsidR="0046798B" w:rsidRDefault="00903B5C">
            <w:pPr>
              <w:pStyle w:val="TableParagraph"/>
              <w:spacing w:before="1"/>
              <w:ind w:left="115" w:right="110"/>
              <w:rPr>
                <w:b/>
                <w:sz w:val="20"/>
              </w:rPr>
            </w:pPr>
            <w:r>
              <w:rPr>
                <w:b/>
                <w:sz w:val="20"/>
              </w:rPr>
              <w:t>conservation_eas ement_act</w:t>
            </w:r>
          </w:p>
        </w:tc>
        <w:tc>
          <w:tcPr>
            <w:tcW w:w="1596" w:type="dxa"/>
          </w:tcPr>
          <w:p w14:paraId="1954ADBA" w14:textId="77777777" w:rsidR="0046798B" w:rsidRDefault="00903B5C">
            <w:pPr>
              <w:pStyle w:val="TableParagraph"/>
              <w:spacing w:before="43"/>
              <w:ind w:left="114" w:right="100"/>
              <w:rPr>
                <w:sz w:val="20"/>
              </w:rPr>
            </w:pPr>
            <w:r>
              <w:rPr>
                <w:sz w:val="20"/>
              </w:rPr>
              <w:t>Creation of permanent easements on real property for conservation and historic preservation purposes</w:t>
            </w:r>
          </w:p>
        </w:tc>
        <w:tc>
          <w:tcPr>
            <w:tcW w:w="1285" w:type="dxa"/>
          </w:tcPr>
          <w:p w14:paraId="60997B7B" w14:textId="77777777" w:rsidR="0046798B" w:rsidRDefault="0046798B">
            <w:pPr>
              <w:pStyle w:val="TableParagraph"/>
            </w:pPr>
          </w:p>
          <w:p w14:paraId="7B22FF63" w14:textId="77777777" w:rsidR="0046798B" w:rsidRDefault="0046798B">
            <w:pPr>
              <w:pStyle w:val="TableParagraph"/>
            </w:pPr>
          </w:p>
          <w:p w14:paraId="08AC73C7" w14:textId="77777777" w:rsidR="0046798B" w:rsidRDefault="0046798B">
            <w:pPr>
              <w:pStyle w:val="TableParagraph"/>
              <w:spacing w:before="8"/>
              <w:rPr>
                <w:sz w:val="19"/>
              </w:rPr>
            </w:pPr>
          </w:p>
          <w:p w14:paraId="5AE241AE" w14:textId="77777777" w:rsidR="0046798B" w:rsidRDefault="00903B5C">
            <w:pPr>
              <w:pStyle w:val="TableParagraph"/>
              <w:spacing w:before="1"/>
              <w:ind w:left="114"/>
              <w:rPr>
                <w:sz w:val="20"/>
              </w:rPr>
            </w:pPr>
            <w:r>
              <w:rPr>
                <w:sz w:val="20"/>
              </w:rPr>
              <w:t>1982–2005</w:t>
            </w:r>
          </w:p>
        </w:tc>
        <w:tc>
          <w:tcPr>
            <w:tcW w:w="3421" w:type="dxa"/>
          </w:tcPr>
          <w:p w14:paraId="34FE8661" w14:textId="77777777" w:rsidR="0046798B" w:rsidRDefault="0046798B">
            <w:pPr>
              <w:pStyle w:val="TableParagraph"/>
            </w:pPr>
          </w:p>
          <w:p w14:paraId="23760CBC" w14:textId="77777777" w:rsidR="0046798B" w:rsidRDefault="0046798B">
            <w:pPr>
              <w:pStyle w:val="TableParagraph"/>
            </w:pPr>
          </w:p>
          <w:p w14:paraId="02D34571" w14:textId="77777777" w:rsidR="0046798B" w:rsidRDefault="0046798B">
            <w:pPr>
              <w:pStyle w:val="TableParagraph"/>
              <w:spacing w:before="8"/>
              <w:rPr>
                <w:sz w:val="19"/>
              </w:rPr>
            </w:pPr>
          </w:p>
          <w:p w14:paraId="7E1BBBEA"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0905053D" w14:textId="77777777" w:rsidR="0046798B" w:rsidRDefault="0046798B">
            <w:pPr>
              <w:pStyle w:val="TableParagraph"/>
              <w:spacing w:before="8"/>
              <w:rPr>
                <w:sz w:val="23"/>
              </w:rPr>
            </w:pPr>
          </w:p>
          <w:p w14:paraId="20A697B4" w14:textId="77777777" w:rsidR="0046798B" w:rsidRDefault="00903B5C">
            <w:pPr>
              <w:pStyle w:val="TableParagraph"/>
              <w:spacing w:before="1"/>
              <w:ind w:left="114"/>
              <w:rPr>
                <w:sz w:val="20"/>
              </w:rPr>
            </w:pPr>
            <w:r>
              <w:rPr>
                <w:sz w:val="20"/>
              </w:rPr>
              <w:t xml:space="preserve">Uniform Law Commission website: </w:t>
            </w:r>
            <w:hyperlink r:id="rId923">
              <w:r>
                <w:rPr>
                  <w:color w:val="0462C1"/>
                  <w:sz w:val="20"/>
                  <w:u w:val="single" w:color="0462C1"/>
                </w:rPr>
                <w:t>http://www.uniformlaws.org/</w:t>
              </w:r>
            </w:hyperlink>
          </w:p>
          <w:p w14:paraId="3216A41E" w14:textId="77777777" w:rsidR="0046798B" w:rsidRDefault="0046798B">
            <w:pPr>
              <w:pStyle w:val="TableParagraph"/>
              <w:spacing w:before="11"/>
              <w:rPr>
                <w:sz w:val="19"/>
              </w:rPr>
            </w:pPr>
          </w:p>
          <w:p w14:paraId="29A2D091"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73E686C1" w14:textId="77777777">
        <w:trPr>
          <w:trHeight w:val="2616"/>
        </w:trPr>
        <w:tc>
          <w:tcPr>
            <w:tcW w:w="1711" w:type="dxa"/>
          </w:tcPr>
          <w:p w14:paraId="2A1F6F61" w14:textId="77777777" w:rsidR="0046798B" w:rsidRDefault="0046798B">
            <w:pPr>
              <w:pStyle w:val="TableParagraph"/>
            </w:pPr>
          </w:p>
          <w:p w14:paraId="1300B70E" w14:textId="77777777" w:rsidR="0046798B" w:rsidRDefault="0046798B">
            <w:pPr>
              <w:pStyle w:val="TableParagraph"/>
            </w:pPr>
          </w:p>
          <w:p w14:paraId="1D7B4D42" w14:textId="77777777" w:rsidR="0046798B" w:rsidRDefault="0046798B">
            <w:pPr>
              <w:pStyle w:val="TableParagraph"/>
            </w:pPr>
          </w:p>
          <w:p w14:paraId="1E4FA728" w14:textId="77777777" w:rsidR="0046798B" w:rsidRDefault="0046798B">
            <w:pPr>
              <w:pStyle w:val="TableParagraph"/>
              <w:spacing w:before="4"/>
              <w:rPr>
                <w:sz w:val="27"/>
              </w:rPr>
            </w:pPr>
          </w:p>
          <w:p w14:paraId="70CC7CA0" w14:textId="77777777" w:rsidR="0046798B" w:rsidRDefault="00903B5C">
            <w:pPr>
              <w:pStyle w:val="TableParagraph"/>
              <w:ind w:left="115"/>
              <w:rPr>
                <w:b/>
                <w:sz w:val="20"/>
              </w:rPr>
            </w:pPr>
            <w:r>
              <w:rPr>
                <w:b/>
                <w:sz w:val="20"/>
              </w:rPr>
              <w:t>consumer_credit</w:t>
            </w:r>
          </w:p>
          <w:p w14:paraId="6FD5F0D2" w14:textId="77777777" w:rsidR="0046798B" w:rsidRDefault="00903B5C">
            <w:pPr>
              <w:pStyle w:val="TableParagraph"/>
              <w:ind w:left="115"/>
              <w:rPr>
                <w:b/>
                <w:sz w:val="20"/>
              </w:rPr>
            </w:pPr>
            <w:r>
              <w:rPr>
                <w:b/>
                <w:sz w:val="20"/>
              </w:rPr>
              <w:t>_code</w:t>
            </w:r>
          </w:p>
        </w:tc>
        <w:tc>
          <w:tcPr>
            <w:tcW w:w="1596" w:type="dxa"/>
          </w:tcPr>
          <w:p w14:paraId="7D849B4D" w14:textId="77777777" w:rsidR="0046798B" w:rsidRDefault="00903B5C">
            <w:pPr>
              <w:pStyle w:val="TableParagraph"/>
              <w:spacing w:before="38"/>
              <w:ind w:left="114" w:right="168"/>
              <w:rPr>
                <w:sz w:val="20"/>
              </w:rPr>
            </w:pPr>
            <w:r>
              <w:rPr>
                <w:sz w:val="20"/>
              </w:rPr>
              <w:t>Provides standards for credit transactions entered into by individuals who purchase, use, maintain, and dispose of products and services</w:t>
            </w:r>
          </w:p>
        </w:tc>
        <w:tc>
          <w:tcPr>
            <w:tcW w:w="1285" w:type="dxa"/>
          </w:tcPr>
          <w:p w14:paraId="6346D248" w14:textId="77777777" w:rsidR="0046798B" w:rsidRDefault="0046798B">
            <w:pPr>
              <w:pStyle w:val="TableParagraph"/>
            </w:pPr>
          </w:p>
          <w:p w14:paraId="2EFDF0FE" w14:textId="77777777" w:rsidR="0046798B" w:rsidRDefault="0046798B">
            <w:pPr>
              <w:pStyle w:val="TableParagraph"/>
            </w:pPr>
          </w:p>
          <w:p w14:paraId="5F131C22" w14:textId="77777777" w:rsidR="0046798B" w:rsidRDefault="0046798B">
            <w:pPr>
              <w:pStyle w:val="TableParagraph"/>
            </w:pPr>
          </w:p>
          <w:p w14:paraId="7B2B38B6" w14:textId="77777777" w:rsidR="0046798B" w:rsidRDefault="0046798B">
            <w:pPr>
              <w:pStyle w:val="TableParagraph"/>
            </w:pPr>
          </w:p>
          <w:p w14:paraId="442BA1B1" w14:textId="77777777" w:rsidR="0046798B" w:rsidRDefault="00903B5C">
            <w:pPr>
              <w:pStyle w:val="TableParagraph"/>
              <w:spacing w:before="177"/>
              <w:ind w:left="114"/>
              <w:rPr>
                <w:sz w:val="20"/>
              </w:rPr>
            </w:pPr>
            <w:r>
              <w:rPr>
                <w:sz w:val="20"/>
              </w:rPr>
              <w:t>1969–1985</w:t>
            </w:r>
          </w:p>
        </w:tc>
        <w:tc>
          <w:tcPr>
            <w:tcW w:w="3421" w:type="dxa"/>
          </w:tcPr>
          <w:p w14:paraId="58E6DBA4" w14:textId="77777777" w:rsidR="0046798B" w:rsidRDefault="0046798B">
            <w:pPr>
              <w:pStyle w:val="TableParagraph"/>
            </w:pPr>
          </w:p>
          <w:p w14:paraId="2B850257" w14:textId="77777777" w:rsidR="0046798B" w:rsidRDefault="0046798B">
            <w:pPr>
              <w:pStyle w:val="TableParagraph"/>
            </w:pPr>
          </w:p>
          <w:p w14:paraId="28B77C54" w14:textId="77777777" w:rsidR="0046798B" w:rsidRDefault="0046798B">
            <w:pPr>
              <w:pStyle w:val="TableParagraph"/>
            </w:pPr>
          </w:p>
          <w:p w14:paraId="22296940" w14:textId="77777777" w:rsidR="0046798B" w:rsidRDefault="0046798B">
            <w:pPr>
              <w:pStyle w:val="TableParagraph"/>
              <w:spacing w:before="4"/>
              <w:rPr>
                <w:sz w:val="27"/>
              </w:rPr>
            </w:pPr>
          </w:p>
          <w:p w14:paraId="29B781B6" w14:textId="77777777" w:rsidR="0046798B" w:rsidRDefault="00903B5C">
            <w:pPr>
              <w:pStyle w:val="TableParagraph"/>
              <w:ind w:left="114" w:right="1475"/>
              <w:rPr>
                <w:sz w:val="20"/>
              </w:rPr>
            </w:pPr>
            <w:r>
              <w:rPr>
                <w:sz w:val="20"/>
              </w:rPr>
              <w:t>0 = policy not adopted 1 = policy adopted</w:t>
            </w:r>
          </w:p>
        </w:tc>
        <w:tc>
          <w:tcPr>
            <w:tcW w:w="6482" w:type="dxa"/>
          </w:tcPr>
          <w:p w14:paraId="7FF7E533" w14:textId="77777777" w:rsidR="0046798B" w:rsidRDefault="0046798B">
            <w:pPr>
              <w:pStyle w:val="TableParagraph"/>
            </w:pPr>
          </w:p>
          <w:p w14:paraId="6420DDAC" w14:textId="77777777" w:rsidR="0046798B" w:rsidRDefault="0046798B">
            <w:pPr>
              <w:pStyle w:val="TableParagraph"/>
              <w:spacing w:before="4"/>
              <w:rPr>
                <w:sz w:val="31"/>
              </w:rPr>
            </w:pPr>
          </w:p>
          <w:p w14:paraId="5BE4EAF8" w14:textId="77777777" w:rsidR="0046798B" w:rsidRDefault="00903B5C">
            <w:pPr>
              <w:pStyle w:val="TableParagraph"/>
              <w:ind w:left="114"/>
              <w:rPr>
                <w:sz w:val="20"/>
              </w:rPr>
            </w:pPr>
            <w:r>
              <w:rPr>
                <w:sz w:val="20"/>
              </w:rPr>
              <w:t xml:space="preserve">Uniform Law Commission website: </w:t>
            </w:r>
            <w:hyperlink r:id="rId924">
              <w:r>
                <w:rPr>
                  <w:color w:val="0462C1"/>
                  <w:sz w:val="20"/>
                  <w:u w:val="single" w:color="0462C1"/>
                </w:rPr>
                <w:t>http://www.uniformlaws.org/</w:t>
              </w:r>
            </w:hyperlink>
          </w:p>
          <w:p w14:paraId="781723FA" w14:textId="77777777" w:rsidR="0046798B" w:rsidRDefault="0046798B">
            <w:pPr>
              <w:pStyle w:val="TableParagraph"/>
              <w:rPr>
                <w:sz w:val="20"/>
              </w:rPr>
            </w:pPr>
          </w:p>
          <w:p w14:paraId="2ACC1FA3"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2B6C19D2" w14:textId="77777777">
        <w:trPr>
          <w:trHeight w:val="1695"/>
        </w:trPr>
        <w:tc>
          <w:tcPr>
            <w:tcW w:w="1711" w:type="dxa"/>
          </w:tcPr>
          <w:p w14:paraId="6DCC9272" w14:textId="77777777" w:rsidR="0046798B" w:rsidRDefault="0046798B">
            <w:pPr>
              <w:pStyle w:val="TableParagraph"/>
            </w:pPr>
          </w:p>
          <w:p w14:paraId="5C1B14D3" w14:textId="77777777" w:rsidR="0046798B" w:rsidRDefault="0046798B">
            <w:pPr>
              <w:pStyle w:val="TableParagraph"/>
              <w:spacing w:before="4"/>
              <w:rPr>
                <w:sz w:val="31"/>
              </w:rPr>
            </w:pPr>
          </w:p>
          <w:p w14:paraId="15FAD4C5" w14:textId="77777777" w:rsidR="0046798B" w:rsidRDefault="00903B5C">
            <w:pPr>
              <w:pStyle w:val="TableParagraph"/>
              <w:ind w:left="115"/>
              <w:rPr>
                <w:b/>
                <w:sz w:val="20"/>
              </w:rPr>
            </w:pPr>
            <w:r>
              <w:rPr>
                <w:b/>
                <w:sz w:val="20"/>
              </w:rPr>
              <w:t>consumer_leases</w:t>
            </w:r>
          </w:p>
          <w:p w14:paraId="52C1558B" w14:textId="77777777" w:rsidR="0046798B" w:rsidRDefault="00903B5C">
            <w:pPr>
              <w:pStyle w:val="TableParagraph"/>
              <w:ind w:left="115"/>
              <w:rPr>
                <w:b/>
                <w:sz w:val="20"/>
              </w:rPr>
            </w:pPr>
            <w:r>
              <w:rPr>
                <w:b/>
                <w:sz w:val="20"/>
              </w:rPr>
              <w:t>_act</w:t>
            </w:r>
          </w:p>
        </w:tc>
        <w:tc>
          <w:tcPr>
            <w:tcW w:w="1596" w:type="dxa"/>
          </w:tcPr>
          <w:p w14:paraId="5DFB9660" w14:textId="77777777" w:rsidR="0046798B" w:rsidRDefault="00903B5C">
            <w:pPr>
              <w:pStyle w:val="TableParagraph"/>
              <w:spacing w:before="38"/>
              <w:ind w:left="114" w:right="202"/>
              <w:rPr>
                <w:sz w:val="20"/>
              </w:rPr>
            </w:pPr>
            <w:r>
              <w:rPr>
                <w:sz w:val="20"/>
              </w:rPr>
              <w:t>Assure that meaningful and accurate disclosure of lease terms is provided to consumers</w:t>
            </w:r>
          </w:p>
        </w:tc>
        <w:tc>
          <w:tcPr>
            <w:tcW w:w="1285" w:type="dxa"/>
          </w:tcPr>
          <w:p w14:paraId="17C4DBC3" w14:textId="77777777" w:rsidR="0046798B" w:rsidRDefault="0046798B">
            <w:pPr>
              <w:pStyle w:val="TableParagraph"/>
            </w:pPr>
          </w:p>
          <w:p w14:paraId="762F771E" w14:textId="77777777" w:rsidR="0046798B" w:rsidRDefault="0046798B">
            <w:pPr>
              <w:pStyle w:val="TableParagraph"/>
            </w:pPr>
          </w:p>
          <w:p w14:paraId="15F9AB58" w14:textId="77777777" w:rsidR="0046798B" w:rsidRDefault="0046798B">
            <w:pPr>
              <w:pStyle w:val="TableParagraph"/>
              <w:spacing w:before="4"/>
              <w:rPr>
                <w:sz w:val="19"/>
              </w:rPr>
            </w:pPr>
          </w:p>
          <w:p w14:paraId="262F02BF" w14:textId="77777777" w:rsidR="0046798B" w:rsidRDefault="00903B5C">
            <w:pPr>
              <w:pStyle w:val="TableParagraph"/>
              <w:ind w:left="114"/>
              <w:rPr>
                <w:sz w:val="20"/>
              </w:rPr>
            </w:pPr>
            <w:r>
              <w:rPr>
                <w:sz w:val="20"/>
              </w:rPr>
              <w:t>2002</w:t>
            </w:r>
          </w:p>
        </w:tc>
        <w:tc>
          <w:tcPr>
            <w:tcW w:w="3421" w:type="dxa"/>
          </w:tcPr>
          <w:p w14:paraId="74892091" w14:textId="77777777" w:rsidR="0046798B" w:rsidRDefault="0046798B">
            <w:pPr>
              <w:pStyle w:val="TableParagraph"/>
            </w:pPr>
          </w:p>
          <w:p w14:paraId="4BB349F2" w14:textId="77777777" w:rsidR="0046798B" w:rsidRDefault="0046798B">
            <w:pPr>
              <w:pStyle w:val="TableParagraph"/>
              <w:spacing w:before="4"/>
              <w:rPr>
                <w:sz w:val="31"/>
              </w:rPr>
            </w:pPr>
          </w:p>
          <w:p w14:paraId="382898B7" w14:textId="77777777" w:rsidR="0046798B" w:rsidRDefault="00903B5C">
            <w:pPr>
              <w:pStyle w:val="TableParagraph"/>
              <w:ind w:left="114" w:right="1475"/>
              <w:rPr>
                <w:sz w:val="20"/>
              </w:rPr>
            </w:pPr>
            <w:r>
              <w:rPr>
                <w:sz w:val="20"/>
              </w:rPr>
              <w:t>0 = policy not adopted 1 = policy adopted</w:t>
            </w:r>
          </w:p>
        </w:tc>
        <w:tc>
          <w:tcPr>
            <w:tcW w:w="6482" w:type="dxa"/>
          </w:tcPr>
          <w:p w14:paraId="0877691E" w14:textId="77777777" w:rsidR="0046798B" w:rsidRDefault="00903B5C">
            <w:pPr>
              <w:pStyle w:val="TableParagraph"/>
              <w:spacing w:before="153"/>
              <w:ind w:left="114"/>
              <w:rPr>
                <w:sz w:val="20"/>
              </w:rPr>
            </w:pPr>
            <w:r>
              <w:rPr>
                <w:sz w:val="20"/>
              </w:rPr>
              <w:t xml:space="preserve">Uniform Law Commission website: </w:t>
            </w:r>
            <w:hyperlink r:id="rId925">
              <w:r>
                <w:rPr>
                  <w:color w:val="0462C1"/>
                  <w:sz w:val="20"/>
                  <w:u w:val="single" w:color="0462C1"/>
                </w:rPr>
                <w:t>http://www.uniformlaws.org/</w:t>
              </w:r>
            </w:hyperlink>
          </w:p>
          <w:p w14:paraId="6808660F" w14:textId="77777777" w:rsidR="0046798B" w:rsidRDefault="0046798B">
            <w:pPr>
              <w:pStyle w:val="TableParagraph"/>
              <w:rPr>
                <w:sz w:val="20"/>
              </w:rPr>
            </w:pPr>
          </w:p>
          <w:p w14:paraId="25403633"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bl>
    <w:p w14:paraId="6D275837" w14:textId="77777777" w:rsidR="0046798B" w:rsidRDefault="0046798B">
      <w:pPr>
        <w:rPr>
          <w:sz w:val="20"/>
        </w:rPr>
        <w:sectPr w:rsidR="0046798B">
          <w:pgSz w:w="15840" w:h="12240" w:orient="landscape"/>
          <w:pgMar w:top="1220" w:right="300" w:bottom="980" w:left="820" w:header="730" w:footer="787" w:gutter="0"/>
          <w:cols w:space="720"/>
        </w:sectPr>
      </w:pPr>
    </w:p>
    <w:p w14:paraId="19702866"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6540978" w14:textId="77777777">
        <w:trPr>
          <w:trHeight w:val="542"/>
        </w:trPr>
        <w:tc>
          <w:tcPr>
            <w:tcW w:w="1711" w:type="dxa"/>
            <w:tcBorders>
              <w:bottom w:val="dotted" w:sz="6" w:space="0" w:color="BEBEBE"/>
            </w:tcBorders>
          </w:tcPr>
          <w:p w14:paraId="7ECA929D" w14:textId="77777777" w:rsidR="0046798B" w:rsidRDefault="0046798B">
            <w:pPr>
              <w:pStyle w:val="TableParagraph"/>
              <w:rPr>
                <w:sz w:val="20"/>
              </w:rPr>
            </w:pPr>
          </w:p>
        </w:tc>
        <w:tc>
          <w:tcPr>
            <w:tcW w:w="1596" w:type="dxa"/>
            <w:tcBorders>
              <w:bottom w:val="dotted" w:sz="6" w:space="0" w:color="BEBEBE"/>
            </w:tcBorders>
          </w:tcPr>
          <w:p w14:paraId="3C678EC4" w14:textId="77777777" w:rsidR="0046798B" w:rsidRDefault="00903B5C">
            <w:pPr>
              <w:pStyle w:val="TableParagraph"/>
              <w:spacing w:before="43"/>
              <w:ind w:left="114" w:right="235"/>
              <w:rPr>
                <w:sz w:val="20"/>
              </w:rPr>
            </w:pPr>
            <w:r>
              <w:rPr>
                <w:sz w:val="20"/>
              </w:rPr>
              <w:t>before entering into a contract</w:t>
            </w:r>
          </w:p>
        </w:tc>
        <w:tc>
          <w:tcPr>
            <w:tcW w:w="1285" w:type="dxa"/>
            <w:tcBorders>
              <w:bottom w:val="dotted" w:sz="6" w:space="0" w:color="BEBEBE"/>
            </w:tcBorders>
          </w:tcPr>
          <w:p w14:paraId="6BDCC73F" w14:textId="77777777" w:rsidR="0046798B" w:rsidRDefault="0046798B">
            <w:pPr>
              <w:pStyle w:val="TableParagraph"/>
              <w:rPr>
                <w:sz w:val="20"/>
              </w:rPr>
            </w:pPr>
          </w:p>
        </w:tc>
        <w:tc>
          <w:tcPr>
            <w:tcW w:w="3421" w:type="dxa"/>
            <w:tcBorders>
              <w:bottom w:val="dotted" w:sz="6" w:space="0" w:color="BEBEBE"/>
            </w:tcBorders>
          </w:tcPr>
          <w:p w14:paraId="0FD4B81F" w14:textId="77777777" w:rsidR="0046798B" w:rsidRDefault="0046798B">
            <w:pPr>
              <w:pStyle w:val="TableParagraph"/>
              <w:rPr>
                <w:sz w:val="20"/>
              </w:rPr>
            </w:pPr>
          </w:p>
        </w:tc>
        <w:tc>
          <w:tcPr>
            <w:tcW w:w="6482" w:type="dxa"/>
            <w:tcBorders>
              <w:bottom w:val="dotted" w:sz="6" w:space="0" w:color="BEBEBE"/>
            </w:tcBorders>
          </w:tcPr>
          <w:p w14:paraId="6EA83707" w14:textId="77777777" w:rsidR="0046798B" w:rsidRDefault="0046798B">
            <w:pPr>
              <w:pStyle w:val="TableParagraph"/>
              <w:rPr>
                <w:sz w:val="20"/>
              </w:rPr>
            </w:pPr>
          </w:p>
        </w:tc>
      </w:tr>
      <w:tr w:rsidR="0046798B" w14:paraId="7CB063EB" w14:textId="77777777">
        <w:trPr>
          <w:trHeight w:val="1693"/>
        </w:trPr>
        <w:tc>
          <w:tcPr>
            <w:tcW w:w="1711" w:type="dxa"/>
            <w:tcBorders>
              <w:top w:val="dotted" w:sz="6" w:space="0" w:color="BEBEBE"/>
            </w:tcBorders>
          </w:tcPr>
          <w:p w14:paraId="20FC193C" w14:textId="77777777" w:rsidR="0046798B" w:rsidRDefault="0046798B">
            <w:pPr>
              <w:pStyle w:val="TableParagraph"/>
            </w:pPr>
          </w:p>
          <w:p w14:paraId="0260E812" w14:textId="77777777" w:rsidR="0046798B" w:rsidRDefault="0046798B">
            <w:pPr>
              <w:pStyle w:val="TableParagraph"/>
              <w:spacing w:before="6"/>
              <w:rPr>
                <w:sz w:val="31"/>
              </w:rPr>
            </w:pPr>
          </w:p>
          <w:p w14:paraId="5AB3A2C6" w14:textId="77777777" w:rsidR="0046798B" w:rsidRDefault="00903B5C">
            <w:pPr>
              <w:pStyle w:val="TableParagraph"/>
              <w:ind w:left="115" w:right="132"/>
              <w:rPr>
                <w:b/>
                <w:sz w:val="20"/>
              </w:rPr>
            </w:pPr>
            <w:r>
              <w:rPr>
                <w:b/>
                <w:sz w:val="20"/>
              </w:rPr>
              <w:t>consumer_sales_ practices</w:t>
            </w:r>
          </w:p>
        </w:tc>
        <w:tc>
          <w:tcPr>
            <w:tcW w:w="1596" w:type="dxa"/>
            <w:tcBorders>
              <w:top w:val="dotted" w:sz="6" w:space="0" w:color="BEBEBE"/>
            </w:tcBorders>
          </w:tcPr>
          <w:p w14:paraId="38787487" w14:textId="77777777" w:rsidR="0046798B" w:rsidRDefault="00903B5C">
            <w:pPr>
              <w:pStyle w:val="TableParagraph"/>
              <w:spacing w:before="40"/>
              <w:ind w:left="114" w:right="141"/>
              <w:rPr>
                <w:sz w:val="20"/>
              </w:rPr>
            </w:pPr>
            <w:r>
              <w:rPr>
                <w:sz w:val="20"/>
              </w:rPr>
              <w:t>Crystallize the best elements of contemporary federal and state regulation of consumer sales practices</w:t>
            </w:r>
          </w:p>
        </w:tc>
        <w:tc>
          <w:tcPr>
            <w:tcW w:w="1285" w:type="dxa"/>
            <w:tcBorders>
              <w:top w:val="dotted" w:sz="6" w:space="0" w:color="BEBEBE"/>
            </w:tcBorders>
          </w:tcPr>
          <w:p w14:paraId="001B2D6C" w14:textId="77777777" w:rsidR="0046798B" w:rsidRDefault="0046798B">
            <w:pPr>
              <w:pStyle w:val="TableParagraph"/>
            </w:pPr>
          </w:p>
          <w:p w14:paraId="2DAA3B90" w14:textId="77777777" w:rsidR="0046798B" w:rsidRDefault="0046798B">
            <w:pPr>
              <w:pStyle w:val="TableParagraph"/>
            </w:pPr>
          </w:p>
          <w:p w14:paraId="76BBC70C" w14:textId="77777777" w:rsidR="0046798B" w:rsidRDefault="0046798B">
            <w:pPr>
              <w:pStyle w:val="TableParagraph"/>
              <w:spacing w:before="6"/>
              <w:rPr>
                <w:sz w:val="19"/>
              </w:rPr>
            </w:pPr>
          </w:p>
          <w:p w14:paraId="1CD00761" w14:textId="77777777" w:rsidR="0046798B" w:rsidRDefault="00903B5C">
            <w:pPr>
              <w:pStyle w:val="TableParagraph"/>
              <w:ind w:left="114"/>
              <w:rPr>
                <w:sz w:val="20"/>
              </w:rPr>
            </w:pPr>
            <w:r>
              <w:rPr>
                <w:sz w:val="20"/>
              </w:rPr>
              <w:t>1972–1973</w:t>
            </w:r>
          </w:p>
        </w:tc>
        <w:tc>
          <w:tcPr>
            <w:tcW w:w="3421" w:type="dxa"/>
            <w:tcBorders>
              <w:top w:val="dotted" w:sz="6" w:space="0" w:color="BEBEBE"/>
            </w:tcBorders>
          </w:tcPr>
          <w:p w14:paraId="73B7DCFE" w14:textId="77777777" w:rsidR="0046798B" w:rsidRDefault="0046798B">
            <w:pPr>
              <w:pStyle w:val="TableParagraph"/>
            </w:pPr>
          </w:p>
          <w:p w14:paraId="6FA5E46C" w14:textId="77777777" w:rsidR="0046798B" w:rsidRDefault="0046798B">
            <w:pPr>
              <w:pStyle w:val="TableParagraph"/>
              <w:spacing w:before="6"/>
              <w:rPr>
                <w:sz w:val="31"/>
              </w:rPr>
            </w:pPr>
          </w:p>
          <w:p w14:paraId="4A38EFA8" w14:textId="77777777" w:rsidR="0046798B" w:rsidRDefault="00903B5C">
            <w:pPr>
              <w:pStyle w:val="TableParagraph"/>
              <w:ind w:left="114" w:right="1475"/>
              <w:rPr>
                <w:sz w:val="20"/>
              </w:rPr>
            </w:pPr>
            <w:r>
              <w:rPr>
                <w:sz w:val="20"/>
              </w:rPr>
              <w:t>0 = policy not adopted 1 = policy adopted</w:t>
            </w:r>
          </w:p>
        </w:tc>
        <w:tc>
          <w:tcPr>
            <w:tcW w:w="6482" w:type="dxa"/>
            <w:tcBorders>
              <w:top w:val="dotted" w:sz="6" w:space="0" w:color="BEBEBE"/>
            </w:tcBorders>
          </w:tcPr>
          <w:p w14:paraId="054ED395" w14:textId="77777777" w:rsidR="0046798B" w:rsidRDefault="00903B5C">
            <w:pPr>
              <w:pStyle w:val="TableParagraph"/>
              <w:spacing w:before="155"/>
              <w:ind w:left="114"/>
              <w:rPr>
                <w:sz w:val="20"/>
              </w:rPr>
            </w:pPr>
            <w:r>
              <w:rPr>
                <w:sz w:val="20"/>
              </w:rPr>
              <w:t xml:space="preserve">Uniform Law Commission website: </w:t>
            </w:r>
            <w:hyperlink r:id="rId926">
              <w:r>
                <w:rPr>
                  <w:color w:val="0462C1"/>
                  <w:sz w:val="20"/>
                  <w:u w:val="single" w:color="0462C1"/>
                </w:rPr>
                <w:t>http://www.uniformlaws.org/</w:t>
              </w:r>
            </w:hyperlink>
          </w:p>
          <w:p w14:paraId="3C179C8C" w14:textId="77777777" w:rsidR="0046798B" w:rsidRDefault="0046798B">
            <w:pPr>
              <w:pStyle w:val="TableParagraph"/>
              <w:rPr>
                <w:sz w:val="20"/>
              </w:rPr>
            </w:pPr>
          </w:p>
          <w:p w14:paraId="70DD8125"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15988A5" w14:textId="77777777">
        <w:trPr>
          <w:trHeight w:val="2390"/>
        </w:trPr>
        <w:tc>
          <w:tcPr>
            <w:tcW w:w="1711" w:type="dxa"/>
          </w:tcPr>
          <w:p w14:paraId="15F63BC4" w14:textId="77777777" w:rsidR="0046798B" w:rsidRDefault="0046798B">
            <w:pPr>
              <w:pStyle w:val="TableParagraph"/>
            </w:pPr>
          </w:p>
          <w:p w14:paraId="225F7864" w14:textId="77777777" w:rsidR="0046798B" w:rsidRDefault="0046798B">
            <w:pPr>
              <w:pStyle w:val="TableParagraph"/>
            </w:pPr>
          </w:p>
          <w:p w14:paraId="439A51EB" w14:textId="77777777" w:rsidR="0046798B" w:rsidRDefault="0046798B">
            <w:pPr>
              <w:pStyle w:val="TableParagraph"/>
            </w:pPr>
          </w:p>
          <w:p w14:paraId="12458A0D" w14:textId="77777777" w:rsidR="0046798B" w:rsidRDefault="0046798B">
            <w:pPr>
              <w:pStyle w:val="TableParagraph"/>
              <w:spacing w:before="9"/>
              <w:rPr>
                <w:sz w:val="17"/>
              </w:rPr>
            </w:pPr>
          </w:p>
          <w:p w14:paraId="10CDDADC" w14:textId="77777777" w:rsidR="0046798B" w:rsidRDefault="00903B5C">
            <w:pPr>
              <w:pStyle w:val="TableParagraph"/>
              <w:ind w:left="115"/>
              <w:rPr>
                <w:b/>
                <w:sz w:val="20"/>
              </w:rPr>
            </w:pPr>
            <w:r>
              <w:rPr>
                <w:b/>
                <w:sz w:val="20"/>
              </w:rPr>
              <w:t>custodial_trust_a ct</w:t>
            </w:r>
          </w:p>
        </w:tc>
        <w:tc>
          <w:tcPr>
            <w:tcW w:w="1596" w:type="dxa"/>
          </w:tcPr>
          <w:p w14:paraId="4451DDFF" w14:textId="77777777" w:rsidR="0046798B" w:rsidRDefault="00903B5C">
            <w:pPr>
              <w:pStyle w:val="TableParagraph"/>
              <w:spacing w:before="43"/>
              <w:ind w:left="114" w:right="104"/>
              <w:rPr>
                <w:sz w:val="20"/>
              </w:rPr>
            </w:pPr>
            <w:r>
              <w:rPr>
                <w:sz w:val="20"/>
              </w:rPr>
              <w:t>Establishes a legal structure for organizing the ownership and management of property for its preservation on behalf of specified individuals</w:t>
            </w:r>
          </w:p>
        </w:tc>
        <w:tc>
          <w:tcPr>
            <w:tcW w:w="1285" w:type="dxa"/>
          </w:tcPr>
          <w:p w14:paraId="13BE62B2" w14:textId="77777777" w:rsidR="0046798B" w:rsidRDefault="0046798B">
            <w:pPr>
              <w:pStyle w:val="TableParagraph"/>
            </w:pPr>
          </w:p>
          <w:p w14:paraId="09DCFF17" w14:textId="77777777" w:rsidR="0046798B" w:rsidRDefault="0046798B">
            <w:pPr>
              <w:pStyle w:val="TableParagraph"/>
            </w:pPr>
          </w:p>
          <w:p w14:paraId="7E32C036" w14:textId="77777777" w:rsidR="0046798B" w:rsidRDefault="0046798B">
            <w:pPr>
              <w:pStyle w:val="TableParagraph"/>
            </w:pPr>
          </w:p>
          <w:p w14:paraId="7C04D3EB" w14:textId="77777777" w:rsidR="0046798B" w:rsidRDefault="0046798B">
            <w:pPr>
              <w:pStyle w:val="TableParagraph"/>
              <w:spacing w:before="9"/>
              <w:rPr>
                <w:sz w:val="27"/>
              </w:rPr>
            </w:pPr>
          </w:p>
          <w:p w14:paraId="6042EBC2" w14:textId="77777777" w:rsidR="0046798B" w:rsidRDefault="00903B5C">
            <w:pPr>
              <w:pStyle w:val="TableParagraph"/>
              <w:ind w:left="114"/>
              <w:rPr>
                <w:sz w:val="20"/>
              </w:rPr>
            </w:pPr>
            <w:r>
              <w:rPr>
                <w:sz w:val="20"/>
              </w:rPr>
              <w:t>1988–2007</w:t>
            </w:r>
          </w:p>
        </w:tc>
        <w:tc>
          <w:tcPr>
            <w:tcW w:w="3421" w:type="dxa"/>
          </w:tcPr>
          <w:p w14:paraId="025B6864" w14:textId="77777777" w:rsidR="0046798B" w:rsidRDefault="0046798B">
            <w:pPr>
              <w:pStyle w:val="TableParagraph"/>
            </w:pPr>
          </w:p>
          <w:p w14:paraId="07C081EC" w14:textId="77777777" w:rsidR="0046798B" w:rsidRDefault="0046798B">
            <w:pPr>
              <w:pStyle w:val="TableParagraph"/>
            </w:pPr>
          </w:p>
          <w:p w14:paraId="7F44FA0C" w14:textId="77777777" w:rsidR="0046798B" w:rsidRDefault="0046798B">
            <w:pPr>
              <w:pStyle w:val="TableParagraph"/>
            </w:pPr>
          </w:p>
          <w:p w14:paraId="1439A1DA" w14:textId="77777777" w:rsidR="0046798B" w:rsidRDefault="0046798B">
            <w:pPr>
              <w:pStyle w:val="TableParagraph"/>
              <w:spacing w:before="9"/>
              <w:rPr>
                <w:sz w:val="17"/>
              </w:rPr>
            </w:pPr>
          </w:p>
          <w:p w14:paraId="0202EA5C" w14:textId="77777777" w:rsidR="0046798B" w:rsidRDefault="00903B5C">
            <w:pPr>
              <w:pStyle w:val="TableParagraph"/>
              <w:ind w:left="114" w:right="1475"/>
              <w:rPr>
                <w:sz w:val="20"/>
              </w:rPr>
            </w:pPr>
            <w:r>
              <w:rPr>
                <w:sz w:val="20"/>
              </w:rPr>
              <w:t>0 = policy not adopted 1 = policy adopted</w:t>
            </w:r>
          </w:p>
        </w:tc>
        <w:tc>
          <w:tcPr>
            <w:tcW w:w="6482" w:type="dxa"/>
          </w:tcPr>
          <w:p w14:paraId="44E58DCF" w14:textId="77777777" w:rsidR="0046798B" w:rsidRDefault="0046798B">
            <w:pPr>
              <w:pStyle w:val="TableParagraph"/>
            </w:pPr>
          </w:p>
          <w:p w14:paraId="357E157E" w14:textId="77777777" w:rsidR="0046798B" w:rsidRDefault="0046798B">
            <w:pPr>
              <w:pStyle w:val="TableParagraph"/>
              <w:spacing w:before="9"/>
              <w:rPr>
                <w:sz w:val="21"/>
              </w:rPr>
            </w:pPr>
          </w:p>
          <w:p w14:paraId="410B64B4" w14:textId="77777777" w:rsidR="0046798B" w:rsidRDefault="00903B5C">
            <w:pPr>
              <w:pStyle w:val="TableParagraph"/>
              <w:ind w:left="114"/>
              <w:rPr>
                <w:sz w:val="20"/>
              </w:rPr>
            </w:pPr>
            <w:r>
              <w:rPr>
                <w:sz w:val="20"/>
              </w:rPr>
              <w:t xml:space="preserve">Uniform Law Commission website: </w:t>
            </w:r>
            <w:hyperlink r:id="rId927">
              <w:r>
                <w:rPr>
                  <w:color w:val="0462C1"/>
                  <w:sz w:val="20"/>
                  <w:u w:val="single" w:color="0462C1"/>
                </w:rPr>
                <w:t>http://www.uniformlaws.org/</w:t>
              </w:r>
            </w:hyperlink>
          </w:p>
          <w:p w14:paraId="6D2336BD" w14:textId="77777777" w:rsidR="0046798B" w:rsidRDefault="0046798B">
            <w:pPr>
              <w:pStyle w:val="TableParagraph"/>
              <w:rPr>
                <w:sz w:val="20"/>
              </w:rPr>
            </w:pPr>
          </w:p>
          <w:p w14:paraId="7AF7D955"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3286D09" w14:textId="77777777">
        <w:trPr>
          <w:trHeight w:val="2156"/>
        </w:trPr>
        <w:tc>
          <w:tcPr>
            <w:tcW w:w="1711" w:type="dxa"/>
          </w:tcPr>
          <w:p w14:paraId="32DBD1AC" w14:textId="77777777" w:rsidR="0046798B" w:rsidRDefault="0046798B">
            <w:pPr>
              <w:pStyle w:val="TableParagraph"/>
            </w:pPr>
          </w:p>
          <w:p w14:paraId="36078203" w14:textId="77777777" w:rsidR="0046798B" w:rsidRDefault="0046798B">
            <w:pPr>
              <w:pStyle w:val="TableParagraph"/>
            </w:pPr>
          </w:p>
          <w:p w14:paraId="59136E5A" w14:textId="77777777" w:rsidR="0046798B" w:rsidRDefault="0046798B">
            <w:pPr>
              <w:pStyle w:val="TableParagraph"/>
              <w:spacing w:before="4"/>
              <w:rPr>
                <w:sz w:val="29"/>
              </w:rPr>
            </w:pPr>
          </w:p>
          <w:p w14:paraId="597D548D" w14:textId="77777777" w:rsidR="0046798B" w:rsidRDefault="00903B5C">
            <w:pPr>
              <w:pStyle w:val="TableParagraph"/>
              <w:ind w:left="115" w:right="121"/>
              <w:rPr>
                <w:b/>
                <w:sz w:val="20"/>
              </w:rPr>
            </w:pPr>
            <w:r>
              <w:rPr>
                <w:b/>
                <w:sz w:val="20"/>
              </w:rPr>
              <w:t>debt_manageme nt_services_2011</w:t>
            </w:r>
          </w:p>
        </w:tc>
        <w:tc>
          <w:tcPr>
            <w:tcW w:w="1596" w:type="dxa"/>
          </w:tcPr>
          <w:p w14:paraId="3821879B" w14:textId="77777777" w:rsidR="0046798B" w:rsidRDefault="00903B5C">
            <w:pPr>
              <w:pStyle w:val="TableParagraph"/>
              <w:spacing w:before="38"/>
              <w:ind w:left="114" w:right="100"/>
              <w:rPr>
                <w:sz w:val="20"/>
              </w:rPr>
            </w:pPr>
            <w:r>
              <w:rPr>
                <w:sz w:val="20"/>
              </w:rPr>
              <w:t xml:space="preserve">Governing national administration  of debt counseling and management in </w:t>
            </w:r>
            <w:r>
              <w:rPr>
                <w:spacing w:val="-16"/>
                <w:sz w:val="20"/>
              </w:rPr>
              <w:t xml:space="preserve">a </w:t>
            </w:r>
            <w:r>
              <w:rPr>
                <w:sz w:val="20"/>
              </w:rPr>
              <w:t>fair and effective way (2011 update)</w:t>
            </w:r>
          </w:p>
        </w:tc>
        <w:tc>
          <w:tcPr>
            <w:tcW w:w="1285" w:type="dxa"/>
          </w:tcPr>
          <w:p w14:paraId="795C0BBD" w14:textId="77777777" w:rsidR="0046798B" w:rsidRDefault="0046798B">
            <w:pPr>
              <w:pStyle w:val="TableParagraph"/>
            </w:pPr>
          </w:p>
          <w:p w14:paraId="5B3B47F8" w14:textId="77777777" w:rsidR="0046798B" w:rsidRDefault="0046798B">
            <w:pPr>
              <w:pStyle w:val="TableParagraph"/>
            </w:pPr>
          </w:p>
          <w:p w14:paraId="0C44EE1B" w14:textId="77777777" w:rsidR="0046798B" w:rsidRDefault="0046798B">
            <w:pPr>
              <w:pStyle w:val="TableParagraph"/>
            </w:pPr>
          </w:p>
          <w:p w14:paraId="4B6F42B2" w14:textId="77777777" w:rsidR="0046798B" w:rsidRDefault="0046798B">
            <w:pPr>
              <w:pStyle w:val="TableParagraph"/>
              <w:spacing w:before="4"/>
              <w:rPr>
                <w:sz w:val="17"/>
              </w:rPr>
            </w:pPr>
          </w:p>
          <w:p w14:paraId="065E8C0C" w14:textId="77777777" w:rsidR="0046798B" w:rsidRDefault="00903B5C">
            <w:pPr>
              <w:pStyle w:val="TableParagraph"/>
              <w:ind w:left="114"/>
              <w:rPr>
                <w:sz w:val="20"/>
              </w:rPr>
            </w:pPr>
            <w:r>
              <w:rPr>
                <w:sz w:val="20"/>
              </w:rPr>
              <w:t>2012</w:t>
            </w:r>
          </w:p>
        </w:tc>
        <w:tc>
          <w:tcPr>
            <w:tcW w:w="3421" w:type="dxa"/>
          </w:tcPr>
          <w:p w14:paraId="742F529E" w14:textId="77777777" w:rsidR="0046798B" w:rsidRDefault="0046798B">
            <w:pPr>
              <w:pStyle w:val="TableParagraph"/>
            </w:pPr>
          </w:p>
          <w:p w14:paraId="56816252" w14:textId="77777777" w:rsidR="0046798B" w:rsidRDefault="0046798B">
            <w:pPr>
              <w:pStyle w:val="TableParagraph"/>
            </w:pPr>
          </w:p>
          <w:p w14:paraId="3CA5C56C" w14:textId="77777777" w:rsidR="0046798B" w:rsidRDefault="0046798B">
            <w:pPr>
              <w:pStyle w:val="TableParagraph"/>
              <w:spacing w:before="4"/>
              <w:rPr>
                <w:sz w:val="29"/>
              </w:rPr>
            </w:pPr>
          </w:p>
          <w:p w14:paraId="3E938DB6" w14:textId="77777777" w:rsidR="0046798B" w:rsidRDefault="00903B5C">
            <w:pPr>
              <w:pStyle w:val="TableParagraph"/>
              <w:ind w:left="114" w:right="1475"/>
              <w:rPr>
                <w:sz w:val="20"/>
              </w:rPr>
            </w:pPr>
            <w:r>
              <w:rPr>
                <w:sz w:val="20"/>
              </w:rPr>
              <w:t>0 = policy not adopted 1 = policy adopted</w:t>
            </w:r>
          </w:p>
        </w:tc>
        <w:tc>
          <w:tcPr>
            <w:tcW w:w="6482" w:type="dxa"/>
          </w:tcPr>
          <w:p w14:paraId="3DB051EA" w14:textId="77777777" w:rsidR="0046798B" w:rsidRDefault="0046798B">
            <w:pPr>
              <w:pStyle w:val="TableParagraph"/>
            </w:pPr>
          </w:p>
          <w:p w14:paraId="30434CD5" w14:textId="77777777" w:rsidR="0046798B" w:rsidRDefault="00903B5C">
            <w:pPr>
              <w:pStyle w:val="TableParagraph"/>
              <w:spacing w:before="130"/>
              <w:ind w:left="114"/>
              <w:rPr>
                <w:sz w:val="20"/>
              </w:rPr>
            </w:pPr>
            <w:r>
              <w:rPr>
                <w:sz w:val="20"/>
              </w:rPr>
              <w:t xml:space="preserve">Uniform Law Commission website: </w:t>
            </w:r>
            <w:hyperlink r:id="rId928">
              <w:r>
                <w:rPr>
                  <w:color w:val="0462C1"/>
                  <w:sz w:val="20"/>
                  <w:u w:val="single" w:color="0462C1"/>
                </w:rPr>
                <w:t>http://www.uniformlaws.org/</w:t>
              </w:r>
            </w:hyperlink>
          </w:p>
          <w:p w14:paraId="20E76484" w14:textId="77777777" w:rsidR="0046798B" w:rsidRDefault="0046798B">
            <w:pPr>
              <w:pStyle w:val="TableParagraph"/>
              <w:rPr>
                <w:sz w:val="20"/>
              </w:rPr>
            </w:pPr>
          </w:p>
          <w:p w14:paraId="6807ED53"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45C25AA4" w14:textId="77777777">
        <w:trPr>
          <w:trHeight w:val="1925"/>
        </w:trPr>
        <w:tc>
          <w:tcPr>
            <w:tcW w:w="1711" w:type="dxa"/>
          </w:tcPr>
          <w:p w14:paraId="10EBAA9E" w14:textId="77777777" w:rsidR="0046798B" w:rsidRDefault="0046798B">
            <w:pPr>
              <w:pStyle w:val="TableParagraph"/>
            </w:pPr>
          </w:p>
          <w:p w14:paraId="3BFD39A7" w14:textId="77777777" w:rsidR="0046798B" w:rsidRDefault="0046798B">
            <w:pPr>
              <w:pStyle w:val="TableParagraph"/>
              <w:spacing w:before="3"/>
              <w:rPr>
                <w:sz w:val="31"/>
              </w:rPr>
            </w:pPr>
          </w:p>
          <w:p w14:paraId="7C9995BA" w14:textId="77777777" w:rsidR="0046798B" w:rsidRDefault="00903B5C">
            <w:pPr>
              <w:pStyle w:val="TableParagraph"/>
              <w:ind w:left="115" w:right="180"/>
              <w:jc w:val="both"/>
              <w:rPr>
                <w:b/>
                <w:sz w:val="20"/>
              </w:rPr>
            </w:pPr>
            <w:r>
              <w:rPr>
                <w:b/>
                <w:sz w:val="20"/>
              </w:rPr>
              <w:t>debt_manageme nt_services_act_ 2005</w:t>
            </w:r>
          </w:p>
        </w:tc>
        <w:tc>
          <w:tcPr>
            <w:tcW w:w="1596" w:type="dxa"/>
          </w:tcPr>
          <w:p w14:paraId="2B120D83" w14:textId="77777777" w:rsidR="0046798B" w:rsidRDefault="00903B5C">
            <w:pPr>
              <w:pStyle w:val="TableParagraph"/>
              <w:spacing w:before="38"/>
              <w:ind w:left="114" w:right="100"/>
              <w:rPr>
                <w:sz w:val="20"/>
              </w:rPr>
            </w:pPr>
            <w:r>
              <w:rPr>
                <w:sz w:val="20"/>
              </w:rPr>
              <w:t xml:space="preserve">Governing national administration  of debt counseling and management in </w:t>
            </w:r>
            <w:r>
              <w:rPr>
                <w:spacing w:val="-16"/>
                <w:sz w:val="20"/>
              </w:rPr>
              <w:t xml:space="preserve">a </w:t>
            </w:r>
            <w:r>
              <w:rPr>
                <w:sz w:val="20"/>
              </w:rPr>
              <w:t>fair and effective way</w:t>
            </w:r>
            <w:r>
              <w:rPr>
                <w:spacing w:val="-1"/>
                <w:sz w:val="20"/>
              </w:rPr>
              <w:t xml:space="preserve"> </w:t>
            </w:r>
            <w:r>
              <w:rPr>
                <w:sz w:val="20"/>
              </w:rPr>
              <w:t>(2005)</w:t>
            </w:r>
          </w:p>
        </w:tc>
        <w:tc>
          <w:tcPr>
            <w:tcW w:w="1285" w:type="dxa"/>
          </w:tcPr>
          <w:p w14:paraId="6E9D27B0" w14:textId="77777777" w:rsidR="0046798B" w:rsidRDefault="0046798B">
            <w:pPr>
              <w:pStyle w:val="TableParagraph"/>
            </w:pPr>
          </w:p>
          <w:p w14:paraId="1E08879F" w14:textId="77777777" w:rsidR="0046798B" w:rsidRDefault="0046798B">
            <w:pPr>
              <w:pStyle w:val="TableParagraph"/>
            </w:pPr>
          </w:p>
          <w:p w14:paraId="48479BD4" w14:textId="77777777" w:rsidR="0046798B" w:rsidRDefault="0046798B">
            <w:pPr>
              <w:pStyle w:val="TableParagraph"/>
              <w:spacing w:before="4"/>
              <w:rPr>
                <w:sz w:val="29"/>
              </w:rPr>
            </w:pPr>
          </w:p>
          <w:p w14:paraId="7E31EF46" w14:textId="77777777" w:rsidR="0046798B" w:rsidRDefault="00903B5C">
            <w:pPr>
              <w:pStyle w:val="TableParagraph"/>
              <w:ind w:left="114"/>
              <w:rPr>
                <w:sz w:val="20"/>
              </w:rPr>
            </w:pPr>
            <w:r>
              <w:rPr>
                <w:sz w:val="20"/>
              </w:rPr>
              <w:t>2006–2011</w:t>
            </w:r>
          </w:p>
        </w:tc>
        <w:tc>
          <w:tcPr>
            <w:tcW w:w="3421" w:type="dxa"/>
          </w:tcPr>
          <w:p w14:paraId="5CB559C6" w14:textId="77777777" w:rsidR="0046798B" w:rsidRDefault="0046798B">
            <w:pPr>
              <w:pStyle w:val="TableParagraph"/>
            </w:pPr>
          </w:p>
          <w:p w14:paraId="3441D8D2" w14:textId="77777777" w:rsidR="0046798B" w:rsidRDefault="0046798B">
            <w:pPr>
              <w:pStyle w:val="TableParagraph"/>
            </w:pPr>
          </w:p>
          <w:p w14:paraId="5D27CC99" w14:textId="77777777" w:rsidR="0046798B" w:rsidRDefault="0046798B">
            <w:pPr>
              <w:pStyle w:val="TableParagraph"/>
              <w:spacing w:before="3"/>
              <w:rPr>
                <w:sz w:val="19"/>
              </w:rPr>
            </w:pPr>
          </w:p>
          <w:p w14:paraId="5AE10164"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04FF442E" w14:textId="77777777" w:rsidR="0046798B" w:rsidRDefault="0046798B">
            <w:pPr>
              <w:pStyle w:val="TableParagraph"/>
              <w:spacing w:before="3"/>
              <w:rPr>
                <w:sz w:val="23"/>
              </w:rPr>
            </w:pPr>
          </w:p>
          <w:p w14:paraId="4FE74CEF" w14:textId="77777777" w:rsidR="0046798B" w:rsidRDefault="00903B5C">
            <w:pPr>
              <w:pStyle w:val="TableParagraph"/>
              <w:ind w:left="114"/>
              <w:rPr>
                <w:sz w:val="20"/>
              </w:rPr>
            </w:pPr>
            <w:r>
              <w:rPr>
                <w:sz w:val="20"/>
              </w:rPr>
              <w:t xml:space="preserve">Uniform Law Commission website: </w:t>
            </w:r>
            <w:hyperlink r:id="rId929">
              <w:r>
                <w:rPr>
                  <w:color w:val="0462C1"/>
                  <w:sz w:val="20"/>
                  <w:u w:val="single" w:color="0462C1"/>
                </w:rPr>
                <w:t>http://www.uniformlaws.org/</w:t>
              </w:r>
            </w:hyperlink>
          </w:p>
          <w:p w14:paraId="777F5DD0" w14:textId="77777777" w:rsidR="0046798B" w:rsidRDefault="0046798B">
            <w:pPr>
              <w:pStyle w:val="TableParagraph"/>
              <w:rPr>
                <w:sz w:val="20"/>
              </w:rPr>
            </w:pPr>
          </w:p>
          <w:p w14:paraId="6C3EF177"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39B551B1" w14:textId="77777777">
        <w:trPr>
          <w:trHeight w:val="545"/>
        </w:trPr>
        <w:tc>
          <w:tcPr>
            <w:tcW w:w="1711" w:type="dxa"/>
          </w:tcPr>
          <w:p w14:paraId="4C1C1B85" w14:textId="77777777" w:rsidR="0046798B" w:rsidRDefault="00903B5C">
            <w:pPr>
              <w:pStyle w:val="TableParagraph"/>
              <w:spacing w:before="38"/>
              <w:ind w:left="115" w:right="110"/>
              <w:rPr>
                <w:b/>
                <w:sz w:val="20"/>
              </w:rPr>
            </w:pPr>
            <w:r>
              <w:rPr>
                <w:b/>
                <w:sz w:val="20"/>
              </w:rPr>
              <w:t>deceptive_trade_ practices_act_1</w:t>
            </w:r>
          </w:p>
        </w:tc>
        <w:tc>
          <w:tcPr>
            <w:tcW w:w="1596" w:type="dxa"/>
          </w:tcPr>
          <w:p w14:paraId="6D58A444" w14:textId="77777777" w:rsidR="0046798B" w:rsidRDefault="00903B5C">
            <w:pPr>
              <w:pStyle w:val="TableParagraph"/>
              <w:spacing w:before="38"/>
              <w:ind w:left="114" w:right="229"/>
              <w:rPr>
                <w:sz w:val="20"/>
              </w:rPr>
            </w:pPr>
            <w:r>
              <w:rPr>
                <w:sz w:val="20"/>
              </w:rPr>
              <w:t>Prohibit unfair or deceptive</w:t>
            </w:r>
          </w:p>
        </w:tc>
        <w:tc>
          <w:tcPr>
            <w:tcW w:w="1285" w:type="dxa"/>
          </w:tcPr>
          <w:p w14:paraId="7CA2B491" w14:textId="77777777" w:rsidR="0046798B" w:rsidRDefault="00903B5C">
            <w:pPr>
              <w:pStyle w:val="TableParagraph"/>
              <w:spacing w:before="153"/>
              <w:ind w:left="114"/>
              <w:rPr>
                <w:sz w:val="20"/>
              </w:rPr>
            </w:pPr>
            <w:r>
              <w:rPr>
                <w:sz w:val="20"/>
              </w:rPr>
              <w:t>1968–1973</w:t>
            </w:r>
          </w:p>
        </w:tc>
        <w:tc>
          <w:tcPr>
            <w:tcW w:w="3421" w:type="dxa"/>
          </w:tcPr>
          <w:p w14:paraId="08F6263A" w14:textId="77777777" w:rsidR="0046798B" w:rsidRDefault="00903B5C">
            <w:pPr>
              <w:pStyle w:val="TableParagraph"/>
              <w:spacing w:before="38"/>
              <w:ind w:left="114" w:right="1475"/>
              <w:rPr>
                <w:sz w:val="20"/>
              </w:rPr>
            </w:pPr>
            <w:r>
              <w:rPr>
                <w:sz w:val="20"/>
              </w:rPr>
              <w:t>0 = policy not adopted 1 = policy adopted</w:t>
            </w:r>
          </w:p>
        </w:tc>
        <w:tc>
          <w:tcPr>
            <w:tcW w:w="6482" w:type="dxa"/>
          </w:tcPr>
          <w:p w14:paraId="662522CF" w14:textId="77777777" w:rsidR="0046798B" w:rsidRDefault="00903B5C">
            <w:pPr>
              <w:pStyle w:val="TableParagraph"/>
              <w:spacing w:before="38"/>
              <w:ind w:left="114"/>
              <w:rPr>
                <w:sz w:val="20"/>
              </w:rPr>
            </w:pPr>
            <w:r>
              <w:rPr>
                <w:sz w:val="20"/>
              </w:rPr>
              <w:t xml:space="preserve">Uniform Law Commission website: </w:t>
            </w:r>
            <w:hyperlink r:id="rId930">
              <w:r>
                <w:rPr>
                  <w:color w:val="0462C1"/>
                  <w:sz w:val="20"/>
                  <w:u w:val="single" w:color="0462C1"/>
                </w:rPr>
                <w:t>http://www.uniformlaws.org/</w:t>
              </w:r>
            </w:hyperlink>
          </w:p>
        </w:tc>
      </w:tr>
    </w:tbl>
    <w:p w14:paraId="7C0BBBC1" w14:textId="77777777" w:rsidR="0046798B" w:rsidRDefault="0046798B">
      <w:pPr>
        <w:rPr>
          <w:sz w:val="20"/>
        </w:rPr>
        <w:sectPr w:rsidR="0046798B">
          <w:pgSz w:w="15840" w:h="12240" w:orient="landscape"/>
          <w:pgMar w:top="1220" w:right="300" w:bottom="980" w:left="820" w:header="730" w:footer="787" w:gutter="0"/>
          <w:cols w:space="720"/>
        </w:sectPr>
      </w:pPr>
    </w:p>
    <w:p w14:paraId="692ECDC0"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0BCDED04" w14:textId="77777777">
        <w:trPr>
          <w:trHeight w:val="1005"/>
        </w:trPr>
        <w:tc>
          <w:tcPr>
            <w:tcW w:w="1711" w:type="dxa"/>
          </w:tcPr>
          <w:p w14:paraId="43983BA8" w14:textId="77777777" w:rsidR="0046798B" w:rsidRDefault="0046798B">
            <w:pPr>
              <w:pStyle w:val="TableParagraph"/>
              <w:rPr>
                <w:sz w:val="20"/>
              </w:rPr>
            </w:pPr>
          </w:p>
        </w:tc>
        <w:tc>
          <w:tcPr>
            <w:tcW w:w="1596" w:type="dxa"/>
          </w:tcPr>
          <w:p w14:paraId="42356E01" w14:textId="77777777" w:rsidR="0046798B" w:rsidRDefault="00903B5C">
            <w:pPr>
              <w:pStyle w:val="TableParagraph"/>
              <w:spacing w:before="43"/>
              <w:ind w:left="114" w:right="291"/>
              <w:rPr>
                <w:sz w:val="20"/>
              </w:rPr>
            </w:pPr>
            <w:r>
              <w:rPr>
                <w:sz w:val="20"/>
              </w:rPr>
              <w:t>trade practices and unfair competition</w:t>
            </w:r>
          </w:p>
        </w:tc>
        <w:tc>
          <w:tcPr>
            <w:tcW w:w="1285" w:type="dxa"/>
          </w:tcPr>
          <w:p w14:paraId="16C9EB44" w14:textId="77777777" w:rsidR="0046798B" w:rsidRDefault="0046798B">
            <w:pPr>
              <w:pStyle w:val="TableParagraph"/>
              <w:rPr>
                <w:sz w:val="20"/>
              </w:rPr>
            </w:pPr>
          </w:p>
        </w:tc>
        <w:tc>
          <w:tcPr>
            <w:tcW w:w="3421" w:type="dxa"/>
          </w:tcPr>
          <w:p w14:paraId="5B534D71" w14:textId="77777777" w:rsidR="0046798B" w:rsidRDefault="0046798B">
            <w:pPr>
              <w:pStyle w:val="TableParagraph"/>
              <w:rPr>
                <w:sz w:val="20"/>
              </w:rPr>
            </w:pPr>
          </w:p>
        </w:tc>
        <w:tc>
          <w:tcPr>
            <w:tcW w:w="6482" w:type="dxa"/>
          </w:tcPr>
          <w:p w14:paraId="25CEDBAB" w14:textId="77777777" w:rsidR="0046798B" w:rsidRDefault="00903B5C">
            <w:pPr>
              <w:pStyle w:val="TableParagraph"/>
              <w:spacing w:before="43"/>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009FBA3E" w14:textId="77777777">
        <w:trPr>
          <w:trHeight w:val="1465"/>
        </w:trPr>
        <w:tc>
          <w:tcPr>
            <w:tcW w:w="1711" w:type="dxa"/>
          </w:tcPr>
          <w:p w14:paraId="760A6746" w14:textId="77777777" w:rsidR="0046798B" w:rsidRDefault="0046798B">
            <w:pPr>
              <w:pStyle w:val="TableParagraph"/>
            </w:pPr>
          </w:p>
          <w:p w14:paraId="0828EACF" w14:textId="77777777" w:rsidR="0046798B" w:rsidRDefault="0046798B">
            <w:pPr>
              <w:pStyle w:val="TableParagraph"/>
              <w:spacing w:before="9"/>
              <w:rPr>
                <w:sz w:val="21"/>
              </w:rPr>
            </w:pPr>
          </w:p>
          <w:p w14:paraId="24C4BCC6" w14:textId="77777777" w:rsidR="0046798B" w:rsidRDefault="00903B5C">
            <w:pPr>
              <w:pStyle w:val="TableParagraph"/>
              <w:ind w:left="115" w:right="110"/>
              <w:rPr>
                <w:b/>
                <w:sz w:val="20"/>
              </w:rPr>
            </w:pPr>
            <w:r>
              <w:rPr>
                <w:b/>
                <w:sz w:val="20"/>
              </w:rPr>
              <w:t>disclaimer_of_pr operty_interests</w:t>
            </w:r>
          </w:p>
        </w:tc>
        <w:tc>
          <w:tcPr>
            <w:tcW w:w="1596" w:type="dxa"/>
          </w:tcPr>
          <w:p w14:paraId="2A8ACCE6" w14:textId="77777777" w:rsidR="0046798B" w:rsidRDefault="00903B5C">
            <w:pPr>
              <w:pStyle w:val="TableParagraph"/>
              <w:spacing w:before="43"/>
              <w:ind w:left="114" w:right="107"/>
              <w:rPr>
                <w:sz w:val="20"/>
              </w:rPr>
            </w:pPr>
            <w:r>
              <w:rPr>
                <w:sz w:val="20"/>
              </w:rPr>
              <w:t>Allow every sort of disclaimer, including those that are useful for tax planning purposes</w:t>
            </w:r>
          </w:p>
        </w:tc>
        <w:tc>
          <w:tcPr>
            <w:tcW w:w="1285" w:type="dxa"/>
          </w:tcPr>
          <w:p w14:paraId="29E36CA5" w14:textId="77777777" w:rsidR="0046798B" w:rsidRDefault="0046798B">
            <w:pPr>
              <w:pStyle w:val="TableParagraph"/>
            </w:pPr>
          </w:p>
          <w:p w14:paraId="14CBCEA9" w14:textId="77777777" w:rsidR="0046798B" w:rsidRDefault="0046798B">
            <w:pPr>
              <w:pStyle w:val="TableParagraph"/>
              <w:spacing w:before="9"/>
              <w:rPr>
                <w:sz w:val="31"/>
              </w:rPr>
            </w:pPr>
          </w:p>
          <w:p w14:paraId="69C3DF44" w14:textId="77777777" w:rsidR="0046798B" w:rsidRDefault="00903B5C">
            <w:pPr>
              <w:pStyle w:val="TableParagraph"/>
              <w:ind w:left="114"/>
              <w:rPr>
                <w:sz w:val="20"/>
              </w:rPr>
            </w:pPr>
            <w:r>
              <w:rPr>
                <w:sz w:val="20"/>
              </w:rPr>
              <w:t>2000–2015</w:t>
            </w:r>
          </w:p>
        </w:tc>
        <w:tc>
          <w:tcPr>
            <w:tcW w:w="3421" w:type="dxa"/>
          </w:tcPr>
          <w:p w14:paraId="1A59248C" w14:textId="77777777" w:rsidR="0046798B" w:rsidRDefault="0046798B">
            <w:pPr>
              <w:pStyle w:val="TableParagraph"/>
            </w:pPr>
          </w:p>
          <w:p w14:paraId="68DBD776" w14:textId="77777777" w:rsidR="0046798B" w:rsidRDefault="0046798B">
            <w:pPr>
              <w:pStyle w:val="TableParagraph"/>
              <w:spacing w:before="9"/>
              <w:rPr>
                <w:sz w:val="21"/>
              </w:rPr>
            </w:pPr>
          </w:p>
          <w:p w14:paraId="54E5CA71" w14:textId="77777777" w:rsidR="0046798B" w:rsidRDefault="00903B5C">
            <w:pPr>
              <w:pStyle w:val="TableParagraph"/>
              <w:ind w:left="114" w:right="1475"/>
              <w:rPr>
                <w:sz w:val="20"/>
              </w:rPr>
            </w:pPr>
            <w:r>
              <w:rPr>
                <w:sz w:val="20"/>
              </w:rPr>
              <w:t>0 = policy not adopted 1 = policy adopted</w:t>
            </w:r>
          </w:p>
        </w:tc>
        <w:tc>
          <w:tcPr>
            <w:tcW w:w="6482" w:type="dxa"/>
          </w:tcPr>
          <w:p w14:paraId="0E944591" w14:textId="77777777" w:rsidR="0046798B" w:rsidRDefault="00903B5C">
            <w:pPr>
              <w:pStyle w:val="TableParagraph"/>
              <w:spacing w:before="43"/>
              <w:ind w:left="114"/>
              <w:rPr>
                <w:sz w:val="20"/>
              </w:rPr>
            </w:pPr>
            <w:r>
              <w:rPr>
                <w:sz w:val="20"/>
              </w:rPr>
              <w:t xml:space="preserve">Uniform Law Commission website: </w:t>
            </w:r>
            <w:hyperlink r:id="rId931">
              <w:r>
                <w:rPr>
                  <w:color w:val="0462C1"/>
                  <w:sz w:val="20"/>
                  <w:u w:val="single" w:color="0462C1"/>
                </w:rPr>
                <w:t>http://www.uniformlaws.org/</w:t>
              </w:r>
            </w:hyperlink>
          </w:p>
          <w:p w14:paraId="693D9075" w14:textId="77777777" w:rsidR="0046798B" w:rsidRDefault="0046798B">
            <w:pPr>
              <w:pStyle w:val="TableParagraph"/>
              <w:rPr>
                <w:sz w:val="20"/>
              </w:rPr>
            </w:pPr>
          </w:p>
          <w:p w14:paraId="79DBCEF6"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E5DF41A" w14:textId="77777777">
        <w:trPr>
          <w:trHeight w:val="1470"/>
        </w:trPr>
        <w:tc>
          <w:tcPr>
            <w:tcW w:w="1711" w:type="dxa"/>
          </w:tcPr>
          <w:p w14:paraId="0AB88E34" w14:textId="77777777" w:rsidR="0046798B" w:rsidRDefault="0046798B">
            <w:pPr>
              <w:pStyle w:val="TableParagraph"/>
            </w:pPr>
          </w:p>
          <w:p w14:paraId="653424C6" w14:textId="77777777" w:rsidR="0046798B" w:rsidRDefault="00903B5C">
            <w:pPr>
              <w:pStyle w:val="TableParagraph"/>
              <w:spacing w:before="135"/>
              <w:ind w:left="115" w:right="194"/>
              <w:jc w:val="both"/>
              <w:rPr>
                <w:b/>
                <w:sz w:val="20"/>
              </w:rPr>
            </w:pPr>
            <w:r>
              <w:rPr>
                <w:b/>
                <w:sz w:val="20"/>
              </w:rPr>
              <w:t>division_of_inco me_for_tax_pur po</w:t>
            </w:r>
          </w:p>
        </w:tc>
        <w:tc>
          <w:tcPr>
            <w:tcW w:w="1596" w:type="dxa"/>
          </w:tcPr>
          <w:p w14:paraId="1C73BB00" w14:textId="77777777" w:rsidR="0046798B" w:rsidRDefault="00903B5C">
            <w:pPr>
              <w:pStyle w:val="TableParagraph"/>
              <w:spacing w:before="43"/>
              <w:ind w:left="114" w:right="102"/>
              <w:rPr>
                <w:sz w:val="20"/>
              </w:rPr>
            </w:pPr>
            <w:r>
              <w:rPr>
                <w:sz w:val="20"/>
              </w:rPr>
              <w:t>Divides income between states for tax purposes when living/working in multiple</w:t>
            </w:r>
            <w:r>
              <w:rPr>
                <w:spacing w:val="-1"/>
                <w:sz w:val="20"/>
              </w:rPr>
              <w:t xml:space="preserve"> </w:t>
            </w:r>
            <w:r>
              <w:rPr>
                <w:spacing w:val="-3"/>
                <w:sz w:val="20"/>
              </w:rPr>
              <w:t>states</w:t>
            </w:r>
          </w:p>
        </w:tc>
        <w:tc>
          <w:tcPr>
            <w:tcW w:w="1285" w:type="dxa"/>
          </w:tcPr>
          <w:p w14:paraId="1ED9C2EC" w14:textId="77777777" w:rsidR="0046798B" w:rsidRDefault="0046798B">
            <w:pPr>
              <w:pStyle w:val="TableParagraph"/>
            </w:pPr>
          </w:p>
          <w:p w14:paraId="23179BFF" w14:textId="77777777" w:rsidR="0046798B" w:rsidRDefault="0046798B">
            <w:pPr>
              <w:pStyle w:val="TableParagraph"/>
              <w:spacing w:before="9"/>
              <w:rPr>
                <w:sz w:val="31"/>
              </w:rPr>
            </w:pPr>
          </w:p>
          <w:p w14:paraId="5BC84B52" w14:textId="77777777" w:rsidR="0046798B" w:rsidRDefault="00903B5C">
            <w:pPr>
              <w:pStyle w:val="TableParagraph"/>
              <w:ind w:left="114"/>
              <w:rPr>
                <w:sz w:val="20"/>
              </w:rPr>
            </w:pPr>
            <w:r>
              <w:rPr>
                <w:sz w:val="20"/>
              </w:rPr>
              <w:t>1950–1983</w:t>
            </w:r>
          </w:p>
        </w:tc>
        <w:tc>
          <w:tcPr>
            <w:tcW w:w="3421" w:type="dxa"/>
          </w:tcPr>
          <w:p w14:paraId="2DFE5FC8" w14:textId="77777777" w:rsidR="0046798B" w:rsidRDefault="0046798B">
            <w:pPr>
              <w:pStyle w:val="TableParagraph"/>
            </w:pPr>
          </w:p>
          <w:p w14:paraId="12AD5114" w14:textId="77777777" w:rsidR="0046798B" w:rsidRDefault="0046798B">
            <w:pPr>
              <w:pStyle w:val="TableParagraph"/>
              <w:spacing w:before="9"/>
              <w:rPr>
                <w:sz w:val="21"/>
              </w:rPr>
            </w:pPr>
          </w:p>
          <w:p w14:paraId="1E0C2271" w14:textId="77777777" w:rsidR="0046798B" w:rsidRDefault="00903B5C">
            <w:pPr>
              <w:pStyle w:val="TableParagraph"/>
              <w:ind w:left="114" w:right="1475"/>
              <w:rPr>
                <w:sz w:val="20"/>
              </w:rPr>
            </w:pPr>
            <w:r>
              <w:rPr>
                <w:sz w:val="20"/>
              </w:rPr>
              <w:t>0 = policy not adopted 1 = policy adopted</w:t>
            </w:r>
          </w:p>
        </w:tc>
        <w:tc>
          <w:tcPr>
            <w:tcW w:w="6482" w:type="dxa"/>
          </w:tcPr>
          <w:p w14:paraId="5292090A" w14:textId="77777777" w:rsidR="0046798B" w:rsidRDefault="00903B5C">
            <w:pPr>
              <w:pStyle w:val="TableParagraph"/>
              <w:spacing w:before="43"/>
              <w:ind w:left="114"/>
              <w:rPr>
                <w:sz w:val="20"/>
              </w:rPr>
            </w:pPr>
            <w:r>
              <w:rPr>
                <w:sz w:val="20"/>
              </w:rPr>
              <w:t xml:space="preserve">Uniform Law Commission website: </w:t>
            </w:r>
            <w:hyperlink r:id="rId932">
              <w:r>
                <w:rPr>
                  <w:color w:val="0462C1"/>
                  <w:sz w:val="20"/>
                  <w:u w:val="single" w:color="0462C1"/>
                </w:rPr>
                <w:t>http://www.uniformlaws.org/</w:t>
              </w:r>
            </w:hyperlink>
          </w:p>
          <w:p w14:paraId="4771A31E" w14:textId="77777777" w:rsidR="0046798B" w:rsidRDefault="0046798B">
            <w:pPr>
              <w:pStyle w:val="TableParagraph"/>
              <w:rPr>
                <w:sz w:val="20"/>
              </w:rPr>
            </w:pPr>
          </w:p>
          <w:p w14:paraId="6D8B919C"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5F470547" w14:textId="77777777">
        <w:trPr>
          <w:trHeight w:val="1693"/>
        </w:trPr>
        <w:tc>
          <w:tcPr>
            <w:tcW w:w="1711" w:type="dxa"/>
            <w:tcBorders>
              <w:bottom w:val="dotted" w:sz="6" w:space="0" w:color="BEBEBE"/>
            </w:tcBorders>
          </w:tcPr>
          <w:p w14:paraId="156A489D" w14:textId="77777777" w:rsidR="0046798B" w:rsidRDefault="0046798B">
            <w:pPr>
              <w:pStyle w:val="TableParagraph"/>
            </w:pPr>
          </w:p>
          <w:p w14:paraId="2970673C" w14:textId="77777777" w:rsidR="0046798B" w:rsidRDefault="0046798B">
            <w:pPr>
              <w:pStyle w:val="TableParagraph"/>
              <w:spacing w:before="4"/>
              <w:rPr>
                <w:sz w:val="21"/>
              </w:rPr>
            </w:pPr>
          </w:p>
          <w:p w14:paraId="5835251D" w14:textId="77777777" w:rsidR="0046798B" w:rsidRDefault="00903B5C">
            <w:pPr>
              <w:pStyle w:val="TableParagraph"/>
              <w:ind w:left="115" w:right="110"/>
              <w:rPr>
                <w:b/>
                <w:sz w:val="20"/>
              </w:rPr>
            </w:pPr>
            <w:r>
              <w:rPr>
                <w:b/>
                <w:sz w:val="20"/>
              </w:rPr>
              <w:t>dormant_minera l_interests_act_ m</w:t>
            </w:r>
          </w:p>
        </w:tc>
        <w:tc>
          <w:tcPr>
            <w:tcW w:w="1596" w:type="dxa"/>
            <w:tcBorders>
              <w:bottom w:val="dotted" w:sz="6" w:space="0" w:color="BEBEBE"/>
            </w:tcBorders>
          </w:tcPr>
          <w:p w14:paraId="09DDABD8" w14:textId="77777777" w:rsidR="0046798B" w:rsidRDefault="00903B5C">
            <w:pPr>
              <w:pStyle w:val="TableParagraph"/>
              <w:spacing w:before="38"/>
              <w:ind w:left="114" w:right="94"/>
              <w:rPr>
                <w:sz w:val="20"/>
              </w:rPr>
            </w:pPr>
            <w:r>
              <w:rPr>
                <w:sz w:val="20"/>
              </w:rPr>
              <w:t>Ownership of real estate means ownership of interests and rights in an actual piece of geography</w:t>
            </w:r>
          </w:p>
        </w:tc>
        <w:tc>
          <w:tcPr>
            <w:tcW w:w="1285" w:type="dxa"/>
            <w:tcBorders>
              <w:bottom w:val="dotted" w:sz="6" w:space="0" w:color="BEBEBE"/>
            </w:tcBorders>
          </w:tcPr>
          <w:p w14:paraId="18163CF0" w14:textId="77777777" w:rsidR="0046798B" w:rsidRDefault="0046798B">
            <w:pPr>
              <w:pStyle w:val="TableParagraph"/>
            </w:pPr>
          </w:p>
          <w:p w14:paraId="282C70E5" w14:textId="77777777" w:rsidR="0046798B" w:rsidRDefault="0046798B">
            <w:pPr>
              <w:pStyle w:val="TableParagraph"/>
            </w:pPr>
          </w:p>
          <w:p w14:paraId="4BF3D363" w14:textId="77777777" w:rsidR="0046798B" w:rsidRDefault="0046798B">
            <w:pPr>
              <w:pStyle w:val="TableParagraph"/>
              <w:spacing w:before="4"/>
              <w:rPr>
                <w:sz w:val="19"/>
              </w:rPr>
            </w:pPr>
          </w:p>
          <w:p w14:paraId="640160C4" w14:textId="77777777" w:rsidR="0046798B" w:rsidRDefault="00903B5C">
            <w:pPr>
              <w:pStyle w:val="TableParagraph"/>
              <w:ind w:left="114"/>
              <w:rPr>
                <w:sz w:val="20"/>
              </w:rPr>
            </w:pPr>
            <w:r>
              <w:rPr>
                <w:sz w:val="20"/>
              </w:rPr>
              <w:t>1987</w:t>
            </w:r>
          </w:p>
        </w:tc>
        <w:tc>
          <w:tcPr>
            <w:tcW w:w="3421" w:type="dxa"/>
            <w:tcBorders>
              <w:bottom w:val="dotted" w:sz="6" w:space="0" w:color="BEBEBE"/>
            </w:tcBorders>
          </w:tcPr>
          <w:p w14:paraId="23EA3D4F" w14:textId="77777777" w:rsidR="0046798B" w:rsidRDefault="0046798B">
            <w:pPr>
              <w:pStyle w:val="TableParagraph"/>
            </w:pPr>
          </w:p>
          <w:p w14:paraId="6C3ECE12" w14:textId="77777777" w:rsidR="0046798B" w:rsidRDefault="0046798B">
            <w:pPr>
              <w:pStyle w:val="TableParagraph"/>
              <w:spacing w:before="4"/>
              <w:rPr>
                <w:sz w:val="31"/>
              </w:rPr>
            </w:pPr>
          </w:p>
          <w:p w14:paraId="40748898" w14:textId="77777777" w:rsidR="0046798B" w:rsidRDefault="00903B5C">
            <w:pPr>
              <w:pStyle w:val="TableParagraph"/>
              <w:ind w:left="114" w:right="1475"/>
              <w:rPr>
                <w:sz w:val="20"/>
              </w:rPr>
            </w:pPr>
            <w:r>
              <w:rPr>
                <w:sz w:val="20"/>
              </w:rPr>
              <w:t>0 = policy not adopted 1 = policy adopted</w:t>
            </w:r>
          </w:p>
        </w:tc>
        <w:tc>
          <w:tcPr>
            <w:tcW w:w="6482" w:type="dxa"/>
            <w:tcBorders>
              <w:bottom w:val="dotted" w:sz="6" w:space="0" w:color="BEBEBE"/>
            </w:tcBorders>
          </w:tcPr>
          <w:p w14:paraId="51A8F307" w14:textId="77777777" w:rsidR="0046798B" w:rsidRDefault="00903B5C">
            <w:pPr>
              <w:pStyle w:val="TableParagraph"/>
              <w:spacing w:before="153"/>
              <w:ind w:left="114"/>
              <w:rPr>
                <w:sz w:val="20"/>
              </w:rPr>
            </w:pPr>
            <w:r>
              <w:rPr>
                <w:sz w:val="20"/>
              </w:rPr>
              <w:t xml:space="preserve">Uniform Law Commission website: </w:t>
            </w:r>
            <w:hyperlink r:id="rId933">
              <w:r>
                <w:rPr>
                  <w:color w:val="0462C1"/>
                  <w:sz w:val="20"/>
                  <w:u w:val="single" w:color="0462C1"/>
                </w:rPr>
                <w:t>http://www.uniformlaws.org/</w:t>
              </w:r>
            </w:hyperlink>
          </w:p>
          <w:p w14:paraId="59803C24" w14:textId="77777777" w:rsidR="0046798B" w:rsidRDefault="0046798B">
            <w:pPr>
              <w:pStyle w:val="TableParagraph"/>
              <w:rPr>
                <w:sz w:val="20"/>
              </w:rPr>
            </w:pPr>
          </w:p>
          <w:p w14:paraId="279020CC"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4E83FF8A" w14:textId="77777777">
        <w:trPr>
          <w:trHeight w:val="2613"/>
        </w:trPr>
        <w:tc>
          <w:tcPr>
            <w:tcW w:w="1711" w:type="dxa"/>
            <w:tcBorders>
              <w:top w:val="dotted" w:sz="6" w:space="0" w:color="BEBEBE"/>
            </w:tcBorders>
          </w:tcPr>
          <w:p w14:paraId="42A26676" w14:textId="77777777" w:rsidR="0046798B" w:rsidRDefault="0046798B">
            <w:pPr>
              <w:pStyle w:val="TableParagraph"/>
            </w:pPr>
          </w:p>
          <w:p w14:paraId="6B418565" w14:textId="77777777" w:rsidR="0046798B" w:rsidRDefault="0046798B">
            <w:pPr>
              <w:pStyle w:val="TableParagraph"/>
            </w:pPr>
          </w:p>
          <w:p w14:paraId="4BA76D4D" w14:textId="77777777" w:rsidR="0046798B" w:rsidRDefault="0046798B">
            <w:pPr>
              <w:pStyle w:val="TableParagraph"/>
            </w:pPr>
          </w:p>
          <w:p w14:paraId="7118F551" w14:textId="77777777" w:rsidR="0046798B" w:rsidRDefault="00903B5C">
            <w:pPr>
              <w:pStyle w:val="TableParagraph"/>
              <w:spacing w:before="197"/>
              <w:ind w:left="115"/>
              <w:rPr>
                <w:b/>
                <w:sz w:val="20"/>
              </w:rPr>
            </w:pPr>
            <w:r>
              <w:rPr>
                <w:b/>
                <w:sz w:val="20"/>
              </w:rPr>
              <w:t>emergency_volu nteer_health_pra ct</w:t>
            </w:r>
          </w:p>
        </w:tc>
        <w:tc>
          <w:tcPr>
            <w:tcW w:w="1596" w:type="dxa"/>
            <w:tcBorders>
              <w:top w:val="dotted" w:sz="6" w:space="0" w:color="BEBEBE"/>
            </w:tcBorders>
          </w:tcPr>
          <w:p w14:paraId="6588162A" w14:textId="77777777" w:rsidR="0046798B" w:rsidRDefault="00903B5C">
            <w:pPr>
              <w:pStyle w:val="TableParagraph"/>
              <w:spacing w:before="35"/>
              <w:ind w:left="114" w:right="191"/>
              <w:rPr>
                <w:sz w:val="20"/>
              </w:rPr>
            </w:pPr>
            <w:r>
              <w:rPr>
                <w:sz w:val="20"/>
              </w:rPr>
              <w:t>Allows state governments during a declared emergency to give reciprocity to other states’ licenses on emergency service providers</w:t>
            </w:r>
          </w:p>
        </w:tc>
        <w:tc>
          <w:tcPr>
            <w:tcW w:w="1285" w:type="dxa"/>
            <w:tcBorders>
              <w:top w:val="dotted" w:sz="6" w:space="0" w:color="BEBEBE"/>
            </w:tcBorders>
          </w:tcPr>
          <w:p w14:paraId="30C73F45" w14:textId="77777777" w:rsidR="0046798B" w:rsidRDefault="0046798B">
            <w:pPr>
              <w:pStyle w:val="TableParagraph"/>
            </w:pPr>
          </w:p>
          <w:p w14:paraId="66D31720" w14:textId="77777777" w:rsidR="0046798B" w:rsidRDefault="0046798B">
            <w:pPr>
              <w:pStyle w:val="TableParagraph"/>
            </w:pPr>
          </w:p>
          <w:p w14:paraId="4B2B1764" w14:textId="77777777" w:rsidR="0046798B" w:rsidRDefault="0046798B">
            <w:pPr>
              <w:pStyle w:val="TableParagraph"/>
            </w:pPr>
          </w:p>
          <w:p w14:paraId="4F2D3F54" w14:textId="77777777" w:rsidR="0046798B" w:rsidRDefault="0046798B">
            <w:pPr>
              <w:pStyle w:val="TableParagraph"/>
            </w:pPr>
          </w:p>
          <w:p w14:paraId="15E357DA" w14:textId="77777777" w:rsidR="0046798B" w:rsidRDefault="00903B5C">
            <w:pPr>
              <w:pStyle w:val="TableParagraph"/>
              <w:spacing w:before="174"/>
              <w:ind w:left="114"/>
              <w:rPr>
                <w:sz w:val="20"/>
              </w:rPr>
            </w:pPr>
            <w:r>
              <w:rPr>
                <w:sz w:val="20"/>
              </w:rPr>
              <w:t>2007–2016</w:t>
            </w:r>
          </w:p>
        </w:tc>
        <w:tc>
          <w:tcPr>
            <w:tcW w:w="3421" w:type="dxa"/>
            <w:tcBorders>
              <w:top w:val="dotted" w:sz="6" w:space="0" w:color="BEBEBE"/>
            </w:tcBorders>
          </w:tcPr>
          <w:p w14:paraId="4DAE13F8" w14:textId="77777777" w:rsidR="0046798B" w:rsidRDefault="0046798B">
            <w:pPr>
              <w:pStyle w:val="TableParagraph"/>
            </w:pPr>
          </w:p>
          <w:p w14:paraId="2A40FFC4" w14:textId="77777777" w:rsidR="0046798B" w:rsidRDefault="0046798B">
            <w:pPr>
              <w:pStyle w:val="TableParagraph"/>
            </w:pPr>
          </w:p>
          <w:p w14:paraId="1AA0C08C" w14:textId="77777777" w:rsidR="0046798B" w:rsidRDefault="0046798B">
            <w:pPr>
              <w:pStyle w:val="TableParagraph"/>
            </w:pPr>
          </w:p>
          <w:p w14:paraId="24077322" w14:textId="77777777" w:rsidR="0046798B" w:rsidRDefault="0046798B">
            <w:pPr>
              <w:pStyle w:val="TableParagraph"/>
              <w:spacing w:before="1"/>
              <w:rPr>
                <w:sz w:val="27"/>
              </w:rPr>
            </w:pPr>
          </w:p>
          <w:p w14:paraId="4CD8A2A3" w14:textId="77777777" w:rsidR="0046798B" w:rsidRDefault="00903B5C">
            <w:pPr>
              <w:pStyle w:val="TableParagraph"/>
              <w:spacing w:before="1"/>
              <w:ind w:left="114" w:right="1475"/>
              <w:rPr>
                <w:sz w:val="20"/>
              </w:rPr>
            </w:pPr>
            <w:r>
              <w:rPr>
                <w:sz w:val="20"/>
              </w:rPr>
              <w:t>0 = policy not adopted 1 = policy adopted</w:t>
            </w:r>
          </w:p>
        </w:tc>
        <w:tc>
          <w:tcPr>
            <w:tcW w:w="6482" w:type="dxa"/>
            <w:tcBorders>
              <w:top w:val="dotted" w:sz="6" w:space="0" w:color="BEBEBE"/>
            </w:tcBorders>
          </w:tcPr>
          <w:p w14:paraId="2DE42567" w14:textId="77777777" w:rsidR="0046798B" w:rsidRDefault="0046798B">
            <w:pPr>
              <w:pStyle w:val="TableParagraph"/>
            </w:pPr>
          </w:p>
          <w:p w14:paraId="247BA042" w14:textId="77777777" w:rsidR="0046798B" w:rsidRDefault="0046798B">
            <w:pPr>
              <w:pStyle w:val="TableParagraph"/>
              <w:spacing w:before="1"/>
              <w:rPr>
                <w:sz w:val="31"/>
              </w:rPr>
            </w:pPr>
          </w:p>
          <w:p w14:paraId="35BFD487" w14:textId="77777777" w:rsidR="0046798B" w:rsidRDefault="00903B5C">
            <w:pPr>
              <w:pStyle w:val="TableParagraph"/>
              <w:ind w:left="114"/>
              <w:rPr>
                <w:sz w:val="20"/>
              </w:rPr>
            </w:pPr>
            <w:r>
              <w:rPr>
                <w:sz w:val="20"/>
              </w:rPr>
              <w:t xml:space="preserve">Uniform Law Commission website: </w:t>
            </w:r>
            <w:hyperlink r:id="rId934">
              <w:r>
                <w:rPr>
                  <w:color w:val="0462C1"/>
                  <w:sz w:val="20"/>
                  <w:u w:val="single" w:color="0462C1"/>
                </w:rPr>
                <w:t>http://www.uniformlaws.org/</w:t>
              </w:r>
            </w:hyperlink>
          </w:p>
          <w:p w14:paraId="1B48FCA3" w14:textId="77777777" w:rsidR="0046798B" w:rsidRDefault="0046798B">
            <w:pPr>
              <w:pStyle w:val="TableParagraph"/>
              <w:rPr>
                <w:sz w:val="20"/>
              </w:rPr>
            </w:pPr>
          </w:p>
          <w:p w14:paraId="5A10B887"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00B03F09" w14:textId="77777777">
        <w:trPr>
          <w:trHeight w:val="1005"/>
        </w:trPr>
        <w:tc>
          <w:tcPr>
            <w:tcW w:w="1711" w:type="dxa"/>
          </w:tcPr>
          <w:p w14:paraId="38EF2B92" w14:textId="77777777" w:rsidR="0046798B" w:rsidRDefault="0046798B">
            <w:pPr>
              <w:pStyle w:val="TableParagraph"/>
              <w:spacing w:before="3"/>
              <w:rPr>
                <w:sz w:val="23"/>
              </w:rPr>
            </w:pPr>
          </w:p>
          <w:p w14:paraId="4A676318" w14:textId="77777777" w:rsidR="0046798B" w:rsidRDefault="00903B5C">
            <w:pPr>
              <w:pStyle w:val="TableParagraph"/>
              <w:spacing w:before="1"/>
              <w:ind w:left="115"/>
              <w:rPr>
                <w:b/>
                <w:sz w:val="20"/>
              </w:rPr>
            </w:pPr>
            <w:r>
              <w:rPr>
                <w:b/>
                <w:sz w:val="20"/>
              </w:rPr>
              <w:t>eminent_domain</w:t>
            </w:r>
          </w:p>
          <w:p w14:paraId="7B516E80" w14:textId="77777777" w:rsidR="0046798B" w:rsidRDefault="00903B5C">
            <w:pPr>
              <w:pStyle w:val="TableParagraph"/>
              <w:ind w:left="115"/>
              <w:rPr>
                <w:b/>
                <w:sz w:val="20"/>
              </w:rPr>
            </w:pPr>
            <w:r>
              <w:rPr>
                <w:b/>
                <w:sz w:val="20"/>
              </w:rPr>
              <w:t>_code</w:t>
            </w:r>
          </w:p>
        </w:tc>
        <w:tc>
          <w:tcPr>
            <w:tcW w:w="1596" w:type="dxa"/>
          </w:tcPr>
          <w:p w14:paraId="7E091C15" w14:textId="77777777" w:rsidR="0046798B" w:rsidRDefault="00903B5C">
            <w:pPr>
              <w:pStyle w:val="TableParagraph"/>
              <w:spacing w:before="38"/>
              <w:ind w:left="114" w:right="102"/>
              <w:rPr>
                <w:sz w:val="20"/>
              </w:rPr>
            </w:pPr>
            <w:r>
              <w:rPr>
                <w:sz w:val="20"/>
              </w:rPr>
              <w:t>Regulating condemnation of property on behalf of private</w:t>
            </w:r>
          </w:p>
        </w:tc>
        <w:tc>
          <w:tcPr>
            <w:tcW w:w="1285" w:type="dxa"/>
          </w:tcPr>
          <w:p w14:paraId="3E874DEF" w14:textId="77777777" w:rsidR="0046798B" w:rsidRDefault="0046798B">
            <w:pPr>
              <w:pStyle w:val="TableParagraph"/>
            </w:pPr>
          </w:p>
          <w:p w14:paraId="67C5B0D9" w14:textId="77777777" w:rsidR="0046798B" w:rsidRDefault="00903B5C">
            <w:pPr>
              <w:pStyle w:val="TableParagraph"/>
              <w:spacing w:before="130"/>
              <w:ind w:left="114"/>
              <w:rPr>
                <w:sz w:val="20"/>
              </w:rPr>
            </w:pPr>
            <w:r>
              <w:rPr>
                <w:sz w:val="20"/>
              </w:rPr>
              <w:t>1985</w:t>
            </w:r>
          </w:p>
        </w:tc>
        <w:tc>
          <w:tcPr>
            <w:tcW w:w="3421" w:type="dxa"/>
          </w:tcPr>
          <w:p w14:paraId="261E6BAC" w14:textId="77777777" w:rsidR="0046798B" w:rsidRDefault="0046798B">
            <w:pPr>
              <w:pStyle w:val="TableParagraph"/>
              <w:spacing w:before="3"/>
              <w:rPr>
                <w:sz w:val="23"/>
              </w:rPr>
            </w:pPr>
          </w:p>
          <w:p w14:paraId="78155C1B"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667B619B" w14:textId="77777777" w:rsidR="0046798B" w:rsidRDefault="00903B5C">
            <w:pPr>
              <w:pStyle w:val="TableParagraph"/>
              <w:spacing w:before="38"/>
              <w:ind w:left="114"/>
              <w:rPr>
                <w:sz w:val="20"/>
              </w:rPr>
            </w:pPr>
            <w:r>
              <w:rPr>
                <w:sz w:val="20"/>
              </w:rPr>
              <w:t xml:space="preserve">Uniform Law Commission website: </w:t>
            </w:r>
            <w:hyperlink r:id="rId935">
              <w:r>
                <w:rPr>
                  <w:color w:val="0462C1"/>
                  <w:sz w:val="20"/>
                  <w:u w:val="single" w:color="0462C1"/>
                </w:rPr>
                <w:t>http://www.uniformlaws.org/</w:t>
              </w:r>
            </w:hyperlink>
          </w:p>
          <w:p w14:paraId="265C636F" w14:textId="77777777" w:rsidR="0046798B" w:rsidRDefault="0046798B">
            <w:pPr>
              <w:pStyle w:val="TableParagraph"/>
              <w:rPr>
                <w:sz w:val="20"/>
              </w:rPr>
            </w:pPr>
          </w:p>
          <w:p w14:paraId="415F50EC"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w:t>
            </w:r>
          </w:p>
        </w:tc>
      </w:tr>
    </w:tbl>
    <w:p w14:paraId="046EF2D2" w14:textId="77777777" w:rsidR="0046798B" w:rsidRDefault="0046798B">
      <w:pPr>
        <w:rPr>
          <w:sz w:val="20"/>
        </w:rPr>
        <w:sectPr w:rsidR="0046798B">
          <w:pgSz w:w="15840" w:h="12240" w:orient="landscape"/>
          <w:pgMar w:top="1220" w:right="300" w:bottom="980" w:left="820" w:header="730" w:footer="787" w:gutter="0"/>
          <w:cols w:space="720"/>
        </w:sectPr>
      </w:pPr>
    </w:p>
    <w:p w14:paraId="2F661EC2"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378784CD" w14:textId="77777777">
        <w:trPr>
          <w:trHeight w:val="542"/>
        </w:trPr>
        <w:tc>
          <w:tcPr>
            <w:tcW w:w="1711" w:type="dxa"/>
            <w:tcBorders>
              <w:bottom w:val="dotted" w:sz="6" w:space="0" w:color="BEBEBE"/>
            </w:tcBorders>
          </w:tcPr>
          <w:p w14:paraId="7BB6CDD9" w14:textId="77777777" w:rsidR="0046798B" w:rsidRDefault="0046798B">
            <w:pPr>
              <w:pStyle w:val="TableParagraph"/>
              <w:rPr>
                <w:sz w:val="20"/>
              </w:rPr>
            </w:pPr>
          </w:p>
        </w:tc>
        <w:tc>
          <w:tcPr>
            <w:tcW w:w="1596" w:type="dxa"/>
            <w:tcBorders>
              <w:bottom w:val="dotted" w:sz="6" w:space="0" w:color="BEBEBE"/>
            </w:tcBorders>
          </w:tcPr>
          <w:p w14:paraId="2F0408CA" w14:textId="77777777" w:rsidR="0046798B" w:rsidRDefault="00903B5C">
            <w:pPr>
              <w:pStyle w:val="TableParagraph"/>
              <w:spacing w:before="43"/>
              <w:ind w:left="114" w:right="613"/>
              <w:rPr>
                <w:sz w:val="20"/>
              </w:rPr>
            </w:pPr>
            <w:r>
              <w:rPr>
                <w:sz w:val="20"/>
              </w:rPr>
              <w:t>and public entities</w:t>
            </w:r>
          </w:p>
        </w:tc>
        <w:tc>
          <w:tcPr>
            <w:tcW w:w="1285" w:type="dxa"/>
            <w:tcBorders>
              <w:bottom w:val="dotted" w:sz="6" w:space="0" w:color="BEBEBE"/>
            </w:tcBorders>
          </w:tcPr>
          <w:p w14:paraId="48D1EE7F" w14:textId="77777777" w:rsidR="0046798B" w:rsidRDefault="0046798B">
            <w:pPr>
              <w:pStyle w:val="TableParagraph"/>
              <w:rPr>
                <w:sz w:val="20"/>
              </w:rPr>
            </w:pPr>
          </w:p>
        </w:tc>
        <w:tc>
          <w:tcPr>
            <w:tcW w:w="3421" w:type="dxa"/>
            <w:tcBorders>
              <w:bottom w:val="dotted" w:sz="6" w:space="0" w:color="BEBEBE"/>
            </w:tcBorders>
          </w:tcPr>
          <w:p w14:paraId="38B7520F" w14:textId="77777777" w:rsidR="0046798B" w:rsidRDefault="0046798B">
            <w:pPr>
              <w:pStyle w:val="TableParagraph"/>
              <w:rPr>
                <w:sz w:val="20"/>
              </w:rPr>
            </w:pPr>
          </w:p>
        </w:tc>
        <w:tc>
          <w:tcPr>
            <w:tcW w:w="6482" w:type="dxa"/>
            <w:tcBorders>
              <w:bottom w:val="dotted" w:sz="6" w:space="0" w:color="BEBEBE"/>
            </w:tcBorders>
          </w:tcPr>
          <w:p w14:paraId="6BD3CDB5" w14:textId="77777777" w:rsidR="0046798B" w:rsidRDefault="00903B5C">
            <w:pPr>
              <w:pStyle w:val="TableParagraph"/>
              <w:spacing w:before="43"/>
              <w:ind w:left="114" w:right="2377"/>
              <w:rPr>
                <w:sz w:val="20"/>
              </w:rPr>
            </w:pPr>
            <w:r>
              <w:rPr>
                <w:sz w:val="20"/>
              </w:rPr>
              <w:t>Innovation and Diffusion (SPID) Database v1.0”, https://doi.org/10.7910/DVN/CVYSR7</w:t>
            </w:r>
          </w:p>
        </w:tc>
      </w:tr>
      <w:tr w:rsidR="0046798B" w14:paraId="1B2DFE97" w14:textId="77777777">
        <w:trPr>
          <w:trHeight w:val="2613"/>
        </w:trPr>
        <w:tc>
          <w:tcPr>
            <w:tcW w:w="1711" w:type="dxa"/>
            <w:tcBorders>
              <w:top w:val="dotted" w:sz="6" w:space="0" w:color="BEBEBE"/>
            </w:tcBorders>
          </w:tcPr>
          <w:p w14:paraId="64FE839D" w14:textId="77777777" w:rsidR="0046798B" w:rsidRDefault="0046798B">
            <w:pPr>
              <w:pStyle w:val="TableParagraph"/>
            </w:pPr>
          </w:p>
          <w:p w14:paraId="130C0165" w14:textId="77777777" w:rsidR="0046798B" w:rsidRDefault="0046798B">
            <w:pPr>
              <w:pStyle w:val="TableParagraph"/>
            </w:pPr>
          </w:p>
          <w:p w14:paraId="4E9E2D9F" w14:textId="77777777" w:rsidR="0046798B" w:rsidRDefault="0046798B">
            <w:pPr>
              <w:pStyle w:val="TableParagraph"/>
            </w:pPr>
          </w:p>
          <w:p w14:paraId="254913DD" w14:textId="77777777" w:rsidR="0046798B" w:rsidRDefault="0046798B">
            <w:pPr>
              <w:pStyle w:val="TableParagraph"/>
              <w:spacing w:before="6"/>
              <w:rPr>
                <w:sz w:val="27"/>
              </w:rPr>
            </w:pPr>
          </w:p>
          <w:p w14:paraId="7F8BDCB9" w14:textId="77777777" w:rsidR="0046798B" w:rsidRDefault="00903B5C">
            <w:pPr>
              <w:pStyle w:val="TableParagraph"/>
              <w:spacing w:before="1"/>
              <w:ind w:left="115"/>
              <w:rPr>
                <w:b/>
                <w:sz w:val="20"/>
              </w:rPr>
            </w:pPr>
            <w:r>
              <w:rPr>
                <w:b/>
                <w:sz w:val="20"/>
              </w:rPr>
              <w:t>entity_transactio ns_act_model</w:t>
            </w:r>
          </w:p>
        </w:tc>
        <w:tc>
          <w:tcPr>
            <w:tcW w:w="1596" w:type="dxa"/>
            <w:tcBorders>
              <w:top w:val="dotted" w:sz="6" w:space="0" w:color="BEBEBE"/>
            </w:tcBorders>
          </w:tcPr>
          <w:p w14:paraId="339FA470" w14:textId="77777777" w:rsidR="0046798B" w:rsidRDefault="00903B5C">
            <w:pPr>
              <w:pStyle w:val="TableParagraph"/>
              <w:spacing w:before="40"/>
              <w:ind w:left="114" w:right="102"/>
              <w:rPr>
                <w:sz w:val="20"/>
              </w:rPr>
            </w:pPr>
            <w:r>
              <w:rPr>
                <w:sz w:val="20"/>
              </w:rPr>
              <w:t>Allow conversion of one kind of business organization to another, or the merger of two or more business organizations into one organization</w:t>
            </w:r>
          </w:p>
        </w:tc>
        <w:tc>
          <w:tcPr>
            <w:tcW w:w="1285" w:type="dxa"/>
            <w:tcBorders>
              <w:top w:val="dotted" w:sz="6" w:space="0" w:color="BEBEBE"/>
            </w:tcBorders>
          </w:tcPr>
          <w:p w14:paraId="0E7420A7" w14:textId="77777777" w:rsidR="0046798B" w:rsidRDefault="0046798B">
            <w:pPr>
              <w:pStyle w:val="TableParagraph"/>
            </w:pPr>
          </w:p>
          <w:p w14:paraId="1815507B" w14:textId="77777777" w:rsidR="0046798B" w:rsidRDefault="0046798B">
            <w:pPr>
              <w:pStyle w:val="TableParagraph"/>
            </w:pPr>
          </w:p>
          <w:p w14:paraId="04BD3FCD" w14:textId="77777777" w:rsidR="0046798B" w:rsidRDefault="0046798B">
            <w:pPr>
              <w:pStyle w:val="TableParagraph"/>
            </w:pPr>
          </w:p>
          <w:p w14:paraId="6B454907" w14:textId="77777777" w:rsidR="0046798B" w:rsidRDefault="0046798B">
            <w:pPr>
              <w:pStyle w:val="TableParagraph"/>
            </w:pPr>
          </w:p>
          <w:p w14:paraId="5C0F7C2A" w14:textId="77777777" w:rsidR="0046798B" w:rsidRDefault="00903B5C">
            <w:pPr>
              <w:pStyle w:val="TableParagraph"/>
              <w:spacing w:before="179"/>
              <w:ind w:left="114"/>
              <w:rPr>
                <w:sz w:val="20"/>
              </w:rPr>
            </w:pPr>
            <w:r>
              <w:rPr>
                <w:sz w:val="20"/>
              </w:rPr>
              <w:t>2007–2015</w:t>
            </w:r>
          </w:p>
        </w:tc>
        <w:tc>
          <w:tcPr>
            <w:tcW w:w="3421" w:type="dxa"/>
            <w:tcBorders>
              <w:top w:val="dotted" w:sz="6" w:space="0" w:color="BEBEBE"/>
            </w:tcBorders>
          </w:tcPr>
          <w:p w14:paraId="591B4361" w14:textId="77777777" w:rsidR="0046798B" w:rsidRDefault="0046798B">
            <w:pPr>
              <w:pStyle w:val="TableParagraph"/>
            </w:pPr>
          </w:p>
          <w:p w14:paraId="05F4BE34" w14:textId="77777777" w:rsidR="0046798B" w:rsidRDefault="0046798B">
            <w:pPr>
              <w:pStyle w:val="TableParagraph"/>
            </w:pPr>
          </w:p>
          <w:p w14:paraId="19317BD4" w14:textId="77777777" w:rsidR="0046798B" w:rsidRDefault="0046798B">
            <w:pPr>
              <w:pStyle w:val="TableParagraph"/>
            </w:pPr>
          </w:p>
          <w:p w14:paraId="1A682A91" w14:textId="77777777" w:rsidR="0046798B" w:rsidRDefault="0046798B">
            <w:pPr>
              <w:pStyle w:val="TableParagraph"/>
              <w:spacing w:before="6"/>
              <w:rPr>
                <w:sz w:val="27"/>
              </w:rPr>
            </w:pPr>
          </w:p>
          <w:p w14:paraId="2935B925" w14:textId="77777777" w:rsidR="0046798B" w:rsidRDefault="00903B5C">
            <w:pPr>
              <w:pStyle w:val="TableParagraph"/>
              <w:spacing w:before="1"/>
              <w:ind w:left="114" w:right="1475"/>
              <w:rPr>
                <w:sz w:val="20"/>
              </w:rPr>
            </w:pPr>
            <w:r>
              <w:rPr>
                <w:sz w:val="20"/>
              </w:rPr>
              <w:t>0 = policy not adopted 1 = policy adopted</w:t>
            </w:r>
          </w:p>
        </w:tc>
        <w:tc>
          <w:tcPr>
            <w:tcW w:w="6482" w:type="dxa"/>
            <w:tcBorders>
              <w:top w:val="dotted" w:sz="6" w:space="0" w:color="BEBEBE"/>
            </w:tcBorders>
          </w:tcPr>
          <w:p w14:paraId="0D0C8A53" w14:textId="77777777" w:rsidR="0046798B" w:rsidRDefault="0046798B">
            <w:pPr>
              <w:pStyle w:val="TableParagraph"/>
            </w:pPr>
          </w:p>
          <w:p w14:paraId="35234960" w14:textId="77777777" w:rsidR="0046798B" w:rsidRDefault="0046798B">
            <w:pPr>
              <w:pStyle w:val="TableParagraph"/>
              <w:spacing w:before="6"/>
              <w:rPr>
                <w:sz w:val="31"/>
              </w:rPr>
            </w:pPr>
          </w:p>
          <w:p w14:paraId="25C2BCB2" w14:textId="77777777" w:rsidR="0046798B" w:rsidRDefault="00903B5C">
            <w:pPr>
              <w:pStyle w:val="TableParagraph"/>
              <w:ind w:left="114"/>
              <w:rPr>
                <w:sz w:val="20"/>
              </w:rPr>
            </w:pPr>
            <w:r>
              <w:rPr>
                <w:sz w:val="20"/>
              </w:rPr>
              <w:t xml:space="preserve">Uniform Law Commission website: </w:t>
            </w:r>
            <w:hyperlink r:id="rId936">
              <w:r>
                <w:rPr>
                  <w:color w:val="0462C1"/>
                  <w:sz w:val="20"/>
                  <w:u w:val="single" w:color="0462C1"/>
                </w:rPr>
                <w:t>http://www.uniformlaws.org/</w:t>
              </w:r>
            </w:hyperlink>
          </w:p>
          <w:p w14:paraId="3ACDC3D1" w14:textId="77777777" w:rsidR="0046798B" w:rsidRDefault="0046798B">
            <w:pPr>
              <w:pStyle w:val="TableParagraph"/>
              <w:rPr>
                <w:sz w:val="20"/>
              </w:rPr>
            </w:pPr>
          </w:p>
          <w:p w14:paraId="02DE09E3"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4F381F54" w14:textId="77777777">
        <w:trPr>
          <w:trHeight w:val="1470"/>
        </w:trPr>
        <w:tc>
          <w:tcPr>
            <w:tcW w:w="1711" w:type="dxa"/>
          </w:tcPr>
          <w:p w14:paraId="4E8CB861" w14:textId="77777777" w:rsidR="0046798B" w:rsidRDefault="0046798B">
            <w:pPr>
              <w:pStyle w:val="TableParagraph"/>
            </w:pPr>
          </w:p>
          <w:p w14:paraId="078A43B3" w14:textId="77777777" w:rsidR="0046798B" w:rsidRDefault="00903B5C">
            <w:pPr>
              <w:pStyle w:val="TableParagraph"/>
              <w:spacing w:before="135"/>
              <w:ind w:left="115" w:right="39"/>
              <w:rPr>
                <w:b/>
                <w:sz w:val="20"/>
              </w:rPr>
            </w:pPr>
            <w:r>
              <w:rPr>
                <w:b/>
                <w:sz w:val="20"/>
              </w:rPr>
              <w:t>estate_tax_appor tionment_and_p ro</w:t>
            </w:r>
          </w:p>
        </w:tc>
        <w:tc>
          <w:tcPr>
            <w:tcW w:w="1596" w:type="dxa"/>
          </w:tcPr>
          <w:p w14:paraId="5E53D110" w14:textId="77777777" w:rsidR="0046798B" w:rsidRDefault="0046798B">
            <w:pPr>
              <w:pStyle w:val="TableParagraph"/>
              <w:spacing w:before="8"/>
              <w:rPr>
                <w:sz w:val="23"/>
              </w:rPr>
            </w:pPr>
          </w:p>
          <w:p w14:paraId="50884501" w14:textId="77777777" w:rsidR="0046798B" w:rsidRDefault="00903B5C">
            <w:pPr>
              <w:pStyle w:val="TableParagraph"/>
              <w:spacing w:before="1"/>
              <w:ind w:left="114" w:right="257"/>
              <w:rPr>
                <w:sz w:val="20"/>
              </w:rPr>
            </w:pPr>
            <w:r>
              <w:rPr>
                <w:sz w:val="20"/>
              </w:rPr>
              <w:t>Regulated apportionment of assets of the deceased</w:t>
            </w:r>
          </w:p>
        </w:tc>
        <w:tc>
          <w:tcPr>
            <w:tcW w:w="1285" w:type="dxa"/>
          </w:tcPr>
          <w:p w14:paraId="16CC0A50" w14:textId="77777777" w:rsidR="0046798B" w:rsidRDefault="0046798B">
            <w:pPr>
              <w:pStyle w:val="TableParagraph"/>
            </w:pPr>
          </w:p>
          <w:p w14:paraId="2CB45576" w14:textId="77777777" w:rsidR="0046798B" w:rsidRDefault="0046798B">
            <w:pPr>
              <w:pStyle w:val="TableParagraph"/>
              <w:spacing w:before="8"/>
              <w:rPr>
                <w:sz w:val="31"/>
              </w:rPr>
            </w:pPr>
          </w:p>
          <w:p w14:paraId="1D3F64C3" w14:textId="77777777" w:rsidR="0046798B" w:rsidRDefault="00903B5C">
            <w:pPr>
              <w:pStyle w:val="TableParagraph"/>
              <w:spacing w:before="1"/>
              <w:ind w:left="114"/>
              <w:rPr>
                <w:sz w:val="20"/>
              </w:rPr>
            </w:pPr>
            <w:r>
              <w:rPr>
                <w:sz w:val="20"/>
              </w:rPr>
              <w:t>1972–2011</w:t>
            </w:r>
          </w:p>
        </w:tc>
        <w:tc>
          <w:tcPr>
            <w:tcW w:w="3421" w:type="dxa"/>
          </w:tcPr>
          <w:p w14:paraId="24095EF7" w14:textId="77777777" w:rsidR="0046798B" w:rsidRDefault="0046798B">
            <w:pPr>
              <w:pStyle w:val="TableParagraph"/>
            </w:pPr>
          </w:p>
          <w:p w14:paraId="168CE035" w14:textId="77777777" w:rsidR="0046798B" w:rsidRDefault="0046798B">
            <w:pPr>
              <w:pStyle w:val="TableParagraph"/>
              <w:spacing w:before="8"/>
              <w:rPr>
                <w:sz w:val="21"/>
              </w:rPr>
            </w:pPr>
          </w:p>
          <w:p w14:paraId="358206C1"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5849E81D" w14:textId="77777777" w:rsidR="0046798B" w:rsidRDefault="00903B5C">
            <w:pPr>
              <w:pStyle w:val="TableParagraph"/>
              <w:spacing w:before="43"/>
              <w:ind w:left="114"/>
              <w:rPr>
                <w:sz w:val="20"/>
              </w:rPr>
            </w:pPr>
            <w:r>
              <w:rPr>
                <w:sz w:val="20"/>
              </w:rPr>
              <w:t xml:space="preserve">Uniform Law Commission website: </w:t>
            </w:r>
            <w:hyperlink r:id="rId937">
              <w:r>
                <w:rPr>
                  <w:color w:val="0462C1"/>
                  <w:sz w:val="20"/>
                  <w:u w:val="single" w:color="0462C1"/>
                </w:rPr>
                <w:t>http://www.uniformlaws.org/</w:t>
              </w:r>
            </w:hyperlink>
          </w:p>
          <w:p w14:paraId="265A7DBF" w14:textId="77777777" w:rsidR="0046798B" w:rsidRDefault="0046798B">
            <w:pPr>
              <w:pStyle w:val="TableParagraph"/>
              <w:rPr>
                <w:sz w:val="20"/>
              </w:rPr>
            </w:pPr>
          </w:p>
          <w:p w14:paraId="7896E0B9"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2618F2DF" w14:textId="77777777">
        <w:trPr>
          <w:trHeight w:val="1465"/>
        </w:trPr>
        <w:tc>
          <w:tcPr>
            <w:tcW w:w="1711" w:type="dxa"/>
          </w:tcPr>
          <w:p w14:paraId="3716B8C0" w14:textId="77777777" w:rsidR="0046798B" w:rsidRDefault="0046798B">
            <w:pPr>
              <w:pStyle w:val="TableParagraph"/>
            </w:pPr>
          </w:p>
          <w:p w14:paraId="7DBA726A" w14:textId="77777777" w:rsidR="0046798B" w:rsidRDefault="0046798B">
            <w:pPr>
              <w:pStyle w:val="TableParagraph"/>
              <w:spacing w:before="4"/>
              <w:rPr>
                <w:sz w:val="21"/>
              </w:rPr>
            </w:pPr>
          </w:p>
          <w:p w14:paraId="74C45673" w14:textId="77777777" w:rsidR="0046798B" w:rsidRDefault="00903B5C">
            <w:pPr>
              <w:pStyle w:val="TableParagraph"/>
              <w:ind w:left="115" w:right="144"/>
              <w:rPr>
                <w:b/>
                <w:sz w:val="20"/>
              </w:rPr>
            </w:pPr>
            <w:r>
              <w:rPr>
                <w:b/>
                <w:sz w:val="20"/>
              </w:rPr>
              <w:t>exemptions_act_ model</w:t>
            </w:r>
          </w:p>
        </w:tc>
        <w:tc>
          <w:tcPr>
            <w:tcW w:w="1596" w:type="dxa"/>
          </w:tcPr>
          <w:p w14:paraId="2B35630E" w14:textId="77777777" w:rsidR="0046798B" w:rsidRDefault="0046798B">
            <w:pPr>
              <w:pStyle w:val="TableParagraph"/>
            </w:pPr>
          </w:p>
          <w:p w14:paraId="3A25CB81" w14:textId="77777777" w:rsidR="0046798B" w:rsidRDefault="0046798B">
            <w:pPr>
              <w:pStyle w:val="TableParagraph"/>
              <w:spacing w:before="4"/>
              <w:rPr>
                <w:sz w:val="31"/>
              </w:rPr>
            </w:pPr>
          </w:p>
          <w:p w14:paraId="56FCEF46" w14:textId="77777777" w:rsidR="0046798B" w:rsidRDefault="00903B5C">
            <w:pPr>
              <w:pStyle w:val="TableParagraph"/>
              <w:ind w:left="114"/>
              <w:rPr>
                <w:sz w:val="20"/>
              </w:rPr>
            </w:pPr>
            <w:r>
              <w:rPr>
                <w:sz w:val="20"/>
              </w:rPr>
              <w:t>Bankruptcy law</w:t>
            </w:r>
          </w:p>
        </w:tc>
        <w:tc>
          <w:tcPr>
            <w:tcW w:w="1285" w:type="dxa"/>
          </w:tcPr>
          <w:p w14:paraId="40744159" w14:textId="77777777" w:rsidR="0046798B" w:rsidRDefault="0046798B">
            <w:pPr>
              <w:pStyle w:val="TableParagraph"/>
            </w:pPr>
          </w:p>
          <w:p w14:paraId="46FBC2E8" w14:textId="77777777" w:rsidR="0046798B" w:rsidRDefault="0046798B">
            <w:pPr>
              <w:pStyle w:val="TableParagraph"/>
              <w:spacing w:before="4"/>
              <w:rPr>
                <w:sz w:val="31"/>
              </w:rPr>
            </w:pPr>
          </w:p>
          <w:p w14:paraId="43711460" w14:textId="77777777" w:rsidR="0046798B" w:rsidRDefault="00903B5C">
            <w:pPr>
              <w:pStyle w:val="TableParagraph"/>
              <w:ind w:left="114"/>
              <w:rPr>
                <w:sz w:val="20"/>
              </w:rPr>
            </w:pPr>
            <w:r>
              <w:rPr>
                <w:sz w:val="20"/>
              </w:rPr>
              <w:t>1982</w:t>
            </w:r>
          </w:p>
        </w:tc>
        <w:tc>
          <w:tcPr>
            <w:tcW w:w="3421" w:type="dxa"/>
          </w:tcPr>
          <w:p w14:paraId="64277566" w14:textId="77777777" w:rsidR="0046798B" w:rsidRDefault="0046798B">
            <w:pPr>
              <w:pStyle w:val="TableParagraph"/>
            </w:pPr>
          </w:p>
          <w:p w14:paraId="58CFB1AE" w14:textId="77777777" w:rsidR="0046798B" w:rsidRDefault="0046798B">
            <w:pPr>
              <w:pStyle w:val="TableParagraph"/>
              <w:spacing w:before="4"/>
              <w:rPr>
                <w:sz w:val="21"/>
              </w:rPr>
            </w:pPr>
          </w:p>
          <w:p w14:paraId="32E04212" w14:textId="77777777" w:rsidR="0046798B" w:rsidRDefault="00903B5C">
            <w:pPr>
              <w:pStyle w:val="TableParagraph"/>
              <w:ind w:left="114" w:right="1475"/>
              <w:rPr>
                <w:sz w:val="20"/>
              </w:rPr>
            </w:pPr>
            <w:r>
              <w:rPr>
                <w:sz w:val="20"/>
              </w:rPr>
              <w:t>0 = policy not adopted 1 = policy adopted</w:t>
            </w:r>
          </w:p>
        </w:tc>
        <w:tc>
          <w:tcPr>
            <w:tcW w:w="6482" w:type="dxa"/>
          </w:tcPr>
          <w:p w14:paraId="6053688E" w14:textId="77777777" w:rsidR="0046798B" w:rsidRDefault="00903B5C">
            <w:pPr>
              <w:pStyle w:val="TableParagraph"/>
              <w:spacing w:before="38"/>
              <w:ind w:left="114"/>
              <w:rPr>
                <w:sz w:val="20"/>
              </w:rPr>
            </w:pPr>
            <w:r>
              <w:rPr>
                <w:sz w:val="20"/>
              </w:rPr>
              <w:t xml:space="preserve">Uniform Law Commission website: </w:t>
            </w:r>
            <w:hyperlink r:id="rId938">
              <w:r>
                <w:rPr>
                  <w:color w:val="0462C1"/>
                  <w:sz w:val="20"/>
                  <w:u w:val="single" w:color="0462C1"/>
                </w:rPr>
                <w:t>http://www.uniformlaws.org/</w:t>
              </w:r>
            </w:hyperlink>
          </w:p>
          <w:p w14:paraId="7ADEFC61" w14:textId="77777777" w:rsidR="0046798B" w:rsidRDefault="0046798B">
            <w:pPr>
              <w:pStyle w:val="TableParagraph"/>
              <w:rPr>
                <w:sz w:val="20"/>
              </w:rPr>
            </w:pPr>
          </w:p>
          <w:p w14:paraId="57850B8D"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0069FCD3" w14:textId="77777777">
        <w:trPr>
          <w:trHeight w:val="1465"/>
        </w:trPr>
        <w:tc>
          <w:tcPr>
            <w:tcW w:w="1711" w:type="dxa"/>
          </w:tcPr>
          <w:p w14:paraId="262A15E7" w14:textId="77777777" w:rsidR="0046798B" w:rsidRDefault="0046798B">
            <w:pPr>
              <w:pStyle w:val="TableParagraph"/>
            </w:pPr>
          </w:p>
          <w:p w14:paraId="3796FDEF" w14:textId="77777777" w:rsidR="0046798B" w:rsidRDefault="0046798B">
            <w:pPr>
              <w:pStyle w:val="TableParagraph"/>
              <w:spacing w:before="4"/>
              <w:rPr>
                <w:sz w:val="21"/>
              </w:rPr>
            </w:pPr>
          </w:p>
          <w:p w14:paraId="36988A73" w14:textId="77777777" w:rsidR="0046798B" w:rsidRDefault="00903B5C">
            <w:pPr>
              <w:pStyle w:val="TableParagraph"/>
              <w:ind w:left="115"/>
              <w:rPr>
                <w:b/>
                <w:sz w:val="20"/>
              </w:rPr>
            </w:pPr>
            <w:r>
              <w:rPr>
                <w:b/>
                <w:sz w:val="20"/>
              </w:rPr>
              <w:t>fiduciary_access</w:t>
            </w:r>
          </w:p>
          <w:p w14:paraId="15042257" w14:textId="77777777" w:rsidR="0046798B" w:rsidRDefault="00903B5C">
            <w:pPr>
              <w:pStyle w:val="TableParagraph"/>
              <w:ind w:left="115"/>
              <w:rPr>
                <w:b/>
                <w:sz w:val="20"/>
              </w:rPr>
            </w:pPr>
            <w:r>
              <w:rPr>
                <w:b/>
                <w:sz w:val="20"/>
              </w:rPr>
              <w:t>_to_digital_asse</w:t>
            </w:r>
          </w:p>
        </w:tc>
        <w:tc>
          <w:tcPr>
            <w:tcW w:w="1596" w:type="dxa"/>
          </w:tcPr>
          <w:p w14:paraId="5AA61ECC" w14:textId="77777777" w:rsidR="0046798B" w:rsidRDefault="0046798B">
            <w:pPr>
              <w:pStyle w:val="TableParagraph"/>
            </w:pPr>
          </w:p>
          <w:p w14:paraId="31F864FB" w14:textId="77777777" w:rsidR="0046798B" w:rsidRDefault="0046798B">
            <w:pPr>
              <w:pStyle w:val="TableParagraph"/>
              <w:spacing w:before="4"/>
              <w:rPr>
                <w:sz w:val="21"/>
              </w:rPr>
            </w:pPr>
          </w:p>
          <w:p w14:paraId="2146C81A" w14:textId="77777777" w:rsidR="0046798B" w:rsidRDefault="00903B5C">
            <w:pPr>
              <w:pStyle w:val="TableParagraph"/>
              <w:ind w:left="114" w:right="257"/>
              <w:rPr>
                <w:sz w:val="20"/>
              </w:rPr>
            </w:pPr>
            <w:r>
              <w:rPr>
                <w:sz w:val="20"/>
              </w:rPr>
              <w:t>Extends power of fiduciary</w:t>
            </w:r>
          </w:p>
        </w:tc>
        <w:tc>
          <w:tcPr>
            <w:tcW w:w="1285" w:type="dxa"/>
          </w:tcPr>
          <w:p w14:paraId="33775BE5" w14:textId="77777777" w:rsidR="0046798B" w:rsidRDefault="0046798B">
            <w:pPr>
              <w:pStyle w:val="TableParagraph"/>
            </w:pPr>
          </w:p>
          <w:p w14:paraId="050D40DA" w14:textId="77777777" w:rsidR="0046798B" w:rsidRDefault="0046798B">
            <w:pPr>
              <w:pStyle w:val="TableParagraph"/>
              <w:spacing w:before="4"/>
              <w:rPr>
                <w:sz w:val="31"/>
              </w:rPr>
            </w:pPr>
          </w:p>
          <w:p w14:paraId="687DAACF" w14:textId="77777777" w:rsidR="0046798B" w:rsidRDefault="00903B5C">
            <w:pPr>
              <w:pStyle w:val="TableParagraph"/>
              <w:ind w:left="114"/>
              <w:rPr>
                <w:sz w:val="20"/>
              </w:rPr>
            </w:pPr>
            <w:r>
              <w:rPr>
                <w:sz w:val="20"/>
              </w:rPr>
              <w:t>2014</w:t>
            </w:r>
          </w:p>
        </w:tc>
        <w:tc>
          <w:tcPr>
            <w:tcW w:w="3421" w:type="dxa"/>
          </w:tcPr>
          <w:p w14:paraId="380EA935" w14:textId="77777777" w:rsidR="0046798B" w:rsidRDefault="0046798B">
            <w:pPr>
              <w:pStyle w:val="TableParagraph"/>
            </w:pPr>
          </w:p>
          <w:p w14:paraId="257E2036" w14:textId="77777777" w:rsidR="0046798B" w:rsidRDefault="0046798B">
            <w:pPr>
              <w:pStyle w:val="TableParagraph"/>
              <w:spacing w:before="4"/>
              <w:rPr>
                <w:sz w:val="21"/>
              </w:rPr>
            </w:pPr>
          </w:p>
          <w:p w14:paraId="72A675CE" w14:textId="77777777" w:rsidR="0046798B" w:rsidRDefault="00903B5C">
            <w:pPr>
              <w:pStyle w:val="TableParagraph"/>
              <w:ind w:left="114" w:right="1475"/>
              <w:rPr>
                <w:sz w:val="20"/>
              </w:rPr>
            </w:pPr>
            <w:r>
              <w:rPr>
                <w:sz w:val="20"/>
              </w:rPr>
              <w:t>0 = policy not adopted 1 = policy adopted</w:t>
            </w:r>
          </w:p>
        </w:tc>
        <w:tc>
          <w:tcPr>
            <w:tcW w:w="6482" w:type="dxa"/>
          </w:tcPr>
          <w:p w14:paraId="770256E5" w14:textId="77777777" w:rsidR="0046798B" w:rsidRDefault="00903B5C">
            <w:pPr>
              <w:pStyle w:val="TableParagraph"/>
              <w:spacing w:before="38"/>
              <w:ind w:left="114"/>
              <w:rPr>
                <w:sz w:val="20"/>
              </w:rPr>
            </w:pPr>
            <w:r>
              <w:rPr>
                <w:sz w:val="20"/>
              </w:rPr>
              <w:t xml:space="preserve">Uniform Law Commission website: </w:t>
            </w:r>
            <w:hyperlink r:id="rId939">
              <w:r>
                <w:rPr>
                  <w:color w:val="0462C1"/>
                  <w:sz w:val="20"/>
                  <w:u w:val="single" w:color="0462C1"/>
                </w:rPr>
                <w:t>http://www.uniformlaws.org/</w:t>
              </w:r>
            </w:hyperlink>
          </w:p>
          <w:p w14:paraId="2FCC8129" w14:textId="77777777" w:rsidR="0046798B" w:rsidRDefault="0046798B">
            <w:pPr>
              <w:pStyle w:val="TableParagraph"/>
              <w:rPr>
                <w:sz w:val="20"/>
              </w:rPr>
            </w:pPr>
          </w:p>
          <w:p w14:paraId="5383C002"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22B8AF08" w14:textId="77777777">
        <w:trPr>
          <w:trHeight w:val="1465"/>
        </w:trPr>
        <w:tc>
          <w:tcPr>
            <w:tcW w:w="1711" w:type="dxa"/>
          </w:tcPr>
          <w:p w14:paraId="7D14D3EF" w14:textId="77777777" w:rsidR="0046798B" w:rsidRDefault="0046798B">
            <w:pPr>
              <w:pStyle w:val="TableParagraph"/>
            </w:pPr>
          </w:p>
          <w:p w14:paraId="23137B41" w14:textId="77777777" w:rsidR="0046798B" w:rsidRDefault="0046798B">
            <w:pPr>
              <w:pStyle w:val="TableParagraph"/>
              <w:spacing w:before="4"/>
              <w:rPr>
                <w:sz w:val="21"/>
              </w:rPr>
            </w:pPr>
          </w:p>
          <w:p w14:paraId="3D6C1F0A" w14:textId="77777777" w:rsidR="0046798B" w:rsidRDefault="00903B5C">
            <w:pPr>
              <w:pStyle w:val="TableParagraph"/>
              <w:ind w:left="115" w:right="99"/>
              <w:rPr>
                <w:b/>
                <w:sz w:val="20"/>
              </w:rPr>
            </w:pPr>
            <w:r>
              <w:rPr>
                <w:b/>
                <w:sz w:val="20"/>
              </w:rPr>
              <w:t>foreign_money_c laims_act</w:t>
            </w:r>
          </w:p>
        </w:tc>
        <w:tc>
          <w:tcPr>
            <w:tcW w:w="1596" w:type="dxa"/>
          </w:tcPr>
          <w:p w14:paraId="77EFA5D6" w14:textId="77777777" w:rsidR="0046798B" w:rsidRDefault="00903B5C">
            <w:pPr>
              <w:pStyle w:val="TableParagraph"/>
              <w:spacing w:before="38"/>
              <w:ind w:left="114" w:right="257"/>
              <w:rPr>
                <w:sz w:val="20"/>
              </w:rPr>
            </w:pPr>
            <w:r>
              <w:rPr>
                <w:sz w:val="20"/>
              </w:rPr>
              <w:t>Provides the rules for fair conversions of foreign money judgments into dollar amounts</w:t>
            </w:r>
          </w:p>
        </w:tc>
        <w:tc>
          <w:tcPr>
            <w:tcW w:w="1285" w:type="dxa"/>
          </w:tcPr>
          <w:p w14:paraId="3FB9EF77" w14:textId="77777777" w:rsidR="0046798B" w:rsidRDefault="0046798B">
            <w:pPr>
              <w:pStyle w:val="TableParagraph"/>
            </w:pPr>
          </w:p>
          <w:p w14:paraId="5B247149" w14:textId="77777777" w:rsidR="0046798B" w:rsidRDefault="0046798B">
            <w:pPr>
              <w:pStyle w:val="TableParagraph"/>
              <w:spacing w:before="4"/>
              <w:rPr>
                <w:sz w:val="31"/>
              </w:rPr>
            </w:pPr>
          </w:p>
          <w:p w14:paraId="201ADB2F" w14:textId="77777777" w:rsidR="0046798B" w:rsidRDefault="00903B5C">
            <w:pPr>
              <w:pStyle w:val="TableParagraph"/>
              <w:ind w:left="114"/>
              <w:rPr>
                <w:sz w:val="20"/>
              </w:rPr>
            </w:pPr>
            <w:r>
              <w:rPr>
                <w:sz w:val="20"/>
              </w:rPr>
              <w:t>1989–2010</w:t>
            </w:r>
          </w:p>
        </w:tc>
        <w:tc>
          <w:tcPr>
            <w:tcW w:w="3421" w:type="dxa"/>
          </w:tcPr>
          <w:p w14:paraId="41574F80" w14:textId="77777777" w:rsidR="0046798B" w:rsidRDefault="0046798B">
            <w:pPr>
              <w:pStyle w:val="TableParagraph"/>
            </w:pPr>
          </w:p>
          <w:p w14:paraId="4D91A888" w14:textId="77777777" w:rsidR="0046798B" w:rsidRDefault="0046798B">
            <w:pPr>
              <w:pStyle w:val="TableParagraph"/>
              <w:spacing w:before="4"/>
              <w:rPr>
                <w:sz w:val="21"/>
              </w:rPr>
            </w:pPr>
          </w:p>
          <w:p w14:paraId="67FB4ABC" w14:textId="77777777" w:rsidR="0046798B" w:rsidRDefault="00903B5C">
            <w:pPr>
              <w:pStyle w:val="TableParagraph"/>
              <w:ind w:left="114" w:right="1475"/>
              <w:rPr>
                <w:sz w:val="20"/>
              </w:rPr>
            </w:pPr>
            <w:r>
              <w:rPr>
                <w:sz w:val="20"/>
              </w:rPr>
              <w:t>0 = policy not adopted 1 = policy adopted</w:t>
            </w:r>
          </w:p>
        </w:tc>
        <w:tc>
          <w:tcPr>
            <w:tcW w:w="6482" w:type="dxa"/>
          </w:tcPr>
          <w:p w14:paraId="2E6F0CA1" w14:textId="77777777" w:rsidR="0046798B" w:rsidRDefault="00903B5C">
            <w:pPr>
              <w:pStyle w:val="TableParagraph"/>
              <w:spacing w:before="38"/>
              <w:ind w:left="114"/>
              <w:rPr>
                <w:sz w:val="20"/>
              </w:rPr>
            </w:pPr>
            <w:r>
              <w:rPr>
                <w:sz w:val="20"/>
              </w:rPr>
              <w:t xml:space="preserve">Uniform Law Commission website: </w:t>
            </w:r>
            <w:hyperlink r:id="rId940">
              <w:r>
                <w:rPr>
                  <w:color w:val="0462C1"/>
                  <w:sz w:val="20"/>
                  <w:u w:val="single" w:color="0462C1"/>
                </w:rPr>
                <w:t>http://www.uniformlaws.org/</w:t>
              </w:r>
            </w:hyperlink>
          </w:p>
          <w:p w14:paraId="75443967" w14:textId="77777777" w:rsidR="0046798B" w:rsidRDefault="0046798B">
            <w:pPr>
              <w:pStyle w:val="TableParagraph"/>
              <w:rPr>
                <w:sz w:val="20"/>
              </w:rPr>
            </w:pPr>
          </w:p>
          <w:p w14:paraId="555B181B"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bl>
    <w:p w14:paraId="221F9CFA" w14:textId="77777777" w:rsidR="0046798B" w:rsidRDefault="0046798B">
      <w:pPr>
        <w:rPr>
          <w:sz w:val="20"/>
        </w:rPr>
        <w:sectPr w:rsidR="0046798B">
          <w:pgSz w:w="15840" w:h="12240" w:orient="landscape"/>
          <w:pgMar w:top="1220" w:right="300" w:bottom="980" w:left="820" w:header="730" w:footer="787" w:gutter="0"/>
          <w:cols w:space="720"/>
        </w:sectPr>
      </w:pPr>
    </w:p>
    <w:p w14:paraId="31D5D8D8"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9C67BAB" w14:textId="77777777">
        <w:trPr>
          <w:trHeight w:val="2386"/>
        </w:trPr>
        <w:tc>
          <w:tcPr>
            <w:tcW w:w="1711" w:type="dxa"/>
          </w:tcPr>
          <w:p w14:paraId="73ECAEE2" w14:textId="77777777" w:rsidR="0046798B" w:rsidRDefault="0046798B">
            <w:pPr>
              <w:pStyle w:val="TableParagraph"/>
            </w:pPr>
          </w:p>
          <w:p w14:paraId="59FDFAD4" w14:textId="77777777" w:rsidR="0046798B" w:rsidRDefault="0046798B">
            <w:pPr>
              <w:pStyle w:val="TableParagraph"/>
            </w:pPr>
          </w:p>
          <w:p w14:paraId="7F8C720D" w14:textId="77777777" w:rsidR="0046798B" w:rsidRDefault="0046798B">
            <w:pPr>
              <w:pStyle w:val="TableParagraph"/>
              <w:spacing w:before="9"/>
              <w:rPr>
                <w:sz w:val="29"/>
              </w:rPr>
            </w:pPr>
          </w:p>
          <w:p w14:paraId="4A005129" w14:textId="77777777" w:rsidR="0046798B" w:rsidRDefault="00903B5C">
            <w:pPr>
              <w:pStyle w:val="TableParagraph"/>
              <w:ind w:left="115" w:right="133"/>
              <w:jc w:val="both"/>
              <w:rPr>
                <w:b/>
                <w:sz w:val="20"/>
              </w:rPr>
            </w:pPr>
            <w:r>
              <w:rPr>
                <w:b/>
                <w:sz w:val="20"/>
              </w:rPr>
              <w:t>foreign_money_j udgments_recog nit</w:t>
            </w:r>
          </w:p>
        </w:tc>
        <w:tc>
          <w:tcPr>
            <w:tcW w:w="1596" w:type="dxa"/>
          </w:tcPr>
          <w:p w14:paraId="0936763A" w14:textId="77777777" w:rsidR="0046798B" w:rsidRDefault="00903B5C">
            <w:pPr>
              <w:pStyle w:val="TableParagraph"/>
              <w:spacing w:before="43"/>
              <w:ind w:left="114" w:right="97"/>
              <w:rPr>
                <w:sz w:val="20"/>
              </w:rPr>
            </w:pPr>
            <w:r>
              <w:rPr>
                <w:sz w:val="20"/>
              </w:rPr>
              <w:t>Provides for enforcement of a state court judgment in another state to implement the full faith and credit clause of the U.S. constitution</w:t>
            </w:r>
          </w:p>
        </w:tc>
        <w:tc>
          <w:tcPr>
            <w:tcW w:w="1285" w:type="dxa"/>
          </w:tcPr>
          <w:p w14:paraId="09624ADE" w14:textId="77777777" w:rsidR="0046798B" w:rsidRDefault="0046798B">
            <w:pPr>
              <w:pStyle w:val="TableParagraph"/>
            </w:pPr>
          </w:p>
          <w:p w14:paraId="1ADED82E" w14:textId="77777777" w:rsidR="0046798B" w:rsidRDefault="0046798B">
            <w:pPr>
              <w:pStyle w:val="TableParagraph"/>
            </w:pPr>
          </w:p>
          <w:p w14:paraId="721812A8" w14:textId="77777777" w:rsidR="0046798B" w:rsidRDefault="0046798B">
            <w:pPr>
              <w:pStyle w:val="TableParagraph"/>
            </w:pPr>
          </w:p>
          <w:p w14:paraId="2090AED8" w14:textId="77777777" w:rsidR="0046798B" w:rsidRDefault="0046798B">
            <w:pPr>
              <w:pStyle w:val="TableParagraph"/>
              <w:spacing w:before="9"/>
              <w:rPr>
                <w:sz w:val="27"/>
              </w:rPr>
            </w:pPr>
          </w:p>
          <w:p w14:paraId="69905907" w14:textId="77777777" w:rsidR="0046798B" w:rsidRDefault="00903B5C">
            <w:pPr>
              <w:pStyle w:val="TableParagraph"/>
              <w:ind w:left="114"/>
              <w:rPr>
                <w:sz w:val="20"/>
              </w:rPr>
            </w:pPr>
            <w:r>
              <w:rPr>
                <w:sz w:val="20"/>
              </w:rPr>
              <w:t>1963–2003</w:t>
            </w:r>
          </w:p>
        </w:tc>
        <w:tc>
          <w:tcPr>
            <w:tcW w:w="3421" w:type="dxa"/>
          </w:tcPr>
          <w:p w14:paraId="61B44319" w14:textId="77777777" w:rsidR="0046798B" w:rsidRDefault="0046798B">
            <w:pPr>
              <w:pStyle w:val="TableParagraph"/>
            </w:pPr>
          </w:p>
          <w:p w14:paraId="5B7F02F4" w14:textId="77777777" w:rsidR="0046798B" w:rsidRDefault="0046798B">
            <w:pPr>
              <w:pStyle w:val="TableParagraph"/>
            </w:pPr>
          </w:p>
          <w:p w14:paraId="32A1218F" w14:textId="77777777" w:rsidR="0046798B" w:rsidRDefault="0046798B">
            <w:pPr>
              <w:pStyle w:val="TableParagraph"/>
            </w:pPr>
          </w:p>
          <w:p w14:paraId="6A913966" w14:textId="77777777" w:rsidR="0046798B" w:rsidRDefault="0046798B">
            <w:pPr>
              <w:pStyle w:val="TableParagraph"/>
              <w:spacing w:before="9"/>
              <w:rPr>
                <w:sz w:val="17"/>
              </w:rPr>
            </w:pPr>
          </w:p>
          <w:p w14:paraId="6053DEB6" w14:textId="77777777" w:rsidR="0046798B" w:rsidRDefault="00903B5C">
            <w:pPr>
              <w:pStyle w:val="TableParagraph"/>
              <w:ind w:left="114" w:right="1475"/>
              <w:rPr>
                <w:sz w:val="20"/>
              </w:rPr>
            </w:pPr>
            <w:r>
              <w:rPr>
                <w:sz w:val="20"/>
              </w:rPr>
              <w:t>0 = policy not adopted 1 = policy adopted</w:t>
            </w:r>
          </w:p>
        </w:tc>
        <w:tc>
          <w:tcPr>
            <w:tcW w:w="6482" w:type="dxa"/>
          </w:tcPr>
          <w:p w14:paraId="0C93D219" w14:textId="77777777" w:rsidR="0046798B" w:rsidRDefault="0046798B">
            <w:pPr>
              <w:pStyle w:val="TableParagraph"/>
            </w:pPr>
          </w:p>
          <w:p w14:paraId="1DEFC4BA" w14:textId="77777777" w:rsidR="0046798B" w:rsidRDefault="0046798B">
            <w:pPr>
              <w:pStyle w:val="TableParagraph"/>
              <w:spacing w:before="9"/>
              <w:rPr>
                <w:sz w:val="21"/>
              </w:rPr>
            </w:pPr>
          </w:p>
          <w:p w14:paraId="125ADD87" w14:textId="77777777" w:rsidR="0046798B" w:rsidRDefault="00903B5C">
            <w:pPr>
              <w:pStyle w:val="TableParagraph"/>
              <w:ind w:left="114"/>
              <w:rPr>
                <w:sz w:val="20"/>
              </w:rPr>
            </w:pPr>
            <w:r>
              <w:rPr>
                <w:sz w:val="20"/>
              </w:rPr>
              <w:t xml:space="preserve">Uniform Law Commission website: </w:t>
            </w:r>
            <w:hyperlink r:id="rId941">
              <w:r>
                <w:rPr>
                  <w:color w:val="0462C1"/>
                  <w:sz w:val="20"/>
                  <w:u w:val="single" w:color="0462C1"/>
                </w:rPr>
                <w:t>http://www.uniformlaws.org/</w:t>
              </w:r>
            </w:hyperlink>
          </w:p>
          <w:p w14:paraId="42F1423C" w14:textId="77777777" w:rsidR="0046798B" w:rsidRDefault="0046798B">
            <w:pPr>
              <w:pStyle w:val="TableParagraph"/>
              <w:rPr>
                <w:sz w:val="20"/>
              </w:rPr>
            </w:pPr>
          </w:p>
          <w:p w14:paraId="3C86C87F"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073EF49" w14:textId="77777777">
        <w:trPr>
          <w:trHeight w:val="1925"/>
        </w:trPr>
        <w:tc>
          <w:tcPr>
            <w:tcW w:w="1711" w:type="dxa"/>
          </w:tcPr>
          <w:p w14:paraId="6E830631" w14:textId="77777777" w:rsidR="0046798B" w:rsidRDefault="0046798B">
            <w:pPr>
              <w:pStyle w:val="TableParagraph"/>
            </w:pPr>
          </w:p>
          <w:p w14:paraId="3391730C" w14:textId="77777777" w:rsidR="0046798B" w:rsidRDefault="0046798B">
            <w:pPr>
              <w:pStyle w:val="TableParagraph"/>
              <w:spacing w:before="9"/>
              <w:rPr>
                <w:sz w:val="31"/>
              </w:rPr>
            </w:pPr>
          </w:p>
          <w:p w14:paraId="6DF766E7" w14:textId="77777777" w:rsidR="0046798B" w:rsidRDefault="00903B5C">
            <w:pPr>
              <w:pStyle w:val="TableParagraph"/>
              <w:ind w:left="115" w:right="105"/>
              <w:jc w:val="both"/>
              <w:rPr>
                <w:b/>
                <w:sz w:val="20"/>
              </w:rPr>
            </w:pPr>
            <w:r>
              <w:rPr>
                <w:b/>
                <w:sz w:val="20"/>
              </w:rPr>
              <w:t>foreign_country_ money_judgmen ts</w:t>
            </w:r>
          </w:p>
        </w:tc>
        <w:tc>
          <w:tcPr>
            <w:tcW w:w="1596" w:type="dxa"/>
          </w:tcPr>
          <w:p w14:paraId="47339A10" w14:textId="77777777" w:rsidR="0046798B" w:rsidRDefault="00903B5C">
            <w:pPr>
              <w:pStyle w:val="TableParagraph"/>
              <w:spacing w:before="43"/>
              <w:ind w:left="114" w:right="207"/>
              <w:rPr>
                <w:sz w:val="20"/>
              </w:rPr>
            </w:pPr>
            <w:r>
              <w:rPr>
                <w:sz w:val="20"/>
              </w:rPr>
              <w:t>Makes it clear that a judgment entitled to full faith and credit under the U.S. constitution is not enforceable under this act</w:t>
            </w:r>
          </w:p>
        </w:tc>
        <w:tc>
          <w:tcPr>
            <w:tcW w:w="1285" w:type="dxa"/>
          </w:tcPr>
          <w:p w14:paraId="21AA3241" w14:textId="77777777" w:rsidR="0046798B" w:rsidRDefault="0046798B">
            <w:pPr>
              <w:pStyle w:val="TableParagraph"/>
            </w:pPr>
          </w:p>
          <w:p w14:paraId="1956A44F" w14:textId="77777777" w:rsidR="0046798B" w:rsidRDefault="0046798B">
            <w:pPr>
              <w:pStyle w:val="TableParagraph"/>
            </w:pPr>
          </w:p>
          <w:p w14:paraId="2BEA231F" w14:textId="77777777" w:rsidR="0046798B" w:rsidRDefault="0046798B">
            <w:pPr>
              <w:pStyle w:val="TableParagraph"/>
              <w:spacing w:before="9"/>
              <w:rPr>
                <w:sz w:val="29"/>
              </w:rPr>
            </w:pPr>
          </w:p>
          <w:p w14:paraId="50522D7C" w14:textId="77777777" w:rsidR="0046798B" w:rsidRDefault="00903B5C">
            <w:pPr>
              <w:pStyle w:val="TableParagraph"/>
              <w:ind w:left="114"/>
              <w:rPr>
                <w:sz w:val="20"/>
              </w:rPr>
            </w:pPr>
            <w:r>
              <w:rPr>
                <w:sz w:val="20"/>
              </w:rPr>
              <w:t>2007–2017</w:t>
            </w:r>
          </w:p>
        </w:tc>
        <w:tc>
          <w:tcPr>
            <w:tcW w:w="3421" w:type="dxa"/>
          </w:tcPr>
          <w:p w14:paraId="7BA7C3FC" w14:textId="77777777" w:rsidR="0046798B" w:rsidRDefault="0046798B">
            <w:pPr>
              <w:pStyle w:val="TableParagraph"/>
            </w:pPr>
          </w:p>
          <w:p w14:paraId="6E16A7DC" w14:textId="77777777" w:rsidR="0046798B" w:rsidRDefault="0046798B">
            <w:pPr>
              <w:pStyle w:val="TableParagraph"/>
            </w:pPr>
          </w:p>
          <w:p w14:paraId="763292F0" w14:textId="77777777" w:rsidR="0046798B" w:rsidRDefault="0046798B">
            <w:pPr>
              <w:pStyle w:val="TableParagraph"/>
              <w:spacing w:before="9"/>
              <w:rPr>
                <w:sz w:val="19"/>
              </w:rPr>
            </w:pPr>
          </w:p>
          <w:p w14:paraId="0D3BF04F" w14:textId="77777777" w:rsidR="0046798B" w:rsidRDefault="00903B5C">
            <w:pPr>
              <w:pStyle w:val="TableParagraph"/>
              <w:ind w:left="114" w:right="1475"/>
              <w:rPr>
                <w:sz w:val="20"/>
              </w:rPr>
            </w:pPr>
            <w:r>
              <w:rPr>
                <w:sz w:val="20"/>
              </w:rPr>
              <w:t>0 = policy not adopted 1 = policy adopted</w:t>
            </w:r>
          </w:p>
        </w:tc>
        <w:tc>
          <w:tcPr>
            <w:tcW w:w="6482" w:type="dxa"/>
          </w:tcPr>
          <w:p w14:paraId="4F7EC890" w14:textId="77777777" w:rsidR="0046798B" w:rsidRDefault="0046798B">
            <w:pPr>
              <w:pStyle w:val="TableParagraph"/>
              <w:spacing w:before="9"/>
              <w:rPr>
                <w:sz w:val="23"/>
              </w:rPr>
            </w:pPr>
          </w:p>
          <w:p w14:paraId="4DE10930" w14:textId="77777777" w:rsidR="0046798B" w:rsidRDefault="00903B5C">
            <w:pPr>
              <w:pStyle w:val="TableParagraph"/>
              <w:ind w:left="114"/>
              <w:rPr>
                <w:sz w:val="20"/>
              </w:rPr>
            </w:pPr>
            <w:r>
              <w:rPr>
                <w:sz w:val="20"/>
              </w:rPr>
              <w:t xml:space="preserve">Uniform Law Commission website: </w:t>
            </w:r>
            <w:hyperlink r:id="rId942">
              <w:r>
                <w:rPr>
                  <w:color w:val="0462C1"/>
                  <w:sz w:val="20"/>
                  <w:u w:val="single" w:color="0462C1"/>
                </w:rPr>
                <w:t>http://www.uniformlaws.org/</w:t>
              </w:r>
            </w:hyperlink>
          </w:p>
          <w:p w14:paraId="4D2A5E36" w14:textId="77777777" w:rsidR="0046798B" w:rsidRDefault="0046798B">
            <w:pPr>
              <w:pStyle w:val="TableParagraph"/>
              <w:rPr>
                <w:sz w:val="20"/>
              </w:rPr>
            </w:pPr>
          </w:p>
          <w:p w14:paraId="6D6D2D68"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39CFCE8F" w14:textId="77777777">
        <w:trPr>
          <w:trHeight w:val="2155"/>
        </w:trPr>
        <w:tc>
          <w:tcPr>
            <w:tcW w:w="1711" w:type="dxa"/>
          </w:tcPr>
          <w:p w14:paraId="4AAF8AC7" w14:textId="77777777" w:rsidR="0046798B" w:rsidRDefault="0046798B">
            <w:pPr>
              <w:pStyle w:val="TableParagraph"/>
            </w:pPr>
          </w:p>
          <w:p w14:paraId="4B6BC42B" w14:textId="77777777" w:rsidR="0046798B" w:rsidRDefault="0046798B">
            <w:pPr>
              <w:pStyle w:val="TableParagraph"/>
            </w:pPr>
          </w:p>
          <w:p w14:paraId="0051713A" w14:textId="77777777" w:rsidR="0046798B" w:rsidRDefault="0046798B">
            <w:pPr>
              <w:pStyle w:val="TableParagraph"/>
              <w:spacing w:before="9"/>
              <w:rPr>
                <w:sz w:val="29"/>
              </w:rPr>
            </w:pPr>
          </w:p>
          <w:p w14:paraId="4F717C1C" w14:textId="77777777" w:rsidR="0046798B" w:rsidRDefault="00903B5C">
            <w:pPr>
              <w:pStyle w:val="TableParagraph"/>
              <w:ind w:left="115"/>
              <w:rPr>
                <w:b/>
                <w:sz w:val="20"/>
              </w:rPr>
            </w:pPr>
            <w:r>
              <w:rPr>
                <w:b/>
                <w:sz w:val="20"/>
              </w:rPr>
              <w:t>fraudulent_trans fer_act_1984</w:t>
            </w:r>
          </w:p>
        </w:tc>
        <w:tc>
          <w:tcPr>
            <w:tcW w:w="1596" w:type="dxa"/>
          </w:tcPr>
          <w:p w14:paraId="4FB3274C" w14:textId="77777777" w:rsidR="0046798B" w:rsidRDefault="00903B5C">
            <w:pPr>
              <w:pStyle w:val="TableParagraph"/>
              <w:spacing w:before="43"/>
              <w:ind w:left="114" w:right="152"/>
              <w:rPr>
                <w:sz w:val="20"/>
              </w:rPr>
            </w:pPr>
            <w:r>
              <w:rPr>
                <w:sz w:val="20"/>
              </w:rPr>
              <w:t>Classifies a category of transfers as fraudulent to creditors and provides creditors with a remedy for such transfers</w:t>
            </w:r>
          </w:p>
        </w:tc>
        <w:tc>
          <w:tcPr>
            <w:tcW w:w="1285" w:type="dxa"/>
          </w:tcPr>
          <w:p w14:paraId="26F770C4" w14:textId="77777777" w:rsidR="0046798B" w:rsidRDefault="0046798B">
            <w:pPr>
              <w:pStyle w:val="TableParagraph"/>
            </w:pPr>
          </w:p>
          <w:p w14:paraId="7DADE717" w14:textId="77777777" w:rsidR="0046798B" w:rsidRDefault="0046798B">
            <w:pPr>
              <w:pStyle w:val="TableParagraph"/>
            </w:pPr>
          </w:p>
          <w:p w14:paraId="13876009" w14:textId="77777777" w:rsidR="0046798B" w:rsidRDefault="0046798B">
            <w:pPr>
              <w:pStyle w:val="TableParagraph"/>
            </w:pPr>
          </w:p>
          <w:p w14:paraId="4B7BE45A" w14:textId="77777777" w:rsidR="0046798B" w:rsidRDefault="0046798B">
            <w:pPr>
              <w:pStyle w:val="TableParagraph"/>
              <w:spacing w:before="9"/>
              <w:rPr>
                <w:sz w:val="17"/>
              </w:rPr>
            </w:pPr>
          </w:p>
          <w:p w14:paraId="6AF43B8A" w14:textId="77777777" w:rsidR="0046798B" w:rsidRDefault="00903B5C">
            <w:pPr>
              <w:pStyle w:val="TableParagraph"/>
              <w:ind w:left="114"/>
              <w:rPr>
                <w:sz w:val="20"/>
              </w:rPr>
            </w:pPr>
            <w:r>
              <w:rPr>
                <w:sz w:val="20"/>
              </w:rPr>
              <w:t>1985–2015</w:t>
            </w:r>
          </w:p>
        </w:tc>
        <w:tc>
          <w:tcPr>
            <w:tcW w:w="3421" w:type="dxa"/>
          </w:tcPr>
          <w:p w14:paraId="369D1E16" w14:textId="77777777" w:rsidR="0046798B" w:rsidRDefault="0046798B">
            <w:pPr>
              <w:pStyle w:val="TableParagraph"/>
            </w:pPr>
          </w:p>
          <w:p w14:paraId="4497FCB2" w14:textId="77777777" w:rsidR="0046798B" w:rsidRDefault="0046798B">
            <w:pPr>
              <w:pStyle w:val="TableParagraph"/>
            </w:pPr>
          </w:p>
          <w:p w14:paraId="15C6162D" w14:textId="77777777" w:rsidR="0046798B" w:rsidRDefault="0046798B">
            <w:pPr>
              <w:pStyle w:val="TableParagraph"/>
              <w:spacing w:before="9"/>
              <w:rPr>
                <w:sz w:val="29"/>
              </w:rPr>
            </w:pPr>
          </w:p>
          <w:p w14:paraId="6B4D8A32" w14:textId="77777777" w:rsidR="0046798B" w:rsidRDefault="00903B5C">
            <w:pPr>
              <w:pStyle w:val="TableParagraph"/>
              <w:ind w:left="114" w:right="1475"/>
              <w:rPr>
                <w:sz w:val="20"/>
              </w:rPr>
            </w:pPr>
            <w:r>
              <w:rPr>
                <w:sz w:val="20"/>
              </w:rPr>
              <w:t>0 = policy not adopted 1 = policy adopted</w:t>
            </w:r>
          </w:p>
        </w:tc>
        <w:tc>
          <w:tcPr>
            <w:tcW w:w="6482" w:type="dxa"/>
          </w:tcPr>
          <w:p w14:paraId="18BB95CE" w14:textId="77777777" w:rsidR="0046798B" w:rsidRDefault="0046798B">
            <w:pPr>
              <w:pStyle w:val="TableParagraph"/>
            </w:pPr>
          </w:p>
          <w:p w14:paraId="6F6EBA34" w14:textId="77777777" w:rsidR="0046798B" w:rsidRDefault="00903B5C">
            <w:pPr>
              <w:pStyle w:val="TableParagraph"/>
              <w:spacing w:before="135"/>
              <w:ind w:left="114"/>
              <w:rPr>
                <w:sz w:val="20"/>
              </w:rPr>
            </w:pPr>
            <w:r>
              <w:rPr>
                <w:sz w:val="20"/>
              </w:rPr>
              <w:t xml:space="preserve">Uniform Law Commission website: </w:t>
            </w:r>
            <w:hyperlink r:id="rId943">
              <w:r>
                <w:rPr>
                  <w:color w:val="0462C1"/>
                  <w:sz w:val="20"/>
                  <w:u w:val="single" w:color="0462C1"/>
                </w:rPr>
                <w:t>http://www.uniformlaws.org/</w:t>
              </w:r>
            </w:hyperlink>
          </w:p>
          <w:p w14:paraId="05EA49D7" w14:textId="77777777" w:rsidR="0046798B" w:rsidRDefault="0046798B">
            <w:pPr>
              <w:pStyle w:val="TableParagraph"/>
              <w:rPr>
                <w:sz w:val="20"/>
              </w:rPr>
            </w:pPr>
          </w:p>
          <w:p w14:paraId="081F74C8"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626393EE" w14:textId="77777777">
        <w:trPr>
          <w:trHeight w:val="1700"/>
        </w:trPr>
        <w:tc>
          <w:tcPr>
            <w:tcW w:w="1711" w:type="dxa"/>
          </w:tcPr>
          <w:p w14:paraId="74341CBD" w14:textId="77777777" w:rsidR="0046798B" w:rsidRDefault="0046798B">
            <w:pPr>
              <w:pStyle w:val="TableParagraph"/>
            </w:pPr>
          </w:p>
          <w:p w14:paraId="0E3F61DE" w14:textId="77777777" w:rsidR="0046798B" w:rsidRDefault="0046798B">
            <w:pPr>
              <w:pStyle w:val="TableParagraph"/>
              <w:spacing w:before="9"/>
              <w:rPr>
                <w:sz w:val="31"/>
              </w:rPr>
            </w:pPr>
          </w:p>
          <w:p w14:paraId="309A4802" w14:textId="77777777" w:rsidR="0046798B" w:rsidRDefault="00903B5C">
            <w:pPr>
              <w:pStyle w:val="TableParagraph"/>
              <w:ind w:left="115" w:right="143"/>
              <w:rPr>
                <w:b/>
                <w:sz w:val="20"/>
              </w:rPr>
            </w:pPr>
            <w:r>
              <w:rPr>
                <w:b/>
                <w:sz w:val="20"/>
              </w:rPr>
              <w:t>information_pra ctices_code</w:t>
            </w:r>
          </w:p>
        </w:tc>
        <w:tc>
          <w:tcPr>
            <w:tcW w:w="1596" w:type="dxa"/>
          </w:tcPr>
          <w:p w14:paraId="29C93DB5" w14:textId="77777777" w:rsidR="0046798B" w:rsidRDefault="00903B5C">
            <w:pPr>
              <w:pStyle w:val="TableParagraph"/>
              <w:spacing w:before="43"/>
              <w:ind w:left="114" w:right="229"/>
              <w:rPr>
                <w:sz w:val="20"/>
              </w:rPr>
            </w:pPr>
            <w:r>
              <w:rPr>
                <w:sz w:val="20"/>
              </w:rPr>
              <w:t>Provides a uniform statutory approach to privacy and freedom of information</w:t>
            </w:r>
          </w:p>
        </w:tc>
        <w:tc>
          <w:tcPr>
            <w:tcW w:w="1285" w:type="dxa"/>
          </w:tcPr>
          <w:p w14:paraId="28511F73" w14:textId="77777777" w:rsidR="0046798B" w:rsidRDefault="0046798B">
            <w:pPr>
              <w:pStyle w:val="TableParagraph"/>
            </w:pPr>
          </w:p>
          <w:p w14:paraId="4B303852" w14:textId="77777777" w:rsidR="0046798B" w:rsidRDefault="0046798B">
            <w:pPr>
              <w:pStyle w:val="TableParagraph"/>
            </w:pPr>
          </w:p>
          <w:p w14:paraId="13ED8ED0" w14:textId="77777777" w:rsidR="0046798B" w:rsidRDefault="0046798B">
            <w:pPr>
              <w:pStyle w:val="TableParagraph"/>
              <w:spacing w:before="9"/>
              <w:rPr>
                <w:sz w:val="19"/>
              </w:rPr>
            </w:pPr>
          </w:p>
          <w:p w14:paraId="1B8C800E" w14:textId="77777777" w:rsidR="0046798B" w:rsidRDefault="00903B5C">
            <w:pPr>
              <w:pStyle w:val="TableParagraph"/>
              <w:ind w:left="114"/>
              <w:rPr>
                <w:sz w:val="20"/>
              </w:rPr>
            </w:pPr>
            <w:r>
              <w:rPr>
                <w:sz w:val="20"/>
              </w:rPr>
              <w:t>1988</w:t>
            </w:r>
          </w:p>
        </w:tc>
        <w:tc>
          <w:tcPr>
            <w:tcW w:w="3421" w:type="dxa"/>
          </w:tcPr>
          <w:p w14:paraId="78195F4A" w14:textId="77777777" w:rsidR="0046798B" w:rsidRDefault="0046798B">
            <w:pPr>
              <w:pStyle w:val="TableParagraph"/>
            </w:pPr>
          </w:p>
          <w:p w14:paraId="0069A1A8" w14:textId="77777777" w:rsidR="0046798B" w:rsidRDefault="0046798B">
            <w:pPr>
              <w:pStyle w:val="TableParagraph"/>
              <w:spacing w:before="9"/>
              <w:rPr>
                <w:sz w:val="31"/>
              </w:rPr>
            </w:pPr>
          </w:p>
          <w:p w14:paraId="6F6B6299" w14:textId="77777777" w:rsidR="0046798B" w:rsidRDefault="00903B5C">
            <w:pPr>
              <w:pStyle w:val="TableParagraph"/>
              <w:ind w:left="114" w:right="1475"/>
              <w:rPr>
                <w:sz w:val="20"/>
              </w:rPr>
            </w:pPr>
            <w:r>
              <w:rPr>
                <w:sz w:val="20"/>
              </w:rPr>
              <w:t>0 = policy not adopted 1 = policy adopted</w:t>
            </w:r>
          </w:p>
        </w:tc>
        <w:tc>
          <w:tcPr>
            <w:tcW w:w="6482" w:type="dxa"/>
          </w:tcPr>
          <w:p w14:paraId="05B28D1C" w14:textId="77777777" w:rsidR="0046798B" w:rsidRDefault="00903B5C">
            <w:pPr>
              <w:pStyle w:val="TableParagraph"/>
              <w:spacing w:before="159"/>
              <w:ind w:left="114"/>
              <w:rPr>
                <w:sz w:val="20"/>
              </w:rPr>
            </w:pPr>
            <w:r>
              <w:rPr>
                <w:sz w:val="20"/>
              </w:rPr>
              <w:t xml:space="preserve">Uniform Law Commission website: </w:t>
            </w:r>
            <w:hyperlink r:id="rId944">
              <w:r>
                <w:rPr>
                  <w:color w:val="0462C1"/>
                  <w:sz w:val="20"/>
                  <w:u w:val="single" w:color="0462C1"/>
                </w:rPr>
                <w:t>http://www.uniformlaws.org/</w:t>
              </w:r>
            </w:hyperlink>
          </w:p>
          <w:p w14:paraId="2DDC20E6" w14:textId="77777777" w:rsidR="0046798B" w:rsidRDefault="0046798B">
            <w:pPr>
              <w:pStyle w:val="TableParagraph"/>
              <w:spacing w:before="11"/>
              <w:rPr>
                <w:sz w:val="19"/>
              </w:rPr>
            </w:pPr>
          </w:p>
          <w:p w14:paraId="70E6D418"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26268065" w14:textId="77777777">
        <w:trPr>
          <w:trHeight w:val="1005"/>
        </w:trPr>
        <w:tc>
          <w:tcPr>
            <w:tcW w:w="1711" w:type="dxa"/>
          </w:tcPr>
          <w:p w14:paraId="212EEB01" w14:textId="77777777" w:rsidR="0046798B" w:rsidRDefault="0046798B">
            <w:pPr>
              <w:pStyle w:val="TableParagraph"/>
              <w:spacing w:before="3"/>
              <w:rPr>
                <w:sz w:val="23"/>
              </w:rPr>
            </w:pPr>
          </w:p>
          <w:p w14:paraId="1FFA3B2A" w14:textId="77777777" w:rsidR="0046798B" w:rsidRDefault="00903B5C">
            <w:pPr>
              <w:pStyle w:val="TableParagraph"/>
              <w:spacing w:before="1"/>
              <w:ind w:left="115" w:right="88"/>
              <w:rPr>
                <w:b/>
                <w:sz w:val="20"/>
              </w:rPr>
            </w:pPr>
            <w:r>
              <w:rPr>
                <w:b/>
                <w:sz w:val="20"/>
              </w:rPr>
              <w:t>insurable_interes t_amendment_to</w:t>
            </w:r>
          </w:p>
        </w:tc>
        <w:tc>
          <w:tcPr>
            <w:tcW w:w="1596" w:type="dxa"/>
          </w:tcPr>
          <w:p w14:paraId="5DBC7DC4" w14:textId="77777777" w:rsidR="0046798B" w:rsidRDefault="00903B5C">
            <w:pPr>
              <w:pStyle w:val="TableParagraph"/>
              <w:spacing w:before="153"/>
              <w:ind w:left="114" w:right="202"/>
              <w:rPr>
                <w:sz w:val="20"/>
              </w:rPr>
            </w:pPr>
            <w:r>
              <w:rPr>
                <w:sz w:val="20"/>
              </w:rPr>
              <w:t>Addresses purchase of life insurance trusts</w:t>
            </w:r>
          </w:p>
        </w:tc>
        <w:tc>
          <w:tcPr>
            <w:tcW w:w="1285" w:type="dxa"/>
          </w:tcPr>
          <w:p w14:paraId="2331BB4C" w14:textId="77777777" w:rsidR="0046798B" w:rsidRDefault="0046798B">
            <w:pPr>
              <w:pStyle w:val="TableParagraph"/>
            </w:pPr>
          </w:p>
          <w:p w14:paraId="45EB0616" w14:textId="77777777" w:rsidR="0046798B" w:rsidRDefault="00903B5C">
            <w:pPr>
              <w:pStyle w:val="TableParagraph"/>
              <w:spacing w:before="130"/>
              <w:ind w:left="114"/>
              <w:rPr>
                <w:sz w:val="20"/>
              </w:rPr>
            </w:pPr>
            <w:r>
              <w:rPr>
                <w:sz w:val="20"/>
              </w:rPr>
              <w:t>2011–2014</w:t>
            </w:r>
          </w:p>
        </w:tc>
        <w:tc>
          <w:tcPr>
            <w:tcW w:w="3421" w:type="dxa"/>
          </w:tcPr>
          <w:p w14:paraId="64554BAA" w14:textId="77777777" w:rsidR="0046798B" w:rsidRDefault="0046798B">
            <w:pPr>
              <w:pStyle w:val="TableParagraph"/>
              <w:spacing w:before="3"/>
              <w:rPr>
                <w:sz w:val="23"/>
              </w:rPr>
            </w:pPr>
          </w:p>
          <w:p w14:paraId="37449226"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5CA78A07" w14:textId="77777777" w:rsidR="0046798B" w:rsidRDefault="00903B5C">
            <w:pPr>
              <w:pStyle w:val="TableParagraph"/>
              <w:spacing w:before="38"/>
              <w:ind w:left="114"/>
              <w:rPr>
                <w:sz w:val="20"/>
              </w:rPr>
            </w:pPr>
            <w:r>
              <w:rPr>
                <w:sz w:val="20"/>
              </w:rPr>
              <w:t xml:space="preserve">Uniform Law Commission website: </w:t>
            </w:r>
            <w:hyperlink r:id="rId945">
              <w:r>
                <w:rPr>
                  <w:color w:val="0462C1"/>
                  <w:sz w:val="20"/>
                  <w:u w:val="single" w:color="0462C1"/>
                </w:rPr>
                <w:t>http://www.uniformlaws.org/</w:t>
              </w:r>
            </w:hyperlink>
          </w:p>
          <w:p w14:paraId="226720A9" w14:textId="77777777" w:rsidR="0046798B" w:rsidRDefault="0046798B">
            <w:pPr>
              <w:pStyle w:val="TableParagraph"/>
              <w:rPr>
                <w:sz w:val="20"/>
              </w:rPr>
            </w:pPr>
          </w:p>
          <w:p w14:paraId="695CBF5F"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w:t>
            </w:r>
          </w:p>
        </w:tc>
      </w:tr>
    </w:tbl>
    <w:p w14:paraId="2E187736" w14:textId="77777777" w:rsidR="0046798B" w:rsidRDefault="0046798B">
      <w:pPr>
        <w:rPr>
          <w:sz w:val="20"/>
        </w:rPr>
        <w:sectPr w:rsidR="0046798B">
          <w:pgSz w:w="15840" w:h="12240" w:orient="landscape"/>
          <w:pgMar w:top="1220" w:right="300" w:bottom="980" w:left="820" w:header="730" w:footer="787" w:gutter="0"/>
          <w:cols w:space="720"/>
        </w:sectPr>
      </w:pPr>
    </w:p>
    <w:p w14:paraId="7BA22842"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54D5E9B1" w14:textId="77777777">
        <w:trPr>
          <w:trHeight w:val="542"/>
        </w:trPr>
        <w:tc>
          <w:tcPr>
            <w:tcW w:w="1711" w:type="dxa"/>
            <w:tcBorders>
              <w:bottom w:val="dotted" w:sz="6" w:space="0" w:color="BEBEBE"/>
            </w:tcBorders>
          </w:tcPr>
          <w:p w14:paraId="16EF5D6C" w14:textId="77777777" w:rsidR="0046798B" w:rsidRDefault="0046798B">
            <w:pPr>
              <w:pStyle w:val="TableParagraph"/>
              <w:rPr>
                <w:sz w:val="20"/>
              </w:rPr>
            </w:pPr>
          </w:p>
        </w:tc>
        <w:tc>
          <w:tcPr>
            <w:tcW w:w="1596" w:type="dxa"/>
            <w:tcBorders>
              <w:bottom w:val="dotted" w:sz="6" w:space="0" w:color="BEBEBE"/>
            </w:tcBorders>
          </w:tcPr>
          <w:p w14:paraId="77DFAC02" w14:textId="77777777" w:rsidR="0046798B" w:rsidRDefault="0046798B">
            <w:pPr>
              <w:pStyle w:val="TableParagraph"/>
              <w:rPr>
                <w:sz w:val="20"/>
              </w:rPr>
            </w:pPr>
          </w:p>
        </w:tc>
        <w:tc>
          <w:tcPr>
            <w:tcW w:w="1285" w:type="dxa"/>
            <w:tcBorders>
              <w:bottom w:val="dotted" w:sz="6" w:space="0" w:color="BEBEBE"/>
            </w:tcBorders>
          </w:tcPr>
          <w:p w14:paraId="5AD6B645" w14:textId="77777777" w:rsidR="0046798B" w:rsidRDefault="0046798B">
            <w:pPr>
              <w:pStyle w:val="TableParagraph"/>
              <w:rPr>
                <w:sz w:val="20"/>
              </w:rPr>
            </w:pPr>
          </w:p>
        </w:tc>
        <w:tc>
          <w:tcPr>
            <w:tcW w:w="3421" w:type="dxa"/>
            <w:tcBorders>
              <w:bottom w:val="dotted" w:sz="6" w:space="0" w:color="BEBEBE"/>
            </w:tcBorders>
          </w:tcPr>
          <w:p w14:paraId="7A1B647B" w14:textId="77777777" w:rsidR="0046798B" w:rsidRDefault="0046798B">
            <w:pPr>
              <w:pStyle w:val="TableParagraph"/>
              <w:rPr>
                <w:sz w:val="20"/>
              </w:rPr>
            </w:pPr>
          </w:p>
        </w:tc>
        <w:tc>
          <w:tcPr>
            <w:tcW w:w="6482" w:type="dxa"/>
            <w:tcBorders>
              <w:bottom w:val="dotted" w:sz="6" w:space="0" w:color="BEBEBE"/>
            </w:tcBorders>
          </w:tcPr>
          <w:p w14:paraId="07EAC6B6" w14:textId="77777777" w:rsidR="0046798B" w:rsidRDefault="00903B5C">
            <w:pPr>
              <w:pStyle w:val="TableParagraph"/>
              <w:spacing w:before="43"/>
              <w:ind w:left="114" w:right="2377"/>
              <w:rPr>
                <w:sz w:val="20"/>
              </w:rPr>
            </w:pPr>
            <w:r>
              <w:rPr>
                <w:sz w:val="20"/>
              </w:rPr>
              <w:t>Innovation and Diffusion (SPID) Database v1.0”, https://doi.org/10.7910/DVN/CVYSR7</w:t>
            </w:r>
          </w:p>
        </w:tc>
      </w:tr>
      <w:tr w:rsidR="0046798B" w14:paraId="71B7627C" w14:textId="77777777">
        <w:trPr>
          <w:trHeight w:val="1463"/>
        </w:trPr>
        <w:tc>
          <w:tcPr>
            <w:tcW w:w="1711" w:type="dxa"/>
            <w:tcBorders>
              <w:top w:val="dotted" w:sz="6" w:space="0" w:color="BEBEBE"/>
            </w:tcBorders>
          </w:tcPr>
          <w:p w14:paraId="2D730045" w14:textId="77777777" w:rsidR="0046798B" w:rsidRDefault="0046798B">
            <w:pPr>
              <w:pStyle w:val="TableParagraph"/>
            </w:pPr>
          </w:p>
          <w:p w14:paraId="2FDE3028" w14:textId="77777777" w:rsidR="0046798B" w:rsidRDefault="0046798B">
            <w:pPr>
              <w:pStyle w:val="TableParagraph"/>
              <w:spacing w:before="6"/>
              <w:rPr>
                <w:sz w:val="21"/>
              </w:rPr>
            </w:pPr>
          </w:p>
          <w:p w14:paraId="79EA473E" w14:textId="77777777" w:rsidR="0046798B" w:rsidRDefault="00903B5C">
            <w:pPr>
              <w:pStyle w:val="TableParagraph"/>
              <w:ind w:left="115" w:right="121"/>
              <w:rPr>
                <w:b/>
                <w:sz w:val="20"/>
              </w:rPr>
            </w:pPr>
            <w:r>
              <w:rPr>
                <w:b/>
                <w:sz w:val="20"/>
              </w:rPr>
              <w:t>intestacy_wills_a nd_donative_t</w:t>
            </w:r>
          </w:p>
        </w:tc>
        <w:tc>
          <w:tcPr>
            <w:tcW w:w="1596" w:type="dxa"/>
            <w:tcBorders>
              <w:top w:val="dotted" w:sz="6" w:space="0" w:color="BEBEBE"/>
            </w:tcBorders>
          </w:tcPr>
          <w:p w14:paraId="2BBC1820" w14:textId="77777777" w:rsidR="0046798B" w:rsidRDefault="0046798B">
            <w:pPr>
              <w:pStyle w:val="TableParagraph"/>
              <w:spacing w:before="6"/>
              <w:rPr>
                <w:sz w:val="23"/>
              </w:rPr>
            </w:pPr>
          </w:p>
          <w:p w14:paraId="69F64E2D" w14:textId="77777777" w:rsidR="0046798B" w:rsidRDefault="00903B5C">
            <w:pPr>
              <w:pStyle w:val="TableParagraph"/>
              <w:ind w:left="114" w:right="97"/>
              <w:rPr>
                <w:sz w:val="20"/>
              </w:rPr>
            </w:pPr>
            <w:r>
              <w:rPr>
                <w:sz w:val="20"/>
              </w:rPr>
              <w:t>Provides instruction on transfer of property at death</w:t>
            </w:r>
          </w:p>
        </w:tc>
        <w:tc>
          <w:tcPr>
            <w:tcW w:w="1285" w:type="dxa"/>
            <w:tcBorders>
              <w:top w:val="dotted" w:sz="6" w:space="0" w:color="BEBEBE"/>
            </w:tcBorders>
          </w:tcPr>
          <w:p w14:paraId="29220A49" w14:textId="77777777" w:rsidR="0046798B" w:rsidRDefault="0046798B">
            <w:pPr>
              <w:pStyle w:val="TableParagraph"/>
            </w:pPr>
          </w:p>
          <w:p w14:paraId="19F1689D" w14:textId="77777777" w:rsidR="0046798B" w:rsidRDefault="0046798B">
            <w:pPr>
              <w:pStyle w:val="TableParagraph"/>
              <w:spacing w:before="6"/>
              <w:rPr>
                <w:sz w:val="31"/>
              </w:rPr>
            </w:pPr>
          </w:p>
          <w:p w14:paraId="5D471D8F" w14:textId="77777777" w:rsidR="0046798B" w:rsidRDefault="00903B5C">
            <w:pPr>
              <w:pStyle w:val="TableParagraph"/>
              <w:ind w:left="114"/>
              <w:rPr>
                <w:sz w:val="20"/>
              </w:rPr>
            </w:pPr>
            <w:r>
              <w:rPr>
                <w:sz w:val="20"/>
              </w:rPr>
              <w:t>1991–1995</w:t>
            </w:r>
          </w:p>
        </w:tc>
        <w:tc>
          <w:tcPr>
            <w:tcW w:w="3421" w:type="dxa"/>
            <w:tcBorders>
              <w:top w:val="dotted" w:sz="6" w:space="0" w:color="BEBEBE"/>
            </w:tcBorders>
          </w:tcPr>
          <w:p w14:paraId="0C45DE94" w14:textId="77777777" w:rsidR="0046798B" w:rsidRDefault="0046798B">
            <w:pPr>
              <w:pStyle w:val="TableParagraph"/>
            </w:pPr>
          </w:p>
          <w:p w14:paraId="6F788F42" w14:textId="77777777" w:rsidR="0046798B" w:rsidRDefault="0046798B">
            <w:pPr>
              <w:pStyle w:val="TableParagraph"/>
              <w:spacing w:before="6"/>
              <w:rPr>
                <w:sz w:val="21"/>
              </w:rPr>
            </w:pPr>
          </w:p>
          <w:p w14:paraId="7F1CB95B" w14:textId="77777777" w:rsidR="0046798B" w:rsidRDefault="00903B5C">
            <w:pPr>
              <w:pStyle w:val="TableParagraph"/>
              <w:ind w:left="114" w:right="1475"/>
              <w:rPr>
                <w:sz w:val="20"/>
              </w:rPr>
            </w:pPr>
            <w:r>
              <w:rPr>
                <w:sz w:val="20"/>
              </w:rPr>
              <w:t>0 = policy not adopted 1 = policy adopted</w:t>
            </w:r>
          </w:p>
        </w:tc>
        <w:tc>
          <w:tcPr>
            <w:tcW w:w="6482" w:type="dxa"/>
            <w:tcBorders>
              <w:top w:val="dotted" w:sz="6" w:space="0" w:color="BEBEBE"/>
            </w:tcBorders>
          </w:tcPr>
          <w:p w14:paraId="0BFFC4EF" w14:textId="77777777" w:rsidR="0046798B" w:rsidRDefault="00903B5C">
            <w:pPr>
              <w:pStyle w:val="TableParagraph"/>
              <w:spacing w:before="40"/>
              <w:ind w:left="114"/>
              <w:rPr>
                <w:sz w:val="20"/>
              </w:rPr>
            </w:pPr>
            <w:r>
              <w:rPr>
                <w:sz w:val="20"/>
              </w:rPr>
              <w:t xml:space="preserve">Uniform Law Commission website: </w:t>
            </w:r>
            <w:hyperlink r:id="rId946">
              <w:r>
                <w:rPr>
                  <w:color w:val="0462C1"/>
                  <w:sz w:val="20"/>
                  <w:u w:val="single" w:color="0462C1"/>
                </w:rPr>
                <w:t>http://www.uniformlaws.org/</w:t>
              </w:r>
            </w:hyperlink>
          </w:p>
          <w:p w14:paraId="6E32B573" w14:textId="77777777" w:rsidR="0046798B" w:rsidRDefault="0046798B">
            <w:pPr>
              <w:pStyle w:val="TableParagraph"/>
              <w:rPr>
                <w:sz w:val="20"/>
              </w:rPr>
            </w:pPr>
          </w:p>
          <w:p w14:paraId="2A67F88F"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2235F101" w14:textId="77777777">
        <w:trPr>
          <w:trHeight w:val="1470"/>
        </w:trPr>
        <w:tc>
          <w:tcPr>
            <w:tcW w:w="1711" w:type="dxa"/>
          </w:tcPr>
          <w:p w14:paraId="234A1567" w14:textId="77777777" w:rsidR="0046798B" w:rsidRDefault="0046798B">
            <w:pPr>
              <w:pStyle w:val="TableParagraph"/>
            </w:pPr>
          </w:p>
          <w:p w14:paraId="6C23C8B0" w14:textId="77777777" w:rsidR="0046798B" w:rsidRDefault="0046798B">
            <w:pPr>
              <w:pStyle w:val="TableParagraph"/>
              <w:spacing w:before="8"/>
              <w:rPr>
                <w:sz w:val="21"/>
              </w:rPr>
            </w:pPr>
          </w:p>
          <w:p w14:paraId="33D6F196" w14:textId="77777777" w:rsidR="0046798B" w:rsidRDefault="00903B5C">
            <w:pPr>
              <w:pStyle w:val="TableParagraph"/>
              <w:spacing w:before="1"/>
              <w:ind w:left="115" w:right="132"/>
              <w:rPr>
                <w:b/>
                <w:sz w:val="20"/>
              </w:rPr>
            </w:pPr>
            <w:r>
              <w:rPr>
                <w:b/>
                <w:sz w:val="20"/>
              </w:rPr>
              <w:t>land_sales_pract ices</w:t>
            </w:r>
          </w:p>
        </w:tc>
        <w:tc>
          <w:tcPr>
            <w:tcW w:w="1596" w:type="dxa"/>
          </w:tcPr>
          <w:p w14:paraId="57FEE5D3" w14:textId="77777777" w:rsidR="0046798B" w:rsidRDefault="0046798B">
            <w:pPr>
              <w:pStyle w:val="TableParagraph"/>
            </w:pPr>
          </w:p>
          <w:p w14:paraId="68C3C3CA" w14:textId="77777777" w:rsidR="0046798B" w:rsidRDefault="00903B5C">
            <w:pPr>
              <w:pStyle w:val="TableParagraph"/>
              <w:spacing w:before="135"/>
              <w:ind w:left="114" w:right="113"/>
              <w:rPr>
                <w:sz w:val="20"/>
              </w:rPr>
            </w:pPr>
            <w:r>
              <w:rPr>
                <w:sz w:val="20"/>
              </w:rPr>
              <w:t>Regulation on promotional sale of land</w:t>
            </w:r>
          </w:p>
        </w:tc>
        <w:tc>
          <w:tcPr>
            <w:tcW w:w="1285" w:type="dxa"/>
          </w:tcPr>
          <w:p w14:paraId="393B0B0D" w14:textId="77777777" w:rsidR="0046798B" w:rsidRDefault="0046798B">
            <w:pPr>
              <w:pStyle w:val="TableParagraph"/>
            </w:pPr>
          </w:p>
          <w:p w14:paraId="2923D66E" w14:textId="77777777" w:rsidR="0046798B" w:rsidRDefault="0046798B">
            <w:pPr>
              <w:pStyle w:val="TableParagraph"/>
              <w:spacing w:before="9"/>
              <w:rPr>
                <w:sz w:val="31"/>
              </w:rPr>
            </w:pPr>
          </w:p>
          <w:p w14:paraId="5EE5F23B" w14:textId="77777777" w:rsidR="0046798B" w:rsidRDefault="00903B5C">
            <w:pPr>
              <w:pStyle w:val="TableParagraph"/>
              <w:ind w:left="114"/>
              <w:rPr>
                <w:sz w:val="20"/>
              </w:rPr>
            </w:pPr>
            <w:r>
              <w:rPr>
                <w:sz w:val="20"/>
              </w:rPr>
              <w:t>1967–1973</w:t>
            </w:r>
          </w:p>
        </w:tc>
        <w:tc>
          <w:tcPr>
            <w:tcW w:w="3421" w:type="dxa"/>
          </w:tcPr>
          <w:p w14:paraId="368AAB15" w14:textId="77777777" w:rsidR="0046798B" w:rsidRDefault="0046798B">
            <w:pPr>
              <w:pStyle w:val="TableParagraph"/>
            </w:pPr>
          </w:p>
          <w:p w14:paraId="00D222D1" w14:textId="77777777" w:rsidR="0046798B" w:rsidRDefault="0046798B">
            <w:pPr>
              <w:pStyle w:val="TableParagraph"/>
              <w:spacing w:before="8"/>
              <w:rPr>
                <w:sz w:val="21"/>
              </w:rPr>
            </w:pPr>
          </w:p>
          <w:p w14:paraId="188E6BC4"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2AC90EC1" w14:textId="77777777" w:rsidR="0046798B" w:rsidRDefault="00903B5C">
            <w:pPr>
              <w:pStyle w:val="TableParagraph"/>
              <w:spacing w:before="43"/>
              <w:ind w:left="114"/>
              <w:rPr>
                <w:sz w:val="20"/>
              </w:rPr>
            </w:pPr>
            <w:r>
              <w:rPr>
                <w:sz w:val="20"/>
              </w:rPr>
              <w:t xml:space="preserve">Uniform Law Commission website: </w:t>
            </w:r>
            <w:hyperlink r:id="rId947">
              <w:r>
                <w:rPr>
                  <w:color w:val="0462C1"/>
                  <w:sz w:val="20"/>
                  <w:u w:val="single" w:color="0462C1"/>
                </w:rPr>
                <w:t>http://www.uniformlaws.org/</w:t>
              </w:r>
            </w:hyperlink>
          </w:p>
          <w:p w14:paraId="7E47CB34" w14:textId="77777777" w:rsidR="0046798B" w:rsidRDefault="0046798B">
            <w:pPr>
              <w:pStyle w:val="TableParagraph"/>
              <w:rPr>
                <w:sz w:val="20"/>
              </w:rPr>
            </w:pPr>
          </w:p>
          <w:p w14:paraId="234B7E38"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0108FEDD" w14:textId="77777777">
        <w:trPr>
          <w:trHeight w:val="1465"/>
        </w:trPr>
        <w:tc>
          <w:tcPr>
            <w:tcW w:w="1711" w:type="dxa"/>
          </w:tcPr>
          <w:p w14:paraId="0A6B71DB" w14:textId="77777777" w:rsidR="0046798B" w:rsidRDefault="0046798B">
            <w:pPr>
              <w:pStyle w:val="TableParagraph"/>
            </w:pPr>
          </w:p>
          <w:p w14:paraId="56FBA4C4" w14:textId="77777777" w:rsidR="0046798B" w:rsidRDefault="0046798B">
            <w:pPr>
              <w:pStyle w:val="TableParagraph"/>
              <w:spacing w:before="4"/>
              <w:rPr>
                <w:sz w:val="21"/>
              </w:rPr>
            </w:pPr>
          </w:p>
          <w:p w14:paraId="0EECD49D" w14:textId="77777777" w:rsidR="0046798B" w:rsidRDefault="00903B5C">
            <w:pPr>
              <w:pStyle w:val="TableParagraph"/>
              <w:ind w:left="115" w:right="121"/>
              <w:rPr>
                <w:b/>
                <w:sz w:val="20"/>
              </w:rPr>
            </w:pPr>
            <w:r>
              <w:rPr>
                <w:b/>
                <w:sz w:val="20"/>
              </w:rPr>
              <w:t>limited_cooperat ive_association</w:t>
            </w:r>
          </w:p>
        </w:tc>
        <w:tc>
          <w:tcPr>
            <w:tcW w:w="1596" w:type="dxa"/>
          </w:tcPr>
          <w:p w14:paraId="2EA5439B" w14:textId="77777777" w:rsidR="0046798B" w:rsidRDefault="0046798B">
            <w:pPr>
              <w:pStyle w:val="TableParagraph"/>
            </w:pPr>
          </w:p>
          <w:p w14:paraId="151F7078" w14:textId="77777777" w:rsidR="0046798B" w:rsidRDefault="00903B5C">
            <w:pPr>
              <w:pStyle w:val="TableParagraph"/>
              <w:spacing w:before="130"/>
              <w:ind w:left="114" w:right="137"/>
              <w:rPr>
                <w:sz w:val="20"/>
              </w:rPr>
            </w:pPr>
            <w:r>
              <w:rPr>
                <w:sz w:val="20"/>
              </w:rPr>
              <w:t>Addresses the cooperative form of</w:t>
            </w:r>
            <w:r>
              <w:rPr>
                <w:spacing w:val="-17"/>
                <w:sz w:val="20"/>
              </w:rPr>
              <w:t xml:space="preserve"> </w:t>
            </w:r>
            <w:r>
              <w:rPr>
                <w:sz w:val="20"/>
              </w:rPr>
              <w:t>business</w:t>
            </w:r>
          </w:p>
        </w:tc>
        <w:tc>
          <w:tcPr>
            <w:tcW w:w="1285" w:type="dxa"/>
          </w:tcPr>
          <w:p w14:paraId="722A794B" w14:textId="77777777" w:rsidR="0046798B" w:rsidRDefault="0046798B">
            <w:pPr>
              <w:pStyle w:val="TableParagraph"/>
            </w:pPr>
          </w:p>
          <w:p w14:paraId="627C19F2" w14:textId="77777777" w:rsidR="0046798B" w:rsidRDefault="0046798B">
            <w:pPr>
              <w:pStyle w:val="TableParagraph"/>
              <w:spacing w:before="4"/>
              <w:rPr>
                <w:sz w:val="31"/>
              </w:rPr>
            </w:pPr>
          </w:p>
          <w:p w14:paraId="4DFC41BD" w14:textId="77777777" w:rsidR="0046798B" w:rsidRDefault="00903B5C">
            <w:pPr>
              <w:pStyle w:val="TableParagraph"/>
              <w:ind w:left="114"/>
              <w:rPr>
                <w:sz w:val="20"/>
              </w:rPr>
            </w:pPr>
            <w:r>
              <w:rPr>
                <w:sz w:val="20"/>
              </w:rPr>
              <w:t>2008–2012</w:t>
            </w:r>
          </w:p>
        </w:tc>
        <w:tc>
          <w:tcPr>
            <w:tcW w:w="3421" w:type="dxa"/>
          </w:tcPr>
          <w:p w14:paraId="6172CDEB" w14:textId="77777777" w:rsidR="0046798B" w:rsidRDefault="0046798B">
            <w:pPr>
              <w:pStyle w:val="TableParagraph"/>
            </w:pPr>
          </w:p>
          <w:p w14:paraId="0C529D8C" w14:textId="77777777" w:rsidR="0046798B" w:rsidRDefault="0046798B">
            <w:pPr>
              <w:pStyle w:val="TableParagraph"/>
              <w:spacing w:before="4"/>
              <w:rPr>
                <w:sz w:val="21"/>
              </w:rPr>
            </w:pPr>
          </w:p>
          <w:p w14:paraId="5872A9EC" w14:textId="77777777" w:rsidR="0046798B" w:rsidRDefault="00903B5C">
            <w:pPr>
              <w:pStyle w:val="TableParagraph"/>
              <w:ind w:left="114" w:right="1475"/>
              <w:rPr>
                <w:sz w:val="20"/>
              </w:rPr>
            </w:pPr>
            <w:r>
              <w:rPr>
                <w:sz w:val="20"/>
              </w:rPr>
              <w:t>0 = policy not adopted 1 = policy adopted</w:t>
            </w:r>
          </w:p>
        </w:tc>
        <w:tc>
          <w:tcPr>
            <w:tcW w:w="6482" w:type="dxa"/>
          </w:tcPr>
          <w:p w14:paraId="41EDA710" w14:textId="77777777" w:rsidR="0046798B" w:rsidRDefault="00903B5C">
            <w:pPr>
              <w:pStyle w:val="TableParagraph"/>
              <w:spacing w:before="38"/>
              <w:ind w:left="114"/>
              <w:rPr>
                <w:sz w:val="20"/>
              </w:rPr>
            </w:pPr>
            <w:r>
              <w:rPr>
                <w:sz w:val="20"/>
              </w:rPr>
              <w:t xml:space="preserve">Uniform Law Commission website: </w:t>
            </w:r>
            <w:hyperlink r:id="rId948">
              <w:r>
                <w:rPr>
                  <w:color w:val="0462C1"/>
                  <w:sz w:val="20"/>
                  <w:u w:val="single" w:color="0462C1"/>
                </w:rPr>
                <w:t>http://www.uniformlaws.org/</w:t>
              </w:r>
            </w:hyperlink>
          </w:p>
          <w:p w14:paraId="552EF2F8" w14:textId="77777777" w:rsidR="0046798B" w:rsidRDefault="0046798B">
            <w:pPr>
              <w:pStyle w:val="TableParagraph"/>
              <w:rPr>
                <w:sz w:val="20"/>
              </w:rPr>
            </w:pPr>
          </w:p>
          <w:p w14:paraId="052BEBFD"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651AEF3F" w14:textId="77777777">
        <w:trPr>
          <w:trHeight w:val="1465"/>
        </w:trPr>
        <w:tc>
          <w:tcPr>
            <w:tcW w:w="1711" w:type="dxa"/>
          </w:tcPr>
          <w:p w14:paraId="51260F5E" w14:textId="77777777" w:rsidR="0046798B" w:rsidRDefault="0046798B">
            <w:pPr>
              <w:pStyle w:val="TableParagraph"/>
            </w:pPr>
          </w:p>
          <w:p w14:paraId="3C2873FF" w14:textId="77777777" w:rsidR="0046798B" w:rsidRDefault="0046798B">
            <w:pPr>
              <w:pStyle w:val="TableParagraph"/>
              <w:spacing w:before="4"/>
              <w:rPr>
                <w:sz w:val="21"/>
              </w:rPr>
            </w:pPr>
          </w:p>
          <w:p w14:paraId="76F6E3B0" w14:textId="77777777" w:rsidR="0046798B" w:rsidRDefault="00903B5C">
            <w:pPr>
              <w:pStyle w:val="TableParagraph"/>
              <w:ind w:left="115"/>
              <w:rPr>
                <w:b/>
                <w:sz w:val="20"/>
              </w:rPr>
            </w:pPr>
            <w:r>
              <w:rPr>
                <w:b/>
                <w:sz w:val="20"/>
              </w:rPr>
              <w:t>limited_liability_ company_1995</w:t>
            </w:r>
          </w:p>
        </w:tc>
        <w:tc>
          <w:tcPr>
            <w:tcW w:w="1596" w:type="dxa"/>
          </w:tcPr>
          <w:p w14:paraId="7889BFE9" w14:textId="77777777" w:rsidR="0046798B" w:rsidRDefault="00903B5C">
            <w:pPr>
              <w:pStyle w:val="TableParagraph"/>
              <w:spacing w:before="154"/>
              <w:ind w:left="114" w:right="135"/>
              <w:rPr>
                <w:sz w:val="20"/>
              </w:rPr>
            </w:pPr>
            <w:r>
              <w:rPr>
                <w:sz w:val="20"/>
              </w:rPr>
              <w:t>Permits the formation of limited liability companies (1995) (1996)</w:t>
            </w:r>
          </w:p>
        </w:tc>
        <w:tc>
          <w:tcPr>
            <w:tcW w:w="1285" w:type="dxa"/>
          </w:tcPr>
          <w:p w14:paraId="579439EA" w14:textId="77777777" w:rsidR="0046798B" w:rsidRDefault="0046798B">
            <w:pPr>
              <w:pStyle w:val="TableParagraph"/>
            </w:pPr>
          </w:p>
          <w:p w14:paraId="6C7EB1FA" w14:textId="77777777" w:rsidR="0046798B" w:rsidRDefault="0046798B">
            <w:pPr>
              <w:pStyle w:val="TableParagraph"/>
              <w:spacing w:before="4"/>
              <w:rPr>
                <w:sz w:val="31"/>
              </w:rPr>
            </w:pPr>
          </w:p>
          <w:p w14:paraId="537EBA35" w14:textId="77777777" w:rsidR="0046798B" w:rsidRDefault="00903B5C">
            <w:pPr>
              <w:pStyle w:val="TableParagraph"/>
              <w:ind w:left="114"/>
              <w:rPr>
                <w:sz w:val="20"/>
              </w:rPr>
            </w:pPr>
            <w:r>
              <w:rPr>
                <w:sz w:val="20"/>
              </w:rPr>
              <w:t>1997–1999</w:t>
            </w:r>
          </w:p>
        </w:tc>
        <w:tc>
          <w:tcPr>
            <w:tcW w:w="3421" w:type="dxa"/>
          </w:tcPr>
          <w:p w14:paraId="3FBA5CCB" w14:textId="77777777" w:rsidR="0046798B" w:rsidRDefault="0046798B">
            <w:pPr>
              <w:pStyle w:val="TableParagraph"/>
            </w:pPr>
          </w:p>
          <w:p w14:paraId="6B86B3E8" w14:textId="77777777" w:rsidR="0046798B" w:rsidRDefault="0046798B">
            <w:pPr>
              <w:pStyle w:val="TableParagraph"/>
              <w:spacing w:before="4"/>
              <w:rPr>
                <w:sz w:val="21"/>
              </w:rPr>
            </w:pPr>
          </w:p>
          <w:p w14:paraId="29B0B528" w14:textId="77777777" w:rsidR="0046798B" w:rsidRDefault="00903B5C">
            <w:pPr>
              <w:pStyle w:val="TableParagraph"/>
              <w:ind w:left="114" w:right="1475"/>
              <w:rPr>
                <w:sz w:val="20"/>
              </w:rPr>
            </w:pPr>
            <w:r>
              <w:rPr>
                <w:sz w:val="20"/>
              </w:rPr>
              <w:t>0 = policy not adopted 1 = policy adopted</w:t>
            </w:r>
          </w:p>
        </w:tc>
        <w:tc>
          <w:tcPr>
            <w:tcW w:w="6482" w:type="dxa"/>
          </w:tcPr>
          <w:p w14:paraId="7B228C54" w14:textId="77777777" w:rsidR="0046798B" w:rsidRDefault="00903B5C">
            <w:pPr>
              <w:pStyle w:val="TableParagraph"/>
              <w:spacing w:before="38"/>
              <w:ind w:left="114"/>
              <w:rPr>
                <w:sz w:val="20"/>
              </w:rPr>
            </w:pPr>
            <w:r>
              <w:rPr>
                <w:sz w:val="20"/>
              </w:rPr>
              <w:t xml:space="preserve">Uniform Law Commission website: </w:t>
            </w:r>
            <w:hyperlink r:id="rId949">
              <w:r>
                <w:rPr>
                  <w:color w:val="0462C1"/>
                  <w:sz w:val="20"/>
                  <w:u w:val="single" w:color="0462C1"/>
                </w:rPr>
                <w:t>http://www.uniformlaws.org/</w:t>
              </w:r>
            </w:hyperlink>
          </w:p>
          <w:p w14:paraId="776E79AF" w14:textId="77777777" w:rsidR="0046798B" w:rsidRDefault="0046798B">
            <w:pPr>
              <w:pStyle w:val="TableParagraph"/>
              <w:rPr>
                <w:sz w:val="20"/>
              </w:rPr>
            </w:pPr>
          </w:p>
          <w:p w14:paraId="643F227D"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5D4E9641" w14:textId="77777777">
        <w:trPr>
          <w:trHeight w:val="1465"/>
        </w:trPr>
        <w:tc>
          <w:tcPr>
            <w:tcW w:w="1711" w:type="dxa"/>
          </w:tcPr>
          <w:p w14:paraId="55593BEC" w14:textId="77777777" w:rsidR="0046798B" w:rsidRDefault="0046798B">
            <w:pPr>
              <w:pStyle w:val="TableParagraph"/>
            </w:pPr>
          </w:p>
          <w:p w14:paraId="5B5CA61F" w14:textId="77777777" w:rsidR="0046798B" w:rsidRDefault="0046798B">
            <w:pPr>
              <w:pStyle w:val="TableParagraph"/>
              <w:spacing w:before="4"/>
              <w:rPr>
                <w:sz w:val="21"/>
              </w:rPr>
            </w:pPr>
          </w:p>
          <w:p w14:paraId="0C5DE7DB" w14:textId="77777777" w:rsidR="0046798B" w:rsidRDefault="00903B5C">
            <w:pPr>
              <w:pStyle w:val="TableParagraph"/>
              <w:ind w:left="115"/>
              <w:rPr>
                <w:b/>
                <w:sz w:val="20"/>
              </w:rPr>
            </w:pPr>
            <w:r>
              <w:rPr>
                <w:b/>
                <w:sz w:val="20"/>
              </w:rPr>
              <w:t>limited_liability_ company_2006</w:t>
            </w:r>
          </w:p>
        </w:tc>
        <w:tc>
          <w:tcPr>
            <w:tcW w:w="1596" w:type="dxa"/>
          </w:tcPr>
          <w:p w14:paraId="099461F4" w14:textId="77777777" w:rsidR="0046798B" w:rsidRDefault="00903B5C">
            <w:pPr>
              <w:pStyle w:val="TableParagraph"/>
              <w:spacing w:before="39"/>
              <w:ind w:left="114" w:right="135"/>
              <w:rPr>
                <w:sz w:val="20"/>
              </w:rPr>
            </w:pPr>
            <w:r>
              <w:rPr>
                <w:sz w:val="20"/>
              </w:rPr>
              <w:t>Permits the formation of limited liability companies (2006) (last</w:t>
            </w:r>
          </w:p>
          <w:p w14:paraId="1C7E7342" w14:textId="77777777" w:rsidR="0046798B" w:rsidRDefault="00903B5C">
            <w:pPr>
              <w:pStyle w:val="TableParagraph"/>
              <w:ind w:left="114"/>
              <w:rPr>
                <w:sz w:val="20"/>
              </w:rPr>
            </w:pPr>
            <w:r>
              <w:rPr>
                <w:sz w:val="20"/>
              </w:rPr>
              <w:t>amended 2013)</w:t>
            </w:r>
          </w:p>
        </w:tc>
        <w:tc>
          <w:tcPr>
            <w:tcW w:w="1285" w:type="dxa"/>
          </w:tcPr>
          <w:p w14:paraId="3A18657F" w14:textId="77777777" w:rsidR="0046798B" w:rsidRDefault="0046798B">
            <w:pPr>
              <w:pStyle w:val="TableParagraph"/>
            </w:pPr>
          </w:p>
          <w:p w14:paraId="54FA8DA8" w14:textId="77777777" w:rsidR="0046798B" w:rsidRDefault="0046798B">
            <w:pPr>
              <w:pStyle w:val="TableParagraph"/>
              <w:spacing w:before="4"/>
              <w:rPr>
                <w:sz w:val="31"/>
              </w:rPr>
            </w:pPr>
          </w:p>
          <w:p w14:paraId="2B193BAD" w14:textId="77777777" w:rsidR="0046798B" w:rsidRDefault="00903B5C">
            <w:pPr>
              <w:pStyle w:val="TableParagraph"/>
              <w:ind w:left="114"/>
              <w:rPr>
                <w:sz w:val="20"/>
              </w:rPr>
            </w:pPr>
            <w:r>
              <w:rPr>
                <w:sz w:val="20"/>
              </w:rPr>
              <w:t>2008–2017</w:t>
            </w:r>
          </w:p>
        </w:tc>
        <w:tc>
          <w:tcPr>
            <w:tcW w:w="3421" w:type="dxa"/>
          </w:tcPr>
          <w:p w14:paraId="021326EE" w14:textId="77777777" w:rsidR="0046798B" w:rsidRDefault="0046798B">
            <w:pPr>
              <w:pStyle w:val="TableParagraph"/>
            </w:pPr>
          </w:p>
          <w:p w14:paraId="33C92C16" w14:textId="77777777" w:rsidR="0046798B" w:rsidRDefault="0046798B">
            <w:pPr>
              <w:pStyle w:val="TableParagraph"/>
              <w:spacing w:before="4"/>
              <w:rPr>
                <w:sz w:val="21"/>
              </w:rPr>
            </w:pPr>
          </w:p>
          <w:p w14:paraId="47AD279A" w14:textId="77777777" w:rsidR="0046798B" w:rsidRDefault="00903B5C">
            <w:pPr>
              <w:pStyle w:val="TableParagraph"/>
              <w:ind w:left="114" w:right="1475"/>
              <w:rPr>
                <w:sz w:val="20"/>
              </w:rPr>
            </w:pPr>
            <w:r>
              <w:rPr>
                <w:sz w:val="20"/>
              </w:rPr>
              <w:t>0 = policy not adopted 1 = policy adopted</w:t>
            </w:r>
          </w:p>
        </w:tc>
        <w:tc>
          <w:tcPr>
            <w:tcW w:w="6482" w:type="dxa"/>
          </w:tcPr>
          <w:p w14:paraId="58D52718" w14:textId="77777777" w:rsidR="0046798B" w:rsidRDefault="00903B5C">
            <w:pPr>
              <w:pStyle w:val="TableParagraph"/>
              <w:spacing w:before="39"/>
              <w:ind w:left="114"/>
              <w:rPr>
                <w:sz w:val="20"/>
              </w:rPr>
            </w:pPr>
            <w:r>
              <w:rPr>
                <w:sz w:val="20"/>
              </w:rPr>
              <w:t xml:space="preserve">Uniform Law Commission website: </w:t>
            </w:r>
            <w:hyperlink r:id="rId950">
              <w:r>
                <w:rPr>
                  <w:color w:val="0462C1"/>
                  <w:sz w:val="20"/>
                  <w:u w:val="single" w:color="0462C1"/>
                </w:rPr>
                <w:t>http://www.uniformlaws.org/</w:t>
              </w:r>
            </w:hyperlink>
          </w:p>
          <w:p w14:paraId="0449AFFE" w14:textId="77777777" w:rsidR="0046798B" w:rsidRDefault="0046798B">
            <w:pPr>
              <w:pStyle w:val="TableParagraph"/>
              <w:spacing w:before="11"/>
              <w:rPr>
                <w:sz w:val="19"/>
              </w:rPr>
            </w:pPr>
          </w:p>
          <w:p w14:paraId="19F168CF"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0116BC9C" w14:textId="77777777">
        <w:trPr>
          <w:trHeight w:val="1235"/>
        </w:trPr>
        <w:tc>
          <w:tcPr>
            <w:tcW w:w="1711" w:type="dxa"/>
          </w:tcPr>
          <w:p w14:paraId="2AE71946" w14:textId="77777777" w:rsidR="0046798B" w:rsidRDefault="0046798B">
            <w:pPr>
              <w:pStyle w:val="TableParagraph"/>
            </w:pPr>
          </w:p>
          <w:p w14:paraId="7EC16E37" w14:textId="77777777" w:rsidR="0046798B" w:rsidRDefault="00903B5C">
            <w:pPr>
              <w:pStyle w:val="TableParagraph"/>
              <w:spacing w:before="135"/>
              <w:ind w:left="115" w:right="132"/>
              <w:rPr>
                <w:b/>
                <w:sz w:val="20"/>
              </w:rPr>
            </w:pPr>
            <w:r>
              <w:rPr>
                <w:b/>
                <w:sz w:val="20"/>
              </w:rPr>
              <w:t>limited_partners hip_1976</w:t>
            </w:r>
          </w:p>
        </w:tc>
        <w:tc>
          <w:tcPr>
            <w:tcW w:w="1596" w:type="dxa"/>
          </w:tcPr>
          <w:p w14:paraId="5DAE2160" w14:textId="77777777" w:rsidR="0046798B" w:rsidRDefault="00903B5C">
            <w:pPr>
              <w:pStyle w:val="TableParagraph"/>
              <w:spacing w:before="43"/>
              <w:ind w:left="114" w:right="135"/>
              <w:rPr>
                <w:sz w:val="20"/>
              </w:rPr>
            </w:pPr>
            <w:r>
              <w:rPr>
                <w:sz w:val="20"/>
              </w:rPr>
              <w:t>Permits the formation of limited liability companies (1976)</w:t>
            </w:r>
          </w:p>
        </w:tc>
        <w:tc>
          <w:tcPr>
            <w:tcW w:w="1285" w:type="dxa"/>
          </w:tcPr>
          <w:p w14:paraId="7C434134" w14:textId="77777777" w:rsidR="0046798B" w:rsidRDefault="0046798B">
            <w:pPr>
              <w:pStyle w:val="TableParagraph"/>
            </w:pPr>
          </w:p>
          <w:p w14:paraId="3B296638" w14:textId="77777777" w:rsidR="0046798B" w:rsidRDefault="0046798B">
            <w:pPr>
              <w:pStyle w:val="TableParagraph"/>
              <w:spacing w:before="8"/>
              <w:rPr>
                <w:sz w:val="21"/>
              </w:rPr>
            </w:pPr>
          </w:p>
          <w:p w14:paraId="3E4355C6" w14:textId="77777777" w:rsidR="0046798B" w:rsidRDefault="00903B5C">
            <w:pPr>
              <w:pStyle w:val="TableParagraph"/>
              <w:spacing w:before="1"/>
              <w:ind w:left="114"/>
              <w:rPr>
                <w:sz w:val="20"/>
              </w:rPr>
            </w:pPr>
            <w:r>
              <w:rPr>
                <w:sz w:val="20"/>
              </w:rPr>
              <w:t>1979–1998</w:t>
            </w:r>
          </w:p>
        </w:tc>
        <w:tc>
          <w:tcPr>
            <w:tcW w:w="3421" w:type="dxa"/>
          </w:tcPr>
          <w:p w14:paraId="383E6831" w14:textId="77777777" w:rsidR="0046798B" w:rsidRDefault="0046798B">
            <w:pPr>
              <w:pStyle w:val="TableParagraph"/>
            </w:pPr>
          </w:p>
          <w:p w14:paraId="4D3002C8" w14:textId="77777777" w:rsidR="0046798B" w:rsidRDefault="00903B5C">
            <w:pPr>
              <w:pStyle w:val="TableParagraph"/>
              <w:spacing w:before="135"/>
              <w:ind w:left="114" w:right="1475"/>
              <w:rPr>
                <w:sz w:val="20"/>
              </w:rPr>
            </w:pPr>
            <w:r>
              <w:rPr>
                <w:sz w:val="20"/>
              </w:rPr>
              <w:t>0 = policy not adopted 1 = policy adopted</w:t>
            </w:r>
          </w:p>
        </w:tc>
        <w:tc>
          <w:tcPr>
            <w:tcW w:w="6482" w:type="dxa"/>
          </w:tcPr>
          <w:p w14:paraId="45E78A79" w14:textId="77777777" w:rsidR="0046798B" w:rsidRDefault="00903B5C">
            <w:pPr>
              <w:pStyle w:val="TableParagraph"/>
              <w:spacing w:before="158"/>
              <w:ind w:left="114"/>
              <w:rPr>
                <w:sz w:val="20"/>
              </w:rPr>
            </w:pPr>
            <w:r>
              <w:rPr>
                <w:sz w:val="20"/>
              </w:rPr>
              <w:t xml:space="preserve">Uniform Law Commission website: </w:t>
            </w:r>
            <w:hyperlink r:id="rId951">
              <w:r>
                <w:rPr>
                  <w:color w:val="0462C1"/>
                  <w:sz w:val="20"/>
                  <w:u w:val="single" w:color="0462C1"/>
                </w:rPr>
                <w:t>http://www.uniformlaws.org/</w:t>
              </w:r>
            </w:hyperlink>
          </w:p>
          <w:p w14:paraId="5EB8194C" w14:textId="77777777" w:rsidR="0046798B" w:rsidRDefault="0046798B">
            <w:pPr>
              <w:pStyle w:val="TableParagraph"/>
              <w:rPr>
                <w:sz w:val="20"/>
              </w:rPr>
            </w:pPr>
          </w:p>
          <w:p w14:paraId="57AF748A"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w:t>
            </w:r>
          </w:p>
        </w:tc>
      </w:tr>
    </w:tbl>
    <w:p w14:paraId="604E646B" w14:textId="77777777" w:rsidR="0046798B" w:rsidRDefault="0046798B">
      <w:pPr>
        <w:rPr>
          <w:sz w:val="20"/>
        </w:rPr>
        <w:sectPr w:rsidR="0046798B">
          <w:pgSz w:w="15840" w:h="12240" w:orient="landscape"/>
          <w:pgMar w:top="1220" w:right="300" w:bottom="980" w:left="820" w:header="730" w:footer="787" w:gutter="0"/>
          <w:cols w:space="720"/>
        </w:sectPr>
      </w:pPr>
    </w:p>
    <w:p w14:paraId="3A6F3C1B"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4A547D4" w14:textId="77777777">
        <w:trPr>
          <w:trHeight w:val="542"/>
        </w:trPr>
        <w:tc>
          <w:tcPr>
            <w:tcW w:w="1711" w:type="dxa"/>
            <w:tcBorders>
              <w:bottom w:val="dotted" w:sz="6" w:space="0" w:color="BEBEBE"/>
            </w:tcBorders>
          </w:tcPr>
          <w:p w14:paraId="5861B7F1" w14:textId="77777777" w:rsidR="0046798B" w:rsidRDefault="0046798B">
            <w:pPr>
              <w:pStyle w:val="TableParagraph"/>
              <w:rPr>
                <w:sz w:val="20"/>
              </w:rPr>
            </w:pPr>
          </w:p>
        </w:tc>
        <w:tc>
          <w:tcPr>
            <w:tcW w:w="1596" w:type="dxa"/>
            <w:tcBorders>
              <w:bottom w:val="dotted" w:sz="6" w:space="0" w:color="BEBEBE"/>
            </w:tcBorders>
          </w:tcPr>
          <w:p w14:paraId="37DA741D" w14:textId="77777777" w:rsidR="0046798B" w:rsidRDefault="0046798B">
            <w:pPr>
              <w:pStyle w:val="TableParagraph"/>
              <w:rPr>
                <w:sz w:val="20"/>
              </w:rPr>
            </w:pPr>
          </w:p>
        </w:tc>
        <w:tc>
          <w:tcPr>
            <w:tcW w:w="1285" w:type="dxa"/>
            <w:tcBorders>
              <w:bottom w:val="dotted" w:sz="6" w:space="0" w:color="BEBEBE"/>
            </w:tcBorders>
          </w:tcPr>
          <w:p w14:paraId="52A55506" w14:textId="77777777" w:rsidR="0046798B" w:rsidRDefault="0046798B">
            <w:pPr>
              <w:pStyle w:val="TableParagraph"/>
              <w:rPr>
                <w:sz w:val="20"/>
              </w:rPr>
            </w:pPr>
          </w:p>
        </w:tc>
        <w:tc>
          <w:tcPr>
            <w:tcW w:w="3421" w:type="dxa"/>
            <w:tcBorders>
              <w:bottom w:val="dotted" w:sz="6" w:space="0" w:color="BEBEBE"/>
            </w:tcBorders>
          </w:tcPr>
          <w:p w14:paraId="2BBBB4E0" w14:textId="77777777" w:rsidR="0046798B" w:rsidRDefault="0046798B">
            <w:pPr>
              <w:pStyle w:val="TableParagraph"/>
              <w:rPr>
                <w:sz w:val="20"/>
              </w:rPr>
            </w:pPr>
          </w:p>
        </w:tc>
        <w:tc>
          <w:tcPr>
            <w:tcW w:w="6482" w:type="dxa"/>
            <w:tcBorders>
              <w:bottom w:val="dotted" w:sz="6" w:space="0" w:color="BEBEBE"/>
            </w:tcBorders>
          </w:tcPr>
          <w:p w14:paraId="5B16CC37" w14:textId="77777777" w:rsidR="0046798B" w:rsidRDefault="00903B5C">
            <w:pPr>
              <w:pStyle w:val="TableParagraph"/>
              <w:spacing w:before="43"/>
              <w:ind w:left="114" w:right="2377"/>
              <w:rPr>
                <w:sz w:val="20"/>
              </w:rPr>
            </w:pPr>
            <w:r>
              <w:rPr>
                <w:sz w:val="20"/>
              </w:rPr>
              <w:t>Innovation and Diffusion (SPID) Database v1.0”, https://doi.org/10.7910/DVN/CVYSR7</w:t>
            </w:r>
          </w:p>
        </w:tc>
      </w:tr>
      <w:tr w:rsidR="0046798B" w14:paraId="0CCE2112" w14:textId="77777777">
        <w:trPr>
          <w:trHeight w:val="275"/>
        </w:trPr>
        <w:tc>
          <w:tcPr>
            <w:tcW w:w="1711" w:type="dxa"/>
            <w:tcBorders>
              <w:top w:val="dotted" w:sz="6" w:space="0" w:color="BEBEBE"/>
              <w:bottom w:val="nil"/>
            </w:tcBorders>
          </w:tcPr>
          <w:p w14:paraId="23C14E6F" w14:textId="77777777" w:rsidR="0046798B" w:rsidRDefault="0046798B">
            <w:pPr>
              <w:pStyle w:val="TableParagraph"/>
              <w:rPr>
                <w:sz w:val="20"/>
              </w:rPr>
            </w:pPr>
          </w:p>
        </w:tc>
        <w:tc>
          <w:tcPr>
            <w:tcW w:w="1596" w:type="dxa"/>
            <w:tcBorders>
              <w:top w:val="dotted" w:sz="6" w:space="0" w:color="BEBEBE"/>
              <w:bottom w:val="nil"/>
            </w:tcBorders>
          </w:tcPr>
          <w:p w14:paraId="49EAB790" w14:textId="77777777" w:rsidR="0046798B" w:rsidRDefault="0046798B">
            <w:pPr>
              <w:pStyle w:val="TableParagraph"/>
              <w:rPr>
                <w:sz w:val="20"/>
              </w:rPr>
            </w:pPr>
          </w:p>
        </w:tc>
        <w:tc>
          <w:tcPr>
            <w:tcW w:w="1285" w:type="dxa"/>
            <w:tcBorders>
              <w:top w:val="dotted" w:sz="6" w:space="0" w:color="BEBEBE"/>
              <w:bottom w:val="nil"/>
            </w:tcBorders>
          </w:tcPr>
          <w:p w14:paraId="4C90F4D7" w14:textId="77777777" w:rsidR="0046798B" w:rsidRDefault="0046798B">
            <w:pPr>
              <w:pStyle w:val="TableParagraph"/>
              <w:rPr>
                <w:sz w:val="20"/>
              </w:rPr>
            </w:pPr>
          </w:p>
        </w:tc>
        <w:tc>
          <w:tcPr>
            <w:tcW w:w="3421" w:type="dxa"/>
            <w:tcBorders>
              <w:top w:val="dotted" w:sz="6" w:space="0" w:color="BEBEBE"/>
              <w:bottom w:val="nil"/>
            </w:tcBorders>
          </w:tcPr>
          <w:p w14:paraId="700DBAAA" w14:textId="77777777" w:rsidR="0046798B" w:rsidRDefault="0046798B">
            <w:pPr>
              <w:pStyle w:val="TableParagraph"/>
              <w:rPr>
                <w:sz w:val="20"/>
              </w:rPr>
            </w:pPr>
          </w:p>
        </w:tc>
        <w:tc>
          <w:tcPr>
            <w:tcW w:w="6482" w:type="dxa"/>
            <w:tcBorders>
              <w:top w:val="dotted" w:sz="6" w:space="0" w:color="BEBEBE"/>
              <w:bottom w:val="nil"/>
            </w:tcBorders>
          </w:tcPr>
          <w:p w14:paraId="59BEEE70" w14:textId="77777777" w:rsidR="0046798B" w:rsidRDefault="00903B5C">
            <w:pPr>
              <w:pStyle w:val="TableParagraph"/>
              <w:spacing w:before="40" w:line="214" w:lineRule="exact"/>
              <w:ind w:left="114"/>
              <w:rPr>
                <w:sz w:val="20"/>
              </w:rPr>
            </w:pPr>
            <w:r>
              <w:rPr>
                <w:sz w:val="20"/>
              </w:rPr>
              <w:t xml:space="preserve">Uniform Law Commission website: </w:t>
            </w:r>
            <w:hyperlink r:id="rId952">
              <w:r>
                <w:rPr>
                  <w:color w:val="0462C1"/>
                  <w:sz w:val="20"/>
                  <w:u w:val="single" w:color="0462C1"/>
                </w:rPr>
                <w:t>http://www.uniformlaws.org/</w:t>
              </w:r>
            </w:hyperlink>
          </w:p>
        </w:tc>
      </w:tr>
      <w:tr w:rsidR="0046798B" w14:paraId="4630EE1F" w14:textId="77777777">
        <w:trPr>
          <w:trHeight w:val="1188"/>
        </w:trPr>
        <w:tc>
          <w:tcPr>
            <w:tcW w:w="1711" w:type="dxa"/>
            <w:tcBorders>
              <w:top w:val="nil"/>
            </w:tcBorders>
          </w:tcPr>
          <w:p w14:paraId="5AD775F8" w14:textId="77777777" w:rsidR="0046798B" w:rsidRDefault="0046798B">
            <w:pPr>
              <w:pStyle w:val="TableParagraph"/>
              <w:spacing w:before="7"/>
              <w:rPr>
                <w:sz w:val="19"/>
              </w:rPr>
            </w:pPr>
          </w:p>
          <w:p w14:paraId="16D5A169" w14:textId="77777777" w:rsidR="0046798B" w:rsidRDefault="00903B5C">
            <w:pPr>
              <w:pStyle w:val="TableParagraph"/>
              <w:ind w:left="115" w:right="132"/>
              <w:rPr>
                <w:b/>
                <w:sz w:val="20"/>
              </w:rPr>
            </w:pPr>
            <w:r>
              <w:rPr>
                <w:b/>
                <w:sz w:val="20"/>
              </w:rPr>
              <w:t>limited_partners hip_act_1916</w:t>
            </w:r>
          </w:p>
        </w:tc>
        <w:tc>
          <w:tcPr>
            <w:tcW w:w="1596" w:type="dxa"/>
            <w:tcBorders>
              <w:top w:val="nil"/>
            </w:tcBorders>
          </w:tcPr>
          <w:p w14:paraId="1C9DE55B" w14:textId="77777777" w:rsidR="0046798B" w:rsidRDefault="00903B5C">
            <w:pPr>
              <w:pStyle w:val="TableParagraph"/>
              <w:ind w:left="114" w:right="218"/>
              <w:rPr>
                <w:sz w:val="20"/>
              </w:rPr>
            </w:pPr>
            <w:r>
              <w:rPr>
                <w:sz w:val="20"/>
              </w:rPr>
              <w:t>Regulates business partnerships in the U.S. (1916)</w:t>
            </w:r>
          </w:p>
        </w:tc>
        <w:tc>
          <w:tcPr>
            <w:tcW w:w="1285" w:type="dxa"/>
            <w:tcBorders>
              <w:top w:val="nil"/>
            </w:tcBorders>
          </w:tcPr>
          <w:p w14:paraId="70748DFA" w14:textId="77777777" w:rsidR="0046798B" w:rsidRDefault="0046798B">
            <w:pPr>
              <w:pStyle w:val="TableParagraph"/>
              <w:spacing w:before="7"/>
              <w:rPr>
                <w:sz w:val="29"/>
              </w:rPr>
            </w:pPr>
          </w:p>
          <w:p w14:paraId="42779952" w14:textId="77777777" w:rsidR="0046798B" w:rsidRDefault="00903B5C">
            <w:pPr>
              <w:pStyle w:val="TableParagraph"/>
              <w:ind w:left="114"/>
              <w:rPr>
                <w:sz w:val="20"/>
              </w:rPr>
            </w:pPr>
            <w:r>
              <w:rPr>
                <w:sz w:val="20"/>
              </w:rPr>
              <w:t>1968–1973</w:t>
            </w:r>
          </w:p>
        </w:tc>
        <w:tc>
          <w:tcPr>
            <w:tcW w:w="3421" w:type="dxa"/>
            <w:tcBorders>
              <w:top w:val="nil"/>
            </w:tcBorders>
          </w:tcPr>
          <w:p w14:paraId="0141AF0B" w14:textId="77777777" w:rsidR="0046798B" w:rsidRDefault="0046798B">
            <w:pPr>
              <w:pStyle w:val="TableParagraph"/>
              <w:spacing w:before="7"/>
              <w:rPr>
                <w:sz w:val="19"/>
              </w:rPr>
            </w:pPr>
          </w:p>
          <w:p w14:paraId="4FE4DAB7" w14:textId="77777777" w:rsidR="0046798B" w:rsidRDefault="00903B5C">
            <w:pPr>
              <w:pStyle w:val="TableParagraph"/>
              <w:ind w:left="114" w:right="1475"/>
              <w:rPr>
                <w:sz w:val="20"/>
              </w:rPr>
            </w:pPr>
            <w:r>
              <w:rPr>
                <w:sz w:val="20"/>
              </w:rPr>
              <w:t>0 = policy not adopted 1 = policy adopted</w:t>
            </w:r>
          </w:p>
        </w:tc>
        <w:tc>
          <w:tcPr>
            <w:tcW w:w="6482" w:type="dxa"/>
            <w:tcBorders>
              <w:top w:val="nil"/>
            </w:tcBorders>
          </w:tcPr>
          <w:p w14:paraId="19A76E48" w14:textId="77777777" w:rsidR="0046798B" w:rsidRDefault="0046798B">
            <w:pPr>
              <w:pStyle w:val="TableParagraph"/>
              <w:spacing w:before="7"/>
              <w:rPr>
                <w:sz w:val="19"/>
              </w:rPr>
            </w:pPr>
          </w:p>
          <w:p w14:paraId="473E9041"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3AA28DD5" w14:textId="77777777">
        <w:trPr>
          <w:trHeight w:val="1470"/>
        </w:trPr>
        <w:tc>
          <w:tcPr>
            <w:tcW w:w="1711" w:type="dxa"/>
          </w:tcPr>
          <w:p w14:paraId="5E2BF34D" w14:textId="77777777" w:rsidR="0046798B" w:rsidRDefault="0046798B">
            <w:pPr>
              <w:pStyle w:val="TableParagraph"/>
            </w:pPr>
          </w:p>
          <w:p w14:paraId="5721BB38" w14:textId="77777777" w:rsidR="0046798B" w:rsidRDefault="0046798B">
            <w:pPr>
              <w:pStyle w:val="TableParagraph"/>
              <w:spacing w:before="8"/>
              <w:rPr>
                <w:sz w:val="21"/>
              </w:rPr>
            </w:pPr>
          </w:p>
          <w:p w14:paraId="441842E9" w14:textId="77777777" w:rsidR="0046798B" w:rsidRDefault="00903B5C">
            <w:pPr>
              <w:pStyle w:val="TableParagraph"/>
              <w:spacing w:before="1"/>
              <w:ind w:left="115" w:right="132"/>
              <w:rPr>
                <w:b/>
                <w:sz w:val="20"/>
              </w:rPr>
            </w:pPr>
            <w:r>
              <w:rPr>
                <w:b/>
                <w:sz w:val="20"/>
              </w:rPr>
              <w:t>limited_partners hip_act_2001</w:t>
            </w:r>
          </w:p>
        </w:tc>
        <w:tc>
          <w:tcPr>
            <w:tcW w:w="1596" w:type="dxa"/>
          </w:tcPr>
          <w:p w14:paraId="71CBD03D" w14:textId="77777777" w:rsidR="0046798B" w:rsidRDefault="00903B5C">
            <w:pPr>
              <w:pStyle w:val="TableParagraph"/>
              <w:spacing w:before="43"/>
              <w:ind w:left="114" w:right="218"/>
              <w:rPr>
                <w:sz w:val="20"/>
              </w:rPr>
            </w:pPr>
            <w:r>
              <w:rPr>
                <w:sz w:val="20"/>
              </w:rPr>
              <w:t>Regulates business partnerships in the U.S. (2001)</w:t>
            </w:r>
          </w:p>
          <w:p w14:paraId="3300AE12" w14:textId="77777777" w:rsidR="0046798B" w:rsidRDefault="00903B5C">
            <w:pPr>
              <w:pStyle w:val="TableParagraph"/>
              <w:ind w:left="114" w:right="335"/>
              <w:rPr>
                <w:sz w:val="20"/>
              </w:rPr>
            </w:pPr>
            <w:r>
              <w:rPr>
                <w:sz w:val="20"/>
              </w:rPr>
              <w:t>(last amended 2013)</w:t>
            </w:r>
          </w:p>
        </w:tc>
        <w:tc>
          <w:tcPr>
            <w:tcW w:w="1285" w:type="dxa"/>
          </w:tcPr>
          <w:p w14:paraId="3C22B065" w14:textId="77777777" w:rsidR="0046798B" w:rsidRDefault="0046798B">
            <w:pPr>
              <w:pStyle w:val="TableParagraph"/>
            </w:pPr>
          </w:p>
          <w:p w14:paraId="19D5F3F3" w14:textId="77777777" w:rsidR="0046798B" w:rsidRDefault="0046798B">
            <w:pPr>
              <w:pStyle w:val="TableParagraph"/>
              <w:spacing w:before="9"/>
              <w:rPr>
                <w:sz w:val="31"/>
              </w:rPr>
            </w:pPr>
          </w:p>
          <w:p w14:paraId="3FFC8246" w14:textId="77777777" w:rsidR="0046798B" w:rsidRDefault="00903B5C">
            <w:pPr>
              <w:pStyle w:val="TableParagraph"/>
              <w:ind w:left="114"/>
              <w:rPr>
                <w:sz w:val="20"/>
              </w:rPr>
            </w:pPr>
            <w:r>
              <w:rPr>
                <w:sz w:val="20"/>
              </w:rPr>
              <w:t>2003–2017</w:t>
            </w:r>
          </w:p>
        </w:tc>
        <w:tc>
          <w:tcPr>
            <w:tcW w:w="3421" w:type="dxa"/>
          </w:tcPr>
          <w:p w14:paraId="551E9ED4" w14:textId="77777777" w:rsidR="0046798B" w:rsidRDefault="0046798B">
            <w:pPr>
              <w:pStyle w:val="TableParagraph"/>
            </w:pPr>
          </w:p>
          <w:p w14:paraId="12C01E55" w14:textId="77777777" w:rsidR="0046798B" w:rsidRDefault="0046798B">
            <w:pPr>
              <w:pStyle w:val="TableParagraph"/>
              <w:spacing w:before="8"/>
              <w:rPr>
                <w:sz w:val="21"/>
              </w:rPr>
            </w:pPr>
          </w:p>
          <w:p w14:paraId="6F586B42"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2E17AEA6" w14:textId="77777777" w:rsidR="0046798B" w:rsidRDefault="00903B5C">
            <w:pPr>
              <w:pStyle w:val="TableParagraph"/>
              <w:spacing w:before="43"/>
              <w:ind w:left="114"/>
              <w:rPr>
                <w:sz w:val="20"/>
              </w:rPr>
            </w:pPr>
            <w:r>
              <w:rPr>
                <w:sz w:val="20"/>
              </w:rPr>
              <w:t xml:space="preserve">Uniform Law Commission website: </w:t>
            </w:r>
            <w:hyperlink r:id="rId953">
              <w:r>
                <w:rPr>
                  <w:color w:val="0462C1"/>
                  <w:sz w:val="20"/>
                  <w:u w:val="single" w:color="0462C1"/>
                </w:rPr>
                <w:t>http://www.uniformlaws.org/</w:t>
              </w:r>
            </w:hyperlink>
          </w:p>
          <w:p w14:paraId="5D93F0E4" w14:textId="77777777" w:rsidR="0046798B" w:rsidRDefault="0046798B">
            <w:pPr>
              <w:pStyle w:val="TableParagraph"/>
              <w:rPr>
                <w:sz w:val="20"/>
              </w:rPr>
            </w:pPr>
          </w:p>
          <w:p w14:paraId="0F8D4BD3"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0481A5E9" w14:textId="77777777">
        <w:trPr>
          <w:trHeight w:val="1465"/>
        </w:trPr>
        <w:tc>
          <w:tcPr>
            <w:tcW w:w="1711" w:type="dxa"/>
          </w:tcPr>
          <w:p w14:paraId="0927F65B" w14:textId="77777777" w:rsidR="0046798B" w:rsidRDefault="0046798B">
            <w:pPr>
              <w:pStyle w:val="TableParagraph"/>
            </w:pPr>
          </w:p>
          <w:p w14:paraId="5D22A998" w14:textId="77777777" w:rsidR="0046798B" w:rsidRDefault="00903B5C">
            <w:pPr>
              <w:pStyle w:val="TableParagraph"/>
              <w:spacing w:before="130"/>
              <w:ind w:left="115" w:right="114"/>
              <w:jc w:val="both"/>
              <w:rPr>
                <w:b/>
                <w:sz w:val="20"/>
              </w:rPr>
            </w:pPr>
            <w:r>
              <w:rPr>
                <w:b/>
                <w:sz w:val="20"/>
              </w:rPr>
              <w:t>management_of_ institutional_fun d</w:t>
            </w:r>
          </w:p>
        </w:tc>
        <w:tc>
          <w:tcPr>
            <w:tcW w:w="1596" w:type="dxa"/>
          </w:tcPr>
          <w:p w14:paraId="15D11053" w14:textId="77777777" w:rsidR="0046798B" w:rsidRDefault="00903B5C">
            <w:pPr>
              <w:pStyle w:val="TableParagraph"/>
              <w:spacing w:before="38"/>
              <w:ind w:left="114" w:right="368"/>
              <w:rPr>
                <w:sz w:val="20"/>
              </w:rPr>
            </w:pPr>
            <w:r>
              <w:rPr>
                <w:sz w:val="20"/>
              </w:rPr>
              <w:t>Provides guidance on investment decisions and endowment expenditures</w:t>
            </w:r>
          </w:p>
        </w:tc>
        <w:tc>
          <w:tcPr>
            <w:tcW w:w="1285" w:type="dxa"/>
          </w:tcPr>
          <w:p w14:paraId="106C0D68" w14:textId="77777777" w:rsidR="0046798B" w:rsidRDefault="0046798B">
            <w:pPr>
              <w:pStyle w:val="TableParagraph"/>
            </w:pPr>
          </w:p>
          <w:p w14:paraId="1C4B0CAD" w14:textId="77777777" w:rsidR="0046798B" w:rsidRDefault="0046798B">
            <w:pPr>
              <w:pStyle w:val="TableParagraph"/>
              <w:spacing w:before="4"/>
              <w:rPr>
                <w:sz w:val="31"/>
              </w:rPr>
            </w:pPr>
          </w:p>
          <w:p w14:paraId="0631FDAD" w14:textId="77777777" w:rsidR="0046798B" w:rsidRDefault="00903B5C">
            <w:pPr>
              <w:pStyle w:val="TableParagraph"/>
              <w:ind w:left="114"/>
              <w:rPr>
                <w:sz w:val="20"/>
              </w:rPr>
            </w:pPr>
            <w:r>
              <w:rPr>
                <w:sz w:val="20"/>
              </w:rPr>
              <w:t>1973–1998</w:t>
            </w:r>
          </w:p>
        </w:tc>
        <w:tc>
          <w:tcPr>
            <w:tcW w:w="3421" w:type="dxa"/>
          </w:tcPr>
          <w:p w14:paraId="46DD8B7F" w14:textId="77777777" w:rsidR="0046798B" w:rsidRDefault="0046798B">
            <w:pPr>
              <w:pStyle w:val="TableParagraph"/>
            </w:pPr>
          </w:p>
          <w:p w14:paraId="3C3D6313" w14:textId="77777777" w:rsidR="0046798B" w:rsidRDefault="0046798B">
            <w:pPr>
              <w:pStyle w:val="TableParagraph"/>
              <w:spacing w:before="4"/>
              <w:rPr>
                <w:sz w:val="21"/>
              </w:rPr>
            </w:pPr>
          </w:p>
          <w:p w14:paraId="1A0EA4E0" w14:textId="77777777" w:rsidR="0046798B" w:rsidRDefault="00903B5C">
            <w:pPr>
              <w:pStyle w:val="TableParagraph"/>
              <w:ind w:left="114" w:right="1475"/>
              <w:rPr>
                <w:sz w:val="20"/>
              </w:rPr>
            </w:pPr>
            <w:r>
              <w:rPr>
                <w:sz w:val="20"/>
              </w:rPr>
              <w:t>0 = policy not adopted 1 = policy adopted</w:t>
            </w:r>
          </w:p>
        </w:tc>
        <w:tc>
          <w:tcPr>
            <w:tcW w:w="6482" w:type="dxa"/>
          </w:tcPr>
          <w:p w14:paraId="3ED7D81A" w14:textId="77777777" w:rsidR="0046798B" w:rsidRDefault="00903B5C">
            <w:pPr>
              <w:pStyle w:val="TableParagraph"/>
              <w:spacing w:before="38"/>
              <w:ind w:left="114"/>
              <w:rPr>
                <w:sz w:val="20"/>
              </w:rPr>
            </w:pPr>
            <w:r>
              <w:rPr>
                <w:sz w:val="20"/>
              </w:rPr>
              <w:t xml:space="preserve">Uniform Law Commission website: </w:t>
            </w:r>
            <w:hyperlink r:id="rId954">
              <w:r>
                <w:rPr>
                  <w:color w:val="0462C1"/>
                  <w:sz w:val="20"/>
                  <w:u w:val="single" w:color="0462C1"/>
                </w:rPr>
                <w:t>http://www.uniformlaws.org/</w:t>
              </w:r>
            </w:hyperlink>
          </w:p>
          <w:p w14:paraId="798A3628" w14:textId="77777777" w:rsidR="0046798B" w:rsidRDefault="0046798B">
            <w:pPr>
              <w:pStyle w:val="TableParagraph"/>
              <w:rPr>
                <w:sz w:val="20"/>
              </w:rPr>
            </w:pPr>
          </w:p>
          <w:p w14:paraId="464C9F22"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CEDBABA" w14:textId="77777777">
        <w:trPr>
          <w:trHeight w:val="272"/>
        </w:trPr>
        <w:tc>
          <w:tcPr>
            <w:tcW w:w="1711" w:type="dxa"/>
            <w:tcBorders>
              <w:bottom w:val="nil"/>
            </w:tcBorders>
          </w:tcPr>
          <w:p w14:paraId="7CC684DA" w14:textId="77777777" w:rsidR="0046798B" w:rsidRDefault="0046798B">
            <w:pPr>
              <w:pStyle w:val="TableParagraph"/>
              <w:rPr>
                <w:sz w:val="20"/>
              </w:rPr>
            </w:pPr>
          </w:p>
        </w:tc>
        <w:tc>
          <w:tcPr>
            <w:tcW w:w="1596" w:type="dxa"/>
            <w:tcBorders>
              <w:bottom w:val="nil"/>
            </w:tcBorders>
          </w:tcPr>
          <w:p w14:paraId="66E39BA6" w14:textId="77777777" w:rsidR="0046798B" w:rsidRDefault="0046798B">
            <w:pPr>
              <w:pStyle w:val="TableParagraph"/>
              <w:rPr>
                <w:sz w:val="20"/>
              </w:rPr>
            </w:pPr>
          </w:p>
        </w:tc>
        <w:tc>
          <w:tcPr>
            <w:tcW w:w="1285" w:type="dxa"/>
            <w:tcBorders>
              <w:bottom w:val="nil"/>
            </w:tcBorders>
          </w:tcPr>
          <w:p w14:paraId="44D72445" w14:textId="77777777" w:rsidR="0046798B" w:rsidRDefault="0046798B">
            <w:pPr>
              <w:pStyle w:val="TableParagraph"/>
              <w:rPr>
                <w:sz w:val="20"/>
              </w:rPr>
            </w:pPr>
          </w:p>
        </w:tc>
        <w:tc>
          <w:tcPr>
            <w:tcW w:w="3421" w:type="dxa"/>
            <w:tcBorders>
              <w:bottom w:val="nil"/>
            </w:tcBorders>
          </w:tcPr>
          <w:p w14:paraId="0C97334D" w14:textId="77777777" w:rsidR="0046798B" w:rsidRDefault="0046798B">
            <w:pPr>
              <w:pStyle w:val="TableParagraph"/>
              <w:rPr>
                <w:sz w:val="20"/>
              </w:rPr>
            </w:pPr>
          </w:p>
        </w:tc>
        <w:tc>
          <w:tcPr>
            <w:tcW w:w="6482" w:type="dxa"/>
            <w:tcBorders>
              <w:bottom w:val="nil"/>
            </w:tcBorders>
          </w:tcPr>
          <w:p w14:paraId="1F97C859" w14:textId="77777777" w:rsidR="0046798B" w:rsidRDefault="00903B5C">
            <w:pPr>
              <w:pStyle w:val="TableParagraph"/>
              <w:spacing w:before="38" w:line="215" w:lineRule="exact"/>
              <w:ind w:left="114"/>
              <w:rPr>
                <w:sz w:val="20"/>
              </w:rPr>
            </w:pPr>
            <w:r>
              <w:rPr>
                <w:sz w:val="20"/>
              </w:rPr>
              <w:t xml:space="preserve">Uniform Law Commission website: </w:t>
            </w:r>
            <w:hyperlink r:id="rId955">
              <w:r>
                <w:rPr>
                  <w:color w:val="0462C1"/>
                  <w:sz w:val="20"/>
                  <w:u w:val="single" w:color="0462C1"/>
                </w:rPr>
                <w:t>http://www.uniformlaws.org/</w:t>
              </w:r>
            </w:hyperlink>
          </w:p>
        </w:tc>
      </w:tr>
      <w:tr w:rsidR="0046798B" w14:paraId="0010FEA4" w14:textId="77777777">
        <w:trPr>
          <w:trHeight w:val="1192"/>
        </w:trPr>
        <w:tc>
          <w:tcPr>
            <w:tcW w:w="1711" w:type="dxa"/>
            <w:tcBorders>
              <w:top w:val="nil"/>
            </w:tcBorders>
          </w:tcPr>
          <w:p w14:paraId="6721347B" w14:textId="77777777" w:rsidR="0046798B" w:rsidRDefault="00903B5C">
            <w:pPr>
              <w:pStyle w:val="TableParagraph"/>
              <w:spacing w:before="111"/>
              <w:ind w:left="115" w:right="128"/>
              <w:jc w:val="both"/>
              <w:rPr>
                <w:b/>
                <w:sz w:val="20"/>
              </w:rPr>
            </w:pPr>
            <w:r>
              <w:rPr>
                <w:b/>
                <w:sz w:val="20"/>
              </w:rPr>
              <w:t>model_real_estat e_time_share_ac t</w:t>
            </w:r>
          </w:p>
        </w:tc>
        <w:tc>
          <w:tcPr>
            <w:tcW w:w="1596" w:type="dxa"/>
            <w:tcBorders>
              <w:top w:val="nil"/>
            </w:tcBorders>
          </w:tcPr>
          <w:p w14:paraId="7FE73463" w14:textId="77777777" w:rsidR="0046798B" w:rsidRDefault="00903B5C">
            <w:pPr>
              <w:pStyle w:val="TableParagraph"/>
              <w:ind w:left="114" w:right="141"/>
              <w:rPr>
                <w:sz w:val="20"/>
              </w:rPr>
            </w:pPr>
            <w:r>
              <w:rPr>
                <w:sz w:val="20"/>
              </w:rPr>
              <w:t>Covers creation, management, and termination of time shares</w:t>
            </w:r>
          </w:p>
        </w:tc>
        <w:tc>
          <w:tcPr>
            <w:tcW w:w="1285" w:type="dxa"/>
            <w:tcBorders>
              <w:top w:val="nil"/>
            </w:tcBorders>
          </w:tcPr>
          <w:p w14:paraId="63D1B4C5" w14:textId="77777777" w:rsidR="0046798B" w:rsidRDefault="0046798B">
            <w:pPr>
              <w:pStyle w:val="TableParagraph"/>
              <w:spacing w:before="7"/>
              <w:rPr>
                <w:sz w:val="29"/>
              </w:rPr>
            </w:pPr>
          </w:p>
          <w:p w14:paraId="7F10DEAD" w14:textId="77777777" w:rsidR="0046798B" w:rsidRDefault="00903B5C">
            <w:pPr>
              <w:pStyle w:val="TableParagraph"/>
              <w:ind w:left="114"/>
              <w:rPr>
                <w:sz w:val="20"/>
              </w:rPr>
            </w:pPr>
            <w:r>
              <w:rPr>
                <w:sz w:val="20"/>
              </w:rPr>
              <w:t>1983–1988</w:t>
            </w:r>
          </w:p>
        </w:tc>
        <w:tc>
          <w:tcPr>
            <w:tcW w:w="3421" w:type="dxa"/>
            <w:tcBorders>
              <w:top w:val="nil"/>
            </w:tcBorders>
          </w:tcPr>
          <w:p w14:paraId="453B8F61" w14:textId="77777777" w:rsidR="0046798B" w:rsidRDefault="0046798B">
            <w:pPr>
              <w:pStyle w:val="TableParagraph"/>
              <w:spacing w:before="7"/>
              <w:rPr>
                <w:sz w:val="19"/>
              </w:rPr>
            </w:pPr>
          </w:p>
          <w:p w14:paraId="18F851E2" w14:textId="77777777" w:rsidR="0046798B" w:rsidRDefault="00903B5C">
            <w:pPr>
              <w:pStyle w:val="TableParagraph"/>
              <w:ind w:left="114" w:right="1475"/>
              <w:rPr>
                <w:sz w:val="20"/>
              </w:rPr>
            </w:pPr>
            <w:r>
              <w:rPr>
                <w:sz w:val="20"/>
              </w:rPr>
              <w:t>0 = policy not adopted 1 = policy adopted</w:t>
            </w:r>
          </w:p>
        </w:tc>
        <w:tc>
          <w:tcPr>
            <w:tcW w:w="6482" w:type="dxa"/>
            <w:tcBorders>
              <w:top w:val="nil"/>
            </w:tcBorders>
          </w:tcPr>
          <w:p w14:paraId="096A162F" w14:textId="77777777" w:rsidR="0046798B" w:rsidRDefault="0046798B">
            <w:pPr>
              <w:pStyle w:val="TableParagraph"/>
              <w:spacing w:before="7"/>
              <w:rPr>
                <w:sz w:val="19"/>
              </w:rPr>
            </w:pPr>
          </w:p>
          <w:p w14:paraId="45E1BCB3"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7DE130A5" w14:textId="77777777">
        <w:trPr>
          <w:trHeight w:val="2616"/>
        </w:trPr>
        <w:tc>
          <w:tcPr>
            <w:tcW w:w="1711" w:type="dxa"/>
          </w:tcPr>
          <w:p w14:paraId="2705845D" w14:textId="77777777" w:rsidR="0046798B" w:rsidRDefault="0046798B">
            <w:pPr>
              <w:pStyle w:val="TableParagraph"/>
            </w:pPr>
          </w:p>
          <w:p w14:paraId="19B3B2C3" w14:textId="77777777" w:rsidR="0046798B" w:rsidRDefault="0046798B">
            <w:pPr>
              <w:pStyle w:val="TableParagraph"/>
            </w:pPr>
          </w:p>
          <w:p w14:paraId="1DDDB530" w14:textId="77777777" w:rsidR="0046798B" w:rsidRDefault="0046798B">
            <w:pPr>
              <w:pStyle w:val="TableParagraph"/>
            </w:pPr>
          </w:p>
          <w:p w14:paraId="5D7CBDD0" w14:textId="77777777" w:rsidR="0046798B" w:rsidRDefault="0046798B">
            <w:pPr>
              <w:pStyle w:val="TableParagraph"/>
              <w:spacing w:before="4"/>
              <w:rPr>
                <w:sz w:val="27"/>
              </w:rPr>
            </w:pPr>
          </w:p>
          <w:p w14:paraId="158ACA6D" w14:textId="77777777" w:rsidR="0046798B" w:rsidRDefault="00903B5C">
            <w:pPr>
              <w:pStyle w:val="TableParagraph"/>
              <w:ind w:left="115"/>
              <w:rPr>
                <w:b/>
                <w:sz w:val="20"/>
              </w:rPr>
            </w:pPr>
            <w:r>
              <w:rPr>
                <w:b/>
                <w:sz w:val="20"/>
              </w:rPr>
              <w:t>multiple_person</w:t>
            </w:r>
          </w:p>
          <w:p w14:paraId="088486BA" w14:textId="77777777" w:rsidR="0046798B" w:rsidRDefault="00903B5C">
            <w:pPr>
              <w:pStyle w:val="TableParagraph"/>
              <w:spacing w:before="1"/>
              <w:ind w:left="115"/>
              <w:rPr>
                <w:b/>
                <w:sz w:val="20"/>
              </w:rPr>
            </w:pPr>
            <w:r>
              <w:rPr>
                <w:b/>
                <w:sz w:val="20"/>
              </w:rPr>
              <w:t>_accounts</w:t>
            </w:r>
          </w:p>
        </w:tc>
        <w:tc>
          <w:tcPr>
            <w:tcW w:w="1596" w:type="dxa"/>
          </w:tcPr>
          <w:p w14:paraId="5F3139DA" w14:textId="77777777" w:rsidR="0046798B" w:rsidRDefault="00903B5C">
            <w:pPr>
              <w:pStyle w:val="TableParagraph"/>
              <w:spacing w:before="39"/>
              <w:ind w:left="114" w:right="141"/>
              <w:rPr>
                <w:sz w:val="20"/>
              </w:rPr>
            </w:pPr>
            <w:r>
              <w:rPr>
                <w:sz w:val="20"/>
              </w:rPr>
              <w:t>Encourages banks and credit unions to offer POD (pay on death) and agency (convenience) account forms for use by persons desiring some, but not</w:t>
            </w:r>
          </w:p>
        </w:tc>
        <w:tc>
          <w:tcPr>
            <w:tcW w:w="1285" w:type="dxa"/>
          </w:tcPr>
          <w:p w14:paraId="7E854771" w14:textId="77777777" w:rsidR="0046798B" w:rsidRDefault="0046798B">
            <w:pPr>
              <w:pStyle w:val="TableParagraph"/>
            </w:pPr>
          </w:p>
          <w:p w14:paraId="5A12C5CA" w14:textId="77777777" w:rsidR="0046798B" w:rsidRDefault="0046798B">
            <w:pPr>
              <w:pStyle w:val="TableParagraph"/>
            </w:pPr>
          </w:p>
          <w:p w14:paraId="1D3ACD72" w14:textId="77777777" w:rsidR="0046798B" w:rsidRDefault="0046798B">
            <w:pPr>
              <w:pStyle w:val="TableParagraph"/>
            </w:pPr>
          </w:p>
          <w:p w14:paraId="73E859F0" w14:textId="77777777" w:rsidR="0046798B" w:rsidRDefault="0046798B">
            <w:pPr>
              <w:pStyle w:val="TableParagraph"/>
            </w:pPr>
          </w:p>
          <w:p w14:paraId="33CF4FFD" w14:textId="77777777" w:rsidR="0046798B" w:rsidRDefault="00903B5C">
            <w:pPr>
              <w:pStyle w:val="TableParagraph"/>
              <w:spacing w:before="177"/>
              <w:ind w:left="114"/>
              <w:rPr>
                <w:sz w:val="20"/>
              </w:rPr>
            </w:pPr>
            <w:r>
              <w:rPr>
                <w:sz w:val="20"/>
              </w:rPr>
              <w:t>1993–2009</w:t>
            </w:r>
          </w:p>
        </w:tc>
        <w:tc>
          <w:tcPr>
            <w:tcW w:w="3421" w:type="dxa"/>
          </w:tcPr>
          <w:p w14:paraId="333C63DE" w14:textId="77777777" w:rsidR="0046798B" w:rsidRDefault="0046798B">
            <w:pPr>
              <w:pStyle w:val="TableParagraph"/>
            </w:pPr>
          </w:p>
          <w:p w14:paraId="2ED01603" w14:textId="77777777" w:rsidR="0046798B" w:rsidRDefault="0046798B">
            <w:pPr>
              <w:pStyle w:val="TableParagraph"/>
            </w:pPr>
          </w:p>
          <w:p w14:paraId="7FE94D2C" w14:textId="77777777" w:rsidR="0046798B" w:rsidRDefault="0046798B">
            <w:pPr>
              <w:pStyle w:val="TableParagraph"/>
            </w:pPr>
          </w:p>
          <w:p w14:paraId="34429A41" w14:textId="77777777" w:rsidR="0046798B" w:rsidRDefault="0046798B">
            <w:pPr>
              <w:pStyle w:val="TableParagraph"/>
              <w:spacing w:before="4"/>
              <w:rPr>
                <w:sz w:val="27"/>
              </w:rPr>
            </w:pPr>
          </w:p>
          <w:p w14:paraId="7A248075" w14:textId="77777777" w:rsidR="0046798B" w:rsidRDefault="00903B5C">
            <w:pPr>
              <w:pStyle w:val="TableParagraph"/>
              <w:ind w:left="114" w:right="1475"/>
              <w:rPr>
                <w:sz w:val="20"/>
              </w:rPr>
            </w:pPr>
            <w:r>
              <w:rPr>
                <w:sz w:val="20"/>
              </w:rPr>
              <w:t>0 = policy not adopted 1 = policy adopted</w:t>
            </w:r>
          </w:p>
        </w:tc>
        <w:tc>
          <w:tcPr>
            <w:tcW w:w="6482" w:type="dxa"/>
          </w:tcPr>
          <w:p w14:paraId="65610854" w14:textId="77777777" w:rsidR="0046798B" w:rsidRDefault="0046798B">
            <w:pPr>
              <w:pStyle w:val="TableParagraph"/>
            </w:pPr>
          </w:p>
          <w:p w14:paraId="56897A39" w14:textId="77777777" w:rsidR="0046798B" w:rsidRDefault="0046798B">
            <w:pPr>
              <w:pStyle w:val="TableParagraph"/>
              <w:spacing w:before="4"/>
              <w:rPr>
                <w:sz w:val="31"/>
              </w:rPr>
            </w:pPr>
          </w:p>
          <w:p w14:paraId="7322B246" w14:textId="77777777" w:rsidR="0046798B" w:rsidRDefault="00903B5C">
            <w:pPr>
              <w:pStyle w:val="TableParagraph"/>
              <w:ind w:left="114"/>
              <w:rPr>
                <w:sz w:val="20"/>
              </w:rPr>
            </w:pPr>
            <w:r>
              <w:rPr>
                <w:sz w:val="20"/>
              </w:rPr>
              <w:t xml:space="preserve">Uniform Law Commission website: </w:t>
            </w:r>
            <w:hyperlink r:id="rId956">
              <w:r>
                <w:rPr>
                  <w:color w:val="0462C1"/>
                  <w:sz w:val="20"/>
                  <w:u w:val="single" w:color="0462C1"/>
                </w:rPr>
                <w:t>http://www.uniformlaws.org/</w:t>
              </w:r>
            </w:hyperlink>
          </w:p>
          <w:p w14:paraId="151E11E8" w14:textId="77777777" w:rsidR="0046798B" w:rsidRDefault="0046798B">
            <w:pPr>
              <w:pStyle w:val="TableParagraph"/>
              <w:rPr>
                <w:sz w:val="20"/>
              </w:rPr>
            </w:pPr>
          </w:p>
          <w:p w14:paraId="3DA1A91A"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bl>
    <w:p w14:paraId="431420DA" w14:textId="77777777" w:rsidR="0046798B" w:rsidRDefault="0046798B">
      <w:pPr>
        <w:rPr>
          <w:sz w:val="20"/>
        </w:rPr>
        <w:sectPr w:rsidR="0046798B">
          <w:pgSz w:w="15840" w:h="12240" w:orient="landscape"/>
          <w:pgMar w:top="1220" w:right="300" w:bottom="980" w:left="820" w:header="730" w:footer="787" w:gutter="0"/>
          <w:cols w:space="720"/>
        </w:sectPr>
      </w:pPr>
    </w:p>
    <w:p w14:paraId="763D2F39"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3FD7B9DE" w14:textId="77777777">
        <w:trPr>
          <w:trHeight w:val="542"/>
        </w:trPr>
        <w:tc>
          <w:tcPr>
            <w:tcW w:w="1711" w:type="dxa"/>
            <w:tcBorders>
              <w:bottom w:val="dotted" w:sz="6" w:space="0" w:color="BEBEBE"/>
            </w:tcBorders>
          </w:tcPr>
          <w:p w14:paraId="24498A5B" w14:textId="77777777" w:rsidR="0046798B" w:rsidRDefault="0046798B">
            <w:pPr>
              <w:pStyle w:val="TableParagraph"/>
              <w:rPr>
                <w:sz w:val="20"/>
              </w:rPr>
            </w:pPr>
          </w:p>
        </w:tc>
        <w:tc>
          <w:tcPr>
            <w:tcW w:w="1596" w:type="dxa"/>
            <w:tcBorders>
              <w:bottom w:val="dotted" w:sz="6" w:space="0" w:color="BEBEBE"/>
            </w:tcBorders>
          </w:tcPr>
          <w:p w14:paraId="344D8739" w14:textId="77777777" w:rsidR="0046798B" w:rsidRDefault="00903B5C">
            <w:pPr>
              <w:pStyle w:val="TableParagraph"/>
              <w:spacing w:before="43"/>
              <w:ind w:left="114" w:right="213"/>
              <w:rPr>
                <w:sz w:val="20"/>
              </w:rPr>
            </w:pPr>
            <w:r>
              <w:rPr>
                <w:sz w:val="20"/>
              </w:rPr>
              <w:t>all, incidents of joint accounts</w:t>
            </w:r>
          </w:p>
        </w:tc>
        <w:tc>
          <w:tcPr>
            <w:tcW w:w="1285" w:type="dxa"/>
            <w:tcBorders>
              <w:bottom w:val="dotted" w:sz="6" w:space="0" w:color="BEBEBE"/>
            </w:tcBorders>
          </w:tcPr>
          <w:p w14:paraId="1D495819" w14:textId="77777777" w:rsidR="0046798B" w:rsidRDefault="0046798B">
            <w:pPr>
              <w:pStyle w:val="TableParagraph"/>
              <w:rPr>
                <w:sz w:val="20"/>
              </w:rPr>
            </w:pPr>
          </w:p>
        </w:tc>
        <w:tc>
          <w:tcPr>
            <w:tcW w:w="3421" w:type="dxa"/>
            <w:tcBorders>
              <w:bottom w:val="dotted" w:sz="6" w:space="0" w:color="BEBEBE"/>
            </w:tcBorders>
          </w:tcPr>
          <w:p w14:paraId="21C56803" w14:textId="77777777" w:rsidR="0046798B" w:rsidRDefault="0046798B">
            <w:pPr>
              <w:pStyle w:val="TableParagraph"/>
              <w:rPr>
                <w:sz w:val="20"/>
              </w:rPr>
            </w:pPr>
          </w:p>
        </w:tc>
        <w:tc>
          <w:tcPr>
            <w:tcW w:w="6482" w:type="dxa"/>
            <w:tcBorders>
              <w:bottom w:val="dotted" w:sz="6" w:space="0" w:color="BEBEBE"/>
            </w:tcBorders>
          </w:tcPr>
          <w:p w14:paraId="2D340605" w14:textId="77777777" w:rsidR="0046798B" w:rsidRDefault="0046798B">
            <w:pPr>
              <w:pStyle w:val="TableParagraph"/>
              <w:rPr>
                <w:sz w:val="20"/>
              </w:rPr>
            </w:pPr>
          </w:p>
        </w:tc>
      </w:tr>
      <w:tr w:rsidR="0046798B" w14:paraId="0642031A" w14:textId="77777777">
        <w:trPr>
          <w:trHeight w:val="1463"/>
        </w:trPr>
        <w:tc>
          <w:tcPr>
            <w:tcW w:w="1711" w:type="dxa"/>
            <w:tcBorders>
              <w:top w:val="dotted" w:sz="6" w:space="0" w:color="BEBEBE"/>
            </w:tcBorders>
          </w:tcPr>
          <w:p w14:paraId="52026180" w14:textId="77777777" w:rsidR="0046798B" w:rsidRDefault="0046798B">
            <w:pPr>
              <w:pStyle w:val="TableParagraph"/>
            </w:pPr>
          </w:p>
          <w:p w14:paraId="40633BE6" w14:textId="77777777" w:rsidR="0046798B" w:rsidRDefault="00903B5C">
            <w:pPr>
              <w:pStyle w:val="TableParagraph"/>
              <w:spacing w:before="133"/>
              <w:ind w:left="115" w:right="88"/>
              <w:rPr>
                <w:b/>
                <w:sz w:val="20"/>
              </w:rPr>
            </w:pPr>
            <w:r>
              <w:rPr>
                <w:b/>
                <w:sz w:val="20"/>
              </w:rPr>
              <w:t>nonprobate_tran sfers_on_death_ ac</w:t>
            </w:r>
          </w:p>
        </w:tc>
        <w:tc>
          <w:tcPr>
            <w:tcW w:w="1596" w:type="dxa"/>
            <w:tcBorders>
              <w:top w:val="dotted" w:sz="6" w:space="0" w:color="BEBEBE"/>
            </w:tcBorders>
          </w:tcPr>
          <w:p w14:paraId="39FDBC93" w14:textId="77777777" w:rsidR="0046798B" w:rsidRDefault="00903B5C">
            <w:pPr>
              <w:pStyle w:val="TableParagraph"/>
              <w:spacing w:before="40"/>
              <w:ind w:left="114" w:right="118"/>
              <w:rPr>
                <w:sz w:val="20"/>
              </w:rPr>
            </w:pPr>
            <w:r>
              <w:rPr>
                <w:sz w:val="20"/>
              </w:rPr>
              <w:t>Allows owner to designate beneficiary to automatically receive property at death</w:t>
            </w:r>
          </w:p>
        </w:tc>
        <w:tc>
          <w:tcPr>
            <w:tcW w:w="1285" w:type="dxa"/>
            <w:tcBorders>
              <w:top w:val="dotted" w:sz="6" w:space="0" w:color="BEBEBE"/>
            </w:tcBorders>
          </w:tcPr>
          <w:p w14:paraId="56381AF5" w14:textId="77777777" w:rsidR="0046798B" w:rsidRDefault="0046798B">
            <w:pPr>
              <w:pStyle w:val="TableParagraph"/>
            </w:pPr>
          </w:p>
          <w:p w14:paraId="416F14C0" w14:textId="77777777" w:rsidR="0046798B" w:rsidRDefault="0046798B">
            <w:pPr>
              <w:pStyle w:val="TableParagraph"/>
              <w:spacing w:before="6"/>
              <w:rPr>
                <w:sz w:val="31"/>
              </w:rPr>
            </w:pPr>
          </w:p>
          <w:p w14:paraId="5D7BEB3B" w14:textId="77777777" w:rsidR="0046798B" w:rsidRDefault="00903B5C">
            <w:pPr>
              <w:pStyle w:val="TableParagraph"/>
              <w:ind w:left="114"/>
              <w:rPr>
                <w:sz w:val="20"/>
              </w:rPr>
            </w:pPr>
            <w:r>
              <w:rPr>
                <w:sz w:val="20"/>
              </w:rPr>
              <w:t>1990–2009</w:t>
            </w:r>
          </w:p>
        </w:tc>
        <w:tc>
          <w:tcPr>
            <w:tcW w:w="3421" w:type="dxa"/>
            <w:tcBorders>
              <w:top w:val="dotted" w:sz="6" w:space="0" w:color="BEBEBE"/>
            </w:tcBorders>
          </w:tcPr>
          <w:p w14:paraId="75FC1C55" w14:textId="77777777" w:rsidR="0046798B" w:rsidRDefault="0046798B">
            <w:pPr>
              <w:pStyle w:val="TableParagraph"/>
            </w:pPr>
          </w:p>
          <w:p w14:paraId="63D7EA47" w14:textId="77777777" w:rsidR="0046798B" w:rsidRDefault="0046798B">
            <w:pPr>
              <w:pStyle w:val="TableParagraph"/>
              <w:spacing w:before="6"/>
              <w:rPr>
                <w:sz w:val="21"/>
              </w:rPr>
            </w:pPr>
          </w:p>
          <w:p w14:paraId="6D439A4E" w14:textId="77777777" w:rsidR="0046798B" w:rsidRDefault="00903B5C">
            <w:pPr>
              <w:pStyle w:val="TableParagraph"/>
              <w:ind w:left="114" w:right="1475"/>
              <w:rPr>
                <w:sz w:val="20"/>
              </w:rPr>
            </w:pPr>
            <w:r>
              <w:rPr>
                <w:sz w:val="20"/>
              </w:rPr>
              <w:t>0 = policy not adopted 1 = policy adopted</w:t>
            </w:r>
          </w:p>
        </w:tc>
        <w:tc>
          <w:tcPr>
            <w:tcW w:w="6482" w:type="dxa"/>
            <w:tcBorders>
              <w:top w:val="dotted" w:sz="6" w:space="0" w:color="BEBEBE"/>
            </w:tcBorders>
          </w:tcPr>
          <w:p w14:paraId="55838D7B" w14:textId="77777777" w:rsidR="0046798B" w:rsidRDefault="00903B5C">
            <w:pPr>
              <w:pStyle w:val="TableParagraph"/>
              <w:spacing w:before="40"/>
              <w:ind w:left="114"/>
              <w:rPr>
                <w:sz w:val="20"/>
              </w:rPr>
            </w:pPr>
            <w:r>
              <w:rPr>
                <w:sz w:val="20"/>
              </w:rPr>
              <w:t xml:space="preserve">Uniform Law Commission website: </w:t>
            </w:r>
            <w:hyperlink r:id="rId957">
              <w:r>
                <w:rPr>
                  <w:color w:val="0462C1"/>
                  <w:sz w:val="20"/>
                  <w:u w:val="single" w:color="0462C1"/>
                </w:rPr>
                <w:t>http://www.uniformlaws.org/</w:t>
              </w:r>
            </w:hyperlink>
          </w:p>
          <w:p w14:paraId="32D79E4C" w14:textId="77777777" w:rsidR="0046798B" w:rsidRDefault="0046798B">
            <w:pPr>
              <w:pStyle w:val="TableParagraph"/>
              <w:rPr>
                <w:sz w:val="20"/>
              </w:rPr>
            </w:pPr>
          </w:p>
          <w:p w14:paraId="14E091B1"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3710BBBA" w14:textId="77777777">
        <w:trPr>
          <w:trHeight w:val="1470"/>
        </w:trPr>
        <w:tc>
          <w:tcPr>
            <w:tcW w:w="1711" w:type="dxa"/>
          </w:tcPr>
          <w:p w14:paraId="2D7DC115" w14:textId="77777777" w:rsidR="0046798B" w:rsidRDefault="0046798B">
            <w:pPr>
              <w:pStyle w:val="TableParagraph"/>
            </w:pPr>
          </w:p>
          <w:p w14:paraId="4C6504CA" w14:textId="77777777" w:rsidR="0046798B" w:rsidRDefault="0046798B">
            <w:pPr>
              <w:pStyle w:val="TableParagraph"/>
              <w:spacing w:before="8"/>
              <w:rPr>
                <w:sz w:val="21"/>
              </w:rPr>
            </w:pPr>
          </w:p>
          <w:p w14:paraId="5A75A222" w14:textId="77777777" w:rsidR="0046798B" w:rsidRDefault="00903B5C">
            <w:pPr>
              <w:pStyle w:val="TableParagraph"/>
              <w:spacing w:before="1"/>
              <w:ind w:left="115"/>
              <w:rPr>
                <w:b/>
                <w:sz w:val="20"/>
              </w:rPr>
            </w:pPr>
            <w:r>
              <w:rPr>
                <w:b/>
                <w:sz w:val="20"/>
              </w:rPr>
              <w:t>partition_of_heir s_property_act</w:t>
            </w:r>
          </w:p>
        </w:tc>
        <w:tc>
          <w:tcPr>
            <w:tcW w:w="1596" w:type="dxa"/>
          </w:tcPr>
          <w:p w14:paraId="6DD9C9A4" w14:textId="77777777" w:rsidR="0046798B" w:rsidRDefault="00903B5C">
            <w:pPr>
              <w:pStyle w:val="TableParagraph"/>
              <w:spacing w:before="43"/>
              <w:ind w:left="114" w:right="213"/>
              <w:rPr>
                <w:sz w:val="20"/>
              </w:rPr>
            </w:pPr>
            <w:r>
              <w:rPr>
                <w:sz w:val="20"/>
              </w:rPr>
              <w:t>Helps preserve family wealth passed to the next generation in the form of real property</w:t>
            </w:r>
          </w:p>
        </w:tc>
        <w:tc>
          <w:tcPr>
            <w:tcW w:w="1285" w:type="dxa"/>
          </w:tcPr>
          <w:p w14:paraId="571989DE" w14:textId="77777777" w:rsidR="0046798B" w:rsidRDefault="0046798B">
            <w:pPr>
              <w:pStyle w:val="TableParagraph"/>
            </w:pPr>
          </w:p>
          <w:p w14:paraId="09CAFC11" w14:textId="77777777" w:rsidR="0046798B" w:rsidRDefault="0046798B">
            <w:pPr>
              <w:pStyle w:val="TableParagraph"/>
              <w:spacing w:before="9"/>
              <w:rPr>
                <w:sz w:val="31"/>
              </w:rPr>
            </w:pPr>
          </w:p>
          <w:p w14:paraId="4B34D9AA" w14:textId="77777777" w:rsidR="0046798B" w:rsidRDefault="00903B5C">
            <w:pPr>
              <w:pStyle w:val="TableParagraph"/>
              <w:ind w:left="114"/>
              <w:rPr>
                <w:sz w:val="20"/>
              </w:rPr>
            </w:pPr>
            <w:r>
              <w:rPr>
                <w:sz w:val="20"/>
              </w:rPr>
              <w:t>2011–2017</w:t>
            </w:r>
          </w:p>
        </w:tc>
        <w:tc>
          <w:tcPr>
            <w:tcW w:w="3421" w:type="dxa"/>
          </w:tcPr>
          <w:p w14:paraId="458F1F28" w14:textId="77777777" w:rsidR="0046798B" w:rsidRDefault="0046798B">
            <w:pPr>
              <w:pStyle w:val="TableParagraph"/>
            </w:pPr>
          </w:p>
          <w:p w14:paraId="1EAB178D" w14:textId="77777777" w:rsidR="0046798B" w:rsidRDefault="0046798B">
            <w:pPr>
              <w:pStyle w:val="TableParagraph"/>
              <w:spacing w:before="8"/>
              <w:rPr>
                <w:sz w:val="21"/>
              </w:rPr>
            </w:pPr>
          </w:p>
          <w:p w14:paraId="24B343C8"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0C3C150B" w14:textId="77777777" w:rsidR="0046798B" w:rsidRDefault="00903B5C">
            <w:pPr>
              <w:pStyle w:val="TableParagraph"/>
              <w:spacing w:before="43"/>
              <w:ind w:left="114"/>
              <w:rPr>
                <w:sz w:val="20"/>
              </w:rPr>
            </w:pPr>
            <w:r>
              <w:rPr>
                <w:sz w:val="20"/>
              </w:rPr>
              <w:t xml:space="preserve">Uniform Law Commission website: </w:t>
            </w:r>
            <w:hyperlink r:id="rId958">
              <w:r>
                <w:rPr>
                  <w:color w:val="0462C1"/>
                  <w:sz w:val="20"/>
                  <w:u w:val="single" w:color="0462C1"/>
                </w:rPr>
                <w:t>http://www.uniformlaws.org/</w:t>
              </w:r>
            </w:hyperlink>
          </w:p>
          <w:p w14:paraId="7800021D" w14:textId="77777777" w:rsidR="0046798B" w:rsidRDefault="0046798B">
            <w:pPr>
              <w:pStyle w:val="TableParagraph"/>
              <w:rPr>
                <w:sz w:val="20"/>
              </w:rPr>
            </w:pPr>
          </w:p>
          <w:p w14:paraId="335DF870"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7646E60" w14:textId="77777777">
        <w:trPr>
          <w:trHeight w:val="1465"/>
        </w:trPr>
        <w:tc>
          <w:tcPr>
            <w:tcW w:w="1711" w:type="dxa"/>
          </w:tcPr>
          <w:p w14:paraId="17FE9CA6" w14:textId="77777777" w:rsidR="0046798B" w:rsidRDefault="0046798B">
            <w:pPr>
              <w:pStyle w:val="TableParagraph"/>
            </w:pPr>
          </w:p>
          <w:p w14:paraId="1DCC4A1F" w14:textId="77777777" w:rsidR="0046798B" w:rsidRDefault="0046798B">
            <w:pPr>
              <w:pStyle w:val="TableParagraph"/>
              <w:spacing w:before="4"/>
              <w:rPr>
                <w:sz w:val="21"/>
              </w:rPr>
            </w:pPr>
          </w:p>
          <w:p w14:paraId="41445B7B" w14:textId="77777777" w:rsidR="0046798B" w:rsidRDefault="00903B5C">
            <w:pPr>
              <w:pStyle w:val="TableParagraph"/>
              <w:ind w:left="115"/>
              <w:rPr>
                <w:b/>
                <w:sz w:val="20"/>
              </w:rPr>
            </w:pPr>
            <w:r>
              <w:rPr>
                <w:b/>
                <w:sz w:val="20"/>
              </w:rPr>
              <w:t>partnership_act_ 1914</w:t>
            </w:r>
          </w:p>
        </w:tc>
        <w:tc>
          <w:tcPr>
            <w:tcW w:w="1596" w:type="dxa"/>
          </w:tcPr>
          <w:p w14:paraId="76765DD0" w14:textId="77777777" w:rsidR="0046798B" w:rsidRDefault="00903B5C">
            <w:pPr>
              <w:pStyle w:val="TableParagraph"/>
              <w:spacing w:before="38"/>
              <w:ind w:left="114" w:right="91"/>
              <w:rPr>
                <w:sz w:val="20"/>
              </w:rPr>
            </w:pPr>
            <w:r>
              <w:rPr>
                <w:sz w:val="20"/>
              </w:rPr>
              <w:t>Helps make regulation of business partnerships uniform between states</w:t>
            </w:r>
          </w:p>
        </w:tc>
        <w:tc>
          <w:tcPr>
            <w:tcW w:w="1285" w:type="dxa"/>
          </w:tcPr>
          <w:p w14:paraId="35F9F67D" w14:textId="77777777" w:rsidR="0046798B" w:rsidRDefault="0046798B">
            <w:pPr>
              <w:pStyle w:val="TableParagraph"/>
            </w:pPr>
          </w:p>
          <w:p w14:paraId="5171F20D" w14:textId="77777777" w:rsidR="0046798B" w:rsidRDefault="0046798B">
            <w:pPr>
              <w:pStyle w:val="TableParagraph"/>
              <w:spacing w:before="4"/>
              <w:rPr>
                <w:sz w:val="31"/>
              </w:rPr>
            </w:pPr>
          </w:p>
          <w:p w14:paraId="1B5FB1FE" w14:textId="77777777" w:rsidR="0046798B" w:rsidRDefault="00903B5C">
            <w:pPr>
              <w:pStyle w:val="TableParagraph"/>
              <w:ind w:left="114"/>
              <w:rPr>
                <w:sz w:val="20"/>
              </w:rPr>
            </w:pPr>
            <w:r>
              <w:rPr>
                <w:sz w:val="20"/>
              </w:rPr>
              <w:t>1969–1993</w:t>
            </w:r>
          </w:p>
        </w:tc>
        <w:tc>
          <w:tcPr>
            <w:tcW w:w="3421" w:type="dxa"/>
          </w:tcPr>
          <w:p w14:paraId="413C2BE0" w14:textId="77777777" w:rsidR="0046798B" w:rsidRDefault="0046798B">
            <w:pPr>
              <w:pStyle w:val="TableParagraph"/>
            </w:pPr>
          </w:p>
          <w:p w14:paraId="3C6BF89B" w14:textId="77777777" w:rsidR="0046798B" w:rsidRDefault="0046798B">
            <w:pPr>
              <w:pStyle w:val="TableParagraph"/>
              <w:spacing w:before="4"/>
              <w:rPr>
                <w:sz w:val="21"/>
              </w:rPr>
            </w:pPr>
          </w:p>
          <w:p w14:paraId="152D300C" w14:textId="77777777" w:rsidR="0046798B" w:rsidRDefault="00903B5C">
            <w:pPr>
              <w:pStyle w:val="TableParagraph"/>
              <w:ind w:left="114" w:right="1475"/>
              <w:rPr>
                <w:sz w:val="20"/>
              </w:rPr>
            </w:pPr>
            <w:r>
              <w:rPr>
                <w:sz w:val="20"/>
              </w:rPr>
              <w:t>0 = policy not adopted 1 = policy adopted</w:t>
            </w:r>
          </w:p>
        </w:tc>
        <w:tc>
          <w:tcPr>
            <w:tcW w:w="6482" w:type="dxa"/>
          </w:tcPr>
          <w:p w14:paraId="0198F8C1" w14:textId="77777777" w:rsidR="0046798B" w:rsidRDefault="00903B5C">
            <w:pPr>
              <w:pStyle w:val="TableParagraph"/>
              <w:spacing w:before="38"/>
              <w:ind w:left="114"/>
              <w:rPr>
                <w:sz w:val="20"/>
              </w:rPr>
            </w:pPr>
            <w:r>
              <w:rPr>
                <w:sz w:val="20"/>
              </w:rPr>
              <w:t xml:space="preserve">Uniform Law Commission website: </w:t>
            </w:r>
            <w:hyperlink r:id="rId959">
              <w:r>
                <w:rPr>
                  <w:color w:val="0462C1"/>
                  <w:sz w:val="20"/>
                  <w:u w:val="single" w:color="0462C1"/>
                </w:rPr>
                <w:t>http://www.uniformlaws.org/</w:t>
              </w:r>
            </w:hyperlink>
          </w:p>
          <w:p w14:paraId="648BC706" w14:textId="77777777" w:rsidR="0046798B" w:rsidRDefault="0046798B">
            <w:pPr>
              <w:pStyle w:val="TableParagraph"/>
              <w:rPr>
                <w:sz w:val="20"/>
              </w:rPr>
            </w:pPr>
          </w:p>
          <w:p w14:paraId="615F12E3"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8198EDB" w14:textId="77777777">
        <w:trPr>
          <w:trHeight w:val="1465"/>
        </w:trPr>
        <w:tc>
          <w:tcPr>
            <w:tcW w:w="1711" w:type="dxa"/>
          </w:tcPr>
          <w:p w14:paraId="02EB1F89" w14:textId="77777777" w:rsidR="0046798B" w:rsidRDefault="0046798B">
            <w:pPr>
              <w:pStyle w:val="TableParagraph"/>
            </w:pPr>
          </w:p>
          <w:p w14:paraId="11258943" w14:textId="77777777" w:rsidR="0046798B" w:rsidRDefault="0046798B">
            <w:pPr>
              <w:pStyle w:val="TableParagraph"/>
              <w:spacing w:before="4"/>
              <w:rPr>
                <w:sz w:val="21"/>
              </w:rPr>
            </w:pPr>
          </w:p>
          <w:p w14:paraId="680F958C" w14:textId="77777777" w:rsidR="0046798B" w:rsidRDefault="00903B5C">
            <w:pPr>
              <w:pStyle w:val="TableParagraph"/>
              <w:ind w:left="115"/>
              <w:rPr>
                <w:b/>
                <w:sz w:val="20"/>
              </w:rPr>
            </w:pPr>
            <w:r>
              <w:rPr>
                <w:b/>
                <w:sz w:val="20"/>
              </w:rPr>
              <w:t>partnership_act_ 1997_last_amen</w:t>
            </w:r>
          </w:p>
        </w:tc>
        <w:tc>
          <w:tcPr>
            <w:tcW w:w="1596" w:type="dxa"/>
          </w:tcPr>
          <w:p w14:paraId="38E91445" w14:textId="77777777" w:rsidR="0046798B" w:rsidRDefault="00903B5C">
            <w:pPr>
              <w:pStyle w:val="TableParagraph"/>
              <w:spacing w:before="38"/>
              <w:ind w:left="114" w:right="91"/>
              <w:rPr>
                <w:sz w:val="20"/>
              </w:rPr>
            </w:pPr>
            <w:r>
              <w:rPr>
                <w:sz w:val="20"/>
              </w:rPr>
              <w:t>Helps make regulation of business partnerships uniform between states</w:t>
            </w:r>
          </w:p>
        </w:tc>
        <w:tc>
          <w:tcPr>
            <w:tcW w:w="1285" w:type="dxa"/>
          </w:tcPr>
          <w:p w14:paraId="60BB70EF" w14:textId="77777777" w:rsidR="0046798B" w:rsidRDefault="0046798B">
            <w:pPr>
              <w:pStyle w:val="TableParagraph"/>
            </w:pPr>
          </w:p>
          <w:p w14:paraId="11E860CF" w14:textId="77777777" w:rsidR="0046798B" w:rsidRDefault="0046798B">
            <w:pPr>
              <w:pStyle w:val="TableParagraph"/>
              <w:spacing w:before="4"/>
              <w:rPr>
                <w:sz w:val="31"/>
              </w:rPr>
            </w:pPr>
          </w:p>
          <w:p w14:paraId="1AD6B2D4" w14:textId="77777777" w:rsidR="0046798B" w:rsidRDefault="00903B5C">
            <w:pPr>
              <w:pStyle w:val="TableParagraph"/>
              <w:ind w:left="114"/>
              <w:rPr>
                <w:sz w:val="20"/>
              </w:rPr>
            </w:pPr>
            <w:r>
              <w:rPr>
                <w:sz w:val="20"/>
              </w:rPr>
              <w:t>1993–2017</w:t>
            </w:r>
          </w:p>
        </w:tc>
        <w:tc>
          <w:tcPr>
            <w:tcW w:w="3421" w:type="dxa"/>
          </w:tcPr>
          <w:p w14:paraId="39972963" w14:textId="77777777" w:rsidR="0046798B" w:rsidRDefault="0046798B">
            <w:pPr>
              <w:pStyle w:val="TableParagraph"/>
            </w:pPr>
          </w:p>
          <w:p w14:paraId="771B818B" w14:textId="77777777" w:rsidR="0046798B" w:rsidRDefault="0046798B">
            <w:pPr>
              <w:pStyle w:val="TableParagraph"/>
              <w:spacing w:before="4"/>
              <w:rPr>
                <w:sz w:val="21"/>
              </w:rPr>
            </w:pPr>
          </w:p>
          <w:p w14:paraId="7545B5BE" w14:textId="77777777" w:rsidR="0046798B" w:rsidRDefault="00903B5C">
            <w:pPr>
              <w:pStyle w:val="TableParagraph"/>
              <w:ind w:left="114" w:right="1475"/>
              <w:rPr>
                <w:sz w:val="20"/>
              </w:rPr>
            </w:pPr>
            <w:r>
              <w:rPr>
                <w:sz w:val="20"/>
              </w:rPr>
              <w:t>0 = policy not adopted 1 = policy adopted</w:t>
            </w:r>
          </w:p>
        </w:tc>
        <w:tc>
          <w:tcPr>
            <w:tcW w:w="6482" w:type="dxa"/>
          </w:tcPr>
          <w:p w14:paraId="0E5A2ACB" w14:textId="77777777" w:rsidR="0046798B" w:rsidRDefault="00903B5C">
            <w:pPr>
              <w:pStyle w:val="TableParagraph"/>
              <w:spacing w:before="38"/>
              <w:ind w:left="114"/>
              <w:rPr>
                <w:sz w:val="20"/>
              </w:rPr>
            </w:pPr>
            <w:r>
              <w:rPr>
                <w:sz w:val="20"/>
              </w:rPr>
              <w:t xml:space="preserve">Uniform Law Commission website: </w:t>
            </w:r>
            <w:hyperlink r:id="rId960">
              <w:r>
                <w:rPr>
                  <w:color w:val="0462C1"/>
                  <w:sz w:val="20"/>
                  <w:u w:val="single" w:color="0462C1"/>
                </w:rPr>
                <w:t>http://www.uniformlaws.org/</w:t>
              </w:r>
            </w:hyperlink>
          </w:p>
          <w:p w14:paraId="34286F76" w14:textId="77777777" w:rsidR="0046798B" w:rsidRDefault="0046798B">
            <w:pPr>
              <w:pStyle w:val="TableParagraph"/>
              <w:rPr>
                <w:sz w:val="20"/>
              </w:rPr>
            </w:pPr>
          </w:p>
          <w:p w14:paraId="0E48C0CF"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038EEFC3" w14:textId="77777777">
        <w:trPr>
          <w:trHeight w:val="1926"/>
        </w:trPr>
        <w:tc>
          <w:tcPr>
            <w:tcW w:w="1711" w:type="dxa"/>
          </w:tcPr>
          <w:p w14:paraId="278A303E" w14:textId="77777777" w:rsidR="0046798B" w:rsidRDefault="0046798B">
            <w:pPr>
              <w:pStyle w:val="TableParagraph"/>
            </w:pPr>
          </w:p>
          <w:p w14:paraId="7B697557" w14:textId="77777777" w:rsidR="0046798B" w:rsidRDefault="0046798B">
            <w:pPr>
              <w:pStyle w:val="TableParagraph"/>
            </w:pPr>
          </w:p>
          <w:p w14:paraId="17C77B00" w14:textId="77777777" w:rsidR="0046798B" w:rsidRDefault="0046798B">
            <w:pPr>
              <w:pStyle w:val="TableParagraph"/>
              <w:spacing w:before="4"/>
              <w:rPr>
                <w:sz w:val="19"/>
              </w:rPr>
            </w:pPr>
          </w:p>
          <w:p w14:paraId="5AC67428" w14:textId="77777777" w:rsidR="0046798B" w:rsidRDefault="00903B5C">
            <w:pPr>
              <w:pStyle w:val="TableParagraph"/>
              <w:ind w:left="115" w:right="143"/>
              <w:rPr>
                <w:b/>
                <w:sz w:val="20"/>
              </w:rPr>
            </w:pPr>
            <w:r>
              <w:rPr>
                <w:b/>
                <w:sz w:val="20"/>
              </w:rPr>
              <w:t>planned_commu nity_act</w:t>
            </w:r>
          </w:p>
        </w:tc>
        <w:tc>
          <w:tcPr>
            <w:tcW w:w="1596" w:type="dxa"/>
          </w:tcPr>
          <w:p w14:paraId="0A63157A" w14:textId="77777777" w:rsidR="0046798B" w:rsidRDefault="00903B5C">
            <w:pPr>
              <w:pStyle w:val="TableParagraph"/>
              <w:spacing w:before="39"/>
              <w:ind w:left="114" w:right="196"/>
              <w:rPr>
                <w:sz w:val="20"/>
              </w:rPr>
            </w:pPr>
            <w:r>
              <w:rPr>
                <w:sz w:val="20"/>
              </w:rPr>
              <w:t>Comprehensive provisions for creating, managing, and terminating planned community developments</w:t>
            </w:r>
          </w:p>
        </w:tc>
        <w:tc>
          <w:tcPr>
            <w:tcW w:w="1285" w:type="dxa"/>
          </w:tcPr>
          <w:p w14:paraId="163B8EDD" w14:textId="77777777" w:rsidR="0046798B" w:rsidRDefault="0046798B">
            <w:pPr>
              <w:pStyle w:val="TableParagraph"/>
            </w:pPr>
          </w:p>
          <w:p w14:paraId="05E467D7" w14:textId="77777777" w:rsidR="0046798B" w:rsidRDefault="0046798B">
            <w:pPr>
              <w:pStyle w:val="TableParagraph"/>
            </w:pPr>
          </w:p>
          <w:p w14:paraId="26705562" w14:textId="77777777" w:rsidR="0046798B" w:rsidRDefault="0046798B">
            <w:pPr>
              <w:pStyle w:val="TableParagraph"/>
              <w:spacing w:before="4"/>
              <w:rPr>
                <w:sz w:val="29"/>
              </w:rPr>
            </w:pPr>
          </w:p>
          <w:p w14:paraId="3E8865DF" w14:textId="77777777" w:rsidR="0046798B" w:rsidRDefault="00903B5C">
            <w:pPr>
              <w:pStyle w:val="TableParagraph"/>
              <w:ind w:left="114"/>
              <w:rPr>
                <w:sz w:val="20"/>
              </w:rPr>
            </w:pPr>
            <w:r>
              <w:rPr>
                <w:sz w:val="20"/>
              </w:rPr>
              <w:t>1997</w:t>
            </w:r>
          </w:p>
        </w:tc>
        <w:tc>
          <w:tcPr>
            <w:tcW w:w="3421" w:type="dxa"/>
          </w:tcPr>
          <w:p w14:paraId="11B8EA9D" w14:textId="77777777" w:rsidR="0046798B" w:rsidRDefault="0046798B">
            <w:pPr>
              <w:pStyle w:val="TableParagraph"/>
            </w:pPr>
          </w:p>
          <w:p w14:paraId="7E0D5143" w14:textId="77777777" w:rsidR="0046798B" w:rsidRDefault="0046798B">
            <w:pPr>
              <w:pStyle w:val="TableParagraph"/>
            </w:pPr>
          </w:p>
          <w:p w14:paraId="5FF37B70" w14:textId="77777777" w:rsidR="0046798B" w:rsidRDefault="0046798B">
            <w:pPr>
              <w:pStyle w:val="TableParagraph"/>
              <w:spacing w:before="4"/>
              <w:rPr>
                <w:sz w:val="19"/>
              </w:rPr>
            </w:pPr>
          </w:p>
          <w:p w14:paraId="1AD35A85" w14:textId="77777777" w:rsidR="0046798B" w:rsidRDefault="00903B5C">
            <w:pPr>
              <w:pStyle w:val="TableParagraph"/>
              <w:ind w:left="114" w:right="1475"/>
              <w:rPr>
                <w:sz w:val="20"/>
              </w:rPr>
            </w:pPr>
            <w:r>
              <w:rPr>
                <w:sz w:val="20"/>
              </w:rPr>
              <w:t>0 = policy not adopted 1 = policy adopted</w:t>
            </w:r>
          </w:p>
        </w:tc>
        <w:tc>
          <w:tcPr>
            <w:tcW w:w="6482" w:type="dxa"/>
          </w:tcPr>
          <w:p w14:paraId="39446A32" w14:textId="77777777" w:rsidR="0046798B" w:rsidRDefault="0046798B">
            <w:pPr>
              <w:pStyle w:val="TableParagraph"/>
              <w:spacing w:before="4"/>
              <w:rPr>
                <w:sz w:val="23"/>
              </w:rPr>
            </w:pPr>
          </w:p>
          <w:p w14:paraId="10AADDC1" w14:textId="77777777" w:rsidR="0046798B" w:rsidRDefault="00903B5C">
            <w:pPr>
              <w:pStyle w:val="TableParagraph"/>
              <w:ind w:left="114"/>
              <w:rPr>
                <w:sz w:val="20"/>
              </w:rPr>
            </w:pPr>
            <w:r>
              <w:rPr>
                <w:sz w:val="20"/>
              </w:rPr>
              <w:t xml:space="preserve">Uniform Law Commission website: </w:t>
            </w:r>
            <w:hyperlink r:id="rId961">
              <w:r>
                <w:rPr>
                  <w:color w:val="0462C1"/>
                  <w:sz w:val="20"/>
                  <w:u w:val="single" w:color="0462C1"/>
                </w:rPr>
                <w:t>http://www.uniformlaws.org/</w:t>
              </w:r>
            </w:hyperlink>
          </w:p>
          <w:p w14:paraId="0609E393" w14:textId="77777777" w:rsidR="0046798B" w:rsidRDefault="0046798B">
            <w:pPr>
              <w:pStyle w:val="TableParagraph"/>
              <w:rPr>
                <w:sz w:val="20"/>
              </w:rPr>
            </w:pPr>
          </w:p>
          <w:p w14:paraId="446C2331"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5BB44EEF" w14:textId="77777777">
        <w:trPr>
          <w:trHeight w:val="545"/>
        </w:trPr>
        <w:tc>
          <w:tcPr>
            <w:tcW w:w="1711" w:type="dxa"/>
          </w:tcPr>
          <w:p w14:paraId="1D90C0F7" w14:textId="77777777" w:rsidR="0046798B" w:rsidRDefault="00903B5C">
            <w:pPr>
              <w:pStyle w:val="TableParagraph"/>
              <w:spacing w:before="43"/>
              <w:ind w:left="115" w:right="110"/>
              <w:rPr>
                <w:b/>
                <w:sz w:val="20"/>
              </w:rPr>
            </w:pPr>
            <w:r>
              <w:rPr>
                <w:b/>
                <w:sz w:val="20"/>
              </w:rPr>
              <w:t>powers_of_appoi ntment</w:t>
            </w:r>
          </w:p>
        </w:tc>
        <w:tc>
          <w:tcPr>
            <w:tcW w:w="1596" w:type="dxa"/>
          </w:tcPr>
          <w:p w14:paraId="55479540" w14:textId="77777777" w:rsidR="0046798B" w:rsidRDefault="00903B5C">
            <w:pPr>
              <w:pStyle w:val="TableParagraph"/>
              <w:spacing w:before="43"/>
              <w:ind w:left="114" w:right="191"/>
              <w:rPr>
                <w:sz w:val="20"/>
              </w:rPr>
            </w:pPr>
            <w:r>
              <w:rPr>
                <w:sz w:val="20"/>
              </w:rPr>
              <w:t>Regulate power of appointment</w:t>
            </w:r>
          </w:p>
        </w:tc>
        <w:tc>
          <w:tcPr>
            <w:tcW w:w="1285" w:type="dxa"/>
          </w:tcPr>
          <w:p w14:paraId="3635AA11" w14:textId="77777777" w:rsidR="0046798B" w:rsidRDefault="00903B5C">
            <w:pPr>
              <w:pStyle w:val="TableParagraph"/>
              <w:spacing w:before="158"/>
              <w:ind w:left="114"/>
              <w:rPr>
                <w:sz w:val="20"/>
              </w:rPr>
            </w:pPr>
            <w:r>
              <w:rPr>
                <w:sz w:val="20"/>
              </w:rPr>
              <w:t>2014–2017</w:t>
            </w:r>
          </w:p>
        </w:tc>
        <w:tc>
          <w:tcPr>
            <w:tcW w:w="3421" w:type="dxa"/>
          </w:tcPr>
          <w:p w14:paraId="43CA24A5" w14:textId="77777777" w:rsidR="0046798B" w:rsidRDefault="00903B5C">
            <w:pPr>
              <w:pStyle w:val="TableParagraph"/>
              <w:spacing w:before="43"/>
              <w:ind w:left="114" w:right="1475"/>
              <w:rPr>
                <w:sz w:val="20"/>
              </w:rPr>
            </w:pPr>
            <w:r>
              <w:rPr>
                <w:sz w:val="20"/>
              </w:rPr>
              <w:t>0 = policy not adopted 1 = policy adopted</w:t>
            </w:r>
          </w:p>
        </w:tc>
        <w:tc>
          <w:tcPr>
            <w:tcW w:w="6482" w:type="dxa"/>
          </w:tcPr>
          <w:p w14:paraId="3CEC98F2" w14:textId="77777777" w:rsidR="0046798B" w:rsidRDefault="00903B5C">
            <w:pPr>
              <w:pStyle w:val="TableParagraph"/>
              <w:spacing w:before="43"/>
              <w:ind w:left="114"/>
              <w:rPr>
                <w:sz w:val="20"/>
              </w:rPr>
            </w:pPr>
            <w:r>
              <w:rPr>
                <w:sz w:val="20"/>
              </w:rPr>
              <w:t xml:space="preserve">Uniform Law Commission website: </w:t>
            </w:r>
            <w:hyperlink r:id="rId962">
              <w:r>
                <w:rPr>
                  <w:color w:val="0462C1"/>
                  <w:sz w:val="20"/>
                  <w:u w:val="single" w:color="0462C1"/>
                </w:rPr>
                <w:t>http://www.uniformlaws.org/</w:t>
              </w:r>
            </w:hyperlink>
          </w:p>
        </w:tc>
      </w:tr>
    </w:tbl>
    <w:p w14:paraId="2F450A8E" w14:textId="77777777" w:rsidR="0046798B" w:rsidRDefault="0046798B">
      <w:pPr>
        <w:rPr>
          <w:sz w:val="20"/>
        </w:rPr>
        <w:sectPr w:rsidR="0046798B">
          <w:pgSz w:w="15840" w:h="12240" w:orient="landscape"/>
          <w:pgMar w:top="1220" w:right="300" w:bottom="980" w:left="820" w:header="730" w:footer="787" w:gutter="0"/>
          <w:cols w:space="720"/>
        </w:sectPr>
      </w:pPr>
    </w:p>
    <w:p w14:paraId="06B2BA5D"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8E2DB33" w14:textId="77777777">
        <w:trPr>
          <w:trHeight w:val="1005"/>
        </w:trPr>
        <w:tc>
          <w:tcPr>
            <w:tcW w:w="1711" w:type="dxa"/>
          </w:tcPr>
          <w:p w14:paraId="11A42DEC" w14:textId="77777777" w:rsidR="0046798B" w:rsidRDefault="0046798B">
            <w:pPr>
              <w:pStyle w:val="TableParagraph"/>
              <w:rPr>
                <w:sz w:val="20"/>
              </w:rPr>
            </w:pPr>
          </w:p>
        </w:tc>
        <w:tc>
          <w:tcPr>
            <w:tcW w:w="1596" w:type="dxa"/>
          </w:tcPr>
          <w:p w14:paraId="628269AF" w14:textId="77777777" w:rsidR="0046798B" w:rsidRDefault="00903B5C">
            <w:pPr>
              <w:pStyle w:val="TableParagraph"/>
              <w:spacing w:before="43"/>
              <w:ind w:left="114" w:right="713"/>
              <w:rPr>
                <w:sz w:val="20"/>
              </w:rPr>
            </w:pPr>
            <w:r>
              <w:rPr>
                <w:sz w:val="20"/>
              </w:rPr>
              <w:t>for estate planning</w:t>
            </w:r>
          </w:p>
        </w:tc>
        <w:tc>
          <w:tcPr>
            <w:tcW w:w="1285" w:type="dxa"/>
          </w:tcPr>
          <w:p w14:paraId="401D4C32" w14:textId="77777777" w:rsidR="0046798B" w:rsidRDefault="0046798B">
            <w:pPr>
              <w:pStyle w:val="TableParagraph"/>
              <w:rPr>
                <w:sz w:val="20"/>
              </w:rPr>
            </w:pPr>
          </w:p>
        </w:tc>
        <w:tc>
          <w:tcPr>
            <w:tcW w:w="3421" w:type="dxa"/>
          </w:tcPr>
          <w:p w14:paraId="3F00EA0A" w14:textId="77777777" w:rsidR="0046798B" w:rsidRDefault="0046798B">
            <w:pPr>
              <w:pStyle w:val="TableParagraph"/>
              <w:rPr>
                <w:sz w:val="20"/>
              </w:rPr>
            </w:pPr>
          </w:p>
        </w:tc>
        <w:tc>
          <w:tcPr>
            <w:tcW w:w="6482" w:type="dxa"/>
          </w:tcPr>
          <w:p w14:paraId="211F4D3D" w14:textId="77777777" w:rsidR="0046798B" w:rsidRDefault="00903B5C">
            <w:pPr>
              <w:pStyle w:val="TableParagraph"/>
              <w:spacing w:before="43"/>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7E5602DB" w14:textId="77777777">
        <w:trPr>
          <w:trHeight w:val="2846"/>
        </w:trPr>
        <w:tc>
          <w:tcPr>
            <w:tcW w:w="1711" w:type="dxa"/>
          </w:tcPr>
          <w:p w14:paraId="42001CA7" w14:textId="77777777" w:rsidR="0046798B" w:rsidRDefault="0046798B">
            <w:pPr>
              <w:pStyle w:val="TableParagraph"/>
            </w:pPr>
          </w:p>
          <w:p w14:paraId="19580671" w14:textId="77777777" w:rsidR="0046798B" w:rsidRDefault="0046798B">
            <w:pPr>
              <w:pStyle w:val="TableParagraph"/>
            </w:pPr>
          </w:p>
          <w:p w14:paraId="60FBD35F" w14:textId="77777777" w:rsidR="0046798B" w:rsidRDefault="0046798B">
            <w:pPr>
              <w:pStyle w:val="TableParagraph"/>
            </w:pPr>
          </w:p>
          <w:p w14:paraId="37E8D7CD" w14:textId="77777777" w:rsidR="0046798B" w:rsidRDefault="0046798B">
            <w:pPr>
              <w:pStyle w:val="TableParagraph"/>
            </w:pPr>
          </w:p>
          <w:p w14:paraId="7AABA9B6" w14:textId="77777777" w:rsidR="0046798B" w:rsidRDefault="00903B5C">
            <w:pPr>
              <w:pStyle w:val="TableParagraph"/>
              <w:spacing w:before="182"/>
              <w:ind w:left="115"/>
              <w:rPr>
                <w:b/>
                <w:sz w:val="20"/>
              </w:rPr>
            </w:pPr>
            <w:r>
              <w:rPr>
                <w:b/>
                <w:sz w:val="20"/>
              </w:rPr>
              <w:t>principal_and_in come_act_1962</w:t>
            </w:r>
          </w:p>
        </w:tc>
        <w:tc>
          <w:tcPr>
            <w:tcW w:w="1596" w:type="dxa"/>
          </w:tcPr>
          <w:p w14:paraId="269AADF2" w14:textId="77777777" w:rsidR="0046798B" w:rsidRDefault="00903B5C">
            <w:pPr>
              <w:pStyle w:val="TableParagraph"/>
              <w:spacing w:before="43"/>
              <w:ind w:left="114" w:right="146"/>
              <w:rPr>
                <w:sz w:val="20"/>
              </w:rPr>
            </w:pPr>
            <w:r>
              <w:rPr>
                <w:sz w:val="20"/>
              </w:rPr>
              <w:t>Provide procedures for trustees administering trusts and personal representatives administering estates in allocating assets to principal and income (1962)</w:t>
            </w:r>
          </w:p>
        </w:tc>
        <w:tc>
          <w:tcPr>
            <w:tcW w:w="1285" w:type="dxa"/>
          </w:tcPr>
          <w:p w14:paraId="170FD616" w14:textId="77777777" w:rsidR="0046798B" w:rsidRDefault="0046798B">
            <w:pPr>
              <w:pStyle w:val="TableParagraph"/>
            </w:pPr>
          </w:p>
          <w:p w14:paraId="5594D42C" w14:textId="77777777" w:rsidR="0046798B" w:rsidRDefault="0046798B">
            <w:pPr>
              <w:pStyle w:val="TableParagraph"/>
            </w:pPr>
          </w:p>
          <w:p w14:paraId="499C6F14" w14:textId="77777777" w:rsidR="0046798B" w:rsidRDefault="0046798B">
            <w:pPr>
              <w:pStyle w:val="TableParagraph"/>
            </w:pPr>
          </w:p>
          <w:p w14:paraId="115E3CF7" w14:textId="77777777" w:rsidR="0046798B" w:rsidRDefault="0046798B">
            <w:pPr>
              <w:pStyle w:val="TableParagraph"/>
            </w:pPr>
          </w:p>
          <w:p w14:paraId="67559C61" w14:textId="77777777" w:rsidR="0046798B" w:rsidRDefault="0046798B">
            <w:pPr>
              <w:pStyle w:val="TableParagraph"/>
              <w:spacing w:before="9"/>
              <w:rPr>
                <w:sz w:val="25"/>
              </w:rPr>
            </w:pPr>
          </w:p>
          <w:p w14:paraId="5A5D2E79" w14:textId="77777777" w:rsidR="0046798B" w:rsidRDefault="00903B5C">
            <w:pPr>
              <w:pStyle w:val="TableParagraph"/>
              <w:ind w:left="114"/>
              <w:rPr>
                <w:sz w:val="20"/>
              </w:rPr>
            </w:pPr>
            <w:r>
              <w:rPr>
                <w:sz w:val="20"/>
              </w:rPr>
              <w:t>1968–1992</w:t>
            </w:r>
          </w:p>
        </w:tc>
        <w:tc>
          <w:tcPr>
            <w:tcW w:w="3421" w:type="dxa"/>
          </w:tcPr>
          <w:p w14:paraId="43CCADC0" w14:textId="77777777" w:rsidR="0046798B" w:rsidRDefault="0046798B">
            <w:pPr>
              <w:pStyle w:val="TableParagraph"/>
            </w:pPr>
          </w:p>
          <w:p w14:paraId="1E3277C4" w14:textId="77777777" w:rsidR="0046798B" w:rsidRDefault="0046798B">
            <w:pPr>
              <w:pStyle w:val="TableParagraph"/>
            </w:pPr>
          </w:p>
          <w:p w14:paraId="11296BF4" w14:textId="77777777" w:rsidR="0046798B" w:rsidRDefault="0046798B">
            <w:pPr>
              <w:pStyle w:val="TableParagraph"/>
            </w:pPr>
          </w:p>
          <w:p w14:paraId="7D1F29A2" w14:textId="77777777" w:rsidR="0046798B" w:rsidRDefault="0046798B">
            <w:pPr>
              <w:pStyle w:val="TableParagraph"/>
            </w:pPr>
          </w:p>
          <w:p w14:paraId="2F8D1C52" w14:textId="77777777" w:rsidR="0046798B" w:rsidRDefault="00903B5C">
            <w:pPr>
              <w:pStyle w:val="TableParagraph"/>
              <w:spacing w:before="182"/>
              <w:ind w:left="114" w:right="1475"/>
              <w:rPr>
                <w:sz w:val="20"/>
              </w:rPr>
            </w:pPr>
            <w:r>
              <w:rPr>
                <w:sz w:val="20"/>
              </w:rPr>
              <w:t>0 = policy not adopted 1 = policy adopted</w:t>
            </w:r>
          </w:p>
        </w:tc>
        <w:tc>
          <w:tcPr>
            <w:tcW w:w="6482" w:type="dxa"/>
          </w:tcPr>
          <w:p w14:paraId="538441FE" w14:textId="77777777" w:rsidR="0046798B" w:rsidRDefault="0046798B">
            <w:pPr>
              <w:pStyle w:val="TableParagraph"/>
            </w:pPr>
          </w:p>
          <w:p w14:paraId="13E47CB3" w14:textId="77777777" w:rsidR="0046798B" w:rsidRDefault="0046798B">
            <w:pPr>
              <w:pStyle w:val="TableParagraph"/>
            </w:pPr>
          </w:p>
          <w:p w14:paraId="3F90A72F" w14:textId="77777777" w:rsidR="0046798B" w:rsidRDefault="0046798B">
            <w:pPr>
              <w:pStyle w:val="TableParagraph"/>
              <w:spacing w:before="9"/>
              <w:rPr>
                <w:sz w:val="19"/>
              </w:rPr>
            </w:pPr>
          </w:p>
          <w:p w14:paraId="2B6A8CD8" w14:textId="77777777" w:rsidR="0046798B" w:rsidRDefault="00903B5C">
            <w:pPr>
              <w:pStyle w:val="TableParagraph"/>
              <w:ind w:left="114"/>
              <w:rPr>
                <w:sz w:val="20"/>
              </w:rPr>
            </w:pPr>
            <w:r>
              <w:rPr>
                <w:sz w:val="20"/>
              </w:rPr>
              <w:t xml:space="preserve">Uniform Law Commission website: </w:t>
            </w:r>
            <w:hyperlink r:id="rId963">
              <w:r>
                <w:rPr>
                  <w:color w:val="0462C1"/>
                  <w:sz w:val="20"/>
                  <w:u w:val="single" w:color="0462C1"/>
                </w:rPr>
                <w:t>http://www.uniformlaws.org/</w:t>
              </w:r>
            </w:hyperlink>
          </w:p>
          <w:p w14:paraId="31A9FAFC" w14:textId="77777777" w:rsidR="0046798B" w:rsidRDefault="0046798B">
            <w:pPr>
              <w:pStyle w:val="TableParagraph"/>
              <w:rPr>
                <w:sz w:val="20"/>
              </w:rPr>
            </w:pPr>
          </w:p>
          <w:p w14:paraId="610E5815"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2B8F1C23" w14:textId="77777777">
        <w:trPr>
          <w:trHeight w:val="2846"/>
        </w:trPr>
        <w:tc>
          <w:tcPr>
            <w:tcW w:w="1711" w:type="dxa"/>
          </w:tcPr>
          <w:p w14:paraId="44B8749C" w14:textId="77777777" w:rsidR="0046798B" w:rsidRDefault="0046798B">
            <w:pPr>
              <w:pStyle w:val="TableParagraph"/>
            </w:pPr>
          </w:p>
          <w:p w14:paraId="735E519F" w14:textId="77777777" w:rsidR="0046798B" w:rsidRDefault="0046798B">
            <w:pPr>
              <w:pStyle w:val="TableParagraph"/>
            </w:pPr>
          </w:p>
          <w:p w14:paraId="046E2F82" w14:textId="77777777" w:rsidR="0046798B" w:rsidRDefault="0046798B">
            <w:pPr>
              <w:pStyle w:val="TableParagraph"/>
            </w:pPr>
          </w:p>
          <w:p w14:paraId="122153B0" w14:textId="77777777" w:rsidR="0046798B" w:rsidRDefault="0046798B">
            <w:pPr>
              <w:pStyle w:val="TableParagraph"/>
            </w:pPr>
          </w:p>
          <w:p w14:paraId="23944907" w14:textId="77777777" w:rsidR="0046798B" w:rsidRDefault="00903B5C">
            <w:pPr>
              <w:pStyle w:val="TableParagraph"/>
              <w:spacing w:before="181"/>
              <w:ind w:left="115"/>
              <w:rPr>
                <w:b/>
                <w:sz w:val="20"/>
              </w:rPr>
            </w:pPr>
            <w:r>
              <w:rPr>
                <w:b/>
                <w:sz w:val="20"/>
              </w:rPr>
              <w:t>principal_and_in come_act_2000</w:t>
            </w:r>
          </w:p>
        </w:tc>
        <w:tc>
          <w:tcPr>
            <w:tcW w:w="1596" w:type="dxa"/>
          </w:tcPr>
          <w:p w14:paraId="0AC24CF7" w14:textId="77777777" w:rsidR="0046798B" w:rsidRDefault="00903B5C">
            <w:pPr>
              <w:pStyle w:val="TableParagraph"/>
              <w:spacing w:before="43"/>
              <w:ind w:left="114" w:right="146"/>
              <w:rPr>
                <w:sz w:val="20"/>
              </w:rPr>
            </w:pPr>
            <w:r>
              <w:rPr>
                <w:sz w:val="20"/>
              </w:rPr>
              <w:t>Provide procedures for trustees administering trusts and personal representatives administering estates in allocating assets to principal and income (2000)</w:t>
            </w:r>
          </w:p>
        </w:tc>
        <w:tc>
          <w:tcPr>
            <w:tcW w:w="1285" w:type="dxa"/>
          </w:tcPr>
          <w:p w14:paraId="5B0F54C7" w14:textId="77777777" w:rsidR="0046798B" w:rsidRDefault="0046798B">
            <w:pPr>
              <w:pStyle w:val="TableParagraph"/>
            </w:pPr>
          </w:p>
          <w:p w14:paraId="76344735" w14:textId="77777777" w:rsidR="0046798B" w:rsidRDefault="0046798B">
            <w:pPr>
              <w:pStyle w:val="TableParagraph"/>
            </w:pPr>
          </w:p>
          <w:p w14:paraId="4E9CB231" w14:textId="77777777" w:rsidR="0046798B" w:rsidRDefault="0046798B">
            <w:pPr>
              <w:pStyle w:val="TableParagraph"/>
            </w:pPr>
          </w:p>
          <w:p w14:paraId="6C6CD80A" w14:textId="77777777" w:rsidR="0046798B" w:rsidRDefault="0046798B">
            <w:pPr>
              <w:pStyle w:val="TableParagraph"/>
            </w:pPr>
          </w:p>
          <w:p w14:paraId="26A8FA76" w14:textId="77777777" w:rsidR="0046798B" w:rsidRDefault="0046798B">
            <w:pPr>
              <w:pStyle w:val="TableParagraph"/>
              <w:spacing w:before="9"/>
              <w:rPr>
                <w:sz w:val="25"/>
              </w:rPr>
            </w:pPr>
          </w:p>
          <w:p w14:paraId="3B9D3A0A" w14:textId="77777777" w:rsidR="0046798B" w:rsidRDefault="00903B5C">
            <w:pPr>
              <w:pStyle w:val="TableParagraph"/>
              <w:spacing w:before="1"/>
              <w:ind w:left="114"/>
              <w:rPr>
                <w:sz w:val="20"/>
              </w:rPr>
            </w:pPr>
            <w:r>
              <w:rPr>
                <w:sz w:val="20"/>
              </w:rPr>
              <w:t>1997–2012</w:t>
            </w:r>
          </w:p>
        </w:tc>
        <w:tc>
          <w:tcPr>
            <w:tcW w:w="3421" w:type="dxa"/>
          </w:tcPr>
          <w:p w14:paraId="19C85BD1" w14:textId="77777777" w:rsidR="0046798B" w:rsidRDefault="0046798B">
            <w:pPr>
              <w:pStyle w:val="TableParagraph"/>
            </w:pPr>
          </w:p>
          <w:p w14:paraId="36770DA9" w14:textId="77777777" w:rsidR="0046798B" w:rsidRDefault="0046798B">
            <w:pPr>
              <w:pStyle w:val="TableParagraph"/>
            </w:pPr>
          </w:p>
          <w:p w14:paraId="1053D0BB" w14:textId="77777777" w:rsidR="0046798B" w:rsidRDefault="0046798B">
            <w:pPr>
              <w:pStyle w:val="TableParagraph"/>
            </w:pPr>
          </w:p>
          <w:p w14:paraId="7A7B6295" w14:textId="77777777" w:rsidR="0046798B" w:rsidRDefault="0046798B">
            <w:pPr>
              <w:pStyle w:val="TableParagraph"/>
            </w:pPr>
          </w:p>
          <w:p w14:paraId="6A81E75C" w14:textId="77777777" w:rsidR="0046798B" w:rsidRDefault="00903B5C">
            <w:pPr>
              <w:pStyle w:val="TableParagraph"/>
              <w:spacing w:before="181"/>
              <w:ind w:left="114" w:right="1475"/>
              <w:rPr>
                <w:sz w:val="20"/>
              </w:rPr>
            </w:pPr>
            <w:r>
              <w:rPr>
                <w:sz w:val="20"/>
              </w:rPr>
              <w:t>0 = policy not adopted 1 = policy adopted</w:t>
            </w:r>
          </w:p>
        </w:tc>
        <w:tc>
          <w:tcPr>
            <w:tcW w:w="6482" w:type="dxa"/>
          </w:tcPr>
          <w:p w14:paraId="1495B0BB" w14:textId="77777777" w:rsidR="0046798B" w:rsidRDefault="0046798B">
            <w:pPr>
              <w:pStyle w:val="TableParagraph"/>
            </w:pPr>
          </w:p>
          <w:p w14:paraId="4DA9B685" w14:textId="77777777" w:rsidR="0046798B" w:rsidRDefault="0046798B">
            <w:pPr>
              <w:pStyle w:val="TableParagraph"/>
            </w:pPr>
          </w:p>
          <w:p w14:paraId="02CBFC30" w14:textId="77777777" w:rsidR="0046798B" w:rsidRDefault="0046798B">
            <w:pPr>
              <w:pStyle w:val="TableParagraph"/>
              <w:spacing w:before="9"/>
              <w:rPr>
                <w:sz w:val="19"/>
              </w:rPr>
            </w:pPr>
          </w:p>
          <w:p w14:paraId="6696782E" w14:textId="77777777" w:rsidR="0046798B" w:rsidRDefault="00903B5C">
            <w:pPr>
              <w:pStyle w:val="TableParagraph"/>
              <w:ind w:left="114"/>
              <w:rPr>
                <w:sz w:val="20"/>
              </w:rPr>
            </w:pPr>
            <w:r>
              <w:rPr>
                <w:sz w:val="20"/>
              </w:rPr>
              <w:t xml:space="preserve">Uniform Law Commission website: </w:t>
            </w:r>
            <w:hyperlink r:id="rId964">
              <w:r>
                <w:rPr>
                  <w:color w:val="0462C1"/>
                  <w:sz w:val="20"/>
                  <w:u w:val="single" w:color="0462C1"/>
                </w:rPr>
                <w:t>http://www.uniformlaws.org/</w:t>
              </w:r>
            </w:hyperlink>
          </w:p>
          <w:p w14:paraId="358D6623" w14:textId="77777777" w:rsidR="0046798B" w:rsidRDefault="0046798B">
            <w:pPr>
              <w:pStyle w:val="TableParagraph"/>
              <w:rPr>
                <w:sz w:val="20"/>
              </w:rPr>
            </w:pPr>
          </w:p>
          <w:p w14:paraId="0C942D00"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528D1F38" w14:textId="77777777">
        <w:trPr>
          <w:trHeight w:val="2390"/>
        </w:trPr>
        <w:tc>
          <w:tcPr>
            <w:tcW w:w="1711" w:type="dxa"/>
          </w:tcPr>
          <w:p w14:paraId="2C373AF7" w14:textId="77777777" w:rsidR="0046798B" w:rsidRDefault="0046798B">
            <w:pPr>
              <w:pStyle w:val="TableParagraph"/>
            </w:pPr>
          </w:p>
          <w:p w14:paraId="5DDDDDCF" w14:textId="77777777" w:rsidR="0046798B" w:rsidRDefault="0046798B">
            <w:pPr>
              <w:pStyle w:val="TableParagraph"/>
            </w:pPr>
          </w:p>
          <w:p w14:paraId="2393445D" w14:textId="77777777" w:rsidR="0046798B" w:rsidRDefault="0046798B">
            <w:pPr>
              <w:pStyle w:val="TableParagraph"/>
              <w:spacing w:before="8"/>
              <w:rPr>
                <w:sz w:val="29"/>
              </w:rPr>
            </w:pPr>
          </w:p>
          <w:p w14:paraId="63B2686B" w14:textId="77777777" w:rsidR="0046798B" w:rsidRDefault="00903B5C">
            <w:pPr>
              <w:pStyle w:val="TableParagraph"/>
              <w:ind w:left="115"/>
              <w:rPr>
                <w:b/>
                <w:sz w:val="20"/>
              </w:rPr>
            </w:pPr>
            <w:r>
              <w:rPr>
                <w:b/>
                <w:sz w:val="20"/>
              </w:rPr>
              <w:t>principal_and_in come_amendme nts</w:t>
            </w:r>
          </w:p>
        </w:tc>
        <w:tc>
          <w:tcPr>
            <w:tcW w:w="1596" w:type="dxa"/>
          </w:tcPr>
          <w:p w14:paraId="4E5CB965" w14:textId="77777777" w:rsidR="0046798B" w:rsidRDefault="00903B5C">
            <w:pPr>
              <w:pStyle w:val="TableParagraph"/>
              <w:spacing w:before="43"/>
              <w:ind w:left="114" w:right="146"/>
              <w:rPr>
                <w:sz w:val="20"/>
              </w:rPr>
            </w:pPr>
            <w:r>
              <w:rPr>
                <w:sz w:val="20"/>
              </w:rPr>
              <w:t>Provide procedures for trustees administering trusts and personal representatives administering estates in allocating assets</w:t>
            </w:r>
          </w:p>
        </w:tc>
        <w:tc>
          <w:tcPr>
            <w:tcW w:w="1285" w:type="dxa"/>
          </w:tcPr>
          <w:p w14:paraId="56414071" w14:textId="77777777" w:rsidR="0046798B" w:rsidRDefault="0046798B">
            <w:pPr>
              <w:pStyle w:val="TableParagraph"/>
            </w:pPr>
          </w:p>
          <w:p w14:paraId="20520658" w14:textId="77777777" w:rsidR="0046798B" w:rsidRDefault="0046798B">
            <w:pPr>
              <w:pStyle w:val="TableParagraph"/>
            </w:pPr>
          </w:p>
          <w:p w14:paraId="05CA28E7" w14:textId="77777777" w:rsidR="0046798B" w:rsidRDefault="0046798B">
            <w:pPr>
              <w:pStyle w:val="TableParagraph"/>
            </w:pPr>
          </w:p>
          <w:p w14:paraId="378FCB9C" w14:textId="77777777" w:rsidR="0046798B" w:rsidRDefault="0046798B">
            <w:pPr>
              <w:pStyle w:val="TableParagraph"/>
              <w:spacing w:before="9"/>
              <w:rPr>
                <w:sz w:val="27"/>
              </w:rPr>
            </w:pPr>
          </w:p>
          <w:p w14:paraId="2282E129" w14:textId="77777777" w:rsidR="0046798B" w:rsidRDefault="00903B5C">
            <w:pPr>
              <w:pStyle w:val="TableParagraph"/>
              <w:ind w:left="114"/>
              <w:rPr>
                <w:sz w:val="20"/>
              </w:rPr>
            </w:pPr>
            <w:r>
              <w:rPr>
                <w:sz w:val="20"/>
              </w:rPr>
              <w:t>2009–2017</w:t>
            </w:r>
          </w:p>
        </w:tc>
        <w:tc>
          <w:tcPr>
            <w:tcW w:w="3421" w:type="dxa"/>
          </w:tcPr>
          <w:p w14:paraId="1204B24C" w14:textId="77777777" w:rsidR="0046798B" w:rsidRDefault="0046798B">
            <w:pPr>
              <w:pStyle w:val="TableParagraph"/>
            </w:pPr>
          </w:p>
          <w:p w14:paraId="5938BD43" w14:textId="77777777" w:rsidR="0046798B" w:rsidRDefault="0046798B">
            <w:pPr>
              <w:pStyle w:val="TableParagraph"/>
            </w:pPr>
          </w:p>
          <w:p w14:paraId="70C1A142" w14:textId="77777777" w:rsidR="0046798B" w:rsidRDefault="0046798B">
            <w:pPr>
              <w:pStyle w:val="TableParagraph"/>
            </w:pPr>
          </w:p>
          <w:p w14:paraId="4F544CB9" w14:textId="77777777" w:rsidR="0046798B" w:rsidRDefault="0046798B">
            <w:pPr>
              <w:pStyle w:val="TableParagraph"/>
              <w:spacing w:before="9"/>
              <w:rPr>
                <w:sz w:val="17"/>
              </w:rPr>
            </w:pPr>
          </w:p>
          <w:p w14:paraId="701036D6" w14:textId="77777777" w:rsidR="0046798B" w:rsidRDefault="00903B5C">
            <w:pPr>
              <w:pStyle w:val="TableParagraph"/>
              <w:ind w:left="114" w:right="1475"/>
              <w:rPr>
                <w:sz w:val="20"/>
              </w:rPr>
            </w:pPr>
            <w:r>
              <w:rPr>
                <w:sz w:val="20"/>
              </w:rPr>
              <w:t>0 = policy not adopted 1 = policy adopted</w:t>
            </w:r>
          </w:p>
        </w:tc>
        <w:tc>
          <w:tcPr>
            <w:tcW w:w="6482" w:type="dxa"/>
          </w:tcPr>
          <w:p w14:paraId="3914A395" w14:textId="77777777" w:rsidR="0046798B" w:rsidRDefault="0046798B">
            <w:pPr>
              <w:pStyle w:val="TableParagraph"/>
            </w:pPr>
          </w:p>
          <w:p w14:paraId="67D45E13" w14:textId="77777777" w:rsidR="0046798B" w:rsidRDefault="0046798B">
            <w:pPr>
              <w:pStyle w:val="TableParagraph"/>
              <w:spacing w:before="8"/>
              <w:rPr>
                <w:sz w:val="21"/>
              </w:rPr>
            </w:pPr>
          </w:p>
          <w:p w14:paraId="5929DBAA" w14:textId="77777777" w:rsidR="0046798B" w:rsidRDefault="00903B5C">
            <w:pPr>
              <w:pStyle w:val="TableParagraph"/>
              <w:ind w:left="114"/>
              <w:rPr>
                <w:sz w:val="20"/>
              </w:rPr>
            </w:pPr>
            <w:r>
              <w:rPr>
                <w:sz w:val="20"/>
              </w:rPr>
              <w:t xml:space="preserve">Uniform Law Commission website: </w:t>
            </w:r>
            <w:hyperlink r:id="rId965">
              <w:r>
                <w:rPr>
                  <w:color w:val="0462C1"/>
                  <w:sz w:val="20"/>
                  <w:u w:val="single" w:color="0462C1"/>
                </w:rPr>
                <w:t>http://www.uniformlaws.org/</w:t>
              </w:r>
            </w:hyperlink>
          </w:p>
          <w:p w14:paraId="35DCDDA7" w14:textId="77777777" w:rsidR="0046798B" w:rsidRDefault="0046798B">
            <w:pPr>
              <w:pStyle w:val="TableParagraph"/>
              <w:spacing w:before="1"/>
              <w:rPr>
                <w:sz w:val="20"/>
              </w:rPr>
            </w:pPr>
          </w:p>
          <w:p w14:paraId="753021C9"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bl>
    <w:p w14:paraId="0AF38349" w14:textId="77777777" w:rsidR="0046798B" w:rsidRDefault="0046798B">
      <w:pPr>
        <w:rPr>
          <w:sz w:val="20"/>
        </w:rPr>
        <w:sectPr w:rsidR="0046798B">
          <w:pgSz w:w="15840" w:h="12240" w:orient="landscape"/>
          <w:pgMar w:top="1220" w:right="300" w:bottom="980" w:left="820" w:header="730" w:footer="787" w:gutter="0"/>
          <w:cols w:space="720"/>
        </w:sectPr>
      </w:pPr>
    </w:p>
    <w:p w14:paraId="3B003620"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38FE312F" w14:textId="77777777">
        <w:trPr>
          <w:trHeight w:val="542"/>
        </w:trPr>
        <w:tc>
          <w:tcPr>
            <w:tcW w:w="1711" w:type="dxa"/>
            <w:tcBorders>
              <w:bottom w:val="dotted" w:sz="6" w:space="0" w:color="BEBEBE"/>
            </w:tcBorders>
          </w:tcPr>
          <w:p w14:paraId="122942B8" w14:textId="77777777" w:rsidR="0046798B" w:rsidRDefault="0046798B">
            <w:pPr>
              <w:pStyle w:val="TableParagraph"/>
              <w:rPr>
                <w:sz w:val="20"/>
              </w:rPr>
            </w:pPr>
          </w:p>
        </w:tc>
        <w:tc>
          <w:tcPr>
            <w:tcW w:w="1596" w:type="dxa"/>
            <w:tcBorders>
              <w:bottom w:val="dotted" w:sz="6" w:space="0" w:color="BEBEBE"/>
            </w:tcBorders>
          </w:tcPr>
          <w:p w14:paraId="53F13F32" w14:textId="77777777" w:rsidR="0046798B" w:rsidRDefault="00903B5C">
            <w:pPr>
              <w:pStyle w:val="TableParagraph"/>
              <w:spacing w:before="43"/>
              <w:ind w:left="114" w:right="196"/>
              <w:rPr>
                <w:sz w:val="20"/>
              </w:rPr>
            </w:pPr>
            <w:r>
              <w:rPr>
                <w:sz w:val="20"/>
              </w:rPr>
              <w:t>to principal and income (2008)</w:t>
            </w:r>
          </w:p>
        </w:tc>
        <w:tc>
          <w:tcPr>
            <w:tcW w:w="1285" w:type="dxa"/>
            <w:tcBorders>
              <w:bottom w:val="dotted" w:sz="6" w:space="0" w:color="BEBEBE"/>
            </w:tcBorders>
          </w:tcPr>
          <w:p w14:paraId="69123D66" w14:textId="77777777" w:rsidR="0046798B" w:rsidRDefault="0046798B">
            <w:pPr>
              <w:pStyle w:val="TableParagraph"/>
              <w:rPr>
                <w:sz w:val="20"/>
              </w:rPr>
            </w:pPr>
          </w:p>
        </w:tc>
        <w:tc>
          <w:tcPr>
            <w:tcW w:w="3421" w:type="dxa"/>
            <w:tcBorders>
              <w:bottom w:val="dotted" w:sz="6" w:space="0" w:color="BEBEBE"/>
            </w:tcBorders>
          </w:tcPr>
          <w:p w14:paraId="7BCA62E5" w14:textId="77777777" w:rsidR="0046798B" w:rsidRDefault="0046798B">
            <w:pPr>
              <w:pStyle w:val="TableParagraph"/>
              <w:rPr>
                <w:sz w:val="20"/>
              </w:rPr>
            </w:pPr>
          </w:p>
        </w:tc>
        <w:tc>
          <w:tcPr>
            <w:tcW w:w="6482" w:type="dxa"/>
            <w:tcBorders>
              <w:bottom w:val="dotted" w:sz="6" w:space="0" w:color="BEBEBE"/>
            </w:tcBorders>
          </w:tcPr>
          <w:p w14:paraId="1E40DA2A" w14:textId="77777777" w:rsidR="0046798B" w:rsidRDefault="0046798B">
            <w:pPr>
              <w:pStyle w:val="TableParagraph"/>
              <w:rPr>
                <w:sz w:val="20"/>
              </w:rPr>
            </w:pPr>
          </w:p>
        </w:tc>
      </w:tr>
      <w:tr w:rsidR="0046798B" w14:paraId="3FA2ED00" w14:textId="77777777">
        <w:trPr>
          <w:trHeight w:val="1463"/>
        </w:trPr>
        <w:tc>
          <w:tcPr>
            <w:tcW w:w="1711" w:type="dxa"/>
            <w:tcBorders>
              <w:top w:val="dotted" w:sz="6" w:space="0" w:color="BEBEBE"/>
            </w:tcBorders>
          </w:tcPr>
          <w:p w14:paraId="0AB1AD32" w14:textId="77777777" w:rsidR="0046798B" w:rsidRDefault="0046798B">
            <w:pPr>
              <w:pStyle w:val="TableParagraph"/>
            </w:pPr>
          </w:p>
          <w:p w14:paraId="5D4E17D3" w14:textId="77777777" w:rsidR="0046798B" w:rsidRDefault="0046798B">
            <w:pPr>
              <w:pStyle w:val="TableParagraph"/>
              <w:spacing w:before="6"/>
              <w:rPr>
                <w:sz w:val="31"/>
              </w:rPr>
            </w:pPr>
          </w:p>
          <w:p w14:paraId="17F4F07E" w14:textId="77777777" w:rsidR="0046798B" w:rsidRDefault="00903B5C">
            <w:pPr>
              <w:pStyle w:val="TableParagraph"/>
              <w:ind w:left="115"/>
              <w:rPr>
                <w:b/>
                <w:sz w:val="20"/>
              </w:rPr>
            </w:pPr>
            <w:r>
              <w:rPr>
                <w:b/>
                <w:sz w:val="20"/>
              </w:rPr>
              <w:t>probate_code</w:t>
            </w:r>
          </w:p>
        </w:tc>
        <w:tc>
          <w:tcPr>
            <w:tcW w:w="1596" w:type="dxa"/>
            <w:tcBorders>
              <w:top w:val="dotted" w:sz="6" w:space="0" w:color="BEBEBE"/>
            </w:tcBorders>
          </w:tcPr>
          <w:p w14:paraId="2ABAC866" w14:textId="77777777" w:rsidR="0046798B" w:rsidRDefault="0046798B">
            <w:pPr>
              <w:pStyle w:val="TableParagraph"/>
              <w:spacing w:before="6"/>
              <w:rPr>
                <w:sz w:val="23"/>
              </w:rPr>
            </w:pPr>
          </w:p>
          <w:p w14:paraId="5AA6B47D" w14:textId="77777777" w:rsidR="0046798B" w:rsidRDefault="00903B5C">
            <w:pPr>
              <w:pStyle w:val="TableParagraph"/>
              <w:ind w:left="114" w:right="224"/>
              <w:rPr>
                <w:sz w:val="20"/>
              </w:rPr>
            </w:pPr>
            <w:r>
              <w:rPr>
                <w:sz w:val="20"/>
              </w:rPr>
              <w:t>Governs inheritance and decedents’ estates</w:t>
            </w:r>
          </w:p>
        </w:tc>
        <w:tc>
          <w:tcPr>
            <w:tcW w:w="1285" w:type="dxa"/>
            <w:tcBorders>
              <w:top w:val="dotted" w:sz="6" w:space="0" w:color="BEBEBE"/>
            </w:tcBorders>
          </w:tcPr>
          <w:p w14:paraId="48670B88" w14:textId="77777777" w:rsidR="0046798B" w:rsidRDefault="0046798B">
            <w:pPr>
              <w:pStyle w:val="TableParagraph"/>
            </w:pPr>
          </w:p>
          <w:p w14:paraId="34323E5E" w14:textId="77777777" w:rsidR="0046798B" w:rsidRDefault="0046798B">
            <w:pPr>
              <w:pStyle w:val="TableParagraph"/>
              <w:spacing w:before="6"/>
              <w:rPr>
                <w:sz w:val="31"/>
              </w:rPr>
            </w:pPr>
          </w:p>
          <w:p w14:paraId="068F6D73" w14:textId="77777777" w:rsidR="0046798B" w:rsidRDefault="00903B5C">
            <w:pPr>
              <w:pStyle w:val="TableParagraph"/>
              <w:ind w:left="114"/>
              <w:rPr>
                <w:sz w:val="20"/>
              </w:rPr>
            </w:pPr>
            <w:r>
              <w:rPr>
                <w:sz w:val="20"/>
              </w:rPr>
              <w:t>1971–2009</w:t>
            </w:r>
          </w:p>
        </w:tc>
        <w:tc>
          <w:tcPr>
            <w:tcW w:w="3421" w:type="dxa"/>
            <w:tcBorders>
              <w:top w:val="dotted" w:sz="6" w:space="0" w:color="BEBEBE"/>
            </w:tcBorders>
          </w:tcPr>
          <w:p w14:paraId="47668B53" w14:textId="77777777" w:rsidR="0046798B" w:rsidRDefault="0046798B">
            <w:pPr>
              <w:pStyle w:val="TableParagraph"/>
            </w:pPr>
          </w:p>
          <w:p w14:paraId="43FBD1FC" w14:textId="77777777" w:rsidR="0046798B" w:rsidRDefault="0046798B">
            <w:pPr>
              <w:pStyle w:val="TableParagraph"/>
              <w:spacing w:before="6"/>
              <w:rPr>
                <w:sz w:val="21"/>
              </w:rPr>
            </w:pPr>
          </w:p>
          <w:p w14:paraId="2EB37A6D" w14:textId="77777777" w:rsidR="0046798B" w:rsidRDefault="00903B5C">
            <w:pPr>
              <w:pStyle w:val="TableParagraph"/>
              <w:ind w:left="114" w:right="1475"/>
              <w:rPr>
                <w:sz w:val="20"/>
              </w:rPr>
            </w:pPr>
            <w:r>
              <w:rPr>
                <w:sz w:val="20"/>
              </w:rPr>
              <w:t>0 = policy not adopted 1 = policy adopted</w:t>
            </w:r>
          </w:p>
        </w:tc>
        <w:tc>
          <w:tcPr>
            <w:tcW w:w="6482" w:type="dxa"/>
            <w:tcBorders>
              <w:top w:val="dotted" w:sz="6" w:space="0" w:color="BEBEBE"/>
            </w:tcBorders>
          </w:tcPr>
          <w:p w14:paraId="366C852F" w14:textId="77777777" w:rsidR="0046798B" w:rsidRDefault="00903B5C">
            <w:pPr>
              <w:pStyle w:val="TableParagraph"/>
              <w:spacing w:before="40"/>
              <w:ind w:left="114"/>
              <w:rPr>
                <w:sz w:val="20"/>
              </w:rPr>
            </w:pPr>
            <w:r>
              <w:rPr>
                <w:sz w:val="20"/>
              </w:rPr>
              <w:t xml:space="preserve">Uniform Law Commission website: </w:t>
            </w:r>
            <w:hyperlink r:id="rId966">
              <w:r>
                <w:rPr>
                  <w:color w:val="0462C1"/>
                  <w:sz w:val="20"/>
                  <w:u w:val="single" w:color="0462C1"/>
                </w:rPr>
                <w:t>http://www.uniformlaws.org/</w:t>
              </w:r>
            </w:hyperlink>
          </w:p>
          <w:p w14:paraId="7C3E30E4" w14:textId="77777777" w:rsidR="0046798B" w:rsidRDefault="0046798B">
            <w:pPr>
              <w:pStyle w:val="TableParagraph"/>
              <w:rPr>
                <w:sz w:val="20"/>
              </w:rPr>
            </w:pPr>
          </w:p>
          <w:p w14:paraId="78E68C57"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5AEBB8CD" w14:textId="77777777">
        <w:trPr>
          <w:trHeight w:val="1470"/>
        </w:trPr>
        <w:tc>
          <w:tcPr>
            <w:tcW w:w="1711" w:type="dxa"/>
          </w:tcPr>
          <w:p w14:paraId="686AFB87" w14:textId="77777777" w:rsidR="0046798B" w:rsidRDefault="0046798B">
            <w:pPr>
              <w:pStyle w:val="TableParagraph"/>
            </w:pPr>
          </w:p>
          <w:p w14:paraId="6B4064C6" w14:textId="77777777" w:rsidR="0046798B" w:rsidRDefault="00903B5C">
            <w:pPr>
              <w:pStyle w:val="TableParagraph"/>
              <w:spacing w:before="135"/>
              <w:ind w:left="115" w:right="190"/>
              <w:jc w:val="both"/>
              <w:rPr>
                <w:b/>
                <w:sz w:val="20"/>
              </w:rPr>
            </w:pPr>
            <w:r>
              <w:rPr>
                <w:b/>
                <w:sz w:val="20"/>
              </w:rPr>
              <w:t>probate_code_a mendments_200 8</w:t>
            </w:r>
          </w:p>
        </w:tc>
        <w:tc>
          <w:tcPr>
            <w:tcW w:w="1596" w:type="dxa"/>
          </w:tcPr>
          <w:p w14:paraId="2066EE00" w14:textId="77777777" w:rsidR="0046798B" w:rsidRDefault="0046798B">
            <w:pPr>
              <w:pStyle w:val="TableParagraph"/>
              <w:spacing w:before="8"/>
              <w:rPr>
                <w:sz w:val="23"/>
              </w:rPr>
            </w:pPr>
          </w:p>
          <w:p w14:paraId="27C54966" w14:textId="77777777" w:rsidR="0046798B" w:rsidRDefault="00903B5C">
            <w:pPr>
              <w:pStyle w:val="TableParagraph"/>
              <w:spacing w:before="1"/>
              <w:ind w:left="114" w:right="224"/>
              <w:rPr>
                <w:sz w:val="20"/>
              </w:rPr>
            </w:pPr>
            <w:r>
              <w:rPr>
                <w:sz w:val="20"/>
              </w:rPr>
              <w:t>Governs inheritance and decedents’ estates (2008)</w:t>
            </w:r>
          </w:p>
        </w:tc>
        <w:tc>
          <w:tcPr>
            <w:tcW w:w="1285" w:type="dxa"/>
          </w:tcPr>
          <w:p w14:paraId="569D87E6" w14:textId="77777777" w:rsidR="0046798B" w:rsidRDefault="0046798B">
            <w:pPr>
              <w:pStyle w:val="TableParagraph"/>
            </w:pPr>
          </w:p>
          <w:p w14:paraId="74736515" w14:textId="77777777" w:rsidR="0046798B" w:rsidRDefault="0046798B">
            <w:pPr>
              <w:pStyle w:val="TableParagraph"/>
              <w:spacing w:before="9"/>
              <w:rPr>
                <w:sz w:val="31"/>
              </w:rPr>
            </w:pPr>
          </w:p>
          <w:p w14:paraId="09F9D15D" w14:textId="77777777" w:rsidR="0046798B" w:rsidRDefault="00903B5C">
            <w:pPr>
              <w:pStyle w:val="TableParagraph"/>
              <w:ind w:left="114"/>
              <w:rPr>
                <w:sz w:val="20"/>
              </w:rPr>
            </w:pPr>
            <w:r>
              <w:rPr>
                <w:sz w:val="20"/>
              </w:rPr>
              <w:t>2009–2011</w:t>
            </w:r>
          </w:p>
        </w:tc>
        <w:tc>
          <w:tcPr>
            <w:tcW w:w="3421" w:type="dxa"/>
          </w:tcPr>
          <w:p w14:paraId="4FE1A4A4" w14:textId="77777777" w:rsidR="0046798B" w:rsidRDefault="0046798B">
            <w:pPr>
              <w:pStyle w:val="TableParagraph"/>
            </w:pPr>
          </w:p>
          <w:p w14:paraId="1E7608D6" w14:textId="77777777" w:rsidR="0046798B" w:rsidRDefault="0046798B">
            <w:pPr>
              <w:pStyle w:val="TableParagraph"/>
              <w:spacing w:before="8"/>
              <w:rPr>
                <w:sz w:val="21"/>
              </w:rPr>
            </w:pPr>
          </w:p>
          <w:p w14:paraId="313DCABE"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2A979C10" w14:textId="77777777" w:rsidR="0046798B" w:rsidRDefault="00903B5C">
            <w:pPr>
              <w:pStyle w:val="TableParagraph"/>
              <w:spacing w:before="43"/>
              <w:ind w:left="114"/>
              <w:rPr>
                <w:sz w:val="20"/>
              </w:rPr>
            </w:pPr>
            <w:r>
              <w:rPr>
                <w:sz w:val="20"/>
              </w:rPr>
              <w:t xml:space="preserve">Uniform Law Commission website: </w:t>
            </w:r>
            <w:hyperlink r:id="rId967">
              <w:r>
                <w:rPr>
                  <w:color w:val="0462C1"/>
                  <w:sz w:val="20"/>
                  <w:u w:val="single" w:color="0462C1"/>
                </w:rPr>
                <w:t>http://www.uniformlaws.org/</w:t>
              </w:r>
            </w:hyperlink>
          </w:p>
          <w:p w14:paraId="154ADEC4" w14:textId="77777777" w:rsidR="0046798B" w:rsidRDefault="0046798B">
            <w:pPr>
              <w:pStyle w:val="TableParagraph"/>
              <w:rPr>
                <w:sz w:val="20"/>
              </w:rPr>
            </w:pPr>
          </w:p>
          <w:p w14:paraId="7450CD95"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34CD8006" w14:textId="77777777">
        <w:trPr>
          <w:trHeight w:val="1465"/>
        </w:trPr>
        <w:tc>
          <w:tcPr>
            <w:tcW w:w="1711" w:type="dxa"/>
          </w:tcPr>
          <w:p w14:paraId="201D6B10" w14:textId="77777777" w:rsidR="0046798B" w:rsidRDefault="0046798B">
            <w:pPr>
              <w:pStyle w:val="TableParagraph"/>
            </w:pPr>
          </w:p>
          <w:p w14:paraId="23A10F71" w14:textId="77777777" w:rsidR="0046798B" w:rsidRDefault="0046798B">
            <w:pPr>
              <w:pStyle w:val="TableParagraph"/>
              <w:spacing w:before="4"/>
              <w:rPr>
                <w:sz w:val="21"/>
              </w:rPr>
            </w:pPr>
          </w:p>
          <w:p w14:paraId="74DA3897" w14:textId="77777777" w:rsidR="0046798B" w:rsidRDefault="00903B5C">
            <w:pPr>
              <w:pStyle w:val="TableParagraph"/>
              <w:ind w:left="115" w:right="121"/>
              <w:rPr>
                <w:b/>
                <w:sz w:val="20"/>
              </w:rPr>
            </w:pPr>
            <w:r>
              <w:rPr>
                <w:b/>
                <w:sz w:val="20"/>
              </w:rPr>
              <w:t>protection_of_ch aritable_assets</w:t>
            </w:r>
          </w:p>
        </w:tc>
        <w:tc>
          <w:tcPr>
            <w:tcW w:w="1596" w:type="dxa"/>
          </w:tcPr>
          <w:p w14:paraId="72B9F130" w14:textId="77777777" w:rsidR="0046798B" w:rsidRDefault="00903B5C">
            <w:pPr>
              <w:pStyle w:val="TableParagraph"/>
              <w:spacing w:before="38"/>
              <w:ind w:left="114" w:right="147"/>
              <w:rPr>
                <w:sz w:val="20"/>
              </w:rPr>
            </w:pPr>
            <w:r>
              <w:rPr>
                <w:sz w:val="20"/>
              </w:rPr>
              <w:t>Articulate and confirm the role of the state attorney general in protecting charitable assets</w:t>
            </w:r>
          </w:p>
        </w:tc>
        <w:tc>
          <w:tcPr>
            <w:tcW w:w="1285" w:type="dxa"/>
          </w:tcPr>
          <w:p w14:paraId="6266B3D9" w14:textId="77777777" w:rsidR="0046798B" w:rsidRDefault="0046798B">
            <w:pPr>
              <w:pStyle w:val="TableParagraph"/>
            </w:pPr>
          </w:p>
          <w:p w14:paraId="190E7DF3" w14:textId="77777777" w:rsidR="0046798B" w:rsidRDefault="0046798B">
            <w:pPr>
              <w:pStyle w:val="TableParagraph"/>
              <w:spacing w:before="4"/>
              <w:rPr>
                <w:sz w:val="31"/>
              </w:rPr>
            </w:pPr>
          </w:p>
          <w:p w14:paraId="5C029F41" w14:textId="77777777" w:rsidR="0046798B" w:rsidRDefault="00903B5C">
            <w:pPr>
              <w:pStyle w:val="TableParagraph"/>
              <w:ind w:left="114"/>
              <w:rPr>
                <w:sz w:val="20"/>
              </w:rPr>
            </w:pPr>
            <w:r>
              <w:rPr>
                <w:sz w:val="20"/>
              </w:rPr>
              <w:t>2014</w:t>
            </w:r>
          </w:p>
        </w:tc>
        <w:tc>
          <w:tcPr>
            <w:tcW w:w="3421" w:type="dxa"/>
          </w:tcPr>
          <w:p w14:paraId="6BA4617E" w14:textId="77777777" w:rsidR="0046798B" w:rsidRDefault="0046798B">
            <w:pPr>
              <w:pStyle w:val="TableParagraph"/>
            </w:pPr>
          </w:p>
          <w:p w14:paraId="1C3D19A9" w14:textId="77777777" w:rsidR="0046798B" w:rsidRDefault="0046798B">
            <w:pPr>
              <w:pStyle w:val="TableParagraph"/>
              <w:spacing w:before="4"/>
              <w:rPr>
                <w:sz w:val="21"/>
              </w:rPr>
            </w:pPr>
          </w:p>
          <w:p w14:paraId="6F0E17AC" w14:textId="77777777" w:rsidR="0046798B" w:rsidRDefault="00903B5C">
            <w:pPr>
              <w:pStyle w:val="TableParagraph"/>
              <w:ind w:left="114" w:right="1475"/>
              <w:rPr>
                <w:sz w:val="20"/>
              </w:rPr>
            </w:pPr>
            <w:r>
              <w:rPr>
                <w:sz w:val="20"/>
              </w:rPr>
              <w:t>0 = policy not adopted 1 = policy adopted</w:t>
            </w:r>
          </w:p>
        </w:tc>
        <w:tc>
          <w:tcPr>
            <w:tcW w:w="6482" w:type="dxa"/>
          </w:tcPr>
          <w:p w14:paraId="0AAF12EE" w14:textId="77777777" w:rsidR="0046798B" w:rsidRDefault="00903B5C">
            <w:pPr>
              <w:pStyle w:val="TableParagraph"/>
              <w:spacing w:before="38"/>
              <w:ind w:left="114"/>
              <w:rPr>
                <w:sz w:val="20"/>
              </w:rPr>
            </w:pPr>
            <w:r>
              <w:rPr>
                <w:sz w:val="20"/>
              </w:rPr>
              <w:t xml:space="preserve">Uniform Law Commission website: </w:t>
            </w:r>
            <w:hyperlink r:id="rId968">
              <w:r>
                <w:rPr>
                  <w:color w:val="0462C1"/>
                  <w:sz w:val="20"/>
                  <w:u w:val="single" w:color="0462C1"/>
                </w:rPr>
                <w:t>http://www.uniformlaws.org/</w:t>
              </w:r>
            </w:hyperlink>
          </w:p>
          <w:p w14:paraId="7975E83C" w14:textId="77777777" w:rsidR="0046798B" w:rsidRDefault="0046798B">
            <w:pPr>
              <w:pStyle w:val="TableParagraph"/>
              <w:rPr>
                <w:sz w:val="20"/>
              </w:rPr>
            </w:pPr>
          </w:p>
          <w:p w14:paraId="3B5B3358"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290339E" w14:textId="77777777">
        <w:trPr>
          <w:trHeight w:val="2386"/>
        </w:trPr>
        <w:tc>
          <w:tcPr>
            <w:tcW w:w="1711" w:type="dxa"/>
          </w:tcPr>
          <w:p w14:paraId="4AB543D7" w14:textId="77777777" w:rsidR="0046798B" w:rsidRDefault="0046798B">
            <w:pPr>
              <w:pStyle w:val="TableParagraph"/>
            </w:pPr>
          </w:p>
          <w:p w14:paraId="26F86AE5" w14:textId="77777777" w:rsidR="0046798B" w:rsidRDefault="0046798B">
            <w:pPr>
              <w:pStyle w:val="TableParagraph"/>
            </w:pPr>
          </w:p>
          <w:p w14:paraId="23299A3A" w14:textId="77777777" w:rsidR="0046798B" w:rsidRDefault="0046798B">
            <w:pPr>
              <w:pStyle w:val="TableParagraph"/>
            </w:pPr>
          </w:p>
          <w:p w14:paraId="0E0E5E0B" w14:textId="77777777" w:rsidR="0046798B" w:rsidRDefault="0046798B">
            <w:pPr>
              <w:pStyle w:val="TableParagraph"/>
              <w:spacing w:before="4"/>
              <w:rPr>
                <w:sz w:val="17"/>
              </w:rPr>
            </w:pPr>
          </w:p>
          <w:p w14:paraId="583A7D99" w14:textId="77777777" w:rsidR="0046798B" w:rsidRDefault="00903B5C">
            <w:pPr>
              <w:pStyle w:val="TableParagraph"/>
              <w:ind w:left="115"/>
              <w:rPr>
                <w:b/>
                <w:sz w:val="20"/>
              </w:rPr>
            </w:pPr>
            <w:r>
              <w:rPr>
                <w:b/>
                <w:sz w:val="20"/>
              </w:rPr>
              <w:t>prudent_investor</w:t>
            </w:r>
          </w:p>
          <w:p w14:paraId="56F139DC" w14:textId="77777777" w:rsidR="0046798B" w:rsidRDefault="00903B5C">
            <w:pPr>
              <w:pStyle w:val="TableParagraph"/>
              <w:ind w:left="115"/>
              <w:rPr>
                <w:b/>
                <w:sz w:val="20"/>
              </w:rPr>
            </w:pPr>
            <w:r>
              <w:rPr>
                <w:b/>
                <w:sz w:val="20"/>
              </w:rPr>
              <w:t>_act</w:t>
            </w:r>
          </w:p>
        </w:tc>
        <w:tc>
          <w:tcPr>
            <w:tcW w:w="1596" w:type="dxa"/>
          </w:tcPr>
          <w:p w14:paraId="7F45A09C" w14:textId="77777777" w:rsidR="0046798B" w:rsidRDefault="00903B5C">
            <w:pPr>
              <w:pStyle w:val="TableParagraph"/>
              <w:spacing w:before="38"/>
              <w:ind w:left="114" w:right="219"/>
              <w:rPr>
                <w:sz w:val="20"/>
              </w:rPr>
            </w:pPr>
            <w:r>
              <w:rPr>
                <w:sz w:val="20"/>
              </w:rPr>
              <w:t>Reflects a “Modern Portfolio Theory” and “Total Return” approach to the exercise of fiduciary investment discretion</w:t>
            </w:r>
          </w:p>
        </w:tc>
        <w:tc>
          <w:tcPr>
            <w:tcW w:w="1285" w:type="dxa"/>
          </w:tcPr>
          <w:p w14:paraId="2D2F6BE5" w14:textId="77777777" w:rsidR="0046798B" w:rsidRDefault="0046798B">
            <w:pPr>
              <w:pStyle w:val="TableParagraph"/>
            </w:pPr>
          </w:p>
          <w:p w14:paraId="0F4B0756" w14:textId="77777777" w:rsidR="0046798B" w:rsidRDefault="0046798B">
            <w:pPr>
              <w:pStyle w:val="TableParagraph"/>
            </w:pPr>
          </w:p>
          <w:p w14:paraId="4C652B3C" w14:textId="77777777" w:rsidR="0046798B" w:rsidRDefault="0046798B">
            <w:pPr>
              <w:pStyle w:val="TableParagraph"/>
            </w:pPr>
          </w:p>
          <w:p w14:paraId="60387117" w14:textId="77777777" w:rsidR="0046798B" w:rsidRDefault="0046798B">
            <w:pPr>
              <w:pStyle w:val="TableParagraph"/>
              <w:spacing w:before="4"/>
              <w:rPr>
                <w:sz w:val="27"/>
              </w:rPr>
            </w:pPr>
          </w:p>
          <w:p w14:paraId="70576674" w14:textId="77777777" w:rsidR="0046798B" w:rsidRDefault="00903B5C">
            <w:pPr>
              <w:pStyle w:val="TableParagraph"/>
              <w:ind w:left="114"/>
              <w:rPr>
                <w:sz w:val="20"/>
              </w:rPr>
            </w:pPr>
            <w:r>
              <w:rPr>
                <w:sz w:val="20"/>
              </w:rPr>
              <w:t>1991–2006</w:t>
            </w:r>
          </w:p>
        </w:tc>
        <w:tc>
          <w:tcPr>
            <w:tcW w:w="3421" w:type="dxa"/>
          </w:tcPr>
          <w:p w14:paraId="64026DF1" w14:textId="77777777" w:rsidR="0046798B" w:rsidRDefault="0046798B">
            <w:pPr>
              <w:pStyle w:val="TableParagraph"/>
            </w:pPr>
          </w:p>
          <w:p w14:paraId="4C40B5DB" w14:textId="77777777" w:rsidR="0046798B" w:rsidRDefault="0046798B">
            <w:pPr>
              <w:pStyle w:val="TableParagraph"/>
            </w:pPr>
          </w:p>
          <w:p w14:paraId="698D5D56" w14:textId="77777777" w:rsidR="0046798B" w:rsidRDefault="0046798B">
            <w:pPr>
              <w:pStyle w:val="TableParagraph"/>
            </w:pPr>
          </w:p>
          <w:p w14:paraId="6F4290B8" w14:textId="77777777" w:rsidR="0046798B" w:rsidRDefault="0046798B">
            <w:pPr>
              <w:pStyle w:val="TableParagraph"/>
              <w:spacing w:before="4"/>
              <w:rPr>
                <w:sz w:val="17"/>
              </w:rPr>
            </w:pPr>
          </w:p>
          <w:p w14:paraId="67B6D2EF" w14:textId="77777777" w:rsidR="0046798B" w:rsidRDefault="00903B5C">
            <w:pPr>
              <w:pStyle w:val="TableParagraph"/>
              <w:ind w:left="114" w:right="1475"/>
              <w:rPr>
                <w:sz w:val="20"/>
              </w:rPr>
            </w:pPr>
            <w:r>
              <w:rPr>
                <w:sz w:val="20"/>
              </w:rPr>
              <w:t>0 = policy not adopted 1 = policy adopted</w:t>
            </w:r>
          </w:p>
        </w:tc>
        <w:tc>
          <w:tcPr>
            <w:tcW w:w="6482" w:type="dxa"/>
          </w:tcPr>
          <w:p w14:paraId="6BC710D5" w14:textId="77777777" w:rsidR="0046798B" w:rsidRDefault="0046798B">
            <w:pPr>
              <w:pStyle w:val="TableParagraph"/>
            </w:pPr>
          </w:p>
          <w:p w14:paraId="4EDDBECD" w14:textId="77777777" w:rsidR="0046798B" w:rsidRDefault="0046798B">
            <w:pPr>
              <w:pStyle w:val="TableParagraph"/>
              <w:spacing w:before="4"/>
              <w:rPr>
                <w:sz w:val="21"/>
              </w:rPr>
            </w:pPr>
          </w:p>
          <w:p w14:paraId="2BEDAF64" w14:textId="77777777" w:rsidR="0046798B" w:rsidRDefault="00903B5C">
            <w:pPr>
              <w:pStyle w:val="TableParagraph"/>
              <w:ind w:left="114"/>
              <w:rPr>
                <w:sz w:val="20"/>
              </w:rPr>
            </w:pPr>
            <w:r>
              <w:rPr>
                <w:sz w:val="20"/>
              </w:rPr>
              <w:t xml:space="preserve">Uniform Law Commission website: </w:t>
            </w:r>
            <w:hyperlink r:id="rId969">
              <w:r>
                <w:rPr>
                  <w:color w:val="0462C1"/>
                  <w:sz w:val="20"/>
                  <w:u w:val="single" w:color="0462C1"/>
                </w:rPr>
                <w:t>http://www.uniformlaws.org/</w:t>
              </w:r>
            </w:hyperlink>
          </w:p>
          <w:p w14:paraId="586E5EE7" w14:textId="77777777" w:rsidR="0046798B" w:rsidRDefault="0046798B">
            <w:pPr>
              <w:pStyle w:val="TableParagraph"/>
              <w:rPr>
                <w:sz w:val="20"/>
              </w:rPr>
            </w:pPr>
          </w:p>
          <w:p w14:paraId="1D3B9A03"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5F93B5A" w14:textId="77777777">
        <w:trPr>
          <w:trHeight w:val="1925"/>
        </w:trPr>
        <w:tc>
          <w:tcPr>
            <w:tcW w:w="1711" w:type="dxa"/>
          </w:tcPr>
          <w:p w14:paraId="4118F5A9" w14:textId="77777777" w:rsidR="0046798B" w:rsidRDefault="0046798B">
            <w:pPr>
              <w:pStyle w:val="TableParagraph"/>
            </w:pPr>
          </w:p>
          <w:p w14:paraId="7595363F" w14:textId="77777777" w:rsidR="0046798B" w:rsidRDefault="0046798B">
            <w:pPr>
              <w:pStyle w:val="TableParagraph"/>
            </w:pPr>
          </w:p>
          <w:p w14:paraId="784F17A1" w14:textId="77777777" w:rsidR="0046798B" w:rsidRDefault="0046798B">
            <w:pPr>
              <w:pStyle w:val="TableParagraph"/>
              <w:spacing w:before="4"/>
              <w:rPr>
                <w:sz w:val="19"/>
              </w:rPr>
            </w:pPr>
          </w:p>
          <w:p w14:paraId="0D4A685D" w14:textId="77777777" w:rsidR="0046798B" w:rsidRDefault="00903B5C">
            <w:pPr>
              <w:pStyle w:val="TableParagraph"/>
              <w:ind w:left="115" w:right="144"/>
              <w:rPr>
                <w:b/>
                <w:sz w:val="20"/>
              </w:rPr>
            </w:pPr>
            <w:r>
              <w:rPr>
                <w:b/>
                <w:sz w:val="20"/>
              </w:rPr>
              <w:t>real_estate_coop erative</w:t>
            </w:r>
          </w:p>
        </w:tc>
        <w:tc>
          <w:tcPr>
            <w:tcW w:w="1596" w:type="dxa"/>
          </w:tcPr>
          <w:p w14:paraId="7A926869" w14:textId="77777777" w:rsidR="0046798B" w:rsidRDefault="00903B5C">
            <w:pPr>
              <w:pStyle w:val="TableParagraph"/>
              <w:spacing w:before="38"/>
              <w:ind w:left="114" w:right="97"/>
              <w:rPr>
                <w:sz w:val="20"/>
              </w:rPr>
            </w:pPr>
            <w:r>
              <w:rPr>
                <w:sz w:val="20"/>
              </w:rPr>
              <w:t>Provides comprehensive legislation governing the critical phases of cooperative development: creation,</w:t>
            </w:r>
          </w:p>
        </w:tc>
        <w:tc>
          <w:tcPr>
            <w:tcW w:w="1285" w:type="dxa"/>
          </w:tcPr>
          <w:p w14:paraId="5DBC7FED" w14:textId="77777777" w:rsidR="0046798B" w:rsidRDefault="0046798B">
            <w:pPr>
              <w:pStyle w:val="TableParagraph"/>
            </w:pPr>
          </w:p>
          <w:p w14:paraId="238483A3" w14:textId="77777777" w:rsidR="0046798B" w:rsidRDefault="0046798B">
            <w:pPr>
              <w:pStyle w:val="TableParagraph"/>
            </w:pPr>
          </w:p>
          <w:p w14:paraId="2DBAC434" w14:textId="77777777" w:rsidR="0046798B" w:rsidRDefault="0046798B">
            <w:pPr>
              <w:pStyle w:val="TableParagraph"/>
              <w:spacing w:before="4"/>
              <w:rPr>
                <w:sz w:val="29"/>
              </w:rPr>
            </w:pPr>
          </w:p>
          <w:p w14:paraId="7105DD5F" w14:textId="77777777" w:rsidR="0046798B" w:rsidRDefault="00903B5C">
            <w:pPr>
              <w:pStyle w:val="TableParagraph"/>
              <w:ind w:left="114"/>
              <w:rPr>
                <w:sz w:val="20"/>
              </w:rPr>
            </w:pPr>
            <w:r>
              <w:rPr>
                <w:sz w:val="20"/>
              </w:rPr>
              <w:t>1982</w:t>
            </w:r>
          </w:p>
        </w:tc>
        <w:tc>
          <w:tcPr>
            <w:tcW w:w="3421" w:type="dxa"/>
          </w:tcPr>
          <w:p w14:paraId="090A8797" w14:textId="77777777" w:rsidR="0046798B" w:rsidRDefault="0046798B">
            <w:pPr>
              <w:pStyle w:val="TableParagraph"/>
            </w:pPr>
          </w:p>
          <w:p w14:paraId="74006BEB" w14:textId="77777777" w:rsidR="0046798B" w:rsidRDefault="0046798B">
            <w:pPr>
              <w:pStyle w:val="TableParagraph"/>
            </w:pPr>
          </w:p>
          <w:p w14:paraId="4F38FBD3" w14:textId="77777777" w:rsidR="0046798B" w:rsidRDefault="0046798B">
            <w:pPr>
              <w:pStyle w:val="TableParagraph"/>
              <w:spacing w:before="4"/>
              <w:rPr>
                <w:sz w:val="19"/>
              </w:rPr>
            </w:pPr>
          </w:p>
          <w:p w14:paraId="5821A564" w14:textId="77777777" w:rsidR="0046798B" w:rsidRDefault="00903B5C">
            <w:pPr>
              <w:pStyle w:val="TableParagraph"/>
              <w:ind w:left="114" w:right="1475"/>
              <w:rPr>
                <w:sz w:val="20"/>
              </w:rPr>
            </w:pPr>
            <w:r>
              <w:rPr>
                <w:sz w:val="20"/>
              </w:rPr>
              <w:t>0 = policy not adopted 1 = policy adopted</w:t>
            </w:r>
          </w:p>
        </w:tc>
        <w:tc>
          <w:tcPr>
            <w:tcW w:w="6482" w:type="dxa"/>
          </w:tcPr>
          <w:p w14:paraId="1DD2E212" w14:textId="77777777" w:rsidR="0046798B" w:rsidRDefault="0046798B">
            <w:pPr>
              <w:pStyle w:val="TableParagraph"/>
              <w:spacing w:before="4"/>
              <w:rPr>
                <w:sz w:val="23"/>
              </w:rPr>
            </w:pPr>
          </w:p>
          <w:p w14:paraId="3E377FDE" w14:textId="77777777" w:rsidR="0046798B" w:rsidRDefault="00903B5C">
            <w:pPr>
              <w:pStyle w:val="TableParagraph"/>
              <w:ind w:left="114"/>
              <w:rPr>
                <w:sz w:val="20"/>
              </w:rPr>
            </w:pPr>
            <w:r>
              <w:rPr>
                <w:sz w:val="20"/>
              </w:rPr>
              <w:t xml:space="preserve">Uniform Law Commission website: </w:t>
            </w:r>
            <w:hyperlink r:id="rId970">
              <w:r>
                <w:rPr>
                  <w:color w:val="0462C1"/>
                  <w:sz w:val="20"/>
                  <w:u w:val="single" w:color="0462C1"/>
                </w:rPr>
                <w:t>http://www.uniformlaws.org/</w:t>
              </w:r>
            </w:hyperlink>
          </w:p>
          <w:p w14:paraId="72312B62" w14:textId="77777777" w:rsidR="0046798B" w:rsidRDefault="0046798B">
            <w:pPr>
              <w:pStyle w:val="TableParagraph"/>
              <w:rPr>
                <w:sz w:val="20"/>
              </w:rPr>
            </w:pPr>
          </w:p>
          <w:p w14:paraId="635A303B"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bl>
    <w:p w14:paraId="15669F19" w14:textId="77777777" w:rsidR="0046798B" w:rsidRDefault="0046798B">
      <w:pPr>
        <w:rPr>
          <w:sz w:val="20"/>
        </w:rPr>
        <w:sectPr w:rsidR="0046798B">
          <w:pgSz w:w="15840" w:h="12240" w:orient="landscape"/>
          <w:pgMar w:top="1220" w:right="300" w:bottom="980" w:left="820" w:header="730" w:footer="787" w:gutter="0"/>
          <w:cols w:space="720"/>
        </w:sectPr>
      </w:pPr>
    </w:p>
    <w:p w14:paraId="1CF24CCA"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D6D02F7" w14:textId="77777777">
        <w:trPr>
          <w:trHeight w:val="775"/>
        </w:trPr>
        <w:tc>
          <w:tcPr>
            <w:tcW w:w="1711" w:type="dxa"/>
          </w:tcPr>
          <w:p w14:paraId="16789888" w14:textId="77777777" w:rsidR="0046798B" w:rsidRDefault="0046798B">
            <w:pPr>
              <w:pStyle w:val="TableParagraph"/>
              <w:rPr>
                <w:sz w:val="20"/>
              </w:rPr>
            </w:pPr>
          </w:p>
        </w:tc>
        <w:tc>
          <w:tcPr>
            <w:tcW w:w="1596" w:type="dxa"/>
          </w:tcPr>
          <w:p w14:paraId="2B806742" w14:textId="77777777" w:rsidR="0046798B" w:rsidRDefault="00903B5C">
            <w:pPr>
              <w:pStyle w:val="TableParagraph"/>
              <w:spacing w:before="43"/>
              <w:ind w:left="114" w:right="191"/>
              <w:rPr>
                <w:sz w:val="20"/>
              </w:rPr>
            </w:pPr>
            <w:r>
              <w:rPr>
                <w:sz w:val="20"/>
              </w:rPr>
              <w:t>financing, management, and termination</w:t>
            </w:r>
          </w:p>
        </w:tc>
        <w:tc>
          <w:tcPr>
            <w:tcW w:w="1285" w:type="dxa"/>
          </w:tcPr>
          <w:p w14:paraId="78061E3F" w14:textId="77777777" w:rsidR="0046798B" w:rsidRDefault="0046798B">
            <w:pPr>
              <w:pStyle w:val="TableParagraph"/>
              <w:rPr>
                <w:sz w:val="20"/>
              </w:rPr>
            </w:pPr>
          </w:p>
        </w:tc>
        <w:tc>
          <w:tcPr>
            <w:tcW w:w="3421" w:type="dxa"/>
          </w:tcPr>
          <w:p w14:paraId="1DC35DD6" w14:textId="77777777" w:rsidR="0046798B" w:rsidRDefault="0046798B">
            <w:pPr>
              <w:pStyle w:val="TableParagraph"/>
              <w:rPr>
                <w:sz w:val="20"/>
              </w:rPr>
            </w:pPr>
          </w:p>
        </w:tc>
        <w:tc>
          <w:tcPr>
            <w:tcW w:w="6482" w:type="dxa"/>
          </w:tcPr>
          <w:p w14:paraId="6AF39376" w14:textId="77777777" w:rsidR="0046798B" w:rsidRDefault="0046798B">
            <w:pPr>
              <w:pStyle w:val="TableParagraph"/>
              <w:rPr>
                <w:sz w:val="20"/>
              </w:rPr>
            </w:pPr>
          </w:p>
        </w:tc>
      </w:tr>
      <w:tr w:rsidR="0046798B" w14:paraId="1C120BF4" w14:textId="77777777">
        <w:trPr>
          <w:trHeight w:val="1695"/>
        </w:trPr>
        <w:tc>
          <w:tcPr>
            <w:tcW w:w="1711" w:type="dxa"/>
          </w:tcPr>
          <w:p w14:paraId="7A178330" w14:textId="77777777" w:rsidR="0046798B" w:rsidRDefault="0046798B">
            <w:pPr>
              <w:pStyle w:val="TableParagraph"/>
            </w:pPr>
          </w:p>
          <w:p w14:paraId="7310B0E2" w14:textId="77777777" w:rsidR="0046798B" w:rsidRDefault="0046798B">
            <w:pPr>
              <w:pStyle w:val="TableParagraph"/>
              <w:spacing w:before="8"/>
              <w:rPr>
                <w:sz w:val="31"/>
              </w:rPr>
            </w:pPr>
          </w:p>
          <w:p w14:paraId="625ED665" w14:textId="77777777" w:rsidR="0046798B" w:rsidRDefault="00903B5C">
            <w:pPr>
              <w:pStyle w:val="TableParagraph"/>
              <w:spacing w:before="1"/>
              <w:ind w:left="115" w:right="122"/>
              <w:rPr>
                <w:b/>
                <w:sz w:val="20"/>
              </w:rPr>
            </w:pPr>
            <w:r>
              <w:rPr>
                <w:b/>
                <w:sz w:val="20"/>
              </w:rPr>
              <w:t>real_property_tr ansfer_on_death</w:t>
            </w:r>
          </w:p>
        </w:tc>
        <w:tc>
          <w:tcPr>
            <w:tcW w:w="1596" w:type="dxa"/>
          </w:tcPr>
          <w:p w14:paraId="6B53CA1D" w14:textId="77777777" w:rsidR="0046798B" w:rsidRDefault="00903B5C">
            <w:pPr>
              <w:pStyle w:val="TableParagraph"/>
              <w:spacing w:before="43"/>
              <w:ind w:left="114" w:right="147"/>
              <w:rPr>
                <w:sz w:val="20"/>
              </w:rPr>
            </w:pPr>
            <w:r>
              <w:rPr>
                <w:sz w:val="20"/>
              </w:rPr>
              <w:t>Allows for designated beneficiary to automatically receive property transfer at owner’s death</w:t>
            </w:r>
          </w:p>
        </w:tc>
        <w:tc>
          <w:tcPr>
            <w:tcW w:w="1285" w:type="dxa"/>
          </w:tcPr>
          <w:p w14:paraId="087DAA2F" w14:textId="77777777" w:rsidR="0046798B" w:rsidRDefault="0046798B">
            <w:pPr>
              <w:pStyle w:val="TableParagraph"/>
            </w:pPr>
          </w:p>
          <w:p w14:paraId="57F67310" w14:textId="77777777" w:rsidR="0046798B" w:rsidRDefault="0046798B">
            <w:pPr>
              <w:pStyle w:val="TableParagraph"/>
            </w:pPr>
          </w:p>
          <w:p w14:paraId="24A90A2D" w14:textId="77777777" w:rsidR="0046798B" w:rsidRDefault="0046798B">
            <w:pPr>
              <w:pStyle w:val="TableParagraph"/>
              <w:spacing w:before="9"/>
              <w:rPr>
                <w:sz w:val="19"/>
              </w:rPr>
            </w:pPr>
          </w:p>
          <w:p w14:paraId="03F82044" w14:textId="77777777" w:rsidR="0046798B" w:rsidRDefault="00903B5C">
            <w:pPr>
              <w:pStyle w:val="TableParagraph"/>
              <w:ind w:left="114"/>
              <w:rPr>
                <w:sz w:val="20"/>
              </w:rPr>
            </w:pPr>
            <w:r>
              <w:rPr>
                <w:sz w:val="20"/>
              </w:rPr>
              <w:t>2011–2015</w:t>
            </w:r>
          </w:p>
        </w:tc>
        <w:tc>
          <w:tcPr>
            <w:tcW w:w="3421" w:type="dxa"/>
          </w:tcPr>
          <w:p w14:paraId="60FA81DB" w14:textId="77777777" w:rsidR="0046798B" w:rsidRDefault="0046798B">
            <w:pPr>
              <w:pStyle w:val="TableParagraph"/>
            </w:pPr>
          </w:p>
          <w:p w14:paraId="05548E65" w14:textId="77777777" w:rsidR="0046798B" w:rsidRDefault="0046798B">
            <w:pPr>
              <w:pStyle w:val="TableParagraph"/>
              <w:spacing w:before="8"/>
              <w:rPr>
                <w:sz w:val="31"/>
              </w:rPr>
            </w:pPr>
          </w:p>
          <w:p w14:paraId="17E77862"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26020A37" w14:textId="77777777" w:rsidR="0046798B" w:rsidRDefault="00903B5C">
            <w:pPr>
              <w:pStyle w:val="TableParagraph"/>
              <w:spacing w:before="158"/>
              <w:ind w:left="114"/>
              <w:rPr>
                <w:sz w:val="20"/>
              </w:rPr>
            </w:pPr>
            <w:r>
              <w:rPr>
                <w:sz w:val="20"/>
              </w:rPr>
              <w:t xml:space="preserve">Uniform Law Commission website: </w:t>
            </w:r>
            <w:hyperlink r:id="rId971">
              <w:r>
                <w:rPr>
                  <w:color w:val="0462C1"/>
                  <w:sz w:val="20"/>
                  <w:u w:val="single" w:color="0462C1"/>
                </w:rPr>
                <w:t>http://www.uniformlaws.org/</w:t>
              </w:r>
            </w:hyperlink>
          </w:p>
          <w:p w14:paraId="374EA5D1" w14:textId="77777777" w:rsidR="0046798B" w:rsidRDefault="0046798B">
            <w:pPr>
              <w:pStyle w:val="TableParagraph"/>
              <w:rPr>
                <w:sz w:val="20"/>
              </w:rPr>
            </w:pPr>
          </w:p>
          <w:p w14:paraId="5F3C017D"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DEF5631" w14:textId="77777777">
        <w:trPr>
          <w:trHeight w:val="1470"/>
        </w:trPr>
        <w:tc>
          <w:tcPr>
            <w:tcW w:w="1711" w:type="dxa"/>
          </w:tcPr>
          <w:p w14:paraId="7B61468F" w14:textId="77777777" w:rsidR="0046798B" w:rsidRDefault="0046798B">
            <w:pPr>
              <w:pStyle w:val="TableParagraph"/>
            </w:pPr>
          </w:p>
          <w:p w14:paraId="5DDCE19F" w14:textId="77777777" w:rsidR="0046798B" w:rsidRDefault="0046798B">
            <w:pPr>
              <w:pStyle w:val="TableParagraph"/>
              <w:spacing w:before="9"/>
              <w:rPr>
                <w:sz w:val="21"/>
              </w:rPr>
            </w:pPr>
          </w:p>
          <w:p w14:paraId="7DC86C65" w14:textId="77777777" w:rsidR="0046798B" w:rsidRDefault="00903B5C">
            <w:pPr>
              <w:pStyle w:val="TableParagraph"/>
              <w:ind w:left="115"/>
              <w:rPr>
                <w:b/>
                <w:sz w:val="20"/>
              </w:rPr>
            </w:pPr>
            <w:r>
              <w:rPr>
                <w:b/>
                <w:sz w:val="20"/>
              </w:rPr>
              <w:t>residential_landl ord_and_tenant</w:t>
            </w:r>
          </w:p>
        </w:tc>
        <w:tc>
          <w:tcPr>
            <w:tcW w:w="1596" w:type="dxa"/>
          </w:tcPr>
          <w:p w14:paraId="0CF36484" w14:textId="77777777" w:rsidR="0046798B" w:rsidRDefault="0046798B">
            <w:pPr>
              <w:pStyle w:val="TableParagraph"/>
            </w:pPr>
          </w:p>
          <w:p w14:paraId="7063DF50" w14:textId="77777777" w:rsidR="0046798B" w:rsidRDefault="00903B5C">
            <w:pPr>
              <w:pStyle w:val="TableParagraph"/>
              <w:spacing w:before="135"/>
              <w:ind w:left="114" w:right="202"/>
              <w:rPr>
                <w:sz w:val="20"/>
              </w:rPr>
            </w:pPr>
            <w:r>
              <w:rPr>
                <w:sz w:val="20"/>
              </w:rPr>
              <w:t>Codify best practices in leasing housing</w:t>
            </w:r>
          </w:p>
        </w:tc>
        <w:tc>
          <w:tcPr>
            <w:tcW w:w="1285" w:type="dxa"/>
          </w:tcPr>
          <w:p w14:paraId="427AE537" w14:textId="77777777" w:rsidR="0046798B" w:rsidRDefault="0046798B">
            <w:pPr>
              <w:pStyle w:val="TableParagraph"/>
            </w:pPr>
          </w:p>
          <w:p w14:paraId="7FB85135" w14:textId="77777777" w:rsidR="0046798B" w:rsidRDefault="0046798B">
            <w:pPr>
              <w:pStyle w:val="TableParagraph"/>
              <w:spacing w:before="9"/>
              <w:rPr>
                <w:sz w:val="31"/>
              </w:rPr>
            </w:pPr>
          </w:p>
          <w:p w14:paraId="5D10637A" w14:textId="77777777" w:rsidR="0046798B" w:rsidRDefault="00903B5C">
            <w:pPr>
              <w:pStyle w:val="TableParagraph"/>
              <w:ind w:left="114"/>
              <w:rPr>
                <w:sz w:val="20"/>
              </w:rPr>
            </w:pPr>
            <w:r>
              <w:rPr>
                <w:sz w:val="20"/>
              </w:rPr>
              <w:t>1972–2006</w:t>
            </w:r>
          </w:p>
        </w:tc>
        <w:tc>
          <w:tcPr>
            <w:tcW w:w="3421" w:type="dxa"/>
          </w:tcPr>
          <w:p w14:paraId="58C517A9" w14:textId="77777777" w:rsidR="0046798B" w:rsidRDefault="0046798B">
            <w:pPr>
              <w:pStyle w:val="TableParagraph"/>
            </w:pPr>
          </w:p>
          <w:p w14:paraId="1C298E28" w14:textId="77777777" w:rsidR="0046798B" w:rsidRDefault="0046798B">
            <w:pPr>
              <w:pStyle w:val="TableParagraph"/>
              <w:spacing w:before="9"/>
              <w:rPr>
                <w:sz w:val="21"/>
              </w:rPr>
            </w:pPr>
          </w:p>
          <w:p w14:paraId="013F4D42" w14:textId="77777777" w:rsidR="0046798B" w:rsidRDefault="00903B5C">
            <w:pPr>
              <w:pStyle w:val="TableParagraph"/>
              <w:ind w:left="114" w:right="1475"/>
              <w:rPr>
                <w:sz w:val="20"/>
              </w:rPr>
            </w:pPr>
            <w:r>
              <w:rPr>
                <w:sz w:val="20"/>
              </w:rPr>
              <w:t>0 = policy not adopted 1 = policy adopted</w:t>
            </w:r>
          </w:p>
        </w:tc>
        <w:tc>
          <w:tcPr>
            <w:tcW w:w="6482" w:type="dxa"/>
          </w:tcPr>
          <w:p w14:paraId="74837D58" w14:textId="77777777" w:rsidR="0046798B" w:rsidRDefault="00903B5C">
            <w:pPr>
              <w:pStyle w:val="TableParagraph"/>
              <w:spacing w:before="43"/>
              <w:ind w:left="114"/>
              <w:rPr>
                <w:sz w:val="20"/>
              </w:rPr>
            </w:pPr>
            <w:r>
              <w:rPr>
                <w:sz w:val="20"/>
              </w:rPr>
              <w:t xml:space="preserve">Uniform Law Commission website: </w:t>
            </w:r>
            <w:hyperlink r:id="rId972">
              <w:r>
                <w:rPr>
                  <w:color w:val="0462C1"/>
                  <w:sz w:val="20"/>
                  <w:u w:val="single" w:color="0462C1"/>
                </w:rPr>
                <w:t>http://www.uniformlaws.org/</w:t>
              </w:r>
            </w:hyperlink>
          </w:p>
          <w:p w14:paraId="736C84CA" w14:textId="77777777" w:rsidR="0046798B" w:rsidRDefault="0046798B">
            <w:pPr>
              <w:pStyle w:val="TableParagraph"/>
              <w:rPr>
                <w:sz w:val="20"/>
              </w:rPr>
            </w:pPr>
          </w:p>
          <w:p w14:paraId="252F2D73"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5E7B8F55" w14:textId="77777777">
        <w:trPr>
          <w:trHeight w:val="1465"/>
        </w:trPr>
        <w:tc>
          <w:tcPr>
            <w:tcW w:w="1711" w:type="dxa"/>
          </w:tcPr>
          <w:p w14:paraId="01CA5F3C" w14:textId="77777777" w:rsidR="0046798B" w:rsidRDefault="0046798B">
            <w:pPr>
              <w:pStyle w:val="TableParagraph"/>
            </w:pPr>
          </w:p>
          <w:p w14:paraId="4BB43492" w14:textId="77777777" w:rsidR="0046798B" w:rsidRDefault="0046798B">
            <w:pPr>
              <w:pStyle w:val="TableParagraph"/>
              <w:spacing w:before="4"/>
              <w:rPr>
                <w:sz w:val="21"/>
              </w:rPr>
            </w:pPr>
          </w:p>
          <w:p w14:paraId="5B51B296" w14:textId="77777777" w:rsidR="0046798B" w:rsidRDefault="00903B5C">
            <w:pPr>
              <w:pStyle w:val="TableParagraph"/>
              <w:ind w:left="115" w:right="144"/>
              <w:rPr>
                <w:b/>
                <w:sz w:val="20"/>
              </w:rPr>
            </w:pPr>
            <w:r>
              <w:rPr>
                <w:b/>
                <w:sz w:val="20"/>
              </w:rPr>
              <w:t>residential_mort gage_satisfactio</w:t>
            </w:r>
          </w:p>
        </w:tc>
        <w:tc>
          <w:tcPr>
            <w:tcW w:w="1596" w:type="dxa"/>
          </w:tcPr>
          <w:p w14:paraId="683D0466" w14:textId="77777777" w:rsidR="0046798B" w:rsidRDefault="0046798B">
            <w:pPr>
              <w:pStyle w:val="TableParagraph"/>
            </w:pPr>
          </w:p>
          <w:p w14:paraId="07DEAA14" w14:textId="77777777" w:rsidR="0046798B" w:rsidRDefault="00903B5C">
            <w:pPr>
              <w:pStyle w:val="TableParagraph"/>
              <w:spacing w:before="130"/>
              <w:ind w:left="114" w:right="135"/>
              <w:rPr>
                <w:sz w:val="20"/>
              </w:rPr>
            </w:pPr>
            <w:r>
              <w:rPr>
                <w:sz w:val="20"/>
              </w:rPr>
              <w:t>Regulating mortgage holder rights</w:t>
            </w:r>
          </w:p>
        </w:tc>
        <w:tc>
          <w:tcPr>
            <w:tcW w:w="1285" w:type="dxa"/>
          </w:tcPr>
          <w:p w14:paraId="042F7FC3" w14:textId="77777777" w:rsidR="0046798B" w:rsidRDefault="0046798B">
            <w:pPr>
              <w:pStyle w:val="TableParagraph"/>
            </w:pPr>
          </w:p>
          <w:p w14:paraId="2D44FBB0" w14:textId="77777777" w:rsidR="0046798B" w:rsidRDefault="0046798B">
            <w:pPr>
              <w:pStyle w:val="TableParagraph"/>
              <w:spacing w:before="4"/>
              <w:rPr>
                <w:sz w:val="31"/>
              </w:rPr>
            </w:pPr>
          </w:p>
          <w:p w14:paraId="4A7849FB" w14:textId="77777777" w:rsidR="0046798B" w:rsidRDefault="00903B5C">
            <w:pPr>
              <w:pStyle w:val="TableParagraph"/>
              <w:ind w:left="114"/>
              <w:rPr>
                <w:sz w:val="20"/>
              </w:rPr>
            </w:pPr>
            <w:r>
              <w:rPr>
                <w:sz w:val="20"/>
              </w:rPr>
              <w:t>2005–2014</w:t>
            </w:r>
          </w:p>
        </w:tc>
        <w:tc>
          <w:tcPr>
            <w:tcW w:w="3421" w:type="dxa"/>
          </w:tcPr>
          <w:p w14:paraId="03BB011F" w14:textId="77777777" w:rsidR="0046798B" w:rsidRDefault="0046798B">
            <w:pPr>
              <w:pStyle w:val="TableParagraph"/>
            </w:pPr>
          </w:p>
          <w:p w14:paraId="3826BB0F" w14:textId="77777777" w:rsidR="0046798B" w:rsidRDefault="0046798B">
            <w:pPr>
              <w:pStyle w:val="TableParagraph"/>
              <w:spacing w:before="4"/>
              <w:rPr>
                <w:sz w:val="21"/>
              </w:rPr>
            </w:pPr>
          </w:p>
          <w:p w14:paraId="40E2FC26" w14:textId="77777777" w:rsidR="0046798B" w:rsidRDefault="00903B5C">
            <w:pPr>
              <w:pStyle w:val="TableParagraph"/>
              <w:ind w:left="114" w:right="1475"/>
              <w:rPr>
                <w:sz w:val="20"/>
              </w:rPr>
            </w:pPr>
            <w:r>
              <w:rPr>
                <w:sz w:val="20"/>
              </w:rPr>
              <w:t>0 = policy not adopted 1 = policy adopted</w:t>
            </w:r>
          </w:p>
        </w:tc>
        <w:tc>
          <w:tcPr>
            <w:tcW w:w="6482" w:type="dxa"/>
          </w:tcPr>
          <w:p w14:paraId="5EF02581" w14:textId="77777777" w:rsidR="0046798B" w:rsidRDefault="00903B5C">
            <w:pPr>
              <w:pStyle w:val="TableParagraph"/>
              <w:spacing w:before="38"/>
              <w:ind w:left="114"/>
              <w:rPr>
                <w:sz w:val="20"/>
              </w:rPr>
            </w:pPr>
            <w:r>
              <w:rPr>
                <w:sz w:val="20"/>
              </w:rPr>
              <w:t xml:space="preserve">Uniform Law Commission website: </w:t>
            </w:r>
            <w:hyperlink r:id="rId973">
              <w:r>
                <w:rPr>
                  <w:color w:val="0462C1"/>
                  <w:sz w:val="20"/>
                  <w:u w:val="single" w:color="0462C1"/>
                </w:rPr>
                <w:t>http://www.uniformlaws.org/</w:t>
              </w:r>
            </w:hyperlink>
          </w:p>
          <w:p w14:paraId="3DDBAEB0" w14:textId="77777777" w:rsidR="0046798B" w:rsidRDefault="0046798B">
            <w:pPr>
              <w:pStyle w:val="TableParagraph"/>
              <w:rPr>
                <w:sz w:val="20"/>
              </w:rPr>
            </w:pPr>
          </w:p>
          <w:p w14:paraId="2FC97433"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4E6D0944" w14:textId="77777777">
        <w:trPr>
          <w:trHeight w:val="1695"/>
        </w:trPr>
        <w:tc>
          <w:tcPr>
            <w:tcW w:w="1711" w:type="dxa"/>
          </w:tcPr>
          <w:p w14:paraId="4536A2AB" w14:textId="77777777" w:rsidR="0046798B" w:rsidRDefault="0046798B">
            <w:pPr>
              <w:pStyle w:val="TableParagraph"/>
            </w:pPr>
          </w:p>
          <w:p w14:paraId="5C0B5E73" w14:textId="77777777" w:rsidR="0046798B" w:rsidRDefault="0046798B">
            <w:pPr>
              <w:pStyle w:val="TableParagraph"/>
              <w:spacing w:before="3"/>
              <w:rPr>
                <w:sz w:val="21"/>
              </w:rPr>
            </w:pPr>
          </w:p>
          <w:p w14:paraId="3B3343EF" w14:textId="77777777" w:rsidR="0046798B" w:rsidRDefault="00903B5C">
            <w:pPr>
              <w:pStyle w:val="TableParagraph"/>
              <w:spacing w:before="1"/>
              <w:ind w:left="115"/>
              <w:rPr>
                <w:b/>
                <w:sz w:val="20"/>
              </w:rPr>
            </w:pPr>
            <w:r>
              <w:rPr>
                <w:b/>
                <w:sz w:val="20"/>
              </w:rPr>
              <w:t>revised_uniform</w:t>
            </w:r>
          </w:p>
          <w:p w14:paraId="38C1FFB7" w14:textId="77777777" w:rsidR="0046798B" w:rsidRDefault="00903B5C">
            <w:pPr>
              <w:pStyle w:val="TableParagraph"/>
              <w:ind w:left="115" w:right="177"/>
              <w:rPr>
                <w:b/>
                <w:sz w:val="20"/>
              </w:rPr>
            </w:pPr>
            <w:r>
              <w:rPr>
                <w:b/>
                <w:sz w:val="20"/>
              </w:rPr>
              <w:t>_unclaimed_pro per</w:t>
            </w:r>
          </w:p>
        </w:tc>
        <w:tc>
          <w:tcPr>
            <w:tcW w:w="1596" w:type="dxa"/>
          </w:tcPr>
          <w:p w14:paraId="057BEBCC" w14:textId="77777777" w:rsidR="0046798B" w:rsidRDefault="00903B5C">
            <w:pPr>
              <w:pStyle w:val="TableParagraph"/>
              <w:spacing w:before="38"/>
              <w:ind w:left="114" w:right="230"/>
              <w:rPr>
                <w:sz w:val="20"/>
              </w:rPr>
            </w:pPr>
            <w:r>
              <w:rPr>
                <w:sz w:val="20"/>
              </w:rPr>
              <w:t>Includes gift cards and other technological property in previous unclaimed property law</w:t>
            </w:r>
          </w:p>
        </w:tc>
        <w:tc>
          <w:tcPr>
            <w:tcW w:w="1285" w:type="dxa"/>
          </w:tcPr>
          <w:p w14:paraId="7E119C31" w14:textId="77777777" w:rsidR="0046798B" w:rsidRDefault="0046798B">
            <w:pPr>
              <w:pStyle w:val="TableParagraph"/>
            </w:pPr>
          </w:p>
          <w:p w14:paraId="04A1EEA7" w14:textId="77777777" w:rsidR="0046798B" w:rsidRDefault="0046798B">
            <w:pPr>
              <w:pStyle w:val="TableParagraph"/>
            </w:pPr>
          </w:p>
          <w:p w14:paraId="534D310B" w14:textId="77777777" w:rsidR="0046798B" w:rsidRDefault="0046798B">
            <w:pPr>
              <w:pStyle w:val="TableParagraph"/>
              <w:spacing w:before="3"/>
              <w:rPr>
                <w:sz w:val="19"/>
              </w:rPr>
            </w:pPr>
          </w:p>
          <w:p w14:paraId="535F4B8F" w14:textId="77777777" w:rsidR="0046798B" w:rsidRDefault="00903B5C">
            <w:pPr>
              <w:pStyle w:val="TableParagraph"/>
              <w:spacing w:before="1"/>
              <w:ind w:left="114"/>
              <w:rPr>
                <w:sz w:val="20"/>
              </w:rPr>
            </w:pPr>
            <w:r>
              <w:rPr>
                <w:sz w:val="20"/>
              </w:rPr>
              <w:t>2017</w:t>
            </w:r>
          </w:p>
        </w:tc>
        <w:tc>
          <w:tcPr>
            <w:tcW w:w="3421" w:type="dxa"/>
          </w:tcPr>
          <w:p w14:paraId="09E2A19E" w14:textId="77777777" w:rsidR="0046798B" w:rsidRDefault="0046798B">
            <w:pPr>
              <w:pStyle w:val="TableParagraph"/>
            </w:pPr>
          </w:p>
          <w:p w14:paraId="565ED6C1" w14:textId="77777777" w:rsidR="0046798B" w:rsidRDefault="0046798B">
            <w:pPr>
              <w:pStyle w:val="TableParagraph"/>
              <w:spacing w:before="3"/>
              <w:rPr>
                <w:sz w:val="31"/>
              </w:rPr>
            </w:pPr>
          </w:p>
          <w:p w14:paraId="0F619856"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2E1DD623" w14:textId="77777777" w:rsidR="0046798B" w:rsidRDefault="00903B5C">
            <w:pPr>
              <w:pStyle w:val="TableParagraph"/>
              <w:spacing w:before="153"/>
              <w:ind w:left="114"/>
              <w:rPr>
                <w:sz w:val="20"/>
              </w:rPr>
            </w:pPr>
            <w:r>
              <w:rPr>
                <w:sz w:val="20"/>
              </w:rPr>
              <w:t xml:space="preserve">Uniform Law Commission website: </w:t>
            </w:r>
            <w:hyperlink r:id="rId974">
              <w:r>
                <w:rPr>
                  <w:color w:val="0462C1"/>
                  <w:sz w:val="20"/>
                  <w:u w:val="single" w:color="0462C1"/>
                </w:rPr>
                <w:t>http://www.uniformlaws.org/</w:t>
              </w:r>
            </w:hyperlink>
          </w:p>
          <w:p w14:paraId="49ACCDB6" w14:textId="77777777" w:rsidR="0046798B" w:rsidRDefault="0046798B">
            <w:pPr>
              <w:pStyle w:val="TableParagraph"/>
              <w:rPr>
                <w:sz w:val="20"/>
              </w:rPr>
            </w:pPr>
          </w:p>
          <w:p w14:paraId="055CA686"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646BE90C" w14:textId="77777777">
        <w:trPr>
          <w:trHeight w:val="1465"/>
        </w:trPr>
        <w:tc>
          <w:tcPr>
            <w:tcW w:w="1711" w:type="dxa"/>
          </w:tcPr>
          <w:p w14:paraId="48096472" w14:textId="77777777" w:rsidR="0046798B" w:rsidRDefault="0046798B">
            <w:pPr>
              <w:pStyle w:val="TableParagraph"/>
            </w:pPr>
          </w:p>
          <w:p w14:paraId="2B5F5516" w14:textId="77777777" w:rsidR="0046798B" w:rsidRDefault="0046798B">
            <w:pPr>
              <w:pStyle w:val="TableParagraph"/>
              <w:spacing w:before="4"/>
              <w:rPr>
                <w:sz w:val="31"/>
              </w:rPr>
            </w:pPr>
          </w:p>
          <w:p w14:paraId="03500782" w14:textId="77777777" w:rsidR="0046798B" w:rsidRDefault="00903B5C">
            <w:pPr>
              <w:pStyle w:val="TableParagraph"/>
              <w:ind w:left="115"/>
              <w:rPr>
                <w:b/>
                <w:sz w:val="20"/>
              </w:rPr>
            </w:pPr>
            <w:r>
              <w:rPr>
                <w:b/>
                <w:sz w:val="20"/>
              </w:rPr>
              <w:t>securities_act</w:t>
            </w:r>
          </w:p>
        </w:tc>
        <w:tc>
          <w:tcPr>
            <w:tcW w:w="1596" w:type="dxa"/>
          </w:tcPr>
          <w:p w14:paraId="303CC9E3" w14:textId="77777777" w:rsidR="0046798B" w:rsidRDefault="0046798B">
            <w:pPr>
              <w:pStyle w:val="TableParagraph"/>
            </w:pPr>
          </w:p>
          <w:p w14:paraId="2719E422" w14:textId="77777777" w:rsidR="0046798B" w:rsidRDefault="00903B5C">
            <w:pPr>
              <w:pStyle w:val="TableParagraph"/>
              <w:spacing w:before="130"/>
              <w:ind w:left="114" w:right="224"/>
              <w:rPr>
                <w:sz w:val="20"/>
              </w:rPr>
            </w:pPr>
            <w:r>
              <w:rPr>
                <w:sz w:val="20"/>
              </w:rPr>
              <w:t>Regulates offer and sale of securities</w:t>
            </w:r>
          </w:p>
        </w:tc>
        <w:tc>
          <w:tcPr>
            <w:tcW w:w="1285" w:type="dxa"/>
          </w:tcPr>
          <w:p w14:paraId="2751AE97" w14:textId="77777777" w:rsidR="0046798B" w:rsidRDefault="0046798B">
            <w:pPr>
              <w:pStyle w:val="TableParagraph"/>
            </w:pPr>
          </w:p>
          <w:p w14:paraId="03A3A037" w14:textId="77777777" w:rsidR="0046798B" w:rsidRDefault="0046798B">
            <w:pPr>
              <w:pStyle w:val="TableParagraph"/>
              <w:spacing w:before="4"/>
              <w:rPr>
                <w:sz w:val="31"/>
              </w:rPr>
            </w:pPr>
          </w:p>
          <w:p w14:paraId="37460ACA" w14:textId="77777777" w:rsidR="0046798B" w:rsidRDefault="00903B5C">
            <w:pPr>
              <w:pStyle w:val="TableParagraph"/>
              <w:ind w:left="114"/>
              <w:rPr>
                <w:sz w:val="20"/>
              </w:rPr>
            </w:pPr>
            <w:r>
              <w:rPr>
                <w:sz w:val="20"/>
              </w:rPr>
              <w:t>2003–2016</w:t>
            </w:r>
          </w:p>
        </w:tc>
        <w:tc>
          <w:tcPr>
            <w:tcW w:w="3421" w:type="dxa"/>
          </w:tcPr>
          <w:p w14:paraId="1518B2B0" w14:textId="77777777" w:rsidR="0046798B" w:rsidRDefault="0046798B">
            <w:pPr>
              <w:pStyle w:val="TableParagraph"/>
            </w:pPr>
          </w:p>
          <w:p w14:paraId="6F8BD277" w14:textId="77777777" w:rsidR="0046798B" w:rsidRDefault="0046798B">
            <w:pPr>
              <w:pStyle w:val="TableParagraph"/>
              <w:spacing w:before="4"/>
              <w:rPr>
                <w:sz w:val="21"/>
              </w:rPr>
            </w:pPr>
          </w:p>
          <w:p w14:paraId="621618D6" w14:textId="77777777" w:rsidR="0046798B" w:rsidRDefault="00903B5C">
            <w:pPr>
              <w:pStyle w:val="TableParagraph"/>
              <w:ind w:left="114" w:right="1475"/>
              <w:rPr>
                <w:sz w:val="20"/>
              </w:rPr>
            </w:pPr>
            <w:r>
              <w:rPr>
                <w:sz w:val="20"/>
              </w:rPr>
              <w:t>0 = policy not adopted 1 = policy adopted</w:t>
            </w:r>
          </w:p>
        </w:tc>
        <w:tc>
          <w:tcPr>
            <w:tcW w:w="6482" w:type="dxa"/>
          </w:tcPr>
          <w:p w14:paraId="04C3C275" w14:textId="77777777" w:rsidR="0046798B" w:rsidRDefault="00903B5C">
            <w:pPr>
              <w:pStyle w:val="TableParagraph"/>
              <w:spacing w:before="38"/>
              <w:ind w:left="114"/>
              <w:rPr>
                <w:sz w:val="20"/>
              </w:rPr>
            </w:pPr>
            <w:r>
              <w:rPr>
                <w:sz w:val="20"/>
              </w:rPr>
              <w:t xml:space="preserve">Uniform Law Commission website: </w:t>
            </w:r>
            <w:hyperlink r:id="rId975">
              <w:r>
                <w:rPr>
                  <w:color w:val="0462C1"/>
                  <w:sz w:val="20"/>
                  <w:u w:val="single" w:color="0462C1"/>
                </w:rPr>
                <w:t>http://www.uniformlaws.org/</w:t>
              </w:r>
            </w:hyperlink>
          </w:p>
          <w:p w14:paraId="6507A784" w14:textId="77777777" w:rsidR="0046798B" w:rsidRDefault="0046798B">
            <w:pPr>
              <w:pStyle w:val="TableParagraph"/>
              <w:rPr>
                <w:sz w:val="20"/>
              </w:rPr>
            </w:pPr>
          </w:p>
          <w:p w14:paraId="71B268D0"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bl>
    <w:p w14:paraId="1AD86A5F" w14:textId="77777777" w:rsidR="0046798B" w:rsidRDefault="0046798B">
      <w:pPr>
        <w:rPr>
          <w:sz w:val="20"/>
        </w:rPr>
        <w:sectPr w:rsidR="0046798B">
          <w:pgSz w:w="15840" w:h="12240" w:orient="landscape"/>
          <w:pgMar w:top="1220" w:right="300" w:bottom="980" w:left="820" w:header="730" w:footer="787" w:gutter="0"/>
          <w:cols w:space="720"/>
        </w:sectPr>
      </w:pPr>
    </w:p>
    <w:p w14:paraId="7B757F65"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0963AE25" w14:textId="77777777">
        <w:trPr>
          <w:trHeight w:val="1465"/>
        </w:trPr>
        <w:tc>
          <w:tcPr>
            <w:tcW w:w="1711" w:type="dxa"/>
          </w:tcPr>
          <w:p w14:paraId="65A5516E" w14:textId="77777777" w:rsidR="0046798B" w:rsidRDefault="0046798B">
            <w:pPr>
              <w:pStyle w:val="TableParagraph"/>
            </w:pPr>
          </w:p>
          <w:p w14:paraId="1231E006" w14:textId="77777777" w:rsidR="0046798B" w:rsidRDefault="0046798B">
            <w:pPr>
              <w:pStyle w:val="TableParagraph"/>
              <w:spacing w:before="9"/>
              <w:rPr>
                <w:sz w:val="21"/>
              </w:rPr>
            </w:pPr>
          </w:p>
          <w:p w14:paraId="1E6C11B6" w14:textId="77777777" w:rsidR="0046798B" w:rsidRDefault="00903B5C">
            <w:pPr>
              <w:pStyle w:val="TableParagraph"/>
              <w:ind w:left="115" w:right="110"/>
              <w:rPr>
                <w:b/>
                <w:sz w:val="20"/>
              </w:rPr>
            </w:pPr>
            <w:r>
              <w:rPr>
                <w:b/>
                <w:sz w:val="20"/>
              </w:rPr>
              <w:t>securities_act_19 56</w:t>
            </w:r>
          </w:p>
        </w:tc>
        <w:tc>
          <w:tcPr>
            <w:tcW w:w="1596" w:type="dxa"/>
          </w:tcPr>
          <w:p w14:paraId="32F02A31" w14:textId="77777777" w:rsidR="0046798B" w:rsidRDefault="0046798B">
            <w:pPr>
              <w:pStyle w:val="TableParagraph"/>
            </w:pPr>
          </w:p>
          <w:p w14:paraId="428F60AF" w14:textId="77777777" w:rsidR="0046798B" w:rsidRDefault="00903B5C">
            <w:pPr>
              <w:pStyle w:val="TableParagraph"/>
              <w:spacing w:before="135"/>
              <w:ind w:left="114" w:right="113"/>
              <w:rPr>
                <w:sz w:val="20"/>
              </w:rPr>
            </w:pPr>
            <w:r>
              <w:rPr>
                <w:sz w:val="20"/>
              </w:rPr>
              <w:t>Regulates offer and sale of securities (1956)</w:t>
            </w:r>
          </w:p>
        </w:tc>
        <w:tc>
          <w:tcPr>
            <w:tcW w:w="1285" w:type="dxa"/>
          </w:tcPr>
          <w:p w14:paraId="117CECF9" w14:textId="77777777" w:rsidR="0046798B" w:rsidRDefault="0046798B">
            <w:pPr>
              <w:pStyle w:val="TableParagraph"/>
            </w:pPr>
          </w:p>
          <w:p w14:paraId="009BC64E" w14:textId="77777777" w:rsidR="0046798B" w:rsidRDefault="0046798B">
            <w:pPr>
              <w:pStyle w:val="TableParagraph"/>
              <w:spacing w:before="9"/>
              <w:rPr>
                <w:sz w:val="31"/>
              </w:rPr>
            </w:pPr>
          </w:p>
          <w:p w14:paraId="73135A80" w14:textId="77777777" w:rsidR="0046798B" w:rsidRDefault="00903B5C">
            <w:pPr>
              <w:pStyle w:val="TableParagraph"/>
              <w:ind w:left="114"/>
              <w:rPr>
                <w:sz w:val="20"/>
              </w:rPr>
            </w:pPr>
            <w:r>
              <w:rPr>
                <w:sz w:val="20"/>
              </w:rPr>
              <w:t>1968–1987</w:t>
            </w:r>
          </w:p>
        </w:tc>
        <w:tc>
          <w:tcPr>
            <w:tcW w:w="3421" w:type="dxa"/>
          </w:tcPr>
          <w:p w14:paraId="4883DB3C" w14:textId="77777777" w:rsidR="0046798B" w:rsidRDefault="0046798B">
            <w:pPr>
              <w:pStyle w:val="TableParagraph"/>
            </w:pPr>
          </w:p>
          <w:p w14:paraId="057E600C" w14:textId="77777777" w:rsidR="0046798B" w:rsidRDefault="0046798B">
            <w:pPr>
              <w:pStyle w:val="TableParagraph"/>
              <w:spacing w:before="9"/>
              <w:rPr>
                <w:sz w:val="21"/>
              </w:rPr>
            </w:pPr>
          </w:p>
          <w:p w14:paraId="5C375844" w14:textId="77777777" w:rsidR="0046798B" w:rsidRDefault="00903B5C">
            <w:pPr>
              <w:pStyle w:val="TableParagraph"/>
              <w:ind w:left="114" w:right="1475"/>
              <w:rPr>
                <w:sz w:val="20"/>
              </w:rPr>
            </w:pPr>
            <w:r>
              <w:rPr>
                <w:sz w:val="20"/>
              </w:rPr>
              <w:t>0 = policy not adopted 1 = policy adopted</w:t>
            </w:r>
          </w:p>
        </w:tc>
        <w:tc>
          <w:tcPr>
            <w:tcW w:w="6482" w:type="dxa"/>
          </w:tcPr>
          <w:p w14:paraId="5242137A" w14:textId="77777777" w:rsidR="0046798B" w:rsidRDefault="00903B5C">
            <w:pPr>
              <w:pStyle w:val="TableParagraph"/>
              <w:spacing w:before="43"/>
              <w:ind w:left="114"/>
              <w:rPr>
                <w:sz w:val="20"/>
              </w:rPr>
            </w:pPr>
            <w:r>
              <w:rPr>
                <w:sz w:val="20"/>
              </w:rPr>
              <w:t xml:space="preserve">Uniform Law Commission website: </w:t>
            </w:r>
            <w:hyperlink r:id="rId976">
              <w:r>
                <w:rPr>
                  <w:color w:val="0462C1"/>
                  <w:sz w:val="20"/>
                  <w:u w:val="single" w:color="0462C1"/>
                </w:rPr>
                <w:t>http://www.uniformlaws.org/</w:t>
              </w:r>
            </w:hyperlink>
          </w:p>
          <w:p w14:paraId="4BF202F1" w14:textId="77777777" w:rsidR="0046798B" w:rsidRDefault="0046798B">
            <w:pPr>
              <w:pStyle w:val="TableParagraph"/>
              <w:rPr>
                <w:sz w:val="20"/>
              </w:rPr>
            </w:pPr>
          </w:p>
          <w:p w14:paraId="1E67A64E"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02B8AE1B" w14:textId="77777777">
        <w:trPr>
          <w:trHeight w:val="1466"/>
        </w:trPr>
        <w:tc>
          <w:tcPr>
            <w:tcW w:w="1711" w:type="dxa"/>
          </w:tcPr>
          <w:p w14:paraId="501C7092" w14:textId="77777777" w:rsidR="0046798B" w:rsidRDefault="0046798B">
            <w:pPr>
              <w:pStyle w:val="TableParagraph"/>
            </w:pPr>
          </w:p>
          <w:p w14:paraId="6E17748B" w14:textId="77777777" w:rsidR="0046798B" w:rsidRDefault="0046798B">
            <w:pPr>
              <w:pStyle w:val="TableParagraph"/>
              <w:spacing w:before="9"/>
              <w:rPr>
                <w:sz w:val="21"/>
              </w:rPr>
            </w:pPr>
          </w:p>
          <w:p w14:paraId="14DEDABB" w14:textId="77777777" w:rsidR="0046798B" w:rsidRDefault="00903B5C">
            <w:pPr>
              <w:pStyle w:val="TableParagraph"/>
              <w:ind w:left="115" w:right="110"/>
              <w:rPr>
                <w:b/>
                <w:sz w:val="20"/>
              </w:rPr>
            </w:pPr>
            <w:r>
              <w:rPr>
                <w:b/>
                <w:sz w:val="20"/>
              </w:rPr>
              <w:t>securities_act_19 88</w:t>
            </w:r>
          </w:p>
        </w:tc>
        <w:tc>
          <w:tcPr>
            <w:tcW w:w="1596" w:type="dxa"/>
          </w:tcPr>
          <w:p w14:paraId="4479F081" w14:textId="77777777" w:rsidR="0046798B" w:rsidRDefault="0046798B">
            <w:pPr>
              <w:pStyle w:val="TableParagraph"/>
            </w:pPr>
          </w:p>
          <w:p w14:paraId="150C6406" w14:textId="77777777" w:rsidR="0046798B" w:rsidRDefault="00903B5C">
            <w:pPr>
              <w:pStyle w:val="TableParagraph"/>
              <w:spacing w:before="136"/>
              <w:ind w:left="114" w:right="113"/>
              <w:rPr>
                <w:sz w:val="20"/>
              </w:rPr>
            </w:pPr>
            <w:r>
              <w:rPr>
                <w:sz w:val="20"/>
              </w:rPr>
              <w:t>Regulates offer and sale of securities (1988)</w:t>
            </w:r>
          </w:p>
        </w:tc>
        <w:tc>
          <w:tcPr>
            <w:tcW w:w="1285" w:type="dxa"/>
          </w:tcPr>
          <w:p w14:paraId="176607E2" w14:textId="77777777" w:rsidR="0046798B" w:rsidRDefault="0046798B">
            <w:pPr>
              <w:pStyle w:val="TableParagraph"/>
            </w:pPr>
          </w:p>
          <w:p w14:paraId="40492A70" w14:textId="77777777" w:rsidR="0046798B" w:rsidRDefault="0046798B">
            <w:pPr>
              <w:pStyle w:val="TableParagraph"/>
              <w:spacing w:before="9"/>
              <w:rPr>
                <w:sz w:val="31"/>
              </w:rPr>
            </w:pPr>
          </w:p>
          <w:p w14:paraId="51EDF383" w14:textId="77777777" w:rsidR="0046798B" w:rsidRDefault="00903B5C">
            <w:pPr>
              <w:pStyle w:val="TableParagraph"/>
              <w:ind w:left="114"/>
              <w:rPr>
                <w:sz w:val="20"/>
              </w:rPr>
            </w:pPr>
            <w:r>
              <w:rPr>
                <w:sz w:val="20"/>
              </w:rPr>
              <w:t>1988–1990</w:t>
            </w:r>
          </w:p>
        </w:tc>
        <w:tc>
          <w:tcPr>
            <w:tcW w:w="3421" w:type="dxa"/>
          </w:tcPr>
          <w:p w14:paraId="30A3C6DA" w14:textId="77777777" w:rsidR="0046798B" w:rsidRDefault="0046798B">
            <w:pPr>
              <w:pStyle w:val="TableParagraph"/>
            </w:pPr>
          </w:p>
          <w:p w14:paraId="16106001" w14:textId="77777777" w:rsidR="0046798B" w:rsidRDefault="0046798B">
            <w:pPr>
              <w:pStyle w:val="TableParagraph"/>
              <w:spacing w:before="9"/>
              <w:rPr>
                <w:sz w:val="21"/>
              </w:rPr>
            </w:pPr>
          </w:p>
          <w:p w14:paraId="0D3FD2CB" w14:textId="77777777" w:rsidR="0046798B" w:rsidRDefault="00903B5C">
            <w:pPr>
              <w:pStyle w:val="TableParagraph"/>
              <w:ind w:left="114" w:right="1475"/>
              <w:rPr>
                <w:sz w:val="20"/>
              </w:rPr>
            </w:pPr>
            <w:r>
              <w:rPr>
                <w:sz w:val="20"/>
              </w:rPr>
              <w:t>0 = policy not adopted 1 = policy adopted</w:t>
            </w:r>
          </w:p>
        </w:tc>
        <w:tc>
          <w:tcPr>
            <w:tcW w:w="6482" w:type="dxa"/>
          </w:tcPr>
          <w:p w14:paraId="648673B6" w14:textId="77777777" w:rsidR="0046798B" w:rsidRDefault="00903B5C">
            <w:pPr>
              <w:pStyle w:val="TableParagraph"/>
              <w:spacing w:before="44"/>
              <w:ind w:left="114"/>
              <w:rPr>
                <w:sz w:val="20"/>
              </w:rPr>
            </w:pPr>
            <w:r>
              <w:rPr>
                <w:sz w:val="20"/>
              </w:rPr>
              <w:t xml:space="preserve">Uniform Law Commission website: </w:t>
            </w:r>
            <w:hyperlink r:id="rId977">
              <w:r>
                <w:rPr>
                  <w:color w:val="0462C1"/>
                  <w:sz w:val="20"/>
                  <w:u w:val="single" w:color="0462C1"/>
                </w:rPr>
                <w:t>http://www.uniformlaws.org/</w:t>
              </w:r>
            </w:hyperlink>
          </w:p>
          <w:p w14:paraId="1511EF47" w14:textId="77777777" w:rsidR="0046798B" w:rsidRDefault="0046798B">
            <w:pPr>
              <w:pStyle w:val="TableParagraph"/>
              <w:spacing w:before="11"/>
              <w:rPr>
                <w:sz w:val="19"/>
              </w:rPr>
            </w:pPr>
          </w:p>
          <w:p w14:paraId="6C152851"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47285397" w14:textId="77777777">
        <w:trPr>
          <w:trHeight w:val="1470"/>
        </w:trPr>
        <w:tc>
          <w:tcPr>
            <w:tcW w:w="1711" w:type="dxa"/>
          </w:tcPr>
          <w:p w14:paraId="01FBECE5" w14:textId="77777777" w:rsidR="0046798B" w:rsidRDefault="0046798B">
            <w:pPr>
              <w:pStyle w:val="TableParagraph"/>
            </w:pPr>
          </w:p>
          <w:p w14:paraId="38BBD1AE" w14:textId="77777777" w:rsidR="0046798B" w:rsidRDefault="0046798B">
            <w:pPr>
              <w:pStyle w:val="TableParagraph"/>
              <w:spacing w:before="8"/>
              <w:rPr>
                <w:sz w:val="21"/>
              </w:rPr>
            </w:pPr>
          </w:p>
          <w:p w14:paraId="1867CB70" w14:textId="77777777" w:rsidR="0046798B" w:rsidRDefault="00903B5C">
            <w:pPr>
              <w:pStyle w:val="TableParagraph"/>
              <w:spacing w:before="1"/>
              <w:ind w:left="115" w:right="143"/>
              <w:rPr>
                <w:b/>
                <w:sz w:val="20"/>
              </w:rPr>
            </w:pPr>
            <w:r>
              <w:rPr>
                <w:b/>
                <w:sz w:val="20"/>
              </w:rPr>
              <w:t>simultaneous_de ath_act</w:t>
            </w:r>
          </w:p>
        </w:tc>
        <w:tc>
          <w:tcPr>
            <w:tcW w:w="1596" w:type="dxa"/>
          </w:tcPr>
          <w:p w14:paraId="60F4419B" w14:textId="77777777" w:rsidR="0046798B" w:rsidRDefault="00903B5C">
            <w:pPr>
              <w:pStyle w:val="TableParagraph"/>
              <w:spacing w:before="43"/>
              <w:ind w:left="114" w:right="113"/>
              <w:rPr>
                <w:sz w:val="20"/>
              </w:rPr>
            </w:pPr>
            <w:r>
              <w:rPr>
                <w:sz w:val="20"/>
              </w:rPr>
              <w:t xml:space="preserve">Regulates passage of </w:t>
            </w:r>
            <w:r>
              <w:rPr>
                <w:spacing w:val="-3"/>
                <w:sz w:val="20"/>
              </w:rPr>
              <w:t xml:space="preserve">assets </w:t>
            </w:r>
            <w:r>
              <w:rPr>
                <w:sz w:val="20"/>
              </w:rPr>
              <w:t>if multiple people die within short period</w:t>
            </w:r>
          </w:p>
        </w:tc>
        <w:tc>
          <w:tcPr>
            <w:tcW w:w="1285" w:type="dxa"/>
          </w:tcPr>
          <w:p w14:paraId="1585C0CF" w14:textId="77777777" w:rsidR="0046798B" w:rsidRDefault="0046798B">
            <w:pPr>
              <w:pStyle w:val="TableParagraph"/>
            </w:pPr>
          </w:p>
          <w:p w14:paraId="47429573" w14:textId="77777777" w:rsidR="0046798B" w:rsidRDefault="0046798B">
            <w:pPr>
              <w:pStyle w:val="TableParagraph"/>
              <w:spacing w:before="8"/>
              <w:rPr>
                <w:sz w:val="31"/>
              </w:rPr>
            </w:pPr>
          </w:p>
          <w:p w14:paraId="606C24DB" w14:textId="77777777" w:rsidR="0046798B" w:rsidRDefault="00903B5C">
            <w:pPr>
              <w:pStyle w:val="TableParagraph"/>
              <w:spacing w:before="1"/>
              <w:ind w:left="114"/>
              <w:rPr>
                <w:sz w:val="20"/>
              </w:rPr>
            </w:pPr>
            <w:r>
              <w:rPr>
                <w:sz w:val="20"/>
              </w:rPr>
              <w:t>1992–2009</w:t>
            </w:r>
          </w:p>
        </w:tc>
        <w:tc>
          <w:tcPr>
            <w:tcW w:w="3421" w:type="dxa"/>
          </w:tcPr>
          <w:p w14:paraId="2FCEDBB9" w14:textId="77777777" w:rsidR="0046798B" w:rsidRDefault="0046798B">
            <w:pPr>
              <w:pStyle w:val="TableParagraph"/>
            </w:pPr>
          </w:p>
          <w:p w14:paraId="2DD00CD8" w14:textId="77777777" w:rsidR="0046798B" w:rsidRDefault="0046798B">
            <w:pPr>
              <w:pStyle w:val="TableParagraph"/>
              <w:spacing w:before="8"/>
              <w:rPr>
                <w:sz w:val="21"/>
              </w:rPr>
            </w:pPr>
          </w:p>
          <w:p w14:paraId="21897CA2"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327F153D" w14:textId="77777777" w:rsidR="0046798B" w:rsidRDefault="00903B5C">
            <w:pPr>
              <w:pStyle w:val="TableParagraph"/>
              <w:spacing w:before="43"/>
              <w:ind w:left="114"/>
              <w:rPr>
                <w:sz w:val="20"/>
              </w:rPr>
            </w:pPr>
            <w:r>
              <w:rPr>
                <w:sz w:val="20"/>
              </w:rPr>
              <w:t xml:space="preserve">Uniform Law Commission website: </w:t>
            </w:r>
            <w:hyperlink r:id="rId978">
              <w:r>
                <w:rPr>
                  <w:color w:val="0462C1"/>
                  <w:sz w:val="20"/>
                  <w:u w:val="single" w:color="0462C1"/>
                </w:rPr>
                <w:t>http://www.uniformlaws.org/</w:t>
              </w:r>
            </w:hyperlink>
          </w:p>
          <w:p w14:paraId="505E9C73" w14:textId="77777777" w:rsidR="0046798B" w:rsidRDefault="0046798B">
            <w:pPr>
              <w:pStyle w:val="TableParagraph"/>
              <w:rPr>
                <w:sz w:val="20"/>
              </w:rPr>
            </w:pPr>
          </w:p>
          <w:p w14:paraId="58A4D911"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32506500" w14:textId="77777777">
        <w:trPr>
          <w:trHeight w:val="1465"/>
        </w:trPr>
        <w:tc>
          <w:tcPr>
            <w:tcW w:w="1711" w:type="dxa"/>
          </w:tcPr>
          <w:p w14:paraId="711BAFB4" w14:textId="77777777" w:rsidR="0046798B" w:rsidRDefault="0046798B">
            <w:pPr>
              <w:pStyle w:val="TableParagraph"/>
            </w:pPr>
          </w:p>
          <w:p w14:paraId="4E308327" w14:textId="77777777" w:rsidR="0046798B" w:rsidRDefault="0046798B">
            <w:pPr>
              <w:pStyle w:val="TableParagraph"/>
              <w:spacing w:before="3"/>
              <w:rPr>
                <w:sz w:val="21"/>
              </w:rPr>
            </w:pPr>
          </w:p>
          <w:p w14:paraId="36244543" w14:textId="77777777" w:rsidR="0046798B" w:rsidRDefault="00903B5C">
            <w:pPr>
              <w:pStyle w:val="TableParagraph"/>
              <w:spacing w:before="1"/>
              <w:ind w:left="115" w:right="143"/>
              <w:rPr>
                <w:b/>
                <w:sz w:val="20"/>
              </w:rPr>
            </w:pPr>
            <w:r>
              <w:rPr>
                <w:b/>
                <w:sz w:val="20"/>
              </w:rPr>
              <w:t>simultaneous_de ath_act_1940</w:t>
            </w:r>
          </w:p>
        </w:tc>
        <w:tc>
          <w:tcPr>
            <w:tcW w:w="1596" w:type="dxa"/>
          </w:tcPr>
          <w:p w14:paraId="2881E9DE" w14:textId="77777777" w:rsidR="0046798B" w:rsidRDefault="00903B5C">
            <w:pPr>
              <w:pStyle w:val="TableParagraph"/>
              <w:spacing w:before="38"/>
              <w:ind w:left="114" w:right="113"/>
              <w:rPr>
                <w:sz w:val="20"/>
              </w:rPr>
            </w:pPr>
            <w:r>
              <w:rPr>
                <w:sz w:val="20"/>
              </w:rPr>
              <w:t xml:space="preserve">Regulates passage of </w:t>
            </w:r>
            <w:r>
              <w:rPr>
                <w:spacing w:val="-3"/>
                <w:sz w:val="20"/>
              </w:rPr>
              <w:t xml:space="preserve">assets </w:t>
            </w:r>
            <w:r>
              <w:rPr>
                <w:sz w:val="20"/>
              </w:rPr>
              <w:t>if multiple people die within short period</w:t>
            </w:r>
            <w:r>
              <w:rPr>
                <w:spacing w:val="-1"/>
                <w:sz w:val="20"/>
              </w:rPr>
              <w:t xml:space="preserve"> </w:t>
            </w:r>
            <w:r>
              <w:rPr>
                <w:sz w:val="20"/>
              </w:rPr>
              <w:t>(1940)</w:t>
            </w:r>
          </w:p>
        </w:tc>
        <w:tc>
          <w:tcPr>
            <w:tcW w:w="1285" w:type="dxa"/>
          </w:tcPr>
          <w:p w14:paraId="1AF5AAEA" w14:textId="77777777" w:rsidR="0046798B" w:rsidRDefault="0046798B">
            <w:pPr>
              <w:pStyle w:val="TableParagraph"/>
            </w:pPr>
          </w:p>
          <w:p w14:paraId="5DAA8E80" w14:textId="77777777" w:rsidR="0046798B" w:rsidRDefault="0046798B">
            <w:pPr>
              <w:pStyle w:val="TableParagraph"/>
              <w:spacing w:before="3"/>
              <w:rPr>
                <w:sz w:val="31"/>
              </w:rPr>
            </w:pPr>
          </w:p>
          <w:p w14:paraId="7329A6E1" w14:textId="77777777" w:rsidR="0046798B" w:rsidRDefault="00903B5C">
            <w:pPr>
              <w:pStyle w:val="TableParagraph"/>
              <w:spacing w:before="1"/>
              <w:ind w:left="114"/>
              <w:rPr>
                <w:sz w:val="20"/>
              </w:rPr>
            </w:pPr>
            <w:r>
              <w:rPr>
                <w:sz w:val="20"/>
              </w:rPr>
              <w:t>1985</w:t>
            </w:r>
          </w:p>
        </w:tc>
        <w:tc>
          <w:tcPr>
            <w:tcW w:w="3421" w:type="dxa"/>
          </w:tcPr>
          <w:p w14:paraId="1FF3F289" w14:textId="77777777" w:rsidR="0046798B" w:rsidRDefault="0046798B">
            <w:pPr>
              <w:pStyle w:val="TableParagraph"/>
            </w:pPr>
          </w:p>
          <w:p w14:paraId="6CAC41B7" w14:textId="77777777" w:rsidR="0046798B" w:rsidRDefault="0046798B">
            <w:pPr>
              <w:pStyle w:val="TableParagraph"/>
              <w:spacing w:before="3"/>
              <w:rPr>
                <w:sz w:val="21"/>
              </w:rPr>
            </w:pPr>
          </w:p>
          <w:p w14:paraId="2762026B"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76037CF0" w14:textId="77777777" w:rsidR="0046798B" w:rsidRDefault="00903B5C">
            <w:pPr>
              <w:pStyle w:val="TableParagraph"/>
              <w:spacing w:before="38"/>
              <w:ind w:left="114"/>
              <w:rPr>
                <w:sz w:val="20"/>
              </w:rPr>
            </w:pPr>
            <w:r>
              <w:rPr>
                <w:sz w:val="20"/>
              </w:rPr>
              <w:t xml:space="preserve">Uniform Law Commission website: </w:t>
            </w:r>
            <w:hyperlink r:id="rId979">
              <w:r>
                <w:rPr>
                  <w:color w:val="0462C1"/>
                  <w:sz w:val="20"/>
                  <w:u w:val="single" w:color="0462C1"/>
                </w:rPr>
                <w:t>http://www.uniformlaws.org/</w:t>
              </w:r>
            </w:hyperlink>
          </w:p>
          <w:p w14:paraId="7EDCFA9F" w14:textId="77777777" w:rsidR="0046798B" w:rsidRDefault="0046798B">
            <w:pPr>
              <w:pStyle w:val="TableParagraph"/>
              <w:rPr>
                <w:sz w:val="20"/>
              </w:rPr>
            </w:pPr>
          </w:p>
          <w:p w14:paraId="7E879447"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2DC072AB" w14:textId="77777777">
        <w:trPr>
          <w:trHeight w:val="1465"/>
        </w:trPr>
        <w:tc>
          <w:tcPr>
            <w:tcW w:w="1711" w:type="dxa"/>
          </w:tcPr>
          <w:p w14:paraId="513F788E" w14:textId="77777777" w:rsidR="0046798B" w:rsidRDefault="0046798B">
            <w:pPr>
              <w:pStyle w:val="TableParagraph"/>
            </w:pPr>
          </w:p>
          <w:p w14:paraId="0B00CB56" w14:textId="77777777" w:rsidR="0046798B" w:rsidRDefault="0046798B">
            <w:pPr>
              <w:pStyle w:val="TableParagraph"/>
              <w:spacing w:before="4"/>
              <w:rPr>
                <w:sz w:val="21"/>
              </w:rPr>
            </w:pPr>
          </w:p>
          <w:p w14:paraId="38855D5D" w14:textId="77777777" w:rsidR="0046798B" w:rsidRDefault="00903B5C">
            <w:pPr>
              <w:pStyle w:val="TableParagraph"/>
              <w:ind w:left="115" w:right="144"/>
              <w:rPr>
                <w:b/>
                <w:sz w:val="20"/>
              </w:rPr>
            </w:pPr>
            <w:r>
              <w:rPr>
                <w:b/>
                <w:sz w:val="20"/>
              </w:rPr>
              <w:t>statutory_rule_a gainst_perpetuit</w:t>
            </w:r>
          </w:p>
        </w:tc>
        <w:tc>
          <w:tcPr>
            <w:tcW w:w="1596" w:type="dxa"/>
          </w:tcPr>
          <w:p w14:paraId="6F5B7852" w14:textId="77777777" w:rsidR="0046798B" w:rsidRDefault="0046798B">
            <w:pPr>
              <w:pStyle w:val="TableParagraph"/>
              <w:spacing w:before="3"/>
              <w:rPr>
                <w:sz w:val="23"/>
              </w:rPr>
            </w:pPr>
          </w:p>
          <w:p w14:paraId="2323E331" w14:textId="77777777" w:rsidR="0046798B" w:rsidRDefault="00903B5C">
            <w:pPr>
              <w:pStyle w:val="TableParagraph"/>
              <w:spacing w:before="1"/>
              <w:ind w:left="114" w:right="402"/>
              <w:rPr>
                <w:sz w:val="20"/>
              </w:rPr>
            </w:pPr>
            <w:r>
              <w:rPr>
                <w:sz w:val="20"/>
              </w:rPr>
              <w:t>Regulated duration of ownership of property</w:t>
            </w:r>
          </w:p>
        </w:tc>
        <w:tc>
          <w:tcPr>
            <w:tcW w:w="1285" w:type="dxa"/>
          </w:tcPr>
          <w:p w14:paraId="32CF9CF4" w14:textId="77777777" w:rsidR="0046798B" w:rsidRDefault="0046798B">
            <w:pPr>
              <w:pStyle w:val="TableParagraph"/>
            </w:pPr>
          </w:p>
          <w:p w14:paraId="61C5016C" w14:textId="77777777" w:rsidR="0046798B" w:rsidRDefault="0046798B">
            <w:pPr>
              <w:pStyle w:val="TableParagraph"/>
              <w:spacing w:before="4"/>
              <w:rPr>
                <w:sz w:val="31"/>
              </w:rPr>
            </w:pPr>
          </w:p>
          <w:p w14:paraId="5DD482B2" w14:textId="77777777" w:rsidR="0046798B" w:rsidRDefault="00903B5C">
            <w:pPr>
              <w:pStyle w:val="TableParagraph"/>
              <w:ind w:left="114"/>
              <w:rPr>
                <w:sz w:val="20"/>
              </w:rPr>
            </w:pPr>
            <w:r>
              <w:rPr>
                <w:sz w:val="20"/>
              </w:rPr>
              <w:t>1987–2011</w:t>
            </w:r>
          </w:p>
        </w:tc>
        <w:tc>
          <w:tcPr>
            <w:tcW w:w="3421" w:type="dxa"/>
          </w:tcPr>
          <w:p w14:paraId="3CA6C72C" w14:textId="77777777" w:rsidR="0046798B" w:rsidRDefault="0046798B">
            <w:pPr>
              <w:pStyle w:val="TableParagraph"/>
            </w:pPr>
          </w:p>
          <w:p w14:paraId="6533BB06" w14:textId="77777777" w:rsidR="0046798B" w:rsidRDefault="0046798B">
            <w:pPr>
              <w:pStyle w:val="TableParagraph"/>
              <w:spacing w:before="4"/>
              <w:rPr>
                <w:sz w:val="21"/>
              </w:rPr>
            </w:pPr>
          </w:p>
          <w:p w14:paraId="0C9ABF6E" w14:textId="77777777" w:rsidR="0046798B" w:rsidRDefault="00903B5C">
            <w:pPr>
              <w:pStyle w:val="TableParagraph"/>
              <w:ind w:left="114" w:right="1475"/>
              <w:rPr>
                <w:sz w:val="20"/>
              </w:rPr>
            </w:pPr>
            <w:r>
              <w:rPr>
                <w:sz w:val="20"/>
              </w:rPr>
              <w:t>0 = policy not adopted 1 = policy adopted</w:t>
            </w:r>
          </w:p>
        </w:tc>
        <w:tc>
          <w:tcPr>
            <w:tcW w:w="6482" w:type="dxa"/>
          </w:tcPr>
          <w:p w14:paraId="27AEA82B" w14:textId="77777777" w:rsidR="0046798B" w:rsidRDefault="00903B5C">
            <w:pPr>
              <w:pStyle w:val="TableParagraph"/>
              <w:spacing w:before="38"/>
              <w:ind w:left="114"/>
              <w:rPr>
                <w:sz w:val="20"/>
              </w:rPr>
            </w:pPr>
            <w:r>
              <w:rPr>
                <w:sz w:val="20"/>
              </w:rPr>
              <w:t xml:space="preserve">Uniform Law Commission website: </w:t>
            </w:r>
            <w:hyperlink r:id="rId980">
              <w:r>
                <w:rPr>
                  <w:color w:val="0462C1"/>
                  <w:sz w:val="20"/>
                  <w:u w:val="single" w:color="0462C1"/>
                </w:rPr>
                <w:t>http://www.uniformlaws.org/</w:t>
              </w:r>
            </w:hyperlink>
          </w:p>
          <w:p w14:paraId="72763EDA" w14:textId="77777777" w:rsidR="0046798B" w:rsidRDefault="0046798B">
            <w:pPr>
              <w:pStyle w:val="TableParagraph"/>
              <w:rPr>
                <w:sz w:val="20"/>
              </w:rPr>
            </w:pPr>
          </w:p>
          <w:p w14:paraId="3D562B1B"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D0E56C4" w14:textId="77777777">
        <w:trPr>
          <w:trHeight w:val="1465"/>
        </w:trPr>
        <w:tc>
          <w:tcPr>
            <w:tcW w:w="1711" w:type="dxa"/>
          </w:tcPr>
          <w:p w14:paraId="4AFBC504" w14:textId="77777777" w:rsidR="0046798B" w:rsidRDefault="0046798B">
            <w:pPr>
              <w:pStyle w:val="TableParagraph"/>
            </w:pPr>
          </w:p>
          <w:p w14:paraId="37C1FB74" w14:textId="77777777" w:rsidR="0046798B" w:rsidRDefault="0046798B">
            <w:pPr>
              <w:pStyle w:val="TableParagraph"/>
              <w:spacing w:before="4"/>
              <w:rPr>
                <w:sz w:val="21"/>
              </w:rPr>
            </w:pPr>
          </w:p>
          <w:p w14:paraId="27D8522E" w14:textId="77777777" w:rsidR="0046798B" w:rsidRDefault="00903B5C">
            <w:pPr>
              <w:pStyle w:val="TableParagraph"/>
              <w:ind w:left="115"/>
              <w:rPr>
                <w:b/>
                <w:sz w:val="20"/>
              </w:rPr>
            </w:pPr>
            <w:r>
              <w:rPr>
                <w:b/>
                <w:sz w:val="20"/>
              </w:rPr>
              <w:t>statutory_trust_e ntity_act</w:t>
            </w:r>
          </w:p>
        </w:tc>
        <w:tc>
          <w:tcPr>
            <w:tcW w:w="1596" w:type="dxa"/>
          </w:tcPr>
          <w:p w14:paraId="30D57BAA" w14:textId="77777777" w:rsidR="0046798B" w:rsidRDefault="00903B5C">
            <w:pPr>
              <w:pStyle w:val="TableParagraph"/>
              <w:spacing w:before="153"/>
              <w:ind w:left="114" w:right="163"/>
              <w:rPr>
                <w:sz w:val="20"/>
              </w:rPr>
            </w:pPr>
            <w:r>
              <w:rPr>
                <w:sz w:val="20"/>
              </w:rPr>
              <w:t>Governs the use of statutory trusts as a mode of business organization</w:t>
            </w:r>
          </w:p>
        </w:tc>
        <w:tc>
          <w:tcPr>
            <w:tcW w:w="1285" w:type="dxa"/>
          </w:tcPr>
          <w:p w14:paraId="08F5F124" w14:textId="77777777" w:rsidR="0046798B" w:rsidRDefault="0046798B">
            <w:pPr>
              <w:pStyle w:val="TableParagraph"/>
            </w:pPr>
          </w:p>
          <w:p w14:paraId="5E30B763" w14:textId="77777777" w:rsidR="0046798B" w:rsidRDefault="0046798B">
            <w:pPr>
              <w:pStyle w:val="TableParagraph"/>
              <w:spacing w:before="4"/>
              <w:rPr>
                <w:sz w:val="31"/>
              </w:rPr>
            </w:pPr>
          </w:p>
          <w:p w14:paraId="0DF82B7B" w14:textId="77777777" w:rsidR="0046798B" w:rsidRDefault="00903B5C">
            <w:pPr>
              <w:pStyle w:val="TableParagraph"/>
              <w:ind w:left="114"/>
              <w:rPr>
                <w:sz w:val="20"/>
              </w:rPr>
            </w:pPr>
            <w:r>
              <w:rPr>
                <w:sz w:val="20"/>
              </w:rPr>
              <w:t>2012</w:t>
            </w:r>
          </w:p>
        </w:tc>
        <w:tc>
          <w:tcPr>
            <w:tcW w:w="3421" w:type="dxa"/>
          </w:tcPr>
          <w:p w14:paraId="04A8D159" w14:textId="77777777" w:rsidR="0046798B" w:rsidRDefault="0046798B">
            <w:pPr>
              <w:pStyle w:val="TableParagraph"/>
            </w:pPr>
          </w:p>
          <w:p w14:paraId="5B73F7A1" w14:textId="77777777" w:rsidR="0046798B" w:rsidRDefault="0046798B">
            <w:pPr>
              <w:pStyle w:val="TableParagraph"/>
              <w:spacing w:before="4"/>
              <w:rPr>
                <w:sz w:val="21"/>
              </w:rPr>
            </w:pPr>
          </w:p>
          <w:p w14:paraId="0AEFD374" w14:textId="77777777" w:rsidR="0046798B" w:rsidRDefault="00903B5C">
            <w:pPr>
              <w:pStyle w:val="TableParagraph"/>
              <w:ind w:left="114" w:right="1475"/>
              <w:rPr>
                <w:sz w:val="20"/>
              </w:rPr>
            </w:pPr>
            <w:r>
              <w:rPr>
                <w:sz w:val="20"/>
              </w:rPr>
              <w:t>0 = policy not adopted 1 = policy adopted</w:t>
            </w:r>
          </w:p>
        </w:tc>
        <w:tc>
          <w:tcPr>
            <w:tcW w:w="6482" w:type="dxa"/>
          </w:tcPr>
          <w:p w14:paraId="2D8FB533" w14:textId="77777777" w:rsidR="0046798B" w:rsidRDefault="00903B5C">
            <w:pPr>
              <w:pStyle w:val="TableParagraph"/>
              <w:spacing w:before="38"/>
              <w:ind w:left="114"/>
              <w:rPr>
                <w:sz w:val="20"/>
              </w:rPr>
            </w:pPr>
            <w:r>
              <w:rPr>
                <w:sz w:val="20"/>
              </w:rPr>
              <w:t xml:space="preserve">Uniform Law Commission website: </w:t>
            </w:r>
            <w:hyperlink r:id="rId981">
              <w:r>
                <w:rPr>
                  <w:color w:val="0462C1"/>
                  <w:sz w:val="20"/>
                  <w:u w:val="single" w:color="0462C1"/>
                </w:rPr>
                <w:t>http://www.uniformlaws.org/</w:t>
              </w:r>
            </w:hyperlink>
          </w:p>
          <w:p w14:paraId="7D2737DF" w14:textId="77777777" w:rsidR="0046798B" w:rsidRDefault="0046798B">
            <w:pPr>
              <w:pStyle w:val="TableParagraph"/>
              <w:rPr>
                <w:sz w:val="20"/>
              </w:rPr>
            </w:pPr>
          </w:p>
          <w:p w14:paraId="649757C0"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bl>
    <w:p w14:paraId="4A2353E7" w14:textId="77777777" w:rsidR="0046798B" w:rsidRDefault="0046798B">
      <w:pPr>
        <w:rPr>
          <w:sz w:val="20"/>
        </w:rPr>
        <w:sectPr w:rsidR="0046798B">
          <w:pgSz w:w="15840" w:h="12240" w:orient="landscape"/>
          <w:pgMar w:top="1220" w:right="300" w:bottom="980" w:left="820" w:header="730" w:footer="787" w:gutter="0"/>
          <w:cols w:space="720"/>
        </w:sectPr>
      </w:pPr>
    </w:p>
    <w:p w14:paraId="48568F52"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8D9B836" w14:textId="77777777">
        <w:trPr>
          <w:trHeight w:val="1465"/>
        </w:trPr>
        <w:tc>
          <w:tcPr>
            <w:tcW w:w="1711" w:type="dxa"/>
          </w:tcPr>
          <w:p w14:paraId="3BC524CA" w14:textId="77777777" w:rsidR="0046798B" w:rsidRDefault="0046798B">
            <w:pPr>
              <w:pStyle w:val="TableParagraph"/>
            </w:pPr>
          </w:p>
          <w:p w14:paraId="152137B8" w14:textId="77777777" w:rsidR="0046798B" w:rsidRDefault="0046798B">
            <w:pPr>
              <w:pStyle w:val="TableParagraph"/>
              <w:spacing w:before="9"/>
              <w:rPr>
                <w:sz w:val="21"/>
              </w:rPr>
            </w:pPr>
          </w:p>
          <w:p w14:paraId="36635B9F" w14:textId="77777777" w:rsidR="0046798B" w:rsidRDefault="00903B5C">
            <w:pPr>
              <w:pStyle w:val="TableParagraph"/>
              <w:ind w:left="115"/>
              <w:rPr>
                <w:b/>
                <w:sz w:val="20"/>
              </w:rPr>
            </w:pPr>
            <w:r>
              <w:rPr>
                <w:b/>
                <w:sz w:val="20"/>
              </w:rPr>
              <w:t>statutory_will_ac t_1984</w:t>
            </w:r>
          </w:p>
        </w:tc>
        <w:tc>
          <w:tcPr>
            <w:tcW w:w="1596" w:type="dxa"/>
          </w:tcPr>
          <w:p w14:paraId="1CBEAB12" w14:textId="77777777" w:rsidR="0046798B" w:rsidRDefault="0046798B">
            <w:pPr>
              <w:pStyle w:val="TableParagraph"/>
            </w:pPr>
          </w:p>
          <w:p w14:paraId="59B58FE1" w14:textId="77777777" w:rsidR="0046798B" w:rsidRDefault="0046798B">
            <w:pPr>
              <w:pStyle w:val="TableParagraph"/>
              <w:spacing w:before="9"/>
              <w:rPr>
                <w:sz w:val="21"/>
              </w:rPr>
            </w:pPr>
          </w:p>
          <w:p w14:paraId="255D8960" w14:textId="77777777" w:rsidR="0046798B" w:rsidRDefault="00903B5C">
            <w:pPr>
              <w:pStyle w:val="TableParagraph"/>
              <w:ind w:left="114" w:right="268"/>
              <w:rPr>
                <w:sz w:val="20"/>
              </w:rPr>
            </w:pPr>
            <w:r>
              <w:rPr>
                <w:sz w:val="20"/>
              </w:rPr>
              <w:t>Helps simplify wills</w:t>
            </w:r>
          </w:p>
        </w:tc>
        <w:tc>
          <w:tcPr>
            <w:tcW w:w="1285" w:type="dxa"/>
          </w:tcPr>
          <w:p w14:paraId="106BEB2A" w14:textId="77777777" w:rsidR="0046798B" w:rsidRDefault="0046798B">
            <w:pPr>
              <w:pStyle w:val="TableParagraph"/>
            </w:pPr>
          </w:p>
          <w:p w14:paraId="17296215" w14:textId="77777777" w:rsidR="0046798B" w:rsidRDefault="0046798B">
            <w:pPr>
              <w:pStyle w:val="TableParagraph"/>
              <w:spacing w:before="9"/>
              <w:rPr>
                <w:sz w:val="31"/>
              </w:rPr>
            </w:pPr>
          </w:p>
          <w:p w14:paraId="29A47F78" w14:textId="77777777" w:rsidR="0046798B" w:rsidRDefault="00903B5C">
            <w:pPr>
              <w:pStyle w:val="TableParagraph"/>
              <w:ind w:left="114"/>
              <w:rPr>
                <w:sz w:val="20"/>
              </w:rPr>
            </w:pPr>
            <w:r>
              <w:rPr>
                <w:sz w:val="20"/>
              </w:rPr>
              <w:t>1991</w:t>
            </w:r>
          </w:p>
        </w:tc>
        <w:tc>
          <w:tcPr>
            <w:tcW w:w="3421" w:type="dxa"/>
          </w:tcPr>
          <w:p w14:paraId="26BAEF25" w14:textId="77777777" w:rsidR="0046798B" w:rsidRDefault="0046798B">
            <w:pPr>
              <w:pStyle w:val="TableParagraph"/>
            </w:pPr>
          </w:p>
          <w:p w14:paraId="6C751C08" w14:textId="77777777" w:rsidR="0046798B" w:rsidRDefault="0046798B">
            <w:pPr>
              <w:pStyle w:val="TableParagraph"/>
              <w:spacing w:before="9"/>
              <w:rPr>
                <w:sz w:val="21"/>
              </w:rPr>
            </w:pPr>
          </w:p>
          <w:p w14:paraId="63C14495" w14:textId="77777777" w:rsidR="0046798B" w:rsidRDefault="00903B5C">
            <w:pPr>
              <w:pStyle w:val="TableParagraph"/>
              <w:ind w:left="114" w:right="1475"/>
              <w:rPr>
                <w:sz w:val="20"/>
              </w:rPr>
            </w:pPr>
            <w:r>
              <w:rPr>
                <w:sz w:val="20"/>
              </w:rPr>
              <w:t>0 = policy not adopted 1 = policy adopted</w:t>
            </w:r>
          </w:p>
        </w:tc>
        <w:tc>
          <w:tcPr>
            <w:tcW w:w="6482" w:type="dxa"/>
          </w:tcPr>
          <w:p w14:paraId="0870F4B4" w14:textId="77777777" w:rsidR="0046798B" w:rsidRDefault="00903B5C">
            <w:pPr>
              <w:pStyle w:val="TableParagraph"/>
              <w:spacing w:before="43"/>
              <w:ind w:left="114"/>
              <w:rPr>
                <w:sz w:val="20"/>
              </w:rPr>
            </w:pPr>
            <w:r>
              <w:rPr>
                <w:sz w:val="20"/>
              </w:rPr>
              <w:t xml:space="preserve">Uniform Law Commission website: </w:t>
            </w:r>
            <w:hyperlink r:id="rId982">
              <w:r>
                <w:rPr>
                  <w:color w:val="0462C1"/>
                  <w:sz w:val="20"/>
                  <w:u w:val="single" w:color="0462C1"/>
                </w:rPr>
                <w:t>http://www.uniformlaws.org/</w:t>
              </w:r>
            </w:hyperlink>
          </w:p>
          <w:p w14:paraId="7068586E" w14:textId="77777777" w:rsidR="0046798B" w:rsidRDefault="0046798B">
            <w:pPr>
              <w:pStyle w:val="TableParagraph"/>
              <w:rPr>
                <w:sz w:val="20"/>
              </w:rPr>
            </w:pPr>
          </w:p>
          <w:p w14:paraId="6E157942"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1129AFD" w14:textId="77777777">
        <w:trPr>
          <w:trHeight w:val="1466"/>
        </w:trPr>
        <w:tc>
          <w:tcPr>
            <w:tcW w:w="1711" w:type="dxa"/>
          </w:tcPr>
          <w:p w14:paraId="637CC45C" w14:textId="77777777" w:rsidR="0046798B" w:rsidRDefault="0046798B">
            <w:pPr>
              <w:pStyle w:val="TableParagraph"/>
            </w:pPr>
          </w:p>
          <w:p w14:paraId="4485E7F8" w14:textId="77777777" w:rsidR="0046798B" w:rsidRDefault="0046798B">
            <w:pPr>
              <w:pStyle w:val="TableParagraph"/>
              <w:spacing w:before="9"/>
              <w:rPr>
                <w:sz w:val="21"/>
              </w:rPr>
            </w:pPr>
          </w:p>
          <w:p w14:paraId="6020FA2C" w14:textId="77777777" w:rsidR="0046798B" w:rsidRDefault="00903B5C">
            <w:pPr>
              <w:pStyle w:val="TableParagraph"/>
              <w:ind w:left="115" w:right="132"/>
              <w:rPr>
                <w:b/>
                <w:sz w:val="20"/>
              </w:rPr>
            </w:pPr>
            <w:r>
              <w:rPr>
                <w:b/>
                <w:sz w:val="20"/>
              </w:rPr>
              <w:t>testamentary_ad ditions_to_trusts</w:t>
            </w:r>
          </w:p>
        </w:tc>
        <w:tc>
          <w:tcPr>
            <w:tcW w:w="1596" w:type="dxa"/>
          </w:tcPr>
          <w:p w14:paraId="6C2A4518" w14:textId="77777777" w:rsidR="0046798B" w:rsidRDefault="0046798B">
            <w:pPr>
              <w:pStyle w:val="TableParagraph"/>
            </w:pPr>
          </w:p>
          <w:p w14:paraId="2CA9A521" w14:textId="77777777" w:rsidR="0046798B" w:rsidRDefault="0046798B">
            <w:pPr>
              <w:pStyle w:val="TableParagraph"/>
              <w:spacing w:before="9"/>
              <w:rPr>
                <w:sz w:val="21"/>
              </w:rPr>
            </w:pPr>
          </w:p>
          <w:p w14:paraId="03309CC3" w14:textId="77777777" w:rsidR="0046798B" w:rsidRDefault="00903B5C">
            <w:pPr>
              <w:pStyle w:val="TableParagraph"/>
              <w:ind w:left="114" w:right="102"/>
              <w:rPr>
                <w:sz w:val="20"/>
              </w:rPr>
            </w:pPr>
            <w:r>
              <w:rPr>
                <w:sz w:val="20"/>
              </w:rPr>
              <w:t>Modernizes trust and estate law</w:t>
            </w:r>
          </w:p>
        </w:tc>
        <w:tc>
          <w:tcPr>
            <w:tcW w:w="1285" w:type="dxa"/>
          </w:tcPr>
          <w:p w14:paraId="7AFA9A09" w14:textId="77777777" w:rsidR="0046798B" w:rsidRDefault="0046798B">
            <w:pPr>
              <w:pStyle w:val="TableParagraph"/>
            </w:pPr>
          </w:p>
          <w:p w14:paraId="7AF44A1F" w14:textId="77777777" w:rsidR="0046798B" w:rsidRDefault="0046798B">
            <w:pPr>
              <w:pStyle w:val="TableParagraph"/>
              <w:spacing w:before="9"/>
              <w:rPr>
                <w:sz w:val="31"/>
              </w:rPr>
            </w:pPr>
          </w:p>
          <w:p w14:paraId="08CC8BF7" w14:textId="77777777" w:rsidR="0046798B" w:rsidRDefault="00903B5C">
            <w:pPr>
              <w:pStyle w:val="TableParagraph"/>
              <w:ind w:left="114"/>
              <w:rPr>
                <w:sz w:val="20"/>
              </w:rPr>
            </w:pPr>
            <w:r>
              <w:rPr>
                <w:sz w:val="20"/>
              </w:rPr>
              <w:t>1968–2009</w:t>
            </w:r>
          </w:p>
        </w:tc>
        <w:tc>
          <w:tcPr>
            <w:tcW w:w="3421" w:type="dxa"/>
          </w:tcPr>
          <w:p w14:paraId="2A222A38" w14:textId="77777777" w:rsidR="0046798B" w:rsidRDefault="0046798B">
            <w:pPr>
              <w:pStyle w:val="TableParagraph"/>
            </w:pPr>
          </w:p>
          <w:p w14:paraId="7BBA759D" w14:textId="77777777" w:rsidR="0046798B" w:rsidRDefault="0046798B">
            <w:pPr>
              <w:pStyle w:val="TableParagraph"/>
              <w:spacing w:before="9"/>
              <w:rPr>
                <w:sz w:val="21"/>
              </w:rPr>
            </w:pPr>
          </w:p>
          <w:p w14:paraId="3B3F0EFB" w14:textId="77777777" w:rsidR="0046798B" w:rsidRDefault="00903B5C">
            <w:pPr>
              <w:pStyle w:val="TableParagraph"/>
              <w:ind w:left="114" w:right="1475"/>
              <w:rPr>
                <w:sz w:val="20"/>
              </w:rPr>
            </w:pPr>
            <w:r>
              <w:rPr>
                <w:sz w:val="20"/>
              </w:rPr>
              <w:t>0 = policy not adopted 1 = policy adopted</w:t>
            </w:r>
          </w:p>
        </w:tc>
        <w:tc>
          <w:tcPr>
            <w:tcW w:w="6482" w:type="dxa"/>
          </w:tcPr>
          <w:p w14:paraId="7D2E9244" w14:textId="77777777" w:rsidR="0046798B" w:rsidRDefault="00903B5C">
            <w:pPr>
              <w:pStyle w:val="TableParagraph"/>
              <w:spacing w:before="44"/>
              <w:ind w:left="114"/>
              <w:rPr>
                <w:sz w:val="20"/>
              </w:rPr>
            </w:pPr>
            <w:r>
              <w:rPr>
                <w:sz w:val="20"/>
              </w:rPr>
              <w:t xml:space="preserve">Uniform Law Commission website: </w:t>
            </w:r>
            <w:hyperlink r:id="rId983">
              <w:r>
                <w:rPr>
                  <w:color w:val="0462C1"/>
                  <w:sz w:val="20"/>
                  <w:u w:val="single" w:color="0462C1"/>
                </w:rPr>
                <w:t>http://www.uniformlaws.org/</w:t>
              </w:r>
            </w:hyperlink>
          </w:p>
          <w:p w14:paraId="7EAE27CC" w14:textId="77777777" w:rsidR="0046798B" w:rsidRDefault="0046798B">
            <w:pPr>
              <w:pStyle w:val="TableParagraph"/>
              <w:spacing w:before="11"/>
              <w:rPr>
                <w:sz w:val="19"/>
              </w:rPr>
            </w:pPr>
          </w:p>
          <w:p w14:paraId="7A39A8EE"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22606658" w14:textId="77777777">
        <w:trPr>
          <w:trHeight w:val="2160"/>
        </w:trPr>
        <w:tc>
          <w:tcPr>
            <w:tcW w:w="1711" w:type="dxa"/>
          </w:tcPr>
          <w:p w14:paraId="11D09E60" w14:textId="77777777" w:rsidR="0046798B" w:rsidRDefault="0046798B">
            <w:pPr>
              <w:pStyle w:val="TableParagraph"/>
            </w:pPr>
          </w:p>
          <w:p w14:paraId="0B5880C6" w14:textId="77777777" w:rsidR="0046798B" w:rsidRDefault="0046798B">
            <w:pPr>
              <w:pStyle w:val="TableParagraph"/>
            </w:pPr>
          </w:p>
          <w:p w14:paraId="5D50F2BC" w14:textId="77777777" w:rsidR="0046798B" w:rsidRDefault="0046798B">
            <w:pPr>
              <w:pStyle w:val="TableParagraph"/>
              <w:spacing w:before="8"/>
              <w:rPr>
                <w:sz w:val="29"/>
              </w:rPr>
            </w:pPr>
          </w:p>
          <w:p w14:paraId="057D0917" w14:textId="77777777" w:rsidR="0046798B" w:rsidRDefault="00903B5C">
            <w:pPr>
              <w:pStyle w:val="TableParagraph"/>
              <w:spacing w:before="1"/>
              <w:ind w:left="115" w:right="133"/>
              <w:rPr>
                <w:b/>
                <w:sz w:val="20"/>
              </w:rPr>
            </w:pPr>
            <w:r>
              <w:rPr>
                <w:b/>
                <w:sz w:val="20"/>
              </w:rPr>
              <w:t>tod_security_reg istration_act</w:t>
            </w:r>
          </w:p>
        </w:tc>
        <w:tc>
          <w:tcPr>
            <w:tcW w:w="1596" w:type="dxa"/>
          </w:tcPr>
          <w:p w14:paraId="28D27553" w14:textId="77777777" w:rsidR="0046798B" w:rsidRDefault="00903B5C">
            <w:pPr>
              <w:pStyle w:val="TableParagraph"/>
              <w:spacing w:before="43"/>
              <w:ind w:left="114" w:right="163"/>
              <w:rPr>
                <w:sz w:val="20"/>
              </w:rPr>
            </w:pPr>
            <w:r>
              <w:rPr>
                <w:sz w:val="20"/>
              </w:rPr>
              <w:t>Provides non- probate transfer of specifically registered investment securities from owner to named beneficiaries at owner’s death</w:t>
            </w:r>
          </w:p>
        </w:tc>
        <w:tc>
          <w:tcPr>
            <w:tcW w:w="1285" w:type="dxa"/>
          </w:tcPr>
          <w:p w14:paraId="2CEBACF2" w14:textId="77777777" w:rsidR="0046798B" w:rsidRDefault="0046798B">
            <w:pPr>
              <w:pStyle w:val="TableParagraph"/>
            </w:pPr>
          </w:p>
          <w:p w14:paraId="685697CE" w14:textId="77777777" w:rsidR="0046798B" w:rsidRDefault="0046798B">
            <w:pPr>
              <w:pStyle w:val="TableParagraph"/>
            </w:pPr>
          </w:p>
          <w:p w14:paraId="5D0A9625" w14:textId="77777777" w:rsidR="0046798B" w:rsidRDefault="0046798B">
            <w:pPr>
              <w:pStyle w:val="TableParagraph"/>
            </w:pPr>
          </w:p>
          <w:p w14:paraId="7A2F0140" w14:textId="77777777" w:rsidR="0046798B" w:rsidRDefault="0046798B">
            <w:pPr>
              <w:pStyle w:val="TableParagraph"/>
              <w:spacing w:before="9"/>
              <w:rPr>
                <w:sz w:val="17"/>
              </w:rPr>
            </w:pPr>
          </w:p>
          <w:p w14:paraId="784FDF18" w14:textId="77777777" w:rsidR="0046798B" w:rsidRDefault="00903B5C">
            <w:pPr>
              <w:pStyle w:val="TableParagraph"/>
              <w:ind w:left="114"/>
              <w:rPr>
                <w:sz w:val="20"/>
              </w:rPr>
            </w:pPr>
            <w:r>
              <w:rPr>
                <w:sz w:val="20"/>
              </w:rPr>
              <w:t>1990–2005</w:t>
            </w:r>
          </w:p>
        </w:tc>
        <w:tc>
          <w:tcPr>
            <w:tcW w:w="3421" w:type="dxa"/>
          </w:tcPr>
          <w:p w14:paraId="2B2E9CD2" w14:textId="77777777" w:rsidR="0046798B" w:rsidRDefault="0046798B">
            <w:pPr>
              <w:pStyle w:val="TableParagraph"/>
            </w:pPr>
          </w:p>
          <w:p w14:paraId="3642FCEE" w14:textId="77777777" w:rsidR="0046798B" w:rsidRDefault="0046798B">
            <w:pPr>
              <w:pStyle w:val="TableParagraph"/>
            </w:pPr>
          </w:p>
          <w:p w14:paraId="42EE0BBB" w14:textId="77777777" w:rsidR="0046798B" w:rsidRDefault="0046798B">
            <w:pPr>
              <w:pStyle w:val="TableParagraph"/>
              <w:spacing w:before="8"/>
              <w:rPr>
                <w:sz w:val="29"/>
              </w:rPr>
            </w:pPr>
          </w:p>
          <w:p w14:paraId="4144D389"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0873F701" w14:textId="77777777" w:rsidR="0046798B" w:rsidRDefault="0046798B">
            <w:pPr>
              <w:pStyle w:val="TableParagraph"/>
            </w:pPr>
          </w:p>
          <w:p w14:paraId="63D798BC" w14:textId="77777777" w:rsidR="0046798B" w:rsidRDefault="00903B5C">
            <w:pPr>
              <w:pStyle w:val="TableParagraph"/>
              <w:spacing w:before="135"/>
              <w:ind w:left="114"/>
              <w:rPr>
                <w:sz w:val="20"/>
              </w:rPr>
            </w:pPr>
            <w:r>
              <w:rPr>
                <w:sz w:val="20"/>
              </w:rPr>
              <w:t xml:space="preserve">Uniform Law Commission website: </w:t>
            </w:r>
            <w:hyperlink r:id="rId984">
              <w:r>
                <w:rPr>
                  <w:color w:val="0462C1"/>
                  <w:sz w:val="20"/>
                  <w:u w:val="single" w:color="0462C1"/>
                </w:rPr>
                <w:t>http://www.uniformlaws.org/</w:t>
              </w:r>
            </w:hyperlink>
          </w:p>
          <w:p w14:paraId="610B470D" w14:textId="77777777" w:rsidR="0046798B" w:rsidRDefault="0046798B">
            <w:pPr>
              <w:pStyle w:val="TableParagraph"/>
              <w:rPr>
                <w:sz w:val="20"/>
              </w:rPr>
            </w:pPr>
          </w:p>
          <w:p w14:paraId="08B1A700"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348EAC3F" w14:textId="77777777">
        <w:trPr>
          <w:trHeight w:val="1926"/>
        </w:trPr>
        <w:tc>
          <w:tcPr>
            <w:tcW w:w="1711" w:type="dxa"/>
          </w:tcPr>
          <w:p w14:paraId="67431269" w14:textId="77777777" w:rsidR="0046798B" w:rsidRDefault="0046798B">
            <w:pPr>
              <w:pStyle w:val="TableParagraph"/>
            </w:pPr>
          </w:p>
          <w:p w14:paraId="13263B30" w14:textId="77777777" w:rsidR="0046798B" w:rsidRDefault="0046798B">
            <w:pPr>
              <w:pStyle w:val="TableParagraph"/>
            </w:pPr>
          </w:p>
          <w:p w14:paraId="3CB94946" w14:textId="77777777" w:rsidR="0046798B" w:rsidRDefault="0046798B">
            <w:pPr>
              <w:pStyle w:val="TableParagraph"/>
              <w:spacing w:before="4"/>
              <w:rPr>
                <w:sz w:val="19"/>
              </w:rPr>
            </w:pPr>
          </w:p>
          <w:p w14:paraId="2B3CDC0C" w14:textId="77777777" w:rsidR="0046798B" w:rsidRDefault="00903B5C">
            <w:pPr>
              <w:pStyle w:val="TableParagraph"/>
              <w:ind w:left="115" w:right="144"/>
              <w:rPr>
                <w:b/>
                <w:sz w:val="20"/>
              </w:rPr>
            </w:pPr>
            <w:r>
              <w:rPr>
                <w:b/>
                <w:sz w:val="20"/>
              </w:rPr>
              <w:t>trade_secrets_ac t</w:t>
            </w:r>
          </w:p>
        </w:tc>
        <w:tc>
          <w:tcPr>
            <w:tcW w:w="1596" w:type="dxa"/>
          </w:tcPr>
          <w:p w14:paraId="58D27520" w14:textId="77777777" w:rsidR="0046798B" w:rsidRDefault="00903B5C">
            <w:pPr>
              <w:pStyle w:val="TableParagraph"/>
              <w:spacing w:before="39"/>
              <w:ind w:left="114" w:right="269"/>
              <w:rPr>
                <w:sz w:val="20"/>
              </w:rPr>
            </w:pPr>
            <w:r>
              <w:rPr>
                <w:sz w:val="20"/>
              </w:rPr>
              <w:t>Codify the common law with proper clarification of rights and remedies in relation to a trade secret</w:t>
            </w:r>
          </w:p>
        </w:tc>
        <w:tc>
          <w:tcPr>
            <w:tcW w:w="1285" w:type="dxa"/>
          </w:tcPr>
          <w:p w14:paraId="1CE43261" w14:textId="77777777" w:rsidR="0046798B" w:rsidRDefault="0046798B">
            <w:pPr>
              <w:pStyle w:val="TableParagraph"/>
            </w:pPr>
          </w:p>
          <w:p w14:paraId="796D8056" w14:textId="77777777" w:rsidR="0046798B" w:rsidRDefault="0046798B">
            <w:pPr>
              <w:pStyle w:val="TableParagraph"/>
            </w:pPr>
          </w:p>
          <w:p w14:paraId="78E15FEB" w14:textId="77777777" w:rsidR="0046798B" w:rsidRDefault="0046798B">
            <w:pPr>
              <w:pStyle w:val="TableParagraph"/>
              <w:spacing w:before="4"/>
              <w:rPr>
                <w:sz w:val="29"/>
              </w:rPr>
            </w:pPr>
          </w:p>
          <w:p w14:paraId="7929C429" w14:textId="77777777" w:rsidR="0046798B" w:rsidRDefault="00903B5C">
            <w:pPr>
              <w:pStyle w:val="TableParagraph"/>
              <w:ind w:left="114"/>
              <w:rPr>
                <w:sz w:val="20"/>
              </w:rPr>
            </w:pPr>
            <w:r>
              <w:rPr>
                <w:sz w:val="20"/>
              </w:rPr>
              <w:t>1980–2013</w:t>
            </w:r>
          </w:p>
        </w:tc>
        <w:tc>
          <w:tcPr>
            <w:tcW w:w="3421" w:type="dxa"/>
          </w:tcPr>
          <w:p w14:paraId="52575A98" w14:textId="77777777" w:rsidR="0046798B" w:rsidRDefault="0046798B">
            <w:pPr>
              <w:pStyle w:val="TableParagraph"/>
            </w:pPr>
          </w:p>
          <w:p w14:paraId="7C3B633D" w14:textId="77777777" w:rsidR="0046798B" w:rsidRDefault="0046798B">
            <w:pPr>
              <w:pStyle w:val="TableParagraph"/>
            </w:pPr>
          </w:p>
          <w:p w14:paraId="0D5B1C31" w14:textId="77777777" w:rsidR="0046798B" w:rsidRDefault="0046798B">
            <w:pPr>
              <w:pStyle w:val="TableParagraph"/>
              <w:spacing w:before="4"/>
              <w:rPr>
                <w:sz w:val="19"/>
              </w:rPr>
            </w:pPr>
          </w:p>
          <w:p w14:paraId="7B552F2E" w14:textId="77777777" w:rsidR="0046798B" w:rsidRDefault="00903B5C">
            <w:pPr>
              <w:pStyle w:val="TableParagraph"/>
              <w:ind w:left="114" w:right="1475"/>
              <w:rPr>
                <w:sz w:val="20"/>
              </w:rPr>
            </w:pPr>
            <w:r>
              <w:rPr>
                <w:sz w:val="20"/>
              </w:rPr>
              <w:t>0 = policy not adopted 1 = policy adopted</w:t>
            </w:r>
          </w:p>
        </w:tc>
        <w:tc>
          <w:tcPr>
            <w:tcW w:w="6482" w:type="dxa"/>
          </w:tcPr>
          <w:p w14:paraId="0DFFFE6F" w14:textId="77777777" w:rsidR="0046798B" w:rsidRDefault="0046798B">
            <w:pPr>
              <w:pStyle w:val="TableParagraph"/>
              <w:spacing w:before="4"/>
              <w:rPr>
                <w:sz w:val="23"/>
              </w:rPr>
            </w:pPr>
          </w:p>
          <w:p w14:paraId="30D0B294" w14:textId="77777777" w:rsidR="0046798B" w:rsidRDefault="00903B5C">
            <w:pPr>
              <w:pStyle w:val="TableParagraph"/>
              <w:ind w:left="114"/>
              <w:rPr>
                <w:sz w:val="20"/>
              </w:rPr>
            </w:pPr>
            <w:r>
              <w:rPr>
                <w:sz w:val="20"/>
              </w:rPr>
              <w:t xml:space="preserve">Uniform Law Commission website: </w:t>
            </w:r>
            <w:hyperlink r:id="rId985">
              <w:r>
                <w:rPr>
                  <w:color w:val="0462C1"/>
                  <w:sz w:val="20"/>
                  <w:u w:val="single" w:color="0462C1"/>
                </w:rPr>
                <w:t>http://www.uniformlaws.org/</w:t>
              </w:r>
            </w:hyperlink>
          </w:p>
          <w:p w14:paraId="515FB1D4" w14:textId="77777777" w:rsidR="0046798B" w:rsidRDefault="0046798B">
            <w:pPr>
              <w:pStyle w:val="TableParagraph"/>
              <w:rPr>
                <w:sz w:val="20"/>
              </w:rPr>
            </w:pPr>
          </w:p>
          <w:p w14:paraId="5F35F897"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3810D9A7" w14:textId="77777777">
        <w:trPr>
          <w:trHeight w:val="2155"/>
        </w:trPr>
        <w:tc>
          <w:tcPr>
            <w:tcW w:w="1711" w:type="dxa"/>
          </w:tcPr>
          <w:p w14:paraId="6072BC3C" w14:textId="77777777" w:rsidR="0046798B" w:rsidRDefault="0046798B">
            <w:pPr>
              <w:pStyle w:val="TableParagraph"/>
            </w:pPr>
          </w:p>
          <w:p w14:paraId="2CAC3159" w14:textId="77777777" w:rsidR="0046798B" w:rsidRDefault="0046798B">
            <w:pPr>
              <w:pStyle w:val="TableParagraph"/>
            </w:pPr>
          </w:p>
          <w:p w14:paraId="64EDFE38" w14:textId="77777777" w:rsidR="0046798B" w:rsidRDefault="0046798B">
            <w:pPr>
              <w:pStyle w:val="TableParagraph"/>
              <w:spacing w:before="4"/>
              <w:rPr>
                <w:sz w:val="29"/>
              </w:rPr>
            </w:pPr>
          </w:p>
          <w:p w14:paraId="193E90D9" w14:textId="77777777" w:rsidR="0046798B" w:rsidRDefault="00903B5C">
            <w:pPr>
              <w:pStyle w:val="TableParagraph"/>
              <w:ind w:left="115" w:right="99"/>
              <w:rPr>
                <w:b/>
                <w:sz w:val="20"/>
              </w:rPr>
            </w:pPr>
            <w:r>
              <w:rPr>
                <w:b/>
                <w:sz w:val="20"/>
              </w:rPr>
              <w:t>transfers_to_min ors_act</w:t>
            </w:r>
          </w:p>
        </w:tc>
        <w:tc>
          <w:tcPr>
            <w:tcW w:w="1596" w:type="dxa"/>
          </w:tcPr>
          <w:p w14:paraId="10479AE5" w14:textId="77777777" w:rsidR="0046798B" w:rsidRDefault="00903B5C">
            <w:pPr>
              <w:pStyle w:val="TableParagraph"/>
              <w:spacing w:before="38"/>
              <w:ind w:left="114" w:right="116"/>
              <w:rPr>
                <w:sz w:val="20"/>
              </w:rPr>
            </w:pPr>
            <w:r>
              <w:rPr>
                <w:sz w:val="20"/>
              </w:rPr>
              <w:t>Allows a minor to receive gifts, such as money, patents, royalties, real estate and fine art, without the aid of a guardian or trustee</w:t>
            </w:r>
          </w:p>
        </w:tc>
        <w:tc>
          <w:tcPr>
            <w:tcW w:w="1285" w:type="dxa"/>
          </w:tcPr>
          <w:p w14:paraId="260DF04D" w14:textId="77777777" w:rsidR="0046798B" w:rsidRDefault="0046798B">
            <w:pPr>
              <w:pStyle w:val="TableParagraph"/>
            </w:pPr>
          </w:p>
          <w:p w14:paraId="7FC87AC8" w14:textId="77777777" w:rsidR="0046798B" w:rsidRDefault="0046798B">
            <w:pPr>
              <w:pStyle w:val="TableParagraph"/>
            </w:pPr>
          </w:p>
          <w:p w14:paraId="491B4F6E" w14:textId="77777777" w:rsidR="0046798B" w:rsidRDefault="0046798B">
            <w:pPr>
              <w:pStyle w:val="TableParagraph"/>
            </w:pPr>
          </w:p>
          <w:p w14:paraId="37C303B5" w14:textId="77777777" w:rsidR="0046798B" w:rsidRDefault="0046798B">
            <w:pPr>
              <w:pStyle w:val="TableParagraph"/>
              <w:spacing w:before="4"/>
              <w:rPr>
                <w:sz w:val="17"/>
              </w:rPr>
            </w:pPr>
          </w:p>
          <w:p w14:paraId="4F71FAF0" w14:textId="77777777" w:rsidR="0046798B" w:rsidRDefault="00903B5C">
            <w:pPr>
              <w:pStyle w:val="TableParagraph"/>
              <w:ind w:left="114"/>
              <w:rPr>
                <w:sz w:val="20"/>
              </w:rPr>
            </w:pPr>
            <w:r>
              <w:rPr>
                <w:sz w:val="20"/>
              </w:rPr>
              <w:t>1984–2015</w:t>
            </w:r>
          </w:p>
        </w:tc>
        <w:tc>
          <w:tcPr>
            <w:tcW w:w="3421" w:type="dxa"/>
          </w:tcPr>
          <w:p w14:paraId="62B4AE44" w14:textId="77777777" w:rsidR="0046798B" w:rsidRDefault="0046798B">
            <w:pPr>
              <w:pStyle w:val="TableParagraph"/>
            </w:pPr>
          </w:p>
          <w:p w14:paraId="488E41D1" w14:textId="77777777" w:rsidR="0046798B" w:rsidRDefault="0046798B">
            <w:pPr>
              <w:pStyle w:val="TableParagraph"/>
            </w:pPr>
          </w:p>
          <w:p w14:paraId="147FC3F9" w14:textId="77777777" w:rsidR="0046798B" w:rsidRDefault="0046798B">
            <w:pPr>
              <w:pStyle w:val="TableParagraph"/>
              <w:spacing w:before="4"/>
              <w:rPr>
                <w:sz w:val="29"/>
              </w:rPr>
            </w:pPr>
          </w:p>
          <w:p w14:paraId="048DE128" w14:textId="77777777" w:rsidR="0046798B" w:rsidRDefault="00903B5C">
            <w:pPr>
              <w:pStyle w:val="TableParagraph"/>
              <w:ind w:left="114" w:right="1475"/>
              <w:rPr>
                <w:sz w:val="20"/>
              </w:rPr>
            </w:pPr>
            <w:r>
              <w:rPr>
                <w:sz w:val="20"/>
              </w:rPr>
              <w:t>0 = policy not adopted 1 = policy adopted</w:t>
            </w:r>
          </w:p>
        </w:tc>
        <w:tc>
          <w:tcPr>
            <w:tcW w:w="6482" w:type="dxa"/>
          </w:tcPr>
          <w:p w14:paraId="520369C3" w14:textId="77777777" w:rsidR="0046798B" w:rsidRDefault="0046798B">
            <w:pPr>
              <w:pStyle w:val="TableParagraph"/>
            </w:pPr>
          </w:p>
          <w:p w14:paraId="67FD3A73" w14:textId="77777777" w:rsidR="0046798B" w:rsidRDefault="00903B5C">
            <w:pPr>
              <w:pStyle w:val="TableParagraph"/>
              <w:spacing w:before="130"/>
              <w:ind w:left="114"/>
              <w:rPr>
                <w:sz w:val="20"/>
              </w:rPr>
            </w:pPr>
            <w:r>
              <w:rPr>
                <w:sz w:val="20"/>
              </w:rPr>
              <w:t xml:space="preserve">Uniform Law Commission website: </w:t>
            </w:r>
            <w:hyperlink r:id="rId986">
              <w:r>
                <w:rPr>
                  <w:color w:val="0462C1"/>
                  <w:sz w:val="20"/>
                  <w:u w:val="single" w:color="0462C1"/>
                </w:rPr>
                <w:t>http://www.uniformlaws.org/</w:t>
              </w:r>
            </w:hyperlink>
          </w:p>
          <w:p w14:paraId="78B83B18" w14:textId="77777777" w:rsidR="0046798B" w:rsidRDefault="0046798B">
            <w:pPr>
              <w:pStyle w:val="TableParagraph"/>
              <w:rPr>
                <w:sz w:val="20"/>
              </w:rPr>
            </w:pPr>
          </w:p>
          <w:p w14:paraId="4EC00872"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bl>
    <w:p w14:paraId="797AA625" w14:textId="77777777" w:rsidR="0046798B" w:rsidRDefault="0046798B">
      <w:pPr>
        <w:rPr>
          <w:sz w:val="20"/>
        </w:rPr>
        <w:sectPr w:rsidR="0046798B">
          <w:pgSz w:w="15840" w:h="12240" w:orient="landscape"/>
          <w:pgMar w:top="1220" w:right="300" w:bottom="980" w:left="820" w:header="730" w:footer="787" w:gutter="0"/>
          <w:cols w:space="720"/>
        </w:sectPr>
      </w:pPr>
    </w:p>
    <w:p w14:paraId="7144C868"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369D8A6A" w14:textId="77777777">
        <w:trPr>
          <w:trHeight w:val="1465"/>
        </w:trPr>
        <w:tc>
          <w:tcPr>
            <w:tcW w:w="1711" w:type="dxa"/>
          </w:tcPr>
          <w:p w14:paraId="76C93E6E" w14:textId="77777777" w:rsidR="0046798B" w:rsidRDefault="0046798B">
            <w:pPr>
              <w:pStyle w:val="TableParagraph"/>
            </w:pPr>
          </w:p>
          <w:p w14:paraId="216CFD85" w14:textId="77777777" w:rsidR="0046798B" w:rsidRDefault="0046798B">
            <w:pPr>
              <w:pStyle w:val="TableParagraph"/>
              <w:spacing w:before="9"/>
              <w:rPr>
                <w:sz w:val="31"/>
              </w:rPr>
            </w:pPr>
          </w:p>
          <w:p w14:paraId="6D469F05" w14:textId="77777777" w:rsidR="0046798B" w:rsidRDefault="00903B5C">
            <w:pPr>
              <w:pStyle w:val="TableParagraph"/>
              <w:ind w:left="115"/>
              <w:rPr>
                <w:b/>
                <w:sz w:val="20"/>
              </w:rPr>
            </w:pPr>
            <w:r>
              <w:rPr>
                <w:b/>
                <w:sz w:val="20"/>
              </w:rPr>
              <w:t>trust_code</w:t>
            </w:r>
          </w:p>
        </w:tc>
        <w:tc>
          <w:tcPr>
            <w:tcW w:w="1596" w:type="dxa"/>
          </w:tcPr>
          <w:p w14:paraId="494F7C80" w14:textId="77777777" w:rsidR="0046798B" w:rsidRDefault="00903B5C">
            <w:pPr>
              <w:pStyle w:val="TableParagraph"/>
              <w:spacing w:before="158"/>
              <w:ind w:left="114" w:right="241"/>
              <w:rPr>
                <w:sz w:val="20"/>
              </w:rPr>
            </w:pPr>
            <w:r>
              <w:rPr>
                <w:sz w:val="20"/>
              </w:rPr>
              <w:t>Provides a comprehensive model for codifying the law on trusts</w:t>
            </w:r>
          </w:p>
        </w:tc>
        <w:tc>
          <w:tcPr>
            <w:tcW w:w="1285" w:type="dxa"/>
          </w:tcPr>
          <w:p w14:paraId="096813BE" w14:textId="77777777" w:rsidR="0046798B" w:rsidRDefault="0046798B">
            <w:pPr>
              <w:pStyle w:val="TableParagraph"/>
            </w:pPr>
          </w:p>
          <w:p w14:paraId="78CA204F" w14:textId="77777777" w:rsidR="0046798B" w:rsidRDefault="0046798B">
            <w:pPr>
              <w:pStyle w:val="TableParagraph"/>
              <w:spacing w:before="9"/>
              <w:rPr>
                <w:sz w:val="31"/>
              </w:rPr>
            </w:pPr>
          </w:p>
          <w:p w14:paraId="7D46710E" w14:textId="77777777" w:rsidR="0046798B" w:rsidRDefault="00903B5C">
            <w:pPr>
              <w:pStyle w:val="TableParagraph"/>
              <w:ind w:left="114"/>
              <w:rPr>
                <w:sz w:val="20"/>
              </w:rPr>
            </w:pPr>
            <w:r>
              <w:rPr>
                <w:sz w:val="20"/>
              </w:rPr>
              <w:t>2002–2016</w:t>
            </w:r>
          </w:p>
        </w:tc>
        <w:tc>
          <w:tcPr>
            <w:tcW w:w="3421" w:type="dxa"/>
          </w:tcPr>
          <w:p w14:paraId="126C17C1" w14:textId="77777777" w:rsidR="0046798B" w:rsidRDefault="0046798B">
            <w:pPr>
              <w:pStyle w:val="TableParagraph"/>
            </w:pPr>
          </w:p>
          <w:p w14:paraId="57D80FB8" w14:textId="77777777" w:rsidR="0046798B" w:rsidRDefault="0046798B">
            <w:pPr>
              <w:pStyle w:val="TableParagraph"/>
              <w:spacing w:before="9"/>
              <w:rPr>
                <w:sz w:val="21"/>
              </w:rPr>
            </w:pPr>
          </w:p>
          <w:p w14:paraId="16DFE00F" w14:textId="77777777" w:rsidR="0046798B" w:rsidRDefault="00903B5C">
            <w:pPr>
              <w:pStyle w:val="TableParagraph"/>
              <w:ind w:left="114" w:right="1475"/>
              <w:rPr>
                <w:sz w:val="20"/>
              </w:rPr>
            </w:pPr>
            <w:r>
              <w:rPr>
                <w:sz w:val="20"/>
              </w:rPr>
              <w:t>0 = policy not adopted 1 = policy adopted</w:t>
            </w:r>
          </w:p>
        </w:tc>
        <w:tc>
          <w:tcPr>
            <w:tcW w:w="6482" w:type="dxa"/>
          </w:tcPr>
          <w:p w14:paraId="25A36D9A" w14:textId="77777777" w:rsidR="0046798B" w:rsidRDefault="00903B5C">
            <w:pPr>
              <w:pStyle w:val="TableParagraph"/>
              <w:spacing w:before="43"/>
              <w:ind w:left="114"/>
              <w:rPr>
                <w:sz w:val="20"/>
              </w:rPr>
            </w:pPr>
            <w:r>
              <w:rPr>
                <w:sz w:val="20"/>
              </w:rPr>
              <w:t xml:space="preserve">Uniform Law Commission website: </w:t>
            </w:r>
            <w:hyperlink r:id="rId987">
              <w:r>
                <w:rPr>
                  <w:color w:val="0462C1"/>
                  <w:sz w:val="20"/>
                  <w:u w:val="single" w:color="0462C1"/>
                </w:rPr>
                <w:t>http://www.uniformlaws.org/</w:t>
              </w:r>
            </w:hyperlink>
          </w:p>
          <w:p w14:paraId="09B071BC" w14:textId="77777777" w:rsidR="0046798B" w:rsidRDefault="0046798B">
            <w:pPr>
              <w:pStyle w:val="TableParagraph"/>
              <w:rPr>
                <w:sz w:val="20"/>
              </w:rPr>
            </w:pPr>
          </w:p>
          <w:p w14:paraId="5107E308"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58DB1C12" w14:textId="77777777">
        <w:trPr>
          <w:trHeight w:val="1466"/>
        </w:trPr>
        <w:tc>
          <w:tcPr>
            <w:tcW w:w="1711" w:type="dxa"/>
          </w:tcPr>
          <w:p w14:paraId="54D3DC8C" w14:textId="77777777" w:rsidR="0046798B" w:rsidRDefault="0046798B">
            <w:pPr>
              <w:pStyle w:val="TableParagraph"/>
            </w:pPr>
          </w:p>
          <w:p w14:paraId="5EC0D11B" w14:textId="77777777" w:rsidR="0046798B" w:rsidRDefault="0046798B">
            <w:pPr>
              <w:pStyle w:val="TableParagraph"/>
              <w:spacing w:before="9"/>
              <w:rPr>
                <w:sz w:val="31"/>
              </w:rPr>
            </w:pPr>
          </w:p>
          <w:p w14:paraId="2622E861" w14:textId="77777777" w:rsidR="0046798B" w:rsidRDefault="00903B5C">
            <w:pPr>
              <w:pStyle w:val="TableParagraph"/>
              <w:ind w:left="115"/>
              <w:rPr>
                <w:b/>
                <w:sz w:val="20"/>
              </w:rPr>
            </w:pPr>
            <w:r>
              <w:rPr>
                <w:b/>
                <w:sz w:val="20"/>
              </w:rPr>
              <w:t>trust_decanting</w:t>
            </w:r>
          </w:p>
        </w:tc>
        <w:tc>
          <w:tcPr>
            <w:tcW w:w="1596" w:type="dxa"/>
          </w:tcPr>
          <w:p w14:paraId="24399679" w14:textId="77777777" w:rsidR="0046798B" w:rsidRDefault="0046798B">
            <w:pPr>
              <w:pStyle w:val="TableParagraph"/>
              <w:spacing w:before="9"/>
              <w:rPr>
                <w:sz w:val="23"/>
              </w:rPr>
            </w:pPr>
          </w:p>
          <w:p w14:paraId="504E7380" w14:textId="77777777" w:rsidR="0046798B" w:rsidRDefault="00903B5C">
            <w:pPr>
              <w:pStyle w:val="TableParagraph"/>
              <w:ind w:left="114" w:right="147"/>
              <w:rPr>
                <w:sz w:val="20"/>
              </w:rPr>
            </w:pPr>
            <w:r>
              <w:rPr>
                <w:sz w:val="20"/>
              </w:rPr>
              <w:t>Non-judicial method for modifying irrevocable trust</w:t>
            </w:r>
          </w:p>
        </w:tc>
        <w:tc>
          <w:tcPr>
            <w:tcW w:w="1285" w:type="dxa"/>
          </w:tcPr>
          <w:p w14:paraId="6CB1E3A4" w14:textId="77777777" w:rsidR="0046798B" w:rsidRDefault="0046798B">
            <w:pPr>
              <w:pStyle w:val="TableParagraph"/>
            </w:pPr>
          </w:p>
          <w:p w14:paraId="7F770B3A" w14:textId="77777777" w:rsidR="0046798B" w:rsidRDefault="0046798B">
            <w:pPr>
              <w:pStyle w:val="TableParagraph"/>
              <w:spacing w:before="9"/>
              <w:rPr>
                <w:sz w:val="31"/>
              </w:rPr>
            </w:pPr>
          </w:p>
          <w:p w14:paraId="14F6ABA1" w14:textId="77777777" w:rsidR="0046798B" w:rsidRDefault="00903B5C">
            <w:pPr>
              <w:pStyle w:val="TableParagraph"/>
              <w:ind w:left="114"/>
              <w:rPr>
                <w:sz w:val="20"/>
              </w:rPr>
            </w:pPr>
            <w:r>
              <w:rPr>
                <w:sz w:val="20"/>
              </w:rPr>
              <w:t>2016–2017</w:t>
            </w:r>
          </w:p>
        </w:tc>
        <w:tc>
          <w:tcPr>
            <w:tcW w:w="3421" w:type="dxa"/>
          </w:tcPr>
          <w:p w14:paraId="56230732" w14:textId="77777777" w:rsidR="0046798B" w:rsidRDefault="0046798B">
            <w:pPr>
              <w:pStyle w:val="TableParagraph"/>
            </w:pPr>
          </w:p>
          <w:p w14:paraId="18D7DC7D" w14:textId="77777777" w:rsidR="0046798B" w:rsidRDefault="0046798B">
            <w:pPr>
              <w:pStyle w:val="TableParagraph"/>
              <w:spacing w:before="9"/>
              <w:rPr>
                <w:sz w:val="21"/>
              </w:rPr>
            </w:pPr>
          </w:p>
          <w:p w14:paraId="2C325A4A" w14:textId="77777777" w:rsidR="0046798B" w:rsidRDefault="00903B5C">
            <w:pPr>
              <w:pStyle w:val="TableParagraph"/>
              <w:ind w:left="114" w:right="1475"/>
              <w:rPr>
                <w:sz w:val="20"/>
              </w:rPr>
            </w:pPr>
            <w:r>
              <w:rPr>
                <w:sz w:val="20"/>
              </w:rPr>
              <w:t>0 = policy not adopted 1 = policy adopted</w:t>
            </w:r>
          </w:p>
        </w:tc>
        <w:tc>
          <w:tcPr>
            <w:tcW w:w="6482" w:type="dxa"/>
          </w:tcPr>
          <w:p w14:paraId="22BE892C" w14:textId="77777777" w:rsidR="0046798B" w:rsidRDefault="00903B5C">
            <w:pPr>
              <w:pStyle w:val="TableParagraph"/>
              <w:spacing w:before="44"/>
              <w:ind w:left="114"/>
              <w:rPr>
                <w:sz w:val="20"/>
              </w:rPr>
            </w:pPr>
            <w:r>
              <w:rPr>
                <w:sz w:val="20"/>
              </w:rPr>
              <w:t xml:space="preserve">Uniform Law Commission website: </w:t>
            </w:r>
            <w:hyperlink r:id="rId988">
              <w:r>
                <w:rPr>
                  <w:color w:val="0462C1"/>
                  <w:sz w:val="20"/>
                  <w:u w:val="single" w:color="0462C1"/>
                </w:rPr>
                <w:t>http://www.uniformlaws.org/</w:t>
              </w:r>
            </w:hyperlink>
          </w:p>
          <w:p w14:paraId="02A130FC" w14:textId="77777777" w:rsidR="0046798B" w:rsidRDefault="0046798B">
            <w:pPr>
              <w:pStyle w:val="TableParagraph"/>
              <w:spacing w:before="11"/>
              <w:rPr>
                <w:sz w:val="19"/>
              </w:rPr>
            </w:pPr>
          </w:p>
          <w:p w14:paraId="7CE0D869"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791E9616" w14:textId="77777777">
        <w:trPr>
          <w:trHeight w:val="1470"/>
        </w:trPr>
        <w:tc>
          <w:tcPr>
            <w:tcW w:w="1711" w:type="dxa"/>
          </w:tcPr>
          <w:p w14:paraId="68D0CCE8" w14:textId="77777777" w:rsidR="0046798B" w:rsidRDefault="0046798B">
            <w:pPr>
              <w:pStyle w:val="TableParagraph"/>
            </w:pPr>
          </w:p>
          <w:p w14:paraId="2D51CF7A" w14:textId="77777777" w:rsidR="0046798B" w:rsidRDefault="0046798B">
            <w:pPr>
              <w:pStyle w:val="TableParagraph"/>
              <w:spacing w:before="8"/>
              <w:rPr>
                <w:sz w:val="21"/>
              </w:rPr>
            </w:pPr>
          </w:p>
          <w:p w14:paraId="36914414" w14:textId="77777777" w:rsidR="0046798B" w:rsidRDefault="00903B5C">
            <w:pPr>
              <w:pStyle w:val="TableParagraph"/>
              <w:spacing w:before="1"/>
              <w:ind w:left="115" w:right="88"/>
              <w:rPr>
                <w:b/>
                <w:sz w:val="20"/>
              </w:rPr>
            </w:pPr>
            <w:r>
              <w:rPr>
                <w:b/>
                <w:sz w:val="20"/>
              </w:rPr>
              <w:t>trustees_powers_ act_1964</w:t>
            </w:r>
          </w:p>
        </w:tc>
        <w:tc>
          <w:tcPr>
            <w:tcW w:w="1596" w:type="dxa"/>
          </w:tcPr>
          <w:p w14:paraId="7DED750D" w14:textId="77777777" w:rsidR="0046798B" w:rsidRDefault="0046798B">
            <w:pPr>
              <w:pStyle w:val="TableParagraph"/>
            </w:pPr>
          </w:p>
          <w:p w14:paraId="19B05FFF" w14:textId="77777777" w:rsidR="0046798B" w:rsidRDefault="0046798B">
            <w:pPr>
              <w:pStyle w:val="TableParagraph"/>
              <w:spacing w:before="8"/>
              <w:rPr>
                <w:sz w:val="21"/>
              </w:rPr>
            </w:pPr>
          </w:p>
          <w:p w14:paraId="1E5F7F3F" w14:textId="77777777" w:rsidR="0046798B" w:rsidRDefault="00903B5C">
            <w:pPr>
              <w:pStyle w:val="TableParagraph"/>
              <w:spacing w:before="1"/>
              <w:ind w:left="114" w:right="368"/>
              <w:rPr>
                <w:sz w:val="20"/>
              </w:rPr>
            </w:pPr>
            <w:r>
              <w:rPr>
                <w:sz w:val="20"/>
              </w:rPr>
              <w:t>Codifies trust laws</w:t>
            </w:r>
          </w:p>
        </w:tc>
        <w:tc>
          <w:tcPr>
            <w:tcW w:w="1285" w:type="dxa"/>
          </w:tcPr>
          <w:p w14:paraId="50A163E9" w14:textId="77777777" w:rsidR="0046798B" w:rsidRDefault="0046798B">
            <w:pPr>
              <w:pStyle w:val="TableParagraph"/>
            </w:pPr>
          </w:p>
          <w:p w14:paraId="5A82BB2F" w14:textId="77777777" w:rsidR="0046798B" w:rsidRDefault="0046798B">
            <w:pPr>
              <w:pStyle w:val="TableParagraph"/>
              <w:spacing w:before="8"/>
              <w:rPr>
                <w:sz w:val="31"/>
              </w:rPr>
            </w:pPr>
          </w:p>
          <w:p w14:paraId="6453D63C" w14:textId="77777777" w:rsidR="0046798B" w:rsidRDefault="00903B5C">
            <w:pPr>
              <w:pStyle w:val="TableParagraph"/>
              <w:spacing w:before="1"/>
              <w:ind w:left="114"/>
              <w:rPr>
                <w:sz w:val="20"/>
              </w:rPr>
            </w:pPr>
            <w:r>
              <w:rPr>
                <w:sz w:val="20"/>
              </w:rPr>
              <w:t>1976–1985</w:t>
            </w:r>
          </w:p>
        </w:tc>
        <w:tc>
          <w:tcPr>
            <w:tcW w:w="3421" w:type="dxa"/>
          </w:tcPr>
          <w:p w14:paraId="7F4EA5AB" w14:textId="77777777" w:rsidR="0046798B" w:rsidRDefault="0046798B">
            <w:pPr>
              <w:pStyle w:val="TableParagraph"/>
            </w:pPr>
          </w:p>
          <w:p w14:paraId="07368437" w14:textId="77777777" w:rsidR="0046798B" w:rsidRDefault="0046798B">
            <w:pPr>
              <w:pStyle w:val="TableParagraph"/>
              <w:spacing w:before="8"/>
              <w:rPr>
                <w:sz w:val="21"/>
              </w:rPr>
            </w:pPr>
          </w:p>
          <w:p w14:paraId="517AE575"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72C18B2C" w14:textId="77777777" w:rsidR="0046798B" w:rsidRDefault="00903B5C">
            <w:pPr>
              <w:pStyle w:val="TableParagraph"/>
              <w:spacing w:before="43"/>
              <w:ind w:left="114"/>
              <w:rPr>
                <w:sz w:val="20"/>
              </w:rPr>
            </w:pPr>
            <w:r>
              <w:rPr>
                <w:sz w:val="20"/>
              </w:rPr>
              <w:t xml:space="preserve">Uniform Law Commission website: </w:t>
            </w:r>
            <w:hyperlink r:id="rId989">
              <w:r>
                <w:rPr>
                  <w:color w:val="0462C1"/>
                  <w:sz w:val="20"/>
                  <w:u w:val="single" w:color="0462C1"/>
                </w:rPr>
                <w:t>http://www.uniformlaws.org/</w:t>
              </w:r>
            </w:hyperlink>
          </w:p>
          <w:p w14:paraId="060516BE" w14:textId="77777777" w:rsidR="0046798B" w:rsidRDefault="0046798B">
            <w:pPr>
              <w:pStyle w:val="TableParagraph"/>
              <w:rPr>
                <w:sz w:val="20"/>
              </w:rPr>
            </w:pPr>
          </w:p>
          <w:p w14:paraId="0C461EF7"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00FC6B92" w14:textId="77777777">
        <w:trPr>
          <w:trHeight w:val="1465"/>
        </w:trPr>
        <w:tc>
          <w:tcPr>
            <w:tcW w:w="1711" w:type="dxa"/>
          </w:tcPr>
          <w:p w14:paraId="2570B837" w14:textId="77777777" w:rsidR="0046798B" w:rsidRDefault="0046798B">
            <w:pPr>
              <w:pStyle w:val="TableParagraph"/>
            </w:pPr>
          </w:p>
          <w:p w14:paraId="7057D0F2" w14:textId="77777777" w:rsidR="0046798B" w:rsidRDefault="0046798B">
            <w:pPr>
              <w:pStyle w:val="TableParagraph"/>
              <w:spacing w:before="3"/>
              <w:rPr>
                <w:sz w:val="21"/>
              </w:rPr>
            </w:pPr>
          </w:p>
          <w:p w14:paraId="73F7D23E" w14:textId="77777777" w:rsidR="0046798B" w:rsidRDefault="00903B5C">
            <w:pPr>
              <w:pStyle w:val="TableParagraph"/>
              <w:spacing w:before="1"/>
              <w:ind w:left="115" w:right="144"/>
              <w:rPr>
                <w:b/>
                <w:sz w:val="20"/>
              </w:rPr>
            </w:pPr>
            <w:r>
              <w:rPr>
                <w:b/>
                <w:sz w:val="20"/>
              </w:rPr>
              <w:t>ucc_article_1_ge neral_provision</w:t>
            </w:r>
          </w:p>
        </w:tc>
        <w:tc>
          <w:tcPr>
            <w:tcW w:w="1596" w:type="dxa"/>
          </w:tcPr>
          <w:p w14:paraId="054977F5" w14:textId="77777777" w:rsidR="0046798B" w:rsidRDefault="00903B5C">
            <w:pPr>
              <w:pStyle w:val="TableParagraph"/>
              <w:spacing w:before="153"/>
              <w:ind w:left="114" w:right="257"/>
              <w:rPr>
                <w:sz w:val="20"/>
              </w:rPr>
            </w:pPr>
            <w:r>
              <w:rPr>
                <w:sz w:val="20"/>
              </w:rPr>
              <w:t>Provides definitions and general provisions (2001)</w:t>
            </w:r>
          </w:p>
        </w:tc>
        <w:tc>
          <w:tcPr>
            <w:tcW w:w="1285" w:type="dxa"/>
          </w:tcPr>
          <w:p w14:paraId="6E8BA6FA" w14:textId="77777777" w:rsidR="0046798B" w:rsidRDefault="0046798B">
            <w:pPr>
              <w:pStyle w:val="TableParagraph"/>
            </w:pPr>
          </w:p>
          <w:p w14:paraId="7E91AEC4" w14:textId="77777777" w:rsidR="0046798B" w:rsidRDefault="0046798B">
            <w:pPr>
              <w:pStyle w:val="TableParagraph"/>
              <w:spacing w:before="3"/>
              <w:rPr>
                <w:sz w:val="31"/>
              </w:rPr>
            </w:pPr>
          </w:p>
          <w:p w14:paraId="35EA8F6A" w14:textId="77777777" w:rsidR="0046798B" w:rsidRDefault="00903B5C">
            <w:pPr>
              <w:pStyle w:val="TableParagraph"/>
              <w:spacing w:before="1"/>
              <w:ind w:left="114"/>
              <w:rPr>
                <w:sz w:val="20"/>
              </w:rPr>
            </w:pPr>
            <w:r>
              <w:rPr>
                <w:sz w:val="20"/>
              </w:rPr>
              <w:t>2003–2015</w:t>
            </w:r>
          </w:p>
        </w:tc>
        <w:tc>
          <w:tcPr>
            <w:tcW w:w="3421" w:type="dxa"/>
          </w:tcPr>
          <w:p w14:paraId="028C92E1" w14:textId="77777777" w:rsidR="0046798B" w:rsidRDefault="0046798B">
            <w:pPr>
              <w:pStyle w:val="TableParagraph"/>
            </w:pPr>
          </w:p>
          <w:p w14:paraId="65EB6C25" w14:textId="77777777" w:rsidR="0046798B" w:rsidRDefault="0046798B">
            <w:pPr>
              <w:pStyle w:val="TableParagraph"/>
              <w:spacing w:before="3"/>
              <w:rPr>
                <w:sz w:val="21"/>
              </w:rPr>
            </w:pPr>
          </w:p>
          <w:p w14:paraId="13A0C04E"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18FE3A4B" w14:textId="77777777" w:rsidR="0046798B" w:rsidRDefault="00903B5C">
            <w:pPr>
              <w:pStyle w:val="TableParagraph"/>
              <w:spacing w:before="38"/>
              <w:ind w:left="114"/>
              <w:rPr>
                <w:sz w:val="20"/>
              </w:rPr>
            </w:pPr>
            <w:r>
              <w:rPr>
                <w:sz w:val="20"/>
              </w:rPr>
              <w:t xml:space="preserve">Uniform Law Commission website: </w:t>
            </w:r>
            <w:hyperlink r:id="rId990">
              <w:r>
                <w:rPr>
                  <w:color w:val="0462C1"/>
                  <w:sz w:val="20"/>
                  <w:u w:val="single" w:color="0462C1"/>
                </w:rPr>
                <w:t>http://www.uniformlaws.org/</w:t>
              </w:r>
            </w:hyperlink>
          </w:p>
          <w:p w14:paraId="6C0F0D6F" w14:textId="77777777" w:rsidR="0046798B" w:rsidRDefault="0046798B">
            <w:pPr>
              <w:pStyle w:val="TableParagraph"/>
              <w:rPr>
                <w:sz w:val="20"/>
              </w:rPr>
            </w:pPr>
          </w:p>
          <w:p w14:paraId="18835263"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23FCA01F" w14:textId="77777777">
        <w:trPr>
          <w:trHeight w:val="1695"/>
        </w:trPr>
        <w:tc>
          <w:tcPr>
            <w:tcW w:w="1711" w:type="dxa"/>
          </w:tcPr>
          <w:p w14:paraId="6EB77E14" w14:textId="77777777" w:rsidR="0046798B" w:rsidRDefault="0046798B">
            <w:pPr>
              <w:pStyle w:val="TableParagraph"/>
            </w:pPr>
          </w:p>
          <w:p w14:paraId="106CAE65" w14:textId="77777777" w:rsidR="0046798B" w:rsidRDefault="0046798B">
            <w:pPr>
              <w:pStyle w:val="TableParagraph"/>
              <w:spacing w:before="4"/>
              <w:rPr>
                <w:sz w:val="31"/>
              </w:rPr>
            </w:pPr>
          </w:p>
          <w:p w14:paraId="346B11B6" w14:textId="77777777" w:rsidR="0046798B" w:rsidRDefault="00903B5C">
            <w:pPr>
              <w:pStyle w:val="TableParagraph"/>
              <w:ind w:left="115" w:right="88"/>
              <w:rPr>
                <w:b/>
                <w:sz w:val="20"/>
              </w:rPr>
            </w:pPr>
            <w:r>
              <w:rPr>
                <w:b/>
                <w:sz w:val="20"/>
              </w:rPr>
              <w:t>ucc_article_2a_le ases_1987_19</w:t>
            </w:r>
          </w:p>
        </w:tc>
        <w:tc>
          <w:tcPr>
            <w:tcW w:w="1596" w:type="dxa"/>
          </w:tcPr>
          <w:p w14:paraId="0A9355BA" w14:textId="77777777" w:rsidR="0046798B" w:rsidRDefault="00903B5C">
            <w:pPr>
              <w:pStyle w:val="TableParagraph"/>
              <w:spacing w:before="38"/>
              <w:ind w:left="114" w:right="185"/>
              <w:rPr>
                <w:sz w:val="20"/>
              </w:rPr>
            </w:pPr>
            <w:r>
              <w:rPr>
                <w:sz w:val="20"/>
              </w:rPr>
              <w:t>Provides states with a legal framework for any transaction, regardless of form, that creates a lease</w:t>
            </w:r>
          </w:p>
        </w:tc>
        <w:tc>
          <w:tcPr>
            <w:tcW w:w="1285" w:type="dxa"/>
          </w:tcPr>
          <w:p w14:paraId="514C758B" w14:textId="77777777" w:rsidR="0046798B" w:rsidRDefault="0046798B">
            <w:pPr>
              <w:pStyle w:val="TableParagraph"/>
            </w:pPr>
          </w:p>
          <w:p w14:paraId="7D463F71" w14:textId="77777777" w:rsidR="0046798B" w:rsidRDefault="0046798B">
            <w:pPr>
              <w:pStyle w:val="TableParagraph"/>
            </w:pPr>
          </w:p>
          <w:p w14:paraId="0AFCCC1D" w14:textId="77777777" w:rsidR="0046798B" w:rsidRDefault="0046798B">
            <w:pPr>
              <w:pStyle w:val="TableParagraph"/>
              <w:spacing w:before="4"/>
              <w:rPr>
                <w:sz w:val="19"/>
              </w:rPr>
            </w:pPr>
          </w:p>
          <w:p w14:paraId="1F2F23F8" w14:textId="77777777" w:rsidR="0046798B" w:rsidRDefault="00903B5C">
            <w:pPr>
              <w:pStyle w:val="TableParagraph"/>
              <w:ind w:left="114"/>
              <w:rPr>
                <w:sz w:val="20"/>
              </w:rPr>
            </w:pPr>
            <w:r>
              <w:rPr>
                <w:sz w:val="20"/>
              </w:rPr>
              <w:t>1988–2002</w:t>
            </w:r>
          </w:p>
        </w:tc>
        <w:tc>
          <w:tcPr>
            <w:tcW w:w="3421" w:type="dxa"/>
          </w:tcPr>
          <w:p w14:paraId="6E8393BE" w14:textId="77777777" w:rsidR="0046798B" w:rsidRDefault="0046798B">
            <w:pPr>
              <w:pStyle w:val="TableParagraph"/>
            </w:pPr>
          </w:p>
          <w:p w14:paraId="48C7D822" w14:textId="77777777" w:rsidR="0046798B" w:rsidRDefault="0046798B">
            <w:pPr>
              <w:pStyle w:val="TableParagraph"/>
              <w:spacing w:before="4"/>
              <w:rPr>
                <w:sz w:val="31"/>
              </w:rPr>
            </w:pPr>
          </w:p>
          <w:p w14:paraId="35BB70C9" w14:textId="77777777" w:rsidR="0046798B" w:rsidRDefault="00903B5C">
            <w:pPr>
              <w:pStyle w:val="TableParagraph"/>
              <w:ind w:left="114" w:right="1475"/>
              <w:rPr>
                <w:sz w:val="20"/>
              </w:rPr>
            </w:pPr>
            <w:r>
              <w:rPr>
                <w:sz w:val="20"/>
              </w:rPr>
              <w:t>0 = policy not adopted 1 = policy adopted</w:t>
            </w:r>
          </w:p>
        </w:tc>
        <w:tc>
          <w:tcPr>
            <w:tcW w:w="6482" w:type="dxa"/>
          </w:tcPr>
          <w:p w14:paraId="72E2A017" w14:textId="77777777" w:rsidR="0046798B" w:rsidRDefault="00903B5C">
            <w:pPr>
              <w:pStyle w:val="TableParagraph"/>
              <w:spacing w:before="153"/>
              <w:ind w:left="114"/>
              <w:rPr>
                <w:sz w:val="20"/>
              </w:rPr>
            </w:pPr>
            <w:r>
              <w:rPr>
                <w:sz w:val="20"/>
              </w:rPr>
              <w:t xml:space="preserve">Uniform Law Commission website: </w:t>
            </w:r>
            <w:hyperlink r:id="rId991">
              <w:r>
                <w:rPr>
                  <w:color w:val="0462C1"/>
                  <w:sz w:val="20"/>
                  <w:u w:val="single" w:color="0462C1"/>
                </w:rPr>
                <w:t>http://www.uniformlaws.org/</w:t>
              </w:r>
            </w:hyperlink>
          </w:p>
          <w:p w14:paraId="7B2480B9" w14:textId="77777777" w:rsidR="0046798B" w:rsidRDefault="0046798B">
            <w:pPr>
              <w:pStyle w:val="TableParagraph"/>
              <w:rPr>
                <w:sz w:val="20"/>
              </w:rPr>
            </w:pPr>
          </w:p>
          <w:p w14:paraId="426B287A"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E8D0757" w14:textId="77777777">
        <w:trPr>
          <w:trHeight w:val="1465"/>
        </w:trPr>
        <w:tc>
          <w:tcPr>
            <w:tcW w:w="1711" w:type="dxa"/>
          </w:tcPr>
          <w:p w14:paraId="2D9789E6" w14:textId="77777777" w:rsidR="0046798B" w:rsidRDefault="0046798B">
            <w:pPr>
              <w:pStyle w:val="TableParagraph"/>
            </w:pPr>
          </w:p>
          <w:p w14:paraId="2991FEB8" w14:textId="77777777" w:rsidR="0046798B" w:rsidRDefault="0046798B">
            <w:pPr>
              <w:pStyle w:val="TableParagraph"/>
              <w:spacing w:before="4"/>
              <w:rPr>
                <w:sz w:val="21"/>
              </w:rPr>
            </w:pPr>
          </w:p>
          <w:p w14:paraId="60E59B3B" w14:textId="77777777" w:rsidR="0046798B" w:rsidRDefault="00903B5C">
            <w:pPr>
              <w:pStyle w:val="TableParagraph"/>
              <w:ind w:left="115" w:right="133"/>
              <w:rPr>
                <w:b/>
                <w:sz w:val="20"/>
              </w:rPr>
            </w:pPr>
            <w:r>
              <w:rPr>
                <w:b/>
                <w:sz w:val="20"/>
              </w:rPr>
              <w:t>ucc_article_3_ne gotiable_instru</w:t>
            </w:r>
          </w:p>
        </w:tc>
        <w:tc>
          <w:tcPr>
            <w:tcW w:w="1596" w:type="dxa"/>
          </w:tcPr>
          <w:p w14:paraId="6380FDB9" w14:textId="77777777" w:rsidR="0046798B" w:rsidRDefault="00903B5C">
            <w:pPr>
              <w:pStyle w:val="TableParagraph"/>
              <w:spacing w:before="153"/>
              <w:ind w:left="114" w:right="313"/>
              <w:rPr>
                <w:sz w:val="20"/>
              </w:rPr>
            </w:pPr>
            <w:r>
              <w:rPr>
                <w:sz w:val="20"/>
              </w:rPr>
              <w:t>Attempts to standardize negotiable instruments in states (1990)</w:t>
            </w:r>
          </w:p>
        </w:tc>
        <w:tc>
          <w:tcPr>
            <w:tcW w:w="1285" w:type="dxa"/>
          </w:tcPr>
          <w:p w14:paraId="6692937F" w14:textId="77777777" w:rsidR="0046798B" w:rsidRDefault="0046798B">
            <w:pPr>
              <w:pStyle w:val="TableParagraph"/>
            </w:pPr>
          </w:p>
          <w:p w14:paraId="2031618E" w14:textId="77777777" w:rsidR="0046798B" w:rsidRDefault="0046798B">
            <w:pPr>
              <w:pStyle w:val="TableParagraph"/>
              <w:spacing w:before="4"/>
              <w:rPr>
                <w:sz w:val="31"/>
              </w:rPr>
            </w:pPr>
          </w:p>
          <w:p w14:paraId="21784613" w14:textId="77777777" w:rsidR="0046798B" w:rsidRDefault="00903B5C">
            <w:pPr>
              <w:pStyle w:val="TableParagraph"/>
              <w:ind w:left="114"/>
              <w:rPr>
                <w:sz w:val="20"/>
              </w:rPr>
            </w:pPr>
            <w:r>
              <w:rPr>
                <w:sz w:val="20"/>
              </w:rPr>
              <w:t>1991–2008</w:t>
            </w:r>
          </w:p>
        </w:tc>
        <w:tc>
          <w:tcPr>
            <w:tcW w:w="3421" w:type="dxa"/>
          </w:tcPr>
          <w:p w14:paraId="1E25174E" w14:textId="77777777" w:rsidR="0046798B" w:rsidRDefault="0046798B">
            <w:pPr>
              <w:pStyle w:val="TableParagraph"/>
            </w:pPr>
          </w:p>
          <w:p w14:paraId="0FFBBAFE" w14:textId="77777777" w:rsidR="0046798B" w:rsidRDefault="0046798B">
            <w:pPr>
              <w:pStyle w:val="TableParagraph"/>
              <w:spacing w:before="4"/>
              <w:rPr>
                <w:sz w:val="21"/>
              </w:rPr>
            </w:pPr>
          </w:p>
          <w:p w14:paraId="474169D4" w14:textId="77777777" w:rsidR="0046798B" w:rsidRDefault="00903B5C">
            <w:pPr>
              <w:pStyle w:val="TableParagraph"/>
              <w:ind w:left="114" w:right="1475"/>
              <w:rPr>
                <w:sz w:val="20"/>
              </w:rPr>
            </w:pPr>
            <w:r>
              <w:rPr>
                <w:sz w:val="20"/>
              </w:rPr>
              <w:t>0 = policy not adopted 1 = policy adopted</w:t>
            </w:r>
          </w:p>
        </w:tc>
        <w:tc>
          <w:tcPr>
            <w:tcW w:w="6482" w:type="dxa"/>
          </w:tcPr>
          <w:p w14:paraId="3385D5C3" w14:textId="77777777" w:rsidR="0046798B" w:rsidRDefault="00903B5C">
            <w:pPr>
              <w:pStyle w:val="TableParagraph"/>
              <w:spacing w:before="38"/>
              <w:ind w:left="114"/>
              <w:rPr>
                <w:sz w:val="20"/>
              </w:rPr>
            </w:pPr>
            <w:r>
              <w:rPr>
                <w:sz w:val="20"/>
              </w:rPr>
              <w:t xml:space="preserve">Uniform Law Commission website: </w:t>
            </w:r>
            <w:hyperlink r:id="rId992">
              <w:r>
                <w:rPr>
                  <w:color w:val="0462C1"/>
                  <w:sz w:val="20"/>
                  <w:u w:val="single" w:color="0462C1"/>
                </w:rPr>
                <w:t>http://www.uniformlaws.org/</w:t>
              </w:r>
            </w:hyperlink>
          </w:p>
          <w:p w14:paraId="30667B53" w14:textId="77777777" w:rsidR="0046798B" w:rsidRDefault="0046798B">
            <w:pPr>
              <w:pStyle w:val="TableParagraph"/>
              <w:rPr>
                <w:sz w:val="20"/>
              </w:rPr>
            </w:pPr>
          </w:p>
          <w:p w14:paraId="6695DEB1"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bl>
    <w:p w14:paraId="235F62AF" w14:textId="77777777" w:rsidR="0046798B" w:rsidRDefault="0046798B">
      <w:pPr>
        <w:rPr>
          <w:sz w:val="20"/>
        </w:rPr>
        <w:sectPr w:rsidR="0046798B">
          <w:pgSz w:w="15840" w:h="12240" w:orient="landscape"/>
          <w:pgMar w:top="1220" w:right="300" w:bottom="980" w:left="820" w:header="730" w:footer="787" w:gutter="0"/>
          <w:cols w:space="720"/>
        </w:sectPr>
      </w:pPr>
    </w:p>
    <w:p w14:paraId="1D599164"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7CEF44F9" w14:textId="77777777">
        <w:trPr>
          <w:trHeight w:val="1465"/>
        </w:trPr>
        <w:tc>
          <w:tcPr>
            <w:tcW w:w="1711" w:type="dxa"/>
          </w:tcPr>
          <w:p w14:paraId="102B7D8D" w14:textId="77777777" w:rsidR="0046798B" w:rsidRDefault="00903B5C">
            <w:pPr>
              <w:pStyle w:val="TableParagraph"/>
              <w:spacing w:before="158"/>
              <w:ind w:left="115" w:right="133"/>
              <w:jc w:val="both"/>
              <w:rPr>
                <w:b/>
                <w:sz w:val="20"/>
              </w:rPr>
            </w:pPr>
            <w:r>
              <w:rPr>
                <w:b/>
                <w:sz w:val="20"/>
              </w:rPr>
              <w:t xml:space="preserve">ucc_article_3_ne </w:t>
            </w:r>
            <w:r>
              <w:rPr>
                <w:b/>
                <w:spacing w:val="-1"/>
                <w:sz w:val="20"/>
              </w:rPr>
              <w:t xml:space="preserve">gotiable_instrum </w:t>
            </w:r>
            <w:r>
              <w:rPr>
                <w:b/>
                <w:sz w:val="20"/>
              </w:rPr>
              <w:t>ents_and_article</w:t>
            </w:r>
          </w:p>
          <w:p w14:paraId="6F7C43FD" w14:textId="77777777" w:rsidR="0046798B" w:rsidRDefault="00903B5C">
            <w:pPr>
              <w:pStyle w:val="TableParagraph"/>
              <w:ind w:left="115" w:right="142"/>
              <w:jc w:val="both"/>
              <w:rPr>
                <w:b/>
                <w:sz w:val="20"/>
              </w:rPr>
            </w:pPr>
            <w:r>
              <w:rPr>
                <w:b/>
                <w:spacing w:val="-1"/>
                <w:sz w:val="20"/>
              </w:rPr>
              <w:t xml:space="preserve">_4_bank_deposit </w:t>
            </w:r>
            <w:r>
              <w:rPr>
                <w:b/>
                <w:sz w:val="20"/>
              </w:rPr>
              <w:t>s_2002</w:t>
            </w:r>
          </w:p>
        </w:tc>
        <w:tc>
          <w:tcPr>
            <w:tcW w:w="1596" w:type="dxa"/>
          </w:tcPr>
          <w:p w14:paraId="0D4942D7" w14:textId="77777777" w:rsidR="0046798B" w:rsidRDefault="00903B5C">
            <w:pPr>
              <w:pStyle w:val="TableParagraph"/>
              <w:spacing w:before="158"/>
              <w:ind w:left="114" w:right="313"/>
              <w:rPr>
                <w:sz w:val="20"/>
              </w:rPr>
            </w:pPr>
            <w:r>
              <w:rPr>
                <w:sz w:val="20"/>
              </w:rPr>
              <w:t>Attempts to standardize negotiable instruments in states (2002)</w:t>
            </w:r>
          </w:p>
        </w:tc>
        <w:tc>
          <w:tcPr>
            <w:tcW w:w="1285" w:type="dxa"/>
          </w:tcPr>
          <w:p w14:paraId="4E95E462" w14:textId="77777777" w:rsidR="0046798B" w:rsidRDefault="0046798B">
            <w:pPr>
              <w:pStyle w:val="TableParagraph"/>
            </w:pPr>
          </w:p>
          <w:p w14:paraId="676758DE" w14:textId="77777777" w:rsidR="0046798B" w:rsidRDefault="0046798B">
            <w:pPr>
              <w:pStyle w:val="TableParagraph"/>
              <w:spacing w:before="9"/>
              <w:rPr>
                <w:sz w:val="31"/>
              </w:rPr>
            </w:pPr>
          </w:p>
          <w:p w14:paraId="02C9319E" w14:textId="77777777" w:rsidR="0046798B" w:rsidRDefault="00903B5C">
            <w:pPr>
              <w:pStyle w:val="TableParagraph"/>
              <w:ind w:left="114"/>
              <w:rPr>
                <w:sz w:val="20"/>
              </w:rPr>
            </w:pPr>
            <w:r>
              <w:rPr>
                <w:sz w:val="20"/>
              </w:rPr>
              <w:t>2003–2014</w:t>
            </w:r>
          </w:p>
        </w:tc>
        <w:tc>
          <w:tcPr>
            <w:tcW w:w="3421" w:type="dxa"/>
          </w:tcPr>
          <w:p w14:paraId="7B811C43" w14:textId="77777777" w:rsidR="0046798B" w:rsidRDefault="0046798B">
            <w:pPr>
              <w:pStyle w:val="TableParagraph"/>
            </w:pPr>
          </w:p>
          <w:p w14:paraId="23263A71" w14:textId="77777777" w:rsidR="0046798B" w:rsidRDefault="0046798B">
            <w:pPr>
              <w:pStyle w:val="TableParagraph"/>
              <w:spacing w:before="9"/>
              <w:rPr>
                <w:sz w:val="21"/>
              </w:rPr>
            </w:pPr>
          </w:p>
          <w:p w14:paraId="0C9CD473" w14:textId="77777777" w:rsidR="0046798B" w:rsidRDefault="00903B5C">
            <w:pPr>
              <w:pStyle w:val="TableParagraph"/>
              <w:ind w:left="114" w:right="1475"/>
              <w:rPr>
                <w:sz w:val="20"/>
              </w:rPr>
            </w:pPr>
            <w:r>
              <w:rPr>
                <w:sz w:val="20"/>
              </w:rPr>
              <w:t>0 = policy not adopted 1 = policy adopted</w:t>
            </w:r>
          </w:p>
        </w:tc>
        <w:tc>
          <w:tcPr>
            <w:tcW w:w="6482" w:type="dxa"/>
          </w:tcPr>
          <w:p w14:paraId="778EF99E" w14:textId="77777777" w:rsidR="0046798B" w:rsidRDefault="00903B5C">
            <w:pPr>
              <w:pStyle w:val="TableParagraph"/>
              <w:spacing w:before="43"/>
              <w:ind w:left="114"/>
              <w:rPr>
                <w:sz w:val="20"/>
              </w:rPr>
            </w:pPr>
            <w:r>
              <w:rPr>
                <w:sz w:val="20"/>
              </w:rPr>
              <w:t xml:space="preserve">Uniform Law Commission website: </w:t>
            </w:r>
            <w:hyperlink r:id="rId993">
              <w:r>
                <w:rPr>
                  <w:color w:val="0462C1"/>
                  <w:sz w:val="20"/>
                  <w:u w:val="single" w:color="0462C1"/>
                </w:rPr>
                <w:t>http://www.uniformlaws.org/</w:t>
              </w:r>
            </w:hyperlink>
          </w:p>
          <w:p w14:paraId="430B2B4B" w14:textId="77777777" w:rsidR="0046798B" w:rsidRDefault="0046798B">
            <w:pPr>
              <w:pStyle w:val="TableParagraph"/>
              <w:rPr>
                <w:sz w:val="20"/>
              </w:rPr>
            </w:pPr>
          </w:p>
          <w:p w14:paraId="1E88B0B1"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754A7AFF" w14:textId="77777777">
        <w:trPr>
          <w:trHeight w:val="2616"/>
        </w:trPr>
        <w:tc>
          <w:tcPr>
            <w:tcW w:w="1711" w:type="dxa"/>
          </w:tcPr>
          <w:p w14:paraId="0235FA06" w14:textId="77777777" w:rsidR="0046798B" w:rsidRDefault="0046798B">
            <w:pPr>
              <w:pStyle w:val="TableParagraph"/>
            </w:pPr>
          </w:p>
          <w:p w14:paraId="6BC56B81" w14:textId="77777777" w:rsidR="0046798B" w:rsidRDefault="0046798B">
            <w:pPr>
              <w:pStyle w:val="TableParagraph"/>
            </w:pPr>
          </w:p>
          <w:p w14:paraId="0FBA1DF8" w14:textId="77777777" w:rsidR="0046798B" w:rsidRDefault="0046798B">
            <w:pPr>
              <w:pStyle w:val="TableParagraph"/>
            </w:pPr>
          </w:p>
          <w:p w14:paraId="721C5F13" w14:textId="77777777" w:rsidR="0046798B" w:rsidRDefault="0046798B">
            <w:pPr>
              <w:pStyle w:val="TableParagraph"/>
              <w:spacing w:before="9"/>
              <w:rPr>
                <w:sz w:val="17"/>
              </w:rPr>
            </w:pPr>
          </w:p>
          <w:p w14:paraId="45784DA5" w14:textId="77777777" w:rsidR="0046798B" w:rsidRDefault="00903B5C">
            <w:pPr>
              <w:pStyle w:val="TableParagraph"/>
              <w:ind w:left="115" w:right="150"/>
              <w:jc w:val="both"/>
              <w:rPr>
                <w:b/>
                <w:sz w:val="20"/>
              </w:rPr>
            </w:pPr>
            <w:r>
              <w:rPr>
                <w:b/>
                <w:sz w:val="20"/>
              </w:rPr>
              <w:t>ucc_article_4a_a mendments_201 2</w:t>
            </w:r>
          </w:p>
        </w:tc>
        <w:tc>
          <w:tcPr>
            <w:tcW w:w="1596" w:type="dxa"/>
          </w:tcPr>
          <w:p w14:paraId="33478297" w14:textId="77777777" w:rsidR="0046798B" w:rsidRDefault="00903B5C">
            <w:pPr>
              <w:pStyle w:val="TableParagraph"/>
              <w:spacing w:before="44"/>
              <w:ind w:left="114" w:right="91"/>
              <w:rPr>
                <w:sz w:val="20"/>
              </w:rPr>
            </w:pPr>
            <w:r>
              <w:rPr>
                <w:sz w:val="20"/>
              </w:rPr>
              <w:t>Amendments provide that article 4a does apply to a remittance transfer that is not an electronic funds transfer under the federal Electronic Funds Transfer Act</w:t>
            </w:r>
          </w:p>
        </w:tc>
        <w:tc>
          <w:tcPr>
            <w:tcW w:w="1285" w:type="dxa"/>
          </w:tcPr>
          <w:p w14:paraId="5969B7EA" w14:textId="77777777" w:rsidR="0046798B" w:rsidRDefault="0046798B">
            <w:pPr>
              <w:pStyle w:val="TableParagraph"/>
            </w:pPr>
          </w:p>
          <w:p w14:paraId="47C17CC6" w14:textId="77777777" w:rsidR="0046798B" w:rsidRDefault="0046798B">
            <w:pPr>
              <w:pStyle w:val="TableParagraph"/>
            </w:pPr>
          </w:p>
          <w:p w14:paraId="64DC9FEE" w14:textId="77777777" w:rsidR="0046798B" w:rsidRDefault="0046798B">
            <w:pPr>
              <w:pStyle w:val="TableParagraph"/>
            </w:pPr>
          </w:p>
          <w:p w14:paraId="7EF04BCB" w14:textId="77777777" w:rsidR="0046798B" w:rsidRDefault="0046798B">
            <w:pPr>
              <w:pStyle w:val="TableParagraph"/>
            </w:pPr>
          </w:p>
          <w:p w14:paraId="63989EE2" w14:textId="77777777" w:rsidR="0046798B" w:rsidRDefault="00903B5C">
            <w:pPr>
              <w:pStyle w:val="TableParagraph"/>
              <w:spacing w:before="182"/>
              <w:ind w:left="114"/>
              <w:rPr>
                <w:sz w:val="20"/>
              </w:rPr>
            </w:pPr>
            <w:r>
              <w:rPr>
                <w:sz w:val="20"/>
              </w:rPr>
              <w:t>2012–2016</w:t>
            </w:r>
          </w:p>
        </w:tc>
        <w:tc>
          <w:tcPr>
            <w:tcW w:w="3421" w:type="dxa"/>
          </w:tcPr>
          <w:p w14:paraId="711432EB" w14:textId="77777777" w:rsidR="0046798B" w:rsidRDefault="0046798B">
            <w:pPr>
              <w:pStyle w:val="TableParagraph"/>
            </w:pPr>
          </w:p>
          <w:p w14:paraId="2EF25403" w14:textId="77777777" w:rsidR="0046798B" w:rsidRDefault="0046798B">
            <w:pPr>
              <w:pStyle w:val="TableParagraph"/>
            </w:pPr>
          </w:p>
          <w:p w14:paraId="218DCDA2" w14:textId="77777777" w:rsidR="0046798B" w:rsidRDefault="0046798B">
            <w:pPr>
              <w:pStyle w:val="TableParagraph"/>
            </w:pPr>
          </w:p>
          <w:p w14:paraId="581691D2" w14:textId="77777777" w:rsidR="0046798B" w:rsidRDefault="0046798B">
            <w:pPr>
              <w:pStyle w:val="TableParagraph"/>
              <w:spacing w:before="9"/>
              <w:rPr>
                <w:sz w:val="27"/>
              </w:rPr>
            </w:pPr>
          </w:p>
          <w:p w14:paraId="74E51A8D" w14:textId="77777777" w:rsidR="0046798B" w:rsidRDefault="00903B5C">
            <w:pPr>
              <w:pStyle w:val="TableParagraph"/>
              <w:ind w:left="114" w:right="1475"/>
              <w:rPr>
                <w:sz w:val="20"/>
              </w:rPr>
            </w:pPr>
            <w:r>
              <w:rPr>
                <w:sz w:val="20"/>
              </w:rPr>
              <w:t>0 = policy not adopted 1 = policy adopted</w:t>
            </w:r>
          </w:p>
        </w:tc>
        <w:tc>
          <w:tcPr>
            <w:tcW w:w="6482" w:type="dxa"/>
          </w:tcPr>
          <w:p w14:paraId="14387754" w14:textId="77777777" w:rsidR="0046798B" w:rsidRDefault="0046798B">
            <w:pPr>
              <w:pStyle w:val="TableParagraph"/>
            </w:pPr>
          </w:p>
          <w:p w14:paraId="55469EC4" w14:textId="77777777" w:rsidR="0046798B" w:rsidRDefault="0046798B">
            <w:pPr>
              <w:pStyle w:val="TableParagraph"/>
              <w:spacing w:before="9"/>
              <w:rPr>
                <w:sz w:val="31"/>
              </w:rPr>
            </w:pPr>
          </w:p>
          <w:p w14:paraId="1145A976" w14:textId="77777777" w:rsidR="0046798B" w:rsidRDefault="00903B5C">
            <w:pPr>
              <w:pStyle w:val="TableParagraph"/>
              <w:ind w:left="114"/>
              <w:rPr>
                <w:sz w:val="20"/>
              </w:rPr>
            </w:pPr>
            <w:r>
              <w:rPr>
                <w:sz w:val="20"/>
              </w:rPr>
              <w:t xml:space="preserve">Uniform Law Commission website: </w:t>
            </w:r>
            <w:hyperlink r:id="rId994">
              <w:r>
                <w:rPr>
                  <w:color w:val="0462C1"/>
                  <w:sz w:val="20"/>
                  <w:u w:val="single" w:color="0462C1"/>
                </w:rPr>
                <w:t>http://www.uniformlaws.org/</w:t>
              </w:r>
            </w:hyperlink>
          </w:p>
          <w:p w14:paraId="3882C8B1" w14:textId="77777777" w:rsidR="0046798B" w:rsidRDefault="0046798B">
            <w:pPr>
              <w:pStyle w:val="TableParagraph"/>
              <w:rPr>
                <w:sz w:val="20"/>
              </w:rPr>
            </w:pPr>
          </w:p>
          <w:p w14:paraId="0C5A0A51"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6FC21F66" w14:textId="77777777">
        <w:trPr>
          <w:trHeight w:val="1470"/>
        </w:trPr>
        <w:tc>
          <w:tcPr>
            <w:tcW w:w="1711" w:type="dxa"/>
          </w:tcPr>
          <w:p w14:paraId="455D83F8" w14:textId="77777777" w:rsidR="0046798B" w:rsidRDefault="0046798B">
            <w:pPr>
              <w:pStyle w:val="TableParagraph"/>
            </w:pPr>
          </w:p>
          <w:p w14:paraId="2F9C9A56" w14:textId="77777777" w:rsidR="0046798B" w:rsidRDefault="0046798B">
            <w:pPr>
              <w:pStyle w:val="TableParagraph"/>
              <w:spacing w:before="8"/>
              <w:rPr>
                <w:sz w:val="21"/>
              </w:rPr>
            </w:pPr>
          </w:p>
          <w:p w14:paraId="25D99588" w14:textId="77777777" w:rsidR="0046798B" w:rsidRDefault="00903B5C">
            <w:pPr>
              <w:pStyle w:val="TableParagraph"/>
              <w:spacing w:before="1"/>
              <w:ind w:left="115" w:right="166"/>
              <w:rPr>
                <w:b/>
                <w:sz w:val="20"/>
              </w:rPr>
            </w:pPr>
            <w:r>
              <w:rPr>
                <w:b/>
                <w:sz w:val="20"/>
              </w:rPr>
              <w:t>ucc_article_4a_f unds_transfers</w:t>
            </w:r>
          </w:p>
        </w:tc>
        <w:tc>
          <w:tcPr>
            <w:tcW w:w="1596" w:type="dxa"/>
          </w:tcPr>
          <w:p w14:paraId="274A5667" w14:textId="77777777" w:rsidR="0046798B" w:rsidRDefault="00903B5C">
            <w:pPr>
              <w:pStyle w:val="TableParagraph"/>
              <w:spacing w:before="158"/>
              <w:ind w:left="114" w:right="229"/>
              <w:rPr>
                <w:sz w:val="20"/>
              </w:rPr>
            </w:pPr>
            <w:r>
              <w:rPr>
                <w:sz w:val="20"/>
              </w:rPr>
              <w:t>Includes electronic transfers in regulation of fund transfers</w:t>
            </w:r>
          </w:p>
        </w:tc>
        <w:tc>
          <w:tcPr>
            <w:tcW w:w="1285" w:type="dxa"/>
          </w:tcPr>
          <w:p w14:paraId="69E178A5" w14:textId="77777777" w:rsidR="0046798B" w:rsidRDefault="0046798B">
            <w:pPr>
              <w:pStyle w:val="TableParagraph"/>
            </w:pPr>
          </w:p>
          <w:p w14:paraId="09DE39DF" w14:textId="77777777" w:rsidR="0046798B" w:rsidRDefault="0046798B">
            <w:pPr>
              <w:pStyle w:val="TableParagraph"/>
              <w:spacing w:before="8"/>
              <w:rPr>
                <w:sz w:val="31"/>
              </w:rPr>
            </w:pPr>
          </w:p>
          <w:p w14:paraId="2D5ED104" w14:textId="77777777" w:rsidR="0046798B" w:rsidRDefault="00903B5C">
            <w:pPr>
              <w:pStyle w:val="TableParagraph"/>
              <w:spacing w:before="1"/>
              <w:ind w:left="114"/>
              <w:rPr>
                <w:sz w:val="20"/>
              </w:rPr>
            </w:pPr>
            <w:r>
              <w:rPr>
                <w:sz w:val="20"/>
              </w:rPr>
              <w:t>1990–1996</w:t>
            </w:r>
          </w:p>
        </w:tc>
        <w:tc>
          <w:tcPr>
            <w:tcW w:w="3421" w:type="dxa"/>
          </w:tcPr>
          <w:p w14:paraId="2985585A" w14:textId="77777777" w:rsidR="0046798B" w:rsidRDefault="0046798B">
            <w:pPr>
              <w:pStyle w:val="TableParagraph"/>
            </w:pPr>
          </w:p>
          <w:p w14:paraId="7B9B3CA0" w14:textId="77777777" w:rsidR="0046798B" w:rsidRDefault="0046798B">
            <w:pPr>
              <w:pStyle w:val="TableParagraph"/>
              <w:spacing w:before="8"/>
              <w:rPr>
                <w:sz w:val="21"/>
              </w:rPr>
            </w:pPr>
          </w:p>
          <w:p w14:paraId="0D71AE5B"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5D3A7FA5" w14:textId="77777777" w:rsidR="0046798B" w:rsidRDefault="00903B5C">
            <w:pPr>
              <w:pStyle w:val="TableParagraph"/>
              <w:spacing w:before="43"/>
              <w:ind w:left="114"/>
              <w:rPr>
                <w:sz w:val="20"/>
              </w:rPr>
            </w:pPr>
            <w:r>
              <w:rPr>
                <w:sz w:val="20"/>
              </w:rPr>
              <w:t xml:space="preserve">Uniform Law Commission website: </w:t>
            </w:r>
            <w:hyperlink r:id="rId995">
              <w:r>
                <w:rPr>
                  <w:color w:val="0462C1"/>
                  <w:sz w:val="20"/>
                  <w:u w:val="single" w:color="0462C1"/>
                </w:rPr>
                <w:t>http://www.uniformlaws.org/</w:t>
              </w:r>
            </w:hyperlink>
          </w:p>
          <w:p w14:paraId="283FCBB0" w14:textId="77777777" w:rsidR="0046798B" w:rsidRDefault="0046798B">
            <w:pPr>
              <w:pStyle w:val="TableParagraph"/>
              <w:rPr>
                <w:sz w:val="20"/>
              </w:rPr>
            </w:pPr>
          </w:p>
          <w:p w14:paraId="3275E43F"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EA2A4C7" w14:textId="77777777">
        <w:trPr>
          <w:trHeight w:val="1465"/>
        </w:trPr>
        <w:tc>
          <w:tcPr>
            <w:tcW w:w="1711" w:type="dxa"/>
          </w:tcPr>
          <w:p w14:paraId="053B7615" w14:textId="77777777" w:rsidR="0046798B" w:rsidRDefault="0046798B">
            <w:pPr>
              <w:pStyle w:val="TableParagraph"/>
            </w:pPr>
          </w:p>
          <w:p w14:paraId="552DB801" w14:textId="77777777" w:rsidR="0046798B" w:rsidRDefault="0046798B">
            <w:pPr>
              <w:pStyle w:val="TableParagraph"/>
              <w:spacing w:before="3"/>
              <w:rPr>
                <w:sz w:val="21"/>
              </w:rPr>
            </w:pPr>
          </w:p>
          <w:p w14:paraId="55F8D6ED" w14:textId="77777777" w:rsidR="0046798B" w:rsidRDefault="00903B5C">
            <w:pPr>
              <w:pStyle w:val="TableParagraph"/>
              <w:spacing w:before="1"/>
              <w:ind w:left="115" w:right="122"/>
              <w:rPr>
                <w:b/>
                <w:sz w:val="20"/>
              </w:rPr>
            </w:pPr>
            <w:r>
              <w:rPr>
                <w:b/>
                <w:sz w:val="20"/>
              </w:rPr>
              <w:t>ucc_article_5_let ters_of_credit</w:t>
            </w:r>
          </w:p>
        </w:tc>
        <w:tc>
          <w:tcPr>
            <w:tcW w:w="1596" w:type="dxa"/>
          </w:tcPr>
          <w:p w14:paraId="465A36C3" w14:textId="77777777" w:rsidR="0046798B" w:rsidRDefault="0046798B">
            <w:pPr>
              <w:pStyle w:val="TableParagraph"/>
            </w:pPr>
          </w:p>
          <w:p w14:paraId="0DF3A990" w14:textId="77777777" w:rsidR="0046798B" w:rsidRDefault="00903B5C">
            <w:pPr>
              <w:pStyle w:val="TableParagraph"/>
              <w:spacing w:before="130"/>
              <w:ind w:left="114" w:right="157"/>
              <w:rPr>
                <w:sz w:val="20"/>
              </w:rPr>
            </w:pPr>
            <w:r>
              <w:rPr>
                <w:sz w:val="20"/>
              </w:rPr>
              <w:t>Regulates payment system (1995)</w:t>
            </w:r>
          </w:p>
        </w:tc>
        <w:tc>
          <w:tcPr>
            <w:tcW w:w="1285" w:type="dxa"/>
          </w:tcPr>
          <w:p w14:paraId="57BCC12B" w14:textId="77777777" w:rsidR="0046798B" w:rsidRDefault="0046798B">
            <w:pPr>
              <w:pStyle w:val="TableParagraph"/>
            </w:pPr>
          </w:p>
          <w:p w14:paraId="7F4B6FE0" w14:textId="77777777" w:rsidR="0046798B" w:rsidRDefault="0046798B">
            <w:pPr>
              <w:pStyle w:val="TableParagraph"/>
              <w:spacing w:before="3"/>
              <w:rPr>
                <w:sz w:val="31"/>
              </w:rPr>
            </w:pPr>
          </w:p>
          <w:p w14:paraId="0C0FDBBD" w14:textId="77777777" w:rsidR="0046798B" w:rsidRDefault="00903B5C">
            <w:pPr>
              <w:pStyle w:val="TableParagraph"/>
              <w:spacing w:before="1"/>
              <w:ind w:left="114"/>
              <w:rPr>
                <w:sz w:val="20"/>
              </w:rPr>
            </w:pPr>
            <w:r>
              <w:rPr>
                <w:sz w:val="20"/>
              </w:rPr>
              <w:t>1996–2006</w:t>
            </w:r>
          </w:p>
        </w:tc>
        <w:tc>
          <w:tcPr>
            <w:tcW w:w="3421" w:type="dxa"/>
          </w:tcPr>
          <w:p w14:paraId="576DA2C6" w14:textId="77777777" w:rsidR="0046798B" w:rsidRDefault="0046798B">
            <w:pPr>
              <w:pStyle w:val="TableParagraph"/>
            </w:pPr>
          </w:p>
          <w:p w14:paraId="240A59DA" w14:textId="77777777" w:rsidR="0046798B" w:rsidRDefault="0046798B">
            <w:pPr>
              <w:pStyle w:val="TableParagraph"/>
              <w:spacing w:before="3"/>
              <w:rPr>
                <w:sz w:val="21"/>
              </w:rPr>
            </w:pPr>
          </w:p>
          <w:p w14:paraId="3C25C475"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0FEE8231" w14:textId="77777777" w:rsidR="0046798B" w:rsidRDefault="00903B5C">
            <w:pPr>
              <w:pStyle w:val="TableParagraph"/>
              <w:spacing w:before="38"/>
              <w:ind w:left="114"/>
              <w:rPr>
                <w:sz w:val="20"/>
              </w:rPr>
            </w:pPr>
            <w:r>
              <w:rPr>
                <w:sz w:val="20"/>
              </w:rPr>
              <w:t xml:space="preserve">Uniform Law Commission website: </w:t>
            </w:r>
            <w:hyperlink r:id="rId996">
              <w:r>
                <w:rPr>
                  <w:color w:val="0462C1"/>
                  <w:sz w:val="20"/>
                  <w:u w:val="single" w:color="0462C1"/>
                </w:rPr>
                <w:t>http://www.uniformlaws.org/</w:t>
              </w:r>
            </w:hyperlink>
          </w:p>
          <w:p w14:paraId="4C05426E" w14:textId="77777777" w:rsidR="0046798B" w:rsidRDefault="0046798B">
            <w:pPr>
              <w:pStyle w:val="TableParagraph"/>
              <w:rPr>
                <w:sz w:val="20"/>
              </w:rPr>
            </w:pPr>
          </w:p>
          <w:p w14:paraId="00D24B62"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02364DCA" w14:textId="77777777">
        <w:trPr>
          <w:trHeight w:val="1465"/>
        </w:trPr>
        <w:tc>
          <w:tcPr>
            <w:tcW w:w="1711" w:type="dxa"/>
          </w:tcPr>
          <w:p w14:paraId="60982648" w14:textId="77777777" w:rsidR="0046798B" w:rsidRDefault="0046798B">
            <w:pPr>
              <w:pStyle w:val="TableParagraph"/>
            </w:pPr>
          </w:p>
          <w:p w14:paraId="48018224" w14:textId="77777777" w:rsidR="0046798B" w:rsidRDefault="0046798B">
            <w:pPr>
              <w:pStyle w:val="TableParagraph"/>
              <w:spacing w:before="3"/>
              <w:rPr>
                <w:sz w:val="21"/>
              </w:rPr>
            </w:pPr>
          </w:p>
          <w:p w14:paraId="7CEA8979" w14:textId="77777777" w:rsidR="0046798B" w:rsidRDefault="00903B5C">
            <w:pPr>
              <w:pStyle w:val="TableParagraph"/>
              <w:spacing w:before="1"/>
              <w:ind w:left="115" w:right="155"/>
              <w:rPr>
                <w:b/>
                <w:sz w:val="20"/>
              </w:rPr>
            </w:pPr>
            <w:r>
              <w:rPr>
                <w:b/>
                <w:sz w:val="20"/>
              </w:rPr>
              <w:t>ucc_article_6_re peal</w:t>
            </w:r>
          </w:p>
        </w:tc>
        <w:tc>
          <w:tcPr>
            <w:tcW w:w="1596" w:type="dxa"/>
          </w:tcPr>
          <w:p w14:paraId="4CA8E476" w14:textId="77777777" w:rsidR="0046798B" w:rsidRDefault="0046798B">
            <w:pPr>
              <w:pStyle w:val="TableParagraph"/>
              <w:spacing w:before="3"/>
              <w:rPr>
                <w:sz w:val="23"/>
              </w:rPr>
            </w:pPr>
          </w:p>
          <w:p w14:paraId="0651664D" w14:textId="77777777" w:rsidR="0046798B" w:rsidRDefault="00903B5C">
            <w:pPr>
              <w:pStyle w:val="TableParagraph"/>
              <w:ind w:left="114" w:right="185"/>
              <w:rPr>
                <w:sz w:val="20"/>
              </w:rPr>
            </w:pPr>
            <w:r>
              <w:rPr>
                <w:sz w:val="20"/>
              </w:rPr>
              <w:t>Repeal legislation of UCC Article 6 (bulk sales law)</w:t>
            </w:r>
          </w:p>
        </w:tc>
        <w:tc>
          <w:tcPr>
            <w:tcW w:w="1285" w:type="dxa"/>
          </w:tcPr>
          <w:p w14:paraId="7BCE4CDE" w14:textId="77777777" w:rsidR="0046798B" w:rsidRDefault="0046798B">
            <w:pPr>
              <w:pStyle w:val="TableParagraph"/>
            </w:pPr>
          </w:p>
          <w:p w14:paraId="3467E9FE" w14:textId="77777777" w:rsidR="0046798B" w:rsidRDefault="0046798B">
            <w:pPr>
              <w:pStyle w:val="TableParagraph"/>
              <w:spacing w:before="4"/>
              <w:rPr>
                <w:sz w:val="31"/>
              </w:rPr>
            </w:pPr>
          </w:p>
          <w:p w14:paraId="11888D2B" w14:textId="77777777" w:rsidR="0046798B" w:rsidRDefault="00903B5C">
            <w:pPr>
              <w:pStyle w:val="TableParagraph"/>
              <w:ind w:left="114"/>
              <w:rPr>
                <w:sz w:val="20"/>
              </w:rPr>
            </w:pPr>
            <w:r>
              <w:rPr>
                <w:sz w:val="20"/>
              </w:rPr>
              <w:t>1990</w:t>
            </w:r>
          </w:p>
        </w:tc>
        <w:tc>
          <w:tcPr>
            <w:tcW w:w="3421" w:type="dxa"/>
          </w:tcPr>
          <w:p w14:paraId="3E9C6092" w14:textId="77777777" w:rsidR="0046798B" w:rsidRDefault="0046798B">
            <w:pPr>
              <w:pStyle w:val="TableParagraph"/>
            </w:pPr>
          </w:p>
          <w:p w14:paraId="1031927D" w14:textId="77777777" w:rsidR="0046798B" w:rsidRDefault="0046798B">
            <w:pPr>
              <w:pStyle w:val="TableParagraph"/>
              <w:spacing w:before="3"/>
              <w:rPr>
                <w:sz w:val="21"/>
              </w:rPr>
            </w:pPr>
          </w:p>
          <w:p w14:paraId="58CD89E5"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602FF0C7" w14:textId="77777777" w:rsidR="0046798B" w:rsidRDefault="00903B5C">
            <w:pPr>
              <w:pStyle w:val="TableParagraph"/>
              <w:spacing w:before="38"/>
              <w:ind w:left="114"/>
              <w:rPr>
                <w:sz w:val="20"/>
              </w:rPr>
            </w:pPr>
            <w:r>
              <w:rPr>
                <w:sz w:val="20"/>
              </w:rPr>
              <w:t xml:space="preserve">Uniform Law Commission website: </w:t>
            </w:r>
            <w:hyperlink r:id="rId997">
              <w:r>
                <w:rPr>
                  <w:color w:val="0462C1"/>
                  <w:sz w:val="20"/>
                  <w:u w:val="single" w:color="0462C1"/>
                </w:rPr>
                <w:t>http://www.uniformlaws.org/</w:t>
              </w:r>
            </w:hyperlink>
          </w:p>
          <w:p w14:paraId="2A34F349" w14:textId="77777777" w:rsidR="0046798B" w:rsidRDefault="0046798B">
            <w:pPr>
              <w:pStyle w:val="TableParagraph"/>
              <w:rPr>
                <w:sz w:val="20"/>
              </w:rPr>
            </w:pPr>
          </w:p>
          <w:p w14:paraId="4C660E10"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0F68EDD5" w14:textId="77777777">
        <w:trPr>
          <w:trHeight w:val="775"/>
        </w:trPr>
        <w:tc>
          <w:tcPr>
            <w:tcW w:w="1711" w:type="dxa"/>
          </w:tcPr>
          <w:p w14:paraId="7852E6EA" w14:textId="77777777" w:rsidR="0046798B" w:rsidRDefault="00903B5C">
            <w:pPr>
              <w:pStyle w:val="TableParagraph"/>
              <w:spacing w:before="153"/>
              <w:ind w:left="115" w:right="155"/>
              <w:rPr>
                <w:b/>
                <w:sz w:val="20"/>
              </w:rPr>
            </w:pPr>
            <w:r>
              <w:rPr>
                <w:b/>
                <w:sz w:val="20"/>
              </w:rPr>
              <w:t>ucc_article_6_re vise</w:t>
            </w:r>
          </w:p>
        </w:tc>
        <w:tc>
          <w:tcPr>
            <w:tcW w:w="1596" w:type="dxa"/>
          </w:tcPr>
          <w:p w14:paraId="1F71A97B" w14:textId="77777777" w:rsidR="0046798B" w:rsidRDefault="00903B5C">
            <w:pPr>
              <w:pStyle w:val="TableParagraph"/>
              <w:spacing w:before="38"/>
              <w:ind w:left="114" w:right="274"/>
              <w:rPr>
                <w:sz w:val="20"/>
              </w:rPr>
            </w:pPr>
            <w:r>
              <w:rPr>
                <w:sz w:val="20"/>
              </w:rPr>
              <w:t>Revise UCC Article 6 (bulk sales law)</w:t>
            </w:r>
          </w:p>
        </w:tc>
        <w:tc>
          <w:tcPr>
            <w:tcW w:w="1285" w:type="dxa"/>
          </w:tcPr>
          <w:p w14:paraId="667F91A6" w14:textId="77777777" w:rsidR="0046798B" w:rsidRDefault="0046798B">
            <w:pPr>
              <w:pStyle w:val="TableParagraph"/>
              <w:spacing w:before="3"/>
              <w:rPr>
                <w:sz w:val="23"/>
              </w:rPr>
            </w:pPr>
          </w:p>
          <w:p w14:paraId="47036F76" w14:textId="77777777" w:rsidR="0046798B" w:rsidRDefault="00903B5C">
            <w:pPr>
              <w:pStyle w:val="TableParagraph"/>
              <w:spacing w:before="1"/>
              <w:ind w:left="114"/>
              <w:rPr>
                <w:sz w:val="20"/>
              </w:rPr>
            </w:pPr>
            <w:r>
              <w:rPr>
                <w:sz w:val="20"/>
              </w:rPr>
              <w:t>1990–1997</w:t>
            </w:r>
          </w:p>
        </w:tc>
        <w:tc>
          <w:tcPr>
            <w:tcW w:w="3421" w:type="dxa"/>
          </w:tcPr>
          <w:p w14:paraId="69D7D9C1" w14:textId="77777777" w:rsidR="0046798B" w:rsidRDefault="00903B5C">
            <w:pPr>
              <w:pStyle w:val="TableParagraph"/>
              <w:spacing w:before="153"/>
              <w:ind w:left="114" w:right="1475"/>
              <w:rPr>
                <w:sz w:val="20"/>
              </w:rPr>
            </w:pPr>
            <w:r>
              <w:rPr>
                <w:sz w:val="20"/>
              </w:rPr>
              <w:t>0 = policy not adopted 1 = policy adopted</w:t>
            </w:r>
          </w:p>
        </w:tc>
        <w:tc>
          <w:tcPr>
            <w:tcW w:w="6482" w:type="dxa"/>
          </w:tcPr>
          <w:p w14:paraId="18C9C3CA" w14:textId="77777777" w:rsidR="0046798B" w:rsidRDefault="00903B5C">
            <w:pPr>
              <w:pStyle w:val="TableParagraph"/>
              <w:spacing w:before="153"/>
              <w:ind w:left="114"/>
              <w:rPr>
                <w:sz w:val="20"/>
              </w:rPr>
            </w:pPr>
            <w:r>
              <w:rPr>
                <w:sz w:val="20"/>
              </w:rPr>
              <w:t xml:space="preserve">Uniform Law Commission website: </w:t>
            </w:r>
            <w:hyperlink r:id="rId998">
              <w:r>
                <w:rPr>
                  <w:color w:val="0462C1"/>
                  <w:sz w:val="20"/>
                  <w:u w:val="single" w:color="0462C1"/>
                </w:rPr>
                <w:t>http://www.uniformlaws.org/</w:t>
              </w:r>
            </w:hyperlink>
          </w:p>
        </w:tc>
      </w:tr>
    </w:tbl>
    <w:p w14:paraId="4778C8DD" w14:textId="77777777" w:rsidR="0046798B" w:rsidRDefault="0046798B">
      <w:pPr>
        <w:rPr>
          <w:sz w:val="20"/>
        </w:rPr>
        <w:sectPr w:rsidR="0046798B">
          <w:pgSz w:w="15840" w:h="12240" w:orient="landscape"/>
          <w:pgMar w:top="1220" w:right="300" w:bottom="980" w:left="820" w:header="730" w:footer="787" w:gutter="0"/>
          <w:cols w:space="720"/>
        </w:sectPr>
      </w:pPr>
    </w:p>
    <w:p w14:paraId="7FBEA0DF"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06FA2CEB" w14:textId="77777777">
        <w:trPr>
          <w:trHeight w:val="1005"/>
        </w:trPr>
        <w:tc>
          <w:tcPr>
            <w:tcW w:w="1711" w:type="dxa"/>
          </w:tcPr>
          <w:p w14:paraId="4F2E7C01" w14:textId="77777777" w:rsidR="0046798B" w:rsidRDefault="0046798B">
            <w:pPr>
              <w:pStyle w:val="TableParagraph"/>
              <w:rPr>
                <w:sz w:val="20"/>
              </w:rPr>
            </w:pPr>
          </w:p>
        </w:tc>
        <w:tc>
          <w:tcPr>
            <w:tcW w:w="1596" w:type="dxa"/>
          </w:tcPr>
          <w:p w14:paraId="455808E8" w14:textId="77777777" w:rsidR="0046798B" w:rsidRDefault="0046798B">
            <w:pPr>
              <w:pStyle w:val="TableParagraph"/>
              <w:rPr>
                <w:sz w:val="20"/>
              </w:rPr>
            </w:pPr>
          </w:p>
        </w:tc>
        <w:tc>
          <w:tcPr>
            <w:tcW w:w="1285" w:type="dxa"/>
          </w:tcPr>
          <w:p w14:paraId="5D5A7E40" w14:textId="77777777" w:rsidR="0046798B" w:rsidRDefault="0046798B">
            <w:pPr>
              <w:pStyle w:val="TableParagraph"/>
              <w:rPr>
                <w:sz w:val="20"/>
              </w:rPr>
            </w:pPr>
          </w:p>
        </w:tc>
        <w:tc>
          <w:tcPr>
            <w:tcW w:w="3421" w:type="dxa"/>
          </w:tcPr>
          <w:p w14:paraId="73AA5283" w14:textId="77777777" w:rsidR="0046798B" w:rsidRDefault="0046798B">
            <w:pPr>
              <w:pStyle w:val="TableParagraph"/>
              <w:rPr>
                <w:sz w:val="20"/>
              </w:rPr>
            </w:pPr>
          </w:p>
        </w:tc>
        <w:tc>
          <w:tcPr>
            <w:tcW w:w="6482" w:type="dxa"/>
          </w:tcPr>
          <w:p w14:paraId="682C4FB1" w14:textId="77777777" w:rsidR="0046798B" w:rsidRDefault="00903B5C">
            <w:pPr>
              <w:pStyle w:val="TableParagraph"/>
              <w:spacing w:before="43"/>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6C0963DB" w14:textId="77777777">
        <w:trPr>
          <w:trHeight w:val="1465"/>
        </w:trPr>
        <w:tc>
          <w:tcPr>
            <w:tcW w:w="1711" w:type="dxa"/>
          </w:tcPr>
          <w:p w14:paraId="4699F143" w14:textId="77777777" w:rsidR="0046798B" w:rsidRDefault="0046798B">
            <w:pPr>
              <w:pStyle w:val="TableParagraph"/>
            </w:pPr>
          </w:p>
          <w:p w14:paraId="1AC97288" w14:textId="77777777" w:rsidR="0046798B" w:rsidRDefault="0046798B">
            <w:pPr>
              <w:pStyle w:val="TableParagraph"/>
              <w:spacing w:before="9"/>
              <w:rPr>
                <w:sz w:val="21"/>
              </w:rPr>
            </w:pPr>
          </w:p>
          <w:p w14:paraId="3D3B810E" w14:textId="77777777" w:rsidR="0046798B" w:rsidRDefault="00903B5C">
            <w:pPr>
              <w:pStyle w:val="TableParagraph"/>
              <w:ind w:left="115" w:right="110"/>
              <w:rPr>
                <w:b/>
                <w:sz w:val="20"/>
              </w:rPr>
            </w:pPr>
            <w:r>
              <w:rPr>
                <w:b/>
                <w:sz w:val="20"/>
              </w:rPr>
              <w:t>ucc_article_6_bu lk_sales_1989</w:t>
            </w:r>
          </w:p>
        </w:tc>
        <w:tc>
          <w:tcPr>
            <w:tcW w:w="1596" w:type="dxa"/>
          </w:tcPr>
          <w:p w14:paraId="2ED2D206" w14:textId="77777777" w:rsidR="0046798B" w:rsidRDefault="0046798B">
            <w:pPr>
              <w:pStyle w:val="TableParagraph"/>
            </w:pPr>
          </w:p>
          <w:p w14:paraId="68D00525" w14:textId="77777777" w:rsidR="0046798B" w:rsidRDefault="00903B5C">
            <w:pPr>
              <w:pStyle w:val="TableParagraph"/>
              <w:spacing w:before="135"/>
              <w:ind w:left="114" w:right="157"/>
              <w:rPr>
                <w:sz w:val="20"/>
              </w:rPr>
            </w:pPr>
            <w:r>
              <w:rPr>
                <w:sz w:val="20"/>
              </w:rPr>
              <w:t>Regulates payment system (1989)</w:t>
            </w:r>
          </w:p>
        </w:tc>
        <w:tc>
          <w:tcPr>
            <w:tcW w:w="1285" w:type="dxa"/>
          </w:tcPr>
          <w:p w14:paraId="0F625BE6" w14:textId="77777777" w:rsidR="0046798B" w:rsidRDefault="0046798B">
            <w:pPr>
              <w:pStyle w:val="TableParagraph"/>
            </w:pPr>
          </w:p>
          <w:p w14:paraId="4B6C38E8" w14:textId="77777777" w:rsidR="0046798B" w:rsidRDefault="0046798B">
            <w:pPr>
              <w:pStyle w:val="TableParagraph"/>
              <w:spacing w:before="9"/>
              <w:rPr>
                <w:sz w:val="31"/>
              </w:rPr>
            </w:pPr>
          </w:p>
          <w:p w14:paraId="11CFF885" w14:textId="77777777" w:rsidR="0046798B" w:rsidRDefault="00903B5C">
            <w:pPr>
              <w:pStyle w:val="TableParagraph"/>
              <w:ind w:left="114"/>
              <w:rPr>
                <w:sz w:val="20"/>
              </w:rPr>
            </w:pPr>
            <w:r>
              <w:rPr>
                <w:sz w:val="20"/>
              </w:rPr>
              <w:t>1990–2015</w:t>
            </w:r>
          </w:p>
        </w:tc>
        <w:tc>
          <w:tcPr>
            <w:tcW w:w="3421" w:type="dxa"/>
          </w:tcPr>
          <w:p w14:paraId="727DD0CB" w14:textId="77777777" w:rsidR="0046798B" w:rsidRDefault="0046798B">
            <w:pPr>
              <w:pStyle w:val="TableParagraph"/>
            </w:pPr>
          </w:p>
          <w:p w14:paraId="5FBFEAB7" w14:textId="77777777" w:rsidR="0046798B" w:rsidRDefault="0046798B">
            <w:pPr>
              <w:pStyle w:val="TableParagraph"/>
              <w:spacing w:before="9"/>
              <w:rPr>
                <w:sz w:val="21"/>
              </w:rPr>
            </w:pPr>
          </w:p>
          <w:p w14:paraId="609C48C4" w14:textId="77777777" w:rsidR="0046798B" w:rsidRDefault="00903B5C">
            <w:pPr>
              <w:pStyle w:val="TableParagraph"/>
              <w:ind w:left="114" w:right="1475"/>
              <w:rPr>
                <w:sz w:val="20"/>
              </w:rPr>
            </w:pPr>
            <w:r>
              <w:rPr>
                <w:sz w:val="20"/>
              </w:rPr>
              <w:t>0 = policy not adopted 1 = policy adopted</w:t>
            </w:r>
          </w:p>
        </w:tc>
        <w:tc>
          <w:tcPr>
            <w:tcW w:w="6482" w:type="dxa"/>
          </w:tcPr>
          <w:p w14:paraId="66A082AF" w14:textId="77777777" w:rsidR="0046798B" w:rsidRDefault="00903B5C">
            <w:pPr>
              <w:pStyle w:val="TableParagraph"/>
              <w:spacing w:before="43"/>
              <w:ind w:left="114"/>
              <w:rPr>
                <w:sz w:val="20"/>
              </w:rPr>
            </w:pPr>
            <w:r>
              <w:rPr>
                <w:sz w:val="20"/>
              </w:rPr>
              <w:t xml:space="preserve">Uniform Law Commission website: </w:t>
            </w:r>
            <w:hyperlink r:id="rId999">
              <w:r>
                <w:rPr>
                  <w:color w:val="0462C1"/>
                  <w:sz w:val="20"/>
                  <w:u w:val="single" w:color="0462C1"/>
                </w:rPr>
                <w:t>http://www.uniformlaws.org/</w:t>
              </w:r>
            </w:hyperlink>
          </w:p>
          <w:p w14:paraId="36C25A9A" w14:textId="77777777" w:rsidR="0046798B" w:rsidRDefault="0046798B">
            <w:pPr>
              <w:pStyle w:val="TableParagraph"/>
              <w:rPr>
                <w:sz w:val="20"/>
              </w:rPr>
            </w:pPr>
          </w:p>
          <w:p w14:paraId="591A966B"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4FDACC3D" w14:textId="77777777">
        <w:trPr>
          <w:trHeight w:val="1470"/>
        </w:trPr>
        <w:tc>
          <w:tcPr>
            <w:tcW w:w="1711" w:type="dxa"/>
          </w:tcPr>
          <w:p w14:paraId="3F48B25C" w14:textId="77777777" w:rsidR="0046798B" w:rsidRDefault="0046798B">
            <w:pPr>
              <w:pStyle w:val="TableParagraph"/>
            </w:pPr>
          </w:p>
          <w:p w14:paraId="62EF392E" w14:textId="77777777" w:rsidR="0046798B" w:rsidRDefault="0046798B">
            <w:pPr>
              <w:pStyle w:val="TableParagraph"/>
              <w:spacing w:before="9"/>
              <w:rPr>
                <w:sz w:val="21"/>
              </w:rPr>
            </w:pPr>
          </w:p>
          <w:p w14:paraId="0E7177AD" w14:textId="77777777" w:rsidR="0046798B" w:rsidRDefault="00903B5C">
            <w:pPr>
              <w:pStyle w:val="TableParagraph"/>
              <w:ind w:left="115" w:right="121"/>
              <w:rPr>
                <w:b/>
                <w:sz w:val="20"/>
              </w:rPr>
            </w:pPr>
            <w:r>
              <w:rPr>
                <w:b/>
                <w:sz w:val="20"/>
              </w:rPr>
              <w:t>ucc_article_7_do cuments_of_titl</w:t>
            </w:r>
          </w:p>
        </w:tc>
        <w:tc>
          <w:tcPr>
            <w:tcW w:w="1596" w:type="dxa"/>
          </w:tcPr>
          <w:p w14:paraId="3208D2C8" w14:textId="77777777" w:rsidR="0046798B" w:rsidRDefault="0046798B">
            <w:pPr>
              <w:pStyle w:val="TableParagraph"/>
              <w:spacing w:before="9"/>
              <w:rPr>
                <w:sz w:val="23"/>
              </w:rPr>
            </w:pPr>
          </w:p>
          <w:p w14:paraId="178B1F92" w14:textId="77777777" w:rsidR="0046798B" w:rsidRDefault="00903B5C">
            <w:pPr>
              <w:pStyle w:val="TableParagraph"/>
              <w:ind w:left="114" w:right="279"/>
              <w:rPr>
                <w:sz w:val="20"/>
              </w:rPr>
            </w:pPr>
            <w:r>
              <w:rPr>
                <w:sz w:val="20"/>
              </w:rPr>
              <w:t>Regulates storage and shipment of tangible goods</w:t>
            </w:r>
          </w:p>
        </w:tc>
        <w:tc>
          <w:tcPr>
            <w:tcW w:w="1285" w:type="dxa"/>
          </w:tcPr>
          <w:p w14:paraId="4F46E081" w14:textId="77777777" w:rsidR="0046798B" w:rsidRDefault="0046798B">
            <w:pPr>
              <w:pStyle w:val="TableParagraph"/>
            </w:pPr>
          </w:p>
          <w:p w14:paraId="6D1FA51A" w14:textId="77777777" w:rsidR="0046798B" w:rsidRDefault="0046798B">
            <w:pPr>
              <w:pStyle w:val="TableParagraph"/>
              <w:spacing w:before="9"/>
              <w:rPr>
                <w:sz w:val="31"/>
              </w:rPr>
            </w:pPr>
          </w:p>
          <w:p w14:paraId="720DDA64" w14:textId="77777777" w:rsidR="0046798B" w:rsidRDefault="00903B5C">
            <w:pPr>
              <w:pStyle w:val="TableParagraph"/>
              <w:ind w:left="114"/>
              <w:rPr>
                <w:sz w:val="20"/>
              </w:rPr>
            </w:pPr>
            <w:r>
              <w:rPr>
                <w:sz w:val="20"/>
              </w:rPr>
              <w:t>2004–2015</w:t>
            </w:r>
          </w:p>
        </w:tc>
        <w:tc>
          <w:tcPr>
            <w:tcW w:w="3421" w:type="dxa"/>
          </w:tcPr>
          <w:p w14:paraId="18802997" w14:textId="77777777" w:rsidR="0046798B" w:rsidRDefault="0046798B">
            <w:pPr>
              <w:pStyle w:val="TableParagraph"/>
            </w:pPr>
          </w:p>
          <w:p w14:paraId="07C831B1" w14:textId="77777777" w:rsidR="0046798B" w:rsidRDefault="0046798B">
            <w:pPr>
              <w:pStyle w:val="TableParagraph"/>
              <w:spacing w:before="9"/>
              <w:rPr>
                <w:sz w:val="21"/>
              </w:rPr>
            </w:pPr>
          </w:p>
          <w:p w14:paraId="262710BE" w14:textId="77777777" w:rsidR="0046798B" w:rsidRDefault="00903B5C">
            <w:pPr>
              <w:pStyle w:val="TableParagraph"/>
              <w:ind w:left="114" w:right="1475"/>
              <w:rPr>
                <w:sz w:val="20"/>
              </w:rPr>
            </w:pPr>
            <w:r>
              <w:rPr>
                <w:sz w:val="20"/>
              </w:rPr>
              <w:t>0 = policy not adopted 1 = policy adopted</w:t>
            </w:r>
          </w:p>
        </w:tc>
        <w:tc>
          <w:tcPr>
            <w:tcW w:w="6482" w:type="dxa"/>
          </w:tcPr>
          <w:p w14:paraId="43BA20C4" w14:textId="77777777" w:rsidR="0046798B" w:rsidRDefault="00903B5C">
            <w:pPr>
              <w:pStyle w:val="TableParagraph"/>
              <w:spacing w:before="43"/>
              <w:ind w:left="114"/>
              <w:rPr>
                <w:sz w:val="20"/>
              </w:rPr>
            </w:pPr>
            <w:r>
              <w:rPr>
                <w:sz w:val="20"/>
              </w:rPr>
              <w:t xml:space="preserve">Uniform Law Commission website: </w:t>
            </w:r>
            <w:hyperlink r:id="rId1000">
              <w:r>
                <w:rPr>
                  <w:color w:val="0462C1"/>
                  <w:sz w:val="20"/>
                  <w:u w:val="single" w:color="0462C1"/>
                </w:rPr>
                <w:t>http://www.uniformlaws.org/</w:t>
              </w:r>
            </w:hyperlink>
          </w:p>
          <w:p w14:paraId="5687CD94" w14:textId="77777777" w:rsidR="0046798B" w:rsidRDefault="0046798B">
            <w:pPr>
              <w:pStyle w:val="TableParagraph"/>
              <w:rPr>
                <w:sz w:val="20"/>
              </w:rPr>
            </w:pPr>
          </w:p>
          <w:p w14:paraId="32E68075"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1A2AD548" w14:textId="77777777">
        <w:trPr>
          <w:trHeight w:val="1465"/>
        </w:trPr>
        <w:tc>
          <w:tcPr>
            <w:tcW w:w="1711" w:type="dxa"/>
          </w:tcPr>
          <w:p w14:paraId="17DA21CB" w14:textId="77777777" w:rsidR="0046798B" w:rsidRDefault="0046798B">
            <w:pPr>
              <w:pStyle w:val="TableParagraph"/>
            </w:pPr>
          </w:p>
          <w:p w14:paraId="264F3639" w14:textId="77777777" w:rsidR="0046798B" w:rsidRDefault="0046798B">
            <w:pPr>
              <w:pStyle w:val="TableParagraph"/>
              <w:spacing w:before="4"/>
              <w:rPr>
                <w:sz w:val="21"/>
              </w:rPr>
            </w:pPr>
          </w:p>
          <w:p w14:paraId="47DFFB81" w14:textId="77777777" w:rsidR="0046798B" w:rsidRDefault="00903B5C">
            <w:pPr>
              <w:pStyle w:val="TableParagraph"/>
              <w:ind w:left="115" w:right="166"/>
              <w:rPr>
                <w:b/>
                <w:sz w:val="20"/>
              </w:rPr>
            </w:pPr>
            <w:r>
              <w:rPr>
                <w:b/>
                <w:sz w:val="20"/>
              </w:rPr>
              <w:t>ucc_article_8_in vestment_securi</w:t>
            </w:r>
          </w:p>
        </w:tc>
        <w:tc>
          <w:tcPr>
            <w:tcW w:w="1596" w:type="dxa"/>
          </w:tcPr>
          <w:p w14:paraId="76C052AF" w14:textId="77777777" w:rsidR="0046798B" w:rsidRDefault="0046798B">
            <w:pPr>
              <w:pStyle w:val="TableParagraph"/>
            </w:pPr>
          </w:p>
          <w:p w14:paraId="4B310713" w14:textId="77777777" w:rsidR="0046798B" w:rsidRDefault="00903B5C">
            <w:pPr>
              <w:pStyle w:val="TableParagraph"/>
              <w:spacing w:before="130"/>
              <w:ind w:left="114" w:right="113"/>
              <w:rPr>
                <w:sz w:val="20"/>
              </w:rPr>
            </w:pPr>
            <w:r>
              <w:rPr>
                <w:sz w:val="20"/>
              </w:rPr>
              <w:t>Governs transfer of investment securities</w:t>
            </w:r>
          </w:p>
        </w:tc>
        <w:tc>
          <w:tcPr>
            <w:tcW w:w="1285" w:type="dxa"/>
          </w:tcPr>
          <w:p w14:paraId="32E9355A" w14:textId="77777777" w:rsidR="0046798B" w:rsidRDefault="0046798B">
            <w:pPr>
              <w:pStyle w:val="TableParagraph"/>
            </w:pPr>
          </w:p>
          <w:p w14:paraId="37B0822E" w14:textId="77777777" w:rsidR="0046798B" w:rsidRDefault="0046798B">
            <w:pPr>
              <w:pStyle w:val="TableParagraph"/>
              <w:spacing w:before="4"/>
              <w:rPr>
                <w:sz w:val="31"/>
              </w:rPr>
            </w:pPr>
          </w:p>
          <w:p w14:paraId="097EF94E" w14:textId="77777777" w:rsidR="0046798B" w:rsidRDefault="00903B5C">
            <w:pPr>
              <w:pStyle w:val="TableParagraph"/>
              <w:ind w:left="114"/>
              <w:rPr>
                <w:sz w:val="20"/>
              </w:rPr>
            </w:pPr>
            <w:r>
              <w:rPr>
                <w:sz w:val="20"/>
              </w:rPr>
              <w:t>1987–1994</w:t>
            </w:r>
          </w:p>
        </w:tc>
        <w:tc>
          <w:tcPr>
            <w:tcW w:w="3421" w:type="dxa"/>
          </w:tcPr>
          <w:p w14:paraId="672EC999" w14:textId="77777777" w:rsidR="0046798B" w:rsidRDefault="0046798B">
            <w:pPr>
              <w:pStyle w:val="TableParagraph"/>
            </w:pPr>
          </w:p>
          <w:p w14:paraId="08F8EF7E" w14:textId="77777777" w:rsidR="0046798B" w:rsidRDefault="0046798B">
            <w:pPr>
              <w:pStyle w:val="TableParagraph"/>
              <w:spacing w:before="4"/>
              <w:rPr>
                <w:sz w:val="21"/>
              </w:rPr>
            </w:pPr>
          </w:p>
          <w:p w14:paraId="51086062" w14:textId="77777777" w:rsidR="0046798B" w:rsidRDefault="00903B5C">
            <w:pPr>
              <w:pStyle w:val="TableParagraph"/>
              <w:ind w:left="114" w:right="1475"/>
              <w:rPr>
                <w:sz w:val="20"/>
              </w:rPr>
            </w:pPr>
            <w:r>
              <w:rPr>
                <w:sz w:val="20"/>
              </w:rPr>
              <w:t>0 = policy not adopted 1 = policy adopted</w:t>
            </w:r>
          </w:p>
        </w:tc>
        <w:tc>
          <w:tcPr>
            <w:tcW w:w="6482" w:type="dxa"/>
          </w:tcPr>
          <w:p w14:paraId="49665E80" w14:textId="77777777" w:rsidR="0046798B" w:rsidRDefault="00903B5C">
            <w:pPr>
              <w:pStyle w:val="TableParagraph"/>
              <w:spacing w:before="38"/>
              <w:ind w:left="114"/>
              <w:rPr>
                <w:sz w:val="20"/>
              </w:rPr>
            </w:pPr>
            <w:r>
              <w:rPr>
                <w:sz w:val="20"/>
              </w:rPr>
              <w:t xml:space="preserve">Uniform Law Commission website: </w:t>
            </w:r>
            <w:hyperlink r:id="rId1001">
              <w:r>
                <w:rPr>
                  <w:color w:val="0462C1"/>
                  <w:sz w:val="20"/>
                  <w:u w:val="single" w:color="0462C1"/>
                </w:rPr>
                <w:t>http://www.uniformlaws.org/</w:t>
              </w:r>
            </w:hyperlink>
          </w:p>
          <w:p w14:paraId="7744389A" w14:textId="77777777" w:rsidR="0046798B" w:rsidRDefault="0046798B">
            <w:pPr>
              <w:pStyle w:val="TableParagraph"/>
              <w:rPr>
                <w:sz w:val="20"/>
              </w:rPr>
            </w:pPr>
          </w:p>
          <w:p w14:paraId="0F3C5F90"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4F12FBC1" w14:textId="77777777">
        <w:trPr>
          <w:trHeight w:val="1465"/>
        </w:trPr>
        <w:tc>
          <w:tcPr>
            <w:tcW w:w="1711" w:type="dxa"/>
          </w:tcPr>
          <w:p w14:paraId="7844E6F2" w14:textId="77777777" w:rsidR="0046798B" w:rsidRDefault="0046798B">
            <w:pPr>
              <w:pStyle w:val="TableParagraph"/>
            </w:pPr>
          </w:p>
          <w:p w14:paraId="065CD02C" w14:textId="77777777" w:rsidR="0046798B" w:rsidRDefault="00903B5C">
            <w:pPr>
              <w:pStyle w:val="TableParagraph"/>
              <w:spacing w:before="130"/>
              <w:ind w:left="115" w:right="138"/>
              <w:jc w:val="both"/>
              <w:rPr>
                <w:b/>
                <w:sz w:val="20"/>
              </w:rPr>
            </w:pPr>
            <w:r>
              <w:rPr>
                <w:b/>
                <w:sz w:val="20"/>
              </w:rPr>
              <w:t>ucc_article_8_in vestment_securit ies_1994</w:t>
            </w:r>
          </w:p>
        </w:tc>
        <w:tc>
          <w:tcPr>
            <w:tcW w:w="1596" w:type="dxa"/>
          </w:tcPr>
          <w:p w14:paraId="31AADE02" w14:textId="77777777" w:rsidR="0046798B" w:rsidRDefault="00903B5C">
            <w:pPr>
              <w:pStyle w:val="TableParagraph"/>
              <w:spacing w:before="38"/>
              <w:ind w:left="114" w:right="508"/>
              <w:rPr>
                <w:sz w:val="20"/>
              </w:rPr>
            </w:pPr>
            <w:r>
              <w:rPr>
                <w:sz w:val="20"/>
              </w:rPr>
              <w:t>Revises commercial codes, specifically transfers of securities</w:t>
            </w:r>
          </w:p>
        </w:tc>
        <w:tc>
          <w:tcPr>
            <w:tcW w:w="1285" w:type="dxa"/>
          </w:tcPr>
          <w:p w14:paraId="0313CB25" w14:textId="77777777" w:rsidR="0046798B" w:rsidRDefault="0046798B">
            <w:pPr>
              <w:pStyle w:val="TableParagraph"/>
            </w:pPr>
          </w:p>
          <w:p w14:paraId="29650ACE" w14:textId="77777777" w:rsidR="0046798B" w:rsidRDefault="0046798B">
            <w:pPr>
              <w:pStyle w:val="TableParagraph"/>
              <w:spacing w:before="3"/>
              <w:rPr>
                <w:sz w:val="31"/>
              </w:rPr>
            </w:pPr>
          </w:p>
          <w:p w14:paraId="245C5BCE" w14:textId="77777777" w:rsidR="0046798B" w:rsidRDefault="00903B5C">
            <w:pPr>
              <w:pStyle w:val="TableParagraph"/>
              <w:spacing w:before="1"/>
              <w:ind w:left="114"/>
              <w:rPr>
                <w:sz w:val="20"/>
              </w:rPr>
            </w:pPr>
            <w:r>
              <w:rPr>
                <w:sz w:val="20"/>
              </w:rPr>
              <w:t>1995–2001</w:t>
            </w:r>
          </w:p>
        </w:tc>
        <w:tc>
          <w:tcPr>
            <w:tcW w:w="3421" w:type="dxa"/>
          </w:tcPr>
          <w:p w14:paraId="063AA596" w14:textId="77777777" w:rsidR="0046798B" w:rsidRDefault="0046798B">
            <w:pPr>
              <w:pStyle w:val="TableParagraph"/>
            </w:pPr>
          </w:p>
          <w:p w14:paraId="12EF245E" w14:textId="77777777" w:rsidR="0046798B" w:rsidRDefault="0046798B">
            <w:pPr>
              <w:pStyle w:val="TableParagraph"/>
              <w:spacing w:before="3"/>
              <w:rPr>
                <w:sz w:val="21"/>
              </w:rPr>
            </w:pPr>
          </w:p>
          <w:p w14:paraId="7B52D873"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3446BDB9" w14:textId="77777777" w:rsidR="0046798B" w:rsidRDefault="00903B5C">
            <w:pPr>
              <w:pStyle w:val="TableParagraph"/>
              <w:spacing w:before="38"/>
              <w:ind w:left="114"/>
              <w:rPr>
                <w:sz w:val="20"/>
              </w:rPr>
            </w:pPr>
            <w:r>
              <w:rPr>
                <w:sz w:val="20"/>
              </w:rPr>
              <w:t xml:space="preserve">Uniform Law Commission website: </w:t>
            </w:r>
            <w:hyperlink r:id="rId1002">
              <w:r>
                <w:rPr>
                  <w:color w:val="0462C1"/>
                  <w:sz w:val="20"/>
                  <w:u w:val="single" w:color="0462C1"/>
                </w:rPr>
                <w:t>http://www.uniformlaws.org/</w:t>
              </w:r>
            </w:hyperlink>
          </w:p>
          <w:p w14:paraId="18E9251F" w14:textId="77777777" w:rsidR="0046798B" w:rsidRDefault="0046798B">
            <w:pPr>
              <w:pStyle w:val="TableParagraph"/>
              <w:rPr>
                <w:sz w:val="20"/>
              </w:rPr>
            </w:pPr>
          </w:p>
          <w:p w14:paraId="4341D19B"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73310461" w14:textId="77777777">
        <w:trPr>
          <w:trHeight w:val="2385"/>
        </w:trPr>
        <w:tc>
          <w:tcPr>
            <w:tcW w:w="1711" w:type="dxa"/>
          </w:tcPr>
          <w:p w14:paraId="2650E9CA" w14:textId="77777777" w:rsidR="0046798B" w:rsidRDefault="0046798B">
            <w:pPr>
              <w:pStyle w:val="TableParagraph"/>
            </w:pPr>
          </w:p>
          <w:p w14:paraId="0925B996" w14:textId="77777777" w:rsidR="0046798B" w:rsidRDefault="0046798B">
            <w:pPr>
              <w:pStyle w:val="TableParagraph"/>
            </w:pPr>
          </w:p>
          <w:p w14:paraId="074D62BF" w14:textId="77777777" w:rsidR="0046798B" w:rsidRDefault="0046798B">
            <w:pPr>
              <w:pStyle w:val="TableParagraph"/>
            </w:pPr>
          </w:p>
          <w:p w14:paraId="3ED1F627" w14:textId="77777777" w:rsidR="0046798B" w:rsidRDefault="0046798B">
            <w:pPr>
              <w:pStyle w:val="TableParagraph"/>
              <w:spacing w:before="4"/>
              <w:rPr>
                <w:sz w:val="17"/>
              </w:rPr>
            </w:pPr>
          </w:p>
          <w:p w14:paraId="17DD1BEC" w14:textId="77777777" w:rsidR="0046798B" w:rsidRDefault="00903B5C">
            <w:pPr>
              <w:pStyle w:val="TableParagraph"/>
              <w:ind w:left="115" w:right="166"/>
              <w:rPr>
                <w:b/>
                <w:sz w:val="20"/>
              </w:rPr>
            </w:pPr>
            <w:r>
              <w:rPr>
                <w:b/>
                <w:sz w:val="20"/>
              </w:rPr>
              <w:t>ucc_article_9_se cured_transacti</w:t>
            </w:r>
          </w:p>
        </w:tc>
        <w:tc>
          <w:tcPr>
            <w:tcW w:w="1596" w:type="dxa"/>
          </w:tcPr>
          <w:p w14:paraId="1884F9D7" w14:textId="77777777" w:rsidR="0046798B" w:rsidRDefault="00903B5C">
            <w:pPr>
              <w:pStyle w:val="TableParagraph"/>
              <w:spacing w:before="38"/>
              <w:ind w:left="114" w:right="100"/>
              <w:rPr>
                <w:sz w:val="20"/>
              </w:rPr>
            </w:pPr>
            <w:r>
              <w:rPr>
                <w:sz w:val="20"/>
              </w:rPr>
              <w:t xml:space="preserve">Provides a statutory framework that governs secured transactions, which involve the granting of credit secured </w:t>
            </w:r>
            <w:r>
              <w:rPr>
                <w:spacing w:val="-8"/>
                <w:sz w:val="20"/>
              </w:rPr>
              <w:t xml:space="preserve">by </w:t>
            </w:r>
            <w:r>
              <w:rPr>
                <w:sz w:val="20"/>
              </w:rPr>
              <w:t>personal property</w:t>
            </w:r>
          </w:p>
        </w:tc>
        <w:tc>
          <w:tcPr>
            <w:tcW w:w="1285" w:type="dxa"/>
          </w:tcPr>
          <w:p w14:paraId="40715D0F" w14:textId="77777777" w:rsidR="0046798B" w:rsidRDefault="0046798B">
            <w:pPr>
              <w:pStyle w:val="TableParagraph"/>
            </w:pPr>
          </w:p>
          <w:p w14:paraId="580BEBE1" w14:textId="77777777" w:rsidR="0046798B" w:rsidRDefault="0046798B">
            <w:pPr>
              <w:pStyle w:val="TableParagraph"/>
            </w:pPr>
          </w:p>
          <w:p w14:paraId="5C64F200" w14:textId="77777777" w:rsidR="0046798B" w:rsidRDefault="0046798B">
            <w:pPr>
              <w:pStyle w:val="TableParagraph"/>
            </w:pPr>
          </w:p>
          <w:p w14:paraId="27A4CCFB" w14:textId="77777777" w:rsidR="0046798B" w:rsidRDefault="0046798B">
            <w:pPr>
              <w:pStyle w:val="TableParagraph"/>
              <w:spacing w:before="4"/>
              <w:rPr>
                <w:sz w:val="27"/>
              </w:rPr>
            </w:pPr>
          </w:p>
          <w:p w14:paraId="785890FF" w14:textId="77777777" w:rsidR="0046798B" w:rsidRDefault="00903B5C">
            <w:pPr>
              <w:pStyle w:val="TableParagraph"/>
              <w:ind w:left="114"/>
              <w:rPr>
                <w:sz w:val="20"/>
              </w:rPr>
            </w:pPr>
            <w:r>
              <w:rPr>
                <w:sz w:val="20"/>
              </w:rPr>
              <w:t>1973–2001</w:t>
            </w:r>
          </w:p>
        </w:tc>
        <w:tc>
          <w:tcPr>
            <w:tcW w:w="3421" w:type="dxa"/>
          </w:tcPr>
          <w:p w14:paraId="78BF8257" w14:textId="77777777" w:rsidR="0046798B" w:rsidRDefault="0046798B">
            <w:pPr>
              <w:pStyle w:val="TableParagraph"/>
            </w:pPr>
          </w:p>
          <w:p w14:paraId="65F83F9C" w14:textId="77777777" w:rsidR="0046798B" w:rsidRDefault="0046798B">
            <w:pPr>
              <w:pStyle w:val="TableParagraph"/>
            </w:pPr>
          </w:p>
          <w:p w14:paraId="7FAD352F" w14:textId="77777777" w:rsidR="0046798B" w:rsidRDefault="0046798B">
            <w:pPr>
              <w:pStyle w:val="TableParagraph"/>
            </w:pPr>
          </w:p>
          <w:p w14:paraId="32DE5365" w14:textId="77777777" w:rsidR="0046798B" w:rsidRDefault="0046798B">
            <w:pPr>
              <w:pStyle w:val="TableParagraph"/>
              <w:spacing w:before="4"/>
              <w:rPr>
                <w:sz w:val="17"/>
              </w:rPr>
            </w:pPr>
          </w:p>
          <w:p w14:paraId="16322555" w14:textId="77777777" w:rsidR="0046798B" w:rsidRDefault="00903B5C">
            <w:pPr>
              <w:pStyle w:val="TableParagraph"/>
              <w:ind w:left="114" w:right="1475"/>
              <w:rPr>
                <w:sz w:val="20"/>
              </w:rPr>
            </w:pPr>
            <w:r>
              <w:rPr>
                <w:sz w:val="20"/>
              </w:rPr>
              <w:t>0 = policy not adopted 1 = policy adopted</w:t>
            </w:r>
          </w:p>
        </w:tc>
        <w:tc>
          <w:tcPr>
            <w:tcW w:w="6482" w:type="dxa"/>
          </w:tcPr>
          <w:p w14:paraId="1CCEE6FA" w14:textId="77777777" w:rsidR="0046798B" w:rsidRDefault="0046798B">
            <w:pPr>
              <w:pStyle w:val="TableParagraph"/>
            </w:pPr>
          </w:p>
          <w:p w14:paraId="487FC808" w14:textId="77777777" w:rsidR="0046798B" w:rsidRDefault="0046798B">
            <w:pPr>
              <w:pStyle w:val="TableParagraph"/>
              <w:spacing w:before="3"/>
              <w:rPr>
                <w:sz w:val="21"/>
              </w:rPr>
            </w:pPr>
          </w:p>
          <w:p w14:paraId="6929B21F" w14:textId="77777777" w:rsidR="0046798B" w:rsidRDefault="00903B5C">
            <w:pPr>
              <w:pStyle w:val="TableParagraph"/>
              <w:spacing w:before="1"/>
              <w:ind w:left="114"/>
              <w:rPr>
                <w:sz w:val="20"/>
              </w:rPr>
            </w:pPr>
            <w:r>
              <w:rPr>
                <w:sz w:val="20"/>
              </w:rPr>
              <w:t xml:space="preserve">Uniform Law Commission website: </w:t>
            </w:r>
            <w:hyperlink r:id="rId1003">
              <w:r>
                <w:rPr>
                  <w:color w:val="0462C1"/>
                  <w:sz w:val="20"/>
                  <w:u w:val="single" w:color="0462C1"/>
                </w:rPr>
                <w:t>http://www.uniformlaws.org/</w:t>
              </w:r>
            </w:hyperlink>
          </w:p>
          <w:p w14:paraId="7FA33995" w14:textId="77777777" w:rsidR="0046798B" w:rsidRDefault="0046798B">
            <w:pPr>
              <w:pStyle w:val="TableParagraph"/>
              <w:rPr>
                <w:sz w:val="20"/>
              </w:rPr>
            </w:pPr>
          </w:p>
          <w:p w14:paraId="33E4FFAB"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bl>
    <w:p w14:paraId="3A820575" w14:textId="77777777" w:rsidR="0046798B" w:rsidRDefault="0046798B">
      <w:pPr>
        <w:rPr>
          <w:sz w:val="20"/>
        </w:rPr>
        <w:sectPr w:rsidR="0046798B">
          <w:pgSz w:w="15840" w:h="12240" w:orient="landscape"/>
          <w:pgMar w:top="1220" w:right="300" w:bottom="980" w:left="820" w:header="730" w:footer="787" w:gutter="0"/>
          <w:cols w:space="720"/>
        </w:sectPr>
      </w:pPr>
    </w:p>
    <w:p w14:paraId="29183C09"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106E20AE" w14:textId="77777777">
        <w:trPr>
          <w:trHeight w:val="1465"/>
        </w:trPr>
        <w:tc>
          <w:tcPr>
            <w:tcW w:w="1711" w:type="dxa"/>
          </w:tcPr>
          <w:p w14:paraId="21C3F9A4" w14:textId="77777777" w:rsidR="0046798B" w:rsidRDefault="0046798B">
            <w:pPr>
              <w:pStyle w:val="TableParagraph"/>
            </w:pPr>
          </w:p>
          <w:p w14:paraId="764CD048" w14:textId="77777777" w:rsidR="0046798B" w:rsidRDefault="0046798B">
            <w:pPr>
              <w:pStyle w:val="TableParagraph"/>
              <w:spacing w:before="9"/>
              <w:rPr>
                <w:sz w:val="21"/>
              </w:rPr>
            </w:pPr>
          </w:p>
          <w:p w14:paraId="7BDF53D6" w14:textId="77777777" w:rsidR="0046798B" w:rsidRDefault="00903B5C">
            <w:pPr>
              <w:pStyle w:val="TableParagraph"/>
              <w:ind w:left="115" w:right="233"/>
              <w:rPr>
                <w:b/>
                <w:sz w:val="20"/>
              </w:rPr>
            </w:pPr>
            <w:r>
              <w:rPr>
                <w:b/>
                <w:sz w:val="20"/>
              </w:rPr>
              <w:t>ucc_article_9_a mendments</w:t>
            </w:r>
          </w:p>
        </w:tc>
        <w:tc>
          <w:tcPr>
            <w:tcW w:w="1596" w:type="dxa"/>
          </w:tcPr>
          <w:p w14:paraId="41A03858" w14:textId="77777777" w:rsidR="0046798B" w:rsidRDefault="00903B5C">
            <w:pPr>
              <w:pStyle w:val="TableParagraph"/>
              <w:spacing w:before="158"/>
              <w:ind w:left="114" w:right="291"/>
              <w:rPr>
                <w:sz w:val="20"/>
              </w:rPr>
            </w:pPr>
            <w:r>
              <w:rPr>
                <w:sz w:val="20"/>
              </w:rPr>
              <w:t>Regulating secure transactions in personal property</w:t>
            </w:r>
          </w:p>
        </w:tc>
        <w:tc>
          <w:tcPr>
            <w:tcW w:w="1285" w:type="dxa"/>
          </w:tcPr>
          <w:p w14:paraId="3A9E6EB2" w14:textId="77777777" w:rsidR="0046798B" w:rsidRDefault="0046798B">
            <w:pPr>
              <w:pStyle w:val="TableParagraph"/>
            </w:pPr>
          </w:p>
          <w:p w14:paraId="6B097DA0" w14:textId="77777777" w:rsidR="0046798B" w:rsidRDefault="0046798B">
            <w:pPr>
              <w:pStyle w:val="TableParagraph"/>
              <w:spacing w:before="9"/>
              <w:rPr>
                <w:sz w:val="31"/>
              </w:rPr>
            </w:pPr>
          </w:p>
          <w:p w14:paraId="66255098" w14:textId="77777777" w:rsidR="0046798B" w:rsidRDefault="00903B5C">
            <w:pPr>
              <w:pStyle w:val="TableParagraph"/>
              <w:ind w:left="114"/>
              <w:rPr>
                <w:sz w:val="20"/>
              </w:rPr>
            </w:pPr>
            <w:r>
              <w:rPr>
                <w:sz w:val="20"/>
              </w:rPr>
              <w:t>1973–2003</w:t>
            </w:r>
          </w:p>
        </w:tc>
        <w:tc>
          <w:tcPr>
            <w:tcW w:w="3421" w:type="dxa"/>
          </w:tcPr>
          <w:p w14:paraId="4091BF98" w14:textId="77777777" w:rsidR="0046798B" w:rsidRDefault="0046798B">
            <w:pPr>
              <w:pStyle w:val="TableParagraph"/>
            </w:pPr>
          </w:p>
          <w:p w14:paraId="32700508" w14:textId="77777777" w:rsidR="0046798B" w:rsidRDefault="0046798B">
            <w:pPr>
              <w:pStyle w:val="TableParagraph"/>
              <w:spacing w:before="9"/>
              <w:rPr>
                <w:sz w:val="21"/>
              </w:rPr>
            </w:pPr>
          </w:p>
          <w:p w14:paraId="0E7DE371" w14:textId="77777777" w:rsidR="0046798B" w:rsidRDefault="00903B5C">
            <w:pPr>
              <w:pStyle w:val="TableParagraph"/>
              <w:ind w:left="114" w:right="1475"/>
              <w:rPr>
                <w:sz w:val="20"/>
              </w:rPr>
            </w:pPr>
            <w:r>
              <w:rPr>
                <w:sz w:val="20"/>
              </w:rPr>
              <w:t>0 = policy not adopted 1 = policy adopted</w:t>
            </w:r>
          </w:p>
        </w:tc>
        <w:tc>
          <w:tcPr>
            <w:tcW w:w="6482" w:type="dxa"/>
          </w:tcPr>
          <w:p w14:paraId="0E8B303C" w14:textId="77777777" w:rsidR="0046798B" w:rsidRDefault="00903B5C">
            <w:pPr>
              <w:pStyle w:val="TableParagraph"/>
              <w:spacing w:before="43"/>
              <w:ind w:left="114"/>
              <w:rPr>
                <w:sz w:val="20"/>
              </w:rPr>
            </w:pPr>
            <w:r>
              <w:rPr>
                <w:sz w:val="20"/>
              </w:rPr>
              <w:t xml:space="preserve">Uniform Law Commission website: </w:t>
            </w:r>
            <w:hyperlink r:id="rId1004">
              <w:r>
                <w:rPr>
                  <w:color w:val="0462C1"/>
                  <w:sz w:val="20"/>
                  <w:u w:val="single" w:color="0462C1"/>
                </w:rPr>
                <w:t>http://www.uniformlaws.org/</w:t>
              </w:r>
            </w:hyperlink>
          </w:p>
          <w:p w14:paraId="0CC61A88" w14:textId="77777777" w:rsidR="0046798B" w:rsidRDefault="0046798B">
            <w:pPr>
              <w:pStyle w:val="TableParagraph"/>
              <w:rPr>
                <w:sz w:val="20"/>
              </w:rPr>
            </w:pPr>
          </w:p>
          <w:p w14:paraId="26F497BE"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7DE3D980" w14:textId="77777777">
        <w:trPr>
          <w:trHeight w:val="1926"/>
        </w:trPr>
        <w:tc>
          <w:tcPr>
            <w:tcW w:w="1711" w:type="dxa"/>
          </w:tcPr>
          <w:p w14:paraId="6BE85FB7" w14:textId="77777777" w:rsidR="0046798B" w:rsidRDefault="0046798B">
            <w:pPr>
              <w:pStyle w:val="TableParagraph"/>
            </w:pPr>
          </w:p>
          <w:p w14:paraId="4CACEBA3" w14:textId="77777777" w:rsidR="0046798B" w:rsidRDefault="0046798B">
            <w:pPr>
              <w:pStyle w:val="TableParagraph"/>
              <w:spacing w:before="9"/>
              <w:rPr>
                <w:sz w:val="31"/>
              </w:rPr>
            </w:pPr>
          </w:p>
          <w:p w14:paraId="20D8A54F" w14:textId="77777777" w:rsidR="0046798B" w:rsidRDefault="00903B5C">
            <w:pPr>
              <w:pStyle w:val="TableParagraph"/>
              <w:ind w:left="115" w:right="177"/>
              <w:rPr>
                <w:b/>
                <w:sz w:val="20"/>
              </w:rPr>
            </w:pPr>
            <w:r>
              <w:rPr>
                <w:b/>
                <w:sz w:val="20"/>
              </w:rPr>
              <w:t>ucc_article_9_a mendments_201 0</w:t>
            </w:r>
          </w:p>
        </w:tc>
        <w:tc>
          <w:tcPr>
            <w:tcW w:w="1596" w:type="dxa"/>
          </w:tcPr>
          <w:p w14:paraId="324A7A0D" w14:textId="77777777" w:rsidR="0046798B" w:rsidRDefault="00903B5C">
            <w:pPr>
              <w:pStyle w:val="TableParagraph"/>
              <w:spacing w:before="44"/>
              <w:ind w:left="114" w:right="202"/>
              <w:rPr>
                <w:sz w:val="20"/>
              </w:rPr>
            </w:pPr>
            <w:r>
              <w:rPr>
                <w:sz w:val="20"/>
              </w:rPr>
              <w:t>Provides the rules governing any transaction (other than a finance lease) that couples a debt with a creditor</w:t>
            </w:r>
          </w:p>
        </w:tc>
        <w:tc>
          <w:tcPr>
            <w:tcW w:w="1285" w:type="dxa"/>
          </w:tcPr>
          <w:p w14:paraId="6E3920F5" w14:textId="77777777" w:rsidR="0046798B" w:rsidRDefault="0046798B">
            <w:pPr>
              <w:pStyle w:val="TableParagraph"/>
            </w:pPr>
          </w:p>
          <w:p w14:paraId="20B247D9" w14:textId="77777777" w:rsidR="0046798B" w:rsidRDefault="0046798B">
            <w:pPr>
              <w:pStyle w:val="TableParagraph"/>
            </w:pPr>
          </w:p>
          <w:p w14:paraId="727B1896" w14:textId="77777777" w:rsidR="0046798B" w:rsidRDefault="0046798B">
            <w:pPr>
              <w:pStyle w:val="TableParagraph"/>
              <w:spacing w:before="9"/>
              <w:rPr>
                <w:sz w:val="29"/>
              </w:rPr>
            </w:pPr>
          </w:p>
          <w:p w14:paraId="776B1AA4" w14:textId="77777777" w:rsidR="0046798B" w:rsidRDefault="00903B5C">
            <w:pPr>
              <w:pStyle w:val="TableParagraph"/>
              <w:ind w:left="114"/>
              <w:rPr>
                <w:sz w:val="20"/>
              </w:rPr>
            </w:pPr>
            <w:r>
              <w:rPr>
                <w:sz w:val="20"/>
              </w:rPr>
              <w:t>2011–2015</w:t>
            </w:r>
          </w:p>
        </w:tc>
        <w:tc>
          <w:tcPr>
            <w:tcW w:w="3421" w:type="dxa"/>
          </w:tcPr>
          <w:p w14:paraId="62E9F1FF" w14:textId="77777777" w:rsidR="0046798B" w:rsidRDefault="0046798B">
            <w:pPr>
              <w:pStyle w:val="TableParagraph"/>
            </w:pPr>
          </w:p>
          <w:p w14:paraId="43F5BD8C" w14:textId="77777777" w:rsidR="0046798B" w:rsidRDefault="0046798B">
            <w:pPr>
              <w:pStyle w:val="TableParagraph"/>
            </w:pPr>
          </w:p>
          <w:p w14:paraId="45756BA4" w14:textId="77777777" w:rsidR="0046798B" w:rsidRDefault="0046798B">
            <w:pPr>
              <w:pStyle w:val="TableParagraph"/>
              <w:spacing w:before="9"/>
              <w:rPr>
                <w:sz w:val="19"/>
              </w:rPr>
            </w:pPr>
          </w:p>
          <w:p w14:paraId="44AF4CDE" w14:textId="77777777" w:rsidR="0046798B" w:rsidRDefault="00903B5C">
            <w:pPr>
              <w:pStyle w:val="TableParagraph"/>
              <w:ind w:left="114" w:right="1475"/>
              <w:rPr>
                <w:sz w:val="20"/>
              </w:rPr>
            </w:pPr>
            <w:r>
              <w:rPr>
                <w:sz w:val="20"/>
              </w:rPr>
              <w:t>0 = policy not adopted 1 = policy adopted</w:t>
            </w:r>
          </w:p>
        </w:tc>
        <w:tc>
          <w:tcPr>
            <w:tcW w:w="6482" w:type="dxa"/>
          </w:tcPr>
          <w:p w14:paraId="1424B5C5" w14:textId="77777777" w:rsidR="0046798B" w:rsidRDefault="0046798B">
            <w:pPr>
              <w:pStyle w:val="TableParagraph"/>
              <w:spacing w:before="9"/>
              <w:rPr>
                <w:sz w:val="23"/>
              </w:rPr>
            </w:pPr>
          </w:p>
          <w:p w14:paraId="5F5E073A" w14:textId="77777777" w:rsidR="0046798B" w:rsidRDefault="00903B5C">
            <w:pPr>
              <w:pStyle w:val="TableParagraph"/>
              <w:ind w:left="114"/>
              <w:rPr>
                <w:sz w:val="20"/>
              </w:rPr>
            </w:pPr>
            <w:r>
              <w:rPr>
                <w:sz w:val="20"/>
              </w:rPr>
              <w:t xml:space="preserve">Uniform Law Commission website: </w:t>
            </w:r>
            <w:hyperlink r:id="rId1005">
              <w:r>
                <w:rPr>
                  <w:color w:val="0462C1"/>
                  <w:sz w:val="20"/>
                  <w:u w:val="single" w:color="0462C1"/>
                </w:rPr>
                <w:t>http://www.uniformlaws.org/</w:t>
              </w:r>
            </w:hyperlink>
          </w:p>
          <w:p w14:paraId="354832E8" w14:textId="77777777" w:rsidR="0046798B" w:rsidRDefault="0046798B">
            <w:pPr>
              <w:pStyle w:val="TableParagraph"/>
              <w:rPr>
                <w:sz w:val="20"/>
              </w:rPr>
            </w:pPr>
          </w:p>
          <w:p w14:paraId="2DD5CB45"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78092A04" w14:textId="77777777">
        <w:trPr>
          <w:trHeight w:val="1470"/>
        </w:trPr>
        <w:tc>
          <w:tcPr>
            <w:tcW w:w="1711" w:type="dxa"/>
          </w:tcPr>
          <w:p w14:paraId="291BEFA0" w14:textId="77777777" w:rsidR="0046798B" w:rsidRDefault="0046798B">
            <w:pPr>
              <w:pStyle w:val="TableParagraph"/>
            </w:pPr>
          </w:p>
          <w:p w14:paraId="2FC484CC" w14:textId="77777777" w:rsidR="0046798B" w:rsidRDefault="0046798B">
            <w:pPr>
              <w:pStyle w:val="TableParagraph"/>
              <w:spacing w:before="9"/>
              <w:rPr>
                <w:sz w:val="21"/>
              </w:rPr>
            </w:pPr>
          </w:p>
          <w:p w14:paraId="21275E61" w14:textId="77777777" w:rsidR="0046798B" w:rsidRDefault="00903B5C">
            <w:pPr>
              <w:pStyle w:val="TableParagraph"/>
              <w:ind w:left="115" w:right="165"/>
              <w:rPr>
                <w:b/>
                <w:sz w:val="20"/>
              </w:rPr>
            </w:pPr>
            <w:r>
              <w:rPr>
                <w:b/>
                <w:sz w:val="20"/>
              </w:rPr>
              <w:t>unclaimed_prop erty_act</w:t>
            </w:r>
          </w:p>
        </w:tc>
        <w:tc>
          <w:tcPr>
            <w:tcW w:w="1596" w:type="dxa"/>
          </w:tcPr>
          <w:p w14:paraId="7E5C61A9" w14:textId="77777777" w:rsidR="0046798B" w:rsidRDefault="0046798B">
            <w:pPr>
              <w:pStyle w:val="TableParagraph"/>
            </w:pPr>
          </w:p>
          <w:p w14:paraId="391B99F7" w14:textId="77777777" w:rsidR="0046798B" w:rsidRDefault="00903B5C">
            <w:pPr>
              <w:pStyle w:val="TableParagraph"/>
              <w:spacing w:before="135"/>
              <w:ind w:left="114" w:right="157"/>
              <w:rPr>
                <w:sz w:val="20"/>
              </w:rPr>
            </w:pPr>
            <w:r>
              <w:rPr>
                <w:sz w:val="20"/>
              </w:rPr>
              <w:t>Regulates abandonment of property</w:t>
            </w:r>
          </w:p>
        </w:tc>
        <w:tc>
          <w:tcPr>
            <w:tcW w:w="1285" w:type="dxa"/>
          </w:tcPr>
          <w:p w14:paraId="72EE5F16" w14:textId="77777777" w:rsidR="0046798B" w:rsidRDefault="0046798B">
            <w:pPr>
              <w:pStyle w:val="TableParagraph"/>
            </w:pPr>
          </w:p>
          <w:p w14:paraId="3DC2BE56" w14:textId="77777777" w:rsidR="0046798B" w:rsidRDefault="0046798B">
            <w:pPr>
              <w:pStyle w:val="TableParagraph"/>
              <w:spacing w:before="9"/>
              <w:rPr>
                <w:sz w:val="31"/>
              </w:rPr>
            </w:pPr>
          </w:p>
          <w:p w14:paraId="730CC015" w14:textId="77777777" w:rsidR="0046798B" w:rsidRDefault="00903B5C">
            <w:pPr>
              <w:pStyle w:val="TableParagraph"/>
              <w:ind w:left="114"/>
              <w:rPr>
                <w:sz w:val="20"/>
              </w:rPr>
            </w:pPr>
            <w:r>
              <w:rPr>
                <w:sz w:val="20"/>
              </w:rPr>
              <w:t>1995–2008</w:t>
            </w:r>
          </w:p>
        </w:tc>
        <w:tc>
          <w:tcPr>
            <w:tcW w:w="3421" w:type="dxa"/>
          </w:tcPr>
          <w:p w14:paraId="4B31D379" w14:textId="77777777" w:rsidR="0046798B" w:rsidRDefault="0046798B">
            <w:pPr>
              <w:pStyle w:val="TableParagraph"/>
            </w:pPr>
          </w:p>
          <w:p w14:paraId="518AADE2" w14:textId="77777777" w:rsidR="0046798B" w:rsidRDefault="0046798B">
            <w:pPr>
              <w:pStyle w:val="TableParagraph"/>
              <w:spacing w:before="9"/>
              <w:rPr>
                <w:sz w:val="21"/>
              </w:rPr>
            </w:pPr>
          </w:p>
          <w:p w14:paraId="503DAAA4" w14:textId="77777777" w:rsidR="0046798B" w:rsidRDefault="00903B5C">
            <w:pPr>
              <w:pStyle w:val="TableParagraph"/>
              <w:ind w:left="114" w:right="1475"/>
              <w:rPr>
                <w:sz w:val="20"/>
              </w:rPr>
            </w:pPr>
            <w:r>
              <w:rPr>
                <w:sz w:val="20"/>
              </w:rPr>
              <w:t>0 = policy not adopted 1 = policy adopted</w:t>
            </w:r>
          </w:p>
        </w:tc>
        <w:tc>
          <w:tcPr>
            <w:tcW w:w="6482" w:type="dxa"/>
          </w:tcPr>
          <w:p w14:paraId="68C832DD" w14:textId="77777777" w:rsidR="0046798B" w:rsidRDefault="00903B5C">
            <w:pPr>
              <w:pStyle w:val="TableParagraph"/>
              <w:spacing w:before="43"/>
              <w:ind w:left="114"/>
              <w:rPr>
                <w:sz w:val="20"/>
              </w:rPr>
            </w:pPr>
            <w:r>
              <w:rPr>
                <w:sz w:val="20"/>
              </w:rPr>
              <w:t xml:space="preserve">Uniform Law Commission website: </w:t>
            </w:r>
            <w:hyperlink r:id="rId1006">
              <w:r>
                <w:rPr>
                  <w:color w:val="0462C1"/>
                  <w:sz w:val="20"/>
                  <w:u w:val="single" w:color="0462C1"/>
                </w:rPr>
                <w:t>http://www.uniformlaws.org/</w:t>
              </w:r>
            </w:hyperlink>
          </w:p>
          <w:p w14:paraId="63542798" w14:textId="77777777" w:rsidR="0046798B" w:rsidRDefault="0046798B">
            <w:pPr>
              <w:pStyle w:val="TableParagraph"/>
              <w:rPr>
                <w:sz w:val="20"/>
              </w:rPr>
            </w:pPr>
          </w:p>
          <w:p w14:paraId="2E7FCDDC"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5CC1BF53" w14:textId="77777777">
        <w:trPr>
          <w:trHeight w:val="1465"/>
        </w:trPr>
        <w:tc>
          <w:tcPr>
            <w:tcW w:w="1711" w:type="dxa"/>
          </w:tcPr>
          <w:p w14:paraId="129DC508" w14:textId="77777777" w:rsidR="0046798B" w:rsidRDefault="0046798B">
            <w:pPr>
              <w:pStyle w:val="TableParagraph"/>
            </w:pPr>
          </w:p>
          <w:p w14:paraId="499C74D6" w14:textId="77777777" w:rsidR="0046798B" w:rsidRDefault="00903B5C">
            <w:pPr>
              <w:pStyle w:val="TableParagraph"/>
              <w:spacing w:before="131"/>
              <w:ind w:left="115" w:right="183"/>
              <w:jc w:val="both"/>
              <w:rPr>
                <w:b/>
                <w:sz w:val="20"/>
              </w:rPr>
            </w:pPr>
            <w:r>
              <w:rPr>
                <w:b/>
                <w:sz w:val="20"/>
              </w:rPr>
              <w:t>unclaimed_prop erty_act_1952_1 981</w:t>
            </w:r>
          </w:p>
        </w:tc>
        <w:tc>
          <w:tcPr>
            <w:tcW w:w="1596" w:type="dxa"/>
          </w:tcPr>
          <w:p w14:paraId="123B00AC" w14:textId="77777777" w:rsidR="0046798B" w:rsidRDefault="0046798B">
            <w:pPr>
              <w:pStyle w:val="TableParagraph"/>
              <w:spacing w:before="4"/>
              <w:rPr>
                <w:sz w:val="23"/>
              </w:rPr>
            </w:pPr>
          </w:p>
          <w:p w14:paraId="7C959289" w14:textId="77777777" w:rsidR="0046798B" w:rsidRDefault="00903B5C">
            <w:pPr>
              <w:pStyle w:val="TableParagraph"/>
              <w:ind w:left="114" w:right="157"/>
              <w:rPr>
                <w:sz w:val="20"/>
              </w:rPr>
            </w:pPr>
            <w:r>
              <w:rPr>
                <w:sz w:val="20"/>
              </w:rPr>
              <w:t>Regulates abandonment of property (1952)</w:t>
            </w:r>
          </w:p>
          <w:p w14:paraId="112379A0" w14:textId="77777777" w:rsidR="0046798B" w:rsidRDefault="00903B5C">
            <w:pPr>
              <w:pStyle w:val="TableParagraph"/>
              <w:ind w:left="114"/>
              <w:rPr>
                <w:sz w:val="20"/>
              </w:rPr>
            </w:pPr>
            <w:r>
              <w:rPr>
                <w:sz w:val="20"/>
              </w:rPr>
              <w:t>(1981)</w:t>
            </w:r>
          </w:p>
        </w:tc>
        <w:tc>
          <w:tcPr>
            <w:tcW w:w="1285" w:type="dxa"/>
          </w:tcPr>
          <w:p w14:paraId="18FD9950" w14:textId="77777777" w:rsidR="0046798B" w:rsidRDefault="0046798B">
            <w:pPr>
              <w:pStyle w:val="TableParagraph"/>
            </w:pPr>
          </w:p>
          <w:p w14:paraId="53EF4FA7" w14:textId="77777777" w:rsidR="0046798B" w:rsidRDefault="0046798B">
            <w:pPr>
              <w:pStyle w:val="TableParagraph"/>
              <w:spacing w:before="4"/>
              <w:rPr>
                <w:sz w:val="31"/>
              </w:rPr>
            </w:pPr>
          </w:p>
          <w:p w14:paraId="1ECF9F59" w14:textId="77777777" w:rsidR="0046798B" w:rsidRDefault="00903B5C">
            <w:pPr>
              <w:pStyle w:val="TableParagraph"/>
              <w:ind w:left="114"/>
              <w:rPr>
                <w:sz w:val="20"/>
              </w:rPr>
            </w:pPr>
            <w:r>
              <w:rPr>
                <w:sz w:val="20"/>
              </w:rPr>
              <w:t>1968–1991</w:t>
            </w:r>
          </w:p>
        </w:tc>
        <w:tc>
          <w:tcPr>
            <w:tcW w:w="3421" w:type="dxa"/>
          </w:tcPr>
          <w:p w14:paraId="1E20DF78" w14:textId="77777777" w:rsidR="0046798B" w:rsidRDefault="0046798B">
            <w:pPr>
              <w:pStyle w:val="TableParagraph"/>
            </w:pPr>
          </w:p>
          <w:p w14:paraId="6E29B2AB" w14:textId="77777777" w:rsidR="0046798B" w:rsidRDefault="0046798B">
            <w:pPr>
              <w:pStyle w:val="TableParagraph"/>
              <w:spacing w:before="4"/>
              <w:rPr>
                <w:sz w:val="21"/>
              </w:rPr>
            </w:pPr>
          </w:p>
          <w:p w14:paraId="50B82D2D" w14:textId="77777777" w:rsidR="0046798B" w:rsidRDefault="00903B5C">
            <w:pPr>
              <w:pStyle w:val="TableParagraph"/>
              <w:ind w:left="114" w:right="1475"/>
              <w:rPr>
                <w:sz w:val="20"/>
              </w:rPr>
            </w:pPr>
            <w:r>
              <w:rPr>
                <w:sz w:val="20"/>
              </w:rPr>
              <w:t>0 = policy not adopted 1 = policy adopted</w:t>
            </w:r>
          </w:p>
        </w:tc>
        <w:tc>
          <w:tcPr>
            <w:tcW w:w="6482" w:type="dxa"/>
          </w:tcPr>
          <w:p w14:paraId="44A9F648" w14:textId="77777777" w:rsidR="0046798B" w:rsidRDefault="00903B5C">
            <w:pPr>
              <w:pStyle w:val="TableParagraph"/>
              <w:spacing w:before="38"/>
              <w:ind w:left="114"/>
              <w:rPr>
                <w:sz w:val="20"/>
              </w:rPr>
            </w:pPr>
            <w:r>
              <w:rPr>
                <w:sz w:val="20"/>
              </w:rPr>
              <w:t xml:space="preserve">Uniform Law Commission website: </w:t>
            </w:r>
            <w:hyperlink r:id="rId1007">
              <w:r>
                <w:rPr>
                  <w:color w:val="0462C1"/>
                  <w:sz w:val="20"/>
                  <w:u w:val="single" w:color="0462C1"/>
                </w:rPr>
                <w:t>http://www.uniformlaws.org/</w:t>
              </w:r>
            </w:hyperlink>
          </w:p>
          <w:p w14:paraId="475A0751" w14:textId="77777777" w:rsidR="0046798B" w:rsidRDefault="0046798B">
            <w:pPr>
              <w:pStyle w:val="TableParagraph"/>
              <w:rPr>
                <w:sz w:val="20"/>
              </w:rPr>
            </w:pPr>
          </w:p>
          <w:p w14:paraId="63D77C20" w14:textId="77777777" w:rsidR="0046798B" w:rsidRDefault="00903B5C">
            <w:pPr>
              <w:pStyle w:val="TableParagraph"/>
              <w:spacing w:before="1"/>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7411FD1B" w14:textId="77777777">
        <w:trPr>
          <w:trHeight w:val="1695"/>
        </w:trPr>
        <w:tc>
          <w:tcPr>
            <w:tcW w:w="1711" w:type="dxa"/>
          </w:tcPr>
          <w:p w14:paraId="0FD5BBFB" w14:textId="77777777" w:rsidR="0046798B" w:rsidRDefault="0046798B">
            <w:pPr>
              <w:pStyle w:val="TableParagraph"/>
            </w:pPr>
          </w:p>
          <w:p w14:paraId="15994415" w14:textId="77777777" w:rsidR="0046798B" w:rsidRDefault="00903B5C">
            <w:pPr>
              <w:pStyle w:val="TableParagraph"/>
              <w:spacing w:before="131"/>
              <w:ind w:left="115" w:right="154"/>
              <w:jc w:val="both"/>
              <w:rPr>
                <w:b/>
                <w:sz w:val="20"/>
              </w:rPr>
            </w:pPr>
            <w:r>
              <w:rPr>
                <w:b/>
                <w:spacing w:val="-1"/>
                <w:sz w:val="20"/>
              </w:rPr>
              <w:t xml:space="preserve">unincorporated_ </w:t>
            </w:r>
            <w:r>
              <w:rPr>
                <w:b/>
                <w:sz w:val="20"/>
              </w:rPr>
              <w:t>nonprofit_associ ation_act_1992_ 1996</w:t>
            </w:r>
          </w:p>
        </w:tc>
        <w:tc>
          <w:tcPr>
            <w:tcW w:w="1596" w:type="dxa"/>
          </w:tcPr>
          <w:p w14:paraId="33D5A070" w14:textId="77777777" w:rsidR="0046798B" w:rsidRDefault="00903B5C">
            <w:pPr>
              <w:pStyle w:val="TableParagraph"/>
              <w:spacing w:before="38"/>
              <w:ind w:left="114" w:right="102"/>
              <w:rPr>
                <w:sz w:val="20"/>
              </w:rPr>
            </w:pPr>
            <w:r>
              <w:rPr>
                <w:sz w:val="20"/>
              </w:rPr>
              <w:t>Governs all unincorporated nonprofit associations that are formed or operate in a state (1992) (1996)</w:t>
            </w:r>
          </w:p>
        </w:tc>
        <w:tc>
          <w:tcPr>
            <w:tcW w:w="1285" w:type="dxa"/>
          </w:tcPr>
          <w:p w14:paraId="2578B51E" w14:textId="77777777" w:rsidR="0046798B" w:rsidRDefault="0046798B">
            <w:pPr>
              <w:pStyle w:val="TableParagraph"/>
            </w:pPr>
          </w:p>
          <w:p w14:paraId="22C8FDDE" w14:textId="77777777" w:rsidR="0046798B" w:rsidRDefault="0046798B">
            <w:pPr>
              <w:pStyle w:val="TableParagraph"/>
            </w:pPr>
          </w:p>
          <w:p w14:paraId="13BFE972" w14:textId="77777777" w:rsidR="0046798B" w:rsidRDefault="0046798B">
            <w:pPr>
              <w:pStyle w:val="TableParagraph"/>
              <w:spacing w:before="4"/>
              <w:rPr>
                <w:sz w:val="19"/>
              </w:rPr>
            </w:pPr>
          </w:p>
          <w:p w14:paraId="446B6BF1" w14:textId="77777777" w:rsidR="0046798B" w:rsidRDefault="00903B5C">
            <w:pPr>
              <w:pStyle w:val="TableParagraph"/>
              <w:ind w:left="114"/>
              <w:rPr>
                <w:sz w:val="20"/>
              </w:rPr>
            </w:pPr>
            <w:r>
              <w:rPr>
                <w:sz w:val="20"/>
              </w:rPr>
              <w:t>1993–2008</w:t>
            </w:r>
          </w:p>
        </w:tc>
        <w:tc>
          <w:tcPr>
            <w:tcW w:w="3421" w:type="dxa"/>
          </w:tcPr>
          <w:p w14:paraId="6818D8DC" w14:textId="77777777" w:rsidR="0046798B" w:rsidRDefault="0046798B">
            <w:pPr>
              <w:pStyle w:val="TableParagraph"/>
            </w:pPr>
          </w:p>
          <w:p w14:paraId="1C4467BC" w14:textId="77777777" w:rsidR="0046798B" w:rsidRDefault="0046798B">
            <w:pPr>
              <w:pStyle w:val="TableParagraph"/>
              <w:spacing w:before="4"/>
              <w:rPr>
                <w:sz w:val="31"/>
              </w:rPr>
            </w:pPr>
          </w:p>
          <w:p w14:paraId="074C5BC9" w14:textId="77777777" w:rsidR="0046798B" w:rsidRDefault="00903B5C">
            <w:pPr>
              <w:pStyle w:val="TableParagraph"/>
              <w:ind w:left="114" w:right="1475"/>
              <w:rPr>
                <w:sz w:val="20"/>
              </w:rPr>
            </w:pPr>
            <w:r>
              <w:rPr>
                <w:sz w:val="20"/>
              </w:rPr>
              <w:t>0 = policy not adopted 1 = policy adopted</w:t>
            </w:r>
          </w:p>
        </w:tc>
        <w:tc>
          <w:tcPr>
            <w:tcW w:w="6482" w:type="dxa"/>
          </w:tcPr>
          <w:p w14:paraId="1769E23F" w14:textId="77777777" w:rsidR="0046798B" w:rsidRDefault="00903B5C">
            <w:pPr>
              <w:pStyle w:val="TableParagraph"/>
              <w:spacing w:before="154"/>
              <w:ind w:left="114"/>
              <w:rPr>
                <w:sz w:val="20"/>
              </w:rPr>
            </w:pPr>
            <w:r>
              <w:rPr>
                <w:sz w:val="20"/>
              </w:rPr>
              <w:t xml:space="preserve">Uniform Law Commission website: </w:t>
            </w:r>
            <w:hyperlink r:id="rId1008">
              <w:r>
                <w:rPr>
                  <w:color w:val="0462C1"/>
                  <w:sz w:val="20"/>
                  <w:u w:val="single" w:color="0462C1"/>
                </w:rPr>
                <w:t>http://www.uniformlaws.org/</w:t>
              </w:r>
            </w:hyperlink>
          </w:p>
          <w:p w14:paraId="54195584" w14:textId="77777777" w:rsidR="0046798B" w:rsidRDefault="0046798B">
            <w:pPr>
              <w:pStyle w:val="TableParagraph"/>
              <w:spacing w:before="11"/>
              <w:rPr>
                <w:sz w:val="19"/>
              </w:rPr>
            </w:pPr>
          </w:p>
          <w:p w14:paraId="6AF27F7E"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429FE9A0" w14:textId="77777777">
        <w:trPr>
          <w:trHeight w:val="1235"/>
        </w:trPr>
        <w:tc>
          <w:tcPr>
            <w:tcW w:w="1711" w:type="dxa"/>
          </w:tcPr>
          <w:p w14:paraId="7127EA38" w14:textId="77777777" w:rsidR="0046798B" w:rsidRDefault="00903B5C">
            <w:pPr>
              <w:pStyle w:val="TableParagraph"/>
              <w:spacing w:before="153"/>
              <w:ind w:left="115" w:right="154"/>
              <w:jc w:val="both"/>
              <w:rPr>
                <w:b/>
                <w:sz w:val="20"/>
              </w:rPr>
            </w:pPr>
            <w:r>
              <w:rPr>
                <w:b/>
                <w:spacing w:val="-1"/>
                <w:sz w:val="20"/>
              </w:rPr>
              <w:t xml:space="preserve">unincorporated_ </w:t>
            </w:r>
            <w:r>
              <w:rPr>
                <w:b/>
                <w:sz w:val="20"/>
              </w:rPr>
              <w:t>nonprofit_associ ation_act_2008_ 2011</w:t>
            </w:r>
          </w:p>
        </w:tc>
        <w:tc>
          <w:tcPr>
            <w:tcW w:w="1596" w:type="dxa"/>
          </w:tcPr>
          <w:p w14:paraId="23515876" w14:textId="77777777" w:rsidR="0046798B" w:rsidRDefault="00903B5C">
            <w:pPr>
              <w:pStyle w:val="TableParagraph"/>
              <w:spacing w:before="38"/>
              <w:ind w:left="114" w:right="135"/>
              <w:rPr>
                <w:sz w:val="20"/>
              </w:rPr>
            </w:pPr>
            <w:r>
              <w:rPr>
                <w:sz w:val="20"/>
              </w:rPr>
              <w:t>Governs all unincorporated nonprofit associations that are formed or</w:t>
            </w:r>
          </w:p>
        </w:tc>
        <w:tc>
          <w:tcPr>
            <w:tcW w:w="1285" w:type="dxa"/>
          </w:tcPr>
          <w:p w14:paraId="02BB72EC" w14:textId="77777777" w:rsidR="0046798B" w:rsidRDefault="0046798B">
            <w:pPr>
              <w:pStyle w:val="TableParagraph"/>
            </w:pPr>
          </w:p>
          <w:p w14:paraId="6C348938" w14:textId="77777777" w:rsidR="0046798B" w:rsidRDefault="0046798B">
            <w:pPr>
              <w:pStyle w:val="TableParagraph"/>
              <w:spacing w:before="3"/>
              <w:rPr>
                <w:sz w:val="21"/>
              </w:rPr>
            </w:pPr>
          </w:p>
          <w:p w14:paraId="3681201C" w14:textId="77777777" w:rsidR="0046798B" w:rsidRDefault="00903B5C">
            <w:pPr>
              <w:pStyle w:val="TableParagraph"/>
              <w:spacing w:before="1"/>
              <w:ind w:left="114"/>
              <w:rPr>
                <w:sz w:val="20"/>
              </w:rPr>
            </w:pPr>
            <w:r>
              <w:rPr>
                <w:sz w:val="20"/>
              </w:rPr>
              <w:t>2009–2015</w:t>
            </w:r>
          </w:p>
        </w:tc>
        <w:tc>
          <w:tcPr>
            <w:tcW w:w="3421" w:type="dxa"/>
          </w:tcPr>
          <w:p w14:paraId="12B998D5" w14:textId="77777777" w:rsidR="0046798B" w:rsidRDefault="0046798B">
            <w:pPr>
              <w:pStyle w:val="TableParagraph"/>
            </w:pPr>
          </w:p>
          <w:p w14:paraId="7528E1DE" w14:textId="77777777" w:rsidR="0046798B" w:rsidRDefault="00903B5C">
            <w:pPr>
              <w:pStyle w:val="TableParagraph"/>
              <w:spacing w:before="130"/>
              <w:ind w:left="114" w:right="1475"/>
              <w:rPr>
                <w:sz w:val="20"/>
              </w:rPr>
            </w:pPr>
            <w:r>
              <w:rPr>
                <w:sz w:val="20"/>
              </w:rPr>
              <w:t>0 = policy not adopted 1 = policy adopted</w:t>
            </w:r>
          </w:p>
        </w:tc>
        <w:tc>
          <w:tcPr>
            <w:tcW w:w="6482" w:type="dxa"/>
          </w:tcPr>
          <w:p w14:paraId="3C6DEE38" w14:textId="77777777" w:rsidR="0046798B" w:rsidRDefault="00903B5C">
            <w:pPr>
              <w:pStyle w:val="TableParagraph"/>
              <w:spacing w:before="153"/>
              <w:ind w:left="114"/>
              <w:rPr>
                <w:sz w:val="20"/>
              </w:rPr>
            </w:pPr>
            <w:r>
              <w:rPr>
                <w:sz w:val="20"/>
              </w:rPr>
              <w:t xml:space="preserve">Uniform Law Commission website: </w:t>
            </w:r>
            <w:hyperlink r:id="rId1009">
              <w:r>
                <w:rPr>
                  <w:color w:val="0462C1"/>
                  <w:sz w:val="20"/>
                  <w:u w:val="single" w:color="0462C1"/>
                </w:rPr>
                <w:t>http://www.uniformlaws.org/</w:t>
              </w:r>
            </w:hyperlink>
          </w:p>
          <w:p w14:paraId="6058BBD3" w14:textId="77777777" w:rsidR="0046798B" w:rsidRDefault="0046798B">
            <w:pPr>
              <w:pStyle w:val="TableParagraph"/>
              <w:rPr>
                <w:sz w:val="20"/>
              </w:rPr>
            </w:pPr>
          </w:p>
          <w:p w14:paraId="472A738E"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w:t>
            </w:r>
          </w:p>
        </w:tc>
      </w:tr>
    </w:tbl>
    <w:p w14:paraId="0BD26D34" w14:textId="77777777" w:rsidR="0046798B" w:rsidRDefault="0046798B">
      <w:pPr>
        <w:rPr>
          <w:sz w:val="20"/>
        </w:rPr>
        <w:sectPr w:rsidR="0046798B">
          <w:pgSz w:w="15840" w:h="12240" w:orient="landscape"/>
          <w:pgMar w:top="1220" w:right="300" w:bottom="980" w:left="820" w:header="730" w:footer="787" w:gutter="0"/>
          <w:cols w:space="720"/>
        </w:sectPr>
      </w:pPr>
    </w:p>
    <w:p w14:paraId="22B421B5"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000028E1" w14:textId="77777777">
        <w:trPr>
          <w:trHeight w:val="775"/>
        </w:trPr>
        <w:tc>
          <w:tcPr>
            <w:tcW w:w="1711" w:type="dxa"/>
          </w:tcPr>
          <w:p w14:paraId="737DF0F8" w14:textId="77777777" w:rsidR="0046798B" w:rsidRDefault="0046798B">
            <w:pPr>
              <w:pStyle w:val="TableParagraph"/>
              <w:rPr>
                <w:sz w:val="20"/>
              </w:rPr>
            </w:pPr>
          </w:p>
        </w:tc>
        <w:tc>
          <w:tcPr>
            <w:tcW w:w="1596" w:type="dxa"/>
          </w:tcPr>
          <w:p w14:paraId="41926097" w14:textId="77777777" w:rsidR="0046798B" w:rsidRDefault="00903B5C">
            <w:pPr>
              <w:pStyle w:val="TableParagraph"/>
              <w:spacing w:before="43"/>
              <w:ind w:left="114" w:right="102"/>
              <w:rPr>
                <w:sz w:val="20"/>
              </w:rPr>
            </w:pPr>
            <w:r>
              <w:rPr>
                <w:sz w:val="20"/>
              </w:rPr>
              <w:t>operate in a state (2008) (last</w:t>
            </w:r>
          </w:p>
          <w:p w14:paraId="27905C7F" w14:textId="77777777" w:rsidR="0046798B" w:rsidRDefault="00903B5C">
            <w:pPr>
              <w:pStyle w:val="TableParagraph"/>
              <w:ind w:left="114"/>
              <w:rPr>
                <w:sz w:val="20"/>
              </w:rPr>
            </w:pPr>
            <w:r>
              <w:rPr>
                <w:sz w:val="20"/>
              </w:rPr>
              <w:t>amended 2011)</w:t>
            </w:r>
          </w:p>
        </w:tc>
        <w:tc>
          <w:tcPr>
            <w:tcW w:w="1285" w:type="dxa"/>
          </w:tcPr>
          <w:p w14:paraId="68392D3B" w14:textId="77777777" w:rsidR="0046798B" w:rsidRDefault="0046798B">
            <w:pPr>
              <w:pStyle w:val="TableParagraph"/>
              <w:rPr>
                <w:sz w:val="20"/>
              </w:rPr>
            </w:pPr>
          </w:p>
        </w:tc>
        <w:tc>
          <w:tcPr>
            <w:tcW w:w="3421" w:type="dxa"/>
          </w:tcPr>
          <w:p w14:paraId="74891A01" w14:textId="77777777" w:rsidR="0046798B" w:rsidRDefault="0046798B">
            <w:pPr>
              <w:pStyle w:val="TableParagraph"/>
              <w:rPr>
                <w:sz w:val="20"/>
              </w:rPr>
            </w:pPr>
          </w:p>
        </w:tc>
        <w:tc>
          <w:tcPr>
            <w:tcW w:w="6482" w:type="dxa"/>
          </w:tcPr>
          <w:p w14:paraId="4AB795F1" w14:textId="77777777" w:rsidR="0046798B" w:rsidRDefault="00903B5C">
            <w:pPr>
              <w:pStyle w:val="TableParagraph"/>
              <w:spacing w:before="43"/>
              <w:ind w:left="114" w:right="2377"/>
              <w:rPr>
                <w:sz w:val="20"/>
              </w:rPr>
            </w:pPr>
            <w:r>
              <w:rPr>
                <w:sz w:val="20"/>
              </w:rPr>
              <w:t>Innovation and Diffusion (SPID) Database v1.0”, https://doi.org/10.7910/DVN/CVYSR7</w:t>
            </w:r>
          </w:p>
        </w:tc>
      </w:tr>
      <w:tr w:rsidR="0046798B" w14:paraId="4FD0634B" w14:textId="77777777">
        <w:trPr>
          <w:trHeight w:val="1465"/>
        </w:trPr>
        <w:tc>
          <w:tcPr>
            <w:tcW w:w="1711" w:type="dxa"/>
          </w:tcPr>
          <w:p w14:paraId="212CE98D" w14:textId="77777777" w:rsidR="0046798B" w:rsidRDefault="0046798B">
            <w:pPr>
              <w:pStyle w:val="TableParagraph"/>
            </w:pPr>
          </w:p>
          <w:p w14:paraId="53088756" w14:textId="77777777" w:rsidR="0046798B" w:rsidRDefault="0046798B">
            <w:pPr>
              <w:pStyle w:val="TableParagraph"/>
              <w:spacing w:before="8"/>
              <w:rPr>
                <w:sz w:val="21"/>
              </w:rPr>
            </w:pPr>
          </w:p>
          <w:p w14:paraId="093CCFF4" w14:textId="77777777" w:rsidR="0046798B" w:rsidRDefault="00903B5C">
            <w:pPr>
              <w:pStyle w:val="TableParagraph"/>
              <w:spacing w:before="1"/>
              <w:ind w:left="115"/>
              <w:rPr>
                <w:b/>
                <w:sz w:val="20"/>
              </w:rPr>
            </w:pPr>
            <w:r>
              <w:rPr>
                <w:b/>
                <w:sz w:val="20"/>
              </w:rPr>
              <w:t>vendor_and_pur chaser_risk_act</w:t>
            </w:r>
          </w:p>
        </w:tc>
        <w:tc>
          <w:tcPr>
            <w:tcW w:w="1596" w:type="dxa"/>
          </w:tcPr>
          <w:p w14:paraId="7D0271B8" w14:textId="77777777" w:rsidR="0046798B" w:rsidRDefault="00903B5C">
            <w:pPr>
              <w:pStyle w:val="TableParagraph"/>
              <w:spacing w:before="43"/>
              <w:ind w:left="114" w:right="124"/>
              <w:rPr>
                <w:sz w:val="20"/>
              </w:rPr>
            </w:pPr>
            <w:r>
              <w:rPr>
                <w:sz w:val="20"/>
              </w:rPr>
              <w:t xml:space="preserve">Protect the purchaser of </w:t>
            </w:r>
            <w:r>
              <w:rPr>
                <w:spacing w:val="-5"/>
                <w:sz w:val="20"/>
              </w:rPr>
              <w:t xml:space="preserve">real </w:t>
            </w:r>
            <w:r>
              <w:rPr>
                <w:sz w:val="20"/>
              </w:rPr>
              <w:t>estate where there is a binding contract of</w:t>
            </w:r>
            <w:r>
              <w:rPr>
                <w:spacing w:val="-2"/>
                <w:sz w:val="20"/>
              </w:rPr>
              <w:t xml:space="preserve"> </w:t>
            </w:r>
            <w:r>
              <w:rPr>
                <w:sz w:val="20"/>
              </w:rPr>
              <w:t>sale</w:t>
            </w:r>
          </w:p>
        </w:tc>
        <w:tc>
          <w:tcPr>
            <w:tcW w:w="1285" w:type="dxa"/>
          </w:tcPr>
          <w:p w14:paraId="61D194E1" w14:textId="77777777" w:rsidR="0046798B" w:rsidRDefault="0046798B">
            <w:pPr>
              <w:pStyle w:val="TableParagraph"/>
            </w:pPr>
          </w:p>
          <w:p w14:paraId="40497173" w14:textId="77777777" w:rsidR="0046798B" w:rsidRDefault="0046798B">
            <w:pPr>
              <w:pStyle w:val="TableParagraph"/>
              <w:spacing w:before="8"/>
              <w:rPr>
                <w:sz w:val="31"/>
              </w:rPr>
            </w:pPr>
          </w:p>
          <w:p w14:paraId="5C923054" w14:textId="77777777" w:rsidR="0046798B" w:rsidRDefault="00903B5C">
            <w:pPr>
              <w:pStyle w:val="TableParagraph"/>
              <w:spacing w:before="1"/>
              <w:ind w:left="114"/>
              <w:rPr>
                <w:sz w:val="20"/>
              </w:rPr>
            </w:pPr>
            <w:r>
              <w:rPr>
                <w:sz w:val="20"/>
              </w:rPr>
              <w:t>1937–1997</w:t>
            </w:r>
          </w:p>
        </w:tc>
        <w:tc>
          <w:tcPr>
            <w:tcW w:w="3421" w:type="dxa"/>
          </w:tcPr>
          <w:p w14:paraId="6F54E167" w14:textId="77777777" w:rsidR="0046798B" w:rsidRDefault="0046798B">
            <w:pPr>
              <w:pStyle w:val="TableParagraph"/>
            </w:pPr>
          </w:p>
          <w:p w14:paraId="265812EC" w14:textId="77777777" w:rsidR="0046798B" w:rsidRDefault="0046798B">
            <w:pPr>
              <w:pStyle w:val="TableParagraph"/>
              <w:spacing w:before="8"/>
              <w:rPr>
                <w:sz w:val="21"/>
              </w:rPr>
            </w:pPr>
          </w:p>
          <w:p w14:paraId="1BDAADCB" w14:textId="77777777" w:rsidR="0046798B" w:rsidRDefault="00903B5C">
            <w:pPr>
              <w:pStyle w:val="TableParagraph"/>
              <w:spacing w:before="1"/>
              <w:ind w:left="114" w:right="1475"/>
              <w:rPr>
                <w:sz w:val="20"/>
              </w:rPr>
            </w:pPr>
            <w:r>
              <w:rPr>
                <w:sz w:val="20"/>
              </w:rPr>
              <w:t>0 = policy not adopted 1 = policy adopted</w:t>
            </w:r>
          </w:p>
        </w:tc>
        <w:tc>
          <w:tcPr>
            <w:tcW w:w="6482" w:type="dxa"/>
          </w:tcPr>
          <w:p w14:paraId="2F4A1838" w14:textId="77777777" w:rsidR="0046798B" w:rsidRDefault="00903B5C">
            <w:pPr>
              <w:pStyle w:val="TableParagraph"/>
              <w:spacing w:before="43"/>
              <w:ind w:left="114"/>
              <w:rPr>
                <w:sz w:val="20"/>
              </w:rPr>
            </w:pPr>
            <w:r>
              <w:rPr>
                <w:sz w:val="20"/>
              </w:rPr>
              <w:t xml:space="preserve">Uniform Law Commission website: </w:t>
            </w:r>
            <w:hyperlink r:id="rId1010">
              <w:r>
                <w:rPr>
                  <w:color w:val="0462C1"/>
                  <w:sz w:val="20"/>
                  <w:u w:val="single" w:color="0462C1"/>
                </w:rPr>
                <w:t>http://www.uniformlaws.org/</w:t>
              </w:r>
            </w:hyperlink>
          </w:p>
          <w:p w14:paraId="488FDD28" w14:textId="77777777" w:rsidR="0046798B" w:rsidRDefault="0046798B">
            <w:pPr>
              <w:pStyle w:val="TableParagraph"/>
              <w:rPr>
                <w:sz w:val="20"/>
              </w:rPr>
            </w:pPr>
          </w:p>
          <w:p w14:paraId="522425F1"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5DEE325C" w14:textId="77777777">
        <w:trPr>
          <w:trHeight w:val="1470"/>
        </w:trPr>
        <w:tc>
          <w:tcPr>
            <w:tcW w:w="1711" w:type="dxa"/>
          </w:tcPr>
          <w:p w14:paraId="087E1ECC" w14:textId="77777777" w:rsidR="0046798B" w:rsidRDefault="0046798B">
            <w:pPr>
              <w:pStyle w:val="TableParagraph"/>
            </w:pPr>
          </w:p>
          <w:p w14:paraId="697036D2" w14:textId="77777777" w:rsidR="0046798B" w:rsidRDefault="00903B5C">
            <w:pPr>
              <w:pStyle w:val="TableParagraph"/>
              <w:spacing w:before="135"/>
              <w:ind w:left="115" w:right="130"/>
              <w:jc w:val="both"/>
              <w:rPr>
                <w:b/>
                <w:sz w:val="20"/>
              </w:rPr>
            </w:pPr>
            <w:r>
              <w:rPr>
                <w:b/>
                <w:sz w:val="20"/>
              </w:rPr>
              <w:t>voidable_transac tions_act_amend m</w:t>
            </w:r>
          </w:p>
        </w:tc>
        <w:tc>
          <w:tcPr>
            <w:tcW w:w="1596" w:type="dxa"/>
          </w:tcPr>
          <w:p w14:paraId="10F417C5" w14:textId="77777777" w:rsidR="0046798B" w:rsidRDefault="0046798B">
            <w:pPr>
              <w:pStyle w:val="TableParagraph"/>
            </w:pPr>
          </w:p>
          <w:p w14:paraId="7F408F3E" w14:textId="77777777" w:rsidR="0046798B" w:rsidRDefault="00903B5C">
            <w:pPr>
              <w:pStyle w:val="TableParagraph"/>
              <w:spacing w:before="135"/>
              <w:ind w:left="114" w:right="507"/>
              <w:rPr>
                <w:sz w:val="20"/>
              </w:rPr>
            </w:pPr>
            <w:r>
              <w:rPr>
                <w:sz w:val="20"/>
              </w:rPr>
              <w:t>Strengthens creditor protections</w:t>
            </w:r>
          </w:p>
        </w:tc>
        <w:tc>
          <w:tcPr>
            <w:tcW w:w="1285" w:type="dxa"/>
          </w:tcPr>
          <w:p w14:paraId="6AC443F1" w14:textId="77777777" w:rsidR="0046798B" w:rsidRDefault="0046798B">
            <w:pPr>
              <w:pStyle w:val="TableParagraph"/>
            </w:pPr>
          </w:p>
          <w:p w14:paraId="066F6FA9" w14:textId="77777777" w:rsidR="0046798B" w:rsidRDefault="0046798B">
            <w:pPr>
              <w:pStyle w:val="TableParagraph"/>
              <w:spacing w:before="9"/>
              <w:rPr>
                <w:sz w:val="31"/>
              </w:rPr>
            </w:pPr>
          </w:p>
          <w:p w14:paraId="7C1B6AA7" w14:textId="77777777" w:rsidR="0046798B" w:rsidRDefault="00903B5C">
            <w:pPr>
              <w:pStyle w:val="TableParagraph"/>
              <w:ind w:left="114"/>
              <w:rPr>
                <w:sz w:val="20"/>
              </w:rPr>
            </w:pPr>
            <w:r>
              <w:rPr>
                <w:sz w:val="20"/>
              </w:rPr>
              <w:t>2015–2017</w:t>
            </w:r>
          </w:p>
        </w:tc>
        <w:tc>
          <w:tcPr>
            <w:tcW w:w="3421" w:type="dxa"/>
          </w:tcPr>
          <w:p w14:paraId="42D774B7" w14:textId="77777777" w:rsidR="0046798B" w:rsidRDefault="0046798B">
            <w:pPr>
              <w:pStyle w:val="TableParagraph"/>
            </w:pPr>
          </w:p>
          <w:p w14:paraId="5EA5679F" w14:textId="77777777" w:rsidR="0046798B" w:rsidRDefault="0046798B">
            <w:pPr>
              <w:pStyle w:val="TableParagraph"/>
              <w:spacing w:before="9"/>
              <w:rPr>
                <w:sz w:val="21"/>
              </w:rPr>
            </w:pPr>
          </w:p>
          <w:p w14:paraId="0A85221F" w14:textId="77777777" w:rsidR="0046798B" w:rsidRDefault="00903B5C">
            <w:pPr>
              <w:pStyle w:val="TableParagraph"/>
              <w:ind w:left="114" w:right="1475"/>
              <w:rPr>
                <w:sz w:val="20"/>
              </w:rPr>
            </w:pPr>
            <w:r>
              <w:rPr>
                <w:sz w:val="20"/>
              </w:rPr>
              <w:t>0 = policy not adopted 1 = policy adopted</w:t>
            </w:r>
          </w:p>
        </w:tc>
        <w:tc>
          <w:tcPr>
            <w:tcW w:w="6482" w:type="dxa"/>
          </w:tcPr>
          <w:p w14:paraId="307AAD32" w14:textId="77777777" w:rsidR="0046798B" w:rsidRDefault="00903B5C">
            <w:pPr>
              <w:pStyle w:val="TableParagraph"/>
              <w:spacing w:before="43"/>
              <w:ind w:left="114"/>
              <w:rPr>
                <w:sz w:val="20"/>
              </w:rPr>
            </w:pPr>
            <w:r>
              <w:rPr>
                <w:sz w:val="20"/>
              </w:rPr>
              <w:t xml:space="preserve">Uniform Law Commission website: </w:t>
            </w:r>
            <w:hyperlink r:id="rId1011">
              <w:r>
                <w:rPr>
                  <w:color w:val="0462C1"/>
                  <w:sz w:val="20"/>
                  <w:u w:val="single" w:color="0462C1"/>
                </w:rPr>
                <w:t>http://www.uniformlaws.org/</w:t>
              </w:r>
            </w:hyperlink>
          </w:p>
          <w:p w14:paraId="6D5317E6" w14:textId="77777777" w:rsidR="0046798B" w:rsidRDefault="0046798B">
            <w:pPr>
              <w:pStyle w:val="TableParagraph"/>
              <w:rPr>
                <w:sz w:val="20"/>
              </w:rPr>
            </w:pPr>
          </w:p>
          <w:p w14:paraId="27C8D05C"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090F6A54" w14:textId="77777777">
        <w:trPr>
          <w:trHeight w:val="1923"/>
        </w:trPr>
        <w:tc>
          <w:tcPr>
            <w:tcW w:w="1711" w:type="dxa"/>
            <w:tcBorders>
              <w:bottom w:val="dotted" w:sz="6" w:space="0" w:color="BEBEBE"/>
            </w:tcBorders>
          </w:tcPr>
          <w:p w14:paraId="160EE491" w14:textId="77777777" w:rsidR="0046798B" w:rsidRDefault="0046798B">
            <w:pPr>
              <w:pStyle w:val="TableParagraph"/>
            </w:pPr>
          </w:p>
          <w:p w14:paraId="54634CCA" w14:textId="77777777" w:rsidR="0046798B" w:rsidRDefault="0046798B">
            <w:pPr>
              <w:pStyle w:val="TableParagraph"/>
            </w:pPr>
          </w:p>
          <w:p w14:paraId="0085D17B" w14:textId="77777777" w:rsidR="0046798B" w:rsidRDefault="0046798B">
            <w:pPr>
              <w:pStyle w:val="TableParagraph"/>
              <w:spacing w:before="4"/>
              <w:rPr>
                <w:sz w:val="19"/>
              </w:rPr>
            </w:pPr>
          </w:p>
          <w:p w14:paraId="28C204F9" w14:textId="77777777" w:rsidR="0046798B" w:rsidRDefault="00903B5C">
            <w:pPr>
              <w:pStyle w:val="TableParagraph"/>
              <w:ind w:left="115"/>
              <w:rPr>
                <w:b/>
                <w:sz w:val="20"/>
              </w:rPr>
            </w:pPr>
            <w:r>
              <w:rPr>
                <w:b/>
                <w:sz w:val="20"/>
              </w:rPr>
              <w:t>wills_recognition</w:t>
            </w:r>
          </w:p>
          <w:p w14:paraId="36457B28" w14:textId="77777777" w:rsidR="0046798B" w:rsidRDefault="00903B5C">
            <w:pPr>
              <w:pStyle w:val="TableParagraph"/>
              <w:ind w:left="115"/>
              <w:rPr>
                <w:b/>
                <w:sz w:val="20"/>
              </w:rPr>
            </w:pPr>
            <w:r>
              <w:rPr>
                <w:b/>
                <w:sz w:val="20"/>
              </w:rPr>
              <w:t>_act</w:t>
            </w:r>
          </w:p>
        </w:tc>
        <w:tc>
          <w:tcPr>
            <w:tcW w:w="1596" w:type="dxa"/>
            <w:tcBorders>
              <w:bottom w:val="dotted" w:sz="6" w:space="0" w:color="BEBEBE"/>
            </w:tcBorders>
          </w:tcPr>
          <w:p w14:paraId="22928370" w14:textId="77777777" w:rsidR="0046798B" w:rsidRDefault="00903B5C">
            <w:pPr>
              <w:pStyle w:val="TableParagraph"/>
              <w:spacing w:before="38"/>
              <w:ind w:left="114" w:right="169"/>
              <w:rPr>
                <w:sz w:val="20"/>
              </w:rPr>
            </w:pPr>
            <w:r>
              <w:rPr>
                <w:sz w:val="20"/>
              </w:rPr>
              <w:t>International convention calling for all countries and states to adopt a uniform formality for executing wills</w:t>
            </w:r>
          </w:p>
        </w:tc>
        <w:tc>
          <w:tcPr>
            <w:tcW w:w="1285" w:type="dxa"/>
            <w:tcBorders>
              <w:bottom w:val="dotted" w:sz="6" w:space="0" w:color="BEBEBE"/>
            </w:tcBorders>
          </w:tcPr>
          <w:p w14:paraId="69C93002" w14:textId="77777777" w:rsidR="0046798B" w:rsidRDefault="0046798B">
            <w:pPr>
              <w:pStyle w:val="TableParagraph"/>
            </w:pPr>
          </w:p>
          <w:p w14:paraId="6643B223" w14:textId="77777777" w:rsidR="0046798B" w:rsidRDefault="0046798B">
            <w:pPr>
              <w:pStyle w:val="TableParagraph"/>
            </w:pPr>
          </w:p>
          <w:p w14:paraId="4E15DAC1" w14:textId="77777777" w:rsidR="0046798B" w:rsidRDefault="0046798B">
            <w:pPr>
              <w:pStyle w:val="TableParagraph"/>
              <w:spacing w:before="4"/>
              <w:rPr>
                <w:sz w:val="29"/>
              </w:rPr>
            </w:pPr>
          </w:p>
          <w:p w14:paraId="3776097D" w14:textId="77777777" w:rsidR="0046798B" w:rsidRDefault="00903B5C">
            <w:pPr>
              <w:pStyle w:val="TableParagraph"/>
              <w:ind w:left="114"/>
              <w:rPr>
                <w:sz w:val="20"/>
              </w:rPr>
            </w:pPr>
            <w:r>
              <w:rPr>
                <w:sz w:val="20"/>
              </w:rPr>
              <w:t>1978–2010</w:t>
            </w:r>
          </w:p>
        </w:tc>
        <w:tc>
          <w:tcPr>
            <w:tcW w:w="3421" w:type="dxa"/>
            <w:tcBorders>
              <w:bottom w:val="dotted" w:sz="6" w:space="0" w:color="BEBEBE"/>
            </w:tcBorders>
          </w:tcPr>
          <w:p w14:paraId="4656BF0D" w14:textId="77777777" w:rsidR="0046798B" w:rsidRDefault="0046798B">
            <w:pPr>
              <w:pStyle w:val="TableParagraph"/>
            </w:pPr>
          </w:p>
          <w:p w14:paraId="08EC29DF" w14:textId="77777777" w:rsidR="0046798B" w:rsidRDefault="0046798B">
            <w:pPr>
              <w:pStyle w:val="TableParagraph"/>
            </w:pPr>
          </w:p>
          <w:p w14:paraId="670F02D0" w14:textId="77777777" w:rsidR="0046798B" w:rsidRDefault="0046798B">
            <w:pPr>
              <w:pStyle w:val="TableParagraph"/>
              <w:spacing w:before="4"/>
              <w:rPr>
                <w:sz w:val="19"/>
              </w:rPr>
            </w:pPr>
          </w:p>
          <w:p w14:paraId="45EBC53F" w14:textId="77777777" w:rsidR="0046798B" w:rsidRDefault="00903B5C">
            <w:pPr>
              <w:pStyle w:val="TableParagraph"/>
              <w:ind w:left="114" w:right="1475"/>
              <w:rPr>
                <w:sz w:val="20"/>
              </w:rPr>
            </w:pPr>
            <w:r>
              <w:rPr>
                <w:sz w:val="20"/>
              </w:rPr>
              <w:t>0 = policy not adopted 1 = policy adopted</w:t>
            </w:r>
          </w:p>
        </w:tc>
        <w:tc>
          <w:tcPr>
            <w:tcW w:w="6482" w:type="dxa"/>
            <w:tcBorders>
              <w:bottom w:val="dotted" w:sz="6" w:space="0" w:color="BEBEBE"/>
            </w:tcBorders>
          </w:tcPr>
          <w:p w14:paraId="00FADA02" w14:textId="77777777" w:rsidR="0046798B" w:rsidRDefault="0046798B">
            <w:pPr>
              <w:pStyle w:val="TableParagraph"/>
              <w:spacing w:before="4"/>
              <w:rPr>
                <w:sz w:val="23"/>
              </w:rPr>
            </w:pPr>
          </w:p>
          <w:p w14:paraId="328A2338" w14:textId="77777777" w:rsidR="0046798B" w:rsidRDefault="00903B5C">
            <w:pPr>
              <w:pStyle w:val="TableParagraph"/>
              <w:ind w:left="114"/>
              <w:rPr>
                <w:sz w:val="20"/>
              </w:rPr>
            </w:pPr>
            <w:r>
              <w:rPr>
                <w:sz w:val="20"/>
              </w:rPr>
              <w:t xml:space="preserve">Uniform Law Commission website: </w:t>
            </w:r>
            <w:hyperlink r:id="rId1012">
              <w:r>
                <w:rPr>
                  <w:color w:val="0462C1"/>
                  <w:sz w:val="20"/>
                  <w:u w:val="single" w:color="0462C1"/>
                </w:rPr>
                <w:t>http://www.uniformlaws.org/</w:t>
              </w:r>
            </w:hyperlink>
          </w:p>
          <w:p w14:paraId="7875E06D" w14:textId="77777777" w:rsidR="0046798B" w:rsidRDefault="0046798B">
            <w:pPr>
              <w:pStyle w:val="TableParagraph"/>
              <w:rPr>
                <w:sz w:val="20"/>
              </w:rPr>
            </w:pPr>
          </w:p>
          <w:p w14:paraId="5D2FAD12" w14:textId="77777777" w:rsidR="0046798B" w:rsidRDefault="00903B5C">
            <w:pPr>
              <w:pStyle w:val="TableParagraph"/>
              <w:ind w:left="114" w:right="156"/>
              <w:rPr>
                <w:sz w:val="20"/>
              </w:rPr>
            </w:pPr>
            <w:r>
              <w:rPr>
                <w:sz w:val="20"/>
              </w:rPr>
              <w:t>Frederick J. Boehmke; Mark Brockway; Bruce Desmarais; Jeffrey J. Harden; Scott LaCombe; Fridolin Linder; Hanna Wallach, 2018, “State Policy Innovation and Diffusion (SPID) Database v1.0”, https://doi.org/10.7910/DVN/CVYSR7</w:t>
            </w:r>
          </w:p>
        </w:tc>
      </w:tr>
      <w:tr w:rsidR="0046798B" w14:paraId="673BED49" w14:textId="77777777">
        <w:trPr>
          <w:trHeight w:val="1003"/>
        </w:trPr>
        <w:tc>
          <w:tcPr>
            <w:tcW w:w="1711" w:type="dxa"/>
            <w:tcBorders>
              <w:top w:val="dotted" w:sz="6" w:space="0" w:color="BEBEBE"/>
            </w:tcBorders>
          </w:tcPr>
          <w:p w14:paraId="2F6EC360" w14:textId="77777777" w:rsidR="0046798B" w:rsidRDefault="0046798B">
            <w:pPr>
              <w:pStyle w:val="TableParagraph"/>
            </w:pPr>
          </w:p>
          <w:p w14:paraId="474A0FD1" w14:textId="77777777" w:rsidR="0046798B" w:rsidRDefault="00903B5C">
            <w:pPr>
              <w:pStyle w:val="TableParagraph"/>
              <w:spacing w:before="128"/>
              <w:ind w:left="115"/>
              <w:rPr>
                <w:b/>
                <w:sz w:val="20"/>
              </w:rPr>
            </w:pPr>
            <w:r>
              <w:rPr>
                <w:b/>
                <w:sz w:val="20"/>
              </w:rPr>
              <w:t>dfwks1</w:t>
            </w:r>
          </w:p>
        </w:tc>
        <w:tc>
          <w:tcPr>
            <w:tcW w:w="1596" w:type="dxa"/>
            <w:tcBorders>
              <w:top w:val="dotted" w:sz="6" w:space="0" w:color="BEBEBE"/>
            </w:tcBorders>
          </w:tcPr>
          <w:p w14:paraId="7F4DABE0" w14:textId="77777777" w:rsidR="0046798B" w:rsidRDefault="00903B5C">
            <w:pPr>
              <w:pStyle w:val="TableParagraph"/>
              <w:spacing w:before="35"/>
              <w:ind w:left="114" w:right="119"/>
              <w:rPr>
                <w:sz w:val="20"/>
              </w:rPr>
            </w:pPr>
            <w:r>
              <w:rPr>
                <w:sz w:val="20"/>
              </w:rPr>
              <w:t>Roman candles, firecrackers, and skyrockets permitted</w:t>
            </w:r>
          </w:p>
        </w:tc>
        <w:tc>
          <w:tcPr>
            <w:tcW w:w="1285" w:type="dxa"/>
            <w:tcBorders>
              <w:top w:val="dotted" w:sz="6" w:space="0" w:color="BEBEBE"/>
            </w:tcBorders>
          </w:tcPr>
          <w:p w14:paraId="61C7A03E" w14:textId="77777777" w:rsidR="0046798B" w:rsidRDefault="0046798B">
            <w:pPr>
              <w:pStyle w:val="TableParagraph"/>
            </w:pPr>
          </w:p>
          <w:p w14:paraId="425B4BB5" w14:textId="77777777" w:rsidR="0046798B" w:rsidRDefault="00903B5C">
            <w:pPr>
              <w:pStyle w:val="TableParagraph"/>
              <w:spacing w:before="128"/>
              <w:ind w:left="114"/>
              <w:rPr>
                <w:sz w:val="20"/>
              </w:rPr>
            </w:pPr>
            <w:r>
              <w:rPr>
                <w:sz w:val="20"/>
              </w:rPr>
              <w:t>2000–2016</w:t>
            </w:r>
          </w:p>
        </w:tc>
        <w:tc>
          <w:tcPr>
            <w:tcW w:w="3421" w:type="dxa"/>
            <w:tcBorders>
              <w:top w:val="dotted" w:sz="6" w:space="0" w:color="BEBEBE"/>
            </w:tcBorders>
          </w:tcPr>
          <w:p w14:paraId="437428C8" w14:textId="77777777" w:rsidR="0046798B" w:rsidRDefault="00903B5C">
            <w:pPr>
              <w:pStyle w:val="TableParagraph"/>
              <w:spacing w:before="150"/>
              <w:ind w:left="114" w:right="288"/>
              <w:rPr>
                <w:sz w:val="20"/>
              </w:rPr>
            </w:pPr>
            <w:r>
              <w:rPr>
                <w:sz w:val="20"/>
              </w:rPr>
              <w:t>Roman candles, firecrackers, and skyrockets permitted, size limitations OK (0 = no, 1 = yes)</w:t>
            </w:r>
          </w:p>
        </w:tc>
        <w:tc>
          <w:tcPr>
            <w:tcW w:w="6482" w:type="dxa"/>
            <w:tcBorders>
              <w:top w:val="dotted" w:sz="6" w:space="0" w:color="BEBEBE"/>
            </w:tcBorders>
          </w:tcPr>
          <w:p w14:paraId="5A4D6C2D" w14:textId="77777777" w:rsidR="0046798B" w:rsidRDefault="00903B5C">
            <w:pPr>
              <w:pStyle w:val="TableParagraph"/>
              <w:spacing w:before="150"/>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C88C4F8" w14:textId="77777777">
        <w:trPr>
          <w:trHeight w:val="775"/>
        </w:trPr>
        <w:tc>
          <w:tcPr>
            <w:tcW w:w="1711" w:type="dxa"/>
          </w:tcPr>
          <w:p w14:paraId="010AFBCA" w14:textId="77777777" w:rsidR="0046798B" w:rsidRDefault="0046798B">
            <w:pPr>
              <w:pStyle w:val="TableParagraph"/>
              <w:spacing w:before="3"/>
              <w:rPr>
                <w:sz w:val="23"/>
              </w:rPr>
            </w:pPr>
          </w:p>
          <w:p w14:paraId="1D6A27F0" w14:textId="77777777" w:rsidR="0046798B" w:rsidRDefault="00903B5C">
            <w:pPr>
              <w:pStyle w:val="TableParagraph"/>
              <w:ind w:left="115"/>
              <w:rPr>
                <w:b/>
                <w:sz w:val="20"/>
              </w:rPr>
            </w:pPr>
            <w:r>
              <w:rPr>
                <w:b/>
                <w:sz w:val="20"/>
              </w:rPr>
              <w:t>dfwks2</w:t>
            </w:r>
          </w:p>
        </w:tc>
        <w:tc>
          <w:tcPr>
            <w:tcW w:w="1596" w:type="dxa"/>
          </w:tcPr>
          <w:p w14:paraId="0C8AD478" w14:textId="77777777" w:rsidR="0046798B" w:rsidRDefault="00903B5C">
            <w:pPr>
              <w:pStyle w:val="TableParagraph"/>
              <w:spacing w:before="38"/>
              <w:ind w:left="114" w:right="235"/>
              <w:rPr>
                <w:sz w:val="20"/>
              </w:rPr>
            </w:pPr>
            <w:r>
              <w:rPr>
                <w:sz w:val="20"/>
              </w:rPr>
              <w:t>Some federally permitted fireworks legal</w:t>
            </w:r>
          </w:p>
        </w:tc>
        <w:tc>
          <w:tcPr>
            <w:tcW w:w="1285" w:type="dxa"/>
          </w:tcPr>
          <w:p w14:paraId="4505BA00" w14:textId="77777777" w:rsidR="0046798B" w:rsidRDefault="0046798B">
            <w:pPr>
              <w:pStyle w:val="TableParagraph"/>
              <w:spacing w:before="3"/>
              <w:rPr>
                <w:sz w:val="23"/>
              </w:rPr>
            </w:pPr>
          </w:p>
          <w:p w14:paraId="07BD6F41" w14:textId="77777777" w:rsidR="0046798B" w:rsidRDefault="00903B5C">
            <w:pPr>
              <w:pStyle w:val="TableParagraph"/>
              <w:ind w:left="114"/>
              <w:rPr>
                <w:sz w:val="20"/>
              </w:rPr>
            </w:pPr>
            <w:r>
              <w:rPr>
                <w:sz w:val="20"/>
              </w:rPr>
              <w:t>2000–2016</w:t>
            </w:r>
          </w:p>
        </w:tc>
        <w:tc>
          <w:tcPr>
            <w:tcW w:w="3421" w:type="dxa"/>
          </w:tcPr>
          <w:p w14:paraId="0961B2EF" w14:textId="77777777" w:rsidR="0046798B" w:rsidRDefault="00903B5C">
            <w:pPr>
              <w:pStyle w:val="TableParagraph"/>
              <w:spacing w:before="153"/>
              <w:ind w:left="114" w:right="205"/>
              <w:rPr>
                <w:sz w:val="20"/>
              </w:rPr>
            </w:pPr>
            <w:r>
              <w:rPr>
                <w:sz w:val="20"/>
              </w:rPr>
              <w:t>Some federally permitted fireworks legal (0 = no, 1 = yes)</w:t>
            </w:r>
          </w:p>
        </w:tc>
        <w:tc>
          <w:tcPr>
            <w:tcW w:w="6482" w:type="dxa"/>
          </w:tcPr>
          <w:p w14:paraId="041A35A6" w14:textId="77777777" w:rsidR="0046798B" w:rsidRDefault="00903B5C">
            <w:pPr>
              <w:pStyle w:val="TableParagraph"/>
              <w:spacing w:before="3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AC335F2" w14:textId="77777777">
        <w:trPr>
          <w:trHeight w:val="1005"/>
        </w:trPr>
        <w:tc>
          <w:tcPr>
            <w:tcW w:w="1711" w:type="dxa"/>
          </w:tcPr>
          <w:p w14:paraId="25F9499E" w14:textId="77777777" w:rsidR="0046798B" w:rsidRDefault="0046798B">
            <w:pPr>
              <w:pStyle w:val="TableParagraph"/>
            </w:pPr>
          </w:p>
          <w:p w14:paraId="6789FF0C" w14:textId="77777777" w:rsidR="0046798B" w:rsidRDefault="00903B5C">
            <w:pPr>
              <w:pStyle w:val="TableParagraph"/>
              <w:spacing w:before="135"/>
              <w:ind w:left="115"/>
              <w:rPr>
                <w:b/>
                <w:sz w:val="20"/>
              </w:rPr>
            </w:pPr>
            <w:r>
              <w:rPr>
                <w:b/>
                <w:sz w:val="20"/>
              </w:rPr>
              <w:t>dfwks3</w:t>
            </w:r>
          </w:p>
        </w:tc>
        <w:tc>
          <w:tcPr>
            <w:tcW w:w="1596" w:type="dxa"/>
          </w:tcPr>
          <w:p w14:paraId="340A6898" w14:textId="77777777" w:rsidR="0046798B" w:rsidRDefault="00903B5C">
            <w:pPr>
              <w:pStyle w:val="TableParagraph"/>
              <w:spacing w:before="43"/>
              <w:ind w:left="114" w:right="291"/>
              <w:rPr>
                <w:sz w:val="20"/>
              </w:rPr>
            </w:pPr>
            <w:r>
              <w:rPr>
                <w:sz w:val="20"/>
              </w:rPr>
              <w:t>Wire or wood sticks and/or novelty sparklers legal</w:t>
            </w:r>
          </w:p>
        </w:tc>
        <w:tc>
          <w:tcPr>
            <w:tcW w:w="1285" w:type="dxa"/>
          </w:tcPr>
          <w:p w14:paraId="0E5B6504" w14:textId="77777777" w:rsidR="0046798B" w:rsidRDefault="0046798B">
            <w:pPr>
              <w:pStyle w:val="TableParagraph"/>
            </w:pPr>
          </w:p>
          <w:p w14:paraId="633EFD1A" w14:textId="77777777" w:rsidR="0046798B" w:rsidRDefault="00903B5C">
            <w:pPr>
              <w:pStyle w:val="TableParagraph"/>
              <w:spacing w:before="135"/>
              <w:ind w:left="114"/>
              <w:rPr>
                <w:sz w:val="20"/>
              </w:rPr>
            </w:pPr>
            <w:r>
              <w:rPr>
                <w:sz w:val="20"/>
              </w:rPr>
              <w:t>2000–2016</w:t>
            </w:r>
          </w:p>
        </w:tc>
        <w:tc>
          <w:tcPr>
            <w:tcW w:w="3421" w:type="dxa"/>
          </w:tcPr>
          <w:p w14:paraId="0280C68F" w14:textId="77777777" w:rsidR="0046798B" w:rsidRDefault="0046798B">
            <w:pPr>
              <w:pStyle w:val="TableParagraph"/>
              <w:spacing w:before="9"/>
              <w:rPr>
                <w:sz w:val="23"/>
              </w:rPr>
            </w:pPr>
          </w:p>
          <w:p w14:paraId="214E15F2" w14:textId="77777777" w:rsidR="0046798B" w:rsidRDefault="00903B5C">
            <w:pPr>
              <w:pStyle w:val="TableParagraph"/>
              <w:ind w:left="114" w:right="449"/>
              <w:rPr>
                <w:sz w:val="20"/>
              </w:rPr>
            </w:pPr>
            <w:r>
              <w:rPr>
                <w:sz w:val="20"/>
              </w:rPr>
              <w:t>Wire or wood sticks and/or novelty sparklers legal (0 = no, 1 = yes)</w:t>
            </w:r>
          </w:p>
        </w:tc>
        <w:tc>
          <w:tcPr>
            <w:tcW w:w="6482" w:type="dxa"/>
          </w:tcPr>
          <w:p w14:paraId="4BACAF05"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28B95CE" w14:textId="77777777">
        <w:trPr>
          <w:trHeight w:val="775"/>
        </w:trPr>
        <w:tc>
          <w:tcPr>
            <w:tcW w:w="1711" w:type="dxa"/>
          </w:tcPr>
          <w:p w14:paraId="6DF96AAA" w14:textId="77777777" w:rsidR="0046798B" w:rsidRDefault="0046798B">
            <w:pPr>
              <w:pStyle w:val="TableParagraph"/>
              <w:spacing w:before="8"/>
              <w:rPr>
                <w:sz w:val="23"/>
              </w:rPr>
            </w:pPr>
          </w:p>
          <w:p w14:paraId="147DEF3A" w14:textId="77777777" w:rsidR="0046798B" w:rsidRDefault="00903B5C">
            <w:pPr>
              <w:pStyle w:val="TableParagraph"/>
              <w:spacing w:before="1"/>
              <w:ind w:left="115"/>
              <w:rPr>
                <w:b/>
                <w:sz w:val="20"/>
              </w:rPr>
            </w:pPr>
            <w:r>
              <w:rPr>
                <w:b/>
                <w:sz w:val="20"/>
              </w:rPr>
              <w:t>dfwks4</w:t>
            </w:r>
          </w:p>
        </w:tc>
        <w:tc>
          <w:tcPr>
            <w:tcW w:w="1596" w:type="dxa"/>
          </w:tcPr>
          <w:p w14:paraId="3E4F341A" w14:textId="77777777" w:rsidR="0046798B" w:rsidRDefault="00903B5C">
            <w:pPr>
              <w:pStyle w:val="TableParagraph"/>
              <w:spacing w:before="158"/>
              <w:ind w:left="114" w:right="135"/>
              <w:rPr>
                <w:sz w:val="20"/>
              </w:rPr>
            </w:pPr>
            <w:r>
              <w:rPr>
                <w:sz w:val="20"/>
              </w:rPr>
              <w:t>Fireworks sales legal year-round</w:t>
            </w:r>
          </w:p>
        </w:tc>
        <w:tc>
          <w:tcPr>
            <w:tcW w:w="1285" w:type="dxa"/>
          </w:tcPr>
          <w:p w14:paraId="7F8E8D7A" w14:textId="77777777" w:rsidR="0046798B" w:rsidRDefault="0046798B">
            <w:pPr>
              <w:pStyle w:val="TableParagraph"/>
              <w:spacing w:before="8"/>
              <w:rPr>
                <w:sz w:val="23"/>
              </w:rPr>
            </w:pPr>
          </w:p>
          <w:p w14:paraId="1AD67ED4" w14:textId="77777777" w:rsidR="0046798B" w:rsidRDefault="00903B5C">
            <w:pPr>
              <w:pStyle w:val="TableParagraph"/>
              <w:spacing w:before="1"/>
              <w:ind w:left="114"/>
              <w:rPr>
                <w:sz w:val="20"/>
              </w:rPr>
            </w:pPr>
            <w:r>
              <w:rPr>
                <w:sz w:val="20"/>
              </w:rPr>
              <w:t>2000–2016</w:t>
            </w:r>
          </w:p>
        </w:tc>
        <w:tc>
          <w:tcPr>
            <w:tcW w:w="3421" w:type="dxa"/>
          </w:tcPr>
          <w:p w14:paraId="31CC4815" w14:textId="77777777" w:rsidR="0046798B" w:rsidRDefault="00903B5C">
            <w:pPr>
              <w:pStyle w:val="TableParagraph"/>
              <w:spacing w:before="158"/>
              <w:ind w:left="114" w:right="281"/>
              <w:rPr>
                <w:sz w:val="20"/>
              </w:rPr>
            </w:pPr>
            <w:r>
              <w:rPr>
                <w:sz w:val="20"/>
              </w:rPr>
              <w:t>Fireworks sales legal year-round (0 = no, 1 = yes)</w:t>
            </w:r>
          </w:p>
        </w:tc>
        <w:tc>
          <w:tcPr>
            <w:tcW w:w="6482" w:type="dxa"/>
          </w:tcPr>
          <w:p w14:paraId="04F628E5" w14:textId="77777777" w:rsidR="0046798B" w:rsidRDefault="00903B5C">
            <w:pPr>
              <w:pStyle w:val="TableParagraph"/>
              <w:spacing w:before="4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6FFEFE03" w14:textId="77777777" w:rsidR="0046798B" w:rsidRDefault="0046798B">
      <w:pPr>
        <w:rPr>
          <w:sz w:val="20"/>
        </w:rPr>
        <w:sectPr w:rsidR="0046798B">
          <w:pgSz w:w="15840" w:h="12240" w:orient="landscape"/>
          <w:pgMar w:top="1220" w:right="300" w:bottom="980" w:left="820" w:header="730" w:footer="787" w:gutter="0"/>
          <w:cols w:space="720"/>
        </w:sectPr>
      </w:pPr>
    </w:p>
    <w:p w14:paraId="2463B4CC"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7B264F91" w14:textId="77777777">
        <w:trPr>
          <w:trHeight w:val="775"/>
        </w:trPr>
        <w:tc>
          <w:tcPr>
            <w:tcW w:w="1711" w:type="dxa"/>
          </w:tcPr>
          <w:p w14:paraId="201BCBC1" w14:textId="77777777" w:rsidR="0046798B" w:rsidRDefault="0046798B">
            <w:pPr>
              <w:pStyle w:val="TableParagraph"/>
              <w:spacing w:before="9"/>
              <w:rPr>
                <w:sz w:val="23"/>
              </w:rPr>
            </w:pPr>
          </w:p>
          <w:p w14:paraId="65647631" w14:textId="77777777" w:rsidR="0046798B" w:rsidRDefault="00903B5C">
            <w:pPr>
              <w:pStyle w:val="TableParagraph"/>
              <w:ind w:left="115"/>
              <w:rPr>
                <w:b/>
                <w:sz w:val="20"/>
              </w:rPr>
            </w:pPr>
            <w:r>
              <w:rPr>
                <w:b/>
                <w:sz w:val="20"/>
              </w:rPr>
              <w:t>dfirewks</w:t>
            </w:r>
          </w:p>
        </w:tc>
        <w:tc>
          <w:tcPr>
            <w:tcW w:w="1596" w:type="dxa"/>
          </w:tcPr>
          <w:p w14:paraId="5A170FCA" w14:textId="77777777" w:rsidR="0046798B" w:rsidRDefault="0046798B">
            <w:pPr>
              <w:pStyle w:val="TableParagraph"/>
              <w:spacing w:before="9"/>
              <w:rPr>
                <w:sz w:val="23"/>
              </w:rPr>
            </w:pPr>
          </w:p>
          <w:p w14:paraId="41C597FE" w14:textId="77777777" w:rsidR="0046798B" w:rsidRDefault="00903B5C">
            <w:pPr>
              <w:pStyle w:val="TableParagraph"/>
              <w:ind w:left="114"/>
              <w:rPr>
                <w:sz w:val="20"/>
              </w:rPr>
            </w:pPr>
            <w:r>
              <w:rPr>
                <w:sz w:val="20"/>
              </w:rPr>
              <w:t>Fireworks index</w:t>
            </w:r>
          </w:p>
        </w:tc>
        <w:tc>
          <w:tcPr>
            <w:tcW w:w="1285" w:type="dxa"/>
          </w:tcPr>
          <w:p w14:paraId="5464BC6B" w14:textId="77777777" w:rsidR="0046798B" w:rsidRDefault="0046798B">
            <w:pPr>
              <w:pStyle w:val="TableParagraph"/>
              <w:spacing w:before="9"/>
              <w:rPr>
                <w:sz w:val="23"/>
              </w:rPr>
            </w:pPr>
          </w:p>
          <w:p w14:paraId="379D4A36" w14:textId="77777777" w:rsidR="0046798B" w:rsidRDefault="00903B5C">
            <w:pPr>
              <w:pStyle w:val="TableParagraph"/>
              <w:ind w:left="114"/>
              <w:rPr>
                <w:sz w:val="20"/>
              </w:rPr>
            </w:pPr>
            <w:r>
              <w:rPr>
                <w:sz w:val="20"/>
              </w:rPr>
              <w:t>2000–2016</w:t>
            </w:r>
          </w:p>
        </w:tc>
        <w:tc>
          <w:tcPr>
            <w:tcW w:w="3421" w:type="dxa"/>
          </w:tcPr>
          <w:p w14:paraId="2834BE54" w14:textId="77777777" w:rsidR="0046798B" w:rsidRDefault="00903B5C">
            <w:pPr>
              <w:pStyle w:val="TableParagraph"/>
              <w:spacing w:before="158"/>
              <w:ind w:left="114" w:right="246"/>
              <w:rPr>
                <w:sz w:val="20"/>
              </w:rPr>
            </w:pPr>
            <w:r>
              <w:rPr>
                <w:sz w:val="20"/>
              </w:rPr>
              <w:t>Fireworks index: (dfwks1 + dfwks2 + dfwks3) * (0.75 + 0.25 * dfwks4)</w:t>
            </w:r>
          </w:p>
        </w:tc>
        <w:tc>
          <w:tcPr>
            <w:tcW w:w="6482" w:type="dxa"/>
          </w:tcPr>
          <w:p w14:paraId="0A7665A6"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7178966" w14:textId="77777777">
        <w:trPr>
          <w:trHeight w:val="775"/>
        </w:trPr>
        <w:tc>
          <w:tcPr>
            <w:tcW w:w="1711" w:type="dxa"/>
          </w:tcPr>
          <w:p w14:paraId="07C76BB5" w14:textId="77777777" w:rsidR="0046798B" w:rsidRDefault="0046798B">
            <w:pPr>
              <w:pStyle w:val="TableParagraph"/>
              <w:spacing w:before="8"/>
              <w:rPr>
                <w:sz w:val="23"/>
              </w:rPr>
            </w:pPr>
          </w:p>
          <w:p w14:paraId="087BC650" w14:textId="77777777" w:rsidR="0046798B" w:rsidRDefault="00903B5C">
            <w:pPr>
              <w:pStyle w:val="TableParagraph"/>
              <w:spacing w:before="1"/>
              <w:ind w:left="115"/>
              <w:rPr>
                <w:b/>
                <w:sz w:val="20"/>
              </w:rPr>
            </w:pPr>
            <w:r>
              <w:rPr>
                <w:b/>
                <w:sz w:val="20"/>
              </w:rPr>
              <w:t>dmma</w:t>
            </w:r>
          </w:p>
        </w:tc>
        <w:tc>
          <w:tcPr>
            <w:tcW w:w="1596" w:type="dxa"/>
          </w:tcPr>
          <w:p w14:paraId="0F73B073" w14:textId="77777777" w:rsidR="0046798B" w:rsidRDefault="00903B5C">
            <w:pPr>
              <w:pStyle w:val="TableParagraph"/>
              <w:spacing w:before="158"/>
              <w:ind w:left="114" w:right="313"/>
              <w:rPr>
                <w:sz w:val="20"/>
              </w:rPr>
            </w:pPr>
            <w:r>
              <w:rPr>
                <w:sz w:val="20"/>
              </w:rPr>
              <w:t>Mixed martial arts legal</w:t>
            </w:r>
          </w:p>
        </w:tc>
        <w:tc>
          <w:tcPr>
            <w:tcW w:w="1285" w:type="dxa"/>
          </w:tcPr>
          <w:p w14:paraId="6444E6E5" w14:textId="77777777" w:rsidR="0046798B" w:rsidRDefault="0046798B">
            <w:pPr>
              <w:pStyle w:val="TableParagraph"/>
              <w:spacing w:before="8"/>
              <w:rPr>
                <w:sz w:val="23"/>
              </w:rPr>
            </w:pPr>
          </w:p>
          <w:p w14:paraId="425AC518" w14:textId="77777777" w:rsidR="0046798B" w:rsidRDefault="00903B5C">
            <w:pPr>
              <w:pStyle w:val="TableParagraph"/>
              <w:spacing w:before="1"/>
              <w:ind w:left="114"/>
              <w:rPr>
                <w:sz w:val="20"/>
              </w:rPr>
            </w:pPr>
            <w:r>
              <w:rPr>
                <w:sz w:val="20"/>
              </w:rPr>
              <w:t>2000–2016</w:t>
            </w:r>
          </w:p>
        </w:tc>
        <w:tc>
          <w:tcPr>
            <w:tcW w:w="3421" w:type="dxa"/>
          </w:tcPr>
          <w:p w14:paraId="2F4804C2" w14:textId="77777777" w:rsidR="0046798B" w:rsidRDefault="00903B5C">
            <w:pPr>
              <w:pStyle w:val="TableParagraph"/>
              <w:spacing w:before="158"/>
              <w:ind w:left="114" w:right="280"/>
              <w:rPr>
                <w:sz w:val="20"/>
              </w:rPr>
            </w:pPr>
            <w:r>
              <w:rPr>
                <w:sz w:val="20"/>
              </w:rPr>
              <w:t>Mixed martial arts legal? (0 = no, 1 = yes)</w:t>
            </w:r>
          </w:p>
        </w:tc>
        <w:tc>
          <w:tcPr>
            <w:tcW w:w="6482" w:type="dxa"/>
          </w:tcPr>
          <w:p w14:paraId="78EB548C"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5C4510A" w14:textId="77777777">
        <w:trPr>
          <w:trHeight w:val="1471"/>
        </w:trPr>
        <w:tc>
          <w:tcPr>
            <w:tcW w:w="1711" w:type="dxa"/>
          </w:tcPr>
          <w:p w14:paraId="5CFF08B6" w14:textId="77777777" w:rsidR="0046798B" w:rsidRDefault="0046798B">
            <w:pPr>
              <w:pStyle w:val="TableParagraph"/>
            </w:pPr>
          </w:p>
          <w:p w14:paraId="3EFE154B" w14:textId="77777777" w:rsidR="0046798B" w:rsidRDefault="0046798B">
            <w:pPr>
              <w:pStyle w:val="TableParagraph"/>
              <w:spacing w:before="9"/>
              <w:rPr>
                <w:sz w:val="31"/>
              </w:rPr>
            </w:pPr>
          </w:p>
          <w:p w14:paraId="3483BCA8" w14:textId="77777777" w:rsidR="0046798B" w:rsidRDefault="00903B5C">
            <w:pPr>
              <w:pStyle w:val="TableParagraph"/>
              <w:ind w:left="115"/>
              <w:rPr>
                <w:b/>
                <w:sz w:val="20"/>
              </w:rPr>
            </w:pPr>
            <w:r>
              <w:rPr>
                <w:b/>
                <w:sz w:val="20"/>
              </w:rPr>
              <w:t>drawmilk</w:t>
            </w:r>
          </w:p>
        </w:tc>
        <w:tc>
          <w:tcPr>
            <w:tcW w:w="1596" w:type="dxa"/>
          </w:tcPr>
          <w:p w14:paraId="3CE94DC7" w14:textId="77777777" w:rsidR="0046798B" w:rsidRDefault="0046798B">
            <w:pPr>
              <w:pStyle w:val="TableParagraph"/>
              <w:spacing w:before="9"/>
              <w:rPr>
                <w:sz w:val="23"/>
              </w:rPr>
            </w:pPr>
          </w:p>
          <w:p w14:paraId="5D598F7A" w14:textId="77777777" w:rsidR="0046798B" w:rsidRDefault="00903B5C">
            <w:pPr>
              <w:pStyle w:val="TableParagraph"/>
              <w:ind w:left="114" w:right="285"/>
              <w:rPr>
                <w:sz w:val="20"/>
              </w:rPr>
            </w:pPr>
            <w:r>
              <w:rPr>
                <w:sz w:val="20"/>
              </w:rPr>
              <w:t>Raw cow milk sales legal for human consumption</w:t>
            </w:r>
          </w:p>
        </w:tc>
        <w:tc>
          <w:tcPr>
            <w:tcW w:w="1285" w:type="dxa"/>
          </w:tcPr>
          <w:p w14:paraId="4FE22066" w14:textId="77777777" w:rsidR="0046798B" w:rsidRDefault="0046798B">
            <w:pPr>
              <w:pStyle w:val="TableParagraph"/>
            </w:pPr>
          </w:p>
          <w:p w14:paraId="3101C42B" w14:textId="77777777" w:rsidR="0046798B" w:rsidRDefault="0046798B">
            <w:pPr>
              <w:pStyle w:val="TableParagraph"/>
              <w:spacing w:before="9"/>
              <w:rPr>
                <w:sz w:val="31"/>
              </w:rPr>
            </w:pPr>
          </w:p>
          <w:p w14:paraId="2BCF7AAB" w14:textId="77777777" w:rsidR="0046798B" w:rsidRDefault="00903B5C">
            <w:pPr>
              <w:pStyle w:val="TableParagraph"/>
              <w:ind w:left="114"/>
              <w:rPr>
                <w:sz w:val="20"/>
              </w:rPr>
            </w:pPr>
            <w:r>
              <w:rPr>
                <w:sz w:val="20"/>
              </w:rPr>
              <w:t>2000–2016</w:t>
            </w:r>
          </w:p>
        </w:tc>
        <w:tc>
          <w:tcPr>
            <w:tcW w:w="3421" w:type="dxa"/>
          </w:tcPr>
          <w:p w14:paraId="51A1ABD1" w14:textId="77777777" w:rsidR="0046798B" w:rsidRDefault="00903B5C">
            <w:pPr>
              <w:pStyle w:val="TableParagraph"/>
              <w:spacing w:before="44"/>
              <w:ind w:left="114" w:right="355"/>
              <w:rPr>
                <w:sz w:val="20"/>
              </w:rPr>
            </w:pPr>
            <w:r>
              <w:rPr>
                <w:sz w:val="20"/>
              </w:rPr>
              <w:t>Raw cow milk sales legal for human consumption?</w:t>
            </w:r>
          </w:p>
          <w:p w14:paraId="42494585" w14:textId="77777777" w:rsidR="0046798B" w:rsidRDefault="0046798B">
            <w:pPr>
              <w:pStyle w:val="TableParagraph"/>
              <w:spacing w:before="11"/>
              <w:rPr>
                <w:sz w:val="19"/>
              </w:rPr>
            </w:pPr>
          </w:p>
          <w:p w14:paraId="0FFCDBEE" w14:textId="77777777" w:rsidR="0046798B" w:rsidRDefault="00903B5C">
            <w:pPr>
              <w:pStyle w:val="TableParagraph"/>
              <w:ind w:left="114" w:right="109"/>
              <w:rPr>
                <w:sz w:val="20"/>
              </w:rPr>
            </w:pPr>
            <w:r>
              <w:rPr>
                <w:sz w:val="20"/>
              </w:rPr>
              <w:t>0 = no, 0.5 = only through “cowshare” or similar programs (incl. de facto legalization), 1 = yes (retail or on farm)</w:t>
            </w:r>
          </w:p>
        </w:tc>
        <w:tc>
          <w:tcPr>
            <w:tcW w:w="6482" w:type="dxa"/>
          </w:tcPr>
          <w:p w14:paraId="728E006A" w14:textId="77777777" w:rsidR="0046798B" w:rsidRDefault="0046798B">
            <w:pPr>
              <w:pStyle w:val="TableParagraph"/>
            </w:pPr>
          </w:p>
          <w:p w14:paraId="4CB2E33C" w14:textId="77777777" w:rsidR="0046798B" w:rsidRDefault="00903B5C">
            <w:pPr>
              <w:pStyle w:val="TableParagraph"/>
              <w:spacing w:before="136"/>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7015ED5B" w14:textId="77777777">
        <w:trPr>
          <w:trHeight w:val="1235"/>
        </w:trPr>
        <w:tc>
          <w:tcPr>
            <w:tcW w:w="1711" w:type="dxa"/>
          </w:tcPr>
          <w:p w14:paraId="576590BF" w14:textId="77777777" w:rsidR="0046798B" w:rsidRDefault="0046798B">
            <w:pPr>
              <w:pStyle w:val="TableParagraph"/>
            </w:pPr>
          </w:p>
          <w:p w14:paraId="6E6EDE5A" w14:textId="77777777" w:rsidR="0046798B" w:rsidRDefault="0046798B">
            <w:pPr>
              <w:pStyle w:val="TableParagraph"/>
              <w:spacing w:before="3"/>
              <w:rPr>
                <w:sz w:val="21"/>
              </w:rPr>
            </w:pPr>
          </w:p>
          <w:p w14:paraId="2E552346" w14:textId="77777777" w:rsidR="0046798B" w:rsidRDefault="00903B5C">
            <w:pPr>
              <w:pStyle w:val="TableParagraph"/>
              <w:spacing w:before="1"/>
              <w:ind w:left="115"/>
              <w:rPr>
                <w:b/>
                <w:sz w:val="20"/>
              </w:rPr>
            </w:pPr>
            <w:r>
              <w:rPr>
                <w:b/>
                <w:sz w:val="20"/>
              </w:rPr>
              <w:t>fhc</w:t>
            </w:r>
          </w:p>
        </w:tc>
        <w:tc>
          <w:tcPr>
            <w:tcW w:w="1596" w:type="dxa"/>
          </w:tcPr>
          <w:p w14:paraId="13370295" w14:textId="77777777" w:rsidR="0046798B" w:rsidRDefault="0046798B">
            <w:pPr>
              <w:pStyle w:val="TableParagraph"/>
            </w:pPr>
          </w:p>
          <w:p w14:paraId="406AD2EA" w14:textId="77777777" w:rsidR="0046798B" w:rsidRDefault="00903B5C">
            <w:pPr>
              <w:pStyle w:val="TableParagraph"/>
              <w:spacing w:before="130"/>
              <w:ind w:left="114" w:right="518"/>
              <w:rPr>
                <w:sz w:val="20"/>
              </w:rPr>
            </w:pPr>
            <w:r>
              <w:rPr>
                <w:sz w:val="20"/>
              </w:rPr>
              <w:t>Horizontal consistency</w:t>
            </w:r>
          </w:p>
        </w:tc>
        <w:tc>
          <w:tcPr>
            <w:tcW w:w="1285" w:type="dxa"/>
          </w:tcPr>
          <w:p w14:paraId="5D2A2B1B" w14:textId="77777777" w:rsidR="0046798B" w:rsidRDefault="0046798B">
            <w:pPr>
              <w:pStyle w:val="TableParagraph"/>
            </w:pPr>
          </w:p>
          <w:p w14:paraId="35C48B51" w14:textId="77777777" w:rsidR="0046798B" w:rsidRDefault="0046798B">
            <w:pPr>
              <w:pStyle w:val="TableParagraph"/>
              <w:spacing w:before="3"/>
              <w:rPr>
                <w:sz w:val="21"/>
              </w:rPr>
            </w:pPr>
          </w:p>
          <w:p w14:paraId="50217A77" w14:textId="77777777" w:rsidR="0046798B" w:rsidRDefault="00903B5C">
            <w:pPr>
              <w:pStyle w:val="TableParagraph"/>
              <w:spacing w:before="1"/>
              <w:ind w:left="114"/>
              <w:rPr>
                <w:sz w:val="20"/>
              </w:rPr>
            </w:pPr>
            <w:r>
              <w:rPr>
                <w:sz w:val="20"/>
              </w:rPr>
              <w:t>2002–2009</w:t>
            </w:r>
          </w:p>
        </w:tc>
        <w:tc>
          <w:tcPr>
            <w:tcW w:w="3421" w:type="dxa"/>
          </w:tcPr>
          <w:p w14:paraId="2F64117B" w14:textId="77777777" w:rsidR="0046798B" w:rsidRDefault="00903B5C">
            <w:pPr>
              <w:pStyle w:val="TableParagraph"/>
              <w:spacing w:before="38"/>
              <w:ind w:left="114"/>
              <w:rPr>
                <w:sz w:val="20"/>
              </w:rPr>
            </w:pPr>
            <w:r>
              <w:rPr>
                <w:sz w:val="20"/>
              </w:rPr>
              <w:t>Horizontal consistency (0 = none required, 1 = state merely assists localities, 2 = state requires intergovernmental coordination among neighboring jurisdictions)</w:t>
            </w:r>
          </w:p>
        </w:tc>
        <w:tc>
          <w:tcPr>
            <w:tcW w:w="6482" w:type="dxa"/>
          </w:tcPr>
          <w:p w14:paraId="2CFF64E4" w14:textId="77777777" w:rsidR="0046798B" w:rsidRDefault="0046798B">
            <w:pPr>
              <w:pStyle w:val="TableParagraph"/>
              <w:spacing w:before="3"/>
              <w:rPr>
                <w:sz w:val="23"/>
              </w:rPr>
            </w:pPr>
          </w:p>
          <w:p w14:paraId="5CCE440F"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64CB696" w14:textId="77777777">
        <w:trPr>
          <w:trHeight w:val="1235"/>
        </w:trPr>
        <w:tc>
          <w:tcPr>
            <w:tcW w:w="1711" w:type="dxa"/>
          </w:tcPr>
          <w:p w14:paraId="143FAA35" w14:textId="77777777" w:rsidR="0046798B" w:rsidRDefault="0046798B">
            <w:pPr>
              <w:pStyle w:val="TableParagraph"/>
            </w:pPr>
          </w:p>
          <w:p w14:paraId="69716754" w14:textId="77777777" w:rsidR="0046798B" w:rsidRDefault="0046798B">
            <w:pPr>
              <w:pStyle w:val="TableParagraph"/>
              <w:spacing w:before="3"/>
              <w:rPr>
                <w:sz w:val="21"/>
              </w:rPr>
            </w:pPr>
          </w:p>
          <w:p w14:paraId="3E95E492" w14:textId="77777777" w:rsidR="0046798B" w:rsidRDefault="00903B5C">
            <w:pPr>
              <w:pStyle w:val="TableParagraph"/>
              <w:spacing w:before="1"/>
              <w:ind w:left="115"/>
              <w:rPr>
                <w:b/>
                <w:sz w:val="20"/>
              </w:rPr>
            </w:pPr>
            <w:r>
              <w:rPr>
                <w:b/>
                <w:sz w:val="20"/>
              </w:rPr>
              <w:t>fic</w:t>
            </w:r>
          </w:p>
        </w:tc>
        <w:tc>
          <w:tcPr>
            <w:tcW w:w="1596" w:type="dxa"/>
          </w:tcPr>
          <w:p w14:paraId="176E93D3" w14:textId="77777777" w:rsidR="0046798B" w:rsidRDefault="0046798B">
            <w:pPr>
              <w:pStyle w:val="TableParagraph"/>
            </w:pPr>
          </w:p>
          <w:p w14:paraId="0829D6E1" w14:textId="77777777" w:rsidR="0046798B" w:rsidRDefault="00903B5C">
            <w:pPr>
              <w:pStyle w:val="TableParagraph"/>
              <w:spacing w:before="130"/>
              <w:ind w:left="114" w:right="518"/>
              <w:rPr>
                <w:sz w:val="20"/>
              </w:rPr>
            </w:pPr>
            <w:r>
              <w:rPr>
                <w:sz w:val="20"/>
              </w:rPr>
              <w:t>Internal consistency</w:t>
            </w:r>
          </w:p>
        </w:tc>
        <w:tc>
          <w:tcPr>
            <w:tcW w:w="1285" w:type="dxa"/>
          </w:tcPr>
          <w:p w14:paraId="48252551" w14:textId="77777777" w:rsidR="0046798B" w:rsidRDefault="0046798B">
            <w:pPr>
              <w:pStyle w:val="TableParagraph"/>
            </w:pPr>
          </w:p>
          <w:p w14:paraId="54157B60" w14:textId="77777777" w:rsidR="0046798B" w:rsidRDefault="0046798B">
            <w:pPr>
              <w:pStyle w:val="TableParagraph"/>
              <w:spacing w:before="3"/>
              <w:rPr>
                <w:sz w:val="21"/>
              </w:rPr>
            </w:pPr>
          </w:p>
          <w:p w14:paraId="572B01BE" w14:textId="77777777" w:rsidR="0046798B" w:rsidRDefault="00903B5C">
            <w:pPr>
              <w:pStyle w:val="TableParagraph"/>
              <w:spacing w:before="1"/>
              <w:ind w:left="114"/>
              <w:rPr>
                <w:sz w:val="20"/>
              </w:rPr>
            </w:pPr>
            <w:r>
              <w:rPr>
                <w:sz w:val="20"/>
              </w:rPr>
              <w:t>2002–2009</w:t>
            </w:r>
          </w:p>
        </w:tc>
        <w:tc>
          <w:tcPr>
            <w:tcW w:w="3421" w:type="dxa"/>
          </w:tcPr>
          <w:p w14:paraId="27EEB722" w14:textId="77777777" w:rsidR="0046798B" w:rsidRDefault="00903B5C">
            <w:pPr>
              <w:pStyle w:val="TableParagraph"/>
              <w:spacing w:before="38"/>
              <w:ind w:left="114" w:right="87"/>
              <w:rPr>
                <w:sz w:val="20"/>
              </w:rPr>
            </w:pPr>
            <w:r>
              <w:rPr>
                <w:sz w:val="20"/>
              </w:rPr>
              <w:t>Internal consistency (0 = none required, 1 = state imposes requirement that zoning be based upon and consistent with the legally adopted comprehensive plan)</w:t>
            </w:r>
          </w:p>
        </w:tc>
        <w:tc>
          <w:tcPr>
            <w:tcW w:w="6482" w:type="dxa"/>
          </w:tcPr>
          <w:p w14:paraId="0BF4566A" w14:textId="77777777" w:rsidR="0046798B" w:rsidRDefault="0046798B">
            <w:pPr>
              <w:pStyle w:val="TableParagraph"/>
              <w:spacing w:before="3"/>
              <w:rPr>
                <w:sz w:val="23"/>
              </w:rPr>
            </w:pPr>
          </w:p>
          <w:p w14:paraId="37A3E9CA" w14:textId="77777777" w:rsidR="0046798B" w:rsidRDefault="00903B5C">
            <w:pPr>
              <w:pStyle w:val="TableParagraph"/>
              <w:spacing w:before="1"/>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607B7247" w14:textId="77777777">
        <w:trPr>
          <w:trHeight w:val="1465"/>
        </w:trPr>
        <w:tc>
          <w:tcPr>
            <w:tcW w:w="1711" w:type="dxa"/>
          </w:tcPr>
          <w:p w14:paraId="680567EA" w14:textId="77777777" w:rsidR="0046798B" w:rsidRDefault="0046798B">
            <w:pPr>
              <w:pStyle w:val="TableParagraph"/>
            </w:pPr>
          </w:p>
          <w:p w14:paraId="32706A87" w14:textId="77777777" w:rsidR="0046798B" w:rsidRDefault="0046798B">
            <w:pPr>
              <w:pStyle w:val="TableParagraph"/>
              <w:spacing w:before="3"/>
              <w:rPr>
                <w:sz w:val="31"/>
              </w:rPr>
            </w:pPr>
          </w:p>
          <w:p w14:paraId="1DB393D0" w14:textId="77777777" w:rsidR="0046798B" w:rsidRDefault="00903B5C">
            <w:pPr>
              <w:pStyle w:val="TableParagraph"/>
              <w:spacing w:before="1"/>
              <w:ind w:left="115"/>
              <w:rPr>
                <w:b/>
                <w:sz w:val="20"/>
              </w:rPr>
            </w:pPr>
            <w:r>
              <w:rPr>
                <w:b/>
                <w:sz w:val="20"/>
              </w:rPr>
              <w:t>fvc</w:t>
            </w:r>
          </w:p>
        </w:tc>
        <w:tc>
          <w:tcPr>
            <w:tcW w:w="1596" w:type="dxa"/>
          </w:tcPr>
          <w:p w14:paraId="0D3A5314" w14:textId="77777777" w:rsidR="0046798B" w:rsidRDefault="0046798B">
            <w:pPr>
              <w:pStyle w:val="TableParagraph"/>
            </w:pPr>
          </w:p>
          <w:p w14:paraId="1191E8CE" w14:textId="77777777" w:rsidR="0046798B" w:rsidRDefault="0046798B">
            <w:pPr>
              <w:pStyle w:val="TableParagraph"/>
              <w:spacing w:before="3"/>
              <w:rPr>
                <w:sz w:val="21"/>
              </w:rPr>
            </w:pPr>
          </w:p>
          <w:p w14:paraId="259CE5B4" w14:textId="77777777" w:rsidR="0046798B" w:rsidRDefault="00903B5C">
            <w:pPr>
              <w:pStyle w:val="TableParagraph"/>
              <w:spacing w:before="1"/>
              <w:ind w:left="114" w:right="518"/>
              <w:rPr>
                <w:sz w:val="20"/>
              </w:rPr>
            </w:pPr>
            <w:r>
              <w:rPr>
                <w:sz w:val="20"/>
              </w:rPr>
              <w:t>Vertical consistency</w:t>
            </w:r>
          </w:p>
        </w:tc>
        <w:tc>
          <w:tcPr>
            <w:tcW w:w="1285" w:type="dxa"/>
          </w:tcPr>
          <w:p w14:paraId="0F24ED15" w14:textId="77777777" w:rsidR="0046798B" w:rsidRDefault="0046798B">
            <w:pPr>
              <w:pStyle w:val="TableParagraph"/>
            </w:pPr>
          </w:p>
          <w:p w14:paraId="16A7E512" w14:textId="77777777" w:rsidR="0046798B" w:rsidRDefault="0046798B">
            <w:pPr>
              <w:pStyle w:val="TableParagraph"/>
              <w:spacing w:before="3"/>
              <w:rPr>
                <w:sz w:val="31"/>
              </w:rPr>
            </w:pPr>
          </w:p>
          <w:p w14:paraId="420B9DFC" w14:textId="77777777" w:rsidR="0046798B" w:rsidRDefault="00903B5C">
            <w:pPr>
              <w:pStyle w:val="TableParagraph"/>
              <w:spacing w:before="1"/>
              <w:ind w:left="114"/>
              <w:rPr>
                <w:sz w:val="20"/>
              </w:rPr>
            </w:pPr>
            <w:r>
              <w:rPr>
                <w:sz w:val="20"/>
              </w:rPr>
              <w:t>2002–2009</w:t>
            </w:r>
          </w:p>
        </w:tc>
        <w:tc>
          <w:tcPr>
            <w:tcW w:w="3421" w:type="dxa"/>
          </w:tcPr>
          <w:p w14:paraId="52B89A19" w14:textId="77777777" w:rsidR="0046798B" w:rsidRDefault="00903B5C">
            <w:pPr>
              <w:pStyle w:val="TableParagraph"/>
              <w:spacing w:before="43"/>
              <w:ind w:left="114" w:right="155"/>
              <w:rPr>
                <w:sz w:val="20"/>
              </w:rPr>
            </w:pPr>
            <w:r>
              <w:rPr>
                <w:sz w:val="20"/>
              </w:rPr>
              <w:t>Vertical consistency (0 = none, 1 = state merely assists localities, 2 = state imposes requirement that the local comprehensive plan of a city or county not conflict with plans of higher levels of government within the state)</w:t>
            </w:r>
          </w:p>
        </w:tc>
        <w:tc>
          <w:tcPr>
            <w:tcW w:w="6482" w:type="dxa"/>
          </w:tcPr>
          <w:p w14:paraId="0EFC8AD9" w14:textId="77777777" w:rsidR="0046798B" w:rsidRDefault="0046798B">
            <w:pPr>
              <w:pStyle w:val="TableParagraph"/>
            </w:pPr>
          </w:p>
          <w:p w14:paraId="0967718A" w14:textId="77777777" w:rsidR="0046798B" w:rsidRDefault="00903B5C">
            <w:pPr>
              <w:pStyle w:val="TableParagraph"/>
              <w:spacing w:before="137" w:line="237" w:lineRule="auto"/>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3CF7670" w14:textId="77777777">
        <w:trPr>
          <w:trHeight w:val="775"/>
        </w:trPr>
        <w:tc>
          <w:tcPr>
            <w:tcW w:w="1711" w:type="dxa"/>
          </w:tcPr>
          <w:p w14:paraId="7ADC0201" w14:textId="77777777" w:rsidR="0046798B" w:rsidRDefault="0046798B">
            <w:pPr>
              <w:pStyle w:val="TableParagraph"/>
              <w:spacing w:before="8"/>
              <w:rPr>
                <w:sz w:val="23"/>
              </w:rPr>
            </w:pPr>
          </w:p>
          <w:p w14:paraId="6545D600" w14:textId="77777777" w:rsidR="0046798B" w:rsidRDefault="00903B5C">
            <w:pPr>
              <w:pStyle w:val="TableParagraph"/>
              <w:spacing w:before="1"/>
              <w:ind w:left="115"/>
              <w:rPr>
                <w:b/>
                <w:sz w:val="20"/>
              </w:rPr>
            </w:pPr>
            <w:r>
              <w:rPr>
                <w:b/>
                <w:sz w:val="20"/>
              </w:rPr>
              <w:t>frent</w:t>
            </w:r>
          </w:p>
        </w:tc>
        <w:tc>
          <w:tcPr>
            <w:tcW w:w="1596" w:type="dxa"/>
          </w:tcPr>
          <w:p w14:paraId="432F9EBC" w14:textId="77777777" w:rsidR="0046798B" w:rsidRDefault="00903B5C">
            <w:pPr>
              <w:pStyle w:val="TableParagraph"/>
              <w:spacing w:before="43"/>
              <w:ind w:left="114" w:right="468"/>
              <w:rPr>
                <w:sz w:val="20"/>
              </w:rPr>
            </w:pPr>
            <w:r>
              <w:rPr>
                <w:sz w:val="20"/>
              </w:rPr>
              <w:t>Local rent control laws exist</w:t>
            </w:r>
          </w:p>
        </w:tc>
        <w:tc>
          <w:tcPr>
            <w:tcW w:w="1285" w:type="dxa"/>
          </w:tcPr>
          <w:p w14:paraId="14E958E2" w14:textId="77777777" w:rsidR="0046798B" w:rsidRDefault="0046798B">
            <w:pPr>
              <w:pStyle w:val="TableParagraph"/>
              <w:spacing w:before="8"/>
              <w:rPr>
                <w:sz w:val="23"/>
              </w:rPr>
            </w:pPr>
          </w:p>
          <w:p w14:paraId="57038D9F" w14:textId="77777777" w:rsidR="0046798B" w:rsidRDefault="00903B5C">
            <w:pPr>
              <w:pStyle w:val="TableParagraph"/>
              <w:spacing w:before="1"/>
              <w:ind w:left="114"/>
              <w:rPr>
                <w:sz w:val="20"/>
              </w:rPr>
            </w:pPr>
            <w:r>
              <w:rPr>
                <w:sz w:val="20"/>
              </w:rPr>
              <w:t>2000–2016</w:t>
            </w:r>
          </w:p>
        </w:tc>
        <w:tc>
          <w:tcPr>
            <w:tcW w:w="3421" w:type="dxa"/>
          </w:tcPr>
          <w:p w14:paraId="3E5CFD74" w14:textId="77777777" w:rsidR="0046798B" w:rsidRDefault="00903B5C">
            <w:pPr>
              <w:pStyle w:val="TableParagraph"/>
              <w:spacing w:before="158"/>
              <w:ind w:left="114" w:right="231"/>
              <w:rPr>
                <w:sz w:val="20"/>
              </w:rPr>
            </w:pPr>
            <w:r>
              <w:rPr>
                <w:sz w:val="20"/>
              </w:rPr>
              <w:t>Local rent control laws exist? (0 = no, 1 = yes)</w:t>
            </w:r>
          </w:p>
        </w:tc>
        <w:tc>
          <w:tcPr>
            <w:tcW w:w="6482" w:type="dxa"/>
          </w:tcPr>
          <w:p w14:paraId="10742C2D" w14:textId="77777777" w:rsidR="0046798B" w:rsidRDefault="00903B5C">
            <w:pPr>
              <w:pStyle w:val="TableParagraph"/>
              <w:spacing w:before="4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C637D3A" w14:textId="77777777">
        <w:trPr>
          <w:trHeight w:val="1465"/>
        </w:trPr>
        <w:tc>
          <w:tcPr>
            <w:tcW w:w="1711" w:type="dxa"/>
          </w:tcPr>
          <w:p w14:paraId="58FF9A73" w14:textId="77777777" w:rsidR="0046798B" w:rsidRDefault="0046798B">
            <w:pPr>
              <w:pStyle w:val="TableParagraph"/>
            </w:pPr>
          </w:p>
          <w:p w14:paraId="60D51FF7" w14:textId="77777777" w:rsidR="0046798B" w:rsidRDefault="0046798B">
            <w:pPr>
              <w:pStyle w:val="TableParagraph"/>
              <w:spacing w:before="8"/>
              <w:rPr>
                <w:sz w:val="31"/>
              </w:rPr>
            </w:pPr>
          </w:p>
          <w:p w14:paraId="6B384009" w14:textId="77777777" w:rsidR="0046798B" w:rsidRDefault="00903B5C">
            <w:pPr>
              <w:pStyle w:val="TableParagraph"/>
              <w:spacing w:before="1"/>
              <w:ind w:left="115"/>
              <w:rPr>
                <w:b/>
                <w:sz w:val="20"/>
              </w:rPr>
            </w:pPr>
            <w:r>
              <w:rPr>
                <w:b/>
                <w:sz w:val="20"/>
              </w:rPr>
              <w:t>fspeech</w:t>
            </w:r>
          </w:p>
        </w:tc>
        <w:tc>
          <w:tcPr>
            <w:tcW w:w="1596" w:type="dxa"/>
          </w:tcPr>
          <w:p w14:paraId="67FD9C64" w14:textId="77777777" w:rsidR="0046798B" w:rsidRDefault="0046798B">
            <w:pPr>
              <w:pStyle w:val="TableParagraph"/>
            </w:pPr>
          </w:p>
          <w:p w14:paraId="0765A3BD" w14:textId="77777777" w:rsidR="0046798B" w:rsidRDefault="00903B5C">
            <w:pPr>
              <w:pStyle w:val="TableParagraph"/>
              <w:spacing w:before="135"/>
              <w:ind w:left="114" w:right="169"/>
              <w:rPr>
                <w:sz w:val="20"/>
              </w:rPr>
            </w:pPr>
            <w:r>
              <w:rPr>
                <w:sz w:val="20"/>
              </w:rPr>
              <w:t>Mandated free speech on private property</w:t>
            </w:r>
          </w:p>
        </w:tc>
        <w:tc>
          <w:tcPr>
            <w:tcW w:w="1285" w:type="dxa"/>
          </w:tcPr>
          <w:p w14:paraId="6147435A" w14:textId="77777777" w:rsidR="0046798B" w:rsidRDefault="0046798B">
            <w:pPr>
              <w:pStyle w:val="TableParagraph"/>
            </w:pPr>
          </w:p>
          <w:p w14:paraId="05EFCEA8" w14:textId="77777777" w:rsidR="0046798B" w:rsidRDefault="0046798B">
            <w:pPr>
              <w:pStyle w:val="TableParagraph"/>
              <w:spacing w:before="8"/>
              <w:rPr>
                <w:sz w:val="31"/>
              </w:rPr>
            </w:pPr>
          </w:p>
          <w:p w14:paraId="5BD7B947" w14:textId="77777777" w:rsidR="0046798B" w:rsidRDefault="00903B5C">
            <w:pPr>
              <w:pStyle w:val="TableParagraph"/>
              <w:spacing w:before="1"/>
              <w:ind w:left="114"/>
              <w:rPr>
                <w:sz w:val="20"/>
              </w:rPr>
            </w:pPr>
            <w:r>
              <w:rPr>
                <w:sz w:val="20"/>
              </w:rPr>
              <w:t>2000–2016</w:t>
            </w:r>
          </w:p>
        </w:tc>
        <w:tc>
          <w:tcPr>
            <w:tcW w:w="3421" w:type="dxa"/>
          </w:tcPr>
          <w:p w14:paraId="7DEBC61C" w14:textId="77777777" w:rsidR="0046798B" w:rsidRDefault="00903B5C">
            <w:pPr>
              <w:pStyle w:val="TableParagraph"/>
              <w:spacing w:before="43"/>
              <w:ind w:left="114" w:right="244"/>
              <w:rPr>
                <w:sz w:val="20"/>
              </w:rPr>
            </w:pPr>
            <w:r>
              <w:rPr>
                <w:sz w:val="20"/>
              </w:rPr>
              <w:t>Mandated free speech on private property? (0 = none, 0.5 = some government connection required/signature gathering only, 1 = malls or universities, 2 = malls &amp; neighborhood associations or malls &amp;</w:t>
            </w:r>
          </w:p>
        </w:tc>
        <w:tc>
          <w:tcPr>
            <w:tcW w:w="6482" w:type="dxa"/>
          </w:tcPr>
          <w:p w14:paraId="591C20E6" w14:textId="77777777" w:rsidR="0046798B" w:rsidRDefault="0046798B">
            <w:pPr>
              <w:pStyle w:val="TableParagraph"/>
            </w:pPr>
          </w:p>
          <w:p w14:paraId="2726F3CB" w14:textId="77777777" w:rsidR="0046798B" w:rsidRDefault="00903B5C">
            <w:pPr>
              <w:pStyle w:val="TableParagraph"/>
              <w:spacing w:before="135"/>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2FC7E2AD" w14:textId="77777777" w:rsidR="0046798B" w:rsidRDefault="0046798B">
      <w:pPr>
        <w:rPr>
          <w:sz w:val="20"/>
        </w:rPr>
        <w:sectPr w:rsidR="0046798B">
          <w:pgSz w:w="15840" w:h="12240" w:orient="landscape"/>
          <w:pgMar w:top="1220" w:right="300" w:bottom="980" w:left="820" w:header="730" w:footer="787" w:gutter="0"/>
          <w:cols w:space="720"/>
        </w:sectPr>
      </w:pPr>
    </w:p>
    <w:p w14:paraId="224FE110"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3E8A45F" w14:textId="77777777">
        <w:trPr>
          <w:trHeight w:val="542"/>
        </w:trPr>
        <w:tc>
          <w:tcPr>
            <w:tcW w:w="1711" w:type="dxa"/>
            <w:tcBorders>
              <w:bottom w:val="dotted" w:sz="6" w:space="0" w:color="BEBEBE"/>
            </w:tcBorders>
          </w:tcPr>
          <w:p w14:paraId="6D79F0F6" w14:textId="77777777" w:rsidR="0046798B" w:rsidRDefault="0046798B">
            <w:pPr>
              <w:pStyle w:val="TableParagraph"/>
              <w:rPr>
                <w:sz w:val="20"/>
              </w:rPr>
            </w:pPr>
          </w:p>
        </w:tc>
        <w:tc>
          <w:tcPr>
            <w:tcW w:w="1596" w:type="dxa"/>
            <w:tcBorders>
              <w:bottom w:val="dotted" w:sz="6" w:space="0" w:color="BEBEBE"/>
            </w:tcBorders>
          </w:tcPr>
          <w:p w14:paraId="7A1DF883" w14:textId="77777777" w:rsidR="0046798B" w:rsidRDefault="0046798B">
            <w:pPr>
              <w:pStyle w:val="TableParagraph"/>
              <w:rPr>
                <w:sz w:val="20"/>
              </w:rPr>
            </w:pPr>
          </w:p>
        </w:tc>
        <w:tc>
          <w:tcPr>
            <w:tcW w:w="1285" w:type="dxa"/>
            <w:tcBorders>
              <w:bottom w:val="dotted" w:sz="6" w:space="0" w:color="BEBEBE"/>
            </w:tcBorders>
          </w:tcPr>
          <w:p w14:paraId="6AD3B033" w14:textId="77777777" w:rsidR="0046798B" w:rsidRDefault="0046798B">
            <w:pPr>
              <w:pStyle w:val="TableParagraph"/>
              <w:rPr>
                <w:sz w:val="20"/>
              </w:rPr>
            </w:pPr>
          </w:p>
        </w:tc>
        <w:tc>
          <w:tcPr>
            <w:tcW w:w="3421" w:type="dxa"/>
            <w:tcBorders>
              <w:bottom w:val="dotted" w:sz="6" w:space="0" w:color="BEBEBE"/>
            </w:tcBorders>
          </w:tcPr>
          <w:p w14:paraId="561B830C" w14:textId="77777777" w:rsidR="0046798B" w:rsidRDefault="00903B5C">
            <w:pPr>
              <w:pStyle w:val="TableParagraph"/>
              <w:spacing w:before="43"/>
              <w:ind w:left="114" w:right="231"/>
              <w:rPr>
                <w:sz w:val="20"/>
              </w:rPr>
            </w:pPr>
            <w:r>
              <w:rPr>
                <w:sz w:val="20"/>
              </w:rPr>
              <w:t>universities, 3 = malls, universities, &amp; neighborhood associations)</w:t>
            </w:r>
          </w:p>
        </w:tc>
        <w:tc>
          <w:tcPr>
            <w:tcW w:w="6482" w:type="dxa"/>
            <w:tcBorders>
              <w:bottom w:val="dotted" w:sz="6" w:space="0" w:color="BEBEBE"/>
            </w:tcBorders>
          </w:tcPr>
          <w:p w14:paraId="787F3A33" w14:textId="77777777" w:rsidR="0046798B" w:rsidRDefault="0046798B">
            <w:pPr>
              <w:pStyle w:val="TableParagraph"/>
              <w:rPr>
                <w:sz w:val="20"/>
              </w:rPr>
            </w:pPr>
          </w:p>
        </w:tc>
      </w:tr>
      <w:tr w:rsidR="0046798B" w14:paraId="50E599C3" w14:textId="77777777">
        <w:trPr>
          <w:trHeight w:val="1923"/>
        </w:trPr>
        <w:tc>
          <w:tcPr>
            <w:tcW w:w="1711" w:type="dxa"/>
            <w:tcBorders>
              <w:top w:val="dotted" w:sz="6" w:space="0" w:color="BEBEBE"/>
            </w:tcBorders>
          </w:tcPr>
          <w:p w14:paraId="4EF6B571" w14:textId="77777777" w:rsidR="0046798B" w:rsidRDefault="0046798B">
            <w:pPr>
              <w:pStyle w:val="TableParagraph"/>
            </w:pPr>
          </w:p>
          <w:p w14:paraId="699B7D3A" w14:textId="77777777" w:rsidR="0046798B" w:rsidRDefault="0046798B">
            <w:pPr>
              <w:pStyle w:val="TableParagraph"/>
            </w:pPr>
          </w:p>
          <w:p w14:paraId="0D1FF75C" w14:textId="77777777" w:rsidR="0046798B" w:rsidRDefault="0046798B">
            <w:pPr>
              <w:pStyle w:val="TableParagraph"/>
              <w:spacing w:before="6"/>
              <w:rPr>
                <w:sz w:val="29"/>
              </w:rPr>
            </w:pPr>
          </w:p>
          <w:p w14:paraId="1E613D5F" w14:textId="77777777" w:rsidR="0046798B" w:rsidRDefault="00903B5C">
            <w:pPr>
              <w:pStyle w:val="TableParagraph"/>
              <w:ind w:left="115"/>
              <w:rPr>
                <w:b/>
                <w:sz w:val="20"/>
              </w:rPr>
            </w:pPr>
            <w:r>
              <w:rPr>
                <w:b/>
                <w:sz w:val="20"/>
              </w:rPr>
              <w:t>drfra</w:t>
            </w:r>
          </w:p>
        </w:tc>
        <w:tc>
          <w:tcPr>
            <w:tcW w:w="1596" w:type="dxa"/>
            <w:tcBorders>
              <w:top w:val="dotted" w:sz="6" w:space="0" w:color="BEBEBE"/>
            </w:tcBorders>
          </w:tcPr>
          <w:p w14:paraId="137C1ACA" w14:textId="77777777" w:rsidR="0046798B" w:rsidRDefault="0046798B">
            <w:pPr>
              <w:pStyle w:val="TableParagraph"/>
            </w:pPr>
          </w:p>
          <w:p w14:paraId="1B1C707B" w14:textId="77777777" w:rsidR="0046798B" w:rsidRDefault="0046798B">
            <w:pPr>
              <w:pStyle w:val="TableParagraph"/>
              <w:spacing w:before="6"/>
              <w:rPr>
                <w:sz w:val="31"/>
              </w:rPr>
            </w:pPr>
          </w:p>
          <w:p w14:paraId="2D13E1E5" w14:textId="77777777" w:rsidR="0046798B" w:rsidRDefault="00903B5C">
            <w:pPr>
              <w:pStyle w:val="TableParagraph"/>
              <w:ind w:left="114" w:right="246"/>
              <w:rPr>
                <w:sz w:val="20"/>
              </w:rPr>
            </w:pPr>
            <w:r>
              <w:rPr>
                <w:sz w:val="20"/>
              </w:rPr>
              <w:t>Religious Freedom Restoration act</w:t>
            </w:r>
          </w:p>
        </w:tc>
        <w:tc>
          <w:tcPr>
            <w:tcW w:w="1285" w:type="dxa"/>
            <w:tcBorders>
              <w:top w:val="dotted" w:sz="6" w:space="0" w:color="BEBEBE"/>
            </w:tcBorders>
          </w:tcPr>
          <w:p w14:paraId="6ECDE568" w14:textId="77777777" w:rsidR="0046798B" w:rsidRDefault="0046798B">
            <w:pPr>
              <w:pStyle w:val="TableParagraph"/>
            </w:pPr>
          </w:p>
          <w:p w14:paraId="6BE6B11A" w14:textId="77777777" w:rsidR="0046798B" w:rsidRDefault="0046798B">
            <w:pPr>
              <w:pStyle w:val="TableParagraph"/>
            </w:pPr>
          </w:p>
          <w:p w14:paraId="0C25290F" w14:textId="77777777" w:rsidR="0046798B" w:rsidRDefault="0046798B">
            <w:pPr>
              <w:pStyle w:val="TableParagraph"/>
              <w:spacing w:before="6"/>
              <w:rPr>
                <w:sz w:val="29"/>
              </w:rPr>
            </w:pPr>
          </w:p>
          <w:p w14:paraId="08A4EC9C" w14:textId="77777777" w:rsidR="0046798B" w:rsidRDefault="00903B5C">
            <w:pPr>
              <w:pStyle w:val="TableParagraph"/>
              <w:ind w:left="114"/>
              <w:rPr>
                <w:sz w:val="20"/>
              </w:rPr>
            </w:pPr>
            <w:r>
              <w:rPr>
                <w:sz w:val="20"/>
              </w:rPr>
              <w:t>2000–2016</w:t>
            </w:r>
          </w:p>
        </w:tc>
        <w:tc>
          <w:tcPr>
            <w:tcW w:w="3421" w:type="dxa"/>
            <w:tcBorders>
              <w:top w:val="dotted" w:sz="6" w:space="0" w:color="BEBEBE"/>
            </w:tcBorders>
          </w:tcPr>
          <w:p w14:paraId="3A15CD14" w14:textId="77777777" w:rsidR="0046798B" w:rsidRDefault="00903B5C">
            <w:pPr>
              <w:pStyle w:val="TableParagraph"/>
              <w:spacing w:before="40"/>
              <w:ind w:left="114"/>
              <w:rPr>
                <w:sz w:val="20"/>
              </w:rPr>
            </w:pPr>
            <w:r>
              <w:rPr>
                <w:sz w:val="20"/>
              </w:rPr>
              <w:t>Religious freedom restoration act</w:t>
            </w:r>
          </w:p>
          <w:p w14:paraId="716938C7" w14:textId="77777777" w:rsidR="0046798B" w:rsidRDefault="0046798B">
            <w:pPr>
              <w:pStyle w:val="TableParagraph"/>
              <w:rPr>
                <w:sz w:val="20"/>
              </w:rPr>
            </w:pPr>
          </w:p>
          <w:p w14:paraId="6CB41331" w14:textId="77777777" w:rsidR="0046798B" w:rsidRDefault="00903B5C">
            <w:pPr>
              <w:pStyle w:val="TableParagraph"/>
              <w:spacing w:before="1"/>
              <w:ind w:left="114" w:right="150"/>
              <w:rPr>
                <w:sz w:val="20"/>
              </w:rPr>
            </w:pPr>
            <w:r>
              <w:rPr>
                <w:sz w:val="20"/>
              </w:rPr>
              <w:t>0 = no RFRA, 0.25 = applies only to land use, 0.5 = broad exemptions,</w:t>
            </w:r>
            <w:r>
              <w:rPr>
                <w:spacing w:val="1"/>
                <w:sz w:val="20"/>
              </w:rPr>
              <w:t xml:space="preserve"> </w:t>
            </w:r>
            <w:r>
              <w:rPr>
                <w:spacing w:val="-4"/>
                <w:sz w:val="20"/>
              </w:rPr>
              <w:t>0.75</w:t>
            </w:r>
          </w:p>
          <w:p w14:paraId="53512407" w14:textId="77777777" w:rsidR="0046798B" w:rsidRDefault="00903B5C">
            <w:pPr>
              <w:pStyle w:val="TableParagraph"/>
              <w:ind w:left="114" w:right="205"/>
              <w:rPr>
                <w:sz w:val="20"/>
              </w:rPr>
            </w:pPr>
            <w:r>
              <w:rPr>
                <w:sz w:val="20"/>
              </w:rPr>
              <w:t xml:space="preserve">= only “substantial burden” may generate compelling interest review, </w:t>
            </w:r>
            <w:r>
              <w:rPr>
                <w:spacing w:val="-11"/>
                <w:sz w:val="20"/>
              </w:rPr>
              <w:t>1</w:t>
            </w:r>
          </w:p>
          <w:p w14:paraId="6AE009AA" w14:textId="77777777" w:rsidR="0046798B" w:rsidRDefault="00903B5C">
            <w:pPr>
              <w:pStyle w:val="TableParagraph"/>
              <w:ind w:left="114"/>
              <w:rPr>
                <w:sz w:val="20"/>
              </w:rPr>
            </w:pPr>
            <w:r>
              <w:rPr>
                <w:sz w:val="20"/>
              </w:rPr>
              <w:t xml:space="preserve">= any burden or infringement serves </w:t>
            </w:r>
            <w:r>
              <w:rPr>
                <w:spacing w:val="-10"/>
                <w:sz w:val="20"/>
              </w:rPr>
              <w:t xml:space="preserve">as </w:t>
            </w:r>
            <w:r>
              <w:rPr>
                <w:sz w:val="20"/>
              </w:rPr>
              <w:t>basis for “compelling interest” review</w:t>
            </w:r>
          </w:p>
        </w:tc>
        <w:tc>
          <w:tcPr>
            <w:tcW w:w="6482" w:type="dxa"/>
            <w:tcBorders>
              <w:top w:val="dotted" w:sz="6" w:space="0" w:color="BEBEBE"/>
            </w:tcBorders>
          </w:tcPr>
          <w:p w14:paraId="2FDFB8E4" w14:textId="77777777" w:rsidR="0046798B" w:rsidRDefault="0046798B">
            <w:pPr>
              <w:pStyle w:val="TableParagraph"/>
            </w:pPr>
          </w:p>
          <w:p w14:paraId="34C4DFAA" w14:textId="77777777" w:rsidR="0046798B" w:rsidRDefault="0046798B">
            <w:pPr>
              <w:pStyle w:val="TableParagraph"/>
              <w:spacing w:before="6"/>
              <w:rPr>
                <w:sz w:val="31"/>
              </w:rPr>
            </w:pPr>
          </w:p>
          <w:p w14:paraId="7FC5589E" w14:textId="77777777" w:rsidR="0046798B" w:rsidRDefault="00903B5C">
            <w:pPr>
              <w:pStyle w:val="TableParagraph"/>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0AB8C48" w14:textId="77777777">
        <w:trPr>
          <w:trHeight w:val="1240"/>
        </w:trPr>
        <w:tc>
          <w:tcPr>
            <w:tcW w:w="1711" w:type="dxa"/>
          </w:tcPr>
          <w:p w14:paraId="1348AB21" w14:textId="77777777" w:rsidR="0046798B" w:rsidRDefault="0046798B">
            <w:pPr>
              <w:pStyle w:val="TableParagraph"/>
            </w:pPr>
          </w:p>
          <w:p w14:paraId="65D9C9EF" w14:textId="77777777" w:rsidR="0046798B" w:rsidRDefault="0046798B">
            <w:pPr>
              <w:pStyle w:val="TableParagraph"/>
              <w:spacing w:before="9"/>
              <w:rPr>
                <w:sz w:val="21"/>
              </w:rPr>
            </w:pPr>
          </w:p>
          <w:p w14:paraId="6F24B175" w14:textId="77777777" w:rsidR="0046798B" w:rsidRDefault="00903B5C">
            <w:pPr>
              <w:pStyle w:val="TableParagraph"/>
              <w:ind w:left="115"/>
              <w:rPr>
                <w:b/>
                <w:sz w:val="20"/>
              </w:rPr>
            </w:pPr>
            <w:r>
              <w:rPr>
                <w:b/>
                <w:sz w:val="20"/>
              </w:rPr>
              <w:t>fconst</w:t>
            </w:r>
          </w:p>
        </w:tc>
        <w:tc>
          <w:tcPr>
            <w:tcW w:w="1596" w:type="dxa"/>
          </w:tcPr>
          <w:p w14:paraId="6DB8DB53" w14:textId="77777777" w:rsidR="0046798B" w:rsidRDefault="00903B5C">
            <w:pPr>
              <w:pStyle w:val="TableParagraph"/>
              <w:spacing w:before="43"/>
              <w:ind w:left="114" w:right="157"/>
              <w:rPr>
                <w:sz w:val="20"/>
              </w:rPr>
            </w:pPr>
            <w:r>
              <w:rPr>
                <w:sz w:val="20"/>
              </w:rPr>
              <w:t>Constitution enshrines all additional restrictions on eminent domain</w:t>
            </w:r>
          </w:p>
        </w:tc>
        <w:tc>
          <w:tcPr>
            <w:tcW w:w="1285" w:type="dxa"/>
          </w:tcPr>
          <w:p w14:paraId="67C2E8E0" w14:textId="77777777" w:rsidR="0046798B" w:rsidRDefault="0046798B">
            <w:pPr>
              <w:pStyle w:val="TableParagraph"/>
            </w:pPr>
          </w:p>
          <w:p w14:paraId="3B6CBE9B" w14:textId="77777777" w:rsidR="0046798B" w:rsidRDefault="0046798B">
            <w:pPr>
              <w:pStyle w:val="TableParagraph"/>
              <w:spacing w:before="9"/>
              <w:rPr>
                <w:sz w:val="21"/>
              </w:rPr>
            </w:pPr>
          </w:p>
          <w:p w14:paraId="55D902FE" w14:textId="77777777" w:rsidR="0046798B" w:rsidRDefault="00903B5C">
            <w:pPr>
              <w:pStyle w:val="TableParagraph"/>
              <w:ind w:left="114"/>
              <w:rPr>
                <w:sz w:val="20"/>
              </w:rPr>
            </w:pPr>
            <w:r>
              <w:rPr>
                <w:sz w:val="20"/>
              </w:rPr>
              <w:t>2000–2016</w:t>
            </w:r>
          </w:p>
        </w:tc>
        <w:tc>
          <w:tcPr>
            <w:tcW w:w="3421" w:type="dxa"/>
          </w:tcPr>
          <w:p w14:paraId="0154BD71" w14:textId="77777777" w:rsidR="0046798B" w:rsidRDefault="00903B5C">
            <w:pPr>
              <w:pStyle w:val="TableParagraph"/>
              <w:spacing w:before="43"/>
              <w:ind w:left="114" w:right="114"/>
              <w:rPr>
                <w:sz w:val="20"/>
              </w:rPr>
            </w:pPr>
            <w:r>
              <w:rPr>
                <w:sz w:val="20"/>
              </w:rPr>
              <w:t>Constitution enshrines all additional restrictions on eminent domain (0 = no,</w:t>
            </w:r>
          </w:p>
          <w:p w14:paraId="2AF4527F" w14:textId="77777777" w:rsidR="0046798B" w:rsidRDefault="00903B5C">
            <w:pPr>
              <w:pStyle w:val="TableParagraph"/>
              <w:ind w:left="114" w:right="123"/>
              <w:rPr>
                <w:sz w:val="20"/>
              </w:rPr>
            </w:pPr>
            <w:r>
              <w:rPr>
                <w:sz w:val="20"/>
              </w:rPr>
              <w:t>0.5 = only some restrictions on ED have been codified constitutionally, 1 = yes)</w:t>
            </w:r>
          </w:p>
        </w:tc>
        <w:tc>
          <w:tcPr>
            <w:tcW w:w="6482" w:type="dxa"/>
          </w:tcPr>
          <w:p w14:paraId="7A0D9FAF" w14:textId="77777777" w:rsidR="0046798B" w:rsidRDefault="0046798B">
            <w:pPr>
              <w:pStyle w:val="TableParagraph"/>
              <w:spacing w:before="9"/>
              <w:rPr>
                <w:sz w:val="23"/>
              </w:rPr>
            </w:pPr>
          </w:p>
          <w:p w14:paraId="77B40833"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DE45F2D" w14:textId="77777777">
        <w:trPr>
          <w:trHeight w:val="1695"/>
        </w:trPr>
        <w:tc>
          <w:tcPr>
            <w:tcW w:w="1711" w:type="dxa"/>
          </w:tcPr>
          <w:p w14:paraId="60317474" w14:textId="77777777" w:rsidR="0046798B" w:rsidRDefault="0046798B">
            <w:pPr>
              <w:pStyle w:val="TableParagraph"/>
            </w:pPr>
          </w:p>
          <w:p w14:paraId="644D7F39" w14:textId="77777777" w:rsidR="0046798B" w:rsidRDefault="0046798B">
            <w:pPr>
              <w:pStyle w:val="TableParagraph"/>
            </w:pPr>
          </w:p>
          <w:p w14:paraId="0C169BEE" w14:textId="77777777" w:rsidR="0046798B" w:rsidRDefault="0046798B">
            <w:pPr>
              <w:pStyle w:val="TableParagraph"/>
              <w:spacing w:before="4"/>
              <w:rPr>
                <w:sz w:val="19"/>
              </w:rPr>
            </w:pPr>
          </w:p>
          <w:p w14:paraId="5A68B45A" w14:textId="77777777" w:rsidR="0046798B" w:rsidRDefault="00903B5C">
            <w:pPr>
              <w:pStyle w:val="TableParagraph"/>
              <w:ind w:left="115"/>
              <w:rPr>
                <w:b/>
                <w:sz w:val="20"/>
              </w:rPr>
            </w:pPr>
            <w:r>
              <w:rPr>
                <w:b/>
                <w:sz w:val="20"/>
              </w:rPr>
              <w:t>fprivate</w:t>
            </w:r>
          </w:p>
        </w:tc>
        <w:tc>
          <w:tcPr>
            <w:tcW w:w="1596" w:type="dxa"/>
          </w:tcPr>
          <w:p w14:paraId="7DDBD80D" w14:textId="77777777" w:rsidR="0046798B" w:rsidRDefault="0046798B">
            <w:pPr>
              <w:pStyle w:val="TableParagraph"/>
            </w:pPr>
          </w:p>
          <w:p w14:paraId="75FC787C" w14:textId="77777777" w:rsidR="0046798B" w:rsidRDefault="0046798B">
            <w:pPr>
              <w:pStyle w:val="TableParagraph"/>
            </w:pPr>
          </w:p>
          <w:p w14:paraId="71A7205C" w14:textId="77777777" w:rsidR="0046798B" w:rsidRDefault="0046798B">
            <w:pPr>
              <w:pStyle w:val="TableParagraph"/>
              <w:spacing w:before="4"/>
              <w:rPr>
                <w:sz w:val="19"/>
              </w:rPr>
            </w:pPr>
          </w:p>
          <w:p w14:paraId="3391583E" w14:textId="77777777" w:rsidR="0046798B" w:rsidRDefault="00903B5C">
            <w:pPr>
              <w:pStyle w:val="TableParagraph"/>
              <w:ind w:left="114"/>
              <w:rPr>
                <w:sz w:val="20"/>
              </w:rPr>
            </w:pPr>
            <w:r>
              <w:rPr>
                <w:sz w:val="20"/>
              </w:rPr>
              <w:t>Private property</w:t>
            </w:r>
          </w:p>
        </w:tc>
        <w:tc>
          <w:tcPr>
            <w:tcW w:w="1285" w:type="dxa"/>
          </w:tcPr>
          <w:p w14:paraId="69F30EE0" w14:textId="77777777" w:rsidR="0046798B" w:rsidRDefault="0046798B">
            <w:pPr>
              <w:pStyle w:val="TableParagraph"/>
            </w:pPr>
          </w:p>
          <w:p w14:paraId="2C8E84BD" w14:textId="77777777" w:rsidR="0046798B" w:rsidRDefault="0046798B">
            <w:pPr>
              <w:pStyle w:val="TableParagraph"/>
            </w:pPr>
          </w:p>
          <w:p w14:paraId="72870692" w14:textId="77777777" w:rsidR="0046798B" w:rsidRDefault="0046798B">
            <w:pPr>
              <w:pStyle w:val="TableParagraph"/>
              <w:spacing w:before="4"/>
              <w:rPr>
                <w:sz w:val="19"/>
              </w:rPr>
            </w:pPr>
          </w:p>
          <w:p w14:paraId="41140CEB" w14:textId="77777777" w:rsidR="0046798B" w:rsidRDefault="00903B5C">
            <w:pPr>
              <w:pStyle w:val="TableParagraph"/>
              <w:ind w:left="114"/>
              <w:rPr>
                <w:sz w:val="20"/>
              </w:rPr>
            </w:pPr>
            <w:r>
              <w:rPr>
                <w:sz w:val="20"/>
              </w:rPr>
              <w:t>2000–2016</w:t>
            </w:r>
          </w:p>
        </w:tc>
        <w:tc>
          <w:tcPr>
            <w:tcW w:w="3421" w:type="dxa"/>
          </w:tcPr>
          <w:p w14:paraId="39407335" w14:textId="77777777" w:rsidR="0046798B" w:rsidRDefault="00903B5C">
            <w:pPr>
              <w:pStyle w:val="TableParagraph"/>
              <w:spacing w:before="38"/>
              <w:ind w:left="114" w:right="221"/>
              <w:rPr>
                <w:sz w:val="20"/>
              </w:rPr>
            </w:pPr>
            <w:r>
              <w:rPr>
                <w:sz w:val="20"/>
              </w:rPr>
              <w:t>Private property (0 = no effective restrictions on this type of eminent domain use, 0.5 = prohibits only some private-to-private transfers, 1 = prohibits private property taking for any private use, regardless of alleged public benefit)</w:t>
            </w:r>
          </w:p>
        </w:tc>
        <w:tc>
          <w:tcPr>
            <w:tcW w:w="6482" w:type="dxa"/>
          </w:tcPr>
          <w:p w14:paraId="789077F1" w14:textId="77777777" w:rsidR="0046798B" w:rsidRDefault="0046798B">
            <w:pPr>
              <w:pStyle w:val="TableParagraph"/>
            </w:pPr>
          </w:p>
          <w:p w14:paraId="59564186" w14:textId="77777777" w:rsidR="0046798B" w:rsidRDefault="0046798B">
            <w:pPr>
              <w:pStyle w:val="TableParagraph"/>
              <w:spacing w:before="4"/>
              <w:rPr>
                <w:sz w:val="21"/>
              </w:rPr>
            </w:pPr>
          </w:p>
          <w:p w14:paraId="5D1C9DF3"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0AD8262" w14:textId="77777777">
        <w:trPr>
          <w:trHeight w:val="2155"/>
        </w:trPr>
        <w:tc>
          <w:tcPr>
            <w:tcW w:w="1711" w:type="dxa"/>
          </w:tcPr>
          <w:p w14:paraId="2D240A67" w14:textId="77777777" w:rsidR="0046798B" w:rsidRDefault="0046798B">
            <w:pPr>
              <w:pStyle w:val="TableParagraph"/>
            </w:pPr>
          </w:p>
          <w:p w14:paraId="5AAFEF14" w14:textId="77777777" w:rsidR="0046798B" w:rsidRDefault="0046798B">
            <w:pPr>
              <w:pStyle w:val="TableParagraph"/>
            </w:pPr>
          </w:p>
          <w:p w14:paraId="2A73AE0E" w14:textId="77777777" w:rsidR="0046798B" w:rsidRDefault="0046798B">
            <w:pPr>
              <w:pStyle w:val="TableParagraph"/>
            </w:pPr>
          </w:p>
          <w:p w14:paraId="32E9161E" w14:textId="77777777" w:rsidR="0046798B" w:rsidRDefault="0046798B">
            <w:pPr>
              <w:pStyle w:val="TableParagraph"/>
              <w:spacing w:before="4"/>
              <w:rPr>
                <w:sz w:val="17"/>
              </w:rPr>
            </w:pPr>
          </w:p>
          <w:p w14:paraId="33025E3B" w14:textId="77777777" w:rsidR="0046798B" w:rsidRDefault="00903B5C">
            <w:pPr>
              <w:pStyle w:val="TableParagraph"/>
              <w:ind w:left="115"/>
              <w:rPr>
                <w:b/>
                <w:sz w:val="20"/>
              </w:rPr>
            </w:pPr>
            <w:r>
              <w:rPr>
                <w:b/>
                <w:sz w:val="20"/>
              </w:rPr>
              <w:t>freform</w:t>
            </w:r>
          </w:p>
        </w:tc>
        <w:tc>
          <w:tcPr>
            <w:tcW w:w="1596" w:type="dxa"/>
          </w:tcPr>
          <w:p w14:paraId="7CE5D565" w14:textId="77777777" w:rsidR="0046798B" w:rsidRDefault="00903B5C">
            <w:pPr>
              <w:pStyle w:val="TableParagraph"/>
              <w:spacing w:before="38"/>
              <w:ind w:left="114" w:right="107"/>
              <w:rPr>
                <w:sz w:val="20"/>
              </w:rPr>
            </w:pPr>
            <w:r>
              <w:rPr>
                <w:sz w:val="20"/>
              </w:rPr>
              <w:t>Enacted eminent domain reform through legislation or initiative, or court decision putting strict limits on “public use”</w:t>
            </w:r>
          </w:p>
        </w:tc>
        <w:tc>
          <w:tcPr>
            <w:tcW w:w="1285" w:type="dxa"/>
          </w:tcPr>
          <w:p w14:paraId="18388D56" w14:textId="77777777" w:rsidR="0046798B" w:rsidRDefault="0046798B">
            <w:pPr>
              <w:pStyle w:val="TableParagraph"/>
            </w:pPr>
          </w:p>
          <w:p w14:paraId="4C92E9A5" w14:textId="77777777" w:rsidR="0046798B" w:rsidRDefault="0046798B">
            <w:pPr>
              <w:pStyle w:val="TableParagraph"/>
            </w:pPr>
          </w:p>
          <w:p w14:paraId="3B1A2AC5" w14:textId="77777777" w:rsidR="0046798B" w:rsidRDefault="0046798B">
            <w:pPr>
              <w:pStyle w:val="TableParagraph"/>
            </w:pPr>
          </w:p>
          <w:p w14:paraId="75E79A82" w14:textId="77777777" w:rsidR="0046798B" w:rsidRDefault="0046798B">
            <w:pPr>
              <w:pStyle w:val="TableParagraph"/>
              <w:spacing w:before="4"/>
              <w:rPr>
                <w:sz w:val="17"/>
              </w:rPr>
            </w:pPr>
          </w:p>
          <w:p w14:paraId="511F705A" w14:textId="77777777" w:rsidR="0046798B" w:rsidRDefault="00903B5C">
            <w:pPr>
              <w:pStyle w:val="TableParagraph"/>
              <w:ind w:left="114"/>
              <w:rPr>
                <w:sz w:val="20"/>
              </w:rPr>
            </w:pPr>
            <w:r>
              <w:rPr>
                <w:sz w:val="20"/>
              </w:rPr>
              <w:t>2000–2016</w:t>
            </w:r>
          </w:p>
        </w:tc>
        <w:tc>
          <w:tcPr>
            <w:tcW w:w="3421" w:type="dxa"/>
          </w:tcPr>
          <w:p w14:paraId="3E2601BD" w14:textId="77777777" w:rsidR="0046798B" w:rsidRDefault="0046798B">
            <w:pPr>
              <w:pStyle w:val="TableParagraph"/>
            </w:pPr>
          </w:p>
          <w:p w14:paraId="531D8FB8" w14:textId="77777777" w:rsidR="0046798B" w:rsidRDefault="0046798B">
            <w:pPr>
              <w:pStyle w:val="TableParagraph"/>
              <w:spacing w:before="3"/>
              <w:rPr>
                <w:sz w:val="21"/>
              </w:rPr>
            </w:pPr>
          </w:p>
          <w:p w14:paraId="301F5A70" w14:textId="77777777" w:rsidR="0046798B" w:rsidRDefault="00903B5C">
            <w:pPr>
              <w:pStyle w:val="TableParagraph"/>
              <w:spacing w:before="1"/>
              <w:ind w:left="114" w:right="148"/>
              <w:rPr>
                <w:sz w:val="20"/>
              </w:rPr>
            </w:pPr>
            <w:r>
              <w:rPr>
                <w:sz w:val="20"/>
              </w:rPr>
              <w:t>Enacted eminent domain reform through legislation or initiative, or court decision putting strict limits on “public use” (0 = no, including judicial action, 1 = yes)</w:t>
            </w:r>
          </w:p>
        </w:tc>
        <w:tc>
          <w:tcPr>
            <w:tcW w:w="6482" w:type="dxa"/>
          </w:tcPr>
          <w:p w14:paraId="3DDD574D" w14:textId="77777777" w:rsidR="0046798B" w:rsidRDefault="0046798B">
            <w:pPr>
              <w:pStyle w:val="TableParagraph"/>
            </w:pPr>
          </w:p>
          <w:p w14:paraId="6F6AEBED" w14:textId="77777777" w:rsidR="0046798B" w:rsidRDefault="0046798B">
            <w:pPr>
              <w:pStyle w:val="TableParagraph"/>
            </w:pPr>
          </w:p>
          <w:p w14:paraId="73E9E3D2" w14:textId="77777777" w:rsidR="0046798B" w:rsidRDefault="0046798B">
            <w:pPr>
              <w:pStyle w:val="TableParagraph"/>
              <w:spacing w:before="3"/>
              <w:rPr>
                <w:sz w:val="19"/>
              </w:rPr>
            </w:pPr>
          </w:p>
          <w:p w14:paraId="6ED5F1E3"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754786B" w14:textId="77777777">
        <w:trPr>
          <w:trHeight w:val="1695"/>
        </w:trPr>
        <w:tc>
          <w:tcPr>
            <w:tcW w:w="1711" w:type="dxa"/>
          </w:tcPr>
          <w:p w14:paraId="3B6FB940" w14:textId="77777777" w:rsidR="0046798B" w:rsidRDefault="0046798B">
            <w:pPr>
              <w:pStyle w:val="TableParagraph"/>
            </w:pPr>
          </w:p>
          <w:p w14:paraId="4822A950" w14:textId="77777777" w:rsidR="0046798B" w:rsidRDefault="0046798B">
            <w:pPr>
              <w:pStyle w:val="TableParagraph"/>
            </w:pPr>
          </w:p>
          <w:p w14:paraId="74C62C77" w14:textId="77777777" w:rsidR="0046798B" w:rsidRDefault="0046798B">
            <w:pPr>
              <w:pStyle w:val="TableParagraph"/>
              <w:spacing w:before="4"/>
              <w:rPr>
                <w:sz w:val="19"/>
              </w:rPr>
            </w:pPr>
          </w:p>
          <w:p w14:paraId="71A4B93A" w14:textId="77777777" w:rsidR="0046798B" w:rsidRDefault="00903B5C">
            <w:pPr>
              <w:pStyle w:val="TableParagraph"/>
              <w:ind w:left="115"/>
              <w:rPr>
                <w:b/>
                <w:sz w:val="20"/>
              </w:rPr>
            </w:pPr>
            <w:r>
              <w:rPr>
                <w:b/>
                <w:sz w:val="20"/>
              </w:rPr>
              <w:t>frtp</w:t>
            </w:r>
          </w:p>
        </w:tc>
        <w:tc>
          <w:tcPr>
            <w:tcW w:w="1596" w:type="dxa"/>
          </w:tcPr>
          <w:p w14:paraId="5762EAC4" w14:textId="77777777" w:rsidR="0046798B" w:rsidRDefault="00903B5C">
            <w:pPr>
              <w:pStyle w:val="TableParagraph"/>
              <w:spacing w:before="38"/>
              <w:ind w:left="114" w:right="179"/>
              <w:rPr>
                <w:sz w:val="20"/>
              </w:rPr>
            </w:pPr>
            <w:r>
              <w:rPr>
                <w:sz w:val="20"/>
              </w:rPr>
              <w:t>Compensation required for or economic assessment required before regulatory taking</w:t>
            </w:r>
          </w:p>
        </w:tc>
        <w:tc>
          <w:tcPr>
            <w:tcW w:w="1285" w:type="dxa"/>
          </w:tcPr>
          <w:p w14:paraId="08D5556C" w14:textId="77777777" w:rsidR="0046798B" w:rsidRDefault="0046798B">
            <w:pPr>
              <w:pStyle w:val="TableParagraph"/>
            </w:pPr>
          </w:p>
          <w:p w14:paraId="7B3AB924" w14:textId="77777777" w:rsidR="0046798B" w:rsidRDefault="0046798B">
            <w:pPr>
              <w:pStyle w:val="TableParagraph"/>
            </w:pPr>
          </w:p>
          <w:p w14:paraId="16DDA107" w14:textId="77777777" w:rsidR="0046798B" w:rsidRDefault="0046798B">
            <w:pPr>
              <w:pStyle w:val="TableParagraph"/>
              <w:spacing w:before="4"/>
              <w:rPr>
                <w:sz w:val="19"/>
              </w:rPr>
            </w:pPr>
          </w:p>
          <w:p w14:paraId="4F774243" w14:textId="77777777" w:rsidR="0046798B" w:rsidRDefault="00903B5C">
            <w:pPr>
              <w:pStyle w:val="TableParagraph"/>
              <w:ind w:left="114"/>
              <w:rPr>
                <w:sz w:val="20"/>
              </w:rPr>
            </w:pPr>
            <w:r>
              <w:rPr>
                <w:sz w:val="20"/>
              </w:rPr>
              <w:t>2000–2016</w:t>
            </w:r>
          </w:p>
        </w:tc>
        <w:tc>
          <w:tcPr>
            <w:tcW w:w="3421" w:type="dxa"/>
          </w:tcPr>
          <w:p w14:paraId="2D35F170" w14:textId="77777777" w:rsidR="0046798B" w:rsidRDefault="0046798B">
            <w:pPr>
              <w:pStyle w:val="TableParagraph"/>
              <w:spacing w:before="4"/>
              <w:rPr>
                <w:sz w:val="23"/>
              </w:rPr>
            </w:pPr>
          </w:p>
          <w:p w14:paraId="097C1B26" w14:textId="77777777" w:rsidR="0046798B" w:rsidRDefault="00903B5C">
            <w:pPr>
              <w:pStyle w:val="TableParagraph"/>
              <w:ind w:left="114" w:right="205"/>
              <w:rPr>
                <w:sz w:val="20"/>
              </w:rPr>
            </w:pPr>
            <w:r>
              <w:rPr>
                <w:sz w:val="20"/>
              </w:rPr>
              <w:t>Compensation required for or economic assessment required before regulatory taking (stricter than federal standard)?</w:t>
            </w:r>
          </w:p>
        </w:tc>
        <w:tc>
          <w:tcPr>
            <w:tcW w:w="6482" w:type="dxa"/>
          </w:tcPr>
          <w:p w14:paraId="792A42E3" w14:textId="77777777" w:rsidR="0046798B" w:rsidRDefault="0046798B">
            <w:pPr>
              <w:pStyle w:val="TableParagraph"/>
            </w:pPr>
          </w:p>
          <w:p w14:paraId="6555069C" w14:textId="77777777" w:rsidR="0046798B" w:rsidRDefault="0046798B">
            <w:pPr>
              <w:pStyle w:val="TableParagraph"/>
              <w:spacing w:before="4"/>
              <w:rPr>
                <w:sz w:val="21"/>
              </w:rPr>
            </w:pPr>
          </w:p>
          <w:p w14:paraId="09EB6A2A"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6E9C6C52" w14:textId="77777777" w:rsidR="0046798B" w:rsidRDefault="0046798B">
      <w:pPr>
        <w:rPr>
          <w:sz w:val="20"/>
        </w:rPr>
        <w:sectPr w:rsidR="0046798B">
          <w:pgSz w:w="15840" w:h="12240" w:orient="landscape"/>
          <w:pgMar w:top="1220" w:right="300" w:bottom="980" w:left="820" w:header="730" w:footer="787" w:gutter="0"/>
          <w:cols w:space="720"/>
        </w:sectPr>
      </w:pPr>
    </w:p>
    <w:p w14:paraId="01F482A0"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71336B29" w14:textId="77777777">
        <w:trPr>
          <w:trHeight w:val="775"/>
        </w:trPr>
        <w:tc>
          <w:tcPr>
            <w:tcW w:w="1711" w:type="dxa"/>
          </w:tcPr>
          <w:p w14:paraId="1C43D8EB" w14:textId="77777777" w:rsidR="0046798B" w:rsidRDefault="0046798B">
            <w:pPr>
              <w:pStyle w:val="TableParagraph"/>
              <w:rPr>
                <w:sz w:val="20"/>
              </w:rPr>
            </w:pPr>
          </w:p>
        </w:tc>
        <w:tc>
          <w:tcPr>
            <w:tcW w:w="1596" w:type="dxa"/>
          </w:tcPr>
          <w:p w14:paraId="71E569F7" w14:textId="77777777" w:rsidR="0046798B" w:rsidRDefault="0046798B">
            <w:pPr>
              <w:pStyle w:val="TableParagraph"/>
              <w:rPr>
                <w:sz w:val="20"/>
              </w:rPr>
            </w:pPr>
          </w:p>
        </w:tc>
        <w:tc>
          <w:tcPr>
            <w:tcW w:w="1285" w:type="dxa"/>
          </w:tcPr>
          <w:p w14:paraId="091F1B39" w14:textId="77777777" w:rsidR="0046798B" w:rsidRDefault="0046798B">
            <w:pPr>
              <w:pStyle w:val="TableParagraph"/>
              <w:rPr>
                <w:sz w:val="20"/>
              </w:rPr>
            </w:pPr>
          </w:p>
        </w:tc>
        <w:tc>
          <w:tcPr>
            <w:tcW w:w="3421" w:type="dxa"/>
          </w:tcPr>
          <w:p w14:paraId="0964222B" w14:textId="77777777" w:rsidR="0046798B" w:rsidRDefault="00903B5C">
            <w:pPr>
              <w:pStyle w:val="TableParagraph"/>
              <w:spacing w:before="43"/>
              <w:ind w:left="114" w:right="305"/>
              <w:rPr>
                <w:sz w:val="20"/>
              </w:rPr>
            </w:pPr>
            <w:r>
              <w:rPr>
                <w:sz w:val="20"/>
              </w:rPr>
              <w:t>(0 = neither, 1 = one of the two, 2 = both; multiplied by 0.5 if applies to state government only, not localities)</w:t>
            </w:r>
          </w:p>
        </w:tc>
        <w:tc>
          <w:tcPr>
            <w:tcW w:w="6482" w:type="dxa"/>
          </w:tcPr>
          <w:p w14:paraId="617F7188" w14:textId="77777777" w:rsidR="0046798B" w:rsidRDefault="0046798B">
            <w:pPr>
              <w:pStyle w:val="TableParagraph"/>
              <w:rPr>
                <w:sz w:val="20"/>
              </w:rPr>
            </w:pPr>
          </w:p>
        </w:tc>
      </w:tr>
      <w:tr w:rsidR="0046798B" w14:paraId="6CFCE126" w14:textId="77777777">
        <w:trPr>
          <w:trHeight w:val="1235"/>
        </w:trPr>
        <w:tc>
          <w:tcPr>
            <w:tcW w:w="1711" w:type="dxa"/>
          </w:tcPr>
          <w:p w14:paraId="5CA2EE4B" w14:textId="77777777" w:rsidR="0046798B" w:rsidRDefault="0046798B">
            <w:pPr>
              <w:pStyle w:val="TableParagraph"/>
            </w:pPr>
          </w:p>
          <w:p w14:paraId="719C8A63" w14:textId="77777777" w:rsidR="0046798B" w:rsidRDefault="0046798B">
            <w:pPr>
              <w:pStyle w:val="TableParagraph"/>
              <w:spacing w:before="8"/>
              <w:rPr>
                <w:sz w:val="21"/>
              </w:rPr>
            </w:pPr>
          </w:p>
          <w:p w14:paraId="1D75DB52" w14:textId="77777777" w:rsidR="0046798B" w:rsidRDefault="00903B5C">
            <w:pPr>
              <w:pStyle w:val="TableParagraph"/>
              <w:spacing w:before="1"/>
              <w:ind w:left="115"/>
              <w:rPr>
                <w:b/>
                <w:sz w:val="20"/>
              </w:rPr>
            </w:pPr>
            <w:r>
              <w:rPr>
                <w:b/>
                <w:sz w:val="20"/>
              </w:rPr>
              <w:t>jclsifc</w:t>
            </w:r>
          </w:p>
        </w:tc>
        <w:tc>
          <w:tcPr>
            <w:tcW w:w="1596" w:type="dxa"/>
          </w:tcPr>
          <w:p w14:paraId="4D6BAD3C" w14:textId="77777777" w:rsidR="0046798B" w:rsidRDefault="00903B5C">
            <w:pPr>
              <w:pStyle w:val="TableParagraph"/>
              <w:spacing w:before="158"/>
              <w:ind w:left="114" w:right="102"/>
              <w:rPr>
                <w:sz w:val="20"/>
              </w:rPr>
            </w:pPr>
            <w:r>
              <w:rPr>
                <w:sz w:val="20"/>
              </w:rPr>
              <w:t>Cable legislation for state-issued franchise companies</w:t>
            </w:r>
          </w:p>
        </w:tc>
        <w:tc>
          <w:tcPr>
            <w:tcW w:w="1285" w:type="dxa"/>
          </w:tcPr>
          <w:p w14:paraId="36E1A579" w14:textId="77777777" w:rsidR="0046798B" w:rsidRDefault="0046798B">
            <w:pPr>
              <w:pStyle w:val="TableParagraph"/>
            </w:pPr>
          </w:p>
          <w:p w14:paraId="0995E229" w14:textId="77777777" w:rsidR="0046798B" w:rsidRDefault="0046798B">
            <w:pPr>
              <w:pStyle w:val="TableParagraph"/>
              <w:spacing w:before="8"/>
              <w:rPr>
                <w:sz w:val="21"/>
              </w:rPr>
            </w:pPr>
          </w:p>
          <w:p w14:paraId="5611F225" w14:textId="77777777" w:rsidR="0046798B" w:rsidRDefault="00903B5C">
            <w:pPr>
              <w:pStyle w:val="TableParagraph"/>
              <w:spacing w:before="1"/>
              <w:ind w:left="114"/>
              <w:rPr>
                <w:sz w:val="20"/>
              </w:rPr>
            </w:pPr>
            <w:r>
              <w:rPr>
                <w:sz w:val="20"/>
              </w:rPr>
              <w:t>1990–2016</w:t>
            </w:r>
          </w:p>
        </w:tc>
        <w:tc>
          <w:tcPr>
            <w:tcW w:w="3421" w:type="dxa"/>
          </w:tcPr>
          <w:p w14:paraId="09835893" w14:textId="77777777" w:rsidR="0046798B" w:rsidRDefault="00903B5C">
            <w:pPr>
              <w:pStyle w:val="TableParagraph"/>
              <w:spacing w:before="43"/>
              <w:ind w:left="114" w:right="261"/>
              <w:rPr>
                <w:sz w:val="20"/>
              </w:rPr>
            </w:pPr>
            <w:r>
              <w:rPr>
                <w:sz w:val="20"/>
              </w:rPr>
              <w:t>Cable legislation for state issued franchise companies (0 = no, 1 = yes, state has “enacted legislation to promote effective competition among cable service providers”)</w:t>
            </w:r>
          </w:p>
        </w:tc>
        <w:tc>
          <w:tcPr>
            <w:tcW w:w="6482" w:type="dxa"/>
          </w:tcPr>
          <w:p w14:paraId="0EE9BECC" w14:textId="77777777" w:rsidR="0046798B" w:rsidRDefault="0046798B">
            <w:pPr>
              <w:pStyle w:val="TableParagraph"/>
              <w:spacing w:before="8"/>
              <w:rPr>
                <w:sz w:val="23"/>
              </w:rPr>
            </w:pPr>
          </w:p>
          <w:p w14:paraId="38493ED9" w14:textId="77777777" w:rsidR="0046798B" w:rsidRDefault="00903B5C">
            <w:pPr>
              <w:pStyle w:val="TableParagraph"/>
              <w:spacing w:before="1"/>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3269475" w14:textId="77777777">
        <w:trPr>
          <w:trHeight w:val="780"/>
        </w:trPr>
        <w:tc>
          <w:tcPr>
            <w:tcW w:w="1711" w:type="dxa"/>
          </w:tcPr>
          <w:p w14:paraId="3C56523C" w14:textId="77777777" w:rsidR="0046798B" w:rsidRDefault="0046798B">
            <w:pPr>
              <w:pStyle w:val="TableParagraph"/>
              <w:spacing w:before="8"/>
              <w:rPr>
                <w:sz w:val="23"/>
              </w:rPr>
            </w:pPr>
          </w:p>
          <w:p w14:paraId="569DA322" w14:textId="77777777" w:rsidR="0046798B" w:rsidRDefault="00903B5C">
            <w:pPr>
              <w:pStyle w:val="TableParagraph"/>
              <w:spacing w:before="1"/>
              <w:ind w:left="115"/>
              <w:rPr>
                <w:b/>
                <w:sz w:val="20"/>
              </w:rPr>
            </w:pPr>
            <w:r>
              <w:rPr>
                <w:b/>
                <w:sz w:val="20"/>
              </w:rPr>
              <w:t>jtdereg</w:t>
            </w:r>
          </w:p>
        </w:tc>
        <w:tc>
          <w:tcPr>
            <w:tcW w:w="1596" w:type="dxa"/>
          </w:tcPr>
          <w:p w14:paraId="7888394C" w14:textId="77777777" w:rsidR="0046798B" w:rsidRDefault="00903B5C">
            <w:pPr>
              <w:pStyle w:val="TableParagraph"/>
              <w:spacing w:before="158"/>
              <w:ind w:left="114" w:right="108"/>
              <w:rPr>
                <w:sz w:val="20"/>
              </w:rPr>
            </w:pPr>
            <w:r>
              <w:rPr>
                <w:sz w:val="20"/>
              </w:rPr>
              <w:t>Telecommunicat ion deregulation</w:t>
            </w:r>
          </w:p>
        </w:tc>
        <w:tc>
          <w:tcPr>
            <w:tcW w:w="1285" w:type="dxa"/>
          </w:tcPr>
          <w:p w14:paraId="1D0B12AC" w14:textId="77777777" w:rsidR="0046798B" w:rsidRDefault="0046798B">
            <w:pPr>
              <w:pStyle w:val="TableParagraph"/>
              <w:spacing w:before="8"/>
              <w:rPr>
                <w:sz w:val="23"/>
              </w:rPr>
            </w:pPr>
          </w:p>
          <w:p w14:paraId="4CD7FFEA" w14:textId="77777777" w:rsidR="0046798B" w:rsidRDefault="00903B5C">
            <w:pPr>
              <w:pStyle w:val="TableParagraph"/>
              <w:spacing w:before="1"/>
              <w:ind w:left="114"/>
              <w:rPr>
                <w:sz w:val="20"/>
              </w:rPr>
            </w:pPr>
            <w:r>
              <w:rPr>
                <w:sz w:val="20"/>
              </w:rPr>
              <w:t>1990–2016</w:t>
            </w:r>
          </w:p>
        </w:tc>
        <w:tc>
          <w:tcPr>
            <w:tcW w:w="3421" w:type="dxa"/>
          </w:tcPr>
          <w:p w14:paraId="15818D07" w14:textId="77777777" w:rsidR="0046798B" w:rsidRDefault="00903B5C">
            <w:pPr>
              <w:pStyle w:val="TableParagraph"/>
              <w:spacing w:before="43"/>
              <w:ind w:left="114" w:right="211"/>
              <w:jc w:val="both"/>
              <w:rPr>
                <w:sz w:val="20"/>
              </w:rPr>
            </w:pPr>
            <w:r>
              <w:rPr>
                <w:sz w:val="20"/>
              </w:rPr>
              <w:t>Telecommunication deregulation (0 = no, 1 = deregulation legislation passed and signed)</w:t>
            </w:r>
          </w:p>
        </w:tc>
        <w:tc>
          <w:tcPr>
            <w:tcW w:w="6482" w:type="dxa"/>
          </w:tcPr>
          <w:p w14:paraId="260BF0EE"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A89A63A" w14:textId="77777777">
        <w:trPr>
          <w:trHeight w:val="1465"/>
        </w:trPr>
        <w:tc>
          <w:tcPr>
            <w:tcW w:w="1711" w:type="dxa"/>
          </w:tcPr>
          <w:p w14:paraId="6A1A169B" w14:textId="77777777" w:rsidR="0046798B" w:rsidRDefault="0046798B">
            <w:pPr>
              <w:pStyle w:val="TableParagraph"/>
            </w:pPr>
          </w:p>
          <w:p w14:paraId="05E22ACE" w14:textId="77777777" w:rsidR="0046798B" w:rsidRDefault="0046798B">
            <w:pPr>
              <w:pStyle w:val="TableParagraph"/>
              <w:spacing w:before="4"/>
              <w:rPr>
                <w:sz w:val="31"/>
              </w:rPr>
            </w:pPr>
          </w:p>
          <w:p w14:paraId="5090C2ED" w14:textId="77777777" w:rsidR="0046798B" w:rsidRDefault="00903B5C">
            <w:pPr>
              <w:pStyle w:val="TableParagraph"/>
              <w:ind w:left="115"/>
              <w:rPr>
                <w:b/>
                <w:sz w:val="20"/>
              </w:rPr>
            </w:pPr>
            <w:r>
              <w:rPr>
                <w:b/>
                <w:sz w:val="20"/>
              </w:rPr>
              <w:t>niiprc</w:t>
            </w:r>
          </w:p>
        </w:tc>
        <w:tc>
          <w:tcPr>
            <w:tcW w:w="1596" w:type="dxa"/>
          </w:tcPr>
          <w:p w14:paraId="5C92F0BD" w14:textId="77777777" w:rsidR="0046798B" w:rsidRDefault="00903B5C">
            <w:pPr>
              <w:pStyle w:val="TableParagraph"/>
              <w:spacing w:before="38"/>
              <w:ind w:left="114" w:right="557"/>
              <w:rPr>
                <w:sz w:val="20"/>
              </w:rPr>
            </w:pPr>
            <w:r>
              <w:rPr>
                <w:sz w:val="20"/>
              </w:rPr>
              <w:t>Member of interstate insurance product regulation compact</w:t>
            </w:r>
          </w:p>
        </w:tc>
        <w:tc>
          <w:tcPr>
            <w:tcW w:w="1285" w:type="dxa"/>
          </w:tcPr>
          <w:p w14:paraId="0C2A590E" w14:textId="77777777" w:rsidR="0046798B" w:rsidRDefault="0046798B">
            <w:pPr>
              <w:pStyle w:val="TableParagraph"/>
            </w:pPr>
          </w:p>
          <w:p w14:paraId="4FA7321F" w14:textId="77777777" w:rsidR="0046798B" w:rsidRDefault="0046798B">
            <w:pPr>
              <w:pStyle w:val="TableParagraph"/>
              <w:spacing w:before="4"/>
              <w:rPr>
                <w:sz w:val="31"/>
              </w:rPr>
            </w:pPr>
          </w:p>
          <w:p w14:paraId="5C3AA667" w14:textId="77777777" w:rsidR="0046798B" w:rsidRDefault="00903B5C">
            <w:pPr>
              <w:pStyle w:val="TableParagraph"/>
              <w:ind w:left="114"/>
              <w:rPr>
                <w:sz w:val="20"/>
              </w:rPr>
            </w:pPr>
            <w:r>
              <w:rPr>
                <w:sz w:val="20"/>
              </w:rPr>
              <w:t>2000–2016</w:t>
            </w:r>
          </w:p>
        </w:tc>
        <w:tc>
          <w:tcPr>
            <w:tcW w:w="3421" w:type="dxa"/>
          </w:tcPr>
          <w:p w14:paraId="510EA0C6" w14:textId="77777777" w:rsidR="0046798B" w:rsidRDefault="0046798B">
            <w:pPr>
              <w:pStyle w:val="TableParagraph"/>
            </w:pPr>
          </w:p>
          <w:p w14:paraId="393AA03A" w14:textId="77777777" w:rsidR="0046798B" w:rsidRDefault="0046798B">
            <w:pPr>
              <w:pStyle w:val="TableParagraph"/>
              <w:spacing w:before="4"/>
              <w:rPr>
                <w:sz w:val="21"/>
              </w:rPr>
            </w:pPr>
          </w:p>
          <w:p w14:paraId="192191D0" w14:textId="77777777" w:rsidR="0046798B" w:rsidRDefault="00903B5C">
            <w:pPr>
              <w:pStyle w:val="TableParagraph"/>
              <w:ind w:left="114" w:right="122"/>
              <w:rPr>
                <w:sz w:val="20"/>
              </w:rPr>
            </w:pPr>
            <w:r>
              <w:rPr>
                <w:sz w:val="20"/>
              </w:rPr>
              <w:t>Member of interstate insurance product regulation compact (0 = no, 1 = yes)</w:t>
            </w:r>
          </w:p>
        </w:tc>
        <w:tc>
          <w:tcPr>
            <w:tcW w:w="6482" w:type="dxa"/>
          </w:tcPr>
          <w:p w14:paraId="37E389A4" w14:textId="77777777" w:rsidR="0046798B" w:rsidRDefault="0046798B">
            <w:pPr>
              <w:pStyle w:val="TableParagraph"/>
            </w:pPr>
          </w:p>
          <w:p w14:paraId="2F243172" w14:textId="77777777" w:rsidR="0046798B" w:rsidRDefault="00903B5C">
            <w:pPr>
              <w:pStyle w:val="TableParagraph"/>
              <w:spacing w:before="130"/>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E108A76" w14:textId="77777777">
        <w:trPr>
          <w:trHeight w:val="1005"/>
        </w:trPr>
        <w:tc>
          <w:tcPr>
            <w:tcW w:w="1711" w:type="dxa"/>
          </w:tcPr>
          <w:p w14:paraId="2DBAC14F" w14:textId="77777777" w:rsidR="0046798B" w:rsidRDefault="0046798B">
            <w:pPr>
              <w:pStyle w:val="TableParagraph"/>
            </w:pPr>
          </w:p>
          <w:p w14:paraId="7096BD0D" w14:textId="77777777" w:rsidR="0046798B" w:rsidRDefault="00903B5C">
            <w:pPr>
              <w:pStyle w:val="TableParagraph"/>
              <w:spacing w:before="130"/>
              <w:ind w:left="115"/>
              <w:rPr>
                <w:b/>
                <w:sz w:val="20"/>
              </w:rPr>
            </w:pPr>
            <w:r>
              <w:rPr>
                <w:b/>
                <w:sz w:val="20"/>
              </w:rPr>
              <w:t>ncon</w:t>
            </w:r>
          </w:p>
        </w:tc>
        <w:tc>
          <w:tcPr>
            <w:tcW w:w="1596" w:type="dxa"/>
          </w:tcPr>
          <w:p w14:paraId="61DF9541" w14:textId="77777777" w:rsidR="0046798B" w:rsidRDefault="00903B5C">
            <w:pPr>
              <w:pStyle w:val="TableParagraph"/>
              <w:spacing w:before="38"/>
              <w:ind w:left="114" w:right="149"/>
              <w:rPr>
                <w:sz w:val="20"/>
              </w:rPr>
            </w:pPr>
            <w:r>
              <w:rPr>
                <w:sz w:val="20"/>
              </w:rPr>
              <w:t>Certificate of need requirement for hospitals</w:t>
            </w:r>
          </w:p>
        </w:tc>
        <w:tc>
          <w:tcPr>
            <w:tcW w:w="1285" w:type="dxa"/>
          </w:tcPr>
          <w:p w14:paraId="596DD06E" w14:textId="77777777" w:rsidR="0046798B" w:rsidRDefault="0046798B">
            <w:pPr>
              <w:pStyle w:val="TableParagraph"/>
            </w:pPr>
          </w:p>
          <w:p w14:paraId="64E1E26D" w14:textId="77777777" w:rsidR="0046798B" w:rsidRDefault="00903B5C">
            <w:pPr>
              <w:pStyle w:val="TableParagraph"/>
              <w:spacing w:before="130"/>
              <w:ind w:left="114"/>
              <w:rPr>
                <w:sz w:val="20"/>
              </w:rPr>
            </w:pPr>
            <w:r>
              <w:rPr>
                <w:sz w:val="20"/>
              </w:rPr>
              <w:t>2000–2016</w:t>
            </w:r>
          </w:p>
        </w:tc>
        <w:tc>
          <w:tcPr>
            <w:tcW w:w="3421" w:type="dxa"/>
          </w:tcPr>
          <w:p w14:paraId="48B860F7" w14:textId="77777777" w:rsidR="0046798B" w:rsidRDefault="0046798B">
            <w:pPr>
              <w:pStyle w:val="TableParagraph"/>
              <w:spacing w:before="3"/>
              <w:rPr>
                <w:sz w:val="23"/>
              </w:rPr>
            </w:pPr>
          </w:p>
          <w:p w14:paraId="646CB6C0" w14:textId="77777777" w:rsidR="0046798B" w:rsidRDefault="00903B5C">
            <w:pPr>
              <w:pStyle w:val="TableParagraph"/>
              <w:spacing w:before="1"/>
              <w:ind w:left="114"/>
              <w:rPr>
                <w:sz w:val="20"/>
              </w:rPr>
            </w:pPr>
            <w:r>
              <w:rPr>
                <w:sz w:val="20"/>
              </w:rPr>
              <w:t>Certificate of need requirement for hospitals? (0 = no, 1 = yes)</w:t>
            </w:r>
          </w:p>
        </w:tc>
        <w:tc>
          <w:tcPr>
            <w:tcW w:w="6482" w:type="dxa"/>
          </w:tcPr>
          <w:p w14:paraId="39ABC77B" w14:textId="77777777" w:rsidR="0046798B" w:rsidRDefault="00903B5C">
            <w:pPr>
              <w:pStyle w:val="TableParagraph"/>
              <w:spacing w:before="15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0F1B7FE9" w14:textId="77777777">
        <w:trPr>
          <w:trHeight w:val="1695"/>
        </w:trPr>
        <w:tc>
          <w:tcPr>
            <w:tcW w:w="1711" w:type="dxa"/>
          </w:tcPr>
          <w:p w14:paraId="2B9C7D00" w14:textId="77777777" w:rsidR="0046798B" w:rsidRDefault="0046798B">
            <w:pPr>
              <w:pStyle w:val="TableParagraph"/>
            </w:pPr>
          </w:p>
          <w:p w14:paraId="2D744251" w14:textId="77777777" w:rsidR="0046798B" w:rsidRDefault="0046798B">
            <w:pPr>
              <w:pStyle w:val="TableParagraph"/>
            </w:pPr>
          </w:p>
          <w:p w14:paraId="6020E4AE" w14:textId="77777777" w:rsidR="0046798B" w:rsidRDefault="0046798B">
            <w:pPr>
              <w:pStyle w:val="TableParagraph"/>
              <w:spacing w:before="3"/>
              <w:rPr>
                <w:sz w:val="19"/>
              </w:rPr>
            </w:pPr>
          </w:p>
          <w:p w14:paraId="68F1DD72" w14:textId="77777777" w:rsidR="0046798B" w:rsidRDefault="00903B5C">
            <w:pPr>
              <w:pStyle w:val="TableParagraph"/>
              <w:spacing w:before="1"/>
              <w:ind w:left="115"/>
              <w:rPr>
                <w:b/>
                <w:sz w:val="20"/>
              </w:rPr>
            </w:pPr>
            <w:r>
              <w:rPr>
                <w:b/>
                <w:sz w:val="20"/>
              </w:rPr>
              <w:t>ndirect</w:t>
            </w:r>
          </w:p>
        </w:tc>
        <w:tc>
          <w:tcPr>
            <w:tcW w:w="1596" w:type="dxa"/>
          </w:tcPr>
          <w:p w14:paraId="21C95062" w14:textId="77777777" w:rsidR="0046798B" w:rsidRDefault="00903B5C">
            <w:pPr>
              <w:pStyle w:val="TableParagraph"/>
              <w:spacing w:before="43"/>
              <w:ind w:left="114" w:right="285"/>
              <w:rPr>
                <w:sz w:val="20"/>
              </w:rPr>
            </w:pPr>
            <w:r>
              <w:rPr>
                <w:sz w:val="20"/>
              </w:rPr>
              <w:t>Certain categories of auto manufacturers allowed to sell directly to consumers</w:t>
            </w:r>
          </w:p>
        </w:tc>
        <w:tc>
          <w:tcPr>
            <w:tcW w:w="1285" w:type="dxa"/>
          </w:tcPr>
          <w:p w14:paraId="431D7DA4" w14:textId="77777777" w:rsidR="0046798B" w:rsidRDefault="0046798B">
            <w:pPr>
              <w:pStyle w:val="TableParagraph"/>
            </w:pPr>
          </w:p>
          <w:p w14:paraId="5D69E5B3" w14:textId="77777777" w:rsidR="0046798B" w:rsidRDefault="0046798B">
            <w:pPr>
              <w:pStyle w:val="TableParagraph"/>
            </w:pPr>
          </w:p>
          <w:p w14:paraId="429DFE29" w14:textId="77777777" w:rsidR="0046798B" w:rsidRDefault="0046798B">
            <w:pPr>
              <w:pStyle w:val="TableParagraph"/>
              <w:spacing w:before="3"/>
              <w:rPr>
                <w:sz w:val="19"/>
              </w:rPr>
            </w:pPr>
          </w:p>
          <w:p w14:paraId="422C4795" w14:textId="77777777" w:rsidR="0046798B" w:rsidRDefault="00903B5C">
            <w:pPr>
              <w:pStyle w:val="TableParagraph"/>
              <w:spacing w:before="1"/>
              <w:ind w:left="114"/>
              <w:rPr>
                <w:sz w:val="20"/>
              </w:rPr>
            </w:pPr>
            <w:r>
              <w:rPr>
                <w:sz w:val="20"/>
              </w:rPr>
              <w:t>2000–2016</w:t>
            </w:r>
          </w:p>
        </w:tc>
        <w:tc>
          <w:tcPr>
            <w:tcW w:w="3421" w:type="dxa"/>
          </w:tcPr>
          <w:p w14:paraId="37C2ED0E" w14:textId="77777777" w:rsidR="0046798B" w:rsidRDefault="0046798B">
            <w:pPr>
              <w:pStyle w:val="TableParagraph"/>
            </w:pPr>
          </w:p>
          <w:p w14:paraId="4C0D0854" w14:textId="77777777" w:rsidR="0046798B" w:rsidRDefault="0046798B">
            <w:pPr>
              <w:pStyle w:val="TableParagraph"/>
              <w:spacing w:before="10"/>
              <w:rPr>
                <w:sz w:val="21"/>
              </w:rPr>
            </w:pPr>
          </w:p>
          <w:p w14:paraId="2B055AFB" w14:textId="77777777" w:rsidR="0046798B" w:rsidRDefault="00903B5C">
            <w:pPr>
              <w:pStyle w:val="TableParagraph"/>
              <w:spacing w:line="237" w:lineRule="auto"/>
              <w:ind w:left="114" w:right="255"/>
              <w:rPr>
                <w:sz w:val="20"/>
              </w:rPr>
            </w:pPr>
            <w:r>
              <w:rPr>
                <w:sz w:val="20"/>
              </w:rPr>
              <w:t>Are certain categories of auto manufacturers allowed to sell directly to consumers? (0 = no, 1 = yes)</w:t>
            </w:r>
          </w:p>
        </w:tc>
        <w:tc>
          <w:tcPr>
            <w:tcW w:w="6482" w:type="dxa"/>
          </w:tcPr>
          <w:p w14:paraId="07800835" w14:textId="77777777" w:rsidR="0046798B" w:rsidRDefault="0046798B">
            <w:pPr>
              <w:pStyle w:val="TableParagraph"/>
            </w:pPr>
          </w:p>
          <w:p w14:paraId="55C7957F" w14:textId="77777777" w:rsidR="0046798B" w:rsidRDefault="0046798B">
            <w:pPr>
              <w:pStyle w:val="TableParagraph"/>
              <w:spacing w:before="10"/>
              <w:rPr>
                <w:sz w:val="21"/>
              </w:rPr>
            </w:pPr>
          </w:p>
          <w:p w14:paraId="64BF0479" w14:textId="77777777" w:rsidR="0046798B" w:rsidRDefault="00903B5C">
            <w:pPr>
              <w:pStyle w:val="TableParagraph"/>
              <w:spacing w:line="237" w:lineRule="auto"/>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33209A0" w14:textId="77777777">
        <w:trPr>
          <w:trHeight w:val="775"/>
        </w:trPr>
        <w:tc>
          <w:tcPr>
            <w:tcW w:w="1711" w:type="dxa"/>
          </w:tcPr>
          <w:p w14:paraId="2D06BAFA" w14:textId="77777777" w:rsidR="0046798B" w:rsidRDefault="0046798B">
            <w:pPr>
              <w:pStyle w:val="TableParagraph"/>
              <w:spacing w:before="8"/>
              <w:rPr>
                <w:sz w:val="23"/>
              </w:rPr>
            </w:pPr>
          </w:p>
          <w:p w14:paraId="763FDE89" w14:textId="77777777" w:rsidR="0046798B" w:rsidRDefault="00903B5C">
            <w:pPr>
              <w:pStyle w:val="TableParagraph"/>
              <w:spacing w:before="1"/>
              <w:ind w:left="115"/>
              <w:rPr>
                <w:b/>
                <w:sz w:val="20"/>
              </w:rPr>
            </w:pPr>
            <w:r>
              <w:rPr>
                <w:b/>
                <w:sz w:val="20"/>
              </w:rPr>
              <w:t>nprice</w:t>
            </w:r>
          </w:p>
        </w:tc>
        <w:tc>
          <w:tcPr>
            <w:tcW w:w="1596" w:type="dxa"/>
          </w:tcPr>
          <w:p w14:paraId="0B49262F" w14:textId="77777777" w:rsidR="0046798B" w:rsidRDefault="00903B5C">
            <w:pPr>
              <w:pStyle w:val="TableParagraph"/>
              <w:spacing w:before="158"/>
              <w:ind w:left="114" w:right="457"/>
              <w:rPr>
                <w:sz w:val="20"/>
              </w:rPr>
            </w:pPr>
            <w:r>
              <w:rPr>
                <w:sz w:val="20"/>
              </w:rPr>
              <w:t>Anti price gouging law</w:t>
            </w:r>
          </w:p>
        </w:tc>
        <w:tc>
          <w:tcPr>
            <w:tcW w:w="1285" w:type="dxa"/>
          </w:tcPr>
          <w:p w14:paraId="104A88A8" w14:textId="77777777" w:rsidR="0046798B" w:rsidRDefault="0046798B">
            <w:pPr>
              <w:pStyle w:val="TableParagraph"/>
              <w:spacing w:before="8"/>
              <w:rPr>
                <w:sz w:val="23"/>
              </w:rPr>
            </w:pPr>
          </w:p>
          <w:p w14:paraId="1669559F" w14:textId="77777777" w:rsidR="0046798B" w:rsidRDefault="00903B5C">
            <w:pPr>
              <w:pStyle w:val="TableParagraph"/>
              <w:spacing w:before="1"/>
              <w:ind w:left="114"/>
              <w:rPr>
                <w:sz w:val="20"/>
              </w:rPr>
            </w:pPr>
            <w:r>
              <w:rPr>
                <w:sz w:val="20"/>
              </w:rPr>
              <w:t>2000–2016</w:t>
            </w:r>
          </w:p>
        </w:tc>
        <w:tc>
          <w:tcPr>
            <w:tcW w:w="3421" w:type="dxa"/>
          </w:tcPr>
          <w:p w14:paraId="62067E44" w14:textId="77777777" w:rsidR="0046798B" w:rsidRDefault="00903B5C">
            <w:pPr>
              <w:pStyle w:val="TableParagraph"/>
              <w:spacing w:before="158"/>
              <w:ind w:left="114" w:right="196"/>
              <w:rPr>
                <w:sz w:val="20"/>
              </w:rPr>
            </w:pPr>
            <w:r>
              <w:rPr>
                <w:sz w:val="20"/>
              </w:rPr>
              <w:t>Anti price gouging law? (0 = no, 0.5 = drugs only, 1 = yes)</w:t>
            </w:r>
          </w:p>
        </w:tc>
        <w:tc>
          <w:tcPr>
            <w:tcW w:w="6482" w:type="dxa"/>
          </w:tcPr>
          <w:p w14:paraId="2E26D7D0"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A690A89" w14:textId="77777777">
        <w:trPr>
          <w:trHeight w:val="1005"/>
        </w:trPr>
        <w:tc>
          <w:tcPr>
            <w:tcW w:w="1711" w:type="dxa"/>
          </w:tcPr>
          <w:p w14:paraId="51A80867" w14:textId="77777777" w:rsidR="0046798B" w:rsidRDefault="0046798B">
            <w:pPr>
              <w:pStyle w:val="TableParagraph"/>
            </w:pPr>
          </w:p>
          <w:p w14:paraId="365749FC" w14:textId="77777777" w:rsidR="0046798B" w:rsidRDefault="00903B5C">
            <w:pPr>
              <w:pStyle w:val="TableParagraph"/>
              <w:spacing w:before="135"/>
              <w:ind w:left="115"/>
              <w:rPr>
                <w:b/>
                <w:sz w:val="20"/>
              </w:rPr>
            </w:pPr>
            <w:r>
              <w:rPr>
                <w:b/>
                <w:sz w:val="20"/>
              </w:rPr>
              <w:t>nmarkup</w:t>
            </w:r>
          </w:p>
        </w:tc>
        <w:tc>
          <w:tcPr>
            <w:tcW w:w="1596" w:type="dxa"/>
          </w:tcPr>
          <w:p w14:paraId="4DBE17F8" w14:textId="77777777" w:rsidR="0046798B" w:rsidRDefault="00903B5C">
            <w:pPr>
              <w:pStyle w:val="TableParagraph"/>
              <w:spacing w:before="43"/>
              <w:ind w:left="114" w:right="252"/>
              <w:rPr>
                <w:sz w:val="20"/>
              </w:rPr>
            </w:pPr>
            <w:r>
              <w:rPr>
                <w:sz w:val="20"/>
              </w:rPr>
              <w:t>Minimum markup/sales below cost law for gasoline</w:t>
            </w:r>
          </w:p>
        </w:tc>
        <w:tc>
          <w:tcPr>
            <w:tcW w:w="1285" w:type="dxa"/>
          </w:tcPr>
          <w:p w14:paraId="10AA739E" w14:textId="77777777" w:rsidR="0046798B" w:rsidRDefault="0046798B">
            <w:pPr>
              <w:pStyle w:val="TableParagraph"/>
            </w:pPr>
          </w:p>
          <w:p w14:paraId="762224CD" w14:textId="77777777" w:rsidR="0046798B" w:rsidRDefault="00903B5C">
            <w:pPr>
              <w:pStyle w:val="TableParagraph"/>
              <w:spacing w:before="135"/>
              <w:ind w:left="114"/>
              <w:rPr>
                <w:sz w:val="20"/>
              </w:rPr>
            </w:pPr>
            <w:r>
              <w:rPr>
                <w:sz w:val="20"/>
              </w:rPr>
              <w:t>2000–2016</w:t>
            </w:r>
          </w:p>
        </w:tc>
        <w:tc>
          <w:tcPr>
            <w:tcW w:w="3421" w:type="dxa"/>
          </w:tcPr>
          <w:p w14:paraId="16EAB35A" w14:textId="77777777" w:rsidR="0046798B" w:rsidRDefault="00903B5C">
            <w:pPr>
              <w:pStyle w:val="TableParagraph"/>
              <w:spacing w:before="158"/>
              <w:ind w:left="114" w:right="121"/>
              <w:rPr>
                <w:sz w:val="20"/>
              </w:rPr>
            </w:pPr>
            <w:r>
              <w:rPr>
                <w:sz w:val="20"/>
              </w:rPr>
              <w:t>Minimum markup/sales below cost law for gasoline? (0 = no, 1 = yes) (if nunfair = 1, nmarkup = 1)</w:t>
            </w:r>
          </w:p>
        </w:tc>
        <w:tc>
          <w:tcPr>
            <w:tcW w:w="6482" w:type="dxa"/>
          </w:tcPr>
          <w:p w14:paraId="44EF464E" w14:textId="77777777" w:rsidR="0046798B" w:rsidRDefault="00903B5C">
            <w:pPr>
              <w:pStyle w:val="TableParagraph"/>
              <w:spacing w:before="158"/>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bl>
    <w:p w14:paraId="1AC5E856" w14:textId="77777777" w:rsidR="0046798B" w:rsidRDefault="0046798B">
      <w:pPr>
        <w:rPr>
          <w:sz w:val="20"/>
        </w:rPr>
        <w:sectPr w:rsidR="0046798B">
          <w:pgSz w:w="15840" w:h="12240" w:orient="landscape"/>
          <w:pgMar w:top="1220" w:right="300" w:bottom="980" w:left="820" w:header="730" w:footer="787" w:gutter="0"/>
          <w:cols w:space="720"/>
        </w:sectPr>
      </w:pPr>
    </w:p>
    <w:p w14:paraId="356EF86B"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6F1FFACC" w14:textId="77777777">
        <w:trPr>
          <w:trHeight w:val="1005"/>
        </w:trPr>
        <w:tc>
          <w:tcPr>
            <w:tcW w:w="1711" w:type="dxa"/>
          </w:tcPr>
          <w:p w14:paraId="7D3CFE27" w14:textId="77777777" w:rsidR="0046798B" w:rsidRDefault="0046798B">
            <w:pPr>
              <w:pStyle w:val="TableParagraph"/>
            </w:pPr>
          </w:p>
          <w:p w14:paraId="27EF23D8" w14:textId="77777777" w:rsidR="0046798B" w:rsidRDefault="00903B5C">
            <w:pPr>
              <w:pStyle w:val="TableParagraph"/>
              <w:spacing w:before="135"/>
              <w:ind w:left="115"/>
              <w:rPr>
                <w:b/>
                <w:sz w:val="20"/>
              </w:rPr>
            </w:pPr>
            <w:r>
              <w:rPr>
                <w:b/>
                <w:sz w:val="20"/>
              </w:rPr>
              <w:t>nunfair</w:t>
            </w:r>
          </w:p>
        </w:tc>
        <w:tc>
          <w:tcPr>
            <w:tcW w:w="1596" w:type="dxa"/>
          </w:tcPr>
          <w:p w14:paraId="1C3ECABF" w14:textId="77777777" w:rsidR="0046798B" w:rsidRDefault="00903B5C">
            <w:pPr>
              <w:pStyle w:val="TableParagraph"/>
              <w:spacing w:before="43"/>
              <w:ind w:left="114" w:right="491"/>
              <w:rPr>
                <w:sz w:val="20"/>
              </w:rPr>
            </w:pPr>
            <w:r>
              <w:rPr>
                <w:sz w:val="20"/>
              </w:rPr>
              <w:t>All “unfair” pricing strategies banned</w:t>
            </w:r>
          </w:p>
        </w:tc>
        <w:tc>
          <w:tcPr>
            <w:tcW w:w="1285" w:type="dxa"/>
          </w:tcPr>
          <w:p w14:paraId="2FF4BA7C" w14:textId="77777777" w:rsidR="0046798B" w:rsidRDefault="0046798B">
            <w:pPr>
              <w:pStyle w:val="TableParagraph"/>
            </w:pPr>
          </w:p>
          <w:p w14:paraId="5AA2EA42" w14:textId="77777777" w:rsidR="0046798B" w:rsidRDefault="00903B5C">
            <w:pPr>
              <w:pStyle w:val="TableParagraph"/>
              <w:spacing w:before="135"/>
              <w:ind w:left="114"/>
              <w:rPr>
                <w:sz w:val="20"/>
              </w:rPr>
            </w:pPr>
            <w:r>
              <w:rPr>
                <w:sz w:val="20"/>
              </w:rPr>
              <w:t>2000–2016</w:t>
            </w:r>
          </w:p>
        </w:tc>
        <w:tc>
          <w:tcPr>
            <w:tcW w:w="3421" w:type="dxa"/>
          </w:tcPr>
          <w:p w14:paraId="3701BD32" w14:textId="77777777" w:rsidR="0046798B" w:rsidRDefault="00903B5C">
            <w:pPr>
              <w:pStyle w:val="TableParagraph"/>
              <w:spacing w:before="158"/>
              <w:ind w:left="114" w:right="267"/>
              <w:rPr>
                <w:sz w:val="20"/>
              </w:rPr>
            </w:pPr>
            <w:r>
              <w:rPr>
                <w:sz w:val="20"/>
              </w:rPr>
              <w:t>All “unfair” pricing strategies banned (general sales-below-cost law)? (0 = no, 1 = yes)</w:t>
            </w:r>
          </w:p>
        </w:tc>
        <w:tc>
          <w:tcPr>
            <w:tcW w:w="6482" w:type="dxa"/>
          </w:tcPr>
          <w:p w14:paraId="58C3EB1F" w14:textId="77777777" w:rsidR="0046798B" w:rsidRDefault="00903B5C">
            <w:pPr>
              <w:pStyle w:val="TableParagraph"/>
              <w:spacing w:before="158"/>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26A0213A" w14:textId="77777777">
        <w:trPr>
          <w:trHeight w:val="2156"/>
        </w:trPr>
        <w:tc>
          <w:tcPr>
            <w:tcW w:w="1711" w:type="dxa"/>
          </w:tcPr>
          <w:p w14:paraId="38E54B96" w14:textId="77777777" w:rsidR="0046798B" w:rsidRDefault="0046798B">
            <w:pPr>
              <w:pStyle w:val="TableParagraph"/>
            </w:pPr>
          </w:p>
          <w:p w14:paraId="4F918D7C" w14:textId="77777777" w:rsidR="0046798B" w:rsidRDefault="0046798B">
            <w:pPr>
              <w:pStyle w:val="TableParagraph"/>
            </w:pPr>
          </w:p>
          <w:p w14:paraId="1DEDBFA4" w14:textId="77777777" w:rsidR="0046798B" w:rsidRDefault="0046798B">
            <w:pPr>
              <w:pStyle w:val="TableParagraph"/>
            </w:pPr>
          </w:p>
          <w:p w14:paraId="44DDB824" w14:textId="77777777" w:rsidR="0046798B" w:rsidRDefault="0046798B">
            <w:pPr>
              <w:pStyle w:val="TableParagraph"/>
              <w:spacing w:before="9"/>
              <w:rPr>
                <w:sz w:val="17"/>
              </w:rPr>
            </w:pPr>
          </w:p>
          <w:p w14:paraId="08EE1473" w14:textId="77777777" w:rsidR="0046798B" w:rsidRDefault="00903B5C">
            <w:pPr>
              <w:pStyle w:val="TableParagraph"/>
              <w:ind w:left="115"/>
              <w:rPr>
                <w:b/>
                <w:sz w:val="20"/>
              </w:rPr>
            </w:pPr>
            <w:r>
              <w:rPr>
                <w:b/>
                <w:sz w:val="20"/>
              </w:rPr>
              <w:t>nhoirr</w:t>
            </w:r>
          </w:p>
        </w:tc>
        <w:tc>
          <w:tcPr>
            <w:tcW w:w="1596" w:type="dxa"/>
          </w:tcPr>
          <w:p w14:paraId="30932B50" w14:textId="77777777" w:rsidR="0046798B" w:rsidRDefault="0046798B">
            <w:pPr>
              <w:pStyle w:val="TableParagraph"/>
            </w:pPr>
          </w:p>
          <w:p w14:paraId="18F163FF" w14:textId="77777777" w:rsidR="0046798B" w:rsidRDefault="0046798B">
            <w:pPr>
              <w:pStyle w:val="TableParagraph"/>
              <w:spacing w:before="9"/>
              <w:rPr>
                <w:sz w:val="31"/>
              </w:rPr>
            </w:pPr>
          </w:p>
          <w:p w14:paraId="7F95EF7F" w14:textId="77777777" w:rsidR="0046798B" w:rsidRDefault="00903B5C">
            <w:pPr>
              <w:pStyle w:val="TableParagraph"/>
              <w:ind w:left="114"/>
              <w:rPr>
                <w:sz w:val="20"/>
              </w:rPr>
            </w:pPr>
            <w:r>
              <w:rPr>
                <w:sz w:val="20"/>
              </w:rPr>
              <w:t>State rate filing requirements: homeowners insurance</w:t>
            </w:r>
          </w:p>
        </w:tc>
        <w:tc>
          <w:tcPr>
            <w:tcW w:w="1285" w:type="dxa"/>
          </w:tcPr>
          <w:p w14:paraId="3611CE61" w14:textId="77777777" w:rsidR="0046798B" w:rsidRDefault="0046798B">
            <w:pPr>
              <w:pStyle w:val="TableParagraph"/>
            </w:pPr>
          </w:p>
          <w:p w14:paraId="642720CC" w14:textId="77777777" w:rsidR="0046798B" w:rsidRDefault="0046798B">
            <w:pPr>
              <w:pStyle w:val="TableParagraph"/>
            </w:pPr>
          </w:p>
          <w:p w14:paraId="4C222FD7" w14:textId="77777777" w:rsidR="0046798B" w:rsidRDefault="0046798B">
            <w:pPr>
              <w:pStyle w:val="TableParagraph"/>
            </w:pPr>
          </w:p>
          <w:p w14:paraId="56921D00" w14:textId="77777777" w:rsidR="0046798B" w:rsidRDefault="0046798B">
            <w:pPr>
              <w:pStyle w:val="TableParagraph"/>
              <w:spacing w:before="9"/>
              <w:rPr>
                <w:sz w:val="17"/>
              </w:rPr>
            </w:pPr>
          </w:p>
          <w:p w14:paraId="3E6F774B" w14:textId="77777777" w:rsidR="0046798B" w:rsidRDefault="00903B5C">
            <w:pPr>
              <w:pStyle w:val="TableParagraph"/>
              <w:ind w:left="114"/>
              <w:rPr>
                <w:sz w:val="20"/>
              </w:rPr>
            </w:pPr>
            <w:r>
              <w:rPr>
                <w:sz w:val="20"/>
              </w:rPr>
              <w:t>2006–2016</w:t>
            </w:r>
          </w:p>
        </w:tc>
        <w:tc>
          <w:tcPr>
            <w:tcW w:w="3421" w:type="dxa"/>
          </w:tcPr>
          <w:p w14:paraId="55406078" w14:textId="77777777" w:rsidR="0046798B" w:rsidRDefault="00903B5C">
            <w:pPr>
              <w:pStyle w:val="TableParagraph"/>
              <w:spacing w:before="43"/>
              <w:ind w:left="114"/>
              <w:rPr>
                <w:sz w:val="20"/>
              </w:rPr>
            </w:pPr>
            <w:r>
              <w:rPr>
                <w:sz w:val="20"/>
              </w:rPr>
              <w:t>State rate filing requirements: homeowners insurance</w:t>
            </w:r>
          </w:p>
          <w:p w14:paraId="21C1CED6" w14:textId="77777777" w:rsidR="0046798B" w:rsidRDefault="0046798B">
            <w:pPr>
              <w:pStyle w:val="TableParagraph"/>
              <w:rPr>
                <w:sz w:val="20"/>
              </w:rPr>
            </w:pPr>
          </w:p>
          <w:p w14:paraId="2328A928" w14:textId="77777777" w:rsidR="0046798B" w:rsidRDefault="00903B5C">
            <w:pPr>
              <w:pStyle w:val="TableParagraph"/>
              <w:spacing w:before="1"/>
              <w:ind w:left="114"/>
              <w:rPr>
                <w:sz w:val="20"/>
              </w:rPr>
            </w:pPr>
            <w:r>
              <w:rPr>
                <w:sz w:val="20"/>
              </w:rPr>
              <w:t>-1 = state-set (“fixed and established”),</w:t>
            </w:r>
          </w:p>
          <w:p w14:paraId="69EE2CF5" w14:textId="77777777" w:rsidR="0046798B" w:rsidRDefault="00903B5C">
            <w:pPr>
              <w:pStyle w:val="TableParagraph"/>
              <w:ind w:left="114" w:right="287"/>
              <w:rPr>
                <w:sz w:val="20"/>
              </w:rPr>
            </w:pPr>
            <w:r>
              <w:rPr>
                <w:sz w:val="20"/>
              </w:rPr>
              <w:t>-0.5 = “large” (meaning 5% or more) state-mandated residual market (overrides any higher code), 0 = prior approval, 1 = flex rating, 2 = file and use, 3 = use and file, 4 = no file</w:t>
            </w:r>
          </w:p>
        </w:tc>
        <w:tc>
          <w:tcPr>
            <w:tcW w:w="6482" w:type="dxa"/>
          </w:tcPr>
          <w:p w14:paraId="713FB381" w14:textId="77777777" w:rsidR="0046798B" w:rsidRDefault="0046798B">
            <w:pPr>
              <w:pStyle w:val="TableParagraph"/>
            </w:pPr>
          </w:p>
          <w:p w14:paraId="33D64969" w14:textId="77777777" w:rsidR="0046798B" w:rsidRDefault="0046798B">
            <w:pPr>
              <w:pStyle w:val="TableParagraph"/>
            </w:pPr>
          </w:p>
          <w:p w14:paraId="3ECB0A33" w14:textId="77777777" w:rsidR="0046798B" w:rsidRDefault="0046798B">
            <w:pPr>
              <w:pStyle w:val="TableParagraph"/>
              <w:spacing w:before="9"/>
              <w:rPr>
                <w:sz w:val="19"/>
              </w:rPr>
            </w:pPr>
          </w:p>
          <w:p w14:paraId="0E532431"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540AED2" w14:textId="77777777">
        <w:trPr>
          <w:trHeight w:val="780"/>
        </w:trPr>
        <w:tc>
          <w:tcPr>
            <w:tcW w:w="1711" w:type="dxa"/>
          </w:tcPr>
          <w:p w14:paraId="6827751A" w14:textId="77777777" w:rsidR="0046798B" w:rsidRDefault="0046798B">
            <w:pPr>
              <w:pStyle w:val="TableParagraph"/>
              <w:spacing w:before="8"/>
              <w:rPr>
                <w:sz w:val="23"/>
              </w:rPr>
            </w:pPr>
          </w:p>
          <w:p w14:paraId="4CC447C7" w14:textId="77777777" w:rsidR="0046798B" w:rsidRDefault="00903B5C">
            <w:pPr>
              <w:pStyle w:val="TableParagraph"/>
              <w:spacing w:before="1"/>
              <w:ind w:left="115"/>
              <w:rPr>
                <w:b/>
                <w:sz w:val="20"/>
              </w:rPr>
            </w:pPr>
            <w:r>
              <w:rPr>
                <w:b/>
                <w:sz w:val="20"/>
              </w:rPr>
              <w:t>nlirr</w:t>
            </w:r>
          </w:p>
        </w:tc>
        <w:tc>
          <w:tcPr>
            <w:tcW w:w="1596" w:type="dxa"/>
          </w:tcPr>
          <w:p w14:paraId="21027543" w14:textId="77777777" w:rsidR="0046798B" w:rsidRDefault="00903B5C">
            <w:pPr>
              <w:pStyle w:val="TableParagraph"/>
              <w:spacing w:before="43"/>
              <w:ind w:left="114" w:right="125"/>
              <w:rPr>
                <w:sz w:val="20"/>
              </w:rPr>
            </w:pPr>
            <w:r>
              <w:rPr>
                <w:sz w:val="20"/>
              </w:rPr>
              <w:t>State form filing requirements: life insurance</w:t>
            </w:r>
          </w:p>
        </w:tc>
        <w:tc>
          <w:tcPr>
            <w:tcW w:w="1285" w:type="dxa"/>
          </w:tcPr>
          <w:p w14:paraId="76594841" w14:textId="77777777" w:rsidR="0046798B" w:rsidRDefault="0046798B">
            <w:pPr>
              <w:pStyle w:val="TableParagraph"/>
              <w:spacing w:before="8"/>
              <w:rPr>
                <w:sz w:val="23"/>
              </w:rPr>
            </w:pPr>
          </w:p>
          <w:p w14:paraId="5A35D94D" w14:textId="77777777" w:rsidR="0046798B" w:rsidRDefault="00903B5C">
            <w:pPr>
              <w:pStyle w:val="TableParagraph"/>
              <w:spacing w:before="1"/>
              <w:ind w:left="114"/>
              <w:rPr>
                <w:sz w:val="20"/>
              </w:rPr>
            </w:pPr>
            <w:r>
              <w:rPr>
                <w:sz w:val="20"/>
              </w:rPr>
              <w:t>2006</w:t>
            </w:r>
          </w:p>
        </w:tc>
        <w:tc>
          <w:tcPr>
            <w:tcW w:w="3421" w:type="dxa"/>
          </w:tcPr>
          <w:p w14:paraId="5EDE4A32" w14:textId="77777777" w:rsidR="0046798B" w:rsidRDefault="00903B5C">
            <w:pPr>
              <w:pStyle w:val="TableParagraph"/>
              <w:spacing w:before="43"/>
              <w:ind w:left="114" w:right="263"/>
              <w:rPr>
                <w:sz w:val="20"/>
              </w:rPr>
            </w:pPr>
            <w:r>
              <w:rPr>
                <w:sz w:val="20"/>
              </w:rPr>
              <w:t>State form filing requirements: life insurance (0 = prior approval, 1 = file and use, 2 = no file)</w:t>
            </w:r>
          </w:p>
        </w:tc>
        <w:tc>
          <w:tcPr>
            <w:tcW w:w="6482" w:type="dxa"/>
          </w:tcPr>
          <w:p w14:paraId="10D1373C" w14:textId="77777777" w:rsidR="0046798B" w:rsidRDefault="00903B5C">
            <w:pPr>
              <w:pStyle w:val="TableParagraph"/>
              <w:spacing w:before="43"/>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3416B4E3" w14:textId="77777777">
        <w:trPr>
          <w:trHeight w:val="2155"/>
        </w:trPr>
        <w:tc>
          <w:tcPr>
            <w:tcW w:w="1711" w:type="dxa"/>
          </w:tcPr>
          <w:p w14:paraId="5D7F86B4" w14:textId="77777777" w:rsidR="0046798B" w:rsidRDefault="0046798B">
            <w:pPr>
              <w:pStyle w:val="TableParagraph"/>
            </w:pPr>
          </w:p>
          <w:p w14:paraId="005F8E1F" w14:textId="77777777" w:rsidR="0046798B" w:rsidRDefault="0046798B">
            <w:pPr>
              <w:pStyle w:val="TableParagraph"/>
            </w:pPr>
          </w:p>
          <w:p w14:paraId="6CDBEFDC" w14:textId="77777777" w:rsidR="0046798B" w:rsidRDefault="0046798B">
            <w:pPr>
              <w:pStyle w:val="TableParagraph"/>
            </w:pPr>
          </w:p>
          <w:p w14:paraId="4C8DB865" w14:textId="77777777" w:rsidR="0046798B" w:rsidRDefault="0046798B">
            <w:pPr>
              <w:pStyle w:val="TableParagraph"/>
              <w:spacing w:before="4"/>
              <w:rPr>
                <w:sz w:val="17"/>
              </w:rPr>
            </w:pPr>
          </w:p>
          <w:p w14:paraId="73E7CB16" w14:textId="77777777" w:rsidR="0046798B" w:rsidRDefault="00903B5C">
            <w:pPr>
              <w:pStyle w:val="TableParagraph"/>
              <w:ind w:left="115"/>
              <w:rPr>
                <w:b/>
                <w:sz w:val="20"/>
              </w:rPr>
            </w:pPr>
            <w:r>
              <w:rPr>
                <w:b/>
                <w:sz w:val="20"/>
              </w:rPr>
              <w:t>npairr</w:t>
            </w:r>
          </w:p>
        </w:tc>
        <w:tc>
          <w:tcPr>
            <w:tcW w:w="1596" w:type="dxa"/>
          </w:tcPr>
          <w:p w14:paraId="1E670760" w14:textId="77777777" w:rsidR="0046798B" w:rsidRDefault="0046798B">
            <w:pPr>
              <w:pStyle w:val="TableParagraph"/>
            </w:pPr>
          </w:p>
          <w:p w14:paraId="7192B56E" w14:textId="77777777" w:rsidR="0046798B" w:rsidRDefault="0046798B">
            <w:pPr>
              <w:pStyle w:val="TableParagraph"/>
              <w:spacing w:before="4"/>
              <w:rPr>
                <w:sz w:val="31"/>
              </w:rPr>
            </w:pPr>
          </w:p>
          <w:p w14:paraId="244728B6" w14:textId="77777777" w:rsidR="0046798B" w:rsidRDefault="00903B5C">
            <w:pPr>
              <w:pStyle w:val="TableParagraph"/>
              <w:ind w:left="114"/>
              <w:rPr>
                <w:sz w:val="20"/>
              </w:rPr>
            </w:pPr>
            <w:r>
              <w:rPr>
                <w:sz w:val="20"/>
              </w:rPr>
              <w:t>State rate filing requirements: personal auto insurance</w:t>
            </w:r>
          </w:p>
        </w:tc>
        <w:tc>
          <w:tcPr>
            <w:tcW w:w="1285" w:type="dxa"/>
          </w:tcPr>
          <w:p w14:paraId="58F18962" w14:textId="77777777" w:rsidR="0046798B" w:rsidRDefault="0046798B">
            <w:pPr>
              <w:pStyle w:val="TableParagraph"/>
            </w:pPr>
          </w:p>
          <w:p w14:paraId="45306871" w14:textId="77777777" w:rsidR="0046798B" w:rsidRDefault="0046798B">
            <w:pPr>
              <w:pStyle w:val="TableParagraph"/>
            </w:pPr>
          </w:p>
          <w:p w14:paraId="6D2389D8" w14:textId="77777777" w:rsidR="0046798B" w:rsidRDefault="0046798B">
            <w:pPr>
              <w:pStyle w:val="TableParagraph"/>
            </w:pPr>
          </w:p>
          <w:p w14:paraId="076C18A9" w14:textId="77777777" w:rsidR="0046798B" w:rsidRDefault="0046798B">
            <w:pPr>
              <w:pStyle w:val="TableParagraph"/>
              <w:spacing w:before="4"/>
              <w:rPr>
                <w:sz w:val="17"/>
              </w:rPr>
            </w:pPr>
          </w:p>
          <w:p w14:paraId="58FAC22A" w14:textId="77777777" w:rsidR="0046798B" w:rsidRDefault="00903B5C">
            <w:pPr>
              <w:pStyle w:val="TableParagraph"/>
              <w:ind w:left="114"/>
              <w:rPr>
                <w:sz w:val="20"/>
              </w:rPr>
            </w:pPr>
            <w:r>
              <w:rPr>
                <w:sz w:val="20"/>
              </w:rPr>
              <w:t>2006–2016</w:t>
            </w:r>
          </w:p>
        </w:tc>
        <w:tc>
          <w:tcPr>
            <w:tcW w:w="3421" w:type="dxa"/>
          </w:tcPr>
          <w:p w14:paraId="26F7BCFF" w14:textId="77777777" w:rsidR="0046798B" w:rsidRDefault="00903B5C">
            <w:pPr>
              <w:pStyle w:val="TableParagraph"/>
              <w:spacing w:before="38"/>
              <w:ind w:left="114" w:right="166"/>
              <w:rPr>
                <w:sz w:val="20"/>
              </w:rPr>
            </w:pPr>
            <w:r>
              <w:rPr>
                <w:sz w:val="20"/>
              </w:rPr>
              <w:t>State rate filing requirements: personal auto insurance</w:t>
            </w:r>
          </w:p>
          <w:p w14:paraId="091A4028" w14:textId="77777777" w:rsidR="0046798B" w:rsidRDefault="0046798B">
            <w:pPr>
              <w:pStyle w:val="TableParagraph"/>
              <w:rPr>
                <w:sz w:val="20"/>
              </w:rPr>
            </w:pPr>
          </w:p>
          <w:p w14:paraId="4F1BF6E0" w14:textId="77777777" w:rsidR="0046798B" w:rsidRDefault="00903B5C">
            <w:pPr>
              <w:pStyle w:val="TableParagraph"/>
              <w:ind w:left="114"/>
              <w:rPr>
                <w:sz w:val="20"/>
              </w:rPr>
            </w:pPr>
            <w:r>
              <w:rPr>
                <w:sz w:val="20"/>
              </w:rPr>
              <w:t>-1 = state-set (“fixed and established”),</w:t>
            </w:r>
          </w:p>
          <w:p w14:paraId="7EDADFFD" w14:textId="77777777" w:rsidR="0046798B" w:rsidRDefault="00903B5C">
            <w:pPr>
              <w:pStyle w:val="TableParagraph"/>
              <w:ind w:left="114" w:right="96"/>
              <w:rPr>
                <w:sz w:val="20"/>
              </w:rPr>
            </w:pPr>
            <w:r>
              <w:rPr>
                <w:sz w:val="20"/>
              </w:rPr>
              <w:t>-0.5 = prior approval but with “large” (meaning 5% or more) state-mandated residual market, 0 = prior approval, 1 = flex rating, 2 = file and use, 3 = use and file, 4 = no file</w:t>
            </w:r>
          </w:p>
        </w:tc>
        <w:tc>
          <w:tcPr>
            <w:tcW w:w="6482" w:type="dxa"/>
          </w:tcPr>
          <w:p w14:paraId="2DCFED57" w14:textId="77777777" w:rsidR="0046798B" w:rsidRDefault="0046798B">
            <w:pPr>
              <w:pStyle w:val="TableParagraph"/>
            </w:pPr>
          </w:p>
          <w:p w14:paraId="1CD0E2F9" w14:textId="77777777" w:rsidR="0046798B" w:rsidRDefault="0046798B">
            <w:pPr>
              <w:pStyle w:val="TableParagraph"/>
            </w:pPr>
          </w:p>
          <w:p w14:paraId="14A01F0F" w14:textId="77777777" w:rsidR="0046798B" w:rsidRDefault="0046798B">
            <w:pPr>
              <w:pStyle w:val="TableParagraph"/>
              <w:spacing w:before="4"/>
              <w:rPr>
                <w:sz w:val="19"/>
              </w:rPr>
            </w:pPr>
          </w:p>
          <w:p w14:paraId="5DD4498E" w14:textId="77777777" w:rsidR="0046798B" w:rsidRDefault="00903B5C">
            <w:pPr>
              <w:pStyle w:val="TableParagraph"/>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59DCA965" w14:textId="77777777">
        <w:trPr>
          <w:trHeight w:val="1235"/>
        </w:trPr>
        <w:tc>
          <w:tcPr>
            <w:tcW w:w="1711" w:type="dxa"/>
          </w:tcPr>
          <w:p w14:paraId="66263C4F" w14:textId="77777777" w:rsidR="0046798B" w:rsidRDefault="0046798B">
            <w:pPr>
              <w:pStyle w:val="TableParagraph"/>
            </w:pPr>
          </w:p>
          <w:p w14:paraId="63E4865A" w14:textId="77777777" w:rsidR="0046798B" w:rsidRDefault="0046798B">
            <w:pPr>
              <w:pStyle w:val="TableParagraph"/>
              <w:spacing w:before="4"/>
              <w:rPr>
                <w:sz w:val="21"/>
              </w:rPr>
            </w:pPr>
          </w:p>
          <w:p w14:paraId="51031ADD" w14:textId="77777777" w:rsidR="0046798B" w:rsidRDefault="00903B5C">
            <w:pPr>
              <w:pStyle w:val="TableParagraph"/>
              <w:ind w:left="115"/>
              <w:rPr>
                <w:b/>
                <w:sz w:val="20"/>
              </w:rPr>
            </w:pPr>
            <w:r>
              <w:rPr>
                <w:b/>
                <w:sz w:val="20"/>
              </w:rPr>
              <w:t>nrcp</w:t>
            </w:r>
          </w:p>
        </w:tc>
        <w:tc>
          <w:tcPr>
            <w:tcW w:w="1596" w:type="dxa"/>
          </w:tcPr>
          <w:p w14:paraId="7F2A66E6" w14:textId="77777777" w:rsidR="0046798B" w:rsidRDefault="00903B5C">
            <w:pPr>
              <w:pStyle w:val="TableParagraph"/>
              <w:spacing w:before="38"/>
              <w:ind w:left="114" w:right="202"/>
              <w:rPr>
                <w:sz w:val="20"/>
              </w:rPr>
            </w:pPr>
            <w:r>
              <w:rPr>
                <w:sz w:val="20"/>
              </w:rPr>
              <w:t>State rate classification prohibitions for some classes of insurance</w:t>
            </w:r>
          </w:p>
        </w:tc>
        <w:tc>
          <w:tcPr>
            <w:tcW w:w="1285" w:type="dxa"/>
          </w:tcPr>
          <w:p w14:paraId="18BA84DC" w14:textId="77777777" w:rsidR="0046798B" w:rsidRDefault="0046798B">
            <w:pPr>
              <w:pStyle w:val="TableParagraph"/>
            </w:pPr>
          </w:p>
          <w:p w14:paraId="4687B6C6" w14:textId="77777777" w:rsidR="0046798B" w:rsidRDefault="0046798B">
            <w:pPr>
              <w:pStyle w:val="TableParagraph"/>
              <w:spacing w:before="4"/>
              <w:rPr>
                <w:sz w:val="21"/>
              </w:rPr>
            </w:pPr>
          </w:p>
          <w:p w14:paraId="5F7BB560" w14:textId="77777777" w:rsidR="0046798B" w:rsidRDefault="00903B5C">
            <w:pPr>
              <w:pStyle w:val="TableParagraph"/>
              <w:ind w:left="114"/>
              <w:rPr>
                <w:sz w:val="20"/>
              </w:rPr>
            </w:pPr>
            <w:r>
              <w:rPr>
                <w:sz w:val="20"/>
              </w:rPr>
              <w:t>2006–2016</w:t>
            </w:r>
          </w:p>
        </w:tc>
        <w:tc>
          <w:tcPr>
            <w:tcW w:w="3421" w:type="dxa"/>
          </w:tcPr>
          <w:p w14:paraId="27EA0FD9" w14:textId="77777777" w:rsidR="0046798B" w:rsidRDefault="00903B5C">
            <w:pPr>
              <w:pStyle w:val="TableParagraph"/>
              <w:spacing w:before="153"/>
              <w:ind w:left="114" w:right="137"/>
              <w:jc w:val="both"/>
              <w:rPr>
                <w:sz w:val="20"/>
              </w:rPr>
            </w:pPr>
            <w:r>
              <w:rPr>
                <w:sz w:val="20"/>
              </w:rPr>
              <w:t>State rate classification prohibitions for some classes of insurance (age, gender, credit rating, territory, etc.)? (0 = no, 1</w:t>
            </w:r>
          </w:p>
          <w:p w14:paraId="596EC7DB" w14:textId="77777777" w:rsidR="0046798B" w:rsidRDefault="00903B5C">
            <w:pPr>
              <w:pStyle w:val="TableParagraph"/>
              <w:ind w:left="114"/>
              <w:jc w:val="both"/>
              <w:rPr>
                <w:sz w:val="20"/>
              </w:rPr>
            </w:pPr>
            <w:r>
              <w:rPr>
                <w:sz w:val="20"/>
              </w:rPr>
              <w:t>= yes)</w:t>
            </w:r>
          </w:p>
        </w:tc>
        <w:tc>
          <w:tcPr>
            <w:tcW w:w="6482" w:type="dxa"/>
          </w:tcPr>
          <w:p w14:paraId="09F5F61A" w14:textId="77777777" w:rsidR="0046798B" w:rsidRDefault="0046798B">
            <w:pPr>
              <w:pStyle w:val="TableParagraph"/>
              <w:spacing w:before="4"/>
              <w:rPr>
                <w:sz w:val="23"/>
              </w:rPr>
            </w:pPr>
          </w:p>
          <w:p w14:paraId="3BEEF93F" w14:textId="77777777" w:rsidR="0046798B" w:rsidRDefault="00903B5C">
            <w:pPr>
              <w:pStyle w:val="TableParagraph"/>
              <w:ind w:left="114"/>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438E642B" w14:textId="77777777">
        <w:trPr>
          <w:trHeight w:val="1005"/>
        </w:trPr>
        <w:tc>
          <w:tcPr>
            <w:tcW w:w="1711" w:type="dxa"/>
          </w:tcPr>
          <w:p w14:paraId="015B7AC9" w14:textId="77777777" w:rsidR="0046798B" w:rsidRDefault="0046798B">
            <w:pPr>
              <w:pStyle w:val="TableParagraph"/>
            </w:pPr>
          </w:p>
          <w:p w14:paraId="2D82247F" w14:textId="77777777" w:rsidR="0046798B" w:rsidRDefault="00903B5C">
            <w:pPr>
              <w:pStyle w:val="TableParagraph"/>
              <w:spacing w:before="130"/>
              <w:ind w:left="115"/>
              <w:rPr>
                <w:b/>
                <w:sz w:val="20"/>
              </w:rPr>
            </w:pPr>
            <w:r>
              <w:rPr>
                <w:b/>
                <w:sz w:val="20"/>
              </w:rPr>
              <w:t>nwcirr</w:t>
            </w:r>
          </w:p>
        </w:tc>
        <w:tc>
          <w:tcPr>
            <w:tcW w:w="1596" w:type="dxa"/>
          </w:tcPr>
          <w:p w14:paraId="74BEEDCF" w14:textId="77777777" w:rsidR="0046798B" w:rsidRDefault="00903B5C">
            <w:pPr>
              <w:pStyle w:val="TableParagraph"/>
              <w:spacing w:before="153"/>
              <w:ind w:left="114"/>
              <w:rPr>
                <w:sz w:val="20"/>
              </w:rPr>
            </w:pPr>
            <w:r>
              <w:rPr>
                <w:sz w:val="20"/>
              </w:rPr>
              <w:t>State rate filing requirements: workers comp</w:t>
            </w:r>
          </w:p>
        </w:tc>
        <w:tc>
          <w:tcPr>
            <w:tcW w:w="1285" w:type="dxa"/>
          </w:tcPr>
          <w:p w14:paraId="5BB60317" w14:textId="77777777" w:rsidR="0046798B" w:rsidRDefault="0046798B">
            <w:pPr>
              <w:pStyle w:val="TableParagraph"/>
            </w:pPr>
          </w:p>
          <w:p w14:paraId="70A16657" w14:textId="77777777" w:rsidR="0046798B" w:rsidRDefault="00903B5C">
            <w:pPr>
              <w:pStyle w:val="TableParagraph"/>
              <w:spacing w:before="130"/>
              <w:ind w:left="114"/>
              <w:rPr>
                <w:sz w:val="20"/>
              </w:rPr>
            </w:pPr>
            <w:r>
              <w:rPr>
                <w:sz w:val="20"/>
              </w:rPr>
              <w:t>2006</w:t>
            </w:r>
          </w:p>
        </w:tc>
        <w:tc>
          <w:tcPr>
            <w:tcW w:w="3421" w:type="dxa"/>
          </w:tcPr>
          <w:p w14:paraId="7AE00167" w14:textId="77777777" w:rsidR="0046798B" w:rsidRDefault="00903B5C">
            <w:pPr>
              <w:pStyle w:val="TableParagraph"/>
              <w:spacing w:before="38"/>
              <w:ind w:left="114" w:right="91"/>
              <w:rPr>
                <w:sz w:val="20"/>
              </w:rPr>
            </w:pPr>
            <w:r>
              <w:rPr>
                <w:sz w:val="20"/>
              </w:rPr>
              <w:t>State rate filing requirements: workers comp (0 = prior approval, 1 = flex rating, 2 = file and use, 3 = use and file, 4 = no file)</w:t>
            </w:r>
          </w:p>
        </w:tc>
        <w:tc>
          <w:tcPr>
            <w:tcW w:w="6482" w:type="dxa"/>
          </w:tcPr>
          <w:p w14:paraId="7EA2B889" w14:textId="77777777" w:rsidR="0046798B" w:rsidRDefault="00903B5C">
            <w:pPr>
              <w:pStyle w:val="TableParagraph"/>
              <w:spacing w:before="153"/>
              <w:ind w:left="114" w:right="272"/>
              <w:rPr>
                <w:sz w:val="20"/>
              </w:rPr>
            </w:pPr>
            <w:r>
              <w:rPr>
                <w:sz w:val="20"/>
              </w:rPr>
              <w:t xml:space="preserve">Sorens, Jason, Fait Muedini, and William P. Ruger. “State and Local Public Policies in 2006: A New Database.” </w:t>
            </w:r>
            <w:r>
              <w:rPr>
                <w:i/>
                <w:sz w:val="20"/>
              </w:rPr>
              <w:t xml:space="preserve">State Politics &amp; Policy Quarterly </w:t>
            </w:r>
            <w:r>
              <w:rPr>
                <w:sz w:val="20"/>
              </w:rPr>
              <w:t>8.3 (2008): 309–26.</w:t>
            </w:r>
          </w:p>
        </w:tc>
      </w:tr>
      <w:tr w:rsidR="0046798B" w14:paraId="183E77AF" w14:textId="77777777">
        <w:trPr>
          <w:trHeight w:val="775"/>
        </w:trPr>
        <w:tc>
          <w:tcPr>
            <w:tcW w:w="1711" w:type="dxa"/>
          </w:tcPr>
          <w:p w14:paraId="48A59DF6" w14:textId="77777777" w:rsidR="0046798B" w:rsidRDefault="00903B5C">
            <w:pPr>
              <w:pStyle w:val="TableParagraph"/>
              <w:spacing w:before="158"/>
              <w:ind w:left="115" w:right="99"/>
              <w:rPr>
                <w:b/>
                <w:sz w:val="20"/>
              </w:rPr>
            </w:pPr>
            <w:r>
              <w:rPr>
                <w:b/>
                <w:sz w:val="20"/>
              </w:rPr>
              <w:t>regulation_boeh mke_cogrowman</w:t>
            </w:r>
          </w:p>
        </w:tc>
        <w:tc>
          <w:tcPr>
            <w:tcW w:w="1596" w:type="dxa"/>
          </w:tcPr>
          <w:p w14:paraId="14A9C621" w14:textId="77777777" w:rsidR="0046798B" w:rsidRDefault="00903B5C">
            <w:pPr>
              <w:pStyle w:val="TableParagraph"/>
              <w:spacing w:before="43"/>
              <w:ind w:left="114" w:right="213"/>
              <w:rPr>
                <w:sz w:val="20"/>
              </w:rPr>
            </w:pPr>
            <w:r>
              <w:rPr>
                <w:sz w:val="20"/>
              </w:rPr>
              <w:t>Requiring local government to coordinate</w:t>
            </w:r>
          </w:p>
        </w:tc>
        <w:tc>
          <w:tcPr>
            <w:tcW w:w="1285" w:type="dxa"/>
          </w:tcPr>
          <w:p w14:paraId="502298B5" w14:textId="77777777" w:rsidR="0046798B" w:rsidRDefault="0046798B">
            <w:pPr>
              <w:pStyle w:val="TableParagraph"/>
              <w:spacing w:before="8"/>
              <w:rPr>
                <w:sz w:val="23"/>
              </w:rPr>
            </w:pPr>
          </w:p>
          <w:p w14:paraId="5A4944D9" w14:textId="77777777" w:rsidR="0046798B" w:rsidRDefault="00903B5C">
            <w:pPr>
              <w:pStyle w:val="TableParagraph"/>
              <w:spacing w:before="1"/>
              <w:ind w:left="114"/>
              <w:rPr>
                <w:sz w:val="20"/>
              </w:rPr>
            </w:pPr>
            <w:r>
              <w:rPr>
                <w:sz w:val="20"/>
              </w:rPr>
              <w:t>1961–2007</w:t>
            </w:r>
          </w:p>
        </w:tc>
        <w:tc>
          <w:tcPr>
            <w:tcW w:w="3421" w:type="dxa"/>
          </w:tcPr>
          <w:p w14:paraId="47E324A7" w14:textId="77777777" w:rsidR="0046798B" w:rsidRDefault="00903B5C">
            <w:pPr>
              <w:pStyle w:val="TableParagraph"/>
              <w:spacing w:before="43"/>
              <w:ind w:left="114" w:right="289"/>
              <w:rPr>
                <w:sz w:val="20"/>
              </w:rPr>
            </w:pPr>
            <w:r>
              <w:rPr>
                <w:sz w:val="20"/>
              </w:rPr>
              <w:t>Does the state have a law authorizing or requiring growth-management planning? (0 = no, 1 = yes)</w:t>
            </w:r>
          </w:p>
        </w:tc>
        <w:tc>
          <w:tcPr>
            <w:tcW w:w="6482" w:type="dxa"/>
          </w:tcPr>
          <w:p w14:paraId="7002031E" w14:textId="77777777" w:rsidR="0046798B" w:rsidRDefault="00903B5C">
            <w:pPr>
              <w:pStyle w:val="TableParagraph"/>
              <w:spacing w:before="43"/>
              <w:ind w:left="114"/>
              <w:rPr>
                <w:sz w:val="20"/>
              </w:rPr>
            </w:pPr>
            <w:r>
              <w:rPr>
                <w:sz w:val="20"/>
              </w:rPr>
              <w:t xml:space="preserve">Caughey, Devin, and Christopher Warshaw. 2015. “The Dynamics of State Policy Liberalism, 1936–2014.” </w:t>
            </w:r>
            <w:r>
              <w:rPr>
                <w:i/>
                <w:sz w:val="20"/>
              </w:rPr>
              <w:t>American Journal of Political Science</w:t>
            </w:r>
            <w:r>
              <w:rPr>
                <w:sz w:val="20"/>
              </w:rPr>
              <w:t>, September. doi: 10.1111/ajps.12219.</w:t>
            </w:r>
          </w:p>
        </w:tc>
      </w:tr>
    </w:tbl>
    <w:p w14:paraId="2F8229B3" w14:textId="77777777" w:rsidR="0046798B" w:rsidRDefault="0046798B">
      <w:pPr>
        <w:rPr>
          <w:sz w:val="20"/>
        </w:rPr>
        <w:sectPr w:rsidR="0046798B">
          <w:pgSz w:w="15840" w:h="12240" w:orient="landscape"/>
          <w:pgMar w:top="1220" w:right="300" w:bottom="980" w:left="820" w:header="730" w:footer="787" w:gutter="0"/>
          <w:cols w:space="720"/>
        </w:sectPr>
      </w:pPr>
    </w:p>
    <w:p w14:paraId="2F86898D"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78D255C7" w14:textId="77777777">
        <w:trPr>
          <w:trHeight w:val="542"/>
        </w:trPr>
        <w:tc>
          <w:tcPr>
            <w:tcW w:w="1711" w:type="dxa"/>
            <w:tcBorders>
              <w:bottom w:val="dotted" w:sz="6" w:space="0" w:color="BEBEBE"/>
            </w:tcBorders>
          </w:tcPr>
          <w:p w14:paraId="5757B1AD" w14:textId="77777777" w:rsidR="0046798B" w:rsidRDefault="0046798B">
            <w:pPr>
              <w:pStyle w:val="TableParagraph"/>
              <w:rPr>
                <w:sz w:val="20"/>
              </w:rPr>
            </w:pPr>
          </w:p>
        </w:tc>
        <w:tc>
          <w:tcPr>
            <w:tcW w:w="1596" w:type="dxa"/>
            <w:tcBorders>
              <w:bottom w:val="dotted" w:sz="6" w:space="0" w:color="BEBEBE"/>
            </w:tcBorders>
          </w:tcPr>
          <w:p w14:paraId="5A481050" w14:textId="77777777" w:rsidR="0046798B" w:rsidRDefault="00903B5C">
            <w:pPr>
              <w:pStyle w:val="TableParagraph"/>
              <w:spacing w:before="43"/>
              <w:ind w:left="114" w:right="430"/>
              <w:rPr>
                <w:sz w:val="20"/>
              </w:rPr>
            </w:pPr>
            <w:r>
              <w:rPr>
                <w:sz w:val="20"/>
              </w:rPr>
              <w:t>growth management</w:t>
            </w:r>
          </w:p>
        </w:tc>
        <w:tc>
          <w:tcPr>
            <w:tcW w:w="1285" w:type="dxa"/>
            <w:tcBorders>
              <w:bottom w:val="dotted" w:sz="6" w:space="0" w:color="BEBEBE"/>
            </w:tcBorders>
          </w:tcPr>
          <w:p w14:paraId="19A6BE6F" w14:textId="77777777" w:rsidR="0046798B" w:rsidRDefault="0046798B">
            <w:pPr>
              <w:pStyle w:val="TableParagraph"/>
              <w:rPr>
                <w:sz w:val="20"/>
              </w:rPr>
            </w:pPr>
          </w:p>
        </w:tc>
        <w:tc>
          <w:tcPr>
            <w:tcW w:w="3421" w:type="dxa"/>
            <w:tcBorders>
              <w:bottom w:val="dotted" w:sz="6" w:space="0" w:color="BEBEBE"/>
            </w:tcBorders>
          </w:tcPr>
          <w:p w14:paraId="2CE454FC" w14:textId="77777777" w:rsidR="0046798B" w:rsidRDefault="0046798B">
            <w:pPr>
              <w:pStyle w:val="TableParagraph"/>
              <w:rPr>
                <w:sz w:val="20"/>
              </w:rPr>
            </w:pPr>
          </w:p>
        </w:tc>
        <w:tc>
          <w:tcPr>
            <w:tcW w:w="6482" w:type="dxa"/>
            <w:tcBorders>
              <w:bottom w:val="dotted" w:sz="6" w:space="0" w:color="BEBEBE"/>
            </w:tcBorders>
          </w:tcPr>
          <w:p w14:paraId="4E9D04EA" w14:textId="77777777" w:rsidR="0046798B" w:rsidRDefault="00903B5C">
            <w:pPr>
              <w:pStyle w:val="TableParagraph"/>
              <w:spacing w:before="43"/>
              <w:ind w:left="114" w:right="137"/>
              <w:rPr>
                <w:sz w:val="20"/>
              </w:rPr>
            </w:pP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150330E1" w14:textId="77777777">
        <w:trPr>
          <w:trHeight w:val="1233"/>
        </w:trPr>
        <w:tc>
          <w:tcPr>
            <w:tcW w:w="1711" w:type="dxa"/>
            <w:tcBorders>
              <w:top w:val="dotted" w:sz="6" w:space="0" w:color="BEBEBE"/>
            </w:tcBorders>
          </w:tcPr>
          <w:p w14:paraId="3831AC27" w14:textId="77777777" w:rsidR="0046798B" w:rsidRDefault="0046798B">
            <w:pPr>
              <w:pStyle w:val="TableParagraph"/>
            </w:pPr>
          </w:p>
          <w:p w14:paraId="64A62D8E" w14:textId="77777777" w:rsidR="0046798B" w:rsidRDefault="00903B5C">
            <w:pPr>
              <w:pStyle w:val="TableParagraph"/>
              <w:spacing w:before="133"/>
              <w:ind w:left="115"/>
              <w:rPr>
                <w:b/>
                <w:sz w:val="20"/>
              </w:rPr>
            </w:pPr>
            <w:r>
              <w:rPr>
                <w:b/>
                <w:sz w:val="20"/>
              </w:rPr>
              <w:t>regulation_boeh mke_livingwill</w:t>
            </w:r>
          </w:p>
        </w:tc>
        <w:tc>
          <w:tcPr>
            <w:tcW w:w="1596" w:type="dxa"/>
            <w:tcBorders>
              <w:top w:val="dotted" w:sz="6" w:space="0" w:color="BEBEBE"/>
            </w:tcBorders>
          </w:tcPr>
          <w:p w14:paraId="562E952C" w14:textId="77777777" w:rsidR="0046798B" w:rsidRDefault="0046798B">
            <w:pPr>
              <w:pStyle w:val="TableParagraph"/>
            </w:pPr>
          </w:p>
          <w:p w14:paraId="541DAB19" w14:textId="77777777" w:rsidR="0046798B" w:rsidRDefault="0046798B">
            <w:pPr>
              <w:pStyle w:val="TableParagraph"/>
              <w:spacing w:before="6"/>
              <w:rPr>
                <w:sz w:val="21"/>
              </w:rPr>
            </w:pPr>
          </w:p>
          <w:p w14:paraId="1139D06D" w14:textId="77777777" w:rsidR="0046798B" w:rsidRDefault="00903B5C">
            <w:pPr>
              <w:pStyle w:val="TableParagraph"/>
              <w:ind w:left="114"/>
              <w:rPr>
                <w:sz w:val="20"/>
              </w:rPr>
            </w:pPr>
            <w:r>
              <w:rPr>
                <w:sz w:val="20"/>
              </w:rPr>
              <w:t>Living wills</w:t>
            </w:r>
          </w:p>
        </w:tc>
        <w:tc>
          <w:tcPr>
            <w:tcW w:w="1285" w:type="dxa"/>
            <w:tcBorders>
              <w:top w:val="dotted" w:sz="6" w:space="0" w:color="BEBEBE"/>
            </w:tcBorders>
          </w:tcPr>
          <w:p w14:paraId="71FDA01D" w14:textId="77777777" w:rsidR="0046798B" w:rsidRDefault="0046798B">
            <w:pPr>
              <w:pStyle w:val="TableParagraph"/>
            </w:pPr>
          </w:p>
          <w:p w14:paraId="29F4736B" w14:textId="77777777" w:rsidR="0046798B" w:rsidRDefault="0046798B">
            <w:pPr>
              <w:pStyle w:val="TableParagraph"/>
              <w:spacing w:before="6"/>
              <w:rPr>
                <w:sz w:val="21"/>
              </w:rPr>
            </w:pPr>
          </w:p>
          <w:p w14:paraId="21FCA584" w14:textId="77777777" w:rsidR="0046798B" w:rsidRDefault="00903B5C">
            <w:pPr>
              <w:pStyle w:val="TableParagraph"/>
              <w:ind w:left="114"/>
              <w:rPr>
                <w:sz w:val="20"/>
              </w:rPr>
            </w:pPr>
            <w:r>
              <w:rPr>
                <w:sz w:val="20"/>
              </w:rPr>
              <w:t>1976–1992</w:t>
            </w:r>
          </w:p>
        </w:tc>
        <w:tc>
          <w:tcPr>
            <w:tcW w:w="3421" w:type="dxa"/>
            <w:tcBorders>
              <w:top w:val="dotted" w:sz="6" w:space="0" w:color="BEBEBE"/>
            </w:tcBorders>
          </w:tcPr>
          <w:p w14:paraId="74668407" w14:textId="77777777" w:rsidR="0046798B" w:rsidRDefault="00903B5C">
            <w:pPr>
              <w:pStyle w:val="TableParagraph"/>
              <w:spacing w:before="155"/>
              <w:ind w:left="114" w:right="89"/>
              <w:rPr>
                <w:sz w:val="20"/>
              </w:rPr>
            </w:pPr>
            <w:r>
              <w:rPr>
                <w:sz w:val="20"/>
              </w:rPr>
              <w:t>Does the state have a law permitting individuals control over the use of heroic medical treatment in the event of a terminal illness? (0 = no, 1 = yes)</w:t>
            </w:r>
          </w:p>
        </w:tc>
        <w:tc>
          <w:tcPr>
            <w:tcW w:w="6482" w:type="dxa"/>
            <w:tcBorders>
              <w:top w:val="dotted" w:sz="6" w:space="0" w:color="BEBEBE"/>
            </w:tcBorders>
          </w:tcPr>
          <w:p w14:paraId="1BE400E6" w14:textId="77777777" w:rsidR="0046798B" w:rsidRDefault="00903B5C">
            <w:pPr>
              <w:pStyle w:val="TableParagraph"/>
              <w:spacing w:before="40"/>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002441A1" w14:textId="77777777">
        <w:trPr>
          <w:trHeight w:val="1240"/>
        </w:trPr>
        <w:tc>
          <w:tcPr>
            <w:tcW w:w="1711" w:type="dxa"/>
          </w:tcPr>
          <w:p w14:paraId="3676D97E" w14:textId="77777777" w:rsidR="0046798B" w:rsidRDefault="0046798B">
            <w:pPr>
              <w:pStyle w:val="TableParagraph"/>
            </w:pPr>
          </w:p>
          <w:p w14:paraId="088281A1" w14:textId="77777777" w:rsidR="0046798B" w:rsidRDefault="00903B5C">
            <w:pPr>
              <w:pStyle w:val="TableParagraph"/>
              <w:spacing w:before="135"/>
              <w:ind w:left="115"/>
              <w:rPr>
                <w:b/>
                <w:sz w:val="20"/>
              </w:rPr>
            </w:pPr>
            <w:r>
              <w:rPr>
                <w:b/>
                <w:sz w:val="20"/>
              </w:rPr>
              <w:t>regulation_housi ng_directstateai</w:t>
            </w:r>
          </w:p>
        </w:tc>
        <w:tc>
          <w:tcPr>
            <w:tcW w:w="1596" w:type="dxa"/>
          </w:tcPr>
          <w:p w14:paraId="11B3C293" w14:textId="77777777" w:rsidR="0046798B" w:rsidRDefault="0046798B">
            <w:pPr>
              <w:pStyle w:val="TableParagraph"/>
              <w:spacing w:before="8"/>
              <w:rPr>
                <w:sz w:val="23"/>
              </w:rPr>
            </w:pPr>
          </w:p>
          <w:p w14:paraId="383C4703" w14:textId="77777777" w:rsidR="0046798B" w:rsidRDefault="00903B5C">
            <w:pPr>
              <w:pStyle w:val="TableParagraph"/>
              <w:spacing w:before="1"/>
              <w:ind w:left="114" w:right="163"/>
              <w:rPr>
                <w:sz w:val="20"/>
              </w:rPr>
            </w:pPr>
            <w:r>
              <w:rPr>
                <w:sz w:val="20"/>
              </w:rPr>
              <w:t>Urban housing—direct state aid</w:t>
            </w:r>
          </w:p>
        </w:tc>
        <w:tc>
          <w:tcPr>
            <w:tcW w:w="1285" w:type="dxa"/>
          </w:tcPr>
          <w:p w14:paraId="7B7D0E1C" w14:textId="77777777" w:rsidR="0046798B" w:rsidRDefault="0046798B">
            <w:pPr>
              <w:pStyle w:val="TableParagraph"/>
            </w:pPr>
          </w:p>
          <w:p w14:paraId="07934814" w14:textId="77777777" w:rsidR="0046798B" w:rsidRDefault="0046798B">
            <w:pPr>
              <w:pStyle w:val="TableParagraph"/>
              <w:spacing w:before="8"/>
              <w:rPr>
                <w:sz w:val="21"/>
              </w:rPr>
            </w:pPr>
          </w:p>
          <w:p w14:paraId="3840DD24" w14:textId="77777777" w:rsidR="0046798B" w:rsidRDefault="00903B5C">
            <w:pPr>
              <w:pStyle w:val="TableParagraph"/>
              <w:spacing w:before="1"/>
              <w:ind w:left="114"/>
              <w:rPr>
                <w:sz w:val="20"/>
              </w:rPr>
            </w:pPr>
            <w:r>
              <w:rPr>
                <w:sz w:val="20"/>
              </w:rPr>
              <w:t>1939–1951</w:t>
            </w:r>
          </w:p>
        </w:tc>
        <w:tc>
          <w:tcPr>
            <w:tcW w:w="3421" w:type="dxa"/>
          </w:tcPr>
          <w:p w14:paraId="2B70788F" w14:textId="77777777" w:rsidR="0046798B" w:rsidRDefault="0046798B">
            <w:pPr>
              <w:pStyle w:val="TableParagraph"/>
            </w:pPr>
          </w:p>
          <w:p w14:paraId="14CDCE8F" w14:textId="77777777" w:rsidR="0046798B" w:rsidRDefault="00903B5C">
            <w:pPr>
              <w:pStyle w:val="TableParagraph"/>
              <w:spacing w:before="135"/>
              <w:ind w:left="114" w:right="411"/>
              <w:rPr>
                <w:sz w:val="20"/>
              </w:rPr>
            </w:pPr>
            <w:r>
              <w:rPr>
                <w:sz w:val="20"/>
              </w:rPr>
              <w:t>Does the state provide direct aid for urban housing? (0 = no, 1 = yes)</w:t>
            </w:r>
          </w:p>
        </w:tc>
        <w:tc>
          <w:tcPr>
            <w:tcW w:w="6482" w:type="dxa"/>
          </w:tcPr>
          <w:p w14:paraId="3679F7CD"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795A871F" w14:textId="77777777">
        <w:trPr>
          <w:trHeight w:val="1235"/>
        </w:trPr>
        <w:tc>
          <w:tcPr>
            <w:tcW w:w="1711" w:type="dxa"/>
          </w:tcPr>
          <w:p w14:paraId="09F65BEA" w14:textId="77777777" w:rsidR="0046798B" w:rsidRDefault="0046798B">
            <w:pPr>
              <w:pStyle w:val="TableParagraph"/>
              <w:spacing w:before="3"/>
              <w:rPr>
                <w:sz w:val="23"/>
              </w:rPr>
            </w:pPr>
          </w:p>
          <w:p w14:paraId="4B30C9BE" w14:textId="77777777" w:rsidR="0046798B" w:rsidRDefault="00903B5C">
            <w:pPr>
              <w:pStyle w:val="TableParagraph"/>
              <w:spacing w:before="1"/>
              <w:ind w:left="115" w:right="154"/>
              <w:jc w:val="both"/>
              <w:rPr>
                <w:b/>
                <w:sz w:val="20"/>
              </w:rPr>
            </w:pPr>
            <w:r>
              <w:rPr>
                <w:b/>
                <w:spacing w:val="-1"/>
                <w:sz w:val="20"/>
              </w:rPr>
              <w:t xml:space="preserve">regulation_housi </w:t>
            </w:r>
            <w:r>
              <w:rPr>
                <w:b/>
                <w:sz w:val="20"/>
              </w:rPr>
              <w:t>ng_enabling_fed eral_aid</w:t>
            </w:r>
          </w:p>
        </w:tc>
        <w:tc>
          <w:tcPr>
            <w:tcW w:w="1596" w:type="dxa"/>
          </w:tcPr>
          <w:p w14:paraId="29B86CE9" w14:textId="77777777" w:rsidR="0046798B" w:rsidRDefault="00903B5C">
            <w:pPr>
              <w:pStyle w:val="TableParagraph"/>
              <w:spacing w:before="153"/>
              <w:ind w:left="114" w:right="158"/>
              <w:rPr>
                <w:sz w:val="20"/>
              </w:rPr>
            </w:pPr>
            <w:r>
              <w:rPr>
                <w:sz w:val="20"/>
              </w:rPr>
              <w:t>Urban housing— enabling federal aid</w:t>
            </w:r>
          </w:p>
        </w:tc>
        <w:tc>
          <w:tcPr>
            <w:tcW w:w="1285" w:type="dxa"/>
          </w:tcPr>
          <w:p w14:paraId="2336EA9B" w14:textId="77777777" w:rsidR="0046798B" w:rsidRDefault="0046798B">
            <w:pPr>
              <w:pStyle w:val="TableParagraph"/>
            </w:pPr>
          </w:p>
          <w:p w14:paraId="0CD30C7C" w14:textId="77777777" w:rsidR="0046798B" w:rsidRDefault="0046798B">
            <w:pPr>
              <w:pStyle w:val="TableParagraph"/>
              <w:spacing w:before="3"/>
              <w:rPr>
                <w:sz w:val="21"/>
              </w:rPr>
            </w:pPr>
          </w:p>
          <w:p w14:paraId="1792B22A" w14:textId="77777777" w:rsidR="0046798B" w:rsidRDefault="00903B5C">
            <w:pPr>
              <w:pStyle w:val="TableParagraph"/>
              <w:spacing w:before="1"/>
              <w:ind w:left="114"/>
              <w:rPr>
                <w:sz w:val="20"/>
              </w:rPr>
            </w:pPr>
            <w:r>
              <w:rPr>
                <w:sz w:val="20"/>
              </w:rPr>
              <w:t>1936–1953</w:t>
            </w:r>
          </w:p>
        </w:tc>
        <w:tc>
          <w:tcPr>
            <w:tcW w:w="3421" w:type="dxa"/>
          </w:tcPr>
          <w:p w14:paraId="71C9A2D0" w14:textId="77777777" w:rsidR="0046798B" w:rsidRDefault="0046798B">
            <w:pPr>
              <w:pStyle w:val="TableParagraph"/>
            </w:pPr>
          </w:p>
          <w:p w14:paraId="5F77F02F" w14:textId="77777777" w:rsidR="0046798B" w:rsidRDefault="00903B5C">
            <w:pPr>
              <w:pStyle w:val="TableParagraph"/>
              <w:spacing w:before="130"/>
              <w:ind w:left="114" w:right="280"/>
              <w:rPr>
                <w:sz w:val="20"/>
              </w:rPr>
            </w:pPr>
            <w:r>
              <w:rPr>
                <w:sz w:val="20"/>
              </w:rPr>
              <w:t>Does the state have a law enabling federal housing aid? (0 = no, 1 = yes)</w:t>
            </w:r>
          </w:p>
        </w:tc>
        <w:tc>
          <w:tcPr>
            <w:tcW w:w="6482" w:type="dxa"/>
          </w:tcPr>
          <w:p w14:paraId="17462733"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3E0D503C" w14:textId="77777777">
        <w:trPr>
          <w:trHeight w:val="1235"/>
        </w:trPr>
        <w:tc>
          <w:tcPr>
            <w:tcW w:w="1711" w:type="dxa"/>
          </w:tcPr>
          <w:p w14:paraId="20FEA7ED" w14:textId="77777777" w:rsidR="0046798B" w:rsidRDefault="0046798B">
            <w:pPr>
              <w:pStyle w:val="TableParagraph"/>
            </w:pPr>
          </w:p>
          <w:p w14:paraId="647CE5B8" w14:textId="77777777" w:rsidR="0046798B" w:rsidRDefault="00903B5C">
            <w:pPr>
              <w:pStyle w:val="TableParagraph"/>
              <w:spacing w:before="130"/>
              <w:ind w:left="115"/>
              <w:rPr>
                <w:b/>
                <w:sz w:val="20"/>
              </w:rPr>
            </w:pPr>
            <w:r>
              <w:rPr>
                <w:b/>
                <w:sz w:val="20"/>
              </w:rPr>
              <w:t>regulation_rent_ control</w:t>
            </w:r>
          </w:p>
        </w:tc>
        <w:tc>
          <w:tcPr>
            <w:tcW w:w="1596" w:type="dxa"/>
          </w:tcPr>
          <w:p w14:paraId="2685ADA5" w14:textId="77777777" w:rsidR="0046798B" w:rsidRDefault="0046798B">
            <w:pPr>
              <w:pStyle w:val="TableParagraph"/>
            </w:pPr>
          </w:p>
          <w:p w14:paraId="716358B2" w14:textId="77777777" w:rsidR="0046798B" w:rsidRDefault="00903B5C">
            <w:pPr>
              <w:pStyle w:val="TableParagraph"/>
              <w:spacing w:before="130"/>
              <w:ind w:left="114" w:right="457"/>
              <w:rPr>
                <w:sz w:val="20"/>
              </w:rPr>
            </w:pPr>
            <w:r>
              <w:rPr>
                <w:sz w:val="20"/>
              </w:rPr>
              <w:t>Rent control prohibition</w:t>
            </w:r>
          </w:p>
        </w:tc>
        <w:tc>
          <w:tcPr>
            <w:tcW w:w="1285" w:type="dxa"/>
          </w:tcPr>
          <w:p w14:paraId="0B4EA8FE" w14:textId="77777777" w:rsidR="0046798B" w:rsidRDefault="0046798B">
            <w:pPr>
              <w:pStyle w:val="TableParagraph"/>
            </w:pPr>
          </w:p>
          <w:p w14:paraId="63B5C35B" w14:textId="77777777" w:rsidR="0046798B" w:rsidRDefault="0046798B">
            <w:pPr>
              <w:pStyle w:val="TableParagraph"/>
              <w:spacing w:before="3"/>
              <w:rPr>
                <w:sz w:val="21"/>
              </w:rPr>
            </w:pPr>
          </w:p>
          <w:p w14:paraId="4F1464E8" w14:textId="77777777" w:rsidR="0046798B" w:rsidRDefault="00903B5C">
            <w:pPr>
              <w:pStyle w:val="TableParagraph"/>
              <w:spacing w:before="1"/>
              <w:ind w:left="114"/>
              <w:rPr>
                <w:sz w:val="20"/>
              </w:rPr>
            </w:pPr>
            <w:r>
              <w:rPr>
                <w:sz w:val="20"/>
              </w:rPr>
              <w:t>1950–2014</w:t>
            </w:r>
          </w:p>
        </w:tc>
        <w:tc>
          <w:tcPr>
            <w:tcW w:w="3421" w:type="dxa"/>
          </w:tcPr>
          <w:p w14:paraId="5C6FF2DE" w14:textId="77777777" w:rsidR="0046798B" w:rsidRDefault="0046798B">
            <w:pPr>
              <w:pStyle w:val="TableParagraph"/>
              <w:spacing w:before="3"/>
              <w:rPr>
                <w:sz w:val="23"/>
              </w:rPr>
            </w:pPr>
          </w:p>
          <w:p w14:paraId="4DC51FA4" w14:textId="77777777" w:rsidR="0046798B" w:rsidRDefault="00903B5C">
            <w:pPr>
              <w:pStyle w:val="TableParagraph"/>
              <w:spacing w:before="1"/>
              <w:ind w:left="114" w:right="222"/>
              <w:rPr>
                <w:sz w:val="20"/>
              </w:rPr>
            </w:pPr>
            <w:r>
              <w:rPr>
                <w:sz w:val="20"/>
              </w:rPr>
              <w:t>Does state prohibit the passage of rent control laws in its cities or municipalities? (0 = no, 1 = yes)</w:t>
            </w:r>
          </w:p>
        </w:tc>
        <w:tc>
          <w:tcPr>
            <w:tcW w:w="6482" w:type="dxa"/>
          </w:tcPr>
          <w:p w14:paraId="1E5BAD1F" w14:textId="77777777" w:rsidR="0046798B" w:rsidRDefault="00903B5C">
            <w:pPr>
              <w:pStyle w:val="TableParagraph"/>
              <w:spacing w:before="38"/>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47EF419A" w14:textId="77777777">
        <w:trPr>
          <w:trHeight w:val="1235"/>
        </w:trPr>
        <w:tc>
          <w:tcPr>
            <w:tcW w:w="1711" w:type="dxa"/>
          </w:tcPr>
          <w:p w14:paraId="1FCBDCB3" w14:textId="77777777" w:rsidR="0046798B" w:rsidRDefault="0046798B">
            <w:pPr>
              <w:pStyle w:val="TableParagraph"/>
            </w:pPr>
          </w:p>
          <w:p w14:paraId="6ADE7CC4" w14:textId="77777777" w:rsidR="0046798B" w:rsidRDefault="0046798B">
            <w:pPr>
              <w:pStyle w:val="TableParagraph"/>
              <w:spacing w:before="3"/>
              <w:rPr>
                <w:sz w:val="21"/>
              </w:rPr>
            </w:pPr>
          </w:p>
          <w:p w14:paraId="74655ED1" w14:textId="77777777" w:rsidR="0046798B" w:rsidRDefault="00903B5C">
            <w:pPr>
              <w:pStyle w:val="TableParagraph"/>
              <w:spacing w:before="1"/>
              <w:ind w:left="115"/>
              <w:rPr>
                <w:b/>
                <w:sz w:val="20"/>
              </w:rPr>
            </w:pPr>
            <w:r>
              <w:rPr>
                <w:b/>
                <w:sz w:val="20"/>
              </w:rPr>
              <w:t>regulation_rfra</w:t>
            </w:r>
          </w:p>
        </w:tc>
        <w:tc>
          <w:tcPr>
            <w:tcW w:w="1596" w:type="dxa"/>
          </w:tcPr>
          <w:p w14:paraId="6FF35C41" w14:textId="77777777" w:rsidR="0046798B" w:rsidRDefault="0046798B">
            <w:pPr>
              <w:pStyle w:val="TableParagraph"/>
              <w:spacing w:before="10"/>
              <w:rPr>
                <w:sz w:val="23"/>
              </w:rPr>
            </w:pPr>
          </w:p>
          <w:p w14:paraId="66270BD8" w14:textId="77777777" w:rsidR="0046798B" w:rsidRDefault="00903B5C">
            <w:pPr>
              <w:pStyle w:val="TableParagraph"/>
              <w:spacing w:line="237" w:lineRule="auto"/>
              <w:ind w:left="114" w:right="191"/>
              <w:rPr>
                <w:sz w:val="20"/>
              </w:rPr>
            </w:pPr>
            <w:r>
              <w:rPr>
                <w:sz w:val="20"/>
              </w:rPr>
              <w:t>Religious Freedom Restoration Act</w:t>
            </w:r>
          </w:p>
        </w:tc>
        <w:tc>
          <w:tcPr>
            <w:tcW w:w="1285" w:type="dxa"/>
          </w:tcPr>
          <w:p w14:paraId="02FE3C68" w14:textId="77777777" w:rsidR="0046798B" w:rsidRDefault="0046798B">
            <w:pPr>
              <w:pStyle w:val="TableParagraph"/>
            </w:pPr>
          </w:p>
          <w:p w14:paraId="6E601A93" w14:textId="77777777" w:rsidR="0046798B" w:rsidRDefault="0046798B">
            <w:pPr>
              <w:pStyle w:val="TableParagraph"/>
              <w:spacing w:before="3"/>
              <w:rPr>
                <w:sz w:val="21"/>
              </w:rPr>
            </w:pPr>
          </w:p>
          <w:p w14:paraId="77E86D77" w14:textId="77777777" w:rsidR="0046798B" w:rsidRDefault="00903B5C">
            <w:pPr>
              <w:pStyle w:val="TableParagraph"/>
              <w:spacing w:before="1"/>
              <w:ind w:left="114"/>
              <w:rPr>
                <w:sz w:val="20"/>
              </w:rPr>
            </w:pPr>
            <w:r>
              <w:rPr>
                <w:sz w:val="20"/>
              </w:rPr>
              <w:t>1993–2014</w:t>
            </w:r>
          </w:p>
        </w:tc>
        <w:tc>
          <w:tcPr>
            <w:tcW w:w="3421" w:type="dxa"/>
          </w:tcPr>
          <w:p w14:paraId="2ABC6CF0" w14:textId="77777777" w:rsidR="0046798B" w:rsidRDefault="0046798B">
            <w:pPr>
              <w:pStyle w:val="TableParagraph"/>
              <w:spacing w:before="10"/>
              <w:rPr>
                <w:sz w:val="23"/>
              </w:rPr>
            </w:pPr>
          </w:p>
          <w:p w14:paraId="19ABECA9" w14:textId="77777777" w:rsidR="0046798B" w:rsidRDefault="00903B5C">
            <w:pPr>
              <w:pStyle w:val="TableParagraph"/>
              <w:spacing w:line="237" w:lineRule="auto"/>
              <w:ind w:left="114" w:right="174"/>
              <w:rPr>
                <w:sz w:val="20"/>
              </w:rPr>
            </w:pPr>
            <w:r>
              <w:rPr>
                <w:sz w:val="20"/>
              </w:rPr>
              <w:t>Did the state pass the Religious Freedom Restoration Act? (0 = no, 1 = yes)</w:t>
            </w:r>
          </w:p>
        </w:tc>
        <w:tc>
          <w:tcPr>
            <w:tcW w:w="6482" w:type="dxa"/>
          </w:tcPr>
          <w:p w14:paraId="73A2CF15"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532C36B6" w14:textId="77777777">
        <w:trPr>
          <w:trHeight w:val="1235"/>
        </w:trPr>
        <w:tc>
          <w:tcPr>
            <w:tcW w:w="1711" w:type="dxa"/>
          </w:tcPr>
          <w:p w14:paraId="40B49D38" w14:textId="77777777" w:rsidR="0046798B" w:rsidRDefault="0046798B">
            <w:pPr>
              <w:pStyle w:val="TableParagraph"/>
            </w:pPr>
          </w:p>
          <w:p w14:paraId="6C0032E0" w14:textId="77777777" w:rsidR="0046798B" w:rsidRDefault="00903B5C">
            <w:pPr>
              <w:pStyle w:val="TableParagraph"/>
              <w:spacing w:before="135"/>
              <w:ind w:left="115"/>
              <w:rPr>
                <w:b/>
                <w:sz w:val="20"/>
              </w:rPr>
            </w:pPr>
            <w:r>
              <w:rPr>
                <w:b/>
                <w:sz w:val="20"/>
              </w:rPr>
              <w:t>regulation_sediti on_laws</w:t>
            </w:r>
          </w:p>
        </w:tc>
        <w:tc>
          <w:tcPr>
            <w:tcW w:w="1596" w:type="dxa"/>
          </w:tcPr>
          <w:p w14:paraId="5EACAACB" w14:textId="77777777" w:rsidR="0046798B" w:rsidRDefault="0046798B">
            <w:pPr>
              <w:pStyle w:val="TableParagraph"/>
            </w:pPr>
          </w:p>
          <w:p w14:paraId="21210B7C" w14:textId="77777777" w:rsidR="0046798B" w:rsidRDefault="00903B5C">
            <w:pPr>
              <w:pStyle w:val="TableParagraph"/>
              <w:spacing w:before="135"/>
              <w:ind w:left="114" w:right="396"/>
              <w:rPr>
                <w:sz w:val="20"/>
              </w:rPr>
            </w:pPr>
            <w:r>
              <w:rPr>
                <w:sz w:val="20"/>
              </w:rPr>
              <w:t>Anti-sedition laws</w:t>
            </w:r>
          </w:p>
        </w:tc>
        <w:tc>
          <w:tcPr>
            <w:tcW w:w="1285" w:type="dxa"/>
          </w:tcPr>
          <w:p w14:paraId="0BC25071" w14:textId="77777777" w:rsidR="0046798B" w:rsidRDefault="0046798B">
            <w:pPr>
              <w:pStyle w:val="TableParagraph"/>
            </w:pPr>
          </w:p>
          <w:p w14:paraId="3894C1F6" w14:textId="77777777" w:rsidR="0046798B" w:rsidRDefault="0046798B">
            <w:pPr>
              <w:pStyle w:val="TableParagraph"/>
              <w:spacing w:before="8"/>
              <w:rPr>
                <w:sz w:val="21"/>
              </w:rPr>
            </w:pPr>
          </w:p>
          <w:p w14:paraId="3DE1DC13" w14:textId="77777777" w:rsidR="0046798B" w:rsidRDefault="00903B5C">
            <w:pPr>
              <w:pStyle w:val="TableParagraph"/>
              <w:spacing w:before="1"/>
              <w:ind w:left="114"/>
              <w:rPr>
                <w:sz w:val="20"/>
              </w:rPr>
            </w:pPr>
            <w:r>
              <w:rPr>
                <w:sz w:val="20"/>
              </w:rPr>
              <w:t>1936–1955</w:t>
            </w:r>
          </w:p>
        </w:tc>
        <w:tc>
          <w:tcPr>
            <w:tcW w:w="3421" w:type="dxa"/>
          </w:tcPr>
          <w:p w14:paraId="1CC49959" w14:textId="77777777" w:rsidR="0046798B" w:rsidRDefault="0046798B">
            <w:pPr>
              <w:pStyle w:val="TableParagraph"/>
            </w:pPr>
          </w:p>
          <w:p w14:paraId="3D3BBA02" w14:textId="77777777" w:rsidR="0046798B" w:rsidRDefault="00903B5C">
            <w:pPr>
              <w:pStyle w:val="TableParagraph"/>
              <w:spacing w:before="135"/>
              <w:ind w:left="114" w:right="172"/>
              <w:rPr>
                <w:sz w:val="20"/>
              </w:rPr>
            </w:pPr>
            <w:r>
              <w:rPr>
                <w:sz w:val="20"/>
              </w:rPr>
              <w:t>Does the state have anti-sedition laws? (0 = no, 1 = yes)</w:t>
            </w:r>
          </w:p>
        </w:tc>
        <w:tc>
          <w:tcPr>
            <w:tcW w:w="6482" w:type="dxa"/>
          </w:tcPr>
          <w:p w14:paraId="375BADED"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r w:rsidR="0046798B" w14:paraId="45CDBFF5" w14:textId="77777777">
        <w:trPr>
          <w:trHeight w:val="1235"/>
        </w:trPr>
        <w:tc>
          <w:tcPr>
            <w:tcW w:w="1711" w:type="dxa"/>
          </w:tcPr>
          <w:p w14:paraId="623BC73F" w14:textId="77777777" w:rsidR="0046798B" w:rsidRDefault="0046798B">
            <w:pPr>
              <w:pStyle w:val="TableParagraph"/>
            </w:pPr>
          </w:p>
          <w:p w14:paraId="2A57A1A4" w14:textId="77777777" w:rsidR="0046798B" w:rsidRDefault="00903B5C">
            <w:pPr>
              <w:pStyle w:val="TableParagraph"/>
              <w:spacing w:before="135"/>
              <w:ind w:left="115" w:right="99"/>
              <w:rPr>
                <w:b/>
                <w:sz w:val="20"/>
              </w:rPr>
            </w:pPr>
            <w:r>
              <w:rPr>
                <w:b/>
                <w:sz w:val="20"/>
              </w:rPr>
              <w:t>regulations_lemo nlaw</w:t>
            </w:r>
          </w:p>
        </w:tc>
        <w:tc>
          <w:tcPr>
            <w:tcW w:w="1596" w:type="dxa"/>
          </w:tcPr>
          <w:p w14:paraId="7EE0DDAD" w14:textId="77777777" w:rsidR="0046798B" w:rsidRDefault="0046798B">
            <w:pPr>
              <w:pStyle w:val="TableParagraph"/>
            </w:pPr>
          </w:p>
          <w:p w14:paraId="13A53288" w14:textId="77777777" w:rsidR="0046798B" w:rsidRDefault="0046798B">
            <w:pPr>
              <w:pStyle w:val="TableParagraph"/>
              <w:spacing w:before="8"/>
              <w:rPr>
                <w:sz w:val="21"/>
              </w:rPr>
            </w:pPr>
          </w:p>
          <w:p w14:paraId="43904879" w14:textId="77777777" w:rsidR="0046798B" w:rsidRDefault="00903B5C">
            <w:pPr>
              <w:pStyle w:val="TableParagraph"/>
              <w:spacing w:before="1"/>
              <w:ind w:left="114"/>
              <w:rPr>
                <w:sz w:val="20"/>
              </w:rPr>
            </w:pPr>
            <w:r>
              <w:rPr>
                <w:sz w:val="20"/>
              </w:rPr>
              <w:t>Lemon laws</w:t>
            </w:r>
          </w:p>
        </w:tc>
        <w:tc>
          <w:tcPr>
            <w:tcW w:w="1285" w:type="dxa"/>
          </w:tcPr>
          <w:p w14:paraId="11392539" w14:textId="77777777" w:rsidR="0046798B" w:rsidRDefault="0046798B">
            <w:pPr>
              <w:pStyle w:val="TableParagraph"/>
            </w:pPr>
          </w:p>
          <w:p w14:paraId="5855B853" w14:textId="77777777" w:rsidR="0046798B" w:rsidRDefault="0046798B">
            <w:pPr>
              <w:pStyle w:val="TableParagraph"/>
              <w:spacing w:before="8"/>
              <w:rPr>
                <w:sz w:val="21"/>
              </w:rPr>
            </w:pPr>
          </w:p>
          <w:p w14:paraId="6B8D1FF7" w14:textId="77777777" w:rsidR="0046798B" w:rsidRDefault="00903B5C">
            <w:pPr>
              <w:pStyle w:val="TableParagraph"/>
              <w:spacing w:before="1"/>
              <w:ind w:left="114"/>
              <w:rPr>
                <w:sz w:val="20"/>
              </w:rPr>
            </w:pPr>
            <w:r>
              <w:rPr>
                <w:sz w:val="20"/>
              </w:rPr>
              <w:t>1970–2014</w:t>
            </w:r>
          </w:p>
        </w:tc>
        <w:tc>
          <w:tcPr>
            <w:tcW w:w="3421" w:type="dxa"/>
          </w:tcPr>
          <w:p w14:paraId="20104270" w14:textId="77777777" w:rsidR="0046798B" w:rsidRDefault="00903B5C">
            <w:pPr>
              <w:pStyle w:val="TableParagraph"/>
              <w:spacing w:before="158"/>
              <w:ind w:left="114" w:right="154"/>
              <w:rPr>
                <w:sz w:val="20"/>
              </w:rPr>
            </w:pPr>
            <w:r>
              <w:rPr>
                <w:sz w:val="20"/>
              </w:rPr>
              <w:t>Did the state pass a law protecting consumers who purchase automobiles that fail after repeated repairs? (0 = no, 1 = yes)</w:t>
            </w:r>
          </w:p>
        </w:tc>
        <w:tc>
          <w:tcPr>
            <w:tcW w:w="6482" w:type="dxa"/>
          </w:tcPr>
          <w:p w14:paraId="2AD19855"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bl>
    <w:p w14:paraId="0149F3FF" w14:textId="77777777" w:rsidR="0046798B" w:rsidRDefault="0046798B">
      <w:pPr>
        <w:rPr>
          <w:sz w:val="20"/>
        </w:rPr>
        <w:sectPr w:rsidR="0046798B">
          <w:pgSz w:w="15840" w:h="12240" w:orient="landscape"/>
          <w:pgMar w:top="1220" w:right="300" w:bottom="980" w:left="820" w:header="730" w:footer="787" w:gutter="0"/>
          <w:cols w:space="720"/>
        </w:sectPr>
      </w:pPr>
    </w:p>
    <w:p w14:paraId="0D2236E3" w14:textId="77777777" w:rsidR="0046798B" w:rsidRDefault="0046798B">
      <w:pPr>
        <w:pStyle w:val="BodyText"/>
      </w:pPr>
    </w:p>
    <w:tbl>
      <w:tblPr>
        <w:tblW w:w="0" w:type="auto"/>
        <w:tblInd w:w="110"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1711"/>
        <w:gridCol w:w="1596"/>
        <w:gridCol w:w="1285"/>
        <w:gridCol w:w="3421"/>
        <w:gridCol w:w="6482"/>
      </w:tblGrid>
      <w:tr w:rsidR="0046798B" w14:paraId="420CFE0F" w14:textId="77777777">
        <w:trPr>
          <w:trHeight w:val="1235"/>
        </w:trPr>
        <w:tc>
          <w:tcPr>
            <w:tcW w:w="1711" w:type="dxa"/>
          </w:tcPr>
          <w:p w14:paraId="74A04D3F" w14:textId="77777777" w:rsidR="0046798B" w:rsidRDefault="0046798B">
            <w:pPr>
              <w:pStyle w:val="TableParagraph"/>
            </w:pPr>
          </w:p>
          <w:p w14:paraId="44C06ABA" w14:textId="77777777" w:rsidR="0046798B" w:rsidRDefault="00903B5C">
            <w:pPr>
              <w:pStyle w:val="TableParagraph"/>
              <w:spacing w:before="135"/>
              <w:ind w:left="115"/>
              <w:rPr>
                <w:b/>
                <w:sz w:val="20"/>
              </w:rPr>
            </w:pPr>
            <w:r>
              <w:rPr>
                <w:b/>
                <w:sz w:val="20"/>
              </w:rPr>
              <w:t>regulations_state</w:t>
            </w:r>
          </w:p>
          <w:p w14:paraId="24CB34F8" w14:textId="77777777" w:rsidR="0046798B" w:rsidRDefault="00903B5C">
            <w:pPr>
              <w:pStyle w:val="TableParagraph"/>
              <w:ind w:left="115"/>
              <w:rPr>
                <w:b/>
                <w:sz w:val="20"/>
              </w:rPr>
            </w:pPr>
            <w:r>
              <w:rPr>
                <w:b/>
                <w:sz w:val="20"/>
              </w:rPr>
              <w:t>_debt_limitatio</w:t>
            </w:r>
          </w:p>
        </w:tc>
        <w:tc>
          <w:tcPr>
            <w:tcW w:w="1596" w:type="dxa"/>
          </w:tcPr>
          <w:p w14:paraId="22BBC7F1" w14:textId="77777777" w:rsidR="0046798B" w:rsidRDefault="0046798B">
            <w:pPr>
              <w:pStyle w:val="TableParagraph"/>
            </w:pPr>
          </w:p>
          <w:p w14:paraId="18F224B9" w14:textId="77777777" w:rsidR="0046798B" w:rsidRDefault="00903B5C">
            <w:pPr>
              <w:pStyle w:val="TableParagraph"/>
              <w:spacing w:before="135"/>
              <w:ind w:left="114" w:right="657"/>
              <w:rPr>
                <w:sz w:val="20"/>
              </w:rPr>
            </w:pPr>
            <w:r>
              <w:rPr>
                <w:sz w:val="20"/>
              </w:rPr>
              <w:t>State debt limitation</w:t>
            </w:r>
          </w:p>
        </w:tc>
        <w:tc>
          <w:tcPr>
            <w:tcW w:w="1285" w:type="dxa"/>
          </w:tcPr>
          <w:p w14:paraId="1C777B37" w14:textId="77777777" w:rsidR="0046798B" w:rsidRDefault="0046798B">
            <w:pPr>
              <w:pStyle w:val="TableParagraph"/>
            </w:pPr>
          </w:p>
          <w:p w14:paraId="2EBEB4B0" w14:textId="77777777" w:rsidR="0046798B" w:rsidRDefault="0046798B">
            <w:pPr>
              <w:pStyle w:val="TableParagraph"/>
              <w:spacing w:before="9"/>
              <w:rPr>
                <w:sz w:val="21"/>
              </w:rPr>
            </w:pPr>
          </w:p>
          <w:p w14:paraId="65269741" w14:textId="77777777" w:rsidR="0046798B" w:rsidRDefault="00903B5C">
            <w:pPr>
              <w:pStyle w:val="TableParagraph"/>
              <w:ind w:left="114"/>
              <w:rPr>
                <w:sz w:val="20"/>
              </w:rPr>
            </w:pPr>
            <w:r>
              <w:rPr>
                <w:sz w:val="20"/>
              </w:rPr>
              <w:t>1936–1966</w:t>
            </w:r>
          </w:p>
        </w:tc>
        <w:tc>
          <w:tcPr>
            <w:tcW w:w="3421" w:type="dxa"/>
          </w:tcPr>
          <w:p w14:paraId="14859838" w14:textId="77777777" w:rsidR="0046798B" w:rsidRDefault="0046798B">
            <w:pPr>
              <w:pStyle w:val="TableParagraph"/>
            </w:pPr>
          </w:p>
          <w:p w14:paraId="642D5CA1" w14:textId="77777777" w:rsidR="0046798B" w:rsidRDefault="00903B5C">
            <w:pPr>
              <w:pStyle w:val="TableParagraph"/>
              <w:spacing w:before="135"/>
              <w:ind w:left="114" w:right="138"/>
              <w:rPr>
                <w:sz w:val="20"/>
              </w:rPr>
            </w:pPr>
            <w:r>
              <w:rPr>
                <w:sz w:val="20"/>
              </w:rPr>
              <w:t>Does the state constitution restrict state debt issuance? (0 = no, 1 = yes)</w:t>
            </w:r>
          </w:p>
        </w:tc>
        <w:tc>
          <w:tcPr>
            <w:tcW w:w="6482" w:type="dxa"/>
          </w:tcPr>
          <w:p w14:paraId="3B4786D9" w14:textId="77777777" w:rsidR="0046798B" w:rsidRDefault="00903B5C">
            <w:pPr>
              <w:pStyle w:val="TableParagraph"/>
              <w:spacing w:before="43"/>
              <w:ind w:left="114" w:right="137"/>
              <w:rPr>
                <w:sz w:val="20"/>
              </w:rPr>
            </w:pPr>
            <w:r>
              <w:rPr>
                <w:sz w:val="20"/>
              </w:rPr>
              <w:t xml:space="preserve">Caughey, Devin, and Christopher Warshaw. 2015. “The Dynamics of State Policy Liberalism, 1936–2014.” </w:t>
            </w:r>
            <w:r>
              <w:rPr>
                <w:i/>
                <w:sz w:val="20"/>
              </w:rPr>
              <w:t>American Journal of Political Science</w:t>
            </w:r>
            <w:r>
              <w:rPr>
                <w:sz w:val="20"/>
              </w:rPr>
              <w:t xml:space="preserve">, September. doi: 10.1111/ajps.12219. </w:t>
            </w:r>
            <w:r>
              <w:rPr>
                <w:color w:val="0462C1"/>
                <w:sz w:val="20"/>
                <w:u w:val="single" w:color="0462C1"/>
              </w:rPr>
              <w:t>https://dataverse.harvard.edu/dataset.xhtml?persistentId=doi:10.7910/DVN/Z</w:t>
            </w:r>
            <w:r>
              <w:rPr>
                <w:color w:val="0462C1"/>
                <w:sz w:val="20"/>
              </w:rPr>
              <w:t xml:space="preserve"> </w:t>
            </w:r>
            <w:r>
              <w:rPr>
                <w:color w:val="0462C1"/>
                <w:sz w:val="20"/>
                <w:u w:val="single" w:color="0462C1"/>
              </w:rPr>
              <w:t>XZMJB</w:t>
            </w:r>
          </w:p>
        </w:tc>
      </w:tr>
    </w:tbl>
    <w:p w14:paraId="077B6D61" w14:textId="77777777" w:rsidR="0046798B" w:rsidRDefault="0046798B">
      <w:pPr>
        <w:rPr>
          <w:sz w:val="20"/>
        </w:rPr>
        <w:sectPr w:rsidR="0046798B">
          <w:pgSz w:w="15840" w:h="12240" w:orient="landscape"/>
          <w:pgMar w:top="1220" w:right="300" w:bottom="980" w:left="820" w:header="730" w:footer="787" w:gutter="0"/>
          <w:cols w:space="720"/>
        </w:sectPr>
      </w:pPr>
    </w:p>
    <w:p w14:paraId="251FD33E" w14:textId="77777777" w:rsidR="0046798B" w:rsidRDefault="0046798B">
      <w:pPr>
        <w:pStyle w:val="BodyText"/>
        <w:spacing w:before="0"/>
        <w:rPr>
          <w:sz w:val="20"/>
        </w:rPr>
      </w:pPr>
    </w:p>
    <w:p w14:paraId="50F7C36B" w14:textId="77777777" w:rsidR="0046798B" w:rsidRDefault="0046798B">
      <w:pPr>
        <w:pStyle w:val="BodyText"/>
        <w:spacing w:before="0"/>
        <w:rPr>
          <w:sz w:val="20"/>
        </w:rPr>
      </w:pPr>
    </w:p>
    <w:p w14:paraId="4C10CE2A" w14:textId="77777777" w:rsidR="0046798B" w:rsidRDefault="0046798B">
      <w:pPr>
        <w:pStyle w:val="BodyText"/>
        <w:spacing w:before="0"/>
      </w:pPr>
    </w:p>
    <w:p w14:paraId="3BC2097C" w14:textId="77777777" w:rsidR="0046798B" w:rsidRDefault="00903B5C">
      <w:pPr>
        <w:pStyle w:val="BodyText"/>
        <w:spacing w:before="93"/>
        <w:ind w:left="620" w:right="1178"/>
      </w:pPr>
      <w:r>
        <w:rPr>
          <w:sz w:val="12"/>
        </w:rPr>
        <w:t xml:space="preserve">i </w:t>
      </w:r>
      <w:r>
        <w:t>Then amounts were put into the quarters as follows. Q3 from the year before Q2.5 gets a ^(1/12) of the amount in the next q2.5. Q4 from the year before Q2.5 gets a ^(1/4) of the amount in the next q2.5. Q1 from the year of Q2.5 gets a ^(1/4) of the amount in the next q2.5. Q2 from the year of Q2.5 gets a ^(1/4) of the amount in the next q2.5. Since the annual CPI data is measured in the entire month of July, Q3 (July, August, September) is just one month different at its midpoint (July 15</w:t>
      </w:r>
      <w:r>
        <w:rPr>
          <w:sz w:val="12"/>
        </w:rPr>
        <w:t xml:space="preserve">th </w:t>
      </w:r>
      <w:r>
        <w:t>versus August 15</w:t>
      </w:r>
      <w:r>
        <w:rPr>
          <w:sz w:val="12"/>
        </w:rPr>
        <w:t>th</w:t>
      </w:r>
      <w:r>
        <w:t>), and Q2 is two months different (May 15</w:t>
      </w:r>
      <w:r>
        <w:rPr>
          <w:sz w:val="12"/>
        </w:rPr>
        <w:t xml:space="preserve">th </w:t>
      </w:r>
      <w:r>
        <w:t>versus July 15</w:t>
      </w:r>
      <w:r>
        <w:rPr>
          <w:sz w:val="12"/>
        </w:rPr>
        <w:t>th</w:t>
      </w:r>
      <w:r>
        <w:t>). The period not seen (between Q2 / May 15</w:t>
      </w:r>
      <w:r>
        <w:rPr>
          <w:sz w:val="12"/>
        </w:rPr>
        <w:t xml:space="preserve">th </w:t>
      </w:r>
      <w:r>
        <w:t>and annual / July 15</w:t>
      </w:r>
      <w:r>
        <w:rPr>
          <w:sz w:val="12"/>
        </w:rPr>
        <w:t>th</w:t>
      </w:r>
      <w:r>
        <w:t>) is 1/6, because it’s two months. The other amounts build up from the base. Q3 of 2010 gets ^(1/12) of the amount in 2010q2.5. Q4 of 2010 gets ^(1/4) of the amount in 2010q2.5.</w:t>
      </w:r>
    </w:p>
    <w:p w14:paraId="1DF2A6ED" w14:textId="77777777" w:rsidR="0046798B" w:rsidRDefault="00903B5C">
      <w:pPr>
        <w:pStyle w:val="BodyText"/>
        <w:spacing w:before="0"/>
        <w:ind w:left="620" w:right="1176"/>
      </w:pPr>
      <w:r>
        <w:rPr>
          <w:sz w:val="12"/>
        </w:rPr>
        <w:t xml:space="preserve">ii </w:t>
      </w:r>
      <w:r>
        <w:t>Note: takes the four plus states with irregular fiscal year beginnings into account. According to the State Government Finances Database, these are the following states and fiscal years (asterisks indicate when the beginning date is also the first observed case in the database): AL (September 30: 1941*-2008); AK (March 31: 1957*-1959); DC (September 30: 1977-2007); ID (December 31: 1942* only); LA (December 31: 1941* only); MD (September 30: 1941* only); MA (September 30: 1941* only); MI (September 30: 1976 to 2008); MO (December 31: 1941* to 1943); NY (March 31: 1944 to 2008); OH (December 31: 1941* to 1947); PA (May 31: 1942* to 1961); TX (August 31: 1941* to 2008); WA</w:t>
      </w:r>
    </w:p>
    <w:p w14:paraId="00FA9384" w14:textId="77777777" w:rsidR="0046798B" w:rsidRDefault="00903B5C">
      <w:pPr>
        <w:pStyle w:val="BodyText"/>
        <w:spacing w:before="2" w:line="206" w:lineRule="exact"/>
        <w:ind w:left="620"/>
      </w:pPr>
      <w:r>
        <w:t>(March 31: 1942* to 1953); WY (September 30: 1941* to 1952);</w:t>
      </w:r>
    </w:p>
    <w:p w14:paraId="27F9D205" w14:textId="77777777" w:rsidR="0046798B" w:rsidRDefault="00903B5C">
      <w:pPr>
        <w:pStyle w:val="BodyText"/>
        <w:spacing w:before="0"/>
        <w:ind w:left="620" w:right="1266"/>
      </w:pPr>
      <w:r>
        <w:rPr>
          <w:sz w:val="12"/>
        </w:rPr>
        <w:t xml:space="preserve">iii </w:t>
      </w:r>
      <w:r>
        <w:t>The growth rate is the following roots of the following formula. Computed by:{ [personal_income1000s_Annual (time t) - personal_income1000s_Annual (time t-1) ] / personal_income1000s_Annual (time t-1) } + 1. Q3 from the year before Q2.5 gets a ^(1/8) of the next q2.5. Q4 from the year before Q2.5 gets a ^(1/4) of the next q2.5. Q1 from the year of Q2.5 gets a ^(1/4) of the next q2.5. Q2 from the year of Q2.5 gets a ^(1/4) of the next q2.5. 1947q3 and 1947q4 used a somewhat different adjustment, but about the same.</w:t>
      </w:r>
    </w:p>
    <w:p w14:paraId="35FAE3F5" w14:textId="77777777" w:rsidR="0046798B" w:rsidRDefault="00903B5C">
      <w:pPr>
        <w:pStyle w:val="BodyText"/>
        <w:spacing w:before="2"/>
        <w:ind w:left="620" w:right="1162"/>
      </w:pPr>
      <w:r>
        <w:rPr>
          <w:sz w:val="12"/>
        </w:rPr>
        <w:t xml:space="preserve">iv </w:t>
      </w:r>
      <w:r>
        <w:t>The Vote for Highest Office is the traditional reported number of people who voted in a given election. In presidential election years, the vote for highest office is simply the presidential vote. In a non-presidential election year, the vote for highest office is the largest vote total for a statewide office such as governor or US Senator. When no statewide office is on the ballot, the sum of the congressional races is used instead. In 2006, I changed this methodology slightly to use the sum of the congressional races if they exceeded a statewide office, as occurred with Indiana's uncompetitive US Senate race. Some people do not cast a vote, even for president. Some failures to record votes are true errors, such as unrecorded votes originating from the infamous hanging chads of the 2000 Florida election. It is important to realize that some people intentionally abstain. For example, in the 2004 presidential election 3,688 Nevadans voted for “None of These Candidates” (Nevada is the only state that allows this option). Under-Votes are such blank or indiscernible votes. Over-votes occur when a voter selects multiple candidates when only one is acceptable.</w:t>
      </w:r>
    </w:p>
    <w:p w14:paraId="750800AF" w14:textId="77777777" w:rsidR="0046798B" w:rsidRDefault="0046798B">
      <w:pPr>
        <w:pStyle w:val="BodyText"/>
        <w:spacing w:before="6"/>
        <w:rPr>
          <w:sz w:val="17"/>
        </w:rPr>
      </w:pPr>
    </w:p>
    <w:p w14:paraId="4F0F3774" w14:textId="77777777" w:rsidR="0046798B" w:rsidRDefault="00903B5C">
      <w:pPr>
        <w:pStyle w:val="BodyText"/>
        <w:spacing w:before="0" w:line="206" w:lineRule="exact"/>
        <w:ind w:left="620"/>
      </w:pPr>
      <w:r>
        <w:rPr>
          <w:sz w:val="12"/>
        </w:rPr>
        <w:t xml:space="preserve">v </w:t>
      </w:r>
      <w:r>
        <w:t>Notes: National or state offense totals are based on data from all reporting agencies and estimates for unreported areas.</w:t>
      </w:r>
    </w:p>
    <w:p w14:paraId="15CF3CFA" w14:textId="77777777" w:rsidR="0046798B" w:rsidRDefault="00903B5C">
      <w:pPr>
        <w:pStyle w:val="ListParagraph"/>
        <w:numPr>
          <w:ilvl w:val="1"/>
          <w:numId w:val="1"/>
        </w:numPr>
        <w:tabs>
          <w:tab w:val="left" w:pos="816"/>
        </w:tabs>
        <w:ind w:right="1210" w:firstLine="90"/>
        <w:rPr>
          <w:sz w:val="18"/>
        </w:rPr>
      </w:pPr>
      <w:r>
        <w:rPr>
          <w:sz w:val="18"/>
        </w:rPr>
        <w:t>Delaware: (Since complete 1995 data were not available from Delaware, standard estimation procedures were applied to derive the 1995 state estimate. The state UCR Program was unable to provide 1998 forcible rape figures in accordance with national UCR guidelines. The 1998 forcible rape total for Delaware was estimated by reducing the number of reported offenses by the proportion of male forcible rape victims</w:t>
      </w:r>
      <w:r>
        <w:rPr>
          <w:spacing w:val="-2"/>
          <w:sz w:val="18"/>
        </w:rPr>
        <w:t xml:space="preserve"> </w:t>
      </w:r>
      <w:r>
        <w:rPr>
          <w:sz w:val="18"/>
        </w:rPr>
        <w:t>statewide.)</w:t>
      </w:r>
    </w:p>
    <w:p w14:paraId="4A630282" w14:textId="77777777" w:rsidR="0046798B" w:rsidRDefault="00903B5C">
      <w:pPr>
        <w:pStyle w:val="ListParagraph"/>
        <w:numPr>
          <w:ilvl w:val="1"/>
          <w:numId w:val="1"/>
        </w:numPr>
        <w:tabs>
          <w:tab w:val="left" w:pos="816"/>
        </w:tabs>
        <w:spacing w:before="3" w:line="206" w:lineRule="exact"/>
        <w:ind w:left="815"/>
        <w:rPr>
          <w:sz w:val="18"/>
        </w:rPr>
      </w:pPr>
      <w:r>
        <w:rPr>
          <w:sz w:val="18"/>
        </w:rPr>
        <w:t>District of Columbia - 1999-2008: (District of Columbia data include reports from the Zoological Police; 2002-2008 data include reports from the Metro Transit</w:t>
      </w:r>
      <w:r>
        <w:rPr>
          <w:spacing w:val="-17"/>
          <w:sz w:val="18"/>
        </w:rPr>
        <w:t xml:space="preserve"> </w:t>
      </w:r>
      <w:r>
        <w:rPr>
          <w:sz w:val="18"/>
        </w:rPr>
        <w:t>Police.)</w:t>
      </w:r>
    </w:p>
    <w:p w14:paraId="53641E33" w14:textId="77777777" w:rsidR="0046798B" w:rsidRDefault="00903B5C">
      <w:pPr>
        <w:pStyle w:val="ListParagraph"/>
        <w:numPr>
          <w:ilvl w:val="1"/>
          <w:numId w:val="1"/>
        </w:numPr>
        <w:tabs>
          <w:tab w:val="left" w:pos="816"/>
        </w:tabs>
        <w:ind w:right="1225" w:firstLine="90"/>
        <w:rPr>
          <w:sz w:val="18"/>
        </w:rPr>
      </w:pPr>
      <w:r>
        <w:rPr>
          <w:sz w:val="18"/>
        </w:rPr>
        <w:t>Florida: (Reporting problems at the state resulted in no usable 1988 data. The state total was estimated by updating previous valid annual totals for individual jurisdictions, subdivided by population group. Percent changes for each offense within each population group of the geographic division in which the state resides was applied to the previous valid annual totals. The state total was compiled from the sums of the population group estimates. The state UCR Program was unable to provide complete 1996 offense figures in accordance with UCR guidelines. The state UCR Program was able to provide an aggregated state total and data were received from 94 individual Florida</w:t>
      </w:r>
      <w:r>
        <w:rPr>
          <w:spacing w:val="-8"/>
          <w:sz w:val="18"/>
        </w:rPr>
        <w:t xml:space="preserve"> </w:t>
      </w:r>
      <w:r>
        <w:rPr>
          <w:sz w:val="18"/>
        </w:rPr>
        <w:t>agencies.)</w:t>
      </w:r>
    </w:p>
    <w:p w14:paraId="42E776B9" w14:textId="77777777" w:rsidR="0046798B" w:rsidRDefault="00903B5C">
      <w:pPr>
        <w:pStyle w:val="ListParagraph"/>
        <w:numPr>
          <w:ilvl w:val="1"/>
          <w:numId w:val="1"/>
        </w:numPr>
        <w:tabs>
          <w:tab w:val="left" w:pos="816"/>
        </w:tabs>
        <w:spacing w:before="2"/>
        <w:ind w:right="1160" w:firstLine="90"/>
        <w:rPr>
          <w:sz w:val="18"/>
        </w:rPr>
      </w:pPr>
      <w:r>
        <w:rPr>
          <w:sz w:val="18"/>
        </w:rPr>
        <w:t>Illinois : (The state UCR Program was unable to provide 1985-current forcible rape figures in accordance with national UCR Program guidelines. The rape totals were estimated using national rates per 100,000 inhabitants within the eight population groups and assigning the forcible rape volumes proportionally to the state. Rockford, Illinois, has provided valid forcible rape counts as of 2006. For 1993 state NIBRS conversion efforts resulted in estimation for Illinois. Since valid annual totals were available for approximately 60 Illinois agencies, those counts were maintained. The counts for the remaining jurisdictions were replaced with the most recent valid annual totals or were generated using standard estimation procedures. The results of all sources were then combined to arrive at the 1993 state total for Illinois. For 1994 state NIBRS conversion efforts resulted in estimation for Illinois. Illinois totals were generated using only the valid crime rates for the East North Central Division. Within each population group, the state's offense totals were estimated based on the rate per 100,000 inhabitants within the remainder of the division. For 1996-current, the state UCR Program was unable to provide complete offense figures in accordance with UCR guidelines. Valid Part I counts were available for most of the largest cities (100,000 and over in population). For other agencies, the only available counts generated by the Illinois State Program were state totals based upon an incident-level system without indication of multiple offenses recorded within single incidents. Therefore, the UCR Hierarchy Rule could not be applied in order to convert the state's data to Summary Reporting System data. (The Hierarchy Rule requires that only the most serious offense in a multiple-offense criminal incident is counted.) To arrive at a comparable state estimate to be included in national compilations, the Illinois State Program's state</w:t>
      </w:r>
      <w:r>
        <w:rPr>
          <w:spacing w:val="-3"/>
          <w:sz w:val="18"/>
        </w:rPr>
        <w:t xml:space="preserve"> </w:t>
      </w:r>
      <w:r>
        <w:rPr>
          <w:sz w:val="18"/>
        </w:rPr>
        <w:t>totals</w:t>
      </w:r>
    </w:p>
    <w:p w14:paraId="44C27C23" w14:textId="77777777" w:rsidR="0046798B" w:rsidRDefault="0046798B">
      <w:pPr>
        <w:rPr>
          <w:sz w:val="18"/>
        </w:rPr>
        <w:sectPr w:rsidR="0046798B">
          <w:pgSz w:w="15840" w:h="12240" w:orient="landscape"/>
          <w:pgMar w:top="1220" w:right="300" w:bottom="980" w:left="820" w:header="730" w:footer="787" w:gutter="0"/>
          <w:cols w:space="720"/>
        </w:sectPr>
      </w:pPr>
    </w:p>
    <w:p w14:paraId="742117E3" w14:textId="77777777" w:rsidR="0046798B" w:rsidRDefault="0046798B">
      <w:pPr>
        <w:pStyle w:val="BodyText"/>
        <w:spacing w:before="0"/>
        <w:rPr>
          <w:sz w:val="20"/>
        </w:rPr>
      </w:pPr>
    </w:p>
    <w:p w14:paraId="349E631D" w14:textId="77777777" w:rsidR="0046798B" w:rsidRDefault="0046798B">
      <w:pPr>
        <w:pStyle w:val="BodyText"/>
        <w:spacing w:before="1"/>
        <w:rPr>
          <w:sz w:val="22"/>
        </w:rPr>
      </w:pPr>
    </w:p>
    <w:p w14:paraId="3B4D2EEB" w14:textId="77777777" w:rsidR="0046798B" w:rsidRDefault="00903B5C">
      <w:pPr>
        <w:pStyle w:val="BodyText"/>
        <w:spacing w:before="1"/>
        <w:ind w:left="620" w:right="1598"/>
      </w:pPr>
      <w:r>
        <w:t>(which were inflated because of the nonapplication of the Hierarchy Rule) were reduced by the proportion of multiple offenses reported within single incidents in the NIBRS database. Valid totals for the large cities were excluded from the reduction process.)</w:t>
      </w:r>
    </w:p>
    <w:p w14:paraId="1B0DCFFB" w14:textId="77777777" w:rsidR="0046798B" w:rsidRDefault="00903B5C">
      <w:pPr>
        <w:pStyle w:val="ListParagraph"/>
        <w:numPr>
          <w:ilvl w:val="1"/>
          <w:numId w:val="1"/>
        </w:numPr>
        <w:tabs>
          <w:tab w:val="left" w:pos="816"/>
        </w:tabs>
        <w:spacing w:before="1"/>
        <w:ind w:right="1585" w:firstLine="90"/>
        <w:rPr>
          <w:sz w:val="18"/>
        </w:rPr>
      </w:pPr>
      <w:r>
        <w:rPr>
          <w:sz w:val="18"/>
        </w:rPr>
        <w:t>Iowa: (NIBRS conversion efforts resulted in estimation for Iowa in 1991. State totals were estimated by updating previous valid annual totals for individual jurisdictions, subdivided by population group. Percent changes for each offense within each population group of the West North Central Division were applied to the previous valid annual totals. The state totals were compiled from the sums of the population group</w:t>
      </w:r>
      <w:r>
        <w:rPr>
          <w:spacing w:val="-15"/>
          <w:sz w:val="18"/>
        </w:rPr>
        <w:t xml:space="preserve"> </w:t>
      </w:r>
      <w:r>
        <w:rPr>
          <w:sz w:val="18"/>
        </w:rPr>
        <w:t>estimates.)</w:t>
      </w:r>
    </w:p>
    <w:p w14:paraId="7BF08528" w14:textId="77777777" w:rsidR="0046798B" w:rsidRDefault="00903B5C">
      <w:pPr>
        <w:pStyle w:val="ListParagraph"/>
        <w:numPr>
          <w:ilvl w:val="1"/>
          <w:numId w:val="1"/>
        </w:numPr>
        <w:tabs>
          <w:tab w:val="left" w:pos="816"/>
        </w:tabs>
        <w:ind w:right="1194" w:firstLine="90"/>
        <w:rPr>
          <w:sz w:val="18"/>
        </w:rPr>
      </w:pPr>
      <w:r>
        <w:rPr>
          <w:sz w:val="18"/>
        </w:rPr>
        <w:t>Kansas: (NIBRS conversion efforts resulted in estimation for Kansas in 1993. State totals were estimated by updating previous valid annual totals for individual jurisdictions, subdivided by population group. Percent changes for each offense within each population group of the West North Central Division were applied to the previous valid annual totals. The state totals were compiled from the sums of the population group estimates. NIBRS conversion efforts resulted in estimation for Kansas in 1994. State totals were generated using only the valid crime rates for the West North Central Division. Within each population group, the state's offense totals were estimated based on the rate per 100,000 inhabitants within the remainder of the division. The state UCR Program was unable to provide complete 1995 offense figures in accordance with UCR guidelines. The state UCR Program was able to provide valid 1994 state totals which were then updated using 1995 crime trends for the West North Central Division. The state UCR Program was unable to provide complete 1996 offense figures in accordance with UCR guidelines. The Kansas state estimate was extrapolated from 1996 January-June state totals provided by the Kansas State UCR Program. The state UCR Program was unable to provide complete 1997 offense figures in accordance with UCR guidelines. The Kansas state estimate was extrapolated from 1996 January-June state totals provided by the Kansas State UCR Program. The state UCR Program was unable to provide complete 1998 offense figures in accordance with UCR guidelines. To arrive at 1998 estimates, 1997 state totals supplied by the Kansas State UCR Program were updated using 1998 crime trends for the West North Central Division. The state UCR Program was unable to provide complete 1999 offense figures in accordance with UCR guidelines. To arrive at the 1999 estimate for Kansas, the 1998 state total supplied by the state UCR Program was updated using 1999 crime trends for the division in which Kansas is located. The state UCR Program was unable to provide complete 2000 offense figures in accordance with UCR guidelines. To arrive at the 2000 estimate for Kansas, the 1999 state estimate was updated using 2000 crime trends for the West North Central</w:t>
      </w:r>
      <w:r>
        <w:rPr>
          <w:spacing w:val="-1"/>
          <w:sz w:val="18"/>
        </w:rPr>
        <w:t xml:space="preserve"> </w:t>
      </w:r>
      <w:r>
        <w:rPr>
          <w:sz w:val="18"/>
        </w:rPr>
        <w:t>Division.)</w:t>
      </w:r>
    </w:p>
    <w:p w14:paraId="5531397B" w14:textId="77777777" w:rsidR="0046798B" w:rsidRDefault="00903B5C">
      <w:pPr>
        <w:pStyle w:val="ListParagraph"/>
        <w:numPr>
          <w:ilvl w:val="1"/>
          <w:numId w:val="1"/>
        </w:numPr>
        <w:tabs>
          <w:tab w:val="left" w:pos="816"/>
        </w:tabs>
        <w:spacing w:before="2"/>
        <w:ind w:right="1184" w:firstLine="90"/>
        <w:rPr>
          <w:sz w:val="18"/>
        </w:rPr>
      </w:pPr>
      <w:r>
        <w:rPr>
          <w:sz w:val="18"/>
        </w:rPr>
        <w:t>Kentucky: (Reporting problems at the state resulted in no usable 1988 data. The state total was estimated by updating previous valid annual totals for individual jurisdictions, subdivided by population group. Percent changes for each offense within each population group of the geographic division in which the state resides was applied to the previous valid annual totals. The state total was compiled from the sums of the population group estimates. The state UCR Program was unable to provide complete 1996 offense figures in accordance with UCR guidelines. The 1995 and 1996 percent changes within the geographic division in which Kentucky is categorized were applied to the valid 1995 state total to generate the 1996 state total. The state UCR Program was unable to provide complete 1997 offense figures in accordance with UCR guidelines. The 1996 and 1997 percent changes within the geographic division in which Kentucky is categorized were applied to the valid 1996 state total to effect the 1997 state</w:t>
      </w:r>
      <w:r>
        <w:rPr>
          <w:spacing w:val="-1"/>
          <w:sz w:val="18"/>
        </w:rPr>
        <w:t xml:space="preserve"> </w:t>
      </w:r>
      <w:r>
        <w:rPr>
          <w:sz w:val="18"/>
        </w:rPr>
        <w:t>total.</w:t>
      </w:r>
    </w:p>
    <w:p w14:paraId="5C76F787" w14:textId="77777777" w:rsidR="0046798B" w:rsidRDefault="00903B5C">
      <w:pPr>
        <w:pStyle w:val="BodyText"/>
        <w:spacing w:before="0"/>
        <w:ind w:left="620" w:right="1153"/>
      </w:pPr>
      <w:r>
        <w:t>The state UCR Program was unable to provide complete 1998 offense figures in accordance with UCR guidelines. The state total was estimated by using 1997 figures for the nonreporting areas and applying 1997 versus 1998 percentage changes for the division in which Kentucky is located. The estimates for the nonreporting areas were then increased by any actual 1998 crime counts received. The state UCR Program was unable to provide complete 1999 offense figures in accordance with UCR guidelines. To arrive at the 1999 estimate for Kentucky, the 1998 state total supplied by the state UCR Program was updated using 1999 crime trends for the division in which Kentucky is located. The state UCR Program was unable to provide complete 2000 offense figures in accordance with UCR guidelines. To arrive at the 2000 estimate for Kentucky, the 1999 state total supplied by the state UCR Program was updated using 2000 crime trends for the division in which Kentucky is located. The state UCR Program was unable to provide complete 2001 offense figures in accordance with UCR guidelines. To arrive at the 2001 estimate for Kentucky, the 2000 state estimate was updated using 2001 crime trends reported for the East South Central Division. The state UCR Program was unable to provide complete 2002 offense figures in accordance with UCR guidelines. To obtain the 2002 state crime count, the FBI contacted the state UCR Program, and the state agency was able to provide their latest state total, 2000. Therefore, the 2001 state estimate was updated for inclusion in the 2002 edition of Crime in the United States by using the 2001 crime trends for the division in which the state is located. To derive the 2002 state estimate, the 2002 crime trends for the division were applied to the adjusted 2001 state estimate. The state UCR Program was unable to provide complete 2003 offense figures in accordance with UCR guidelines. To obtain the 2003 estimate, the 2003 crime trend for the East South Central Division was applied to an adjusted 2002 state estimate. The 2002 state count was reestimated by applying the 2002 crime trend for the East South Central Division using a more current figure, 2001 state totals, provided by the state UCR Program. The adjusted 2002 estimate differs from the figure published in the 2002 edition of Crime in the United States which was originally estimated using 2002 state totals.)</w:t>
      </w:r>
    </w:p>
    <w:p w14:paraId="5B02D9B2" w14:textId="77777777" w:rsidR="0046798B" w:rsidRDefault="00903B5C">
      <w:pPr>
        <w:pStyle w:val="ListParagraph"/>
        <w:numPr>
          <w:ilvl w:val="1"/>
          <w:numId w:val="1"/>
        </w:numPr>
        <w:tabs>
          <w:tab w:val="left" w:pos="816"/>
        </w:tabs>
        <w:ind w:right="1323" w:firstLine="90"/>
        <w:rPr>
          <w:sz w:val="18"/>
        </w:rPr>
      </w:pPr>
      <w:r>
        <w:rPr>
          <w:sz w:val="18"/>
        </w:rPr>
        <w:t>Maine: (The state UCR Program was unable to provide complete 1999 offense figures in accordance with UCR guidelines. The Maine Department of Public Safety forwarded monthly January through October crime counts for each law enforcement contributor; since 12 months of data were not received, the national Program estimated for the missing data following standard estimation procedures to arrive at a 1999 state total.)</w:t>
      </w:r>
    </w:p>
    <w:p w14:paraId="176671D6" w14:textId="77777777" w:rsidR="0046798B" w:rsidRDefault="00903B5C">
      <w:pPr>
        <w:pStyle w:val="ListParagraph"/>
        <w:numPr>
          <w:ilvl w:val="1"/>
          <w:numId w:val="1"/>
        </w:numPr>
        <w:tabs>
          <w:tab w:val="left" w:pos="816"/>
        </w:tabs>
        <w:spacing w:before="2"/>
        <w:ind w:right="1165" w:firstLine="90"/>
        <w:rPr>
          <w:sz w:val="18"/>
        </w:rPr>
      </w:pPr>
      <w:r>
        <w:rPr>
          <w:sz w:val="18"/>
        </w:rPr>
        <w:t>Michigan: (The state UCR Program was unable to provide 1993 forcible rape figures in accordance with UCR guidelines. The rape totals were estimated using national rates per 100,000 inhabitants within the eight population groups and assigning the forcible rape volumes proportionally to the state.)</w:t>
      </w:r>
    </w:p>
    <w:p w14:paraId="5029CEFF" w14:textId="77777777" w:rsidR="0046798B" w:rsidRDefault="00903B5C">
      <w:pPr>
        <w:pStyle w:val="ListParagraph"/>
        <w:numPr>
          <w:ilvl w:val="1"/>
          <w:numId w:val="1"/>
        </w:numPr>
        <w:tabs>
          <w:tab w:val="left" w:pos="816"/>
        </w:tabs>
        <w:spacing w:line="203" w:lineRule="exact"/>
        <w:ind w:left="815"/>
        <w:rPr>
          <w:sz w:val="18"/>
        </w:rPr>
      </w:pPr>
      <w:r>
        <w:rPr>
          <w:sz w:val="18"/>
        </w:rPr>
        <w:t>Minnesota: (All agencies 1993 and 2005-Present (with the exception of Minneapolis and St. Paul) - The data collection methodology for the offense of forcible rape used by</w:t>
      </w:r>
      <w:r>
        <w:rPr>
          <w:spacing w:val="-27"/>
          <w:sz w:val="18"/>
        </w:rPr>
        <w:t xml:space="preserve"> </w:t>
      </w:r>
      <w:r>
        <w:rPr>
          <w:sz w:val="18"/>
        </w:rPr>
        <w:t>the</w:t>
      </w:r>
    </w:p>
    <w:p w14:paraId="6EF6E593" w14:textId="77777777" w:rsidR="0046798B" w:rsidRDefault="0046798B">
      <w:pPr>
        <w:spacing w:line="203" w:lineRule="exact"/>
        <w:rPr>
          <w:sz w:val="18"/>
        </w:rPr>
        <w:sectPr w:rsidR="0046798B">
          <w:pgSz w:w="15840" w:h="12240" w:orient="landscape"/>
          <w:pgMar w:top="1220" w:right="300" w:bottom="980" w:left="820" w:header="730" w:footer="787" w:gutter="0"/>
          <w:cols w:space="720"/>
        </w:sectPr>
      </w:pPr>
    </w:p>
    <w:p w14:paraId="10D2298C" w14:textId="77777777" w:rsidR="0046798B" w:rsidRDefault="0046798B">
      <w:pPr>
        <w:pStyle w:val="BodyText"/>
        <w:spacing w:before="0"/>
        <w:rPr>
          <w:sz w:val="20"/>
        </w:rPr>
      </w:pPr>
    </w:p>
    <w:p w14:paraId="69909E1F" w14:textId="77777777" w:rsidR="0046798B" w:rsidRDefault="0046798B">
      <w:pPr>
        <w:pStyle w:val="BodyText"/>
        <w:spacing w:before="1"/>
        <w:rPr>
          <w:sz w:val="22"/>
        </w:rPr>
      </w:pPr>
    </w:p>
    <w:p w14:paraId="6C0F094A" w14:textId="77777777" w:rsidR="0046798B" w:rsidRDefault="00903B5C">
      <w:pPr>
        <w:pStyle w:val="BodyText"/>
        <w:spacing w:before="1"/>
        <w:ind w:left="620" w:right="1202"/>
      </w:pPr>
      <w:r>
        <w:t>State Uniform Crime Reporting (UCR) Program does not comply with national UCR Program guidelines. Consequently, their figures for forcible rape and violent crime (of which forcible rape is part) are not included in this tool.)</w:t>
      </w:r>
    </w:p>
    <w:p w14:paraId="17E449A8" w14:textId="77777777" w:rsidR="0046798B" w:rsidRDefault="00903B5C">
      <w:pPr>
        <w:pStyle w:val="ListParagraph"/>
        <w:numPr>
          <w:ilvl w:val="1"/>
          <w:numId w:val="1"/>
        </w:numPr>
        <w:tabs>
          <w:tab w:val="left" w:pos="816"/>
        </w:tabs>
        <w:spacing w:before="1"/>
        <w:ind w:right="1204" w:firstLine="90"/>
        <w:rPr>
          <w:sz w:val="18"/>
        </w:rPr>
      </w:pPr>
      <w:r>
        <w:rPr>
          <w:sz w:val="18"/>
        </w:rPr>
        <w:t>Montana: (The state UCR Program was unable to provide complete 1994 offense figures in accordance with UCR guidelines. State totals were estimated by updating previous valid annual totals for individual jurisdictions, subdivided by population group. Percent changes for each offense within each population group of the Mountain Division were applied to the previous valid annual totals. The state totals were compiled from the sums of the population group estimates. The state UCR Program was unable to provide complete 1995 offense figures in accordance with UCR guidelines. State estimates were computed by updating the previous valid annual totals using the 1994 versus 1995 percent changes for the Mountain Division. The state UCR Program was unable to provide complete 1996 offense figures in accordance with UCR guidelines. The 1995 and 1996 percent changes within the geographic division in which Montana is categorized were applied to the valid 1995 state total to generate the 1996 state</w:t>
      </w:r>
      <w:r>
        <w:rPr>
          <w:spacing w:val="-5"/>
          <w:sz w:val="18"/>
        </w:rPr>
        <w:t xml:space="preserve"> </w:t>
      </w:r>
      <w:r>
        <w:rPr>
          <w:sz w:val="18"/>
        </w:rPr>
        <w:t>total.</w:t>
      </w:r>
    </w:p>
    <w:p w14:paraId="2BEA698E" w14:textId="77777777" w:rsidR="0046798B" w:rsidRDefault="00903B5C">
      <w:pPr>
        <w:pStyle w:val="BodyText"/>
        <w:spacing w:before="0"/>
        <w:ind w:left="620" w:right="1213"/>
      </w:pPr>
      <w:r>
        <w:t>The state UCR Program was unable to provide complete 1997 offense figures in accordance with UCR guidelines. The 1996 and 1997 percent changes within the geographic division in which Montana is categorized were applied to the valid 1996 state total to effect the 1997 state total. The state UCR Program was unable to provide complete 1998 offense figures in accordance with UCR guidelines. The state total was estimated by using 1997 figures for the nonreporting areas and applying 1997 versus 1998 percentage changes for the division in which Montana is located. The estimates for the nonreporting areas were then increased by any actual 1998 crime counts received. The state UCR Program was unable to provide complete 1999 offense figures in accordance with UCR guidelines. To arrive at the 1999 estimate for Montana, the 1998 state total supplied by the state UCR Program was updated using 1999 crime trends for the division in which Montana is located. The state UCR Program was unable to provide complete 2000 offense figures in accordance with UCR guidelines. To arrive at the 2000 estimate for Montana, the 1999 state total supplied by the state UCR Program was updated using 2000 crime trends for the division in which Montana is located.)</w:t>
      </w:r>
    </w:p>
    <w:p w14:paraId="5AE036EA" w14:textId="77777777" w:rsidR="0046798B" w:rsidRDefault="00903B5C">
      <w:pPr>
        <w:pStyle w:val="ListParagraph"/>
        <w:numPr>
          <w:ilvl w:val="1"/>
          <w:numId w:val="1"/>
        </w:numPr>
        <w:tabs>
          <w:tab w:val="left" w:pos="816"/>
        </w:tabs>
        <w:ind w:right="1164" w:firstLine="90"/>
        <w:rPr>
          <w:sz w:val="18"/>
        </w:rPr>
      </w:pPr>
      <w:r>
        <w:rPr>
          <w:sz w:val="18"/>
        </w:rPr>
        <w:t>New Hampshire: The state UCR Program was unable to provide complete 1997 offense figures in accordance with UCR guidelines. The 1996 and 1997 percent changes within the geographic division in which New Hampshire is categorized were applied to the valid 1996 state total to effect the 1997 state total. The state UCR Program was unable to provide complete 1998 offense figures in accordance with UCR guidelines. The state total was estimated by using 1997 figures for the nonreporting areas and applying 1997 versus 1998 percentage changes for the division in which New Hampshire is located. The estimates for the nonreporting areas were then increased by any actual 1998 crime counts received. The state UCR Program was unable to provide complete 1999 offense figures in accordance with UCR guidelines. The state total for New Hampshire was estimated by using the 1998 figures for the 1999 nonreporting areas and applying the 2-year percent change for the New England Division.)</w:t>
      </w:r>
    </w:p>
    <w:p w14:paraId="66A7900A" w14:textId="77777777" w:rsidR="0046798B" w:rsidRDefault="00903B5C">
      <w:pPr>
        <w:pStyle w:val="ListParagraph"/>
        <w:numPr>
          <w:ilvl w:val="1"/>
          <w:numId w:val="1"/>
        </w:numPr>
        <w:tabs>
          <w:tab w:val="left" w:pos="816"/>
        </w:tabs>
        <w:spacing w:before="1" w:line="206" w:lineRule="exact"/>
        <w:ind w:left="815"/>
        <w:rPr>
          <w:sz w:val="18"/>
        </w:rPr>
      </w:pPr>
      <w:r>
        <w:rPr>
          <w:sz w:val="18"/>
        </w:rPr>
        <w:t>Oklahoma: ( For 1995, the increase in murders was the result of the bombing of the Alfred P. Murrah Federal Building in Oklahoma</w:t>
      </w:r>
      <w:r>
        <w:rPr>
          <w:spacing w:val="-4"/>
          <w:sz w:val="18"/>
        </w:rPr>
        <w:t xml:space="preserve"> </w:t>
      </w:r>
      <w:r>
        <w:rPr>
          <w:sz w:val="18"/>
        </w:rPr>
        <w:t>City.)</w:t>
      </w:r>
    </w:p>
    <w:p w14:paraId="454DB217" w14:textId="77777777" w:rsidR="0046798B" w:rsidRDefault="00903B5C">
      <w:pPr>
        <w:pStyle w:val="ListParagraph"/>
        <w:numPr>
          <w:ilvl w:val="1"/>
          <w:numId w:val="1"/>
        </w:numPr>
        <w:tabs>
          <w:tab w:val="left" w:pos="816"/>
        </w:tabs>
        <w:spacing w:line="206" w:lineRule="exact"/>
        <w:ind w:left="815"/>
        <w:rPr>
          <w:sz w:val="18"/>
        </w:rPr>
      </w:pPr>
      <w:r>
        <w:rPr>
          <w:sz w:val="18"/>
        </w:rPr>
        <w:t>Pennsylvania: ( Since complete 1995 data were not available from Pennsylvania, standard estimation procedures were applied to derive the 1995 state</w:t>
      </w:r>
      <w:r>
        <w:rPr>
          <w:spacing w:val="-13"/>
          <w:sz w:val="18"/>
        </w:rPr>
        <w:t xml:space="preserve"> </w:t>
      </w:r>
      <w:r>
        <w:rPr>
          <w:sz w:val="18"/>
        </w:rPr>
        <w:t>estimate.)</w:t>
      </w:r>
    </w:p>
    <w:p w14:paraId="50B5E9C1" w14:textId="77777777" w:rsidR="0046798B" w:rsidRDefault="00903B5C">
      <w:pPr>
        <w:pStyle w:val="ListParagraph"/>
        <w:numPr>
          <w:ilvl w:val="1"/>
          <w:numId w:val="1"/>
        </w:numPr>
        <w:tabs>
          <w:tab w:val="left" w:pos="816"/>
        </w:tabs>
        <w:spacing w:before="4"/>
        <w:ind w:right="1449" w:firstLine="90"/>
        <w:rPr>
          <w:sz w:val="18"/>
        </w:rPr>
      </w:pPr>
      <w:r>
        <w:rPr>
          <w:sz w:val="18"/>
        </w:rPr>
        <w:t>Vermont: (The state UCR Program was unable to provide complete 1997 offense figures in accordance with UCR guidelines. The 1996 and 1997 percent changes within the geographic division in which Vermont is categorized were applied to the valid 1996 state total to effect the 1997 state total.)</w:t>
      </w:r>
    </w:p>
    <w:p w14:paraId="6DD5834D" w14:textId="77777777" w:rsidR="0046798B" w:rsidRDefault="00903B5C">
      <w:pPr>
        <w:pStyle w:val="ListParagraph"/>
        <w:numPr>
          <w:ilvl w:val="1"/>
          <w:numId w:val="1"/>
        </w:numPr>
        <w:tabs>
          <w:tab w:val="left" w:pos="816"/>
        </w:tabs>
        <w:ind w:right="1199" w:firstLine="90"/>
        <w:rPr>
          <w:sz w:val="18"/>
        </w:rPr>
      </w:pPr>
      <w:r>
        <w:rPr>
          <w:sz w:val="18"/>
        </w:rPr>
        <w:t xml:space="preserve">Wisconsin: (The state UCR Program was unable to provide complete 1998 offense figures in accordance with UCR guidelines. The state total was estimated by using 1997 figures for the nonreporting areas and applying 1997 versus 1998 percentage changes for the division in which Wisconsin is located. The estimates for the nonreporting areas </w:t>
      </w:r>
      <w:r>
        <w:rPr>
          <w:spacing w:val="-3"/>
          <w:sz w:val="18"/>
        </w:rPr>
        <w:t xml:space="preserve">were </w:t>
      </w:r>
      <w:r>
        <w:rPr>
          <w:sz w:val="18"/>
        </w:rPr>
        <w:t>then</w:t>
      </w:r>
      <w:r>
        <w:rPr>
          <w:spacing w:val="-3"/>
          <w:sz w:val="18"/>
        </w:rPr>
        <w:t xml:space="preserve"> </w:t>
      </w:r>
      <w:r>
        <w:rPr>
          <w:sz w:val="18"/>
        </w:rPr>
        <w:t>increased</w:t>
      </w:r>
      <w:r>
        <w:rPr>
          <w:spacing w:val="-3"/>
          <w:sz w:val="18"/>
        </w:rPr>
        <w:t xml:space="preserve"> </w:t>
      </w:r>
      <w:r>
        <w:rPr>
          <w:sz w:val="18"/>
        </w:rPr>
        <w:t>by</w:t>
      </w:r>
      <w:r>
        <w:rPr>
          <w:spacing w:val="-3"/>
          <w:sz w:val="18"/>
        </w:rPr>
        <w:t xml:space="preserve"> </w:t>
      </w:r>
      <w:r>
        <w:rPr>
          <w:sz w:val="18"/>
        </w:rPr>
        <w:t>any</w:t>
      </w:r>
      <w:r>
        <w:rPr>
          <w:spacing w:val="-3"/>
          <w:sz w:val="18"/>
        </w:rPr>
        <w:t xml:space="preserve"> </w:t>
      </w:r>
      <w:r>
        <w:rPr>
          <w:sz w:val="18"/>
        </w:rPr>
        <w:t>actual</w:t>
      </w:r>
      <w:r>
        <w:rPr>
          <w:spacing w:val="-2"/>
          <w:sz w:val="18"/>
        </w:rPr>
        <w:t xml:space="preserve"> </w:t>
      </w:r>
      <w:r>
        <w:rPr>
          <w:sz w:val="18"/>
        </w:rPr>
        <w:t>1998</w:t>
      </w:r>
      <w:r>
        <w:rPr>
          <w:spacing w:val="-3"/>
          <w:sz w:val="18"/>
        </w:rPr>
        <w:t xml:space="preserve"> </w:t>
      </w:r>
      <w:r>
        <w:rPr>
          <w:sz w:val="18"/>
        </w:rPr>
        <w:t>crime</w:t>
      </w:r>
      <w:r>
        <w:rPr>
          <w:spacing w:val="-2"/>
          <w:sz w:val="18"/>
        </w:rPr>
        <w:t xml:space="preserve"> </w:t>
      </w:r>
      <w:r>
        <w:rPr>
          <w:sz w:val="18"/>
        </w:rPr>
        <w:t>counts</w:t>
      </w:r>
      <w:r>
        <w:rPr>
          <w:spacing w:val="-2"/>
          <w:sz w:val="18"/>
        </w:rPr>
        <w:t xml:space="preserve"> </w:t>
      </w:r>
      <w:r>
        <w:rPr>
          <w:sz w:val="18"/>
        </w:rPr>
        <w:t>received.</w:t>
      </w:r>
      <w:r>
        <w:rPr>
          <w:spacing w:val="-3"/>
          <w:sz w:val="18"/>
        </w:rPr>
        <w:t xml:space="preserve"> </w:t>
      </w:r>
      <w:r>
        <w:rPr>
          <w:sz w:val="18"/>
        </w:rPr>
        <w:t>The</w:t>
      </w:r>
      <w:r>
        <w:rPr>
          <w:spacing w:val="-3"/>
          <w:sz w:val="18"/>
        </w:rPr>
        <w:t xml:space="preserve"> </w:t>
      </w:r>
      <w:r>
        <w:rPr>
          <w:sz w:val="18"/>
        </w:rPr>
        <w:t>murder</w:t>
      </w:r>
      <w:r>
        <w:rPr>
          <w:spacing w:val="-2"/>
          <w:sz w:val="18"/>
        </w:rPr>
        <w:t xml:space="preserve"> </w:t>
      </w:r>
      <w:r>
        <w:rPr>
          <w:sz w:val="18"/>
        </w:rPr>
        <w:t>and</w:t>
      </w:r>
      <w:r>
        <w:rPr>
          <w:spacing w:val="-3"/>
          <w:sz w:val="18"/>
        </w:rPr>
        <w:t xml:space="preserve"> </w:t>
      </w:r>
      <w:r>
        <w:rPr>
          <w:sz w:val="18"/>
        </w:rPr>
        <w:t>nonnegligent</w:t>
      </w:r>
      <w:r>
        <w:rPr>
          <w:spacing w:val="-3"/>
          <w:sz w:val="18"/>
        </w:rPr>
        <w:t xml:space="preserve"> </w:t>
      </w:r>
      <w:r>
        <w:rPr>
          <w:sz w:val="18"/>
        </w:rPr>
        <w:t>homicides</w:t>
      </w:r>
      <w:r>
        <w:rPr>
          <w:spacing w:val="-2"/>
          <w:sz w:val="18"/>
        </w:rPr>
        <w:t xml:space="preserve"> </w:t>
      </w:r>
      <w:r>
        <w:rPr>
          <w:sz w:val="18"/>
        </w:rPr>
        <w:t>that</w:t>
      </w:r>
      <w:r>
        <w:rPr>
          <w:spacing w:val="1"/>
          <w:sz w:val="18"/>
        </w:rPr>
        <w:t xml:space="preserve"> </w:t>
      </w:r>
      <w:r>
        <w:rPr>
          <w:sz w:val="18"/>
        </w:rPr>
        <w:t>occurred</w:t>
      </w:r>
      <w:r>
        <w:rPr>
          <w:spacing w:val="-1"/>
          <w:sz w:val="18"/>
        </w:rPr>
        <w:t xml:space="preserve"> </w:t>
      </w:r>
      <w:r>
        <w:rPr>
          <w:sz w:val="18"/>
        </w:rPr>
        <w:t>as</w:t>
      </w:r>
      <w:r>
        <w:rPr>
          <w:spacing w:val="-2"/>
          <w:sz w:val="18"/>
        </w:rPr>
        <w:t xml:space="preserve"> </w:t>
      </w:r>
      <w:r>
        <w:rPr>
          <w:sz w:val="18"/>
        </w:rPr>
        <w:t>a</w:t>
      </w:r>
      <w:r>
        <w:rPr>
          <w:spacing w:val="-2"/>
          <w:sz w:val="18"/>
        </w:rPr>
        <w:t xml:space="preserve"> </w:t>
      </w:r>
      <w:r>
        <w:rPr>
          <w:sz w:val="18"/>
        </w:rPr>
        <w:t>result</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events</w:t>
      </w:r>
      <w:r>
        <w:rPr>
          <w:spacing w:val="-2"/>
          <w:sz w:val="18"/>
        </w:rPr>
        <w:t xml:space="preserve"> </w:t>
      </w:r>
      <w:r>
        <w:rPr>
          <w:sz w:val="18"/>
        </w:rPr>
        <w:t>of</w:t>
      </w:r>
      <w:r>
        <w:rPr>
          <w:spacing w:val="-2"/>
          <w:sz w:val="18"/>
        </w:rPr>
        <w:t xml:space="preserve"> </w:t>
      </w:r>
      <w:r>
        <w:rPr>
          <w:sz w:val="18"/>
        </w:rPr>
        <w:t>September</w:t>
      </w:r>
      <w:r>
        <w:rPr>
          <w:spacing w:val="-2"/>
          <w:sz w:val="18"/>
        </w:rPr>
        <w:t xml:space="preserve"> </w:t>
      </w:r>
      <w:r>
        <w:rPr>
          <w:sz w:val="18"/>
        </w:rPr>
        <w:t>11,</w:t>
      </w:r>
      <w:r>
        <w:rPr>
          <w:spacing w:val="-1"/>
          <w:sz w:val="18"/>
        </w:rPr>
        <w:t xml:space="preserve"> </w:t>
      </w:r>
      <w:r>
        <w:rPr>
          <w:sz w:val="18"/>
        </w:rPr>
        <w:t>2001,</w:t>
      </w:r>
      <w:r>
        <w:rPr>
          <w:spacing w:val="-2"/>
          <w:sz w:val="18"/>
        </w:rPr>
        <w:t xml:space="preserve"> </w:t>
      </w:r>
      <w:r>
        <w:rPr>
          <w:sz w:val="18"/>
        </w:rPr>
        <w:t>are</w:t>
      </w:r>
      <w:r>
        <w:rPr>
          <w:spacing w:val="-2"/>
          <w:sz w:val="18"/>
        </w:rPr>
        <w:t xml:space="preserve"> </w:t>
      </w:r>
      <w:r>
        <w:rPr>
          <w:sz w:val="18"/>
        </w:rPr>
        <w:t>not</w:t>
      </w:r>
      <w:r>
        <w:rPr>
          <w:spacing w:val="-2"/>
          <w:sz w:val="18"/>
        </w:rPr>
        <w:t xml:space="preserve"> </w:t>
      </w:r>
      <w:r>
        <w:rPr>
          <w:sz w:val="18"/>
        </w:rPr>
        <w:t>included.)</w:t>
      </w:r>
    </w:p>
    <w:p w14:paraId="331B1A48" w14:textId="77777777" w:rsidR="0046798B" w:rsidRDefault="0046798B">
      <w:pPr>
        <w:pStyle w:val="BodyText"/>
        <w:rPr>
          <w:sz w:val="17"/>
        </w:rPr>
      </w:pPr>
    </w:p>
    <w:p w14:paraId="31CC18FE" w14:textId="77777777" w:rsidR="0046798B" w:rsidRDefault="00903B5C">
      <w:pPr>
        <w:pStyle w:val="BodyText"/>
        <w:spacing w:before="0" w:line="206" w:lineRule="exact"/>
        <w:ind w:left="620"/>
      </w:pPr>
      <w:r>
        <w:rPr>
          <w:sz w:val="12"/>
        </w:rPr>
        <w:t xml:space="preserve">vi </w:t>
      </w:r>
      <w:r>
        <w:t>Notes: National or state offense totals are based on data from all reporting agencies and estimates for unreported areas.</w:t>
      </w:r>
    </w:p>
    <w:p w14:paraId="7DE7A422" w14:textId="77777777" w:rsidR="0046798B" w:rsidRDefault="00903B5C">
      <w:pPr>
        <w:pStyle w:val="ListParagraph"/>
        <w:numPr>
          <w:ilvl w:val="1"/>
          <w:numId w:val="1"/>
        </w:numPr>
        <w:tabs>
          <w:tab w:val="left" w:pos="816"/>
        </w:tabs>
        <w:ind w:right="1210" w:firstLine="90"/>
        <w:rPr>
          <w:sz w:val="18"/>
        </w:rPr>
      </w:pPr>
      <w:r>
        <w:rPr>
          <w:sz w:val="18"/>
        </w:rPr>
        <w:t>Delaware: (Since complete 1995 data were not available from Delaware, standard estimation procedures were applied to derive the 1995 state estimate. The state UCR Program was unable to provide 1998 forcible rape figures in accordance with national UCR guidelines. The 1998 forcible rape total for Delaware was estimated by reducing the number of reported offenses by the proportion of male forcible rape victims</w:t>
      </w:r>
      <w:r>
        <w:rPr>
          <w:spacing w:val="-2"/>
          <w:sz w:val="18"/>
        </w:rPr>
        <w:t xml:space="preserve"> </w:t>
      </w:r>
      <w:r>
        <w:rPr>
          <w:sz w:val="18"/>
        </w:rPr>
        <w:t>statewide.)</w:t>
      </w:r>
    </w:p>
    <w:p w14:paraId="3A90A0B7" w14:textId="77777777" w:rsidR="0046798B" w:rsidRDefault="00903B5C">
      <w:pPr>
        <w:pStyle w:val="ListParagraph"/>
        <w:numPr>
          <w:ilvl w:val="1"/>
          <w:numId w:val="1"/>
        </w:numPr>
        <w:tabs>
          <w:tab w:val="left" w:pos="816"/>
        </w:tabs>
        <w:spacing w:line="206" w:lineRule="exact"/>
        <w:ind w:left="815"/>
        <w:rPr>
          <w:sz w:val="18"/>
        </w:rPr>
      </w:pPr>
      <w:r>
        <w:rPr>
          <w:sz w:val="18"/>
        </w:rPr>
        <w:t>District of Columbia - 1999-2008: (District of Columbia data include reports from the Zoological Police; 2002-2008 data include reports from the Metro Transit</w:t>
      </w:r>
      <w:r>
        <w:rPr>
          <w:spacing w:val="-12"/>
          <w:sz w:val="18"/>
        </w:rPr>
        <w:t xml:space="preserve"> </w:t>
      </w:r>
      <w:r>
        <w:rPr>
          <w:sz w:val="18"/>
        </w:rPr>
        <w:t>Police.)</w:t>
      </w:r>
    </w:p>
    <w:p w14:paraId="597269C4" w14:textId="77777777" w:rsidR="0046798B" w:rsidRDefault="00903B5C">
      <w:pPr>
        <w:pStyle w:val="ListParagraph"/>
        <w:numPr>
          <w:ilvl w:val="1"/>
          <w:numId w:val="1"/>
        </w:numPr>
        <w:tabs>
          <w:tab w:val="left" w:pos="816"/>
        </w:tabs>
        <w:spacing w:before="2"/>
        <w:ind w:right="1226" w:firstLine="90"/>
        <w:rPr>
          <w:sz w:val="18"/>
        </w:rPr>
      </w:pPr>
      <w:r>
        <w:rPr>
          <w:sz w:val="18"/>
        </w:rPr>
        <w:t xml:space="preserve">Florida: (Reporting problems at the state resulted in no usable 1988 data. The state total was estimated by updating previous valid annual totals for individual jurisdictions, subdivided by population group. Percent changes for each offense within each population group of the geographic division in which the state resides was applied to the previous valid annual totals. The state total was compiled from the sums of the population group estimates. The state UCR Program was unable to provide complete 1996 offense figures </w:t>
      </w:r>
      <w:r>
        <w:rPr>
          <w:spacing w:val="-7"/>
          <w:sz w:val="18"/>
        </w:rPr>
        <w:t xml:space="preserve">in </w:t>
      </w:r>
      <w:r>
        <w:rPr>
          <w:sz w:val="18"/>
        </w:rPr>
        <w:t>accordance with UCR guidelines. The state UCR Program was able to provide an aggregated state total and data were received from 94 individual Florida</w:t>
      </w:r>
      <w:r>
        <w:rPr>
          <w:spacing w:val="-8"/>
          <w:sz w:val="18"/>
        </w:rPr>
        <w:t xml:space="preserve"> </w:t>
      </w:r>
      <w:r>
        <w:rPr>
          <w:sz w:val="18"/>
        </w:rPr>
        <w:t>agencies.)</w:t>
      </w:r>
    </w:p>
    <w:p w14:paraId="15506384" w14:textId="77777777" w:rsidR="0046798B" w:rsidRDefault="00903B5C">
      <w:pPr>
        <w:pStyle w:val="ListParagraph"/>
        <w:numPr>
          <w:ilvl w:val="1"/>
          <w:numId w:val="1"/>
        </w:numPr>
        <w:tabs>
          <w:tab w:val="left" w:pos="816"/>
        </w:tabs>
        <w:ind w:right="1160" w:firstLine="90"/>
        <w:rPr>
          <w:sz w:val="18"/>
        </w:rPr>
      </w:pPr>
      <w:r>
        <w:rPr>
          <w:sz w:val="18"/>
        </w:rPr>
        <w:t>Illinois : (The state UCR Program was unable to provide 1985-current forcible rape figures in accordance with national UCR Program guidelines. The rape totals were estimated using national rates per 100,000 inhabitants within the eight population groups and assigning the forcible rape volumes proportionally to the state. Rockford, Illinois, has provided valid forcible rape counts as of 2006. For 1993 state NIBRS conversion efforts resulted in estimation for Illinois. Since valid annual totals were available for approximately 60 Illinois agencies, those counts were maintained. The counts for the remaining jurisdictions were replaced with the most recent valid annual totals or were generated using standard estimation procedures. The results of all sources were then combined to arrive at the 1993 state total for Illinois. For 1994 state NIBRS conversion efforts resulted in estimation for Illinois. Illinois totals were generated using only the valid crime rates for the East North Central Division. Within each population group, the state's offense totals were</w:t>
      </w:r>
      <w:r>
        <w:rPr>
          <w:spacing w:val="-10"/>
          <w:sz w:val="18"/>
        </w:rPr>
        <w:t xml:space="preserve"> </w:t>
      </w:r>
      <w:r>
        <w:rPr>
          <w:sz w:val="18"/>
        </w:rPr>
        <w:t>estimated</w:t>
      </w:r>
    </w:p>
    <w:p w14:paraId="4806743A" w14:textId="77777777" w:rsidR="0046798B" w:rsidRDefault="0046798B">
      <w:pPr>
        <w:rPr>
          <w:sz w:val="18"/>
        </w:rPr>
        <w:sectPr w:rsidR="0046798B">
          <w:pgSz w:w="15840" w:h="12240" w:orient="landscape"/>
          <w:pgMar w:top="1220" w:right="300" w:bottom="980" w:left="820" w:header="730" w:footer="787" w:gutter="0"/>
          <w:cols w:space="720"/>
        </w:sectPr>
      </w:pPr>
    </w:p>
    <w:p w14:paraId="3AA5B488" w14:textId="77777777" w:rsidR="0046798B" w:rsidRDefault="0046798B">
      <w:pPr>
        <w:pStyle w:val="BodyText"/>
        <w:spacing w:before="0"/>
        <w:rPr>
          <w:sz w:val="20"/>
        </w:rPr>
      </w:pPr>
    </w:p>
    <w:p w14:paraId="020B889F" w14:textId="77777777" w:rsidR="0046798B" w:rsidRDefault="0046798B">
      <w:pPr>
        <w:pStyle w:val="BodyText"/>
        <w:spacing w:before="1"/>
        <w:rPr>
          <w:sz w:val="22"/>
        </w:rPr>
      </w:pPr>
    </w:p>
    <w:p w14:paraId="0F84EC9E" w14:textId="77777777" w:rsidR="0046798B" w:rsidRDefault="00903B5C">
      <w:pPr>
        <w:pStyle w:val="BodyText"/>
        <w:spacing w:before="1"/>
        <w:ind w:left="620" w:right="1241"/>
      </w:pPr>
      <w:r>
        <w:t>based on the rate per 100,000 inhabitants within the remainder of the division. For 1996-current, the state UCR Program was unable to provide complete offense figures in accordance with UCR guidelines. Valid Part I counts were available for most of the largest cities (100,000 and over in population). For other agencies, the only available counts generated by the Illinois State Program were state totals based upon an incident-level system without indication of multiple offenses recorded within single incidents. Therefore, the UCR Hierarchy Rule could not be applied in order to convert the state's data to Summary Reporting System data. (The Hierarchy Rule requires that only the most serious offense in a multiple-offense criminal incident is counted.) To arrive at a comparable state estimate to be included in national compilations, the Illinois State Program's state totals (which were inflated because of the nonapplication of the Hierarchy Rule) were reduced by the proportion of multiple offenses reported within single incidents in the NIBRS database. Valid totals for the large cities were excluded from the reduction process.)</w:t>
      </w:r>
    </w:p>
    <w:p w14:paraId="79762D5C" w14:textId="77777777" w:rsidR="0046798B" w:rsidRDefault="00903B5C">
      <w:pPr>
        <w:pStyle w:val="ListParagraph"/>
        <w:numPr>
          <w:ilvl w:val="1"/>
          <w:numId w:val="1"/>
        </w:numPr>
        <w:tabs>
          <w:tab w:val="left" w:pos="816"/>
        </w:tabs>
        <w:spacing w:before="1"/>
        <w:ind w:right="1584" w:firstLine="90"/>
        <w:rPr>
          <w:sz w:val="18"/>
        </w:rPr>
      </w:pPr>
      <w:r>
        <w:rPr>
          <w:sz w:val="18"/>
        </w:rPr>
        <w:t>Iowa: (NIBRS conversion efforts resulted in estimation for Iowa in 1991. State totals were estimated by updating previous valid annual totals for individual jurisdictions, subdivided by population group. Percent changes for each offense within each population group of the West North Central Division were applied to the previous valid annual totals. The state totals were compiled from the sums of the population group</w:t>
      </w:r>
      <w:r>
        <w:rPr>
          <w:spacing w:val="-15"/>
          <w:sz w:val="18"/>
        </w:rPr>
        <w:t xml:space="preserve"> </w:t>
      </w:r>
      <w:r>
        <w:rPr>
          <w:sz w:val="18"/>
        </w:rPr>
        <w:t>estimates.)</w:t>
      </w:r>
    </w:p>
    <w:p w14:paraId="45B70999" w14:textId="77777777" w:rsidR="0046798B" w:rsidRDefault="00903B5C">
      <w:pPr>
        <w:pStyle w:val="ListParagraph"/>
        <w:numPr>
          <w:ilvl w:val="1"/>
          <w:numId w:val="1"/>
        </w:numPr>
        <w:tabs>
          <w:tab w:val="left" w:pos="816"/>
        </w:tabs>
        <w:ind w:right="1193" w:firstLine="90"/>
        <w:rPr>
          <w:sz w:val="18"/>
        </w:rPr>
      </w:pPr>
      <w:r>
        <w:rPr>
          <w:sz w:val="18"/>
        </w:rPr>
        <w:t>Kansas: (NIBRS conversion efforts resulted in estimation for Kansas in 1993. State totals were estimated by updating previous valid annual totals for individual jurisdictions, subdivided by population group. Percent changes for each offense within each population group of the West North Central Division were applied to the previous valid annual totals. The state totals were compiled from the sums of the population group estimates. NIBRS conversion efforts resulted in estimation for Kansas in 1994. State totals were generated using only the valid crime rates for the West North Central Division. Within each population group, the state's offense totals were estimated based on the rate per 100,000 inhabitants within the remainder of the division. The state UCR Program was unable to provide complete 1995 offense figures in accordance with UCR guidelines. The state UCR Program was able to provide valid 1994 state totals which were then updated using 1995 crime trends for the West North Central Division. The state UCR Program was unable to provide complete 1996 offense figures in accordance with UCR guidelines. The Kansas state estimate was extrapolated from 1996 January-June state totals provided by the Kansas State UCR Program. The state UCR Program was unable to provide complete 1997 offense figures in accordance with UCR guidelines. The Kansas state estimate was extrapolated from 1996 January-June state totals provided by the Kansas State UCR Program. The state UCR Program was unable to provide complete 1998 offense figures in accordance with UCR guidelines. To arrive at 1998 estimates, 1997 state totals supplied by the Kansas State UCR Program were updated using 1998 crime trends for the West North Central Division. The state UCR Program was unable to provide complete 1999 offense figures in accordance with UCR guidelines. To arrive at the 1999 estimate for Kansas, the 1998 state total supplied by the state UCR Program was updated using 1999 crime trends for the division in which Kansas is located. The state UCR Program was unable to provide complete 2000 offense figures in accordance with UCR guidelines. To arrive at the 2000 estimate for Kansas, the 1999 state estimate was updated using 2000 crime trends for the West North Central</w:t>
      </w:r>
      <w:r>
        <w:rPr>
          <w:spacing w:val="-1"/>
          <w:sz w:val="18"/>
        </w:rPr>
        <w:t xml:space="preserve"> </w:t>
      </w:r>
      <w:r>
        <w:rPr>
          <w:sz w:val="18"/>
        </w:rPr>
        <w:t>Division.)</w:t>
      </w:r>
    </w:p>
    <w:p w14:paraId="19F81112" w14:textId="77777777" w:rsidR="0046798B" w:rsidRDefault="00903B5C">
      <w:pPr>
        <w:pStyle w:val="ListParagraph"/>
        <w:numPr>
          <w:ilvl w:val="1"/>
          <w:numId w:val="1"/>
        </w:numPr>
        <w:tabs>
          <w:tab w:val="left" w:pos="816"/>
        </w:tabs>
        <w:spacing w:before="3"/>
        <w:ind w:right="1184" w:firstLine="90"/>
        <w:rPr>
          <w:sz w:val="18"/>
        </w:rPr>
      </w:pPr>
      <w:r>
        <w:rPr>
          <w:sz w:val="18"/>
        </w:rPr>
        <w:t>Kentucky: (Reporting problems at the state resulted in no usable 1988 data. The state total was estimated by updating previous valid annual totals for individual jurisdictions, subdivided by population group. Percent changes for each offense within each population group of the geographic division in which the state resides was applied to the previous valid annual totals. The state total was compiled from the sums of the population group estimates. The state UCR Program was unable to provide complete 1996 offense figures in accordance with UCR guidelines. The 1995 and 1996 percent changes within the geographic division in which Kentucky is categorized were applied to the valid 1995 state total to generate the 1996 state total. The state UCR Program was unable to provide complete 1997 offense figures in accordance with UCR guidelines. The 1996 and 1997 percent changes within the geographic division in which Kentucky is categorized were applied to the valid 1996 state total to effect the 1997 state</w:t>
      </w:r>
      <w:r>
        <w:rPr>
          <w:spacing w:val="-28"/>
          <w:sz w:val="18"/>
        </w:rPr>
        <w:t xml:space="preserve"> </w:t>
      </w:r>
      <w:r>
        <w:rPr>
          <w:sz w:val="18"/>
        </w:rPr>
        <w:t>total.</w:t>
      </w:r>
    </w:p>
    <w:p w14:paraId="5CB394E3" w14:textId="77777777" w:rsidR="0046798B" w:rsidRDefault="00903B5C">
      <w:pPr>
        <w:pStyle w:val="BodyText"/>
        <w:spacing w:before="0"/>
        <w:ind w:left="620" w:right="1153"/>
      </w:pPr>
      <w:r>
        <w:t>The state UCR Program was unable to provide complete 1998 offense figures in accordance with UCR guidelines. The state total was estimated by using 1997 figures for the nonreporting areas and applying 1997 versus 1998 percentage changes for the division in which Kentucky is located. The estimates for the nonreporting areas were then increased by any actual 1998 crime counts received. The state UCR Program was unable to provide complete 1999 offense figures in accordance with UCR guidelines. To arrive at the 1999 estimate for Kentucky, the 1998 state total supplied by the state UCR Program was updated using 1999 crime trends for the division in which Kentucky is located. The state UCR Program was unable to provide complete 2000 offense figures in accordance with UCR guidelines. To arrive at the 2000 estimate for Kentucky, the 1999 state total supplied by the state UCR Program was updated using 2000 crime trends for the division in which Kentucky is located. The state UCR Program was unable to provide complete 2001 offense figures in accordance with UCR guidelines. To arrive at the 2001 estimate for Kentucky, the 2000 state estimate was updated using 2001 crime trends reported for the East South Central Division. The state UCR Program was unable to provide complete 2002 offense figures in accordance with UCR guidelines. To obtain the 2002 state crime count, the FBI contacted the state UCR Program, and the state agency was able to provide their latest state total, 2000. Therefore, the 2001 state estimate was updated for inclusion in the 2002 edition of Crime in the United States by using the 2001 crime trends for the division in which the state is located. To derive the 2002 state estimate, the 2002 crime trends for the division were applied to the adjusted 2001 state estimate. The state UCR Program was unable to provide complete 2003 offense figures in accordance with UCR guidelines. To obtain the 2003 estimate, the 2003 crime trend for the East South Central Division was applied to an adjusted 2002 state estimate. The 2002 state count was reestimated by applying the 2002 crime trend for the East South Central Division using a more current figure, 2001 state totals, provided by the state UCR Program. The adjusted 2002 estimate differs from the figure published in the 2002 edition of Crime in the United States which was originally estimated using 2002 state totals.)</w:t>
      </w:r>
    </w:p>
    <w:p w14:paraId="7063AEE4" w14:textId="77777777" w:rsidR="0046798B" w:rsidRDefault="00903B5C">
      <w:pPr>
        <w:pStyle w:val="ListParagraph"/>
        <w:numPr>
          <w:ilvl w:val="1"/>
          <w:numId w:val="1"/>
        </w:numPr>
        <w:tabs>
          <w:tab w:val="left" w:pos="816"/>
        </w:tabs>
        <w:spacing w:line="205" w:lineRule="exact"/>
        <w:ind w:left="815"/>
        <w:rPr>
          <w:sz w:val="18"/>
        </w:rPr>
      </w:pPr>
      <w:r>
        <w:rPr>
          <w:sz w:val="18"/>
        </w:rPr>
        <w:t>Maine:</w:t>
      </w:r>
      <w:r>
        <w:rPr>
          <w:spacing w:val="-3"/>
          <w:sz w:val="18"/>
        </w:rPr>
        <w:t xml:space="preserve"> </w:t>
      </w:r>
      <w:r>
        <w:rPr>
          <w:sz w:val="18"/>
        </w:rPr>
        <w:t>(The</w:t>
      </w:r>
      <w:r>
        <w:rPr>
          <w:spacing w:val="-1"/>
          <w:sz w:val="18"/>
        </w:rPr>
        <w:t xml:space="preserve"> </w:t>
      </w:r>
      <w:r>
        <w:rPr>
          <w:sz w:val="18"/>
        </w:rPr>
        <w:t>state</w:t>
      </w:r>
      <w:r>
        <w:rPr>
          <w:spacing w:val="-3"/>
          <w:sz w:val="18"/>
        </w:rPr>
        <w:t xml:space="preserve"> </w:t>
      </w:r>
      <w:r>
        <w:rPr>
          <w:sz w:val="18"/>
        </w:rPr>
        <w:t>UCR</w:t>
      </w:r>
      <w:r>
        <w:rPr>
          <w:spacing w:val="-2"/>
          <w:sz w:val="18"/>
        </w:rPr>
        <w:t xml:space="preserve"> </w:t>
      </w:r>
      <w:r>
        <w:rPr>
          <w:sz w:val="18"/>
        </w:rPr>
        <w:t>Program</w:t>
      </w:r>
      <w:r>
        <w:rPr>
          <w:spacing w:val="-2"/>
          <w:sz w:val="18"/>
        </w:rPr>
        <w:t xml:space="preserve"> </w:t>
      </w:r>
      <w:r>
        <w:rPr>
          <w:sz w:val="18"/>
        </w:rPr>
        <w:t>was</w:t>
      </w:r>
      <w:r>
        <w:rPr>
          <w:spacing w:val="-3"/>
          <w:sz w:val="18"/>
        </w:rPr>
        <w:t xml:space="preserve"> </w:t>
      </w:r>
      <w:r>
        <w:rPr>
          <w:sz w:val="18"/>
        </w:rPr>
        <w:t>unable</w:t>
      </w:r>
      <w:r>
        <w:rPr>
          <w:spacing w:val="-1"/>
          <w:sz w:val="18"/>
        </w:rPr>
        <w:t xml:space="preserve"> </w:t>
      </w:r>
      <w:r>
        <w:rPr>
          <w:sz w:val="18"/>
        </w:rPr>
        <w:t>to</w:t>
      </w:r>
      <w:r>
        <w:rPr>
          <w:spacing w:val="-1"/>
          <w:sz w:val="18"/>
        </w:rPr>
        <w:t xml:space="preserve"> </w:t>
      </w:r>
      <w:r>
        <w:rPr>
          <w:sz w:val="18"/>
        </w:rPr>
        <w:t>provide</w:t>
      </w:r>
      <w:r>
        <w:rPr>
          <w:spacing w:val="-2"/>
          <w:sz w:val="18"/>
        </w:rPr>
        <w:t xml:space="preserve"> </w:t>
      </w:r>
      <w:r>
        <w:rPr>
          <w:sz w:val="18"/>
        </w:rPr>
        <w:t>complete</w:t>
      </w:r>
      <w:r>
        <w:rPr>
          <w:spacing w:val="-2"/>
          <w:sz w:val="18"/>
        </w:rPr>
        <w:t xml:space="preserve"> </w:t>
      </w:r>
      <w:r>
        <w:rPr>
          <w:sz w:val="18"/>
        </w:rPr>
        <w:t>1999</w:t>
      </w:r>
      <w:r>
        <w:rPr>
          <w:spacing w:val="-2"/>
          <w:sz w:val="18"/>
        </w:rPr>
        <w:t xml:space="preserve"> </w:t>
      </w:r>
      <w:r>
        <w:rPr>
          <w:sz w:val="18"/>
        </w:rPr>
        <w:t>offense</w:t>
      </w:r>
      <w:r>
        <w:rPr>
          <w:spacing w:val="-3"/>
          <w:sz w:val="18"/>
        </w:rPr>
        <w:t xml:space="preserve"> </w:t>
      </w:r>
      <w:r>
        <w:rPr>
          <w:sz w:val="18"/>
        </w:rPr>
        <w:t>figures</w:t>
      </w:r>
      <w:r>
        <w:rPr>
          <w:spacing w:val="-2"/>
          <w:sz w:val="18"/>
        </w:rPr>
        <w:t xml:space="preserve"> </w:t>
      </w:r>
      <w:r>
        <w:rPr>
          <w:sz w:val="18"/>
        </w:rPr>
        <w:t>in</w:t>
      </w:r>
      <w:r>
        <w:rPr>
          <w:spacing w:val="-2"/>
          <w:sz w:val="18"/>
        </w:rPr>
        <w:t xml:space="preserve"> </w:t>
      </w:r>
      <w:r>
        <w:rPr>
          <w:sz w:val="18"/>
        </w:rPr>
        <w:t>accordance</w:t>
      </w:r>
      <w:r>
        <w:rPr>
          <w:spacing w:val="-3"/>
          <w:sz w:val="18"/>
        </w:rPr>
        <w:t xml:space="preserve"> </w:t>
      </w:r>
      <w:r>
        <w:rPr>
          <w:sz w:val="18"/>
        </w:rPr>
        <w:t>with</w:t>
      </w:r>
      <w:r>
        <w:rPr>
          <w:spacing w:val="-2"/>
          <w:sz w:val="18"/>
        </w:rPr>
        <w:t xml:space="preserve"> </w:t>
      </w:r>
      <w:r>
        <w:rPr>
          <w:sz w:val="18"/>
        </w:rPr>
        <w:t>UCR</w:t>
      </w:r>
      <w:r>
        <w:rPr>
          <w:spacing w:val="-2"/>
          <w:sz w:val="18"/>
        </w:rPr>
        <w:t xml:space="preserve"> </w:t>
      </w:r>
      <w:r>
        <w:rPr>
          <w:sz w:val="18"/>
        </w:rPr>
        <w:t>guidelines.</w:t>
      </w:r>
      <w:r>
        <w:rPr>
          <w:spacing w:val="-3"/>
          <w:sz w:val="18"/>
        </w:rPr>
        <w:t xml:space="preserve"> </w:t>
      </w:r>
      <w:r>
        <w:rPr>
          <w:sz w:val="18"/>
        </w:rPr>
        <w:t>The</w:t>
      </w:r>
      <w:r>
        <w:rPr>
          <w:spacing w:val="-2"/>
          <w:sz w:val="18"/>
        </w:rPr>
        <w:t xml:space="preserve"> </w:t>
      </w:r>
      <w:r>
        <w:rPr>
          <w:sz w:val="18"/>
        </w:rPr>
        <w:t>Maine</w:t>
      </w:r>
      <w:r>
        <w:rPr>
          <w:spacing w:val="-3"/>
          <w:sz w:val="18"/>
        </w:rPr>
        <w:t xml:space="preserve"> </w:t>
      </w:r>
      <w:r>
        <w:rPr>
          <w:sz w:val="18"/>
        </w:rPr>
        <w:t>Department</w:t>
      </w:r>
      <w:r>
        <w:rPr>
          <w:spacing w:val="-1"/>
          <w:sz w:val="18"/>
        </w:rPr>
        <w:t xml:space="preserve"> </w:t>
      </w:r>
      <w:r>
        <w:rPr>
          <w:sz w:val="18"/>
        </w:rPr>
        <w:t>of</w:t>
      </w:r>
      <w:r>
        <w:rPr>
          <w:spacing w:val="-2"/>
          <w:sz w:val="18"/>
        </w:rPr>
        <w:t xml:space="preserve"> </w:t>
      </w:r>
      <w:r>
        <w:rPr>
          <w:sz w:val="18"/>
        </w:rPr>
        <w:t>Public</w:t>
      </w:r>
      <w:r>
        <w:rPr>
          <w:spacing w:val="-3"/>
          <w:sz w:val="18"/>
        </w:rPr>
        <w:t xml:space="preserve"> </w:t>
      </w:r>
      <w:r>
        <w:rPr>
          <w:sz w:val="18"/>
        </w:rPr>
        <w:t>Safety</w:t>
      </w:r>
      <w:r>
        <w:rPr>
          <w:spacing w:val="-2"/>
          <w:sz w:val="18"/>
        </w:rPr>
        <w:t xml:space="preserve"> </w:t>
      </w:r>
      <w:r>
        <w:rPr>
          <w:sz w:val="18"/>
        </w:rPr>
        <w:t>forwarded</w:t>
      </w:r>
    </w:p>
    <w:p w14:paraId="3B394648" w14:textId="77777777" w:rsidR="0046798B" w:rsidRDefault="0046798B">
      <w:pPr>
        <w:spacing w:line="205" w:lineRule="exact"/>
        <w:rPr>
          <w:sz w:val="18"/>
        </w:rPr>
        <w:sectPr w:rsidR="0046798B">
          <w:pgSz w:w="15840" w:h="12240" w:orient="landscape"/>
          <w:pgMar w:top="1220" w:right="300" w:bottom="980" w:left="820" w:header="730" w:footer="787" w:gutter="0"/>
          <w:cols w:space="720"/>
        </w:sectPr>
      </w:pPr>
    </w:p>
    <w:p w14:paraId="1F4A0FE6" w14:textId="77777777" w:rsidR="0046798B" w:rsidRDefault="0046798B">
      <w:pPr>
        <w:pStyle w:val="BodyText"/>
        <w:spacing w:before="0"/>
        <w:rPr>
          <w:sz w:val="20"/>
        </w:rPr>
      </w:pPr>
    </w:p>
    <w:p w14:paraId="7750B8ED" w14:textId="77777777" w:rsidR="0046798B" w:rsidRDefault="0046798B">
      <w:pPr>
        <w:pStyle w:val="BodyText"/>
        <w:spacing w:before="1"/>
        <w:rPr>
          <w:sz w:val="22"/>
        </w:rPr>
      </w:pPr>
    </w:p>
    <w:p w14:paraId="6ED35C26" w14:textId="77777777" w:rsidR="0046798B" w:rsidRDefault="00903B5C">
      <w:pPr>
        <w:pStyle w:val="BodyText"/>
        <w:spacing w:before="1"/>
        <w:ind w:left="620" w:right="1363"/>
      </w:pPr>
      <w:r>
        <w:t>monthly January through October crime counts for each law enforcement contributor; since 12 months of data were not received, the national Program estimated for the missing data following standard estimation procedures to arrive at a 1999 state total.)</w:t>
      </w:r>
    </w:p>
    <w:p w14:paraId="3D8307FB" w14:textId="77777777" w:rsidR="0046798B" w:rsidRDefault="00903B5C">
      <w:pPr>
        <w:pStyle w:val="ListParagraph"/>
        <w:numPr>
          <w:ilvl w:val="1"/>
          <w:numId w:val="1"/>
        </w:numPr>
        <w:tabs>
          <w:tab w:val="left" w:pos="816"/>
        </w:tabs>
        <w:spacing w:before="1"/>
        <w:ind w:right="1164" w:firstLine="90"/>
        <w:rPr>
          <w:sz w:val="18"/>
        </w:rPr>
      </w:pPr>
      <w:r>
        <w:rPr>
          <w:sz w:val="18"/>
        </w:rPr>
        <w:t>Michigan: (The state UCR Program was unable to provide 1993 forcible rape figures in accordance with UCR guidelines. The rape totals were estimated using national rates per 100,000 inhabitants within the eight population groups and assigning the forcible rape volumes proportionally to the state.)</w:t>
      </w:r>
    </w:p>
    <w:p w14:paraId="66D5EA7E" w14:textId="77777777" w:rsidR="0046798B" w:rsidRDefault="00903B5C">
      <w:pPr>
        <w:pStyle w:val="ListParagraph"/>
        <w:numPr>
          <w:ilvl w:val="1"/>
          <w:numId w:val="1"/>
        </w:numPr>
        <w:tabs>
          <w:tab w:val="left" w:pos="816"/>
        </w:tabs>
        <w:spacing w:before="1"/>
        <w:ind w:right="1199" w:firstLine="90"/>
        <w:jc w:val="both"/>
        <w:rPr>
          <w:sz w:val="18"/>
        </w:rPr>
      </w:pPr>
      <w:r>
        <w:rPr>
          <w:sz w:val="18"/>
        </w:rPr>
        <w:t>Minnesota: (All agencies 1993 and 2005-Present (with the exception of Minneapolis and St. Paul) - The data collection methodology for the offense of forcible rape used by the State Uniform Crime Reporting (UCR) Program does not comply with national UCR Program guidelines. Consequently, their figures for forcible rape and violent crime (of which forcible rape is part) are not included in this</w:t>
      </w:r>
      <w:r>
        <w:rPr>
          <w:spacing w:val="-2"/>
          <w:sz w:val="18"/>
        </w:rPr>
        <w:t xml:space="preserve"> </w:t>
      </w:r>
      <w:r>
        <w:rPr>
          <w:sz w:val="18"/>
        </w:rPr>
        <w:t>tool.)</w:t>
      </w:r>
    </w:p>
    <w:p w14:paraId="3791DA76" w14:textId="77777777" w:rsidR="0046798B" w:rsidRDefault="00903B5C">
      <w:pPr>
        <w:pStyle w:val="ListParagraph"/>
        <w:numPr>
          <w:ilvl w:val="1"/>
          <w:numId w:val="1"/>
        </w:numPr>
        <w:tabs>
          <w:tab w:val="left" w:pos="816"/>
        </w:tabs>
        <w:ind w:right="1204" w:firstLine="90"/>
        <w:rPr>
          <w:sz w:val="18"/>
        </w:rPr>
      </w:pPr>
      <w:r>
        <w:rPr>
          <w:sz w:val="18"/>
        </w:rPr>
        <w:t>Montana: (The state UCR Program was unable to provide complete 1994 offense figures in accordance with UCR guidelines. State totals were estimated by updating previous valid annual totals for individual jurisdictions, subdivided by population group. Percent changes for each offense within each population group of the Mountain Division were applied to the previous valid annual totals. The state totals were compiled from the sums of the population group estimates. The state UCR Program was unable to provide complete 1995 offense figures in accordance with UCR guidelines. State estimates were computed by updating the previous valid annual totals using the 1994 versus 1995 percent changes for the Mountain Division. The state UCR Program was unable to provide complete 1996 offense figures in accordance with UCR guidelines. The 1995 and 1996 percent changes within the geographic division in which Montana is categorized were applied to the valid 1995 state total to generate the 1996 state</w:t>
      </w:r>
      <w:r>
        <w:rPr>
          <w:spacing w:val="-6"/>
          <w:sz w:val="18"/>
        </w:rPr>
        <w:t xml:space="preserve"> </w:t>
      </w:r>
      <w:r>
        <w:rPr>
          <w:sz w:val="18"/>
        </w:rPr>
        <w:t>total.</w:t>
      </w:r>
    </w:p>
    <w:p w14:paraId="7176AFEA" w14:textId="77777777" w:rsidR="0046798B" w:rsidRDefault="00903B5C">
      <w:pPr>
        <w:pStyle w:val="BodyText"/>
        <w:spacing w:before="0"/>
        <w:ind w:left="620" w:right="1213"/>
      </w:pPr>
      <w:r>
        <w:t>The state UCR Program was unable to provide complete 1997 offense figures in accordance with UCR guidelines. The 1996 and 1997 percent changes within the geographic division in which Montana is categorized were applied to the valid 1996 state total to effect the 1997 state total. The state UCR Program was unable to provide complete 1998 offense figures in accordance with UCR guidelines. The state total was estimated by using 1997 figures for the nonreporting areas and applying 1997 versus 1998 percentage changes for the division in which Montana is located. The estimates for the nonreporting areas were then increased by any actual 1998 crime counts received. The state UCR Program was unable to provide complete 1999 offense figures in accordance with UCR guidelines. To arrive at the 1999 estimate for Montana, the 1998 state total supplied by the state UCR Program was updated using 1999 crime trends for the division in which Montana is located. The state UCR Program was unable to provide complete 2000 offense figures in accordance with UCR guidelines. To arrive at the 2000 estimate for Montana, the 1999 state total supplied by the state UCR Program was updated using 2000 crime trends for the division in which Montana is located.)</w:t>
      </w:r>
    </w:p>
    <w:p w14:paraId="7147960C" w14:textId="77777777" w:rsidR="0046798B" w:rsidRDefault="00903B5C">
      <w:pPr>
        <w:pStyle w:val="ListParagraph"/>
        <w:numPr>
          <w:ilvl w:val="1"/>
          <w:numId w:val="1"/>
        </w:numPr>
        <w:tabs>
          <w:tab w:val="left" w:pos="816"/>
        </w:tabs>
        <w:ind w:right="1164" w:firstLine="90"/>
        <w:rPr>
          <w:sz w:val="18"/>
        </w:rPr>
      </w:pPr>
      <w:r>
        <w:rPr>
          <w:sz w:val="18"/>
        </w:rPr>
        <w:t>New Hampshire: The state UCR Program was unable to provide complete 1997 offense figures in accordance with UCR guidelines. The 1996 and 1997 percent changes within the geographic division in which New Hampshire is categorized were applied to the valid 1996 state total to effect the 1997 state total. The state UCR Program was unable to provide complete 1998 offense figures in accordance with UCR guidelines. The state total was estimated by using 1997 figures for the nonreporting areas and applying 1997 versus 1998 percentage changes for the division in which New Hampshire is located. The estimates for the nonreporting areas were then increased by any actual 1998 crime counts received. The state UCR Program was unable to provide complete 1999 offense figures in accordance with UCR guidelines. The state total for New Hampshire was estimated by using the 1998 figures for the 1999 nonreporting areas and applying the 2-year percent change for the New England Division.)</w:t>
      </w:r>
    </w:p>
    <w:p w14:paraId="625435E1" w14:textId="77777777" w:rsidR="0046798B" w:rsidRDefault="00903B5C">
      <w:pPr>
        <w:pStyle w:val="ListParagraph"/>
        <w:numPr>
          <w:ilvl w:val="1"/>
          <w:numId w:val="1"/>
        </w:numPr>
        <w:tabs>
          <w:tab w:val="left" w:pos="816"/>
        </w:tabs>
        <w:spacing w:before="1" w:line="206" w:lineRule="exact"/>
        <w:ind w:left="815"/>
        <w:rPr>
          <w:sz w:val="18"/>
        </w:rPr>
      </w:pPr>
      <w:r>
        <w:rPr>
          <w:sz w:val="18"/>
        </w:rPr>
        <w:t>Oklahoma: ( For 1995, the increase in murders was the result of the bombing of the Alfred P. Murrah Federal Building in Oklahoma</w:t>
      </w:r>
      <w:r>
        <w:rPr>
          <w:spacing w:val="-28"/>
          <w:sz w:val="18"/>
        </w:rPr>
        <w:t xml:space="preserve"> </w:t>
      </w:r>
      <w:r>
        <w:rPr>
          <w:sz w:val="18"/>
        </w:rPr>
        <w:t>City.)</w:t>
      </w:r>
    </w:p>
    <w:p w14:paraId="53A3EBC1" w14:textId="77777777" w:rsidR="0046798B" w:rsidRDefault="00903B5C">
      <w:pPr>
        <w:pStyle w:val="ListParagraph"/>
        <w:numPr>
          <w:ilvl w:val="1"/>
          <w:numId w:val="1"/>
        </w:numPr>
        <w:tabs>
          <w:tab w:val="left" w:pos="816"/>
        </w:tabs>
        <w:spacing w:line="205" w:lineRule="exact"/>
        <w:ind w:left="815"/>
        <w:rPr>
          <w:sz w:val="18"/>
        </w:rPr>
      </w:pPr>
      <w:r>
        <w:rPr>
          <w:sz w:val="18"/>
        </w:rPr>
        <w:t>Pennsylvania: ( Since complete 1995 data were not available from Pennsylvania, standard estimation procedures were applied to derive the 1995 state</w:t>
      </w:r>
      <w:r>
        <w:rPr>
          <w:spacing w:val="-18"/>
          <w:sz w:val="18"/>
        </w:rPr>
        <w:t xml:space="preserve"> </w:t>
      </w:r>
      <w:r>
        <w:rPr>
          <w:sz w:val="18"/>
        </w:rPr>
        <w:t>estimate.)</w:t>
      </w:r>
    </w:p>
    <w:p w14:paraId="52981DFC" w14:textId="77777777" w:rsidR="0046798B" w:rsidRDefault="00903B5C">
      <w:pPr>
        <w:pStyle w:val="ListParagraph"/>
        <w:numPr>
          <w:ilvl w:val="1"/>
          <w:numId w:val="1"/>
        </w:numPr>
        <w:tabs>
          <w:tab w:val="left" w:pos="816"/>
        </w:tabs>
        <w:spacing w:line="244" w:lineRule="auto"/>
        <w:ind w:right="1449" w:firstLine="90"/>
        <w:rPr>
          <w:sz w:val="18"/>
        </w:rPr>
      </w:pPr>
      <w:r>
        <w:rPr>
          <w:sz w:val="18"/>
        </w:rPr>
        <w:t>Vermont: (The state UCR Program was unable to provide complete 1997 offense figures in accordance with UCR guidelines. The 1996 and 1997 percent changes within the geographic division in which Vermont is categorized were applied to the valid 1996 state total to effect the 1997 state</w:t>
      </w:r>
      <w:r>
        <w:rPr>
          <w:spacing w:val="-4"/>
          <w:sz w:val="18"/>
        </w:rPr>
        <w:t xml:space="preserve"> </w:t>
      </w:r>
      <w:r>
        <w:rPr>
          <w:sz w:val="18"/>
        </w:rPr>
        <w:t>total.)</w:t>
      </w:r>
    </w:p>
    <w:p w14:paraId="30C32257" w14:textId="77777777" w:rsidR="0046798B" w:rsidRDefault="00903B5C">
      <w:pPr>
        <w:pStyle w:val="ListParagraph"/>
        <w:numPr>
          <w:ilvl w:val="1"/>
          <w:numId w:val="1"/>
        </w:numPr>
        <w:tabs>
          <w:tab w:val="left" w:pos="816"/>
        </w:tabs>
        <w:ind w:right="1198" w:firstLine="90"/>
        <w:rPr>
          <w:sz w:val="18"/>
        </w:rPr>
      </w:pPr>
      <w:r>
        <w:rPr>
          <w:sz w:val="18"/>
        </w:rPr>
        <w:t>Wisconsin: (The state UCR Program was unable to provide complete 1998 offense figures in accordance with UCR guidelines. The state total was estimated by using 1997 figures for the nonreporting areas and applying 1997 versus 1998 percentage changes for the division in which Wisconsin is located. The estimates for the nonreporting areas were then</w:t>
      </w:r>
      <w:r>
        <w:rPr>
          <w:spacing w:val="-4"/>
          <w:sz w:val="18"/>
        </w:rPr>
        <w:t xml:space="preserve"> </w:t>
      </w:r>
      <w:r>
        <w:rPr>
          <w:sz w:val="18"/>
        </w:rPr>
        <w:t>increased</w:t>
      </w:r>
      <w:r>
        <w:rPr>
          <w:spacing w:val="-4"/>
          <w:sz w:val="18"/>
        </w:rPr>
        <w:t xml:space="preserve"> </w:t>
      </w:r>
      <w:r>
        <w:rPr>
          <w:sz w:val="18"/>
        </w:rPr>
        <w:t>by</w:t>
      </w:r>
      <w:r>
        <w:rPr>
          <w:spacing w:val="-4"/>
          <w:sz w:val="18"/>
        </w:rPr>
        <w:t xml:space="preserve"> </w:t>
      </w:r>
      <w:r>
        <w:rPr>
          <w:sz w:val="18"/>
        </w:rPr>
        <w:t>any</w:t>
      </w:r>
      <w:r>
        <w:rPr>
          <w:spacing w:val="-4"/>
          <w:sz w:val="18"/>
        </w:rPr>
        <w:t xml:space="preserve"> </w:t>
      </w:r>
      <w:r>
        <w:rPr>
          <w:sz w:val="18"/>
        </w:rPr>
        <w:t>actual</w:t>
      </w:r>
      <w:r>
        <w:rPr>
          <w:spacing w:val="-3"/>
          <w:sz w:val="18"/>
        </w:rPr>
        <w:t xml:space="preserve"> </w:t>
      </w:r>
      <w:r>
        <w:rPr>
          <w:sz w:val="18"/>
        </w:rPr>
        <w:t>1998</w:t>
      </w:r>
      <w:r>
        <w:rPr>
          <w:spacing w:val="-4"/>
          <w:sz w:val="18"/>
        </w:rPr>
        <w:t xml:space="preserve"> </w:t>
      </w:r>
      <w:r>
        <w:rPr>
          <w:sz w:val="18"/>
        </w:rPr>
        <w:t>crime</w:t>
      </w:r>
      <w:r>
        <w:rPr>
          <w:spacing w:val="-2"/>
          <w:sz w:val="18"/>
        </w:rPr>
        <w:t xml:space="preserve"> </w:t>
      </w:r>
      <w:r>
        <w:rPr>
          <w:sz w:val="18"/>
        </w:rPr>
        <w:t>counts</w:t>
      </w:r>
      <w:r>
        <w:rPr>
          <w:spacing w:val="-4"/>
          <w:sz w:val="18"/>
        </w:rPr>
        <w:t xml:space="preserve"> </w:t>
      </w:r>
      <w:r>
        <w:rPr>
          <w:sz w:val="18"/>
        </w:rPr>
        <w:t>received.</w:t>
      </w:r>
      <w:r>
        <w:rPr>
          <w:spacing w:val="-4"/>
          <w:sz w:val="18"/>
        </w:rPr>
        <w:t xml:space="preserve"> </w:t>
      </w:r>
      <w:r>
        <w:rPr>
          <w:sz w:val="18"/>
        </w:rPr>
        <w:t>The</w:t>
      </w:r>
      <w:r>
        <w:rPr>
          <w:spacing w:val="-4"/>
          <w:sz w:val="18"/>
        </w:rPr>
        <w:t xml:space="preserve"> </w:t>
      </w:r>
      <w:r>
        <w:rPr>
          <w:sz w:val="18"/>
        </w:rPr>
        <w:t>murder</w:t>
      </w:r>
      <w:r>
        <w:rPr>
          <w:spacing w:val="-3"/>
          <w:sz w:val="18"/>
        </w:rPr>
        <w:t xml:space="preserve"> </w:t>
      </w:r>
      <w:r>
        <w:rPr>
          <w:sz w:val="18"/>
        </w:rPr>
        <w:t>and</w:t>
      </w:r>
      <w:r>
        <w:rPr>
          <w:spacing w:val="-4"/>
          <w:sz w:val="18"/>
        </w:rPr>
        <w:t xml:space="preserve"> </w:t>
      </w:r>
      <w:r>
        <w:rPr>
          <w:sz w:val="18"/>
        </w:rPr>
        <w:t>nonnegligent</w:t>
      </w:r>
      <w:r>
        <w:rPr>
          <w:spacing w:val="-3"/>
          <w:sz w:val="18"/>
        </w:rPr>
        <w:t xml:space="preserve"> </w:t>
      </w:r>
      <w:r>
        <w:rPr>
          <w:sz w:val="18"/>
        </w:rPr>
        <w:t>homicides</w:t>
      </w:r>
      <w:r>
        <w:rPr>
          <w:spacing w:val="-4"/>
          <w:sz w:val="18"/>
        </w:rPr>
        <w:t xml:space="preserve"> </w:t>
      </w:r>
      <w:r>
        <w:rPr>
          <w:sz w:val="18"/>
        </w:rPr>
        <w:t>that</w:t>
      </w:r>
      <w:r>
        <w:rPr>
          <w:spacing w:val="-4"/>
          <w:sz w:val="18"/>
        </w:rPr>
        <w:t xml:space="preserve"> </w:t>
      </w:r>
      <w:r>
        <w:rPr>
          <w:sz w:val="18"/>
        </w:rPr>
        <w:t>occurred</w:t>
      </w:r>
      <w:r>
        <w:rPr>
          <w:spacing w:val="-4"/>
          <w:sz w:val="18"/>
        </w:rPr>
        <w:t xml:space="preserve"> </w:t>
      </w:r>
      <w:r>
        <w:rPr>
          <w:sz w:val="18"/>
        </w:rPr>
        <w:t>as</w:t>
      </w:r>
      <w:r>
        <w:rPr>
          <w:spacing w:val="-3"/>
          <w:sz w:val="18"/>
        </w:rPr>
        <w:t xml:space="preserve"> </w:t>
      </w:r>
      <w:r>
        <w:rPr>
          <w:sz w:val="18"/>
        </w:rPr>
        <w:t>a</w:t>
      </w:r>
      <w:r>
        <w:rPr>
          <w:spacing w:val="-4"/>
          <w:sz w:val="18"/>
        </w:rPr>
        <w:t xml:space="preserve"> </w:t>
      </w:r>
      <w:r>
        <w:rPr>
          <w:sz w:val="18"/>
        </w:rPr>
        <w:t>result</w:t>
      </w:r>
      <w:r>
        <w:rPr>
          <w:spacing w:val="-3"/>
          <w:sz w:val="18"/>
        </w:rPr>
        <w:t xml:space="preserve"> </w:t>
      </w:r>
      <w:r>
        <w:rPr>
          <w:sz w:val="18"/>
        </w:rPr>
        <w:t>of</w:t>
      </w:r>
      <w:r>
        <w:rPr>
          <w:spacing w:val="-4"/>
          <w:sz w:val="18"/>
        </w:rPr>
        <w:t xml:space="preserve"> </w:t>
      </w:r>
      <w:r>
        <w:rPr>
          <w:sz w:val="18"/>
        </w:rPr>
        <w:t>the</w:t>
      </w:r>
      <w:r>
        <w:rPr>
          <w:spacing w:val="-4"/>
          <w:sz w:val="18"/>
        </w:rPr>
        <w:t xml:space="preserve"> </w:t>
      </w:r>
      <w:r>
        <w:rPr>
          <w:sz w:val="18"/>
        </w:rPr>
        <w:t>events</w:t>
      </w:r>
      <w:r>
        <w:rPr>
          <w:spacing w:val="-4"/>
          <w:sz w:val="18"/>
        </w:rPr>
        <w:t xml:space="preserve"> </w:t>
      </w:r>
      <w:r>
        <w:rPr>
          <w:sz w:val="18"/>
        </w:rPr>
        <w:t>of</w:t>
      </w:r>
      <w:r>
        <w:rPr>
          <w:spacing w:val="-4"/>
          <w:sz w:val="18"/>
        </w:rPr>
        <w:t xml:space="preserve"> </w:t>
      </w:r>
      <w:r>
        <w:rPr>
          <w:sz w:val="18"/>
        </w:rPr>
        <w:t>September</w:t>
      </w:r>
      <w:r>
        <w:rPr>
          <w:spacing w:val="-4"/>
          <w:sz w:val="18"/>
        </w:rPr>
        <w:t xml:space="preserve"> </w:t>
      </w:r>
      <w:r>
        <w:rPr>
          <w:sz w:val="18"/>
        </w:rPr>
        <w:t>11,</w:t>
      </w:r>
      <w:r>
        <w:rPr>
          <w:spacing w:val="-3"/>
          <w:sz w:val="18"/>
        </w:rPr>
        <w:t xml:space="preserve"> </w:t>
      </w:r>
      <w:r>
        <w:rPr>
          <w:sz w:val="18"/>
        </w:rPr>
        <w:t>2001,</w:t>
      </w:r>
      <w:r>
        <w:rPr>
          <w:spacing w:val="-3"/>
          <w:sz w:val="18"/>
        </w:rPr>
        <w:t xml:space="preserve"> </w:t>
      </w:r>
      <w:r>
        <w:rPr>
          <w:sz w:val="18"/>
        </w:rPr>
        <w:t>are</w:t>
      </w:r>
      <w:r>
        <w:rPr>
          <w:spacing w:val="-3"/>
          <w:sz w:val="18"/>
        </w:rPr>
        <w:t xml:space="preserve"> </w:t>
      </w:r>
      <w:r>
        <w:rPr>
          <w:sz w:val="18"/>
        </w:rPr>
        <w:t>not</w:t>
      </w:r>
      <w:r>
        <w:rPr>
          <w:spacing w:val="-4"/>
          <w:sz w:val="18"/>
        </w:rPr>
        <w:t xml:space="preserve"> </w:t>
      </w:r>
      <w:r>
        <w:rPr>
          <w:sz w:val="18"/>
        </w:rPr>
        <w:t>included.)</w:t>
      </w:r>
    </w:p>
    <w:p w14:paraId="49093C9F" w14:textId="77777777" w:rsidR="0046798B" w:rsidRDefault="0046798B">
      <w:pPr>
        <w:pStyle w:val="BodyText"/>
        <w:spacing w:before="6"/>
        <w:rPr>
          <w:sz w:val="17"/>
        </w:rPr>
      </w:pPr>
    </w:p>
    <w:p w14:paraId="02677183" w14:textId="77777777" w:rsidR="0046798B" w:rsidRDefault="00903B5C">
      <w:pPr>
        <w:pStyle w:val="BodyText"/>
        <w:spacing w:before="0" w:line="206" w:lineRule="exact"/>
        <w:ind w:left="620"/>
      </w:pPr>
      <w:r>
        <w:rPr>
          <w:sz w:val="12"/>
        </w:rPr>
        <w:t xml:space="preserve">vii </w:t>
      </w:r>
      <w:r>
        <w:t>"Notes: National or state offense totals are based on data from all reporting agencies and estimates for unreported areas.</w:t>
      </w:r>
    </w:p>
    <w:p w14:paraId="557A6895" w14:textId="77777777" w:rsidR="0046798B" w:rsidRDefault="00903B5C">
      <w:pPr>
        <w:pStyle w:val="ListParagraph"/>
        <w:numPr>
          <w:ilvl w:val="1"/>
          <w:numId w:val="1"/>
        </w:numPr>
        <w:tabs>
          <w:tab w:val="left" w:pos="816"/>
        </w:tabs>
        <w:spacing w:line="206" w:lineRule="exact"/>
        <w:ind w:left="815"/>
        <w:rPr>
          <w:sz w:val="18"/>
        </w:rPr>
      </w:pPr>
      <w:r>
        <w:rPr>
          <w:sz w:val="18"/>
        </w:rPr>
        <w:t>Delaware -</w:t>
      </w:r>
    </w:p>
    <w:p w14:paraId="540B0C99" w14:textId="77777777" w:rsidR="0046798B" w:rsidRDefault="00903B5C">
      <w:pPr>
        <w:pStyle w:val="BodyText"/>
        <w:spacing w:before="3" w:line="206" w:lineRule="exact"/>
        <w:ind w:left="620"/>
      </w:pPr>
      <w:r>
        <w:t>Since complete 1995 data were not available from Delaware, standard estimation procedures were applied to derive the 1995 state estimate.</w:t>
      </w:r>
    </w:p>
    <w:p w14:paraId="46EF2CB6" w14:textId="77777777" w:rsidR="0046798B" w:rsidRDefault="00903B5C">
      <w:pPr>
        <w:pStyle w:val="BodyText"/>
        <w:spacing w:before="0"/>
        <w:ind w:left="620" w:right="1204"/>
      </w:pPr>
      <w:r>
        <w:t>The state UCR Program was unable to provide 1998 forcible rape figures in accordance with national UCR guidelines. The 1998 forcible rape total for Delaware was estimated by reducing the number of reported offenses by the proportion of male forcible rape victims statewide.</w:t>
      </w:r>
    </w:p>
    <w:p w14:paraId="609327DE" w14:textId="77777777" w:rsidR="0046798B" w:rsidRDefault="00903B5C">
      <w:pPr>
        <w:pStyle w:val="ListParagraph"/>
        <w:numPr>
          <w:ilvl w:val="1"/>
          <w:numId w:val="1"/>
        </w:numPr>
        <w:tabs>
          <w:tab w:val="left" w:pos="816"/>
        </w:tabs>
        <w:spacing w:line="206" w:lineRule="exact"/>
        <w:ind w:left="815"/>
        <w:rPr>
          <w:sz w:val="18"/>
        </w:rPr>
      </w:pPr>
      <w:r>
        <w:rPr>
          <w:sz w:val="18"/>
        </w:rPr>
        <w:t>District of Columbia - 1999-2008 District of Columbia data include reports from the Zoological Police; 2002-2008 data include reports from the Metro Transit</w:t>
      </w:r>
      <w:r>
        <w:rPr>
          <w:spacing w:val="-6"/>
          <w:sz w:val="18"/>
        </w:rPr>
        <w:t xml:space="preserve"> </w:t>
      </w:r>
      <w:r>
        <w:rPr>
          <w:sz w:val="18"/>
        </w:rPr>
        <w:t>Police.</w:t>
      </w:r>
    </w:p>
    <w:p w14:paraId="086D631E" w14:textId="77777777" w:rsidR="0046798B" w:rsidRDefault="00903B5C">
      <w:pPr>
        <w:pStyle w:val="ListParagraph"/>
        <w:numPr>
          <w:ilvl w:val="1"/>
          <w:numId w:val="1"/>
        </w:numPr>
        <w:tabs>
          <w:tab w:val="left" w:pos="816"/>
        </w:tabs>
        <w:spacing w:line="206" w:lineRule="exact"/>
        <w:ind w:left="815"/>
        <w:rPr>
          <w:sz w:val="18"/>
        </w:rPr>
      </w:pPr>
      <w:r>
        <w:rPr>
          <w:sz w:val="18"/>
        </w:rPr>
        <w:t>Florida</w:t>
      </w:r>
      <w:r>
        <w:rPr>
          <w:spacing w:val="-1"/>
          <w:sz w:val="18"/>
        </w:rPr>
        <w:t xml:space="preserve"> </w:t>
      </w:r>
      <w:r>
        <w:rPr>
          <w:sz w:val="18"/>
        </w:rPr>
        <w:t>-</w:t>
      </w:r>
    </w:p>
    <w:p w14:paraId="678025DA" w14:textId="77777777" w:rsidR="0046798B" w:rsidRDefault="00903B5C">
      <w:pPr>
        <w:pStyle w:val="BodyText"/>
        <w:spacing w:before="3"/>
        <w:ind w:left="620" w:right="1382"/>
      </w:pPr>
      <w:r>
        <w:t>Reporting problems at the state resulted in no usable 1988 data. The state total was estimated by updating previous valid annual totals for individual jurisdictions, subdivided by population group. Percent changes for each offense within each population group of the geographic division in which the state resides was applied to the previous valid annual totals. The state total was compiled from the sums of the population group estimates.</w:t>
      </w:r>
    </w:p>
    <w:p w14:paraId="3A38FFA0" w14:textId="77777777" w:rsidR="0046798B" w:rsidRDefault="0046798B">
      <w:pPr>
        <w:sectPr w:rsidR="0046798B">
          <w:pgSz w:w="15840" w:h="12240" w:orient="landscape"/>
          <w:pgMar w:top="1220" w:right="300" w:bottom="980" w:left="820" w:header="730" w:footer="787" w:gutter="0"/>
          <w:cols w:space="720"/>
        </w:sectPr>
      </w:pPr>
    </w:p>
    <w:p w14:paraId="37B37863" w14:textId="77777777" w:rsidR="0046798B" w:rsidRDefault="0046798B">
      <w:pPr>
        <w:pStyle w:val="BodyText"/>
        <w:spacing w:before="0"/>
        <w:rPr>
          <w:sz w:val="20"/>
        </w:rPr>
      </w:pPr>
    </w:p>
    <w:p w14:paraId="7B1E50F1" w14:textId="77777777" w:rsidR="0046798B" w:rsidRDefault="0046798B">
      <w:pPr>
        <w:pStyle w:val="BodyText"/>
        <w:spacing w:before="1"/>
        <w:rPr>
          <w:sz w:val="22"/>
        </w:rPr>
      </w:pPr>
    </w:p>
    <w:p w14:paraId="55142BBB" w14:textId="77777777" w:rsidR="0046798B" w:rsidRDefault="00903B5C">
      <w:pPr>
        <w:pStyle w:val="BodyText"/>
        <w:spacing w:before="1"/>
        <w:ind w:left="620" w:right="1183"/>
      </w:pPr>
      <w:r>
        <w:t>The state UCR Program was unable to provide complete 1996 offense figures in accordance with UCR guidelines. The state UCR Program was able to provide an aggregated state total and data were received from 94 individual Florida agencies.</w:t>
      </w:r>
    </w:p>
    <w:p w14:paraId="01DE7A48" w14:textId="77777777" w:rsidR="0046798B" w:rsidRDefault="00903B5C">
      <w:pPr>
        <w:pStyle w:val="ListParagraph"/>
        <w:numPr>
          <w:ilvl w:val="1"/>
          <w:numId w:val="1"/>
        </w:numPr>
        <w:tabs>
          <w:tab w:val="left" w:pos="816"/>
        </w:tabs>
        <w:spacing w:before="1" w:line="206" w:lineRule="exact"/>
        <w:ind w:left="815"/>
        <w:rPr>
          <w:sz w:val="18"/>
        </w:rPr>
      </w:pPr>
      <w:r>
        <w:rPr>
          <w:sz w:val="18"/>
        </w:rPr>
        <w:t>Illinois</w:t>
      </w:r>
      <w:r>
        <w:rPr>
          <w:spacing w:val="-1"/>
          <w:sz w:val="18"/>
        </w:rPr>
        <w:t xml:space="preserve"> </w:t>
      </w:r>
      <w:r>
        <w:rPr>
          <w:sz w:val="18"/>
        </w:rPr>
        <w:t>-</w:t>
      </w:r>
    </w:p>
    <w:p w14:paraId="4F05CB5C" w14:textId="77777777" w:rsidR="0046798B" w:rsidRDefault="00903B5C">
      <w:pPr>
        <w:pStyle w:val="BodyText"/>
        <w:spacing w:before="0"/>
        <w:ind w:left="620" w:right="1252"/>
      </w:pPr>
      <w:r>
        <w:t>The state UCR Program was unable to provide 1985-current forcible rape figures in accordance with national UCR Program guidelines. The rape totals were estimated using national rates per 100,000 inhabitants within the eight population groups and assigning the forcible rape volumes proportionally to the state. Rockford, Illinois, has provided valid forcible rape counts as of 2006.</w:t>
      </w:r>
    </w:p>
    <w:p w14:paraId="2C5772E6" w14:textId="77777777" w:rsidR="0046798B" w:rsidRDefault="00903B5C">
      <w:pPr>
        <w:pStyle w:val="BodyText"/>
        <w:spacing w:before="0"/>
        <w:ind w:left="620" w:right="1304"/>
      </w:pPr>
      <w:r>
        <w:t>For 1993 state NIBRS conversion efforts resulted in estimation for Illinois. Since valid annual totals were available for approximately 60 Illinois agencies, those counts were maintained. The counts for the remaining jurisdictions were replaced with the most recent valid annual totals or were generated using standard estimation procedures. The results of all sources were then combined to arrive at the 1993 state total for Illinois.</w:t>
      </w:r>
    </w:p>
    <w:p w14:paraId="31DFB04E" w14:textId="77777777" w:rsidR="0046798B" w:rsidRDefault="00903B5C">
      <w:pPr>
        <w:pStyle w:val="BodyText"/>
        <w:spacing w:before="2"/>
        <w:ind w:left="620" w:right="1612"/>
      </w:pPr>
      <w:r>
        <w:t>For 1994 state NIBRS conversion efforts resulted in estimation for Illinois. Illinois totals were generated using only the valid crime rates for the East North Central Division. Within each population group, the state's offense totals were estimated based on the rate per 100,000 inhabitants within the remainder of the division.</w:t>
      </w:r>
    </w:p>
    <w:p w14:paraId="6D7B7680" w14:textId="77777777" w:rsidR="0046798B" w:rsidRDefault="00903B5C">
      <w:pPr>
        <w:pStyle w:val="BodyText"/>
        <w:spacing w:before="0"/>
        <w:ind w:left="620" w:right="1278"/>
      </w:pPr>
      <w:r>
        <w:t>For 1996-current, the state UCR Program was unable to provide complete offense figures in accordance with UCR guidelines. Valid Part I counts were available for most of the largest cities (100,000 and over in population). For other agencies, the only available counts generated by the Illinois State Program were state totals based upon an incident-level system without indication of multiple offenses recorded within single incidents. Therefore, the UCR Hierarchy Rule could not be applied in order to convert the state's data to Summary Reporting System data. (The Hierarchy Rule requires that only the most serious offense in a multiple-offense criminal incident is counted.) To arrive at a comparable state estimate to be included in national compilations, the Illinois State Program's state totals (which were inflated because of the nonapplication of the Hierarchy Rule) were reduced by the proportion of multiple offenses reported within single incidents in the NIBRS database. Valid totals for the large cities were excluded from the reduction process.</w:t>
      </w:r>
    </w:p>
    <w:p w14:paraId="347E085C" w14:textId="77777777" w:rsidR="0046798B" w:rsidRDefault="00903B5C">
      <w:pPr>
        <w:pStyle w:val="ListParagraph"/>
        <w:numPr>
          <w:ilvl w:val="1"/>
          <w:numId w:val="1"/>
        </w:numPr>
        <w:tabs>
          <w:tab w:val="left" w:pos="816"/>
        </w:tabs>
        <w:ind w:right="1585" w:firstLine="90"/>
        <w:rPr>
          <w:sz w:val="18"/>
        </w:rPr>
      </w:pPr>
      <w:r>
        <w:rPr>
          <w:sz w:val="18"/>
        </w:rPr>
        <w:t>Iowa - NIBRS conversion efforts resulted in estimation for Iowa in 1991. State totals were estimated by updating previous valid annual totals for individual jurisdictions, subdivided by population group. Percent changes for each offense within each population group of the West North Central Division were applied to the previous valid annual totals. The state totals were compiled from the sums of the population group</w:t>
      </w:r>
      <w:r>
        <w:rPr>
          <w:spacing w:val="-8"/>
          <w:sz w:val="18"/>
        </w:rPr>
        <w:t xml:space="preserve"> </w:t>
      </w:r>
      <w:r>
        <w:rPr>
          <w:sz w:val="18"/>
        </w:rPr>
        <w:t>estimates.</w:t>
      </w:r>
    </w:p>
    <w:p w14:paraId="62136EA3" w14:textId="77777777" w:rsidR="0046798B" w:rsidRDefault="00903B5C">
      <w:pPr>
        <w:pStyle w:val="ListParagraph"/>
        <w:numPr>
          <w:ilvl w:val="1"/>
          <w:numId w:val="1"/>
        </w:numPr>
        <w:tabs>
          <w:tab w:val="left" w:pos="816"/>
        </w:tabs>
        <w:spacing w:line="205" w:lineRule="exact"/>
        <w:ind w:left="815"/>
        <w:rPr>
          <w:sz w:val="18"/>
        </w:rPr>
      </w:pPr>
      <w:r>
        <w:rPr>
          <w:sz w:val="18"/>
        </w:rPr>
        <w:t>Kansas</w:t>
      </w:r>
      <w:r>
        <w:rPr>
          <w:spacing w:val="-1"/>
          <w:sz w:val="18"/>
        </w:rPr>
        <w:t xml:space="preserve"> </w:t>
      </w:r>
      <w:r>
        <w:rPr>
          <w:sz w:val="18"/>
        </w:rPr>
        <w:t>-</w:t>
      </w:r>
    </w:p>
    <w:p w14:paraId="1E884C6B" w14:textId="77777777" w:rsidR="0046798B" w:rsidRDefault="00903B5C">
      <w:pPr>
        <w:pStyle w:val="BodyText"/>
        <w:spacing w:before="0"/>
        <w:ind w:left="620" w:right="1182"/>
      </w:pPr>
      <w:r>
        <w:t>NIBRS conversion efforts resulted in estimation for Kansas in 1993. State totals were estimated by updating previous valid annual totals for individual jurisdictions, subdivided by population group. Percent changes for each offense within each population group of the West North Central Division were applied to the previous valid annual totals. The state totals were compiled from the sums of the population group estimates.</w:t>
      </w:r>
    </w:p>
    <w:p w14:paraId="6DE8593E" w14:textId="77777777" w:rsidR="0046798B" w:rsidRDefault="00903B5C">
      <w:pPr>
        <w:pStyle w:val="BodyText"/>
        <w:spacing w:before="3"/>
        <w:ind w:left="620" w:right="1258"/>
      </w:pPr>
      <w:r>
        <w:t>NIBRS conversion efforts resulted in estimation for Kansas in 1994. State totals were generated using only the valid crime rates for the West North Central Division. Within each population group, the state's offense totals were estimated based on the rate per 100,000 inhabitants within the remainder of the division.</w:t>
      </w:r>
    </w:p>
    <w:p w14:paraId="05B49E75" w14:textId="77777777" w:rsidR="0046798B" w:rsidRDefault="00903B5C">
      <w:pPr>
        <w:pStyle w:val="BodyText"/>
        <w:spacing w:before="0" w:line="242" w:lineRule="auto"/>
        <w:ind w:left="620" w:right="1423"/>
      </w:pPr>
      <w:r>
        <w:t>The state UCR Program was unable to provide complete 1995 offense figures in accordance with UCR guidelines. The state UCR Program was able to provide valid 1994 state totals which were then updated using 1995 crime trends for the West North Central Division.</w:t>
      </w:r>
    </w:p>
    <w:p w14:paraId="7D2F9696" w14:textId="77777777" w:rsidR="0046798B" w:rsidRDefault="00903B5C">
      <w:pPr>
        <w:pStyle w:val="BodyText"/>
        <w:spacing w:before="0" w:line="237" w:lineRule="auto"/>
        <w:ind w:left="620" w:right="1203"/>
      </w:pPr>
      <w:r>
        <w:t>The state UCR Program was unable to provide complete 1996 offense figures in accordance with UCR guidelines. The Kansas state estimate was extrapolated from 1996 January- June state totals provided by the Kansas State UCR</w:t>
      </w:r>
      <w:r>
        <w:rPr>
          <w:spacing w:val="-9"/>
        </w:rPr>
        <w:t xml:space="preserve"> </w:t>
      </w:r>
      <w:r>
        <w:t>Program.</w:t>
      </w:r>
    </w:p>
    <w:p w14:paraId="25B0FF84" w14:textId="77777777" w:rsidR="0046798B" w:rsidRDefault="00903B5C">
      <w:pPr>
        <w:pStyle w:val="BodyText"/>
        <w:spacing w:before="0"/>
        <w:ind w:left="620" w:right="1203"/>
      </w:pPr>
      <w:r>
        <w:t>The state UCR Program was unable to provide complete 1997 offense figures in accordance with UCR guidelines. The Kansas state estimate was extrapolated from 1996 January- June state totals provided by the Kansas State UCR</w:t>
      </w:r>
      <w:r>
        <w:rPr>
          <w:spacing w:val="-9"/>
        </w:rPr>
        <w:t xml:space="preserve"> </w:t>
      </w:r>
      <w:r>
        <w:t>Program.</w:t>
      </w:r>
    </w:p>
    <w:p w14:paraId="12472AB8" w14:textId="77777777" w:rsidR="0046798B" w:rsidRDefault="00903B5C">
      <w:pPr>
        <w:pStyle w:val="BodyText"/>
        <w:spacing w:before="0"/>
        <w:ind w:left="620" w:right="1428"/>
      </w:pPr>
      <w:r>
        <w:t>The state UCR Program was unable to provide complete 1998 offense figures in accordance with UCR guidelines. To arrive at 1998 estimates, 1997 state totals supplied by the Kansas State UCR Program were updated using 1998 crime trends for the West North Central Division.</w:t>
      </w:r>
    </w:p>
    <w:p w14:paraId="4F3E9E6C" w14:textId="77777777" w:rsidR="0046798B" w:rsidRDefault="00903B5C">
      <w:pPr>
        <w:pStyle w:val="BodyText"/>
        <w:spacing w:before="0" w:line="242" w:lineRule="auto"/>
        <w:ind w:left="620" w:right="1363"/>
      </w:pPr>
      <w:r>
        <w:t>The state UCR Program was unable to provide complete 1999 offense figures in accordance with UCR guidelines. To arrive at the 1999 estimate for Kansas, the 1998 state total supplied by the state UCR Program was updated using 1999 crime trends for the division in which Kansas is located.</w:t>
      </w:r>
    </w:p>
    <w:p w14:paraId="30507D50" w14:textId="77777777" w:rsidR="0046798B" w:rsidRDefault="00903B5C">
      <w:pPr>
        <w:pStyle w:val="BodyText"/>
        <w:spacing w:before="0" w:line="242" w:lineRule="auto"/>
        <w:ind w:left="620" w:right="1728"/>
      </w:pPr>
      <w:r>
        <w:t>The state UCR Program was unable to provide complete 2000 offense figures in accordance with UCR guidelines. To arrive at the 2000 estimate for Kansas, the 1999 state estimate was updated using 2000 crime trends for the West North Central Division.</w:t>
      </w:r>
    </w:p>
    <w:p w14:paraId="1AE42501" w14:textId="77777777" w:rsidR="0046798B" w:rsidRDefault="00903B5C">
      <w:pPr>
        <w:pStyle w:val="ListParagraph"/>
        <w:numPr>
          <w:ilvl w:val="1"/>
          <w:numId w:val="1"/>
        </w:numPr>
        <w:tabs>
          <w:tab w:val="left" w:pos="816"/>
        </w:tabs>
        <w:spacing w:line="203" w:lineRule="exact"/>
        <w:ind w:left="815"/>
        <w:rPr>
          <w:sz w:val="18"/>
        </w:rPr>
      </w:pPr>
      <w:r>
        <w:rPr>
          <w:sz w:val="18"/>
        </w:rPr>
        <w:t>Kentucky -</w:t>
      </w:r>
    </w:p>
    <w:p w14:paraId="3D6C6105" w14:textId="77777777" w:rsidR="0046798B" w:rsidRDefault="00903B5C">
      <w:pPr>
        <w:pStyle w:val="BodyText"/>
        <w:spacing w:before="0"/>
        <w:ind w:left="620" w:right="1382"/>
      </w:pPr>
      <w:r>
        <w:t>Reporting problems at the state resulted in no usable 1988 data. The state total was estimated by updating previous valid annual totals for individual jurisdictions, subdivided by population group. Percent changes for each offense within each population group of the geographic division in which the state resides was applied to the previous valid annual totals. The state total was compiled from the sums of the population group estimates.</w:t>
      </w:r>
    </w:p>
    <w:p w14:paraId="01D2C580" w14:textId="77777777" w:rsidR="0046798B" w:rsidRDefault="00903B5C">
      <w:pPr>
        <w:pStyle w:val="BodyText"/>
        <w:spacing w:before="0"/>
        <w:ind w:left="620" w:right="1583"/>
      </w:pPr>
      <w:r>
        <w:t>The state UCR Program was unable to provide complete 1996 offense figures in accordance with UCR guidelines. The 1995 and 1996 percent changes within the geographic division in which Kentucky is categorized were applied to the valid 1995 state total to generate the 1996 state total.</w:t>
      </w:r>
    </w:p>
    <w:p w14:paraId="0DEF7A52" w14:textId="77777777" w:rsidR="0046798B" w:rsidRDefault="0046798B">
      <w:pPr>
        <w:sectPr w:rsidR="0046798B">
          <w:pgSz w:w="15840" w:h="12240" w:orient="landscape"/>
          <w:pgMar w:top="1220" w:right="300" w:bottom="980" w:left="820" w:header="730" w:footer="787" w:gutter="0"/>
          <w:cols w:space="720"/>
        </w:sectPr>
      </w:pPr>
    </w:p>
    <w:p w14:paraId="373465D2" w14:textId="77777777" w:rsidR="0046798B" w:rsidRDefault="0046798B">
      <w:pPr>
        <w:pStyle w:val="BodyText"/>
        <w:spacing w:before="0"/>
        <w:rPr>
          <w:sz w:val="20"/>
        </w:rPr>
      </w:pPr>
    </w:p>
    <w:p w14:paraId="70330573" w14:textId="77777777" w:rsidR="0046798B" w:rsidRDefault="0046798B">
      <w:pPr>
        <w:pStyle w:val="BodyText"/>
        <w:spacing w:before="1"/>
        <w:rPr>
          <w:sz w:val="22"/>
        </w:rPr>
      </w:pPr>
    </w:p>
    <w:p w14:paraId="7064F6A6" w14:textId="77777777" w:rsidR="0046798B" w:rsidRDefault="00903B5C">
      <w:pPr>
        <w:pStyle w:val="BodyText"/>
        <w:spacing w:before="1"/>
        <w:ind w:left="620" w:right="1583"/>
      </w:pPr>
      <w:r>
        <w:t>The state UCR Program was unable to provide complete 1997 offense figures in accordance with UCR guidelines. The 1996 and 1997 percent changes within the geographic division in which Kentucky is categorized were applied to the valid 1996 state total to effect the 1997 state total.</w:t>
      </w:r>
    </w:p>
    <w:p w14:paraId="6C573178" w14:textId="77777777" w:rsidR="0046798B" w:rsidRDefault="00903B5C">
      <w:pPr>
        <w:pStyle w:val="BodyText"/>
        <w:spacing w:before="1"/>
        <w:ind w:left="620" w:right="1234"/>
      </w:pPr>
      <w:r>
        <w:t>The state UCR Program was unable to provide complete 1998 offense figures in accordance with UCR guidelines. The state total was estimated by using 1997 figures for the nonreporting areas and applying 1997 versus 1998 percentage changes for the division in which Kentucky is located. The estimates for the nonreporting areas were then increased by any actual 1998 crime counts received.</w:t>
      </w:r>
    </w:p>
    <w:p w14:paraId="6811A979" w14:textId="77777777" w:rsidR="0046798B" w:rsidRDefault="00903B5C">
      <w:pPr>
        <w:pStyle w:val="BodyText"/>
        <w:spacing w:before="0"/>
        <w:ind w:left="620" w:right="1183"/>
      </w:pPr>
      <w:r>
        <w:t>The state UCR Program was unable to provide complete 1999 offense figures in accordance with UCR guidelines. To arrive at the 1999 estimate for Kentucky, the 1998 state total supplied by the state UCR Program was updated using 1999 crime trends for the division in which Kentucky is</w:t>
      </w:r>
      <w:r>
        <w:rPr>
          <w:spacing w:val="-24"/>
        </w:rPr>
        <w:t xml:space="preserve"> </w:t>
      </w:r>
      <w:r>
        <w:t>located.</w:t>
      </w:r>
    </w:p>
    <w:p w14:paraId="089F81EB" w14:textId="77777777" w:rsidR="0046798B" w:rsidRDefault="00903B5C">
      <w:pPr>
        <w:pStyle w:val="BodyText"/>
        <w:spacing w:before="0"/>
        <w:ind w:left="620" w:right="1183"/>
      </w:pPr>
      <w:r>
        <w:t>The state UCR Program was unable to provide complete 2000 offense figures in accordance with UCR guidelines. To arrive at the 2000 estimate for Kentucky, the 1999 state total supplied by the state UCR Program was updated using 2000 crime trends for the division in which Kentucky is</w:t>
      </w:r>
      <w:r>
        <w:rPr>
          <w:spacing w:val="-24"/>
        </w:rPr>
        <w:t xml:space="preserve"> </w:t>
      </w:r>
      <w:r>
        <w:t>located.</w:t>
      </w:r>
    </w:p>
    <w:p w14:paraId="6A47CA9E" w14:textId="77777777" w:rsidR="0046798B" w:rsidRDefault="00903B5C">
      <w:pPr>
        <w:pStyle w:val="BodyText"/>
        <w:spacing w:before="1"/>
        <w:ind w:left="620" w:right="1548"/>
      </w:pPr>
      <w:r>
        <w:t>The state UCR Program was unable to provide complete 2001 offense figures in accordance with UCR guidelines. To arrive at the 2001 estimate for Kentucky, the 2000 state estimate was updated using 2001 crime trends reported for the East South Central Division.</w:t>
      </w:r>
    </w:p>
    <w:p w14:paraId="5F34FCB8" w14:textId="77777777" w:rsidR="0046798B" w:rsidRDefault="00903B5C">
      <w:pPr>
        <w:pStyle w:val="BodyText"/>
        <w:spacing w:before="0" w:line="242" w:lineRule="auto"/>
        <w:ind w:left="620" w:right="1153"/>
      </w:pPr>
      <w:r>
        <w:t>The state UCR Program was unable to provide complete 2002 offense figures in accordance with UCR guidelines. To obtain the 2002 state crime count, the FBI contacted the state UCR Program, and the state agency was able to provide their latest state total, 2000. Therefore, the 2001 state estimate was updated for inclusion in the 2002 edition of Crime in the United States by using the 2001 crime trends for the division in which the state is located. To derive the 2002 state estimate, the 2002 crime trends for the division were applied to the adjusted 2001 state estimate.</w:t>
      </w:r>
    </w:p>
    <w:p w14:paraId="0ECFF936" w14:textId="77777777" w:rsidR="0046798B" w:rsidRDefault="00903B5C">
      <w:pPr>
        <w:pStyle w:val="BodyText"/>
        <w:spacing w:before="0"/>
        <w:ind w:left="620" w:right="1187"/>
      </w:pPr>
      <w:r>
        <w:t>The state UCR Program was unable to provide complete 2003 offense figures in accordance with UCR guidelines. To obtain the 2003 estimate, the 2003 crime trend for the East South Central Division was applied to an adjusted 2002 state estimate. The 2002 state count was reestimated by applying the 2002 crime trend for the East South Central Division using a more current figure, 2001 state totals, provided by the state UCR Program. The adjusted 2002 estimate differs from the figure published in the 2002 edition of Crime in the United States which was originally estimated using 2002 state totals</w:t>
      </w:r>
    </w:p>
    <w:p w14:paraId="5B984257" w14:textId="77777777" w:rsidR="0046798B" w:rsidRDefault="00903B5C">
      <w:pPr>
        <w:pStyle w:val="ListParagraph"/>
        <w:numPr>
          <w:ilvl w:val="1"/>
          <w:numId w:val="1"/>
        </w:numPr>
        <w:tabs>
          <w:tab w:val="left" w:pos="816"/>
        </w:tabs>
        <w:ind w:right="1329" w:firstLine="90"/>
        <w:jc w:val="both"/>
        <w:rPr>
          <w:sz w:val="18"/>
        </w:rPr>
      </w:pPr>
      <w:r>
        <w:rPr>
          <w:sz w:val="18"/>
        </w:rPr>
        <w:t>Maine - The state UCR Program was unable to provide complete 1999 offense figures in accordance with UCR guidelines. The Maine Department of Public Safety forwarded monthly January through October crime counts for each law enforcement contributor; since 12 months of data were not received, the national Program estimated for the missing data following standard estimation procedures to arrive at a 1999 state</w:t>
      </w:r>
      <w:r>
        <w:rPr>
          <w:spacing w:val="-1"/>
          <w:sz w:val="18"/>
        </w:rPr>
        <w:t xml:space="preserve"> </w:t>
      </w:r>
      <w:r>
        <w:rPr>
          <w:sz w:val="18"/>
        </w:rPr>
        <w:t>total.</w:t>
      </w:r>
    </w:p>
    <w:p w14:paraId="7B35E682" w14:textId="77777777" w:rsidR="0046798B" w:rsidRDefault="00903B5C">
      <w:pPr>
        <w:pStyle w:val="ListParagraph"/>
        <w:numPr>
          <w:ilvl w:val="1"/>
          <w:numId w:val="1"/>
        </w:numPr>
        <w:tabs>
          <w:tab w:val="left" w:pos="816"/>
        </w:tabs>
        <w:ind w:right="1169" w:firstLine="90"/>
        <w:rPr>
          <w:sz w:val="18"/>
        </w:rPr>
      </w:pPr>
      <w:r>
        <w:rPr>
          <w:sz w:val="18"/>
        </w:rPr>
        <w:t>Michigan - The state UCR Program was unable to provide 1993 forcible rape figures in accordance with UCR guidelines. The rape totals were estimated using national rates per 100,000 inhabitants within the eight population groups and assigning the forcible rape volumes proportionally to the state.</w:t>
      </w:r>
    </w:p>
    <w:p w14:paraId="5DD90070" w14:textId="77777777" w:rsidR="0046798B" w:rsidRDefault="00903B5C">
      <w:pPr>
        <w:pStyle w:val="ListParagraph"/>
        <w:numPr>
          <w:ilvl w:val="1"/>
          <w:numId w:val="1"/>
        </w:numPr>
        <w:tabs>
          <w:tab w:val="left" w:pos="816"/>
        </w:tabs>
        <w:spacing w:line="206" w:lineRule="exact"/>
        <w:ind w:left="815"/>
        <w:rPr>
          <w:sz w:val="18"/>
        </w:rPr>
      </w:pPr>
      <w:r>
        <w:rPr>
          <w:sz w:val="18"/>
        </w:rPr>
        <w:t>Minnesota -</w:t>
      </w:r>
    </w:p>
    <w:p w14:paraId="68F2A23A" w14:textId="77777777" w:rsidR="0046798B" w:rsidRDefault="00903B5C">
      <w:pPr>
        <w:pStyle w:val="BodyText"/>
        <w:spacing w:before="0"/>
        <w:ind w:left="620" w:right="1148"/>
      </w:pPr>
      <w:r>
        <w:t>All agencies 1993 and 2005-Present (with the exception of Minneapolis and St. Paul) - The data collection methodology for the offense of forcible rape used by the State Uniform Crime Reporting (UCR) Program does not comply with national UCR Program guidelines. Consequently, their figures for forcible rape and violent crime (of which forcible rape is part) are not included in this tool..</w:t>
      </w:r>
    </w:p>
    <w:p w14:paraId="3F46673C" w14:textId="77777777" w:rsidR="0046798B" w:rsidRDefault="00903B5C">
      <w:pPr>
        <w:pStyle w:val="ListParagraph"/>
        <w:numPr>
          <w:ilvl w:val="1"/>
          <w:numId w:val="1"/>
        </w:numPr>
        <w:tabs>
          <w:tab w:val="left" w:pos="816"/>
        </w:tabs>
        <w:spacing w:line="205" w:lineRule="exact"/>
        <w:ind w:left="815"/>
        <w:rPr>
          <w:sz w:val="18"/>
        </w:rPr>
      </w:pPr>
      <w:r>
        <w:rPr>
          <w:sz w:val="18"/>
        </w:rPr>
        <w:t>Montana</w:t>
      </w:r>
      <w:r>
        <w:rPr>
          <w:spacing w:val="-1"/>
          <w:sz w:val="18"/>
        </w:rPr>
        <w:t xml:space="preserve"> </w:t>
      </w:r>
      <w:r>
        <w:rPr>
          <w:sz w:val="18"/>
        </w:rPr>
        <w:t>-</w:t>
      </w:r>
    </w:p>
    <w:p w14:paraId="0AF32C50" w14:textId="77777777" w:rsidR="0046798B" w:rsidRDefault="00903B5C">
      <w:pPr>
        <w:pStyle w:val="BodyText"/>
        <w:spacing w:before="0"/>
        <w:ind w:left="620" w:right="1373"/>
      </w:pPr>
      <w:r>
        <w:t>The state UCR Program was unable to provide complete 1994 offense figures in accordance with UCR guidelines. State totals were estimated by updating previous valid annual totals for individual jurisdictions, subdivided by population group. Percent changes for each offense within each population group of the Mountain Division were applied to the previous valid annual totals. The state totals were compiled from the sums of the population group estimates.</w:t>
      </w:r>
    </w:p>
    <w:p w14:paraId="2DF79F6D" w14:textId="77777777" w:rsidR="0046798B" w:rsidRDefault="00903B5C">
      <w:pPr>
        <w:pStyle w:val="BodyText"/>
        <w:spacing w:before="0"/>
        <w:ind w:left="620" w:right="1333"/>
      </w:pPr>
      <w:r>
        <w:t>The state UCR Program was unable to provide complete 1995 offense figures in accordance with UCR guidelines. State estimates were computed by updating the previous valid annual totals using the 1994 versus 1995 percent changes for the Mountain Division.</w:t>
      </w:r>
    </w:p>
    <w:p w14:paraId="0FABF271" w14:textId="77777777" w:rsidR="0046798B" w:rsidRDefault="00903B5C">
      <w:pPr>
        <w:pStyle w:val="BodyText"/>
        <w:spacing w:before="0" w:line="242" w:lineRule="auto"/>
        <w:ind w:left="620" w:right="1583"/>
      </w:pPr>
      <w:r>
        <w:t>The state UCR Program was unable to provide complete 1996 offense figures in accordance with UCR guidelines. The 1995 and 1996 percent changes within the geographic division in which Montana is categorized were applied to the valid 1995 state total to generate the 1996 state total.</w:t>
      </w:r>
    </w:p>
    <w:p w14:paraId="5280845C" w14:textId="77777777" w:rsidR="0046798B" w:rsidRDefault="00903B5C">
      <w:pPr>
        <w:pStyle w:val="BodyText"/>
        <w:spacing w:before="0" w:line="242" w:lineRule="auto"/>
        <w:ind w:left="620" w:right="1583"/>
      </w:pPr>
      <w:r>
        <w:t>The state UCR Program was unable to provide complete 1997 offense figures in accordance with UCR guidelines. The 1996 and 1997 percent changes within the geographic division in which Montana is categorized were applied to the valid 1996 state total to effect the 1997 state total.</w:t>
      </w:r>
    </w:p>
    <w:p w14:paraId="276296D0" w14:textId="77777777" w:rsidR="0046798B" w:rsidRDefault="00903B5C">
      <w:pPr>
        <w:pStyle w:val="BodyText"/>
        <w:spacing w:before="0"/>
        <w:ind w:left="620" w:right="1294"/>
      </w:pPr>
      <w:r>
        <w:t>The state UCR Program was unable to provide complete 1998 offense figures in accordance with UCR guidelines. The state total was estimated by using 1997 figures for the nonreporting areas and applying 1997 versus 1998 percentage changes for the division in which Montana is located. The estimates for the nonreporting areas were then increased by any actual 1998 crime counts received.</w:t>
      </w:r>
    </w:p>
    <w:p w14:paraId="0C4077CB" w14:textId="77777777" w:rsidR="0046798B" w:rsidRDefault="00903B5C">
      <w:pPr>
        <w:pStyle w:val="BodyText"/>
        <w:spacing w:before="0" w:line="244" w:lineRule="auto"/>
        <w:ind w:left="620" w:right="1243"/>
      </w:pPr>
      <w:r>
        <w:t>The state UCR Program was unable to provide complete 1999 offense figures in accordance with UCR guidelines. To arrive at the 1999 estimate for Montana, the 1998 state total supplied by the state UCR Program was updated using 1999 crime trends for the division in which Montana is</w:t>
      </w:r>
      <w:r>
        <w:rPr>
          <w:spacing w:val="-24"/>
        </w:rPr>
        <w:t xml:space="preserve"> </w:t>
      </w:r>
      <w:r>
        <w:t>located.</w:t>
      </w:r>
    </w:p>
    <w:p w14:paraId="20404C23" w14:textId="77777777" w:rsidR="0046798B" w:rsidRDefault="00903B5C">
      <w:pPr>
        <w:pStyle w:val="BodyText"/>
        <w:spacing w:before="0" w:line="237" w:lineRule="auto"/>
        <w:ind w:left="620" w:right="1243"/>
      </w:pPr>
      <w:r>
        <w:t>The state UCR Program was unable to provide complete 2000 offense figures in accordance with UCR guidelines. To arrive at the 2000 estimate for Montana, the 1999 state total supplied by the state UCR Program was updated using 2000 crime trends for the division in which Montana is</w:t>
      </w:r>
      <w:r>
        <w:rPr>
          <w:spacing w:val="-24"/>
        </w:rPr>
        <w:t xml:space="preserve"> </w:t>
      </w:r>
      <w:r>
        <w:t>located.</w:t>
      </w:r>
    </w:p>
    <w:p w14:paraId="5DB5A6B1" w14:textId="77777777" w:rsidR="0046798B" w:rsidRDefault="0046798B">
      <w:pPr>
        <w:spacing w:line="237" w:lineRule="auto"/>
        <w:sectPr w:rsidR="0046798B">
          <w:pgSz w:w="15840" w:h="12240" w:orient="landscape"/>
          <w:pgMar w:top="1220" w:right="300" w:bottom="980" w:left="820" w:header="730" w:footer="787" w:gutter="0"/>
          <w:cols w:space="720"/>
        </w:sectPr>
      </w:pPr>
    </w:p>
    <w:p w14:paraId="1CC8B52F" w14:textId="77777777" w:rsidR="0046798B" w:rsidRDefault="0046798B">
      <w:pPr>
        <w:pStyle w:val="BodyText"/>
        <w:spacing w:before="0"/>
        <w:rPr>
          <w:sz w:val="20"/>
        </w:rPr>
      </w:pPr>
    </w:p>
    <w:p w14:paraId="5ADBA098" w14:textId="77777777" w:rsidR="0046798B" w:rsidRDefault="0046798B">
      <w:pPr>
        <w:pStyle w:val="BodyText"/>
        <w:spacing w:before="1"/>
        <w:rPr>
          <w:sz w:val="22"/>
        </w:rPr>
      </w:pPr>
    </w:p>
    <w:p w14:paraId="36ACBCDD" w14:textId="77777777" w:rsidR="0046798B" w:rsidRDefault="00903B5C">
      <w:pPr>
        <w:pStyle w:val="ListParagraph"/>
        <w:numPr>
          <w:ilvl w:val="1"/>
          <w:numId w:val="1"/>
        </w:numPr>
        <w:tabs>
          <w:tab w:val="left" w:pos="816"/>
        </w:tabs>
        <w:spacing w:before="1" w:line="206" w:lineRule="exact"/>
        <w:ind w:left="815"/>
        <w:rPr>
          <w:sz w:val="18"/>
        </w:rPr>
      </w:pPr>
      <w:r>
        <w:rPr>
          <w:sz w:val="18"/>
        </w:rPr>
        <w:t>New Hampshire</w:t>
      </w:r>
      <w:r>
        <w:rPr>
          <w:spacing w:val="-1"/>
          <w:sz w:val="18"/>
        </w:rPr>
        <w:t xml:space="preserve"> </w:t>
      </w:r>
      <w:r>
        <w:rPr>
          <w:sz w:val="18"/>
        </w:rPr>
        <w:t>-</w:t>
      </w:r>
    </w:p>
    <w:p w14:paraId="1BD6355E" w14:textId="77777777" w:rsidR="0046798B" w:rsidRDefault="00903B5C">
      <w:pPr>
        <w:pStyle w:val="BodyText"/>
        <w:spacing w:before="0" w:line="242" w:lineRule="auto"/>
        <w:ind w:left="620" w:right="1583"/>
      </w:pPr>
      <w:r>
        <w:t>The state UCR Program was unable to provide complete 1997 offense figures in accordance with UCR guidelines. The 1996 and 1997 percent changes within the geographic division in which New Hampshire is categorized were applied to the valid 1996 state total to effect the 1997 state total.</w:t>
      </w:r>
    </w:p>
    <w:p w14:paraId="03CA0AC7" w14:textId="77777777" w:rsidR="0046798B" w:rsidRDefault="00903B5C">
      <w:pPr>
        <w:pStyle w:val="BodyText"/>
        <w:spacing w:before="0"/>
        <w:ind w:left="620" w:right="1483"/>
      </w:pPr>
      <w:r>
        <w:t>The state UCR Program was unable to provide complete 1998 offense figures in accordance with UCR guidelines. The state total was estimated by using 1997 figures for the nonreporting areas and applying 1997 versus 1998 percentage changes for the division in which New Hampshire is located. The estimates for the nonreporting areas were then increased by any actual 1998 crime counts received.</w:t>
      </w:r>
    </w:p>
    <w:p w14:paraId="790C2D89" w14:textId="77777777" w:rsidR="0046798B" w:rsidRDefault="00903B5C">
      <w:pPr>
        <w:pStyle w:val="BodyText"/>
        <w:spacing w:before="0" w:line="242" w:lineRule="auto"/>
        <w:ind w:left="620" w:right="1313"/>
      </w:pPr>
      <w:r>
        <w:t>The state UCR Program was unable to provide complete 1999 offense figures in accordance with UCR guidelines. The state total for New Hampshire was estimated by using the 1998 figures for the 1999 nonreporting areas and applying the 2-year percent change for the New England Division.</w:t>
      </w:r>
    </w:p>
    <w:p w14:paraId="633BD847" w14:textId="77777777" w:rsidR="0046798B" w:rsidRDefault="00903B5C">
      <w:pPr>
        <w:pStyle w:val="ListParagraph"/>
        <w:numPr>
          <w:ilvl w:val="1"/>
          <w:numId w:val="1"/>
        </w:numPr>
        <w:tabs>
          <w:tab w:val="left" w:pos="816"/>
        </w:tabs>
        <w:spacing w:line="204" w:lineRule="exact"/>
        <w:ind w:left="815"/>
        <w:rPr>
          <w:sz w:val="18"/>
        </w:rPr>
      </w:pPr>
      <w:r>
        <w:rPr>
          <w:sz w:val="18"/>
        </w:rPr>
        <w:t>Oklahoma - For 1995, the increase in murders was the result of the bombing of the Alfred P. Murrah Federal Building in Oklahoma</w:t>
      </w:r>
      <w:r>
        <w:rPr>
          <w:spacing w:val="-24"/>
          <w:sz w:val="18"/>
        </w:rPr>
        <w:t xml:space="preserve"> </w:t>
      </w:r>
      <w:r>
        <w:rPr>
          <w:sz w:val="18"/>
        </w:rPr>
        <w:t>City.</w:t>
      </w:r>
    </w:p>
    <w:p w14:paraId="09E51136" w14:textId="77777777" w:rsidR="0046798B" w:rsidRDefault="00903B5C">
      <w:pPr>
        <w:pStyle w:val="ListParagraph"/>
        <w:numPr>
          <w:ilvl w:val="1"/>
          <w:numId w:val="1"/>
        </w:numPr>
        <w:tabs>
          <w:tab w:val="left" w:pos="816"/>
        </w:tabs>
        <w:spacing w:line="206" w:lineRule="exact"/>
        <w:ind w:left="815"/>
        <w:rPr>
          <w:sz w:val="18"/>
        </w:rPr>
      </w:pPr>
      <w:r>
        <w:rPr>
          <w:sz w:val="18"/>
        </w:rPr>
        <w:t>Pennsylvania - Since complete 1995 data were not available from Pennsylvania, standard estimation procedures were applied to derive the 1995 state</w:t>
      </w:r>
      <w:r>
        <w:rPr>
          <w:spacing w:val="-30"/>
          <w:sz w:val="18"/>
        </w:rPr>
        <w:t xml:space="preserve"> </w:t>
      </w:r>
      <w:r>
        <w:rPr>
          <w:sz w:val="18"/>
        </w:rPr>
        <w:t>estimate.</w:t>
      </w:r>
    </w:p>
    <w:p w14:paraId="33D1E9EF" w14:textId="77777777" w:rsidR="0046798B" w:rsidRDefault="00903B5C">
      <w:pPr>
        <w:pStyle w:val="ListParagraph"/>
        <w:numPr>
          <w:ilvl w:val="1"/>
          <w:numId w:val="1"/>
        </w:numPr>
        <w:tabs>
          <w:tab w:val="left" w:pos="816"/>
        </w:tabs>
        <w:ind w:right="1454" w:firstLine="90"/>
        <w:rPr>
          <w:sz w:val="18"/>
        </w:rPr>
      </w:pPr>
      <w:r>
        <w:rPr>
          <w:sz w:val="18"/>
        </w:rPr>
        <w:t>Vermont - The state UCR Program was unable to provide complete 1997 offense figures in accordance with UCR guidelines. The 1996 and 1997 percent changes within the geographic division in which Vermont is categorized were applied to the valid 1996 state total to effect the 1997 state</w:t>
      </w:r>
      <w:r>
        <w:rPr>
          <w:spacing w:val="-6"/>
          <w:sz w:val="18"/>
        </w:rPr>
        <w:t xml:space="preserve"> </w:t>
      </w:r>
      <w:r>
        <w:rPr>
          <w:sz w:val="18"/>
        </w:rPr>
        <w:t>total.</w:t>
      </w:r>
    </w:p>
    <w:p w14:paraId="17083AD6" w14:textId="77777777" w:rsidR="0046798B" w:rsidRDefault="00903B5C">
      <w:pPr>
        <w:pStyle w:val="ListParagraph"/>
        <w:numPr>
          <w:ilvl w:val="1"/>
          <w:numId w:val="1"/>
        </w:numPr>
        <w:tabs>
          <w:tab w:val="left" w:pos="816"/>
        </w:tabs>
        <w:ind w:right="1198" w:firstLine="90"/>
        <w:rPr>
          <w:sz w:val="18"/>
        </w:rPr>
      </w:pPr>
      <w:r>
        <w:rPr>
          <w:sz w:val="18"/>
        </w:rPr>
        <w:t>Wisconsin - The state UCR Program was unable to provide complete 1998 offense figures in accordance with UCR guidelines. The state total was estimated by using 1997 figures for the nonreporting areas and applying 1997 versus 1998 percentage changes for the division in which Wisconsin is located. The estimates for the nonreporting areas were then increased by any actual 1998 crime counts</w:t>
      </w:r>
      <w:r>
        <w:rPr>
          <w:spacing w:val="-8"/>
          <w:sz w:val="18"/>
        </w:rPr>
        <w:t xml:space="preserve"> </w:t>
      </w:r>
      <w:r>
        <w:rPr>
          <w:sz w:val="18"/>
        </w:rPr>
        <w:t>received.</w:t>
      </w:r>
    </w:p>
    <w:p w14:paraId="31C5E262" w14:textId="77777777" w:rsidR="0046798B" w:rsidRDefault="00903B5C">
      <w:pPr>
        <w:pStyle w:val="ListParagraph"/>
        <w:numPr>
          <w:ilvl w:val="1"/>
          <w:numId w:val="1"/>
        </w:numPr>
        <w:tabs>
          <w:tab w:val="left" w:pos="816"/>
        </w:tabs>
        <w:spacing w:line="205" w:lineRule="exact"/>
        <w:ind w:left="815"/>
        <w:rPr>
          <w:sz w:val="18"/>
        </w:rPr>
      </w:pPr>
      <w:r>
        <w:rPr>
          <w:sz w:val="18"/>
        </w:rPr>
        <w:t>The murder and nonnegligent homicides that occurred as a result of the events of September 11, 2001, are not</w:t>
      </w:r>
      <w:r>
        <w:rPr>
          <w:spacing w:val="-3"/>
          <w:sz w:val="18"/>
        </w:rPr>
        <w:t xml:space="preserve"> </w:t>
      </w:r>
      <w:r>
        <w:rPr>
          <w:sz w:val="18"/>
        </w:rPr>
        <w:t>included."</w:t>
      </w:r>
    </w:p>
    <w:p w14:paraId="0F8A9DC0" w14:textId="77777777" w:rsidR="0046798B" w:rsidRDefault="00903B5C">
      <w:pPr>
        <w:pStyle w:val="BodyText"/>
        <w:spacing w:before="0" w:line="206" w:lineRule="exact"/>
        <w:ind w:left="620"/>
      </w:pPr>
      <w:r>
        <w:rPr>
          <w:sz w:val="12"/>
        </w:rPr>
        <w:t xml:space="preserve">viii </w:t>
      </w:r>
      <w:r>
        <w:t>"Notes: National or state offense totals are based on data from all reporting agencies and estimates for unreported areas.</w:t>
      </w:r>
    </w:p>
    <w:p w14:paraId="53D2818D" w14:textId="77777777" w:rsidR="0046798B" w:rsidRDefault="00903B5C">
      <w:pPr>
        <w:pStyle w:val="ListParagraph"/>
        <w:numPr>
          <w:ilvl w:val="1"/>
          <w:numId w:val="1"/>
        </w:numPr>
        <w:tabs>
          <w:tab w:val="left" w:pos="816"/>
        </w:tabs>
        <w:spacing w:before="2" w:line="206" w:lineRule="exact"/>
        <w:ind w:left="815"/>
        <w:rPr>
          <w:sz w:val="18"/>
        </w:rPr>
      </w:pPr>
      <w:r>
        <w:rPr>
          <w:sz w:val="18"/>
        </w:rPr>
        <w:t>Delaware -</w:t>
      </w:r>
    </w:p>
    <w:p w14:paraId="4DC0DDE8" w14:textId="77777777" w:rsidR="0046798B" w:rsidRDefault="00903B5C">
      <w:pPr>
        <w:pStyle w:val="BodyText"/>
        <w:spacing w:before="0" w:line="206" w:lineRule="exact"/>
        <w:ind w:left="620"/>
      </w:pPr>
      <w:r>
        <w:t>Since complete 1995 data were not available from Delaware, standard estimation procedures were applied to derive the 1995 state estimate.</w:t>
      </w:r>
    </w:p>
    <w:p w14:paraId="7B0DE565" w14:textId="77777777" w:rsidR="0046798B" w:rsidRDefault="00903B5C">
      <w:pPr>
        <w:pStyle w:val="BodyText"/>
        <w:spacing w:before="3"/>
        <w:ind w:left="620" w:right="1204"/>
      </w:pPr>
      <w:r>
        <w:t>The state UCR Program was unable to provide 1998 forcible rape figures in accordance with national UCR guidelines. The 1998 forcible rape total for Delaware was estimated by reducing the number of reported offenses by the proportion of male forcible rape victims statewide.</w:t>
      </w:r>
    </w:p>
    <w:p w14:paraId="5F2644E8" w14:textId="77777777" w:rsidR="0046798B" w:rsidRDefault="00903B5C">
      <w:pPr>
        <w:pStyle w:val="ListParagraph"/>
        <w:numPr>
          <w:ilvl w:val="1"/>
          <w:numId w:val="1"/>
        </w:numPr>
        <w:tabs>
          <w:tab w:val="left" w:pos="816"/>
        </w:tabs>
        <w:spacing w:line="203" w:lineRule="exact"/>
        <w:ind w:left="815"/>
        <w:rPr>
          <w:sz w:val="18"/>
        </w:rPr>
      </w:pPr>
      <w:r>
        <w:rPr>
          <w:sz w:val="18"/>
        </w:rPr>
        <w:t>District of Columbia - 1999-2008 District of Columbia data include reports from the Zoological Police; 2002-2008 data include reports from the Metro Transit</w:t>
      </w:r>
      <w:r>
        <w:rPr>
          <w:spacing w:val="-4"/>
          <w:sz w:val="18"/>
        </w:rPr>
        <w:t xml:space="preserve"> </w:t>
      </w:r>
      <w:r>
        <w:rPr>
          <w:sz w:val="18"/>
        </w:rPr>
        <w:t>Police.</w:t>
      </w:r>
    </w:p>
    <w:p w14:paraId="5A2E63CD" w14:textId="77777777" w:rsidR="0046798B" w:rsidRDefault="00903B5C">
      <w:pPr>
        <w:pStyle w:val="ListParagraph"/>
        <w:numPr>
          <w:ilvl w:val="1"/>
          <w:numId w:val="1"/>
        </w:numPr>
        <w:tabs>
          <w:tab w:val="left" w:pos="816"/>
        </w:tabs>
        <w:spacing w:before="3" w:line="206" w:lineRule="exact"/>
        <w:ind w:left="815"/>
        <w:rPr>
          <w:sz w:val="18"/>
        </w:rPr>
      </w:pPr>
      <w:r>
        <w:rPr>
          <w:sz w:val="18"/>
        </w:rPr>
        <w:t>Florida</w:t>
      </w:r>
      <w:r>
        <w:rPr>
          <w:spacing w:val="-1"/>
          <w:sz w:val="18"/>
        </w:rPr>
        <w:t xml:space="preserve"> </w:t>
      </w:r>
      <w:r>
        <w:rPr>
          <w:sz w:val="18"/>
        </w:rPr>
        <w:t>-</w:t>
      </w:r>
    </w:p>
    <w:p w14:paraId="40B7A26A" w14:textId="77777777" w:rsidR="0046798B" w:rsidRDefault="00903B5C">
      <w:pPr>
        <w:pStyle w:val="BodyText"/>
        <w:spacing w:before="0"/>
        <w:ind w:left="620" w:right="1382"/>
      </w:pPr>
      <w:r>
        <w:t>Reporting problems at the state resulted in no usable 1988 data. The state total was estimated by updating previous valid annual totals for individual jurisdictions, subdivided by population group. Percent changes for each offense within each population group of the geographic division in which the state resides was applied to the previous valid annual totals. The state total was compiled from the sums of the population group estimates.</w:t>
      </w:r>
    </w:p>
    <w:p w14:paraId="5FDE8869" w14:textId="77777777" w:rsidR="0046798B" w:rsidRDefault="00903B5C">
      <w:pPr>
        <w:pStyle w:val="BodyText"/>
        <w:spacing w:before="0" w:line="242" w:lineRule="auto"/>
        <w:ind w:left="620" w:right="1183"/>
      </w:pPr>
      <w:r>
        <w:t>The state UCR Program was unable to provide complete 1996 offense figures in accordance with UCR guidelines. The state UCR Program was able to provide an aggregated state total and data were received from 94 individual Florida agencies.</w:t>
      </w:r>
    </w:p>
    <w:p w14:paraId="7723FE0E" w14:textId="77777777" w:rsidR="0046798B" w:rsidRDefault="00903B5C">
      <w:pPr>
        <w:pStyle w:val="ListParagraph"/>
        <w:numPr>
          <w:ilvl w:val="1"/>
          <w:numId w:val="1"/>
        </w:numPr>
        <w:tabs>
          <w:tab w:val="left" w:pos="816"/>
        </w:tabs>
        <w:spacing w:line="203" w:lineRule="exact"/>
        <w:ind w:left="815"/>
        <w:rPr>
          <w:sz w:val="18"/>
        </w:rPr>
      </w:pPr>
      <w:r>
        <w:rPr>
          <w:sz w:val="18"/>
        </w:rPr>
        <w:t>Illinois</w:t>
      </w:r>
      <w:r>
        <w:rPr>
          <w:spacing w:val="-1"/>
          <w:sz w:val="18"/>
        </w:rPr>
        <w:t xml:space="preserve"> </w:t>
      </w:r>
      <w:r>
        <w:rPr>
          <w:sz w:val="18"/>
        </w:rPr>
        <w:t>-</w:t>
      </w:r>
    </w:p>
    <w:p w14:paraId="3AD65E17" w14:textId="77777777" w:rsidR="0046798B" w:rsidRDefault="00903B5C">
      <w:pPr>
        <w:pStyle w:val="BodyText"/>
        <w:spacing w:before="0"/>
        <w:ind w:left="620" w:right="1252"/>
      </w:pPr>
      <w:r>
        <w:t>The state UCR Program was unable to provide 1985-current forcible rape figures in accordance with national UCR Program guidelines. The rape totals were estimated using national rates per 100,000 inhabitants within the eight population groups and assigning the forcible rape volumes proportionally to the state. Rockford, Illinois, has provided valid forcible rape counts as of 2006.</w:t>
      </w:r>
    </w:p>
    <w:p w14:paraId="4CE46DB3" w14:textId="77777777" w:rsidR="0046798B" w:rsidRDefault="00903B5C">
      <w:pPr>
        <w:pStyle w:val="BodyText"/>
        <w:spacing w:before="2"/>
        <w:ind w:left="620" w:right="1304"/>
      </w:pPr>
      <w:r>
        <w:t>For 1993 state NIBRS conversion efforts resulted in estimation for Illinois. Since valid annual totals were available for approximately 60 Illinois agencies, those counts were maintained. The counts for the remaining jurisdictions were replaced with the most recent valid annual totals or were generated using standard estimation procedures. The results of all sources were then combined to arrive at the 1993 state total for Illinois.</w:t>
      </w:r>
    </w:p>
    <w:p w14:paraId="72514198" w14:textId="77777777" w:rsidR="0046798B" w:rsidRDefault="00903B5C">
      <w:pPr>
        <w:pStyle w:val="BodyText"/>
        <w:spacing w:before="0"/>
        <w:ind w:left="620" w:right="1612"/>
      </w:pPr>
      <w:r>
        <w:t>For 1994 state NIBRS conversion efforts resulted in estimation for Illinois. Illinois totals were generated using only the valid crime rates for the East North Central Division. Within each population group, the state's offense totals were estimated based on the rate per 100,000 inhabitants within the remainder of the division.</w:t>
      </w:r>
    </w:p>
    <w:p w14:paraId="324E4EB1" w14:textId="77777777" w:rsidR="0046798B" w:rsidRDefault="00903B5C">
      <w:pPr>
        <w:pStyle w:val="BodyText"/>
        <w:spacing w:before="0"/>
        <w:ind w:left="620" w:right="1278"/>
      </w:pPr>
      <w:r>
        <w:t>For 1996-current, the state UCR Program was unable to provide complete offense figures in accordance with UCR guidelines. Valid Part I counts were available for most of the largest cities (100,000 and over in population). For other agencies, the only available counts generated by the Illinois State Program were state totals based upon an incident-level system without indication of multiple offenses recorded within single incidents. Therefore, the UCR Hierarchy Rule could not be applied in order to convert the state's data to Summary Reporting System data. (The Hierarchy Rule requires that only the most serious offense in a multiple-offense criminal incident is counted.) To arrive at a comparable state estimate to be included in national compilations, the Illinois State Program's state totals (which were inflated because of the nonapplication of the Hierarchy Rule) were reduced by the proportion of multiple offenses reported within single incidents in the NIBRS database. Valid totals for the large cities were excluded from the reduction process.</w:t>
      </w:r>
    </w:p>
    <w:p w14:paraId="012DBA7D" w14:textId="77777777" w:rsidR="0046798B" w:rsidRDefault="0046798B">
      <w:pPr>
        <w:sectPr w:rsidR="0046798B">
          <w:pgSz w:w="15840" w:h="12240" w:orient="landscape"/>
          <w:pgMar w:top="1220" w:right="300" w:bottom="980" w:left="820" w:header="730" w:footer="787" w:gutter="0"/>
          <w:cols w:space="720"/>
        </w:sectPr>
      </w:pPr>
    </w:p>
    <w:p w14:paraId="52580D40" w14:textId="77777777" w:rsidR="0046798B" w:rsidRDefault="0046798B">
      <w:pPr>
        <w:pStyle w:val="BodyText"/>
        <w:spacing w:before="0"/>
        <w:rPr>
          <w:sz w:val="20"/>
        </w:rPr>
      </w:pPr>
    </w:p>
    <w:p w14:paraId="170120CD" w14:textId="77777777" w:rsidR="0046798B" w:rsidRDefault="0046798B">
      <w:pPr>
        <w:pStyle w:val="BodyText"/>
        <w:spacing w:before="1"/>
        <w:rPr>
          <w:sz w:val="22"/>
        </w:rPr>
      </w:pPr>
    </w:p>
    <w:p w14:paraId="21542188" w14:textId="77777777" w:rsidR="0046798B" w:rsidRDefault="00903B5C">
      <w:pPr>
        <w:pStyle w:val="ListParagraph"/>
        <w:numPr>
          <w:ilvl w:val="1"/>
          <w:numId w:val="1"/>
        </w:numPr>
        <w:tabs>
          <w:tab w:val="left" w:pos="816"/>
        </w:tabs>
        <w:spacing w:before="1"/>
        <w:ind w:right="1585" w:firstLine="90"/>
        <w:rPr>
          <w:sz w:val="18"/>
        </w:rPr>
      </w:pPr>
      <w:r>
        <w:rPr>
          <w:sz w:val="18"/>
        </w:rPr>
        <w:t>Iowa - NIBRS conversion efforts resulted in estimation for Iowa in 1991. State totals were estimated by updating previous valid annual totals for individual jurisdictions, subdivided by population group. Percent changes for each offense within each population group of the West North Central Division were applied to the previous valid annual totals. The state totals were compiled from the sums of the population group</w:t>
      </w:r>
      <w:r>
        <w:rPr>
          <w:spacing w:val="-13"/>
          <w:sz w:val="18"/>
        </w:rPr>
        <w:t xml:space="preserve"> </w:t>
      </w:r>
      <w:r>
        <w:rPr>
          <w:sz w:val="18"/>
        </w:rPr>
        <w:t>estimates.</w:t>
      </w:r>
    </w:p>
    <w:p w14:paraId="339715B4" w14:textId="77777777" w:rsidR="0046798B" w:rsidRDefault="00903B5C">
      <w:pPr>
        <w:pStyle w:val="ListParagraph"/>
        <w:numPr>
          <w:ilvl w:val="1"/>
          <w:numId w:val="1"/>
        </w:numPr>
        <w:tabs>
          <w:tab w:val="left" w:pos="816"/>
        </w:tabs>
        <w:spacing w:line="206" w:lineRule="exact"/>
        <w:ind w:left="815"/>
        <w:rPr>
          <w:sz w:val="18"/>
        </w:rPr>
      </w:pPr>
      <w:r>
        <w:rPr>
          <w:sz w:val="18"/>
        </w:rPr>
        <w:t>Kansas</w:t>
      </w:r>
      <w:r>
        <w:rPr>
          <w:spacing w:val="-1"/>
          <w:sz w:val="18"/>
        </w:rPr>
        <w:t xml:space="preserve"> </w:t>
      </w:r>
      <w:r>
        <w:rPr>
          <w:sz w:val="18"/>
        </w:rPr>
        <w:t>-</w:t>
      </w:r>
    </w:p>
    <w:p w14:paraId="4628762D" w14:textId="77777777" w:rsidR="0046798B" w:rsidRDefault="00903B5C">
      <w:pPr>
        <w:pStyle w:val="BodyText"/>
        <w:spacing w:before="3"/>
        <w:ind w:left="620" w:right="1182"/>
      </w:pPr>
      <w:r>
        <w:t>NIBRS conversion efforts resulted in estimation for Kansas in 1993. State totals were estimated by updating previous valid annual totals for individual jurisdictions, subdivided by population group. Percent changes for each offense within each population group of the West North Central Division were applied to the previous valid annual totals. The state totals were compiled from the sums of the population group estimates.</w:t>
      </w:r>
    </w:p>
    <w:p w14:paraId="194A89BF" w14:textId="77777777" w:rsidR="0046798B" w:rsidRDefault="00903B5C">
      <w:pPr>
        <w:pStyle w:val="BodyText"/>
        <w:spacing w:before="0"/>
        <w:ind w:left="620" w:right="1258"/>
      </w:pPr>
      <w:r>
        <w:t>NIBRS conversion efforts resulted in estimation for Kansas in 1994. State totals were generated using only the valid crime rates for the West North Central Division. Within each population group, the state's offense totals were estimated based on the rate per 100,000 inhabitants within the remainder of the division.</w:t>
      </w:r>
    </w:p>
    <w:p w14:paraId="5B931F5B" w14:textId="77777777" w:rsidR="0046798B" w:rsidRDefault="00903B5C">
      <w:pPr>
        <w:pStyle w:val="BodyText"/>
        <w:spacing w:before="0"/>
        <w:ind w:left="620" w:right="1423"/>
      </w:pPr>
      <w:r>
        <w:t>The state UCR Program was unable to provide complete 1995 offense figures in accordance with UCR guidelines. The state UCR Program was able to provide valid 1994 state totals which were then updated using 1995 crime trends for the West North Central Division.</w:t>
      </w:r>
    </w:p>
    <w:p w14:paraId="3626BE06" w14:textId="77777777" w:rsidR="0046798B" w:rsidRDefault="00903B5C">
      <w:pPr>
        <w:pStyle w:val="BodyText"/>
        <w:spacing w:before="0" w:line="244" w:lineRule="auto"/>
        <w:ind w:left="620" w:right="1203"/>
      </w:pPr>
      <w:r>
        <w:t>The state UCR Program was unable to provide complete 1996 offense figures in accordance with UCR guidelines. The Kansas state estimate was extrapolated from 1996 January- June state totals provided by the Kansas State UCR</w:t>
      </w:r>
      <w:r>
        <w:rPr>
          <w:spacing w:val="-9"/>
        </w:rPr>
        <w:t xml:space="preserve"> </w:t>
      </w:r>
      <w:r>
        <w:t>Program.</w:t>
      </w:r>
    </w:p>
    <w:p w14:paraId="0754CF77" w14:textId="77777777" w:rsidR="0046798B" w:rsidRDefault="00903B5C">
      <w:pPr>
        <w:pStyle w:val="BodyText"/>
        <w:spacing w:before="0" w:line="242" w:lineRule="auto"/>
        <w:ind w:left="620" w:right="1203"/>
      </w:pPr>
      <w:r>
        <w:t>The state UCR Program was unable to provide complete 1997 offense figures in accordance with UCR guidelines. The Kansas state estimate was extrapolated from 1996 January- June state totals provided by the Kansas State UCR</w:t>
      </w:r>
      <w:r>
        <w:rPr>
          <w:spacing w:val="-9"/>
        </w:rPr>
        <w:t xml:space="preserve"> </w:t>
      </w:r>
      <w:r>
        <w:t>Program.</w:t>
      </w:r>
    </w:p>
    <w:p w14:paraId="5BA7AF31" w14:textId="77777777" w:rsidR="0046798B" w:rsidRDefault="00903B5C">
      <w:pPr>
        <w:pStyle w:val="BodyText"/>
        <w:spacing w:before="0" w:line="237" w:lineRule="auto"/>
        <w:ind w:left="620" w:right="1428"/>
      </w:pPr>
      <w:r>
        <w:t>The state UCR Program was unable to provide complete 1998 offense figures in accordance with UCR guidelines. To arrive at 1998 estimates, 1997 state totals supplied by the Kansas State UCR Program were updated using 1998 crime trends for the West North Central Division.</w:t>
      </w:r>
    </w:p>
    <w:p w14:paraId="4AF8D606" w14:textId="77777777" w:rsidR="0046798B" w:rsidRDefault="00903B5C">
      <w:pPr>
        <w:pStyle w:val="BodyText"/>
        <w:spacing w:before="0"/>
        <w:ind w:left="620" w:right="1363"/>
      </w:pPr>
      <w:r>
        <w:t>The state UCR Program was unable to provide complete 1999 offense figures in accordance with UCR guidelines. To arrive at the 1999 estimate for Kansas, the 1998 state total supplied by the state UCR Program was updated using 1999 crime trends for the division in which Kansas is located.</w:t>
      </w:r>
    </w:p>
    <w:p w14:paraId="47377B3F" w14:textId="77777777" w:rsidR="0046798B" w:rsidRDefault="00903B5C">
      <w:pPr>
        <w:pStyle w:val="BodyText"/>
        <w:spacing w:before="0"/>
        <w:ind w:left="620" w:right="1728"/>
      </w:pPr>
      <w:r>
        <w:t>The state UCR Program was unable to provide complete 2000 offense figures in accordance with UCR guidelines. To arrive at the 2000 estimate for Kansas, the 1999 state estimate was updated using 2000 crime trends for the West North Central Division.</w:t>
      </w:r>
    </w:p>
    <w:p w14:paraId="367FFC46" w14:textId="77777777" w:rsidR="0046798B" w:rsidRDefault="00903B5C">
      <w:pPr>
        <w:pStyle w:val="ListParagraph"/>
        <w:numPr>
          <w:ilvl w:val="1"/>
          <w:numId w:val="1"/>
        </w:numPr>
        <w:tabs>
          <w:tab w:val="left" w:pos="816"/>
        </w:tabs>
        <w:spacing w:line="203" w:lineRule="exact"/>
        <w:ind w:left="815"/>
        <w:rPr>
          <w:sz w:val="18"/>
        </w:rPr>
      </w:pPr>
      <w:r>
        <w:rPr>
          <w:sz w:val="18"/>
        </w:rPr>
        <w:t>Kentucky -</w:t>
      </w:r>
    </w:p>
    <w:p w14:paraId="66FDE1D8" w14:textId="77777777" w:rsidR="0046798B" w:rsidRDefault="00903B5C">
      <w:pPr>
        <w:pStyle w:val="BodyText"/>
        <w:spacing w:before="0"/>
        <w:ind w:left="620" w:right="1382"/>
      </w:pPr>
      <w:r>
        <w:t>Reporting problems at the state resulted in no usable 1988 data. The state total was estimated by updating previous valid annual totals for individual jurisdictions, subdivided by population group. Percent changes for each offense within each population group of the geographic division in which the state resides was applied to the previous valid annual totals. The state total was compiled from the sums of the population group estimates.</w:t>
      </w:r>
    </w:p>
    <w:p w14:paraId="34CE0232" w14:textId="77777777" w:rsidR="0046798B" w:rsidRDefault="00903B5C">
      <w:pPr>
        <w:pStyle w:val="BodyText"/>
        <w:spacing w:before="0"/>
        <w:ind w:left="620" w:right="1583"/>
      </w:pPr>
      <w:r>
        <w:t>The state UCR Program was unable to provide complete 1996 offense figures in accordance with UCR guidelines. The 1995 and 1996 percent changes within the geographic division in which Kentucky is categorized were applied to the valid 1995 state total to generate the 1996 state total.</w:t>
      </w:r>
    </w:p>
    <w:p w14:paraId="5E371320" w14:textId="77777777" w:rsidR="0046798B" w:rsidRDefault="00903B5C">
      <w:pPr>
        <w:pStyle w:val="BodyText"/>
        <w:spacing w:before="0"/>
        <w:ind w:left="620" w:right="1583"/>
      </w:pPr>
      <w:r>
        <w:t>The state UCR Program was unable to provide complete 1997 offense figures in accordance with UCR guidelines. The 1996 and 1997 percent changes within the geographic division in which Kentucky is categorized were applied to the valid 1996 state total to effect the 1997 state total.</w:t>
      </w:r>
    </w:p>
    <w:p w14:paraId="01E5A019" w14:textId="77777777" w:rsidR="0046798B" w:rsidRDefault="00903B5C">
      <w:pPr>
        <w:pStyle w:val="BodyText"/>
        <w:spacing w:before="0"/>
        <w:ind w:left="620" w:right="1234"/>
      </w:pPr>
      <w:r>
        <w:t>The state UCR Program was unable to provide complete 1998 offense figures in accordance with UCR guidelines. The state total was estimated by using 1997 figures for the nonreporting areas and applying 1997 versus 1998 percentage changes for the division in which Kentucky is located. The estimates for the nonreporting areas were then increased by any actual 1998 crime counts received.</w:t>
      </w:r>
    </w:p>
    <w:p w14:paraId="613BA104" w14:textId="77777777" w:rsidR="0046798B" w:rsidRDefault="00903B5C">
      <w:pPr>
        <w:pStyle w:val="BodyText"/>
        <w:spacing w:before="0"/>
        <w:ind w:left="620" w:right="1178"/>
      </w:pPr>
      <w:r>
        <w:t xml:space="preserve">The state UCR Program was unable to provide complete 1999 offense figures in accordance with UCR guidelines. To arrive at the 1999 estimate for Kentucky, the 1998 state </w:t>
      </w:r>
      <w:r>
        <w:rPr>
          <w:spacing w:val="-4"/>
        </w:rPr>
        <w:t xml:space="preserve">total </w:t>
      </w:r>
      <w:r>
        <w:t>supplied by the state UCR Program was updated using 1999 crime trends for the division in which Kentucky is</w:t>
      </w:r>
      <w:r>
        <w:rPr>
          <w:spacing w:val="-24"/>
        </w:rPr>
        <w:t xml:space="preserve"> </w:t>
      </w:r>
      <w:r>
        <w:t>located.</w:t>
      </w:r>
    </w:p>
    <w:p w14:paraId="479D10AA" w14:textId="77777777" w:rsidR="0046798B" w:rsidRDefault="00903B5C">
      <w:pPr>
        <w:pStyle w:val="BodyText"/>
        <w:spacing w:before="0" w:line="242" w:lineRule="auto"/>
        <w:ind w:left="620" w:right="1183"/>
      </w:pPr>
      <w:r>
        <w:t>The state UCR Program was unable to provide complete 2000 offense figures in accordance with UCR guidelines. To arrive at the 2000 estimate for Kentucky, the 1999 state total supplied by the state UCR Program was updated using 2000 crime trends for the division in which Kentucky is</w:t>
      </w:r>
      <w:r>
        <w:rPr>
          <w:spacing w:val="-24"/>
        </w:rPr>
        <w:t xml:space="preserve"> </w:t>
      </w:r>
      <w:r>
        <w:t>located.</w:t>
      </w:r>
    </w:p>
    <w:p w14:paraId="6F951E0D" w14:textId="77777777" w:rsidR="0046798B" w:rsidRDefault="00903B5C">
      <w:pPr>
        <w:pStyle w:val="BodyText"/>
        <w:spacing w:before="0" w:line="242" w:lineRule="auto"/>
        <w:ind w:left="620" w:right="1548"/>
      </w:pPr>
      <w:r>
        <w:t>The state UCR Program was unable to provide complete 2001 offense figures in accordance with UCR guidelines. To arrive at the 2001 estimate for Kentucky, the 2000 state estimate was updated using 2001 crime trends reported for the East South Central Division.</w:t>
      </w:r>
    </w:p>
    <w:p w14:paraId="46AEBFD3" w14:textId="77777777" w:rsidR="0046798B" w:rsidRDefault="00903B5C">
      <w:pPr>
        <w:pStyle w:val="BodyText"/>
        <w:spacing w:before="0"/>
        <w:ind w:left="620" w:right="1153"/>
      </w:pPr>
      <w:r>
        <w:t>The state UCR Program was unable to provide complete 2002 offense figures in accordance with UCR guidelines. To obtain the 2002 state crime count, the FBI contacted the state UCR Program, and the state agency was able to provide their latest state total, 2000. Therefore, the 2001 state estimate was updated for inclusion in the 2002 edition of Crime in the United States by using the 2001 crime trends for the division in which the state is located. To derive the 2002 state estimate, the 2002 crime trends for the division were applied to the adjusted 2001 state estimate.</w:t>
      </w:r>
    </w:p>
    <w:p w14:paraId="3901D918" w14:textId="77777777" w:rsidR="0046798B" w:rsidRDefault="00903B5C">
      <w:pPr>
        <w:pStyle w:val="BodyText"/>
        <w:spacing w:before="0"/>
        <w:ind w:left="620" w:right="1237"/>
      </w:pPr>
      <w:r>
        <w:t>The state UCR Program was unable to provide complete 2003 offense figures in accordance with UCR guidelines. To obtain the 2003 estimate, the 2003 crime trend for the East South Central Division was applied to an adjusted 2002 state estimate. The 2002 state count was reestimated by applying the 2002 crime trend for the East South Central Division</w:t>
      </w:r>
    </w:p>
    <w:p w14:paraId="16F24696" w14:textId="77777777" w:rsidR="0046798B" w:rsidRDefault="0046798B">
      <w:pPr>
        <w:sectPr w:rsidR="0046798B">
          <w:pgSz w:w="15840" w:h="12240" w:orient="landscape"/>
          <w:pgMar w:top="1220" w:right="300" w:bottom="980" w:left="820" w:header="730" w:footer="787" w:gutter="0"/>
          <w:cols w:space="720"/>
        </w:sectPr>
      </w:pPr>
    </w:p>
    <w:p w14:paraId="678AAC4D" w14:textId="77777777" w:rsidR="0046798B" w:rsidRDefault="0046798B">
      <w:pPr>
        <w:pStyle w:val="BodyText"/>
        <w:spacing w:before="0"/>
        <w:rPr>
          <w:sz w:val="20"/>
        </w:rPr>
      </w:pPr>
    </w:p>
    <w:p w14:paraId="4E00EE92" w14:textId="77777777" w:rsidR="0046798B" w:rsidRDefault="0046798B">
      <w:pPr>
        <w:pStyle w:val="BodyText"/>
        <w:spacing w:before="1"/>
        <w:rPr>
          <w:sz w:val="22"/>
        </w:rPr>
      </w:pPr>
    </w:p>
    <w:p w14:paraId="14CD46C3" w14:textId="77777777" w:rsidR="0046798B" w:rsidRDefault="00903B5C">
      <w:pPr>
        <w:pStyle w:val="BodyText"/>
        <w:spacing w:before="1"/>
        <w:ind w:left="620" w:right="1187"/>
      </w:pPr>
      <w:r>
        <w:t>using a more current figure, 2001 state totals, provided by the state UCR Program. The adjusted 2002 estimate differs from the figure published in the 2002 edition of Crime in the United States which was originally estimated using 2002 state totals</w:t>
      </w:r>
    </w:p>
    <w:p w14:paraId="222053A6" w14:textId="77777777" w:rsidR="0046798B" w:rsidRDefault="00903B5C">
      <w:pPr>
        <w:pStyle w:val="ListParagraph"/>
        <w:numPr>
          <w:ilvl w:val="1"/>
          <w:numId w:val="1"/>
        </w:numPr>
        <w:tabs>
          <w:tab w:val="left" w:pos="816"/>
        </w:tabs>
        <w:spacing w:before="1"/>
        <w:ind w:right="1329" w:firstLine="90"/>
        <w:jc w:val="both"/>
        <w:rPr>
          <w:sz w:val="18"/>
        </w:rPr>
      </w:pPr>
      <w:r>
        <w:rPr>
          <w:sz w:val="18"/>
        </w:rPr>
        <w:t>Maine - The state UCR Program was unable to provide complete 1999 offense figures in accordance with UCR guidelines. The Maine Department of Public Safety forwarded monthly January through October crime counts for each law enforcement contributor; since 12 months of data were not received, the national Program estimated for the missing data following standard estimation procedures to arrive at a 1999 state</w:t>
      </w:r>
      <w:r>
        <w:rPr>
          <w:spacing w:val="-1"/>
          <w:sz w:val="18"/>
        </w:rPr>
        <w:t xml:space="preserve"> </w:t>
      </w:r>
      <w:r>
        <w:rPr>
          <w:sz w:val="18"/>
        </w:rPr>
        <w:t>total.</w:t>
      </w:r>
    </w:p>
    <w:p w14:paraId="4D35D29B" w14:textId="77777777" w:rsidR="0046798B" w:rsidRDefault="00903B5C">
      <w:pPr>
        <w:pStyle w:val="ListParagraph"/>
        <w:numPr>
          <w:ilvl w:val="1"/>
          <w:numId w:val="1"/>
        </w:numPr>
        <w:tabs>
          <w:tab w:val="left" w:pos="816"/>
        </w:tabs>
        <w:ind w:right="1169" w:firstLine="90"/>
        <w:rPr>
          <w:sz w:val="18"/>
        </w:rPr>
      </w:pPr>
      <w:r>
        <w:rPr>
          <w:sz w:val="18"/>
        </w:rPr>
        <w:t>Michigan - The state UCR Program was unable to provide 1993 forcible rape figures in accordance with UCR guidelines. The rape totals were estimated using national rates per 100,000 inhabitants within the eight population groups and assigning the forcible rape volumes proportionally to the</w:t>
      </w:r>
      <w:r>
        <w:rPr>
          <w:spacing w:val="-3"/>
          <w:sz w:val="18"/>
        </w:rPr>
        <w:t xml:space="preserve"> </w:t>
      </w:r>
      <w:r>
        <w:rPr>
          <w:sz w:val="18"/>
        </w:rPr>
        <w:t>state.</w:t>
      </w:r>
    </w:p>
    <w:p w14:paraId="24DD7334" w14:textId="77777777" w:rsidR="0046798B" w:rsidRDefault="00903B5C">
      <w:pPr>
        <w:pStyle w:val="ListParagraph"/>
        <w:numPr>
          <w:ilvl w:val="1"/>
          <w:numId w:val="1"/>
        </w:numPr>
        <w:tabs>
          <w:tab w:val="left" w:pos="816"/>
        </w:tabs>
        <w:spacing w:line="206" w:lineRule="exact"/>
        <w:ind w:left="815"/>
        <w:rPr>
          <w:sz w:val="18"/>
        </w:rPr>
      </w:pPr>
      <w:r>
        <w:rPr>
          <w:sz w:val="18"/>
        </w:rPr>
        <w:t>Minnesota -</w:t>
      </w:r>
    </w:p>
    <w:p w14:paraId="5E996522" w14:textId="77777777" w:rsidR="0046798B" w:rsidRDefault="00903B5C">
      <w:pPr>
        <w:pStyle w:val="BodyText"/>
        <w:spacing w:before="0"/>
        <w:ind w:left="620" w:right="1148"/>
      </w:pPr>
      <w:r>
        <w:t>All agencies 1993 and 2005-Present (with the exception of Minneapolis and St. Paul) - The data collection methodology for the offense of forcible rape used by the State Uniform Crime Reporting (UCR) Program does not comply with national UCR Program guidelines. Consequently, their figures for forcible rape and violent crime (of which forcible rape is part) are not included in this tool..</w:t>
      </w:r>
    </w:p>
    <w:p w14:paraId="3DC9C1FD" w14:textId="77777777" w:rsidR="0046798B" w:rsidRDefault="00903B5C">
      <w:pPr>
        <w:pStyle w:val="ListParagraph"/>
        <w:numPr>
          <w:ilvl w:val="1"/>
          <w:numId w:val="1"/>
        </w:numPr>
        <w:tabs>
          <w:tab w:val="left" w:pos="816"/>
        </w:tabs>
        <w:spacing w:line="206" w:lineRule="exact"/>
        <w:ind w:left="815"/>
        <w:rPr>
          <w:sz w:val="18"/>
        </w:rPr>
      </w:pPr>
      <w:r>
        <w:rPr>
          <w:sz w:val="18"/>
        </w:rPr>
        <w:t>Montana</w:t>
      </w:r>
      <w:r>
        <w:rPr>
          <w:spacing w:val="-1"/>
          <w:sz w:val="18"/>
        </w:rPr>
        <w:t xml:space="preserve"> </w:t>
      </w:r>
      <w:r>
        <w:rPr>
          <w:sz w:val="18"/>
        </w:rPr>
        <w:t>-</w:t>
      </w:r>
    </w:p>
    <w:p w14:paraId="0023CB53" w14:textId="77777777" w:rsidR="0046798B" w:rsidRDefault="00903B5C">
      <w:pPr>
        <w:pStyle w:val="BodyText"/>
        <w:spacing w:before="3"/>
        <w:ind w:left="620" w:right="1373"/>
      </w:pPr>
      <w:r>
        <w:t>The state UCR Program was unable to provide complete 1994 offense figures in accordance with UCR guidelines. State totals were estimated by updating previous valid annual totals for individual jurisdictions, subdivided by population group. Percent changes for each offense within each population group of the Mountain Division were applied to the previous valid annual totals. The state totals were compiled from the sums of the population group estimates.</w:t>
      </w:r>
    </w:p>
    <w:p w14:paraId="783BDC68" w14:textId="77777777" w:rsidR="0046798B" w:rsidRDefault="00903B5C">
      <w:pPr>
        <w:pStyle w:val="BodyText"/>
        <w:spacing w:before="0"/>
        <w:ind w:left="620" w:right="1333"/>
      </w:pPr>
      <w:r>
        <w:t>The state UCR Program was unable to provide complete 1995 offense figures in accordance with UCR guidelines. State estimates were computed by updating the previous valid annual totals using the 1994 versus 1995 percent changes for the Mountain Division.</w:t>
      </w:r>
    </w:p>
    <w:p w14:paraId="2B8376E6" w14:textId="77777777" w:rsidR="0046798B" w:rsidRDefault="00903B5C">
      <w:pPr>
        <w:pStyle w:val="BodyText"/>
        <w:spacing w:before="0"/>
        <w:ind w:left="620" w:right="1583"/>
      </w:pPr>
      <w:r>
        <w:t>The state UCR Program was unable to provide complete 1996 offense figures in accordance with UCR guidelines. The 1995 and 1996 percent changes within the geographic division in which Montana is categorized were applied to the valid 1995 state total to generate the 1996 state total.</w:t>
      </w:r>
    </w:p>
    <w:p w14:paraId="6D7513D1" w14:textId="77777777" w:rsidR="0046798B" w:rsidRDefault="00903B5C">
      <w:pPr>
        <w:pStyle w:val="BodyText"/>
        <w:spacing w:before="1"/>
        <w:ind w:left="620" w:right="1583"/>
      </w:pPr>
      <w:r>
        <w:t>The state UCR Program was unable to provide complete 1997 offense figures in accordance with UCR guidelines. The 1996 and 1997 percent changes within the geographic division in which Montana is categorized were applied to the valid 1996 state total to effect the 1997 state total.</w:t>
      </w:r>
    </w:p>
    <w:p w14:paraId="3F8636F5" w14:textId="77777777" w:rsidR="0046798B" w:rsidRDefault="00903B5C">
      <w:pPr>
        <w:pStyle w:val="BodyText"/>
        <w:spacing w:before="0"/>
        <w:ind w:left="620" w:right="1294"/>
      </w:pPr>
      <w:r>
        <w:t>The state UCR Program was unable to provide complete 1998 offense figures in accordance with UCR guidelines. The state total was estimated by using 1997 figures for the nonreporting areas and applying 1997 versus 1998 percentage changes for the division in which Montana is located. The estimates for the nonreporting areas were then increased by any actual 1998 crime counts received.</w:t>
      </w:r>
    </w:p>
    <w:p w14:paraId="1AF71C90" w14:textId="77777777" w:rsidR="0046798B" w:rsidRDefault="00903B5C">
      <w:pPr>
        <w:pStyle w:val="BodyText"/>
        <w:spacing w:before="1"/>
        <w:ind w:left="620" w:right="1243"/>
      </w:pPr>
      <w:r>
        <w:t>The state UCR Program was unable to provide complete 1999 offense figures in accordance with UCR guidelines. To arrive at the 1999 estimate for Montana, the 1998 state total supplied by the state UCR Program was updated using 1999 crime trends for the division in which Montana is</w:t>
      </w:r>
      <w:r>
        <w:rPr>
          <w:spacing w:val="-24"/>
        </w:rPr>
        <w:t xml:space="preserve"> </w:t>
      </w:r>
      <w:r>
        <w:t>located.</w:t>
      </w:r>
    </w:p>
    <w:p w14:paraId="150F85B3" w14:textId="77777777" w:rsidR="0046798B" w:rsidRDefault="00903B5C">
      <w:pPr>
        <w:pStyle w:val="BodyText"/>
        <w:spacing w:before="0" w:line="242" w:lineRule="auto"/>
        <w:ind w:left="620" w:right="1243"/>
      </w:pPr>
      <w:r>
        <w:t>The state UCR Program was unable to provide complete 2000 offense figures in accordance with UCR guidelines. To arrive at the 2000 estimate for Montana, the 1999 state total supplied by the state UCR Program was updated using 2000 crime trends for the division in which Montana is</w:t>
      </w:r>
      <w:r>
        <w:rPr>
          <w:spacing w:val="-24"/>
        </w:rPr>
        <w:t xml:space="preserve"> </w:t>
      </w:r>
      <w:r>
        <w:t>located.</w:t>
      </w:r>
    </w:p>
    <w:p w14:paraId="0F88DF26" w14:textId="77777777" w:rsidR="0046798B" w:rsidRDefault="00903B5C">
      <w:pPr>
        <w:pStyle w:val="ListParagraph"/>
        <w:numPr>
          <w:ilvl w:val="1"/>
          <w:numId w:val="1"/>
        </w:numPr>
        <w:tabs>
          <w:tab w:val="left" w:pos="816"/>
        </w:tabs>
        <w:spacing w:line="203" w:lineRule="exact"/>
        <w:ind w:left="815"/>
        <w:rPr>
          <w:sz w:val="18"/>
        </w:rPr>
      </w:pPr>
      <w:r>
        <w:rPr>
          <w:sz w:val="18"/>
        </w:rPr>
        <w:t>New Hampshire</w:t>
      </w:r>
      <w:r>
        <w:rPr>
          <w:spacing w:val="-1"/>
          <w:sz w:val="18"/>
        </w:rPr>
        <w:t xml:space="preserve"> </w:t>
      </w:r>
      <w:r>
        <w:rPr>
          <w:sz w:val="18"/>
        </w:rPr>
        <w:t>-</w:t>
      </w:r>
    </w:p>
    <w:p w14:paraId="10E57459" w14:textId="77777777" w:rsidR="0046798B" w:rsidRDefault="00903B5C">
      <w:pPr>
        <w:pStyle w:val="BodyText"/>
        <w:spacing w:before="0" w:line="244" w:lineRule="auto"/>
        <w:ind w:left="620" w:right="1583"/>
      </w:pPr>
      <w:r>
        <w:t>The state UCR Program was unable to provide complete 1997 offense figures in accordance with UCR guidelines. The 1996 and 1997 percent changes within the geographic division in which New Hampshire is categorized were applied to the valid 1996 state total to effect the 1997 state total.</w:t>
      </w:r>
    </w:p>
    <w:p w14:paraId="4DAD2F02" w14:textId="77777777" w:rsidR="0046798B" w:rsidRDefault="00903B5C">
      <w:pPr>
        <w:pStyle w:val="BodyText"/>
        <w:spacing w:before="0"/>
        <w:ind w:left="620" w:right="1483"/>
      </w:pPr>
      <w:r>
        <w:t>The state UCR Program was unable to provide complete 1998 offense figures in accordance with UCR guidelines. The state total was estimated by using 1997 figures for the nonreporting areas and applying 1997 versus 1998 percentage changes for the division in which New Hampshire is located. The estimates for the nonreporting areas were then increased by any actual 1998 crime counts received.</w:t>
      </w:r>
    </w:p>
    <w:p w14:paraId="07F12DCE" w14:textId="77777777" w:rsidR="0046798B" w:rsidRDefault="00903B5C">
      <w:pPr>
        <w:pStyle w:val="BodyText"/>
        <w:spacing w:before="0" w:line="242" w:lineRule="auto"/>
        <w:ind w:left="620" w:right="1313"/>
      </w:pPr>
      <w:r>
        <w:t>The state UCR Program was unable to provide complete 1999 offense figures in accordance with UCR guidelines. The state total for New Hampshire was estimated by using the 1998 figures for the 1999 nonreporting areas and applying the 2-year percent change for the New England Division.</w:t>
      </w:r>
    </w:p>
    <w:p w14:paraId="4A76F5A7" w14:textId="77777777" w:rsidR="0046798B" w:rsidRDefault="00903B5C">
      <w:pPr>
        <w:pStyle w:val="ListParagraph"/>
        <w:numPr>
          <w:ilvl w:val="1"/>
          <w:numId w:val="1"/>
        </w:numPr>
        <w:tabs>
          <w:tab w:val="left" w:pos="816"/>
        </w:tabs>
        <w:spacing w:line="204" w:lineRule="exact"/>
        <w:ind w:left="815"/>
        <w:rPr>
          <w:sz w:val="18"/>
        </w:rPr>
      </w:pPr>
      <w:r>
        <w:rPr>
          <w:sz w:val="18"/>
        </w:rPr>
        <w:t>Oklahoma - For 1995, the increase in murders was the result of the bombing of the Alfred P. Murrah Federal Building in Oklahoma</w:t>
      </w:r>
      <w:r>
        <w:rPr>
          <w:spacing w:val="-26"/>
          <w:sz w:val="18"/>
        </w:rPr>
        <w:t xml:space="preserve"> </w:t>
      </w:r>
      <w:r>
        <w:rPr>
          <w:sz w:val="18"/>
        </w:rPr>
        <w:t>City.</w:t>
      </w:r>
    </w:p>
    <w:p w14:paraId="50BADBE3" w14:textId="77777777" w:rsidR="0046798B" w:rsidRDefault="00903B5C">
      <w:pPr>
        <w:pStyle w:val="ListParagraph"/>
        <w:numPr>
          <w:ilvl w:val="1"/>
          <w:numId w:val="1"/>
        </w:numPr>
        <w:tabs>
          <w:tab w:val="left" w:pos="816"/>
        </w:tabs>
        <w:spacing w:line="206" w:lineRule="exact"/>
        <w:ind w:left="815"/>
        <w:rPr>
          <w:sz w:val="18"/>
        </w:rPr>
      </w:pPr>
      <w:r>
        <w:rPr>
          <w:sz w:val="18"/>
        </w:rPr>
        <w:t>Pennsylvania - Since complete 1995 data were not available from Pennsylvania, standard estimation procedures were applied to derive the 1995 state</w:t>
      </w:r>
      <w:r>
        <w:rPr>
          <w:spacing w:val="-30"/>
          <w:sz w:val="18"/>
        </w:rPr>
        <w:t xml:space="preserve"> </w:t>
      </w:r>
      <w:r>
        <w:rPr>
          <w:sz w:val="18"/>
        </w:rPr>
        <w:t>estimate.</w:t>
      </w:r>
    </w:p>
    <w:p w14:paraId="2B927399" w14:textId="77777777" w:rsidR="0046798B" w:rsidRDefault="00903B5C">
      <w:pPr>
        <w:pStyle w:val="ListParagraph"/>
        <w:numPr>
          <w:ilvl w:val="1"/>
          <w:numId w:val="1"/>
        </w:numPr>
        <w:tabs>
          <w:tab w:val="left" w:pos="816"/>
        </w:tabs>
        <w:ind w:right="1456" w:firstLine="90"/>
        <w:rPr>
          <w:sz w:val="18"/>
        </w:rPr>
      </w:pPr>
      <w:r>
        <w:rPr>
          <w:sz w:val="18"/>
        </w:rPr>
        <w:t>Vermont - The state UCR Program was unable to provide complete 1997 offense figures in accordance with UCR guidelines. The 1996 and 1997 percent changes within the geographic division in which Vermont is categorized were applied to the valid 1996 state total to effect the 1997 state total.</w:t>
      </w:r>
    </w:p>
    <w:p w14:paraId="2C699025" w14:textId="77777777" w:rsidR="0046798B" w:rsidRDefault="00903B5C">
      <w:pPr>
        <w:pStyle w:val="ListParagraph"/>
        <w:numPr>
          <w:ilvl w:val="1"/>
          <w:numId w:val="1"/>
        </w:numPr>
        <w:tabs>
          <w:tab w:val="left" w:pos="816"/>
        </w:tabs>
        <w:ind w:right="1199" w:firstLine="90"/>
        <w:rPr>
          <w:sz w:val="18"/>
        </w:rPr>
      </w:pPr>
      <w:r>
        <w:rPr>
          <w:sz w:val="18"/>
        </w:rPr>
        <w:t>Wisconsin - The state UCR Program was unable to provide complete 1998 offense figures in accordance with UCR guidelines. The state total was estimated by using 1997 figures for the nonreporting areas and applying 1997 versus 1998 percentage changes for the division in which Wisconsin is located. The estimates for the nonreporting areas were then increased by any actual 1998 crime counts</w:t>
      </w:r>
      <w:r>
        <w:rPr>
          <w:spacing w:val="-8"/>
          <w:sz w:val="18"/>
        </w:rPr>
        <w:t xml:space="preserve"> </w:t>
      </w:r>
      <w:r>
        <w:rPr>
          <w:sz w:val="18"/>
        </w:rPr>
        <w:t>received.</w:t>
      </w:r>
    </w:p>
    <w:p w14:paraId="68CBB3EE" w14:textId="77777777" w:rsidR="0046798B" w:rsidRDefault="00903B5C">
      <w:pPr>
        <w:pStyle w:val="ListParagraph"/>
        <w:numPr>
          <w:ilvl w:val="1"/>
          <w:numId w:val="1"/>
        </w:numPr>
        <w:tabs>
          <w:tab w:val="left" w:pos="816"/>
        </w:tabs>
        <w:spacing w:line="206" w:lineRule="exact"/>
        <w:ind w:left="815"/>
        <w:rPr>
          <w:sz w:val="18"/>
        </w:rPr>
      </w:pPr>
      <w:r>
        <w:rPr>
          <w:sz w:val="18"/>
        </w:rPr>
        <w:t>The murder and nonnegligent homicides that occurred as a result of the events of September 11, 2001, are not</w:t>
      </w:r>
      <w:r>
        <w:rPr>
          <w:spacing w:val="-3"/>
          <w:sz w:val="18"/>
        </w:rPr>
        <w:t xml:space="preserve"> </w:t>
      </w:r>
      <w:r>
        <w:rPr>
          <w:sz w:val="18"/>
        </w:rPr>
        <w:t>included."</w:t>
      </w:r>
    </w:p>
    <w:p w14:paraId="69C29F27" w14:textId="77777777" w:rsidR="0046798B" w:rsidRDefault="00903B5C">
      <w:pPr>
        <w:pStyle w:val="BodyText"/>
        <w:spacing w:before="0" w:line="206" w:lineRule="exact"/>
        <w:ind w:left="620"/>
      </w:pPr>
      <w:r>
        <w:rPr>
          <w:sz w:val="12"/>
        </w:rPr>
        <w:t xml:space="preserve">ix </w:t>
      </w:r>
      <w:r>
        <w:t>"Notes: National or state offense totals are based on data from all reporting agencies and estimates for unreported areas.</w:t>
      </w:r>
    </w:p>
    <w:p w14:paraId="6A60985F" w14:textId="77777777" w:rsidR="0046798B" w:rsidRDefault="0046798B">
      <w:pPr>
        <w:spacing w:line="206" w:lineRule="exact"/>
        <w:sectPr w:rsidR="0046798B">
          <w:pgSz w:w="15840" w:h="12240" w:orient="landscape"/>
          <w:pgMar w:top="1220" w:right="300" w:bottom="980" w:left="820" w:header="730" w:footer="787" w:gutter="0"/>
          <w:cols w:space="720"/>
        </w:sectPr>
      </w:pPr>
    </w:p>
    <w:p w14:paraId="16C2625C" w14:textId="77777777" w:rsidR="0046798B" w:rsidRDefault="0046798B">
      <w:pPr>
        <w:pStyle w:val="BodyText"/>
        <w:spacing w:before="0"/>
        <w:rPr>
          <w:sz w:val="20"/>
        </w:rPr>
      </w:pPr>
    </w:p>
    <w:p w14:paraId="3A4421D6" w14:textId="77777777" w:rsidR="0046798B" w:rsidRDefault="0046798B">
      <w:pPr>
        <w:pStyle w:val="BodyText"/>
        <w:spacing w:before="1"/>
        <w:rPr>
          <w:sz w:val="22"/>
        </w:rPr>
      </w:pPr>
    </w:p>
    <w:p w14:paraId="62D2F458" w14:textId="77777777" w:rsidR="0046798B" w:rsidRDefault="00903B5C">
      <w:pPr>
        <w:pStyle w:val="ListParagraph"/>
        <w:numPr>
          <w:ilvl w:val="1"/>
          <w:numId w:val="1"/>
        </w:numPr>
        <w:tabs>
          <w:tab w:val="left" w:pos="816"/>
        </w:tabs>
        <w:spacing w:before="1" w:line="206" w:lineRule="exact"/>
        <w:ind w:left="815"/>
        <w:rPr>
          <w:sz w:val="18"/>
        </w:rPr>
      </w:pPr>
      <w:r>
        <w:rPr>
          <w:sz w:val="18"/>
        </w:rPr>
        <w:t>Delaware -</w:t>
      </w:r>
    </w:p>
    <w:p w14:paraId="51F4B97F" w14:textId="77777777" w:rsidR="0046798B" w:rsidRDefault="00903B5C">
      <w:pPr>
        <w:pStyle w:val="BodyText"/>
        <w:spacing w:before="0" w:line="206" w:lineRule="exact"/>
        <w:ind w:left="620"/>
      </w:pPr>
      <w:r>
        <w:t>Since complete 1995 data were not available from Delaware, standard estimation procedures were applied to derive the 1995 state estimate.</w:t>
      </w:r>
    </w:p>
    <w:p w14:paraId="347D1BB2" w14:textId="77777777" w:rsidR="0046798B" w:rsidRDefault="00903B5C">
      <w:pPr>
        <w:pStyle w:val="BodyText"/>
        <w:spacing w:before="3"/>
        <w:ind w:left="620" w:right="1204"/>
      </w:pPr>
      <w:r>
        <w:t>The state UCR Program was unable to provide 1998 forcible rape figures in accordance with national UCR guidelines. The 1998 forcible rape total for Delaware was estimated by reducing the number of reported offenses by the proportion of male forcible rape victims statewide.</w:t>
      </w:r>
    </w:p>
    <w:p w14:paraId="3E9C5E58" w14:textId="77777777" w:rsidR="0046798B" w:rsidRDefault="00903B5C">
      <w:pPr>
        <w:pStyle w:val="ListParagraph"/>
        <w:numPr>
          <w:ilvl w:val="1"/>
          <w:numId w:val="1"/>
        </w:numPr>
        <w:tabs>
          <w:tab w:val="left" w:pos="816"/>
        </w:tabs>
        <w:spacing w:before="1" w:line="206" w:lineRule="exact"/>
        <w:ind w:left="815"/>
        <w:rPr>
          <w:sz w:val="18"/>
        </w:rPr>
      </w:pPr>
      <w:r>
        <w:rPr>
          <w:sz w:val="18"/>
        </w:rPr>
        <w:t>District of Columbia - 1999-2008 District of Columbia data include reports from the Zoological Police; 2002-2008 data include reports from the Metro Transit</w:t>
      </w:r>
      <w:r>
        <w:rPr>
          <w:spacing w:val="-2"/>
          <w:sz w:val="18"/>
        </w:rPr>
        <w:t xml:space="preserve"> </w:t>
      </w:r>
      <w:r>
        <w:rPr>
          <w:sz w:val="18"/>
        </w:rPr>
        <w:t>Police.</w:t>
      </w:r>
    </w:p>
    <w:p w14:paraId="0FDC3847" w14:textId="77777777" w:rsidR="0046798B" w:rsidRDefault="00903B5C">
      <w:pPr>
        <w:pStyle w:val="ListParagraph"/>
        <w:numPr>
          <w:ilvl w:val="1"/>
          <w:numId w:val="1"/>
        </w:numPr>
        <w:tabs>
          <w:tab w:val="left" w:pos="816"/>
        </w:tabs>
        <w:spacing w:line="205" w:lineRule="exact"/>
        <w:ind w:left="815"/>
        <w:rPr>
          <w:sz w:val="18"/>
        </w:rPr>
      </w:pPr>
      <w:r>
        <w:rPr>
          <w:sz w:val="18"/>
        </w:rPr>
        <w:t>Florida</w:t>
      </w:r>
      <w:r>
        <w:rPr>
          <w:spacing w:val="-1"/>
          <w:sz w:val="18"/>
        </w:rPr>
        <w:t xml:space="preserve"> </w:t>
      </w:r>
      <w:r>
        <w:rPr>
          <w:sz w:val="18"/>
        </w:rPr>
        <w:t>-</w:t>
      </w:r>
    </w:p>
    <w:p w14:paraId="0E67BB43" w14:textId="77777777" w:rsidR="0046798B" w:rsidRDefault="00903B5C">
      <w:pPr>
        <w:pStyle w:val="BodyText"/>
        <w:spacing w:before="0"/>
        <w:ind w:left="620" w:right="1382"/>
      </w:pPr>
      <w:r>
        <w:t>Reporting problems at the state resulted in no usable 1988 data. The state total was estimated by updating previous valid annual totals for individual jurisdictions, subdivided by population group. Percent changes for each offense within each population group of the geographic division in which the state resides was applied to the previous valid annual totals. The state total was compiled from the sums of the population group estimates.</w:t>
      </w:r>
    </w:p>
    <w:p w14:paraId="3C87A70C" w14:textId="77777777" w:rsidR="0046798B" w:rsidRDefault="00903B5C">
      <w:pPr>
        <w:pStyle w:val="BodyText"/>
        <w:spacing w:before="3"/>
        <w:ind w:left="620" w:right="1183"/>
      </w:pPr>
      <w:r>
        <w:t>The state UCR Program was unable to provide complete 1996 offense figures in accordance with UCR guidelines. The state UCR Program was able to provide an aggregated state total and data were received from 94 individual Florida agencies.</w:t>
      </w:r>
    </w:p>
    <w:p w14:paraId="3B20498E" w14:textId="77777777" w:rsidR="0046798B" w:rsidRDefault="00903B5C">
      <w:pPr>
        <w:pStyle w:val="ListParagraph"/>
        <w:numPr>
          <w:ilvl w:val="1"/>
          <w:numId w:val="1"/>
        </w:numPr>
        <w:tabs>
          <w:tab w:val="left" w:pos="816"/>
        </w:tabs>
        <w:spacing w:line="203" w:lineRule="exact"/>
        <w:ind w:left="815"/>
        <w:rPr>
          <w:sz w:val="18"/>
        </w:rPr>
      </w:pPr>
      <w:r>
        <w:rPr>
          <w:sz w:val="18"/>
        </w:rPr>
        <w:t>Illinois</w:t>
      </w:r>
      <w:r>
        <w:rPr>
          <w:spacing w:val="-1"/>
          <w:sz w:val="18"/>
        </w:rPr>
        <w:t xml:space="preserve"> </w:t>
      </w:r>
      <w:r>
        <w:rPr>
          <w:sz w:val="18"/>
        </w:rPr>
        <w:t>-</w:t>
      </w:r>
    </w:p>
    <w:p w14:paraId="60B2B064" w14:textId="77777777" w:rsidR="0046798B" w:rsidRDefault="00903B5C">
      <w:pPr>
        <w:pStyle w:val="BodyText"/>
        <w:spacing w:before="3"/>
        <w:ind w:left="620" w:right="1252"/>
      </w:pPr>
      <w:r>
        <w:t>The state UCR Program was unable to provide 1985-current forcible rape figures in accordance with national UCR Program guidelines. The rape totals were estimated using national rates per 100,000 inhabitants within the eight population groups and assigning the forcible rape volumes proportionally to the state. Rockford, Illinois, has provided valid forcible rape counts as of 2006.</w:t>
      </w:r>
    </w:p>
    <w:p w14:paraId="4225C412" w14:textId="77777777" w:rsidR="0046798B" w:rsidRDefault="00903B5C">
      <w:pPr>
        <w:pStyle w:val="BodyText"/>
        <w:spacing w:before="0"/>
        <w:ind w:left="620" w:right="1304"/>
      </w:pPr>
      <w:r>
        <w:t>For 1993 state NIBRS conversion efforts resulted in estimation for Illinois. Since valid annual totals were available for approximately 60 Illinois agencies, those counts were maintained. The counts for the remaining jurisdictions were replaced with the most recent valid annual totals or were generated using standard estimation procedures. The results of all sources were then combined to arrive at the 1993 state total for Illinois.</w:t>
      </w:r>
    </w:p>
    <w:p w14:paraId="3DDFB4EA" w14:textId="77777777" w:rsidR="0046798B" w:rsidRDefault="00903B5C">
      <w:pPr>
        <w:pStyle w:val="BodyText"/>
        <w:spacing w:before="0" w:line="242" w:lineRule="auto"/>
        <w:ind w:left="620" w:right="1612"/>
      </w:pPr>
      <w:r>
        <w:t>For 1994 state NIBRS conversion efforts resulted in estimation for Illinois. Illinois totals were generated using only the valid crime rates for the East North Central Division. Within each population group, the state's offense totals were estimated based on the rate per 100,000 inhabitants within the remainder of the division.</w:t>
      </w:r>
    </w:p>
    <w:p w14:paraId="4A2C4EB2" w14:textId="77777777" w:rsidR="0046798B" w:rsidRDefault="00903B5C">
      <w:pPr>
        <w:pStyle w:val="BodyText"/>
        <w:spacing w:before="0"/>
        <w:ind w:left="620" w:right="1278"/>
      </w:pPr>
      <w:r>
        <w:t>For 1996-current, the state UCR Program was unable to provide complete offense figures in accordance with UCR guidelines. Valid Part I counts were available for most of the largest cities (100,000 and over in population). For other agencies, the only available counts generated by the Illinois State Program were state totals based upon an incident-level system without indication of multiple offenses recorded within single incidents. Therefore, the UCR Hierarchy Rule could not be applied in order to convert the state's data to Summary Reporting System data. (The Hierarchy Rule requires that only the most serious offense in a multiple-offense criminal incident is counted.) To arrive at a comparable state estimate to be included in national compilations, the Illinois State Program's state totals (which were inflated because of the nonapplication of the Hierarchy Rule) were reduced by the proportion of multiple offenses reported within single incidents in the NIBRS database. Valid totals for the large cities were excluded from the reduction process.</w:t>
      </w:r>
    </w:p>
    <w:p w14:paraId="20D3ECC4" w14:textId="77777777" w:rsidR="0046798B" w:rsidRDefault="00903B5C">
      <w:pPr>
        <w:pStyle w:val="ListParagraph"/>
        <w:numPr>
          <w:ilvl w:val="1"/>
          <w:numId w:val="1"/>
        </w:numPr>
        <w:tabs>
          <w:tab w:val="left" w:pos="816"/>
        </w:tabs>
        <w:ind w:right="1583" w:firstLine="90"/>
        <w:rPr>
          <w:sz w:val="18"/>
        </w:rPr>
      </w:pPr>
      <w:r>
        <w:rPr>
          <w:sz w:val="18"/>
        </w:rPr>
        <w:t>Iowa - NIBRS conversion efforts resulted in estimation for Iowa in 1991. State totals were estimated by updating previous valid annual totals for individual jurisdictions, subdivided by population group. Percent changes for each offense within each population group of the West North Central Division were applied to the previous valid annual totals. The state totals were compiled from the sums of the population group</w:t>
      </w:r>
      <w:r>
        <w:rPr>
          <w:spacing w:val="-15"/>
          <w:sz w:val="18"/>
        </w:rPr>
        <w:t xml:space="preserve"> </w:t>
      </w:r>
      <w:r>
        <w:rPr>
          <w:sz w:val="18"/>
        </w:rPr>
        <w:t>estimates.</w:t>
      </w:r>
    </w:p>
    <w:p w14:paraId="7D2ED678" w14:textId="77777777" w:rsidR="0046798B" w:rsidRDefault="00903B5C">
      <w:pPr>
        <w:pStyle w:val="ListParagraph"/>
        <w:numPr>
          <w:ilvl w:val="1"/>
          <w:numId w:val="1"/>
        </w:numPr>
        <w:tabs>
          <w:tab w:val="left" w:pos="816"/>
        </w:tabs>
        <w:spacing w:line="206" w:lineRule="exact"/>
        <w:ind w:left="815"/>
        <w:rPr>
          <w:sz w:val="18"/>
        </w:rPr>
      </w:pPr>
      <w:r>
        <w:rPr>
          <w:sz w:val="18"/>
        </w:rPr>
        <w:t>Kansas</w:t>
      </w:r>
      <w:r>
        <w:rPr>
          <w:spacing w:val="-1"/>
          <w:sz w:val="18"/>
        </w:rPr>
        <w:t xml:space="preserve"> </w:t>
      </w:r>
      <w:r>
        <w:rPr>
          <w:sz w:val="18"/>
        </w:rPr>
        <w:t>-</w:t>
      </w:r>
    </w:p>
    <w:p w14:paraId="08E6AD70" w14:textId="77777777" w:rsidR="0046798B" w:rsidRDefault="00903B5C">
      <w:pPr>
        <w:pStyle w:val="BodyText"/>
        <w:spacing w:before="0"/>
        <w:ind w:left="620" w:right="1182"/>
      </w:pPr>
      <w:r>
        <w:t>NIBRS conversion efforts resulted in estimation for Kansas in 1993. State totals were estimated by updating previous valid annual totals for individual jurisdictions, subdivided by population group. Percent changes for each offense within each population group of the West North Central Division were applied to the previous valid annual totals. The state totals were compiled from the sums of the population group estimates.</w:t>
      </w:r>
    </w:p>
    <w:p w14:paraId="14984E46" w14:textId="77777777" w:rsidR="0046798B" w:rsidRDefault="00903B5C">
      <w:pPr>
        <w:pStyle w:val="BodyText"/>
        <w:spacing w:before="0"/>
        <w:ind w:left="620" w:right="1258"/>
      </w:pPr>
      <w:r>
        <w:t>NIBRS conversion efforts resulted in estimation for Kansas in 1994. State totals were generated using only the valid crime rates for the West North Central Division. Within each population group, the state's offense totals were estimated based on the rate per 100,000 inhabitants within the remainder of the division.</w:t>
      </w:r>
    </w:p>
    <w:p w14:paraId="31FF89D4" w14:textId="77777777" w:rsidR="0046798B" w:rsidRDefault="00903B5C">
      <w:pPr>
        <w:pStyle w:val="BodyText"/>
        <w:spacing w:before="0"/>
        <w:ind w:left="620" w:right="1423"/>
      </w:pPr>
      <w:r>
        <w:t>The state UCR Program was unable to provide complete 1995 offense figures in accordance with UCR guidelines. The state UCR Program was able to provide valid 1994 state totals which were then updated using 1995 crime trends for the West North Central Division.</w:t>
      </w:r>
    </w:p>
    <w:p w14:paraId="33575EE9" w14:textId="77777777" w:rsidR="0046798B" w:rsidRDefault="00903B5C">
      <w:pPr>
        <w:pStyle w:val="BodyText"/>
        <w:spacing w:before="0"/>
        <w:ind w:left="620" w:right="1203"/>
      </w:pPr>
      <w:r>
        <w:t>The state UCR Program was unable to provide complete 1996 offense figures in accordance with UCR guidelines. The Kansas state estimate was extrapolated from 1996 January- June state totals provided by the Kansas State UCR</w:t>
      </w:r>
      <w:r>
        <w:rPr>
          <w:spacing w:val="-9"/>
        </w:rPr>
        <w:t xml:space="preserve"> </w:t>
      </w:r>
      <w:r>
        <w:t>Program.</w:t>
      </w:r>
    </w:p>
    <w:p w14:paraId="39E0E2C4" w14:textId="77777777" w:rsidR="0046798B" w:rsidRDefault="00903B5C">
      <w:pPr>
        <w:pStyle w:val="BodyText"/>
        <w:spacing w:before="0" w:line="242" w:lineRule="auto"/>
        <w:ind w:left="620" w:right="1203"/>
      </w:pPr>
      <w:r>
        <w:t>The state UCR Program was unable to provide complete 1997 offense figures in accordance with UCR guidelines. The Kansas state estimate was extrapolated from 1996 January- June state totals provided by the Kansas State UCR</w:t>
      </w:r>
      <w:r>
        <w:rPr>
          <w:spacing w:val="-9"/>
        </w:rPr>
        <w:t xml:space="preserve"> </w:t>
      </w:r>
      <w:r>
        <w:t>Program.</w:t>
      </w:r>
    </w:p>
    <w:p w14:paraId="0368560B" w14:textId="77777777" w:rsidR="0046798B" w:rsidRDefault="00903B5C">
      <w:pPr>
        <w:pStyle w:val="BodyText"/>
        <w:spacing w:before="0" w:line="244" w:lineRule="auto"/>
        <w:ind w:left="620" w:right="1428"/>
      </w:pPr>
      <w:r>
        <w:t>The state UCR Program was unable to provide complete 1998 offense figures in accordance with UCR guidelines. To arrive at 1998 estimates, 1997 state totals supplied by the Kansas State UCR Program were updated using 1998 crime trends for the West North Central Division.</w:t>
      </w:r>
    </w:p>
    <w:p w14:paraId="54B9997E" w14:textId="77777777" w:rsidR="0046798B" w:rsidRDefault="00903B5C">
      <w:pPr>
        <w:pStyle w:val="BodyText"/>
        <w:spacing w:before="0" w:line="237" w:lineRule="auto"/>
        <w:ind w:left="620" w:right="1363"/>
      </w:pPr>
      <w:r>
        <w:t>The state UCR Program was unable to provide complete 1999 offense figures in accordance with UCR guidelines. To arrive at the 1999 estimate for Kansas, the 1998 state total supplied by the state UCR Program was updated using 1999 crime trends for the division in which Kansas is located.</w:t>
      </w:r>
    </w:p>
    <w:p w14:paraId="6F426B22" w14:textId="77777777" w:rsidR="0046798B" w:rsidRDefault="0046798B">
      <w:pPr>
        <w:spacing w:line="237" w:lineRule="auto"/>
        <w:sectPr w:rsidR="0046798B">
          <w:pgSz w:w="15840" w:h="12240" w:orient="landscape"/>
          <w:pgMar w:top="1220" w:right="300" w:bottom="980" w:left="820" w:header="730" w:footer="787" w:gutter="0"/>
          <w:cols w:space="720"/>
        </w:sectPr>
      </w:pPr>
    </w:p>
    <w:p w14:paraId="6214FAED" w14:textId="77777777" w:rsidR="0046798B" w:rsidRDefault="0046798B">
      <w:pPr>
        <w:pStyle w:val="BodyText"/>
        <w:spacing w:before="0"/>
        <w:rPr>
          <w:sz w:val="20"/>
        </w:rPr>
      </w:pPr>
    </w:p>
    <w:p w14:paraId="59EB2E70" w14:textId="77777777" w:rsidR="0046798B" w:rsidRDefault="0046798B">
      <w:pPr>
        <w:pStyle w:val="BodyText"/>
        <w:spacing w:before="1"/>
        <w:rPr>
          <w:sz w:val="22"/>
        </w:rPr>
      </w:pPr>
    </w:p>
    <w:p w14:paraId="2E615E72" w14:textId="77777777" w:rsidR="0046798B" w:rsidRDefault="00903B5C">
      <w:pPr>
        <w:pStyle w:val="BodyText"/>
        <w:spacing w:before="1"/>
        <w:ind w:left="620" w:right="1728"/>
      </w:pPr>
      <w:r>
        <w:t>The state UCR Program was unable to provide complete 2000 offense figures in accordance with UCR guidelines. To arrive at the 2000 estimate for Kansas, the 1999 state estimate was updated using 2000 crime trends for the West North Central Division.</w:t>
      </w:r>
    </w:p>
    <w:p w14:paraId="68711A7F" w14:textId="77777777" w:rsidR="0046798B" w:rsidRDefault="00903B5C">
      <w:pPr>
        <w:pStyle w:val="ListParagraph"/>
        <w:numPr>
          <w:ilvl w:val="1"/>
          <w:numId w:val="1"/>
        </w:numPr>
        <w:tabs>
          <w:tab w:val="left" w:pos="816"/>
        </w:tabs>
        <w:spacing w:before="1" w:line="206" w:lineRule="exact"/>
        <w:ind w:left="815"/>
        <w:rPr>
          <w:sz w:val="18"/>
        </w:rPr>
      </w:pPr>
      <w:r>
        <w:rPr>
          <w:sz w:val="18"/>
        </w:rPr>
        <w:t>Kentucky -</w:t>
      </w:r>
    </w:p>
    <w:p w14:paraId="5612673B" w14:textId="77777777" w:rsidR="0046798B" w:rsidRDefault="00903B5C">
      <w:pPr>
        <w:pStyle w:val="BodyText"/>
        <w:spacing w:before="0"/>
        <w:ind w:left="620" w:right="1382"/>
      </w:pPr>
      <w:r>
        <w:t>Reporting problems at the state resulted in no usable 1988 data. The state total was estimated by updating previous valid annual totals for individual jurisdictions, subdivided by population group. Percent changes for each offense within each population group of the geographic division in which the state resides was applied to the previous valid annual totals. The state total was compiled from the sums of the population group estimates.</w:t>
      </w:r>
    </w:p>
    <w:p w14:paraId="1B0F2E42" w14:textId="77777777" w:rsidR="0046798B" w:rsidRDefault="00903B5C">
      <w:pPr>
        <w:pStyle w:val="BodyText"/>
        <w:spacing w:before="0" w:line="242" w:lineRule="auto"/>
        <w:ind w:left="620" w:right="1583"/>
      </w:pPr>
      <w:r>
        <w:t>The state UCR Program was unable to provide complete 1996 offense figures in accordance with UCR guidelines. The 1995 and 1996 percent changes within the geographic division in which Kentucky is categorized were applied to the valid 1995 state total to generate the 1996 state total.</w:t>
      </w:r>
    </w:p>
    <w:p w14:paraId="306E5C11" w14:textId="77777777" w:rsidR="0046798B" w:rsidRDefault="00903B5C">
      <w:pPr>
        <w:pStyle w:val="BodyText"/>
        <w:spacing w:before="0" w:line="242" w:lineRule="auto"/>
        <w:ind w:left="620" w:right="1583"/>
      </w:pPr>
      <w:r>
        <w:t>The state UCR Program was unable to provide complete 1997 offense figures in accordance with UCR guidelines. The 1996 and 1997 percent changes within the geographic division in which Kentucky is categorized were applied to the valid 1996 state total to effect the 1997 state total.</w:t>
      </w:r>
    </w:p>
    <w:p w14:paraId="14CEB399" w14:textId="77777777" w:rsidR="0046798B" w:rsidRDefault="00903B5C">
      <w:pPr>
        <w:pStyle w:val="BodyText"/>
        <w:spacing w:before="0"/>
        <w:ind w:left="620" w:right="1234"/>
      </w:pPr>
      <w:r>
        <w:t>The state UCR Program was unable to provide complete 1998 offense figures in accordance with UCR guidelines. The state total was estimated by using 1997 figures for the nonreporting areas and applying 1997 versus 1998 percentage changes for the division in which Kentucky is located. The estimates for the nonreporting areas were then increased by any actual 1998 crime counts received.</w:t>
      </w:r>
    </w:p>
    <w:p w14:paraId="58CCA9A1" w14:textId="77777777" w:rsidR="0046798B" w:rsidRDefault="00903B5C">
      <w:pPr>
        <w:pStyle w:val="BodyText"/>
        <w:spacing w:before="0" w:line="242" w:lineRule="auto"/>
        <w:ind w:left="620" w:right="1183"/>
      </w:pPr>
      <w:r>
        <w:t>The state UCR Program was unable to provide complete 1999 offense figures in accordance with UCR guidelines. To arrive at the 1999 estimate for Kentucky, the 1998 state total supplied by the state UCR Program was updated using 1999 crime trends for the division in which Kentucky is located.</w:t>
      </w:r>
    </w:p>
    <w:p w14:paraId="3E947668" w14:textId="77777777" w:rsidR="0046798B" w:rsidRDefault="00903B5C">
      <w:pPr>
        <w:pStyle w:val="BodyText"/>
        <w:spacing w:before="0" w:line="237" w:lineRule="auto"/>
        <w:ind w:left="620" w:right="1183"/>
      </w:pPr>
      <w:r>
        <w:t>The state UCR Program was unable to provide complete 2000 offense figures in accordance with UCR guidelines. To arrive at the 2000 estimate for Kentucky, the 1999 state total supplied by the state UCR Program was updated using 2000 crime trends for the division in which Kentucky is located.</w:t>
      </w:r>
    </w:p>
    <w:p w14:paraId="608F435A" w14:textId="77777777" w:rsidR="0046798B" w:rsidRDefault="00903B5C">
      <w:pPr>
        <w:pStyle w:val="BodyText"/>
        <w:spacing w:before="0"/>
        <w:ind w:left="620" w:right="1548"/>
      </w:pPr>
      <w:r>
        <w:t>The state UCR Program was unable to provide complete 2001 offense figures in accordance with UCR guidelines. To arrive at the 2001 estimate for Kentucky, the 2000 state estimate was updated using 2001 crime trends reported for the East South Central Division.</w:t>
      </w:r>
    </w:p>
    <w:p w14:paraId="7317D026" w14:textId="77777777" w:rsidR="0046798B" w:rsidRDefault="00903B5C">
      <w:pPr>
        <w:pStyle w:val="BodyText"/>
        <w:spacing w:before="0"/>
        <w:ind w:left="620" w:right="1153"/>
      </w:pPr>
      <w:r>
        <w:t>The state UCR Program was unable to provide complete 2002 offense figures in accordance with UCR guidelines. To obtain the 2002 state crime count, the FBI contacted the state UCR Program, and the state agency was able to provide their latest state total, 2000. Therefore, the 2001 state estimate was updated for inclusion in the 2002 edition of Crime in the United States by using the 2001 crime trends for the division in which the state is located. To derive the 2002 state estimate, the 2002 crime trends for the division were applied to the adjusted 2001 state estimate.</w:t>
      </w:r>
    </w:p>
    <w:p w14:paraId="739936B1" w14:textId="77777777" w:rsidR="0046798B" w:rsidRDefault="00903B5C">
      <w:pPr>
        <w:pStyle w:val="BodyText"/>
        <w:spacing w:before="0"/>
        <w:ind w:left="620" w:right="1187"/>
      </w:pPr>
      <w:r>
        <w:t>The state UCR Program was unable to provide complete 2003 offense figures in accordance with UCR guidelines. To obtain the 2003 estimate, the 2003 crime trend for the East South Central Division was applied to an adjusted 2002 state estimate. The 2002 state count was reestimated by applying the 2002 crime trend for the East South Central Division using a more current figure, 2001 state totals, provided by the state UCR Program. The adjusted 2002 estimate differs from the figure published in the 2002 edition of Crime in the United States which was originally estimated using 2002 state totals</w:t>
      </w:r>
    </w:p>
    <w:p w14:paraId="57D40BED" w14:textId="77777777" w:rsidR="0046798B" w:rsidRDefault="00903B5C">
      <w:pPr>
        <w:pStyle w:val="ListParagraph"/>
        <w:numPr>
          <w:ilvl w:val="1"/>
          <w:numId w:val="1"/>
        </w:numPr>
        <w:tabs>
          <w:tab w:val="left" w:pos="816"/>
        </w:tabs>
        <w:ind w:right="1330" w:firstLine="90"/>
        <w:jc w:val="both"/>
        <w:rPr>
          <w:sz w:val="18"/>
        </w:rPr>
      </w:pPr>
      <w:r>
        <w:rPr>
          <w:sz w:val="18"/>
        </w:rPr>
        <w:t>Maine - The state UCR Program was unable to provide complete 1999 offense figures in accordance with UCR guidelines. The Maine Department of Public Safety forwarded monthly January through October crime counts for each law enforcement contributor; since 12 months of data were not received, the national Program estimated for the missing data following standard estimation procedures to arrive at a 1999 state total.</w:t>
      </w:r>
    </w:p>
    <w:p w14:paraId="7CDA6507" w14:textId="77777777" w:rsidR="0046798B" w:rsidRDefault="00903B5C">
      <w:pPr>
        <w:pStyle w:val="ListParagraph"/>
        <w:numPr>
          <w:ilvl w:val="1"/>
          <w:numId w:val="1"/>
        </w:numPr>
        <w:tabs>
          <w:tab w:val="left" w:pos="816"/>
        </w:tabs>
        <w:ind w:right="1169" w:firstLine="90"/>
        <w:rPr>
          <w:sz w:val="18"/>
        </w:rPr>
      </w:pPr>
      <w:r>
        <w:rPr>
          <w:sz w:val="18"/>
        </w:rPr>
        <w:t>Michigan - The state UCR Program was unable to provide 1993 forcible rape figures in accordance with UCR guidelines. The rape totals were estimated using national rates per 100,000 inhabitants within the eight population groups and assigning the forcible rape volumes proportionally to the state.</w:t>
      </w:r>
    </w:p>
    <w:p w14:paraId="6162A6E4" w14:textId="77777777" w:rsidR="0046798B" w:rsidRDefault="00903B5C">
      <w:pPr>
        <w:pStyle w:val="ListParagraph"/>
        <w:numPr>
          <w:ilvl w:val="1"/>
          <w:numId w:val="1"/>
        </w:numPr>
        <w:tabs>
          <w:tab w:val="left" w:pos="816"/>
        </w:tabs>
        <w:spacing w:line="206" w:lineRule="exact"/>
        <w:ind w:left="815"/>
        <w:rPr>
          <w:sz w:val="18"/>
        </w:rPr>
      </w:pPr>
      <w:r>
        <w:rPr>
          <w:sz w:val="18"/>
        </w:rPr>
        <w:t>Minnesota -</w:t>
      </w:r>
    </w:p>
    <w:p w14:paraId="20A961A8" w14:textId="77777777" w:rsidR="0046798B" w:rsidRDefault="00903B5C">
      <w:pPr>
        <w:pStyle w:val="BodyText"/>
        <w:spacing w:before="0"/>
        <w:ind w:left="620" w:right="1148"/>
      </w:pPr>
      <w:r>
        <w:t>All agencies 1993 and 2005-Present (with the exception of Minneapolis and St. Paul) - The data collection methodology for the offense of forcible rape used by the State Uniform Crime Reporting (UCR) Program does not comply with national UCR Program guidelines. Consequently, their figures for forcible rape and violent crime (of which forcible rape is part) are not included in this tool..</w:t>
      </w:r>
    </w:p>
    <w:p w14:paraId="1D1421EE" w14:textId="77777777" w:rsidR="0046798B" w:rsidRDefault="00903B5C">
      <w:pPr>
        <w:pStyle w:val="ListParagraph"/>
        <w:numPr>
          <w:ilvl w:val="1"/>
          <w:numId w:val="1"/>
        </w:numPr>
        <w:tabs>
          <w:tab w:val="left" w:pos="816"/>
        </w:tabs>
        <w:spacing w:line="207" w:lineRule="exact"/>
        <w:ind w:left="815"/>
        <w:rPr>
          <w:sz w:val="18"/>
        </w:rPr>
      </w:pPr>
      <w:r>
        <w:rPr>
          <w:sz w:val="18"/>
        </w:rPr>
        <w:t>Montana</w:t>
      </w:r>
      <w:r>
        <w:rPr>
          <w:spacing w:val="-1"/>
          <w:sz w:val="18"/>
        </w:rPr>
        <w:t xml:space="preserve"> </w:t>
      </w:r>
      <w:r>
        <w:rPr>
          <w:sz w:val="18"/>
        </w:rPr>
        <w:t>-</w:t>
      </w:r>
    </w:p>
    <w:p w14:paraId="28666E45" w14:textId="77777777" w:rsidR="0046798B" w:rsidRDefault="00903B5C">
      <w:pPr>
        <w:pStyle w:val="BodyText"/>
        <w:spacing w:before="0"/>
        <w:ind w:left="620" w:right="1373"/>
      </w:pPr>
      <w:r>
        <w:t>The state UCR Program was unable to provide complete 1994 offense figures in accordance with UCR guidelines. State totals were estimated by updating previous valid annual totals for individual jurisdictions, subdivided by population group. Percent changes for each offense within each population group of the Mountain Division were applied to the previous valid annual totals. The state totals were compiled from the sums of the population group estimates.</w:t>
      </w:r>
    </w:p>
    <w:p w14:paraId="7CA1197D" w14:textId="77777777" w:rsidR="0046798B" w:rsidRDefault="00903B5C">
      <w:pPr>
        <w:pStyle w:val="BodyText"/>
        <w:spacing w:before="0"/>
        <w:ind w:left="620" w:right="1333"/>
      </w:pPr>
      <w:r>
        <w:t>The state UCR Program was unable to provide complete 1995 offense figures in accordance with UCR guidelines. State estimates were computed by updating the previous valid annual totals using the 1994 versus 1995 percent changes for the Mountain Division.</w:t>
      </w:r>
    </w:p>
    <w:p w14:paraId="4B5BDB1A" w14:textId="77777777" w:rsidR="0046798B" w:rsidRDefault="00903B5C">
      <w:pPr>
        <w:pStyle w:val="BodyText"/>
        <w:spacing w:before="0"/>
        <w:ind w:left="620" w:right="1583"/>
      </w:pPr>
      <w:r>
        <w:t>The state UCR Program was unable to provide complete 1996 offense figures in accordance with UCR guidelines. The 1995 and 1996 percent changes within the geographic division in which Montana is categorized were applied to the valid 1995 state total to generate the 1996 state total.</w:t>
      </w:r>
    </w:p>
    <w:p w14:paraId="1DF156AE" w14:textId="77777777" w:rsidR="0046798B" w:rsidRDefault="0046798B">
      <w:pPr>
        <w:sectPr w:rsidR="0046798B">
          <w:pgSz w:w="15840" w:h="12240" w:orient="landscape"/>
          <w:pgMar w:top="1220" w:right="300" w:bottom="980" w:left="820" w:header="730" w:footer="787" w:gutter="0"/>
          <w:cols w:space="720"/>
        </w:sectPr>
      </w:pPr>
    </w:p>
    <w:p w14:paraId="4E9709B5" w14:textId="77777777" w:rsidR="0046798B" w:rsidRDefault="0046798B">
      <w:pPr>
        <w:pStyle w:val="BodyText"/>
        <w:spacing w:before="0"/>
        <w:rPr>
          <w:sz w:val="20"/>
        </w:rPr>
      </w:pPr>
    </w:p>
    <w:p w14:paraId="135C3CF3" w14:textId="77777777" w:rsidR="0046798B" w:rsidRDefault="0046798B">
      <w:pPr>
        <w:pStyle w:val="BodyText"/>
        <w:spacing w:before="1"/>
        <w:rPr>
          <w:sz w:val="22"/>
        </w:rPr>
      </w:pPr>
    </w:p>
    <w:p w14:paraId="549AE1BC" w14:textId="77777777" w:rsidR="0046798B" w:rsidRDefault="00903B5C">
      <w:pPr>
        <w:pStyle w:val="BodyText"/>
        <w:spacing w:before="1"/>
        <w:ind w:left="620" w:right="1583"/>
      </w:pPr>
      <w:r>
        <w:t>The state UCR Program was unable to provide complete 1997 offense figures in accordance with UCR guidelines. The 1996 and 1997 percent changes within the geographic division in which Montana is categorized were applied to the valid 1996 state total to effect the 1997 state total.</w:t>
      </w:r>
    </w:p>
    <w:p w14:paraId="54D2D09F" w14:textId="77777777" w:rsidR="0046798B" w:rsidRDefault="00903B5C">
      <w:pPr>
        <w:pStyle w:val="BodyText"/>
        <w:spacing w:before="1"/>
        <w:ind w:left="620" w:right="1294"/>
      </w:pPr>
      <w:r>
        <w:t>The state UCR Program was unable to provide complete 1998 offense figures in accordance with UCR guidelines. The state total was estimated by using 1997 figures for the nonreporting areas and applying 1997 versus 1998 percentage changes for the division in which Montana is located. The estimates for the nonreporting areas were then increased by any actual 1998 crime counts received.</w:t>
      </w:r>
    </w:p>
    <w:p w14:paraId="369A501C" w14:textId="77777777" w:rsidR="0046798B" w:rsidRDefault="00903B5C">
      <w:pPr>
        <w:pStyle w:val="BodyText"/>
        <w:spacing w:before="0"/>
        <w:ind w:left="620" w:right="1243"/>
      </w:pPr>
      <w:r>
        <w:t>The state UCR Program was unable to provide complete 1999 offense figures in accordance with UCR guidelines. To arrive at the 1999 estimate for Montana, the 1998 state total supplied by the state UCR Program was updated using 1999 crime trends for the division in which Montana is located.</w:t>
      </w:r>
    </w:p>
    <w:p w14:paraId="59000EAC" w14:textId="77777777" w:rsidR="0046798B" w:rsidRDefault="00903B5C">
      <w:pPr>
        <w:pStyle w:val="BodyText"/>
        <w:spacing w:before="0"/>
        <w:ind w:left="620" w:right="1243"/>
      </w:pPr>
      <w:r>
        <w:t>The state UCR Program was unable to provide complete 2000 offense figures in accordance with UCR guidelines. To arrive at the 2000 estimate for Montana, the 1999 state total supplied by the state UCR Program was updated using 2000 crime trends for the division in which Montana is located.</w:t>
      </w:r>
    </w:p>
    <w:p w14:paraId="723FC7C7" w14:textId="77777777" w:rsidR="0046798B" w:rsidRDefault="00903B5C">
      <w:pPr>
        <w:pStyle w:val="ListParagraph"/>
        <w:numPr>
          <w:ilvl w:val="1"/>
          <w:numId w:val="1"/>
        </w:numPr>
        <w:tabs>
          <w:tab w:val="left" w:pos="816"/>
        </w:tabs>
        <w:spacing w:before="1" w:line="206" w:lineRule="exact"/>
        <w:ind w:left="815"/>
        <w:rPr>
          <w:sz w:val="18"/>
        </w:rPr>
      </w:pPr>
      <w:r>
        <w:rPr>
          <w:sz w:val="18"/>
        </w:rPr>
        <w:t>New Hampshire</w:t>
      </w:r>
      <w:r>
        <w:rPr>
          <w:spacing w:val="-1"/>
          <w:sz w:val="18"/>
        </w:rPr>
        <w:t xml:space="preserve"> </w:t>
      </w:r>
      <w:r>
        <w:rPr>
          <w:sz w:val="18"/>
        </w:rPr>
        <w:t>-</w:t>
      </w:r>
    </w:p>
    <w:p w14:paraId="13E021B2" w14:textId="77777777" w:rsidR="0046798B" w:rsidRDefault="00903B5C">
      <w:pPr>
        <w:pStyle w:val="BodyText"/>
        <w:spacing w:before="0"/>
        <w:ind w:left="620" w:right="1583"/>
      </w:pPr>
      <w:r>
        <w:t>The state UCR Program was unable to provide complete 1997 offense figures in accordance with UCR guidelines. The 1996 and 1997 percent changes within the geographic division in which New Hampshire is categorized were applied to the valid 1996 state total to effect the 1997 state total.</w:t>
      </w:r>
    </w:p>
    <w:p w14:paraId="18795BA5" w14:textId="77777777" w:rsidR="0046798B" w:rsidRDefault="00903B5C">
      <w:pPr>
        <w:pStyle w:val="BodyText"/>
        <w:spacing w:before="1"/>
        <w:ind w:left="620" w:right="1483"/>
      </w:pPr>
      <w:r>
        <w:t>The state UCR Program was unable to provide complete 1998 offense figures in accordance with UCR guidelines. The state total was estimated by using 1997 figures for the nonreporting areas and applying 1997 versus 1998 percentage changes for the division in which New Hampshire is located. The estimates for the nonreporting areas were then increased by any actual 1998 crime counts received.</w:t>
      </w:r>
    </w:p>
    <w:p w14:paraId="02BD8257" w14:textId="77777777" w:rsidR="0046798B" w:rsidRDefault="00903B5C">
      <w:pPr>
        <w:pStyle w:val="BodyText"/>
        <w:spacing w:before="0"/>
        <w:ind w:left="620" w:right="1313"/>
      </w:pPr>
      <w:r>
        <w:t>The state UCR Program was unable to provide complete 1999 offense figures in accordance with UCR guidelines. The state total for New Hampshire was estimated by using the 1998 figures for the 1999 nonreporting areas and applying the 2-year percent change for the New England Division.</w:t>
      </w:r>
    </w:p>
    <w:p w14:paraId="3B3DFC54" w14:textId="77777777" w:rsidR="0046798B" w:rsidRDefault="00903B5C">
      <w:pPr>
        <w:pStyle w:val="ListParagraph"/>
        <w:numPr>
          <w:ilvl w:val="1"/>
          <w:numId w:val="1"/>
        </w:numPr>
        <w:tabs>
          <w:tab w:val="left" w:pos="816"/>
        </w:tabs>
        <w:spacing w:line="206" w:lineRule="exact"/>
        <w:ind w:left="815"/>
        <w:rPr>
          <w:sz w:val="18"/>
        </w:rPr>
      </w:pPr>
      <w:r>
        <w:rPr>
          <w:sz w:val="18"/>
        </w:rPr>
        <w:t>Oklahoma - For 1995, the increase in murders was the result of the bombing of the Alfred P. Murrah Federal Building in Oklahoma</w:t>
      </w:r>
      <w:r>
        <w:rPr>
          <w:spacing w:val="-29"/>
          <w:sz w:val="18"/>
        </w:rPr>
        <w:t xml:space="preserve"> </w:t>
      </w:r>
      <w:r>
        <w:rPr>
          <w:sz w:val="18"/>
        </w:rPr>
        <w:t>City.</w:t>
      </w:r>
    </w:p>
    <w:p w14:paraId="5405E940" w14:textId="77777777" w:rsidR="0046798B" w:rsidRDefault="00903B5C">
      <w:pPr>
        <w:pStyle w:val="ListParagraph"/>
        <w:numPr>
          <w:ilvl w:val="1"/>
          <w:numId w:val="1"/>
        </w:numPr>
        <w:tabs>
          <w:tab w:val="left" w:pos="816"/>
        </w:tabs>
        <w:spacing w:line="206" w:lineRule="exact"/>
        <w:ind w:left="815"/>
        <w:rPr>
          <w:sz w:val="18"/>
        </w:rPr>
      </w:pPr>
      <w:r>
        <w:rPr>
          <w:sz w:val="18"/>
        </w:rPr>
        <w:t>Pennsylvania - Since complete 1995 data were not available from Pennsylvania, standard estimation procedures were applied to derive the 1995 state</w:t>
      </w:r>
      <w:r>
        <w:rPr>
          <w:spacing w:val="-8"/>
          <w:sz w:val="18"/>
        </w:rPr>
        <w:t xml:space="preserve"> </w:t>
      </w:r>
      <w:r>
        <w:rPr>
          <w:sz w:val="18"/>
        </w:rPr>
        <w:t>estimate.</w:t>
      </w:r>
    </w:p>
    <w:p w14:paraId="01D218B7" w14:textId="77777777" w:rsidR="0046798B" w:rsidRDefault="00903B5C">
      <w:pPr>
        <w:pStyle w:val="ListParagraph"/>
        <w:numPr>
          <w:ilvl w:val="1"/>
          <w:numId w:val="1"/>
        </w:numPr>
        <w:tabs>
          <w:tab w:val="left" w:pos="816"/>
        </w:tabs>
        <w:spacing w:before="3"/>
        <w:ind w:right="1453" w:firstLine="90"/>
        <w:rPr>
          <w:sz w:val="18"/>
        </w:rPr>
      </w:pPr>
      <w:r>
        <w:rPr>
          <w:sz w:val="18"/>
        </w:rPr>
        <w:t>Vermont - The state UCR Program was unable to provide complete 1997 offense figures in accordance with UCR guidelines. The 1996 and 1997 percent changes within the geographic division in which Vermont is categorized were applied to the valid 1996 state total to effect the 1997 state total.</w:t>
      </w:r>
    </w:p>
    <w:p w14:paraId="740ADD80" w14:textId="77777777" w:rsidR="0046798B" w:rsidRDefault="00903B5C">
      <w:pPr>
        <w:pStyle w:val="ListParagraph"/>
        <w:numPr>
          <w:ilvl w:val="1"/>
          <w:numId w:val="1"/>
        </w:numPr>
        <w:tabs>
          <w:tab w:val="left" w:pos="816"/>
        </w:tabs>
        <w:ind w:right="1199" w:firstLine="90"/>
        <w:rPr>
          <w:sz w:val="18"/>
        </w:rPr>
      </w:pPr>
      <w:r>
        <w:rPr>
          <w:sz w:val="18"/>
        </w:rPr>
        <w:t>Wisconsin - The state UCR Program was unable to provide complete 1998 offense figures in accordance with UCR guidelines. The state total was estimated by using 1997 figures for the nonreporting areas and applying 1997 versus 1998 percentage changes for the division in which Wisconsin is located. The estimates for the nonreporting areas were then increased by any actual 1998 crime counts</w:t>
      </w:r>
      <w:r>
        <w:rPr>
          <w:spacing w:val="-2"/>
          <w:sz w:val="18"/>
        </w:rPr>
        <w:t xml:space="preserve"> </w:t>
      </w:r>
      <w:r>
        <w:rPr>
          <w:sz w:val="18"/>
        </w:rPr>
        <w:t>received.</w:t>
      </w:r>
    </w:p>
    <w:p w14:paraId="5FE05A1B" w14:textId="77777777" w:rsidR="0046798B" w:rsidRDefault="00903B5C">
      <w:pPr>
        <w:pStyle w:val="ListParagraph"/>
        <w:numPr>
          <w:ilvl w:val="1"/>
          <w:numId w:val="1"/>
        </w:numPr>
        <w:tabs>
          <w:tab w:val="left" w:pos="816"/>
        </w:tabs>
        <w:spacing w:before="1" w:line="206" w:lineRule="exact"/>
        <w:ind w:left="815"/>
        <w:rPr>
          <w:sz w:val="18"/>
        </w:rPr>
      </w:pPr>
      <w:r>
        <w:rPr>
          <w:sz w:val="18"/>
        </w:rPr>
        <w:t>The murder and nonnegligent homicides that occurred as a result of the events of September 11, 2001, are not</w:t>
      </w:r>
      <w:r>
        <w:rPr>
          <w:spacing w:val="-3"/>
          <w:sz w:val="18"/>
        </w:rPr>
        <w:t xml:space="preserve"> </w:t>
      </w:r>
      <w:r>
        <w:rPr>
          <w:sz w:val="18"/>
        </w:rPr>
        <w:t>included."</w:t>
      </w:r>
    </w:p>
    <w:p w14:paraId="3CEDB039" w14:textId="77777777" w:rsidR="0046798B" w:rsidRDefault="00903B5C">
      <w:pPr>
        <w:pStyle w:val="BodyText"/>
        <w:spacing w:before="0" w:line="205" w:lineRule="exact"/>
        <w:ind w:left="620"/>
      </w:pPr>
      <w:r>
        <w:rPr>
          <w:sz w:val="12"/>
        </w:rPr>
        <w:t xml:space="preserve">x </w:t>
      </w:r>
      <w:r>
        <w:t>"Notes: National or state offense totals are based on data from all reporting agencies and estimates for unreported areas.</w:t>
      </w:r>
    </w:p>
    <w:p w14:paraId="058E6290" w14:textId="77777777" w:rsidR="0046798B" w:rsidRDefault="00903B5C">
      <w:pPr>
        <w:pStyle w:val="ListParagraph"/>
        <w:numPr>
          <w:ilvl w:val="1"/>
          <w:numId w:val="1"/>
        </w:numPr>
        <w:tabs>
          <w:tab w:val="left" w:pos="816"/>
        </w:tabs>
        <w:spacing w:line="206" w:lineRule="exact"/>
        <w:ind w:left="815"/>
        <w:rPr>
          <w:sz w:val="18"/>
        </w:rPr>
      </w:pPr>
      <w:r>
        <w:rPr>
          <w:sz w:val="18"/>
        </w:rPr>
        <w:t>Delaware -</w:t>
      </w:r>
    </w:p>
    <w:p w14:paraId="4267D859" w14:textId="77777777" w:rsidR="0046798B" w:rsidRDefault="00903B5C">
      <w:pPr>
        <w:pStyle w:val="BodyText"/>
        <w:spacing w:before="3" w:line="206" w:lineRule="exact"/>
        <w:ind w:left="620"/>
      </w:pPr>
      <w:r>
        <w:t>Since complete 1995 data were not available from Delaware, standard estimation procedures were applied to derive the 1995 state estimate.</w:t>
      </w:r>
    </w:p>
    <w:p w14:paraId="24E3A45A" w14:textId="77777777" w:rsidR="0046798B" w:rsidRDefault="00903B5C">
      <w:pPr>
        <w:pStyle w:val="BodyText"/>
        <w:spacing w:before="0"/>
        <w:ind w:left="620" w:right="1204"/>
      </w:pPr>
      <w:r>
        <w:t>The state UCR Program was unable to provide 1998 forcible rape figures in accordance with national UCR guidelines. The 1998 forcible rape total for Delaware was estimated by reducing the number of reported offenses by the proportion of male forcible rape victims statewide.</w:t>
      </w:r>
    </w:p>
    <w:p w14:paraId="4C24D840" w14:textId="77777777" w:rsidR="0046798B" w:rsidRDefault="00903B5C">
      <w:pPr>
        <w:pStyle w:val="ListParagraph"/>
        <w:numPr>
          <w:ilvl w:val="1"/>
          <w:numId w:val="1"/>
        </w:numPr>
        <w:tabs>
          <w:tab w:val="left" w:pos="816"/>
        </w:tabs>
        <w:spacing w:line="206" w:lineRule="exact"/>
        <w:ind w:left="815"/>
        <w:rPr>
          <w:sz w:val="18"/>
        </w:rPr>
      </w:pPr>
      <w:r>
        <w:rPr>
          <w:sz w:val="18"/>
        </w:rPr>
        <w:t>District of Columbia - 1999-2008 District of Columbia data include reports from the Zoological Police; 2002-2008 data include reports from the Metro Transit</w:t>
      </w:r>
      <w:r>
        <w:rPr>
          <w:spacing w:val="-23"/>
          <w:sz w:val="18"/>
        </w:rPr>
        <w:t xml:space="preserve"> </w:t>
      </w:r>
      <w:r>
        <w:rPr>
          <w:sz w:val="18"/>
        </w:rPr>
        <w:t>Police.</w:t>
      </w:r>
    </w:p>
    <w:p w14:paraId="3C88FAFF" w14:textId="77777777" w:rsidR="0046798B" w:rsidRDefault="00903B5C">
      <w:pPr>
        <w:pStyle w:val="ListParagraph"/>
        <w:numPr>
          <w:ilvl w:val="1"/>
          <w:numId w:val="1"/>
        </w:numPr>
        <w:tabs>
          <w:tab w:val="left" w:pos="816"/>
        </w:tabs>
        <w:spacing w:line="206" w:lineRule="exact"/>
        <w:ind w:left="815"/>
        <w:rPr>
          <w:sz w:val="18"/>
        </w:rPr>
      </w:pPr>
      <w:r>
        <w:rPr>
          <w:sz w:val="18"/>
        </w:rPr>
        <w:t>Florida</w:t>
      </w:r>
      <w:r>
        <w:rPr>
          <w:spacing w:val="-1"/>
          <w:sz w:val="18"/>
        </w:rPr>
        <w:t xml:space="preserve"> </w:t>
      </w:r>
      <w:r>
        <w:rPr>
          <w:sz w:val="18"/>
        </w:rPr>
        <w:t>-</w:t>
      </w:r>
    </w:p>
    <w:p w14:paraId="6E11EA1E" w14:textId="77777777" w:rsidR="0046798B" w:rsidRDefault="00903B5C">
      <w:pPr>
        <w:pStyle w:val="BodyText"/>
        <w:spacing w:before="3"/>
        <w:ind w:left="620" w:right="1382"/>
      </w:pPr>
      <w:r>
        <w:t>Reporting problems at the state resulted in no usable 1988 data. The state total was estimated by updating previous valid annual totals for individual jurisdictions, subdivided by population group. Percent changes for each offense within each population group of the geographic division in which the state resides was applied to the previous valid annual totals. The state total was compiled from the sums of the population group estimates.</w:t>
      </w:r>
    </w:p>
    <w:p w14:paraId="404F66CD" w14:textId="77777777" w:rsidR="0046798B" w:rsidRDefault="00903B5C">
      <w:pPr>
        <w:pStyle w:val="BodyText"/>
        <w:spacing w:before="0"/>
        <w:ind w:left="620" w:right="1183"/>
      </w:pPr>
      <w:r>
        <w:t>The state UCR Program was unable to provide complete 1996 offense figures in accordance with UCR guidelines. The state UCR Program was able to provide an aggregated state total and data were received from 94 individual Florida agencies.</w:t>
      </w:r>
    </w:p>
    <w:p w14:paraId="4127A183" w14:textId="77777777" w:rsidR="0046798B" w:rsidRDefault="00903B5C">
      <w:pPr>
        <w:pStyle w:val="ListParagraph"/>
        <w:numPr>
          <w:ilvl w:val="1"/>
          <w:numId w:val="1"/>
        </w:numPr>
        <w:tabs>
          <w:tab w:val="left" w:pos="816"/>
        </w:tabs>
        <w:spacing w:line="206" w:lineRule="exact"/>
        <w:ind w:left="815"/>
        <w:rPr>
          <w:sz w:val="18"/>
        </w:rPr>
      </w:pPr>
      <w:r>
        <w:rPr>
          <w:sz w:val="18"/>
        </w:rPr>
        <w:t>Illinois</w:t>
      </w:r>
      <w:r>
        <w:rPr>
          <w:spacing w:val="-1"/>
          <w:sz w:val="18"/>
        </w:rPr>
        <w:t xml:space="preserve"> </w:t>
      </w:r>
      <w:r>
        <w:rPr>
          <w:sz w:val="18"/>
        </w:rPr>
        <w:t>-</w:t>
      </w:r>
    </w:p>
    <w:p w14:paraId="286BECAB" w14:textId="77777777" w:rsidR="0046798B" w:rsidRDefault="00903B5C">
      <w:pPr>
        <w:pStyle w:val="BodyText"/>
        <w:spacing w:before="0"/>
        <w:ind w:left="620" w:right="1252"/>
      </w:pPr>
      <w:r>
        <w:t>The state UCR Program was unable to provide 1985-current forcible rape figures in accordance with national UCR Program guidelines. The rape totals were estimated using national rates per 100,000 inhabitants within the eight population groups and assigning the forcible rape volumes proportionally to the state. Rockford, Illinois, has provided valid forcible rape counts as of 2006.</w:t>
      </w:r>
    </w:p>
    <w:p w14:paraId="4F6319F0" w14:textId="77777777" w:rsidR="0046798B" w:rsidRDefault="00903B5C">
      <w:pPr>
        <w:pStyle w:val="BodyText"/>
        <w:spacing w:before="0"/>
        <w:ind w:left="620" w:right="1304"/>
      </w:pPr>
      <w:r>
        <w:t>For 1993 state NIBRS conversion efforts resulted in estimation for Illinois. Since valid annual totals were available for approximately 60 Illinois agencies, those counts were maintained. The counts for the remaining jurisdictions were replaced with the most recent valid annual totals or were generated using standard estimation procedures. The results of all sources were then combined to arrive at the 1993 state total for Illinois.</w:t>
      </w:r>
    </w:p>
    <w:p w14:paraId="27E6E069" w14:textId="77777777" w:rsidR="0046798B" w:rsidRDefault="0046798B">
      <w:pPr>
        <w:sectPr w:rsidR="0046798B">
          <w:pgSz w:w="15840" w:h="12240" w:orient="landscape"/>
          <w:pgMar w:top="1220" w:right="300" w:bottom="980" w:left="820" w:header="730" w:footer="787" w:gutter="0"/>
          <w:cols w:space="720"/>
        </w:sectPr>
      </w:pPr>
    </w:p>
    <w:p w14:paraId="5F3BD5EA" w14:textId="77777777" w:rsidR="0046798B" w:rsidRDefault="0046798B">
      <w:pPr>
        <w:pStyle w:val="BodyText"/>
        <w:spacing w:before="0"/>
        <w:rPr>
          <w:sz w:val="20"/>
        </w:rPr>
      </w:pPr>
    </w:p>
    <w:p w14:paraId="158A4D93" w14:textId="77777777" w:rsidR="0046798B" w:rsidRDefault="0046798B">
      <w:pPr>
        <w:pStyle w:val="BodyText"/>
        <w:spacing w:before="1"/>
        <w:rPr>
          <w:sz w:val="22"/>
        </w:rPr>
      </w:pPr>
    </w:p>
    <w:p w14:paraId="75CEB287" w14:textId="77777777" w:rsidR="0046798B" w:rsidRDefault="00903B5C">
      <w:pPr>
        <w:pStyle w:val="BodyText"/>
        <w:spacing w:before="1"/>
        <w:ind w:left="620" w:right="1612"/>
      </w:pPr>
      <w:r>
        <w:t>For 1994 state NIBRS conversion efforts resulted in estimation for Illinois. Illinois totals were generated using only the valid crime rates for the East North Central Division. Within each population group, the state's offense totals were estimated based on the rate per 100,000 inhabitants within the remainder of the division.</w:t>
      </w:r>
    </w:p>
    <w:p w14:paraId="15A3D2BE" w14:textId="77777777" w:rsidR="0046798B" w:rsidRDefault="00903B5C">
      <w:pPr>
        <w:pStyle w:val="BodyText"/>
        <w:spacing w:before="1"/>
        <w:ind w:left="620" w:right="1278"/>
      </w:pPr>
      <w:r>
        <w:t>For 1996-current, the state UCR Program was unable to provide complete offense figures in accordance with UCR guidelines. Valid Part I counts were available for most of the largest cities (100,000 and over in population). For other agencies, the only available counts generated by the Illinois State Program were state totals based upon an incident-level system without indication of multiple offenses recorded within single incidents. Therefore, the UCR Hierarchy Rule could not be applied in order to convert the state's data to Summary Reporting System data. (The Hierarchy Rule requires that only the most serious offense in a multiple-offense criminal incident is counted.) To arrive at a comparable state estimate to be included in national compilations, the Illinois State Program's state totals (which were inflated because of the nonapplication of the Hierarchy Rule) were reduced by the proportion of multiple offenses reported within single incidents in the NIBRS database. Valid totals for the large cities were excluded from the reduction process.</w:t>
      </w:r>
    </w:p>
    <w:p w14:paraId="48D87380" w14:textId="77777777" w:rsidR="0046798B" w:rsidRDefault="00903B5C">
      <w:pPr>
        <w:pStyle w:val="ListParagraph"/>
        <w:numPr>
          <w:ilvl w:val="1"/>
          <w:numId w:val="1"/>
        </w:numPr>
        <w:tabs>
          <w:tab w:val="left" w:pos="816"/>
        </w:tabs>
        <w:ind w:right="1584" w:firstLine="90"/>
        <w:rPr>
          <w:sz w:val="18"/>
        </w:rPr>
      </w:pPr>
      <w:r>
        <w:rPr>
          <w:sz w:val="18"/>
        </w:rPr>
        <w:t>Iowa - NIBRS conversion efforts resulted in estimation for Iowa in 1991. State totals were estimated by updating previous valid annual totals for individual jurisdictions, subdivided by population group. Percent changes for each offense within each population group of the West North Central Division were applied to the previous valid annual totals. The state totals were compiled from the sums of the population group</w:t>
      </w:r>
      <w:r>
        <w:rPr>
          <w:spacing w:val="-15"/>
          <w:sz w:val="18"/>
        </w:rPr>
        <w:t xml:space="preserve"> </w:t>
      </w:r>
      <w:r>
        <w:rPr>
          <w:sz w:val="18"/>
        </w:rPr>
        <w:t>estimates.</w:t>
      </w:r>
    </w:p>
    <w:p w14:paraId="32D3E359" w14:textId="77777777" w:rsidR="0046798B" w:rsidRDefault="00903B5C">
      <w:pPr>
        <w:pStyle w:val="ListParagraph"/>
        <w:numPr>
          <w:ilvl w:val="1"/>
          <w:numId w:val="1"/>
        </w:numPr>
        <w:tabs>
          <w:tab w:val="left" w:pos="816"/>
        </w:tabs>
        <w:spacing w:line="206" w:lineRule="exact"/>
        <w:ind w:left="815"/>
        <w:rPr>
          <w:sz w:val="18"/>
        </w:rPr>
      </w:pPr>
      <w:r>
        <w:rPr>
          <w:sz w:val="18"/>
        </w:rPr>
        <w:t>Kansas</w:t>
      </w:r>
      <w:r>
        <w:rPr>
          <w:spacing w:val="-1"/>
          <w:sz w:val="18"/>
        </w:rPr>
        <w:t xml:space="preserve"> </w:t>
      </w:r>
      <w:r>
        <w:rPr>
          <w:sz w:val="18"/>
        </w:rPr>
        <w:t>-</w:t>
      </w:r>
    </w:p>
    <w:p w14:paraId="05C58BC0" w14:textId="77777777" w:rsidR="0046798B" w:rsidRDefault="00903B5C">
      <w:pPr>
        <w:pStyle w:val="BodyText"/>
        <w:spacing w:before="2"/>
        <w:ind w:left="620" w:right="1182"/>
      </w:pPr>
      <w:r>
        <w:t>NIBRS conversion efforts resulted in estimation for Kansas in 1993. State totals were estimated by updating previous valid annual totals for individual jurisdictions, subdivided by population group. Percent changes for each offense within each population group of the West North Central Division were applied to the previous valid annual totals. The state totals were compiled from the sums of the population group estimates.</w:t>
      </w:r>
    </w:p>
    <w:p w14:paraId="068F03FE" w14:textId="77777777" w:rsidR="0046798B" w:rsidRDefault="00903B5C">
      <w:pPr>
        <w:pStyle w:val="BodyText"/>
        <w:spacing w:before="0"/>
        <w:ind w:left="620" w:right="1258"/>
      </w:pPr>
      <w:r>
        <w:t>NIBRS conversion efforts resulted in estimation for Kansas in 1994. State totals were generated using only the valid crime rates for the West North Central Division. Within each population group, the state's offense totals were estimated based on the rate per 100,000 inhabitants within the remainder of the division.</w:t>
      </w:r>
    </w:p>
    <w:p w14:paraId="3798E670" w14:textId="77777777" w:rsidR="0046798B" w:rsidRDefault="00903B5C">
      <w:pPr>
        <w:pStyle w:val="BodyText"/>
        <w:spacing w:before="0"/>
        <w:ind w:left="620" w:right="1423"/>
      </w:pPr>
      <w:r>
        <w:t>The state UCR Program was unable to provide complete 1995 offense figures in accordance with UCR guidelines. The state UCR Program was able to provide valid 1994 state totals which were then updated using 1995 crime trends for the West North Central Division.</w:t>
      </w:r>
    </w:p>
    <w:p w14:paraId="7FCD353E" w14:textId="77777777" w:rsidR="0046798B" w:rsidRDefault="00903B5C">
      <w:pPr>
        <w:pStyle w:val="BodyText"/>
        <w:spacing w:before="1"/>
        <w:ind w:left="620" w:right="1203"/>
      </w:pPr>
      <w:r>
        <w:t>The state UCR Program was unable to provide complete 1996 offense figures in accordance with UCR guidelines. The Kansas state estimate was extrapolated from 1996 January- June state totals provided by the Kansas State UCR</w:t>
      </w:r>
      <w:r>
        <w:rPr>
          <w:spacing w:val="-9"/>
        </w:rPr>
        <w:t xml:space="preserve"> </w:t>
      </w:r>
      <w:r>
        <w:t>Program.</w:t>
      </w:r>
    </w:p>
    <w:p w14:paraId="7E809490" w14:textId="77777777" w:rsidR="0046798B" w:rsidRDefault="00903B5C">
      <w:pPr>
        <w:pStyle w:val="BodyText"/>
        <w:spacing w:before="0" w:line="242" w:lineRule="auto"/>
        <w:ind w:left="620" w:right="1203"/>
      </w:pPr>
      <w:r>
        <w:t>The state UCR Program was unable to provide complete 1997 offense figures in accordance with UCR guidelines. The Kansas state estimate was extrapolated from 1996 January- June state totals provided by the Kansas State UCR</w:t>
      </w:r>
      <w:r>
        <w:rPr>
          <w:spacing w:val="-9"/>
        </w:rPr>
        <w:t xml:space="preserve"> </w:t>
      </w:r>
      <w:r>
        <w:t>Program.</w:t>
      </w:r>
    </w:p>
    <w:p w14:paraId="25D0610F" w14:textId="77777777" w:rsidR="0046798B" w:rsidRDefault="00903B5C">
      <w:pPr>
        <w:pStyle w:val="BodyText"/>
        <w:spacing w:before="0" w:line="244" w:lineRule="auto"/>
        <w:ind w:left="620" w:right="1428"/>
      </w:pPr>
      <w:r>
        <w:t>The state UCR Program was unable to provide complete 1998 offense figures in accordance with UCR guidelines. To arrive at 1998 estimates, 1997 state totals supplied by the Kansas State UCR Program were updated using 1998 crime trends for the West North Central Division.</w:t>
      </w:r>
    </w:p>
    <w:p w14:paraId="462842F5" w14:textId="77777777" w:rsidR="0046798B" w:rsidRDefault="00903B5C">
      <w:pPr>
        <w:pStyle w:val="BodyText"/>
        <w:spacing w:before="0" w:line="237" w:lineRule="auto"/>
        <w:ind w:left="620" w:right="1363"/>
      </w:pPr>
      <w:r>
        <w:t>The state UCR Program was unable to provide complete 1999 offense figures in accordance with UCR guidelines. To arrive at the 1999 estimate for Kansas, the 1998 state total supplied by the state UCR Program was updated using 1999 crime trends for the division in which Kansas is located.</w:t>
      </w:r>
    </w:p>
    <w:p w14:paraId="119D87ED" w14:textId="77777777" w:rsidR="0046798B" w:rsidRDefault="00903B5C">
      <w:pPr>
        <w:pStyle w:val="BodyText"/>
        <w:spacing w:before="0"/>
        <w:ind w:left="620" w:right="1728"/>
      </w:pPr>
      <w:r>
        <w:t>The state UCR Program was unable to provide complete 2000 offense figures in accordance with UCR guidelines. To arrive at the 2000 estimate for Kansas, the 1999 state estimate was updated using 2000 crime trends for the West North Central Division.</w:t>
      </w:r>
    </w:p>
    <w:p w14:paraId="6374372F" w14:textId="77777777" w:rsidR="0046798B" w:rsidRDefault="00903B5C">
      <w:pPr>
        <w:pStyle w:val="ListParagraph"/>
        <w:numPr>
          <w:ilvl w:val="1"/>
          <w:numId w:val="1"/>
        </w:numPr>
        <w:tabs>
          <w:tab w:val="left" w:pos="816"/>
        </w:tabs>
        <w:spacing w:line="203" w:lineRule="exact"/>
        <w:ind w:left="815"/>
        <w:rPr>
          <w:sz w:val="18"/>
        </w:rPr>
      </w:pPr>
      <w:r>
        <w:rPr>
          <w:sz w:val="18"/>
        </w:rPr>
        <w:t>Kentucky -</w:t>
      </w:r>
    </w:p>
    <w:p w14:paraId="7C75E6BA" w14:textId="77777777" w:rsidR="0046798B" w:rsidRDefault="00903B5C">
      <w:pPr>
        <w:pStyle w:val="BodyText"/>
        <w:spacing w:before="0"/>
        <w:ind w:left="620" w:right="1382"/>
      </w:pPr>
      <w:r>
        <w:t>Reporting problems at the state resulted in no usable 1988 data. The state total was estimated by updating previous valid annual totals for individual jurisdictions, subdivided by population group. Percent changes for each offense within each population group of the geographic division in which the state resides was applied to the previous valid annual totals. The state total was compiled from the sums of the population group estimates.</w:t>
      </w:r>
    </w:p>
    <w:p w14:paraId="522179E9" w14:textId="77777777" w:rsidR="0046798B" w:rsidRDefault="00903B5C">
      <w:pPr>
        <w:pStyle w:val="BodyText"/>
        <w:spacing w:before="0"/>
        <w:ind w:left="620" w:right="1583"/>
      </w:pPr>
      <w:r>
        <w:t>The state UCR Program was unable to provide complete 1996 offense figures in accordance with UCR guidelines. The 1995 and 1996 percent changes within the geographic division in which Kentucky is categorized were applied to the valid 1995 state total to generate the 1996 state total.</w:t>
      </w:r>
    </w:p>
    <w:p w14:paraId="694EC1B9" w14:textId="77777777" w:rsidR="0046798B" w:rsidRDefault="00903B5C">
      <w:pPr>
        <w:pStyle w:val="BodyText"/>
        <w:spacing w:before="0"/>
        <w:ind w:left="620" w:right="1583"/>
      </w:pPr>
      <w:r>
        <w:t>The state UCR Program was unable to provide complete 1997 offense figures in accordance with UCR guidelines. The 1996 and 1997 percent changes within the geographic division in which Kentucky is categorized were applied to the valid 1996 state total to effect the 1997 state total.</w:t>
      </w:r>
    </w:p>
    <w:p w14:paraId="0D6ACD7F" w14:textId="77777777" w:rsidR="0046798B" w:rsidRDefault="00903B5C">
      <w:pPr>
        <w:pStyle w:val="BodyText"/>
        <w:spacing w:before="0"/>
        <w:ind w:left="620" w:right="1234"/>
      </w:pPr>
      <w:r>
        <w:t>The state UCR Program was unable to provide complete 1998 offense figures in accordance with UCR guidelines. The state total was estimated by using 1997 figures for the nonreporting areas and applying 1997 versus 1998 percentage changes for the division in which Kentucky is located. The estimates for the nonreporting areas were then increased by any actual 1998 crime counts received.</w:t>
      </w:r>
    </w:p>
    <w:p w14:paraId="555A3B35" w14:textId="77777777" w:rsidR="0046798B" w:rsidRDefault="00903B5C">
      <w:pPr>
        <w:pStyle w:val="BodyText"/>
        <w:spacing w:before="0"/>
        <w:ind w:left="620" w:right="1178"/>
      </w:pPr>
      <w:r>
        <w:t xml:space="preserve">The state UCR Program was unable to provide complete 1999 offense figures in accordance with UCR guidelines. To arrive at the 1999 estimate for Kentucky, the 1998 state </w:t>
      </w:r>
      <w:r>
        <w:rPr>
          <w:spacing w:val="-3"/>
        </w:rPr>
        <w:t xml:space="preserve">total </w:t>
      </w:r>
      <w:r>
        <w:t>supplied by the state UCR Program was updated using 1999 crime trends for the division in which Kentucky is</w:t>
      </w:r>
      <w:r>
        <w:rPr>
          <w:spacing w:val="-24"/>
        </w:rPr>
        <w:t xml:space="preserve"> </w:t>
      </w:r>
      <w:r>
        <w:t>located.</w:t>
      </w:r>
    </w:p>
    <w:p w14:paraId="019E3155" w14:textId="77777777" w:rsidR="0046798B" w:rsidRDefault="00903B5C">
      <w:pPr>
        <w:pStyle w:val="BodyText"/>
        <w:spacing w:before="0"/>
        <w:ind w:left="620" w:right="1178"/>
      </w:pPr>
      <w:r>
        <w:t xml:space="preserve">The state UCR Program was unable to provide complete 2000 offense figures in accordance with UCR guidelines. To arrive at the 2000 estimate for Kentucky, the 1999 state </w:t>
      </w:r>
      <w:r>
        <w:rPr>
          <w:spacing w:val="-3"/>
        </w:rPr>
        <w:t xml:space="preserve">total </w:t>
      </w:r>
      <w:r>
        <w:t>supplied by the state UCR Program was updated using 2000 crime trends for the division in which Kentucky is</w:t>
      </w:r>
      <w:r>
        <w:rPr>
          <w:spacing w:val="-26"/>
        </w:rPr>
        <w:t xml:space="preserve"> </w:t>
      </w:r>
      <w:r>
        <w:t>located.</w:t>
      </w:r>
    </w:p>
    <w:p w14:paraId="2CD72B86" w14:textId="77777777" w:rsidR="0046798B" w:rsidRDefault="0046798B">
      <w:pPr>
        <w:sectPr w:rsidR="0046798B">
          <w:pgSz w:w="15840" w:h="12240" w:orient="landscape"/>
          <w:pgMar w:top="1220" w:right="300" w:bottom="980" w:left="820" w:header="730" w:footer="787" w:gutter="0"/>
          <w:cols w:space="720"/>
        </w:sectPr>
      </w:pPr>
    </w:p>
    <w:p w14:paraId="55AD7C83" w14:textId="77777777" w:rsidR="0046798B" w:rsidRDefault="0046798B">
      <w:pPr>
        <w:pStyle w:val="BodyText"/>
        <w:spacing w:before="0"/>
        <w:rPr>
          <w:sz w:val="20"/>
        </w:rPr>
      </w:pPr>
    </w:p>
    <w:p w14:paraId="7B8E81D8" w14:textId="77777777" w:rsidR="0046798B" w:rsidRDefault="0046798B">
      <w:pPr>
        <w:pStyle w:val="BodyText"/>
        <w:spacing w:before="1"/>
        <w:rPr>
          <w:sz w:val="22"/>
        </w:rPr>
      </w:pPr>
    </w:p>
    <w:p w14:paraId="2518324F" w14:textId="77777777" w:rsidR="0046798B" w:rsidRDefault="00903B5C">
      <w:pPr>
        <w:pStyle w:val="BodyText"/>
        <w:spacing w:before="1"/>
        <w:ind w:left="620" w:right="1548"/>
      </w:pPr>
      <w:r>
        <w:t>The state UCR Program was unable to provide complete 2001 offense figures in accordance with UCR guidelines. To arrive at the 2001 estimate for Kentucky, the 2000 state estimate was updated using 2001 crime trends reported for the East South Central Division.</w:t>
      </w:r>
    </w:p>
    <w:p w14:paraId="2C4EB779" w14:textId="77777777" w:rsidR="0046798B" w:rsidRDefault="00903B5C">
      <w:pPr>
        <w:pStyle w:val="BodyText"/>
        <w:spacing w:before="1"/>
        <w:ind w:left="620" w:right="1153"/>
      </w:pPr>
      <w:r>
        <w:t xml:space="preserve">The state UCR Program was unable to provide complete 2002 offense figures in accordance with UCR guidelines. To obtain the 2002 state crime count, the FBI contacted the </w:t>
      </w:r>
      <w:r>
        <w:rPr>
          <w:spacing w:val="-3"/>
        </w:rPr>
        <w:t xml:space="preserve">state </w:t>
      </w:r>
      <w:r>
        <w:t>UCR Program, and the state agency was able to provide their latest state total, 2000. Therefore, the 2001 state estimate was updated for inclusion in the 2002 edition of Crime in the United States by using the 2001 crime trends for the division in which the state is located. To derive the 2002 state estimate, the 2002 crime trends for the division were applied to the adjusted 2001 state</w:t>
      </w:r>
      <w:r>
        <w:rPr>
          <w:spacing w:val="-5"/>
        </w:rPr>
        <w:t xml:space="preserve"> </w:t>
      </w:r>
      <w:r>
        <w:t>estimate.</w:t>
      </w:r>
    </w:p>
    <w:p w14:paraId="62E16E54" w14:textId="77777777" w:rsidR="0046798B" w:rsidRDefault="00903B5C">
      <w:pPr>
        <w:pStyle w:val="BodyText"/>
        <w:spacing w:before="0" w:line="242" w:lineRule="auto"/>
        <w:ind w:left="620" w:right="1187"/>
      </w:pPr>
      <w:r>
        <w:t>The state UCR Program was unable to provide complete 2003 offense figures in accordance with UCR guidelines. To obtain the 2003 estimate, the 2003 crime trend for the East South Central Division was applied to an adjusted 2002 state estimate. The 2002 state count was reestimated by applying the 2002 crime trend for the East South Central Division using a more current figure, 2001 state totals, provided by the state UCR Program. The adjusted 2002 estimate differs from the figure published in the 2002 edition of Crime in the United States which was originally estimated using 2002 state totals</w:t>
      </w:r>
    </w:p>
    <w:p w14:paraId="7D527064" w14:textId="77777777" w:rsidR="0046798B" w:rsidRDefault="00903B5C">
      <w:pPr>
        <w:pStyle w:val="ListParagraph"/>
        <w:numPr>
          <w:ilvl w:val="1"/>
          <w:numId w:val="1"/>
        </w:numPr>
        <w:tabs>
          <w:tab w:val="left" w:pos="816"/>
        </w:tabs>
        <w:ind w:right="1328" w:firstLine="90"/>
        <w:jc w:val="both"/>
        <w:rPr>
          <w:sz w:val="18"/>
        </w:rPr>
      </w:pPr>
      <w:r>
        <w:rPr>
          <w:sz w:val="18"/>
        </w:rPr>
        <w:t>Maine - The state UCR Program was unable to provide complete 1999 offense figures in accordance with UCR guidelines. The Maine Department of Public Safety forwarded monthly January through October crime counts for each law enforcement contributor; since 12 months of data were not received, the national Program estimated for the missing data following standard estimation procedures to arrive at a 1999 state total.</w:t>
      </w:r>
    </w:p>
    <w:p w14:paraId="5EAEB166" w14:textId="77777777" w:rsidR="0046798B" w:rsidRDefault="00903B5C">
      <w:pPr>
        <w:pStyle w:val="ListParagraph"/>
        <w:numPr>
          <w:ilvl w:val="1"/>
          <w:numId w:val="1"/>
        </w:numPr>
        <w:tabs>
          <w:tab w:val="left" w:pos="816"/>
        </w:tabs>
        <w:spacing w:line="242" w:lineRule="auto"/>
        <w:ind w:right="1169" w:firstLine="90"/>
        <w:rPr>
          <w:sz w:val="18"/>
        </w:rPr>
      </w:pPr>
      <w:r>
        <w:rPr>
          <w:sz w:val="18"/>
        </w:rPr>
        <w:t>Michigan - The state UCR Program was unable to provide 1993 forcible rape figures in accordance with UCR guidelines. The rape totals were estimated using national rates per 100,000 inhabitants within the eight population groups and assigning the forcible rape volumes proportionally to the</w:t>
      </w:r>
      <w:r>
        <w:rPr>
          <w:spacing w:val="-9"/>
          <w:sz w:val="18"/>
        </w:rPr>
        <w:t xml:space="preserve"> </w:t>
      </w:r>
      <w:r>
        <w:rPr>
          <w:sz w:val="18"/>
        </w:rPr>
        <w:t>state.</w:t>
      </w:r>
    </w:p>
    <w:p w14:paraId="6ED886AB" w14:textId="77777777" w:rsidR="0046798B" w:rsidRDefault="00903B5C">
      <w:pPr>
        <w:pStyle w:val="ListParagraph"/>
        <w:numPr>
          <w:ilvl w:val="1"/>
          <w:numId w:val="1"/>
        </w:numPr>
        <w:tabs>
          <w:tab w:val="left" w:pos="816"/>
        </w:tabs>
        <w:spacing w:line="203" w:lineRule="exact"/>
        <w:ind w:left="815"/>
        <w:rPr>
          <w:sz w:val="18"/>
        </w:rPr>
      </w:pPr>
      <w:r>
        <w:rPr>
          <w:sz w:val="18"/>
        </w:rPr>
        <w:t>Minnesota -</w:t>
      </w:r>
    </w:p>
    <w:p w14:paraId="03B34E8D" w14:textId="77777777" w:rsidR="0046798B" w:rsidRDefault="00903B5C">
      <w:pPr>
        <w:pStyle w:val="BodyText"/>
        <w:spacing w:before="0"/>
        <w:ind w:left="620" w:right="1148"/>
      </w:pPr>
      <w:r>
        <w:t>All agencies 1993 and 2005-Present (with the exception of Minneapolis and St. Paul) - The data collection methodology for the offense of forcible rape used by the State Uniform Crime Reporting (UCR) Program does not comply with national UCR Program guidelines. Consequently, their figures for forcible rape and violent crime (of which forcible rape is part) are not included in this tool..</w:t>
      </w:r>
    </w:p>
    <w:p w14:paraId="10D93797" w14:textId="77777777" w:rsidR="0046798B" w:rsidRDefault="00903B5C">
      <w:pPr>
        <w:pStyle w:val="ListParagraph"/>
        <w:numPr>
          <w:ilvl w:val="1"/>
          <w:numId w:val="1"/>
        </w:numPr>
        <w:tabs>
          <w:tab w:val="left" w:pos="816"/>
        </w:tabs>
        <w:spacing w:line="206" w:lineRule="exact"/>
        <w:ind w:left="815"/>
        <w:rPr>
          <w:sz w:val="18"/>
        </w:rPr>
      </w:pPr>
      <w:r>
        <w:rPr>
          <w:sz w:val="18"/>
        </w:rPr>
        <w:t>Montana</w:t>
      </w:r>
      <w:r>
        <w:rPr>
          <w:spacing w:val="-1"/>
          <w:sz w:val="18"/>
        </w:rPr>
        <w:t xml:space="preserve"> </w:t>
      </w:r>
      <w:r>
        <w:rPr>
          <w:sz w:val="18"/>
        </w:rPr>
        <w:t>-</w:t>
      </w:r>
    </w:p>
    <w:p w14:paraId="78365074" w14:textId="77777777" w:rsidR="0046798B" w:rsidRDefault="00903B5C">
      <w:pPr>
        <w:pStyle w:val="BodyText"/>
        <w:spacing w:before="0"/>
        <w:ind w:left="620" w:right="1373"/>
      </w:pPr>
      <w:r>
        <w:t>The state UCR Program was unable to provide complete 1994 offense figures in accordance with UCR guidelines. State totals were estimated by updating previous valid annual totals for individual jurisdictions, subdivided by population group. Percent changes for each offense within each population group of the Mountain Division were applied to the previous valid annual totals. The state totals were compiled from the sums of the population group estimates.</w:t>
      </w:r>
    </w:p>
    <w:p w14:paraId="56B95F9C" w14:textId="77777777" w:rsidR="0046798B" w:rsidRDefault="00903B5C">
      <w:pPr>
        <w:pStyle w:val="BodyText"/>
        <w:spacing w:before="0" w:line="244" w:lineRule="auto"/>
        <w:ind w:left="620" w:right="1333"/>
      </w:pPr>
      <w:r>
        <w:t>The state UCR Program was unable to provide complete 1995 offense figures in accordance with UCR guidelines. State estimates were computed by updating the previous valid annual totals using the 1994 versus 1995 percent changes for the Mountain Division.</w:t>
      </w:r>
    </w:p>
    <w:p w14:paraId="2095CC0D" w14:textId="77777777" w:rsidR="0046798B" w:rsidRDefault="00903B5C">
      <w:pPr>
        <w:pStyle w:val="BodyText"/>
        <w:spacing w:before="0" w:line="237" w:lineRule="auto"/>
        <w:ind w:left="620" w:right="1583"/>
      </w:pPr>
      <w:r>
        <w:t>The state UCR Program was unable to provide complete 1996 offense figures in accordance with UCR guidelines. The 1995 and 1996 percent changes within the geographic division in which Montana is categorized were applied to the valid 1995 state total to generate the 1996 state total.</w:t>
      </w:r>
    </w:p>
    <w:p w14:paraId="2DC1C32D" w14:textId="77777777" w:rsidR="0046798B" w:rsidRDefault="00903B5C">
      <w:pPr>
        <w:pStyle w:val="BodyText"/>
        <w:spacing w:before="0"/>
        <w:ind w:left="620" w:right="1583"/>
      </w:pPr>
      <w:r>
        <w:t>The state UCR Program was unable to provide complete 1997 offense figures in accordance with UCR guidelines. The 1996 and 1997 percent changes within the geographic division in which Montana is categorized were applied to the valid 1996 state total to effect the 1997 state total.</w:t>
      </w:r>
    </w:p>
    <w:p w14:paraId="7D694E84" w14:textId="77777777" w:rsidR="0046798B" w:rsidRDefault="00903B5C">
      <w:pPr>
        <w:pStyle w:val="BodyText"/>
        <w:spacing w:before="0"/>
        <w:ind w:left="620" w:right="1294"/>
      </w:pPr>
      <w:r>
        <w:t>The state UCR Program was unable to provide complete 1998 offense figures in accordance with UCR guidelines. The state total was estimated by using 1997 figures for the nonreporting areas and applying 1997 versus 1998 percentage changes for the division in which Montana is located. The estimates for the nonreporting areas were then increased by any actual 1998 crime counts received.</w:t>
      </w:r>
    </w:p>
    <w:p w14:paraId="4BF60E7F" w14:textId="77777777" w:rsidR="0046798B" w:rsidRDefault="00903B5C">
      <w:pPr>
        <w:pStyle w:val="BodyText"/>
        <w:spacing w:before="0"/>
        <w:ind w:left="620" w:right="1178"/>
      </w:pPr>
      <w:r>
        <w:t xml:space="preserve">The state UCR Program was unable to provide complete 1999 offense figures in accordance with UCR guidelines. To arrive at the 1999 estimate for Montana, the 1998 state </w:t>
      </w:r>
      <w:r>
        <w:rPr>
          <w:spacing w:val="-3"/>
        </w:rPr>
        <w:t xml:space="preserve">total </w:t>
      </w:r>
      <w:r>
        <w:t>supplied by the state UCR Program was updated using 1999 crime trends for the division in which Montana is</w:t>
      </w:r>
      <w:r>
        <w:rPr>
          <w:spacing w:val="-26"/>
        </w:rPr>
        <w:t xml:space="preserve"> </w:t>
      </w:r>
      <w:r>
        <w:t>located.</w:t>
      </w:r>
    </w:p>
    <w:p w14:paraId="3996F162" w14:textId="77777777" w:rsidR="0046798B" w:rsidRDefault="00903B5C">
      <w:pPr>
        <w:pStyle w:val="BodyText"/>
        <w:spacing w:before="0" w:line="242" w:lineRule="auto"/>
        <w:ind w:left="620" w:right="1243"/>
      </w:pPr>
      <w:r>
        <w:t>The state UCR Program was unable to provide complete 2000 offense figures in accordance with UCR guidelines. To arrive at the 2000 estimate for Montana, the 1999 state total supplied by the state UCR Program was updated using 2000 crime trends for the division in which Montana is</w:t>
      </w:r>
      <w:r>
        <w:rPr>
          <w:spacing w:val="-24"/>
        </w:rPr>
        <w:t xml:space="preserve"> </w:t>
      </w:r>
      <w:r>
        <w:t>located.</w:t>
      </w:r>
    </w:p>
    <w:p w14:paraId="6EB70EDF" w14:textId="77777777" w:rsidR="0046798B" w:rsidRDefault="00903B5C">
      <w:pPr>
        <w:pStyle w:val="ListParagraph"/>
        <w:numPr>
          <w:ilvl w:val="1"/>
          <w:numId w:val="1"/>
        </w:numPr>
        <w:tabs>
          <w:tab w:val="left" w:pos="816"/>
        </w:tabs>
        <w:spacing w:line="204" w:lineRule="exact"/>
        <w:ind w:left="815"/>
        <w:rPr>
          <w:sz w:val="18"/>
        </w:rPr>
      </w:pPr>
      <w:r>
        <w:rPr>
          <w:sz w:val="18"/>
        </w:rPr>
        <w:t>New Hampshire</w:t>
      </w:r>
      <w:r>
        <w:rPr>
          <w:spacing w:val="-1"/>
          <w:sz w:val="18"/>
        </w:rPr>
        <w:t xml:space="preserve"> </w:t>
      </w:r>
      <w:r>
        <w:rPr>
          <w:sz w:val="18"/>
        </w:rPr>
        <w:t>-</w:t>
      </w:r>
    </w:p>
    <w:p w14:paraId="7FC26BC8" w14:textId="77777777" w:rsidR="0046798B" w:rsidRDefault="00903B5C">
      <w:pPr>
        <w:pStyle w:val="BodyText"/>
        <w:spacing w:before="0"/>
        <w:ind w:left="620" w:right="1583"/>
      </w:pPr>
      <w:r>
        <w:t>The state UCR Program was unable to provide complete 1997 offense figures in accordance with UCR guidelines. The 1996 and 1997 percent changes within the geographic division in which New Hampshire is categorized were applied to the valid 1996 state total to effect the 1997 state total.</w:t>
      </w:r>
    </w:p>
    <w:p w14:paraId="60ADD1B6" w14:textId="77777777" w:rsidR="0046798B" w:rsidRDefault="00903B5C">
      <w:pPr>
        <w:pStyle w:val="BodyText"/>
        <w:spacing w:before="0"/>
        <w:ind w:left="620" w:right="1483"/>
      </w:pPr>
      <w:r>
        <w:t>The state UCR Program was unable to provide complete 1998 offense figures in accordance with UCR guidelines. The state total was estimated by using 1997 figures for the nonreporting areas and applying 1997 versus 1998 percentage changes for the division in which New Hampshire is located. The estimates for the nonreporting areas were then increased by any actual 1998 crime counts received.</w:t>
      </w:r>
    </w:p>
    <w:p w14:paraId="07532F47" w14:textId="77777777" w:rsidR="0046798B" w:rsidRDefault="00903B5C">
      <w:pPr>
        <w:pStyle w:val="BodyText"/>
        <w:spacing w:before="0"/>
        <w:ind w:left="620" w:right="1313"/>
      </w:pPr>
      <w:r>
        <w:t>The state UCR Program was unable to provide complete 1999 offense figures in accordance with UCR guidelines. The state total for New Hampshire was estimated by using the 1998 figures for the 1999 nonreporting areas and applying the 2-year percent change for the New England Division.</w:t>
      </w:r>
    </w:p>
    <w:p w14:paraId="1D496972" w14:textId="77777777" w:rsidR="0046798B" w:rsidRDefault="00903B5C">
      <w:pPr>
        <w:pStyle w:val="ListParagraph"/>
        <w:numPr>
          <w:ilvl w:val="1"/>
          <w:numId w:val="1"/>
        </w:numPr>
        <w:tabs>
          <w:tab w:val="left" w:pos="816"/>
        </w:tabs>
        <w:spacing w:line="203" w:lineRule="exact"/>
        <w:ind w:left="815"/>
        <w:rPr>
          <w:sz w:val="18"/>
        </w:rPr>
      </w:pPr>
      <w:r>
        <w:rPr>
          <w:sz w:val="18"/>
        </w:rPr>
        <w:t>Oklahoma - For 1995, the increase in murders was the result of the bombing of the Alfred P. Murrah Federal Building in Oklahoma</w:t>
      </w:r>
      <w:r>
        <w:rPr>
          <w:spacing w:val="-29"/>
          <w:sz w:val="18"/>
        </w:rPr>
        <w:t xml:space="preserve"> </w:t>
      </w:r>
      <w:r>
        <w:rPr>
          <w:sz w:val="18"/>
        </w:rPr>
        <w:t>City.</w:t>
      </w:r>
    </w:p>
    <w:p w14:paraId="245F0C2A" w14:textId="77777777" w:rsidR="0046798B" w:rsidRDefault="0046798B">
      <w:pPr>
        <w:spacing w:line="203" w:lineRule="exact"/>
        <w:rPr>
          <w:sz w:val="18"/>
        </w:rPr>
        <w:sectPr w:rsidR="0046798B">
          <w:pgSz w:w="15840" w:h="12240" w:orient="landscape"/>
          <w:pgMar w:top="1220" w:right="300" w:bottom="980" w:left="820" w:header="730" w:footer="787" w:gutter="0"/>
          <w:cols w:space="720"/>
        </w:sectPr>
      </w:pPr>
    </w:p>
    <w:p w14:paraId="6D626140" w14:textId="77777777" w:rsidR="0046798B" w:rsidRDefault="0046798B">
      <w:pPr>
        <w:pStyle w:val="BodyText"/>
        <w:spacing w:before="0"/>
        <w:rPr>
          <w:sz w:val="20"/>
        </w:rPr>
      </w:pPr>
    </w:p>
    <w:p w14:paraId="7239C4B7" w14:textId="77777777" w:rsidR="0046798B" w:rsidRDefault="0046798B">
      <w:pPr>
        <w:pStyle w:val="BodyText"/>
        <w:spacing w:before="1"/>
        <w:rPr>
          <w:sz w:val="22"/>
        </w:rPr>
      </w:pPr>
    </w:p>
    <w:p w14:paraId="2D3C930C" w14:textId="77777777" w:rsidR="0046798B" w:rsidRDefault="00903B5C">
      <w:pPr>
        <w:pStyle w:val="ListParagraph"/>
        <w:numPr>
          <w:ilvl w:val="1"/>
          <w:numId w:val="1"/>
        </w:numPr>
        <w:tabs>
          <w:tab w:val="left" w:pos="816"/>
        </w:tabs>
        <w:spacing w:before="1" w:line="206" w:lineRule="exact"/>
        <w:ind w:left="815"/>
        <w:rPr>
          <w:sz w:val="18"/>
        </w:rPr>
      </w:pPr>
      <w:r>
        <w:rPr>
          <w:sz w:val="18"/>
        </w:rPr>
        <w:t>Pennsylvania - Since complete 1995 data were not available from Pennsylvania, standard estimation procedures were applied to derive the 1995 state</w:t>
      </w:r>
      <w:r>
        <w:rPr>
          <w:spacing w:val="-31"/>
          <w:sz w:val="18"/>
        </w:rPr>
        <w:t xml:space="preserve"> </w:t>
      </w:r>
      <w:r>
        <w:rPr>
          <w:sz w:val="18"/>
        </w:rPr>
        <w:t>estimate.</w:t>
      </w:r>
    </w:p>
    <w:p w14:paraId="07E202DD" w14:textId="77777777" w:rsidR="0046798B" w:rsidRDefault="00903B5C">
      <w:pPr>
        <w:pStyle w:val="ListParagraph"/>
        <w:numPr>
          <w:ilvl w:val="1"/>
          <w:numId w:val="1"/>
        </w:numPr>
        <w:tabs>
          <w:tab w:val="left" w:pos="816"/>
        </w:tabs>
        <w:spacing w:line="242" w:lineRule="auto"/>
        <w:ind w:right="1456" w:firstLine="90"/>
        <w:rPr>
          <w:sz w:val="18"/>
        </w:rPr>
      </w:pPr>
      <w:r>
        <w:rPr>
          <w:sz w:val="18"/>
        </w:rPr>
        <w:t>Vermont - The state UCR Program was unable to provide complete 1997 offense figures in accordance with UCR guidelines. The 1996 and 1997 percent changes within the geographic division in which Vermont is categorized were applied to the valid 1996 state total to effect the 1997 state total.</w:t>
      </w:r>
    </w:p>
    <w:p w14:paraId="0494810D" w14:textId="77777777" w:rsidR="0046798B" w:rsidRDefault="00903B5C">
      <w:pPr>
        <w:pStyle w:val="ListParagraph"/>
        <w:numPr>
          <w:ilvl w:val="1"/>
          <w:numId w:val="1"/>
        </w:numPr>
        <w:tabs>
          <w:tab w:val="left" w:pos="816"/>
        </w:tabs>
        <w:ind w:right="1199" w:firstLine="90"/>
        <w:rPr>
          <w:sz w:val="18"/>
        </w:rPr>
      </w:pPr>
      <w:r>
        <w:rPr>
          <w:sz w:val="18"/>
        </w:rPr>
        <w:t>Wisconsin - The state UCR Program was unable to provide complete 1998 offense figures in accordance with UCR guidelines. The state total was estimated by using 1997 figures for the nonreporting areas and applying 1997 versus 1998 percentage changes for the division in which Wisconsin is located. The estimates for the nonreporting areas were then increased by any actual 1998 crime counts</w:t>
      </w:r>
      <w:r>
        <w:rPr>
          <w:spacing w:val="-8"/>
          <w:sz w:val="18"/>
        </w:rPr>
        <w:t xml:space="preserve"> </w:t>
      </w:r>
      <w:r>
        <w:rPr>
          <w:sz w:val="18"/>
        </w:rPr>
        <w:t>received.</w:t>
      </w:r>
    </w:p>
    <w:p w14:paraId="50277C01" w14:textId="77777777" w:rsidR="0046798B" w:rsidRDefault="00903B5C">
      <w:pPr>
        <w:pStyle w:val="ListParagraph"/>
        <w:numPr>
          <w:ilvl w:val="1"/>
          <w:numId w:val="1"/>
        </w:numPr>
        <w:tabs>
          <w:tab w:val="left" w:pos="816"/>
        </w:tabs>
        <w:spacing w:line="207" w:lineRule="exact"/>
        <w:ind w:left="815"/>
        <w:rPr>
          <w:sz w:val="18"/>
        </w:rPr>
      </w:pPr>
      <w:r>
        <w:rPr>
          <w:sz w:val="18"/>
        </w:rPr>
        <w:t>The murder and nonnegligent homicides that occurred as a result of the events of September 11, 2001, are not</w:t>
      </w:r>
      <w:r>
        <w:rPr>
          <w:spacing w:val="-3"/>
          <w:sz w:val="18"/>
        </w:rPr>
        <w:t xml:space="preserve"> </w:t>
      </w:r>
      <w:r>
        <w:rPr>
          <w:sz w:val="18"/>
        </w:rPr>
        <w:t>included."</w:t>
      </w:r>
    </w:p>
    <w:p w14:paraId="15CD199E" w14:textId="77777777" w:rsidR="0046798B" w:rsidRDefault="00903B5C">
      <w:pPr>
        <w:pStyle w:val="BodyText"/>
        <w:spacing w:before="0" w:line="206" w:lineRule="exact"/>
        <w:ind w:left="620"/>
      </w:pPr>
      <w:r>
        <w:rPr>
          <w:sz w:val="12"/>
        </w:rPr>
        <w:t xml:space="preserve">xi </w:t>
      </w:r>
      <w:r>
        <w:t>"Notes: National or state offense totals are based on data from all reporting agencies and estimates for unreported areas.</w:t>
      </w:r>
    </w:p>
    <w:p w14:paraId="785C8169" w14:textId="77777777" w:rsidR="0046798B" w:rsidRDefault="00903B5C">
      <w:pPr>
        <w:pStyle w:val="ListParagraph"/>
        <w:numPr>
          <w:ilvl w:val="1"/>
          <w:numId w:val="1"/>
        </w:numPr>
        <w:tabs>
          <w:tab w:val="left" w:pos="816"/>
        </w:tabs>
        <w:spacing w:line="206" w:lineRule="exact"/>
        <w:ind w:left="815"/>
        <w:rPr>
          <w:sz w:val="18"/>
        </w:rPr>
      </w:pPr>
      <w:r>
        <w:rPr>
          <w:sz w:val="18"/>
        </w:rPr>
        <w:t>Delaware -</w:t>
      </w:r>
    </w:p>
    <w:p w14:paraId="0FDD9022" w14:textId="77777777" w:rsidR="0046798B" w:rsidRDefault="00903B5C">
      <w:pPr>
        <w:pStyle w:val="BodyText"/>
        <w:spacing w:before="1" w:line="206" w:lineRule="exact"/>
        <w:ind w:left="620"/>
      </w:pPr>
      <w:r>
        <w:t>Since complete 1995 data were not available from Delaware, standard estimation procedures were applied to derive the 1995 state estimate.</w:t>
      </w:r>
    </w:p>
    <w:p w14:paraId="41EF2CE9" w14:textId="77777777" w:rsidR="0046798B" w:rsidRDefault="00903B5C">
      <w:pPr>
        <w:pStyle w:val="BodyText"/>
        <w:spacing w:before="0"/>
        <w:ind w:left="620" w:right="1204"/>
      </w:pPr>
      <w:r>
        <w:t>The state UCR Program was unable to provide 1998 forcible rape figures in accordance with national UCR guidelines. The 1998 forcible rape total for Delaware was estimated by reducing the number of reported offenses by the proportion of male forcible rape victims statewide.</w:t>
      </w:r>
    </w:p>
    <w:p w14:paraId="0F9AC834" w14:textId="77777777" w:rsidR="0046798B" w:rsidRDefault="00903B5C">
      <w:pPr>
        <w:pStyle w:val="ListParagraph"/>
        <w:numPr>
          <w:ilvl w:val="1"/>
          <w:numId w:val="1"/>
        </w:numPr>
        <w:tabs>
          <w:tab w:val="left" w:pos="816"/>
        </w:tabs>
        <w:spacing w:before="1" w:line="206" w:lineRule="exact"/>
        <w:ind w:left="815"/>
        <w:rPr>
          <w:sz w:val="18"/>
        </w:rPr>
      </w:pPr>
      <w:r>
        <w:rPr>
          <w:sz w:val="18"/>
        </w:rPr>
        <w:t>District of Columbia - 1999-2008 District of Columbia data include reports from the Zoological Police; 2002-2008 data include reports from the Metro Transit</w:t>
      </w:r>
      <w:r>
        <w:rPr>
          <w:spacing w:val="-2"/>
          <w:sz w:val="18"/>
        </w:rPr>
        <w:t xml:space="preserve"> </w:t>
      </w:r>
      <w:r>
        <w:rPr>
          <w:sz w:val="18"/>
        </w:rPr>
        <w:t>Police.</w:t>
      </w:r>
    </w:p>
    <w:p w14:paraId="3FFF3966" w14:textId="77777777" w:rsidR="0046798B" w:rsidRDefault="00903B5C">
      <w:pPr>
        <w:pStyle w:val="ListParagraph"/>
        <w:numPr>
          <w:ilvl w:val="1"/>
          <w:numId w:val="1"/>
        </w:numPr>
        <w:tabs>
          <w:tab w:val="left" w:pos="816"/>
        </w:tabs>
        <w:spacing w:line="206" w:lineRule="exact"/>
        <w:ind w:left="815"/>
        <w:rPr>
          <w:sz w:val="18"/>
        </w:rPr>
      </w:pPr>
      <w:r>
        <w:rPr>
          <w:sz w:val="18"/>
        </w:rPr>
        <w:t>Florida</w:t>
      </w:r>
      <w:r>
        <w:rPr>
          <w:spacing w:val="-1"/>
          <w:sz w:val="18"/>
        </w:rPr>
        <w:t xml:space="preserve"> </w:t>
      </w:r>
      <w:r>
        <w:rPr>
          <w:sz w:val="18"/>
        </w:rPr>
        <w:t>-</w:t>
      </w:r>
    </w:p>
    <w:p w14:paraId="3D49D4F9" w14:textId="77777777" w:rsidR="0046798B" w:rsidRDefault="00903B5C">
      <w:pPr>
        <w:pStyle w:val="BodyText"/>
        <w:spacing w:before="3"/>
        <w:ind w:left="620" w:right="1382"/>
      </w:pPr>
      <w:r>
        <w:t>Reporting problems at the state resulted in no usable 1988 data. The state total was estimated by updating previous valid annual totals for individual jurisdictions, subdivided by population group. Percent changes for each offense within each population group of the geographic division in which the state resides was applied to the previous valid annual totals. The state total was compiled from the sums of the population group estimates.</w:t>
      </w:r>
    </w:p>
    <w:p w14:paraId="547C22E8" w14:textId="77777777" w:rsidR="0046798B" w:rsidRDefault="00903B5C">
      <w:pPr>
        <w:pStyle w:val="BodyText"/>
        <w:spacing w:before="0"/>
        <w:ind w:left="620" w:right="1183"/>
      </w:pPr>
      <w:r>
        <w:t>The state UCR Program was unable to provide complete 1996 offense figures in accordance with UCR guidelines. The state UCR Program was able to provide an aggregated state total and data were received from 94 individual Florida agencies.</w:t>
      </w:r>
    </w:p>
    <w:p w14:paraId="3953FEF1" w14:textId="77777777" w:rsidR="0046798B" w:rsidRDefault="00903B5C">
      <w:pPr>
        <w:pStyle w:val="ListParagraph"/>
        <w:numPr>
          <w:ilvl w:val="1"/>
          <w:numId w:val="1"/>
        </w:numPr>
        <w:tabs>
          <w:tab w:val="left" w:pos="816"/>
        </w:tabs>
        <w:spacing w:line="206" w:lineRule="exact"/>
        <w:ind w:left="815"/>
        <w:rPr>
          <w:sz w:val="18"/>
        </w:rPr>
      </w:pPr>
      <w:r>
        <w:rPr>
          <w:sz w:val="18"/>
        </w:rPr>
        <w:t>Illinois</w:t>
      </w:r>
      <w:r>
        <w:rPr>
          <w:spacing w:val="-1"/>
          <w:sz w:val="18"/>
        </w:rPr>
        <w:t xml:space="preserve"> </w:t>
      </w:r>
      <w:r>
        <w:rPr>
          <w:sz w:val="18"/>
        </w:rPr>
        <w:t>-</w:t>
      </w:r>
    </w:p>
    <w:p w14:paraId="6668232A" w14:textId="77777777" w:rsidR="0046798B" w:rsidRDefault="00903B5C">
      <w:pPr>
        <w:pStyle w:val="BodyText"/>
        <w:spacing w:before="0"/>
        <w:ind w:left="620" w:right="1252"/>
      </w:pPr>
      <w:r>
        <w:t>The state UCR Program was unable to provide 1985-current forcible rape figures in accordance with national UCR Program guidelines. The rape totals were estimated using national rates per 100,000 inhabitants within the eight population groups and assigning the forcible rape volumes proportionally to the state. Rockford, Illinois, has provided valid forcible rape counts as of 2006.</w:t>
      </w:r>
    </w:p>
    <w:p w14:paraId="4419E444" w14:textId="77777777" w:rsidR="0046798B" w:rsidRDefault="00903B5C">
      <w:pPr>
        <w:pStyle w:val="BodyText"/>
        <w:spacing w:before="0"/>
        <w:ind w:left="620" w:right="1304"/>
      </w:pPr>
      <w:r>
        <w:t>For 1993 state NIBRS conversion efforts resulted in estimation for Illinois. Since valid annual totals were available for approximately 60 Illinois agencies, those counts were maintained. The counts for the remaining jurisdictions were replaced with the most recent valid annual totals or were generated using standard estimation procedures. The results of all sources were then combined to arrive at the 1993 state total for Illinois.</w:t>
      </w:r>
    </w:p>
    <w:p w14:paraId="3056CEA9" w14:textId="77777777" w:rsidR="0046798B" w:rsidRDefault="00903B5C">
      <w:pPr>
        <w:pStyle w:val="BodyText"/>
        <w:spacing w:before="0" w:line="242" w:lineRule="auto"/>
        <w:ind w:left="620" w:right="1612"/>
      </w:pPr>
      <w:r>
        <w:t>For 1994 state NIBRS conversion efforts resulted in estimation for Illinois. Illinois totals were generated using only the valid crime rates for the East North Central Division. Within each population group, the state's offense totals were estimated based on the rate per 100,000 inhabitants within the remainder of the division.</w:t>
      </w:r>
    </w:p>
    <w:p w14:paraId="0D42E797" w14:textId="77777777" w:rsidR="0046798B" w:rsidRDefault="00903B5C">
      <w:pPr>
        <w:pStyle w:val="BodyText"/>
        <w:spacing w:before="0"/>
        <w:ind w:left="620" w:right="1278"/>
      </w:pPr>
      <w:r>
        <w:t>For 1996-current, the state UCR Program was unable to provide complete offense figures in accordance with UCR guidelines. Valid Part I counts were available for most of the largest cities (100,000 and over in population). For other agencies, the only available counts generated by the Illinois State Program were state totals based upon an incident-level system without indication of multiple offenses recorded within single incidents. Therefore, the UCR Hierarchy Rule could not be applied in order to convert the state's data to Summary Reporting System data. (The Hierarchy Rule requires that only the most serious offense in a multiple-offense criminal incident is counted.) To arrive at a comparable state estimate to be included in national compilations, the Illinois State Program's state totals (which were inflated because of the nonapplication of the Hierarchy Rule) were reduced by the proportion of multiple offenses reported within single incidents in the NIBRS database. Valid totals for the large cities were excluded from the reduction process.</w:t>
      </w:r>
    </w:p>
    <w:p w14:paraId="5ABB3630" w14:textId="77777777" w:rsidR="0046798B" w:rsidRDefault="00903B5C">
      <w:pPr>
        <w:pStyle w:val="ListParagraph"/>
        <w:numPr>
          <w:ilvl w:val="1"/>
          <w:numId w:val="1"/>
        </w:numPr>
        <w:tabs>
          <w:tab w:val="left" w:pos="816"/>
        </w:tabs>
        <w:ind w:right="1586" w:firstLine="90"/>
        <w:rPr>
          <w:sz w:val="18"/>
        </w:rPr>
      </w:pPr>
      <w:r>
        <w:rPr>
          <w:sz w:val="18"/>
        </w:rPr>
        <w:t>Iowa - NIBRS conversion efforts resulted in estimation for Iowa in 1991. State totals were estimated by updating previous valid annual totals for individual jurisdictions, subdivided by population group. Percent changes for each offense within each population group of the West North Central Division were applied to the previous valid annual totals. The state totals were compiled from the sums of the population group</w:t>
      </w:r>
      <w:r>
        <w:rPr>
          <w:spacing w:val="-15"/>
          <w:sz w:val="18"/>
        </w:rPr>
        <w:t xml:space="preserve"> </w:t>
      </w:r>
      <w:r>
        <w:rPr>
          <w:sz w:val="18"/>
        </w:rPr>
        <w:t>estimates.</w:t>
      </w:r>
    </w:p>
    <w:p w14:paraId="5B1AC154" w14:textId="77777777" w:rsidR="0046798B" w:rsidRDefault="00903B5C">
      <w:pPr>
        <w:pStyle w:val="ListParagraph"/>
        <w:numPr>
          <w:ilvl w:val="1"/>
          <w:numId w:val="1"/>
        </w:numPr>
        <w:tabs>
          <w:tab w:val="left" w:pos="816"/>
        </w:tabs>
        <w:spacing w:line="206" w:lineRule="exact"/>
        <w:ind w:left="815"/>
        <w:rPr>
          <w:sz w:val="18"/>
        </w:rPr>
      </w:pPr>
      <w:r>
        <w:rPr>
          <w:sz w:val="18"/>
        </w:rPr>
        <w:t>Kansas</w:t>
      </w:r>
      <w:r>
        <w:rPr>
          <w:spacing w:val="-1"/>
          <w:sz w:val="18"/>
        </w:rPr>
        <w:t xml:space="preserve"> </w:t>
      </w:r>
      <w:r>
        <w:rPr>
          <w:sz w:val="18"/>
        </w:rPr>
        <w:t>-</w:t>
      </w:r>
    </w:p>
    <w:p w14:paraId="2C7790F4" w14:textId="77777777" w:rsidR="0046798B" w:rsidRDefault="00903B5C">
      <w:pPr>
        <w:pStyle w:val="BodyText"/>
        <w:spacing w:before="0"/>
        <w:ind w:left="620" w:right="1182"/>
      </w:pPr>
      <w:r>
        <w:t>NIBRS conversion efforts resulted in estimation for Kansas in 1993. State totals were estimated by updating previous valid annual totals for individual jurisdictions, subdivided by population group. Percent changes for each offense within each population group of the West North Central Division were applied to the previous valid annual totals. The state totals were compiled from the sums of the population group estimates.</w:t>
      </w:r>
    </w:p>
    <w:p w14:paraId="0200A787" w14:textId="77777777" w:rsidR="0046798B" w:rsidRDefault="00903B5C">
      <w:pPr>
        <w:pStyle w:val="BodyText"/>
        <w:spacing w:before="0" w:line="244" w:lineRule="auto"/>
        <w:ind w:left="620" w:right="1258"/>
      </w:pPr>
      <w:r>
        <w:t>NIBRS conversion efforts resulted in estimation for Kansas in 1994. State totals were generated using only the valid crime rates for the West North Central Division. Within each population group, the state's offense totals were estimated based on the rate per 100,000 inhabitants within the remainder of the division.</w:t>
      </w:r>
    </w:p>
    <w:p w14:paraId="6E279313" w14:textId="77777777" w:rsidR="0046798B" w:rsidRDefault="00903B5C">
      <w:pPr>
        <w:pStyle w:val="BodyText"/>
        <w:spacing w:before="0" w:line="237" w:lineRule="auto"/>
        <w:ind w:left="620" w:right="1423"/>
      </w:pPr>
      <w:r>
        <w:t>The state UCR Program was unable to provide complete 1995 offense figures in accordance with UCR guidelines. The state UCR Program was able to provide valid 1994 state totals which were then updated using 1995 crime trends for the West North Central Division.</w:t>
      </w:r>
    </w:p>
    <w:p w14:paraId="7F42201C" w14:textId="77777777" w:rsidR="0046798B" w:rsidRDefault="0046798B">
      <w:pPr>
        <w:spacing w:line="237" w:lineRule="auto"/>
        <w:sectPr w:rsidR="0046798B">
          <w:pgSz w:w="15840" w:h="12240" w:orient="landscape"/>
          <w:pgMar w:top="1220" w:right="300" w:bottom="980" w:left="820" w:header="730" w:footer="787" w:gutter="0"/>
          <w:cols w:space="720"/>
        </w:sectPr>
      </w:pPr>
    </w:p>
    <w:p w14:paraId="26D6CBC8" w14:textId="77777777" w:rsidR="0046798B" w:rsidRDefault="0046798B">
      <w:pPr>
        <w:pStyle w:val="BodyText"/>
        <w:spacing w:before="0"/>
        <w:rPr>
          <w:sz w:val="20"/>
        </w:rPr>
      </w:pPr>
    </w:p>
    <w:p w14:paraId="19548A01" w14:textId="77777777" w:rsidR="0046798B" w:rsidRDefault="0046798B">
      <w:pPr>
        <w:pStyle w:val="BodyText"/>
        <w:spacing w:before="1"/>
        <w:rPr>
          <w:sz w:val="22"/>
        </w:rPr>
      </w:pPr>
    </w:p>
    <w:p w14:paraId="5B3F13BD" w14:textId="77777777" w:rsidR="0046798B" w:rsidRDefault="00903B5C">
      <w:pPr>
        <w:pStyle w:val="BodyText"/>
        <w:spacing w:before="1"/>
        <w:ind w:left="620" w:right="1203"/>
      </w:pPr>
      <w:r>
        <w:t>The state UCR Program was unable to provide complete 1996 offense figures in accordance with UCR guidelines. The Kansas state estimate was extrapolated from 1996 January- June state totals provided by the Kansas State UCR</w:t>
      </w:r>
      <w:r>
        <w:rPr>
          <w:spacing w:val="-9"/>
        </w:rPr>
        <w:t xml:space="preserve"> </w:t>
      </w:r>
      <w:r>
        <w:t>Program.</w:t>
      </w:r>
    </w:p>
    <w:p w14:paraId="1DE52F86" w14:textId="77777777" w:rsidR="0046798B" w:rsidRDefault="00903B5C">
      <w:pPr>
        <w:pStyle w:val="BodyText"/>
        <w:spacing w:before="1"/>
        <w:ind w:left="620" w:right="1203"/>
      </w:pPr>
      <w:r>
        <w:t>The state UCR Program was unable to provide complete 1997 offense figures in accordance with UCR guidelines. The Kansas state estimate was extrapolated from 1996 January- June state totals provided by the Kansas State UCR</w:t>
      </w:r>
      <w:r>
        <w:rPr>
          <w:spacing w:val="-9"/>
        </w:rPr>
        <w:t xml:space="preserve"> </w:t>
      </w:r>
      <w:r>
        <w:t>Program.</w:t>
      </w:r>
    </w:p>
    <w:p w14:paraId="7C5CF6CD" w14:textId="77777777" w:rsidR="0046798B" w:rsidRDefault="00903B5C">
      <w:pPr>
        <w:pStyle w:val="BodyText"/>
        <w:spacing w:before="1"/>
        <w:ind w:left="620" w:right="1428"/>
      </w:pPr>
      <w:r>
        <w:t>The state UCR Program was unable to provide complete 1998 offense figures in accordance with UCR guidelines. To arrive at 1998 estimates, 1997 state totals supplied by the Kansas State UCR Program were updated using 1998 crime trends for the West North Central Division.</w:t>
      </w:r>
    </w:p>
    <w:p w14:paraId="15750F7C" w14:textId="77777777" w:rsidR="0046798B" w:rsidRDefault="00903B5C">
      <w:pPr>
        <w:pStyle w:val="BodyText"/>
        <w:spacing w:before="0" w:line="242" w:lineRule="auto"/>
        <w:ind w:left="620" w:right="1363"/>
      </w:pPr>
      <w:r>
        <w:t>The state UCR Program was unable to provide complete 1999 offense figures in accordance with UCR guidelines. To arrive at the 1999 estimate for Kansas, the 1998 state total supplied by the state UCR Program was updated using 1999 crime trends for the division in which Kansas is located.</w:t>
      </w:r>
    </w:p>
    <w:p w14:paraId="46DFC902" w14:textId="77777777" w:rsidR="0046798B" w:rsidRDefault="00903B5C">
      <w:pPr>
        <w:pStyle w:val="BodyText"/>
        <w:spacing w:before="0" w:line="242" w:lineRule="auto"/>
        <w:ind w:left="620" w:right="1728"/>
      </w:pPr>
      <w:r>
        <w:t>The state UCR Program was unable to provide complete 2000 offense figures in accordance with UCR guidelines. To arrive at the 2000 estimate for Kansas, the 1999 state estimate was updated using 2000 crime trends for the West North Central Division.</w:t>
      </w:r>
    </w:p>
    <w:p w14:paraId="122F3E13" w14:textId="77777777" w:rsidR="0046798B" w:rsidRDefault="00903B5C">
      <w:pPr>
        <w:pStyle w:val="ListParagraph"/>
        <w:numPr>
          <w:ilvl w:val="1"/>
          <w:numId w:val="1"/>
        </w:numPr>
        <w:tabs>
          <w:tab w:val="left" w:pos="816"/>
        </w:tabs>
        <w:spacing w:line="203" w:lineRule="exact"/>
        <w:ind w:left="815"/>
        <w:rPr>
          <w:sz w:val="18"/>
        </w:rPr>
      </w:pPr>
      <w:r>
        <w:rPr>
          <w:sz w:val="18"/>
        </w:rPr>
        <w:t>Kentucky -</w:t>
      </w:r>
    </w:p>
    <w:p w14:paraId="396D2B68" w14:textId="77777777" w:rsidR="0046798B" w:rsidRDefault="00903B5C">
      <w:pPr>
        <w:pStyle w:val="BodyText"/>
        <w:spacing w:before="0"/>
        <w:ind w:left="620" w:right="1382"/>
      </w:pPr>
      <w:r>
        <w:t>Reporting problems at the state resulted in no usable 1988 data. The state total was estimated by updating previous valid annual totals for individual jurisdictions, subdivided by population group. Percent changes for each offense within each population group of the geographic division in which the state resides was applied to the previous valid annual totals. The state total was compiled from the sums of the population group estimates.</w:t>
      </w:r>
    </w:p>
    <w:p w14:paraId="2C26F9B8" w14:textId="77777777" w:rsidR="0046798B" w:rsidRDefault="00903B5C">
      <w:pPr>
        <w:pStyle w:val="BodyText"/>
        <w:spacing w:before="0"/>
        <w:ind w:left="620" w:right="1583"/>
      </w:pPr>
      <w:r>
        <w:t>The state UCR Program was unable to provide complete 1996 offense figures in accordance with UCR guidelines. The 1995 and 1996 percent changes within the geographic division in which Kentucky is categorized were applied to the valid 1995 state total to generate the 1996 state total.</w:t>
      </w:r>
    </w:p>
    <w:p w14:paraId="6E46BF83" w14:textId="77777777" w:rsidR="0046798B" w:rsidRDefault="00903B5C">
      <w:pPr>
        <w:pStyle w:val="BodyText"/>
        <w:spacing w:before="0" w:line="242" w:lineRule="auto"/>
        <w:ind w:left="620" w:right="1583"/>
      </w:pPr>
      <w:r>
        <w:t>The state UCR Program was unable to provide complete 1997 offense figures in accordance with UCR guidelines. The 1996 and 1997 percent changes within the geographic division in which Kentucky is categorized were applied to the valid 1996 state total to effect the 1997 state total.</w:t>
      </w:r>
    </w:p>
    <w:p w14:paraId="2B2E0338" w14:textId="77777777" w:rsidR="0046798B" w:rsidRDefault="00903B5C">
      <w:pPr>
        <w:pStyle w:val="BodyText"/>
        <w:spacing w:before="0"/>
        <w:ind w:left="620" w:right="1234"/>
      </w:pPr>
      <w:r>
        <w:t>The state UCR Program was unable to provide complete 1998 offense figures in accordance with UCR guidelines. The state total was estimated by using 1997 figures for the nonreporting areas and applying 1997 versus 1998 percentage changes for the division in which Kentucky is located. The estimates for the nonreporting areas were then increased by any actual 1998 crime counts received.</w:t>
      </w:r>
    </w:p>
    <w:p w14:paraId="1F3E5449" w14:textId="77777777" w:rsidR="0046798B" w:rsidRDefault="00903B5C">
      <w:pPr>
        <w:pStyle w:val="BodyText"/>
        <w:spacing w:before="0" w:line="242" w:lineRule="auto"/>
        <w:ind w:left="620" w:right="1178"/>
      </w:pPr>
      <w:r>
        <w:t xml:space="preserve">The state UCR Program was unable to provide complete 1999 offense figures in accordance with UCR guidelines. To arrive at the 1999 estimate for Kentucky, the 1998 state </w:t>
      </w:r>
      <w:r>
        <w:rPr>
          <w:spacing w:val="-3"/>
        </w:rPr>
        <w:t xml:space="preserve">total </w:t>
      </w:r>
      <w:r>
        <w:t>supplied by the state UCR Program was updated using 1999 crime trends for the division in which Kentucky is</w:t>
      </w:r>
      <w:r>
        <w:rPr>
          <w:spacing w:val="-8"/>
        </w:rPr>
        <w:t xml:space="preserve"> </w:t>
      </w:r>
      <w:r>
        <w:t>located.</w:t>
      </w:r>
    </w:p>
    <w:p w14:paraId="35343F4D" w14:textId="77777777" w:rsidR="0046798B" w:rsidRDefault="00903B5C">
      <w:pPr>
        <w:pStyle w:val="BodyText"/>
        <w:spacing w:before="0" w:line="244" w:lineRule="auto"/>
        <w:ind w:left="620" w:right="1178"/>
      </w:pPr>
      <w:r>
        <w:t xml:space="preserve">The state UCR Program was unable to provide complete 2000 offense figures in accordance with UCR guidelines. To arrive at the 2000 estimate for Kentucky, the 1999 state </w:t>
      </w:r>
      <w:r>
        <w:rPr>
          <w:spacing w:val="-3"/>
        </w:rPr>
        <w:t xml:space="preserve">total </w:t>
      </w:r>
      <w:r>
        <w:t>supplied by the state UCR Program was updated using 2000 crime trends for the division in which Kentucky is</w:t>
      </w:r>
      <w:r>
        <w:rPr>
          <w:spacing w:val="-1"/>
        </w:rPr>
        <w:t xml:space="preserve"> </w:t>
      </w:r>
      <w:r>
        <w:t>located.</w:t>
      </w:r>
    </w:p>
    <w:p w14:paraId="306D2B17" w14:textId="77777777" w:rsidR="0046798B" w:rsidRDefault="00903B5C">
      <w:pPr>
        <w:pStyle w:val="BodyText"/>
        <w:spacing w:before="0" w:line="237" w:lineRule="auto"/>
        <w:ind w:left="620" w:right="1548"/>
      </w:pPr>
      <w:r>
        <w:t>The state UCR Program was unable to provide complete 2001 offense figures in accordance with UCR guidelines. To arrive at the 2001 estimate for Kentucky, the 2000 state estimate was updated using 2001 crime trends reported for the East South Central Division.</w:t>
      </w:r>
    </w:p>
    <w:p w14:paraId="671ADB15" w14:textId="77777777" w:rsidR="0046798B" w:rsidRDefault="00903B5C">
      <w:pPr>
        <w:pStyle w:val="BodyText"/>
        <w:spacing w:before="0"/>
        <w:ind w:left="620" w:right="1153"/>
      </w:pPr>
      <w:r>
        <w:t>The state UCR Program was unable to provide complete 2002 offense figures in accordance with UCR guidelines. To obtain the 2002 state crime count, the FBI contacted the state UCR Program, and the state agency was able to provide their latest state total, 2000. Therefore, the 2001 state estimate was updated for inclusion in the 2002 edition of Crime in the United States by using the 2001 crime trends for the division in which the state is located. To derive the 2002 state estimate, the 2002 crime trends for the division were applied to the adjusted 2001 state estimate.</w:t>
      </w:r>
    </w:p>
    <w:p w14:paraId="0C53AAA5" w14:textId="77777777" w:rsidR="0046798B" w:rsidRDefault="00903B5C">
      <w:pPr>
        <w:pStyle w:val="BodyText"/>
        <w:spacing w:before="0"/>
        <w:ind w:left="620" w:right="1187"/>
      </w:pPr>
      <w:r>
        <w:t>The state UCR Program was unable to provide complete 2003 offense figures in accordance with UCR guidelines. To obtain the 2003 estimate, the 2003 crime trend for the East South Central Division was applied to an adjusted 2002 state estimate. The 2002 state count was reestimated by applying the 2002 crime trend for the East South Central Division using a more current figure, 2001 state totals, provided by the state UCR Program. The adjusted 2002 estimate differs from the figure published in the 2002 edition of Crime in the United States which was originally estimated using 2002 state totals</w:t>
      </w:r>
    </w:p>
    <w:p w14:paraId="00C632A5" w14:textId="77777777" w:rsidR="0046798B" w:rsidRDefault="00903B5C">
      <w:pPr>
        <w:pStyle w:val="ListParagraph"/>
        <w:numPr>
          <w:ilvl w:val="1"/>
          <w:numId w:val="1"/>
        </w:numPr>
        <w:tabs>
          <w:tab w:val="left" w:pos="816"/>
        </w:tabs>
        <w:ind w:right="1330" w:firstLine="90"/>
        <w:jc w:val="both"/>
        <w:rPr>
          <w:sz w:val="18"/>
        </w:rPr>
      </w:pPr>
      <w:r>
        <w:rPr>
          <w:sz w:val="18"/>
        </w:rPr>
        <w:t>Maine - The state UCR Program was unable to provide complete 1999 offense figures in accordance with UCR guidelines. The Maine Department of Public Safety forwarded monthly January through October crime counts for each law enforcement contributor; since 12 months of data were not received, the national Program estimated for the missing data following standard estimation procedures to arrive at a 1999 state total.</w:t>
      </w:r>
    </w:p>
    <w:p w14:paraId="4E9187FB" w14:textId="77777777" w:rsidR="0046798B" w:rsidRDefault="00903B5C">
      <w:pPr>
        <w:pStyle w:val="ListParagraph"/>
        <w:numPr>
          <w:ilvl w:val="1"/>
          <w:numId w:val="1"/>
        </w:numPr>
        <w:tabs>
          <w:tab w:val="left" w:pos="816"/>
        </w:tabs>
        <w:ind w:right="1172" w:firstLine="90"/>
        <w:rPr>
          <w:sz w:val="18"/>
        </w:rPr>
      </w:pPr>
      <w:r>
        <w:rPr>
          <w:sz w:val="18"/>
        </w:rPr>
        <w:t>Michigan - The state UCR Program was unable to provide 1993 forcible rape figures in accordance with UCR guidelines. The rape totals were estimated using national rates per 100,000 inhabitants within the eight population groups and assigning the forcible rape volumes proportionally to the state.</w:t>
      </w:r>
    </w:p>
    <w:p w14:paraId="401A9030" w14:textId="77777777" w:rsidR="0046798B" w:rsidRDefault="00903B5C">
      <w:pPr>
        <w:pStyle w:val="ListParagraph"/>
        <w:numPr>
          <w:ilvl w:val="1"/>
          <w:numId w:val="1"/>
        </w:numPr>
        <w:tabs>
          <w:tab w:val="left" w:pos="816"/>
        </w:tabs>
        <w:spacing w:line="206" w:lineRule="exact"/>
        <w:ind w:left="815"/>
        <w:rPr>
          <w:sz w:val="18"/>
        </w:rPr>
      </w:pPr>
      <w:r>
        <w:rPr>
          <w:sz w:val="18"/>
        </w:rPr>
        <w:t>Minnesota -</w:t>
      </w:r>
    </w:p>
    <w:p w14:paraId="561A44DF" w14:textId="77777777" w:rsidR="0046798B" w:rsidRDefault="00903B5C">
      <w:pPr>
        <w:pStyle w:val="BodyText"/>
        <w:spacing w:before="0"/>
        <w:ind w:left="620" w:right="1148"/>
      </w:pPr>
      <w:r>
        <w:t>All agencies 1993 and 2005-Present (with the exception of Minneapolis and St. Paul) - The data collection methodology for the offense of forcible rape used by the State Uniform Crime Reporting (UCR) Program does not comply with national UCR Program guidelines. Consequently, their figures for forcible rape and violent crime (of which forcible rape is part) are not included in this tool..</w:t>
      </w:r>
    </w:p>
    <w:p w14:paraId="48D10B22" w14:textId="77777777" w:rsidR="0046798B" w:rsidRDefault="00903B5C">
      <w:pPr>
        <w:pStyle w:val="ListParagraph"/>
        <w:numPr>
          <w:ilvl w:val="1"/>
          <w:numId w:val="1"/>
        </w:numPr>
        <w:tabs>
          <w:tab w:val="left" w:pos="816"/>
        </w:tabs>
        <w:spacing w:line="207" w:lineRule="exact"/>
        <w:ind w:left="815"/>
        <w:rPr>
          <w:sz w:val="18"/>
        </w:rPr>
      </w:pPr>
      <w:r>
        <w:rPr>
          <w:sz w:val="18"/>
        </w:rPr>
        <w:t>Montana</w:t>
      </w:r>
      <w:r>
        <w:rPr>
          <w:spacing w:val="-1"/>
          <w:sz w:val="18"/>
        </w:rPr>
        <w:t xml:space="preserve"> </w:t>
      </w:r>
      <w:r>
        <w:rPr>
          <w:sz w:val="18"/>
        </w:rPr>
        <w:t>-</w:t>
      </w:r>
    </w:p>
    <w:p w14:paraId="16A4F551" w14:textId="77777777" w:rsidR="0046798B" w:rsidRDefault="0046798B">
      <w:pPr>
        <w:spacing w:line="207" w:lineRule="exact"/>
        <w:rPr>
          <w:sz w:val="18"/>
        </w:rPr>
        <w:sectPr w:rsidR="0046798B">
          <w:pgSz w:w="15840" w:h="12240" w:orient="landscape"/>
          <w:pgMar w:top="1220" w:right="300" w:bottom="980" w:left="820" w:header="730" w:footer="787" w:gutter="0"/>
          <w:cols w:space="720"/>
        </w:sectPr>
      </w:pPr>
    </w:p>
    <w:p w14:paraId="5163CF5C" w14:textId="77777777" w:rsidR="0046798B" w:rsidRDefault="0046798B">
      <w:pPr>
        <w:pStyle w:val="BodyText"/>
        <w:spacing w:before="0"/>
        <w:rPr>
          <w:sz w:val="20"/>
        </w:rPr>
      </w:pPr>
    </w:p>
    <w:p w14:paraId="7D16D954" w14:textId="77777777" w:rsidR="0046798B" w:rsidRDefault="0046798B">
      <w:pPr>
        <w:pStyle w:val="BodyText"/>
        <w:spacing w:before="1"/>
        <w:rPr>
          <w:sz w:val="22"/>
        </w:rPr>
      </w:pPr>
    </w:p>
    <w:p w14:paraId="709C74B5" w14:textId="77777777" w:rsidR="0046798B" w:rsidRDefault="00903B5C">
      <w:pPr>
        <w:pStyle w:val="BodyText"/>
        <w:spacing w:before="1"/>
        <w:ind w:left="620" w:right="1373"/>
      </w:pPr>
      <w:r>
        <w:t>The state UCR Program was unable to provide complete 1994 offense figures in accordance with UCR guidelines. State totals were estimated by updating previous valid annual totals for individual jurisdictions, subdivided by population group. Percent changes for each offense within each population group of the Mountain Division were applied to the previous valid annual totals. The state totals were compiled from the sums of the population group estimates.</w:t>
      </w:r>
    </w:p>
    <w:p w14:paraId="3D363412" w14:textId="77777777" w:rsidR="0046798B" w:rsidRDefault="00903B5C">
      <w:pPr>
        <w:pStyle w:val="BodyText"/>
        <w:spacing w:before="0" w:line="242" w:lineRule="auto"/>
        <w:ind w:left="620" w:right="1333"/>
      </w:pPr>
      <w:r>
        <w:t>The state UCR Program was unable to provide complete 1995 offense figures in accordance with UCR guidelines. State estimates were computed by updating the previous valid annual totals using the 1994 versus 1995 percent changes for the Mountain Division.</w:t>
      </w:r>
    </w:p>
    <w:p w14:paraId="63787B2A" w14:textId="77777777" w:rsidR="0046798B" w:rsidRDefault="00903B5C">
      <w:pPr>
        <w:pStyle w:val="BodyText"/>
        <w:spacing w:before="0" w:line="237" w:lineRule="auto"/>
        <w:ind w:left="620" w:right="1583"/>
      </w:pPr>
      <w:r>
        <w:t>The state UCR Program was unable to provide complete 1996 offense figures in accordance with UCR guidelines. The 1995 and 1996 percent changes within the geographic division in which Montana is categorized were applied to the valid 1995 state total to generate the 1996 state total.</w:t>
      </w:r>
    </w:p>
    <w:p w14:paraId="2019F84A" w14:textId="77777777" w:rsidR="0046798B" w:rsidRDefault="00903B5C">
      <w:pPr>
        <w:pStyle w:val="BodyText"/>
        <w:spacing w:before="1"/>
        <w:ind w:left="620" w:right="1583"/>
      </w:pPr>
      <w:r>
        <w:t>The state UCR Program was unable to provide complete 1997 offense figures in accordance with UCR guidelines. The 1996 and 1997 percent changes within the geographic division in which Montana is categorized were applied to the valid 1996 state total to effect the 1997 state total.</w:t>
      </w:r>
    </w:p>
    <w:p w14:paraId="1F56F64B" w14:textId="77777777" w:rsidR="0046798B" w:rsidRDefault="00903B5C">
      <w:pPr>
        <w:pStyle w:val="BodyText"/>
        <w:spacing w:before="1"/>
        <w:ind w:left="620" w:right="1294"/>
      </w:pPr>
      <w:r>
        <w:t>The state UCR Program was unable to provide complete 1998 offense figures in accordance with UCR guidelines. The state total was estimated by using 1997 figures for the nonreporting areas and applying 1997 versus 1998 percentage changes for the division in which Montana is located. The estimates for the nonreporting areas were then increased by any actual 1998 crime counts received.</w:t>
      </w:r>
    </w:p>
    <w:p w14:paraId="663352B1" w14:textId="77777777" w:rsidR="0046798B" w:rsidRDefault="00903B5C">
      <w:pPr>
        <w:pStyle w:val="BodyText"/>
        <w:spacing w:before="0"/>
        <w:ind w:left="620" w:right="1178"/>
      </w:pPr>
      <w:r>
        <w:t xml:space="preserve">The state UCR Program was unable to provide complete 1999 offense figures in accordance with UCR guidelines. To arrive at the 1999 estimate for Montana, the 1998 state </w:t>
      </w:r>
      <w:r>
        <w:rPr>
          <w:spacing w:val="-3"/>
        </w:rPr>
        <w:t xml:space="preserve">total </w:t>
      </w:r>
      <w:r>
        <w:t>supplied by the state UCR Program was updated using 1999 crime trends for the division in which Montana is</w:t>
      </w:r>
      <w:r>
        <w:rPr>
          <w:spacing w:val="-19"/>
        </w:rPr>
        <w:t xml:space="preserve"> </w:t>
      </w:r>
      <w:r>
        <w:t>located.</w:t>
      </w:r>
    </w:p>
    <w:p w14:paraId="59F83A06" w14:textId="77777777" w:rsidR="0046798B" w:rsidRDefault="00903B5C">
      <w:pPr>
        <w:pStyle w:val="BodyText"/>
        <w:spacing w:before="1"/>
        <w:ind w:left="620" w:right="1178"/>
      </w:pPr>
      <w:r>
        <w:t xml:space="preserve">The state UCR Program was unable to provide complete 2000 offense figures in accordance with UCR guidelines. To arrive at the 2000 estimate for Montana, the 1999 state </w:t>
      </w:r>
      <w:r>
        <w:rPr>
          <w:spacing w:val="-3"/>
        </w:rPr>
        <w:t xml:space="preserve">total </w:t>
      </w:r>
      <w:r>
        <w:t>supplied by the state UCR Program was updated using 2000 crime trends for the division in which Montana is</w:t>
      </w:r>
      <w:r>
        <w:rPr>
          <w:spacing w:val="-8"/>
        </w:rPr>
        <w:t xml:space="preserve"> </w:t>
      </w:r>
      <w:r>
        <w:t>located.</w:t>
      </w:r>
    </w:p>
    <w:p w14:paraId="22D6DD56" w14:textId="77777777" w:rsidR="0046798B" w:rsidRDefault="00903B5C">
      <w:pPr>
        <w:pStyle w:val="ListParagraph"/>
        <w:numPr>
          <w:ilvl w:val="1"/>
          <w:numId w:val="1"/>
        </w:numPr>
        <w:tabs>
          <w:tab w:val="left" w:pos="816"/>
        </w:tabs>
        <w:spacing w:line="203" w:lineRule="exact"/>
        <w:ind w:left="815"/>
        <w:rPr>
          <w:sz w:val="18"/>
        </w:rPr>
      </w:pPr>
      <w:r>
        <w:rPr>
          <w:sz w:val="18"/>
        </w:rPr>
        <w:t>New Hampshire</w:t>
      </w:r>
      <w:r>
        <w:rPr>
          <w:spacing w:val="-1"/>
          <w:sz w:val="18"/>
        </w:rPr>
        <w:t xml:space="preserve"> </w:t>
      </w:r>
      <w:r>
        <w:rPr>
          <w:sz w:val="18"/>
        </w:rPr>
        <w:t>-</w:t>
      </w:r>
    </w:p>
    <w:p w14:paraId="27F5E7F6" w14:textId="77777777" w:rsidR="0046798B" w:rsidRDefault="00903B5C">
      <w:pPr>
        <w:pStyle w:val="BodyText"/>
        <w:spacing w:before="3"/>
        <w:ind w:left="620" w:right="1583"/>
      </w:pPr>
      <w:r>
        <w:t>The state UCR Program was unable to provide complete 1997 offense figures in accordance with UCR guidelines. The 1996 and 1997 percent changes within the geographic division in which New Hampshire is categorized were applied to the valid 1996 state total to effect the 1997 state total.</w:t>
      </w:r>
    </w:p>
    <w:p w14:paraId="1FD0994B" w14:textId="77777777" w:rsidR="0046798B" w:rsidRDefault="00903B5C">
      <w:pPr>
        <w:pStyle w:val="BodyText"/>
        <w:spacing w:before="1"/>
        <w:ind w:left="620" w:right="1483"/>
      </w:pPr>
      <w:r>
        <w:t>The state UCR Program was unable to provide complete 1998 offense figures in accordance with UCR guidelines. The state total was estimated by using 1997 figures for the nonreporting areas and applying 1997 versus 1998 percentage changes for the division in which New Hampshire is located. The estimates for the nonreporting areas were then increased by any actual 1998 crime counts received.</w:t>
      </w:r>
    </w:p>
    <w:p w14:paraId="20958C51" w14:textId="77777777" w:rsidR="0046798B" w:rsidRDefault="00903B5C">
      <w:pPr>
        <w:pStyle w:val="BodyText"/>
        <w:spacing w:before="0"/>
        <w:ind w:left="620" w:right="1313"/>
      </w:pPr>
      <w:r>
        <w:t>The state UCR Program was unable to provide complete 1999 offense figures in accordance with UCR guidelines. The state total for New Hampshire was estimated by using the 1998 figures for the 1999 nonreporting areas and applying the 2-year percent change for the New England Division.</w:t>
      </w:r>
    </w:p>
    <w:p w14:paraId="2434D080" w14:textId="77777777" w:rsidR="0046798B" w:rsidRDefault="00903B5C">
      <w:pPr>
        <w:pStyle w:val="ListParagraph"/>
        <w:numPr>
          <w:ilvl w:val="1"/>
          <w:numId w:val="1"/>
        </w:numPr>
        <w:tabs>
          <w:tab w:val="left" w:pos="816"/>
        </w:tabs>
        <w:spacing w:before="1" w:line="206" w:lineRule="exact"/>
        <w:ind w:left="815"/>
        <w:rPr>
          <w:sz w:val="18"/>
        </w:rPr>
      </w:pPr>
      <w:r>
        <w:rPr>
          <w:sz w:val="18"/>
        </w:rPr>
        <w:t>Oklahoma - For 1995, the increase in murders was the result of the bombing of the Alfred P. Murrah Federal Building in Oklahoma</w:t>
      </w:r>
      <w:r>
        <w:rPr>
          <w:spacing w:val="-29"/>
          <w:sz w:val="18"/>
        </w:rPr>
        <w:t xml:space="preserve"> </w:t>
      </w:r>
      <w:r>
        <w:rPr>
          <w:sz w:val="18"/>
        </w:rPr>
        <w:t>City.</w:t>
      </w:r>
    </w:p>
    <w:p w14:paraId="192F8682" w14:textId="77777777" w:rsidR="0046798B" w:rsidRDefault="00903B5C">
      <w:pPr>
        <w:pStyle w:val="ListParagraph"/>
        <w:numPr>
          <w:ilvl w:val="1"/>
          <w:numId w:val="1"/>
        </w:numPr>
        <w:tabs>
          <w:tab w:val="left" w:pos="816"/>
        </w:tabs>
        <w:spacing w:line="205" w:lineRule="exact"/>
        <w:ind w:left="815"/>
        <w:rPr>
          <w:sz w:val="18"/>
        </w:rPr>
      </w:pPr>
      <w:r>
        <w:rPr>
          <w:sz w:val="18"/>
        </w:rPr>
        <w:t>Pennsylvania - Since complete 1995 data were not available from Pennsylvania, standard estimation procedures were applied to derive the 1995 state</w:t>
      </w:r>
      <w:r>
        <w:rPr>
          <w:spacing w:val="-30"/>
          <w:sz w:val="18"/>
        </w:rPr>
        <w:t xml:space="preserve"> </w:t>
      </w:r>
      <w:r>
        <w:rPr>
          <w:sz w:val="18"/>
        </w:rPr>
        <w:t>estimate.</w:t>
      </w:r>
    </w:p>
    <w:p w14:paraId="4F47F20E" w14:textId="77777777" w:rsidR="0046798B" w:rsidRDefault="00903B5C">
      <w:pPr>
        <w:pStyle w:val="ListParagraph"/>
        <w:numPr>
          <w:ilvl w:val="1"/>
          <w:numId w:val="1"/>
        </w:numPr>
        <w:tabs>
          <w:tab w:val="left" w:pos="816"/>
        </w:tabs>
        <w:spacing w:line="242" w:lineRule="auto"/>
        <w:ind w:right="1454" w:firstLine="90"/>
        <w:rPr>
          <w:sz w:val="18"/>
        </w:rPr>
      </w:pPr>
      <w:r>
        <w:rPr>
          <w:sz w:val="18"/>
        </w:rPr>
        <w:t>Vermont - The state UCR Program was unable to provide complete 1997 offense figures in accordance with UCR guidelines. The 1996 and 1997 percent changes within the geographic division in which Vermont is categorized were applied to the valid 1996 state total to effect the 1997 state</w:t>
      </w:r>
      <w:r>
        <w:rPr>
          <w:spacing w:val="-29"/>
          <w:sz w:val="18"/>
        </w:rPr>
        <w:t xml:space="preserve"> </w:t>
      </w:r>
      <w:r>
        <w:rPr>
          <w:sz w:val="18"/>
        </w:rPr>
        <w:t>total.</w:t>
      </w:r>
    </w:p>
    <w:p w14:paraId="161DF235" w14:textId="77777777" w:rsidR="0046798B" w:rsidRDefault="00903B5C">
      <w:pPr>
        <w:pStyle w:val="ListParagraph"/>
        <w:numPr>
          <w:ilvl w:val="1"/>
          <w:numId w:val="1"/>
        </w:numPr>
        <w:tabs>
          <w:tab w:val="left" w:pos="816"/>
        </w:tabs>
        <w:ind w:right="1199" w:firstLine="90"/>
        <w:rPr>
          <w:sz w:val="18"/>
        </w:rPr>
      </w:pPr>
      <w:r>
        <w:rPr>
          <w:sz w:val="18"/>
        </w:rPr>
        <w:t>Wisconsin - The state UCR Program was unable to provide complete 1998 offense figures in accordance with UCR guidelines. The state total was estimated by using 1997 figures for the nonreporting areas and applying 1997 versus 1998 percentage changes for the division in which Wisconsin is located. The estimates for the nonreporting areas were then increased by any actual 1998 crime counts</w:t>
      </w:r>
      <w:r>
        <w:rPr>
          <w:spacing w:val="-5"/>
          <w:sz w:val="18"/>
        </w:rPr>
        <w:t xml:space="preserve"> </w:t>
      </w:r>
      <w:r>
        <w:rPr>
          <w:sz w:val="18"/>
        </w:rPr>
        <w:t>received.</w:t>
      </w:r>
    </w:p>
    <w:p w14:paraId="15E19D0B" w14:textId="77777777" w:rsidR="0046798B" w:rsidRDefault="00903B5C">
      <w:pPr>
        <w:pStyle w:val="ListParagraph"/>
        <w:numPr>
          <w:ilvl w:val="1"/>
          <w:numId w:val="1"/>
        </w:numPr>
        <w:tabs>
          <w:tab w:val="left" w:pos="816"/>
        </w:tabs>
        <w:spacing w:line="207" w:lineRule="exact"/>
        <w:ind w:left="815"/>
        <w:rPr>
          <w:sz w:val="18"/>
        </w:rPr>
      </w:pPr>
      <w:r>
        <w:rPr>
          <w:sz w:val="18"/>
        </w:rPr>
        <w:t>The murder and nonnegligent homicides that occurred as a result of the events of September 11, 2001, are not</w:t>
      </w:r>
      <w:r>
        <w:rPr>
          <w:spacing w:val="-3"/>
          <w:sz w:val="18"/>
        </w:rPr>
        <w:t xml:space="preserve"> </w:t>
      </w:r>
      <w:r>
        <w:rPr>
          <w:sz w:val="18"/>
        </w:rPr>
        <w:t>included."</w:t>
      </w:r>
    </w:p>
    <w:p w14:paraId="0B5274E8" w14:textId="77777777" w:rsidR="0046798B" w:rsidRDefault="00903B5C">
      <w:pPr>
        <w:pStyle w:val="BodyText"/>
        <w:spacing w:before="0" w:line="206" w:lineRule="exact"/>
        <w:ind w:left="620"/>
      </w:pPr>
      <w:r>
        <w:rPr>
          <w:sz w:val="12"/>
        </w:rPr>
        <w:t xml:space="preserve">xii </w:t>
      </w:r>
      <w:r>
        <w:t>"Notes: National or state offense totals are based on data from all reporting agencies and estimates for unreported areas.</w:t>
      </w:r>
    </w:p>
    <w:p w14:paraId="755BADD0" w14:textId="77777777" w:rsidR="0046798B" w:rsidRDefault="00903B5C">
      <w:pPr>
        <w:pStyle w:val="ListParagraph"/>
        <w:numPr>
          <w:ilvl w:val="1"/>
          <w:numId w:val="1"/>
        </w:numPr>
        <w:tabs>
          <w:tab w:val="left" w:pos="816"/>
        </w:tabs>
        <w:spacing w:line="205" w:lineRule="exact"/>
        <w:ind w:left="815"/>
        <w:rPr>
          <w:sz w:val="18"/>
        </w:rPr>
      </w:pPr>
      <w:r>
        <w:rPr>
          <w:sz w:val="18"/>
        </w:rPr>
        <w:t>Delaware -</w:t>
      </w:r>
    </w:p>
    <w:p w14:paraId="5927F3FB" w14:textId="77777777" w:rsidR="0046798B" w:rsidRDefault="00903B5C">
      <w:pPr>
        <w:pStyle w:val="BodyText"/>
        <w:spacing w:before="0" w:line="206" w:lineRule="exact"/>
        <w:ind w:left="620"/>
      </w:pPr>
      <w:r>
        <w:t>Since complete 1995 data were not available from Delaware, standard estimation procedures were applied to derive the 1995 state estimate.</w:t>
      </w:r>
    </w:p>
    <w:p w14:paraId="6CC7C1EB" w14:textId="77777777" w:rsidR="0046798B" w:rsidRDefault="00903B5C">
      <w:pPr>
        <w:pStyle w:val="BodyText"/>
        <w:spacing w:before="2"/>
        <w:ind w:left="620" w:right="1204"/>
      </w:pPr>
      <w:r>
        <w:t>The state UCR Program was unable to provide 1998 forcible rape figures in accordance with national UCR guidelines. The 1998 forcible rape total for Delaware was estimated by reducing the number of reported offenses by the proportion of male forcible rape victims statewide.</w:t>
      </w:r>
    </w:p>
    <w:p w14:paraId="46673720" w14:textId="77777777" w:rsidR="0046798B" w:rsidRDefault="00903B5C">
      <w:pPr>
        <w:pStyle w:val="ListParagraph"/>
        <w:numPr>
          <w:ilvl w:val="1"/>
          <w:numId w:val="1"/>
        </w:numPr>
        <w:tabs>
          <w:tab w:val="left" w:pos="816"/>
        </w:tabs>
        <w:spacing w:before="1" w:line="206" w:lineRule="exact"/>
        <w:ind w:left="815"/>
        <w:rPr>
          <w:sz w:val="18"/>
        </w:rPr>
      </w:pPr>
      <w:r>
        <w:rPr>
          <w:sz w:val="18"/>
        </w:rPr>
        <w:t>District of Columbia - 1999-2008 District of Columbia data include reports from the Zoological Police; 2002-2008 data include reports from the Metro Transit</w:t>
      </w:r>
      <w:r>
        <w:rPr>
          <w:spacing w:val="-2"/>
          <w:sz w:val="18"/>
        </w:rPr>
        <w:t xml:space="preserve"> </w:t>
      </w:r>
      <w:r>
        <w:rPr>
          <w:sz w:val="18"/>
        </w:rPr>
        <w:t>Police.</w:t>
      </w:r>
    </w:p>
    <w:p w14:paraId="00BAB00E" w14:textId="77777777" w:rsidR="0046798B" w:rsidRDefault="00903B5C">
      <w:pPr>
        <w:pStyle w:val="ListParagraph"/>
        <w:numPr>
          <w:ilvl w:val="1"/>
          <w:numId w:val="1"/>
        </w:numPr>
        <w:tabs>
          <w:tab w:val="left" w:pos="816"/>
        </w:tabs>
        <w:spacing w:line="205" w:lineRule="exact"/>
        <w:ind w:left="815"/>
        <w:rPr>
          <w:sz w:val="18"/>
        </w:rPr>
      </w:pPr>
      <w:r>
        <w:rPr>
          <w:sz w:val="18"/>
        </w:rPr>
        <w:t>Florida</w:t>
      </w:r>
      <w:r>
        <w:rPr>
          <w:spacing w:val="-1"/>
          <w:sz w:val="18"/>
        </w:rPr>
        <w:t xml:space="preserve"> </w:t>
      </w:r>
      <w:r>
        <w:rPr>
          <w:sz w:val="18"/>
        </w:rPr>
        <w:t>-</w:t>
      </w:r>
    </w:p>
    <w:p w14:paraId="1500AC01" w14:textId="77777777" w:rsidR="0046798B" w:rsidRDefault="00903B5C">
      <w:pPr>
        <w:pStyle w:val="BodyText"/>
        <w:spacing w:before="0"/>
        <w:ind w:left="620" w:right="1382"/>
      </w:pPr>
      <w:r>
        <w:t>Reporting problems at the state resulted in no usable 1988 data. The state total was estimated by updating previous valid annual totals for individual jurisdictions, subdivided by population group. Percent changes for each offense within each population group of the geographic division in which the state resides was applied to the previous valid annual totals. The state total was compiled from the sums of the population group estimates.</w:t>
      </w:r>
    </w:p>
    <w:p w14:paraId="55D36E91" w14:textId="77777777" w:rsidR="0046798B" w:rsidRDefault="00903B5C">
      <w:pPr>
        <w:pStyle w:val="BodyText"/>
        <w:spacing w:before="4"/>
        <w:ind w:left="620" w:right="1183"/>
      </w:pPr>
      <w:r>
        <w:t>The state UCR Program was unable to provide complete 1996 offense figures in accordance with UCR guidelines. The state UCR Program was able to provide an aggregated state total and data were received from 94 individual Florida agencies.</w:t>
      </w:r>
    </w:p>
    <w:p w14:paraId="2B458B9A" w14:textId="77777777" w:rsidR="0046798B" w:rsidRDefault="00903B5C">
      <w:pPr>
        <w:pStyle w:val="ListParagraph"/>
        <w:numPr>
          <w:ilvl w:val="1"/>
          <w:numId w:val="1"/>
        </w:numPr>
        <w:tabs>
          <w:tab w:val="left" w:pos="816"/>
        </w:tabs>
        <w:spacing w:line="203" w:lineRule="exact"/>
        <w:ind w:left="815"/>
        <w:rPr>
          <w:sz w:val="18"/>
        </w:rPr>
      </w:pPr>
      <w:r>
        <w:rPr>
          <w:sz w:val="18"/>
        </w:rPr>
        <w:t>Illinois</w:t>
      </w:r>
      <w:r>
        <w:rPr>
          <w:spacing w:val="-1"/>
          <w:sz w:val="18"/>
        </w:rPr>
        <w:t xml:space="preserve"> </w:t>
      </w:r>
      <w:r>
        <w:rPr>
          <w:sz w:val="18"/>
        </w:rPr>
        <w:t>-</w:t>
      </w:r>
    </w:p>
    <w:p w14:paraId="260969B7" w14:textId="77777777" w:rsidR="0046798B" w:rsidRDefault="0046798B">
      <w:pPr>
        <w:spacing w:line="203" w:lineRule="exact"/>
        <w:rPr>
          <w:sz w:val="18"/>
        </w:rPr>
        <w:sectPr w:rsidR="0046798B">
          <w:pgSz w:w="15840" w:h="12240" w:orient="landscape"/>
          <w:pgMar w:top="1220" w:right="300" w:bottom="980" w:left="820" w:header="730" w:footer="787" w:gutter="0"/>
          <w:cols w:space="720"/>
        </w:sectPr>
      </w:pPr>
    </w:p>
    <w:p w14:paraId="522951FE" w14:textId="77777777" w:rsidR="0046798B" w:rsidRDefault="0046798B">
      <w:pPr>
        <w:pStyle w:val="BodyText"/>
        <w:spacing w:before="0"/>
        <w:rPr>
          <w:sz w:val="20"/>
        </w:rPr>
      </w:pPr>
    </w:p>
    <w:p w14:paraId="163B662D" w14:textId="77777777" w:rsidR="0046798B" w:rsidRDefault="0046798B">
      <w:pPr>
        <w:pStyle w:val="BodyText"/>
        <w:spacing w:before="1"/>
        <w:rPr>
          <w:sz w:val="22"/>
        </w:rPr>
      </w:pPr>
    </w:p>
    <w:p w14:paraId="7FCB8B35" w14:textId="77777777" w:rsidR="0046798B" w:rsidRDefault="00903B5C">
      <w:pPr>
        <w:pStyle w:val="BodyText"/>
        <w:spacing w:before="1"/>
        <w:ind w:left="620" w:right="1252"/>
      </w:pPr>
      <w:r>
        <w:t>The state UCR Program was unable to provide 1985-current forcible rape figures in accordance with national UCR Program guidelines. The rape totals were estimated using national rates per 100,000 inhabitants within the eight population groups and assigning the forcible rape volumes proportionally to the state. Rockford, Illinois, has provided valid forcible rape counts as of 2006.</w:t>
      </w:r>
    </w:p>
    <w:p w14:paraId="3EA87FAB" w14:textId="77777777" w:rsidR="0046798B" w:rsidRDefault="00903B5C">
      <w:pPr>
        <w:pStyle w:val="BodyText"/>
        <w:spacing w:before="0"/>
        <w:ind w:left="620" w:right="1304"/>
      </w:pPr>
      <w:r>
        <w:t>For 1993 state NIBRS conversion efforts resulted in estimation for Illinois. Since valid annual totals were available for approximately 60 Illinois agencies, those counts were maintained. The counts for the remaining jurisdictions were replaced with the most recent valid annual totals or were generated using standard estimation procedures. The results of all sources were then combined to arrive at the 1993 state total for Illinois.</w:t>
      </w:r>
    </w:p>
    <w:p w14:paraId="61369012" w14:textId="77777777" w:rsidR="0046798B" w:rsidRDefault="00903B5C">
      <w:pPr>
        <w:pStyle w:val="BodyText"/>
        <w:spacing w:before="0" w:line="242" w:lineRule="auto"/>
        <w:ind w:left="620" w:right="1612"/>
      </w:pPr>
      <w:r>
        <w:t>For 1994 state NIBRS conversion efforts resulted in estimation for Illinois. Illinois totals were generated using only the valid crime rates for the East North Central Division. Within each population group, the state's offense totals were estimated based on the rate per 100,000 inhabitants within the remainder of the division.</w:t>
      </w:r>
    </w:p>
    <w:p w14:paraId="0541F149" w14:textId="77777777" w:rsidR="0046798B" w:rsidRDefault="00903B5C">
      <w:pPr>
        <w:pStyle w:val="BodyText"/>
        <w:spacing w:before="0"/>
        <w:ind w:left="620" w:right="1278"/>
      </w:pPr>
      <w:r>
        <w:t>For 1996-current, the state UCR Program was unable to provide complete offense figures in accordance with UCR guidelines. Valid Part I counts were available for most of the largest cities (100,000 and over in population). For other agencies, the only available counts generated by the Illinois State Program were state totals based upon an incident-level system without indication of multiple offenses recorded within single incidents. Therefore, the UCR Hierarchy Rule could not be applied in order to convert the state's data to Summary Reporting System data. (The Hierarchy Rule requires that only the most serious offense in a multiple-offense criminal incident is counted.) To arrive at a comparable state estimate to be included in national compilations, the Illinois State Program's state totals (which were inflated because of the nonapplication of the Hierarchy Rule) were reduced by the proportion of multiple offenses reported within single incidents in the NIBRS database. Valid totals for the large cities were excluded from the reduction process.</w:t>
      </w:r>
    </w:p>
    <w:p w14:paraId="4DD242D4" w14:textId="77777777" w:rsidR="0046798B" w:rsidRDefault="00903B5C">
      <w:pPr>
        <w:pStyle w:val="ListParagraph"/>
        <w:numPr>
          <w:ilvl w:val="1"/>
          <w:numId w:val="1"/>
        </w:numPr>
        <w:tabs>
          <w:tab w:val="left" w:pos="816"/>
        </w:tabs>
        <w:ind w:right="1586" w:firstLine="90"/>
        <w:rPr>
          <w:sz w:val="18"/>
        </w:rPr>
      </w:pPr>
      <w:r>
        <w:rPr>
          <w:sz w:val="18"/>
        </w:rPr>
        <w:t>Iowa - NIBRS conversion efforts resulted in estimation for Iowa in 1991. State totals were estimated by updating previous valid annual totals for individual jurisdictions, subdivided by population group. Percent changes for each offense within each population group of the West North Central Division were applied to the previous valid annual totals. The state totals were compiled from the sums of the population group</w:t>
      </w:r>
      <w:r>
        <w:rPr>
          <w:spacing w:val="-15"/>
          <w:sz w:val="18"/>
        </w:rPr>
        <w:t xml:space="preserve"> </w:t>
      </w:r>
      <w:r>
        <w:rPr>
          <w:sz w:val="18"/>
        </w:rPr>
        <w:t>estimates.</w:t>
      </w:r>
    </w:p>
    <w:p w14:paraId="165A9988" w14:textId="77777777" w:rsidR="0046798B" w:rsidRDefault="00903B5C">
      <w:pPr>
        <w:pStyle w:val="ListParagraph"/>
        <w:numPr>
          <w:ilvl w:val="1"/>
          <w:numId w:val="1"/>
        </w:numPr>
        <w:tabs>
          <w:tab w:val="left" w:pos="816"/>
        </w:tabs>
        <w:spacing w:line="205" w:lineRule="exact"/>
        <w:ind w:left="815"/>
        <w:rPr>
          <w:sz w:val="18"/>
        </w:rPr>
      </w:pPr>
      <w:r>
        <w:rPr>
          <w:sz w:val="18"/>
        </w:rPr>
        <w:t>Kansas</w:t>
      </w:r>
      <w:r>
        <w:rPr>
          <w:spacing w:val="-1"/>
          <w:sz w:val="18"/>
        </w:rPr>
        <w:t xml:space="preserve"> </w:t>
      </w:r>
      <w:r>
        <w:rPr>
          <w:sz w:val="18"/>
        </w:rPr>
        <w:t>-</w:t>
      </w:r>
    </w:p>
    <w:p w14:paraId="2CC0BA11" w14:textId="77777777" w:rsidR="0046798B" w:rsidRDefault="00903B5C">
      <w:pPr>
        <w:pStyle w:val="BodyText"/>
        <w:spacing w:before="0"/>
        <w:ind w:left="620" w:right="1182"/>
      </w:pPr>
      <w:r>
        <w:t>NIBRS conversion efforts resulted in estimation for Kansas in 1993. State totals were estimated by updating previous valid annual totals for individual jurisdictions, subdivided by population group. Percent changes for each offense within each population group of the West North Central Division were applied to the previous valid annual totals. The state totals were compiled from the sums of the population group estimates.</w:t>
      </w:r>
    </w:p>
    <w:p w14:paraId="78AEF8D6" w14:textId="77777777" w:rsidR="0046798B" w:rsidRDefault="00903B5C">
      <w:pPr>
        <w:pStyle w:val="BodyText"/>
        <w:spacing w:before="0" w:line="242" w:lineRule="auto"/>
        <w:ind w:left="620" w:right="1258"/>
      </w:pPr>
      <w:r>
        <w:t>NIBRS conversion efforts resulted in estimation for Kansas in 1994. State totals were generated using only the valid crime rates for the West North Central Division. Within each population group, the state's offense totals were estimated based on the rate per 100,000 inhabitants within the remainder of the division.</w:t>
      </w:r>
    </w:p>
    <w:p w14:paraId="6B8D21B3" w14:textId="77777777" w:rsidR="0046798B" w:rsidRDefault="00903B5C">
      <w:pPr>
        <w:pStyle w:val="BodyText"/>
        <w:spacing w:before="0" w:line="244" w:lineRule="auto"/>
        <w:ind w:left="620" w:right="1423"/>
      </w:pPr>
      <w:r>
        <w:t>The state UCR Program was unable to provide complete 1995 offense figures in accordance with UCR guidelines. The state UCR Program was able to provide valid 1994 state totals which were then updated using 1995 crime trends for the West North Central Division.</w:t>
      </w:r>
    </w:p>
    <w:p w14:paraId="2052C8E4" w14:textId="77777777" w:rsidR="0046798B" w:rsidRDefault="00903B5C">
      <w:pPr>
        <w:pStyle w:val="BodyText"/>
        <w:spacing w:before="0" w:line="237" w:lineRule="auto"/>
        <w:ind w:left="620" w:right="1203"/>
      </w:pPr>
      <w:r>
        <w:t>The state UCR Program was unable to provide complete 1996 offense figures in accordance with UCR guidelines. The Kansas state estimate was extrapolated from 1996 January- June state totals provided by the Kansas State UCR</w:t>
      </w:r>
      <w:r>
        <w:rPr>
          <w:spacing w:val="-9"/>
        </w:rPr>
        <w:t xml:space="preserve"> </w:t>
      </w:r>
      <w:r>
        <w:t>Program.</w:t>
      </w:r>
    </w:p>
    <w:p w14:paraId="22F185DB" w14:textId="77777777" w:rsidR="0046798B" w:rsidRDefault="00903B5C">
      <w:pPr>
        <w:pStyle w:val="BodyText"/>
        <w:spacing w:before="0"/>
        <w:ind w:left="620" w:right="1203"/>
      </w:pPr>
      <w:r>
        <w:t>The state UCR Program was unable to provide complete 1997 offense figures in accordance with UCR guidelines. The Kansas state estimate was extrapolated from 1996 January- June state totals provided by the Kansas State UCR</w:t>
      </w:r>
      <w:r>
        <w:rPr>
          <w:spacing w:val="-9"/>
        </w:rPr>
        <w:t xml:space="preserve"> </w:t>
      </w:r>
      <w:r>
        <w:t>Program.</w:t>
      </w:r>
    </w:p>
    <w:p w14:paraId="26A8F0C9" w14:textId="77777777" w:rsidR="0046798B" w:rsidRDefault="00903B5C">
      <w:pPr>
        <w:pStyle w:val="BodyText"/>
        <w:spacing w:before="0" w:line="244" w:lineRule="auto"/>
        <w:ind w:left="620" w:right="1428"/>
      </w:pPr>
      <w:r>
        <w:t>The state UCR Program was unable to provide complete 1998 offense figures in accordance with UCR guidelines. To arrive at 1998 estimates, 1997 state totals supplied by the Kansas State UCR Program were updated using 1998 crime trends for the West North Central Division.</w:t>
      </w:r>
    </w:p>
    <w:p w14:paraId="3A2A1AC6" w14:textId="77777777" w:rsidR="0046798B" w:rsidRDefault="00903B5C">
      <w:pPr>
        <w:pStyle w:val="BodyText"/>
        <w:spacing w:before="0" w:line="242" w:lineRule="auto"/>
        <w:ind w:left="620" w:right="1363"/>
      </w:pPr>
      <w:r>
        <w:t>The state UCR Program was unable to provide complete 1999 offense figures in accordance with UCR guidelines. To arrive at the 1999 estimate for Kansas, the 1998 state total supplied by the state UCR Program was updated using 1999 crime trends for the division in which Kansas is located.</w:t>
      </w:r>
    </w:p>
    <w:p w14:paraId="7C51E9E7" w14:textId="77777777" w:rsidR="0046798B" w:rsidRDefault="00903B5C">
      <w:pPr>
        <w:pStyle w:val="BodyText"/>
        <w:spacing w:before="0" w:line="237" w:lineRule="auto"/>
        <w:ind w:left="620" w:right="1728"/>
      </w:pPr>
      <w:r>
        <w:t>The state UCR Program was unable to provide complete 2000 offense figures in accordance with UCR guidelines. To arrive at the 2000 estimate for Kansas, the 1999 state estimate was updated using 2000 crime trends for the West North Central Division.</w:t>
      </w:r>
    </w:p>
    <w:p w14:paraId="6D874A29" w14:textId="77777777" w:rsidR="0046798B" w:rsidRDefault="00903B5C">
      <w:pPr>
        <w:pStyle w:val="ListParagraph"/>
        <w:numPr>
          <w:ilvl w:val="1"/>
          <w:numId w:val="1"/>
        </w:numPr>
        <w:tabs>
          <w:tab w:val="left" w:pos="816"/>
        </w:tabs>
        <w:spacing w:line="206" w:lineRule="exact"/>
        <w:ind w:left="815"/>
        <w:rPr>
          <w:sz w:val="18"/>
        </w:rPr>
      </w:pPr>
      <w:r>
        <w:rPr>
          <w:sz w:val="18"/>
        </w:rPr>
        <w:t>Kentucky -</w:t>
      </w:r>
    </w:p>
    <w:p w14:paraId="7A3501D9" w14:textId="77777777" w:rsidR="0046798B" w:rsidRDefault="00903B5C">
      <w:pPr>
        <w:pStyle w:val="BodyText"/>
        <w:spacing w:before="0"/>
        <w:ind w:left="620" w:right="1382"/>
      </w:pPr>
      <w:r>
        <w:t>Reporting problems at the state resulted in no usable 1988 data. The state total was estimated by updating previous valid annual totals for individual jurisdictions, subdivided by population group. Percent changes for each offense within each population group of the geographic division in which the state resides was applied to the previous valid annual totals. The state total was compiled from the sums of the population group estimates.</w:t>
      </w:r>
    </w:p>
    <w:p w14:paraId="5E94E4E1" w14:textId="77777777" w:rsidR="0046798B" w:rsidRDefault="00903B5C">
      <w:pPr>
        <w:pStyle w:val="BodyText"/>
        <w:spacing w:before="0" w:line="242" w:lineRule="auto"/>
        <w:ind w:left="620" w:right="1583"/>
      </w:pPr>
      <w:r>
        <w:t>The state UCR Program was unable to provide complete 1996 offense figures in accordance with UCR guidelines. The 1995 and 1996 percent changes within the geographic division in which Kentucky is categorized were applied to the valid 1995 state total to generate the 1996 state total.</w:t>
      </w:r>
    </w:p>
    <w:p w14:paraId="111D801B" w14:textId="77777777" w:rsidR="0046798B" w:rsidRDefault="00903B5C">
      <w:pPr>
        <w:pStyle w:val="BodyText"/>
        <w:spacing w:before="0" w:line="244" w:lineRule="auto"/>
        <w:ind w:left="620" w:right="1583"/>
      </w:pPr>
      <w:r>
        <w:t>The state UCR Program was unable to provide complete 1997 offense figures in accordance with UCR guidelines. The 1996 and 1997 percent changes within the geographic division in which Kentucky is categorized were applied to the valid 1996 state total to effect the 1997 state total.</w:t>
      </w:r>
    </w:p>
    <w:p w14:paraId="33C842A8" w14:textId="77777777" w:rsidR="0046798B" w:rsidRDefault="0046798B">
      <w:pPr>
        <w:spacing w:line="244" w:lineRule="auto"/>
        <w:sectPr w:rsidR="0046798B">
          <w:pgSz w:w="15840" w:h="12240" w:orient="landscape"/>
          <w:pgMar w:top="1220" w:right="300" w:bottom="980" w:left="820" w:header="730" w:footer="787" w:gutter="0"/>
          <w:cols w:space="720"/>
        </w:sectPr>
      </w:pPr>
    </w:p>
    <w:p w14:paraId="24B1FF60" w14:textId="77777777" w:rsidR="0046798B" w:rsidRDefault="0046798B">
      <w:pPr>
        <w:pStyle w:val="BodyText"/>
        <w:spacing w:before="0"/>
        <w:rPr>
          <w:sz w:val="20"/>
        </w:rPr>
      </w:pPr>
    </w:p>
    <w:p w14:paraId="5B9EBF45" w14:textId="77777777" w:rsidR="0046798B" w:rsidRDefault="0046798B">
      <w:pPr>
        <w:pStyle w:val="BodyText"/>
        <w:spacing w:before="1"/>
        <w:rPr>
          <w:sz w:val="22"/>
        </w:rPr>
      </w:pPr>
    </w:p>
    <w:p w14:paraId="741C9926" w14:textId="77777777" w:rsidR="0046798B" w:rsidRDefault="00903B5C">
      <w:pPr>
        <w:pStyle w:val="BodyText"/>
        <w:spacing w:before="1"/>
        <w:ind w:left="620" w:right="1234"/>
      </w:pPr>
      <w:r>
        <w:t>The state UCR Program was unable to provide complete 1998 offense figures in accordance with UCR guidelines. The state total was estimated by using 1997 figures for the nonreporting areas and applying 1997 versus 1998 percentage changes for the division in which Kentucky is located. The estimates for the nonreporting areas were then increased by any actual 1998 crime counts received.</w:t>
      </w:r>
    </w:p>
    <w:p w14:paraId="082C33E7" w14:textId="77777777" w:rsidR="0046798B" w:rsidRDefault="00903B5C">
      <w:pPr>
        <w:pStyle w:val="BodyText"/>
        <w:spacing w:before="0" w:line="242" w:lineRule="auto"/>
        <w:ind w:left="620" w:right="1178"/>
      </w:pPr>
      <w:r>
        <w:t xml:space="preserve">The state UCR Program was unable to provide complete 1999 offense figures in accordance with UCR guidelines. To arrive at the 1999 estimate for Kentucky, the 1998 state </w:t>
      </w:r>
      <w:r>
        <w:rPr>
          <w:spacing w:val="-3"/>
        </w:rPr>
        <w:t xml:space="preserve">total </w:t>
      </w:r>
      <w:r>
        <w:t>supplied by the state UCR Program was updated using 1999 crime trends for the division in which Kentucky is</w:t>
      </w:r>
      <w:r>
        <w:rPr>
          <w:spacing w:val="-26"/>
        </w:rPr>
        <w:t xml:space="preserve"> </w:t>
      </w:r>
      <w:r>
        <w:t>located.</w:t>
      </w:r>
    </w:p>
    <w:p w14:paraId="22CFEA61" w14:textId="77777777" w:rsidR="0046798B" w:rsidRDefault="00903B5C">
      <w:pPr>
        <w:pStyle w:val="BodyText"/>
        <w:spacing w:before="0" w:line="237" w:lineRule="auto"/>
        <w:ind w:left="620" w:right="1178"/>
      </w:pPr>
      <w:r>
        <w:t xml:space="preserve">The state UCR Program was unable to provide complete 2000 offense figures in accordance with UCR guidelines. To arrive at the 2000 estimate for Kentucky, the 1999 state </w:t>
      </w:r>
      <w:r>
        <w:rPr>
          <w:spacing w:val="-3"/>
        </w:rPr>
        <w:t xml:space="preserve">total </w:t>
      </w:r>
      <w:r>
        <w:t>supplied by the state UCR Program was updated using 2000 crime trends for the division in which Kentucky is</w:t>
      </w:r>
      <w:r>
        <w:rPr>
          <w:spacing w:val="-27"/>
        </w:rPr>
        <w:t xml:space="preserve"> </w:t>
      </w:r>
      <w:r>
        <w:t>located.</w:t>
      </w:r>
    </w:p>
    <w:p w14:paraId="1D5F4D54" w14:textId="77777777" w:rsidR="0046798B" w:rsidRDefault="00903B5C">
      <w:pPr>
        <w:pStyle w:val="BodyText"/>
        <w:spacing w:before="1"/>
        <w:ind w:left="620" w:right="1548"/>
      </w:pPr>
      <w:r>
        <w:t>The state UCR Program was unable to provide complete 2001 offense figures in accordance with UCR guidelines. To arrive at the 2001 estimate for Kentucky, the 2000 state estimate was updated using 2001 crime trends reported for the East South Central Division.</w:t>
      </w:r>
    </w:p>
    <w:p w14:paraId="6C264AEE" w14:textId="77777777" w:rsidR="0046798B" w:rsidRDefault="00903B5C">
      <w:pPr>
        <w:pStyle w:val="BodyText"/>
        <w:spacing w:before="1"/>
        <w:ind w:left="620" w:right="1153"/>
      </w:pPr>
      <w:r>
        <w:t>The state UCR Program was unable to provide complete 2002 offense figures in accordance with UCR guidelines. To obtain the 2002 state crime count, the FBI contacted the state UCR Program, and the state agency was able to provide their latest state total, 2000. Therefore, the 2001 state estimate was updated for inclusion in the 2002 edition of Crime in the United States by using the 2001 crime trends for the division in which the state is located. To derive the 2002 state estimate, the 2002 crime trends for the division were applied to the adjusted 2001 state estimate.</w:t>
      </w:r>
    </w:p>
    <w:p w14:paraId="14158E3D" w14:textId="77777777" w:rsidR="0046798B" w:rsidRDefault="00903B5C">
      <w:pPr>
        <w:pStyle w:val="BodyText"/>
        <w:spacing w:before="0"/>
        <w:ind w:left="620" w:right="1187"/>
      </w:pPr>
      <w:r>
        <w:t>The state UCR Program was unable to provide complete 2003 offense figures in accordance with UCR guidelines. To obtain the 2003 estimate, the 2003 crime trend for the East South Central Division was applied to an adjusted 2002 state estimate. The 2002 state count was reestimated by applying the 2002 crime trend for the East South Central Division using a more current figure, 2001 state totals, provided by the state UCR Program. The adjusted 2002 estimate differs from the figure published in the 2002 edition of Crime in the United States which was originally estimated using 2002 state totals</w:t>
      </w:r>
    </w:p>
    <w:p w14:paraId="19FE84B7" w14:textId="77777777" w:rsidR="0046798B" w:rsidRDefault="00903B5C">
      <w:pPr>
        <w:pStyle w:val="ListParagraph"/>
        <w:numPr>
          <w:ilvl w:val="1"/>
          <w:numId w:val="1"/>
        </w:numPr>
        <w:tabs>
          <w:tab w:val="left" w:pos="816"/>
        </w:tabs>
        <w:ind w:right="1330" w:firstLine="90"/>
        <w:jc w:val="both"/>
        <w:rPr>
          <w:sz w:val="18"/>
        </w:rPr>
      </w:pPr>
      <w:r>
        <w:rPr>
          <w:sz w:val="18"/>
        </w:rPr>
        <w:t>Maine - The state UCR Program was unable to provide complete 1999 offense figures in accordance with UCR guidelines. The Maine Department of Public Safety forwarded monthly January through October crime counts for each law enforcement contributor; since 12 months of data were not received, the national Program estimated for the missing data following standard estimation procedures to arrive at a 1999 state total.</w:t>
      </w:r>
    </w:p>
    <w:p w14:paraId="5436300E" w14:textId="77777777" w:rsidR="0046798B" w:rsidRDefault="00903B5C">
      <w:pPr>
        <w:pStyle w:val="ListParagraph"/>
        <w:numPr>
          <w:ilvl w:val="1"/>
          <w:numId w:val="1"/>
        </w:numPr>
        <w:tabs>
          <w:tab w:val="left" w:pos="816"/>
        </w:tabs>
        <w:ind w:right="1170" w:firstLine="90"/>
        <w:rPr>
          <w:sz w:val="18"/>
        </w:rPr>
      </w:pPr>
      <w:r>
        <w:rPr>
          <w:sz w:val="18"/>
        </w:rPr>
        <w:t>Michigan - The state UCR Program was unable to provide 1993 forcible rape figures in accordance with UCR guidelines. The rape totals were estimated using national rates per 100,000 inhabitants within the eight population groups and assigning the forcible rape volumes proportionally to the state.</w:t>
      </w:r>
    </w:p>
    <w:p w14:paraId="3DDE5F2E" w14:textId="77777777" w:rsidR="0046798B" w:rsidRDefault="00903B5C">
      <w:pPr>
        <w:pStyle w:val="ListParagraph"/>
        <w:numPr>
          <w:ilvl w:val="1"/>
          <w:numId w:val="1"/>
        </w:numPr>
        <w:tabs>
          <w:tab w:val="left" w:pos="816"/>
        </w:tabs>
        <w:spacing w:line="206" w:lineRule="exact"/>
        <w:ind w:left="815"/>
        <w:rPr>
          <w:sz w:val="18"/>
        </w:rPr>
      </w:pPr>
      <w:r>
        <w:rPr>
          <w:sz w:val="18"/>
        </w:rPr>
        <w:t>Minnesota -</w:t>
      </w:r>
    </w:p>
    <w:p w14:paraId="16F6363D" w14:textId="77777777" w:rsidR="0046798B" w:rsidRDefault="00903B5C">
      <w:pPr>
        <w:pStyle w:val="BodyText"/>
        <w:spacing w:before="0"/>
        <w:ind w:left="620" w:right="1148"/>
      </w:pPr>
      <w:r>
        <w:t>All agencies 1993 and 2005-Present (with the exception of Minneapolis and St. Paul) - The data collection methodology for the offense of forcible rape used by the State Uniform Crime Reporting (UCR) Program does not comply with national UCR Program guidelines. Consequently, their figures for forcible rape and violent crime (of which forcible rape is part) are not included in this tool..</w:t>
      </w:r>
    </w:p>
    <w:p w14:paraId="7E8B836B" w14:textId="77777777" w:rsidR="0046798B" w:rsidRDefault="00903B5C">
      <w:pPr>
        <w:pStyle w:val="ListParagraph"/>
        <w:numPr>
          <w:ilvl w:val="1"/>
          <w:numId w:val="1"/>
        </w:numPr>
        <w:tabs>
          <w:tab w:val="left" w:pos="816"/>
        </w:tabs>
        <w:spacing w:line="207" w:lineRule="exact"/>
        <w:ind w:left="815"/>
        <w:rPr>
          <w:sz w:val="18"/>
        </w:rPr>
      </w:pPr>
      <w:r>
        <w:rPr>
          <w:sz w:val="18"/>
        </w:rPr>
        <w:t>Montana</w:t>
      </w:r>
      <w:r>
        <w:rPr>
          <w:spacing w:val="-1"/>
          <w:sz w:val="18"/>
        </w:rPr>
        <w:t xml:space="preserve"> </w:t>
      </w:r>
      <w:r>
        <w:rPr>
          <w:sz w:val="18"/>
        </w:rPr>
        <w:t>-</w:t>
      </w:r>
    </w:p>
    <w:p w14:paraId="493DA817" w14:textId="77777777" w:rsidR="0046798B" w:rsidRDefault="00903B5C">
      <w:pPr>
        <w:pStyle w:val="BodyText"/>
        <w:spacing w:before="2"/>
        <w:ind w:left="620" w:right="1373"/>
      </w:pPr>
      <w:r>
        <w:t>The state UCR Program was unable to provide complete 1994 offense figures in accordance with UCR guidelines. State totals were estimated by updating previous valid annual totals for individual jurisdictions, subdivided by population group. Percent changes for each offense within each population group of the Mountain Division were applied to the previous valid annual totals. The state totals were compiled from the sums of the population group estimates.</w:t>
      </w:r>
    </w:p>
    <w:p w14:paraId="5D665CE2" w14:textId="77777777" w:rsidR="0046798B" w:rsidRDefault="00903B5C">
      <w:pPr>
        <w:pStyle w:val="BodyText"/>
        <w:spacing w:before="0"/>
        <w:ind w:left="620" w:right="1333"/>
      </w:pPr>
      <w:r>
        <w:t>The state UCR Program was unable to provide complete 1995 offense figures in accordance with UCR guidelines. State estimates were computed by updating the previous valid annual totals using the 1994 versus 1995 percent changes for the Mountain Division.</w:t>
      </w:r>
    </w:p>
    <w:p w14:paraId="3B0644D6" w14:textId="77777777" w:rsidR="0046798B" w:rsidRDefault="00903B5C">
      <w:pPr>
        <w:pStyle w:val="BodyText"/>
        <w:spacing w:before="1"/>
        <w:ind w:left="620" w:right="1583"/>
      </w:pPr>
      <w:r>
        <w:t>The state UCR Program was unable to provide complete 1996 offense figures in accordance with UCR guidelines. The 1995 and 1996 percent changes within the geographic division in which Montana is categorized were applied to the valid 1995 state total to generate the 1996 state total.</w:t>
      </w:r>
    </w:p>
    <w:p w14:paraId="7A8B8D72" w14:textId="77777777" w:rsidR="0046798B" w:rsidRDefault="00903B5C">
      <w:pPr>
        <w:pStyle w:val="BodyText"/>
        <w:spacing w:before="0" w:line="242" w:lineRule="auto"/>
        <w:ind w:left="620" w:right="1583"/>
      </w:pPr>
      <w:r>
        <w:t>The state UCR Program was unable to provide complete 1997 offense figures in accordance with UCR guidelines. The 1996 and 1997 percent changes within the geographic division in which Montana is categorized were applied to the valid 1996 state total to effect the 1997 state total.</w:t>
      </w:r>
    </w:p>
    <w:p w14:paraId="56BE4819" w14:textId="77777777" w:rsidR="0046798B" w:rsidRDefault="00903B5C">
      <w:pPr>
        <w:pStyle w:val="BodyText"/>
        <w:spacing w:before="0"/>
        <w:ind w:left="620" w:right="1294"/>
      </w:pPr>
      <w:r>
        <w:t>The state UCR Program was unable to provide complete 1998 offense figures in accordance with UCR guidelines. The state total was estimated by using 1997 figures for the nonreporting areas and applying 1997 versus 1998 percentage changes for the division in which Montana is located. The estimates for the nonreporting areas were then increased by any actual 1998 crime counts received.</w:t>
      </w:r>
    </w:p>
    <w:p w14:paraId="5CE0C052" w14:textId="77777777" w:rsidR="0046798B" w:rsidRDefault="00903B5C">
      <w:pPr>
        <w:pStyle w:val="BodyText"/>
        <w:spacing w:before="0" w:line="242" w:lineRule="auto"/>
        <w:ind w:left="620" w:right="1178"/>
      </w:pPr>
      <w:r>
        <w:t xml:space="preserve">The state UCR Program was unable to provide complete 1999 offense figures in accordance with UCR guidelines. To arrive at the 1999 estimate for Montana, the 1998 state </w:t>
      </w:r>
      <w:r>
        <w:rPr>
          <w:spacing w:val="-3"/>
        </w:rPr>
        <w:t xml:space="preserve">total </w:t>
      </w:r>
      <w:r>
        <w:t>supplied by the state UCR Program was updated using 1999 crime trends for the division in which Montana is</w:t>
      </w:r>
      <w:r>
        <w:rPr>
          <w:spacing w:val="-25"/>
        </w:rPr>
        <w:t xml:space="preserve"> </w:t>
      </w:r>
      <w:r>
        <w:t>located.</w:t>
      </w:r>
    </w:p>
    <w:p w14:paraId="353EF071" w14:textId="77777777" w:rsidR="0046798B" w:rsidRDefault="00903B5C">
      <w:pPr>
        <w:pStyle w:val="BodyText"/>
        <w:spacing w:before="0" w:line="244" w:lineRule="auto"/>
        <w:ind w:left="620" w:right="1178"/>
      </w:pPr>
      <w:r>
        <w:t xml:space="preserve">The state UCR Program was unable to provide complete 2000 offense figures in accordance with UCR guidelines. To arrive at the 2000 estimate for Montana, the 1999 state </w:t>
      </w:r>
      <w:r>
        <w:rPr>
          <w:spacing w:val="-3"/>
        </w:rPr>
        <w:t xml:space="preserve">total </w:t>
      </w:r>
      <w:r>
        <w:t>supplied by the state UCR Program was updated using 2000 crime trends for the division in which Montana is</w:t>
      </w:r>
      <w:r>
        <w:rPr>
          <w:spacing w:val="-24"/>
        </w:rPr>
        <w:t xml:space="preserve"> </w:t>
      </w:r>
      <w:r>
        <w:t>located.</w:t>
      </w:r>
    </w:p>
    <w:p w14:paraId="4A9AF30C" w14:textId="77777777" w:rsidR="0046798B" w:rsidRDefault="00903B5C">
      <w:pPr>
        <w:pStyle w:val="ListParagraph"/>
        <w:numPr>
          <w:ilvl w:val="1"/>
          <w:numId w:val="1"/>
        </w:numPr>
        <w:tabs>
          <w:tab w:val="left" w:pos="816"/>
        </w:tabs>
        <w:spacing w:line="200" w:lineRule="exact"/>
        <w:ind w:left="815"/>
        <w:rPr>
          <w:sz w:val="18"/>
        </w:rPr>
      </w:pPr>
      <w:r>
        <w:rPr>
          <w:sz w:val="18"/>
        </w:rPr>
        <w:t>New Hampshire</w:t>
      </w:r>
      <w:r>
        <w:rPr>
          <w:spacing w:val="-1"/>
          <w:sz w:val="18"/>
        </w:rPr>
        <w:t xml:space="preserve"> </w:t>
      </w:r>
      <w:r>
        <w:rPr>
          <w:sz w:val="18"/>
        </w:rPr>
        <w:t>-</w:t>
      </w:r>
    </w:p>
    <w:p w14:paraId="356ADE97" w14:textId="77777777" w:rsidR="0046798B" w:rsidRDefault="0046798B">
      <w:pPr>
        <w:spacing w:line="200" w:lineRule="exact"/>
        <w:rPr>
          <w:sz w:val="18"/>
        </w:rPr>
        <w:sectPr w:rsidR="0046798B">
          <w:pgSz w:w="15840" w:h="12240" w:orient="landscape"/>
          <w:pgMar w:top="1220" w:right="300" w:bottom="980" w:left="820" w:header="730" w:footer="787" w:gutter="0"/>
          <w:cols w:space="720"/>
        </w:sectPr>
      </w:pPr>
    </w:p>
    <w:p w14:paraId="5FEA086B" w14:textId="77777777" w:rsidR="0046798B" w:rsidRDefault="0046798B">
      <w:pPr>
        <w:pStyle w:val="BodyText"/>
        <w:spacing w:before="0"/>
        <w:rPr>
          <w:sz w:val="20"/>
        </w:rPr>
      </w:pPr>
    </w:p>
    <w:p w14:paraId="3051C83D" w14:textId="77777777" w:rsidR="0046798B" w:rsidRDefault="0046798B">
      <w:pPr>
        <w:pStyle w:val="BodyText"/>
        <w:spacing w:before="1"/>
        <w:rPr>
          <w:sz w:val="22"/>
        </w:rPr>
      </w:pPr>
    </w:p>
    <w:p w14:paraId="4C7B9E0E" w14:textId="77777777" w:rsidR="0046798B" w:rsidRDefault="00903B5C">
      <w:pPr>
        <w:pStyle w:val="BodyText"/>
        <w:spacing w:before="1"/>
        <w:ind w:left="620" w:right="1583"/>
      </w:pPr>
      <w:r>
        <w:t>The state UCR Program was unable to provide complete 1997 offense figures in accordance with UCR guidelines. The 1996 and 1997 percent changes within the geographic division in which New Hampshire is categorized were applied to the valid 1996 state total to effect the 1997 state total.</w:t>
      </w:r>
    </w:p>
    <w:p w14:paraId="3D6B6D62" w14:textId="77777777" w:rsidR="0046798B" w:rsidRDefault="00903B5C">
      <w:pPr>
        <w:pStyle w:val="BodyText"/>
        <w:spacing w:before="1"/>
        <w:ind w:left="620" w:right="1483"/>
      </w:pPr>
      <w:r>
        <w:t>The state UCR Program was unable to provide complete 1998 offense figures in accordance with UCR guidelines. The state total was estimated by using 1997 figures for the nonreporting areas and applying 1997 versus 1998 percentage changes for the division in which New Hampshire is located. The estimates for the nonreporting areas were then increased by any actual 1998 crime counts received.</w:t>
      </w:r>
    </w:p>
    <w:p w14:paraId="5D500A76" w14:textId="77777777" w:rsidR="0046798B" w:rsidRDefault="00903B5C">
      <w:pPr>
        <w:pStyle w:val="BodyText"/>
        <w:spacing w:before="0"/>
        <w:ind w:left="620" w:right="1313"/>
      </w:pPr>
      <w:r>
        <w:t>The state UCR Program was unable to provide complete 1999 offense figures in accordance with UCR guidelines. The state total for New Hampshire was estimated by using the 1998 figures for the 1999 nonreporting areas and applying the 2-year percent change for the New England Division.</w:t>
      </w:r>
    </w:p>
    <w:p w14:paraId="62AE441B" w14:textId="77777777" w:rsidR="0046798B" w:rsidRDefault="00903B5C">
      <w:pPr>
        <w:pStyle w:val="ListParagraph"/>
        <w:numPr>
          <w:ilvl w:val="1"/>
          <w:numId w:val="1"/>
        </w:numPr>
        <w:tabs>
          <w:tab w:val="left" w:pos="816"/>
        </w:tabs>
        <w:spacing w:line="206" w:lineRule="exact"/>
        <w:ind w:left="815"/>
        <w:rPr>
          <w:sz w:val="18"/>
        </w:rPr>
      </w:pPr>
      <w:r>
        <w:rPr>
          <w:sz w:val="18"/>
        </w:rPr>
        <w:t>Oklahoma - For 1995, the increase in murders was the result of the bombing of the Alfred P. Murrah Federal Building in Oklahoma</w:t>
      </w:r>
      <w:r>
        <w:rPr>
          <w:spacing w:val="-29"/>
          <w:sz w:val="18"/>
        </w:rPr>
        <w:t xml:space="preserve"> </w:t>
      </w:r>
      <w:r>
        <w:rPr>
          <w:sz w:val="18"/>
        </w:rPr>
        <w:t>City.</w:t>
      </w:r>
    </w:p>
    <w:p w14:paraId="5277A795" w14:textId="77777777" w:rsidR="0046798B" w:rsidRDefault="00903B5C">
      <w:pPr>
        <w:pStyle w:val="ListParagraph"/>
        <w:numPr>
          <w:ilvl w:val="1"/>
          <w:numId w:val="1"/>
        </w:numPr>
        <w:tabs>
          <w:tab w:val="left" w:pos="816"/>
        </w:tabs>
        <w:spacing w:line="206" w:lineRule="exact"/>
        <w:ind w:left="815"/>
        <w:rPr>
          <w:sz w:val="18"/>
        </w:rPr>
      </w:pPr>
      <w:r>
        <w:rPr>
          <w:sz w:val="18"/>
        </w:rPr>
        <w:t>Pennsylvania - Since complete 1995 data were not available from Pennsylvania, standard estimation procedures were applied to derive the 1995 state</w:t>
      </w:r>
      <w:r>
        <w:rPr>
          <w:spacing w:val="-20"/>
          <w:sz w:val="18"/>
        </w:rPr>
        <w:t xml:space="preserve"> </w:t>
      </w:r>
      <w:r>
        <w:rPr>
          <w:sz w:val="18"/>
        </w:rPr>
        <w:t>estimate.</w:t>
      </w:r>
    </w:p>
    <w:p w14:paraId="5364EEEC" w14:textId="77777777" w:rsidR="0046798B" w:rsidRDefault="00903B5C">
      <w:pPr>
        <w:pStyle w:val="ListParagraph"/>
        <w:numPr>
          <w:ilvl w:val="1"/>
          <w:numId w:val="1"/>
        </w:numPr>
        <w:tabs>
          <w:tab w:val="left" w:pos="816"/>
        </w:tabs>
        <w:spacing w:before="3"/>
        <w:ind w:right="1454" w:firstLine="90"/>
        <w:rPr>
          <w:sz w:val="18"/>
        </w:rPr>
      </w:pPr>
      <w:r>
        <w:rPr>
          <w:sz w:val="18"/>
        </w:rPr>
        <w:t>Vermont - The state UCR Program was unable to provide complete 1997 offense figures in accordance with UCR guidelines. The 1996 and 1997 percent changes within the geographic division in which Vermont is categorized were applied to the valid 1996 state total to effect the 1997 state</w:t>
      </w:r>
      <w:r>
        <w:rPr>
          <w:spacing w:val="-1"/>
          <w:sz w:val="18"/>
        </w:rPr>
        <w:t xml:space="preserve"> </w:t>
      </w:r>
      <w:r>
        <w:rPr>
          <w:sz w:val="18"/>
        </w:rPr>
        <w:t>total.</w:t>
      </w:r>
    </w:p>
    <w:p w14:paraId="622EADDF" w14:textId="77777777" w:rsidR="0046798B" w:rsidRDefault="00903B5C">
      <w:pPr>
        <w:pStyle w:val="ListParagraph"/>
        <w:numPr>
          <w:ilvl w:val="1"/>
          <w:numId w:val="1"/>
        </w:numPr>
        <w:tabs>
          <w:tab w:val="left" w:pos="816"/>
        </w:tabs>
        <w:ind w:right="1199" w:firstLine="90"/>
        <w:rPr>
          <w:sz w:val="18"/>
        </w:rPr>
      </w:pPr>
      <w:r>
        <w:rPr>
          <w:sz w:val="18"/>
        </w:rPr>
        <w:t>Wisconsin - The state UCR Program was unable to provide complete 1998 offense figures in accordance with UCR guidelines. The state total was estimated by using 1997 figures for the nonreporting areas and applying 1997 versus 1998 percentage changes for the division in which Wisconsin is located. The estimates for the nonreporting areas were then increased by any actual 1998 crime counts</w:t>
      </w:r>
      <w:r>
        <w:rPr>
          <w:spacing w:val="-8"/>
          <w:sz w:val="18"/>
        </w:rPr>
        <w:t xml:space="preserve"> </w:t>
      </w:r>
      <w:r>
        <w:rPr>
          <w:sz w:val="18"/>
        </w:rPr>
        <w:t>received.</w:t>
      </w:r>
    </w:p>
    <w:p w14:paraId="33D1318F" w14:textId="77777777" w:rsidR="0046798B" w:rsidRDefault="00903B5C">
      <w:pPr>
        <w:pStyle w:val="ListParagraph"/>
        <w:numPr>
          <w:ilvl w:val="1"/>
          <w:numId w:val="1"/>
        </w:numPr>
        <w:tabs>
          <w:tab w:val="left" w:pos="816"/>
        </w:tabs>
        <w:spacing w:before="1" w:line="206" w:lineRule="exact"/>
        <w:ind w:left="815"/>
        <w:rPr>
          <w:sz w:val="18"/>
        </w:rPr>
      </w:pPr>
      <w:r>
        <w:rPr>
          <w:sz w:val="18"/>
        </w:rPr>
        <w:t>The murder and nonnegligent homicides that occurred as a result of the events of September 11, 2001, are not</w:t>
      </w:r>
      <w:r>
        <w:rPr>
          <w:spacing w:val="-3"/>
          <w:sz w:val="18"/>
        </w:rPr>
        <w:t xml:space="preserve"> </w:t>
      </w:r>
      <w:r>
        <w:rPr>
          <w:sz w:val="18"/>
        </w:rPr>
        <w:t>included."</w:t>
      </w:r>
    </w:p>
    <w:p w14:paraId="7B6703DA" w14:textId="77777777" w:rsidR="0046798B" w:rsidRDefault="00903B5C">
      <w:pPr>
        <w:pStyle w:val="BodyText"/>
        <w:spacing w:before="0"/>
        <w:ind w:left="620" w:right="1238"/>
      </w:pPr>
      <w:r>
        <w:rPr>
          <w:sz w:val="12"/>
        </w:rPr>
        <w:t xml:space="preserve">xiii </w:t>
      </w:r>
      <w:r>
        <w:t>Energy consumption is estimated by using data from existing surveys of energy suppliers that report consumption, sales, or distribution of energy at the State level. Net total energy consumption excludes all electrical system energy losses. Commercial sector consists of service providing facilities and equipment of: businesses; Federal, State, and local governments; and other private and public organizations. The sector includes commercial combined-heat-and-power (CHP) and commercial electricity-only plants. There is a discontinuity in this time series between 1988 and 1989 due to the expanded coverage of renewable energy sources beginning in 1989. From 1993 onward, data excludes fuel ethanol</w:t>
      </w:r>
      <w:r>
        <w:rPr>
          <w:spacing w:val="-1"/>
        </w:rPr>
        <w:t xml:space="preserve"> </w:t>
      </w:r>
      <w:r>
        <w:t>consumption.</w:t>
      </w:r>
    </w:p>
    <w:p w14:paraId="3A0BB848" w14:textId="77777777" w:rsidR="0046798B" w:rsidRDefault="00903B5C">
      <w:pPr>
        <w:pStyle w:val="BodyText"/>
        <w:spacing w:before="0"/>
        <w:ind w:left="620" w:right="1238"/>
      </w:pPr>
      <w:r>
        <w:rPr>
          <w:sz w:val="12"/>
        </w:rPr>
        <w:t xml:space="preserve">xiv </w:t>
      </w:r>
      <w:r>
        <w:t>Energy consumption is estimated by using data from existing surveys of energy suppliers that report consumption, sales, or distribution of energy at the State level. Net total energy consumption excludes all electrical system energy losses. Commercial sector consists of service providing facilities and equipment of: businesses; Federal, State, and local governments; and other private and public organizations. The sector includes commercial combined-heat-and-power (CHP) and commercial electricity-only plants. There is a discontinuity in this time series between 1988 and 1989 due to the expanded coverage of renewable energy sources beginning in 1989. From 1993 onward, data excludes fuel ethanol</w:t>
      </w:r>
      <w:r>
        <w:rPr>
          <w:spacing w:val="-1"/>
        </w:rPr>
        <w:t xml:space="preserve"> </w:t>
      </w:r>
      <w:r>
        <w:t>consumption.</w:t>
      </w:r>
    </w:p>
    <w:sectPr w:rsidR="0046798B">
      <w:pgSz w:w="15840" w:h="12240" w:orient="landscape"/>
      <w:pgMar w:top="1220" w:right="300" w:bottom="980" w:left="820" w:header="730"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133EB" w14:textId="77777777" w:rsidR="00797354" w:rsidRDefault="00797354">
      <w:r>
        <w:separator/>
      </w:r>
    </w:p>
  </w:endnote>
  <w:endnote w:type="continuationSeparator" w:id="0">
    <w:p w14:paraId="77D7EC77" w14:textId="77777777" w:rsidR="00797354" w:rsidRDefault="0079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2D1F9" w14:textId="77777777" w:rsidR="0046798B" w:rsidRDefault="00797354">
    <w:pPr>
      <w:pStyle w:val="BodyText"/>
      <w:spacing w:before="0" w:line="14" w:lineRule="auto"/>
      <w:rPr>
        <w:sz w:val="20"/>
      </w:rPr>
    </w:pPr>
    <w:r>
      <w:pict w14:anchorId="45AACF51">
        <v:shapetype id="_x0000_t202" coordsize="21600,21600" o:spt="202" path="m,l,21600r21600,l21600,xe">
          <v:stroke joinstyle="miter"/>
          <v:path gradientshapeok="t" o:connecttype="rect"/>
        </v:shapetype>
        <v:shape id="_x0000_s2049" type="#_x0000_t202" alt="" style="position:absolute;margin-left:701.2pt;margin-top:561.65pt;width:21.3pt;height:15.5pt;z-index:-1240456;mso-wrap-style:square;mso-wrap-edited:f;mso-width-percent:0;mso-height-percent:0;mso-position-horizontal-relative:page;mso-position-vertical-relative:page;mso-width-percent:0;mso-height-percent:0;v-text-anchor:top" filled="f" stroked="f">
          <v:textbox inset="0,0,0,0">
            <w:txbxContent>
              <w:p w14:paraId="5A20C5A5" w14:textId="77777777" w:rsidR="0046798B" w:rsidRDefault="00903B5C">
                <w:pPr>
                  <w:spacing w:line="280" w:lineRule="exact"/>
                  <w:ind w:left="40"/>
                  <w:rPr>
                    <w:rFonts w:ascii="Cambria"/>
                  </w:rPr>
                </w:pPr>
                <w:r>
                  <w:fldChar w:fldCharType="begin"/>
                </w:r>
                <w:r>
                  <w:rPr>
                    <w:rFonts w:ascii="Cambria"/>
                    <w:w w:val="90"/>
                  </w:rPr>
                  <w:instrText xml:space="preserve"> PAGE </w:instrText>
                </w:r>
                <w:r>
                  <w:fldChar w:fldCharType="separate"/>
                </w:r>
                <w:r>
                  <w:t>100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3481E" w14:textId="77777777" w:rsidR="00797354" w:rsidRDefault="00797354">
      <w:r>
        <w:separator/>
      </w:r>
    </w:p>
  </w:footnote>
  <w:footnote w:type="continuationSeparator" w:id="0">
    <w:p w14:paraId="6179B625" w14:textId="77777777" w:rsidR="00797354" w:rsidRDefault="00797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42C67" w14:textId="77777777" w:rsidR="0046798B" w:rsidRDefault="00797354">
    <w:pPr>
      <w:pStyle w:val="BodyText"/>
      <w:spacing w:before="0" w:line="14" w:lineRule="auto"/>
      <w:rPr>
        <w:sz w:val="20"/>
      </w:rPr>
    </w:pPr>
    <w:r>
      <w:pict w14:anchorId="54FEFCDB">
        <v:shapetype id="_x0000_t202" coordsize="21600,21600" o:spt="202" path="m,l,21600r21600,l21600,xe">
          <v:stroke joinstyle="miter"/>
          <v:path gradientshapeok="t" o:connecttype="rect"/>
        </v:shapetype>
        <v:shape id="_x0000_s2050" type="#_x0000_t202" alt="" style="position:absolute;margin-left:218.6pt;margin-top:35.5pt;width:354.95pt;height:26.7pt;z-index:-1240480;mso-wrap-style:square;mso-wrap-edited:f;mso-width-percent:0;mso-height-percent:0;mso-position-horizontal-relative:page;mso-position-vertical-relative:page;mso-width-percent:0;mso-height-percent:0;v-text-anchor:top" filled="f" stroked="f">
          <v:textbox inset="0,0,0,0">
            <w:txbxContent>
              <w:p w14:paraId="68240CD0" w14:textId="77777777" w:rsidR="0046798B" w:rsidRDefault="00903B5C">
                <w:pPr>
                  <w:spacing w:before="12" w:line="237" w:lineRule="auto"/>
                  <w:ind w:left="1845" w:hanging="1826"/>
                  <w:rPr>
                    <w:b/>
                  </w:rPr>
                </w:pPr>
                <w:r>
                  <w:rPr>
                    <w:b/>
                    <w:sz w:val="22"/>
                  </w:rPr>
                  <w:t>INSTITUTE FOR PUBLIC POLICY AND SOCIAL RESEARCH (IPPSR) MICHIGAN STATE UNIVERSITY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459AD"/>
    <w:multiLevelType w:val="hybridMultilevel"/>
    <w:tmpl w:val="1D267BE8"/>
    <w:lvl w:ilvl="0" w:tplc="E0D4B46C">
      <w:start w:val="1"/>
      <w:numFmt w:val="upperLetter"/>
      <w:lvlText w:val="%1."/>
      <w:lvlJc w:val="left"/>
      <w:pPr>
        <w:ind w:left="915" w:hanging="295"/>
        <w:jc w:val="left"/>
      </w:pPr>
      <w:rPr>
        <w:rFonts w:hint="default"/>
        <w:spacing w:val="-2"/>
        <w:w w:val="99"/>
        <w:u w:val="single" w:color="000000"/>
        <w:lang w:val="en-US" w:eastAsia="en-US" w:bidi="en-US"/>
      </w:rPr>
    </w:lvl>
    <w:lvl w:ilvl="1" w:tplc="09CAC524">
      <w:numFmt w:val="bullet"/>
      <w:lvlText w:val="•"/>
      <w:lvlJc w:val="left"/>
      <w:pPr>
        <w:ind w:left="2300" w:hanging="295"/>
      </w:pPr>
      <w:rPr>
        <w:rFonts w:hint="default"/>
        <w:lang w:val="en-US" w:eastAsia="en-US" w:bidi="en-US"/>
      </w:rPr>
    </w:lvl>
    <w:lvl w:ilvl="2" w:tplc="8FA680DA">
      <w:numFmt w:val="bullet"/>
      <w:lvlText w:val="•"/>
      <w:lvlJc w:val="left"/>
      <w:pPr>
        <w:ind w:left="3680" w:hanging="295"/>
      </w:pPr>
      <w:rPr>
        <w:rFonts w:hint="default"/>
        <w:lang w:val="en-US" w:eastAsia="en-US" w:bidi="en-US"/>
      </w:rPr>
    </w:lvl>
    <w:lvl w:ilvl="3" w:tplc="8BC0F104">
      <w:numFmt w:val="bullet"/>
      <w:lvlText w:val="•"/>
      <w:lvlJc w:val="left"/>
      <w:pPr>
        <w:ind w:left="5060" w:hanging="295"/>
      </w:pPr>
      <w:rPr>
        <w:rFonts w:hint="default"/>
        <w:lang w:val="en-US" w:eastAsia="en-US" w:bidi="en-US"/>
      </w:rPr>
    </w:lvl>
    <w:lvl w:ilvl="4" w:tplc="DAD49DBC">
      <w:numFmt w:val="bullet"/>
      <w:lvlText w:val="•"/>
      <w:lvlJc w:val="left"/>
      <w:pPr>
        <w:ind w:left="6440" w:hanging="295"/>
      </w:pPr>
      <w:rPr>
        <w:rFonts w:hint="default"/>
        <w:lang w:val="en-US" w:eastAsia="en-US" w:bidi="en-US"/>
      </w:rPr>
    </w:lvl>
    <w:lvl w:ilvl="5" w:tplc="D076CAAA">
      <w:numFmt w:val="bullet"/>
      <w:lvlText w:val="•"/>
      <w:lvlJc w:val="left"/>
      <w:pPr>
        <w:ind w:left="7820" w:hanging="295"/>
      </w:pPr>
      <w:rPr>
        <w:rFonts w:hint="default"/>
        <w:lang w:val="en-US" w:eastAsia="en-US" w:bidi="en-US"/>
      </w:rPr>
    </w:lvl>
    <w:lvl w:ilvl="6" w:tplc="95020B02">
      <w:numFmt w:val="bullet"/>
      <w:lvlText w:val="•"/>
      <w:lvlJc w:val="left"/>
      <w:pPr>
        <w:ind w:left="9200" w:hanging="295"/>
      </w:pPr>
      <w:rPr>
        <w:rFonts w:hint="default"/>
        <w:lang w:val="en-US" w:eastAsia="en-US" w:bidi="en-US"/>
      </w:rPr>
    </w:lvl>
    <w:lvl w:ilvl="7" w:tplc="95A67672">
      <w:numFmt w:val="bullet"/>
      <w:lvlText w:val="•"/>
      <w:lvlJc w:val="left"/>
      <w:pPr>
        <w:ind w:left="10580" w:hanging="295"/>
      </w:pPr>
      <w:rPr>
        <w:rFonts w:hint="default"/>
        <w:lang w:val="en-US" w:eastAsia="en-US" w:bidi="en-US"/>
      </w:rPr>
    </w:lvl>
    <w:lvl w:ilvl="8" w:tplc="90AA41EE">
      <w:numFmt w:val="bullet"/>
      <w:lvlText w:val="•"/>
      <w:lvlJc w:val="left"/>
      <w:pPr>
        <w:ind w:left="11960" w:hanging="295"/>
      </w:pPr>
      <w:rPr>
        <w:rFonts w:hint="default"/>
        <w:lang w:val="en-US" w:eastAsia="en-US" w:bidi="en-US"/>
      </w:rPr>
    </w:lvl>
  </w:abstractNum>
  <w:abstractNum w:abstractNumId="1" w15:restartNumberingAfterBreak="0">
    <w:nsid w:val="0A1863E6"/>
    <w:multiLevelType w:val="hybridMultilevel"/>
    <w:tmpl w:val="5CC2DD7C"/>
    <w:lvl w:ilvl="0" w:tplc="77B2826A">
      <w:start w:val="2"/>
      <w:numFmt w:val="upperLetter"/>
      <w:lvlText w:val="%1."/>
      <w:lvlJc w:val="left"/>
      <w:pPr>
        <w:ind w:left="900" w:hanging="281"/>
        <w:jc w:val="left"/>
      </w:pPr>
      <w:rPr>
        <w:rFonts w:hint="default"/>
        <w:spacing w:val="-4"/>
        <w:w w:val="99"/>
        <w:u w:val="single" w:color="000000"/>
        <w:lang w:val="en-US" w:eastAsia="en-US" w:bidi="en-US"/>
      </w:rPr>
    </w:lvl>
    <w:lvl w:ilvl="1" w:tplc="7FFAFD88">
      <w:numFmt w:val="bullet"/>
      <w:lvlText w:val="•"/>
      <w:lvlJc w:val="left"/>
      <w:pPr>
        <w:ind w:left="2282" w:hanging="281"/>
      </w:pPr>
      <w:rPr>
        <w:rFonts w:hint="default"/>
        <w:lang w:val="en-US" w:eastAsia="en-US" w:bidi="en-US"/>
      </w:rPr>
    </w:lvl>
    <w:lvl w:ilvl="2" w:tplc="E89A116E">
      <w:numFmt w:val="bullet"/>
      <w:lvlText w:val="•"/>
      <w:lvlJc w:val="left"/>
      <w:pPr>
        <w:ind w:left="3664" w:hanging="281"/>
      </w:pPr>
      <w:rPr>
        <w:rFonts w:hint="default"/>
        <w:lang w:val="en-US" w:eastAsia="en-US" w:bidi="en-US"/>
      </w:rPr>
    </w:lvl>
    <w:lvl w:ilvl="3" w:tplc="28C22518">
      <w:numFmt w:val="bullet"/>
      <w:lvlText w:val="•"/>
      <w:lvlJc w:val="left"/>
      <w:pPr>
        <w:ind w:left="5046" w:hanging="281"/>
      </w:pPr>
      <w:rPr>
        <w:rFonts w:hint="default"/>
        <w:lang w:val="en-US" w:eastAsia="en-US" w:bidi="en-US"/>
      </w:rPr>
    </w:lvl>
    <w:lvl w:ilvl="4" w:tplc="5E5677A6">
      <w:numFmt w:val="bullet"/>
      <w:lvlText w:val="•"/>
      <w:lvlJc w:val="left"/>
      <w:pPr>
        <w:ind w:left="6428" w:hanging="281"/>
      </w:pPr>
      <w:rPr>
        <w:rFonts w:hint="default"/>
        <w:lang w:val="en-US" w:eastAsia="en-US" w:bidi="en-US"/>
      </w:rPr>
    </w:lvl>
    <w:lvl w:ilvl="5" w:tplc="B99E838A">
      <w:numFmt w:val="bullet"/>
      <w:lvlText w:val="•"/>
      <w:lvlJc w:val="left"/>
      <w:pPr>
        <w:ind w:left="7810" w:hanging="281"/>
      </w:pPr>
      <w:rPr>
        <w:rFonts w:hint="default"/>
        <w:lang w:val="en-US" w:eastAsia="en-US" w:bidi="en-US"/>
      </w:rPr>
    </w:lvl>
    <w:lvl w:ilvl="6" w:tplc="AD5C11F0">
      <w:numFmt w:val="bullet"/>
      <w:lvlText w:val="•"/>
      <w:lvlJc w:val="left"/>
      <w:pPr>
        <w:ind w:left="9192" w:hanging="281"/>
      </w:pPr>
      <w:rPr>
        <w:rFonts w:hint="default"/>
        <w:lang w:val="en-US" w:eastAsia="en-US" w:bidi="en-US"/>
      </w:rPr>
    </w:lvl>
    <w:lvl w:ilvl="7" w:tplc="8730C9DA">
      <w:numFmt w:val="bullet"/>
      <w:lvlText w:val="•"/>
      <w:lvlJc w:val="left"/>
      <w:pPr>
        <w:ind w:left="10574" w:hanging="281"/>
      </w:pPr>
      <w:rPr>
        <w:rFonts w:hint="default"/>
        <w:lang w:val="en-US" w:eastAsia="en-US" w:bidi="en-US"/>
      </w:rPr>
    </w:lvl>
    <w:lvl w:ilvl="8" w:tplc="4E22FED8">
      <w:numFmt w:val="bullet"/>
      <w:lvlText w:val="•"/>
      <w:lvlJc w:val="left"/>
      <w:pPr>
        <w:ind w:left="11956" w:hanging="281"/>
      </w:pPr>
      <w:rPr>
        <w:rFonts w:hint="default"/>
        <w:lang w:val="en-US" w:eastAsia="en-US" w:bidi="en-US"/>
      </w:rPr>
    </w:lvl>
  </w:abstractNum>
  <w:abstractNum w:abstractNumId="2" w15:restartNumberingAfterBreak="0">
    <w:nsid w:val="0C070AAC"/>
    <w:multiLevelType w:val="hybridMultilevel"/>
    <w:tmpl w:val="35649EF2"/>
    <w:lvl w:ilvl="0" w:tplc="4640765A">
      <w:start w:val="1"/>
      <w:numFmt w:val="upperLetter"/>
      <w:lvlText w:val="%1."/>
      <w:lvlJc w:val="left"/>
      <w:pPr>
        <w:ind w:left="915" w:hanging="295"/>
        <w:jc w:val="left"/>
      </w:pPr>
      <w:rPr>
        <w:rFonts w:hint="default"/>
        <w:spacing w:val="-2"/>
        <w:w w:val="99"/>
        <w:u w:val="single" w:color="000000"/>
        <w:lang w:val="en-US" w:eastAsia="en-US" w:bidi="en-US"/>
      </w:rPr>
    </w:lvl>
    <w:lvl w:ilvl="1" w:tplc="CD142484">
      <w:numFmt w:val="bullet"/>
      <w:lvlText w:val="•"/>
      <w:lvlJc w:val="left"/>
      <w:pPr>
        <w:ind w:left="2300" w:hanging="295"/>
      </w:pPr>
      <w:rPr>
        <w:rFonts w:hint="default"/>
        <w:lang w:val="en-US" w:eastAsia="en-US" w:bidi="en-US"/>
      </w:rPr>
    </w:lvl>
    <w:lvl w:ilvl="2" w:tplc="4F70EBB0">
      <w:numFmt w:val="bullet"/>
      <w:lvlText w:val="•"/>
      <w:lvlJc w:val="left"/>
      <w:pPr>
        <w:ind w:left="3680" w:hanging="295"/>
      </w:pPr>
      <w:rPr>
        <w:rFonts w:hint="default"/>
        <w:lang w:val="en-US" w:eastAsia="en-US" w:bidi="en-US"/>
      </w:rPr>
    </w:lvl>
    <w:lvl w:ilvl="3" w:tplc="6B309B36">
      <w:numFmt w:val="bullet"/>
      <w:lvlText w:val="•"/>
      <w:lvlJc w:val="left"/>
      <w:pPr>
        <w:ind w:left="5060" w:hanging="295"/>
      </w:pPr>
      <w:rPr>
        <w:rFonts w:hint="default"/>
        <w:lang w:val="en-US" w:eastAsia="en-US" w:bidi="en-US"/>
      </w:rPr>
    </w:lvl>
    <w:lvl w:ilvl="4" w:tplc="CB3E9DE8">
      <w:numFmt w:val="bullet"/>
      <w:lvlText w:val="•"/>
      <w:lvlJc w:val="left"/>
      <w:pPr>
        <w:ind w:left="6440" w:hanging="295"/>
      </w:pPr>
      <w:rPr>
        <w:rFonts w:hint="default"/>
        <w:lang w:val="en-US" w:eastAsia="en-US" w:bidi="en-US"/>
      </w:rPr>
    </w:lvl>
    <w:lvl w:ilvl="5" w:tplc="41E42F6E">
      <w:numFmt w:val="bullet"/>
      <w:lvlText w:val="•"/>
      <w:lvlJc w:val="left"/>
      <w:pPr>
        <w:ind w:left="7820" w:hanging="295"/>
      </w:pPr>
      <w:rPr>
        <w:rFonts w:hint="default"/>
        <w:lang w:val="en-US" w:eastAsia="en-US" w:bidi="en-US"/>
      </w:rPr>
    </w:lvl>
    <w:lvl w:ilvl="6" w:tplc="D3501E20">
      <w:numFmt w:val="bullet"/>
      <w:lvlText w:val="•"/>
      <w:lvlJc w:val="left"/>
      <w:pPr>
        <w:ind w:left="9200" w:hanging="295"/>
      </w:pPr>
      <w:rPr>
        <w:rFonts w:hint="default"/>
        <w:lang w:val="en-US" w:eastAsia="en-US" w:bidi="en-US"/>
      </w:rPr>
    </w:lvl>
    <w:lvl w:ilvl="7" w:tplc="33F237DE">
      <w:numFmt w:val="bullet"/>
      <w:lvlText w:val="•"/>
      <w:lvlJc w:val="left"/>
      <w:pPr>
        <w:ind w:left="10580" w:hanging="295"/>
      </w:pPr>
      <w:rPr>
        <w:rFonts w:hint="default"/>
        <w:lang w:val="en-US" w:eastAsia="en-US" w:bidi="en-US"/>
      </w:rPr>
    </w:lvl>
    <w:lvl w:ilvl="8" w:tplc="97C83A68">
      <w:numFmt w:val="bullet"/>
      <w:lvlText w:val="•"/>
      <w:lvlJc w:val="left"/>
      <w:pPr>
        <w:ind w:left="11960" w:hanging="295"/>
      </w:pPr>
      <w:rPr>
        <w:rFonts w:hint="default"/>
        <w:lang w:val="en-US" w:eastAsia="en-US" w:bidi="en-US"/>
      </w:rPr>
    </w:lvl>
  </w:abstractNum>
  <w:abstractNum w:abstractNumId="3" w15:restartNumberingAfterBreak="0">
    <w:nsid w:val="0D2D18CA"/>
    <w:multiLevelType w:val="hybridMultilevel"/>
    <w:tmpl w:val="7F44E960"/>
    <w:lvl w:ilvl="0" w:tplc="A588D9A2">
      <w:start w:val="1"/>
      <w:numFmt w:val="upperRoman"/>
      <w:lvlText w:val="%1."/>
      <w:lvlJc w:val="left"/>
      <w:pPr>
        <w:ind w:left="820" w:hanging="200"/>
        <w:jc w:val="left"/>
      </w:pPr>
      <w:rPr>
        <w:rFonts w:ascii="Times New Roman" w:eastAsia="Times New Roman" w:hAnsi="Times New Roman" w:cs="Times New Roman" w:hint="default"/>
        <w:spacing w:val="-2"/>
        <w:w w:val="99"/>
        <w:sz w:val="24"/>
        <w:szCs w:val="24"/>
        <w:lang w:val="en-US" w:eastAsia="en-US" w:bidi="en-US"/>
      </w:rPr>
    </w:lvl>
    <w:lvl w:ilvl="1" w:tplc="D5EA1432">
      <w:numFmt w:val="bullet"/>
      <w:lvlText w:val="•"/>
      <w:lvlJc w:val="left"/>
      <w:pPr>
        <w:ind w:left="2210" w:hanging="200"/>
      </w:pPr>
      <w:rPr>
        <w:rFonts w:hint="default"/>
        <w:lang w:val="en-US" w:eastAsia="en-US" w:bidi="en-US"/>
      </w:rPr>
    </w:lvl>
    <w:lvl w:ilvl="2" w:tplc="202A4D1E">
      <w:numFmt w:val="bullet"/>
      <w:lvlText w:val="•"/>
      <w:lvlJc w:val="left"/>
      <w:pPr>
        <w:ind w:left="3600" w:hanging="200"/>
      </w:pPr>
      <w:rPr>
        <w:rFonts w:hint="default"/>
        <w:lang w:val="en-US" w:eastAsia="en-US" w:bidi="en-US"/>
      </w:rPr>
    </w:lvl>
    <w:lvl w:ilvl="3" w:tplc="D214FC22">
      <w:numFmt w:val="bullet"/>
      <w:lvlText w:val="•"/>
      <w:lvlJc w:val="left"/>
      <w:pPr>
        <w:ind w:left="4990" w:hanging="200"/>
      </w:pPr>
      <w:rPr>
        <w:rFonts w:hint="default"/>
        <w:lang w:val="en-US" w:eastAsia="en-US" w:bidi="en-US"/>
      </w:rPr>
    </w:lvl>
    <w:lvl w:ilvl="4" w:tplc="469AFDD6">
      <w:numFmt w:val="bullet"/>
      <w:lvlText w:val="•"/>
      <w:lvlJc w:val="left"/>
      <w:pPr>
        <w:ind w:left="6380" w:hanging="200"/>
      </w:pPr>
      <w:rPr>
        <w:rFonts w:hint="default"/>
        <w:lang w:val="en-US" w:eastAsia="en-US" w:bidi="en-US"/>
      </w:rPr>
    </w:lvl>
    <w:lvl w:ilvl="5" w:tplc="84761F36">
      <w:numFmt w:val="bullet"/>
      <w:lvlText w:val="•"/>
      <w:lvlJc w:val="left"/>
      <w:pPr>
        <w:ind w:left="7770" w:hanging="200"/>
      </w:pPr>
      <w:rPr>
        <w:rFonts w:hint="default"/>
        <w:lang w:val="en-US" w:eastAsia="en-US" w:bidi="en-US"/>
      </w:rPr>
    </w:lvl>
    <w:lvl w:ilvl="6" w:tplc="D06A2F52">
      <w:numFmt w:val="bullet"/>
      <w:lvlText w:val="•"/>
      <w:lvlJc w:val="left"/>
      <w:pPr>
        <w:ind w:left="9160" w:hanging="200"/>
      </w:pPr>
      <w:rPr>
        <w:rFonts w:hint="default"/>
        <w:lang w:val="en-US" w:eastAsia="en-US" w:bidi="en-US"/>
      </w:rPr>
    </w:lvl>
    <w:lvl w:ilvl="7" w:tplc="EC76EE7E">
      <w:numFmt w:val="bullet"/>
      <w:lvlText w:val="•"/>
      <w:lvlJc w:val="left"/>
      <w:pPr>
        <w:ind w:left="10550" w:hanging="200"/>
      </w:pPr>
      <w:rPr>
        <w:rFonts w:hint="default"/>
        <w:lang w:val="en-US" w:eastAsia="en-US" w:bidi="en-US"/>
      </w:rPr>
    </w:lvl>
    <w:lvl w:ilvl="8" w:tplc="10E0A046">
      <w:numFmt w:val="bullet"/>
      <w:lvlText w:val="•"/>
      <w:lvlJc w:val="left"/>
      <w:pPr>
        <w:ind w:left="11940" w:hanging="200"/>
      </w:pPr>
      <w:rPr>
        <w:rFonts w:hint="default"/>
        <w:lang w:val="en-US" w:eastAsia="en-US" w:bidi="en-US"/>
      </w:rPr>
    </w:lvl>
  </w:abstractNum>
  <w:abstractNum w:abstractNumId="4" w15:restartNumberingAfterBreak="0">
    <w:nsid w:val="0DC15175"/>
    <w:multiLevelType w:val="hybridMultilevel"/>
    <w:tmpl w:val="74764C98"/>
    <w:lvl w:ilvl="0" w:tplc="CED4231A">
      <w:start w:val="1"/>
      <w:numFmt w:val="upperLetter"/>
      <w:lvlText w:val="%1."/>
      <w:lvlJc w:val="left"/>
      <w:pPr>
        <w:ind w:left="915" w:hanging="295"/>
        <w:jc w:val="left"/>
      </w:pPr>
      <w:rPr>
        <w:rFonts w:hint="default"/>
        <w:spacing w:val="-2"/>
        <w:w w:val="99"/>
        <w:u w:val="single" w:color="000000"/>
        <w:lang w:val="en-US" w:eastAsia="en-US" w:bidi="en-US"/>
      </w:rPr>
    </w:lvl>
    <w:lvl w:ilvl="1" w:tplc="F3444018">
      <w:numFmt w:val="bullet"/>
      <w:lvlText w:val="•"/>
      <w:lvlJc w:val="left"/>
      <w:pPr>
        <w:ind w:left="2300" w:hanging="295"/>
      </w:pPr>
      <w:rPr>
        <w:rFonts w:hint="default"/>
        <w:lang w:val="en-US" w:eastAsia="en-US" w:bidi="en-US"/>
      </w:rPr>
    </w:lvl>
    <w:lvl w:ilvl="2" w:tplc="3D205F30">
      <w:numFmt w:val="bullet"/>
      <w:lvlText w:val="•"/>
      <w:lvlJc w:val="left"/>
      <w:pPr>
        <w:ind w:left="3680" w:hanging="295"/>
      </w:pPr>
      <w:rPr>
        <w:rFonts w:hint="default"/>
        <w:lang w:val="en-US" w:eastAsia="en-US" w:bidi="en-US"/>
      </w:rPr>
    </w:lvl>
    <w:lvl w:ilvl="3" w:tplc="3410CE90">
      <w:numFmt w:val="bullet"/>
      <w:lvlText w:val="•"/>
      <w:lvlJc w:val="left"/>
      <w:pPr>
        <w:ind w:left="5060" w:hanging="295"/>
      </w:pPr>
      <w:rPr>
        <w:rFonts w:hint="default"/>
        <w:lang w:val="en-US" w:eastAsia="en-US" w:bidi="en-US"/>
      </w:rPr>
    </w:lvl>
    <w:lvl w:ilvl="4" w:tplc="26CA8C3C">
      <w:numFmt w:val="bullet"/>
      <w:lvlText w:val="•"/>
      <w:lvlJc w:val="left"/>
      <w:pPr>
        <w:ind w:left="6440" w:hanging="295"/>
      </w:pPr>
      <w:rPr>
        <w:rFonts w:hint="default"/>
        <w:lang w:val="en-US" w:eastAsia="en-US" w:bidi="en-US"/>
      </w:rPr>
    </w:lvl>
    <w:lvl w:ilvl="5" w:tplc="5BFC3862">
      <w:numFmt w:val="bullet"/>
      <w:lvlText w:val="•"/>
      <w:lvlJc w:val="left"/>
      <w:pPr>
        <w:ind w:left="7820" w:hanging="295"/>
      </w:pPr>
      <w:rPr>
        <w:rFonts w:hint="default"/>
        <w:lang w:val="en-US" w:eastAsia="en-US" w:bidi="en-US"/>
      </w:rPr>
    </w:lvl>
    <w:lvl w:ilvl="6" w:tplc="7CA8A7EC">
      <w:numFmt w:val="bullet"/>
      <w:lvlText w:val="•"/>
      <w:lvlJc w:val="left"/>
      <w:pPr>
        <w:ind w:left="9200" w:hanging="295"/>
      </w:pPr>
      <w:rPr>
        <w:rFonts w:hint="default"/>
        <w:lang w:val="en-US" w:eastAsia="en-US" w:bidi="en-US"/>
      </w:rPr>
    </w:lvl>
    <w:lvl w:ilvl="7" w:tplc="79869896">
      <w:numFmt w:val="bullet"/>
      <w:lvlText w:val="•"/>
      <w:lvlJc w:val="left"/>
      <w:pPr>
        <w:ind w:left="10580" w:hanging="295"/>
      </w:pPr>
      <w:rPr>
        <w:rFonts w:hint="default"/>
        <w:lang w:val="en-US" w:eastAsia="en-US" w:bidi="en-US"/>
      </w:rPr>
    </w:lvl>
    <w:lvl w:ilvl="8" w:tplc="43C0A348">
      <w:numFmt w:val="bullet"/>
      <w:lvlText w:val="•"/>
      <w:lvlJc w:val="left"/>
      <w:pPr>
        <w:ind w:left="11960" w:hanging="295"/>
      </w:pPr>
      <w:rPr>
        <w:rFonts w:hint="default"/>
        <w:lang w:val="en-US" w:eastAsia="en-US" w:bidi="en-US"/>
      </w:rPr>
    </w:lvl>
  </w:abstractNum>
  <w:abstractNum w:abstractNumId="5" w15:restartNumberingAfterBreak="0">
    <w:nsid w:val="187732FF"/>
    <w:multiLevelType w:val="hybridMultilevel"/>
    <w:tmpl w:val="1C1CB186"/>
    <w:lvl w:ilvl="0" w:tplc="E0A4A436">
      <w:start w:val="1"/>
      <w:numFmt w:val="upperLetter"/>
      <w:lvlText w:val="%1."/>
      <w:lvlJc w:val="left"/>
      <w:pPr>
        <w:ind w:left="915" w:hanging="295"/>
        <w:jc w:val="left"/>
      </w:pPr>
      <w:rPr>
        <w:rFonts w:hint="default"/>
        <w:spacing w:val="-2"/>
        <w:w w:val="99"/>
        <w:u w:val="single" w:color="000000"/>
        <w:lang w:val="en-US" w:eastAsia="en-US" w:bidi="en-US"/>
      </w:rPr>
    </w:lvl>
    <w:lvl w:ilvl="1" w:tplc="5C64DF18">
      <w:numFmt w:val="bullet"/>
      <w:lvlText w:val="•"/>
      <w:lvlJc w:val="left"/>
      <w:pPr>
        <w:ind w:left="2300" w:hanging="295"/>
      </w:pPr>
      <w:rPr>
        <w:rFonts w:hint="default"/>
        <w:lang w:val="en-US" w:eastAsia="en-US" w:bidi="en-US"/>
      </w:rPr>
    </w:lvl>
    <w:lvl w:ilvl="2" w:tplc="4B02E43A">
      <w:numFmt w:val="bullet"/>
      <w:lvlText w:val="•"/>
      <w:lvlJc w:val="left"/>
      <w:pPr>
        <w:ind w:left="3680" w:hanging="295"/>
      </w:pPr>
      <w:rPr>
        <w:rFonts w:hint="default"/>
        <w:lang w:val="en-US" w:eastAsia="en-US" w:bidi="en-US"/>
      </w:rPr>
    </w:lvl>
    <w:lvl w:ilvl="3" w:tplc="040CA98E">
      <w:numFmt w:val="bullet"/>
      <w:lvlText w:val="•"/>
      <w:lvlJc w:val="left"/>
      <w:pPr>
        <w:ind w:left="5060" w:hanging="295"/>
      </w:pPr>
      <w:rPr>
        <w:rFonts w:hint="default"/>
        <w:lang w:val="en-US" w:eastAsia="en-US" w:bidi="en-US"/>
      </w:rPr>
    </w:lvl>
    <w:lvl w:ilvl="4" w:tplc="42E6C958">
      <w:numFmt w:val="bullet"/>
      <w:lvlText w:val="•"/>
      <w:lvlJc w:val="left"/>
      <w:pPr>
        <w:ind w:left="6440" w:hanging="295"/>
      </w:pPr>
      <w:rPr>
        <w:rFonts w:hint="default"/>
        <w:lang w:val="en-US" w:eastAsia="en-US" w:bidi="en-US"/>
      </w:rPr>
    </w:lvl>
    <w:lvl w:ilvl="5" w:tplc="B2FE33BC">
      <w:numFmt w:val="bullet"/>
      <w:lvlText w:val="•"/>
      <w:lvlJc w:val="left"/>
      <w:pPr>
        <w:ind w:left="7820" w:hanging="295"/>
      </w:pPr>
      <w:rPr>
        <w:rFonts w:hint="default"/>
        <w:lang w:val="en-US" w:eastAsia="en-US" w:bidi="en-US"/>
      </w:rPr>
    </w:lvl>
    <w:lvl w:ilvl="6" w:tplc="3C9C7C6C">
      <w:numFmt w:val="bullet"/>
      <w:lvlText w:val="•"/>
      <w:lvlJc w:val="left"/>
      <w:pPr>
        <w:ind w:left="9200" w:hanging="295"/>
      </w:pPr>
      <w:rPr>
        <w:rFonts w:hint="default"/>
        <w:lang w:val="en-US" w:eastAsia="en-US" w:bidi="en-US"/>
      </w:rPr>
    </w:lvl>
    <w:lvl w:ilvl="7" w:tplc="A7C818B2">
      <w:numFmt w:val="bullet"/>
      <w:lvlText w:val="•"/>
      <w:lvlJc w:val="left"/>
      <w:pPr>
        <w:ind w:left="10580" w:hanging="295"/>
      </w:pPr>
      <w:rPr>
        <w:rFonts w:hint="default"/>
        <w:lang w:val="en-US" w:eastAsia="en-US" w:bidi="en-US"/>
      </w:rPr>
    </w:lvl>
    <w:lvl w:ilvl="8" w:tplc="D332C2D6">
      <w:numFmt w:val="bullet"/>
      <w:lvlText w:val="•"/>
      <w:lvlJc w:val="left"/>
      <w:pPr>
        <w:ind w:left="11960" w:hanging="295"/>
      </w:pPr>
      <w:rPr>
        <w:rFonts w:hint="default"/>
        <w:lang w:val="en-US" w:eastAsia="en-US" w:bidi="en-US"/>
      </w:rPr>
    </w:lvl>
  </w:abstractNum>
  <w:abstractNum w:abstractNumId="6" w15:restartNumberingAfterBreak="0">
    <w:nsid w:val="1CCF6B3B"/>
    <w:multiLevelType w:val="hybridMultilevel"/>
    <w:tmpl w:val="F5E61BDA"/>
    <w:lvl w:ilvl="0" w:tplc="BC185CE2">
      <w:start w:val="1"/>
      <w:numFmt w:val="upperLetter"/>
      <w:lvlText w:val="%1."/>
      <w:lvlJc w:val="left"/>
      <w:pPr>
        <w:ind w:left="915" w:hanging="295"/>
        <w:jc w:val="left"/>
      </w:pPr>
      <w:rPr>
        <w:rFonts w:hint="default"/>
        <w:spacing w:val="-2"/>
        <w:w w:val="99"/>
        <w:u w:val="single" w:color="000000"/>
        <w:lang w:val="en-US" w:eastAsia="en-US" w:bidi="en-US"/>
      </w:rPr>
    </w:lvl>
    <w:lvl w:ilvl="1" w:tplc="D668FF6C">
      <w:numFmt w:val="bullet"/>
      <w:lvlText w:val="•"/>
      <w:lvlJc w:val="left"/>
      <w:pPr>
        <w:ind w:left="2300" w:hanging="295"/>
      </w:pPr>
      <w:rPr>
        <w:rFonts w:hint="default"/>
        <w:lang w:val="en-US" w:eastAsia="en-US" w:bidi="en-US"/>
      </w:rPr>
    </w:lvl>
    <w:lvl w:ilvl="2" w:tplc="6EDA3D8A">
      <w:numFmt w:val="bullet"/>
      <w:lvlText w:val="•"/>
      <w:lvlJc w:val="left"/>
      <w:pPr>
        <w:ind w:left="3680" w:hanging="295"/>
      </w:pPr>
      <w:rPr>
        <w:rFonts w:hint="default"/>
        <w:lang w:val="en-US" w:eastAsia="en-US" w:bidi="en-US"/>
      </w:rPr>
    </w:lvl>
    <w:lvl w:ilvl="3" w:tplc="2472AB74">
      <w:numFmt w:val="bullet"/>
      <w:lvlText w:val="•"/>
      <w:lvlJc w:val="left"/>
      <w:pPr>
        <w:ind w:left="5060" w:hanging="295"/>
      </w:pPr>
      <w:rPr>
        <w:rFonts w:hint="default"/>
        <w:lang w:val="en-US" w:eastAsia="en-US" w:bidi="en-US"/>
      </w:rPr>
    </w:lvl>
    <w:lvl w:ilvl="4" w:tplc="31CA8FF2">
      <w:numFmt w:val="bullet"/>
      <w:lvlText w:val="•"/>
      <w:lvlJc w:val="left"/>
      <w:pPr>
        <w:ind w:left="6440" w:hanging="295"/>
      </w:pPr>
      <w:rPr>
        <w:rFonts w:hint="default"/>
        <w:lang w:val="en-US" w:eastAsia="en-US" w:bidi="en-US"/>
      </w:rPr>
    </w:lvl>
    <w:lvl w:ilvl="5" w:tplc="D9C602C2">
      <w:numFmt w:val="bullet"/>
      <w:lvlText w:val="•"/>
      <w:lvlJc w:val="left"/>
      <w:pPr>
        <w:ind w:left="7820" w:hanging="295"/>
      </w:pPr>
      <w:rPr>
        <w:rFonts w:hint="default"/>
        <w:lang w:val="en-US" w:eastAsia="en-US" w:bidi="en-US"/>
      </w:rPr>
    </w:lvl>
    <w:lvl w:ilvl="6" w:tplc="255E0A92">
      <w:numFmt w:val="bullet"/>
      <w:lvlText w:val="•"/>
      <w:lvlJc w:val="left"/>
      <w:pPr>
        <w:ind w:left="9200" w:hanging="295"/>
      </w:pPr>
      <w:rPr>
        <w:rFonts w:hint="default"/>
        <w:lang w:val="en-US" w:eastAsia="en-US" w:bidi="en-US"/>
      </w:rPr>
    </w:lvl>
    <w:lvl w:ilvl="7" w:tplc="F3EC5094">
      <w:numFmt w:val="bullet"/>
      <w:lvlText w:val="•"/>
      <w:lvlJc w:val="left"/>
      <w:pPr>
        <w:ind w:left="10580" w:hanging="295"/>
      </w:pPr>
      <w:rPr>
        <w:rFonts w:hint="default"/>
        <w:lang w:val="en-US" w:eastAsia="en-US" w:bidi="en-US"/>
      </w:rPr>
    </w:lvl>
    <w:lvl w:ilvl="8" w:tplc="91A00F86">
      <w:numFmt w:val="bullet"/>
      <w:lvlText w:val="•"/>
      <w:lvlJc w:val="left"/>
      <w:pPr>
        <w:ind w:left="11960" w:hanging="295"/>
      </w:pPr>
      <w:rPr>
        <w:rFonts w:hint="default"/>
        <w:lang w:val="en-US" w:eastAsia="en-US" w:bidi="en-US"/>
      </w:rPr>
    </w:lvl>
  </w:abstractNum>
  <w:abstractNum w:abstractNumId="7" w15:restartNumberingAfterBreak="0">
    <w:nsid w:val="30347AF3"/>
    <w:multiLevelType w:val="hybridMultilevel"/>
    <w:tmpl w:val="1F58B286"/>
    <w:lvl w:ilvl="0" w:tplc="395E1D4C">
      <w:start w:val="1"/>
      <w:numFmt w:val="upperRoman"/>
      <w:lvlText w:val="%1."/>
      <w:lvlJc w:val="left"/>
      <w:pPr>
        <w:ind w:left="1340" w:hanging="720"/>
        <w:jc w:val="left"/>
      </w:pPr>
      <w:rPr>
        <w:rFonts w:ascii="Times New Roman" w:eastAsia="Times New Roman" w:hAnsi="Times New Roman" w:cs="Times New Roman" w:hint="default"/>
        <w:spacing w:val="-2"/>
        <w:w w:val="99"/>
        <w:sz w:val="24"/>
        <w:szCs w:val="24"/>
        <w:lang w:val="en-US" w:eastAsia="en-US" w:bidi="en-US"/>
      </w:rPr>
    </w:lvl>
    <w:lvl w:ilvl="1" w:tplc="6374F584">
      <w:numFmt w:val="bullet"/>
      <w:lvlText w:val=""/>
      <w:lvlJc w:val="left"/>
      <w:pPr>
        <w:ind w:left="1495" w:hanging="155"/>
      </w:pPr>
      <w:rPr>
        <w:rFonts w:ascii="Symbol" w:eastAsia="Symbol" w:hAnsi="Symbol" w:cs="Symbol" w:hint="default"/>
        <w:w w:val="100"/>
        <w:sz w:val="22"/>
        <w:szCs w:val="22"/>
        <w:lang w:val="en-US" w:eastAsia="en-US" w:bidi="en-US"/>
      </w:rPr>
    </w:lvl>
    <w:lvl w:ilvl="2" w:tplc="54827D1E">
      <w:numFmt w:val="bullet"/>
      <w:lvlText w:val="•"/>
      <w:lvlJc w:val="left"/>
      <w:pPr>
        <w:ind w:left="2968" w:hanging="155"/>
      </w:pPr>
      <w:rPr>
        <w:rFonts w:hint="default"/>
        <w:lang w:val="en-US" w:eastAsia="en-US" w:bidi="en-US"/>
      </w:rPr>
    </w:lvl>
    <w:lvl w:ilvl="3" w:tplc="65D05210">
      <w:numFmt w:val="bullet"/>
      <w:lvlText w:val="•"/>
      <w:lvlJc w:val="left"/>
      <w:pPr>
        <w:ind w:left="4437" w:hanging="155"/>
      </w:pPr>
      <w:rPr>
        <w:rFonts w:hint="default"/>
        <w:lang w:val="en-US" w:eastAsia="en-US" w:bidi="en-US"/>
      </w:rPr>
    </w:lvl>
    <w:lvl w:ilvl="4" w:tplc="8968E636">
      <w:numFmt w:val="bullet"/>
      <w:lvlText w:val="•"/>
      <w:lvlJc w:val="left"/>
      <w:pPr>
        <w:ind w:left="5906" w:hanging="155"/>
      </w:pPr>
      <w:rPr>
        <w:rFonts w:hint="default"/>
        <w:lang w:val="en-US" w:eastAsia="en-US" w:bidi="en-US"/>
      </w:rPr>
    </w:lvl>
    <w:lvl w:ilvl="5" w:tplc="6B4CA3D4">
      <w:numFmt w:val="bullet"/>
      <w:lvlText w:val="•"/>
      <w:lvlJc w:val="left"/>
      <w:pPr>
        <w:ind w:left="7375" w:hanging="155"/>
      </w:pPr>
      <w:rPr>
        <w:rFonts w:hint="default"/>
        <w:lang w:val="en-US" w:eastAsia="en-US" w:bidi="en-US"/>
      </w:rPr>
    </w:lvl>
    <w:lvl w:ilvl="6" w:tplc="9F8C5E0E">
      <w:numFmt w:val="bullet"/>
      <w:lvlText w:val="•"/>
      <w:lvlJc w:val="left"/>
      <w:pPr>
        <w:ind w:left="8844" w:hanging="155"/>
      </w:pPr>
      <w:rPr>
        <w:rFonts w:hint="default"/>
        <w:lang w:val="en-US" w:eastAsia="en-US" w:bidi="en-US"/>
      </w:rPr>
    </w:lvl>
    <w:lvl w:ilvl="7" w:tplc="B53AEDA8">
      <w:numFmt w:val="bullet"/>
      <w:lvlText w:val="•"/>
      <w:lvlJc w:val="left"/>
      <w:pPr>
        <w:ind w:left="10313" w:hanging="155"/>
      </w:pPr>
      <w:rPr>
        <w:rFonts w:hint="default"/>
        <w:lang w:val="en-US" w:eastAsia="en-US" w:bidi="en-US"/>
      </w:rPr>
    </w:lvl>
    <w:lvl w:ilvl="8" w:tplc="EAAEC7DE">
      <w:numFmt w:val="bullet"/>
      <w:lvlText w:val="•"/>
      <w:lvlJc w:val="left"/>
      <w:pPr>
        <w:ind w:left="11782" w:hanging="155"/>
      </w:pPr>
      <w:rPr>
        <w:rFonts w:hint="default"/>
        <w:lang w:val="en-US" w:eastAsia="en-US" w:bidi="en-US"/>
      </w:rPr>
    </w:lvl>
  </w:abstractNum>
  <w:abstractNum w:abstractNumId="8" w15:restartNumberingAfterBreak="0">
    <w:nsid w:val="3DC60639"/>
    <w:multiLevelType w:val="hybridMultilevel"/>
    <w:tmpl w:val="C90A2764"/>
    <w:lvl w:ilvl="0" w:tplc="7DDA8CB2">
      <w:start w:val="1"/>
      <w:numFmt w:val="upperLetter"/>
      <w:lvlText w:val="%1."/>
      <w:lvlJc w:val="left"/>
      <w:pPr>
        <w:ind w:left="915" w:hanging="295"/>
        <w:jc w:val="left"/>
      </w:pPr>
      <w:rPr>
        <w:rFonts w:hint="default"/>
        <w:spacing w:val="-2"/>
        <w:w w:val="99"/>
        <w:u w:val="single" w:color="000000"/>
        <w:lang w:val="en-US" w:eastAsia="en-US" w:bidi="en-US"/>
      </w:rPr>
    </w:lvl>
    <w:lvl w:ilvl="1" w:tplc="30F6B7FE">
      <w:numFmt w:val="bullet"/>
      <w:lvlText w:val="•"/>
      <w:lvlJc w:val="left"/>
      <w:pPr>
        <w:ind w:left="2300" w:hanging="295"/>
      </w:pPr>
      <w:rPr>
        <w:rFonts w:hint="default"/>
        <w:lang w:val="en-US" w:eastAsia="en-US" w:bidi="en-US"/>
      </w:rPr>
    </w:lvl>
    <w:lvl w:ilvl="2" w:tplc="38E053E2">
      <w:numFmt w:val="bullet"/>
      <w:lvlText w:val="•"/>
      <w:lvlJc w:val="left"/>
      <w:pPr>
        <w:ind w:left="3680" w:hanging="295"/>
      </w:pPr>
      <w:rPr>
        <w:rFonts w:hint="default"/>
        <w:lang w:val="en-US" w:eastAsia="en-US" w:bidi="en-US"/>
      </w:rPr>
    </w:lvl>
    <w:lvl w:ilvl="3" w:tplc="56CAD774">
      <w:numFmt w:val="bullet"/>
      <w:lvlText w:val="•"/>
      <w:lvlJc w:val="left"/>
      <w:pPr>
        <w:ind w:left="5060" w:hanging="295"/>
      </w:pPr>
      <w:rPr>
        <w:rFonts w:hint="default"/>
        <w:lang w:val="en-US" w:eastAsia="en-US" w:bidi="en-US"/>
      </w:rPr>
    </w:lvl>
    <w:lvl w:ilvl="4" w:tplc="FC0E35DA">
      <w:numFmt w:val="bullet"/>
      <w:lvlText w:val="•"/>
      <w:lvlJc w:val="left"/>
      <w:pPr>
        <w:ind w:left="6440" w:hanging="295"/>
      </w:pPr>
      <w:rPr>
        <w:rFonts w:hint="default"/>
        <w:lang w:val="en-US" w:eastAsia="en-US" w:bidi="en-US"/>
      </w:rPr>
    </w:lvl>
    <w:lvl w:ilvl="5" w:tplc="4C46AEE6">
      <w:numFmt w:val="bullet"/>
      <w:lvlText w:val="•"/>
      <w:lvlJc w:val="left"/>
      <w:pPr>
        <w:ind w:left="7820" w:hanging="295"/>
      </w:pPr>
      <w:rPr>
        <w:rFonts w:hint="default"/>
        <w:lang w:val="en-US" w:eastAsia="en-US" w:bidi="en-US"/>
      </w:rPr>
    </w:lvl>
    <w:lvl w:ilvl="6" w:tplc="2C202E46">
      <w:numFmt w:val="bullet"/>
      <w:lvlText w:val="•"/>
      <w:lvlJc w:val="left"/>
      <w:pPr>
        <w:ind w:left="9200" w:hanging="295"/>
      </w:pPr>
      <w:rPr>
        <w:rFonts w:hint="default"/>
        <w:lang w:val="en-US" w:eastAsia="en-US" w:bidi="en-US"/>
      </w:rPr>
    </w:lvl>
    <w:lvl w:ilvl="7" w:tplc="77F8C78A">
      <w:numFmt w:val="bullet"/>
      <w:lvlText w:val="•"/>
      <w:lvlJc w:val="left"/>
      <w:pPr>
        <w:ind w:left="10580" w:hanging="295"/>
      </w:pPr>
      <w:rPr>
        <w:rFonts w:hint="default"/>
        <w:lang w:val="en-US" w:eastAsia="en-US" w:bidi="en-US"/>
      </w:rPr>
    </w:lvl>
    <w:lvl w:ilvl="8" w:tplc="B3A2E49C">
      <w:numFmt w:val="bullet"/>
      <w:lvlText w:val="•"/>
      <w:lvlJc w:val="left"/>
      <w:pPr>
        <w:ind w:left="11960" w:hanging="295"/>
      </w:pPr>
      <w:rPr>
        <w:rFonts w:hint="default"/>
        <w:lang w:val="en-US" w:eastAsia="en-US" w:bidi="en-US"/>
      </w:rPr>
    </w:lvl>
  </w:abstractNum>
  <w:abstractNum w:abstractNumId="9" w15:restartNumberingAfterBreak="0">
    <w:nsid w:val="449C5BA5"/>
    <w:multiLevelType w:val="hybridMultilevel"/>
    <w:tmpl w:val="0D109F22"/>
    <w:lvl w:ilvl="0" w:tplc="7688CC76">
      <w:start w:val="1"/>
      <w:numFmt w:val="upperLetter"/>
      <w:lvlText w:val="%1."/>
      <w:lvlJc w:val="left"/>
      <w:pPr>
        <w:ind w:left="915" w:hanging="295"/>
        <w:jc w:val="left"/>
      </w:pPr>
      <w:rPr>
        <w:rFonts w:hint="default"/>
        <w:spacing w:val="-5"/>
        <w:w w:val="99"/>
        <w:u w:val="single" w:color="000000"/>
        <w:lang w:val="en-US" w:eastAsia="en-US" w:bidi="en-US"/>
      </w:rPr>
    </w:lvl>
    <w:lvl w:ilvl="1" w:tplc="55B0BA7A">
      <w:numFmt w:val="bullet"/>
      <w:lvlText w:val="•"/>
      <w:lvlJc w:val="left"/>
      <w:pPr>
        <w:ind w:left="2300" w:hanging="295"/>
      </w:pPr>
      <w:rPr>
        <w:rFonts w:hint="default"/>
        <w:lang w:val="en-US" w:eastAsia="en-US" w:bidi="en-US"/>
      </w:rPr>
    </w:lvl>
    <w:lvl w:ilvl="2" w:tplc="859A0926">
      <w:numFmt w:val="bullet"/>
      <w:lvlText w:val="•"/>
      <w:lvlJc w:val="left"/>
      <w:pPr>
        <w:ind w:left="3680" w:hanging="295"/>
      </w:pPr>
      <w:rPr>
        <w:rFonts w:hint="default"/>
        <w:lang w:val="en-US" w:eastAsia="en-US" w:bidi="en-US"/>
      </w:rPr>
    </w:lvl>
    <w:lvl w:ilvl="3" w:tplc="6AD604BC">
      <w:numFmt w:val="bullet"/>
      <w:lvlText w:val="•"/>
      <w:lvlJc w:val="left"/>
      <w:pPr>
        <w:ind w:left="5060" w:hanging="295"/>
      </w:pPr>
      <w:rPr>
        <w:rFonts w:hint="default"/>
        <w:lang w:val="en-US" w:eastAsia="en-US" w:bidi="en-US"/>
      </w:rPr>
    </w:lvl>
    <w:lvl w:ilvl="4" w:tplc="1F24EB82">
      <w:numFmt w:val="bullet"/>
      <w:lvlText w:val="•"/>
      <w:lvlJc w:val="left"/>
      <w:pPr>
        <w:ind w:left="6440" w:hanging="295"/>
      </w:pPr>
      <w:rPr>
        <w:rFonts w:hint="default"/>
        <w:lang w:val="en-US" w:eastAsia="en-US" w:bidi="en-US"/>
      </w:rPr>
    </w:lvl>
    <w:lvl w:ilvl="5" w:tplc="58DEC136">
      <w:numFmt w:val="bullet"/>
      <w:lvlText w:val="•"/>
      <w:lvlJc w:val="left"/>
      <w:pPr>
        <w:ind w:left="7820" w:hanging="295"/>
      </w:pPr>
      <w:rPr>
        <w:rFonts w:hint="default"/>
        <w:lang w:val="en-US" w:eastAsia="en-US" w:bidi="en-US"/>
      </w:rPr>
    </w:lvl>
    <w:lvl w:ilvl="6" w:tplc="EF8C86AA">
      <w:numFmt w:val="bullet"/>
      <w:lvlText w:val="•"/>
      <w:lvlJc w:val="left"/>
      <w:pPr>
        <w:ind w:left="9200" w:hanging="295"/>
      </w:pPr>
      <w:rPr>
        <w:rFonts w:hint="default"/>
        <w:lang w:val="en-US" w:eastAsia="en-US" w:bidi="en-US"/>
      </w:rPr>
    </w:lvl>
    <w:lvl w:ilvl="7" w:tplc="B802DBFA">
      <w:numFmt w:val="bullet"/>
      <w:lvlText w:val="•"/>
      <w:lvlJc w:val="left"/>
      <w:pPr>
        <w:ind w:left="10580" w:hanging="295"/>
      </w:pPr>
      <w:rPr>
        <w:rFonts w:hint="default"/>
        <w:lang w:val="en-US" w:eastAsia="en-US" w:bidi="en-US"/>
      </w:rPr>
    </w:lvl>
    <w:lvl w:ilvl="8" w:tplc="849E0B34">
      <w:numFmt w:val="bullet"/>
      <w:lvlText w:val="•"/>
      <w:lvlJc w:val="left"/>
      <w:pPr>
        <w:ind w:left="11960" w:hanging="295"/>
      </w:pPr>
      <w:rPr>
        <w:rFonts w:hint="default"/>
        <w:lang w:val="en-US" w:eastAsia="en-US" w:bidi="en-US"/>
      </w:rPr>
    </w:lvl>
  </w:abstractNum>
  <w:abstractNum w:abstractNumId="10" w15:restartNumberingAfterBreak="0">
    <w:nsid w:val="53CE587B"/>
    <w:multiLevelType w:val="hybridMultilevel"/>
    <w:tmpl w:val="3D36B5E4"/>
    <w:lvl w:ilvl="0" w:tplc="8A4894BC">
      <w:start w:val="1"/>
      <w:numFmt w:val="upperLetter"/>
      <w:lvlText w:val="%1."/>
      <w:lvlJc w:val="left"/>
      <w:pPr>
        <w:ind w:left="915" w:hanging="295"/>
        <w:jc w:val="left"/>
      </w:pPr>
      <w:rPr>
        <w:rFonts w:hint="default"/>
        <w:spacing w:val="-2"/>
        <w:w w:val="99"/>
        <w:u w:val="single" w:color="000000"/>
        <w:lang w:val="en-US" w:eastAsia="en-US" w:bidi="en-US"/>
      </w:rPr>
    </w:lvl>
    <w:lvl w:ilvl="1" w:tplc="59A8F772">
      <w:numFmt w:val="bullet"/>
      <w:lvlText w:val="•"/>
      <w:lvlJc w:val="left"/>
      <w:pPr>
        <w:ind w:left="620" w:hanging="105"/>
      </w:pPr>
      <w:rPr>
        <w:rFonts w:ascii="Times New Roman" w:eastAsia="Times New Roman" w:hAnsi="Times New Roman" w:cs="Times New Roman" w:hint="default"/>
        <w:w w:val="100"/>
        <w:sz w:val="18"/>
        <w:szCs w:val="18"/>
        <w:lang w:val="en-US" w:eastAsia="en-US" w:bidi="en-US"/>
      </w:rPr>
    </w:lvl>
    <w:lvl w:ilvl="2" w:tplc="747892F0">
      <w:numFmt w:val="bullet"/>
      <w:lvlText w:val="•"/>
      <w:lvlJc w:val="left"/>
      <w:pPr>
        <w:ind w:left="2453" w:hanging="105"/>
      </w:pPr>
      <w:rPr>
        <w:rFonts w:hint="default"/>
        <w:lang w:val="en-US" w:eastAsia="en-US" w:bidi="en-US"/>
      </w:rPr>
    </w:lvl>
    <w:lvl w:ilvl="3" w:tplc="76C26862">
      <w:numFmt w:val="bullet"/>
      <w:lvlText w:val="•"/>
      <w:lvlJc w:val="left"/>
      <w:pPr>
        <w:ind w:left="3986" w:hanging="105"/>
      </w:pPr>
      <w:rPr>
        <w:rFonts w:hint="default"/>
        <w:lang w:val="en-US" w:eastAsia="en-US" w:bidi="en-US"/>
      </w:rPr>
    </w:lvl>
    <w:lvl w:ilvl="4" w:tplc="D5B635C4">
      <w:numFmt w:val="bullet"/>
      <w:lvlText w:val="•"/>
      <w:lvlJc w:val="left"/>
      <w:pPr>
        <w:ind w:left="5520" w:hanging="105"/>
      </w:pPr>
      <w:rPr>
        <w:rFonts w:hint="default"/>
        <w:lang w:val="en-US" w:eastAsia="en-US" w:bidi="en-US"/>
      </w:rPr>
    </w:lvl>
    <w:lvl w:ilvl="5" w:tplc="1D2EE414">
      <w:numFmt w:val="bullet"/>
      <w:lvlText w:val="•"/>
      <w:lvlJc w:val="left"/>
      <w:pPr>
        <w:ind w:left="7053" w:hanging="105"/>
      </w:pPr>
      <w:rPr>
        <w:rFonts w:hint="default"/>
        <w:lang w:val="en-US" w:eastAsia="en-US" w:bidi="en-US"/>
      </w:rPr>
    </w:lvl>
    <w:lvl w:ilvl="6" w:tplc="8AD46CC0">
      <w:numFmt w:val="bullet"/>
      <w:lvlText w:val="•"/>
      <w:lvlJc w:val="left"/>
      <w:pPr>
        <w:ind w:left="8586" w:hanging="105"/>
      </w:pPr>
      <w:rPr>
        <w:rFonts w:hint="default"/>
        <w:lang w:val="en-US" w:eastAsia="en-US" w:bidi="en-US"/>
      </w:rPr>
    </w:lvl>
    <w:lvl w:ilvl="7" w:tplc="79507A3E">
      <w:numFmt w:val="bullet"/>
      <w:lvlText w:val="•"/>
      <w:lvlJc w:val="left"/>
      <w:pPr>
        <w:ind w:left="10120" w:hanging="105"/>
      </w:pPr>
      <w:rPr>
        <w:rFonts w:hint="default"/>
        <w:lang w:val="en-US" w:eastAsia="en-US" w:bidi="en-US"/>
      </w:rPr>
    </w:lvl>
    <w:lvl w:ilvl="8" w:tplc="3490EFD6">
      <w:numFmt w:val="bullet"/>
      <w:lvlText w:val="•"/>
      <w:lvlJc w:val="left"/>
      <w:pPr>
        <w:ind w:left="11653" w:hanging="105"/>
      </w:pPr>
      <w:rPr>
        <w:rFonts w:hint="default"/>
        <w:lang w:val="en-US" w:eastAsia="en-US" w:bidi="en-US"/>
      </w:rPr>
    </w:lvl>
  </w:abstractNum>
  <w:abstractNum w:abstractNumId="11" w15:restartNumberingAfterBreak="0">
    <w:nsid w:val="54464D84"/>
    <w:multiLevelType w:val="hybridMultilevel"/>
    <w:tmpl w:val="29948376"/>
    <w:lvl w:ilvl="0" w:tplc="B590E990">
      <w:start w:val="1"/>
      <w:numFmt w:val="upperLetter"/>
      <w:lvlText w:val="%1."/>
      <w:lvlJc w:val="left"/>
      <w:pPr>
        <w:ind w:left="915" w:hanging="295"/>
        <w:jc w:val="left"/>
      </w:pPr>
      <w:rPr>
        <w:rFonts w:hint="default"/>
        <w:spacing w:val="-4"/>
        <w:w w:val="99"/>
        <w:u w:val="single" w:color="000000"/>
        <w:lang w:val="en-US" w:eastAsia="en-US" w:bidi="en-US"/>
      </w:rPr>
    </w:lvl>
    <w:lvl w:ilvl="1" w:tplc="DF36D738">
      <w:numFmt w:val="bullet"/>
      <w:lvlText w:val="•"/>
      <w:lvlJc w:val="left"/>
      <w:pPr>
        <w:ind w:left="2300" w:hanging="295"/>
      </w:pPr>
      <w:rPr>
        <w:rFonts w:hint="default"/>
        <w:lang w:val="en-US" w:eastAsia="en-US" w:bidi="en-US"/>
      </w:rPr>
    </w:lvl>
    <w:lvl w:ilvl="2" w:tplc="1C961A8C">
      <w:numFmt w:val="bullet"/>
      <w:lvlText w:val="•"/>
      <w:lvlJc w:val="left"/>
      <w:pPr>
        <w:ind w:left="3680" w:hanging="295"/>
      </w:pPr>
      <w:rPr>
        <w:rFonts w:hint="default"/>
        <w:lang w:val="en-US" w:eastAsia="en-US" w:bidi="en-US"/>
      </w:rPr>
    </w:lvl>
    <w:lvl w:ilvl="3" w:tplc="C00E60EC">
      <w:numFmt w:val="bullet"/>
      <w:lvlText w:val="•"/>
      <w:lvlJc w:val="left"/>
      <w:pPr>
        <w:ind w:left="5060" w:hanging="295"/>
      </w:pPr>
      <w:rPr>
        <w:rFonts w:hint="default"/>
        <w:lang w:val="en-US" w:eastAsia="en-US" w:bidi="en-US"/>
      </w:rPr>
    </w:lvl>
    <w:lvl w:ilvl="4" w:tplc="C3D0A7F4">
      <w:numFmt w:val="bullet"/>
      <w:lvlText w:val="•"/>
      <w:lvlJc w:val="left"/>
      <w:pPr>
        <w:ind w:left="6440" w:hanging="295"/>
      </w:pPr>
      <w:rPr>
        <w:rFonts w:hint="default"/>
        <w:lang w:val="en-US" w:eastAsia="en-US" w:bidi="en-US"/>
      </w:rPr>
    </w:lvl>
    <w:lvl w:ilvl="5" w:tplc="A8FEB360">
      <w:numFmt w:val="bullet"/>
      <w:lvlText w:val="•"/>
      <w:lvlJc w:val="left"/>
      <w:pPr>
        <w:ind w:left="7820" w:hanging="295"/>
      </w:pPr>
      <w:rPr>
        <w:rFonts w:hint="default"/>
        <w:lang w:val="en-US" w:eastAsia="en-US" w:bidi="en-US"/>
      </w:rPr>
    </w:lvl>
    <w:lvl w:ilvl="6" w:tplc="11462552">
      <w:numFmt w:val="bullet"/>
      <w:lvlText w:val="•"/>
      <w:lvlJc w:val="left"/>
      <w:pPr>
        <w:ind w:left="9200" w:hanging="295"/>
      </w:pPr>
      <w:rPr>
        <w:rFonts w:hint="default"/>
        <w:lang w:val="en-US" w:eastAsia="en-US" w:bidi="en-US"/>
      </w:rPr>
    </w:lvl>
    <w:lvl w:ilvl="7" w:tplc="2EBEB82E">
      <w:numFmt w:val="bullet"/>
      <w:lvlText w:val="•"/>
      <w:lvlJc w:val="left"/>
      <w:pPr>
        <w:ind w:left="10580" w:hanging="295"/>
      </w:pPr>
      <w:rPr>
        <w:rFonts w:hint="default"/>
        <w:lang w:val="en-US" w:eastAsia="en-US" w:bidi="en-US"/>
      </w:rPr>
    </w:lvl>
    <w:lvl w:ilvl="8" w:tplc="38F80342">
      <w:numFmt w:val="bullet"/>
      <w:lvlText w:val="•"/>
      <w:lvlJc w:val="left"/>
      <w:pPr>
        <w:ind w:left="11960" w:hanging="295"/>
      </w:pPr>
      <w:rPr>
        <w:rFonts w:hint="default"/>
        <w:lang w:val="en-US" w:eastAsia="en-US" w:bidi="en-US"/>
      </w:rPr>
    </w:lvl>
  </w:abstractNum>
  <w:abstractNum w:abstractNumId="12" w15:restartNumberingAfterBreak="0">
    <w:nsid w:val="6EC375B5"/>
    <w:multiLevelType w:val="hybridMultilevel"/>
    <w:tmpl w:val="E892C55C"/>
    <w:lvl w:ilvl="0" w:tplc="FBB846E2">
      <w:start w:val="1"/>
      <w:numFmt w:val="upperLetter"/>
      <w:lvlText w:val="%1."/>
      <w:lvlJc w:val="left"/>
      <w:pPr>
        <w:ind w:left="915" w:hanging="295"/>
        <w:jc w:val="left"/>
      </w:pPr>
      <w:rPr>
        <w:rFonts w:hint="default"/>
        <w:spacing w:val="-5"/>
        <w:w w:val="99"/>
        <w:u w:val="single" w:color="000000"/>
        <w:lang w:val="en-US" w:eastAsia="en-US" w:bidi="en-US"/>
      </w:rPr>
    </w:lvl>
    <w:lvl w:ilvl="1" w:tplc="B850499A">
      <w:numFmt w:val="bullet"/>
      <w:lvlText w:val="•"/>
      <w:lvlJc w:val="left"/>
      <w:pPr>
        <w:ind w:left="2300" w:hanging="295"/>
      </w:pPr>
      <w:rPr>
        <w:rFonts w:hint="default"/>
        <w:lang w:val="en-US" w:eastAsia="en-US" w:bidi="en-US"/>
      </w:rPr>
    </w:lvl>
    <w:lvl w:ilvl="2" w:tplc="190E8448">
      <w:numFmt w:val="bullet"/>
      <w:lvlText w:val="•"/>
      <w:lvlJc w:val="left"/>
      <w:pPr>
        <w:ind w:left="3680" w:hanging="295"/>
      </w:pPr>
      <w:rPr>
        <w:rFonts w:hint="default"/>
        <w:lang w:val="en-US" w:eastAsia="en-US" w:bidi="en-US"/>
      </w:rPr>
    </w:lvl>
    <w:lvl w:ilvl="3" w:tplc="57023ACC">
      <w:numFmt w:val="bullet"/>
      <w:lvlText w:val="•"/>
      <w:lvlJc w:val="left"/>
      <w:pPr>
        <w:ind w:left="5060" w:hanging="295"/>
      </w:pPr>
      <w:rPr>
        <w:rFonts w:hint="default"/>
        <w:lang w:val="en-US" w:eastAsia="en-US" w:bidi="en-US"/>
      </w:rPr>
    </w:lvl>
    <w:lvl w:ilvl="4" w:tplc="1DC09654">
      <w:numFmt w:val="bullet"/>
      <w:lvlText w:val="•"/>
      <w:lvlJc w:val="left"/>
      <w:pPr>
        <w:ind w:left="6440" w:hanging="295"/>
      </w:pPr>
      <w:rPr>
        <w:rFonts w:hint="default"/>
        <w:lang w:val="en-US" w:eastAsia="en-US" w:bidi="en-US"/>
      </w:rPr>
    </w:lvl>
    <w:lvl w:ilvl="5" w:tplc="A9C0C44A">
      <w:numFmt w:val="bullet"/>
      <w:lvlText w:val="•"/>
      <w:lvlJc w:val="left"/>
      <w:pPr>
        <w:ind w:left="7820" w:hanging="295"/>
      </w:pPr>
      <w:rPr>
        <w:rFonts w:hint="default"/>
        <w:lang w:val="en-US" w:eastAsia="en-US" w:bidi="en-US"/>
      </w:rPr>
    </w:lvl>
    <w:lvl w:ilvl="6" w:tplc="C866805E">
      <w:numFmt w:val="bullet"/>
      <w:lvlText w:val="•"/>
      <w:lvlJc w:val="left"/>
      <w:pPr>
        <w:ind w:left="9200" w:hanging="295"/>
      </w:pPr>
      <w:rPr>
        <w:rFonts w:hint="default"/>
        <w:lang w:val="en-US" w:eastAsia="en-US" w:bidi="en-US"/>
      </w:rPr>
    </w:lvl>
    <w:lvl w:ilvl="7" w:tplc="1B7A9F20">
      <w:numFmt w:val="bullet"/>
      <w:lvlText w:val="•"/>
      <w:lvlJc w:val="left"/>
      <w:pPr>
        <w:ind w:left="10580" w:hanging="295"/>
      </w:pPr>
      <w:rPr>
        <w:rFonts w:hint="default"/>
        <w:lang w:val="en-US" w:eastAsia="en-US" w:bidi="en-US"/>
      </w:rPr>
    </w:lvl>
    <w:lvl w:ilvl="8" w:tplc="0E181506">
      <w:numFmt w:val="bullet"/>
      <w:lvlText w:val="•"/>
      <w:lvlJc w:val="left"/>
      <w:pPr>
        <w:ind w:left="11960" w:hanging="295"/>
      </w:pPr>
      <w:rPr>
        <w:rFonts w:hint="default"/>
        <w:lang w:val="en-US" w:eastAsia="en-US" w:bidi="en-US"/>
      </w:rPr>
    </w:lvl>
  </w:abstractNum>
  <w:abstractNum w:abstractNumId="13" w15:restartNumberingAfterBreak="0">
    <w:nsid w:val="78676112"/>
    <w:multiLevelType w:val="hybridMultilevel"/>
    <w:tmpl w:val="8DB019EA"/>
    <w:lvl w:ilvl="0" w:tplc="7EB083FE">
      <w:start w:val="1"/>
      <w:numFmt w:val="upperRoman"/>
      <w:lvlText w:val="%1."/>
      <w:lvlJc w:val="left"/>
      <w:pPr>
        <w:ind w:left="5412" w:hanging="250"/>
        <w:jc w:val="right"/>
      </w:pPr>
      <w:rPr>
        <w:rFonts w:ascii="Times New Roman" w:eastAsia="Times New Roman" w:hAnsi="Times New Roman" w:cs="Times New Roman" w:hint="default"/>
        <w:b/>
        <w:bCs/>
        <w:spacing w:val="-3"/>
        <w:w w:val="99"/>
        <w:sz w:val="28"/>
        <w:szCs w:val="28"/>
        <w:lang w:val="en-US" w:eastAsia="en-US" w:bidi="en-US"/>
      </w:rPr>
    </w:lvl>
    <w:lvl w:ilvl="1" w:tplc="3A1A86AC">
      <w:numFmt w:val="bullet"/>
      <w:lvlText w:val="•"/>
      <w:lvlJc w:val="left"/>
      <w:pPr>
        <w:ind w:left="6350" w:hanging="250"/>
      </w:pPr>
      <w:rPr>
        <w:rFonts w:hint="default"/>
        <w:lang w:val="en-US" w:eastAsia="en-US" w:bidi="en-US"/>
      </w:rPr>
    </w:lvl>
    <w:lvl w:ilvl="2" w:tplc="0BFACA06">
      <w:numFmt w:val="bullet"/>
      <w:lvlText w:val="•"/>
      <w:lvlJc w:val="left"/>
      <w:pPr>
        <w:ind w:left="7280" w:hanging="250"/>
      </w:pPr>
      <w:rPr>
        <w:rFonts w:hint="default"/>
        <w:lang w:val="en-US" w:eastAsia="en-US" w:bidi="en-US"/>
      </w:rPr>
    </w:lvl>
    <w:lvl w:ilvl="3" w:tplc="C5783F78">
      <w:numFmt w:val="bullet"/>
      <w:lvlText w:val="•"/>
      <w:lvlJc w:val="left"/>
      <w:pPr>
        <w:ind w:left="8210" w:hanging="250"/>
      </w:pPr>
      <w:rPr>
        <w:rFonts w:hint="default"/>
        <w:lang w:val="en-US" w:eastAsia="en-US" w:bidi="en-US"/>
      </w:rPr>
    </w:lvl>
    <w:lvl w:ilvl="4" w:tplc="3DDEC588">
      <w:numFmt w:val="bullet"/>
      <w:lvlText w:val="•"/>
      <w:lvlJc w:val="left"/>
      <w:pPr>
        <w:ind w:left="9140" w:hanging="250"/>
      </w:pPr>
      <w:rPr>
        <w:rFonts w:hint="default"/>
        <w:lang w:val="en-US" w:eastAsia="en-US" w:bidi="en-US"/>
      </w:rPr>
    </w:lvl>
    <w:lvl w:ilvl="5" w:tplc="A3D47F98">
      <w:numFmt w:val="bullet"/>
      <w:lvlText w:val="•"/>
      <w:lvlJc w:val="left"/>
      <w:pPr>
        <w:ind w:left="10070" w:hanging="250"/>
      </w:pPr>
      <w:rPr>
        <w:rFonts w:hint="default"/>
        <w:lang w:val="en-US" w:eastAsia="en-US" w:bidi="en-US"/>
      </w:rPr>
    </w:lvl>
    <w:lvl w:ilvl="6" w:tplc="49468E86">
      <w:numFmt w:val="bullet"/>
      <w:lvlText w:val="•"/>
      <w:lvlJc w:val="left"/>
      <w:pPr>
        <w:ind w:left="11000" w:hanging="250"/>
      </w:pPr>
      <w:rPr>
        <w:rFonts w:hint="default"/>
        <w:lang w:val="en-US" w:eastAsia="en-US" w:bidi="en-US"/>
      </w:rPr>
    </w:lvl>
    <w:lvl w:ilvl="7" w:tplc="4184B0A2">
      <w:numFmt w:val="bullet"/>
      <w:lvlText w:val="•"/>
      <w:lvlJc w:val="left"/>
      <w:pPr>
        <w:ind w:left="11930" w:hanging="250"/>
      </w:pPr>
      <w:rPr>
        <w:rFonts w:hint="default"/>
        <w:lang w:val="en-US" w:eastAsia="en-US" w:bidi="en-US"/>
      </w:rPr>
    </w:lvl>
    <w:lvl w:ilvl="8" w:tplc="AE6AC6C0">
      <w:numFmt w:val="bullet"/>
      <w:lvlText w:val="•"/>
      <w:lvlJc w:val="left"/>
      <w:pPr>
        <w:ind w:left="12860" w:hanging="250"/>
      </w:pPr>
      <w:rPr>
        <w:rFonts w:hint="default"/>
        <w:lang w:val="en-US" w:eastAsia="en-US" w:bidi="en-US"/>
      </w:rPr>
    </w:lvl>
  </w:abstractNum>
  <w:num w:numId="1">
    <w:abstractNumId w:val="10"/>
  </w:num>
  <w:num w:numId="2">
    <w:abstractNumId w:val="9"/>
  </w:num>
  <w:num w:numId="3">
    <w:abstractNumId w:val="2"/>
  </w:num>
  <w:num w:numId="4">
    <w:abstractNumId w:val="1"/>
  </w:num>
  <w:num w:numId="5">
    <w:abstractNumId w:val="5"/>
  </w:num>
  <w:num w:numId="6">
    <w:abstractNumId w:val="4"/>
  </w:num>
  <w:num w:numId="7">
    <w:abstractNumId w:val="8"/>
  </w:num>
  <w:num w:numId="8">
    <w:abstractNumId w:val="12"/>
  </w:num>
  <w:num w:numId="9">
    <w:abstractNumId w:val="0"/>
  </w:num>
  <w:num w:numId="10">
    <w:abstractNumId w:val="11"/>
  </w:num>
  <w:num w:numId="11">
    <w:abstractNumId w:val="6"/>
  </w:num>
  <w:num w:numId="12">
    <w:abstractNumId w:val="13"/>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6798B"/>
    <w:rsid w:val="000A3C02"/>
    <w:rsid w:val="001C0ED2"/>
    <w:rsid w:val="00214A9D"/>
    <w:rsid w:val="00304F46"/>
    <w:rsid w:val="0046798B"/>
    <w:rsid w:val="005302FD"/>
    <w:rsid w:val="005C66D9"/>
    <w:rsid w:val="00757808"/>
    <w:rsid w:val="00797354"/>
    <w:rsid w:val="007B6536"/>
    <w:rsid w:val="00855B7D"/>
    <w:rsid w:val="00903B5C"/>
    <w:rsid w:val="00C15DAE"/>
    <w:rsid w:val="00D070F4"/>
    <w:rsid w:val="00D94AF4"/>
    <w:rsid w:val="00DF4FED"/>
    <w:rsid w:val="00FB62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0DB2AAD"/>
  <w15:docId w15:val="{F0D92117-8B9A-3340-8872-B01EA835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FED"/>
    <w:pPr>
      <w:widowControl/>
      <w:autoSpaceDE/>
      <w:autoSpaceDN/>
    </w:pPr>
    <w:rPr>
      <w:rFonts w:ascii="Times New Roman" w:eastAsia="Times New Roman" w:hAnsi="Times New Roman" w:cs="Times New Roman"/>
      <w:sz w:val="24"/>
      <w:szCs w:val="24"/>
      <w:lang w:bidi="he-IL"/>
    </w:rPr>
  </w:style>
  <w:style w:type="paragraph" w:styleId="Heading1">
    <w:name w:val="heading 1"/>
    <w:basedOn w:val="Normal"/>
    <w:uiPriority w:val="9"/>
    <w:qFormat/>
    <w:pPr>
      <w:widowControl w:val="0"/>
      <w:autoSpaceDE w:val="0"/>
      <w:autoSpaceDN w:val="0"/>
      <w:ind w:left="1340" w:hanging="720"/>
      <w:outlineLvl w:val="0"/>
    </w:pPr>
    <w:rPr>
      <w:lang w:bidi="en-US"/>
    </w:rPr>
  </w:style>
  <w:style w:type="paragraph" w:styleId="Heading2">
    <w:name w:val="heading 2"/>
    <w:basedOn w:val="Normal"/>
    <w:uiPriority w:val="9"/>
    <w:unhideWhenUsed/>
    <w:qFormat/>
    <w:pPr>
      <w:widowControl w:val="0"/>
      <w:autoSpaceDE w:val="0"/>
      <w:autoSpaceDN w:val="0"/>
      <w:ind w:left="1340"/>
      <w:outlineLvl w:val="1"/>
    </w:pPr>
    <w:rPr>
      <w:sz w:val="22"/>
      <w:szCs w:val="22"/>
      <w:lang w:bidi="en-US"/>
    </w:rPr>
  </w:style>
  <w:style w:type="paragraph" w:styleId="Heading3">
    <w:name w:val="heading 3"/>
    <w:basedOn w:val="Normal"/>
    <w:uiPriority w:val="9"/>
    <w:unhideWhenUsed/>
    <w:qFormat/>
    <w:pPr>
      <w:widowControl w:val="0"/>
      <w:autoSpaceDE w:val="0"/>
      <w:autoSpaceDN w:val="0"/>
      <w:spacing w:before="1"/>
      <w:ind w:left="4177" w:right="4686"/>
      <w:jc w:val="center"/>
      <w:outlineLvl w:val="2"/>
    </w:pPr>
    <w:rPr>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widowControl w:val="0"/>
      <w:autoSpaceDE w:val="0"/>
      <w:autoSpaceDN w:val="0"/>
      <w:spacing w:before="119"/>
      <w:ind w:left="995" w:hanging="375"/>
    </w:pPr>
    <w:rPr>
      <w:lang w:bidi="en-US"/>
    </w:rPr>
  </w:style>
  <w:style w:type="paragraph" w:styleId="BodyText">
    <w:name w:val="Body Text"/>
    <w:basedOn w:val="Normal"/>
    <w:uiPriority w:val="1"/>
    <w:qFormat/>
    <w:pPr>
      <w:widowControl w:val="0"/>
      <w:autoSpaceDE w:val="0"/>
      <w:autoSpaceDN w:val="0"/>
      <w:spacing w:before="10"/>
    </w:pPr>
    <w:rPr>
      <w:sz w:val="18"/>
      <w:szCs w:val="18"/>
      <w:lang w:bidi="en-US"/>
    </w:rPr>
  </w:style>
  <w:style w:type="paragraph" w:styleId="ListParagraph">
    <w:name w:val="List Paragraph"/>
    <w:basedOn w:val="Normal"/>
    <w:uiPriority w:val="1"/>
    <w:qFormat/>
    <w:pPr>
      <w:widowControl w:val="0"/>
      <w:autoSpaceDE w:val="0"/>
      <w:autoSpaceDN w:val="0"/>
      <w:ind w:left="815" w:hanging="105"/>
    </w:pPr>
    <w:rPr>
      <w:sz w:val="22"/>
      <w:szCs w:val="22"/>
      <w:lang w:bidi="en-US"/>
    </w:rPr>
  </w:style>
  <w:style w:type="paragraph" w:customStyle="1" w:styleId="TableParagraph">
    <w:name w:val="Table Paragraph"/>
    <w:basedOn w:val="Normal"/>
    <w:uiPriority w:val="1"/>
    <w:qFormat/>
    <w:pPr>
      <w:widowControl w:val="0"/>
      <w:autoSpaceDE w:val="0"/>
      <w:autoSpaceDN w:val="0"/>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44773">
      <w:bodyDiv w:val="1"/>
      <w:marLeft w:val="0"/>
      <w:marRight w:val="0"/>
      <w:marTop w:val="0"/>
      <w:marBottom w:val="0"/>
      <w:divBdr>
        <w:top w:val="none" w:sz="0" w:space="0" w:color="auto"/>
        <w:left w:val="none" w:sz="0" w:space="0" w:color="auto"/>
        <w:bottom w:val="none" w:sz="0" w:space="0" w:color="auto"/>
        <w:right w:val="none" w:sz="0" w:space="0" w:color="auto"/>
      </w:divBdr>
    </w:div>
    <w:div w:id="37776731">
      <w:bodyDiv w:val="1"/>
      <w:marLeft w:val="0"/>
      <w:marRight w:val="0"/>
      <w:marTop w:val="0"/>
      <w:marBottom w:val="0"/>
      <w:divBdr>
        <w:top w:val="none" w:sz="0" w:space="0" w:color="auto"/>
        <w:left w:val="none" w:sz="0" w:space="0" w:color="auto"/>
        <w:bottom w:val="none" w:sz="0" w:space="0" w:color="auto"/>
        <w:right w:val="none" w:sz="0" w:space="0" w:color="auto"/>
      </w:divBdr>
    </w:div>
    <w:div w:id="43405761">
      <w:bodyDiv w:val="1"/>
      <w:marLeft w:val="0"/>
      <w:marRight w:val="0"/>
      <w:marTop w:val="0"/>
      <w:marBottom w:val="0"/>
      <w:divBdr>
        <w:top w:val="none" w:sz="0" w:space="0" w:color="auto"/>
        <w:left w:val="none" w:sz="0" w:space="0" w:color="auto"/>
        <w:bottom w:val="none" w:sz="0" w:space="0" w:color="auto"/>
        <w:right w:val="none" w:sz="0" w:space="0" w:color="auto"/>
      </w:divBdr>
    </w:div>
    <w:div w:id="73010623">
      <w:bodyDiv w:val="1"/>
      <w:marLeft w:val="0"/>
      <w:marRight w:val="0"/>
      <w:marTop w:val="0"/>
      <w:marBottom w:val="0"/>
      <w:divBdr>
        <w:top w:val="none" w:sz="0" w:space="0" w:color="auto"/>
        <w:left w:val="none" w:sz="0" w:space="0" w:color="auto"/>
        <w:bottom w:val="none" w:sz="0" w:space="0" w:color="auto"/>
        <w:right w:val="none" w:sz="0" w:space="0" w:color="auto"/>
      </w:divBdr>
    </w:div>
    <w:div w:id="85149545">
      <w:bodyDiv w:val="1"/>
      <w:marLeft w:val="0"/>
      <w:marRight w:val="0"/>
      <w:marTop w:val="0"/>
      <w:marBottom w:val="0"/>
      <w:divBdr>
        <w:top w:val="none" w:sz="0" w:space="0" w:color="auto"/>
        <w:left w:val="none" w:sz="0" w:space="0" w:color="auto"/>
        <w:bottom w:val="none" w:sz="0" w:space="0" w:color="auto"/>
        <w:right w:val="none" w:sz="0" w:space="0" w:color="auto"/>
      </w:divBdr>
    </w:div>
    <w:div w:id="102727152">
      <w:bodyDiv w:val="1"/>
      <w:marLeft w:val="0"/>
      <w:marRight w:val="0"/>
      <w:marTop w:val="0"/>
      <w:marBottom w:val="0"/>
      <w:divBdr>
        <w:top w:val="none" w:sz="0" w:space="0" w:color="auto"/>
        <w:left w:val="none" w:sz="0" w:space="0" w:color="auto"/>
        <w:bottom w:val="none" w:sz="0" w:space="0" w:color="auto"/>
        <w:right w:val="none" w:sz="0" w:space="0" w:color="auto"/>
      </w:divBdr>
    </w:div>
    <w:div w:id="145244304">
      <w:bodyDiv w:val="1"/>
      <w:marLeft w:val="0"/>
      <w:marRight w:val="0"/>
      <w:marTop w:val="0"/>
      <w:marBottom w:val="0"/>
      <w:divBdr>
        <w:top w:val="none" w:sz="0" w:space="0" w:color="auto"/>
        <w:left w:val="none" w:sz="0" w:space="0" w:color="auto"/>
        <w:bottom w:val="none" w:sz="0" w:space="0" w:color="auto"/>
        <w:right w:val="none" w:sz="0" w:space="0" w:color="auto"/>
      </w:divBdr>
    </w:div>
    <w:div w:id="157575074">
      <w:bodyDiv w:val="1"/>
      <w:marLeft w:val="0"/>
      <w:marRight w:val="0"/>
      <w:marTop w:val="0"/>
      <w:marBottom w:val="0"/>
      <w:divBdr>
        <w:top w:val="none" w:sz="0" w:space="0" w:color="auto"/>
        <w:left w:val="none" w:sz="0" w:space="0" w:color="auto"/>
        <w:bottom w:val="none" w:sz="0" w:space="0" w:color="auto"/>
        <w:right w:val="none" w:sz="0" w:space="0" w:color="auto"/>
      </w:divBdr>
    </w:div>
    <w:div w:id="178467517">
      <w:bodyDiv w:val="1"/>
      <w:marLeft w:val="0"/>
      <w:marRight w:val="0"/>
      <w:marTop w:val="0"/>
      <w:marBottom w:val="0"/>
      <w:divBdr>
        <w:top w:val="none" w:sz="0" w:space="0" w:color="auto"/>
        <w:left w:val="none" w:sz="0" w:space="0" w:color="auto"/>
        <w:bottom w:val="none" w:sz="0" w:space="0" w:color="auto"/>
        <w:right w:val="none" w:sz="0" w:space="0" w:color="auto"/>
      </w:divBdr>
    </w:div>
    <w:div w:id="244650643">
      <w:bodyDiv w:val="1"/>
      <w:marLeft w:val="0"/>
      <w:marRight w:val="0"/>
      <w:marTop w:val="0"/>
      <w:marBottom w:val="0"/>
      <w:divBdr>
        <w:top w:val="none" w:sz="0" w:space="0" w:color="auto"/>
        <w:left w:val="none" w:sz="0" w:space="0" w:color="auto"/>
        <w:bottom w:val="none" w:sz="0" w:space="0" w:color="auto"/>
        <w:right w:val="none" w:sz="0" w:space="0" w:color="auto"/>
      </w:divBdr>
    </w:div>
    <w:div w:id="289017264">
      <w:bodyDiv w:val="1"/>
      <w:marLeft w:val="0"/>
      <w:marRight w:val="0"/>
      <w:marTop w:val="0"/>
      <w:marBottom w:val="0"/>
      <w:divBdr>
        <w:top w:val="none" w:sz="0" w:space="0" w:color="auto"/>
        <w:left w:val="none" w:sz="0" w:space="0" w:color="auto"/>
        <w:bottom w:val="none" w:sz="0" w:space="0" w:color="auto"/>
        <w:right w:val="none" w:sz="0" w:space="0" w:color="auto"/>
      </w:divBdr>
    </w:div>
    <w:div w:id="297497700">
      <w:bodyDiv w:val="1"/>
      <w:marLeft w:val="0"/>
      <w:marRight w:val="0"/>
      <w:marTop w:val="0"/>
      <w:marBottom w:val="0"/>
      <w:divBdr>
        <w:top w:val="none" w:sz="0" w:space="0" w:color="auto"/>
        <w:left w:val="none" w:sz="0" w:space="0" w:color="auto"/>
        <w:bottom w:val="none" w:sz="0" w:space="0" w:color="auto"/>
        <w:right w:val="none" w:sz="0" w:space="0" w:color="auto"/>
      </w:divBdr>
    </w:div>
    <w:div w:id="300618290">
      <w:bodyDiv w:val="1"/>
      <w:marLeft w:val="0"/>
      <w:marRight w:val="0"/>
      <w:marTop w:val="0"/>
      <w:marBottom w:val="0"/>
      <w:divBdr>
        <w:top w:val="none" w:sz="0" w:space="0" w:color="auto"/>
        <w:left w:val="none" w:sz="0" w:space="0" w:color="auto"/>
        <w:bottom w:val="none" w:sz="0" w:space="0" w:color="auto"/>
        <w:right w:val="none" w:sz="0" w:space="0" w:color="auto"/>
      </w:divBdr>
    </w:div>
    <w:div w:id="313144019">
      <w:bodyDiv w:val="1"/>
      <w:marLeft w:val="0"/>
      <w:marRight w:val="0"/>
      <w:marTop w:val="0"/>
      <w:marBottom w:val="0"/>
      <w:divBdr>
        <w:top w:val="none" w:sz="0" w:space="0" w:color="auto"/>
        <w:left w:val="none" w:sz="0" w:space="0" w:color="auto"/>
        <w:bottom w:val="none" w:sz="0" w:space="0" w:color="auto"/>
        <w:right w:val="none" w:sz="0" w:space="0" w:color="auto"/>
      </w:divBdr>
    </w:div>
    <w:div w:id="335544520">
      <w:bodyDiv w:val="1"/>
      <w:marLeft w:val="0"/>
      <w:marRight w:val="0"/>
      <w:marTop w:val="0"/>
      <w:marBottom w:val="0"/>
      <w:divBdr>
        <w:top w:val="none" w:sz="0" w:space="0" w:color="auto"/>
        <w:left w:val="none" w:sz="0" w:space="0" w:color="auto"/>
        <w:bottom w:val="none" w:sz="0" w:space="0" w:color="auto"/>
        <w:right w:val="none" w:sz="0" w:space="0" w:color="auto"/>
      </w:divBdr>
    </w:div>
    <w:div w:id="341325651">
      <w:bodyDiv w:val="1"/>
      <w:marLeft w:val="0"/>
      <w:marRight w:val="0"/>
      <w:marTop w:val="0"/>
      <w:marBottom w:val="0"/>
      <w:divBdr>
        <w:top w:val="none" w:sz="0" w:space="0" w:color="auto"/>
        <w:left w:val="none" w:sz="0" w:space="0" w:color="auto"/>
        <w:bottom w:val="none" w:sz="0" w:space="0" w:color="auto"/>
        <w:right w:val="none" w:sz="0" w:space="0" w:color="auto"/>
      </w:divBdr>
    </w:div>
    <w:div w:id="347945307">
      <w:bodyDiv w:val="1"/>
      <w:marLeft w:val="0"/>
      <w:marRight w:val="0"/>
      <w:marTop w:val="0"/>
      <w:marBottom w:val="0"/>
      <w:divBdr>
        <w:top w:val="none" w:sz="0" w:space="0" w:color="auto"/>
        <w:left w:val="none" w:sz="0" w:space="0" w:color="auto"/>
        <w:bottom w:val="none" w:sz="0" w:space="0" w:color="auto"/>
        <w:right w:val="none" w:sz="0" w:space="0" w:color="auto"/>
      </w:divBdr>
    </w:div>
    <w:div w:id="349455823">
      <w:bodyDiv w:val="1"/>
      <w:marLeft w:val="0"/>
      <w:marRight w:val="0"/>
      <w:marTop w:val="0"/>
      <w:marBottom w:val="0"/>
      <w:divBdr>
        <w:top w:val="none" w:sz="0" w:space="0" w:color="auto"/>
        <w:left w:val="none" w:sz="0" w:space="0" w:color="auto"/>
        <w:bottom w:val="none" w:sz="0" w:space="0" w:color="auto"/>
        <w:right w:val="none" w:sz="0" w:space="0" w:color="auto"/>
      </w:divBdr>
    </w:div>
    <w:div w:id="363211641">
      <w:bodyDiv w:val="1"/>
      <w:marLeft w:val="0"/>
      <w:marRight w:val="0"/>
      <w:marTop w:val="0"/>
      <w:marBottom w:val="0"/>
      <w:divBdr>
        <w:top w:val="none" w:sz="0" w:space="0" w:color="auto"/>
        <w:left w:val="none" w:sz="0" w:space="0" w:color="auto"/>
        <w:bottom w:val="none" w:sz="0" w:space="0" w:color="auto"/>
        <w:right w:val="none" w:sz="0" w:space="0" w:color="auto"/>
      </w:divBdr>
    </w:div>
    <w:div w:id="366108013">
      <w:bodyDiv w:val="1"/>
      <w:marLeft w:val="0"/>
      <w:marRight w:val="0"/>
      <w:marTop w:val="0"/>
      <w:marBottom w:val="0"/>
      <w:divBdr>
        <w:top w:val="none" w:sz="0" w:space="0" w:color="auto"/>
        <w:left w:val="none" w:sz="0" w:space="0" w:color="auto"/>
        <w:bottom w:val="none" w:sz="0" w:space="0" w:color="auto"/>
        <w:right w:val="none" w:sz="0" w:space="0" w:color="auto"/>
      </w:divBdr>
    </w:div>
    <w:div w:id="403533216">
      <w:bodyDiv w:val="1"/>
      <w:marLeft w:val="0"/>
      <w:marRight w:val="0"/>
      <w:marTop w:val="0"/>
      <w:marBottom w:val="0"/>
      <w:divBdr>
        <w:top w:val="none" w:sz="0" w:space="0" w:color="auto"/>
        <w:left w:val="none" w:sz="0" w:space="0" w:color="auto"/>
        <w:bottom w:val="none" w:sz="0" w:space="0" w:color="auto"/>
        <w:right w:val="none" w:sz="0" w:space="0" w:color="auto"/>
      </w:divBdr>
    </w:div>
    <w:div w:id="429591739">
      <w:bodyDiv w:val="1"/>
      <w:marLeft w:val="0"/>
      <w:marRight w:val="0"/>
      <w:marTop w:val="0"/>
      <w:marBottom w:val="0"/>
      <w:divBdr>
        <w:top w:val="none" w:sz="0" w:space="0" w:color="auto"/>
        <w:left w:val="none" w:sz="0" w:space="0" w:color="auto"/>
        <w:bottom w:val="none" w:sz="0" w:space="0" w:color="auto"/>
        <w:right w:val="none" w:sz="0" w:space="0" w:color="auto"/>
      </w:divBdr>
    </w:div>
    <w:div w:id="502627708">
      <w:bodyDiv w:val="1"/>
      <w:marLeft w:val="0"/>
      <w:marRight w:val="0"/>
      <w:marTop w:val="0"/>
      <w:marBottom w:val="0"/>
      <w:divBdr>
        <w:top w:val="none" w:sz="0" w:space="0" w:color="auto"/>
        <w:left w:val="none" w:sz="0" w:space="0" w:color="auto"/>
        <w:bottom w:val="none" w:sz="0" w:space="0" w:color="auto"/>
        <w:right w:val="none" w:sz="0" w:space="0" w:color="auto"/>
      </w:divBdr>
    </w:div>
    <w:div w:id="530997665">
      <w:bodyDiv w:val="1"/>
      <w:marLeft w:val="0"/>
      <w:marRight w:val="0"/>
      <w:marTop w:val="0"/>
      <w:marBottom w:val="0"/>
      <w:divBdr>
        <w:top w:val="none" w:sz="0" w:space="0" w:color="auto"/>
        <w:left w:val="none" w:sz="0" w:space="0" w:color="auto"/>
        <w:bottom w:val="none" w:sz="0" w:space="0" w:color="auto"/>
        <w:right w:val="none" w:sz="0" w:space="0" w:color="auto"/>
      </w:divBdr>
    </w:div>
    <w:div w:id="548340382">
      <w:bodyDiv w:val="1"/>
      <w:marLeft w:val="0"/>
      <w:marRight w:val="0"/>
      <w:marTop w:val="0"/>
      <w:marBottom w:val="0"/>
      <w:divBdr>
        <w:top w:val="none" w:sz="0" w:space="0" w:color="auto"/>
        <w:left w:val="none" w:sz="0" w:space="0" w:color="auto"/>
        <w:bottom w:val="none" w:sz="0" w:space="0" w:color="auto"/>
        <w:right w:val="none" w:sz="0" w:space="0" w:color="auto"/>
      </w:divBdr>
    </w:div>
    <w:div w:id="554506783">
      <w:bodyDiv w:val="1"/>
      <w:marLeft w:val="0"/>
      <w:marRight w:val="0"/>
      <w:marTop w:val="0"/>
      <w:marBottom w:val="0"/>
      <w:divBdr>
        <w:top w:val="none" w:sz="0" w:space="0" w:color="auto"/>
        <w:left w:val="none" w:sz="0" w:space="0" w:color="auto"/>
        <w:bottom w:val="none" w:sz="0" w:space="0" w:color="auto"/>
        <w:right w:val="none" w:sz="0" w:space="0" w:color="auto"/>
      </w:divBdr>
    </w:div>
    <w:div w:id="583494477">
      <w:bodyDiv w:val="1"/>
      <w:marLeft w:val="0"/>
      <w:marRight w:val="0"/>
      <w:marTop w:val="0"/>
      <w:marBottom w:val="0"/>
      <w:divBdr>
        <w:top w:val="none" w:sz="0" w:space="0" w:color="auto"/>
        <w:left w:val="none" w:sz="0" w:space="0" w:color="auto"/>
        <w:bottom w:val="none" w:sz="0" w:space="0" w:color="auto"/>
        <w:right w:val="none" w:sz="0" w:space="0" w:color="auto"/>
      </w:divBdr>
    </w:div>
    <w:div w:id="591671227">
      <w:bodyDiv w:val="1"/>
      <w:marLeft w:val="0"/>
      <w:marRight w:val="0"/>
      <w:marTop w:val="0"/>
      <w:marBottom w:val="0"/>
      <w:divBdr>
        <w:top w:val="none" w:sz="0" w:space="0" w:color="auto"/>
        <w:left w:val="none" w:sz="0" w:space="0" w:color="auto"/>
        <w:bottom w:val="none" w:sz="0" w:space="0" w:color="auto"/>
        <w:right w:val="none" w:sz="0" w:space="0" w:color="auto"/>
      </w:divBdr>
    </w:div>
    <w:div w:id="626817611">
      <w:bodyDiv w:val="1"/>
      <w:marLeft w:val="0"/>
      <w:marRight w:val="0"/>
      <w:marTop w:val="0"/>
      <w:marBottom w:val="0"/>
      <w:divBdr>
        <w:top w:val="none" w:sz="0" w:space="0" w:color="auto"/>
        <w:left w:val="none" w:sz="0" w:space="0" w:color="auto"/>
        <w:bottom w:val="none" w:sz="0" w:space="0" w:color="auto"/>
        <w:right w:val="none" w:sz="0" w:space="0" w:color="auto"/>
      </w:divBdr>
    </w:div>
    <w:div w:id="629090532">
      <w:bodyDiv w:val="1"/>
      <w:marLeft w:val="0"/>
      <w:marRight w:val="0"/>
      <w:marTop w:val="0"/>
      <w:marBottom w:val="0"/>
      <w:divBdr>
        <w:top w:val="none" w:sz="0" w:space="0" w:color="auto"/>
        <w:left w:val="none" w:sz="0" w:space="0" w:color="auto"/>
        <w:bottom w:val="none" w:sz="0" w:space="0" w:color="auto"/>
        <w:right w:val="none" w:sz="0" w:space="0" w:color="auto"/>
      </w:divBdr>
    </w:div>
    <w:div w:id="659507914">
      <w:bodyDiv w:val="1"/>
      <w:marLeft w:val="0"/>
      <w:marRight w:val="0"/>
      <w:marTop w:val="0"/>
      <w:marBottom w:val="0"/>
      <w:divBdr>
        <w:top w:val="none" w:sz="0" w:space="0" w:color="auto"/>
        <w:left w:val="none" w:sz="0" w:space="0" w:color="auto"/>
        <w:bottom w:val="none" w:sz="0" w:space="0" w:color="auto"/>
        <w:right w:val="none" w:sz="0" w:space="0" w:color="auto"/>
      </w:divBdr>
    </w:div>
    <w:div w:id="673218494">
      <w:bodyDiv w:val="1"/>
      <w:marLeft w:val="0"/>
      <w:marRight w:val="0"/>
      <w:marTop w:val="0"/>
      <w:marBottom w:val="0"/>
      <w:divBdr>
        <w:top w:val="none" w:sz="0" w:space="0" w:color="auto"/>
        <w:left w:val="none" w:sz="0" w:space="0" w:color="auto"/>
        <w:bottom w:val="none" w:sz="0" w:space="0" w:color="auto"/>
        <w:right w:val="none" w:sz="0" w:space="0" w:color="auto"/>
      </w:divBdr>
    </w:div>
    <w:div w:id="693654239">
      <w:bodyDiv w:val="1"/>
      <w:marLeft w:val="0"/>
      <w:marRight w:val="0"/>
      <w:marTop w:val="0"/>
      <w:marBottom w:val="0"/>
      <w:divBdr>
        <w:top w:val="none" w:sz="0" w:space="0" w:color="auto"/>
        <w:left w:val="none" w:sz="0" w:space="0" w:color="auto"/>
        <w:bottom w:val="none" w:sz="0" w:space="0" w:color="auto"/>
        <w:right w:val="none" w:sz="0" w:space="0" w:color="auto"/>
      </w:divBdr>
    </w:div>
    <w:div w:id="712194810">
      <w:bodyDiv w:val="1"/>
      <w:marLeft w:val="0"/>
      <w:marRight w:val="0"/>
      <w:marTop w:val="0"/>
      <w:marBottom w:val="0"/>
      <w:divBdr>
        <w:top w:val="none" w:sz="0" w:space="0" w:color="auto"/>
        <w:left w:val="none" w:sz="0" w:space="0" w:color="auto"/>
        <w:bottom w:val="none" w:sz="0" w:space="0" w:color="auto"/>
        <w:right w:val="none" w:sz="0" w:space="0" w:color="auto"/>
      </w:divBdr>
    </w:div>
    <w:div w:id="734930717">
      <w:bodyDiv w:val="1"/>
      <w:marLeft w:val="0"/>
      <w:marRight w:val="0"/>
      <w:marTop w:val="0"/>
      <w:marBottom w:val="0"/>
      <w:divBdr>
        <w:top w:val="none" w:sz="0" w:space="0" w:color="auto"/>
        <w:left w:val="none" w:sz="0" w:space="0" w:color="auto"/>
        <w:bottom w:val="none" w:sz="0" w:space="0" w:color="auto"/>
        <w:right w:val="none" w:sz="0" w:space="0" w:color="auto"/>
      </w:divBdr>
    </w:div>
    <w:div w:id="736322178">
      <w:bodyDiv w:val="1"/>
      <w:marLeft w:val="0"/>
      <w:marRight w:val="0"/>
      <w:marTop w:val="0"/>
      <w:marBottom w:val="0"/>
      <w:divBdr>
        <w:top w:val="none" w:sz="0" w:space="0" w:color="auto"/>
        <w:left w:val="none" w:sz="0" w:space="0" w:color="auto"/>
        <w:bottom w:val="none" w:sz="0" w:space="0" w:color="auto"/>
        <w:right w:val="none" w:sz="0" w:space="0" w:color="auto"/>
      </w:divBdr>
    </w:div>
    <w:div w:id="750926502">
      <w:bodyDiv w:val="1"/>
      <w:marLeft w:val="0"/>
      <w:marRight w:val="0"/>
      <w:marTop w:val="0"/>
      <w:marBottom w:val="0"/>
      <w:divBdr>
        <w:top w:val="none" w:sz="0" w:space="0" w:color="auto"/>
        <w:left w:val="none" w:sz="0" w:space="0" w:color="auto"/>
        <w:bottom w:val="none" w:sz="0" w:space="0" w:color="auto"/>
        <w:right w:val="none" w:sz="0" w:space="0" w:color="auto"/>
      </w:divBdr>
    </w:div>
    <w:div w:id="827214103">
      <w:bodyDiv w:val="1"/>
      <w:marLeft w:val="0"/>
      <w:marRight w:val="0"/>
      <w:marTop w:val="0"/>
      <w:marBottom w:val="0"/>
      <w:divBdr>
        <w:top w:val="none" w:sz="0" w:space="0" w:color="auto"/>
        <w:left w:val="none" w:sz="0" w:space="0" w:color="auto"/>
        <w:bottom w:val="none" w:sz="0" w:space="0" w:color="auto"/>
        <w:right w:val="none" w:sz="0" w:space="0" w:color="auto"/>
      </w:divBdr>
    </w:div>
    <w:div w:id="846988809">
      <w:bodyDiv w:val="1"/>
      <w:marLeft w:val="0"/>
      <w:marRight w:val="0"/>
      <w:marTop w:val="0"/>
      <w:marBottom w:val="0"/>
      <w:divBdr>
        <w:top w:val="none" w:sz="0" w:space="0" w:color="auto"/>
        <w:left w:val="none" w:sz="0" w:space="0" w:color="auto"/>
        <w:bottom w:val="none" w:sz="0" w:space="0" w:color="auto"/>
        <w:right w:val="none" w:sz="0" w:space="0" w:color="auto"/>
      </w:divBdr>
    </w:div>
    <w:div w:id="856502015">
      <w:bodyDiv w:val="1"/>
      <w:marLeft w:val="0"/>
      <w:marRight w:val="0"/>
      <w:marTop w:val="0"/>
      <w:marBottom w:val="0"/>
      <w:divBdr>
        <w:top w:val="none" w:sz="0" w:space="0" w:color="auto"/>
        <w:left w:val="none" w:sz="0" w:space="0" w:color="auto"/>
        <w:bottom w:val="none" w:sz="0" w:space="0" w:color="auto"/>
        <w:right w:val="none" w:sz="0" w:space="0" w:color="auto"/>
      </w:divBdr>
    </w:div>
    <w:div w:id="884871290">
      <w:bodyDiv w:val="1"/>
      <w:marLeft w:val="0"/>
      <w:marRight w:val="0"/>
      <w:marTop w:val="0"/>
      <w:marBottom w:val="0"/>
      <w:divBdr>
        <w:top w:val="none" w:sz="0" w:space="0" w:color="auto"/>
        <w:left w:val="none" w:sz="0" w:space="0" w:color="auto"/>
        <w:bottom w:val="none" w:sz="0" w:space="0" w:color="auto"/>
        <w:right w:val="none" w:sz="0" w:space="0" w:color="auto"/>
      </w:divBdr>
    </w:div>
    <w:div w:id="900098762">
      <w:bodyDiv w:val="1"/>
      <w:marLeft w:val="0"/>
      <w:marRight w:val="0"/>
      <w:marTop w:val="0"/>
      <w:marBottom w:val="0"/>
      <w:divBdr>
        <w:top w:val="none" w:sz="0" w:space="0" w:color="auto"/>
        <w:left w:val="none" w:sz="0" w:space="0" w:color="auto"/>
        <w:bottom w:val="none" w:sz="0" w:space="0" w:color="auto"/>
        <w:right w:val="none" w:sz="0" w:space="0" w:color="auto"/>
      </w:divBdr>
    </w:div>
    <w:div w:id="911621909">
      <w:bodyDiv w:val="1"/>
      <w:marLeft w:val="0"/>
      <w:marRight w:val="0"/>
      <w:marTop w:val="0"/>
      <w:marBottom w:val="0"/>
      <w:divBdr>
        <w:top w:val="none" w:sz="0" w:space="0" w:color="auto"/>
        <w:left w:val="none" w:sz="0" w:space="0" w:color="auto"/>
        <w:bottom w:val="none" w:sz="0" w:space="0" w:color="auto"/>
        <w:right w:val="none" w:sz="0" w:space="0" w:color="auto"/>
      </w:divBdr>
    </w:div>
    <w:div w:id="924341123">
      <w:bodyDiv w:val="1"/>
      <w:marLeft w:val="0"/>
      <w:marRight w:val="0"/>
      <w:marTop w:val="0"/>
      <w:marBottom w:val="0"/>
      <w:divBdr>
        <w:top w:val="none" w:sz="0" w:space="0" w:color="auto"/>
        <w:left w:val="none" w:sz="0" w:space="0" w:color="auto"/>
        <w:bottom w:val="none" w:sz="0" w:space="0" w:color="auto"/>
        <w:right w:val="none" w:sz="0" w:space="0" w:color="auto"/>
      </w:divBdr>
    </w:div>
    <w:div w:id="932280357">
      <w:bodyDiv w:val="1"/>
      <w:marLeft w:val="0"/>
      <w:marRight w:val="0"/>
      <w:marTop w:val="0"/>
      <w:marBottom w:val="0"/>
      <w:divBdr>
        <w:top w:val="none" w:sz="0" w:space="0" w:color="auto"/>
        <w:left w:val="none" w:sz="0" w:space="0" w:color="auto"/>
        <w:bottom w:val="none" w:sz="0" w:space="0" w:color="auto"/>
        <w:right w:val="none" w:sz="0" w:space="0" w:color="auto"/>
      </w:divBdr>
    </w:div>
    <w:div w:id="996419467">
      <w:bodyDiv w:val="1"/>
      <w:marLeft w:val="0"/>
      <w:marRight w:val="0"/>
      <w:marTop w:val="0"/>
      <w:marBottom w:val="0"/>
      <w:divBdr>
        <w:top w:val="none" w:sz="0" w:space="0" w:color="auto"/>
        <w:left w:val="none" w:sz="0" w:space="0" w:color="auto"/>
        <w:bottom w:val="none" w:sz="0" w:space="0" w:color="auto"/>
        <w:right w:val="none" w:sz="0" w:space="0" w:color="auto"/>
      </w:divBdr>
    </w:div>
    <w:div w:id="999307356">
      <w:bodyDiv w:val="1"/>
      <w:marLeft w:val="0"/>
      <w:marRight w:val="0"/>
      <w:marTop w:val="0"/>
      <w:marBottom w:val="0"/>
      <w:divBdr>
        <w:top w:val="none" w:sz="0" w:space="0" w:color="auto"/>
        <w:left w:val="none" w:sz="0" w:space="0" w:color="auto"/>
        <w:bottom w:val="none" w:sz="0" w:space="0" w:color="auto"/>
        <w:right w:val="none" w:sz="0" w:space="0" w:color="auto"/>
      </w:divBdr>
    </w:div>
    <w:div w:id="1005597905">
      <w:bodyDiv w:val="1"/>
      <w:marLeft w:val="0"/>
      <w:marRight w:val="0"/>
      <w:marTop w:val="0"/>
      <w:marBottom w:val="0"/>
      <w:divBdr>
        <w:top w:val="none" w:sz="0" w:space="0" w:color="auto"/>
        <w:left w:val="none" w:sz="0" w:space="0" w:color="auto"/>
        <w:bottom w:val="none" w:sz="0" w:space="0" w:color="auto"/>
        <w:right w:val="none" w:sz="0" w:space="0" w:color="auto"/>
      </w:divBdr>
    </w:div>
    <w:div w:id="1060638598">
      <w:bodyDiv w:val="1"/>
      <w:marLeft w:val="0"/>
      <w:marRight w:val="0"/>
      <w:marTop w:val="0"/>
      <w:marBottom w:val="0"/>
      <w:divBdr>
        <w:top w:val="none" w:sz="0" w:space="0" w:color="auto"/>
        <w:left w:val="none" w:sz="0" w:space="0" w:color="auto"/>
        <w:bottom w:val="none" w:sz="0" w:space="0" w:color="auto"/>
        <w:right w:val="none" w:sz="0" w:space="0" w:color="auto"/>
      </w:divBdr>
    </w:div>
    <w:div w:id="1074741561">
      <w:bodyDiv w:val="1"/>
      <w:marLeft w:val="0"/>
      <w:marRight w:val="0"/>
      <w:marTop w:val="0"/>
      <w:marBottom w:val="0"/>
      <w:divBdr>
        <w:top w:val="none" w:sz="0" w:space="0" w:color="auto"/>
        <w:left w:val="none" w:sz="0" w:space="0" w:color="auto"/>
        <w:bottom w:val="none" w:sz="0" w:space="0" w:color="auto"/>
        <w:right w:val="none" w:sz="0" w:space="0" w:color="auto"/>
      </w:divBdr>
    </w:div>
    <w:div w:id="1103304396">
      <w:bodyDiv w:val="1"/>
      <w:marLeft w:val="0"/>
      <w:marRight w:val="0"/>
      <w:marTop w:val="0"/>
      <w:marBottom w:val="0"/>
      <w:divBdr>
        <w:top w:val="none" w:sz="0" w:space="0" w:color="auto"/>
        <w:left w:val="none" w:sz="0" w:space="0" w:color="auto"/>
        <w:bottom w:val="none" w:sz="0" w:space="0" w:color="auto"/>
        <w:right w:val="none" w:sz="0" w:space="0" w:color="auto"/>
      </w:divBdr>
    </w:div>
    <w:div w:id="1167088367">
      <w:bodyDiv w:val="1"/>
      <w:marLeft w:val="0"/>
      <w:marRight w:val="0"/>
      <w:marTop w:val="0"/>
      <w:marBottom w:val="0"/>
      <w:divBdr>
        <w:top w:val="none" w:sz="0" w:space="0" w:color="auto"/>
        <w:left w:val="none" w:sz="0" w:space="0" w:color="auto"/>
        <w:bottom w:val="none" w:sz="0" w:space="0" w:color="auto"/>
        <w:right w:val="none" w:sz="0" w:space="0" w:color="auto"/>
      </w:divBdr>
    </w:div>
    <w:div w:id="1202085608">
      <w:bodyDiv w:val="1"/>
      <w:marLeft w:val="0"/>
      <w:marRight w:val="0"/>
      <w:marTop w:val="0"/>
      <w:marBottom w:val="0"/>
      <w:divBdr>
        <w:top w:val="none" w:sz="0" w:space="0" w:color="auto"/>
        <w:left w:val="none" w:sz="0" w:space="0" w:color="auto"/>
        <w:bottom w:val="none" w:sz="0" w:space="0" w:color="auto"/>
        <w:right w:val="none" w:sz="0" w:space="0" w:color="auto"/>
      </w:divBdr>
    </w:div>
    <w:div w:id="1232038045">
      <w:bodyDiv w:val="1"/>
      <w:marLeft w:val="0"/>
      <w:marRight w:val="0"/>
      <w:marTop w:val="0"/>
      <w:marBottom w:val="0"/>
      <w:divBdr>
        <w:top w:val="none" w:sz="0" w:space="0" w:color="auto"/>
        <w:left w:val="none" w:sz="0" w:space="0" w:color="auto"/>
        <w:bottom w:val="none" w:sz="0" w:space="0" w:color="auto"/>
        <w:right w:val="none" w:sz="0" w:space="0" w:color="auto"/>
      </w:divBdr>
    </w:div>
    <w:div w:id="1309095798">
      <w:bodyDiv w:val="1"/>
      <w:marLeft w:val="0"/>
      <w:marRight w:val="0"/>
      <w:marTop w:val="0"/>
      <w:marBottom w:val="0"/>
      <w:divBdr>
        <w:top w:val="none" w:sz="0" w:space="0" w:color="auto"/>
        <w:left w:val="none" w:sz="0" w:space="0" w:color="auto"/>
        <w:bottom w:val="none" w:sz="0" w:space="0" w:color="auto"/>
        <w:right w:val="none" w:sz="0" w:space="0" w:color="auto"/>
      </w:divBdr>
    </w:div>
    <w:div w:id="1312445749">
      <w:bodyDiv w:val="1"/>
      <w:marLeft w:val="0"/>
      <w:marRight w:val="0"/>
      <w:marTop w:val="0"/>
      <w:marBottom w:val="0"/>
      <w:divBdr>
        <w:top w:val="none" w:sz="0" w:space="0" w:color="auto"/>
        <w:left w:val="none" w:sz="0" w:space="0" w:color="auto"/>
        <w:bottom w:val="none" w:sz="0" w:space="0" w:color="auto"/>
        <w:right w:val="none" w:sz="0" w:space="0" w:color="auto"/>
      </w:divBdr>
    </w:div>
    <w:div w:id="1320385379">
      <w:bodyDiv w:val="1"/>
      <w:marLeft w:val="0"/>
      <w:marRight w:val="0"/>
      <w:marTop w:val="0"/>
      <w:marBottom w:val="0"/>
      <w:divBdr>
        <w:top w:val="none" w:sz="0" w:space="0" w:color="auto"/>
        <w:left w:val="none" w:sz="0" w:space="0" w:color="auto"/>
        <w:bottom w:val="none" w:sz="0" w:space="0" w:color="auto"/>
        <w:right w:val="none" w:sz="0" w:space="0" w:color="auto"/>
      </w:divBdr>
    </w:div>
    <w:div w:id="1372728378">
      <w:bodyDiv w:val="1"/>
      <w:marLeft w:val="0"/>
      <w:marRight w:val="0"/>
      <w:marTop w:val="0"/>
      <w:marBottom w:val="0"/>
      <w:divBdr>
        <w:top w:val="none" w:sz="0" w:space="0" w:color="auto"/>
        <w:left w:val="none" w:sz="0" w:space="0" w:color="auto"/>
        <w:bottom w:val="none" w:sz="0" w:space="0" w:color="auto"/>
        <w:right w:val="none" w:sz="0" w:space="0" w:color="auto"/>
      </w:divBdr>
    </w:div>
    <w:div w:id="1379554375">
      <w:bodyDiv w:val="1"/>
      <w:marLeft w:val="0"/>
      <w:marRight w:val="0"/>
      <w:marTop w:val="0"/>
      <w:marBottom w:val="0"/>
      <w:divBdr>
        <w:top w:val="none" w:sz="0" w:space="0" w:color="auto"/>
        <w:left w:val="none" w:sz="0" w:space="0" w:color="auto"/>
        <w:bottom w:val="none" w:sz="0" w:space="0" w:color="auto"/>
        <w:right w:val="none" w:sz="0" w:space="0" w:color="auto"/>
      </w:divBdr>
    </w:div>
    <w:div w:id="1390498007">
      <w:bodyDiv w:val="1"/>
      <w:marLeft w:val="0"/>
      <w:marRight w:val="0"/>
      <w:marTop w:val="0"/>
      <w:marBottom w:val="0"/>
      <w:divBdr>
        <w:top w:val="none" w:sz="0" w:space="0" w:color="auto"/>
        <w:left w:val="none" w:sz="0" w:space="0" w:color="auto"/>
        <w:bottom w:val="none" w:sz="0" w:space="0" w:color="auto"/>
        <w:right w:val="none" w:sz="0" w:space="0" w:color="auto"/>
      </w:divBdr>
    </w:div>
    <w:div w:id="1406344215">
      <w:bodyDiv w:val="1"/>
      <w:marLeft w:val="0"/>
      <w:marRight w:val="0"/>
      <w:marTop w:val="0"/>
      <w:marBottom w:val="0"/>
      <w:divBdr>
        <w:top w:val="none" w:sz="0" w:space="0" w:color="auto"/>
        <w:left w:val="none" w:sz="0" w:space="0" w:color="auto"/>
        <w:bottom w:val="none" w:sz="0" w:space="0" w:color="auto"/>
        <w:right w:val="none" w:sz="0" w:space="0" w:color="auto"/>
      </w:divBdr>
    </w:div>
    <w:div w:id="1428690670">
      <w:bodyDiv w:val="1"/>
      <w:marLeft w:val="0"/>
      <w:marRight w:val="0"/>
      <w:marTop w:val="0"/>
      <w:marBottom w:val="0"/>
      <w:divBdr>
        <w:top w:val="none" w:sz="0" w:space="0" w:color="auto"/>
        <w:left w:val="none" w:sz="0" w:space="0" w:color="auto"/>
        <w:bottom w:val="none" w:sz="0" w:space="0" w:color="auto"/>
        <w:right w:val="none" w:sz="0" w:space="0" w:color="auto"/>
      </w:divBdr>
    </w:div>
    <w:div w:id="1523788325">
      <w:bodyDiv w:val="1"/>
      <w:marLeft w:val="0"/>
      <w:marRight w:val="0"/>
      <w:marTop w:val="0"/>
      <w:marBottom w:val="0"/>
      <w:divBdr>
        <w:top w:val="none" w:sz="0" w:space="0" w:color="auto"/>
        <w:left w:val="none" w:sz="0" w:space="0" w:color="auto"/>
        <w:bottom w:val="none" w:sz="0" w:space="0" w:color="auto"/>
        <w:right w:val="none" w:sz="0" w:space="0" w:color="auto"/>
      </w:divBdr>
    </w:div>
    <w:div w:id="1537739864">
      <w:bodyDiv w:val="1"/>
      <w:marLeft w:val="0"/>
      <w:marRight w:val="0"/>
      <w:marTop w:val="0"/>
      <w:marBottom w:val="0"/>
      <w:divBdr>
        <w:top w:val="none" w:sz="0" w:space="0" w:color="auto"/>
        <w:left w:val="none" w:sz="0" w:space="0" w:color="auto"/>
        <w:bottom w:val="none" w:sz="0" w:space="0" w:color="auto"/>
        <w:right w:val="none" w:sz="0" w:space="0" w:color="auto"/>
      </w:divBdr>
    </w:div>
    <w:div w:id="1595089914">
      <w:bodyDiv w:val="1"/>
      <w:marLeft w:val="0"/>
      <w:marRight w:val="0"/>
      <w:marTop w:val="0"/>
      <w:marBottom w:val="0"/>
      <w:divBdr>
        <w:top w:val="none" w:sz="0" w:space="0" w:color="auto"/>
        <w:left w:val="none" w:sz="0" w:space="0" w:color="auto"/>
        <w:bottom w:val="none" w:sz="0" w:space="0" w:color="auto"/>
        <w:right w:val="none" w:sz="0" w:space="0" w:color="auto"/>
      </w:divBdr>
    </w:div>
    <w:div w:id="1599869183">
      <w:bodyDiv w:val="1"/>
      <w:marLeft w:val="0"/>
      <w:marRight w:val="0"/>
      <w:marTop w:val="0"/>
      <w:marBottom w:val="0"/>
      <w:divBdr>
        <w:top w:val="none" w:sz="0" w:space="0" w:color="auto"/>
        <w:left w:val="none" w:sz="0" w:space="0" w:color="auto"/>
        <w:bottom w:val="none" w:sz="0" w:space="0" w:color="auto"/>
        <w:right w:val="none" w:sz="0" w:space="0" w:color="auto"/>
      </w:divBdr>
    </w:div>
    <w:div w:id="1634940608">
      <w:bodyDiv w:val="1"/>
      <w:marLeft w:val="0"/>
      <w:marRight w:val="0"/>
      <w:marTop w:val="0"/>
      <w:marBottom w:val="0"/>
      <w:divBdr>
        <w:top w:val="none" w:sz="0" w:space="0" w:color="auto"/>
        <w:left w:val="none" w:sz="0" w:space="0" w:color="auto"/>
        <w:bottom w:val="none" w:sz="0" w:space="0" w:color="auto"/>
        <w:right w:val="none" w:sz="0" w:space="0" w:color="auto"/>
      </w:divBdr>
    </w:div>
    <w:div w:id="1655722673">
      <w:bodyDiv w:val="1"/>
      <w:marLeft w:val="0"/>
      <w:marRight w:val="0"/>
      <w:marTop w:val="0"/>
      <w:marBottom w:val="0"/>
      <w:divBdr>
        <w:top w:val="none" w:sz="0" w:space="0" w:color="auto"/>
        <w:left w:val="none" w:sz="0" w:space="0" w:color="auto"/>
        <w:bottom w:val="none" w:sz="0" w:space="0" w:color="auto"/>
        <w:right w:val="none" w:sz="0" w:space="0" w:color="auto"/>
      </w:divBdr>
    </w:div>
    <w:div w:id="1666126669">
      <w:bodyDiv w:val="1"/>
      <w:marLeft w:val="0"/>
      <w:marRight w:val="0"/>
      <w:marTop w:val="0"/>
      <w:marBottom w:val="0"/>
      <w:divBdr>
        <w:top w:val="none" w:sz="0" w:space="0" w:color="auto"/>
        <w:left w:val="none" w:sz="0" w:space="0" w:color="auto"/>
        <w:bottom w:val="none" w:sz="0" w:space="0" w:color="auto"/>
        <w:right w:val="none" w:sz="0" w:space="0" w:color="auto"/>
      </w:divBdr>
    </w:div>
    <w:div w:id="1682925218">
      <w:bodyDiv w:val="1"/>
      <w:marLeft w:val="0"/>
      <w:marRight w:val="0"/>
      <w:marTop w:val="0"/>
      <w:marBottom w:val="0"/>
      <w:divBdr>
        <w:top w:val="none" w:sz="0" w:space="0" w:color="auto"/>
        <w:left w:val="none" w:sz="0" w:space="0" w:color="auto"/>
        <w:bottom w:val="none" w:sz="0" w:space="0" w:color="auto"/>
        <w:right w:val="none" w:sz="0" w:space="0" w:color="auto"/>
      </w:divBdr>
    </w:div>
    <w:div w:id="1689797280">
      <w:bodyDiv w:val="1"/>
      <w:marLeft w:val="0"/>
      <w:marRight w:val="0"/>
      <w:marTop w:val="0"/>
      <w:marBottom w:val="0"/>
      <w:divBdr>
        <w:top w:val="none" w:sz="0" w:space="0" w:color="auto"/>
        <w:left w:val="none" w:sz="0" w:space="0" w:color="auto"/>
        <w:bottom w:val="none" w:sz="0" w:space="0" w:color="auto"/>
        <w:right w:val="none" w:sz="0" w:space="0" w:color="auto"/>
      </w:divBdr>
    </w:div>
    <w:div w:id="1703943916">
      <w:bodyDiv w:val="1"/>
      <w:marLeft w:val="0"/>
      <w:marRight w:val="0"/>
      <w:marTop w:val="0"/>
      <w:marBottom w:val="0"/>
      <w:divBdr>
        <w:top w:val="none" w:sz="0" w:space="0" w:color="auto"/>
        <w:left w:val="none" w:sz="0" w:space="0" w:color="auto"/>
        <w:bottom w:val="none" w:sz="0" w:space="0" w:color="auto"/>
        <w:right w:val="none" w:sz="0" w:space="0" w:color="auto"/>
      </w:divBdr>
    </w:div>
    <w:div w:id="1716588611">
      <w:bodyDiv w:val="1"/>
      <w:marLeft w:val="0"/>
      <w:marRight w:val="0"/>
      <w:marTop w:val="0"/>
      <w:marBottom w:val="0"/>
      <w:divBdr>
        <w:top w:val="none" w:sz="0" w:space="0" w:color="auto"/>
        <w:left w:val="none" w:sz="0" w:space="0" w:color="auto"/>
        <w:bottom w:val="none" w:sz="0" w:space="0" w:color="auto"/>
        <w:right w:val="none" w:sz="0" w:space="0" w:color="auto"/>
      </w:divBdr>
    </w:div>
    <w:div w:id="1741168778">
      <w:bodyDiv w:val="1"/>
      <w:marLeft w:val="0"/>
      <w:marRight w:val="0"/>
      <w:marTop w:val="0"/>
      <w:marBottom w:val="0"/>
      <w:divBdr>
        <w:top w:val="none" w:sz="0" w:space="0" w:color="auto"/>
        <w:left w:val="none" w:sz="0" w:space="0" w:color="auto"/>
        <w:bottom w:val="none" w:sz="0" w:space="0" w:color="auto"/>
        <w:right w:val="none" w:sz="0" w:space="0" w:color="auto"/>
      </w:divBdr>
    </w:div>
    <w:div w:id="1775636984">
      <w:bodyDiv w:val="1"/>
      <w:marLeft w:val="0"/>
      <w:marRight w:val="0"/>
      <w:marTop w:val="0"/>
      <w:marBottom w:val="0"/>
      <w:divBdr>
        <w:top w:val="none" w:sz="0" w:space="0" w:color="auto"/>
        <w:left w:val="none" w:sz="0" w:space="0" w:color="auto"/>
        <w:bottom w:val="none" w:sz="0" w:space="0" w:color="auto"/>
        <w:right w:val="none" w:sz="0" w:space="0" w:color="auto"/>
      </w:divBdr>
    </w:div>
    <w:div w:id="1783646901">
      <w:bodyDiv w:val="1"/>
      <w:marLeft w:val="0"/>
      <w:marRight w:val="0"/>
      <w:marTop w:val="0"/>
      <w:marBottom w:val="0"/>
      <w:divBdr>
        <w:top w:val="none" w:sz="0" w:space="0" w:color="auto"/>
        <w:left w:val="none" w:sz="0" w:space="0" w:color="auto"/>
        <w:bottom w:val="none" w:sz="0" w:space="0" w:color="auto"/>
        <w:right w:val="none" w:sz="0" w:space="0" w:color="auto"/>
      </w:divBdr>
    </w:div>
    <w:div w:id="1784224602">
      <w:bodyDiv w:val="1"/>
      <w:marLeft w:val="0"/>
      <w:marRight w:val="0"/>
      <w:marTop w:val="0"/>
      <w:marBottom w:val="0"/>
      <w:divBdr>
        <w:top w:val="none" w:sz="0" w:space="0" w:color="auto"/>
        <w:left w:val="none" w:sz="0" w:space="0" w:color="auto"/>
        <w:bottom w:val="none" w:sz="0" w:space="0" w:color="auto"/>
        <w:right w:val="none" w:sz="0" w:space="0" w:color="auto"/>
      </w:divBdr>
    </w:div>
    <w:div w:id="1802772322">
      <w:bodyDiv w:val="1"/>
      <w:marLeft w:val="0"/>
      <w:marRight w:val="0"/>
      <w:marTop w:val="0"/>
      <w:marBottom w:val="0"/>
      <w:divBdr>
        <w:top w:val="none" w:sz="0" w:space="0" w:color="auto"/>
        <w:left w:val="none" w:sz="0" w:space="0" w:color="auto"/>
        <w:bottom w:val="none" w:sz="0" w:space="0" w:color="auto"/>
        <w:right w:val="none" w:sz="0" w:space="0" w:color="auto"/>
      </w:divBdr>
    </w:div>
    <w:div w:id="1803230718">
      <w:bodyDiv w:val="1"/>
      <w:marLeft w:val="0"/>
      <w:marRight w:val="0"/>
      <w:marTop w:val="0"/>
      <w:marBottom w:val="0"/>
      <w:divBdr>
        <w:top w:val="none" w:sz="0" w:space="0" w:color="auto"/>
        <w:left w:val="none" w:sz="0" w:space="0" w:color="auto"/>
        <w:bottom w:val="none" w:sz="0" w:space="0" w:color="auto"/>
        <w:right w:val="none" w:sz="0" w:space="0" w:color="auto"/>
      </w:divBdr>
    </w:div>
    <w:div w:id="1811048525">
      <w:bodyDiv w:val="1"/>
      <w:marLeft w:val="0"/>
      <w:marRight w:val="0"/>
      <w:marTop w:val="0"/>
      <w:marBottom w:val="0"/>
      <w:divBdr>
        <w:top w:val="none" w:sz="0" w:space="0" w:color="auto"/>
        <w:left w:val="none" w:sz="0" w:space="0" w:color="auto"/>
        <w:bottom w:val="none" w:sz="0" w:space="0" w:color="auto"/>
        <w:right w:val="none" w:sz="0" w:space="0" w:color="auto"/>
      </w:divBdr>
    </w:div>
    <w:div w:id="1815558482">
      <w:bodyDiv w:val="1"/>
      <w:marLeft w:val="0"/>
      <w:marRight w:val="0"/>
      <w:marTop w:val="0"/>
      <w:marBottom w:val="0"/>
      <w:divBdr>
        <w:top w:val="none" w:sz="0" w:space="0" w:color="auto"/>
        <w:left w:val="none" w:sz="0" w:space="0" w:color="auto"/>
        <w:bottom w:val="none" w:sz="0" w:space="0" w:color="auto"/>
        <w:right w:val="none" w:sz="0" w:space="0" w:color="auto"/>
      </w:divBdr>
    </w:div>
    <w:div w:id="1845394005">
      <w:bodyDiv w:val="1"/>
      <w:marLeft w:val="0"/>
      <w:marRight w:val="0"/>
      <w:marTop w:val="0"/>
      <w:marBottom w:val="0"/>
      <w:divBdr>
        <w:top w:val="none" w:sz="0" w:space="0" w:color="auto"/>
        <w:left w:val="none" w:sz="0" w:space="0" w:color="auto"/>
        <w:bottom w:val="none" w:sz="0" w:space="0" w:color="auto"/>
        <w:right w:val="none" w:sz="0" w:space="0" w:color="auto"/>
      </w:divBdr>
    </w:div>
    <w:div w:id="1862739151">
      <w:bodyDiv w:val="1"/>
      <w:marLeft w:val="0"/>
      <w:marRight w:val="0"/>
      <w:marTop w:val="0"/>
      <w:marBottom w:val="0"/>
      <w:divBdr>
        <w:top w:val="none" w:sz="0" w:space="0" w:color="auto"/>
        <w:left w:val="none" w:sz="0" w:space="0" w:color="auto"/>
        <w:bottom w:val="none" w:sz="0" w:space="0" w:color="auto"/>
        <w:right w:val="none" w:sz="0" w:space="0" w:color="auto"/>
      </w:divBdr>
    </w:div>
    <w:div w:id="1893229278">
      <w:bodyDiv w:val="1"/>
      <w:marLeft w:val="0"/>
      <w:marRight w:val="0"/>
      <w:marTop w:val="0"/>
      <w:marBottom w:val="0"/>
      <w:divBdr>
        <w:top w:val="none" w:sz="0" w:space="0" w:color="auto"/>
        <w:left w:val="none" w:sz="0" w:space="0" w:color="auto"/>
        <w:bottom w:val="none" w:sz="0" w:space="0" w:color="auto"/>
        <w:right w:val="none" w:sz="0" w:space="0" w:color="auto"/>
      </w:divBdr>
    </w:div>
    <w:div w:id="1901138412">
      <w:bodyDiv w:val="1"/>
      <w:marLeft w:val="0"/>
      <w:marRight w:val="0"/>
      <w:marTop w:val="0"/>
      <w:marBottom w:val="0"/>
      <w:divBdr>
        <w:top w:val="none" w:sz="0" w:space="0" w:color="auto"/>
        <w:left w:val="none" w:sz="0" w:space="0" w:color="auto"/>
        <w:bottom w:val="none" w:sz="0" w:space="0" w:color="auto"/>
        <w:right w:val="none" w:sz="0" w:space="0" w:color="auto"/>
      </w:divBdr>
    </w:div>
    <w:div w:id="1916471131">
      <w:bodyDiv w:val="1"/>
      <w:marLeft w:val="0"/>
      <w:marRight w:val="0"/>
      <w:marTop w:val="0"/>
      <w:marBottom w:val="0"/>
      <w:divBdr>
        <w:top w:val="none" w:sz="0" w:space="0" w:color="auto"/>
        <w:left w:val="none" w:sz="0" w:space="0" w:color="auto"/>
        <w:bottom w:val="none" w:sz="0" w:space="0" w:color="auto"/>
        <w:right w:val="none" w:sz="0" w:space="0" w:color="auto"/>
      </w:divBdr>
    </w:div>
    <w:div w:id="1918510506">
      <w:bodyDiv w:val="1"/>
      <w:marLeft w:val="0"/>
      <w:marRight w:val="0"/>
      <w:marTop w:val="0"/>
      <w:marBottom w:val="0"/>
      <w:divBdr>
        <w:top w:val="none" w:sz="0" w:space="0" w:color="auto"/>
        <w:left w:val="none" w:sz="0" w:space="0" w:color="auto"/>
        <w:bottom w:val="none" w:sz="0" w:space="0" w:color="auto"/>
        <w:right w:val="none" w:sz="0" w:space="0" w:color="auto"/>
      </w:divBdr>
    </w:div>
    <w:div w:id="1932273544">
      <w:bodyDiv w:val="1"/>
      <w:marLeft w:val="0"/>
      <w:marRight w:val="0"/>
      <w:marTop w:val="0"/>
      <w:marBottom w:val="0"/>
      <w:divBdr>
        <w:top w:val="none" w:sz="0" w:space="0" w:color="auto"/>
        <w:left w:val="none" w:sz="0" w:space="0" w:color="auto"/>
        <w:bottom w:val="none" w:sz="0" w:space="0" w:color="auto"/>
        <w:right w:val="none" w:sz="0" w:space="0" w:color="auto"/>
      </w:divBdr>
    </w:div>
    <w:div w:id="1945727750">
      <w:bodyDiv w:val="1"/>
      <w:marLeft w:val="0"/>
      <w:marRight w:val="0"/>
      <w:marTop w:val="0"/>
      <w:marBottom w:val="0"/>
      <w:divBdr>
        <w:top w:val="none" w:sz="0" w:space="0" w:color="auto"/>
        <w:left w:val="none" w:sz="0" w:space="0" w:color="auto"/>
        <w:bottom w:val="none" w:sz="0" w:space="0" w:color="auto"/>
        <w:right w:val="none" w:sz="0" w:space="0" w:color="auto"/>
      </w:divBdr>
    </w:div>
    <w:div w:id="1962805392">
      <w:bodyDiv w:val="1"/>
      <w:marLeft w:val="0"/>
      <w:marRight w:val="0"/>
      <w:marTop w:val="0"/>
      <w:marBottom w:val="0"/>
      <w:divBdr>
        <w:top w:val="none" w:sz="0" w:space="0" w:color="auto"/>
        <w:left w:val="none" w:sz="0" w:space="0" w:color="auto"/>
        <w:bottom w:val="none" w:sz="0" w:space="0" w:color="auto"/>
        <w:right w:val="none" w:sz="0" w:space="0" w:color="auto"/>
      </w:divBdr>
    </w:div>
    <w:div w:id="2016493071">
      <w:bodyDiv w:val="1"/>
      <w:marLeft w:val="0"/>
      <w:marRight w:val="0"/>
      <w:marTop w:val="0"/>
      <w:marBottom w:val="0"/>
      <w:divBdr>
        <w:top w:val="none" w:sz="0" w:space="0" w:color="auto"/>
        <w:left w:val="none" w:sz="0" w:space="0" w:color="auto"/>
        <w:bottom w:val="none" w:sz="0" w:space="0" w:color="auto"/>
        <w:right w:val="none" w:sz="0" w:space="0" w:color="auto"/>
      </w:divBdr>
    </w:div>
    <w:div w:id="2022968500">
      <w:bodyDiv w:val="1"/>
      <w:marLeft w:val="0"/>
      <w:marRight w:val="0"/>
      <w:marTop w:val="0"/>
      <w:marBottom w:val="0"/>
      <w:divBdr>
        <w:top w:val="none" w:sz="0" w:space="0" w:color="auto"/>
        <w:left w:val="none" w:sz="0" w:space="0" w:color="auto"/>
        <w:bottom w:val="none" w:sz="0" w:space="0" w:color="auto"/>
        <w:right w:val="none" w:sz="0" w:space="0" w:color="auto"/>
      </w:divBdr>
    </w:div>
    <w:div w:id="2031102077">
      <w:bodyDiv w:val="1"/>
      <w:marLeft w:val="0"/>
      <w:marRight w:val="0"/>
      <w:marTop w:val="0"/>
      <w:marBottom w:val="0"/>
      <w:divBdr>
        <w:top w:val="none" w:sz="0" w:space="0" w:color="auto"/>
        <w:left w:val="none" w:sz="0" w:space="0" w:color="auto"/>
        <w:bottom w:val="none" w:sz="0" w:space="0" w:color="auto"/>
        <w:right w:val="none" w:sz="0" w:space="0" w:color="auto"/>
      </w:divBdr>
    </w:div>
    <w:div w:id="2053536307">
      <w:bodyDiv w:val="1"/>
      <w:marLeft w:val="0"/>
      <w:marRight w:val="0"/>
      <w:marTop w:val="0"/>
      <w:marBottom w:val="0"/>
      <w:divBdr>
        <w:top w:val="none" w:sz="0" w:space="0" w:color="auto"/>
        <w:left w:val="none" w:sz="0" w:space="0" w:color="auto"/>
        <w:bottom w:val="none" w:sz="0" w:space="0" w:color="auto"/>
        <w:right w:val="none" w:sz="0" w:space="0" w:color="auto"/>
      </w:divBdr>
    </w:div>
    <w:div w:id="2080204002">
      <w:bodyDiv w:val="1"/>
      <w:marLeft w:val="0"/>
      <w:marRight w:val="0"/>
      <w:marTop w:val="0"/>
      <w:marBottom w:val="0"/>
      <w:divBdr>
        <w:top w:val="none" w:sz="0" w:space="0" w:color="auto"/>
        <w:left w:val="none" w:sz="0" w:space="0" w:color="auto"/>
        <w:bottom w:val="none" w:sz="0" w:space="0" w:color="auto"/>
        <w:right w:val="none" w:sz="0" w:space="0" w:color="auto"/>
      </w:divBdr>
    </w:div>
    <w:div w:id="2142072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factfinder.census.gov/faces/nav/jsf/pages/programs.xhtml?program=asgov" TargetMode="External"/><Relationship Id="rId671" Type="http://schemas.openxmlformats.org/officeDocument/2006/relationships/hyperlink" Target="http://www.followthemoney.org/" TargetMode="External"/><Relationship Id="rId769" Type="http://schemas.openxmlformats.org/officeDocument/2006/relationships/hyperlink" Target="http://www.uniformlaws.org/" TargetMode="External"/><Relationship Id="rId976" Type="http://schemas.openxmlformats.org/officeDocument/2006/relationships/hyperlink" Target="http://www.uniformlaws.org/" TargetMode="External"/><Relationship Id="rId21" Type="http://schemas.openxmlformats.org/officeDocument/2006/relationships/hyperlink" Target="https://www.census.gov/acs/www/data/data-tables-and-tools/american-factfinder/" TargetMode="External"/><Relationship Id="rId324" Type="http://schemas.openxmlformats.org/officeDocument/2006/relationships/hyperlink" Target="http://www.bea.gov/iTable/iTable.cfm?ReqID=70&amp;amp;step=1%23reqid%3D70&amp;amp;step=1&amp;amp;isuri=1" TargetMode="External"/><Relationship Id="rId531" Type="http://schemas.openxmlformats.org/officeDocument/2006/relationships/hyperlink" Target="http://voteview.com/basic.htm" TargetMode="External"/><Relationship Id="rId629" Type="http://schemas.openxmlformats.org/officeDocument/2006/relationships/hyperlink" Target="https://doi.org/10.7910/DVN/QSDYLH" TargetMode="External"/><Relationship Id="rId170" Type="http://schemas.openxmlformats.org/officeDocument/2006/relationships/hyperlink" Target="http://www.shsu.edu/eco_mwf/inequality.html" TargetMode="External"/><Relationship Id="rId836" Type="http://schemas.openxmlformats.org/officeDocument/2006/relationships/hyperlink" Target="https://www.kff.org/medicaid/state-indicator/rate-by-gender-3/?currentTimeframe=0&amp;amp;sortModel=%7B%22colId%22%3A%22Location%22%2C%22sort%22%3A%22asc%22%7D" TargetMode="External"/><Relationship Id="rId268" Type="http://schemas.openxmlformats.org/officeDocument/2006/relationships/hyperlink" Target="http://www.census.gov/govs/state/" TargetMode="External"/><Relationship Id="rId475" Type="http://schemas.openxmlformats.org/officeDocument/2006/relationships/hyperlink" Target="https://doi.org/10.7910/DVN/LZHMG3" TargetMode="External"/><Relationship Id="rId682" Type="http://schemas.openxmlformats.org/officeDocument/2006/relationships/hyperlink" Target="http://www.followthemoney.org/" TargetMode="External"/><Relationship Id="rId903" Type="http://schemas.openxmlformats.org/officeDocument/2006/relationships/hyperlink" Target="http://www.uniformlaws.org/" TargetMode="External"/><Relationship Id="rId32" Type="http://schemas.openxmlformats.org/officeDocument/2006/relationships/hyperlink" Target="https://www.census.gov/acs/www/data/data-tables-and-tools/american-factfinder/" TargetMode="External"/><Relationship Id="rId128" Type="http://schemas.openxmlformats.org/officeDocument/2006/relationships/hyperlink" Target="https://factfinder.census.gov/faces/nav/jsf/pages/programs.xhtml?program=asgov" TargetMode="External"/><Relationship Id="rId335" Type="http://schemas.openxmlformats.org/officeDocument/2006/relationships/hyperlink" Target="http://kff.org/other/state-indicator/avg-monthly-food-stamp-benefits/" TargetMode="External"/><Relationship Id="rId542" Type="http://schemas.openxmlformats.org/officeDocument/2006/relationships/hyperlink" Target="http://freedominthe50states.org/about" TargetMode="External"/><Relationship Id="rId987" Type="http://schemas.openxmlformats.org/officeDocument/2006/relationships/hyperlink" Target="http://www.uniformlaws.org/" TargetMode="External"/><Relationship Id="rId181" Type="http://schemas.openxmlformats.org/officeDocument/2006/relationships/hyperlink" Target="http://www.bea.gov/" TargetMode="External"/><Relationship Id="rId402" Type="http://schemas.openxmlformats.org/officeDocument/2006/relationships/hyperlink" Target="https://doi.org/10.7910/DVN/PQ0Y1N" TargetMode="External"/><Relationship Id="rId847" Type="http://schemas.openxmlformats.org/officeDocument/2006/relationships/hyperlink" Target="https://www.cdc.gov/nchs/pressroom/sosmap/infant_mortality_rates/infant_mortality.htm" TargetMode="External"/><Relationship Id="rId279" Type="http://schemas.openxmlformats.org/officeDocument/2006/relationships/hyperlink" Target="http://mercatus.org/sites/default/files/Norcross-Fiscal-Rankings-2-v2_1.pdf" TargetMode="External"/><Relationship Id="rId486" Type="http://schemas.openxmlformats.org/officeDocument/2006/relationships/hyperlink" Target="https://doi.org/10.7910/DVN/LZHMG3" TargetMode="External"/><Relationship Id="rId693" Type="http://schemas.openxmlformats.org/officeDocument/2006/relationships/hyperlink" Target="http://php.indiana.edu/%7Ewright1/" TargetMode="External"/><Relationship Id="rId707" Type="http://schemas.openxmlformats.org/officeDocument/2006/relationships/hyperlink" Target="http://www.uniformlaws.org/" TargetMode="External"/><Relationship Id="rId914" Type="http://schemas.openxmlformats.org/officeDocument/2006/relationships/hyperlink" Target="http://www.uniformlaws.org/" TargetMode="External"/><Relationship Id="rId43" Type="http://schemas.openxmlformats.org/officeDocument/2006/relationships/hyperlink" Target="https://www.census.gov/acs/www/data/data-tables-and-tools/american-factfinder/" TargetMode="External"/><Relationship Id="rId139" Type="http://schemas.openxmlformats.org/officeDocument/2006/relationships/hyperlink" Target="https://factfinder.census.gov/faces/nav/jsf/pages/programs.xhtml?program=asgov" TargetMode="External"/><Relationship Id="rId346" Type="http://schemas.openxmlformats.org/officeDocument/2006/relationships/hyperlink" Target="http://ukcpr.org/resources/national-welfare-data" TargetMode="External"/><Relationship Id="rId553" Type="http://schemas.openxmlformats.org/officeDocument/2006/relationships/hyperlink" Target="http://freedominthe50states.org/about" TargetMode="External"/><Relationship Id="rId760" Type="http://schemas.openxmlformats.org/officeDocument/2006/relationships/hyperlink" Target="http://www.fbi.gov/file-repository/nics_firearm_checks_-" TargetMode="External"/><Relationship Id="rId998" Type="http://schemas.openxmlformats.org/officeDocument/2006/relationships/hyperlink" Target="http://www.uniformlaws.org/" TargetMode="External"/><Relationship Id="rId192" Type="http://schemas.openxmlformats.org/officeDocument/2006/relationships/hyperlink" Target="http://www.census.gov/govs/state/" TargetMode="External"/><Relationship Id="rId206" Type="http://schemas.openxmlformats.org/officeDocument/2006/relationships/hyperlink" Target="http://www.bea.gov/regional/gsp/" TargetMode="External"/><Relationship Id="rId413" Type="http://schemas.openxmlformats.org/officeDocument/2006/relationships/hyperlink" Target="https://doi.org/10.7910/DVN/PQ0Y1N" TargetMode="External"/><Relationship Id="rId858" Type="http://schemas.openxmlformats.org/officeDocument/2006/relationships/hyperlink" Target="https://doi.org/10.7910/DVN/CVYSR7" TargetMode="External"/><Relationship Id="rId497" Type="http://schemas.openxmlformats.org/officeDocument/2006/relationships/hyperlink" Target="https://doi.org/10.7910/DVN/LZHMG3" TargetMode="External"/><Relationship Id="rId620" Type="http://schemas.openxmlformats.org/officeDocument/2006/relationships/hyperlink" Target="https://doi.org/10.7910/DVN/QSDYLH" TargetMode="External"/><Relationship Id="rId718" Type="http://schemas.openxmlformats.org/officeDocument/2006/relationships/hyperlink" Target="http://www.uniformlaws.org/" TargetMode="External"/><Relationship Id="rId925" Type="http://schemas.openxmlformats.org/officeDocument/2006/relationships/hyperlink" Target="http://www.uniformlaws.org/" TargetMode="External"/><Relationship Id="rId357" Type="http://schemas.openxmlformats.org/officeDocument/2006/relationships/hyperlink" Target="http://ukcpr.org/resources/national-welfare-data" TargetMode="External"/><Relationship Id="rId54" Type="http://schemas.openxmlformats.org/officeDocument/2006/relationships/hyperlink" Target="https://www.census.gov/acs/www/data/data-tables-and-tools/american-factfinder/" TargetMode="External"/><Relationship Id="rId217" Type="http://schemas.openxmlformats.org/officeDocument/2006/relationships/hyperlink" Target="http://www.census.gov/govs/state/" TargetMode="External"/><Relationship Id="rId564" Type="http://schemas.openxmlformats.org/officeDocument/2006/relationships/hyperlink" Target="http://freedominthe50states.org/about" TargetMode="External"/><Relationship Id="rId771" Type="http://schemas.openxmlformats.org/officeDocument/2006/relationships/hyperlink" Target="http://www.uniformlaws.org/" TargetMode="External"/><Relationship Id="rId869" Type="http://schemas.openxmlformats.org/officeDocument/2006/relationships/hyperlink" Target="https://doi.org/10.7910/DVN/CVYSR7" TargetMode="External"/><Relationship Id="rId424" Type="http://schemas.openxmlformats.org/officeDocument/2006/relationships/hyperlink" Target="https://doi.org/10.7910/DVN/PQ0Y1N" TargetMode="External"/><Relationship Id="rId631" Type="http://schemas.openxmlformats.org/officeDocument/2006/relationships/hyperlink" Target="https://doi.org/10.7910/DVN/QSDYLH" TargetMode="External"/><Relationship Id="rId729" Type="http://schemas.openxmlformats.org/officeDocument/2006/relationships/hyperlink" Target="http://www.uniformlaws.org/" TargetMode="External"/><Relationship Id="rId270" Type="http://schemas.openxmlformats.org/officeDocument/2006/relationships/hyperlink" Target="https://factfinder.census.gov/faces/nav/jsf/pages/programs.xhtml?program=asgov" TargetMode="External"/><Relationship Id="rId936" Type="http://schemas.openxmlformats.org/officeDocument/2006/relationships/hyperlink" Target="http://www.uniformlaws.org/" TargetMode="External"/><Relationship Id="rId65" Type="http://schemas.openxmlformats.org/officeDocument/2006/relationships/hyperlink" Target="https://www.dhs.gov/publication/yearbook-immigration-statistics-2011-legal-permanent-residents" TargetMode="External"/><Relationship Id="rId130" Type="http://schemas.openxmlformats.org/officeDocument/2006/relationships/hyperlink" Target="https://factfinder.census.gov/faces/nav/jsf/pages/programs.xhtml?program=asgov" TargetMode="External"/><Relationship Id="rId368" Type="http://schemas.openxmlformats.org/officeDocument/2006/relationships/hyperlink" Target="https://www.urban.org/research/publication/state-tax-incentives-economic-development" TargetMode="External"/><Relationship Id="rId575" Type="http://schemas.openxmlformats.org/officeDocument/2006/relationships/hyperlink" Target="http://www.stateminder.org/" TargetMode="External"/><Relationship Id="rId782" Type="http://schemas.openxmlformats.org/officeDocument/2006/relationships/hyperlink" Target="http://www.uniformlaws.org/" TargetMode="External"/><Relationship Id="rId228" Type="http://schemas.openxmlformats.org/officeDocument/2006/relationships/hyperlink" Target="http://www.census.gov/govs/state/" TargetMode="External"/><Relationship Id="rId435" Type="http://schemas.openxmlformats.org/officeDocument/2006/relationships/hyperlink" Target="https://doi.org/10.7910/DVN/PQ0Y1N" TargetMode="External"/><Relationship Id="rId642" Type="http://schemas.openxmlformats.org/officeDocument/2006/relationships/hyperlink" Target="https://doi.org/10.7910/DVN/QSDYLH" TargetMode="External"/><Relationship Id="rId281" Type="http://schemas.openxmlformats.org/officeDocument/2006/relationships/hyperlink" Target="http://mercatus.org/sites/default/files/Norcross-Fiscal-Rankings-2-v2_1.pdf" TargetMode="External"/><Relationship Id="rId502" Type="http://schemas.openxmlformats.org/officeDocument/2006/relationships/hyperlink" Target="https://doi.org/10.7910/DVN/LZHMG3" TargetMode="External"/><Relationship Id="rId947" Type="http://schemas.openxmlformats.org/officeDocument/2006/relationships/hyperlink" Target="http://www.uniformlaws.org/" TargetMode="External"/><Relationship Id="rId76" Type="http://schemas.openxmlformats.org/officeDocument/2006/relationships/hyperlink" Target="https://factfinder.census.gov/faces/nav/jsf/pages/programs.xhtml?program=asgov" TargetMode="External"/><Relationship Id="rId141" Type="http://schemas.openxmlformats.org/officeDocument/2006/relationships/hyperlink" Target="https://factfinder.census.gov/faces/nav/jsf/pages/programs.xhtml?program=asgov" TargetMode="External"/><Relationship Id="rId379" Type="http://schemas.openxmlformats.org/officeDocument/2006/relationships/hyperlink" Target="https://www.urban.org/research/publication/state-tax-incentives-economic-development" TargetMode="External"/><Relationship Id="rId586" Type="http://schemas.openxmlformats.org/officeDocument/2006/relationships/hyperlink" Target="https://doi.org/10.7910/DVN/QSDYLH" TargetMode="External"/><Relationship Id="rId793" Type="http://schemas.openxmlformats.org/officeDocument/2006/relationships/hyperlink" Target="http://www.stateminder.org/" TargetMode="External"/><Relationship Id="rId807" Type="http://schemas.openxmlformats.org/officeDocument/2006/relationships/hyperlink" Target="https://nces.ed.gov/" TargetMode="External"/><Relationship Id="rId7" Type="http://schemas.openxmlformats.org/officeDocument/2006/relationships/header" Target="header1.xml"/><Relationship Id="rId239" Type="http://schemas.openxmlformats.org/officeDocument/2006/relationships/hyperlink" Target="https://doi.org/10.7910/DVN/KMWN7N" TargetMode="External"/><Relationship Id="rId446" Type="http://schemas.openxmlformats.org/officeDocument/2006/relationships/hyperlink" Target="https://doi.org/10.7910/DVN/PQ0Y1N" TargetMode="External"/><Relationship Id="rId653" Type="http://schemas.openxmlformats.org/officeDocument/2006/relationships/hyperlink" Target="https://doi.org/10.7910/DVN/NLDUOY" TargetMode="External"/><Relationship Id="rId292" Type="http://schemas.openxmlformats.org/officeDocument/2006/relationships/hyperlink" Target="http://mercatus.org/sites/default/files/Norcross-Fiscal-Rankings-2-v2_1.pdf" TargetMode="External"/><Relationship Id="rId306" Type="http://schemas.openxmlformats.org/officeDocument/2006/relationships/hyperlink" Target="http://mercatus.org/sites/default/files/Norcross-Fiscal-Rankings-2-v2_1.pdf" TargetMode="External"/><Relationship Id="rId860" Type="http://schemas.openxmlformats.org/officeDocument/2006/relationships/hyperlink" Target="https://doi.org/10.7910/DVN/CVYSR7" TargetMode="External"/><Relationship Id="rId958" Type="http://schemas.openxmlformats.org/officeDocument/2006/relationships/hyperlink" Target="http://www.uniformlaws.org/" TargetMode="External"/><Relationship Id="rId87" Type="http://schemas.openxmlformats.org/officeDocument/2006/relationships/hyperlink" Target="https://factfinder.census.gov/faces/nav/jsf/pages/programs.xhtml?program=asgov" TargetMode="External"/><Relationship Id="rId513" Type="http://schemas.openxmlformats.org/officeDocument/2006/relationships/hyperlink" Target="http://americanlegislatures.com/data/" TargetMode="External"/><Relationship Id="rId597" Type="http://schemas.openxmlformats.org/officeDocument/2006/relationships/hyperlink" Target="https://doi.org/10.7910/DVN/QSDYLH" TargetMode="External"/><Relationship Id="rId720" Type="http://schemas.openxmlformats.org/officeDocument/2006/relationships/hyperlink" Target="http://www.uniformlaws.org/" TargetMode="External"/><Relationship Id="rId818" Type="http://schemas.openxmlformats.org/officeDocument/2006/relationships/hyperlink" Target="http://www.uniformlaws.org/" TargetMode="External"/><Relationship Id="rId152" Type="http://schemas.openxmlformats.org/officeDocument/2006/relationships/hyperlink" Target="https://factfinder.census.gov/faces/nav/jsf/pages/programs.xhtml?program=asgov" TargetMode="External"/><Relationship Id="rId457" Type="http://schemas.openxmlformats.org/officeDocument/2006/relationships/hyperlink" Target="http://www.ballotpedia.org/wiki/index.php/2010_gubernatorial_electoral_results" TargetMode="External"/><Relationship Id="rId1003" Type="http://schemas.openxmlformats.org/officeDocument/2006/relationships/hyperlink" Target="http://www.uniformlaws.org/" TargetMode="External"/><Relationship Id="rId664" Type="http://schemas.openxmlformats.org/officeDocument/2006/relationships/hyperlink" Target="http://www.followthemoney.org/" TargetMode="External"/><Relationship Id="rId871" Type="http://schemas.openxmlformats.org/officeDocument/2006/relationships/hyperlink" Target="https://doi.org/10.7910/DVN/CVYSR7" TargetMode="External"/><Relationship Id="rId969" Type="http://schemas.openxmlformats.org/officeDocument/2006/relationships/hyperlink" Target="http://www.uniformlaws.org/" TargetMode="External"/><Relationship Id="rId14" Type="http://schemas.openxmlformats.org/officeDocument/2006/relationships/hyperlink" Target="http://stateminder.org/" TargetMode="External"/><Relationship Id="rId317" Type="http://schemas.openxmlformats.org/officeDocument/2006/relationships/hyperlink" Target="http://www.icpsr.umich.edu/icpsrweb/ICPSR/studies/1124?q=Richard%2BFording&amp;amp;permit%5B0%5D=AVAILABLE" TargetMode="External"/><Relationship Id="rId524" Type="http://schemas.openxmlformats.org/officeDocument/2006/relationships/hyperlink" Target="http://americanlegislatures.com/data/" TargetMode="External"/><Relationship Id="rId731" Type="http://schemas.openxmlformats.org/officeDocument/2006/relationships/hyperlink" Target="http://www.uniformlaws.org/" TargetMode="External"/><Relationship Id="rId98" Type="http://schemas.openxmlformats.org/officeDocument/2006/relationships/hyperlink" Target="https://factfinder.census.gov/faces/nav/jsf/pages/programs.xhtml?program=asgov" TargetMode="External"/><Relationship Id="rId163" Type="http://schemas.openxmlformats.org/officeDocument/2006/relationships/hyperlink" Target="http://www.ers.usda.gov/data-products/farm-income-and-wealth-statistics.aspx" TargetMode="External"/><Relationship Id="rId370" Type="http://schemas.openxmlformats.org/officeDocument/2006/relationships/hyperlink" Target="https://www.urban.org/research/publication/state-tax-incentives-economic-development" TargetMode="External"/><Relationship Id="rId829" Type="http://schemas.openxmlformats.org/officeDocument/2006/relationships/hyperlink" Target="https://www.kff.org/private-insurance/state-indicator/rate-by-gender-2/?currentTimeframe=0&amp;amp;sortModel=%7B%22colId%22%3A%22Location%22%2C%22sort%22%3A%22asc%22%7D" TargetMode="External"/><Relationship Id="rId1014" Type="http://schemas.openxmlformats.org/officeDocument/2006/relationships/theme" Target="theme/theme1.xml"/><Relationship Id="rId230" Type="http://schemas.openxmlformats.org/officeDocument/2006/relationships/hyperlink" Target="https://doi.org/10.7910/DVN/KMWN7N" TargetMode="External"/><Relationship Id="rId468" Type="http://schemas.openxmlformats.org/officeDocument/2006/relationships/hyperlink" Target="https://doi.org/10.7910/DVN/PQ0Y1N" TargetMode="External"/><Relationship Id="rId675" Type="http://schemas.openxmlformats.org/officeDocument/2006/relationships/hyperlink" Target="http://www.followthemoney.org/" TargetMode="External"/><Relationship Id="rId882" Type="http://schemas.openxmlformats.org/officeDocument/2006/relationships/hyperlink" Target="https://www.freedomforallamericans.org/states/" TargetMode="External"/><Relationship Id="rId25" Type="http://schemas.openxmlformats.org/officeDocument/2006/relationships/hyperlink" Target="https://www.census.gov/acs/www/data/data-tables-and-tools/american-factfinder/" TargetMode="External"/><Relationship Id="rId328" Type="http://schemas.openxmlformats.org/officeDocument/2006/relationships/hyperlink" Target="http://stateminder.org/" TargetMode="External"/><Relationship Id="rId535" Type="http://schemas.openxmlformats.org/officeDocument/2006/relationships/hyperlink" Target="http://www.cawp.rutgers.edu/" TargetMode="External"/><Relationship Id="rId742" Type="http://schemas.openxmlformats.org/officeDocument/2006/relationships/hyperlink" Target="http://stateminder.org/" TargetMode="External"/><Relationship Id="rId174" Type="http://schemas.openxmlformats.org/officeDocument/2006/relationships/hyperlink" Target="https://doi.org/10.7910/DVN/KMWN7N" TargetMode="External"/><Relationship Id="rId381" Type="http://schemas.openxmlformats.org/officeDocument/2006/relationships/hyperlink" Target="https://files.taxfoundation.org/20190715165329/Facts-Figures-2019-How-Does-Your-State-Compare.pdf" TargetMode="External"/><Relationship Id="rId602" Type="http://schemas.openxmlformats.org/officeDocument/2006/relationships/hyperlink" Target="https://doi.org/10.7910/DVN/QSDYLH" TargetMode="External"/><Relationship Id="rId241" Type="http://schemas.openxmlformats.org/officeDocument/2006/relationships/hyperlink" Target="https://doi.org/10.7910/DVN/KMWN7N" TargetMode="External"/><Relationship Id="rId479" Type="http://schemas.openxmlformats.org/officeDocument/2006/relationships/hyperlink" Target="https://doi.org/10.7910/DVN/LZHMG3" TargetMode="External"/><Relationship Id="rId686" Type="http://schemas.openxmlformats.org/officeDocument/2006/relationships/hyperlink" Target="http://www.followthemoney.org/" TargetMode="External"/><Relationship Id="rId893" Type="http://schemas.openxmlformats.org/officeDocument/2006/relationships/hyperlink" Target="https://www.eia.gov/state/seds/seds-data-complete.php?sid=US" TargetMode="External"/><Relationship Id="rId907" Type="http://schemas.openxmlformats.org/officeDocument/2006/relationships/hyperlink" Target="http://www.statepolicyindex.com/wp-content/uploads/2019/06/b_guns_17_metadata_carry_indices.txt" TargetMode="External"/><Relationship Id="rId36" Type="http://schemas.openxmlformats.org/officeDocument/2006/relationships/hyperlink" Target="https://www.census.gov/acs/www/data/data-tables-and-tools/american-factfinder/" TargetMode="External"/><Relationship Id="rId339" Type="http://schemas.openxmlformats.org/officeDocument/2006/relationships/hyperlink" Target="http://ukcpr.org/resources/national-welfare-data" TargetMode="External"/><Relationship Id="rId546" Type="http://schemas.openxmlformats.org/officeDocument/2006/relationships/hyperlink" Target="http://freedominthe50states.org/about" TargetMode="External"/><Relationship Id="rId753" Type="http://schemas.openxmlformats.org/officeDocument/2006/relationships/hyperlink" Target="https://www.ucrdatatool.gov/Search/Crime/State/TrendsInOneVar.cfm" TargetMode="External"/><Relationship Id="rId101" Type="http://schemas.openxmlformats.org/officeDocument/2006/relationships/hyperlink" Target="https://factfinder.census.gov/faces/nav/jsf/pages/programs.xhtml?program=asgov" TargetMode="External"/><Relationship Id="rId185" Type="http://schemas.openxmlformats.org/officeDocument/2006/relationships/hyperlink" Target="https://doi.org/10.7910/DVN/KMWN7N" TargetMode="External"/><Relationship Id="rId406" Type="http://schemas.openxmlformats.org/officeDocument/2006/relationships/hyperlink" Target="https://doi.org/10.7910/DVN/PQ0Y1N" TargetMode="External"/><Relationship Id="rId960" Type="http://schemas.openxmlformats.org/officeDocument/2006/relationships/hyperlink" Target="http://www.uniformlaws.org/" TargetMode="External"/><Relationship Id="rId392" Type="http://schemas.openxmlformats.org/officeDocument/2006/relationships/hyperlink" Target="http://www.uniformlaws.org/" TargetMode="External"/><Relationship Id="rId613" Type="http://schemas.openxmlformats.org/officeDocument/2006/relationships/hyperlink" Target="https://doi.org/10.7910/DVN/QSDYLH" TargetMode="External"/><Relationship Id="rId697" Type="http://schemas.openxmlformats.org/officeDocument/2006/relationships/hyperlink" Target="http://www.uniformlaws.org/" TargetMode="External"/><Relationship Id="rId820" Type="http://schemas.openxmlformats.org/officeDocument/2006/relationships/hyperlink" Target="http://stateminder.org/" TargetMode="External"/><Relationship Id="rId918" Type="http://schemas.openxmlformats.org/officeDocument/2006/relationships/hyperlink" Target="http://www.uniformlaws.org/" TargetMode="External"/><Relationship Id="rId252" Type="http://schemas.openxmlformats.org/officeDocument/2006/relationships/hyperlink" Target="https://doi.org/10.7910/DVN/KMWN7N" TargetMode="External"/><Relationship Id="rId47" Type="http://schemas.openxmlformats.org/officeDocument/2006/relationships/hyperlink" Target="http://library.cqpress.com/cqresearcher/index.php" TargetMode="External"/><Relationship Id="rId112" Type="http://schemas.openxmlformats.org/officeDocument/2006/relationships/hyperlink" Target="https://factfinder.census.gov/faces/nav/jsf/pages/programs.xhtml?program=asgov" TargetMode="External"/><Relationship Id="rId557" Type="http://schemas.openxmlformats.org/officeDocument/2006/relationships/hyperlink" Target="http://freedominthe50states.org/about" TargetMode="External"/><Relationship Id="rId764" Type="http://schemas.openxmlformats.org/officeDocument/2006/relationships/hyperlink" Target="http://www.uniformlaws.org/" TargetMode="External"/><Relationship Id="rId971" Type="http://schemas.openxmlformats.org/officeDocument/2006/relationships/hyperlink" Target="http://www.uniformlaws.org/" TargetMode="External"/><Relationship Id="rId196" Type="http://schemas.openxmlformats.org/officeDocument/2006/relationships/hyperlink" Target="https://doi.org/10.7910/DVN/KMWN7N" TargetMode="External"/><Relationship Id="rId417" Type="http://schemas.openxmlformats.org/officeDocument/2006/relationships/hyperlink" Target="https://doi.org/10.7910/DVN/PQ0Y1N" TargetMode="External"/><Relationship Id="rId624" Type="http://schemas.openxmlformats.org/officeDocument/2006/relationships/hyperlink" Target="https://doi.org/10.7910/DVN/QSDYLH" TargetMode="External"/><Relationship Id="rId831" Type="http://schemas.openxmlformats.org/officeDocument/2006/relationships/hyperlink" Target="https://www.kff.org/uninsured/state-indicator/rate-by-gender/?currentTimeframe=0&amp;amp;sortModel=%7B%22colId%22%3A%22Location%22%2C%22sort%22%3A%22asc%22%7D" TargetMode="External"/><Relationship Id="rId263" Type="http://schemas.openxmlformats.org/officeDocument/2006/relationships/hyperlink" Target="https://factfinder.census.gov/faces/nav/jsf/pages/programs.xhtml?program=asgov" TargetMode="External"/><Relationship Id="rId470" Type="http://schemas.openxmlformats.org/officeDocument/2006/relationships/hyperlink" Target="https://doi.org/10.7910/DVN/LZHMG3" TargetMode="External"/><Relationship Id="rId929" Type="http://schemas.openxmlformats.org/officeDocument/2006/relationships/hyperlink" Target="http://www.uniformlaws.org/" TargetMode="External"/><Relationship Id="rId58" Type="http://schemas.openxmlformats.org/officeDocument/2006/relationships/hyperlink" Target="https://www.census.gov/acs/www/data/data-tables-and-tools/american-factfinder/" TargetMode="External"/><Relationship Id="rId123" Type="http://schemas.openxmlformats.org/officeDocument/2006/relationships/hyperlink" Target="https://factfinder.census.gov/faces/nav/jsf/pages/programs.xhtml?program=asgov" TargetMode="External"/><Relationship Id="rId330" Type="http://schemas.openxmlformats.org/officeDocument/2006/relationships/hyperlink" Target="http://ukcpr.org/resources/national-welfare-data" TargetMode="External"/><Relationship Id="rId568" Type="http://schemas.openxmlformats.org/officeDocument/2006/relationships/hyperlink" Target="https://publicintegrity.org/politics/state-politics/state-integrity-investigation/how-does-your-state-rank-for-integrity/" TargetMode="External"/><Relationship Id="rId775" Type="http://schemas.openxmlformats.org/officeDocument/2006/relationships/hyperlink" Target="http://www.uniformlaws.org/" TargetMode="External"/><Relationship Id="rId982" Type="http://schemas.openxmlformats.org/officeDocument/2006/relationships/hyperlink" Target="http://www.uniformlaws.org/" TargetMode="External"/><Relationship Id="rId428" Type="http://schemas.openxmlformats.org/officeDocument/2006/relationships/hyperlink" Target="https://doi.org/10.7910/DVN/PQ0Y1N" TargetMode="External"/><Relationship Id="rId635" Type="http://schemas.openxmlformats.org/officeDocument/2006/relationships/hyperlink" Target="https://doi.org/10.7910/DVN/QSDYLH" TargetMode="External"/><Relationship Id="rId842" Type="http://schemas.openxmlformats.org/officeDocument/2006/relationships/hyperlink" Target="http://kff.org/other/state-indicator/health-spending-per-capita/" TargetMode="External"/><Relationship Id="rId274" Type="http://schemas.openxmlformats.org/officeDocument/2006/relationships/hyperlink" Target="http://www.census.gov/govs/state/" TargetMode="External"/><Relationship Id="rId481" Type="http://schemas.openxmlformats.org/officeDocument/2006/relationships/hyperlink" Target="https://doi.org/10.7910/DVN/LZHMG3" TargetMode="External"/><Relationship Id="rId702" Type="http://schemas.openxmlformats.org/officeDocument/2006/relationships/hyperlink" Target="http://www.uniformlaws.org/" TargetMode="External"/><Relationship Id="rId69" Type="http://schemas.openxmlformats.org/officeDocument/2006/relationships/hyperlink" Target="http://stateminder.org/" TargetMode="External"/><Relationship Id="rId134" Type="http://schemas.openxmlformats.org/officeDocument/2006/relationships/hyperlink" Target="https://factfinder.census.gov/faces/nav/jsf/pages/programs.xhtml?program=asgov" TargetMode="External"/><Relationship Id="rId579" Type="http://schemas.openxmlformats.org/officeDocument/2006/relationships/hyperlink" Target="https://doi.org/10.7910/DVN/QSDYLH" TargetMode="External"/><Relationship Id="rId786" Type="http://schemas.openxmlformats.org/officeDocument/2006/relationships/hyperlink" Target="https://nces.ed.gov/ccd/elsi/" TargetMode="External"/><Relationship Id="rId993" Type="http://schemas.openxmlformats.org/officeDocument/2006/relationships/hyperlink" Target="http://www.uniformlaws.org/" TargetMode="External"/><Relationship Id="rId341" Type="http://schemas.openxmlformats.org/officeDocument/2006/relationships/hyperlink" Target="http://ukcpr.org/resources/national-welfare-data" TargetMode="External"/><Relationship Id="rId439" Type="http://schemas.openxmlformats.org/officeDocument/2006/relationships/hyperlink" Target="https://doi.org/10.7910/DVN/PQ0Y1N" TargetMode="External"/><Relationship Id="rId646" Type="http://schemas.openxmlformats.org/officeDocument/2006/relationships/hyperlink" Target="https://doi.org/10.7910/DVN/QSDYLH" TargetMode="External"/><Relationship Id="rId201" Type="http://schemas.openxmlformats.org/officeDocument/2006/relationships/hyperlink" Target="https://doi.org/10.7910/DVN/KMWN7N" TargetMode="External"/><Relationship Id="rId285" Type="http://schemas.openxmlformats.org/officeDocument/2006/relationships/hyperlink" Target="http://mercatus.org/sites/default/files/Norcross-Fiscal-Rankings-2-v2_1.pdf" TargetMode="External"/><Relationship Id="rId506" Type="http://schemas.openxmlformats.org/officeDocument/2006/relationships/hyperlink" Target="http://americanlegislatures.com/data/" TargetMode="External"/><Relationship Id="rId853" Type="http://schemas.openxmlformats.org/officeDocument/2006/relationships/hyperlink" Target="https://doi.org/10.7910/DVN/CVYSR7" TargetMode="External"/><Relationship Id="rId492" Type="http://schemas.openxmlformats.org/officeDocument/2006/relationships/hyperlink" Target="https://doi.org/10.7910/DVN/LZHMG3" TargetMode="External"/><Relationship Id="rId713" Type="http://schemas.openxmlformats.org/officeDocument/2006/relationships/hyperlink" Target="http://www.uniformlaws.org/" TargetMode="External"/><Relationship Id="rId797" Type="http://schemas.openxmlformats.org/officeDocument/2006/relationships/hyperlink" Target="http://www.stateminder.org/" TargetMode="External"/><Relationship Id="rId920" Type="http://schemas.openxmlformats.org/officeDocument/2006/relationships/hyperlink" Target="http://www.uniformlaws.org/" TargetMode="External"/><Relationship Id="rId145" Type="http://schemas.openxmlformats.org/officeDocument/2006/relationships/hyperlink" Target="https://factfinder.census.gov/faces/nav/jsf/pages/programs.xhtml?program=asgov" TargetMode="External"/><Relationship Id="rId352" Type="http://schemas.openxmlformats.org/officeDocument/2006/relationships/hyperlink" Target="http://ukcpr.org/resources/national-welfare-data" TargetMode="External"/><Relationship Id="rId212" Type="http://schemas.openxmlformats.org/officeDocument/2006/relationships/hyperlink" Target="http://www.fhfa.gov/Default.aspx?Page=87" TargetMode="External"/><Relationship Id="rId657" Type="http://schemas.openxmlformats.org/officeDocument/2006/relationships/hyperlink" Target="https://doi.org/10.7910/DVN/NLDUOY" TargetMode="External"/><Relationship Id="rId864" Type="http://schemas.openxmlformats.org/officeDocument/2006/relationships/hyperlink" Target="https://doi.org/10.7910/DVN/CVYSR7" TargetMode="External"/><Relationship Id="rId296" Type="http://schemas.openxmlformats.org/officeDocument/2006/relationships/hyperlink" Target="http://mercatus.org/sites/default/files/Norcross-Fiscal-Rankings-2-v2_1.pdf" TargetMode="External"/><Relationship Id="rId517" Type="http://schemas.openxmlformats.org/officeDocument/2006/relationships/hyperlink" Target="http://americanlegislatures.com/data/" TargetMode="External"/><Relationship Id="rId724" Type="http://schemas.openxmlformats.org/officeDocument/2006/relationships/hyperlink" Target="http://www.uniformlaws.org/" TargetMode="External"/><Relationship Id="rId931" Type="http://schemas.openxmlformats.org/officeDocument/2006/relationships/hyperlink" Target="http://www.uniformlaws.org/" TargetMode="External"/><Relationship Id="rId60" Type="http://schemas.openxmlformats.org/officeDocument/2006/relationships/hyperlink" Target="https://www.census.gov/acs/www/data/data-tables-and-tools/american-factfinder/" TargetMode="External"/><Relationship Id="rId156" Type="http://schemas.openxmlformats.org/officeDocument/2006/relationships/hyperlink" Target="http://stateminder.org/" TargetMode="External"/><Relationship Id="rId363" Type="http://schemas.openxmlformats.org/officeDocument/2006/relationships/hyperlink" Target="http://ukcpr.org/resources/national-welfare-data" TargetMode="External"/><Relationship Id="rId570" Type="http://schemas.openxmlformats.org/officeDocument/2006/relationships/hyperlink" Target="http://www.electproject.org/" TargetMode="External"/><Relationship Id="rId1007" Type="http://schemas.openxmlformats.org/officeDocument/2006/relationships/hyperlink" Target="http://www.uniformlaws.org/" TargetMode="External"/><Relationship Id="rId223" Type="http://schemas.openxmlformats.org/officeDocument/2006/relationships/hyperlink" Target="https://doi.org/10.7910/DVN/KMWN7N" TargetMode="External"/><Relationship Id="rId430" Type="http://schemas.openxmlformats.org/officeDocument/2006/relationships/hyperlink" Target="https://doi.org/10.7910/DVN/PQ0Y1N" TargetMode="External"/><Relationship Id="rId668" Type="http://schemas.openxmlformats.org/officeDocument/2006/relationships/hyperlink" Target="http://www.followthemoney.org/" TargetMode="External"/><Relationship Id="rId875" Type="http://schemas.openxmlformats.org/officeDocument/2006/relationships/hyperlink" Target="https://doi.org/10.7910/DVN/CVYSR7" TargetMode="External"/><Relationship Id="rId18" Type="http://schemas.openxmlformats.org/officeDocument/2006/relationships/hyperlink" Target="https://www.census.gov/acs/www/data/data-tables-and-tools/american-factfinder/" TargetMode="External"/><Relationship Id="rId528" Type="http://schemas.openxmlformats.org/officeDocument/2006/relationships/hyperlink" Target="http://americanlegislatures.com/data/" TargetMode="External"/><Relationship Id="rId735" Type="http://schemas.openxmlformats.org/officeDocument/2006/relationships/hyperlink" Target="http://www.uniformlaws.org/" TargetMode="External"/><Relationship Id="rId942" Type="http://schemas.openxmlformats.org/officeDocument/2006/relationships/hyperlink" Target="http://www.uniformlaws.org/" TargetMode="External"/><Relationship Id="rId167" Type="http://schemas.openxmlformats.org/officeDocument/2006/relationships/hyperlink" Target="http://www.shsu.edu/eco_mwf/inequality.html" TargetMode="External"/><Relationship Id="rId374" Type="http://schemas.openxmlformats.org/officeDocument/2006/relationships/hyperlink" Target="https://www.urban.org/research/publication/state-tax-incentives-economic-development" TargetMode="External"/><Relationship Id="rId581" Type="http://schemas.openxmlformats.org/officeDocument/2006/relationships/hyperlink" Target="https://doi.org/10.7910/DVN/QSDYLH" TargetMode="External"/><Relationship Id="rId71" Type="http://schemas.openxmlformats.org/officeDocument/2006/relationships/hyperlink" Target="http://www.bizjournals.com/bizjournals/on-numbers/scott-thomas/2012/06/californias-population-passes-38.html?appSession=10897383915145&amp;amp;RecordID&amp;amp;PageID=2&amp;amp;PrevPageID&amp;amp;cpipage=3&amp;amp;CPISortType&amp;amp;CPIorderBy" TargetMode="External"/><Relationship Id="rId234" Type="http://schemas.openxmlformats.org/officeDocument/2006/relationships/hyperlink" Target="https://doi.org/10.7910/DVN/KMWN7N" TargetMode="External"/><Relationship Id="rId679" Type="http://schemas.openxmlformats.org/officeDocument/2006/relationships/hyperlink" Target="http://www.followthemoney.org/" TargetMode="External"/><Relationship Id="rId802" Type="http://schemas.openxmlformats.org/officeDocument/2006/relationships/hyperlink" Target="http://www.stateminder.org/" TargetMode="External"/><Relationship Id="rId886" Type="http://schemas.openxmlformats.org/officeDocument/2006/relationships/hyperlink" Target="http://www.lgbtmap.org/equality-maps/non_discrimination_laws" TargetMode="External"/><Relationship Id="rId2" Type="http://schemas.openxmlformats.org/officeDocument/2006/relationships/styles" Target="styles.xml"/><Relationship Id="rId29" Type="http://schemas.openxmlformats.org/officeDocument/2006/relationships/hyperlink" Target="http://library.cqpress.com/cqresearcher/index.php" TargetMode="External"/><Relationship Id="rId441" Type="http://schemas.openxmlformats.org/officeDocument/2006/relationships/hyperlink" Target="https://doi.org/10.7910/DVN/PQ0Y1N" TargetMode="External"/><Relationship Id="rId539" Type="http://schemas.openxmlformats.org/officeDocument/2006/relationships/hyperlink" Target="http://freedominthe50states.org/about" TargetMode="External"/><Relationship Id="rId746" Type="http://schemas.openxmlformats.org/officeDocument/2006/relationships/hyperlink" Target="http://stateminder.org/" TargetMode="External"/><Relationship Id="rId178" Type="http://schemas.openxmlformats.org/officeDocument/2006/relationships/hyperlink" Target="https://doi.org/10.7910/DVN/KMWN7N" TargetMode="External"/><Relationship Id="rId301" Type="http://schemas.openxmlformats.org/officeDocument/2006/relationships/hyperlink" Target="http://mercatus.org/sites/default/files/Norcross-Fiscal-Rankings-2-v2_1.pdf" TargetMode="External"/><Relationship Id="rId953" Type="http://schemas.openxmlformats.org/officeDocument/2006/relationships/hyperlink" Target="http://www.uniformlaws.org/" TargetMode="External"/><Relationship Id="rId82" Type="http://schemas.openxmlformats.org/officeDocument/2006/relationships/hyperlink" Target="https://factfinder.census.gov/faces/nav/jsf/pages/programs.xhtml?program=asgov" TargetMode="External"/><Relationship Id="rId385" Type="http://schemas.openxmlformats.org/officeDocument/2006/relationships/hyperlink" Target="http://www.uniformlaws.org/" TargetMode="External"/><Relationship Id="rId592" Type="http://schemas.openxmlformats.org/officeDocument/2006/relationships/hyperlink" Target="https://doi.org/10.7910/DVN/QSDYLH" TargetMode="External"/><Relationship Id="rId606" Type="http://schemas.openxmlformats.org/officeDocument/2006/relationships/hyperlink" Target="https://doi.org/10.7910/DVN/QSDYLH" TargetMode="External"/><Relationship Id="rId813" Type="http://schemas.openxmlformats.org/officeDocument/2006/relationships/hyperlink" Target="http://www.uniformlaws.org/" TargetMode="External"/><Relationship Id="rId245" Type="http://schemas.openxmlformats.org/officeDocument/2006/relationships/hyperlink" Target="https://doi.org/10.7910/DVN/KMWN7N" TargetMode="External"/><Relationship Id="rId452" Type="http://schemas.openxmlformats.org/officeDocument/2006/relationships/hyperlink" Target="https://doi.org/10.7910/DVN/PQ0Y1N" TargetMode="External"/><Relationship Id="rId897" Type="http://schemas.openxmlformats.org/officeDocument/2006/relationships/hyperlink" Target="http://cdiac.ornl.gov/ftp/trends/emis_mon/stateemis/percapbystate.csv" TargetMode="External"/><Relationship Id="rId105" Type="http://schemas.openxmlformats.org/officeDocument/2006/relationships/hyperlink" Target="https://factfinder.census.gov/faces/nav/jsf/pages/programs.xhtml?program=asgov" TargetMode="External"/><Relationship Id="rId312" Type="http://schemas.openxmlformats.org/officeDocument/2006/relationships/hyperlink" Target="http://mercatus.org/sites/default/files/Norcross-Fiscal-Rankings-2-v2_1.pdf" TargetMode="External"/><Relationship Id="rId757" Type="http://schemas.openxmlformats.org/officeDocument/2006/relationships/hyperlink" Target="https://www.ucrdatatool.gov/Search/Crime/State/TrendsInOneVar.cfm" TargetMode="External"/><Relationship Id="rId964" Type="http://schemas.openxmlformats.org/officeDocument/2006/relationships/hyperlink" Target="http://www.uniformlaws.org/" TargetMode="External"/><Relationship Id="rId93" Type="http://schemas.openxmlformats.org/officeDocument/2006/relationships/hyperlink" Target="https://factfinder.census.gov/faces/nav/jsf/pages/programs.xhtml?program=asgov" TargetMode="External"/><Relationship Id="rId189" Type="http://schemas.openxmlformats.org/officeDocument/2006/relationships/hyperlink" Target="https://doi.org/10.7910/DVN/KMWN7N" TargetMode="External"/><Relationship Id="rId396" Type="http://schemas.openxmlformats.org/officeDocument/2006/relationships/hyperlink" Target="https://doi.org/10.7910/DVN/PQ0Y1N" TargetMode="External"/><Relationship Id="rId617" Type="http://schemas.openxmlformats.org/officeDocument/2006/relationships/hyperlink" Target="https://doi.org/10.7910/DVN/QSDYLH" TargetMode="External"/><Relationship Id="rId824" Type="http://schemas.openxmlformats.org/officeDocument/2006/relationships/hyperlink" Target="https://www.kff.org/private-insurance/state-indicator/rate-by-gender-2/?currentTimeframe=0&amp;amp;sortModel=%7B%22colId%22%3A%22Location%22%2C%22sort%22%3A%22asc%22%7D" TargetMode="External"/><Relationship Id="rId256" Type="http://schemas.openxmlformats.org/officeDocument/2006/relationships/hyperlink" Target="https://factfinder.census.gov/faces/nav/jsf/pages/programs.xhtml?program=asgov" TargetMode="External"/><Relationship Id="rId463" Type="http://schemas.openxmlformats.org/officeDocument/2006/relationships/hyperlink" Target="https://doi.org/10.7910/DVN/PQ0Y1N" TargetMode="External"/><Relationship Id="rId670" Type="http://schemas.openxmlformats.org/officeDocument/2006/relationships/hyperlink" Target="http://www.followthemoney.org/" TargetMode="External"/><Relationship Id="rId116" Type="http://schemas.openxmlformats.org/officeDocument/2006/relationships/hyperlink" Target="https://factfinder.census.gov/faces/nav/jsf/pages/programs.xhtml?program=asgov" TargetMode="External"/><Relationship Id="rId323" Type="http://schemas.openxmlformats.org/officeDocument/2006/relationships/hyperlink" Target="http://www.bea.gov/regional/downloadzip.cfm" TargetMode="External"/><Relationship Id="rId530" Type="http://schemas.openxmlformats.org/officeDocument/2006/relationships/hyperlink" Target="http://americanlegislatures.com/data/" TargetMode="External"/><Relationship Id="rId768" Type="http://schemas.openxmlformats.org/officeDocument/2006/relationships/hyperlink" Target="http://www.uniformlaws.org/" TargetMode="External"/><Relationship Id="rId975" Type="http://schemas.openxmlformats.org/officeDocument/2006/relationships/hyperlink" Target="http://www.uniformlaws.org/" TargetMode="External"/><Relationship Id="rId20" Type="http://schemas.openxmlformats.org/officeDocument/2006/relationships/hyperlink" Target="http://stateminder.org/" TargetMode="External"/><Relationship Id="rId628" Type="http://schemas.openxmlformats.org/officeDocument/2006/relationships/hyperlink" Target="https://doi.org/10.7910/DVN/QSDYLH" TargetMode="External"/><Relationship Id="rId835" Type="http://schemas.openxmlformats.org/officeDocument/2006/relationships/hyperlink" Target="https://www.kff.org/uninsured/state-indicator/rate-by-gender/?currentTimeframe=0&amp;amp;sortModel=%7B%22colId%22%3A%22Location%22%2C%22sort%22%3A%22asc%22%7D" TargetMode="External"/><Relationship Id="rId267" Type="http://schemas.openxmlformats.org/officeDocument/2006/relationships/hyperlink" Target="https://doi.org/10.7910/DVN/KMWN7N" TargetMode="External"/><Relationship Id="rId474" Type="http://schemas.openxmlformats.org/officeDocument/2006/relationships/hyperlink" Target="https://doi.org/10.7910/DVN/LZHMG3" TargetMode="External"/><Relationship Id="rId127" Type="http://schemas.openxmlformats.org/officeDocument/2006/relationships/hyperlink" Target="http://stateminder.org/" TargetMode="External"/><Relationship Id="rId681" Type="http://schemas.openxmlformats.org/officeDocument/2006/relationships/hyperlink" Target="http://www.followthemoney.org/" TargetMode="External"/><Relationship Id="rId779" Type="http://schemas.openxmlformats.org/officeDocument/2006/relationships/hyperlink" Target="http://www.cdc.gov/nchs/products/nvsr.htm" TargetMode="External"/><Relationship Id="rId902" Type="http://schemas.openxmlformats.org/officeDocument/2006/relationships/hyperlink" Target="http://www.uniformlaws.org/" TargetMode="External"/><Relationship Id="rId986" Type="http://schemas.openxmlformats.org/officeDocument/2006/relationships/hyperlink" Target="http://www.uniformlaws.org/" TargetMode="External"/><Relationship Id="rId31" Type="http://schemas.openxmlformats.org/officeDocument/2006/relationships/hyperlink" Target="https://www.census.gov/acs/www/data/data-tables-and-tools/american-factfinder/" TargetMode="External"/><Relationship Id="rId334" Type="http://schemas.openxmlformats.org/officeDocument/2006/relationships/hyperlink" Target="http://kff.org/other/state-indicator/avg-monthly-food-stamp-benefits/" TargetMode="External"/><Relationship Id="rId541" Type="http://schemas.openxmlformats.org/officeDocument/2006/relationships/hyperlink" Target="http://freedominthe50states.org/about" TargetMode="External"/><Relationship Id="rId639" Type="http://schemas.openxmlformats.org/officeDocument/2006/relationships/hyperlink" Target="https://doi.org/10.7910/DVN/QSDYLH" TargetMode="External"/><Relationship Id="rId180" Type="http://schemas.openxmlformats.org/officeDocument/2006/relationships/hyperlink" Target="https://doi.org/10.7910/DVN/KMWN7N" TargetMode="External"/><Relationship Id="rId278" Type="http://schemas.openxmlformats.org/officeDocument/2006/relationships/hyperlink" Target="https://doi.org/10.7910/DVN/KMWN7N" TargetMode="External"/><Relationship Id="rId401" Type="http://schemas.openxmlformats.org/officeDocument/2006/relationships/hyperlink" Target="https://doi.org/10.7910/DVN/PQ0Y1N" TargetMode="External"/><Relationship Id="rId846" Type="http://schemas.openxmlformats.org/officeDocument/2006/relationships/hyperlink" Target="https://www.cdc.gov/nchs/pressroom/sosmap/infant_mortality_rates/infant_mortality.htm" TargetMode="External"/><Relationship Id="rId485" Type="http://schemas.openxmlformats.org/officeDocument/2006/relationships/hyperlink" Target="https://doi.org/10.7910/DVN/LZHMG3" TargetMode="External"/><Relationship Id="rId692" Type="http://schemas.openxmlformats.org/officeDocument/2006/relationships/hyperlink" Target="http://php.indiana.edu/%7Ewright1/" TargetMode="External"/><Relationship Id="rId706" Type="http://schemas.openxmlformats.org/officeDocument/2006/relationships/hyperlink" Target="http://www.uniformlaws.org/" TargetMode="External"/><Relationship Id="rId913" Type="http://schemas.openxmlformats.org/officeDocument/2006/relationships/hyperlink" Target="http://stateminder.org/" TargetMode="External"/><Relationship Id="rId42" Type="http://schemas.openxmlformats.org/officeDocument/2006/relationships/hyperlink" Target="http://stateminder.org/" TargetMode="External"/><Relationship Id="rId138" Type="http://schemas.openxmlformats.org/officeDocument/2006/relationships/hyperlink" Target="https://factfinder.census.gov/faces/nav/jsf/pages/programs.xhtml?program=asgov" TargetMode="External"/><Relationship Id="rId345" Type="http://schemas.openxmlformats.org/officeDocument/2006/relationships/hyperlink" Target="http://ukcpr.org/resources/national-welfare-data" TargetMode="External"/><Relationship Id="rId552" Type="http://schemas.openxmlformats.org/officeDocument/2006/relationships/hyperlink" Target="http://freedominthe50states.org/about" TargetMode="External"/><Relationship Id="rId997" Type="http://schemas.openxmlformats.org/officeDocument/2006/relationships/hyperlink" Target="http://www.uniformlaws.org/" TargetMode="External"/><Relationship Id="rId191" Type="http://schemas.openxmlformats.org/officeDocument/2006/relationships/hyperlink" Target="https://doi.org/10.7910/DVN/KMWN7N" TargetMode="External"/><Relationship Id="rId205" Type="http://schemas.openxmlformats.org/officeDocument/2006/relationships/hyperlink" Target="https://doi.org/10.7910/DVN/KMWN7N" TargetMode="External"/><Relationship Id="rId412" Type="http://schemas.openxmlformats.org/officeDocument/2006/relationships/hyperlink" Target="https://doi.org/10.7910/DVN/PQ0Y1N" TargetMode="External"/><Relationship Id="rId857" Type="http://schemas.openxmlformats.org/officeDocument/2006/relationships/hyperlink" Target="https://doi.org/10.7910/DVN/CVYSR7" TargetMode="External"/><Relationship Id="rId289" Type="http://schemas.openxmlformats.org/officeDocument/2006/relationships/hyperlink" Target="http://mercatus.org/sites/default/files/Norcross-Fiscal-Rankings-2-v2_1.pdf" TargetMode="External"/><Relationship Id="rId496" Type="http://schemas.openxmlformats.org/officeDocument/2006/relationships/hyperlink" Target="https://doi.org/10.7910/DVN/LZHMG3" TargetMode="External"/><Relationship Id="rId717" Type="http://schemas.openxmlformats.org/officeDocument/2006/relationships/hyperlink" Target="http://www.uniformlaws.org/" TargetMode="External"/><Relationship Id="rId924" Type="http://schemas.openxmlformats.org/officeDocument/2006/relationships/hyperlink" Target="http://www.uniformlaws.org/" TargetMode="External"/><Relationship Id="rId53" Type="http://schemas.openxmlformats.org/officeDocument/2006/relationships/hyperlink" Target="https://www.census.gov/acs/www/data/data-tables-and-tools/american-factfinder/" TargetMode="External"/><Relationship Id="rId149" Type="http://schemas.openxmlformats.org/officeDocument/2006/relationships/hyperlink" Target="http://stateminder.org/" TargetMode="External"/><Relationship Id="rId356" Type="http://schemas.openxmlformats.org/officeDocument/2006/relationships/hyperlink" Target="http://ukcpr.org/resources/national-welfare-data" TargetMode="External"/><Relationship Id="rId563" Type="http://schemas.openxmlformats.org/officeDocument/2006/relationships/hyperlink" Target="http://freedominthe50states.org/about" TargetMode="External"/><Relationship Id="rId770" Type="http://schemas.openxmlformats.org/officeDocument/2006/relationships/hyperlink" Target="http://www.uniformlaws.org/" TargetMode="External"/><Relationship Id="rId216" Type="http://schemas.openxmlformats.org/officeDocument/2006/relationships/hyperlink" Target="https://doi.org/10.7910/DVN/KMWN7N" TargetMode="External"/><Relationship Id="rId423" Type="http://schemas.openxmlformats.org/officeDocument/2006/relationships/hyperlink" Target="https://doi.org/10.7910/DVN/PQ0Y1N" TargetMode="External"/><Relationship Id="rId868" Type="http://schemas.openxmlformats.org/officeDocument/2006/relationships/hyperlink" Target="https://doi.org/10.7910/DVN/CVYSR7" TargetMode="External"/><Relationship Id="rId630" Type="http://schemas.openxmlformats.org/officeDocument/2006/relationships/hyperlink" Target="https://doi.org/10.7910/DVN/QSDYLH" TargetMode="External"/><Relationship Id="rId728" Type="http://schemas.openxmlformats.org/officeDocument/2006/relationships/hyperlink" Target="http://www.uniformlaws.org/" TargetMode="External"/><Relationship Id="rId935" Type="http://schemas.openxmlformats.org/officeDocument/2006/relationships/hyperlink" Target="http://www.uniformlaws.org/" TargetMode="External"/><Relationship Id="rId64" Type="http://schemas.openxmlformats.org/officeDocument/2006/relationships/hyperlink" Target="http://www.pewhispanic.org/2014/04/29/statistical-" TargetMode="External"/><Relationship Id="rId367" Type="http://schemas.openxmlformats.org/officeDocument/2006/relationships/hyperlink" Target="https://www.urban.org/research/publication/state-tax-incentives-economic-development" TargetMode="External"/><Relationship Id="rId574" Type="http://schemas.openxmlformats.org/officeDocument/2006/relationships/hyperlink" Target="http://www.electproject.org/" TargetMode="External"/><Relationship Id="rId227" Type="http://schemas.openxmlformats.org/officeDocument/2006/relationships/hyperlink" Target="https://doi.org/10.7910/DVN/KMWN7N" TargetMode="External"/><Relationship Id="rId781" Type="http://schemas.openxmlformats.org/officeDocument/2006/relationships/hyperlink" Target="http://www.uniformlaws.org/" TargetMode="External"/><Relationship Id="rId879" Type="http://schemas.openxmlformats.org/officeDocument/2006/relationships/hyperlink" Target="http://www.guttmacher.org/statecenter/spibs/spib_OAL.pdf" TargetMode="External"/><Relationship Id="rId434" Type="http://schemas.openxmlformats.org/officeDocument/2006/relationships/hyperlink" Target="https://doi.org/10.7910/DVN/PQ0Y1N" TargetMode="External"/><Relationship Id="rId641" Type="http://schemas.openxmlformats.org/officeDocument/2006/relationships/hyperlink" Target="https://doi.org/10.7910/DVN/QSDYLH" TargetMode="External"/><Relationship Id="rId739" Type="http://schemas.openxmlformats.org/officeDocument/2006/relationships/hyperlink" Target="https://www.ucrdatatool.gov/Search/Crime/State/TrendsInOneVar.cfm" TargetMode="External"/><Relationship Id="rId280" Type="http://schemas.openxmlformats.org/officeDocument/2006/relationships/hyperlink" Target="http://mercatus.org/sites/default/files/Norcross-Fiscal-Rankings-2-v2_1.pdf" TargetMode="External"/><Relationship Id="rId501" Type="http://schemas.openxmlformats.org/officeDocument/2006/relationships/hyperlink" Target="https://doi.org/10.7910/DVN/LZHMG3" TargetMode="External"/><Relationship Id="rId946" Type="http://schemas.openxmlformats.org/officeDocument/2006/relationships/hyperlink" Target="http://www.uniformlaws.org/" TargetMode="External"/><Relationship Id="rId75" Type="http://schemas.openxmlformats.org/officeDocument/2006/relationships/hyperlink" Target="https://factfinder.census.gov/faces/nav/jsf/pages/programs.xhtml?program=asgov" TargetMode="External"/><Relationship Id="rId140" Type="http://schemas.openxmlformats.org/officeDocument/2006/relationships/hyperlink" Target="https://factfinder.census.gov/faces/nav/jsf/pages/programs.xhtml?program=asgov" TargetMode="External"/><Relationship Id="rId378" Type="http://schemas.openxmlformats.org/officeDocument/2006/relationships/hyperlink" Target="https://www.urban.org/research/publication/state-tax-incentives-economic-development" TargetMode="External"/><Relationship Id="rId585" Type="http://schemas.openxmlformats.org/officeDocument/2006/relationships/hyperlink" Target="https://doi.org/10.7910/DVN/QSDYLH" TargetMode="External"/><Relationship Id="rId792" Type="http://schemas.openxmlformats.org/officeDocument/2006/relationships/hyperlink" Target="https://nces.ed.gov/ccd/elsi/" TargetMode="External"/><Relationship Id="rId806" Type="http://schemas.openxmlformats.org/officeDocument/2006/relationships/hyperlink" Target="http://www.stateminder.org/" TargetMode="External"/><Relationship Id="rId6" Type="http://schemas.openxmlformats.org/officeDocument/2006/relationships/endnotes" Target="endnotes.xml"/><Relationship Id="rId238" Type="http://schemas.openxmlformats.org/officeDocument/2006/relationships/hyperlink" Target="https://doi.org/10.7910/DVN/KMWN7N" TargetMode="External"/><Relationship Id="rId445" Type="http://schemas.openxmlformats.org/officeDocument/2006/relationships/hyperlink" Target="https://doi.org/10.7910/DVN/PQ0Y1N" TargetMode="External"/><Relationship Id="rId652" Type="http://schemas.openxmlformats.org/officeDocument/2006/relationships/hyperlink" Target="https://doi.org/10.7910/DVN/NLDUOY" TargetMode="External"/><Relationship Id="rId291" Type="http://schemas.openxmlformats.org/officeDocument/2006/relationships/hyperlink" Target="http://mercatus.org/sites/default/files/Norcross-Fiscal-Rankings-2-v2_1.pdf" TargetMode="External"/><Relationship Id="rId305" Type="http://schemas.openxmlformats.org/officeDocument/2006/relationships/hyperlink" Target="http://mercatus.org/sites/default/files/Norcross-Fiscal-Rankings-2-v2_1.pdf" TargetMode="External"/><Relationship Id="rId512" Type="http://schemas.openxmlformats.org/officeDocument/2006/relationships/hyperlink" Target="http://americanlegislatures.com/data/" TargetMode="External"/><Relationship Id="rId957" Type="http://schemas.openxmlformats.org/officeDocument/2006/relationships/hyperlink" Target="http://www.uniformlaws.org/" TargetMode="External"/><Relationship Id="rId86" Type="http://schemas.openxmlformats.org/officeDocument/2006/relationships/hyperlink" Target="https://factfinder.census.gov/faces/nav/jsf/pages/programs.xhtml?program=asgov" TargetMode="External"/><Relationship Id="rId151" Type="http://schemas.openxmlformats.org/officeDocument/2006/relationships/hyperlink" Target="https://factfinder.census.gov/faces/nav/jsf/pages/programs.xhtml?program=asgov" TargetMode="External"/><Relationship Id="rId389" Type="http://schemas.openxmlformats.org/officeDocument/2006/relationships/hyperlink" Target="http://www.uniformlaws.org/" TargetMode="External"/><Relationship Id="rId596" Type="http://schemas.openxmlformats.org/officeDocument/2006/relationships/hyperlink" Target="https://doi.org/10.7910/DVN/QSDYLH" TargetMode="External"/><Relationship Id="rId817" Type="http://schemas.openxmlformats.org/officeDocument/2006/relationships/hyperlink" Target="http://www.uniformlaws.org/" TargetMode="External"/><Relationship Id="rId1002" Type="http://schemas.openxmlformats.org/officeDocument/2006/relationships/hyperlink" Target="http://www.uniformlaws.org/" TargetMode="External"/><Relationship Id="rId249" Type="http://schemas.openxmlformats.org/officeDocument/2006/relationships/hyperlink" Target="https://doi.org/10.7910/DVN/KMWN7N" TargetMode="External"/><Relationship Id="rId456" Type="http://schemas.openxmlformats.org/officeDocument/2006/relationships/hyperlink" Target="http://www.ballotpedia.org/wiki/index.php/2010_gubernatorial_electoral_results" TargetMode="External"/><Relationship Id="rId663" Type="http://schemas.openxmlformats.org/officeDocument/2006/relationships/hyperlink" Target="http://www.followthemoney.org/" TargetMode="External"/><Relationship Id="rId870" Type="http://schemas.openxmlformats.org/officeDocument/2006/relationships/hyperlink" Target="https://doi.org/10.7910/DVN/CVYSR7" TargetMode="External"/><Relationship Id="rId13" Type="http://schemas.openxmlformats.org/officeDocument/2006/relationships/hyperlink" Target="http://www.ipsr.ku.edu/SPPQ/datasets.shtml" TargetMode="External"/><Relationship Id="rId109" Type="http://schemas.openxmlformats.org/officeDocument/2006/relationships/hyperlink" Target="https://factfinder.census.gov/faces/nav/jsf/pages/programs.xhtml?program=asgov" TargetMode="External"/><Relationship Id="rId316" Type="http://schemas.openxmlformats.org/officeDocument/2006/relationships/hyperlink" Target="http://mercatus.org/sites/default/files/Norcross-Fiscal-Rankings-2-v2_1.pdf" TargetMode="External"/><Relationship Id="rId523" Type="http://schemas.openxmlformats.org/officeDocument/2006/relationships/hyperlink" Target="http://americanlegislatures.com/data/" TargetMode="External"/><Relationship Id="rId968" Type="http://schemas.openxmlformats.org/officeDocument/2006/relationships/hyperlink" Target="http://www.uniformlaws.org/" TargetMode="External"/><Relationship Id="rId97" Type="http://schemas.openxmlformats.org/officeDocument/2006/relationships/hyperlink" Target="https://factfinder.census.gov/faces/nav/jsf/pages/programs.xhtml?program=asgov" TargetMode="External"/><Relationship Id="rId730" Type="http://schemas.openxmlformats.org/officeDocument/2006/relationships/hyperlink" Target="http://www.uniformlaws.org/" TargetMode="External"/><Relationship Id="rId828" Type="http://schemas.openxmlformats.org/officeDocument/2006/relationships/hyperlink" Target="https://www.kff.org/private-insurance/state-indicator/rate-by-gender-2/?currentTimeframe=0&amp;amp;sortModel=%7B%22colId%22%3A%22Location%22%2C%22sort%22%3A%22asc%22%7D" TargetMode="External"/><Relationship Id="rId1013" Type="http://schemas.openxmlformats.org/officeDocument/2006/relationships/fontTable" Target="fontTable.xml"/><Relationship Id="rId162" Type="http://schemas.openxmlformats.org/officeDocument/2006/relationships/hyperlink" Target="http://www.ers.usda.gov/data-products/farm-income-and-wealth-statistics.aspx" TargetMode="External"/><Relationship Id="rId467" Type="http://schemas.openxmlformats.org/officeDocument/2006/relationships/hyperlink" Target="https://doi.org/10.7910/DVN/PQ0Y1N" TargetMode="External"/><Relationship Id="rId674" Type="http://schemas.openxmlformats.org/officeDocument/2006/relationships/hyperlink" Target="http://www.followthemoney.org/" TargetMode="External"/><Relationship Id="rId881" Type="http://schemas.openxmlformats.org/officeDocument/2006/relationships/hyperlink" Target="http://www.lgbtmap.org/equality-maps/hate_crime_laws" TargetMode="External"/><Relationship Id="rId979" Type="http://schemas.openxmlformats.org/officeDocument/2006/relationships/hyperlink" Target="http://www.uniformlaws.org/" TargetMode="External"/><Relationship Id="rId24" Type="http://schemas.openxmlformats.org/officeDocument/2006/relationships/hyperlink" Target="http://stateminder.org/" TargetMode="External"/><Relationship Id="rId327" Type="http://schemas.openxmlformats.org/officeDocument/2006/relationships/hyperlink" Target="http://www.bls.gov/cps/earnings.htm" TargetMode="External"/><Relationship Id="rId534" Type="http://schemas.openxmlformats.org/officeDocument/2006/relationships/hyperlink" Target="http://www.stateminder.org/" TargetMode="External"/><Relationship Id="rId741" Type="http://schemas.openxmlformats.org/officeDocument/2006/relationships/hyperlink" Target="https://www.ucrdatatool.gov/Search/Crime/State/TrendsInOneVar.cfm" TargetMode="External"/><Relationship Id="rId839" Type="http://schemas.openxmlformats.org/officeDocument/2006/relationships/hyperlink" Target="https://www.kff.org/medicaid/state-indicator/rate-by-gender-3/?currentTimeframe=0&amp;amp;sortModel=%7B%22colId%22%3A%22Location%22%2C%22sort%22%3A%22asc%22%7D" TargetMode="External"/><Relationship Id="rId173" Type="http://schemas.openxmlformats.org/officeDocument/2006/relationships/hyperlink" Target="http://www.shsu.edu/eco_mwf/inequality.html" TargetMode="External"/><Relationship Id="rId380" Type="http://schemas.openxmlformats.org/officeDocument/2006/relationships/hyperlink" Target="https://www.salestaxinstitute.com/resources/rates" TargetMode="External"/><Relationship Id="rId601" Type="http://schemas.openxmlformats.org/officeDocument/2006/relationships/hyperlink" Target="https://doi.org/10.7910/DVN/QSDYLH" TargetMode="External"/><Relationship Id="rId240" Type="http://schemas.openxmlformats.org/officeDocument/2006/relationships/hyperlink" Target="https://doi.org/10.7910/DVN/KMWN7N" TargetMode="External"/><Relationship Id="rId478" Type="http://schemas.openxmlformats.org/officeDocument/2006/relationships/hyperlink" Target="https://knowledgecenter.csg.org/kc/category/content-type/content-type/book-states" TargetMode="External"/><Relationship Id="rId685" Type="http://schemas.openxmlformats.org/officeDocument/2006/relationships/hyperlink" Target="http://www.followthemoney.org/" TargetMode="External"/><Relationship Id="rId892" Type="http://schemas.openxmlformats.org/officeDocument/2006/relationships/hyperlink" Target="https://www.eia.gov/state/seds/seds-data-complete.php?sid=US" TargetMode="External"/><Relationship Id="rId906" Type="http://schemas.openxmlformats.org/officeDocument/2006/relationships/hyperlink" Target="http://www.statepolicyindex.com/wp-content/uploads/2019/06/b_guns_17_metadata_carry_indices.txt" TargetMode="External"/><Relationship Id="rId35" Type="http://schemas.openxmlformats.org/officeDocument/2006/relationships/hyperlink" Target="https://www.census.gov/acs/www/data/data-tables-and-tools/american-factfinder/" TargetMode="External"/><Relationship Id="rId100" Type="http://schemas.openxmlformats.org/officeDocument/2006/relationships/hyperlink" Target="https://factfinder.census.gov/faces/nav/jsf/pages/programs.xhtml?program=asgov" TargetMode="External"/><Relationship Id="rId338" Type="http://schemas.openxmlformats.org/officeDocument/2006/relationships/hyperlink" Target="http://ukcpr.org/resources/national-welfare-data" TargetMode="External"/><Relationship Id="rId545" Type="http://schemas.openxmlformats.org/officeDocument/2006/relationships/hyperlink" Target="http://freedominthe50states.org/about" TargetMode="External"/><Relationship Id="rId752" Type="http://schemas.openxmlformats.org/officeDocument/2006/relationships/hyperlink" Target="http://stateminder.org/" TargetMode="External"/><Relationship Id="rId184" Type="http://schemas.openxmlformats.org/officeDocument/2006/relationships/hyperlink" Target="https://doi.org/10.7910/DVN/KMWN7N" TargetMode="External"/><Relationship Id="rId391" Type="http://schemas.openxmlformats.org/officeDocument/2006/relationships/hyperlink" Target="http://www.uniformlaws.org/" TargetMode="External"/><Relationship Id="rId405" Type="http://schemas.openxmlformats.org/officeDocument/2006/relationships/hyperlink" Target="https://doi.org/10.7910/DVN/PQ0Y1N" TargetMode="External"/><Relationship Id="rId612" Type="http://schemas.openxmlformats.org/officeDocument/2006/relationships/hyperlink" Target="https://doi.org/10.7910/DVN/QSDYLH" TargetMode="External"/><Relationship Id="rId251" Type="http://schemas.openxmlformats.org/officeDocument/2006/relationships/hyperlink" Target="https://doi.org/10.7910/DVN/KMWN7N" TargetMode="External"/><Relationship Id="rId489" Type="http://schemas.openxmlformats.org/officeDocument/2006/relationships/hyperlink" Target="https://knowledgecenter.csg.org/kc/category/content-type/content-type/book-states" TargetMode="External"/><Relationship Id="rId696" Type="http://schemas.openxmlformats.org/officeDocument/2006/relationships/hyperlink" Target="http://php.indiana.edu/%7Ewright1/" TargetMode="External"/><Relationship Id="rId917" Type="http://schemas.openxmlformats.org/officeDocument/2006/relationships/hyperlink" Target="http://www.uniformlaws.org/" TargetMode="External"/><Relationship Id="rId46" Type="http://schemas.openxmlformats.org/officeDocument/2006/relationships/hyperlink" Target="https://www.census.gov/acs/www/data/data-tables-and-tools/american-factfinder/" TargetMode="External"/><Relationship Id="rId349" Type="http://schemas.openxmlformats.org/officeDocument/2006/relationships/hyperlink" Target="http://ukcpr.org/resources/national-welfare-data" TargetMode="External"/><Relationship Id="rId556" Type="http://schemas.openxmlformats.org/officeDocument/2006/relationships/hyperlink" Target="http://freedominthe50states.org/about" TargetMode="External"/><Relationship Id="rId763" Type="http://schemas.openxmlformats.org/officeDocument/2006/relationships/hyperlink" Target="http://www.uniformlaws.org/" TargetMode="External"/><Relationship Id="rId111" Type="http://schemas.openxmlformats.org/officeDocument/2006/relationships/hyperlink" Target="https://factfinder.census.gov/faces/nav/jsf/pages/programs.xhtml?program=asgov" TargetMode="External"/><Relationship Id="rId195" Type="http://schemas.openxmlformats.org/officeDocument/2006/relationships/hyperlink" Target="https://doi.org/10.7910/DVN/KMWN7N" TargetMode="External"/><Relationship Id="rId209" Type="http://schemas.openxmlformats.org/officeDocument/2006/relationships/hyperlink" Target="https://doi.org/10.7910/DVN/KMWN7N" TargetMode="External"/><Relationship Id="rId416" Type="http://schemas.openxmlformats.org/officeDocument/2006/relationships/hyperlink" Target="https://doi.org/10.7910/DVN/PQ0Y1N" TargetMode="External"/><Relationship Id="rId970" Type="http://schemas.openxmlformats.org/officeDocument/2006/relationships/hyperlink" Target="http://www.uniformlaws.org/" TargetMode="External"/><Relationship Id="rId623" Type="http://schemas.openxmlformats.org/officeDocument/2006/relationships/hyperlink" Target="https://doi.org/10.7910/DVN/QSDYLH" TargetMode="External"/><Relationship Id="rId830" Type="http://schemas.openxmlformats.org/officeDocument/2006/relationships/hyperlink" Target="https://www.kff.org/uninsured/state-indicator/rate-by-gender/?currentTimeframe=0&amp;amp;sortModel=%7B%22colId%22%3A%22Location%22%2C%22sort%22%3A%22asc%22%7D" TargetMode="External"/><Relationship Id="rId928" Type="http://schemas.openxmlformats.org/officeDocument/2006/relationships/hyperlink" Target="http://www.uniformlaws.org/" TargetMode="External"/><Relationship Id="rId57" Type="http://schemas.openxmlformats.org/officeDocument/2006/relationships/hyperlink" Target="https://www.census.gov/acs/www/data/data-tables-and-tools/american-factfinder/" TargetMode="External"/><Relationship Id="rId262" Type="http://schemas.openxmlformats.org/officeDocument/2006/relationships/hyperlink" Target="https://factfinder.census.gov/faces/nav/jsf/pages/programs.xhtml?program=asgov" TargetMode="External"/><Relationship Id="rId567" Type="http://schemas.openxmlformats.org/officeDocument/2006/relationships/hyperlink" Target="http://freedominthe50states.org/about" TargetMode="External"/><Relationship Id="rId122" Type="http://schemas.openxmlformats.org/officeDocument/2006/relationships/hyperlink" Target="https://factfinder.census.gov/faces/nav/jsf/pages/programs.xhtml?program=asgov" TargetMode="External"/><Relationship Id="rId774" Type="http://schemas.openxmlformats.org/officeDocument/2006/relationships/hyperlink" Target="http://www.uniformlaws.org/" TargetMode="External"/><Relationship Id="rId981" Type="http://schemas.openxmlformats.org/officeDocument/2006/relationships/hyperlink" Target="http://www.uniformlaws.org/" TargetMode="External"/><Relationship Id="rId427" Type="http://schemas.openxmlformats.org/officeDocument/2006/relationships/hyperlink" Target="https://doi.org/10.7910/DVN/PQ0Y1N" TargetMode="External"/><Relationship Id="rId634" Type="http://schemas.openxmlformats.org/officeDocument/2006/relationships/hyperlink" Target="https://doi.org/10.7910/DVN/QSDYLH" TargetMode="External"/><Relationship Id="rId841" Type="http://schemas.openxmlformats.org/officeDocument/2006/relationships/hyperlink" Target="https://www.kff.org/medicaid/state-indicator/rate-by-gender-3/?currentTimeframe=0&amp;amp;sortModel=%7B%22colId%22%3A%22Location%22%2C%22sort%22%3A%22asc%22%7D" TargetMode="External"/><Relationship Id="rId273" Type="http://schemas.openxmlformats.org/officeDocument/2006/relationships/hyperlink" Target="https://doi.org/10.7910/DVN/KMWN7N" TargetMode="External"/><Relationship Id="rId480" Type="http://schemas.openxmlformats.org/officeDocument/2006/relationships/hyperlink" Target="https://doi.org/10.7910/DVN/LZHMG3" TargetMode="External"/><Relationship Id="rId701" Type="http://schemas.openxmlformats.org/officeDocument/2006/relationships/hyperlink" Target="http://www.uniformlaws.org/" TargetMode="External"/><Relationship Id="rId939" Type="http://schemas.openxmlformats.org/officeDocument/2006/relationships/hyperlink" Target="http://www.uniformlaws.org/" TargetMode="External"/><Relationship Id="rId68" Type="http://schemas.openxmlformats.org/officeDocument/2006/relationships/hyperlink" Target="http://www.acf.hhs.gov/programs/orr/resource/refugee-arrival-data" TargetMode="External"/><Relationship Id="rId133" Type="http://schemas.openxmlformats.org/officeDocument/2006/relationships/hyperlink" Target="https://factfinder.census.gov/faces/nav/jsf/pages/programs.xhtml?program=asgov" TargetMode="External"/><Relationship Id="rId340" Type="http://schemas.openxmlformats.org/officeDocument/2006/relationships/hyperlink" Target="http://ukcpr.org/resources/national-welfare-data" TargetMode="External"/><Relationship Id="rId578" Type="http://schemas.openxmlformats.org/officeDocument/2006/relationships/hyperlink" Target="https://doi.org/10.7910/DVN/QSDYLH" TargetMode="External"/><Relationship Id="rId785" Type="http://schemas.openxmlformats.org/officeDocument/2006/relationships/hyperlink" Target="http://www.stateminder.org/" TargetMode="External"/><Relationship Id="rId992" Type="http://schemas.openxmlformats.org/officeDocument/2006/relationships/hyperlink" Target="http://www.uniformlaws.org/" TargetMode="External"/><Relationship Id="rId200" Type="http://schemas.openxmlformats.org/officeDocument/2006/relationships/hyperlink" Target="https://doi.org/10.7910/DVN/KMWN7N" TargetMode="External"/><Relationship Id="rId438" Type="http://schemas.openxmlformats.org/officeDocument/2006/relationships/hyperlink" Target="https://doi.org/10.7910/DVN/PQ0Y1N" TargetMode="External"/><Relationship Id="rId645" Type="http://schemas.openxmlformats.org/officeDocument/2006/relationships/hyperlink" Target="https://doi.org/10.7910/DVN/QSDYLH" TargetMode="External"/><Relationship Id="rId852" Type="http://schemas.openxmlformats.org/officeDocument/2006/relationships/hyperlink" Target="https://doi.org/10.7910/DVN/CVYSR7" TargetMode="External"/><Relationship Id="rId284" Type="http://schemas.openxmlformats.org/officeDocument/2006/relationships/hyperlink" Target="http://mercatus.org/sites/default/files/Norcross-Fiscal-Rankings-2-v2_1.pdf" TargetMode="External"/><Relationship Id="rId491" Type="http://schemas.openxmlformats.org/officeDocument/2006/relationships/hyperlink" Target="https://doi.org/10.7910/DVN/LZHMG3" TargetMode="External"/><Relationship Id="rId505" Type="http://schemas.openxmlformats.org/officeDocument/2006/relationships/hyperlink" Target="http://americanlegislatures.com/data/" TargetMode="External"/><Relationship Id="rId712" Type="http://schemas.openxmlformats.org/officeDocument/2006/relationships/hyperlink" Target="http://www.uniformlaws.org/" TargetMode="External"/><Relationship Id="rId79" Type="http://schemas.openxmlformats.org/officeDocument/2006/relationships/hyperlink" Target="https://factfinder.census.gov/faces/nav/jsf/pages/programs.xhtml?program=asgov" TargetMode="External"/><Relationship Id="rId144" Type="http://schemas.openxmlformats.org/officeDocument/2006/relationships/hyperlink" Target="http://stateminder.org/" TargetMode="External"/><Relationship Id="rId589" Type="http://schemas.openxmlformats.org/officeDocument/2006/relationships/hyperlink" Target="https://doi.org/10.7910/DVN/QSDYLH" TargetMode="External"/><Relationship Id="rId796" Type="http://schemas.openxmlformats.org/officeDocument/2006/relationships/hyperlink" Target="https://nces.ed.gov/ccd/elsi/" TargetMode="External"/><Relationship Id="rId351" Type="http://schemas.openxmlformats.org/officeDocument/2006/relationships/hyperlink" Target="http://ukcpr.org/resources/national-welfare-data" TargetMode="External"/><Relationship Id="rId449" Type="http://schemas.openxmlformats.org/officeDocument/2006/relationships/hyperlink" Target="http://bioguide.congress.gov/biosearch/biosearch.asp" TargetMode="External"/><Relationship Id="rId656" Type="http://schemas.openxmlformats.org/officeDocument/2006/relationships/hyperlink" Target="https://doi.org/10.7910/DVN/NLDUOY" TargetMode="External"/><Relationship Id="rId863" Type="http://schemas.openxmlformats.org/officeDocument/2006/relationships/hyperlink" Target="https://doi.org/10.7910/DVN/CVYSR7" TargetMode="External"/><Relationship Id="rId211" Type="http://schemas.openxmlformats.org/officeDocument/2006/relationships/hyperlink" Target="https://doi.org/10.7910/DVN/KMWN7N" TargetMode="External"/><Relationship Id="rId295" Type="http://schemas.openxmlformats.org/officeDocument/2006/relationships/hyperlink" Target="http://mercatus.org/sites/default/files/Norcross-Fiscal-Rankings-2-v2_1.pdf" TargetMode="External"/><Relationship Id="rId309" Type="http://schemas.openxmlformats.org/officeDocument/2006/relationships/hyperlink" Target="http://mercatus.org/sites/default/files/Norcross-Fiscal-Rankings-2-v2_1.pdf" TargetMode="External"/><Relationship Id="rId516" Type="http://schemas.openxmlformats.org/officeDocument/2006/relationships/hyperlink" Target="http://americanlegislatures.com/data/" TargetMode="External"/><Relationship Id="rId723" Type="http://schemas.openxmlformats.org/officeDocument/2006/relationships/hyperlink" Target="http://www.uniformlaws.org/" TargetMode="External"/><Relationship Id="rId930" Type="http://schemas.openxmlformats.org/officeDocument/2006/relationships/hyperlink" Target="http://www.uniformlaws.org/" TargetMode="External"/><Relationship Id="rId1006" Type="http://schemas.openxmlformats.org/officeDocument/2006/relationships/hyperlink" Target="http://www.uniformlaws.org/" TargetMode="External"/><Relationship Id="rId155" Type="http://schemas.openxmlformats.org/officeDocument/2006/relationships/hyperlink" Target="https://factfinder.census.gov/faces/nav/jsf/pages/programs.xhtml?program=asgov" TargetMode="External"/><Relationship Id="rId362" Type="http://schemas.openxmlformats.org/officeDocument/2006/relationships/hyperlink" Target="http://ukcpr.org/resources/national-welfare-data" TargetMode="External"/><Relationship Id="rId222" Type="http://schemas.openxmlformats.org/officeDocument/2006/relationships/hyperlink" Target="https://doi.org/10.7910/DVN/KMWN7N" TargetMode="External"/><Relationship Id="rId667" Type="http://schemas.openxmlformats.org/officeDocument/2006/relationships/hyperlink" Target="http://www.followthemoney.org/" TargetMode="External"/><Relationship Id="rId874" Type="http://schemas.openxmlformats.org/officeDocument/2006/relationships/hyperlink" Target="https://doi.org/10.7910/DVN/CVYSR7" TargetMode="External"/><Relationship Id="rId17" Type="http://schemas.openxmlformats.org/officeDocument/2006/relationships/hyperlink" Target="https://www.census.gov/acs/www/data/data-tables-and-tools/american-factfinder/" TargetMode="External"/><Relationship Id="rId527" Type="http://schemas.openxmlformats.org/officeDocument/2006/relationships/hyperlink" Target="http://americanlegislatures.com/data/" TargetMode="External"/><Relationship Id="rId734" Type="http://schemas.openxmlformats.org/officeDocument/2006/relationships/hyperlink" Target="http://www.uniformlaws.org/" TargetMode="External"/><Relationship Id="rId941" Type="http://schemas.openxmlformats.org/officeDocument/2006/relationships/hyperlink" Target="http://www.uniformlaws.org/" TargetMode="External"/><Relationship Id="rId70" Type="http://schemas.openxmlformats.org/officeDocument/2006/relationships/hyperlink" Target="https://doi.org/10.7910/DVN/KMWN7N" TargetMode="External"/><Relationship Id="rId166" Type="http://schemas.openxmlformats.org/officeDocument/2006/relationships/hyperlink" Target="http://www.shsu.edu/eco_mwf/inequality.html" TargetMode="External"/><Relationship Id="rId373" Type="http://schemas.openxmlformats.org/officeDocument/2006/relationships/hyperlink" Target="https://www.urban.org/research/publication/state-tax-incentives-economic-development" TargetMode="External"/><Relationship Id="rId580" Type="http://schemas.openxmlformats.org/officeDocument/2006/relationships/hyperlink" Target="https://doi.org/10.7910/DVN/QSDYLH" TargetMode="External"/><Relationship Id="rId801" Type="http://schemas.openxmlformats.org/officeDocument/2006/relationships/hyperlink" Target="https://nces.ed.gov/ccd/elsi/" TargetMode="External"/><Relationship Id="rId1" Type="http://schemas.openxmlformats.org/officeDocument/2006/relationships/numbering" Target="numbering.xml"/><Relationship Id="rId233" Type="http://schemas.openxmlformats.org/officeDocument/2006/relationships/hyperlink" Target="https://doi.org/10.7910/DVN/KMWN7N" TargetMode="External"/><Relationship Id="rId440" Type="http://schemas.openxmlformats.org/officeDocument/2006/relationships/hyperlink" Target="https://doi.org/10.7910/DVN/PQ0Y1N" TargetMode="External"/><Relationship Id="rId678" Type="http://schemas.openxmlformats.org/officeDocument/2006/relationships/hyperlink" Target="http://www.followthemoney.org/" TargetMode="External"/><Relationship Id="rId885" Type="http://schemas.openxmlformats.org/officeDocument/2006/relationships/hyperlink" Target="http://www.lgbtmap.org/equality-maps/non_discrimination_laws" TargetMode="External"/><Relationship Id="rId28" Type="http://schemas.openxmlformats.org/officeDocument/2006/relationships/hyperlink" Target="http://stateminder.org/" TargetMode="External"/><Relationship Id="rId300" Type="http://schemas.openxmlformats.org/officeDocument/2006/relationships/hyperlink" Target="http://mercatus.org/sites/default/files/Norcross-Fiscal-Rankings-2-v2_1.pdf" TargetMode="External"/><Relationship Id="rId538" Type="http://schemas.openxmlformats.org/officeDocument/2006/relationships/hyperlink" Target="http://www.cawp.rutgers.edu/" TargetMode="External"/><Relationship Id="rId745" Type="http://schemas.openxmlformats.org/officeDocument/2006/relationships/hyperlink" Target="https://www.ucrdatatool.gov/Search/Crime/State/TrendsInOneVar.cfm" TargetMode="External"/><Relationship Id="rId952" Type="http://schemas.openxmlformats.org/officeDocument/2006/relationships/hyperlink" Target="http://www.uniformlaws.org/" TargetMode="External"/><Relationship Id="rId81" Type="http://schemas.openxmlformats.org/officeDocument/2006/relationships/hyperlink" Target="https://factfinder.census.gov/faces/nav/jsf/pages/programs.xhtml?program=asgov" TargetMode="External"/><Relationship Id="rId177" Type="http://schemas.openxmlformats.org/officeDocument/2006/relationships/hyperlink" Target="https://doi.org/10.7910/DVN/KMWN7N" TargetMode="External"/><Relationship Id="rId384" Type="http://schemas.openxmlformats.org/officeDocument/2006/relationships/hyperlink" Target="http://www.uniformlaws.org/" TargetMode="External"/><Relationship Id="rId591" Type="http://schemas.openxmlformats.org/officeDocument/2006/relationships/hyperlink" Target="https://doi.org/10.7910/DVN/QSDYLH" TargetMode="External"/><Relationship Id="rId605" Type="http://schemas.openxmlformats.org/officeDocument/2006/relationships/hyperlink" Target="https://doi.org/10.7910/DVN/QSDYLH" TargetMode="External"/><Relationship Id="rId812" Type="http://schemas.openxmlformats.org/officeDocument/2006/relationships/hyperlink" Target="http://www.uniformlaws.org/" TargetMode="External"/><Relationship Id="rId244" Type="http://schemas.openxmlformats.org/officeDocument/2006/relationships/hyperlink" Target="https://doi.org/10.7910/DVN/KMWN7N" TargetMode="External"/><Relationship Id="rId689" Type="http://schemas.openxmlformats.org/officeDocument/2006/relationships/hyperlink" Target="http://www.followthemoney.org/" TargetMode="External"/><Relationship Id="rId896" Type="http://schemas.openxmlformats.org/officeDocument/2006/relationships/hyperlink" Target="http://www.stateminder.org/" TargetMode="External"/><Relationship Id="rId39" Type="http://schemas.openxmlformats.org/officeDocument/2006/relationships/hyperlink" Target="https://www.census.gov/acs/www/data/data-tables-and-tools/american-factfinder/" TargetMode="External"/><Relationship Id="rId451" Type="http://schemas.openxmlformats.org/officeDocument/2006/relationships/hyperlink" Target="https://doi.org/10.7910/DVN/PQ0Y1N" TargetMode="External"/><Relationship Id="rId549" Type="http://schemas.openxmlformats.org/officeDocument/2006/relationships/hyperlink" Target="http://freedominthe50states.org/about" TargetMode="External"/><Relationship Id="rId756" Type="http://schemas.openxmlformats.org/officeDocument/2006/relationships/hyperlink" Target="http://stateminder.org/" TargetMode="External"/><Relationship Id="rId104" Type="http://schemas.openxmlformats.org/officeDocument/2006/relationships/hyperlink" Target="https://factfinder.census.gov/faces/nav/jsf/pages/programs.xhtml?program=asgov" TargetMode="External"/><Relationship Id="rId188" Type="http://schemas.openxmlformats.org/officeDocument/2006/relationships/hyperlink" Target="https://factfinder.census.gov/faces/nav/jsf/pages/programs.xhtml?program=asgov" TargetMode="External"/><Relationship Id="rId311" Type="http://schemas.openxmlformats.org/officeDocument/2006/relationships/hyperlink" Target="http://mercatus.org/sites/default/files/Norcross-Fiscal-Rankings-2-v2_1.pdf" TargetMode="External"/><Relationship Id="rId395" Type="http://schemas.openxmlformats.org/officeDocument/2006/relationships/hyperlink" Target="https://doi.org/10.7910/DVN/PQ0Y1N" TargetMode="External"/><Relationship Id="rId409" Type="http://schemas.openxmlformats.org/officeDocument/2006/relationships/hyperlink" Target="https://doi.org/10.7910/DVN/PQ0Y1N" TargetMode="External"/><Relationship Id="rId963" Type="http://schemas.openxmlformats.org/officeDocument/2006/relationships/hyperlink" Target="http://www.uniformlaws.org/" TargetMode="External"/><Relationship Id="rId92" Type="http://schemas.openxmlformats.org/officeDocument/2006/relationships/hyperlink" Target="https://factfinder.census.gov/faces/nav/jsf/pages/programs.xhtml?program=asgov" TargetMode="External"/><Relationship Id="rId616" Type="http://schemas.openxmlformats.org/officeDocument/2006/relationships/hyperlink" Target="https://doi.org/10.7910/DVN/QSDYLH" TargetMode="External"/><Relationship Id="rId823" Type="http://schemas.openxmlformats.org/officeDocument/2006/relationships/hyperlink" Target="https://www.kff.org/private-insurance/state-indicator/rate-by-gender-2/?currentTimeframe=0&amp;amp;sortModel=%7B%22colId%22%3A%22Location%22%2C%22sort%22%3A%22asc%22%7D" TargetMode="External"/><Relationship Id="rId255" Type="http://schemas.openxmlformats.org/officeDocument/2006/relationships/hyperlink" Target="https://factfinder.census.gov/faces/nav/jsf/pages/programs.xhtml?program=asgov" TargetMode="External"/><Relationship Id="rId462" Type="http://schemas.openxmlformats.org/officeDocument/2006/relationships/hyperlink" Target="https://doi.org/10.7910/DVN/PQ0Y1N" TargetMode="External"/><Relationship Id="rId115" Type="http://schemas.openxmlformats.org/officeDocument/2006/relationships/hyperlink" Target="https://factfinder.census.gov/faces/nav/jsf/pages/programs.xhtml?program=asgov" TargetMode="External"/><Relationship Id="rId322" Type="http://schemas.openxmlformats.org/officeDocument/2006/relationships/hyperlink" Target="http://stateminder.org/" TargetMode="External"/><Relationship Id="rId767" Type="http://schemas.openxmlformats.org/officeDocument/2006/relationships/hyperlink" Target="http://www.uniformlaws.org/" TargetMode="External"/><Relationship Id="rId974" Type="http://schemas.openxmlformats.org/officeDocument/2006/relationships/hyperlink" Target="http://www.uniformlaws.org/" TargetMode="External"/><Relationship Id="rId199" Type="http://schemas.openxmlformats.org/officeDocument/2006/relationships/hyperlink" Target="http://www.bea.gov/regional/gsp/" TargetMode="External"/><Relationship Id="rId627" Type="http://schemas.openxmlformats.org/officeDocument/2006/relationships/hyperlink" Target="https://doi.org/10.7910/DVN/QSDYLH" TargetMode="External"/><Relationship Id="rId834" Type="http://schemas.openxmlformats.org/officeDocument/2006/relationships/hyperlink" Target="https://www.kff.org/uninsured/state-indicator/rate-by-gender/?currentTimeframe=0&amp;amp;sortModel=%7B%22colId%22%3A%22Location%22%2C%22sort%22%3A%22asc%22%7D" TargetMode="External"/><Relationship Id="rId266" Type="http://schemas.openxmlformats.org/officeDocument/2006/relationships/hyperlink" Target="https://doi.org/10.7910/DVN/KMWN7N" TargetMode="External"/><Relationship Id="rId473" Type="http://schemas.openxmlformats.org/officeDocument/2006/relationships/hyperlink" Target="https://doi.org/10.7910/DVN/LZHMG3" TargetMode="External"/><Relationship Id="rId680" Type="http://schemas.openxmlformats.org/officeDocument/2006/relationships/hyperlink" Target="http://www.followthemoney.org/" TargetMode="External"/><Relationship Id="rId901" Type="http://schemas.openxmlformats.org/officeDocument/2006/relationships/hyperlink" Target="http://aceee.org/research-report/u1710" TargetMode="External"/><Relationship Id="rId30" Type="http://schemas.openxmlformats.org/officeDocument/2006/relationships/hyperlink" Target="http://stateminder.org/" TargetMode="External"/><Relationship Id="rId126" Type="http://schemas.openxmlformats.org/officeDocument/2006/relationships/hyperlink" Target="http://www.census.gov/topics/income-poverty/income.html" TargetMode="External"/><Relationship Id="rId333" Type="http://schemas.openxmlformats.org/officeDocument/2006/relationships/hyperlink" Target="http://stateminder.org/" TargetMode="External"/><Relationship Id="rId540" Type="http://schemas.openxmlformats.org/officeDocument/2006/relationships/hyperlink" Target="http://freedominthe50states.org/about" TargetMode="External"/><Relationship Id="rId778" Type="http://schemas.openxmlformats.org/officeDocument/2006/relationships/hyperlink" Target="http://www.uniformlaws.org/" TargetMode="External"/><Relationship Id="rId985" Type="http://schemas.openxmlformats.org/officeDocument/2006/relationships/hyperlink" Target="http://www.uniformlaws.org/" TargetMode="External"/><Relationship Id="rId638" Type="http://schemas.openxmlformats.org/officeDocument/2006/relationships/hyperlink" Target="https://doi.org/10.7910/DVN/QSDYLH" TargetMode="External"/><Relationship Id="rId845" Type="http://schemas.openxmlformats.org/officeDocument/2006/relationships/hyperlink" Target="http://stateminder.org/" TargetMode="External"/><Relationship Id="rId277" Type="http://schemas.openxmlformats.org/officeDocument/2006/relationships/hyperlink" Target="https://doi.org/10.7910/DVN/KMWN7N" TargetMode="External"/><Relationship Id="rId400" Type="http://schemas.openxmlformats.org/officeDocument/2006/relationships/hyperlink" Target="https://doi.org/10.7910/DVN/PQ0Y1N" TargetMode="External"/><Relationship Id="rId484" Type="http://schemas.openxmlformats.org/officeDocument/2006/relationships/hyperlink" Target="https://doi.org/10.7910/DVN/LZHMG3" TargetMode="External"/><Relationship Id="rId705" Type="http://schemas.openxmlformats.org/officeDocument/2006/relationships/hyperlink" Target="http://www.uniformlaws.org/" TargetMode="External"/><Relationship Id="rId137" Type="http://schemas.openxmlformats.org/officeDocument/2006/relationships/hyperlink" Target="https://factfinder.census.gov/faces/nav/jsf/pages/programs.xhtml?program=asgov" TargetMode="External"/><Relationship Id="rId344" Type="http://schemas.openxmlformats.org/officeDocument/2006/relationships/hyperlink" Target="http://ukcpr.org/resources/national-welfare-data" TargetMode="External"/><Relationship Id="rId691" Type="http://schemas.openxmlformats.org/officeDocument/2006/relationships/hyperlink" Target="https://cces.gov.harvard.edu/" TargetMode="External"/><Relationship Id="rId789" Type="http://schemas.openxmlformats.org/officeDocument/2006/relationships/hyperlink" Target="http://www.stateminder.org/" TargetMode="External"/><Relationship Id="rId912" Type="http://schemas.openxmlformats.org/officeDocument/2006/relationships/hyperlink" Target="http://www.fhwa.dot.gov/policyinformation/statistics.cfm" TargetMode="External"/><Relationship Id="rId996" Type="http://schemas.openxmlformats.org/officeDocument/2006/relationships/hyperlink" Target="http://www.uniformlaws.org/" TargetMode="External"/><Relationship Id="rId41" Type="http://schemas.openxmlformats.org/officeDocument/2006/relationships/hyperlink" Target="http://library.cqpress.com/cqresearcher/index.php" TargetMode="External"/><Relationship Id="rId551" Type="http://schemas.openxmlformats.org/officeDocument/2006/relationships/hyperlink" Target="http://freedominthe50states.org/about" TargetMode="External"/><Relationship Id="rId649" Type="http://schemas.openxmlformats.org/officeDocument/2006/relationships/hyperlink" Target="https://doi.org/10.7910/DVN/QSDYLH" TargetMode="External"/><Relationship Id="rId856" Type="http://schemas.openxmlformats.org/officeDocument/2006/relationships/hyperlink" Target="https://doi.org/10.7910/DVN/CVYSR7" TargetMode="External"/><Relationship Id="rId190" Type="http://schemas.openxmlformats.org/officeDocument/2006/relationships/hyperlink" Target="https://doi.org/10.7910/DVN/KMWN7N" TargetMode="External"/><Relationship Id="rId204" Type="http://schemas.openxmlformats.org/officeDocument/2006/relationships/hyperlink" Target="https://doi.org/10.7910/DVN/KMWN7N" TargetMode="External"/><Relationship Id="rId288" Type="http://schemas.openxmlformats.org/officeDocument/2006/relationships/hyperlink" Target="http://mercatus.org/sites/default/files/Norcross-Fiscal-Rankings-2-v2_1.pdf" TargetMode="External"/><Relationship Id="rId411" Type="http://schemas.openxmlformats.org/officeDocument/2006/relationships/hyperlink" Target="https://doi.org/10.7910/DVN/PQ0Y1N" TargetMode="External"/><Relationship Id="rId509" Type="http://schemas.openxmlformats.org/officeDocument/2006/relationships/hyperlink" Target="http://americanlegislatures.com/data/" TargetMode="External"/><Relationship Id="rId495" Type="http://schemas.openxmlformats.org/officeDocument/2006/relationships/hyperlink" Target="https://doi.org/10.7910/DVN/LZHMG3" TargetMode="External"/><Relationship Id="rId716" Type="http://schemas.openxmlformats.org/officeDocument/2006/relationships/hyperlink" Target="http://www.uniformlaws.org/" TargetMode="External"/><Relationship Id="rId923" Type="http://schemas.openxmlformats.org/officeDocument/2006/relationships/hyperlink" Target="http://www.uniformlaws.org/" TargetMode="External"/><Relationship Id="rId10" Type="http://schemas.openxmlformats.org/officeDocument/2006/relationships/hyperlink" Target="http://stateminder.org/" TargetMode="External"/><Relationship Id="rId52" Type="http://schemas.openxmlformats.org/officeDocument/2006/relationships/hyperlink" Target="https://www.census.gov/acs/www/data/data-tables-and-tools/american-factfinder/" TargetMode="External"/><Relationship Id="rId94" Type="http://schemas.openxmlformats.org/officeDocument/2006/relationships/hyperlink" Target="https://factfinder.census.gov/faces/nav/jsf/pages/programs.xhtml?program=asgov" TargetMode="External"/><Relationship Id="rId148" Type="http://schemas.openxmlformats.org/officeDocument/2006/relationships/hyperlink" Target="https://factfinder.census.gov/faces/nav/jsf/pages/programs.xhtml?program=asgov" TargetMode="External"/><Relationship Id="rId355" Type="http://schemas.openxmlformats.org/officeDocument/2006/relationships/hyperlink" Target="http://ukcpr.org/resources/national-welfare-data" TargetMode="External"/><Relationship Id="rId397" Type="http://schemas.openxmlformats.org/officeDocument/2006/relationships/hyperlink" Target="https://doi.org/10.7910/DVN/PQ0Y1N" TargetMode="External"/><Relationship Id="rId520" Type="http://schemas.openxmlformats.org/officeDocument/2006/relationships/hyperlink" Target="http://americanlegislatures.com/data/" TargetMode="External"/><Relationship Id="rId562" Type="http://schemas.openxmlformats.org/officeDocument/2006/relationships/hyperlink" Target="http://freedominthe50states.org/about" TargetMode="External"/><Relationship Id="rId618" Type="http://schemas.openxmlformats.org/officeDocument/2006/relationships/hyperlink" Target="https://doi.org/10.7910/DVN/QSDYLH" TargetMode="External"/><Relationship Id="rId825" Type="http://schemas.openxmlformats.org/officeDocument/2006/relationships/hyperlink" Target="https://www.kff.org/private-insurance/state-indicator/rate-by-gender-2/?currentTimeframe=0&amp;amp;sortModel=%7B%22colId%22%3A%22Location%22%2C%22sort%22%3A%22asc%22%7D" TargetMode="External"/><Relationship Id="rId215" Type="http://schemas.openxmlformats.org/officeDocument/2006/relationships/hyperlink" Target="http://www.census.gov/govs/state/" TargetMode="External"/><Relationship Id="rId257" Type="http://schemas.openxmlformats.org/officeDocument/2006/relationships/hyperlink" Target="https://doi.org/10.7910/DVN/KMWN7N" TargetMode="External"/><Relationship Id="rId422" Type="http://schemas.openxmlformats.org/officeDocument/2006/relationships/hyperlink" Target="https://doi.org/10.7910/DVN/PQ0Y1N" TargetMode="External"/><Relationship Id="rId464" Type="http://schemas.openxmlformats.org/officeDocument/2006/relationships/hyperlink" Target="https://doi.org/10.7910/DVN/PQ0Y1N" TargetMode="External"/><Relationship Id="rId867" Type="http://schemas.openxmlformats.org/officeDocument/2006/relationships/hyperlink" Target="https://doi.org/10.7910/DVN/CVYSR7" TargetMode="External"/><Relationship Id="rId1010" Type="http://schemas.openxmlformats.org/officeDocument/2006/relationships/hyperlink" Target="http://www.uniformlaws.org/" TargetMode="External"/><Relationship Id="rId299" Type="http://schemas.openxmlformats.org/officeDocument/2006/relationships/hyperlink" Target="http://mercatus.org/sites/default/files/Norcross-Fiscal-Rankings-2-v2_1.pdf" TargetMode="External"/><Relationship Id="rId727" Type="http://schemas.openxmlformats.org/officeDocument/2006/relationships/hyperlink" Target="http://www.uniformlaws.org/" TargetMode="External"/><Relationship Id="rId934" Type="http://schemas.openxmlformats.org/officeDocument/2006/relationships/hyperlink" Target="http://www.uniformlaws.org/" TargetMode="External"/><Relationship Id="rId63" Type="http://schemas.openxmlformats.org/officeDocument/2006/relationships/hyperlink" Target="http://stateminder.org/" TargetMode="External"/><Relationship Id="rId159" Type="http://schemas.openxmlformats.org/officeDocument/2006/relationships/hyperlink" Target="http://www.ers.usda.gov/data-products/farm-income-and-wealth-statistics.aspx" TargetMode="External"/><Relationship Id="rId366" Type="http://schemas.openxmlformats.org/officeDocument/2006/relationships/hyperlink" Target="https://www.urban.org/research/publication/state-tax-incentives-economic-development" TargetMode="External"/><Relationship Id="rId573" Type="http://schemas.openxmlformats.org/officeDocument/2006/relationships/hyperlink" Target="http://www.stateminder.org/" TargetMode="External"/><Relationship Id="rId780" Type="http://schemas.openxmlformats.org/officeDocument/2006/relationships/hyperlink" Target="http://stateminder.org/" TargetMode="External"/><Relationship Id="rId226" Type="http://schemas.openxmlformats.org/officeDocument/2006/relationships/hyperlink" Target="https://doi.org/10.7910/DVN/KMWN7N" TargetMode="External"/><Relationship Id="rId433" Type="http://schemas.openxmlformats.org/officeDocument/2006/relationships/hyperlink" Target="https://doi.org/10.7910/DVN/PQ0Y1N" TargetMode="External"/><Relationship Id="rId878" Type="http://schemas.openxmlformats.org/officeDocument/2006/relationships/hyperlink" Target="http://www.guttmacher.org/statecenter/spibs/spib_OAL.pdf" TargetMode="External"/><Relationship Id="rId640" Type="http://schemas.openxmlformats.org/officeDocument/2006/relationships/hyperlink" Target="https://doi.org/10.7910/DVN/QSDYLH" TargetMode="External"/><Relationship Id="rId738" Type="http://schemas.openxmlformats.org/officeDocument/2006/relationships/hyperlink" Target="http://stateminder.org/" TargetMode="External"/><Relationship Id="rId945" Type="http://schemas.openxmlformats.org/officeDocument/2006/relationships/hyperlink" Target="http://www.uniformlaws.org/" TargetMode="External"/><Relationship Id="rId74" Type="http://schemas.openxmlformats.org/officeDocument/2006/relationships/hyperlink" Target="http://www.bizjournals.com/bizjournals/on-numbers/scott-thomas/2012/06/californias-population-passes-38.html?appSession=10897383915145&amp;amp;RecordID&amp;amp;PageID=2&amp;amp;PrevPageID&amp;amp;cpipage=3&amp;amp;CPISortType&amp;amp;CPIorderBy" TargetMode="External"/><Relationship Id="rId377" Type="http://schemas.openxmlformats.org/officeDocument/2006/relationships/hyperlink" Target="https://www.urban.org/research/publication/state-tax-incentives-economic-development" TargetMode="External"/><Relationship Id="rId500" Type="http://schemas.openxmlformats.org/officeDocument/2006/relationships/hyperlink" Target="https://doi.org/10.7910/DVN/LZHMG3" TargetMode="External"/><Relationship Id="rId584" Type="http://schemas.openxmlformats.org/officeDocument/2006/relationships/hyperlink" Target="https://doi.org/10.7910/DVN/QSDYLH" TargetMode="External"/><Relationship Id="rId805" Type="http://schemas.openxmlformats.org/officeDocument/2006/relationships/hyperlink" Target="https://nces.ed.gov/ccd/elsi/" TargetMode="External"/><Relationship Id="rId5" Type="http://schemas.openxmlformats.org/officeDocument/2006/relationships/footnotes" Target="footnotes.xml"/><Relationship Id="rId237" Type="http://schemas.openxmlformats.org/officeDocument/2006/relationships/hyperlink" Target="https://doi.org/10.7910/DVN/KMWN7N" TargetMode="External"/><Relationship Id="rId791" Type="http://schemas.openxmlformats.org/officeDocument/2006/relationships/hyperlink" Target="http://www.stateminder.org/" TargetMode="External"/><Relationship Id="rId889" Type="http://schemas.openxmlformats.org/officeDocument/2006/relationships/hyperlink" Target="http://www.uniformlaws.org/" TargetMode="External"/><Relationship Id="rId444" Type="http://schemas.openxmlformats.org/officeDocument/2006/relationships/hyperlink" Target="https://doi.org/10.7910/DVN/PQ0Y1N" TargetMode="External"/><Relationship Id="rId651" Type="http://schemas.openxmlformats.org/officeDocument/2006/relationships/hyperlink" Target="https://doi.org/10.7910/DVN/QSDYLH" TargetMode="External"/><Relationship Id="rId749" Type="http://schemas.openxmlformats.org/officeDocument/2006/relationships/hyperlink" Target="https://www.ucrdatatool.gov/Search/Crime/State/TrendsInOneVar.cfm" TargetMode="External"/><Relationship Id="rId290" Type="http://schemas.openxmlformats.org/officeDocument/2006/relationships/hyperlink" Target="http://mercatus.org/sites/default/files/Norcross-Fiscal-Rankings-2-v2_1.pdf" TargetMode="External"/><Relationship Id="rId304" Type="http://schemas.openxmlformats.org/officeDocument/2006/relationships/hyperlink" Target="http://mercatus.org/sites/default/files/Norcross-Fiscal-Rankings-2-v2_1.pdf" TargetMode="External"/><Relationship Id="rId388" Type="http://schemas.openxmlformats.org/officeDocument/2006/relationships/hyperlink" Target="http://www.uniformlaws.org/" TargetMode="External"/><Relationship Id="rId511" Type="http://schemas.openxmlformats.org/officeDocument/2006/relationships/hyperlink" Target="http://americanlegislatures.com/data/" TargetMode="External"/><Relationship Id="rId609" Type="http://schemas.openxmlformats.org/officeDocument/2006/relationships/hyperlink" Target="https://doi.org/10.7910/DVN/QSDYLH" TargetMode="External"/><Relationship Id="rId956" Type="http://schemas.openxmlformats.org/officeDocument/2006/relationships/hyperlink" Target="http://www.uniformlaws.org/" TargetMode="External"/><Relationship Id="rId85" Type="http://schemas.openxmlformats.org/officeDocument/2006/relationships/hyperlink" Target="https://factfinder.census.gov/faces/nav/jsf/pages/programs.xhtml?program=asgov" TargetMode="External"/><Relationship Id="rId150" Type="http://schemas.openxmlformats.org/officeDocument/2006/relationships/hyperlink" Target="https://factfinder.census.gov/faces/nav/jsf/pages/programs.xhtml?program=asgov" TargetMode="External"/><Relationship Id="rId595" Type="http://schemas.openxmlformats.org/officeDocument/2006/relationships/hyperlink" Target="https://doi.org/10.7910/DVN/QSDYLH" TargetMode="External"/><Relationship Id="rId816" Type="http://schemas.openxmlformats.org/officeDocument/2006/relationships/hyperlink" Target="http://www.uniformlaws.org/" TargetMode="External"/><Relationship Id="rId1001" Type="http://schemas.openxmlformats.org/officeDocument/2006/relationships/hyperlink" Target="http://www.uniformlaws.org/" TargetMode="External"/><Relationship Id="rId248" Type="http://schemas.openxmlformats.org/officeDocument/2006/relationships/hyperlink" Target="https://doi.org/10.7910/DVN/KMWN7N" TargetMode="External"/><Relationship Id="rId455" Type="http://schemas.openxmlformats.org/officeDocument/2006/relationships/hyperlink" Target="https://doi.org/10.7910/DVN/PQ0Y1N" TargetMode="External"/><Relationship Id="rId662" Type="http://schemas.openxmlformats.org/officeDocument/2006/relationships/hyperlink" Target="http://www.followthemoney.org/" TargetMode="External"/><Relationship Id="rId12" Type="http://schemas.openxmlformats.org/officeDocument/2006/relationships/hyperlink" Target="https://www.census.gov/acs/www/data/data-tables-and-tools/american-factfinder/" TargetMode="External"/><Relationship Id="rId108" Type="http://schemas.openxmlformats.org/officeDocument/2006/relationships/hyperlink" Target="https://factfinder.census.gov/faces/nav/jsf/pages/programs.xhtml?program=asgov" TargetMode="External"/><Relationship Id="rId315" Type="http://schemas.openxmlformats.org/officeDocument/2006/relationships/hyperlink" Target="http://mercatus.org/sites/default/files/Norcross-Fiscal-Rankings-2-v2_1.pdf" TargetMode="External"/><Relationship Id="rId522" Type="http://schemas.openxmlformats.org/officeDocument/2006/relationships/hyperlink" Target="http://americanlegislatures.com/data/" TargetMode="External"/><Relationship Id="rId967" Type="http://schemas.openxmlformats.org/officeDocument/2006/relationships/hyperlink" Target="http://www.uniformlaws.org/" TargetMode="External"/><Relationship Id="rId96" Type="http://schemas.openxmlformats.org/officeDocument/2006/relationships/hyperlink" Target="https://factfinder.census.gov/faces/nav/jsf/pages/programs.xhtml?program=asgov" TargetMode="External"/><Relationship Id="rId161" Type="http://schemas.openxmlformats.org/officeDocument/2006/relationships/hyperlink" Target="http://stateminder.org/" TargetMode="External"/><Relationship Id="rId399" Type="http://schemas.openxmlformats.org/officeDocument/2006/relationships/hyperlink" Target="https://doi.org/10.7910/DVN/PQ0Y1N" TargetMode="External"/><Relationship Id="rId827" Type="http://schemas.openxmlformats.org/officeDocument/2006/relationships/hyperlink" Target="https://www.kff.org/private-insurance/state-indicator/rate-by-gender-2/?currentTimeframe=0&amp;amp;sortModel=%7B%22colId%22%3A%22Location%22%2C%22sort%22%3A%22asc%22%7D" TargetMode="External"/><Relationship Id="rId1012" Type="http://schemas.openxmlformats.org/officeDocument/2006/relationships/hyperlink" Target="http://www.uniformlaws.org/" TargetMode="External"/><Relationship Id="rId259" Type="http://schemas.openxmlformats.org/officeDocument/2006/relationships/hyperlink" Target="https://doi.org/10.7910/DVN/KMWN7N" TargetMode="External"/><Relationship Id="rId466" Type="http://schemas.openxmlformats.org/officeDocument/2006/relationships/hyperlink" Target="https://doi.org/10.7910/DVN/PQ0Y1N" TargetMode="External"/><Relationship Id="rId673" Type="http://schemas.openxmlformats.org/officeDocument/2006/relationships/hyperlink" Target="http://www.followthemoney.org/" TargetMode="External"/><Relationship Id="rId880" Type="http://schemas.openxmlformats.org/officeDocument/2006/relationships/hyperlink" Target="http://stateminder.org/" TargetMode="External"/><Relationship Id="rId23" Type="http://schemas.openxmlformats.org/officeDocument/2006/relationships/hyperlink" Target="http://library.cqpress.com/cqresearcher/index.php" TargetMode="External"/><Relationship Id="rId119" Type="http://schemas.openxmlformats.org/officeDocument/2006/relationships/hyperlink" Target="https://factfinder.census.gov/faces/nav/jsf/pages/programs.xhtml?program=asgov" TargetMode="External"/><Relationship Id="rId326" Type="http://schemas.openxmlformats.org/officeDocument/2006/relationships/hyperlink" Target="http://stateminder.org/" TargetMode="External"/><Relationship Id="rId533" Type="http://schemas.openxmlformats.org/officeDocument/2006/relationships/hyperlink" Target="https://cawp.rutgers.edu/facts/levels_of_office/state_legislature" TargetMode="External"/><Relationship Id="rId978" Type="http://schemas.openxmlformats.org/officeDocument/2006/relationships/hyperlink" Target="http://www.uniformlaws.org/" TargetMode="External"/><Relationship Id="rId740" Type="http://schemas.openxmlformats.org/officeDocument/2006/relationships/hyperlink" Target="http://stateminder.org/" TargetMode="External"/><Relationship Id="rId838" Type="http://schemas.openxmlformats.org/officeDocument/2006/relationships/hyperlink" Target="https://www.kff.org/medicaid/state-indicator/rate-by-gender-3/?currentTimeframe=0&amp;amp;sortModel=%7B%22colId%22%3A%22Location%22%2C%22sort%22%3A%22asc%22%7D" TargetMode="External"/><Relationship Id="rId172" Type="http://schemas.openxmlformats.org/officeDocument/2006/relationships/hyperlink" Target="http://www.shsu.edu/eco_mwf/inequality.html" TargetMode="External"/><Relationship Id="rId477" Type="http://schemas.openxmlformats.org/officeDocument/2006/relationships/hyperlink" Target="https://knowledgecenter.csg.org/kc/category/content-type/content-type/book-states" TargetMode="External"/><Relationship Id="rId600" Type="http://schemas.openxmlformats.org/officeDocument/2006/relationships/hyperlink" Target="https://doi.org/10.7910/DVN/QSDYLH" TargetMode="External"/><Relationship Id="rId684" Type="http://schemas.openxmlformats.org/officeDocument/2006/relationships/hyperlink" Target="http://www.followthemoney.org/" TargetMode="External"/><Relationship Id="rId337" Type="http://schemas.openxmlformats.org/officeDocument/2006/relationships/hyperlink" Target="http://ukcpr.org/resources/national-welfare-data" TargetMode="External"/><Relationship Id="rId891" Type="http://schemas.openxmlformats.org/officeDocument/2006/relationships/hyperlink" Target="https://www.eia.gov/state/seds/seds-data-complete.php?sid=US" TargetMode="External"/><Relationship Id="rId905" Type="http://schemas.openxmlformats.org/officeDocument/2006/relationships/hyperlink" Target="http://www.statepolicyindex.com/wp-content/uploads/2019/06/b_guns_17_metadata_carry_indices.txt" TargetMode="External"/><Relationship Id="rId989" Type="http://schemas.openxmlformats.org/officeDocument/2006/relationships/hyperlink" Target="http://www.uniformlaws.org/" TargetMode="External"/><Relationship Id="rId34" Type="http://schemas.openxmlformats.org/officeDocument/2006/relationships/hyperlink" Target="http://stateminder.org/" TargetMode="External"/><Relationship Id="rId544" Type="http://schemas.openxmlformats.org/officeDocument/2006/relationships/hyperlink" Target="http://freedominthe50states.org/about" TargetMode="External"/><Relationship Id="rId751" Type="http://schemas.openxmlformats.org/officeDocument/2006/relationships/hyperlink" Target="https://www.ucrdatatool.gov/Search/Crime/State/TrendsInOneVar.cfm" TargetMode="External"/><Relationship Id="rId849" Type="http://schemas.openxmlformats.org/officeDocument/2006/relationships/hyperlink" Target="https://www.zippia.com/research/gender-pay-gap/" TargetMode="External"/><Relationship Id="rId183" Type="http://schemas.openxmlformats.org/officeDocument/2006/relationships/hyperlink" Target="https://doi.org/10.7910/DVN/KMWN7N" TargetMode="External"/><Relationship Id="rId390" Type="http://schemas.openxmlformats.org/officeDocument/2006/relationships/hyperlink" Target="http://www.uniformlaws.org/" TargetMode="External"/><Relationship Id="rId404" Type="http://schemas.openxmlformats.org/officeDocument/2006/relationships/hyperlink" Target="https://doi.org/10.7910/DVN/PQ0Y1N" TargetMode="External"/><Relationship Id="rId611" Type="http://schemas.openxmlformats.org/officeDocument/2006/relationships/hyperlink" Target="https://doi.org/10.7910/DVN/QSDYLH" TargetMode="External"/><Relationship Id="rId250" Type="http://schemas.openxmlformats.org/officeDocument/2006/relationships/hyperlink" Target="https://rcfording.wordpress.com/datasets/" TargetMode="External"/><Relationship Id="rId488" Type="http://schemas.openxmlformats.org/officeDocument/2006/relationships/hyperlink" Target="https://knowledgecenter.csg.org/kc/category/content-type/content-type/book-states" TargetMode="External"/><Relationship Id="rId695" Type="http://schemas.openxmlformats.org/officeDocument/2006/relationships/hyperlink" Target="http://php.indiana.edu/%7Ewright1/" TargetMode="External"/><Relationship Id="rId709" Type="http://schemas.openxmlformats.org/officeDocument/2006/relationships/hyperlink" Target="http://www.uniformlaws.org/" TargetMode="External"/><Relationship Id="rId916" Type="http://schemas.openxmlformats.org/officeDocument/2006/relationships/hyperlink" Target="http://www.uniformlaws.org/" TargetMode="External"/><Relationship Id="rId45" Type="http://schemas.openxmlformats.org/officeDocument/2006/relationships/hyperlink" Target="https://www.census.gov/acs/www/data/data-tables-and-tools/american-factfinder/" TargetMode="External"/><Relationship Id="rId110" Type="http://schemas.openxmlformats.org/officeDocument/2006/relationships/hyperlink" Target="https://factfinder.census.gov/faces/nav/jsf/pages/programs.xhtml?program=asgov" TargetMode="External"/><Relationship Id="rId348" Type="http://schemas.openxmlformats.org/officeDocument/2006/relationships/hyperlink" Target="http://ukcpr.org/resources/national-welfare-data" TargetMode="External"/><Relationship Id="rId555" Type="http://schemas.openxmlformats.org/officeDocument/2006/relationships/hyperlink" Target="http://freedominthe50states.org/about" TargetMode="External"/><Relationship Id="rId762" Type="http://schemas.openxmlformats.org/officeDocument/2006/relationships/hyperlink" Target="http://www.uniformlaws.org/" TargetMode="External"/><Relationship Id="rId194" Type="http://schemas.openxmlformats.org/officeDocument/2006/relationships/hyperlink" Target="https://factfinder.census.gov/faces/nav/jsf/pages/programs.xhtml?program=asgov" TargetMode="External"/><Relationship Id="rId208" Type="http://schemas.openxmlformats.org/officeDocument/2006/relationships/hyperlink" Target="https://doi.org/10.7910/DVN/KMWN7N" TargetMode="External"/><Relationship Id="rId415" Type="http://schemas.openxmlformats.org/officeDocument/2006/relationships/hyperlink" Target="https://doi.org/10.7910/DVN/PQ0Y1N" TargetMode="External"/><Relationship Id="rId622" Type="http://schemas.openxmlformats.org/officeDocument/2006/relationships/hyperlink" Target="https://doi.org/10.7910/DVN/QSDYLH" TargetMode="External"/><Relationship Id="rId261" Type="http://schemas.openxmlformats.org/officeDocument/2006/relationships/hyperlink" Target="https://factfinder.census.gov/faces/nav/jsf/pages/programs.xhtml?program=asgov" TargetMode="External"/><Relationship Id="rId499" Type="http://schemas.openxmlformats.org/officeDocument/2006/relationships/hyperlink" Target="https://doi.org/10.7910/DVN/LZHMG3" TargetMode="External"/><Relationship Id="rId927" Type="http://schemas.openxmlformats.org/officeDocument/2006/relationships/hyperlink" Target="http://www.uniformlaws.org/" TargetMode="External"/><Relationship Id="rId56" Type="http://schemas.openxmlformats.org/officeDocument/2006/relationships/hyperlink" Target="https://www.census.gov/acs/www/data/data-tables-and-tools/american-factfinder/" TargetMode="External"/><Relationship Id="rId359" Type="http://schemas.openxmlformats.org/officeDocument/2006/relationships/hyperlink" Target="http://ukcpr.org/resources/national-welfare-data" TargetMode="External"/><Relationship Id="rId566" Type="http://schemas.openxmlformats.org/officeDocument/2006/relationships/hyperlink" Target="http://freedominthe50states.org/about" TargetMode="External"/><Relationship Id="rId773" Type="http://schemas.openxmlformats.org/officeDocument/2006/relationships/hyperlink" Target="http://www.uniformlaws.org/" TargetMode="External"/><Relationship Id="rId121" Type="http://schemas.openxmlformats.org/officeDocument/2006/relationships/hyperlink" Target="https://factfinder.census.gov/faces/nav/jsf/pages/programs.xhtml?program=asgov" TargetMode="External"/><Relationship Id="rId219" Type="http://schemas.openxmlformats.org/officeDocument/2006/relationships/hyperlink" Target="http://www.census.gov/govs/state/" TargetMode="External"/><Relationship Id="rId426" Type="http://schemas.openxmlformats.org/officeDocument/2006/relationships/hyperlink" Target="https://doi.org/10.7910/DVN/PQ0Y1N" TargetMode="External"/><Relationship Id="rId633" Type="http://schemas.openxmlformats.org/officeDocument/2006/relationships/hyperlink" Target="https://doi.org/10.7910/DVN/QSDYLH" TargetMode="External"/><Relationship Id="rId980" Type="http://schemas.openxmlformats.org/officeDocument/2006/relationships/hyperlink" Target="http://www.uniformlaws.org/" TargetMode="External"/><Relationship Id="rId840" Type="http://schemas.openxmlformats.org/officeDocument/2006/relationships/hyperlink" Target="https://www.kff.org/medicaid/state-indicator/rate-by-gender-3/?currentTimeframe=0&amp;amp;sortModel=%7B%22colId%22%3A%22Location%22%2C%22sort%22%3A%22asc%22%7D" TargetMode="External"/><Relationship Id="rId938" Type="http://schemas.openxmlformats.org/officeDocument/2006/relationships/hyperlink" Target="http://www.uniformlaws.org/" TargetMode="External"/><Relationship Id="rId67" Type="http://schemas.openxmlformats.org/officeDocument/2006/relationships/hyperlink" Target="http://stateminder.org/" TargetMode="External"/><Relationship Id="rId272" Type="http://schemas.openxmlformats.org/officeDocument/2006/relationships/hyperlink" Target="https://doi.org/10.7910/DVN/KMWN7N" TargetMode="External"/><Relationship Id="rId577" Type="http://schemas.openxmlformats.org/officeDocument/2006/relationships/hyperlink" Target="http://www.stateminder.org/" TargetMode="External"/><Relationship Id="rId700" Type="http://schemas.openxmlformats.org/officeDocument/2006/relationships/hyperlink" Target="http://www.uniformlaws.org/" TargetMode="External"/><Relationship Id="rId132" Type="http://schemas.openxmlformats.org/officeDocument/2006/relationships/hyperlink" Target="https://factfinder.census.gov/faces/nav/jsf/pages/programs.xhtml?program=asgov" TargetMode="External"/><Relationship Id="rId784" Type="http://schemas.openxmlformats.org/officeDocument/2006/relationships/hyperlink" Target="http://nces.ed.gov/programs/digest/d10/tables/dt10_185.asp" TargetMode="External"/><Relationship Id="rId991" Type="http://schemas.openxmlformats.org/officeDocument/2006/relationships/hyperlink" Target="http://www.uniformlaws.org/" TargetMode="External"/><Relationship Id="rId437" Type="http://schemas.openxmlformats.org/officeDocument/2006/relationships/hyperlink" Target="https://doi.org/10.7910/DVN/PQ0Y1N" TargetMode="External"/><Relationship Id="rId644" Type="http://schemas.openxmlformats.org/officeDocument/2006/relationships/hyperlink" Target="https://doi.org/10.7910/DVN/QSDYLH" TargetMode="External"/><Relationship Id="rId851" Type="http://schemas.openxmlformats.org/officeDocument/2006/relationships/hyperlink" Target="https://doi.org/10.7910/DVN/CVYSR7" TargetMode="External"/><Relationship Id="rId283" Type="http://schemas.openxmlformats.org/officeDocument/2006/relationships/hyperlink" Target="http://mercatus.org/sites/default/files/Norcross-Fiscal-Rankings-2-v2_1.pdf" TargetMode="External"/><Relationship Id="rId490" Type="http://schemas.openxmlformats.org/officeDocument/2006/relationships/hyperlink" Target="https://doi.org/10.7910/DVN/LZHMG3" TargetMode="External"/><Relationship Id="rId504" Type="http://schemas.openxmlformats.org/officeDocument/2006/relationships/hyperlink" Target="https://doi.org/10.7910/DVN/LZHMG3" TargetMode="External"/><Relationship Id="rId711" Type="http://schemas.openxmlformats.org/officeDocument/2006/relationships/hyperlink" Target="http://www.uniformlaws.org/" TargetMode="External"/><Relationship Id="rId949" Type="http://schemas.openxmlformats.org/officeDocument/2006/relationships/hyperlink" Target="http://www.uniformlaws.org/" TargetMode="External"/><Relationship Id="rId78" Type="http://schemas.openxmlformats.org/officeDocument/2006/relationships/hyperlink" Target="https://factfinder.census.gov/faces/nav/jsf/pages/programs.xhtml?program=asgov" TargetMode="External"/><Relationship Id="rId143" Type="http://schemas.openxmlformats.org/officeDocument/2006/relationships/hyperlink" Target="http://stateminder.org/" TargetMode="External"/><Relationship Id="rId350" Type="http://schemas.openxmlformats.org/officeDocument/2006/relationships/hyperlink" Target="http://ukcpr.org/resources/national-welfare-data" TargetMode="External"/><Relationship Id="rId588" Type="http://schemas.openxmlformats.org/officeDocument/2006/relationships/hyperlink" Target="https://doi.org/10.7910/DVN/QSDYLH" TargetMode="External"/><Relationship Id="rId795" Type="http://schemas.openxmlformats.org/officeDocument/2006/relationships/hyperlink" Target="http://www.stateminder.org/" TargetMode="External"/><Relationship Id="rId809" Type="http://schemas.openxmlformats.org/officeDocument/2006/relationships/hyperlink" Target="http://www.uniformlaws.org/" TargetMode="External"/><Relationship Id="rId9" Type="http://schemas.openxmlformats.org/officeDocument/2006/relationships/hyperlink" Target="http://www.census.gov/" TargetMode="External"/><Relationship Id="rId210" Type="http://schemas.openxmlformats.org/officeDocument/2006/relationships/hyperlink" Target="https://doi.org/10.7910/DVN/KMWN7N" TargetMode="External"/><Relationship Id="rId448" Type="http://schemas.openxmlformats.org/officeDocument/2006/relationships/hyperlink" Target="https://doi.org/10.7910/DVN/PQ0Y1N" TargetMode="External"/><Relationship Id="rId655" Type="http://schemas.openxmlformats.org/officeDocument/2006/relationships/hyperlink" Target="https://doi.org/10.7910/DVN/NLDUOY" TargetMode="External"/><Relationship Id="rId862" Type="http://schemas.openxmlformats.org/officeDocument/2006/relationships/hyperlink" Target="https://doi.org/10.7910/DVN/CVYSR7" TargetMode="External"/><Relationship Id="rId294" Type="http://schemas.openxmlformats.org/officeDocument/2006/relationships/hyperlink" Target="http://mercatus.org/sites/default/files/Norcross-Fiscal-Rankings-2-v2_1.pdf" TargetMode="External"/><Relationship Id="rId308" Type="http://schemas.openxmlformats.org/officeDocument/2006/relationships/hyperlink" Target="http://mercatus.org/sites/default/files/Norcross-Fiscal-Rankings-2-v2_1.pdf" TargetMode="External"/><Relationship Id="rId515" Type="http://schemas.openxmlformats.org/officeDocument/2006/relationships/hyperlink" Target="http://americanlegislatures.com/data/" TargetMode="External"/><Relationship Id="rId722" Type="http://schemas.openxmlformats.org/officeDocument/2006/relationships/hyperlink" Target="http://www.uniformlaws.org/" TargetMode="External"/><Relationship Id="rId89" Type="http://schemas.openxmlformats.org/officeDocument/2006/relationships/hyperlink" Target="https://factfinder.census.gov/faces/nav/jsf/pages/programs.xhtml?program=asgov" TargetMode="External"/><Relationship Id="rId154" Type="http://schemas.openxmlformats.org/officeDocument/2006/relationships/hyperlink" Target="https://factfinder.census.gov/faces/nav/jsf/pages/programs.xhtml?program=asgov" TargetMode="External"/><Relationship Id="rId361" Type="http://schemas.openxmlformats.org/officeDocument/2006/relationships/hyperlink" Target="http://ukcpr.org/resources/national-welfare-data" TargetMode="External"/><Relationship Id="rId599" Type="http://schemas.openxmlformats.org/officeDocument/2006/relationships/hyperlink" Target="https://doi.org/10.7910/DVN/QSDYLH" TargetMode="External"/><Relationship Id="rId1005" Type="http://schemas.openxmlformats.org/officeDocument/2006/relationships/hyperlink" Target="http://www.uniformlaws.org/" TargetMode="External"/><Relationship Id="rId459" Type="http://schemas.openxmlformats.org/officeDocument/2006/relationships/hyperlink" Target="https://doi.org/10.7910/DVN/PQ0Y1N" TargetMode="External"/><Relationship Id="rId666" Type="http://schemas.openxmlformats.org/officeDocument/2006/relationships/hyperlink" Target="http://www.followthemoney.org/" TargetMode="External"/><Relationship Id="rId873" Type="http://schemas.openxmlformats.org/officeDocument/2006/relationships/hyperlink" Target="https://doi.org/10.7910/DVN/CVYSR7" TargetMode="External"/><Relationship Id="rId16" Type="http://schemas.openxmlformats.org/officeDocument/2006/relationships/hyperlink" Target="http://stateminder.org/" TargetMode="External"/><Relationship Id="rId221" Type="http://schemas.openxmlformats.org/officeDocument/2006/relationships/hyperlink" Target="http://www.census.gov/govs/state/" TargetMode="External"/><Relationship Id="rId319" Type="http://schemas.openxmlformats.org/officeDocument/2006/relationships/hyperlink" Target="http://www.icpsr.umich.edu/icpsrweb/ICPSR/studies/1124?q=Richard%2BFording&amp;amp;permit%5B0%5D=AVAILABLE" TargetMode="External"/><Relationship Id="rId526" Type="http://schemas.openxmlformats.org/officeDocument/2006/relationships/hyperlink" Target="http://americanlegislatures.com/data/" TargetMode="External"/><Relationship Id="rId733" Type="http://schemas.openxmlformats.org/officeDocument/2006/relationships/hyperlink" Target="http://www.uniformlaws.org/" TargetMode="External"/><Relationship Id="rId940" Type="http://schemas.openxmlformats.org/officeDocument/2006/relationships/hyperlink" Target="http://www.uniformlaws.org/" TargetMode="External"/><Relationship Id="rId165" Type="http://schemas.openxmlformats.org/officeDocument/2006/relationships/hyperlink" Target="http://www.shsu.edu/eco_mwf/inequality.html" TargetMode="External"/><Relationship Id="rId372" Type="http://schemas.openxmlformats.org/officeDocument/2006/relationships/hyperlink" Target="https://www.urban.org/research/publication/state-tax-incentives-economic-development" TargetMode="External"/><Relationship Id="rId677" Type="http://schemas.openxmlformats.org/officeDocument/2006/relationships/hyperlink" Target="http://www.followthemoney.org/" TargetMode="External"/><Relationship Id="rId800" Type="http://schemas.openxmlformats.org/officeDocument/2006/relationships/hyperlink" Target="http://www.stateminder.org/" TargetMode="External"/><Relationship Id="rId232" Type="http://schemas.openxmlformats.org/officeDocument/2006/relationships/hyperlink" Target="https://doi.org/10.7910/DVN/KMWN7N" TargetMode="External"/><Relationship Id="rId884" Type="http://schemas.openxmlformats.org/officeDocument/2006/relationships/hyperlink" Target="http://www.lgbtmap.org/equality-maps/non_discrimination_laws" TargetMode="External"/><Relationship Id="rId27" Type="http://schemas.openxmlformats.org/officeDocument/2006/relationships/hyperlink" Target="http://library.cqpress.com/cqresearcher/index.php" TargetMode="External"/><Relationship Id="rId537" Type="http://schemas.openxmlformats.org/officeDocument/2006/relationships/hyperlink" Target="http://www.cawp.rutgers.edu/" TargetMode="External"/><Relationship Id="rId744" Type="http://schemas.openxmlformats.org/officeDocument/2006/relationships/hyperlink" Target="http://stateminder.org/" TargetMode="External"/><Relationship Id="rId951" Type="http://schemas.openxmlformats.org/officeDocument/2006/relationships/hyperlink" Target="http://www.uniformlaws.org/" TargetMode="External"/><Relationship Id="rId80" Type="http://schemas.openxmlformats.org/officeDocument/2006/relationships/hyperlink" Target="https://factfinder.census.gov/faces/nav/jsf/pages/programs.xhtml?program=asgov" TargetMode="External"/><Relationship Id="rId176" Type="http://schemas.openxmlformats.org/officeDocument/2006/relationships/hyperlink" Target="https://doi.org/10.7910/DVN/KMWN7N" TargetMode="External"/><Relationship Id="rId383" Type="http://schemas.openxmlformats.org/officeDocument/2006/relationships/hyperlink" Target="http://www.uniformlaws.org/" TargetMode="External"/><Relationship Id="rId590" Type="http://schemas.openxmlformats.org/officeDocument/2006/relationships/hyperlink" Target="https://doi.org/10.7910/DVN/QSDYLH" TargetMode="External"/><Relationship Id="rId604" Type="http://schemas.openxmlformats.org/officeDocument/2006/relationships/hyperlink" Target="https://doi.org/10.7910/DVN/QSDYLH" TargetMode="External"/><Relationship Id="rId811" Type="http://schemas.openxmlformats.org/officeDocument/2006/relationships/hyperlink" Target="http://www.uniformlaws.org/" TargetMode="External"/><Relationship Id="rId243" Type="http://schemas.openxmlformats.org/officeDocument/2006/relationships/hyperlink" Target="https://doi.org/10.7910/DVN/KMWN7N" TargetMode="External"/><Relationship Id="rId450" Type="http://schemas.openxmlformats.org/officeDocument/2006/relationships/hyperlink" Target="https://doi.org/10.7910/DVN/PQ0Y1N" TargetMode="External"/><Relationship Id="rId688" Type="http://schemas.openxmlformats.org/officeDocument/2006/relationships/hyperlink" Target="http://www.followthemoney.org/" TargetMode="External"/><Relationship Id="rId895" Type="http://schemas.openxmlformats.org/officeDocument/2006/relationships/hyperlink" Target="https://www.eia.gov/state/seds/seds-data-complete.php?sid=US" TargetMode="External"/><Relationship Id="rId909" Type="http://schemas.openxmlformats.org/officeDocument/2006/relationships/hyperlink" Target="http://www.statepolicyindex.com/wp-content/uploads/2019/06/b_guns_17_metadata_carry_indices.txt" TargetMode="External"/><Relationship Id="rId38" Type="http://schemas.openxmlformats.org/officeDocument/2006/relationships/hyperlink" Target="http://stateminder.org/" TargetMode="External"/><Relationship Id="rId103" Type="http://schemas.openxmlformats.org/officeDocument/2006/relationships/hyperlink" Target="https://factfinder.census.gov/faces/nav/jsf/pages/programs.xhtml?program=asgov" TargetMode="External"/><Relationship Id="rId310" Type="http://schemas.openxmlformats.org/officeDocument/2006/relationships/hyperlink" Target="http://mercatus.org/sites/default/files/Norcross-Fiscal-Rankings-2-v2_1.pdf" TargetMode="External"/><Relationship Id="rId548" Type="http://schemas.openxmlformats.org/officeDocument/2006/relationships/hyperlink" Target="http://freedominthe50states.org/about" TargetMode="External"/><Relationship Id="rId755" Type="http://schemas.openxmlformats.org/officeDocument/2006/relationships/hyperlink" Target="https://www.ucrdatatool.gov/Search/Crime/State/TrendsInOneVar.cfm" TargetMode="External"/><Relationship Id="rId962" Type="http://schemas.openxmlformats.org/officeDocument/2006/relationships/hyperlink" Target="http://www.uniformlaws.org/" TargetMode="External"/><Relationship Id="rId91" Type="http://schemas.openxmlformats.org/officeDocument/2006/relationships/hyperlink" Target="https://factfinder.census.gov/faces/nav/jsf/pages/programs.xhtml?program=asgov" TargetMode="External"/><Relationship Id="rId187" Type="http://schemas.openxmlformats.org/officeDocument/2006/relationships/hyperlink" Target="https://factfinder.census.gov/faces/nav/jsf/pages/programs.xhtml?program=asgov" TargetMode="External"/><Relationship Id="rId394" Type="http://schemas.openxmlformats.org/officeDocument/2006/relationships/hyperlink" Target="https://doi.org/10.7910/DVN/PQ0Y1N" TargetMode="External"/><Relationship Id="rId408" Type="http://schemas.openxmlformats.org/officeDocument/2006/relationships/hyperlink" Target="https://doi.org/10.7910/DVN/PQ0Y1N" TargetMode="External"/><Relationship Id="rId615" Type="http://schemas.openxmlformats.org/officeDocument/2006/relationships/hyperlink" Target="https://doi.org/10.7910/DVN/QSDYLH" TargetMode="External"/><Relationship Id="rId822" Type="http://schemas.openxmlformats.org/officeDocument/2006/relationships/hyperlink" Target="https://www.kff.org/private-insurance/state-indicator/rate-by-gender-2/?currentTimeframe=0&amp;amp;sortModel=%7B%22colId%22%3A%22Location%22%2C%22sort%22%3A%22asc%22%7D" TargetMode="External"/><Relationship Id="rId254" Type="http://schemas.openxmlformats.org/officeDocument/2006/relationships/hyperlink" Target="http://www.census.gov/govs/state/" TargetMode="External"/><Relationship Id="rId699" Type="http://schemas.openxmlformats.org/officeDocument/2006/relationships/hyperlink" Target="http://www.uniformlaws.org/" TargetMode="External"/><Relationship Id="rId49" Type="http://schemas.openxmlformats.org/officeDocument/2006/relationships/hyperlink" Target="https://www.census.gov/acs/www/data/data-tables-and-tools/american-factfinder/" TargetMode="External"/><Relationship Id="rId114" Type="http://schemas.openxmlformats.org/officeDocument/2006/relationships/hyperlink" Target="https://factfinder.census.gov/faces/nav/jsf/pages/programs.xhtml?program=asgov" TargetMode="External"/><Relationship Id="rId461" Type="http://schemas.openxmlformats.org/officeDocument/2006/relationships/hyperlink" Target="https://doi.org/10.7910/DVN/PQ0Y1N" TargetMode="External"/><Relationship Id="rId559" Type="http://schemas.openxmlformats.org/officeDocument/2006/relationships/hyperlink" Target="http://freedominthe50states.org/about" TargetMode="External"/><Relationship Id="rId766" Type="http://schemas.openxmlformats.org/officeDocument/2006/relationships/hyperlink" Target="http://www.uniformlaws.org/" TargetMode="External"/><Relationship Id="rId198" Type="http://schemas.openxmlformats.org/officeDocument/2006/relationships/hyperlink" Target="https://doi.org/10.7910/DVN/KMWN7N" TargetMode="External"/><Relationship Id="rId321" Type="http://schemas.openxmlformats.org/officeDocument/2006/relationships/hyperlink" Target="http://www.bea.gov/regional/downloadzip.cfm" TargetMode="External"/><Relationship Id="rId419" Type="http://schemas.openxmlformats.org/officeDocument/2006/relationships/hyperlink" Target="https://doi.org/10.7910/DVN/PQ0Y1N" TargetMode="External"/><Relationship Id="rId626" Type="http://schemas.openxmlformats.org/officeDocument/2006/relationships/hyperlink" Target="https://doi.org/10.7910/DVN/QSDYLH" TargetMode="External"/><Relationship Id="rId973" Type="http://schemas.openxmlformats.org/officeDocument/2006/relationships/hyperlink" Target="http://www.uniformlaws.org/" TargetMode="External"/><Relationship Id="rId833" Type="http://schemas.openxmlformats.org/officeDocument/2006/relationships/hyperlink" Target="https://www.kff.org/uninsured/state-indicator/rate-by-gender/?currentTimeframe=0&amp;amp;sortModel=%7B%22colId%22%3A%22Location%22%2C%22sort%22%3A%22asc%22%7D" TargetMode="External"/><Relationship Id="rId265" Type="http://schemas.openxmlformats.org/officeDocument/2006/relationships/hyperlink" Target="https://doi.org/10.7910/DVN/KMWN7N" TargetMode="External"/><Relationship Id="rId472" Type="http://schemas.openxmlformats.org/officeDocument/2006/relationships/hyperlink" Target="https://knowledgecenter.csg.org/kc/category/content-type/content-type/book-states" TargetMode="External"/><Relationship Id="rId900" Type="http://schemas.openxmlformats.org/officeDocument/2006/relationships/hyperlink" Target="http://aceee.org/research-report/u1710" TargetMode="External"/><Relationship Id="rId125" Type="http://schemas.openxmlformats.org/officeDocument/2006/relationships/hyperlink" Target="http://www.census.gov/topics/income-poverty/income.html" TargetMode="External"/><Relationship Id="rId332" Type="http://schemas.openxmlformats.org/officeDocument/2006/relationships/hyperlink" Target="https://www.justice.gov/ust/bankruptcy-data-statistics" TargetMode="External"/><Relationship Id="rId777" Type="http://schemas.openxmlformats.org/officeDocument/2006/relationships/hyperlink" Target="http://www.uniformlaws.org/" TargetMode="External"/><Relationship Id="rId984" Type="http://schemas.openxmlformats.org/officeDocument/2006/relationships/hyperlink" Target="http://www.uniformlaws.org/" TargetMode="External"/><Relationship Id="rId637" Type="http://schemas.openxmlformats.org/officeDocument/2006/relationships/hyperlink" Target="https://doi.org/10.7910/DVN/QSDYLH" TargetMode="External"/><Relationship Id="rId844" Type="http://schemas.openxmlformats.org/officeDocument/2006/relationships/hyperlink" Target="http://www.cms.gov/NationalHealthExpendData/downloads/resident-state-" TargetMode="External"/><Relationship Id="rId276" Type="http://schemas.openxmlformats.org/officeDocument/2006/relationships/hyperlink" Target="https://factfinder.census.gov/faces/nav/jsf/pages/programs.xhtml?program=asgov" TargetMode="External"/><Relationship Id="rId483" Type="http://schemas.openxmlformats.org/officeDocument/2006/relationships/hyperlink" Target="https://knowledgecenter.csg.org/kc/category/content-type/content-type/book-states" TargetMode="External"/><Relationship Id="rId690" Type="http://schemas.openxmlformats.org/officeDocument/2006/relationships/hyperlink" Target="https://cces.gov.harvard.edu/" TargetMode="External"/><Relationship Id="rId704" Type="http://schemas.openxmlformats.org/officeDocument/2006/relationships/hyperlink" Target="http://www.uniformlaws.org/" TargetMode="External"/><Relationship Id="rId911" Type="http://schemas.openxmlformats.org/officeDocument/2006/relationships/hyperlink" Target="http://www.uniformlaws.org/" TargetMode="External"/><Relationship Id="rId40" Type="http://schemas.openxmlformats.org/officeDocument/2006/relationships/hyperlink" Target="https://www.census.gov/acs/www/data/data-tables-and-tools/american-factfinder/" TargetMode="External"/><Relationship Id="rId136" Type="http://schemas.openxmlformats.org/officeDocument/2006/relationships/hyperlink" Target="https://factfinder.census.gov/faces/nav/jsf/pages/programs.xhtml?program=asgov" TargetMode="External"/><Relationship Id="rId343" Type="http://schemas.openxmlformats.org/officeDocument/2006/relationships/hyperlink" Target="http://ukcpr.org/resources/national-welfare-data" TargetMode="External"/><Relationship Id="rId550" Type="http://schemas.openxmlformats.org/officeDocument/2006/relationships/hyperlink" Target="http://freedominthe50states.org/about" TargetMode="External"/><Relationship Id="rId788" Type="http://schemas.openxmlformats.org/officeDocument/2006/relationships/hyperlink" Target="https://nces.ed.gov/ccd/elsi/" TargetMode="External"/><Relationship Id="rId995" Type="http://schemas.openxmlformats.org/officeDocument/2006/relationships/hyperlink" Target="http://www.uniformlaws.org/" TargetMode="External"/><Relationship Id="rId203" Type="http://schemas.openxmlformats.org/officeDocument/2006/relationships/hyperlink" Target="https://doi.org/10.7910/DVN/KMWN7N" TargetMode="External"/><Relationship Id="rId648" Type="http://schemas.openxmlformats.org/officeDocument/2006/relationships/hyperlink" Target="https://doi.org/10.7910/DVN/QSDYLH" TargetMode="External"/><Relationship Id="rId855" Type="http://schemas.openxmlformats.org/officeDocument/2006/relationships/hyperlink" Target="https://doi.org/10.7910/DVN/CVYSR7" TargetMode="External"/><Relationship Id="rId287" Type="http://schemas.openxmlformats.org/officeDocument/2006/relationships/hyperlink" Target="http://mercatus.org/sites/default/files/Norcross-Fiscal-Rankings-2-v2_1.pdf" TargetMode="External"/><Relationship Id="rId410" Type="http://schemas.openxmlformats.org/officeDocument/2006/relationships/hyperlink" Target="https://doi.org/10.7910/DVN/PQ0Y1N" TargetMode="External"/><Relationship Id="rId494" Type="http://schemas.openxmlformats.org/officeDocument/2006/relationships/hyperlink" Target="https://doi.org/10.7910/DVN/LZHMG3" TargetMode="External"/><Relationship Id="rId508" Type="http://schemas.openxmlformats.org/officeDocument/2006/relationships/hyperlink" Target="http://americanlegislatures.com/data/" TargetMode="External"/><Relationship Id="rId715" Type="http://schemas.openxmlformats.org/officeDocument/2006/relationships/hyperlink" Target="http://www.uniformlaws.org/" TargetMode="External"/><Relationship Id="rId922" Type="http://schemas.openxmlformats.org/officeDocument/2006/relationships/hyperlink" Target="http://www.uniformlaws.org/" TargetMode="External"/><Relationship Id="rId147" Type="http://schemas.openxmlformats.org/officeDocument/2006/relationships/hyperlink" Target="https://factfinder.census.gov/faces/nav/jsf/pages/programs.xhtml?program=asgov" TargetMode="External"/><Relationship Id="rId354" Type="http://schemas.openxmlformats.org/officeDocument/2006/relationships/hyperlink" Target="http://ukcpr.org/resources/national-welfare-data" TargetMode="External"/><Relationship Id="rId799" Type="http://schemas.openxmlformats.org/officeDocument/2006/relationships/hyperlink" Target="http://www.stateminder.org/" TargetMode="External"/><Relationship Id="rId51" Type="http://schemas.openxmlformats.org/officeDocument/2006/relationships/hyperlink" Target="https://www.census.gov/acs/www/data/data-tables-and-tools/american-factfinder/" TargetMode="External"/><Relationship Id="rId561" Type="http://schemas.openxmlformats.org/officeDocument/2006/relationships/hyperlink" Target="http://freedominthe50states.org/about" TargetMode="External"/><Relationship Id="rId659" Type="http://schemas.openxmlformats.org/officeDocument/2006/relationships/hyperlink" Target="https://doi.org/10.7910/DVN/NLDUOY" TargetMode="External"/><Relationship Id="rId866" Type="http://schemas.openxmlformats.org/officeDocument/2006/relationships/hyperlink" Target="https://doi.org/10.7910/DVN/CVYSR7" TargetMode="External"/><Relationship Id="rId214" Type="http://schemas.openxmlformats.org/officeDocument/2006/relationships/hyperlink" Target="https://doi.org/10.7910/DVN/KMWN7N" TargetMode="External"/><Relationship Id="rId298" Type="http://schemas.openxmlformats.org/officeDocument/2006/relationships/hyperlink" Target="http://mercatus.org/sites/default/files/Norcross-Fiscal-Rankings-2-v2_1.pdf" TargetMode="External"/><Relationship Id="rId421" Type="http://schemas.openxmlformats.org/officeDocument/2006/relationships/hyperlink" Target="https://doi.org/10.7910/DVN/PQ0Y1N" TargetMode="External"/><Relationship Id="rId519" Type="http://schemas.openxmlformats.org/officeDocument/2006/relationships/hyperlink" Target="http://americanlegislatures.com/data/" TargetMode="External"/><Relationship Id="rId158" Type="http://schemas.openxmlformats.org/officeDocument/2006/relationships/hyperlink" Target="http://stateminder.org/" TargetMode="External"/><Relationship Id="rId726" Type="http://schemas.openxmlformats.org/officeDocument/2006/relationships/hyperlink" Target="http://www.uniformlaws.org/" TargetMode="External"/><Relationship Id="rId933" Type="http://schemas.openxmlformats.org/officeDocument/2006/relationships/hyperlink" Target="http://www.uniformlaws.org/" TargetMode="External"/><Relationship Id="rId1009" Type="http://schemas.openxmlformats.org/officeDocument/2006/relationships/hyperlink" Target="http://www.uniformlaws.org/" TargetMode="External"/><Relationship Id="rId62" Type="http://schemas.openxmlformats.org/officeDocument/2006/relationships/hyperlink" Target="http://www.cdc.gov/nchs/data_access/vitalstatsonline.htm" TargetMode="External"/><Relationship Id="rId365" Type="http://schemas.openxmlformats.org/officeDocument/2006/relationships/hyperlink" Target="https://www.urban.org/research/publication/state-tax-incentives-economic-development" TargetMode="External"/><Relationship Id="rId572" Type="http://schemas.openxmlformats.org/officeDocument/2006/relationships/hyperlink" Target="http://www.electproject.org/" TargetMode="External"/><Relationship Id="rId225" Type="http://schemas.openxmlformats.org/officeDocument/2006/relationships/hyperlink" Target="https://doi.org/10.7910/DVN/KMWN7N" TargetMode="External"/><Relationship Id="rId432" Type="http://schemas.openxmlformats.org/officeDocument/2006/relationships/hyperlink" Target="https://doi.org/10.7910/DVN/PQ0Y1N" TargetMode="External"/><Relationship Id="rId877" Type="http://schemas.openxmlformats.org/officeDocument/2006/relationships/hyperlink" Target="http://www.guttmacher.org/statecenter/spibs/spib_OAL.pdf" TargetMode="External"/><Relationship Id="rId737" Type="http://schemas.openxmlformats.org/officeDocument/2006/relationships/hyperlink" Target="https://www.ucrdatatool.gov/Search/Crime/State/TrendsInOneVar.cfm" TargetMode="External"/><Relationship Id="rId944" Type="http://schemas.openxmlformats.org/officeDocument/2006/relationships/hyperlink" Target="http://www.uniformlaws.org/" TargetMode="External"/><Relationship Id="rId73" Type="http://schemas.openxmlformats.org/officeDocument/2006/relationships/hyperlink" Target="http://www.bizjournals.com/bizjournals/on-numbers/scott-thomas/2012/06/californias-population-passes-38.html?appSession=10897383915145&amp;amp;RecordID&amp;amp;PageID=2&amp;amp;PrevPageID&amp;amp;cpipage=3&amp;amp;CPISortType&amp;amp;CPIorderBy" TargetMode="External"/><Relationship Id="rId169" Type="http://schemas.openxmlformats.org/officeDocument/2006/relationships/hyperlink" Target="http://www.shsu.edu/eco_mwf/inequality.html" TargetMode="External"/><Relationship Id="rId376" Type="http://schemas.openxmlformats.org/officeDocument/2006/relationships/hyperlink" Target="https://www.urban.org/research/publication/state-tax-incentives-economic-development" TargetMode="External"/><Relationship Id="rId583" Type="http://schemas.openxmlformats.org/officeDocument/2006/relationships/hyperlink" Target="https://doi.org/10.7910/DVN/QSDYLH" TargetMode="External"/><Relationship Id="rId790" Type="http://schemas.openxmlformats.org/officeDocument/2006/relationships/hyperlink" Target="https://nces.ed.gov/ccd/elsi/" TargetMode="External"/><Relationship Id="rId804" Type="http://schemas.openxmlformats.org/officeDocument/2006/relationships/hyperlink" Target="http://www.stateminder.org/" TargetMode="External"/><Relationship Id="rId4" Type="http://schemas.openxmlformats.org/officeDocument/2006/relationships/webSettings" Target="webSettings.xml"/><Relationship Id="rId236" Type="http://schemas.openxmlformats.org/officeDocument/2006/relationships/hyperlink" Target="https://doi.org/10.7910/DVN/KMWN7N" TargetMode="External"/><Relationship Id="rId443" Type="http://schemas.openxmlformats.org/officeDocument/2006/relationships/hyperlink" Target="http://www.guide2womenleaders.com/Governors1920.htm" TargetMode="External"/><Relationship Id="rId650" Type="http://schemas.openxmlformats.org/officeDocument/2006/relationships/hyperlink" Target="https://doi.org/10.7910/DVN/QSDYLH" TargetMode="External"/><Relationship Id="rId888" Type="http://schemas.openxmlformats.org/officeDocument/2006/relationships/hyperlink" Target="http://www.uniformlaws.org/" TargetMode="External"/><Relationship Id="rId303" Type="http://schemas.openxmlformats.org/officeDocument/2006/relationships/hyperlink" Target="http://mercatus.org/sites/default/files/Norcross-Fiscal-Rankings-2-v2_1.pdf" TargetMode="External"/><Relationship Id="rId748" Type="http://schemas.openxmlformats.org/officeDocument/2006/relationships/hyperlink" Target="http://stateminder.org/" TargetMode="External"/><Relationship Id="rId955" Type="http://schemas.openxmlformats.org/officeDocument/2006/relationships/hyperlink" Target="http://www.uniformlaws.org/" TargetMode="External"/><Relationship Id="rId84" Type="http://schemas.openxmlformats.org/officeDocument/2006/relationships/hyperlink" Target="https://factfinder.census.gov/faces/nav/jsf/pages/programs.xhtml?program=asgov" TargetMode="External"/><Relationship Id="rId387" Type="http://schemas.openxmlformats.org/officeDocument/2006/relationships/hyperlink" Target="http://www.uniformlaws.org/" TargetMode="External"/><Relationship Id="rId510" Type="http://schemas.openxmlformats.org/officeDocument/2006/relationships/hyperlink" Target="http://americanlegislatures.com/data/" TargetMode="External"/><Relationship Id="rId594" Type="http://schemas.openxmlformats.org/officeDocument/2006/relationships/hyperlink" Target="https://doi.org/10.7910/DVN/QSDYLH" TargetMode="External"/><Relationship Id="rId608" Type="http://schemas.openxmlformats.org/officeDocument/2006/relationships/hyperlink" Target="https://doi.org/10.7910/DVN/QSDYLH" TargetMode="External"/><Relationship Id="rId815" Type="http://schemas.openxmlformats.org/officeDocument/2006/relationships/hyperlink" Target="http://www.uniformlaws.org/" TargetMode="External"/><Relationship Id="rId247" Type="http://schemas.openxmlformats.org/officeDocument/2006/relationships/hyperlink" Target="https://doi.org/10.7910/DVN/KMWN7N" TargetMode="External"/><Relationship Id="rId899" Type="http://schemas.openxmlformats.org/officeDocument/2006/relationships/hyperlink" Target="https://www.eia.gov/environment/emissions/state/analysis/" TargetMode="External"/><Relationship Id="rId1000" Type="http://schemas.openxmlformats.org/officeDocument/2006/relationships/hyperlink" Target="http://www.uniformlaws.org/" TargetMode="External"/><Relationship Id="rId107" Type="http://schemas.openxmlformats.org/officeDocument/2006/relationships/hyperlink" Target="https://factfinder.census.gov/faces/nav/jsf/pages/programs.xhtml?program=asgov" TargetMode="External"/><Relationship Id="rId454" Type="http://schemas.openxmlformats.org/officeDocument/2006/relationships/hyperlink" Target="https://doi.org/10.7910/DVN/PQ0Y1N" TargetMode="External"/><Relationship Id="rId661" Type="http://schemas.openxmlformats.org/officeDocument/2006/relationships/hyperlink" Target="http://www.followthemoney.org/" TargetMode="External"/><Relationship Id="rId759" Type="http://schemas.openxmlformats.org/officeDocument/2006/relationships/hyperlink" Target="http://www.fbi.gov/file-repository/nics_firearm_checks_-" TargetMode="External"/><Relationship Id="rId966" Type="http://schemas.openxmlformats.org/officeDocument/2006/relationships/hyperlink" Target="http://www.uniformlaws.org/" TargetMode="External"/><Relationship Id="rId11" Type="http://schemas.openxmlformats.org/officeDocument/2006/relationships/hyperlink" Target="https://www.census.gov/acs/www/data/data-tables-and-tools/american-factfinder/" TargetMode="External"/><Relationship Id="rId314" Type="http://schemas.openxmlformats.org/officeDocument/2006/relationships/hyperlink" Target="http://mercatus.org/sites/default/files/Norcross-Fiscal-Rankings-2-v2_1.pdf" TargetMode="External"/><Relationship Id="rId398" Type="http://schemas.openxmlformats.org/officeDocument/2006/relationships/hyperlink" Target="https://doi.org/10.7910/DVN/PQ0Y1N" TargetMode="External"/><Relationship Id="rId521" Type="http://schemas.openxmlformats.org/officeDocument/2006/relationships/hyperlink" Target="http://americanlegislatures.com/data/" TargetMode="External"/><Relationship Id="rId619" Type="http://schemas.openxmlformats.org/officeDocument/2006/relationships/hyperlink" Target="https://doi.org/10.7910/DVN/QSDYLH" TargetMode="External"/><Relationship Id="rId95" Type="http://schemas.openxmlformats.org/officeDocument/2006/relationships/hyperlink" Target="https://factfinder.census.gov/faces/nav/jsf/pages/programs.xhtml?program=asgov" TargetMode="External"/><Relationship Id="rId160" Type="http://schemas.openxmlformats.org/officeDocument/2006/relationships/hyperlink" Target="http://www.ers.usda.gov/data-products/farm-income-and-wealth-statistics.aspx" TargetMode="External"/><Relationship Id="rId826" Type="http://schemas.openxmlformats.org/officeDocument/2006/relationships/hyperlink" Target="https://www.kff.org/private-insurance/state-indicator/rate-by-gender-2/?currentTimeframe=0&amp;amp;sortModel=%7B%22colId%22%3A%22Location%22%2C%22sort%22%3A%22asc%22%7D" TargetMode="External"/><Relationship Id="rId1011" Type="http://schemas.openxmlformats.org/officeDocument/2006/relationships/hyperlink" Target="http://www.uniformlaws.org/" TargetMode="External"/><Relationship Id="rId258" Type="http://schemas.openxmlformats.org/officeDocument/2006/relationships/hyperlink" Target="https://doi.org/10.7910/DVN/KMWN7N" TargetMode="External"/><Relationship Id="rId465" Type="http://schemas.openxmlformats.org/officeDocument/2006/relationships/hyperlink" Target="https://doi.org/10.7910/DVN/PQ0Y1N" TargetMode="External"/><Relationship Id="rId672" Type="http://schemas.openxmlformats.org/officeDocument/2006/relationships/hyperlink" Target="http://www.followthemoney.org/" TargetMode="External"/><Relationship Id="rId22" Type="http://schemas.openxmlformats.org/officeDocument/2006/relationships/hyperlink" Target="https://www.census.gov/acs/www/data/data-tables-and-tools/american-factfinder/" TargetMode="External"/><Relationship Id="rId118" Type="http://schemas.openxmlformats.org/officeDocument/2006/relationships/hyperlink" Target="https://factfinder.census.gov/faces/nav/jsf/pages/programs.xhtml?program=asgov" TargetMode="External"/><Relationship Id="rId325" Type="http://schemas.openxmlformats.org/officeDocument/2006/relationships/hyperlink" Target="http://www.bea.gov/iTable/iTable.cfm?ReqID=70&amp;amp;step=1%23reqid%3D70&amp;amp;step=1&amp;amp;isuri=1" TargetMode="External"/><Relationship Id="rId532" Type="http://schemas.openxmlformats.org/officeDocument/2006/relationships/hyperlink" Target="http://www.ncsl.org/research/about-state-legislatures/latino-legislators.aspx" TargetMode="External"/><Relationship Id="rId977" Type="http://schemas.openxmlformats.org/officeDocument/2006/relationships/hyperlink" Target="http://www.uniformlaws.org/" TargetMode="External"/><Relationship Id="rId171" Type="http://schemas.openxmlformats.org/officeDocument/2006/relationships/hyperlink" Target="http://www.shsu.edu/eco_mwf/inequality.html" TargetMode="External"/><Relationship Id="rId837" Type="http://schemas.openxmlformats.org/officeDocument/2006/relationships/hyperlink" Target="https://www.kff.org/medicaid/state-indicator/rate-by-gender-3/?currentTimeframe=0&amp;amp;sortModel=%7B%22colId%22%3A%22Location%22%2C%22sort%22%3A%22asc%22%7D" TargetMode="External"/><Relationship Id="rId269" Type="http://schemas.openxmlformats.org/officeDocument/2006/relationships/hyperlink" Target="https://factfinder.census.gov/faces/nav/jsf/pages/programs.xhtml?program=asgov" TargetMode="External"/><Relationship Id="rId476" Type="http://schemas.openxmlformats.org/officeDocument/2006/relationships/hyperlink" Target="https://doi.org/10.7910/DVN/LZHMG3" TargetMode="External"/><Relationship Id="rId683" Type="http://schemas.openxmlformats.org/officeDocument/2006/relationships/hyperlink" Target="http://www.followthemoney.org/" TargetMode="External"/><Relationship Id="rId890" Type="http://schemas.openxmlformats.org/officeDocument/2006/relationships/hyperlink" Target="http://www.uniformlaws.org/" TargetMode="External"/><Relationship Id="rId904" Type="http://schemas.openxmlformats.org/officeDocument/2006/relationships/hyperlink" Target="https://taxfoundation.org/2019-state-cigarette-tax-rankings/" TargetMode="External"/><Relationship Id="rId33" Type="http://schemas.openxmlformats.org/officeDocument/2006/relationships/hyperlink" Target="http://library.cqpress.com/cqresearcher/index.php" TargetMode="External"/><Relationship Id="rId129" Type="http://schemas.openxmlformats.org/officeDocument/2006/relationships/hyperlink" Target="https://factfinder.census.gov/faces/nav/jsf/pages/programs.xhtml?program=asgov" TargetMode="External"/><Relationship Id="rId336" Type="http://schemas.openxmlformats.org/officeDocument/2006/relationships/hyperlink" Target="http://stateminder.org/" TargetMode="External"/><Relationship Id="rId543" Type="http://schemas.openxmlformats.org/officeDocument/2006/relationships/hyperlink" Target="http://freedominthe50states.org/about" TargetMode="External"/><Relationship Id="rId988" Type="http://schemas.openxmlformats.org/officeDocument/2006/relationships/hyperlink" Target="http://www.uniformlaws.org/" TargetMode="External"/><Relationship Id="rId182" Type="http://schemas.openxmlformats.org/officeDocument/2006/relationships/hyperlink" Target="https://doi.org/10.7910/DVN/KMWN7N" TargetMode="External"/><Relationship Id="rId403" Type="http://schemas.openxmlformats.org/officeDocument/2006/relationships/hyperlink" Target="https://doi.org/10.7910/DVN/PQ0Y1N" TargetMode="External"/><Relationship Id="rId750" Type="http://schemas.openxmlformats.org/officeDocument/2006/relationships/hyperlink" Target="http://stateminder.org/" TargetMode="External"/><Relationship Id="rId848" Type="http://schemas.openxmlformats.org/officeDocument/2006/relationships/hyperlink" Target="http://ukcpr.org/resources/national-welfare-data" TargetMode="External"/><Relationship Id="rId487" Type="http://schemas.openxmlformats.org/officeDocument/2006/relationships/hyperlink" Target="https://doi.org/10.7910/DVN/LZHMG3" TargetMode="External"/><Relationship Id="rId610" Type="http://schemas.openxmlformats.org/officeDocument/2006/relationships/hyperlink" Target="https://doi.org/10.7910/DVN/QSDYLH" TargetMode="External"/><Relationship Id="rId694" Type="http://schemas.openxmlformats.org/officeDocument/2006/relationships/hyperlink" Target="http://php.indiana.edu/%7Ewright1/" TargetMode="External"/><Relationship Id="rId708" Type="http://schemas.openxmlformats.org/officeDocument/2006/relationships/hyperlink" Target="http://www.uniformlaws.org/" TargetMode="External"/><Relationship Id="rId915" Type="http://schemas.openxmlformats.org/officeDocument/2006/relationships/hyperlink" Target="http://www.uniformlaws.org/" TargetMode="External"/><Relationship Id="rId347" Type="http://schemas.openxmlformats.org/officeDocument/2006/relationships/hyperlink" Target="http://ukcpr.org/resources/national-welfare-data" TargetMode="External"/><Relationship Id="rId999" Type="http://schemas.openxmlformats.org/officeDocument/2006/relationships/hyperlink" Target="http://www.uniformlaws.org/" TargetMode="External"/><Relationship Id="rId44" Type="http://schemas.openxmlformats.org/officeDocument/2006/relationships/hyperlink" Target="https://www.census.gov/acs/www/data/data-tables-and-tools/american-factfinder/" TargetMode="External"/><Relationship Id="rId554" Type="http://schemas.openxmlformats.org/officeDocument/2006/relationships/hyperlink" Target="http://freedominthe50states.org/about" TargetMode="External"/><Relationship Id="rId761" Type="http://schemas.openxmlformats.org/officeDocument/2006/relationships/hyperlink" Target="http://stateminder.org/" TargetMode="External"/><Relationship Id="rId859" Type="http://schemas.openxmlformats.org/officeDocument/2006/relationships/hyperlink" Target="https://doi.org/10.7910/DVN/CVYSR7" TargetMode="External"/><Relationship Id="rId193" Type="http://schemas.openxmlformats.org/officeDocument/2006/relationships/hyperlink" Target="https://factfinder.census.gov/faces/nav/jsf/pages/programs.xhtml?program=asgov" TargetMode="External"/><Relationship Id="rId207" Type="http://schemas.openxmlformats.org/officeDocument/2006/relationships/hyperlink" Target="https://doi.org/10.7910/DVN/KMWN7N" TargetMode="External"/><Relationship Id="rId414" Type="http://schemas.openxmlformats.org/officeDocument/2006/relationships/hyperlink" Target="https://doi.org/10.7910/DVN/PQ0Y1N" TargetMode="External"/><Relationship Id="rId498" Type="http://schemas.openxmlformats.org/officeDocument/2006/relationships/hyperlink" Target="https://doi.org/10.7910/DVN/LZHMG3" TargetMode="External"/><Relationship Id="rId621" Type="http://schemas.openxmlformats.org/officeDocument/2006/relationships/hyperlink" Target="https://doi.org/10.7910/DVN/QSDYLH" TargetMode="External"/><Relationship Id="rId260" Type="http://schemas.openxmlformats.org/officeDocument/2006/relationships/hyperlink" Target="http://www.census.gov/govs/state/" TargetMode="External"/><Relationship Id="rId719" Type="http://schemas.openxmlformats.org/officeDocument/2006/relationships/hyperlink" Target="http://www.uniformlaws.org/" TargetMode="External"/><Relationship Id="rId926" Type="http://schemas.openxmlformats.org/officeDocument/2006/relationships/hyperlink" Target="http://www.uniformlaws.org/" TargetMode="External"/><Relationship Id="rId55" Type="http://schemas.openxmlformats.org/officeDocument/2006/relationships/hyperlink" Target="https://www.census.gov/acs/www/data/data-tables-and-tools/american-factfinder/" TargetMode="External"/><Relationship Id="rId120" Type="http://schemas.openxmlformats.org/officeDocument/2006/relationships/hyperlink" Target="https://factfinder.census.gov/faces/nav/jsf/pages/programs.xhtml?program=asgov" TargetMode="External"/><Relationship Id="rId358" Type="http://schemas.openxmlformats.org/officeDocument/2006/relationships/hyperlink" Target="http://ukcpr.org/resources/national-welfare-data" TargetMode="External"/><Relationship Id="rId565" Type="http://schemas.openxmlformats.org/officeDocument/2006/relationships/hyperlink" Target="http://freedominthe50states.org/about" TargetMode="External"/><Relationship Id="rId772" Type="http://schemas.openxmlformats.org/officeDocument/2006/relationships/hyperlink" Target="http://www.uniformlaws.org/" TargetMode="External"/><Relationship Id="rId218" Type="http://schemas.openxmlformats.org/officeDocument/2006/relationships/hyperlink" Target="https://doi.org/10.7910/DVN/KMWN7N" TargetMode="External"/><Relationship Id="rId425" Type="http://schemas.openxmlformats.org/officeDocument/2006/relationships/hyperlink" Target="https://doi.org/10.7910/DVN/PQ0Y1N" TargetMode="External"/><Relationship Id="rId632" Type="http://schemas.openxmlformats.org/officeDocument/2006/relationships/hyperlink" Target="https://doi.org/10.7910/DVN/QSDYLH" TargetMode="External"/><Relationship Id="rId271" Type="http://schemas.openxmlformats.org/officeDocument/2006/relationships/hyperlink" Target="https://doi.org/10.7910/DVN/KMWN7N" TargetMode="External"/><Relationship Id="rId937" Type="http://schemas.openxmlformats.org/officeDocument/2006/relationships/hyperlink" Target="http://www.uniformlaws.org/" TargetMode="External"/><Relationship Id="rId66" Type="http://schemas.openxmlformats.org/officeDocument/2006/relationships/hyperlink" Target="https://www.dhs.gov/publication/yearbook-immigration-statistics-2011-legal-permanent-residents" TargetMode="External"/><Relationship Id="rId131" Type="http://schemas.openxmlformats.org/officeDocument/2006/relationships/hyperlink" Target="https://factfinder.census.gov/faces/nav/jsf/pages/programs.xhtml?program=asgov" TargetMode="External"/><Relationship Id="rId369" Type="http://schemas.openxmlformats.org/officeDocument/2006/relationships/hyperlink" Target="https://www.urban.org/research/publication/state-tax-incentives-economic-development" TargetMode="External"/><Relationship Id="rId576" Type="http://schemas.openxmlformats.org/officeDocument/2006/relationships/hyperlink" Target="http://www.electproject.org/" TargetMode="External"/><Relationship Id="rId783" Type="http://schemas.openxmlformats.org/officeDocument/2006/relationships/hyperlink" Target="http://www.uniformlaws.org/" TargetMode="External"/><Relationship Id="rId990" Type="http://schemas.openxmlformats.org/officeDocument/2006/relationships/hyperlink" Target="http://www.uniformlaws.org/" TargetMode="External"/><Relationship Id="rId229" Type="http://schemas.openxmlformats.org/officeDocument/2006/relationships/hyperlink" Target="https://doi.org/10.7910/DVN/KMWN7N" TargetMode="External"/><Relationship Id="rId436" Type="http://schemas.openxmlformats.org/officeDocument/2006/relationships/hyperlink" Target="https://doi.org/10.7910/DVN/PQ0Y1N" TargetMode="External"/><Relationship Id="rId643" Type="http://schemas.openxmlformats.org/officeDocument/2006/relationships/hyperlink" Target="https://doi.org/10.7910/DVN/QSDYLH" TargetMode="External"/><Relationship Id="rId850" Type="http://schemas.openxmlformats.org/officeDocument/2006/relationships/hyperlink" Target="https://doi.org/10.7910/DVN/CVYSR7" TargetMode="External"/><Relationship Id="rId948" Type="http://schemas.openxmlformats.org/officeDocument/2006/relationships/hyperlink" Target="http://www.uniformlaws.org/" TargetMode="External"/><Relationship Id="rId77" Type="http://schemas.openxmlformats.org/officeDocument/2006/relationships/hyperlink" Target="https://factfinder.census.gov/faces/nav/jsf/pages/programs.xhtml?program=asgov" TargetMode="External"/><Relationship Id="rId282" Type="http://schemas.openxmlformats.org/officeDocument/2006/relationships/hyperlink" Target="http://mercatus.org/sites/default/files/Norcross-Fiscal-Rankings-2-v2_1.pdf" TargetMode="External"/><Relationship Id="rId503" Type="http://schemas.openxmlformats.org/officeDocument/2006/relationships/hyperlink" Target="https://doi.org/10.7910/DVN/LZHMG3" TargetMode="External"/><Relationship Id="rId587" Type="http://schemas.openxmlformats.org/officeDocument/2006/relationships/hyperlink" Target="https://doi.org/10.7910/DVN/QSDYLH" TargetMode="External"/><Relationship Id="rId710" Type="http://schemas.openxmlformats.org/officeDocument/2006/relationships/hyperlink" Target="http://www.uniformlaws.org/" TargetMode="External"/><Relationship Id="rId808" Type="http://schemas.openxmlformats.org/officeDocument/2006/relationships/hyperlink" Target="https://nces.ed.gov/" TargetMode="External"/><Relationship Id="rId8" Type="http://schemas.openxmlformats.org/officeDocument/2006/relationships/footer" Target="footer1.xml"/><Relationship Id="rId142" Type="http://schemas.openxmlformats.org/officeDocument/2006/relationships/hyperlink" Target="http://stateminder.org/" TargetMode="External"/><Relationship Id="rId447" Type="http://schemas.openxmlformats.org/officeDocument/2006/relationships/hyperlink" Target="https://doi.org/10.7910/DVN/PQ0Y1N" TargetMode="External"/><Relationship Id="rId794" Type="http://schemas.openxmlformats.org/officeDocument/2006/relationships/hyperlink" Target="https://nces.ed.gov/ccd/elsi/" TargetMode="External"/><Relationship Id="rId654" Type="http://schemas.openxmlformats.org/officeDocument/2006/relationships/hyperlink" Target="https://doi.org/10.7910/DVN/NLDUOY" TargetMode="External"/><Relationship Id="rId861" Type="http://schemas.openxmlformats.org/officeDocument/2006/relationships/hyperlink" Target="https://doi.org/10.7910/DVN/CVYSR7" TargetMode="External"/><Relationship Id="rId959" Type="http://schemas.openxmlformats.org/officeDocument/2006/relationships/hyperlink" Target="http://www.uniformlaws.org/" TargetMode="External"/><Relationship Id="rId293" Type="http://schemas.openxmlformats.org/officeDocument/2006/relationships/hyperlink" Target="http://mercatus.org/sites/default/files/Norcross-Fiscal-Rankings-2-v2_1.pdf" TargetMode="External"/><Relationship Id="rId307" Type="http://schemas.openxmlformats.org/officeDocument/2006/relationships/hyperlink" Target="http://mercatus.org/sites/default/files/Norcross-Fiscal-Rankings-2-v2_1.pdf" TargetMode="External"/><Relationship Id="rId514" Type="http://schemas.openxmlformats.org/officeDocument/2006/relationships/hyperlink" Target="http://americanlegislatures.com/data/" TargetMode="External"/><Relationship Id="rId721" Type="http://schemas.openxmlformats.org/officeDocument/2006/relationships/hyperlink" Target="http://www.uniformlaws.org/" TargetMode="External"/><Relationship Id="rId88" Type="http://schemas.openxmlformats.org/officeDocument/2006/relationships/hyperlink" Target="https://factfinder.census.gov/faces/nav/jsf/pages/programs.xhtml?program=asgov" TargetMode="External"/><Relationship Id="rId153" Type="http://schemas.openxmlformats.org/officeDocument/2006/relationships/hyperlink" Target="https://factfinder.census.gov/faces/nav/jsf/pages/programs.xhtml?program=asgov" TargetMode="External"/><Relationship Id="rId360" Type="http://schemas.openxmlformats.org/officeDocument/2006/relationships/hyperlink" Target="http://ukcpr.org/resources/national-welfare-data" TargetMode="External"/><Relationship Id="rId598" Type="http://schemas.openxmlformats.org/officeDocument/2006/relationships/hyperlink" Target="https://doi.org/10.7910/DVN/QSDYLH" TargetMode="External"/><Relationship Id="rId819" Type="http://schemas.openxmlformats.org/officeDocument/2006/relationships/hyperlink" Target="http://stateminder.org/" TargetMode="External"/><Relationship Id="rId1004" Type="http://schemas.openxmlformats.org/officeDocument/2006/relationships/hyperlink" Target="http://www.uniformlaws.org/" TargetMode="External"/><Relationship Id="rId220" Type="http://schemas.openxmlformats.org/officeDocument/2006/relationships/hyperlink" Target="https://doi.org/10.7910/DVN/KMWN7N" TargetMode="External"/><Relationship Id="rId458" Type="http://schemas.openxmlformats.org/officeDocument/2006/relationships/hyperlink" Target="https://doi.org/10.7910/DVN/PQ0Y1N" TargetMode="External"/><Relationship Id="rId665" Type="http://schemas.openxmlformats.org/officeDocument/2006/relationships/hyperlink" Target="http://www.followthemoney.org/" TargetMode="External"/><Relationship Id="rId872" Type="http://schemas.openxmlformats.org/officeDocument/2006/relationships/hyperlink" Target="https://doi.org/10.7910/DVN/CVYSR7" TargetMode="External"/><Relationship Id="rId15" Type="http://schemas.openxmlformats.org/officeDocument/2006/relationships/hyperlink" Target="http://library.cqpress.com/cqresearcher/index.php" TargetMode="External"/><Relationship Id="rId318" Type="http://schemas.openxmlformats.org/officeDocument/2006/relationships/hyperlink" Target="http://www.icpsr.umich.edu/icpsrweb/ICPSR/studies/1124?q=Richard%2BFording&amp;amp;permit%5B0%5D=AVAILABLE" TargetMode="External"/><Relationship Id="rId525" Type="http://schemas.openxmlformats.org/officeDocument/2006/relationships/hyperlink" Target="http://americanlegislatures.com/data/" TargetMode="External"/><Relationship Id="rId732" Type="http://schemas.openxmlformats.org/officeDocument/2006/relationships/hyperlink" Target="http://www.uniformlaws.org/" TargetMode="External"/><Relationship Id="rId99" Type="http://schemas.openxmlformats.org/officeDocument/2006/relationships/hyperlink" Target="https://factfinder.census.gov/faces/nav/jsf/pages/programs.xhtml?program=asgov" TargetMode="External"/><Relationship Id="rId164" Type="http://schemas.openxmlformats.org/officeDocument/2006/relationships/hyperlink" Target="http://stateminder.org/" TargetMode="External"/><Relationship Id="rId371" Type="http://schemas.openxmlformats.org/officeDocument/2006/relationships/hyperlink" Target="https://www.urban.org/research/publication/state-tax-incentives-economic-development" TargetMode="External"/><Relationship Id="rId469" Type="http://schemas.openxmlformats.org/officeDocument/2006/relationships/hyperlink" Target="https://doi.org/10.7910/DVN/LZHMG3" TargetMode="External"/><Relationship Id="rId676" Type="http://schemas.openxmlformats.org/officeDocument/2006/relationships/hyperlink" Target="http://www.followthemoney.org/" TargetMode="External"/><Relationship Id="rId883" Type="http://schemas.openxmlformats.org/officeDocument/2006/relationships/hyperlink" Target="http://www.lgbtmap.org/equality-maps/non_discrimination_laws" TargetMode="External"/><Relationship Id="rId26" Type="http://schemas.openxmlformats.org/officeDocument/2006/relationships/hyperlink" Target="https://www.census.gov/acs/www/data/data-tables-and-tools/american-factfinder/" TargetMode="External"/><Relationship Id="rId231" Type="http://schemas.openxmlformats.org/officeDocument/2006/relationships/hyperlink" Target="ftp://ftp.bls.gov/pub/special.requests/cpi/cpiai.txt" TargetMode="External"/><Relationship Id="rId329" Type="http://schemas.openxmlformats.org/officeDocument/2006/relationships/hyperlink" Target="http://stateminder.org/" TargetMode="External"/><Relationship Id="rId536" Type="http://schemas.openxmlformats.org/officeDocument/2006/relationships/hyperlink" Target="http://www.cawp.rutgers.edu/" TargetMode="External"/><Relationship Id="rId175" Type="http://schemas.openxmlformats.org/officeDocument/2006/relationships/hyperlink" Target="https://doi.org/10.7910/DVN/KMWN7N" TargetMode="External"/><Relationship Id="rId743" Type="http://schemas.openxmlformats.org/officeDocument/2006/relationships/hyperlink" Target="https://www.ucrdatatool.gov/Search/Crime/State/TrendsInOneVar.cfm" TargetMode="External"/><Relationship Id="rId950" Type="http://schemas.openxmlformats.org/officeDocument/2006/relationships/hyperlink" Target="http://www.uniformlaws.org/" TargetMode="External"/><Relationship Id="rId382" Type="http://schemas.openxmlformats.org/officeDocument/2006/relationships/hyperlink" Target="https://files.taxfoundation.org/20190715165329/Facts-Figures-2019-How-Does-Your-State-Compare.pdf" TargetMode="External"/><Relationship Id="rId603" Type="http://schemas.openxmlformats.org/officeDocument/2006/relationships/hyperlink" Target="https://doi.org/10.7910/DVN/QSDYLH" TargetMode="External"/><Relationship Id="rId687" Type="http://schemas.openxmlformats.org/officeDocument/2006/relationships/hyperlink" Target="http://www.followthemoney.org/" TargetMode="External"/><Relationship Id="rId810" Type="http://schemas.openxmlformats.org/officeDocument/2006/relationships/hyperlink" Target="http://www.uniformlaws.org/" TargetMode="External"/><Relationship Id="rId908" Type="http://schemas.openxmlformats.org/officeDocument/2006/relationships/hyperlink" Target="http://www.statepolicyindex.com/wp-content/uploads/2019/06/b_guns_17_metadata_carry_indices.txt" TargetMode="External"/><Relationship Id="rId242" Type="http://schemas.openxmlformats.org/officeDocument/2006/relationships/hyperlink" Target="https://doi.org/10.7910/DVN/KMWN7N" TargetMode="External"/><Relationship Id="rId894" Type="http://schemas.openxmlformats.org/officeDocument/2006/relationships/hyperlink" Target="https://www.eia.gov/state/seds/seds-data-complete.php?sid=US" TargetMode="External"/><Relationship Id="rId37" Type="http://schemas.openxmlformats.org/officeDocument/2006/relationships/hyperlink" Target="http://library.cqpress.com/cqresearcher/index.php" TargetMode="External"/><Relationship Id="rId102" Type="http://schemas.openxmlformats.org/officeDocument/2006/relationships/hyperlink" Target="https://factfinder.census.gov/faces/nav/jsf/pages/programs.xhtml?program=asgov" TargetMode="External"/><Relationship Id="rId547" Type="http://schemas.openxmlformats.org/officeDocument/2006/relationships/hyperlink" Target="http://freedominthe50states.org/about" TargetMode="External"/><Relationship Id="rId754" Type="http://schemas.openxmlformats.org/officeDocument/2006/relationships/hyperlink" Target="http://stateminder.org/" TargetMode="External"/><Relationship Id="rId961" Type="http://schemas.openxmlformats.org/officeDocument/2006/relationships/hyperlink" Target="http://www.uniformlaws.org/" TargetMode="External"/><Relationship Id="rId90" Type="http://schemas.openxmlformats.org/officeDocument/2006/relationships/hyperlink" Target="https://factfinder.census.gov/faces/nav/jsf/pages/programs.xhtml?program=asgov" TargetMode="External"/><Relationship Id="rId186" Type="http://schemas.openxmlformats.org/officeDocument/2006/relationships/hyperlink" Target="http://www.census.gov/govs/state/" TargetMode="External"/><Relationship Id="rId393" Type="http://schemas.openxmlformats.org/officeDocument/2006/relationships/hyperlink" Target="https://doi.org/10.7910/DVN/PQ0Y1N" TargetMode="External"/><Relationship Id="rId407" Type="http://schemas.openxmlformats.org/officeDocument/2006/relationships/hyperlink" Target="https://doi.org/10.7910/DVN/PQ0Y1N" TargetMode="External"/><Relationship Id="rId614" Type="http://schemas.openxmlformats.org/officeDocument/2006/relationships/hyperlink" Target="https://doi.org/10.7910/DVN/QSDYLH" TargetMode="External"/><Relationship Id="rId821" Type="http://schemas.openxmlformats.org/officeDocument/2006/relationships/hyperlink" Target="http://stateminder.org/" TargetMode="External"/><Relationship Id="rId253" Type="http://schemas.openxmlformats.org/officeDocument/2006/relationships/hyperlink" Target="https://doi.org/10.7910/DVN/KMWN7N" TargetMode="External"/><Relationship Id="rId460" Type="http://schemas.openxmlformats.org/officeDocument/2006/relationships/hyperlink" Target="https://doi.org/10.7910/DVN/PQ0Y1N" TargetMode="External"/><Relationship Id="rId698" Type="http://schemas.openxmlformats.org/officeDocument/2006/relationships/hyperlink" Target="http://www.uniformlaws.org/" TargetMode="External"/><Relationship Id="rId919" Type="http://schemas.openxmlformats.org/officeDocument/2006/relationships/hyperlink" Target="http://www.uniformlaws.org/" TargetMode="External"/><Relationship Id="rId48" Type="http://schemas.openxmlformats.org/officeDocument/2006/relationships/hyperlink" Target="http://stateminder.org/" TargetMode="External"/><Relationship Id="rId113" Type="http://schemas.openxmlformats.org/officeDocument/2006/relationships/hyperlink" Target="https://factfinder.census.gov/faces/nav/jsf/pages/programs.xhtml?program=asgov" TargetMode="External"/><Relationship Id="rId320" Type="http://schemas.openxmlformats.org/officeDocument/2006/relationships/hyperlink" Target="http://www.icpsr.umich.edu/icpsrweb/ICPSR/studies/1124?q=Richard%2BFording&amp;amp;permit%5B0%5D=AVAILABLE" TargetMode="External"/><Relationship Id="rId558" Type="http://schemas.openxmlformats.org/officeDocument/2006/relationships/hyperlink" Target="http://freedominthe50states.org/about" TargetMode="External"/><Relationship Id="rId765" Type="http://schemas.openxmlformats.org/officeDocument/2006/relationships/hyperlink" Target="http://www.uniformlaws.org/" TargetMode="External"/><Relationship Id="rId972" Type="http://schemas.openxmlformats.org/officeDocument/2006/relationships/hyperlink" Target="http://www.uniformlaws.org/" TargetMode="External"/><Relationship Id="rId197" Type="http://schemas.openxmlformats.org/officeDocument/2006/relationships/hyperlink" Target="https://doi.org/10.7910/DVN/KMWN7N" TargetMode="External"/><Relationship Id="rId418" Type="http://schemas.openxmlformats.org/officeDocument/2006/relationships/hyperlink" Target="https://doi.org/10.7910/DVN/PQ0Y1N" TargetMode="External"/><Relationship Id="rId625" Type="http://schemas.openxmlformats.org/officeDocument/2006/relationships/hyperlink" Target="https://doi.org/10.7910/DVN/QSDYLH" TargetMode="External"/><Relationship Id="rId832" Type="http://schemas.openxmlformats.org/officeDocument/2006/relationships/hyperlink" Target="https://www.kff.org/uninsured/state-indicator/rate-by-gender/?currentTimeframe=0&amp;amp;sortModel=%7B%22colId%22%3A%22Location%22%2C%22sort%22%3A%22asc%22%7D" TargetMode="External"/><Relationship Id="rId264" Type="http://schemas.openxmlformats.org/officeDocument/2006/relationships/hyperlink" Target="https://factfinder.census.gov/faces/nav/jsf/pages/programs.xhtml?program=asgov" TargetMode="External"/><Relationship Id="rId471" Type="http://schemas.openxmlformats.org/officeDocument/2006/relationships/hyperlink" Target="https://knowledgecenter.csg.org/kc/category/content-type/content-type/book-states" TargetMode="External"/><Relationship Id="rId59" Type="http://schemas.openxmlformats.org/officeDocument/2006/relationships/hyperlink" Target="https://www.census.gov/acs/www/data/data-tables-and-tools/american-factfinder/" TargetMode="External"/><Relationship Id="rId124" Type="http://schemas.openxmlformats.org/officeDocument/2006/relationships/hyperlink" Target="https://factfinder.census.gov/faces/nav/jsf/pages/programs.xhtml?program=asgov" TargetMode="External"/><Relationship Id="rId569" Type="http://schemas.openxmlformats.org/officeDocument/2006/relationships/hyperlink" Target="https://publicintegrity.org/politics/state-politics/state-integrity-investigation/how-does-your-state-rank-for-integrity/" TargetMode="External"/><Relationship Id="rId776" Type="http://schemas.openxmlformats.org/officeDocument/2006/relationships/hyperlink" Target="http://www.uniformlaws.org/" TargetMode="External"/><Relationship Id="rId983" Type="http://schemas.openxmlformats.org/officeDocument/2006/relationships/hyperlink" Target="http://www.uniformlaws.org/" TargetMode="External"/><Relationship Id="rId331" Type="http://schemas.openxmlformats.org/officeDocument/2006/relationships/hyperlink" Target="https://www.justice.gov/ust/bankruptcy-data-statistics" TargetMode="External"/><Relationship Id="rId429" Type="http://schemas.openxmlformats.org/officeDocument/2006/relationships/hyperlink" Target="https://doi.org/10.7910/DVN/PQ0Y1N" TargetMode="External"/><Relationship Id="rId636" Type="http://schemas.openxmlformats.org/officeDocument/2006/relationships/hyperlink" Target="https://doi.org/10.7910/DVN/QSDYLH" TargetMode="External"/><Relationship Id="rId843" Type="http://schemas.openxmlformats.org/officeDocument/2006/relationships/hyperlink" Target="http://stateminder.org/" TargetMode="External"/><Relationship Id="rId275" Type="http://schemas.openxmlformats.org/officeDocument/2006/relationships/hyperlink" Target="https://factfinder.census.gov/faces/nav/jsf/pages/programs.xhtml?program=asgov" TargetMode="External"/><Relationship Id="rId482" Type="http://schemas.openxmlformats.org/officeDocument/2006/relationships/hyperlink" Target="https://knowledgecenter.csg.org/kc/category/content-type/content-type/book-states" TargetMode="External"/><Relationship Id="rId703" Type="http://schemas.openxmlformats.org/officeDocument/2006/relationships/hyperlink" Target="http://www.uniformlaws.org/" TargetMode="External"/><Relationship Id="rId910" Type="http://schemas.openxmlformats.org/officeDocument/2006/relationships/hyperlink" Target="http://www.statepolicyindex.com/wp-content/uploads/2019/06/b_guns_17_metadata_carry_indices.txt" TargetMode="External"/><Relationship Id="rId135" Type="http://schemas.openxmlformats.org/officeDocument/2006/relationships/hyperlink" Target="https://factfinder.census.gov/faces/nav/jsf/pages/programs.xhtml?program=asgov" TargetMode="External"/><Relationship Id="rId342" Type="http://schemas.openxmlformats.org/officeDocument/2006/relationships/hyperlink" Target="http://ukcpr.org/resources/national-welfare-data" TargetMode="External"/><Relationship Id="rId787" Type="http://schemas.openxmlformats.org/officeDocument/2006/relationships/hyperlink" Target="http://www.stateminder.org/" TargetMode="External"/><Relationship Id="rId994" Type="http://schemas.openxmlformats.org/officeDocument/2006/relationships/hyperlink" Target="http://www.uniformlaws.org/" TargetMode="External"/><Relationship Id="rId202" Type="http://schemas.openxmlformats.org/officeDocument/2006/relationships/hyperlink" Target="https://doi.org/10.7910/DVN/KMWN7N" TargetMode="External"/><Relationship Id="rId647" Type="http://schemas.openxmlformats.org/officeDocument/2006/relationships/hyperlink" Target="https://doi.org/10.7910/DVN/QSDYLH" TargetMode="External"/><Relationship Id="rId854" Type="http://schemas.openxmlformats.org/officeDocument/2006/relationships/hyperlink" Target="https://doi.org/10.7910/DVN/CVYSR7" TargetMode="External"/><Relationship Id="rId286" Type="http://schemas.openxmlformats.org/officeDocument/2006/relationships/hyperlink" Target="http://mercatus.org/sites/default/files/Norcross-Fiscal-Rankings-2-v2_1.pdf" TargetMode="External"/><Relationship Id="rId493" Type="http://schemas.openxmlformats.org/officeDocument/2006/relationships/hyperlink" Target="https://doi.org/10.7910/DVN/LZHMG3" TargetMode="External"/><Relationship Id="rId507" Type="http://schemas.openxmlformats.org/officeDocument/2006/relationships/hyperlink" Target="http://americanlegislatures.com/data/" TargetMode="External"/><Relationship Id="rId714" Type="http://schemas.openxmlformats.org/officeDocument/2006/relationships/hyperlink" Target="http://www.uniformlaws.org/" TargetMode="External"/><Relationship Id="rId921" Type="http://schemas.openxmlformats.org/officeDocument/2006/relationships/hyperlink" Target="http://www.uniformlaws.org/" TargetMode="External"/><Relationship Id="rId50" Type="http://schemas.openxmlformats.org/officeDocument/2006/relationships/hyperlink" Target="https://www.census.gov/acs/www/data/data-tables-and-tools/american-factfinder/" TargetMode="External"/><Relationship Id="rId146" Type="http://schemas.openxmlformats.org/officeDocument/2006/relationships/hyperlink" Target="https://factfinder.census.gov/faces/nav/jsf/pages/programs.xhtml?program=asgov" TargetMode="External"/><Relationship Id="rId353" Type="http://schemas.openxmlformats.org/officeDocument/2006/relationships/hyperlink" Target="http://ukcpr.org/resources/national-welfare-data" TargetMode="External"/><Relationship Id="rId560" Type="http://schemas.openxmlformats.org/officeDocument/2006/relationships/hyperlink" Target="http://freedominthe50states.org/about" TargetMode="External"/><Relationship Id="rId798" Type="http://schemas.openxmlformats.org/officeDocument/2006/relationships/hyperlink" Target="https://nces.ed.gov/ccd/elsi/" TargetMode="External"/><Relationship Id="rId213" Type="http://schemas.openxmlformats.org/officeDocument/2006/relationships/hyperlink" Target="https://doi.org/10.7910/DVN/KMWN7N" TargetMode="External"/><Relationship Id="rId420" Type="http://schemas.openxmlformats.org/officeDocument/2006/relationships/hyperlink" Target="https://doi.org/10.7910/DVN/PQ0Y1N" TargetMode="External"/><Relationship Id="rId658" Type="http://schemas.openxmlformats.org/officeDocument/2006/relationships/hyperlink" Target="https://doi.org/10.7910/DVN/NLDUOY" TargetMode="External"/><Relationship Id="rId865" Type="http://schemas.openxmlformats.org/officeDocument/2006/relationships/hyperlink" Target="https://doi.org/10.7910/DVN/CVYSR7" TargetMode="External"/><Relationship Id="rId297" Type="http://schemas.openxmlformats.org/officeDocument/2006/relationships/hyperlink" Target="http://mercatus.org/sites/default/files/Norcross-Fiscal-Rankings-2-v2_1.pdf" TargetMode="External"/><Relationship Id="rId518" Type="http://schemas.openxmlformats.org/officeDocument/2006/relationships/hyperlink" Target="http://americanlegislatures.com/data/" TargetMode="External"/><Relationship Id="rId725" Type="http://schemas.openxmlformats.org/officeDocument/2006/relationships/hyperlink" Target="http://www.uniformlaws.org/" TargetMode="External"/><Relationship Id="rId932" Type="http://schemas.openxmlformats.org/officeDocument/2006/relationships/hyperlink" Target="http://www.uniformlaws.org/" TargetMode="External"/><Relationship Id="rId157" Type="http://schemas.openxmlformats.org/officeDocument/2006/relationships/hyperlink" Target="http://www.uspto.gov/web/offices/ac/ido/oeip/taf/cst_utl.htm" TargetMode="External"/><Relationship Id="rId364" Type="http://schemas.openxmlformats.org/officeDocument/2006/relationships/hyperlink" Target="https://www.urban.org/research/publication/state-tax-incentives-economic-development" TargetMode="External"/><Relationship Id="rId1008" Type="http://schemas.openxmlformats.org/officeDocument/2006/relationships/hyperlink" Target="http://www.uniformlaws.org/" TargetMode="External"/><Relationship Id="rId61" Type="http://schemas.openxmlformats.org/officeDocument/2006/relationships/hyperlink" Target="http://www.cdc.gov/nchs/data_access/vitalstatsonline.htm" TargetMode="External"/><Relationship Id="rId571" Type="http://schemas.openxmlformats.org/officeDocument/2006/relationships/hyperlink" Target="http://www.stateminder.org/" TargetMode="External"/><Relationship Id="rId669" Type="http://schemas.openxmlformats.org/officeDocument/2006/relationships/hyperlink" Target="http://www.followthemoney.org/" TargetMode="External"/><Relationship Id="rId876" Type="http://schemas.openxmlformats.org/officeDocument/2006/relationships/hyperlink" Target="https://doi.org/10.7910/DVN/CVYSR7" TargetMode="External"/><Relationship Id="rId19" Type="http://schemas.openxmlformats.org/officeDocument/2006/relationships/hyperlink" Target="http://library.cqpress.com/cqresearcher/index.php" TargetMode="External"/><Relationship Id="rId224" Type="http://schemas.openxmlformats.org/officeDocument/2006/relationships/hyperlink" Target="https://doi.org/10.7910/DVN/KMWN7N" TargetMode="External"/><Relationship Id="rId431" Type="http://schemas.openxmlformats.org/officeDocument/2006/relationships/hyperlink" Target="https://doi.org/10.7910/DVN/PQ0Y1N" TargetMode="External"/><Relationship Id="rId529" Type="http://schemas.openxmlformats.org/officeDocument/2006/relationships/hyperlink" Target="http://americanlegislatures.com/data/" TargetMode="External"/><Relationship Id="rId736" Type="http://schemas.openxmlformats.org/officeDocument/2006/relationships/hyperlink" Target="http://www.uniformlaws.org/" TargetMode="External"/><Relationship Id="rId168" Type="http://schemas.openxmlformats.org/officeDocument/2006/relationships/hyperlink" Target="http://www.shsu.edu/eco_mwf/inequality.html" TargetMode="External"/><Relationship Id="rId943" Type="http://schemas.openxmlformats.org/officeDocument/2006/relationships/hyperlink" Target="http://www.uniformlaws.org/" TargetMode="External"/><Relationship Id="rId72" Type="http://schemas.openxmlformats.org/officeDocument/2006/relationships/hyperlink" Target="http://www.bizjournals.com/bizjournals/on-numbers/scott-thomas/2012/06/californias-population-passes-38.html?appSession=10897383915145&amp;amp;RecordID&amp;amp;PageID=2&amp;amp;PrevPageID&amp;amp;cpipage=3&amp;amp;CPISortType&amp;amp;CPIorderBy" TargetMode="External"/><Relationship Id="rId375" Type="http://schemas.openxmlformats.org/officeDocument/2006/relationships/hyperlink" Target="https://www.urban.org/research/publication/state-tax-incentives-economic-development" TargetMode="External"/><Relationship Id="rId582" Type="http://schemas.openxmlformats.org/officeDocument/2006/relationships/hyperlink" Target="https://doi.org/10.7910/DVN/QSDYLH" TargetMode="External"/><Relationship Id="rId803" Type="http://schemas.openxmlformats.org/officeDocument/2006/relationships/hyperlink" Target="https://nces.ed.gov/ccd/elsi/" TargetMode="External"/><Relationship Id="rId3" Type="http://schemas.openxmlformats.org/officeDocument/2006/relationships/settings" Target="settings.xml"/><Relationship Id="rId235" Type="http://schemas.openxmlformats.org/officeDocument/2006/relationships/hyperlink" Target="https://doi.org/10.7910/DVN/KMWN7N" TargetMode="External"/><Relationship Id="rId442" Type="http://schemas.openxmlformats.org/officeDocument/2006/relationships/hyperlink" Target="http://www.guide2womenleaders.com/Governors1920.htm" TargetMode="External"/><Relationship Id="rId887" Type="http://schemas.openxmlformats.org/officeDocument/2006/relationships/hyperlink" Target="http://www.lgbtmap.org/equality-maps/non_discrimination_laws" TargetMode="External"/><Relationship Id="rId302" Type="http://schemas.openxmlformats.org/officeDocument/2006/relationships/hyperlink" Target="http://mercatus.org/sites/default/files/Norcross-Fiscal-Rankings-2-v2_1.pdf" TargetMode="External"/><Relationship Id="rId747" Type="http://schemas.openxmlformats.org/officeDocument/2006/relationships/hyperlink" Target="https://www.ucrdatatool.gov/Search/Crime/State/TrendsInOneVar.cfm" TargetMode="External"/><Relationship Id="rId954" Type="http://schemas.openxmlformats.org/officeDocument/2006/relationships/hyperlink" Target="http://www.uniformlaws.org/" TargetMode="External"/><Relationship Id="rId83" Type="http://schemas.openxmlformats.org/officeDocument/2006/relationships/hyperlink" Target="https://factfinder.census.gov/faces/nav/jsf/pages/programs.xhtml?program=asgov" TargetMode="External"/><Relationship Id="rId179" Type="http://schemas.openxmlformats.org/officeDocument/2006/relationships/hyperlink" Target="https://doi.org/10.7910/DVN/KMWN7N" TargetMode="External"/><Relationship Id="rId386" Type="http://schemas.openxmlformats.org/officeDocument/2006/relationships/hyperlink" Target="http://www.uniformlaws.org/" TargetMode="External"/><Relationship Id="rId593" Type="http://schemas.openxmlformats.org/officeDocument/2006/relationships/hyperlink" Target="https://doi.org/10.7910/DVN/QSDYLH" TargetMode="External"/><Relationship Id="rId607" Type="http://schemas.openxmlformats.org/officeDocument/2006/relationships/hyperlink" Target="https://doi.org/10.7910/DVN/QSDYLH" TargetMode="External"/><Relationship Id="rId814" Type="http://schemas.openxmlformats.org/officeDocument/2006/relationships/hyperlink" Target="http://www.uniformlaws.org/" TargetMode="External"/><Relationship Id="rId246" Type="http://schemas.openxmlformats.org/officeDocument/2006/relationships/hyperlink" Target="https://doi.org/10.7910/DVN/KMWN7N" TargetMode="External"/><Relationship Id="rId453" Type="http://schemas.openxmlformats.org/officeDocument/2006/relationships/hyperlink" Target="https://doi.org/10.7910/DVN/PQ0Y1N" TargetMode="External"/><Relationship Id="rId660" Type="http://schemas.openxmlformats.org/officeDocument/2006/relationships/hyperlink" Target="https://doi.org/10.7910/DVN/NLDUOY" TargetMode="External"/><Relationship Id="rId898" Type="http://schemas.openxmlformats.org/officeDocument/2006/relationships/hyperlink" Target="http://www.stateminder.org/" TargetMode="External"/><Relationship Id="rId106" Type="http://schemas.openxmlformats.org/officeDocument/2006/relationships/hyperlink" Target="https://factfinder.census.gov/faces/nav/jsf/pages/programs.xhtml?program=asgov" TargetMode="External"/><Relationship Id="rId313" Type="http://schemas.openxmlformats.org/officeDocument/2006/relationships/hyperlink" Target="http://mercatus.org/sites/default/files/Norcross-Fiscal-Rankings-2-v2_1.pdf" TargetMode="External"/><Relationship Id="rId758" Type="http://schemas.openxmlformats.org/officeDocument/2006/relationships/hyperlink" Target="http://stateminder.org/" TargetMode="External"/><Relationship Id="rId965" Type="http://schemas.openxmlformats.org/officeDocument/2006/relationships/hyperlink" Target="http://www.uniformlaw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267</Pages>
  <Words>158161</Words>
  <Characters>901518</Characters>
  <Application>Microsoft Office Word</Application>
  <DocSecurity>0</DocSecurity>
  <Lines>7512</Lines>
  <Paragraphs>2115</Paragraphs>
  <ScaleCrop>false</ScaleCrop>
  <Company/>
  <LinksUpToDate>false</LinksUpToDate>
  <CharactersWithSpaces>1057564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Jillian</dc:creator>
  <cp:lastModifiedBy>Lucas, Caleb</cp:lastModifiedBy>
  <cp:revision>2</cp:revision>
  <dcterms:created xsi:type="dcterms:W3CDTF">2021-09-27T23:44:00Z</dcterms:created>
  <dcterms:modified xsi:type="dcterms:W3CDTF">2021-09-27T23:44:00Z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2020-01-09T00:00:00Z</vt:filetime>
  </property>
  <property fmtid="{D5CDD505-2E9C-101B-9397-08002B2CF9AE}" pid="3" name="Creator">
    <vt:lpwstr>Microsoft Word</vt:lpwstr>
  </property>
  <property fmtid="{D5CDD505-2E9C-101B-9397-08002B2CF9AE}" pid="4" name="LastSaved">
    <vt:filetime>2020-02-04T00:00:00Z</vt:filetime>
  </property>
</Properties>
</file>